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الوسيط</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في شرح القانون المدني</w:t>
      </w:r>
    </w:p>
    <w:p w:rsidR="00F72742" w:rsidRPr="00315653" w:rsidRDefault="00F72742" w:rsidP="00F72742">
      <w:pPr>
        <w:widowControl w:val="0"/>
        <w:spacing w:after="120"/>
        <w:jc w:val="center"/>
        <w:rPr>
          <w:rFonts w:hint="cs"/>
          <w:b/>
          <w:bCs/>
          <w:color w:val="000000"/>
          <w:rtl/>
          <w:lang w:bidi="ar-EG"/>
        </w:rPr>
      </w:pPr>
      <w:r>
        <w:rPr>
          <w:rFonts w:hint="cs"/>
          <w:b/>
          <w:bCs/>
          <w:color w:val="000000"/>
          <w:rtl/>
          <w:lang w:bidi="ar-EG"/>
        </w:rPr>
        <w:t xml:space="preserve">( </w:t>
      </w:r>
      <w:r w:rsidRPr="00315653">
        <w:rPr>
          <w:rFonts w:hint="cs"/>
          <w:b/>
          <w:bCs/>
          <w:color w:val="000000"/>
          <w:rtl/>
          <w:lang w:bidi="ar-EG"/>
        </w:rPr>
        <w:t>10</w:t>
      </w:r>
      <w:r>
        <w:rPr>
          <w:rFonts w:hint="cs"/>
          <w:b/>
          <w:b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الجزء العاشر والأخير</w:t>
      </w:r>
    </w:p>
    <w:p w:rsidR="00F72742" w:rsidRPr="00315653" w:rsidRDefault="00F72742" w:rsidP="00F72742">
      <w:pPr>
        <w:widowControl w:val="0"/>
        <w:spacing w:after="120"/>
        <w:jc w:val="center"/>
        <w:rPr>
          <w:rFonts w:hint="cs"/>
          <w:b/>
          <w:bCs/>
          <w:color w:val="000000"/>
          <w:rtl/>
          <w:lang w:bidi="ar-EG"/>
        </w:rPr>
      </w:pP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في التأمينات الشخصية والعينية</w:t>
      </w:r>
    </w:p>
    <w:p w:rsidR="00F72742" w:rsidRPr="00315653" w:rsidRDefault="00F72742" w:rsidP="00F72742">
      <w:pPr>
        <w:widowControl w:val="0"/>
        <w:spacing w:after="120"/>
        <w:jc w:val="center"/>
        <w:rPr>
          <w:rFonts w:hint="cs"/>
          <w:b/>
          <w:bCs/>
          <w:color w:val="000000"/>
          <w:rtl/>
          <w:lang w:bidi="ar-EG"/>
        </w:rPr>
      </w:pPr>
    </w:p>
    <w:p w:rsidR="00F72742" w:rsidRPr="00315653" w:rsidRDefault="00F72742" w:rsidP="00F72742">
      <w:pPr>
        <w:widowControl w:val="0"/>
        <w:spacing w:after="120"/>
        <w:jc w:val="center"/>
        <w:rPr>
          <w:rFonts w:hint="cs"/>
          <w:color w:val="000000"/>
          <w:rtl/>
          <w:lang w:bidi="ar-EG"/>
        </w:rPr>
      </w:pPr>
    </w:p>
    <w:p w:rsidR="00F72742" w:rsidRPr="00315653" w:rsidRDefault="00F72742" w:rsidP="00F72742">
      <w:pPr>
        <w:widowControl w:val="0"/>
        <w:spacing w:after="120"/>
        <w:jc w:val="center"/>
        <w:rPr>
          <w:rFonts w:hint="cs"/>
          <w:color w:val="000000"/>
          <w:rtl/>
          <w:lang w:bidi="ar-EG"/>
        </w:rPr>
      </w:pPr>
      <w:r w:rsidRPr="00315653">
        <w:rPr>
          <w:rFonts w:hint="cs"/>
          <w:color w:val="000000"/>
          <w:rtl/>
          <w:lang w:bidi="ar-EG"/>
        </w:rPr>
        <w:t>تأليف</w:t>
      </w:r>
    </w:p>
    <w:p w:rsidR="00F72742" w:rsidRPr="00315653" w:rsidRDefault="00F72742" w:rsidP="00F72742">
      <w:pPr>
        <w:widowControl w:val="0"/>
        <w:spacing w:after="120"/>
        <w:jc w:val="center"/>
        <w:rPr>
          <w:rFonts w:hint="cs"/>
          <w:color w:val="000000"/>
          <w:rtl/>
          <w:lang w:bidi="ar-EG"/>
        </w:rPr>
      </w:pPr>
      <w:r w:rsidRPr="00315653">
        <w:rPr>
          <w:rFonts w:hint="cs"/>
          <w:color w:val="000000"/>
          <w:rtl/>
          <w:lang w:bidi="ar-EG"/>
        </w:rPr>
        <w:t>عبد الرزاق أحمد السنهوري</w:t>
      </w:r>
    </w:p>
    <w:p w:rsidR="00F72742" w:rsidRPr="00315653" w:rsidRDefault="00F72742" w:rsidP="00F72742">
      <w:pPr>
        <w:widowControl w:val="0"/>
        <w:spacing w:after="120"/>
        <w:jc w:val="center"/>
        <w:rPr>
          <w:rFonts w:hint="cs"/>
          <w:color w:val="000000"/>
          <w:rtl/>
          <w:lang w:bidi="ar-EG"/>
        </w:rPr>
      </w:pPr>
      <w:r w:rsidRPr="00315653">
        <w:rPr>
          <w:rFonts w:hint="cs"/>
          <w:color w:val="000000"/>
          <w:rtl/>
          <w:lang w:bidi="ar-EG"/>
        </w:rPr>
        <w:t>دكتور في العلوم القانونية ودكتور في العلوم السياسية والاقتصادية</w:t>
      </w:r>
    </w:p>
    <w:p w:rsidR="00F72742" w:rsidRPr="00315653" w:rsidRDefault="00F72742" w:rsidP="00F72742">
      <w:pPr>
        <w:widowControl w:val="0"/>
        <w:spacing w:after="120"/>
        <w:jc w:val="center"/>
        <w:rPr>
          <w:rFonts w:hint="cs"/>
          <w:color w:val="000000"/>
          <w:rtl/>
          <w:lang w:bidi="ar-EG"/>
        </w:rPr>
      </w:pPr>
      <w:r w:rsidRPr="00315653">
        <w:rPr>
          <w:rFonts w:hint="cs"/>
          <w:color w:val="000000"/>
          <w:rtl/>
          <w:lang w:bidi="ar-EG"/>
        </w:rPr>
        <w:t>ودبلومية من معهد القانون الدولي بجامعة باريس</w:t>
      </w:r>
    </w:p>
    <w:p w:rsidR="00F72742" w:rsidRPr="00315653" w:rsidRDefault="00F72742" w:rsidP="00F72742">
      <w:pPr>
        <w:widowControl w:val="0"/>
        <w:spacing w:after="120"/>
        <w:jc w:val="center"/>
        <w:rPr>
          <w:rFonts w:hint="cs"/>
          <w:color w:val="000000"/>
          <w:rtl/>
          <w:lang w:bidi="ar-EG"/>
        </w:rPr>
      </w:pPr>
    </w:p>
    <w:p w:rsidR="00F72742" w:rsidRPr="00315653" w:rsidRDefault="00F72742" w:rsidP="00F72742">
      <w:pPr>
        <w:widowControl w:val="0"/>
        <w:spacing w:after="120"/>
        <w:jc w:val="center"/>
        <w:rPr>
          <w:rFonts w:hint="cs"/>
          <w:color w:val="000000"/>
          <w:rtl/>
          <w:lang w:bidi="ar-EG"/>
        </w:rPr>
      </w:pPr>
      <w:r w:rsidRPr="00315653">
        <w:rPr>
          <w:rFonts w:hint="cs"/>
          <w:color w:val="000000"/>
          <w:rtl/>
          <w:lang w:bidi="ar-EG"/>
        </w:rPr>
        <w:t>1970</w:t>
      </w:r>
    </w:p>
    <w:p w:rsidR="00F72742" w:rsidRPr="00315653" w:rsidRDefault="00F72742" w:rsidP="00F72742">
      <w:pPr>
        <w:widowControl w:val="0"/>
        <w:spacing w:after="120"/>
        <w:jc w:val="center"/>
        <w:rPr>
          <w:rFonts w:hint="cs"/>
          <w:color w:val="000000"/>
          <w:rtl/>
          <w:lang w:bidi="ar-EG"/>
        </w:rPr>
      </w:pP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الناشر</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 xml:space="preserve">دار النهضة العربية </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 xml:space="preserve">32 شارع عبد الخالق ثروت </w:t>
      </w:r>
      <w:r w:rsidRPr="00315653">
        <w:rPr>
          <w:b/>
          <w:bCs/>
          <w:color w:val="000000"/>
          <w:rtl/>
          <w:lang w:bidi="ar-EG"/>
        </w:rPr>
        <w:t>–</w:t>
      </w:r>
      <w:r w:rsidRPr="00315653">
        <w:rPr>
          <w:rFonts w:hint="cs"/>
          <w:b/>
          <w:bCs/>
          <w:color w:val="000000"/>
          <w:rtl/>
          <w:lang w:bidi="ar-EG"/>
        </w:rPr>
        <w:t xml:space="preserve"> القاهرة</w:t>
      </w:r>
    </w:p>
    <w:p w:rsidR="00F72742" w:rsidRPr="00315653" w:rsidRDefault="00F72742" w:rsidP="00F72742">
      <w:pPr>
        <w:widowControl w:val="0"/>
        <w:spacing w:after="120"/>
        <w:jc w:val="center"/>
        <w:rPr>
          <w:rFonts w:hint="cs"/>
          <w:b/>
          <w:bCs/>
          <w:color w:val="000000"/>
          <w:rtl/>
          <w:lang w:bidi="ar-EG"/>
        </w:rPr>
      </w:pPr>
    </w:p>
    <w:p w:rsidR="00F72742" w:rsidRPr="00315653" w:rsidRDefault="00F72742" w:rsidP="00F72742">
      <w:pPr>
        <w:widowControl w:val="0"/>
        <w:spacing w:after="120"/>
        <w:ind w:firstLine="567"/>
        <w:jc w:val="lowKashida"/>
        <w:rPr>
          <w:rFonts w:hint="cs"/>
          <w:color w:val="000000"/>
          <w:sz w:val="32"/>
          <w:rtl/>
          <w:lang w:bidi="ar-EG"/>
        </w:rPr>
      </w:pPr>
      <w:r w:rsidRPr="00315653">
        <w:rPr>
          <w:b/>
          <w:bCs/>
          <w:color w:val="000000"/>
          <w:rtl/>
          <w:lang w:bidi="ar-EG"/>
        </w:rPr>
        <w:br w:type="page"/>
      </w:r>
      <w:r w:rsidRPr="00315653">
        <w:rPr>
          <w:b/>
          <w:bCs/>
          <w:color w:val="000000"/>
          <w:rtl/>
          <w:lang w:bidi="ar-EG"/>
        </w:rPr>
        <w:lastRenderedPageBreak/>
        <w:br w:type="page"/>
      </w:r>
      <w:r w:rsidRPr="00315653">
        <w:rPr>
          <w:rFonts w:hint="cs"/>
          <w:color w:val="000000"/>
          <w:sz w:val="32"/>
          <w:rtl/>
          <w:lang w:bidi="ar-EG"/>
        </w:rPr>
        <w:lastRenderedPageBreak/>
        <w:t>هذا هو الجزء العاشر</w:t>
      </w:r>
      <w:r>
        <w:rPr>
          <w:rFonts w:hint="cs"/>
          <w:color w:val="000000"/>
          <w:sz w:val="32"/>
          <w:rtl/>
          <w:lang w:bidi="ar-EG"/>
        </w:rPr>
        <w:t xml:space="preserve"> ،</w:t>
      </w:r>
      <w:r w:rsidRPr="00315653">
        <w:rPr>
          <w:rFonts w:hint="cs"/>
          <w:color w:val="000000"/>
          <w:sz w:val="32"/>
          <w:rtl/>
          <w:lang w:bidi="ar-EG"/>
        </w:rPr>
        <w:t xml:space="preserve"> والأخير من الوسيط</w:t>
      </w:r>
      <w:r>
        <w:rPr>
          <w:rFonts w:hint="cs"/>
          <w:color w:val="000000"/>
          <w:sz w:val="32"/>
          <w:rtl/>
          <w:lang w:bidi="ar-EG"/>
        </w:rPr>
        <w:t xml:space="preserve"> ،</w:t>
      </w:r>
      <w:r w:rsidRPr="00315653">
        <w:rPr>
          <w:rFonts w:hint="cs"/>
          <w:color w:val="000000"/>
          <w:sz w:val="32"/>
          <w:rtl/>
          <w:lang w:bidi="ar-EG"/>
        </w:rPr>
        <w:t xml:space="preserve"> وقد تناولت في هذه الأجزاء العشرة موضوعات التقنين المدني وأتبعت فيها كلها عين الطريقة وذات التحليل</w:t>
      </w:r>
      <w:r>
        <w:rPr>
          <w:rFonts w:hint="cs"/>
          <w:color w:val="000000"/>
          <w:sz w:val="32"/>
          <w:rtl/>
          <w:lang w:bidi="ar-EG"/>
        </w:rPr>
        <w:t xml:space="preserve"> .</w:t>
      </w:r>
    </w:p>
    <w:p w:rsidR="00F72742" w:rsidRPr="00315653" w:rsidRDefault="00F72742" w:rsidP="00F72742">
      <w:pPr>
        <w:widowControl w:val="0"/>
        <w:spacing w:after="120"/>
        <w:ind w:firstLine="567"/>
        <w:jc w:val="lowKashida"/>
        <w:rPr>
          <w:rFonts w:hint="cs"/>
          <w:color w:val="000000"/>
          <w:sz w:val="32"/>
          <w:rtl/>
          <w:lang w:bidi="ar-EG"/>
        </w:rPr>
      </w:pPr>
      <w:r w:rsidRPr="00315653">
        <w:rPr>
          <w:rFonts w:hint="cs"/>
          <w:color w:val="000000"/>
          <w:sz w:val="32"/>
          <w:rtl/>
          <w:lang w:bidi="ar-EG"/>
        </w:rPr>
        <w:t>وأحمد الله سبحانه وتعالى على أن مدّ في أجلي</w:t>
      </w:r>
      <w:r>
        <w:rPr>
          <w:rFonts w:hint="cs"/>
          <w:color w:val="000000"/>
          <w:sz w:val="32"/>
          <w:rtl/>
          <w:lang w:bidi="ar-EG"/>
        </w:rPr>
        <w:t xml:space="preserve"> ،</w:t>
      </w:r>
      <w:r w:rsidRPr="00315653">
        <w:rPr>
          <w:rFonts w:hint="cs"/>
          <w:color w:val="000000"/>
          <w:sz w:val="32"/>
          <w:rtl/>
          <w:lang w:bidi="ar-EG"/>
        </w:rPr>
        <w:t xml:space="preserve"> وأعطاني من القوة ما مكنني من أن أقوم بهذا العمل</w:t>
      </w:r>
      <w:r>
        <w:rPr>
          <w:rFonts w:hint="cs"/>
          <w:color w:val="000000"/>
          <w:sz w:val="32"/>
          <w:rtl/>
          <w:lang w:bidi="ar-EG"/>
        </w:rPr>
        <w:t xml:space="preserve"> .</w:t>
      </w:r>
      <w:r w:rsidRPr="00315653">
        <w:rPr>
          <w:rFonts w:hint="cs"/>
          <w:color w:val="000000"/>
          <w:sz w:val="32"/>
          <w:rtl/>
          <w:lang w:bidi="ar-EG"/>
        </w:rPr>
        <w:t xml:space="preserve"> وهو عمل طويل المدى بعيد الغاية</w:t>
      </w:r>
      <w:r>
        <w:rPr>
          <w:rFonts w:hint="cs"/>
          <w:color w:val="000000"/>
          <w:sz w:val="32"/>
          <w:rtl/>
          <w:lang w:bidi="ar-EG"/>
        </w:rPr>
        <w:t xml:space="preserve"> ،</w:t>
      </w:r>
      <w:r w:rsidRPr="00315653">
        <w:rPr>
          <w:rFonts w:hint="cs"/>
          <w:color w:val="000000"/>
          <w:sz w:val="32"/>
          <w:rtl/>
          <w:lang w:bidi="ar-EG"/>
        </w:rPr>
        <w:t xml:space="preserve"> ولا تنقصني الصراحة في أن أقول إنه اقتضاني كثيراً من الجهد والمشقة</w:t>
      </w:r>
      <w:r>
        <w:rPr>
          <w:rFonts w:hint="cs"/>
          <w:color w:val="000000"/>
          <w:sz w:val="32"/>
          <w:rtl/>
          <w:lang w:bidi="ar-EG"/>
        </w:rPr>
        <w:t xml:space="preserve"> .</w:t>
      </w:r>
    </w:p>
    <w:p w:rsidR="00F72742" w:rsidRPr="00315653" w:rsidRDefault="00F72742" w:rsidP="00F72742">
      <w:pPr>
        <w:widowControl w:val="0"/>
        <w:spacing w:after="120"/>
        <w:ind w:firstLine="567"/>
        <w:jc w:val="lowKashida"/>
        <w:rPr>
          <w:rFonts w:hint="cs"/>
          <w:color w:val="000000"/>
          <w:sz w:val="32"/>
          <w:rtl/>
          <w:lang w:bidi="ar-EG"/>
        </w:rPr>
      </w:pPr>
      <w:r w:rsidRPr="00315653">
        <w:rPr>
          <w:rFonts w:hint="cs"/>
          <w:color w:val="000000"/>
          <w:sz w:val="32"/>
          <w:rtl/>
          <w:lang w:bidi="ar-EG"/>
        </w:rPr>
        <w:t>ولئن كان لي أن اختار</w:t>
      </w:r>
      <w:r>
        <w:rPr>
          <w:rFonts w:hint="cs"/>
          <w:color w:val="000000"/>
          <w:sz w:val="32"/>
          <w:rtl/>
          <w:lang w:bidi="ar-EG"/>
        </w:rPr>
        <w:t xml:space="preserve"> ،</w:t>
      </w:r>
      <w:r w:rsidRPr="00315653">
        <w:rPr>
          <w:rFonts w:hint="cs"/>
          <w:color w:val="000000"/>
          <w:sz w:val="32"/>
          <w:rtl/>
          <w:lang w:bidi="ar-EG"/>
        </w:rPr>
        <w:t xml:space="preserve"> في الأعمال التي قمتُ بها</w:t>
      </w:r>
      <w:r>
        <w:rPr>
          <w:rFonts w:hint="cs"/>
          <w:color w:val="000000"/>
          <w:sz w:val="32"/>
          <w:rtl/>
          <w:lang w:bidi="ar-EG"/>
        </w:rPr>
        <w:t xml:space="preserve"> ،</w:t>
      </w:r>
      <w:r w:rsidRPr="00315653">
        <w:rPr>
          <w:rFonts w:hint="cs"/>
          <w:color w:val="000000"/>
          <w:sz w:val="32"/>
          <w:rtl/>
          <w:lang w:bidi="ar-EG"/>
        </w:rPr>
        <w:t xml:space="preserve"> عملين أثنين</w:t>
      </w:r>
      <w:r>
        <w:rPr>
          <w:rFonts w:hint="cs"/>
          <w:color w:val="000000"/>
          <w:sz w:val="32"/>
          <w:rtl/>
          <w:lang w:bidi="ar-EG"/>
        </w:rPr>
        <w:t xml:space="preserve"> ،</w:t>
      </w:r>
      <w:r w:rsidRPr="00315653">
        <w:rPr>
          <w:rFonts w:hint="cs"/>
          <w:color w:val="000000"/>
          <w:sz w:val="32"/>
          <w:rtl/>
          <w:lang w:bidi="ar-EG"/>
        </w:rPr>
        <w:t xml:space="preserve"> فإني أقدم إلى رجال القانون بالتقنين المدني الجديد وبالوسيط</w:t>
      </w:r>
      <w:r>
        <w:rPr>
          <w:rFonts w:hint="cs"/>
          <w:color w:val="000000"/>
          <w:sz w:val="32"/>
          <w:rtl/>
          <w:lang w:bidi="ar-EG"/>
        </w:rPr>
        <w:t xml:space="preserve"> .</w:t>
      </w:r>
    </w:p>
    <w:p w:rsidR="00F72742" w:rsidRPr="00315653" w:rsidRDefault="00F72742" w:rsidP="00F72742">
      <w:pPr>
        <w:widowControl w:val="0"/>
        <w:spacing w:after="120"/>
        <w:ind w:firstLine="567"/>
        <w:jc w:val="lowKashida"/>
        <w:rPr>
          <w:color w:val="000000"/>
          <w:sz w:val="32"/>
          <w:rtl/>
          <w:lang w:bidi="ar-EG"/>
        </w:rPr>
        <w:sectPr w:rsidR="00F72742" w:rsidRPr="00315653" w:rsidSect="00827C9B">
          <w:headerReference w:type="even" r:id="rId7"/>
          <w:pgSz w:w="11906" w:h="16838" w:code="9"/>
          <w:pgMar w:top="1985" w:right="1701" w:bottom="1985" w:left="1701" w:header="1418" w:footer="567" w:gutter="0"/>
          <w:cols w:space="720"/>
          <w:bidi/>
          <w:rtlGutter/>
          <w:docGrid w:linePitch="360"/>
        </w:sectPr>
      </w:pPr>
      <w:r w:rsidRPr="00315653">
        <w:rPr>
          <w:color w:val="000000"/>
          <w:sz w:val="32"/>
          <w:rtl/>
          <w:lang w:bidi="ar-EG"/>
        </w:rPr>
        <w:br w:type="page"/>
      </w:r>
    </w:p>
    <w:p w:rsidR="00F72742" w:rsidRPr="00315653" w:rsidRDefault="00F72742" w:rsidP="00F72742">
      <w:pPr>
        <w:widowControl w:val="0"/>
        <w:jc w:val="center"/>
        <w:rPr>
          <w:rFonts w:hint="cs"/>
          <w:b/>
          <w:bCs/>
          <w:color w:val="000000"/>
          <w:sz w:val="32"/>
          <w:rtl/>
          <w:lang w:bidi="ar-EG"/>
        </w:rPr>
      </w:pPr>
      <w:r w:rsidRPr="00315653">
        <w:rPr>
          <w:rFonts w:hint="cs"/>
          <w:b/>
          <w:bCs/>
          <w:color w:val="000000"/>
          <w:sz w:val="32"/>
          <w:rtl/>
          <w:lang w:bidi="ar-EG"/>
        </w:rPr>
        <w:lastRenderedPageBreak/>
        <w:t>التأمينات الشخصية</w:t>
      </w:r>
    </w:p>
    <w:p w:rsidR="00F72742" w:rsidRPr="00315653" w:rsidRDefault="00F72742" w:rsidP="00F72742">
      <w:pPr>
        <w:widowControl w:val="0"/>
        <w:jc w:val="center"/>
        <w:rPr>
          <w:rFonts w:hint="cs"/>
          <w:b/>
          <w:bCs/>
          <w:color w:val="000000"/>
          <w:sz w:val="32"/>
          <w:rtl/>
          <w:lang w:bidi="ar-EG"/>
        </w:rPr>
      </w:pPr>
      <w:r w:rsidRPr="00315653">
        <w:rPr>
          <w:rFonts w:hint="cs"/>
          <w:b/>
          <w:bCs/>
          <w:color w:val="000000"/>
          <w:sz w:val="32"/>
          <w:rtl/>
          <w:lang w:bidi="ar-EG"/>
        </w:rPr>
        <w:t>والتأمينات العينية</w:t>
      </w:r>
    </w:p>
    <w:p w:rsidR="00F72742" w:rsidRPr="00315653" w:rsidRDefault="00F72742" w:rsidP="00F72742">
      <w:pPr>
        <w:widowControl w:val="0"/>
        <w:jc w:val="center"/>
        <w:rPr>
          <w:rFonts w:hint="cs"/>
          <w:b/>
          <w:bCs/>
          <w:color w:val="000000"/>
          <w:sz w:val="32"/>
          <w:rtl/>
          <w:lang w:bidi="ar-EG"/>
        </w:rPr>
      </w:pPr>
      <w:r w:rsidRPr="00315653">
        <w:rPr>
          <w:rFonts w:hint="cs"/>
          <w:b/>
          <w:bCs/>
          <w:color w:val="000000"/>
          <w:sz w:val="32"/>
          <w:rtl/>
          <w:lang w:bidi="ar-EG"/>
        </w:rPr>
        <w:t>ــــ</w:t>
      </w:r>
    </w:p>
    <w:p w:rsidR="00F72742" w:rsidRPr="00315653" w:rsidRDefault="00F72742" w:rsidP="00F72742">
      <w:pPr>
        <w:widowControl w:val="0"/>
        <w:jc w:val="center"/>
        <w:rPr>
          <w:rFonts w:hint="cs"/>
          <w:b/>
          <w:bCs/>
          <w:color w:val="000000"/>
          <w:sz w:val="32"/>
          <w:rtl/>
          <w:lang w:bidi="ar-EG"/>
        </w:rPr>
      </w:pPr>
      <w:r w:rsidRPr="00315653">
        <w:rPr>
          <w:rFonts w:hint="cs"/>
          <w:b/>
          <w:bCs/>
          <w:color w:val="000000"/>
          <w:sz w:val="32"/>
          <w:rtl/>
          <w:lang w:bidi="ar-EG"/>
        </w:rPr>
        <w:t>كلمة تمهيدية</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1- الدائن العادي له ضمان عام على جميع أموال المدين</w:t>
      </w:r>
      <w:r>
        <w:rPr>
          <w:rFonts w:hint="cs"/>
          <w:color w:val="000000"/>
          <w:rtl/>
          <w:lang w:bidi="ar-EG"/>
        </w:rPr>
        <w:t xml:space="preserve"> :</w:t>
      </w:r>
      <w:r w:rsidRPr="00315653">
        <w:rPr>
          <w:rFonts w:hint="cs"/>
          <w:color w:val="000000"/>
          <w:rtl/>
          <w:lang w:bidi="ar-EG"/>
        </w:rPr>
        <w:t xml:space="preserve"> رأينا في الجزء الثاني من الوسيط </w:t>
      </w:r>
      <w:r>
        <w:rPr>
          <w:rFonts w:hint="cs"/>
          <w:color w:val="000000"/>
          <w:rtl/>
          <w:lang w:bidi="ar-EG"/>
        </w:rPr>
        <w:t xml:space="preserve">( </w:t>
      </w:r>
      <w:r w:rsidRPr="00315653">
        <w:rPr>
          <w:rFonts w:hint="cs"/>
          <w:color w:val="000000"/>
          <w:rtl/>
          <w:lang w:bidi="ar-EG"/>
        </w:rPr>
        <w:t>فقرة 524</w:t>
      </w:r>
      <w:r>
        <w:rPr>
          <w:rFonts w:hint="cs"/>
          <w:color w:val="000000"/>
          <w:rtl/>
          <w:lang w:bidi="ar-EG"/>
        </w:rPr>
        <w:t xml:space="preserve"> )</w:t>
      </w:r>
      <w:r w:rsidRPr="00315653">
        <w:rPr>
          <w:rFonts w:hint="cs"/>
          <w:color w:val="000000"/>
          <w:rtl/>
          <w:lang w:bidi="ar-EG"/>
        </w:rPr>
        <w:t xml:space="preserve"> أن الفقرة الأولى من المادة 234 مدني تنص على أن "أموال المدين جميعها ضامنة للوفاء بديونه" فأموال الدين إذن هي الضمان العام </w:t>
      </w:r>
      <w:r>
        <w:rPr>
          <w:color w:val="000000"/>
          <w:rtl/>
          <w:lang w:bidi="ar-EG"/>
        </w:rPr>
        <w:t xml:space="preserve">( </w:t>
      </w:r>
      <w:r w:rsidRPr="00315653">
        <w:rPr>
          <w:color w:val="000000"/>
          <w:lang w:bidi="ar-EG"/>
        </w:rPr>
        <w:t>gage commun</w:t>
      </w:r>
      <w:r>
        <w:rPr>
          <w:color w:val="000000"/>
          <w:rtl/>
          <w:lang w:bidi="ar-EG"/>
        </w:rPr>
        <w:t xml:space="preserve"> )</w:t>
      </w:r>
      <w:r w:rsidRPr="00315653">
        <w:rPr>
          <w:rFonts w:hint="cs"/>
          <w:color w:val="000000"/>
          <w:rtl/>
        </w:rPr>
        <w:t xml:space="preserve"> للدائنين</w:t>
      </w:r>
      <w:r>
        <w:rPr>
          <w:rFonts w:hint="cs"/>
          <w:color w:val="000000"/>
          <w:rtl/>
        </w:rPr>
        <w:t xml:space="preserve"> .</w:t>
      </w:r>
      <w:r w:rsidRPr="00315653">
        <w:rPr>
          <w:rFonts w:hint="cs"/>
          <w:color w:val="000000"/>
          <w:rtl/>
        </w:rPr>
        <w:t xml:space="preserve"> ولكن الدائنين يكونون في هذا الضمان العام</w:t>
      </w:r>
      <w:r>
        <w:rPr>
          <w:rFonts w:hint="cs"/>
          <w:color w:val="000000"/>
          <w:rtl/>
        </w:rPr>
        <w:t xml:space="preserve"> ،</w:t>
      </w:r>
      <w:r w:rsidRPr="00315653">
        <w:rPr>
          <w:rFonts w:hint="cs"/>
          <w:color w:val="000000"/>
          <w:rtl/>
        </w:rPr>
        <w:t xml:space="preserve"> من الناحية القانونية</w:t>
      </w:r>
      <w:r>
        <w:rPr>
          <w:rFonts w:hint="cs"/>
          <w:color w:val="000000"/>
          <w:rtl/>
        </w:rPr>
        <w:t xml:space="preserve"> ،</w:t>
      </w:r>
      <w:r w:rsidRPr="00315653">
        <w:rPr>
          <w:rFonts w:hint="cs"/>
          <w:color w:val="000000"/>
          <w:rtl/>
        </w:rPr>
        <w:t xml:space="preserve"> على قدم المساواة</w:t>
      </w:r>
      <w:r>
        <w:rPr>
          <w:rFonts w:hint="cs"/>
          <w:color w:val="000000"/>
          <w:rtl/>
        </w:rPr>
        <w:t xml:space="preserve"> .</w:t>
      </w:r>
      <w:r w:rsidRPr="00315653">
        <w:rPr>
          <w:rFonts w:hint="cs"/>
          <w:color w:val="000000"/>
          <w:rtl/>
        </w:rPr>
        <w:t xml:space="preserve"> فإذا اتسع لهم جميعاً أموال المدين</w:t>
      </w:r>
      <w:r>
        <w:rPr>
          <w:rFonts w:hint="cs"/>
          <w:color w:val="000000"/>
          <w:rtl/>
        </w:rPr>
        <w:t xml:space="preserve"> ،</w:t>
      </w:r>
      <w:r w:rsidRPr="00315653">
        <w:rPr>
          <w:rFonts w:hint="cs"/>
          <w:color w:val="000000"/>
          <w:rtl/>
        </w:rPr>
        <w:t xml:space="preserve"> استوفوا حقوقهم كاملة</w:t>
      </w:r>
      <w:r>
        <w:rPr>
          <w:rFonts w:hint="cs"/>
          <w:color w:val="000000"/>
          <w:rtl/>
        </w:rPr>
        <w:t xml:space="preserve"> .</w:t>
      </w:r>
      <w:r w:rsidRPr="00315653">
        <w:rPr>
          <w:rFonts w:hint="cs"/>
          <w:color w:val="000000"/>
          <w:rtl/>
        </w:rPr>
        <w:t xml:space="preserve"> أما إذا لم تتسع لهم أموال المدين</w:t>
      </w:r>
      <w:r>
        <w:rPr>
          <w:rFonts w:hint="cs"/>
          <w:color w:val="000000"/>
          <w:rtl/>
        </w:rPr>
        <w:t xml:space="preserve"> ،</w:t>
      </w:r>
      <w:r w:rsidRPr="00315653">
        <w:rPr>
          <w:rFonts w:hint="cs"/>
          <w:color w:val="000000"/>
          <w:rtl/>
        </w:rPr>
        <w:t xml:space="preserve"> واتخذوا جميعاً إجراءات التنفيذ على هذه الأموال</w:t>
      </w:r>
      <w:r>
        <w:rPr>
          <w:rFonts w:hint="cs"/>
          <w:color w:val="000000"/>
          <w:rtl/>
        </w:rPr>
        <w:t xml:space="preserve"> ،</w:t>
      </w:r>
      <w:r w:rsidRPr="00315653">
        <w:rPr>
          <w:rFonts w:hint="cs"/>
          <w:color w:val="000000"/>
          <w:rtl/>
        </w:rPr>
        <w:t xml:space="preserve"> فإنهم يتقاسمونها كل بنسبة حقه</w:t>
      </w:r>
      <w:r>
        <w:rPr>
          <w:rFonts w:hint="cs"/>
          <w:color w:val="000000"/>
          <w:rtl/>
        </w:rPr>
        <w:t xml:space="preserve"> ،</w:t>
      </w:r>
      <w:r w:rsidRPr="00315653">
        <w:rPr>
          <w:rFonts w:hint="cs"/>
          <w:color w:val="000000"/>
          <w:rtl/>
        </w:rPr>
        <w:t xml:space="preserve"> فلا يحصل كل منهم إلا على جزء من هذا الحق</w:t>
      </w:r>
      <w:r>
        <w:rPr>
          <w:rFonts w:hint="cs"/>
          <w:color w:val="000000"/>
          <w:rtl/>
        </w:rPr>
        <w:t xml:space="preserve"> .</w:t>
      </w:r>
      <w:r w:rsidRPr="00315653">
        <w:rPr>
          <w:rFonts w:hint="cs"/>
          <w:color w:val="000000"/>
          <w:rtl/>
        </w:rPr>
        <w:t xml:space="preserve"> وهذا</w:t>
      </w:r>
      <w:r>
        <w:rPr>
          <w:rFonts w:hint="cs"/>
          <w:color w:val="000000"/>
          <w:rtl/>
        </w:rPr>
        <w:t xml:space="preserve"> ،</w:t>
      </w:r>
      <w:r w:rsidRPr="00315653">
        <w:rPr>
          <w:rFonts w:hint="cs"/>
          <w:color w:val="000000"/>
          <w:rtl/>
        </w:rPr>
        <w:t xml:space="preserve"> كما قدمنا</w:t>
      </w:r>
      <w:r>
        <w:rPr>
          <w:rFonts w:hint="cs"/>
          <w:color w:val="000000"/>
          <w:rtl/>
        </w:rPr>
        <w:t xml:space="preserve"> ،</w:t>
      </w:r>
      <w:r w:rsidRPr="00315653">
        <w:rPr>
          <w:rFonts w:hint="cs"/>
          <w:color w:val="000000"/>
          <w:rtl/>
        </w:rPr>
        <w:t xml:space="preserve"> إذا استطاع الجميع أن يتخذوا إجراءات التنفيذ في الوقت المناسب</w:t>
      </w:r>
      <w:r>
        <w:rPr>
          <w:rFonts w:hint="cs"/>
          <w:color w:val="000000"/>
          <w:rtl/>
        </w:rPr>
        <w:t xml:space="preserve"> .</w:t>
      </w:r>
      <w:r w:rsidRPr="00315653">
        <w:rPr>
          <w:rFonts w:hint="cs"/>
          <w:color w:val="000000"/>
          <w:rtl/>
        </w:rPr>
        <w:t xml:space="preserve"> أما إذا تخلف بعضهم لسبب أو لآخر</w:t>
      </w:r>
      <w:r>
        <w:rPr>
          <w:rFonts w:hint="cs"/>
          <w:color w:val="000000"/>
          <w:rtl/>
        </w:rPr>
        <w:t xml:space="preserve"> ،</w:t>
      </w:r>
      <w:r w:rsidRPr="00315653">
        <w:rPr>
          <w:rFonts w:hint="cs"/>
          <w:color w:val="000000"/>
          <w:rtl/>
        </w:rPr>
        <w:t xml:space="preserve"> وتقدم الباقون</w:t>
      </w:r>
      <w:r>
        <w:rPr>
          <w:rFonts w:hint="cs"/>
          <w:color w:val="000000"/>
          <w:rtl/>
        </w:rPr>
        <w:t xml:space="preserve"> ،</w:t>
      </w:r>
      <w:r w:rsidRPr="00315653">
        <w:rPr>
          <w:rFonts w:hint="cs"/>
          <w:color w:val="000000"/>
          <w:rtl/>
        </w:rPr>
        <w:t xml:space="preserve"> فهؤلاء الأخيرون هم الذين يتقاسمون أموال المدين</w:t>
      </w:r>
      <w:r>
        <w:rPr>
          <w:rFonts w:hint="cs"/>
          <w:color w:val="000000"/>
          <w:rtl/>
        </w:rPr>
        <w:t xml:space="preserve"> ،</w:t>
      </w:r>
      <w:r w:rsidRPr="00315653">
        <w:rPr>
          <w:rFonts w:hint="cs"/>
          <w:color w:val="000000"/>
          <w:rtl/>
        </w:rPr>
        <w:t xml:space="preserve"> فيحصلون على كل حقوقهم أو على بعضها</w:t>
      </w:r>
      <w:r>
        <w:rPr>
          <w:rFonts w:hint="cs"/>
          <w:color w:val="000000"/>
          <w:rtl/>
        </w:rPr>
        <w:t xml:space="preserve"> .</w:t>
      </w:r>
      <w:r w:rsidRPr="00315653">
        <w:rPr>
          <w:rFonts w:hint="cs"/>
          <w:color w:val="000000"/>
          <w:rtl/>
        </w:rPr>
        <w:t xml:space="preserve"> ولا يبقى للمتخلف مننهم مال يذكر ينفذ عليه بحقه</w:t>
      </w:r>
      <w:r>
        <w:rPr>
          <w:rFonts w:hint="cs"/>
          <w:color w:val="000000"/>
          <w:rtl/>
        </w:rPr>
        <w:t xml:space="preserve"> ،</w:t>
      </w:r>
      <w:r w:rsidRPr="00315653">
        <w:rPr>
          <w:rFonts w:hint="cs"/>
          <w:color w:val="000000"/>
          <w:rtl/>
        </w:rPr>
        <w:t xml:space="preserve"> فيضيع عليه هذا الحق</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وللدائن</w:t>
      </w:r>
      <w:r>
        <w:rPr>
          <w:rFonts w:hint="cs"/>
          <w:color w:val="000000"/>
          <w:rtl/>
        </w:rPr>
        <w:t xml:space="preserve"> ،</w:t>
      </w:r>
      <w:r w:rsidRPr="00315653">
        <w:rPr>
          <w:rFonts w:hint="cs"/>
          <w:color w:val="000000"/>
          <w:rtl/>
        </w:rPr>
        <w:t xml:space="preserve"> بما له من ضمان عام على أموال المدين أن يتخذ طرقاً تحفظياً وطرقاً تنفيذية وطرقاً هي وسط ما بين الطرق التحفظية والطرق التنفيذية</w:t>
      </w:r>
      <w:r>
        <w:rPr>
          <w:rFonts w:hint="cs"/>
          <w:color w:val="000000"/>
          <w:rtl/>
        </w:rPr>
        <w:t xml:space="preserve"> .</w:t>
      </w:r>
      <w:r w:rsidRPr="00315653">
        <w:rPr>
          <w:rFonts w:hint="cs"/>
          <w:color w:val="000000"/>
          <w:rtl/>
        </w:rPr>
        <w:t xml:space="preserve"> والطرق التحفظية إما طرق يتخذها الدائن في حقه هو كما إذا قطع التقادم بالنسبة إلى هذا الحق أو قام بقيد رهن ضامن له أو طلب تحقيق إمضاء مدينة على سند الدين</w:t>
      </w:r>
      <w:r>
        <w:rPr>
          <w:rFonts w:hint="cs"/>
          <w:color w:val="000000"/>
          <w:rtl/>
        </w:rPr>
        <w:t xml:space="preserve"> ،</w:t>
      </w:r>
      <w:r w:rsidRPr="00315653">
        <w:rPr>
          <w:rFonts w:hint="cs"/>
          <w:color w:val="000000"/>
          <w:rtl/>
        </w:rPr>
        <w:t xml:space="preserve"> أو طرق يتخذها بالنسبة إلى أموال المدين كأن يضع الأختام عليها أو يحرر محضر جرد بها أو يتدخل في إجراءات قسمة المال الشائع المملوك لمدينه</w:t>
      </w:r>
      <w:r>
        <w:rPr>
          <w:rFonts w:hint="cs"/>
          <w:color w:val="000000"/>
          <w:rtl/>
        </w:rPr>
        <w:t xml:space="preserve"> .</w:t>
      </w:r>
      <w:r w:rsidRPr="00315653">
        <w:rPr>
          <w:rFonts w:hint="cs"/>
          <w:color w:val="000000"/>
          <w:rtl/>
        </w:rPr>
        <w:t xml:space="preserve"> والطرق التنفيذية تكفل بيانها تقين المرافعات</w:t>
      </w:r>
      <w:r>
        <w:rPr>
          <w:rFonts w:hint="cs"/>
          <w:color w:val="000000"/>
          <w:rtl/>
        </w:rPr>
        <w:t xml:space="preserve"> ،</w:t>
      </w:r>
      <w:r w:rsidRPr="00315653">
        <w:rPr>
          <w:rFonts w:hint="cs"/>
          <w:color w:val="000000"/>
          <w:rtl/>
        </w:rPr>
        <w:t xml:space="preserve"> ويسبق التنفيذ حصول $4 الدائن على سند تنفيذي </w:t>
      </w:r>
      <w:r>
        <w:rPr>
          <w:color w:val="000000"/>
          <w:rtl/>
        </w:rPr>
        <w:t xml:space="preserve">( </w:t>
      </w:r>
      <w:r w:rsidRPr="00315653">
        <w:rPr>
          <w:color w:val="000000"/>
        </w:rPr>
        <w:t>titre exeeutoire</w:t>
      </w:r>
      <w:r>
        <w:rPr>
          <w:color w:val="000000"/>
          <w:rtl/>
        </w:rPr>
        <w:t xml:space="preserve"> )</w:t>
      </w:r>
      <w:r w:rsidRPr="00315653">
        <w:rPr>
          <w:rFonts w:hint="cs"/>
          <w:color w:val="000000"/>
          <w:rtl/>
        </w:rPr>
        <w:t xml:space="preserve"> كحكم أو ورقة رسمية</w:t>
      </w:r>
      <w:r>
        <w:rPr>
          <w:rFonts w:hint="cs"/>
          <w:color w:val="000000"/>
          <w:rtl/>
        </w:rPr>
        <w:t xml:space="preserve"> ،</w:t>
      </w:r>
      <w:r w:rsidRPr="00315653">
        <w:rPr>
          <w:rFonts w:hint="cs"/>
          <w:color w:val="000000"/>
          <w:rtl/>
        </w:rPr>
        <w:t xml:space="preserve"> ويكون التنفيذ عادة بالحجز على أموا المدين وبيعها وتوزعي ما ينتج من ذلك عن طرق التقسيم بالمحاصة </w:t>
      </w:r>
      <w:r>
        <w:rPr>
          <w:color w:val="000000"/>
          <w:rtl/>
        </w:rPr>
        <w:t xml:space="preserve">( </w:t>
      </w:r>
      <w:r w:rsidRPr="00315653">
        <w:rPr>
          <w:color w:val="000000"/>
        </w:rPr>
        <w:t>distribution par conlribution</w:t>
      </w:r>
      <w:r>
        <w:rPr>
          <w:color w:val="000000"/>
          <w:rtl/>
        </w:rPr>
        <w:t xml:space="preserve"> )</w:t>
      </w:r>
      <w:r>
        <w:rPr>
          <w:rFonts w:hint="cs"/>
          <w:color w:val="000000"/>
          <w:rtl/>
        </w:rPr>
        <w:t xml:space="preserve"> ،</w:t>
      </w:r>
      <w:r w:rsidRPr="00315653">
        <w:rPr>
          <w:rFonts w:hint="cs"/>
          <w:color w:val="000000"/>
          <w:rtl/>
        </w:rPr>
        <w:t xml:space="preserve"> كل دائن بنسبة حقه كما سبق القول</w:t>
      </w:r>
      <w:r>
        <w:rPr>
          <w:rFonts w:hint="cs"/>
          <w:color w:val="000000"/>
          <w:vertAlign w:val="superscript"/>
          <w:rtl/>
          <w:lang w:bidi="ar-EG"/>
        </w:rPr>
        <w:t xml:space="preserve">( </w:t>
      </w:r>
      <w:r w:rsidRPr="00315653">
        <w:rPr>
          <w:rStyle w:val="ab"/>
          <w:color w:val="000000"/>
          <w:rtl/>
          <w:lang w:bidi="ar-EG"/>
        </w:rPr>
        <w:footnoteReference w:id="1"/>
      </w:r>
      <w:r>
        <w:rPr>
          <w:rFonts w:hint="cs"/>
          <w:color w:val="000000"/>
          <w:vertAlign w:val="superscript"/>
          <w:rtl/>
          <w:lang w:bidi="ar-EG"/>
        </w:rPr>
        <w:t xml:space="preserve"> )</w:t>
      </w:r>
      <w:r>
        <w:rPr>
          <w:rFonts w:hint="cs"/>
          <w:color w:val="000000"/>
          <w:rtl/>
        </w:rPr>
        <w:t xml:space="preserve"> .</w:t>
      </w:r>
      <w:r w:rsidRPr="00315653">
        <w:rPr>
          <w:rFonts w:hint="cs"/>
          <w:color w:val="000000"/>
          <w:vertAlign w:val="superscript"/>
          <w:rtl/>
        </w:rPr>
        <w:t xml:space="preserve"> </w:t>
      </w:r>
      <w:r w:rsidRPr="00315653">
        <w:rPr>
          <w:rFonts w:hint="cs"/>
          <w:color w:val="000000"/>
          <w:rtl/>
        </w:rPr>
        <w:t>والطرق الوسطى ما بين التحفظية والتنفيذية ترد جميعها إلى المبدأ العام الذي تقدم ذكره</w:t>
      </w:r>
      <w:r>
        <w:rPr>
          <w:rFonts w:hint="cs"/>
          <w:color w:val="000000"/>
          <w:rtl/>
        </w:rPr>
        <w:t xml:space="preserve"> ،</w:t>
      </w:r>
      <w:r w:rsidRPr="00315653">
        <w:rPr>
          <w:rFonts w:hint="cs"/>
          <w:color w:val="000000"/>
          <w:rtl/>
        </w:rPr>
        <w:t xml:space="preserve"> وهو أن جميع أموال المدين ضامنة لالتزاماته</w:t>
      </w:r>
      <w:r>
        <w:rPr>
          <w:rFonts w:hint="cs"/>
          <w:color w:val="000000"/>
          <w:rtl/>
        </w:rPr>
        <w:t xml:space="preserve"> ،</w:t>
      </w:r>
      <w:r w:rsidRPr="00315653">
        <w:rPr>
          <w:rFonts w:hint="cs"/>
          <w:color w:val="000000"/>
          <w:rtl/>
        </w:rPr>
        <w:t xml:space="preserve"> وقد عدد التقنين المدني منها خمسة</w:t>
      </w:r>
      <w:r>
        <w:rPr>
          <w:rFonts w:hint="cs"/>
          <w:color w:val="000000"/>
          <w:rtl/>
        </w:rPr>
        <w:t xml:space="preserve"> .</w:t>
      </w:r>
      <w:r w:rsidRPr="00315653">
        <w:rPr>
          <w:rFonts w:hint="cs"/>
          <w:color w:val="000000"/>
          <w:rtl/>
        </w:rPr>
        <w:t xml:space="preserve"> الطرق الأول هو الدعوى غير المباشرة</w:t>
      </w:r>
      <w:r>
        <w:rPr>
          <w:rFonts w:hint="cs"/>
          <w:color w:val="000000"/>
          <w:rtl/>
        </w:rPr>
        <w:t xml:space="preserve"> ،</w:t>
      </w:r>
      <w:r w:rsidRPr="00315653">
        <w:rPr>
          <w:rFonts w:hint="cs"/>
          <w:color w:val="000000"/>
          <w:rtl/>
        </w:rPr>
        <w:t xml:space="preserve"> يدفع بها الدائن عن نفسه تهاون المدين أو غشه إذا سكت هذا عن المطالبة بحقوقه لدى الغير</w:t>
      </w:r>
      <w:r>
        <w:rPr>
          <w:rFonts w:hint="cs"/>
          <w:color w:val="000000"/>
          <w:rtl/>
        </w:rPr>
        <w:t xml:space="preserve"> ،</w:t>
      </w:r>
      <w:r w:rsidRPr="00315653">
        <w:rPr>
          <w:rFonts w:hint="cs"/>
          <w:color w:val="000000"/>
          <w:rtl/>
        </w:rPr>
        <w:t xml:space="preserve"> فيباشر الدائن بنفسه حقوق مدينة نيابة عنه</w:t>
      </w:r>
      <w:r>
        <w:rPr>
          <w:rFonts w:hint="cs"/>
          <w:color w:val="000000"/>
          <w:rtl/>
        </w:rPr>
        <w:t xml:space="preserve"> ،</w:t>
      </w:r>
      <w:r w:rsidRPr="00315653">
        <w:rPr>
          <w:rFonts w:hint="cs"/>
          <w:color w:val="000000"/>
          <w:rtl/>
        </w:rPr>
        <w:t xml:space="preserve"> وبذل يحافظ على ضمانه العام تمهيداً للتنفيذ بحقه بعد ذلك</w:t>
      </w:r>
      <w:r>
        <w:rPr>
          <w:rFonts w:hint="cs"/>
          <w:color w:val="000000"/>
          <w:rtl/>
        </w:rPr>
        <w:t xml:space="preserve"> .</w:t>
      </w:r>
      <w:r w:rsidRPr="00315653">
        <w:rPr>
          <w:rFonts w:hint="cs"/>
          <w:color w:val="000000"/>
          <w:rtl/>
        </w:rPr>
        <w:t xml:space="preserve"> والطريق الثاني هو الدعوى البولصية</w:t>
      </w:r>
      <w:r>
        <w:rPr>
          <w:rFonts w:hint="cs"/>
          <w:color w:val="000000"/>
          <w:rtl/>
        </w:rPr>
        <w:t xml:space="preserve"> ،</w:t>
      </w:r>
      <w:r w:rsidRPr="00315653">
        <w:rPr>
          <w:rFonts w:hint="cs"/>
          <w:color w:val="000000"/>
          <w:rtl/>
        </w:rPr>
        <w:t xml:space="preserve"> يدفع الدائن بها عن نفسه غش المدين إذا عمد هذا إلى التصرف في ماله إضراراً بحق الدائن</w:t>
      </w:r>
      <w:r>
        <w:rPr>
          <w:rFonts w:hint="cs"/>
          <w:color w:val="000000"/>
          <w:rtl/>
        </w:rPr>
        <w:t xml:space="preserve"> ،</w:t>
      </w:r>
      <w:r w:rsidRPr="00315653">
        <w:rPr>
          <w:rFonts w:hint="cs"/>
          <w:color w:val="000000"/>
          <w:rtl/>
        </w:rPr>
        <w:t xml:space="preserve"> فيطعن الدائن في هذا التصرف ويعود المال إلى الضمان العام تمهيداً للتنفيذ عليه</w:t>
      </w:r>
      <w:r>
        <w:rPr>
          <w:rFonts w:hint="cs"/>
          <w:color w:val="000000"/>
          <w:rtl/>
        </w:rPr>
        <w:t xml:space="preserve"> .</w:t>
      </w:r>
      <w:r w:rsidRPr="00315653">
        <w:rPr>
          <w:rFonts w:hint="cs"/>
          <w:color w:val="000000"/>
          <w:rtl/>
        </w:rPr>
        <w:t xml:space="preserve"> والطريق الثالث هو دعوى الصورية</w:t>
      </w:r>
      <w:r>
        <w:rPr>
          <w:rFonts w:hint="cs"/>
          <w:color w:val="000000"/>
          <w:rtl/>
        </w:rPr>
        <w:t xml:space="preserve"> ،</w:t>
      </w:r>
      <w:r w:rsidRPr="00315653">
        <w:rPr>
          <w:rFonts w:hint="cs"/>
          <w:color w:val="000000"/>
          <w:rtl/>
        </w:rPr>
        <w:t xml:space="preserve"> يدفع الدائن بها عن نفسه غش المدين أيضاً إذا عمد هذا إلى التظاهر بالتصرف في ماله تصرفاً صورياً</w:t>
      </w:r>
      <w:r>
        <w:rPr>
          <w:rFonts w:hint="cs"/>
          <w:color w:val="000000"/>
          <w:rtl/>
        </w:rPr>
        <w:t xml:space="preserve"> ،</w:t>
      </w:r>
      <w:r w:rsidRPr="00315653">
        <w:rPr>
          <w:rFonts w:hint="cs"/>
          <w:color w:val="000000"/>
          <w:rtl/>
        </w:rPr>
        <w:t xml:space="preserve"> فيطعن الدائن في هذا التصرف ويستبقي بذلك مال المدين في ضمانه العام تمهيداً للتنفيذ عليه</w:t>
      </w:r>
      <w:r>
        <w:rPr>
          <w:rFonts w:hint="cs"/>
          <w:color w:val="000000"/>
          <w:rtl/>
        </w:rPr>
        <w:t xml:space="preserve"> .</w:t>
      </w:r>
      <w:r w:rsidRPr="00315653">
        <w:rPr>
          <w:rFonts w:hint="cs"/>
          <w:color w:val="000000"/>
          <w:rtl/>
        </w:rPr>
        <w:t xml:space="preserve"> والطريق الرابع هو الحق في الحبس</w:t>
      </w:r>
      <w:r>
        <w:rPr>
          <w:rFonts w:hint="cs"/>
          <w:color w:val="000000"/>
          <w:rtl/>
        </w:rPr>
        <w:t xml:space="preserve"> ،</w:t>
      </w:r>
      <w:r w:rsidRPr="00315653">
        <w:rPr>
          <w:rFonts w:hint="cs"/>
          <w:color w:val="000000"/>
          <w:rtl/>
        </w:rPr>
        <w:t xml:space="preserve"> يحبس به الدائن مالا في يده للمدين حتى يستوفي حقاً له مرتبطاً بهذا المال</w:t>
      </w:r>
      <w:r>
        <w:rPr>
          <w:rFonts w:hint="cs"/>
          <w:color w:val="000000"/>
          <w:rtl/>
        </w:rPr>
        <w:t xml:space="preserve"> ،</w:t>
      </w:r>
      <w:r w:rsidRPr="00315653">
        <w:rPr>
          <w:rFonts w:hint="cs"/>
          <w:color w:val="000000"/>
          <w:rtl/>
        </w:rPr>
        <w:t xml:space="preserve"> فهو أقوى من إجراء تحفظي لأن الدائن يتخذه تمهيداً للتنفيذ بحقه</w:t>
      </w:r>
      <w:r>
        <w:rPr>
          <w:rFonts w:hint="cs"/>
          <w:color w:val="000000"/>
          <w:rtl/>
        </w:rPr>
        <w:t xml:space="preserve"> ،</w:t>
      </w:r>
      <w:r w:rsidRPr="00315653">
        <w:rPr>
          <w:rFonts w:hint="cs"/>
          <w:color w:val="000000"/>
          <w:rtl/>
        </w:rPr>
        <w:t xml:space="preserve"> وأضعف من إجراء تنفيذ لان الدائن لا يستوفي منه بمجرد حبسه مال المدين بل يجب عليه التنفيذ على هذا المال</w:t>
      </w:r>
      <w:r>
        <w:rPr>
          <w:rFonts w:hint="cs"/>
          <w:color w:val="000000"/>
          <w:rtl/>
        </w:rPr>
        <w:t xml:space="preserve"> .</w:t>
      </w:r>
      <w:r w:rsidRPr="00315653">
        <w:rPr>
          <w:rFonts w:hint="cs"/>
          <w:color w:val="000000"/>
          <w:rtl/>
        </w:rPr>
        <w:t xml:space="preserve"> والطريق الخامس هو شهر إعسار المدين</w:t>
      </w:r>
      <w:r>
        <w:rPr>
          <w:rFonts w:hint="cs"/>
          <w:color w:val="000000"/>
          <w:rtl/>
        </w:rPr>
        <w:t xml:space="preserve"> ،</w:t>
      </w:r>
      <w:r w:rsidRPr="00315653">
        <w:rPr>
          <w:rFonts w:hint="cs"/>
          <w:color w:val="000000"/>
          <w:rtl/>
        </w:rPr>
        <w:t xml:space="preserve"> وإجراءات الإعسار هي أيضاً تقوم على فكرة لاضمان العام للدائنين</w:t>
      </w:r>
      <w:r>
        <w:rPr>
          <w:rFonts w:hint="cs"/>
          <w:color w:val="000000"/>
          <w:rtl/>
        </w:rPr>
        <w:t xml:space="preserve"> ،</w:t>
      </w:r>
      <w:r w:rsidRPr="00315653">
        <w:rPr>
          <w:rFonts w:hint="cs"/>
          <w:color w:val="000000"/>
          <w:rtl/>
        </w:rPr>
        <w:t xml:space="preserve"> وهي أقوى من الإجراءات التحفظية إذ تغل يد المدين عن التصرف في ماله</w:t>
      </w:r>
      <w:r>
        <w:rPr>
          <w:rFonts w:hint="cs"/>
          <w:color w:val="000000"/>
          <w:rtl/>
        </w:rPr>
        <w:t xml:space="preserve"> ،</w:t>
      </w:r>
      <w:r w:rsidRPr="00315653">
        <w:rPr>
          <w:rFonts w:hint="cs"/>
          <w:color w:val="000000"/>
          <w:rtl/>
        </w:rPr>
        <w:t xml:space="preserve"> وأضعف من الإجراءات التنفيذية إذ لا تكفي وحدها للوفاء بحق الدائن بل يجب على الدائن اتخاذ إجراءات تنفيذية لاستيفاء حقه من أموال المدين الذي شهر إعساره</w:t>
      </w:r>
      <w:r>
        <w:rPr>
          <w:rFonts w:hint="cs"/>
          <w:color w:val="000000"/>
          <w:vertAlign w:val="superscript"/>
          <w:rtl/>
          <w:lang w:bidi="ar-EG"/>
        </w:rPr>
        <w:t xml:space="preserve">( </w:t>
      </w:r>
      <w:r w:rsidRPr="00315653">
        <w:rPr>
          <w:rStyle w:val="ab"/>
          <w:color w:val="000000"/>
          <w:rtl/>
          <w:lang w:bidi="ar-EG"/>
        </w:rPr>
        <w:footnoteReference w:id="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2- الضمان العام للدائن لا يكفي</w:t>
      </w:r>
      <w:r>
        <w:rPr>
          <w:rFonts w:hint="cs"/>
          <w:color w:val="000000"/>
          <w:rtl/>
        </w:rPr>
        <w:t xml:space="preserve"> :</w:t>
      </w:r>
      <w:r w:rsidRPr="00315653">
        <w:rPr>
          <w:rFonts w:hint="cs"/>
          <w:color w:val="000000"/>
          <w:rtl/>
        </w:rPr>
        <w:t xml:space="preserve"> على أنه إذا كانت جميع أموال المدين $5 ضماناً عاما للدائن</w:t>
      </w:r>
      <w:r>
        <w:rPr>
          <w:rFonts w:hint="cs"/>
          <w:color w:val="000000"/>
          <w:rtl/>
        </w:rPr>
        <w:t xml:space="preserve"> ،</w:t>
      </w:r>
      <w:r w:rsidRPr="00315653">
        <w:rPr>
          <w:rFonts w:hint="cs"/>
          <w:color w:val="000000"/>
          <w:rtl/>
        </w:rPr>
        <w:t xml:space="preserve"> وكان هذا منطقياً من الناحية القانونية</w:t>
      </w:r>
      <w:r>
        <w:rPr>
          <w:rFonts w:hint="cs"/>
          <w:color w:val="000000"/>
          <w:rtl/>
        </w:rPr>
        <w:t xml:space="preserve"> ،</w:t>
      </w:r>
      <w:r w:rsidRPr="00315653">
        <w:rPr>
          <w:rFonts w:hint="cs"/>
          <w:color w:val="000000"/>
          <w:rtl/>
        </w:rPr>
        <w:t xml:space="preserve"> فإنه لا يكفي من الناحية الفعلية</w:t>
      </w:r>
      <w:r>
        <w:rPr>
          <w:rFonts w:hint="cs"/>
          <w:color w:val="000000"/>
          <w:rtl/>
        </w:rPr>
        <w:t xml:space="preserve"> .</w:t>
      </w:r>
      <w:r w:rsidRPr="00315653">
        <w:rPr>
          <w:rFonts w:hint="cs"/>
          <w:color w:val="000000"/>
          <w:rtl/>
        </w:rPr>
        <w:t xml:space="preserve"> فقد رأينا أن أموال المدين قد لا تقضي ديونه</w:t>
      </w:r>
      <w:r>
        <w:rPr>
          <w:rFonts w:hint="cs"/>
          <w:color w:val="000000"/>
          <w:rtl/>
        </w:rPr>
        <w:t xml:space="preserve"> ،</w:t>
      </w:r>
      <w:r w:rsidRPr="00315653">
        <w:rPr>
          <w:rFonts w:hint="cs"/>
          <w:color w:val="000000"/>
          <w:rtl/>
        </w:rPr>
        <w:t xml:space="preserve"> فيضطر الدائن إلى الاقتصار على استيفاء جزء من حقه</w:t>
      </w:r>
      <w:r>
        <w:rPr>
          <w:rFonts w:hint="cs"/>
          <w:color w:val="000000"/>
          <w:rtl/>
        </w:rPr>
        <w:t xml:space="preserve"> .</w:t>
      </w:r>
      <w:r w:rsidRPr="00315653">
        <w:rPr>
          <w:rFonts w:hint="cs"/>
          <w:color w:val="000000"/>
          <w:rtl/>
        </w:rPr>
        <w:t xml:space="preserve"> بل قد يضيع عليه حقه إذا تخلف لسبب أو لآخر عن المشاركة في التنفيذ على أموال </w:t>
      </w:r>
      <w:r w:rsidRPr="00315653">
        <w:rPr>
          <w:rFonts w:hint="cs"/>
          <w:color w:val="000000"/>
          <w:rtl/>
        </w:rPr>
        <w:lastRenderedPageBreak/>
        <w:t>المدين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ثم أن الدين قد يتهاون في تقاضي حقوقه من مدينيه</w:t>
      </w:r>
      <w:r>
        <w:rPr>
          <w:rFonts w:hint="cs"/>
          <w:color w:val="000000"/>
          <w:rtl/>
        </w:rPr>
        <w:t xml:space="preserve"> ،</w:t>
      </w:r>
      <w:r w:rsidRPr="00315653">
        <w:rPr>
          <w:rFonts w:hint="cs"/>
          <w:color w:val="000000"/>
          <w:rtl/>
        </w:rPr>
        <w:t xml:space="preserve"> إما إهمالا أو غشا</w:t>
      </w:r>
      <w:r>
        <w:rPr>
          <w:rFonts w:hint="cs"/>
          <w:color w:val="000000"/>
          <w:rtl/>
        </w:rPr>
        <w:t xml:space="preserve"> ،</w:t>
      </w:r>
      <w:r w:rsidRPr="00315653">
        <w:rPr>
          <w:rFonts w:hint="cs"/>
          <w:color w:val="000000"/>
          <w:rtl/>
        </w:rPr>
        <w:t xml:space="preserve"> لأن ما يستوفيه من هذه الحقوق ينفذ عليه دائنوه</w:t>
      </w:r>
      <w:r>
        <w:rPr>
          <w:rFonts w:hint="cs"/>
          <w:color w:val="000000"/>
          <w:rtl/>
        </w:rPr>
        <w:t xml:space="preserve"> .</w:t>
      </w:r>
      <w:r w:rsidRPr="00315653">
        <w:rPr>
          <w:rFonts w:hint="cs"/>
          <w:color w:val="000000"/>
          <w:rtl/>
        </w:rPr>
        <w:t xml:space="preserve"> وإذا كانت الدعوى غير المباشرة   أعطاها القانون سلاحاً للدائن ضد هذا الإهمال أو الغش</w:t>
      </w:r>
      <w:r>
        <w:rPr>
          <w:rFonts w:hint="cs"/>
          <w:color w:val="000000"/>
          <w:rtl/>
        </w:rPr>
        <w:t xml:space="preserve"> ،</w:t>
      </w:r>
      <w:r w:rsidRPr="00315653">
        <w:rPr>
          <w:rFonts w:hint="cs"/>
          <w:color w:val="000000"/>
          <w:rtl/>
        </w:rPr>
        <w:t xml:space="preserve"> فهي سلاح غير كافٍ</w:t>
      </w:r>
      <w:r>
        <w:rPr>
          <w:rFonts w:hint="cs"/>
          <w:color w:val="000000"/>
          <w:rtl/>
        </w:rPr>
        <w:t xml:space="preserve"> .</w:t>
      </w:r>
      <w:r w:rsidRPr="00315653">
        <w:rPr>
          <w:rFonts w:hint="cs"/>
          <w:color w:val="000000"/>
          <w:rtl/>
        </w:rPr>
        <w:t xml:space="preserve"> إذ يجب على الدائن أن يستوفي شروطا معينة لاستعمال هذه الدعوى</w:t>
      </w:r>
      <w:r>
        <w:rPr>
          <w:rFonts w:hint="cs"/>
          <w:color w:val="000000"/>
          <w:rtl/>
        </w:rPr>
        <w:t xml:space="preserve"> ،</w:t>
      </w:r>
      <w:r w:rsidRPr="00315653">
        <w:rPr>
          <w:rFonts w:hint="cs"/>
          <w:color w:val="000000"/>
          <w:rtl/>
        </w:rPr>
        <w:t xml:space="preserve"> وما ينتج من الدعوى بعد ذلك يتساوى فيه جميع الدائنين ولا يستأثر به الدائن الذي باشر الدعوى</w:t>
      </w:r>
      <w:r>
        <w:rPr>
          <w:rFonts w:hint="cs"/>
          <w:color w:val="000000"/>
          <w:rtl/>
        </w:rPr>
        <w:t xml:space="preserve"> ،</w:t>
      </w:r>
      <w:r w:rsidRPr="00315653">
        <w:rPr>
          <w:rFonts w:hint="cs"/>
          <w:color w:val="000000"/>
          <w:rtl/>
        </w:rPr>
        <w:t xml:space="preserve"> وقد لا يحصل هذا إلا على جزء من حقه</w:t>
      </w:r>
      <w:r>
        <w:rPr>
          <w:rFonts w:hint="cs"/>
          <w:color w:val="000000"/>
          <w:rtl/>
        </w:rPr>
        <w:t xml:space="preserve"> .</w:t>
      </w:r>
      <w:r w:rsidRPr="00315653">
        <w:rPr>
          <w:rFonts w:hint="cs"/>
          <w:color w:val="000000"/>
          <w:rtl/>
        </w:rPr>
        <w:t xml:space="preserve"> وقد يتصرف المدين غشاً في ماله لإخراجه من ضمان دائنيه</w:t>
      </w:r>
      <w:r>
        <w:rPr>
          <w:rFonts w:hint="cs"/>
          <w:color w:val="000000"/>
          <w:rtl/>
        </w:rPr>
        <w:t xml:space="preserve"> ،</w:t>
      </w:r>
      <w:r w:rsidRPr="00315653">
        <w:rPr>
          <w:rFonts w:hint="cs"/>
          <w:color w:val="000000"/>
          <w:rtl/>
        </w:rPr>
        <w:t xml:space="preserve"> وإذا كانت الدعوى البولصية أعطاها القانون سلاحاً للدائن ضد هذا الغش</w:t>
      </w:r>
      <w:r>
        <w:rPr>
          <w:rFonts w:hint="cs"/>
          <w:color w:val="000000"/>
          <w:rtl/>
        </w:rPr>
        <w:t xml:space="preserve"> ،</w:t>
      </w:r>
      <w:r w:rsidRPr="00315653">
        <w:rPr>
          <w:rFonts w:hint="cs"/>
          <w:color w:val="000000"/>
          <w:rtl/>
        </w:rPr>
        <w:t xml:space="preserve"> فهي سلاح غير كافٍ</w:t>
      </w:r>
      <w:r>
        <w:rPr>
          <w:rFonts w:hint="cs"/>
          <w:color w:val="000000"/>
          <w:rtl/>
        </w:rPr>
        <w:t xml:space="preserve"> .</w:t>
      </w:r>
      <w:r w:rsidRPr="00315653">
        <w:rPr>
          <w:rFonts w:hint="cs"/>
          <w:color w:val="000000"/>
          <w:rtl/>
        </w:rPr>
        <w:t xml:space="preserve"> إذ يشترط فيها توافر شروط كثيرة</w:t>
      </w:r>
      <w:r>
        <w:rPr>
          <w:rFonts w:hint="cs"/>
          <w:color w:val="000000"/>
          <w:rtl/>
        </w:rPr>
        <w:t xml:space="preserve"> ،</w:t>
      </w:r>
      <w:r w:rsidRPr="00315653">
        <w:rPr>
          <w:rFonts w:hint="cs"/>
          <w:color w:val="000000"/>
          <w:rtl/>
        </w:rPr>
        <w:t xml:space="preserve"> وما ينتج منها يتساوى فيه جميع الدائنين ولا يستأثر به الدائن الذي باشر دعوى الصورية</w:t>
      </w:r>
      <w:r>
        <w:rPr>
          <w:rFonts w:hint="cs"/>
          <w:color w:val="000000"/>
          <w:rtl/>
        </w:rPr>
        <w:t xml:space="preserve"> .</w:t>
      </w:r>
      <w:r w:rsidRPr="00315653">
        <w:rPr>
          <w:rFonts w:hint="cs"/>
          <w:color w:val="000000"/>
          <w:rtl/>
        </w:rPr>
        <w:t xml:space="preserve"> وهكذا يستطيع المدين أن يتصرف في أمواله غشاً </w:t>
      </w:r>
      <w:r>
        <w:rPr>
          <w:rFonts w:hint="cs"/>
          <w:color w:val="000000"/>
          <w:rtl/>
        </w:rPr>
        <w:t xml:space="preserve"> ،</w:t>
      </w:r>
      <w:r w:rsidRPr="00315653">
        <w:rPr>
          <w:rFonts w:hint="cs"/>
          <w:color w:val="000000"/>
          <w:rtl/>
        </w:rPr>
        <w:t xml:space="preserve"> أو يتصرف فيها تصرفاً صورياً</w:t>
      </w:r>
      <w:r>
        <w:rPr>
          <w:rFonts w:hint="cs"/>
          <w:color w:val="000000"/>
          <w:rtl/>
        </w:rPr>
        <w:t xml:space="preserve"> ،</w:t>
      </w:r>
      <w:r w:rsidRPr="00315653">
        <w:rPr>
          <w:rFonts w:hint="cs"/>
          <w:color w:val="000000"/>
          <w:rtl/>
        </w:rPr>
        <w:t xml:space="preserve"> وان يهمل في تقاضي حقوقه</w:t>
      </w:r>
      <w:r>
        <w:rPr>
          <w:rFonts w:hint="cs"/>
          <w:color w:val="000000"/>
          <w:rtl/>
        </w:rPr>
        <w:t xml:space="preserve"> ،</w:t>
      </w:r>
      <w:r w:rsidRPr="00315653">
        <w:rPr>
          <w:rFonts w:hint="cs"/>
          <w:color w:val="000000"/>
          <w:rtl/>
        </w:rPr>
        <w:t xml:space="preserve"> ويستطيع أن يزيد في ديونه إضراراً بدائنيه</w:t>
      </w:r>
      <w:r>
        <w:rPr>
          <w:rFonts w:hint="cs"/>
          <w:color w:val="000000"/>
          <w:rtl/>
        </w:rPr>
        <w:t xml:space="preserve"> ،</w:t>
      </w:r>
      <w:r w:rsidRPr="00315653">
        <w:rPr>
          <w:rFonts w:hint="cs"/>
          <w:color w:val="000000"/>
          <w:rtl/>
        </w:rPr>
        <w:t xml:space="preserve"> ولا يعصم الدائنين من كل ذلك ما قرره القانون من أن أموال المدين جميعها ضامنة لديونه</w:t>
      </w:r>
      <w:r>
        <w:rPr>
          <w:rFonts w:hint="cs"/>
          <w:color w:val="000000"/>
          <w:rtl/>
        </w:rPr>
        <w:t xml:space="preserve"> .</w:t>
      </w:r>
      <w:r w:rsidRPr="00315653">
        <w:rPr>
          <w:rFonts w:hint="cs"/>
          <w:color w:val="000000"/>
          <w:rtl/>
        </w:rPr>
        <w:t xml:space="preserve"> ولذلك كان الدائن العادي </w:t>
      </w:r>
      <w:r>
        <w:rPr>
          <w:color w:val="000000"/>
          <w:rtl/>
        </w:rPr>
        <w:t xml:space="preserve">( </w:t>
      </w:r>
      <w:r w:rsidRPr="00315653">
        <w:rPr>
          <w:color w:val="000000"/>
        </w:rPr>
        <w:t>creneier chirographaire</w:t>
      </w:r>
      <w:r>
        <w:rPr>
          <w:color w:val="000000"/>
          <w:rtl/>
        </w:rPr>
        <w:t xml:space="preserve"> )</w:t>
      </w:r>
      <w:r>
        <w:rPr>
          <w:rFonts w:hint="cs"/>
          <w:color w:val="000000"/>
          <w:vertAlign w:val="superscript"/>
          <w:rtl/>
          <w:lang w:bidi="ar-EG"/>
        </w:rPr>
        <w:t xml:space="preserve">( </w:t>
      </w:r>
      <w:r w:rsidRPr="00315653">
        <w:rPr>
          <w:rStyle w:val="ab"/>
          <w:color w:val="000000"/>
          <w:rtl/>
          <w:lang w:bidi="ar-EG"/>
        </w:rPr>
        <w:footnoteReference w:id="3"/>
      </w:r>
      <w:r>
        <w:rPr>
          <w:rFonts w:hint="cs"/>
          <w:color w:val="000000"/>
          <w:vertAlign w:val="superscript"/>
          <w:rtl/>
          <w:lang w:bidi="ar-EG"/>
        </w:rPr>
        <w:t xml:space="preserve"> )</w:t>
      </w:r>
      <w:r w:rsidRPr="00315653">
        <w:rPr>
          <w:rFonts w:hint="cs"/>
          <w:color w:val="000000"/>
          <w:rtl/>
          <w:lang w:bidi="ar-EG"/>
        </w:rPr>
        <w:t xml:space="preserve"> تحت رحمة مدينه</w:t>
      </w:r>
      <w:r>
        <w:rPr>
          <w:rFonts w:hint="cs"/>
          <w:color w:val="000000"/>
          <w:rtl/>
          <w:lang w:bidi="ar-EG"/>
        </w:rPr>
        <w:t xml:space="preserve"> ،</w:t>
      </w:r>
      <w:r w:rsidRPr="00315653">
        <w:rPr>
          <w:rFonts w:hint="cs"/>
          <w:color w:val="000000"/>
          <w:rtl/>
          <w:lang w:bidi="ar-EG"/>
        </w:rPr>
        <w:t xml:space="preserve"> لا ملاذ له إلا أمانة هذا المدين ونزاهته</w:t>
      </w:r>
      <w:r>
        <w:rPr>
          <w:rFonts w:hint="cs"/>
          <w:color w:val="000000"/>
          <w:rtl/>
          <w:lang w:bidi="ar-EG"/>
        </w:rPr>
        <w:t xml:space="preserve"> ،</w:t>
      </w:r>
      <w:r w:rsidRPr="00315653">
        <w:rPr>
          <w:rFonts w:hint="cs"/>
          <w:color w:val="000000"/>
          <w:rtl/>
          <w:lang w:bidi="ar-EG"/>
        </w:rPr>
        <w:t xml:space="preserve"> وإلا يسره وملاءته</w:t>
      </w:r>
      <w:r>
        <w:rPr>
          <w:rFonts w:hint="cs"/>
          <w:color w:val="000000"/>
          <w:vertAlign w:val="superscript"/>
          <w:rtl/>
          <w:lang w:bidi="ar-EG"/>
        </w:rPr>
        <w:t xml:space="preserve">( </w:t>
      </w:r>
      <w:r w:rsidRPr="00315653">
        <w:rPr>
          <w:rStyle w:val="ab"/>
          <w:color w:val="000000"/>
          <w:rtl/>
          <w:lang w:bidi="ar-EG"/>
        </w:rPr>
        <w:footnoteReference w:id="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وحتى يستطيع الدائن أن يطمئن إلى استيفاء حقه من مدينه</w:t>
      </w:r>
      <w:r>
        <w:rPr>
          <w:rFonts w:hint="cs"/>
          <w:color w:val="000000"/>
          <w:rtl/>
          <w:lang w:bidi="ar-EG"/>
        </w:rPr>
        <w:t xml:space="preserve"> ،</w:t>
      </w:r>
      <w:r w:rsidRPr="00315653">
        <w:rPr>
          <w:rFonts w:hint="cs"/>
          <w:color w:val="000000"/>
          <w:rtl/>
          <w:lang w:bidi="ar-EG"/>
        </w:rPr>
        <w:t xml:space="preserve"> يحسن به أن يحصل على تأمينات خاصة لحقه </w:t>
      </w:r>
      <w:r>
        <w:rPr>
          <w:color w:val="000000"/>
          <w:rtl/>
          <w:lang w:bidi="ar-EG"/>
        </w:rPr>
        <w:t xml:space="preserve">( </w:t>
      </w:r>
      <w:r w:rsidRPr="00315653">
        <w:rPr>
          <w:color w:val="000000"/>
          <w:lang w:bidi="ar-EG"/>
        </w:rPr>
        <w:t>suretes</w:t>
      </w:r>
      <w:r>
        <w:rPr>
          <w:color w:val="000000"/>
          <w:rtl/>
          <w:lang w:bidi="ar-EG"/>
        </w:rPr>
        <w:t xml:space="preserve"> )</w:t>
      </w:r>
      <w:r>
        <w:rPr>
          <w:rFonts w:hint="cs"/>
          <w:color w:val="000000"/>
          <w:rtl/>
        </w:rPr>
        <w:t xml:space="preserve"> ،</w:t>
      </w:r>
      <w:r w:rsidRPr="00315653">
        <w:rPr>
          <w:rFonts w:hint="cs"/>
          <w:color w:val="000000"/>
          <w:rtl/>
        </w:rPr>
        <w:t xml:space="preserve"> فيأمن بها إعسار المدين</w:t>
      </w:r>
      <w:r>
        <w:rPr>
          <w:rFonts w:hint="cs"/>
          <w:color w:val="000000"/>
          <w:rtl/>
        </w:rPr>
        <w:t xml:space="preserve"> ،</w:t>
      </w:r>
      <w:r w:rsidRPr="00315653">
        <w:rPr>
          <w:rFonts w:hint="cs"/>
          <w:color w:val="000000"/>
          <w:rtl/>
        </w:rPr>
        <w:t xml:space="preserve"> $6 ويدرأ عنه بها غشه أو إهماله</w:t>
      </w:r>
      <w:r>
        <w:rPr>
          <w:rFonts w:hint="cs"/>
          <w:color w:val="000000"/>
          <w:rtl/>
        </w:rPr>
        <w:t xml:space="preserve"> ،</w:t>
      </w:r>
      <w:r w:rsidRPr="00315653">
        <w:rPr>
          <w:rFonts w:hint="cs"/>
          <w:color w:val="000000"/>
          <w:rtl/>
        </w:rPr>
        <w:t xml:space="preserve"> إذ أن هذه التأمينات الخاصة تكون عادة كافية للوفاء بحق الدائن كاملا في ميعاد الاستحقاق</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 xml:space="preserve">3- التأمينات الخاصة </w:t>
      </w:r>
      <w:r w:rsidRPr="00315653">
        <w:rPr>
          <w:b/>
          <w:bCs/>
          <w:color w:val="000000"/>
          <w:rtl/>
        </w:rPr>
        <w:t>–</w:t>
      </w:r>
      <w:r w:rsidRPr="00315653">
        <w:rPr>
          <w:rFonts w:hint="cs"/>
          <w:b/>
          <w:bCs/>
          <w:color w:val="000000"/>
          <w:rtl/>
        </w:rPr>
        <w:t xml:space="preserve"> تأمينات شخصية وتأمينات عينية</w:t>
      </w:r>
      <w:r>
        <w:rPr>
          <w:rFonts w:hint="cs"/>
          <w:color w:val="000000"/>
          <w:rtl/>
        </w:rPr>
        <w:t xml:space="preserve"> :</w:t>
      </w:r>
      <w:r w:rsidRPr="00315653">
        <w:rPr>
          <w:rFonts w:hint="cs"/>
          <w:color w:val="000000"/>
          <w:rtl/>
        </w:rPr>
        <w:t xml:space="preserve"> والتأمينات الخاصة نوعان</w:t>
      </w:r>
      <w:r>
        <w:rPr>
          <w:rFonts w:hint="cs"/>
          <w:color w:val="000000"/>
          <w:rtl/>
        </w:rPr>
        <w:t xml:space="preserve"> :</w:t>
      </w:r>
      <w:r w:rsidRPr="00315653">
        <w:rPr>
          <w:rFonts w:hint="cs"/>
          <w:color w:val="000000"/>
          <w:rtl/>
        </w:rPr>
        <w:t xml:space="preserve"> تأمينات شخصية </w:t>
      </w:r>
      <w:r>
        <w:rPr>
          <w:color w:val="000000"/>
          <w:rtl/>
        </w:rPr>
        <w:t xml:space="preserve">( </w:t>
      </w:r>
      <w:r w:rsidRPr="00315653">
        <w:rPr>
          <w:color w:val="000000"/>
        </w:rPr>
        <w:t>suretes personnlles</w:t>
      </w:r>
      <w:r>
        <w:rPr>
          <w:color w:val="000000"/>
          <w:rtl/>
        </w:rPr>
        <w:t xml:space="preserve"> )</w:t>
      </w:r>
      <w:r w:rsidRPr="00315653">
        <w:rPr>
          <w:rFonts w:hint="cs"/>
          <w:color w:val="000000"/>
          <w:rtl/>
        </w:rPr>
        <w:t xml:space="preserve"> وتأمينات عينية </w:t>
      </w:r>
      <w:r>
        <w:rPr>
          <w:color w:val="000000"/>
          <w:rtl/>
        </w:rPr>
        <w:t xml:space="preserve">( </w:t>
      </w:r>
      <w:r w:rsidRPr="00315653">
        <w:rPr>
          <w:color w:val="000000"/>
        </w:rPr>
        <w:t>suretes relles</w:t>
      </w:r>
      <w:r>
        <w:rPr>
          <w:color w:val="000000"/>
          <w:rtl/>
        </w:rPr>
        <w:t xml:space="preserve"> )</w:t>
      </w:r>
      <w:r>
        <w:rPr>
          <w:rFonts w:hint="cs"/>
          <w:color w:val="000000"/>
          <w:rtl/>
        </w:rPr>
        <w:t xml:space="preserve"> .</w:t>
      </w:r>
      <w:r w:rsidRPr="00315653">
        <w:rPr>
          <w:rFonts w:hint="cs"/>
          <w:color w:val="000000"/>
          <w:rtl/>
        </w:rPr>
        <w:t xml:space="preserve"> فالتأمينات الشخصية هي ضم ذمة أو أكثر إلى ذمة المدين الأصلي</w:t>
      </w:r>
      <w:r>
        <w:rPr>
          <w:rFonts w:hint="cs"/>
          <w:color w:val="000000"/>
          <w:rtl/>
        </w:rPr>
        <w:t xml:space="preserve"> ،</w:t>
      </w:r>
      <w:r w:rsidRPr="00315653">
        <w:rPr>
          <w:rFonts w:hint="cs"/>
          <w:color w:val="000000"/>
          <w:rtl/>
        </w:rPr>
        <w:t xml:space="preserve"> فيصبح للدائن بدلا من مدين واحد مدينان أو أكثر</w:t>
      </w:r>
      <w:r>
        <w:rPr>
          <w:rFonts w:hint="cs"/>
          <w:color w:val="000000"/>
          <w:rtl/>
        </w:rPr>
        <w:t xml:space="preserve"> ،</w:t>
      </w:r>
      <w:r w:rsidRPr="00315653">
        <w:rPr>
          <w:rFonts w:hint="cs"/>
          <w:color w:val="000000"/>
          <w:rtl/>
        </w:rPr>
        <w:t xml:space="preserve"> كلهم مسئولون عن الدين إما في وقت واحد أو على التعاقب</w:t>
      </w:r>
      <w:r>
        <w:rPr>
          <w:rFonts w:hint="cs"/>
          <w:color w:val="000000"/>
          <w:rtl/>
        </w:rPr>
        <w:t xml:space="preserve"> .</w:t>
      </w:r>
      <w:r w:rsidRPr="00315653">
        <w:rPr>
          <w:rFonts w:hint="cs"/>
          <w:color w:val="000000"/>
          <w:rtl/>
        </w:rPr>
        <w:t xml:space="preserve"> وبذلك يكفل حق الدائن</w:t>
      </w:r>
      <w:r>
        <w:rPr>
          <w:rFonts w:hint="cs"/>
          <w:color w:val="000000"/>
          <w:rtl/>
        </w:rPr>
        <w:t xml:space="preserve"> ،</w:t>
      </w:r>
      <w:r w:rsidRPr="00315653">
        <w:rPr>
          <w:rFonts w:hint="cs"/>
          <w:color w:val="000000"/>
          <w:rtl/>
        </w:rPr>
        <w:t xml:space="preserve"> لا ذمة واحدة هي ذمة المدين</w:t>
      </w:r>
      <w:r>
        <w:rPr>
          <w:rFonts w:hint="cs"/>
          <w:color w:val="000000"/>
          <w:rtl/>
        </w:rPr>
        <w:t xml:space="preserve"> ،</w:t>
      </w:r>
      <w:r w:rsidRPr="00315653">
        <w:rPr>
          <w:rFonts w:hint="cs"/>
          <w:color w:val="000000"/>
          <w:rtl/>
        </w:rPr>
        <w:t xml:space="preserve"> بل أكثر من ذمة</w:t>
      </w:r>
      <w:r>
        <w:rPr>
          <w:rFonts w:hint="cs"/>
          <w:color w:val="000000"/>
          <w:rtl/>
        </w:rPr>
        <w:t xml:space="preserve"> .</w:t>
      </w:r>
      <w:r w:rsidRPr="00315653">
        <w:rPr>
          <w:rFonts w:hint="cs"/>
          <w:color w:val="000000"/>
          <w:rtl/>
        </w:rPr>
        <w:t xml:space="preserve"> فإذا أعسر المدين رجع الدائن على غيره من المسئولين الآخرين عن حقه</w:t>
      </w:r>
      <w:r>
        <w:rPr>
          <w:rFonts w:hint="cs"/>
          <w:color w:val="000000"/>
          <w:rtl/>
        </w:rPr>
        <w:t xml:space="preserve"> ،</w:t>
      </w:r>
      <w:r w:rsidRPr="00315653">
        <w:rPr>
          <w:rFonts w:hint="cs"/>
          <w:color w:val="000000"/>
          <w:rtl/>
        </w:rPr>
        <w:t xml:space="preserve"> وقد يرى في ذلك تأميناً كافياً لحقه</w:t>
      </w:r>
      <w:r>
        <w:rPr>
          <w:rFonts w:hint="cs"/>
          <w:color w:val="000000"/>
          <w:rtl/>
        </w:rPr>
        <w:t xml:space="preserve"> .</w:t>
      </w:r>
      <w:r w:rsidRPr="00315653">
        <w:rPr>
          <w:rFonts w:hint="cs"/>
          <w:color w:val="000000"/>
          <w:rtl/>
        </w:rPr>
        <w:t xml:space="preserve"> والتأمينات العينية تتلخص في تخصيص مال معين</w:t>
      </w:r>
      <w:r>
        <w:rPr>
          <w:rFonts w:hint="cs"/>
          <w:color w:val="000000"/>
          <w:rtl/>
        </w:rPr>
        <w:t xml:space="preserve"> ،</w:t>
      </w:r>
      <w:r w:rsidRPr="00315653">
        <w:rPr>
          <w:rFonts w:hint="cs"/>
          <w:color w:val="000000"/>
          <w:rtl/>
        </w:rPr>
        <w:t xml:space="preserve"> يكون عادة مملوكاً للمدين</w:t>
      </w:r>
      <w:r>
        <w:rPr>
          <w:rFonts w:hint="cs"/>
          <w:color w:val="000000"/>
          <w:rtl/>
        </w:rPr>
        <w:t xml:space="preserve"> ،</w:t>
      </w:r>
      <w:r w:rsidRPr="00315653">
        <w:rPr>
          <w:rFonts w:hint="cs"/>
          <w:color w:val="000000"/>
          <w:rtl/>
        </w:rPr>
        <w:t xml:space="preserve"> لتأمين حق الدائن</w:t>
      </w:r>
      <w:r>
        <w:rPr>
          <w:rFonts w:hint="cs"/>
          <w:color w:val="000000"/>
          <w:rtl/>
        </w:rPr>
        <w:t xml:space="preserve"> .</w:t>
      </w:r>
      <w:r w:rsidRPr="00315653">
        <w:rPr>
          <w:rFonts w:hint="cs"/>
          <w:color w:val="000000"/>
          <w:rtl/>
        </w:rPr>
        <w:t xml:space="preserve"> فيكون للدائن حق عيني على هذا المال</w:t>
      </w:r>
      <w:r>
        <w:rPr>
          <w:rFonts w:hint="cs"/>
          <w:color w:val="000000"/>
          <w:rtl/>
        </w:rPr>
        <w:t xml:space="preserve"> ،</w:t>
      </w:r>
      <w:r w:rsidRPr="00315653">
        <w:rPr>
          <w:rFonts w:hint="cs"/>
          <w:color w:val="000000"/>
          <w:rtl/>
        </w:rPr>
        <w:t xml:space="preserve"> هو حق تبعي </w:t>
      </w:r>
      <w:r>
        <w:rPr>
          <w:color w:val="000000"/>
          <w:rtl/>
        </w:rPr>
        <w:t xml:space="preserve">( </w:t>
      </w:r>
      <w:r w:rsidRPr="00315653">
        <w:rPr>
          <w:color w:val="000000"/>
        </w:rPr>
        <w:t>accessoire</w:t>
      </w:r>
      <w:r>
        <w:rPr>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 xml:space="preserve"> ويكفل هذا التأمين العيني الوفاء بحق الدائن</w:t>
      </w:r>
      <w:r>
        <w:rPr>
          <w:rFonts w:hint="cs"/>
          <w:color w:val="000000"/>
          <w:rtl/>
        </w:rPr>
        <w:t xml:space="preserve"> ،</w:t>
      </w:r>
      <w:r w:rsidRPr="00315653">
        <w:rPr>
          <w:rFonts w:hint="cs"/>
          <w:color w:val="000000"/>
          <w:rtl/>
        </w:rPr>
        <w:t xml:space="preserve"> فالدائن يتقدم أولا للدائنين العاديين </w:t>
      </w:r>
      <w:r>
        <w:rPr>
          <w:color w:val="000000"/>
          <w:rtl/>
        </w:rPr>
        <w:t xml:space="preserve">( </w:t>
      </w:r>
      <w:r w:rsidRPr="00315653">
        <w:rPr>
          <w:color w:val="000000"/>
        </w:rPr>
        <w:t>droit de preference</w:t>
      </w:r>
      <w:r>
        <w:rPr>
          <w:color w:val="000000"/>
          <w:rtl/>
        </w:rPr>
        <w:t xml:space="preserve"> )</w:t>
      </w:r>
      <w:r>
        <w:rPr>
          <w:rFonts w:hint="cs"/>
          <w:color w:val="000000"/>
          <w:rtl/>
        </w:rPr>
        <w:t xml:space="preserve"> ،</w:t>
      </w:r>
      <w:r w:rsidRPr="00315653">
        <w:rPr>
          <w:rFonts w:hint="cs"/>
          <w:color w:val="000000"/>
          <w:rtl/>
        </w:rPr>
        <w:t xml:space="preserve"> بل والدائنين الأنزال في المرتبة</w:t>
      </w:r>
      <w:r>
        <w:rPr>
          <w:rFonts w:hint="cs"/>
          <w:color w:val="000000"/>
          <w:rtl/>
        </w:rPr>
        <w:t xml:space="preserve"> ،</w:t>
      </w:r>
      <w:r w:rsidRPr="00315653">
        <w:rPr>
          <w:rFonts w:hint="cs"/>
          <w:color w:val="000000"/>
          <w:rtl/>
        </w:rPr>
        <w:t xml:space="preserve"> في استيفاء حقه من هذا التأمين الخاص</w:t>
      </w:r>
      <w:r>
        <w:rPr>
          <w:rFonts w:hint="cs"/>
          <w:color w:val="000000"/>
          <w:rtl/>
        </w:rPr>
        <w:t xml:space="preserve"> ،</w:t>
      </w:r>
      <w:r w:rsidRPr="00315653">
        <w:rPr>
          <w:rFonts w:hint="cs"/>
          <w:color w:val="000000"/>
          <w:rtl/>
        </w:rPr>
        <w:t xml:space="preserve"> بحيث إذا حجز على هذا المال الأخير وهو لا يزال ملكاً للمدين</w:t>
      </w:r>
      <w:r>
        <w:rPr>
          <w:rFonts w:hint="cs"/>
          <w:color w:val="000000"/>
          <w:rtl/>
        </w:rPr>
        <w:t xml:space="preserve"> ،</w:t>
      </w:r>
      <w:r w:rsidRPr="00315653">
        <w:rPr>
          <w:rFonts w:hint="cs"/>
          <w:color w:val="000000"/>
          <w:rtl/>
        </w:rPr>
        <w:t xml:space="preserve"> تقدم بحقه على جميع الدائنين على الوجه السالف الذكر في استيفاء هذا الحق من الثمن الذي يباع به هذا التأمين</w:t>
      </w:r>
      <w:r>
        <w:rPr>
          <w:rFonts w:hint="cs"/>
          <w:color w:val="000000"/>
          <w:rtl/>
        </w:rPr>
        <w:t xml:space="preserve"> ،</w:t>
      </w:r>
      <w:r w:rsidRPr="00315653">
        <w:rPr>
          <w:rFonts w:hint="cs"/>
          <w:color w:val="000000"/>
          <w:rtl/>
        </w:rPr>
        <w:t xml:space="preserve"> وفي هذا ضمان كاف للدائن ما دام التأمين الخاص مملوكاً للمدين</w:t>
      </w:r>
      <w:r>
        <w:rPr>
          <w:rFonts w:hint="cs"/>
          <w:color w:val="000000"/>
          <w:rtl/>
        </w:rPr>
        <w:t xml:space="preserve"> .</w:t>
      </w:r>
      <w:r w:rsidRPr="00315653">
        <w:rPr>
          <w:rFonts w:hint="cs"/>
          <w:color w:val="000000"/>
          <w:rtl/>
        </w:rPr>
        <w:t xml:space="preserve"> فإذا انتقلت ملكية هذا التأمين الخاص من المدين إلى غيره كمشتر</w:t>
      </w:r>
      <w:r>
        <w:rPr>
          <w:rFonts w:hint="cs"/>
          <w:color w:val="000000"/>
          <w:rtl/>
        </w:rPr>
        <w:t xml:space="preserve"> ،</w:t>
      </w:r>
      <w:r w:rsidRPr="00315653">
        <w:rPr>
          <w:rFonts w:hint="cs"/>
          <w:color w:val="000000"/>
          <w:rtl/>
        </w:rPr>
        <w:t xml:space="preserve"> فان الدائن يتبعه </w:t>
      </w:r>
      <w:r>
        <w:rPr>
          <w:color w:val="000000"/>
          <w:rtl/>
        </w:rPr>
        <w:t xml:space="preserve">( </w:t>
      </w:r>
      <w:r w:rsidRPr="00315653">
        <w:rPr>
          <w:color w:val="000000"/>
        </w:rPr>
        <w:t>droit de suite</w:t>
      </w:r>
      <w:r>
        <w:rPr>
          <w:color w:val="000000"/>
          <w:rtl/>
        </w:rPr>
        <w:t xml:space="preserve"> )</w:t>
      </w:r>
      <w:r w:rsidRPr="00315653">
        <w:rPr>
          <w:rFonts w:hint="cs"/>
          <w:color w:val="000000"/>
          <w:rtl/>
        </w:rPr>
        <w:t xml:space="preserve"> في يد من انتقل إليه</w:t>
      </w:r>
      <w:r>
        <w:rPr>
          <w:rFonts w:hint="cs"/>
          <w:color w:val="000000"/>
          <w:rtl/>
        </w:rPr>
        <w:t xml:space="preserve"> ،</w:t>
      </w:r>
      <w:r w:rsidRPr="00315653">
        <w:rPr>
          <w:rFonts w:hint="cs"/>
          <w:color w:val="000000"/>
          <w:rtl/>
        </w:rPr>
        <w:t xml:space="preserve"> ويستطيع أن يحجز عليه وهو في يد الغير ويستوفي منه حقه</w:t>
      </w:r>
      <w:r>
        <w:rPr>
          <w:rFonts w:hint="cs"/>
          <w:color w:val="000000"/>
          <w:rtl/>
        </w:rPr>
        <w:t xml:space="preserve"> ،</w:t>
      </w:r>
      <w:r w:rsidRPr="00315653">
        <w:rPr>
          <w:rFonts w:hint="cs"/>
          <w:color w:val="000000"/>
          <w:rtl/>
        </w:rPr>
        <w:t xml:space="preserve"> وفي هذا ضمان كاف للدائن إذا خرج التأمين الخاص من ملكية المدين</w:t>
      </w:r>
      <w:r>
        <w:rPr>
          <w:rFonts w:hint="cs"/>
          <w:color w:val="000000"/>
          <w:rtl/>
        </w:rPr>
        <w:t xml:space="preserve"> ،</w:t>
      </w:r>
      <w:r w:rsidRPr="00315653">
        <w:rPr>
          <w:rFonts w:hint="cs"/>
          <w:color w:val="000000"/>
          <w:rtl/>
        </w:rPr>
        <w:t>وبذلك يكفل التأمين العيني استيفاء الدائن لحقه منه</w:t>
      </w:r>
      <w:r>
        <w:rPr>
          <w:rFonts w:hint="cs"/>
          <w:color w:val="000000"/>
          <w:rtl/>
        </w:rPr>
        <w:t xml:space="preserve"> ،</w:t>
      </w:r>
      <w:r w:rsidRPr="00315653">
        <w:rPr>
          <w:rFonts w:hint="cs"/>
          <w:color w:val="000000"/>
          <w:rtl/>
        </w:rPr>
        <w:t xml:space="preserve"> سواء بقي في ملكية المدين أو خرج من هذه الملكية</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والتأمينات</w:t>
      </w:r>
      <w:r>
        <w:rPr>
          <w:rFonts w:hint="cs"/>
          <w:color w:val="000000"/>
          <w:rtl/>
        </w:rPr>
        <w:t xml:space="preserve"> ،</w:t>
      </w:r>
      <w:r w:rsidRPr="00315653">
        <w:rPr>
          <w:rFonts w:hint="cs"/>
          <w:color w:val="000000"/>
          <w:rtl/>
        </w:rPr>
        <w:t xml:space="preserve"> شخصية كانت أو عينية</w:t>
      </w:r>
      <w:r>
        <w:rPr>
          <w:rFonts w:hint="cs"/>
          <w:color w:val="000000"/>
          <w:rtl/>
        </w:rPr>
        <w:t xml:space="preserve"> ،</w:t>
      </w:r>
      <w:r w:rsidRPr="00315653">
        <w:rPr>
          <w:rFonts w:hint="cs"/>
          <w:color w:val="000000"/>
          <w:rtl/>
        </w:rPr>
        <w:t xml:space="preserve"> مصدرها في الغالب هو العقد</w:t>
      </w:r>
      <w:r>
        <w:rPr>
          <w:rFonts w:hint="cs"/>
          <w:color w:val="000000"/>
          <w:rtl/>
        </w:rPr>
        <w:t xml:space="preserve"> .</w:t>
      </w:r>
      <w:r w:rsidRPr="00315653">
        <w:rPr>
          <w:rFonts w:hint="cs"/>
          <w:color w:val="000000"/>
          <w:rtl/>
        </w:rPr>
        <w:t xml:space="preserve"> فالعقد هو المصدر الغالب في التأمينات الشخصية</w:t>
      </w:r>
      <w:r>
        <w:rPr>
          <w:rFonts w:hint="cs"/>
          <w:color w:val="000000"/>
          <w:rtl/>
        </w:rPr>
        <w:t xml:space="preserve"> ،</w:t>
      </w:r>
      <w:r w:rsidRPr="00315653">
        <w:rPr>
          <w:rFonts w:hint="cs"/>
          <w:color w:val="000000"/>
          <w:rtl/>
        </w:rPr>
        <w:t xml:space="preserve"> وبخاصة عقد الكفالة إذ الكفالة لا تكون إلا بعقد</w:t>
      </w:r>
      <w:r>
        <w:rPr>
          <w:rFonts w:hint="cs"/>
          <w:color w:val="000000"/>
          <w:rtl/>
        </w:rPr>
        <w:t xml:space="preserve"> .</w:t>
      </w:r>
      <w:r w:rsidRPr="00315653">
        <w:rPr>
          <w:rFonts w:hint="cs"/>
          <w:color w:val="000000"/>
          <w:rtl/>
        </w:rPr>
        <w:t xml:space="preserve"> وكذلك هو مصدر أهم أنواع التأمينات العينية</w:t>
      </w:r>
      <w:r>
        <w:rPr>
          <w:rFonts w:hint="cs"/>
          <w:color w:val="000000"/>
          <w:rtl/>
        </w:rPr>
        <w:t xml:space="preserve"> ،</w:t>
      </w:r>
      <w:r w:rsidRPr="00315653">
        <w:rPr>
          <w:rFonts w:hint="cs"/>
          <w:color w:val="000000"/>
          <w:rtl/>
        </w:rPr>
        <w:t xml:space="preserve"> أي الرهن الرسمي والرهن الحيازي</w:t>
      </w:r>
      <w:r>
        <w:rPr>
          <w:rFonts w:hint="cs"/>
          <w:color w:val="000000"/>
          <w:rtl/>
        </w:rPr>
        <w:t xml:space="preserve"> .</w:t>
      </w:r>
      <w:r w:rsidRPr="00315653">
        <w:rPr>
          <w:rFonts w:hint="cs"/>
          <w:color w:val="000000"/>
          <w:rtl/>
        </w:rPr>
        <w:t xml:space="preserve"> والعقود التي تقرر التأمينات</w:t>
      </w:r>
      <w:r>
        <w:rPr>
          <w:rFonts w:hint="cs"/>
          <w:color w:val="000000"/>
          <w:rtl/>
        </w:rPr>
        <w:t xml:space="preserve"> ،</w:t>
      </w:r>
      <w:r w:rsidRPr="00315653">
        <w:rPr>
          <w:rFonts w:hint="cs"/>
          <w:color w:val="000000"/>
          <w:rtl/>
        </w:rPr>
        <w:t xml:space="preserve"> شخصية $7 كانت أو عينية</w:t>
      </w:r>
      <w:r>
        <w:rPr>
          <w:rFonts w:hint="cs"/>
          <w:color w:val="000000"/>
          <w:rtl/>
        </w:rPr>
        <w:t xml:space="preserve"> ،</w:t>
      </w:r>
      <w:r w:rsidRPr="00315653">
        <w:rPr>
          <w:rFonts w:hint="cs"/>
          <w:color w:val="000000"/>
          <w:rtl/>
        </w:rPr>
        <w:t xml:space="preserve"> تسمى بعقود الضمان </w:t>
      </w:r>
      <w:r>
        <w:rPr>
          <w:color w:val="000000"/>
          <w:rtl/>
        </w:rPr>
        <w:t xml:space="preserve">( </w:t>
      </w:r>
      <w:r w:rsidRPr="00315653">
        <w:rPr>
          <w:color w:val="000000"/>
        </w:rPr>
        <w:t>contrats de garantie</w:t>
      </w:r>
      <w:r>
        <w:rPr>
          <w:color w:val="000000"/>
          <w:rtl/>
        </w:rPr>
        <w:t xml:space="preserve"> )</w:t>
      </w:r>
      <w:r>
        <w:rPr>
          <w:rFonts w:hint="cs"/>
          <w:color w:val="000000"/>
          <w:rtl/>
        </w:rPr>
        <w:t xml:space="preserve"> .</w:t>
      </w:r>
      <w:r w:rsidRPr="00315653">
        <w:rPr>
          <w:rFonts w:hint="cs"/>
          <w:color w:val="000000"/>
          <w:rtl/>
        </w:rPr>
        <w:t xml:space="preserve"> وقد يكون القانون مصدر التأمينات الخاصة</w:t>
      </w:r>
      <w:r>
        <w:rPr>
          <w:rFonts w:hint="cs"/>
          <w:color w:val="000000"/>
          <w:rtl/>
        </w:rPr>
        <w:t xml:space="preserve"> ،</w:t>
      </w:r>
      <w:r w:rsidRPr="00315653">
        <w:rPr>
          <w:rFonts w:hint="cs"/>
          <w:color w:val="000000"/>
          <w:rtl/>
        </w:rPr>
        <w:t xml:space="preserve"> كما هو الأمر في التضامن وعدم التجزئة في بعض أحوالهما وفي الدعوى المباشرة وفي حقوق الامتياز</w:t>
      </w:r>
      <w:r>
        <w:rPr>
          <w:rFonts w:hint="cs"/>
          <w:color w:val="000000"/>
          <w:rtl/>
        </w:rPr>
        <w:t xml:space="preserve"> .</w:t>
      </w:r>
      <w:r w:rsidRPr="00315653">
        <w:rPr>
          <w:rFonts w:hint="cs"/>
          <w:color w:val="000000"/>
          <w:rtl/>
        </w:rPr>
        <w:t xml:space="preserve"> وقد يكون مصدرها القضاء</w:t>
      </w:r>
      <w:r>
        <w:rPr>
          <w:rFonts w:hint="cs"/>
          <w:color w:val="000000"/>
          <w:rtl/>
        </w:rPr>
        <w:t xml:space="preserve"> ،</w:t>
      </w:r>
      <w:r w:rsidRPr="00315653">
        <w:rPr>
          <w:rFonts w:hint="cs"/>
          <w:color w:val="000000"/>
          <w:rtl/>
        </w:rPr>
        <w:t xml:space="preserve"> كما هو الأمر في حق الاختصاص</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التأمينات كما رأينا توفر ضماناً كافياً للدائن</w:t>
      </w:r>
      <w:r>
        <w:rPr>
          <w:rFonts w:hint="cs"/>
          <w:color w:val="000000"/>
          <w:rtl/>
        </w:rPr>
        <w:t xml:space="preserve"> ،</w:t>
      </w:r>
      <w:r w:rsidRPr="00315653">
        <w:rPr>
          <w:rFonts w:hint="cs"/>
          <w:color w:val="000000"/>
          <w:rtl/>
        </w:rPr>
        <w:t xml:space="preserve"> وهي في الوقت ذاته تضع تحت يد المدين أداة للثقة والائتمان </w:t>
      </w:r>
      <w:r>
        <w:rPr>
          <w:color w:val="000000"/>
          <w:rtl/>
        </w:rPr>
        <w:t xml:space="preserve">( </w:t>
      </w:r>
      <w:r w:rsidRPr="00315653">
        <w:rPr>
          <w:color w:val="000000"/>
        </w:rPr>
        <w:t>instrument de credit</w:t>
      </w:r>
      <w:r>
        <w:rPr>
          <w:color w:val="000000"/>
          <w:rtl/>
        </w:rPr>
        <w:t xml:space="preserve"> )</w:t>
      </w:r>
      <w:r>
        <w:rPr>
          <w:rFonts w:hint="cs"/>
          <w:color w:val="000000"/>
          <w:rtl/>
        </w:rPr>
        <w:t xml:space="preserve"> .</w:t>
      </w:r>
      <w:r w:rsidRPr="00315653">
        <w:rPr>
          <w:rFonts w:hint="cs"/>
          <w:color w:val="000000"/>
          <w:rtl/>
        </w:rPr>
        <w:t xml:space="preserve"> إذ هي تمكنه من أن يقدم لدائنه ضماناً كافياً لحقه</w:t>
      </w:r>
      <w:r>
        <w:rPr>
          <w:rFonts w:hint="cs"/>
          <w:color w:val="000000"/>
          <w:rtl/>
        </w:rPr>
        <w:t xml:space="preserve"> ،</w:t>
      </w:r>
      <w:r w:rsidRPr="00315653">
        <w:rPr>
          <w:rFonts w:hint="cs"/>
          <w:color w:val="000000"/>
          <w:rtl/>
        </w:rPr>
        <w:t xml:space="preserve"> فيستطيع أن يحصل عن هذا الطريق على ما يحتاج إليه من المال مادام قادراً على أن يقدم لدائنه الضمان الكافي</w:t>
      </w:r>
      <w:r>
        <w:rPr>
          <w:rFonts w:hint="cs"/>
          <w:color w:val="000000"/>
          <w:rtl/>
        </w:rPr>
        <w:t xml:space="preserve"> .</w:t>
      </w:r>
      <w:r w:rsidRPr="00315653">
        <w:rPr>
          <w:rFonts w:hint="cs"/>
          <w:color w:val="000000"/>
          <w:rtl/>
        </w:rPr>
        <w:t xml:space="preserve"> والائتمان </w:t>
      </w:r>
      <w:r>
        <w:rPr>
          <w:color w:val="000000"/>
          <w:rtl/>
        </w:rPr>
        <w:t xml:space="preserve">( </w:t>
      </w:r>
      <w:r w:rsidRPr="00315653">
        <w:rPr>
          <w:color w:val="000000"/>
        </w:rPr>
        <w:t>credit</w:t>
      </w:r>
      <w:r>
        <w:rPr>
          <w:color w:val="000000"/>
          <w:rtl/>
        </w:rPr>
        <w:t xml:space="preserve"> )</w:t>
      </w:r>
      <w:r w:rsidRPr="00315653">
        <w:rPr>
          <w:rFonts w:hint="cs"/>
          <w:color w:val="000000"/>
          <w:rtl/>
        </w:rPr>
        <w:t xml:space="preserve"> من أهم وسائل التعامل</w:t>
      </w:r>
      <w:r>
        <w:rPr>
          <w:rFonts w:hint="cs"/>
          <w:color w:val="000000"/>
          <w:rtl/>
        </w:rPr>
        <w:t xml:space="preserve"> ،</w:t>
      </w:r>
      <w:r w:rsidRPr="00315653">
        <w:rPr>
          <w:rFonts w:hint="cs"/>
          <w:color w:val="000000"/>
          <w:rtl/>
        </w:rPr>
        <w:t xml:space="preserve"> ولا </w:t>
      </w:r>
      <w:r w:rsidRPr="00315653">
        <w:rPr>
          <w:rFonts w:hint="cs"/>
          <w:color w:val="000000"/>
          <w:rtl/>
        </w:rPr>
        <w:lastRenderedPageBreak/>
        <w:t>بد منه في مجتمع متحضر</w:t>
      </w:r>
      <w:r>
        <w:rPr>
          <w:rFonts w:hint="cs"/>
          <w:color w:val="000000"/>
          <w:rtl/>
        </w:rPr>
        <w:t xml:space="preserve"> .</w:t>
      </w:r>
      <w:r w:rsidRPr="00315653">
        <w:rPr>
          <w:rFonts w:hint="cs"/>
          <w:color w:val="000000"/>
          <w:rtl/>
        </w:rPr>
        <w:t xml:space="preserve"> إذ لا بد من أن يتوافر عند الشخص الوسائل اللازمة لتحقيق قدرته على تقديم التأمينات الكافية لدائنه من عناصر يسر وملاءة</w:t>
      </w:r>
      <w:r>
        <w:rPr>
          <w:rFonts w:hint="cs"/>
          <w:color w:val="000000"/>
          <w:rtl/>
        </w:rPr>
        <w:t xml:space="preserve"> ،</w:t>
      </w:r>
      <w:r w:rsidRPr="00315653">
        <w:rPr>
          <w:rFonts w:hint="cs"/>
          <w:color w:val="000000"/>
          <w:rtl/>
        </w:rPr>
        <w:t xml:space="preserve"> فيستطيع بذلك أن ينتفع بكل ما في حوزته من طاقات مالية</w:t>
      </w:r>
      <w:r>
        <w:rPr>
          <w:rFonts w:hint="cs"/>
          <w:color w:val="000000"/>
          <w:rtl/>
        </w:rPr>
        <w:t xml:space="preserve"> ،</w:t>
      </w:r>
      <w:r w:rsidRPr="00315653">
        <w:rPr>
          <w:rFonts w:hint="cs"/>
          <w:color w:val="000000"/>
          <w:rtl/>
        </w:rPr>
        <w:t xml:space="preserve"> وأن يحصل على ما يقابل ذلك من المال</w:t>
      </w:r>
      <w:r>
        <w:rPr>
          <w:rFonts w:hint="cs"/>
          <w:color w:val="000000"/>
          <w:rtl/>
        </w:rPr>
        <w:t xml:space="preserve"> .</w:t>
      </w:r>
      <w:r w:rsidRPr="00315653">
        <w:rPr>
          <w:rFonts w:hint="cs"/>
          <w:color w:val="000000"/>
          <w:rtl/>
        </w:rPr>
        <w:t xml:space="preserve"> وهذا هو الائتمان الذي تتميز به المجتمعات المتحضرة</w:t>
      </w:r>
      <w:r>
        <w:rPr>
          <w:rFonts w:hint="cs"/>
          <w:color w:val="000000"/>
          <w:rtl/>
        </w:rPr>
        <w:t xml:space="preserve"> ،</w:t>
      </w:r>
      <w:r w:rsidRPr="00315653">
        <w:rPr>
          <w:rFonts w:hint="cs"/>
          <w:color w:val="000000"/>
          <w:rtl/>
        </w:rPr>
        <w:t xml:space="preserve"> فلا بد في هذه المجتمعات من أن تنمو وسائل الائتمان وتقوى</w:t>
      </w:r>
      <w:r>
        <w:rPr>
          <w:rFonts w:hint="cs"/>
          <w:color w:val="000000"/>
          <w:rtl/>
        </w:rPr>
        <w:t xml:space="preserve"> ،</w:t>
      </w:r>
      <w:r w:rsidRPr="00315653">
        <w:rPr>
          <w:rFonts w:hint="cs"/>
          <w:color w:val="000000"/>
          <w:rtl/>
        </w:rPr>
        <w:t xml:space="preserve"> ليس فحسب لفائدة الدائن</w:t>
      </w:r>
      <w:r>
        <w:rPr>
          <w:rFonts w:hint="cs"/>
          <w:color w:val="000000"/>
          <w:rtl/>
        </w:rPr>
        <w:t xml:space="preserve"> ،</w:t>
      </w:r>
      <w:r w:rsidRPr="00315653">
        <w:rPr>
          <w:rFonts w:hint="cs"/>
          <w:color w:val="000000"/>
          <w:rtl/>
        </w:rPr>
        <w:t xml:space="preserve"> بل أيضاً وبوجه خاص لفائدة المدين نفسه</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لم </w:t>
      </w:r>
      <w:r w:rsidRPr="00315653">
        <w:rPr>
          <w:rFonts w:hint="cs"/>
          <w:color w:val="000000"/>
          <w:rtl/>
        </w:rPr>
        <w:t>توجد وسائل الائتمان والتأمينات الخاصة</w:t>
      </w:r>
      <w:r>
        <w:rPr>
          <w:rFonts w:hint="cs"/>
          <w:color w:val="000000"/>
          <w:rtl/>
        </w:rPr>
        <w:t xml:space="preserve"> ،</w:t>
      </w:r>
      <w:r w:rsidRPr="00315653">
        <w:rPr>
          <w:rFonts w:hint="cs"/>
          <w:color w:val="000000"/>
          <w:rtl/>
        </w:rPr>
        <w:t xml:space="preserve"> كان تفضيل دائن على آخر موكولا للصدف</w:t>
      </w:r>
      <w:r>
        <w:rPr>
          <w:rFonts w:hint="cs"/>
          <w:color w:val="000000"/>
          <w:rtl/>
        </w:rPr>
        <w:t xml:space="preserve"> ،</w:t>
      </w:r>
      <w:r w:rsidRPr="00315653">
        <w:rPr>
          <w:rFonts w:hint="cs"/>
          <w:color w:val="000000"/>
          <w:rtl/>
        </w:rPr>
        <w:t xml:space="preserve"> أو لسرعة المبادرة من قبل الدائن</w:t>
      </w:r>
      <w:r>
        <w:rPr>
          <w:rFonts w:hint="cs"/>
          <w:color w:val="000000"/>
          <w:rtl/>
        </w:rPr>
        <w:t xml:space="preserve"> ،</w:t>
      </w:r>
      <w:r w:rsidRPr="00315653">
        <w:rPr>
          <w:rFonts w:hint="cs"/>
          <w:color w:val="000000"/>
          <w:rtl/>
        </w:rPr>
        <w:t xml:space="preserve"> أو لتواطؤ المدين مع بعض الدائنين دون الآخرين</w:t>
      </w:r>
      <w:r>
        <w:rPr>
          <w:rFonts w:hint="cs"/>
          <w:color w:val="000000"/>
          <w:rtl/>
        </w:rPr>
        <w:t xml:space="preserve"> ،</w:t>
      </w:r>
      <w:r w:rsidRPr="00315653">
        <w:rPr>
          <w:rFonts w:hint="cs"/>
          <w:color w:val="000000"/>
          <w:rtl/>
        </w:rPr>
        <w:t xml:space="preserve"> أو لهذه الأسباب جميعاً</w:t>
      </w:r>
      <w:r>
        <w:rPr>
          <w:rFonts w:hint="cs"/>
          <w:color w:val="000000"/>
          <w:rtl/>
        </w:rPr>
        <w:t xml:space="preserve"> ،</w:t>
      </w:r>
      <w:r w:rsidRPr="00315653">
        <w:rPr>
          <w:rFonts w:hint="cs"/>
          <w:color w:val="000000"/>
          <w:rtl/>
        </w:rPr>
        <w:t xml:space="preserve"> أو لغيرها من الأسباب</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4- مقومات التأمينات الخاصة</w:t>
      </w:r>
      <w:r>
        <w:rPr>
          <w:rFonts w:hint="cs"/>
          <w:color w:val="000000"/>
          <w:rtl/>
          <w:lang w:bidi="ar-EG"/>
        </w:rPr>
        <w:t xml:space="preserve"> :</w:t>
      </w:r>
      <w:r w:rsidRPr="00315653">
        <w:rPr>
          <w:rFonts w:hint="cs"/>
          <w:color w:val="000000"/>
          <w:rtl/>
          <w:lang w:bidi="ar-EG"/>
        </w:rPr>
        <w:t xml:space="preserve"> ويمكن أن يحسب من مقومات التأمينات الخاصة مقومات ثلاثة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أولا - التأمين الخاص</w:t>
      </w:r>
      <w:r>
        <w:rPr>
          <w:rFonts w:hint="cs"/>
          <w:color w:val="000000"/>
          <w:rtl/>
          <w:lang w:bidi="ar-EG"/>
        </w:rPr>
        <w:t xml:space="preserve"> ،</w:t>
      </w:r>
      <w:r w:rsidRPr="00315653">
        <w:rPr>
          <w:rFonts w:hint="cs"/>
          <w:color w:val="000000"/>
          <w:rtl/>
          <w:lang w:bidi="ar-EG"/>
        </w:rPr>
        <w:t xml:space="preserve"> شخصياً كان أو عينياً</w:t>
      </w:r>
      <w:r>
        <w:rPr>
          <w:rFonts w:hint="cs"/>
          <w:color w:val="000000"/>
          <w:rtl/>
          <w:lang w:bidi="ar-EG"/>
        </w:rPr>
        <w:t xml:space="preserve"> ،</w:t>
      </w:r>
      <w:r w:rsidRPr="00315653">
        <w:rPr>
          <w:rFonts w:hint="cs"/>
          <w:color w:val="000000"/>
          <w:rtl/>
          <w:lang w:bidi="ar-EG"/>
        </w:rPr>
        <w:t xml:space="preserve"> يكفل دائماً حقاً شخصياً</w:t>
      </w:r>
      <w:r>
        <w:rPr>
          <w:rFonts w:hint="cs"/>
          <w:color w:val="000000"/>
          <w:rtl/>
          <w:lang w:bidi="ar-EG"/>
        </w:rPr>
        <w:t xml:space="preserve"> .</w:t>
      </w:r>
      <w:r w:rsidRPr="00315653">
        <w:rPr>
          <w:rFonts w:hint="cs"/>
          <w:color w:val="000000"/>
          <w:rtl/>
          <w:lang w:bidi="ar-EG"/>
        </w:rPr>
        <w:t xml:space="preserve"> فالدائن له حق شخصي في ذمة المدين</w:t>
      </w:r>
      <w:r>
        <w:rPr>
          <w:rFonts w:hint="cs"/>
          <w:color w:val="000000"/>
          <w:rtl/>
          <w:lang w:bidi="ar-EG"/>
        </w:rPr>
        <w:t xml:space="preserve"> ،</w:t>
      </w:r>
      <w:r w:rsidRPr="00315653">
        <w:rPr>
          <w:rFonts w:hint="cs"/>
          <w:color w:val="000000"/>
          <w:rtl/>
          <w:lang w:bidi="ar-EG"/>
        </w:rPr>
        <w:t xml:space="preserve"> ويريد أن يطمئن لاستيفائه هذا الحق في ميعاد استحقاقه</w:t>
      </w:r>
      <w:r>
        <w:rPr>
          <w:rFonts w:hint="cs"/>
          <w:color w:val="000000"/>
          <w:rtl/>
          <w:lang w:bidi="ar-EG"/>
        </w:rPr>
        <w:t xml:space="preserve"> ،</w:t>
      </w:r>
      <w:r w:rsidRPr="00315653">
        <w:rPr>
          <w:rFonts w:hint="cs"/>
          <w:color w:val="000000"/>
          <w:rtl/>
          <w:lang w:bidi="ar-EG"/>
        </w:rPr>
        <w:t xml:space="preserve"> فيطالب مدينه بتقديم خاص</w:t>
      </w:r>
      <w:r>
        <w:rPr>
          <w:rFonts w:hint="cs"/>
          <w:color w:val="000000"/>
          <w:rtl/>
          <w:lang w:bidi="ar-EG"/>
        </w:rPr>
        <w:t xml:space="preserve"> ،</w:t>
      </w:r>
      <w:r w:rsidRPr="00315653">
        <w:rPr>
          <w:rFonts w:hint="cs"/>
          <w:color w:val="000000"/>
          <w:rtl/>
          <w:lang w:bidi="ar-EG"/>
        </w:rPr>
        <w:t xml:space="preserve"> كفالة أو رهن أو غير ذلك من التأمينات الخاصة</w:t>
      </w:r>
      <w:r>
        <w:rPr>
          <w:rFonts w:hint="cs"/>
          <w:color w:val="000000"/>
          <w:rtl/>
          <w:lang w:bidi="ar-EG"/>
        </w:rPr>
        <w:t xml:space="preserve"> ،</w:t>
      </w:r>
      <w:r w:rsidRPr="00315653">
        <w:rPr>
          <w:rFonts w:hint="cs"/>
          <w:color w:val="000000"/>
          <w:rtl/>
          <w:lang w:bidi="ar-EG"/>
        </w:rPr>
        <w:t xml:space="preserve"> فيكفل التأمين الخاص على هذا الوجه حقاً شخصياً للدائن في ذمة المدين</w:t>
      </w:r>
      <w:r>
        <w:rPr>
          <w:rFonts w:hint="cs"/>
          <w:color w:val="000000"/>
          <w:rtl/>
          <w:lang w:bidi="ar-EG"/>
        </w:rPr>
        <w:t xml:space="preserve"> .</w:t>
      </w:r>
      <w:r w:rsidRPr="00315653">
        <w:rPr>
          <w:rFonts w:hint="cs"/>
          <w:color w:val="000000"/>
          <w:rtl/>
          <w:lang w:bidi="ar-EG"/>
        </w:rPr>
        <w:t xml:space="preserve"> ولم توجد التأمينات الخاصة إلا لكفالة $8 الحقوق الشخصية الثابتة في ذمة المدينين الدائنين</w:t>
      </w:r>
      <w:r>
        <w:rPr>
          <w:rFonts w:hint="cs"/>
          <w:color w:val="000000"/>
          <w:rtl/>
          <w:lang w:bidi="ar-EG"/>
        </w:rPr>
        <w:t xml:space="preserve"> ،</w:t>
      </w:r>
      <w:r w:rsidRPr="00315653">
        <w:rPr>
          <w:rFonts w:hint="cs"/>
          <w:color w:val="000000"/>
          <w:rtl/>
          <w:lang w:bidi="ar-EG"/>
        </w:rPr>
        <w:t xml:space="preserve"> حتى يتخطى هؤلاء بها عقبة إعسار المدين   أو غشه أو إهماله أو غير ذلك مما سبق أن قدمناه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التأمين شخصياً</w:t>
      </w:r>
      <w:r>
        <w:rPr>
          <w:rFonts w:hint="cs"/>
          <w:color w:val="000000"/>
          <w:rtl/>
          <w:lang w:bidi="ar-EG"/>
        </w:rPr>
        <w:t xml:space="preserve"> ،</w:t>
      </w:r>
      <w:r w:rsidRPr="00315653">
        <w:rPr>
          <w:rFonts w:hint="cs"/>
          <w:color w:val="000000"/>
          <w:rtl/>
          <w:lang w:bidi="ar-EG"/>
        </w:rPr>
        <w:t xml:space="preserve"> فان التزاماً شخصياً في ذمة الكفيل مثلا أو في ذمة المدين المتضامن يضمن التزاماً شخصياً في ذمة المدين الأصلي</w:t>
      </w:r>
      <w:r>
        <w:rPr>
          <w:rFonts w:hint="cs"/>
          <w:color w:val="000000"/>
          <w:rtl/>
          <w:lang w:bidi="ar-EG"/>
        </w:rPr>
        <w:t xml:space="preserve"> .</w:t>
      </w:r>
      <w:r w:rsidRPr="00315653">
        <w:rPr>
          <w:rFonts w:hint="cs"/>
          <w:color w:val="000000"/>
          <w:rtl/>
          <w:lang w:bidi="ar-EG"/>
        </w:rPr>
        <w:t xml:space="preserve"> وكذلك أو كان التأمين الخاص تأميناً عينياً</w:t>
      </w:r>
      <w:r>
        <w:rPr>
          <w:rFonts w:hint="cs"/>
          <w:color w:val="000000"/>
          <w:rtl/>
          <w:lang w:bidi="ar-EG"/>
        </w:rPr>
        <w:t xml:space="preserve"> ،</w:t>
      </w:r>
      <w:r w:rsidRPr="00315653">
        <w:rPr>
          <w:rFonts w:hint="cs"/>
          <w:color w:val="000000"/>
          <w:rtl/>
          <w:lang w:bidi="ar-EG"/>
        </w:rPr>
        <w:t xml:space="preserve"> فبالرغم من أن التأمين العيني هو حق عيني</w:t>
      </w:r>
      <w:r>
        <w:rPr>
          <w:rFonts w:hint="cs"/>
          <w:color w:val="000000"/>
          <w:rtl/>
          <w:lang w:bidi="ar-EG"/>
        </w:rPr>
        <w:t xml:space="preserve"> ،</w:t>
      </w:r>
      <w:r w:rsidRPr="00315653">
        <w:rPr>
          <w:rFonts w:hint="cs"/>
          <w:color w:val="000000"/>
          <w:rtl/>
          <w:lang w:bidi="ar-EG"/>
        </w:rPr>
        <w:t xml:space="preserve"> إلا أن هذا الحق العيني يضمن حقاً شخصياً</w:t>
      </w:r>
      <w:r>
        <w:rPr>
          <w:rFonts w:hint="cs"/>
          <w:color w:val="000000"/>
          <w:rtl/>
          <w:lang w:bidi="ar-EG"/>
        </w:rPr>
        <w:t xml:space="preserve"> ،</w:t>
      </w:r>
      <w:r w:rsidRPr="00315653">
        <w:rPr>
          <w:rFonts w:hint="cs"/>
          <w:color w:val="000000"/>
          <w:rtl/>
          <w:lang w:bidi="ar-EG"/>
        </w:rPr>
        <w:t xml:space="preserve"> فيكون المتبوع حقاً شخصياً ويكون التابع حقاً عينياً</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ثانياً </w:t>
      </w:r>
      <w:r w:rsidRPr="00315653">
        <w:rPr>
          <w:color w:val="000000"/>
          <w:rtl/>
          <w:lang w:bidi="ar-EG"/>
        </w:rPr>
        <w:t>–</w:t>
      </w:r>
      <w:r w:rsidRPr="00315653">
        <w:rPr>
          <w:rFonts w:hint="cs"/>
          <w:color w:val="000000"/>
          <w:rtl/>
          <w:lang w:bidi="ar-EG"/>
        </w:rPr>
        <w:t xml:space="preserve"> والتأمين الخاص يضمن أي حق شخصي</w:t>
      </w:r>
      <w:r>
        <w:rPr>
          <w:rFonts w:hint="cs"/>
          <w:color w:val="000000"/>
          <w:rtl/>
          <w:lang w:bidi="ar-EG"/>
        </w:rPr>
        <w:t xml:space="preserve"> ،</w:t>
      </w:r>
      <w:r w:rsidRPr="00315653">
        <w:rPr>
          <w:rFonts w:hint="cs"/>
          <w:color w:val="000000"/>
          <w:rtl/>
          <w:lang w:bidi="ar-EG"/>
        </w:rPr>
        <w:t xml:space="preserve"> أياً كان مصدره</w:t>
      </w:r>
      <w:r>
        <w:rPr>
          <w:rFonts w:hint="cs"/>
          <w:color w:val="000000"/>
          <w:rtl/>
          <w:lang w:bidi="ar-EG"/>
        </w:rPr>
        <w:t xml:space="preserve"> ،</w:t>
      </w:r>
      <w:r w:rsidRPr="00315653">
        <w:rPr>
          <w:rFonts w:hint="cs"/>
          <w:color w:val="000000"/>
          <w:rtl/>
          <w:lang w:bidi="ar-EG"/>
        </w:rPr>
        <w:t xml:space="preserve"> وأياً كان محله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فيجوز ضمان الحق الشخصي الذي يكون مصدره العقد أو العمل غير المشروع أو الإثراء بلا سبب أو القانون</w:t>
      </w:r>
      <w:r>
        <w:rPr>
          <w:rFonts w:hint="cs"/>
          <w:color w:val="000000"/>
          <w:rtl/>
          <w:lang w:bidi="ar-EG"/>
        </w:rPr>
        <w:t xml:space="preserve"> ،</w:t>
      </w:r>
      <w:r w:rsidRPr="00315653">
        <w:rPr>
          <w:rFonts w:hint="cs"/>
          <w:color w:val="000000"/>
          <w:rtl/>
          <w:lang w:bidi="ar-EG"/>
        </w:rPr>
        <w:t xml:space="preserve"> لا فرق بين مصدر ومصدر</w:t>
      </w:r>
      <w:r>
        <w:rPr>
          <w:rFonts w:hint="cs"/>
          <w:color w:val="000000"/>
          <w:rtl/>
          <w:lang w:bidi="ar-EG"/>
        </w:rPr>
        <w:t xml:space="preserve"> ،</w:t>
      </w:r>
      <w:r w:rsidRPr="00315653">
        <w:rPr>
          <w:rFonts w:hint="cs"/>
          <w:color w:val="000000"/>
          <w:rtl/>
          <w:lang w:bidi="ar-EG"/>
        </w:rPr>
        <w:t xml:space="preserve"> فكل هذه الحقوق شخصية يجوز ضمانها بتأمينات خاصة</w:t>
      </w:r>
      <w:r>
        <w:rPr>
          <w:rFonts w:hint="cs"/>
          <w:color w:val="000000"/>
          <w:rtl/>
          <w:lang w:bidi="ar-EG"/>
        </w:rPr>
        <w:t xml:space="preserve"> .</w:t>
      </w:r>
      <w:r w:rsidRPr="00315653">
        <w:rPr>
          <w:rFonts w:hint="cs"/>
          <w:color w:val="000000"/>
          <w:rtl/>
          <w:lang w:bidi="ar-EG"/>
        </w:rPr>
        <w:t xml:space="preserve"> وعلى ذل يجوز للملتزم بالعقد أن يقدم مثلا كفيلا بالتزامه أو يقدم رهناً</w:t>
      </w:r>
      <w:r>
        <w:rPr>
          <w:rFonts w:hint="cs"/>
          <w:color w:val="000000"/>
          <w:rtl/>
          <w:lang w:bidi="ar-EG"/>
        </w:rPr>
        <w:t xml:space="preserve"> ،</w:t>
      </w:r>
      <w:r w:rsidRPr="00315653">
        <w:rPr>
          <w:rFonts w:hint="cs"/>
          <w:color w:val="000000"/>
          <w:rtl/>
          <w:lang w:bidi="ar-EG"/>
        </w:rPr>
        <w:t xml:space="preserve"> وكذلك يجوز للملتزم بالعمل غير المشروع أن يقدم كفالة أو رهناً عن التزامه بالتعويض عن هذا العمل</w:t>
      </w:r>
      <w:r>
        <w:rPr>
          <w:rFonts w:hint="cs"/>
          <w:color w:val="000000"/>
          <w:rtl/>
          <w:lang w:bidi="ar-EG"/>
        </w:rPr>
        <w:t xml:space="preserve"> ،</w:t>
      </w:r>
      <w:r w:rsidRPr="00315653">
        <w:rPr>
          <w:rFonts w:hint="cs"/>
          <w:color w:val="000000"/>
          <w:rtl/>
          <w:lang w:bidi="ar-EG"/>
        </w:rPr>
        <w:t xml:space="preserve"> كما يجوز ذلك للملتزم بالإثراء بلا سبب أو للملتزم بالقانون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ويجوز كذلك ضمان الحق الشخصي</w:t>
      </w:r>
      <w:r>
        <w:rPr>
          <w:rFonts w:hint="cs"/>
          <w:color w:val="000000"/>
          <w:rtl/>
          <w:lang w:bidi="ar-EG"/>
        </w:rPr>
        <w:t xml:space="preserve"> ،</w:t>
      </w:r>
      <w:r w:rsidRPr="00315653">
        <w:rPr>
          <w:rFonts w:hint="cs"/>
          <w:color w:val="000000"/>
          <w:rtl/>
          <w:lang w:bidi="ar-EG"/>
        </w:rPr>
        <w:t xml:space="preserve"> أياً كان محله</w:t>
      </w:r>
      <w:r>
        <w:rPr>
          <w:rFonts w:hint="cs"/>
          <w:color w:val="000000"/>
          <w:rtl/>
          <w:lang w:bidi="ar-EG"/>
        </w:rPr>
        <w:t xml:space="preserve"> .</w:t>
      </w:r>
      <w:r w:rsidRPr="00315653">
        <w:rPr>
          <w:rFonts w:hint="cs"/>
          <w:color w:val="000000"/>
          <w:rtl/>
          <w:lang w:bidi="ar-EG"/>
        </w:rPr>
        <w:t xml:space="preserve"> فقد يكون محل الحق الشخصي نقل حق عيني أو عملا أو امتناعاً عن عمل</w:t>
      </w:r>
      <w:r>
        <w:rPr>
          <w:rFonts w:hint="cs"/>
          <w:color w:val="000000"/>
          <w:rtl/>
          <w:lang w:bidi="ar-EG"/>
        </w:rPr>
        <w:t xml:space="preserve"> ،</w:t>
      </w:r>
      <w:r w:rsidRPr="00315653">
        <w:rPr>
          <w:rFonts w:hint="cs"/>
          <w:color w:val="000000"/>
          <w:rtl/>
          <w:lang w:bidi="ar-EG"/>
        </w:rPr>
        <w:t xml:space="preserve"> فيقدم المدين بهذا الالتزام كفالة أو رهناً مثلا لضمان التزامه</w:t>
      </w:r>
      <w:r>
        <w:rPr>
          <w:rFonts w:hint="cs"/>
          <w:color w:val="000000"/>
          <w:rtl/>
          <w:lang w:bidi="ar-EG"/>
        </w:rPr>
        <w:t xml:space="preserve"> .</w:t>
      </w:r>
      <w:r w:rsidRPr="00315653">
        <w:rPr>
          <w:rFonts w:hint="cs"/>
          <w:color w:val="000000"/>
          <w:rtl/>
          <w:lang w:bidi="ar-EG"/>
        </w:rPr>
        <w:t xml:space="preserve"> فالمقاول يقدم رهناً أو كفالة لضمان التزامه بالعمل الذي تعهد بالقيام به</w:t>
      </w:r>
      <w:r>
        <w:rPr>
          <w:rFonts w:hint="cs"/>
          <w:color w:val="000000"/>
          <w:rtl/>
          <w:lang w:bidi="ar-EG"/>
        </w:rPr>
        <w:t xml:space="preserve"> ،</w:t>
      </w:r>
      <w:r w:rsidRPr="00315653">
        <w:rPr>
          <w:rFonts w:hint="cs"/>
          <w:color w:val="000000"/>
          <w:rtl/>
          <w:lang w:bidi="ar-EG"/>
        </w:rPr>
        <w:t xml:space="preserve"> ويقدم ذلك المتعهد بعدم المنافسة</w:t>
      </w:r>
      <w:r>
        <w:rPr>
          <w:rFonts w:hint="cs"/>
          <w:color w:val="000000"/>
          <w:rtl/>
          <w:lang w:bidi="ar-EG"/>
        </w:rPr>
        <w:t xml:space="preserve"> .</w:t>
      </w:r>
      <w:r w:rsidRPr="00315653">
        <w:rPr>
          <w:rFonts w:hint="cs"/>
          <w:color w:val="000000"/>
          <w:rtl/>
          <w:lang w:bidi="ar-EG"/>
        </w:rPr>
        <w:t xml:space="preserve"> ولكن الغالب أن التأمين الخاص يقدم لضمان نقل حق عيني</w:t>
      </w:r>
      <w:r>
        <w:rPr>
          <w:rFonts w:hint="cs"/>
          <w:color w:val="000000"/>
          <w:rtl/>
          <w:lang w:bidi="ar-EG"/>
        </w:rPr>
        <w:t xml:space="preserve"> ،</w:t>
      </w:r>
      <w:r w:rsidRPr="00315653">
        <w:rPr>
          <w:rFonts w:hint="cs"/>
          <w:color w:val="000000"/>
          <w:rtl/>
          <w:lang w:bidi="ar-EG"/>
        </w:rPr>
        <w:t xml:space="preserve"> ويرجح أن يكون ضماناً للوفاء بمبلغ من النقود</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ثالثاً </w:t>
      </w:r>
      <w:r w:rsidRPr="00315653">
        <w:rPr>
          <w:color w:val="000000"/>
          <w:rtl/>
          <w:lang w:bidi="ar-EG"/>
        </w:rPr>
        <w:t>–</w:t>
      </w:r>
      <w:r w:rsidRPr="00315653">
        <w:rPr>
          <w:rFonts w:hint="cs"/>
          <w:color w:val="000000"/>
          <w:rtl/>
          <w:lang w:bidi="ar-EG"/>
        </w:rPr>
        <w:t xml:space="preserve"> والتأمين الخاص</w:t>
      </w:r>
      <w:r>
        <w:rPr>
          <w:rFonts w:hint="cs"/>
          <w:color w:val="000000"/>
          <w:rtl/>
          <w:lang w:bidi="ar-EG"/>
        </w:rPr>
        <w:t xml:space="preserve"> ،</w:t>
      </w:r>
      <w:r w:rsidRPr="00315653">
        <w:rPr>
          <w:rFonts w:hint="cs"/>
          <w:color w:val="000000"/>
          <w:rtl/>
          <w:lang w:bidi="ar-EG"/>
        </w:rPr>
        <w:t xml:space="preserve"> وهو يضمن حقاً شخصياً</w:t>
      </w:r>
      <w:r>
        <w:rPr>
          <w:rFonts w:hint="cs"/>
          <w:color w:val="000000"/>
          <w:rtl/>
          <w:lang w:bidi="ar-EG"/>
        </w:rPr>
        <w:t xml:space="preserve"> ،</w:t>
      </w:r>
      <w:r w:rsidRPr="00315653">
        <w:rPr>
          <w:rFonts w:hint="cs"/>
          <w:color w:val="000000"/>
          <w:rtl/>
          <w:lang w:bidi="ar-EG"/>
        </w:rPr>
        <w:t xml:space="preserve"> يكون تابعاً له غير مستقل عنه</w:t>
      </w:r>
      <w:r>
        <w:rPr>
          <w:rFonts w:hint="cs"/>
          <w:color w:val="000000"/>
          <w:rtl/>
          <w:lang w:bidi="ar-EG"/>
        </w:rPr>
        <w:t xml:space="preserve"> .</w:t>
      </w:r>
      <w:r w:rsidRPr="00315653">
        <w:rPr>
          <w:rFonts w:hint="cs"/>
          <w:color w:val="000000"/>
          <w:rtl/>
          <w:lang w:bidi="ar-EG"/>
        </w:rPr>
        <w:t xml:space="preserve"> فيسير معه أينما سار</w:t>
      </w:r>
      <w:r>
        <w:rPr>
          <w:rFonts w:hint="cs"/>
          <w:color w:val="000000"/>
          <w:rtl/>
          <w:lang w:bidi="ar-EG"/>
        </w:rPr>
        <w:t xml:space="preserve"> ،</w:t>
      </w:r>
      <w:r w:rsidRPr="00315653">
        <w:rPr>
          <w:rFonts w:hint="cs"/>
          <w:color w:val="000000"/>
          <w:rtl/>
          <w:lang w:bidi="ar-EG"/>
        </w:rPr>
        <w:t xml:space="preserve"> ويتبعه في نشأته ومصيره وانقضائه</w:t>
      </w:r>
      <w:r>
        <w:rPr>
          <w:rFonts w:hint="cs"/>
          <w:color w:val="000000"/>
          <w:rtl/>
          <w:lang w:bidi="ar-EG"/>
        </w:rPr>
        <w:t xml:space="preserve"> .</w:t>
      </w:r>
      <w:r w:rsidRPr="00315653">
        <w:rPr>
          <w:rFonts w:hint="cs"/>
          <w:color w:val="000000"/>
          <w:rtl/>
          <w:lang w:bidi="ar-EG"/>
        </w:rPr>
        <w:t xml:space="preserve"> $9 وهذه التبعية من أهم مقومات التأمين الخاص</w:t>
      </w:r>
      <w:r>
        <w:rPr>
          <w:rFonts w:hint="cs"/>
          <w:color w:val="000000"/>
          <w:rtl/>
          <w:lang w:bidi="ar-EG"/>
        </w:rPr>
        <w:t xml:space="preserve"> ،</w:t>
      </w:r>
      <w:r w:rsidRPr="00315653">
        <w:rPr>
          <w:rFonts w:hint="cs"/>
          <w:color w:val="000000"/>
          <w:rtl/>
          <w:lang w:bidi="ar-EG"/>
        </w:rPr>
        <w:t xml:space="preserve"> وقد تقررت في كثير من النصوص</w:t>
      </w:r>
      <w:r>
        <w:rPr>
          <w:rFonts w:hint="cs"/>
          <w:color w:val="000000"/>
          <w:rtl/>
          <w:lang w:bidi="ar-EG"/>
        </w:rPr>
        <w:t xml:space="preserve"> .</w:t>
      </w:r>
      <w:r w:rsidRPr="00315653">
        <w:rPr>
          <w:rFonts w:hint="cs"/>
          <w:color w:val="000000"/>
          <w:rtl/>
          <w:lang w:bidi="ar-EG"/>
        </w:rPr>
        <w:t xml:space="preserve"> ففي حوالة الحق مثلا قررت المادة 307 مدني أن الحوالة تشمل الحق بضماناته</w:t>
      </w:r>
      <w:r>
        <w:rPr>
          <w:rFonts w:hint="cs"/>
          <w:color w:val="000000"/>
          <w:rtl/>
          <w:lang w:bidi="ar-EG"/>
        </w:rPr>
        <w:t xml:space="preserve"> ،</w:t>
      </w:r>
      <w:r w:rsidRPr="00315653">
        <w:rPr>
          <w:rFonts w:hint="cs"/>
          <w:color w:val="000000"/>
          <w:rtl/>
          <w:lang w:bidi="ar-EG"/>
        </w:rPr>
        <w:t xml:space="preserve"> كالكفالة والامتياز والرهن </w:t>
      </w:r>
      <w:r w:rsidRPr="00315653">
        <w:rPr>
          <w:color w:val="000000"/>
          <w:rtl/>
          <w:lang w:bidi="ar-EG"/>
        </w:rPr>
        <w:t>–</w:t>
      </w:r>
      <w:r w:rsidRPr="00315653">
        <w:rPr>
          <w:rFonts w:hint="cs"/>
          <w:color w:val="000000"/>
          <w:rtl/>
          <w:lang w:bidi="ar-EG"/>
        </w:rPr>
        <w:t xml:space="preserve"> وفي حوالة الدين قررت المادة 318/1 مدني أنه يبقى للدين المحال به ضماناته</w:t>
      </w:r>
      <w:r>
        <w:rPr>
          <w:rFonts w:hint="cs"/>
          <w:color w:val="000000"/>
          <w:rtl/>
          <w:lang w:bidi="ar-EG"/>
        </w:rPr>
        <w:t xml:space="preserve"> ،</w:t>
      </w:r>
      <w:r w:rsidRPr="00315653">
        <w:rPr>
          <w:rFonts w:hint="cs"/>
          <w:color w:val="000000"/>
          <w:rtl/>
          <w:lang w:bidi="ar-EG"/>
        </w:rPr>
        <w:t xml:space="preserve"> على أن الكفيل شخصياً كان أو عينياً لا يلتزم بالضمان إلا إذا رضي الحوالة إذ لا يجبر الكفيل على كفالة شخص لا يرتضيه </w:t>
      </w:r>
      <w:r>
        <w:rPr>
          <w:rFonts w:hint="cs"/>
          <w:color w:val="000000"/>
          <w:rtl/>
          <w:lang w:bidi="ar-EG"/>
        </w:rPr>
        <w:t xml:space="preserve">( </w:t>
      </w:r>
      <w:r w:rsidRPr="00315653">
        <w:rPr>
          <w:rFonts w:hint="cs"/>
          <w:color w:val="000000"/>
          <w:rtl/>
          <w:lang w:bidi="ar-EG"/>
        </w:rPr>
        <w:t>م 318/2 مدني</w:t>
      </w:r>
      <w:r>
        <w:rPr>
          <w:rFonts w:hint="cs"/>
          <w:color w:val="000000"/>
          <w:rtl/>
          <w:lang w:bidi="ar-EG"/>
        </w:rPr>
        <w:t xml:space="preserve"> ) .</w:t>
      </w:r>
      <w:r w:rsidRPr="00315653">
        <w:rPr>
          <w:rFonts w:hint="cs"/>
          <w:color w:val="000000"/>
          <w:rtl/>
          <w:lang w:bidi="ar-EG"/>
        </w:rPr>
        <w:t xml:space="preserve"> وفي الوفاء مع الحلول قررت المادة </w:t>
      </w:r>
      <w:r w:rsidRPr="00315653">
        <w:rPr>
          <w:rFonts w:hint="cs"/>
          <w:color w:val="000000"/>
          <w:rtl/>
          <w:lang w:bidi="ar-EG"/>
        </w:rPr>
        <w:lastRenderedPageBreak/>
        <w:t>339 مدني أن من حل قانوناً أو اتفاقاً محل الدائن كان له حقه</w:t>
      </w:r>
      <w:r>
        <w:rPr>
          <w:rFonts w:hint="cs"/>
          <w:color w:val="000000"/>
          <w:rtl/>
          <w:lang w:bidi="ar-EG"/>
        </w:rPr>
        <w:t xml:space="preserve"> ،</w:t>
      </w:r>
      <w:r w:rsidRPr="00315653">
        <w:rPr>
          <w:rFonts w:hint="cs"/>
          <w:color w:val="000000"/>
          <w:rtl/>
          <w:lang w:bidi="ar-EG"/>
        </w:rPr>
        <w:t xml:space="preserve"> بما يكفل هذا الحق من تأمينات</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وكذلك الكفالة تتبع الالتزام المكفول</w:t>
      </w:r>
      <w:r>
        <w:rPr>
          <w:rFonts w:hint="cs"/>
          <w:color w:val="000000"/>
          <w:rtl/>
          <w:lang w:bidi="ar-EG"/>
        </w:rPr>
        <w:t xml:space="preserve"> ،</w:t>
      </w:r>
      <w:r w:rsidRPr="00315653">
        <w:rPr>
          <w:rFonts w:hint="cs"/>
          <w:color w:val="000000"/>
          <w:rtl/>
          <w:lang w:bidi="ar-EG"/>
        </w:rPr>
        <w:t xml:space="preserve"> فلا تكون صحيحة إلا إذا كان هذا الالتزام صحيحاً </w:t>
      </w:r>
      <w:r>
        <w:rPr>
          <w:rFonts w:hint="cs"/>
          <w:color w:val="000000"/>
          <w:rtl/>
          <w:lang w:bidi="ar-EG"/>
        </w:rPr>
        <w:t xml:space="preserve">( </w:t>
      </w:r>
      <w:r w:rsidRPr="00315653">
        <w:rPr>
          <w:rFonts w:hint="cs"/>
          <w:color w:val="000000"/>
          <w:rtl/>
          <w:lang w:bidi="ar-EG"/>
        </w:rPr>
        <w:t>م 776 مدني</w:t>
      </w:r>
      <w:r>
        <w:rPr>
          <w:rFonts w:hint="cs"/>
          <w:color w:val="000000"/>
          <w:rtl/>
          <w:lang w:bidi="ar-EG"/>
        </w:rPr>
        <w:t xml:space="preserve"> ) .</w:t>
      </w:r>
      <w:r w:rsidRPr="00315653">
        <w:rPr>
          <w:rFonts w:hint="cs"/>
          <w:color w:val="000000"/>
          <w:rtl/>
          <w:lang w:bidi="ar-EG"/>
        </w:rPr>
        <w:t xml:space="preserve"> والرهن لا ينفصل عن الدين المضمون</w:t>
      </w:r>
      <w:r>
        <w:rPr>
          <w:rFonts w:hint="cs"/>
          <w:color w:val="000000"/>
          <w:rtl/>
          <w:lang w:bidi="ar-EG"/>
        </w:rPr>
        <w:t xml:space="preserve"> ،</w:t>
      </w:r>
      <w:r w:rsidRPr="00315653">
        <w:rPr>
          <w:rFonts w:hint="cs"/>
          <w:color w:val="000000"/>
          <w:rtl/>
          <w:lang w:bidi="ar-EG"/>
        </w:rPr>
        <w:t xml:space="preserve"> بل يكون تابعاً له في صحته وانقضائه</w:t>
      </w:r>
      <w:r>
        <w:rPr>
          <w:rFonts w:hint="cs"/>
          <w:color w:val="000000"/>
          <w:rtl/>
          <w:lang w:bidi="ar-EG"/>
        </w:rPr>
        <w:t xml:space="preserve"> ،</w:t>
      </w:r>
      <w:r w:rsidRPr="00315653">
        <w:rPr>
          <w:rFonts w:hint="cs"/>
          <w:color w:val="000000"/>
          <w:rtl/>
          <w:lang w:bidi="ar-EG"/>
        </w:rPr>
        <w:t xml:space="preserve"> ما لم ينص القانون على غير ذلك </w:t>
      </w:r>
      <w:r>
        <w:rPr>
          <w:rFonts w:hint="cs"/>
          <w:color w:val="000000"/>
          <w:rtl/>
          <w:lang w:bidi="ar-EG"/>
        </w:rPr>
        <w:t xml:space="preserve">( </w:t>
      </w:r>
      <w:r w:rsidRPr="00315653">
        <w:rPr>
          <w:rFonts w:hint="cs"/>
          <w:color w:val="000000"/>
          <w:rtl/>
          <w:lang w:bidi="ar-EG"/>
        </w:rPr>
        <w:t>م 1042 مدني</w:t>
      </w:r>
      <w:r>
        <w:rPr>
          <w:rFonts w:hint="cs"/>
          <w:color w:val="000000"/>
          <w:rtl/>
          <w:lang w:bidi="ar-EG"/>
        </w:rPr>
        <w:t xml:space="preserve"> )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فالتأمين الخاص لا بد أن يتبع حقا</w:t>
      </w:r>
      <w:r w:rsidRPr="00315653">
        <w:rPr>
          <w:rFonts w:hint="cs"/>
          <w:color w:val="000000"/>
          <w:rtl/>
        </w:rPr>
        <w:t>ً</w:t>
      </w:r>
      <w:r w:rsidRPr="00315653">
        <w:rPr>
          <w:rFonts w:hint="cs"/>
          <w:color w:val="000000"/>
          <w:rtl/>
          <w:lang w:bidi="ar-EG"/>
        </w:rPr>
        <w:t xml:space="preserve"> شخصياً لضمانه</w:t>
      </w:r>
      <w:r>
        <w:rPr>
          <w:rFonts w:hint="cs"/>
          <w:color w:val="000000"/>
          <w:rtl/>
          <w:lang w:bidi="ar-EG"/>
        </w:rPr>
        <w:t xml:space="preserve"> ،</w:t>
      </w:r>
      <w:r w:rsidRPr="00315653">
        <w:rPr>
          <w:rFonts w:hint="cs"/>
          <w:color w:val="000000"/>
          <w:rtl/>
          <w:lang w:bidi="ar-EG"/>
        </w:rPr>
        <w:t xml:space="preserve"> فإذا لم يقم هذا الحق الشخصي لم يقم التأمين الخاص</w:t>
      </w:r>
      <w:r>
        <w:rPr>
          <w:rFonts w:hint="cs"/>
          <w:color w:val="000000"/>
          <w:rtl/>
          <w:lang w:bidi="ar-EG"/>
        </w:rPr>
        <w:t xml:space="preserve"> ،</w:t>
      </w:r>
      <w:r w:rsidRPr="00315653">
        <w:rPr>
          <w:rFonts w:hint="cs"/>
          <w:color w:val="000000"/>
          <w:rtl/>
          <w:lang w:bidi="ar-EG"/>
        </w:rPr>
        <w:t xml:space="preserve"> وإذا انقضى الحق الشخصي لأي سبب من أسباب الانقضاء انقضى معه التأمين الخاص</w:t>
      </w:r>
      <w:r>
        <w:rPr>
          <w:rFonts w:hint="cs"/>
          <w:color w:val="000000"/>
          <w:rtl/>
          <w:lang w:bidi="ar-EG"/>
        </w:rPr>
        <w:t xml:space="preserve"> ،</w:t>
      </w:r>
      <w:r w:rsidRPr="00315653">
        <w:rPr>
          <w:rFonts w:hint="cs"/>
          <w:color w:val="000000"/>
          <w:rtl/>
          <w:lang w:bidi="ar-EG"/>
        </w:rPr>
        <w:t xml:space="preserve"> إذ أن التابع يتبع الأصل </w:t>
      </w:r>
      <w:r>
        <w:rPr>
          <w:color w:val="000000"/>
          <w:rtl/>
          <w:lang w:bidi="ar-EG"/>
        </w:rPr>
        <w:t xml:space="preserve">( </w:t>
      </w:r>
      <w:r w:rsidRPr="00315653">
        <w:rPr>
          <w:color w:val="000000"/>
          <w:lang w:bidi="ar-EG"/>
        </w:rPr>
        <w:t>accessorium seq??ut principale</w:t>
      </w:r>
      <w:r>
        <w:rPr>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5- قسمان لهذا الجزء العاشر</w:t>
      </w:r>
      <w:r>
        <w:rPr>
          <w:rFonts w:hint="cs"/>
          <w:color w:val="000000"/>
          <w:rtl/>
        </w:rPr>
        <w:t xml:space="preserve"> :</w:t>
      </w:r>
      <w:r w:rsidRPr="00315653">
        <w:rPr>
          <w:rFonts w:hint="cs"/>
          <w:color w:val="000000"/>
          <w:rtl/>
        </w:rPr>
        <w:t xml:space="preserve"> وينقسم هذا الجزء العاشر إلى قسمين</w:t>
      </w:r>
      <w:r>
        <w:rPr>
          <w:rFonts w:hint="cs"/>
          <w:color w:val="000000"/>
          <w:rtl/>
        </w:rPr>
        <w:t xml:space="preserve"> :</w:t>
      </w:r>
      <w:r w:rsidRPr="00315653">
        <w:rPr>
          <w:rFonts w:hint="cs"/>
          <w:color w:val="000000"/>
          <w:rtl/>
        </w:rPr>
        <w:t xml:space="preserve"> القسم الأول في التأمينات الشخصية</w:t>
      </w:r>
      <w:r>
        <w:rPr>
          <w:rFonts w:hint="cs"/>
          <w:color w:val="000000"/>
          <w:rtl/>
        </w:rPr>
        <w:t xml:space="preserve"> ،</w:t>
      </w:r>
      <w:r w:rsidRPr="00315653">
        <w:rPr>
          <w:rFonts w:hint="cs"/>
          <w:color w:val="000000"/>
          <w:rtl/>
        </w:rPr>
        <w:t xml:space="preserve"> والقسم الثاني وهو الأهم في التأمينات العينية</w:t>
      </w:r>
      <w:r>
        <w:rPr>
          <w:rFonts w:hint="cs"/>
          <w:color w:val="000000"/>
          <w:rtl/>
        </w:rPr>
        <w:t xml:space="preserve"> .</w:t>
      </w:r>
    </w:p>
    <w:p w:rsidR="00F72742" w:rsidRPr="00315653" w:rsidRDefault="00F72742" w:rsidP="00F72742">
      <w:pPr>
        <w:widowControl w:val="0"/>
        <w:spacing w:after="120"/>
        <w:jc w:val="lowKashida"/>
        <w:rPr>
          <w:rFonts w:hint="cs"/>
          <w:color w:val="000000"/>
          <w:rtl/>
        </w:rPr>
      </w:pPr>
      <w:r w:rsidRPr="00315653">
        <w:rPr>
          <w:color w:val="000000"/>
          <w:rtl/>
        </w:rPr>
        <w:br w:type="page"/>
      </w:r>
      <w:r w:rsidRPr="00315653">
        <w:rPr>
          <w:color w:val="000000"/>
          <w:rtl/>
        </w:rPr>
        <w:lastRenderedPageBreak/>
        <w:br w:type="page"/>
      </w:r>
    </w:p>
    <w:p w:rsidR="00F72742" w:rsidRPr="00315653" w:rsidRDefault="00F72742" w:rsidP="00F72742">
      <w:pPr>
        <w:widowControl w:val="0"/>
        <w:spacing w:after="120"/>
        <w:jc w:val="lowKashida"/>
        <w:rPr>
          <w:rFonts w:hint="cs"/>
          <w:color w:val="000000"/>
          <w:rtl/>
        </w:rPr>
      </w:pPr>
    </w:p>
    <w:p w:rsidR="00F72742" w:rsidRPr="00315653" w:rsidRDefault="00F72742" w:rsidP="00F72742">
      <w:pPr>
        <w:widowControl w:val="0"/>
        <w:spacing w:after="120"/>
        <w:jc w:val="lowKashida"/>
        <w:rPr>
          <w:rFonts w:hint="cs"/>
          <w:color w:val="000000"/>
          <w:rtl/>
        </w:rPr>
      </w:pPr>
    </w:p>
    <w:p w:rsidR="00F72742" w:rsidRPr="00315653" w:rsidRDefault="00F72742" w:rsidP="00F72742">
      <w:pPr>
        <w:widowControl w:val="0"/>
        <w:spacing w:after="120"/>
        <w:jc w:val="lowKashida"/>
        <w:rPr>
          <w:rFonts w:hint="cs"/>
          <w:color w:val="000000"/>
          <w:rtl/>
        </w:rPr>
      </w:pPr>
    </w:p>
    <w:p w:rsidR="00F72742" w:rsidRPr="00315653" w:rsidRDefault="00F72742" w:rsidP="00F72742">
      <w:pPr>
        <w:widowControl w:val="0"/>
        <w:spacing w:after="120"/>
        <w:jc w:val="lowKashida"/>
        <w:rPr>
          <w:rFonts w:hint="cs"/>
          <w:color w:val="000000"/>
          <w:rtl/>
        </w:rPr>
      </w:pPr>
    </w:p>
    <w:p w:rsidR="00F72742" w:rsidRPr="00315653" w:rsidRDefault="00F72742" w:rsidP="00F72742">
      <w:pPr>
        <w:widowControl w:val="0"/>
        <w:spacing w:after="120"/>
        <w:jc w:val="center"/>
        <w:rPr>
          <w:rFonts w:hint="cs"/>
          <w:b/>
          <w:bCs/>
          <w:color w:val="000000"/>
          <w:sz w:val="36"/>
          <w:szCs w:val="40"/>
          <w:rtl/>
        </w:rPr>
      </w:pPr>
      <w:r w:rsidRPr="00315653">
        <w:rPr>
          <w:rFonts w:hint="cs"/>
          <w:b/>
          <w:bCs/>
          <w:color w:val="000000"/>
          <w:sz w:val="36"/>
          <w:szCs w:val="40"/>
          <w:rtl/>
        </w:rPr>
        <w:t>القسم الأول</w:t>
      </w:r>
    </w:p>
    <w:p w:rsidR="00F72742" w:rsidRPr="00315653" w:rsidRDefault="00F72742" w:rsidP="00F72742">
      <w:pPr>
        <w:widowControl w:val="0"/>
        <w:spacing w:after="120"/>
        <w:jc w:val="center"/>
        <w:rPr>
          <w:rFonts w:hint="cs"/>
          <w:b/>
          <w:bCs/>
          <w:color w:val="000000"/>
          <w:rtl/>
        </w:rPr>
      </w:pPr>
      <w:r w:rsidRPr="00315653">
        <w:rPr>
          <w:rFonts w:hint="cs"/>
          <w:b/>
          <w:bCs/>
          <w:color w:val="000000"/>
          <w:rtl/>
        </w:rPr>
        <w:t>التأمينات الشخصية</w:t>
      </w:r>
    </w:p>
    <w:p w:rsidR="00F72742" w:rsidRPr="00315653" w:rsidRDefault="00F72742" w:rsidP="00F72742">
      <w:pPr>
        <w:widowControl w:val="0"/>
        <w:spacing w:after="120"/>
        <w:jc w:val="center"/>
        <w:rPr>
          <w:rFonts w:hint="cs"/>
          <w:b/>
          <w:bCs/>
          <w:color w:val="000000"/>
          <w:sz w:val="48"/>
          <w:szCs w:val="52"/>
          <w:rtl/>
        </w:rPr>
      </w:pPr>
      <w:r w:rsidRPr="00315653">
        <w:rPr>
          <w:color w:val="000000"/>
          <w:rtl/>
        </w:rPr>
        <w:br w:type="page"/>
      </w:r>
      <w:r w:rsidRPr="00315653">
        <w:rPr>
          <w:color w:val="000000"/>
          <w:rtl/>
        </w:rPr>
        <w:lastRenderedPageBreak/>
        <w:br w:type="page"/>
      </w:r>
      <w:r w:rsidRPr="00315653">
        <w:rPr>
          <w:rFonts w:hint="cs"/>
          <w:b/>
          <w:bCs/>
          <w:color w:val="000000"/>
          <w:sz w:val="48"/>
          <w:szCs w:val="52"/>
          <w:rtl/>
        </w:rPr>
        <w:lastRenderedPageBreak/>
        <w:t>تمهيد</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6- ظهور التأمينات الشخصية قبل ظهور التأمينات العينية</w:t>
      </w:r>
      <w:r>
        <w:rPr>
          <w:rFonts w:hint="cs"/>
          <w:color w:val="000000"/>
          <w:rtl/>
        </w:rPr>
        <w:t xml:space="preserve"> :</w:t>
      </w:r>
      <w:r w:rsidRPr="00315653">
        <w:rPr>
          <w:rFonts w:hint="cs"/>
          <w:color w:val="000000"/>
          <w:rtl/>
        </w:rPr>
        <w:t xml:space="preserve"> بدأت التأمينات الشخصية</w:t>
      </w:r>
      <w:r>
        <w:rPr>
          <w:rFonts w:hint="cs"/>
          <w:color w:val="000000"/>
          <w:rtl/>
        </w:rPr>
        <w:t xml:space="preserve"> ،</w:t>
      </w:r>
      <w:r w:rsidRPr="00315653">
        <w:rPr>
          <w:rFonts w:hint="cs"/>
          <w:color w:val="000000"/>
          <w:rtl/>
        </w:rPr>
        <w:t xml:space="preserve"> كالتضامن والكفالة</w:t>
      </w:r>
      <w:r>
        <w:rPr>
          <w:rFonts w:hint="cs"/>
          <w:color w:val="000000"/>
          <w:rtl/>
        </w:rPr>
        <w:t xml:space="preserve"> ،</w:t>
      </w:r>
      <w:r w:rsidRPr="00315653">
        <w:rPr>
          <w:rFonts w:hint="cs"/>
          <w:color w:val="000000"/>
          <w:rtl/>
        </w:rPr>
        <w:t xml:space="preserve"> في الظهور في المجتمعات البدائية قبل ظهور التأمينات العينية</w:t>
      </w:r>
      <w:r>
        <w:rPr>
          <w:rFonts w:hint="cs"/>
          <w:color w:val="000000"/>
          <w:rtl/>
        </w:rPr>
        <w:t xml:space="preserve"> .</w:t>
      </w:r>
      <w:r w:rsidRPr="00315653">
        <w:rPr>
          <w:rFonts w:hint="cs"/>
          <w:color w:val="000000"/>
          <w:rtl/>
        </w:rPr>
        <w:t xml:space="preserve"> وكان لذلك سببان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Pr>
          <w:rFonts w:hint="cs"/>
          <w:color w:val="000000"/>
          <w:rtl/>
        </w:rPr>
        <w:t xml:space="preserve">( </w:t>
      </w:r>
      <w:r w:rsidRPr="00315653">
        <w:rPr>
          <w:rFonts w:hint="cs"/>
          <w:color w:val="000000"/>
          <w:rtl/>
        </w:rPr>
        <w:t>السبب الأول</w:t>
      </w:r>
      <w:r>
        <w:rPr>
          <w:rFonts w:hint="cs"/>
          <w:color w:val="000000"/>
          <w:rtl/>
        </w:rPr>
        <w:t xml:space="preserve"> )</w:t>
      </w:r>
      <w:r w:rsidRPr="00315653">
        <w:rPr>
          <w:rFonts w:hint="cs"/>
          <w:color w:val="000000"/>
          <w:rtl/>
        </w:rPr>
        <w:t xml:space="preserve"> أن التأمينات العينية تفترض حضارة أكثر تقدماً</w:t>
      </w:r>
      <w:r>
        <w:rPr>
          <w:rFonts w:hint="cs"/>
          <w:color w:val="000000"/>
          <w:rtl/>
        </w:rPr>
        <w:t xml:space="preserve"> ،</w:t>
      </w:r>
      <w:r w:rsidRPr="00315653">
        <w:rPr>
          <w:rFonts w:hint="cs"/>
          <w:color w:val="000000"/>
          <w:rtl/>
        </w:rPr>
        <w:t xml:space="preserve"> إذ كان يسبقها تنظيم حق الملكية</w:t>
      </w:r>
      <w:r>
        <w:rPr>
          <w:rFonts w:hint="cs"/>
          <w:color w:val="000000"/>
          <w:rtl/>
        </w:rPr>
        <w:t xml:space="preserve"> ،</w:t>
      </w:r>
      <w:r w:rsidRPr="00315653">
        <w:rPr>
          <w:rFonts w:hint="cs"/>
          <w:color w:val="000000"/>
          <w:rtl/>
        </w:rPr>
        <w:t xml:space="preserve"> ثم تفريع الحقوق العينية الأخرى عن هذا الحق</w:t>
      </w:r>
      <w:r>
        <w:rPr>
          <w:rFonts w:hint="cs"/>
          <w:color w:val="000000"/>
          <w:rtl/>
        </w:rPr>
        <w:t xml:space="preserve"> ،</w:t>
      </w:r>
      <w:r w:rsidRPr="00315653">
        <w:rPr>
          <w:rFonts w:hint="cs"/>
          <w:color w:val="000000"/>
          <w:rtl/>
        </w:rPr>
        <w:t xml:space="preserve"> ثم التمييز بين الحقوق العينية الأصلية والحقوق العينية التبعية إذ لم تكن التأمينات العينية إلا حقوقاً عينية تبعية</w:t>
      </w:r>
      <w:r>
        <w:rPr>
          <w:rFonts w:hint="cs"/>
          <w:color w:val="000000"/>
          <w:rtl/>
        </w:rPr>
        <w:t xml:space="preserve"> .</w:t>
      </w:r>
      <w:r w:rsidRPr="00315653">
        <w:rPr>
          <w:rFonts w:hint="cs"/>
          <w:color w:val="000000"/>
          <w:rtl/>
        </w:rPr>
        <w:t xml:space="preserve"> وهذا كله يفترض تقدماً في الحضارة</w:t>
      </w:r>
      <w:r>
        <w:rPr>
          <w:rFonts w:hint="cs"/>
          <w:color w:val="000000"/>
          <w:rtl/>
        </w:rPr>
        <w:t xml:space="preserve"> ،</w:t>
      </w:r>
      <w:r w:rsidRPr="00315653">
        <w:rPr>
          <w:rFonts w:hint="cs"/>
          <w:color w:val="000000"/>
          <w:rtl/>
        </w:rPr>
        <w:t xml:space="preserve"> وتنوعاً في الحقوق</w:t>
      </w:r>
      <w:r>
        <w:rPr>
          <w:rFonts w:hint="cs"/>
          <w:color w:val="000000"/>
          <w:rtl/>
        </w:rPr>
        <w:t xml:space="preserve"> .</w:t>
      </w:r>
      <w:r w:rsidRPr="00315653">
        <w:rPr>
          <w:rFonts w:hint="cs"/>
          <w:color w:val="000000"/>
          <w:rtl/>
        </w:rPr>
        <w:t xml:space="preserve"> ولذلك تأخرت التأمينات العينية في الظهور عن التأمينات الشخصية</w:t>
      </w:r>
      <w:r>
        <w:rPr>
          <w:rFonts w:hint="cs"/>
          <w:color w:val="000000"/>
          <w:rtl/>
        </w:rPr>
        <w:t xml:space="preserve"> ،</w:t>
      </w:r>
      <w:r w:rsidRPr="00315653">
        <w:rPr>
          <w:rFonts w:hint="cs"/>
          <w:color w:val="000000"/>
          <w:rtl/>
        </w:rPr>
        <w:t xml:space="preserve"> إذ أن هذه التأمينات الأخيرة لم تكن تفترض إلا أن تضم ذمة إلى ذمة أخرى على قدم المساواة أو على التعاقب</w:t>
      </w:r>
      <w:r>
        <w:rPr>
          <w:rFonts w:hint="cs"/>
          <w:color w:val="000000"/>
          <w:rtl/>
        </w:rPr>
        <w:t xml:space="preserve"> .</w:t>
      </w:r>
      <w:r w:rsidRPr="00315653">
        <w:rPr>
          <w:rFonts w:hint="cs"/>
          <w:color w:val="000000"/>
          <w:rtl/>
        </w:rPr>
        <w:t xml:space="preserve"> وكانت التأمينات الشخصية في روما هي الأولى في الظهور فعلا</w:t>
      </w:r>
      <w:r>
        <w:rPr>
          <w:rFonts w:hint="cs"/>
          <w:color w:val="000000"/>
          <w:rtl/>
        </w:rPr>
        <w:t xml:space="preserve"> ،</w:t>
      </w:r>
      <w:r w:rsidRPr="00315653">
        <w:rPr>
          <w:rFonts w:hint="cs"/>
          <w:color w:val="000000"/>
          <w:rtl/>
        </w:rPr>
        <w:t xml:space="preserve"> ولم تظهر التأمينات العينية وبخاصة حق الرهن إلا في وقت متأخر تحت تأثير القانون اليوناني</w:t>
      </w:r>
      <w:r>
        <w:rPr>
          <w:rFonts w:hint="cs"/>
          <w:color w:val="000000"/>
          <w:vertAlign w:val="superscript"/>
          <w:rtl/>
          <w:lang w:bidi="ar-EG"/>
        </w:rPr>
        <w:t xml:space="preserve">( </w:t>
      </w:r>
      <w:r w:rsidRPr="00315653">
        <w:rPr>
          <w:rStyle w:val="ab"/>
          <w:color w:val="000000"/>
          <w:rtl/>
          <w:lang w:bidi="ar-EG"/>
        </w:rPr>
        <w:footnoteReference w:id="1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rPr>
        <w:t xml:space="preserve">( </w:t>
      </w:r>
      <w:r w:rsidRPr="00315653">
        <w:rPr>
          <w:rFonts w:hint="cs"/>
          <w:color w:val="000000"/>
          <w:rtl/>
        </w:rPr>
        <w:t>والسبب الثاني</w:t>
      </w:r>
      <w:r>
        <w:rPr>
          <w:rFonts w:hint="cs"/>
          <w:color w:val="000000"/>
          <w:rtl/>
        </w:rPr>
        <w:t xml:space="preserve"> )</w:t>
      </w:r>
      <w:r w:rsidRPr="00315653">
        <w:rPr>
          <w:rFonts w:hint="cs"/>
          <w:color w:val="000000"/>
          <w:rtl/>
        </w:rPr>
        <w:t xml:space="preserve"> أن التأمينات كان ظهرها بادئ ذي بدء أمراً طبيعياً</w:t>
      </w:r>
      <w:r>
        <w:rPr>
          <w:rFonts w:hint="cs"/>
          <w:color w:val="000000"/>
          <w:rtl/>
        </w:rPr>
        <w:t xml:space="preserve"> ،</w:t>
      </w:r>
      <w:r w:rsidRPr="00315653">
        <w:rPr>
          <w:rFonts w:hint="cs"/>
          <w:color w:val="000000"/>
          <w:rtl/>
        </w:rPr>
        <w:t xml:space="preserve"> إذ كان المدينون في أول الأمر من الطبقة الفقيرة لا تملك ما تقدمه تأميناً عينياً</w:t>
      </w:r>
      <w:r>
        <w:rPr>
          <w:rFonts w:hint="cs"/>
          <w:color w:val="000000"/>
          <w:rtl/>
        </w:rPr>
        <w:t xml:space="preserve"> ،</w:t>
      </w:r>
      <w:r w:rsidRPr="00315653">
        <w:rPr>
          <w:rFonts w:hint="cs"/>
          <w:color w:val="000000"/>
          <w:rtl/>
        </w:rPr>
        <w:t xml:space="preserve"> فقد كانت التأمينات العينية تقوم في أساسها على العقار</w:t>
      </w:r>
      <w:r>
        <w:rPr>
          <w:rFonts w:hint="cs"/>
          <w:color w:val="000000"/>
          <w:rtl/>
        </w:rPr>
        <w:t xml:space="preserve"> .</w:t>
      </w:r>
      <w:r w:rsidRPr="00315653">
        <w:rPr>
          <w:rFonts w:hint="cs"/>
          <w:color w:val="000000"/>
          <w:rtl/>
        </w:rPr>
        <w:t xml:space="preserve"> وكان العقار هو ملك الأسرة جميعاً إذ كان يمثل الثروة الحقيقية</w:t>
      </w:r>
      <w:r>
        <w:rPr>
          <w:rFonts w:hint="cs"/>
          <w:color w:val="000000"/>
          <w:rtl/>
        </w:rPr>
        <w:t xml:space="preserve"> ،</w:t>
      </w:r>
      <w:r w:rsidRPr="00315653">
        <w:rPr>
          <w:rFonts w:hint="cs"/>
          <w:color w:val="000000"/>
          <w:rtl/>
        </w:rPr>
        <w:t xml:space="preserve"> ويمثل الأسرة رئيسها فهو وحده الذي يجوز العقار  ولا يملكه</w:t>
      </w:r>
      <w:r>
        <w:rPr>
          <w:rFonts w:hint="cs"/>
          <w:color w:val="000000"/>
          <w:rtl/>
        </w:rPr>
        <w:t xml:space="preserve"> .</w:t>
      </w:r>
      <w:r w:rsidRPr="00315653">
        <w:rPr>
          <w:rFonts w:hint="cs"/>
          <w:color w:val="000000"/>
          <w:rtl/>
        </w:rPr>
        <w:t xml:space="preserve"> أما بقية أفراد الأسرة فكانوا يلجأون إلى التأمينات الشخصية</w:t>
      </w:r>
      <w:r>
        <w:rPr>
          <w:rFonts w:hint="cs"/>
          <w:color w:val="000000"/>
          <w:rtl/>
        </w:rPr>
        <w:t xml:space="preserve"> ،</w:t>
      </w:r>
      <w:r w:rsidRPr="00315653">
        <w:rPr>
          <w:rFonts w:hint="cs"/>
          <w:color w:val="000000"/>
          <w:rtl/>
        </w:rPr>
        <w:t xml:space="preserve"> ويساعدهم على ذلك قيام روابط الأسرة والتضامن فيما بين أفرادها</w:t>
      </w:r>
      <w:r>
        <w:rPr>
          <w:rFonts w:hint="cs"/>
          <w:color w:val="000000"/>
          <w:rtl/>
        </w:rPr>
        <w:t xml:space="preserve"> .</w:t>
      </w:r>
      <w:r w:rsidRPr="00315653">
        <w:rPr>
          <w:rFonts w:hint="cs"/>
          <w:color w:val="000000"/>
          <w:rtl/>
        </w:rPr>
        <w:t xml:space="preserve">  فكان الفرد لا يعدم من أفراد قبيلته</w:t>
      </w:r>
      <w:r>
        <w:rPr>
          <w:rFonts w:hint="cs"/>
          <w:color w:val="000000"/>
          <w:rtl/>
        </w:rPr>
        <w:t xml:space="preserve"> ،</w:t>
      </w:r>
      <w:r w:rsidRPr="00315653">
        <w:rPr>
          <w:rFonts w:hint="cs"/>
          <w:color w:val="000000"/>
          <w:rtl/>
        </w:rPr>
        <w:t xml:space="preserve"> ثم من أفراد أسرته</w:t>
      </w:r>
      <w:r>
        <w:rPr>
          <w:rFonts w:hint="cs"/>
          <w:color w:val="000000"/>
          <w:rtl/>
        </w:rPr>
        <w:t xml:space="preserve"> ،</w:t>
      </w:r>
      <w:r w:rsidRPr="00315653">
        <w:rPr>
          <w:rFonts w:hint="cs"/>
          <w:color w:val="000000"/>
          <w:rtl/>
        </w:rPr>
        <w:t xml:space="preserve"> من يتضامن معه ويكفل الدين عنه</w:t>
      </w:r>
      <w:r>
        <w:rPr>
          <w:rFonts w:hint="cs"/>
          <w:color w:val="000000"/>
          <w:rtl/>
        </w:rPr>
        <w:t xml:space="preserve"> ،</w:t>
      </w:r>
      <w:r w:rsidRPr="00315653">
        <w:rPr>
          <w:rFonts w:hint="cs"/>
          <w:color w:val="000000"/>
          <w:rtl/>
        </w:rPr>
        <w:t xml:space="preserve"> فكان النظام الاجتماعي للقبيلة ثم للأسرة يهيئ السبيل إلى التأمينات الشخصية من تضامن وكفالة</w:t>
      </w:r>
      <w:r>
        <w:rPr>
          <w:rFonts w:hint="cs"/>
          <w:color w:val="000000"/>
          <w:vertAlign w:val="superscript"/>
          <w:rtl/>
          <w:lang w:bidi="ar-EG"/>
        </w:rPr>
        <w:t xml:space="preserve">( </w:t>
      </w:r>
      <w:r w:rsidRPr="00315653">
        <w:rPr>
          <w:rStyle w:val="ab"/>
          <w:color w:val="000000"/>
          <w:rtl/>
          <w:lang w:bidi="ar-EG"/>
        </w:rPr>
        <w:footnoteReference w:id="1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$14 </w:t>
      </w:r>
      <w:r w:rsidRPr="00315653">
        <w:rPr>
          <w:rFonts w:hint="cs"/>
          <w:b/>
          <w:bCs/>
          <w:color w:val="000000"/>
          <w:rtl/>
          <w:lang w:bidi="ar-EG"/>
        </w:rPr>
        <w:t>7- تفوق التأمينات العينية على التأمينات الشخصية</w:t>
      </w:r>
      <w:r>
        <w:rPr>
          <w:rFonts w:hint="cs"/>
          <w:color w:val="000000"/>
          <w:rtl/>
          <w:lang w:bidi="ar-EG"/>
        </w:rPr>
        <w:t xml:space="preserve"> :</w:t>
      </w:r>
      <w:r w:rsidRPr="00315653">
        <w:rPr>
          <w:rFonts w:hint="cs"/>
          <w:color w:val="000000"/>
          <w:rtl/>
          <w:lang w:bidi="ar-EG"/>
        </w:rPr>
        <w:t xml:space="preserve"> ولما ظهرت التأمينات العينية</w:t>
      </w:r>
      <w:r>
        <w:rPr>
          <w:rFonts w:hint="cs"/>
          <w:color w:val="000000"/>
          <w:rtl/>
          <w:lang w:bidi="ar-EG"/>
        </w:rPr>
        <w:t xml:space="preserve"> ،</w:t>
      </w:r>
      <w:r w:rsidRPr="00315653">
        <w:rPr>
          <w:rFonts w:hint="cs"/>
          <w:color w:val="000000"/>
          <w:rtl/>
          <w:lang w:bidi="ar-EG"/>
        </w:rPr>
        <w:t xml:space="preserve"> بعد أن تطور القانون على النحو السالف الذكر</w:t>
      </w:r>
      <w:r>
        <w:rPr>
          <w:rFonts w:hint="cs"/>
          <w:color w:val="000000"/>
          <w:rtl/>
          <w:lang w:bidi="ar-EG"/>
        </w:rPr>
        <w:t xml:space="preserve"> ،</w:t>
      </w:r>
      <w:r w:rsidRPr="00315653">
        <w:rPr>
          <w:rFonts w:hint="cs"/>
          <w:color w:val="000000"/>
          <w:rtl/>
          <w:lang w:bidi="ar-EG"/>
        </w:rPr>
        <w:t xml:space="preserve"> كان ظهورها سببه تفوقها على التأمينات الشخصية</w:t>
      </w:r>
      <w:r>
        <w:rPr>
          <w:rFonts w:hint="cs"/>
          <w:color w:val="000000"/>
          <w:rtl/>
          <w:lang w:bidi="ar-EG"/>
        </w:rPr>
        <w:t xml:space="preserve"> .</w:t>
      </w:r>
      <w:r w:rsidRPr="00315653">
        <w:rPr>
          <w:rFonts w:hint="cs"/>
          <w:color w:val="000000"/>
          <w:rtl/>
          <w:lang w:bidi="ar-EG"/>
        </w:rPr>
        <w:t xml:space="preserve"> فالتأمينات الشخصية هي ضم ذمة إلى ذمة أخرى</w:t>
      </w:r>
      <w:r>
        <w:rPr>
          <w:rFonts w:hint="cs"/>
          <w:color w:val="000000"/>
          <w:rtl/>
          <w:lang w:bidi="ar-EG"/>
        </w:rPr>
        <w:t xml:space="preserve"> ،</w:t>
      </w:r>
      <w:r w:rsidRPr="00315653">
        <w:rPr>
          <w:rFonts w:hint="cs"/>
          <w:color w:val="000000"/>
          <w:rtl/>
          <w:lang w:bidi="ar-EG"/>
        </w:rPr>
        <w:t xml:space="preserve"> وقد يكون كل من الذمتين معسراً  فلا تكون هذه التأمينات ضماناً كافياً لحق الدائن</w:t>
      </w:r>
      <w:r>
        <w:rPr>
          <w:rFonts w:hint="cs"/>
          <w:color w:val="000000"/>
          <w:rtl/>
          <w:lang w:bidi="ar-EG"/>
        </w:rPr>
        <w:t xml:space="preserve"> ،</w:t>
      </w:r>
      <w:r w:rsidRPr="00315653">
        <w:rPr>
          <w:rFonts w:hint="cs"/>
          <w:color w:val="000000"/>
          <w:rtl/>
          <w:lang w:bidi="ar-EG"/>
        </w:rPr>
        <w:t xml:space="preserve"> يخصص لوفاء حق الدائن</w:t>
      </w:r>
      <w:r>
        <w:rPr>
          <w:rFonts w:hint="cs"/>
          <w:color w:val="000000"/>
          <w:rtl/>
          <w:lang w:bidi="ar-EG"/>
        </w:rPr>
        <w:t xml:space="preserve"> ،</w:t>
      </w:r>
      <w:r w:rsidRPr="00315653">
        <w:rPr>
          <w:rFonts w:hint="cs"/>
          <w:color w:val="000000"/>
          <w:rtl/>
          <w:lang w:bidi="ar-EG"/>
        </w:rPr>
        <w:t xml:space="preserve"> ويثبت للدائن عليه حق التقدم وحق التتبع على النحو الذي بيناه</w:t>
      </w:r>
      <w:r>
        <w:rPr>
          <w:rFonts w:hint="cs"/>
          <w:color w:val="000000"/>
          <w:rtl/>
          <w:lang w:bidi="ar-EG"/>
        </w:rPr>
        <w:t xml:space="preserve"> .</w:t>
      </w:r>
      <w:r w:rsidRPr="00315653">
        <w:rPr>
          <w:rFonts w:hint="cs"/>
          <w:color w:val="000000"/>
          <w:rtl/>
          <w:lang w:bidi="ar-EG"/>
        </w:rPr>
        <w:t xml:space="preserve"> فإذا كان هذا المال كافياً للوفاء بحق الدائن وفي أكثر الأحوال يكون وافياً لان الدائن لا يقبله عادة إلا لأنه يفي بحقه</w:t>
      </w:r>
      <w:r>
        <w:rPr>
          <w:rFonts w:hint="cs"/>
          <w:color w:val="000000"/>
          <w:rtl/>
          <w:lang w:bidi="ar-EG"/>
        </w:rPr>
        <w:t xml:space="preserve"> ،</w:t>
      </w:r>
      <w:r w:rsidRPr="00315653">
        <w:rPr>
          <w:rFonts w:hint="cs"/>
          <w:color w:val="000000"/>
          <w:rtl/>
          <w:lang w:bidi="ar-EG"/>
        </w:rPr>
        <w:t xml:space="preserve"> أصبح الدائن في مأمن من إعسار المدين بماله من حق التقدم</w:t>
      </w:r>
      <w:r>
        <w:rPr>
          <w:rFonts w:hint="cs"/>
          <w:color w:val="000000"/>
          <w:rtl/>
          <w:lang w:bidi="ar-EG"/>
        </w:rPr>
        <w:t xml:space="preserve"> ،</w:t>
      </w:r>
      <w:r w:rsidRPr="00315653">
        <w:rPr>
          <w:rFonts w:hint="cs"/>
          <w:color w:val="000000"/>
          <w:rtl/>
          <w:lang w:bidi="ar-EG"/>
        </w:rPr>
        <w:t xml:space="preserve"> وفي مأمن من غشه إذا تصرف في هذا المال بما للدائن من حق التتبع</w:t>
      </w:r>
      <w:r>
        <w:rPr>
          <w:rFonts w:hint="cs"/>
          <w:color w:val="000000"/>
          <w:rtl/>
          <w:lang w:bidi="ar-EG"/>
        </w:rPr>
        <w:t xml:space="preserve"> .</w:t>
      </w:r>
      <w:r w:rsidRPr="00315653">
        <w:rPr>
          <w:rFonts w:hint="cs"/>
          <w:color w:val="000000"/>
          <w:rtl/>
          <w:lang w:bidi="ar-EG"/>
        </w:rPr>
        <w:t xml:space="preserve"> فيكون الدائن</w:t>
      </w:r>
      <w:r>
        <w:rPr>
          <w:rFonts w:hint="cs"/>
          <w:color w:val="000000"/>
          <w:rtl/>
          <w:lang w:bidi="ar-EG"/>
        </w:rPr>
        <w:t xml:space="preserve"> ،</w:t>
      </w:r>
      <w:r w:rsidRPr="00315653">
        <w:rPr>
          <w:rFonts w:hint="cs"/>
          <w:color w:val="000000"/>
          <w:rtl/>
          <w:lang w:bidi="ar-EG"/>
        </w:rPr>
        <w:t xml:space="preserve"> بفضل ماله من تأمين عينه</w:t>
      </w:r>
      <w:r>
        <w:rPr>
          <w:rFonts w:hint="cs"/>
          <w:color w:val="000000"/>
          <w:rtl/>
          <w:lang w:bidi="ar-EG"/>
        </w:rPr>
        <w:t xml:space="preserve"> ،</w:t>
      </w:r>
      <w:r w:rsidRPr="00315653">
        <w:rPr>
          <w:rFonts w:hint="cs"/>
          <w:color w:val="000000"/>
          <w:rtl/>
          <w:lang w:bidi="ar-EG"/>
        </w:rPr>
        <w:t xml:space="preserve"> أكثر أمناً على حقه مما لو كان له مجرد تأمين شخصي</w:t>
      </w:r>
      <w:r>
        <w:rPr>
          <w:rFonts w:hint="cs"/>
          <w:color w:val="000000"/>
          <w:rtl/>
          <w:lang w:bidi="ar-EG"/>
        </w:rPr>
        <w:t xml:space="preserve"> .</w:t>
      </w:r>
      <w:r w:rsidRPr="00315653">
        <w:rPr>
          <w:rFonts w:hint="cs"/>
          <w:color w:val="000000"/>
          <w:rtl/>
          <w:lang w:bidi="ar-EG"/>
        </w:rPr>
        <w:t xml:space="preserve"> بل يكون عادة في أمن تام</w:t>
      </w:r>
      <w:r>
        <w:rPr>
          <w:rFonts w:hint="cs"/>
          <w:color w:val="000000"/>
          <w:rtl/>
          <w:lang w:bidi="ar-EG"/>
        </w:rPr>
        <w:t xml:space="preserve"> ،</w:t>
      </w:r>
      <w:r w:rsidRPr="00315653">
        <w:rPr>
          <w:rFonts w:hint="cs"/>
          <w:color w:val="000000"/>
          <w:rtl/>
          <w:lang w:bidi="ar-EG"/>
        </w:rPr>
        <w:t xml:space="preserve"> واثقاً كل الوثوق من الحصول على حقه في ميعاد استحقاقه</w:t>
      </w:r>
      <w:r>
        <w:rPr>
          <w:rFonts w:hint="cs"/>
          <w:color w:val="000000"/>
          <w:vertAlign w:val="superscript"/>
          <w:rtl/>
          <w:lang w:bidi="ar-EG"/>
        </w:rPr>
        <w:t xml:space="preserve">( </w:t>
      </w:r>
      <w:r w:rsidRPr="00315653">
        <w:rPr>
          <w:rStyle w:val="ab"/>
          <w:color w:val="000000"/>
          <w:rtl/>
          <w:lang w:bidi="ar-EG"/>
        </w:rPr>
        <w:footnoteReference w:id="1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وكذلك اختفت بعض أسباب ظهور التأمينات الشخصية</w:t>
      </w:r>
      <w:r>
        <w:rPr>
          <w:rFonts w:hint="cs"/>
          <w:color w:val="000000"/>
          <w:rtl/>
          <w:lang w:bidi="ar-EG"/>
        </w:rPr>
        <w:t xml:space="preserve"> ،</w:t>
      </w:r>
      <w:r w:rsidRPr="00315653">
        <w:rPr>
          <w:rFonts w:hint="cs"/>
          <w:color w:val="000000"/>
          <w:rtl/>
          <w:lang w:bidi="ar-EG"/>
        </w:rPr>
        <w:t xml:space="preserve"> فضعف التضامن العائلي وهو التضامن الذي كان سبباً في ظهور المسئولية التضامنية والكفالة</w:t>
      </w:r>
      <w:r>
        <w:rPr>
          <w:rFonts w:hint="cs"/>
          <w:color w:val="000000"/>
          <w:rtl/>
          <w:lang w:bidi="ar-EG"/>
        </w:rPr>
        <w:t xml:space="preserve"> ،</w:t>
      </w:r>
      <w:r w:rsidRPr="00315653">
        <w:rPr>
          <w:rFonts w:hint="cs"/>
          <w:color w:val="000000"/>
          <w:rtl/>
          <w:lang w:bidi="ar-EG"/>
        </w:rPr>
        <w:t xml:space="preserve"> ولم تعد الأقارب يضمن بعضها بعضاً فيما عدا الزوج والزوجة</w:t>
      </w:r>
      <w:r>
        <w:rPr>
          <w:rFonts w:hint="cs"/>
          <w:color w:val="000000"/>
          <w:rtl/>
          <w:lang w:bidi="ar-EG"/>
        </w:rPr>
        <w:t xml:space="preserve"> .</w:t>
      </w:r>
      <w:r w:rsidRPr="00315653">
        <w:rPr>
          <w:rFonts w:hint="cs"/>
          <w:color w:val="000000"/>
          <w:rtl/>
          <w:lang w:bidi="ar-EG"/>
        </w:rPr>
        <w:t xml:space="preserve"> وباختفاء عهد </w:t>
      </w:r>
      <w:r w:rsidRPr="00315653">
        <w:rPr>
          <w:rFonts w:hint="cs"/>
          <w:color w:val="000000"/>
          <w:rtl/>
          <w:lang w:bidi="ar-EG"/>
        </w:rPr>
        <w:lastRenderedPageBreak/>
        <w:t>الإقطاع</w:t>
      </w:r>
      <w:r>
        <w:rPr>
          <w:rFonts w:hint="cs"/>
          <w:color w:val="000000"/>
          <w:rtl/>
          <w:lang w:bidi="ar-EG"/>
        </w:rPr>
        <w:t xml:space="preserve"> ،</w:t>
      </w:r>
      <w:r w:rsidRPr="00315653">
        <w:rPr>
          <w:rFonts w:hint="cs"/>
          <w:color w:val="000000"/>
          <w:rtl/>
          <w:lang w:bidi="ar-EG"/>
        </w:rPr>
        <w:t xml:space="preserve"> اختفت العلاقة فيما بين التابع والمتبوع</w:t>
      </w:r>
      <w:r>
        <w:rPr>
          <w:rFonts w:hint="cs"/>
          <w:color w:val="000000"/>
          <w:rtl/>
          <w:lang w:bidi="ar-EG"/>
        </w:rPr>
        <w:t xml:space="preserve"> ،</w:t>
      </w:r>
      <w:r w:rsidRPr="00315653">
        <w:rPr>
          <w:rFonts w:hint="cs"/>
          <w:color w:val="000000"/>
          <w:rtl/>
          <w:lang w:bidi="ar-EG"/>
        </w:rPr>
        <w:t xml:space="preserve"> فلم يعد المتبوع يكفل التابع</w:t>
      </w:r>
      <w:r>
        <w:rPr>
          <w:rFonts w:hint="cs"/>
          <w:color w:val="000000"/>
          <w:rtl/>
          <w:lang w:bidi="ar-EG"/>
        </w:rPr>
        <w:t xml:space="preserve"> .</w:t>
      </w:r>
      <w:r w:rsidRPr="00315653">
        <w:rPr>
          <w:rFonts w:hint="cs"/>
          <w:color w:val="000000"/>
          <w:rtl/>
          <w:lang w:bidi="ar-EG"/>
        </w:rPr>
        <w:t xml:space="preserve"> ولم يكد المدين يجد كفيلا له إلا لقاء أجر</w:t>
      </w:r>
      <w:r>
        <w:rPr>
          <w:rFonts w:hint="cs"/>
          <w:color w:val="000000"/>
          <w:rtl/>
          <w:lang w:bidi="ar-EG"/>
        </w:rPr>
        <w:t xml:space="preserve"> ،</w:t>
      </w:r>
      <w:r w:rsidRPr="00315653">
        <w:rPr>
          <w:rFonts w:hint="cs"/>
          <w:color w:val="000000"/>
          <w:rtl/>
          <w:lang w:bidi="ar-EG"/>
        </w:rPr>
        <w:t xml:space="preserve"> وأغلب ما يكون ذلك لدى المصارف</w:t>
      </w:r>
      <w:r>
        <w:rPr>
          <w:rFonts w:hint="cs"/>
          <w:color w:val="000000"/>
          <w:vertAlign w:val="superscript"/>
          <w:rtl/>
          <w:lang w:bidi="ar-EG"/>
        </w:rPr>
        <w:t xml:space="preserve">( </w:t>
      </w:r>
      <w:r w:rsidRPr="00315653">
        <w:rPr>
          <w:rStyle w:val="ab"/>
          <w:color w:val="000000"/>
          <w:rtl/>
          <w:lang w:bidi="ar-EG"/>
        </w:rPr>
        <w:footnoteReference w:id="1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8- رجوع التأمينات الشخصية إلى الظهور في القانون التجاري</w:t>
      </w:r>
      <w:r>
        <w:rPr>
          <w:rFonts w:hint="cs"/>
          <w:color w:val="000000"/>
          <w:rtl/>
          <w:lang w:bidi="ar-EG"/>
        </w:rPr>
        <w:t xml:space="preserve"> :</w:t>
      </w:r>
      <w:r w:rsidRPr="00315653">
        <w:rPr>
          <w:rFonts w:hint="cs"/>
          <w:color w:val="000000"/>
          <w:rtl/>
          <w:lang w:bidi="ar-EG"/>
        </w:rPr>
        <w:t xml:space="preserve"> على أن بعض عيوب الشهر في التأمينات العينية</w:t>
      </w:r>
      <w:r>
        <w:rPr>
          <w:rFonts w:hint="cs"/>
          <w:color w:val="000000"/>
          <w:rtl/>
          <w:lang w:bidi="ar-EG"/>
        </w:rPr>
        <w:t xml:space="preserve"> ،</w:t>
      </w:r>
      <w:r w:rsidRPr="00315653">
        <w:rPr>
          <w:rFonts w:hint="cs"/>
          <w:color w:val="000000"/>
          <w:rtl/>
          <w:lang w:bidi="ar-EG"/>
        </w:rPr>
        <w:t xml:space="preserve"> وهي تقوم على عماد من $15 الشهر</w:t>
      </w:r>
      <w:r>
        <w:rPr>
          <w:rFonts w:hint="cs"/>
          <w:color w:val="000000"/>
          <w:rtl/>
          <w:lang w:bidi="ar-EG"/>
        </w:rPr>
        <w:t xml:space="preserve"> ،</w:t>
      </w:r>
      <w:r w:rsidRPr="00315653">
        <w:rPr>
          <w:rFonts w:hint="cs"/>
          <w:color w:val="000000"/>
          <w:rtl/>
          <w:lang w:bidi="ar-EG"/>
        </w:rPr>
        <w:t xml:space="preserve"> أرجعت إلى الظهور التأمينات الشخصية</w:t>
      </w:r>
      <w:r>
        <w:rPr>
          <w:rFonts w:hint="cs"/>
          <w:color w:val="000000"/>
          <w:rtl/>
          <w:lang w:bidi="ar-EG"/>
        </w:rPr>
        <w:t xml:space="preserve"> ،</w:t>
      </w:r>
      <w:r w:rsidRPr="00315653">
        <w:rPr>
          <w:rFonts w:hint="cs"/>
          <w:color w:val="000000"/>
          <w:rtl/>
          <w:lang w:bidi="ar-EG"/>
        </w:rPr>
        <w:t xml:space="preserve"> هذا إلى أن التضامن ظهر مرة أخرى بين الزراع وبين صغار التجار</w:t>
      </w:r>
      <w:r>
        <w:rPr>
          <w:rFonts w:hint="cs"/>
          <w:color w:val="000000"/>
          <w:rtl/>
          <w:lang w:bidi="ar-EG"/>
        </w:rPr>
        <w:t xml:space="preserve"> ،</w:t>
      </w:r>
      <w:r w:rsidRPr="00315653">
        <w:rPr>
          <w:rFonts w:hint="cs"/>
          <w:color w:val="000000"/>
          <w:rtl/>
          <w:lang w:bidi="ar-EG"/>
        </w:rPr>
        <w:t xml:space="preserve">  ومن هنا أخذت التأمينات الشخصية التبادلية تظهر فيما بينهم</w:t>
      </w:r>
      <w:r>
        <w:rPr>
          <w:rFonts w:hint="cs"/>
          <w:color w:val="000000"/>
          <w:rtl/>
          <w:lang w:bidi="ar-EG"/>
        </w:rPr>
        <w:t xml:space="preserve"> ،</w:t>
      </w:r>
      <w:r w:rsidRPr="00315653">
        <w:rPr>
          <w:rFonts w:hint="cs"/>
          <w:color w:val="000000"/>
          <w:rtl/>
          <w:lang w:bidi="ar-EG"/>
        </w:rPr>
        <w:t xml:space="preserve"> وقد استبدل بالتضامن العائلي تضامن الطوائف من زراع وتجار</w:t>
      </w:r>
      <w:r>
        <w:rPr>
          <w:rFonts w:hint="cs"/>
          <w:color w:val="000000"/>
          <w:vertAlign w:val="superscript"/>
          <w:rtl/>
          <w:lang w:bidi="ar-EG"/>
        </w:rPr>
        <w:t xml:space="preserve">( </w:t>
      </w:r>
      <w:r w:rsidRPr="00315653">
        <w:rPr>
          <w:rStyle w:val="ab"/>
          <w:color w:val="000000"/>
          <w:rtl/>
          <w:lang w:bidi="ar-EG"/>
        </w:rPr>
        <w:footnoteReference w:id="1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هذا إلى أن التأمينات الشخصية رجعت إلى الظهور بوجه خاص في القانون التجاري</w:t>
      </w:r>
      <w:r>
        <w:rPr>
          <w:rFonts w:hint="cs"/>
          <w:color w:val="000000"/>
          <w:rtl/>
          <w:lang w:bidi="ar-EG"/>
        </w:rPr>
        <w:t xml:space="preserve"> ،</w:t>
      </w:r>
      <w:r w:rsidRPr="00315653">
        <w:rPr>
          <w:rFonts w:hint="cs"/>
          <w:color w:val="000000"/>
          <w:rtl/>
          <w:lang w:bidi="ar-EG"/>
        </w:rPr>
        <w:t xml:space="preserve"> بفضل رقي نظام المصارف</w:t>
      </w:r>
      <w:r>
        <w:rPr>
          <w:rFonts w:hint="cs"/>
          <w:color w:val="000000"/>
          <w:rtl/>
          <w:lang w:bidi="ar-EG"/>
        </w:rPr>
        <w:t xml:space="preserve"> .</w:t>
      </w:r>
      <w:r w:rsidRPr="00315653">
        <w:rPr>
          <w:rFonts w:hint="cs"/>
          <w:color w:val="000000"/>
          <w:rtl/>
          <w:lang w:bidi="ar-EG"/>
        </w:rPr>
        <w:t xml:space="preserve"> فأصبح المصرف هو الذي يضمن عميله</w:t>
      </w:r>
      <w:r>
        <w:rPr>
          <w:rFonts w:hint="cs"/>
          <w:color w:val="000000"/>
          <w:rtl/>
          <w:lang w:bidi="ar-EG"/>
        </w:rPr>
        <w:t xml:space="preserve"> ،</w:t>
      </w:r>
      <w:r w:rsidRPr="00315653">
        <w:rPr>
          <w:rFonts w:hint="cs"/>
          <w:color w:val="000000"/>
          <w:rtl/>
          <w:lang w:bidi="ar-EG"/>
        </w:rPr>
        <w:t xml:space="preserve"> لقاء عمولة يتقاضاها منه</w:t>
      </w:r>
      <w:r>
        <w:rPr>
          <w:rFonts w:hint="cs"/>
          <w:color w:val="000000"/>
          <w:rtl/>
          <w:lang w:bidi="ar-EG"/>
        </w:rPr>
        <w:t xml:space="preserve"> .</w:t>
      </w:r>
      <w:r w:rsidRPr="00315653">
        <w:rPr>
          <w:rFonts w:hint="cs"/>
          <w:color w:val="000000"/>
          <w:rtl/>
          <w:lang w:bidi="ar-EG"/>
        </w:rPr>
        <w:t xml:space="preserve"> ويضمن المصرف عميله بطرق مختلفة</w:t>
      </w:r>
      <w:r>
        <w:rPr>
          <w:rFonts w:hint="cs"/>
          <w:color w:val="000000"/>
          <w:rtl/>
          <w:lang w:bidi="ar-EG"/>
        </w:rPr>
        <w:t xml:space="preserve"> ،</w:t>
      </w:r>
      <w:r w:rsidRPr="00315653">
        <w:rPr>
          <w:rFonts w:hint="cs"/>
          <w:color w:val="000000"/>
          <w:rtl/>
          <w:lang w:bidi="ar-EG"/>
        </w:rPr>
        <w:t xml:space="preserve"> منها أن يتقدم بنفسه مباشرة كفيلا </w:t>
      </w:r>
      <w:r>
        <w:rPr>
          <w:color w:val="000000"/>
          <w:rtl/>
          <w:lang w:bidi="ar-EG"/>
        </w:rPr>
        <w:t xml:space="preserve">( </w:t>
      </w:r>
      <w:r w:rsidRPr="00315653">
        <w:rPr>
          <w:color w:val="000000"/>
          <w:lang w:bidi="ar-EG"/>
        </w:rPr>
        <w:t>caution</w:t>
      </w:r>
      <w:r>
        <w:rPr>
          <w:color w:val="000000"/>
          <w:rtl/>
          <w:lang w:bidi="ar-EG"/>
        </w:rPr>
        <w:t xml:space="preserve"> )</w:t>
      </w:r>
      <w:r w:rsidRPr="00315653">
        <w:rPr>
          <w:rFonts w:hint="cs"/>
          <w:color w:val="000000"/>
          <w:rtl/>
        </w:rPr>
        <w:t xml:space="preserve"> لعميله</w:t>
      </w:r>
      <w:r>
        <w:rPr>
          <w:rFonts w:hint="cs"/>
          <w:color w:val="000000"/>
          <w:rtl/>
        </w:rPr>
        <w:t xml:space="preserve"> ،</w:t>
      </w:r>
      <w:r w:rsidRPr="00315653">
        <w:rPr>
          <w:rFonts w:hint="cs"/>
          <w:color w:val="000000"/>
          <w:rtl/>
        </w:rPr>
        <w:t xml:space="preserve"> ومنها أن يقبل الكمبيالة من عميله</w:t>
      </w:r>
      <w:r>
        <w:rPr>
          <w:rFonts w:hint="cs"/>
          <w:color w:val="000000"/>
          <w:rtl/>
        </w:rPr>
        <w:t xml:space="preserve"> ،</w:t>
      </w:r>
      <w:r w:rsidRPr="00315653">
        <w:rPr>
          <w:rFonts w:hint="cs"/>
          <w:color w:val="000000"/>
          <w:rtl/>
        </w:rPr>
        <w:t xml:space="preserve"> وهذا القبول </w:t>
      </w:r>
      <w:r>
        <w:rPr>
          <w:color w:val="000000"/>
          <w:rtl/>
        </w:rPr>
        <w:t xml:space="preserve">( </w:t>
      </w:r>
      <w:r w:rsidRPr="00315653">
        <w:rPr>
          <w:color w:val="000000"/>
        </w:rPr>
        <w:t>aval</w:t>
      </w:r>
      <w:r>
        <w:rPr>
          <w:color w:val="000000"/>
          <w:rtl/>
        </w:rPr>
        <w:t xml:space="preserve"> )</w:t>
      </w:r>
      <w:r w:rsidRPr="00315653">
        <w:rPr>
          <w:rFonts w:hint="cs"/>
          <w:color w:val="000000"/>
          <w:rtl/>
        </w:rPr>
        <w:t xml:space="preserve"> يتضمن ضرباً من الكفالة ومنها أن يقبل تحويل شيكات عليه</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1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كذلك رجعت الكفالة إلى الظهور فيما بين الشركات التجارية</w:t>
      </w:r>
      <w:r>
        <w:rPr>
          <w:rFonts w:hint="cs"/>
          <w:color w:val="000000"/>
          <w:rtl/>
          <w:lang w:bidi="ar-EG"/>
        </w:rPr>
        <w:t xml:space="preserve"> ،</w:t>
      </w:r>
      <w:r w:rsidRPr="00315653">
        <w:rPr>
          <w:rFonts w:hint="cs"/>
          <w:color w:val="000000"/>
          <w:rtl/>
          <w:lang w:bidi="ar-EG"/>
        </w:rPr>
        <w:t xml:space="preserve"> فكثيراً ما تكفل الشركة الأصلية شركة أخرى متولدة عنها</w:t>
      </w:r>
      <w:r>
        <w:rPr>
          <w:rFonts w:hint="cs"/>
          <w:color w:val="000000"/>
          <w:rtl/>
          <w:lang w:bidi="ar-EG"/>
        </w:rPr>
        <w:t xml:space="preserve"> ،</w:t>
      </w:r>
      <w:r w:rsidRPr="00315653">
        <w:rPr>
          <w:rFonts w:hint="cs"/>
          <w:color w:val="000000"/>
          <w:rtl/>
          <w:lang w:bidi="ar-EG"/>
        </w:rPr>
        <w:t xml:space="preserve"> أو تجعل هذه الشركة المتولدة عنها تكفلها</w:t>
      </w:r>
      <w:r>
        <w:rPr>
          <w:rFonts w:hint="cs"/>
          <w:color w:val="000000"/>
          <w:rtl/>
          <w:lang w:bidi="ar-EG"/>
        </w:rPr>
        <w:t xml:space="preserve"> .</w:t>
      </w:r>
      <w:r w:rsidRPr="00315653">
        <w:rPr>
          <w:rFonts w:hint="cs"/>
          <w:color w:val="000000"/>
          <w:rtl/>
          <w:lang w:bidi="ar-EG"/>
        </w:rPr>
        <w:t xml:space="preserve"> وقد حل التضامن ما بين الشركات محل التضامن العائلي</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1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9- أنواع التأمينات الشخصية</w:t>
      </w:r>
      <w:r>
        <w:rPr>
          <w:rFonts w:hint="cs"/>
          <w:color w:val="000000"/>
          <w:rtl/>
          <w:lang w:bidi="ar-EG"/>
        </w:rPr>
        <w:t xml:space="preserve"> :</w:t>
      </w:r>
      <w:r w:rsidRPr="00315653">
        <w:rPr>
          <w:rFonts w:hint="cs"/>
          <w:color w:val="000000"/>
          <w:rtl/>
        </w:rPr>
        <w:t xml:space="preserve"> ويجب أن يستبعد من التأمينات الشخصية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 xml:space="preserve">أولا </w:t>
      </w:r>
      <w:r w:rsidRPr="00315653">
        <w:rPr>
          <w:color w:val="000000"/>
          <w:rtl/>
        </w:rPr>
        <w:t>–</w:t>
      </w:r>
      <w:r w:rsidRPr="00315653">
        <w:rPr>
          <w:rFonts w:hint="cs"/>
          <w:color w:val="000000"/>
          <w:rtl/>
        </w:rPr>
        <w:t xml:space="preserve"> الحق في الحبس</w:t>
      </w:r>
      <w:r>
        <w:rPr>
          <w:rFonts w:hint="cs"/>
          <w:color w:val="000000"/>
          <w:rtl/>
        </w:rPr>
        <w:t xml:space="preserve"> ،</w:t>
      </w:r>
      <w:r w:rsidRPr="00315653">
        <w:rPr>
          <w:rFonts w:hint="cs"/>
          <w:color w:val="000000"/>
          <w:rtl/>
        </w:rPr>
        <w:t xml:space="preserve"> وما يتضمنه هذا الحق من الدفع بعدم التنفيذ</w:t>
      </w:r>
      <w:r>
        <w:rPr>
          <w:rFonts w:hint="cs"/>
          <w:color w:val="000000"/>
          <w:rtl/>
        </w:rPr>
        <w:t xml:space="preserve"> .</w:t>
      </w:r>
      <w:r w:rsidRPr="00315653">
        <w:rPr>
          <w:rFonts w:hint="cs"/>
          <w:color w:val="000000"/>
          <w:rtl/>
        </w:rPr>
        <w:t xml:space="preserve"> فان الدائن يحبس تحت يده مالا خاصاً للمدين حتى يستوفي منه حقه</w:t>
      </w:r>
      <w:r>
        <w:rPr>
          <w:rFonts w:hint="cs"/>
          <w:color w:val="000000"/>
          <w:rtl/>
        </w:rPr>
        <w:t xml:space="preserve"> ،</w:t>
      </w:r>
      <w:r w:rsidRPr="00315653">
        <w:rPr>
          <w:rFonts w:hint="cs"/>
          <w:color w:val="000000"/>
          <w:rtl/>
        </w:rPr>
        <w:t xml:space="preserve"> فهو لا يمت إلى التأمينات الشخصية بصلة</w:t>
      </w:r>
      <w:r>
        <w:rPr>
          <w:rFonts w:hint="cs"/>
          <w:color w:val="000000"/>
          <w:rtl/>
        </w:rPr>
        <w:t xml:space="preserve"> ،</w:t>
      </w:r>
      <w:r w:rsidRPr="00315653">
        <w:rPr>
          <w:rFonts w:hint="cs"/>
          <w:color w:val="000000"/>
          <w:rtl/>
        </w:rPr>
        <w:t xml:space="preserve"> بل هو أقرب إلى التأمينات العينية لأن الدائن يحبس في يده مالا معيناً مملوكاً للمدين</w:t>
      </w:r>
      <w:r>
        <w:rPr>
          <w:rFonts w:hint="cs"/>
          <w:color w:val="000000"/>
          <w:rtl/>
        </w:rPr>
        <w:t xml:space="preserve"> .</w:t>
      </w:r>
      <w:r w:rsidRPr="00315653">
        <w:rPr>
          <w:rFonts w:hint="cs"/>
          <w:color w:val="000000"/>
          <w:rtl/>
        </w:rPr>
        <w:t xml:space="preserve"> على انه ليس من التأمينات العينية</w:t>
      </w:r>
      <w:r>
        <w:rPr>
          <w:rFonts w:hint="cs"/>
          <w:color w:val="000000"/>
          <w:rtl/>
        </w:rPr>
        <w:t xml:space="preserve"> ،</w:t>
      </w:r>
      <w:r w:rsidRPr="00315653">
        <w:rPr>
          <w:rFonts w:hint="cs"/>
          <w:color w:val="000000"/>
          <w:rtl/>
        </w:rPr>
        <w:t xml:space="preserve"> فصاحب التأمين العيني يكون له على المال المعين المملوك للمدين حق عيني مقترن بحق التقدم وحق التتبع</w:t>
      </w:r>
      <w:r>
        <w:rPr>
          <w:rFonts w:hint="cs"/>
          <w:color w:val="000000"/>
          <w:rtl/>
        </w:rPr>
        <w:t xml:space="preserve"> ،</w:t>
      </w:r>
      <w:r w:rsidRPr="00315653">
        <w:rPr>
          <w:rFonts w:hint="cs"/>
          <w:color w:val="000000"/>
          <w:rtl/>
        </w:rPr>
        <w:t xml:space="preserve"> أما هنا فليس للدائن حق عيني على $16 المال المحبوس وليس له عليه لا حق تقدم ولا حق تتبع</w:t>
      </w:r>
      <w:r>
        <w:rPr>
          <w:rFonts w:hint="cs"/>
          <w:color w:val="000000"/>
          <w:vertAlign w:val="superscript"/>
          <w:rtl/>
          <w:lang w:bidi="ar-EG"/>
        </w:rPr>
        <w:t xml:space="preserve">( </w:t>
      </w:r>
      <w:r w:rsidRPr="00315653">
        <w:rPr>
          <w:rStyle w:val="ab"/>
          <w:color w:val="000000"/>
          <w:rtl/>
          <w:lang w:bidi="ar-EG"/>
        </w:rPr>
        <w:footnoteReference w:id="1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قدمنا أن الحق في الحبس هو وسط بين الإجراءات التحفظية والإجراءات التنفيذية</w:t>
      </w:r>
      <w:r>
        <w:rPr>
          <w:rFonts w:hint="cs"/>
          <w:color w:val="000000"/>
          <w:rtl/>
          <w:lang w:bidi="ar-EG"/>
        </w:rPr>
        <w:t xml:space="preserve"> ،</w:t>
      </w:r>
      <w:r w:rsidRPr="00315653">
        <w:rPr>
          <w:rFonts w:hint="cs"/>
          <w:color w:val="000000"/>
          <w:rtl/>
          <w:lang w:bidi="ar-EG"/>
        </w:rPr>
        <w:t xml:space="preserve"> إذ هو أقوى من الإجراءات التحفظية فهو يمهد للتنفيذ</w:t>
      </w:r>
      <w:r>
        <w:rPr>
          <w:rFonts w:hint="cs"/>
          <w:color w:val="000000"/>
          <w:rtl/>
          <w:lang w:bidi="ar-EG"/>
        </w:rPr>
        <w:t xml:space="preserve"> ،</w:t>
      </w:r>
      <w:r w:rsidRPr="00315653">
        <w:rPr>
          <w:rFonts w:hint="cs"/>
          <w:color w:val="000000"/>
          <w:rtl/>
          <w:lang w:bidi="ar-EG"/>
        </w:rPr>
        <w:t xml:space="preserve"> وأضعف من الإجراءات التنفيذية إذ هو وحده لا يكفي للتنفيذ بل يجب اتخاذ إجراءات تنفيذ حتى يستوفي الدائن حقه</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1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سبق بحث كل من الحق في الحبس</w:t>
      </w:r>
      <w:r>
        <w:rPr>
          <w:rFonts w:hint="cs"/>
          <w:color w:val="000000"/>
          <w:vertAlign w:val="superscript"/>
          <w:rtl/>
          <w:lang w:bidi="ar-EG"/>
        </w:rPr>
        <w:t xml:space="preserve">( </w:t>
      </w:r>
      <w:r w:rsidRPr="00315653">
        <w:rPr>
          <w:rStyle w:val="ab"/>
          <w:color w:val="000000"/>
          <w:rtl/>
          <w:lang w:bidi="ar-EG"/>
        </w:rPr>
        <w:footnoteReference w:id="1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والدفع بعدم التنفيذ</w:t>
      </w:r>
      <w:r>
        <w:rPr>
          <w:rFonts w:hint="cs"/>
          <w:color w:val="000000"/>
          <w:vertAlign w:val="superscript"/>
          <w:rtl/>
          <w:lang w:bidi="ar-EG"/>
        </w:rPr>
        <w:t xml:space="preserve">( </w:t>
      </w:r>
      <w:r w:rsidRPr="00315653">
        <w:rPr>
          <w:rStyle w:val="ab"/>
          <w:color w:val="000000"/>
          <w:rtl/>
          <w:lang w:bidi="ar-EG"/>
        </w:rPr>
        <w:footnoteReference w:id="2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ثانياً- والكفالة العينية لا تدخل في التأمينات الشخصية</w:t>
      </w:r>
      <w:r>
        <w:rPr>
          <w:rFonts w:hint="cs"/>
          <w:color w:val="000000"/>
          <w:rtl/>
          <w:lang w:bidi="ar-EG"/>
        </w:rPr>
        <w:t xml:space="preserve"> .</w:t>
      </w:r>
      <w:r w:rsidRPr="00315653">
        <w:rPr>
          <w:rFonts w:hint="cs"/>
          <w:color w:val="000000"/>
          <w:rtl/>
          <w:lang w:bidi="ar-EG"/>
        </w:rPr>
        <w:t xml:space="preserve"> وإذا وجد كفيل هنا</w:t>
      </w:r>
      <w:r>
        <w:rPr>
          <w:rFonts w:hint="cs"/>
          <w:color w:val="000000"/>
          <w:rtl/>
          <w:lang w:bidi="ar-EG"/>
        </w:rPr>
        <w:t xml:space="preserve"> ،</w:t>
      </w:r>
      <w:r w:rsidRPr="00315653">
        <w:rPr>
          <w:rFonts w:hint="cs"/>
          <w:color w:val="000000"/>
          <w:rtl/>
          <w:lang w:bidi="ar-EG"/>
        </w:rPr>
        <w:t xml:space="preserve"> فإنه لا يلتزم التزاماً كما يلتزم الكفيل في التأمينات الشخصية</w:t>
      </w:r>
      <w:r>
        <w:rPr>
          <w:rFonts w:hint="cs"/>
          <w:color w:val="000000"/>
          <w:rtl/>
          <w:lang w:bidi="ar-EG"/>
        </w:rPr>
        <w:t xml:space="preserve"> ،</w:t>
      </w:r>
      <w:r w:rsidRPr="00315653">
        <w:rPr>
          <w:rFonts w:hint="cs"/>
          <w:color w:val="000000"/>
          <w:rtl/>
          <w:lang w:bidi="ar-EG"/>
        </w:rPr>
        <w:t xml:space="preserve"> بل يقدم مالا مملوكاً له يكون رهناً يضمن حقاً شخصياً للدائن</w:t>
      </w:r>
      <w:r>
        <w:rPr>
          <w:rFonts w:hint="cs"/>
          <w:color w:val="000000"/>
          <w:rtl/>
          <w:lang w:bidi="ar-EG"/>
        </w:rPr>
        <w:t xml:space="preserve"> ،</w:t>
      </w:r>
      <w:r w:rsidRPr="00315653">
        <w:rPr>
          <w:rFonts w:hint="cs"/>
          <w:color w:val="000000"/>
          <w:rtl/>
          <w:lang w:bidi="ar-EG"/>
        </w:rPr>
        <w:t xml:space="preserve"> ومن هنا جاءت تسميته بالكفيل العيني </w:t>
      </w:r>
      <w:r>
        <w:rPr>
          <w:color w:val="000000"/>
          <w:rtl/>
          <w:lang w:bidi="ar-EG"/>
        </w:rPr>
        <w:t xml:space="preserve">( </w:t>
      </w:r>
      <w:r w:rsidRPr="00315653">
        <w:rPr>
          <w:color w:val="000000"/>
          <w:lang w:bidi="ar-EG"/>
        </w:rPr>
        <w:lastRenderedPageBreak/>
        <w:t>caution reelle</w:t>
      </w:r>
      <w:r>
        <w:rPr>
          <w:color w:val="000000"/>
          <w:rtl/>
          <w:lang w:bidi="ar-EG"/>
        </w:rPr>
        <w:t xml:space="preserve"> )</w:t>
      </w:r>
      <w:r>
        <w:rPr>
          <w:rFonts w:hint="cs"/>
          <w:color w:val="000000"/>
          <w:rtl/>
        </w:rPr>
        <w:t xml:space="preserve"> .</w:t>
      </w:r>
      <w:r w:rsidRPr="00315653">
        <w:rPr>
          <w:rFonts w:hint="cs"/>
          <w:color w:val="000000"/>
          <w:rtl/>
        </w:rPr>
        <w:t xml:space="preserve"> فالكفالة العينية يغلب فيها معنى العينية على معنى الكفالة</w:t>
      </w:r>
      <w:r>
        <w:rPr>
          <w:rFonts w:hint="cs"/>
          <w:color w:val="000000"/>
          <w:rtl/>
        </w:rPr>
        <w:t xml:space="preserve"> ،</w:t>
      </w:r>
      <w:r w:rsidRPr="00315653">
        <w:rPr>
          <w:rFonts w:hint="cs"/>
          <w:color w:val="000000"/>
          <w:rtl/>
        </w:rPr>
        <w:t xml:space="preserve"> وهي في الواقع من المر تأمين عيني لا تأمين شخصي</w:t>
      </w:r>
      <w:r>
        <w:rPr>
          <w:rFonts w:hint="cs"/>
          <w:color w:val="000000"/>
          <w:rtl/>
        </w:rPr>
        <w:t xml:space="preserve"> ،</w:t>
      </w:r>
      <w:r w:rsidRPr="00315653">
        <w:rPr>
          <w:rFonts w:hint="cs"/>
          <w:color w:val="000000"/>
          <w:rtl/>
        </w:rPr>
        <w:t xml:space="preserve"> ولكنه يتميز بأن الذي يقدمه ضماناً لحق الدائن ليس هو المدين كما هو الأمر عادة في التأمين العيني</w:t>
      </w:r>
      <w:r>
        <w:rPr>
          <w:rFonts w:hint="cs"/>
          <w:color w:val="000000"/>
          <w:rtl/>
        </w:rPr>
        <w:t xml:space="preserve"> ،</w:t>
      </w:r>
      <w:r w:rsidRPr="00315653">
        <w:rPr>
          <w:rFonts w:hint="cs"/>
          <w:color w:val="000000"/>
          <w:rtl/>
        </w:rPr>
        <w:t xml:space="preserve"> بل شخص آخر غير المدين يضمن المدين بأن يقدم عيناً مملوكة له يجعلها رهنا في التزام المدني</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وسنبحث الكفالة العينية عند بحث الرهن</w:t>
      </w:r>
      <w:r>
        <w:rPr>
          <w:rFonts w:hint="cs"/>
          <w:color w:val="000000"/>
          <w:rtl/>
          <w:lang w:bidi="ar-EG"/>
        </w:rPr>
        <w:t xml:space="preserve"> ،</w:t>
      </w:r>
      <w:r w:rsidRPr="00315653">
        <w:rPr>
          <w:rFonts w:hint="cs"/>
          <w:color w:val="000000"/>
          <w:rtl/>
          <w:lang w:bidi="ar-EG"/>
        </w:rPr>
        <w:t xml:space="preserve"> لأنها في حقيقتها رهن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يبقى بعد الذي استبعدناه التأمينات الشخصية بمعناها الصحيح</w:t>
      </w:r>
      <w:r>
        <w:rPr>
          <w:rFonts w:hint="cs"/>
          <w:color w:val="000000"/>
          <w:rtl/>
          <w:lang w:bidi="ar-EG"/>
        </w:rPr>
        <w:t xml:space="preserve"> .</w:t>
      </w:r>
      <w:r w:rsidRPr="00315653">
        <w:rPr>
          <w:rFonts w:hint="cs"/>
          <w:color w:val="000000"/>
          <w:rtl/>
          <w:lang w:bidi="ar-EG"/>
        </w:rPr>
        <w:t xml:space="preserve"> وهي عبارة عن ضم ذمة إلى ذمة أخرى لضمان حق الدائن</w:t>
      </w:r>
      <w:r>
        <w:rPr>
          <w:rFonts w:hint="cs"/>
          <w:color w:val="000000"/>
          <w:rtl/>
          <w:lang w:bidi="ar-EG"/>
        </w:rPr>
        <w:t xml:space="preserve"> .</w:t>
      </w:r>
      <w:r w:rsidRPr="00315653">
        <w:rPr>
          <w:rFonts w:hint="cs"/>
          <w:color w:val="000000"/>
          <w:rtl/>
          <w:lang w:bidi="ar-EG"/>
        </w:rPr>
        <w:t xml:space="preserve"> فالتأمينات الشخصية ليست إذن بحقوق عينية كما هو الأمر في التأمينات العينية</w:t>
      </w:r>
      <w:r>
        <w:rPr>
          <w:rFonts w:hint="cs"/>
          <w:color w:val="000000"/>
          <w:rtl/>
          <w:lang w:bidi="ar-EG"/>
        </w:rPr>
        <w:t xml:space="preserve"> ،</w:t>
      </w:r>
      <w:r w:rsidRPr="00315653">
        <w:rPr>
          <w:rFonts w:hint="cs"/>
          <w:color w:val="000000"/>
          <w:rtl/>
          <w:lang w:bidi="ar-EG"/>
        </w:rPr>
        <w:t xml:space="preserve"> بل هي التزامات شخصية تضاف إلى التزام المدين ولذلك سميت بالتأمينات الشخصية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وتضم ذمة إلى ذمة أخرى قد يكون على قدم المساواة</w:t>
      </w:r>
      <w:r>
        <w:rPr>
          <w:rFonts w:hint="cs"/>
          <w:color w:val="000000"/>
          <w:rtl/>
          <w:lang w:bidi="ar-EG"/>
        </w:rPr>
        <w:t xml:space="preserve"> ،</w:t>
      </w:r>
      <w:r w:rsidRPr="00315653">
        <w:rPr>
          <w:rFonts w:hint="cs"/>
          <w:color w:val="000000"/>
          <w:rtl/>
          <w:lang w:bidi="ar-EG"/>
        </w:rPr>
        <w:t xml:space="preserve"> فيستطيع الدائن أن يرجع أولا على أي مدين مسئول دون تمييز بين مدين ومدين</w:t>
      </w:r>
      <w:r>
        <w:rPr>
          <w:rFonts w:hint="cs"/>
          <w:color w:val="000000"/>
          <w:rtl/>
          <w:lang w:bidi="ar-EG"/>
        </w:rPr>
        <w:t xml:space="preserve"> .</w:t>
      </w:r>
      <w:r w:rsidRPr="00315653">
        <w:rPr>
          <w:rFonts w:hint="cs"/>
          <w:color w:val="000000"/>
          <w:rtl/>
          <w:lang w:bidi="ar-EG"/>
        </w:rPr>
        <w:t xml:space="preserve"> ويتحقق ذلك في تضامن المدينين</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2"/>
      </w:r>
      <w:r>
        <w:rPr>
          <w:rFonts w:hint="cs"/>
          <w:color w:val="000000"/>
          <w:vertAlign w:val="superscript"/>
          <w:rtl/>
          <w:lang w:bidi="ar-EG"/>
        </w:rPr>
        <w:t xml:space="preserve"> )</w:t>
      </w:r>
      <w:r>
        <w:rPr>
          <w:rFonts w:hint="cs"/>
          <w:color w:val="000000"/>
          <w:rtl/>
          <w:lang w:bidi="ar-EG"/>
        </w:rPr>
        <w:t xml:space="preserve"> . ،</w:t>
      </w:r>
      <w:r w:rsidRPr="00315653">
        <w:rPr>
          <w:rFonts w:hint="cs"/>
          <w:color w:val="000000"/>
          <w:rtl/>
          <w:lang w:bidi="ar-EG"/>
        </w:rPr>
        <w:t xml:space="preserve"> وف يعدم تجزئة الدين</w:t>
      </w:r>
      <w:r>
        <w:rPr>
          <w:rFonts w:hint="cs"/>
          <w:color w:val="000000"/>
          <w:vertAlign w:val="superscript"/>
          <w:rtl/>
          <w:lang w:bidi="ar-EG"/>
        </w:rPr>
        <w:t xml:space="preserve">( </w:t>
      </w:r>
      <w:r w:rsidRPr="00315653">
        <w:rPr>
          <w:rStyle w:val="ab"/>
          <w:color w:val="000000"/>
          <w:rtl/>
          <w:lang w:bidi="ar-EG"/>
        </w:rPr>
        <w:footnoteReference w:id="2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الأنابة غير $17</w:t>
      </w:r>
      <w:r w:rsidRPr="00315653">
        <w:rPr>
          <w:rFonts w:hint="cs"/>
          <w:color w:val="000000"/>
          <w:rtl/>
        </w:rPr>
        <w:t xml:space="preserve"> الكاملة</w:t>
      </w:r>
      <w:r>
        <w:rPr>
          <w:rFonts w:hint="cs"/>
          <w:color w:val="000000"/>
          <w:vertAlign w:val="superscript"/>
          <w:rtl/>
          <w:lang w:bidi="ar-EG"/>
        </w:rPr>
        <w:t xml:space="preserve">( </w:t>
      </w:r>
      <w:r w:rsidRPr="00315653">
        <w:rPr>
          <w:rStyle w:val="ab"/>
          <w:color w:val="000000"/>
          <w:rtl/>
          <w:lang w:bidi="ar-EG"/>
        </w:rPr>
        <w:footnoteReference w:id="2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الدعوى المباشرة</w:t>
      </w:r>
      <w:r>
        <w:rPr>
          <w:rFonts w:hint="cs"/>
          <w:color w:val="000000"/>
          <w:vertAlign w:val="superscript"/>
          <w:rtl/>
          <w:lang w:bidi="ar-EG"/>
        </w:rPr>
        <w:t xml:space="preserve">( </w:t>
      </w:r>
      <w:r w:rsidRPr="00315653">
        <w:rPr>
          <w:rStyle w:val="ab"/>
          <w:color w:val="000000"/>
          <w:rtl/>
          <w:lang w:bidi="ar-EG"/>
        </w:rPr>
        <w:footnoteReference w:id="2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سبق بحث كل ذلك فلا نعود إلى بحثه</w:t>
      </w:r>
      <w:r>
        <w:rPr>
          <w:rFonts w:hint="cs"/>
          <w:color w:val="000000"/>
          <w:rtl/>
          <w:lang w:bidi="ar-EG"/>
        </w:rPr>
        <w:t xml:space="preserve"> ،</w:t>
      </w:r>
      <w:r w:rsidRPr="00315653">
        <w:rPr>
          <w:rFonts w:hint="cs"/>
          <w:color w:val="000000"/>
          <w:rtl/>
          <w:lang w:bidi="ar-EG"/>
        </w:rPr>
        <w:t xml:space="preserve"> وهو على كل حال يعد داخلا في التأمينات الشخصية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وقد يكون ضم ذمة إلى ذمة أخرى عبارة عن ضم ذمة تابعة إلى ذمة متبوعة</w:t>
      </w:r>
      <w:r>
        <w:rPr>
          <w:rFonts w:hint="cs"/>
          <w:color w:val="000000"/>
          <w:rtl/>
          <w:lang w:bidi="ar-EG"/>
        </w:rPr>
        <w:t xml:space="preserve"> .</w:t>
      </w:r>
      <w:r w:rsidRPr="00315653">
        <w:rPr>
          <w:rFonts w:hint="cs"/>
          <w:color w:val="000000"/>
          <w:rtl/>
          <w:lang w:bidi="ar-EG"/>
        </w:rPr>
        <w:t xml:space="preserve"> ويكون ذلك إما بالترتيب أي أن الدائن يرجع أولا على المدين الأصلي ثم على المدين التابع ويتحقق ذلك في الكفالة العادية</w:t>
      </w:r>
      <w:r>
        <w:rPr>
          <w:rFonts w:hint="cs"/>
          <w:color w:val="000000"/>
          <w:rtl/>
          <w:lang w:bidi="ar-EG"/>
        </w:rPr>
        <w:t xml:space="preserve"> ،</w:t>
      </w:r>
      <w:r w:rsidRPr="00315653">
        <w:rPr>
          <w:rFonts w:hint="cs"/>
          <w:color w:val="000000"/>
          <w:rtl/>
          <w:lang w:bidi="ar-EG"/>
        </w:rPr>
        <w:t xml:space="preserve"> أو في وقت واحد فيرجع الدائن على المدين الأصلي أو على المدين التابع أيهما يشاء ويتحقق ذلك في الكفالة مع تضامن الكفيل مع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فلا يبقى إذن للحث هنا</w:t>
      </w:r>
      <w:r>
        <w:rPr>
          <w:rFonts w:hint="cs"/>
          <w:color w:val="000000"/>
          <w:rtl/>
          <w:lang w:bidi="ar-EG"/>
        </w:rPr>
        <w:t xml:space="preserve"> ،</w:t>
      </w:r>
      <w:r w:rsidRPr="00315653">
        <w:rPr>
          <w:rFonts w:hint="cs"/>
          <w:color w:val="000000"/>
          <w:rtl/>
          <w:lang w:bidi="ar-EG"/>
        </w:rPr>
        <w:t xml:space="preserve"> في التأمينات الشخصية</w:t>
      </w:r>
      <w:r>
        <w:rPr>
          <w:rFonts w:hint="cs"/>
          <w:color w:val="000000"/>
          <w:rtl/>
          <w:lang w:bidi="ar-EG"/>
        </w:rPr>
        <w:t xml:space="preserve"> ،</w:t>
      </w:r>
      <w:r w:rsidRPr="00315653">
        <w:rPr>
          <w:rFonts w:hint="cs"/>
          <w:color w:val="000000"/>
          <w:rtl/>
          <w:lang w:bidi="ar-EG"/>
        </w:rPr>
        <w:t xml:space="preserve"> إلا الكفالة</w:t>
      </w:r>
      <w:r>
        <w:rPr>
          <w:rFonts w:hint="cs"/>
          <w:color w:val="000000"/>
          <w:rtl/>
          <w:lang w:bidi="ar-EG"/>
        </w:rPr>
        <w:t xml:space="preserve"> ،</w:t>
      </w:r>
      <w:r w:rsidRPr="00315653">
        <w:rPr>
          <w:rFonts w:hint="cs"/>
          <w:color w:val="000000"/>
          <w:rtl/>
          <w:lang w:bidi="ar-EG"/>
        </w:rPr>
        <w:t xml:space="preserve"> سواء كان الكفيل غير متضامن مع المدين أو كان متضامناً معه</w:t>
      </w:r>
      <w:r>
        <w:rPr>
          <w:rFonts w:hint="cs"/>
          <w:color w:val="000000"/>
          <w:rtl/>
          <w:lang w:bidi="ar-EG"/>
        </w:rPr>
        <w:t xml:space="preserve"> .</w:t>
      </w:r>
      <w:r w:rsidRPr="00315653">
        <w:rPr>
          <w:rFonts w:hint="cs"/>
          <w:color w:val="000000"/>
          <w:rtl/>
          <w:lang w:bidi="ar-EG"/>
        </w:rPr>
        <w:t xml:space="preserve"> وعلى ذلك تقتصر في بحثنا في هذا القسم على الكفالة</w:t>
      </w:r>
      <w:r>
        <w:rPr>
          <w:rFonts w:hint="cs"/>
          <w:color w:val="000000"/>
          <w:rtl/>
          <w:lang w:bidi="ar-EG"/>
        </w:rPr>
        <w:t xml:space="preserve"> ،</w:t>
      </w:r>
      <w:r w:rsidRPr="00315653">
        <w:rPr>
          <w:rFonts w:hint="cs"/>
          <w:color w:val="000000"/>
          <w:rtl/>
          <w:lang w:bidi="ar-EG"/>
        </w:rPr>
        <w:t xml:space="preserve"> دون غيرها من التأمينات الشخصية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10- خطة البحث في الكفالة</w:t>
      </w:r>
      <w:r>
        <w:rPr>
          <w:rFonts w:hint="cs"/>
          <w:color w:val="000000"/>
          <w:rtl/>
          <w:lang w:bidi="ar-EG"/>
        </w:rPr>
        <w:t xml:space="preserve"> :</w:t>
      </w:r>
      <w:r w:rsidRPr="00315653">
        <w:rPr>
          <w:rFonts w:hint="cs"/>
          <w:color w:val="000000"/>
          <w:rtl/>
          <w:lang w:bidi="ar-EG"/>
        </w:rPr>
        <w:t xml:space="preserve"> ونجعل بحثنا في الكفالة في مقدمة وفصول ثلاثة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المقدمة </w:t>
      </w:r>
      <w:r w:rsidRPr="00315653">
        <w:rPr>
          <w:color w:val="000000"/>
          <w:rtl/>
        </w:rPr>
        <w:t>–</w:t>
      </w:r>
      <w:r w:rsidRPr="00315653">
        <w:rPr>
          <w:rFonts w:hint="cs"/>
          <w:color w:val="000000"/>
          <w:rtl/>
        </w:rPr>
        <w:t xml:space="preserve"> في تعريف الكفالة وتطورها التاريخي وخصائصها</w:t>
      </w:r>
      <w:r>
        <w:rPr>
          <w:rFonts w:hint="cs"/>
          <w:color w:val="000000"/>
          <w:rtl/>
        </w:rPr>
        <w:t xml:space="preserve"> ،</w:t>
      </w:r>
      <w:r w:rsidRPr="00315653">
        <w:rPr>
          <w:rFonts w:hint="cs"/>
          <w:color w:val="000000"/>
          <w:rtl/>
        </w:rPr>
        <w:t xml:space="preserve"> وفي الالتزام بتقديم كفيل</w:t>
      </w:r>
      <w:r>
        <w:rPr>
          <w:rFonts w:hint="cs"/>
          <w:color w:val="000000"/>
          <w:rtl/>
        </w:rPr>
        <w:t xml:space="preserve"> ،</w:t>
      </w:r>
      <w:r w:rsidRPr="00315653">
        <w:rPr>
          <w:rFonts w:hint="cs"/>
          <w:color w:val="000000"/>
          <w:rtl/>
        </w:rPr>
        <w:t xml:space="preserve"> وفيما استحدثه التقنين المدني الجديد</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والفصل الأول </w:t>
      </w:r>
      <w:r w:rsidRPr="00315653">
        <w:rPr>
          <w:color w:val="000000"/>
          <w:rtl/>
        </w:rPr>
        <w:t>–</w:t>
      </w:r>
      <w:r w:rsidRPr="00315653">
        <w:rPr>
          <w:rFonts w:hint="cs"/>
          <w:color w:val="000000"/>
          <w:rtl/>
        </w:rPr>
        <w:t xml:space="preserve"> في أركان الكفالة</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والفصل الثاني </w:t>
      </w:r>
      <w:r w:rsidRPr="00315653">
        <w:rPr>
          <w:color w:val="000000"/>
          <w:rtl/>
        </w:rPr>
        <w:t>–</w:t>
      </w:r>
      <w:r w:rsidRPr="00315653">
        <w:rPr>
          <w:rFonts w:hint="cs"/>
          <w:color w:val="000000"/>
          <w:rtl/>
        </w:rPr>
        <w:t xml:space="preserve"> في آثار الكفالة</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والفصل الثالث </w:t>
      </w:r>
      <w:r w:rsidRPr="00315653">
        <w:rPr>
          <w:color w:val="000000"/>
          <w:rtl/>
        </w:rPr>
        <w:t>–</w:t>
      </w:r>
      <w:r w:rsidRPr="00315653">
        <w:rPr>
          <w:rFonts w:hint="cs"/>
          <w:color w:val="000000"/>
          <w:rtl/>
        </w:rPr>
        <w:t xml:space="preserve"> في انقضاء الكفالة</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color w:val="000000"/>
          <w:rtl/>
          <w:lang w:bidi="ar-EG"/>
        </w:rPr>
        <w:br w:type="page"/>
      </w:r>
      <w:r w:rsidRPr="00315653">
        <w:rPr>
          <w:rFonts w:hint="cs"/>
          <w:color w:val="000000"/>
          <w:rtl/>
          <w:lang w:bidi="ar-EG"/>
        </w:rPr>
        <w:lastRenderedPageBreak/>
        <w:t>$</w:t>
      </w:r>
      <w:r w:rsidRPr="00315653">
        <w:rPr>
          <w:rFonts w:hint="cs"/>
          <w:color w:val="000000"/>
          <w:rtl/>
        </w:rPr>
        <w:t>18</w:t>
      </w:r>
    </w:p>
    <w:p w:rsidR="00F72742" w:rsidRPr="00315653" w:rsidRDefault="00F72742" w:rsidP="00F72742">
      <w:pPr>
        <w:widowControl w:val="0"/>
        <w:spacing w:after="120"/>
        <w:jc w:val="center"/>
        <w:rPr>
          <w:rFonts w:hint="cs"/>
          <w:b/>
          <w:bCs/>
          <w:color w:val="000000"/>
          <w:sz w:val="48"/>
          <w:szCs w:val="52"/>
          <w:rtl/>
        </w:rPr>
      </w:pPr>
      <w:r w:rsidRPr="00315653">
        <w:rPr>
          <w:rFonts w:hint="cs"/>
          <w:b/>
          <w:bCs/>
          <w:color w:val="000000"/>
          <w:sz w:val="48"/>
          <w:szCs w:val="52"/>
          <w:rtl/>
        </w:rPr>
        <w:t>مقدمة</w:t>
      </w:r>
      <w:r w:rsidRPr="00315653">
        <w:rPr>
          <w:rStyle w:val="ab"/>
          <w:b/>
          <w:bCs/>
          <w:color w:val="000000"/>
          <w:sz w:val="48"/>
          <w:szCs w:val="52"/>
          <w:rtl/>
        </w:rPr>
        <w:footnoteReference w:customMarkFollows="1" w:id="26"/>
        <w:t>*</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 xml:space="preserve">11- التعريف بالكفالة </w:t>
      </w:r>
      <w:r w:rsidRPr="00315653">
        <w:rPr>
          <w:b/>
          <w:bCs/>
          <w:color w:val="000000"/>
          <w:rtl/>
        </w:rPr>
        <w:t>–</w:t>
      </w:r>
      <w:r w:rsidRPr="00315653">
        <w:rPr>
          <w:rFonts w:hint="cs"/>
          <w:b/>
          <w:bCs/>
          <w:color w:val="000000"/>
          <w:rtl/>
        </w:rPr>
        <w:t xml:space="preserve"> نص قانوني</w:t>
      </w:r>
      <w:r>
        <w:rPr>
          <w:rFonts w:hint="cs"/>
          <w:color w:val="000000"/>
          <w:rtl/>
        </w:rPr>
        <w:t xml:space="preserve"> :</w:t>
      </w:r>
      <w:r w:rsidRPr="00315653">
        <w:rPr>
          <w:rFonts w:hint="cs"/>
          <w:color w:val="000000"/>
          <w:rtl/>
        </w:rPr>
        <w:t xml:space="preserve"> تنص المادة 772 مدني على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"الكفالة عقد بمقتضاه يكفل شخص تنفيذ التزام</w:t>
      </w:r>
      <w:r>
        <w:rPr>
          <w:rFonts w:hint="cs"/>
          <w:color w:val="000000"/>
          <w:rtl/>
        </w:rPr>
        <w:t xml:space="preserve"> ،</w:t>
      </w:r>
      <w:r w:rsidRPr="00315653">
        <w:rPr>
          <w:rFonts w:hint="cs"/>
          <w:color w:val="000000"/>
          <w:rtl/>
        </w:rPr>
        <w:t xml:space="preserve"> بأن يتعهد للدائن بان يفي بهذا الالتزام إذا لم يف به المدين نفسه"</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7"/>
      </w:r>
      <w:r>
        <w:rPr>
          <w:rFonts w:hint="cs"/>
          <w:color w:val="000000"/>
          <w:vertAlign w:val="superscript"/>
          <w:rtl/>
          <w:lang w:bidi="ar-EG"/>
        </w:rPr>
        <w:t xml:space="preserve"> </w:t>
      </w:r>
      <w:r>
        <w:rPr>
          <w:rFonts w:hint="cs"/>
          <w:color w:val="000000"/>
          <w:vertAlign w:val="superscript"/>
          <w:rtl/>
          <w:lang w:bidi="ar-EG"/>
        </w:rPr>
        <w:lastRenderedPageBreak/>
        <w:t>)</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$19- ويؤخذ من هذا التعريف</w:t>
      </w:r>
      <w:r>
        <w:rPr>
          <w:rFonts w:hint="cs"/>
          <w:color w:val="000000"/>
          <w:vertAlign w:val="superscript"/>
          <w:rtl/>
          <w:lang w:bidi="ar-EG"/>
        </w:rPr>
        <w:t xml:space="preserve">( </w:t>
      </w:r>
      <w:r w:rsidRPr="00315653">
        <w:rPr>
          <w:rStyle w:val="ab"/>
          <w:color w:val="000000"/>
          <w:rtl/>
          <w:lang w:bidi="ar-EG"/>
        </w:rPr>
        <w:footnoteReference w:id="28"/>
      </w:r>
      <w:r>
        <w:rPr>
          <w:rFonts w:hint="cs"/>
          <w:color w:val="000000"/>
          <w:vertAlign w:val="superscript"/>
          <w:rtl/>
          <w:lang w:bidi="ar-EG"/>
        </w:rPr>
        <w:t xml:space="preserve"> )</w:t>
      </w:r>
      <w:r w:rsidRPr="00315653">
        <w:rPr>
          <w:rFonts w:hint="cs"/>
          <w:color w:val="000000"/>
          <w:rtl/>
          <w:lang w:bidi="ar-EG"/>
        </w:rPr>
        <w:t xml:space="preserve"> أن الكفالة هي عقد بين الكفيل والدائن</w:t>
      </w:r>
      <w:r>
        <w:rPr>
          <w:rFonts w:hint="cs"/>
          <w:color w:val="000000"/>
          <w:rtl/>
          <w:lang w:bidi="ar-EG"/>
        </w:rPr>
        <w:t xml:space="preserve"> .</w:t>
      </w:r>
      <w:r w:rsidRPr="00315653">
        <w:rPr>
          <w:rFonts w:hint="cs"/>
          <w:color w:val="000000"/>
          <w:rtl/>
          <w:lang w:bidi="ar-EG"/>
        </w:rPr>
        <w:t xml:space="preserve"> أما المدين الأصلي فليس طرفاً في عقد الكفالة</w:t>
      </w:r>
      <w:r>
        <w:rPr>
          <w:rFonts w:hint="cs"/>
          <w:color w:val="000000"/>
          <w:rtl/>
          <w:lang w:bidi="ar-EG"/>
        </w:rPr>
        <w:t xml:space="preserve"> ،</w:t>
      </w:r>
      <w:r w:rsidRPr="00315653">
        <w:rPr>
          <w:rFonts w:hint="cs"/>
          <w:color w:val="000000"/>
          <w:rtl/>
          <w:lang w:bidi="ar-EG"/>
        </w:rPr>
        <w:t xml:space="preserve"> بل أن كفالة المدين تجوز بغير علم المدين</w:t>
      </w:r>
      <w:r>
        <w:rPr>
          <w:rFonts w:hint="cs"/>
          <w:color w:val="000000"/>
          <w:rtl/>
          <w:lang w:bidi="ar-EG"/>
        </w:rPr>
        <w:t xml:space="preserve"> ،</w:t>
      </w:r>
      <w:r w:rsidRPr="00315653">
        <w:rPr>
          <w:rFonts w:hint="cs"/>
          <w:color w:val="000000"/>
          <w:rtl/>
          <w:lang w:bidi="ar-EG"/>
        </w:rPr>
        <w:t xml:space="preserve"> وتجوز أيضاً رغم معارضته</w:t>
      </w:r>
      <w:r>
        <w:rPr>
          <w:rFonts w:hint="cs"/>
          <w:color w:val="000000"/>
          <w:vertAlign w:val="superscript"/>
          <w:rtl/>
          <w:lang w:bidi="ar-EG"/>
        </w:rPr>
        <w:t xml:space="preserve">( </w:t>
      </w:r>
      <w:r w:rsidRPr="00315653">
        <w:rPr>
          <w:rStyle w:val="ab"/>
          <w:color w:val="000000"/>
          <w:rtl/>
          <w:lang w:bidi="ar-EG"/>
        </w:rPr>
        <w:footnoteReference w:id="2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والذي يهم في الكفالة هو التزام هذا المدين</w:t>
      </w:r>
      <w:r>
        <w:rPr>
          <w:rFonts w:hint="cs"/>
          <w:color w:val="000000"/>
          <w:rtl/>
          <w:lang w:bidi="ar-EG"/>
        </w:rPr>
        <w:t xml:space="preserve"> ،</w:t>
      </w:r>
      <w:r w:rsidRPr="00315653">
        <w:rPr>
          <w:rFonts w:hint="cs"/>
          <w:color w:val="000000"/>
          <w:rtl/>
          <w:lang w:bidi="ar-EG"/>
        </w:rPr>
        <w:t xml:space="preserve"> إذ أن هذا الالتزام هو الذي يضمنه الكفيل</w:t>
      </w:r>
      <w:r>
        <w:rPr>
          <w:rFonts w:hint="cs"/>
          <w:color w:val="000000"/>
          <w:rtl/>
          <w:lang w:bidi="ar-EG"/>
        </w:rPr>
        <w:t xml:space="preserve"> ،</w:t>
      </w:r>
      <w:r w:rsidRPr="00315653">
        <w:rPr>
          <w:rFonts w:hint="cs"/>
          <w:color w:val="000000"/>
          <w:rtl/>
          <w:lang w:bidi="ar-EG"/>
        </w:rPr>
        <w:t xml:space="preserve"> فيجب أن يكون مذكوراً في نوضح ودقة في عقد الكفالة</w:t>
      </w:r>
      <w:r>
        <w:rPr>
          <w:rFonts w:hint="cs"/>
          <w:color w:val="000000"/>
          <w:rtl/>
          <w:lang w:bidi="ar-EG"/>
        </w:rPr>
        <w:t xml:space="preserve"> .</w:t>
      </w:r>
      <w:r w:rsidRPr="00315653">
        <w:rPr>
          <w:rFonts w:hint="cs"/>
          <w:color w:val="000000"/>
          <w:rtl/>
          <w:lang w:bidi="ar-EG"/>
        </w:rPr>
        <w:t xml:space="preserve"> وهذا الالتزام المكفول أكثر ما يكون مبلغ من النقود</w:t>
      </w:r>
      <w:r>
        <w:rPr>
          <w:rFonts w:hint="cs"/>
          <w:color w:val="000000"/>
          <w:rtl/>
          <w:lang w:bidi="ar-EG"/>
        </w:rPr>
        <w:t xml:space="preserve"> ،</w:t>
      </w:r>
      <w:r w:rsidRPr="00315653">
        <w:rPr>
          <w:rFonts w:hint="cs"/>
          <w:color w:val="000000"/>
          <w:rtl/>
          <w:lang w:bidi="ar-EG"/>
        </w:rPr>
        <w:t xml:space="preserve"> وقد يكون إعطاء شيء غير النقود</w:t>
      </w:r>
      <w:r>
        <w:rPr>
          <w:rFonts w:hint="cs"/>
          <w:color w:val="000000"/>
          <w:rtl/>
          <w:lang w:bidi="ar-EG"/>
        </w:rPr>
        <w:t xml:space="preserve"> ،</w:t>
      </w:r>
      <w:r w:rsidRPr="00315653">
        <w:rPr>
          <w:rFonts w:hint="cs"/>
          <w:color w:val="000000"/>
          <w:rtl/>
          <w:lang w:bidi="ar-EG"/>
        </w:rPr>
        <w:t xml:space="preserve"> كما قد يكون عملا أو امتناعاً عن عمل</w:t>
      </w:r>
      <w:r>
        <w:rPr>
          <w:rFonts w:hint="cs"/>
          <w:color w:val="000000"/>
          <w:rtl/>
          <w:lang w:bidi="ar-EG"/>
        </w:rPr>
        <w:t xml:space="preserve"> .</w:t>
      </w:r>
      <w:r w:rsidRPr="00315653">
        <w:rPr>
          <w:rFonts w:hint="cs"/>
          <w:color w:val="000000"/>
          <w:rtl/>
          <w:lang w:bidi="ar-EG"/>
        </w:rPr>
        <w:t xml:space="preserve"> فإذا لم يكن الالتزام المكفول مبلغاً من النقود</w:t>
      </w:r>
      <w:r>
        <w:rPr>
          <w:rFonts w:hint="cs"/>
          <w:color w:val="000000"/>
          <w:rtl/>
          <w:lang w:bidi="ar-EG"/>
        </w:rPr>
        <w:t xml:space="preserve"> ،</w:t>
      </w:r>
      <w:r w:rsidRPr="00315653">
        <w:rPr>
          <w:rFonts w:hint="cs"/>
          <w:color w:val="000000"/>
          <w:rtl/>
          <w:lang w:bidi="ar-EG"/>
        </w:rPr>
        <w:t xml:space="preserve"> ضمن الكفيل ما عسى أن يحكم على المدين الأصلي من تعويض من جراء إخلاله بالالتزام بإعطاء شيء غير النقود</w:t>
      </w:r>
      <w:r>
        <w:rPr>
          <w:rFonts w:hint="cs"/>
          <w:color w:val="000000"/>
          <w:rtl/>
          <w:lang w:bidi="ar-EG"/>
        </w:rPr>
        <w:t xml:space="preserve"> ،</w:t>
      </w:r>
      <w:r w:rsidRPr="00315653">
        <w:rPr>
          <w:rFonts w:hint="cs"/>
          <w:color w:val="000000"/>
          <w:rtl/>
          <w:lang w:bidi="ar-EG"/>
        </w:rPr>
        <w:t xml:space="preserve"> أو من جراء إخلاله بالالتزام بعمل أو بالامتناع عن عمل</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3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فالكفالة إذن تفترض وجود التزام مكفول</w:t>
      </w:r>
      <w:r>
        <w:rPr>
          <w:rFonts w:hint="cs"/>
          <w:color w:val="000000"/>
          <w:rtl/>
          <w:lang w:bidi="ar-EG"/>
        </w:rPr>
        <w:t xml:space="preserve"> ،</w:t>
      </w:r>
      <w:r w:rsidRPr="00315653">
        <w:rPr>
          <w:rFonts w:hint="cs"/>
          <w:color w:val="000000"/>
          <w:rtl/>
          <w:lang w:bidi="ar-EG"/>
        </w:rPr>
        <w:t xml:space="preserve"> وهذا الالتزام يفترض وجود مدين أصلي به ودائن</w:t>
      </w:r>
      <w:r>
        <w:rPr>
          <w:rFonts w:hint="cs"/>
          <w:color w:val="000000"/>
          <w:rtl/>
          <w:lang w:bidi="ar-EG"/>
        </w:rPr>
        <w:t xml:space="preserve"> ،</w:t>
      </w:r>
      <w:r w:rsidRPr="00315653">
        <w:rPr>
          <w:rFonts w:hint="cs"/>
          <w:color w:val="000000"/>
          <w:rtl/>
          <w:lang w:bidi="ar-EG"/>
        </w:rPr>
        <w:t xml:space="preserve"> كما تفترض الكفالة وجود عقد بين الكفيل والدائن بالالتزام الأصلي المكفول بموجبه يفي الكفيل بهذا الالتزام إذا لم يف به المدين الأصلي</w:t>
      </w:r>
      <w:r>
        <w:rPr>
          <w:rFonts w:hint="cs"/>
          <w:color w:val="000000"/>
          <w:rtl/>
          <w:lang w:bidi="ar-EG"/>
        </w:rPr>
        <w:t xml:space="preserve"> .</w:t>
      </w:r>
      <w:r w:rsidRPr="00315653">
        <w:rPr>
          <w:rFonts w:hint="cs"/>
          <w:color w:val="000000"/>
          <w:rtl/>
          <w:lang w:bidi="ar-EG"/>
        </w:rPr>
        <w:t xml:space="preserve"> فالكفالة ترتب التزاماً شخصياً في ذمة الكفيل</w:t>
      </w:r>
      <w:r>
        <w:rPr>
          <w:rFonts w:hint="cs"/>
          <w:color w:val="000000"/>
          <w:vertAlign w:val="superscript"/>
          <w:rtl/>
          <w:lang w:bidi="ar-EG"/>
        </w:rPr>
        <w:t xml:space="preserve">( </w:t>
      </w:r>
      <w:r w:rsidRPr="00315653">
        <w:rPr>
          <w:rStyle w:val="ab"/>
          <w:color w:val="000000"/>
          <w:rtl/>
          <w:lang w:bidi="ar-EG"/>
        </w:rPr>
        <w:footnoteReference w:id="3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والتزام $20 الكفيل هذا تابع للالتزام الأصلي كما سنرى في خصائص الكفالة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أن الكفالة ترتب التزاماً شخصياً في ذمة الكفيل</w:t>
      </w:r>
      <w:r>
        <w:rPr>
          <w:rFonts w:hint="cs"/>
          <w:color w:val="000000"/>
          <w:rtl/>
          <w:lang w:bidi="ar-EG"/>
        </w:rPr>
        <w:t xml:space="preserve"> ،</w:t>
      </w:r>
      <w:r w:rsidRPr="00315653">
        <w:rPr>
          <w:rFonts w:hint="cs"/>
          <w:color w:val="000000"/>
          <w:rtl/>
          <w:lang w:bidi="ar-EG"/>
        </w:rPr>
        <w:t xml:space="preserve"> فذلك ظاهر من أن الكفالة تعتبر من التأمينات الشخصية كما سبق القول</w:t>
      </w:r>
      <w:r>
        <w:rPr>
          <w:rFonts w:hint="cs"/>
          <w:color w:val="000000"/>
          <w:rtl/>
          <w:lang w:bidi="ar-EG"/>
        </w:rPr>
        <w:t xml:space="preserve"> .</w:t>
      </w:r>
      <w:r w:rsidRPr="00315653">
        <w:rPr>
          <w:rFonts w:hint="cs"/>
          <w:color w:val="000000"/>
          <w:rtl/>
          <w:lang w:bidi="ar-EG"/>
        </w:rPr>
        <w:t xml:space="preserve"> وعلى ذلك يجب أن يستبعد من نطاق الكفالة</w:t>
      </w:r>
      <w:r w:rsidRPr="00315653">
        <w:rPr>
          <w:rFonts w:hint="cs"/>
          <w:color w:val="000000"/>
          <w:rtl/>
        </w:rPr>
        <w:t xml:space="preserve"> </w:t>
      </w:r>
      <w:r w:rsidRPr="00315653">
        <w:rPr>
          <w:rFonts w:hint="cs"/>
          <w:color w:val="000000"/>
          <w:rtl/>
          <w:lang w:bidi="ar-EG"/>
        </w:rPr>
        <w:t xml:space="preserve">المبالغ من النقود أو القيم المنقولة التي تودع ضماناً لدين وتسمى هي أيضاً بالكفالة </w:t>
      </w:r>
      <w:r>
        <w:rPr>
          <w:color w:val="000000"/>
          <w:rtl/>
          <w:lang w:bidi="ar-EG"/>
        </w:rPr>
        <w:t xml:space="preserve">( </w:t>
      </w:r>
      <w:r w:rsidRPr="00315653">
        <w:rPr>
          <w:color w:val="000000"/>
          <w:lang w:bidi="ar-EG"/>
        </w:rPr>
        <w:t>cautionnement</w:t>
      </w:r>
      <w:r>
        <w:rPr>
          <w:color w:val="000000"/>
          <w:rtl/>
          <w:lang w:bidi="ar-EG"/>
        </w:rPr>
        <w:t xml:space="preserve"> )</w:t>
      </w:r>
      <w:r>
        <w:rPr>
          <w:rFonts w:hint="cs"/>
          <w:color w:val="000000"/>
          <w:rtl/>
        </w:rPr>
        <w:t xml:space="preserve"> ،</w:t>
      </w:r>
      <w:r w:rsidRPr="00315653">
        <w:rPr>
          <w:rFonts w:hint="cs"/>
          <w:color w:val="000000"/>
          <w:rtl/>
        </w:rPr>
        <w:t xml:space="preserve"> فهذه إنما هي تأمين عيني </w:t>
      </w:r>
      <w:r>
        <w:rPr>
          <w:color w:val="000000"/>
          <w:rtl/>
        </w:rPr>
        <w:t xml:space="preserve">( </w:t>
      </w:r>
      <w:r w:rsidRPr="00315653">
        <w:rPr>
          <w:color w:val="000000"/>
        </w:rPr>
        <w:t>surete reelle</w:t>
      </w:r>
      <w:r>
        <w:rPr>
          <w:color w:val="000000"/>
          <w:rtl/>
        </w:rPr>
        <w:t xml:space="preserve"> )</w:t>
      </w:r>
      <w:r>
        <w:rPr>
          <w:rFonts w:hint="cs"/>
          <w:color w:val="000000"/>
          <w:rtl/>
        </w:rPr>
        <w:t xml:space="preserve"> .</w:t>
      </w:r>
      <w:r w:rsidRPr="00315653">
        <w:rPr>
          <w:rFonts w:hint="cs"/>
          <w:color w:val="000000"/>
          <w:rtl/>
        </w:rPr>
        <w:t xml:space="preserve"> وهي رهن حيازة يضمن في العادة دين تعويض عن خطأ قد يرتكبه المدين في أثناء عمله</w:t>
      </w:r>
      <w:r>
        <w:rPr>
          <w:rFonts w:hint="cs"/>
          <w:color w:val="000000"/>
          <w:rtl/>
        </w:rPr>
        <w:t xml:space="preserve"> .</w:t>
      </w:r>
      <w:r w:rsidRPr="00315653">
        <w:rPr>
          <w:rFonts w:hint="cs"/>
          <w:color w:val="000000"/>
          <w:rtl/>
        </w:rPr>
        <w:t xml:space="preserve"> كما لو كان المدين صرافاً عاماً أو مقاولا</w:t>
      </w:r>
      <w:r>
        <w:rPr>
          <w:rFonts w:hint="cs"/>
          <w:color w:val="000000"/>
          <w:rtl/>
        </w:rPr>
        <w:t xml:space="preserve"> ،</w:t>
      </w:r>
      <w:r w:rsidRPr="00315653">
        <w:rPr>
          <w:rFonts w:hint="cs"/>
          <w:color w:val="000000"/>
          <w:rtl/>
        </w:rPr>
        <w:t xml:space="preserve"> وتسري على هذا التأمين أحكام الرهن الحيازي</w:t>
      </w:r>
      <w:r>
        <w:rPr>
          <w:rFonts w:hint="cs"/>
          <w:color w:val="000000"/>
          <w:vertAlign w:val="superscript"/>
          <w:rtl/>
          <w:lang w:bidi="ar-EG"/>
        </w:rPr>
        <w:t xml:space="preserve">( </w:t>
      </w:r>
      <w:r w:rsidRPr="00315653">
        <w:rPr>
          <w:rStyle w:val="ab"/>
          <w:color w:val="000000"/>
          <w:rtl/>
          <w:lang w:bidi="ar-EG"/>
        </w:rPr>
        <w:footnoteReference w:id="3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sidRPr="00315653">
        <w:rPr>
          <w:rFonts w:hint="cs"/>
          <w:color w:val="000000"/>
          <w:rtl/>
        </w:rPr>
        <w:t>كذلك يستبعد من نطاق الكفالة</w:t>
      </w:r>
      <w:r>
        <w:rPr>
          <w:rFonts w:hint="cs"/>
          <w:color w:val="000000"/>
          <w:rtl/>
        </w:rPr>
        <w:t xml:space="preserve"> ،</w:t>
      </w:r>
      <w:r w:rsidRPr="00315653">
        <w:rPr>
          <w:rFonts w:hint="cs"/>
          <w:color w:val="000000"/>
          <w:rtl/>
        </w:rPr>
        <w:t xml:space="preserve"> وهي تأمين شخصي كما قدمنا</w:t>
      </w:r>
      <w:r>
        <w:rPr>
          <w:rFonts w:hint="cs"/>
          <w:color w:val="000000"/>
          <w:rtl/>
        </w:rPr>
        <w:t xml:space="preserve"> ،</w:t>
      </w:r>
      <w:r w:rsidRPr="00315653">
        <w:rPr>
          <w:rFonts w:hint="cs"/>
          <w:color w:val="000000"/>
          <w:rtl/>
        </w:rPr>
        <w:t xml:space="preserve"> الكفالة العينية</w:t>
      </w:r>
      <w:r>
        <w:rPr>
          <w:rFonts w:hint="cs"/>
          <w:color w:val="000000"/>
          <w:rtl/>
        </w:rPr>
        <w:t xml:space="preserve"> .</w:t>
      </w:r>
      <w:r w:rsidRPr="00315653">
        <w:rPr>
          <w:rFonts w:hint="cs"/>
          <w:color w:val="000000"/>
          <w:rtl/>
        </w:rPr>
        <w:t xml:space="preserve"> فالكفيل </w:t>
      </w:r>
      <w:r w:rsidRPr="00315653">
        <w:rPr>
          <w:rFonts w:hint="cs"/>
          <w:color w:val="000000"/>
          <w:rtl/>
        </w:rPr>
        <w:lastRenderedPageBreak/>
        <w:t xml:space="preserve">العيني </w:t>
      </w:r>
      <w:r>
        <w:rPr>
          <w:color w:val="000000"/>
          <w:rtl/>
        </w:rPr>
        <w:t xml:space="preserve">( </w:t>
      </w:r>
      <w:r w:rsidRPr="00315653">
        <w:rPr>
          <w:color w:val="000000"/>
        </w:rPr>
        <w:t>surete reelle</w:t>
      </w:r>
      <w:r>
        <w:rPr>
          <w:color w:val="000000"/>
          <w:rtl/>
        </w:rPr>
        <w:t xml:space="preserve"> )</w:t>
      </w:r>
      <w:r w:rsidRPr="00315653">
        <w:rPr>
          <w:rFonts w:hint="cs"/>
          <w:color w:val="000000"/>
          <w:rtl/>
        </w:rPr>
        <w:t xml:space="preserve"> يقدم شيئاً مملوكاً له</w:t>
      </w:r>
      <w:r>
        <w:rPr>
          <w:rFonts w:hint="cs"/>
          <w:color w:val="000000"/>
          <w:rtl/>
        </w:rPr>
        <w:t xml:space="preserve"> ،</w:t>
      </w:r>
      <w:r w:rsidRPr="00315653">
        <w:rPr>
          <w:rFonts w:hint="cs"/>
          <w:color w:val="000000"/>
          <w:rtl/>
        </w:rPr>
        <w:t xml:space="preserve"> عقاراً كان أو منقولا</w:t>
      </w:r>
      <w:r>
        <w:rPr>
          <w:rFonts w:hint="cs"/>
          <w:color w:val="000000"/>
          <w:rtl/>
        </w:rPr>
        <w:t xml:space="preserve"> ،</w:t>
      </w:r>
      <w:r w:rsidRPr="00315653">
        <w:rPr>
          <w:rFonts w:hint="cs"/>
          <w:color w:val="000000"/>
          <w:rtl/>
        </w:rPr>
        <w:t xml:space="preserve"> رهناً لوفاء دين الغير</w:t>
      </w:r>
      <w:r>
        <w:rPr>
          <w:rFonts w:hint="cs"/>
          <w:color w:val="000000"/>
          <w:rtl/>
        </w:rPr>
        <w:t xml:space="preserve"> .</w:t>
      </w:r>
      <w:r w:rsidRPr="00315653">
        <w:rPr>
          <w:rFonts w:hint="cs"/>
          <w:color w:val="000000"/>
          <w:rtl/>
        </w:rPr>
        <w:t xml:space="preserve"> والرهن هنا إما أن يكون رهناً حيازياً إذا وقع على عقار أو منقول</w:t>
      </w:r>
      <w:r>
        <w:rPr>
          <w:rFonts w:hint="cs"/>
          <w:color w:val="000000"/>
          <w:rtl/>
        </w:rPr>
        <w:t xml:space="preserve"> ،</w:t>
      </w:r>
      <w:r w:rsidRPr="00315653">
        <w:rPr>
          <w:rFonts w:hint="cs"/>
          <w:color w:val="000000"/>
          <w:rtl/>
        </w:rPr>
        <w:t xml:space="preserve"> أو رهناً رسمياً إذا وقع على عقار</w:t>
      </w:r>
      <w:r>
        <w:rPr>
          <w:rFonts w:hint="cs"/>
          <w:color w:val="000000"/>
          <w:rtl/>
        </w:rPr>
        <w:t xml:space="preserve"> .</w:t>
      </w:r>
      <w:r w:rsidRPr="00315653">
        <w:rPr>
          <w:rFonts w:hint="cs"/>
          <w:color w:val="000000"/>
          <w:rtl/>
        </w:rPr>
        <w:t xml:space="preserve"> وفي جميع الأحوال   لا يكون الكفيل العيني ملتزماً التزاماً شخصياً بضمان الدين</w:t>
      </w:r>
      <w:r>
        <w:rPr>
          <w:rFonts w:hint="cs"/>
          <w:color w:val="000000"/>
          <w:rtl/>
        </w:rPr>
        <w:t xml:space="preserve"> ،</w:t>
      </w:r>
      <w:r w:rsidRPr="00315653">
        <w:rPr>
          <w:rFonts w:hint="cs"/>
          <w:color w:val="000000"/>
          <w:rtl/>
        </w:rPr>
        <w:t xml:space="preserve"> بل الذي يضمن الدين هو الرهن الذي قدمه</w:t>
      </w:r>
      <w:r>
        <w:rPr>
          <w:rFonts w:hint="cs"/>
          <w:color w:val="000000"/>
          <w:rtl/>
        </w:rPr>
        <w:t xml:space="preserve"> ،</w:t>
      </w:r>
      <w:r w:rsidRPr="00315653">
        <w:rPr>
          <w:rFonts w:hint="cs"/>
          <w:color w:val="000000"/>
          <w:rtl/>
        </w:rPr>
        <w:t xml:space="preserve"> أي أن التأمين هنا تأمين عيني لا تأمين شخصي</w:t>
      </w:r>
      <w:r>
        <w:rPr>
          <w:rFonts w:hint="cs"/>
          <w:color w:val="000000"/>
          <w:rtl/>
        </w:rPr>
        <w:t xml:space="preserve"> ،</w:t>
      </w:r>
      <w:r w:rsidRPr="00315653">
        <w:rPr>
          <w:rFonts w:hint="cs"/>
          <w:color w:val="000000"/>
          <w:rtl/>
        </w:rPr>
        <w:t xml:space="preserve"> ومن أجل هذا نستبعد الكفالة العينية من نطاق الكفالة الشخصية</w:t>
      </w:r>
      <w:r>
        <w:rPr>
          <w:rFonts w:hint="cs"/>
          <w:color w:val="000000"/>
          <w:rtl/>
        </w:rPr>
        <w:t xml:space="preserve"> .</w:t>
      </w:r>
      <w:r w:rsidRPr="00315653">
        <w:rPr>
          <w:rFonts w:hint="cs"/>
          <w:color w:val="000000"/>
          <w:rtl/>
        </w:rPr>
        <w:t xml:space="preserve"> ولا يكون الكفيل العيني مسئولا شخصياً عن الدين المضمون</w:t>
      </w:r>
      <w:r>
        <w:rPr>
          <w:rFonts w:hint="cs"/>
          <w:color w:val="000000"/>
          <w:rtl/>
        </w:rPr>
        <w:t xml:space="preserve"> ،</w:t>
      </w:r>
      <w:r w:rsidRPr="00315653">
        <w:rPr>
          <w:rFonts w:hint="cs"/>
          <w:color w:val="000000"/>
          <w:rtl/>
        </w:rPr>
        <w:t xml:space="preserve"> بل الذي يضمن الدين هي العين التي قدمها رهناً</w:t>
      </w:r>
      <w:r>
        <w:rPr>
          <w:rFonts w:hint="cs"/>
          <w:color w:val="000000"/>
          <w:rtl/>
        </w:rPr>
        <w:t xml:space="preserve"> ،</w:t>
      </w:r>
      <w:r w:rsidRPr="00315653">
        <w:rPr>
          <w:rFonts w:hint="cs"/>
          <w:color w:val="000000"/>
          <w:rtl/>
        </w:rPr>
        <w:t xml:space="preserve"> سواء كان الرهن رهنا رسمياً أو رهناً حيازياً</w:t>
      </w:r>
      <w:r>
        <w:rPr>
          <w:rFonts w:hint="cs"/>
          <w:color w:val="000000"/>
          <w:rtl/>
        </w:rPr>
        <w:t xml:space="preserve"> .</w:t>
      </w:r>
      <w:r w:rsidRPr="00315653">
        <w:rPr>
          <w:rFonts w:hint="cs"/>
          <w:color w:val="000000"/>
          <w:rtl/>
        </w:rPr>
        <w:t xml:space="preserve"> فإذا انتقلت ملكية العين المرهونة إلى غير الكفيل العيني مسئولا شخصياً عن الدين كما قدمنا</w:t>
      </w:r>
      <w:r>
        <w:rPr>
          <w:rFonts w:hint="cs"/>
          <w:color w:val="000000"/>
          <w:rtl/>
        </w:rPr>
        <w:t xml:space="preserve"> .</w:t>
      </w:r>
      <w:r w:rsidRPr="00315653">
        <w:rPr>
          <w:rFonts w:hint="cs"/>
          <w:color w:val="000000"/>
          <w:rtl/>
        </w:rPr>
        <w:t xml:space="preserve"> وإذا تخلى الكفيل العيني عن العين المرهونة للدائن</w:t>
      </w:r>
      <w:r>
        <w:rPr>
          <w:rFonts w:hint="cs"/>
          <w:color w:val="000000"/>
          <w:rtl/>
        </w:rPr>
        <w:t xml:space="preserve"> ،</w:t>
      </w:r>
      <w:r w:rsidRPr="00315653">
        <w:rPr>
          <w:rFonts w:hint="cs"/>
          <w:color w:val="000000"/>
          <w:rtl/>
        </w:rPr>
        <w:t xml:space="preserve"> أو فقد حيازتها بأي سبب</w:t>
      </w:r>
      <w:r>
        <w:rPr>
          <w:rFonts w:hint="cs"/>
          <w:color w:val="000000"/>
          <w:rtl/>
        </w:rPr>
        <w:t xml:space="preserve"> ،</w:t>
      </w:r>
      <w:r w:rsidRPr="00315653">
        <w:rPr>
          <w:rFonts w:hint="cs"/>
          <w:color w:val="000000"/>
          <w:rtl/>
        </w:rPr>
        <w:t xml:space="preserve"> فان كفالته العينية للدين تنتهي</w:t>
      </w:r>
      <w:r>
        <w:rPr>
          <w:rFonts w:hint="cs"/>
          <w:color w:val="000000"/>
          <w:rtl/>
        </w:rPr>
        <w:t xml:space="preserve"> ،</w:t>
      </w:r>
      <w:r w:rsidRPr="00315653">
        <w:rPr>
          <w:rFonts w:hint="cs"/>
          <w:color w:val="000000"/>
          <w:rtl/>
        </w:rPr>
        <w:t xml:space="preserve"> لأنه غير ملتزم إلا التزاماً عينياً </w:t>
      </w:r>
      <w:r>
        <w:rPr>
          <w:color w:val="000000"/>
          <w:rtl/>
        </w:rPr>
        <w:t xml:space="preserve">( </w:t>
      </w:r>
      <w:r w:rsidRPr="00315653">
        <w:rPr>
          <w:color w:val="000000"/>
        </w:rPr>
        <w:t>propter rem</w:t>
      </w:r>
      <w:r>
        <w:rPr>
          <w:color w:val="000000"/>
          <w:rtl/>
        </w:rPr>
        <w:t xml:space="preserve"> )</w:t>
      </w:r>
      <w:r>
        <w:rPr>
          <w:rFonts w:hint="cs"/>
          <w:color w:val="000000"/>
          <w:rtl/>
        </w:rPr>
        <w:t xml:space="preserve"> .</w:t>
      </w:r>
      <w:r w:rsidRPr="00315653">
        <w:rPr>
          <w:rFonts w:hint="cs"/>
          <w:color w:val="000000"/>
          <w:rtl/>
        </w:rPr>
        <w:t xml:space="preserve"> وهذا بخلاف الكفيل الشخصي</w:t>
      </w:r>
      <w:r>
        <w:rPr>
          <w:rFonts w:hint="cs"/>
          <w:color w:val="000000"/>
          <w:rtl/>
        </w:rPr>
        <w:t xml:space="preserve"> ،</w:t>
      </w:r>
      <w:r w:rsidRPr="00315653">
        <w:rPr>
          <w:rFonts w:hint="cs"/>
          <w:color w:val="000000"/>
          <w:rtl/>
        </w:rPr>
        <w:t xml:space="preserve"> فإنه يكون ملتزماً شخصياً بوفاء الدين إذا لم يوفه المدين</w:t>
      </w:r>
      <w:r>
        <w:rPr>
          <w:rFonts w:hint="cs"/>
          <w:color w:val="000000"/>
          <w:rtl/>
        </w:rPr>
        <w:t xml:space="preserve"> ،</w:t>
      </w:r>
      <w:r w:rsidRPr="00315653">
        <w:rPr>
          <w:rFonts w:hint="cs"/>
          <w:color w:val="000000"/>
          <w:rtl/>
        </w:rPr>
        <w:t xml:space="preserve"> وينتقل هذا الالتزام الشخصي في $21 تركته إلى ورثته</w:t>
      </w:r>
      <w:r>
        <w:rPr>
          <w:rFonts w:hint="cs"/>
          <w:color w:val="000000"/>
          <w:rtl/>
        </w:rPr>
        <w:t xml:space="preserve"> ،</w:t>
      </w:r>
      <w:r w:rsidRPr="00315653">
        <w:rPr>
          <w:rFonts w:hint="cs"/>
          <w:color w:val="000000"/>
          <w:rtl/>
        </w:rPr>
        <w:t xml:space="preserve"> ويكون مسئولا في جميع أمواله لا في مال معين بالذات ولكن لا يكون للدائن في الكفالة الشخصية إلا الضمان العام لكل دائن في أموال مدينة</w:t>
      </w:r>
      <w:r>
        <w:rPr>
          <w:rFonts w:hint="cs"/>
          <w:color w:val="000000"/>
          <w:rtl/>
        </w:rPr>
        <w:t xml:space="preserve"> ،</w:t>
      </w:r>
      <w:r w:rsidRPr="00315653">
        <w:rPr>
          <w:rFonts w:hint="cs"/>
          <w:color w:val="000000"/>
          <w:rtl/>
        </w:rPr>
        <w:t xml:space="preserve"> ولذلك يزاحمه سائر دائني الكفيل الشخصي</w:t>
      </w:r>
      <w:r>
        <w:rPr>
          <w:rFonts w:hint="cs"/>
          <w:color w:val="000000"/>
          <w:rtl/>
        </w:rPr>
        <w:t xml:space="preserve"> ،</w:t>
      </w:r>
      <w:r w:rsidRPr="00315653">
        <w:rPr>
          <w:rFonts w:hint="cs"/>
          <w:color w:val="000000"/>
          <w:rtl/>
        </w:rPr>
        <w:t xml:space="preserve"> ولا يتركز الدين في عين معينة بالذات يكون للدائن فيها حق المتقدم وحق التتبع كما تتركز الكفالة العينية</w:t>
      </w:r>
      <w:r>
        <w:rPr>
          <w:rFonts w:hint="cs"/>
          <w:color w:val="000000"/>
          <w:vertAlign w:val="superscript"/>
          <w:rtl/>
          <w:lang w:bidi="ar-EG"/>
        </w:rPr>
        <w:t xml:space="preserve">( </w:t>
      </w:r>
      <w:r w:rsidRPr="00315653">
        <w:rPr>
          <w:rStyle w:val="ab"/>
          <w:color w:val="000000"/>
          <w:rtl/>
          <w:lang w:bidi="ar-EG"/>
        </w:rPr>
        <w:footnoteReference w:id="3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وأما أن التزام الكفيل الشخصي تابع للالتزام المكفول الأصلي</w:t>
      </w:r>
      <w:r>
        <w:rPr>
          <w:rFonts w:hint="cs"/>
          <w:color w:val="000000"/>
          <w:rtl/>
          <w:lang w:bidi="ar-EG"/>
        </w:rPr>
        <w:t xml:space="preserve"> ،</w:t>
      </w:r>
      <w:r w:rsidRPr="00315653">
        <w:rPr>
          <w:rFonts w:hint="cs"/>
          <w:color w:val="000000"/>
          <w:rtl/>
          <w:lang w:bidi="ar-EG"/>
        </w:rPr>
        <w:t xml:space="preserve"> فيظهر ذلك فيما إذا التزام المسئول عن دين الغير التزاماً أصلياً لا التزاماً تابعاً</w:t>
      </w:r>
      <w:r>
        <w:rPr>
          <w:rFonts w:hint="cs"/>
          <w:color w:val="000000"/>
          <w:rtl/>
          <w:lang w:bidi="ar-EG"/>
        </w:rPr>
        <w:t xml:space="preserve"> ،</w:t>
      </w:r>
      <w:r w:rsidRPr="00315653">
        <w:rPr>
          <w:rFonts w:hint="cs"/>
          <w:color w:val="000000"/>
          <w:rtl/>
          <w:lang w:bidi="ar-EG"/>
        </w:rPr>
        <w:t xml:space="preserve"> وعند ذلك لا يكون هذا المسئول كفيلا شخصياً ولا العقد الذي التزام به بعقد كفالة</w:t>
      </w:r>
      <w:r>
        <w:rPr>
          <w:rFonts w:hint="cs"/>
          <w:color w:val="000000"/>
          <w:rtl/>
          <w:lang w:bidi="ar-EG"/>
        </w:rPr>
        <w:t xml:space="preserve"> .</w:t>
      </w:r>
      <w:r w:rsidRPr="00315653">
        <w:rPr>
          <w:rFonts w:hint="cs"/>
          <w:color w:val="000000"/>
          <w:rtl/>
          <w:lang w:bidi="ar-EG"/>
        </w:rPr>
        <w:t xml:space="preserve"> وعلى ذلك لا يعتبر عقد كفالة ما يأتي</w:t>
      </w:r>
      <w:r>
        <w:rPr>
          <w:rFonts w:hint="cs"/>
          <w:color w:val="000000"/>
          <w:vertAlign w:val="superscript"/>
          <w:rtl/>
          <w:lang w:bidi="ar-EG"/>
        </w:rPr>
        <w:t xml:space="preserve">( </w:t>
      </w:r>
      <w:r w:rsidRPr="00315653">
        <w:rPr>
          <w:rStyle w:val="ab"/>
          <w:color w:val="000000"/>
          <w:rtl/>
          <w:lang w:bidi="ar-EG"/>
        </w:rPr>
        <w:footnoteReference w:id="3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عقد الإنابة ولو كانت غير كاملة</w:t>
      </w:r>
      <w:r>
        <w:rPr>
          <w:rFonts w:hint="cs"/>
          <w:color w:val="000000"/>
          <w:rtl/>
          <w:lang w:bidi="ar-EG"/>
        </w:rPr>
        <w:t xml:space="preserve"> ،</w:t>
      </w:r>
      <w:r w:rsidRPr="00315653">
        <w:rPr>
          <w:rFonts w:hint="cs"/>
          <w:color w:val="000000"/>
          <w:rtl/>
          <w:lang w:bidi="ar-EG"/>
        </w:rPr>
        <w:t xml:space="preserve"> فان المناب يلتزم بدفع دين الغير التزاماً أصلياً لا التزاماً تابعاً</w:t>
      </w:r>
      <w:r>
        <w:rPr>
          <w:rFonts w:hint="cs"/>
          <w:color w:val="000000"/>
          <w:rtl/>
          <w:lang w:bidi="ar-EG"/>
        </w:rPr>
        <w:t xml:space="preserve"> ،</w:t>
      </w:r>
      <w:r w:rsidRPr="00315653">
        <w:rPr>
          <w:rFonts w:hint="cs"/>
          <w:color w:val="000000"/>
          <w:rtl/>
          <w:lang w:bidi="ar-EG"/>
        </w:rPr>
        <w:t xml:space="preserve"> ولا يستطيع أن يحتج بالدفوع التي يحتج بها المنيب على المناب لديه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القابل للكمبيالة وموقعها</w:t>
      </w:r>
      <w:r>
        <w:rPr>
          <w:rFonts w:hint="cs"/>
          <w:color w:val="000000"/>
          <w:rtl/>
          <w:lang w:bidi="ar-EG"/>
        </w:rPr>
        <w:t xml:space="preserve"> ،</w:t>
      </w:r>
      <w:r w:rsidRPr="00315653">
        <w:rPr>
          <w:rFonts w:hint="cs"/>
          <w:color w:val="000000"/>
          <w:rtl/>
          <w:lang w:bidi="ar-EG"/>
        </w:rPr>
        <w:t xml:space="preserve"> وكلهم ملتزمون التزاماً أصلياً بدفع قيمة الكمبيالة</w:t>
      </w:r>
      <w:r>
        <w:rPr>
          <w:rFonts w:hint="cs"/>
          <w:color w:val="000000"/>
          <w:rtl/>
          <w:lang w:bidi="ar-EG"/>
        </w:rPr>
        <w:t xml:space="preserve"> ،</w:t>
      </w:r>
      <w:r w:rsidRPr="00315653">
        <w:rPr>
          <w:rFonts w:hint="cs"/>
          <w:color w:val="000000"/>
          <w:rtl/>
          <w:lang w:bidi="ar-EG"/>
        </w:rPr>
        <w:t xml:space="preserve"> ولذلك لا يعتبرون كفلاء</w:t>
      </w:r>
      <w:r>
        <w:rPr>
          <w:rFonts w:hint="cs"/>
          <w:color w:val="000000"/>
          <w:vertAlign w:val="superscript"/>
          <w:rtl/>
          <w:lang w:bidi="ar-EG"/>
        </w:rPr>
        <w:t xml:space="preserve">( </w:t>
      </w:r>
      <w:r w:rsidRPr="00315653">
        <w:rPr>
          <w:rStyle w:val="ab"/>
          <w:color w:val="000000"/>
          <w:rtl/>
          <w:lang w:bidi="ar-EG"/>
        </w:rPr>
        <w:footnoteReference w:id="3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المدين المتضامن مع مدينين آخرين</w:t>
      </w:r>
      <w:r>
        <w:rPr>
          <w:rFonts w:hint="cs"/>
          <w:color w:val="000000"/>
          <w:rtl/>
          <w:lang w:bidi="ar-EG"/>
        </w:rPr>
        <w:t xml:space="preserve"> ،</w:t>
      </w:r>
      <w:r w:rsidRPr="00315653">
        <w:rPr>
          <w:rFonts w:hint="cs"/>
          <w:color w:val="000000"/>
          <w:rtl/>
          <w:lang w:bidi="ar-EG"/>
        </w:rPr>
        <w:t xml:space="preserve"> فإنه يلتزم التزاماً أصلياً بالتضامن مع سائر المدينين</w:t>
      </w:r>
      <w:r>
        <w:rPr>
          <w:rFonts w:hint="cs"/>
          <w:color w:val="000000"/>
          <w:rtl/>
          <w:lang w:bidi="ar-EG"/>
        </w:rPr>
        <w:t xml:space="preserve"> ،</w:t>
      </w:r>
      <w:r w:rsidRPr="00315653">
        <w:rPr>
          <w:rFonts w:hint="cs"/>
          <w:color w:val="000000"/>
          <w:rtl/>
          <w:lang w:bidi="ar-EG"/>
        </w:rPr>
        <w:t xml:space="preserve"> ولذلك لا يعتبر كفيلا لهم</w:t>
      </w:r>
      <w:r>
        <w:rPr>
          <w:rFonts w:hint="cs"/>
          <w:color w:val="000000"/>
          <w:vertAlign w:val="superscript"/>
          <w:rtl/>
          <w:lang w:bidi="ar-EG"/>
        </w:rPr>
        <w:t xml:space="preserve">( </w:t>
      </w:r>
      <w:r w:rsidRPr="00315653">
        <w:rPr>
          <w:rStyle w:val="ab"/>
          <w:color w:val="000000"/>
          <w:rtl/>
          <w:lang w:bidi="ar-EG"/>
        </w:rPr>
        <w:footnoteReference w:id="3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بخلاف الكفيل المتضامن مع المدين الأصلي</w:t>
      </w:r>
      <w:r>
        <w:rPr>
          <w:rFonts w:hint="cs"/>
          <w:color w:val="000000"/>
          <w:rtl/>
          <w:lang w:bidi="ar-EG"/>
        </w:rPr>
        <w:t xml:space="preserve"> ،</w:t>
      </w:r>
      <w:r w:rsidRPr="00315653">
        <w:rPr>
          <w:rFonts w:hint="cs"/>
          <w:color w:val="000000"/>
          <w:rtl/>
          <w:lang w:bidi="ar-EG"/>
        </w:rPr>
        <w:t xml:space="preserve"> فإنه يلتزم التزاماً تابعاً لالتزام المدين الأصلي ولذلك يكون كفيلا له</w:t>
      </w:r>
      <w:r>
        <w:rPr>
          <w:rFonts w:hint="cs"/>
          <w:color w:val="000000"/>
          <w:rtl/>
          <w:lang w:bidi="ar-EG"/>
        </w:rPr>
        <w:t xml:space="preserve"> ،</w:t>
      </w:r>
      <w:r w:rsidRPr="00315653">
        <w:rPr>
          <w:rFonts w:hint="cs"/>
          <w:color w:val="000000"/>
          <w:rtl/>
          <w:lang w:bidi="ar-EG"/>
        </w:rPr>
        <w:t xml:space="preserve"> وسيأتي الكلام في الكفيل المتضامن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الوكيل بالعمولة الذي يضمن يسار العميل</w:t>
      </w:r>
      <w:r>
        <w:rPr>
          <w:rFonts w:hint="cs"/>
          <w:color w:val="000000"/>
          <w:rtl/>
          <w:lang w:bidi="ar-EG"/>
        </w:rPr>
        <w:t xml:space="preserve"> ،</w:t>
      </w:r>
      <w:r w:rsidRPr="00315653">
        <w:rPr>
          <w:rFonts w:hint="cs"/>
          <w:color w:val="000000"/>
          <w:rtl/>
          <w:lang w:bidi="ar-EG"/>
        </w:rPr>
        <w:t xml:space="preserve"> </w:t>
      </w:r>
      <w:r>
        <w:rPr>
          <w:color w:val="000000"/>
          <w:rtl/>
          <w:lang w:bidi="ar-EG"/>
        </w:rPr>
        <w:t xml:space="preserve">( </w:t>
      </w:r>
      <w:r w:rsidRPr="00315653">
        <w:rPr>
          <w:color w:val="000000"/>
          <w:lang w:bidi="ar-EG"/>
        </w:rPr>
        <w:t>convention ducroire</w:t>
      </w:r>
      <w:r>
        <w:rPr>
          <w:color w:val="000000"/>
          <w:rtl/>
          <w:lang w:bidi="ar-EG"/>
        </w:rPr>
        <w:t xml:space="preserve"> )</w:t>
      </w:r>
      <w:r w:rsidRPr="00315653">
        <w:rPr>
          <w:rFonts w:hint="cs"/>
          <w:color w:val="000000"/>
          <w:rtl/>
        </w:rPr>
        <w:t xml:space="preserve"> يلتزم التزاماً أصلياً</w:t>
      </w:r>
      <w:r>
        <w:rPr>
          <w:rFonts w:hint="cs"/>
          <w:color w:val="000000"/>
          <w:rtl/>
        </w:rPr>
        <w:t xml:space="preserve"> ،</w:t>
      </w:r>
      <w:r w:rsidRPr="00315653">
        <w:rPr>
          <w:rFonts w:hint="cs"/>
          <w:color w:val="000000"/>
          <w:rtl/>
        </w:rPr>
        <w:t xml:space="preserve"> ولذل لا يعتبر كفيلا للعمل</w:t>
      </w:r>
      <w:r>
        <w:rPr>
          <w:rFonts w:hint="cs"/>
          <w:color w:val="000000"/>
          <w:vertAlign w:val="superscript"/>
          <w:rtl/>
          <w:lang w:bidi="ar-EG"/>
        </w:rPr>
        <w:t xml:space="preserve">( </w:t>
      </w:r>
      <w:r w:rsidRPr="00315653">
        <w:rPr>
          <w:rStyle w:val="ab"/>
          <w:color w:val="000000"/>
          <w:rtl/>
          <w:lang w:bidi="ar-EG"/>
        </w:rPr>
        <w:footnoteReference w:id="3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sidRPr="00315653">
        <w:rPr>
          <w:rFonts w:hint="cs"/>
          <w:color w:val="000000"/>
          <w:rtl/>
          <w:lang w:bidi="ar-EG"/>
        </w:rPr>
        <w:t xml:space="preserve"> عقد تأمين يسار المدين </w:t>
      </w:r>
      <w:r>
        <w:rPr>
          <w:color w:val="000000"/>
          <w:rtl/>
          <w:lang w:bidi="ar-EG"/>
        </w:rPr>
        <w:t xml:space="preserve">( </w:t>
      </w:r>
      <w:r w:rsidRPr="00315653">
        <w:rPr>
          <w:color w:val="000000"/>
          <w:lang w:bidi="ar-EG"/>
        </w:rPr>
        <w:t>assurance credit</w:t>
      </w:r>
      <w:r>
        <w:rPr>
          <w:color w:val="000000"/>
          <w:rtl/>
          <w:lang w:bidi="ar-EG"/>
        </w:rPr>
        <w:t xml:space="preserve"> )</w:t>
      </w:r>
      <w:r w:rsidRPr="00315653">
        <w:rPr>
          <w:rFonts w:hint="cs"/>
          <w:color w:val="000000"/>
          <w:rtl/>
        </w:rPr>
        <w:t xml:space="preserve"> لا يعتبر عقد كفالة</w:t>
      </w:r>
      <w:r>
        <w:rPr>
          <w:rFonts w:hint="cs"/>
          <w:color w:val="000000"/>
          <w:rtl/>
        </w:rPr>
        <w:t xml:space="preserve"> ،</w:t>
      </w:r>
      <w:r w:rsidRPr="00315653">
        <w:rPr>
          <w:rFonts w:hint="cs"/>
          <w:color w:val="000000"/>
          <w:rtl/>
        </w:rPr>
        <w:t xml:space="preserve"> فإن المؤمن لا يضمن يسار المدين</w:t>
      </w:r>
      <w:r>
        <w:rPr>
          <w:rFonts w:hint="cs"/>
          <w:color w:val="000000"/>
          <w:rtl/>
        </w:rPr>
        <w:t xml:space="preserve"> ،</w:t>
      </w:r>
      <w:r w:rsidRPr="00315653">
        <w:rPr>
          <w:rFonts w:hint="cs"/>
          <w:color w:val="000000"/>
          <w:rtl/>
        </w:rPr>
        <w:t xml:space="preserve"> بل يلتزم التزاماً أصلياً بموجب عقد التأمين</w:t>
      </w:r>
      <w:r>
        <w:rPr>
          <w:rFonts w:hint="cs"/>
          <w:color w:val="000000"/>
          <w:rtl/>
        </w:rPr>
        <w:t xml:space="preserve"> ،</w:t>
      </w:r>
      <w:r w:rsidRPr="00315653">
        <w:rPr>
          <w:rFonts w:hint="cs"/>
          <w:color w:val="000000"/>
          <w:rtl/>
        </w:rPr>
        <w:t xml:space="preserve"> لا بوفاء دين المدين ذاته</w:t>
      </w:r>
      <w:r>
        <w:rPr>
          <w:rFonts w:hint="cs"/>
          <w:color w:val="000000"/>
          <w:rtl/>
        </w:rPr>
        <w:t xml:space="preserve"> ،</w:t>
      </w:r>
      <w:r w:rsidRPr="00315653">
        <w:rPr>
          <w:rFonts w:hint="cs"/>
          <w:color w:val="000000"/>
          <w:rtl/>
        </w:rPr>
        <w:t xml:space="preserve"> بل بتعويض الدائن عن $22 الضرر الذي يلحقه من جراء إعسار المدين</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6</w:t>
      </w:r>
      <w:r>
        <w:rPr>
          <w:rFonts w:hint="cs"/>
          <w:color w:val="000000"/>
          <w:rtl/>
        </w:rPr>
        <w:t xml:space="preserve"> )</w:t>
      </w:r>
      <w:r w:rsidRPr="00315653">
        <w:rPr>
          <w:rFonts w:hint="cs"/>
          <w:color w:val="000000"/>
          <w:rtl/>
        </w:rPr>
        <w:t xml:space="preserve"> عقد التعهد عن الغير </w:t>
      </w:r>
      <w:r>
        <w:rPr>
          <w:color w:val="000000"/>
          <w:rtl/>
        </w:rPr>
        <w:t xml:space="preserve">( </w:t>
      </w:r>
      <w:r w:rsidRPr="00315653">
        <w:rPr>
          <w:color w:val="000000"/>
        </w:rPr>
        <w:t>pormesse prour autrui, contrat de prote – fort</w:t>
      </w:r>
      <w:r>
        <w:rPr>
          <w:color w:val="000000"/>
          <w:rtl/>
        </w:rPr>
        <w:t xml:space="preserve"> )</w:t>
      </w:r>
      <w:r w:rsidRPr="00315653">
        <w:rPr>
          <w:rFonts w:hint="cs"/>
          <w:color w:val="000000"/>
          <w:rtl/>
        </w:rPr>
        <w:t xml:space="preserve"> لا يعتبر عقد كفالة</w:t>
      </w:r>
      <w:r>
        <w:rPr>
          <w:rFonts w:hint="cs"/>
          <w:color w:val="000000"/>
          <w:rtl/>
        </w:rPr>
        <w:t xml:space="preserve"> ،</w:t>
      </w:r>
      <w:r w:rsidRPr="00315653">
        <w:rPr>
          <w:rFonts w:hint="cs"/>
          <w:color w:val="000000"/>
          <w:rtl/>
        </w:rPr>
        <w:t xml:space="preserve"> إذ أن المتعهد عن الغير لا يكفل هذا الغير</w:t>
      </w:r>
      <w:r>
        <w:rPr>
          <w:rFonts w:hint="cs"/>
          <w:color w:val="000000"/>
          <w:rtl/>
        </w:rPr>
        <w:t xml:space="preserve"> ،</w:t>
      </w:r>
      <w:r w:rsidRPr="00315653">
        <w:rPr>
          <w:rFonts w:hint="cs"/>
          <w:color w:val="000000"/>
          <w:rtl/>
        </w:rPr>
        <w:t xml:space="preserve"> بل يلتزم التزاماً أصلياً بالحصول على موافقة الغير أن يلتزم</w:t>
      </w:r>
      <w:r>
        <w:rPr>
          <w:rFonts w:hint="cs"/>
          <w:color w:val="000000"/>
          <w:vertAlign w:val="superscript"/>
          <w:rtl/>
          <w:lang w:bidi="ar-EG"/>
        </w:rPr>
        <w:t xml:space="preserve">( </w:t>
      </w:r>
      <w:r w:rsidRPr="00315653">
        <w:rPr>
          <w:rStyle w:val="ab"/>
          <w:color w:val="000000"/>
          <w:rtl/>
          <w:lang w:bidi="ar-EG"/>
        </w:rPr>
        <w:footnoteReference w:id="3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sidRPr="00315653">
        <w:rPr>
          <w:rFonts w:hint="cs"/>
          <w:color w:val="000000"/>
          <w:rtl/>
          <w:lang w:bidi="ar-EG"/>
        </w:rPr>
        <w:lastRenderedPageBreak/>
        <w:t>فإذا ما وافق الغي على أن يلتزم</w:t>
      </w:r>
      <w:r>
        <w:rPr>
          <w:rFonts w:hint="cs"/>
          <w:color w:val="000000"/>
          <w:rtl/>
          <w:lang w:bidi="ar-EG"/>
        </w:rPr>
        <w:t xml:space="preserve"> ،</w:t>
      </w:r>
      <w:r w:rsidRPr="00315653">
        <w:rPr>
          <w:rFonts w:hint="cs"/>
          <w:color w:val="000000"/>
          <w:rtl/>
          <w:lang w:bidi="ar-EG"/>
        </w:rPr>
        <w:t xml:space="preserve"> فقد قام المتعهد </w:t>
      </w:r>
      <w:r w:rsidRPr="00315653">
        <w:rPr>
          <w:rFonts w:hint="cs"/>
          <w:color w:val="000000"/>
          <w:rtl/>
        </w:rPr>
        <w:t>بالتزامه</w:t>
      </w:r>
      <w:r>
        <w:rPr>
          <w:rFonts w:hint="cs"/>
          <w:color w:val="000000"/>
          <w:rtl/>
        </w:rPr>
        <w:t xml:space="preserve"> ،</w:t>
      </w:r>
      <w:r w:rsidRPr="00315653">
        <w:rPr>
          <w:rFonts w:hint="cs"/>
          <w:color w:val="000000"/>
          <w:rtl/>
        </w:rPr>
        <w:t xml:space="preserve"> ولا يكفل بعد ذلك يسار الغير</w:t>
      </w:r>
      <w:r>
        <w:rPr>
          <w:rFonts w:hint="cs"/>
          <w:color w:val="000000"/>
          <w:vertAlign w:val="superscript"/>
          <w:rtl/>
          <w:lang w:bidi="ar-EG"/>
        </w:rPr>
        <w:t xml:space="preserve">( </w:t>
      </w:r>
      <w:r w:rsidRPr="00315653">
        <w:rPr>
          <w:rStyle w:val="ab"/>
          <w:color w:val="000000"/>
          <w:rtl/>
          <w:lang w:bidi="ar-EG"/>
        </w:rPr>
        <w:footnoteReference w:id="3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ولذلك لا يعد كفيلا له</w:t>
      </w:r>
      <w:r>
        <w:rPr>
          <w:rFonts w:hint="cs"/>
          <w:color w:val="000000"/>
          <w:vertAlign w:val="superscript"/>
          <w:rtl/>
          <w:lang w:bidi="ar-EG"/>
        </w:rPr>
        <w:t xml:space="preserve">( </w:t>
      </w:r>
      <w:r w:rsidRPr="00315653">
        <w:rPr>
          <w:rStyle w:val="ab"/>
          <w:color w:val="000000"/>
          <w:rtl/>
          <w:lang w:bidi="ar-EG"/>
        </w:rPr>
        <w:footnoteReference w:id="4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12- التطور التاريخي للكفالة</w:t>
      </w:r>
      <w:r>
        <w:rPr>
          <w:rFonts w:hint="cs"/>
          <w:color w:val="000000"/>
          <w:rtl/>
          <w:lang w:bidi="ar-EG"/>
        </w:rPr>
        <w:t xml:space="preserve"> :</w:t>
      </w:r>
      <w:r w:rsidRPr="00315653">
        <w:rPr>
          <w:rFonts w:hint="cs"/>
          <w:color w:val="000000"/>
          <w:rtl/>
          <w:lang w:bidi="ar-EG"/>
        </w:rPr>
        <w:t>لم تكن الكفالة تتميز</w:t>
      </w:r>
      <w:r>
        <w:rPr>
          <w:rFonts w:hint="cs"/>
          <w:color w:val="000000"/>
          <w:rtl/>
          <w:lang w:bidi="ar-EG"/>
        </w:rPr>
        <w:t xml:space="preserve"> ،</w:t>
      </w:r>
      <w:r w:rsidRPr="00315653">
        <w:rPr>
          <w:rFonts w:hint="cs"/>
          <w:color w:val="000000"/>
          <w:rtl/>
          <w:lang w:bidi="ar-EG"/>
        </w:rPr>
        <w:t xml:space="preserve"> في أول عهود القانوني الروماني</w:t>
      </w:r>
      <w:r>
        <w:rPr>
          <w:rFonts w:hint="cs"/>
          <w:color w:val="000000"/>
          <w:rtl/>
          <w:lang w:bidi="ar-EG"/>
        </w:rPr>
        <w:t xml:space="preserve"> ،</w:t>
      </w:r>
      <w:r w:rsidRPr="00315653">
        <w:rPr>
          <w:rFonts w:hint="cs"/>
          <w:color w:val="000000"/>
          <w:rtl/>
          <w:lang w:bidi="ar-EG"/>
        </w:rPr>
        <w:t xml:space="preserve"> عن التضامن في المديونية</w:t>
      </w:r>
      <w:r>
        <w:rPr>
          <w:rFonts w:hint="cs"/>
          <w:color w:val="000000"/>
          <w:rtl/>
          <w:lang w:bidi="ar-EG"/>
        </w:rPr>
        <w:t xml:space="preserve"> .</w:t>
      </w:r>
      <w:r w:rsidRPr="00315653">
        <w:rPr>
          <w:rFonts w:hint="cs"/>
          <w:color w:val="000000"/>
          <w:rtl/>
          <w:lang w:bidi="ar-EG"/>
        </w:rPr>
        <w:t xml:space="preserve"> فقد بدأ الكفيل يكون مديناً متضامناً مع المدين الأصلي</w:t>
      </w:r>
      <w:r>
        <w:rPr>
          <w:rFonts w:hint="cs"/>
          <w:color w:val="000000"/>
          <w:rtl/>
          <w:lang w:bidi="ar-EG"/>
        </w:rPr>
        <w:t xml:space="preserve"> ،</w:t>
      </w:r>
      <w:r w:rsidRPr="00315653">
        <w:rPr>
          <w:rFonts w:hint="cs"/>
          <w:color w:val="000000"/>
          <w:rtl/>
          <w:lang w:bidi="ar-EG"/>
        </w:rPr>
        <w:t xml:space="preserve"> ولم يكن يوجد لكل من الكفالة والتضامن إلا شكل واحد </w:t>
      </w:r>
      <w:r>
        <w:rPr>
          <w:color w:val="000000"/>
          <w:rtl/>
          <w:lang w:bidi="ar-EG"/>
        </w:rPr>
        <w:t xml:space="preserve">( </w:t>
      </w:r>
      <w:r w:rsidRPr="00315653">
        <w:rPr>
          <w:color w:val="000000"/>
          <w:lang w:bidi="ar-EG"/>
        </w:rPr>
        <w:t>sponsio</w:t>
      </w:r>
      <w:r>
        <w:rPr>
          <w:color w:val="000000"/>
          <w:rtl/>
          <w:lang w:bidi="ar-EG"/>
        </w:rPr>
        <w:t xml:space="preserve"> )</w:t>
      </w:r>
      <w:r w:rsidRPr="00315653">
        <w:rPr>
          <w:rFonts w:hint="cs"/>
          <w:color w:val="000000"/>
          <w:rtl/>
        </w:rPr>
        <w:t xml:space="preserve"> يلتزم به كل من الكفيل والمدين المتضامن</w:t>
      </w:r>
      <w:r>
        <w:rPr>
          <w:rFonts w:hint="cs"/>
          <w:color w:val="000000"/>
          <w:rtl/>
        </w:rPr>
        <w:t xml:space="preserve"> .</w:t>
      </w:r>
      <w:r w:rsidRPr="00315653">
        <w:rPr>
          <w:rFonts w:hint="cs"/>
          <w:color w:val="000000"/>
          <w:rtl/>
        </w:rPr>
        <w:t xml:space="preserve"> فلم تكن الكفالة عند ذلك تتميز عن التضامن</w:t>
      </w:r>
      <w:r>
        <w:rPr>
          <w:rFonts w:hint="cs"/>
          <w:color w:val="000000"/>
          <w:rtl/>
        </w:rPr>
        <w:t xml:space="preserve"> ،</w:t>
      </w:r>
      <w:r w:rsidRPr="00315653">
        <w:rPr>
          <w:rFonts w:hint="cs"/>
          <w:color w:val="000000"/>
          <w:rtl/>
        </w:rPr>
        <w:t xml:space="preserve"> بل كانت هي والتضامن شيئاً واحداً</w:t>
      </w:r>
      <w:r>
        <w:rPr>
          <w:rFonts w:hint="cs"/>
          <w:color w:val="000000"/>
          <w:rtl/>
        </w:rPr>
        <w:t xml:space="preserve"> ،</w:t>
      </w:r>
      <w:r w:rsidRPr="00315653">
        <w:rPr>
          <w:rFonts w:hint="cs"/>
          <w:color w:val="000000"/>
          <w:rtl/>
        </w:rPr>
        <w:t xml:space="preserve"> وكان الكفيل مديناً متضامناً مع المدين الأصلي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ثم بدأت الكفالة تتميز شيئاً فشيئاً في القانون الروماني</w:t>
      </w:r>
      <w:r>
        <w:rPr>
          <w:rFonts w:hint="cs"/>
          <w:color w:val="000000"/>
          <w:rtl/>
        </w:rPr>
        <w:t xml:space="preserve"> ،</w:t>
      </w:r>
      <w:r w:rsidRPr="00315653">
        <w:rPr>
          <w:rFonts w:hint="cs"/>
          <w:color w:val="000000"/>
          <w:rtl/>
        </w:rPr>
        <w:t xml:space="preserve"> وعرف هذا القانون أنواعاً ثلاثة من الكفالة</w:t>
      </w:r>
      <w:r>
        <w:rPr>
          <w:rFonts w:hint="cs"/>
          <w:color w:val="000000"/>
          <w:rtl/>
        </w:rPr>
        <w:t xml:space="preserve"> :</w:t>
      </w:r>
      <w:r w:rsidRPr="00315653">
        <w:rPr>
          <w:rFonts w:hint="cs"/>
          <w:color w:val="000000"/>
          <w:rtl/>
        </w:rPr>
        <w:t xml:space="preserve"> </w:t>
      </w:r>
      <w:r w:rsidRPr="00315653">
        <w:rPr>
          <w:color w:val="000000"/>
        </w:rPr>
        <w:t>fidejussio, fidepromissio, sponsio</w:t>
      </w:r>
      <w:r>
        <w:rPr>
          <w:rFonts w:hint="cs"/>
          <w:color w:val="000000"/>
          <w:rtl/>
        </w:rPr>
        <w:t xml:space="preserve"> .</w:t>
      </w:r>
      <w:r w:rsidRPr="00315653">
        <w:rPr>
          <w:rFonts w:hint="cs"/>
          <w:color w:val="000000"/>
          <w:rtl/>
        </w:rPr>
        <w:t xml:space="preserve"> فكان من يلتزم في هذه الأنواع الثلاثة كفيلا للمدين</w:t>
      </w:r>
      <w:r>
        <w:rPr>
          <w:rFonts w:hint="cs"/>
          <w:color w:val="000000"/>
          <w:rtl/>
        </w:rPr>
        <w:t xml:space="preserve"> ،</w:t>
      </w:r>
      <w:r w:rsidRPr="00315653">
        <w:rPr>
          <w:rFonts w:hint="cs"/>
          <w:color w:val="000000"/>
          <w:rtl/>
        </w:rPr>
        <w:t xml:space="preserve"> ولكنه في النوعين $23 الأولين كان يلتزم التزاماً أصلياً مستقلا عن التزام المدين</w:t>
      </w:r>
      <w:r>
        <w:rPr>
          <w:rFonts w:hint="cs"/>
          <w:color w:val="000000"/>
          <w:rtl/>
        </w:rPr>
        <w:t xml:space="preserve"> ،</w:t>
      </w:r>
      <w:r w:rsidRPr="00315653">
        <w:rPr>
          <w:rFonts w:hint="cs"/>
          <w:color w:val="000000"/>
          <w:rtl/>
        </w:rPr>
        <w:t xml:space="preserve"> وفي النوع الثالث يلتزم التزاماً تابعاً ولكنه يبقى متضامناً مع المدين</w:t>
      </w:r>
      <w:r>
        <w:rPr>
          <w:rFonts w:hint="cs"/>
          <w:color w:val="000000"/>
          <w:vertAlign w:val="superscript"/>
          <w:rtl/>
          <w:lang w:bidi="ar-EG"/>
        </w:rPr>
        <w:t xml:space="preserve">( </w:t>
      </w:r>
      <w:r w:rsidRPr="00315653">
        <w:rPr>
          <w:rStyle w:val="ab"/>
          <w:color w:val="000000"/>
          <w:rtl/>
          <w:lang w:bidi="ar-EG"/>
        </w:rPr>
        <w:footnoteReference w:id="4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lastRenderedPageBreak/>
        <w:t xml:space="preserve">ثم عرف القانون البريطوري نوعاً جديداً لكفالة الغير هو </w:t>
      </w:r>
      <w:r>
        <w:rPr>
          <w:color w:val="000000"/>
          <w:rtl/>
          <w:lang w:bidi="ar-EG"/>
        </w:rPr>
        <w:t xml:space="preserve">( </w:t>
      </w:r>
      <w:r w:rsidRPr="00315653">
        <w:rPr>
          <w:color w:val="000000"/>
          <w:lang w:bidi="ar-EG"/>
        </w:rPr>
        <w:t>pacte de constituent</w:t>
      </w:r>
      <w:r>
        <w:rPr>
          <w:color w:val="000000"/>
          <w:lang w:bidi="ar-EG"/>
        </w:rPr>
        <w:t xml:space="preserve"> )</w:t>
      </w:r>
      <w:r w:rsidRPr="00315653">
        <w:rPr>
          <w:color w:val="000000"/>
          <w:lang w:bidi="ar-EG"/>
        </w:rPr>
        <w:t xml:space="preserve"> constitutum depiti alieni</w:t>
      </w:r>
      <w:r w:rsidRPr="00315653">
        <w:rPr>
          <w:rFonts w:hint="cs"/>
          <w:color w:val="000000"/>
          <w:rtl/>
        </w:rPr>
        <w:t xml:space="preserve"> يلتزم بموجبه الكفيل بدفع دين في ذمة الغير</w:t>
      </w:r>
      <w:r>
        <w:rPr>
          <w:rFonts w:hint="cs"/>
          <w:color w:val="000000"/>
          <w:rtl/>
        </w:rPr>
        <w:t xml:space="preserve"> .</w:t>
      </w:r>
      <w:r w:rsidRPr="00315653">
        <w:rPr>
          <w:rFonts w:hint="cs"/>
          <w:color w:val="000000"/>
          <w:rtl/>
        </w:rPr>
        <w:t xml:space="preserve"> فإذا كان الدين المترتب في ذمة الغير ديناً موجوداً</w:t>
      </w:r>
      <w:r>
        <w:rPr>
          <w:rFonts w:hint="cs"/>
          <w:color w:val="000000"/>
          <w:rtl/>
        </w:rPr>
        <w:t xml:space="preserve"> ،</w:t>
      </w:r>
      <w:r w:rsidRPr="00315653">
        <w:rPr>
          <w:rFonts w:hint="cs"/>
          <w:color w:val="000000"/>
          <w:rtl/>
        </w:rPr>
        <w:t xml:space="preserve"> وكانت نية الكفيل هي أن يكفل وفاء هذا الدين</w:t>
      </w:r>
      <w:r>
        <w:rPr>
          <w:rFonts w:hint="cs"/>
          <w:color w:val="000000"/>
          <w:rtl/>
        </w:rPr>
        <w:t xml:space="preserve"> ،</w:t>
      </w:r>
      <w:r w:rsidRPr="00315653">
        <w:rPr>
          <w:rFonts w:hint="cs"/>
          <w:color w:val="000000"/>
          <w:rtl/>
        </w:rPr>
        <w:t xml:space="preserve"> فقد كانت هذه هي الكفالة</w:t>
      </w:r>
      <w:r>
        <w:rPr>
          <w:rFonts w:hint="cs"/>
          <w:color w:val="000000"/>
          <w:rtl/>
        </w:rPr>
        <w:t xml:space="preserve"> ،</w:t>
      </w:r>
      <w:r w:rsidRPr="00315653">
        <w:rPr>
          <w:rFonts w:hint="cs"/>
          <w:color w:val="000000"/>
          <w:rtl/>
        </w:rPr>
        <w:t xml:space="preserve"> نشأت في القانون الروماني على هذا الوجه</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وكذلك كان الأمر في القانون الفرنسي القديم</w:t>
      </w:r>
      <w:r>
        <w:rPr>
          <w:rFonts w:hint="cs"/>
          <w:color w:val="000000"/>
          <w:rtl/>
        </w:rPr>
        <w:t xml:space="preserve"> ،</w:t>
      </w:r>
      <w:r w:rsidRPr="00315653">
        <w:rPr>
          <w:rFonts w:hint="cs"/>
          <w:color w:val="000000"/>
          <w:rtl/>
        </w:rPr>
        <w:t xml:space="preserve"> إذ اختلطت في أول عهود هذا القانون الكفالة بالتضامن في المديونية</w:t>
      </w:r>
      <w:r>
        <w:rPr>
          <w:rFonts w:hint="cs"/>
          <w:color w:val="000000"/>
          <w:rtl/>
        </w:rPr>
        <w:t xml:space="preserve"> .</w:t>
      </w:r>
      <w:r w:rsidRPr="00315653">
        <w:rPr>
          <w:rFonts w:hint="cs"/>
          <w:color w:val="000000"/>
          <w:rtl/>
        </w:rPr>
        <w:t xml:space="preserve"> وبقيت الحال كذلك حتى بدأت الكفالة تتميز شيئاً فشيئاً عن المديونية بالتضامن</w:t>
      </w:r>
      <w:r>
        <w:rPr>
          <w:rFonts w:hint="cs"/>
          <w:color w:val="000000"/>
          <w:rtl/>
        </w:rPr>
        <w:t xml:space="preserve"> ،</w:t>
      </w:r>
      <w:r w:rsidRPr="00315653">
        <w:rPr>
          <w:rFonts w:hint="cs"/>
          <w:color w:val="000000"/>
          <w:rtl/>
        </w:rPr>
        <w:t xml:space="preserve"> وأصبح الكفيل يضمن ديناً في ذمة الغير</w:t>
      </w:r>
      <w:r>
        <w:rPr>
          <w:rFonts w:hint="cs"/>
          <w:color w:val="000000"/>
          <w:vertAlign w:val="superscript"/>
          <w:rtl/>
          <w:lang w:bidi="ar-EG"/>
        </w:rPr>
        <w:t xml:space="preserve">( </w:t>
      </w:r>
      <w:r w:rsidRPr="00315653">
        <w:rPr>
          <w:rStyle w:val="ab"/>
          <w:color w:val="000000"/>
          <w:rtl/>
          <w:lang w:bidi="ar-EG"/>
        </w:rPr>
        <w:footnoteReference w:id="4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$24 </w:t>
      </w:r>
      <w:r w:rsidRPr="00315653">
        <w:rPr>
          <w:rFonts w:hint="cs"/>
          <w:b/>
          <w:bCs/>
          <w:color w:val="000000"/>
          <w:rtl/>
          <w:lang w:bidi="ar-EG"/>
        </w:rPr>
        <w:t>13- خصائص عقد الكفالة</w:t>
      </w:r>
      <w:r>
        <w:rPr>
          <w:rFonts w:hint="cs"/>
          <w:color w:val="000000"/>
          <w:rtl/>
          <w:lang w:bidi="ar-EG"/>
        </w:rPr>
        <w:t xml:space="preserve"> :</w:t>
      </w:r>
      <w:r w:rsidRPr="00315653">
        <w:rPr>
          <w:rFonts w:hint="cs"/>
          <w:color w:val="000000"/>
          <w:rtl/>
          <w:lang w:bidi="ar-EG"/>
        </w:rPr>
        <w:t xml:space="preserve"> أهم خصائص عقد الكفالة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w:t>
      </w:r>
      <w:r w:rsidRPr="00315653">
        <w:rPr>
          <w:color w:val="000000"/>
          <w:rtl/>
          <w:lang w:bidi="ar-EG"/>
        </w:rPr>
        <w:t>–</w:t>
      </w:r>
      <w:r w:rsidRPr="00315653">
        <w:rPr>
          <w:rFonts w:hint="cs"/>
          <w:color w:val="000000"/>
          <w:rtl/>
          <w:lang w:bidi="ar-EG"/>
        </w:rPr>
        <w:t xml:space="preserve"> عقد الكفالة عقد رضائي</w:t>
      </w:r>
      <w:r>
        <w:rPr>
          <w:rFonts w:hint="cs"/>
          <w:color w:val="000000"/>
          <w:rtl/>
          <w:lang w:bidi="ar-EG"/>
        </w:rPr>
        <w:t xml:space="preserve"> ،</w:t>
      </w:r>
      <w:r w:rsidRPr="00315653">
        <w:rPr>
          <w:rFonts w:hint="cs"/>
          <w:color w:val="000000"/>
          <w:rtl/>
          <w:lang w:bidi="ar-EG"/>
        </w:rPr>
        <w:t xml:space="preserve"> ينعقد بمجرد التراضي ما بين الكفيل والدائن</w:t>
      </w:r>
      <w:r>
        <w:rPr>
          <w:rFonts w:hint="cs"/>
          <w:color w:val="000000"/>
          <w:rtl/>
          <w:lang w:bidi="ar-EG"/>
        </w:rPr>
        <w:t xml:space="preserve"> ،</w:t>
      </w:r>
      <w:r w:rsidRPr="00315653">
        <w:rPr>
          <w:rFonts w:hint="cs"/>
          <w:color w:val="000000"/>
          <w:rtl/>
          <w:lang w:bidi="ar-EG"/>
        </w:rPr>
        <w:t xml:space="preserve"> فلا حاجة في انعقاده إلى شكل خاص</w:t>
      </w:r>
      <w:r>
        <w:rPr>
          <w:rFonts w:hint="cs"/>
          <w:color w:val="000000"/>
          <w:rtl/>
          <w:lang w:bidi="ar-EG"/>
        </w:rPr>
        <w:t xml:space="preserve"> .</w:t>
      </w:r>
      <w:r w:rsidRPr="00315653">
        <w:rPr>
          <w:rFonts w:hint="cs"/>
          <w:color w:val="000000"/>
          <w:rtl/>
          <w:lang w:bidi="ar-EG"/>
        </w:rPr>
        <w:t xml:space="preserve"> وإذا كانت المادة 773 مدني تنص على أنه "لا تثبت الكفالة إلا بالكتابة"</w:t>
      </w:r>
      <w:r>
        <w:rPr>
          <w:rFonts w:hint="cs"/>
          <w:color w:val="000000"/>
          <w:rtl/>
          <w:lang w:bidi="ar-EG"/>
        </w:rPr>
        <w:t xml:space="preserve"> ،</w:t>
      </w:r>
      <w:r w:rsidRPr="00315653">
        <w:rPr>
          <w:rFonts w:hint="cs"/>
          <w:color w:val="000000"/>
          <w:rtl/>
          <w:lang w:bidi="ar-EG"/>
        </w:rPr>
        <w:t xml:space="preserve"> فالكتابة ليست ضرورية إلا للإثبات كما سيأتي</w:t>
      </w:r>
      <w:r>
        <w:rPr>
          <w:rFonts w:hint="cs"/>
          <w:color w:val="000000"/>
          <w:rtl/>
          <w:lang w:bidi="ar-EG"/>
        </w:rPr>
        <w:t xml:space="preserve"> .</w:t>
      </w:r>
      <w:r w:rsidRPr="00315653">
        <w:rPr>
          <w:rFonts w:hint="cs"/>
          <w:color w:val="000000"/>
          <w:rtl/>
          <w:lang w:bidi="ar-EG"/>
        </w:rPr>
        <w:t xml:space="preserve"> فهي ليست ضرورية لانعقاد الكفالة</w:t>
      </w:r>
      <w:r>
        <w:rPr>
          <w:rFonts w:hint="cs"/>
          <w:color w:val="000000"/>
          <w:rtl/>
          <w:lang w:bidi="ar-EG"/>
        </w:rPr>
        <w:t xml:space="preserve"> ،</w:t>
      </w:r>
      <w:r w:rsidRPr="00315653">
        <w:rPr>
          <w:rFonts w:hint="cs"/>
          <w:color w:val="000000"/>
          <w:rtl/>
          <w:lang w:bidi="ar-EG"/>
        </w:rPr>
        <w:t xml:space="preserve"> بل تنعقد الكفالة بمجرد التراضي كما قدمنا</w:t>
      </w:r>
      <w:r>
        <w:rPr>
          <w:rFonts w:hint="cs"/>
          <w:color w:val="000000"/>
          <w:rtl/>
          <w:lang w:bidi="ar-EG"/>
        </w:rPr>
        <w:t xml:space="preserve"> ،</w:t>
      </w:r>
      <w:r w:rsidRPr="00315653">
        <w:rPr>
          <w:rFonts w:hint="cs"/>
          <w:color w:val="000000"/>
          <w:rtl/>
          <w:lang w:bidi="ar-EG"/>
        </w:rPr>
        <w:t xml:space="preserve"> وتثبت بالكتابة أو بالإقرار أو باليمين</w:t>
      </w:r>
      <w:r>
        <w:rPr>
          <w:rFonts w:hint="cs"/>
          <w:color w:val="000000"/>
          <w:rtl/>
          <w:lang w:bidi="ar-EG"/>
        </w:rPr>
        <w:t xml:space="preserve"> .</w:t>
      </w:r>
      <w:r w:rsidRPr="00315653">
        <w:rPr>
          <w:rFonts w:hint="cs"/>
          <w:color w:val="000000"/>
          <w:rtl/>
          <w:lang w:bidi="ar-EG"/>
        </w:rPr>
        <w:t xml:space="preserve"> ولو كانت الكفالة عقداً شكلياً لا تنعقد إلا بالكتابة</w:t>
      </w:r>
      <w:r>
        <w:rPr>
          <w:rFonts w:hint="cs"/>
          <w:color w:val="000000"/>
          <w:rtl/>
          <w:lang w:bidi="ar-EG"/>
        </w:rPr>
        <w:t xml:space="preserve"> ،</w:t>
      </w:r>
      <w:r w:rsidRPr="00315653">
        <w:rPr>
          <w:rFonts w:hint="cs"/>
          <w:color w:val="000000"/>
          <w:rtl/>
          <w:lang w:bidi="ar-EG"/>
        </w:rPr>
        <w:t xml:space="preserve"> لما انعقدت إذا لم توجد الكتابة</w:t>
      </w:r>
      <w:r>
        <w:rPr>
          <w:rFonts w:hint="cs"/>
          <w:color w:val="000000"/>
          <w:rtl/>
          <w:lang w:bidi="ar-EG"/>
        </w:rPr>
        <w:t xml:space="preserve"> ،</w:t>
      </w:r>
      <w:r w:rsidRPr="00315653">
        <w:rPr>
          <w:rFonts w:hint="cs"/>
          <w:color w:val="000000"/>
          <w:rtl/>
          <w:lang w:bidi="ar-EG"/>
        </w:rPr>
        <w:t xml:space="preserve"> ولما جاز إثباتها بالإقرار أو باليمين لأن غير المنعقد لا يجوز إثباته أصلا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2- وعقد الكفالة </w:t>
      </w:r>
      <w:r w:rsidRPr="00315653">
        <w:rPr>
          <w:rFonts w:hint="cs"/>
          <w:color w:val="000000"/>
          <w:rtl/>
        </w:rPr>
        <w:t>عقد ملزم لجانب واحد</w:t>
      </w:r>
      <w:r>
        <w:rPr>
          <w:rFonts w:hint="cs"/>
          <w:color w:val="000000"/>
          <w:rtl/>
        </w:rPr>
        <w:t xml:space="preserve"> ،</w:t>
      </w:r>
      <w:r w:rsidRPr="00315653">
        <w:rPr>
          <w:rFonts w:hint="cs"/>
          <w:color w:val="000000"/>
          <w:rtl/>
        </w:rPr>
        <w:t xml:space="preserve"> هو جانب الكفيل</w:t>
      </w:r>
      <w:r>
        <w:rPr>
          <w:rFonts w:hint="cs"/>
          <w:color w:val="000000"/>
          <w:rtl/>
        </w:rPr>
        <w:t xml:space="preserve"> .</w:t>
      </w:r>
      <w:r w:rsidRPr="00315653">
        <w:rPr>
          <w:rFonts w:hint="cs"/>
          <w:color w:val="000000"/>
          <w:rtl/>
        </w:rPr>
        <w:t xml:space="preserve"> فالكفيل وحده هو الذي يلتزم بعقد الكفالة بوفاء الدين للدائن أن لم يف به المدين الأصلي</w:t>
      </w:r>
      <w:r>
        <w:rPr>
          <w:rFonts w:hint="cs"/>
          <w:color w:val="000000"/>
          <w:rtl/>
        </w:rPr>
        <w:t xml:space="preserve"> ،</w:t>
      </w:r>
      <w:r w:rsidRPr="00315653">
        <w:rPr>
          <w:rFonts w:hint="cs"/>
          <w:color w:val="000000"/>
          <w:rtl/>
        </w:rPr>
        <w:t xml:space="preserve"> أما الدائن فلا يلتزم عادة بشيء نحو الكفيل</w:t>
      </w:r>
      <w:r>
        <w:rPr>
          <w:rFonts w:hint="cs"/>
          <w:color w:val="000000"/>
          <w:vertAlign w:val="superscript"/>
          <w:rtl/>
          <w:lang w:bidi="ar-EG"/>
        </w:rPr>
        <w:t xml:space="preserve">( </w:t>
      </w:r>
      <w:r w:rsidRPr="00315653">
        <w:rPr>
          <w:rStyle w:val="ab"/>
          <w:color w:val="000000"/>
          <w:rtl/>
          <w:lang w:bidi="ar-EG"/>
        </w:rPr>
        <w:footnoteReference w:id="4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هو الأصل</w:t>
      </w:r>
      <w:r>
        <w:rPr>
          <w:rFonts w:hint="cs"/>
          <w:color w:val="000000"/>
          <w:rtl/>
          <w:lang w:bidi="ar-EG"/>
        </w:rPr>
        <w:t xml:space="preserve"> .</w:t>
      </w:r>
      <w:r w:rsidRPr="00315653">
        <w:rPr>
          <w:rFonts w:hint="cs"/>
          <w:color w:val="000000"/>
          <w:rtl/>
          <w:lang w:bidi="ar-EG"/>
        </w:rPr>
        <w:t xml:space="preserve"> ولكن ذلك لا يمنع من أن تكون الكفالة عقداً ملزماً للجانبين إذا التزم الدائن نحو الكفيل بدمع مقابل في نظير كفالته للدين</w:t>
      </w:r>
      <w:r>
        <w:rPr>
          <w:rFonts w:hint="cs"/>
          <w:color w:val="000000"/>
          <w:rtl/>
          <w:lang w:bidi="ar-EG"/>
        </w:rPr>
        <w:t xml:space="preserve"> ،</w:t>
      </w:r>
      <w:r w:rsidRPr="00315653">
        <w:rPr>
          <w:rFonts w:hint="cs"/>
          <w:color w:val="000000"/>
          <w:rtl/>
          <w:lang w:bidi="ar-EG"/>
        </w:rPr>
        <w:t xml:space="preserve"> فيصبح كل من الكفيل</w:t>
      </w:r>
      <w:r>
        <w:rPr>
          <w:rFonts w:hint="cs"/>
          <w:color w:val="000000"/>
          <w:rtl/>
          <w:lang w:bidi="ar-EG"/>
        </w:rPr>
        <w:t xml:space="preserve"> ،</w:t>
      </w:r>
      <w:r w:rsidRPr="00315653">
        <w:rPr>
          <w:rFonts w:hint="cs"/>
          <w:color w:val="000000"/>
          <w:rtl/>
          <w:lang w:bidi="ar-EG"/>
        </w:rPr>
        <w:t xml:space="preserve"> والدائن ملتزماً نحو الآخر</w:t>
      </w:r>
      <w:r>
        <w:rPr>
          <w:rFonts w:hint="cs"/>
          <w:color w:val="000000"/>
          <w:rtl/>
          <w:lang w:bidi="ar-EG"/>
        </w:rPr>
        <w:t xml:space="preserve"> ،</w:t>
      </w:r>
      <w:r w:rsidRPr="00315653">
        <w:rPr>
          <w:rFonts w:hint="cs"/>
          <w:color w:val="000000"/>
          <w:rtl/>
          <w:lang w:bidi="ar-EG"/>
        </w:rPr>
        <w:t xml:space="preserve"> ويكون عقد الكفالة في هذه الحالة ملزماً للجانبين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المدين الذي يلتزم بدفع مقابل للكفيل كما يقع أحياناً</w:t>
      </w:r>
      <w:r>
        <w:rPr>
          <w:rFonts w:hint="cs"/>
          <w:color w:val="000000"/>
          <w:rtl/>
          <w:lang w:bidi="ar-EG"/>
        </w:rPr>
        <w:t xml:space="preserve"> ،</w:t>
      </w:r>
      <w:r w:rsidRPr="00315653">
        <w:rPr>
          <w:rFonts w:hint="cs"/>
          <w:color w:val="000000"/>
          <w:rtl/>
          <w:lang w:bidi="ar-EG"/>
        </w:rPr>
        <w:t xml:space="preserve"> وبخاصة إذا كان أحد المصارف هو الذي يقدم كتاب ضمان للمدين فيكون كفيلا له ويتقاضى أجراً على كفالته</w:t>
      </w:r>
      <w:r>
        <w:rPr>
          <w:rFonts w:hint="cs"/>
          <w:color w:val="000000"/>
          <w:rtl/>
          <w:lang w:bidi="ar-EG"/>
        </w:rPr>
        <w:t xml:space="preserve"> ،</w:t>
      </w:r>
      <w:r w:rsidRPr="00315653">
        <w:rPr>
          <w:rFonts w:hint="cs"/>
          <w:color w:val="000000"/>
          <w:rtl/>
          <w:lang w:bidi="ar-EG"/>
        </w:rPr>
        <w:t xml:space="preserve"> فإن الكفالة تبقى مع ذلك عقداً ملزماً $25 لجانب واحد لأن المدين ليس بطرف في الكفالة</w:t>
      </w:r>
      <w:r>
        <w:rPr>
          <w:rFonts w:hint="cs"/>
          <w:color w:val="000000"/>
          <w:rtl/>
          <w:lang w:bidi="ar-EG"/>
        </w:rPr>
        <w:t xml:space="preserve"> ،</w:t>
      </w:r>
      <w:r w:rsidRPr="00315653">
        <w:rPr>
          <w:rFonts w:hint="cs"/>
          <w:color w:val="000000"/>
          <w:rtl/>
          <w:lang w:bidi="ar-EG"/>
        </w:rPr>
        <w:t xml:space="preserve"> بل طرفا الكفالة هما الكفيل والدائن</w:t>
      </w:r>
      <w:r>
        <w:rPr>
          <w:rFonts w:hint="cs"/>
          <w:color w:val="000000"/>
          <w:rtl/>
          <w:lang w:bidi="ar-EG"/>
        </w:rPr>
        <w:t xml:space="preserve"> ،</w:t>
      </w:r>
      <w:r w:rsidRPr="00315653">
        <w:rPr>
          <w:rFonts w:hint="cs"/>
          <w:color w:val="000000"/>
          <w:rtl/>
          <w:lang w:bidi="ar-EG"/>
        </w:rPr>
        <w:t xml:space="preserve"> والكفيل وحده دون الدائن هو الملتزم</w:t>
      </w:r>
      <w:r>
        <w:rPr>
          <w:rFonts w:hint="cs"/>
          <w:color w:val="000000"/>
          <w:rtl/>
          <w:lang w:bidi="ar-EG"/>
        </w:rPr>
        <w:t xml:space="preserve"> .</w:t>
      </w:r>
      <w:r w:rsidRPr="00315653">
        <w:rPr>
          <w:rFonts w:hint="cs"/>
          <w:color w:val="000000"/>
          <w:rtl/>
          <w:lang w:bidi="ar-EG"/>
        </w:rPr>
        <w:t xml:space="preserve"> ولكن ذلك يجعل الكفيل </w:t>
      </w:r>
      <w:r w:rsidRPr="00315653">
        <w:rPr>
          <w:rFonts w:hint="cs"/>
          <w:color w:val="000000"/>
          <w:rtl/>
          <w:lang w:bidi="ar-EG"/>
        </w:rPr>
        <w:lastRenderedPageBreak/>
        <w:t>مأجوراً والكفالة عقد معاوضة لا عقد تبرع</w:t>
      </w:r>
      <w:r>
        <w:rPr>
          <w:rFonts w:hint="cs"/>
          <w:color w:val="000000"/>
          <w:rtl/>
          <w:lang w:bidi="ar-EG"/>
        </w:rPr>
        <w:t xml:space="preserve"> .</w:t>
      </w:r>
      <w:r w:rsidRPr="00315653">
        <w:rPr>
          <w:rFonts w:hint="cs"/>
          <w:color w:val="000000"/>
          <w:rtl/>
          <w:lang w:bidi="ar-EG"/>
        </w:rPr>
        <w:t xml:space="preserve"> لأن الكفيل متى أخذ أجراً ولو بغير موجب عقد الكفالة يكون مأجوراً</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الأصل أن الكفالة عقد ملزم لجانب واحد</w:t>
      </w:r>
      <w:r>
        <w:rPr>
          <w:rFonts w:hint="cs"/>
          <w:color w:val="000000"/>
          <w:rtl/>
          <w:lang w:bidi="ar-EG"/>
        </w:rPr>
        <w:t xml:space="preserve"> .</w:t>
      </w:r>
      <w:r w:rsidRPr="00315653">
        <w:rPr>
          <w:rFonts w:hint="cs"/>
          <w:color w:val="000000"/>
          <w:rtl/>
          <w:lang w:bidi="ar-EG"/>
        </w:rPr>
        <w:t xml:space="preserve"> فليس ذلك معناه أن الكفالة إرادة منفردة تصدر من جانب واحد</w:t>
      </w:r>
      <w:r>
        <w:rPr>
          <w:rFonts w:hint="cs"/>
          <w:color w:val="000000"/>
          <w:rtl/>
          <w:lang w:bidi="ar-EG"/>
        </w:rPr>
        <w:t xml:space="preserve"> .</w:t>
      </w:r>
      <w:r w:rsidRPr="00315653">
        <w:rPr>
          <w:rFonts w:hint="cs"/>
          <w:color w:val="000000"/>
          <w:rtl/>
          <w:lang w:bidi="ar-EG"/>
        </w:rPr>
        <w:t xml:space="preserve"> بل الكفالة عقد لا يتم إلا بتبادل إرادتين متطابقتين من الكفالة والدائن</w:t>
      </w:r>
      <w:r>
        <w:rPr>
          <w:rFonts w:hint="cs"/>
          <w:color w:val="000000"/>
          <w:rtl/>
          <w:lang w:bidi="ar-EG"/>
        </w:rPr>
        <w:t xml:space="preserve"> ،</w:t>
      </w:r>
      <w:r w:rsidRPr="00315653">
        <w:rPr>
          <w:rFonts w:hint="cs"/>
          <w:color w:val="000000"/>
          <w:rtl/>
          <w:lang w:bidi="ar-EG"/>
        </w:rPr>
        <w:t xml:space="preserve"> ولا يتم بإرادة الكفيل وحده ولو أن الكفالة لمصلحة الدائن</w:t>
      </w:r>
      <w:r>
        <w:rPr>
          <w:rFonts w:hint="cs"/>
          <w:color w:val="000000"/>
          <w:rtl/>
          <w:lang w:bidi="ar-EG"/>
        </w:rPr>
        <w:t xml:space="preserve"> .</w:t>
      </w:r>
      <w:r w:rsidRPr="00315653">
        <w:rPr>
          <w:rFonts w:hint="cs"/>
          <w:color w:val="000000"/>
          <w:rtl/>
          <w:lang w:bidi="ar-EG"/>
        </w:rPr>
        <w:t xml:space="preserve"> فإذا أوجب الكفيل الكفالة</w:t>
      </w:r>
      <w:r>
        <w:rPr>
          <w:rFonts w:hint="cs"/>
          <w:color w:val="000000"/>
          <w:rtl/>
          <w:lang w:bidi="ar-EG"/>
        </w:rPr>
        <w:t xml:space="preserve"> ،</w:t>
      </w:r>
      <w:r w:rsidRPr="00315653">
        <w:rPr>
          <w:rFonts w:hint="cs"/>
          <w:color w:val="000000"/>
          <w:rtl/>
          <w:lang w:bidi="ar-EG"/>
        </w:rPr>
        <w:t xml:space="preserve"> وكان الإيجاب غير ملزم</w:t>
      </w:r>
      <w:r>
        <w:rPr>
          <w:rFonts w:hint="cs"/>
          <w:color w:val="000000"/>
          <w:rtl/>
          <w:lang w:bidi="ar-EG"/>
        </w:rPr>
        <w:t xml:space="preserve"> ،</w:t>
      </w:r>
      <w:r w:rsidRPr="00315653">
        <w:rPr>
          <w:rFonts w:hint="cs"/>
          <w:color w:val="000000"/>
          <w:rtl/>
          <w:lang w:bidi="ar-EG"/>
        </w:rPr>
        <w:t xml:space="preserve"> كان للكفيل أن يرجع في إيجابه قبل صدور القبول من الدائن</w:t>
      </w:r>
      <w:r>
        <w:rPr>
          <w:rFonts w:hint="cs"/>
          <w:color w:val="000000"/>
          <w:vertAlign w:val="superscript"/>
          <w:rtl/>
          <w:lang w:bidi="ar-EG"/>
        </w:rPr>
        <w:t xml:space="preserve">( </w:t>
      </w:r>
      <w:r w:rsidRPr="00315653">
        <w:rPr>
          <w:rStyle w:val="ab"/>
          <w:color w:val="000000"/>
          <w:rtl/>
          <w:lang w:bidi="ar-EG"/>
        </w:rPr>
        <w:footnoteReference w:id="4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3- والكفالة في العادة عقد تبرعي بالنسبة إلى الكفيل</w:t>
      </w:r>
      <w:r>
        <w:rPr>
          <w:rFonts w:hint="cs"/>
          <w:color w:val="000000"/>
          <w:rtl/>
          <w:lang w:bidi="ar-EG"/>
        </w:rPr>
        <w:t xml:space="preserve"> ،</w:t>
      </w:r>
      <w:r w:rsidRPr="00315653">
        <w:rPr>
          <w:rFonts w:hint="cs"/>
          <w:color w:val="000000"/>
          <w:rtl/>
          <w:lang w:bidi="ar-EG"/>
        </w:rPr>
        <w:t xml:space="preserve"> فالكفيل يتبرع عادة بكفالته للدين</w:t>
      </w:r>
      <w:r>
        <w:rPr>
          <w:rFonts w:hint="cs"/>
          <w:color w:val="000000"/>
          <w:vertAlign w:val="superscript"/>
          <w:rtl/>
          <w:lang w:bidi="ar-EG"/>
        </w:rPr>
        <w:t xml:space="preserve">( </w:t>
      </w:r>
      <w:r w:rsidRPr="00315653">
        <w:rPr>
          <w:rStyle w:val="ab"/>
          <w:color w:val="000000"/>
          <w:rtl/>
          <w:lang w:bidi="ar-EG"/>
        </w:rPr>
        <w:footnoteReference w:id="4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بالنسبة إلى الدائن  المكفول فالكفالة عقد معاوضة</w:t>
      </w:r>
      <w:r>
        <w:rPr>
          <w:rFonts w:hint="cs"/>
          <w:color w:val="000000"/>
          <w:rtl/>
          <w:lang w:bidi="ar-EG"/>
        </w:rPr>
        <w:t xml:space="preserve"> ،</w:t>
      </w:r>
      <w:r w:rsidRPr="00315653">
        <w:rPr>
          <w:rFonts w:hint="cs"/>
          <w:color w:val="000000"/>
          <w:rtl/>
          <w:lang w:bidi="ar-EG"/>
        </w:rPr>
        <w:t xml:space="preserve"> </w:t>
      </w:r>
      <w:r w:rsidRPr="00315653">
        <w:rPr>
          <w:rFonts w:hint="cs"/>
          <w:color w:val="000000"/>
          <w:rtl/>
        </w:rPr>
        <w:t>لأن الدائن حصل على كفالة في مقابل إعطاء الدين</w:t>
      </w:r>
      <w:r>
        <w:rPr>
          <w:rFonts w:hint="cs"/>
          <w:color w:val="000000"/>
          <w:vertAlign w:val="superscript"/>
          <w:rtl/>
          <w:lang w:bidi="ar-EG"/>
        </w:rPr>
        <w:t xml:space="preserve">( </w:t>
      </w:r>
      <w:r w:rsidRPr="00315653">
        <w:rPr>
          <w:rStyle w:val="ab"/>
          <w:color w:val="000000"/>
          <w:rtl/>
          <w:lang w:bidi="ar-EG"/>
        </w:rPr>
        <w:footnoteReference w:id="4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الدائن قد أعطي الدين للمدين لا للكفيل والمدين ليس طرفاً في عقد الكفالة</w:t>
      </w:r>
      <w:r>
        <w:rPr>
          <w:rFonts w:hint="cs"/>
          <w:color w:val="000000"/>
          <w:rtl/>
          <w:lang w:bidi="ar-EG"/>
        </w:rPr>
        <w:t xml:space="preserve"> ،</w:t>
      </w:r>
      <w:r w:rsidRPr="00315653">
        <w:rPr>
          <w:rFonts w:hint="cs"/>
          <w:color w:val="000000"/>
          <w:rtl/>
          <w:lang w:bidi="ar-EG"/>
        </w:rPr>
        <w:t xml:space="preserve"> فإنه ليس من الضروري في عقود المعاوضة أن يكون العوض قد أعطي لأحد المتعاقدين</w:t>
      </w:r>
      <w:r>
        <w:rPr>
          <w:rFonts w:hint="cs"/>
          <w:color w:val="000000"/>
          <w:rtl/>
          <w:lang w:bidi="ar-EG"/>
        </w:rPr>
        <w:t xml:space="preserve"> ،</w:t>
      </w:r>
      <w:r w:rsidRPr="00315653">
        <w:rPr>
          <w:rFonts w:hint="cs"/>
          <w:color w:val="000000"/>
          <w:rtl/>
          <w:lang w:bidi="ar-EG"/>
        </w:rPr>
        <w:t xml:space="preserve"> بل يكفي إعطاؤه للغير وهو هنا المدين</w:t>
      </w:r>
      <w:r>
        <w:rPr>
          <w:rFonts w:hint="cs"/>
          <w:color w:val="000000"/>
          <w:rtl/>
          <w:lang w:bidi="ar-EG"/>
        </w:rPr>
        <w:t xml:space="preserve"> .</w:t>
      </w:r>
      <w:r w:rsidRPr="00315653">
        <w:rPr>
          <w:rFonts w:hint="cs"/>
          <w:color w:val="000000"/>
          <w:rtl/>
          <w:lang w:bidi="ar-EG"/>
        </w:rPr>
        <w:t xml:space="preserve"> والعقد الواحد قد يكون معاوضة بالنسبة إلى أحد المتعاقدين وتبرعاً بالنسبة إلى المتعاقد الآخر</w:t>
      </w:r>
      <w:r>
        <w:rPr>
          <w:rFonts w:hint="cs"/>
          <w:color w:val="000000"/>
          <w:rtl/>
          <w:lang w:bidi="ar-EG"/>
        </w:rPr>
        <w:t xml:space="preserve"> ،</w:t>
      </w:r>
      <w:r w:rsidRPr="00315653">
        <w:rPr>
          <w:rFonts w:hint="cs"/>
          <w:color w:val="000000"/>
          <w:rtl/>
          <w:lang w:bidi="ar-EG"/>
        </w:rPr>
        <w:t xml:space="preserve"> كما أن التبرع لا يشترط فيه أن يكون المتبرع قد تبرع للمتعاقد الآخر</w:t>
      </w:r>
      <w:r>
        <w:rPr>
          <w:rFonts w:hint="cs"/>
          <w:color w:val="000000"/>
          <w:vertAlign w:val="superscript"/>
          <w:rtl/>
          <w:lang w:bidi="ar-EG"/>
        </w:rPr>
        <w:t xml:space="preserve">( </w:t>
      </w:r>
      <w:r w:rsidRPr="00315653">
        <w:rPr>
          <w:rStyle w:val="ab"/>
          <w:color w:val="000000"/>
          <w:rtl/>
          <w:lang w:bidi="ar-EG"/>
        </w:rPr>
        <w:footnoteReference w:id="4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وعقد الكفالة $26</w:t>
      </w:r>
      <w:r w:rsidRPr="00315653">
        <w:rPr>
          <w:rFonts w:hint="cs"/>
          <w:color w:val="000000"/>
          <w:rtl/>
        </w:rPr>
        <w:t xml:space="preserve"> هو المثل على ذلك</w:t>
      </w:r>
      <w:r>
        <w:rPr>
          <w:rFonts w:hint="cs"/>
          <w:color w:val="000000"/>
          <w:rtl/>
        </w:rPr>
        <w:t xml:space="preserve"> .</w:t>
      </w:r>
      <w:r w:rsidRPr="00315653">
        <w:rPr>
          <w:rFonts w:hint="cs"/>
          <w:color w:val="000000"/>
          <w:rtl/>
        </w:rPr>
        <w:t xml:space="preserve"> فهو عادة عقد تبرع بالنسبة إلى الكفيل</w:t>
      </w:r>
      <w:r>
        <w:rPr>
          <w:rFonts w:hint="cs"/>
          <w:color w:val="000000"/>
          <w:rtl/>
        </w:rPr>
        <w:t xml:space="preserve"> ،</w:t>
      </w:r>
      <w:r w:rsidRPr="00315653">
        <w:rPr>
          <w:rFonts w:hint="cs"/>
          <w:color w:val="000000"/>
          <w:rtl/>
        </w:rPr>
        <w:t xml:space="preserve"> والكفيل لم يتبرع للطرف الآخر أي للدائن</w:t>
      </w:r>
      <w:r>
        <w:rPr>
          <w:rFonts w:hint="cs"/>
          <w:color w:val="000000"/>
          <w:rtl/>
        </w:rPr>
        <w:t xml:space="preserve"> ،</w:t>
      </w:r>
      <w:r w:rsidRPr="00315653">
        <w:rPr>
          <w:rFonts w:hint="cs"/>
          <w:color w:val="000000"/>
          <w:rtl/>
        </w:rPr>
        <w:t xml:space="preserve"> بل تبرع للغير وهو المدين</w:t>
      </w:r>
      <w:r>
        <w:rPr>
          <w:rFonts w:hint="cs"/>
          <w:color w:val="000000"/>
          <w:rtl/>
        </w:rPr>
        <w:t xml:space="preserve"> .</w:t>
      </w:r>
      <w:r w:rsidRPr="00315653">
        <w:rPr>
          <w:rFonts w:hint="cs"/>
          <w:color w:val="000000"/>
          <w:rtl/>
        </w:rPr>
        <w:t xml:space="preserve"> وهو عقد معاوضة بالنسبة إلى الدائن</w:t>
      </w:r>
      <w:r>
        <w:rPr>
          <w:rFonts w:hint="cs"/>
          <w:color w:val="000000"/>
          <w:rtl/>
        </w:rPr>
        <w:t xml:space="preserve"> ،</w:t>
      </w:r>
      <w:r w:rsidRPr="00315653">
        <w:rPr>
          <w:rFonts w:hint="cs"/>
          <w:color w:val="000000"/>
          <w:rtl/>
        </w:rPr>
        <w:t xml:space="preserve"> والدائن لم يعط الدين للطرف الآخر وهو الكفيل</w:t>
      </w:r>
      <w:r>
        <w:rPr>
          <w:rFonts w:hint="cs"/>
          <w:color w:val="000000"/>
          <w:rtl/>
        </w:rPr>
        <w:t xml:space="preserve"> ،</w:t>
      </w:r>
      <w:r w:rsidRPr="00315653">
        <w:rPr>
          <w:rFonts w:hint="cs"/>
          <w:color w:val="000000"/>
          <w:rtl/>
        </w:rPr>
        <w:t xml:space="preserve"> بل أعطاه للغير وهو المدين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هذا وقد تكون الكفالة عقد معاوضة بالنسبة إلى الكفيل نفسه</w:t>
      </w:r>
      <w:r>
        <w:rPr>
          <w:rFonts w:hint="cs"/>
          <w:color w:val="000000"/>
          <w:rtl/>
        </w:rPr>
        <w:t xml:space="preserve"> ،</w:t>
      </w:r>
      <w:r w:rsidRPr="00315653">
        <w:rPr>
          <w:rFonts w:hint="cs"/>
          <w:color w:val="000000"/>
          <w:rtl/>
        </w:rPr>
        <w:t xml:space="preserve"> فيأخذ هذا مقابلا لكفالته الدين</w:t>
      </w:r>
      <w:r>
        <w:rPr>
          <w:rFonts w:hint="cs"/>
          <w:color w:val="000000"/>
          <w:vertAlign w:val="superscript"/>
          <w:rtl/>
          <w:lang w:bidi="ar-EG"/>
        </w:rPr>
        <w:t xml:space="preserve">( </w:t>
      </w:r>
      <w:r w:rsidRPr="00315653">
        <w:rPr>
          <w:rStyle w:val="ab"/>
          <w:color w:val="000000"/>
          <w:rtl/>
          <w:lang w:bidi="ar-EG"/>
        </w:rPr>
        <w:footnoteReference w:id="4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المقابل إما أن يأخذه من الدائن المتعاقد معه فيكون العوض مأخوذاً من المتعاقد الآخر وهو الدائن</w:t>
      </w:r>
      <w:r>
        <w:rPr>
          <w:rFonts w:hint="cs"/>
          <w:color w:val="000000"/>
          <w:vertAlign w:val="superscript"/>
          <w:rtl/>
          <w:lang w:bidi="ar-EG"/>
        </w:rPr>
        <w:t xml:space="preserve">( </w:t>
      </w:r>
      <w:r w:rsidRPr="00315653">
        <w:rPr>
          <w:rStyle w:val="ab"/>
          <w:color w:val="000000"/>
          <w:rtl/>
          <w:lang w:bidi="ar-EG"/>
        </w:rPr>
        <w:footnoteReference w:id="4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يأخذه من المدين فيكون العوض </w:t>
      </w:r>
      <w:r w:rsidRPr="00315653">
        <w:rPr>
          <w:rFonts w:hint="cs"/>
          <w:color w:val="000000"/>
          <w:rtl/>
          <w:lang w:bidi="ar-EG"/>
        </w:rPr>
        <w:lastRenderedPageBreak/>
        <w:t>مأخوذاً من الغير وهو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الصورة المألوفة للكفالة هي أن تكون عقداً تبرعياً بالنسبة إلى الكفيل</w:t>
      </w:r>
      <w:r>
        <w:rPr>
          <w:rFonts w:hint="cs"/>
          <w:color w:val="000000"/>
          <w:rtl/>
          <w:lang w:bidi="ar-EG"/>
        </w:rPr>
        <w:t xml:space="preserve"> ،</w:t>
      </w:r>
      <w:r w:rsidRPr="00315653">
        <w:rPr>
          <w:rFonts w:hint="cs"/>
          <w:color w:val="000000"/>
          <w:rtl/>
          <w:lang w:bidi="ar-EG"/>
        </w:rPr>
        <w:t xml:space="preserve"> لأن هذا لا يأخذ عادة مقابلا لكفالته الدين لا من الدائن ولا من المدين</w:t>
      </w:r>
      <w:r>
        <w:rPr>
          <w:rFonts w:hint="cs"/>
          <w:color w:val="000000"/>
          <w:rtl/>
          <w:lang w:bidi="ar-EG"/>
        </w:rPr>
        <w:t xml:space="preserve"> .</w:t>
      </w:r>
      <w:r w:rsidRPr="00315653">
        <w:rPr>
          <w:rFonts w:hint="cs"/>
          <w:color w:val="000000"/>
          <w:rtl/>
          <w:lang w:bidi="ar-EG"/>
        </w:rPr>
        <w:t xml:space="preserve"> وعلى ذلك يشترط في الكفيل عادة أهلية التبرع</w:t>
      </w:r>
      <w:r>
        <w:rPr>
          <w:rFonts w:hint="cs"/>
          <w:color w:val="000000"/>
          <w:rtl/>
          <w:lang w:bidi="ar-EG"/>
        </w:rPr>
        <w:t xml:space="preserve"> ،</w:t>
      </w:r>
      <w:r w:rsidRPr="00315653">
        <w:rPr>
          <w:rFonts w:hint="cs"/>
          <w:color w:val="000000"/>
          <w:rtl/>
          <w:lang w:bidi="ar-EG"/>
        </w:rPr>
        <w:t xml:space="preserve"> كما يجوز الطعن في الكفالة بالدعوى البولصية دون أن يشترط تواطؤ الكفيل لا مع الدائن ولا مع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4- والكفالة عقد تابع</w:t>
      </w:r>
      <w:r>
        <w:rPr>
          <w:rFonts w:hint="cs"/>
          <w:color w:val="000000"/>
          <w:rtl/>
          <w:lang w:bidi="ar-EG"/>
        </w:rPr>
        <w:t xml:space="preserve"> ،</w:t>
      </w:r>
      <w:r w:rsidRPr="00315653">
        <w:rPr>
          <w:rFonts w:hint="cs"/>
          <w:color w:val="000000"/>
          <w:rtl/>
          <w:lang w:bidi="ar-EG"/>
        </w:rPr>
        <w:t xml:space="preserve"> إذ أن التزام الكفيل يعتبر حتماً تابعاً لالتزام المدين الأصلي</w:t>
      </w:r>
      <w:r>
        <w:rPr>
          <w:rFonts w:hint="cs"/>
          <w:color w:val="000000"/>
          <w:vertAlign w:val="superscript"/>
          <w:rtl/>
          <w:lang w:bidi="ar-EG"/>
        </w:rPr>
        <w:t xml:space="preserve">( </w:t>
      </w:r>
      <w:r w:rsidRPr="00315653">
        <w:rPr>
          <w:rStyle w:val="ab"/>
          <w:color w:val="000000"/>
          <w:rtl/>
          <w:lang w:bidi="ar-EG"/>
        </w:rPr>
        <w:footnoteReference w:id="5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التزم المسئول عن دين الغير التزاماً أصلياً لا التزاماً تابعاً</w:t>
      </w:r>
      <w:r>
        <w:rPr>
          <w:rFonts w:hint="cs"/>
          <w:color w:val="000000"/>
          <w:rtl/>
          <w:lang w:bidi="ar-EG"/>
        </w:rPr>
        <w:t xml:space="preserve"> ،</w:t>
      </w:r>
      <w:r w:rsidRPr="00315653">
        <w:rPr>
          <w:rFonts w:hint="cs"/>
          <w:color w:val="000000"/>
          <w:rtl/>
          <w:lang w:bidi="ar-EG"/>
        </w:rPr>
        <w:t xml:space="preserve"> فإنه لا يكون كفيلا بل يكون مديناً أصلياً التزامه مستقل عن التزام $27 </w:t>
      </w:r>
      <w:r w:rsidRPr="00315653">
        <w:rPr>
          <w:rFonts w:hint="cs"/>
          <w:color w:val="000000"/>
          <w:rtl/>
        </w:rPr>
        <w:t>المدين</w:t>
      </w:r>
      <w:r>
        <w:rPr>
          <w:rFonts w:hint="cs"/>
          <w:color w:val="000000"/>
          <w:vertAlign w:val="superscript"/>
          <w:rtl/>
          <w:lang w:bidi="ar-EG"/>
        </w:rPr>
        <w:t xml:space="preserve">( </w:t>
      </w:r>
      <w:r w:rsidRPr="00315653">
        <w:rPr>
          <w:rStyle w:val="ab"/>
          <w:color w:val="000000"/>
          <w:rtl/>
          <w:lang w:bidi="ar-EG"/>
        </w:rPr>
        <w:footnoteReference w:id="5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ويتفرع عن أن التزام الكفيل التزام تابع لالتزام المدين الأصلي</w:t>
      </w:r>
      <w:r>
        <w:rPr>
          <w:rFonts w:hint="cs"/>
          <w:color w:val="000000"/>
          <w:vertAlign w:val="superscript"/>
          <w:rtl/>
          <w:lang w:bidi="ar-EG"/>
        </w:rPr>
        <w:t xml:space="preserve">( </w:t>
      </w:r>
      <w:r w:rsidRPr="00315653">
        <w:rPr>
          <w:rStyle w:val="ab"/>
          <w:color w:val="000000"/>
          <w:rtl/>
          <w:lang w:bidi="ar-EG"/>
        </w:rPr>
        <w:footnoteReference w:id="5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أن الالتزام الأول لا يجوز </w:t>
      </w:r>
      <w:r w:rsidRPr="00315653">
        <w:rPr>
          <w:rFonts w:hint="cs"/>
          <w:color w:val="000000"/>
          <w:rtl/>
        </w:rPr>
        <w:t>أن يزيد على الالتزام الآخر</w:t>
      </w:r>
      <w:r>
        <w:rPr>
          <w:rFonts w:hint="cs"/>
          <w:color w:val="000000"/>
          <w:rtl/>
        </w:rPr>
        <w:t xml:space="preserve"> ،</w:t>
      </w:r>
      <w:r w:rsidRPr="00315653">
        <w:rPr>
          <w:rFonts w:hint="cs"/>
          <w:color w:val="000000"/>
          <w:rtl/>
        </w:rPr>
        <w:t xml:space="preserve"> أو أن يكون أشد عبئاً</w:t>
      </w:r>
      <w:r>
        <w:rPr>
          <w:rFonts w:hint="cs"/>
          <w:color w:val="000000"/>
          <w:rtl/>
        </w:rPr>
        <w:t xml:space="preserve"> ،</w:t>
      </w:r>
      <w:r w:rsidRPr="00315653">
        <w:rPr>
          <w:rFonts w:hint="cs"/>
          <w:color w:val="000000"/>
          <w:rtl/>
        </w:rPr>
        <w:t xml:space="preserve"> أو أن يبقى قائماً بعده</w:t>
      </w:r>
      <w:r>
        <w:rPr>
          <w:rFonts w:hint="cs"/>
          <w:color w:val="000000"/>
          <w:rtl/>
        </w:rPr>
        <w:t xml:space="preserve"> .</w:t>
      </w:r>
      <w:r w:rsidRPr="00315653">
        <w:rPr>
          <w:rFonts w:hint="cs"/>
          <w:color w:val="000000"/>
          <w:rtl/>
        </w:rPr>
        <w:t xml:space="preserve"> كذلك لا يجوز أن يكون التزام الكفيل منجزاً إذا كان التزام المدين الأصلي معلقاً على شرط أو مقترناً بأجل</w:t>
      </w:r>
      <w:r>
        <w:rPr>
          <w:rFonts w:hint="cs"/>
          <w:color w:val="000000"/>
          <w:vertAlign w:val="superscript"/>
          <w:rtl/>
          <w:lang w:bidi="ar-EG"/>
        </w:rPr>
        <w:t xml:space="preserve">( </w:t>
      </w:r>
      <w:r w:rsidRPr="00315653">
        <w:rPr>
          <w:rStyle w:val="ab"/>
          <w:color w:val="000000"/>
          <w:rtl/>
          <w:lang w:bidi="ar-EG"/>
        </w:rPr>
        <w:footnoteReference w:id="5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منتجاً لفوائد إذا كان التزام المدين الأصلي لا ينتج فوائد ما</w:t>
      </w:r>
      <w:r>
        <w:rPr>
          <w:rFonts w:hint="cs"/>
          <w:color w:val="000000"/>
          <w:vertAlign w:val="superscript"/>
          <w:rtl/>
          <w:lang w:bidi="ar-EG"/>
        </w:rPr>
        <w:t xml:space="preserve">( </w:t>
      </w:r>
      <w:r w:rsidRPr="00315653">
        <w:rPr>
          <w:rStyle w:val="ab"/>
          <w:color w:val="000000"/>
          <w:rtl/>
          <w:lang w:bidi="ar-EG"/>
        </w:rPr>
        <w:footnoteReference w:id="5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ويتبع التزام </w:t>
      </w:r>
      <w:r w:rsidRPr="00315653">
        <w:rPr>
          <w:rFonts w:hint="cs"/>
          <w:color w:val="000000"/>
          <w:rtl/>
          <w:lang w:bidi="ar-EG"/>
        </w:rPr>
        <w:lastRenderedPageBreak/>
        <w:t>المدين $28</w:t>
      </w:r>
      <w:r w:rsidRPr="00315653">
        <w:rPr>
          <w:rFonts w:hint="cs"/>
          <w:color w:val="000000"/>
          <w:rtl/>
        </w:rPr>
        <w:t xml:space="preserve"> الأصلي في صحته وفي بطلانه</w:t>
      </w:r>
      <w:r>
        <w:rPr>
          <w:rFonts w:hint="cs"/>
          <w:color w:val="000000"/>
          <w:rtl/>
        </w:rPr>
        <w:t xml:space="preserve"> ،</w:t>
      </w:r>
      <w:r w:rsidRPr="00315653">
        <w:rPr>
          <w:rFonts w:hint="cs"/>
          <w:color w:val="000000"/>
          <w:rtl/>
        </w:rPr>
        <w:t xml:space="preserve"> وفي قابليته للفسخ</w:t>
      </w:r>
      <w:r>
        <w:rPr>
          <w:rFonts w:hint="cs"/>
          <w:color w:val="000000"/>
          <w:rtl/>
        </w:rPr>
        <w:t xml:space="preserve"> ،</w:t>
      </w:r>
      <w:r w:rsidRPr="00315653">
        <w:rPr>
          <w:rFonts w:hint="cs"/>
          <w:color w:val="000000"/>
          <w:rtl/>
        </w:rPr>
        <w:t xml:space="preserve"> وفي الدفوع التي يدفع بها الدين </w:t>
      </w:r>
      <w:r w:rsidRPr="00315653">
        <w:rPr>
          <w:color w:val="000000"/>
          <w:rtl/>
        </w:rPr>
        <w:t>–</w:t>
      </w:r>
      <w:r w:rsidRPr="00315653">
        <w:rPr>
          <w:rFonts w:hint="cs"/>
          <w:color w:val="000000"/>
          <w:rtl/>
        </w:rPr>
        <w:t xml:space="preserve"> ولكن يجوز للكفيل أن يلتزم التزاماً أخف عبئاً من التزام المدين الأصلي</w:t>
      </w:r>
      <w:r>
        <w:rPr>
          <w:rFonts w:hint="cs"/>
          <w:color w:val="000000"/>
          <w:rtl/>
        </w:rPr>
        <w:t xml:space="preserve"> ،</w:t>
      </w:r>
      <w:r w:rsidRPr="00315653">
        <w:rPr>
          <w:rFonts w:hint="cs"/>
          <w:color w:val="000000"/>
          <w:rtl/>
        </w:rPr>
        <w:t xml:space="preserve"> فيكفل مثلا جزءاً من الدين</w:t>
      </w:r>
      <w:r>
        <w:rPr>
          <w:rFonts w:hint="cs"/>
          <w:color w:val="000000"/>
          <w:rtl/>
        </w:rPr>
        <w:t xml:space="preserve"> .</w:t>
      </w:r>
      <w:r w:rsidRPr="00315653">
        <w:rPr>
          <w:rFonts w:hint="cs"/>
          <w:color w:val="000000"/>
          <w:rtl/>
        </w:rPr>
        <w:t>وكذلك لا يكفل الكفيل ما زاد في عبء الدين الأصلي بعد الكفالة بإرادة المدين الأصلي</w:t>
      </w:r>
      <w:r>
        <w:rPr>
          <w:rFonts w:hint="cs"/>
          <w:color w:val="000000"/>
          <w:rtl/>
        </w:rPr>
        <w:t xml:space="preserve"> ،</w:t>
      </w:r>
      <w:r w:rsidRPr="00315653">
        <w:rPr>
          <w:rFonts w:hint="cs"/>
          <w:color w:val="000000"/>
          <w:rtl/>
        </w:rPr>
        <w:t xml:space="preserve"> أو بسبب خطئه</w:t>
      </w:r>
      <w:r>
        <w:rPr>
          <w:rFonts w:hint="cs"/>
          <w:color w:val="000000"/>
          <w:vertAlign w:val="superscript"/>
          <w:rtl/>
          <w:lang w:bidi="ar-EG"/>
        </w:rPr>
        <w:t xml:space="preserve">( </w:t>
      </w:r>
      <w:r w:rsidRPr="00315653">
        <w:rPr>
          <w:rStyle w:val="ab"/>
          <w:color w:val="000000"/>
          <w:rtl/>
          <w:lang w:bidi="ar-EG"/>
        </w:rPr>
        <w:footnoteReference w:id="5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14- الالتزام بتقديم كفيل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774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"إذا التزم المدين بتقديم كفيل</w:t>
      </w:r>
      <w:r>
        <w:rPr>
          <w:rFonts w:hint="cs"/>
          <w:color w:val="000000"/>
          <w:rtl/>
          <w:lang w:bidi="ar-EG"/>
        </w:rPr>
        <w:t xml:space="preserve"> ،</w:t>
      </w:r>
      <w:r w:rsidRPr="00315653">
        <w:rPr>
          <w:rFonts w:hint="cs"/>
          <w:color w:val="000000"/>
          <w:rtl/>
          <w:lang w:bidi="ar-EG"/>
        </w:rPr>
        <w:t xml:space="preserve"> وجب أن يقدم شخصاً موسراً ومقيماً في مصر</w:t>
      </w:r>
      <w:r>
        <w:rPr>
          <w:rFonts w:hint="cs"/>
          <w:color w:val="000000"/>
          <w:rtl/>
          <w:lang w:bidi="ar-EG"/>
        </w:rPr>
        <w:t xml:space="preserve"> ،</w:t>
      </w:r>
      <w:r w:rsidRPr="00315653">
        <w:rPr>
          <w:rFonts w:hint="cs"/>
          <w:color w:val="000000"/>
          <w:rtl/>
          <w:lang w:bidi="ar-EG"/>
        </w:rPr>
        <w:t xml:space="preserve"> وله أن يقدم عوضاً عن الكفيل تأميناً عيناً كافياً</w:t>
      </w:r>
      <w:r>
        <w:rPr>
          <w:rFonts w:hint="cs"/>
          <w:color w:val="000000"/>
          <w:vertAlign w:val="superscript"/>
          <w:rtl/>
          <w:lang w:bidi="ar-EG"/>
        </w:rPr>
        <w:t xml:space="preserve">( </w:t>
      </w:r>
      <w:r w:rsidRPr="00315653">
        <w:rPr>
          <w:rStyle w:val="ab"/>
          <w:color w:val="000000"/>
          <w:rtl/>
          <w:lang w:bidi="ar-EG"/>
        </w:rPr>
        <w:footnoteReference w:id="56"/>
      </w:r>
      <w:r>
        <w:rPr>
          <w:rFonts w:hint="cs"/>
          <w:color w:val="000000"/>
          <w:vertAlign w:val="superscript"/>
          <w:rtl/>
          <w:lang w:bidi="ar-EG"/>
        </w:rPr>
        <w:t xml:space="preserve"> )</w:t>
      </w:r>
      <w:r w:rsidRPr="00315653">
        <w:rPr>
          <w:rFonts w:hint="cs"/>
          <w:color w:val="000000"/>
          <w:rtl/>
          <w:lang w:bidi="ar-EG"/>
        </w:rPr>
        <w:t>"</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$29 ويخلص من هذا النص أن المدين قد يكون ملزماً بتقديم كفيل</w:t>
      </w:r>
      <w:r>
        <w:rPr>
          <w:rFonts w:hint="cs"/>
          <w:color w:val="000000"/>
          <w:rtl/>
          <w:lang w:bidi="ar-EG"/>
        </w:rPr>
        <w:t xml:space="preserve"> ،</w:t>
      </w:r>
      <w:r w:rsidRPr="00315653">
        <w:rPr>
          <w:rFonts w:hint="cs"/>
          <w:color w:val="000000"/>
          <w:rtl/>
          <w:lang w:bidi="ar-EG"/>
        </w:rPr>
        <w:t xml:space="preserve"> فعليه أن يقدم كفيلا توافرت فيه شروط معينة</w:t>
      </w:r>
      <w:r>
        <w:rPr>
          <w:rFonts w:hint="cs"/>
          <w:color w:val="000000"/>
          <w:rtl/>
          <w:lang w:bidi="ar-EG"/>
        </w:rPr>
        <w:t xml:space="preserve"> .</w:t>
      </w:r>
      <w:r w:rsidRPr="00315653">
        <w:rPr>
          <w:rFonts w:hint="cs"/>
          <w:color w:val="000000"/>
          <w:rtl/>
          <w:lang w:bidi="ar-EG"/>
        </w:rPr>
        <w:t xml:space="preserve"> ومصادر التزام المدين بتقديم كفيل ثلاثة</w:t>
      </w:r>
      <w:r>
        <w:rPr>
          <w:rFonts w:hint="cs"/>
          <w:color w:val="000000"/>
          <w:rtl/>
          <w:lang w:bidi="ar-EG"/>
        </w:rPr>
        <w:t xml:space="preserve"> :</w:t>
      </w:r>
      <w:r w:rsidRPr="00315653">
        <w:rPr>
          <w:rFonts w:hint="cs"/>
          <w:color w:val="000000"/>
          <w:rtl/>
          <w:lang w:bidi="ar-EG"/>
        </w:rPr>
        <w:t xml:space="preserve"> القانون والقضاء والاتفاق</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فيكون المدين ملزماً بتقديم كفيل بحكم القانون في الأحوال التي ينص فيها القانون على ذلك</w:t>
      </w:r>
      <w:r>
        <w:rPr>
          <w:rFonts w:hint="cs"/>
          <w:color w:val="000000"/>
          <w:rtl/>
          <w:lang w:bidi="ar-EG"/>
        </w:rPr>
        <w:t xml:space="preserve"> .</w:t>
      </w:r>
      <w:r w:rsidRPr="00315653">
        <w:rPr>
          <w:rFonts w:hint="cs"/>
          <w:color w:val="000000"/>
          <w:rtl/>
          <w:lang w:bidi="ar-EG"/>
        </w:rPr>
        <w:t xml:space="preserve"> ومن الأحوال التي نص فيها القانون على وجوب أن يقدم المدين كفيلا ما نصت عليه المادة 992/1  مدني من أنه "إذا كان المال المقرر عليه حق الانتفاع منقولا</w:t>
      </w:r>
      <w:r>
        <w:rPr>
          <w:rFonts w:hint="cs"/>
          <w:color w:val="000000"/>
          <w:rtl/>
          <w:lang w:bidi="ar-EG"/>
        </w:rPr>
        <w:t xml:space="preserve"> ،</w:t>
      </w:r>
      <w:r w:rsidRPr="00315653">
        <w:rPr>
          <w:rFonts w:hint="cs"/>
          <w:color w:val="000000"/>
          <w:rtl/>
          <w:lang w:bidi="ar-EG"/>
        </w:rPr>
        <w:t xml:space="preserve"> وجب جرده</w:t>
      </w:r>
      <w:r>
        <w:rPr>
          <w:rFonts w:hint="cs"/>
          <w:color w:val="000000"/>
          <w:rtl/>
          <w:lang w:bidi="ar-EG"/>
        </w:rPr>
        <w:t xml:space="preserve"> ،</w:t>
      </w:r>
      <w:r w:rsidRPr="00315653">
        <w:rPr>
          <w:rFonts w:hint="cs"/>
          <w:color w:val="000000"/>
          <w:rtl/>
          <w:lang w:bidi="ar-EG"/>
        </w:rPr>
        <w:t xml:space="preserve"> ولزم المنتفع تقديم كفالة به"</w:t>
      </w:r>
      <w:r>
        <w:rPr>
          <w:rFonts w:hint="cs"/>
          <w:color w:val="000000"/>
          <w:rtl/>
          <w:lang w:bidi="ar-EG"/>
        </w:rPr>
        <w:t xml:space="preserve"> .</w:t>
      </w:r>
      <w:r w:rsidRPr="00315653">
        <w:rPr>
          <w:rFonts w:hint="cs"/>
          <w:color w:val="000000"/>
          <w:rtl/>
          <w:lang w:bidi="ar-EG"/>
        </w:rPr>
        <w:t xml:space="preserve"> كذلك يجب على صاحب حق الاستعمال في المنقول أن يجرد هذا المنقول</w:t>
      </w:r>
      <w:r>
        <w:rPr>
          <w:rFonts w:hint="cs"/>
          <w:color w:val="000000"/>
          <w:rtl/>
          <w:lang w:bidi="ar-EG"/>
        </w:rPr>
        <w:t xml:space="preserve"> ،</w:t>
      </w:r>
      <w:r w:rsidRPr="00315653">
        <w:rPr>
          <w:rFonts w:hint="cs"/>
          <w:color w:val="000000"/>
          <w:rtl/>
          <w:lang w:bidi="ar-EG"/>
        </w:rPr>
        <w:t xml:space="preserve"> وأن يقدم كفالة </w:t>
      </w:r>
      <w:r>
        <w:rPr>
          <w:rFonts w:hint="cs"/>
          <w:color w:val="000000"/>
          <w:rtl/>
          <w:lang w:bidi="ar-EG"/>
        </w:rPr>
        <w:t xml:space="preserve">( </w:t>
      </w:r>
      <w:r w:rsidRPr="00315653">
        <w:rPr>
          <w:rFonts w:hint="cs"/>
          <w:color w:val="000000"/>
          <w:rtl/>
          <w:lang w:bidi="ar-EG"/>
        </w:rPr>
        <w:t>م 998 مدني</w:t>
      </w:r>
      <w:r>
        <w:rPr>
          <w:rFonts w:hint="cs"/>
          <w:color w:val="000000"/>
          <w:rtl/>
          <w:lang w:bidi="ar-EG"/>
        </w:rPr>
        <w:t xml:space="preserve"> ) .</w:t>
      </w:r>
      <w:r w:rsidRPr="00315653">
        <w:rPr>
          <w:rFonts w:hint="cs"/>
          <w:color w:val="000000"/>
          <w:rtl/>
          <w:lang w:bidi="ar-EG"/>
        </w:rPr>
        <w:t xml:space="preserve"> ونصت المادة 273/2 مدني أنه "إذا سقط حق المدين في الأصل</w:t>
      </w:r>
      <w:r>
        <w:rPr>
          <w:rFonts w:hint="cs"/>
          <w:color w:val="000000"/>
          <w:rtl/>
          <w:lang w:bidi="ar-EG"/>
        </w:rPr>
        <w:t xml:space="preserve"> . . .</w:t>
      </w:r>
      <w:r w:rsidRPr="00315653">
        <w:rPr>
          <w:rFonts w:hint="cs"/>
          <w:color w:val="000000"/>
          <w:rtl/>
          <w:lang w:bidi="ar-EG"/>
        </w:rPr>
        <w:t xml:space="preserve"> أضعف بفعله إلى حد كبير ما أعطي الدائن من تأمين خاص</w:t>
      </w:r>
      <w:r>
        <w:rPr>
          <w:rFonts w:hint="cs"/>
          <w:color w:val="000000"/>
          <w:rtl/>
          <w:lang w:bidi="ar-EG"/>
        </w:rPr>
        <w:t xml:space="preserve"> ،</w:t>
      </w:r>
      <w:r w:rsidRPr="00315653">
        <w:rPr>
          <w:rFonts w:hint="cs"/>
          <w:color w:val="000000"/>
          <w:rtl/>
          <w:lang w:bidi="ar-EG"/>
        </w:rPr>
        <w:t xml:space="preserve"> ولو كان هذا التأمين قد أعطي بعقد لاحق أو بمقتضى القانون</w:t>
      </w:r>
      <w:r>
        <w:rPr>
          <w:rFonts w:hint="cs"/>
          <w:color w:val="000000"/>
          <w:rtl/>
          <w:lang w:bidi="ar-EG"/>
        </w:rPr>
        <w:t xml:space="preserve"> ،</w:t>
      </w:r>
      <w:r w:rsidRPr="00315653">
        <w:rPr>
          <w:rFonts w:hint="cs"/>
          <w:color w:val="000000"/>
          <w:rtl/>
          <w:lang w:bidi="ar-EG"/>
        </w:rPr>
        <w:t xml:space="preserve"> هذا ما لم يؤثر الدائن أن يطالب بتكملة التأمين</w:t>
      </w:r>
      <w:r>
        <w:rPr>
          <w:rFonts w:hint="cs"/>
          <w:color w:val="000000"/>
          <w:rtl/>
          <w:lang w:bidi="ar-EG"/>
        </w:rPr>
        <w:t xml:space="preserve"> .</w:t>
      </w:r>
      <w:r w:rsidRPr="00315653">
        <w:rPr>
          <w:rFonts w:hint="cs"/>
          <w:color w:val="000000"/>
          <w:rtl/>
          <w:lang w:bidi="ar-EG"/>
        </w:rPr>
        <w:t xml:space="preserve"> أما إذا إضعاف التأمين يرجع إلى سبب لا دخل لإرادة المدين فيه</w:t>
      </w:r>
      <w:r>
        <w:rPr>
          <w:rFonts w:hint="cs"/>
          <w:color w:val="000000"/>
          <w:rtl/>
          <w:lang w:bidi="ar-EG"/>
        </w:rPr>
        <w:t xml:space="preserve"> ،</w:t>
      </w:r>
      <w:r w:rsidRPr="00315653">
        <w:rPr>
          <w:rFonts w:hint="cs"/>
          <w:color w:val="000000"/>
          <w:rtl/>
          <w:lang w:bidi="ar-EG"/>
        </w:rPr>
        <w:t xml:space="preserve"> فان الأجل يسقط ما لم يقدم المدين للدائن ضماناً كافياً"</w:t>
      </w:r>
      <w:r>
        <w:rPr>
          <w:rFonts w:hint="cs"/>
          <w:color w:val="000000"/>
          <w:rtl/>
          <w:lang w:bidi="ar-EG"/>
        </w:rPr>
        <w:t xml:space="preserve"> .</w:t>
      </w:r>
      <w:r w:rsidRPr="00315653">
        <w:rPr>
          <w:rFonts w:hint="cs"/>
          <w:color w:val="000000"/>
          <w:rtl/>
          <w:lang w:bidi="ar-EG"/>
        </w:rPr>
        <w:t xml:space="preserve"> ونصت المادة 274/1 مدني على أنه "إذا كان الالتزام مقترناً بأجل وقف</w:t>
      </w:r>
      <w:r>
        <w:rPr>
          <w:rFonts w:hint="cs"/>
          <w:color w:val="000000"/>
          <w:rtl/>
          <w:lang w:bidi="ar-EG"/>
        </w:rPr>
        <w:t xml:space="preserve"> ،</w:t>
      </w:r>
      <w:r w:rsidRPr="00315653">
        <w:rPr>
          <w:rFonts w:hint="cs"/>
          <w:color w:val="000000"/>
          <w:rtl/>
          <w:lang w:bidi="ar-EG"/>
        </w:rPr>
        <w:t xml:space="preserve"> فإنه لا يكون نافذاً إلا في الوقت الذي ينقض فيه الأجل</w:t>
      </w:r>
      <w:r>
        <w:rPr>
          <w:rFonts w:hint="cs"/>
          <w:color w:val="000000"/>
          <w:rtl/>
          <w:lang w:bidi="ar-EG"/>
        </w:rPr>
        <w:t xml:space="preserve"> .</w:t>
      </w:r>
      <w:r w:rsidRPr="00315653">
        <w:rPr>
          <w:rFonts w:hint="cs"/>
          <w:color w:val="000000"/>
          <w:rtl/>
          <w:lang w:bidi="ar-EG"/>
        </w:rPr>
        <w:t xml:space="preserve"> على انه يجوز للدائن</w:t>
      </w:r>
      <w:r>
        <w:rPr>
          <w:rFonts w:hint="cs"/>
          <w:color w:val="000000"/>
          <w:rtl/>
          <w:lang w:bidi="ar-EG"/>
        </w:rPr>
        <w:t xml:space="preserve"> ،</w:t>
      </w:r>
      <w:r w:rsidRPr="00315653">
        <w:rPr>
          <w:rFonts w:hint="cs"/>
          <w:color w:val="000000"/>
          <w:rtl/>
          <w:lang w:bidi="ar-EG"/>
        </w:rPr>
        <w:t xml:space="preserve"> حتى قبل انقضاء الأجل</w:t>
      </w:r>
      <w:r>
        <w:rPr>
          <w:rFonts w:hint="cs"/>
          <w:color w:val="000000"/>
          <w:rtl/>
          <w:lang w:bidi="ar-EG"/>
        </w:rPr>
        <w:t xml:space="preserve"> ،</w:t>
      </w:r>
      <w:r w:rsidRPr="00315653">
        <w:rPr>
          <w:rFonts w:hint="cs"/>
          <w:color w:val="000000"/>
          <w:rtl/>
          <w:lang w:bidi="ar-EG"/>
        </w:rPr>
        <w:t xml:space="preserve"> أن يتخذ من الإجراءات ما يحافظ به على حقوقه</w:t>
      </w:r>
      <w:r>
        <w:rPr>
          <w:rFonts w:hint="cs"/>
          <w:color w:val="000000"/>
          <w:rtl/>
          <w:lang w:bidi="ar-EG"/>
        </w:rPr>
        <w:t xml:space="preserve"> ،</w:t>
      </w:r>
      <w:r w:rsidRPr="00315653">
        <w:rPr>
          <w:rFonts w:hint="cs"/>
          <w:color w:val="000000"/>
          <w:rtl/>
          <w:lang w:bidi="ar-EG"/>
        </w:rPr>
        <w:t xml:space="preserve"> وله بوجه خاص $30 أن يطالب بتأمين إذا خشي إفلاس المدين أو إعساره واستند في ذلك إلى سبب معقول"</w:t>
      </w:r>
      <w:r>
        <w:rPr>
          <w:rFonts w:hint="cs"/>
          <w:color w:val="000000"/>
          <w:rtl/>
          <w:lang w:bidi="ar-EG"/>
        </w:rPr>
        <w:t xml:space="preserve"> .</w:t>
      </w:r>
      <w:r w:rsidRPr="00315653">
        <w:rPr>
          <w:rFonts w:hint="cs"/>
          <w:color w:val="000000"/>
          <w:rtl/>
          <w:lang w:bidi="ar-EG"/>
        </w:rPr>
        <w:t xml:space="preserve"> ونصت المادة 457/2 و 3 مدني على ما يأتي</w:t>
      </w:r>
      <w:r>
        <w:rPr>
          <w:rFonts w:hint="cs"/>
          <w:color w:val="000000"/>
          <w:rtl/>
          <w:lang w:bidi="ar-EG"/>
        </w:rPr>
        <w:t xml:space="preserve"> :</w:t>
      </w:r>
      <w:r w:rsidRPr="00315653">
        <w:rPr>
          <w:rFonts w:hint="cs"/>
          <w:color w:val="000000"/>
          <w:rtl/>
          <w:lang w:bidi="ar-EG"/>
        </w:rPr>
        <w:t xml:space="preserve"> "2- فإذا تعرض أحد للمشتري مستندا ً إلى حق سابق على البيع أو آيل من البائع</w:t>
      </w:r>
      <w:r>
        <w:rPr>
          <w:rFonts w:hint="cs"/>
          <w:color w:val="000000"/>
          <w:rtl/>
          <w:lang w:bidi="ar-EG"/>
        </w:rPr>
        <w:t xml:space="preserve"> ،</w:t>
      </w:r>
      <w:r w:rsidRPr="00315653">
        <w:rPr>
          <w:rFonts w:hint="cs"/>
          <w:color w:val="000000"/>
          <w:rtl/>
          <w:lang w:bidi="ar-EG"/>
        </w:rPr>
        <w:t xml:space="preserve"> أو إذا خيف على المبيع أن ينزع من يد المشتري</w:t>
      </w:r>
      <w:r>
        <w:rPr>
          <w:rFonts w:hint="cs"/>
          <w:color w:val="000000"/>
          <w:rtl/>
          <w:lang w:bidi="ar-EG"/>
        </w:rPr>
        <w:t xml:space="preserve"> ،</w:t>
      </w:r>
      <w:r w:rsidRPr="00315653">
        <w:rPr>
          <w:rFonts w:hint="cs"/>
          <w:color w:val="000000"/>
          <w:rtl/>
          <w:lang w:bidi="ar-EG"/>
        </w:rPr>
        <w:t xml:space="preserve"> جاز له ما لم يمنعه شرط في العقد أن يحبس الثمن حتى ينقطع التعرض أو يزول الخطر</w:t>
      </w:r>
      <w:r>
        <w:rPr>
          <w:rFonts w:hint="cs"/>
          <w:color w:val="000000"/>
          <w:rtl/>
          <w:lang w:bidi="ar-EG"/>
        </w:rPr>
        <w:t xml:space="preserve"> .</w:t>
      </w:r>
      <w:r w:rsidRPr="00315653">
        <w:rPr>
          <w:rFonts w:hint="cs"/>
          <w:color w:val="000000"/>
          <w:rtl/>
          <w:lang w:bidi="ar-EG"/>
        </w:rPr>
        <w:t xml:space="preserve"> ومن ذلك يجوز للبائع في هذه الحالة أن يطالب باستيفاء الثمن على أن يقدم كفيلا</w:t>
      </w:r>
      <w:r>
        <w:rPr>
          <w:rFonts w:hint="cs"/>
          <w:color w:val="000000"/>
          <w:rtl/>
          <w:lang w:bidi="ar-EG"/>
        </w:rPr>
        <w:t xml:space="preserve"> .</w:t>
      </w:r>
      <w:r w:rsidRPr="00315653">
        <w:rPr>
          <w:rFonts w:hint="cs"/>
          <w:color w:val="000000"/>
          <w:rtl/>
          <w:lang w:bidi="ar-EG"/>
        </w:rPr>
        <w:t xml:space="preserve"> 3- ويسري حكم الفقرة السابقة في حالة ما إذا كشف المشتري عيباً في المبيع"</w:t>
      </w:r>
      <w:r>
        <w:rPr>
          <w:rFonts w:hint="cs"/>
          <w:color w:val="000000"/>
          <w:rtl/>
          <w:lang w:bidi="ar-EG"/>
        </w:rPr>
        <w:t xml:space="preserve"> .</w:t>
      </w:r>
      <w:r w:rsidRPr="00315653">
        <w:rPr>
          <w:rFonts w:hint="cs"/>
          <w:color w:val="000000"/>
          <w:rtl/>
          <w:lang w:bidi="ar-EG"/>
        </w:rPr>
        <w:t xml:space="preserve"> ونصت المادة 467 مرافعات على أن "النفاذ المعجل واجب بقوة القانون للأحكام الصادرة في المواد التجارية سواء أكانت قابلة للمعارضة أم للاستئناف أم طعن فيها بهاتين الطريقتين</w:t>
      </w:r>
      <w:r>
        <w:rPr>
          <w:rFonts w:hint="cs"/>
          <w:color w:val="000000"/>
          <w:rtl/>
          <w:lang w:bidi="ar-EG"/>
        </w:rPr>
        <w:t xml:space="preserve"> ،</w:t>
      </w:r>
      <w:r w:rsidRPr="00315653">
        <w:rPr>
          <w:rFonts w:hint="cs"/>
          <w:color w:val="000000"/>
          <w:rtl/>
          <w:lang w:bidi="ar-EG"/>
        </w:rPr>
        <w:t xml:space="preserve"> وذلك بشرط تقديم كفالة</w:t>
      </w:r>
      <w:r>
        <w:rPr>
          <w:rFonts w:hint="cs"/>
          <w:color w:val="000000"/>
          <w:vertAlign w:val="superscript"/>
          <w:rtl/>
          <w:lang w:bidi="ar-EG"/>
        </w:rPr>
        <w:t xml:space="preserve">( </w:t>
      </w:r>
      <w:r w:rsidRPr="00315653">
        <w:rPr>
          <w:rStyle w:val="ab"/>
          <w:color w:val="000000"/>
          <w:rtl/>
          <w:lang w:bidi="ar-EG"/>
        </w:rPr>
        <w:footnoteReference w:id="57"/>
      </w:r>
      <w:r>
        <w:rPr>
          <w:rFonts w:hint="cs"/>
          <w:color w:val="000000"/>
          <w:vertAlign w:val="superscript"/>
          <w:rtl/>
          <w:lang w:bidi="ar-EG"/>
        </w:rPr>
        <w:t xml:space="preserve"> )</w:t>
      </w:r>
      <w:r w:rsidRPr="00315653">
        <w:rPr>
          <w:rFonts w:hint="cs"/>
          <w:color w:val="000000"/>
          <w:rtl/>
          <w:lang w:bidi="ar-EG"/>
        </w:rPr>
        <w:t>"</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ويكون المدين ملزماً بتقديم كفيل بموجب حكم قضائي في أحوال معينة نص عليها القانون</w:t>
      </w:r>
      <w:r>
        <w:rPr>
          <w:rFonts w:hint="cs"/>
          <w:color w:val="000000"/>
          <w:rtl/>
          <w:lang w:bidi="ar-EG"/>
        </w:rPr>
        <w:t xml:space="preserve"> .</w:t>
      </w:r>
      <w:r w:rsidRPr="00315653">
        <w:rPr>
          <w:rFonts w:hint="cs"/>
          <w:color w:val="000000"/>
          <w:rtl/>
          <w:lang w:bidi="ar-EG"/>
        </w:rPr>
        <w:t xml:space="preserve"> من ذلك ما نصت عليه المادة 469 مرافعات من انه "يجب الأمر بالنفاذ المعجل رقم قابلية الحكم للاستئناف أو الطعن فيه بهذه الطريقة</w:t>
      </w:r>
      <w:r>
        <w:rPr>
          <w:rFonts w:hint="cs"/>
          <w:color w:val="000000"/>
          <w:rtl/>
          <w:lang w:bidi="ar-EG"/>
        </w:rPr>
        <w:t xml:space="preserve"> ،</w:t>
      </w:r>
      <w:r w:rsidRPr="00315653">
        <w:rPr>
          <w:rFonts w:hint="cs"/>
          <w:color w:val="000000"/>
          <w:rtl/>
          <w:lang w:bidi="ar-EG"/>
        </w:rPr>
        <w:t xml:space="preserve"> مع الكفالة أو بدونها</w:t>
      </w:r>
      <w:r>
        <w:rPr>
          <w:rFonts w:hint="cs"/>
          <w:color w:val="000000"/>
          <w:rtl/>
          <w:lang w:bidi="ar-EG"/>
        </w:rPr>
        <w:t xml:space="preserve"> ،</w:t>
      </w:r>
      <w:r w:rsidRPr="00315653">
        <w:rPr>
          <w:rFonts w:hint="cs"/>
          <w:color w:val="000000"/>
          <w:rtl/>
          <w:lang w:bidi="ar-EG"/>
        </w:rPr>
        <w:t xml:space="preserve"> في الأحوال الآتية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إخراج المستأجر الذي انتهى عقده أو فسخ</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إخراج شاغل العقار الذي لا سند له إذا كان ملك المدعي أو حقه غير مجحود أو ثابتاً بسند رسمي</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إجراء الإصلاحات العاجلة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تقدير نفقة وقتية أو نفقة واجبة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sidRPr="00315653">
        <w:rPr>
          <w:rFonts w:hint="cs"/>
          <w:color w:val="000000"/>
          <w:rtl/>
          <w:lang w:bidi="ar-EG"/>
        </w:rPr>
        <w:t xml:space="preserve"> أداء أجور الخدم أو الصناع أو العمال أو مرتبات المستخدمين</w:t>
      </w:r>
      <w:r>
        <w:rPr>
          <w:rFonts w:hint="cs"/>
          <w:color w:val="000000"/>
          <w:rtl/>
          <w:lang w:bidi="ar-EG"/>
        </w:rPr>
        <w:t xml:space="preserve"> .</w:t>
      </w:r>
      <w:r w:rsidRPr="00315653">
        <w:rPr>
          <w:rFonts w:hint="cs"/>
          <w:color w:val="000000"/>
          <w:rtl/>
          <w:lang w:bidi="ar-EG"/>
        </w:rPr>
        <w:t xml:space="preserve"> ويجوز في هذه الأحوال أن تأمر المحكمة بالنفاذ المعجل بكفالة أو بدونها</w:t>
      </w:r>
      <w:r>
        <w:rPr>
          <w:rFonts w:hint="cs"/>
          <w:color w:val="000000"/>
          <w:rtl/>
          <w:lang w:bidi="ar-EG"/>
        </w:rPr>
        <w:t xml:space="preserve"> ،</w:t>
      </w:r>
      <w:r w:rsidRPr="00315653">
        <w:rPr>
          <w:rFonts w:hint="cs"/>
          <w:color w:val="000000"/>
          <w:rtl/>
          <w:lang w:bidi="ar-EG"/>
        </w:rPr>
        <w:t xml:space="preserve"> رغم قابلية الحكم للمعارضة أو الطعن فيه بهذه الطريقة"</w:t>
      </w:r>
      <w:r>
        <w:rPr>
          <w:rFonts w:hint="cs"/>
          <w:color w:val="000000"/>
          <w:rtl/>
          <w:lang w:bidi="ar-EG"/>
        </w:rPr>
        <w:t xml:space="preserve"> .</w:t>
      </w:r>
      <w:r w:rsidRPr="00315653">
        <w:rPr>
          <w:rFonts w:hint="cs"/>
          <w:color w:val="000000"/>
          <w:rtl/>
          <w:lang w:bidi="ar-EG"/>
        </w:rPr>
        <w:t xml:space="preserve"> وغني عن البيان انه إذا </w:t>
      </w:r>
      <w:r w:rsidRPr="00315653">
        <w:rPr>
          <w:rFonts w:hint="cs"/>
          <w:color w:val="000000"/>
          <w:rtl/>
          <w:lang w:bidi="ar-EG"/>
        </w:rPr>
        <w:lastRenderedPageBreak/>
        <w:t>حكم القاضي بتقديم كفالة</w:t>
      </w:r>
      <w:r>
        <w:rPr>
          <w:rFonts w:hint="cs"/>
          <w:color w:val="000000"/>
          <w:rtl/>
          <w:lang w:bidi="ar-EG"/>
        </w:rPr>
        <w:t xml:space="preserve"> ،</w:t>
      </w:r>
      <w:r w:rsidRPr="00315653">
        <w:rPr>
          <w:rFonts w:hint="cs"/>
          <w:color w:val="000000"/>
          <w:rtl/>
          <w:lang w:bidi="ar-EG"/>
        </w:rPr>
        <w:t xml:space="preserve"> كان مصدر هذا الالتزام هو حكم القاضي</w:t>
      </w:r>
      <w:r>
        <w:rPr>
          <w:rFonts w:hint="cs"/>
          <w:color w:val="000000"/>
          <w:rtl/>
          <w:lang w:bidi="ar-EG"/>
        </w:rPr>
        <w:t xml:space="preserve"> ،</w:t>
      </w:r>
      <w:r w:rsidRPr="00315653">
        <w:rPr>
          <w:rFonts w:hint="cs"/>
          <w:color w:val="000000"/>
          <w:rtl/>
          <w:lang w:bidi="ar-EG"/>
        </w:rPr>
        <w:t xml:space="preserve"> لأن هذا الأخير كان يستطيع ألا يحكم بكفالة</w:t>
      </w:r>
      <w:r>
        <w:rPr>
          <w:rFonts w:hint="cs"/>
          <w:color w:val="000000"/>
          <w:rtl/>
          <w:lang w:bidi="ar-EG"/>
        </w:rPr>
        <w:t xml:space="preserve"> .</w:t>
      </w:r>
      <w:r w:rsidRPr="00315653">
        <w:rPr>
          <w:rFonts w:hint="cs"/>
          <w:color w:val="000000"/>
          <w:rtl/>
          <w:lang w:bidi="ar-EG"/>
        </w:rPr>
        <w:t xml:space="preserve"> وقضت المادة 470 مرافعات على أنه "يجوز الأمر بالنفاذ المعجل</w:t>
      </w:r>
      <w:r>
        <w:rPr>
          <w:rFonts w:hint="cs"/>
          <w:color w:val="000000"/>
          <w:rtl/>
          <w:lang w:bidi="ar-EG"/>
        </w:rPr>
        <w:t xml:space="preserve"> ،</w:t>
      </w:r>
      <w:r w:rsidRPr="00315653">
        <w:rPr>
          <w:rFonts w:hint="cs"/>
          <w:color w:val="000000"/>
          <w:rtl/>
          <w:lang w:bidi="ar-EG"/>
        </w:rPr>
        <w:t xml:space="preserve"> بكفالة أو بدونها</w:t>
      </w:r>
      <w:r>
        <w:rPr>
          <w:rFonts w:hint="cs"/>
          <w:color w:val="000000"/>
          <w:rtl/>
          <w:lang w:bidi="ar-EG"/>
        </w:rPr>
        <w:t xml:space="preserve"> ،</w:t>
      </w:r>
      <w:r w:rsidRPr="00315653">
        <w:rPr>
          <w:rFonts w:hint="cs"/>
          <w:color w:val="000000"/>
          <w:rtl/>
          <w:lang w:bidi="ar-EG"/>
        </w:rPr>
        <w:t xml:space="preserve"> سواء أكان الحكم قابلا للمعارضة أم للاستئناف أم طعن فيه بهاتين الطريقتين</w:t>
      </w:r>
      <w:r>
        <w:rPr>
          <w:rFonts w:hint="cs"/>
          <w:color w:val="000000"/>
          <w:rtl/>
          <w:lang w:bidi="ar-EG"/>
        </w:rPr>
        <w:t xml:space="preserve"> ،</w:t>
      </w:r>
      <w:r w:rsidRPr="00315653">
        <w:rPr>
          <w:rFonts w:hint="cs"/>
          <w:color w:val="000000"/>
          <w:rtl/>
          <w:lang w:bidi="ar-EG"/>
        </w:rPr>
        <w:t xml:space="preserve"> في الأحوال الآتية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إذا كان الحكم مبنياً على سند عرفي لم يجحده المحكوم عليه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إذا كان الحكم صادراً في $31 دعاوي الحيازة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إذا كان الحكم صادراً لمصلحة طالب التنفيذ في منازعة متعلقة به"</w:t>
      </w:r>
      <w:r>
        <w:rPr>
          <w:rFonts w:hint="cs"/>
          <w:color w:val="000000"/>
          <w:vertAlign w:val="superscript"/>
          <w:rtl/>
          <w:lang w:bidi="ar-EG"/>
        </w:rPr>
        <w:t xml:space="preserve">( </w:t>
      </w:r>
      <w:r w:rsidRPr="00315653">
        <w:rPr>
          <w:rStyle w:val="ab"/>
          <w:color w:val="000000"/>
          <w:rtl/>
          <w:lang w:bidi="ar-EG"/>
        </w:rPr>
        <w:footnoteReference w:id="5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وما قيل في المادة السابقة يقال هنا</w:t>
      </w:r>
      <w:r>
        <w:rPr>
          <w:rFonts w:hint="cs"/>
          <w:color w:val="000000"/>
          <w:vertAlign w:val="superscript"/>
          <w:rtl/>
          <w:lang w:bidi="ar-EG"/>
        </w:rPr>
        <w:t xml:space="preserve">( </w:t>
      </w:r>
      <w:r w:rsidRPr="00315653">
        <w:rPr>
          <w:rStyle w:val="ab"/>
          <w:color w:val="000000"/>
          <w:rtl/>
          <w:lang w:bidi="ar-EG"/>
        </w:rPr>
        <w:footnoteReference w:id="5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ويكون المدين ملزماً بتقديم كفيل إذا اتفق مع الدائن على أن يقدم له كفيلا بالدين</w:t>
      </w:r>
      <w:r>
        <w:rPr>
          <w:rFonts w:hint="cs"/>
          <w:color w:val="000000"/>
          <w:rtl/>
          <w:lang w:bidi="ar-EG"/>
        </w:rPr>
        <w:t xml:space="preserve"> ،</w:t>
      </w:r>
      <w:r w:rsidRPr="00315653">
        <w:rPr>
          <w:rFonts w:hint="cs"/>
          <w:color w:val="000000"/>
          <w:rtl/>
          <w:lang w:bidi="ar-EG"/>
        </w:rPr>
        <w:t xml:space="preserve"> وعند ذلك يكون مصدر التزام المدين بتقديم الكفيل هو الاتفاق</w:t>
      </w:r>
      <w:r>
        <w:rPr>
          <w:rFonts w:hint="cs"/>
          <w:color w:val="000000"/>
          <w:vertAlign w:val="superscript"/>
          <w:rtl/>
          <w:lang w:bidi="ar-EG"/>
        </w:rPr>
        <w:t xml:space="preserve">( </w:t>
      </w:r>
      <w:r w:rsidRPr="00315653">
        <w:rPr>
          <w:rStyle w:val="ab"/>
          <w:color w:val="000000"/>
          <w:rtl/>
          <w:lang w:bidi="ar-EG"/>
        </w:rPr>
        <w:footnoteReference w:id="6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وسواء كان مصدر التزام المدين بتقديم الكفيل هو القانون أو القضاء أو الاتفاق</w:t>
      </w:r>
      <w:r>
        <w:rPr>
          <w:rFonts w:hint="cs"/>
          <w:color w:val="000000"/>
          <w:rtl/>
          <w:lang w:bidi="ar-EG"/>
        </w:rPr>
        <w:t xml:space="preserve"> ،</w:t>
      </w:r>
      <w:r w:rsidRPr="00315653">
        <w:rPr>
          <w:rFonts w:hint="cs"/>
          <w:color w:val="000000"/>
          <w:rtl/>
          <w:lang w:bidi="ar-EG"/>
        </w:rPr>
        <w:t xml:space="preserve"> فان المدين يكون ملزماً بتقديم هذا الكفيل ليكفل الدين الذي عليه للدائن</w:t>
      </w:r>
      <w:r>
        <w:rPr>
          <w:rFonts w:hint="cs"/>
          <w:color w:val="000000"/>
          <w:rtl/>
          <w:lang w:bidi="ar-EG"/>
        </w:rPr>
        <w:t xml:space="preserve"> .</w:t>
      </w:r>
      <w:r w:rsidRPr="00315653">
        <w:rPr>
          <w:rFonts w:hint="cs"/>
          <w:color w:val="000000"/>
          <w:rtl/>
          <w:lang w:bidi="ar-EG"/>
        </w:rPr>
        <w:t xml:space="preserve"> ويشترط القانون في الكفيل شرطين</w:t>
      </w:r>
      <w:r>
        <w:rPr>
          <w:rFonts w:hint="cs"/>
          <w:color w:val="000000"/>
          <w:rtl/>
          <w:lang w:bidi="ar-EG"/>
        </w:rPr>
        <w:t xml:space="preserve"> ،</w:t>
      </w:r>
      <w:r w:rsidRPr="00315653">
        <w:rPr>
          <w:rFonts w:hint="cs"/>
          <w:color w:val="000000"/>
          <w:rtl/>
          <w:lang w:bidi="ar-EG"/>
        </w:rPr>
        <w:t xml:space="preserve"> نصت عليهما المادة 774 مدني سالفة الذكر إذ تقول</w:t>
      </w:r>
      <w:r>
        <w:rPr>
          <w:rFonts w:hint="cs"/>
          <w:color w:val="000000"/>
          <w:rtl/>
          <w:lang w:bidi="ar-EG"/>
        </w:rPr>
        <w:t xml:space="preserve"> :</w:t>
      </w:r>
      <w:r w:rsidRPr="00315653">
        <w:rPr>
          <w:rFonts w:hint="cs"/>
          <w:color w:val="000000"/>
          <w:rtl/>
          <w:lang w:bidi="ar-EG"/>
        </w:rPr>
        <w:t xml:space="preserve"> "إذا التزم المدين بتقديم كفيل</w:t>
      </w:r>
      <w:r>
        <w:rPr>
          <w:rFonts w:hint="cs"/>
          <w:color w:val="000000"/>
          <w:rtl/>
          <w:lang w:bidi="ar-EG"/>
        </w:rPr>
        <w:t xml:space="preserve"> ،</w:t>
      </w:r>
      <w:r w:rsidRPr="00315653">
        <w:rPr>
          <w:rFonts w:hint="cs"/>
          <w:color w:val="000000"/>
          <w:rtl/>
          <w:lang w:bidi="ar-EG"/>
        </w:rPr>
        <w:t xml:space="preserve"> وجب أن يقدم شخصاً موسراً ومقيماً في مصر</w:t>
      </w:r>
      <w:r>
        <w:rPr>
          <w:rFonts w:hint="cs"/>
          <w:color w:val="000000"/>
          <w:rtl/>
          <w:lang w:bidi="ar-EG"/>
        </w:rPr>
        <w:t xml:space="preserve"> . . .</w:t>
      </w:r>
      <w:r w:rsidRPr="00315653">
        <w:rPr>
          <w:rFonts w:hint="cs"/>
          <w:color w:val="000000"/>
          <w:rtl/>
          <w:lang w:bidi="ar-EG"/>
        </w:rPr>
        <w:t>"</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6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فالشرطان هما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1</w:t>
      </w:r>
      <w:r w:rsidRPr="00315653">
        <w:rPr>
          <w:color w:val="000000"/>
          <w:rtl/>
          <w:lang w:bidi="ar-EG"/>
        </w:rPr>
        <w:t>–</w:t>
      </w:r>
      <w:r w:rsidRPr="00315653">
        <w:rPr>
          <w:rFonts w:hint="cs"/>
          <w:color w:val="000000"/>
          <w:rtl/>
          <w:lang w:bidi="ar-EG"/>
        </w:rPr>
        <w:t xml:space="preserve"> يسار الكفيل</w:t>
      </w:r>
      <w:r>
        <w:rPr>
          <w:rFonts w:hint="cs"/>
          <w:color w:val="000000"/>
          <w:rtl/>
          <w:lang w:bidi="ar-EG"/>
        </w:rPr>
        <w:t xml:space="preserve"> :</w:t>
      </w:r>
      <w:r w:rsidRPr="00315653">
        <w:rPr>
          <w:rFonts w:hint="cs"/>
          <w:color w:val="000000"/>
          <w:rtl/>
          <w:lang w:bidi="ar-EG"/>
        </w:rPr>
        <w:t xml:space="preserve"> يجب أن يكون الكفيل موسراً</w:t>
      </w:r>
      <w:r>
        <w:rPr>
          <w:rFonts w:hint="cs"/>
          <w:color w:val="000000"/>
          <w:rtl/>
          <w:lang w:bidi="ar-EG"/>
        </w:rPr>
        <w:t xml:space="preserve"> ،</w:t>
      </w:r>
      <w:r w:rsidRPr="00315653">
        <w:rPr>
          <w:rFonts w:hint="cs"/>
          <w:color w:val="000000"/>
          <w:rtl/>
          <w:lang w:bidi="ar-EG"/>
        </w:rPr>
        <w:t xml:space="preserve"> أي قادراً على الوفاء بالدين الذي كفله إذا اقتضت الحالة ذلك</w:t>
      </w:r>
      <w:r>
        <w:rPr>
          <w:rFonts w:hint="cs"/>
          <w:color w:val="000000"/>
          <w:rtl/>
          <w:lang w:bidi="ar-EG"/>
        </w:rPr>
        <w:t xml:space="preserve"> .</w:t>
      </w:r>
      <w:r w:rsidRPr="00315653">
        <w:rPr>
          <w:rFonts w:hint="cs"/>
          <w:color w:val="000000"/>
          <w:rtl/>
          <w:lang w:bidi="ar-EG"/>
        </w:rPr>
        <w:t xml:space="preserve"> والمدين الذي قدم الكفيل هو الذي يحمل عبء إثبات يساره</w:t>
      </w:r>
      <w:r>
        <w:rPr>
          <w:rFonts w:hint="cs"/>
          <w:color w:val="000000"/>
          <w:vertAlign w:val="superscript"/>
          <w:rtl/>
          <w:lang w:bidi="ar-EG"/>
        </w:rPr>
        <w:t xml:space="preserve">( </w:t>
      </w:r>
      <w:r w:rsidRPr="00315653">
        <w:rPr>
          <w:rStyle w:val="ab"/>
          <w:color w:val="000000"/>
          <w:rtl/>
          <w:lang w:bidi="ar-EG"/>
        </w:rPr>
        <w:footnoteReference w:id="6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فيثبت أن للكفيل مالا ولو شائعاً</w:t>
      </w:r>
      <w:r>
        <w:rPr>
          <w:rFonts w:hint="cs"/>
          <w:color w:val="000000"/>
          <w:rtl/>
          <w:lang w:bidi="ar-EG"/>
        </w:rPr>
        <w:t xml:space="preserve"> ،</w:t>
      </w:r>
      <w:r w:rsidRPr="00315653">
        <w:rPr>
          <w:rFonts w:hint="cs"/>
          <w:color w:val="000000"/>
          <w:rtl/>
          <w:lang w:bidi="ar-EG"/>
        </w:rPr>
        <w:t xml:space="preserve"> عقاراً أو منقولا أو كليهما</w:t>
      </w:r>
      <w:r>
        <w:rPr>
          <w:rFonts w:hint="cs"/>
          <w:color w:val="000000"/>
          <w:rtl/>
          <w:lang w:bidi="ar-EG"/>
        </w:rPr>
        <w:t xml:space="preserve"> ،</w:t>
      </w:r>
      <w:r w:rsidRPr="00315653">
        <w:rPr>
          <w:rFonts w:hint="cs"/>
          <w:color w:val="000000"/>
          <w:rtl/>
          <w:lang w:bidi="ar-EG"/>
        </w:rPr>
        <w:t xml:space="preserve"> يستطيع أن يستوفي منه الدائن حقه</w:t>
      </w:r>
      <w:r>
        <w:rPr>
          <w:rFonts w:hint="cs"/>
          <w:color w:val="000000"/>
          <w:rtl/>
          <w:lang w:bidi="ar-EG"/>
        </w:rPr>
        <w:t xml:space="preserve"> .</w:t>
      </w:r>
      <w:r w:rsidRPr="00315653">
        <w:rPr>
          <w:rFonts w:hint="cs"/>
          <w:color w:val="000000"/>
          <w:rtl/>
          <w:lang w:bidi="ar-EG"/>
        </w:rPr>
        <w:t xml:space="preserve"> وللدائن أن يثبت</w:t>
      </w:r>
      <w:r>
        <w:rPr>
          <w:rFonts w:hint="cs"/>
          <w:color w:val="000000"/>
          <w:vertAlign w:val="superscript"/>
          <w:rtl/>
          <w:lang w:bidi="ar-EG"/>
        </w:rPr>
        <w:t xml:space="preserve">( </w:t>
      </w:r>
      <w:r w:rsidRPr="00315653">
        <w:rPr>
          <w:rStyle w:val="ab"/>
          <w:color w:val="000000"/>
          <w:rtl/>
          <w:lang w:bidi="ar-EG"/>
        </w:rPr>
        <w:footnoteReference w:id="63"/>
      </w:r>
      <w:r>
        <w:rPr>
          <w:rFonts w:hint="cs"/>
          <w:color w:val="000000"/>
          <w:vertAlign w:val="superscript"/>
          <w:rtl/>
          <w:lang w:bidi="ar-EG"/>
        </w:rPr>
        <w:t xml:space="preserve"> )</w:t>
      </w:r>
      <w:r w:rsidRPr="00315653">
        <w:rPr>
          <w:rFonts w:hint="cs"/>
          <w:color w:val="000000"/>
          <w:rtl/>
          <w:lang w:bidi="ar-EG"/>
        </w:rPr>
        <w:t xml:space="preserve"> أن هذا المال أو بعضه متنازع فيه أو يصعب التنفيذ عليه لبعده أو لسهولة تهريبه أو سهولة إخفائه أو لأي سبب آخر</w:t>
      </w:r>
      <w:r>
        <w:rPr>
          <w:rFonts w:hint="cs"/>
          <w:color w:val="000000"/>
          <w:rtl/>
          <w:lang w:bidi="ar-EG"/>
        </w:rPr>
        <w:t xml:space="preserve"> ،</w:t>
      </w:r>
      <w:r w:rsidRPr="00315653">
        <w:rPr>
          <w:rFonts w:hint="cs"/>
          <w:color w:val="000000"/>
          <w:rtl/>
          <w:lang w:bidi="ar-EG"/>
        </w:rPr>
        <w:t xml:space="preserve"> فيستبعد من مال الكفيل $32 الذي يضمن المدين</w:t>
      </w:r>
      <w:r>
        <w:rPr>
          <w:rFonts w:hint="cs"/>
          <w:color w:val="000000"/>
          <w:vertAlign w:val="superscript"/>
          <w:rtl/>
          <w:lang w:bidi="ar-EG"/>
        </w:rPr>
        <w:t xml:space="preserve">( </w:t>
      </w:r>
      <w:r w:rsidRPr="00315653">
        <w:rPr>
          <w:rStyle w:val="ab"/>
          <w:color w:val="000000"/>
          <w:rtl/>
          <w:lang w:bidi="ar-EG"/>
        </w:rPr>
        <w:footnoteReference w:id="6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إذا كان </w:t>
      </w:r>
      <w:r w:rsidRPr="00315653">
        <w:rPr>
          <w:rFonts w:hint="cs"/>
          <w:color w:val="000000"/>
          <w:rtl/>
          <w:lang w:bidi="ar-EG"/>
        </w:rPr>
        <w:lastRenderedPageBreak/>
        <w:t>المال مرهوناً أو مثقلا بحق عيني آخر كحق انتفاع</w:t>
      </w:r>
      <w:r>
        <w:rPr>
          <w:rFonts w:hint="cs"/>
          <w:color w:val="000000"/>
          <w:rtl/>
          <w:lang w:bidi="ar-EG"/>
        </w:rPr>
        <w:t xml:space="preserve"> ،</w:t>
      </w:r>
      <w:r w:rsidRPr="00315653">
        <w:rPr>
          <w:rFonts w:hint="cs"/>
          <w:color w:val="000000"/>
          <w:rtl/>
          <w:lang w:bidi="ar-EG"/>
        </w:rPr>
        <w:t xml:space="preserve"> وجب أن يستبعد من قيمته ما ثقل به من رهن أو انتفاع أو غير ذلك</w:t>
      </w:r>
      <w:r>
        <w:rPr>
          <w:rFonts w:hint="cs"/>
          <w:color w:val="000000"/>
          <w:vertAlign w:val="superscript"/>
          <w:rtl/>
          <w:lang w:bidi="ar-EG"/>
        </w:rPr>
        <w:t xml:space="preserve">( </w:t>
      </w:r>
      <w:r w:rsidRPr="00315653">
        <w:rPr>
          <w:rStyle w:val="ab"/>
          <w:color w:val="000000"/>
          <w:rtl/>
          <w:lang w:bidi="ar-EG"/>
        </w:rPr>
        <w:footnoteReference w:id="6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والتقنين المدني الفرنسي </w:t>
      </w:r>
      <w:r>
        <w:rPr>
          <w:rFonts w:hint="cs"/>
          <w:color w:val="000000"/>
          <w:rtl/>
          <w:lang w:bidi="ar-EG"/>
        </w:rPr>
        <w:t xml:space="preserve">( </w:t>
      </w:r>
      <w:r w:rsidRPr="00315653">
        <w:rPr>
          <w:rFonts w:hint="cs"/>
          <w:color w:val="000000"/>
          <w:rtl/>
          <w:lang w:bidi="ar-EG"/>
        </w:rPr>
        <w:t>م 2019</w:t>
      </w:r>
      <w:r>
        <w:rPr>
          <w:rFonts w:hint="cs"/>
          <w:color w:val="000000"/>
          <w:rtl/>
          <w:lang w:bidi="ar-EG"/>
        </w:rPr>
        <w:t xml:space="preserve"> )</w:t>
      </w:r>
      <w:r w:rsidRPr="00315653">
        <w:rPr>
          <w:rFonts w:hint="cs"/>
          <w:color w:val="000000"/>
          <w:rtl/>
          <w:lang w:bidi="ar-EG"/>
        </w:rPr>
        <w:t xml:space="preserve"> يشترط أن يكوم مال الكفيل الذي يثبت يساره عقاراً لا منقولا</w:t>
      </w:r>
      <w:r>
        <w:rPr>
          <w:rFonts w:hint="cs"/>
          <w:color w:val="000000"/>
          <w:rtl/>
          <w:lang w:bidi="ar-EG"/>
        </w:rPr>
        <w:t xml:space="preserve"> ،</w:t>
      </w:r>
      <w:r w:rsidRPr="00315653">
        <w:rPr>
          <w:rFonts w:hint="cs"/>
          <w:color w:val="000000"/>
          <w:rtl/>
          <w:lang w:bidi="ar-EG"/>
        </w:rPr>
        <w:t xml:space="preserve"> ما لم يكن الدين المكفول ديناً تجارياً أو ما لم يقدر قاضي الموضوع أن الدين المكفول دين زهيد </w:t>
      </w:r>
      <w:r>
        <w:rPr>
          <w:color w:val="000000"/>
          <w:rtl/>
          <w:lang w:bidi="ar-EG"/>
        </w:rPr>
        <w:t xml:space="preserve">( </w:t>
      </w:r>
      <w:r w:rsidRPr="00315653">
        <w:rPr>
          <w:color w:val="000000"/>
          <w:lang w:bidi="ar-EG"/>
        </w:rPr>
        <w:t>modique</w:t>
      </w:r>
      <w:r>
        <w:rPr>
          <w:color w:val="000000"/>
          <w:rtl/>
          <w:lang w:bidi="ar-EG"/>
        </w:rPr>
        <w:t xml:space="preserve"> )</w:t>
      </w:r>
      <w:r w:rsidRPr="00315653">
        <w:rPr>
          <w:rFonts w:hint="cs"/>
          <w:color w:val="000000"/>
          <w:rtl/>
        </w:rPr>
        <w:t xml:space="preserve"> فيصح أن يكون مال الكفيل منقولا</w:t>
      </w:r>
      <w:r>
        <w:rPr>
          <w:rFonts w:hint="cs"/>
          <w:color w:val="000000"/>
          <w:vertAlign w:val="superscript"/>
          <w:rtl/>
          <w:lang w:bidi="ar-EG"/>
        </w:rPr>
        <w:t xml:space="preserve">( </w:t>
      </w:r>
      <w:r w:rsidRPr="00315653">
        <w:rPr>
          <w:rStyle w:val="ab"/>
          <w:color w:val="000000"/>
          <w:rtl/>
          <w:lang w:bidi="ar-EG"/>
        </w:rPr>
        <w:footnoteReference w:id="6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ولم يشترط التقنين المصري هذا الشرط</w:t>
      </w:r>
      <w:r>
        <w:rPr>
          <w:rFonts w:hint="cs"/>
          <w:color w:val="000000"/>
          <w:rtl/>
          <w:lang w:bidi="ar-EG"/>
        </w:rPr>
        <w:t xml:space="preserve"> ،</w:t>
      </w:r>
      <w:r w:rsidRPr="00315653">
        <w:rPr>
          <w:rFonts w:hint="cs"/>
          <w:color w:val="000000"/>
          <w:rtl/>
          <w:lang w:bidi="ar-EG"/>
        </w:rPr>
        <w:t xml:space="preserve"> وخيراً فعل</w:t>
      </w:r>
      <w:r>
        <w:rPr>
          <w:rFonts w:hint="cs"/>
          <w:color w:val="000000"/>
          <w:rtl/>
          <w:lang w:bidi="ar-EG"/>
        </w:rPr>
        <w:t xml:space="preserve"> ،</w:t>
      </w:r>
      <w:r w:rsidRPr="00315653">
        <w:rPr>
          <w:rFonts w:hint="cs"/>
          <w:color w:val="000000"/>
          <w:rtl/>
          <w:lang w:bidi="ar-EG"/>
        </w:rPr>
        <w:t xml:space="preserve"> فيصح أن يكون مال الكفيل منقولا</w:t>
      </w:r>
      <w:r>
        <w:rPr>
          <w:rFonts w:hint="cs"/>
          <w:color w:val="000000"/>
          <w:rtl/>
          <w:lang w:bidi="ar-EG"/>
        </w:rPr>
        <w:t xml:space="preserve"> ،</w:t>
      </w:r>
      <w:r w:rsidRPr="00315653">
        <w:rPr>
          <w:rFonts w:hint="cs"/>
          <w:color w:val="000000"/>
          <w:rtl/>
          <w:lang w:bidi="ar-EG"/>
        </w:rPr>
        <w:t xml:space="preserve"> كأن يكون أسهماً أو سندات أو قيماً منقولة أخرى أو منقولا ذا قيمة مجوهرات أو حلي أو غير ذلك</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2- إقامة الكفيل في مصر</w:t>
      </w:r>
      <w:r>
        <w:rPr>
          <w:rFonts w:hint="cs"/>
          <w:color w:val="000000"/>
          <w:rtl/>
        </w:rPr>
        <w:t xml:space="preserve"> :</w:t>
      </w:r>
      <w:r w:rsidRPr="00315653">
        <w:rPr>
          <w:rFonts w:hint="cs"/>
          <w:color w:val="000000"/>
          <w:rtl/>
        </w:rPr>
        <w:t xml:space="preserve"> والشرط الثاني في الكفيل أن يكون مقيماً في مصر</w:t>
      </w:r>
      <w:r>
        <w:rPr>
          <w:rFonts w:hint="cs"/>
          <w:color w:val="000000"/>
          <w:rtl/>
        </w:rPr>
        <w:t xml:space="preserve"> ،</w:t>
      </w:r>
      <w:r w:rsidRPr="00315653">
        <w:rPr>
          <w:rFonts w:hint="cs"/>
          <w:color w:val="000000"/>
          <w:rtl/>
        </w:rPr>
        <w:t xml:space="preserve"> حتى تسهل مقاضاته عند الاقتضاء</w:t>
      </w:r>
      <w:r>
        <w:rPr>
          <w:rFonts w:hint="cs"/>
          <w:color w:val="000000"/>
          <w:rtl/>
        </w:rPr>
        <w:t xml:space="preserve"> .</w:t>
      </w:r>
      <w:r w:rsidRPr="00315653">
        <w:rPr>
          <w:rFonts w:hint="cs"/>
          <w:color w:val="000000"/>
          <w:rtl/>
        </w:rPr>
        <w:t xml:space="preserve"> وليس يلزم أن يكون مقيماً في موطن المدين كما يشترط التقنين المدني الفرنسي</w:t>
      </w:r>
      <w:r>
        <w:rPr>
          <w:rFonts w:hint="cs"/>
          <w:color w:val="000000"/>
          <w:vertAlign w:val="superscript"/>
          <w:rtl/>
          <w:lang w:bidi="ar-EG"/>
        </w:rPr>
        <w:t xml:space="preserve">( </w:t>
      </w:r>
      <w:r w:rsidRPr="00315653">
        <w:rPr>
          <w:rStyle w:val="ab"/>
          <w:color w:val="000000"/>
          <w:rtl/>
          <w:lang w:bidi="ar-EG"/>
        </w:rPr>
        <w:footnoteReference w:id="6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بل يكفي أن يكون مقيماً في أي مكان في مصر</w:t>
      </w:r>
      <w:r>
        <w:rPr>
          <w:rFonts w:hint="cs"/>
          <w:color w:val="000000"/>
          <w:vertAlign w:val="superscript"/>
          <w:rtl/>
          <w:lang w:bidi="ar-EG"/>
        </w:rPr>
        <w:t xml:space="preserve">( </w:t>
      </w:r>
      <w:r w:rsidRPr="00315653">
        <w:rPr>
          <w:rStyle w:val="ab"/>
          <w:color w:val="000000"/>
          <w:rtl/>
          <w:lang w:bidi="ar-EG"/>
        </w:rPr>
        <w:footnoteReference w:id="6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وشرط إقامة الكفيل في مصر كاف</w:t>
      </w:r>
      <w:r>
        <w:rPr>
          <w:rFonts w:hint="cs"/>
          <w:color w:val="000000"/>
          <w:rtl/>
          <w:lang w:bidi="ar-EG"/>
        </w:rPr>
        <w:t xml:space="preserve"> ،</w:t>
      </w:r>
      <w:r w:rsidRPr="00315653">
        <w:rPr>
          <w:rFonts w:hint="cs"/>
          <w:color w:val="000000"/>
          <w:rtl/>
          <w:lang w:bidi="ar-EG"/>
        </w:rPr>
        <w:t xml:space="preserve"> ولا يشترط بعد ذلك أن يكون الكفيل مصري الجنسية بل يصح أن يكون أجنبياً ما دام مقيماً في مصر</w:t>
      </w:r>
      <w:r>
        <w:rPr>
          <w:rFonts w:hint="cs"/>
          <w:color w:val="000000"/>
          <w:rtl/>
          <w:lang w:bidi="ar-EG"/>
        </w:rPr>
        <w:t xml:space="preserve"> .</w:t>
      </w:r>
      <w:r w:rsidRPr="00315653">
        <w:rPr>
          <w:rFonts w:hint="cs"/>
          <w:color w:val="000000"/>
          <w:rtl/>
          <w:lang w:bidi="ar-EG"/>
        </w:rPr>
        <w:t xml:space="preserve"> كما لا يشترط في الكفيل أن يظنن متوافراً $33</w:t>
      </w:r>
      <w:r w:rsidRPr="00315653">
        <w:rPr>
          <w:rFonts w:hint="cs"/>
          <w:color w:val="000000"/>
          <w:rtl/>
        </w:rPr>
        <w:t xml:space="preserve"> على حسن السمعة أو عدم الميل إلى الخصومة والتقاضي</w:t>
      </w:r>
      <w:r>
        <w:rPr>
          <w:rFonts w:hint="cs"/>
          <w:color w:val="000000"/>
          <w:vertAlign w:val="superscript"/>
          <w:rtl/>
          <w:lang w:bidi="ar-EG"/>
        </w:rPr>
        <w:t xml:space="preserve">( </w:t>
      </w:r>
      <w:r w:rsidRPr="00315653">
        <w:rPr>
          <w:rStyle w:val="ab"/>
          <w:color w:val="000000"/>
          <w:rtl/>
          <w:lang w:bidi="ar-EG"/>
        </w:rPr>
        <w:footnoteReference w:id="6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ما لم يتفق المدين الملتزم بتقديم الكفيل مع الدائن على ذلك إذا كان مصدر الالتزام هو الاتفاق</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فإذا توافر في الشخص هذان الشرطان</w:t>
      </w:r>
      <w:r>
        <w:rPr>
          <w:rFonts w:hint="cs"/>
          <w:color w:val="000000"/>
          <w:rtl/>
          <w:lang w:bidi="ar-EG"/>
        </w:rPr>
        <w:t xml:space="preserve"> ،</w:t>
      </w:r>
      <w:r w:rsidRPr="00315653">
        <w:rPr>
          <w:rFonts w:hint="cs"/>
          <w:color w:val="000000"/>
          <w:rtl/>
          <w:lang w:bidi="ar-EG"/>
        </w:rPr>
        <w:t xml:space="preserve"> صح للمدين تقديمه كفيلا</w:t>
      </w:r>
      <w:r>
        <w:rPr>
          <w:rFonts w:hint="cs"/>
          <w:color w:val="000000"/>
          <w:rtl/>
          <w:lang w:bidi="ar-EG"/>
        </w:rPr>
        <w:t xml:space="preserve"> .</w:t>
      </w:r>
      <w:r w:rsidRPr="00315653">
        <w:rPr>
          <w:rFonts w:hint="cs"/>
          <w:color w:val="000000"/>
          <w:rtl/>
          <w:lang w:bidi="ar-EG"/>
        </w:rPr>
        <w:t xml:space="preserve"> ويجب أن يستمر الكفيل متوافراً على هذين الشرطين ما دامت الكفالة قائمة</w:t>
      </w:r>
      <w:r>
        <w:rPr>
          <w:rFonts w:hint="cs"/>
          <w:color w:val="000000"/>
          <w:rtl/>
          <w:lang w:bidi="ar-EG"/>
        </w:rPr>
        <w:t xml:space="preserve"> ،</w:t>
      </w:r>
      <w:r w:rsidRPr="00315653">
        <w:rPr>
          <w:rFonts w:hint="cs"/>
          <w:color w:val="000000"/>
          <w:rtl/>
          <w:lang w:bidi="ar-EG"/>
        </w:rPr>
        <w:t xml:space="preserve"> فإذا تخلف كلا الشرطين أو شرط منهما بعد تقديم الكفيل وفي المدة التي تبقى فيها الكفالة قائمة</w:t>
      </w:r>
      <w:r>
        <w:rPr>
          <w:rFonts w:hint="cs"/>
          <w:color w:val="000000"/>
          <w:rtl/>
          <w:lang w:bidi="ar-EG"/>
        </w:rPr>
        <w:t xml:space="preserve"> ،</w:t>
      </w:r>
      <w:r w:rsidRPr="00315653">
        <w:rPr>
          <w:rFonts w:hint="cs"/>
          <w:color w:val="000000"/>
          <w:rtl/>
          <w:lang w:bidi="ar-EG"/>
        </w:rPr>
        <w:t xml:space="preserve"> بأن أعسر الكفيل بعد يسار أو نقل محل إقامته خارج مصر</w:t>
      </w:r>
      <w:r>
        <w:rPr>
          <w:rFonts w:hint="cs"/>
          <w:color w:val="000000"/>
          <w:rtl/>
          <w:lang w:bidi="ar-EG"/>
        </w:rPr>
        <w:t xml:space="preserve"> ،</w:t>
      </w:r>
      <w:r w:rsidRPr="00315653">
        <w:rPr>
          <w:rFonts w:hint="cs"/>
          <w:color w:val="000000"/>
          <w:rtl/>
          <w:lang w:bidi="ar-EG"/>
        </w:rPr>
        <w:t xml:space="preserve"> وجب على المدين تقديم كفيل آخر يحل محله ويكون هذان الشرطان متوافرين فيه</w:t>
      </w:r>
      <w:r>
        <w:rPr>
          <w:rFonts w:hint="cs"/>
          <w:color w:val="000000"/>
          <w:rtl/>
          <w:lang w:bidi="ar-EG"/>
        </w:rPr>
        <w:t xml:space="preserve"> .</w:t>
      </w:r>
      <w:r w:rsidRPr="00315653">
        <w:rPr>
          <w:rFonts w:hint="cs"/>
          <w:color w:val="000000"/>
          <w:rtl/>
          <w:lang w:bidi="ar-EG"/>
        </w:rPr>
        <w:t xml:space="preserve"> ويستثنى من ذلك</w:t>
      </w:r>
      <w:r>
        <w:rPr>
          <w:rFonts w:hint="cs"/>
          <w:color w:val="000000"/>
          <w:rtl/>
          <w:lang w:bidi="ar-EG"/>
        </w:rPr>
        <w:t xml:space="preserve"> ،</w:t>
      </w:r>
      <w:r w:rsidRPr="00315653">
        <w:rPr>
          <w:rFonts w:hint="cs"/>
          <w:color w:val="000000"/>
          <w:rtl/>
          <w:lang w:bidi="ar-EG"/>
        </w:rPr>
        <w:t xml:space="preserve"> فلا يجب على المدين تقديم كفيل آخر</w:t>
      </w:r>
      <w:r>
        <w:rPr>
          <w:rFonts w:hint="cs"/>
          <w:color w:val="000000"/>
          <w:rtl/>
          <w:lang w:bidi="ar-EG"/>
        </w:rPr>
        <w:t xml:space="preserve"> ،</w:t>
      </w:r>
      <w:r w:rsidRPr="00315653">
        <w:rPr>
          <w:rFonts w:hint="cs"/>
          <w:color w:val="000000"/>
          <w:rtl/>
          <w:lang w:bidi="ar-EG"/>
        </w:rPr>
        <w:t xml:space="preserve"> حالة ما إذا كان الدائن قد اشترط شخصاً ميعناً لكفالة الدين</w:t>
      </w:r>
      <w:r>
        <w:rPr>
          <w:rFonts w:hint="cs"/>
          <w:color w:val="000000"/>
          <w:rtl/>
          <w:lang w:bidi="ar-EG"/>
        </w:rPr>
        <w:t xml:space="preserve"> .</w:t>
      </w:r>
      <w:r w:rsidRPr="00315653">
        <w:rPr>
          <w:rFonts w:hint="cs"/>
          <w:color w:val="000000"/>
          <w:rtl/>
          <w:lang w:bidi="ar-EG"/>
        </w:rPr>
        <w:t xml:space="preserve"> ففي هذه الحالة يكون الدائن هو الذي طلب شخصاً معيناً لكفالة حقه فقدمه المدين</w:t>
      </w:r>
      <w:r>
        <w:rPr>
          <w:rFonts w:hint="cs"/>
          <w:color w:val="000000"/>
          <w:rtl/>
          <w:lang w:bidi="ar-EG"/>
        </w:rPr>
        <w:t xml:space="preserve"> ،</w:t>
      </w:r>
      <w:r w:rsidRPr="00315653">
        <w:rPr>
          <w:rFonts w:hint="cs"/>
          <w:color w:val="000000"/>
          <w:rtl/>
          <w:lang w:bidi="ar-EG"/>
        </w:rPr>
        <w:t xml:space="preserve"> فلا يلتزم هذا الأخير بتقديم شخص آخر يحل محله إذا أصبح الشخص الذي طلبه الدائن بالذات غير متوافر على الشروط الواجبة</w:t>
      </w:r>
      <w:r>
        <w:rPr>
          <w:rFonts w:hint="cs"/>
          <w:color w:val="000000"/>
          <w:vertAlign w:val="superscript"/>
          <w:rtl/>
          <w:lang w:bidi="ar-EG"/>
        </w:rPr>
        <w:t xml:space="preserve">( </w:t>
      </w:r>
      <w:r w:rsidRPr="00315653">
        <w:rPr>
          <w:rStyle w:val="ab"/>
          <w:color w:val="000000"/>
          <w:rtl/>
          <w:lang w:bidi="ar-EG"/>
        </w:rPr>
        <w:footnoteReference w:id="7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sidRPr="00315653">
        <w:rPr>
          <w:rFonts w:hint="cs"/>
          <w:color w:val="000000"/>
          <w:rtl/>
          <w:lang w:bidi="ar-EG"/>
        </w:rPr>
        <w:lastRenderedPageBreak/>
        <w:t>وإذا عسر الكفيل إعساراً $34</w:t>
      </w:r>
      <w:r w:rsidRPr="00315653">
        <w:rPr>
          <w:rFonts w:hint="cs"/>
          <w:color w:val="000000"/>
          <w:rtl/>
        </w:rPr>
        <w:t xml:space="preserve"> جزئياً</w:t>
      </w:r>
      <w:r>
        <w:rPr>
          <w:rFonts w:hint="cs"/>
          <w:color w:val="000000"/>
          <w:rtl/>
        </w:rPr>
        <w:t xml:space="preserve"> ،</w:t>
      </w:r>
      <w:r w:rsidRPr="00315653">
        <w:rPr>
          <w:rFonts w:hint="cs"/>
          <w:color w:val="000000"/>
          <w:rtl/>
        </w:rPr>
        <w:t xml:space="preserve"> جاز للدائن أن يطالب بكفالة أخرى تكمل الكفيل الأول</w:t>
      </w:r>
      <w:r>
        <w:rPr>
          <w:rFonts w:hint="cs"/>
          <w:color w:val="000000"/>
          <w:rtl/>
        </w:rPr>
        <w:t xml:space="preserve"> .</w:t>
      </w:r>
      <w:r w:rsidRPr="00315653">
        <w:rPr>
          <w:rFonts w:hint="cs"/>
          <w:color w:val="000000"/>
          <w:rtl/>
        </w:rPr>
        <w:t xml:space="preserve"> وتقديم كفيل آخر أو استكمال كفالة الكفيل الأول واجب أيضاً فيما إذا اعتقد الدائن خطأ أن الكفيل مليء</w:t>
      </w:r>
      <w:r>
        <w:rPr>
          <w:rFonts w:hint="cs"/>
          <w:color w:val="000000"/>
          <w:rtl/>
        </w:rPr>
        <w:t xml:space="preserve"> ،</w:t>
      </w:r>
      <w:r w:rsidRPr="00315653">
        <w:rPr>
          <w:rFonts w:hint="cs"/>
          <w:color w:val="000000"/>
          <w:rtl/>
        </w:rPr>
        <w:t xml:space="preserve"> ولم يكن هذا مليئاً منذ البداية</w:t>
      </w:r>
      <w:r>
        <w:rPr>
          <w:rFonts w:hint="cs"/>
          <w:color w:val="000000"/>
          <w:vertAlign w:val="superscript"/>
          <w:rtl/>
          <w:lang w:bidi="ar-EG"/>
        </w:rPr>
        <w:t xml:space="preserve">( </w:t>
      </w:r>
      <w:r w:rsidRPr="00315653">
        <w:rPr>
          <w:rStyle w:val="ab"/>
          <w:color w:val="000000"/>
          <w:rtl/>
          <w:lang w:bidi="ar-EG"/>
        </w:rPr>
        <w:footnoteReference w:id="7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ولا يكون المدين ملزماً بتقديم كفيل آخر إذا مات الكفيل الأول الذي قدمه لأن التزام هذا الأخير يبقى في تركته</w:t>
      </w:r>
      <w:r>
        <w:rPr>
          <w:rFonts w:hint="cs"/>
          <w:color w:val="000000"/>
          <w:vertAlign w:val="superscript"/>
          <w:rtl/>
          <w:lang w:bidi="ar-EG"/>
        </w:rPr>
        <w:t xml:space="preserve">( </w:t>
      </w:r>
      <w:r w:rsidRPr="00315653">
        <w:rPr>
          <w:rStyle w:val="ab"/>
          <w:color w:val="000000"/>
          <w:rtl/>
          <w:lang w:bidi="ar-EG"/>
        </w:rPr>
        <w:footnoteReference w:id="7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وكذلك لا يكون المدين ملزماً بتقديم كفيل آخر إذا اتحدت ذمة المدين وذمة الكفيل</w:t>
      </w:r>
      <w:r>
        <w:rPr>
          <w:rFonts w:hint="cs"/>
          <w:color w:val="000000"/>
          <w:rtl/>
          <w:lang w:bidi="ar-EG"/>
        </w:rPr>
        <w:t xml:space="preserve"> ،</w:t>
      </w:r>
      <w:r w:rsidRPr="00315653">
        <w:rPr>
          <w:rFonts w:hint="cs"/>
          <w:color w:val="000000"/>
          <w:rtl/>
          <w:lang w:bidi="ar-EG"/>
        </w:rPr>
        <w:t xml:space="preserve"> ما دام مال كل من الاثنين قد انضم إلى مال الآخر وأصبح المالان خاضعين لحق الدائن</w:t>
      </w:r>
      <w:r>
        <w:rPr>
          <w:rFonts w:hint="cs"/>
          <w:color w:val="000000"/>
          <w:vertAlign w:val="superscript"/>
          <w:rtl/>
          <w:lang w:bidi="ar-EG"/>
        </w:rPr>
        <w:t xml:space="preserve">( </w:t>
      </w:r>
      <w:r w:rsidRPr="00315653">
        <w:rPr>
          <w:rStyle w:val="ab"/>
          <w:color w:val="000000"/>
          <w:rtl/>
          <w:lang w:bidi="ar-EG"/>
        </w:rPr>
        <w:footnoteReference w:id="7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وتقول المادة 774 مدني سالفة الذكر أن للمدين "أن يقدم عوضاً عن الكفيل تأميناً عينياً كافياً"</w:t>
      </w:r>
      <w:r>
        <w:rPr>
          <w:rFonts w:hint="cs"/>
          <w:color w:val="000000"/>
          <w:rtl/>
        </w:rPr>
        <w:t xml:space="preserve"> .</w:t>
      </w:r>
      <w:r w:rsidRPr="00315653">
        <w:rPr>
          <w:rFonts w:hint="cs"/>
          <w:color w:val="000000"/>
          <w:rtl/>
        </w:rPr>
        <w:t xml:space="preserve"> ويخلص من ذلك أن المدين</w:t>
      </w:r>
      <w:r>
        <w:rPr>
          <w:rFonts w:hint="cs"/>
          <w:color w:val="000000"/>
          <w:rtl/>
        </w:rPr>
        <w:t xml:space="preserve"> ،</w:t>
      </w:r>
      <w:r w:rsidRPr="00315653">
        <w:rPr>
          <w:rFonts w:hint="cs"/>
          <w:color w:val="000000"/>
          <w:rtl/>
        </w:rPr>
        <w:t xml:space="preserve"> إذا كان ملتزماً بموجب القانون أو القضاء أو الاتفاق</w:t>
      </w:r>
      <w:r>
        <w:rPr>
          <w:rFonts w:hint="cs"/>
          <w:color w:val="000000"/>
          <w:rtl/>
        </w:rPr>
        <w:t xml:space="preserve"> ،</w:t>
      </w:r>
      <w:r w:rsidRPr="00315653">
        <w:rPr>
          <w:rFonts w:hint="cs"/>
          <w:color w:val="000000"/>
          <w:rtl/>
        </w:rPr>
        <w:t xml:space="preserve"> بتقديم كفيل لدائنه</w:t>
      </w:r>
      <w:r>
        <w:rPr>
          <w:rFonts w:hint="cs"/>
          <w:color w:val="000000"/>
          <w:rtl/>
        </w:rPr>
        <w:t xml:space="preserve"> ،</w:t>
      </w:r>
      <w:r w:rsidRPr="00315653">
        <w:rPr>
          <w:rFonts w:hint="cs"/>
          <w:color w:val="000000"/>
          <w:rtl/>
        </w:rPr>
        <w:t xml:space="preserve"> فان له أن يقدم عوضاً عن الكفيل تأمينا عنياً كافياً</w:t>
      </w:r>
      <w:r>
        <w:rPr>
          <w:rFonts w:hint="cs"/>
          <w:color w:val="000000"/>
          <w:rtl/>
        </w:rPr>
        <w:t xml:space="preserve"> ،</w:t>
      </w:r>
      <w:r w:rsidRPr="00315653">
        <w:rPr>
          <w:rFonts w:hint="cs"/>
          <w:color w:val="000000"/>
          <w:rtl/>
        </w:rPr>
        <w:t xml:space="preserve"> كرهن رسمي أو رهن حيازي</w:t>
      </w:r>
      <w:r>
        <w:rPr>
          <w:rFonts w:hint="cs"/>
          <w:color w:val="000000"/>
          <w:rtl/>
        </w:rPr>
        <w:t xml:space="preserve"> .</w:t>
      </w:r>
      <w:r w:rsidRPr="00315653">
        <w:rPr>
          <w:rFonts w:hint="cs"/>
          <w:color w:val="000000"/>
          <w:rtl/>
        </w:rPr>
        <w:t xml:space="preserve"> فيستطيع المدين أن يرهن رهناً حيازياً تأميناً للدين مجوهرات أو حلياً أو نقوداً أو منقولات أخرى ذات قيمة</w:t>
      </w:r>
      <w:r>
        <w:rPr>
          <w:rFonts w:hint="cs"/>
          <w:color w:val="000000"/>
          <w:rtl/>
        </w:rPr>
        <w:t xml:space="preserve"> ،</w:t>
      </w:r>
      <w:r w:rsidRPr="00315653">
        <w:rPr>
          <w:rFonts w:hint="cs"/>
          <w:color w:val="000000"/>
          <w:rtl/>
        </w:rPr>
        <w:t xml:space="preserve"> كما يستطيع أن يرهن قيما منقولة لحاملها عن طريق التسليم المادي</w:t>
      </w:r>
      <w:r>
        <w:rPr>
          <w:rFonts w:hint="cs"/>
          <w:color w:val="000000"/>
          <w:rtl/>
        </w:rPr>
        <w:t xml:space="preserve"> ،</w:t>
      </w:r>
      <w:r w:rsidRPr="00315653">
        <w:rPr>
          <w:rFonts w:hint="cs"/>
          <w:color w:val="000000"/>
          <w:rtl/>
        </w:rPr>
        <w:t xml:space="preserve"> أو قيماً منقولة اسمية عن طريق التحويل</w:t>
      </w:r>
      <w:r>
        <w:rPr>
          <w:rFonts w:hint="cs"/>
          <w:color w:val="000000"/>
          <w:rtl/>
        </w:rPr>
        <w:t xml:space="preserve"> ،</w:t>
      </w:r>
      <w:r w:rsidRPr="00315653">
        <w:rPr>
          <w:rFonts w:hint="cs"/>
          <w:color w:val="000000"/>
          <w:rtl/>
        </w:rPr>
        <w:t xml:space="preserve"> أو قيماً منقولة إذ1نية عن طريق التظهير</w:t>
      </w:r>
      <w:r>
        <w:rPr>
          <w:rFonts w:hint="cs"/>
          <w:color w:val="000000"/>
          <w:rtl/>
        </w:rPr>
        <w:t xml:space="preserve"> .</w:t>
      </w:r>
      <w:r w:rsidRPr="00315653">
        <w:rPr>
          <w:rFonts w:hint="cs"/>
          <w:color w:val="000000"/>
          <w:rtl/>
        </w:rPr>
        <w:t xml:space="preserve"> ويستطيع المدين كذلك أن يرهن لتأمين دينه</w:t>
      </w:r>
      <w:r>
        <w:rPr>
          <w:rFonts w:hint="cs"/>
          <w:color w:val="000000"/>
          <w:rtl/>
        </w:rPr>
        <w:t xml:space="preserve"> ،</w:t>
      </w:r>
      <w:r w:rsidRPr="00315653">
        <w:rPr>
          <w:rFonts w:hint="cs"/>
          <w:color w:val="000000"/>
          <w:rtl/>
        </w:rPr>
        <w:t xml:space="preserve"> بدلا من الكفالة الشخصية</w:t>
      </w:r>
      <w:r>
        <w:rPr>
          <w:rFonts w:hint="cs"/>
          <w:color w:val="000000"/>
          <w:rtl/>
        </w:rPr>
        <w:t xml:space="preserve"> ،</w:t>
      </w:r>
      <w:r w:rsidRPr="00315653">
        <w:rPr>
          <w:rFonts w:hint="cs"/>
          <w:color w:val="000000"/>
          <w:rtl/>
        </w:rPr>
        <w:t xml:space="preserve"> عقاراً</w:t>
      </w:r>
      <w:r>
        <w:rPr>
          <w:rFonts w:hint="cs"/>
          <w:color w:val="000000"/>
          <w:rtl/>
        </w:rPr>
        <w:t xml:space="preserve"> ،</w:t>
      </w:r>
      <w:r w:rsidRPr="00315653">
        <w:rPr>
          <w:rFonts w:hint="cs"/>
          <w:color w:val="000000"/>
          <w:rtl/>
        </w:rPr>
        <w:t xml:space="preserve"> إما رهناً رسمياً أو رهناً حيازياً</w:t>
      </w:r>
      <w:r>
        <w:rPr>
          <w:rFonts w:hint="cs"/>
          <w:color w:val="000000"/>
          <w:vertAlign w:val="superscript"/>
          <w:rtl/>
          <w:lang w:bidi="ar-EG"/>
        </w:rPr>
        <w:t xml:space="preserve">( </w:t>
      </w:r>
      <w:r w:rsidRPr="00315653">
        <w:rPr>
          <w:rStyle w:val="ab"/>
          <w:color w:val="000000"/>
          <w:rtl/>
          <w:lang w:bidi="ar-EG"/>
        </w:rPr>
        <w:footnoteReference w:id="7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$35 ولا شيء يمنع من أن يكون التأمين العيني الكافي</w:t>
      </w:r>
      <w:r>
        <w:rPr>
          <w:rFonts w:hint="cs"/>
          <w:color w:val="000000"/>
          <w:rtl/>
          <w:lang w:bidi="ar-EG"/>
        </w:rPr>
        <w:t xml:space="preserve"> ،</w:t>
      </w:r>
      <w:r w:rsidRPr="00315653">
        <w:rPr>
          <w:rFonts w:hint="cs"/>
          <w:color w:val="000000"/>
          <w:rtl/>
          <w:lang w:bidi="ar-EG"/>
        </w:rPr>
        <w:t xml:space="preserve"> الذي </w:t>
      </w:r>
      <w:r w:rsidRPr="00315653">
        <w:rPr>
          <w:rFonts w:hint="cs"/>
          <w:color w:val="000000"/>
          <w:rtl/>
          <w:lang w:bidi="ar-EG"/>
        </w:rPr>
        <w:lastRenderedPageBreak/>
        <w:t>يحل محل الكفيل الشخصي</w:t>
      </w:r>
      <w:r>
        <w:rPr>
          <w:rFonts w:hint="cs"/>
          <w:color w:val="000000"/>
          <w:rtl/>
          <w:lang w:bidi="ar-EG"/>
        </w:rPr>
        <w:t xml:space="preserve"> ،</w:t>
      </w:r>
      <w:r w:rsidRPr="00315653">
        <w:rPr>
          <w:rFonts w:hint="cs"/>
          <w:color w:val="000000"/>
          <w:rtl/>
          <w:lang w:bidi="ar-EG"/>
        </w:rPr>
        <w:t xml:space="preserve"> مترتباً على مال الغير برضاء هذا الغير</w:t>
      </w:r>
      <w:r>
        <w:rPr>
          <w:rFonts w:hint="cs"/>
          <w:color w:val="000000"/>
          <w:vertAlign w:val="superscript"/>
          <w:rtl/>
          <w:lang w:bidi="ar-EG"/>
        </w:rPr>
        <w:t xml:space="preserve">( </w:t>
      </w:r>
      <w:r w:rsidRPr="00315653">
        <w:rPr>
          <w:rStyle w:val="ab"/>
          <w:color w:val="000000"/>
          <w:rtl/>
          <w:lang w:bidi="ar-EG"/>
        </w:rPr>
        <w:footnoteReference w:id="7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يجوز أن يستكمل المدين يسار الكفيل غير الكافي بتأمين عيني</w:t>
      </w:r>
      <w:r>
        <w:rPr>
          <w:rFonts w:hint="cs"/>
          <w:color w:val="000000"/>
          <w:rtl/>
          <w:lang w:bidi="ar-EG"/>
        </w:rPr>
        <w:t xml:space="preserve"> ،</w:t>
      </w:r>
      <w:r w:rsidRPr="00315653">
        <w:rPr>
          <w:rFonts w:hint="cs"/>
          <w:color w:val="000000"/>
          <w:rtl/>
          <w:lang w:bidi="ar-EG"/>
        </w:rPr>
        <w:t xml:space="preserve"> فيخلص من الكفالة الشخصية والتأمين العيني تأمين كاف للدين</w:t>
      </w:r>
      <w:r>
        <w:rPr>
          <w:rFonts w:hint="cs"/>
          <w:color w:val="000000"/>
          <w:vertAlign w:val="superscript"/>
          <w:rtl/>
          <w:lang w:bidi="ar-EG"/>
        </w:rPr>
        <w:t xml:space="preserve">( </w:t>
      </w:r>
      <w:r w:rsidRPr="00315653">
        <w:rPr>
          <w:rStyle w:val="ab"/>
          <w:color w:val="000000"/>
          <w:rtl/>
          <w:lang w:bidi="ar-EG"/>
        </w:rPr>
        <w:footnoteReference w:id="7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هذا وقد وردت في تقنين المرافعات نصوص خاصة بتقديم الكفالة في حالة الكفالة القانونية والكفالة القضائية</w:t>
      </w:r>
      <w:r>
        <w:rPr>
          <w:rFonts w:hint="cs"/>
          <w:color w:val="000000"/>
          <w:rtl/>
          <w:lang w:bidi="ar-EG"/>
        </w:rPr>
        <w:t xml:space="preserve"> ،</w:t>
      </w:r>
      <w:r w:rsidRPr="00315653">
        <w:rPr>
          <w:rFonts w:hint="cs"/>
          <w:color w:val="000000"/>
          <w:rtl/>
          <w:lang w:bidi="ar-EG"/>
        </w:rPr>
        <w:t xml:space="preserve"> فيجب تطبيق هذه النصوص في الدائرة المرسومة لها</w:t>
      </w:r>
      <w:r>
        <w:rPr>
          <w:rFonts w:hint="cs"/>
          <w:color w:val="000000"/>
          <w:rtl/>
          <w:lang w:bidi="ar-EG"/>
        </w:rPr>
        <w:t xml:space="preserve"> .</w:t>
      </w:r>
      <w:r w:rsidRPr="00315653">
        <w:rPr>
          <w:rFonts w:hint="cs"/>
          <w:color w:val="000000"/>
          <w:rtl/>
          <w:lang w:bidi="ar-EG"/>
        </w:rPr>
        <w:t xml:space="preserve"> وقد نصت المادة 475 مرافعات في هذا الشأن على أنه "في الأحوال التي لا يجوز فيها تنفيذ الحكم أو الأمر إلا بكفالة</w:t>
      </w:r>
      <w:r>
        <w:rPr>
          <w:rFonts w:hint="cs"/>
          <w:color w:val="000000"/>
          <w:rtl/>
          <w:lang w:bidi="ar-EG"/>
        </w:rPr>
        <w:t xml:space="preserve"> ،</w:t>
      </w:r>
      <w:r w:rsidRPr="00315653">
        <w:rPr>
          <w:rFonts w:hint="cs"/>
          <w:color w:val="000000"/>
          <w:rtl/>
          <w:lang w:bidi="ar-EG"/>
        </w:rPr>
        <w:t xml:space="preserve"> يكون للملتزم بها الخيار بين أن يقدم كفيلا مقتدراً أو أن يودع خزانة المحكمة من النقود أو الأوراق المالية ما فيه الكفاية</w:t>
      </w:r>
      <w:r>
        <w:rPr>
          <w:rFonts w:hint="cs"/>
          <w:color w:val="000000"/>
          <w:rtl/>
          <w:lang w:bidi="ar-EG"/>
        </w:rPr>
        <w:t xml:space="preserve"> ،</w:t>
      </w:r>
      <w:r w:rsidRPr="00315653">
        <w:rPr>
          <w:rFonts w:hint="cs"/>
          <w:color w:val="000000"/>
          <w:rtl/>
          <w:lang w:bidi="ar-EG"/>
        </w:rPr>
        <w:t xml:space="preserve"> وبين أن يقبل إيداع ما يحصل من التنفيذ خزانة المحكمة أو تسليم الشيء المأمور بتسليمه في الحكم أو الأمر إلى حارس مقتدر"</w:t>
      </w:r>
      <w:r>
        <w:rPr>
          <w:rFonts w:hint="cs"/>
          <w:color w:val="000000"/>
          <w:rtl/>
          <w:lang w:bidi="ar-EG"/>
        </w:rPr>
        <w:t xml:space="preserve"> .</w:t>
      </w:r>
      <w:r w:rsidRPr="00315653">
        <w:rPr>
          <w:rFonts w:hint="cs"/>
          <w:color w:val="000000"/>
          <w:rtl/>
          <w:lang w:bidi="ar-EG"/>
        </w:rPr>
        <w:t xml:space="preserve"> ونصت المادة 476 مرافعات على أن "يكون إعلان خيار الملزم بالكفالة إما على يد محضر بورقة مستقلة</w:t>
      </w:r>
      <w:r>
        <w:rPr>
          <w:rFonts w:hint="cs"/>
          <w:color w:val="000000"/>
          <w:rtl/>
          <w:lang w:bidi="ar-EG"/>
        </w:rPr>
        <w:t xml:space="preserve"> ،</w:t>
      </w:r>
      <w:r w:rsidRPr="00315653">
        <w:rPr>
          <w:rFonts w:hint="cs"/>
          <w:color w:val="000000"/>
          <w:rtl/>
          <w:lang w:bidi="ar-EG"/>
        </w:rPr>
        <w:t xml:space="preserve"> وإما ضمن إعلان سند التنفيذ أو ورقة التكليف بالوفاء"</w:t>
      </w:r>
      <w:r>
        <w:rPr>
          <w:rFonts w:hint="cs"/>
          <w:color w:val="000000"/>
          <w:rtl/>
          <w:lang w:bidi="ar-EG"/>
        </w:rPr>
        <w:t xml:space="preserve"> .</w:t>
      </w:r>
      <w:r w:rsidRPr="00315653">
        <w:rPr>
          <w:rFonts w:hint="cs"/>
          <w:color w:val="000000"/>
          <w:rtl/>
          <w:lang w:bidi="ar-EG"/>
        </w:rPr>
        <w:t xml:space="preserve"> ونصت المادة 477 مرافعات على انه "لذي الشأن</w:t>
      </w:r>
      <w:r>
        <w:rPr>
          <w:rFonts w:hint="cs"/>
          <w:color w:val="000000"/>
          <w:rtl/>
          <w:lang w:bidi="ar-EG"/>
        </w:rPr>
        <w:t xml:space="preserve"> ،</w:t>
      </w:r>
      <w:r w:rsidRPr="00315653">
        <w:rPr>
          <w:rFonts w:hint="cs"/>
          <w:color w:val="000000"/>
          <w:rtl/>
          <w:lang w:bidi="ar-EG"/>
        </w:rPr>
        <w:t xml:space="preserve"> خلال ثلاثة الأيام التالية لهذا الإعلان</w:t>
      </w:r>
      <w:r>
        <w:rPr>
          <w:rFonts w:hint="cs"/>
          <w:color w:val="000000"/>
          <w:rtl/>
          <w:lang w:bidi="ar-EG"/>
        </w:rPr>
        <w:t xml:space="preserve"> ،</w:t>
      </w:r>
      <w:r w:rsidRPr="00315653">
        <w:rPr>
          <w:rFonts w:hint="cs"/>
          <w:color w:val="000000"/>
          <w:rtl/>
          <w:lang w:bidi="ar-EG"/>
        </w:rPr>
        <w:t xml:space="preserve"> أن ينازع في اقتدار الكفيل أو الحارس أو في كفالة ما يودع</w:t>
      </w:r>
      <w:r>
        <w:rPr>
          <w:rFonts w:hint="cs"/>
          <w:color w:val="000000"/>
          <w:rtl/>
          <w:lang w:bidi="ar-EG"/>
        </w:rPr>
        <w:t xml:space="preserve"> .</w:t>
      </w:r>
      <w:r w:rsidRPr="00315653">
        <w:rPr>
          <w:rFonts w:hint="cs"/>
          <w:color w:val="000000"/>
          <w:rtl/>
          <w:lang w:bidi="ar-EG"/>
        </w:rPr>
        <w:t xml:space="preserve"> وتحصل المنازعة بتكليف الخصم الحضور أمام قاضي محكمة المواد الجزئية التابع لها موطن المحكوم عليه</w:t>
      </w:r>
      <w:r>
        <w:rPr>
          <w:rFonts w:hint="cs"/>
          <w:color w:val="000000"/>
          <w:rtl/>
          <w:lang w:bidi="ar-EG"/>
        </w:rPr>
        <w:t xml:space="preserve"> ،</w:t>
      </w:r>
      <w:r w:rsidRPr="00315653">
        <w:rPr>
          <w:rFonts w:hint="cs"/>
          <w:color w:val="000000"/>
          <w:rtl/>
          <w:lang w:bidi="ar-EG"/>
        </w:rPr>
        <w:t xml:space="preserve"> ويحكم في المنازعة على وجه السرعة بحكم لا يستأنف"</w:t>
      </w:r>
      <w:r>
        <w:rPr>
          <w:rFonts w:hint="cs"/>
          <w:color w:val="000000"/>
          <w:rtl/>
          <w:lang w:bidi="ar-EG"/>
        </w:rPr>
        <w:t xml:space="preserve"> .</w:t>
      </w:r>
      <w:r w:rsidRPr="00315653">
        <w:rPr>
          <w:rFonts w:hint="cs"/>
          <w:color w:val="000000"/>
          <w:rtl/>
          <w:lang w:bidi="ar-EG"/>
        </w:rPr>
        <w:t xml:space="preserve"> ونصت المادة 478 مرافعات على أنه "إذا لم تقدم منازعة في الميعاد</w:t>
      </w:r>
      <w:r>
        <w:rPr>
          <w:rFonts w:hint="cs"/>
          <w:color w:val="000000"/>
          <w:rtl/>
          <w:lang w:bidi="ar-EG"/>
        </w:rPr>
        <w:t xml:space="preserve"> ،</w:t>
      </w:r>
      <w:r w:rsidRPr="00315653">
        <w:rPr>
          <w:rFonts w:hint="cs"/>
          <w:color w:val="000000"/>
          <w:rtl/>
          <w:lang w:bidi="ar-EG"/>
        </w:rPr>
        <w:t xml:space="preserve"> أو قدمت ورفضت</w:t>
      </w:r>
      <w:r>
        <w:rPr>
          <w:rFonts w:hint="cs"/>
          <w:color w:val="000000"/>
          <w:rtl/>
          <w:lang w:bidi="ar-EG"/>
        </w:rPr>
        <w:t xml:space="preserve"> ،</w:t>
      </w:r>
      <w:r w:rsidRPr="00315653">
        <w:rPr>
          <w:rFonts w:hint="cs"/>
          <w:color w:val="000000"/>
          <w:rtl/>
          <w:lang w:bidi="ar-EG"/>
        </w:rPr>
        <w:t xml:space="preserve"> أخذ على الكفيل في قلم الكتاب التعهد بالكفالة أو على الحارس قبوله الحراسة</w:t>
      </w:r>
      <w:r>
        <w:rPr>
          <w:rFonts w:hint="cs"/>
          <w:color w:val="000000"/>
          <w:rtl/>
          <w:lang w:bidi="ar-EG"/>
        </w:rPr>
        <w:t xml:space="preserve"> ،</w:t>
      </w:r>
      <w:r w:rsidRPr="00315653">
        <w:rPr>
          <w:rFonts w:hint="cs"/>
          <w:color w:val="000000"/>
          <w:rtl/>
          <w:lang w:bidi="ar-EG"/>
        </w:rPr>
        <w:t xml:space="preserve"> ويكون المحضر المشتمل على عهد الكفيل بمثابة سند تنفيذي قبله بالالتزامات المترتبة على تعهده"</w:t>
      </w:r>
      <w:r>
        <w:rPr>
          <w:rFonts w:hint="cs"/>
          <w:color w:val="000000"/>
          <w:vertAlign w:val="superscript"/>
          <w:rtl/>
          <w:lang w:bidi="ar-EG"/>
        </w:rPr>
        <w:t xml:space="preserve">( </w:t>
      </w:r>
      <w:r w:rsidRPr="00315653">
        <w:rPr>
          <w:rStyle w:val="ab"/>
          <w:color w:val="000000"/>
          <w:rtl/>
          <w:lang w:bidi="ar-EG"/>
        </w:rPr>
        <w:footnoteReference w:id="7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$36 </w:t>
      </w:r>
      <w:r w:rsidRPr="00315653">
        <w:rPr>
          <w:rFonts w:hint="cs"/>
          <w:b/>
          <w:bCs/>
          <w:color w:val="000000"/>
          <w:rtl/>
          <w:lang w:bidi="ar-EG"/>
        </w:rPr>
        <w:t>15- ما استحدثه التقنين المدني الجديد في خصوص الكفالة</w:t>
      </w:r>
      <w:r>
        <w:rPr>
          <w:rFonts w:hint="cs"/>
          <w:color w:val="000000"/>
          <w:rtl/>
          <w:lang w:bidi="ar-EG"/>
        </w:rPr>
        <w:t xml:space="preserve"> :</w:t>
      </w:r>
      <w:r w:rsidRPr="00315653">
        <w:rPr>
          <w:rFonts w:hint="cs"/>
          <w:color w:val="000000"/>
          <w:rtl/>
          <w:lang w:bidi="ar-EG"/>
        </w:rPr>
        <w:t xml:space="preserve"> عدل التقنين المدنين الجديد في ترتيب أحكام الكفالة</w:t>
      </w:r>
      <w:r>
        <w:rPr>
          <w:rFonts w:hint="cs"/>
          <w:color w:val="000000"/>
          <w:rtl/>
          <w:lang w:bidi="ar-EG"/>
        </w:rPr>
        <w:t xml:space="preserve"> ،</w:t>
      </w:r>
      <w:r w:rsidRPr="00315653">
        <w:rPr>
          <w:rFonts w:hint="cs"/>
          <w:color w:val="000000"/>
          <w:rtl/>
          <w:lang w:bidi="ar-EG"/>
        </w:rPr>
        <w:t xml:space="preserve"> وخصص الفصل الثاني لآثارها</w:t>
      </w:r>
      <w:r>
        <w:rPr>
          <w:rFonts w:hint="cs"/>
          <w:color w:val="000000"/>
          <w:rtl/>
          <w:lang w:bidi="ar-EG"/>
        </w:rPr>
        <w:t xml:space="preserve"> ،</w:t>
      </w:r>
      <w:r w:rsidRPr="00315653">
        <w:rPr>
          <w:rFonts w:hint="cs"/>
          <w:color w:val="000000"/>
          <w:rtl/>
          <w:lang w:bidi="ar-EG"/>
        </w:rPr>
        <w:t xml:space="preserve"> وتناول فيه العلاقة ما بين الكفيل والدائن ثم العلاقة ما بين الكفيل والمدين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وفي الفصل الخاص بأركان الكفالة</w:t>
      </w:r>
      <w:r>
        <w:rPr>
          <w:rFonts w:hint="cs"/>
          <w:color w:val="000000"/>
          <w:rtl/>
          <w:lang w:bidi="ar-EG"/>
        </w:rPr>
        <w:t xml:space="preserve"> ،</w:t>
      </w:r>
      <w:r w:rsidRPr="00315653">
        <w:rPr>
          <w:rFonts w:hint="cs"/>
          <w:color w:val="000000"/>
          <w:rtl/>
          <w:lang w:bidi="ar-EG"/>
        </w:rPr>
        <w:t xml:space="preserve"> استحدث التقنين المدين الجديد نصاً يقضي بوجوب إثبات الكفالة بالكتابة ولو كان الالتزام المكفول يجوز إثباته بالبينة</w:t>
      </w:r>
      <w:r>
        <w:rPr>
          <w:rFonts w:hint="cs"/>
          <w:color w:val="000000"/>
          <w:rtl/>
          <w:lang w:bidi="ar-EG"/>
        </w:rPr>
        <w:t xml:space="preserve"> ،</w:t>
      </w:r>
      <w:r w:rsidRPr="00315653">
        <w:rPr>
          <w:rFonts w:hint="cs"/>
          <w:color w:val="000000"/>
          <w:rtl/>
          <w:lang w:bidi="ar-EG"/>
        </w:rPr>
        <w:t xml:space="preserve"> كما نص على كفالة الدين المستقبل والدين الشرطي والدين التجاري</w:t>
      </w:r>
      <w:r>
        <w:rPr>
          <w:rFonts w:hint="cs"/>
          <w:color w:val="000000"/>
          <w:rtl/>
          <w:lang w:bidi="ar-EG"/>
        </w:rPr>
        <w:t xml:space="preserve"> .</w:t>
      </w:r>
      <w:r w:rsidRPr="00315653">
        <w:rPr>
          <w:rFonts w:hint="cs"/>
          <w:color w:val="000000"/>
          <w:rtl/>
          <w:lang w:bidi="ar-EG"/>
        </w:rPr>
        <w:t xml:space="preserve"> ونص على أن الملتزم بتقديم كفيل يجوز له أن يقدم عوضاً عن الكفيل تأميناً عينياً كافياً</w:t>
      </w:r>
      <w:r>
        <w:rPr>
          <w:rFonts w:hint="cs"/>
          <w:color w:val="000000"/>
          <w:rtl/>
          <w:lang w:bidi="ar-EG"/>
        </w:rPr>
        <w:t xml:space="preserve"> ،</w:t>
      </w:r>
      <w:r w:rsidRPr="00315653">
        <w:rPr>
          <w:rFonts w:hint="cs"/>
          <w:color w:val="000000"/>
          <w:rtl/>
          <w:lang w:bidi="ar-EG"/>
        </w:rPr>
        <w:t xml:space="preserve"> وجعل الكفالة تشمل ملحقات الدين ومصروفات المطالبة الأولى وما يستجد من المصروفات بعد إخطار الكفيل ما لم يكن هناك اتفاق على غير ذلك</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وفي الخاص بآثار الكفالة</w:t>
      </w:r>
      <w:r>
        <w:rPr>
          <w:rFonts w:hint="cs"/>
          <w:color w:val="000000"/>
          <w:rtl/>
          <w:lang w:bidi="ar-EG"/>
        </w:rPr>
        <w:t xml:space="preserve"> ،</w:t>
      </w:r>
      <w:r w:rsidRPr="00315653">
        <w:rPr>
          <w:rFonts w:hint="cs"/>
          <w:color w:val="000000"/>
          <w:rtl/>
          <w:lang w:bidi="ar-EG"/>
        </w:rPr>
        <w:t xml:space="preserve"> نص التقنين المدني الجديد على أنه لا يجوز للدائن أن يرجع على الكفيل وحده إلا بعد رجوعه على المدين</w:t>
      </w:r>
      <w:r>
        <w:rPr>
          <w:rFonts w:hint="cs"/>
          <w:color w:val="000000"/>
          <w:rtl/>
          <w:lang w:bidi="ar-EG"/>
        </w:rPr>
        <w:t xml:space="preserve"> ،</w:t>
      </w:r>
      <w:r w:rsidRPr="00315653">
        <w:rPr>
          <w:rFonts w:hint="cs"/>
          <w:color w:val="000000"/>
          <w:rtl/>
          <w:lang w:bidi="ar-EG"/>
        </w:rPr>
        <w:t xml:space="preserve"> واشترط أن يتمسك الكفيل بالدفع بتجريد المدين</w:t>
      </w:r>
      <w:r>
        <w:rPr>
          <w:rFonts w:hint="cs"/>
          <w:color w:val="000000"/>
          <w:rtl/>
          <w:lang w:bidi="ar-EG"/>
        </w:rPr>
        <w:t xml:space="preserve"> ،</w:t>
      </w:r>
      <w:r w:rsidRPr="00315653">
        <w:rPr>
          <w:rFonts w:hint="cs"/>
          <w:color w:val="000000"/>
          <w:rtl/>
          <w:lang w:bidi="ar-EG"/>
        </w:rPr>
        <w:t xml:space="preserve"> وكلنه لم ينص على أن التمسك بهذا الدفع يجب أن </w:t>
      </w:r>
      <w:r w:rsidRPr="00315653">
        <w:rPr>
          <w:rFonts w:hint="cs"/>
          <w:color w:val="000000"/>
          <w:rtl/>
          <w:lang w:bidi="ar-EG"/>
        </w:rPr>
        <w:lastRenderedPageBreak/>
        <w:t>يكون عند المطالبة الأولى</w:t>
      </w:r>
      <w:r>
        <w:rPr>
          <w:rFonts w:hint="cs"/>
          <w:color w:val="000000"/>
          <w:rtl/>
          <w:lang w:bidi="ar-EG"/>
        </w:rPr>
        <w:t xml:space="preserve"> .</w:t>
      </w:r>
      <w:r w:rsidRPr="00315653">
        <w:rPr>
          <w:rFonts w:hint="cs"/>
          <w:color w:val="000000"/>
          <w:rtl/>
          <w:lang w:bidi="ar-EG"/>
        </w:rPr>
        <w:t xml:space="preserve"> ونص على أنه لا يعتد بأموال المدين التي يدل عليها الكفيل إذا كانت هذه الأموال متنازعاً عليها أو تقع خارج مصر</w:t>
      </w:r>
      <w:r>
        <w:rPr>
          <w:rFonts w:hint="cs"/>
          <w:color w:val="000000"/>
          <w:rtl/>
          <w:lang w:bidi="ar-EG"/>
        </w:rPr>
        <w:t xml:space="preserve"> ،</w:t>
      </w:r>
      <w:r w:rsidRPr="00315653">
        <w:rPr>
          <w:rFonts w:hint="cs"/>
          <w:color w:val="000000"/>
          <w:rtl/>
          <w:lang w:bidi="ar-EG"/>
        </w:rPr>
        <w:t xml:space="preserve"> كما نص على مسئولية الدائن إذا تهاون في اتخاذ إجراءات التجريد وترتب على ذلك إعسار المدين</w:t>
      </w:r>
      <w:r>
        <w:rPr>
          <w:rFonts w:hint="cs"/>
          <w:color w:val="000000"/>
          <w:rtl/>
          <w:lang w:bidi="ar-EG"/>
        </w:rPr>
        <w:t xml:space="preserve"> .</w:t>
      </w:r>
      <w:r w:rsidRPr="00315653">
        <w:rPr>
          <w:rFonts w:hint="cs"/>
          <w:color w:val="000000"/>
          <w:rtl/>
          <w:lang w:bidi="ar-EG"/>
        </w:rPr>
        <w:t xml:space="preserve"> ونص على أنه إذا كان هناك تأمين عيني لضمان الدين سابق أو معاصر للكفالة</w:t>
      </w:r>
      <w:r>
        <w:rPr>
          <w:rFonts w:hint="cs"/>
          <w:color w:val="000000"/>
          <w:rtl/>
          <w:lang w:bidi="ar-EG"/>
        </w:rPr>
        <w:t xml:space="preserve"> ،</w:t>
      </w:r>
      <w:r w:rsidRPr="00315653">
        <w:rPr>
          <w:rFonts w:hint="cs"/>
          <w:color w:val="000000"/>
          <w:rtl/>
          <w:lang w:bidi="ar-EG"/>
        </w:rPr>
        <w:t xml:space="preserve"> لم يجز التنفيذ على أموال الكفيل غير المتضامن مع المدين إلا بعد التنفيذ على الأموال التي خصصت لهذا التأمين</w:t>
      </w:r>
      <w:r>
        <w:rPr>
          <w:rFonts w:hint="cs"/>
          <w:color w:val="000000"/>
          <w:rtl/>
          <w:lang w:bidi="ar-EG"/>
        </w:rPr>
        <w:t xml:space="preserve"> .</w:t>
      </w:r>
      <w:r w:rsidRPr="00315653">
        <w:rPr>
          <w:rFonts w:hint="cs"/>
          <w:color w:val="000000"/>
          <w:rtl/>
          <w:lang w:bidi="ar-EG"/>
        </w:rPr>
        <w:t xml:space="preserve"> وبني التقنين المدني الجديد التزامات الدائن نحو الكفيل عند قيام هذا بوفاء الدين</w:t>
      </w:r>
      <w:r>
        <w:rPr>
          <w:rFonts w:hint="cs"/>
          <w:color w:val="000000"/>
          <w:rtl/>
          <w:lang w:bidi="ar-EG"/>
        </w:rPr>
        <w:t xml:space="preserve"> ،</w:t>
      </w:r>
      <w:r w:rsidRPr="00315653">
        <w:rPr>
          <w:rFonts w:hint="cs"/>
          <w:color w:val="000000"/>
          <w:rtl/>
          <w:lang w:bidi="ar-EG"/>
        </w:rPr>
        <w:t xml:space="preserve"> كما بين حقوق الكفيل قبل المدين</w:t>
      </w:r>
      <w:r>
        <w:rPr>
          <w:rFonts w:hint="cs"/>
          <w:color w:val="000000"/>
          <w:rtl/>
          <w:lang w:bidi="ar-EG"/>
        </w:rPr>
        <w:t xml:space="preserve"> ،</w:t>
      </w:r>
      <w:r w:rsidRPr="00315653">
        <w:rPr>
          <w:rFonts w:hint="cs"/>
          <w:color w:val="000000"/>
          <w:rtl/>
          <w:lang w:bidi="ar-EG"/>
        </w:rPr>
        <w:t xml:space="preserve"> ونص صراحة على حقه في الرجوع على المدين سواء كانت الكفالة قد عقدت بعلم المدين أو بغير علمه؛ ولكنه اوجب على الكفيل إخطار المدين قبل أن يقوم بوفاء الدين</w:t>
      </w:r>
      <w:r>
        <w:rPr>
          <w:rFonts w:hint="cs"/>
          <w:color w:val="000000"/>
          <w:rtl/>
          <w:lang w:bidi="ar-EG"/>
        </w:rPr>
        <w:t xml:space="preserve"> .</w:t>
      </w:r>
      <w:r w:rsidRPr="00315653">
        <w:rPr>
          <w:rFonts w:hint="cs"/>
          <w:color w:val="000000"/>
          <w:rtl/>
          <w:lang w:bidi="ar-EG"/>
        </w:rPr>
        <w:t xml:space="preserve"> كما نص على أن يكون للكفيل الحق في الفوائد القانونية عن كل ما قام بدفعه</w:t>
      </w:r>
      <w:r>
        <w:rPr>
          <w:rFonts w:hint="cs"/>
          <w:color w:val="000000"/>
          <w:rtl/>
          <w:lang w:bidi="ar-EG"/>
        </w:rPr>
        <w:t xml:space="preserve"> ،</w:t>
      </w:r>
      <w:r w:rsidRPr="00315653">
        <w:rPr>
          <w:rFonts w:hint="cs"/>
          <w:color w:val="000000"/>
          <w:rtl/>
          <w:lang w:bidi="ar-EG"/>
        </w:rPr>
        <w:t xml:space="preserve"> ابتداء من يوم الدفع</w:t>
      </w:r>
      <w:r>
        <w:rPr>
          <w:rFonts w:hint="cs"/>
          <w:color w:val="000000"/>
          <w:vertAlign w:val="superscript"/>
          <w:rtl/>
          <w:lang w:bidi="ar-EG"/>
        </w:rPr>
        <w:t xml:space="preserve">( </w:t>
      </w:r>
      <w:r w:rsidRPr="00315653">
        <w:rPr>
          <w:rStyle w:val="ab"/>
          <w:color w:val="000000"/>
          <w:rtl/>
          <w:lang w:bidi="ar-EG"/>
        </w:rPr>
        <w:footnoteReference w:id="7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color w:val="000000"/>
          <w:rtl/>
          <w:lang w:bidi="ar-EG"/>
        </w:rPr>
        <w:br w:type="page"/>
      </w:r>
      <w:r w:rsidRPr="00315653">
        <w:rPr>
          <w:rFonts w:hint="cs"/>
          <w:color w:val="000000"/>
          <w:rtl/>
          <w:lang w:bidi="ar-EG"/>
        </w:rPr>
        <w:lastRenderedPageBreak/>
        <w:t xml:space="preserve">$37 </w:t>
      </w:r>
      <w:r w:rsidRPr="00315653">
        <w:rPr>
          <w:rFonts w:hint="cs"/>
          <w:b/>
          <w:bCs/>
          <w:color w:val="000000"/>
          <w:sz w:val="46"/>
          <w:szCs w:val="50"/>
          <w:rtl/>
          <w:lang w:bidi="ar-EG"/>
        </w:rPr>
        <w:t>الفصل الأول</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أركان الكفالة</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16- ركنان</w:t>
      </w:r>
      <w:r>
        <w:rPr>
          <w:rFonts w:hint="cs"/>
          <w:color w:val="000000"/>
          <w:rtl/>
          <w:lang w:bidi="ar-EG"/>
        </w:rPr>
        <w:t xml:space="preserve"> :</w:t>
      </w:r>
      <w:r w:rsidRPr="00315653">
        <w:rPr>
          <w:rFonts w:hint="cs"/>
          <w:color w:val="000000"/>
          <w:rtl/>
          <w:lang w:bidi="ar-EG"/>
        </w:rPr>
        <w:t xml:space="preserve"> يمكن القول أن للكفالة ركنين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التزاماً أصلياً مكفولاً</w:t>
      </w:r>
      <w:r>
        <w:rPr>
          <w:rFonts w:hint="cs"/>
          <w:color w:val="000000"/>
          <w:rtl/>
          <w:lang w:bidi="ar-EG"/>
        </w:rPr>
        <w:t xml:space="preserve"> ،</w:t>
      </w:r>
      <w:r w:rsidRPr="00315653">
        <w:rPr>
          <w:rFonts w:hint="cs"/>
          <w:color w:val="000000"/>
          <w:rtl/>
          <w:lang w:bidi="ar-EG"/>
        </w:rPr>
        <w:t xml:space="preserve"> هو التزام المدين الأصلي يضمنه الكفيل</w:t>
      </w:r>
      <w:r>
        <w:rPr>
          <w:rFonts w:hint="cs"/>
          <w:color w:val="000000"/>
          <w:rtl/>
          <w:lang w:bidi="ar-EG"/>
        </w:rPr>
        <w:t xml:space="preserve"> .</w:t>
      </w:r>
      <w:r w:rsidRPr="00315653">
        <w:rPr>
          <w:rFonts w:hint="cs"/>
          <w:color w:val="000000"/>
          <w:rtl/>
          <w:lang w:bidi="ar-EG"/>
        </w:rPr>
        <w:t xml:space="preserve"> وبدون هذا الالتزام لا تكون كفالة</w:t>
      </w:r>
      <w:r>
        <w:rPr>
          <w:rFonts w:hint="cs"/>
          <w:color w:val="000000"/>
          <w:rtl/>
          <w:lang w:bidi="ar-EG"/>
        </w:rPr>
        <w:t xml:space="preserve"> ،</w:t>
      </w:r>
      <w:r w:rsidRPr="00315653">
        <w:rPr>
          <w:rFonts w:hint="cs"/>
          <w:color w:val="000000"/>
          <w:rtl/>
          <w:lang w:bidi="ar-EG"/>
        </w:rPr>
        <w:t xml:space="preserve"> لأن التزام الكفيل هو كما قدمنا التزام تابع</w:t>
      </w:r>
      <w:r>
        <w:rPr>
          <w:rFonts w:hint="cs"/>
          <w:color w:val="000000"/>
          <w:rtl/>
          <w:lang w:bidi="ar-EG"/>
        </w:rPr>
        <w:t xml:space="preserve"> ،</w:t>
      </w:r>
      <w:r w:rsidRPr="00315653">
        <w:rPr>
          <w:rFonts w:hint="cs"/>
          <w:color w:val="000000"/>
          <w:rtl/>
          <w:lang w:bidi="ar-EG"/>
        </w:rPr>
        <w:t xml:space="preserve"> فهو يتبع الالتزام الأصلي المكفول على الوجه الذي بسطناه فيما تقدم</w:t>
      </w:r>
      <w:r>
        <w:rPr>
          <w:rFonts w:hint="cs"/>
          <w:color w:val="000000"/>
          <w:vertAlign w:val="superscript"/>
          <w:rtl/>
          <w:lang w:bidi="ar-EG"/>
        </w:rPr>
        <w:t xml:space="preserve">( </w:t>
      </w:r>
      <w:r w:rsidRPr="00315653">
        <w:rPr>
          <w:rStyle w:val="ab"/>
          <w:color w:val="000000"/>
          <w:rtl/>
          <w:lang w:bidi="ar-EG"/>
        </w:rPr>
        <w:footnoteReference w:id="7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اتفاقاً بين الكفيل والدائن لكفالة التزام المدين الأصلي</w:t>
      </w:r>
      <w:r>
        <w:rPr>
          <w:rFonts w:hint="cs"/>
          <w:color w:val="000000"/>
          <w:rtl/>
          <w:lang w:bidi="ar-EG"/>
        </w:rPr>
        <w:t xml:space="preserve"> ،</w:t>
      </w:r>
      <w:r w:rsidRPr="00315653">
        <w:rPr>
          <w:rFonts w:hint="cs"/>
          <w:color w:val="000000"/>
          <w:rtl/>
          <w:lang w:bidi="ar-EG"/>
        </w:rPr>
        <w:t xml:space="preserve"> وهذا الاتفاق هو عقد الكفالة ذاته</w:t>
      </w:r>
      <w:r>
        <w:rPr>
          <w:rFonts w:hint="cs"/>
          <w:color w:val="000000"/>
          <w:rtl/>
          <w:lang w:bidi="ar-EG"/>
        </w:rPr>
        <w:t xml:space="preserve"> ،</w:t>
      </w:r>
      <w:r w:rsidRPr="00315653">
        <w:rPr>
          <w:rFonts w:hint="cs"/>
          <w:color w:val="000000"/>
          <w:rtl/>
          <w:lang w:bidi="ar-EG"/>
        </w:rPr>
        <w:t xml:space="preserve"> فلا بد إذن من رضاء الكفيل بالكفالة</w:t>
      </w:r>
      <w:r>
        <w:rPr>
          <w:rFonts w:hint="cs"/>
          <w:color w:val="000000"/>
          <w:rtl/>
          <w:lang w:bidi="ar-EG"/>
        </w:rPr>
        <w:t xml:space="preserve"> ،</w:t>
      </w:r>
      <w:r w:rsidRPr="00315653">
        <w:rPr>
          <w:rFonts w:hint="cs"/>
          <w:color w:val="000000"/>
          <w:rtl/>
          <w:lang w:bidi="ar-EG"/>
        </w:rPr>
        <w:t xml:space="preserve"> ورضاء الدائن بأن يضمن الكفيل حقه</w:t>
      </w:r>
      <w:r>
        <w:rPr>
          <w:rFonts w:hint="cs"/>
          <w:color w:val="000000"/>
          <w:vertAlign w:val="superscript"/>
          <w:rtl/>
          <w:lang w:bidi="ar-EG"/>
        </w:rPr>
        <w:t xml:space="preserve">( </w:t>
      </w:r>
      <w:r w:rsidRPr="00315653">
        <w:rPr>
          <w:rStyle w:val="ab"/>
          <w:color w:val="000000"/>
          <w:rtl/>
          <w:lang w:bidi="ar-EG"/>
        </w:rPr>
        <w:footnoteReference w:id="8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sz w:val="44"/>
          <w:szCs w:val="44"/>
          <w:rtl/>
          <w:lang w:bidi="ar-EG"/>
        </w:rPr>
      </w:pPr>
      <w:r w:rsidRPr="00315653">
        <w:rPr>
          <w:rFonts w:hint="cs"/>
          <w:b/>
          <w:bCs/>
          <w:color w:val="000000"/>
          <w:sz w:val="44"/>
          <w:szCs w:val="44"/>
          <w:rtl/>
          <w:lang w:bidi="ar-EG"/>
        </w:rPr>
        <w:t>المبحث الأول</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الالتزام الأصلي المكفول</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17- موضوعان</w:t>
      </w:r>
      <w:r>
        <w:rPr>
          <w:rFonts w:hint="cs"/>
          <w:color w:val="000000"/>
          <w:rtl/>
          <w:lang w:bidi="ar-EG"/>
        </w:rPr>
        <w:t xml:space="preserve"> :</w:t>
      </w:r>
      <w:r w:rsidRPr="00315653">
        <w:rPr>
          <w:rFonts w:hint="cs"/>
          <w:color w:val="000000"/>
          <w:rtl/>
          <w:lang w:bidi="ar-EG"/>
        </w:rPr>
        <w:t xml:space="preserve"> نبحث في الالتزام الأصلي المكفول موضوعين</w:t>
      </w:r>
      <w:r>
        <w:rPr>
          <w:rFonts w:hint="cs"/>
          <w:color w:val="000000"/>
          <w:rtl/>
          <w:lang w:bidi="ar-EG"/>
        </w:rPr>
        <w:t xml:space="preserve"> :</w:t>
      </w:r>
      <w:r w:rsidRPr="00315653">
        <w:rPr>
          <w:rFonts w:hint="cs"/>
          <w:color w:val="000000"/>
          <w:rtl/>
          <w:lang w:bidi="ar-EG"/>
        </w:rPr>
        <w:t xml:space="preserve"> $38 الالتزام الأصلي المكفول في ذاته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الالتزام الأصلي المكفول هو الذي يحدد مدى التزام الكفيل</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b/>
          <w:bCs/>
          <w:color w:val="000000"/>
          <w:rtl/>
          <w:lang w:bidi="ar-EG"/>
        </w:rPr>
        <w:t>§</w:t>
      </w:r>
      <w:r w:rsidRPr="00315653">
        <w:rPr>
          <w:rFonts w:hint="cs"/>
          <w:b/>
          <w:bCs/>
          <w:color w:val="000000"/>
          <w:rtl/>
          <w:lang w:bidi="ar-EG"/>
        </w:rPr>
        <w:t>1- الالتزام الأصلي المكفول في ذاته</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18- مصدر الالتزام الأصلي المكفول ومحله</w:t>
      </w:r>
      <w:r>
        <w:rPr>
          <w:rFonts w:hint="cs"/>
          <w:color w:val="000000"/>
          <w:rtl/>
          <w:lang w:bidi="ar-EG"/>
        </w:rPr>
        <w:t xml:space="preserve"> :</w:t>
      </w:r>
      <w:r w:rsidRPr="00315653">
        <w:rPr>
          <w:rFonts w:hint="cs"/>
          <w:color w:val="000000"/>
          <w:rtl/>
          <w:lang w:bidi="ar-EG"/>
        </w:rPr>
        <w:t xml:space="preserve"> أي التزام تمكن كفالته</w:t>
      </w:r>
      <w:r>
        <w:rPr>
          <w:rFonts w:hint="cs"/>
          <w:color w:val="000000"/>
          <w:rtl/>
          <w:lang w:bidi="ar-EG"/>
        </w:rPr>
        <w:t xml:space="preserve"> ،</w:t>
      </w:r>
      <w:r w:rsidRPr="00315653">
        <w:rPr>
          <w:rFonts w:hint="cs"/>
          <w:color w:val="000000"/>
          <w:rtl/>
          <w:lang w:bidi="ar-EG"/>
        </w:rPr>
        <w:t xml:space="preserve"> أياً كان مصدره وأياً كان محله</w:t>
      </w:r>
      <w:r>
        <w:rPr>
          <w:rFonts w:hint="cs"/>
          <w:color w:val="000000"/>
          <w:rtl/>
          <w:lang w:bidi="ar-EG"/>
        </w:rPr>
        <w:t xml:space="preserve"> ،</w:t>
      </w:r>
      <w:r w:rsidRPr="00315653">
        <w:rPr>
          <w:rFonts w:hint="cs"/>
          <w:color w:val="000000"/>
          <w:rtl/>
          <w:lang w:bidi="ar-EG"/>
        </w:rPr>
        <w:t xml:space="preserve"> فيكون التزاماً أصلياً مكفولا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فتمكن كفالة الالتزام الذي يكون مصدره العقد</w:t>
      </w:r>
      <w:r>
        <w:rPr>
          <w:rFonts w:hint="cs"/>
          <w:color w:val="000000"/>
          <w:rtl/>
          <w:lang w:bidi="ar-EG"/>
        </w:rPr>
        <w:t xml:space="preserve"> ،</w:t>
      </w:r>
      <w:r w:rsidRPr="00315653">
        <w:rPr>
          <w:rFonts w:hint="cs"/>
          <w:color w:val="000000"/>
          <w:rtl/>
          <w:lang w:bidi="ar-EG"/>
        </w:rPr>
        <w:t xml:space="preserve"> وهذا الذي يقع في الغالب</w:t>
      </w:r>
      <w:r>
        <w:rPr>
          <w:rFonts w:hint="cs"/>
          <w:color w:val="000000"/>
          <w:rtl/>
          <w:lang w:bidi="ar-EG"/>
        </w:rPr>
        <w:t xml:space="preserve"> .</w:t>
      </w:r>
      <w:r w:rsidRPr="00315653">
        <w:rPr>
          <w:rFonts w:hint="cs"/>
          <w:color w:val="000000"/>
          <w:rtl/>
          <w:lang w:bidi="ar-EG"/>
        </w:rPr>
        <w:t xml:space="preserve"> فيكفل التزام مصدره عقد قرض مثلا فيكون للمقترض كفيل بالمبلغ الذي اقترضه</w:t>
      </w:r>
      <w:r>
        <w:rPr>
          <w:rFonts w:hint="cs"/>
          <w:color w:val="000000"/>
          <w:vertAlign w:val="superscript"/>
          <w:rtl/>
          <w:lang w:bidi="ar-EG"/>
        </w:rPr>
        <w:t xml:space="preserve">( </w:t>
      </w:r>
      <w:r w:rsidRPr="00315653">
        <w:rPr>
          <w:rStyle w:val="ab"/>
          <w:color w:val="000000"/>
          <w:rtl/>
          <w:lang w:bidi="ar-EG"/>
        </w:rPr>
        <w:footnoteReference w:id="8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ويكفل التزام مصدره عقد البيع</w:t>
      </w:r>
      <w:r>
        <w:rPr>
          <w:rFonts w:hint="cs"/>
          <w:color w:val="000000"/>
          <w:rtl/>
          <w:lang w:bidi="ar-EG"/>
        </w:rPr>
        <w:t xml:space="preserve"> ،</w:t>
      </w:r>
      <w:r w:rsidRPr="00315653">
        <w:rPr>
          <w:rFonts w:hint="cs"/>
          <w:color w:val="000000"/>
          <w:rtl/>
          <w:lang w:bidi="ar-EG"/>
        </w:rPr>
        <w:t xml:space="preserve"> فيكون للمشتري كفيل بالثمن</w:t>
      </w:r>
      <w:r>
        <w:rPr>
          <w:rFonts w:hint="cs"/>
          <w:color w:val="000000"/>
          <w:rtl/>
          <w:lang w:bidi="ar-EG"/>
        </w:rPr>
        <w:t xml:space="preserve"> .</w:t>
      </w:r>
      <w:r w:rsidRPr="00315653">
        <w:rPr>
          <w:rFonts w:hint="cs"/>
          <w:color w:val="000000"/>
          <w:rtl/>
          <w:lang w:bidi="ar-EG"/>
        </w:rPr>
        <w:t xml:space="preserve"> ويكفل التزام عقد الإيجار</w:t>
      </w:r>
      <w:r>
        <w:rPr>
          <w:rFonts w:hint="cs"/>
          <w:color w:val="000000"/>
          <w:rtl/>
          <w:lang w:bidi="ar-EG"/>
        </w:rPr>
        <w:t xml:space="preserve"> ،</w:t>
      </w:r>
      <w:r w:rsidRPr="00315653">
        <w:rPr>
          <w:rFonts w:hint="cs"/>
          <w:color w:val="000000"/>
          <w:rtl/>
          <w:lang w:bidi="ar-EG"/>
        </w:rPr>
        <w:t xml:space="preserve"> فيكون للمستأجر كفيل بالأجرة</w:t>
      </w:r>
      <w:r>
        <w:rPr>
          <w:rFonts w:hint="cs"/>
          <w:color w:val="000000"/>
          <w:rtl/>
          <w:lang w:bidi="ar-EG"/>
        </w:rPr>
        <w:t xml:space="preserve"> .</w:t>
      </w:r>
      <w:r w:rsidRPr="00315653">
        <w:rPr>
          <w:rFonts w:hint="cs"/>
          <w:color w:val="000000"/>
          <w:rtl/>
          <w:lang w:bidi="ar-EG"/>
        </w:rPr>
        <w:t xml:space="preserve"> وهكذا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وتمكن كفالة الالتزام الذي يكون مصدره العمل غير المشروع</w:t>
      </w:r>
      <w:r>
        <w:rPr>
          <w:rFonts w:hint="cs"/>
          <w:color w:val="000000"/>
          <w:rtl/>
          <w:lang w:bidi="ar-EG"/>
        </w:rPr>
        <w:t xml:space="preserve"> ،</w:t>
      </w:r>
      <w:r w:rsidRPr="00315653">
        <w:rPr>
          <w:rFonts w:hint="cs"/>
          <w:color w:val="000000"/>
          <w:rtl/>
          <w:lang w:bidi="ar-EG"/>
        </w:rPr>
        <w:t xml:space="preserve"> فيعترف المدين في العمل غير المشروع بمبدأ المسئولية وبمقدار التعويض</w:t>
      </w:r>
      <w:r>
        <w:rPr>
          <w:rFonts w:hint="cs"/>
          <w:color w:val="000000"/>
          <w:rtl/>
          <w:lang w:bidi="ar-EG"/>
        </w:rPr>
        <w:t xml:space="preserve"> ،</w:t>
      </w:r>
      <w:r w:rsidRPr="00315653">
        <w:rPr>
          <w:rFonts w:hint="cs"/>
          <w:color w:val="000000"/>
          <w:rtl/>
          <w:lang w:bidi="ar-EG"/>
        </w:rPr>
        <w:t xml:space="preserve"> ويأتي كفيل يضمنه في هذا المقدار إلى أن يفي به</w:t>
      </w:r>
      <w:r>
        <w:rPr>
          <w:rFonts w:hint="cs"/>
          <w:color w:val="000000"/>
          <w:rtl/>
          <w:lang w:bidi="ar-EG"/>
        </w:rPr>
        <w:t xml:space="preserve"> .</w:t>
      </w:r>
      <w:r w:rsidRPr="00315653">
        <w:rPr>
          <w:rFonts w:hint="cs"/>
          <w:color w:val="000000"/>
          <w:rtl/>
          <w:lang w:bidi="ar-EG"/>
        </w:rPr>
        <w:t xml:space="preserve"> وتجوز كفالة التزام احتمالي مصدره العمل </w:t>
      </w:r>
      <w:r w:rsidRPr="00315653">
        <w:rPr>
          <w:rFonts w:hint="cs"/>
          <w:color w:val="000000"/>
          <w:rtl/>
          <w:lang w:bidi="ar-EG"/>
        </w:rPr>
        <w:lastRenderedPageBreak/>
        <w:t>غير المشروع</w:t>
      </w:r>
      <w:r>
        <w:rPr>
          <w:rFonts w:hint="cs"/>
          <w:color w:val="000000"/>
          <w:rtl/>
          <w:lang w:bidi="ar-EG"/>
        </w:rPr>
        <w:t xml:space="preserve"> ،</w:t>
      </w:r>
      <w:r w:rsidRPr="00315653">
        <w:rPr>
          <w:rFonts w:hint="cs"/>
          <w:color w:val="000000"/>
          <w:rtl/>
          <w:lang w:bidi="ar-EG"/>
        </w:rPr>
        <w:t xml:space="preserve"> فيأتي المدين الاحتمالي بهذا الالتزام لدائنه الاحتمالي بكفيل يضمنه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وتمكن كفالة الالتزام الذي يكون مصدره الإثراء بلا سبب أو رد غير المستحق أو الفضالة</w:t>
      </w:r>
      <w:r>
        <w:rPr>
          <w:rFonts w:hint="cs"/>
          <w:color w:val="000000"/>
          <w:rtl/>
          <w:lang w:bidi="ar-EG"/>
        </w:rPr>
        <w:t xml:space="preserve"> ،</w:t>
      </w:r>
      <w:r w:rsidRPr="00315653">
        <w:rPr>
          <w:rFonts w:hint="cs"/>
          <w:color w:val="000000"/>
          <w:rtl/>
          <w:lang w:bidi="ar-EG"/>
        </w:rPr>
        <w:t xml:space="preserve"> فيأتي رب العمل مثلا بكفيل يضمن التزامه نحو الفضولي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وتمكن أخيراً كفالة الالتزام الذي يكون مصدره القانون</w:t>
      </w:r>
      <w:r>
        <w:rPr>
          <w:rFonts w:hint="cs"/>
          <w:color w:val="000000"/>
          <w:rtl/>
          <w:lang w:bidi="ar-EG"/>
        </w:rPr>
        <w:t xml:space="preserve"> ،</w:t>
      </w:r>
      <w:r w:rsidRPr="00315653">
        <w:rPr>
          <w:rFonts w:hint="cs"/>
          <w:color w:val="000000"/>
          <w:rtl/>
          <w:lang w:bidi="ar-EG"/>
        </w:rPr>
        <w:t xml:space="preserve"> فيأتي الجار مثلا لجاره بكفيل يكفله في التزامه بتعويض الأضرار غير المألوفة بسبب الجوار</w:t>
      </w:r>
      <w:r>
        <w:rPr>
          <w:rFonts w:hint="cs"/>
          <w:color w:val="000000"/>
          <w:vertAlign w:val="superscript"/>
          <w:rtl/>
          <w:lang w:bidi="ar-EG"/>
        </w:rPr>
        <w:t xml:space="preserve">( </w:t>
      </w:r>
      <w:r w:rsidRPr="00315653">
        <w:rPr>
          <w:rStyle w:val="ab"/>
          <w:color w:val="000000"/>
          <w:rtl/>
          <w:lang w:bidi="ar-EG"/>
        </w:rPr>
        <w:footnoteReference w:id="8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وأياً كان محل الالتزام الأصلي</w:t>
      </w:r>
      <w:r>
        <w:rPr>
          <w:rFonts w:hint="cs"/>
          <w:color w:val="000000"/>
          <w:rtl/>
          <w:lang w:bidi="ar-EG"/>
        </w:rPr>
        <w:t xml:space="preserve"> ،</w:t>
      </w:r>
      <w:r w:rsidRPr="00315653">
        <w:rPr>
          <w:rFonts w:hint="cs"/>
          <w:color w:val="000000"/>
          <w:rtl/>
          <w:lang w:bidi="ar-EG"/>
        </w:rPr>
        <w:t xml:space="preserve"> فإنه تجوز كفالته</w:t>
      </w:r>
      <w:r>
        <w:rPr>
          <w:rFonts w:hint="cs"/>
          <w:color w:val="000000"/>
          <w:rtl/>
          <w:lang w:bidi="ar-EG"/>
        </w:rPr>
        <w:t xml:space="preserve"> ،</w:t>
      </w:r>
      <w:r w:rsidRPr="00315653">
        <w:rPr>
          <w:rFonts w:hint="cs"/>
          <w:color w:val="000000"/>
          <w:rtl/>
          <w:lang w:bidi="ar-EG"/>
        </w:rPr>
        <w:t xml:space="preserve"> سواء كان هذا المحل إعطاء أو عملا أو امتناعاً عن عمل</w:t>
      </w:r>
      <w:r>
        <w:rPr>
          <w:rFonts w:hint="cs"/>
          <w:color w:val="000000"/>
          <w:vertAlign w:val="superscript"/>
          <w:rtl/>
          <w:lang w:bidi="ar-EG"/>
        </w:rPr>
        <w:t xml:space="preserve">( </w:t>
      </w:r>
      <w:r w:rsidRPr="00315653">
        <w:rPr>
          <w:rStyle w:val="ab"/>
          <w:color w:val="000000"/>
          <w:rtl/>
          <w:lang w:bidi="ar-EG"/>
        </w:rPr>
        <w:footnoteReference w:id="8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والذي يقع غالباً هو كفالة $39 الالتزام الذي يكون محله مبلغاً من النقود</w:t>
      </w:r>
      <w:r>
        <w:rPr>
          <w:rFonts w:hint="cs"/>
          <w:color w:val="000000"/>
          <w:rtl/>
          <w:lang w:bidi="ar-EG"/>
        </w:rPr>
        <w:t xml:space="preserve"> ،</w:t>
      </w:r>
      <w:r w:rsidRPr="00315653">
        <w:rPr>
          <w:rFonts w:hint="cs"/>
          <w:color w:val="000000"/>
          <w:rtl/>
          <w:lang w:bidi="ar-EG"/>
        </w:rPr>
        <w:t xml:space="preserve"> فيأتي المقترض مثلا بكفيل يضمنه لدى المقترض في المبلغ من النقود الذي اقترضه</w:t>
      </w:r>
      <w:r>
        <w:rPr>
          <w:rFonts w:hint="cs"/>
          <w:color w:val="000000"/>
          <w:rtl/>
          <w:lang w:bidi="ar-EG"/>
        </w:rPr>
        <w:t xml:space="preserve"> .</w:t>
      </w:r>
      <w:r w:rsidRPr="00315653">
        <w:rPr>
          <w:rFonts w:hint="cs"/>
          <w:color w:val="000000"/>
          <w:rtl/>
          <w:lang w:bidi="ar-EG"/>
        </w:rPr>
        <w:t xml:space="preserve"> ولكن قد يكون محل الالتزام نقل ملكية عقار أو منقول</w:t>
      </w:r>
      <w:r>
        <w:rPr>
          <w:rFonts w:hint="cs"/>
          <w:color w:val="000000"/>
          <w:rtl/>
          <w:lang w:bidi="ar-EG"/>
        </w:rPr>
        <w:t xml:space="preserve"> ،</w:t>
      </w:r>
      <w:r w:rsidRPr="00315653">
        <w:rPr>
          <w:rFonts w:hint="cs"/>
          <w:color w:val="000000"/>
          <w:rtl/>
          <w:lang w:bidi="ar-EG"/>
        </w:rPr>
        <w:t xml:space="preserve"> لا مبلغاً من النقود</w:t>
      </w:r>
      <w:r>
        <w:rPr>
          <w:rFonts w:hint="cs"/>
          <w:color w:val="000000"/>
          <w:rtl/>
          <w:lang w:bidi="ar-EG"/>
        </w:rPr>
        <w:t xml:space="preserve"> .</w:t>
      </w:r>
      <w:r w:rsidRPr="00315653">
        <w:rPr>
          <w:rFonts w:hint="cs"/>
          <w:color w:val="000000"/>
          <w:rtl/>
          <w:lang w:bidi="ar-EG"/>
        </w:rPr>
        <w:t xml:space="preserve"> فيأتي البائع مثلا بكفيل يضمنه لدى المشتري في التزام الأول بنقل ملكية المبيع إلى الثاني</w:t>
      </w:r>
      <w:r>
        <w:rPr>
          <w:rFonts w:hint="cs"/>
          <w:color w:val="000000"/>
          <w:rtl/>
          <w:lang w:bidi="ar-EG"/>
        </w:rPr>
        <w:t xml:space="preserve"> .</w:t>
      </w:r>
      <w:r w:rsidRPr="00315653">
        <w:rPr>
          <w:rFonts w:hint="cs"/>
          <w:color w:val="000000"/>
          <w:rtl/>
          <w:lang w:bidi="ar-EG"/>
        </w:rPr>
        <w:t xml:space="preserve"> كذلك يجوز للمقاول</w:t>
      </w:r>
      <w:r>
        <w:rPr>
          <w:rFonts w:hint="cs"/>
          <w:color w:val="000000"/>
          <w:rtl/>
          <w:lang w:bidi="ar-EG"/>
        </w:rPr>
        <w:t xml:space="preserve"> ،</w:t>
      </w:r>
      <w:r w:rsidRPr="00315653">
        <w:rPr>
          <w:rFonts w:hint="cs"/>
          <w:color w:val="000000"/>
          <w:rtl/>
          <w:lang w:bidi="ar-EG"/>
        </w:rPr>
        <w:t xml:space="preserve"> الذي تعاقد مع صاحب العمل على إقامة منشآت</w:t>
      </w:r>
      <w:r>
        <w:rPr>
          <w:rFonts w:hint="cs"/>
          <w:color w:val="000000"/>
          <w:rtl/>
          <w:lang w:bidi="ar-EG"/>
        </w:rPr>
        <w:t xml:space="preserve"> ،</w:t>
      </w:r>
      <w:r w:rsidRPr="00315653">
        <w:rPr>
          <w:rFonts w:hint="cs"/>
          <w:color w:val="000000"/>
          <w:rtl/>
          <w:lang w:bidi="ar-EG"/>
        </w:rPr>
        <w:t xml:space="preserve"> أن يأتي بكفيل يضمنه في التزامه بهذا العمل</w:t>
      </w:r>
      <w:r>
        <w:rPr>
          <w:rFonts w:hint="cs"/>
          <w:color w:val="000000"/>
          <w:rtl/>
          <w:lang w:bidi="ar-EG"/>
        </w:rPr>
        <w:t xml:space="preserve"> .</w:t>
      </w:r>
      <w:r w:rsidRPr="00315653">
        <w:rPr>
          <w:rFonts w:hint="cs"/>
          <w:color w:val="000000"/>
          <w:rtl/>
          <w:lang w:bidi="ar-EG"/>
        </w:rPr>
        <w:t xml:space="preserve"> ويجوز لتاجر ملتزم بعدم منافسة تاجر آخر أن يأتي بكفيل</w:t>
      </w:r>
      <w:r>
        <w:rPr>
          <w:rFonts w:hint="cs"/>
          <w:color w:val="000000"/>
          <w:rtl/>
          <w:lang w:bidi="ar-EG"/>
        </w:rPr>
        <w:t xml:space="preserve"> ،</w:t>
      </w:r>
      <w:r w:rsidRPr="00315653">
        <w:rPr>
          <w:rFonts w:hint="cs"/>
          <w:color w:val="000000"/>
          <w:rtl/>
          <w:lang w:bidi="ar-EG"/>
        </w:rPr>
        <w:t xml:space="preserve"> يضمنه في الالتزام بعدم المنافسة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19- كفالة الالتزام الصحيح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776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"لا تكون الكفالة صحيحة إلا إذا كان الالتزام المكفول صحيحاً"</w:t>
      </w:r>
      <w:r>
        <w:rPr>
          <w:rFonts w:hint="cs"/>
          <w:color w:val="000000"/>
          <w:vertAlign w:val="superscript"/>
          <w:rtl/>
          <w:lang w:bidi="ar-EG"/>
        </w:rPr>
        <w:t xml:space="preserve">( </w:t>
      </w:r>
      <w:r w:rsidRPr="00315653">
        <w:rPr>
          <w:rStyle w:val="ab"/>
          <w:color w:val="000000"/>
          <w:rtl/>
          <w:lang w:bidi="ar-EG"/>
        </w:rPr>
        <w:footnoteReference w:id="8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$40 ويخلص من النص سالف الذكر أنه حتى تكون الكفالة صحيحة وترتب التزاماً في ذمة الكفيل بضمان الالتزام المكفول</w:t>
      </w:r>
      <w:r>
        <w:rPr>
          <w:rFonts w:hint="cs"/>
          <w:color w:val="000000"/>
          <w:rtl/>
          <w:lang w:bidi="ar-EG"/>
        </w:rPr>
        <w:t xml:space="preserve"> ،</w:t>
      </w:r>
      <w:r w:rsidRPr="00315653">
        <w:rPr>
          <w:rFonts w:hint="cs"/>
          <w:color w:val="000000"/>
          <w:rtl/>
          <w:lang w:bidi="ar-EG"/>
        </w:rPr>
        <w:t xml:space="preserve"> يجب أن يكون هذا الالتزام الأخير ذاته صحيحاً</w:t>
      </w:r>
      <w:r>
        <w:rPr>
          <w:rFonts w:hint="cs"/>
          <w:color w:val="000000"/>
          <w:rtl/>
          <w:lang w:bidi="ar-EG"/>
        </w:rPr>
        <w:t xml:space="preserve"> .</w:t>
      </w:r>
      <w:r w:rsidRPr="00315653">
        <w:rPr>
          <w:rFonts w:hint="cs"/>
          <w:color w:val="000000"/>
          <w:rtl/>
          <w:lang w:bidi="ar-EG"/>
        </w:rPr>
        <w:t xml:space="preserve"> ويكون الالتزام المكفول صحيحاً إذا تولد من مصدر غي عقدي</w:t>
      </w:r>
      <w:r>
        <w:rPr>
          <w:rFonts w:hint="cs"/>
          <w:color w:val="000000"/>
          <w:rtl/>
          <w:lang w:bidi="ar-EG"/>
        </w:rPr>
        <w:t xml:space="preserve"> ،</w:t>
      </w:r>
      <w:r w:rsidRPr="00315653">
        <w:rPr>
          <w:rFonts w:hint="cs"/>
          <w:color w:val="000000"/>
          <w:rtl/>
          <w:lang w:bidi="ar-EG"/>
        </w:rPr>
        <w:t xml:space="preserve"> أو تولد من مصدر عقدي وكان العقد الذي تولد منه عقداً صحيحاً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ويجب التمييز هنا بين فرضين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الفرض الأول</w:t>
      </w:r>
      <w:r>
        <w:rPr>
          <w:rFonts w:hint="cs"/>
          <w:color w:val="000000"/>
          <w:rtl/>
          <w:lang w:bidi="ar-EG"/>
        </w:rPr>
        <w:t xml:space="preserve"> )</w:t>
      </w:r>
      <w:r w:rsidRPr="00315653">
        <w:rPr>
          <w:rFonts w:hint="cs"/>
          <w:color w:val="000000"/>
          <w:rtl/>
          <w:lang w:bidi="ar-EG"/>
        </w:rPr>
        <w:t xml:space="preserve"> أن يلتزم شخص بوفاء التزام في ذمة الغير</w:t>
      </w:r>
      <w:r>
        <w:rPr>
          <w:rFonts w:hint="cs"/>
          <w:color w:val="000000"/>
          <w:rtl/>
          <w:lang w:bidi="ar-EG"/>
        </w:rPr>
        <w:t xml:space="preserve"> ،</w:t>
      </w:r>
      <w:r w:rsidRPr="00315653">
        <w:rPr>
          <w:rFonts w:hint="cs"/>
          <w:color w:val="000000"/>
          <w:rtl/>
          <w:lang w:bidi="ar-EG"/>
        </w:rPr>
        <w:t xml:space="preserve"> فيؤمن للدائن بذلك وفاء الالتزام</w:t>
      </w:r>
      <w:r>
        <w:rPr>
          <w:rFonts w:hint="cs"/>
          <w:color w:val="000000"/>
          <w:rtl/>
          <w:lang w:bidi="ar-EG"/>
        </w:rPr>
        <w:t xml:space="preserve"> .</w:t>
      </w:r>
      <w:r w:rsidRPr="00315653">
        <w:rPr>
          <w:rFonts w:hint="cs"/>
          <w:color w:val="000000"/>
          <w:rtl/>
          <w:lang w:bidi="ar-EG"/>
        </w:rPr>
        <w:t xml:space="preserve"> وفي هذا الفرض لا يكون هذا اشخص كفيلا</w:t>
      </w:r>
      <w:r>
        <w:rPr>
          <w:rFonts w:hint="cs"/>
          <w:color w:val="000000"/>
          <w:rtl/>
          <w:lang w:bidi="ar-EG"/>
        </w:rPr>
        <w:t xml:space="preserve"> ،</w:t>
      </w:r>
      <w:r w:rsidRPr="00315653">
        <w:rPr>
          <w:rFonts w:hint="cs"/>
          <w:color w:val="000000"/>
          <w:rtl/>
          <w:lang w:bidi="ar-EG"/>
        </w:rPr>
        <w:t xml:space="preserve"> بل يكون مديناً أصلياً</w:t>
      </w:r>
      <w:r>
        <w:rPr>
          <w:rFonts w:hint="cs"/>
          <w:color w:val="000000"/>
          <w:rtl/>
          <w:lang w:bidi="ar-EG"/>
        </w:rPr>
        <w:t xml:space="preserve"> ،</w:t>
      </w:r>
      <w:r w:rsidRPr="00315653">
        <w:rPr>
          <w:rFonts w:hint="cs"/>
          <w:color w:val="000000"/>
          <w:rtl/>
          <w:lang w:bidi="ar-EG"/>
        </w:rPr>
        <w:t xml:space="preserve"> تعهد بوفاء التزام الغير للدائن</w:t>
      </w:r>
      <w:r>
        <w:rPr>
          <w:rFonts w:hint="cs"/>
          <w:color w:val="000000"/>
          <w:rtl/>
          <w:lang w:bidi="ar-EG"/>
        </w:rPr>
        <w:t xml:space="preserve"> .</w:t>
      </w:r>
      <w:r w:rsidRPr="00315653">
        <w:rPr>
          <w:rFonts w:hint="cs"/>
          <w:color w:val="000000"/>
          <w:rtl/>
          <w:lang w:bidi="ar-EG"/>
        </w:rPr>
        <w:t xml:space="preserve"> ولا يهم في هذه الحالة أن يكون التزام الغير صحيحاً أو باطلا أو قابلا للإبطال</w:t>
      </w:r>
      <w:r>
        <w:rPr>
          <w:rFonts w:hint="cs"/>
          <w:color w:val="000000"/>
          <w:rtl/>
          <w:lang w:bidi="ar-EG"/>
        </w:rPr>
        <w:t xml:space="preserve"> ،</w:t>
      </w:r>
      <w:r w:rsidRPr="00315653">
        <w:rPr>
          <w:rFonts w:hint="cs"/>
          <w:color w:val="000000"/>
          <w:rtl/>
          <w:lang w:bidi="ar-EG"/>
        </w:rPr>
        <w:t xml:space="preserve"> ما دام الملتزم بوفائه قد التزام بصفة أصلية لا باعتباره كفيلا</w:t>
      </w:r>
      <w:r>
        <w:rPr>
          <w:rFonts w:hint="cs"/>
          <w:color w:val="000000"/>
          <w:rtl/>
          <w:lang w:bidi="ar-EG"/>
        </w:rPr>
        <w:t xml:space="preserve"> .</w:t>
      </w:r>
      <w:r w:rsidRPr="00315653">
        <w:rPr>
          <w:rFonts w:hint="cs"/>
          <w:color w:val="000000"/>
          <w:rtl/>
          <w:lang w:bidi="ar-EG"/>
        </w:rPr>
        <w:t xml:space="preserve"> ويؤول ذلك على أن الملتزم بالوفاء قد التزم نحو الدائن بأن المدين لا يتمسك بأوجه البطلان في الدين</w:t>
      </w:r>
      <w:r>
        <w:rPr>
          <w:rFonts w:hint="cs"/>
          <w:color w:val="000000"/>
          <w:rtl/>
          <w:lang w:bidi="ar-EG"/>
        </w:rPr>
        <w:t xml:space="preserve"> ،</w:t>
      </w:r>
      <w:r w:rsidRPr="00315653">
        <w:rPr>
          <w:rFonts w:hint="cs"/>
          <w:color w:val="000000"/>
          <w:rtl/>
          <w:lang w:bidi="ar-EG"/>
        </w:rPr>
        <w:t xml:space="preserve"> وبأنه إذا تمسك بأوجه البطلان فأعلن بطلان الدين أو أبطله</w:t>
      </w:r>
      <w:r>
        <w:rPr>
          <w:rFonts w:hint="cs"/>
          <w:color w:val="000000"/>
          <w:rtl/>
          <w:lang w:bidi="ar-EG"/>
        </w:rPr>
        <w:t xml:space="preserve"> ،</w:t>
      </w:r>
      <w:r w:rsidRPr="00315653">
        <w:rPr>
          <w:rFonts w:hint="cs"/>
          <w:color w:val="000000"/>
          <w:rtl/>
          <w:lang w:bidi="ar-EG"/>
        </w:rPr>
        <w:t xml:space="preserve"> فان الملتزم بالوفاء يقوم نفسه بوفاء هذا الدين الباطل أو القابل للإبطال</w:t>
      </w:r>
      <w:r>
        <w:rPr>
          <w:rFonts w:hint="cs"/>
          <w:color w:val="000000"/>
          <w:rtl/>
          <w:lang w:bidi="ar-EG"/>
        </w:rPr>
        <w:t xml:space="preserve"> .</w:t>
      </w:r>
      <w:r w:rsidRPr="00315653">
        <w:rPr>
          <w:rFonts w:hint="cs"/>
          <w:color w:val="000000"/>
          <w:rtl/>
          <w:lang w:bidi="ar-EG"/>
        </w:rPr>
        <w:t xml:space="preserve"> ومن ثم لا يكون الملتزم بالوفاء كفيلا بل مديناً أصلياً كما قدمنا</w:t>
      </w:r>
      <w:r>
        <w:rPr>
          <w:rFonts w:hint="cs"/>
          <w:color w:val="000000"/>
          <w:rtl/>
          <w:lang w:bidi="ar-EG"/>
        </w:rPr>
        <w:t xml:space="preserve"> ،</w:t>
      </w:r>
      <w:r w:rsidRPr="00315653">
        <w:rPr>
          <w:rFonts w:hint="cs"/>
          <w:color w:val="000000"/>
          <w:rtl/>
          <w:lang w:bidi="ar-EG"/>
        </w:rPr>
        <w:t xml:space="preserve"> ويصح كما سبق القول أن يكون الدين الذي التزم بوفائه باطلا أو قابلا للإبطال</w:t>
      </w:r>
      <w:r>
        <w:rPr>
          <w:rFonts w:hint="cs"/>
          <w:color w:val="000000"/>
          <w:rtl/>
          <w:lang w:bidi="ar-EG"/>
        </w:rPr>
        <w:t xml:space="preserve"> .</w:t>
      </w:r>
      <w:r w:rsidRPr="00315653">
        <w:rPr>
          <w:rFonts w:hint="cs"/>
          <w:color w:val="000000"/>
          <w:rtl/>
          <w:lang w:bidi="ar-EG"/>
        </w:rPr>
        <w:t xml:space="preserve"> ولو كان الملتزم بالوفاء كفيلا</w:t>
      </w:r>
      <w:r>
        <w:rPr>
          <w:rFonts w:hint="cs"/>
          <w:color w:val="000000"/>
          <w:rtl/>
          <w:lang w:bidi="ar-EG"/>
        </w:rPr>
        <w:t xml:space="preserve"> ،</w:t>
      </w:r>
      <w:r w:rsidRPr="00315653">
        <w:rPr>
          <w:rFonts w:hint="cs"/>
          <w:color w:val="000000"/>
          <w:rtl/>
          <w:lang w:bidi="ar-EG"/>
        </w:rPr>
        <w:t xml:space="preserve"> أي أن التزامه تابع للدين الأصلي</w:t>
      </w:r>
      <w:r>
        <w:rPr>
          <w:rFonts w:hint="cs"/>
          <w:color w:val="000000"/>
          <w:rtl/>
          <w:lang w:bidi="ar-EG"/>
        </w:rPr>
        <w:t xml:space="preserve"> ،</w:t>
      </w:r>
      <w:r w:rsidRPr="00315653">
        <w:rPr>
          <w:rFonts w:hint="cs"/>
          <w:color w:val="000000"/>
          <w:rtl/>
          <w:lang w:bidi="ar-EG"/>
        </w:rPr>
        <w:t xml:space="preserve"> لأمكنه أن يتمسك ببطلان الدين الأصلي أو بإبطاله كما يتمسك بذلك المدين الأصلي نفسه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والفرض الثاني</w:t>
      </w:r>
      <w:r>
        <w:rPr>
          <w:rFonts w:hint="cs"/>
          <w:color w:val="000000"/>
          <w:rtl/>
          <w:lang w:bidi="ar-EG"/>
        </w:rPr>
        <w:t xml:space="preserve"> )</w:t>
      </w:r>
      <w:r w:rsidRPr="00315653">
        <w:rPr>
          <w:rFonts w:hint="cs"/>
          <w:color w:val="000000"/>
          <w:rtl/>
          <w:lang w:bidi="ar-EG"/>
        </w:rPr>
        <w:t xml:space="preserve"> أن يكون الملتزم بالوفاء كفيلا لا مديناً أصلياً</w:t>
      </w:r>
      <w:r>
        <w:rPr>
          <w:rFonts w:hint="cs"/>
          <w:color w:val="000000"/>
          <w:rtl/>
          <w:lang w:bidi="ar-EG"/>
        </w:rPr>
        <w:t xml:space="preserve"> ،</w:t>
      </w:r>
      <w:r w:rsidRPr="00315653">
        <w:rPr>
          <w:rFonts w:hint="cs"/>
          <w:color w:val="000000"/>
          <w:rtl/>
          <w:lang w:bidi="ar-EG"/>
        </w:rPr>
        <w:t xml:space="preserve"> فيكفل المدين الأصلي في الوفاء بالتزامه</w:t>
      </w:r>
      <w:r>
        <w:rPr>
          <w:rFonts w:hint="cs"/>
          <w:color w:val="000000"/>
          <w:rtl/>
          <w:lang w:bidi="ar-EG"/>
        </w:rPr>
        <w:t xml:space="preserve"> .</w:t>
      </w:r>
      <w:r w:rsidRPr="00315653">
        <w:rPr>
          <w:rFonts w:hint="cs"/>
          <w:color w:val="000000"/>
          <w:rtl/>
          <w:lang w:bidi="ar-EG"/>
        </w:rPr>
        <w:t xml:space="preserve"> وهذا هو الفرض الذي يعنينا هنا</w:t>
      </w:r>
      <w:r>
        <w:rPr>
          <w:rFonts w:hint="cs"/>
          <w:color w:val="000000"/>
          <w:rtl/>
          <w:lang w:bidi="ar-EG"/>
        </w:rPr>
        <w:t xml:space="preserve"> ،</w:t>
      </w:r>
      <w:r w:rsidRPr="00315653">
        <w:rPr>
          <w:rFonts w:hint="cs"/>
          <w:color w:val="000000"/>
          <w:rtl/>
          <w:lang w:bidi="ar-EG"/>
        </w:rPr>
        <w:t xml:space="preserve"> إذ أن التزام الكفيل يكون تابعاً للالتزام الأصلي المكفول</w:t>
      </w:r>
      <w:r>
        <w:rPr>
          <w:rFonts w:hint="cs"/>
          <w:color w:val="000000"/>
          <w:rtl/>
          <w:lang w:bidi="ar-EG"/>
        </w:rPr>
        <w:t xml:space="preserve"> ،</w:t>
      </w:r>
      <w:r w:rsidRPr="00315653">
        <w:rPr>
          <w:rFonts w:hint="cs"/>
          <w:color w:val="000000"/>
          <w:rtl/>
          <w:lang w:bidi="ar-EG"/>
        </w:rPr>
        <w:t xml:space="preserve"> ولا تكون الكفالة صحيحة إلا إذا كان الالتزام المكفول</w:t>
      </w:r>
      <w:r>
        <w:rPr>
          <w:rFonts w:hint="cs"/>
          <w:color w:val="000000"/>
          <w:vertAlign w:val="superscript"/>
          <w:rtl/>
          <w:lang w:bidi="ar-EG"/>
        </w:rPr>
        <w:t xml:space="preserve">( </w:t>
      </w:r>
      <w:r w:rsidRPr="00315653">
        <w:rPr>
          <w:rStyle w:val="ab"/>
          <w:color w:val="000000"/>
          <w:rtl/>
          <w:lang w:bidi="ar-EG"/>
        </w:rPr>
        <w:footnoteReference w:id="85"/>
      </w:r>
      <w:r>
        <w:rPr>
          <w:rFonts w:hint="cs"/>
          <w:color w:val="000000"/>
          <w:vertAlign w:val="superscript"/>
          <w:rtl/>
          <w:lang w:bidi="ar-EG"/>
        </w:rPr>
        <w:t xml:space="preserve"> )</w:t>
      </w:r>
      <w:r w:rsidRPr="00315653">
        <w:rPr>
          <w:rFonts w:hint="cs"/>
          <w:color w:val="000000"/>
          <w:rtl/>
          <w:lang w:bidi="ar-EG"/>
        </w:rPr>
        <w:t xml:space="preserve"> صحيحاً كما يقول $41 النص سالف الذكر</w:t>
      </w:r>
      <w:r>
        <w:rPr>
          <w:rFonts w:hint="cs"/>
          <w:color w:val="000000"/>
          <w:rtl/>
          <w:lang w:bidi="ar-EG"/>
        </w:rPr>
        <w:t xml:space="preserve"> .</w:t>
      </w:r>
      <w:r w:rsidRPr="00315653">
        <w:rPr>
          <w:rFonts w:hint="cs"/>
          <w:color w:val="000000"/>
          <w:rtl/>
          <w:lang w:bidi="ar-EG"/>
        </w:rPr>
        <w:t xml:space="preserve"> فإذا كان الالتزام المكفول باطلا أو قابلا للإبطال</w:t>
      </w:r>
      <w:r>
        <w:rPr>
          <w:rFonts w:hint="cs"/>
          <w:color w:val="000000"/>
          <w:rtl/>
          <w:lang w:bidi="ar-EG"/>
        </w:rPr>
        <w:t xml:space="preserve"> ،</w:t>
      </w:r>
      <w:r w:rsidRPr="00315653">
        <w:rPr>
          <w:rFonts w:hint="cs"/>
          <w:color w:val="000000"/>
          <w:rtl/>
          <w:lang w:bidi="ar-EG"/>
        </w:rPr>
        <w:t xml:space="preserve"> أمكن للكفيل كما أمكن للمدين الأصلي أن يتمسك بهذا الدفع</w:t>
      </w:r>
      <w:r>
        <w:rPr>
          <w:rFonts w:hint="cs"/>
          <w:color w:val="000000"/>
          <w:rtl/>
          <w:lang w:bidi="ar-EG"/>
        </w:rPr>
        <w:t xml:space="preserve"> ،</w:t>
      </w:r>
      <w:r w:rsidRPr="00315653">
        <w:rPr>
          <w:rFonts w:hint="cs"/>
          <w:color w:val="000000"/>
          <w:rtl/>
          <w:lang w:bidi="ar-EG"/>
        </w:rPr>
        <w:t xml:space="preserve"> فيعلن بطلان الالتزام الأصلي أو يبطله</w:t>
      </w:r>
      <w:r>
        <w:rPr>
          <w:rFonts w:hint="cs"/>
          <w:color w:val="000000"/>
          <w:rtl/>
          <w:lang w:bidi="ar-EG"/>
        </w:rPr>
        <w:t xml:space="preserve"> ،</w:t>
      </w:r>
      <w:r w:rsidRPr="00315653">
        <w:rPr>
          <w:rFonts w:hint="cs"/>
          <w:color w:val="000000"/>
          <w:rtl/>
          <w:lang w:bidi="ar-EG"/>
        </w:rPr>
        <w:t xml:space="preserve"> ومن ثم يصبح التزام الكفيل باطلا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وهذا هو ما قصدت إليه لجنة مجلس الشيوخ إذ قالت في تقريرها</w:t>
      </w:r>
      <w:r>
        <w:rPr>
          <w:rFonts w:hint="cs"/>
          <w:color w:val="000000"/>
          <w:rtl/>
          <w:lang w:bidi="ar-EG"/>
        </w:rPr>
        <w:t xml:space="preserve"> :</w:t>
      </w:r>
      <w:r w:rsidRPr="00315653">
        <w:rPr>
          <w:rFonts w:hint="cs"/>
          <w:color w:val="000000"/>
          <w:rtl/>
          <w:lang w:bidi="ar-EG"/>
        </w:rPr>
        <w:t xml:space="preserve"> "وقد راعت اللجنة في هذا التعديل أن الكفالة التي يقصد منها إلى ضمان الوفاء بالالتزام</w:t>
      </w:r>
      <w:r>
        <w:rPr>
          <w:rFonts w:hint="cs"/>
          <w:color w:val="000000"/>
          <w:rtl/>
          <w:lang w:bidi="ar-EG"/>
        </w:rPr>
        <w:t xml:space="preserve"> ،</w:t>
      </w:r>
      <w:r w:rsidRPr="00315653">
        <w:rPr>
          <w:rFonts w:hint="cs"/>
          <w:color w:val="000000"/>
          <w:rtl/>
          <w:lang w:bidi="ar-EG"/>
        </w:rPr>
        <w:t xml:space="preserve"> وهي تفترض بطبيعة الحال أن يكون الالتزام المكفول صحيحاً"</w:t>
      </w:r>
      <w:r>
        <w:rPr>
          <w:rFonts w:hint="cs"/>
          <w:color w:val="000000"/>
          <w:vertAlign w:val="superscript"/>
          <w:rtl/>
          <w:lang w:bidi="ar-EG"/>
        </w:rPr>
        <w:t xml:space="preserve">( </w:t>
      </w:r>
      <w:r w:rsidRPr="00315653">
        <w:rPr>
          <w:rStyle w:val="ab"/>
          <w:color w:val="000000"/>
          <w:rtl/>
          <w:lang w:bidi="ar-EG"/>
        </w:rPr>
        <w:footnoteReference w:id="8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$42</w:t>
      </w:r>
      <w:r w:rsidRPr="00315653">
        <w:rPr>
          <w:rFonts w:hint="cs"/>
          <w:b/>
          <w:bCs/>
          <w:color w:val="000000"/>
          <w:rtl/>
          <w:lang w:bidi="ar-EG"/>
        </w:rPr>
        <w:t xml:space="preserve"> كفالة الالتزام الباطل</w:t>
      </w:r>
      <w:r>
        <w:rPr>
          <w:rFonts w:hint="cs"/>
          <w:color w:val="000000"/>
          <w:rtl/>
          <w:lang w:bidi="ar-EG"/>
        </w:rPr>
        <w:t xml:space="preserve"> :</w:t>
      </w:r>
      <w:r w:rsidRPr="00315653">
        <w:rPr>
          <w:rFonts w:hint="cs"/>
          <w:color w:val="000000"/>
          <w:rtl/>
          <w:lang w:bidi="ar-EG"/>
        </w:rPr>
        <w:t xml:space="preserve"> ويؤخذ مما قدمناه أن كفالة الالتزام الباطل تكون هي أيضاً باطلة كالالتزام المكفول</w:t>
      </w:r>
      <w:r>
        <w:rPr>
          <w:rFonts w:hint="cs"/>
          <w:color w:val="000000"/>
          <w:rtl/>
          <w:lang w:bidi="ar-EG"/>
        </w:rPr>
        <w:t xml:space="preserve"> .</w:t>
      </w:r>
      <w:r w:rsidRPr="00315653">
        <w:rPr>
          <w:rFonts w:hint="cs"/>
          <w:color w:val="000000"/>
          <w:rtl/>
          <w:lang w:bidi="ar-EG"/>
        </w:rPr>
        <w:t xml:space="preserve"> والمفروض في ذلك</w:t>
      </w:r>
      <w:r>
        <w:rPr>
          <w:rFonts w:hint="cs"/>
          <w:color w:val="000000"/>
          <w:rtl/>
          <w:lang w:bidi="ar-EG"/>
        </w:rPr>
        <w:t xml:space="preserve"> ،</w:t>
      </w:r>
      <w:r w:rsidRPr="00315653">
        <w:rPr>
          <w:rFonts w:hint="cs"/>
          <w:color w:val="000000"/>
          <w:rtl/>
          <w:lang w:bidi="ar-EG"/>
        </w:rPr>
        <w:t xml:space="preserve"> كما قدمنا</w:t>
      </w:r>
      <w:r>
        <w:rPr>
          <w:rFonts w:hint="cs"/>
          <w:color w:val="000000"/>
          <w:rtl/>
          <w:lang w:bidi="ar-EG"/>
        </w:rPr>
        <w:t xml:space="preserve"> ،</w:t>
      </w:r>
      <w:r w:rsidRPr="00315653">
        <w:rPr>
          <w:rFonts w:hint="cs"/>
          <w:color w:val="000000"/>
          <w:rtl/>
          <w:lang w:bidi="ar-EG"/>
        </w:rPr>
        <w:t xml:space="preserve"> أن الكفيل تقدم باعتباره كفيلا</w:t>
      </w:r>
      <w:r>
        <w:rPr>
          <w:rFonts w:hint="cs"/>
          <w:color w:val="000000"/>
          <w:rtl/>
          <w:lang w:bidi="ar-EG"/>
        </w:rPr>
        <w:t xml:space="preserve"> ،</w:t>
      </w:r>
      <w:r w:rsidRPr="00315653">
        <w:rPr>
          <w:rFonts w:hint="cs"/>
          <w:color w:val="000000"/>
          <w:rtl/>
          <w:lang w:bidi="ar-EG"/>
        </w:rPr>
        <w:t xml:space="preserve"> لا باعتباره مديناً أصلياً</w:t>
      </w:r>
      <w:r>
        <w:rPr>
          <w:rFonts w:hint="cs"/>
          <w:color w:val="000000"/>
          <w:rtl/>
          <w:lang w:bidi="ar-EG"/>
        </w:rPr>
        <w:t xml:space="preserve"> .</w:t>
      </w:r>
      <w:r w:rsidRPr="00315653">
        <w:rPr>
          <w:rFonts w:hint="cs"/>
          <w:color w:val="000000"/>
          <w:rtl/>
          <w:lang w:bidi="ar-EG"/>
        </w:rPr>
        <w:t xml:space="preserve"> فإذا كان الالتزام المكفول في هذه الحالة باطلا بطلاناً مطلقاً</w:t>
      </w:r>
      <w:r>
        <w:rPr>
          <w:rFonts w:hint="cs"/>
          <w:color w:val="000000"/>
          <w:rtl/>
          <w:lang w:bidi="ar-EG"/>
        </w:rPr>
        <w:t xml:space="preserve"> ،</w:t>
      </w:r>
      <w:r w:rsidRPr="00315653">
        <w:rPr>
          <w:rFonts w:hint="cs"/>
          <w:color w:val="000000"/>
          <w:rtl/>
          <w:lang w:bidi="ar-EG"/>
        </w:rPr>
        <w:t xml:space="preserve"> كانت الكفالة وهي تابعة له باطلة مثله</w:t>
      </w:r>
      <w:r>
        <w:rPr>
          <w:rFonts w:hint="cs"/>
          <w:color w:val="000000"/>
          <w:rtl/>
          <w:lang w:bidi="ar-EG"/>
        </w:rPr>
        <w:t xml:space="preserve"> .</w:t>
      </w:r>
      <w:r w:rsidRPr="00315653">
        <w:rPr>
          <w:rFonts w:hint="cs"/>
          <w:color w:val="000000"/>
          <w:rtl/>
          <w:lang w:bidi="ar-EG"/>
        </w:rPr>
        <w:t xml:space="preserve"> وقد نصت الفقرة الأولى من المادة 781 مدني</w:t>
      </w:r>
      <w:r>
        <w:rPr>
          <w:rFonts w:hint="cs"/>
          <w:color w:val="000000"/>
          <w:rtl/>
          <w:lang w:bidi="ar-EG"/>
        </w:rPr>
        <w:t xml:space="preserve"> ،</w:t>
      </w:r>
      <w:r w:rsidRPr="00315653">
        <w:rPr>
          <w:rFonts w:hint="cs"/>
          <w:color w:val="000000"/>
          <w:rtl/>
          <w:lang w:bidi="ar-EG"/>
        </w:rPr>
        <w:t xml:space="preserve"> كما سنرى</w:t>
      </w:r>
      <w:r>
        <w:rPr>
          <w:rFonts w:hint="cs"/>
          <w:color w:val="000000"/>
          <w:rtl/>
          <w:lang w:bidi="ar-EG"/>
        </w:rPr>
        <w:t xml:space="preserve"> ،</w:t>
      </w:r>
      <w:r w:rsidRPr="00315653">
        <w:rPr>
          <w:rFonts w:hint="cs"/>
          <w:color w:val="000000"/>
          <w:rtl/>
          <w:lang w:bidi="ar-EG"/>
        </w:rPr>
        <w:t xml:space="preserve"> على أن "يبرأ الكفيل بمجرد براءة المدين</w:t>
      </w:r>
      <w:r>
        <w:rPr>
          <w:rFonts w:hint="cs"/>
          <w:color w:val="000000"/>
          <w:rtl/>
          <w:lang w:bidi="ar-EG"/>
        </w:rPr>
        <w:t xml:space="preserve"> ،</w:t>
      </w:r>
      <w:r w:rsidRPr="00315653">
        <w:rPr>
          <w:rFonts w:hint="cs"/>
          <w:color w:val="000000"/>
          <w:rtl/>
          <w:lang w:bidi="ar-EG"/>
        </w:rPr>
        <w:t xml:space="preserve"> وله أن يتمسك بجميع الأوجه التي يحتاج بها المدين"</w:t>
      </w:r>
      <w:r>
        <w:rPr>
          <w:rFonts w:hint="cs"/>
          <w:color w:val="000000"/>
          <w:rtl/>
          <w:lang w:bidi="ar-EG"/>
        </w:rPr>
        <w:t xml:space="preserve"> .</w:t>
      </w:r>
      <w:r w:rsidRPr="00315653">
        <w:rPr>
          <w:rFonts w:hint="cs"/>
          <w:color w:val="000000"/>
          <w:rtl/>
          <w:lang w:bidi="ar-EG"/>
        </w:rPr>
        <w:t xml:space="preserve"> ومن الأوجه التي يحتج بها المدين الأصلي</w:t>
      </w:r>
      <w:r>
        <w:rPr>
          <w:rFonts w:hint="cs"/>
          <w:color w:val="000000"/>
          <w:rtl/>
          <w:lang w:bidi="ar-EG"/>
        </w:rPr>
        <w:t xml:space="preserve"> ،</w:t>
      </w:r>
      <w:r w:rsidRPr="00315653">
        <w:rPr>
          <w:rFonts w:hint="cs"/>
          <w:color w:val="000000"/>
          <w:rtl/>
          <w:lang w:bidi="ar-EG"/>
        </w:rPr>
        <w:t xml:space="preserve"> بطلان التزامه المكفول</w:t>
      </w:r>
      <w:r>
        <w:rPr>
          <w:rFonts w:hint="cs"/>
          <w:color w:val="000000"/>
          <w:rtl/>
          <w:lang w:bidi="ar-EG"/>
        </w:rPr>
        <w:t xml:space="preserve"> ،</w:t>
      </w:r>
      <w:r w:rsidRPr="00315653">
        <w:rPr>
          <w:rFonts w:hint="cs"/>
          <w:color w:val="000000"/>
          <w:rtl/>
          <w:lang w:bidi="ar-EG"/>
        </w:rPr>
        <w:t xml:space="preserve"> فللكفيل أيضاً أن يحتج بهذا البطلان</w:t>
      </w:r>
      <w:r>
        <w:rPr>
          <w:rFonts w:hint="cs"/>
          <w:color w:val="000000"/>
          <w:rtl/>
          <w:lang w:bidi="ar-EG"/>
        </w:rPr>
        <w:t xml:space="preserve"> ،</w:t>
      </w:r>
      <w:r w:rsidRPr="00315653">
        <w:rPr>
          <w:rFonts w:hint="cs"/>
          <w:color w:val="000000"/>
          <w:rtl/>
          <w:lang w:bidi="ar-EG"/>
        </w:rPr>
        <w:t xml:space="preserve"> فتكون كفالة الالتزام الباطل باطلة مثله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ولا يكون الالتزام باطلا إلا إذا كان التزاماً عقدياً</w:t>
      </w:r>
      <w:r>
        <w:rPr>
          <w:rFonts w:hint="cs"/>
          <w:color w:val="000000"/>
          <w:rtl/>
          <w:lang w:bidi="ar-EG"/>
        </w:rPr>
        <w:t xml:space="preserve"> ،</w:t>
      </w:r>
      <w:r w:rsidRPr="00315653">
        <w:rPr>
          <w:rFonts w:hint="cs"/>
          <w:color w:val="000000"/>
          <w:rtl/>
          <w:lang w:bidi="ar-EG"/>
        </w:rPr>
        <w:t xml:space="preserve"> أما الالتزام غير العقد فان القانون نفسه لا الإرادة هو الذي يتكفل بإنشائه وباستمداده من مصدره فلا يكون باطلا</w:t>
      </w:r>
      <w:r>
        <w:rPr>
          <w:rFonts w:hint="cs"/>
          <w:color w:val="000000"/>
          <w:rtl/>
          <w:lang w:bidi="ar-EG"/>
        </w:rPr>
        <w:t xml:space="preserve"> .</w:t>
      </w:r>
      <w:r w:rsidRPr="00315653">
        <w:rPr>
          <w:rFonts w:hint="cs"/>
          <w:color w:val="000000"/>
          <w:rtl/>
          <w:lang w:bidi="ar-EG"/>
        </w:rPr>
        <w:t xml:space="preserve"> فالالتزام الباطل إذن هو الالتزام الذي يراد إنشاؤه بعقد باطل</w:t>
      </w:r>
      <w:r>
        <w:rPr>
          <w:rFonts w:hint="cs"/>
          <w:color w:val="000000"/>
          <w:rtl/>
          <w:lang w:bidi="ar-EG"/>
        </w:rPr>
        <w:t xml:space="preserve"> ،</w:t>
      </w:r>
      <w:r w:rsidRPr="00315653">
        <w:rPr>
          <w:rFonts w:hint="cs"/>
          <w:color w:val="000000"/>
          <w:rtl/>
          <w:lang w:bidi="ar-EG"/>
        </w:rPr>
        <w:t xml:space="preserve"> والعقد يكون باطلا إذا اختل احد أركانه فانعدم ركن التراضي مثلا أو كان محله غير معين أو مستحيلا أو غير مشروع أو كان سببه غير مشروع أو كان غير مستوف للشكل الذي يتطلبه القانون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والأمثلة على العقد الباطل كثيرة</w:t>
      </w:r>
      <w:r>
        <w:rPr>
          <w:rFonts w:hint="cs"/>
          <w:color w:val="000000"/>
          <w:rtl/>
          <w:lang w:bidi="ar-EG"/>
        </w:rPr>
        <w:t xml:space="preserve"> .</w:t>
      </w:r>
      <w:r w:rsidRPr="00315653">
        <w:rPr>
          <w:rFonts w:hint="cs"/>
          <w:color w:val="000000"/>
          <w:rtl/>
          <w:lang w:bidi="ar-EG"/>
        </w:rPr>
        <w:t xml:space="preserve"> من ذلك دين المقامرة أو الرهان</w:t>
      </w:r>
      <w:r>
        <w:rPr>
          <w:rFonts w:hint="cs"/>
          <w:color w:val="000000"/>
          <w:rtl/>
          <w:lang w:bidi="ar-EG"/>
        </w:rPr>
        <w:t xml:space="preserve"> ،</w:t>
      </w:r>
      <w:r w:rsidRPr="00315653">
        <w:rPr>
          <w:rFonts w:hint="cs"/>
          <w:color w:val="000000"/>
          <w:rtl/>
          <w:lang w:bidi="ar-EG"/>
        </w:rPr>
        <w:t xml:space="preserve"> ودين الربا الفاحش فيما زاد على مقدار الفائدة المسموح بها قانوناً</w:t>
      </w:r>
      <w:r>
        <w:rPr>
          <w:rFonts w:hint="cs"/>
          <w:color w:val="000000"/>
          <w:rtl/>
          <w:lang w:bidi="ar-EG"/>
        </w:rPr>
        <w:t xml:space="preserve"> ،</w:t>
      </w:r>
      <w:r w:rsidRPr="00315653">
        <w:rPr>
          <w:rFonts w:hint="cs"/>
          <w:color w:val="000000"/>
          <w:rtl/>
          <w:lang w:bidi="ar-EG"/>
        </w:rPr>
        <w:t xml:space="preserve"> والدين الذي يكون محله غير موجود</w:t>
      </w:r>
      <w:r>
        <w:rPr>
          <w:rFonts w:hint="cs"/>
          <w:color w:val="000000"/>
          <w:vertAlign w:val="superscript"/>
          <w:rtl/>
          <w:lang w:bidi="ar-EG"/>
        </w:rPr>
        <w:t xml:space="preserve">( </w:t>
      </w:r>
      <w:r w:rsidRPr="00315653">
        <w:rPr>
          <w:rStyle w:val="ab"/>
          <w:color w:val="000000"/>
          <w:rtl/>
          <w:lang w:bidi="ar-EG"/>
        </w:rPr>
        <w:footnoteReference w:id="87"/>
      </w:r>
      <w:r>
        <w:rPr>
          <w:rFonts w:hint="cs"/>
          <w:color w:val="000000"/>
          <w:vertAlign w:val="superscript"/>
          <w:rtl/>
          <w:lang w:bidi="ar-EG"/>
        </w:rPr>
        <w:t xml:space="preserve"> )</w:t>
      </w:r>
      <w:r w:rsidRPr="00315653">
        <w:rPr>
          <w:rFonts w:hint="cs"/>
          <w:color w:val="000000"/>
          <w:rtl/>
          <w:lang w:bidi="ar-EG"/>
        </w:rPr>
        <w:t xml:space="preserve"> أو مستحيلا أو غير مشروع</w:t>
      </w:r>
      <w:r>
        <w:rPr>
          <w:rFonts w:hint="cs"/>
          <w:color w:val="000000"/>
          <w:rtl/>
          <w:lang w:bidi="ar-EG"/>
        </w:rPr>
        <w:t xml:space="preserve"> ،</w:t>
      </w:r>
      <w:r w:rsidRPr="00315653">
        <w:rPr>
          <w:rFonts w:hint="cs"/>
          <w:color w:val="000000"/>
          <w:rtl/>
          <w:lang w:bidi="ar-EG"/>
        </w:rPr>
        <w:t xml:space="preserve"> والدين الذي يقوم على سبب </w:t>
      </w:r>
      <w:r w:rsidRPr="00315653">
        <w:rPr>
          <w:rFonts w:hint="cs"/>
          <w:color w:val="000000"/>
          <w:rtl/>
          <w:lang w:bidi="ar-EG"/>
        </w:rPr>
        <w:lastRenderedPageBreak/>
        <w:t>غير شرعي</w:t>
      </w:r>
      <w:r>
        <w:rPr>
          <w:rFonts w:hint="cs"/>
          <w:color w:val="000000"/>
          <w:rtl/>
          <w:lang w:bidi="ar-EG"/>
        </w:rPr>
        <w:t xml:space="preserve"> ،</w:t>
      </w:r>
      <w:r w:rsidRPr="00315653">
        <w:rPr>
          <w:rFonts w:hint="cs"/>
          <w:color w:val="000000"/>
          <w:rtl/>
          <w:lang w:bidi="ar-EG"/>
        </w:rPr>
        <w:t xml:space="preserve"> والدين الذي يكون مصدره التعاقد على شركة مستقبلة</w:t>
      </w:r>
      <w:r>
        <w:rPr>
          <w:rFonts w:hint="cs"/>
          <w:color w:val="000000"/>
          <w:rtl/>
          <w:lang w:bidi="ar-EG"/>
        </w:rPr>
        <w:t xml:space="preserve"> ،</w:t>
      </w:r>
      <w:r w:rsidRPr="00315653">
        <w:rPr>
          <w:rFonts w:hint="cs"/>
          <w:color w:val="000000"/>
          <w:rtl/>
          <w:lang w:bidi="ar-EG"/>
        </w:rPr>
        <w:t xml:space="preserve"> والدين الذي يكون مصدره هبة باطلة في الشكل</w:t>
      </w:r>
      <w:r>
        <w:rPr>
          <w:rFonts w:hint="cs"/>
          <w:color w:val="000000"/>
          <w:vertAlign w:val="superscript"/>
          <w:rtl/>
          <w:lang w:bidi="ar-EG"/>
        </w:rPr>
        <w:t xml:space="preserve">( </w:t>
      </w:r>
      <w:r w:rsidRPr="00315653">
        <w:rPr>
          <w:rStyle w:val="ab"/>
          <w:color w:val="000000"/>
          <w:rtl/>
          <w:lang w:bidi="ar-EG"/>
        </w:rPr>
        <w:footnoteReference w:id="8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كل هذه $43 ديون باطلة لأن مصدرها عقد باطل</w:t>
      </w:r>
      <w:r>
        <w:rPr>
          <w:rFonts w:hint="cs"/>
          <w:color w:val="000000"/>
          <w:rtl/>
          <w:lang w:bidi="ar-EG"/>
        </w:rPr>
        <w:t xml:space="preserve"> ،</w:t>
      </w:r>
      <w:r w:rsidRPr="00315653">
        <w:rPr>
          <w:rFonts w:hint="cs"/>
          <w:color w:val="000000"/>
          <w:rtl/>
          <w:lang w:bidi="ar-EG"/>
        </w:rPr>
        <w:t xml:space="preserve"> وعلى ذل لا تجوز كفالتها</w:t>
      </w:r>
      <w:r>
        <w:rPr>
          <w:rFonts w:hint="cs"/>
          <w:color w:val="000000"/>
          <w:rtl/>
          <w:lang w:bidi="ar-EG"/>
        </w:rPr>
        <w:t xml:space="preserve"> ،</w:t>
      </w:r>
      <w:r w:rsidRPr="00315653">
        <w:rPr>
          <w:rFonts w:hint="cs"/>
          <w:color w:val="000000"/>
          <w:rtl/>
          <w:lang w:bidi="ar-EG"/>
        </w:rPr>
        <w:t xml:space="preserve"> ويكون التزام الكفيل في هذه الحالة باطلا بطلان الالتزام الأصلي المكفول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21- كفالة الالتزام القابل للإبطال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777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"من كفالة التزام ناقص الأهلية</w:t>
      </w:r>
      <w:r>
        <w:rPr>
          <w:rFonts w:hint="cs"/>
          <w:color w:val="000000"/>
          <w:rtl/>
          <w:lang w:bidi="ar-EG"/>
        </w:rPr>
        <w:t xml:space="preserve"> ،</w:t>
      </w:r>
      <w:r w:rsidRPr="00315653">
        <w:rPr>
          <w:rFonts w:hint="cs"/>
          <w:color w:val="000000"/>
          <w:rtl/>
          <w:lang w:bidi="ar-EG"/>
        </w:rPr>
        <w:t xml:space="preserve"> وكان الكفالة بسبب نقص الأهلية</w:t>
      </w:r>
      <w:r>
        <w:rPr>
          <w:rFonts w:hint="cs"/>
          <w:color w:val="000000"/>
          <w:rtl/>
          <w:lang w:bidi="ar-EG"/>
        </w:rPr>
        <w:t xml:space="preserve"> ،</w:t>
      </w:r>
      <w:r w:rsidRPr="00315653">
        <w:rPr>
          <w:rFonts w:hint="cs"/>
          <w:color w:val="000000"/>
          <w:rtl/>
          <w:lang w:bidi="ar-EG"/>
        </w:rPr>
        <w:t xml:space="preserve"> كان ملزماً بتنفيذ الالتزام إذا لم ينفذه المدين المكفول"</w:t>
      </w:r>
      <w:r>
        <w:rPr>
          <w:rFonts w:hint="cs"/>
          <w:color w:val="000000"/>
          <w:vertAlign w:val="superscript"/>
          <w:rtl/>
          <w:lang w:bidi="ar-EG"/>
        </w:rPr>
        <w:t xml:space="preserve">( </w:t>
      </w:r>
      <w:r w:rsidRPr="00315653">
        <w:rPr>
          <w:rStyle w:val="ab"/>
          <w:color w:val="000000"/>
          <w:rtl/>
          <w:lang w:bidi="ar-EG"/>
        </w:rPr>
        <w:footnoteReference w:id="8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lastRenderedPageBreak/>
        <w:t>$44 وهذا النص مقصور على كفالة ناقص الأهلية</w:t>
      </w:r>
      <w:r>
        <w:rPr>
          <w:rFonts w:hint="cs"/>
          <w:color w:val="000000"/>
          <w:rtl/>
          <w:lang w:bidi="ar-EG"/>
        </w:rPr>
        <w:t xml:space="preserve"> ،</w:t>
      </w:r>
      <w:r w:rsidRPr="00315653">
        <w:rPr>
          <w:rFonts w:hint="cs"/>
          <w:color w:val="000000"/>
          <w:rtl/>
          <w:lang w:bidi="ar-EG"/>
        </w:rPr>
        <w:t xml:space="preserve"> أي إذا كان الالتزام الأصلي قابلا للإبطال بسبب نقص الأهلية</w:t>
      </w:r>
      <w:r>
        <w:rPr>
          <w:rFonts w:hint="cs"/>
          <w:color w:val="000000"/>
          <w:rtl/>
          <w:lang w:bidi="ar-EG"/>
        </w:rPr>
        <w:t xml:space="preserve"> .</w:t>
      </w:r>
      <w:r w:rsidRPr="00315653">
        <w:rPr>
          <w:rFonts w:hint="cs"/>
          <w:color w:val="000000"/>
          <w:rtl/>
          <w:lang w:bidi="ar-EG"/>
        </w:rPr>
        <w:t xml:space="preserve"> ولكن القابلية للإبطال قد يكون لها سبب آخر غير نقص الأهلية</w:t>
      </w:r>
      <w:r>
        <w:rPr>
          <w:rFonts w:hint="cs"/>
          <w:color w:val="000000"/>
          <w:rtl/>
          <w:lang w:bidi="ar-EG"/>
        </w:rPr>
        <w:t xml:space="preserve"> ،</w:t>
      </w:r>
      <w:r w:rsidRPr="00315653">
        <w:rPr>
          <w:rFonts w:hint="cs"/>
          <w:color w:val="000000"/>
          <w:rtl/>
          <w:lang w:bidi="ar-EG"/>
        </w:rPr>
        <w:t xml:space="preserve"> فقد يكون سببها عيباً في الرضاء فيكون الرضاء مشوباً بالغلط أو بالتدليس أو بالإكراه أو بالاستغلال</w:t>
      </w:r>
      <w:r>
        <w:rPr>
          <w:rFonts w:hint="cs"/>
          <w:color w:val="000000"/>
          <w:rtl/>
          <w:lang w:bidi="ar-EG"/>
        </w:rPr>
        <w:t xml:space="preserve"> .</w:t>
      </w:r>
      <w:r w:rsidRPr="00315653">
        <w:rPr>
          <w:rFonts w:hint="cs"/>
          <w:color w:val="000000"/>
          <w:rtl/>
          <w:lang w:bidi="ar-EG"/>
        </w:rPr>
        <w:t xml:space="preserve"> وقد يكون سبب القابلية للإبطال نصاً في القانون</w:t>
      </w:r>
      <w:r>
        <w:rPr>
          <w:rFonts w:hint="cs"/>
          <w:color w:val="000000"/>
          <w:rtl/>
          <w:lang w:bidi="ar-EG"/>
        </w:rPr>
        <w:t xml:space="preserve"> ،</w:t>
      </w:r>
      <w:r w:rsidRPr="00315653">
        <w:rPr>
          <w:rFonts w:hint="cs"/>
          <w:color w:val="000000"/>
          <w:rtl/>
          <w:lang w:bidi="ar-EG"/>
        </w:rPr>
        <w:t xml:space="preserve"> كما هو الأمر في بيع ملك الغير فقد ورد نص على أن هذا البيع فيما بين البائع والمشتري قابل للإبطال لمصلحة المشتري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فإذا</w:t>
      </w:r>
      <w:r w:rsidRPr="00315653">
        <w:rPr>
          <w:rFonts w:hint="cs"/>
          <w:color w:val="000000"/>
          <w:rtl/>
        </w:rPr>
        <w:t xml:space="preserve"> كان سبب القابلية للإبطال غير نقص </w:t>
      </w:r>
      <w:r w:rsidRPr="00315653">
        <w:rPr>
          <w:rFonts w:hint="cs"/>
          <w:color w:val="000000"/>
          <w:rtl/>
          <w:lang w:bidi="ar-EG"/>
        </w:rPr>
        <w:t>الأهلية</w:t>
      </w:r>
      <w:r>
        <w:rPr>
          <w:rFonts w:hint="cs"/>
          <w:color w:val="000000"/>
          <w:rtl/>
        </w:rPr>
        <w:t xml:space="preserve"> ،</w:t>
      </w:r>
      <w:r w:rsidRPr="00315653">
        <w:rPr>
          <w:rFonts w:hint="cs"/>
          <w:color w:val="000000"/>
          <w:rtl/>
        </w:rPr>
        <w:t xml:space="preserve"> بأن كان السبب عيباً في الرضاء </w:t>
      </w:r>
      <w:r w:rsidRPr="00315653">
        <w:rPr>
          <w:rFonts w:hint="cs"/>
          <w:color w:val="000000"/>
          <w:rtl/>
          <w:lang w:bidi="ar-EG"/>
        </w:rPr>
        <w:t>أو</w:t>
      </w:r>
      <w:r w:rsidRPr="00315653">
        <w:rPr>
          <w:rFonts w:hint="cs"/>
          <w:color w:val="000000"/>
          <w:rtl/>
        </w:rPr>
        <w:t xml:space="preserve"> نصاً في القانون</w:t>
      </w:r>
      <w:r>
        <w:rPr>
          <w:rFonts w:hint="cs"/>
          <w:color w:val="000000"/>
          <w:rtl/>
        </w:rPr>
        <w:t xml:space="preserve"> ،</w:t>
      </w:r>
      <w:r w:rsidRPr="00315653">
        <w:rPr>
          <w:rFonts w:hint="cs"/>
          <w:color w:val="000000"/>
          <w:rtl/>
        </w:rPr>
        <w:t xml:space="preserve"> وجب تطبيق القواعد العامة</w:t>
      </w:r>
      <w:r>
        <w:rPr>
          <w:rFonts w:hint="cs"/>
          <w:color w:val="000000"/>
          <w:rtl/>
        </w:rPr>
        <w:t xml:space="preserve"> ،</w:t>
      </w:r>
      <w:r w:rsidRPr="00315653">
        <w:rPr>
          <w:rFonts w:hint="cs"/>
          <w:color w:val="000000"/>
          <w:rtl/>
        </w:rPr>
        <w:t xml:space="preserve"> </w:t>
      </w:r>
      <w:r w:rsidRPr="00315653">
        <w:rPr>
          <w:rFonts w:hint="cs"/>
          <w:color w:val="000000"/>
          <w:rtl/>
          <w:lang w:bidi="ar-EG"/>
        </w:rPr>
        <w:t>إذا</w:t>
      </w:r>
      <w:r w:rsidRPr="00315653">
        <w:rPr>
          <w:rFonts w:hint="cs"/>
          <w:color w:val="000000"/>
          <w:rtl/>
        </w:rPr>
        <w:t xml:space="preserve"> لم يرد نص في هذا الصدد كما ورد النص سالف الذكر في خصوص القابلية للإبطال بسبب نقص </w:t>
      </w:r>
      <w:r w:rsidRPr="00315653">
        <w:rPr>
          <w:rFonts w:hint="cs"/>
          <w:color w:val="000000"/>
          <w:rtl/>
          <w:lang w:bidi="ar-EG"/>
        </w:rPr>
        <w:t>الأهلية</w:t>
      </w:r>
      <w:r>
        <w:rPr>
          <w:rFonts w:hint="cs"/>
          <w:color w:val="000000"/>
          <w:rtl/>
        </w:rPr>
        <w:t xml:space="preserve"> .</w:t>
      </w:r>
      <w:r w:rsidRPr="00315653">
        <w:rPr>
          <w:rFonts w:hint="cs"/>
          <w:color w:val="000000"/>
          <w:rtl/>
        </w:rPr>
        <w:t xml:space="preserve"> ولما كانت القواعد العامة تقضي بأن يكون الالتزام قابلا للإبطال لعيب في الرضاء </w:t>
      </w:r>
      <w:r w:rsidRPr="00315653">
        <w:rPr>
          <w:rFonts w:hint="cs"/>
          <w:color w:val="000000"/>
          <w:rtl/>
          <w:lang w:bidi="ar-EG"/>
        </w:rPr>
        <w:t>أو</w:t>
      </w:r>
      <w:r w:rsidRPr="00315653">
        <w:rPr>
          <w:rFonts w:hint="cs"/>
          <w:color w:val="000000"/>
          <w:rtl/>
        </w:rPr>
        <w:t xml:space="preserve"> لنص في القانون</w:t>
      </w:r>
      <w:r>
        <w:rPr>
          <w:rFonts w:hint="cs"/>
          <w:color w:val="000000"/>
          <w:rtl/>
        </w:rPr>
        <w:t xml:space="preserve"> ،</w:t>
      </w:r>
      <w:r w:rsidRPr="00315653">
        <w:rPr>
          <w:rFonts w:hint="cs"/>
          <w:color w:val="000000"/>
          <w:rtl/>
        </w:rPr>
        <w:t xml:space="preserve"> </w:t>
      </w:r>
      <w:r w:rsidRPr="00315653">
        <w:rPr>
          <w:rFonts w:hint="cs"/>
          <w:color w:val="000000"/>
          <w:rtl/>
          <w:lang w:bidi="ar-EG"/>
        </w:rPr>
        <w:t>فإن</w:t>
      </w:r>
      <w:r w:rsidRPr="00315653">
        <w:rPr>
          <w:rFonts w:hint="cs"/>
          <w:color w:val="000000"/>
          <w:rtl/>
        </w:rPr>
        <w:t xml:space="preserve"> الكفيل والتزامه تابع للالتزام </w:t>
      </w:r>
      <w:r w:rsidRPr="00315653">
        <w:rPr>
          <w:rFonts w:hint="cs"/>
          <w:color w:val="000000"/>
          <w:rtl/>
          <w:lang w:bidi="ar-EG"/>
        </w:rPr>
        <w:t>الأصلي</w:t>
      </w:r>
      <w:r w:rsidRPr="00315653">
        <w:rPr>
          <w:rFonts w:hint="cs"/>
          <w:color w:val="000000"/>
          <w:rtl/>
        </w:rPr>
        <w:t xml:space="preserve"> المكفول يستطيع </w:t>
      </w:r>
      <w:r w:rsidRPr="00315653">
        <w:rPr>
          <w:rFonts w:hint="cs"/>
          <w:color w:val="000000"/>
          <w:rtl/>
          <w:lang w:bidi="ar-EG"/>
        </w:rPr>
        <w:t>أن</w:t>
      </w:r>
      <w:r w:rsidRPr="00315653">
        <w:rPr>
          <w:rFonts w:hint="cs"/>
          <w:color w:val="000000"/>
          <w:rtl/>
        </w:rPr>
        <w:t xml:space="preserve"> يتمسك بهذا الدفع</w:t>
      </w:r>
      <w:r>
        <w:rPr>
          <w:rFonts w:hint="cs"/>
          <w:color w:val="000000"/>
          <w:rtl/>
        </w:rPr>
        <w:t xml:space="preserve"> ،</w:t>
      </w:r>
      <w:r w:rsidRPr="00315653">
        <w:rPr>
          <w:rFonts w:hint="cs"/>
          <w:color w:val="000000"/>
          <w:rtl/>
        </w:rPr>
        <w:t xml:space="preserve"> </w:t>
      </w:r>
      <w:r w:rsidRPr="00315653">
        <w:rPr>
          <w:rFonts w:hint="cs"/>
          <w:color w:val="000000"/>
          <w:rtl/>
          <w:lang w:bidi="ar-EG"/>
        </w:rPr>
        <w:t>وإذا</w:t>
      </w:r>
      <w:r w:rsidRPr="00315653">
        <w:rPr>
          <w:rFonts w:hint="cs"/>
          <w:color w:val="000000"/>
          <w:rtl/>
        </w:rPr>
        <w:t xml:space="preserve"> رجع عليه الدائن تمسك </w:t>
      </w:r>
      <w:r w:rsidRPr="00315653">
        <w:rPr>
          <w:rFonts w:hint="cs"/>
          <w:color w:val="000000"/>
          <w:rtl/>
          <w:lang w:bidi="ar-EG"/>
        </w:rPr>
        <w:t>بأن</w:t>
      </w:r>
      <w:r w:rsidRPr="00315653">
        <w:rPr>
          <w:rFonts w:hint="cs"/>
          <w:color w:val="000000"/>
          <w:rtl/>
        </w:rPr>
        <w:t xml:space="preserve"> التزامه قابل </w:t>
      </w:r>
      <w:r w:rsidRPr="00315653">
        <w:rPr>
          <w:rFonts w:hint="cs"/>
          <w:color w:val="000000"/>
          <w:rtl/>
          <w:lang w:bidi="ar-EG"/>
        </w:rPr>
        <w:t>للإبطال</w:t>
      </w:r>
      <w:r w:rsidRPr="00315653">
        <w:rPr>
          <w:rFonts w:hint="cs"/>
          <w:color w:val="000000"/>
          <w:rtl/>
        </w:rPr>
        <w:t xml:space="preserve"> كالتزام المدين </w:t>
      </w:r>
      <w:r w:rsidRPr="00315653">
        <w:rPr>
          <w:rFonts w:hint="cs"/>
          <w:color w:val="000000"/>
          <w:rtl/>
          <w:lang w:bidi="ar-EG"/>
        </w:rPr>
        <w:t>الأصلي</w:t>
      </w:r>
      <w:r>
        <w:rPr>
          <w:rFonts w:hint="cs"/>
          <w:color w:val="000000"/>
          <w:vertAlign w:val="superscript"/>
          <w:rtl/>
          <w:lang w:bidi="ar-EG"/>
        </w:rPr>
        <w:t xml:space="preserve">( </w:t>
      </w:r>
      <w:r w:rsidRPr="00315653">
        <w:rPr>
          <w:rStyle w:val="ab"/>
          <w:color w:val="000000"/>
          <w:rtl/>
          <w:lang w:bidi="ar-EG"/>
        </w:rPr>
        <w:footnoteReference w:id="9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وعلى ذلك </w:t>
      </w:r>
      <w:r w:rsidRPr="00315653">
        <w:rPr>
          <w:rFonts w:hint="cs"/>
          <w:color w:val="000000"/>
          <w:rtl/>
          <w:lang w:bidi="ar-EG"/>
        </w:rPr>
        <w:t>إذ</w:t>
      </w:r>
      <w:r w:rsidRPr="00315653">
        <w:rPr>
          <w:rFonts w:hint="cs"/>
          <w:color w:val="000000"/>
          <w:rtl/>
        </w:rPr>
        <w:t xml:space="preserve"> كفل شخص مديناً بعقد يشوبه غلط </w:t>
      </w:r>
      <w:r w:rsidRPr="00315653">
        <w:rPr>
          <w:rFonts w:hint="cs"/>
          <w:color w:val="000000"/>
          <w:rtl/>
          <w:lang w:bidi="ar-EG"/>
        </w:rPr>
        <w:t>أو</w:t>
      </w:r>
      <w:r w:rsidRPr="00315653">
        <w:rPr>
          <w:rFonts w:hint="cs"/>
          <w:color w:val="000000"/>
          <w:rtl/>
        </w:rPr>
        <w:t xml:space="preserve"> تدليس </w:t>
      </w:r>
      <w:r w:rsidRPr="00315653">
        <w:rPr>
          <w:rFonts w:hint="cs"/>
          <w:color w:val="000000"/>
          <w:rtl/>
          <w:lang w:bidi="ar-EG"/>
        </w:rPr>
        <w:t>أو</w:t>
      </w:r>
      <w:r w:rsidRPr="00315653">
        <w:rPr>
          <w:rFonts w:hint="cs"/>
          <w:color w:val="000000"/>
          <w:rtl/>
        </w:rPr>
        <w:t xml:space="preserve"> إكراه</w:t>
      </w:r>
      <w:r>
        <w:rPr>
          <w:rFonts w:hint="cs"/>
          <w:color w:val="000000"/>
          <w:rtl/>
        </w:rPr>
        <w:t xml:space="preserve"> ،</w:t>
      </w:r>
      <w:r w:rsidRPr="00315653">
        <w:rPr>
          <w:rFonts w:hint="cs"/>
          <w:color w:val="000000"/>
          <w:rtl/>
        </w:rPr>
        <w:t xml:space="preserve"> </w:t>
      </w:r>
      <w:r w:rsidRPr="00315653">
        <w:rPr>
          <w:rFonts w:hint="cs"/>
          <w:color w:val="000000"/>
          <w:rtl/>
          <w:lang w:bidi="ar-EG"/>
        </w:rPr>
        <w:t>أو</w:t>
      </w:r>
      <w:r w:rsidRPr="00315653">
        <w:rPr>
          <w:rFonts w:hint="cs"/>
          <w:color w:val="000000"/>
          <w:rtl/>
        </w:rPr>
        <w:t xml:space="preserve"> كفل شخص مشترياً من غير المالك</w:t>
      </w:r>
      <w:r>
        <w:rPr>
          <w:rFonts w:hint="cs"/>
          <w:color w:val="000000"/>
          <w:rtl/>
        </w:rPr>
        <w:t xml:space="preserve"> ،</w:t>
      </w:r>
      <w:r w:rsidRPr="00315653">
        <w:rPr>
          <w:rFonts w:hint="cs"/>
          <w:color w:val="000000"/>
          <w:rtl/>
        </w:rPr>
        <w:t xml:space="preserve"> جاز للكفيل </w:t>
      </w:r>
      <w:r w:rsidRPr="00315653">
        <w:rPr>
          <w:rFonts w:hint="cs"/>
          <w:color w:val="000000"/>
          <w:rtl/>
          <w:lang w:bidi="ar-EG"/>
        </w:rPr>
        <w:t>أن</w:t>
      </w:r>
      <w:r w:rsidRPr="00315653">
        <w:rPr>
          <w:rFonts w:hint="cs"/>
          <w:color w:val="000000"/>
          <w:rtl/>
        </w:rPr>
        <w:t xml:space="preserve"> يتمسك </w:t>
      </w:r>
      <w:r w:rsidRPr="00315653">
        <w:rPr>
          <w:rFonts w:hint="cs"/>
          <w:color w:val="000000"/>
          <w:rtl/>
          <w:lang w:bidi="ar-EG"/>
        </w:rPr>
        <w:t>بأن</w:t>
      </w:r>
      <w:r w:rsidRPr="00315653">
        <w:rPr>
          <w:rFonts w:hint="cs"/>
          <w:color w:val="000000"/>
          <w:rtl/>
        </w:rPr>
        <w:t xml:space="preserve"> التزامه ككفيل $35 هو </w:t>
      </w:r>
      <w:r w:rsidRPr="00315653">
        <w:rPr>
          <w:rFonts w:hint="cs"/>
          <w:color w:val="000000"/>
          <w:rtl/>
          <w:lang w:bidi="ar-EG"/>
        </w:rPr>
        <w:t>أيضاً</w:t>
      </w:r>
      <w:r w:rsidRPr="00315653">
        <w:rPr>
          <w:rFonts w:hint="cs"/>
          <w:color w:val="000000"/>
          <w:rtl/>
        </w:rPr>
        <w:t xml:space="preserve"> قابل </w:t>
      </w:r>
      <w:r w:rsidRPr="00315653">
        <w:rPr>
          <w:rFonts w:hint="cs"/>
          <w:color w:val="000000"/>
          <w:rtl/>
          <w:lang w:bidi="ar-EG"/>
        </w:rPr>
        <w:t>للإبطال</w:t>
      </w:r>
      <w:r w:rsidRPr="00315653">
        <w:rPr>
          <w:rFonts w:hint="cs"/>
          <w:color w:val="000000"/>
          <w:rtl/>
        </w:rPr>
        <w:t xml:space="preserve"> كالتزام المدين </w:t>
      </w:r>
      <w:r w:rsidRPr="00315653">
        <w:rPr>
          <w:rFonts w:hint="cs"/>
          <w:color w:val="000000"/>
          <w:rtl/>
          <w:lang w:bidi="ar-EG"/>
        </w:rPr>
        <w:t>الأصلي</w:t>
      </w:r>
      <w:r>
        <w:rPr>
          <w:rFonts w:hint="cs"/>
          <w:color w:val="000000"/>
          <w:rtl/>
        </w:rPr>
        <w:t xml:space="preserve"> .</w:t>
      </w:r>
      <w:r w:rsidRPr="00315653">
        <w:rPr>
          <w:rFonts w:hint="cs"/>
          <w:color w:val="000000"/>
          <w:rtl/>
        </w:rPr>
        <w:t xml:space="preserve"> ونأتي بتطبيق عملي لما تقدم</w:t>
      </w:r>
      <w:r>
        <w:rPr>
          <w:rFonts w:hint="cs"/>
          <w:color w:val="000000"/>
          <w:rtl/>
        </w:rPr>
        <w:t xml:space="preserve"> ،</w:t>
      </w:r>
      <w:r w:rsidRPr="00315653">
        <w:rPr>
          <w:rFonts w:hint="cs"/>
          <w:color w:val="000000"/>
          <w:rtl/>
        </w:rPr>
        <w:t xml:space="preserve"> ونفرض </w:t>
      </w:r>
      <w:r w:rsidRPr="00315653">
        <w:rPr>
          <w:rFonts w:hint="cs"/>
          <w:color w:val="000000"/>
          <w:rtl/>
          <w:lang w:bidi="ar-EG"/>
        </w:rPr>
        <w:t>أن</w:t>
      </w:r>
      <w:r w:rsidRPr="00315653">
        <w:rPr>
          <w:rFonts w:hint="cs"/>
          <w:color w:val="000000"/>
          <w:rtl/>
        </w:rPr>
        <w:t xml:space="preserve"> مديناً بموجب عقد قد وقع في غلط عند تعاقده وتوافر في الغلط الشروط الواجبة ليجعل العقد قابلا </w:t>
      </w:r>
      <w:r w:rsidRPr="00315653">
        <w:rPr>
          <w:rFonts w:hint="cs"/>
          <w:color w:val="000000"/>
          <w:rtl/>
          <w:lang w:bidi="ar-EG"/>
        </w:rPr>
        <w:t>للإبطال</w:t>
      </w:r>
      <w:r>
        <w:rPr>
          <w:rFonts w:hint="cs"/>
          <w:color w:val="000000"/>
          <w:rtl/>
        </w:rPr>
        <w:t xml:space="preserve"> .</w:t>
      </w:r>
      <w:r w:rsidRPr="00315653">
        <w:rPr>
          <w:rFonts w:hint="cs"/>
          <w:color w:val="000000"/>
          <w:rtl/>
        </w:rPr>
        <w:t xml:space="preserve"> </w:t>
      </w:r>
      <w:r w:rsidRPr="00315653">
        <w:rPr>
          <w:rFonts w:hint="cs"/>
          <w:color w:val="000000"/>
          <w:rtl/>
          <w:lang w:bidi="ar-EG"/>
        </w:rPr>
        <w:t>فإذا</w:t>
      </w:r>
      <w:r w:rsidRPr="00315653">
        <w:rPr>
          <w:rFonts w:hint="cs"/>
          <w:color w:val="000000"/>
          <w:rtl/>
        </w:rPr>
        <w:t xml:space="preserve"> كفل شخص هذا المدين</w:t>
      </w:r>
      <w:r>
        <w:rPr>
          <w:rFonts w:hint="cs"/>
          <w:color w:val="000000"/>
          <w:rtl/>
        </w:rPr>
        <w:t xml:space="preserve"> ،</w:t>
      </w:r>
      <w:r w:rsidRPr="00315653">
        <w:rPr>
          <w:rFonts w:hint="cs"/>
          <w:color w:val="000000"/>
          <w:rtl/>
        </w:rPr>
        <w:t xml:space="preserve"> ثم كشف المدين </w:t>
      </w:r>
      <w:r w:rsidRPr="00315653">
        <w:rPr>
          <w:rFonts w:hint="cs"/>
          <w:color w:val="000000"/>
          <w:rtl/>
          <w:lang w:bidi="ar-EG"/>
        </w:rPr>
        <w:t>الأصلي</w:t>
      </w:r>
      <w:r w:rsidRPr="00315653">
        <w:rPr>
          <w:rFonts w:hint="cs"/>
          <w:color w:val="000000"/>
          <w:rtl/>
        </w:rPr>
        <w:t xml:space="preserve"> </w:t>
      </w:r>
      <w:r w:rsidRPr="00315653">
        <w:rPr>
          <w:rFonts w:hint="cs"/>
          <w:color w:val="000000"/>
          <w:rtl/>
          <w:lang w:bidi="ar-EG"/>
        </w:rPr>
        <w:t>أنه</w:t>
      </w:r>
      <w:r w:rsidRPr="00315653">
        <w:rPr>
          <w:rFonts w:hint="cs"/>
          <w:color w:val="000000"/>
          <w:rtl/>
        </w:rPr>
        <w:t xml:space="preserve"> وقع في غلط فتمسك بإبطال العقد</w:t>
      </w:r>
      <w:r>
        <w:rPr>
          <w:rFonts w:hint="cs"/>
          <w:color w:val="000000"/>
          <w:rtl/>
        </w:rPr>
        <w:t xml:space="preserve"> ،</w:t>
      </w:r>
      <w:r w:rsidRPr="00315653">
        <w:rPr>
          <w:rFonts w:hint="cs"/>
          <w:color w:val="000000"/>
          <w:rtl/>
        </w:rPr>
        <w:t xml:space="preserve"> جاز لكفيله </w:t>
      </w:r>
      <w:r w:rsidRPr="00315653">
        <w:rPr>
          <w:rFonts w:hint="cs"/>
          <w:color w:val="000000"/>
          <w:rtl/>
          <w:lang w:bidi="ar-EG"/>
        </w:rPr>
        <w:t>أيضاً</w:t>
      </w:r>
      <w:r w:rsidRPr="00315653">
        <w:rPr>
          <w:rFonts w:hint="cs"/>
          <w:color w:val="000000"/>
          <w:rtl/>
        </w:rPr>
        <w:t xml:space="preserve"> </w:t>
      </w:r>
      <w:r w:rsidRPr="00315653">
        <w:rPr>
          <w:rFonts w:hint="cs"/>
          <w:color w:val="000000"/>
          <w:rtl/>
          <w:lang w:bidi="ar-EG"/>
        </w:rPr>
        <w:t>أن</w:t>
      </w:r>
      <w:r w:rsidRPr="00315653">
        <w:rPr>
          <w:rFonts w:hint="cs"/>
          <w:color w:val="000000"/>
          <w:rtl/>
        </w:rPr>
        <w:t xml:space="preserve"> يتمسك </w:t>
      </w:r>
      <w:r w:rsidRPr="00315653">
        <w:rPr>
          <w:rFonts w:hint="cs"/>
          <w:color w:val="000000"/>
          <w:rtl/>
          <w:lang w:bidi="ar-EG"/>
        </w:rPr>
        <w:t>بإبطال</w:t>
      </w:r>
      <w:r w:rsidRPr="00315653">
        <w:rPr>
          <w:rFonts w:hint="cs"/>
          <w:color w:val="000000"/>
          <w:rtl/>
        </w:rPr>
        <w:t xml:space="preserve"> الكفالة أسوة بالمدين </w:t>
      </w:r>
      <w:r w:rsidRPr="00315653">
        <w:rPr>
          <w:rFonts w:hint="cs"/>
          <w:color w:val="000000"/>
          <w:rtl/>
          <w:lang w:bidi="ar-EG"/>
        </w:rPr>
        <w:t>الأصلي</w:t>
      </w:r>
      <w:r>
        <w:rPr>
          <w:rFonts w:hint="cs"/>
          <w:color w:val="000000"/>
          <w:rtl/>
        </w:rPr>
        <w:t xml:space="preserve"> ،</w:t>
      </w:r>
      <w:r w:rsidRPr="00315653">
        <w:rPr>
          <w:rFonts w:hint="cs"/>
          <w:color w:val="000000"/>
          <w:rtl/>
        </w:rPr>
        <w:t xml:space="preserve"> فله </w:t>
      </w:r>
      <w:r w:rsidRPr="00315653">
        <w:rPr>
          <w:rFonts w:hint="cs"/>
          <w:color w:val="000000"/>
          <w:rtl/>
          <w:lang w:bidi="ar-EG"/>
        </w:rPr>
        <w:t>إذن</w:t>
      </w:r>
      <w:r w:rsidRPr="00315653">
        <w:rPr>
          <w:rFonts w:hint="cs"/>
          <w:color w:val="000000"/>
          <w:rtl/>
        </w:rPr>
        <w:t xml:space="preserve"> </w:t>
      </w:r>
      <w:r w:rsidRPr="00315653">
        <w:rPr>
          <w:rFonts w:hint="cs"/>
          <w:color w:val="000000"/>
          <w:rtl/>
          <w:lang w:bidi="ar-EG"/>
        </w:rPr>
        <w:t>أن</w:t>
      </w:r>
      <w:r w:rsidRPr="00315653">
        <w:rPr>
          <w:rFonts w:hint="cs"/>
          <w:color w:val="000000"/>
          <w:rtl/>
        </w:rPr>
        <w:t xml:space="preserve"> يتمسك بهذا الدفع</w:t>
      </w:r>
      <w:r>
        <w:rPr>
          <w:rFonts w:hint="cs"/>
          <w:color w:val="000000"/>
          <w:rtl/>
        </w:rPr>
        <w:t xml:space="preserve"> .</w:t>
      </w:r>
      <w:r w:rsidRPr="00315653">
        <w:rPr>
          <w:rFonts w:hint="cs"/>
          <w:color w:val="000000"/>
          <w:rtl/>
        </w:rPr>
        <w:t xml:space="preserve"> ولا نرى </w:t>
      </w:r>
      <w:r w:rsidRPr="00315653">
        <w:rPr>
          <w:rFonts w:hint="cs"/>
          <w:color w:val="000000"/>
          <w:rtl/>
          <w:lang w:bidi="ar-EG"/>
        </w:rPr>
        <w:t>أن</w:t>
      </w:r>
      <w:r w:rsidRPr="00315653">
        <w:rPr>
          <w:rFonts w:hint="cs"/>
          <w:color w:val="000000"/>
          <w:rtl/>
        </w:rPr>
        <w:t xml:space="preserve"> الكفيل يحرم من هذا الدفع </w:t>
      </w:r>
      <w:r w:rsidRPr="00315653">
        <w:rPr>
          <w:rFonts w:hint="cs"/>
          <w:color w:val="000000"/>
          <w:rtl/>
          <w:lang w:bidi="ar-EG"/>
        </w:rPr>
        <w:t>إذا</w:t>
      </w:r>
      <w:r w:rsidRPr="00315653">
        <w:rPr>
          <w:rFonts w:hint="cs"/>
          <w:color w:val="000000"/>
          <w:rtl/>
        </w:rPr>
        <w:t xml:space="preserve"> فرضنا </w:t>
      </w:r>
      <w:r w:rsidRPr="00315653">
        <w:rPr>
          <w:rFonts w:hint="cs"/>
          <w:color w:val="000000"/>
          <w:rtl/>
          <w:lang w:bidi="ar-EG"/>
        </w:rPr>
        <w:t>أن</w:t>
      </w:r>
      <w:r w:rsidRPr="00315653">
        <w:rPr>
          <w:rFonts w:hint="cs"/>
          <w:color w:val="000000"/>
          <w:rtl/>
        </w:rPr>
        <w:t xml:space="preserve"> المدين </w:t>
      </w:r>
      <w:r w:rsidRPr="00315653">
        <w:rPr>
          <w:rFonts w:hint="cs"/>
          <w:color w:val="000000"/>
          <w:rtl/>
          <w:lang w:bidi="ar-EG"/>
        </w:rPr>
        <w:t>الأصلي</w:t>
      </w:r>
      <w:r w:rsidRPr="00315653">
        <w:rPr>
          <w:rFonts w:hint="cs"/>
          <w:color w:val="000000"/>
          <w:rtl/>
        </w:rPr>
        <w:t xml:space="preserve"> بعد </w:t>
      </w:r>
      <w:r w:rsidRPr="00315653">
        <w:rPr>
          <w:rFonts w:hint="cs"/>
          <w:color w:val="000000"/>
          <w:rtl/>
          <w:lang w:bidi="ar-EG"/>
        </w:rPr>
        <w:t>أن</w:t>
      </w:r>
      <w:r w:rsidRPr="00315653">
        <w:rPr>
          <w:rFonts w:hint="cs"/>
          <w:color w:val="000000"/>
          <w:rtl/>
        </w:rPr>
        <w:t xml:space="preserve"> كشف </w:t>
      </w:r>
      <w:r w:rsidRPr="00315653">
        <w:rPr>
          <w:rFonts w:hint="cs"/>
          <w:color w:val="000000"/>
          <w:rtl/>
          <w:lang w:bidi="ar-EG"/>
        </w:rPr>
        <w:t>أنه</w:t>
      </w:r>
      <w:r w:rsidRPr="00315653">
        <w:rPr>
          <w:rFonts w:hint="cs"/>
          <w:color w:val="000000"/>
          <w:rtl/>
        </w:rPr>
        <w:t xml:space="preserve"> وقع في غلط أجاز العقد فانقلب صحيحاً</w:t>
      </w:r>
      <w:r>
        <w:rPr>
          <w:rFonts w:hint="cs"/>
          <w:color w:val="000000"/>
          <w:rtl/>
        </w:rPr>
        <w:t xml:space="preserve"> ،</w:t>
      </w:r>
      <w:r w:rsidRPr="00315653">
        <w:rPr>
          <w:rFonts w:hint="cs"/>
          <w:color w:val="000000"/>
          <w:rtl/>
        </w:rPr>
        <w:t xml:space="preserve"> بل يبقى للكفيل حتى في هذه الحالة حق التمسك </w:t>
      </w:r>
      <w:r w:rsidRPr="00315653">
        <w:rPr>
          <w:rFonts w:hint="cs"/>
          <w:color w:val="000000"/>
          <w:rtl/>
          <w:lang w:bidi="ar-EG"/>
        </w:rPr>
        <w:t>بإبطال</w:t>
      </w:r>
      <w:r w:rsidRPr="00315653">
        <w:rPr>
          <w:rFonts w:hint="cs"/>
          <w:color w:val="000000"/>
          <w:rtl/>
        </w:rPr>
        <w:t xml:space="preserve"> الكفالة</w:t>
      </w:r>
      <w:r>
        <w:rPr>
          <w:rFonts w:hint="cs"/>
          <w:color w:val="000000"/>
          <w:rtl/>
        </w:rPr>
        <w:t xml:space="preserve"> .</w:t>
      </w:r>
      <w:r w:rsidRPr="00315653">
        <w:rPr>
          <w:rFonts w:hint="cs"/>
          <w:color w:val="000000"/>
          <w:rtl/>
        </w:rPr>
        <w:t xml:space="preserve"> ذلك </w:t>
      </w:r>
      <w:r w:rsidRPr="00315653">
        <w:rPr>
          <w:rFonts w:hint="cs"/>
          <w:color w:val="000000"/>
          <w:rtl/>
          <w:lang w:bidi="ar-EG"/>
        </w:rPr>
        <w:t>أن</w:t>
      </w:r>
      <w:r w:rsidRPr="00315653">
        <w:rPr>
          <w:rFonts w:hint="cs"/>
          <w:color w:val="000000"/>
          <w:rtl/>
        </w:rPr>
        <w:t xml:space="preserve"> الكفيل قد كفل مديناً بعقد قابل </w:t>
      </w:r>
      <w:r w:rsidRPr="00315653">
        <w:rPr>
          <w:rFonts w:hint="cs"/>
          <w:color w:val="000000"/>
          <w:rtl/>
          <w:lang w:bidi="ar-EG"/>
        </w:rPr>
        <w:t>للإبطال</w:t>
      </w:r>
      <w:r>
        <w:rPr>
          <w:rFonts w:hint="cs"/>
          <w:color w:val="000000"/>
          <w:rtl/>
        </w:rPr>
        <w:t xml:space="preserve"> ،</w:t>
      </w:r>
      <w:r w:rsidRPr="00315653">
        <w:rPr>
          <w:rFonts w:hint="cs"/>
          <w:color w:val="000000"/>
          <w:rtl/>
        </w:rPr>
        <w:t xml:space="preserve"> فلا يستطيع هذا المدين </w:t>
      </w:r>
      <w:r w:rsidRPr="00315653">
        <w:rPr>
          <w:rFonts w:hint="cs"/>
          <w:color w:val="000000"/>
          <w:rtl/>
          <w:lang w:bidi="ar-EG"/>
        </w:rPr>
        <w:t>أن</w:t>
      </w:r>
      <w:r w:rsidRPr="00315653">
        <w:rPr>
          <w:rFonts w:hint="cs"/>
          <w:color w:val="000000"/>
          <w:rtl/>
        </w:rPr>
        <w:t xml:space="preserve"> يسوئ مركز الكفيل بإجازته هذا العقد</w:t>
      </w:r>
      <w:r>
        <w:rPr>
          <w:rFonts w:hint="cs"/>
          <w:color w:val="000000"/>
          <w:rtl/>
        </w:rPr>
        <w:t xml:space="preserve"> .</w:t>
      </w:r>
      <w:r w:rsidRPr="00315653">
        <w:rPr>
          <w:rFonts w:hint="cs"/>
          <w:color w:val="000000"/>
          <w:rtl/>
        </w:rPr>
        <w:t xml:space="preserve"> ويكون للكفيل </w:t>
      </w:r>
      <w:r w:rsidRPr="00315653">
        <w:rPr>
          <w:rFonts w:hint="cs"/>
          <w:color w:val="000000"/>
          <w:rtl/>
          <w:lang w:bidi="ar-EG"/>
        </w:rPr>
        <w:t>أن</w:t>
      </w:r>
      <w:r w:rsidRPr="00315653">
        <w:rPr>
          <w:rFonts w:hint="cs"/>
          <w:color w:val="000000"/>
          <w:rtl/>
        </w:rPr>
        <w:t xml:space="preserve"> يتمسك بإبطال الكفالة حتى لو أجاز المدين </w:t>
      </w:r>
      <w:r w:rsidRPr="00315653">
        <w:rPr>
          <w:rFonts w:hint="cs"/>
          <w:color w:val="000000"/>
          <w:rtl/>
          <w:lang w:bidi="ar-EG"/>
        </w:rPr>
        <w:t>الأصلي</w:t>
      </w:r>
      <w:r w:rsidRPr="00315653">
        <w:rPr>
          <w:rFonts w:hint="cs"/>
          <w:color w:val="000000"/>
          <w:rtl/>
        </w:rPr>
        <w:t xml:space="preserve"> العقد</w:t>
      </w:r>
      <w:r>
        <w:rPr>
          <w:rFonts w:hint="cs"/>
          <w:color w:val="000000"/>
          <w:rtl/>
        </w:rPr>
        <w:t xml:space="preserve"> ،</w:t>
      </w:r>
      <w:r w:rsidRPr="00315653">
        <w:rPr>
          <w:rFonts w:hint="cs"/>
          <w:color w:val="000000"/>
          <w:rtl/>
        </w:rPr>
        <w:t xml:space="preserve"> وذلك ما لم يجز الكفيل بدوره الكفالة فتصبح صحيحة بعد </w:t>
      </w:r>
      <w:r w:rsidRPr="00315653">
        <w:rPr>
          <w:rFonts w:hint="cs"/>
          <w:color w:val="000000"/>
          <w:rtl/>
          <w:lang w:bidi="ar-EG"/>
        </w:rPr>
        <w:t>أن</w:t>
      </w:r>
      <w:r w:rsidRPr="00315653">
        <w:rPr>
          <w:rFonts w:hint="cs"/>
          <w:color w:val="000000"/>
          <w:rtl/>
        </w:rPr>
        <w:t xml:space="preserve"> كانت قابلة للإبطال</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بقي ما </w:t>
      </w:r>
      <w:r w:rsidRPr="00315653">
        <w:rPr>
          <w:rFonts w:hint="cs"/>
          <w:color w:val="000000"/>
          <w:rtl/>
          <w:lang w:bidi="ar-EG"/>
        </w:rPr>
        <w:t>إذا</w:t>
      </w:r>
      <w:r w:rsidRPr="00315653">
        <w:rPr>
          <w:rFonts w:hint="cs"/>
          <w:color w:val="000000"/>
          <w:rtl/>
        </w:rPr>
        <w:t xml:space="preserve"> كان سبب القابلية </w:t>
      </w:r>
      <w:r w:rsidRPr="00315653">
        <w:rPr>
          <w:rFonts w:hint="cs"/>
          <w:color w:val="000000"/>
          <w:rtl/>
          <w:lang w:bidi="ar-EG"/>
        </w:rPr>
        <w:t>للإبطال</w:t>
      </w:r>
      <w:r w:rsidRPr="00315653">
        <w:rPr>
          <w:rFonts w:hint="cs"/>
          <w:color w:val="000000"/>
          <w:rtl/>
        </w:rPr>
        <w:t xml:space="preserve"> هو نقص </w:t>
      </w:r>
      <w:r w:rsidRPr="00315653">
        <w:rPr>
          <w:rFonts w:hint="cs"/>
          <w:color w:val="000000"/>
          <w:rtl/>
          <w:lang w:bidi="ar-EG"/>
        </w:rPr>
        <w:t>الأهلية</w:t>
      </w:r>
      <w:r>
        <w:rPr>
          <w:rFonts w:hint="cs"/>
          <w:color w:val="000000"/>
          <w:rtl/>
        </w:rPr>
        <w:t xml:space="preserve"> ،</w:t>
      </w:r>
      <w:r w:rsidRPr="00315653">
        <w:rPr>
          <w:rFonts w:hint="cs"/>
          <w:color w:val="000000"/>
          <w:rtl/>
        </w:rPr>
        <w:t xml:space="preserve"> وقد اقترحت لجنة </w:t>
      </w:r>
      <w:r w:rsidRPr="00315653">
        <w:rPr>
          <w:rFonts w:hint="cs"/>
          <w:color w:val="000000"/>
          <w:rtl/>
          <w:lang w:bidi="ar-EG"/>
        </w:rPr>
        <w:t>الأستاذ</w:t>
      </w:r>
      <w:r w:rsidRPr="00315653">
        <w:rPr>
          <w:rFonts w:hint="cs"/>
          <w:color w:val="000000"/>
          <w:rtl/>
        </w:rPr>
        <w:t xml:space="preserve"> كامل صدقي الأخذ بالمادة 710 من المشروع الفرنسي الإيطالي ونصها</w:t>
      </w:r>
      <w:r>
        <w:rPr>
          <w:rFonts w:hint="cs"/>
          <w:color w:val="000000"/>
          <w:rtl/>
        </w:rPr>
        <w:t xml:space="preserve"> :</w:t>
      </w:r>
      <w:r w:rsidRPr="00315653">
        <w:rPr>
          <w:rFonts w:hint="cs"/>
          <w:color w:val="000000"/>
          <w:rtl/>
        </w:rPr>
        <w:t xml:space="preserve"> "لا تصح الكفالة </w:t>
      </w:r>
      <w:r w:rsidRPr="00315653">
        <w:rPr>
          <w:rFonts w:hint="cs"/>
          <w:color w:val="000000"/>
          <w:rtl/>
          <w:lang w:bidi="ar-EG"/>
        </w:rPr>
        <w:t>إلا</w:t>
      </w:r>
      <w:r w:rsidRPr="00315653">
        <w:rPr>
          <w:rFonts w:hint="cs"/>
          <w:color w:val="000000"/>
          <w:rtl/>
        </w:rPr>
        <w:t xml:space="preserve"> في التزام صحيح</w:t>
      </w:r>
      <w:r>
        <w:rPr>
          <w:rFonts w:hint="cs"/>
          <w:color w:val="000000"/>
          <w:rtl/>
        </w:rPr>
        <w:t xml:space="preserve"> ،</w:t>
      </w:r>
      <w:r w:rsidRPr="00315653">
        <w:rPr>
          <w:rFonts w:hint="cs"/>
          <w:color w:val="000000"/>
          <w:rtl/>
        </w:rPr>
        <w:t xml:space="preserve"> ومع ذلك تصح كفالة الالتزام الذي يعقده ناقص الأهلية </w:t>
      </w:r>
      <w:r w:rsidRPr="00315653">
        <w:rPr>
          <w:rFonts w:hint="cs"/>
          <w:color w:val="000000"/>
          <w:rtl/>
          <w:lang w:bidi="ar-EG"/>
        </w:rPr>
        <w:t>إذا</w:t>
      </w:r>
      <w:r w:rsidRPr="00315653">
        <w:rPr>
          <w:rFonts w:hint="cs"/>
          <w:color w:val="000000"/>
          <w:rtl/>
        </w:rPr>
        <w:t xml:space="preserve"> كان الكفيل يعلم بنقص </w:t>
      </w:r>
      <w:r w:rsidRPr="00315653">
        <w:rPr>
          <w:rFonts w:hint="cs"/>
          <w:color w:val="000000"/>
          <w:rtl/>
          <w:lang w:bidi="ar-EG"/>
        </w:rPr>
        <w:t>أهليته</w:t>
      </w:r>
      <w:r w:rsidRPr="00315653">
        <w:rPr>
          <w:rFonts w:hint="cs"/>
          <w:color w:val="000000"/>
          <w:rtl/>
        </w:rPr>
        <w:t>"</w:t>
      </w:r>
      <w:r>
        <w:rPr>
          <w:rFonts w:hint="cs"/>
          <w:color w:val="000000"/>
          <w:rtl/>
        </w:rPr>
        <w:t xml:space="preserve"> .</w:t>
      </w:r>
      <w:r w:rsidRPr="00315653">
        <w:rPr>
          <w:rFonts w:hint="cs"/>
          <w:color w:val="000000"/>
          <w:rtl/>
        </w:rPr>
        <w:t xml:space="preserve"> وقيل في هذه اللجنة أن من مزايا نص المشروع الفرنسي الإيطالي القضاء على كثير من الصعوبات</w:t>
      </w:r>
      <w:r>
        <w:rPr>
          <w:rFonts w:hint="cs"/>
          <w:color w:val="000000"/>
          <w:rtl/>
        </w:rPr>
        <w:t xml:space="preserve"> .</w:t>
      </w:r>
      <w:r w:rsidRPr="00315653">
        <w:rPr>
          <w:rFonts w:hint="cs"/>
          <w:color w:val="000000"/>
          <w:rtl/>
        </w:rPr>
        <w:t xml:space="preserve"> وأدمج النص في المروع التمهيدي</w:t>
      </w:r>
      <w:r>
        <w:rPr>
          <w:rFonts w:hint="cs"/>
          <w:color w:val="000000"/>
          <w:rtl/>
        </w:rPr>
        <w:t xml:space="preserve"> ،</w:t>
      </w:r>
      <w:r w:rsidRPr="00315653">
        <w:rPr>
          <w:rFonts w:hint="cs"/>
          <w:color w:val="000000"/>
          <w:rtl/>
        </w:rPr>
        <w:t xml:space="preserve"> تحت رقم 1135</w:t>
      </w:r>
      <w:r>
        <w:rPr>
          <w:rFonts w:hint="cs"/>
          <w:color w:val="000000"/>
          <w:vertAlign w:val="superscript"/>
          <w:rtl/>
          <w:lang w:bidi="ar-EG"/>
        </w:rPr>
        <w:t xml:space="preserve">( </w:t>
      </w:r>
      <w:r w:rsidRPr="00315653">
        <w:rPr>
          <w:rStyle w:val="ab"/>
          <w:color w:val="000000"/>
          <w:rtl/>
          <w:lang w:bidi="ar-EG"/>
        </w:rPr>
        <w:footnoteReference w:id="9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وقد مرت بنا المراحل التشريعية التي </w:t>
      </w:r>
      <w:r w:rsidRPr="00315653">
        <w:rPr>
          <w:rFonts w:hint="cs"/>
          <w:color w:val="000000"/>
          <w:rtl/>
        </w:rPr>
        <w:lastRenderedPageBreak/>
        <w:t>اجتازتها المادة 1135 من $46 المشروع التمهيدي</w:t>
      </w:r>
      <w:r>
        <w:rPr>
          <w:rFonts w:hint="cs"/>
          <w:color w:val="000000"/>
          <w:rtl/>
        </w:rPr>
        <w:t xml:space="preserve"> ،</w:t>
      </w:r>
      <w:r w:rsidRPr="00315653">
        <w:rPr>
          <w:rFonts w:hint="cs"/>
          <w:color w:val="000000"/>
          <w:rtl/>
        </w:rPr>
        <w:t xml:space="preserve"> حتى استقر في التقنين المدني الجديد تحت رقم المادة 777 مدني</w:t>
      </w:r>
      <w:r>
        <w:rPr>
          <w:rFonts w:hint="cs"/>
          <w:color w:val="000000"/>
          <w:vertAlign w:val="superscript"/>
          <w:rtl/>
          <w:lang w:bidi="ar-EG"/>
        </w:rPr>
        <w:t xml:space="preserve">( </w:t>
      </w:r>
      <w:r w:rsidRPr="00315653">
        <w:rPr>
          <w:rStyle w:val="ab"/>
          <w:color w:val="000000"/>
          <w:rtl/>
          <w:lang w:bidi="ar-EG"/>
        </w:rPr>
        <w:footnoteReference w:id="92"/>
      </w:r>
      <w:r>
        <w:rPr>
          <w:rFonts w:hint="cs"/>
          <w:color w:val="000000"/>
          <w:vertAlign w:val="superscript"/>
          <w:rtl/>
          <w:lang w:bidi="ar-EG"/>
        </w:rPr>
        <w:t xml:space="preserve"> )</w:t>
      </w:r>
      <w:r>
        <w:rPr>
          <w:rFonts w:hint="cs"/>
          <w:color w:val="000000"/>
          <w:rtl/>
        </w:rPr>
        <w:t xml:space="preserve"> .</w:t>
      </w:r>
      <w:r w:rsidRPr="00315653">
        <w:rPr>
          <w:rFonts w:hint="cs"/>
          <w:color w:val="000000"/>
          <w:rtl/>
        </w:rPr>
        <w:t xml:space="preserve"> وقد قيل في صدد هذا النص في لجنة مجلس الشيوخ ما يأتي</w:t>
      </w:r>
      <w:r>
        <w:rPr>
          <w:rFonts w:hint="cs"/>
          <w:color w:val="000000"/>
          <w:rtl/>
        </w:rPr>
        <w:t xml:space="preserve"> :</w:t>
      </w:r>
      <w:r w:rsidRPr="00315653">
        <w:rPr>
          <w:rFonts w:hint="cs"/>
          <w:color w:val="000000"/>
          <w:rtl/>
        </w:rPr>
        <w:t xml:space="preserve"> "</w:t>
      </w:r>
      <w:r w:rsidRPr="00315653">
        <w:rPr>
          <w:rFonts w:hint="cs"/>
          <w:color w:val="000000"/>
          <w:rtl/>
          <w:lang w:bidi="ar-EG"/>
        </w:rPr>
        <w:t>إذا</w:t>
      </w:r>
      <w:r w:rsidRPr="00315653">
        <w:rPr>
          <w:rFonts w:hint="cs"/>
          <w:color w:val="000000"/>
          <w:rtl/>
        </w:rPr>
        <w:t xml:space="preserve"> كان الكفيل يجهل نقص أهليته </w:t>
      </w:r>
      <w:r>
        <w:rPr>
          <w:rFonts w:hint="cs"/>
          <w:color w:val="000000"/>
          <w:rtl/>
        </w:rPr>
        <w:t xml:space="preserve">( </w:t>
      </w:r>
      <w:r w:rsidRPr="00315653">
        <w:rPr>
          <w:rFonts w:hint="cs"/>
          <w:color w:val="000000"/>
          <w:rtl/>
        </w:rPr>
        <w:t>أهلية المدين الأصلي</w:t>
      </w:r>
      <w:r>
        <w:rPr>
          <w:rFonts w:hint="cs"/>
          <w:color w:val="000000"/>
          <w:rtl/>
        </w:rPr>
        <w:t xml:space="preserve"> ) ،</w:t>
      </w:r>
      <w:r w:rsidRPr="00315653">
        <w:rPr>
          <w:rFonts w:hint="cs"/>
          <w:color w:val="000000"/>
          <w:rtl/>
        </w:rPr>
        <w:t xml:space="preserve"> كان التزام الكفيل قابلا للإبطال كالتزام الأصلي</w:t>
      </w:r>
      <w:r>
        <w:rPr>
          <w:rFonts w:hint="cs"/>
          <w:color w:val="000000"/>
          <w:rtl/>
        </w:rPr>
        <w:t xml:space="preserve"> ،</w:t>
      </w:r>
      <w:r w:rsidRPr="00315653">
        <w:rPr>
          <w:rFonts w:hint="cs"/>
          <w:color w:val="000000"/>
          <w:rtl/>
        </w:rPr>
        <w:t xml:space="preserve"> وهذا بخلاف ما </w:t>
      </w:r>
      <w:r w:rsidRPr="00315653">
        <w:rPr>
          <w:rFonts w:hint="cs"/>
          <w:color w:val="000000"/>
          <w:rtl/>
          <w:lang w:bidi="ar-EG"/>
        </w:rPr>
        <w:t>إذا</w:t>
      </w:r>
      <w:r w:rsidRPr="00315653">
        <w:rPr>
          <w:rFonts w:hint="cs"/>
          <w:color w:val="000000"/>
          <w:rtl/>
        </w:rPr>
        <w:t xml:space="preserve"> كان الكفيل يعلم نقص الأهلية فإنه لا يستطيع </w:t>
      </w:r>
      <w:r w:rsidRPr="00315653">
        <w:rPr>
          <w:rFonts w:hint="cs"/>
          <w:color w:val="000000"/>
          <w:rtl/>
          <w:lang w:bidi="ar-EG"/>
        </w:rPr>
        <w:t>أن</w:t>
      </w:r>
      <w:r w:rsidRPr="00315653">
        <w:rPr>
          <w:rFonts w:hint="cs"/>
          <w:color w:val="000000"/>
          <w:rtl/>
        </w:rPr>
        <w:t xml:space="preserve"> يتمسك بهذا الدفع ولكنه يبقى كفيلا</w:t>
      </w:r>
      <w:r>
        <w:rPr>
          <w:rFonts w:hint="cs"/>
          <w:color w:val="000000"/>
          <w:rtl/>
        </w:rPr>
        <w:t xml:space="preserve"> ،</w:t>
      </w:r>
      <w:r w:rsidRPr="00315653">
        <w:rPr>
          <w:rFonts w:hint="cs"/>
          <w:color w:val="000000"/>
          <w:rtl/>
        </w:rPr>
        <w:t xml:space="preserve"> وبخلاف ما </w:t>
      </w:r>
      <w:r w:rsidRPr="00315653">
        <w:rPr>
          <w:rFonts w:hint="cs"/>
          <w:color w:val="000000"/>
          <w:rtl/>
          <w:lang w:bidi="ar-EG"/>
        </w:rPr>
        <w:t>إذا</w:t>
      </w:r>
      <w:r w:rsidRPr="00315653">
        <w:rPr>
          <w:rFonts w:hint="cs"/>
          <w:color w:val="000000"/>
          <w:rtl/>
        </w:rPr>
        <w:t xml:space="preserve"> كان الكفيل كفل ناقص الأهلية بسبب نقص أهليته فإنه لا يستطيع </w:t>
      </w:r>
      <w:r w:rsidRPr="00315653">
        <w:rPr>
          <w:rFonts w:hint="cs"/>
          <w:color w:val="000000"/>
          <w:rtl/>
          <w:lang w:bidi="ar-EG"/>
        </w:rPr>
        <w:t>أن</w:t>
      </w:r>
      <w:r w:rsidRPr="00315653">
        <w:rPr>
          <w:rFonts w:hint="cs"/>
          <w:color w:val="000000"/>
          <w:rtl/>
        </w:rPr>
        <w:t xml:space="preserve"> يتمسك بنقص </w:t>
      </w:r>
      <w:r w:rsidRPr="00315653">
        <w:rPr>
          <w:rFonts w:hint="cs"/>
          <w:color w:val="000000"/>
          <w:rtl/>
          <w:lang w:bidi="ar-EG"/>
        </w:rPr>
        <w:t>الأهلية</w:t>
      </w:r>
      <w:r w:rsidRPr="00315653">
        <w:rPr>
          <w:rFonts w:hint="cs"/>
          <w:color w:val="000000"/>
          <w:rtl/>
        </w:rPr>
        <w:t xml:space="preserve"> بل لا يكون كفيلا أصلا </w:t>
      </w:r>
      <w:r w:rsidRPr="00315653">
        <w:rPr>
          <w:rFonts w:hint="cs"/>
          <w:color w:val="000000"/>
          <w:rtl/>
          <w:lang w:bidi="ar-EG"/>
        </w:rPr>
        <w:t>إذ</w:t>
      </w:r>
      <w:r w:rsidRPr="00315653">
        <w:rPr>
          <w:rFonts w:hint="cs"/>
          <w:color w:val="000000"/>
          <w:rtl/>
        </w:rPr>
        <w:t xml:space="preserve"> هو مدين </w:t>
      </w:r>
      <w:r w:rsidRPr="00315653">
        <w:rPr>
          <w:rFonts w:hint="cs"/>
          <w:color w:val="000000"/>
          <w:rtl/>
          <w:lang w:bidi="ar-EG"/>
        </w:rPr>
        <w:t>أصلي</w:t>
      </w:r>
      <w:r w:rsidRPr="00315653">
        <w:rPr>
          <w:rFonts w:hint="cs"/>
          <w:color w:val="000000"/>
          <w:rtl/>
        </w:rPr>
        <w:t>"</w:t>
      </w:r>
      <w:r>
        <w:rPr>
          <w:rFonts w:hint="cs"/>
          <w:color w:val="000000"/>
          <w:vertAlign w:val="superscript"/>
          <w:rtl/>
          <w:lang w:bidi="ar-EG"/>
        </w:rPr>
        <w:t xml:space="preserve">( </w:t>
      </w:r>
      <w:r w:rsidRPr="00315653">
        <w:rPr>
          <w:rStyle w:val="ab"/>
          <w:color w:val="000000"/>
          <w:rtl/>
          <w:lang w:bidi="ar-EG"/>
        </w:rPr>
        <w:footnoteReference w:id="9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وقيل </w:t>
      </w:r>
      <w:r w:rsidRPr="00315653">
        <w:rPr>
          <w:rFonts w:hint="cs"/>
          <w:color w:val="000000"/>
          <w:rtl/>
          <w:lang w:bidi="ar-EG"/>
        </w:rPr>
        <w:t>أيضاً</w:t>
      </w:r>
      <w:r w:rsidRPr="00315653">
        <w:rPr>
          <w:rFonts w:hint="cs"/>
          <w:color w:val="000000"/>
          <w:rtl/>
        </w:rPr>
        <w:t xml:space="preserve"> </w:t>
      </w:r>
      <w:r w:rsidRPr="00315653">
        <w:rPr>
          <w:rFonts w:hint="cs"/>
          <w:color w:val="000000"/>
          <w:rtl/>
          <w:lang w:bidi="ar-EG"/>
        </w:rPr>
        <w:t>أمام</w:t>
      </w:r>
      <w:r w:rsidRPr="00315653">
        <w:rPr>
          <w:rFonts w:hint="cs"/>
          <w:color w:val="000000"/>
          <w:rtl/>
        </w:rPr>
        <w:t xml:space="preserve"> لجنة مجلس الشيوخ في هذا المعنى أن هناك صوراً ثلاثاً هي" "1- </w:t>
      </w:r>
      <w:r w:rsidRPr="00315653">
        <w:rPr>
          <w:rFonts w:hint="cs"/>
          <w:color w:val="000000"/>
          <w:rtl/>
          <w:lang w:bidi="ar-EG"/>
        </w:rPr>
        <w:t>أن</w:t>
      </w:r>
      <w:r w:rsidRPr="00315653">
        <w:rPr>
          <w:rFonts w:hint="cs"/>
          <w:color w:val="000000"/>
          <w:rtl/>
        </w:rPr>
        <w:t xml:space="preserve"> يكفل الكفيل ناقص </w:t>
      </w:r>
      <w:r w:rsidRPr="00315653">
        <w:rPr>
          <w:rFonts w:hint="cs"/>
          <w:color w:val="000000"/>
          <w:rtl/>
          <w:lang w:bidi="ar-EG"/>
        </w:rPr>
        <w:t>الأهلية</w:t>
      </w:r>
      <w:r w:rsidRPr="00315653">
        <w:rPr>
          <w:rFonts w:hint="cs"/>
          <w:color w:val="000000"/>
          <w:rtl/>
        </w:rPr>
        <w:t xml:space="preserve"> وهو لا يعلم بنقص </w:t>
      </w:r>
      <w:r w:rsidRPr="00315653">
        <w:rPr>
          <w:rFonts w:hint="cs"/>
          <w:color w:val="000000"/>
          <w:rtl/>
          <w:lang w:bidi="ar-EG"/>
        </w:rPr>
        <w:t>أهليته</w:t>
      </w:r>
      <w:r>
        <w:rPr>
          <w:rFonts w:hint="cs"/>
          <w:color w:val="000000"/>
          <w:rtl/>
        </w:rPr>
        <w:t xml:space="preserve"> ،</w:t>
      </w:r>
      <w:r w:rsidRPr="00315653">
        <w:rPr>
          <w:rFonts w:hint="cs"/>
          <w:color w:val="000000"/>
          <w:rtl/>
        </w:rPr>
        <w:t xml:space="preserve"> ففي هذه الحالة يجوز له التمسك بنقص </w:t>
      </w:r>
      <w:r w:rsidRPr="00315653">
        <w:rPr>
          <w:rFonts w:hint="cs"/>
          <w:color w:val="000000"/>
          <w:rtl/>
          <w:lang w:bidi="ar-EG"/>
        </w:rPr>
        <w:t>أهليته</w:t>
      </w:r>
      <w:r>
        <w:rPr>
          <w:rFonts w:hint="cs"/>
          <w:color w:val="000000"/>
          <w:rtl/>
        </w:rPr>
        <w:t xml:space="preserve"> .</w:t>
      </w:r>
      <w:r w:rsidRPr="00315653">
        <w:rPr>
          <w:rFonts w:hint="cs"/>
          <w:color w:val="000000"/>
          <w:rtl/>
        </w:rPr>
        <w:t xml:space="preserve"> 2- </w:t>
      </w:r>
      <w:r w:rsidRPr="00315653">
        <w:rPr>
          <w:rFonts w:hint="cs"/>
          <w:color w:val="000000"/>
          <w:rtl/>
          <w:lang w:bidi="ar-EG"/>
        </w:rPr>
        <w:t>أن</w:t>
      </w:r>
      <w:r w:rsidRPr="00315653">
        <w:rPr>
          <w:rFonts w:hint="cs"/>
          <w:color w:val="000000"/>
          <w:rtl/>
        </w:rPr>
        <w:t xml:space="preserve"> يكفل الكفيل ناقص </w:t>
      </w:r>
      <w:r w:rsidRPr="00315653">
        <w:rPr>
          <w:rFonts w:hint="cs"/>
          <w:color w:val="000000"/>
          <w:rtl/>
          <w:lang w:bidi="ar-EG"/>
        </w:rPr>
        <w:t>الأهلية</w:t>
      </w:r>
      <w:r w:rsidRPr="00315653">
        <w:rPr>
          <w:rFonts w:hint="cs"/>
          <w:color w:val="000000"/>
          <w:rtl/>
        </w:rPr>
        <w:t xml:space="preserve"> وهو يعلم بنقص </w:t>
      </w:r>
      <w:r w:rsidRPr="00315653">
        <w:rPr>
          <w:rFonts w:hint="cs"/>
          <w:color w:val="000000"/>
          <w:rtl/>
          <w:lang w:bidi="ar-EG"/>
        </w:rPr>
        <w:t>أهليته</w:t>
      </w:r>
      <w:r>
        <w:rPr>
          <w:rFonts w:hint="cs"/>
          <w:color w:val="000000"/>
          <w:rtl/>
        </w:rPr>
        <w:t xml:space="preserve"> ،</w:t>
      </w:r>
      <w:r w:rsidRPr="00315653">
        <w:rPr>
          <w:rFonts w:hint="cs"/>
          <w:color w:val="000000"/>
          <w:rtl/>
        </w:rPr>
        <w:t xml:space="preserve"> وفي هذه الحالة لا يستطيع الاحتجاج بنقص الأهلية</w:t>
      </w:r>
      <w:r>
        <w:rPr>
          <w:rFonts w:hint="cs"/>
          <w:color w:val="000000"/>
          <w:rtl/>
        </w:rPr>
        <w:t xml:space="preserve"> .</w:t>
      </w:r>
      <w:r w:rsidRPr="00315653">
        <w:rPr>
          <w:rFonts w:hint="cs"/>
          <w:color w:val="000000"/>
          <w:rtl/>
        </w:rPr>
        <w:t xml:space="preserve"> 3- </w:t>
      </w:r>
      <w:r w:rsidRPr="00315653">
        <w:rPr>
          <w:rFonts w:hint="cs"/>
          <w:color w:val="000000"/>
          <w:rtl/>
          <w:lang w:bidi="ar-EG"/>
        </w:rPr>
        <w:t>أن</w:t>
      </w:r>
      <w:r w:rsidRPr="00315653">
        <w:rPr>
          <w:rFonts w:hint="cs"/>
          <w:color w:val="000000"/>
          <w:rtl/>
        </w:rPr>
        <w:t xml:space="preserve"> يكفل الكفيل ناقص </w:t>
      </w:r>
      <w:r w:rsidRPr="00315653">
        <w:rPr>
          <w:rFonts w:hint="cs"/>
          <w:color w:val="000000"/>
          <w:rtl/>
          <w:lang w:bidi="ar-EG"/>
        </w:rPr>
        <w:t>الأهلية</w:t>
      </w:r>
      <w:r w:rsidRPr="00315653">
        <w:rPr>
          <w:rFonts w:hint="cs"/>
          <w:color w:val="000000"/>
          <w:rtl/>
        </w:rPr>
        <w:t xml:space="preserve"> بسبب نقص </w:t>
      </w:r>
      <w:r w:rsidRPr="00315653">
        <w:rPr>
          <w:rFonts w:hint="cs"/>
          <w:color w:val="000000"/>
          <w:rtl/>
          <w:lang w:bidi="ar-EG"/>
        </w:rPr>
        <w:t>أهليته</w:t>
      </w:r>
      <w:r>
        <w:rPr>
          <w:rFonts w:hint="cs"/>
          <w:color w:val="000000"/>
          <w:rtl/>
        </w:rPr>
        <w:t xml:space="preserve"> ،</w:t>
      </w:r>
      <w:r w:rsidRPr="00315653">
        <w:rPr>
          <w:rFonts w:hint="cs"/>
          <w:color w:val="000000"/>
          <w:rtl/>
        </w:rPr>
        <w:t xml:space="preserve"> ففي هذه الحالة نتصور </w:t>
      </w:r>
      <w:r w:rsidRPr="00315653">
        <w:rPr>
          <w:rFonts w:hint="cs"/>
          <w:color w:val="000000"/>
          <w:rtl/>
          <w:lang w:bidi="ar-EG"/>
        </w:rPr>
        <w:t>أن</w:t>
      </w:r>
      <w:r w:rsidRPr="00315653">
        <w:rPr>
          <w:rFonts w:hint="cs"/>
          <w:color w:val="000000"/>
          <w:rtl/>
        </w:rPr>
        <w:t xml:space="preserve"> الكفيل </w:t>
      </w:r>
      <w:r w:rsidRPr="00315653">
        <w:rPr>
          <w:rFonts w:hint="cs"/>
          <w:color w:val="000000"/>
          <w:rtl/>
          <w:lang w:bidi="ar-EG"/>
        </w:rPr>
        <w:t>أراد</w:t>
      </w:r>
      <w:r w:rsidRPr="00315653">
        <w:rPr>
          <w:rFonts w:hint="cs"/>
          <w:color w:val="000000"/>
          <w:rtl/>
        </w:rPr>
        <w:t xml:space="preserve"> </w:t>
      </w:r>
      <w:r w:rsidRPr="00315653">
        <w:rPr>
          <w:rFonts w:hint="cs"/>
          <w:color w:val="000000"/>
          <w:rtl/>
          <w:lang w:bidi="ar-EG"/>
        </w:rPr>
        <w:t>أن</w:t>
      </w:r>
      <w:r w:rsidRPr="00315653">
        <w:rPr>
          <w:rFonts w:hint="cs"/>
          <w:color w:val="000000"/>
          <w:rtl/>
        </w:rPr>
        <w:t xml:space="preserve"> يكفل القاصر بسبب نقص </w:t>
      </w:r>
      <w:r w:rsidRPr="00315653">
        <w:rPr>
          <w:rFonts w:hint="cs"/>
          <w:color w:val="000000"/>
          <w:rtl/>
          <w:lang w:bidi="ar-EG"/>
        </w:rPr>
        <w:t>أهليته</w:t>
      </w:r>
      <w:r w:rsidRPr="00315653">
        <w:rPr>
          <w:rFonts w:hint="cs"/>
          <w:color w:val="000000"/>
          <w:rtl/>
        </w:rPr>
        <w:t xml:space="preserve"> بقطع النظر عن إجازته</w:t>
      </w:r>
      <w:r>
        <w:rPr>
          <w:rFonts w:hint="cs"/>
          <w:color w:val="000000"/>
          <w:rtl/>
        </w:rPr>
        <w:t xml:space="preserve"> ،</w:t>
      </w:r>
      <w:r w:rsidRPr="00315653">
        <w:rPr>
          <w:rFonts w:hint="cs"/>
          <w:color w:val="000000"/>
          <w:rtl/>
        </w:rPr>
        <w:t xml:space="preserve"> وأراد </w:t>
      </w:r>
      <w:r w:rsidRPr="00315653">
        <w:rPr>
          <w:rFonts w:hint="cs"/>
          <w:color w:val="000000"/>
          <w:rtl/>
          <w:lang w:bidi="ar-EG"/>
        </w:rPr>
        <w:t>أيضاً</w:t>
      </w:r>
      <w:r w:rsidRPr="00315653">
        <w:rPr>
          <w:rFonts w:hint="cs"/>
          <w:color w:val="000000"/>
          <w:rtl/>
        </w:rPr>
        <w:t xml:space="preserve"> </w:t>
      </w:r>
      <w:r w:rsidRPr="00315653">
        <w:rPr>
          <w:rFonts w:hint="cs"/>
          <w:color w:val="000000"/>
          <w:rtl/>
          <w:lang w:bidi="ar-EG"/>
        </w:rPr>
        <w:t>أن</w:t>
      </w:r>
      <w:r w:rsidRPr="00315653">
        <w:rPr>
          <w:rFonts w:hint="cs"/>
          <w:color w:val="000000"/>
          <w:rtl/>
        </w:rPr>
        <w:t xml:space="preserve"> يكفل القاصر ولو أجاز الالتزام ولكنه لم ينفذه"</w:t>
      </w:r>
      <w:r>
        <w:rPr>
          <w:rFonts w:hint="cs"/>
          <w:color w:val="000000"/>
          <w:vertAlign w:val="superscript"/>
          <w:rtl/>
          <w:lang w:bidi="ar-EG"/>
        </w:rPr>
        <w:t xml:space="preserve">( </w:t>
      </w:r>
      <w:r w:rsidRPr="00315653">
        <w:rPr>
          <w:rStyle w:val="ab"/>
          <w:color w:val="000000"/>
          <w:rtl/>
          <w:lang w:bidi="ar-EG"/>
        </w:rPr>
        <w:footnoteReference w:id="9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 xml:space="preserve">ويستخلص مما تقدم </w:t>
      </w:r>
      <w:r w:rsidRPr="00315653">
        <w:rPr>
          <w:rFonts w:hint="cs"/>
          <w:color w:val="000000"/>
          <w:rtl/>
          <w:lang w:bidi="ar-EG"/>
        </w:rPr>
        <w:t>أن</w:t>
      </w:r>
      <w:r w:rsidRPr="00315653">
        <w:rPr>
          <w:rFonts w:hint="cs"/>
          <w:color w:val="000000"/>
          <w:rtl/>
        </w:rPr>
        <w:t xml:space="preserve"> في كفالة ناقص </w:t>
      </w:r>
      <w:r w:rsidRPr="00315653">
        <w:rPr>
          <w:rFonts w:hint="cs"/>
          <w:color w:val="000000"/>
          <w:rtl/>
          <w:lang w:bidi="ar-EG"/>
        </w:rPr>
        <w:t>الأهلية</w:t>
      </w:r>
      <w:r>
        <w:rPr>
          <w:rFonts w:hint="cs"/>
          <w:color w:val="000000"/>
          <w:rtl/>
        </w:rPr>
        <w:t xml:space="preserve"> ،</w:t>
      </w:r>
      <w:r w:rsidRPr="00315653">
        <w:rPr>
          <w:rFonts w:hint="cs"/>
          <w:color w:val="000000"/>
          <w:rtl/>
        </w:rPr>
        <w:t xml:space="preserve"> وهو القاصر المميز ومن في حكمه كالمحجور عليه بسبب غفلة </w:t>
      </w:r>
      <w:r w:rsidRPr="00315653">
        <w:rPr>
          <w:rFonts w:hint="cs"/>
          <w:color w:val="000000"/>
          <w:rtl/>
          <w:lang w:bidi="ar-EG"/>
        </w:rPr>
        <w:t>أو</w:t>
      </w:r>
      <w:r w:rsidRPr="00315653">
        <w:rPr>
          <w:rFonts w:hint="cs"/>
          <w:color w:val="000000"/>
          <w:rtl/>
        </w:rPr>
        <w:t xml:space="preserve"> سفه وبوجه عام كل من كان عقده قابلا </w:t>
      </w:r>
      <w:r w:rsidRPr="00315653">
        <w:rPr>
          <w:rFonts w:hint="cs"/>
          <w:color w:val="000000"/>
          <w:rtl/>
          <w:lang w:bidi="ar-EG"/>
        </w:rPr>
        <w:t>للإبطال</w:t>
      </w:r>
      <w:r w:rsidRPr="00315653">
        <w:rPr>
          <w:rFonts w:hint="cs"/>
          <w:color w:val="000000"/>
          <w:rtl/>
        </w:rPr>
        <w:t xml:space="preserve"> بسبب نص </w:t>
      </w:r>
      <w:r w:rsidRPr="00315653">
        <w:rPr>
          <w:rFonts w:hint="cs"/>
          <w:color w:val="000000"/>
          <w:rtl/>
          <w:lang w:bidi="ar-EG"/>
        </w:rPr>
        <w:t>الأهلية</w:t>
      </w:r>
      <w:r>
        <w:rPr>
          <w:rFonts w:hint="cs"/>
          <w:color w:val="000000"/>
          <w:vertAlign w:val="superscript"/>
          <w:rtl/>
          <w:lang w:bidi="ar-EG"/>
        </w:rPr>
        <w:t xml:space="preserve">( </w:t>
      </w:r>
      <w:r w:rsidRPr="00315653">
        <w:rPr>
          <w:rStyle w:val="ab"/>
          <w:color w:val="000000"/>
          <w:rtl/>
          <w:lang w:bidi="ar-EG"/>
        </w:rPr>
        <w:footnoteReference w:id="95"/>
      </w:r>
      <w:r>
        <w:rPr>
          <w:rFonts w:hint="cs"/>
          <w:color w:val="000000"/>
          <w:vertAlign w:val="superscript"/>
          <w:rtl/>
          <w:lang w:bidi="ar-EG"/>
        </w:rPr>
        <w:t xml:space="preserve"> )</w:t>
      </w:r>
      <w:r>
        <w:rPr>
          <w:rFonts w:hint="cs"/>
          <w:color w:val="000000"/>
          <w:rtl/>
        </w:rPr>
        <w:t xml:space="preserve"> ،</w:t>
      </w:r>
      <w:r w:rsidRPr="00315653">
        <w:rPr>
          <w:rFonts w:hint="cs"/>
          <w:color w:val="000000"/>
          <w:rtl/>
        </w:rPr>
        <w:t xml:space="preserve"> يجب التمييز بين فروض ثلاثة</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lastRenderedPageBreak/>
        <w:t xml:space="preserve">$47 </w:t>
      </w:r>
      <w:r>
        <w:rPr>
          <w:rFonts w:hint="cs"/>
          <w:color w:val="000000"/>
          <w:rtl/>
        </w:rPr>
        <w:t xml:space="preserve">( </w:t>
      </w:r>
      <w:r w:rsidRPr="00315653">
        <w:rPr>
          <w:rFonts w:hint="cs"/>
          <w:color w:val="000000"/>
          <w:rtl/>
        </w:rPr>
        <w:t>الفرض الأول</w:t>
      </w:r>
      <w:r>
        <w:rPr>
          <w:rFonts w:hint="cs"/>
          <w:color w:val="000000"/>
          <w:rtl/>
        </w:rPr>
        <w:t xml:space="preserve"> )</w:t>
      </w:r>
      <w:r w:rsidRPr="00315653">
        <w:rPr>
          <w:rFonts w:hint="cs"/>
          <w:color w:val="000000"/>
          <w:rtl/>
        </w:rPr>
        <w:t xml:space="preserve"> أن يكون الكفيل قد كفل ناقص الأهلية وهو غير عالم بنقص أهليته</w:t>
      </w:r>
      <w:r>
        <w:rPr>
          <w:rFonts w:hint="cs"/>
          <w:color w:val="000000"/>
          <w:rtl/>
        </w:rPr>
        <w:t xml:space="preserve"> :</w:t>
      </w:r>
      <w:r w:rsidRPr="00315653">
        <w:rPr>
          <w:rFonts w:hint="cs"/>
          <w:color w:val="000000"/>
          <w:rtl/>
        </w:rPr>
        <w:t xml:space="preserve"> وفي هذا الفرض يكون الكفيل كفيلا لا مديناً أصلياً</w:t>
      </w:r>
      <w:r>
        <w:rPr>
          <w:rFonts w:hint="cs"/>
          <w:color w:val="000000"/>
          <w:rtl/>
        </w:rPr>
        <w:t xml:space="preserve"> ،</w:t>
      </w:r>
      <w:r w:rsidRPr="00315653">
        <w:rPr>
          <w:rFonts w:hint="cs"/>
          <w:color w:val="000000"/>
          <w:rtl/>
        </w:rPr>
        <w:t xml:space="preserve"> وتسري جميع أحكام الكفالة</w:t>
      </w:r>
      <w:r>
        <w:rPr>
          <w:rFonts w:hint="cs"/>
          <w:color w:val="000000"/>
          <w:rtl/>
        </w:rPr>
        <w:t xml:space="preserve"> .</w:t>
      </w:r>
      <w:r w:rsidRPr="00315653">
        <w:rPr>
          <w:rFonts w:hint="cs"/>
          <w:color w:val="000000"/>
          <w:rtl/>
        </w:rPr>
        <w:t xml:space="preserve"> ومن هذه الأحكام أن للكفيل أن يتمسك بالدفوع التي يتمسك بها المدين الأصلي</w:t>
      </w:r>
      <w:r>
        <w:rPr>
          <w:rFonts w:hint="cs"/>
          <w:color w:val="000000"/>
          <w:rtl/>
        </w:rPr>
        <w:t xml:space="preserve"> ،</w:t>
      </w:r>
      <w:r w:rsidRPr="00315653">
        <w:rPr>
          <w:rFonts w:hint="cs"/>
          <w:color w:val="000000"/>
          <w:rtl/>
        </w:rPr>
        <w:t xml:space="preserve"> وعلى ذلك يستطيع أن يتمسك الكفيل بقابلية الدين للإبطال</w:t>
      </w:r>
      <w:r>
        <w:rPr>
          <w:rFonts w:hint="cs"/>
          <w:color w:val="000000"/>
          <w:rtl/>
        </w:rPr>
        <w:t xml:space="preserve"> ،</w:t>
      </w:r>
      <w:r w:rsidRPr="00315653">
        <w:rPr>
          <w:rFonts w:hint="cs"/>
          <w:color w:val="000000"/>
          <w:rtl/>
        </w:rPr>
        <w:t xml:space="preserve"> وأن يبطل الكفالة تبعاً لذلك</w:t>
      </w:r>
      <w:r>
        <w:rPr>
          <w:rFonts w:hint="cs"/>
          <w:color w:val="000000"/>
          <w:vertAlign w:val="superscript"/>
          <w:rtl/>
          <w:lang w:bidi="ar-EG"/>
        </w:rPr>
        <w:t xml:space="preserve">( </w:t>
      </w:r>
      <w:r w:rsidRPr="00315653">
        <w:rPr>
          <w:rStyle w:val="ab"/>
          <w:color w:val="000000"/>
          <w:rtl/>
          <w:lang w:bidi="ar-EG"/>
        </w:rPr>
        <w:footnoteReference w:id="9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rPr>
        <w:t xml:space="preserve"> ويكون له التمسك بهذا الدفع</w:t>
      </w:r>
      <w:r>
        <w:rPr>
          <w:rFonts w:hint="cs"/>
          <w:color w:val="000000"/>
          <w:rtl/>
        </w:rPr>
        <w:t xml:space="preserve"> ،</w:t>
      </w:r>
      <w:r w:rsidRPr="00315653">
        <w:rPr>
          <w:rFonts w:hint="cs"/>
          <w:color w:val="000000"/>
          <w:rtl/>
        </w:rPr>
        <w:t xml:space="preserve"> سواء تمس المدين </w:t>
      </w:r>
      <w:r w:rsidRPr="00315653">
        <w:rPr>
          <w:rFonts w:hint="cs"/>
          <w:color w:val="000000"/>
          <w:rtl/>
          <w:lang w:bidi="ar-EG"/>
        </w:rPr>
        <w:t>الأصلي</w:t>
      </w:r>
      <w:r w:rsidRPr="00315653">
        <w:rPr>
          <w:rFonts w:hint="cs"/>
          <w:color w:val="000000"/>
          <w:rtl/>
        </w:rPr>
        <w:t xml:space="preserve"> ناقص </w:t>
      </w:r>
      <w:r w:rsidRPr="00315653">
        <w:rPr>
          <w:rFonts w:hint="cs"/>
          <w:color w:val="000000"/>
          <w:rtl/>
          <w:lang w:bidi="ar-EG"/>
        </w:rPr>
        <w:t>الأهلية</w:t>
      </w:r>
      <w:r w:rsidRPr="00315653">
        <w:rPr>
          <w:rFonts w:hint="cs"/>
          <w:color w:val="000000"/>
          <w:rtl/>
        </w:rPr>
        <w:t xml:space="preserve"> بقابلية دينه </w:t>
      </w:r>
      <w:r w:rsidRPr="00315653">
        <w:rPr>
          <w:rFonts w:hint="cs"/>
          <w:color w:val="000000"/>
          <w:rtl/>
          <w:lang w:bidi="ar-EG"/>
        </w:rPr>
        <w:t>للإبطال</w:t>
      </w:r>
      <w:r w:rsidRPr="00315653">
        <w:rPr>
          <w:rFonts w:hint="cs"/>
          <w:color w:val="000000"/>
          <w:rtl/>
        </w:rPr>
        <w:t xml:space="preserve"> فأبطله</w:t>
      </w:r>
      <w:r>
        <w:rPr>
          <w:rFonts w:hint="cs"/>
          <w:color w:val="000000"/>
          <w:rtl/>
        </w:rPr>
        <w:t xml:space="preserve"> ،</w:t>
      </w:r>
      <w:r w:rsidRPr="00315653">
        <w:rPr>
          <w:rFonts w:hint="cs"/>
          <w:color w:val="000000"/>
          <w:rtl/>
        </w:rPr>
        <w:t xml:space="preserve"> </w:t>
      </w:r>
      <w:r w:rsidRPr="00315653">
        <w:rPr>
          <w:rFonts w:hint="cs"/>
          <w:color w:val="000000"/>
          <w:rtl/>
          <w:lang w:bidi="ar-EG"/>
        </w:rPr>
        <w:t>أو</w:t>
      </w:r>
      <w:r w:rsidRPr="00315653">
        <w:rPr>
          <w:rFonts w:hint="cs"/>
          <w:color w:val="000000"/>
          <w:rtl/>
        </w:rPr>
        <w:t xml:space="preserve">لم يتمسك بهذا الدفع وأجاز العقد </w:t>
      </w:r>
      <w:r w:rsidRPr="00315653">
        <w:rPr>
          <w:rFonts w:hint="cs"/>
          <w:color w:val="000000"/>
          <w:rtl/>
          <w:lang w:bidi="ar-EG"/>
        </w:rPr>
        <w:t>الأصلي</w:t>
      </w:r>
      <w:r w:rsidRPr="00315653">
        <w:rPr>
          <w:rFonts w:hint="cs"/>
          <w:color w:val="000000"/>
          <w:rtl/>
        </w:rPr>
        <w:t xml:space="preserve"> القابل للإبطال</w:t>
      </w:r>
      <w:r>
        <w:rPr>
          <w:rFonts w:hint="cs"/>
          <w:color w:val="000000"/>
          <w:rtl/>
        </w:rPr>
        <w:t xml:space="preserve"> .</w:t>
      </w:r>
      <w:r w:rsidRPr="00315653">
        <w:rPr>
          <w:rFonts w:hint="cs"/>
          <w:color w:val="000000"/>
          <w:rtl/>
        </w:rPr>
        <w:t xml:space="preserve"> ذلك </w:t>
      </w:r>
      <w:r w:rsidRPr="00315653">
        <w:rPr>
          <w:rFonts w:hint="cs"/>
          <w:color w:val="000000"/>
          <w:rtl/>
          <w:lang w:bidi="ar-EG"/>
        </w:rPr>
        <w:t>بأن</w:t>
      </w:r>
      <w:r w:rsidRPr="00315653">
        <w:rPr>
          <w:rFonts w:hint="cs"/>
          <w:color w:val="000000"/>
          <w:rtl/>
        </w:rPr>
        <w:t xml:space="preserve"> الكفيل</w:t>
      </w:r>
      <w:r>
        <w:rPr>
          <w:rFonts w:hint="cs"/>
          <w:color w:val="000000"/>
          <w:rtl/>
        </w:rPr>
        <w:t xml:space="preserve"> ،</w:t>
      </w:r>
      <w:r w:rsidRPr="00315653">
        <w:rPr>
          <w:rFonts w:hint="cs"/>
          <w:color w:val="000000"/>
          <w:rtl/>
        </w:rPr>
        <w:t xml:space="preserve"> وقت </w:t>
      </w:r>
      <w:r w:rsidRPr="00315653">
        <w:rPr>
          <w:rFonts w:hint="cs"/>
          <w:color w:val="000000"/>
          <w:rtl/>
          <w:lang w:bidi="ar-EG"/>
        </w:rPr>
        <w:t>أن</w:t>
      </w:r>
      <w:r w:rsidRPr="00315653">
        <w:rPr>
          <w:rFonts w:hint="cs"/>
          <w:color w:val="000000"/>
          <w:rtl/>
        </w:rPr>
        <w:t xml:space="preserve"> كفل ناقص </w:t>
      </w:r>
      <w:r w:rsidRPr="00315653">
        <w:rPr>
          <w:rFonts w:hint="cs"/>
          <w:color w:val="000000"/>
          <w:rtl/>
          <w:lang w:bidi="ar-EG"/>
        </w:rPr>
        <w:t>الأهلية</w:t>
      </w:r>
      <w:r>
        <w:rPr>
          <w:rFonts w:hint="cs"/>
          <w:color w:val="000000"/>
          <w:rtl/>
        </w:rPr>
        <w:t xml:space="preserve"> ،</w:t>
      </w:r>
      <w:r w:rsidRPr="00315653">
        <w:rPr>
          <w:rFonts w:hint="cs"/>
          <w:color w:val="000000"/>
          <w:rtl/>
        </w:rPr>
        <w:t xml:space="preserve"> كان لا يعلم بنقص </w:t>
      </w:r>
      <w:r w:rsidRPr="00315653">
        <w:rPr>
          <w:rFonts w:hint="cs"/>
          <w:color w:val="000000"/>
          <w:rtl/>
          <w:lang w:bidi="ar-EG"/>
        </w:rPr>
        <w:t>أهليته</w:t>
      </w:r>
      <w:r>
        <w:rPr>
          <w:rFonts w:hint="cs"/>
          <w:color w:val="000000"/>
          <w:rtl/>
        </w:rPr>
        <w:t xml:space="preserve"> .</w:t>
      </w:r>
      <w:r w:rsidRPr="00315653">
        <w:rPr>
          <w:rFonts w:hint="cs"/>
          <w:color w:val="000000"/>
          <w:rtl/>
        </w:rPr>
        <w:t xml:space="preserve"> فلا يعترض عليه بأنه كان عالماً بنقص </w:t>
      </w:r>
      <w:r w:rsidRPr="00315653">
        <w:rPr>
          <w:rFonts w:hint="cs"/>
          <w:color w:val="000000"/>
          <w:rtl/>
          <w:lang w:bidi="ar-EG"/>
        </w:rPr>
        <w:t>الأهلية</w:t>
      </w:r>
      <w:r w:rsidRPr="00315653">
        <w:rPr>
          <w:rFonts w:hint="cs"/>
          <w:color w:val="000000"/>
          <w:rtl/>
        </w:rPr>
        <w:t xml:space="preserve"> وبأن ناقص </w:t>
      </w:r>
      <w:r w:rsidRPr="00315653">
        <w:rPr>
          <w:rFonts w:hint="cs"/>
          <w:color w:val="000000"/>
          <w:rtl/>
          <w:lang w:bidi="ar-EG"/>
        </w:rPr>
        <w:t>الأهلية</w:t>
      </w:r>
      <w:r w:rsidRPr="00315653">
        <w:rPr>
          <w:rFonts w:hint="cs"/>
          <w:color w:val="000000"/>
          <w:rtl/>
        </w:rPr>
        <w:t xml:space="preserve"> </w:t>
      </w:r>
      <w:r w:rsidRPr="00315653">
        <w:rPr>
          <w:rFonts w:hint="cs"/>
          <w:color w:val="000000"/>
          <w:rtl/>
          <w:lang w:bidi="ar-EG"/>
        </w:rPr>
        <w:t>إذا</w:t>
      </w:r>
      <w:r w:rsidRPr="00315653">
        <w:rPr>
          <w:rFonts w:hint="cs"/>
          <w:color w:val="000000"/>
          <w:rtl/>
        </w:rPr>
        <w:t xml:space="preserve"> لم يتمسك بنقص </w:t>
      </w:r>
      <w:r w:rsidRPr="00315653">
        <w:rPr>
          <w:rFonts w:hint="cs"/>
          <w:color w:val="000000"/>
          <w:rtl/>
          <w:lang w:bidi="ar-EG"/>
        </w:rPr>
        <w:t>أهليته</w:t>
      </w:r>
      <w:r w:rsidRPr="00315653">
        <w:rPr>
          <w:rFonts w:hint="cs"/>
          <w:color w:val="000000"/>
          <w:rtl/>
        </w:rPr>
        <w:t xml:space="preserve"> وأجاز العقد لم يجز للكفيل </w:t>
      </w:r>
      <w:r w:rsidRPr="00315653">
        <w:rPr>
          <w:rFonts w:hint="cs"/>
          <w:color w:val="000000"/>
          <w:rtl/>
          <w:lang w:bidi="ar-EG"/>
        </w:rPr>
        <w:t>أن</w:t>
      </w:r>
      <w:r w:rsidRPr="00315653">
        <w:rPr>
          <w:rFonts w:hint="cs"/>
          <w:color w:val="000000"/>
          <w:rtl/>
        </w:rPr>
        <w:t xml:space="preserve"> يتمسك هو بنقص $48 الأهلية</w:t>
      </w:r>
      <w:r>
        <w:rPr>
          <w:rFonts w:hint="cs"/>
          <w:color w:val="000000"/>
          <w:rtl/>
        </w:rPr>
        <w:t xml:space="preserve"> .</w:t>
      </w:r>
      <w:r w:rsidRPr="00315653">
        <w:rPr>
          <w:rFonts w:hint="cs"/>
          <w:color w:val="000000"/>
          <w:rtl/>
        </w:rPr>
        <w:t xml:space="preserve"> فالمدين الأصلي لا يستطيع أن يسوئ بعمله أن بإجازته للعقد مركز الكفيل</w:t>
      </w:r>
      <w:r>
        <w:rPr>
          <w:rFonts w:hint="cs"/>
          <w:color w:val="000000"/>
          <w:rtl/>
        </w:rPr>
        <w:t xml:space="preserve"> ،</w:t>
      </w:r>
      <w:r w:rsidRPr="00315653">
        <w:rPr>
          <w:rFonts w:hint="cs"/>
          <w:color w:val="000000"/>
          <w:rtl/>
        </w:rPr>
        <w:t xml:space="preserve"> وقد طبقنا هذه القاعدة المقررة في الكفالة في حالة ما إذا كان العقد الأصلي قابلا للإبطال لعيب في الرضاء</w:t>
      </w:r>
      <w:r>
        <w:rPr>
          <w:rFonts w:hint="cs"/>
          <w:color w:val="000000"/>
          <w:vertAlign w:val="superscript"/>
          <w:rtl/>
          <w:lang w:bidi="ar-EG"/>
        </w:rPr>
        <w:t xml:space="preserve">( </w:t>
      </w:r>
      <w:r w:rsidRPr="00315653">
        <w:rPr>
          <w:rStyle w:val="ab"/>
          <w:color w:val="000000"/>
          <w:rtl/>
          <w:lang w:bidi="ar-EG"/>
        </w:rPr>
        <w:footnoteReference w:id="9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Pr>
          <w:rFonts w:hint="cs"/>
          <w:color w:val="000000"/>
          <w:rtl/>
          <w:lang w:bidi="ar-EG"/>
        </w:rPr>
        <w:t xml:space="preserve">( </w:t>
      </w:r>
      <w:r w:rsidRPr="00315653">
        <w:rPr>
          <w:rFonts w:hint="cs"/>
          <w:color w:val="000000"/>
          <w:rtl/>
          <w:lang w:bidi="ar-EG"/>
        </w:rPr>
        <w:t>الفرض الثاني</w:t>
      </w:r>
      <w:r>
        <w:rPr>
          <w:rFonts w:hint="cs"/>
          <w:color w:val="000000"/>
          <w:rtl/>
          <w:lang w:bidi="ar-EG"/>
        </w:rPr>
        <w:t xml:space="preserve"> )</w:t>
      </w:r>
      <w:r w:rsidRPr="00315653">
        <w:rPr>
          <w:rFonts w:hint="cs"/>
          <w:color w:val="000000"/>
          <w:rtl/>
          <w:lang w:bidi="ar-EG"/>
        </w:rPr>
        <w:t xml:space="preserve"> أن يكون الكفيل قد كفل ناقص الأهلية وهو عالم بنقص أهليته</w:t>
      </w:r>
      <w:r>
        <w:rPr>
          <w:rFonts w:hint="cs"/>
          <w:color w:val="000000"/>
          <w:rtl/>
          <w:lang w:bidi="ar-EG"/>
        </w:rPr>
        <w:t xml:space="preserve"> :</w:t>
      </w:r>
      <w:r w:rsidRPr="00315653">
        <w:rPr>
          <w:rFonts w:hint="cs"/>
          <w:color w:val="000000"/>
          <w:rtl/>
          <w:lang w:bidi="ar-EG"/>
        </w:rPr>
        <w:t xml:space="preserve"> وفي هذا الفرض يكون الكفيل كفيلا أيضاً لا مديناً أصلياً</w:t>
      </w:r>
      <w:r>
        <w:rPr>
          <w:rFonts w:hint="cs"/>
          <w:color w:val="000000"/>
          <w:rtl/>
          <w:lang w:bidi="ar-EG"/>
        </w:rPr>
        <w:t xml:space="preserve"> ،</w:t>
      </w:r>
      <w:r w:rsidRPr="00315653">
        <w:rPr>
          <w:rFonts w:hint="cs"/>
          <w:color w:val="000000"/>
          <w:rtl/>
          <w:lang w:bidi="ar-EG"/>
        </w:rPr>
        <w:t xml:space="preserve"> وتسري جميع أحكام الكفالة</w:t>
      </w:r>
      <w:r>
        <w:rPr>
          <w:rFonts w:hint="cs"/>
          <w:color w:val="000000"/>
          <w:rtl/>
          <w:lang w:bidi="ar-EG"/>
        </w:rPr>
        <w:t xml:space="preserve"> .</w:t>
      </w:r>
      <w:r w:rsidRPr="00315653">
        <w:rPr>
          <w:rFonts w:hint="cs"/>
          <w:color w:val="000000"/>
          <w:rtl/>
          <w:lang w:bidi="ar-EG"/>
        </w:rPr>
        <w:t xml:space="preserve"> إلا أن هذا الفرض يختلف عن الفرض السابق في أن الكفيل يعلم نقص أهلية المدين الأصلي</w:t>
      </w:r>
      <w:r>
        <w:rPr>
          <w:rFonts w:hint="cs"/>
          <w:color w:val="000000"/>
          <w:rtl/>
          <w:lang w:bidi="ar-EG"/>
        </w:rPr>
        <w:t xml:space="preserve"> ،</w:t>
      </w:r>
      <w:r w:rsidRPr="00315653">
        <w:rPr>
          <w:rFonts w:hint="cs"/>
          <w:color w:val="000000"/>
          <w:rtl/>
          <w:lang w:bidi="ar-EG"/>
        </w:rPr>
        <w:t xml:space="preserve"> فيكون بعلمه هذا نازلا حتما عن التمسك بعدم الأهلية فيما إذا نزل عنه المدين الأصلي وأجاز العقد</w:t>
      </w:r>
      <w:r>
        <w:rPr>
          <w:rFonts w:hint="cs"/>
          <w:color w:val="000000"/>
          <w:rtl/>
          <w:lang w:bidi="ar-EG"/>
        </w:rPr>
        <w:t xml:space="preserve"> .</w:t>
      </w:r>
      <w:r w:rsidRPr="00315653">
        <w:rPr>
          <w:rFonts w:hint="cs"/>
          <w:color w:val="000000"/>
          <w:rtl/>
          <w:lang w:bidi="ar-EG"/>
        </w:rPr>
        <w:t xml:space="preserve"> وعلى ذلك إذا تمسك المدين الأصلي ناقص الأهلية بنقص أهليته وأبطل العقد الأصلي جاز للكفيل أيضاً</w:t>
      </w:r>
      <w:r>
        <w:rPr>
          <w:rFonts w:hint="cs"/>
          <w:color w:val="000000"/>
          <w:rtl/>
          <w:lang w:bidi="ar-EG"/>
        </w:rPr>
        <w:t xml:space="preserve"> ،</w:t>
      </w:r>
      <w:r w:rsidRPr="00315653">
        <w:rPr>
          <w:rFonts w:hint="cs"/>
          <w:color w:val="000000"/>
          <w:rtl/>
          <w:lang w:bidi="ar-EG"/>
        </w:rPr>
        <w:t xml:space="preserve"> كما فعل المدين الأصلي</w:t>
      </w:r>
      <w:r>
        <w:rPr>
          <w:rFonts w:hint="cs"/>
          <w:color w:val="000000"/>
          <w:rtl/>
          <w:lang w:bidi="ar-EG"/>
        </w:rPr>
        <w:t xml:space="preserve"> ،</w:t>
      </w:r>
      <w:r w:rsidRPr="00315653">
        <w:rPr>
          <w:rFonts w:hint="cs"/>
          <w:color w:val="000000"/>
          <w:rtl/>
          <w:lang w:bidi="ar-EG"/>
        </w:rPr>
        <w:t xml:space="preserve"> أن يتمسك بنقص الأهلية وأن يبطل عقد الكفالة</w:t>
      </w:r>
      <w:r>
        <w:rPr>
          <w:rFonts w:hint="cs"/>
          <w:color w:val="000000"/>
          <w:rtl/>
          <w:lang w:bidi="ar-EG"/>
        </w:rPr>
        <w:t xml:space="preserve"> .</w:t>
      </w:r>
      <w:r w:rsidRPr="00315653">
        <w:rPr>
          <w:rFonts w:hint="cs"/>
          <w:color w:val="000000"/>
          <w:rtl/>
          <w:lang w:bidi="ar-EG"/>
        </w:rPr>
        <w:t xml:space="preserve"> وفي هذا يستوي هذا الفرض مع الفرض السابق</w:t>
      </w:r>
      <w:r>
        <w:rPr>
          <w:rFonts w:hint="cs"/>
          <w:color w:val="000000"/>
          <w:rtl/>
          <w:lang w:bidi="ar-EG"/>
        </w:rPr>
        <w:t xml:space="preserve"> ،</w:t>
      </w:r>
      <w:r w:rsidRPr="00315653">
        <w:rPr>
          <w:rFonts w:hint="cs"/>
          <w:color w:val="000000"/>
          <w:rtl/>
          <w:lang w:bidi="ar-EG"/>
        </w:rPr>
        <w:t xml:space="preserve"> أما إذا نزل المدين الأصلي عن التمسك بنقص أهليته وأجاز العقد</w:t>
      </w:r>
      <w:r>
        <w:rPr>
          <w:rFonts w:hint="cs"/>
          <w:color w:val="000000"/>
          <w:rtl/>
          <w:lang w:bidi="ar-EG"/>
        </w:rPr>
        <w:t xml:space="preserve"> ،</w:t>
      </w:r>
      <w:r w:rsidRPr="00315653">
        <w:rPr>
          <w:rFonts w:hint="cs"/>
          <w:color w:val="000000"/>
          <w:rtl/>
          <w:lang w:bidi="ar-EG"/>
        </w:rPr>
        <w:t xml:space="preserve"> فإن الكفيل</w:t>
      </w:r>
      <w:r>
        <w:rPr>
          <w:rFonts w:hint="cs"/>
          <w:color w:val="000000"/>
          <w:rtl/>
          <w:lang w:bidi="ar-EG"/>
        </w:rPr>
        <w:t xml:space="preserve"> ،</w:t>
      </w:r>
      <w:r w:rsidRPr="00315653">
        <w:rPr>
          <w:rFonts w:hint="cs"/>
          <w:color w:val="000000"/>
          <w:rtl/>
          <w:lang w:bidi="ar-EG"/>
        </w:rPr>
        <w:t xml:space="preserve"> خلافا للفرض السابق</w:t>
      </w:r>
      <w:r>
        <w:rPr>
          <w:rFonts w:hint="cs"/>
          <w:color w:val="000000"/>
          <w:rtl/>
          <w:lang w:bidi="ar-EG"/>
        </w:rPr>
        <w:t xml:space="preserve"> ،</w:t>
      </w:r>
      <w:r w:rsidRPr="00315653">
        <w:rPr>
          <w:rFonts w:hint="cs"/>
          <w:color w:val="000000"/>
          <w:rtl/>
          <w:lang w:bidi="ar-EG"/>
        </w:rPr>
        <w:t xml:space="preserve"> لا يستطيع أن يتمسك هو بنقص الأهلية</w:t>
      </w:r>
      <w:r>
        <w:rPr>
          <w:rFonts w:hint="cs"/>
          <w:color w:val="000000"/>
          <w:rtl/>
          <w:lang w:bidi="ar-EG"/>
        </w:rPr>
        <w:t xml:space="preserve"> ،</w:t>
      </w:r>
      <w:r w:rsidRPr="00315653">
        <w:rPr>
          <w:rFonts w:hint="cs"/>
          <w:color w:val="000000"/>
          <w:rtl/>
          <w:lang w:bidi="ar-EG"/>
        </w:rPr>
        <w:t xml:space="preserve"> ويعتبر أنه قد نزل عن هذا الدفع لأنه كان يعلم وقت أن كفل المدين أن هذا الأخير ناقص الأهلية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rPr>
        <w:t xml:space="preserve">( </w:t>
      </w:r>
      <w:r w:rsidRPr="00315653">
        <w:rPr>
          <w:rFonts w:hint="cs"/>
          <w:color w:val="000000"/>
          <w:rtl/>
        </w:rPr>
        <w:t>الفرض الثالث</w:t>
      </w:r>
      <w:r>
        <w:rPr>
          <w:rFonts w:hint="cs"/>
          <w:color w:val="000000"/>
          <w:rtl/>
        </w:rPr>
        <w:t xml:space="preserve"> )</w:t>
      </w:r>
      <w:r w:rsidRPr="00315653">
        <w:rPr>
          <w:rFonts w:hint="cs"/>
          <w:color w:val="000000"/>
          <w:rtl/>
        </w:rPr>
        <w:t xml:space="preserve"> أن يكون الكفيل قد كفل ناقص الأهلية بسبب نقص أهليته</w:t>
      </w:r>
      <w:r>
        <w:rPr>
          <w:rFonts w:hint="cs"/>
          <w:color w:val="000000"/>
          <w:rtl/>
        </w:rPr>
        <w:t xml:space="preserve"> ،</w:t>
      </w:r>
      <w:r w:rsidRPr="00315653">
        <w:rPr>
          <w:rFonts w:hint="cs"/>
          <w:color w:val="000000"/>
          <w:rtl/>
        </w:rPr>
        <w:t xml:space="preserve"> وهذا هو الفرض الذي عرضت له المادة 777 مدني فيما قدمنا</w:t>
      </w:r>
      <w:r>
        <w:rPr>
          <w:rFonts w:hint="cs"/>
          <w:color w:val="000000"/>
          <w:rtl/>
        </w:rPr>
        <w:t xml:space="preserve"> ،</w:t>
      </w:r>
      <w:r w:rsidRPr="00315653">
        <w:rPr>
          <w:rFonts w:hint="cs"/>
          <w:color w:val="000000"/>
          <w:rtl/>
        </w:rPr>
        <w:t xml:space="preserve"> فقالت</w:t>
      </w:r>
      <w:r>
        <w:rPr>
          <w:rFonts w:hint="cs"/>
          <w:color w:val="000000"/>
          <w:rtl/>
        </w:rPr>
        <w:t xml:space="preserve"> :</w:t>
      </w:r>
      <w:r w:rsidRPr="00315653">
        <w:rPr>
          <w:rFonts w:hint="cs"/>
          <w:color w:val="000000"/>
          <w:rtl/>
        </w:rPr>
        <w:t xml:space="preserve"> "من كفل التزام ناقص الأهلية</w:t>
      </w:r>
      <w:r>
        <w:rPr>
          <w:rFonts w:hint="cs"/>
          <w:color w:val="000000"/>
          <w:rtl/>
        </w:rPr>
        <w:t xml:space="preserve"> ،</w:t>
      </w:r>
      <w:r w:rsidRPr="00315653">
        <w:rPr>
          <w:rFonts w:hint="cs"/>
          <w:color w:val="000000"/>
          <w:rtl/>
        </w:rPr>
        <w:t xml:space="preserve"> وكانت الكفالة بسبب نقص الأهلية</w:t>
      </w:r>
      <w:r>
        <w:rPr>
          <w:rFonts w:hint="cs"/>
          <w:color w:val="000000"/>
          <w:rtl/>
        </w:rPr>
        <w:t xml:space="preserve"> ،</w:t>
      </w:r>
      <w:r w:rsidRPr="00315653">
        <w:rPr>
          <w:rFonts w:hint="cs"/>
          <w:color w:val="000000"/>
          <w:rtl/>
        </w:rPr>
        <w:t xml:space="preserve"> كان ملزماً بتنفيذ الالتزام إذا لم ينفذه المدين المكفول"</w:t>
      </w:r>
      <w:r>
        <w:rPr>
          <w:rFonts w:hint="cs"/>
          <w:color w:val="000000"/>
          <w:rtl/>
        </w:rPr>
        <w:t xml:space="preserve"> .</w:t>
      </w:r>
      <w:r w:rsidRPr="00315653">
        <w:rPr>
          <w:rFonts w:hint="cs"/>
          <w:color w:val="000000"/>
          <w:rtl/>
        </w:rPr>
        <w:t xml:space="preserve"> والمفروض أن كلا من الكفيل والدائن والمدين الأصلي عالم بنقص أهلية هذا الأخيرة</w:t>
      </w:r>
      <w:r>
        <w:rPr>
          <w:rFonts w:hint="cs"/>
          <w:color w:val="000000"/>
          <w:rtl/>
        </w:rPr>
        <w:t xml:space="preserve"> ،</w:t>
      </w:r>
      <w:r w:rsidRPr="00315653">
        <w:rPr>
          <w:rFonts w:hint="cs"/>
          <w:color w:val="000000"/>
          <w:rtl/>
        </w:rPr>
        <w:t xml:space="preserve"> وأن العقد الذي أبرمه هذا الأخير مع الدائن قابل للإبطال</w:t>
      </w:r>
      <w:r>
        <w:rPr>
          <w:rFonts w:hint="cs"/>
          <w:color w:val="000000"/>
          <w:rtl/>
        </w:rPr>
        <w:t xml:space="preserve"> ،</w:t>
      </w:r>
      <w:r w:rsidRPr="00315653">
        <w:rPr>
          <w:rFonts w:hint="cs"/>
          <w:color w:val="000000"/>
          <w:rtl/>
        </w:rPr>
        <w:t xml:space="preserve"> فيجوز للمدين أن يبطله</w:t>
      </w:r>
      <w:r>
        <w:rPr>
          <w:rFonts w:hint="cs"/>
          <w:color w:val="000000"/>
          <w:rtl/>
        </w:rPr>
        <w:t xml:space="preserve"> ،</w:t>
      </w:r>
      <w:r w:rsidRPr="00315653">
        <w:rPr>
          <w:rFonts w:hint="cs"/>
          <w:color w:val="000000"/>
          <w:rtl/>
        </w:rPr>
        <w:t xml:space="preserve"> وتوقعاً لهذا الاحتمال عقدت الكفالة إذ هي لم تعقد إلا بسبب نقص أهلية المدين الأصلي</w:t>
      </w:r>
      <w:r>
        <w:rPr>
          <w:rFonts w:hint="cs"/>
          <w:color w:val="000000"/>
          <w:rtl/>
        </w:rPr>
        <w:t xml:space="preserve"> .</w:t>
      </w:r>
      <w:r w:rsidRPr="00315653">
        <w:rPr>
          <w:rFonts w:hint="cs"/>
          <w:color w:val="000000"/>
          <w:rtl/>
        </w:rPr>
        <w:t xml:space="preserve"> وعلى ذلك يمكن تفسير الكفالة التي تمت على الوجه الآتي</w:t>
      </w:r>
      <w:r>
        <w:rPr>
          <w:rFonts w:hint="cs"/>
          <w:color w:val="000000"/>
          <w:rtl/>
        </w:rPr>
        <w:t xml:space="preserve"> :</w:t>
      </w:r>
      <w:r w:rsidRPr="00315653">
        <w:rPr>
          <w:rFonts w:hint="cs"/>
          <w:color w:val="000000"/>
          <w:rtl/>
        </w:rPr>
        <w:t xml:space="preserve"> إذا تمسك المدين الأصلي ناقص الأهلية بنقص أهليته وأبطل العقد الأصلي</w:t>
      </w:r>
      <w:r>
        <w:rPr>
          <w:rFonts w:hint="cs"/>
          <w:color w:val="000000"/>
          <w:rtl/>
        </w:rPr>
        <w:t xml:space="preserve"> ،</w:t>
      </w:r>
      <w:r w:rsidRPr="00315653">
        <w:rPr>
          <w:rFonts w:hint="cs"/>
          <w:color w:val="000000"/>
          <w:rtl/>
        </w:rPr>
        <w:t xml:space="preserve"> كان الكفيل هو المدين الأصلي بموجب العقد الذي أبرمه مع الدائن</w:t>
      </w:r>
      <w:r>
        <w:rPr>
          <w:rFonts w:hint="cs"/>
          <w:color w:val="000000"/>
          <w:rtl/>
        </w:rPr>
        <w:t xml:space="preserve"> ،</w:t>
      </w:r>
      <w:r w:rsidRPr="00315653">
        <w:rPr>
          <w:rFonts w:hint="cs"/>
          <w:color w:val="000000"/>
          <w:rtl/>
        </w:rPr>
        <w:t xml:space="preserve"> وكان ملزماً بتنفيذ الالتزام الأصلي لأن المدين الأصلي لم ينفذه</w:t>
      </w:r>
      <w:r>
        <w:rPr>
          <w:rFonts w:hint="cs"/>
          <w:color w:val="000000"/>
          <w:rtl/>
        </w:rPr>
        <w:t xml:space="preserve"> .</w:t>
      </w:r>
      <w:r w:rsidRPr="00315653">
        <w:rPr>
          <w:rFonts w:hint="cs"/>
          <w:color w:val="000000"/>
          <w:rtl/>
        </w:rPr>
        <w:t xml:space="preserve"> وفي هذه $49 الحالة لا يكون الكفيل كفيلا</w:t>
      </w:r>
      <w:r>
        <w:rPr>
          <w:rFonts w:hint="cs"/>
          <w:color w:val="000000"/>
          <w:rtl/>
        </w:rPr>
        <w:t xml:space="preserve"> ،</w:t>
      </w:r>
      <w:r w:rsidRPr="00315653">
        <w:rPr>
          <w:rFonts w:hint="cs"/>
          <w:color w:val="000000"/>
          <w:rtl/>
        </w:rPr>
        <w:t xml:space="preserve"> بل يكون مديناً أصلياً</w:t>
      </w:r>
      <w:r>
        <w:rPr>
          <w:rFonts w:hint="cs"/>
          <w:color w:val="000000"/>
          <w:rtl/>
        </w:rPr>
        <w:t xml:space="preserve"> ،</w:t>
      </w:r>
      <w:r w:rsidRPr="00315653">
        <w:rPr>
          <w:rFonts w:hint="cs"/>
          <w:color w:val="000000"/>
          <w:rtl/>
        </w:rPr>
        <w:t xml:space="preserve"> وهو مدين بالالتزام الأصلي تحت شرط واقف وهو ألا ينفذ المدين الأصلي هذا الالتزام</w:t>
      </w:r>
      <w:r>
        <w:rPr>
          <w:rFonts w:hint="cs"/>
          <w:color w:val="000000"/>
          <w:rtl/>
        </w:rPr>
        <w:t xml:space="preserve"> .</w:t>
      </w:r>
      <w:r w:rsidRPr="00315653">
        <w:rPr>
          <w:rFonts w:hint="cs"/>
          <w:color w:val="000000"/>
          <w:rtl/>
        </w:rPr>
        <w:t xml:space="preserve"> فإذا تحقق </w:t>
      </w:r>
      <w:r w:rsidRPr="00315653">
        <w:rPr>
          <w:rFonts w:hint="cs"/>
          <w:color w:val="000000"/>
          <w:rtl/>
        </w:rPr>
        <w:lastRenderedPageBreak/>
        <w:t>الشرط ولم ينفذ المدين الأصلي هذا الالتزام/ فإذا تحقق الشرط ولم ينفذ المدين الأصلي الالتزام</w:t>
      </w:r>
      <w:r>
        <w:rPr>
          <w:rFonts w:hint="cs"/>
          <w:color w:val="000000"/>
          <w:rtl/>
        </w:rPr>
        <w:t xml:space="preserve"> ،</w:t>
      </w:r>
      <w:r w:rsidRPr="00315653">
        <w:rPr>
          <w:rFonts w:hint="cs"/>
          <w:color w:val="000000"/>
          <w:rtl/>
        </w:rPr>
        <w:t xml:space="preserve"> وجب على من تقدم بصفته كفيلا وقد أصبح مديناً أصلياً بتحقق الشرط أن ينفذ هو هذا الالتزام</w:t>
      </w:r>
      <w:r>
        <w:rPr>
          <w:rFonts w:hint="cs"/>
          <w:color w:val="000000"/>
          <w:vertAlign w:val="superscript"/>
          <w:rtl/>
          <w:lang w:bidi="ar-EG"/>
        </w:rPr>
        <w:t xml:space="preserve">( </w:t>
      </w:r>
      <w:r w:rsidRPr="00315653">
        <w:rPr>
          <w:rStyle w:val="ab"/>
          <w:color w:val="000000"/>
          <w:rtl/>
          <w:lang w:bidi="ar-EG"/>
        </w:rPr>
        <w:footnoteReference w:id="9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أجاز ناقص الأهلية العقد وانقلب العقد صحيحاً بالإجازة</w:t>
      </w:r>
      <w:r>
        <w:rPr>
          <w:rFonts w:hint="cs"/>
          <w:color w:val="000000"/>
          <w:rtl/>
          <w:lang w:bidi="ar-EG"/>
        </w:rPr>
        <w:t xml:space="preserve"> ،</w:t>
      </w:r>
      <w:r w:rsidRPr="00315653">
        <w:rPr>
          <w:rFonts w:hint="cs"/>
          <w:color w:val="000000"/>
          <w:rtl/>
          <w:lang w:bidi="ar-EG"/>
        </w:rPr>
        <w:t xml:space="preserve"> فإن المدين الأصلي يصبح ملزماً بتنفيذ الالتزام الأصلي</w:t>
      </w:r>
      <w:r>
        <w:rPr>
          <w:rFonts w:hint="cs"/>
          <w:color w:val="000000"/>
          <w:rtl/>
          <w:lang w:bidi="ar-EG"/>
        </w:rPr>
        <w:t xml:space="preserve"> ،</w:t>
      </w:r>
      <w:r w:rsidRPr="00315653">
        <w:rPr>
          <w:rFonts w:hint="cs"/>
          <w:color w:val="000000"/>
          <w:rtl/>
          <w:lang w:bidi="ar-EG"/>
        </w:rPr>
        <w:t xml:space="preserve"> ويكون الكفيل ضامناً له في تنفيذ هذا الالتزام</w:t>
      </w:r>
      <w:r>
        <w:rPr>
          <w:rFonts w:hint="cs"/>
          <w:color w:val="000000"/>
          <w:rtl/>
          <w:lang w:bidi="ar-EG"/>
        </w:rPr>
        <w:t xml:space="preserve"> ،</w:t>
      </w:r>
      <w:r w:rsidRPr="00315653">
        <w:rPr>
          <w:rFonts w:hint="cs"/>
          <w:color w:val="000000"/>
          <w:rtl/>
          <w:lang w:bidi="ar-EG"/>
        </w:rPr>
        <w:t xml:space="preserve"> باعتباره كفيلا لا باعتباره مديناً أصلياً</w:t>
      </w:r>
      <w:r>
        <w:rPr>
          <w:rFonts w:hint="cs"/>
          <w:color w:val="000000"/>
          <w:rtl/>
          <w:lang w:bidi="ar-EG"/>
        </w:rPr>
        <w:t xml:space="preserve"> ،</w:t>
      </w:r>
      <w:r w:rsidRPr="00315653">
        <w:rPr>
          <w:rFonts w:hint="cs"/>
          <w:color w:val="000000"/>
          <w:rtl/>
          <w:lang w:bidi="ar-EG"/>
        </w:rPr>
        <w:t xml:space="preserve"> وتسري جميع أحكام الكفالة</w:t>
      </w:r>
      <w:r>
        <w:rPr>
          <w:rFonts w:hint="cs"/>
          <w:color w:val="000000"/>
          <w:vertAlign w:val="superscript"/>
          <w:rtl/>
          <w:lang w:bidi="ar-EG"/>
        </w:rPr>
        <w:t xml:space="preserve">( </w:t>
      </w:r>
      <w:r w:rsidRPr="00315653">
        <w:rPr>
          <w:rStyle w:val="ab"/>
          <w:color w:val="000000"/>
          <w:rtl/>
          <w:lang w:bidi="ar-EG"/>
        </w:rPr>
        <w:footnoteReference w:id="9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يؤكد ذلك ما ورد في مناقشات لجنة الشيوخ</w:t>
      </w:r>
      <w:r>
        <w:rPr>
          <w:rFonts w:hint="cs"/>
          <w:color w:val="000000"/>
          <w:rtl/>
          <w:lang w:bidi="ar-EG"/>
        </w:rPr>
        <w:t xml:space="preserve"> ،</w:t>
      </w:r>
      <w:r w:rsidRPr="00315653">
        <w:rPr>
          <w:rFonts w:hint="cs"/>
          <w:color w:val="000000"/>
          <w:rtl/>
          <w:lang w:bidi="ar-EG"/>
        </w:rPr>
        <w:t xml:space="preserve"> إذ قيل في هذه اللجنة عن هذا الفرض الثالث ما يأتي</w:t>
      </w:r>
      <w:r>
        <w:rPr>
          <w:rFonts w:hint="cs"/>
          <w:color w:val="000000"/>
          <w:rtl/>
          <w:lang w:bidi="ar-EG"/>
        </w:rPr>
        <w:t xml:space="preserve"> :</w:t>
      </w:r>
      <w:r w:rsidRPr="00315653">
        <w:rPr>
          <w:rFonts w:hint="cs"/>
          <w:color w:val="000000"/>
          <w:rtl/>
          <w:lang w:bidi="ar-EG"/>
        </w:rPr>
        <w:t xml:space="preserve"> "أن يكفل الكفيل ناقص الأهلية بسبب نقص أهليته</w:t>
      </w:r>
      <w:r>
        <w:rPr>
          <w:rFonts w:hint="cs"/>
          <w:color w:val="000000"/>
          <w:rtl/>
          <w:lang w:bidi="ar-EG"/>
        </w:rPr>
        <w:t xml:space="preserve"> .</w:t>
      </w:r>
      <w:r w:rsidRPr="00315653">
        <w:rPr>
          <w:rFonts w:hint="cs"/>
          <w:color w:val="000000"/>
          <w:rtl/>
          <w:lang w:bidi="ar-EG"/>
        </w:rPr>
        <w:t xml:space="preserve"> ففي هذه الحالة نتصور أن الكفيل أراد أن يكفل القاصر بسبب نقص أهليته بقطع النظر عن إجازته</w:t>
      </w:r>
      <w:r>
        <w:rPr>
          <w:rFonts w:hint="cs"/>
          <w:color w:val="000000"/>
          <w:rtl/>
          <w:lang w:bidi="ar-EG"/>
        </w:rPr>
        <w:t xml:space="preserve"> ،</w:t>
      </w:r>
      <w:r w:rsidRPr="00315653">
        <w:rPr>
          <w:rFonts w:hint="cs"/>
          <w:color w:val="000000"/>
          <w:rtl/>
          <w:lang w:bidi="ar-EG"/>
        </w:rPr>
        <w:t xml:space="preserve"> وأراد أيضاً أن يكفل القاصر ولو أجاز الالتزام ولكنه لم ينفذه</w:t>
      </w:r>
      <w:r>
        <w:rPr>
          <w:rFonts w:hint="cs"/>
          <w:color w:val="000000"/>
          <w:rtl/>
          <w:lang w:bidi="ar-EG"/>
        </w:rPr>
        <w:t xml:space="preserve"> .</w:t>
      </w:r>
      <w:r w:rsidRPr="00315653">
        <w:rPr>
          <w:rFonts w:hint="cs"/>
          <w:color w:val="000000"/>
          <w:rtl/>
          <w:lang w:bidi="ar-EG"/>
        </w:rPr>
        <w:t xml:space="preserve"> فعدلت اللجنة النص على الوجه $50</w:t>
      </w:r>
      <w:r w:rsidRPr="00315653">
        <w:rPr>
          <w:rFonts w:hint="cs"/>
          <w:color w:val="000000"/>
          <w:rtl/>
        </w:rPr>
        <w:t xml:space="preserve"> الآتي</w:t>
      </w:r>
      <w:r>
        <w:rPr>
          <w:rFonts w:hint="cs"/>
          <w:color w:val="000000"/>
          <w:rtl/>
        </w:rPr>
        <w:t xml:space="preserve"> . . .</w:t>
      </w:r>
      <w:r w:rsidRPr="00315653">
        <w:rPr>
          <w:rFonts w:hint="cs"/>
          <w:color w:val="000000"/>
          <w:rtl/>
        </w:rPr>
        <w:t xml:space="preserve"> وجاء في تقرير اللجنة</w:t>
      </w:r>
      <w:r>
        <w:rPr>
          <w:rFonts w:hint="cs"/>
          <w:color w:val="000000"/>
          <w:rtl/>
        </w:rPr>
        <w:t xml:space="preserve"> :</w:t>
      </w:r>
      <w:r w:rsidRPr="00315653">
        <w:rPr>
          <w:rFonts w:hint="cs"/>
          <w:color w:val="000000"/>
          <w:rtl/>
        </w:rPr>
        <w:t xml:space="preserve"> رأت اللجنة الأخذ بهذا التعديل الذي اختاره مجلس النواب</w:t>
      </w:r>
      <w:r>
        <w:rPr>
          <w:rFonts w:hint="cs"/>
          <w:color w:val="000000"/>
          <w:rtl/>
        </w:rPr>
        <w:t xml:space="preserve"> ،</w:t>
      </w:r>
      <w:r w:rsidRPr="00315653">
        <w:rPr>
          <w:rFonts w:hint="cs"/>
          <w:color w:val="000000"/>
          <w:rtl/>
        </w:rPr>
        <w:t xml:space="preserve"> واستبدلت في آخر النص بعبارة "كمدين أصلي" عبارة "إذا لم ينفذه المدين الأصلي"</w:t>
      </w:r>
      <w:r>
        <w:rPr>
          <w:rFonts w:hint="cs"/>
          <w:color w:val="000000"/>
          <w:rtl/>
        </w:rPr>
        <w:t xml:space="preserve"> .</w:t>
      </w:r>
      <w:r w:rsidRPr="00315653">
        <w:rPr>
          <w:rFonts w:hint="cs"/>
          <w:color w:val="000000"/>
          <w:rtl/>
        </w:rPr>
        <w:t xml:space="preserve"> وقد توخت اللجنة في ذلك إبراز فكرة أن المدين الأصلي هو ناقص الأهلية وقد يقوم بالوفاء</w:t>
      </w:r>
      <w:r>
        <w:rPr>
          <w:rFonts w:hint="cs"/>
          <w:color w:val="000000"/>
          <w:rtl/>
        </w:rPr>
        <w:t xml:space="preserve"> ،</w:t>
      </w:r>
      <w:r w:rsidRPr="00315653">
        <w:rPr>
          <w:rFonts w:hint="cs"/>
          <w:color w:val="000000"/>
          <w:rtl/>
        </w:rPr>
        <w:t xml:space="preserve"> ويكون وفاؤه صحيحاً متى تم بعد زوال نقص أهليته أو تم بعد إجازة وليه أو وصيه</w:t>
      </w:r>
      <w:r>
        <w:rPr>
          <w:rFonts w:hint="cs"/>
          <w:color w:val="000000"/>
          <w:rtl/>
        </w:rPr>
        <w:t xml:space="preserve"> .</w:t>
      </w:r>
      <w:r w:rsidRPr="00315653">
        <w:rPr>
          <w:rFonts w:hint="cs"/>
          <w:color w:val="000000"/>
          <w:rtl/>
        </w:rPr>
        <w:t xml:space="preserve"> ولهذا يكون التعبير الذي اختارته اللجنة أدق في الأعراب عن المقصود من النص"</w:t>
      </w:r>
      <w:r>
        <w:rPr>
          <w:rFonts w:hint="cs"/>
          <w:color w:val="000000"/>
          <w:vertAlign w:val="superscript"/>
          <w:rtl/>
          <w:lang w:bidi="ar-EG"/>
        </w:rPr>
        <w:t xml:space="preserve">( </w:t>
      </w:r>
      <w:r w:rsidRPr="00315653">
        <w:rPr>
          <w:rStyle w:val="ab"/>
          <w:color w:val="000000"/>
          <w:rtl/>
          <w:lang w:bidi="ar-EG"/>
        </w:rPr>
        <w:footnoteReference w:id="10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sidRPr="00315653">
        <w:rPr>
          <w:rFonts w:hint="cs"/>
          <w:color w:val="000000"/>
          <w:rtl/>
        </w:rPr>
        <w:t>وجاء أيضاً في مناقشات لجنة الشيوخ في خصوص المادة 776 مدني ما يؤيد ما قدمناه</w:t>
      </w:r>
      <w:r>
        <w:rPr>
          <w:rFonts w:hint="cs"/>
          <w:color w:val="000000"/>
          <w:rtl/>
        </w:rPr>
        <w:t xml:space="preserve"> ،</w:t>
      </w:r>
      <w:r w:rsidRPr="00315653">
        <w:rPr>
          <w:rFonts w:hint="cs"/>
          <w:color w:val="000000"/>
          <w:rtl/>
        </w:rPr>
        <w:t xml:space="preserve"> إذ قيل</w:t>
      </w:r>
      <w:r>
        <w:rPr>
          <w:rFonts w:hint="cs"/>
          <w:color w:val="000000"/>
          <w:rtl/>
        </w:rPr>
        <w:t xml:space="preserve"> :</w:t>
      </w:r>
      <w:r w:rsidRPr="00315653">
        <w:rPr>
          <w:rFonts w:hint="cs"/>
          <w:color w:val="000000"/>
          <w:rtl/>
        </w:rPr>
        <w:t xml:space="preserve"> "فإذا كان الكفيل يجهل نقص أهليته </w:t>
      </w:r>
      <w:r>
        <w:rPr>
          <w:rFonts w:hint="cs"/>
          <w:color w:val="000000"/>
          <w:rtl/>
        </w:rPr>
        <w:t xml:space="preserve">( </w:t>
      </w:r>
      <w:r w:rsidRPr="00315653">
        <w:rPr>
          <w:rFonts w:hint="cs"/>
          <w:color w:val="000000"/>
          <w:rtl/>
        </w:rPr>
        <w:t>نقص أهلية المدين الأصلي</w:t>
      </w:r>
      <w:r>
        <w:rPr>
          <w:rFonts w:hint="cs"/>
          <w:color w:val="000000"/>
          <w:rtl/>
        </w:rPr>
        <w:t xml:space="preserve"> )</w:t>
      </w:r>
      <w:r w:rsidRPr="00315653">
        <w:rPr>
          <w:rFonts w:hint="cs"/>
          <w:color w:val="000000"/>
          <w:rtl/>
        </w:rPr>
        <w:t xml:space="preserve"> كان التزام الكفيل قابلا للإبطال كالالتزام الأصلي</w:t>
      </w:r>
      <w:r>
        <w:rPr>
          <w:rFonts w:hint="cs"/>
          <w:color w:val="000000"/>
          <w:rtl/>
        </w:rPr>
        <w:t xml:space="preserve"> ،</w:t>
      </w:r>
      <w:r w:rsidRPr="00315653">
        <w:rPr>
          <w:rFonts w:hint="cs"/>
          <w:color w:val="000000"/>
          <w:rtl/>
        </w:rPr>
        <w:t xml:space="preserve"> وهذا بخلاف ما إذا كان الكفيل يعلم نقص الأهلية فإنه لا يستطيع التمسك بهذا الدفع ولكنه يبقى كفيلا</w:t>
      </w:r>
      <w:r>
        <w:rPr>
          <w:rFonts w:hint="cs"/>
          <w:color w:val="000000"/>
          <w:rtl/>
        </w:rPr>
        <w:t xml:space="preserve"> .</w:t>
      </w:r>
      <w:r w:rsidRPr="00315653">
        <w:rPr>
          <w:rFonts w:hint="cs"/>
          <w:color w:val="000000"/>
          <w:rtl/>
        </w:rPr>
        <w:t xml:space="preserve"> وبخلاف ما إذا كان الكفيل كفل ناقص الأهلية بسبب نقص أهليته فإنه لا يستطيع أن يتمسك بنقص الأهلية بل لا يكون كفيلا أصلا إذ هو مدين أصلي</w:t>
      </w:r>
      <w:r>
        <w:rPr>
          <w:rFonts w:hint="cs"/>
          <w:color w:val="000000"/>
          <w:rtl/>
        </w:rPr>
        <w:t xml:space="preserve"> .</w:t>
      </w:r>
      <w:r w:rsidRPr="00315653">
        <w:rPr>
          <w:rFonts w:hint="cs"/>
          <w:color w:val="000000"/>
          <w:rtl/>
        </w:rPr>
        <w:t xml:space="preserve"> وقد وافقت اللجنة على إعادة النص إلى المشروع بالصيغة الآتية</w:t>
      </w:r>
      <w:r>
        <w:rPr>
          <w:rFonts w:hint="cs"/>
          <w:color w:val="000000"/>
          <w:rtl/>
        </w:rPr>
        <w:t xml:space="preserve"> :</w:t>
      </w:r>
      <w:r w:rsidRPr="00315653">
        <w:rPr>
          <w:rFonts w:hint="cs"/>
          <w:color w:val="000000"/>
          <w:rtl/>
        </w:rPr>
        <w:t xml:space="preserve"> لا تكون الكفالة صحيحة إلا إذا كان الالتزام المكفول صحيحاً</w:t>
      </w:r>
      <w:r>
        <w:rPr>
          <w:rFonts w:hint="cs"/>
          <w:color w:val="000000"/>
          <w:rtl/>
        </w:rPr>
        <w:t xml:space="preserve"> . . .</w:t>
      </w:r>
      <w:r w:rsidRPr="00315653">
        <w:rPr>
          <w:rFonts w:hint="cs"/>
          <w:color w:val="000000"/>
          <w:rtl/>
        </w:rPr>
        <w:t xml:space="preserve"> وقد راعت اللجنة في هذا التعديل أن الكفالة قد يقصد منها ضمان الوفاء إذا كان الالتزام الأصلي باطلا متى </w:t>
      </w:r>
      <w:r w:rsidRPr="00315653">
        <w:rPr>
          <w:rFonts w:hint="cs"/>
          <w:color w:val="000000"/>
          <w:rtl/>
        </w:rPr>
        <w:lastRenderedPageBreak/>
        <w:t>انصرفت النية إلى تأمين الدائن من خطر التمسك بالبطلان</w:t>
      </w:r>
      <w:r>
        <w:rPr>
          <w:rFonts w:hint="cs"/>
          <w:color w:val="000000"/>
          <w:rtl/>
        </w:rPr>
        <w:t xml:space="preserve"> .</w:t>
      </w:r>
      <w:r w:rsidRPr="00315653">
        <w:rPr>
          <w:rFonts w:hint="cs"/>
          <w:color w:val="000000"/>
          <w:rtl/>
        </w:rPr>
        <w:t xml:space="preserve"> ولهذا رؤى أن يقتصر النص على حكم الكفالة التي يقصد منها إلى ضمان الوفاء بالالتزام</w:t>
      </w:r>
      <w:r>
        <w:rPr>
          <w:rFonts w:hint="cs"/>
          <w:color w:val="000000"/>
          <w:rtl/>
        </w:rPr>
        <w:t xml:space="preserve"> ،</w:t>
      </w:r>
      <w:r w:rsidRPr="00315653">
        <w:rPr>
          <w:rFonts w:hint="cs"/>
          <w:color w:val="000000"/>
          <w:rtl/>
        </w:rPr>
        <w:t xml:space="preserve"> وهي تفترض بطبيعة الحال أن يكون الالتزام المكفول صحيحاً"</w:t>
      </w:r>
      <w:r>
        <w:rPr>
          <w:rFonts w:hint="cs"/>
          <w:color w:val="000000"/>
          <w:vertAlign w:val="superscript"/>
          <w:rtl/>
          <w:lang w:bidi="ar-EG"/>
        </w:rPr>
        <w:t xml:space="preserve">( </w:t>
      </w:r>
      <w:r w:rsidRPr="00315653">
        <w:rPr>
          <w:rStyle w:val="ab"/>
          <w:color w:val="000000"/>
          <w:rtl/>
          <w:lang w:bidi="ar-EG"/>
        </w:rPr>
        <w:footnoteReference w:id="10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22- كفالة الالتزام الشرطي والالتزام المستقبل </w:t>
      </w:r>
      <w:r w:rsidRPr="00315653">
        <w:rPr>
          <w:color w:val="000000"/>
          <w:rtl/>
          <w:lang w:bidi="ar-EG"/>
        </w:rPr>
        <w:t>–</w:t>
      </w:r>
      <w:r w:rsidRPr="00315653">
        <w:rPr>
          <w:rFonts w:hint="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778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 تجوز الكفالة في الدين المستقبل إذا حدد مقدماً الدين المكفول</w:t>
      </w:r>
      <w:r>
        <w:rPr>
          <w:rFonts w:hint="cs"/>
          <w:color w:val="000000"/>
          <w:rtl/>
          <w:lang w:bidi="ar-EG"/>
        </w:rPr>
        <w:t xml:space="preserve"> ،</w:t>
      </w:r>
      <w:r w:rsidRPr="00315653">
        <w:rPr>
          <w:rFonts w:hint="cs"/>
          <w:color w:val="000000"/>
          <w:rtl/>
          <w:lang w:bidi="ar-EG"/>
        </w:rPr>
        <w:t xml:space="preserve"> كما تجوز الكفالة في الدين الشرطي"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 على أنه إذا كان الكفيل في الدين المستقبل لم يعين مدة الكفالة</w:t>
      </w:r>
      <w:r>
        <w:rPr>
          <w:rFonts w:hint="cs"/>
          <w:color w:val="000000"/>
          <w:rtl/>
          <w:lang w:bidi="ar-EG"/>
        </w:rPr>
        <w:t xml:space="preserve"> .</w:t>
      </w:r>
      <w:r w:rsidRPr="00315653">
        <w:rPr>
          <w:rFonts w:hint="cs"/>
          <w:color w:val="000000"/>
          <w:rtl/>
          <w:lang w:bidi="ar-EG"/>
        </w:rPr>
        <w:t xml:space="preserve"> $51</w:t>
      </w:r>
      <w:r w:rsidRPr="00315653">
        <w:rPr>
          <w:rFonts w:hint="cs"/>
          <w:color w:val="000000"/>
          <w:rtl/>
        </w:rPr>
        <w:t xml:space="preserve"> فإن له في أي وقت أن يرجع فيها ما دام الدين المكفول لم ينشأ"</w:t>
      </w:r>
      <w:r>
        <w:rPr>
          <w:rFonts w:hint="cs"/>
          <w:color w:val="000000"/>
          <w:vertAlign w:val="superscript"/>
          <w:rtl/>
          <w:lang w:bidi="ar-EG"/>
        </w:rPr>
        <w:t xml:space="preserve">( </w:t>
      </w:r>
      <w:r w:rsidRPr="00315653">
        <w:rPr>
          <w:rStyle w:val="ab"/>
          <w:color w:val="000000"/>
          <w:rtl/>
          <w:lang w:bidi="ar-EG"/>
        </w:rPr>
        <w:footnoteReference w:id="10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ويخلص من هذا النص أنه تجوز كفالة الدين الشرطي</w:t>
      </w:r>
      <w:r>
        <w:rPr>
          <w:rFonts w:hint="cs"/>
          <w:color w:val="000000"/>
          <w:rtl/>
          <w:lang w:bidi="ar-EG"/>
        </w:rPr>
        <w:t xml:space="preserve"> ،</w:t>
      </w:r>
      <w:r w:rsidRPr="00315653">
        <w:rPr>
          <w:rFonts w:hint="cs"/>
          <w:color w:val="000000"/>
          <w:rtl/>
          <w:lang w:bidi="ar-EG"/>
        </w:rPr>
        <w:t xml:space="preserve"> وتجوز كفالة الدين المستقبل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كفالة الدين الشرطي فلا شك في جوازها طبقاً للقواعد العامة</w:t>
      </w:r>
      <w:r>
        <w:rPr>
          <w:rFonts w:hint="cs"/>
          <w:color w:val="000000"/>
          <w:rtl/>
          <w:lang w:bidi="ar-EG"/>
        </w:rPr>
        <w:t xml:space="preserve"> ،</w:t>
      </w:r>
      <w:r w:rsidRPr="00315653">
        <w:rPr>
          <w:rFonts w:hint="cs"/>
          <w:color w:val="000000"/>
          <w:rtl/>
          <w:lang w:bidi="ar-EG"/>
        </w:rPr>
        <w:t xml:space="preserve"> سواء كان الدين الأصلي المكفول معلقاً على شرط فاسخ أو معلقاً على شرط واقف</w:t>
      </w:r>
      <w:r>
        <w:rPr>
          <w:rFonts w:hint="cs"/>
          <w:color w:val="000000"/>
          <w:vertAlign w:val="superscript"/>
          <w:rtl/>
          <w:lang w:bidi="ar-EG"/>
        </w:rPr>
        <w:t xml:space="preserve">( </w:t>
      </w:r>
      <w:r w:rsidRPr="00315653">
        <w:rPr>
          <w:rStyle w:val="ab"/>
          <w:color w:val="000000"/>
          <w:rtl/>
          <w:lang w:bidi="ar-EG"/>
        </w:rPr>
        <w:footnoteReference w:id="10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$52 فالدين المعلق على شرط فاسخ دين موجود ونافذ</w:t>
      </w:r>
      <w:r>
        <w:rPr>
          <w:rFonts w:hint="cs"/>
          <w:color w:val="000000"/>
          <w:rtl/>
          <w:lang w:bidi="ar-EG"/>
        </w:rPr>
        <w:t xml:space="preserve"> ،</w:t>
      </w:r>
      <w:r w:rsidRPr="00315653">
        <w:rPr>
          <w:rFonts w:hint="cs"/>
          <w:color w:val="000000"/>
          <w:rtl/>
          <w:lang w:bidi="ar-EG"/>
        </w:rPr>
        <w:t xml:space="preserve"> فتجوز كفالته وتكون الكفالة في هذه الحالة تابعة للدين الأصلي</w:t>
      </w:r>
      <w:r>
        <w:rPr>
          <w:rFonts w:hint="cs"/>
          <w:color w:val="000000"/>
          <w:rtl/>
          <w:lang w:bidi="ar-EG"/>
        </w:rPr>
        <w:t xml:space="preserve"> ،</w:t>
      </w:r>
      <w:r w:rsidRPr="00315653">
        <w:rPr>
          <w:rFonts w:hint="cs"/>
          <w:color w:val="000000"/>
          <w:rtl/>
          <w:lang w:bidi="ar-EG"/>
        </w:rPr>
        <w:t xml:space="preserve"> وعلى ذلك تكون هي أيضاً معلقة على شرط فاسخ</w:t>
      </w:r>
      <w:r>
        <w:rPr>
          <w:rFonts w:hint="cs"/>
          <w:color w:val="000000"/>
          <w:rtl/>
          <w:lang w:bidi="ar-EG"/>
        </w:rPr>
        <w:t xml:space="preserve"> .</w:t>
      </w:r>
      <w:r w:rsidRPr="00315653">
        <w:rPr>
          <w:rFonts w:hint="cs"/>
          <w:color w:val="000000"/>
          <w:rtl/>
          <w:lang w:bidi="ar-EG"/>
        </w:rPr>
        <w:t xml:space="preserve"> فإذا تخلف الشرط الفاسخ</w:t>
      </w:r>
      <w:r>
        <w:rPr>
          <w:rFonts w:hint="cs"/>
          <w:color w:val="000000"/>
          <w:rtl/>
          <w:lang w:bidi="ar-EG"/>
        </w:rPr>
        <w:t xml:space="preserve"> ،</w:t>
      </w:r>
      <w:r w:rsidRPr="00315653">
        <w:rPr>
          <w:rFonts w:hint="cs"/>
          <w:color w:val="000000"/>
          <w:rtl/>
          <w:lang w:bidi="ar-EG"/>
        </w:rPr>
        <w:t xml:space="preserve"> صار الدين الأصلي باتاً</w:t>
      </w:r>
      <w:r>
        <w:rPr>
          <w:rFonts w:hint="cs"/>
          <w:color w:val="000000"/>
          <w:rtl/>
          <w:lang w:bidi="ar-EG"/>
        </w:rPr>
        <w:t xml:space="preserve"> ،</w:t>
      </w:r>
      <w:r w:rsidRPr="00315653">
        <w:rPr>
          <w:rFonts w:hint="cs"/>
          <w:color w:val="000000"/>
          <w:rtl/>
          <w:lang w:bidi="ar-EG"/>
        </w:rPr>
        <w:t xml:space="preserve"> وكذلك يكون باتاً التزام الكفيل</w:t>
      </w:r>
      <w:r>
        <w:rPr>
          <w:rFonts w:hint="cs"/>
          <w:color w:val="000000"/>
          <w:rtl/>
          <w:lang w:bidi="ar-EG"/>
        </w:rPr>
        <w:t xml:space="preserve"> .</w:t>
      </w:r>
      <w:r w:rsidRPr="00315653">
        <w:rPr>
          <w:rFonts w:hint="cs"/>
          <w:color w:val="000000"/>
          <w:rtl/>
          <w:lang w:bidi="ar-EG"/>
        </w:rPr>
        <w:t xml:space="preserve"> أما إذا تحقق الشرط الفاسخ</w:t>
      </w:r>
      <w:r>
        <w:rPr>
          <w:rFonts w:hint="cs"/>
          <w:color w:val="000000"/>
          <w:rtl/>
          <w:lang w:bidi="ar-EG"/>
        </w:rPr>
        <w:t xml:space="preserve"> ،</w:t>
      </w:r>
      <w:r w:rsidRPr="00315653">
        <w:rPr>
          <w:rFonts w:hint="cs"/>
          <w:color w:val="000000"/>
          <w:rtl/>
          <w:lang w:bidi="ar-EG"/>
        </w:rPr>
        <w:t xml:space="preserve"> فإن الدين الأصلي ينفسخ بأثر رجعي ويعتبر كأنه لم يكن</w:t>
      </w:r>
      <w:r>
        <w:rPr>
          <w:rFonts w:hint="cs"/>
          <w:color w:val="000000"/>
          <w:rtl/>
          <w:lang w:bidi="ar-EG"/>
        </w:rPr>
        <w:t xml:space="preserve"> ،</w:t>
      </w:r>
      <w:r w:rsidRPr="00315653">
        <w:rPr>
          <w:rFonts w:hint="cs"/>
          <w:color w:val="000000"/>
          <w:rtl/>
          <w:lang w:bidi="ar-EG"/>
        </w:rPr>
        <w:t xml:space="preserve"> وكذلك ينفسخ التزام الكفل ويعتبر كأنه لم يكن</w:t>
      </w:r>
      <w:r>
        <w:rPr>
          <w:rFonts w:hint="cs"/>
          <w:color w:val="000000"/>
          <w:rtl/>
          <w:lang w:bidi="ar-EG"/>
        </w:rPr>
        <w:t xml:space="preserve"> .</w:t>
      </w:r>
      <w:r w:rsidRPr="00315653">
        <w:rPr>
          <w:rFonts w:hint="cs"/>
          <w:color w:val="000000"/>
          <w:rtl/>
          <w:lang w:bidi="ar-EG"/>
        </w:rPr>
        <w:t xml:space="preserve"> وكذلك لا شك في جواز كفالة الدين المعلق على شرط واقف</w:t>
      </w:r>
      <w:r>
        <w:rPr>
          <w:rFonts w:hint="cs"/>
          <w:color w:val="000000"/>
          <w:rtl/>
          <w:lang w:bidi="ar-EG"/>
        </w:rPr>
        <w:t xml:space="preserve"> ،</w:t>
      </w:r>
      <w:r w:rsidRPr="00315653">
        <w:rPr>
          <w:rFonts w:hint="cs"/>
          <w:color w:val="000000"/>
          <w:rtl/>
          <w:lang w:bidi="ar-EG"/>
        </w:rPr>
        <w:t xml:space="preserve"> لأنه وإن لم يكن نافذاً دين موجود</w:t>
      </w:r>
      <w:r>
        <w:rPr>
          <w:rFonts w:hint="cs"/>
          <w:color w:val="000000"/>
          <w:rtl/>
          <w:lang w:bidi="ar-EG"/>
        </w:rPr>
        <w:t xml:space="preserve"> .</w:t>
      </w:r>
      <w:r w:rsidRPr="00315653">
        <w:rPr>
          <w:rFonts w:hint="cs"/>
          <w:color w:val="000000"/>
          <w:rtl/>
          <w:lang w:bidi="ar-EG"/>
        </w:rPr>
        <w:t xml:space="preserve"> فيكفله الكفيل</w:t>
      </w:r>
      <w:r>
        <w:rPr>
          <w:rFonts w:hint="cs"/>
          <w:color w:val="000000"/>
          <w:rtl/>
          <w:lang w:bidi="ar-EG"/>
        </w:rPr>
        <w:t xml:space="preserve"> ،</w:t>
      </w:r>
      <w:r w:rsidRPr="00315653">
        <w:rPr>
          <w:rFonts w:hint="cs"/>
          <w:color w:val="000000"/>
          <w:rtl/>
          <w:lang w:bidi="ar-EG"/>
        </w:rPr>
        <w:t xml:space="preserve"> ويكون التزامه كالالتزام المكفول معلقاً على شرط واقف</w:t>
      </w:r>
      <w:r>
        <w:rPr>
          <w:rFonts w:hint="cs"/>
          <w:color w:val="000000"/>
          <w:rtl/>
          <w:lang w:bidi="ar-EG"/>
        </w:rPr>
        <w:t xml:space="preserve"> .</w:t>
      </w:r>
      <w:r w:rsidRPr="00315653">
        <w:rPr>
          <w:rFonts w:hint="cs"/>
          <w:color w:val="000000"/>
          <w:rtl/>
          <w:lang w:bidi="ar-EG"/>
        </w:rPr>
        <w:t xml:space="preserve"> فإذا تخلف الشرط الواقف</w:t>
      </w:r>
      <w:r>
        <w:rPr>
          <w:rFonts w:hint="cs"/>
          <w:color w:val="000000"/>
          <w:rtl/>
          <w:lang w:bidi="ar-EG"/>
        </w:rPr>
        <w:t xml:space="preserve"> ،</w:t>
      </w:r>
      <w:r w:rsidRPr="00315653">
        <w:rPr>
          <w:rFonts w:hint="cs"/>
          <w:color w:val="000000"/>
          <w:rtl/>
          <w:lang w:bidi="ar-EG"/>
        </w:rPr>
        <w:t xml:space="preserve"> زال الدين الأصلي بأثر رجعي واعتبر كأنه لم يمكن</w:t>
      </w:r>
      <w:r>
        <w:rPr>
          <w:rFonts w:hint="cs"/>
          <w:color w:val="000000"/>
          <w:rtl/>
          <w:lang w:bidi="ar-EG"/>
        </w:rPr>
        <w:t xml:space="preserve"> .</w:t>
      </w:r>
      <w:r w:rsidRPr="00315653">
        <w:rPr>
          <w:rFonts w:hint="cs"/>
          <w:color w:val="000000"/>
          <w:rtl/>
          <w:lang w:bidi="ar-EG"/>
        </w:rPr>
        <w:t xml:space="preserve"> وكذلك يزول التزام الكفيل</w:t>
      </w:r>
      <w:r>
        <w:rPr>
          <w:rFonts w:hint="cs"/>
          <w:color w:val="000000"/>
          <w:rtl/>
          <w:lang w:bidi="ar-EG"/>
        </w:rPr>
        <w:t xml:space="preserve"> ،</w:t>
      </w:r>
      <w:r w:rsidRPr="00315653">
        <w:rPr>
          <w:rFonts w:hint="cs"/>
          <w:color w:val="000000"/>
          <w:rtl/>
          <w:lang w:bidi="ar-EG"/>
        </w:rPr>
        <w:t xml:space="preserve"> ويعتبر كأنه لم يكن</w:t>
      </w:r>
      <w:r>
        <w:rPr>
          <w:rFonts w:hint="cs"/>
          <w:color w:val="000000"/>
          <w:rtl/>
          <w:lang w:bidi="ar-EG"/>
        </w:rPr>
        <w:t xml:space="preserve"> .</w:t>
      </w:r>
      <w:r w:rsidRPr="00315653">
        <w:rPr>
          <w:rFonts w:hint="cs"/>
          <w:color w:val="000000"/>
          <w:rtl/>
          <w:lang w:bidi="ar-EG"/>
        </w:rPr>
        <w:t xml:space="preserve"> أما إذا تحقق الشرط الواقف</w:t>
      </w:r>
      <w:r>
        <w:rPr>
          <w:rFonts w:hint="cs"/>
          <w:color w:val="000000"/>
          <w:rtl/>
          <w:lang w:bidi="ar-EG"/>
        </w:rPr>
        <w:t xml:space="preserve"> ،</w:t>
      </w:r>
      <w:r w:rsidRPr="00315653">
        <w:rPr>
          <w:rFonts w:hint="cs"/>
          <w:color w:val="000000"/>
          <w:rtl/>
          <w:lang w:bidi="ar-EG"/>
        </w:rPr>
        <w:t xml:space="preserve"> فإن الالتزام الأصلي ينفذ بأثر رجعي</w:t>
      </w:r>
      <w:r>
        <w:rPr>
          <w:rFonts w:hint="cs"/>
          <w:color w:val="000000"/>
          <w:rtl/>
          <w:lang w:bidi="ar-EG"/>
        </w:rPr>
        <w:t xml:space="preserve"> ،</w:t>
      </w:r>
      <w:r w:rsidRPr="00315653">
        <w:rPr>
          <w:rFonts w:hint="cs"/>
          <w:color w:val="000000"/>
          <w:rtl/>
          <w:lang w:bidi="ar-EG"/>
        </w:rPr>
        <w:t xml:space="preserve"> وكذلك ينفذ1 التزام الكفيل</w:t>
      </w:r>
      <w:r>
        <w:rPr>
          <w:rFonts w:hint="cs"/>
          <w:color w:val="000000"/>
          <w:rtl/>
          <w:lang w:bidi="ar-EG"/>
        </w:rPr>
        <w:t xml:space="preserve"> .</w:t>
      </w:r>
      <w:r w:rsidRPr="00315653">
        <w:rPr>
          <w:rFonts w:hint="cs"/>
          <w:color w:val="000000"/>
          <w:rtl/>
          <w:lang w:bidi="ar-EG"/>
        </w:rPr>
        <w:t xml:space="preserve"> فيصبح التزام كل من المدين الأصلي والتزام الكفيل نافذاً باتاً</w:t>
      </w:r>
      <w:r>
        <w:rPr>
          <w:rFonts w:hint="cs"/>
          <w:color w:val="000000"/>
          <w:rtl/>
          <w:lang w:bidi="ar-EG"/>
        </w:rPr>
        <w:t xml:space="preserve"> ،</w:t>
      </w:r>
      <w:r w:rsidRPr="00315653">
        <w:rPr>
          <w:rFonts w:hint="cs"/>
          <w:color w:val="000000"/>
          <w:rtl/>
          <w:lang w:bidi="ar-EG"/>
        </w:rPr>
        <w:t xml:space="preserve"> وتسري في هذه الحالة أحكام الكفالة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وكذلك تجوز كفالة الدين المستقبل وإن كان ديناً غير موجود وقت الكفالة</w:t>
      </w:r>
      <w:r>
        <w:rPr>
          <w:rFonts w:hint="cs"/>
          <w:color w:val="000000"/>
          <w:rtl/>
          <w:lang w:bidi="ar-EG"/>
        </w:rPr>
        <w:t xml:space="preserve"> ،</w:t>
      </w:r>
      <w:r w:rsidRPr="00315653">
        <w:rPr>
          <w:rFonts w:hint="cs"/>
          <w:color w:val="000000"/>
          <w:rtl/>
          <w:lang w:bidi="ar-EG"/>
        </w:rPr>
        <w:t xml:space="preserve"> وذلك باستثناء الالتزام في تركة مستقبلة فإنه باطل وتبطل تبعاً له الكفالة</w:t>
      </w:r>
      <w:r>
        <w:rPr>
          <w:rFonts w:hint="cs"/>
          <w:color w:val="000000"/>
          <w:vertAlign w:val="superscript"/>
          <w:rtl/>
          <w:lang w:bidi="ar-EG"/>
        </w:rPr>
        <w:t xml:space="preserve">( </w:t>
      </w:r>
      <w:r w:rsidRPr="00315653">
        <w:rPr>
          <w:rStyle w:val="ab"/>
          <w:color w:val="000000"/>
          <w:rtl/>
          <w:lang w:bidi="ar-EG"/>
        </w:rPr>
        <w:footnoteReference w:id="10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ومثل الدين المستقبل فتح اعتماد فتجوز كفالته</w:t>
      </w:r>
      <w:r>
        <w:rPr>
          <w:rFonts w:hint="cs"/>
          <w:color w:val="000000"/>
          <w:rtl/>
          <w:lang w:bidi="ar-EG"/>
        </w:rPr>
        <w:t xml:space="preserve"> ،</w:t>
      </w:r>
      <w:r w:rsidRPr="00315653">
        <w:rPr>
          <w:rFonts w:hint="cs"/>
          <w:color w:val="000000"/>
          <w:rtl/>
          <w:lang w:bidi="ar-EG"/>
        </w:rPr>
        <w:t xml:space="preserve"> كما تجوز كفالة الدين الاحتمالي لأنه دين مستقبل</w:t>
      </w:r>
      <w:r>
        <w:rPr>
          <w:rFonts w:hint="cs"/>
          <w:color w:val="000000"/>
          <w:rtl/>
          <w:lang w:bidi="ar-EG"/>
        </w:rPr>
        <w:t xml:space="preserve"> .</w:t>
      </w:r>
      <w:r w:rsidRPr="00315653">
        <w:rPr>
          <w:rFonts w:hint="cs"/>
          <w:color w:val="000000"/>
          <w:rtl/>
          <w:lang w:bidi="ar-EG"/>
        </w:rPr>
        <w:t xml:space="preserve"> فإذا فتح شخص اعتماداً في مصرف</w:t>
      </w:r>
      <w:r>
        <w:rPr>
          <w:rFonts w:hint="cs"/>
          <w:color w:val="000000"/>
          <w:rtl/>
          <w:lang w:bidi="ar-EG"/>
        </w:rPr>
        <w:t xml:space="preserve"> ،</w:t>
      </w:r>
      <w:r w:rsidRPr="00315653">
        <w:rPr>
          <w:rFonts w:hint="cs"/>
          <w:color w:val="000000"/>
          <w:rtl/>
          <w:lang w:bidi="ar-EG"/>
        </w:rPr>
        <w:t xml:space="preserve"> جاز أن يقدم كفيلا يضمن ما عسى أن يقبضه المدين من هذا الاعتماد وبالقدر الذي يقبض</w:t>
      </w:r>
      <w:r>
        <w:rPr>
          <w:rFonts w:hint="cs"/>
          <w:color w:val="000000"/>
          <w:rtl/>
          <w:lang w:bidi="ar-EG"/>
        </w:rPr>
        <w:t xml:space="preserve"> ،</w:t>
      </w:r>
      <w:r w:rsidRPr="00315653">
        <w:rPr>
          <w:rFonts w:hint="cs"/>
          <w:color w:val="000000"/>
          <w:rtl/>
          <w:lang w:bidi="ar-EG"/>
        </w:rPr>
        <w:t xml:space="preserve"> وذلك قبل أن يقبض المدين شيئاً من الاعتماد</w:t>
      </w:r>
      <w:r>
        <w:rPr>
          <w:rFonts w:hint="cs"/>
          <w:color w:val="000000"/>
          <w:rtl/>
          <w:lang w:bidi="ar-EG"/>
        </w:rPr>
        <w:t xml:space="preserve"> .</w:t>
      </w:r>
      <w:r w:rsidRPr="00315653">
        <w:rPr>
          <w:rFonts w:hint="cs"/>
          <w:color w:val="000000"/>
          <w:rtl/>
          <w:lang w:bidi="ar-EG"/>
        </w:rPr>
        <w:t xml:space="preserve"> كذلك يستطيع أن يقدم شخص كفيلا يضمنه فيما عسى أن يشتريه من متجر معين</w:t>
      </w:r>
      <w:r>
        <w:rPr>
          <w:rFonts w:hint="cs"/>
          <w:color w:val="000000"/>
          <w:rtl/>
          <w:lang w:bidi="ar-EG"/>
        </w:rPr>
        <w:t xml:space="preserve"> ،</w:t>
      </w:r>
      <w:r w:rsidRPr="00315653">
        <w:rPr>
          <w:rFonts w:hint="cs"/>
          <w:color w:val="000000"/>
          <w:rtl/>
          <w:lang w:bidi="ar-EG"/>
        </w:rPr>
        <w:t xml:space="preserve"> فيكون الكفيل ضامناً لثمن البضائع التي يشتريها المدين الأصلي</w:t>
      </w:r>
      <w:r>
        <w:rPr>
          <w:rFonts w:hint="cs"/>
          <w:color w:val="000000"/>
          <w:vertAlign w:val="superscript"/>
          <w:rtl/>
          <w:lang w:bidi="ar-EG"/>
        </w:rPr>
        <w:t xml:space="preserve">( </w:t>
      </w:r>
      <w:r w:rsidRPr="00315653">
        <w:rPr>
          <w:rStyle w:val="ab"/>
          <w:color w:val="000000"/>
          <w:rtl/>
          <w:lang w:bidi="ar-EG"/>
        </w:rPr>
        <w:footnoteReference w:id="10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وتكون كفالة الدين المستقبل قائمة ويكون الكفيل ملزماً بها</w:t>
      </w:r>
      <w:r>
        <w:rPr>
          <w:rFonts w:hint="cs"/>
          <w:color w:val="000000"/>
          <w:rtl/>
          <w:lang w:bidi="ar-EG"/>
        </w:rPr>
        <w:t xml:space="preserve"> ،</w:t>
      </w:r>
      <w:r w:rsidRPr="00315653">
        <w:rPr>
          <w:rFonts w:hint="cs"/>
          <w:color w:val="000000"/>
          <w:rtl/>
          <w:lang w:bidi="ar-EG"/>
        </w:rPr>
        <w:t xml:space="preserve"> حتى قبل $53 أن يوجد هذا الدين</w:t>
      </w:r>
      <w:r>
        <w:rPr>
          <w:rFonts w:hint="cs"/>
          <w:color w:val="000000"/>
          <w:rtl/>
          <w:lang w:bidi="ar-EG"/>
        </w:rPr>
        <w:t xml:space="preserve"> .</w:t>
      </w:r>
      <w:r w:rsidRPr="00315653">
        <w:rPr>
          <w:rFonts w:hint="cs"/>
          <w:color w:val="000000"/>
          <w:rtl/>
          <w:lang w:bidi="ar-EG"/>
        </w:rPr>
        <w:t xml:space="preserve"> ولكن الكفيل لا يكون ملتزماً بأي مقدار من المال قبل أن يوجد الدين</w:t>
      </w:r>
      <w:r>
        <w:rPr>
          <w:rFonts w:hint="cs"/>
          <w:color w:val="000000"/>
          <w:rtl/>
          <w:lang w:bidi="ar-EG"/>
        </w:rPr>
        <w:t xml:space="preserve"> ،</w:t>
      </w:r>
      <w:r w:rsidRPr="00315653">
        <w:rPr>
          <w:rFonts w:hint="cs"/>
          <w:color w:val="000000"/>
          <w:rtl/>
          <w:lang w:bidi="ar-EG"/>
        </w:rPr>
        <w:t xml:space="preserve"> فإذا ما وجد كفله المدين بالمقدار الذي به يوجد</w:t>
      </w:r>
      <w:r>
        <w:rPr>
          <w:rFonts w:hint="cs"/>
          <w:color w:val="000000"/>
          <w:vertAlign w:val="superscript"/>
          <w:rtl/>
          <w:lang w:bidi="ar-EG"/>
        </w:rPr>
        <w:t xml:space="preserve">( </w:t>
      </w:r>
      <w:r w:rsidRPr="00315653">
        <w:rPr>
          <w:rStyle w:val="ab"/>
          <w:color w:val="000000"/>
          <w:rtl/>
          <w:lang w:bidi="ar-EG"/>
        </w:rPr>
        <w:footnoteReference w:id="10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نص المادة 778 مدني سالف الذكر وضع لكفالة الدين المستقبل قيدين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القيد الأول</w:t>
      </w:r>
      <w:r>
        <w:rPr>
          <w:rFonts w:hint="cs"/>
          <w:color w:val="000000"/>
          <w:rtl/>
          <w:lang w:bidi="ar-EG"/>
        </w:rPr>
        <w:t xml:space="preserve"> )</w:t>
      </w:r>
      <w:r w:rsidRPr="00315653">
        <w:rPr>
          <w:rFonts w:hint="cs"/>
          <w:color w:val="000000"/>
          <w:rtl/>
          <w:lang w:bidi="ar-EG"/>
        </w:rPr>
        <w:t xml:space="preserve"> يجب في الدين المستقبل المكفول أن يحدد مقدماً في عقد الكفالة مقدار الدين المكفول</w:t>
      </w:r>
      <w:r>
        <w:rPr>
          <w:rFonts w:hint="cs"/>
          <w:color w:val="000000"/>
          <w:rtl/>
          <w:lang w:bidi="ar-EG"/>
        </w:rPr>
        <w:t xml:space="preserve"> .</w:t>
      </w:r>
      <w:r w:rsidRPr="00315653">
        <w:rPr>
          <w:rFonts w:hint="cs"/>
          <w:color w:val="000000"/>
          <w:rtl/>
          <w:lang w:bidi="ar-EG"/>
        </w:rPr>
        <w:t xml:space="preserve"> فإذا كفل شخص فتح اعتماد أو ثمن بضائع لم تشتر بعد</w:t>
      </w:r>
      <w:r>
        <w:rPr>
          <w:rFonts w:hint="cs"/>
          <w:color w:val="000000"/>
          <w:rtl/>
          <w:lang w:bidi="ar-EG"/>
        </w:rPr>
        <w:t xml:space="preserve"> ،</w:t>
      </w:r>
      <w:r w:rsidRPr="00315653">
        <w:rPr>
          <w:rFonts w:hint="cs"/>
          <w:color w:val="000000"/>
          <w:rtl/>
          <w:lang w:bidi="ar-EG"/>
        </w:rPr>
        <w:t xml:space="preserve"> وجب تحديد المقدار الذي كفله الكفيل</w:t>
      </w:r>
      <w:r>
        <w:rPr>
          <w:rFonts w:hint="cs"/>
          <w:color w:val="000000"/>
          <w:rtl/>
          <w:lang w:bidi="ar-EG"/>
        </w:rPr>
        <w:t xml:space="preserve"> ،</w:t>
      </w:r>
      <w:r w:rsidRPr="00315653">
        <w:rPr>
          <w:rFonts w:hint="cs"/>
          <w:color w:val="000000"/>
          <w:rtl/>
          <w:lang w:bidi="ar-EG"/>
        </w:rPr>
        <w:t xml:space="preserve"> فيذكر مثلا في عقد الكفالة أن الكفيل يكفل الاعتماد  لغاية مبلغ كذا أو يكفل ثمن البضائع لغاية مبلغ كذا</w:t>
      </w:r>
      <w:r>
        <w:rPr>
          <w:rFonts w:hint="cs"/>
          <w:color w:val="000000"/>
          <w:rtl/>
          <w:lang w:bidi="ar-EG"/>
        </w:rPr>
        <w:t xml:space="preserve"> .</w:t>
      </w:r>
      <w:r w:rsidRPr="00315653">
        <w:rPr>
          <w:rFonts w:hint="cs"/>
          <w:color w:val="000000"/>
          <w:rtl/>
          <w:lang w:bidi="ar-EG"/>
        </w:rPr>
        <w:t xml:space="preserve"> والسبب في وضع هذا القيد حماية الكفيل</w:t>
      </w:r>
      <w:r>
        <w:rPr>
          <w:rFonts w:hint="cs"/>
          <w:color w:val="000000"/>
          <w:rtl/>
          <w:lang w:bidi="ar-EG"/>
        </w:rPr>
        <w:t xml:space="preserve"> ،</w:t>
      </w:r>
      <w:r w:rsidRPr="00315653">
        <w:rPr>
          <w:rFonts w:hint="cs"/>
          <w:color w:val="000000"/>
          <w:rtl/>
          <w:lang w:bidi="ar-EG"/>
        </w:rPr>
        <w:t xml:space="preserve"> فهو يقوم على </w:t>
      </w:r>
      <w:r w:rsidRPr="00315653">
        <w:rPr>
          <w:rFonts w:hint="cs"/>
          <w:color w:val="000000"/>
          <w:rtl/>
          <w:lang w:bidi="ar-EG"/>
        </w:rPr>
        <w:lastRenderedPageBreak/>
        <w:t>كفالة دين مستقبل لما بوجد</w:t>
      </w:r>
      <w:r>
        <w:rPr>
          <w:rFonts w:hint="cs"/>
          <w:color w:val="000000"/>
          <w:rtl/>
          <w:lang w:bidi="ar-EG"/>
        </w:rPr>
        <w:t xml:space="preserve"> ،</w:t>
      </w:r>
      <w:r w:rsidRPr="00315653">
        <w:rPr>
          <w:rFonts w:hint="cs"/>
          <w:color w:val="000000"/>
          <w:rtl/>
          <w:lang w:bidi="ar-EG"/>
        </w:rPr>
        <w:t xml:space="preserve"> فلا أقل من تحديد مبلغ يكفله حتى لا يتورط في كفالة دين لم يوجد ولا يعلم مقداره</w:t>
      </w:r>
      <w:r>
        <w:rPr>
          <w:rFonts w:hint="cs"/>
          <w:color w:val="000000"/>
          <w:vertAlign w:val="superscript"/>
          <w:rtl/>
          <w:lang w:bidi="ar-EG"/>
        </w:rPr>
        <w:t xml:space="preserve">( </w:t>
      </w:r>
      <w:r w:rsidRPr="00315653">
        <w:rPr>
          <w:rStyle w:val="ab"/>
          <w:color w:val="000000"/>
          <w:rtl/>
          <w:lang w:bidi="ar-EG"/>
        </w:rPr>
        <w:footnoteReference w:id="10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كانت القواعد العامة تقضي</w:t>
      </w:r>
      <w:r>
        <w:rPr>
          <w:rFonts w:hint="cs"/>
          <w:color w:val="000000"/>
          <w:rtl/>
          <w:lang w:bidi="ar-EG"/>
        </w:rPr>
        <w:t xml:space="preserve"> ،</w:t>
      </w:r>
      <w:r w:rsidRPr="00315653">
        <w:rPr>
          <w:rFonts w:hint="cs"/>
          <w:color w:val="000000"/>
          <w:rtl/>
          <w:lang w:bidi="ar-EG"/>
        </w:rPr>
        <w:t xml:space="preserve"> $54 إذا لم يوجد نص</w:t>
      </w:r>
      <w:r>
        <w:rPr>
          <w:rFonts w:hint="cs"/>
          <w:color w:val="000000"/>
          <w:rtl/>
          <w:lang w:bidi="ar-EG"/>
        </w:rPr>
        <w:t xml:space="preserve"> ،</w:t>
      </w:r>
      <w:r w:rsidRPr="00315653">
        <w:rPr>
          <w:rFonts w:hint="cs"/>
          <w:color w:val="000000"/>
          <w:rtl/>
          <w:lang w:bidi="ar-EG"/>
        </w:rPr>
        <w:t xml:space="preserve"> بجواز كفالة الدين المستقبل حتى لو لم يحدد مقداره</w:t>
      </w:r>
      <w:r>
        <w:rPr>
          <w:rFonts w:hint="cs"/>
          <w:color w:val="000000"/>
          <w:vertAlign w:val="superscript"/>
          <w:rtl/>
          <w:lang w:bidi="ar-EG"/>
        </w:rPr>
        <w:t xml:space="preserve">( </w:t>
      </w:r>
      <w:r w:rsidRPr="00315653">
        <w:rPr>
          <w:rStyle w:val="ab"/>
          <w:color w:val="000000"/>
          <w:rtl/>
          <w:lang w:bidi="ar-EG"/>
        </w:rPr>
        <w:footnoteReference w:id="10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القيد الثاني</w:t>
      </w:r>
      <w:r>
        <w:rPr>
          <w:rFonts w:hint="cs"/>
          <w:color w:val="000000"/>
          <w:rtl/>
          <w:lang w:bidi="ar-EG"/>
        </w:rPr>
        <w:t xml:space="preserve"> )</w:t>
      </w:r>
      <w:r w:rsidRPr="00315653">
        <w:rPr>
          <w:rFonts w:hint="cs"/>
          <w:color w:val="000000"/>
          <w:rtl/>
          <w:lang w:bidi="ar-EG"/>
        </w:rPr>
        <w:t xml:space="preserve"> ما تنص عليه الفقرة الثانية من المادة 778 مدني سالفة الذكر من أنه "إذا كان الكفيل في الدين المستقبل لم يعين مدة للكفالة</w:t>
      </w:r>
      <w:r>
        <w:rPr>
          <w:rFonts w:hint="cs"/>
          <w:color w:val="000000"/>
          <w:rtl/>
          <w:lang w:bidi="ar-EG"/>
        </w:rPr>
        <w:t xml:space="preserve"> ،</w:t>
      </w:r>
      <w:r w:rsidRPr="00315653">
        <w:rPr>
          <w:rFonts w:hint="cs"/>
          <w:color w:val="000000"/>
          <w:rtl/>
          <w:lang w:bidi="ar-EG"/>
        </w:rPr>
        <w:t xml:space="preserve"> كان له في أي وقت أن يرجع فيها ما دام الدين المكفول لم ينشأ"</w:t>
      </w:r>
      <w:r>
        <w:rPr>
          <w:rFonts w:hint="cs"/>
          <w:color w:val="000000"/>
          <w:rtl/>
          <w:lang w:bidi="ar-EG"/>
        </w:rPr>
        <w:t xml:space="preserve"> .</w:t>
      </w:r>
      <w:r w:rsidRPr="00315653">
        <w:rPr>
          <w:rFonts w:hint="cs"/>
          <w:color w:val="000000"/>
          <w:rtl/>
          <w:lang w:bidi="ar-EG"/>
        </w:rPr>
        <w:t xml:space="preserve"> فإذا عني الكفيل مدة لقيام كفالته</w:t>
      </w:r>
      <w:r>
        <w:rPr>
          <w:rFonts w:hint="cs"/>
          <w:color w:val="000000"/>
          <w:rtl/>
          <w:lang w:bidi="ar-EG"/>
        </w:rPr>
        <w:t xml:space="preserve"> ،</w:t>
      </w:r>
      <w:r w:rsidRPr="00315653">
        <w:rPr>
          <w:rFonts w:hint="cs"/>
          <w:color w:val="000000"/>
          <w:rtl/>
          <w:lang w:bidi="ar-EG"/>
        </w:rPr>
        <w:t xml:space="preserve"> لم يجز له أن يرجع في الكفالة طوال هذه المدة</w:t>
      </w:r>
      <w:r>
        <w:rPr>
          <w:rFonts w:hint="cs"/>
          <w:color w:val="000000"/>
          <w:rtl/>
          <w:lang w:bidi="ar-EG"/>
        </w:rPr>
        <w:t xml:space="preserve"> ،</w:t>
      </w:r>
      <w:r w:rsidRPr="00315653">
        <w:rPr>
          <w:rFonts w:hint="cs"/>
          <w:color w:val="000000"/>
          <w:rtl/>
          <w:lang w:bidi="ar-EG"/>
        </w:rPr>
        <w:t xml:space="preserve"> ووجب عليه وفاء الدين عن المدين الأصلي متى وجد الدين وحل ولم يوفه المدين الأصلي في خلال هذه المدة</w:t>
      </w:r>
      <w:r>
        <w:rPr>
          <w:rFonts w:hint="cs"/>
          <w:color w:val="000000"/>
          <w:rtl/>
          <w:lang w:bidi="ar-EG"/>
        </w:rPr>
        <w:t xml:space="preserve"> .</w:t>
      </w:r>
      <w:r w:rsidRPr="00315653">
        <w:rPr>
          <w:rFonts w:hint="cs"/>
          <w:color w:val="000000"/>
          <w:rtl/>
          <w:lang w:bidi="ar-EG"/>
        </w:rPr>
        <w:t xml:space="preserve"> أما إذا لم يعين الكفيل مدة لقيام كفالته</w:t>
      </w:r>
      <w:r>
        <w:rPr>
          <w:rFonts w:hint="cs"/>
          <w:color w:val="000000"/>
          <w:rtl/>
          <w:lang w:bidi="ar-EG"/>
        </w:rPr>
        <w:t xml:space="preserve"> ،</w:t>
      </w:r>
      <w:r w:rsidRPr="00315653">
        <w:rPr>
          <w:rFonts w:hint="cs"/>
          <w:color w:val="000000"/>
          <w:rtl/>
          <w:lang w:bidi="ar-EG"/>
        </w:rPr>
        <w:t xml:space="preserve"> أو عين مدة وانقضت قبل نشوء الدين المستقبل وتحققه فعلا</w:t>
      </w:r>
      <w:r>
        <w:rPr>
          <w:rFonts w:hint="cs"/>
          <w:color w:val="000000"/>
          <w:rtl/>
          <w:lang w:bidi="ar-EG"/>
        </w:rPr>
        <w:t xml:space="preserve"> ،</w:t>
      </w:r>
      <w:r w:rsidRPr="00315653">
        <w:rPr>
          <w:rFonts w:hint="cs"/>
          <w:color w:val="000000"/>
          <w:rtl/>
          <w:lang w:bidi="ar-EG"/>
        </w:rPr>
        <w:t xml:space="preserve"> فإن للكفيل أن يرجع في الكفالة ما دام الدين المكفول لم ينشأ</w:t>
      </w:r>
      <w:r>
        <w:rPr>
          <w:rFonts w:hint="cs"/>
          <w:color w:val="000000"/>
          <w:rtl/>
          <w:lang w:bidi="ar-EG"/>
        </w:rPr>
        <w:t xml:space="preserve"> .</w:t>
      </w:r>
      <w:r w:rsidRPr="00315653">
        <w:rPr>
          <w:rFonts w:hint="cs"/>
          <w:color w:val="000000"/>
          <w:rtl/>
          <w:lang w:bidi="ar-EG"/>
        </w:rPr>
        <w:t xml:space="preserve"> فإذا نشأ الدين المكفول</w:t>
      </w:r>
      <w:r>
        <w:rPr>
          <w:rFonts w:hint="cs"/>
          <w:color w:val="000000"/>
          <w:rtl/>
          <w:lang w:bidi="ar-EG"/>
        </w:rPr>
        <w:t xml:space="preserve"> ،</w:t>
      </w:r>
      <w:r w:rsidRPr="00315653">
        <w:rPr>
          <w:rFonts w:hint="cs"/>
          <w:color w:val="000000"/>
          <w:rtl/>
          <w:lang w:bidi="ar-EG"/>
        </w:rPr>
        <w:t xml:space="preserve"> سواء في حالة عدم تعيين مدة للكفالة لم يجرع الكفيل في خلالها عن كفالته</w:t>
      </w:r>
      <w:r>
        <w:rPr>
          <w:rFonts w:hint="cs"/>
          <w:color w:val="000000"/>
          <w:rtl/>
          <w:lang w:bidi="ar-EG"/>
        </w:rPr>
        <w:t xml:space="preserve"> ،</w:t>
      </w:r>
      <w:r w:rsidRPr="00315653">
        <w:rPr>
          <w:rFonts w:hint="cs"/>
          <w:color w:val="000000"/>
          <w:rtl/>
          <w:lang w:bidi="ar-EG"/>
        </w:rPr>
        <w:t xml:space="preserve"> أو في حالة تعيين مدة نشأ في خلالها الدين المكفول</w:t>
      </w:r>
      <w:r>
        <w:rPr>
          <w:rFonts w:hint="cs"/>
          <w:color w:val="000000"/>
          <w:rtl/>
          <w:lang w:bidi="ar-EG"/>
        </w:rPr>
        <w:t xml:space="preserve"> ،</w:t>
      </w:r>
      <w:r w:rsidRPr="00315653">
        <w:rPr>
          <w:rFonts w:hint="cs"/>
          <w:color w:val="000000"/>
          <w:rtl/>
          <w:lang w:bidi="ar-EG"/>
        </w:rPr>
        <w:t xml:space="preserve"> فإن الكفيل عندئذ لا يستطيع الرجوع في الكفالة وتصبح ملزمة له</w:t>
      </w:r>
      <w:r>
        <w:rPr>
          <w:rFonts w:hint="cs"/>
          <w:color w:val="000000"/>
          <w:rtl/>
          <w:lang w:bidi="ar-EG"/>
        </w:rPr>
        <w:t xml:space="preserve"> .</w:t>
      </w:r>
      <w:r w:rsidRPr="00315653">
        <w:rPr>
          <w:rFonts w:hint="cs"/>
          <w:color w:val="000000"/>
          <w:rtl/>
          <w:lang w:bidi="ar-EG"/>
        </w:rPr>
        <w:t xml:space="preserve"> وقد كانت القواعد العامة تقضي</w:t>
      </w:r>
      <w:r>
        <w:rPr>
          <w:rFonts w:hint="cs"/>
          <w:color w:val="000000"/>
          <w:rtl/>
          <w:lang w:bidi="ar-EG"/>
        </w:rPr>
        <w:t xml:space="preserve"> ،</w:t>
      </w:r>
      <w:r w:rsidRPr="00315653">
        <w:rPr>
          <w:rFonts w:hint="cs"/>
          <w:color w:val="000000"/>
          <w:rtl/>
          <w:lang w:bidi="ar-EG"/>
        </w:rPr>
        <w:t xml:space="preserve"> لولا وجود نص الفقرة الثانية من المادة 778 مدني سالفة الذكر</w:t>
      </w:r>
      <w:r>
        <w:rPr>
          <w:rFonts w:hint="cs"/>
          <w:color w:val="000000"/>
          <w:rtl/>
          <w:lang w:bidi="ar-EG"/>
        </w:rPr>
        <w:t xml:space="preserve"> ،</w:t>
      </w:r>
      <w:r w:rsidRPr="00315653">
        <w:rPr>
          <w:rFonts w:hint="cs"/>
          <w:color w:val="000000"/>
          <w:rtl/>
          <w:lang w:bidi="ar-EG"/>
        </w:rPr>
        <w:t xml:space="preserve"> بأن الكفيل لا يستطيع الرجوع في الكفالة ويبقى ملتزماً بها حتى قبل نشوء الدين المستقبل</w:t>
      </w:r>
      <w:r>
        <w:rPr>
          <w:rFonts w:hint="cs"/>
          <w:color w:val="000000"/>
          <w:vertAlign w:val="superscript"/>
          <w:rtl/>
          <w:lang w:bidi="ar-EG"/>
        </w:rPr>
        <w:t xml:space="preserve">( </w:t>
      </w:r>
      <w:r w:rsidRPr="00315653">
        <w:rPr>
          <w:rStyle w:val="ab"/>
          <w:color w:val="000000"/>
          <w:rtl/>
          <w:lang w:bidi="ar-EG"/>
        </w:rPr>
        <w:footnoteReference w:id="10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ما دام لم يعين وقتاً لقيام كفالته وينقص هذا الوقت قبل نشوء الدين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هذا وقد كان المشروع التمهيدي يشتمل على نصين يعتبران من تطبيقات كفالة الدين المستقبل فكانت المادة 1137 </w:t>
      </w:r>
      <w:r w:rsidRPr="00315653">
        <w:rPr>
          <w:rFonts w:hint="cs"/>
          <w:color w:val="000000"/>
          <w:rtl/>
          <w:lang w:bidi="ar-EG"/>
        </w:rPr>
        <w:lastRenderedPageBreak/>
        <w:t>من هذا المشروع تنص على أن "الوكالة في إقراض شخص آخر تعتبر كفالة لالتزام مستقبل</w:t>
      </w:r>
      <w:r>
        <w:rPr>
          <w:rFonts w:hint="cs"/>
          <w:color w:val="000000"/>
          <w:rtl/>
          <w:lang w:bidi="ar-EG"/>
        </w:rPr>
        <w:t xml:space="preserve"> ،</w:t>
      </w:r>
      <w:r w:rsidRPr="00315653">
        <w:rPr>
          <w:rFonts w:hint="cs"/>
          <w:color w:val="000000"/>
          <w:rtl/>
          <w:lang w:bidi="ar-EG"/>
        </w:rPr>
        <w:t xml:space="preserve"> إلا إذا اتفق على خلاف ذلك"</w:t>
      </w:r>
      <w:r>
        <w:rPr>
          <w:rFonts w:hint="cs"/>
          <w:color w:val="000000"/>
          <w:rtl/>
          <w:lang w:bidi="ar-EG"/>
        </w:rPr>
        <w:t xml:space="preserve"> .</w:t>
      </w:r>
      <w:r w:rsidRPr="00315653">
        <w:rPr>
          <w:rFonts w:hint="cs"/>
          <w:color w:val="000000"/>
          <w:rtl/>
          <w:lang w:bidi="ar-EG"/>
        </w:rPr>
        <w:t xml:space="preserve"> وكانت المادة 1137 مكررة من المشروع تنص على ما يأتي</w:t>
      </w:r>
      <w:r>
        <w:rPr>
          <w:rFonts w:hint="cs"/>
          <w:color w:val="000000"/>
          <w:rtl/>
          <w:lang w:bidi="ar-EG"/>
        </w:rPr>
        <w:t xml:space="preserve"> :</w:t>
      </w:r>
      <w:r w:rsidRPr="00315653">
        <w:rPr>
          <w:rFonts w:hint="cs"/>
          <w:color w:val="000000"/>
          <w:rtl/>
          <w:lang w:bidi="ar-EG"/>
        </w:rPr>
        <w:t xml:space="preserve"> "وفي الحالة المنصوص عليها في المادة السابقة</w:t>
      </w:r>
      <w:r>
        <w:rPr>
          <w:rFonts w:hint="cs"/>
          <w:color w:val="000000"/>
          <w:rtl/>
          <w:lang w:bidi="ar-EG"/>
        </w:rPr>
        <w:t xml:space="preserve"> ،</w:t>
      </w:r>
      <w:r w:rsidRPr="00315653">
        <w:rPr>
          <w:rFonts w:hint="cs"/>
          <w:color w:val="000000"/>
          <w:rtl/>
          <w:lang w:bidi="ar-EG"/>
        </w:rPr>
        <w:t xml:space="preserve"> يبرأ الكفيل إذا $55 كان الدائن وقت نشوء الالتزام يعلم</w:t>
      </w:r>
      <w:r>
        <w:rPr>
          <w:rFonts w:hint="cs"/>
          <w:color w:val="000000"/>
          <w:rtl/>
          <w:lang w:bidi="ar-EG"/>
        </w:rPr>
        <w:t xml:space="preserve"> ،</w:t>
      </w:r>
      <w:r w:rsidRPr="00315653">
        <w:rPr>
          <w:rFonts w:hint="cs"/>
          <w:color w:val="000000"/>
          <w:rtl/>
          <w:lang w:bidi="ar-EG"/>
        </w:rPr>
        <w:t xml:space="preserve"> أو كان يستطيع أن يعلم</w:t>
      </w:r>
      <w:r>
        <w:rPr>
          <w:rFonts w:hint="cs"/>
          <w:color w:val="000000"/>
          <w:rtl/>
          <w:lang w:bidi="ar-EG"/>
        </w:rPr>
        <w:t xml:space="preserve"> ،</w:t>
      </w:r>
      <w:r w:rsidRPr="00315653">
        <w:rPr>
          <w:rFonts w:hint="cs"/>
          <w:color w:val="000000"/>
          <w:rtl/>
          <w:lang w:bidi="ar-EG"/>
        </w:rPr>
        <w:t xml:space="preserve"> أن حالة المدين المكفول قد أصبحت بالغة السوء</w:t>
      </w:r>
      <w:r>
        <w:rPr>
          <w:rFonts w:hint="cs"/>
          <w:color w:val="000000"/>
          <w:rtl/>
          <w:lang w:bidi="ar-EG"/>
        </w:rPr>
        <w:t xml:space="preserve"> ،</w:t>
      </w:r>
      <w:r w:rsidRPr="00315653">
        <w:rPr>
          <w:rFonts w:hint="cs"/>
          <w:color w:val="000000"/>
          <w:rtl/>
          <w:lang w:bidi="ar-EG"/>
        </w:rPr>
        <w:t xml:space="preserve"> ولم يكن قد حصل على الكفيل على ما يؤكد كفالته"</w:t>
      </w:r>
      <w:r>
        <w:rPr>
          <w:rFonts w:hint="cs"/>
          <w:color w:val="000000"/>
          <w:vertAlign w:val="superscript"/>
          <w:rtl/>
          <w:lang w:bidi="ar-EG"/>
        </w:rPr>
        <w:t xml:space="preserve">( </w:t>
      </w:r>
      <w:r w:rsidRPr="00315653">
        <w:rPr>
          <w:rStyle w:val="ab"/>
          <w:color w:val="000000"/>
          <w:rtl/>
          <w:lang w:bidi="ar-EG"/>
        </w:rPr>
        <w:footnoteReference w:id="11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ويوضح هذين النصين ما يقابلهما من النصوص في المشروع الفرنسي الايطالي وفي التقنين المدني الألماني</w:t>
      </w:r>
      <w:r>
        <w:rPr>
          <w:rFonts w:hint="cs"/>
          <w:color w:val="000000"/>
          <w:rtl/>
          <w:lang w:bidi="ar-EG"/>
        </w:rPr>
        <w:t xml:space="preserve"> .</w:t>
      </w:r>
      <w:r w:rsidRPr="00315653">
        <w:rPr>
          <w:rFonts w:hint="cs"/>
          <w:color w:val="000000"/>
          <w:rtl/>
          <w:lang w:bidi="ar-EG"/>
        </w:rPr>
        <w:t xml:space="preserve"> فقد جاء في المادتين 708 و 709 من المشروع الفرنسي الايطالي أنه "إذا وكل شخص غيره في فتح اعتماد لشخص ثالث والتزم الموكل إزاء الوكيل شخصاً</w:t>
      </w:r>
      <w:r>
        <w:rPr>
          <w:rFonts w:hint="cs"/>
          <w:color w:val="000000"/>
          <w:rtl/>
          <w:lang w:bidi="ar-EG"/>
        </w:rPr>
        <w:t xml:space="preserve"> ،</w:t>
      </w:r>
      <w:r w:rsidRPr="00315653">
        <w:rPr>
          <w:rFonts w:hint="cs"/>
          <w:color w:val="000000"/>
          <w:rtl/>
          <w:lang w:bidi="ar-EG"/>
        </w:rPr>
        <w:t xml:space="preserve"> اعتبر كفيلا في دين مستقبل</w:t>
      </w:r>
      <w:r>
        <w:rPr>
          <w:rFonts w:hint="cs"/>
          <w:color w:val="000000"/>
          <w:rtl/>
          <w:lang w:bidi="ar-EG"/>
        </w:rPr>
        <w:t xml:space="preserve"> .</w:t>
      </w:r>
      <w:r w:rsidRPr="00315653">
        <w:rPr>
          <w:rFonts w:hint="cs"/>
          <w:color w:val="000000"/>
          <w:rtl/>
          <w:lang w:bidi="ar-EG"/>
        </w:rPr>
        <w:t xml:space="preserve"> ومتى أعطي هذا التوكيل وقبل</w:t>
      </w:r>
      <w:r>
        <w:rPr>
          <w:rFonts w:hint="cs"/>
          <w:color w:val="000000"/>
          <w:rtl/>
          <w:lang w:bidi="ar-EG"/>
        </w:rPr>
        <w:t xml:space="preserve"> ،</w:t>
      </w:r>
      <w:r w:rsidRPr="00315653">
        <w:rPr>
          <w:rFonts w:hint="cs"/>
          <w:color w:val="000000"/>
          <w:rtl/>
          <w:lang w:bidi="ar-EG"/>
        </w:rPr>
        <w:t xml:space="preserve"> فلا يجوز الرجوع فيه كما لا يجوز التنازل عنه إلا برضاء الطرفين</w:t>
      </w:r>
      <w:r>
        <w:rPr>
          <w:rFonts w:hint="cs"/>
          <w:color w:val="000000"/>
          <w:rtl/>
          <w:lang w:bidi="ar-EG"/>
        </w:rPr>
        <w:t xml:space="preserve"> .</w:t>
      </w:r>
      <w:r w:rsidRPr="00315653">
        <w:rPr>
          <w:rFonts w:hint="cs"/>
          <w:color w:val="000000"/>
          <w:rtl/>
          <w:lang w:bidi="ar-EG"/>
        </w:rPr>
        <w:t xml:space="preserve"> وفي هذه الحالة تبرأ ذمة الكفيل إذا كان الدائن يعلم أو في وسعه أن يعلم</w:t>
      </w:r>
      <w:r>
        <w:rPr>
          <w:rFonts w:hint="cs"/>
          <w:color w:val="000000"/>
          <w:rtl/>
          <w:lang w:bidi="ar-EG"/>
        </w:rPr>
        <w:t xml:space="preserve"> ،</w:t>
      </w:r>
      <w:r w:rsidRPr="00315653">
        <w:rPr>
          <w:rFonts w:hint="cs"/>
          <w:color w:val="000000"/>
          <w:rtl/>
          <w:lang w:bidi="ar-EG"/>
        </w:rPr>
        <w:t xml:space="preserve"> وقت نشوء الالتزام المكفول</w:t>
      </w:r>
      <w:r>
        <w:rPr>
          <w:rFonts w:hint="cs"/>
          <w:color w:val="000000"/>
          <w:rtl/>
          <w:lang w:bidi="ar-EG"/>
        </w:rPr>
        <w:t xml:space="preserve"> ،</w:t>
      </w:r>
      <w:r w:rsidRPr="00315653">
        <w:rPr>
          <w:rFonts w:hint="cs"/>
          <w:color w:val="000000"/>
          <w:rtl/>
          <w:lang w:bidi="ar-EG"/>
        </w:rPr>
        <w:t xml:space="preserve"> أن مركز المدين كان سيئاً وأنه لم يحصل على إذن الكفيل"</w:t>
      </w:r>
      <w:r>
        <w:rPr>
          <w:rFonts w:hint="cs"/>
          <w:color w:val="000000"/>
          <w:rtl/>
          <w:lang w:bidi="ar-EG"/>
        </w:rPr>
        <w:t xml:space="preserve"> .</w:t>
      </w:r>
      <w:r w:rsidRPr="00315653">
        <w:rPr>
          <w:rFonts w:hint="cs"/>
          <w:color w:val="000000"/>
          <w:rtl/>
          <w:lang w:bidi="ar-EG"/>
        </w:rPr>
        <w:t xml:space="preserve"> وجاء في المادة 778 من التقنين المدني الألماني</w:t>
      </w:r>
      <w:r>
        <w:rPr>
          <w:rFonts w:hint="cs"/>
          <w:color w:val="000000"/>
          <w:rtl/>
          <w:lang w:bidi="ar-EG"/>
        </w:rPr>
        <w:t xml:space="preserve"> :</w:t>
      </w:r>
      <w:r w:rsidRPr="00315653">
        <w:rPr>
          <w:rFonts w:hint="cs"/>
          <w:color w:val="000000"/>
          <w:rtl/>
          <w:lang w:bidi="ar-EG"/>
        </w:rPr>
        <w:t xml:space="preserve"> "من وكل غيره في فتح اعتماد لثالث باسمه ولحسابه</w:t>
      </w:r>
      <w:r>
        <w:rPr>
          <w:rFonts w:hint="cs"/>
          <w:color w:val="000000"/>
          <w:rtl/>
          <w:lang w:bidi="ar-EG"/>
        </w:rPr>
        <w:t xml:space="preserve"> ،</w:t>
      </w:r>
      <w:r w:rsidRPr="00315653">
        <w:rPr>
          <w:rFonts w:hint="cs"/>
          <w:color w:val="000000"/>
          <w:rtl/>
          <w:lang w:bidi="ar-EG"/>
        </w:rPr>
        <w:t xml:space="preserve"> يسأل ككفيل قبل الوكيل عن التزام الشخص الثالث الناتج من فتح الاعتماد"</w:t>
      </w:r>
      <w:r>
        <w:rPr>
          <w:rFonts w:hint="cs"/>
          <w:color w:val="000000"/>
          <w:rtl/>
          <w:lang w:bidi="ar-EG"/>
        </w:rPr>
        <w:t xml:space="preserve"> .</w:t>
      </w:r>
      <w:r w:rsidRPr="00315653">
        <w:rPr>
          <w:rFonts w:hint="cs"/>
          <w:color w:val="000000"/>
          <w:rtl/>
          <w:lang w:bidi="ar-EG"/>
        </w:rPr>
        <w:t xml:space="preserve"> ومعنى كلمة "وكيل" الواردة في هذه النصوص هو "إعطاء تعليمات أو أوامر"</w:t>
      </w:r>
      <w:r>
        <w:rPr>
          <w:rFonts w:hint="cs"/>
          <w:color w:val="000000"/>
          <w:rtl/>
          <w:lang w:bidi="ar-EG"/>
        </w:rPr>
        <w:t xml:space="preserve"> .</w:t>
      </w:r>
      <w:r w:rsidRPr="00315653">
        <w:rPr>
          <w:rFonts w:hint="cs"/>
          <w:color w:val="000000"/>
          <w:rtl/>
          <w:lang w:bidi="ar-EG"/>
        </w:rPr>
        <w:t xml:space="preserve"> ولما عرض نصا المشروع التمهيدي على لجنة المراجعة</w:t>
      </w:r>
      <w:r>
        <w:rPr>
          <w:rFonts w:hint="cs"/>
          <w:color w:val="000000"/>
          <w:rtl/>
          <w:lang w:bidi="ar-EG"/>
        </w:rPr>
        <w:t xml:space="preserve"> ،</w:t>
      </w:r>
      <w:r w:rsidRPr="00315653">
        <w:rPr>
          <w:rFonts w:hint="cs"/>
          <w:color w:val="000000"/>
          <w:rtl/>
          <w:lang w:bidi="ar-EG"/>
        </w:rPr>
        <w:t xml:space="preserve"> رأت هذه اللجنة حذفهما "اكتفاء بتطبيق القواعد العامة"</w:t>
      </w:r>
      <w:r>
        <w:rPr>
          <w:rFonts w:hint="cs"/>
          <w:color w:val="000000"/>
          <w:vertAlign w:val="superscript"/>
          <w:rtl/>
          <w:lang w:bidi="ar-EG"/>
        </w:rPr>
        <w:t xml:space="preserve">( </w:t>
      </w:r>
      <w:r w:rsidRPr="00315653">
        <w:rPr>
          <w:rStyle w:val="ab"/>
          <w:color w:val="000000"/>
          <w:rtl/>
          <w:lang w:bidi="ar-EG"/>
        </w:rPr>
        <w:footnoteReference w:id="11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23- كفالة الالتزام الطبيعي</w:t>
      </w:r>
      <w:r>
        <w:rPr>
          <w:rFonts w:hint="cs"/>
          <w:color w:val="000000"/>
          <w:rtl/>
          <w:lang w:bidi="ar-EG"/>
        </w:rPr>
        <w:t xml:space="preserve"> :</w:t>
      </w:r>
      <w:r w:rsidRPr="00315653">
        <w:rPr>
          <w:rFonts w:hint="cs"/>
          <w:color w:val="000000"/>
          <w:rtl/>
          <w:lang w:bidi="ar-EG"/>
        </w:rPr>
        <w:t xml:space="preserve"> كمان المشروع التمهيدي للتقنين المدني الجديد يشتمل على نص هو المادة 1135 مكررة</w:t>
      </w:r>
      <w:r>
        <w:rPr>
          <w:rFonts w:hint="cs"/>
          <w:color w:val="000000"/>
          <w:rtl/>
          <w:lang w:bidi="ar-EG"/>
        </w:rPr>
        <w:t xml:space="preserve"> ،</w:t>
      </w:r>
      <w:r w:rsidRPr="00315653">
        <w:rPr>
          <w:rFonts w:hint="cs"/>
          <w:color w:val="000000"/>
          <w:rtl/>
          <w:lang w:bidi="ar-EG"/>
        </w:rPr>
        <w:t xml:space="preserve"> وكانت تجري على الوجه الآتي</w:t>
      </w:r>
      <w:r>
        <w:rPr>
          <w:rFonts w:hint="cs"/>
          <w:color w:val="000000"/>
          <w:rtl/>
          <w:lang w:bidi="ar-EG"/>
        </w:rPr>
        <w:t xml:space="preserve"> :</w:t>
      </w:r>
      <w:r w:rsidRPr="00315653">
        <w:rPr>
          <w:rFonts w:hint="cs"/>
          <w:color w:val="000000"/>
          <w:rtl/>
          <w:lang w:bidi="ar-EG"/>
        </w:rPr>
        <w:t xml:space="preserve"> "تجوز كفالة الالتزام الطبيعي ما دام غير مخالف للنظام $56 العام أو للآداب"</w:t>
      </w:r>
      <w:r>
        <w:rPr>
          <w:rFonts w:hint="cs"/>
          <w:color w:val="000000"/>
          <w:rtl/>
          <w:lang w:bidi="ar-EG"/>
        </w:rPr>
        <w:t xml:space="preserve"> .</w:t>
      </w:r>
      <w:r w:rsidRPr="00315653">
        <w:rPr>
          <w:rFonts w:hint="cs"/>
          <w:color w:val="000000"/>
          <w:rtl/>
          <w:lang w:bidi="ar-EG"/>
        </w:rPr>
        <w:t xml:space="preserve"> ولما عرضت هذه المادة على لجنة المراجعة</w:t>
      </w:r>
      <w:r>
        <w:rPr>
          <w:rFonts w:hint="cs"/>
          <w:color w:val="000000"/>
          <w:rtl/>
          <w:lang w:bidi="ar-EG"/>
        </w:rPr>
        <w:t xml:space="preserve"> ،</w:t>
      </w:r>
      <w:r w:rsidRPr="00315653">
        <w:rPr>
          <w:rFonts w:hint="cs"/>
          <w:color w:val="000000"/>
          <w:rtl/>
          <w:lang w:bidi="ar-EG"/>
        </w:rPr>
        <w:t xml:space="preserve"> قررت هذه اللجنة "حذفها وترك الحكم في موضوعها للقواعد العامة لأن حكمها محل خلاف"</w:t>
      </w:r>
      <w:r>
        <w:rPr>
          <w:rFonts w:hint="cs"/>
          <w:color w:val="000000"/>
          <w:vertAlign w:val="superscript"/>
          <w:rtl/>
          <w:lang w:bidi="ar-EG"/>
        </w:rPr>
        <w:t xml:space="preserve">( </w:t>
      </w:r>
      <w:r w:rsidRPr="00315653">
        <w:rPr>
          <w:rStyle w:val="ab"/>
          <w:color w:val="000000"/>
          <w:rtl/>
          <w:lang w:bidi="ar-EG"/>
        </w:rPr>
        <w:footnoteReference w:id="11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أحسنت لجنة المراجعة بحذف هذا النص</w:t>
      </w:r>
      <w:r>
        <w:rPr>
          <w:rFonts w:hint="cs"/>
          <w:color w:val="000000"/>
          <w:rtl/>
          <w:lang w:bidi="ar-EG"/>
        </w:rPr>
        <w:t xml:space="preserve"> ،</w:t>
      </w:r>
      <w:r w:rsidRPr="00315653">
        <w:rPr>
          <w:rFonts w:hint="cs"/>
          <w:color w:val="000000"/>
          <w:rtl/>
          <w:lang w:bidi="ar-EG"/>
        </w:rPr>
        <w:t xml:space="preserve"> فهو أولا مختلف في حكمه كل الاختلاف</w:t>
      </w:r>
      <w:r>
        <w:rPr>
          <w:rFonts w:hint="cs"/>
          <w:color w:val="000000"/>
          <w:rtl/>
          <w:lang w:bidi="ar-EG"/>
        </w:rPr>
        <w:t xml:space="preserve"> ،</w:t>
      </w:r>
      <w:r w:rsidRPr="00315653">
        <w:rPr>
          <w:rFonts w:hint="cs"/>
          <w:color w:val="000000"/>
          <w:rtl/>
          <w:lang w:bidi="ar-EG"/>
        </w:rPr>
        <w:t xml:space="preserve"> وهو ثانياً قد ورد ما ينقضه في نفس المشروع التمهيدي فقد تضمن هذا المشروع نصاً صريحاً في عدم جواز كفالة الالتزام الطبيعي هو الفقرة الثانية من المادة 278 من هذا المشروع</w:t>
      </w:r>
      <w:r>
        <w:rPr>
          <w:rFonts w:hint="cs"/>
          <w:color w:val="000000"/>
          <w:rtl/>
          <w:lang w:bidi="ar-EG"/>
        </w:rPr>
        <w:t xml:space="preserve"> ،</w:t>
      </w:r>
      <w:r w:rsidRPr="00315653">
        <w:rPr>
          <w:rFonts w:hint="cs"/>
          <w:color w:val="000000"/>
          <w:rtl/>
          <w:lang w:bidi="ar-EG"/>
        </w:rPr>
        <w:t xml:space="preserve"> إذ كانت تنص على أنه "لا تجوز كفالة الالتزام الطبيعي كفالة شخصية أو عينية</w:t>
      </w:r>
      <w:r>
        <w:rPr>
          <w:rFonts w:hint="cs"/>
          <w:color w:val="000000"/>
          <w:rtl/>
          <w:lang w:bidi="ar-EG"/>
        </w:rPr>
        <w:t xml:space="preserve"> ،</w:t>
      </w:r>
      <w:r w:rsidRPr="00315653">
        <w:rPr>
          <w:rFonts w:hint="cs"/>
          <w:color w:val="000000"/>
          <w:rtl/>
          <w:lang w:bidi="ar-EG"/>
        </w:rPr>
        <w:t xml:space="preserve"> ما دام التزاماً طبيعياً"</w:t>
      </w:r>
      <w:r>
        <w:rPr>
          <w:rFonts w:hint="cs"/>
          <w:color w:val="000000"/>
          <w:vertAlign w:val="superscript"/>
          <w:rtl/>
          <w:lang w:bidi="ar-EG"/>
        </w:rPr>
        <w:t xml:space="preserve">( </w:t>
      </w:r>
      <w:r w:rsidRPr="00315653">
        <w:rPr>
          <w:rStyle w:val="ab"/>
          <w:color w:val="000000"/>
          <w:rtl/>
          <w:lang w:bidi="ar-EG"/>
        </w:rPr>
        <w:footnoteReference w:id="11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حذفت هذه الفقرة في لجنة المراجعة "لإمكان استخلاص حكمها من </w:t>
      </w:r>
      <w:r w:rsidRPr="00315653">
        <w:rPr>
          <w:rFonts w:hint="cs"/>
          <w:color w:val="000000"/>
          <w:rtl/>
          <w:lang w:bidi="ar-EG"/>
        </w:rPr>
        <w:lastRenderedPageBreak/>
        <w:t>النصوص الواردة في الكفالة"</w:t>
      </w:r>
      <w:r>
        <w:rPr>
          <w:rFonts w:hint="cs"/>
          <w:color w:val="000000"/>
          <w:vertAlign w:val="superscript"/>
          <w:rtl/>
          <w:lang w:bidi="ar-EG"/>
        </w:rPr>
        <w:t xml:space="preserve">( </w:t>
      </w:r>
      <w:r w:rsidRPr="00315653">
        <w:rPr>
          <w:rStyle w:val="ab"/>
          <w:color w:val="000000"/>
          <w:rtl/>
          <w:lang w:bidi="ar-EG"/>
        </w:rPr>
        <w:footnoteReference w:id="11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والرأي الذي اخترناه عند الكلام في الالتزام الطبيعي هو أنه لا تجري كفالة هذا الالتزام</w:t>
      </w:r>
      <w:r>
        <w:rPr>
          <w:rFonts w:hint="cs"/>
          <w:color w:val="000000"/>
          <w:rtl/>
          <w:lang w:bidi="ar-EG"/>
        </w:rPr>
        <w:t xml:space="preserve"> ،</w:t>
      </w:r>
      <w:r w:rsidRPr="00315653">
        <w:rPr>
          <w:rFonts w:hint="cs"/>
          <w:color w:val="000000"/>
          <w:rtl/>
          <w:lang w:bidi="ar-EG"/>
        </w:rPr>
        <w:t xml:space="preserve"> إذا كان يقصد بالكفالة أن يترتب في ذمة الكفيل التزام مدني يضمن الالتزام الطبيعي المكفول</w:t>
      </w:r>
      <w:r>
        <w:rPr>
          <w:rFonts w:hint="cs"/>
          <w:color w:val="000000"/>
          <w:rtl/>
          <w:lang w:bidi="ar-EG"/>
        </w:rPr>
        <w:t xml:space="preserve"> .</w:t>
      </w:r>
      <w:r w:rsidRPr="00315653">
        <w:rPr>
          <w:rFonts w:hint="cs"/>
          <w:color w:val="000000"/>
          <w:rtl/>
          <w:lang w:bidi="ar-EG"/>
        </w:rPr>
        <w:t xml:space="preserve"> ذلك أن الكفالة على هذا النحو تفتح سبيلا لإجبار المدين على الوفاء بالتزامه الطبيعي عن طريق غير مباشر</w:t>
      </w:r>
      <w:r>
        <w:rPr>
          <w:rFonts w:hint="cs"/>
          <w:color w:val="000000"/>
          <w:rtl/>
          <w:lang w:bidi="ar-EG"/>
        </w:rPr>
        <w:t xml:space="preserve"> ،</w:t>
      </w:r>
      <w:r w:rsidRPr="00315653">
        <w:rPr>
          <w:rFonts w:hint="cs"/>
          <w:color w:val="000000"/>
          <w:rtl/>
          <w:lang w:bidi="ar-EG"/>
        </w:rPr>
        <w:t xml:space="preserve"> إذ يجبر الدائن الكفيل على الوفاء</w:t>
      </w:r>
      <w:r>
        <w:rPr>
          <w:rFonts w:hint="cs"/>
          <w:color w:val="000000"/>
          <w:rtl/>
          <w:lang w:bidi="ar-EG"/>
        </w:rPr>
        <w:t xml:space="preserve"> ،</w:t>
      </w:r>
      <w:r w:rsidRPr="00315653">
        <w:rPr>
          <w:rFonts w:hint="cs"/>
          <w:color w:val="000000"/>
          <w:rtl/>
          <w:lang w:bidi="ar-EG"/>
        </w:rPr>
        <w:t xml:space="preserve"> ثم يرجع الكفيل على المدين الأصلي</w:t>
      </w:r>
      <w:r>
        <w:rPr>
          <w:rFonts w:hint="cs"/>
          <w:color w:val="000000"/>
          <w:rtl/>
          <w:lang w:bidi="ar-EG"/>
        </w:rPr>
        <w:t xml:space="preserve"> ،</w:t>
      </w:r>
      <w:r w:rsidRPr="00315653">
        <w:rPr>
          <w:rFonts w:hint="cs"/>
          <w:color w:val="000000"/>
          <w:rtl/>
          <w:lang w:bidi="ar-EG"/>
        </w:rPr>
        <w:t xml:space="preserve"> فيكون المدين بالتزام طبيعي قد أجبر في النهاية عن طريق غير مباشر على الوفاء بالتزامه</w:t>
      </w:r>
      <w:r>
        <w:rPr>
          <w:rFonts w:hint="cs"/>
          <w:color w:val="000000"/>
          <w:rtl/>
          <w:lang w:bidi="ar-EG"/>
        </w:rPr>
        <w:t xml:space="preserve"> ،</w:t>
      </w:r>
      <w:r w:rsidRPr="00315653">
        <w:rPr>
          <w:rFonts w:hint="cs"/>
          <w:color w:val="000000"/>
          <w:rtl/>
          <w:lang w:bidi="ar-EG"/>
        </w:rPr>
        <w:t xml:space="preserve"> وهذا لا يجوز</w:t>
      </w:r>
      <w:r>
        <w:rPr>
          <w:rFonts w:hint="cs"/>
          <w:color w:val="000000"/>
          <w:vertAlign w:val="superscript"/>
          <w:rtl/>
          <w:lang w:bidi="ar-EG"/>
        </w:rPr>
        <w:t xml:space="preserve">( </w:t>
      </w:r>
      <w:r w:rsidRPr="00315653">
        <w:rPr>
          <w:rStyle w:val="ab"/>
          <w:color w:val="000000"/>
          <w:rtl/>
          <w:lang w:bidi="ar-EG"/>
        </w:rPr>
        <w:footnoteReference w:id="11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$57 وقد قدمنا أن من كفل التزام ناقص الأهلية</w:t>
      </w:r>
      <w:r>
        <w:rPr>
          <w:rFonts w:hint="cs"/>
          <w:color w:val="000000"/>
          <w:rtl/>
          <w:lang w:bidi="ar-EG"/>
        </w:rPr>
        <w:t xml:space="preserve"> ،</w:t>
      </w:r>
      <w:r w:rsidRPr="00315653">
        <w:rPr>
          <w:rFonts w:hint="cs"/>
          <w:color w:val="000000"/>
          <w:rtl/>
          <w:lang w:bidi="ar-EG"/>
        </w:rPr>
        <w:t xml:space="preserve"> وكانت الكفالة بسبب نقص أهليته كان ملزماً بتنفيذ الالتزام إذا لم ينفذه المدين المكفول</w:t>
      </w:r>
      <w:r>
        <w:rPr>
          <w:rFonts w:hint="cs"/>
          <w:color w:val="000000"/>
          <w:rtl/>
          <w:lang w:bidi="ar-EG"/>
        </w:rPr>
        <w:t xml:space="preserve"> .</w:t>
      </w:r>
      <w:r w:rsidRPr="00315653">
        <w:rPr>
          <w:rFonts w:hint="cs"/>
          <w:color w:val="000000"/>
          <w:rtl/>
          <w:lang w:bidi="ar-EG"/>
        </w:rPr>
        <w:t xml:space="preserve"> وليس في هذا كفالة لالتزام طبيعي كما يذهب بعض الفقهاء في فرنسا </w:t>
      </w:r>
      <w:r>
        <w:rPr>
          <w:rFonts w:hint="cs"/>
          <w:color w:val="000000"/>
          <w:rtl/>
          <w:lang w:bidi="ar-EG"/>
        </w:rPr>
        <w:t xml:space="preserve">( </w:t>
      </w:r>
      <w:r w:rsidRPr="00315653">
        <w:rPr>
          <w:rFonts w:hint="cs"/>
          <w:color w:val="000000"/>
          <w:rtl/>
          <w:lang w:bidi="ar-EG"/>
        </w:rPr>
        <w:t>بودري وفال فقرة 946</w:t>
      </w:r>
      <w:r>
        <w:rPr>
          <w:rFonts w:hint="cs"/>
          <w:color w:val="000000"/>
          <w:rtl/>
          <w:lang w:bidi="ar-EG"/>
        </w:rPr>
        <w:t xml:space="preserve"> ) ،</w:t>
      </w:r>
      <w:r w:rsidRPr="00315653">
        <w:rPr>
          <w:rFonts w:hint="cs"/>
          <w:color w:val="000000"/>
          <w:rtl/>
          <w:lang w:bidi="ar-EG"/>
        </w:rPr>
        <w:t xml:space="preserve"> وليس من كفل التزام ناقص الأهلية بسبب نقص أهليته بكفيل أصلا</w:t>
      </w:r>
      <w:r>
        <w:rPr>
          <w:rFonts w:hint="cs"/>
          <w:color w:val="000000"/>
          <w:rtl/>
          <w:lang w:bidi="ar-EG"/>
        </w:rPr>
        <w:t xml:space="preserve"> ،</w:t>
      </w:r>
      <w:r w:rsidRPr="00315653">
        <w:rPr>
          <w:rFonts w:hint="cs"/>
          <w:color w:val="000000"/>
          <w:rtl/>
          <w:lang w:bidi="ar-EG"/>
        </w:rPr>
        <w:t xml:space="preserve"> بل هو مدين أصلي تحت شرط  واقف هو ألا ينفذ ناقص الأهلية التزامه ويتمسك بنقص أهليته</w:t>
      </w:r>
      <w:r>
        <w:rPr>
          <w:rFonts w:hint="cs"/>
          <w:color w:val="000000"/>
          <w:vertAlign w:val="superscript"/>
          <w:rtl/>
          <w:lang w:bidi="ar-EG"/>
        </w:rPr>
        <w:t xml:space="preserve">( </w:t>
      </w:r>
      <w:r w:rsidRPr="00315653">
        <w:rPr>
          <w:rStyle w:val="ab"/>
          <w:color w:val="000000"/>
          <w:rtl/>
          <w:lang w:bidi="ar-EG"/>
        </w:rPr>
        <w:footnoteReference w:id="11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وسبق أن قررنا في الجزء الثاني من الوسيط</w:t>
      </w:r>
      <w:r>
        <w:rPr>
          <w:rFonts w:hint="cs"/>
          <w:color w:val="000000"/>
          <w:rtl/>
          <w:lang w:bidi="ar-EG"/>
        </w:rPr>
        <w:t xml:space="preserve"> ،</w:t>
      </w:r>
      <w:r w:rsidRPr="00315653">
        <w:rPr>
          <w:rFonts w:hint="cs"/>
          <w:color w:val="000000"/>
          <w:rtl/>
          <w:lang w:bidi="ar-EG"/>
        </w:rPr>
        <w:t xml:space="preserve"> في صدد كفالة الالتزام الطبيعي</w:t>
      </w:r>
      <w:r>
        <w:rPr>
          <w:rFonts w:hint="cs"/>
          <w:color w:val="000000"/>
          <w:rtl/>
          <w:lang w:bidi="ar-EG"/>
        </w:rPr>
        <w:t xml:space="preserve"> ،</w:t>
      </w:r>
      <w:r w:rsidRPr="00315653">
        <w:rPr>
          <w:rFonts w:hint="cs"/>
          <w:color w:val="000000"/>
          <w:rtl/>
          <w:lang w:bidi="ar-EG"/>
        </w:rPr>
        <w:t xml:space="preserve"> ما يأتي</w:t>
      </w:r>
      <w:r>
        <w:rPr>
          <w:rFonts w:hint="cs"/>
          <w:color w:val="000000"/>
          <w:rtl/>
          <w:lang w:bidi="ar-EG"/>
        </w:rPr>
        <w:t xml:space="preserve"> :</w:t>
      </w:r>
      <w:r w:rsidRPr="00315653">
        <w:rPr>
          <w:rFonts w:hint="cs"/>
          <w:color w:val="000000"/>
          <w:rtl/>
          <w:lang w:bidi="ar-EG"/>
        </w:rPr>
        <w:t xml:space="preserve"> "على أنه يجوز أن يكفل الكفيل وتكون كفالته تبعية لا التزاماً أصلياً</w:t>
      </w:r>
      <w:r>
        <w:rPr>
          <w:rFonts w:hint="cs"/>
          <w:color w:val="000000"/>
          <w:rtl/>
          <w:lang w:bidi="ar-EG"/>
        </w:rPr>
        <w:t xml:space="preserve"> ،</w:t>
      </w:r>
      <w:r w:rsidRPr="00315653">
        <w:rPr>
          <w:rFonts w:hint="cs"/>
          <w:color w:val="000000"/>
          <w:rtl/>
          <w:lang w:bidi="ar-EG"/>
        </w:rPr>
        <w:t xml:space="preserve"> ولكن التزام الكفيل في هذه الحالة يكون هو التزاماً طبيعياً كالالتزام المكفول</w:t>
      </w:r>
      <w:r>
        <w:rPr>
          <w:rFonts w:hint="cs"/>
          <w:color w:val="000000"/>
          <w:rtl/>
          <w:lang w:bidi="ar-EG"/>
        </w:rPr>
        <w:t xml:space="preserve"> ،</w:t>
      </w:r>
      <w:r w:rsidRPr="00315653">
        <w:rPr>
          <w:rFonts w:hint="cs"/>
          <w:color w:val="000000"/>
          <w:rtl/>
          <w:lang w:bidi="ar-EG"/>
        </w:rPr>
        <w:t xml:space="preserve"> إذ لا يجوز أن تكون الكفالة بشروط أشد من شروط الدين المكفول </w:t>
      </w:r>
      <w:r>
        <w:rPr>
          <w:rFonts w:hint="cs"/>
          <w:color w:val="000000"/>
          <w:rtl/>
          <w:lang w:bidi="ar-EG"/>
        </w:rPr>
        <w:t xml:space="preserve">( </w:t>
      </w:r>
      <w:r w:rsidRPr="00315653">
        <w:rPr>
          <w:rFonts w:hint="cs"/>
          <w:color w:val="000000"/>
          <w:rtl/>
          <w:lang w:bidi="ar-EG"/>
        </w:rPr>
        <w:t>م 782 مدني</w:t>
      </w:r>
      <w:r>
        <w:rPr>
          <w:rFonts w:hint="cs"/>
          <w:color w:val="000000"/>
          <w:rtl/>
          <w:lang w:bidi="ar-EG"/>
        </w:rPr>
        <w:t xml:space="preserve"> )</w:t>
      </w:r>
      <w:r w:rsidRPr="00315653">
        <w:rPr>
          <w:rFonts w:hint="cs"/>
          <w:color w:val="000000"/>
          <w:rtl/>
          <w:lang w:bidi="ar-EG"/>
        </w:rPr>
        <w:t xml:space="preserve"> وسيتحقق هذا الغرض فيما إذا كافل الكفيل ناقص الأهلية دون أن يكون عالماً بنقص أهليته</w:t>
      </w:r>
      <w:r>
        <w:rPr>
          <w:rFonts w:hint="cs"/>
          <w:color w:val="000000"/>
          <w:rtl/>
          <w:lang w:bidi="ar-EG"/>
        </w:rPr>
        <w:t xml:space="preserve"> ،</w:t>
      </w:r>
      <w:r w:rsidRPr="00315653">
        <w:rPr>
          <w:rFonts w:hint="cs"/>
          <w:color w:val="000000"/>
          <w:rtl/>
          <w:lang w:bidi="ar-EG"/>
        </w:rPr>
        <w:t xml:space="preserve"> فعند ذلك يجوز للكفيل أن يتمسك بالدفوع التي يتمسك بها المدين الأصلي </w:t>
      </w:r>
      <w:r>
        <w:rPr>
          <w:rFonts w:hint="cs"/>
          <w:color w:val="000000"/>
          <w:rtl/>
          <w:lang w:bidi="ar-EG"/>
        </w:rPr>
        <w:t xml:space="preserve">( </w:t>
      </w:r>
      <w:r w:rsidRPr="00315653">
        <w:rPr>
          <w:rFonts w:hint="cs"/>
          <w:color w:val="000000"/>
          <w:rtl/>
          <w:lang w:bidi="ar-EG"/>
        </w:rPr>
        <w:t>م 782/1 مدني</w:t>
      </w:r>
      <w:r>
        <w:rPr>
          <w:rFonts w:hint="cs"/>
          <w:color w:val="000000"/>
          <w:rtl/>
          <w:lang w:bidi="ar-EG"/>
        </w:rPr>
        <w:t xml:space="preserve"> ) ،</w:t>
      </w:r>
      <w:r w:rsidRPr="00315653">
        <w:rPr>
          <w:rFonts w:hint="cs"/>
          <w:color w:val="000000"/>
          <w:rtl/>
          <w:lang w:bidi="ar-EG"/>
        </w:rPr>
        <w:t xml:space="preserve"> ومنها الدفع بنقص الأهلية</w:t>
      </w:r>
      <w:r>
        <w:rPr>
          <w:rFonts w:hint="cs"/>
          <w:color w:val="000000"/>
          <w:rtl/>
          <w:lang w:bidi="ar-EG"/>
        </w:rPr>
        <w:t xml:space="preserve"> ،</w:t>
      </w:r>
      <w:r w:rsidRPr="00315653">
        <w:rPr>
          <w:rFonts w:hint="cs"/>
          <w:color w:val="000000"/>
          <w:rtl/>
          <w:lang w:bidi="ar-EG"/>
        </w:rPr>
        <w:t xml:space="preserve"> فينقلب كل من التزام المكفول ناقص الأهلية والتزام الكفيل التزاماً طبيعياً</w:t>
      </w:r>
      <w:r>
        <w:rPr>
          <w:rFonts w:hint="cs"/>
          <w:color w:val="000000"/>
          <w:rtl/>
          <w:lang w:bidi="ar-EG"/>
        </w:rPr>
        <w:t xml:space="preserve"> .</w:t>
      </w:r>
      <w:r w:rsidRPr="00315653">
        <w:rPr>
          <w:rFonts w:hint="cs"/>
          <w:color w:val="000000"/>
          <w:rtl/>
          <w:lang w:bidi="ar-EG"/>
        </w:rPr>
        <w:t xml:space="preserve"> ولا يجبر أحد منهما على الوفاء بالتزامه</w:t>
      </w:r>
      <w:r>
        <w:rPr>
          <w:rFonts w:hint="cs"/>
          <w:color w:val="000000"/>
          <w:rtl/>
          <w:lang w:bidi="ar-EG"/>
        </w:rPr>
        <w:t xml:space="preserve"> ،</w:t>
      </w:r>
      <w:r w:rsidRPr="00315653">
        <w:rPr>
          <w:rFonts w:hint="cs"/>
          <w:color w:val="000000"/>
          <w:rtl/>
          <w:lang w:bidi="ar-EG"/>
        </w:rPr>
        <w:t xml:space="preserve"> لكن إذا وفاه مختاراً لم يجز له استرداده</w:t>
      </w:r>
      <w:r>
        <w:rPr>
          <w:rFonts w:hint="cs"/>
          <w:color w:val="000000"/>
          <w:rtl/>
          <w:lang w:bidi="ar-EG"/>
        </w:rPr>
        <w:t xml:space="preserve"> .</w:t>
      </w:r>
      <w:r w:rsidRPr="00315653">
        <w:rPr>
          <w:rFonts w:hint="cs"/>
          <w:color w:val="000000"/>
          <w:rtl/>
          <w:lang w:bidi="ar-EG"/>
        </w:rPr>
        <w:t xml:space="preserve"> فإن كان الذي وفي التزامه مختاراً هو المكفول ناقص الأهلية فقد قضي التزامه والتزام الكفيل معاً</w:t>
      </w:r>
      <w:r>
        <w:rPr>
          <w:rFonts w:hint="cs"/>
          <w:color w:val="000000"/>
          <w:rtl/>
          <w:lang w:bidi="ar-EG"/>
        </w:rPr>
        <w:t xml:space="preserve"> ،</w:t>
      </w:r>
      <w:r w:rsidRPr="00315653">
        <w:rPr>
          <w:rFonts w:hint="cs"/>
          <w:color w:val="000000"/>
          <w:rtl/>
          <w:lang w:bidi="ar-EG"/>
        </w:rPr>
        <w:t xml:space="preserve"> لأن التزام الكفيل الطبيعي تبع لالتزام المكفول</w:t>
      </w:r>
      <w:r>
        <w:rPr>
          <w:rFonts w:hint="cs"/>
          <w:color w:val="000000"/>
          <w:rtl/>
          <w:lang w:bidi="ar-EG"/>
        </w:rPr>
        <w:t xml:space="preserve"> .</w:t>
      </w:r>
      <w:r w:rsidRPr="00315653">
        <w:rPr>
          <w:rFonts w:hint="cs"/>
          <w:color w:val="000000"/>
          <w:rtl/>
          <w:lang w:bidi="ar-EG"/>
        </w:rPr>
        <w:t xml:space="preserve"> وإن كان الذي </w:t>
      </w:r>
      <w:r w:rsidRPr="00315653">
        <w:rPr>
          <w:rFonts w:hint="cs"/>
          <w:color w:val="000000"/>
          <w:rtl/>
          <w:lang w:bidi="ar-EG"/>
        </w:rPr>
        <w:lastRenderedPageBreak/>
        <w:t>وفي التزامه مختاراً هو الكفيل</w:t>
      </w:r>
      <w:r>
        <w:rPr>
          <w:rFonts w:hint="cs"/>
          <w:color w:val="000000"/>
          <w:rtl/>
          <w:lang w:bidi="ar-EG"/>
        </w:rPr>
        <w:t xml:space="preserve"> ،</w:t>
      </w:r>
      <w:r w:rsidRPr="00315653">
        <w:rPr>
          <w:rFonts w:hint="cs"/>
          <w:color w:val="000000"/>
          <w:rtl/>
          <w:lang w:bidi="ar-EG"/>
        </w:rPr>
        <w:t xml:space="preserve"> فقد قضي التزامه هو ولا يستطيع أن يسترده</w:t>
      </w:r>
      <w:r>
        <w:rPr>
          <w:rFonts w:hint="cs"/>
          <w:color w:val="000000"/>
          <w:rtl/>
          <w:lang w:bidi="ar-EG"/>
        </w:rPr>
        <w:t xml:space="preserve"> ،</w:t>
      </w:r>
      <w:r w:rsidRPr="00315653">
        <w:rPr>
          <w:rFonts w:hint="cs"/>
          <w:color w:val="000000"/>
          <w:rtl/>
          <w:lang w:bidi="ar-EG"/>
        </w:rPr>
        <w:t xml:space="preserve"> كما لا يستطيع الرجوع على $58 المكفول بما وفي</w:t>
      </w:r>
      <w:r>
        <w:rPr>
          <w:rFonts w:hint="cs"/>
          <w:color w:val="000000"/>
          <w:rtl/>
          <w:lang w:bidi="ar-EG"/>
        </w:rPr>
        <w:t xml:space="preserve"> ،</w:t>
      </w:r>
      <w:r w:rsidRPr="00315653">
        <w:rPr>
          <w:rFonts w:hint="cs"/>
          <w:color w:val="000000"/>
          <w:rtl/>
          <w:lang w:bidi="ar-EG"/>
        </w:rPr>
        <w:t xml:space="preserve"> لأن التزام المكفول التزام طبيعي كما قدمنا لا يجبر على وفائه ولو بطريقة غير مباشرة"</w:t>
      </w:r>
      <w:r>
        <w:rPr>
          <w:rFonts w:hint="cs"/>
          <w:color w:val="000000"/>
          <w:vertAlign w:val="superscript"/>
          <w:rtl/>
          <w:lang w:bidi="ar-EG"/>
        </w:rPr>
        <w:t xml:space="preserve">( </w:t>
      </w:r>
      <w:r w:rsidRPr="00315653">
        <w:rPr>
          <w:rStyle w:val="ab"/>
          <w:color w:val="000000"/>
          <w:rtl/>
          <w:lang w:bidi="ar-EG"/>
        </w:rPr>
        <w:footnoteReference w:id="11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b/>
          <w:bCs/>
          <w:color w:val="000000"/>
          <w:szCs w:val="28"/>
          <w:rtl/>
          <w:lang w:bidi="ar-EG"/>
        </w:rPr>
        <w:t>§</w:t>
      </w:r>
      <w:r w:rsidRPr="00315653">
        <w:rPr>
          <w:rFonts w:hint="cs"/>
          <w:b/>
          <w:bCs/>
          <w:color w:val="000000"/>
          <w:rtl/>
          <w:lang w:bidi="ar-EG"/>
        </w:rPr>
        <w:t xml:space="preserve"> - الالتزام الأصلي المكفول هو الذي يحدد مدى التزام الكفيل</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24- تبعية التزام الكفيل للالتزام الأهلي المكفول</w:t>
      </w:r>
      <w:r>
        <w:rPr>
          <w:rFonts w:hint="cs"/>
          <w:color w:val="000000"/>
          <w:rtl/>
          <w:lang w:bidi="ar-EG"/>
        </w:rPr>
        <w:t xml:space="preserve"> :</w:t>
      </w:r>
      <w:r w:rsidRPr="00315653">
        <w:rPr>
          <w:rFonts w:hint="cs"/>
          <w:color w:val="000000"/>
          <w:rtl/>
          <w:lang w:bidi="ar-EG"/>
        </w:rPr>
        <w:t xml:space="preserve"> قدمنا</w:t>
      </w:r>
      <w:r>
        <w:rPr>
          <w:rFonts w:hint="cs"/>
          <w:color w:val="000000"/>
          <w:vertAlign w:val="superscript"/>
          <w:rtl/>
          <w:lang w:bidi="ar-EG"/>
        </w:rPr>
        <w:t xml:space="preserve">( </w:t>
      </w:r>
      <w:r w:rsidRPr="00315653">
        <w:rPr>
          <w:rStyle w:val="ab"/>
          <w:color w:val="000000"/>
          <w:rtl/>
          <w:lang w:bidi="ar-EG"/>
        </w:rPr>
        <w:footnoteReference w:id="118"/>
      </w:r>
      <w:r>
        <w:rPr>
          <w:rFonts w:hint="cs"/>
          <w:color w:val="000000"/>
          <w:vertAlign w:val="superscript"/>
          <w:rtl/>
          <w:lang w:bidi="ar-EG"/>
        </w:rPr>
        <w:t xml:space="preserve"> )</w:t>
      </w:r>
      <w:r w:rsidRPr="00315653">
        <w:rPr>
          <w:rFonts w:hint="cs"/>
          <w:color w:val="000000"/>
          <w:rtl/>
          <w:lang w:bidi="ar-EG"/>
        </w:rPr>
        <w:t xml:space="preserve"> أن الكفالة عقد تابع</w:t>
      </w:r>
      <w:r>
        <w:rPr>
          <w:rFonts w:hint="cs"/>
          <w:color w:val="000000"/>
          <w:rtl/>
          <w:lang w:bidi="ar-EG"/>
        </w:rPr>
        <w:t xml:space="preserve"> ،</w:t>
      </w:r>
      <w:r w:rsidRPr="00315653">
        <w:rPr>
          <w:rFonts w:hint="cs"/>
          <w:color w:val="000000"/>
          <w:rtl/>
          <w:lang w:bidi="ar-EG"/>
        </w:rPr>
        <w:t xml:space="preserve"> وأن التزام الكفيل يعتبر حتماً تابعاً لالتزام المدين الأصلي</w:t>
      </w:r>
      <w:r>
        <w:rPr>
          <w:rFonts w:hint="cs"/>
          <w:color w:val="000000"/>
          <w:rtl/>
          <w:lang w:bidi="ar-EG"/>
        </w:rPr>
        <w:t xml:space="preserve"> .</w:t>
      </w:r>
      <w:r w:rsidRPr="00315653">
        <w:rPr>
          <w:rFonts w:hint="cs"/>
          <w:color w:val="000000"/>
          <w:rtl/>
          <w:lang w:bidi="ar-EG"/>
        </w:rPr>
        <w:t xml:space="preserve"> ورتبنا على ذلك أن التزام الكفيل يكون</w:t>
      </w:r>
      <w:r>
        <w:rPr>
          <w:rFonts w:hint="cs"/>
          <w:color w:val="000000"/>
          <w:rtl/>
          <w:lang w:bidi="ar-EG"/>
        </w:rPr>
        <w:t xml:space="preserve"> ،</w:t>
      </w:r>
      <w:r w:rsidRPr="00315653">
        <w:rPr>
          <w:rFonts w:hint="cs"/>
          <w:color w:val="000000"/>
          <w:rtl/>
          <w:lang w:bidi="ar-EG"/>
        </w:rPr>
        <w:t xml:space="preserve"> مثل الالتزام المكفول</w:t>
      </w:r>
      <w:r>
        <w:rPr>
          <w:rFonts w:hint="cs"/>
          <w:color w:val="000000"/>
          <w:rtl/>
          <w:lang w:bidi="ar-EG"/>
        </w:rPr>
        <w:t xml:space="preserve"> ،</w:t>
      </w:r>
      <w:r w:rsidRPr="00315653">
        <w:rPr>
          <w:rFonts w:hint="cs"/>
          <w:color w:val="000000"/>
          <w:rtl/>
          <w:lang w:bidi="ar-EG"/>
        </w:rPr>
        <w:t xml:space="preserve"> منجزاً أو معلقاً على شرط أو مقترناً بأجل</w:t>
      </w:r>
      <w:r>
        <w:rPr>
          <w:rFonts w:hint="cs"/>
          <w:color w:val="000000"/>
          <w:rtl/>
          <w:lang w:bidi="ar-EG"/>
        </w:rPr>
        <w:t xml:space="preserve"> ،</w:t>
      </w:r>
      <w:r w:rsidRPr="00315653">
        <w:rPr>
          <w:rFonts w:hint="cs"/>
          <w:color w:val="000000"/>
          <w:rtl/>
          <w:lang w:bidi="ar-EG"/>
        </w:rPr>
        <w:t xml:space="preserve"> منتجاً لفوائد بنفس السعر أو غير منتج لها</w:t>
      </w:r>
      <w:r>
        <w:rPr>
          <w:rFonts w:hint="cs"/>
          <w:color w:val="000000"/>
          <w:rtl/>
          <w:lang w:bidi="ar-EG"/>
        </w:rPr>
        <w:t xml:space="preserve"> ،</w:t>
      </w:r>
      <w:r w:rsidRPr="00315653">
        <w:rPr>
          <w:rFonts w:hint="cs"/>
          <w:color w:val="000000"/>
          <w:rtl/>
          <w:lang w:bidi="ar-EG"/>
        </w:rPr>
        <w:t xml:space="preserve"> صحيحاً أو باطلا أو قابلا للإبطال</w:t>
      </w:r>
      <w:r>
        <w:rPr>
          <w:rFonts w:hint="cs"/>
          <w:color w:val="000000"/>
          <w:rtl/>
          <w:lang w:bidi="ar-EG"/>
        </w:rPr>
        <w:t xml:space="preserve"> ،</w:t>
      </w:r>
      <w:r w:rsidRPr="00315653">
        <w:rPr>
          <w:rFonts w:hint="cs"/>
          <w:color w:val="000000"/>
          <w:rtl/>
          <w:lang w:bidi="ar-EG"/>
        </w:rPr>
        <w:t xml:space="preserve"> قائماً أو منقضياً</w:t>
      </w:r>
      <w:r>
        <w:rPr>
          <w:rFonts w:hint="cs"/>
          <w:color w:val="000000"/>
          <w:rtl/>
          <w:lang w:bidi="ar-EG"/>
        </w:rPr>
        <w:t xml:space="preserve"> ،</w:t>
      </w:r>
      <w:r w:rsidRPr="00315653">
        <w:rPr>
          <w:rFonts w:hint="cs"/>
          <w:color w:val="000000"/>
          <w:rtl/>
          <w:lang w:bidi="ar-EG"/>
        </w:rPr>
        <w:t xml:space="preserve"> قابلا للفسخ أو غير قابل</w:t>
      </w:r>
      <w:r>
        <w:rPr>
          <w:rFonts w:hint="cs"/>
          <w:color w:val="000000"/>
          <w:rtl/>
          <w:lang w:bidi="ar-EG"/>
        </w:rPr>
        <w:t xml:space="preserve"> ،</w:t>
      </w:r>
      <w:r w:rsidRPr="00315653">
        <w:rPr>
          <w:rFonts w:hint="cs"/>
          <w:color w:val="000000"/>
          <w:rtl/>
          <w:lang w:bidi="ar-EG"/>
        </w:rPr>
        <w:t xml:space="preserve"> ويدفع كقاعدة عامة بنفس الدفوع التي يدفع بها الالتزام المكفول</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ونقف هنا عند أمور ثلاثة تتفرع عن تبعية التزام الكفيل للالتزام المكفول</w:t>
      </w:r>
      <w:r>
        <w:rPr>
          <w:rFonts w:hint="cs"/>
          <w:color w:val="000000"/>
          <w:rtl/>
          <w:lang w:bidi="ar-EG"/>
        </w:rPr>
        <w:t xml:space="preserve"> ،</w:t>
      </w:r>
      <w:r w:rsidRPr="00315653">
        <w:rPr>
          <w:rFonts w:hint="cs"/>
          <w:color w:val="000000"/>
          <w:rtl/>
          <w:lang w:bidi="ar-EG"/>
        </w:rPr>
        <w:t xml:space="preserve"> وعن أن هذا الالتزام الأخير هو الذي يحدد مدى التزام الكفيل</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التزام الكفل لا يجوز أن يكون أشد عبئاً من الالتزام المكفول ولكن يجوز أن يكون أهون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شمول الكفالة لملحقات الالتزام المكفول</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كفالة الالتزام التجاري تعتبر مع ذلك عملا مدنياً فيما عدا استثناءات معينة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25- التزام الكفيل لا يجوز أن يكون أشد عبئا من الالتزام المكفول ولكن يجوز أن يكون أهون - نص قانوني</w:t>
      </w:r>
      <w:r>
        <w:rPr>
          <w:rFonts w:hint="cs"/>
          <w:color w:val="000000"/>
          <w:rtl/>
          <w:lang w:bidi="ar-EG"/>
        </w:rPr>
        <w:t xml:space="preserve"> :</w:t>
      </w:r>
      <w:r w:rsidRPr="00315653">
        <w:rPr>
          <w:rFonts w:hint="cs"/>
          <w:color w:val="000000"/>
          <w:rtl/>
          <w:lang w:bidi="ar-EG"/>
        </w:rPr>
        <w:t xml:space="preserve"> تنص المادة 780 مدني على ما يأتي</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 لا تجوز الكفالة في مبلغ أكبر مما هو مستحق على المدين</w:t>
      </w:r>
      <w:r>
        <w:rPr>
          <w:rFonts w:hint="cs"/>
          <w:color w:val="000000"/>
          <w:rtl/>
          <w:lang w:bidi="ar-EG"/>
        </w:rPr>
        <w:t xml:space="preserve"> ،</w:t>
      </w:r>
      <w:r w:rsidRPr="00315653">
        <w:rPr>
          <w:rFonts w:hint="cs"/>
          <w:color w:val="000000"/>
          <w:rtl/>
          <w:lang w:bidi="ar-EG"/>
        </w:rPr>
        <w:t xml:space="preserve"> ولا بشروط أشد من شروط الدين المكفول"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$59 "2- ولكن تجوز الكفالة في مبلغ أقل</w:t>
      </w:r>
      <w:r>
        <w:rPr>
          <w:rFonts w:hint="cs"/>
          <w:color w:val="000000"/>
          <w:rtl/>
          <w:lang w:bidi="ar-EG"/>
        </w:rPr>
        <w:t xml:space="preserve"> ،</w:t>
      </w:r>
      <w:r w:rsidRPr="00315653">
        <w:rPr>
          <w:rFonts w:hint="cs"/>
          <w:color w:val="000000"/>
          <w:rtl/>
          <w:lang w:bidi="ar-EG"/>
        </w:rPr>
        <w:t xml:space="preserve"> وبشروط أهون"</w:t>
      </w:r>
      <w:r>
        <w:rPr>
          <w:rFonts w:hint="cs"/>
          <w:color w:val="000000"/>
          <w:vertAlign w:val="superscript"/>
          <w:rtl/>
          <w:lang w:bidi="ar-EG"/>
        </w:rPr>
        <w:t xml:space="preserve">( </w:t>
      </w:r>
      <w:r w:rsidRPr="00315653">
        <w:rPr>
          <w:rStyle w:val="ab"/>
          <w:color w:val="000000"/>
          <w:rtl/>
          <w:lang w:bidi="ar-EG"/>
        </w:rPr>
        <w:footnoteReference w:id="11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$60 ويخلص من هذا النص أن الالتزام المكفول هو الذي يحدد مدى التزام الكفيل</w:t>
      </w:r>
      <w:r>
        <w:rPr>
          <w:rFonts w:hint="cs"/>
          <w:color w:val="000000"/>
          <w:rtl/>
          <w:lang w:bidi="ar-EG"/>
        </w:rPr>
        <w:t xml:space="preserve"> ،</w:t>
      </w:r>
      <w:r w:rsidRPr="00315653">
        <w:rPr>
          <w:rFonts w:hint="cs"/>
          <w:color w:val="000000"/>
          <w:rtl/>
          <w:lang w:bidi="ar-EG"/>
        </w:rPr>
        <w:t xml:space="preserve"> فلا يجوز أن يكون التزام الكفيل أشد من الالتزام المكفول</w:t>
      </w:r>
      <w:r>
        <w:rPr>
          <w:rFonts w:hint="cs"/>
          <w:color w:val="000000"/>
          <w:rtl/>
          <w:lang w:bidi="ar-EG"/>
        </w:rPr>
        <w:t xml:space="preserve"> ،</w:t>
      </w:r>
      <w:r w:rsidRPr="00315653">
        <w:rPr>
          <w:rFonts w:hint="cs"/>
          <w:color w:val="000000"/>
          <w:rtl/>
          <w:lang w:bidi="ar-EG"/>
        </w:rPr>
        <w:t xml:space="preserve"> فإذا كان أشد أو أصبح أشد فإنه لا يكون باطلا ولكن يجب إنقاصه إلى أن يبلغ حد الالتزام المكفول</w:t>
      </w:r>
      <w:r>
        <w:rPr>
          <w:rFonts w:hint="cs"/>
          <w:color w:val="000000"/>
          <w:rtl/>
          <w:lang w:bidi="ar-EG"/>
        </w:rPr>
        <w:t xml:space="preserve"> .</w:t>
      </w:r>
      <w:r w:rsidRPr="00315653">
        <w:rPr>
          <w:rFonts w:hint="cs"/>
          <w:color w:val="000000"/>
          <w:rtl/>
          <w:lang w:bidi="ar-EG"/>
        </w:rPr>
        <w:t xml:space="preserve"> ويجوز أن يكون التزام الكفيل أهون من التزام المكفول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فلا يجوز أولا أن يكون التزام الكفيل أشد من الالتزام المكفول</w:t>
      </w:r>
      <w:r>
        <w:rPr>
          <w:rFonts w:hint="cs"/>
          <w:color w:val="000000"/>
          <w:rtl/>
          <w:lang w:bidi="ar-EG"/>
        </w:rPr>
        <w:t xml:space="preserve"> .</w:t>
      </w:r>
      <w:r w:rsidRPr="00315653">
        <w:rPr>
          <w:rFonts w:hint="cs"/>
          <w:color w:val="000000"/>
          <w:rtl/>
          <w:lang w:bidi="ar-EG"/>
        </w:rPr>
        <w:t xml:space="preserve"> وعلى ذلك لا تجوز الكفالة في مبلغ أكبر مما هو مستحق على المدين الأصلي</w:t>
      </w:r>
      <w:r>
        <w:rPr>
          <w:rFonts w:hint="cs"/>
          <w:color w:val="000000"/>
          <w:rtl/>
          <w:lang w:bidi="ar-EG"/>
        </w:rPr>
        <w:t xml:space="preserve"> .</w:t>
      </w:r>
      <w:r w:rsidRPr="00315653">
        <w:rPr>
          <w:rFonts w:hint="cs"/>
          <w:color w:val="000000"/>
          <w:rtl/>
          <w:lang w:bidi="ar-EG"/>
        </w:rPr>
        <w:t xml:space="preserve"> فإذا كان المستحق على هذا المدين ألفاً</w:t>
      </w:r>
      <w:r>
        <w:rPr>
          <w:rFonts w:hint="cs"/>
          <w:color w:val="000000"/>
          <w:rtl/>
          <w:lang w:bidi="ar-EG"/>
        </w:rPr>
        <w:t xml:space="preserve"> ،</w:t>
      </w:r>
      <w:r w:rsidRPr="00315653">
        <w:rPr>
          <w:rFonts w:hint="cs"/>
          <w:color w:val="000000"/>
          <w:rtl/>
          <w:lang w:bidi="ar-EG"/>
        </w:rPr>
        <w:t xml:space="preserve"> لم تجز كفالته في ألف ومائتين مثلا</w:t>
      </w:r>
      <w:r>
        <w:rPr>
          <w:rFonts w:hint="cs"/>
          <w:color w:val="000000"/>
          <w:rtl/>
          <w:lang w:bidi="ar-EG"/>
        </w:rPr>
        <w:t xml:space="preserve"> .</w:t>
      </w:r>
      <w:r w:rsidRPr="00315653">
        <w:rPr>
          <w:rFonts w:hint="cs"/>
          <w:color w:val="000000"/>
          <w:rtl/>
          <w:lang w:bidi="ar-EG"/>
        </w:rPr>
        <w:t xml:space="preserve"> وإذا كان الدين الأصلي لا ينتج فوائد</w:t>
      </w:r>
      <w:r>
        <w:rPr>
          <w:rFonts w:hint="cs"/>
          <w:color w:val="000000"/>
          <w:rtl/>
          <w:lang w:bidi="ar-EG"/>
        </w:rPr>
        <w:t xml:space="preserve"> ،</w:t>
      </w:r>
      <w:r w:rsidRPr="00315653">
        <w:rPr>
          <w:rFonts w:hint="cs"/>
          <w:color w:val="000000"/>
          <w:rtl/>
          <w:lang w:bidi="ar-EG"/>
        </w:rPr>
        <w:t xml:space="preserve"> لم يجز أن ينتج التزام الكفيل فوائد ما</w:t>
      </w:r>
      <w:r>
        <w:rPr>
          <w:rFonts w:hint="cs"/>
          <w:color w:val="000000"/>
          <w:rtl/>
          <w:lang w:bidi="ar-EG"/>
        </w:rPr>
        <w:t xml:space="preserve"> .</w:t>
      </w:r>
      <w:r w:rsidRPr="00315653">
        <w:rPr>
          <w:rFonts w:hint="cs"/>
          <w:color w:val="000000"/>
          <w:rtl/>
          <w:lang w:bidi="ar-EG"/>
        </w:rPr>
        <w:t xml:space="preserve"> وإذا كان الدين الأصلي ينتج فوائد بسعر معين</w:t>
      </w:r>
      <w:r>
        <w:rPr>
          <w:rFonts w:hint="cs"/>
          <w:color w:val="000000"/>
          <w:rtl/>
          <w:lang w:bidi="ar-EG"/>
        </w:rPr>
        <w:t xml:space="preserve"> ،</w:t>
      </w:r>
      <w:r w:rsidRPr="00315653">
        <w:rPr>
          <w:rFonts w:hint="cs"/>
          <w:color w:val="000000"/>
          <w:rtl/>
          <w:lang w:bidi="ar-EG"/>
        </w:rPr>
        <w:t xml:space="preserve"> لم يجز أن تكون الفوائد على التزام الكفيل بسعر أعلى</w:t>
      </w:r>
      <w:r>
        <w:rPr>
          <w:rFonts w:hint="cs"/>
          <w:color w:val="000000"/>
          <w:rtl/>
          <w:lang w:bidi="ar-EG"/>
        </w:rPr>
        <w:t xml:space="preserve"> .</w:t>
      </w:r>
      <w:r w:rsidRPr="00315653">
        <w:rPr>
          <w:rFonts w:hint="cs"/>
          <w:color w:val="000000"/>
          <w:rtl/>
          <w:lang w:bidi="ar-EG"/>
        </w:rPr>
        <w:t xml:space="preserve"> وإذا كان الدين الأصلي ينتج فوائد بسيطة</w:t>
      </w:r>
      <w:r>
        <w:rPr>
          <w:rFonts w:hint="cs"/>
          <w:color w:val="000000"/>
          <w:rtl/>
          <w:lang w:bidi="ar-EG"/>
        </w:rPr>
        <w:t xml:space="preserve"> ،</w:t>
      </w:r>
      <w:r w:rsidRPr="00315653">
        <w:rPr>
          <w:rFonts w:hint="cs"/>
          <w:color w:val="000000"/>
          <w:rtl/>
          <w:lang w:bidi="ar-EG"/>
        </w:rPr>
        <w:t xml:space="preserve"> لم يجز أن ينتج التزام الكفيل فوائد </w:t>
      </w:r>
      <w:r w:rsidRPr="00315653">
        <w:rPr>
          <w:rFonts w:hint="cs"/>
          <w:color w:val="000000"/>
          <w:rtl/>
          <w:lang w:bidi="ar-EG"/>
        </w:rPr>
        <w:lastRenderedPageBreak/>
        <w:t>مركبة</w:t>
      </w:r>
      <w:r>
        <w:rPr>
          <w:rFonts w:hint="cs"/>
          <w:color w:val="000000"/>
          <w:vertAlign w:val="superscript"/>
          <w:rtl/>
          <w:lang w:bidi="ar-EG"/>
        </w:rPr>
        <w:t xml:space="preserve">( </w:t>
      </w:r>
      <w:r w:rsidRPr="00315653">
        <w:rPr>
          <w:rStyle w:val="ab"/>
          <w:color w:val="000000"/>
          <w:rtl/>
          <w:lang w:bidi="ar-EG"/>
        </w:rPr>
        <w:footnoteReference w:id="12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أيضاً لا يجوز أن يلتزم الكفيل لأجل أقرب من أجل الالتزام المكفول</w:t>
      </w:r>
      <w:r>
        <w:rPr>
          <w:rFonts w:hint="cs"/>
          <w:color w:val="000000"/>
          <w:vertAlign w:val="superscript"/>
          <w:rtl/>
          <w:lang w:bidi="ar-EG"/>
        </w:rPr>
        <w:t xml:space="preserve">( </w:t>
      </w:r>
      <w:r w:rsidRPr="00315653">
        <w:rPr>
          <w:rStyle w:val="ab"/>
          <w:color w:val="000000"/>
          <w:rtl/>
          <w:lang w:bidi="ar-EG"/>
        </w:rPr>
        <w:footnoteReference w:id="12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توفيه التزام الكفيل في مكان أبعد أو أشد مشقة من المكان الذي يوفي فيه الالتزام المكفول</w:t>
      </w:r>
      <w:r>
        <w:rPr>
          <w:rFonts w:hint="cs"/>
          <w:color w:val="000000"/>
          <w:vertAlign w:val="superscript"/>
          <w:rtl/>
          <w:lang w:bidi="ar-EG"/>
        </w:rPr>
        <w:t xml:space="preserve">( </w:t>
      </w:r>
      <w:r w:rsidRPr="00315653">
        <w:rPr>
          <w:rStyle w:val="ab"/>
          <w:color w:val="000000"/>
          <w:rtl/>
          <w:lang w:bidi="ar-EG"/>
        </w:rPr>
        <w:footnoteReference w:id="12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الالتزام المكفول معلقاً على شرط</w:t>
      </w:r>
      <w:r>
        <w:rPr>
          <w:rFonts w:hint="cs"/>
          <w:color w:val="000000"/>
          <w:rtl/>
          <w:lang w:bidi="ar-EG"/>
        </w:rPr>
        <w:t xml:space="preserve"> ،</w:t>
      </w:r>
      <w:r w:rsidRPr="00315653">
        <w:rPr>
          <w:rFonts w:hint="cs"/>
          <w:color w:val="000000"/>
          <w:rtl/>
          <w:lang w:bidi="ar-EG"/>
        </w:rPr>
        <w:t xml:space="preserve"> لم يجز أن يكون التزام الكفيل منجزاً غير معلق على هذا الشرط</w:t>
      </w:r>
      <w:r>
        <w:rPr>
          <w:rFonts w:hint="cs"/>
          <w:color w:val="000000"/>
          <w:vertAlign w:val="superscript"/>
          <w:rtl/>
          <w:lang w:bidi="ar-EG"/>
        </w:rPr>
        <w:t xml:space="preserve">( </w:t>
      </w:r>
      <w:r w:rsidRPr="00315653">
        <w:rPr>
          <w:rStyle w:val="ab"/>
          <w:color w:val="000000"/>
          <w:rtl/>
          <w:lang w:bidi="ar-EG"/>
        </w:rPr>
        <w:footnoteReference w:id="12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الدين الأصلي مؤجلا على الأصيل وكفل به احد تأجل على الكفيل أيضاً</w:t>
      </w:r>
      <w:r>
        <w:rPr>
          <w:rFonts w:hint="cs"/>
          <w:color w:val="000000"/>
          <w:rtl/>
          <w:lang w:bidi="ar-EG"/>
        </w:rPr>
        <w:t xml:space="preserve"> ،</w:t>
      </w:r>
      <w:r w:rsidRPr="00315653">
        <w:rPr>
          <w:rFonts w:hint="cs"/>
          <w:color w:val="000000"/>
          <w:rtl/>
          <w:lang w:bidi="ar-EG"/>
        </w:rPr>
        <w:t xml:space="preserve"> وإذا اجل الدائن المدين على الأصيل تأجل على الكفيل </w:t>
      </w:r>
      <w:r>
        <w:rPr>
          <w:rFonts w:hint="cs"/>
          <w:color w:val="000000"/>
          <w:rtl/>
          <w:lang w:bidi="ar-EG"/>
        </w:rPr>
        <w:t xml:space="preserve">( </w:t>
      </w:r>
      <w:r w:rsidRPr="00315653">
        <w:rPr>
          <w:rFonts w:hint="cs"/>
          <w:color w:val="000000"/>
          <w:rtl/>
          <w:lang w:bidi="ar-EG"/>
        </w:rPr>
        <w:t>م 1013 مدني عراقي</w:t>
      </w:r>
      <w:r>
        <w:rPr>
          <w:rFonts w:hint="cs"/>
          <w:color w:val="000000"/>
          <w:rtl/>
          <w:lang w:bidi="ar-EG"/>
        </w:rPr>
        <w:t xml:space="preserve"> ) .</w:t>
      </w:r>
      <w:r w:rsidRPr="00315653">
        <w:rPr>
          <w:rFonts w:hint="cs"/>
          <w:color w:val="000000"/>
          <w:rtl/>
          <w:lang w:bidi="ar-EG"/>
        </w:rPr>
        <w:t xml:space="preserve"> وإذا كان الدين الأصلي ديناً طبيعياً لم يجز أن يكون التزام الكفيل مدنياً</w:t>
      </w:r>
      <w:r>
        <w:rPr>
          <w:rFonts w:hint="cs"/>
          <w:color w:val="000000"/>
          <w:rtl/>
          <w:lang w:bidi="ar-EG"/>
        </w:rPr>
        <w:t xml:space="preserve"> ،</w:t>
      </w:r>
      <w:r w:rsidRPr="00315653">
        <w:rPr>
          <w:rFonts w:hint="cs"/>
          <w:color w:val="000000"/>
          <w:rtl/>
          <w:lang w:bidi="ar-EG"/>
        </w:rPr>
        <w:t xml:space="preserve"> بل يجب أن يكون التزاماً طبيعياً كالالتزام المكفول</w:t>
      </w:r>
      <w:r>
        <w:rPr>
          <w:rFonts w:hint="cs"/>
          <w:color w:val="000000"/>
          <w:vertAlign w:val="superscript"/>
          <w:rtl/>
          <w:lang w:bidi="ar-EG"/>
        </w:rPr>
        <w:t xml:space="preserve">( </w:t>
      </w:r>
      <w:r w:rsidRPr="00315653">
        <w:rPr>
          <w:rStyle w:val="ab"/>
          <w:color w:val="000000"/>
          <w:rtl/>
          <w:lang w:bidi="ar-EG"/>
        </w:rPr>
        <w:footnoteReference w:id="12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ويذهب بعض الفقهاء إلى أنه يجوز أن يكون $61 التزام الكفيل أشد من الالتزام المكفول من ناحية إذا كان أخف منه من ناحية أخرى</w:t>
      </w:r>
      <w:r>
        <w:rPr>
          <w:rFonts w:hint="cs"/>
          <w:color w:val="000000"/>
          <w:rtl/>
          <w:lang w:bidi="ar-EG"/>
        </w:rPr>
        <w:t xml:space="preserve"> ،</w:t>
      </w:r>
      <w:r w:rsidRPr="00315653">
        <w:rPr>
          <w:rFonts w:hint="cs"/>
          <w:color w:val="000000"/>
          <w:rtl/>
          <w:lang w:bidi="ar-EG"/>
        </w:rPr>
        <w:t xml:space="preserve"> فيجوز أن يكون التزام الكفيل منتجاً لفوائد إذا حصل الكفيل على أجل أطول من أجل الالتزام المكفول</w:t>
      </w:r>
      <w:r>
        <w:rPr>
          <w:rFonts w:hint="cs"/>
          <w:color w:val="000000"/>
          <w:vertAlign w:val="superscript"/>
          <w:rtl/>
          <w:lang w:bidi="ar-EG"/>
        </w:rPr>
        <w:t xml:space="preserve">( </w:t>
      </w:r>
      <w:r w:rsidRPr="00315653">
        <w:rPr>
          <w:rStyle w:val="ab"/>
          <w:color w:val="000000"/>
          <w:rtl/>
          <w:lang w:bidi="ar-EG"/>
        </w:rPr>
        <w:footnoteReference w:id="12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لما كان يصعب موازنة التزام الكفيل بالالتزام المكفول ومعرفة أيهما أشد</w:t>
      </w:r>
      <w:r>
        <w:rPr>
          <w:rFonts w:hint="cs"/>
          <w:color w:val="000000"/>
          <w:rtl/>
          <w:lang w:bidi="ar-EG"/>
        </w:rPr>
        <w:t xml:space="preserve"> ،</w:t>
      </w:r>
      <w:r w:rsidRPr="00315653">
        <w:rPr>
          <w:rFonts w:hint="cs"/>
          <w:color w:val="000000"/>
          <w:rtl/>
          <w:lang w:bidi="ar-EG"/>
        </w:rPr>
        <w:t xml:space="preserve"> فإن الأفضل الأخذ بالرأي الآخر والقول بأن التزام الكفيل لا يجوز أن يكون أشد من الالتزام المكفول في أية ناحية من نواحيه</w:t>
      </w:r>
      <w:r>
        <w:rPr>
          <w:rFonts w:hint="cs"/>
          <w:color w:val="000000"/>
          <w:vertAlign w:val="superscript"/>
          <w:rtl/>
          <w:lang w:bidi="ar-EG"/>
        </w:rPr>
        <w:t xml:space="preserve">( </w:t>
      </w:r>
      <w:r w:rsidRPr="00315653">
        <w:rPr>
          <w:rStyle w:val="ab"/>
          <w:color w:val="000000"/>
          <w:rtl/>
          <w:lang w:bidi="ar-EG"/>
        </w:rPr>
        <w:footnoteReference w:id="12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يجوز</w:t>
      </w:r>
      <w:r>
        <w:rPr>
          <w:rFonts w:hint="cs"/>
          <w:color w:val="000000"/>
          <w:rtl/>
          <w:lang w:bidi="ar-EG"/>
        </w:rPr>
        <w:t xml:space="preserve"> ،</w:t>
      </w:r>
      <w:r w:rsidRPr="00315653">
        <w:rPr>
          <w:rFonts w:hint="cs"/>
          <w:color w:val="000000"/>
          <w:rtl/>
          <w:lang w:bidi="ar-EG"/>
        </w:rPr>
        <w:t xml:space="preserve"> ما دام التزام الكفيل ليس أشد من الالتزام المكفول</w:t>
      </w:r>
      <w:r>
        <w:rPr>
          <w:rFonts w:hint="cs"/>
          <w:color w:val="000000"/>
          <w:rtl/>
          <w:lang w:bidi="ar-EG"/>
        </w:rPr>
        <w:t xml:space="preserve"> ،</w:t>
      </w:r>
      <w:r w:rsidRPr="00315653">
        <w:rPr>
          <w:rFonts w:hint="cs"/>
          <w:color w:val="000000"/>
          <w:rtl/>
          <w:lang w:bidi="ar-EG"/>
        </w:rPr>
        <w:t xml:space="preserve"> أن يكون التزام الكفيل مضموناً برهن مثلا حتى لو كان الالتزام المكفول ديناً عادياً غير مضمون برهن ولا بكفالة عينية</w:t>
      </w:r>
      <w:r>
        <w:rPr>
          <w:rFonts w:hint="cs"/>
          <w:color w:val="000000"/>
          <w:vertAlign w:val="superscript"/>
          <w:rtl/>
          <w:lang w:bidi="ar-EG"/>
        </w:rPr>
        <w:t xml:space="preserve">( </w:t>
      </w:r>
      <w:r w:rsidRPr="00315653">
        <w:rPr>
          <w:rStyle w:val="ab"/>
          <w:color w:val="000000"/>
          <w:rtl/>
          <w:lang w:bidi="ar-EG"/>
        </w:rPr>
        <w:footnoteReference w:id="12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التزام الكفيل مماثلا للالتزام المكفول</w:t>
      </w:r>
      <w:r>
        <w:rPr>
          <w:rFonts w:hint="cs"/>
          <w:color w:val="000000"/>
          <w:rtl/>
          <w:lang w:bidi="ar-EG"/>
        </w:rPr>
        <w:t xml:space="preserve"> ،</w:t>
      </w:r>
      <w:r w:rsidRPr="00315653">
        <w:rPr>
          <w:rFonts w:hint="cs"/>
          <w:color w:val="000000"/>
          <w:rtl/>
          <w:lang w:bidi="ar-EG"/>
        </w:rPr>
        <w:t xml:space="preserve"> ولكن الدائن بعد ذلك خفف من الالتزام المكفول كأن أطال أجله أو قرنه بشرط أو نزل عن جزء منه</w:t>
      </w:r>
      <w:r>
        <w:rPr>
          <w:rFonts w:hint="cs"/>
          <w:color w:val="000000"/>
          <w:rtl/>
          <w:lang w:bidi="ar-EG"/>
        </w:rPr>
        <w:t xml:space="preserve"> ،</w:t>
      </w:r>
      <w:r w:rsidRPr="00315653">
        <w:rPr>
          <w:rFonts w:hint="cs"/>
          <w:color w:val="000000"/>
          <w:rtl/>
          <w:lang w:bidi="ar-EG"/>
        </w:rPr>
        <w:t xml:space="preserve"> فإن التزام الكفيل يخفف بالقدر الذي خفف به الالتزام المكفول</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التزام الكفيل أشد من الالتزام المكفول</w:t>
      </w:r>
      <w:r>
        <w:rPr>
          <w:rFonts w:hint="cs"/>
          <w:color w:val="000000"/>
          <w:rtl/>
          <w:lang w:bidi="ar-EG"/>
        </w:rPr>
        <w:t xml:space="preserve"> ،</w:t>
      </w:r>
      <w:r w:rsidRPr="00315653">
        <w:rPr>
          <w:rFonts w:hint="cs"/>
          <w:color w:val="000000"/>
          <w:rtl/>
          <w:lang w:bidi="ar-EG"/>
        </w:rPr>
        <w:t xml:space="preserve"> فالجزاء على ذلك ليس هو بطلان التزام الكفيل</w:t>
      </w:r>
      <w:r>
        <w:rPr>
          <w:rFonts w:hint="cs"/>
          <w:color w:val="000000"/>
          <w:rtl/>
          <w:lang w:bidi="ar-EG"/>
        </w:rPr>
        <w:t xml:space="preserve"> ،</w:t>
      </w:r>
      <w:r w:rsidRPr="00315653">
        <w:rPr>
          <w:rFonts w:hint="cs"/>
          <w:color w:val="000000"/>
          <w:rtl/>
          <w:lang w:bidi="ar-EG"/>
        </w:rPr>
        <w:t xml:space="preserve"> بل إنقاصه إلى أن يبلغ حد الالتزام المكفول</w:t>
      </w:r>
      <w:r>
        <w:rPr>
          <w:rFonts w:hint="cs"/>
          <w:color w:val="000000"/>
          <w:vertAlign w:val="superscript"/>
          <w:rtl/>
          <w:lang w:bidi="ar-EG"/>
        </w:rPr>
        <w:t xml:space="preserve">( </w:t>
      </w:r>
      <w:r w:rsidRPr="00315653">
        <w:rPr>
          <w:rStyle w:val="ab"/>
          <w:color w:val="000000"/>
          <w:rtl/>
          <w:lang w:bidi="ar-EG"/>
        </w:rPr>
        <w:footnoteReference w:id="12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كان المشروع التمهيدي لنص المادة 780 يتضمن فقرة ثالثة في هذا المعنى تنص على ألا تكون "الكفالة التي تجاوز الدين المكفول</w:t>
      </w:r>
      <w:r>
        <w:rPr>
          <w:rFonts w:hint="cs"/>
          <w:color w:val="000000"/>
          <w:rtl/>
          <w:lang w:bidi="ar-EG"/>
        </w:rPr>
        <w:t xml:space="preserve"> ،</w:t>
      </w:r>
      <w:r w:rsidRPr="00315653">
        <w:rPr>
          <w:rFonts w:hint="cs"/>
          <w:color w:val="000000"/>
          <w:rtl/>
          <w:lang w:bidi="ar-EG"/>
        </w:rPr>
        <w:t xml:space="preserve"> أو التي تعقد بشروط أشد</w:t>
      </w:r>
      <w:r>
        <w:rPr>
          <w:rFonts w:hint="cs"/>
          <w:color w:val="000000"/>
          <w:rtl/>
          <w:lang w:bidi="ar-EG"/>
        </w:rPr>
        <w:t xml:space="preserve"> ،</w:t>
      </w:r>
      <w:r w:rsidRPr="00315653">
        <w:rPr>
          <w:rFonts w:hint="cs"/>
          <w:color w:val="000000"/>
          <w:rtl/>
          <w:lang w:bidi="ar-EG"/>
        </w:rPr>
        <w:t xml:space="preserve"> صحيحة إلا في حدود الالتزام الأصلي"</w:t>
      </w:r>
      <w:r>
        <w:rPr>
          <w:rFonts w:hint="cs"/>
          <w:color w:val="000000"/>
          <w:rtl/>
          <w:lang w:bidi="ar-EG"/>
        </w:rPr>
        <w:t xml:space="preserve"> ،</w:t>
      </w:r>
      <w:r w:rsidRPr="00315653">
        <w:rPr>
          <w:rFonts w:hint="cs"/>
          <w:color w:val="000000"/>
          <w:rtl/>
          <w:lang w:bidi="ar-EG"/>
        </w:rPr>
        <w:t xml:space="preserve"> فحذف هذه </w:t>
      </w:r>
      <w:r w:rsidRPr="00315653">
        <w:rPr>
          <w:rFonts w:hint="cs"/>
          <w:color w:val="000000"/>
          <w:rtl/>
          <w:lang w:bidi="ar-EG"/>
        </w:rPr>
        <w:lastRenderedPageBreak/>
        <w:t>الفقرة في لجنة المراجعة "لأن حكمها مستفاد من حكم الفقرتين الأولى والثانية"</w:t>
      </w:r>
      <w:r>
        <w:rPr>
          <w:rFonts w:hint="cs"/>
          <w:color w:val="000000"/>
          <w:vertAlign w:val="superscript"/>
          <w:rtl/>
          <w:lang w:bidi="ar-EG"/>
        </w:rPr>
        <w:t xml:space="preserve">( </w:t>
      </w:r>
      <w:r w:rsidRPr="00315653">
        <w:rPr>
          <w:rStyle w:val="ab"/>
          <w:color w:val="000000"/>
          <w:rtl/>
          <w:lang w:bidi="ar-EG"/>
        </w:rPr>
        <w:footnoteReference w:id="12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كان المستحق على المدين الأصلي ألفاً</w:t>
      </w:r>
      <w:r>
        <w:rPr>
          <w:rFonts w:hint="cs"/>
          <w:color w:val="000000"/>
          <w:rtl/>
          <w:lang w:bidi="ar-EG"/>
        </w:rPr>
        <w:t xml:space="preserve"> ،</w:t>
      </w:r>
      <w:r w:rsidRPr="00315653">
        <w:rPr>
          <w:rFonts w:hint="cs"/>
          <w:color w:val="000000"/>
          <w:rtl/>
          <w:lang w:bidi="ar-EG"/>
        </w:rPr>
        <w:t xml:space="preserve"> وكفله الكفيل $62 في ألف ومائتين</w:t>
      </w:r>
      <w:r>
        <w:rPr>
          <w:rFonts w:hint="cs"/>
          <w:color w:val="000000"/>
          <w:rtl/>
          <w:lang w:bidi="ar-EG"/>
        </w:rPr>
        <w:t xml:space="preserve"> ،</w:t>
      </w:r>
      <w:r w:rsidRPr="00315653">
        <w:rPr>
          <w:rFonts w:hint="cs"/>
          <w:color w:val="000000"/>
          <w:rtl/>
          <w:lang w:bidi="ar-EG"/>
        </w:rPr>
        <w:t xml:space="preserve"> أنقص التزام الكفيل إلى ألف</w:t>
      </w:r>
      <w:r>
        <w:rPr>
          <w:rFonts w:hint="cs"/>
          <w:color w:val="000000"/>
          <w:rtl/>
          <w:lang w:bidi="ar-EG"/>
        </w:rPr>
        <w:t xml:space="preserve"> .</w:t>
      </w:r>
      <w:r w:rsidRPr="00315653">
        <w:rPr>
          <w:rFonts w:hint="cs"/>
          <w:color w:val="000000"/>
          <w:rtl/>
          <w:lang w:bidi="ar-EG"/>
        </w:rPr>
        <w:t xml:space="preserve"> وإذا كان التزام الكفيل ينتج فوائد في حين أن التزام الأصيل لا ينتجها</w:t>
      </w:r>
      <w:r>
        <w:rPr>
          <w:rFonts w:hint="cs"/>
          <w:color w:val="000000"/>
          <w:rtl/>
          <w:lang w:bidi="ar-EG"/>
        </w:rPr>
        <w:t xml:space="preserve"> ،</w:t>
      </w:r>
      <w:r w:rsidRPr="00315653">
        <w:rPr>
          <w:rFonts w:hint="cs"/>
          <w:color w:val="000000"/>
          <w:rtl/>
          <w:lang w:bidi="ar-EG"/>
        </w:rPr>
        <w:t xml:space="preserve"> كان التزام الكفيل بدفع الفوائد دون التزامه بدفع أصل الدين هو الباطل</w:t>
      </w:r>
      <w:r>
        <w:rPr>
          <w:rFonts w:hint="cs"/>
          <w:color w:val="000000"/>
          <w:rtl/>
          <w:lang w:bidi="ar-EG"/>
        </w:rPr>
        <w:t xml:space="preserve"> .</w:t>
      </w:r>
      <w:r w:rsidRPr="00315653">
        <w:rPr>
          <w:rFonts w:hint="cs"/>
          <w:color w:val="000000"/>
          <w:rtl/>
          <w:lang w:bidi="ar-EG"/>
        </w:rPr>
        <w:t xml:space="preserve"> وإذا التزم الكفيل بدفع فوائد بسعر أعلى</w:t>
      </w:r>
      <w:r>
        <w:rPr>
          <w:rFonts w:hint="cs"/>
          <w:color w:val="000000"/>
          <w:rtl/>
          <w:lang w:bidi="ar-EG"/>
        </w:rPr>
        <w:t xml:space="preserve"> ،</w:t>
      </w:r>
      <w:r w:rsidRPr="00315653">
        <w:rPr>
          <w:rFonts w:hint="cs"/>
          <w:color w:val="000000"/>
          <w:rtl/>
          <w:lang w:bidi="ar-EG"/>
        </w:rPr>
        <w:t xml:space="preserve"> أنزلت الفوائد إلى السعر الذي التزم به المدين الأصلي</w:t>
      </w:r>
      <w:r>
        <w:rPr>
          <w:rFonts w:hint="cs"/>
          <w:color w:val="000000"/>
          <w:rtl/>
          <w:lang w:bidi="ar-EG"/>
        </w:rPr>
        <w:t xml:space="preserve"> .</w:t>
      </w:r>
      <w:r w:rsidRPr="00315653">
        <w:rPr>
          <w:rFonts w:hint="cs"/>
          <w:color w:val="000000"/>
          <w:rtl/>
          <w:lang w:bidi="ar-EG"/>
        </w:rPr>
        <w:t xml:space="preserve"> وإذا التزم المدين الأصلي بدفع فوائد بسيطة والتزم الكفيل بدفع فوائد مركبة</w:t>
      </w:r>
      <w:r>
        <w:rPr>
          <w:rFonts w:hint="cs"/>
          <w:color w:val="000000"/>
          <w:rtl/>
          <w:lang w:bidi="ar-EG"/>
        </w:rPr>
        <w:t xml:space="preserve"> ،</w:t>
      </w:r>
      <w:r w:rsidRPr="00315653">
        <w:rPr>
          <w:rFonts w:hint="cs"/>
          <w:color w:val="000000"/>
          <w:rtl/>
          <w:lang w:bidi="ar-EG"/>
        </w:rPr>
        <w:t xml:space="preserve"> لم يدفع الكفيل إلا فوائد بسيطة كالمدين الأصلي</w:t>
      </w:r>
      <w:r>
        <w:rPr>
          <w:rFonts w:hint="cs"/>
          <w:color w:val="000000"/>
          <w:rtl/>
          <w:lang w:bidi="ar-EG"/>
        </w:rPr>
        <w:t xml:space="preserve"> .</w:t>
      </w:r>
      <w:r w:rsidRPr="00315653">
        <w:rPr>
          <w:rFonts w:hint="cs"/>
          <w:color w:val="000000"/>
          <w:rtl/>
          <w:lang w:bidi="ar-EG"/>
        </w:rPr>
        <w:t xml:space="preserve"> وإذا التزم الكفيل لأجل أقرب</w:t>
      </w:r>
      <w:r>
        <w:rPr>
          <w:rFonts w:hint="cs"/>
          <w:color w:val="000000"/>
          <w:rtl/>
          <w:lang w:bidi="ar-EG"/>
        </w:rPr>
        <w:t xml:space="preserve"> ،</w:t>
      </w:r>
      <w:r w:rsidRPr="00315653">
        <w:rPr>
          <w:rFonts w:hint="cs"/>
          <w:color w:val="000000"/>
          <w:rtl/>
          <w:lang w:bidi="ar-EG"/>
        </w:rPr>
        <w:t xml:space="preserve"> مد الأجل ليكون مساوياً لأجل المدين الأصلي</w:t>
      </w:r>
      <w:r>
        <w:rPr>
          <w:rFonts w:hint="cs"/>
          <w:color w:val="000000"/>
          <w:rtl/>
          <w:lang w:bidi="ar-EG"/>
        </w:rPr>
        <w:t xml:space="preserve"> .</w:t>
      </w:r>
      <w:r w:rsidRPr="00315653">
        <w:rPr>
          <w:rFonts w:hint="cs"/>
          <w:color w:val="000000"/>
          <w:rtl/>
          <w:lang w:bidi="ar-EG"/>
        </w:rPr>
        <w:t xml:space="preserve"> وهكذا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التزام الكفيل لا يجوز أن يكون أشد من الالتزام المكفول</w:t>
      </w:r>
      <w:r>
        <w:rPr>
          <w:rFonts w:hint="cs"/>
          <w:color w:val="000000"/>
          <w:rtl/>
          <w:lang w:bidi="ar-EG"/>
        </w:rPr>
        <w:t xml:space="preserve"> ،</w:t>
      </w:r>
      <w:r w:rsidRPr="00315653">
        <w:rPr>
          <w:rFonts w:hint="cs"/>
          <w:color w:val="000000"/>
          <w:rtl/>
          <w:lang w:bidi="ar-EG"/>
        </w:rPr>
        <w:t xml:space="preserve"> فإنه على النقيض من ذلك يجوز أن يكون أهون</w:t>
      </w:r>
      <w:r>
        <w:rPr>
          <w:rFonts w:hint="cs"/>
          <w:color w:val="000000"/>
          <w:rtl/>
          <w:lang w:bidi="ar-EG"/>
        </w:rPr>
        <w:t xml:space="preserve"> .</w:t>
      </w:r>
      <w:r w:rsidRPr="00315653">
        <w:rPr>
          <w:rFonts w:hint="cs"/>
          <w:color w:val="000000"/>
          <w:rtl/>
          <w:lang w:bidi="ar-EG"/>
        </w:rPr>
        <w:t xml:space="preserve"> فيجوز أن يكفل الكفيل المدين الأصلي في جزء من الدين</w:t>
      </w:r>
      <w:r>
        <w:rPr>
          <w:rFonts w:hint="cs"/>
          <w:color w:val="000000"/>
          <w:rtl/>
          <w:lang w:bidi="ar-EG"/>
        </w:rPr>
        <w:t xml:space="preserve"> ،</w:t>
      </w:r>
      <w:r w:rsidRPr="00315653">
        <w:rPr>
          <w:rFonts w:hint="cs"/>
          <w:color w:val="000000"/>
          <w:rtl/>
          <w:lang w:bidi="ar-EG"/>
        </w:rPr>
        <w:t xml:space="preserve"> أو في الدين دون فوائده وملحقاته</w:t>
      </w:r>
      <w:r>
        <w:rPr>
          <w:rFonts w:hint="cs"/>
          <w:color w:val="000000"/>
          <w:vertAlign w:val="superscript"/>
          <w:rtl/>
          <w:lang w:bidi="ar-EG"/>
        </w:rPr>
        <w:t xml:space="preserve">( </w:t>
      </w:r>
      <w:r w:rsidRPr="00315653">
        <w:rPr>
          <w:rStyle w:val="ab"/>
          <w:color w:val="000000"/>
          <w:rtl/>
          <w:lang w:bidi="ar-EG"/>
        </w:rPr>
        <w:footnoteReference w:id="13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إلى حد أقصى أقل من المبلغ المستحق على المدين</w:t>
      </w:r>
      <w:r>
        <w:rPr>
          <w:rFonts w:hint="cs"/>
          <w:color w:val="000000"/>
          <w:vertAlign w:val="superscript"/>
          <w:rtl/>
          <w:lang w:bidi="ar-EG"/>
        </w:rPr>
        <w:t xml:space="preserve">( </w:t>
      </w:r>
      <w:r w:rsidRPr="00315653">
        <w:rPr>
          <w:rStyle w:val="ab"/>
          <w:color w:val="000000"/>
          <w:rtl/>
          <w:lang w:bidi="ar-EG"/>
        </w:rPr>
        <w:footnoteReference w:id="131"/>
      </w:r>
      <w:r>
        <w:rPr>
          <w:rFonts w:hint="cs"/>
          <w:color w:val="000000"/>
          <w:vertAlign w:val="superscript"/>
          <w:rtl/>
          <w:lang w:bidi="ar-EG"/>
        </w:rPr>
        <w:t xml:space="preserve"> )</w:t>
      </w:r>
      <w:r w:rsidRPr="00315653">
        <w:rPr>
          <w:rFonts w:hint="cs"/>
          <w:color w:val="000000"/>
          <w:rtl/>
          <w:lang w:bidi="ar-EG"/>
        </w:rPr>
        <w:t xml:space="preserve"> أو لأجل أطول من أجل المدين الأصلي</w:t>
      </w:r>
      <w:r>
        <w:rPr>
          <w:rFonts w:hint="cs"/>
          <w:color w:val="000000"/>
          <w:rtl/>
          <w:lang w:bidi="ar-EG"/>
        </w:rPr>
        <w:t xml:space="preserve"> .</w:t>
      </w:r>
      <w:r w:rsidRPr="00315653">
        <w:rPr>
          <w:rFonts w:hint="cs"/>
          <w:color w:val="000000"/>
          <w:rtl/>
          <w:lang w:bidi="ar-EG"/>
        </w:rPr>
        <w:t xml:space="preserve"> وإذا تكفل الكفيل بالدين الحال كفالة مؤجلة وأضاف الكفيل الأجل إلى نفسه أو اشترط الدائن وقت الكفالة الأجل للكفيل خاصة</w:t>
      </w:r>
      <w:r>
        <w:rPr>
          <w:rFonts w:hint="cs"/>
          <w:color w:val="000000"/>
          <w:rtl/>
          <w:lang w:bidi="ar-EG"/>
        </w:rPr>
        <w:t xml:space="preserve"> ،</w:t>
      </w:r>
      <w:r w:rsidRPr="00315653">
        <w:rPr>
          <w:rFonts w:hint="cs"/>
          <w:color w:val="000000"/>
          <w:rtl/>
          <w:lang w:bidi="ar-EG"/>
        </w:rPr>
        <w:t xml:space="preserve"> كان التزام الكفيل مؤجلا دون الالتزام المكفول</w:t>
      </w:r>
      <w:r>
        <w:rPr>
          <w:rFonts w:hint="cs"/>
          <w:color w:val="000000"/>
          <w:rtl/>
          <w:lang w:bidi="ar-EG"/>
        </w:rPr>
        <w:t xml:space="preserve"> .</w:t>
      </w:r>
      <w:r w:rsidRPr="00315653">
        <w:rPr>
          <w:rFonts w:hint="cs"/>
          <w:color w:val="000000"/>
          <w:rtl/>
          <w:lang w:bidi="ar-EG"/>
        </w:rPr>
        <w:t xml:space="preserve"> ويجوز أن يعلق الكفيل التزامه على شرط</w:t>
      </w:r>
      <w:r>
        <w:rPr>
          <w:rFonts w:hint="cs"/>
          <w:color w:val="000000"/>
          <w:rtl/>
          <w:lang w:bidi="ar-EG"/>
        </w:rPr>
        <w:t xml:space="preserve"> ،</w:t>
      </w:r>
      <w:r w:rsidRPr="00315653">
        <w:rPr>
          <w:rFonts w:hint="cs"/>
          <w:color w:val="000000"/>
          <w:rtl/>
          <w:lang w:bidi="ar-EG"/>
        </w:rPr>
        <w:t xml:space="preserve"> في حين أن الالتزام المكفول يكون منجزاً غير معلق على شرط</w:t>
      </w:r>
      <w:r>
        <w:rPr>
          <w:rFonts w:hint="cs"/>
          <w:color w:val="000000"/>
          <w:vertAlign w:val="superscript"/>
          <w:rtl/>
          <w:lang w:bidi="ar-EG"/>
        </w:rPr>
        <w:t xml:space="preserve">( </w:t>
      </w:r>
      <w:r w:rsidRPr="00315653">
        <w:rPr>
          <w:rStyle w:val="ab"/>
          <w:color w:val="000000"/>
          <w:rtl/>
          <w:lang w:bidi="ar-EG"/>
        </w:rPr>
        <w:footnoteReference w:id="13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ويجوز أن يشترط الكفيل أن يكون الوفاء بالتزامه في موطنه</w:t>
      </w:r>
      <w:r>
        <w:rPr>
          <w:rFonts w:hint="cs"/>
          <w:color w:val="000000"/>
          <w:rtl/>
          <w:lang w:bidi="ar-EG"/>
        </w:rPr>
        <w:t xml:space="preserve"> ،</w:t>
      </w:r>
      <w:r w:rsidRPr="00315653">
        <w:rPr>
          <w:rFonts w:hint="cs"/>
          <w:color w:val="000000"/>
          <w:rtl/>
          <w:lang w:bidi="ar-EG"/>
        </w:rPr>
        <w:t xml:space="preserve"> في حين أن الوفاء بالالتزام المكفول يكون في مكان أبعد أو أكثر مشقة</w:t>
      </w:r>
      <w:r>
        <w:rPr>
          <w:rFonts w:hint="cs"/>
          <w:color w:val="000000"/>
          <w:rtl/>
          <w:lang w:bidi="ar-EG"/>
        </w:rPr>
        <w:t xml:space="preserve"> .</w:t>
      </w:r>
      <w:r w:rsidRPr="00315653">
        <w:rPr>
          <w:rFonts w:hint="cs"/>
          <w:color w:val="000000"/>
          <w:rtl/>
          <w:lang w:bidi="ar-EG"/>
        </w:rPr>
        <w:t xml:space="preserve"> كما يجوز أن يشترط الكفيل ألا يكفل المدين الأصلي إذا شهر إفلاس هذا الأخير</w:t>
      </w:r>
      <w:r>
        <w:rPr>
          <w:rFonts w:hint="cs"/>
          <w:color w:val="000000"/>
          <w:vertAlign w:val="superscript"/>
          <w:rtl/>
          <w:lang w:bidi="ar-EG"/>
        </w:rPr>
        <w:t xml:space="preserve">( </w:t>
      </w:r>
      <w:r w:rsidRPr="00315653">
        <w:rPr>
          <w:rStyle w:val="ab"/>
          <w:color w:val="000000"/>
          <w:rtl/>
          <w:lang w:bidi="ar-EG"/>
        </w:rPr>
        <w:footnoteReference w:id="13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وعند ذلك تنظر محكمة الموضوع فيما إذا كان إلغاء الحكم $63 بشهر الإفلاس في الاستئناف من شأنه أن يعيد الكفالة</w:t>
      </w:r>
      <w:r>
        <w:rPr>
          <w:rFonts w:hint="cs"/>
          <w:color w:val="000000"/>
          <w:rtl/>
          <w:lang w:bidi="ar-EG"/>
        </w:rPr>
        <w:t xml:space="preserve"> ،</w:t>
      </w:r>
      <w:r w:rsidRPr="00315653">
        <w:rPr>
          <w:rFonts w:hint="cs"/>
          <w:color w:val="000000"/>
          <w:rtl/>
          <w:lang w:bidi="ar-EG"/>
        </w:rPr>
        <w:t xml:space="preserve"> وفيما إذا كانت التسوية القضائية تماثل شهر الإفلاس فتكون هي أيضاً شرطاً فاسخاً لالتزام الكفيل</w:t>
      </w:r>
      <w:r>
        <w:rPr>
          <w:rFonts w:hint="cs"/>
          <w:color w:val="000000"/>
          <w:vertAlign w:val="superscript"/>
          <w:rtl/>
          <w:lang w:bidi="ar-EG"/>
        </w:rPr>
        <w:t xml:space="preserve">( </w:t>
      </w:r>
      <w:r w:rsidRPr="00315653">
        <w:rPr>
          <w:rStyle w:val="ab"/>
          <w:color w:val="000000"/>
          <w:rtl/>
          <w:lang w:bidi="ar-EG"/>
        </w:rPr>
        <w:footnoteReference w:id="13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ويجوز كذلك أن يعلق الكفيل كفالته على منح الدائن للمدين أجلا للوفاء</w:t>
      </w:r>
      <w:r>
        <w:rPr>
          <w:rFonts w:hint="cs"/>
          <w:color w:val="000000"/>
          <w:vertAlign w:val="superscript"/>
          <w:rtl/>
          <w:lang w:bidi="ar-EG"/>
        </w:rPr>
        <w:t xml:space="preserve">( </w:t>
      </w:r>
      <w:r w:rsidRPr="00315653">
        <w:rPr>
          <w:rStyle w:val="ab"/>
          <w:color w:val="000000"/>
          <w:rtl/>
          <w:lang w:bidi="ar-EG"/>
        </w:rPr>
        <w:footnoteReference w:id="13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على وجود ضمانات أخرى للدين غير الكفالة</w:t>
      </w:r>
      <w:r>
        <w:rPr>
          <w:rFonts w:hint="cs"/>
          <w:color w:val="000000"/>
          <w:rtl/>
          <w:lang w:bidi="ar-EG"/>
        </w:rPr>
        <w:t xml:space="preserve"> ،</w:t>
      </w:r>
      <w:r w:rsidRPr="00315653">
        <w:rPr>
          <w:rFonts w:hint="cs"/>
          <w:color w:val="000000"/>
          <w:rtl/>
          <w:lang w:bidi="ar-EG"/>
        </w:rPr>
        <w:t xml:space="preserve"> أو على استعمال المدين للدين استعمالا معيناً أو لغرض معين</w:t>
      </w:r>
      <w:r>
        <w:rPr>
          <w:rFonts w:hint="cs"/>
          <w:color w:val="000000"/>
          <w:vertAlign w:val="superscript"/>
          <w:rtl/>
          <w:lang w:bidi="ar-EG"/>
        </w:rPr>
        <w:t xml:space="preserve">( </w:t>
      </w:r>
      <w:r w:rsidRPr="00315653">
        <w:rPr>
          <w:rStyle w:val="ab"/>
          <w:color w:val="000000"/>
          <w:rtl/>
          <w:lang w:bidi="ar-EG"/>
        </w:rPr>
        <w:footnoteReference w:id="13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لم يتحقق الشرك في الأحوال المتقدمة</w:t>
      </w:r>
      <w:r>
        <w:rPr>
          <w:rFonts w:hint="cs"/>
          <w:color w:val="000000"/>
          <w:rtl/>
          <w:lang w:bidi="ar-EG"/>
        </w:rPr>
        <w:t xml:space="preserve"> ،</w:t>
      </w:r>
      <w:r w:rsidRPr="00315653">
        <w:rPr>
          <w:rFonts w:hint="cs"/>
          <w:color w:val="000000"/>
          <w:rtl/>
          <w:lang w:bidi="ar-EG"/>
        </w:rPr>
        <w:t xml:space="preserve"> زالت الكفالة</w:t>
      </w:r>
      <w:r>
        <w:rPr>
          <w:rFonts w:hint="cs"/>
          <w:color w:val="000000"/>
          <w:vertAlign w:val="superscript"/>
          <w:rtl/>
          <w:lang w:bidi="ar-EG"/>
        </w:rPr>
        <w:t xml:space="preserve">( </w:t>
      </w:r>
      <w:r w:rsidRPr="00315653">
        <w:rPr>
          <w:rStyle w:val="ab"/>
          <w:color w:val="000000"/>
          <w:rtl/>
          <w:lang w:bidi="ar-EG"/>
        </w:rPr>
        <w:footnoteReference w:id="13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 xml:space="preserve">26- شمول الكفالة لملحقات الالتزام المكفول </w:t>
      </w:r>
      <w:r w:rsidRPr="00315653">
        <w:rPr>
          <w:color w:val="000000"/>
          <w:rtl/>
          <w:lang w:bidi="ar-EG"/>
        </w:rPr>
        <w:t>–</w:t>
      </w:r>
      <w:r w:rsidRPr="00315653">
        <w:rPr>
          <w:rFonts w:hint="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781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"إذا لم يكن هناك اتفاق خاص</w:t>
      </w:r>
      <w:r>
        <w:rPr>
          <w:rFonts w:hint="cs"/>
          <w:color w:val="000000"/>
          <w:rtl/>
          <w:lang w:bidi="ar-EG"/>
        </w:rPr>
        <w:t xml:space="preserve"> ،</w:t>
      </w:r>
      <w:r w:rsidRPr="00315653">
        <w:rPr>
          <w:rFonts w:hint="cs"/>
          <w:color w:val="000000"/>
          <w:rtl/>
          <w:lang w:bidi="ar-EG"/>
        </w:rPr>
        <w:t xml:space="preserve"> فإن الكفالة تشمل ملحقات الدين ومصروفات المطالبة الأولى</w:t>
      </w:r>
      <w:r>
        <w:rPr>
          <w:rFonts w:hint="cs"/>
          <w:color w:val="000000"/>
          <w:rtl/>
          <w:lang w:bidi="ar-EG"/>
        </w:rPr>
        <w:t xml:space="preserve"> ،</w:t>
      </w:r>
      <w:r w:rsidRPr="00315653">
        <w:rPr>
          <w:rFonts w:hint="cs"/>
          <w:color w:val="000000"/>
          <w:rtl/>
          <w:lang w:bidi="ar-EG"/>
        </w:rPr>
        <w:t xml:space="preserve"> وما يستجد من المصروفات بعد إخطار الكفيل"</w:t>
      </w:r>
      <w:r>
        <w:rPr>
          <w:rFonts w:hint="cs"/>
          <w:color w:val="000000"/>
          <w:vertAlign w:val="superscript"/>
          <w:rtl/>
          <w:lang w:bidi="ar-EG"/>
        </w:rPr>
        <w:t xml:space="preserve">( </w:t>
      </w:r>
      <w:r w:rsidRPr="00315653">
        <w:rPr>
          <w:rStyle w:val="ab"/>
          <w:color w:val="000000"/>
          <w:rtl/>
          <w:lang w:bidi="ar-EG"/>
        </w:rPr>
        <w:footnoteReference w:id="13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b/>
          <w:bCs/>
          <w:color w:val="000000"/>
          <w:rtl/>
          <w:lang w:bidi="ar-EG"/>
        </w:rPr>
      </w:pPr>
      <w:r w:rsidRPr="00315653">
        <w:rPr>
          <w:rFonts w:hint="cs"/>
          <w:color w:val="000000"/>
          <w:rtl/>
          <w:lang w:bidi="ar-EG"/>
        </w:rPr>
        <w:lastRenderedPageBreak/>
        <w:t>$64 ويفترض هذا النص أن الكفيل قد كفل الالتزام المكفول كله دون نقص أو زيادة</w:t>
      </w:r>
      <w:r>
        <w:rPr>
          <w:rFonts w:hint="cs"/>
          <w:color w:val="000000"/>
          <w:vertAlign w:val="superscript"/>
          <w:rtl/>
          <w:lang w:bidi="ar-EG"/>
        </w:rPr>
        <w:t xml:space="preserve">( </w:t>
      </w:r>
      <w:r w:rsidRPr="00315653">
        <w:rPr>
          <w:rStyle w:val="ab"/>
          <w:color w:val="000000"/>
          <w:rtl/>
          <w:lang w:bidi="ar-EG"/>
        </w:rPr>
        <w:footnoteReference w:id="13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وليس هناك اتفاق خاص بملحقات الدين بل كانت مسكوتاً عنها</w:t>
      </w:r>
      <w:r>
        <w:rPr>
          <w:rFonts w:hint="cs"/>
          <w:color w:val="000000"/>
          <w:rtl/>
          <w:lang w:bidi="ar-EG"/>
        </w:rPr>
        <w:t xml:space="preserve"> ،</w:t>
      </w:r>
      <w:r w:rsidRPr="00315653">
        <w:rPr>
          <w:rFonts w:hint="cs"/>
          <w:color w:val="000000"/>
          <w:rtl/>
          <w:lang w:bidi="ar-EG"/>
        </w:rPr>
        <w:t xml:space="preserve"> ويراد تحديد مدى التزام الكفيل</w:t>
      </w:r>
      <w:r>
        <w:rPr>
          <w:rFonts w:hint="cs"/>
          <w:color w:val="000000"/>
          <w:rtl/>
          <w:lang w:bidi="ar-EG"/>
        </w:rPr>
        <w:t xml:space="preserve"> .</w:t>
      </w:r>
      <w:r w:rsidRPr="00315653">
        <w:rPr>
          <w:rFonts w:hint="cs"/>
          <w:color w:val="000000"/>
          <w:rtl/>
          <w:lang w:bidi="ar-EG"/>
        </w:rPr>
        <w:t xml:space="preserve"> ولا شك في أن التزام الكفيل في هذه الحالة مماثل للالتزام المكفول</w:t>
      </w:r>
      <w:r>
        <w:rPr>
          <w:rFonts w:hint="cs"/>
          <w:color w:val="000000"/>
          <w:rtl/>
          <w:lang w:bidi="ar-EG"/>
        </w:rPr>
        <w:t xml:space="preserve"> ،</w:t>
      </w:r>
      <w:r w:rsidRPr="00315653">
        <w:rPr>
          <w:rFonts w:hint="cs"/>
          <w:color w:val="000000"/>
          <w:rtl/>
          <w:lang w:bidi="ar-EG"/>
        </w:rPr>
        <w:t xml:space="preserve"> مقداراً وشروطاً وعبئاً وموعد حلول ومكان وفاء وغير ذلك مما يحدد الالتزام المكفول</w:t>
      </w:r>
      <w:r>
        <w:rPr>
          <w:rFonts w:hint="cs"/>
          <w:color w:val="000000"/>
          <w:rtl/>
          <w:lang w:bidi="ar-EG"/>
        </w:rPr>
        <w:t xml:space="preserve"> .</w:t>
      </w:r>
      <w:r w:rsidRPr="00315653">
        <w:rPr>
          <w:rFonts w:hint="cs"/>
          <w:color w:val="000000"/>
          <w:rtl/>
          <w:lang w:bidi="ar-EG"/>
        </w:rPr>
        <w:t xml:space="preserve"> وكما أن الالتزام المكفول يشمل ملحقاته</w:t>
      </w:r>
      <w:r>
        <w:rPr>
          <w:rFonts w:hint="cs"/>
          <w:color w:val="000000"/>
          <w:rtl/>
          <w:lang w:bidi="ar-EG"/>
        </w:rPr>
        <w:t xml:space="preserve"> ،</w:t>
      </w:r>
      <w:r w:rsidRPr="00315653">
        <w:rPr>
          <w:rFonts w:hint="cs"/>
          <w:color w:val="000000"/>
          <w:rtl/>
          <w:lang w:bidi="ar-EG"/>
        </w:rPr>
        <w:t xml:space="preserve"> كذلك يشملها التزام الكفيل</w:t>
      </w:r>
      <w:r>
        <w:rPr>
          <w:rFonts w:hint="cs"/>
          <w:color w:val="000000"/>
          <w:rtl/>
          <w:lang w:bidi="ar-EG"/>
        </w:rPr>
        <w:t xml:space="preserve"> ،</w:t>
      </w:r>
      <w:r w:rsidRPr="00315653">
        <w:rPr>
          <w:rFonts w:hint="cs"/>
          <w:color w:val="000000"/>
          <w:rtl/>
          <w:lang w:bidi="ar-EG"/>
        </w:rPr>
        <w:t xml:space="preserve"> فيشمل فوائد $65</w:t>
      </w:r>
      <w:r w:rsidRPr="00315653">
        <w:rPr>
          <w:rFonts w:hint="cs"/>
          <w:b/>
          <w:bCs/>
          <w:color w:val="000000"/>
          <w:rtl/>
          <w:lang w:bidi="ar-EG"/>
        </w:rPr>
        <w:t xml:space="preserve"> </w:t>
      </w:r>
      <w:r w:rsidRPr="00315653">
        <w:rPr>
          <w:rFonts w:hint="cs"/>
          <w:color w:val="000000"/>
          <w:rtl/>
          <w:lang w:bidi="ar-EG"/>
        </w:rPr>
        <w:t>الدين</w:t>
      </w:r>
      <w:r>
        <w:rPr>
          <w:rFonts w:hint="cs"/>
          <w:color w:val="000000"/>
          <w:vertAlign w:val="superscript"/>
          <w:rtl/>
          <w:lang w:bidi="ar-EG"/>
        </w:rPr>
        <w:t xml:space="preserve">( </w:t>
      </w:r>
      <w:r w:rsidRPr="00315653">
        <w:rPr>
          <w:rStyle w:val="ab"/>
          <w:color w:val="000000"/>
          <w:rtl/>
          <w:lang w:bidi="ar-EG"/>
        </w:rPr>
        <w:footnoteReference w:id="14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والتعويض عن عدم التنفيذ</w:t>
      </w:r>
      <w:r>
        <w:rPr>
          <w:rFonts w:hint="cs"/>
          <w:color w:val="000000"/>
          <w:vertAlign w:val="superscript"/>
          <w:rtl/>
          <w:lang w:bidi="ar-EG"/>
        </w:rPr>
        <w:t xml:space="preserve">( </w:t>
      </w:r>
      <w:r w:rsidRPr="00315653">
        <w:rPr>
          <w:rStyle w:val="ab"/>
          <w:color w:val="000000"/>
          <w:rtl/>
          <w:lang w:bidi="ar-EG"/>
        </w:rPr>
        <w:footnoteReference w:id="141"/>
      </w:r>
      <w:r>
        <w:rPr>
          <w:rFonts w:hint="cs"/>
          <w:color w:val="000000"/>
          <w:vertAlign w:val="superscript"/>
          <w:rtl/>
          <w:lang w:bidi="ar-EG"/>
        </w:rPr>
        <w:t xml:space="preserve"> )</w:t>
      </w:r>
      <w:r w:rsidRPr="00315653">
        <w:rPr>
          <w:rFonts w:hint="cs"/>
          <w:color w:val="000000"/>
          <w:rtl/>
          <w:lang w:bidi="ar-EG"/>
        </w:rPr>
        <w:t xml:space="preserve"> ومسئولية المدين العقدية</w:t>
      </w:r>
      <w:r>
        <w:rPr>
          <w:rFonts w:hint="cs"/>
          <w:color w:val="000000"/>
          <w:rtl/>
          <w:lang w:bidi="ar-EG"/>
        </w:rPr>
        <w:t xml:space="preserve"> .</w:t>
      </w:r>
      <w:r w:rsidRPr="00315653">
        <w:rPr>
          <w:rFonts w:hint="cs"/>
          <w:color w:val="000000"/>
          <w:rtl/>
          <w:lang w:bidi="ar-EG"/>
        </w:rPr>
        <w:t xml:space="preserve"> فمن كفل المستأجر مثلا في عبارات عامة ودون قيد</w:t>
      </w:r>
      <w:r>
        <w:rPr>
          <w:rFonts w:hint="cs"/>
          <w:color w:val="000000"/>
          <w:rtl/>
          <w:lang w:bidi="ar-EG"/>
        </w:rPr>
        <w:t xml:space="preserve"> ،</w:t>
      </w:r>
      <w:r w:rsidRPr="00315653">
        <w:rPr>
          <w:rFonts w:hint="cs"/>
          <w:color w:val="000000"/>
          <w:rtl/>
          <w:lang w:bidi="ar-EG"/>
        </w:rPr>
        <w:t xml:space="preserve"> كفل ما يكون مستحقاً على المستأجر من الأجرة ومن تعويض</w:t>
      </w:r>
      <w:r>
        <w:rPr>
          <w:rFonts w:hint="cs"/>
          <w:color w:val="000000"/>
          <w:rtl/>
          <w:lang w:bidi="ar-EG"/>
        </w:rPr>
        <w:t xml:space="preserve"> ،</w:t>
      </w:r>
      <w:r w:rsidRPr="00315653">
        <w:rPr>
          <w:rFonts w:hint="cs"/>
          <w:color w:val="000000"/>
          <w:rtl/>
          <w:lang w:bidi="ar-EG"/>
        </w:rPr>
        <w:t xml:space="preserve"> ويشمل ذلك التعويض عن حرق العين المؤجرة</w:t>
      </w:r>
      <w:r>
        <w:rPr>
          <w:rFonts w:hint="cs"/>
          <w:color w:val="000000"/>
          <w:vertAlign w:val="superscript"/>
          <w:rtl/>
          <w:lang w:bidi="ar-EG"/>
        </w:rPr>
        <w:t xml:space="preserve">( </w:t>
      </w:r>
      <w:r w:rsidRPr="00315653">
        <w:rPr>
          <w:rStyle w:val="ab"/>
          <w:color w:val="000000"/>
          <w:rtl/>
          <w:lang w:bidi="ar-EG"/>
        </w:rPr>
        <w:footnoteReference w:id="14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لا يشمل التزامات المستأجر بعد تجديد عقد الإيجار إلا بشرط صريح</w:t>
      </w:r>
      <w:r>
        <w:rPr>
          <w:rFonts w:hint="cs"/>
          <w:color w:val="000000"/>
          <w:vertAlign w:val="superscript"/>
          <w:rtl/>
          <w:lang w:bidi="ar-EG"/>
        </w:rPr>
        <w:t xml:space="preserve">( </w:t>
      </w:r>
      <w:r w:rsidRPr="00315653">
        <w:rPr>
          <w:rStyle w:val="ab"/>
          <w:color w:val="000000"/>
          <w:rtl/>
          <w:lang w:bidi="ar-EG"/>
        </w:rPr>
        <w:footnoteReference w:id="14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ومن كفل حساباً جارياً</w:t>
      </w:r>
      <w:r>
        <w:rPr>
          <w:rFonts w:hint="cs"/>
          <w:color w:val="000000"/>
          <w:rtl/>
          <w:lang w:bidi="ar-EG"/>
        </w:rPr>
        <w:t xml:space="preserve"> ،</w:t>
      </w:r>
      <w:r w:rsidRPr="00315653">
        <w:rPr>
          <w:rFonts w:hint="cs"/>
          <w:color w:val="000000"/>
          <w:rtl/>
          <w:lang w:bidi="ar-EG"/>
        </w:rPr>
        <w:t xml:space="preserve"> كفل كل بنود هذا الحساب لأنها غير قابلة للتجزئة</w:t>
      </w:r>
      <w:r>
        <w:rPr>
          <w:rFonts w:hint="cs"/>
          <w:color w:val="000000"/>
          <w:vertAlign w:val="superscript"/>
          <w:rtl/>
          <w:lang w:bidi="ar-EG"/>
        </w:rPr>
        <w:t xml:space="preserve">( </w:t>
      </w:r>
      <w:r w:rsidRPr="00315653">
        <w:rPr>
          <w:rStyle w:val="ab"/>
          <w:color w:val="000000"/>
          <w:rtl/>
          <w:lang w:bidi="ar-EG"/>
        </w:rPr>
        <w:footnoteReference w:id="14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المصروفات فيضمنها الكفل على الوجه الآتي</w:t>
      </w:r>
      <w:r>
        <w:rPr>
          <w:rFonts w:hint="cs"/>
          <w:color w:val="000000"/>
          <w:rtl/>
          <w:lang w:bidi="ar-EG"/>
        </w:rPr>
        <w:t xml:space="preserve"> :</w:t>
      </w:r>
      <w:r w:rsidRPr="00315653">
        <w:rPr>
          <w:rFonts w:hint="cs"/>
          <w:color w:val="000000"/>
          <w:rtl/>
          <w:lang w:bidi="ar-EG"/>
        </w:rPr>
        <w:t xml:space="preserve"> لما كان الدائن لا بد أن يبدأ بمطالبة المدين الأصلي بالدين</w:t>
      </w:r>
      <w:r>
        <w:rPr>
          <w:rFonts w:hint="cs"/>
          <w:color w:val="000000"/>
          <w:rtl/>
          <w:lang w:bidi="ar-EG"/>
        </w:rPr>
        <w:t xml:space="preserve"> ،</w:t>
      </w:r>
      <w:r w:rsidRPr="00315653">
        <w:rPr>
          <w:rFonts w:hint="cs"/>
          <w:color w:val="000000"/>
          <w:rtl/>
          <w:lang w:bidi="ar-EG"/>
        </w:rPr>
        <w:t xml:space="preserve"> فمصروفات هذه المطالبة الأولى يضمنها الكفيل على كل حال</w:t>
      </w:r>
      <w:r>
        <w:rPr>
          <w:rFonts w:hint="cs"/>
          <w:color w:val="000000"/>
          <w:rtl/>
          <w:lang w:bidi="ar-EG"/>
        </w:rPr>
        <w:t xml:space="preserve"> .</w:t>
      </w:r>
      <w:r w:rsidRPr="00315653">
        <w:rPr>
          <w:rFonts w:hint="cs"/>
          <w:color w:val="000000"/>
          <w:rtl/>
          <w:lang w:bidi="ar-EG"/>
        </w:rPr>
        <w:t xml:space="preserve"> وما يتلو بعد ذلك من المصروفات لا يضمنها الكفيل</w:t>
      </w:r>
      <w:r>
        <w:rPr>
          <w:rFonts w:hint="cs"/>
          <w:color w:val="000000"/>
          <w:rtl/>
          <w:lang w:bidi="ar-EG"/>
        </w:rPr>
        <w:t xml:space="preserve"> ،</w:t>
      </w:r>
      <w:r w:rsidRPr="00315653">
        <w:rPr>
          <w:rFonts w:hint="cs"/>
          <w:color w:val="000000"/>
          <w:rtl/>
          <w:lang w:bidi="ar-EG"/>
        </w:rPr>
        <w:t xml:space="preserve"> إلا إذا كانت قد صرفت بعد أن يخطره الدائن بمطالبته للمدين المطالبة الأولى</w:t>
      </w:r>
      <w:r>
        <w:rPr>
          <w:rFonts w:hint="cs"/>
          <w:color w:val="000000"/>
          <w:vertAlign w:val="superscript"/>
          <w:rtl/>
          <w:lang w:bidi="ar-EG"/>
        </w:rPr>
        <w:t xml:space="preserve">( </w:t>
      </w:r>
      <w:r w:rsidRPr="00315653">
        <w:rPr>
          <w:rStyle w:val="ab"/>
          <w:color w:val="000000"/>
          <w:rtl/>
          <w:lang w:bidi="ar-EG"/>
        </w:rPr>
        <w:footnoteReference w:id="14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على أن المصروفات التي يضمنها الكفيل يجب </w:t>
      </w:r>
      <w:r w:rsidRPr="00315653">
        <w:rPr>
          <w:rFonts w:hint="cs"/>
          <w:color w:val="000000"/>
          <w:rtl/>
          <w:lang w:bidi="ar-EG"/>
        </w:rPr>
        <w:lastRenderedPageBreak/>
        <w:t>ألا يكون مبالغاً فيها</w:t>
      </w:r>
      <w:r>
        <w:rPr>
          <w:rFonts w:hint="cs"/>
          <w:color w:val="000000"/>
          <w:rtl/>
          <w:lang w:bidi="ar-EG"/>
        </w:rPr>
        <w:t xml:space="preserve"> ،</w:t>
      </w:r>
      <w:r w:rsidRPr="00315653">
        <w:rPr>
          <w:rFonts w:hint="cs"/>
          <w:color w:val="000000"/>
          <w:rtl/>
          <w:lang w:bidi="ar-EG"/>
        </w:rPr>
        <w:t xml:space="preserve"> وأن يكون الدائن لم يسرف فيها</w:t>
      </w:r>
      <w:r>
        <w:rPr>
          <w:rFonts w:hint="cs"/>
          <w:color w:val="000000"/>
          <w:rtl/>
          <w:lang w:bidi="ar-EG"/>
        </w:rPr>
        <w:t xml:space="preserve"> ،</w:t>
      </w:r>
      <w:r w:rsidRPr="00315653">
        <w:rPr>
          <w:rFonts w:hint="cs"/>
          <w:color w:val="000000"/>
          <w:rtl/>
          <w:lang w:bidi="ar-EG"/>
        </w:rPr>
        <w:t xml:space="preserve"> أما إذا كان الإسراف راجعاً إلى عمل المدين فإن الكفيل يضمنها</w:t>
      </w:r>
      <w:r>
        <w:rPr>
          <w:rFonts w:hint="cs"/>
          <w:color w:val="000000"/>
          <w:vertAlign w:val="superscript"/>
          <w:rtl/>
          <w:lang w:bidi="ar-EG"/>
        </w:rPr>
        <w:t xml:space="preserve">( </w:t>
      </w:r>
      <w:r w:rsidRPr="00315653">
        <w:rPr>
          <w:rStyle w:val="ab"/>
          <w:color w:val="000000"/>
          <w:rtl/>
          <w:lang w:bidi="ar-EG"/>
        </w:rPr>
        <w:footnoteReference w:id="14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ويضمن الكفيل كذلك الالتزامات الإضافية التي يضعها قانون جديد صدر بعد الكفالة على عاتق المدين</w:t>
      </w:r>
      <w:r>
        <w:rPr>
          <w:rFonts w:hint="cs"/>
          <w:color w:val="000000"/>
          <w:vertAlign w:val="superscript"/>
          <w:rtl/>
          <w:lang w:bidi="ar-EG"/>
        </w:rPr>
        <w:t xml:space="preserve">( </w:t>
      </w:r>
      <w:r w:rsidRPr="00315653">
        <w:rPr>
          <w:rStyle w:val="ab"/>
          <w:color w:val="000000"/>
          <w:rtl/>
          <w:lang w:bidi="ar-EG"/>
        </w:rPr>
        <w:footnoteReference w:id="14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$66 ويضمن الكفيل مسئولية المدين العقدية</w:t>
      </w:r>
      <w:r>
        <w:rPr>
          <w:rFonts w:hint="cs"/>
          <w:color w:val="000000"/>
          <w:rtl/>
          <w:lang w:bidi="ar-EG"/>
        </w:rPr>
        <w:t xml:space="preserve"> ،</w:t>
      </w:r>
      <w:r w:rsidRPr="00315653">
        <w:rPr>
          <w:rFonts w:hint="cs"/>
          <w:color w:val="000000"/>
          <w:rtl/>
          <w:lang w:bidi="ar-EG"/>
        </w:rPr>
        <w:t xml:space="preserve"> حتى في حالة فسخ العقد</w:t>
      </w:r>
      <w:r>
        <w:rPr>
          <w:rFonts w:hint="cs"/>
          <w:color w:val="000000"/>
          <w:rtl/>
          <w:lang w:bidi="ar-EG"/>
        </w:rPr>
        <w:t xml:space="preserve"> ،</w:t>
      </w:r>
      <w:r w:rsidRPr="00315653">
        <w:rPr>
          <w:rFonts w:hint="cs"/>
          <w:color w:val="000000"/>
          <w:rtl/>
          <w:lang w:bidi="ar-EG"/>
        </w:rPr>
        <w:t xml:space="preserve"> وحتى في حالة مسئولية المدين العقدية عن الغير</w:t>
      </w:r>
      <w:r>
        <w:rPr>
          <w:rFonts w:hint="cs"/>
          <w:color w:val="000000"/>
          <w:rtl/>
          <w:lang w:bidi="ar-EG"/>
        </w:rPr>
        <w:t xml:space="preserve"> ،</w:t>
      </w:r>
      <w:r w:rsidRPr="00315653">
        <w:rPr>
          <w:rFonts w:hint="cs"/>
          <w:color w:val="000000"/>
          <w:rtl/>
          <w:lang w:bidi="ar-EG"/>
        </w:rPr>
        <w:t xml:space="preserve"> وحتى لو كان التعويض عن المسئولية محدداً في شرط جزائي</w:t>
      </w:r>
      <w:r>
        <w:rPr>
          <w:rFonts w:hint="cs"/>
          <w:color w:val="000000"/>
          <w:rtl/>
          <w:lang w:bidi="ar-EG"/>
        </w:rPr>
        <w:t xml:space="preserve"> ،</w:t>
      </w:r>
      <w:r w:rsidRPr="00315653">
        <w:rPr>
          <w:rFonts w:hint="cs"/>
          <w:color w:val="000000"/>
          <w:rtl/>
          <w:lang w:bidi="ar-EG"/>
        </w:rPr>
        <w:t xml:space="preserve"> وقد رأينا تطبيقاً لكفالة مسئولية المدين العقدية في كفالة مسئولية المستأجر عن الحريق</w:t>
      </w:r>
      <w:r>
        <w:rPr>
          <w:rFonts w:hint="cs"/>
          <w:color w:val="000000"/>
          <w:vertAlign w:val="superscript"/>
          <w:rtl/>
          <w:lang w:bidi="ar-EG"/>
        </w:rPr>
        <w:t xml:space="preserve">( </w:t>
      </w:r>
      <w:r w:rsidRPr="00315653">
        <w:rPr>
          <w:rStyle w:val="ab"/>
          <w:color w:val="000000"/>
          <w:rtl/>
          <w:lang w:bidi="ar-EG"/>
        </w:rPr>
        <w:footnoteReference w:id="14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الكفيل لا يضمن مسئولية المدين التقصيرية إلا إذا وجد شرط صريح</w:t>
      </w:r>
      <w:r>
        <w:rPr>
          <w:rFonts w:hint="cs"/>
          <w:color w:val="000000"/>
          <w:rtl/>
          <w:lang w:bidi="ar-EG"/>
        </w:rPr>
        <w:t xml:space="preserve"> ،</w:t>
      </w:r>
      <w:r w:rsidRPr="00315653">
        <w:rPr>
          <w:rFonts w:hint="cs"/>
          <w:color w:val="000000"/>
          <w:rtl/>
          <w:lang w:bidi="ar-EG"/>
        </w:rPr>
        <w:t xml:space="preserve"> ون باب أولى لا يضمن مسئولية الغير التقصيرية</w:t>
      </w:r>
      <w:r>
        <w:rPr>
          <w:rFonts w:hint="cs"/>
          <w:color w:val="000000"/>
          <w:vertAlign w:val="superscript"/>
          <w:rtl/>
          <w:lang w:bidi="ar-EG"/>
        </w:rPr>
        <w:t xml:space="preserve">( </w:t>
      </w:r>
      <w:r w:rsidRPr="00315653">
        <w:rPr>
          <w:rStyle w:val="ab"/>
          <w:color w:val="000000"/>
          <w:rtl/>
          <w:lang w:bidi="ar-EG"/>
        </w:rPr>
        <w:footnoteReference w:id="14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على أن الكفيل لممول يضمن لمصلحة الضرائب</w:t>
      </w:r>
      <w:r>
        <w:rPr>
          <w:rFonts w:hint="cs"/>
          <w:color w:val="000000"/>
          <w:rtl/>
          <w:lang w:bidi="ar-EG"/>
        </w:rPr>
        <w:t xml:space="preserve"> ،</w:t>
      </w:r>
      <w:r w:rsidRPr="00315653">
        <w:rPr>
          <w:rFonts w:hint="cs"/>
          <w:color w:val="000000"/>
          <w:rtl/>
          <w:lang w:bidi="ar-EG"/>
        </w:rPr>
        <w:t xml:space="preserve"> فوق المستحق على الممول</w:t>
      </w:r>
      <w:r>
        <w:rPr>
          <w:rFonts w:hint="cs"/>
          <w:color w:val="000000"/>
          <w:rtl/>
          <w:lang w:bidi="ar-EG"/>
        </w:rPr>
        <w:t xml:space="preserve"> ،</w:t>
      </w:r>
      <w:r w:rsidRPr="00315653">
        <w:rPr>
          <w:rFonts w:hint="cs"/>
          <w:color w:val="000000"/>
          <w:rtl/>
          <w:lang w:bidi="ar-EG"/>
        </w:rPr>
        <w:t xml:space="preserve"> الغرامات التي توقع على هذا الأخير للغش</w:t>
      </w:r>
      <w:r>
        <w:rPr>
          <w:rFonts w:hint="cs"/>
          <w:color w:val="000000"/>
          <w:vertAlign w:val="superscript"/>
          <w:rtl/>
          <w:lang w:bidi="ar-EG"/>
        </w:rPr>
        <w:t xml:space="preserve">( </w:t>
      </w:r>
      <w:r w:rsidRPr="00315653">
        <w:rPr>
          <w:rStyle w:val="ab"/>
          <w:color w:val="000000"/>
          <w:rtl/>
          <w:lang w:bidi="ar-EG"/>
        </w:rPr>
        <w:footnoteReference w:id="15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ويضمن الكفيل كذلك فوائد التأخير</w:t>
      </w:r>
      <w:r>
        <w:rPr>
          <w:rFonts w:hint="cs"/>
          <w:color w:val="000000"/>
          <w:rtl/>
          <w:lang w:bidi="ar-EG"/>
        </w:rPr>
        <w:t xml:space="preserve"> ،</w:t>
      </w:r>
      <w:r w:rsidRPr="00315653">
        <w:rPr>
          <w:rFonts w:hint="cs"/>
          <w:color w:val="000000"/>
          <w:rtl/>
          <w:lang w:bidi="ar-EG"/>
        </w:rPr>
        <w:t xml:space="preserve"> إذا تأخر المدين عن دفع المستحق في ذمته</w:t>
      </w:r>
      <w:r>
        <w:rPr>
          <w:rFonts w:hint="cs"/>
          <w:color w:val="000000"/>
          <w:vertAlign w:val="superscript"/>
          <w:rtl/>
          <w:lang w:bidi="ar-EG"/>
        </w:rPr>
        <w:t xml:space="preserve">( </w:t>
      </w:r>
      <w:r w:rsidRPr="00315653">
        <w:rPr>
          <w:rStyle w:val="ab"/>
          <w:color w:val="000000"/>
          <w:rtl/>
          <w:lang w:bidi="ar-EG"/>
        </w:rPr>
        <w:footnoteReference w:id="15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ويضمن الكفيل لفتح اعتماد إلى حد معين هذا الحد وملحقاته</w:t>
      </w:r>
      <w:r>
        <w:rPr>
          <w:rFonts w:hint="cs"/>
          <w:color w:val="000000"/>
          <w:rtl/>
          <w:lang w:bidi="ar-EG"/>
        </w:rPr>
        <w:t xml:space="preserve"> ،</w:t>
      </w:r>
      <w:r w:rsidRPr="00315653">
        <w:rPr>
          <w:rFonts w:hint="cs"/>
          <w:color w:val="000000"/>
          <w:rtl/>
          <w:lang w:bidi="ar-EG"/>
        </w:rPr>
        <w:t xml:space="preserve"> ويدخل في ذلك السمسرة </w:t>
      </w:r>
      <w:r>
        <w:rPr>
          <w:color w:val="000000"/>
          <w:rtl/>
          <w:lang w:bidi="ar-EG"/>
        </w:rPr>
        <w:t xml:space="preserve">( </w:t>
      </w:r>
      <w:r w:rsidRPr="00315653">
        <w:rPr>
          <w:color w:val="000000"/>
          <w:lang w:bidi="ar-EG"/>
        </w:rPr>
        <w:t>commissions</w:t>
      </w:r>
      <w:r>
        <w:rPr>
          <w:color w:val="000000"/>
          <w:rtl/>
          <w:lang w:bidi="ar-EG"/>
        </w:rPr>
        <w:t xml:space="preserve"> )</w:t>
      </w:r>
      <w:r w:rsidRPr="00315653">
        <w:rPr>
          <w:rFonts w:hint="cs"/>
          <w:color w:val="000000"/>
          <w:rtl/>
        </w:rPr>
        <w:t xml:space="preserve"> التي تعتبر من ملحقات فتح الاعتماد</w:t>
      </w:r>
      <w:r>
        <w:rPr>
          <w:rFonts w:hint="cs"/>
          <w:color w:val="000000"/>
          <w:vertAlign w:val="superscript"/>
          <w:rtl/>
          <w:lang w:bidi="ar-EG"/>
        </w:rPr>
        <w:t xml:space="preserve">( </w:t>
      </w:r>
      <w:r w:rsidRPr="00315653">
        <w:rPr>
          <w:rStyle w:val="ab"/>
          <w:color w:val="000000"/>
          <w:rtl/>
          <w:lang w:bidi="ar-EG"/>
        </w:rPr>
        <w:footnoteReference w:id="15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كما يدخل ضمن الملحقات</w:t>
      </w:r>
      <w:r>
        <w:rPr>
          <w:rFonts w:hint="cs"/>
          <w:color w:val="000000"/>
          <w:rtl/>
          <w:lang w:bidi="ar-EG"/>
        </w:rPr>
        <w:t xml:space="preserve"> ،</w:t>
      </w:r>
      <w:r w:rsidRPr="00315653">
        <w:rPr>
          <w:rFonts w:hint="cs"/>
          <w:color w:val="000000"/>
          <w:rtl/>
          <w:lang w:bidi="ar-EG"/>
        </w:rPr>
        <w:t xml:space="preserve"> فيضمنها الكفيل</w:t>
      </w:r>
      <w:r>
        <w:rPr>
          <w:rFonts w:hint="cs"/>
          <w:color w:val="000000"/>
          <w:rtl/>
          <w:lang w:bidi="ar-EG"/>
        </w:rPr>
        <w:t xml:space="preserve"> ،</w:t>
      </w:r>
      <w:r w:rsidRPr="00315653">
        <w:rPr>
          <w:rFonts w:hint="cs"/>
          <w:color w:val="000000"/>
          <w:rtl/>
          <w:lang w:bidi="ar-EG"/>
        </w:rPr>
        <w:t xml:space="preserve"> مصروفات عقد الدين التي قدمها الدائن</w:t>
      </w:r>
      <w:r>
        <w:rPr>
          <w:rFonts w:hint="cs"/>
          <w:color w:val="000000"/>
          <w:rtl/>
          <w:lang w:bidi="ar-EG"/>
        </w:rPr>
        <w:t xml:space="preserve"> ،</w:t>
      </w:r>
      <w:r w:rsidRPr="00315653">
        <w:rPr>
          <w:rFonts w:hint="cs"/>
          <w:color w:val="000000"/>
          <w:rtl/>
          <w:lang w:bidi="ar-EG"/>
        </w:rPr>
        <w:t xml:space="preserve"> كمصروفات كتابة العقد وأتعاب المحاماة والتسجيل أو التصديق على الإمضاء بحسب الأحوال</w:t>
      </w:r>
      <w:r>
        <w:rPr>
          <w:rFonts w:hint="cs"/>
          <w:color w:val="000000"/>
          <w:vertAlign w:val="superscript"/>
          <w:rtl/>
          <w:lang w:bidi="ar-EG"/>
        </w:rPr>
        <w:t xml:space="preserve">( </w:t>
      </w:r>
      <w:r w:rsidRPr="00315653">
        <w:rPr>
          <w:rStyle w:val="ab"/>
          <w:color w:val="000000"/>
          <w:rtl/>
          <w:lang w:bidi="ar-EG"/>
        </w:rPr>
        <w:footnoteReference w:id="15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ولكن لا يضمن الكفيل الالتزام التي نشأت عن سبب غير العقد المكفول</w:t>
      </w:r>
      <w:r>
        <w:rPr>
          <w:rFonts w:hint="cs"/>
          <w:color w:val="000000"/>
          <w:rtl/>
          <w:lang w:bidi="ar-EG"/>
        </w:rPr>
        <w:t xml:space="preserve"> ،</w:t>
      </w:r>
      <w:r w:rsidRPr="00315653">
        <w:rPr>
          <w:rFonts w:hint="cs"/>
          <w:color w:val="000000"/>
          <w:rtl/>
          <w:lang w:bidi="ar-EG"/>
        </w:rPr>
        <w:t xml:space="preserve"> فلا يضمن التعويض عن الضرر الذي أحدثه الشيء المرهون رهن حيازة</w:t>
      </w:r>
      <w:r>
        <w:rPr>
          <w:rFonts w:hint="cs"/>
          <w:color w:val="000000"/>
          <w:rtl/>
          <w:lang w:bidi="ar-EG"/>
        </w:rPr>
        <w:t xml:space="preserve"> ،</w:t>
      </w:r>
      <w:r w:rsidRPr="00315653">
        <w:rPr>
          <w:rFonts w:hint="cs"/>
          <w:color w:val="000000"/>
          <w:rtl/>
          <w:lang w:bidi="ar-EG"/>
        </w:rPr>
        <w:t xml:space="preserve"> ولا الغرامات التي تدفع على المحاسب الذي ضمنه الكفيل</w:t>
      </w:r>
      <w:r>
        <w:rPr>
          <w:rFonts w:hint="cs"/>
          <w:color w:val="000000"/>
          <w:vertAlign w:val="superscript"/>
          <w:rtl/>
          <w:lang w:bidi="ar-EG"/>
        </w:rPr>
        <w:t xml:space="preserve">( </w:t>
      </w:r>
      <w:r w:rsidRPr="00315653">
        <w:rPr>
          <w:rStyle w:val="ab"/>
          <w:color w:val="000000"/>
          <w:rtl/>
          <w:lang w:bidi="ar-EG"/>
        </w:rPr>
        <w:footnoteReference w:id="15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$67</w:t>
      </w:r>
      <w:r w:rsidRPr="00315653">
        <w:rPr>
          <w:rFonts w:hint="cs"/>
          <w:color w:val="000000"/>
          <w:rtl/>
        </w:rPr>
        <w:t xml:space="preserve"> ولا الالتزامات التي عقدها المدين الأصلي بعد إنشاء الالتزام المكفول </w:t>
      </w:r>
      <w:r>
        <w:rPr>
          <w:rFonts w:hint="cs"/>
          <w:color w:val="000000"/>
          <w:rtl/>
        </w:rPr>
        <w:t xml:space="preserve">( </w:t>
      </w:r>
      <w:r w:rsidRPr="00315653">
        <w:rPr>
          <w:rFonts w:hint="cs"/>
          <w:color w:val="000000"/>
          <w:rtl/>
        </w:rPr>
        <w:t>م 1066 من قانون الموجبات والعقود اللبناني</w:t>
      </w:r>
      <w:r>
        <w:rPr>
          <w:rFonts w:hint="cs"/>
          <w:color w:val="000000"/>
          <w:rtl/>
        </w:rPr>
        <w:t xml:space="preserve"> ) .</w:t>
      </w:r>
      <w:r w:rsidRPr="00315653">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 xml:space="preserve">27- كفالة الدين التجاري تعتبر عملا مدنيا فيما عدا استثناءات معينة </w:t>
      </w:r>
      <w:r w:rsidRPr="00315653">
        <w:rPr>
          <w:b/>
          <w:bCs/>
          <w:color w:val="000000"/>
          <w:rtl/>
        </w:rPr>
        <w:t>–</w:t>
      </w:r>
      <w:r w:rsidRPr="00315653">
        <w:rPr>
          <w:rFonts w:hint="cs"/>
          <w:b/>
          <w:bCs/>
          <w:color w:val="000000"/>
          <w:rtl/>
        </w:rPr>
        <w:t xml:space="preserve"> نص قانوني</w:t>
      </w:r>
      <w:r>
        <w:rPr>
          <w:rFonts w:hint="cs"/>
          <w:color w:val="000000"/>
          <w:rtl/>
        </w:rPr>
        <w:t xml:space="preserve"> :</w:t>
      </w:r>
      <w:r w:rsidRPr="00315653">
        <w:rPr>
          <w:rFonts w:hint="cs"/>
          <w:color w:val="000000"/>
          <w:rtl/>
        </w:rPr>
        <w:t xml:space="preserve"> تنص المادة 779 مدني على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lastRenderedPageBreak/>
        <w:t>"1- كفالة الدين التجاري عملا مدنياً</w:t>
      </w:r>
      <w:r>
        <w:rPr>
          <w:rFonts w:hint="cs"/>
          <w:color w:val="000000"/>
          <w:rtl/>
        </w:rPr>
        <w:t xml:space="preserve"> ،</w:t>
      </w:r>
      <w:r w:rsidRPr="00315653">
        <w:rPr>
          <w:rFonts w:hint="cs"/>
          <w:color w:val="000000"/>
          <w:rtl/>
        </w:rPr>
        <w:t xml:space="preserve"> ولو كان الكفيل تاجراً"</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"2- على أن الكفالة الناشئة عن ضمان الأوراق التجارة ضماناً احتياطياً</w:t>
      </w:r>
      <w:r>
        <w:rPr>
          <w:rFonts w:hint="cs"/>
          <w:color w:val="000000"/>
          <w:rtl/>
        </w:rPr>
        <w:t xml:space="preserve"> ،</w:t>
      </w:r>
      <w:r w:rsidRPr="00315653">
        <w:rPr>
          <w:rFonts w:hint="cs"/>
          <w:color w:val="000000"/>
          <w:rtl/>
        </w:rPr>
        <w:t xml:space="preserve"> أو عن تظهير هذه الأوراق</w:t>
      </w:r>
      <w:r>
        <w:rPr>
          <w:rFonts w:hint="cs"/>
          <w:color w:val="000000"/>
          <w:rtl/>
        </w:rPr>
        <w:t xml:space="preserve"> ،</w:t>
      </w:r>
      <w:r w:rsidRPr="00315653">
        <w:rPr>
          <w:rFonts w:hint="cs"/>
          <w:color w:val="000000"/>
          <w:rtl/>
        </w:rPr>
        <w:t xml:space="preserve"> تعتبر دائماً عملا تجارياً"</w:t>
      </w:r>
      <w:r>
        <w:rPr>
          <w:rFonts w:hint="cs"/>
          <w:color w:val="000000"/>
          <w:vertAlign w:val="superscript"/>
          <w:rtl/>
          <w:lang w:bidi="ar-EG"/>
        </w:rPr>
        <w:t xml:space="preserve">( </w:t>
      </w:r>
      <w:r w:rsidRPr="00315653">
        <w:rPr>
          <w:rStyle w:val="ab"/>
          <w:color w:val="000000"/>
          <w:rtl/>
          <w:lang w:bidi="ar-EG"/>
        </w:rPr>
        <w:footnoteReference w:id="15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ويلخص من النص المتقدم أن الأصل في الكفالة أن تعتبر عملا مديناً</w:t>
      </w:r>
      <w:r>
        <w:rPr>
          <w:rFonts w:hint="cs"/>
          <w:color w:val="000000"/>
          <w:rtl/>
          <w:lang w:bidi="ar-EG"/>
        </w:rPr>
        <w:t xml:space="preserve"> .</w:t>
      </w:r>
      <w:r w:rsidRPr="00315653">
        <w:rPr>
          <w:rFonts w:hint="cs"/>
          <w:color w:val="000000"/>
          <w:rtl/>
          <w:lang w:bidi="ar-EG"/>
        </w:rPr>
        <w:t xml:space="preserve"> وتبقى الكفالة عملا مدنياً</w:t>
      </w:r>
      <w:r>
        <w:rPr>
          <w:rFonts w:hint="cs"/>
          <w:color w:val="000000"/>
          <w:rtl/>
          <w:lang w:bidi="ar-EG"/>
        </w:rPr>
        <w:t xml:space="preserve"> ،</w:t>
      </w:r>
      <w:r w:rsidRPr="00315653">
        <w:rPr>
          <w:rFonts w:hint="cs"/>
          <w:color w:val="000000"/>
          <w:rtl/>
          <w:lang w:bidi="ar-EG"/>
        </w:rPr>
        <w:t xml:space="preserve"> بالنسبة إلى الكفيل</w:t>
      </w:r>
      <w:r>
        <w:rPr>
          <w:rFonts w:hint="cs"/>
          <w:color w:val="000000"/>
          <w:vertAlign w:val="superscript"/>
          <w:rtl/>
          <w:lang w:bidi="ar-EG"/>
        </w:rPr>
        <w:t xml:space="preserve">( </w:t>
      </w:r>
      <w:r w:rsidRPr="00315653">
        <w:rPr>
          <w:rStyle w:val="ab"/>
          <w:color w:val="000000"/>
          <w:rtl/>
          <w:lang w:bidi="ar-EG"/>
        </w:rPr>
        <w:footnoteReference w:id="15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حتى لو كان الالتزام المكفول التزاماً تجارياً</w:t>
      </w:r>
      <w:r>
        <w:rPr>
          <w:rFonts w:hint="cs"/>
          <w:color w:val="000000"/>
          <w:rtl/>
          <w:lang w:bidi="ar-EG"/>
        </w:rPr>
        <w:t xml:space="preserve"> ،</w:t>
      </w:r>
      <w:r w:rsidRPr="00315653">
        <w:rPr>
          <w:rFonts w:hint="cs"/>
          <w:color w:val="000000"/>
          <w:rtl/>
          <w:lang w:bidi="ar-EG"/>
        </w:rPr>
        <w:t xml:space="preserve"> وذلك استثناء من القاعدة التي تقضي بأن التزام الكفيل تابع للالتزام المكفول فكان الواجب أن يكون التزام الكفل التزاماً تجارياً كالالتزام المكفول</w:t>
      </w:r>
      <w:r>
        <w:rPr>
          <w:rFonts w:hint="cs"/>
          <w:color w:val="000000"/>
          <w:rtl/>
          <w:lang w:bidi="ar-EG"/>
        </w:rPr>
        <w:t xml:space="preserve"> ،</w:t>
      </w:r>
      <w:r w:rsidRPr="00315653">
        <w:rPr>
          <w:rFonts w:hint="cs"/>
          <w:color w:val="000000"/>
          <w:rtl/>
          <w:lang w:bidi="ar-EG"/>
        </w:rPr>
        <w:t xml:space="preserve"> بل تبقى الكفالة عملا مدنياً</w:t>
      </w:r>
      <w:r>
        <w:rPr>
          <w:rFonts w:hint="cs"/>
          <w:color w:val="000000"/>
          <w:rtl/>
          <w:lang w:bidi="ar-EG"/>
        </w:rPr>
        <w:t xml:space="preserve"> ،</w:t>
      </w:r>
      <w:r w:rsidRPr="00315653">
        <w:rPr>
          <w:rFonts w:hint="cs"/>
          <w:color w:val="000000"/>
          <w:rtl/>
          <w:lang w:bidi="ar-EG"/>
        </w:rPr>
        <w:t xml:space="preserve"> حتى لو كان $68 الالتزام المكفول التزاماً تجارياً</w:t>
      </w:r>
      <w:r>
        <w:rPr>
          <w:rFonts w:hint="cs"/>
          <w:color w:val="000000"/>
          <w:rtl/>
          <w:lang w:bidi="ar-EG"/>
        </w:rPr>
        <w:t xml:space="preserve"> ،</w:t>
      </w:r>
      <w:r w:rsidRPr="00315653">
        <w:rPr>
          <w:rFonts w:hint="cs"/>
          <w:color w:val="000000"/>
          <w:rtl/>
          <w:lang w:bidi="ar-EG"/>
        </w:rPr>
        <w:t xml:space="preserve"> وكان كل من الدائن والمدين تاجراً وكان الكفيل نفسه تاجراً أيضاً</w:t>
      </w:r>
      <w:r>
        <w:rPr>
          <w:rFonts w:hint="cs"/>
          <w:color w:val="000000"/>
          <w:rtl/>
          <w:lang w:bidi="ar-EG"/>
        </w:rPr>
        <w:t xml:space="preserve"> .</w:t>
      </w:r>
      <w:r w:rsidRPr="00315653">
        <w:rPr>
          <w:rFonts w:hint="cs"/>
          <w:color w:val="000000"/>
          <w:rtl/>
          <w:lang w:bidi="ar-EG"/>
        </w:rPr>
        <w:t xml:space="preserve"> وهذا ما أجمع عليه القضاء والفقه في فرنسا</w:t>
      </w:r>
      <w:r>
        <w:rPr>
          <w:rFonts w:hint="cs"/>
          <w:color w:val="000000"/>
          <w:rtl/>
          <w:lang w:bidi="ar-EG"/>
        </w:rPr>
        <w:t xml:space="preserve"> ،</w:t>
      </w:r>
      <w:r w:rsidRPr="00315653">
        <w:rPr>
          <w:rFonts w:hint="cs"/>
          <w:color w:val="000000"/>
          <w:rtl/>
          <w:lang w:bidi="ar-EG"/>
        </w:rPr>
        <w:t xml:space="preserve"> والسبب في ذلك أن العمل التجاري يجب أن يكون قائماً على فكرة المضاربة </w:t>
      </w:r>
      <w:r>
        <w:rPr>
          <w:color w:val="000000"/>
          <w:rtl/>
          <w:lang w:bidi="ar-EG"/>
        </w:rPr>
        <w:t xml:space="preserve">( </w:t>
      </w:r>
      <w:r w:rsidRPr="00315653">
        <w:rPr>
          <w:color w:val="000000"/>
          <w:lang w:bidi="ar-EG"/>
        </w:rPr>
        <w:t>speculation</w:t>
      </w:r>
      <w:r>
        <w:rPr>
          <w:color w:val="000000"/>
          <w:rtl/>
          <w:lang w:bidi="ar-EG"/>
        </w:rPr>
        <w:t xml:space="preserve"> )</w:t>
      </w:r>
      <w:r>
        <w:rPr>
          <w:rFonts w:hint="cs"/>
          <w:color w:val="000000"/>
          <w:rtl/>
        </w:rPr>
        <w:t xml:space="preserve"> ،</w:t>
      </w:r>
      <w:r w:rsidRPr="00315653">
        <w:rPr>
          <w:rFonts w:hint="cs"/>
          <w:color w:val="000000"/>
          <w:rtl/>
        </w:rPr>
        <w:t xml:space="preserve"> والأصل في الكفالة أن يكون الكفيل متبرعاً لا مضارباً فهو إذن لا يقوم بعمل تجاري بل بعمل مدني</w:t>
      </w:r>
      <w:r>
        <w:rPr>
          <w:rFonts w:hint="cs"/>
          <w:color w:val="000000"/>
          <w:vertAlign w:val="superscript"/>
          <w:rtl/>
          <w:lang w:bidi="ar-EG"/>
        </w:rPr>
        <w:t xml:space="preserve">( </w:t>
      </w:r>
      <w:r w:rsidRPr="00315653">
        <w:rPr>
          <w:rStyle w:val="ab"/>
          <w:color w:val="000000"/>
          <w:rtl/>
          <w:lang w:bidi="ar-EG"/>
        </w:rPr>
        <w:footnoteReference w:id="15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وتظهر أهمية أن الكفالة هي في الأصل عمل مدني من جانب الكفيل في الاختصاص فتكون المحكمة المدنية هي المختصة إذا كان الكفيل هو المدعي عليه</w:t>
      </w:r>
      <w:r>
        <w:rPr>
          <w:rFonts w:hint="cs"/>
          <w:color w:val="000000"/>
          <w:rtl/>
          <w:lang w:bidi="ar-EG"/>
        </w:rPr>
        <w:t xml:space="preserve"> ،</w:t>
      </w:r>
      <w:r w:rsidRPr="00315653">
        <w:rPr>
          <w:rFonts w:hint="cs"/>
          <w:color w:val="000000"/>
          <w:rtl/>
          <w:lang w:bidi="ar-EG"/>
        </w:rPr>
        <w:t xml:space="preserve"> وفي الإثبات فتثبت الكفالة بالنسبة إلى الكفيل بالطرق المدنية في الإثبات فتجب الكتابة أو ما يقوم مقامها إذا كان التزام الكفيل أكثر من عشرين جنيها</w:t>
      </w:r>
      <w:r>
        <w:rPr>
          <w:rFonts w:hint="cs"/>
          <w:color w:val="000000"/>
          <w:rtl/>
          <w:lang w:bidi="ar-EG"/>
        </w:rPr>
        <w:t xml:space="preserve"> ،</w:t>
      </w:r>
      <w:r w:rsidRPr="00315653">
        <w:rPr>
          <w:rFonts w:hint="cs"/>
          <w:color w:val="000000"/>
          <w:rtl/>
          <w:lang w:bidi="ar-EG"/>
        </w:rPr>
        <w:t xml:space="preserve"> وفي سعر الفائدة فتحسب الفوائد التأخيرية على الكفيل بالسعر </w:t>
      </w:r>
      <w:r w:rsidRPr="00315653">
        <w:rPr>
          <w:rFonts w:hint="cs"/>
          <w:color w:val="000000"/>
          <w:rtl/>
          <w:lang w:bidi="ar-EG"/>
        </w:rPr>
        <w:lastRenderedPageBreak/>
        <w:t xml:space="preserve">المدنية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لا بالسعر التجاري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15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والنص سالف الذكر </w:t>
      </w:r>
      <w:r>
        <w:rPr>
          <w:rFonts w:hint="cs"/>
          <w:color w:val="000000"/>
          <w:rtl/>
          <w:lang w:bidi="ar-EG"/>
        </w:rPr>
        <w:t xml:space="preserve">( </w:t>
      </w:r>
      <w:r w:rsidRPr="00315653">
        <w:rPr>
          <w:rFonts w:hint="cs"/>
          <w:color w:val="000000"/>
          <w:rtl/>
          <w:lang w:bidi="ar-EG"/>
        </w:rPr>
        <w:t>م 779 مدني</w:t>
      </w:r>
      <w:r>
        <w:rPr>
          <w:rFonts w:hint="cs"/>
          <w:color w:val="000000"/>
          <w:rtl/>
          <w:lang w:bidi="ar-EG"/>
        </w:rPr>
        <w:t xml:space="preserve"> )</w:t>
      </w:r>
      <w:r w:rsidRPr="00315653">
        <w:rPr>
          <w:rFonts w:hint="cs"/>
          <w:color w:val="000000"/>
          <w:rtl/>
          <w:lang w:bidi="ar-EG"/>
        </w:rPr>
        <w:t xml:space="preserve"> لم يورد إلا استثنائين للقاعدة التي تقضي بأن الأصل في الكفالة أن تكون عملا مدنياً</w:t>
      </w:r>
      <w:r>
        <w:rPr>
          <w:rFonts w:hint="cs"/>
          <w:color w:val="000000"/>
          <w:rtl/>
          <w:lang w:bidi="ar-EG"/>
        </w:rPr>
        <w:t xml:space="preserve"> ،</w:t>
      </w:r>
      <w:r w:rsidRPr="00315653">
        <w:rPr>
          <w:rFonts w:hint="cs"/>
          <w:color w:val="000000"/>
          <w:rtl/>
          <w:lang w:bidi="ar-EG"/>
        </w:rPr>
        <w:t xml:space="preserve"> فتكون الكفالة تجارية في القانون في الحالتين الآتيتين</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Pr>
          <w:rFonts w:hint="cs"/>
          <w:color w:val="000000"/>
          <w:rtl/>
          <w:lang w:bidi="ar-EG"/>
        </w:rPr>
        <w:t xml:space="preserve">( </w:t>
      </w:r>
      <w:r w:rsidRPr="00315653">
        <w:rPr>
          <w:rFonts w:hint="cs"/>
          <w:color w:val="000000"/>
          <w:rtl/>
          <w:lang w:bidi="ar-EG"/>
        </w:rPr>
        <w:t>أولا</w:t>
      </w:r>
      <w:r>
        <w:rPr>
          <w:rFonts w:hint="cs"/>
          <w:color w:val="000000"/>
          <w:rtl/>
          <w:lang w:bidi="ar-EG"/>
        </w:rPr>
        <w:t xml:space="preserve"> )</w:t>
      </w:r>
      <w:r w:rsidRPr="00315653">
        <w:rPr>
          <w:rFonts w:hint="cs"/>
          <w:color w:val="000000"/>
          <w:rtl/>
          <w:lang w:bidi="ar-EG"/>
        </w:rPr>
        <w:t xml:space="preserve"> إذا كانت الكفالة ناشئة عن ضمان الأوراق التجارية ضماناً احتياطياً </w:t>
      </w:r>
      <w:r>
        <w:rPr>
          <w:color w:val="000000"/>
          <w:rtl/>
          <w:lang w:bidi="ar-EG"/>
        </w:rPr>
        <w:t xml:space="preserve">( </w:t>
      </w:r>
      <w:r w:rsidRPr="00315653">
        <w:rPr>
          <w:color w:val="000000"/>
          <w:lang w:bidi="ar-EG"/>
        </w:rPr>
        <w:t>aval</w:t>
      </w:r>
      <w:r>
        <w:rPr>
          <w:color w:val="000000"/>
          <w:rtl/>
          <w:lang w:bidi="ar-EG"/>
        </w:rPr>
        <w:t xml:space="preserve"> )</w:t>
      </w:r>
      <w:r>
        <w:rPr>
          <w:rFonts w:hint="cs"/>
          <w:color w:val="000000"/>
          <w:rtl/>
        </w:rPr>
        <w:t xml:space="preserve"> .</w:t>
      </w:r>
      <w:r w:rsidRPr="00315653">
        <w:rPr>
          <w:rFonts w:hint="cs"/>
          <w:color w:val="000000"/>
          <w:rtl/>
        </w:rPr>
        <w:t xml:space="preserve"> والأوراق التجارية هي الكمبيالة والسند الإذني والشيك</w:t>
      </w:r>
      <w:r>
        <w:rPr>
          <w:rFonts w:hint="cs"/>
          <w:color w:val="000000"/>
          <w:rtl/>
        </w:rPr>
        <w:t xml:space="preserve"> .</w:t>
      </w:r>
      <w:r w:rsidRPr="00315653">
        <w:rPr>
          <w:rFonts w:hint="cs"/>
          <w:color w:val="000000"/>
          <w:rtl/>
        </w:rPr>
        <w:t xml:space="preserve"> ونصوص التقنين التجاري في هذه المسألة</w:t>
      </w:r>
      <w:r>
        <w:rPr>
          <w:rFonts w:hint="cs"/>
          <w:color w:val="000000"/>
          <w:rtl/>
        </w:rPr>
        <w:t xml:space="preserve"> ،</w:t>
      </w:r>
      <w:r w:rsidRPr="00315653">
        <w:rPr>
          <w:rFonts w:hint="cs"/>
          <w:color w:val="000000"/>
          <w:rtl/>
        </w:rPr>
        <w:t xml:space="preserve"> وهي لا تسري فحسب على الكمبيالة بل أيضاً على السند الإذني والشيك</w:t>
      </w:r>
      <w:r>
        <w:rPr>
          <w:rFonts w:hint="cs"/>
          <w:color w:val="000000"/>
          <w:rtl/>
        </w:rPr>
        <w:t xml:space="preserve"> ،</w:t>
      </w:r>
      <w:r w:rsidRPr="00315653">
        <w:rPr>
          <w:rFonts w:hint="cs"/>
          <w:color w:val="000000"/>
          <w:rtl/>
        </w:rPr>
        <w:t xml:space="preserve"> هي</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1</w:t>
      </w:r>
      <w:r>
        <w:rPr>
          <w:rFonts w:hint="cs"/>
          <w:color w:val="000000"/>
          <w:rtl/>
        </w:rPr>
        <w:t xml:space="preserve"> )</w:t>
      </w:r>
      <w:r w:rsidRPr="00315653">
        <w:rPr>
          <w:rFonts w:hint="cs"/>
          <w:color w:val="000000"/>
          <w:rtl/>
        </w:rPr>
        <w:t xml:space="preserve"> م 138 تجاري</w:t>
      </w:r>
      <w:r>
        <w:rPr>
          <w:rFonts w:hint="cs"/>
          <w:color w:val="000000"/>
          <w:rtl/>
        </w:rPr>
        <w:t xml:space="preserve"> ،</w:t>
      </w:r>
      <w:r w:rsidRPr="00315653">
        <w:rPr>
          <w:rFonts w:hint="cs"/>
          <w:color w:val="000000"/>
          <w:rtl/>
        </w:rPr>
        <w:t xml:space="preserve"> $69 وتنص على أن "دفع قيمة الكمبيالة</w:t>
      </w:r>
      <w:r>
        <w:rPr>
          <w:rFonts w:hint="cs"/>
          <w:color w:val="000000"/>
          <w:rtl/>
        </w:rPr>
        <w:t xml:space="preserve"> ،</w:t>
      </w:r>
      <w:r w:rsidRPr="00315653">
        <w:rPr>
          <w:rFonts w:hint="cs"/>
          <w:color w:val="000000"/>
          <w:rtl/>
        </w:rPr>
        <w:t xml:space="preserve"> فضلا عن كونه مضموناً بقبولها وتحويلها</w:t>
      </w:r>
      <w:r>
        <w:rPr>
          <w:rFonts w:hint="cs"/>
          <w:color w:val="000000"/>
          <w:rtl/>
        </w:rPr>
        <w:t xml:space="preserve"> ،</w:t>
      </w:r>
      <w:r w:rsidRPr="00315653">
        <w:rPr>
          <w:rFonts w:hint="cs"/>
          <w:color w:val="000000"/>
          <w:rtl/>
        </w:rPr>
        <w:t xml:space="preserve"> يجوز ضمانه من شخص آخر ضماناً احتياطياً</w:t>
      </w:r>
      <w:r>
        <w:rPr>
          <w:rFonts w:hint="cs"/>
          <w:color w:val="000000"/>
          <w:rtl/>
        </w:rPr>
        <w:t xml:space="preserve"> ،</w:t>
      </w:r>
      <w:r w:rsidRPr="00315653">
        <w:rPr>
          <w:rFonts w:hint="cs"/>
          <w:color w:val="000000"/>
          <w:rtl/>
        </w:rPr>
        <w:t xml:space="preserve"> ويكون ذلك بكتابة على ذلك الكمبيالة أو في ورقة مستقلة أو بمخاطبة"</w:t>
      </w:r>
      <w:r>
        <w:rPr>
          <w:rFonts w:hint="cs"/>
          <w:color w:val="000000"/>
          <w:rtl/>
        </w:rPr>
        <w:t xml:space="preserve"> .</w:t>
      </w:r>
      <w:r w:rsidRPr="00315653">
        <w:rPr>
          <w:rFonts w:hint="cs"/>
          <w:color w:val="000000"/>
          <w:rtl/>
        </w:rPr>
        <w:t xml:space="preserve"> 2- م 139 تجاري</w:t>
      </w:r>
      <w:r>
        <w:rPr>
          <w:rFonts w:hint="cs"/>
          <w:color w:val="000000"/>
          <w:rtl/>
        </w:rPr>
        <w:t xml:space="preserve"> ،</w:t>
      </w:r>
      <w:r w:rsidRPr="00315653">
        <w:rPr>
          <w:rFonts w:hint="cs"/>
          <w:color w:val="000000"/>
          <w:rtl/>
        </w:rPr>
        <w:t xml:space="preserve"> وتنص على أن "الضمان الاحتياطي يكون عن الساحب أو المحيل</w:t>
      </w:r>
      <w:r>
        <w:rPr>
          <w:rFonts w:hint="cs"/>
          <w:color w:val="000000"/>
          <w:rtl/>
        </w:rPr>
        <w:t xml:space="preserve"> ،</w:t>
      </w:r>
      <w:r w:rsidRPr="00315653">
        <w:rPr>
          <w:rFonts w:hint="cs"/>
          <w:color w:val="000000"/>
          <w:rtl/>
        </w:rPr>
        <w:t xml:space="preserve"> ويلزم الضامن احتياطاً بالوفاء على وجه التضامن بالأوجه التي يلزم المضمون على سحبها</w:t>
      </w:r>
      <w:r>
        <w:rPr>
          <w:rFonts w:hint="cs"/>
          <w:color w:val="000000"/>
          <w:rtl/>
        </w:rPr>
        <w:t xml:space="preserve"> ،</w:t>
      </w:r>
      <w:r w:rsidRPr="00315653">
        <w:rPr>
          <w:rFonts w:hint="cs"/>
          <w:color w:val="000000"/>
          <w:rtl/>
        </w:rPr>
        <w:t xml:space="preserve"> ما لم توجد شروط خلاف ذلك بين المتعاقدين"</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3</w:t>
      </w:r>
      <w:r>
        <w:rPr>
          <w:rFonts w:hint="cs"/>
          <w:color w:val="000000"/>
          <w:rtl/>
        </w:rPr>
        <w:t xml:space="preserve"> )</w:t>
      </w:r>
      <w:r w:rsidRPr="00315653">
        <w:rPr>
          <w:rFonts w:hint="cs"/>
          <w:color w:val="000000"/>
          <w:rtl/>
        </w:rPr>
        <w:t xml:space="preserve"> م 140 تجاري</w:t>
      </w:r>
      <w:r>
        <w:rPr>
          <w:rFonts w:hint="cs"/>
          <w:color w:val="000000"/>
          <w:rtl/>
        </w:rPr>
        <w:t xml:space="preserve"> ،</w:t>
      </w:r>
      <w:r w:rsidRPr="00315653">
        <w:rPr>
          <w:rFonts w:hint="cs"/>
          <w:color w:val="000000"/>
          <w:rtl/>
        </w:rPr>
        <w:t xml:space="preserve"> وتنص على أنه "لا يجوز تضامن ساحب الكمبيالة ضماناً احتياطياً أن يحتج بعدم عمل البروتستو</w:t>
      </w:r>
      <w:r>
        <w:rPr>
          <w:rFonts w:hint="cs"/>
          <w:color w:val="000000"/>
          <w:rtl/>
        </w:rPr>
        <w:t xml:space="preserve"> ،</w:t>
      </w:r>
      <w:r w:rsidRPr="00315653">
        <w:rPr>
          <w:rFonts w:hint="cs"/>
          <w:color w:val="000000"/>
          <w:rtl/>
        </w:rPr>
        <w:t xml:space="preserve"> إلا في الحالة التي يسوغ فيها للساحب الاحتجاج به"</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4</w:t>
      </w:r>
      <w:r>
        <w:rPr>
          <w:rFonts w:hint="cs"/>
          <w:color w:val="000000"/>
          <w:rtl/>
        </w:rPr>
        <w:t xml:space="preserve"> )</w:t>
      </w:r>
      <w:r w:rsidRPr="00315653">
        <w:rPr>
          <w:rFonts w:hint="cs"/>
          <w:color w:val="000000"/>
          <w:rtl/>
        </w:rPr>
        <w:t xml:space="preserve"> م 141 تجاري</w:t>
      </w:r>
      <w:r>
        <w:rPr>
          <w:rFonts w:hint="cs"/>
          <w:color w:val="000000"/>
          <w:rtl/>
        </w:rPr>
        <w:t xml:space="preserve"> ،</w:t>
      </w:r>
      <w:r w:rsidRPr="00315653">
        <w:rPr>
          <w:rFonts w:hint="cs"/>
          <w:color w:val="000000"/>
          <w:rtl/>
        </w:rPr>
        <w:t xml:space="preserve"> وتنص على أنه "يلزم إعلان البروتستو إلى ضامن محيل الكمبيالة ضماناً احتياطياً</w:t>
      </w:r>
      <w:r>
        <w:rPr>
          <w:rFonts w:hint="cs"/>
          <w:color w:val="000000"/>
          <w:rtl/>
        </w:rPr>
        <w:t xml:space="preserve"> ،</w:t>
      </w:r>
      <w:r w:rsidRPr="00315653">
        <w:rPr>
          <w:rFonts w:hint="cs"/>
          <w:color w:val="000000"/>
          <w:rtl/>
        </w:rPr>
        <w:t xml:space="preserve"> كما يلزم إعلانه لنفس المحل المذكور</w:t>
      </w:r>
      <w:r>
        <w:rPr>
          <w:rFonts w:hint="cs"/>
          <w:color w:val="000000"/>
          <w:rtl/>
        </w:rPr>
        <w:t xml:space="preserve"> ،</w:t>
      </w:r>
      <w:r w:rsidRPr="00315653">
        <w:rPr>
          <w:rFonts w:hint="cs"/>
          <w:color w:val="000000"/>
          <w:rtl/>
        </w:rPr>
        <w:t xml:space="preserve"> وإن لم يحصل ذلك سقط حق الرجوع على الضامن"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ولا حاجة إلى شرح هذه النصوص</w:t>
      </w:r>
      <w:r>
        <w:rPr>
          <w:rFonts w:hint="cs"/>
          <w:color w:val="000000"/>
          <w:rtl/>
        </w:rPr>
        <w:t xml:space="preserve"> ،</w:t>
      </w:r>
      <w:r w:rsidRPr="00315653">
        <w:rPr>
          <w:rFonts w:hint="cs"/>
          <w:color w:val="000000"/>
          <w:rtl/>
        </w:rPr>
        <w:t xml:space="preserve"> فهذا من مباحث القانون التجاري</w:t>
      </w:r>
      <w:r>
        <w:rPr>
          <w:rFonts w:hint="cs"/>
          <w:color w:val="000000"/>
          <w:rtl/>
        </w:rPr>
        <w:t xml:space="preserve"> .</w:t>
      </w:r>
      <w:r w:rsidRPr="00315653">
        <w:rPr>
          <w:rFonts w:hint="cs"/>
          <w:color w:val="000000"/>
          <w:rtl/>
        </w:rPr>
        <w:t xml:space="preserve"> ويكفي هنا أن نقول أن التزام الضامن الاحتياطي </w:t>
      </w:r>
      <w:r>
        <w:rPr>
          <w:color w:val="000000"/>
          <w:rtl/>
        </w:rPr>
        <w:t xml:space="preserve">( </w:t>
      </w:r>
      <w:r w:rsidRPr="00315653">
        <w:rPr>
          <w:color w:val="000000"/>
        </w:rPr>
        <w:t>aval</w:t>
      </w:r>
      <w:r>
        <w:rPr>
          <w:color w:val="000000"/>
          <w:rtl/>
        </w:rPr>
        <w:t xml:space="preserve"> )</w:t>
      </w:r>
      <w:r>
        <w:rPr>
          <w:rFonts w:hint="cs"/>
          <w:color w:val="000000"/>
          <w:rtl/>
        </w:rPr>
        <w:t xml:space="preserve"> ،</w:t>
      </w:r>
      <w:r w:rsidRPr="00315653">
        <w:rPr>
          <w:rFonts w:hint="cs"/>
          <w:color w:val="000000"/>
          <w:rtl/>
        </w:rPr>
        <w:t xml:space="preserve"> وهو كفيل للساحب أو للمحيل</w:t>
      </w:r>
      <w:r>
        <w:rPr>
          <w:rFonts w:hint="cs"/>
          <w:color w:val="000000"/>
          <w:rtl/>
        </w:rPr>
        <w:t xml:space="preserve"> ،</w:t>
      </w:r>
      <w:r w:rsidRPr="00315653">
        <w:rPr>
          <w:rFonts w:hint="cs"/>
          <w:color w:val="000000"/>
          <w:rtl/>
        </w:rPr>
        <w:t xml:space="preserve"> يعتبر التزاماً تجارياً لا التزاماً مدنياً</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Pr>
          <w:rFonts w:hint="cs"/>
          <w:color w:val="000000"/>
          <w:rtl/>
        </w:rPr>
        <w:t xml:space="preserve">( </w:t>
      </w:r>
      <w:r w:rsidRPr="00315653">
        <w:rPr>
          <w:rFonts w:hint="cs"/>
          <w:color w:val="000000"/>
          <w:rtl/>
        </w:rPr>
        <w:t>ثانياً</w:t>
      </w:r>
      <w:r>
        <w:rPr>
          <w:rFonts w:hint="cs"/>
          <w:color w:val="000000"/>
          <w:rtl/>
        </w:rPr>
        <w:t xml:space="preserve"> )</w:t>
      </w:r>
      <w:r w:rsidRPr="00315653">
        <w:rPr>
          <w:rFonts w:hint="cs"/>
          <w:color w:val="000000"/>
          <w:rtl/>
        </w:rPr>
        <w:t xml:space="preserve"> إذا كانت الكفالة ناشئة عن تظهير </w:t>
      </w:r>
      <w:r>
        <w:rPr>
          <w:color w:val="000000"/>
          <w:rtl/>
        </w:rPr>
        <w:t xml:space="preserve">( </w:t>
      </w:r>
      <w:r w:rsidRPr="00315653">
        <w:rPr>
          <w:color w:val="000000"/>
        </w:rPr>
        <w:t>endossement</w:t>
      </w:r>
      <w:r>
        <w:rPr>
          <w:color w:val="000000"/>
          <w:rtl/>
        </w:rPr>
        <w:t xml:space="preserve"> )</w:t>
      </w:r>
      <w:r>
        <w:rPr>
          <w:rFonts w:hint="cs"/>
          <w:color w:val="000000"/>
          <w:rtl/>
        </w:rPr>
        <w:t xml:space="preserve"> ،</w:t>
      </w:r>
      <w:r w:rsidRPr="00315653">
        <w:rPr>
          <w:rFonts w:hint="cs"/>
          <w:color w:val="000000"/>
          <w:rtl/>
        </w:rPr>
        <w:t xml:space="preserve"> الأوراق التجارية</w:t>
      </w:r>
      <w:r>
        <w:rPr>
          <w:rFonts w:hint="cs"/>
          <w:color w:val="000000"/>
          <w:rtl/>
        </w:rPr>
        <w:t xml:space="preserve"> ،</w:t>
      </w:r>
      <w:r w:rsidRPr="00315653">
        <w:rPr>
          <w:rFonts w:hint="cs"/>
          <w:color w:val="000000"/>
          <w:rtl/>
        </w:rPr>
        <w:t xml:space="preserve"> وذلك في تحويل الأوراق التجارية الإذنية</w:t>
      </w:r>
      <w:r>
        <w:rPr>
          <w:rFonts w:hint="cs"/>
          <w:color w:val="000000"/>
          <w:rtl/>
        </w:rPr>
        <w:t xml:space="preserve"> .</w:t>
      </w:r>
      <w:r w:rsidRPr="00315653">
        <w:rPr>
          <w:rFonts w:hint="cs"/>
          <w:color w:val="000000"/>
          <w:rtl/>
        </w:rPr>
        <w:t xml:space="preserve"> ونصوص التفتيش التجاري في هذه المسألة</w:t>
      </w:r>
      <w:r>
        <w:rPr>
          <w:rFonts w:hint="cs"/>
          <w:color w:val="000000"/>
          <w:rtl/>
        </w:rPr>
        <w:t xml:space="preserve"> ،</w:t>
      </w:r>
      <w:r w:rsidRPr="00315653">
        <w:rPr>
          <w:rFonts w:hint="cs"/>
          <w:color w:val="000000"/>
          <w:rtl/>
        </w:rPr>
        <w:t xml:space="preserve"> وهي لا تسري فحسب على الكمبيالة بل أيضاً على السند الإذني والشيك</w:t>
      </w:r>
      <w:r>
        <w:rPr>
          <w:rFonts w:hint="cs"/>
          <w:color w:val="000000"/>
          <w:rtl/>
        </w:rPr>
        <w:t xml:space="preserve"> ،</w:t>
      </w:r>
      <w:r w:rsidRPr="00315653">
        <w:rPr>
          <w:rFonts w:hint="cs"/>
          <w:color w:val="000000"/>
          <w:rtl/>
        </w:rPr>
        <w:t xml:space="preserve"> هي</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1</w:t>
      </w:r>
      <w:r>
        <w:rPr>
          <w:rFonts w:hint="cs"/>
          <w:color w:val="000000"/>
          <w:rtl/>
        </w:rPr>
        <w:t xml:space="preserve"> )</w:t>
      </w:r>
      <w:r w:rsidRPr="00315653">
        <w:rPr>
          <w:rFonts w:hint="cs"/>
          <w:color w:val="000000"/>
          <w:rtl/>
        </w:rPr>
        <w:t xml:space="preserve"> م 133 تجاري</w:t>
      </w:r>
      <w:r>
        <w:rPr>
          <w:rFonts w:hint="cs"/>
          <w:color w:val="000000"/>
          <w:rtl/>
        </w:rPr>
        <w:t xml:space="preserve"> ،</w:t>
      </w:r>
      <w:r w:rsidRPr="00315653">
        <w:rPr>
          <w:rFonts w:hint="cs"/>
          <w:color w:val="000000"/>
          <w:rtl/>
        </w:rPr>
        <w:t xml:space="preserve"> وتنص على أن "الكمبيالة المحررة لحاملها تنتقل ملكيتها بمجرد تسليمها</w:t>
      </w:r>
      <w:r>
        <w:rPr>
          <w:rFonts w:hint="cs"/>
          <w:color w:val="000000"/>
          <w:rtl/>
        </w:rPr>
        <w:t xml:space="preserve"> .</w:t>
      </w:r>
      <w:r w:rsidRPr="00315653">
        <w:rPr>
          <w:rFonts w:hint="cs"/>
          <w:color w:val="000000"/>
          <w:rtl/>
        </w:rPr>
        <w:t xml:space="preserve"> أما ملكية الكمبيالة التي يكون دفعها تحت الإذن</w:t>
      </w:r>
      <w:r>
        <w:rPr>
          <w:rFonts w:hint="cs"/>
          <w:color w:val="000000"/>
          <w:rtl/>
        </w:rPr>
        <w:t xml:space="preserve"> ،</w:t>
      </w:r>
      <w:r w:rsidRPr="00315653">
        <w:rPr>
          <w:rFonts w:hint="cs"/>
          <w:color w:val="000000"/>
          <w:rtl/>
        </w:rPr>
        <w:t xml:space="preserve"> فتنتقل بالتحويل"</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2</w:t>
      </w:r>
      <w:r>
        <w:rPr>
          <w:rFonts w:hint="cs"/>
          <w:color w:val="000000"/>
          <w:rtl/>
        </w:rPr>
        <w:t xml:space="preserve"> )</w:t>
      </w:r>
      <w:r w:rsidRPr="00315653">
        <w:rPr>
          <w:rFonts w:hint="cs"/>
          <w:color w:val="000000"/>
          <w:rtl/>
        </w:rPr>
        <w:t xml:space="preserve"> م 137 تجاري</w:t>
      </w:r>
      <w:r>
        <w:rPr>
          <w:rFonts w:hint="cs"/>
          <w:color w:val="000000"/>
          <w:rtl/>
        </w:rPr>
        <w:t xml:space="preserve"> ،</w:t>
      </w:r>
      <w:r w:rsidRPr="00315653">
        <w:rPr>
          <w:rFonts w:hint="cs"/>
          <w:color w:val="000000"/>
          <w:rtl/>
        </w:rPr>
        <w:t xml:space="preserve"> وتنص على أن "ساحب الكمبيالة وقابلها ومحيلها ملزمون لحاملها بالوفاء على وجه التضامن"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ولا حاجة هنا أيضاً إلى شرح هذه النصوص</w:t>
      </w:r>
      <w:r>
        <w:rPr>
          <w:rFonts w:hint="cs"/>
          <w:color w:val="000000"/>
          <w:rtl/>
        </w:rPr>
        <w:t xml:space="preserve"> ،</w:t>
      </w:r>
      <w:r w:rsidRPr="00315653">
        <w:rPr>
          <w:rFonts w:hint="cs"/>
          <w:color w:val="000000"/>
          <w:rtl/>
        </w:rPr>
        <w:t xml:space="preserve"> فهذا من مباحث القانون التجاري</w:t>
      </w:r>
      <w:r>
        <w:rPr>
          <w:rFonts w:hint="cs"/>
          <w:color w:val="000000"/>
          <w:rtl/>
        </w:rPr>
        <w:t xml:space="preserve"> .</w:t>
      </w:r>
      <w:r w:rsidRPr="00315653">
        <w:rPr>
          <w:rFonts w:hint="cs"/>
          <w:color w:val="000000"/>
          <w:rtl/>
        </w:rPr>
        <w:t xml:space="preserve"> ويكفي هنا أن نقول عن الورقة التجارية الإذنية تنتقل ملكيتها بالتحويل</w:t>
      </w:r>
      <w:r>
        <w:rPr>
          <w:rFonts w:hint="cs"/>
          <w:color w:val="000000"/>
          <w:rtl/>
        </w:rPr>
        <w:t xml:space="preserve"> ،</w:t>
      </w:r>
      <w:r w:rsidRPr="00315653">
        <w:rPr>
          <w:rFonts w:hint="cs"/>
          <w:color w:val="000000"/>
          <w:rtl/>
        </w:rPr>
        <w:t xml:space="preserve"> والتحويل يتم بالتظهير</w:t>
      </w:r>
      <w:r>
        <w:rPr>
          <w:rFonts w:hint="cs"/>
          <w:color w:val="000000"/>
          <w:rtl/>
        </w:rPr>
        <w:t xml:space="preserve"> .</w:t>
      </w:r>
      <w:r w:rsidRPr="00315653">
        <w:rPr>
          <w:rFonts w:hint="cs"/>
          <w:color w:val="000000"/>
          <w:rtl/>
        </w:rPr>
        <w:t xml:space="preserve"> وكل محيل للورقة التجارية الإذنية يعتبر $70 كفيلا بالتضامن مع المدين</w:t>
      </w:r>
      <w:r>
        <w:rPr>
          <w:rFonts w:hint="cs"/>
          <w:color w:val="000000"/>
          <w:rtl/>
        </w:rPr>
        <w:t xml:space="preserve"> ،</w:t>
      </w:r>
      <w:r w:rsidRPr="00315653">
        <w:rPr>
          <w:rFonts w:hint="cs"/>
          <w:color w:val="000000"/>
          <w:rtl/>
        </w:rPr>
        <w:t xml:space="preserve"> والالتزام الذي يترتب في ذمته باعتباره كفيلا يعتبر التزاماً تجارياً لا التزاماً مدنياً</w:t>
      </w:r>
      <w:r>
        <w:rPr>
          <w:rFonts w:hint="cs"/>
          <w:color w:val="000000"/>
          <w:vertAlign w:val="superscript"/>
          <w:rtl/>
          <w:lang w:bidi="ar-EG"/>
        </w:rPr>
        <w:t xml:space="preserve">( </w:t>
      </w:r>
      <w:r w:rsidRPr="00315653">
        <w:rPr>
          <w:rStyle w:val="ab"/>
          <w:color w:val="000000"/>
          <w:rtl/>
          <w:lang w:bidi="ar-EG"/>
        </w:rPr>
        <w:footnoteReference w:id="15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sz w:val="40"/>
          <w:szCs w:val="44"/>
          <w:rtl/>
          <w:lang w:bidi="ar-EG"/>
        </w:rPr>
      </w:pPr>
      <w:r w:rsidRPr="00315653">
        <w:rPr>
          <w:color w:val="000000"/>
          <w:rtl/>
          <w:lang w:bidi="ar-EG"/>
        </w:rPr>
        <w:br w:type="page"/>
      </w:r>
      <w:r w:rsidRPr="00315653">
        <w:rPr>
          <w:rFonts w:hint="cs"/>
          <w:b/>
          <w:bCs/>
          <w:color w:val="000000"/>
          <w:sz w:val="40"/>
          <w:szCs w:val="44"/>
          <w:rtl/>
          <w:lang w:bidi="ar-EG"/>
        </w:rPr>
        <w:lastRenderedPageBreak/>
        <w:t>المبحث الثاني</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الاتفاق بين الكفيل والدائن</w:t>
      </w:r>
    </w:p>
    <w:p w:rsidR="00F72742" w:rsidRPr="00315653" w:rsidRDefault="00F72742" w:rsidP="00F72742">
      <w:pPr>
        <w:widowControl w:val="0"/>
        <w:spacing w:after="120"/>
        <w:jc w:val="center"/>
        <w:rPr>
          <w:rFonts w:hint="cs"/>
          <w:color w:val="000000"/>
          <w:rtl/>
        </w:rPr>
      </w:pPr>
      <w:r>
        <w:rPr>
          <w:rFonts w:hint="cs"/>
          <w:color w:val="000000"/>
          <w:rtl/>
          <w:lang w:bidi="ar-EG"/>
        </w:rPr>
        <w:t xml:space="preserve">( </w:t>
      </w:r>
      <w:r w:rsidRPr="00315653">
        <w:rPr>
          <w:rFonts w:hint="cs"/>
          <w:color w:val="000000"/>
          <w:rtl/>
          <w:lang w:bidi="ar-EG"/>
        </w:rPr>
        <w:t>عقد الكفالة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28- طرفا الكفالة الكفيل والدائن دون المدين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775 مدني على ما يأتي</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"تجوز كفالة المدين بغير علمه</w:t>
      </w:r>
      <w:r>
        <w:rPr>
          <w:rFonts w:hint="cs"/>
          <w:color w:val="000000"/>
          <w:rtl/>
          <w:lang w:bidi="ar-EG"/>
        </w:rPr>
        <w:t xml:space="preserve"> ،</w:t>
      </w:r>
      <w:r w:rsidRPr="00315653">
        <w:rPr>
          <w:rFonts w:hint="cs"/>
          <w:color w:val="000000"/>
          <w:rtl/>
          <w:lang w:bidi="ar-EG"/>
        </w:rPr>
        <w:t xml:space="preserve"> ويجوز أيضاً رغم معارضته"</w:t>
      </w:r>
      <w:r>
        <w:rPr>
          <w:rFonts w:hint="cs"/>
          <w:color w:val="000000"/>
          <w:vertAlign w:val="superscript"/>
          <w:rtl/>
          <w:lang w:bidi="ar-EG"/>
        </w:rPr>
        <w:t xml:space="preserve">( </w:t>
      </w:r>
      <w:r w:rsidRPr="00315653">
        <w:rPr>
          <w:rStyle w:val="ab"/>
          <w:color w:val="000000"/>
          <w:rtl/>
          <w:lang w:bidi="ar-EG"/>
        </w:rPr>
        <w:footnoteReference w:id="16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$71 والسبب في ذلك أن الكفالة عقد طرفاه الكفيل والدائن</w:t>
      </w:r>
      <w:r>
        <w:rPr>
          <w:rFonts w:hint="cs"/>
          <w:color w:val="000000"/>
          <w:rtl/>
          <w:lang w:bidi="ar-EG"/>
        </w:rPr>
        <w:t xml:space="preserve"> ،</w:t>
      </w:r>
      <w:r w:rsidRPr="00315653">
        <w:rPr>
          <w:rFonts w:hint="cs"/>
          <w:color w:val="000000"/>
          <w:rtl/>
          <w:lang w:bidi="ar-EG"/>
        </w:rPr>
        <w:t xml:space="preserve"> أما المدين فليس طرفاً فيه</w:t>
      </w:r>
      <w:r>
        <w:rPr>
          <w:rFonts w:hint="cs"/>
          <w:color w:val="000000"/>
          <w:rtl/>
          <w:lang w:bidi="ar-EG"/>
        </w:rPr>
        <w:t xml:space="preserve"> .</w:t>
      </w:r>
      <w:r w:rsidRPr="00315653">
        <w:rPr>
          <w:rFonts w:hint="cs"/>
          <w:color w:val="000000"/>
          <w:rtl/>
          <w:lang w:bidi="ar-EG"/>
        </w:rPr>
        <w:t xml:space="preserve"> فالمطلوب إذن هو رضاء الكفيل والدائن طرفي العقد</w:t>
      </w:r>
      <w:r>
        <w:rPr>
          <w:rFonts w:hint="cs"/>
          <w:color w:val="000000"/>
          <w:rtl/>
          <w:lang w:bidi="ar-EG"/>
        </w:rPr>
        <w:t xml:space="preserve"> ،</w:t>
      </w:r>
      <w:r w:rsidRPr="00315653">
        <w:rPr>
          <w:rFonts w:hint="cs"/>
          <w:color w:val="000000"/>
          <w:rtl/>
          <w:lang w:bidi="ar-EG"/>
        </w:rPr>
        <w:t xml:space="preserve"> ولا حاجة إلى رضاء المدين</w:t>
      </w:r>
      <w:r>
        <w:rPr>
          <w:rFonts w:hint="cs"/>
          <w:color w:val="000000"/>
          <w:rtl/>
          <w:lang w:bidi="ar-EG"/>
        </w:rPr>
        <w:t xml:space="preserve"> .</w:t>
      </w:r>
      <w:r w:rsidRPr="00315653">
        <w:rPr>
          <w:rFonts w:hint="cs"/>
          <w:color w:val="000000"/>
          <w:rtl/>
          <w:lang w:bidi="ar-EG"/>
        </w:rPr>
        <w:t xml:space="preserve"> وتقول المذكرة الإيضاحية للمشروع التمهيدي في هذا المعنى</w:t>
      </w:r>
      <w:r>
        <w:rPr>
          <w:rFonts w:hint="cs"/>
          <w:color w:val="000000"/>
          <w:rtl/>
          <w:lang w:bidi="ar-EG"/>
        </w:rPr>
        <w:t xml:space="preserve"> :</w:t>
      </w:r>
      <w:r w:rsidRPr="00315653">
        <w:rPr>
          <w:rFonts w:hint="cs"/>
          <w:color w:val="000000"/>
          <w:rtl/>
          <w:lang w:bidi="ar-EG"/>
        </w:rPr>
        <w:t xml:space="preserve"> "وهو حكم طبيعي تقتضيه القواعد العامة</w:t>
      </w:r>
      <w:r>
        <w:rPr>
          <w:rFonts w:hint="cs"/>
          <w:color w:val="000000"/>
          <w:rtl/>
          <w:lang w:bidi="ar-EG"/>
        </w:rPr>
        <w:t xml:space="preserve"> ،</w:t>
      </w:r>
      <w:r w:rsidRPr="00315653">
        <w:rPr>
          <w:rFonts w:hint="cs"/>
          <w:color w:val="000000"/>
          <w:rtl/>
          <w:lang w:bidi="ar-EG"/>
        </w:rPr>
        <w:t xml:space="preserve"> ما دامت الكفالة عقداً بين الكفيل والدائن يتم بمجرد توافق إرادتيهما</w:t>
      </w:r>
      <w:r>
        <w:rPr>
          <w:rFonts w:hint="cs"/>
          <w:color w:val="000000"/>
          <w:rtl/>
          <w:lang w:bidi="ar-EG"/>
        </w:rPr>
        <w:t xml:space="preserve"> ،</w:t>
      </w:r>
      <w:r w:rsidRPr="00315653">
        <w:rPr>
          <w:rFonts w:hint="cs"/>
          <w:color w:val="000000"/>
          <w:rtl/>
          <w:lang w:bidi="ar-EG"/>
        </w:rPr>
        <w:t xml:space="preserve"> دون حاجة </w:t>
      </w:r>
      <w:r w:rsidRPr="00315653">
        <w:rPr>
          <w:rFonts w:hint="cs"/>
          <w:color w:val="000000"/>
          <w:rtl/>
          <w:lang w:bidi="ar-EG"/>
        </w:rPr>
        <w:lastRenderedPageBreak/>
        <w:t>لرضاء المدين أو علمه"</w:t>
      </w:r>
      <w:r>
        <w:rPr>
          <w:rFonts w:hint="cs"/>
          <w:color w:val="000000"/>
          <w:vertAlign w:val="superscript"/>
          <w:rtl/>
          <w:lang w:bidi="ar-EG"/>
        </w:rPr>
        <w:t xml:space="preserve">( </w:t>
      </w:r>
      <w:r w:rsidRPr="00315653">
        <w:rPr>
          <w:rStyle w:val="ab"/>
          <w:color w:val="000000"/>
          <w:rtl/>
          <w:lang w:bidi="ar-EG"/>
        </w:rPr>
        <w:footnoteReference w:id="16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فقد تعقد الكفالة بين الكفيل والدائن</w:t>
      </w:r>
      <w:r>
        <w:rPr>
          <w:rFonts w:hint="cs"/>
          <w:color w:val="000000"/>
          <w:rtl/>
          <w:lang w:bidi="ar-EG"/>
        </w:rPr>
        <w:t xml:space="preserve"> ،</w:t>
      </w:r>
      <w:r w:rsidRPr="00315653">
        <w:rPr>
          <w:rFonts w:hint="cs"/>
          <w:color w:val="000000"/>
          <w:rtl/>
          <w:lang w:bidi="ar-EG"/>
        </w:rPr>
        <w:t xml:space="preserve"> وذلك دون إذن من المدين</w:t>
      </w:r>
      <w:r>
        <w:rPr>
          <w:rFonts w:hint="cs"/>
          <w:color w:val="000000"/>
          <w:rtl/>
          <w:lang w:bidi="ar-EG"/>
        </w:rPr>
        <w:t xml:space="preserve"> .</w:t>
      </w:r>
      <w:r w:rsidRPr="00315653">
        <w:rPr>
          <w:rFonts w:hint="cs"/>
          <w:color w:val="000000"/>
          <w:rtl/>
          <w:lang w:bidi="ar-EG"/>
        </w:rPr>
        <w:t xml:space="preserve"> بل قد تعقد الكفالة بين طرفيها</w:t>
      </w:r>
      <w:r>
        <w:rPr>
          <w:rFonts w:hint="cs"/>
          <w:color w:val="000000"/>
          <w:rtl/>
          <w:lang w:bidi="ar-EG"/>
        </w:rPr>
        <w:t xml:space="preserve"> ،</w:t>
      </w:r>
      <w:r w:rsidRPr="00315653">
        <w:rPr>
          <w:rFonts w:hint="cs"/>
          <w:color w:val="000000"/>
          <w:rtl/>
          <w:lang w:bidi="ar-EG"/>
        </w:rPr>
        <w:t xml:space="preserve"> دون علم المدين</w:t>
      </w:r>
      <w:r>
        <w:rPr>
          <w:rFonts w:hint="cs"/>
          <w:color w:val="000000"/>
          <w:rtl/>
          <w:lang w:bidi="ar-EG"/>
        </w:rPr>
        <w:t xml:space="preserve"> .</w:t>
      </w:r>
      <w:r w:rsidRPr="00315653">
        <w:rPr>
          <w:rFonts w:hint="cs"/>
          <w:color w:val="000000"/>
          <w:rtl/>
          <w:lang w:bidi="ar-EG"/>
        </w:rPr>
        <w:t xml:space="preserve"> وأخيراً قد تعقد الكفالة بين طرفيها</w:t>
      </w:r>
      <w:r>
        <w:rPr>
          <w:rFonts w:hint="cs"/>
          <w:color w:val="000000"/>
          <w:rtl/>
          <w:lang w:bidi="ar-EG"/>
        </w:rPr>
        <w:t xml:space="preserve"> ،</w:t>
      </w:r>
      <w:r w:rsidRPr="00315653">
        <w:rPr>
          <w:rFonts w:hint="cs"/>
          <w:color w:val="000000"/>
          <w:rtl/>
          <w:lang w:bidi="ar-EG"/>
        </w:rPr>
        <w:t xml:space="preserve"> وذلك بالرغم من معارضة المدين</w:t>
      </w:r>
      <w:r>
        <w:rPr>
          <w:rFonts w:hint="cs"/>
          <w:color w:val="000000"/>
          <w:rtl/>
          <w:lang w:bidi="ar-EG"/>
        </w:rPr>
        <w:t xml:space="preserve"> .</w:t>
      </w:r>
      <w:r w:rsidRPr="00315653">
        <w:rPr>
          <w:rFonts w:hint="cs"/>
          <w:color w:val="000000"/>
          <w:rtl/>
          <w:lang w:bidi="ar-EG"/>
        </w:rPr>
        <w:t xml:space="preserve"> والفرق ما بين هذه الصور المختلفة لا يكون في انعقاد الكفالة</w:t>
      </w:r>
      <w:r>
        <w:rPr>
          <w:rFonts w:hint="cs"/>
          <w:color w:val="000000"/>
          <w:rtl/>
          <w:lang w:bidi="ar-EG"/>
        </w:rPr>
        <w:t xml:space="preserve"> ،</w:t>
      </w:r>
      <w:r w:rsidRPr="00315653">
        <w:rPr>
          <w:rFonts w:hint="cs"/>
          <w:color w:val="000000"/>
          <w:rtl/>
          <w:lang w:bidi="ar-EG"/>
        </w:rPr>
        <w:t xml:space="preserve"> فهي تنعقد في جميع هذه الصور بمجرد توافق إرادتي الكفيل والدائن كما سبق القول</w:t>
      </w:r>
      <w:r>
        <w:rPr>
          <w:rFonts w:hint="cs"/>
          <w:color w:val="000000"/>
          <w:rtl/>
          <w:lang w:bidi="ar-EG"/>
        </w:rPr>
        <w:t xml:space="preserve"> .</w:t>
      </w:r>
      <w:r w:rsidRPr="00315653">
        <w:rPr>
          <w:rFonts w:hint="cs"/>
          <w:color w:val="000000"/>
          <w:rtl/>
          <w:lang w:bidi="ar-EG"/>
        </w:rPr>
        <w:t xml:space="preserve"> وإنما يظهر الفرق عند رجوع الكفيل على المدين إذا وفي عنه الدين</w:t>
      </w:r>
      <w:r>
        <w:rPr>
          <w:rFonts w:hint="cs"/>
          <w:color w:val="000000"/>
          <w:rtl/>
          <w:lang w:bidi="ar-EG"/>
        </w:rPr>
        <w:t xml:space="preserve"> ،</w:t>
      </w:r>
      <w:r w:rsidRPr="00315653">
        <w:rPr>
          <w:rFonts w:hint="cs"/>
          <w:color w:val="000000"/>
          <w:rtl/>
          <w:lang w:bidi="ar-EG"/>
        </w:rPr>
        <w:t xml:space="preserve"> كما سنرى فإذا كانت الكفالة قد عقدت بإذن المدين</w:t>
      </w:r>
      <w:r>
        <w:rPr>
          <w:rFonts w:hint="cs"/>
          <w:color w:val="000000"/>
          <w:rtl/>
          <w:lang w:bidi="ar-EG"/>
        </w:rPr>
        <w:t xml:space="preserve"> ،</w:t>
      </w:r>
      <w:r w:rsidRPr="00315653">
        <w:rPr>
          <w:rFonts w:hint="cs"/>
          <w:color w:val="000000"/>
          <w:rtl/>
          <w:lang w:bidi="ar-EG"/>
        </w:rPr>
        <w:t xml:space="preserve"> رجع الكفيل عليه بدعوى الوكالة</w:t>
      </w:r>
      <w:r>
        <w:rPr>
          <w:rFonts w:hint="cs"/>
          <w:color w:val="000000"/>
          <w:rtl/>
          <w:lang w:bidi="ar-EG"/>
        </w:rPr>
        <w:t xml:space="preserve"> .</w:t>
      </w:r>
      <w:r w:rsidRPr="00315653">
        <w:rPr>
          <w:rFonts w:hint="cs"/>
          <w:color w:val="000000"/>
          <w:rtl/>
          <w:lang w:bidi="ar-EG"/>
        </w:rPr>
        <w:t xml:space="preserve"> وإذا عقدت بعلم المدين أو بغير علمه</w:t>
      </w:r>
      <w:r>
        <w:rPr>
          <w:rFonts w:hint="cs"/>
          <w:color w:val="000000"/>
          <w:rtl/>
          <w:lang w:bidi="ar-EG"/>
        </w:rPr>
        <w:t xml:space="preserve"> ،</w:t>
      </w:r>
      <w:r w:rsidRPr="00315653">
        <w:rPr>
          <w:rFonts w:hint="cs"/>
          <w:color w:val="000000"/>
          <w:rtl/>
          <w:lang w:bidi="ar-EG"/>
        </w:rPr>
        <w:t xml:space="preserve"> ولكن دون إذنه</w:t>
      </w:r>
      <w:r>
        <w:rPr>
          <w:rFonts w:hint="cs"/>
          <w:color w:val="000000"/>
          <w:rtl/>
          <w:lang w:bidi="ar-EG"/>
        </w:rPr>
        <w:t xml:space="preserve"> ،</w:t>
      </w:r>
      <w:r w:rsidRPr="00315653">
        <w:rPr>
          <w:rFonts w:hint="cs"/>
          <w:color w:val="000000"/>
          <w:rtl/>
          <w:lang w:bidi="ar-EG"/>
        </w:rPr>
        <w:t xml:space="preserve"> رجع الكفيل على المدين بدعوى الفضالة</w:t>
      </w:r>
      <w:r>
        <w:rPr>
          <w:rFonts w:hint="cs"/>
          <w:color w:val="000000"/>
          <w:rtl/>
          <w:lang w:bidi="ar-EG"/>
        </w:rPr>
        <w:t xml:space="preserve"> .</w:t>
      </w:r>
      <w:r w:rsidRPr="00315653">
        <w:rPr>
          <w:rFonts w:hint="cs"/>
          <w:color w:val="000000"/>
          <w:rtl/>
          <w:lang w:bidi="ar-EG"/>
        </w:rPr>
        <w:t xml:space="preserve"> وإذا عقدت بالرغم من معارضة المدين</w:t>
      </w:r>
      <w:r>
        <w:rPr>
          <w:rFonts w:hint="cs"/>
          <w:color w:val="000000"/>
          <w:rtl/>
          <w:lang w:bidi="ar-EG"/>
        </w:rPr>
        <w:t xml:space="preserve"> ،</w:t>
      </w:r>
      <w:r w:rsidRPr="00315653">
        <w:rPr>
          <w:rFonts w:hint="cs"/>
          <w:color w:val="000000"/>
          <w:rtl/>
          <w:lang w:bidi="ar-EG"/>
        </w:rPr>
        <w:t xml:space="preserve"> رجع الكفيل على المدين بدعوى الإثراء بلا سبب</w:t>
      </w:r>
      <w:r>
        <w:rPr>
          <w:rFonts w:hint="cs"/>
          <w:color w:val="000000"/>
          <w:vertAlign w:val="superscript"/>
          <w:rtl/>
          <w:lang w:bidi="ar-EG"/>
        </w:rPr>
        <w:t xml:space="preserve">( </w:t>
      </w:r>
      <w:r w:rsidRPr="00315653">
        <w:rPr>
          <w:rStyle w:val="ab"/>
          <w:color w:val="000000"/>
          <w:rtl/>
          <w:lang w:bidi="ar-EG"/>
        </w:rPr>
        <w:footnoteReference w:id="16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$72 على أن الكفالة تعقد عادة بإذن المدين</w:t>
      </w:r>
      <w:r>
        <w:rPr>
          <w:rFonts w:hint="cs"/>
          <w:color w:val="000000"/>
          <w:rtl/>
          <w:lang w:bidi="ar-EG"/>
        </w:rPr>
        <w:t xml:space="preserve"> ،</w:t>
      </w:r>
      <w:r w:rsidRPr="00315653">
        <w:rPr>
          <w:rFonts w:hint="cs"/>
          <w:color w:val="000000"/>
          <w:rtl/>
          <w:lang w:bidi="ar-EG"/>
        </w:rPr>
        <w:t xml:space="preserve"> بل بناء على طلبه إذ أن الكفيل إنما يتقدم لمساعدته بكفالته</w:t>
      </w:r>
      <w:r>
        <w:rPr>
          <w:rFonts w:hint="cs"/>
          <w:color w:val="000000"/>
          <w:rtl/>
          <w:lang w:bidi="ar-EG"/>
        </w:rPr>
        <w:t xml:space="preserve"> ،</w:t>
      </w:r>
      <w:r w:rsidRPr="00315653">
        <w:rPr>
          <w:rFonts w:hint="cs"/>
          <w:color w:val="000000"/>
          <w:rtl/>
          <w:lang w:bidi="ar-EG"/>
        </w:rPr>
        <w:t xml:space="preserve"> فتسبق الكفالة عادة طلب من المدين يوجهه إلى الكفيل ليكفله</w:t>
      </w:r>
      <w:r>
        <w:rPr>
          <w:rFonts w:hint="cs"/>
          <w:color w:val="000000"/>
          <w:rtl/>
          <w:lang w:bidi="ar-EG"/>
        </w:rPr>
        <w:t xml:space="preserve"> .</w:t>
      </w:r>
      <w:r w:rsidRPr="00315653">
        <w:rPr>
          <w:rFonts w:hint="cs"/>
          <w:color w:val="000000"/>
          <w:rtl/>
          <w:lang w:bidi="ar-EG"/>
        </w:rPr>
        <w:t xml:space="preserve"> فإذا رضي الكفيل بكفالته</w:t>
      </w:r>
      <w:r>
        <w:rPr>
          <w:rFonts w:hint="cs"/>
          <w:color w:val="000000"/>
          <w:rtl/>
          <w:lang w:bidi="ar-EG"/>
        </w:rPr>
        <w:t xml:space="preserve"> ،</w:t>
      </w:r>
      <w:r w:rsidRPr="00315653">
        <w:rPr>
          <w:rFonts w:hint="cs"/>
          <w:color w:val="000000"/>
          <w:rtl/>
          <w:lang w:bidi="ar-EG"/>
        </w:rPr>
        <w:t xml:space="preserve"> عقد الكفالة مباشرة مع الدائن دون تدخل المدين</w:t>
      </w:r>
      <w:r>
        <w:rPr>
          <w:rFonts w:hint="cs"/>
          <w:color w:val="000000"/>
          <w:rtl/>
          <w:lang w:bidi="ar-EG"/>
        </w:rPr>
        <w:t xml:space="preserve"> ،</w:t>
      </w:r>
      <w:r w:rsidRPr="00315653">
        <w:rPr>
          <w:rFonts w:hint="cs"/>
          <w:color w:val="000000"/>
          <w:rtl/>
          <w:lang w:bidi="ar-EG"/>
        </w:rPr>
        <w:t xml:space="preserve"> أو كما يقع في كثير من الأحيان ذيل الكفيل سند المديونية بين المدين والدائن بإمضائه بوصف أنه كفيل</w:t>
      </w:r>
      <w:r>
        <w:rPr>
          <w:rFonts w:hint="cs"/>
          <w:color w:val="000000"/>
          <w:vertAlign w:val="superscript"/>
          <w:rtl/>
          <w:lang w:bidi="ar-EG"/>
        </w:rPr>
        <w:t xml:space="preserve">( </w:t>
      </w:r>
      <w:r w:rsidRPr="00315653">
        <w:rPr>
          <w:rStyle w:val="ab"/>
          <w:color w:val="000000"/>
          <w:rtl/>
          <w:lang w:bidi="ar-EG"/>
        </w:rPr>
        <w:footnoteReference w:id="16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ما فعل شيئاً من ذلك</w:t>
      </w:r>
      <w:r>
        <w:rPr>
          <w:rFonts w:hint="cs"/>
          <w:color w:val="000000"/>
          <w:rtl/>
          <w:lang w:bidi="ar-EG"/>
        </w:rPr>
        <w:t xml:space="preserve"> ،</w:t>
      </w:r>
      <w:r w:rsidRPr="00315653">
        <w:rPr>
          <w:rFonts w:hint="cs"/>
          <w:color w:val="000000"/>
          <w:rtl/>
          <w:lang w:bidi="ar-EG"/>
        </w:rPr>
        <w:t xml:space="preserve"> ثم وفي الدين عن المدين</w:t>
      </w:r>
      <w:r>
        <w:rPr>
          <w:rFonts w:hint="cs"/>
          <w:color w:val="000000"/>
          <w:rtl/>
          <w:lang w:bidi="ar-EG"/>
        </w:rPr>
        <w:t xml:space="preserve"> ،</w:t>
      </w:r>
      <w:r w:rsidRPr="00315653">
        <w:rPr>
          <w:rFonts w:hint="cs"/>
          <w:color w:val="000000"/>
          <w:rtl/>
          <w:lang w:bidi="ar-EG"/>
        </w:rPr>
        <w:t xml:space="preserve"> رجع عليه بدعوى الوكالة</w:t>
      </w:r>
      <w:r>
        <w:rPr>
          <w:rFonts w:hint="cs"/>
          <w:color w:val="000000"/>
          <w:rtl/>
          <w:lang w:bidi="ar-EG"/>
        </w:rPr>
        <w:t xml:space="preserve"> ،</w:t>
      </w:r>
      <w:r w:rsidRPr="00315653">
        <w:rPr>
          <w:rFonts w:hint="cs"/>
          <w:color w:val="000000"/>
          <w:rtl/>
          <w:lang w:bidi="ar-EG"/>
        </w:rPr>
        <w:t xml:space="preserve"> إذ أن طلب المدين من الكفيل كفالته يعتبر توكيلا له في الكفالة</w:t>
      </w:r>
      <w:r>
        <w:rPr>
          <w:rFonts w:hint="cs"/>
          <w:color w:val="000000"/>
          <w:rtl/>
          <w:lang w:bidi="ar-EG"/>
        </w:rPr>
        <w:t xml:space="preserve"> .</w:t>
      </w:r>
      <w:r w:rsidRPr="00315653">
        <w:rPr>
          <w:rFonts w:hint="cs"/>
          <w:color w:val="000000"/>
          <w:rtl/>
          <w:lang w:bidi="ar-EG"/>
        </w:rPr>
        <w:t xml:space="preserve"> وقد تكون العلاقة بين الكفيل والمدين وقت الكفالة أوثق من ذلك</w:t>
      </w:r>
      <w:r>
        <w:rPr>
          <w:rFonts w:hint="cs"/>
          <w:color w:val="000000"/>
          <w:rtl/>
          <w:lang w:bidi="ar-EG"/>
        </w:rPr>
        <w:t xml:space="preserve"> ،</w:t>
      </w:r>
      <w:r w:rsidRPr="00315653">
        <w:rPr>
          <w:rFonts w:hint="cs"/>
          <w:color w:val="000000"/>
          <w:rtl/>
          <w:lang w:bidi="ar-EG"/>
        </w:rPr>
        <w:t xml:space="preserve"> فيكفل الكفيل المدين متضامناً معه</w:t>
      </w:r>
      <w:r>
        <w:rPr>
          <w:rFonts w:hint="cs"/>
          <w:color w:val="000000"/>
          <w:rtl/>
          <w:lang w:bidi="ar-EG"/>
        </w:rPr>
        <w:t xml:space="preserve"> ،</w:t>
      </w:r>
      <w:r w:rsidRPr="00315653">
        <w:rPr>
          <w:rFonts w:hint="cs"/>
          <w:color w:val="000000"/>
          <w:rtl/>
          <w:lang w:bidi="ar-EG"/>
        </w:rPr>
        <w:t xml:space="preserve"> والكفيل المتضامن مع المدين أحكام يقتضيها هذا التضامن سيأتي ذكرها</w:t>
      </w:r>
      <w:r>
        <w:rPr>
          <w:rFonts w:hint="cs"/>
          <w:color w:val="000000"/>
          <w:rtl/>
          <w:lang w:bidi="ar-EG"/>
        </w:rPr>
        <w:t xml:space="preserve"> .</w:t>
      </w:r>
      <w:r w:rsidRPr="00315653">
        <w:rPr>
          <w:rFonts w:hint="cs"/>
          <w:color w:val="000000"/>
          <w:rtl/>
          <w:lang w:bidi="ar-EG"/>
        </w:rPr>
        <w:t xml:space="preserve"> والكفيل المتضامن مع المدين غير الكفيل المتضامن مع الكفلاء الآخرين</w:t>
      </w:r>
      <w:r>
        <w:rPr>
          <w:rFonts w:hint="cs"/>
          <w:color w:val="000000"/>
          <w:rtl/>
          <w:lang w:bidi="ar-EG"/>
        </w:rPr>
        <w:t xml:space="preserve"> ،</w:t>
      </w:r>
      <w:r w:rsidRPr="00315653">
        <w:rPr>
          <w:rFonts w:hint="cs"/>
          <w:color w:val="000000"/>
          <w:rtl/>
          <w:lang w:bidi="ar-EG"/>
        </w:rPr>
        <w:t xml:space="preserve"> وسيأتي أيضاً بيان حكم الكفيل المتضامن مع الكفلاء الآخرين</w:t>
      </w:r>
      <w:r>
        <w:rPr>
          <w:rFonts w:hint="cs"/>
          <w:color w:val="000000"/>
          <w:rtl/>
          <w:lang w:bidi="ar-EG"/>
        </w:rPr>
        <w:t xml:space="preserve"> .</w:t>
      </w:r>
      <w:r w:rsidRPr="00315653">
        <w:rPr>
          <w:rFonts w:hint="cs"/>
          <w:color w:val="000000"/>
          <w:rtl/>
          <w:lang w:bidi="ar-EG"/>
        </w:rPr>
        <w:t xml:space="preserve"> وقد يكون الكفيل متضامناً مع المدين ومع الكفلاء الآخرين في وقت واحد</w:t>
      </w:r>
      <w:r>
        <w:rPr>
          <w:rFonts w:hint="cs"/>
          <w:color w:val="000000"/>
          <w:rtl/>
          <w:lang w:bidi="ar-EG"/>
        </w:rPr>
        <w:t xml:space="preserve"> ،</w:t>
      </w:r>
      <w:r w:rsidRPr="00315653">
        <w:rPr>
          <w:rFonts w:hint="cs"/>
          <w:color w:val="000000"/>
          <w:rtl/>
          <w:lang w:bidi="ar-EG"/>
        </w:rPr>
        <w:t xml:space="preserve"> فيكون كل من الكفلاء والمدين متضامناً مع الآخرين</w:t>
      </w:r>
      <w:r>
        <w:rPr>
          <w:rFonts w:hint="cs"/>
          <w:color w:val="000000"/>
          <w:rtl/>
          <w:lang w:bidi="ar-EG"/>
        </w:rPr>
        <w:t xml:space="preserve"> ،</w:t>
      </w:r>
      <w:r w:rsidRPr="00315653">
        <w:rPr>
          <w:rFonts w:hint="cs"/>
          <w:color w:val="000000"/>
          <w:rtl/>
          <w:lang w:bidi="ar-EG"/>
        </w:rPr>
        <w:t xml:space="preserve"> وفي هذا ضمان قوي للدائن إذ يضم إلى ذمة مدينه ذمم كفلاء متعددين</w:t>
      </w:r>
      <w:r>
        <w:rPr>
          <w:rFonts w:hint="cs"/>
          <w:color w:val="000000"/>
          <w:rtl/>
          <w:lang w:bidi="ar-EG"/>
        </w:rPr>
        <w:t xml:space="preserve"> ،</w:t>
      </w:r>
      <w:r w:rsidRPr="00315653">
        <w:rPr>
          <w:rFonts w:hint="cs"/>
          <w:color w:val="000000"/>
          <w:rtl/>
          <w:lang w:bidi="ar-EG"/>
        </w:rPr>
        <w:t xml:space="preserve"> ويجعل هذه الذمم جميعاً ومنها ذمة مدينة متضامنة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وقد تعقد الكفالة بين الدائن وكفل الكفيل أو المصدق </w:t>
      </w:r>
      <w:r>
        <w:rPr>
          <w:color w:val="000000"/>
          <w:rtl/>
        </w:rPr>
        <w:t xml:space="preserve">( </w:t>
      </w:r>
      <w:r w:rsidRPr="00315653">
        <w:rPr>
          <w:color w:val="000000"/>
        </w:rPr>
        <w:t>certificateur</w:t>
      </w:r>
      <w:r>
        <w:rPr>
          <w:color w:val="000000"/>
          <w:rtl/>
        </w:rPr>
        <w:t xml:space="preserve"> )</w:t>
      </w:r>
      <w:r w:rsidRPr="00315653">
        <w:rPr>
          <w:rFonts w:hint="cs"/>
          <w:color w:val="000000"/>
          <w:rtl/>
        </w:rPr>
        <w:t xml:space="preserve"> فيكون هناك عقدان</w:t>
      </w:r>
      <w:r>
        <w:rPr>
          <w:rFonts w:hint="cs"/>
          <w:color w:val="000000"/>
          <w:rtl/>
        </w:rPr>
        <w:t xml:space="preserve"> ،</w:t>
      </w:r>
      <w:r w:rsidRPr="00315653">
        <w:rPr>
          <w:rFonts w:hint="cs"/>
          <w:color w:val="000000"/>
          <w:rtl/>
        </w:rPr>
        <w:t xml:space="preserve"> إحدهما بين الدائن والكفيل وهو عقد الكفالة المعتاد</w:t>
      </w:r>
      <w:r>
        <w:rPr>
          <w:rFonts w:hint="cs"/>
          <w:color w:val="000000"/>
          <w:rtl/>
        </w:rPr>
        <w:t xml:space="preserve"> ،</w:t>
      </w:r>
      <w:r w:rsidRPr="00315653">
        <w:rPr>
          <w:rFonts w:hint="cs"/>
          <w:color w:val="000000"/>
          <w:rtl/>
        </w:rPr>
        <w:t xml:space="preserve"> والثاني بين الدائن وكفيل الكفيل يكفل بموجبه كفيل الكفيل الكفيل</w:t>
      </w:r>
      <w:r>
        <w:rPr>
          <w:rFonts w:hint="cs"/>
          <w:color w:val="000000"/>
          <w:rtl/>
        </w:rPr>
        <w:t xml:space="preserve"> ،</w:t>
      </w:r>
      <w:r w:rsidRPr="00315653">
        <w:rPr>
          <w:rFonts w:hint="cs"/>
          <w:color w:val="000000"/>
          <w:rtl/>
        </w:rPr>
        <w:t xml:space="preserve"> وينزل $73 منه منزلة الكفيل كما ينزل الكفيل من كفيل الكفيل منزلة المدين الأصلي</w:t>
      </w:r>
      <w:r>
        <w:rPr>
          <w:rFonts w:hint="cs"/>
          <w:color w:val="000000"/>
          <w:rtl/>
        </w:rPr>
        <w:t xml:space="preserve"> ،</w:t>
      </w:r>
      <w:r w:rsidRPr="00315653">
        <w:rPr>
          <w:rFonts w:hint="cs"/>
          <w:color w:val="000000"/>
          <w:rtl/>
        </w:rPr>
        <w:t xml:space="preserve"> وسيأتي فيما يلي حكم كفيل الكفيل</w:t>
      </w:r>
      <w:r>
        <w:rPr>
          <w:rFonts w:hint="cs"/>
          <w:color w:val="000000"/>
          <w:vertAlign w:val="superscript"/>
          <w:rtl/>
          <w:lang w:bidi="ar-EG"/>
        </w:rPr>
        <w:t xml:space="preserve">( </w:t>
      </w:r>
      <w:r w:rsidRPr="00315653">
        <w:rPr>
          <w:rStyle w:val="ab"/>
          <w:color w:val="000000"/>
          <w:rtl/>
          <w:lang w:bidi="ar-EG"/>
        </w:rPr>
        <w:footnoteReference w:id="16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29- التراضي بين الكفل والدائن</w:t>
      </w:r>
      <w:r>
        <w:rPr>
          <w:rFonts w:hint="cs"/>
          <w:color w:val="000000"/>
          <w:rtl/>
          <w:lang w:bidi="ar-EG"/>
        </w:rPr>
        <w:t xml:space="preserve"> :</w:t>
      </w:r>
      <w:r w:rsidRPr="00315653">
        <w:rPr>
          <w:rFonts w:hint="cs"/>
          <w:color w:val="000000"/>
          <w:rtl/>
          <w:lang w:bidi="ar-EG"/>
        </w:rPr>
        <w:t xml:space="preserve"> ولما كانت الكفالة عقداً بين الكفيل والدائن كما قدمنا</w:t>
      </w:r>
      <w:r>
        <w:rPr>
          <w:rFonts w:hint="cs"/>
          <w:color w:val="000000"/>
          <w:rtl/>
          <w:lang w:bidi="ar-EG"/>
        </w:rPr>
        <w:t xml:space="preserve"> ،</w:t>
      </w:r>
      <w:r w:rsidRPr="00315653">
        <w:rPr>
          <w:rFonts w:hint="cs"/>
          <w:color w:val="000000"/>
          <w:rtl/>
          <w:lang w:bidi="ar-EG"/>
        </w:rPr>
        <w:t xml:space="preserve"> فإنها تقتضي التراضي بين الكفيل والدائن فيتفق الاثنان على أن الكفيل يكفل المدين الأصلي</w:t>
      </w:r>
      <w:r>
        <w:rPr>
          <w:rFonts w:hint="cs"/>
          <w:color w:val="000000"/>
          <w:rtl/>
          <w:lang w:bidi="ar-EG"/>
        </w:rPr>
        <w:t xml:space="preserve"> .</w:t>
      </w:r>
      <w:r w:rsidRPr="00315653">
        <w:rPr>
          <w:rFonts w:hint="cs"/>
          <w:color w:val="000000"/>
          <w:rtl/>
          <w:lang w:bidi="ar-EG"/>
        </w:rPr>
        <w:t xml:space="preserve"> ولا يكفي رضاء الكفيل وحده</w:t>
      </w:r>
      <w:r>
        <w:rPr>
          <w:rFonts w:hint="cs"/>
          <w:color w:val="000000"/>
          <w:rtl/>
          <w:lang w:bidi="ar-EG"/>
        </w:rPr>
        <w:t xml:space="preserve"> ،</w:t>
      </w:r>
      <w:r w:rsidRPr="00315653">
        <w:rPr>
          <w:rFonts w:hint="cs"/>
          <w:color w:val="000000"/>
          <w:rtl/>
          <w:lang w:bidi="ar-EG"/>
        </w:rPr>
        <w:t xml:space="preserve"> بل يجب أيضاً حتى يتم العقد من رضاء الدائن بالكفالة ولو رضاء ضمنياً</w:t>
      </w:r>
      <w:r>
        <w:rPr>
          <w:rFonts w:hint="cs"/>
          <w:color w:val="000000"/>
          <w:vertAlign w:val="superscript"/>
          <w:rtl/>
          <w:lang w:bidi="ar-EG"/>
        </w:rPr>
        <w:t xml:space="preserve">( </w:t>
      </w:r>
      <w:r w:rsidRPr="00315653">
        <w:rPr>
          <w:rStyle w:val="ab"/>
          <w:color w:val="000000"/>
          <w:rtl/>
          <w:lang w:bidi="ar-EG"/>
        </w:rPr>
        <w:footnoteReference w:id="16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وذلك حتى لو كان الكفيل متبرعاً بكفالته كما هو الغالب</w:t>
      </w:r>
      <w:r>
        <w:rPr>
          <w:rFonts w:hint="cs"/>
          <w:color w:val="000000"/>
          <w:rtl/>
          <w:lang w:bidi="ar-EG"/>
        </w:rPr>
        <w:t xml:space="preserve"> ،</w:t>
      </w:r>
      <w:r w:rsidRPr="00315653">
        <w:rPr>
          <w:rFonts w:hint="cs"/>
          <w:color w:val="000000"/>
          <w:rtl/>
          <w:lang w:bidi="ar-EG"/>
        </w:rPr>
        <w:t xml:space="preserve"> وذلك عقد الهبة لا بد فيه من رضاء الموهوب له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أما رضاء الكفيل فجوهري</w:t>
      </w:r>
      <w:r>
        <w:rPr>
          <w:rFonts w:hint="cs"/>
          <w:color w:val="000000"/>
          <w:rtl/>
        </w:rPr>
        <w:t xml:space="preserve"> ،</w:t>
      </w:r>
      <w:r w:rsidRPr="00315653">
        <w:rPr>
          <w:rFonts w:hint="cs"/>
          <w:color w:val="000000"/>
          <w:rtl/>
        </w:rPr>
        <w:t xml:space="preserve"> لأن الكفيل هو الذي يلتزم بعقد الكفالة</w:t>
      </w:r>
      <w:r>
        <w:rPr>
          <w:rFonts w:hint="cs"/>
          <w:color w:val="000000"/>
          <w:rtl/>
        </w:rPr>
        <w:t xml:space="preserve"> .</w:t>
      </w:r>
      <w:r w:rsidRPr="00315653">
        <w:rPr>
          <w:rFonts w:hint="cs"/>
          <w:color w:val="000000"/>
          <w:rtl/>
        </w:rPr>
        <w:t xml:space="preserve"> ولا بد أن يرضي الكفيل بالكفالة</w:t>
      </w:r>
      <w:r>
        <w:rPr>
          <w:rFonts w:hint="cs"/>
          <w:color w:val="000000"/>
          <w:rtl/>
        </w:rPr>
        <w:t xml:space="preserve"> ،</w:t>
      </w:r>
      <w:r w:rsidRPr="00315653">
        <w:rPr>
          <w:rFonts w:hint="cs"/>
          <w:color w:val="000000"/>
          <w:rtl/>
        </w:rPr>
        <w:t xml:space="preserve"> ويعبر عن هذا الرضاء تعبيراً واضحاً</w:t>
      </w:r>
      <w:r>
        <w:rPr>
          <w:rFonts w:hint="cs"/>
          <w:color w:val="000000"/>
          <w:rtl/>
        </w:rPr>
        <w:t xml:space="preserve"> .</w:t>
      </w:r>
      <w:r w:rsidRPr="00315653">
        <w:rPr>
          <w:rFonts w:hint="cs"/>
          <w:color w:val="000000"/>
          <w:rtl/>
        </w:rPr>
        <w:t xml:space="preserve"> فمجرد توصية شخص للدائن بأن يثق بمدينه لأن هذا المدين ملئ ولأنه يبادر إلى تنفيذ التزامه</w:t>
      </w:r>
      <w:r>
        <w:rPr>
          <w:rFonts w:hint="cs"/>
          <w:color w:val="000000"/>
          <w:rtl/>
        </w:rPr>
        <w:t xml:space="preserve"> ،</w:t>
      </w:r>
      <w:r w:rsidRPr="00315653">
        <w:rPr>
          <w:rFonts w:hint="cs"/>
          <w:color w:val="000000"/>
          <w:rtl/>
        </w:rPr>
        <w:t xml:space="preserve"> حتى لو كانت هذه التوصية قد أتت بعد سؤال الدائن هذا الشخص عن حالة المدين</w:t>
      </w:r>
      <w:r>
        <w:rPr>
          <w:rFonts w:hint="cs"/>
          <w:color w:val="000000"/>
          <w:rtl/>
        </w:rPr>
        <w:t xml:space="preserve"> ،</w:t>
      </w:r>
      <w:r w:rsidRPr="00315653">
        <w:rPr>
          <w:rFonts w:hint="cs"/>
          <w:color w:val="000000"/>
          <w:rtl/>
        </w:rPr>
        <w:t xml:space="preserve"> لا يعد رضاء من هذا الشخص بكفالة المدين إذ لا بد من أن يرضى هذا الشخص بكفالة المدين رضاء واضحاً</w:t>
      </w:r>
      <w:r>
        <w:rPr>
          <w:rFonts w:hint="cs"/>
          <w:color w:val="000000"/>
          <w:rtl/>
        </w:rPr>
        <w:t xml:space="preserve"> ،</w:t>
      </w:r>
      <w:r w:rsidRPr="00315653">
        <w:rPr>
          <w:rFonts w:hint="cs"/>
          <w:color w:val="000000"/>
          <w:rtl/>
        </w:rPr>
        <w:t xml:space="preserve"> وأن يعقد مع الدائن عقد كفالة</w:t>
      </w:r>
      <w:r>
        <w:rPr>
          <w:rFonts w:hint="cs"/>
          <w:color w:val="000000"/>
          <w:vertAlign w:val="superscript"/>
          <w:rtl/>
          <w:lang w:bidi="ar-EG"/>
        </w:rPr>
        <w:t xml:space="preserve">( </w:t>
      </w:r>
      <w:r w:rsidRPr="00315653">
        <w:rPr>
          <w:rStyle w:val="ab"/>
          <w:color w:val="000000"/>
          <w:rtl/>
          <w:lang w:bidi="ar-EG"/>
        </w:rPr>
        <w:footnoteReference w:id="16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إذا كانت هذه التوصية خاطئة عن عمد أو عن رعونة وتسرع</w:t>
      </w:r>
      <w:r>
        <w:rPr>
          <w:rFonts w:hint="cs"/>
          <w:color w:val="000000"/>
          <w:rtl/>
          <w:lang w:bidi="ar-EG"/>
        </w:rPr>
        <w:t xml:space="preserve"> ،</w:t>
      </w:r>
      <w:r w:rsidRPr="00315653">
        <w:rPr>
          <w:rFonts w:hint="cs"/>
          <w:color w:val="000000"/>
          <w:rtl/>
          <w:lang w:bidi="ar-EG"/>
        </w:rPr>
        <w:t xml:space="preserve"> وتبين أن المدين غير ملئ أو لا يستحق هذه التزكية</w:t>
      </w:r>
      <w:r>
        <w:rPr>
          <w:rFonts w:hint="cs"/>
          <w:color w:val="000000"/>
          <w:rtl/>
          <w:lang w:bidi="ar-EG"/>
        </w:rPr>
        <w:t xml:space="preserve"> ،</w:t>
      </w:r>
      <w:r w:rsidRPr="00315653">
        <w:rPr>
          <w:rFonts w:hint="cs"/>
          <w:color w:val="000000"/>
          <w:rtl/>
          <w:lang w:bidi="ar-EG"/>
        </w:rPr>
        <w:t xml:space="preserve"> فإن الشخص الذي صدرت منه هذه التوصية</w:t>
      </w:r>
      <w:r>
        <w:rPr>
          <w:rFonts w:hint="cs"/>
          <w:color w:val="000000"/>
          <w:rtl/>
          <w:lang w:bidi="ar-EG"/>
        </w:rPr>
        <w:t xml:space="preserve"> ،</w:t>
      </w:r>
      <w:r w:rsidRPr="00315653">
        <w:rPr>
          <w:rFonts w:hint="cs"/>
          <w:color w:val="000000"/>
          <w:rtl/>
          <w:lang w:bidi="ar-EG"/>
        </w:rPr>
        <w:t xml:space="preserve"> دون أن يكون ملزماً ككفيل</w:t>
      </w:r>
      <w:r>
        <w:rPr>
          <w:rFonts w:hint="cs"/>
          <w:color w:val="000000"/>
          <w:rtl/>
          <w:lang w:bidi="ar-EG"/>
        </w:rPr>
        <w:t xml:space="preserve"> ،</w:t>
      </w:r>
      <w:r w:rsidRPr="00315653">
        <w:rPr>
          <w:rFonts w:hint="cs"/>
          <w:color w:val="000000"/>
          <w:rtl/>
          <w:lang w:bidi="ar-EG"/>
        </w:rPr>
        <w:t xml:space="preserve"> يكون مسئولا مسئولية تقصيرية نحو الدائن الذي اعتمد على توصيته وتعامل مع المدين</w:t>
      </w:r>
      <w:r>
        <w:rPr>
          <w:rFonts w:hint="cs"/>
          <w:color w:val="000000"/>
          <w:vertAlign w:val="superscript"/>
          <w:rtl/>
          <w:lang w:bidi="ar-EG"/>
        </w:rPr>
        <w:t xml:space="preserve">( </w:t>
      </w:r>
      <w:r w:rsidRPr="00315653">
        <w:rPr>
          <w:rStyle w:val="ab"/>
          <w:color w:val="000000"/>
          <w:rtl/>
          <w:lang w:bidi="ar-EG"/>
        </w:rPr>
        <w:footnoteReference w:id="16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على أن رضاء الكفيل بالكفالة قد يتخذ أية صورة من الصور ما دام رضاء واضحاً</w:t>
      </w:r>
      <w:r>
        <w:rPr>
          <w:rFonts w:hint="cs"/>
          <w:color w:val="000000"/>
          <w:rtl/>
          <w:lang w:bidi="ar-EG"/>
        </w:rPr>
        <w:t xml:space="preserve"> ،</w:t>
      </w:r>
      <w:r w:rsidRPr="00315653">
        <w:rPr>
          <w:rFonts w:hint="cs"/>
          <w:color w:val="000000"/>
          <w:rtl/>
          <w:lang w:bidi="ar-EG"/>
        </w:rPr>
        <w:t xml:space="preserve"> فقد يبرم الكفيل عقد كفالة بينه وبين الدائن</w:t>
      </w:r>
      <w:r>
        <w:rPr>
          <w:rFonts w:hint="cs"/>
          <w:color w:val="000000"/>
          <w:rtl/>
          <w:lang w:bidi="ar-EG"/>
        </w:rPr>
        <w:t xml:space="preserve"> ،</w:t>
      </w:r>
      <w:r w:rsidRPr="00315653">
        <w:rPr>
          <w:rFonts w:hint="cs"/>
          <w:color w:val="000000"/>
          <w:rtl/>
          <w:lang w:bidi="ar-EG"/>
        </w:rPr>
        <w:t xml:space="preserve"> وقد $74</w:t>
      </w:r>
      <w:r w:rsidRPr="00315653">
        <w:rPr>
          <w:rFonts w:hint="cs"/>
          <w:color w:val="000000"/>
          <w:rtl/>
        </w:rPr>
        <w:t xml:space="preserve"> يمضي سند المديونية بين المدين والدائن بصفة أنه كفيل للمدين كما سبق القول</w:t>
      </w:r>
      <w:r>
        <w:rPr>
          <w:rFonts w:hint="cs"/>
          <w:color w:val="000000"/>
          <w:rtl/>
        </w:rPr>
        <w:t xml:space="preserve"> ،</w:t>
      </w:r>
      <w:r w:rsidRPr="00315653">
        <w:rPr>
          <w:rFonts w:hint="cs"/>
          <w:color w:val="000000"/>
          <w:rtl/>
        </w:rPr>
        <w:t xml:space="preserve"> وقد يتخذ صورة كتاب يرسله الكفيل للدائن يكفل فيه المدين</w:t>
      </w:r>
      <w:r>
        <w:rPr>
          <w:rFonts w:hint="cs"/>
          <w:color w:val="000000"/>
          <w:rtl/>
        </w:rPr>
        <w:t xml:space="preserve"> .</w:t>
      </w:r>
      <w:r w:rsidRPr="00315653">
        <w:rPr>
          <w:rFonts w:hint="cs"/>
          <w:color w:val="000000"/>
          <w:rtl/>
        </w:rPr>
        <w:t xml:space="preserve"> وقد يعبر الكفيل عن معنى الكفالة بأي تعبير ملائم ودون أن يستعمل لفظ الكفالة</w:t>
      </w:r>
      <w:r>
        <w:rPr>
          <w:rFonts w:hint="cs"/>
          <w:color w:val="000000"/>
          <w:vertAlign w:val="superscript"/>
          <w:rtl/>
          <w:lang w:bidi="ar-EG"/>
        </w:rPr>
        <w:t xml:space="preserve">( </w:t>
      </w:r>
      <w:r w:rsidRPr="00315653">
        <w:rPr>
          <w:rStyle w:val="ab"/>
          <w:color w:val="000000"/>
          <w:rtl/>
          <w:lang w:bidi="ar-EG"/>
        </w:rPr>
        <w:footnoteReference w:id="16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فيكتب ابن المدين للدائن مثلا أن ما يلتزم به أبوه نحو الدائن أمر مقدس عنده لا يحيد عنه ويقوم هو بتنفيذه</w:t>
      </w:r>
      <w:r>
        <w:rPr>
          <w:rFonts w:hint="cs"/>
          <w:color w:val="000000"/>
          <w:rtl/>
          <w:lang w:bidi="ar-EG"/>
        </w:rPr>
        <w:t xml:space="preserve"> ،</w:t>
      </w:r>
      <w:r w:rsidRPr="00315653">
        <w:rPr>
          <w:rFonts w:hint="cs"/>
          <w:color w:val="000000"/>
          <w:rtl/>
          <w:lang w:bidi="ar-EG"/>
        </w:rPr>
        <w:t xml:space="preserve"> فيعتبر هذا تعبيراً كافياً عن رضاء الابن بكفالة أبيه</w:t>
      </w:r>
      <w:r>
        <w:rPr>
          <w:rFonts w:hint="cs"/>
          <w:color w:val="000000"/>
          <w:vertAlign w:val="superscript"/>
          <w:rtl/>
          <w:lang w:bidi="ar-EG"/>
        </w:rPr>
        <w:t xml:space="preserve">( </w:t>
      </w:r>
      <w:r w:rsidRPr="00315653">
        <w:rPr>
          <w:rStyle w:val="ab"/>
          <w:color w:val="000000"/>
          <w:rtl/>
          <w:lang w:bidi="ar-EG"/>
        </w:rPr>
        <w:footnoteReference w:id="16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ورضاء الكفيل بالكفالة رضاء واضحاً لا يجعل فحسب الكفيل ملتزماً بكفالته</w:t>
      </w:r>
      <w:r>
        <w:rPr>
          <w:rFonts w:hint="cs"/>
          <w:color w:val="000000"/>
          <w:rtl/>
          <w:lang w:bidi="ar-EG"/>
        </w:rPr>
        <w:t xml:space="preserve"> ،</w:t>
      </w:r>
      <w:r w:rsidRPr="00315653">
        <w:rPr>
          <w:rFonts w:hint="cs"/>
          <w:color w:val="000000"/>
          <w:rtl/>
          <w:lang w:bidi="ar-EG"/>
        </w:rPr>
        <w:t xml:space="preserve"> بل أيضاً يميز الكفيل عن مدين أصلي التزم مع المدين الأصلي بالتضامن</w:t>
      </w:r>
      <w:r>
        <w:rPr>
          <w:rFonts w:hint="cs"/>
          <w:color w:val="000000"/>
          <w:rtl/>
          <w:lang w:bidi="ar-EG"/>
        </w:rPr>
        <w:t xml:space="preserve"> .</w:t>
      </w:r>
      <w:r w:rsidRPr="00315653">
        <w:rPr>
          <w:rFonts w:hint="cs"/>
          <w:color w:val="000000"/>
          <w:rtl/>
          <w:lang w:bidi="ar-EG"/>
        </w:rPr>
        <w:t xml:space="preserve"> وذلك حتى لو التزم الكفيل بالتضامن مع المدين الأصلي</w:t>
      </w:r>
      <w:r>
        <w:rPr>
          <w:rFonts w:hint="cs"/>
          <w:color w:val="000000"/>
          <w:rtl/>
          <w:lang w:bidi="ar-EG"/>
        </w:rPr>
        <w:t xml:space="preserve"> ،</w:t>
      </w:r>
      <w:r w:rsidRPr="00315653">
        <w:rPr>
          <w:rFonts w:hint="cs"/>
          <w:color w:val="000000"/>
          <w:rtl/>
          <w:lang w:bidi="ar-EG"/>
        </w:rPr>
        <w:t xml:space="preserve"> فهناك فرق بين الكفيل المتضامن مع المدين والمدين الأصلي المتضامن مع مدين أصلي آخر</w:t>
      </w:r>
      <w:r>
        <w:rPr>
          <w:rFonts w:hint="cs"/>
          <w:color w:val="000000"/>
          <w:vertAlign w:val="superscript"/>
          <w:rtl/>
          <w:lang w:bidi="ar-EG"/>
        </w:rPr>
        <w:t xml:space="preserve">( </w:t>
      </w:r>
      <w:r w:rsidRPr="00315653">
        <w:rPr>
          <w:rStyle w:val="ab"/>
          <w:color w:val="000000"/>
          <w:rtl/>
          <w:lang w:bidi="ar-EG"/>
        </w:rPr>
        <w:footnoteReference w:id="17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ويصبح أن يتم التراضي بين الكفيل والدائن</w:t>
      </w:r>
      <w:r>
        <w:rPr>
          <w:rFonts w:hint="cs"/>
          <w:color w:val="000000"/>
          <w:rtl/>
          <w:lang w:bidi="ar-EG"/>
        </w:rPr>
        <w:t xml:space="preserve"> ،</w:t>
      </w:r>
      <w:r w:rsidRPr="00315653">
        <w:rPr>
          <w:rFonts w:hint="cs"/>
          <w:color w:val="000000"/>
          <w:rtl/>
          <w:lang w:bidi="ar-EG"/>
        </w:rPr>
        <w:t xml:space="preserve"> لا على عقد الكفالة</w:t>
      </w:r>
      <w:r>
        <w:rPr>
          <w:rFonts w:hint="cs"/>
          <w:color w:val="000000"/>
          <w:rtl/>
          <w:lang w:bidi="ar-EG"/>
        </w:rPr>
        <w:t xml:space="preserve"> ،</w:t>
      </w:r>
      <w:r w:rsidRPr="00315653">
        <w:rPr>
          <w:rFonts w:hint="cs"/>
          <w:color w:val="000000"/>
          <w:rtl/>
          <w:lang w:bidi="ar-EG"/>
        </w:rPr>
        <w:t xml:space="preserve"> بل على وعد بالكفالة</w:t>
      </w:r>
      <w:r>
        <w:rPr>
          <w:rFonts w:hint="cs"/>
          <w:color w:val="000000"/>
          <w:rtl/>
          <w:lang w:bidi="ar-EG"/>
        </w:rPr>
        <w:t xml:space="preserve"> ،</w:t>
      </w:r>
      <w:r w:rsidRPr="00315653">
        <w:rPr>
          <w:rFonts w:hint="cs"/>
          <w:color w:val="000000"/>
          <w:rtl/>
          <w:lang w:bidi="ar-EG"/>
        </w:rPr>
        <w:t xml:space="preserve"> فيعد الملتزم الدائن بأن يكفل الدين الذي لم يترتب بعد في ذمة المدين</w:t>
      </w:r>
      <w:r>
        <w:rPr>
          <w:rFonts w:hint="cs"/>
          <w:color w:val="000000"/>
          <w:rtl/>
          <w:lang w:bidi="ar-EG"/>
        </w:rPr>
        <w:t xml:space="preserve"> .</w:t>
      </w:r>
      <w:r w:rsidRPr="00315653">
        <w:rPr>
          <w:rFonts w:hint="cs"/>
          <w:color w:val="000000"/>
          <w:rtl/>
          <w:lang w:bidi="ar-EG"/>
        </w:rPr>
        <w:t xml:space="preserve"> فإذا ما ترتب الدين في ذمة المدين</w:t>
      </w:r>
      <w:r>
        <w:rPr>
          <w:rFonts w:hint="cs"/>
          <w:color w:val="000000"/>
          <w:rtl/>
          <w:lang w:bidi="ar-EG"/>
        </w:rPr>
        <w:t xml:space="preserve"> ،</w:t>
      </w:r>
      <w:r w:rsidRPr="00315653">
        <w:rPr>
          <w:rFonts w:hint="cs"/>
          <w:color w:val="000000"/>
          <w:rtl/>
          <w:lang w:bidi="ar-EG"/>
        </w:rPr>
        <w:t xml:space="preserve"> وجب على الواعد $75 كفالته</w:t>
      </w:r>
      <w:r>
        <w:rPr>
          <w:rFonts w:hint="cs"/>
          <w:color w:val="000000"/>
          <w:rtl/>
          <w:lang w:bidi="ar-EG"/>
        </w:rPr>
        <w:t xml:space="preserve"> ،</w:t>
      </w:r>
      <w:r w:rsidRPr="00315653">
        <w:rPr>
          <w:rFonts w:hint="cs"/>
          <w:color w:val="000000"/>
          <w:rtl/>
          <w:lang w:bidi="ar-EG"/>
        </w:rPr>
        <w:t xml:space="preserve"> فإن لم يكفل أجبر على ذلك</w:t>
      </w:r>
      <w:r>
        <w:rPr>
          <w:rFonts w:hint="cs"/>
          <w:color w:val="000000"/>
          <w:rtl/>
          <w:lang w:bidi="ar-EG"/>
        </w:rPr>
        <w:t xml:space="preserve"> ،</w:t>
      </w:r>
      <w:r w:rsidRPr="00315653">
        <w:rPr>
          <w:rFonts w:hint="cs"/>
          <w:color w:val="000000"/>
          <w:rtl/>
          <w:lang w:bidi="ar-EG"/>
        </w:rPr>
        <w:t xml:space="preserve"> وصدر حكم من القضاء باعتبار الواعد كفيلا للمدين تسري عليه جميع أحكام الكفالة</w:t>
      </w:r>
      <w:r>
        <w:rPr>
          <w:rFonts w:hint="cs"/>
          <w:color w:val="000000"/>
          <w:vertAlign w:val="superscript"/>
          <w:rtl/>
          <w:lang w:bidi="ar-EG"/>
        </w:rPr>
        <w:t xml:space="preserve">( </w:t>
      </w:r>
      <w:r w:rsidRPr="00315653">
        <w:rPr>
          <w:rStyle w:val="ab"/>
          <w:color w:val="000000"/>
          <w:rtl/>
          <w:lang w:bidi="ar-EG"/>
        </w:rPr>
        <w:footnoteReference w:id="17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لا بد من أن يقبل الدائن الواعد حتى يتم عقد الوعد بالكفالة</w:t>
      </w:r>
      <w:r>
        <w:rPr>
          <w:rFonts w:hint="cs"/>
          <w:color w:val="000000"/>
          <w:rtl/>
          <w:lang w:bidi="ar-EG"/>
        </w:rPr>
        <w:t xml:space="preserve"> ،</w:t>
      </w:r>
      <w:r w:rsidRPr="00315653">
        <w:rPr>
          <w:rFonts w:hint="cs"/>
          <w:color w:val="000000"/>
          <w:rtl/>
          <w:lang w:bidi="ar-EG"/>
        </w:rPr>
        <w:t xml:space="preserve"> وقبل قبول الدائن لا يكون هناك لا كفالة ولا وعد بالكفالة</w:t>
      </w:r>
      <w:r>
        <w:rPr>
          <w:rFonts w:hint="cs"/>
          <w:color w:val="000000"/>
          <w:rtl/>
          <w:lang w:bidi="ar-EG"/>
        </w:rPr>
        <w:t xml:space="preserve"> .</w:t>
      </w:r>
      <w:r w:rsidRPr="00315653">
        <w:rPr>
          <w:rFonts w:hint="cs"/>
          <w:color w:val="000000"/>
          <w:rtl/>
          <w:lang w:bidi="ar-EG"/>
        </w:rPr>
        <w:t xml:space="preserve"> أما إذا صدر الوعد للمدين لا للدائن</w:t>
      </w:r>
      <w:r>
        <w:rPr>
          <w:rFonts w:hint="cs"/>
          <w:color w:val="000000"/>
          <w:rtl/>
          <w:lang w:bidi="ar-EG"/>
        </w:rPr>
        <w:t xml:space="preserve"> ،</w:t>
      </w:r>
      <w:r w:rsidRPr="00315653">
        <w:rPr>
          <w:rFonts w:hint="cs"/>
          <w:color w:val="000000"/>
          <w:rtl/>
          <w:lang w:bidi="ar-EG"/>
        </w:rPr>
        <w:t xml:space="preserve"> وقبله المدين</w:t>
      </w:r>
      <w:r>
        <w:rPr>
          <w:rFonts w:hint="cs"/>
          <w:color w:val="000000"/>
          <w:rtl/>
          <w:lang w:bidi="ar-EG"/>
        </w:rPr>
        <w:t xml:space="preserve"> ،</w:t>
      </w:r>
      <w:r w:rsidRPr="00315653">
        <w:rPr>
          <w:rFonts w:hint="cs"/>
          <w:color w:val="000000"/>
          <w:rtl/>
          <w:lang w:bidi="ar-EG"/>
        </w:rPr>
        <w:t xml:space="preserve"> جاز للدائن أن يستخلص من ذلك اشتراطاً لمصلحته فيتولد له حق مباشر من هذا الاشتراط</w:t>
      </w:r>
      <w:r>
        <w:rPr>
          <w:rFonts w:hint="cs"/>
          <w:color w:val="000000"/>
          <w:rtl/>
          <w:lang w:bidi="ar-EG"/>
        </w:rPr>
        <w:t xml:space="preserve"> ،</w:t>
      </w:r>
      <w:r w:rsidRPr="00315653">
        <w:rPr>
          <w:rFonts w:hint="cs"/>
          <w:color w:val="000000"/>
          <w:rtl/>
          <w:lang w:bidi="ar-EG"/>
        </w:rPr>
        <w:t xml:space="preserve"> إذا تمسك به أكنه أن يلزم الواعد بوعده</w:t>
      </w:r>
      <w:r>
        <w:rPr>
          <w:rFonts w:hint="cs"/>
          <w:color w:val="000000"/>
          <w:rtl/>
          <w:lang w:bidi="ar-EG"/>
        </w:rPr>
        <w:t xml:space="preserve"> .</w:t>
      </w:r>
      <w:r w:rsidRPr="00315653">
        <w:rPr>
          <w:rFonts w:hint="cs"/>
          <w:color w:val="000000"/>
          <w:rtl/>
          <w:lang w:bidi="ar-EG"/>
        </w:rPr>
        <w:t xml:space="preserve"> وأهمية هذه الصورة في العمل هي في أن المدين يستطيع أن يحصل من شخص على وعد بالكفالة</w:t>
      </w:r>
      <w:r>
        <w:rPr>
          <w:rFonts w:hint="cs"/>
          <w:color w:val="000000"/>
          <w:rtl/>
          <w:lang w:bidi="ar-EG"/>
        </w:rPr>
        <w:t xml:space="preserve"> ،</w:t>
      </w:r>
      <w:r w:rsidRPr="00315653">
        <w:rPr>
          <w:rFonts w:hint="cs"/>
          <w:color w:val="000000"/>
          <w:rtl/>
          <w:lang w:bidi="ar-EG"/>
        </w:rPr>
        <w:t xml:space="preserve"> حتى قبل أن يعرف الدائن وقبل أن ينشأ الدين</w:t>
      </w:r>
      <w:r>
        <w:rPr>
          <w:rFonts w:hint="cs"/>
          <w:color w:val="000000"/>
          <w:rtl/>
          <w:lang w:bidi="ar-EG"/>
        </w:rPr>
        <w:t xml:space="preserve"> ،</w:t>
      </w:r>
      <w:r w:rsidRPr="00315653">
        <w:rPr>
          <w:rFonts w:hint="cs"/>
          <w:color w:val="000000"/>
          <w:rtl/>
          <w:lang w:bidi="ar-EG"/>
        </w:rPr>
        <w:t xml:space="preserve"> فإنه يجوز الاشتراط لمصلحة شخص غير معلوم وغير معين</w:t>
      </w:r>
      <w:r>
        <w:rPr>
          <w:rFonts w:hint="cs"/>
          <w:color w:val="000000"/>
          <w:vertAlign w:val="superscript"/>
          <w:rtl/>
          <w:lang w:bidi="ar-EG"/>
        </w:rPr>
        <w:t xml:space="preserve">( </w:t>
      </w:r>
      <w:r w:rsidRPr="00315653">
        <w:rPr>
          <w:rStyle w:val="ab"/>
          <w:color w:val="000000"/>
          <w:rtl/>
          <w:lang w:bidi="ar-EG"/>
        </w:rPr>
        <w:footnoteReference w:id="17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30- شكل الكفالة</w:t>
      </w:r>
      <w:r>
        <w:rPr>
          <w:rFonts w:hint="cs"/>
          <w:color w:val="000000"/>
          <w:rtl/>
          <w:lang w:bidi="ar-EG"/>
        </w:rPr>
        <w:t xml:space="preserve"> :</w:t>
      </w:r>
      <w:r w:rsidRPr="00315653">
        <w:rPr>
          <w:rFonts w:hint="cs"/>
          <w:color w:val="000000"/>
          <w:rtl/>
          <w:lang w:bidi="ar-EG"/>
        </w:rPr>
        <w:t xml:space="preserve"> الكفالة من عقود التراضي لا يشترط في انعقادها شكل خاص</w:t>
      </w:r>
      <w:r>
        <w:rPr>
          <w:rFonts w:hint="cs"/>
          <w:color w:val="000000"/>
          <w:vertAlign w:val="superscript"/>
          <w:rtl/>
          <w:lang w:bidi="ar-EG"/>
        </w:rPr>
        <w:t xml:space="preserve">( </w:t>
      </w:r>
      <w:r w:rsidRPr="00315653">
        <w:rPr>
          <w:rStyle w:val="ab"/>
          <w:color w:val="000000"/>
          <w:rtl/>
          <w:lang w:bidi="ar-EG"/>
        </w:rPr>
        <w:footnoteReference w:id="17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بل كل تعبير عن الإرادة يفيد الرضاء من جانب الكفيل ومن جانب الدائن يكفي لانعقادها</w:t>
      </w:r>
      <w:r>
        <w:rPr>
          <w:rFonts w:hint="cs"/>
          <w:color w:val="000000"/>
          <w:rtl/>
          <w:lang w:bidi="ar-EG"/>
        </w:rPr>
        <w:t xml:space="preserve"> ،</w:t>
      </w:r>
      <w:r w:rsidRPr="00315653">
        <w:rPr>
          <w:rFonts w:hint="cs"/>
          <w:color w:val="000000"/>
          <w:rtl/>
          <w:lang w:bidi="ar-EG"/>
        </w:rPr>
        <w:t xml:space="preserve"> وقد تقدم بيان ذلك</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غير أن هناك فرقاً بين رضاء الكفيل ورضاء الدائن</w:t>
      </w:r>
      <w:r>
        <w:rPr>
          <w:rFonts w:hint="cs"/>
          <w:color w:val="000000"/>
          <w:rtl/>
          <w:lang w:bidi="ar-EG"/>
        </w:rPr>
        <w:t xml:space="preserve"> .</w:t>
      </w:r>
      <w:r w:rsidRPr="00315653">
        <w:rPr>
          <w:rFonts w:hint="cs"/>
          <w:color w:val="000000"/>
          <w:rtl/>
          <w:lang w:bidi="ar-EG"/>
        </w:rPr>
        <w:t xml:space="preserve"> فالكفيل عادة متبرع</w:t>
      </w:r>
      <w:r>
        <w:rPr>
          <w:rFonts w:hint="cs"/>
          <w:color w:val="000000"/>
          <w:rtl/>
          <w:lang w:bidi="ar-EG"/>
        </w:rPr>
        <w:t xml:space="preserve"> ،</w:t>
      </w:r>
      <w:r w:rsidRPr="00315653">
        <w:rPr>
          <w:rFonts w:hint="cs"/>
          <w:color w:val="000000"/>
          <w:rtl/>
          <w:lang w:bidi="ar-EG"/>
        </w:rPr>
        <w:t xml:space="preserve"> فيجب أن يكون رضاؤه واضحاً كما سبق القول</w:t>
      </w:r>
      <w:r>
        <w:rPr>
          <w:rFonts w:hint="cs"/>
          <w:color w:val="000000"/>
          <w:rtl/>
          <w:lang w:bidi="ar-EG"/>
        </w:rPr>
        <w:t xml:space="preserve"> .</w:t>
      </w:r>
      <w:r w:rsidRPr="00315653">
        <w:rPr>
          <w:rFonts w:hint="cs"/>
          <w:color w:val="000000"/>
          <w:rtl/>
          <w:lang w:bidi="ar-EG"/>
        </w:rPr>
        <w:t xml:space="preserve"> وكثيراً ما يتورط الكفيل في التزامه بالكفالة</w:t>
      </w:r>
      <w:r>
        <w:rPr>
          <w:rFonts w:hint="cs"/>
          <w:color w:val="000000"/>
          <w:rtl/>
          <w:lang w:bidi="ar-EG"/>
        </w:rPr>
        <w:t xml:space="preserve"> ،</w:t>
      </w:r>
      <w:r w:rsidRPr="00315653">
        <w:rPr>
          <w:rFonts w:hint="cs"/>
          <w:color w:val="000000"/>
          <w:rtl/>
          <w:lang w:bidi="ar-EG"/>
        </w:rPr>
        <w:t xml:space="preserve"> ويخيل إليه عند الإقدام عليها أن المدين الذي كفله سيقوم بتنفيذ التزامه</w:t>
      </w:r>
      <w:r>
        <w:rPr>
          <w:rFonts w:hint="cs"/>
          <w:color w:val="000000"/>
          <w:rtl/>
          <w:lang w:bidi="ar-EG"/>
        </w:rPr>
        <w:t xml:space="preserve"> .</w:t>
      </w:r>
      <w:r w:rsidRPr="00315653">
        <w:rPr>
          <w:rFonts w:hint="cs"/>
          <w:color w:val="000000"/>
          <w:rtl/>
          <w:lang w:bidi="ar-EG"/>
        </w:rPr>
        <w:t xml:space="preserve"> ثم ما يلبث أن يتبين أن المدين غير قادر على الوفاء بالتزامه</w:t>
      </w:r>
      <w:r>
        <w:rPr>
          <w:rFonts w:hint="cs"/>
          <w:color w:val="000000"/>
          <w:rtl/>
          <w:lang w:bidi="ar-EG"/>
        </w:rPr>
        <w:t xml:space="preserve"> ،</w:t>
      </w:r>
      <w:r w:rsidRPr="00315653">
        <w:rPr>
          <w:rFonts w:hint="cs"/>
          <w:color w:val="000000"/>
          <w:rtl/>
          <w:lang w:bidi="ar-EG"/>
        </w:rPr>
        <w:t xml:space="preserve"> إما من الوقت الذي أصبح فيه مديناً أو بعد ذلك لظروف جدت</w:t>
      </w:r>
      <w:r>
        <w:rPr>
          <w:rFonts w:hint="cs"/>
          <w:color w:val="000000"/>
          <w:rtl/>
          <w:lang w:bidi="ar-EG"/>
        </w:rPr>
        <w:t xml:space="preserve"> ،</w:t>
      </w:r>
      <w:r w:rsidRPr="00315653">
        <w:rPr>
          <w:rFonts w:hint="cs"/>
          <w:color w:val="000000"/>
          <w:rtl/>
          <w:lang w:bidi="ar-EG"/>
        </w:rPr>
        <w:t xml:space="preserve"> فيرجع الدائن على الكفيل ليقوم عن المدين بوفاء الالتزام</w:t>
      </w:r>
      <w:r>
        <w:rPr>
          <w:rFonts w:hint="cs"/>
          <w:color w:val="000000"/>
          <w:rtl/>
          <w:lang w:bidi="ar-EG"/>
        </w:rPr>
        <w:t xml:space="preserve"> .</w:t>
      </w:r>
      <w:r w:rsidRPr="00315653">
        <w:rPr>
          <w:rFonts w:hint="cs"/>
          <w:color w:val="000000"/>
          <w:rtl/>
          <w:lang w:bidi="ar-EG"/>
        </w:rPr>
        <w:t xml:space="preserve"> وقد يعرض الكفيل نفسه لخسارة كبيرة</w:t>
      </w:r>
      <w:r>
        <w:rPr>
          <w:rFonts w:hint="cs"/>
          <w:color w:val="000000"/>
          <w:rtl/>
          <w:lang w:bidi="ar-EG"/>
        </w:rPr>
        <w:t xml:space="preserve"> ،</w:t>
      </w:r>
      <w:r w:rsidRPr="00315653">
        <w:rPr>
          <w:rFonts w:hint="cs"/>
          <w:color w:val="000000"/>
          <w:rtl/>
          <w:lang w:bidi="ar-EG"/>
        </w:rPr>
        <w:t xml:space="preserve"> بل قد يعسر أو يفلس كنتيجة مباشرة $76 لكفالته مديناً معسراً</w:t>
      </w:r>
      <w:r>
        <w:rPr>
          <w:rFonts w:hint="cs"/>
          <w:color w:val="000000"/>
          <w:rtl/>
          <w:lang w:bidi="ar-EG"/>
        </w:rPr>
        <w:t xml:space="preserve"> ،</w:t>
      </w:r>
      <w:r w:rsidRPr="00315653">
        <w:rPr>
          <w:rFonts w:hint="cs"/>
          <w:color w:val="000000"/>
          <w:rtl/>
          <w:lang w:bidi="ar-EG"/>
        </w:rPr>
        <w:t xml:space="preserve"> لذلك تعبر الناس عن هذه الحقيقة التي تقع كثيراً في العمل بقولهم "التضامن غارم"</w:t>
      </w:r>
      <w:r>
        <w:rPr>
          <w:rFonts w:hint="cs"/>
          <w:color w:val="000000"/>
          <w:rtl/>
          <w:lang w:bidi="ar-EG"/>
        </w:rPr>
        <w:t xml:space="preserve"> .</w:t>
      </w:r>
      <w:r w:rsidRPr="00315653">
        <w:rPr>
          <w:rFonts w:hint="cs"/>
          <w:color w:val="000000"/>
          <w:rtl/>
          <w:lang w:bidi="ar-EG"/>
        </w:rPr>
        <w:t xml:space="preserve"> من أجل ذلك اشترط التقنين المدني الفرنسي أن يكون رضاء الكفيل بالكفالة رضاء صريحاً </w:t>
      </w:r>
      <w:r>
        <w:rPr>
          <w:color w:val="000000"/>
          <w:rtl/>
          <w:lang w:bidi="ar-EG"/>
        </w:rPr>
        <w:t xml:space="preserve">( </w:t>
      </w:r>
      <w:r w:rsidRPr="00315653">
        <w:rPr>
          <w:color w:val="000000"/>
          <w:lang w:bidi="ar-EG"/>
        </w:rPr>
        <w:t>expres</w:t>
      </w:r>
      <w:r>
        <w:rPr>
          <w:color w:val="000000"/>
          <w:rtl/>
          <w:lang w:bidi="ar-EG"/>
        </w:rPr>
        <w:t xml:space="preserve"> )</w:t>
      </w:r>
      <w:r>
        <w:rPr>
          <w:rFonts w:hint="cs"/>
          <w:color w:val="000000"/>
          <w:rtl/>
        </w:rPr>
        <w:t xml:space="preserve"> ،</w:t>
      </w:r>
      <w:r w:rsidRPr="00315653">
        <w:rPr>
          <w:rFonts w:hint="cs"/>
          <w:color w:val="000000"/>
          <w:rtl/>
        </w:rPr>
        <w:t xml:space="preserve"> فلا يصح أن يستخلص رضاؤه ضمناً من الظروف فنصت المادة 2015 من هذا التقنين على أن "الكفالة لا تفترض بل يجب أن تكون صريحة</w:t>
      </w:r>
      <w:r>
        <w:rPr>
          <w:rFonts w:hint="cs"/>
          <w:color w:val="000000"/>
          <w:rtl/>
        </w:rPr>
        <w:t xml:space="preserve"> ،</w:t>
      </w:r>
      <w:r w:rsidRPr="00315653">
        <w:rPr>
          <w:rFonts w:hint="cs"/>
          <w:color w:val="000000"/>
          <w:rtl/>
        </w:rPr>
        <w:t xml:space="preserve"> ولا يجوز التوسع فيها إلى أبعد من الحدود التي عقدت الكفالة في نطاقها"</w:t>
      </w:r>
      <w:r>
        <w:rPr>
          <w:rFonts w:hint="cs"/>
          <w:color w:val="000000"/>
          <w:rtl/>
        </w:rPr>
        <w:t xml:space="preserve"> .</w:t>
      </w:r>
      <w:r w:rsidRPr="00315653">
        <w:rPr>
          <w:rFonts w:hint="cs"/>
          <w:color w:val="000000"/>
          <w:rtl/>
        </w:rPr>
        <w:t xml:space="preserve"> والمقصود بالكفالة في النص هو دون شك رضاء الكفيل لا رضاء الدائن</w:t>
      </w:r>
      <w:r>
        <w:rPr>
          <w:rFonts w:hint="cs"/>
          <w:color w:val="000000"/>
          <w:rtl/>
        </w:rPr>
        <w:t xml:space="preserve"> ،</w:t>
      </w:r>
      <w:r w:rsidRPr="00315653">
        <w:rPr>
          <w:rFonts w:hint="cs"/>
          <w:color w:val="000000"/>
          <w:rtl/>
        </w:rPr>
        <w:t xml:space="preserve"> فالكفيل هو الذي يتعرض لمخاطر الكفالة في حين أن الدائن يجني فائدتها</w:t>
      </w:r>
      <w:r>
        <w:rPr>
          <w:rFonts w:hint="cs"/>
          <w:color w:val="000000"/>
          <w:rtl/>
        </w:rPr>
        <w:t xml:space="preserve"> ،</w:t>
      </w:r>
      <w:r w:rsidRPr="00315653">
        <w:rPr>
          <w:rFonts w:hint="cs"/>
          <w:color w:val="000000"/>
          <w:rtl/>
        </w:rPr>
        <w:t xml:space="preserve"> لذلك اشترط التقنين المدني الفرنسي أن يكون رضاء الكفيل بالكفالة وتعريض نفسه لمخاطرها رضاء صريحاً</w:t>
      </w:r>
      <w:r>
        <w:rPr>
          <w:rFonts w:hint="cs"/>
          <w:color w:val="000000"/>
          <w:rtl/>
        </w:rPr>
        <w:t xml:space="preserve"> ،</w:t>
      </w:r>
      <w:r w:rsidRPr="00315653">
        <w:rPr>
          <w:rFonts w:hint="cs"/>
          <w:color w:val="000000"/>
          <w:rtl/>
        </w:rPr>
        <w:t xml:space="preserve"> ولا يكفي الرضاء الضمني</w:t>
      </w:r>
      <w:r>
        <w:rPr>
          <w:rFonts w:hint="cs"/>
          <w:color w:val="000000"/>
          <w:rtl/>
        </w:rPr>
        <w:t xml:space="preserve"> .</w:t>
      </w:r>
      <w:r w:rsidRPr="00315653">
        <w:rPr>
          <w:rFonts w:hint="cs"/>
          <w:color w:val="000000"/>
          <w:rtl/>
        </w:rPr>
        <w:t xml:space="preserve"> ولم يرد في التقنين المدني المصري نص يقابل نص المادة 2015 فرنسي</w:t>
      </w:r>
      <w:r>
        <w:rPr>
          <w:rFonts w:hint="cs"/>
          <w:color w:val="000000"/>
          <w:rtl/>
        </w:rPr>
        <w:t xml:space="preserve"> ،</w:t>
      </w:r>
      <w:r w:rsidRPr="00315653">
        <w:rPr>
          <w:rFonts w:hint="cs"/>
          <w:color w:val="000000"/>
          <w:rtl/>
        </w:rPr>
        <w:t xml:space="preserve"> لكن لا شك في أن رضاء الكفيل بالكفالة في القانون المصري يجب أن يكون واضحاً وضوحاً كافياً كما سبق القول</w:t>
      </w:r>
      <w:r>
        <w:rPr>
          <w:rFonts w:hint="cs"/>
          <w:color w:val="000000"/>
          <w:rtl/>
        </w:rPr>
        <w:t xml:space="preserve"> ،</w:t>
      </w:r>
      <w:r w:rsidRPr="00315653">
        <w:rPr>
          <w:rFonts w:hint="cs"/>
          <w:color w:val="000000"/>
          <w:rtl/>
        </w:rPr>
        <w:t xml:space="preserve"> فإذا غم الأمر وجب التسليم بأن </w:t>
      </w:r>
      <w:r w:rsidRPr="00315653">
        <w:rPr>
          <w:rFonts w:hint="cs"/>
          <w:color w:val="000000"/>
          <w:rtl/>
        </w:rPr>
        <w:lastRenderedPageBreak/>
        <w:t>رضاء الكفيل لا يعتد به لأنه غير واضح</w:t>
      </w:r>
      <w:r>
        <w:rPr>
          <w:rFonts w:hint="cs"/>
          <w:color w:val="000000"/>
          <w:vertAlign w:val="superscript"/>
          <w:rtl/>
          <w:lang w:bidi="ar-EG"/>
        </w:rPr>
        <w:t xml:space="preserve">( </w:t>
      </w:r>
      <w:r w:rsidRPr="00315653">
        <w:rPr>
          <w:rStyle w:val="ab"/>
          <w:color w:val="000000"/>
          <w:rtl/>
          <w:lang w:bidi="ar-EG"/>
        </w:rPr>
        <w:footnoteReference w:id="17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وهذا بخلاف رضاء الدائن</w:t>
      </w:r>
      <w:r>
        <w:rPr>
          <w:rFonts w:hint="cs"/>
          <w:color w:val="000000"/>
          <w:rtl/>
        </w:rPr>
        <w:t xml:space="preserve"> ،</w:t>
      </w:r>
      <w:r w:rsidRPr="00315653">
        <w:rPr>
          <w:rFonts w:hint="cs"/>
          <w:color w:val="000000"/>
          <w:rtl/>
        </w:rPr>
        <w:t xml:space="preserve"> فإن الكفالة تكون عادة لمصلحته</w:t>
      </w:r>
      <w:r>
        <w:rPr>
          <w:rFonts w:hint="cs"/>
          <w:color w:val="000000"/>
          <w:rtl/>
        </w:rPr>
        <w:t xml:space="preserve"> .</w:t>
      </w:r>
      <w:r w:rsidRPr="00315653">
        <w:rPr>
          <w:rFonts w:hint="cs"/>
          <w:color w:val="000000"/>
          <w:rtl/>
        </w:rPr>
        <w:t xml:space="preserve"> لذلك لا يشترط في رضائه أن يكون صريحاً</w:t>
      </w:r>
      <w:r>
        <w:rPr>
          <w:rFonts w:hint="cs"/>
          <w:color w:val="000000"/>
          <w:rtl/>
        </w:rPr>
        <w:t xml:space="preserve"> ،</w:t>
      </w:r>
      <w:r w:rsidRPr="00315653">
        <w:rPr>
          <w:rFonts w:hint="cs"/>
          <w:color w:val="000000"/>
          <w:rtl/>
        </w:rPr>
        <w:t xml:space="preserve"> بل ولا أن يكون واضحاً</w:t>
      </w:r>
      <w:r>
        <w:rPr>
          <w:rFonts w:hint="cs"/>
          <w:color w:val="000000"/>
          <w:rtl/>
        </w:rPr>
        <w:t xml:space="preserve"> .</w:t>
      </w:r>
      <w:r w:rsidRPr="00315653">
        <w:rPr>
          <w:rFonts w:hint="cs"/>
          <w:color w:val="000000"/>
          <w:rtl/>
        </w:rPr>
        <w:t xml:space="preserve"> فيكفي استخلاص هذا الرضاء من الظروف والقرائن</w:t>
      </w:r>
      <w:r>
        <w:rPr>
          <w:rFonts w:hint="cs"/>
          <w:color w:val="000000"/>
          <w:rtl/>
        </w:rPr>
        <w:t xml:space="preserve"> ،</w:t>
      </w:r>
      <w:r w:rsidRPr="00315653">
        <w:rPr>
          <w:rFonts w:hint="cs"/>
          <w:color w:val="000000"/>
          <w:rtl/>
        </w:rPr>
        <w:t xml:space="preserve"> ولذلك جاز أن يكون قبول الدائن بالكفالة قبولا ضمنياً</w:t>
      </w:r>
      <w:r>
        <w:rPr>
          <w:rFonts w:hint="cs"/>
          <w:color w:val="000000"/>
          <w:rtl/>
        </w:rPr>
        <w:t xml:space="preserve"> .</w:t>
      </w:r>
      <w:r w:rsidRPr="00315653">
        <w:rPr>
          <w:rFonts w:hint="cs"/>
          <w:color w:val="000000"/>
          <w:rtl/>
        </w:rPr>
        <w:t xml:space="preserve"> وقد قضي بأنه يعتبر رضاء ضمنياً من الدائن بالكفالة احتفاظه بسندها</w:t>
      </w:r>
      <w:r>
        <w:rPr>
          <w:rFonts w:hint="cs"/>
          <w:color w:val="000000"/>
          <w:rtl/>
        </w:rPr>
        <w:t xml:space="preserve"> ،</w:t>
      </w:r>
      <w:r w:rsidRPr="00315653">
        <w:rPr>
          <w:rFonts w:hint="cs"/>
          <w:color w:val="000000"/>
          <w:rtl/>
        </w:rPr>
        <w:t xml:space="preserve"> وتنفيذ هذا السند على الكفيل</w:t>
      </w:r>
      <w:r>
        <w:rPr>
          <w:rFonts w:hint="cs"/>
          <w:color w:val="000000"/>
          <w:vertAlign w:val="superscript"/>
          <w:rtl/>
          <w:lang w:bidi="ar-EG"/>
        </w:rPr>
        <w:t xml:space="preserve">( </w:t>
      </w:r>
      <w:r w:rsidRPr="00315653">
        <w:rPr>
          <w:rStyle w:val="ab"/>
          <w:color w:val="000000"/>
          <w:rtl/>
          <w:lang w:bidi="ar-EG"/>
        </w:rPr>
        <w:footnoteReference w:id="17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وقد تتخذ الكفالة شكل ورقة تجارية</w:t>
      </w:r>
      <w:r>
        <w:rPr>
          <w:rFonts w:hint="cs"/>
          <w:color w:val="000000"/>
          <w:rtl/>
          <w:lang w:bidi="ar-EG"/>
        </w:rPr>
        <w:t xml:space="preserve"> ،</w:t>
      </w:r>
      <w:r w:rsidRPr="00315653">
        <w:rPr>
          <w:rFonts w:hint="cs"/>
          <w:color w:val="000000"/>
          <w:rtl/>
          <w:lang w:bidi="ar-EG"/>
        </w:rPr>
        <w:t xml:space="preserve"> كمبيالة أو سند إذني</w:t>
      </w:r>
      <w:r>
        <w:rPr>
          <w:rFonts w:hint="cs"/>
          <w:color w:val="000000"/>
          <w:rtl/>
          <w:lang w:bidi="ar-EG"/>
        </w:rPr>
        <w:t xml:space="preserve"> .</w:t>
      </w:r>
      <w:r w:rsidRPr="00315653">
        <w:rPr>
          <w:rFonts w:hint="cs"/>
          <w:color w:val="000000"/>
          <w:rtl/>
          <w:lang w:bidi="ar-EG"/>
        </w:rPr>
        <w:t xml:space="preserve"> والأصل أن التزام الكفيل موقع الورقة التجارية هو التزام أصلي لا التزام كفيل تابع</w:t>
      </w:r>
      <w:r>
        <w:rPr>
          <w:rFonts w:hint="cs"/>
          <w:color w:val="000000"/>
          <w:vertAlign w:val="superscript"/>
          <w:rtl/>
          <w:lang w:bidi="ar-EG"/>
        </w:rPr>
        <w:t xml:space="preserve">( </w:t>
      </w:r>
      <w:r w:rsidRPr="00315653">
        <w:rPr>
          <w:rStyle w:val="ab"/>
          <w:color w:val="000000"/>
          <w:rtl/>
          <w:lang w:bidi="ar-EG"/>
        </w:rPr>
        <w:footnoteReference w:id="17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قد يتفق الكفيل مع الدائن على أن يوقع له كمبيالة أو سنداً إذنياً على سبيل الكفالة</w:t>
      </w:r>
      <w:r>
        <w:rPr>
          <w:rFonts w:hint="cs"/>
          <w:color w:val="000000"/>
          <w:vertAlign w:val="superscript"/>
          <w:rtl/>
          <w:lang w:bidi="ar-EG"/>
        </w:rPr>
        <w:t xml:space="preserve">( </w:t>
      </w:r>
      <w:r w:rsidRPr="00315653">
        <w:rPr>
          <w:rStyle w:val="ab"/>
          <w:color w:val="000000"/>
          <w:rtl/>
          <w:lang w:bidi="ar-EG"/>
        </w:rPr>
        <w:footnoteReference w:id="17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ويكون الكفيل في هذه الحالة متضامناً مع المدين</w:t>
      </w:r>
      <w:r>
        <w:rPr>
          <w:rFonts w:hint="cs"/>
          <w:color w:val="000000"/>
          <w:rtl/>
          <w:lang w:bidi="ar-EG"/>
        </w:rPr>
        <w:t xml:space="preserve"> ،</w:t>
      </w:r>
      <w:r w:rsidRPr="00315653">
        <w:rPr>
          <w:rFonts w:hint="cs"/>
          <w:color w:val="000000"/>
          <w:rtl/>
          <w:lang w:bidi="ar-EG"/>
        </w:rPr>
        <w:t xml:space="preserve"> ولكن تسري عليه أحكام الكفيل</w:t>
      </w:r>
      <w:r>
        <w:rPr>
          <w:rFonts w:hint="cs"/>
          <w:color w:val="000000"/>
          <w:rtl/>
          <w:lang w:bidi="ar-EG"/>
        </w:rPr>
        <w:t xml:space="preserve"> ،</w:t>
      </w:r>
      <w:r w:rsidRPr="00315653">
        <w:rPr>
          <w:rFonts w:hint="cs"/>
          <w:color w:val="000000"/>
          <w:rtl/>
          <w:lang w:bidi="ar-EG"/>
        </w:rPr>
        <w:t xml:space="preserve"> وبخاصة في الرجوع على المدين وعلى الكفلاء الآخرين وفي الاحتجاج على الدائن بقدر ما أضاعه هذا بخطأه من الضمانات</w:t>
      </w:r>
      <w:r>
        <w:rPr>
          <w:rFonts w:hint="cs"/>
          <w:color w:val="000000"/>
          <w:vertAlign w:val="superscript"/>
          <w:rtl/>
          <w:lang w:bidi="ar-EG"/>
        </w:rPr>
        <w:t xml:space="preserve">( </w:t>
      </w:r>
      <w:r w:rsidRPr="00315653">
        <w:rPr>
          <w:rStyle w:val="ab"/>
          <w:color w:val="000000"/>
          <w:rtl/>
          <w:lang w:bidi="ar-EG"/>
        </w:rPr>
        <w:footnoteReference w:id="17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ويلاحظ أن محيلي الورقة التجارية والضامن الاحتياطي إنما هم كفلاء متضامنون مع المدين</w:t>
      </w:r>
      <w:r>
        <w:rPr>
          <w:rFonts w:hint="cs"/>
          <w:color w:val="000000"/>
          <w:rtl/>
          <w:lang w:bidi="ar-EG"/>
        </w:rPr>
        <w:t xml:space="preserve"> ،</w:t>
      </w:r>
      <w:r w:rsidRPr="00315653">
        <w:rPr>
          <w:rFonts w:hint="cs"/>
          <w:color w:val="000000"/>
          <w:rtl/>
          <w:lang w:bidi="ar-EG"/>
        </w:rPr>
        <w:t xml:space="preserve"> وقد تقدم ذكر ذلك</w:t>
      </w:r>
      <w:r>
        <w:rPr>
          <w:rFonts w:hint="cs"/>
          <w:color w:val="000000"/>
          <w:vertAlign w:val="superscript"/>
          <w:rtl/>
          <w:lang w:bidi="ar-EG"/>
        </w:rPr>
        <w:t xml:space="preserve">( </w:t>
      </w:r>
      <w:r w:rsidRPr="00315653">
        <w:rPr>
          <w:rStyle w:val="ab"/>
          <w:color w:val="000000"/>
          <w:rtl/>
          <w:lang w:bidi="ar-EG"/>
        </w:rPr>
        <w:footnoteReference w:id="17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والتزام الكفيل بموجب ورقة تجارية يكون التزاماً تجارياً لا مدنياً</w:t>
      </w:r>
      <w:r>
        <w:rPr>
          <w:rFonts w:hint="cs"/>
          <w:color w:val="000000"/>
          <w:rtl/>
          <w:lang w:bidi="ar-EG"/>
        </w:rPr>
        <w:t xml:space="preserve"> ،</w:t>
      </w:r>
      <w:r w:rsidRPr="00315653">
        <w:rPr>
          <w:rFonts w:hint="cs"/>
          <w:color w:val="000000"/>
          <w:rtl/>
          <w:lang w:bidi="ar-EG"/>
        </w:rPr>
        <w:t xml:space="preserve"> فيكون سعر الفائدة التأخيرية هو السعر التجاري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sidRPr="00315653">
        <w:rPr>
          <w:rFonts w:hint="cs"/>
          <w:color w:val="000000"/>
          <w:rtl/>
          <w:lang w:bidi="ar-EG"/>
        </w:rPr>
        <w:t xml:space="preserve"> أو يكون الاختصاص للقضاء التجاري</w:t>
      </w:r>
      <w:r>
        <w:rPr>
          <w:rFonts w:hint="cs"/>
          <w:color w:val="000000"/>
          <w:rtl/>
          <w:lang w:bidi="ar-EG"/>
        </w:rPr>
        <w:t xml:space="preserve"> ،</w:t>
      </w:r>
      <w:r w:rsidRPr="00315653">
        <w:rPr>
          <w:rFonts w:hint="cs"/>
          <w:color w:val="000000"/>
          <w:rtl/>
          <w:lang w:bidi="ar-EG"/>
        </w:rPr>
        <w:t xml:space="preserve"> ولا يستطيع الكفيل بالورقة التجارية أن يحتج على الدائن بالدفوع التي يحتج بها المدين الأصلي</w:t>
      </w:r>
      <w:r>
        <w:rPr>
          <w:rFonts w:hint="cs"/>
          <w:color w:val="000000"/>
          <w:vertAlign w:val="superscript"/>
          <w:rtl/>
          <w:lang w:bidi="ar-EG"/>
        </w:rPr>
        <w:t xml:space="preserve">( </w:t>
      </w:r>
      <w:r w:rsidRPr="00315653">
        <w:rPr>
          <w:rStyle w:val="ab"/>
          <w:color w:val="000000"/>
          <w:rtl/>
          <w:lang w:bidi="ar-EG"/>
        </w:rPr>
        <w:footnoteReference w:id="18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w:t>
      </w:r>
      <w:r w:rsidRPr="00315653">
        <w:rPr>
          <w:rFonts w:hint="cs"/>
          <w:color w:val="000000"/>
          <w:rtl/>
          <w:lang w:bidi="ar-EG"/>
        </w:rPr>
        <w:lastRenderedPageBreak/>
        <w:t>تتخذ الكفالة شكل الاشتراط لمصلحة الغير</w:t>
      </w:r>
      <w:r>
        <w:rPr>
          <w:rFonts w:hint="cs"/>
          <w:color w:val="000000"/>
          <w:rtl/>
          <w:lang w:bidi="ar-EG"/>
        </w:rPr>
        <w:t xml:space="preserve"> ،</w:t>
      </w:r>
      <w:r w:rsidRPr="00315653">
        <w:rPr>
          <w:rFonts w:hint="cs"/>
          <w:color w:val="000000"/>
          <w:rtl/>
          <w:lang w:bidi="ar-EG"/>
        </w:rPr>
        <w:t xml:space="preserve"> فيتفق المدين مع الكفيل على أن الثاني يكفل الأول</w:t>
      </w:r>
      <w:r>
        <w:rPr>
          <w:rFonts w:hint="cs"/>
          <w:color w:val="000000"/>
          <w:rtl/>
          <w:lang w:bidi="ar-EG"/>
        </w:rPr>
        <w:t xml:space="preserve"> ،</w:t>
      </w:r>
      <w:r w:rsidRPr="00315653">
        <w:rPr>
          <w:rFonts w:hint="cs"/>
          <w:color w:val="000000"/>
          <w:rtl/>
          <w:lang w:bidi="ar-EG"/>
        </w:rPr>
        <w:t xml:space="preserve"> فيلتزم الكفيل بذلك</w:t>
      </w:r>
      <w:r>
        <w:rPr>
          <w:rFonts w:hint="cs"/>
          <w:color w:val="000000"/>
          <w:rtl/>
          <w:lang w:bidi="ar-EG"/>
        </w:rPr>
        <w:t xml:space="preserve"> .</w:t>
      </w:r>
      <w:r w:rsidRPr="00315653">
        <w:rPr>
          <w:rFonts w:hint="cs"/>
          <w:color w:val="000000"/>
          <w:rtl/>
          <w:lang w:bidi="ar-EG"/>
        </w:rPr>
        <w:t xml:space="preserve"> ويستخلص الدائن من هذا الاتفاق اشتراطاً لمصلحته فيتولد له حق مباشرة من هذا الاشتراط يستطيع أن يتمسك به</w:t>
      </w:r>
      <w:r>
        <w:rPr>
          <w:rFonts w:hint="cs"/>
          <w:color w:val="000000"/>
          <w:rtl/>
          <w:lang w:bidi="ar-EG"/>
        </w:rPr>
        <w:t xml:space="preserve"> ،</w:t>
      </w:r>
      <w:r w:rsidRPr="00315653">
        <w:rPr>
          <w:rFonts w:hint="cs"/>
          <w:color w:val="000000"/>
          <w:rtl/>
          <w:lang w:bidi="ar-EG"/>
        </w:rPr>
        <w:t xml:space="preserve"> فيطالب الكفيل بكفالة الدين</w:t>
      </w:r>
      <w:r>
        <w:rPr>
          <w:rFonts w:hint="cs"/>
          <w:color w:val="000000"/>
          <w:rtl/>
          <w:lang w:bidi="ar-EG"/>
        </w:rPr>
        <w:t xml:space="preserve"> .</w:t>
      </w:r>
      <w:r w:rsidRPr="00315653">
        <w:rPr>
          <w:rFonts w:hint="cs"/>
          <w:color w:val="000000"/>
          <w:rtl/>
          <w:lang w:bidi="ar-EG"/>
        </w:rPr>
        <w:t xml:space="preserve"> ويكن</w:t>
      </w:r>
      <w:r>
        <w:rPr>
          <w:rFonts w:hint="cs"/>
          <w:color w:val="000000"/>
          <w:rtl/>
          <w:lang w:bidi="ar-EG"/>
        </w:rPr>
        <w:t xml:space="preserve"> ،</w:t>
      </w:r>
      <w:r w:rsidRPr="00315653">
        <w:rPr>
          <w:rFonts w:hint="cs"/>
          <w:color w:val="000000"/>
          <w:rtl/>
          <w:lang w:bidi="ar-EG"/>
        </w:rPr>
        <w:t xml:space="preserve"> عن طريق الاشتراط لمصلحة الغير على هذا النحو</w:t>
      </w:r>
      <w:r>
        <w:rPr>
          <w:rFonts w:hint="cs"/>
          <w:color w:val="000000"/>
          <w:rtl/>
          <w:lang w:bidi="ar-EG"/>
        </w:rPr>
        <w:t xml:space="preserve"> ،</w:t>
      </w:r>
      <w:r w:rsidRPr="00315653">
        <w:rPr>
          <w:rFonts w:hint="cs"/>
          <w:color w:val="000000"/>
          <w:rtl/>
          <w:lang w:bidi="ar-EG"/>
        </w:rPr>
        <w:t xml:space="preserve"> كفالة دين مستقبل قبل أن يعرف الدائن</w:t>
      </w:r>
      <w:r>
        <w:rPr>
          <w:rFonts w:hint="cs"/>
          <w:color w:val="000000"/>
          <w:vertAlign w:val="superscript"/>
          <w:rtl/>
          <w:lang w:bidi="ar-EG"/>
        </w:rPr>
        <w:t xml:space="preserve">( </w:t>
      </w:r>
      <w:r w:rsidRPr="00315653">
        <w:rPr>
          <w:rStyle w:val="ab"/>
          <w:color w:val="000000"/>
          <w:rtl/>
          <w:lang w:bidi="ar-EG"/>
        </w:rPr>
        <w:footnoteReference w:id="18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$78 </w:t>
      </w:r>
      <w:r w:rsidRPr="00315653">
        <w:rPr>
          <w:rFonts w:hint="cs"/>
          <w:b/>
          <w:bCs/>
          <w:color w:val="000000"/>
          <w:rtl/>
          <w:lang w:bidi="ar-EG"/>
        </w:rPr>
        <w:t xml:space="preserve">31- إثبات الكفالة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773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"لا تثبت الكفالة إلا بالكتابة</w:t>
      </w:r>
      <w:r>
        <w:rPr>
          <w:rFonts w:hint="cs"/>
          <w:color w:val="000000"/>
          <w:rtl/>
          <w:lang w:bidi="ar-EG"/>
        </w:rPr>
        <w:t xml:space="preserve"> ،</w:t>
      </w:r>
      <w:r w:rsidRPr="00315653">
        <w:rPr>
          <w:rFonts w:hint="cs"/>
          <w:color w:val="000000"/>
          <w:rtl/>
          <w:lang w:bidi="ar-EG"/>
        </w:rPr>
        <w:t xml:space="preserve"> ولو كان من الجائز إثبات الالتزام الأصلي بالبينة"</w:t>
      </w:r>
      <w:r>
        <w:rPr>
          <w:rFonts w:hint="cs"/>
          <w:color w:val="000000"/>
          <w:vertAlign w:val="superscript"/>
          <w:rtl/>
          <w:lang w:bidi="ar-EG"/>
        </w:rPr>
        <w:t xml:space="preserve">( </w:t>
      </w:r>
      <w:r w:rsidRPr="00315653">
        <w:rPr>
          <w:rStyle w:val="ab"/>
          <w:color w:val="000000"/>
          <w:rtl/>
          <w:lang w:bidi="ar-EG"/>
        </w:rPr>
        <w:footnoteReference w:id="18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$79 ويخلص من هذا النص أن الكتابة ضرورية لإثبات التزام الكفيل</w:t>
      </w:r>
      <w:r>
        <w:rPr>
          <w:rFonts w:hint="cs"/>
          <w:color w:val="000000"/>
          <w:vertAlign w:val="superscript"/>
          <w:rtl/>
          <w:lang w:bidi="ar-EG"/>
        </w:rPr>
        <w:t xml:space="preserve">( </w:t>
      </w:r>
      <w:r w:rsidRPr="00315653">
        <w:rPr>
          <w:rStyle w:val="ab"/>
          <w:color w:val="000000"/>
          <w:rtl/>
          <w:lang w:bidi="ar-EG"/>
        </w:rPr>
        <w:footnoteReference w:id="18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ولكنها غير ضرورية لانعقاد الكفالة</w:t>
      </w:r>
      <w:r>
        <w:rPr>
          <w:rFonts w:hint="cs"/>
          <w:color w:val="000000"/>
          <w:rtl/>
          <w:lang w:bidi="ar-EG"/>
        </w:rPr>
        <w:t xml:space="preserve"> .</w:t>
      </w:r>
      <w:r w:rsidRPr="00315653">
        <w:rPr>
          <w:rFonts w:hint="cs"/>
          <w:color w:val="000000"/>
          <w:rtl/>
          <w:lang w:bidi="ar-EG"/>
        </w:rPr>
        <w:t xml:space="preserve"> لذلك ليست الكفالة بعقد شكلي بل هي عقد رضائي كما قدمنا</w:t>
      </w:r>
      <w:r>
        <w:rPr>
          <w:rFonts w:hint="cs"/>
          <w:color w:val="000000"/>
          <w:rtl/>
          <w:lang w:bidi="ar-EG"/>
        </w:rPr>
        <w:t xml:space="preserve"> ،</w:t>
      </w:r>
      <w:r w:rsidRPr="00315653">
        <w:rPr>
          <w:rFonts w:hint="cs"/>
          <w:color w:val="000000"/>
          <w:rtl/>
          <w:lang w:bidi="ar-EG"/>
        </w:rPr>
        <w:t xml:space="preserve"> والكتابة ليست ضرورية إلا لإثبات التزام الكفيل</w:t>
      </w:r>
      <w:r>
        <w:rPr>
          <w:rFonts w:hint="cs"/>
          <w:color w:val="000000"/>
          <w:rtl/>
          <w:lang w:bidi="ar-EG"/>
        </w:rPr>
        <w:t xml:space="preserve"> .</w:t>
      </w:r>
      <w:r w:rsidRPr="00315653">
        <w:rPr>
          <w:rFonts w:hint="cs"/>
          <w:color w:val="000000"/>
          <w:rtl/>
          <w:lang w:bidi="ar-EG"/>
        </w:rPr>
        <w:t xml:space="preserve"> والكتابة ضرورية لإثبات التزام الكفيل</w:t>
      </w:r>
      <w:r>
        <w:rPr>
          <w:rFonts w:hint="cs"/>
          <w:color w:val="000000"/>
          <w:rtl/>
          <w:lang w:bidi="ar-EG"/>
        </w:rPr>
        <w:t xml:space="preserve"> ،</w:t>
      </w:r>
      <w:r w:rsidRPr="00315653">
        <w:rPr>
          <w:rFonts w:hint="cs"/>
          <w:color w:val="000000"/>
          <w:rtl/>
          <w:lang w:bidi="ar-EG"/>
        </w:rPr>
        <w:t xml:space="preserve"> حتى لو كان الالتزام المكفول يثبت بالبينة بأن كان مثلا عشرين جنيهاً فأقل</w:t>
      </w:r>
      <w:r>
        <w:rPr>
          <w:rFonts w:hint="cs"/>
          <w:color w:val="000000"/>
          <w:rtl/>
          <w:lang w:bidi="ar-EG"/>
        </w:rPr>
        <w:t xml:space="preserve"> .</w:t>
      </w:r>
      <w:r w:rsidRPr="00315653">
        <w:rPr>
          <w:rFonts w:hint="cs"/>
          <w:color w:val="000000"/>
          <w:rtl/>
          <w:lang w:bidi="ar-EG"/>
        </w:rPr>
        <w:t xml:space="preserve"> كذلك الكتابة لازمة لإثبات التزام الكفيل ولو كان هذا الالتزام عشرين جنيهاً فأقل</w:t>
      </w:r>
      <w:r>
        <w:rPr>
          <w:rFonts w:hint="cs"/>
          <w:color w:val="000000"/>
          <w:rtl/>
          <w:lang w:bidi="ar-EG"/>
        </w:rPr>
        <w:t xml:space="preserve"> ،</w:t>
      </w:r>
      <w:r w:rsidRPr="00315653">
        <w:rPr>
          <w:rFonts w:hint="cs"/>
          <w:color w:val="000000"/>
          <w:rtl/>
          <w:lang w:bidi="ar-EG"/>
        </w:rPr>
        <w:t xml:space="preserve"> حتى لو كان الالتزام الأصلي أكثر من عشرين جنيهاً ولكن الكفيل لم يكفل منه إلا عشرة جنيهات فأقل</w:t>
      </w:r>
      <w:r>
        <w:rPr>
          <w:rFonts w:hint="cs"/>
          <w:color w:val="000000"/>
          <w:rtl/>
          <w:lang w:bidi="ar-EG"/>
        </w:rPr>
        <w:t xml:space="preserve"> .</w:t>
      </w:r>
      <w:r w:rsidRPr="00315653">
        <w:rPr>
          <w:rFonts w:hint="cs"/>
          <w:color w:val="000000"/>
          <w:rtl/>
          <w:lang w:bidi="ar-EG"/>
        </w:rPr>
        <w:t xml:space="preserve"> ويقوم مقام الكتابة مبدأ الثبوت بالكتابة</w:t>
      </w:r>
      <w:r>
        <w:rPr>
          <w:rFonts w:hint="cs"/>
          <w:color w:val="000000"/>
          <w:rtl/>
          <w:lang w:bidi="ar-EG"/>
        </w:rPr>
        <w:t xml:space="preserve"> ،</w:t>
      </w:r>
      <w:r w:rsidRPr="00315653">
        <w:rPr>
          <w:rFonts w:hint="cs"/>
          <w:color w:val="000000"/>
          <w:rtl/>
          <w:lang w:bidi="ar-EG"/>
        </w:rPr>
        <w:t xml:space="preserve"> كما يجوز الإثبات بالبينة إذا وجد مانع يحول دون الحصول على دليل كتابي أو إذا فقد الدائن سنده الكتابي لسبب أجنبي لا يد له فيه</w:t>
      </w:r>
      <w:r>
        <w:rPr>
          <w:rFonts w:hint="cs"/>
          <w:color w:val="000000"/>
          <w:rtl/>
          <w:lang w:bidi="ar-EG"/>
        </w:rPr>
        <w:t xml:space="preserve"> .</w:t>
      </w:r>
      <w:r w:rsidRPr="00315653">
        <w:rPr>
          <w:rFonts w:hint="cs"/>
          <w:color w:val="000000"/>
          <w:rtl/>
          <w:lang w:bidi="ar-EG"/>
        </w:rPr>
        <w:t xml:space="preserve"> كذلك يجوز إثبات الكفالة بالإقرار واليمين</w:t>
      </w:r>
      <w:r>
        <w:rPr>
          <w:rFonts w:hint="cs"/>
          <w:color w:val="000000"/>
          <w:rtl/>
          <w:lang w:bidi="ar-EG"/>
        </w:rPr>
        <w:t xml:space="preserve"> ،</w:t>
      </w:r>
      <w:r w:rsidRPr="00315653">
        <w:rPr>
          <w:rFonts w:hint="cs"/>
          <w:color w:val="000000"/>
          <w:rtl/>
          <w:lang w:bidi="ar-EG"/>
        </w:rPr>
        <w:t xml:space="preserve"> وهذان طريقان للإثبات جائزان حيث يجب الإثبات بالكتابة</w:t>
      </w:r>
      <w:r>
        <w:rPr>
          <w:rFonts w:hint="cs"/>
          <w:color w:val="000000"/>
          <w:vertAlign w:val="superscript"/>
          <w:rtl/>
          <w:lang w:bidi="ar-EG"/>
        </w:rPr>
        <w:t xml:space="preserve">( </w:t>
      </w:r>
      <w:r w:rsidRPr="00315653">
        <w:rPr>
          <w:rStyle w:val="ab"/>
          <w:color w:val="000000"/>
          <w:rtl/>
          <w:lang w:bidi="ar-EG"/>
        </w:rPr>
        <w:footnoteReference w:id="18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والسبب الذي دعا المشرع المصري إلى التشدد في إثبات رضاء الكفيل بالكتابة هو نفس السبب الذي دعا المشرع الفرنسي إلى اشتراط أن يكون رضاء الكفيل صريحاً</w:t>
      </w:r>
      <w:r>
        <w:rPr>
          <w:rFonts w:hint="cs"/>
          <w:color w:val="000000"/>
          <w:rtl/>
          <w:lang w:bidi="ar-EG"/>
        </w:rPr>
        <w:t xml:space="preserve"> :</w:t>
      </w:r>
      <w:r w:rsidRPr="00315653">
        <w:rPr>
          <w:rFonts w:hint="cs"/>
          <w:color w:val="000000"/>
          <w:rtl/>
          <w:lang w:bidi="ar-EG"/>
        </w:rPr>
        <w:t xml:space="preserve"> خطورة الكتابة وضرورة التروي قبل الإقدام عليها</w:t>
      </w:r>
      <w:r>
        <w:rPr>
          <w:rFonts w:hint="cs"/>
          <w:color w:val="000000"/>
          <w:vertAlign w:val="superscript"/>
          <w:rtl/>
          <w:lang w:bidi="ar-EG"/>
        </w:rPr>
        <w:t xml:space="preserve">( </w:t>
      </w:r>
      <w:r w:rsidRPr="00315653">
        <w:rPr>
          <w:rStyle w:val="ab"/>
          <w:color w:val="000000"/>
          <w:rtl/>
          <w:lang w:bidi="ar-EG"/>
        </w:rPr>
        <w:footnoteReference w:id="18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والإثبات بالكتابة ضروري فيما بين الكفيل والدائن</w:t>
      </w:r>
      <w:r>
        <w:rPr>
          <w:rFonts w:hint="cs"/>
          <w:color w:val="000000"/>
          <w:rtl/>
          <w:lang w:bidi="ar-EG"/>
        </w:rPr>
        <w:t xml:space="preserve"> .</w:t>
      </w:r>
      <w:r w:rsidRPr="00315653">
        <w:rPr>
          <w:rFonts w:hint="cs"/>
          <w:color w:val="000000"/>
          <w:rtl/>
          <w:lang w:bidi="ar-EG"/>
        </w:rPr>
        <w:t xml:space="preserve"> أما فيما بين الكفل والمدين</w:t>
      </w:r>
      <w:r>
        <w:rPr>
          <w:rFonts w:hint="cs"/>
          <w:color w:val="000000"/>
          <w:rtl/>
          <w:lang w:bidi="ar-EG"/>
        </w:rPr>
        <w:t xml:space="preserve"> ،</w:t>
      </w:r>
      <w:r w:rsidRPr="00315653">
        <w:rPr>
          <w:rFonts w:hint="cs"/>
          <w:color w:val="000000"/>
          <w:rtl/>
          <w:lang w:bidi="ar-EG"/>
        </w:rPr>
        <w:t xml:space="preserve"> عندما يريد الأول الرجوع على الثاني بعد أن يفي بالالتزام</w:t>
      </w:r>
      <w:r>
        <w:rPr>
          <w:rFonts w:hint="cs"/>
          <w:color w:val="000000"/>
          <w:rtl/>
          <w:lang w:bidi="ar-EG"/>
        </w:rPr>
        <w:t xml:space="preserve"> ،</w:t>
      </w:r>
      <w:r w:rsidRPr="00315653">
        <w:rPr>
          <w:rFonts w:hint="cs"/>
          <w:color w:val="000000"/>
          <w:rtl/>
          <w:lang w:bidi="ar-EG"/>
        </w:rPr>
        <w:t xml:space="preserve"> فلا تشترط الكتابة</w:t>
      </w:r>
      <w:r>
        <w:rPr>
          <w:rFonts w:hint="cs"/>
          <w:color w:val="000000"/>
          <w:rtl/>
          <w:lang w:bidi="ar-EG"/>
        </w:rPr>
        <w:t xml:space="preserve"> ،</w:t>
      </w:r>
      <w:r w:rsidRPr="00315653">
        <w:rPr>
          <w:rFonts w:hint="cs"/>
          <w:color w:val="000000"/>
          <w:rtl/>
          <w:lang w:bidi="ar-EG"/>
        </w:rPr>
        <w:t xml:space="preserve"> ويخضع الإثبات هنا للقواعد العامة فيجوز الإثبات بالبينة $79 والقرائن إذا كان رجوع الكفيل على المدين بعشرين جنيهاً فأقل</w:t>
      </w:r>
      <w:r>
        <w:rPr>
          <w:rFonts w:hint="cs"/>
          <w:color w:val="000000"/>
          <w:vertAlign w:val="superscript"/>
          <w:rtl/>
          <w:lang w:bidi="ar-EG"/>
        </w:rPr>
        <w:t xml:space="preserve">( </w:t>
      </w:r>
      <w:r w:rsidRPr="00315653">
        <w:rPr>
          <w:rStyle w:val="ab"/>
          <w:color w:val="000000"/>
          <w:rtl/>
          <w:lang w:bidi="ar-EG"/>
        </w:rPr>
        <w:footnoteReference w:id="18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الإثبات بالكتابة ليس ضرورياً حتى فيما الكفيل والدائن</w:t>
      </w:r>
      <w:r>
        <w:rPr>
          <w:rFonts w:hint="cs"/>
          <w:color w:val="000000"/>
          <w:rtl/>
          <w:lang w:bidi="ar-EG"/>
        </w:rPr>
        <w:t xml:space="preserve"> ،</w:t>
      </w:r>
      <w:r w:rsidRPr="00315653">
        <w:rPr>
          <w:rFonts w:hint="cs"/>
          <w:color w:val="000000"/>
          <w:rtl/>
          <w:lang w:bidi="ar-EG"/>
        </w:rPr>
        <w:t xml:space="preserve"> ويجوز الإثبات بالبينة والقرائن</w:t>
      </w:r>
      <w:r>
        <w:rPr>
          <w:rFonts w:hint="cs"/>
          <w:color w:val="000000"/>
          <w:rtl/>
          <w:lang w:bidi="ar-EG"/>
        </w:rPr>
        <w:t xml:space="preserve"> ،</w:t>
      </w:r>
      <w:r w:rsidRPr="00315653">
        <w:rPr>
          <w:rFonts w:hint="cs"/>
          <w:color w:val="000000"/>
          <w:rtl/>
          <w:lang w:bidi="ar-EG"/>
        </w:rPr>
        <w:t xml:space="preserve"> إذا كان التزام الكفيل تجارياً</w:t>
      </w:r>
      <w:r>
        <w:rPr>
          <w:rFonts w:hint="cs"/>
          <w:color w:val="000000"/>
          <w:vertAlign w:val="superscript"/>
          <w:rtl/>
          <w:lang w:bidi="ar-EG"/>
        </w:rPr>
        <w:t xml:space="preserve">( </w:t>
      </w:r>
      <w:r w:rsidRPr="00315653">
        <w:rPr>
          <w:rStyle w:val="ab"/>
          <w:color w:val="000000"/>
          <w:rtl/>
          <w:lang w:bidi="ar-EG"/>
        </w:rPr>
        <w:footnoteReference w:id="18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رأينا متى يكون التزام الكفيل تجارياً</w:t>
      </w:r>
      <w:r>
        <w:rPr>
          <w:rFonts w:hint="cs"/>
          <w:color w:val="000000"/>
          <w:vertAlign w:val="superscript"/>
          <w:rtl/>
          <w:lang w:bidi="ar-EG"/>
        </w:rPr>
        <w:t xml:space="preserve">( </w:t>
      </w:r>
      <w:r w:rsidRPr="00315653">
        <w:rPr>
          <w:rStyle w:val="ab"/>
          <w:color w:val="000000"/>
          <w:rtl/>
          <w:lang w:bidi="ar-EG"/>
        </w:rPr>
        <w:footnoteReference w:id="18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ويجب أن تكون الكتابة ثابتة التاريخ حتى يجوز الاحتجاج بها على الغير</w:t>
      </w:r>
      <w:r>
        <w:rPr>
          <w:rFonts w:hint="cs"/>
          <w:color w:val="000000"/>
          <w:rtl/>
          <w:lang w:bidi="ar-EG"/>
        </w:rPr>
        <w:t xml:space="preserve"> ،</w:t>
      </w:r>
      <w:r w:rsidRPr="00315653">
        <w:rPr>
          <w:rFonts w:hint="cs"/>
          <w:color w:val="000000"/>
          <w:rtl/>
          <w:lang w:bidi="ar-EG"/>
        </w:rPr>
        <w:t xml:space="preserve"> كما إذا وفي الكفيل الدين وحل محل الدائن في رهن رسمي مثلا وكان هناك دائن مرتهن تال في المرتبة</w:t>
      </w:r>
      <w:r>
        <w:rPr>
          <w:rFonts w:hint="cs"/>
          <w:color w:val="000000"/>
          <w:vertAlign w:val="superscript"/>
          <w:rtl/>
          <w:lang w:bidi="ar-EG"/>
        </w:rPr>
        <w:t xml:space="preserve">( </w:t>
      </w:r>
      <w:r w:rsidRPr="00315653">
        <w:rPr>
          <w:rStyle w:val="ab"/>
          <w:color w:val="000000"/>
          <w:rtl/>
          <w:lang w:bidi="ar-EG"/>
        </w:rPr>
        <w:footnoteReference w:id="18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32- أهلية الكفيل</w:t>
      </w:r>
      <w:r>
        <w:rPr>
          <w:rFonts w:hint="cs"/>
          <w:color w:val="000000"/>
          <w:rtl/>
          <w:lang w:bidi="ar-EG"/>
        </w:rPr>
        <w:t xml:space="preserve"> :</w:t>
      </w:r>
      <w:r w:rsidRPr="00315653">
        <w:rPr>
          <w:rFonts w:hint="cs"/>
          <w:color w:val="000000"/>
          <w:rtl/>
          <w:lang w:bidi="ar-EG"/>
        </w:rPr>
        <w:t xml:space="preserve"> ولما كان الكفيل يلتزم عادة متبرعاً</w:t>
      </w:r>
      <w:r>
        <w:rPr>
          <w:rFonts w:hint="cs"/>
          <w:color w:val="000000"/>
          <w:rtl/>
          <w:lang w:bidi="ar-EG"/>
        </w:rPr>
        <w:t xml:space="preserve"> ،</w:t>
      </w:r>
      <w:r w:rsidRPr="00315653">
        <w:rPr>
          <w:rFonts w:hint="cs"/>
          <w:color w:val="000000"/>
          <w:rtl/>
          <w:lang w:bidi="ar-EG"/>
        </w:rPr>
        <w:t xml:space="preserve"> فإنه يجب أن يكون متوافراً فيه أهلية المتبرع</w:t>
      </w:r>
      <w:r>
        <w:rPr>
          <w:rFonts w:hint="cs"/>
          <w:color w:val="000000"/>
          <w:rtl/>
          <w:lang w:bidi="ar-EG"/>
        </w:rPr>
        <w:t xml:space="preserve"> .</w:t>
      </w:r>
      <w:r w:rsidRPr="00315653">
        <w:rPr>
          <w:rFonts w:hint="cs"/>
          <w:color w:val="000000"/>
          <w:rtl/>
          <w:lang w:bidi="ar-EG"/>
        </w:rPr>
        <w:t xml:space="preserve"> فالكفيل المتبرع كالمقرض المتبرع الذي لا يتقاضى فائدة على القرض</w:t>
      </w:r>
      <w:r>
        <w:rPr>
          <w:rFonts w:hint="cs"/>
          <w:color w:val="000000"/>
          <w:rtl/>
          <w:lang w:bidi="ar-EG"/>
        </w:rPr>
        <w:t xml:space="preserve"> ،</w:t>
      </w:r>
      <w:r w:rsidRPr="00315653">
        <w:rPr>
          <w:rFonts w:hint="cs"/>
          <w:color w:val="000000"/>
          <w:rtl/>
          <w:lang w:bidi="ar-EG"/>
        </w:rPr>
        <w:t xml:space="preserve"> كلاهما يجب أن تتوافر فيه أهلية التبرع</w:t>
      </w:r>
      <w:r>
        <w:rPr>
          <w:rFonts w:hint="cs"/>
          <w:color w:val="000000"/>
          <w:vertAlign w:val="superscript"/>
          <w:rtl/>
          <w:lang w:bidi="ar-EG"/>
        </w:rPr>
        <w:t xml:space="preserve">( </w:t>
      </w:r>
      <w:r w:rsidRPr="00315653">
        <w:rPr>
          <w:rStyle w:val="ab"/>
          <w:color w:val="000000"/>
          <w:rtl/>
          <w:lang w:bidi="ar-EG"/>
        </w:rPr>
        <w:footnoteReference w:id="19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لا يجوز للقاصر ولا للمحجور عليه أن يكفل الغير متبرعاً</w:t>
      </w:r>
      <w:r>
        <w:rPr>
          <w:rFonts w:hint="cs"/>
          <w:color w:val="000000"/>
          <w:rtl/>
          <w:lang w:bidi="ar-EG"/>
        </w:rPr>
        <w:t xml:space="preserve"> ،</w:t>
      </w:r>
      <w:r w:rsidRPr="00315653">
        <w:rPr>
          <w:rFonts w:hint="cs"/>
          <w:color w:val="000000"/>
          <w:rtl/>
          <w:lang w:bidi="ar-EG"/>
        </w:rPr>
        <w:t xml:space="preserve"> وإذا كفل كانت الكفالة باطلة</w:t>
      </w:r>
      <w:r>
        <w:rPr>
          <w:rFonts w:hint="cs"/>
          <w:color w:val="000000"/>
          <w:rtl/>
          <w:lang w:bidi="ar-EG"/>
        </w:rPr>
        <w:t xml:space="preserve"> .</w:t>
      </w:r>
      <w:r w:rsidRPr="00315653">
        <w:rPr>
          <w:rFonts w:hint="cs"/>
          <w:color w:val="000000"/>
          <w:rtl/>
          <w:lang w:bidi="ar-EG"/>
        </w:rPr>
        <w:t xml:space="preserve"> بل لا يجوز للولي أو الوصي أو القيم أن يعقد باسم القاصر أو المحجور عليه كفالة تبرعية</w:t>
      </w:r>
      <w:r>
        <w:rPr>
          <w:rFonts w:hint="cs"/>
          <w:color w:val="000000"/>
          <w:rtl/>
          <w:lang w:bidi="ar-EG"/>
        </w:rPr>
        <w:t xml:space="preserve"> ،</w:t>
      </w:r>
      <w:r w:rsidRPr="00315653">
        <w:rPr>
          <w:rFonts w:hint="cs"/>
          <w:color w:val="000000"/>
          <w:rtl/>
          <w:lang w:bidi="ar-EG"/>
        </w:rPr>
        <w:t xml:space="preserve"> حتى بإذن المحكمة</w:t>
      </w:r>
      <w:r>
        <w:rPr>
          <w:rFonts w:hint="cs"/>
          <w:color w:val="000000"/>
          <w:rtl/>
          <w:lang w:bidi="ar-EG"/>
        </w:rPr>
        <w:t xml:space="preserve"> ،</w:t>
      </w:r>
      <w:r w:rsidRPr="00315653">
        <w:rPr>
          <w:rFonts w:hint="cs"/>
          <w:color w:val="000000"/>
          <w:rtl/>
          <w:lang w:bidi="ar-EG"/>
        </w:rPr>
        <w:t xml:space="preserve"> لأنه يمتنع التبرع بمال القاصر المحجور عليه ولو بإذن المحكمة</w:t>
      </w:r>
      <w:r>
        <w:rPr>
          <w:rFonts w:hint="cs"/>
          <w:color w:val="000000"/>
          <w:rtl/>
          <w:lang w:bidi="ar-EG"/>
        </w:rPr>
        <w:t xml:space="preserve"> ،</w:t>
      </w:r>
      <w:r w:rsidRPr="00315653">
        <w:rPr>
          <w:rFonts w:hint="cs"/>
          <w:color w:val="000000"/>
          <w:rtl/>
          <w:lang w:bidi="ar-EG"/>
        </w:rPr>
        <w:t xml:space="preserve"> إلا لواجب إنساني و عائلي</w:t>
      </w:r>
      <w:r>
        <w:rPr>
          <w:rFonts w:hint="cs"/>
          <w:color w:val="000000"/>
          <w:rtl/>
          <w:lang w:bidi="ar-EG"/>
        </w:rPr>
        <w:t xml:space="preserve"> .</w:t>
      </w:r>
      <w:r w:rsidRPr="00315653">
        <w:rPr>
          <w:rFonts w:hint="cs"/>
          <w:color w:val="000000"/>
          <w:rtl/>
          <w:lang w:bidi="ar-EG"/>
        </w:rPr>
        <w:t xml:space="preserve"> فلا بد إذن للكفيل المتبرع أن يكون بالغاً سن الرشد</w:t>
      </w:r>
      <w:r>
        <w:rPr>
          <w:rFonts w:hint="cs"/>
          <w:color w:val="000000"/>
          <w:rtl/>
          <w:lang w:bidi="ar-EG"/>
        </w:rPr>
        <w:t xml:space="preserve"> ،</w:t>
      </w:r>
      <w:r w:rsidRPr="00315653">
        <w:rPr>
          <w:rFonts w:hint="cs"/>
          <w:color w:val="000000"/>
          <w:rtl/>
          <w:lang w:bidi="ar-EG"/>
        </w:rPr>
        <w:t xml:space="preserve"> غير محجور عليه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إذا كانت الكفالة بمقابل</w:t>
      </w:r>
      <w:r>
        <w:rPr>
          <w:rFonts w:hint="cs"/>
          <w:color w:val="000000"/>
          <w:rtl/>
          <w:lang w:bidi="ar-EG"/>
        </w:rPr>
        <w:t xml:space="preserve"> ،</w:t>
      </w:r>
      <w:r w:rsidRPr="00315653">
        <w:rPr>
          <w:rFonts w:hint="cs"/>
          <w:color w:val="000000"/>
          <w:rtl/>
          <w:lang w:bidi="ar-EG"/>
        </w:rPr>
        <w:t xml:space="preserve"> سواء كان المقابل من المدين أو الدائن</w:t>
      </w:r>
      <w:r>
        <w:rPr>
          <w:rFonts w:hint="cs"/>
          <w:color w:val="000000"/>
          <w:rtl/>
          <w:lang w:bidi="ar-EG"/>
        </w:rPr>
        <w:t xml:space="preserve"> ،</w:t>
      </w:r>
      <w:r w:rsidRPr="00315653">
        <w:rPr>
          <w:rFonts w:hint="cs"/>
          <w:color w:val="000000"/>
          <w:rtl/>
          <w:lang w:bidi="ar-EG"/>
        </w:rPr>
        <w:t xml:space="preserve"> وهذا نادر</w:t>
      </w:r>
      <w:r>
        <w:rPr>
          <w:rFonts w:hint="cs"/>
          <w:color w:val="000000"/>
          <w:rtl/>
          <w:lang w:bidi="ar-EG"/>
        </w:rPr>
        <w:t xml:space="preserve"> ،</w:t>
      </w:r>
      <w:r w:rsidRPr="00315653">
        <w:rPr>
          <w:rFonts w:hint="cs"/>
          <w:color w:val="000000"/>
          <w:rtl/>
          <w:lang w:bidi="ar-EG"/>
        </w:rPr>
        <w:t xml:space="preserve"> فتجب في الكفيل أهلية التصرف لا أهلية التبرع</w:t>
      </w:r>
      <w:r>
        <w:rPr>
          <w:rFonts w:hint="cs"/>
          <w:color w:val="000000"/>
          <w:rtl/>
          <w:lang w:bidi="ar-EG"/>
        </w:rPr>
        <w:t xml:space="preserve"> ،</w:t>
      </w:r>
      <w:r w:rsidRPr="00315653">
        <w:rPr>
          <w:rFonts w:hint="cs"/>
          <w:color w:val="000000"/>
          <w:rtl/>
          <w:lang w:bidi="ar-EG"/>
        </w:rPr>
        <w:t xml:space="preserve"> وذلك قياساً على المقترض بفائدة</w:t>
      </w:r>
      <w:r>
        <w:rPr>
          <w:rFonts w:hint="cs"/>
          <w:color w:val="000000"/>
          <w:rtl/>
          <w:lang w:bidi="ar-EG"/>
        </w:rPr>
        <w:t xml:space="preserve"> .</w:t>
      </w:r>
      <w:r w:rsidRPr="00315653">
        <w:rPr>
          <w:rFonts w:hint="cs"/>
          <w:color w:val="000000"/>
          <w:rtl/>
          <w:lang w:bidi="ar-EG"/>
        </w:rPr>
        <w:t xml:space="preserve"> وعلى ذلك لا يجوز للقاصر ولا للمحجور عليه أن يكفل لأنه لا يملك أهلية التصرف</w:t>
      </w:r>
      <w:r>
        <w:rPr>
          <w:rFonts w:hint="cs"/>
          <w:color w:val="000000"/>
          <w:rtl/>
          <w:lang w:bidi="ar-EG"/>
        </w:rPr>
        <w:t xml:space="preserve"> ،</w:t>
      </w:r>
      <w:r w:rsidRPr="00315653">
        <w:rPr>
          <w:rFonts w:hint="cs"/>
          <w:color w:val="000000"/>
          <w:rtl/>
          <w:lang w:bidi="ar-EG"/>
        </w:rPr>
        <w:t xml:space="preserve"> وقد يملك أهلية الإدارة ولكن الكفالة من أعمال التصرف لا من أعمال الإدارة</w:t>
      </w:r>
      <w:r>
        <w:rPr>
          <w:rFonts w:hint="cs"/>
          <w:color w:val="000000"/>
          <w:rtl/>
          <w:lang w:bidi="ar-EG"/>
        </w:rPr>
        <w:t xml:space="preserve"> ،</w:t>
      </w:r>
      <w:r w:rsidRPr="00315653">
        <w:rPr>
          <w:rFonts w:hint="cs"/>
          <w:color w:val="000000"/>
          <w:rtl/>
          <w:lang w:bidi="ar-EG"/>
        </w:rPr>
        <w:t xml:space="preserve"> وإذا كفل كانت الكفالة قابلة $81 للإبطال إلى أن تجاز</w:t>
      </w:r>
      <w:r>
        <w:rPr>
          <w:rFonts w:hint="cs"/>
          <w:color w:val="000000"/>
          <w:rtl/>
          <w:lang w:bidi="ar-EG"/>
        </w:rPr>
        <w:t xml:space="preserve"> .</w:t>
      </w:r>
      <w:r w:rsidRPr="00315653">
        <w:rPr>
          <w:rFonts w:hint="cs"/>
          <w:color w:val="000000"/>
          <w:rtl/>
          <w:lang w:bidi="ar-EG"/>
        </w:rPr>
        <w:t xml:space="preserve"> ولكن يجوز للولي أو الوصي أو القيم أن يعقد كفالة بمقابل باسم القاصر أو المحجور عليه</w:t>
      </w:r>
      <w:r>
        <w:rPr>
          <w:rFonts w:hint="cs"/>
          <w:color w:val="000000"/>
          <w:rtl/>
          <w:lang w:bidi="ar-EG"/>
        </w:rPr>
        <w:t xml:space="preserve"> ،</w:t>
      </w:r>
      <w:r w:rsidRPr="00315653">
        <w:rPr>
          <w:rFonts w:hint="cs"/>
          <w:color w:val="000000"/>
          <w:rtl/>
          <w:lang w:bidi="ar-EG"/>
        </w:rPr>
        <w:t xml:space="preserve"> على أن يكون ذلك بالنسبة إلى الجد أو إلى الوصي أو إلى القيم بإذن المحكمة</w:t>
      </w:r>
      <w:r>
        <w:rPr>
          <w:rFonts w:hint="cs"/>
          <w:color w:val="000000"/>
          <w:rtl/>
          <w:lang w:bidi="ar-EG"/>
        </w:rPr>
        <w:t xml:space="preserve"> .</w:t>
      </w:r>
      <w:r w:rsidRPr="00315653">
        <w:rPr>
          <w:rFonts w:hint="cs"/>
          <w:color w:val="000000"/>
          <w:rtl/>
          <w:lang w:bidi="ar-EG"/>
        </w:rPr>
        <w:t xml:space="preserve"> وغني عن البيان أن الإنسان إذا بلغ سن الرشد غير محجور عليه</w:t>
      </w:r>
      <w:r>
        <w:rPr>
          <w:rFonts w:hint="cs"/>
          <w:color w:val="000000"/>
          <w:rtl/>
          <w:lang w:bidi="ar-EG"/>
        </w:rPr>
        <w:t xml:space="preserve"> ،</w:t>
      </w:r>
      <w:r w:rsidRPr="00315653">
        <w:rPr>
          <w:rFonts w:hint="cs"/>
          <w:color w:val="000000"/>
          <w:rtl/>
          <w:lang w:bidi="ar-EG"/>
        </w:rPr>
        <w:t xml:space="preserve"> فإنه يملك الكفالة بمقابل</w:t>
      </w:r>
      <w:r>
        <w:rPr>
          <w:rFonts w:hint="cs"/>
          <w:color w:val="000000"/>
          <w:rtl/>
          <w:lang w:bidi="ar-EG"/>
        </w:rPr>
        <w:t xml:space="preserve"> ،</w:t>
      </w:r>
      <w:r w:rsidRPr="00315653">
        <w:rPr>
          <w:rFonts w:hint="cs"/>
          <w:color w:val="000000"/>
          <w:rtl/>
          <w:lang w:bidi="ar-EG"/>
        </w:rPr>
        <w:t xml:space="preserve"> لأنه يملك الكفالة التبرعية فأولى أن يملك الكفالة بمقابل</w:t>
      </w:r>
      <w:r>
        <w:rPr>
          <w:rFonts w:hint="cs"/>
          <w:color w:val="000000"/>
          <w:vertAlign w:val="superscript"/>
          <w:rtl/>
          <w:lang w:bidi="ar-EG"/>
        </w:rPr>
        <w:t xml:space="preserve">( </w:t>
      </w:r>
      <w:r w:rsidRPr="00315653">
        <w:rPr>
          <w:rStyle w:val="ab"/>
          <w:color w:val="000000"/>
          <w:rtl/>
          <w:lang w:bidi="ar-EG"/>
        </w:rPr>
        <w:footnoteReference w:id="19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وتجوز الكفالة بسام الشخص المعنوي من المفوض له بذلك</w:t>
      </w:r>
      <w:r>
        <w:rPr>
          <w:rFonts w:hint="cs"/>
          <w:color w:val="000000"/>
          <w:rtl/>
          <w:lang w:bidi="ar-EG"/>
        </w:rPr>
        <w:t xml:space="preserve"> ،</w:t>
      </w:r>
      <w:r w:rsidRPr="00315653">
        <w:rPr>
          <w:rFonts w:hint="cs"/>
          <w:color w:val="000000"/>
          <w:rtl/>
          <w:lang w:bidi="ar-EG"/>
        </w:rPr>
        <w:t xml:space="preserve"> سواء كانت الكفالة بمقابل أو بغير مقابل</w:t>
      </w:r>
      <w:r>
        <w:rPr>
          <w:rFonts w:hint="cs"/>
          <w:color w:val="000000"/>
          <w:rtl/>
          <w:lang w:bidi="ar-EG"/>
        </w:rPr>
        <w:t xml:space="preserve"> .</w:t>
      </w:r>
      <w:r w:rsidRPr="00315653">
        <w:rPr>
          <w:rFonts w:hint="cs"/>
          <w:color w:val="000000"/>
          <w:rtl/>
          <w:lang w:bidi="ar-EG"/>
        </w:rPr>
        <w:t xml:space="preserve"> ويجوز للشريك كامل الأهلية أن يكفل الشركة التي هو شريك فيها</w:t>
      </w:r>
      <w:r>
        <w:rPr>
          <w:rFonts w:hint="cs"/>
          <w:color w:val="000000"/>
          <w:rtl/>
          <w:lang w:bidi="ar-EG"/>
        </w:rPr>
        <w:t xml:space="preserve"> ،</w:t>
      </w:r>
      <w:r w:rsidRPr="00315653">
        <w:rPr>
          <w:rFonts w:hint="cs"/>
          <w:color w:val="000000"/>
          <w:rtl/>
          <w:lang w:bidi="ar-EG"/>
        </w:rPr>
        <w:t xml:space="preserve"> كما يجوز للشركة أن تكفله</w:t>
      </w:r>
      <w:r>
        <w:rPr>
          <w:rFonts w:hint="cs"/>
          <w:color w:val="000000"/>
          <w:vertAlign w:val="superscript"/>
          <w:rtl/>
          <w:lang w:bidi="ar-EG"/>
        </w:rPr>
        <w:t xml:space="preserve">( </w:t>
      </w:r>
      <w:r w:rsidRPr="00315653">
        <w:rPr>
          <w:rStyle w:val="ab"/>
          <w:color w:val="000000"/>
          <w:rtl/>
          <w:lang w:bidi="ar-EG"/>
        </w:rPr>
        <w:footnoteReference w:id="19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أعطي الكفيل توكيلا لشخص بكفالته</w:t>
      </w:r>
      <w:r>
        <w:rPr>
          <w:rFonts w:hint="cs"/>
          <w:color w:val="000000"/>
          <w:rtl/>
          <w:lang w:bidi="ar-EG"/>
        </w:rPr>
        <w:t xml:space="preserve"> ،</w:t>
      </w:r>
      <w:r w:rsidRPr="00315653">
        <w:rPr>
          <w:rFonts w:hint="cs"/>
          <w:color w:val="000000"/>
          <w:rtl/>
          <w:lang w:bidi="ar-EG"/>
        </w:rPr>
        <w:t xml:space="preserve"> وجب أن يكون التوكيل خاصاً ومحدداً أي مذكوراً فيه التوكيل في الكفالة إذا كانت الكفالة تبرعية</w:t>
      </w:r>
      <w:r>
        <w:rPr>
          <w:rFonts w:hint="cs"/>
          <w:color w:val="000000"/>
          <w:rtl/>
          <w:lang w:bidi="ar-EG"/>
        </w:rPr>
        <w:t xml:space="preserve"> ،</w:t>
      </w:r>
      <w:r w:rsidRPr="00315653">
        <w:rPr>
          <w:rFonts w:hint="cs"/>
          <w:color w:val="000000"/>
          <w:rtl/>
          <w:lang w:bidi="ar-EG"/>
        </w:rPr>
        <w:t xml:space="preserve"> أو وجب أن يكون التوكيل خاصاً إذا أخذ الكفيل مقابلا لكفالته</w:t>
      </w:r>
      <w:r>
        <w:rPr>
          <w:rFonts w:hint="cs"/>
          <w:color w:val="000000"/>
          <w:vertAlign w:val="superscript"/>
          <w:rtl/>
          <w:lang w:bidi="ar-EG"/>
        </w:rPr>
        <w:t xml:space="preserve">( </w:t>
      </w:r>
      <w:r w:rsidRPr="00315653">
        <w:rPr>
          <w:rStyle w:val="ab"/>
          <w:color w:val="000000"/>
          <w:rtl/>
          <w:lang w:bidi="ar-EG"/>
        </w:rPr>
        <w:footnoteReference w:id="19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والتوكيل في الكفالة المدنية لا تتضمن التوكيل في كفالة تجارية كالضمان الاحتياطي</w:t>
      </w:r>
      <w:r>
        <w:rPr>
          <w:rFonts w:hint="cs"/>
          <w:color w:val="000000"/>
          <w:rtl/>
          <w:lang w:bidi="ar-EG"/>
        </w:rPr>
        <w:t xml:space="preserve"> ،</w:t>
      </w:r>
      <w:r w:rsidRPr="00315653">
        <w:rPr>
          <w:rFonts w:hint="cs"/>
          <w:color w:val="000000"/>
          <w:rtl/>
          <w:lang w:bidi="ar-EG"/>
        </w:rPr>
        <w:t xml:space="preserve"> كما أن التوكيل في كفالة تجارية لا تتضمن التوكيل في كفالة مدنية</w:t>
      </w:r>
      <w:r>
        <w:rPr>
          <w:rFonts w:hint="cs"/>
          <w:color w:val="000000"/>
          <w:vertAlign w:val="superscript"/>
          <w:rtl/>
          <w:lang w:bidi="ar-EG"/>
        </w:rPr>
        <w:t xml:space="preserve">( </w:t>
      </w:r>
      <w:r w:rsidRPr="00315653">
        <w:rPr>
          <w:rStyle w:val="ab"/>
          <w:color w:val="000000"/>
          <w:rtl/>
          <w:lang w:bidi="ar-EG"/>
        </w:rPr>
        <w:footnoteReference w:id="19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الدائن</w:t>
      </w:r>
      <w:r>
        <w:rPr>
          <w:rFonts w:hint="cs"/>
          <w:color w:val="000000"/>
          <w:rtl/>
          <w:lang w:bidi="ar-EG"/>
        </w:rPr>
        <w:t xml:space="preserve"> ،</w:t>
      </w:r>
      <w:r w:rsidRPr="00315653">
        <w:rPr>
          <w:rFonts w:hint="cs"/>
          <w:color w:val="000000"/>
          <w:rtl/>
          <w:lang w:bidi="ar-EG"/>
        </w:rPr>
        <w:t xml:space="preserve"> وهو الطرف الآخر في الكفالة</w:t>
      </w:r>
      <w:r>
        <w:rPr>
          <w:rFonts w:hint="cs"/>
          <w:color w:val="000000"/>
          <w:rtl/>
          <w:lang w:bidi="ar-EG"/>
        </w:rPr>
        <w:t xml:space="preserve"> ،</w:t>
      </w:r>
      <w:r w:rsidRPr="00315653">
        <w:rPr>
          <w:rFonts w:hint="cs"/>
          <w:color w:val="000000"/>
          <w:rtl/>
          <w:lang w:bidi="ar-EG"/>
        </w:rPr>
        <w:t xml:space="preserve"> فلا تشترط فيه إلا أهلية التعاقد</w:t>
      </w:r>
      <w:r>
        <w:rPr>
          <w:rFonts w:hint="cs"/>
          <w:color w:val="000000"/>
          <w:rtl/>
          <w:lang w:bidi="ar-EG"/>
        </w:rPr>
        <w:t xml:space="preserve"> ،</w:t>
      </w:r>
      <w:r w:rsidRPr="00315653">
        <w:rPr>
          <w:rFonts w:hint="cs"/>
          <w:color w:val="000000"/>
          <w:rtl/>
          <w:lang w:bidi="ar-EG"/>
        </w:rPr>
        <w:t xml:space="preserve"> فيكفي أن يكون مميزاً إذا كانت الكفالة تبرعية بالنسبة إليه لأنها$82 تتمخض لمصلحته</w:t>
      </w:r>
      <w:r>
        <w:rPr>
          <w:rFonts w:hint="cs"/>
          <w:color w:val="000000"/>
          <w:rtl/>
          <w:lang w:bidi="ar-EG"/>
        </w:rPr>
        <w:t xml:space="preserve"> .</w:t>
      </w:r>
      <w:r w:rsidRPr="00315653">
        <w:rPr>
          <w:rFonts w:hint="cs"/>
          <w:color w:val="000000"/>
          <w:rtl/>
          <w:lang w:bidi="ar-EG"/>
        </w:rPr>
        <w:t xml:space="preserve"> فإذا دفع مقابلا للكفيل من أجل كفالته</w:t>
      </w:r>
      <w:r>
        <w:rPr>
          <w:rFonts w:hint="cs"/>
          <w:color w:val="000000"/>
          <w:rtl/>
          <w:lang w:bidi="ar-EG"/>
        </w:rPr>
        <w:t xml:space="preserve"> ،</w:t>
      </w:r>
      <w:r w:rsidRPr="00315653">
        <w:rPr>
          <w:rFonts w:hint="cs"/>
          <w:color w:val="000000"/>
          <w:rtl/>
          <w:lang w:bidi="ar-EG"/>
        </w:rPr>
        <w:t xml:space="preserve"> وجبت فيه أهلية التصرف</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33- عيوب الرضاء في الكفالة</w:t>
      </w:r>
      <w:r>
        <w:rPr>
          <w:rFonts w:hint="cs"/>
          <w:color w:val="000000"/>
          <w:rtl/>
          <w:lang w:bidi="ar-EG"/>
        </w:rPr>
        <w:t xml:space="preserve"> :</w:t>
      </w:r>
      <w:r w:rsidRPr="00315653">
        <w:rPr>
          <w:rFonts w:hint="cs"/>
          <w:color w:val="000000"/>
          <w:rtl/>
          <w:lang w:bidi="ar-EG"/>
        </w:rPr>
        <w:t xml:space="preserve"> وتسري في عيوب الرضاء في الكفالة القواعد العامة</w:t>
      </w:r>
      <w:r>
        <w:rPr>
          <w:rFonts w:hint="cs"/>
          <w:color w:val="000000"/>
          <w:vertAlign w:val="superscript"/>
          <w:rtl/>
          <w:lang w:bidi="ar-EG"/>
        </w:rPr>
        <w:t xml:space="preserve">( </w:t>
      </w:r>
      <w:r w:rsidRPr="00315653">
        <w:rPr>
          <w:rStyle w:val="ab"/>
          <w:color w:val="000000"/>
          <w:rtl/>
          <w:lang w:bidi="ar-EG"/>
        </w:rPr>
        <w:footnoteReference w:id="19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تكون الكفالة قابلة للإبطال للغلط إذا وقع الكفيل في غلط جوهري في خصوص الدين الذي يكفله</w:t>
      </w:r>
      <w:r>
        <w:rPr>
          <w:rFonts w:hint="cs"/>
          <w:color w:val="000000"/>
          <w:rtl/>
          <w:lang w:bidi="ar-EG"/>
        </w:rPr>
        <w:t xml:space="preserve"> ،</w:t>
      </w:r>
      <w:r w:rsidRPr="00315653">
        <w:rPr>
          <w:rFonts w:hint="cs"/>
          <w:color w:val="000000"/>
          <w:rtl/>
          <w:lang w:bidi="ar-EG"/>
        </w:rPr>
        <w:t xml:space="preserve"> كأن يعتقد أنه يكفل ديناً لا ينتج فوائد فإذا به ينتجها</w:t>
      </w:r>
      <w:r>
        <w:rPr>
          <w:rFonts w:hint="cs"/>
          <w:color w:val="000000"/>
          <w:rtl/>
          <w:lang w:bidi="ar-EG"/>
        </w:rPr>
        <w:t xml:space="preserve"> ،</w:t>
      </w:r>
      <w:r w:rsidRPr="00315653">
        <w:rPr>
          <w:rFonts w:hint="cs"/>
          <w:color w:val="000000"/>
          <w:rtl/>
          <w:lang w:bidi="ar-EG"/>
        </w:rPr>
        <w:t xml:space="preserve"> أو لا ينتج إلا فوائد بسيطة فإذا به ينتج فوائد مركبة</w:t>
      </w:r>
      <w:r>
        <w:rPr>
          <w:rFonts w:hint="cs"/>
          <w:color w:val="000000"/>
          <w:rtl/>
          <w:lang w:bidi="ar-EG"/>
        </w:rPr>
        <w:t xml:space="preserve"> ،</w:t>
      </w:r>
      <w:r w:rsidRPr="00315653">
        <w:rPr>
          <w:rFonts w:hint="cs"/>
          <w:color w:val="000000"/>
          <w:rtl/>
          <w:lang w:bidi="ar-EG"/>
        </w:rPr>
        <w:t xml:space="preserve"> أو ينتج فوائد بسعر معين فإذا به ينتج فوائد بسعر أعلى</w:t>
      </w:r>
      <w:r>
        <w:rPr>
          <w:rFonts w:hint="cs"/>
          <w:color w:val="000000"/>
          <w:rtl/>
          <w:lang w:bidi="ar-EG"/>
        </w:rPr>
        <w:t xml:space="preserve"> ،</w:t>
      </w:r>
      <w:r w:rsidRPr="00315653">
        <w:rPr>
          <w:rFonts w:hint="cs"/>
          <w:color w:val="000000"/>
          <w:rtl/>
          <w:lang w:bidi="ar-EG"/>
        </w:rPr>
        <w:t xml:space="preserve"> جاز إنقاص التزام الكفيل إلى الحد الذي اعتقده</w:t>
      </w:r>
      <w:r>
        <w:rPr>
          <w:rFonts w:hint="cs"/>
          <w:color w:val="000000"/>
          <w:rtl/>
          <w:lang w:bidi="ar-EG"/>
        </w:rPr>
        <w:t xml:space="preserve"> .</w:t>
      </w:r>
      <w:r w:rsidRPr="00315653">
        <w:rPr>
          <w:rFonts w:hint="cs"/>
          <w:color w:val="000000"/>
          <w:rtl/>
          <w:lang w:bidi="ar-EG"/>
        </w:rPr>
        <w:t xml:space="preserve"> ويمكن الوصول إلى هذه النتيجة عن طريق القول أن الكفيل وقع في غلط جوهري فتكون الكفالة قابلة للإبطال</w:t>
      </w:r>
      <w:r>
        <w:rPr>
          <w:rFonts w:hint="cs"/>
          <w:color w:val="000000"/>
          <w:rtl/>
          <w:lang w:bidi="ar-EG"/>
        </w:rPr>
        <w:t xml:space="preserve"> ،</w:t>
      </w:r>
      <w:r w:rsidRPr="00315653">
        <w:rPr>
          <w:rFonts w:hint="cs"/>
          <w:color w:val="000000"/>
          <w:rtl/>
          <w:lang w:bidi="ar-EG"/>
        </w:rPr>
        <w:t xml:space="preserve"> ولكن يبقى الكفيل ملزماً بالعقد الذي قصد إبرامه إذا ظهر الدائن استعداده لتنفيذ هذا العقد </w:t>
      </w:r>
      <w:r>
        <w:rPr>
          <w:rFonts w:hint="cs"/>
          <w:color w:val="000000"/>
          <w:rtl/>
          <w:lang w:bidi="ar-EG"/>
        </w:rPr>
        <w:t xml:space="preserve">( </w:t>
      </w:r>
      <w:r w:rsidRPr="00315653">
        <w:rPr>
          <w:rFonts w:hint="cs"/>
          <w:color w:val="000000"/>
          <w:rtl/>
          <w:lang w:bidi="ar-EG"/>
        </w:rPr>
        <w:t>م 124/2 مدني</w:t>
      </w:r>
      <w:r>
        <w:rPr>
          <w:rFonts w:hint="cs"/>
          <w:color w:val="000000"/>
          <w:rtl/>
          <w:lang w:bidi="ar-EG"/>
        </w:rPr>
        <w:t xml:space="preserve"> )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وتكون الكفالة قابلة للإبطال إذا شاب رضاء الكفيل تدليس</w:t>
      </w:r>
      <w:r>
        <w:rPr>
          <w:rFonts w:hint="cs"/>
          <w:color w:val="000000"/>
          <w:rtl/>
          <w:lang w:bidi="ar-EG"/>
        </w:rPr>
        <w:t xml:space="preserve"> ،</w:t>
      </w:r>
      <w:r w:rsidRPr="00315653">
        <w:rPr>
          <w:rFonts w:hint="cs"/>
          <w:color w:val="000000"/>
          <w:rtl/>
          <w:lang w:bidi="ar-EG"/>
        </w:rPr>
        <w:t xml:space="preserve"> كأن أوهمه الدائن غشاً ملاءة المدين الأصلي فإذا به غير ملئ</w:t>
      </w:r>
      <w:r>
        <w:rPr>
          <w:rFonts w:hint="cs"/>
          <w:color w:val="000000"/>
          <w:vertAlign w:val="superscript"/>
          <w:rtl/>
          <w:lang w:bidi="ar-EG"/>
        </w:rPr>
        <w:t xml:space="preserve">( </w:t>
      </w:r>
      <w:r w:rsidRPr="00315653">
        <w:rPr>
          <w:rStyle w:val="ab"/>
          <w:color w:val="000000"/>
          <w:rtl/>
          <w:lang w:bidi="ar-EG"/>
        </w:rPr>
        <w:footnoteReference w:id="19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أوهمه بوجود ضمانات أخرى للدين اعتمد عليها الكفيل فإذا بهذه الضمانات غير موجودة أو باطلة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ويمكن القول بأن الكفالة قد عقدت بالإكراه</w:t>
      </w:r>
      <w:r>
        <w:rPr>
          <w:rFonts w:hint="cs"/>
          <w:color w:val="000000"/>
          <w:rtl/>
          <w:lang w:bidi="ar-EG"/>
        </w:rPr>
        <w:t xml:space="preserve"> ،</w:t>
      </w:r>
      <w:r w:rsidRPr="00315653">
        <w:rPr>
          <w:rFonts w:hint="cs"/>
          <w:color w:val="000000"/>
          <w:rtl/>
          <w:lang w:bidi="ar-EG"/>
        </w:rPr>
        <w:t xml:space="preserve"> فتكون قابلة للإبطال</w:t>
      </w:r>
      <w:r>
        <w:rPr>
          <w:rFonts w:hint="cs"/>
          <w:color w:val="000000"/>
          <w:rtl/>
          <w:lang w:bidi="ar-EG"/>
        </w:rPr>
        <w:t xml:space="preserve"> ،</w:t>
      </w:r>
      <w:r w:rsidRPr="00315653">
        <w:rPr>
          <w:rFonts w:hint="cs"/>
          <w:color w:val="000000"/>
          <w:rtl/>
          <w:lang w:bidi="ar-EG"/>
        </w:rPr>
        <w:t xml:space="preserve"> إذ حمل الزوج زوجته بماله من شوكة عليها أن تكلفه في دين كبير وهي تعلم أن زوجها لا يستطيع وفاء هذا الدين</w:t>
      </w:r>
      <w:r>
        <w:rPr>
          <w:rFonts w:hint="cs"/>
          <w:color w:val="000000"/>
          <w:rtl/>
          <w:lang w:bidi="ar-EG"/>
        </w:rPr>
        <w:t xml:space="preserve"> ،</w:t>
      </w:r>
      <w:r w:rsidRPr="00315653">
        <w:rPr>
          <w:rFonts w:hint="cs"/>
          <w:color w:val="000000"/>
          <w:rtl/>
          <w:lang w:bidi="ar-EG"/>
        </w:rPr>
        <w:t xml:space="preserve"> وذلك إذا كان الدائن الذي أبرم الكفالة مع الزوجة يعلم أو يستطيع أن يعلم بما شاب رضاء الزوجة من إكراه نتيجة لضغط زوجها</w:t>
      </w:r>
      <w:r>
        <w:rPr>
          <w:rFonts w:hint="cs"/>
          <w:color w:val="000000"/>
          <w:vertAlign w:val="superscript"/>
          <w:rtl/>
          <w:lang w:bidi="ar-EG"/>
        </w:rPr>
        <w:t xml:space="preserve">( </w:t>
      </w:r>
      <w:r w:rsidRPr="00315653">
        <w:rPr>
          <w:rStyle w:val="ab"/>
          <w:color w:val="000000"/>
          <w:rtl/>
          <w:lang w:bidi="ar-EG"/>
        </w:rPr>
        <w:footnoteReference w:id="19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$83 </w:t>
      </w:r>
      <w:r w:rsidRPr="00315653">
        <w:rPr>
          <w:rFonts w:hint="cs"/>
          <w:b/>
          <w:bCs/>
          <w:color w:val="000000"/>
          <w:rtl/>
          <w:lang w:bidi="ar-EG"/>
        </w:rPr>
        <w:t>34- الكفالة المعلقة على شرط أو المقترنة بأجل</w:t>
      </w:r>
      <w:r>
        <w:rPr>
          <w:rFonts w:hint="cs"/>
          <w:color w:val="000000"/>
          <w:rtl/>
          <w:lang w:bidi="ar-EG"/>
        </w:rPr>
        <w:t xml:space="preserve"> :</w:t>
      </w:r>
      <w:r w:rsidRPr="00315653">
        <w:rPr>
          <w:rFonts w:hint="cs"/>
          <w:color w:val="000000"/>
          <w:rtl/>
          <w:lang w:bidi="ar-EG"/>
        </w:rPr>
        <w:t xml:space="preserve"> وقد تعلق الكفالة على شرط واقف أو على شرط واقف أو على شرط فاسخ أو تقترن بأجل واقف أو بأجل فاسخ</w:t>
      </w:r>
      <w:r>
        <w:rPr>
          <w:rFonts w:hint="cs"/>
          <w:color w:val="000000"/>
          <w:rtl/>
          <w:lang w:bidi="ar-EG"/>
        </w:rPr>
        <w:t xml:space="preserve"> ،</w:t>
      </w:r>
      <w:r w:rsidRPr="00315653">
        <w:rPr>
          <w:rFonts w:hint="cs"/>
          <w:color w:val="000000"/>
          <w:rtl/>
          <w:lang w:bidi="ar-EG"/>
        </w:rPr>
        <w:t xml:space="preserve"> فتسري القواعد العامة في خصوص الشرط والأجل</w:t>
      </w:r>
      <w:r>
        <w:rPr>
          <w:rFonts w:hint="cs"/>
          <w:color w:val="000000"/>
          <w:rtl/>
          <w:lang w:bidi="ar-EG"/>
        </w:rPr>
        <w:t xml:space="preserve"> .</w:t>
      </w:r>
      <w:r w:rsidRPr="00315653">
        <w:rPr>
          <w:rFonts w:hint="cs"/>
          <w:color w:val="000000"/>
          <w:rtl/>
          <w:lang w:bidi="ar-EG"/>
        </w:rPr>
        <w:t xml:space="preserve"> وقد نصت المادة 1009 مدني عراقي على ما يأتي</w:t>
      </w:r>
      <w:r>
        <w:rPr>
          <w:rFonts w:hint="cs"/>
          <w:color w:val="000000"/>
          <w:rtl/>
          <w:lang w:bidi="ar-EG"/>
        </w:rPr>
        <w:t xml:space="preserve"> :</w:t>
      </w:r>
      <w:r w:rsidRPr="00315653">
        <w:rPr>
          <w:rFonts w:hint="cs"/>
          <w:color w:val="000000"/>
          <w:rtl/>
          <w:lang w:bidi="ar-EG"/>
        </w:rPr>
        <w:t xml:space="preserve"> "1- تنعقد الكفالة بإيجاب وقبول من الكفيل والمكفول له</w:t>
      </w:r>
      <w:r>
        <w:rPr>
          <w:rFonts w:hint="cs"/>
          <w:color w:val="000000"/>
          <w:rtl/>
          <w:lang w:bidi="ar-EG"/>
        </w:rPr>
        <w:t xml:space="preserve"> .</w:t>
      </w:r>
      <w:r w:rsidRPr="00315653">
        <w:rPr>
          <w:rFonts w:hint="cs"/>
          <w:color w:val="000000"/>
          <w:rtl/>
          <w:lang w:bidi="ar-EG"/>
        </w:rPr>
        <w:t xml:space="preserve"> 2- ويجوز أن تكون الكفالة منجزة أو معلقة على شرط أو مضافة إلى زمن مستقل"</w:t>
      </w:r>
      <w:r>
        <w:rPr>
          <w:rFonts w:hint="cs"/>
          <w:color w:val="000000"/>
          <w:rtl/>
          <w:lang w:bidi="ar-EG"/>
        </w:rPr>
        <w:t xml:space="preserve"> .</w:t>
      </w:r>
      <w:r w:rsidRPr="00315653">
        <w:rPr>
          <w:rFonts w:hint="cs"/>
          <w:color w:val="000000"/>
          <w:rtl/>
          <w:lang w:bidi="ar-EG"/>
        </w:rPr>
        <w:t xml:space="preserve"> ونصت المادة 1065 من قانون الموجبات والعقود اللبناني على أنه "يجوز أن تعلق الكفالة على أجل</w:t>
      </w:r>
      <w:r>
        <w:rPr>
          <w:rFonts w:hint="cs"/>
          <w:color w:val="000000"/>
          <w:rtl/>
          <w:lang w:bidi="ar-EG"/>
        </w:rPr>
        <w:t xml:space="preserve"> ،</w:t>
      </w:r>
      <w:r w:rsidRPr="00315653">
        <w:rPr>
          <w:rFonts w:hint="cs"/>
          <w:color w:val="000000"/>
          <w:rtl/>
          <w:lang w:bidi="ar-EG"/>
        </w:rPr>
        <w:t xml:space="preserve"> أي أن تكون لوقت معين أو ابتداء من تاريخ معين"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والمفروض هنا أن الالتزام الأصلي ليس معلقاً على شرط أو مضافاً إلى أجل فيكون التزام الكفيل مثله معلقاً على </w:t>
      </w:r>
      <w:r w:rsidRPr="00315653">
        <w:rPr>
          <w:rFonts w:hint="cs"/>
          <w:color w:val="000000"/>
          <w:rtl/>
          <w:lang w:bidi="ar-EG"/>
        </w:rPr>
        <w:lastRenderedPageBreak/>
        <w:t>نفس الشرط أو مضافاً إلى نفس الأجل</w:t>
      </w:r>
      <w:r>
        <w:rPr>
          <w:rFonts w:hint="cs"/>
          <w:color w:val="000000"/>
          <w:rtl/>
          <w:lang w:bidi="ar-EG"/>
        </w:rPr>
        <w:t xml:space="preserve"> ،</w:t>
      </w:r>
      <w:r w:rsidRPr="00315653">
        <w:rPr>
          <w:rFonts w:hint="cs"/>
          <w:color w:val="000000"/>
          <w:rtl/>
          <w:lang w:bidi="ar-EG"/>
        </w:rPr>
        <w:t xml:space="preserve"> بل أن الالتزام الأصلي التزام منجز والتزام الكفيل هو وحده المعلق على شرط أو المضاف إلى أجل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فقد يعلق الكفيل التزامه على شرط وجود ضمانات أخرى يعتمد عليها الكفيل ويحل محل الدائن فيها</w:t>
      </w:r>
      <w:r>
        <w:rPr>
          <w:rFonts w:hint="cs"/>
          <w:color w:val="000000"/>
          <w:rtl/>
          <w:lang w:bidi="ar-EG"/>
        </w:rPr>
        <w:t xml:space="preserve"> ،</w:t>
      </w:r>
      <w:r w:rsidRPr="00315653">
        <w:rPr>
          <w:rFonts w:hint="cs"/>
          <w:color w:val="000000"/>
          <w:rtl/>
          <w:lang w:bidi="ar-EG"/>
        </w:rPr>
        <w:t xml:space="preserve"> ويكون الشرط هنا واقفاً إذا كانت الكفالة لا تنفذ إلا إذا تحقق الشرط ووجدت هذه الضمانات</w:t>
      </w:r>
      <w:r>
        <w:rPr>
          <w:rFonts w:hint="cs"/>
          <w:color w:val="000000"/>
          <w:rtl/>
          <w:lang w:bidi="ar-EG"/>
        </w:rPr>
        <w:t xml:space="preserve"> ،</w:t>
      </w:r>
      <w:r w:rsidRPr="00315653">
        <w:rPr>
          <w:rFonts w:hint="cs"/>
          <w:color w:val="000000"/>
          <w:rtl/>
          <w:lang w:bidi="ar-EG"/>
        </w:rPr>
        <w:t xml:space="preserve"> أو فاسخاً إذا نفذت الكفالة في الحال بشرط أن يرهن الدين الأصلي عقاراً له في الدين فإذا لم يرهنه تحقق الشرط الفاسخ وانفسخت الكفالة</w:t>
      </w:r>
      <w:r>
        <w:rPr>
          <w:rFonts w:hint="cs"/>
          <w:color w:val="000000"/>
          <w:rtl/>
          <w:lang w:bidi="ar-EG"/>
        </w:rPr>
        <w:t xml:space="preserve"> .</w:t>
      </w:r>
      <w:r w:rsidRPr="00315653">
        <w:rPr>
          <w:rFonts w:hint="cs"/>
          <w:color w:val="000000"/>
          <w:rtl/>
          <w:lang w:bidi="ar-EG"/>
        </w:rPr>
        <w:t xml:space="preserve"> وقد يعلق الكفيل التزامه $84 على شرط واقف هو ألا يكون المدين الأصلي قد شهر إفلاسه</w:t>
      </w:r>
      <w:r>
        <w:rPr>
          <w:rFonts w:hint="cs"/>
          <w:color w:val="000000"/>
          <w:vertAlign w:val="superscript"/>
          <w:rtl/>
          <w:lang w:bidi="ar-EG"/>
        </w:rPr>
        <w:t xml:space="preserve">( </w:t>
      </w:r>
      <w:r w:rsidRPr="00315653">
        <w:rPr>
          <w:rStyle w:val="ab"/>
          <w:color w:val="000000"/>
          <w:rtl/>
          <w:lang w:bidi="ar-EG"/>
        </w:rPr>
        <w:footnoteReference w:id="19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هذه الحالة يبحث قاضي الموضوع فيما إذا كانت نية المتعاقدين قد انصرفت إلى جعل التسوية القضائية مماثلة للإفلاس</w:t>
      </w:r>
      <w:r>
        <w:rPr>
          <w:rFonts w:hint="cs"/>
          <w:color w:val="000000"/>
          <w:vertAlign w:val="superscript"/>
          <w:rtl/>
          <w:lang w:bidi="ar-EG"/>
        </w:rPr>
        <w:t xml:space="preserve">( </w:t>
      </w:r>
      <w:r w:rsidRPr="00315653">
        <w:rPr>
          <w:rStyle w:val="ab"/>
          <w:color w:val="000000"/>
          <w:rtl/>
          <w:lang w:bidi="ar-EG"/>
        </w:rPr>
        <w:footnoteReference w:id="19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وفيما إذا كان حكم الإفلاس إذا ألغي في الاستئناف لا يجعل الشرط الواقف يتحقق</w:t>
      </w:r>
      <w:r>
        <w:rPr>
          <w:rFonts w:hint="cs"/>
          <w:color w:val="000000"/>
          <w:vertAlign w:val="superscript"/>
          <w:rtl/>
          <w:lang w:bidi="ar-EG"/>
        </w:rPr>
        <w:t xml:space="preserve">( </w:t>
      </w:r>
      <w:r w:rsidRPr="00315653">
        <w:rPr>
          <w:rStyle w:val="ab"/>
          <w:color w:val="000000"/>
          <w:rtl/>
          <w:lang w:bidi="ar-EG"/>
        </w:rPr>
        <w:footnoteReference w:id="20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يعلق الكفيل التزامه على شرط فاسخ</w:t>
      </w:r>
      <w:r>
        <w:rPr>
          <w:rFonts w:hint="cs"/>
          <w:color w:val="000000"/>
          <w:rtl/>
          <w:lang w:bidi="ar-EG"/>
        </w:rPr>
        <w:t xml:space="preserve"> ،</w:t>
      </w:r>
      <w:r w:rsidRPr="00315653">
        <w:rPr>
          <w:rFonts w:hint="cs"/>
          <w:color w:val="000000"/>
          <w:rtl/>
          <w:lang w:bidi="ar-EG"/>
        </w:rPr>
        <w:t xml:space="preserve"> هو أن يستعمل المدين القرض الذي اقترضه استعمالا معيناً أو لغرض معين</w:t>
      </w:r>
      <w:r>
        <w:rPr>
          <w:rFonts w:hint="cs"/>
          <w:color w:val="000000"/>
          <w:rtl/>
          <w:lang w:bidi="ar-EG"/>
        </w:rPr>
        <w:t xml:space="preserve"> ،</w:t>
      </w:r>
      <w:r w:rsidRPr="00315653">
        <w:rPr>
          <w:rFonts w:hint="cs"/>
          <w:color w:val="000000"/>
          <w:rtl/>
          <w:lang w:bidi="ar-EG"/>
        </w:rPr>
        <w:t xml:space="preserve"> فإذا لم يفعل تحقق الشرط الفاسخ وانفسخت الكفالة</w:t>
      </w:r>
      <w:r>
        <w:rPr>
          <w:rFonts w:hint="cs"/>
          <w:color w:val="000000"/>
          <w:vertAlign w:val="superscript"/>
          <w:rtl/>
          <w:lang w:bidi="ar-EG"/>
        </w:rPr>
        <w:t xml:space="preserve">( </w:t>
      </w:r>
      <w:r w:rsidRPr="00315653">
        <w:rPr>
          <w:rStyle w:val="ab"/>
          <w:color w:val="000000"/>
          <w:rtl/>
          <w:lang w:bidi="ar-EG"/>
        </w:rPr>
        <w:footnoteReference w:id="20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وقد يقرن الكفيل التزامه بأجل واقف</w:t>
      </w:r>
      <w:r>
        <w:rPr>
          <w:rFonts w:hint="cs"/>
          <w:color w:val="000000"/>
          <w:rtl/>
          <w:lang w:bidi="ar-EG"/>
        </w:rPr>
        <w:t xml:space="preserve"> ،</w:t>
      </w:r>
      <w:r w:rsidRPr="00315653">
        <w:rPr>
          <w:rFonts w:hint="cs"/>
          <w:color w:val="000000"/>
          <w:rtl/>
          <w:lang w:bidi="ar-EG"/>
        </w:rPr>
        <w:t xml:space="preserve"> فلا يلتزم بالكفالة إلا ابتداء من وقت معين</w:t>
      </w:r>
      <w:r>
        <w:rPr>
          <w:rFonts w:hint="cs"/>
          <w:color w:val="000000"/>
          <w:vertAlign w:val="superscript"/>
          <w:rtl/>
          <w:lang w:bidi="ar-EG"/>
        </w:rPr>
        <w:t xml:space="preserve">( </w:t>
      </w:r>
      <w:r w:rsidRPr="00315653">
        <w:rPr>
          <w:rStyle w:val="ab"/>
          <w:color w:val="000000"/>
          <w:rtl/>
          <w:lang w:bidi="ar-EG"/>
        </w:rPr>
        <w:footnoteReference w:id="20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يقرن كفالته بأجل فاسخ</w:t>
      </w:r>
      <w:r>
        <w:rPr>
          <w:rFonts w:hint="cs"/>
          <w:color w:val="000000"/>
          <w:rtl/>
          <w:lang w:bidi="ar-EG"/>
        </w:rPr>
        <w:t xml:space="preserve"> ،</w:t>
      </w:r>
      <w:r w:rsidRPr="00315653">
        <w:rPr>
          <w:rFonts w:hint="cs"/>
          <w:color w:val="000000"/>
          <w:rtl/>
          <w:lang w:bidi="ar-EG"/>
        </w:rPr>
        <w:t xml:space="preserve"> فلا يكفل المدين إلا في الديون التي يعقدها في وقت معين</w:t>
      </w:r>
      <w:r>
        <w:rPr>
          <w:rFonts w:hint="cs"/>
          <w:color w:val="000000"/>
          <w:rtl/>
          <w:lang w:bidi="ar-EG"/>
        </w:rPr>
        <w:t xml:space="preserve"> ،</w:t>
      </w:r>
      <w:r w:rsidRPr="00315653">
        <w:rPr>
          <w:rFonts w:hint="cs"/>
          <w:color w:val="000000"/>
          <w:rtl/>
          <w:lang w:bidi="ar-EG"/>
        </w:rPr>
        <w:t xml:space="preserve"> فإذا انقضى هذا الوقت لا يعود الكفيل ضامناً للديون التي يبرمها المدين بعد انقضاء هذا الوقت</w:t>
      </w:r>
      <w:r>
        <w:rPr>
          <w:rFonts w:hint="cs"/>
          <w:color w:val="000000"/>
          <w:vertAlign w:val="superscript"/>
          <w:rtl/>
          <w:lang w:bidi="ar-EG"/>
        </w:rPr>
        <w:t xml:space="preserve">( </w:t>
      </w:r>
      <w:r w:rsidRPr="00315653">
        <w:rPr>
          <w:rStyle w:val="ab"/>
          <w:color w:val="000000"/>
          <w:rtl/>
          <w:lang w:bidi="ar-EG"/>
        </w:rPr>
        <w:footnoteReference w:id="20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35- لا يجوز للمدين أن يسوئ مركز الكفيل بعد الكفالة</w:t>
      </w:r>
      <w:r>
        <w:rPr>
          <w:rFonts w:hint="cs"/>
          <w:color w:val="000000"/>
          <w:rtl/>
          <w:lang w:bidi="ar-EG"/>
        </w:rPr>
        <w:t xml:space="preserve"> :</w:t>
      </w:r>
      <w:r w:rsidRPr="00315653">
        <w:rPr>
          <w:rFonts w:hint="cs"/>
          <w:color w:val="000000"/>
          <w:rtl/>
          <w:lang w:bidi="ar-EG"/>
        </w:rPr>
        <w:t xml:space="preserve"> وإذا انعقدا الكفالة وتحدد مركز الكفيل</w:t>
      </w:r>
      <w:r>
        <w:rPr>
          <w:rFonts w:hint="cs"/>
          <w:color w:val="000000"/>
          <w:rtl/>
          <w:lang w:bidi="ar-EG"/>
        </w:rPr>
        <w:t xml:space="preserve"> ،</w:t>
      </w:r>
      <w:r w:rsidRPr="00315653">
        <w:rPr>
          <w:rFonts w:hint="cs"/>
          <w:color w:val="000000"/>
          <w:rtl/>
          <w:lang w:bidi="ar-EG"/>
        </w:rPr>
        <w:t xml:space="preserve"> فلا يجوز للمدين الأصلي بعمله أن يسوئ هذا المركز أو يزيد في عبء التزام الكفيل</w:t>
      </w:r>
      <w:r>
        <w:rPr>
          <w:rFonts w:hint="cs"/>
          <w:color w:val="000000"/>
          <w:rtl/>
          <w:lang w:bidi="ar-EG"/>
        </w:rPr>
        <w:t xml:space="preserve"> .</w:t>
      </w:r>
      <w:r w:rsidRPr="00315653">
        <w:rPr>
          <w:rFonts w:hint="cs"/>
          <w:color w:val="000000"/>
          <w:rtl/>
          <w:lang w:bidi="ar-EG"/>
        </w:rPr>
        <w:t xml:space="preserve"> فإذا كان التزام المدين الأصلي معلقاً على شرط واتفق مع الدائن على النزول عن هذا الشرط وجعل الالتزام منجزاً</w:t>
      </w:r>
      <w:r>
        <w:rPr>
          <w:rFonts w:hint="cs"/>
          <w:color w:val="000000"/>
          <w:rtl/>
          <w:lang w:bidi="ar-EG"/>
        </w:rPr>
        <w:t xml:space="preserve"> ،</w:t>
      </w:r>
      <w:r w:rsidRPr="00315653">
        <w:rPr>
          <w:rFonts w:hint="cs"/>
          <w:color w:val="000000"/>
          <w:rtl/>
          <w:lang w:bidi="ar-EG"/>
        </w:rPr>
        <w:t xml:space="preserve"> بقي التزام الكفيل كما كان معلقاً على هذا الشرط ولا يسري في حقه نزول المدين عنه</w:t>
      </w:r>
      <w:r>
        <w:rPr>
          <w:rFonts w:hint="cs"/>
          <w:color w:val="000000"/>
          <w:rtl/>
          <w:lang w:bidi="ar-EG"/>
        </w:rPr>
        <w:t xml:space="preserve"> .</w:t>
      </w:r>
      <w:r w:rsidRPr="00315653">
        <w:rPr>
          <w:rFonts w:hint="cs"/>
          <w:color w:val="000000"/>
          <w:rtl/>
          <w:lang w:bidi="ar-EG"/>
        </w:rPr>
        <w:t xml:space="preserve"> وإذا سقط أجل الدين بخطأ المدين أو بفعله</w:t>
      </w:r>
      <w:r>
        <w:rPr>
          <w:rFonts w:hint="cs"/>
          <w:color w:val="000000"/>
          <w:rtl/>
          <w:lang w:bidi="ar-EG"/>
        </w:rPr>
        <w:t xml:space="preserve"> ،</w:t>
      </w:r>
      <w:r w:rsidRPr="00315653">
        <w:rPr>
          <w:rFonts w:hint="cs"/>
          <w:color w:val="000000"/>
          <w:rtl/>
          <w:lang w:bidi="ar-EG"/>
        </w:rPr>
        <w:t xml:space="preserve"> $85 بقي الأجل قائماً بالنسبة إلى الكفيل</w:t>
      </w:r>
      <w:r>
        <w:rPr>
          <w:rFonts w:hint="cs"/>
          <w:color w:val="000000"/>
          <w:vertAlign w:val="superscript"/>
          <w:rtl/>
          <w:lang w:bidi="ar-EG"/>
        </w:rPr>
        <w:t xml:space="preserve">( </w:t>
      </w:r>
      <w:r w:rsidRPr="00315653">
        <w:rPr>
          <w:rStyle w:val="ab"/>
          <w:color w:val="000000"/>
          <w:rtl/>
          <w:lang w:bidi="ar-EG"/>
        </w:rPr>
        <w:footnoteReference w:id="20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اتفق المدين مع الدائن على النزول عن أجل الدين</w:t>
      </w:r>
      <w:r>
        <w:rPr>
          <w:rFonts w:hint="cs"/>
          <w:color w:val="000000"/>
          <w:rtl/>
          <w:lang w:bidi="ar-EG"/>
        </w:rPr>
        <w:t xml:space="preserve"> ،</w:t>
      </w:r>
      <w:r w:rsidRPr="00315653">
        <w:rPr>
          <w:rFonts w:hint="cs"/>
          <w:color w:val="000000"/>
          <w:rtl/>
          <w:lang w:bidi="ar-EG"/>
        </w:rPr>
        <w:t xml:space="preserve"> فإن هذا الاتفاق لا يسري في حق الكفيل</w:t>
      </w:r>
      <w:r>
        <w:rPr>
          <w:rFonts w:hint="cs"/>
          <w:color w:val="000000"/>
          <w:rtl/>
          <w:lang w:bidi="ar-EG"/>
        </w:rPr>
        <w:t xml:space="preserve"> ،</w:t>
      </w:r>
      <w:r w:rsidRPr="00315653">
        <w:rPr>
          <w:rFonts w:hint="cs"/>
          <w:color w:val="000000"/>
          <w:rtl/>
          <w:lang w:bidi="ar-EG"/>
        </w:rPr>
        <w:t xml:space="preserve"> فلا يرغم على وفاء الدين إلا عند حلول هذا الأجل</w:t>
      </w:r>
      <w:r>
        <w:rPr>
          <w:rFonts w:hint="cs"/>
          <w:color w:val="000000"/>
          <w:rtl/>
          <w:lang w:bidi="ar-EG"/>
        </w:rPr>
        <w:t xml:space="preserve"> .</w:t>
      </w:r>
      <w:r w:rsidRPr="00315653">
        <w:rPr>
          <w:rFonts w:hint="cs"/>
          <w:color w:val="000000"/>
          <w:rtl/>
          <w:lang w:bidi="ar-EG"/>
        </w:rPr>
        <w:t xml:space="preserve"> وإذا اتفق المدين مع الدائن على زيادة سعر الفائدة في مقابل مد الأجل</w:t>
      </w:r>
      <w:r>
        <w:rPr>
          <w:rFonts w:hint="cs"/>
          <w:color w:val="000000"/>
          <w:rtl/>
          <w:lang w:bidi="ar-EG"/>
        </w:rPr>
        <w:t xml:space="preserve"> ،</w:t>
      </w:r>
      <w:r w:rsidRPr="00315653">
        <w:rPr>
          <w:rFonts w:hint="cs"/>
          <w:color w:val="000000"/>
          <w:rtl/>
          <w:lang w:bidi="ar-EG"/>
        </w:rPr>
        <w:t xml:space="preserve"> لم يسر هذا الاتفاق في حق الكفيل</w:t>
      </w:r>
      <w:r>
        <w:rPr>
          <w:rFonts w:hint="cs"/>
          <w:color w:val="000000"/>
          <w:rtl/>
          <w:lang w:bidi="ar-EG"/>
        </w:rPr>
        <w:t xml:space="preserve"> ،</w:t>
      </w:r>
      <w:r w:rsidRPr="00315653">
        <w:rPr>
          <w:rFonts w:hint="cs"/>
          <w:color w:val="000000"/>
          <w:rtl/>
          <w:lang w:bidi="ar-EG"/>
        </w:rPr>
        <w:t xml:space="preserve"> ويبقى هذا ملتزماً بسعر الفائدة كما كان وقت الكفالة</w:t>
      </w:r>
      <w:r>
        <w:rPr>
          <w:rFonts w:hint="cs"/>
          <w:color w:val="000000"/>
          <w:rtl/>
          <w:lang w:bidi="ar-EG"/>
        </w:rPr>
        <w:t xml:space="preserve"> ،</w:t>
      </w:r>
      <w:r w:rsidRPr="00315653">
        <w:rPr>
          <w:rFonts w:hint="cs"/>
          <w:color w:val="000000"/>
          <w:rtl/>
          <w:lang w:bidi="ar-EG"/>
        </w:rPr>
        <w:t xml:space="preserve"> ولا يتمسك بمد الأجل</w:t>
      </w:r>
      <w:r>
        <w:rPr>
          <w:rFonts w:hint="cs"/>
          <w:color w:val="000000"/>
          <w:rtl/>
          <w:lang w:bidi="ar-EG"/>
        </w:rPr>
        <w:t xml:space="preserve"> .</w:t>
      </w:r>
      <w:r w:rsidRPr="00315653">
        <w:rPr>
          <w:rFonts w:hint="cs"/>
          <w:color w:val="000000"/>
          <w:rtl/>
          <w:lang w:bidi="ar-EG"/>
        </w:rPr>
        <w:t xml:space="preserve"> فإذا ما طالبه الدائن بالوفاء عند حلول </w:t>
      </w:r>
      <w:r w:rsidRPr="00315653">
        <w:rPr>
          <w:rFonts w:hint="cs"/>
          <w:color w:val="000000"/>
          <w:rtl/>
          <w:lang w:bidi="ar-EG"/>
        </w:rPr>
        <w:lastRenderedPageBreak/>
        <w:t>الأجل قبل مده</w:t>
      </w:r>
      <w:r>
        <w:rPr>
          <w:rFonts w:hint="cs"/>
          <w:color w:val="000000"/>
          <w:rtl/>
          <w:lang w:bidi="ar-EG"/>
        </w:rPr>
        <w:t xml:space="preserve"> ،</w:t>
      </w:r>
      <w:r w:rsidRPr="00315653">
        <w:rPr>
          <w:rFonts w:hint="cs"/>
          <w:color w:val="000000"/>
          <w:rtl/>
          <w:lang w:bidi="ar-EG"/>
        </w:rPr>
        <w:t xml:space="preserve"> جاز له أن يطلب من المدين أن يفي بالدين للدائن</w:t>
      </w:r>
      <w:r>
        <w:rPr>
          <w:rFonts w:hint="cs"/>
          <w:color w:val="000000"/>
          <w:vertAlign w:val="superscript"/>
          <w:rtl/>
          <w:lang w:bidi="ar-EG"/>
        </w:rPr>
        <w:t xml:space="preserve">( </w:t>
      </w:r>
      <w:r w:rsidRPr="00315653">
        <w:rPr>
          <w:rStyle w:val="ab"/>
          <w:color w:val="000000"/>
          <w:rtl/>
          <w:lang w:bidi="ar-EG"/>
        </w:rPr>
        <w:footnoteReference w:id="20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العكس من ذلك</w:t>
      </w:r>
      <w:r>
        <w:rPr>
          <w:rFonts w:hint="cs"/>
          <w:color w:val="000000"/>
          <w:rtl/>
          <w:lang w:bidi="ar-EG"/>
        </w:rPr>
        <w:t xml:space="preserve"> ،</w:t>
      </w:r>
      <w:r w:rsidRPr="00315653">
        <w:rPr>
          <w:rFonts w:hint="cs"/>
          <w:color w:val="000000"/>
          <w:rtl/>
          <w:lang w:bidi="ar-EG"/>
        </w:rPr>
        <w:t xml:space="preserve"> إذا تحسن مركز المدين</w:t>
      </w:r>
      <w:r>
        <w:rPr>
          <w:rFonts w:hint="cs"/>
          <w:color w:val="000000"/>
          <w:rtl/>
          <w:lang w:bidi="ar-EG"/>
        </w:rPr>
        <w:t xml:space="preserve"> ،</w:t>
      </w:r>
      <w:r w:rsidRPr="00315653">
        <w:rPr>
          <w:rFonts w:hint="cs"/>
          <w:color w:val="000000"/>
          <w:rtl/>
          <w:lang w:bidi="ar-EG"/>
        </w:rPr>
        <w:t xml:space="preserve"> جاز للكفيل أن يفيد من هذا التحسن</w:t>
      </w:r>
      <w:r>
        <w:rPr>
          <w:rFonts w:hint="cs"/>
          <w:color w:val="000000"/>
          <w:rtl/>
          <w:lang w:bidi="ar-EG"/>
        </w:rPr>
        <w:t xml:space="preserve"> .</w:t>
      </w:r>
      <w:r w:rsidRPr="00315653">
        <w:rPr>
          <w:rFonts w:hint="cs"/>
          <w:color w:val="000000"/>
          <w:rtl/>
          <w:lang w:bidi="ar-EG"/>
        </w:rPr>
        <w:t xml:space="preserve"> فإذا مد الدائن أجل الدين دون مقابل</w:t>
      </w:r>
      <w:r>
        <w:rPr>
          <w:rFonts w:hint="cs"/>
          <w:color w:val="000000"/>
          <w:rtl/>
          <w:lang w:bidi="ar-EG"/>
        </w:rPr>
        <w:t xml:space="preserve"> ،</w:t>
      </w:r>
      <w:r w:rsidRPr="00315653">
        <w:rPr>
          <w:rFonts w:hint="cs"/>
          <w:color w:val="000000"/>
          <w:rtl/>
          <w:lang w:bidi="ar-EG"/>
        </w:rPr>
        <w:t xml:space="preserve"> أفاد الكفيل من مد الأجل</w:t>
      </w:r>
      <w:r>
        <w:rPr>
          <w:rFonts w:hint="cs"/>
          <w:color w:val="000000"/>
          <w:rtl/>
          <w:lang w:bidi="ar-EG"/>
        </w:rPr>
        <w:t xml:space="preserve"> ،</w:t>
      </w:r>
      <w:r w:rsidRPr="00315653">
        <w:rPr>
          <w:rFonts w:hint="cs"/>
          <w:color w:val="000000"/>
          <w:rtl/>
          <w:lang w:bidi="ar-EG"/>
        </w:rPr>
        <w:t xml:space="preserve"> وجاز له أن يتمسك بالأجل الجديد</w:t>
      </w:r>
      <w:r>
        <w:rPr>
          <w:rFonts w:hint="cs"/>
          <w:color w:val="000000"/>
          <w:rtl/>
          <w:lang w:bidi="ar-EG"/>
        </w:rPr>
        <w:t xml:space="preserve"> .</w:t>
      </w:r>
      <w:r w:rsidRPr="00315653">
        <w:rPr>
          <w:rFonts w:hint="cs"/>
          <w:color w:val="000000"/>
          <w:rtl/>
          <w:lang w:bidi="ar-EG"/>
        </w:rPr>
        <w:t xml:space="preserve"> وإذا نزل الدائن للمدين عن جزء من الدين أو عن الفوائد أو أنقص سعر الفائدة</w:t>
      </w:r>
      <w:r>
        <w:rPr>
          <w:rFonts w:hint="cs"/>
          <w:color w:val="000000"/>
          <w:rtl/>
          <w:lang w:bidi="ar-EG"/>
        </w:rPr>
        <w:t xml:space="preserve"> ،</w:t>
      </w:r>
      <w:r w:rsidRPr="00315653">
        <w:rPr>
          <w:rFonts w:hint="cs"/>
          <w:color w:val="000000"/>
          <w:rtl/>
          <w:lang w:bidi="ar-EG"/>
        </w:rPr>
        <w:t xml:space="preserve"> جاز للكفيل أن يفيد من كل ذلك</w:t>
      </w:r>
      <w:r>
        <w:rPr>
          <w:rFonts w:hint="cs"/>
          <w:color w:val="000000"/>
          <w:rtl/>
          <w:lang w:bidi="ar-EG"/>
        </w:rPr>
        <w:t xml:space="preserve"> ،</w:t>
      </w:r>
      <w:r w:rsidRPr="00315653">
        <w:rPr>
          <w:rFonts w:hint="cs"/>
          <w:color w:val="000000"/>
          <w:rtl/>
          <w:lang w:bidi="ar-EG"/>
        </w:rPr>
        <w:t xml:space="preserve"> فلا يدفع للدائن إلا ما أصبح المدين ملتزماً به بعد نزول الدائن عن جزء من الدين أو عن الفوائد أو بعد إنقاص سعر الفائدة</w:t>
      </w:r>
      <w:r>
        <w:rPr>
          <w:rFonts w:hint="cs"/>
          <w:color w:val="000000"/>
          <w:vertAlign w:val="superscript"/>
          <w:rtl/>
          <w:lang w:bidi="ar-EG"/>
        </w:rPr>
        <w:t xml:space="preserve">( </w:t>
      </w:r>
      <w:r w:rsidRPr="00315653">
        <w:rPr>
          <w:rStyle w:val="ab"/>
          <w:color w:val="000000"/>
          <w:rtl/>
          <w:lang w:bidi="ar-EG"/>
        </w:rPr>
        <w:footnoteReference w:id="20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36- مدى التزام الكفيل وتفسير الكفالة</w:t>
      </w:r>
      <w:r>
        <w:rPr>
          <w:rFonts w:hint="cs"/>
          <w:color w:val="000000"/>
          <w:rtl/>
          <w:lang w:bidi="ar-EG"/>
        </w:rPr>
        <w:t xml:space="preserve"> :</w:t>
      </w:r>
      <w:r w:rsidRPr="00315653">
        <w:rPr>
          <w:rFonts w:hint="cs"/>
          <w:color w:val="000000"/>
          <w:rtl/>
          <w:lang w:bidi="ar-EG"/>
        </w:rPr>
        <w:t xml:space="preserve"> وقاضي الموضوع هو الذي يحدد مدى التزام الكفيل ويفسر عقد الكفالة في هذا الخصوص</w:t>
      </w:r>
      <w:r>
        <w:rPr>
          <w:rFonts w:hint="cs"/>
          <w:color w:val="000000"/>
          <w:rtl/>
          <w:lang w:bidi="ar-EG"/>
        </w:rPr>
        <w:t xml:space="preserve"> ،</w:t>
      </w:r>
      <w:r w:rsidRPr="00315653">
        <w:rPr>
          <w:rFonts w:hint="cs"/>
          <w:color w:val="000000"/>
          <w:rtl/>
          <w:lang w:bidi="ar-EG"/>
        </w:rPr>
        <w:t xml:space="preserve"> وهو في تحديد مدى التزام الكفيل يقضي في مسألة موضوعية فلا رقابة عله من محكمة النقض</w:t>
      </w:r>
      <w:r>
        <w:rPr>
          <w:rFonts w:hint="cs"/>
          <w:color w:val="000000"/>
          <w:rtl/>
          <w:lang w:bidi="ar-EG"/>
        </w:rPr>
        <w:t xml:space="preserve"> .</w:t>
      </w:r>
      <w:r w:rsidRPr="00315653">
        <w:rPr>
          <w:rFonts w:hint="cs"/>
          <w:color w:val="000000"/>
          <w:rtl/>
          <w:lang w:bidi="ar-EG"/>
        </w:rPr>
        <w:t xml:space="preserve"> على أنه في تفسير الكفالة يتقيد بقاعدة قانونية لمحكمة النقض حق الرقابة عليها</w:t>
      </w:r>
      <w:r>
        <w:rPr>
          <w:rFonts w:hint="cs"/>
          <w:color w:val="000000"/>
          <w:rtl/>
          <w:lang w:bidi="ar-EG"/>
        </w:rPr>
        <w:t xml:space="preserve"> ،</w:t>
      </w:r>
      <w:r w:rsidRPr="00315653">
        <w:rPr>
          <w:rFonts w:hint="cs"/>
          <w:color w:val="000000"/>
          <w:rtl/>
          <w:lang w:bidi="ar-EG"/>
        </w:rPr>
        <w:t xml:space="preserve"> وهي تفسير الكفالة تفسيراً ضيقاً دون توسع</w:t>
      </w:r>
      <w:r>
        <w:rPr>
          <w:rFonts w:hint="cs"/>
          <w:color w:val="000000"/>
          <w:rtl/>
          <w:lang w:bidi="ar-EG"/>
        </w:rPr>
        <w:t xml:space="preserve"> ،</w:t>
      </w:r>
      <w:r w:rsidRPr="00315653">
        <w:rPr>
          <w:rFonts w:hint="cs"/>
          <w:color w:val="000000"/>
          <w:rtl/>
          <w:lang w:bidi="ar-EG"/>
        </w:rPr>
        <w:t xml:space="preserve"> فعند الشك يكون التفسير لمصلحة الكفيل فيحدد التزامه في أضيق نطاق $86 تتحمله عبارات الكفالة</w:t>
      </w:r>
      <w:r>
        <w:rPr>
          <w:rFonts w:hint="cs"/>
          <w:color w:val="000000"/>
          <w:vertAlign w:val="superscript"/>
          <w:rtl/>
          <w:lang w:bidi="ar-EG"/>
        </w:rPr>
        <w:t xml:space="preserve">( </w:t>
      </w:r>
      <w:r w:rsidRPr="00315653">
        <w:rPr>
          <w:rStyle w:val="ab"/>
          <w:color w:val="000000"/>
          <w:rtl/>
          <w:lang w:bidi="ar-EG"/>
        </w:rPr>
        <w:footnoteReference w:id="20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وكانت القاعدة التي تقضي بتفسير الكفالة تفسيراً ضيقاً معروفة في القانون الفرنسي القديم</w:t>
      </w:r>
      <w:r>
        <w:rPr>
          <w:rFonts w:hint="cs"/>
          <w:color w:val="000000"/>
          <w:rtl/>
          <w:lang w:bidi="ar-EG"/>
        </w:rPr>
        <w:t xml:space="preserve"> ،</w:t>
      </w:r>
      <w:r w:rsidRPr="00315653">
        <w:rPr>
          <w:rFonts w:hint="cs"/>
          <w:color w:val="000000"/>
          <w:rtl/>
          <w:lang w:bidi="ar-EG"/>
        </w:rPr>
        <w:t xml:space="preserve"> فكان يقال إنه لا يجوز التوسع في تفسير الكفالة لا من حيث الشيء ولا م حيث الشخص ولا من حيث الزمن</w:t>
      </w:r>
      <w:r>
        <w:rPr>
          <w:rFonts w:hint="cs"/>
          <w:color w:val="000000"/>
          <w:vertAlign w:val="superscript"/>
          <w:rtl/>
          <w:lang w:bidi="ar-EG"/>
        </w:rPr>
        <w:t xml:space="preserve">( </w:t>
      </w:r>
      <w:r w:rsidRPr="00315653">
        <w:rPr>
          <w:rStyle w:val="ab"/>
          <w:color w:val="000000"/>
          <w:rtl/>
          <w:lang w:bidi="ar-EG"/>
        </w:rPr>
        <w:footnoteReference w:id="20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كله حماية للكفيل الذي كثيراً ما يتورط في الكفالة كما قدمنا</w:t>
      </w:r>
      <w:r>
        <w:rPr>
          <w:rFonts w:hint="cs"/>
          <w:color w:val="000000"/>
          <w:rtl/>
          <w:lang w:bidi="ar-EG"/>
        </w:rPr>
        <w:t xml:space="preserve"> ،</w:t>
      </w:r>
      <w:r w:rsidRPr="00315653">
        <w:rPr>
          <w:rFonts w:hint="cs"/>
          <w:color w:val="000000"/>
          <w:rtl/>
          <w:lang w:bidi="ar-EG"/>
        </w:rPr>
        <w:t xml:space="preserve"> وقد أملى هذه القاعدة نفس الاعتبارات التي قضت بأن يكون رضاء الكفيل صريحاً في التقنين المدني الفرنسي</w:t>
      </w:r>
      <w:r>
        <w:rPr>
          <w:rFonts w:hint="cs"/>
          <w:color w:val="000000"/>
          <w:rtl/>
          <w:lang w:bidi="ar-EG"/>
        </w:rPr>
        <w:t xml:space="preserve"> ،</w:t>
      </w:r>
      <w:r w:rsidRPr="00315653">
        <w:rPr>
          <w:rFonts w:hint="cs"/>
          <w:color w:val="000000"/>
          <w:rtl/>
          <w:lang w:bidi="ar-EG"/>
        </w:rPr>
        <w:t xml:space="preserve"> وقضت بأن يكون إثبات التزام الكفيل بالكتابة في التقنين المدني المصري</w:t>
      </w:r>
      <w:r>
        <w:rPr>
          <w:rFonts w:hint="cs"/>
          <w:color w:val="000000"/>
          <w:rtl/>
          <w:lang w:bidi="ar-EG"/>
        </w:rPr>
        <w:t xml:space="preserve"> ،</w:t>
      </w:r>
      <w:r w:rsidRPr="00315653">
        <w:rPr>
          <w:rFonts w:hint="cs"/>
          <w:color w:val="000000"/>
          <w:rtl/>
          <w:lang w:bidi="ar-EG"/>
        </w:rPr>
        <w:t xml:space="preserve"> فيما رأينا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فإذا كفل الكفيل جزءاً من التزامات المدين</w:t>
      </w:r>
      <w:r>
        <w:rPr>
          <w:rFonts w:hint="cs"/>
          <w:color w:val="000000"/>
          <w:rtl/>
          <w:lang w:bidi="ar-EG"/>
        </w:rPr>
        <w:t xml:space="preserve"> ،</w:t>
      </w:r>
      <w:r w:rsidRPr="00315653">
        <w:rPr>
          <w:rFonts w:hint="cs"/>
          <w:color w:val="000000"/>
          <w:rtl/>
          <w:lang w:bidi="ar-EG"/>
        </w:rPr>
        <w:t xml:space="preserve"> لم يجز مد الكفالة إلى الأجزاء الأخرى</w:t>
      </w:r>
      <w:r>
        <w:rPr>
          <w:rFonts w:hint="cs"/>
          <w:color w:val="000000"/>
          <w:rtl/>
          <w:lang w:bidi="ar-EG"/>
        </w:rPr>
        <w:t xml:space="preserve"> .</w:t>
      </w:r>
      <w:r w:rsidRPr="00315653">
        <w:rPr>
          <w:rFonts w:hint="cs"/>
          <w:color w:val="000000"/>
          <w:rtl/>
          <w:lang w:bidi="ar-EG"/>
        </w:rPr>
        <w:t xml:space="preserve"> وعلى ذلك إذا كفل الكفيل المستأجر في دفع الأجرة</w:t>
      </w:r>
      <w:r>
        <w:rPr>
          <w:rFonts w:hint="cs"/>
          <w:color w:val="000000"/>
          <w:rtl/>
          <w:lang w:bidi="ar-EG"/>
        </w:rPr>
        <w:t xml:space="preserve"> ،</w:t>
      </w:r>
      <w:r w:rsidRPr="00315653">
        <w:rPr>
          <w:rFonts w:hint="cs"/>
          <w:color w:val="000000"/>
          <w:rtl/>
          <w:lang w:bidi="ar-EG"/>
        </w:rPr>
        <w:t xml:space="preserve"> اقتصرت كفالته على الالتزام بدفع الأجرة</w:t>
      </w:r>
      <w:r>
        <w:rPr>
          <w:rFonts w:hint="cs"/>
          <w:color w:val="000000"/>
          <w:rtl/>
          <w:lang w:bidi="ar-EG"/>
        </w:rPr>
        <w:t xml:space="preserve"> ،</w:t>
      </w:r>
      <w:r w:rsidRPr="00315653">
        <w:rPr>
          <w:rFonts w:hint="cs"/>
          <w:color w:val="000000"/>
          <w:rtl/>
          <w:lang w:bidi="ar-EG"/>
        </w:rPr>
        <w:t xml:space="preserve"> ولم يمتد إلى الالتزامات الأخرى الناشئة م عقد الإيجار كالتعويض عن التلف أو التعويض عن الحريق</w:t>
      </w:r>
      <w:r>
        <w:rPr>
          <w:rFonts w:hint="cs"/>
          <w:color w:val="000000"/>
          <w:vertAlign w:val="superscript"/>
          <w:rtl/>
          <w:lang w:bidi="ar-EG"/>
        </w:rPr>
        <w:t xml:space="preserve">( </w:t>
      </w:r>
      <w:r w:rsidRPr="00315653">
        <w:rPr>
          <w:rStyle w:val="ab"/>
          <w:color w:val="000000"/>
          <w:rtl/>
          <w:lang w:bidi="ar-EG"/>
        </w:rPr>
        <w:footnoteReference w:id="20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كفل الكفيل أصل الدين لم تمتد كفالته إلى فوائد الدين</w:t>
      </w:r>
      <w:r>
        <w:rPr>
          <w:rFonts w:hint="cs"/>
          <w:color w:val="000000"/>
          <w:rtl/>
          <w:lang w:bidi="ar-EG"/>
        </w:rPr>
        <w:t xml:space="preserve"> ،</w:t>
      </w:r>
      <w:r w:rsidRPr="00315653">
        <w:rPr>
          <w:rFonts w:hint="cs"/>
          <w:color w:val="000000"/>
          <w:rtl/>
          <w:lang w:bidi="ar-EG"/>
        </w:rPr>
        <w:t xml:space="preserve"> وإذا كفل الفوائد بسيطة لم يكفلها مركبة</w:t>
      </w:r>
      <w:r>
        <w:rPr>
          <w:rFonts w:hint="cs"/>
          <w:color w:val="000000"/>
          <w:vertAlign w:val="superscript"/>
          <w:rtl/>
          <w:lang w:bidi="ar-EG"/>
        </w:rPr>
        <w:t xml:space="preserve">( </w:t>
      </w:r>
      <w:r w:rsidRPr="00315653">
        <w:rPr>
          <w:rStyle w:val="ab"/>
          <w:color w:val="000000"/>
          <w:rtl/>
          <w:lang w:bidi="ar-EG"/>
        </w:rPr>
        <w:footnoteReference w:id="21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كفل الكفيل فتح اعتماد لغاية مبلغ معين</w:t>
      </w:r>
      <w:r>
        <w:rPr>
          <w:rFonts w:hint="cs"/>
          <w:color w:val="000000"/>
          <w:rtl/>
          <w:lang w:bidi="ar-EG"/>
        </w:rPr>
        <w:t xml:space="preserve"> ،</w:t>
      </w:r>
      <w:r w:rsidRPr="00315653">
        <w:rPr>
          <w:rFonts w:hint="cs"/>
          <w:color w:val="000000"/>
          <w:rtl/>
          <w:lang w:bidi="ar-EG"/>
        </w:rPr>
        <w:t xml:space="preserve"> لم يكفل ما زاد على هذا الحد بالرغم من عدم قابلية الحساب الجاري </w:t>
      </w:r>
      <w:r w:rsidRPr="00315653">
        <w:rPr>
          <w:rFonts w:hint="cs"/>
          <w:color w:val="000000"/>
          <w:rtl/>
          <w:lang w:bidi="ar-EG"/>
        </w:rPr>
        <w:lastRenderedPageBreak/>
        <w:t>للتجزئة</w:t>
      </w:r>
      <w:r>
        <w:rPr>
          <w:rFonts w:hint="cs"/>
          <w:color w:val="000000"/>
          <w:vertAlign w:val="superscript"/>
          <w:rtl/>
          <w:lang w:bidi="ar-EG"/>
        </w:rPr>
        <w:t xml:space="preserve">( </w:t>
      </w:r>
      <w:r w:rsidRPr="00315653">
        <w:rPr>
          <w:rStyle w:val="ab"/>
          <w:color w:val="000000"/>
          <w:rtl/>
          <w:lang w:bidi="ar-EG"/>
        </w:rPr>
        <w:footnoteReference w:id="21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$87 وإذا كفل عقد إيجار</w:t>
      </w:r>
      <w:r>
        <w:rPr>
          <w:rFonts w:hint="cs"/>
          <w:color w:val="000000"/>
          <w:rtl/>
          <w:lang w:bidi="ar-EG"/>
        </w:rPr>
        <w:t xml:space="preserve"> ،</w:t>
      </w:r>
      <w:r w:rsidRPr="00315653">
        <w:rPr>
          <w:rFonts w:hint="cs"/>
          <w:color w:val="000000"/>
          <w:rtl/>
          <w:lang w:bidi="ar-EG"/>
        </w:rPr>
        <w:t xml:space="preserve"> لم يكفل عقد إيجار يتلوه</w:t>
      </w:r>
      <w:r>
        <w:rPr>
          <w:rFonts w:hint="cs"/>
          <w:color w:val="000000"/>
          <w:rtl/>
          <w:lang w:bidi="ar-EG"/>
        </w:rPr>
        <w:t xml:space="preserve"> ،</w:t>
      </w:r>
      <w:r w:rsidRPr="00315653">
        <w:rPr>
          <w:rFonts w:hint="cs"/>
          <w:color w:val="000000"/>
          <w:rtl/>
          <w:lang w:bidi="ar-EG"/>
        </w:rPr>
        <w:t xml:space="preserve"> ولو كان التجديد ضمنياً </w:t>
      </w:r>
      <w:r>
        <w:rPr>
          <w:color w:val="000000"/>
          <w:rtl/>
          <w:lang w:bidi="ar-EG"/>
        </w:rPr>
        <w:t xml:space="preserve">( </w:t>
      </w:r>
      <w:r w:rsidRPr="00315653">
        <w:rPr>
          <w:color w:val="000000"/>
          <w:lang w:bidi="ar-EG"/>
        </w:rPr>
        <w:t>tacite reconducion</w:t>
      </w:r>
      <w:r>
        <w:rPr>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1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ومن كفل قرضاً معيناً</w:t>
      </w:r>
      <w:r>
        <w:rPr>
          <w:rFonts w:hint="cs"/>
          <w:color w:val="000000"/>
          <w:rtl/>
        </w:rPr>
        <w:t xml:space="preserve"> ،</w:t>
      </w:r>
      <w:r w:rsidRPr="00315653">
        <w:rPr>
          <w:rFonts w:hint="cs"/>
          <w:color w:val="000000"/>
          <w:rtl/>
        </w:rPr>
        <w:t xml:space="preserve"> لم يكفل قرضاً قبله أو قرضاً بعده</w:t>
      </w:r>
      <w:r>
        <w:rPr>
          <w:rFonts w:hint="cs"/>
          <w:color w:val="000000"/>
          <w:vertAlign w:val="superscript"/>
          <w:rtl/>
          <w:lang w:bidi="ar-EG"/>
        </w:rPr>
        <w:t xml:space="preserve">( </w:t>
      </w:r>
      <w:r w:rsidRPr="00315653">
        <w:rPr>
          <w:rStyle w:val="ab"/>
          <w:color w:val="000000"/>
          <w:rtl/>
          <w:lang w:bidi="ar-EG"/>
        </w:rPr>
        <w:footnoteReference w:id="21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ومن كفل شخصاً فيما يترتب في ذمته من التزامات</w:t>
      </w:r>
      <w:r>
        <w:rPr>
          <w:rFonts w:hint="cs"/>
          <w:color w:val="000000"/>
          <w:rtl/>
          <w:lang w:bidi="ar-EG"/>
        </w:rPr>
        <w:t xml:space="preserve"> ،</w:t>
      </w:r>
      <w:r w:rsidRPr="00315653">
        <w:rPr>
          <w:rFonts w:hint="cs"/>
          <w:color w:val="000000"/>
          <w:rtl/>
          <w:lang w:bidi="ar-EG"/>
        </w:rPr>
        <w:t xml:space="preserve"> لم يكفل الالتزامات الماضية التي ثبتت في ذمته وإنما يكفل الالتزامات المستقبلة</w:t>
      </w:r>
      <w:r>
        <w:rPr>
          <w:rFonts w:hint="cs"/>
          <w:color w:val="000000"/>
          <w:vertAlign w:val="superscript"/>
          <w:rtl/>
          <w:lang w:bidi="ar-EG"/>
        </w:rPr>
        <w:t xml:space="preserve">( </w:t>
      </w:r>
      <w:r w:rsidRPr="00315653">
        <w:rPr>
          <w:rStyle w:val="ab"/>
          <w:color w:val="000000"/>
          <w:rtl/>
          <w:lang w:bidi="ar-EG"/>
        </w:rPr>
        <w:footnoteReference w:id="21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قاضي الموضوع قد يجد في ظروف القضية ما يجعل واضحاً أن الكفيل أراد أيضاً كفالة الالتزامات الماضية</w:t>
      </w:r>
      <w:r>
        <w:rPr>
          <w:rFonts w:hint="cs"/>
          <w:color w:val="000000"/>
          <w:vertAlign w:val="superscript"/>
          <w:rtl/>
          <w:lang w:bidi="ar-EG"/>
        </w:rPr>
        <w:t xml:space="preserve">( </w:t>
      </w:r>
      <w:r w:rsidRPr="00315653">
        <w:rPr>
          <w:rStyle w:val="ab"/>
          <w:color w:val="000000"/>
          <w:rtl/>
          <w:lang w:bidi="ar-EG"/>
        </w:rPr>
        <w:footnoteReference w:id="21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كان هناك شك فيما إذا كان الكفالة محددة أو غير محددة</w:t>
      </w:r>
      <w:r>
        <w:rPr>
          <w:rFonts w:hint="cs"/>
          <w:color w:val="000000"/>
          <w:rtl/>
          <w:lang w:bidi="ar-EG"/>
        </w:rPr>
        <w:t xml:space="preserve"> ،</w:t>
      </w:r>
      <w:r w:rsidRPr="00315653">
        <w:rPr>
          <w:rFonts w:hint="cs"/>
          <w:color w:val="000000"/>
          <w:rtl/>
          <w:lang w:bidi="ar-EG"/>
        </w:rPr>
        <w:t xml:space="preserve"> وجب اعتبار الكفالة محددة</w:t>
      </w:r>
      <w:r>
        <w:rPr>
          <w:rFonts w:hint="cs"/>
          <w:color w:val="000000"/>
          <w:vertAlign w:val="superscript"/>
          <w:rtl/>
          <w:lang w:bidi="ar-EG"/>
        </w:rPr>
        <w:t xml:space="preserve">( </w:t>
      </w:r>
      <w:r w:rsidRPr="00315653">
        <w:rPr>
          <w:rStyle w:val="ab"/>
          <w:color w:val="000000"/>
          <w:rtl/>
          <w:lang w:bidi="ar-EG"/>
        </w:rPr>
        <w:footnoteReference w:id="21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رفضت المحكمة الابتدائية طلب الكفيل بالترخيص له في إدخال المدين ضامناً بعد أن أثبت تنازل الدائن عن مخاصمة المدين</w:t>
      </w:r>
      <w:r>
        <w:rPr>
          <w:rFonts w:hint="cs"/>
          <w:color w:val="000000"/>
          <w:rtl/>
          <w:lang w:bidi="ar-EG"/>
        </w:rPr>
        <w:t xml:space="preserve"> ،</w:t>
      </w:r>
      <w:r w:rsidRPr="00315653">
        <w:rPr>
          <w:rFonts w:hint="cs"/>
          <w:color w:val="000000"/>
          <w:rtl/>
          <w:lang w:bidi="ar-EG"/>
        </w:rPr>
        <w:t xml:space="preserve"> ولم يكن في حكم محكمة الاستئناف ما يدل على أن الكفيل قد تمسك أمامها بهذا الدفع</w:t>
      </w:r>
      <w:r>
        <w:rPr>
          <w:rFonts w:hint="cs"/>
          <w:color w:val="000000"/>
          <w:rtl/>
          <w:lang w:bidi="ar-EG"/>
        </w:rPr>
        <w:t xml:space="preserve"> ،</w:t>
      </w:r>
      <w:r w:rsidRPr="00315653">
        <w:rPr>
          <w:rFonts w:hint="cs"/>
          <w:color w:val="000000"/>
          <w:rtl/>
          <w:lang w:bidi="ar-EG"/>
        </w:rPr>
        <w:t xml:space="preserve"> ولم يقدم الكفيل أمام محكمة النقض ما يدل على أنه أثاره أمام محكمة الاستئناف</w:t>
      </w:r>
      <w:r>
        <w:rPr>
          <w:rFonts w:hint="cs"/>
          <w:color w:val="000000"/>
          <w:rtl/>
          <w:lang w:bidi="ar-EG"/>
        </w:rPr>
        <w:t xml:space="preserve"> ،</w:t>
      </w:r>
      <w:r w:rsidRPr="00315653">
        <w:rPr>
          <w:rFonts w:hint="cs"/>
          <w:color w:val="000000"/>
          <w:rtl/>
          <w:lang w:bidi="ar-EG"/>
        </w:rPr>
        <w:t xml:space="preserve"> $88 فلا يجوز له الإدلاء به أمام محكمة النقض مدعيا وقوع إخلال بحقوقه في الدفاع</w:t>
      </w:r>
      <w:r>
        <w:rPr>
          <w:rFonts w:hint="cs"/>
          <w:color w:val="000000"/>
          <w:vertAlign w:val="superscript"/>
          <w:rtl/>
          <w:lang w:bidi="ar-EG"/>
        </w:rPr>
        <w:t xml:space="preserve">( </w:t>
      </w:r>
      <w:r w:rsidRPr="00315653">
        <w:rPr>
          <w:rStyle w:val="ab"/>
          <w:color w:val="000000"/>
          <w:rtl/>
          <w:lang w:bidi="ar-EG"/>
        </w:rPr>
        <w:footnoteReference w:id="21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وورثة الكفيل يستفيدون من الاستئناف المرفوع من ورثة المدين عن الحكم الابتدائي</w:t>
      </w:r>
      <w:r>
        <w:rPr>
          <w:rFonts w:hint="cs"/>
          <w:color w:val="000000"/>
          <w:rtl/>
          <w:lang w:bidi="ar-EG"/>
        </w:rPr>
        <w:t xml:space="preserve"> ،</w:t>
      </w:r>
      <w:r w:rsidRPr="00315653">
        <w:rPr>
          <w:rFonts w:hint="cs"/>
          <w:color w:val="000000"/>
          <w:rtl/>
          <w:lang w:bidi="ar-EG"/>
        </w:rPr>
        <w:t xml:space="preserve"> فمتى ثبت في استئنافهم أن الدين المطالب به من مال المدين</w:t>
      </w:r>
      <w:r>
        <w:rPr>
          <w:rFonts w:hint="cs"/>
          <w:color w:val="000000"/>
          <w:rtl/>
          <w:lang w:bidi="ar-EG"/>
        </w:rPr>
        <w:t xml:space="preserve"> ،</w:t>
      </w:r>
      <w:r w:rsidRPr="00315653">
        <w:rPr>
          <w:rFonts w:hint="cs"/>
          <w:color w:val="000000"/>
          <w:rtl/>
          <w:lang w:bidi="ar-EG"/>
        </w:rPr>
        <w:t xml:space="preserve"> امتنع الرجوع على ورثة الكفيل</w:t>
      </w:r>
      <w:r>
        <w:rPr>
          <w:rFonts w:hint="cs"/>
          <w:color w:val="000000"/>
          <w:vertAlign w:val="superscript"/>
          <w:rtl/>
          <w:lang w:bidi="ar-EG"/>
        </w:rPr>
        <w:t xml:space="preserve">( </w:t>
      </w:r>
      <w:r w:rsidRPr="00315653">
        <w:rPr>
          <w:rStyle w:val="ab"/>
          <w:color w:val="000000"/>
          <w:rtl/>
          <w:lang w:bidi="ar-EG"/>
        </w:rPr>
        <w:footnoteReference w:id="21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jc w:val="center"/>
        <w:rPr>
          <w:rFonts w:hint="cs"/>
          <w:b/>
          <w:bCs/>
          <w:color w:val="000000"/>
          <w:rtl/>
        </w:rPr>
      </w:pPr>
      <w:r w:rsidRPr="00315653">
        <w:rPr>
          <w:color w:val="000000"/>
          <w:rtl/>
        </w:rPr>
        <w:lastRenderedPageBreak/>
        <w:br w:type="page"/>
      </w:r>
      <w:r w:rsidRPr="00315653">
        <w:rPr>
          <w:rFonts w:hint="cs"/>
          <w:color w:val="000000"/>
          <w:rtl/>
        </w:rPr>
        <w:lastRenderedPageBreak/>
        <w:t xml:space="preserve">$89 </w:t>
      </w:r>
      <w:r w:rsidRPr="00315653">
        <w:rPr>
          <w:rFonts w:hint="cs"/>
          <w:b/>
          <w:bCs/>
          <w:color w:val="000000"/>
          <w:sz w:val="52"/>
          <w:szCs w:val="52"/>
          <w:rtl/>
        </w:rPr>
        <w:t>الفصل الثاني</w:t>
      </w:r>
    </w:p>
    <w:p w:rsidR="00F72742" w:rsidRPr="00315653" w:rsidRDefault="00F72742" w:rsidP="00F72742">
      <w:pPr>
        <w:widowControl w:val="0"/>
        <w:jc w:val="center"/>
        <w:rPr>
          <w:rFonts w:hint="cs"/>
          <w:color w:val="000000"/>
          <w:rtl/>
        </w:rPr>
      </w:pPr>
      <w:r w:rsidRPr="00315653">
        <w:rPr>
          <w:rFonts w:hint="cs"/>
          <w:b/>
          <w:bCs/>
          <w:color w:val="000000"/>
          <w:rtl/>
        </w:rPr>
        <w:t>آثار الكفالة</w:t>
      </w:r>
    </w:p>
    <w:p w:rsidR="00F72742" w:rsidRPr="00315653" w:rsidRDefault="00F72742" w:rsidP="00F72742">
      <w:pPr>
        <w:widowControl w:val="0"/>
        <w:jc w:val="center"/>
        <w:rPr>
          <w:rFonts w:hint="cs"/>
          <w:color w:val="000000"/>
          <w:rtl/>
        </w:rPr>
      </w:pPr>
      <w:r w:rsidRPr="00315653">
        <w:rPr>
          <w:rFonts w:hint="cs"/>
          <w:color w:val="000000"/>
          <w:rtl/>
        </w:rPr>
        <w:t>ــ</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37- العلاقة فيما بين الكفيل والدائن والعلاقة فيما بين الكفيل والمدين وبينه وبين الملتزمين بالدين</w:t>
      </w:r>
      <w:r>
        <w:rPr>
          <w:rFonts w:hint="cs"/>
          <w:color w:val="000000"/>
          <w:rtl/>
        </w:rPr>
        <w:t xml:space="preserve"> :</w:t>
      </w:r>
      <w:r w:rsidRPr="00315653">
        <w:rPr>
          <w:rFonts w:hint="cs"/>
          <w:color w:val="000000"/>
          <w:rtl/>
        </w:rPr>
        <w:t xml:space="preserve"> لما كانت الكفالة عقداً بين الكفيل والدائن</w:t>
      </w:r>
      <w:r>
        <w:rPr>
          <w:rFonts w:hint="cs"/>
          <w:color w:val="000000"/>
          <w:rtl/>
        </w:rPr>
        <w:t xml:space="preserve"> ،</w:t>
      </w:r>
      <w:r w:rsidRPr="00315653">
        <w:rPr>
          <w:rFonts w:hint="cs"/>
          <w:color w:val="000000"/>
          <w:rtl/>
        </w:rPr>
        <w:t xml:space="preserve"> فهي توجد أول ما توجد علاقة فيما بين الكفيل والدائن</w:t>
      </w:r>
      <w:r>
        <w:rPr>
          <w:rFonts w:hint="cs"/>
          <w:color w:val="000000"/>
          <w:rtl/>
        </w:rPr>
        <w:t xml:space="preserve"> ،</w:t>
      </w:r>
      <w:r w:rsidRPr="00315653">
        <w:rPr>
          <w:rFonts w:hint="cs"/>
          <w:color w:val="000000"/>
          <w:rtl/>
        </w:rPr>
        <w:t xml:space="preserve"> إذ تجعل للدائن الحق في الرجوع على الكفيل إذا لم يف المدين بدينه للدائن</w:t>
      </w:r>
      <w:r>
        <w:rPr>
          <w:rFonts w:hint="cs"/>
          <w:color w:val="000000"/>
          <w:rtl/>
        </w:rPr>
        <w:t xml:space="preserve"> .</w:t>
      </w:r>
      <w:r w:rsidRPr="00315653">
        <w:rPr>
          <w:rFonts w:hint="cs"/>
          <w:color w:val="000000"/>
          <w:rtl/>
        </w:rPr>
        <w:t xml:space="preserve"> ولما كان التزام الكفيل إنما هو التزام تبعي للالتزام المكفول وليس الكفيل مديناً أصلياً بالدين بل هو قد وفاه عن المدين الأصلي</w:t>
      </w:r>
      <w:r>
        <w:rPr>
          <w:rFonts w:hint="cs"/>
          <w:color w:val="000000"/>
          <w:rtl/>
        </w:rPr>
        <w:t xml:space="preserve"> ،</w:t>
      </w:r>
      <w:r w:rsidRPr="00315653">
        <w:rPr>
          <w:rFonts w:hint="cs"/>
          <w:color w:val="000000"/>
          <w:rtl/>
        </w:rPr>
        <w:t xml:space="preserve"> لذلك إذا وفي الكفيل الدين فإن له حق الرجوع على المدين الأصلي وعلى غيره من الملتزمين بالدين الأصلي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فيكون كلا منا في آثار الكفالة في مبحثين</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1</w:t>
      </w:r>
      <w:r>
        <w:rPr>
          <w:rFonts w:hint="cs"/>
          <w:color w:val="000000"/>
          <w:rtl/>
        </w:rPr>
        <w:t xml:space="preserve"> )</w:t>
      </w:r>
      <w:r w:rsidRPr="00315653">
        <w:rPr>
          <w:rFonts w:hint="cs"/>
          <w:color w:val="000000"/>
          <w:rtl/>
        </w:rPr>
        <w:t xml:space="preserve"> العلاقة فيما بين الكفيل والدائن</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2</w:t>
      </w:r>
      <w:r>
        <w:rPr>
          <w:rFonts w:hint="cs"/>
          <w:color w:val="000000"/>
          <w:rtl/>
        </w:rPr>
        <w:t xml:space="preserve"> )</w:t>
      </w:r>
      <w:r w:rsidRPr="00315653">
        <w:rPr>
          <w:rFonts w:hint="cs"/>
          <w:color w:val="000000"/>
          <w:rtl/>
        </w:rPr>
        <w:t xml:space="preserve"> العلاقة فيما بين الكفيل والمدين</w:t>
      </w:r>
      <w:r>
        <w:rPr>
          <w:rFonts w:hint="cs"/>
          <w:color w:val="000000"/>
          <w:rtl/>
        </w:rPr>
        <w:t xml:space="preserve"> ،</w:t>
      </w:r>
      <w:r w:rsidRPr="00315653">
        <w:rPr>
          <w:rFonts w:hint="cs"/>
          <w:color w:val="000000"/>
          <w:rtl/>
        </w:rPr>
        <w:t xml:space="preserve"> وفيما بينه وبين الملتزمين بالدين</w:t>
      </w:r>
      <w:r>
        <w:rPr>
          <w:rFonts w:hint="cs"/>
          <w:color w:val="000000"/>
          <w:rtl/>
        </w:rPr>
        <w:t xml:space="preserve"> .</w:t>
      </w:r>
    </w:p>
    <w:p w:rsidR="00F72742" w:rsidRPr="00315653" w:rsidRDefault="00F72742" w:rsidP="00F72742">
      <w:pPr>
        <w:widowControl w:val="0"/>
        <w:spacing w:after="120"/>
        <w:jc w:val="center"/>
        <w:rPr>
          <w:rFonts w:hint="cs"/>
          <w:b/>
          <w:bCs/>
          <w:color w:val="000000"/>
          <w:sz w:val="42"/>
          <w:szCs w:val="46"/>
          <w:rtl/>
        </w:rPr>
      </w:pPr>
      <w:r w:rsidRPr="00315653">
        <w:rPr>
          <w:rFonts w:hint="cs"/>
          <w:b/>
          <w:bCs/>
          <w:color w:val="000000"/>
          <w:sz w:val="42"/>
          <w:szCs w:val="46"/>
          <w:rtl/>
        </w:rPr>
        <w:t>المبحث الأول</w:t>
      </w:r>
    </w:p>
    <w:p w:rsidR="00F72742" w:rsidRPr="00315653" w:rsidRDefault="00F72742" w:rsidP="00F72742">
      <w:pPr>
        <w:widowControl w:val="0"/>
        <w:spacing w:after="120"/>
        <w:jc w:val="center"/>
        <w:rPr>
          <w:rFonts w:hint="cs"/>
          <w:b/>
          <w:bCs/>
          <w:color w:val="000000"/>
          <w:rtl/>
        </w:rPr>
      </w:pPr>
      <w:r w:rsidRPr="00315653">
        <w:rPr>
          <w:rFonts w:hint="cs"/>
          <w:b/>
          <w:bCs/>
          <w:color w:val="000000"/>
          <w:rtl/>
        </w:rPr>
        <w:t>العلاقة فيما بين الكفيل والدائن</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38- الكفيل غير المتضامن والكفيل المتضامن</w:t>
      </w:r>
      <w:r>
        <w:rPr>
          <w:rFonts w:hint="cs"/>
          <w:color w:val="000000"/>
          <w:rtl/>
        </w:rPr>
        <w:t xml:space="preserve"> :</w:t>
      </w:r>
      <w:r w:rsidRPr="00315653">
        <w:rPr>
          <w:rFonts w:hint="cs"/>
          <w:color w:val="000000"/>
          <w:rtl/>
        </w:rPr>
        <w:t xml:space="preserve"> هنا يجب التمييز بين ما إذا كان الكفيل غير متضامن مع المدين ومع كفلاء آخرين وهذه هي الكفالة فيس صورتها البسيطة</w:t>
      </w:r>
      <w:r>
        <w:rPr>
          <w:rFonts w:hint="cs"/>
          <w:color w:val="000000"/>
          <w:rtl/>
        </w:rPr>
        <w:t xml:space="preserve"> ،</w:t>
      </w:r>
      <w:r w:rsidRPr="00315653">
        <w:rPr>
          <w:rFonts w:hint="cs"/>
          <w:color w:val="000000"/>
          <w:rtl/>
        </w:rPr>
        <w:t xml:space="preserve"> وما إذا كان الكفيل قد التزم بالكفالة متضامناً مع المدين كفلاء آخرين وهذه هي الكفالة الموضوعية</w:t>
      </w:r>
      <w:r>
        <w:rPr>
          <w:rFonts w:hint="cs"/>
          <w:color w:val="000000"/>
          <w:rtl/>
        </w:rPr>
        <w:t xml:space="preserve"> .</w:t>
      </w:r>
    </w:p>
    <w:p w:rsidR="00F72742" w:rsidRPr="00315653" w:rsidRDefault="00F72742" w:rsidP="00F72742">
      <w:pPr>
        <w:widowControl w:val="0"/>
        <w:spacing w:after="120"/>
        <w:jc w:val="center"/>
        <w:rPr>
          <w:rFonts w:hint="cs"/>
          <w:color w:val="000000"/>
          <w:sz w:val="36"/>
          <w:szCs w:val="40"/>
          <w:rtl/>
        </w:rPr>
      </w:pPr>
      <w:r w:rsidRPr="00315653">
        <w:rPr>
          <w:rFonts w:hint="cs"/>
          <w:color w:val="000000"/>
          <w:sz w:val="36"/>
          <w:szCs w:val="40"/>
          <w:rtl/>
        </w:rPr>
        <w:t>المطلب الأول</w:t>
      </w:r>
    </w:p>
    <w:p w:rsidR="00F72742" w:rsidRPr="00315653" w:rsidRDefault="00F72742" w:rsidP="00F72742">
      <w:pPr>
        <w:widowControl w:val="0"/>
        <w:spacing w:after="120"/>
        <w:jc w:val="center"/>
        <w:rPr>
          <w:rFonts w:hint="cs"/>
          <w:b/>
          <w:bCs/>
          <w:color w:val="000000"/>
          <w:rtl/>
        </w:rPr>
      </w:pPr>
      <w:r w:rsidRPr="00315653">
        <w:rPr>
          <w:rFonts w:hint="cs"/>
          <w:b/>
          <w:bCs/>
          <w:color w:val="000000"/>
          <w:rtl/>
        </w:rPr>
        <w:t>الكفيل غير متضامن مع المدين أو مع كفلاء آخرين</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rPr>
        <w:t>39- متى يطالب الدائن الكفيل</w:t>
      </w:r>
      <w:r>
        <w:rPr>
          <w:rFonts w:hint="cs"/>
          <w:color w:val="000000"/>
          <w:rtl/>
        </w:rPr>
        <w:t xml:space="preserve"> :</w:t>
      </w:r>
      <w:r w:rsidRPr="00315653">
        <w:rPr>
          <w:rFonts w:hint="cs"/>
          <w:color w:val="000000"/>
          <w:rtl/>
        </w:rPr>
        <w:t xml:space="preserve"> يطالب الدائن الكفيل عند حلول الدين</w:t>
      </w:r>
      <w:r>
        <w:rPr>
          <w:rFonts w:hint="cs"/>
          <w:color w:val="000000"/>
          <w:rtl/>
        </w:rPr>
        <w:t xml:space="preserve"> .</w:t>
      </w:r>
      <w:r w:rsidRPr="00315653">
        <w:rPr>
          <w:rFonts w:hint="cs"/>
          <w:color w:val="000000"/>
          <w:rtl/>
        </w:rPr>
        <w:t xml:space="preserve"> والدين المكفول يكون عادة ديناً مؤجلا</w:t>
      </w:r>
      <w:r>
        <w:rPr>
          <w:rFonts w:hint="cs"/>
          <w:color w:val="000000"/>
          <w:rtl/>
        </w:rPr>
        <w:t xml:space="preserve"> ،</w:t>
      </w:r>
      <w:r w:rsidRPr="00315653">
        <w:rPr>
          <w:rFonts w:hint="cs"/>
          <w:color w:val="000000"/>
          <w:rtl/>
        </w:rPr>
        <w:t xml:space="preserve"> ويكون التزام الكفيل مؤجلا مثله</w:t>
      </w:r>
      <w:r>
        <w:rPr>
          <w:rFonts w:hint="cs"/>
          <w:color w:val="000000"/>
          <w:rtl/>
        </w:rPr>
        <w:t xml:space="preserve"> ،</w:t>
      </w:r>
      <w:r w:rsidRPr="00315653">
        <w:rPr>
          <w:rFonts w:hint="cs"/>
          <w:color w:val="000000"/>
          <w:rtl/>
        </w:rPr>
        <w:t xml:space="preserve"> ويحل الالتزامان في وقت واحد</w:t>
      </w:r>
      <w:r>
        <w:rPr>
          <w:rFonts w:hint="cs"/>
          <w:color w:val="000000"/>
          <w:rtl/>
        </w:rPr>
        <w:t xml:space="preserve"> ،</w:t>
      </w:r>
      <w:r w:rsidRPr="00315653">
        <w:rPr>
          <w:rFonts w:hint="cs"/>
          <w:color w:val="000000"/>
          <w:rtl/>
        </w:rPr>
        <w:t xml:space="preserve"> ففي هذا الوقت يستطيع الدائن أن يرجع على الكفيل كما يستطيع أن يرجع على المدين</w:t>
      </w:r>
      <w:r>
        <w:rPr>
          <w:rFonts w:hint="cs"/>
          <w:color w:val="000000"/>
          <w:vertAlign w:val="superscript"/>
          <w:rtl/>
          <w:lang w:bidi="ar-EG"/>
        </w:rPr>
        <w:t xml:space="preserve">( </w:t>
      </w:r>
      <w:r w:rsidRPr="00315653">
        <w:rPr>
          <w:rStyle w:val="ab"/>
          <w:color w:val="000000"/>
          <w:rtl/>
          <w:lang w:bidi="ar-EG"/>
        </w:rPr>
        <w:footnoteReference w:id="21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قد لا يحل الالتزامان في يوقت واحد</w:t>
      </w:r>
      <w:r>
        <w:rPr>
          <w:rFonts w:hint="cs"/>
          <w:color w:val="000000"/>
          <w:rtl/>
          <w:lang w:bidi="ar-EG"/>
        </w:rPr>
        <w:t xml:space="preserve"> .</w:t>
      </w:r>
      <w:r w:rsidRPr="00315653">
        <w:rPr>
          <w:rFonts w:hint="cs"/>
          <w:color w:val="000000"/>
          <w:rtl/>
          <w:lang w:bidi="ar-EG"/>
        </w:rPr>
        <w:t xml:space="preserve"> فإذا حل التزام الكفيل قبل حلول الالتزام الأصيل</w:t>
      </w:r>
      <w:r>
        <w:rPr>
          <w:rFonts w:hint="cs"/>
          <w:color w:val="000000"/>
          <w:vertAlign w:val="superscript"/>
          <w:rtl/>
          <w:lang w:bidi="ar-EG"/>
        </w:rPr>
        <w:t xml:space="preserve">( </w:t>
      </w:r>
      <w:r w:rsidRPr="00315653">
        <w:rPr>
          <w:rStyle w:val="ab"/>
          <w:color w:val="000000"/>
          <w:rtl/>
          <w:lang w:bidi="ar-EG"/>
        </w:rPr>
        <w:footnoteReference w:id="22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فذلك يرجع إما لأنه قد حدد أجل لكل من الالتزامين وأجل التزام الكفيل أقصر</w:t>
      </w:r>
      <w:r>
        <w:rPr>
          <w:rFonts w:hint="cs"/>
          <w:color w:val="000000"/>
          <w:rtl/>
          <w:lang w:bidi="ar-EG"/>
        </w:rPr>
        <w:t xml:space="preserve"> ،</w:t>
      </w:r>
      <w:r w:rsidRPr="00315653">
        <w:rPr>
          <w:rFonts w:hint="cs"/>
          <w:color w:val="000000"/>
          <w:rtl/>
          <w:lang w:bidi="ar-EG"/>
        </w:rPr>
        <w:t xml:space="preserve"> أو لأنه حدد أجل واحد لكل م الالتزامين ولكن الالتزام الأصيل قد مد أجله أو بحكم القاضي</w:t>
      </w:r>
      <w:r>
        <w:rPr>
          <w:rFonts w:hint="cs"/>
          <w:color w:val="000000"/>
          <w:rtl/>
          <w:lang w:bidi="ar-EG"/>
        </w:rPr>
        <w:t xml:space="preserve"> .</w:t>
      </w:r>
      <w:r w:rsidRPr="00315653">
        <w:rPr>
          <w:rFonts w:hint="cs"/>
          <w:color w:val="000000"/>
          <w:rtl/>
          <w:lang w:bidi="ar-EG"/>
        </w:rPr>
        <w:t xml:space="preserve"> وفي الحالتين يكون التزام الكفيل أشد عبئاً م الالتزام الأصيل</w:t>
      </w:r>
      <w:r>
        <w:rPr>
          <w:rFonts w:hint="cs"/>
          <w:color w:val="000000"/>
          <w:rtl/>
          <w:lang w:bidi="ar-EG"/>
        </w:rPr>
        <w:t xml:space="preserve"> ،</w:t>
      </w:r>
      <w:r w:rsidRPr="00315653">
        <w:rPr>
          <w:rFonts w:hint="cs"/>
          <w:color w:val="000000"/>
          <w:rtl/>
          <w:lang w:bidi="ar-EG"/>
        </w:rPr>
        <w:t xml:space="preserve"> فيجب جعل التزام الكفيل حتى يساوي أجل الالتزام الأصيل أو بأن يستفيد الكفيل من مد أجل الالتزام الأصيل فيمتد أجل التزامه بالقدر الذي امتد به أجل الالتزام الأصيل</w:t>
      </w:r>
      <w:r>
        <w:rPr>
          <w:rFonts w:hint="cs"/>
          <w:color w:val="000000"/>
          <w:vertAlign w:val="superscript"/>
          <w:rtl/>
          <w:lang w:bidi="ar-EG"/>
        </w:rPr>
        <w:t xml:space="preserve">( </w:t>
      </w:r>
      <w:r w:rsidRPr="00315653">
        <w:rPr>
          <w:rStyle w:val="ab"/>
          <w:color w:val="000000"/>
          <w:rtl/>
          <w:lang w:bidi="ar-EG"/>
        </w:rPr>
        <w:footnoteReference w:id="22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أما إذا حل الالتزام الأصيل قبل حلول أجل التزام الكفيل</w:t>
      </w:r>
      <w:r>
        <w:rPr>
          <w:rFonts w:hint="cs"/>
          <w:color w:val="000000"/>
          <w:rtl/>
          <w:lang w:bidi="ar-EG"/>
        </w:rPr>
        <w:t xml:space="preserve"> ،</w:t>
      </w:r>
      <w:r w:rsidRPr="00315653">
        <w:rPr>
          <w:rFonts w:hint="cs"/>
          <w:color w:val="000000"/>
          <w:rtl/>
          <w:lang w:bidi="ar-EG"/>
        </w:rPr>
        <w:t xml:space="preserve"> فهذا جائز</w:t>
      </w:r>
      <w:r>
        <w:rPr>
          <w:rFonts w:hint="cs"/>
          <w:color w:val="000000"/>
          <w:rtl/>
          <w:lang w:bidi="ar-EG"/>
        </w:rPr>
        <w:t xml:space="preserve"> ،</w:t>
      </w:r>
      <w:r w:rsidRPr="00315653">
        <w:rPr>
          <w:rFonts w:hint="cs"/>
          <w:color w:val="000000"/>
          <w:rtl/>
          <w:lang w:bidi="ar-EG"/>
        </w:rPr>
        <w:t xml:space="preserve"> لأن التزام الكفيل قد يكون أخف عبئاً من الالتزام الأصيل</w:t>
      </w:r>
      <w:r>
        <w:rPr>
          <w:rFonts w:hint="cs"/>
          <w:color w:val="000000"/>
          <w:rtl/>
          <w:lang w:bidi="ar-EG"/>
        </w:rPr>
        <w:t xml:space="preserve"> ،</w:t>
      </w:r>
      <w:r w:rsidRPr="00315653">
        <w:rPr>
          <w:rFonts w:hint="cs"/>
          <w:color w:val="000000"/>
          <w:rtl/>
          <w:lang w:bidi="ar-EG"/>
        </w:rPr>
        <w:t xml:space="preserve"> ويتحقق ذلك فيما ذلك فيما إذا حدد أجل لالتزام الكفيل أطول من أجل الالتزام الأصيل</w:t>
      </w:r>
      <w:r>
        <w:rPr>
          <w:rFonts w:hint="cs"/>
          <w:color w:val="000000"/>
          <w:rtl/>
          <w:lang w:bidi="ar-EG"/>
        </w:rPr>
        <w:t xml:space="preserve"> ،</w:t>
      </w:r>
      <w:r w:rsidRPr="00315653">
        <w:rPr>
          <w:rFonts w:hint="cs"/>
          <w:color w:val="000000"/>
          <w:rtl/>
          <w:lang w:bidi="ar-EG"/>
        </w:rPr>
        <w:t xml:space="preserve"> وعند ذلك لا يجوز للدائن أن يطالب الكفيل بوفاء الدين $91 قبل أن يحل الأجل المحدد لالتزامه</w:t>
      </w:r>
      <w:r>
        <w:rPr>
          <w:rFonts w:hint="cs"/>
          <w:color w:val="000000"/>
          <w:rtl/>
          <w:lang w:bidi="ar-EG"/>
        </w:rPr>
        <w:t xml:space="preserve"> ،</w:t>
      </w:r>
      <w:r w:rsidRPr="00315653">
        <w:rPr>
          <w:rFonts w:hint="cs"/>
          <w:color w:val="000000"/>
          <w:rtl/>
          <w:lang w:bidi="ar-EG"/>
        </w:rPr>
        <w:t xml:space="preserve"> حتى لو حل اجل الالتزام الأصيل</w:t>
      </w:r>
      <w:r>
        <w:rPr>
          <w:rFonts w:hint="cs"/>
          <w:color w:val="000000"/>
          <w:vertAlign w:val="superscript"/>
          <w:rtl/>
          <w:lang w:bidi="ar-EG"/>
        </w:rPr>
        <w:t xml:space="preserve">( </w:t>
      </w:r>
      <w:r w:rsidRPr="00315653">
        <w:rPr>
          <w:rStyle w:val="ab"/>
          <w:color w:val="000000"/>
          <w:rtl/>
          <w:lang w:bidi="ar-EG"/>
        </w:rPr>
        <w:footnoteReference w:id="22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ويتحقق ذلك أيضاً فيما إذا كان الأجل واحداً لكل من الالتزامين</w:t>
      </w:r>
      <w:r>
        <w:rPr>
          <w:rFonts w:hint="cs"/>
          <w:color w:val="000000"/>
          <w:rtl/>
          <w:lang w:bidi="ar-EG"/>
        </w:rPr>
        <w:t xml:space="preserve"> ،</w:t>
      </w:r>
      <w:r w:rsidRPr="00315653">
        <w:rPr>
          <w:rFonts w:hint="cs"/>
          <w:color w:val="000000"/>
          <w:rtl/>
          <w:lang w:bidi="ar-EG"/>
        </w:rPr>
        <w:t xml:space="preserve"> كما هو الغالب</w:t>
      </w:r>
      <w:r>
        <w:rPr>
          <w:rFonts w:hint="cs"/>
          <w:color w:val="000000"/>
          <w:rtl/>
          <w:lang w:bidi="ar-EG"/>
        </w:rPr>
        <w:t xml:space="preserve"> ،</w:t>
      </w:r>
      <w:r w:rsidRPr="00315653">
        <w:rPr>
          <w:rFonts w:hint="cs"/>
          <w:color w:val="000000"/>
          <w:rtl/>
          <w:lang w:bidi="ar-EG"/>
        </w:rPr>
        <w:t xml:space="preserve"> ولكن الأجل المحدد للالتزام الأصيل يسقط بأن يشهر إفلاس المدين الأصلي أو إعساره</w:t>
      </w:r>
      <w:r>
        <w:rPr>
          <w:rFonts w:hint="cs"/>
          <w:color w:val="000000"/>
          <w:rtl/>
          <w:lang w:bidi="ar-EG"/>
        </w:rPr>
        <w:t xml:space="preserve"> ،</w:t>
      </w:r>
      <w:r w:rsidRPr="00315653">
        <w:rPr>
          <w:rFonts w:hint="cs"/>
          <w:color w:val="000000"/>
          <w:rtl/>
          <w:lang w:bidi="ar-EG"/>
        </w:rPr>
        <w:t xml:space="preserve"> أو بأن يضعف هذا المدين بفعله ما أعطي الدائن من تأمين خاص إلى حد كبير ما لم يؤثر الدائن أن يطالب بتكملة التأمين</w:t>
      </w:r>
      <w:r>
        <w:rPr>
          <w:rFonts w:hint="cs"/>
          <w:color w:val="000000"/>
          <w:rtl/>
          <w:lang w:bidi="ar-EG"/>
        </w:rPr>
        <w:t xml:space="preserve"> ،</w:t>
      </w:r>
      <w:r w:rsidRPr="00315653">
        <w:rPr>
          <w:rFonts w:hint="cs"/>
          <w:color w:val="000000"/>
          <w:rtl/>
          <w:lang w:bidi="ar-EG"/>
        </w:rPr>
        <w:t xml:space="preserve"> أو بأن يضعف هذا التأمين الخاص لسبب لا دخل لإرادة المدين فيه ما لم يقدم المدين للدائن ضماناً كافياً</w:t>
      </w:r>
      <w:r>
        <w:rPr>
          <w:rFonts w:hint="cs"/>
          <w:color w:val="000000"/>
          <w:rtl/>
          <w:lang w:bidi="ar-EG"/>
        </w:rPr>
        <w:t xml:space="preserve"> ،</w:t>
      </w:r>
      <w:r w:rsidRPr="00315653">
        <w:rPr>
          <w:rFonts w:hint="cs"/>
          <w:color w:val="000000"/>
          <w:rtl/>
          <w:lang w:bidi="ar-EG"/>
        </w:rPr>
        <w:t xml:space="preserve"> أو بألا يقدم المدين للدائن ما وعد في العقد بتقديمه من التأمينات </w:t>
      </w:r>
      <w:r>
        <w:rPr>
          <w:rFonts w:hint="cs"/>
          <w:color w:val="000000"/>
          <w:rtl/>
          <w:lang w:bidi="ar-EG"/>
        </w:rPr>
        <w:t xml:space="preserve">( </w:t>
      </w:r>
      <w:r w:rsidRPr="00315653">
        <w:rPr>
          <w:rFonts w:hint="cs"/>
          <w:color w:val="000000"/>
          <w:rtl/>
          <w:lang w:bidi="ar-EG"/>
        </w:rPr>
        <w:t>م 274 مدني</w:t>
      </w:r>
      <w:r>
        <w:rPr>
          <w:rFonts w:hint="cs"/>
          <w:color w:val="000000"/>
          <w:rtl/>
          <w:lang w:bidi="ar-EG"/>
        </w:rPr>
        <w:t xml:space="preserve"> )</w:t>
      </w:r>
      <w:r w:rsidRPr="00315653">
        <w:rPr>
          <w:rFonts w:hint="cs"/>
          <w:color w:val="000000"/>
          <w:rtl/>
          <w:lang w:bidi="ar-EG"/>
        </w:rPr>
        <w:t xml:space="preserve">  ففي جميع هذه الفروض يسقط الأجل المحدد للدين الأصلي</w:t>
      </w:r>
      <w:r>
        <w:rPr>
          <w:rFonts w:hint="cs"/>
          <w:color w:val="000000"/>
          <w:rtl/>
          <w:lang w:bidi="ar-EG"/>
        </w:rPr>
        <w:t xml:space="preserve"> ،</w:t>
      </w:r>
      <w:r w:rsidRPr="00315653">
        <w:rPr>
          <w:rFonts w:hint="cs"/>
          <w:color w:val="000000"/>
          <w:rtl/>
          <w:lang w:bidi="ar-EG"/>
        </w:rPr>
        <w:t xml:space="preserve"> ولكن ذلك لا يستتبع أن يسوئ مركز الكفيل</w:t>
      </w:r>
      <w:r>
        <w:rPr>
          <w:rFonts w:hint="cs"/>
          <w:color w:val="000000"/>
          <w:vertAlign w:val="superscript"/>
          <w:rtl/>
          <w:lang w:bidi="ar-EG"/>
        </w:rPr>
        <w:t xml:space="preserve">( </w:t>
      </w:r>
      <w:r w:rsidRPr="00315653">
        <w:rPr>
          <w:rStyle w:val="ab"/>
          <w:color w:val="000000"/>
          <w:rtl/>
          <w:lang w:bidi="ar-EG"/>
        </w:rPr>
        <w:footnoteReference w:id="22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وما دام الأجل المعطي للكفيل لم يسقط ولم يحل فإنه يبقى قائماً</w:t>
      </w:r>
      <w:r>
        <w:rPr>
          <w:rFonts w:hint="cs"/>
          <w:color w:val="000000"/>
          <w:rtl/>
          <w:lang w:bidi="ar-EG"/>
        </w:rPr>
        <w:t xml:space="preserve"> ،</w:t>
      </w:r>
      <w:r w:rsidRPr="00315653">
        <w:rPr>
          <w:rFonts w:hint="cs"/>
          <w:color w:val="000000"/>
          <w:rtl/>
          <w:lang w:bidi="ar-EG"/>
        </w:rPr>
        <w:t xml:space="preserve"> وعلى ذلك لا يستطيع الدائن أن يطالب الكفيل بوفاء الدين إلا عند حلول الأجل المعطي للكفيل</w:t>
      </w:r>
      <w:r>
        <w:rPr>
          <w:rFonts w:hint="cs"/>
          <w:color w:val="000000"/>
          <w:rtl/>
          <w:lang w:bidi="ar-EG"/>
        </w:rPr>
        <w:t xml:space="preserve"> .</w:t>
      </w:r>
      <w:r w:rsidRPr="00315653">
        <w:rPr>
          <w:rFonts w:hint="cs"/>
          <w:color w:val="000000"/>
          <w:rtl/>
          <w:lang w:bidi="ar-EG"/>
        </w:rPr>
        <w:t xml:space="preserve"> وكذلك يكون الحكم فيما إذا نزل المدين الأصلي عن الأجل المعطي للكفيل</w:t>
      </w:r>
      <w:r>
        <w:rPr>
          <w:rFonts w:hint="cs"/>
          <w:color w:val="000000"/>
          <w:rtl/>
          <w:lang w:bidi="ar-EG"/>
        </w:rPr>
        <w:t xml:space="preserve"> .</w:t>
      </w:r>
      <w:r w:rsidRPr="00315653">
        <w:rPr>
          <w:rFonts w:hint="cs"/>
          <w:color w:val="000000"/>
          <w:rtl/>
          <w:lang w:bidi="ar-EG"/>
        </w:rPr>
        <w:t xml:space="preserve"> وكذلك يكون الحكم فيما إذا نزل المدين الأصلي عن الأجل ولم ينزل عنه الكفيل</w:t>
      </w:r>
      <w:r>
        <w:rPr>
          <w:rFonts w:hint="cs"/>
          <w:color w:val="000000"/>
          <w:rtl/>
          <w:lang w:bidi="ar-EG"/>
        </w:rPr>
        <w:t xml:space="preserve"> ،</w:t>
      </w:r>
      <w:r w:rsidRPr="00315653">
        <w:rPr>
          <w:rFonts w:hint="cs"/>
          <w:color w:val="000000"/>
          <w:rtl/>
          <w:lang w:bidi="ar-EG"/>
        </w:rPr>
        <w:t xml:space="preserve"> فيبقى الأجل قائماً بالنسبة إلى الكفيل ولا يستطيع الدائن مطالبته إلا عند حلوله</w:t>
      </w:r>
      <w:r>
        <w:rPr>
          <w:rFonts w:hint="cs"/>
          <w:color w:val="000000"/>
          <w:vertAlign w:val="superscript"/>
          <w:rtl/>
          <w:lang w:bidi="ar-EG"/>
        </w:rPr>
        <w:t xml:space="preserve">( </w:t>
      </w:r>
      <w:r w:rsidRPr="00315653">
        <w:rPr>
          <w:rStyle w:val="ab"/>
          <w:color w:val="000000"/>
          <w:rtl/>
          <w:lang w:bidi="ar-EG"/>
        </w:rPr>
        <w:footnoteReference w:id="22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ومتى جاز للدائن أن يطالب الكفيل وأن ينفذ على أمواله</w:t>
      </w:r>
      <w:r>
        <w:rPr>
          <w:rFonts w:hint="cs"/>
          <w:color w:val="000000"/>
          <w:rtl/>
          <w:lang w:bidi="ar-EG"/>
        </w:rPr>
        <w:t xml:space="preserve"> ،</w:t>
      </w:r>
      <w:r w:rsidRPr="00315653">
        <w:rPr>
          <w:rFonts w:hint="cs"/>
          <w:color w:val="000000"/>
          <w:rtl/>
          <w:lang w:bidi="ar-EG"/>
        </w:rPr>
        <w:t xml:space="preserve"> فلا بد أن يكون عند الدائن سند تنفيذي ضد الكفيل</w:t>
      </w:r>
      <w:r>
        <w:rPr>
          <w:rFonts w:hint="cs"/>
          <w:color w:val="000000"/>
          <w:rtl/>
          <w:lang w:bidi="ar-EG"/>
        </w:rPr>
        <w:t xml:space="preserve"> ،</w:t>
      </w:r>
      <w:r w:rsidRPr="00315653">
        <w:rPr>
          <w:rFonts w:hint="cs"/>
          <w:color w:val="000000"/>
          <w:rtl/>
          <w:lang w:bidi="ar-EG"/>
        </w:rPr>
        <w:t xml:space="preserve"> ولا يكفي أن يكون عنده سند تنفيذي ضد المدين</w:t>
      </w:r>
      <w:r>
        <w:rPr>
          <w:rFonts w:hint="cs"/>
          <w:color w:val="000000"/>
          <w:rtl/>
          <w:lang w:bidi="ar-EG"/>
        </w:rPr>
        <w:t xml:space="preserve"> .</w:t>
      </w:r>
      <w:r w:rsidRPr="00315653">
        <w:rPr>
          <w:rFonts w:hint="cs"/>
          <w:color w:val="000000"/>
          <w:rtl/>
          <w:lang w:bidi="ar-EG"/>
        </w:rPr>
        <w:t xml:space="preserve"> فإذا لم يكن سند الكفالة ورقة رسمية تصلح للتنفيذ بها</w:t>
      </w:r>
      <w:r>
        <w:rPr>
          <w:rFonts w:hint="cs"/>
          <w:color w:val="000000"/>
          <w:rtl/>
          <w:lang w:bidi="ar-EG"/>
        </w:rPr>
        <w:t xml:space="preserve"> ،</w:t>
      </w:r>
      <w:r w:rsidRPr="00315653">
        <w:rPr>
          <w:rFonts w:hint="cs"/>
          <w:color w:val="000000"/>
          <w:rtl/>
          <w:lang w:bidi="ar-EG"/>
        </w:rPr>
        <w:t xml:space="preserve"> $92 وجب على الدائن أن يحصل على حكم قابل ضد الكفيل</w:t>
      </w:r>
      <w:r>
        <w:rPr>
          <w:rFonts w:hint="cs"/>
          <w:color w:val="000000"/>
          <w:rtl/>
          <w:lang w:bidi="ar-EG"/>
        </w:rPr>
        <w:t xml:space="preserve"> ،</w:t>
      </w:r>
      <w:r w:rsidRPr="00315653">
        <w:rPr>
          <w:rFonts w:hint="cs"/>
          <w:color w:val="000000"/>
          <w:rtl/>
          <w:lang w:bidi="ar-EG"/>
        </w:rPr>
        <w:t xml:space="preserve"> ولا يكفي أن يحصل على حكم قابل للتنفيذ ضد المدين</w:t>
      </w:r>
      <w:r>
        <w:rPr>
          <w:rFonts w:hint="cs"/>
          <w:color w:val="000000"/>
          <w:vertAlign w:val="superscript"/>
          <w:rtl/>
          <w:lang w:bidi="ar-EG"/>
        </w:rPr>
        <w:t xml:space="preserve">( </w:t>
      </w:r>
      <w:r w:rsidRPr="00315653">
        <w:rPr>
          <w:rStyle w:val="ab"/>
          <w:color w:val="000000"/>
          <w:rtl/>
          <w:lang w:bidi="ar-EG"/>
        </w:rPr>
        <w:footnoteReference w:id="22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40- بماذا يطالب الدائن الكفيل </w:t>
      </w:r>
      <w:r w:rsidRPr="00315653">
        <w:rPr>
          <w:b/>
          <w:bCs/>
          <w:color w:val="000000"/>
          <w:rtl/>
          <w:lang w:bidi="ar-EG"/>
        </w:rPr>
        <w:t>–</w:t>
      </w:r>
      <w:r w:rsidRPr="00315653">
        <w:rPr>
          <w:rFonts w:hint="cs"/>
          <w:b/>
          <w:bCs/>
          <w:color w:val="000000"/>
          <w:rtl/>
          <w:lang w:bidi="ar-EG"/>
        </w:rPr>
        <w:t xml:space="preserve"> التقسيم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792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 إذا تعدد الكفلاء لدين واحد وبعقد واحد وكانوا غير متضامنين فيما بينهم</w:t>
      </w:r>
      <w:r>
        <w:rPr>
          <w:rFonts w:hint="cs"/>
          <w:color w:val="000000"/>
          <w:rtl/>
          <w:lang w:bidi="ar-EG"/>
        </w:rPr>
        <w:t xml:space="preserve"> ،</w:t>
      </w:r>
      <w:r w:rsidRPr="00315653">
        <w:rPr>
          <w:rFonts w:hint="cs"/>
          <w:color w:val="000000"/>
          <w:rtl/>
          <w:lang w:bidi="ar-EG"/>
        </w:rPr>
        <w:t xml:space="preserve"> قسم الدين عليهم</w:t>
      </w:r>
      <w:r>
        <w:rPr>
          <w:rFonts w:hint="cs"/>
          <w:color w:val="000000"/>
          <w:rtl/>
          <w:lang w:bidi="ar-EG"/>
        </w:rPr>
        <w:t xml:space="preserve"> ،</w:t>
      </w:r>
      <w:r w:rsidRPr="00315653">
        <w:rPr>
          <w:rFonts w:hint="cs"/>
          <w:color w:val="000000"/>
          <w:rtl/>
          <w:lang w:bidi="ar-EG"/>
        </w:rPr>
        <w:t xml:space="preserve"> ولا يجوز للدائن أن يطالب كل كفيل إلا بقدر نصيبه في الكفالة"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 أما إذا كان الكفلاء قد التزموا بعقود متوالية</w:t>
      </w:r>
      <w:r>
        <w:rPr>
          <w:rFonts w:hint="cs"/>
          <w:color w:val="000000"/>
          <w:rtl/>
          <w:lang w:bidi="ar-EG"/>
        </w:rPr>
        <w:t xml:space="preserve"> ،</w:t>
      </w:r>
      <w:r w:rsidRPr="00315653">
        <w:rPr>
          <w:rFonts w:hint="cs"/>
          <w:color w:val="000000"/>
          <w:rtl/>
          <w:lang w:bidi="ar-EG"/>
        </w:rPr>
        <w:t xml:space="preserve"> فإن كل واحد منهم يكون مسئولا عن الدين كله</w:t>
      </w:r>
      <w:r>
        <w:rPr>
          <w:rFonts w:hint="cs"/>
          <w:color w:val="000000"/>
          <w:rtl/>
          <w:lang w:bidi="ar-EG"/>
        </w:rPr>
        <w:t xml:space="preserve"> ،</w:t>
      </w:r>
      <w:r w:rsidRPr="00315653">
        <w:rPr>
          <w:rFonts w:hint="cs"/>
          <w:color w:val="000000"/>
          <w:rtl/>
          <w:lang w:bidi="ar-EG"/>
        </w:rPr>
        <w:t xml:space="preserve"> إلا إذا كان قد احتفظ لنفسه بحق القسيم"</w:t>
      </w:r>
      <w:r>
        <w:rPr>
          <w:rFonts w:hint="cs"/>
          <w:color w:val="000000"/>
          <w:vertAlign w:val="superscript"/>
          <w:rtl/>
          <w:lang w:bidi="ar-EG"/>
        </w:rPr>
        <w:t xml:space="preserve">( </w:t>
      </w:r>
      <w:r w:rsidRPr="00315653">
        <w:rPr>
          <w:rStyle w:val="ab"/>
          <w:color w:val="000000"/>
          <w:rtl/>
          <w:lang w:bidi="ar-EG"/>
        </w:rPr>
        <w:footnoteReference w:id="22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$93 وظاهر أنه إذا كان للدين كفل واحد</w:t>
      </w:r>
      <w:r>
        <w:rPr>
          <w:rFonts w:hint="cs"/>
          <w:color w:val="000000"/>
          <w:rtl/>
          <w:lang w:bidi="ar-EG"/>
        </w:rPr>
        <w:t xml:space="preserve"> ،</w:t>
      </w:r>
      <w:r w:rsidRPr="00315653">
        <w:rPr>
          <w:rFonts w:hint="cs"/>
          <w:color w:val="000000"/>
          <w:rtl/>
          <w:lang w:bidi="ar-EG"/>
        </w:rPr>
        <w:t xml:space="preserve"> كما هو الغالب</w:t>
      </w:r>
      <w:r>
        <w:rPr>
          <w:rFonts w:hint="cs"/>
          <w:color w:val="000000"/>
          <w:rtl/>
          <w:lang w:bidi="ar-EG"/>
        </w:rPr>
        <w:t xml:space="preserve"> ،</w:t>
      </w:r>
      <w:r w:rsidRPr="00315653">
        <w:rPr>
          <w:rFonts w:hint="cs"/>
          <w:color w:val="000000"/>
          <w:rtl/>
          <w:lang w:bidi="ar-EG"/>
        </w:rPr>
        <w:t xml:space="preserve"> ورجع الدائن على الكفيل</w:t>
      </w:r>
      <w:r>
        <w:rPr>
          <w:rFonts w:hint="cs"/>
          <w:color w:val="000000"/>
          <w:rtl/>
          <w:lang w:bidi="ar-EG"/>
        </w:rPr>
        <w:t xml:space="preserve"> ،</w:t>
      </w:r>
      <w:r w:rsidRPr="00315653">
        <w:rPr>
          <w:rFonts w:hint="cs"/>
          <w:color w:val="000000"/>
          <w:rtl/>
          <w:lang w:bidi="ar-EG"/>
        </w:rPr>
        <w:t xml:space="preserve"> فإنه يطالبه بنفس الذي كفله</w:t>
      </w:r>
      <w:r>
        <w:rPr>
          <w:rFonts w:hint="cs"/>
          <w:color w:val="000000"/>
          <w:rtl/>
          <w:lang w:bidi="ar-EG"/>
        </w:rPr>
        <w:t xml:space="preserve"> ،</w:t>
      </w:r>
      <w:r w:rsidRPr="00315653">
        <w:rPr>
          <w:rFonts w:hint="cs"/>
          <w:color w:val="000000"/>
          <w:rtl/>
          <w:lang w:bidi="ar-EG"/>
        </w:rPr>
        <w:t xml:space="preserve"> وقد سبق أن حددنا مدى التزام الكفيل بالكفالة</w:t>
      </w:r>
      <w:r>
        <w:rPr>
          <w:rFonts w:hint="cs"/>
          <w:color w:val="000000"/>
          <w:vertAlign w:val="superscript"/>
          <w:rtl/>
          <w:lang w:bidi="ar-EG"/>
        </w:rPr>
        <w:t xml:space="preserve">( </w:t>
      </w:r>
      <w:r w:rsidRPr="00315653">
        <w:rPr>
          <w:rStyle w:val="ab"/>
          <w:color w:val="000000"/>
          <w:rtl/>
          <w:lang w:bidi="ar-EG"/>
        </w:rPr>
        <w:footnoteReference w:id="22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قد يتعدد الكفلاء للدين الواحد</w:t>
      </w:r>
      <w:r>
        <w:rPr>
          <w:rFonts w:hint="cs"/>
          <w:color w:val="000000"/>
          <w:rtl/>
          <w:lang w:bidi="ar-EG"/>
        </w:rPr>
        <w:t xml:space="preserve"> ،</w:t>
      </w:r>
      <w:r w:rsidRPr="00315653">
        <w:rPr>
          <w:rFonts w:hint="cs"/>
          <w:color w:val="000000"/>
          <w:rtl/>
          <w:lang w:bidi="ar-EG"/>
        </w:rPr>
        <w:t xml:space="preserve"> ويخلص من النص سالف الذكر أن ه لتحديد المقدر الذي يطلب به الدائن كل كفيل عند الرجوع عليه</w:t>
      </w:r>
      <w:r>
        <w:rPr>
          <w:rFonts w:hint="cs"/>
          <w:color w:val="000000"/>
          <w:rtl/>
          <w:lang w:bidi="ar-EG"/>
        </w:rPr>
        <w:t xml:space="preserve"> ،</w:t>
      </w:r>
      <w:r w:rsidRPr="00315653">
        <w:rPr>
          <w:rFonts w:hint="cs"/>
          <w:color w:val="000000"/>
          <w:rtl/>
          <w:lang w:bidi="ar-EG"/>
        </w:rPr>
        <w:t xml:space="preserve"> يجب التمييز بين فرضين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الفرض الأول</w:t>
      </w:r>
      <w:r>
        <w:rPr>
          <w:rFonts w:hint="cs"/>
          <w:color w:val="000000"/>
          <w:rtl/>
          <w:lang w:bidi="ar-EG"/>
        </w:rPr>
        <w:t xml:space="preserve"> )</w:t>
      </w:r>
      <w:r w:rsidRPr="00315653">
        <w:rPr>
          <w:rFonts w:hint="cs"/>
          <w:color w:val="000000"/>
          <w:rtl/>
          <w:lang w:bidi="ar-EG"/>
        </w:rPr>
        <w:t xml:space="preserve"> تعدد الكفلاء بعقد واحد</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الفرض الثاني</w:t>
      </w:r>
      <w:r>
        <w:rPr>
          <w:rFonts w:hint="cs"/>
          <w:color w:val="000000"/>
          <w:rtl/>
          <w:lang w:bidi="ar-EG"/>
        </w:rPr>
        <w:t xml:space="preserve"> )</w:t>
      </w:r>
      <w:r w:rsidRPr="00315653">
        <w:rPr>
          <w:rFonts w:hint="cs"/>
          <w:color w:val="000000"/>
          <w:rtl/>
          <w:lang w:bidi="ar-EG"/>
        </w:rPr>
        <w:t xml:space="preserve"> تعدد الكفلاء بعقود متوالية</w:t>
      </w:r>
      <w:r>
        <w:rPr>
          <w:rFonts w:hint="cs"/>
          <w:color w:val="000000"/>
          <w:rtl/>
          <w:lang w:bidi="ar-EG"/>
        </w:rPr>
        <w:t xml:space="preserve"> .</w:t>
      </w:r>
      <w:r w:rsidRPr="00315653">
        <w:rPr>
          <w:rFonts w:hint="cs"/>
          <w:color w:val="000000"/>
          <w:rtl/>
          <w:lang w:bidi="ar-EG"/>
        </w:rPr>
        <w:t xml:space="preserve"> وسنبحث كلا من الفرضين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41- تعدد الكفلاء بعقد واحد</w:t>
      </w:r>
      <w:r>
        <w:rPr>
          <w:rFonts w:hint="cs"/>
          <w:color w:val="000000"/>
          <w:rtl/>
          <w:lang w:bidi="ar-EG"/>
        </w:rPr>
        <w:t xml:space="preserve"> :</w:t>
      </w:r>
      <w:r w:rsidRPr="00315653">
        <w:rPr>
          <w:rFonts w:hint="cs"/>
          <w:color w:val="000000"/>
          <w:rtl/>
          <w:lang w:bidi="ar-EG"/>
        </w:rPr>
        <w:t xml:space="preserve"> إذا تعدد الكفلاء</w:t>
      </w:r>
      <w:r>
        <w:rPr>
          <w:rFonts w:hint="cs"/>
          <w:color w:val="000000"/>
          <w:rtl/>
          <w:lang w:bidi="ar-EG"/>
        </w:rPr>
        <w:t xml:space="preserve"> ،</w:t>
      </w:r>
      <w:r w:rsidRPr="00315653">
        <w:rPr>
          <w:rFonts w:hint="cs"/>
          <w:color w:val="000000"/>
          <w:rtl/>
          <w:lang w:bidi="ar-EG"/>
        </w:rPr>
        <w:t xml:space="preserve"> وكانوا جميعاً قد التزموا كفالة الدين بعقد واحد</w:t>
      </w:r>
      <w:r>
        <w:rPr>
          <w:rFonts w:hint="cs"/>
          <w:color w:val="000000"/>
          <w:rtl/>
          <w:lang w:bidi="ar-EG"/>
        </w:rPr>
        <w:t xml:space="preserve"> ،</w:t>
      </w:r>
      <w:r w:rsidRPr="00315653">
        <w:rPr>
          <w:rFonts w:hint="cs"/>
          <w:color w:val="000000"/>
          <w:rtl/>
          <w:lang w:bidi="ar-EG"/>
        </w:rPr>
        <w:t xml:space="preserve"> فالمشرع المصري يتخذ من وحدة العقد دليلا على أن كل كفيل قد اعتمد على الكفلاء الآخرين</w:t>
      </w:r>
      <w:r>
        <w:rPr>
          <w:rFonts w:hint="cs"/>
          <w:color w:val="000000"/>
          <w:rtl/>
          <w:lang w:bidi="ar-EG"/>
        </w:rPr>
        <w:t xml:space="preserve"> ،</w:t>
      </w:r>
      <w:r w:rsidRPr="00315653">
        <w:rPr>
          <w:rFonts w:hint="cs"/>
          <w:color w:val="000000"/>
          <w:rtl/>
          <w:lang w:bidi="ar-EG"/>
        </w:rPr>
        <w:t xml:space="preserve"> فيقسم الدين فيما بين الكفلاء المتعددين بقوة القانون</w:t>
      </w:r>
      <w:r>
        <w:rPr>
          <w:rFonts w:hint="cs"/>
          <w:color w:val="000000"/>
          <w:rtl/>
          <w:lang w:bidi="ar-EG"/>
        </w:rPr>
        <w:t xml:space="preserve"> .</w:t>
      </w:r>
      <w:r w:rsidRPr="00315653">
        <w:rPr>
          <w:rFonts w:hint="cs"/>
          <w:color w:val="000000"/>
          <w:rtl/>
          <w:lang w:bidi="ar-EG"/>
        </w:rPr>
        <w:t xml:space="preserve"> فإذا كان الكفلاء ثلاثة مثلا</w:t>
      </w:r>
      <w:r>
        <w:rPr>
          <w:rFonts w:hint="cs"/>
          <w:color w:val="000000"/>
          <w:rtl/>
          <w:lang w:bidi="ar-EG"/>
        </w:rPr>
        <w:t xml:space="preserve"> ،</w:t>
      </w:r>
      <w:r w:rsidRPr="00315653">
        <w:rPr>
          <w:rFonts w:hint="cs"/>
          <w:color w:val="000000"/>
          <w:rtl/>
          <w:lang w:bidi="ar-EG"/>
        </w:rPr>
        <w:t xml:space="preserve"> وكان الدين تسعمائة</w:t>
      </w:r>
      <w:r>
        <w:rPr>
          <w:rFonts w:hint="cs"/>
          <w:color w:val="000000"/>
          <w:rtl/>
          <w:lang w:bidi="ar-EG"/>
        </w:rPr>
        <w:t xml:space="preserve"> ،</w:t>
      </w:r>
      <w:r w:rsidRPr="00315653">
        <w:rPr>
          <w:rFonts w:hint="cs"/>
          <w:color w:val="000000"/>
          <w:rtl/>
          <w:lang w:bidi="ar-EG"/>
        </w:rPr>
        <w:t xml:space="preserve"> وكفله الثلاثة بعقد واحد</w:t>
      </w:r>
      <w:r>
        <w:rPr>
          <w:rFonts w:hint="cs"/>
          <w:color w:val="000000"/>
          <w:rtl/>
          <w:lang w:bidi="ar-EG"/>
        </w:rPr>
        <w:t xml:space="preserve"> ،</w:t>
      </w:r>
      <w:r w:rsidRPr="00315653">
        <w:rPr>
          <w:rFonts w:hint="cs"/>
          <w:color w:val="000000"/>
          <w:rtl/>
          <w:lang w:bidi="ar-EG"/>
        </w:rPr>
        <w:t xml:space="preserve"> ولم يبينوا في عقد الكفالة مقدار ما يكفل كل منهم من الدين</w:t>
      </w:r>
      <w:r>
        <w:rPr>
          <w:rFonts w:hint="cs"/>
          <w:color w:val="000000"/>
          <w:rtl/>
          <w:lang w:bidi="ar-EG"/>
        </w:rPr>
        <w:t xml:space="preserve"> ،</w:t>
      </w:r>
      <w:r w:rsidRPr="00315653">
        <w:rPr>
          <w:rFonts w:hint="cs"/>
          <w:color w:val="000000"/>
          <w:rtl/>
          <w:lang w:bidi="ar-EG"/>
        </w:rPr>
        <w:t xml:space="preserve"> انقسم الدين عليهم بعدد الرؤوس ويكفل كل منهم ثلثمائة</w:t>
      </w:r>
      <w:r>
        <w:rPr>
          <w:rFonts w:hint="cs"/>
          <w:color w:val="000000"/>
          <w:rtl/>
          <w:lang w:bidi="ar-EG"/>
        </w:rPr>
        <w:t xml:space="preserve"> .</w:t>
      </w:r>
      <w:r w:rsidRPr="00315653">
        <w:rPr>
          <w:rFonts w:hint="cs"/>
          <w:color w:val="000000"/>
          <w:rtl/>
          <w:lang w:bidi="ar-EG"/>
        </w:rPr>
        <w:t xml:space="preserve"> وعلى ذلك إذا طالب الدائن أي كفيل منهم</w:t>
      </w:r>
      <w:r>
        <w:rPr>
          <w:rFonts w:hint="cs"/>
          <w:color w:val="000000"/>
          <w:rtl/>
          <w:lang w:bidi="ar-EG"/>
        </w:rPr>
        <w:t xml:space="preserve"> ،</w:t>
      </w:r>
      <w:r w:rsidRPr="00315653">
        <w:rPr>
          <w:rFonts w:hint="cs"/>
          <w:color w:val="000000"/>
          <w:rtl/>
          <w:lang w:bidi="ar-EG"/>
        </w:rPr>
        <w:t xml:space="preserve"> لم يطالبه إلا بمقدار ثلثمائة فقط</w:t>
      </w:r>
      <w:r>
        <w:rPr>
          <w:rFonts w:hint="cs"/>
          <w:color w:val="000000"/>
          <w:rtl/>
          <w:lang w:bidi="ar-EG"/>
        </w:rPr>
        <w:t xml:space="preserve"> .</w:t>
      </w:r>
      <w:r w:rsidRPr="00315653">
        <w:rPr>
          <w:rFonts w:hint="cs"/>
          <w:color w:val="000000"/>
          <w:rtl/>
          <w:lang w:bidi="ar-EG"/>
        </w:rPr>
        <w:t xml:space="preserve"> وإذا طالبه بأكثر من ذلك</w:t>
      </w:r>
      <w:r>
        <w:rPr>
          <w:rFonts w:hint="cs"/>
          <w:color w:val="000000"/>
          <w:rtl/>
          <w:lang w:bidi="ar-EG"/>
        </w:rPr>
        <w:t xml:space="preserve"> ،</w:t>
      </w:r>
      <w:r w:rsidRPr="00315653">
        <w:rPr>
          <w:rFonts w:hint="cs"/>
          <w:color w:val="000000"/>
          <w:rtl/>
          <w:lang w:bidi="ar-EG"/>
        </w:rPr>
        <w:t xml:space="preserve"> استطاع هذا أن يدفع الطلب بتقسيم الدين </w:t>
      </w:r>
      <w:r>
        <w:rPr>
          <w:color w:val="000000"/>
          <w:rtl/>
          <w:lang w:bidi="ar-EG"/>
        </w:rPr>
        <w:t xml:space="preserve">( </w:t>
      </w:r>
      <w:r w:rsidRPr="00315653">
        <w:rPr>
          <w:color w:val="000000"/>
          <w:lang w:bidi="ar-EG"/>
        </w:rPr>
        <w:t>division de la dette</w:t>
      </w:r>
      <w:r>
        <w:rPr>
          <w:color w:val="000000"/>
          <w:rtl/>
          <w:lang w:bidi="ar-EG"/>
        </w:rPr>
        <w:t xml:space="preserve"> )</w:t>
      </w:r>
      <w:r>
        <w:rPr>
          <w:rFonts w:hint="cs"/>
          <w:color w:val="000000"/>
          <w:rtl/>
        </w:rPr>
        <w:t xml:space="preserve"> .</w:t>
      </w:r>
      <w:r w:rsidRPr="00315653">
        <w:rPr>
          <w:rFonts w:hint="cs"/>
          <w:color w:val="000000"/>
          <w:rtl/>
        </w:rPr>
        <w:t xml:space="preserve"> بل للمحكمة أن تقضي من تلقاء نفسها بتقسيم الدين دون طلب</w:t>
      </w:r>
      <w:r>
        <w:rPr>
          <w:rFonts w:hint="cs"/>
          <w:color w:val="000000"/>
          <w:rtl/>
        </w:rPr>
        <w:t xml:space="preserve"> ،</w:t>
      </w:r>
      <w:r w:rsidRPr="00315653">
        <w:rPr>
          <w:rFonts w:hint="cs"/>
          <w:color w:val="000000"/>
          <w:rtl/>
        </w:rPr>
        <w:t xml:space="preserve"> ولا تحكم على أي كفيل بأكثر من ثلثمائة</w:t>
      </w:r>
      <w:r>
        <w:rPr>
          <w:rFonts w:hint="cs"/>
          <w:color w:val="000000"/>
          <w:rtl/>
        </w:rPr>
        <w:t xml:space="preserve"> .</w:t>
      </w:r>
      <w:r w:rsidRPr="00315653">
        <w:rPr>
          <w:rFonts w:hint="cs"/>
          <w:color w:val="000000"/>
          <w:rtl/>
        </w:rPr>
        <w:t xml:space="preserve"> والدين </w:t>
      </w:r>
      <w:r w:rsidRPr="00315653">
        <w:rPr>
          <w:rFonts w:hint="cs"/>
          <w:color w:val="000000"/>
          <w:rtl/>
        </w:rPr>
        <w:lastRenderedPageBreak/>
        <w:t>ينقسم على الكفلاء من وقت إبرام عقد الكفالة</w:t>
      </w:r>
      <w:r>
        <w:rPr>
          <w:rFonts w:hint="cs"/>
          <w:color w:val="000000"/>
          <w:rtl/>
        </w:rPr>
        <w:t xml:space="preserve"> ،</w:t>
      </w:r>
      <w:r w:rsidRPr="00315653">
        <w:rPr>
          <w:rFonts w:hint="cs"/>
          <w:color w:val="000000"/>
          <w:rtl/>
        </w:rPr>
        <w:t xml:space="preserve"> لا من وقت حكم المحكمة</w:t>
      </w:r>
      <w:r>
        <w:rPr>
          <w:rFonts w:hint="cs"/>
          <w:color w:val="000000"/>
          <w:rtl/>
        </w:rPr>
        <w:t xml:space="preserve"> ،</w:t>
      </w:r>
      <w:r w:rsidRPr="00315653">
        <w:rPr>
          <w:rFonts w:hint="cs"/>
          <w:color w:val="000000"/>
          <w:rtl/>
        </w:rPr>
        <w:t xml:space="preserve"> ولا من وقت الدفع بتقسيم الدين</w:t>
      </w:r>
      <w:r>
        <w:rPr>
          <w:rFonts w:hint="cs"/>
          <w:color w:val="000000"/>
          <w:rtl/>
        </w:rPr>
        <w:t xml:space="preserve"> ،</w:t>
      </w:r>
      <w:r w:rsidRPr="00315653">
        <w:rPr>
          <w:rFonts w:hint="cs"/>
          <w:color w:val="000000"/>
          <w:rtl/>
        </w:rPr>
        <w:t xml:space="preserve"> </w:t>
      </w:r>
      <w:r>
        <w:rPr>
          <w:color w:val="000000"/>
          <w:rtl/>
        </w:rPr>
        <w:t xml:space="preserve">( </w:t>
      </w:r>
      <w:r w:rsidRPr="00315653">
        <w:rPr>
          <w:color w:val="000000"/>
        </w:rPr>
        <w:t>division de la dette</w:t>
      </w:r>
      <w:r>
        <w:rPr>
          <w:color w:val="000000"/>
          <w:rtl/>
        </w:rPr>
        <w:t xml:space="preserve"> )</w:t>
      </w:r>
      <w:r>
        <w:rPr>
          <w:rFonts w:hint="cs"/>
          <w:color w:val="000000"/>
          <w:rtl/>
        </w:rPr>
        <w:t xml:space="preserve"> .</w:t>
      </w:r>
      <w:r w:rsidRPr="00315653">
        <w:rPr>
          <w:rFonts w:hint="cs"/>
          <w:color w:val="000000"/>
          <w:rtl/>
        </w:rPr>
        <w:t xml:space="preserve"> بل للمحكمة أن تقضي من تلقاء نفسها بتقسيم الدين دون طلب</w:t>
      </w:r>
      <w:r>
        <w:rPr>
          <w:rFonts w:hint="cs"/>
          <w:color w:val="000000"/>
          <w:rtl/>
        </w:rPr>
        <w:t xml:space="preserve"> ،</w:t>
      </w:r>
      <w:r w:rsidRPr="00315653">
        <w:rPr>
          <w:rFonts w:hint="cs"/>
          <w:color w:val="000000"/>
          <w:rtl/>
        </w:rPr>
        <w:t xml:space="preserve"> ولا تحكم على أي كفيل بأكثر من ثلثمائة</w:t>
      </w:r>
      <w:r>
        <w:rPr>
          <w:rFonts w:hint="cs"/>
          <w:color w:val="000000"/>
          <w:rtl/>
        </w:rPr>
        <w:t xml:space="preserve"> .</w:t>
      </w:r>
      <w:r w:rsidRPr="00315653">
        <w:rPr>
          <w:rFonts w:hint="cs"/>
          <w:color w:val="000000"/>
          <w:rtl/>
        </w:rPr>
        <w:t xml:space="preserve"> والدين ينقسم على الكفلاء من وقت إبرام عقد الكفالة</w:t>
      </w:r>
      <w:r>
        <w:rPr>
          <w:rFonts w:hint="cs"/>
          <w:color w:val="000000"/>
          <w:rtl/>
        </w:rPr>
        <w:t xml:space="preserve"> ،</w:t>
      </w:r>
      <w:r w:rsidRPr="00315653">
        <w:rPr>
          <w:rFonts w:hint="cs"/>
          <w:color w:val="000000"/>
          <w:rtl/>
        </w:rPr>
        <w:t xml:space="preserve"> لا من وقت حكم المحكمة</w:t>
      </w:r>
      <w:r>
        <w:rPr>
          <w:rFonts w:hint="cs"/>
          <w:color w:val="000000"/>
          <w:rtl/>
        </w:rPr>
        <w:t xml:space="preserve"> ،</w:t>
      </w:r>
      <w:r w:rsidRPr="00315653">
        <w:rPr>
          <w:rFonts w:hint="cs"/>
          <w:color w:val="000000"/>
          <w:rtl/>
        </w:rPr>
        <w:t xml:space="preserve"> ولا من وقت الدفع بتقسيم الدين</w:t>
      </w:r>
      <w:r>
        <w:rPr>
          <w:rFonts w:hint="cs"/>
          <w:color w:val="000000"/>
          <w:rtl/>
        </w:rPr>
        <w:t xml:space="preserve"> .</w:t>
      </w:r>
      <w:r w:rsidRPr="00315653">
        <w:rPr>
          <w:rFonts w:hint="cs"/>
          <w:color w:val="000000"/>
          <w:rtl/>
        </w:rPr>
        <w:t xml:space="preserve"> وعلى ذلك إذا أعسر احد الكفلاء بعد إبرام عقد الكفالة</w:t>
      </w:r>
      <w:r>
        <w:rPr>
          <w:rFonts w:hint="cs"/>
          <w:color w:val="000000"/>
          <w:rtl/>
        </w:rPr>
        <w:t xml:space="preserve"> ،</w:t>
      </w:r>
      <w:r w:rsidRPr="00315653">
        <w:rPr>
          <w:rFonts w:hint="cs"/>
          <w:color w:val="000000"/>
          <w:rtl/>
        </w:rPr>
        <w:t xml:space="preserve"> ولو قبل مطالبة الدائن الكفلاء بحقه</w:t>
      </w:r>
      <w:r>
        <w:rPr>
          <w:rFonts w:hint="cs"/>
          <w:color w:val="000000"/>
          <w:rtl/>
        </w:rPr>
        <w:t xml:space="preserve"> ،</w:t>
      </w:r>
      <w:r w:rsidRPr="00315653">
        <w:rPr>
          <w:rFonts w:hint="cs"/>
          <w:color w:val="000000"/>
          <w:rtl/>
        </w:rPr>
        <w:t xml:space="preserve"> فليس للدائن أن يوزع حصة الكفيل المعسر على سائر الكفلاء</w:t>
      </w:r>
      <w:r>
        <w:rPr>
          <w:rFonts w:hint="cs"/>
          <w:color w:val="000000"/>
          <w:rtl/>
        </w:rPr>
        <w:t xml:space="preserve"> ،</w:t>
      </w:r>
      <w:r w:rsidRPr="00315653">
        <w:rPr>
          <w:rFonts w:hint="cs"/>
          <w:color w:val="000000"/>
          <w:rtl/>
        </w:rPr>
        <w:t xml:space="preserve"> بلي تحمل وحده نتيجة هذا الإعسار</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$94 ولكن يشترط لتقسيم الدين على الكفلاء</w:t>
      </w:r>
      <w:r>
        <w:rPr>
          <w:rFonts w:hint="cs"/>
          <w:color w:val="000000"/>
          <w:rtl/>
        </w:rPr>
        <w:t xml:space="preserve"> ،</w:t>
      </w:r>
      <w:r w:rsidRPr="00315653">
        <w:rPr>
          <w:rFonts w:hint="cs"/>
          <w:color w:val="000000"/>
          <w:rtl/>
        </w:rPr>
        <w:t xml:space="preserve"> على الوجه الذي قدمناه</w:t>
      </w:r>
      <w:r>
        <w:rPr>
          <w:rFonts w:hint="cs"/>
          <w:color w:val="000000"/>
          <w:rtl/>
        </w:rPr>
        <w:t xml:space="preserve"> ،</w:t>
      </w:r>
      <w:r w:rsidRPr="00315653">
        <w:rPr>
          <w:rFonts w:hint="cs"/>
          <w:color w:val="000000"/>
          <w:rtl/>
        </w:rPr>
        <w:t xml:space="preserve"> شروط أربعة</w:t>
      </w:r>
      <w:r>
        <w:rPr>
          <w:rFonts w:hint="cs"/>
          <w:color w:val="000000"/>
          <w:vertAlign w:val="superscript"/>
          <w:rtl/>
          <w:lang w:bidi="ar-EG"/>
        </w:rPr>
        <w:t xml:space="preserve">( </w:t>
      </w:r>
      <w:r w:rsidRPr="00315653">
        <w:rPr>
          <w:rStyle w:val="ab"/>
          <w:color w:val="000000"/>
          <w:rtl/>
          <w:lang w:bidi="ar-EG"/>
        </w:rPr>
        <w:footnoteReference w:id="22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أولاً</w:t>
      </w:r>
      <w:r>
        <w:rPr>
          <w:rFonts w:hint="cs"/>
          <w:color w:val="000000"/>
          <w:rtl/>
          <w:lang w:bidi="ar-EG"/>
        </w:rPr>
        <w:t xml:space="preserve"> )</w:t>
      </w:r>
      <w:r w:rsidRPr="00315653">
        <w:rPr>
          <w:rFonts w:hint="cs"/>
          <w:color w:val="000000"/>
          <w:rtl/>
          <w:lang w:bidi="ar-EG"/>
        </w:rPr>
        <w:t xml:space="preserve"> أن يتعدد الكفلاء</w:t>
      </w:r>
      <w:r>
        <w:rPr>
          <w:rFonts w:hint="cs"/>
          <w:color w:val="000000"/>
          <w:rtl/>
          <w:lang w:bidi="ar-EG"/>
        </w:rPr>
        <w:t xml:space="preserve"> :</w:t>
      </w:r>
      <w:r w:rsidRPr="00315653">
        <w:rPr>
          <w:rFonts w:hint="cs"/>
          <w:color w:val="000000"/>
          <w:rtl/>
          <w:lang w:bidi="ar-EG"/>
        </w:rPr>
        <w:t xml:space="preserve"> فإذا كمان للدين كفيل واحد</w:t>
      </w:r>
      <w:r>
        <w:rPr>
          <w:rFonts w:hint="cs"/>
          <w:color w:val="000000"/>
          <w:rtl/>
          <w:lang w:bidi="ar-EG"/>
        </w:rPr>
        <w:t xml:space="preserve"> ،</w:t>
      </w:r>
      <w:r w:rsidRPr="00315653">
        <w:rPr>
          <w:rFonts w:hint="cs"/>
          <w:color w:val="000000"/>
          <w:rtl/>
          <w:lang w:bidi="ar-EG"/>
        </w:rPr>
        <w:t xml:space="preserve"> لم ينقسم الدين بينه وبين المدين</w:t>
      </w:r>
      <w:r>
        <w:rPr>
          <w:rFonts w:hint="cs"/>
          <w:color w:val="000000"/>
          <w:rtl/>
          <w:lang w:bidi="ar-EG"/>
        </w:rPr>
        <w:t xml:space="preserve"> .</w:t>
      </w:r>
      <w:r w:rsidRPr="00315653">
        <w:rPr>
          <w:rFonts w:hint="cs"/>
          <w:color w:val="000000"/>
          <w:rtl/>
          <w:lang w:bidi="ar-EG"/>
        </w:rPr>
        <w:t xml:space="preserve"> بل يرجع الدائن أولا على المدين بكل الدين</w:t>
      </w:r>
      <w:r>
        <w:rPr>
          <w:rFonts w:hint="cs"/>
          <w:color w:val="000000"/>
          <w:rtl/>
          <w:lang w:bidi="ar-EG"/>
        </w:rPr>
        <w:t xml:space="preserve"> ،</w:t>
      </w:r>
      <w:r w:rsidRPr="00315653">
        <w:rPr>
          <w:rFonts w:hint="cs"/>
          <w:color w:val="000000"/>
          <w:rtl/>
          <w:lang w:bidi="ar-EG"/>
        </w:rPr>
        <w:t xml:space="preserve"> فإذا لم يتقاض منه شيئاً رجع بكل الدين على الكفيل</w:t>
      </w:r>
      <w:r>
        <w:rPr>
          <w:rFonts w:hint="cs"/>
          <w:color w:val="000000"/>
          <w:rtl/>
          <w:lang w:bidi="ar-EG"/>
        </w:rPr>
        <w:t xml:space="preserve"> .</w:t>
      </w:r>
      <w:r w:rsidRPr="00315653">
        <w:rPr>
          <w:rFonts w:hint="cs"/>
          <w:color w:val="000000"/>
          <w:rtl/>
          <w:lang w:bidi="ar-EG"/>
        </w:rPr>
        <w:t xml:space="preserve"> وإذا تقاضى من المدين ثلثي الدين مثلا</w:t>
      </w:r>
      <w:r>
        <w:rPr>
          <w:rFonts w:hint="cs"/>
          <w:color w:val="000000"/>
          <w:rtl/>
          <w:lang w:bidi="ar-EG"/>
        </w:rPr>
        <w:t xml:space="preserve"> ،</w:t>
      </w:r>
      <w:r w:rsidRPr="00315653">
        <w:rPr>
          <w:rFonts w:hint="cs"/>
          <w:color w:val="000000"/>
          <w:rtl/>
          <w:lang w:bidi="ar-EG"/>
        </w:rPr>
        <w:t xml:space="preserve"> رجع بالثلث الباقي على الكفيل</w:t>
      </w:r>
      <w:r>
        <w:rPr>
          <w:rFonts w:hint="cs"/>
          <w:color w:val="000000"/>
          <w:rtl/>
          <w:lang w:bidi="ar-EG"/>
        </w:rPr>
        <w:t xml:space="preserve"> .</w:t>
      </w:r>
      <w:r w:rsidRPr="00315653">
        <w:rPr>
          <w:rFonts w:hint="cs"/>
          <w:color w:val="000000"/>
          <w:rtl/>
          <w:lang w:bidi="ar-EG"/>
        </w:rPr>
        <w:t xml:space="preserve"> وإذا وجد كفيل عيني إلى جانب الكفيل الشخصي</w:t>
      </w:r>
      <w:r>
        <w:rPr>
          <w:rFonts w:hint="cs"/>
          <w:color w:val="000000"/>
          <w:rtl/>
          <w:lang w:bidi="ar-EG"/>
        </w:rPr>
        <w:t xml:space="preserve"> ،</w:t>
      </w:r>
      <w:r w:rsidRPr="00315653">
        <w:rPr>
          <w:rFonts w:hint="cs"/>
          <w:color w:val="000000"/>
          <w:rtl/>
          <w:lang w:bidi="ar-EG"/>
        </w:rPr>
        <w:t xml:space="preserve"> لم ينقسم الدين عليهما</w:t>
      </w:r>
      <w:r>
        <w:rPr>
          <w:rFonts w:hint="cs"/>
          <w:color w:val="000000"/>
          <w:rtl/>
          <w:lang w:bidi="ar-EG"/>
        </w:rPr>
        <w:t xml:space="preserve"> ،</w:t>
      </w:r>
      <w:r w:rsidRPr="00315653">
        <w:rPr>
          <w:rFonts w:hint="cs"/>
          <w:color w:val="000000"/>
          <w:rtl/>
          <w:lang w:bidi="ar-EG"/>
        </w:rPr>
        <w:t xml:space="preserve"> فإن الدين لا ينقسم إلا على الكفلاء الشخصيين</w:t>
      </w:r>
      <w:r>
        <w:rPr>
          <w:rFonts w:hint="cs"/>
          <w:color w:val="000000"/>
          <w:vertAlign w:val="superscript"/>
          <w:rtl/>
          <w:lang w:bidi="ar-EG"/>
        </w:rPr>
        <w:t xml:space="preserve">( </w:t>
      </w:r>
      <w:r w:rsidRPr="00315653">
        <w:rPr>
          <w:rStyle w:val="ab"/>
          <w:color w:val="000000"/>
          <w:rtl/>
          <w:lang w:bidi="ar-EG"/>
        </w:rPr>
        <w:footnoteReference w:id="22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بل إنه إذا تقدم لضمان الدين كفالة عينية وكفالة شخصية في وقت واحد</w:t>
      </w:r>
      <w:r>
        <w:rPr>
          <w:rFonts w:hint="cs"/>
          <w:color w:val="000000"/>
          <w:rtl/>
          <w:lang w:bidi="ar-EG"/>
        </w:rPr>
        <w:t xml:space="preserve"> ،</w:t>
      </w:r>
      <w:r w:rsidRPr="00315653">
        <w:rPr>
          <w:rFonts w:hint="cs"/>
          <w:color w:val="000000"/>
          <w:rtl/>
          <w:lang w:bidi="ar-EG"/>
        </w:rPr>
        <w:t xml:space="preserve"> ولم يكن الكفيل الشخصي متضامناً مع المدين</w:t>
      </w:r>
      <w:r>
        <w:rPr>
          <w:rFonts w:hint="cs"/>
          <w:color w:val="000000"/>
          <w:rtl/>
          <w:lang w:bidi="ar-EG"/>
        </w:rPr>
        <w:t xml:space="preserve"> ،</w:t>
      </w:r>
      <w:r w:rsidRPr="00315653">
        <w:rPr>
          <w:rFonts w:hint="cs"/>
          <w:color w:val="000000"/>
          <w:rtl/>
          <w:lang w:bidi="ar-EG"/>
        </w:rPr>
        <w:t xml:space="preserve"> لم يجز التنفيذ على أموال الكفيل الشخصي إلا بعد التنفيذ على المال الذي رهنه الكفيل العيني ضماناً للدين </w:t>
      </w:r>
      <w:r>
        <w:rPr>
          <w:rFonts w:hint="cs"/>
          <w:color w:val="000000"/>
          <w:rtl/>
          <w:lang w:bidi="ar-EG"/>
        </w:rPr>
        <w:t xml:space="preserve">( </w:t>
      </w:r>
      <w:r w:rsidRPr="00315653">
        <w:rPr>
          <w:rFonts w:hint="cs"/>
          <w:color w:val="000000"/>
          <w:rtl/>
          <w:lang w:bidi="ar-EG"/>
        </w:rPr>
        <w:t>م 791 مدني</w:t>
      </w:r>
      <w:r>
        <w:rPr>
          <w:rFonts w:hint="cs"/>
          <w:color w:val="000000"/>
          <w:rtl/>
          <w:lang w:bidi="ar-EG"/>
        </w:rPr>
        <w:t xml:space="preserve"> ) .</w:t>
      </w:r>
      <w:r w:rsidRPr="00315653">
        <w:rPr>
          <w:rFonts w:hint="cs"/>
          <w:color w:val="000000"/>
          <w:rtl/>
          <w:lang w:bidi="ar-EG"/>
        </w:rPr>
        <w:t xml:space="preserve"> وهنا نرى أن الدين لا ينقسم على الكفالة الشخصية والكفالة العينية</w:t>
      </w:r>
      <w:r>
        <w:rPr>
          <w:rFonts w:hint="cs"/>
          <w:color w:val="000000"/>
          <w:rtl/>
          <w:lang w:bidi="ar-EG"/>
        </w:rPr>
        <w:t xml:space="preserve"> ،</w:t>
      </w:r>
      <w:r w:rsidRPr="00315653">
        <w:rPr>
          <w:rFonts w:hint="cs"/>
          <w:color w:val="000000"/>
          <w:rtl/>
          <w:lang w:bidi="ar-EG"/>
        </w:rPr>
        <w:t xml:space="preserve"> بل يبدأ بالكفالة العينية</w:t>
      </w:r>
      <w:r>
        <w:rPr>
          <w:rFonts w:hint="cs"/>
          <w:color w:val="000000"/>
          <w:rtl/>
          <w:lang w:bidi="ar-EG"/>
        </w:rPr>
        <w:t xml:space="preserve"> ،</w:t>
      </w:r>
      <w:r w:rsidRPr="00315653">
        <w:rPr>
          <w:rFonts w:hint="cs"/>
          <w:color w:val="000000"/>
          <w:rtl/>
          <w:lang w:bidi="ar-EG"/>
        </w:rPr>
        <w:t xml:space="preserve"> فإن لم تف بكل الدين استوفى الدائن الباقي من الكفيل الشخصي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ثانياً</w:t>
      </w:r>
      <w:r>
        <w:rPr>
          <w:rFonts w:hint="cs"/>
          <w:color w:val="000000"/>
          <w:rtl/>
          <w:lang w:bidi="ar-EG"/>
        </w:rPr>
        <w:t xml:space="preserve"> )</w:t>
      </w:r>
      <w:r w:rsidRPr="00315653">
        <w:rPr>
          <w:rFonts w:hint="cs"/>
          <w:color w:val="000000"/>
          <w:rtl/>
          <w:lang w:bidi="ar-EG"/>
        </w:rPr>
        <w:t xml:space="preserve"> أن يكفل الكفلاء المتعددون ديناً واحداً؛ فإذا كفل كفيلا من كل منهما ديناً غير الذي كفله الآخر</w:t>
      </w:r>
      <w:r>
        <w:rPr>
          <w:rFonts w:hint="cs"/>
          <w:color w:val="000000"/>
          <w:rtl/>
          <w:lang w:bidi="ar-EG"/>
        </w:rPr>
        <w:t xml:space="preserve"> ،</w:t>
      </w:r>
      <w:r w:rsidRPr="00315653">
        <w:rPr>
          <w:rFonts w:hint="cs"/>
          <w:color w:val="000000"/>
          <w:rtl/>
          <w:lang w:bidi="ar-EG"/>
        </w:rPr>
        <w:t xml:space="preserve"> لم ينقسم أي الدينين عليهما</w:t>
      </w:r>
      <w:r>
        <w:rPr>
          <w:rFonts w:hint="cs"/>
          <w:color w:val="000000"/>
          <w:rtl/>
          <w:lang w:bidi="ar-EG"/>
        </w:rPr>
        <w:t xml:space="preserve"> ،</w:t>
      </w:r>
      <w:r w:rsidRPr="00315653">
        <w:rPr>
          <w:rFonts w:hint="cs"/>
          <w:color w:val="000000"/>
          <w:rtl/>
          <w:lang w:bidi="ar-EG"/>
        </w:rPr>
        <w:t xml:space="preserve"> بل يبقى كل منهما مسئولا عن كل الدين الذي كفله</w:t>
      </w:r>
      <w:r>
        <w:rPr>
          <w:rFonts w:hint="cs"/>
          <w:color w:val="000000"/>
          <w:rtl/>
          <w:lang w:bidi="ar-EG"/>
        </w:rPr>
        <w:t xml:space="preserve"> .</w:t>
      </w:r>
      <w:r w:rsidRPr="00315653">
        <w:rPr>
          <w:rFonts w:hint="cs"/>
          <w:color w:val="000000"/>
          <w:rtl/>
          <w:lang w:bidi="ar-EG"/>
        </w:rPr>
        <w:t xml:space="preserve"> وعلى ذلك لا ينقسم الدين على الكفيل وكفيل الكفيل</w:t>
      </w:r>
      <w:r>
        <w:rPr>
          <w:rFonts w:hint="cs"/>
          <w:color w:val="000000"/>
          <w:rtl/>
          <w:lang w:bidi="ar-EG"/>
        </w:rPr>
        <w:t xml:space="preserve"> ،</w:t>
      </w:r>
      <w:r w:rsidRPr="00315653">
        <w:rPr>
          <w:rFonts w:hint="cs"/>
          <w:color w:val="000000"/>
          <w:rtl/>
          <w:lang w:bidi="ar-EG"/>
        </w:rPr>
        <w:t xml:space="preserve"> ذلك لأن الكفيل قد كفل الدين الأصلي وكفل كفيل الكفيل دين الكفيل</w:t>
      </w:r>
      <w:r>
        <w:rPr>
          <w:rFonts w:hint="cs"/>
          <w:color w:val="000000"/>
          <w:rtl/>
          <w:lang w:bidi="ar-EG"/>
        </w:rPr>
        <w:t xml:space="preserve"> ،</w:t>
      </w:r>
      <w:r w:rsidRPr="00315653">
        <w:rPr>
          <w:rFonts w:hint="cs"/>
          <w:color w:val="000000"/>
          <w:rtl/>
          <w:lang w:bidi="ar-EG"/>
        </w:rPr>
        <w:t xml:space="preserve"> والدين الأصلي دين آخر غير دين الكفيل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ثالثاً</w:t>
      </w:r>
      <w:r>
        <w:rPr>
          <w:rFonts w:hint="cs"/>
          <w:color w:val="000000"/>
          <w:rtl/>
          <w:lang w:bidi="ar-EG"/>
        </w:rPr>
        <w:t xml:space="preserve"> )</w:t>
      </w:r>
      <w:r w:rsidRPr="00315653">
        <w:rPr>
          <w:rFonts w:hint="cs"/>
          <w:color w:val="000000"/>
          <w:rtl/>
          <w:lang w:bidi="ar-EG"/>
        </w:rPr>
        <w:t xml:space="preserve"> أن يكفل الكفلاء المتعددون نفس المدين أو نفس المدينين</w:t>
      </w:r>
      <w:r>
        <w:rPr>
          <w:rFonts w:hint="cs"/>
          <w:color w:val="000000"/>
          <w:rtl/>
          <w:lang w:bidi="ar-EG"/>
        </w:rPr>
        <w:t xml:space="preserve"> :</w:t>
      </w:r>
      <w:r w:rsidRPr="00315653">
        <w:rPr>
          <w:rFonts w:hint="cs"/>
          <w:color w:val="000000"/>
          <w:rtl/>
          <w:lang w:bidi="ar-EG"/>
        </w:rPr>
        <w:t xml:space="preserve"> فإذا كفل كفيلان كل منهما مديناً متضامناً بنفس الدين</w:t>
      </w:r>
      <w:r>
        <w:rPr>
          <w:rFonts w:hint="cs"/>
          <w:color w:val="000000"/>
          <w:rtl/>
          <w:lang w:bidi="ar-EG"/>
        </w:rPr>
        <w:t xml:space="preserve"> ،</w:t>
      </w:r>
      <w:r w:rsidRPr="00315653">
        <w:rPr>
          <w:rFonts w:hint="cs"/>
          <w:color w:val="000000"/>
          <w:rtl/>
          <w:lang w:bidi="ar-EG"/>
        </w:rPr>
        <w:t xml:space="preserve"> فقد كفلا ديناً واحداً ولكنهما لم يكفلا نفس المدين</w:t>
      </w:r>
      <w:r>
        <w:rPr>
          <w:rFonts w:hint="cs"/>
          <w:color w:val="000000"/>
          <w:rtl/>
          <w:lang w:bidi="ar-EG"/>
        </w:rPr>
        <w:t xml:space="preserve"> ،</w:t>
      </w:r>
      <w:r w:rsidRPr="00315653">
        <w:rPr>
          <w:rFonts w:hint="cs"/>
          <w:color w:val="000000"/>
          <w:rtl/>
          <w:lang w:bidi="ar-EG"/>
        </w:rPr>
        <w:t xml:space="preserve"> إذ كفل كل منهما مديناً غير المدين الذي كفله الآخر</w:t>
      </w:r>
      <w:r>
        <w:rPr>
          <w:rFonts w:hint="cs"/>
          <w:color w:val="000000"/>
          <w:rtl/>
          <w:lang w:bidi="ar-EG"/>
        </w:rPr>
        <w:t xml:space="preserve"> .</w:t>
      </w:r>
      <w:r w:rsidRPr="00315653">
        <w:rPr>
          <w:rFonts w:hint="cs"/>
          <w:color w:val="000000"/>
          <w:rtl/>
          <w:lang w:bidi="ar-EG"/>
        </w:rPr>
        <w:t xml:space="preserve"> وعلى ذلك لا ينقسم الدين بينهما</w:t>
      </w:r>
      <w:r>
        <w:rPr>
          <w:rFonts w:hint="cs"/>
          <w:color w:val="000000"/>
          <w:rtl/>
          <w:lang w:bidi="ar-EG"/>
        </w:rPr>
        <w:t xml:space="preserve"> ،</w:t>
      </w:r>
      <w:r w:rsidRPr="00315653">
        <w:rPr>
          <w:rFonts w:hint="cs"/>
          <w:color w:val="000000"/>
          <w:rtl/>
          <w:lang w:bidi="ar-EG"/>
        </w:rPr>
        <w:t xml:space="preserve"> بل يبقى كل منهما $ مسئولا عن الدين بكامله</w:t>
      </w:r>
      <w:r>
        <w:rPr>
          <w:rFonts w:hint="cs"/>
          <w:color w:val="000000"/>
          <w:rtl/>
          <w:lang w:bidi="ar-EG"/>
        </w:rPr>
        <w:t xml:space="preserve"> .</w:t>
      </w:r>
      <w:r w:rsidRPr="00315653">
        <w:rPr>
          <w:rFonts w:hint="cs"/>
          <w:color w:val="000000"/>
          <w:rtl/>
          <w:lang w:bidi="ar-EG"/>
        </w:rPr>
        <w:t xml:space="preserve"> ولكن إذا كفل كل من الكفيلين المدينين المتضامنين معاً</w:t>
      </w:r>
      <w:r>
        <w:rPr>
          <w:rFonts w:hint="cs"/>
          <w:color w:val="000000"/>
          <w:rtl/>
          <w:lang w:bidi="ar-EG"/>
        </w:rPr>
        <w:t xml:space="preserve"> ،</w:t>
      </w:r>
      <w:r w:rsidRPr="00315653">
        <w:rPr>
          <w:rFonts w:hint="cs"/>
          <w:color w:val="000000"/>
          <w:rtl/>
          <w:lang w:bidi="ar-EG"/>
        </w:rPr>
        <w:t xml:space="preserve"> فقد كفلا ديناً واحداً وكفلا نفس المدينين</w:t>
      </w:r>
      <w:r>
        <w:rPr>
          <w:rFonts w:hint="cs"/>
          <w:color w:val="000000"/>
          <w:rtl/>
          <w:lang w:bidi="ar-EG"/>
        </w:rPr>
        <w:t xml:space="preserve"> ،</w:t>
      </w:r>
      <w:r w:rsidRPr="00315653">
        <w:rPr>
          <w:rFonts w:hint="cs"/>
          <w:color w:val="000000"/>
          <w:rtl/>
          <w:lang w:bidi="ar-EG"/>
        </w:rPr>
        <w:t xml:space="preserve"> وعلى ذلك ينقسم الدين عليهما</w:t>
      </w:r>
      <w:r>
        <w:rPr>
          <w:rFonts w:hint="cs"/>
          <w:color w:val="000000"/>
          <w:vertAlign w:val="superscript"/>
          <w:rtl/>
          <w:lang w:bidi="ar-EG"/>
        </w:rPr>
        <w:t xml:space="preserve">( </w:t>
      </w:r>
      <w:r w:rsidRPr="00315653">
        <w:rPr>
          <w:rStyle w:val="ab"/>
          <w:color w:val="000000"/>
          <w:rtl/>
          <w:lang w:bidi="ar-EG"/>
        </w:rPr>
        <w:footnoteReference w:id="23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رابعاً</w:t>
      </w:r>
      <w:r>
        <w:rPr>
          <w:rFonts w:hint="cs"/>
          <w:color w:val="000000"/>
          <w:rtl/>
          <w:lang w:bidi="ar-EG"/>
        </w:rPr>
        <w:t xml:space="preserve"> )</w:t>
      </w:r>
      <w:r w:rsidRPr="00315653">
        <w:rPr>
          <w:rFonts w:hint="cs"/>
          <w:color w:val="000000"/>
          <w:rtl/>
          <w:lang w:bidi="ar-EG"/>
        </w:rPr>
        <w:t xml:space="preserve"> ألا يكون الكفلاء المتعددون متضامنين فيما بينهم</w:t>
      </w:r>
      <w:r>
        <w:rPr>
          <w:rFonts w:hint="cs"/>
          <w:color w:val="000000"/>
          <w:rtl/>
          <w:lang w:bidi="ar-EG"/>
        </w:rPr>
        <w:t xml:space="preserve"> :</w:t>
      </w:r>
      <w:r w:rsidRPr="00315653">
        <w:rPr>
          <w:rFonts w:hint="cs"/>
          <w:color w:val="000000"/>
          <w:rtl/>
          <w:lang w:bidi="ar-EG"/>
        </w:rPr>
        <w:t xml:space="preserve"> ذلك لأن المدينين المتضامنين فيما بينهم يمكن الرجوع على أي منهم بكل الدين طبقاً لأحكام التضامن</w:t>
      </w:r>
      <w:r>
        <w:rPr>
          <w:rFonts w:hint="cs"/>
          <w:color w:val="000000"/>
          <w:rtl/>
          <w:lang w:bidi="ar-EG"/>
        </w:rPr>
        <w:t xml:space="preserve"> ،</w:t>
      </w:r>
      <w:r w:rsidRPr="00315653">
        <w:rPr>
          <w:rFonts w:hint="cs"/>
          <w:color w:val="000000"/>
          <w:rtl/>
          <w:lang w:bidi="ar-EG"/>
        </w:rPr>
        <w:t xml:space="preserve"> فلا ينقسم الدين عليهم</w:t>
      </w:r>
      <w:r>
        <w:rPr>
          <w:rFonts w:hint="cs"/>
          <w:color w:val="000000"/>
          <w:rtl/>
          <w:lang w:bidi="ar-EG"/>
        </w:rPr>
        <w:t xml:space="preserve"> .</w:t>
      </w:r>
      <w:r w:rsidRPr="00315653">
        <w:rPr>
          <w:rFonts w:hint="cs"/>
          <w:color w:val="000000"/>
          <w:rtl/>
          <w:lang w:bidi="ar-EG"/>
        </w:rPr>
        <w:t xml:space="preserve"> فإذا كان هناك كفيلان يكفلان ديناً واحداً ومديناً وحاداً في عقد واحد</w:t>
      </w:r>
      <w:r>
        <w:rPr>
          <w:rFonts w:hint="cs"/>
          <w:color w:val="000000"/>
          <w:rtl/>
          <w:lang w:bidi="ar-EG"/>
        </w:rPr>
        <w:t xml:space="preserve"> ،</w:t>
      </w:r>
      <w:r w:rsidRPr="00315653">
        <w:rPr>
          <w:rFonts w:hint="cs"/>
          <w:color w:val="000000"/>
          <w:rtl/>
          <w:lang w:bidi="ar-EG"/>
        </w:rPr>
        <w:t xml:space="preserve"> وكان هذان الكفيلان متضامنين</w:t>
      </w:r>
      <w:r>
        <w:rPr>
          <w:rFonts w:hint="cs"/>
          <w:color w:val="000000"/>
          <w:rtl/>
          <w:lang w:bidi="ar-EG"/>
        </w:rPr>
        <w:t xml:space="preserve"> ،</w:t>
      </w:r>
      <w:r w:rsidRPr="00315653">
        <w:rPr>
          <w:rFonts w:hint="cs"/>
          <w:color w:val="000000"/>
          <w:rtl/>
          <w:lang w:bidi="ar-EG"/>
        </w:rPr>
        <w:t xml:space="preserve"> كان كل منهما مسئولا عن كل الدين</w:t>
      </w:r>
      <w:r>
        <w:rPr>
          <w:rFonts w:hint="cs"/>
          <w:color w:val="000000"/>
          <w:rtl/>
          <w:lang w:bidi="ar-EG"/>
        </w:rPr>
        <w:t xml:space="preserve"> .</w:t>
      </w:r>
      <w:r w:rsidRPr="00315653">
        <w:rPr>
          <w:rFonts w:hint="cs"/>
          <w:color w:val="000000"/>
          <w:rtl/>
          <w:lang w:bidi="ar-EG"/>
        </w:rPr>
        <w:t xml:space="preserve"> أما إذا كان الكفيلان غير متضامنين</w:t>
      </w:r>
      <w:r>
        <w:rPr>
          <w:rFonts w:hint="cs"/>
          <w:color w:val="000000"/>
          <w:rtl/>
          <w:lang w:bidi="ar-EG"/>
        </w:rPr>
        <w:t xml:space="preserve"> ،</w:t>
      </w:r>
      <w:r w:rsidRPr="00315653">
        <w:rPr>
          <w:rFonts w:hint="cs"/>
          <w:color w:val="000000"/>
          <w:rtl/>
          <w:lang w:bidi="ar-EG"/>
        </w:rPr>
        <w:t xml:space="preserve"> انقسم الدين عليهما</w:t>
      </w:r>
      <w:r>
        <w:rPr>
          <w:rFonts w:hint="cs"/>
          <w:color w:val="000000"/>
          <w:rtl/>
          <w:lang w:bidi="ar-EG"/>
        </w:rPr>
        <w:t xml:space="preserve"> ،</w:t>
      </w:r>
      <w:r w:rsidRPr="00315653">
        <w:rPr>
          <w:rFonts w:hint="cs"/>
          <w:color w:val="000000"/>
          <w:rtl/>
          <w:lang w:bidi="ar-EG"/>
        </w:rPr>
        <w:t xml:space="preserve"> وصار كل منهما مسئولا عن نصف الدين إذا لم يكن هناك اتفاق على نسبة أخرى</w:t>
      </w:r>
      <w:r>
        <w:rPr>
          <w:rFonts w:hint="cs"/>
          <w:color w:val="000000"/>
          <w:vertAlign w:val="superscript"/>
          <w:rtl/>
          <w:lang w:bidi="ar-EG"/>
        </w:rPr>
        <w:t xml:space="preserve">( </w:t>
      </w:r>
      <w:r w:rsidRPr="00315653">
        <w:rPr>
          <w:rStyle w:val="ab"/>
          <w:color w:val="000000"/>
          <w:rtl/>
          <w:lang w:bidi="ar-EG"/>
        </w:rPr>
        <w:footnoteReference w:id="23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أحد الكفيلين متضامناً مع المدين</w:t>
      </w:r>
      <w:r>
        <w:rPr>
          <w:rFonts w:hint="cs"/>
          <w:color w:val="000000"/>
          <w:rtl/>
          <w:lang w:bidi="ar-EG"/>
        </w:rPr>
        <w:t xml:space="preserve"> ،</w:t>
      </w:r>
      <w:r w:rsidRPr="00315653">
        <w:rPr>
          <w:rFonts w:hint="cs"/>
          <w:color w:val="000000"/>
          <w:rtl/>
          <w:lang w:bidi="ar-EG"/>
        </w:rPr>
        <w:t xml:space="preserve"> ولكنه غير متضامن مع المدين الآخر</w:t>
      </w:r>
      <w:r>
        <w:rPr>
          <w:rFonts w:hint="cs"/>
          <w:color w:val="000000"/>
          <w:rtl/>
          <w:lang w:bidi="ar-EG"/>
        </w:rPr>
        <w:t xml:space="preserve"> ،</w:t>
      </w:r>
      <w:r w:rsidRPr="00315653">
        <w:rPr>
          <w:rFonts w:hint="cs"/>
          <w:color w:val="000000"/>
          <w:rtl/>
          <w:lang w:bidi="ar-EG"/>
        </w:rPr>
        <w:t xml:space="preserve"> لم يكن الكفيلان متضامنين فيما بينهما</w:t>
      </w:r>
      <w:r>
        <w:rPr>
          <w:rFonts w:hint="cs"/>
          <w:color w:val="000000"/>
          <w:rtl/>
          <w:lang w:bidi="ar-EG"/>
        </w:rPr>
        <w:t xml:space="preserve"> .</w:t>
      </w:r>
      <w:r w:rsidRPr="00315653">
        <w:rPr>
          <w:rFonts w:hint="cs"/>
          <w:color w:val="000000"/>
          <w:rtl/>
          <w:lang w:bidi="ar-EG"/>
        </w:rPr>
        <w:t xml:space="preserve"> ولكن الكفيل المتضامن مع المدين يكون مسئولا عن الدين كله كالمدين الأصلي الذي تضامن معه</w:t>
      </w:r>
      <w:r>
        <w:rPr>
          <w:rFonts w:hint="cs"/>
          <w:color w:val="000000"/>
          <w:rtl/>
          <w:lang w:bidi="ar-EG"/>
        </w:rPr>
        <w:t xml:space="preserve"> ،</w:t>
      </w:r>
      <w:r w:rsidRPr="00315653">
        <w:rPr>
          <w:rFonts w:hint="cs"/>
          <w:color w:val="000000"/>
          <w:rtl/>
          <w:lang w:bidi="ar-EG"/>
        </w:rPr>
        <w:t xml:space="preserve"> فلا يكون له حق التقسيم</w:t>
      </w:r>
      <w:r>
        <w:rPr>
          <w:rFonts w:hint="cs"/>
          <w:color w:val="000000"/>
          <w:vertAlign w:val="superscript"/>
          <w:rtl/>
          <w:lang w:bidi="ar-EG"/>
        </w:rPr>
        <w:t xml:space="preserve">( </w:t>
      </w:r>
      <w:r w:rsidRPr="00315653">
        <w:rPr>
          <w:rStyle w:val="ab"/>
          <w:color w:val="000000"/>
          <w:rtl/>
          <w:lang w:bidi="ar-EG"/>
        </w:rPr>
        <w:lastRenderedPageBreak/>
        <w:footnoteReference w:id="23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وكذلك لا يكون له حق التجريد</w:t>
      </w:r>
      <w:r>
        <w:rPr>
          <w:rFonts w:hint="cs"/>
          <w:color w:val="000000"/>
          <w:rtl/>
          <w:lang w:bidi="ar-EG"/>
        </w:rPr>
        <w:t xml:space="preserve"> ،</w:t>
      </w:r>
      <w:r w:rsidRPr="00315653">
        <w:rPr>
          <w:rFonts w:hint="cs"/>
          <w:color w:val="000000"/>
          <w:rtl/>
          <w:lang w:bidi="ar-EG"/>
        </w:rPr>
        <w:t xml:space="preserve"> وإنما يثبت حق التقسيم وحق التجريد للكفيل الآخر الذي لم يتضامن مع المدين</w:t>
      </w:r>
      <w:r>
        <w:rPr>
          <w:rFonts w:hint="cs"/>
          <w:color w:val="000000"/>
          <w:vertAlign w:val="superscript"/>
          <w:rtl/>
          <w:lang w:bidi="ar-EG"/>
        </w:rPr>
        <w:t xml:space="preserve">( </w:t>
      </w:r>
      <w:r w:rsidRPr="00315653">
        <w:rPr>
          <w:rStyle w:val="ab"/>
          <w:color w:val="000000"/>
          <w:rtl/>
          <w:lang w:bidi="ar-EG"/>
        </w:rPr>
        <w:footnoteReference w:id="23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$96 </w:t>
      </w:r>
      <w:r w:rsidRPr="00315653">
        <w:rPr>
          <w:rFonts w:hint="cs"/>
          <w:b/>
          <w:bCs/>
          <w:color w:val="000000"/>
          <w:rtl/>
          <w:lang w:bidi="ar-EG"/>
        </w:rPr>
        <w:t>92- تعدد الكفلاء بعقود متوالية</w:t>
      </w:r>
      <w:r>
        <w:rPr>
          <w:rFonts w:hint="cs"/>
          <w:color w:val="000000"/>
          <w:rtl/>
          <w:lang w:bidi="ar-EG"/>
        </w:rPr>
        <w:t xml:space="preserve"> :</w:t>
      </w:r>
      <w:r w:rsidRPr="00315653">
        <w:rPr>
          <w:rFonts w:hint="cs"/>
          <w:color w:val="000000"/>
          <w:rtl/>
          <w:lang w:bidi="ar-EG"/>
        </w:rPr>
        <w:t xml:space="preserve"> وإذا تعدد الكفلاء</w:t>
      </w:r>
      <w:r>
        <w:rPr>
          <w:rFonts w:hint="cs"/>
          <w:color w:val="000000"/>
          <w:rtl/>
          <w:lang w:bidi="ar-EG"/>
        </w:rPr>
        <w:t xml:space="preserve"> ،</w:t>
      </w:r>
      <w:r w:rsidRPr="00315653">
        <w:rPr>
          <w:rFonts w:hint="cs"/>
          <w:color w:val="000000"/>
          <w:rtl/>
          <w:lang w:bidi="ar-EG"/>
        </w:rPr>
        <w:t xml:space="preserve"> ولكن بعقود متوالية لا بعقد واحد</w:t>
      </w:r>
      <w:r>
        <w:rPr>
          <w:rFonts w:hint="cs"/>
          <w:color w:val="000000"/>
          <w:rtl/>
          <w:lang w:bidi="ar-EG"/>
        </w:rPr>
        <w:t xml:space="preserve"> ،</w:t>
      </w:r>
      <w:r w:rsidRPr="00315653">
        <w:rPr>
          <w:rFonts w:hint="cs"/>
          <w:color w:val="000000"/>
          <w:rtl/>
          <w:lang w:bidi="ar-EG"/>
        </w:rPr>
        <w:t xml:space="preserve"> ولو كانوا جميعاً يكفلان ديناً واحداً ومديناً واحداً</w:t>
      </w:r>
      <w:r>
        <w:rPr>
          <w:rFonts w:hint="cs"/>
          <w:color w:val="000000"/>
          <w:rtl/>
          <w:lang w:bidi="ar-EG"/>
        </w:rPr>
        <w:t xml:space="preserve"> ،</w:t>
      </w:r>
      <w:r w:rsidRPr="00315653">
        <w:rPr>
          <w:rFonts w:hint="cs"/>
          <w:color w:val="000000"/>
          <w:rtl/>
          <w:lang w:bidi="ar-EG"/>
        </w:rPr>
        <w:t xml:space="preserve"> فالمفروض أن تعدد العقود التي كفلوا الدين بموجبها لا يجعلهم يعتمدون بعضهم على بعض</w:t>
      </w:r>
      <w:r>
        <w:rPr>
          <w:rFonts w:hint="cs"/>
          <w:color w:val="000000"/>
          <w:rtl/>
          <w:lang w:bidi="ar-EG"/>
        </w:rPr>
        <w:t xml:space="preserve"> .</w:t>
      </w:r>
      <w:r w:rsidRPr="00315653">
        <w:rPr>
          <w:rFonts w:hint="cs"/>
          <w:color w:val="000000"/>
          <w:rtl/>
          <w:lang w:bidi="ar-EG"/>
        </w:rPr>
        <w:t xml:space="preserve"> ولما كان كل منهم قد كفل كل الدين بعقد على حدة</w:t>
      </w:r>
      <w:r>
        <w:rPr>
          <w:rFonts w:hint="cs"/>
          <w:color w:val="000000"/>
          <w:rtl/>
          <w:lang w:bidi="ar-EG"/>
        </w:rPr>
        <w:t xml:space="preserve"> ،</w:t>
      </w:r>
      <w:r w:rsidRPr="00315653">
        <w:rPr>
          <w:rFonts w:hint="cs"/>
          <w:color w:val="000000"/>
          <w:rtl/>
          <w:lang w:bidi="ar-EG"/>
        </w:rPr>
        <w:t xml:space="preserve"> فقد أصبح كل منهم مسئولا عن كل الدين</w:t>
      </w:r>
      <w:r>
        <w:rPr>
          <w:rFonts w:hint="cs"/>
          <w:color w:val="000000"/>
          <w:rtl/>
          <w:lang w:bidi="ar-EG"/>
        </w:rPr>
        <w:t xml:space="preserve"> ،</w:t>
      </w:r>
      <w:r w:rsidRPr="00315653">
        <w:rPr>
          <w:rFonts w:hint="cs"/>
          <w:color w:val="000000"/>
          <w:rtl/>
          <w:lang w:bidi="ar-EG"/>
        </w:rPr>
        <w:t xml:space="preserve"> ولكنهم لا يكونون مسئولين بالتضامن بل بالتضامم </w:t>
      </w:r>
      <w:r>
        <w:rPr>
          <w:color w:val="000000"/>
          <w:rtl/>
          <w:lang w:bidi="ar-EG"/>
        </w:rPr>
        <w:t xml:space="preserve">( </w:t>
      </w:r>
      <w:r w:rsidRPr="00315653">
        <w:rPr>
          <w:color w:val="000000"/>
          <w:lang w:bidi="ar-EG"/>
        </w:rPr>
        <w:t>in solidum</w:t>
      </w:r>
      <w:r>
        <w:rPr>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3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وعلى ذلك إذا طالب الدائن أحد هؤلاء الكفلاء</w:t>
      </w:r>
      <w:r>
        <w:rPr>
          <w:rFonts w:hint="cs"/>
          <w:color w:val="000000"/>
          <w:rtl/>
        </w:rPr>
        <w:t xml:space="preserve"> ،</w:t>
      </w:r>
      <w:r w:rsidRPr="00315653">
        <w:rPr>
          <w:rFonts w:hint="cs"/>
          <w:color w:val="000000"/>
          <w:rtl/>
        </w:rPr>
        <w:t xml:space="preserve"> فإنه يطالبه بالدين كله</w:t>
      </w:r>
      <w:r>
        <w:rPr>
          <w:rFonts w:hint="cs"/>
          <w:color w:val="000000"/>
          <w:rtl/>
        </w:rPr>
        <w:t xml:space="preserve"> ،</w:t>
      </w:r>
      <w:r w:rsidRPr="00315653">
        <w:rPr>
          <w:rFonts w:hint="cs"/>
          <w:color w:val="000000"/>
          <w:rtl/>
        </w:rPr>
        <w:t xml:space="preserve"> لا بجزء منه كما كان يفعل في الفرض السابق إذا تعدد الكفلاء بعقد واحد فانقسم الدين عليهم</w:t>
      </w:r>
      <w:r>
        <w:rPr>
          <w:rFonts w:hint="cs"/>
          <w:color w:val="000000"/>
          <w:rtl/>
        </w:rPr>
        <w:t xml:space="preserve"> .</w:t>
      </w:r>
      <w:r w:rsidRPr="00315653">
        <w:rPr>
          <w:rFonts w:hint="cs"/>
          <w:color w:val="000000"/>
          <w:rtl/>
        </w:rPr>
        <w:t xml:space="preserve"> فإذا استوفي الدائن الدين كله من احد الكفلاء</w:t>
      </w:r>
      <w:r>
        <w:rPr>
          <w:rFonts w:hint="cs"/>
          <w:color w:val="000000"/>
          <w:rtl/>
        </w:rPr>
        <w:t xml:space="preserve"> .</w:t>
      </w:r>
      <w:r w:rsidRPr="00315653">
        <w:rPr>
          <w:rFonts w:hint="cs"/>
          <w:color w:val="000000"/>
          <w:rtl/>
        </w:rPr>
        <w:t xml:space="preserve"> برئت ذمة الكفلاء الباقين نحوه</w:t>
      </w:r>
      <w:r>
        <w:rPr>
          <w:rFonts w:hint="cs"/>
          <w:color w:val="000000"/>
          <w:rtl/>
        </w:rPr>
        <w:t xml:space="preserve"> ،</w:t>
      </w:r>
      <w:r w:rsidRPr="00315653">
        <w:rPr>
          <w:rFonts w:hint="cs"/>
          <w:color w:val="000000"/>
          <w:rtl/>
        </w:rPr>
        <w:t xml:space="preserve"> ولكن الكفيل الذي دفع كل الدين يرجع بدعوى الحلول على سائر الكفلاء كل بقدر نصيبه في الدين كما سنرى</w:t>
      </w:r>
      <w:r>
        <w:rPr>
          <w:rFonts w:hint="cs"/>
          <w:color w:val="000000"/>
          <w:rtl/>
        </w:rPr>
        <w:t xml:space="preserve"> .</w:t>
      </w:r>
      <w:r w:rsidRPr="00315653">
        <w:rPr>
          <w:rFonts w:hint="cs"/>
          <w:color w:val="000000"/>
          <w:rtl/>
        </w:rPr>
        <w:t xml:space="preserve"> أما إذا لم يستوف الدائن إلا جزءاً من الدين</w:t>
      </w:r>
      <w:r>
        <w:rPr>
          <w:rFonts w:hint="cs"/>
          <w:color w:val="000000"/>
          <w:rtl/>
        </w:rPr>
        <w:t xml:space="preserve"> ،</w:t>
      </w:r>
      <w:r w:rsidRPr="00315653">
        <w:rPr>
          <w:rFonts w:hint="cs"/>
          <w:color w:val="000000"/>
          <w:rtl/>
        </w:rPr>
        <w:t xml:space="preserve"> فإنه يستطيع أن يستوفي بقية الدين من أي كفيل آخر لأن هذا الكفيل مسئول عن كل الدين كما قدمنا</w:t>
      </w:r>
      <w:r>
        <w:rPr>
          <w:rFonts w:hint="cs"/>
          <w:color w:val="000000"/>
          <w:rtl/>
        </w:rPr>
        <w:t xml:space="preserve"> ،</w:t>
      </w:r>
      <w:r w:rsidRPr="00315653">
        <w:rPr>
          <w:rFonts w:hint="cs"/>
          <w:color w:val="000000"/>
          <w:rtl/>
        </w:rPr>
        <w:t xml:space="preserve"> فيكون بالبداهة مسئولا عن بقيته إذا كان الدائن قد استوفى جزءاً منه</w:t>
      </w:r>
      <w:r>
        <w:rPr>
          <w:rFonts w:hint="cs"/>
          <w:color w:val="000000"/>
          <w:rtl/>
        </w:rPr>
        <w:t xml:space="preserve"> .</w:t>
      </w:r>
      <w:r w:rsidRPr="00315653">
        <w:rPr>
          <w:rFonts w:hint="cs"/>
          <w:color w:val="000000"/>
          <w:rtl/>
        </w:rPr>
        <w:t xml:space="preserve"> ثم يرجع الكفيلان اللذان دفعا كل الدين بدعوى الحلول على سائر الكفلاء</w:t>
      </w:r>
      <w:r>
        <w:rPr>
          <w:rFonts w:hint="cs"/>
          <w:color w:val="000000"/>
          <w:rtl/>
        </w:rPr>
        <w:t xml:space="preserve"> ،</w:t>
      </w:r>
      <w:r w:rsidRPr="00315653">
        <w:rPr>
          <w:rFonts w:hint="cs"/>
          <w:color w:val="000000"/>
          <w:rtl/>
        </w:rPr>
        <w:t xml:space="preserve"> فينقسم الدين عليهم في النهاية وذلك في العلاقة فيما بينهم لا في علاقتهم مع الدائن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على أنه يجوز أن ينقسم الدين حتى في علاقة الكفيل بالدائن</w:t>
      </w:r>
      <w:r>
        <w:rPr>
          <w:rFonts w:hint="cs"/>
          <w:color w:val="000000"/>
          <w:rtl/>
        </w:rPr>
        <w:t xml:space="preserve"> ،</w:t>
      </w:r>
      <w:r w:rsidRPr="00315653">
        <w:rPr>
          <w:rFonts w:hint="cs"/>
          <w:color w:val="000000"/>
          <w:rtl/>
        </w:rPr>
        <w:t xml:space="preserve"> إذا كان هذا الكفيل</w:t>
      </w:r>
      <w:r>
        <w:rPr>
          <w:rFonts w:hint="cs"/>
          <w:color w:val="000000"/>
          <w:rtl/>
        </w:rPr>
        <w:t xml:space="preserve"> ،</w:t>
      </w:r>
      <w:r w:rsidRPr="00315653">
        <w:rPr>
          <w:rFonts w:hint="cs"/>
          <w:color w:val="000000"/>
          <w:rtl/>
        </w:rPr>
        <w:t xml:space="preserve"> وقت أن كفل الدين بعقد على حدة احتفظ لنفسه بحق التقسيم</w:t>
      </w:r>
      <w:r>
        <w:rPr>
          <w:rFonts w:hint="cs"/>
          <w:color w:val="000000"/>
          <w:rtl/>
        </w:rPr>
        <w:t xml:space="preserve"> .</w:t>
      </w:r>
      <w:r w:rsidRPr="00315653">
        <w:rPr>
          <w:rFonts w:hint="cs"/>
          <w:color w:val="000000"/>
          <w:rtl/>
        </w:rPr>
        <w:t xml:space="preserve"> فمسئولية الكفيل بعقد على حدة عن كل الدين إنما يقوم على قرينة قانونية قابلة لإثبات العكس</w:t>
      </w:r>
      <w:r>
        <w:rPr>
          <w:rFonts w:hint="cs"/>
          <w:color w:val="000000"/>
          <w:vertAlign w:val="superscript"/>
          <w:rtl/>
          <w:lang w:bidi="ar-EG"/>
        </w:rPr>
        <w:t xml:space="preserve">( </w:t>
      </w:r>
      <w:r w:rsidRPr="00315653">
        <w:rPr>
          <w:rStyle w:val="ab"/>
          <w:color w:val="000000"/>
          <w:rtl/>
          <w:lang w:bidi="ar-EG"/>
        </w:rPr>
        <w:footnoteReference w:id="23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واحتفاظ الدائن بحق التقسيم هو الدليل العكسي المطلوب</w:t>
      </w:r>
      <w:r>
        <w:rPr>
          <w:rFonts w:hint="cs"/>
          <w:color w:val="000000"/>
          <w:rtl/>
          <w:lang w:bidi="ar-EG"/>
        </w:rPr>
        <w:t xml:space="preserve"> .</w:t>
      </w:r>
      <w:r w:rsidRPr="00315653">
        <w:rPr>
          <w:rFonts w:hint="cs"/>
          <w:color w:val="000000"/>
          <w:rtl/>
          <w:lang w:bidi="ar-EG"/>
        </w:rPr>
        <w:t xml:space="preserve"> وفي هذه الحالة لا يجوز للدائن</w:t>
      </w:r>
      <w:r>
        <w:rPr>
          <w:rFonts w:hint="cs"/>
          <w:color w:val="000000"/>
          <w:rtl/>
          <w:lang w:bidi="ar-EG"/>
        </w:rPr>
        <w:t xml:space="preserve"> ،</w:t>
      </w:r>
      <w:r w:rsidRPr="00315653">
        <w:rPr>
          <w:rFonts w:hint="cs"/>
          <w:color w:val="000000"/>
          <w:rtl/>
          <w:lang w:bidi="ar-EG"/>
        </w:rPr>
        <w:t xml:space="preserve"> عند مطالبته هذا الكفيل</w:t>
      </w:r>
      <w:r>
        <w:rPr>
          <w:rFonts w:hint="cs"/>
          <w:color w:val="000000"/>
          <w:rtl/>
          <w:lang w:bidi="ar-EG"/>
        </w:rPr>
        <w:t xml:space="preserve"> ،</w:t>
      </w:r>
      <w:r w:rsidRPr="00315653">
        <w:rPr>
          <w:rFonts w:hint="cs"/>
          <w:color w:val="000000"/>
          <w:rtl/>
          <w:lang w:bidi="ar-EG"/>
        </w:rPr>
        <w:t xml:space="preserve"> إلا أن يطالبه بجزء من الدين طبقاً لما احتفظ به في عقد الكفالة</w:t>
      </w:r>
      <w:r>
        <w:rPr>
          <w:rFonts w:hint="cs"/>
          <w:color w:val="000000"/>
          <w:rtl/>
          <w:lang w:bidi="ar-EG"/>
        </w:rPr>
        <w:t xml:space="preserve"> .</w:t>
      </w:r>
      <w:r w:rsidRPr="00315653">
        <w:rPr>
          <w:rFonts w:hint="cs"/>
          <w:color w:val="000000"/>
          <w:rtl/>
          <w:lang w:bidi="ar-EG"/>
        </w:rPr>
        <w:t xml:space="preserve"> أما سائر الكفلاء $97 الذين</w:t>
      </w:r>
      <w:r w:rsidRPr="00315653">
        <w:rPr>
          <w:rFonts w:hint="cs"/>
          <w:color w:val="000000"/>
          <w:rtl/>
        </w:rPr>
        <w:t xml:space="preserve"> لم يحتفظوا بحق التقسيم</w:t>
      </w:r>
      <w:r>
        <w:rPr>
          <w:rFonts w:hint="cs"/>
          <w:color w:val="000000"/>
          <w:rtl/>
        </w:rPr>
        <w:t xml:space="preserve"> ،</w:t>
      </w:r>
      <w:r w:rsidRPr="00315653">
        <w:rPr>
          <w:rFonts w:hint="cs"/>
          <w:color w:val="000000"/>
          <w:rtl/>
        </w:rPr>
        <w:t xml:space="preserve"> فتبقى قرينة مسئوليتهم عن كل الدين قائمة بالنسبة إليهم</w:t>
      </w:r>
      <w:r>
        <w:rPr>
          <w:rFonts w:hint="cs"/>
          <w:color w:val="000000"/>
          <w:rtl/>
        </w:rPr>
        <w:t xml:space="preserve"> ،</w:t>
      </w:r>
      <w:r w:rsidRPr="00315653">
        <w:rPr>
          <w:rFonts w:hint="cs"/>
          <w:color w:val="000000"/>
          <w:rtl/>
        </w:rPr>
        <w:t xml:space="preserve"> وإذا طالب الدائن أحدهم جاز له أن يطالبه بكل الدين</w:t>
      </w:r>
      <w:r>
        <w:rPr>
          <w:rFonts w:hint="cs"/>
          <w:color w:val="000000"/>
          <w:rtl/>
        </w:rPr>
        <w:t xml:space="preserve"> ،</w:t>
      </w:r>
      <w:r w:rsidRPr="00315653">
        <w:rPr>
          <w:rFonts w:hint="cs"/>
          <w:color w:val="000000"/>
          <w:rtl/>
        </w:rPr>
        <w:t xml:space="preserve"> فإذا دفع الكفيل كل الدين للدائن</w:t>
      </w:r>
      <w:r>
        <w:rPr>
          <w:rFonts w:hint="cs"/>
          <w:color w:val="000000"/>
          <w:rtl/>
        </w:rPr>
        <w:t xml:space="preserve"> ،</w:t>
      </w:r>
      <w:r w:rsidRPr="00315653">
        <w:rPr>
          <w:rFonts w:hint="cs"/>
          <w:color w:val="000000"/>
          <w:rtl/>
        </w:rPr>
        <w:t xml:space="preserve"> جاز له الرجوع على سائر الكفلاء</w:t>
      </w:r>
      <w:r>
        <w:rPr>
          <w:rFonts w:hint="cs"/>
          <w:color w:val="000000"/>
          <w:rtl/>
        </w:rPr>
        <w:t xml:space="preserve"> ،</w:t>
      </w:r>
      <w:r w:rsidRPr="00315653">
        <w:rPr>
          <w:rFonts w:hint="cs"/>
          <w:color w:val="000000"/>
          <w:rtl/>
        </w:rPr>
        <w:t xml:space="preserve"> ويدخل فيهم الكفيل الذي احتفظ لنفسه بحق التقسيم</w:t>
      </w:r>
      <w:r>
        <w:rPr>
          <w:rFonts w:hint="cs"/>
          <w:color w:val="000000"/>
          <w:rtl/>
        </w:rPr>
        <w:t xml:space="preserve"> ،</w:t>
      </w:r>
      <w:r w:rsidRPr="00315653">
        <w:rPr>
          <w:rFonts w:hint="cs"/>
          <w:color w:val="000000"/>
          <w:rtl/>
        </w:rPr>
        <w:t xml:space="preserve"> كل بقدر حصته في الدين</w:t>
      </w:r>
      <w:r>
        <w:rPr>
          <w:rFonts w:hint="cs"/>
          <w:color w:val="000000"/>
          <w:rtl/>
        </w:rPr>
        <w:t xml:space="preserve"> ،</w:t>
      </w:r>
      <w:r w:rsidRPr="00315653">
        <w:rPr>
          <w:rFonts w:hint="cs"/>
          <w:color w:val="000000"/>
          <w:rtl/>
        </w:rPr>
        <w:t xml:space="preserve"> وذلك بدعوى الحلول</w:t>
      </w:r>
      <w:r>
        <w:rPr>
          <w:rFonts w:hint="cs"/>
          <w:color w:val="000000"/>
          <w:rtl/>
        </w:rPr>
        <w:t xml:space="preserve"> .</w:t>
      </w:r>
      <w:r w:rsidRPr="00315653">
        <w:rPr>
          <w:rFonts w:hint="cs"/>
          <w:color w:val="000000"/>
          <w:rtl/>
        </w:rPr>
        <w:t xml:space="preserve"> ويجوز أن يحتفظ كل كفيل كفل الدين بعقد على حدة لنفسه بحق التقسيم</w:t>
      </w:r>
      <w:r>
        <w:rPr>
          <w:rFonts w:hint="cs"/>
          <w:color w:val="000000"/>
          <w:rtl/>
        </w:rPr>
        <w:t xml:space="preserve"> ،</w:t>
      </w:r>
      <w:r w:rsidRPr="00315653">
        <w:rPr>
          <w:rFonts w:hint="cs"/>
          <w:color w:val="000000"/>
          <w:rtl/>
        </w:rPr>
        <w:t xml:space="preserve"> وعند ذلك ينقسم الدين على جميع الكفلاء كما في الفرض السابق</w:t>
      </w:r>
      <w:r>
        <w:rPr>
          <w:rFonts w:hint="cs"/>
          <w:color w:val="000000"/>
          <w:rtl/>
        </w:rPr>
        <w:t xml:space="preserve"> ،</w:t>
      </w:r>
      <w:r w:rsidRPr="00315653">
        <w:rPr>
          <w:rFonts w:hint="cs"/>
          <w:color w:val="000000"/>
          <w:rtl/>
        </w:rPr>
        <w:t xml:space="preserve"> ويحل احتفاظ كل منهم بحق التقسيم محل كفالتهم للدين بعقد واحد</w:t>
      </w:r>
      <w:r>
        <w:rPr>
          <w:rFonts w:hint="cs"/>
          <w:color w:val="000000"/>
          <w:rtl/>
        </w:rPr>
        <w:t xml:space="preserve"> .</w:t>
      </w:r>
      <w:r w:rsidRPr="00315653">
        <w:rPr>
          <w:rFonts w:hint="cs"/>
          <w:color w:val="000000"/>
          <w:rtl/>
        </w:rPr>
        <w:t xml:space="preserve"> وفي هذه الحالة لا يستطيع الدائن أن يطالب أي كفيل إلا بجزء من الدين</w:t>
      </w:r>
      <w:r>
        <w:rPr>
          <w:rFonts w:hint="cs"/>
          <w:color w:val="000000"/>
          <w:rtl/>
        </w:rPr>
        <w:t xml:space="preserve"> ،</w:t>
      </w:r>
      <w:r w:rsidRPr="00315653">
        <w:rPr>
          <w:rFonts w:hint="cs"/>
          <w:color w:val="000000"/>
          <w:rtl/>
        </w:rPr>
        <w:t xml:space="preserve"> طبقاً لما احتفظ به الكفيل من حق التقسيم لنفسه</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rPr>
        <w:t>43- الدفوع التي يدفع بها الكفيل رجوع الدائن عليه</w:t>
      </w:r>
      <w:r>
        <w:rPr>
          <w:rFonts w:hint="cs"/>
          <w:color w:val="000000"/>
          <w:rtl/>
        </w:rPr>
        <w:t xml:space="preserve"> :</w:t>
      </w:r>
      <w:r w:rsidRPr="00315653">
        <w:rPr>
          <w:rFonts w:hint="cs"/>
          <w:color w:val="000000"/>
          <w:rtl/>
        </w:rPr>
        <w:t xml:space="preserve"> وعندما يحل الدين ويردي الدائن الرجوع على الكفيل بما </w:t>
      </w:r>
      <w:r w:rsidRPr="00315653">
        <w:rPr>
          <w:rFonts w:hint="cs"/>
          <w:color w:val="000000"/>
          <w:rtl/>
        </w:rPr>
        <w:lastRenderedPageBreak/>
        <w:t>يجوز له الرجوع به عليه</w:t>
      </w:r>
      <w:r>
        <w:rPr>
          <w:rFonts w:hint="cs"/>
          <w:color w:val="000000"/>
          <w:vertAlign w:val="superscript"/>
          <w:rtl/>
          <w:lang w:bidi="ar-EG"/>
        </w:rPr>
        <w:t xml:space="preserve">( </w:t>
      </w:r>
      <w:r w:rsidRPr="00315653">
        <w:rPr>
          <w:rStyle w:val="ab"/>
          <w:color w:val="000000"/>
          <w:rtl/>
          <w:lang w:bidi="ar-EG"/>
        </w:rPr>
        <w:footnoteReference w:id="23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يجوز للكفيل أن يدفع رجوع الدائن عيه بدفوع مختلفة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له أولا أن يدفع رجوع الدائن عليه بوجوب رجوع الدائن على المدين أولا </w:t>
      </w:r>
      <w:r>
        <w:rPr>
          <w:rFonts w:hint="cs"/>
          <w:color w:val="000000"/>
          <w:rtl/>
          <w:lang w:bidi="ar-EG"/>
        </w:rPr>
        <w:t xml:space="preserve">( </w:t>
      </w:r>
      <w:r w:rsidRPr="00315653">
        <w:rPr>
          <w:rFonts w:hint="cs"/>
          <w:color w:val="000000"/>
          <w:rtl/>
          <w:lang w:bidi="ar-EG"/>
        </w:rPr>
        <w:t>م 782 مدني</w:t>
      </w:r>
      <w:r>
        <w:rPr>
          <w:rFonts w:hint="cs"/>
          <w:color w:val="000000"/>
          <w:rtl/>
          <w:lang w:bidi="ar-EG"/>
        </w:rPr>
        <w:t xml:space="preserve"> )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وله ثانياً أن يتمسك بالدفوع التي يجوز للمدين أن يحتج بها</w:t>
      </w:r>
      <w:r>
        <w:rPr>
          <w:rFonts w:hint="cs"/>
          <w:color w:val="000000"/>
          <w:rtl/>
          <w:lang w:bidi="ar-EG"/>
        </w:rPr>
        <w:t xml:space="preserve"> ،</w:t>
      </w:r>
      <w:r w:rsidRPr="00315653">
        <w:rPr>
          <w:rFonts w:hint="cs"/>
          <w:color w:val="000000"/>
          <w:rtl/>
          <w:lang w:bidi="ar-EG"/>
        </w:rPr>
        <w:t xml:space="preserve"> لأن التزامه تابع لالتزام المدين </w:t>
      </w:r>
      <w:r>
        <w:rPr>
          <w:rFonts w:hint="cs"/>
          <w:color w:val="000000"/>
          <w:rtl/>
          <w:lang w:bidi="ar-EG"/>
        </w:rPr>
        <w:t xml:space="preserve">( </w:t>
      </w:r>
      <w:r w:rsidRPr="00315653">
        <w:rPr>
          <w:rFonts w:hint="cs"/>
          <w:color w:val="000000"/>
          <w:rtl/>
          <w:lang w:bidi="ar-EG"/>
        </w:rPr>
        <w:t>م 782 مدني</w:t>
      </w:r>
      <w:r>
        <w:rPr>
          <w:rFonts w:hint="cs"/>
          <w:color w:val="000000"/>
          <w:rtl/>
          <w:lang w:bidi="ar-EG"/>
        </w:rPr>
        <w:t xml:space="preserve"> )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وله ثالثاً أن يدفع بدفوع خاصة به</w:t>
      </w:r>
      <w:r>
        <w:rPr>
          <w:rFonts w:hint="cs"/>
          <w:color w:val="000000"/>
          <w:rtl/>
          <w:lang w:bidi="ar-EG"/>
        </w:rPr>
        <w:t xml:space="preserve"> ،</w:t>
      </w:r>
      <w:r w:rsidRPr="00315653">
        <w:rPr>
          <w:rFonts w:hint="cs"/>
          <w:color w:val="000000"/>
          <w:rtl/>
          <w:lang w:bidi="ar-EG"/>
        </w:rPr>
        <w:t xml:space="preserve"> وهي دفوع خاصة بالتزامه ككفيل ودفوع خاصة بالكفالة ذاتها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وله رابعاً وأخيراً</w:t>
      </w:r>
      <w:r>
        <w:rPr>
          <w:rFonts w:hint="cs"/>
          <w:color w:val="000000"/>
          <w:rtl/>
        </w:rPr>
        <w:t xml:space="preserve"> ،</w:t>
      </w:r>
      <w:r w:rsidRPr="00315653">
        <w:rPr>
          <w:rFonts w:hint="cs"/>
          <w:color w:val="000000"/>
          <w:rtl/>
        </w:rPr>
        <w:t xml:space="preserve"> إذا أراد الدائن التنفيذ على أمواله</w:t>
      </w:r>
      <w:r>
        <w:rPr>
          <w:rFonts w:hint="cs"/>
          <w:color w:val="000000"/>
          <w:rtl/>
        </w:rPr>
        <w:t xml:space="preserve"> ،</w:t>
      </w:r>
      <w:r w:rsidRPr="00315653">
        <w:rPr>
          <w:rFonts w:hint="cs"/>
          <w:color w:val="000000"/>
          <w:rtl/>
        </w:rPr>
        <w:t xml:space="preserve"> أن يدفع بالتجريد </w:t>
      </w:r>
      <w:r>
        <w:rPr>
          <w:rFonts w:hint="cs"/>
          <w:color w:val="000000"/>
          <w:rtl/>
        </w:rPr>
        <w:t xml:space="preserve">( </w:t>
      </w:r>
      <w:r w:rsidRPr="00315653">
        <w:rPr>
          <w:rFonts w:hint="cs"/>
          <w:color w:val="000000"/>
          <w:rtl/>
        </w:rPr>
        <w:t xml:space="preserve">م 788/2 </w:t>
      </w:r>
      <w:r w:rsidRPr="00315653">
        <w:rPr>
          <w:color w:val="000000"/>
          <w:rtl/>
        </w:rPr>
        <w:t>–</w:t>
      </w:r>
      <w:r w:rsidRPr="00315653">
        <w:rPr>
          <w:rFonts w:hint="cs"/>
          <w:color w:val="000000"/>
          <w:rtl/>
        </w:rPr>
        <w:t xml:space="preserve"> 791 مدني</w:t>
      </w:r>
      <w:r>
        <w:rPr>
          <w:rFonts w:hint="cs"/>
          <w:color w:val="000000"/>
          <w:rtl/>
        </w:rPr>
        <w:t xml:space="preserve"> )</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3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ونبحث فيما يلي كلا من هذه الدفوع</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44- الدفع بوجوب رجوع الدائن على المدين أولا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الفقرة الأولى من المادة 788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$98 "ولا يجوز للدائن أن يرجع على الكفيل وحده إلا بعد رجوعه على المدين"</w:t>
      </w:r>
      <w:r>
        <w:rPr>
          <w:rFonts w:hint="cs"/>
          <w:color w:val="000000"/>
          <w:vertAlign w:val="superscript"/>
          <w:rtl/>
          <w:lang w:bidi="ar-EG"/>
        </w:rPr>
        <w:t xml:space="preserve">( </w:t>
      </w:r>
      <w:r w:rsidRPr="00315653">
        <w:rPr>
          <w:rStyle w:val="ab"/>
          <w:color w:val="000000"/>
          <w:rtl/>
          <w:lang w:bidi="ar-EG"/>
        </w:rPr>
        <w:footnoteReference w:id="23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$99 ويخلص من هذا النص أنه إذا بدأ الدائن بالرجوع على الكفيل وحده</w:t>
      </w:r>
      <w:r>
        <w:rPr>
          <w:rFonts w:hint="cs"/>
          <w:color w:val="000000"/>
          <w:rtl/>
          <w:lang w:bidi="ar-EG"/>
        </w:rPr>
        <w:t xml:space="preserve"> ،</w:t>
      </w:r>
      <w:r w:rsidRPr="00315653">
        <w:rPr>
          <w:rFonts w:hint="cs"/>
          <w:color w:val="000000"/>
          <w:rtl/>
          <w:lang w:bidi="ar-EG"/>
        </w:rPr>
        <w:t xml:space="preserve"> فلكفيل أن يدفع رجوع الدائن عليه بوجوب رجوعه أولا على المدين</w:t>
      </w:r>
      <w:r>
        <w:rPr>
          <w:rFonts w:hint="cs"/>
          <w:color w:val="000000"/>
          <w:rtl/>
          <w:lang w:bidi="ar-EG"/>
        </w:rPr>
        <w:t xml:space="preserve"> .</w:t>
      </w:r>
      <w:r w:rsidRPr="00315653">
        <w:rPr>
          <w:rFonts w:hint="cs"/>
          <w:color w:val="000000"/>
          <w:rtl/>
          <w:lang w:bidi="ar-EG"/>
        </w:rPr>
        <w:t xml:space="preserve"> والذي يقع في العمل أن الدائن لا يبدأ بالرجوع على الكفيل وحده</w:t>
      </w:r>
      <w:r>
        <w:rPr>
          <w:rFonts w:hint="cs"/>
          <w:color w:val="000000"/>
          <w:rtl/>
          <w:lang w:bidi="ar-EG"/>
        </w:rPr>
        <w:t xml:space="preserve"> ،</w:t>
      </w:r>
      <w:r w:rsidRPr="00315653">
        <w:rPr>
          <w:rFonts w:hint="cs"/>
          <w:color w:val="000000"/>
          <w:rtl/>
          <w:lang w:bidi="ar-EG"/>
        </w:rPr>
        <w:t xml:space="preserve"> وكذلك لا يبدأ بالرجوع على المدين وحده</w:t>
      </w:r>
      <w:r>
        <w:rPr>
          <w:rFonts w:hint="cs"/>
          <w:color w:val="000000"/>
          <w:rtl/>
          <w:lang w:bidi="ar-EG"/>
        </w:rPr>
        <w:t xml:space="preserve"> .</w:t>
      </w:r>
      <w:r w:rsidRPr="00315653">
        <w:rPr>
          <w:rFonts w:hint="cs"/>
          <w:color w:val="000000"/>
          <w:rtl/>
          <w:lang w:bidi="ar-EG"/>
        </w:rPr>
        <w:t xml:space="preserve"> وإنما يرجع عليهما معاً في وقت واحد ويطالبهما بوفاء الدين</w:t>
      </w:r>
      <w:r>
        <w:rPr>
          <w:rFonts w:hint="cs"/>
          <w:color w:val="000000"/>
          <w:rtl/>
          <w:lang w:bidi="ar-EG"/>
        </w:rPr>
        <w:t xml:space="preserve"> ،</w:t>
      </w:r>
      <w:r w:rsidRPr="00315653">
        <w:rPr>
          <w:rFonts w:hint="cs"/>
          <w:color w:val="000000"/>
          <w:rtl/>
          <w:lang w:bidi="ar-EG"/>
        </w:rPr>
        <w:t xml:space="preserve"> المدين باعتباره مديناً أصلياً والكفيل باعتباره كفيلا</w:t>
      </w:r>
      <w:r>
        <w:rPr>
          <w:rFonts w:hint="cs"/>
          <w:color w:val="000000"/>
          <w:rtl/>
          <w:lang w:bidi="ar-EG"/>
        </w:rPr>
        <w:t xml:space="preserve"> .</w:t>
      </w:r>
      <w:r w:rsidRPr="00315653">
        <w:rPr>
          <w:rFonts w:hint="cs"/>
          <w:color w:val="000000"/>
          <w:rtl/>
          <w:lang w:bidi="ar-EG"/>
        </w:rPr>
        <w:t xml:space="preserve"> وفي هذه الحالة لا محل للدفع بوجوب الرجوع على المدين أولا</w:t>
      </w:r>
      <w:r>
        <w:rPr>
          <w:rFonts w:hint="cs"/>
          <w:color w:val="000000"/>
          <w:rtl/>
          <w:lang w:bidi="ar-EG"/>
        </w:rPr>
        <w:t xml:space="preserve"> ،</w:t>
      </w:r>
      <w:r w:rsidRPr="00315653">
        <w:rPr>
          <w:rFonts w:hint="cs"/>
          <w:color w:val="000000"/>
          <w:rtl/>
          <w:lang w:bidi="ar-EG"/>
        </w:rPr>
        <w:t xml:space="preserve"> فقد رجع الدائن على المدين والكفيل في وقت واحد</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قد يقع أن الدائن يتعجل</w:t>
      </w:r>
      <w:r>
        <w:rPr>
          <w:rFonts w:hint="cs"/>
          <w:color w:val="000000"/>
          <w:rtl/>
          <w:lang w:bidi="ar-EG"/>
        </w:rPr>
        <w:t xml:space="preserve"> ،</w:t>
      </w:r>
      <w:r w:rsidRPr="00315653">
        <w:rPr>
          <w:rFonts w:hint="cs"/>
          <w:color w:val="000000"/>
          <w:rtl/>
          <w:lang w:bidi="ar-EG"/>
        </w:rPr>
        <w:t xml:space="preserve"> وقبل أن يتثبت من جدوى الرجوع على المدين يتركه ويرجع على الكفيل وحده</w:t>
      </w:r>
      <w:r>
        <w:rPr>
          <w:rFonts w:hint="cs"/>
          <w:color w:val="000000"/>
          <w:rtl/>
          <w:lang w:bidi="ar-EG"/>
        </w:rPr>
        <w:t xml:space="preserve"> .</w:t>
      </w:r>
      <w:r w:rsidRPr="00315653">
        <w:rPr>
          <w:rFonts w:hint="cs"/>
          <w:color w:val="000000"/>
          <w:rtl/>
          <w:lang w:bidi="ar-EG"/>
        </w:rPr>
        <w:t xml:space="preserve"> ففي هذه الحالة يكون للكفيل الحق في دفع رجوع الدائن عليه بوجوب رجوعه أولا على المدين</w:t>
      </w:r>
      <w:r>
        <w:rPr>
          <w:rFonts w:hint="cs"/>
          <w:color w:val="000000"/>
          <w:rtl/>
          <w:lang w:bidi="ar-EG"/>
        </w:rPr>
        <w:t xml:space="preserve"> ،</w:t>
      </w:r>
      <w:r w:rsidRPr="00315653">
        <w:rPr>
          <w:rFonts w:hint="cs"/>
          <w:color w:val="000000"/>
          <w:rtl/>
          <w:lang w:bidi="ar-EG"/>
        </w:rPr>
        <w:t xml:space="preserve"> طبقاً لنص المادة 788/1 مدني سالفة الذكر</w:t>
      </w:r>
      <w:r>
        <w:rPr>
          <w:rFonts w:hint="cs"/>
          <w:color w:val="000000"/>
          <w:rtl/>
          <w:lang w:bidi="ar-EG"/>
        </w:rPr>
        <w:t xml:space="preserve"> .</w:t>
      </w:r>
      <w:r w:rsidRPr="00315653">
        <w:rPr>
          <w:rFonts w:hint="cs"/>
          <w:color w:val="000000"/>
          <w:rtl/>
          <w:lang w:bidi="ar-EG"/>
        </w:rPr>
        <w:t xml:space="preserve"> ولم يكن في التقنين المدني السابق نص يماثل هذا النص</w:t>
      </w:r>
      <w:r>
        <w:rPr>
          <w:rFonts w:hint="cs"/>
          <w:color w:val="000000"/>
          <w:rtl/>
          <w:lang w:bidi="ar-EG"/>
        </w:rPr>
        <w:t xml:space="preserve"> ،</w:t>
      </w:r>
      <w:r w:rsidRPr="00315653">
        <w:rPr>
          <w:rFonts w:hint="cs"/>
          <w:color w:val="000000"/>
          <w:rtl/>
          <w:lang w:bidi="ar-EG"/>
        </w:rPr>
        <w:t xml:space="preserve"> كما لا يوجد في التقنين المدني الفرنسي نص مثله</w:t>
      </w:r>
      <w:r>
        <w:rPr>
          <w:rFonts w:hint="cs"/>
          <w:color w:val="000000"/>
          <w:rtl/>
          <w:lang w:bidi="ar-EG"/>
        </w:rPr>
        <w:t xml:space="preserve"> .</w:t>
      </w:r>
      <w:r w:rsidRPr="00315653">
        <w:rPr>
          <w:rFonts w:hint="cs"/>
          <w:color w:val="000000"/>
          <w:rtl/>
          <w:lang w:bidi="ar-EG"/>
        </w:rPr>
        <w:t xml:space="preserve"> $100 </w:t>
      </w:r>
      <w:r w:rsidRPr="00315653">
        <w:rPr>
          <w:rFonts w:hint="cs"/>
          <w:color w:val="000000"/>
          <w:rtl/>
        </w:rPr>
        <w:t>ولذلك جرى العمل في ظل التقنين المدني السابق</w:t>
      </w:r>
      <w:r>
        <w:rPr>
          <w:rFonts w:hint="cs"/>
          <w:color w:val="000000"/>
          <w:rtl/>
        </w:rPr>
        <w:t xml:space="preserve"> ،</w:t>
      </w:r>
      <w:r w:rsidRPr="00315653">
        <w:rPr>
          <w:rFonts w:hint="cs"/>
          <w:color w:val="000000"/>
          <w:rtl/>
        </w:rPr>
        <w:t xml:space="preserve"> كما هو الأمر في التقنين المدني الفرنسي</w:t>
      </w:r>
      <w:r>
        <w:rPr>
          <w:rFonts w:hint="cs"/>
          <w:color w:val="000000"/>
          <w:rtl/>
        </w:rPr>
        <w:t xml:space="preserve"> ،</w:t>
      </w:r>
      <w:r w:rsidRPr="00315653">
        <w:rPr>
          <w:rFonts w:hint="cs"/>
          <w:color w:val="000000"/>
          <w:rtl/>
        </w:rPr>
        <w:t xml:space="preserve"> أن الدائن يطالب الكفيل أولا دون حاجة إلى مطالبة المدين الأصلي أو التنبيه عليه بالوفاء أو حتى إعذاره</w:t>
      </w:r>
      <w:r>
        <w:rPr>
          <w:rFonts w:hint="cs"/>
          <w:color w:val="000000"/>
          <w:rtl/>
        </w:rPr>
        <w:t xml:space="preserve"> ،</w:t>
      </w:r>
      <w:r w:rsidRPr="00315653">
        <w:rPr>
          <w:rFonts w:hint="cs"/>
          <w:color w:val="000000"/>
          <w:rtl/>
        </w:rPr>
        <w:t xml:space="preserve"> وهذا من أثر الفكرة القديمة التي كانت في أوائل عهود القانون الروماني من تشبيه الكفيل بالمدين المتضامن</w:t>
      </w:r>
      <w:r>
        <w:rPr>
          <w:rFonts w:hint="cs"/>
          <w:color w:val="000000"/>
          <w:rtl/>
        </w:rPr>
        <w:t xml:space="preserve"> ،</w:t>
      </w:r>
      <w:r w:rsidRPr="00315653">
        <w:rPr>
          <w:rFonts w:hint="cs"/>
          <w:color w:val="000000"/>
          <w:rtl/>
        </w:rPr>
        <w:t xml:space="preserve"> ولكن الكفيل يكون له الحق في هذه الحالة في طلب تجريد المدين</w:t>
      </w:r>
      <w:r>
        <w:rPr>
          <w:rFonts w:hint="cs"/>
          <w:color w:val="000000"/>
          <w:vertAlign w:val="superscript"/>
          <w:rtl/>
          <w:lang w:bidi="ar-EG"/>
        </w:rPr>
        <w:t xml:space="preserve">( </w:t>
      </w:r>
      <w:r w:rsidRPr="00315653">
        <w:rPr>
          <w:rStyle w:val="ab"/>
          <w:color w:val="000000"/>
          <w:rtl/>
          <w:lang w:bidi="ar-EG"/>
        </w:rPr>
        <w:footnoteReference w:id="23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الآن وقد وجد نص المادة 788/1 في التقنين المدني المصري الجديد</w:t>
      </w:r>
      <w:r>
        <w:rPr>
          <w:rFonts w:hint="cs"/>
          <w:color w:val="000000"/>
          <w:rtl/>
          <w:lang w:bidi="ar-EG"/>
        </w:rPr>
        <w:t xml:space="preserve"> ،</w:t>
      </w:r>
      <w:r w:rsidRPr="00315653">
        <w:rPr>
          <w:rFonts w:hint="cs"/>
          <w:color w:val="000000"/>
          <w:rtl/>
          <w:lang w:bidi="ar-EG"/>
        </w:rPr>
        <w:t xml:space="preserve"> فقد وجب على الدائن أن يرجع أولا على المدين</w:t>
      </w:r>
      <w:r>
        <w:rPr>
          <w:rFonts w:hint="cs"/>
          <w:color w:val="000000"/>
          <w:rtl/>
          <w:lang w:bidi="ar-EG"/>
        </w:rPr>
        <w:t xml:space="preserve"> ،</w:t>
      </w:r>
      <w:r w:rsidRPr="00315653">
        <w:rPr>
          <w:rFonts w:hint="cs"/>
          <w:color w:val="000000"/>
          <w:rtl/>
          <w:lang w:bidi="ar-EG"/>
        </w:rPr>
        <w:t xml:space="preserve"> وذلك قبل أن يرجع على الكفيل</w:t>
      </w:r>
      <w:r>
        <w:rPr>
          <w:rFonts w:hint="cs"/>
          <w:color w:val="000000"/>
          <w:rtl/>
          <w:lang w:bidi="ar-EG"/>
        </w:rPr>
        <w:t xml:space="preserve"> .</w:t>
      </w:r>
      <w:r w:rsidRPr="00315653">
        <w:rPr>
          <w:rFonts w:hint="cs"/>
          <w:color w:val="000000"/>
          <w:rtl/>
          <w:lang w:bidi="ar-EG"/>
        </w:rPr>
        <w:t xml:space="preserve"> فإن رجع على الكفيل أولا</w:t>
      </w:r>
      <w:r>
        <w:rPr>
          <w:rFonts w:hint="cs"/>
          <w:color w:val="000000"/>
          <w:rtl/>
          <w:lang w:bidi="ar-EG"/>
        </w:rPr>
        <w:t xml:space="preserve"> ،</w:t>
      </w:r>
      <w:r w:rsidRPr="00315653">
        <w:rPr>
          <w:rFonts w:hint="cs"/>
          <w:color w:val="000000"/>
          <w:rtl/>
          <w:lang w:bidi="ar-EG"/>
        </w:rPr>
        <w:t xml:space="preserve"> كان لهذا كما قدمنا أن يدفع رجوع الدائن بوجوب رجوعه أولا على المدين</w:t>
      </w:r>
      <w:r>
        <w:rPr>
          <w:rFonts w:hint="cs"/>
          <w:color w:val="000000"/>
          <w:rtl/>
          <w:lang w:bidi="ar-EG"/>
        </w:rPr>
        <w:t xml:space="preserve"> .</w:t>
      </w:r>
      <w:r w:rsidRPr="00315653">
        <w:rPr>
          <w:rFonts w:hint="cs"/>
          <w:color w:val="000000"/>
          <w:rtl/>
          <w:lang w:bidi="ar-EG"/>
        </w:rPr>
        <w:t xml:space="preserve"> ويبدو أن هذا الدفع بسبق الرجوع على المدين كان يختلط في ظل التقنين المدني السابق</w:t>
      </w:r>
      <w:r>
        <w:rPr>
          <w:rFonts w:hint="cs"/>
          <w:color w:val="000000"/>
          <w:rtl/>
          <w:lang w:bidi="ar-EG"/>
        </w:rPr>
        <w:t xml:space="preserve"> ،</w:t>
      </w:r>
      <w:r w:rsidRPr="00315653">
        <w:rPr>
          <w:rFonts w:hint="cs"/>
          <w:color w:val="000000"/>
          <w:rtl/>
          <w:lang w:bidi="ar-EG"/>
        </w:rPr>
        <w:t xml:space="preserve"> كما يختلط الآن في ظل التقنين المدني الفرنسي</w:t>
      </w:r>
      <w:r>
        <w:rPr>
          <w:rFonts w:hint="cs"/>
          <w:color w:val="000000"/>
          <w:rtl/>
          <w:lang w:bidi="ar-EG"/>
        </w:rPr>
        <w:t xml:space="preserve"> ،</w:t>
      </w:r>
      <w:r w:rsidRPr="00315653">
        <w:rPr>
          <w:rFonts w:hint="cs"/>
          <w:color w:val="000000"/>
          <w:rtl/>
          <w:lang w:bidi="ar-EG"/>
        </w:rPr>
        <w:t xml:space="preserve"> بالدفع بالتجريد الذي سيأتي بيانه</w:t>
      </w:r>
      <w:r>
        <w:rPr>
          <w:rFonts w:hint="cs"/>
          <w:color w:val="000000"/>
          <w:rtl/>
          <w:lang w:bidi="ar-EG"/>
        </w:rPr>
        <w:t xml:space="preserve"> .</w:t>
      </w:r>
      <w:r w:rsidRPr="00315653">
        <w:rPr>
          <w:rFonts w:hint="cs"/>
          <w:color w:val="000000"/>
          <w:rtl/>
          <w:lang w:bidi="ar-EG"/>
        </w:rPr>
        <w:t xml:space="preserve"> فكان </w:t>
      </w:r>
      <w:r w:rsidRPr="00315653">
        <w:rPr>
          <w:rFonts w:hint="cs"/>
          <w:color w:val="000000"/>
          <w:rtl/>
        </w:rPr>
        <w:t>الكفيل يدفع رجوع الدائن عليه أولا بالدفع بالتجريد</w:t>
      </w:r>
      <w:r>
        <w:rPr>
          <w:rFonts w:hint="cs"/>
          <w:color w:val="000000"/>
          <w:rtl/>
        </w:rPr>
        <w:t xml:space="preserve"> ،</w:t>
      </w:r>
      <w:r w:rsidRPr="00315653">
        <w:rPr>
          <w:rFonts w:hint="cs"/>
          <w:color w:val="000000"/>
          <w:rtl/>
        </w:rPr>
        <w:t xml:space="preserve"> وكان عليه منذ مطالبة الدائن له أن يقوم بإرشاده إلى أموال للمدين تفي بالدين كله</w:t>
      </w:r>
      <w:r>
        <w:rPr>
          <w:rFonts w:hint="cs"/>
          <w:color w:val="000000"/>
          <w:rtl/>
        </w:rPr>
        <w:t xml:space="preserve"> ،</w:t>
      </w:r>
      <w:r w:rsidRPr="00315653">
        <w:rPr>
          <w:rFonts w:hint="cs"/>
          <w:color w:val="000000"/>
          <w:rtl/>
        </w:rPr>
        <w:t xml:space="preserve"> ولا ينتظر حتى يجئ دور التنفيذ على ماله</w:t>
      </w:r>
      <w:r>
        <w:rPr>
          <w:rFonts w:hint="cs"/>
          <w:color w:val="000000"/>
          <w:rtl/>
        </w:rPr>
        <w:t xml:space="preserve"> .</w:t>
      </w:r>
      <w:r w:rsidRPr="00315653">
        <w:rPr>
          <w:rFonts w:hint="cs"/>
          <w:color w:val="000000"/>
          <w:rtl/>
        </w:rPr>
        <w:t xml:space="preserve"> فلم يكن هناك إلا دفع واحد هو الدفع بالتجريد</w:t>
      </w:r>
      <w:r>
        <w:rPr>
          <w:rFonts w:hint="cs"/>
          <w:color w:val="000000"/>
          <w:rtl/>
        </w:rPr>
        <w:t xml:space="preserve"> ،</w:t>
      </w:r>
      <w:r w:rsidRPr="00315653">
        <w:rPr>
          <w:rFonts w:hint="cs"/>
          <w:color w:val="000000"/>
          <w:rtl/>
        </w:rPr>
        <w:t xml:space="preserve"> يدفع به الكفيل مطالبة الدائن إياه إذا بدأ هذا بمطالبته</w:t>
      </w:r>
      <w:r>
        <w:rPr>
          <w:rFonts w:hint="cs"/>
          <w:color w:val="000000"/>
          <w:rtl/>
        </w:rPr>
        <w:t xml:space="preserve"> .</w:t>
      </w:r>
      <w:r w:rsidRPr="00315653">
        <w:rPr>
          <w:rFonts w:hint="cs"/>
          <w:color w:val="000000"/>
          <w:rtl/>
        </w:rPr>
        <w:t xml:space="preserve"> فإذا فات الكفيل أن يدفع مطالبة الدائن إياه بالدفع بالتجريد</w:t>
      </w:r>
      <w:r>
        <w:rPr>
          <w:rFonts w:hint="cs"/>
          <w:color w:val="000000"/>
          <w:rtl/>
        </w:rPr>
        <w:t xml:space="preserve"> ،</w:t>
      </w:r>
      <w:r w:rsidRPr="00315653">
        <w:rPr>
          <w:rFonts w:hint="cs"/>
          <w:color w:val="000000"/>
          <w:rtl/>
        </w:rPr>
        <w:t xml:space="preserve"> وحصل الدائن على حكم قابل للتنفيذ ضد الكفيل وشرع الدائن بالتنفيذ على أموال الكفيل</w:t>
      </w:r>
      <w:r>
        <w:rPr>
          <w:rFonts w:hint="cs"/>
          <w:color w:val="000000"/>
          <w:rtl/>
        </w:rPr>
        <w:t xml:space="preserve"> ،</w:t>
      </w:r>
      <w:r w:rsidRPr="00315653">
        <w:rPr>
          <w:rFonts w:hint="cs"/>
          <w:color w:val="000000"/>
          <w:rtl/>
        </w:rPr>
        <w:t xml:space="preserve"> فقد كان لهذا الأخير أن يتدارك ما فاته عند مطالبة الدائن إياه بالدين</w:t>
      </w:r>
      <w:r>
        <w:rPr>
          <w:rFonts w:hint="cs"/>
          <w:color w:val="000000"/>
          <w:rtl/>
        </w:rPr>
        <w:t xml:space="preserve"> ،</w:t>
      </w:r>
      <w:r w:rsidRPr="00315653">
        <w:rPr>
          <w:rFonts w:hint="cs"/>
          <w:color w:val="000000"/>
          <w:rtl/>
        </w:rPr>
        <w:t xml:space="preserve"> ويدفع بالتجريد $101 متمسكا بأنه لا يجوز التنفيذ على ماله إلا بعد تجيد المدين</w:t>
      </w:r>
      <w:r>
        <w:rPr>
          <w:rFonts w:hint="cs"/>
          <w:color w:val="000000"/>
          <w:rtl/>
        </w:rPr>
        <w:t xml:space="preserve"> .</w:t>
      </w:r>
      <w:r w:rsidRPr="00315653">
        <w:rPr>
          <w:rFonts w:hint="cs"/>
          <w:color w:val="000000"/>
          <w:rtl/>
        </w:rPr>
        <w:t xml:space="preserve"> ولكن الدفع بالتجريد هو هو</w:t>
      </w:r>
      <w:r>
        <w:rPr>
          <w:rFonts w:hint="cs"/>
          <w:color w:val="000000"/>
          <w:rtl/>
        </w:rPr>
        <w:t xml:space="preserve"> ،</w:t>
      </w:r>
      <w:r w:rsidRPr="00315653">
        <w:rPr>
          <w:rFonts w:hint="cs"/>
          <w:color w:val="000000"/>
          <w:rtl/>
        </w:rPr>
        <w:t xml:space="preserve"> بنفس شروطه وآثاره</w:t>
      </w:r>
      <w:r>
        <w:rPr>
          <w:rFonts w:hint="cs"/>
          <w:color w:val="000000"/>
          <w:rtl/>
        </w:rPr>
        <w:t xml:space="preserve"> ،</w:t>
      </w:r>
      <w:r w:rsidRPr="00315653">
        <w:rPr>
          <w:rFonts w:hint="cs"/>
          <w:color w:val="000000"/>
          <w:rtl/>
        </w:rPr>
        <w:t xml:space="preserve"> سواء دفع به م مبدأ الأمر عند مطالبة الدائن للكفيل</w:t>
      </w:r>
      <w:r>
        <w:rPr>
          <w:rFonts w:hint="cs"/>
          <w:color w:val="000000"/>
          <w:rtl/>
        </w:rPr>
        <w:t xml:space="preserve"> ،</w:t>
      </w:r>
      <w:r w:rsidRPr="00315653">
        <w:rPr>
          <w:rFonts w:hint="cs"/>
          <w:color w:val="000000"/>
          <w:rtl/>
        </w:rPr>
        <w:t xml:space="preserve"> أو دفع به بعد ذلك عند تنفيذ الدائن على مال الكفيل</w:t>
      </w:r>
      <w:r>
        <w:rPr>
          <w:rFonts w:hint="cs"/>
          <w:color w:val="000000"/>
          <w:vertAlign w:val="superscript"/>
          <w:rtl/>
          <w:lang w:bidi="ar-EG"/>
        </w:rPr>
        <w:t xml:space="preserve">( </w:t>
      </w:r>
      <w:r w:rsidRPr="00315653">
        <w:rPr>
          <w:rStyle w:val="ab"/>
          <w:color w:val="000000"/>
          <w:rtl/>
          <w:lang w:bidi="ar-EG"/>
        </w:rPr>
        <w:footnoteReference w:id="24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صياغة التقنين </w:t>
      </w:r>
      <w:r w:rsidRPr="00315653">
        <w:rPr>
          <w:rFonts w:hint="cs"/>
          <w:color w:val="000000"/>
          <w:rtl/>
          <w:lang w:bidi="ar-EG"/>
        </w:rPr>
        <w:lastRenderedPageBreak/>
        <w:t>المدين الجديد ميزت بين الدفع في مبدأ الأمر عند مطالبة الدائن للكفيل</w:t>
      </w:r>
      <w:r>
        <w:rPr>
          <w:rFonts w:hint="cs"/>
          <w:color w:val="000000"/>
          <w:rtl/>
          <w:lang w:bidi="ar-EG"/>
        </w:rPr>
        <w:t xml:space="preserve"> ،</w:t>
      </w:r>
      <w:r w:rsidRPr="00315653">
        <w:rPr>
          <w:rFonts w:hint="cs"/>
          <w:color w:val="000000"/>
          <w:rtl/>
          <w:lang w:bidi="ar-EG"/>
        </w:rPr>
        <w:t xml:space="preserve"> فسمته الدفع بوجوب رجوع الدائن على المدين أولاً </w:t>
      </w:r>
      <w:r>
        <w:rPr>
          <w:rFonts w:hint="cs"/>
          <w:color w:val="000000"/>
          <w:rtl/>
          <w:lang w:bidi="ar-EG"/>
        </w:rPr>
        <w:t xml:space="preserve">( </w:t>
      </w:r>
      <w:r w:rsidRPr="00315653">
        <w:rPr>
          <w:rFonts w:hint="cs"/>
          <w:color w:val="000000"/>
          <w:rtl/>
          <w:lang w:bidi="ar-EG"/>
        </w:rPr>
        <w:t>م 788/1 مدني</w:t>
      </w:r>
      <w:r>
        <w:rPr>
          <w:rFonts w:hint="cs"/>
          <w:color w:val="000000"/>
          <w:rtl/>
          <w:lang w:bidi="ar-EG"/>
        </w:rPr>
        <w:t xml:space="preserve"> ) ،</w:t>
      </w:r>
      <w:r w:rsidRPr="00315653">
        <w:rPr>
          <w:rFonts w:hint="cs"/>
          <w:color w:val="000000"/>
          <w:rtl/>
          <w:lang w:bidi="ar-EG"/>
        </w:rPr>
        <w:t xml:space="preserve"> والدفع عند تنفيذ الدائن على مال الكفيل أولا</w:t>
      </w:r>
      <w:r>
        <w:rPr>
          <w:rFonts w:hint="cs"/>
          <w:color w:val="000000"/>
          <w:rtl/>
          <w:lang w:bidi="ar-EG"/>
        </w:rPr>
        <w:t xml:space="preserve"> ،</w:t>
      </w:r>
      <w:r w:rsidRPr="00315653">
        <w:rPr>
          <w:rFonts w:hint="cs"/>
          <w:color w:val="000000"/>
          <w:rtl/>
          <w:lang w:bidi="ar-EG"/>
        </w:rPr>
        <w:t xml:space="preserve"> فسمته وحدة دون الدفع الأول بالدفع بالتجريد </w:t>
      </w:r>
      <w:r>
        <w:rPr>
          <w:rFonts w:hint="cs"/>
          <w:color w:val="000000"/>
          <w:rtl/>
          <w:lang w:bidi="ar-EG"/>
        </w:rPr>
        <w:t xml:space="preserve">( </w:t>
      </w:r>
      <w:r w:rsidRPr="00315653">
        <w:rPr>
          <w:rFonts w:hint="cs"/>
          <w:color w:val="000000"/>
          <w:rtl/>
          <w:lang w:bidi="ar-EG"/>
        </w:rPr>
        <w:t>م 788/2 مدني</w:t>
      </w:r>
      <w:r>
        <w:rPr>
          <w:rFonts w:hint="cs"/>
          <w:color w:val="000000"/>
          <w:rtl/>
          <w:lang w:bidi="ar-EG"/>
        </w:rPr>
        <w:t xml:space="preserve"> ) .</w:t>
      </w:r>
      <w:r w:rsidRPr="00315653">
        <w:rPr>
          <w:rFonts w:hint="cs"/>
          <w:color w:val="000000"/>
          <w:rtl/>
          <w:lang w:bidi="ar-EG"/>
        </w:rPr>
        <w:t xml:space="preserve"> فهناك إذن في التقنين المدني الجديد دفعات متميزان أحدهما عن الآخر</w:t>
      </w:r>
      <w:r>
        <w:rPr>
          <w:rFonts w:hint="cs"/>
          <w:color w:val="000000"/>
          <w:rtl/>
          <w:lang w:bidi="ar-EG"/>
        </w:rPr>
        <w:t xml:space="preserve"> ،</w:t>
      </w:r>
      <w:r w:rsidRPr="00315653">
        <w:rPr>
          <w:rFonts w:hint="cs"/>
          <w:color w:val="000000"/>
          <w:rtl/>
          <w:lang w:bidi="ar-EG"/>
        </w:rPr>
        <w:t xml:space="preserve"> الدفع برجوع الدائن على المدين أولا والدفع بالتجريد</w:t>
      </w:r>
      <w:r>
        <w:rPr>
          <w:rFonts w:hint="cs"/>
          <w:color w:val="000000"/>
          <w:rtl/>
          <w:lang w:bidi="ar-EG"/>
        </w:rPr>
        <w:t xml:space="preserve"> .</w:t>
      </w:r>
      <w:r w:rsidRPr="00315653">
        <w:rPr>
          <w:rFonts w:hint="cs"/>
          <w:color w:val="000000"/>
          <w:rtl/>
          <w:lang w:bidi="ar-EG"/>
        </w:rPr>
        <w:t xml:space="preserve"> وأصبح هذا التمييز قائماً في التقنين المدني الجديد</w:t>
      </w:r>
      <w:r>
        <w:rPr>
          <w:rFonts w:hint="cs"/>
          <w:color w:val="000000"/>
          <w:rtl/>
          <w:lang w:bidi="ar-EG"/>
        </w:rPr>
        <w:t xml:space="preserve"> ،</w:t>
      </w:r>
      <w:r w:rsidRPr="00315653">
        <w:rPr>
          <w:rFonts w:hint="cs"/>
          <w:color w:val="000000"/>
          <w:rtl/>
          <w:lang w:bidi="ar-EG"/>
        </w:rPr>
        <w:t xml:space="preserve"> ولم يقتصر الأمر على مجرد التسمية</w:t>
      </w:r>
      <w:r>
        <w:rPr>
          <w:rFonts w:hint="cs"/>
          <w:color w:val="000000"/>
          <w:rtl/>
          <w:lang w:bidi="ar-EG"/>
        </w:rPr>
        <w:t xml:space="preserve"> ،</w:t>
      </w:r>
      <w:r w:rsidRPr="00315653">
        <w:rPr>
          <w:rFonts w:hint="cs"/>
          <w:color w:val="000000"/>
          <w:rtl/>
          <w:lang w:bidi="ar-EG"/>
        </w:rPr>
        <w:t xml:space="preserve"> بل تعداه إلى الشروط</w:t>
      </w:r>
      <w:r>
        <w:rPr>
          <w:rFonts w:hint="cs"/>
          <w:color w:val="000000"/>
          <w:rtl/>
          <w:lang w:bidi="ar-EG"/>
        </w:rPr>
        <w:t xml:space="preserve"> .</w:t>
      </w:r>
      <w:r w:rsidRPr="00315653">
        <w:rPr>
          <w:rFonts w:hint="cs"/>
          <w:color w:val="000000"/>
          <w:rtl/>
          <w:lang w:bidi="ar-EG"/>
        </w:rPr>
        <w:t xml:space="preserve"> فشروط الدفع بالتجريد بقيت كما هي</w:t>
      </w:r>
      <w:r>
        <w:rPr>
          <w:rFonts w:hint="cs"/>
          <w:color w:val="000000"/>
          <w:rtl/>
          <w:lang w:bidi="ar-EG"/>
        </w:rPr>
        <w:t xml:space="preserve"> ،</w:t>
      </w:r>
      <w:r w:rsidRPr="00315653">
        <w:rPr>
          <w:rFonts w:hint="cs"/>
          <w:color w:val="000000"/>
          <w:rtl/>
          <w:lang w:bidi="ar-EG"/>
        </w:rPr>
        <w:t xml:space="preserve"> أما شروط الدفع برجوع الدائن على المدين أولا فتختلف عن شروط الدفع بالتجريد كما سنرى</w:t>
      </w:r>
      <w:r>
        <w:rPr>
          <w:rFonts w:hint="cs"/>
          <w:color w:val="000000"/>
          <w:rtl/>
          <w:lang w:bidi="ar-EG"/>
        </w:rPr>
        <w:t xml:space="preserve"> .</w:t>
      </w:r>
      <w:r w:rsidRPr="00315653">
        <w:rPr>
          <w:rFonts w:hint="cs"/>
          <w:color w:val="000000"/>
          <w:rtl/>
          <w:lang w:bidi="ar-EG"/>
        </w:rPr>
        <w:t xml:space="preserve"> ولم يكن هذا التمييز قائماً بالدفع بالتجريد</w:t>
      </w:r>
      <w:r>
        <w:rPr>
          <w:rFonts w:hint="cs"/>
          <w:color w:val="000000"/>
          <w:vertAlign w:val="superscript"/>
          <w:rtl/>
          <w:lang w:bidi="ar-EG"/>
        </w:rPr>
        <w:t xml:space="preserve">( </w:t>
      </w:r>
      <w:r w:rsidRPr="00315653">
        <w:rPr>
          <w:rStyle w:val="ab"/>
          <w:color w:val="000000"/>
          <w:rtl/>
          <w:lang w:bidi="ar-EG"/>
        </w:rPr>
        <w:footnoteReference w:id="24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ولما كان العمل قد جرى في ظل التقنين المدني السابق على رجوع الدائن على كل من المدين والكفيل في نفس الوقت للحصول على حكم بإلزامهما معاً بالوفاء</w:t>
      </w:r>
      <w:r>
        <w:rPr>
          <w:rFonts w:hint="cs"/>
          <w:color w:val="000000"/>
          <w:rtl/>
          <w:lang w:bidi="ar-EG"/>
        </w:rPr>
        <w:t xml:space="preserve"> ،</w:t>
      </w:r>
      <w:r w:rsidRPr="00315653">
        <w:rPr>
          <w:rFonts w:hint="cs"/>
          <w:color w:val="000000"/>
          <w:rtl/>
          <w:lang w:bidi="ar-EG"/>
        </w:rPr>
        <w:t xml:space="preserve"> فإذا حصل الدائن على هذا الحكم$102 بدأ بالتنفيذ ضد المدين ولا يرجع على الكفيل إلا إذا كانت أموال المدين لا تفي بالدين</w:t>
      </w:r>
      <w:r>
        <w:rPr>
          <w:rFonts w:hint="cs"/>
          <w:color w:val="000000"/>
          <w:rtl/>
          <w:lang w:bidi="ar-EG"/>
        </w:rPr>
        <w:t xml:space="preserve"> ،</w:t>
      </w:r>
      <w:r w:rsidRPr="00315653">
        <w:rPr>
          <w:rFonts w:hint="cs"/>
          <w:color w:val="000000"/>
          <w:rtl/>
          <w:lang w:bidi="ar-EG"/>
        </w:rPr>
        <w:t xml:space="preserve"> فقد ميزت لجنة المراجعة بين الرجوع والتنفيذ</w:t>
      </w:r>
      <w:r>
        <w:rPr>
          <w:rFonts w:hint="cs"/>
          <w:color w:val="000000"/>
          <w:rtl/>
          <w:lang w:bidi="ar-EG"/>
        </w:rPr>
        <w:t xml:space="preserve"> ،</w:t>
      </w:r>
      <w:r w:rsidRPr="00315653">
        <w:rPr>
          <w:rFonts w:hint="cs"/>
          <w:color w:val="000000"/>
          <w:rtl/>
          <w:lang w:bidi="ar-EG"/>
        </w:rPr>
        <w:t xml:space="preserve"> ورأت أن يكون نص المادة 788 مدني "من شقين"</w:t>
      </w:r>
      <w:r>
        <w:rPr>
          <w:rFonts w:hint="cs"/>
          <w:color w:val="000000"/>
          <w:rtl/>
          <w:lang w:bidi="ar-EG"/>
        </w:rPr>
        <w:t xml:space="preserve"> ،</w:t>
      </w:r>
      <w:r w:rsidRPr="00315653">
        <w:rPr>
          <w:rFonts w:hint="cs"/>
          <w:color w:val="000000"/>
          <w:rtl/>
          <w:lang w:bidi="ar-EG"/>
        </w:rPr>
        <w:t xml:space="preserve"> الأول يتناول الرجوع والثاني يتناول التنفيذ</w:t>
      </w:r>
      <w:r>
        <w:rPr>
          <w:rFonts w:hint="cs"/>
          <w:color w:val="000000"/>
          <w:rtl/>
          <w:lang w:bidi="ar-EG"/>
        </w:rPr>
        <w:t xml:space="preserve"> ،</w:t>
      </w:r>
      <w:r w:rsidRPr="00315653">
        <w:rPr>
          <w:rFonts w:hint="cs"/>
          <w:color w:val="000000"/>
          <w:rtl/>
          <w:lang w:bidi="ar-EG"/>
        </w:rPr>
        <w:t xml:space="preserve"> لأن نص المشروع </w:t>
      </w:r>
      <w:r>
        <w:rPr>
          <w:rFonts w:hint="cs"/>
          <w:color w:val="000000"/>
          <w:rtl/>
          <w:lang w:bidi="ar-EG"/>
        </w:rPr>
        <w:t xml:space="preserve">( </w:t>
      </w:r>
      <w:r w:rsidRPr="00315653">
        <w:rPr>
          <w:rFonts w:hint="cs"/>
          <w:color w:val="000000"/>
          <w:rtl/>
          <w:lang w:bidi="ar-EG"/>
        </w:rPr>
        <w:t>التمهيدي</w:t>
      </w:r>
      <w:r>
        <w:rPr>
          <w:rFonts w:hint="cs"/>
          <w:color w:val="000000"/>
          <w:rtl/>
          <w:lang w:bidi="ar-EG"/>
        </w:rPr>
        <w:t xml:space="preserve"> )</w:t>
      </w:r>
      <w:r w:rsidRPr="00315653">
        <w:rPr>
          <w:rFonts w:hint="cs"/>
          <w:color w:val="000000"/>
          <w:rtl/>
          <w:lang w:bidi="ar-EG"/>
        </w:rPr>
        <w:t xml:space="preserve"> يخلط بينهما خلطاً تتداخل فيه أحكام الأمرين</w:t>
      </w:r>
      <w:r>
        <w:rPr>
          <w:rFonts w:hint="cs"/>
          <w:color w:val="000000"/>
          <w:rtl/>
          <w:lang w:bidi="ar-EG"/>
        </w:rPr>
        <w:t xml:space="preserve"> .</w:t>
      </w:r>
      <w:r w:rsidRPr="00315653">
        <w:rPr>
          <w:rFonts w:hint="cs"/>
          <w:color w:val="000000"/>
          <w:rtl/>
          <w:lang w:bidi="ar-EG"/>
        </w:rPr>
        <w:t xml:space="preserve"> وبالنسبة للشق الأول رأت أن يمنع النص الدائن من الرجوع على الكفيل البسيط وحده إلا بعد رجوعه على المدين</w:t>
      </w:r>
      <w:r>
        <w:rPr>
          <w:rFonts w:hint="cs"/>
          <w:color w:val="000000"/>
          <w:rtl/>
          <w:lang w:bidi="ar-EG"/>
        </w:rPr>
        <w:t xml:space="preserve"> ،</w:t>
      </w:r>
      <w:r w:rsidRPr="00315653">
        <w:rPr>
          <w:rFonts w:hint="cs"/>
          <w:color w:val="000000"/>
          <w:rtl/>
          <w:lang w:bidi="ar-EG"/>
        </w:rPr>
        <w:t xml:space="preserve"> وجعلت الحكم في الشق الثاني خاصاً بالتنفيذ فمنعت الدائن من التنفيذ على الكفيل إلا  بعد تجريده المدين</w:t>
      </w:r>
      <w:r>
        <w:rPr>
          <w:rFonts w:hint="cs"/>
          <w:color w:val="000000"/>
          <w:rtl/>
          <w:lang w:bidi="ar-EG"/>
        </w:rPr>
        <w:t xml:space="preserve"> .</w:t>
      </w:r>
      <w:r w:rsidRPr="00315653">
        <w:rPr>
          <w:rFonts w:hint="cs"/>
          <w:color w:val="000000"/>
          <w:rtl/>
          <w:lang w:bidi="ar-EG"/>
        </w:rPr>
        <w:t xml:space="preserve"> ثم أضافت للحكمين حكماً ثالثاً مفاده تمسك الكفيل بحقه في الصورتين بحيث لو رفعت دعوى عليه وحده ولم يتمسك بحكم الشق الأول جاز الحكم عليه</w:t>
      </w:r>
      <w:r>
        <w:rPr>
          <w:rFonts w:hint="cs"/>
          <w:color w:val="000000"/>
          <w:rtl/>
          <w:lang w:bidi="ar-EG"/>
        </w:rPr>
        <w:t xml:space="preserve"> ،</w:t>
      </w:r>
      <w:r w:rsidRPr="00315653">
        <w:rPr>
          <w:rFonts w:hint="cs"/>
          <w:color w:val="000000"/>
          <w:rtl/>
          <w:lang w:bidi="ar-EG"/>
        </w:rPr>
        <w:t xml:space="preserve"> وبالمثل في حالة التنفيذ</w:t>
      </w:r>
      <w:r>
        <w:rPr>
          <w:rFonts w:hint="cs"/>
          <w:color w:val="000000"/>
          <w:rtl/>
          <w:lang w:bidi="ar-EG"/>
        </w:rPr>
        <w:t xml:space="preserve"> .</w:t>
      </w:r>
      <w:r w:rsidRPr="00315653">
        <w:rPr>
          <w:rFonts w:hint="cs"/>
          <w:color w:val="000000"/>
          <w:rtl/>
          <w:lang w:bidi="ar-EG"/>
        </w:rPr>
        <w:t xml:space="preserve"> وأصبح النص كما يأتي</w:t>
      </w:r>
      <w:r>
        <w:rPr>
          <w:rFonts w:hint="cs"/>
          <w:color w:val="000000"/>
          <w:rtl/>
          <w:lang w:bidi="ar-EG"/>
        </w:rPr>
        <w:t xml:space="preserve"> :</w:t>
      </w:r>
      <w:r w:rsidRPr="00315653">
        <w:rPr>
          <w:rFonts w:hint="cs"/>
          <w:color w:val="000000"/>
          <w:rtl/>
          <w:lang w:bidi="ar-EG"/>
        </w:rPr>
        <w:t xml:space="preserve"> 1- لا يجوز للدائن أن يرجع على الكفيل وحده إلا بعد رجوعه على المدين</w:t>
      </w:r>
      <w:r>
        <w:rPr>
          <w:rFonts w:hint="cs"/>
          <w:color w:val="000000"/>
          <w:rtl/>
          <w:lang w:bidi="ar-EG"/>
        </w:rPr>
        <w:t xml:space="preserve"> .</w:t>
      </w:r>
      <w:r w:rsidRPr="00315653">
        <w:rPr>
          <w:rFonts w:hint="cs"/>
          <w:color w:val="000000"/>
          <w:rtl/>
          <w:lang w:bidi="ar-EG"/>
        </w:rPr>
        <w:t xml:space="preserve"> 2- لا يجوز أن ينفذ على أموال الكفيل إلا بعد تجريد المدين من أمواله</w:t>
      </w:r>
      <w:r>
        <w:rPr>
          <w:rFonts w:hint="cs"/>
          <w:color w:val="000000"/>
          <w:rtl/>
          <w:lang w:bidi="ar-EG"/>
        </w:rPr>
        <w:t xml:space="preserve"> .</w:t>
      </w:r>
      <w:r w:rsidRPr="00315653">
        <w:rPr>
          <w:rFonts w:hint="cs"/>
          <w:color w:val="000000"/>
          <w:rtl/>
          <w:lang w:bidi="ar-EG"/>
        </w:rPr>
        <w:t xml:space="preserve"> 3- يجب على الكفيل في الحالتين أن يتمسك بهذا الحق"</w:t>
      </w:r>
      <w:r>
        <w:rPr>
          <w:rFonts w:hint="cs"/>
          <w:color w:val="000000"/>
          <w:vertAlign w:val="superscript"/>
          <w:rtl/>
          <w:lang w:bidi="ar-EG"/>
        </w:rPr>
        <w:t xml:space="preserve">( </w:t>
      </w:r>
      <w:r w:rsidRPr="00315653">
        <w:rPr>
          <w:rStyle w:val="ab"/>
          <w:color w:val="000000"/>
          <w:rtl/>
          <w:lang w:bidi="ar-EG"/>
        </w:rPr>
        <w:footnoteReference w:id="24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وبذلك أصبح هناك دفعات</w:t>
      </w:r>
      <w:r>
        <w:rPr>
          <w:rFonts w:hint="cs"/>
          <w:color w:val="000000"/>
          <w:rtl/>
          <w:lang w:bidi="ar-EG"/>
        </w:rPr>
        <w:t xml:space="preserve"> ،</w:t>
      </w:r>
      <w:r w:rsidRPr="00315653">
        <w:rPr>
          <w:rFonts w:hint="cs"/>
          <w:color w:val="000000"/>
          <w:rtl/>
          <w:lang w:bidi="ar-EG"/>
        </w:rPr>
        <w:t xml:space="preserve"> دفع بوجوب الرجوع أولا على المدين ويبدي عند مطالبة الدائن للكفيل</w:t>
      </w:r>
      <w:r>
        <w:rPr>
          <w:rFonts w:hint="cs"/>
          <w:color w:val="000000"/>
          <w:rtl/>
          <w:lang w:bidi="ar-EG"/>
        </w:rPr>
        <w:t xml:space="preserve"> ،</w:t>
      </w:r>
      <w:r w:rsidRPr="00315653">
        <w:rPr>
          <w:rFonts w:hint="cs"/>
          <w:color w:val="000000"/>
          <w:rtl/>
          <w:lang w:bidi="ar-EG"/>
        </w:rPr>
        <w:t xml:space="preserve"> ودفع بالتجريد ويبدي عند التنفيذ على مال الكفيل</w:t>
      </w:r>
      <w:r>
        <w:rPr>
          <w:rFonts w:hint="cs"/>
          <w:color w:val="000000"/>
          <w:rtl/>
          <w:lang w:bidi="ar-EG"/>
        </w:rPr>
        <w:t xml:space="preserve"> .</w:t>
      </w:r>
      <w:r w:rsidRPr="00315653">
        <w:rPr>
          <w:rFonts w:hint="cs"/>
          <w:color w:val="000000"/>
          <w:rtl/>
          <w:lang w:bidi="ar-EG"/>
        </w:rPr>
        <w:t xml:space="preserve"> وزاد هذا التمييز وضوحاً عند مناقضة النص في لجنة مجلس الشيوخ</w:t>
      </w:r>
      <w:r>
        <w:rPr>
          <w:rFonts w:hint="cs"/>
          <w:color w:val="000000"/>
          <w:rtl/>
          <w:lang w:bidi="ar-EG"/>
        </w:rPr>
        <w:t xml:space="preserve"> ،</w:t>
      </w:r>
      <w:r w:rsidRPr="00315653">
        <w:rPr>
          <w:rFonts w:hint="cs"/>
          <w:color w:val="000000"/>
          <w:rtl/>
          <w:lang w:bidi="ar-EG"/>
        </w:rPr>
        <w:t xml:space="preserve"> تحت الاعتقاد أن هذا التمييز كان قائماً في ظل التقنين المدني السابق</w:t>
      </w:r>
      <w:r>
        <w:rPr>
          <w:rFonts w:hint="cs"/>
          <w:color w:val="000000"/>
          <w:rtl/>
          <w:lang w:bidi="ar-EG"/>
        </w:rPr>
        <w:t xml:space="preserve"> ،</w:t>
      </w:r>
      <w:r w:rsidRPr="00315653">
        <w:rPr>
          <w:rFonts w:hint="cs"/>
          <w:color w:val="000000"/>
          <w:rtl/>
          <w:lang w:bidi="ar-EG"/>
        </w:rPr>
        <w:t xml:space="preserve"> إذ ورد في مناقشات هذه اللجنة ما يأتي</w:t>
      </w:r>
      <w:r>
        <w:rPr>
          <w:rFonts w:hint="cs"/>
          <w:color w:val="000000"/>
          <w:rtl/>
          <w:lang w:bidi="ar-EG"/>
        </w:rPr>
        <w:t xml:space="preserve"> :</w:t>
      </w:r>
      <w:r w:rsidRPr="00315653">
        <w:rPr>
          <w:rFonts w:hint="cs"/>
          <w:color w:val="000000"/>
          <w:rtl/>
          <w:lang w:bidi="ar-EG"/>
        </w:rPr>
        <w:t xml:space="preserve"> "وبعد مراجعة القانون القائم </w:t>
      </w:r>
      <w:r>
        <w:rPr>
          <w:rFonts w:hint="cs"/>
          <w:color w:val="000000"/>
          <w:rtl/>
          <w:lang w:bidi="ar-EG"/>
        </w:rPr>
        <w:t xml:space="preserve">( </w:t>
      </w:r>
      <w:r w:rsidRPr="00315653">
        <w:rPr>
          <w:rFonts w:hint="cs"/>
          <w:color w:val="000000"/>
          <w:rtl/>
          <w:lang w:bidi="ar-EG"/>
        </w:rPr>
        <w:t>السابق</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 . .</w:t>
      </w:r>
      <w:r w:rsidRPr="00315653">
        <w:rPr>
          <w:rFonts w:hint="cs"/>
          <w:color w:val="000000"/>
          <w:rtl/>
          <w:lang w:bidi="ar-EG"/>
        </w:rPr>
        <w:t xml:space="preserve"> تبين أن سقوط حق الكفيل في التمسك بالتجريد يكون عند التنفيذ فقط</w:t>
      </w:r>
      <w:r>
        <w:rPr>
          <w:rFonts w:hint="cs"/>
          <w:color w:val="000000"/>
          <w:rtl/>
          <w:lang w:bidi="ar-EG"/>
        </w:rPr>
        <w:t xml:space="preserve"> ،</w:t>
      </w:r>
      <w:r w:rsidRPr="00315653">
        <w:rPr>
          <w:rFonts w:hint="cs"/>
          <w:color w:val="000000"/>
          <w:rtl/>
          <w:lang w:bidi="ar-EG"/>
        </w:rPr>
        <w:t xml:space="preserve"> وليس عند رفع الدعوى</w:t>
      </w:r>
      <w:r>
        <w:rPr>
          <w:rFonts w:hint="cs"/>
          <w:color w:val="000000"/>
          <w:rtl/>
          <w:lang w:bidi="ar-EG"/>
        </w:rPr>
        <w:t xml:space="preserve"> .</w:t>
      </w:r>
      <w:r w:rsidRPr="00315653">
        <w:rPr>
          <w:rFonts w:hint="cs"/>
          <w:color w:val="000000"/>
          <w:rtl/>
          <w:lang w:bidi="ar-EG"/>
        </w:rPr>
        <w:t xml:space="preserve"> ولذا رأت اللجنة إدماج الفقرتين الثانية والثالثة في فقرة واحدة</w:t>
      </w:r>
      <w:r>
        <w:rPr>
          <w:rFonts w:hint="cs"/>
          <w:color w:val="000000"/>
          <w:rtl/>
          <w:lang w:bidi="ar-EG"/>
        </w:rPr>
        <w:t xml:space="preserve"> ،</w:t>
      </w:r>
      <w:r w:rsidRPr="00315653">
        <w:rPr>
          <w:rFonts w:hint="cs"/>
          <w:color w:val="000000"/>
          <w:rtl/>
          <w:lang w:bidi="ar-EG"/>
        </w:rPr>
        <w:t xml:space="preserve"> حتى يكون حكم السقوط قاصراً على التنفيذ فقط</w:t>
      </w:r>
      <w:r>
        <w:rPr>
          <w:rFonts w:hint="cs"/>
          <w:color w:val="000000"/>
          <w:rtl/>
          <w:lang w:bidi="ar-EG"/>
        </w:rPr>
        <w:t xml:space="preserve"> .</w:t>
      </w:r>
      <w:r w:rsidRPr="00315653">
        <w:rPr>
          <w:rFonts w:hint="cs"/>
          <w:color w:val="000000"/>
          <w:rtl/>
          <w:lang w:bidi="ar-EG"/>
        </w:rPr>
        <w:t xml:space="preserve"> وقد اقتضى هذا تعديل الفقرة الثالثة التي أدمجت في الفقرة الثانية</w:t>
      </w:r>
      <w:r>
        <w:rPr>
          <w:rFonts w:hint="cs"/>
          <w:color w:val="000000"/>
          <w:rtl/>
          <w:lang w:bidi="ar-EG"/>
        </w:rPr>
        <w:t xml:space="preserve"> ،</w:t>
      </w:r>
      <w:r w:rsidRPr="00315653">
        <w:rPr>
          <w:rFonts w:hint="cs"/>
          <w:color w:val="000000"/>
          <w:rtl/>
          <w:lang w:bidi="ar-EG"/>
        </w:rPr>
        <w:t xml:space="preserve"> بحيث يصدق حكمها على حالة التنفيذ فقط</w:t>
      </w:r>
      <w:r>
        <w:rPr>
          <w:rFonts w:hint="cs"/>
          <w:color w:val="000000"/>
          <w:rtl/>
          <w:lang w:bidi="ar-EG"/>
        </w:rPr>
        <w:t xml:space="preserve"> .</w:t>
      </w:r>
      <w:r w:rsidRPr="00315653">
        <w:rPr>
          <w:rFonts w:hint="cs"/>
          <w:color w:val="000000"/>
          <w:rtl/>
          <w:lang w:bidi="ar-EG"/>
        </w:rPr>
        <w:t xml:space="preserve"> وقد أصبح نص الفقرة الثانية كالآتي</w:t>
      </w:r>
      <w:r>
        <w:rPr>
          <w:rFonts w:hint="cs"/>
          <w:color w:val="000000"/>
          <w:rtl/>
          <w:lang w:bidi="ar-EG"/>
        </w:rPr>
        <w:t xml:space="preserve"> :</w:t>
      </w:r>
      <w:r w:rsidRPr="00315653">
        <w:rPr>
          <w:rFonts w:hint="cs"/>
          <w:color w:val="000000"/>
          <w:rtl/>
          <w:lang w:bidi="ar-EG"/>
        </w:rPr>
        <w:t xml:space="preserve"> "ولا يجوز أن ينفذ على أموال الكفيل إلا بعد تجريد المدين من أمواله</w:t>
      </w:r>
      <w:r>
        <w:rPr>
          <w:rFonts w:hint="cs"/>
          <w:color w:val="000000"/>
          <w:rtl/>
          <w:lang w:bidi="ar-EG"/>
        </w:rPr>
        <w:t xml:space="preserve"> ،</w:t>
      </w:r>
      <w:r w:rsidRPr="00315653">
        <w:rPr>
          <w:rFonts w:hint="cs"/>
          <w:color w:val="000000"/>
          <w:rtl/>
          <w:lang w:bidi="ar-EG"/>
        </w:rPr>
        <w:t xml:space="preserve"> ويجب على الكفل في هذه الحالة التمسك بهذا الحق"</w:t>
      </w:r>
      <w:r>
        <w:rPr>
          <w:rFonts w:hint="cs"/>
          <w:color w:val="000000"/>
          <w:vertAlign w:val="superscript"/>
          <w:rtl/>
          <w:lang w:bidi="ar-EG"/>
        </w:rPr>
        <w:t xml:space="preserve">( </w:t>
      </w:r>
      <w:r w:rsidRPr="00315653">
        <w:rPr>
          <w:rStyle w:val="ab"/>
          <w:color w:val="000000"/>
          <w:rtl/>
          <w:lang w:bidi="ar-EG"/>
        </w:rPr>
        <w:footnoteReference w:id="24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وهكذا أصبح التقنين المدني الجديد $103 يميز بين الدفع برجوع الدائن على المدين أولا وبين الدفع بالتجريد</w:t>
      </w:r>
      <w:r>
        <w:rPr>
          <w:rFonts w:hint="cs"/>
          <w:color w:val="000000"/>
          <w:rtl/>
          <w:lang w:bidi="ar-EG"/>
        </w:rPr>
        <w:t xml:space="preserve"> ،</w:t>
      </w:r>
      <w:r w:rsidRPr="00315653">
        <w:rPr>
          <w:rFonts w:hint="cs"/>
          <w:color w:val="000000"/>
          <w:rtl/>
          <w:lang w:bidi="ar-EG"/>
        </w:rPr>
        <w:t xml:space="preserve"> ولا يجعلهما دفعاً واحداً</w:t>
      </w:r>
      <w:r>
        <w:rPr>
          <w:rFonts w:hint="cs"/>
          <w:color w:val="000000"/>
          <w:rtl/>
          <w:lang w:bidi="ar-EG"/>
        </w:rPr>
        <w:t xml:space="preserve"> ،</w:t>
      </w:r>
      <w:r w:rsidRPr="00315653">
        <w:rPr>
          <w:rFonts w:hint="cs"/>
          <w:color w:val="000000"/>
          <w:rtl/>
          <w:lang w:bidi="ar-EG"/>
        </w:rPr>
        <w:t xml:space="preserve"> ويجعل شروط الدفع الأول تختلف عن شروط الدفع الثاني</w:t>
      </w:r>
      <w:r>
        <w:rPr>
          <w:rFonts w:hint="cs"/>
          <w:color w:val="000000"/>
          <w:rtl/>
          <w:lang w:bidi="ar-EG"/>
        </w:rPr>
        <w:t xml:space="preserve"> .</w:t>
      </w:r>
      <w:r w:rsidRPr="00315653">
        <w:rPr>
          <w:rFonts w:hint="cs"/>
          <w:color w:val="000000"/>
          <w:rtl/>
          <w:lang w:bidi="ar-EG"/>
        </w:rPr>
        <w:t xml:space="preserve"> وليس لنا إلا أن نجاري المشرع فيما ذهب إليه من هذا التمييز</w:t>
      </w:r>
      <w:r>
        <w:rPr>
          <w:rFonts w:hint="cs"/>
          <w:color w:val="000000"/>
          <w:rtl/>
          <w:lang w:bidi="ar-EG"/>
        </w:rPr>
        <w:t xml:space="preserve"> ،</w:t>
      </w:r>
      <w:r w:rsidRPr="00315653">
        <w:rPr>
          <w:rFonts w:hint="cs"/>
          <w:color w:val="000000"/>
          <w:rtl/>
          <w:lang w:bidi="ar-EG"/>
        </w:rPr>
        <w:t xml:space="preserve"> ونبحث الدفع برجوع الدائن على المدين أولا مستقلا عن الدفع بالتجريد</w:t>
      </w:r>
      <w:r>
        <w:rPr>
          <w:rFonts w:hint="cs"/>
          <w:color w:val="000000"/>
          <w:rtl/>
          <w:lang w:bidi="ar-EG"/>
        </w:rPr>
        <w:t xml:space="preserve"> ،</w:t>
      </w:r>
      <w:r w:rsidRPr="00315653">
        <w:rPr>
          <w:rFonts w:hint="cs"/>
          <w:color w:val="000000"/>
          <w:rtl/>
          <w:lang w:bidi="ar-EG"/>
        </w:rPr>
        <w:t xml:space="preserve"> ونقصر الدفع بالتجريد على حالة التنفيذ  على مال الكفيل قبل مال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ففيما يتعلق بالدفع بوجوب رجوع الدائن على المدين أولا</w:t>
      </w:r>
      <w:r>
        <w:rPr>
          <w:rFonts w:hint="cs"/>
          <w:color w:val="000000"/>
          <w:rtl/>
          <w:lang w:bidi="ar-EG"/>
        </w:rPr>
        <w:t xml:space="preserve"> ،</w:t>
      </w:r>
      <w:r w:rsidRPr="00315653">
        <w:rPr>
          <w:rFonts w:hint="cs"/>
          <w:color w:val="000000"/>
          <w:rtl/>
          <w:lang w:bidi="ar-EG"/>
        </w:rPr>
        <w:t xml:space="preserve"> نبحث شروط هذا الدفع وما يترتب عليه من أثر</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أما شروط الدفع فثلاثة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الشرط الأول</w:t>
      </w:r>
      <w:r>
        <w:rPr>
          <w:rFonts w:hint="cs"/>
          <w:color w:val="000000"/>
          <w:rtl/>
          <w:lang w:bidi="ar-EG"/>
        </w:rPr>
        <w:t xml:space="preserve"> )</w:t>
      </w:r>
      <w:r w:rsidRPr="00315653">
        <w:rPr>
          <w:rFonts w:hint="cs"/>
          <w:color w:val="000000"/>
          <w:rtl/>
          <w:lang w:bidi="ar-EG"/>
        </w:rPr>
        <w:t xml:space="preserve"> بالإضافة إلى أن الكفيل لا يكون متضامناً مع الأصيل كما هو المفروض</w:t>
      </w:r>
      <w:r>
        <w:rPr>
          <w:rFonts w:hint="cs"/>
          <w:color w:val="000000"/>
          <w:vertAlign w:val="superscript"/>
          <w:rtl/>
          <w:lang w:bidi="ar-EG"/>
        </w:rPr>
        <w:t xml:space="preserve">( </w:t>
      </w:r>
      <w:r w:rsidRPr="00315653">
        <w:rPr>
          <w:rStyle w:val="ab"/>
          <w:color w:val="000000"/>
          <w:rtl/>
          <w:lang w:bidi="ar-EG"/>
        </w:rPr>
        <w:footnoteReference w:id="24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يجب أيضاً ألا يكون الكفيل قد نزل عن حقه في رجوع الدائن على المدين أولا قبل أن يرجع عليه</w:t>
      </w:r>
      <w:r>
        <w:rPr>
          <w:rFonts w:hint="cs"/>
          <w:color w:val="000000"/>
          <w:rtl/>
          <w:lang w:bidi="ar-EG"/>
        </w:rPr>
        <w:t xml:space="preserve"> ،</w:t>
      </w:r>
      <w:r w:rsidRPr="00315653">
        <w:rPr>
          <w:rFonts w:hint="cs"/>
          <w:color w:val="000000"/>
          <w:rtl/>
          <w:lang w:bidi="ar-EG"/>
        </w:rPr>
        <w:t xml:space="preserve"> فإن هذا حق قد تقرر لمصلحته فله أن ينزل عنه صراحة أو ضمناً</w:t>
      </w:r>
      <w:r>
        <w:rPr>
          <w:rFonts w:hint="cs"/>
          <w:color w:val="000000"/>
          <w:rtl/>
          <w:lang w:bidi="ar-EG"/>
        </w:rPr>
        <w:t xml:space="preserve"> ،</w:t>
      </w:r>
      <w:r w:rsidRPr="00315653">
        <w:rPr>
          <w:rFonts w:hint="cs"/>
          <w:color w:val="000000"/>
          <w:rtl/>
          <w:lang w:bidi="ar-EG"/>
        </w:rPr>
        <w:t xml:space="preserve"> في عقد الكفالة أو بعد ذلك</w:t>
      </w:r>
      <w:r>
        <w:rPr>
          <w:rFonts w:hint="cs"/>
          <w:color w:val="000000"/>
          <w:vertAlign w:val="superscript"/>
          <w:rtl/>
          <w:lang w:bidi="ar-EG"/>
        </w:rPr>
        <w:t xml:space="preserve">( </w:t>
      </w:r>
      <w:r w:rsidRPr="00315653">
        <w:rPr>
          <w:rStyle w:val="ab"/>
          <w:color w:val="000000"/>
          <w:rtl/>
          <w:lang w:bidi="ar-EG"/>
        </w:rPr>
        <w:footnoteReference w:id="24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الشرط الثاني</w:t>
      </w:r>
      <w:r>
        <w:rPr>
          <w:rFonts w:hint="cs"/>
          <w:color w:val="000000"/>
          <w:rtl/>
          <w:lang w:bidi="ar-EG"/>
        </w:rPr>
        <w:t xml:space="preserve"> )</w:t>
      </w:r>
      <w:r w:rsidRPr="00315653">
        <w:rPr>
          <w:rFonts w:hint="cs"/>
          <w:color w:val="000000"/>
          <w:rtl/>
          <w:lang w:bidi="ar-EG"/>
        </w:rPr>
        <w:t xml:space="preserve"> أن يكون رجوع الدائن على المدين ذا فائدة</w:t>
      </w:r>
      <w:r>
        <w:rPr>
          <w:rFonts w:hint="cs"/>
          <w:color w:val="000000"/>
          <w:rtl/>
          <w:lang w:bidi="ar-EG"/>
        </w:rPr>
        <w:t xml:space="preserve"> .</w:t>
      </w:r>
      <w:r w:rsidRPr="00315653">
        <w:rPr>
          <w:rFonts w:hint="cs"/>
          <w:color w:val="000000"/>
          <w:rtl/>
          <w:lang w:bidi="ar-EG"/>
        </w:rPr>
        <w:t xml:space="preserve"> فإذا كان المدين معسراً</w:t>
      </w:r>
      <w:r>
        <w:rPr>
          <w:rFonts w:hint="cs"/>
          <w:color w:val="000000"/>
          <w:rtl/>
          <w:lang w:bidi="ar-EG"/>
        </w:rPr>
        <w:t xml:space="preserve"> ،</w:t>
      </w:r>
      <w:r w:rsidRPr="00315653">
        <w:rPr>
          <w:rFonts w:hint="cs"/>
          <w:color w:val="000000"/>
          <w:rtl/>
          <w:lang w:bidi="ar-EG"/>
        </w:rPr>
        <w:t xml:space="preserve"> أو ظاهر العجز عن الوفاء بالدين بأن لم تكن له أموال ظاهرة يمكن التنفيذ عليها</w:t>
      </w:r>
      <w:r>
        <w:rPr>
          <w:rFonts w:hint="cs"/>
          <w:color w:val="000000"/>
          <w:rtl/>
          <w:lang w:bidi="ar-EG"/>
        </w:rPr>
        <w:t xml:space="preserve"> ،</w:t>
      </w:r>
      <w:r w:rsidRPr="00315653">
        <w:rPr>
          <w:rFonts w:hint="cs"/>
          <w:color w:val="000000"/>
          <w:rtl/>
          <w:lang w:bidi="ar-EG"/>
        </w:rPr>
        <w:t xml:space="preserve"> فلا فائدة من تمسك الكفيل بحقه ولا مصلحة له في ذلك</w:t>
      </w:r>
      <w:r>
        <w:rPr>
          <w:rFonts w:hint="cs"/>
          <w:color w:val="000000"/>
          <w:rtl/>
          <w:lang w:bidi="ar-EG"/>
        </w:rPr>
        <w:t xml:space="preserve"> .</w:t>
      </w:r>
      <w:r w:rsidRPr="00315653">
        <w:rPr>
          <w:rFonts w:hint="cs"/>
          <w:color w:val="000000"/>
          <w:rtl/>
          <w:lang w:bidi="ar-EG"/>
        </w:rPr>
        <w:t xml:space="preserve"> وعبء الإثبات هنا يقع على الدائن لا على الكفيل</w:t>
      </w:r>
      <w:r>
        <w:rPr>
          <w:rFonts w:hint="cs"/>
          <w:color w:val="000000"/>
          <w:rtl/>
          <w:lang w:bidi="ar-EG"/>
        </w:rPr>
        <w:t xml:space="preserve"> ،</w:t>
      </w:r>
      <w:r w:rsidRPr="00315653">
        <w:rPr>
          <w:rFonts w:hint="cs"/>
          <w:color w:val="000000"/>
          <w:rtl/>
          <w:lang w:bidi="ar-EG"/>
        </w:rPr>
        <w:t xml:space="preserve"> فعلى الدائن أن يثبت أن المدين معسر أو ظاهر العجز عن الوفاء بالدين</w:t>
      </w:r>
      <w:r>
        <w:rPr>
          <w:rFonts w:hint="cs"/>
          <w:color w:val="000000"/>
          <w:rtl/>
          <w:lang w:bidi="ar-EG"/>
        </w:rPr>
        <w:t xml:space="preserve"> ،</w:t>
      </w:r>
      <w:r w:rsidRPr="00315653">
        <w:rPr>
          <w:rFonts w:hint="cs"/>
          <w:color w:val="000000"/>
          <w:rtl/>
          <w:lang w:bidi="ar-EG"/>
        </w:rPr>
        <w:t xml:space="preserve"> وهذا بخلاف الدفع بالتجريد فسنرى أن عبء إثبات وجود أموال للمدين يمكن التنفيذ عليها يقع على الكفيل</w:t>
      </w:r>
      <w:r>
        <w:rPr>
          <w:rFonts w:hint="cs"/>
          <w:color w:val="000000"/>
          <w:rtl/>
          <w:lang w:bidi="ar-EG"/>
        </w:rPr>
        <w:t xml:space="preserve"> .</w:t>
      </w:r>
      <w:r w:rsidRPr="00315653">
        <w:rPr>
          <w:rFonts w:hint="cs"/>
          <w:color w:val="000000"/>
          <w:rtl/>
          <w:lang w:bidi="ar-EG"/>
        </w:rPr>
        <w:t xml:space="preserve"> وخلافاً للدفع $104 بالتجريد أيضاً</w:t>
      </w:r>
      <w:r>
        <w:rPr>
          <w:rFonts w:hint="cs"/>
          <w:color w:val="000000"/>
          <w:rtl/>
          <w:lang w:bidi="ar-EG"/>
        </w:rPr>
        <w:t xml:space="preserve"> ،</w:t>
      </w:r>
      <w:r w:rsidRPr="00315653">
        <w:rPr>
          <w:rFonts w:hint="cs"/>
          <w:color w:val="000000"/>
          <w:rtl/>
          <w:lang w:bidi="ar-EG"/>
        </w:rPr>
        <w:t xml:space="preserve"> لا يلزم لتوافر هذا الشرط الثاني أن يكون عند المدين أموال كافية للوفاء بكل الدين</w:t>
      </w:r>
      <w:r>
        <w:rPr>
          <w:rFonts w:hint="cs"/>
          <w:color w:val="000000"/>
          <w:rtl/>
          <w:lang w:bidi="ar-EG"/>
        </w:rPr>
        <w:t xml:space="preserve"> ،</w:t>
      </w:r>
      <w:r w:rsidRPr="00315653">
        <w:rPr>
          <w:rFonts w:hint="cs"/>
          <w:color w:val="000000"/>
          <w:rtl/>
          <w:lang w:bidi="ar-EG"/>
        </w:rPr>
        <w:t xml:space="preserve"> بل يكفي أن يكون عنده أموال تفي ببعض الدين</w:t>
      </w:r>
      <w:r>
        <w:rPr>
          <w:rFonts w:hint="cs"/>
          <w:color w:val="000000"/>
          <w:rtl/>
          <w:lang w:bidi="ar-EG"/>
        </w:rPr>
        <w:t xml:space="preserve"> ،</w:t>
      </w:r>
      <w:r w:rsidRPr="00315653">
        <w:rPr>
          <w:rFonts w:hint="cs"/>
          <w:color w:val="000000"/>
          <w:rtl/>
          <w:lang w:bidi="ar-EG"/>
        </w:rPr>
        <w:t xml:space="preserve"> فيرجع الدائن على هذه الأموال ثم يستوفي بقية الدين من الكفيل</w:t>
      </w:r>
      <w:r>
        <w:rPr>
          <w:rFonts w:hint="cs"/>
          <w:color w:val="000000"/>
          <w:vertAlign w:val="superscript"/>
          <w:rtl/>
          <w:lang w:bidi="ar-EG"/>
        </w:rPr>
        <w:t xml:space="preserve">( </w:t>
      </w:r>
      <w:r w:rsidRPr="00315653">
        <w:rPr>
          <w:rStyle w:val="ab"/>
          <w:color w:val="000000"/>
          <w:rtl/>
          <w:lang w:bidi="ar-EG"/>
        </w:rPr>
        <w:footnoteReference w:id="24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الدفع بالتجريد تقضي المادة 789/1 مدني</w:t>
      </w:r>
      <w:r>
        <w:rPr>
          <w:rFonts w:hint="cs"/>
          <w:color w:val="000000"/>
          <w:rtl/>
          <w:lang w:bidi="ar-EG"/>
        </w:rPr>
        <w:t xml:space="preserve"> ،</w:t>
      </w:r>
      <w:r w:rsidRPr="00315653">
        <w:rPr>
          <w:rFonts w:hint="cs"/>
          <w:color w:val="000000"/>
          <w:rtl/>
          <w:lang w:bidi="ar-EG"/>
        </w:rPr>
        <w:t xml:space="preserve"> كما سنرى</w:t>
      </w:r>
      <w:r>
        <w:rPr>
          <w:rFonts w:hint="cs"/>
          <w:color w:val="000000"/>
          <w:rtl/>
          <w:lang w:bidi="ar-EG"/>
        </w:rPr>
        <w:t xml:space="preserve"> ،</w:t>
      </w:r>
      <w:r w:rsidRPr="00315653">
        <w:rPr>
          <w:rFonts w:hint="cs"/>
          <w:color w:val="000000"/>
          <w:rtl/>
          <w:lang w:bidi="ar-EG"/>
        </w:rPr>
        <w:t xml:space="preserve"> أنه يجب على الكفيل أن يرشد الدائن "إلى أموال للمدين تفي بالدين كله"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الشرط الثالث</w:t>
      </w:r>
      <w:r>
        <w:rPr>
          <w:rFonts w:hint="cs"/>
          <w:color w:val="000000"/>
          <w:rtl/>
          <w:lang w:bidi="ar-EG"/>
        </w:rPr>
        <w:t xml:space="preserve"> )</w:t>
      </w:r>
      <w:r w:rsidRPr="00315653">
        <w:rPr>
          <w:rFonts w:hint="cs"/>
          <w:color w:val="000000"/>
          <w:rtl/>
          <w:lang w:bidi="ar-EG"/>
        </w:rPr>
        <w:t xml:space="preserve"> أن يتمسك الكفيل بالدفع</w:t>
      </w:r>
      <w:r>
        <w:rPr>
          <w:rFonts w:hint="cs"/>
          <w:color w:val="000000"/>
          <w:rtl/>
          <w:lang w:bidi="ar-EG"/>
        </w:rPr>
        <w:t xml:space="preserve"> .</w:t>
      </w:r>
      <w:r w:rsidRPr="00315653">
        <w:rPr>
          <w:rFonts w:hint="cs"/>
          <w:color w:val="000000"/>
          <w:rtl/>
          <w:lang w:bidi="ar-EG"/>
        </w:rPr>
        <w:t xml:space="preserve"> ويجوز للكفيل أن يتمسك بالدفع في أية حالة كانت عليها الدعوى</w:t>
      </w:r>
      <w:r>
        <w:rPr>
          <w:rFonts w:hint="cs"/>
          <w:color w:val="000000"/>
          <w:rtl/>
          <w:lang w:bidi="ar-EG"/>
        </w:rPr>
        <w:t xml:space="preserve"> ،</w:t>
      </w:r>
      <w:r w:rsidRPr="00315653">
        <w:rPr>
          <w:rFonts w:hint="cs"/>
          <w:color w:val="000000"/>
          <w:rtl/>
          <w:lang w:bidi="ar-EG"/>
        </w:rPr>
        <w:t xml:space="preserve"> ولو لأول مرة أمام محكمة الاستئناف</w:t>
      </w:r>
      <w:r>
        <w:rPr>
          <w:rFonts w:hint="cs"/>
          <w:color w:val="000000"/>
          <w:rtl/>
          <w:lang w:bidi="ar-EG"/>
        </w:rPr>
        <w:t xml:space="preserve"> .</w:t>
      </w:r>
      <w:r w:rsidRPr="00315653">
        <w:rPr>
          <w:rFonts w:hint="cs"/>
          <w:color w:val="000000"/>
          <w:rtl/>
          <w:lang w:bidi="ar-EG"/>
        </w:rPr>
        <w:t xml:space="preserve"> وذلك بأن الدفع هو دفع بعدم قبول الدعوى</w:t>
      </w:r>
      <w:r>
        <w:rPr>
          <w:rFonts w:hint="cs"/>
          <w:color w:val="000000"/>
          <w:rtl/>
          <w:lang w:bidi="ar-EG"/>
        </w:rPr>
        <w:t xml:space="preserve"> ،</w:t>
      </w:r>
      <w:r w:rsidRPr="00315653">
        <w:rPr>
          <w:rFonts w:hint="cs"/>
          <w:color w:val="000000"/>
          <w:rtl/>
          <w:lang w:bidi="ar-EG"/>
        </w:rPr>
        <w:t xml:space="preserve"> والدفع بعدم قبول الدعوى يجوز التمسك به في أية حالة كانت عليها الدعوى</w:t>
      </w:r>
      <w:r>
        <w:rPr>
          <w:rFonts w:hint="cs"/>
          <w:color w:val="000000"/>
          <w:vertAlign w:val="superscript"/>
          <w:rtl/>
          <w:lang w:bidi="ar-EG"/>
        </w:rPr>
        <w:t xml:space="preserve">( </w:t>
      </w:r>
      <w:r w:rsidRPr="00315653">
        <w:rPr>
          <w:rStyle w:val="ab"/>
          <w:color w:val="000000"/>
          <w:rtl/>
          <w:lang w:bidi="ar-EG"/>
        </w:rPr>
        <w:footnoteReference w:id="24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لا بد من أن يتمسك الكفل بهذا الدفع فلا يجوز للمحكمة أن تقضي به من تلقاء نفسها</w:t>
      </w:r>
      <w:r>
        <w:rPr>
          <w:rFonts w:hint="cs"/>
          <w:color w:val="000000"/>
          <w:rtl/>
          <w:lang w:bidi="ar-EG"/>
        </w:rPr>
        <w:t xml:space="preserve"> .</w:t>
      </w:r>
      <w:r w:rsidRPr="00315653">
        <w:rPr>
          <w:rFonts w:hint="cs"/>
          <w:color w:val="000000"/>
          <w:rtl/>
          <w:lang w:bidi="ar-EG"/>
        </w:rPr>
        <w:t xml:space="preserve"> وما دام الكفيل يجوز له النزول عن الدفع كما قدمنا</w:t>
      </w:r>
      <w:r>
        <w:rPr>
          <w:rFonts w:hint="cs"/>
          <w:color w:val="000000"/>
          <w:rtl/>
          <w:lang w:bidi="ar-EG"/>
        </w:rPr>
        <w:t xml:space="preserve"> ،</w:t>
      </w:r>
      <w:r w:rsidRPr="00315653">
        <w:rPr>
          <w:rFonts w:hint="cs"/>
          <w:color w:val="000000"/>
          <w:rtl/>
          <w:lang w:bidi="ar-EG"/>
        </w:rPr>
        <w:t xml:space="preserve"> فسكوته عنه قد يحمل على أنه أراد النزول</w:t>
      </w:r>
      <w:r>
        <w:rPr>
          <w:rFonts w:hint="cs"/>
          <w:color w:val="000000"/>
          <w:rtl/>
          <w:lang w:bidi="ar-EG"/>
        </w:rPr>
        <w:t xml:space="preserve"> ،</w:t>
      </w:r>
      <w:r w:rsidRPr="00315653">
        <w:rPr>
          <w:rFonts w:hint="cs"/>
          <w:color w:val="000000"/>
          <w:rtl/>
          <w:lang w:bidi="ar-EG"/>
        </w:rPr>
        <w:t xml:space="preserve"> فإذا لم يكن قد نزل وجب عليه أن يتمسك به ولا يجوز للمحكمة أن تقضي به من تلقاء نفسها</w:t>
      </w:r>
      <w:r>
        <w:rPr>
          <w:rFonts w:hint="cs"/>
          <w:color w:val="000000"/>
          <w:rtl/>
          <w:lang w:bidi="ar-EG"/>
        </w:rPr>
        <w:t xml:space="preserve"> .</w:t>
      </w:r>
      <w:r w:rsidRPr="00315653">
        <w:rPr>
          <w:rFonts w:hint="cs"/>
          <w:color w:val="000000"/>
          <w:rtl/>
          <w:lang w:bidi="ar-EG"/>
        </w:rPr>
        <w:t xml:space="preserve"> والذي أوجد الشبهة في هذه المسألة أن الفقرة الأولى من المادة 788 مدني الخاصة بهذا الدفع لا تصرح بوجوب أن يتمسك به الكفيل</w:t>
      </w:r>
      <w:r>
        <w:rPr>
          <w:rFonts w:hint="cs"/>
          <w:color w:val="000000"/>
          <w:rtl/>
          <w:lang w:bidi="ar-EG"/>
        </w:rPr>
        <w:t xml:space="preserve"> ،</w:t>
      </w:r>
      <w:r w:rsidRPr="00315653">
        <w:rPr>
          <w:rFonts w:hint="cs"/>
          <w:color w:val="000000"/>
          <w:rtl/>
          <w:lang w:bidi="ar-EG"/>
        </w:rPr>
        <w:t xml:space="preserve"> أما الفقرة الثانية من نفس المادة وهي الخاصة بالدفع بالتجريد فتصرح بوجوب تمسك الكفيل </w:t>
      </w:r>
      <w:r w:rsidRPr="00315653">
        <w:rPr>
          <w:rFonts w:hint="cs"/>
          <w:color w:val="000000"/>
          <w:rtl/>
          <w:lang w:bidi="ar-EG"/>
        </w:rPr>
        <w:lastRenderedPageBreak/>
        <w:t>بالدفع</w:t>
      </w:r>
      <w:r>
        <w:rPr>
          <w:rFonts w:hint="cs"/>
          <w:color w:val="000000"/>
          <w:rtl/>
          <w:lang w:bidi="ar-EG"/>
        </w:rPr>
        <w:t xml:space="preserve"> .</w:t>
      </w:r>
      <w:r w:rsidRPr="00315653">
        <w:rPr>
          <w:rFonts w:hint="cs"/>
          <w:color w:val="000000"/>
          <w:rtl/>
          <w:lang w:bidi="ar-EG"/>
        </w:rPr>
        <w:t xml:space="preserve"> ففهم بعض الفقهاء</w:t>
      </w:r>
      <w:r>
        <w:rPr>
          <w:rFonts w:hint="cs"/>
          <w:color w:val="000000"/>
          <w:vertAlign w:val="superscript"/>
          <w:rtl/>
          <w:lang w:bidi="ar-EG"/>
        </w:rPr>
        <w:t xml:space="preserve">( </w:t>
      </w:r>
      <w:r w:rsidRPr="00315653">
        <w:rPr>
          <w:rStyle w:val="ab"/>
          <w:color w:val="000000"/>
          <w:rtl/>
          <w:lang w:bidi="ar-EG"/>
        </w:rPr>
        <w:footnoteReference w:id="248"/>
      </w:r>
      <w:r>
        <w:rPr>
          <w:rFonts w:hint="cs"/>
          <w:color w:val="000000"/>
          <w:vertAlign w:val="superscript"/>
          <w:rtl/>
          <w:lang w:bidi="ar-EG"/>
        </w:rPr>
        <w:t xml:space="preserve"> )</w:t>
      </w:r>
      <w:r w:rsidRPr="00315653">
        <w:rPr>
          <w:rFonts w:hint="cs"/>
          <w:color w:val="000000"/>
          <w:rtl/>
          <w:lang w:bidi="ar-EG"/>
        </w:rPr>
        <w:t xml:space="preserve"> من ذلك</w:t>
      </w:r>
      <w:r>
        <w:rPr>
          <w:rFonts w:hint="cs"/>
          <w:color w:val="000000"/>
          <w:rtl/>
          <w:lang w:bidi="ar-EG"/>
        </w:rPr>
        <w:t xml:space="preserve"> ،</w:t>
      </w:r>
      <w:r w:rsidRPr="00315653">
        <w:rPr>
          <w:rFonts w:hint="cs"/>
          <w:color w:val="000000"/>
          <w:rtl/>
          <w:lang w:bidi="ar-EG"/>
        </w:rPr>
        <w:t xml:space="preserve"> بمفهوم المخالفة</w:t>
      </w:r>
      <w:r>
        <w:rPr>
          <w:rFonts w:hint="cs"/>
          <w:color w:val="000000"/>
          <w:rtl/>
          <w:lang w:bidi="ar-EG"/>
        </w:rPr>
        <w:t xml:space="preserve"> ،</w:t>
      </w:r>
      <w:r w:rsidRPr="00315653">
        <w:rPr>
          <w:rFonts w:hint="cs"/>
          <w:color w:val="000000"/>
          <w:rtl/>
          <w:lang w:bidi="ar-EG"/>
        </w:rPr>
        <w:t xml:space="preserve"> أنه ليس من الواجب على الكفيل التمسك بهذا الدفع بل يجوز للمحكمة أن تقضي به من تلقاء نفسها</w:t>
      </w:r>
      <w:r>
        <w:rPr>
          <w:rFonts w:hint="cs"/>
          <w:color w:val="000000"/>
          <w:rtl/>
          <w:lang w:bidi="ar-EG"/>
        </w:rPr>
        <w:t xml:space="preserve"> ،</w:t>
      </w:r>
      <w:r w:rsidRPr="00315653">
        <w:rPr>
          <w:rFonts w:hint="cs"/>
          <w:color w:val="000000"/>
          <w:rtl/>
          <w:lang w:bidi="ar-EG"/>
        </w:rPr>
        <w:t xml:space="preserve"> خلافاً للدفع بل يجوز للمحكمة أن تقضي به من تلقاء نفسها</w:t>
      </w:r>
      <w:r>
        <w:rPr>
          <w:rFonts w:hint="cs"/>
          <w:color w:val="000000"/>
          <w:rtl/>
          <w:lang w:bidi="ar-EG"/>
        </w:rPr>
        <w:t xml:space="preserve"> ،</w:t>
      </w:r>
      <w:r w:rsidRPr="00315653">
        <w:rPr>
          <w:rFonts w:hint="cs"/>
          <w:color w:val="000000"/>
          <w:rtl/>
          <w:lang w:bidi="ar-EG"/>
        </w:rPr>
        <w:t xml:space="preserve"> خلافاً للدفع بالتجريد</w:t>
      </w:r>
      <w:r>
        <w:rPr>
          <w:rFonts w:hint="cs"/>
          <w:color w:val="000000"/>
          <w:rtl/>
          <w:lang w:bidi="ar-EG"/>
        </w:rPr>
        <w:t xml:space="preserve"> .</w:t>
      </w:r>
      <w:r w:rsidRPr="00315653">
        <w:rPr>
          <w:rFonts w:hint="cs"/>
          <w:color w:val="000000"/>
          <w:rtl/>
          <w:lang w:bidi="ar-EG"/>
        </w:rPr>
        <w:t xml:space="preserve"> ولكن الرجوع إلى الأعمال التحضيرية يبين أن هذا لم يكن مقصوداً</w:t>
      </w:r>
      <w:r>
        <w:rPr>
          <w:rFonts w:hint="cs"/>
          <w:color w:val="000000"/>
          <w:rtl/>
          <w:lang w:bidi="ar-EG"/>
        </w:rPr>
        <w:t xml:space="preserve"> ،</w:t>
      </w:r>
      <w:r w:rsidRPr="00315653">
        <w:rPr>
          <w:rFonts w:hint="cs"/>
          <w:color w:val="000000"/>
          <w:rtl/>
          <w:lang w:bidi="ar-EG"/>
        </w:rPr>
        <w:t xml:space="preserve"> بل على العكس من ذلك كانت $105 لجنة المراجعة قد أضافت فقرة توجب فيها في هذا الدفع وفي الدفع بالتجريد معاً أن يتمسك الكفيل بالدفع</w:t>
      </w:r>
      <w:r>
        <w:rPr>
          <w:rFonts w:hint="cs"/>
          <w:color w:val="000000"/>
          <w:rtl/>
          <w:lang w:bidi="ar-EG"/>
        </w:rPr>
        <w:t xml:space="preserve"> ،</w:t>
      </w:r>
      <w:r w:rsidRPr="00315653">
        <w:rPr>
          <w:rFonts w:hint="cs"/>
          <w:color w:val="000000"/>
          <w:rtl/>
          <w:lang w:bidi="ar-EG"/>
        </w:rPr>
        <w:t xml:space="preserve"> وكانت هذه الفقرة تجري على الوجه الآتي</w:t>
      </w:r>
      <w:r>
        <w:rPr>
          <w:rFonts w:hint="cs"/>
          <w:color w:val="000000"/>
          <w:rtl/>
          <w:lang w:bidi="ar-EG"/>
        </w:rPr>
        <w:t xml:space="preserve"> :</w:t>
      </w:r>
      <w:r w:rsidRPr="00315653">
        <w:rPr>
          <w:rFonts w:hint="cs"/>
          <w:color w:val="000000"/>
          <w:rtl/>
          <w:lang w:bidi="ar-EG"/>
        </w:rPr>
        <w:t xml:space="preserve"> "يجب على الكفيل في الحالتين أن يتمسك بهذا الحق"</w:t>
      </w:r>
      <w:r>
        <w:rPr>
          <w:rFonts w:hint="cs"/>
          <w:color w:val="000000"/>
          <w:rtl/>
          <w:lang w:bidi="ar-EG"/>
        </w:rPr>
        <w:t xml:space="preserve"> .</w:t>
      </w:r>
      <w:r w:rsidRPr="00315653">
        <w:rPr>
          <w:rFonts w:hint="cs"/>
          <w:color w:val="000000"/>
          <w:rtl/>
          <w:lang w:bidi="ar-EG"/>
        </w:rPr>
        <w:t xml:space="preserve"> وكان من الخير إبقاء هذه الفقرة</w:t>
      </w:r>
      <w:r>
        <w:rPr>
          <w:rFonts w:hint="cs"/>
          <w:color w:val="000000"/>
          <w:rtl/>
          <w:lang w:bidi="ar-EG"/>
        </w:rPr>
        <w:t xml:space="preserve"> ،</w:t>
      </w:r>
      <w:r w:rsidRPr="00315653">
        <w:rPr>
          <w:rFonts w:hint="cs"/>
          <w:color w:val="000000"/>
          <w:rtl/>
          <w:lang w:bidi="ar-EG"/>
        </w:rPr>
        <w:t xml:space="preserve"> ولكن لجنة مجلس الشيوخ أدمجتها بالفقرة التي قبلها فجعلتها لا تنصرف في الظاهر إلا إلى الدفع بالتجريد</w:t>
      </w:r>
      <w:r>
        <w:rPr>
          <w:rFonts w:hint="cs"/>
          <w:color w:val="000000"/>
          <w:rtl/>
          <w:lang w:bidi="ar-EG"/>
        </w:rPr>
        <w:t xml:space="preserve"> ،</w:t>
      </w:r>
      <w:r w:rsidRPr="00315653">
        <w:rPr>
          <w:rFonts w:hint="cs"/>
          <w:color w:val="000000"/>
          <w:rtl/>
          <w:lang w:bidi="ar-EG"/>
        </w:rPr>
        <w:t xml:space="preserve"> إذ جرت بما يأتي</w:t>
      </w:r>
      <w:r>
        <w:rPr>
          <w:rFonts w:hint="cs"/>
          <w:color w:val="000000"/>
          <w:rtl/>
          <w:lang w:bidi="ar-EG"/>
        </w:rPr>
        <w:t xml:space="preserve"> :</w:t>
      </w:r>
      <w:r w:rsidRPr="00315653">
        <w:rPr>
          <w:rFonts w:hint="cs"/>
          <w:color w:val="000000"/>
          <w:rtl/>
          <w:lang w:bidi="ar-EG"/>
        </w:rPr>
        <w:t xml:space="preserve"> "ولا يجوز له </w:t>
      </w:r>
      <w:r>
        <w:rPr>
          <w:rFonts w:hint="cs"/>
          <w:color w:val="000000"/>
          <w:rtl/>
          <w:lang w:bidi="ar-EG"/>
        </w:rPr>
        <w:t xml:space="preserve">( </w:t>
      </w:r>
      <w:r w:rsidRPr="00315653">
        <w:rPr>
          <w:rFonts w:hint="cs"/>
          <w:color w:val="000000"/>
          <w:rtl/>
          <w:lang w:bidi="ar-EG"/>
        </w:rPr>
        <w:t>للدائن</w:t>
      </w:r>
      <w:r>
        <w:rPr>
          <w:rFonts w:hint="cs"/>
          <w:color w:val="000000"/>
          <w:rtl/>
          <w:lang w:bidi="ar-EG"/>
        </w:rPr>
        <w:t xml:space="preserve"> )</w:t>
      </w:r>
      <w:r w:rsidRPr="00315653">
        <w:rPr>
          <w:rFonts w:hint="cs"/>
          <w:color w:val="000000"/>
          <w:rtl/>
          <w:lang w:bidi="ar-EG"/>
        </w:rPr>
        <w:t xml:space="preserve"> أن ينفذ على أموال الكفيل إلا بعد تجريد المدين من أمواله</w:t>
      </w:r>
      <w:r>
        <w:rPr>
          <w:rFonts w:hint="cs"/>
          <w:color w:val="000000"/>
          <w:rtl/>
          <w:lang w:bidi="ar-EG"/>
        </w:rPr>
        <w:t xml:space="preserve"> ،</w:t>
      </w:r>
      <w:r w:rsidRPr="00315653">
        <w:rPr>
          <w:rFonts w:hint="cs"/>
          <w:color w:val="000000"/>
          <w:rtl/>
          <w:lang w:bidi="ar-EG"/>
        </w:rPr>
        <w:t xml:space="preserve"> ويجب على الكفيل في هذه الحالة أن يتمسك بهذا الحق"</w:t>
      </w:r>
      <w:r>
        <w:rPr>
          <w:rFonts w:hint="cs"/>
          <w:color w:val="000000"/>
          <w:rtl/>
          <w:lang w:bidi="ar-EG"/>
        </w:rPr>
        <w:t xml:space="preserve"> .</w:t>
      </w:r>
      <w:r w:rsidRPr="00315653">
        <w:rPr>
          <w:rFonts w:hint="cs"/>
          <w:color w:val="000000"/>
          <w:rtl/>
          <w:lang w:bidi="ar-EG"/>
        </w:rPr>
        <w:t xml:space="preserve"> ولم تقصد لجنة مجلس الشيوخ أن تنفي</w:t>
      </w:r>
      <w:r>
        <w:rPr>
          <w:rFonts w:hint="cs"/>
          <w:color w:val="000000"/>
          <w:rtl/>
          <w:lang w:bidi="ar-EG"/>
        </w:rPr>
        <w:t xml:space="preserve"> ،</w:t>
      </w:r>
      <w:r w:rsidRPr="00315653">
        <w:rPr>
          <w:rFonts w:hint="cs"/>
          <w:color w:val="000000"/>
          <w:rtl/>
          <w:lang w:bidi="ar-EG"/>
        </w:rPr>
        <w:t xml:space="preserve"> عن الدفع الذي نحن بصدده وجوب تمسك الكفيل به كما يتمسك بالدفع بالتجريد</w:t>
      </w:r>
      <w:r>
        <w:rPr>
          <w:rFonts w:hint="cs"/>
          <w:color w:val="000000"/>
          <w:rtl/>
          <w:lang w:bidi="ar-EG"/>
        </w:rPr>
        <w:t xml:space="preserve"> ،</w:t>
      </w:r>
      <w:r w:rsidRPr="00315653">
        <w:rPr>
          <w:rFonts w:hint="cs"/>
          <w:color w:val="000000"/>
          <w:rtl/>
          <w:lang w:bidi="ar-EG"/>
        </w:rPr>
        <w:t xml:space="preserve"> بل كل ما قصدته إدماج الفقرة الثالثة في الفقرة الثانية دون تغيير في الحكم الخاص بوجوب تمسك الكفيل بكل من الدفعين</w:t>
      </w:r>
      <w:r>
        <w:rPr>
          <w:rFonts w:hint="cs"/>
          <w:color w:val="000000"/>
          <w:rtl/>
          <w:lang w:bidi="ar-EG"/>
        </w:rPr>
        <w:t xml:space="preserve"> ،</w:t>
      </w:r>
      <w:r w:rsidRPr="00315653">
        <w:rPr>
          <w:rFonts w:hint="cs"/>
          <w:color w:val="000000"/>
          <w:rtl/>
          <w:lang w:bidi="ar-EG"/>
        </w:rPr>
        <w:t xml:space="preserve"> وقد جاء في تقريرها في هذا الخصوص</w:t>
      </w:r>
      <w:r>
        <w:rPr>
          <w:rFonts w:hint="cs"/>
          <w:color w:val="000000"/>
          <w:rtl/>
          <w:lang w:bidi="ar-EG"/>
        </w:rPr>
        <w:t xml:space="preserve"> :</w:t>
      </w:r>
      <w:r w:rsidRPr="00315653">
        <w:rPr>
          <w:rFonts w:hint="cs"/>
          <w:color w:val="000000"/>
          <w:rtl/>
          <w:lang w:bidi="ar-EG"/>
        </w:rPr>
        <w:t xml:space="preserve"> "أدمجت اللجنة الفقرة الثالثة من هذه المادة في الفقرة الثانية مع تعديل لفظي طفيف لا يمس جوهر الحكم"</w:t>
      </w:r>
      <w:r>
        <w:rPr>
          <w:rFonts w:hint="cs"/>
          <w:color w:val="000000"/>
          <w:vertAlign w:val="superscript"/>
          <w:rtl/>
          <w:lang w:bidi="ar-EG"/>
        </w:rPr>
        <w:t xml:space="preserve">( </w:t>
      </w:r>
      <w:r w:rsidRPr="00315653">
        <w:rPr>
          <w:rStyle w:val="ab"/>
          <w:color w:val="000000"/>
          <w:rtl/>
          <w:lang w:bidi="ar-EG"/>
        </w:rPr>
        <w:footnoteReference w:id="24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لذلك يجب القول بأن الكفيل</w:t>
      </w:r>
      <w:r>
        <w:rPr>
          <w:rFonts w:hint="cs"/>
          <w:color w:val="000000"/>
          <w:rtl/>
          <w:lang w:bidi="ar-EG"/>
        </w:rPr>
        <w:t xml:space="preserve"> ،</w:t>
      </w:r>
      <w:r w:rsidRPr="00315653">
        <w:rPr>
          <w:rFonts w:hint="cs"/>
          <w:color w:val="000000"/>
          <w:rtl/>
          <w:lang w:bidi="ar-EG"/>
        </w:rPr>
        <w:t xml:space="preserve"> كما يجب عليه التمسك بالدفع بالتجريد</w:t>
      </w:r>
      <w:r>
        <w:rPr>
          <w:rFonts w:hint="cs"/>
          <w:color w:val="000000"/>
          <w:rtl/>
          <w:lang w:bidi="ar-EG"/>
        </w:rPr>
        <w:t xml:space="preserve"> ،</w:t>
      </w:r>
      <w:r w:rsidRPr="00315653">
        <w:rPr>
          <w:rFonts w:hint="cs"/>
          <w:color w:val="000000"/>
          <w:rtl/>
          <w:lang w:bidi="ar-EG"/>
        </w:rPr>
        <w:t xml:space="preserve"> يجب عليه أيضاً التمسك بالدفع بوجوب رجوع الدائن على المدين أولا</w:t>
      </w:r>
      <w:r>
        <w:rPr>
          <w:rFonts w:hint="cs"/>
          <w:color w:val="000000"/>
          <w:vertAlign w:val="superscript"/>
          <w:rtl/>
          <w:lang w:bidi="ar-EG"/>
        </w:rPr>
        <w:t xml:space="preserve">( </w:t>
      </w:r>
      <w:r w:rsidRPr="00315653">
        <w:rPr>
          <w:rStyle w:val="ab"/>
          <w:color w:val="000000"/>
          <w:rtl/>
          <w:lang w:bidi="ar-EG"/>
        </w:rPr>
        <w:footnoteReference w:id="25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ويترتب على التمسك بالدفع بوجوب رجوع الدائن على المدين أولا</w:t>
      </w:r>
      <w:r>
        <w:rPr>
          <w:rFonts w:hint="cs"/>
          <w:color w:val="000000"/>
          <w:rtl/>
          <w:lang w:bidi="ar-EG"/>
        </w:rPr>
        <w:t xml:space="preserve"> ،</w:t>
      </w:r>
      <w:r w:rsidRPr="00315653">
        <w:rPr>
          <w:rFonts w:hint="cs"/>
          <w:color w:val="000000"/>
          <w:rtl/>
          <w:lang w:bidi="ar-EG"/>
        </w:rPr>
        <w:t xml:space="preserve"> إذا استوفى هذا الدفع الشروط الثلاثة السابق بيانها</w:t>
      </w:r>
      <w:r>
        <w:rPr>
          <w:rFonts w:hint="cs"/>
          <w:color w:val="000000"/>
          <w:rtl/>
          <w:lang w:bidi="ar-EG"/>
        </w:rPr>
        <w:t xml:space="preserve"> ،</w:t>
      </w:r>
      <w:r w:rsidRPr="00315653">
        <w:rPr>
          <w:rFonts w:hint="cs"/>
          <w:color w:val="000000"/>
          <w:rtl/>
          <w:lang w:bidi="ar-EG"/>
        </w:rPr>
        <w:t xml:space="preserve"> أن يقضي بعدم قبول الدعوى التي رفعها الدائن على الكفيل وحده</w:t>
      </w:r>
      <w:r>
        <w:rPr>
          <w:rFonts w:hint="cs"/>
          <w:color w:val="000000"/>
          <w:rtl/>
          <w:lang w:bidi="ar-EG"/>
        </w:rPr>
        <w:t xml:space="preserve"> .</w:t>
      </w:r>
      <w:r w:rsidRPr="00315653">
        <w:rPr>
          <w:rFonts w:hint="cs"/>
          <w:color w:val="000000"/>
          <w:rtl/>
          <w:lang w:bidi="ar-EG"/>
        </w:rPr>
        <w:t xml:space="preserve"> ويجب عندئذ على الدائن</w:t>
      </w:r>
      <w:r>
        <w:rPr>
          <w:rFonts w:hint="cs"/>
          <w:color w:val="000000"/>
          <w:rtl/>
          <w:lang w:bidi="ar-EG"/>
        </w:rPr>
        <w:t xml:space="preserve"> ،</w:t>
      </w:r>
      <w:r w:rsidRPr="00315653">
        <w:rPr>
          <w:rFonts w:hint="cs"/>
          <w:color w:val="000000"/>
          <w:rtl/>
          <w:lang w:bidi="ar-EG"/>
        </w:rPr>
        <w:t xml:space="preserve"> إذا لم يرفع الدعوى على كل من المدين والكفيل في وقت واحد فتكون مقبولة كما قدمنا</w:t>
      </w:r>
      <w:r>
        <w:rPr>
          <w:rFonts w:hint="cs"/>
          <w:color w:val="000000"/>
          <w:rtl/>
          <w:lang w:bidi="ar-EG"/>
        </w:rPr>
        <w:t xml:space="preserve"> ،</w:t>
      </w:r>
      <w:r w:rsidRPr="00315653">
        <w:rPr>
          <w:rFonts w:hint="cs"/>
          <w:color w:val="000000"/>
          <w:rtl/>
          <w:lang w:bidi="ar-EG"/>
        </w:rPr>
        <w:t xml:space="preserve"> أن يرجع على المدين أولا يطالبه قضائيا</w:t>
      </w:r>
      <w:r w:rsidRPr="00315653">
        <w:rPr>
          <w:rFonts w:hint="cs"/>
          <w:color w:val="000000"/>
          <w:rtl/>
        </w:rPr>
        <w:t>ً</w:t>
      </w:r>
      <w:r w:rsidRPr="00315653">
        <w:rPr>
          <w:rFonts w:hint="cs"/>
          <w:color w:val="000000"/>
          <w:rtl/>
          <w:lang w:bidi="ar-EG"/>
        </w:rPr>
        <w:t xml:space="preserve"> بوفاء الدين</w:t>
      </w:r>
      <w:r>
        <w:rPr>
          <w:rFonts w:hint="cs"/>
          <w:color w:val="000000"/>
          <w:rtl/>
          <w:lang w:bidi="ar-EG"/>
        </w:rPr>
        <w:t xml:space="preserve"> .</w:t>
      </w:r>
      <w:r w:rsidRPr="00315653">
        <w:rPr>
          <w:rFonts w:hint="cs"/>
          <w:color w:val="000000"/>
          <w:rtl/>
          <w:lang w:bidi="ar-EG"/>
        </w:rPr>
        <w:t xml:space="preserve"> فلا يكفي إذن إعذار المدين بالوفاء</w:t>
      </w:r>
      <w:r>
        <w:rPr>
          <w:rFonts w:hint="cs"/>
          <w:color w:val="000000"/>
          <w:rtl/>
          <w:lang w:bidi="ar-EG"/>
        </w:rPr>
        <w:t xml:space="preserve"> ،</w:t>
      </w:r>
      <w:r w:rsidRPr="00315653">
        <w:rPr>
          <w:rFonts w:hint="cs"/>
          <w:color w:val="000000"/>
          <w:rtl/>
          <w:lang w:bidi="ar-EG"/>
        </w:rPr>
        <w:t xml:space="preserve"> بل تجب المطالبة القضائية</w:t>
      </w:r>
      <w:r>
        <w:rPr>
          <w:rFonts w:hint="cs"/>
          <w:color w:val="000000"/>
          <w:rtl/>
          <w:lang w:bidi="ar-EG"/>
        </w:rPr>
        <w:t xml:space="preserve"> .</w:t>
      </w:r>
      <w:r w:rsidRPr="00315653">
        <w:rPr>
          <w:rFonts w:hint="cs"/>
          <w:color w:val="000000"/>
          <w:rtl/>
          <w:lang w:bidi="ar-EG"/>
        </w:rPr>
        <w:t xml:space="preserve"> ويحل محل المطالبة القضائية التنبيه بالوفاء </w:t>
      </w:r>
      <w:r>
        <w:rPr>
          <w:color w:val="000000"/>
          <w:rtl/>
          <w:lang w:bidi="ar-EG"/>
        </w:rPr>
        <w:t xml:space="preserve">( </w:t>
      </w:r>
      <w:r w:rsidRPr="00315653">
        <w:rPr>
          <w:color w:val="000000"/>
          <w:lang w:bidi="ar-EG"/>
        </w:rPr>
        <w:t>commandement</w:t>
      </w:r>
      <w:r>
        <w:rPr>
          <w:color w:val="000000"/>
          <w:rtl/>
          <w:lang w:bidi="ar-EG"/>
        </w:rPr>
        <w:t xml:space="preserve"> )</w:t>
      </w:r>
      <w:r>
        <w:rPr>
          <w:rFonts w:hint="cs"/>
          <w:color w:val="000000"/>
          <w:rtl/>
        </w:rPr>
        <w:t xml:space="preserve"> ،</w:t>
      </w:r>
      <w:r w:rsidRPr="00315653">
        <w:rPr>
          <w:rFonts w:hint="cs"/>
          <w:color w:val="000000"/>
          <w:rtl/>
        </w:rPr>
        <w:t xml:space="preserve"> إذا كان لدى الدائن سند رسمي قابل للتنفيذ ضد المدين</w:t>
      </w:r>
      <w:r>
        <w:rPr>
          <w:rFonts w:hint="cs"/>
          <w:color w:val="000000"/>
          <w:rtl/>
        </w:rPr>
        <w:t xml:space="preserve"> .</w:t>
      </w:r>
      <w:r w:rsidRPr="00315653">
        <w:rPr>
          <w:rFonts w:hint="cs"/>
          <w:color w:val="000000"/>
          <w:rtl/>
        </w:rPr>
        <w:t xml:space="preserve"> كذلك يحل محل المطالبة القضائية</w:t>
      </w:r>
      <w:r>
        <w:rPr>
          <w:rFonts w:hint="cs"/>
          <w:color w:val="000000"/>
          <w:rtl/>
        </w:rPr>
        <w:t xml:space="preserve"> ،</w:t>
      </w:r>
      <w:r w:rsidRPr="00315653">
        <w:rPr>
          <w:rFonts w:hint="cs"/>
          <w:color w:val="000000"/>
          <w:rtl/>
        </w:rPr>
        <w:t xml:space="preserve"> إذ كان $106 المدين قد أفلس فامتنع على الدائن اتخاذ إجراءات فردية ضده</w:t>
      </w:r>
      <w:r>
        <w:rPr>
          <w:rFonts w:hint="cs"/>
          <w:color w:val="000000"/>
          <w:rtl/>
        </w:rPr>
        <w:t xml:space="preserve"> ،</w:t>
      </w:r>
      <w:r w:rsidRPr="00315653">
        <w:rPr>
          <w:rFonts w:hint="cs"/>
          <w:color w:val="000000"/>
          <w:rtl/>
        </w:rPr>
        <w:t xml:space="preserve"> أن يتقدم الدائن بحقه في التفليسة</w:t>
      </w:r>
      <w:r>
        <w:rPr>
          <w:rFonts w:hint="cs"/>
          <w:color w:val="000000"/>
          <w:rtl/>
        </w:rPr>
        <w:t xml:space="preserve"> ،</w:t>
      </w:r>
      <w:r w:rsidRPr="00315653">
        <w:rPr>
          <w:rFonts w:hint="cs"/>
          <w:color w:val="000000"/>
          <w:rtl/>
        </w:rPr>
        <w:t xml:space="preserve"> وهذا يعتبر رجوعاً على المدين</w:t>
      </w:r>
      <w:r>
        <w:rPr>
          <w:rFonts w:hint="cs"/>
          <w:color w:val="000000"/>
          <w:vertAlign w:val="superscript"/>
          <w:rtl/>
          <w:lang w:bidi="ar-EG"/>
        </w:rPr>
        <w:t xml:space="preserve">( </w:t>
      </w:r>
      <w:r w:rsidRPr="00315653">
        <w:rPr>
          <w:rStyle w:val="ab"/>
          <w:color w:val="000000"/>
          <w:rtl/>
          <w:lang w:bidi="ar-EG"/>
        </w:rPr>
        <w:footnoteReference w:id="25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45- تمسك الكفيل بالدفوع التي يحتج بها المدين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782 مدني على ما يأتي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"1- يبرأ الكفيل بمجرد براءة المدين</w:t>
      </w:r>
      <w:r>
        <w:rPr>
          <w:rFonts w:hint="cs"/>
          <w:color w:val="000000"/>
          <w:rtl/>
        </w:rPr>
        <w:t xml:space="preserve"> ،</w:t>
      </w:r>
      <w:r w:rsidRPr="00315653">
        <w:rPr>
          <w:rFonts w:hint="cs"/>
          <w:color w:val="000000"/>
          <w:rtl/>
        </w:rPr>
        <w:t xml:space="preserve"> وله أن يتمسك بجميع الأوجه التي يحتج بها المدين"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"2- على أنه إذا كان الوجه الذي يحتج به المدين هو نقص أهليته</w:t>
      </w:r>
      <w:r>
        <w:rPr>
          <w:rFonts w:hint="cs"/>
          <w:color w:val="000000"/>
          <w:rtl/>
        </w:rPr>
        <w:t xml:space="preserve"> ،</w:t>
      </w:r>
      <w:r w:rsidRPr="00315653">
        <w:rPr>
          <w:rFonts w:hint="cs"/>
          <w:color w:val="000000"/>
          <w:rtl/>
        </w:rPr>
        <w:t xml:space="preserve"> وكان الكفيل عالماً بذلك وقت التعاقد</w:t>
      </w:r>
      <w:r>
        <w:rPr>
          <w:rFonts w:hint="cs"/>
          <w:color w:val="000000"/>
          <w:rtl/>
        </w:rPr>
        <w:t xml:space="preserve"> ،</w:t>
      </w:r>
      <w:r w:rsidRPr="00315653">
        <w:rPr>
          <w:rFonts w:hint="cs"/>
          <w:color w:val="000000"/>
          <w:rtl/>
        </w:rPr>
        <w:t xml:space="preserve"> فليس له أن يحتج بهذا الوجه"</w:t>
      </w:r>
      <w:r>
        <w:rPr>
          <w:rFonts w:hint="cs"/>
          <w:color w:val="000000"/>
          <w:vertAlign w:val="superscript"/>
          <w:rtl/>
          <w:lang w:bidi="ar-EG"/>
        </w:rPr>
        <w:t xml:space="preserve">( </w:t>
      </w:r>
      <w:r w:rsidRPr="00315653">
        <w:rPr>
          <w:rStyle w:val="ab"/>
          <w:color w:val="000000"/>
          <w:rtl/>
          <w:lang w:bidi="ar-EG"/>
        </w:rPr>
        <w:footnoteReference w:id="25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$107</w:t>
      </w:r>
      <w:r w:rsidRPr="00315653">
        <w:rPr>
          <w:rFonts w:hint="cs"/>
          <w:color w:val="000000"/>
          <w:rtl/>
        </w:rPr>
        <w:t xml:space="preserve"> ويخلص من هذا النص أن الأصل</w:t>
      </w:r>
      <w:r>
        <w:rPr>
          <w:rFonts w:hint="cs"/>
          <w:color w:val="000000"/>
          <w:rtl/>
        </w:rPr>
        <w:t xml:space="preserve"> ،</w:t>
      </w:r>
      <w:r w:rsidRPr="00315653">
        <w:rPr>
          <w:rFonts w:hint="cs"/>
          <w:color w:val="000000"/>
          <w:rtl/>
        </w:rPr>
        <w:t xml:space="preserve"> كما تقول المذكرة الإيضاحية للمشروع التمهيدي</w:t>
      </w:r>
      <w:r>
        <w:rPr>
          <w:rFonts w:hint="cs"/>
          <w:color w:val="000000"/>
          <w:vertAlign w:val="superscript"/>
          <w:rtl/>
          <w:lang w:bidi="ar-EG"/>
        </w:rPr>
        <w:t xml:space="preserve">( </w:t>
      </w:r>
      <w:r w:rsidRPr="00315653">
        <w:rPr>
          <w:rStyle w:val="ab"/>
          <w:color w:val="000000"/>
          <w:rtl/>
          <w:lang w:bidi="ar-EG"/>
        </w:rPr>
        <w:footnoteReference w:id="25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أن "التزام الكفيل تابع للالتزام الأصلي</w:t>
      </w:r>
      <w:r>
        <w:rPr>
          <w:rFonts w:hint="cs"/>
          <w:color w:val="000000"/>
          <w:rtl/>
          <w:lang w:bidi="ar-EG"/>
        </w:rPr>
        <w:t xml:space="preserve"> ،</w:t>
      </w:r>
      <w:r w:rsidRPr="00315653">
        <w:rPr>
          <w:rFonts w:hint="cs"/>
          <w:color w:val="000000"/>
          <w:rtl/>
          <w:lang w:bidi="ar-EG"/>
        </w:rPr>
        <w:t xml:space="preserve"> وهو يبطل كلما بطل هذا الالتزام</w:t>
      </w:r>
      <w:r>
        <w:rPr>
          <w:rFonts w:hint="cs"/>
          <w:color w:val="000000"/>
          <w:rtl/>
          <w:lang w:bidi="ar-EG"/>
        </w:rPr>
        <w:t xml:space="preserve"> ،</w:t>
      </w:r>
      <w:r w:rsidRPr="00315653">
        <w:rPr>
          <w:rFonts w:hint="cs"/>
          <w:color w:val="000000"/>
          <w:rtl/>
          <w:lang w:bidi="ar-EG"/>
        </w:rPr>
        <w:t xml:space="preserve"> كما أنه ينقضي بمجرد انقضائه</w:t>
      </w:r>
      <w:r>
        <w:rPr>
          <w:rFonts w:hint="cs"/>
          <w:color w:val="000000"/>
          <w:rtl/>
          <w:lang w:bidi="ar-EG"/>
        </w:rPr>
        <w:t xml:space="preserve"> .</w:t>
      </w:r>
      <w:r w:rsidRPr="00315653">
        <w:rPr>
          <w:rFonts w:hint="cs"/>
          <w:color w:val="000000"/>
          <w:rtl/>
          <w:lang w:bidi="ar-EG"/>
        </w:rPr>
        <w:t xml:space="preserve"> على أن المشروع يتحفظ بالنسبة للحكم الوارد بالمادة 1135 الخاص بكفالة التزام ناقص الأهلية إذا كان الكفل يعلم بنقص الأهلية</w:t>
      </w:r>
      <w:r>
        <w:rPr>
          <w:rFonts w:hint="cs"/>
          <w:color w:val="000000"/>
          <w:rtl/>
          <w:lang w:bidi="ar-EG"/>
        </w:rPr>
        <w:t xml:space="preserve"> ،</w:t>
      </w:r>
      <w:r w:rsidRPr="00315653">
        <w:rPr>
          <w:rFonts w:hint="cs"/>
          <w:color w:val="000000"/>
          <w:rtl/>
          <w:lang w:bidi="ar-EG"/>
        </w:rPr>
        <w:t xml:space="preserve"> فإنه استثناءاً لا يجوز للكفيل في هذه الحالة التمسك ببطلان الالتزام الأصلي"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فالتزام الكفيل</w:t>
      </w:r>
      <w:r>
        <w:rPr>
          <w:rFonts w:hint="cs"/>
          <w:color w:val="000000"/>
          <w:rtl/>
        </w:rPr>
        <w:t xml:space="preserve"> ،</w:t>
      </w:r>
      <w:r w:rsidRPr="00315653">
        <w:rPr>
          <w:rFonts w:hint="cs"/>
          <w:color w:val="000000"/>
          <w:rtl/>
        </w:rPr>
        <w:t xml:space="preserve"> وهو تابع لالتزام المدين</w:t>
      </w:r>
      <w:r>
        <w:rPr>
          <w:rFonts w:hint="cs"/>
          <w:color w:val="000000"/>
          <w:rtl/>
        </w:rPr>
        <w:t xml:space="preserve"> ،</w:t>
      </w:r>
      <w:r w:rsidRPr="00315653">
        <w:rPr>
          <w:rFonts w:hint="cs"/>
          <w:color w:val="000000"/>
          <w:rtl/>
        </w:rPr>
        <w:t xml:space="preserve"> يكون باطلا أو قابلا للإبطال إذا أن التزام المدين باطلا أو قابلا للإبطال</w:t>
      </w:r>
      <w:r>
        <w:rPr>
          <w:rFonts w:hint="cs"/>
          <w:color w:val="000000"/>
          <w:rtl/>
        </w:rPr>
        <w:t xml:space="preserve"> ،</w:t>
      </w:r>
      <w:r w:rsidRPr="00315653">
        <w:rPr>
          <w:rFonts w:hint="cs"/>
          <w:color w:val="000000"/>
          <w:rtl/>
        </w:rPr>
        <w:t xml:space="preserve"> فيما عدا أن يكون التزام المدين قابلا للإبطال لنقص الأهلية ففيه تفصيل كما سيأتي</w:t>
      </w:r>
      <w:r>
        <w:rPr>
          <w:rFonts w:hint="cs"/>
          <w:color w:val="000000"/>
          <w:rtl/>
        </w:rPr>
        <w:t xml:space="preserve"> .</w:t>
      </w:r>
      <w:r w:rsidRPr="00315653">
        <w:rPr>
          <w:rFonts w:hint="cs"/>
          <w:color w:val="000000"/>
          <w:rtl/>
        </w:rPr>
        <w:t xml:space="preserve"> وإذا انقضى التزام المدين</w:t>
      </w:r>
      <w:r>
        <w:rPr>
          <w:rFonts w:hint="cs"/>
          <w:color w:val="000000"/>
          <w:rtl/>
        </w:rPr>
        <w:t xml:space="preserve"> ،</w:t>
      </w:r>
      <w:r w:rsidRPr="00315653">
        <w:rPr>
          <w:rFonts w:hint="cs"/>
          <w:color w:val="000000"/>
          <w:rtl/>
        </w:rPr>
        <w:t xml:space="preserve"> انقضى معه التزام الكفيل</w:t>
      </w:r>
      <w:r>
        <w:rPr>
          <w:rFonts w:hint="cs"/>
          <w:color w:val="000000"/>
          <w:rtl/>
        </w:rPr>
        <w:t xml:space="preserve"> .</w:t>
      </w:r>
      <w:r w:rsidRPr="00315653">
        <w:rPr>
          <w:rFonts w:hint="cs"/>
          <w:color w:val="000000"/>
          <w:rtl/>
        </w:rPr>
        <w:t xml:space="preserve"> ولما كان المدين يستطيع أن يحتج بأوجه الدفع هذه وبأن التزامه باطل أو قابل للإبطال أو بأن التزامه قد انقضى لسبب من أسباب انقضاء الالتزام</w:t>
      </w:r>
      <w:r>
        <w:rPr>
          <w:rFonts w:hint="cs"/>
          <w:color w:val="000000"/>
          <w:rtl/>
        </w:rPr>
        <w:t xml:space="preserve"> ،</w:t>
      </w:r>
      <w:r w:rsidRPr="00315653">
        <w:rPr>
          <w:rFonts w:hint="cs"/>
          <w:color w:val="000000"/>
          <w:rtl/>
        </w:rPr>
        <w:t xml:space="preserve"> كذلك للكفيل أن يتمسك بأوجه الدفع الذي يستطيع المدين أن يحتج بها من بطالان أو قابلية للإبطال أو انقضاء</w:t>
      </w:r>
      <w:r>
        <w:rPr>
          <w:rFonts w:hint="cs"/>
          <w:color w:val="000000"/>
          <w:rtl/>
        </w:rPr>
        <w:t xml:space="preserve"> .</w:t>
      </w:r>
      <w:r w:rsidRPr="00315653">
        <w:rPr>
          <w:rFonts w:hint="cs"/>
          <w:color w:val="000000"/>
          <w:rtl/>
        </w:rPr>
        <w:t xml:space="preserve"> ولا يتمسك الكفيل بأوجه الدفع هذه ضد التزام المدين</w:t>
      </w:r>
      <w:r>
        <w:rPr>
          <w:rFonts w:hint="cs"/>
          <w:color w:val="000000"/>
          <w:rtl/>
        </w:rPr>
        <w:t xml:space="preserve"> ،</w:t>
      </w:r>
      <w:r w:rsidRPr="00315653">
        <w:rPr>
          <w:rFonts w:hint="cs"/>
          <w:color w:val="000000"/>
          <w:rtl/>
        </w:rPr>
        <w:t xml:space="preserve"> بل ضد التزامه هو</w:t>
      </w:r>
      <w:r>
        <w:rPr>
          <w:rFonts w:hint="cs"/>
          <w:color w:val="000000"/>
          <w:rtl/>
        </w:rPr>
        <w:t xml:space="preserve"> ،</w:t>
      </w:r>
      <w:r w:rsidRPr="00315653">
        <w:rPr>
          <w:rFonts w:hint="cs"/>
          <w:color w:val="000000"/>
          <w:rtl/>
        </w:rPr>
        <w:t xml:space="preserve"> فإن التزامه يكون هو أيضاً باطلا أو قابلا للإبطال أو منقضياً تبعاً لالتزام المدين</w:t>
      </w:r>
      <w:r>
        <w:rPr>
          <w:rFonts w:hint="cs"/>
          <w:color w:val="000000"/>
          <w:rtl/>
        </w:rPr>
        <w:t xml:space="preserve"> .</w:t>
      </w:r>
      <w:r w:rsidRPr="00315653">
        <w:rPr>
          <w:rFonts w:hint="cs"/>
          <w:color w:val="000000"/>
          <w:rtl/>
        </w:rPr>
        <w:t xml:space="preserve"> فهو إذن يتمسك بأوجه الدفع هذه باسمه هو لا باسم المدين</w:t>
      </w:r>
      <w:r>
        <w:rPr>
          <w:rFonts w:hint="cs"/>
          <w:color w:val="000000"/>
          <w:rtl/>
        </w:rPr>
        <w:t xml:space="preserve"> ،</w:t>
      </w:r>
      <w:r w:rsidRPr="00315653">
        <w:rPr>
          <w:rFonts w:hint="cs"/>
          <w:color w:val="000000"/>
          <w:rtl/>
        </w:rPr>
        <w:t xml:space="preserve"> ويتمسك بها ضد التزامه هو لا ضد التزام المدين</w:t>
      </w:r>
      <w:r>
        <w:rPr>
          <w:rFonts w:hint="cs"/>
          <w:color w:val="000000"/>
          <w:rtl/>
        </w:rPr>
        <w:t xml:space="preserve"> .</w:t>
      </w:r>
      <w:r w:rsidRPr="00315653">
        <w:rPr>
          <w:rFonts w:hint="cs"/>
          <w:color w:val="000000"/>
          <w:rtl/>
        </w:rPr>
        <w:t xml:space="preserve"> ويترتب على ذلك أن للكفيل أن يتمسك بوجه من هذه الأوجه ضد التزامه هو</w:t>
      </w:r>
      <w:r>
        <w:rPr>
          <w:rFonts w:hint="cs"/>
          <w:color w:val="000000"/>
          <w:rtl/>
        </w:rPr>
        <w:t xml:space="preserve"> ،</w:t>
      </w:r>
      <w:r w:rsidRPr="00315653">
        <w:rPr>
          <w:rFonts w:hint="cs"/>
          <w:color w:val="000000"/>
          <w:rtl/>
        </w:rPr>
        <w:t xml:space="preserve"> ولو نزل المدين عن هذا الدفع فإنه إنما ينزل عن الدفع بالنسبة إلى التزامه كمدين</w:t>
      </w:r>
      <w:r>
        <w:rPr>
          <w:rFonts w:hint="cs"/>
          <w:color w:val="000000"/>
          <w:rtl/>
        </w:rPr>
        <w:t xml:space="preserve"> ،</w:t>
      </w:r>
      <w:r w:rsidRPr="00315653">
        <w:rPr>
          <w:rFonts w:hint="cs"/>
          <w:color w:val="000000"/>
          <w:rtl/>
        </w:rPr>
        <w:t xml:space="preserve"> ويبقى أن يتمسك الكفيل بالدفع الذي نزل عنه المدين إذ يتمسك به ضد التزامه هو ككفيل</w:t>
      </w:r>
      <w:r>
        <w:rPr>
          <w:rFonts w:hint="cs"/>
          <w:color w:val="000000"/>
          <w:rtl/>
        </w:rPr>
        <w:t xml:space="preserve"> ،</w:t>
      </w:r>
      <w:r w:rsidRPr="00315653">
        <w:rPr>
          <w:rFonts w:hint="cs"/>
          <w:color w:val="000000"/>
          <w:rtl/>
        </w:rPr>
        <w:t xml:space="preserve"> لا ضد التزام المدين فقد نزل هذا عن الدفع كما سبق القول</w:t>
      </w:r>
      <w:r>
        <w:rPr>
          <w:rFonts w:hint="cs"/>
          <w:color w:val="000000"/>
          <w:rtl/>
        </w:rPr>
        <w:t xml:space="preserve"> .</w:t>
      </w:r>
      <w:r w:rsidRPr="00315653">
        <w:rPr>
          <w:rFonts w:hint="cs"/>
          <w:color w:val="000000"/>
          <w:rtl/>
        </w:rPr>
        <w:t xml:space="preserve"> فإذا انزل </w:t>
      </w:r>
      <w:r w:rsidRPr="00315653">
        <w:rPr>
          <w:rFonts w:hint="cs"/>
          <w:color w:val="000000"/>
          <w:rtl/>
        </w:rPr>
        <w:lastRenderedPageBreak/>
        <w:t>المدين عن حقه في إبطال العقد لعيب من عيوب الرضاء وأجاز العقد</w:t>
      </w:r>
      <w:r>
        <w:rPr>
          <w:rFonts w:hint="cs"/>
          <w:color w:val="000000"/>
          <w:rtl/>
        </w:rPr>
        <w:t xml:space="preserve"> ،</w:t>
      </w:r>
      <w:r w:rsidRPr="00315653">
        <w:rPr>
          <w:rFonts w:hint="cs"/>
          <w:color w:val="000000"/>
          <w:rtl/>
        </w:rPr>
        <w:t xml:space="preserve"> فإن هذا $108 لا يمنع الكفيل من أن يتمسك بهذا العيب ضد التزامه هو ككفيل</w:t>
      </w:r>
      <w:r>
        <w:rPr>
          <w:rFonts w:hint="cs"/>
          <w:color w:val="000000"/>
          <w:rtl/>
        </w:rPr>
        <w:t xml:space="preserve"> .</w:t>
      </w:r>
      <w:r w:rsidRPr="00315653">
        <w:rPr>
          <w:rFonts w:hint="cs"/>
          <w:color w:val="000000"/>
          <w:rtl/>
        </w:rPr>
        <w:t xml:space="preserve"> وإذا نزل المدين عن حقه في التمسك بالتقادم</w:t>
      </w:r>
      <w:r>
        <w:rPr>
          <w:rFonts w:hint="cs"/>
          <w:color w:val="000000"/>
          <w:rtl/>
        </w:rPr>
        <w:t xml:space="preserve"> ،</w:t>
      </w:r>
      <w:r w:rsidRPr="00315653">
        <w:rPr>
          <w:rFonts w:hint="cs"/>
          <w:color w:val="000000"/>
          <w:rtl/>
        </w:rPr>
        <w:t xml:space="preserve"> فإن هذا لا يمنع الكفيل من أن يتمسك بالتقادم ضد التزامه هو ككفيل</w:t>
      </w:r>
      <w:r>
        <w:rPr>
          <w:rFonts w:hint="cs"/>
          <w:color w:val="000000"/>
          <w:vertAlign w:val="superscript"/>
          <w:rtl/>
          <w:lang w:bidi="ar-EG"/>
        </w:rPr>
        <w:t xml:space="preserve">( </w:t>
      </w:r>
      <w:r w:rsidRPr="00315653">
        <w:rPr>
          <w:rStyle w:val="ab"/>
          <w:color w:val="000000"/>
          <w:rtl/>
          <w:lang w:bidi="ar-EG"/>
        </w:rPr>
        <w:footnoteReference w:id="25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ويترتب على ذلك أيضاً أن الكفل له أن يتدخل في الدعوى القائمة بين الدائن والمدين ويطلب براءة ذمته من التزامه هو متمسكاً بدفع من هذه الدفوع</w:t>
      </w:r>
      <w:r>
        <w:rPr>
          <w:rFonts w:hint="cs"/>
          <w:color w:val="000000"/>
          <w:rtl/>
          <w:lang w:bidi="ar-EG"/>
        </w:rPr>
        <w:t xml:space="preserve"> ،</w:t>
      </w:r>
      <w:r w:rsidRPr="00315653">
        <w:rPr>
          <w:rFonts w:hint="cs"/>
          <w:color w:val="000000"/>
          <w:rtl/>
          <w:lang w:bidi="ar-EG"/>
        </w:rPr>
        <w:t xml:space="preserve"> بل له أن يتمسك بهذا الدفع بدعوى مبتدأة برفعها على الدائن</w:t>
      </w:r>
      <w:r>
        <w:rPr>
          <w:rFonts w:hint="cs"/>
          <w:color w:val="000000"/>
          <w:vertAlign w:val="superscript"/>
          <w:rtl/>
          <w:lang w:bidi="ar-EG"/>
        </w:rPr>
        <w:t xml:space="preserve">( </w:t>
      </w:r>
      <w:r w:rsidRPr="00315653">
        <w:rPr>
          <w:rStyle w:val="ab"/>
          <w:color w:val="000000"/>
          <w:rtl/>
          <w:lang w:bidi="ar-EG"/>
        </w:rPr>
        <w:footnoteReference w:id="25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ونستعرض أوجه الدفع الذي يتمسك بها الكفيل</w:t>
      </w:r>
      <w:r>
        <w:rPr>
          <w:rFonts w:hint="cs"/>
          <w:color w:val="000000"/>
          <w:rtl/>
          <w:lang w:bidi="ar-EG"/>
        </w:rPr>
        <w:t xml:space="preserve"> ،</w:t>
      </w:r>
      <w:r w:rsidRPr="00315653">
        <w:rPr>
          <w:rFonts w:hint="cs"/>
          <w:color w:val="000000"/>
          <w:rtl/>
          <w:lang w:bidi="ar-EG"/>
        </w:rPr>
        <w:t xml:space="preserve"> في هذا الصدد</w:t>
      </w:r>
      <w:r>
        <w:rPr>
          <w:rFonts w:hint="cs"/>
          <w:color w:val="000000"/>
          <w:rtl/>
          <w:lang w:bidi="ar-EG"/>
        </w:rPr>
        <w:t xml:space="preserve"> ،</w:t>
      </w:r>
      <w:r w:rsidRPr="00315653">
        <w:rPr>
          <w:rFonts w:hint="cs"/>
          <w:color w:val="000000"/>
          <w:rtl/>
          <w:lang w:bidi="ar-EG"/>
        </w:rPr>
        <w:t xml:space="preserve"> فنتكلم في الدفع بالبطلان وفي الدفع بالإبطال وفي الدفع بالانقضاء</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فإذا كان التزام المدين باطلا لعيب في الشكل أو لانعدام الرضاء أو لعدم توافر شروط المحل أو لعدم مشروعية السبب</w:t>
      </w:r>
      <w:r>
        <w:rPr>
          <w:rFonts w:hint="cs"/>
          <w:color w:val="000000"/>
          <w:rtl/>
          <w:lang w:bidi="ar-EG"/>
        </w:rPr>
        <w:t xml:space="preserve"> ،</w:t>
      </w:r>
      <w:r w:rsidRPr="00315653">
        <w:rPr>
          <w:rFonts w:hint="cs"/>
          <w:color w:val="000000"/>
          <w:rtl/>
          <w:lang w:bidi="ar-EG"/>
        </w:rPr>
        <w:t xml:space="preserve"> أو لأي سبب آخر من أسباب بطلان الالتزام</w:t>
      </w:r>
      <w:r>
        <w:rPr>
          <w:rFonts w:hint="cs"/>
          <w:color w:val="000000"/>
          <w:rtl/>
          <w:lang w:bidi="ar-EG"/>
        </w:rPr>
        <w:t xml:space="preserve"> ،</w:t>
      </w:r>
      <w:r w:rsidRPr="00315653">
        <w:rPr>
          <w:rFonts w:hint="cs"/>
          <w:color w:val="000000"/>
          <w:rtl/>
          <w:lang w:bidi="ar-EG"/>
        </w:rPr>
        <w:t xml:space="preserve"> كان التزام الكفيل باطلا مثله ولنفس السبب</w:t>
      </w:r>
      <w:r>
        <w:rPr>
          <w:rFonts w:hint="cs"/>
          <w:color w:val="000000"/>
          <w:rtl/>
          <w:lang w:bidi="ar-EG"/>
        </w:rPr>
        <w:t xml:space="preserve"> .</w:t>
      </w:r>
      <w:r w:rsidRPr="00315653">
        <w:rPr>
          <w:rFonts w:hint="cs"/>
          <w:color w:val="000000"/>
          <w:rtl/>
          <w:lang w:bidi="ar-EG"/>
        </w:rPr>
        <w:t xml:space="preserve"> وللكفيل أن يتمسك ببطلان التزامه</w:t>
      </w:r>
      <w:r>
        <w:rPr>
          <w:rFonts w:hint="cs"/>
          <w:color w:val="000000"/>
          <w:rtl/>
          <w:lang w:bidi="ar-EG"/>
        </w:rPr>
        <w:t xml:space="preserve"> ،</w:t>
      </w:r>
      <w:r w:rsidRPr="00315653">
        <w:rPr>
          <w:rFonts w:hint="cs"/>
          <w:color w:val="000000"/>
          <w:rtl/>
          <w:lang w:bidi="ar-EG"/>
        </w:rPr>
        <w:t xml:space="preserve"> كما للمدين أن يتمسك هو أيضاً ببطلان التزامه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وللكفيل أن يتمسك بإبطال عقد الكفالة</w:t>
      </w:r>
      <w:r>
        <w:rPr>
          <w:rFonts w:hint="cs"/>
          <w:color w:val="000000"/>
          <w:rtl/>
          <w:lang w:bidi="ar-EG"/>
        </w:rPr>
        <w:t xml:space="preserve"> ،</w:t>
      </w:r>
      <w:r w:rsidRPr="00315653">
        <w:rPr>
          <w:rFonts w:hint="cs"/>
          <w:color w:val="000000"/>
          <w:rtl/>
          <w:lang w:bidi="ar-EG"/>
        </w:rPr>
        <w:t xml:space="preserve"> لأن عقد المدين قابل للإبطال لعيب في الرضاء</w:t>
      </w:r>
      <w:r>
        <w:rPr>
          <w:rFonts w:hint="cs"/>
          <w:color w:val="000000"/>
          <w:rtl/>
          <w:lang w:bidi="ar-EG"/>
        </w:rPr>
        <w:t xml:space="preserve"> ،</w:t>
      </w:r>
      <w:r w:rsidRPr="00315653">
        <w:rPr>
          <w:rFonts w:hint="cs"/>
          <w:color w:val="000000"/>
          <w:rtl/>
          <w:lang w:bidi="ar-EG"/>
        </w:rPr>
        <w:t xml:space="preserve"> كأن شابه غلط أو تدليس أو إكراه مما يجعل العقد قابلا للإبطال</w:t>
      </w:r>
      <w:r>
        <w:rPr>
          <w:rFonts w:hint="cs"/>
          <w:color w:val="000000"/>
          <w:rtl/>
          <w:lang w:bidi="ar-EG"/>
        </w:rPr>
        <w:t xml:space="preserve"> .</w:t>
      </w:r>
      <w:r w:rsidRPr="00315653">
        <w:rPr>
          <w:rFonts w:hint="cs"/>
          <w:color w:val="000000"/>
          <w:rtl/>
          <w:lang w:bidi="ar-EG"/>
        </w:rPr>
        <w:t xml:space="preserve"> ويبقى للكفيل الحق في طلب إبطال عقد الكفالة لعيب في الرضاء</w:t>
      </w:r>
      <w:r>
        <w:rPr>
          <w:rFonts w:hint="cs"/>
          <w:color w:val="000000"/>
          <w:rtl/>
          <w:lang w:bidi="ar-EG"/>
        </w:rPr>
        <w:t xml:space="preserve"> ،</w:t>
      </w:r>
      <w:r w:rsidRPr="00315653">
        <w:rPr>
          <w:rFonts w:hint="cs"/>
          <w:color w:val="000000"/>
          <w:rtl/>
          <w:lang w:bidi="ar-EG"/>
        </w:rPr>
        <w:t xml:space="preserve"> ولو أجاز المدين العقد الأصلي فأصبح لا يستطيع التمسك بإبطال هذا العقد</w:t>
      </w:r>
      <w:r>
        <w:rPr>
          <w:rFonts w:hint="cs"/>
          <w:color w:val="000000"/>
          <w:rtl/>
          <w:lang w:bidi="ar-EG"/>
        </w:rPr>
        <w:t xml:space="preserve"> .</w:t>
      </w:r>
      <w:r w:rsidRPr="00315653">
        <w:rPr>
          <w:rFonts w:hint="cs"/>
          <w:color w:val="000000"/>
          <w:rtl/>
          <w:lang w:bidi="ar-EG"/>
        </w:rPr>
        <w:t xml:space="preserve"> أما إذا كان السبب في إبطال العقد الأصلي هو نقص أهلية المدين</w:t>
      </w:r>
      <w:r>
        <w:rPr>
          <w:rFonts w:hint="cs"/>
          <w:color w:val="000000"/>
          <w:rtl/>
          <w:lang w:bidi="ar-EG"/>
        </w:rPr>
        <w:t xml:space="preserve"> ،</w:t>
      </w:r>
      <w:r w:rsidRPr="00315653">
        <w:rPr>
          <w:rFonts w:hint="cs"/>
          <w:color w:val="000000"/>
          <w:rtl/>
          <w:lang w:bidi="ar-EG"/>
        </w:rPr>
        <w:t xml:space="preserve"> بأن كان هذا قاصراً أو محجوراً عليه</w:t>
      </w:r>
      <w:r>
        <w:rPr>
          <w:rFonts w:hint="cs"/>
          <w:color w:val="000000"/>
          <w:rtl/>
          <w:lang w:bidi="ar-EG"/>
        </w:rPr>
        <w:t xml:space="preserve"> ،</w:t>
      </w:r>
      <w:r w:rsidRPr="00315653">
        <w:rPr>
          <w:rFonts w:hint="cs"/>
          <w:color w:val="000000"/>
          <w:rtl/>
          <w:lang w:bidi="ar-EG"/>
        </w:rPr>
        <w:t xml:space="preserve"> فهنا يجب التمييز بين ما إذا كان الكفيل لا يعلم بنقص أهلية المدين أو كان يعلم بها</w:t>
      </w:r>
      <w:r>
        <w:rPr>
          <w:rFonts w:hint="cs"/>
          <w:color w:val="000000"/>
          <w:rtl/>
          <w:lang w:bidi="ar-EG"/>
        </w:rPr>
        <w:t xml:space="preserve"> .</w:t>
      </w:r>
      <w:r w:rsidRPr="00315653">
        <w:rPr>
          <w:rFonts w:hint="cs"/>
          <w:color w:val="000000"/>
          <w:rtl/>
          <w:lang w:bidi="ar-EG"/>
        </w:rPr>
        <w:t xml:space="preserve"> فإن كان الكفيل لا يعلم بنقص أهلية المدين</w:t>
      </w:r>
      <w:r>
        <w:rPr>
          <w:rFonts w:hint="cs"/>
          <w:color w:val="000000"/>
          <w:rtl/>
          <w:lang w:bidi="ar-EG"/>
        </w:rPr>
        <w:t xml:space="preserve"> ،</w:t>
      </w:r>
      <w:r w:rsidRPr="00315653">
        <w:rPr>
          <w:rFonts w:hint="cs"/>
          <w:color w:val="000000"/>
          <w:rtl/>
          <w:lang w:bidi="ar-EG"/>
        </w:rPr>
        <w:t xml:space="preserve"> كان له أن يتمسك بإبطال عقد الكفالة كما يكون للمدين أن يتمسك بإبطال العقد الأصلي لنقص الأهلية</w:t>
      </w:r>
      <w:r>
        <w:rPr>
          <w:rFonts w:hint="cs"/>
          <w:color w:val="000000"/>
          <w:rtl/>
          <w:lang w:bidi="ar-EG"/>
        </w:rPr>
        <w:t xml:space="preserve"> .</w:t>
      </w:r>
      <w:r w:rsidRPr="00315653">
        <w:rPr>
          <w:rFonts w:hint="cs"/>
          <w:color w:val="000000"/>
          <w:rtl/>
          <w:lang w:bidi="ar-EG"/>
        </w:rPr>
        <w:t xml:space="preserve"> ويستوي في ذلك أن يجاز العقد الأصلي أو لا يجاز</w:t>
      </w:r>
      <w:r>
        <w:rPr>
          <w:rFonts w:hint="cs"/>
          <w:color w:val="000000"/>
          <w:rtl/>
          <w:lang w:bidi="ar-EG"/>
        </w:rPr>
        <w:t xml:space="preserve"> ،</w:t>
      </w:r>
      <w:r w:rsidRPr="00315653">
        <w:rPr>
          <w:rFonts w:hint="cs"/>
          <w:color w:val="000000"/>
          <w:rtl/>
          <w:lang w:bidi="ar-EG"/>
        </w:rPr>
        <w:t xml:space="preserve"> ففي الحالتين بكون للكفيل أن يتمسك بإبطال عقد الكفالة</w:t>
      </w:r>
      <w:r>
        <w:rPr>
          <w:rFonts w:hint="cs"/>
          <w:color w:val="000000"/>
          <w:rtl/>
          <w:lang w:bidi="ar-EG"/>
        </w:rPr>
        <w:t xml:space="preserve"> .</w:t>
      </w:r>
      <w:r w:rsidRPr="00315653">
        <w:rPr>
          <w:rFonts w:hint="cs"/>
          <w:color w:val="000000"/>
          <w:rtl/>
          <w:lang w:bidi="ar-EG"/>
        </w:rPr>
        <w:t xml:space="preserve"> أما إذا كان الكفيل عالماً بنقص أهلية المدين</w:t>
      </w:r>
      <w:r>
        <w:rPr>
          <w:rFonts w:hint="cs"/>
          <w:color w:val="000000"/>
          <w:rtl/>
          <w:lang w:bidi="ar-EG"/>
        </w:rPr>
        <w:t xml:space="preserve"> ،</w:t>
      </w:r>
      <w:r w:rsidRPr="00315653">
        <w:rPr>
          <w:rFonts w:hint="cs"/>
          <w:color w:val="000000"/>
          <w:rtl/>
          <w:lang w:bidi="ar-EG"/>
        </w:rPr>
        <w:t xml:space="preserve"> فله أيضاً أن يبطل عقد الكفالة</w:t>
      </w:r>
      <w:r>
        <w:rPr>
          <w:rFonts w:hint="cs"/>
          <w:color w:val="000000"/>
          <w:rtl/>
          <w:lang w:bidi="ar-EG"/>
        </w:rPr>
        <w:t xml:space="preserve"> .</w:t>
      </w:r>
      <w:r w:rsidRPr="00315653">
        <w:rPr>
          <w:rFonts w:hint="cs"/>
          <w:color w:val="000000"/>
          <w:rtl/>
          <w:lang w:bidi="ar-EG"/>
        </w:rPr>
        <w:t xml:space="preserve"> لكن إذا أجاز المدين عند زوال نقص الأهلية</w:t>
      </w:r>
      <w:r>
        <w:rPr>
          <w:rFonts w:hint="cs"/>
          <w:color w:val="000000"/>
          <w:rtl/>
          <w:lang w:bidi="ar-EG"/>
        </w:rPr>
        <w:t xml:space="preserve"> ،</w:t>
      </w:r>
      <w:r w:rsidRPr="00315653">
        <w:rPr>
          <w:rFonts w:hint="cs"/>
          <w:color w:val="000000"/>
          <w:rtl/>
          <w:lang w:bidi="ar-EG"/>
        </w:rPr>
        <w:t xml:space="preserve"> أو أجاز وليه أو وصيه أو $109 اليم عليه بإذن المحكمة عند الاقتضاء</w:t>
      </w:r>
      <w:r>
        <w:rPr>
          <w:rFonts w:hint="cs"/>
          <w:color w:val="000000"/>
          <w:rtl/>
          <w:lang w:bidi="ar-EG"/>
        </w:rPr>
        <w:t xml:space="preserve"> ،</w:t>
      </w:r>
      <w:r w:rsidRPr="00315653">
        <w:rPr>
          <w:rFonts w:hint="cs"/>
          <w:color w:val="000000"/>
          <w:rtl/>
          <w:lang w:bidi="ar-EG"/>
        </w:rPr>
        <w:t xml:space="preserve"> العقد الأصلي</w:t>
      </w:r>
      <w:r>
        <w:rPr>
          <w:rFonts w:hint="cs"/>
          <w:color w:val="000000"/>
          <w:rtl/>
          <w:lang w:bidi="ar-EG"/>
        </w:rPr>
        <w:t xml:space="preserve"> ،</w:t>
      </w:r>
      <w:r w:rsidRPr="00315653">
        <w:rPr>
          <w:rFonts w:hint="cs"/>
          <w:color w:val="000000"/>
          <w:rtl/>
          <w:lang w:bidi="ar-EG"/>
        </w:rPr>
        <w:t xml:space="preserve"> ففي رأينا أن الكفيل لا يستطيع أن يبطل عقد الكفالة ما دام العقد الأصلي قد أجيز</w:t>
      </w:r>
      <w:r>
        <w:rPr>
          <w:rFonts w:hint="cs"/>
          <w:color w:val="000000"/>
          <w:rtl/>
          <w:lang w:bidi="ar-EG"/>
        </w:rPr>
        <w:t xml:space="preserve"> .</w:t>
      </w:r>
      <w:r w:rsidRPr="00315653">
        <w:rPr>
          <w:rFonts w:hint="cs"/>
          <w:color w:val="000000"/>
          <w:rtl/>
          <w:lang w:bidi="ar-EG"/>
        </w:rPr>
        <w:t xml:space="preserve"> فإذا كان الكفيل ليس فحسب عالما بنقص الأهلية</w:t>
      </w:r>
      <w:r>
        <w:rPr>
          <w:rFonts w:hint="cs"/>
          <w:color w:val="000000"/>
          <w:rtl/>
          <w:lang w:bidi="ar-EG"/>
        </w:rPr>
        <w:t xml:space="preserve"> ،</w:t>
      </w:r>
      <w:r w:rsidRPr="00315653">
        <w:rPr>
          <w:rFonts w:hint="cs"/>
          <w:color w:val="000000"/>
          <w:rtl/>
          <w:lang w:bidi="ar-EG"/>
        </w:rPr>
        <w:t xml:space="preserve"> بل هو قد كفل ناقص الأهلية بسبب نقص أهليته</w:t>
      </w:r>
      <w:r>
        <w:rPr>
          <w:rFonts w:hint="cs"/>
          <w:color w:val="000000"/>
          <w:rtl/>
          <w:lang w:bidi="ar-EG"/>
        </w:rPr>
        <w:t xml:space="preserve"> ،</w:t>
      </w:r>
      <w:r w:rsidRPr="00315653">
        <w:rPr>
          <w:rFonts w:hint="cs"/>
          <w:color w:val="000000"/>
          <w:rtl/>
          <w:lang w:bidi="ar-EG"/>
        </w:rPr>
        <w:t xml:space="preserve"> فإنه لا يستطيع أن يبطل عقد الكفالة حتى لو تمسك المدين بنقص أهليته وأبطل العقد الأصلي</w:t>
      </w:r>
      <w:r>
        <w:rPr>
          <w:rFonts w:hint="cs"/>
          <w:color w:val="000000"/>
          <w:rtl/>
          <w:lang w:bidi="ar-EG"/>
        </w:rPr>
        <w:t xml:space="preserve"> .</w:t>
      </w:r>
      <w:r w:rsidRPr="00315653">
        <w:rPr>
          <w:rFonts w:hint="cs"/>
          <w:color w:val="000000"/>
          <w:rtl/>
          <w:lang w:bidi="ar-EG"/>
        </w:rPr>
        <w:t xml:space="preserve"> ذلك بأن الكفيل غنما كفل المدين بسبب قنص أهليته</w:t>
      </w:r>
      <w:r>
        <w:rPr>
          <w:rFonts w:hint="cs"/>
          <w:color w:val="000000"/>
          <w:rtl/>
          <w:lang w:bidi="ar-EG"/>
        </w:rPr>
        <w:t xml:space="preserve"> ،</w:t>
      </w:r>
      <w:r w:rsidRPr="00315653">
        <w:rPr>
          <w:rFonts w:hint="cs"/>
          <w:color w:val="000000"/>
          <w:rtl/>
          <w:lang w:bidi="ar-EG"/>
        </w:rPr>
        <w:t xml:space="preserve"> فإذا تمسك المدين بنقص الأهلية</w:t>
      </w:r>
      <w:r>
        <w:rPr>
          <w:rFonts w:hint="cs"/>
          <w:color w:val="000000"/>
          <w:rtl/>
          <w:lang w:bidi="ar-EG"/>
        </w:rPr>
        <w:t xml:space="preserve"> ،</w:t>
      </w:r>
      <w:r w:rsidRPr="00315653">
        <w:rPr>
          <w:rFonts w:hint="cs"/>
          <w:color w:val="000000"/>
          <w:rtl/>
          <w:lang w:bidi="ar-EG"/>
        </w:rPr>
        <w:t xml:space="preserve"> وأبطل العقد الأصلي</w:t>
      </w:r>
      <w:r>
        <w:rPr>
          <w:rFonts w:hint="cs"/>
          <w:color w:val="000000"/>
          <w:rtl/>
          <w:lang w:bidi="ar-EG"/>
        </w:rPr>
        <w:t xml:space="preserve"> ،</w:t>
      </w:r>
      <w:r w:rsidRPr="00315653">
        <w:rPr>
          <w:rFonts w:hint="cs"/>
          <w:color w:val="000000"/>
          <w:rtl/>
          <w:lang w:bidi="ar-EG"/>
        </w:rPr>
        <w:t xml:space="preserve"> أصبح الكفيل مديناً أصلياً وصار مسئولا عن الدين نحو الدائن</w:t>
      </w:r>
      <w:r>
        <w:rPr>
          <w:rFonts w:hint="cs"/>
          <w:color w:val="000000"/>
          <w:rtl/>
          <w:lang w:bidi="ar-EG"/>
        </w:rPr>
        <w:t xml:space="preserve"> ،</w:t>
      </w:r>
      <w:r w:rsidRPr="00315653">
        <w:rPr>
          <w:rFonts w:hint="cs"/>
          <w:color w:val="000000"/>
          <w:rtl/>
          <w:lang w:bidi="ar-EG"/>
        </w:rPr>
        <w:t xml:space="preserve"> وهو إنما تعاقد مع الدائن ناظراً لهذا الاحتمال</w:t>
      </w:r>
      <w:r>
        <w:rPr>
          <w:rFonts w:hint="cs"/>
          <w:color w:val="000000"/>
          <w:vertAlign w:val="superscript"/>
          <w:rtl/>
          <w:lang w:bidi="ar-EG"/>
        </w:rPr>
        <w:t xml:space="preserve">( </w:t>
      </w:r>
      <w:r w:rsidRPr="00315653">
        <w:rPr>
          <w:rStyle w:val="ab"/>
          <w:color w:val="000000"/>
          <w:rtl/>
          <w:lang w:bidi="ar-EG"/>
        </w:rPr>
        <w:footnoteReference w:id="25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وللكفيل أن يتمسك بانقضاء التزامه ككفيل</w:t>
      </w:r>
      <w:r>
        <w:rPr>
          <w:rFonts w:hint="cs"/>
          <w:color w:val="000000"/>
          <w:rtl/>
          <w:lang w:bidi="ar-EG"/>
        </w:rPr>
        <w:t xml:space="preserve"> ،</w:t>
      </w:r>
      <w:r w:rsidRPr="00315653">
        <w:rPr>
          <w:rFonts w:hint="cs"/>
          <w:color w:val="000000"/>
          <w:rtl/>
          <w:lang w:bidi="ar-EG"/>
        </w:rPr>
        <w:t xml:space="preserve"> تبعاً لانقضاء التزام المدين</w:t>
      </w:r>
      <w:r>
        <w:rPr>
          <w:rFonts w:hint="cs"/>
          <w:color w:val="000000"/>
          <w:vertAlign w:val="superscript"/>
          <w:rtl/>
          <w:lang w:bidi="ar-EG"/>
        </w:rPr>
        <w:t xml:space="preserve">( </w:t>
      </w:r>
      <w:r w:rsidRPr="00315653">
        <w:rPr>
          <w:rStyle w:val="ab"/>
          <w:color w:val="000000"/>
          <w:rtl/>
          <w:lang w:bidi="ar-EG"/>
        </w:rPr>
        <w:footnoteReference w:id="25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$110 وإذا انقضى التزام المدين باتحاد الذمة </w:t>
      </w:r>
      <w:r>
        <w:rPr>
          <w:rFonts w:hint="cs"/>
          <w:color w:val="000000"/>
          <w:rtl/>
          <w:lang w:bidi="ar-EG"/>
        </w:rPr>
        <w:t xml:space="preserve"> ،</w:t>
      </w:r>
      <w:r w:rsidRPr="00315653">
        <w:rPr>
          <w:rFonts w:hint="cs"/>
          <w:color w:val="000000"/>
          <w:rtl/>
          <w:lang w:bidi="ar-EG"/>
        </w:rPr>
        <w:t xml:space="preserve"> كما لو ورث المدين الدائن أو أوصى الدائن للمدين بالدين</w:t>
      </w:r>
      <w:r>
        <w:rPr>
          <w:rFonts w:hint="cs"/>
          <w:color w:val="000000"/>
          <w:rtl/>
          <w:lang w:bidi="ar-EG"/>
        </w:rPr>
        <w:t xml:space="preserve"> ،</w:t>
      </w:r>
      <w:r w:rsidRPr="00315653">
        <w:rPr>
          <w:rFonts w:hint="cs"/>
          <w:color w:val="000000"/>
          <w:rtl/>
          <w:lang w:bidi="ar-EG"/>
        </w:rPr>
        <w:t xml:space="preserve"> جاز للكفيل أن يتمسك بانقضاء التزامه تبعاً لذلك</w:t>
      </w:r>
      <w:r>
        <w:rPr>
          <w:rFonts w:hint="cs"/>
          <w:color w:val="000000"/>
          <w:rtl/>
          <w:lang w:bidi="ar-EG"/>
        </w:rPr>
        <w:t xml:space="preserve"> ،</w:t>
      </w:r>
      <w:r w:rsidRPr="00315653">
        <w:rPr>
          <w:rFonts w:hint="cs"/>
          <w:color w:val="000000"/>
          <w:rtl/>
          <w:lang w:bidi="ar-EG"/>
        </w:rPr>
        <w:t xml:space="preserve"> ما لم يزل اتحاد الذمة بأثر رجعي كما إذا كانت الوصية معلقة على شرط فاسخ وتحقق الشرط</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انقضى التزام المدين بالإبراء</w:t>
      </w:r>
      <w:r>
        <w:rPr>
          <w:rFonts w:hint="cs"/>
          <w:color w:val="000000"/>
          <w:rtl/>
          <w:lang w:bidi="ar-EG"/>
        </w:rPr>
        <w:t xml:space="preserve"> ،</w:t>
      </w:r>
      <w:r w:rsidRPr="00315653">
        <w:rPr>
          <w:rFonts w:hint="cs"/>
          <w:color w:val="000000"/>
          <w:rtl/>
          <w:lang w:bidi="ar-EG"/>
        </w:rPr>
        <w:t xml:space="preserve"> جاز للكفل أن يتمسك انقضاء التزامه تعباً لذلك</w:t>
      </w:r>
      <w:r>
        <w:rPr>
          <w:rFonts w:hint="cs"/>
          <w:color w:val="000000"/>
          <w:rtl/>
          <w:lang w:bidi="ar-EG"/>
        </w:rPr>
        <w:t xml:space="preserve"> .</w:t>
      </w:r>
      <w:r w:rsidRPr="00315653">
        <w:rPr>
          <w:rFonts w:hint="cs"/>
          <w:color w:val="000000"/>
          <w:rtl/>
          <w:lang w:bidi="ar-EG"/>
        </w:rPr>
        <w:t xml:space="preserve"> ولا يعتبر قبول الدائن الصلح من المدين المفلس إبراء له من جزء من الدين</w:t>
      </w:r>
      <w:r>
        <w:rPr>
          <w:rFonts w:hint="cs"/>
          <w:color w:val="000000"/>
          <w:rtl/>
          <w:lang w:bidi="ar-EG"/>
        </w:rPr>
        <w:t xml:space="preserve"> ،</w:t>
      </w:r>
      <w:r w:rsidRPr="00315653">
        <w:rPr>
          <w:rFonts w:hint="cs"/>
          <w:color w:val="000000"/>
          <w:rtl/>
          <w:lang w:bidi="ar-EG"/>
        </w:rPr>
        <w:t xml:space="preserve"> فيبقى الكفيل ضامناً لهذا الجزء</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انقضى التزام المدين باستحالة التنفيذ لسبب لا يد له فيه</w:t>
      </w:r>
      <w:r>
        <w:rPr>
          <w:rFonts w:hint="cs"/>
          <w:color w:val="000000"/>
          <w:rtl/>
          <w:lang w:bidi="ar-EG"/>
        </w:rPr>
        <w:t xml:space="preserve"> ،</w:t>
      </w:r>
      <w:r w:rsidRPr="00315653">
        <w:rPr>
          <w:rFonts w:hint="cs"/>
          <w:color w:val="000000"/>
          <w:rtl/>
          <w:lang w:bidi="ar-EG"/>
        </w:rPr>
        <w:t xml:space="preserve"> جاز للكفيل أن يتمسك بانقضاء التزامه تبعاً لذلك</w:t>
      </w:r>
      <w:r>
        <w:rPr>
          <w:rFonts w:hint="cs"/>
          <w:color w:val="000000"/>
          <w:rtl/>
          <w:lang w:bidi="ar-EG"/>
        </w:rPr>
        <w:t xml:space="preserve"> .</w:t>
      </w:r>
      <w:r w:rsidRPr="00315653">
        <w:rPr>
          <w:rFonts w:hint="cs"/>
          <w:color w:val="000000"/>
          <w:rtl/>
          <w:lang w:bidi="ar-EG"/>
        </w:rPr>
        <w:t xml:space="preserve"> أما إذا أصبح تنفيذ التزام المدين مستحيلا بخطأه</w:t>
      </w:r>
      <w:r>
        <w:rPr>
          <w:rFonts w:hint="cs"/>
          <w:color w:val="000000"/>
          <w:rtl/>
          <w:lang w:bidi="ar-EG"/>
        </w:rPr>
        <w:t xml:space="preserve"> ،</w:t>
      </w:r>
      <w:r w:rsidRPr="00315653">
        <w:rPr>
          <w:rFonts w:hint="cs"/>
          <w:color w:val="000000"/>
          <w:rtl/>
          <w:lang w:bidi="ar-EG"/>
        </w:rPr>
        <w:t xml:space="preserve"> فإنه يصبح مسئولا عن التعويض</w:t>
      </w:r>
      <w:r>
        <w:rPr>
          <w:rFonts w:hint="cs"/>
          <w:color w:val="000000"/>
          <w:rtl/>
          <w:lang w:bidi="ar-EG"/>
        </w:rPr>
        <w:t xml:space="preserve"> ،</w:t>
      </w:r>
      <w:r w:rsidRPr="00315653">
        <w:rPr>
          <w:rFonts w:hint="cs"/>
          <w:color w:val="000000"/>
          <w:rtl/>
          <w:lang w:bidi="ar-EG"/>
        </w:rPr>
        <w:t xml:space="preserve"> ويبقى الكفيل ضامناً لهذا التعويض</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انقضى التزام المدين بالتقادم دون أن يتقادم التزام الكفيل</w:t>
      </w:r>
      <w:r>
        <w:rPr>
          <w:rFonts w:hint="cs"/>
          <w:color w:val="000000"/>
          <w:rtl/>
          <w:lang w:bidi="ar-EG"/>
        </w:rPr>
        <w:t xml:space="preserve"> ،</w:t>
      </w:r>
      <w:r w:rsidRPr="00315653">
        <w:rPr>
          <w:rFonts w:hint="cs"/>
          <w:color w:val="000000"/>
          <w:rtl/>
          <w:lang w:bidi="ar-EG"/>
        </w:rPr>
        <w:t xml:space="preserve"> بأن كان هذا الالتزام الأخير مؤجلا مثلا لأجل أطول من أجل التزام المدين</w:t>
      </w:r>
      <w:r>
        <w:rPr>
          <w:rFonts w:hint="cs"/>
          <w:color w:val="000000"/>
          <w:rtl/>
          <w:lang w:bidi="ar-EG"/>
        </w:rPr>
        <w:t xml:space="preserve"> ،</w:t>
      </w:r>
      <w:r w:rsidRPr="00315653">
        <w:rPr>
          <w:rFonts w:hint="cs"/>
          <w:color w:val="000000"/>
          <w:rtl/>
          <w:lang w:bidi="ar-EG"/>
        </w:rPr>
        <w:t xml:space="preserve"> جاز للكفيل أن يتمسك بانقضاء التزامه لا لأنه تقادم</w:t>
      </w:r>
      <w:r>
        <w:rPr>
          <w:rFonts w:hint="cs"/>
          <w:color w:val="000000"/>
          <w:rtl/>
          <w:lang w:bidi="ar-EG"/>
        </w:rPr>
        <w:t xml:space="preserve"> ،</w:t>
      </w:r>
      <w:r w:rsidRPr="00315653">
        <w:rPr>
          <w:rFonts w:hint="cs"/>
          <w:color w:val="000000"/>
          <w:rtl/>
          <w:lang w:bidi="ar-EG"/>
        </w:rPr>
        <w:t xml:space="preserve"> بل تبعاً لانقضاء التزام المدين بالتقادم</w:t>
      </w:r>
      <w:r>
        <w:rPr>
          <w:rFonts w:hint="cs"/>
          <w:color w:val="000000"/>
          <w:rtl/>
          <w:lang w:bidi="ar-EG"/>
        </w:rPr>
        <w:t xml:space="preserve"> .</w:t>
      </w:r>
      <w:r w:rsidRPr="00315653">
        <w:rPr>
          <w:rFonts w:hint="cs"/>
          <w:color w:val="000000"/>
          <w:rtl/>
          <w:lang w:bidi="ar-EG"/>
        </w:rPr>
        <w:t xml:space="preserve"> ويتمسك الكفيل بانقضاء التزامه على هذا النحو حتى لو لم يتمسك المدين بالتقادم</w:t>
      </w:r>
      <w:r>
        <w:rPr>
          <w:rFonts w:hint="cs"/>
          <w:color w:val="000000"/>
          <w:rtl/>
          <w:lang w:bidi="ar-EG"/>
        </w:rPr>
        <w:t xml:space="preserve"> ،</w:t>
      </w:r>
      <w:r w:rsidRPr="00315653">
        <w:rPr>
          <w:rFonts w:hint="cs"/>
          <w:color w:val="000000"/>
          <w:rtl/>
          <w:lang w:bidi="ar-EG"/>
        </w:rPr>
        <w:t xml:space="preserve"> بل حتى لو نزل عن التمسك به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46- الدفع الخاصة بالكفيل</w:t>
      </w:r>
      <w:r>
        <w:rPr>
          <w:rFonts w:hint="cs"/>
          <w:color w:val="000000"/>
          <w:rtl/>
          <w:lang w:bidi="ar-EG"/>
        </w:rPr>
        <w:t xml:space="preserve"> :</w:t>
      </w:r>
      <w:r w:rsidRPr="00315653">
        <w:rPr>
          <w:rFonts w:hint="cs"/>
          <w:color w:val="000000"/>
          <w:rtl/>
          <w:lang w:bidi="ar-EG"/>
        </w:rPr>
        <w:t xml:space="preserve"> وللكفيل</w:t>
      </w:r>
      <w:r>
        <w:rPr>
          <w:rFonts w:hint="cs"/>
          <w:color w:val="000000"/>
          <w:rtl/>
          <w:lang w:bidi="ar-EG"/>
        </w:rPr>
        <w:t xml:space="preserve"> ،</w:t>
      </w:r>
      <w:r w:rsidRPr="00315653">
        <w:rPr>
          <w:rFonts w:hint="cs"/>
          <w:color w:val="000000"/>
          <w:rtl/>
          <w:lang w:bidi="ar-EG"/>
        </w:rPr>
        <w:t xml:space="preserve"> فضلا عن الدفوع التي يجوز أن يحتج بها المدين</w:t>
      </w:r>
      <w:r>
        <w:rPr>
          <w:rFonts w:hint="cs"/>
          <w:color w:val="000000"/>
          <w:rtl/>
          <w:lang w:bidi="ar-EG"/>
        </w:rPr>
        <w:t xml:space="preserve"> ،</w:t>
      </w:r>
      <w:r w:rsidRPr="00315653">
        <w:rPr>
          <w:rFonts w:hint="cs"/>
          <w:color w:val="000000"/>
          <w:rtl/>
          <w:lang w:bidi="ar-EG"/>
        </w:rPr>
        <w:t xml:space="preserve"> دفوع خاصة به لا يشترك فيها المدين</w:t>
      </w:r>
      <w:r>
        <w:rPr>
          <w:rFonts w:hint="cs"/>
          <w:color w:val="000000"/>
          <w:rtl/>
          <w:lang w:bidi="ar-EG"/>
        </w:rPr>
        <w:t xml:space="preserve"> .</w:t>
      </w:r>
      <w:r w:rsidRPr="00315653">
        <w:rPr>
          <w:rFonts w:hint="cs"/>
          <w:color w:val="000000"/>
          <w:rtl/>
          <w:lang w:bidi="ar-EG"/>
        </w:rPr>
        <w:t xml:space="preserve"> وهذه الدفوع إما أن تكون متعلقة بعقد الكفالة ذاته</w:t>
      </w:r>
      <w:r>
        <w:rPr>
          <w:rFonts w:hint="cs"/>
          <w:color w:val="000000"/>
          <w:rtl/>
          <w:lang w:bidi="ar-EG"/>
        </w:rPr>
        <w:t xml:space="preserve"> ،</w:t>
      </w:r>
      <w:r w:rsidRPr="00315653">
        <w:rPr>
          <w:rFonts w:hint="cs"/>
          <w:color w:val="000000"/>
          <w:rtl/>
          <w:lang w:bidi="ar-EG"/>
        </w:rPr>
        <w:t xml:space="preserve"> أو أن تكون راجعة إلى مركز الكفيل باعتباره كفيلا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 فالدفوع المتعلقة بعقد الكفالة ذاته ترجع إلى بطلان هذا العقد أو قابليته للإبطال دون أن يكون العقد المنشئ لالتزام المدين باطلا أو قابلا للإبطال</w:t>
      </w:r>
      <w:r>
        <w:rPr>
          <w:rFonts w:hint="cs"/>
          <w:color w:val="000000"/>
          <w:rtl/>
          <w:lang w:bidi="ar-EG"/>
        </w:rPr>
        <w:t xml:space="preserve"> ،</w:t>
      </w:r>
      <w:r w:rsidRPr="00315653">
        <w:rPr>
          <w:rFonts w:hint="cs"/>
          <w:color w:val="000000"/>
          <w:rtl/>
          <w:lang w:bidi="ar-EG"/>
        </w:rPr>
        <w:t xml:space="preserve"> فيجوز للكفيل أن يتمسك ببطلان عقد الكفالة وحده أو بقابليته للإبطال</w:t>
      </w:r>
      <w:r>
        <w:rPr>
          <w:rFonts w:hint="cs"/>
          <w:color w:val="000000"/>
          <w:rtl/>
          <w:lang w:bidi="ar-EG"/>
        </w:rPr>
        <w:t xml:space="preserve"> .</w:t>
      </w:r>
      <w:r w:rsidRPr="00315653">
        <w:rPr>
          <w:rFonts w:hint="cs"/>
          <w:color w:val="000000"/>
          <w:rtl/>
          <w:lang w:bidi="ar-EG"/>
        </w:rPr>
        <w:t xml:space="preserve"> وقد ترجع إلى ما يرد على التزام الكفيل وحده من أوصاف لم تستمد من الالتزام الأصلي</w:t>
      </w:r>
      <w:r>
        <w:rPr>
          <w:rFonts w:hint="cs"/>
          <w:color w:val="000000"/>
          <w:rtl/>
          <w:lang w:bidi="ar-EG"/>
        </w:rPr>
        <w:t xml:space="preserve"> ،</w:t>
      </w:r>
      <w:r w:rsidRPr="00315653">
        <w:rPr>
          <w:rFonts w:hint="cs"/>
          <w:color w:val="000000"/>
          <w:rtl/>
          <w:lang w:bidi="ar-EG"/>
        </w:rPr>
        <w:t xml:space="preserve"> كعدم تحقق الشرط الواقف أو تحقق الشرط الفاسخ</w:t>
      </w:r>
      <w:r>
        <w:rPr>
          <w:rFonts w:hint="cs"/>
          <w:color w:val="000000"/>
          <w:rtl/>
          <w:lang w:bidi="ar-EG"/>
        </w:rPr>
        <w:t xml:space="preserve"> ،</w:t>
      </w:r>
      <w:r w:rsidRPr="00315653">
        <w:rPr>
          <w:rFonts w:hint="cs"/>
          <w:color w:val="000000"/>
          <w:rtl/>
          <w:lang w:bidi="ar-EG"/>
        </w:rPr>
        <w:t xml:space="preserve"> فيتمسك الكفيل بأن التزامه لم ينشأ لأنه كان معلقاً على شرط واقف ولم يتحقق $112 هذا الشرط</w:t>
      </w:r>
      <w:r>
        <w:rPr>
          <w:rFonts w:hint="cs"/>
          <w:color w:val="000000"/>
          <w:rtl/>
          <w:lang w:bidi="ar-EG"/>
        </w:rPr>
        <w:t xml:space="preserve"> ،</w:t>
      </w:r>
      <w:r w:rsidRPr="00315653">
        <w:rPr>
          <w:rFonts w:hint="cs"/>
          <w:color w:val="000000"/>
          <w:rtl/>
          <w:lang w:bidi="ar-EG"/>
        </w:rPr>
        <w:t xml:space="preserve"> أو بأن التزامه قد انفسخ لأنه كان معلقاً على شرط فاسخ وقد تحقق هذا الشرط</w:t>
      </w:r>
      <w:r>
        <w:rPr>
          <w:rFonts w:hint="cs"/>
          <w:color w:val="000000"/>
          <w:rtl/>
          <w:lang w:bidi="ar-EG"/>
        </w:rPr>
        <w:t xml:space="preserve"> .</w:t>
      </w:r>
      <w:r w:rsidRPr="00315653">
        <w:rPr>
          <w:rFonts w:hint="cs"/>
          <w:color w:val="000000"/>
          <w:rtl/>
          <w:lang w:bidi="ar-EG"/>
        </w:rPr>
        <w:t xml:space="preserve"> وقد ترجع إلى انقضاء التزام الكفيل بطريق أصلي دون أن ينقضي التزام المدين</w:t>
      </w:r>
      <w:r>
        <w:rPr>
          <w:rFonts w:hint="cs"/>
          <w:color w:val="000000"/>
          <w:rtl/>
          <w:lang w:bidi="ar-EG"/>
        </w:rPr>
        <w:t xml:space="preserve"> ،</w:t>
      </w:r>
      <w:r w:rsidRPr="00315653">
        <w:rPr>
          <w:rFonts w:hint="cs"/>
          <w:color w:val="000000"/>
          <w:rtl/>
          <w:lang w:bidi="ar-EG"/>
        </w:rPr>
        <w:t xml:space="preserve"> وسيأتي بيان ذلك عند الكلام في انقضاء الكفالة</w:t>
      </w:r>
      <w:r>
        <w:rPr>
          <w:rFonts w:hint="cs"/>
          <w:color w:val="000000"/>
          <w:rtl/>
          <w:lang w:bidi="ar-EG"/>
        </w:rPr>
        <w:t xml:space="preserve"> ،</w:t>
      </w:r>
      <w:r w:rsidRPr="00315653">
        <w:rPr>
          <w:rFonts w:hint="cs"/>
          <w:color w:val="000000"/>
          <w:rtl/>
          <w:lang w:bidi="ar-EG"/>
        </w:rPr>
        <w:t xml:space="preserve"> فيتمسك الكفيل بانقضاء التزامه ولو لم ينقض التزام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والدفوع التي ترجع إلى مركز الكفيل باعتباره كفيلا ثلاثة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الدفع ببراءة ذمة الكفل بقدر ما أضاعه بخطأه من التأمينات </w:t>
      </w:r>
      <w:r>
        <w:rPr>
          <w:rFonts w:hint="cs"/>
          <w:color w:val="000000"/>
          <w:rtl/>
          <w:lang w:bidi="ar-EG"/>
        </w:rPr>
        <w:t xml:space="preserve">( </w:t>
      </w:r>
      <w:r w:rsidRPr="00315653">
        <w:rPr>
          <w:rFonts w:hint="cs"/>
          <w:color w:val="000000"/>
          <w:rtl/>
          <w:lang w:bidi="ar-EG"/>
        </w:rPr>
        <w:t>م 784 مدني</w:t>
      </w:r>
      <w:r>
        <w:rPr>
          <w:rFonts w:hint="cs"/>
          <w:color w:val="000000"/>
          <w:rtl/>
          <w:lang w:bidi="ar-EG"/>
        </w:rPr>
        <w:t xml:space="preserve"> )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الدفع ببراءة ذمة الكفيل لتأخر الدائن في اتخاذ الإجراءات ضد المدين </w:t>
      </w:r>
      <w:r>
        <w:rPr>
          <w:rFonts w:hint="cs"/>
          <w:color w:val="000000"/>
          <w:rtl/>
          <w:lang w:bidi="ar-EG"/>
        </w:rPr>
        <w:t xml:space="preserve">( </w:t>
      </w:r>
      <w:r w:rsidRPr="00315653">
        <w:rPr>
          <w:rFonts w:hint="cs"/>
          <w:color w:val="000000"/>
          <w:rtl/>
          <w:lang w:bidi="ar-EG"/>
        </w:rPr>
        <w:t>م 785 مدني</w:t>
      </w:r>
      <w:r>
        <w:rPr>
          <w:rFonts w:hint="cs"/>
          <w:color w:val="000000"/>
          <w:rtl/>
          <w:lang w:bidi="ar-EG"/>
        </w:rPr>
        <w:t xml:space="preserve"> )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الدفع ببراءة ذمة الكفيل بقد رما أصابه من ضرر بسبب عدم تقدم الدائن في تفليسة المدين </w:t>
      </w:r>
      <w:r>
        <w:rPr>
          <w:rFonts w:hint="cs"/>
          <w:color w:val="000000"/>
          <w:rtl/>
          <w:lang w:bidi="ar-EG"/>
        </w:rPr>
        <w:t xml:space="preserve">( </w:t>
      </w:r>
      <w:r w:rsidRPr="00315653">
        <w:rPr>
          <w:rFonts w:hint="cs"/>
          <w:color w:val="000000"/>
          <w:rtl/>
          <w:lang w:bidi="ar-EG"/>
        </w:rPr>
        <w:t>م 786 مدني</w:t>
      </w:r>
      <w:r>
        <w:rPr>
          <w:rFonts w:hint="cs"/>
          <w:color w:val="000000"/>
          <w:rtl/>
          <w:lang w:bidi="ar-EG"/>
        </w:rPr>
        <w:t xml:space="preserve"> ) .</w:t>
      </w:r>
      <w:r w:rsidRPr="00315653">
        <w:rPr>
          <w:rFonts w:hint="cs"/>
          <w:color w:val="000000"/>
          <w:rtl/>
          <w:lang w:bidi="ar-EG"/>
        </w:rPr>
        <w:t xml:space="preserve"> وسنبحث هذه الدفوع في مكانها عند الكلام في انقضاء الكفالة بطريق أصلي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47- الدفع بالتجريد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788/2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"ولا يجوز له </w:t>
      </w:r>
      <w:r>
        <w:rPr>
          <w:rFonts w:hint="cs"/>
          <w:color w:val="000000"/>
          <w:rtl/>
          <w:lang w:bidi="ar-EG"/>
        </w:rPr>
        <w:t xml:space="preserve">( </w:t>
      </w:r>
      <w:r w:rsidRPr="00315653">
        <w:rPr>
          <w:rFonts w:hint="cs"/>
          <w:color w:val="000000"/>
          <w:rtl/>
          <w:lang w:bidi="ar-EG"/>
        </w:rPr>
        <w:t>للدائن</w:t>
      </w:r>
      <w:r>
        <w:rPr>
          <w:rFonts w:hint="cs"/>
          <w:color w:val="000000"/>
          <w:rtl/>
          <w:lang w:bidi="ar-EG"/>
        </w:rPr>
        <w:t xml:space="preserve"> )</w:t>
      </w:r>
      <w:r w:rsidRPr="00315653">
        <w:rPr>
          <w:rFonts w:hint="cs"/>
          <w:color w:val="000000"/>
          <w:rtl/>
          <w:lang w:bidi="ar-EG"/>
        </w:rPr>
        <w:t xml:space="preserve"> أن ينفذ على أموال الكفيل إلا بعد تجريده المدين من أمواله</w:t>
      </w:r>
      <w:r>
        <w:rPr>
          <w:rFonts w:hint="cs"/>
          <w:color w:val="000000"/>
          <w:rtl/>
          <w:lang w:bidi="ar-EG"/>
        </w:rPr>
        <w:t xml:space="preserve"> ،</w:t>
      </w:r>
      <w:r w:rsidRPr="00315653">
        <w:rPr>
          <w:rFonts w:hint="cs"/>
          <w:color w:val="000000"/>
          <w:rtl/>
          <w:lang w:bidi="ar-EG"/>
        </w:rPr>
        <w:t xml:space="preserve"> ويجب على الكفيل في هذه الحالة أن يتمسك بهذا الحق</w:t>
      </w:r>
      <w:r>
        <w:rPr>
          <w:rFonts w:hint="cs"/>
          <w:color w:val="000000"/>
          <w:vertAlign w:val="superscript"/>
          <w:rtl/>
          <w:lang w:bidi="ar-EG"/>
        </w:rPr>
        <w:t xml:space="preserve">( </w:t>
      </w:r>
      <w:r w:rsidRPr="00315653">
        <w:rPr>
          <w:rStyle w:val="ab"/>
          <w:color w:val="000000"/>
          <w:rtl/>
          <w:lang w:bidi="ar-EG"/>
        </w:rPr>
        <w:footnoteReference w:id="258"/>
      </w:r>
      <w:r>
        <w:rPr>
          <w:rFonts w:hint="cs"/>
          <w:color w:val="000000"/>
          <w:vertAlign w:val="superscript"/>
          <w:rtl/>
          <w:lang w:bidi="ar-EG"/>
        </w:rPr>
        <w:t xml:space="preserve"> )</w:t>
      </w:r>
      <w:r w:rsidRPr="00315653">
        <w:rPr>
          <w:rFonts w:hint="cs"/>
          <w:color w:val="000000"/>
          <w:rtl/>
          <w:lang w:bidi="ar-EG"/>
        </w:rPr>
        <w:t>"</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lastRenderedPageBreak/>
        <w:t>$113 وقد فدمنا</w:t>
      </w:r>
      <w:r>
        <w:rPr>
          <w:rFonts w:hint="cs"/>
          <w:color w:val="000000"/>
          <w:vertAlign w:val="superscript"/>
          <w:rtl/>
          <w:lang w:bidi="ar-EG"/>
        </w:rPr>
        <w:t xml:space="preserve">( </w:t>
      </w:r>
      <w:r w:rsidRPr="00315653">
        <w:rPr>
          <w:rStyle w:val="ab"/>
          <w:color w:val="000000"/>
          <w:rtl/>
          <w:lang w:bidi="ar-EG"/>
        </w:rPr>
        <w:footnoteReference w:id="259"/>
      </w:r>
      <w:r>
        <w:rPr>
          <w:rFonts w:hint="cs"/>
          <w:color w:val="000000"/>
          <w:vertAlign w:val="superscript"/>
          <w:rtl/>
          <w:lang w:bidi="ar-EG"/>
        </w:rPr>
        <w:t xml:space="preserve"> )</w:t>
      </w:r>
      <w:r w:rsidRPr="00315653">
        <w:rPr>
          <w:rFonts w:hint="cs"/>
          <w:color w:val="000000"/>
          <w:rtl/>
          <w:lang w:bidi="ar-EG"/>
        </w:rPr>
        <w:t xml:space="preserve"> أن التقنين المدني الجديد ميز بين الدفع برجوع الدائن على المدين أولا والدفع بالتجريد </w:t>
      </w:r>
      <w:r>
        <w:rPr>
          <w:color w:val="000000"/>
          <w:rtl/>
          <w:lang w:bidi="ar-EG"/>
        </w:rPr>
        <w:t xml:space="preserve">( </w:t>
      </w:r>
      <w:r w:rsidRPr="00315653">
        <w:rPr>
          <w:color w:val="000000"/>
          <w:lang w:bidi="ar-EG"/>
        </w:rPr>
        <w:t>benefice de discussion</w:t>
      </w:r>
      <w:r>
        <w:rPr>
          <w:color w:val="000000"/>
          <w:rtl/>
          <w:lang w:bidi="ar-EG"/>
        </w:rPr>
        <w:t xml:space="preserve"> )</w:t>
      </w:r>
      <w:r w:rsidRPr="00315653">
        <w:rPr>
          <w:rFonts w:hint="cs"/>
          <w:color w:val="000000"/>
          <w:rtl/>
        </w:rPr>
        <w:t xml:space="preserve"> وكان التقنين المدني السابق يجعلها دفعاً واحداً ويسميه الدفع بالتجريد</w:t>
      </w:r>
      <w:r>
        <w:rPr>
          <w:rFonts w:hint="cs"/>
          <w:color w:val="000000"/>
          <w:rtl/>
        </w:rPr>
        <w:t xml:space="preserve"> .</w:t>
      </w:r>
      <w:r w:rsidRPr="00315653">
        <w:rPr>
          <w:rFonts w:hint="cs"/>
          <w:color w:val="000000"/>
          <w:rtl/>
        </w:rPr>
        <w:t xml:space="preserve"> والدفع بالتجريد في التقنين المدني الجديد لا يكون إلا عند ما يحصل الدائن على سند قابل للتنفيذ من الكفيل ويشرع في التنفيذ عليه إلا بعد تجريد الدائن المدين من أمواله كما يقرر النص سالف الذكر</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$114 والدفع بالتجريد</w:t>
      </w:r>
      <w:r>
        <w:rPr>
          <w:rFonts w:hint="cs"/>
          <w:color w:val="000000"/>
          <w:rtl/>
          <w:lang w:bidi="ar-EG"/>
        </w:rPr>
        <w:t xml:space="preserve"> ،</w:t>
      </w:r>
      <w:r w:rsidRPr="00315653">
        <w:rPr>
          <w:rFonts w:hint="cs"/>
          <w:color w:val="000000"/>
          <w:rtl/>
          <w:lang w:bidi="ar-EG"/>
        </w:rPr>
        <w:t xml:space="preserve"> بمعناه الواسع فيشمل الدفع بوجوب رجوع الدائن على المدين أولا</w:t>
      </w:r>
      <w:r>
        <w:rPr>
          <w:rFonts w:hint="cs"/>
          <w:color w:val="000000"/>
          <w:rtl/>
          <w:lang w:bidi="ar-EG"/>
        </w:rPr>
        <w:t xml:space="preserve"> ،</w:t>
      </w:r>
      <w:r w:rsidRPr="00315653">
        <w:rPr>
          <w:rFonts w:hint="cs"/>
          <w:color w:val="000000"/>
          <w:rtl/>
          <w:lang w:bidi="ar-EG"/>
        </w:rPr>
        <w:t xml:space="preserve"> مبني على اعتبارات قائمة على العدالة</w:t>
      </w:r>
      <w:r>
        <w:rPr>
          <w:rFonts w:hint="cs"/>
          <w:color w:val="000000"/>
          <w:rtl/>
          <w:lang w:bidi="ar-EG"/>
        </w:rPr>
        <w:t xml:space="preserve"> .</w:t>
      </w:r>
      <w:r w:rsidRPr="00315653">
        <w:rPr>
          <w:rFonts w:hint="cs"/>
          <w:color w:val="000000"/>
          <w:rtl/>
          <w:lang w:bidi="ar-EG"/>
        </w:rPr>
        <w:t xml:space="preserve"> فقد كان الكفيل</w:t>
      </w:r>
      <w:r>
        <w:rPr>
          <w:rFonts w:hint="cs"/>
          <w:color w:val="000000"/>
          <w:rtl/>
          <w:lang w:bidi="ar-EG"/>
        </w:rPr>
        <w:t xml:space="preserve"> ،</w:t>
      </w:r>
      <w:r w:rsidRPr="00315653">
        <w:rPr>
          <w:rFonts w:hint="cs"/>
          <w:color w:val="000000"/>
          <w:rtl/>
          <w:lang w:bidi="ar-EG"/>
        </w:rPr>
        <w:t xml:space="preserve"> طبقاً لحرفية التزامه</w:t>
      </w:r>
      <w:r>
        <w:rPr>
          <w:rFonts w:hint="cs"/>
          <w:color w:val="000000"/>
          <w:rtl/>
          <w:lang w:bidi="ar-EG"/>
        </w:rPr>
        <w:t xml:space="preserve"> ،</w:t>
      </w:r>
      <w:r w:rsidRPr="00315653">
        <w:rPr>
          <w:rFonts w:hint="cs"/>
          <w:color w:val="000000"/>
          <w:rtl/>
          <w:lang w:bidi="ar-EG"/>
        </w:rPr>
        <w:t xml:space="preserve"> مسئولا عن الوفاء بالدين إذا لم يقم المدين بوفائه عند حلول أجله</w:t>
      </w:r>
      <w:r>
        <w:rPr>
          <w:rFonts w:hint="cs"/>
          <w:color w:val="000000"/>
          <w:rtl/>
          <w:lang w:bidi="ar-EG"/>
        </w:rPr>
        <w:t xml:space="preserve"> .</w:t>
      </w:r>
      <w:r w:rsidRPr="00315653">
        <w:rPr>
          <w:rFonts w:hint="cs"/>
          <w:color w:val="000000"/>
          <w:rtl/>
          <w:lang w:bidi="ar-EG"/>
        </w:rPr>
        <w:t xml:space="preserve"> إذ كان الكفيل يضمن للدائن الوفاء الأمين بالدين</w:t>
      </w:r>
      <w:r>
        <w:rPr>
          <w:rFonts w:hint="cs"/>
          <w:color w:val="000000"/>
          <w:rtl/>
          <w:lang w:bidi="ar-EG"/>
        </w:rPr>
        <w:t xml:space="preserve"> ،</w:t>
      </w:r>
      <w:r w:rsidRPr="00315653">
        <w:rPr>
          <w:rFonts w:hint="cs"/>
          <w:color w:val="000000"/>
          <w:rtl/>
          <w:lang w:bidi="ar-EG"/>
        </w:rPr>
        <w:t xml:space="preserve"> أي الوفاء عند حلول أجل الدين</w:t>
      </w:r>
      <w:r>
        <w:rPr>
          <w:rFonts w:hint="cs"/>
          <w:color w:val="000000"/>
          <w:rtl/>
          <w:lang w:bidi="ar-EG"/>
        </w:rPr>
        <w:t xml:space="preserve"> .</w:t>
      </w:r>
      <w:r w:rsidRPr="00315653">
        <w:rPr>
          <w:rFonts w:hint="cs"/>
          <w:color w:val="000000"/>
          <w:rtl/>
          <w:lang w:bidi="ar-EG"/>
        </w:rPr>
        <w:t xml:space="preserve"> ولكن القانون أتاح للكفيل هذا التأجيل</w:t>
      </w:r>
      <w:r>
        <w:rPr>
          <w:rFonts w:hint="cs"/>
          <w:color w:val="000000"/>
          <w:rtl/>
          <w:lang w:bidi="ar-EG"/>
        </w:rPr>
        <w:t xml:space="preserve"> ،</w:t>
      </w:r>
      <w:r w:rsidRPr="00315653">
        <w:rPr>
          <w:rFonts w:hint="cs"/>
          <w:color w:val="000000"/>
          <w:rtl/>
          <w:lang w:bidi="ar-EG"/>
        </w:rPr>
        <w:t xml:space="preserve"> عن طريق الدفع بالتجريد</w:t>
      </w:r>
      <w:r>
        <w:rPr>
          <w:rFonts w:hint="cs"/>
          <w:color w:val="000000"/>
          <w:rtl/>
          <w:lang w:bidi="ar-EG"/>
        </w:rPr>
        <w:t xml:space="preserve"> ،</w:t>
      </w:r>
      <w:r w:rsidRPr="00315653">
        <w:rPr>
          <w:rFonts w:hint="cs"/>
          <w:color w:val="000000"/>
          <w:rtl/>
          <w:lang w:bidi="ar-EG"/>
        </w:rPr>
        <w:t xml:space="preserve"> لأن الكفيل جدير بالرعاية</w:t>
      </w:r>
      <w:r>
        <w:rPr>
          <w:rFonts w:hint="cs"/>
          <w:color w:val="000000"/>
          <w:rtl/>
          <w:lang w:bidi="ar-EG"/>
        </w:rPr>
        <w:t xml:space="preserve"> .</w:t>
      </w:r>
      <w:r w:rsidRPr="00315653">
        <w:rPr>
          <w:rFonts w:hint="cs"/>
          <w:color w:val="000000"/>
          <w:rtl/>
          <w:lang w:bidi="ar-EG"/>
        </w:rPr>
        <w:t xml:space="preserve"> فهو يوفي ديناً يس بدينه بل دين غيره</w:t>
      </w:r>
      <w:r>
        <w:rPr>
          <w:rFonts w:hint="cs"/>
          <w:color w:val="000000"/>
          <w:rtl/>
          <w:lang w:bidi="ar-EG"/>
        </w:rPr>
        <w:t xml:space="preserve"> ،</w:t>
      </w:r>
      <w:r w:rsidRPr="00315653">
        <w:rPr>
          <w:rFonts w:hint="cs"/>
          <w:color w:val="000000"/>
          <w:rtl/>
          <w:lang w:bidi="ar-EG"/>
        </w:rPr>
        <w:t xml:space="preserve"> ويريد بذلك عادة تقديم خدمة لهذا الغير بكفالته وتقوية ائتمانه</w:t>
      </w:r>
      <w:r>
        <w:rPr>
          <w:rFonts w:hint="cs"/>
          <w:color w:val="000000"/>
          <w:rtl/>
          <w:lang w:bidi="ar-EG"/>
        </w:rPr>
        <w:t xml:space="preserve"> .</w:t>
      </w:r>
      <w:r w:rsidRPr="00315653">
        <w:rPr>
          <w:rFonts w:hint="cs"/>
          <w:color w:val="000000"/>
          <w:rtl/>
          <w:lang w:bidi="ar-EG"/>
        </w:rPr>
        <w:t xml:space="preserve"> فيكون من العدل أن يتاح للكفيل أن يطلب من الدائن</w:t>
      </w:r>
      <w:r>
        <w:rPr>
          <w:rFonts w:hint="cs"/>
          <w:color w:val="000000"/>
          <w:rtl/>
          <w:lang w:bidi="ar-EG"/>
        </w:rPr>
        <w:t xml:space="preserve"> ،</w:t>
      </w:r>
      <w:r w:rsidRPr="00315653">
        <w:rPr>
          <w:rFonts w:hint="cs"/>
          <w:color w:val="000000"/>
          <w:rtl/>
          <w:lang w:bidi="ar-EG"/>
        </w:rPr>
        <w:t xml:space="preserve"> قبل أن يرجع هذا عليه</w:t>
      </w:r>
      <w:r>
        <w:rPr>
          <w:rFonts w:hint="cs"/>
          <w:color w:val="000000"/>
          <w:rtl/>
          <w:lang w:bidi="ar-EG"/>
        </w:rPr>
        <w:t xml:space="preserve"> ،</w:t>
      </w:r>
      <w:r w:rsidRPr="00315653">
        <w:rPr>
          <w:rFonts w:hint="cs"/>
          <w:color w:val="000000"/>
          <w:rtl/>
          <w:lang w:bidi="ar-EG"/>
        </w:rPr>
        <w:t xml:space="preserve"> أن يتأكد من استحالة تنفيذ المدين لالتزامه</w:t>
      </w:r>
      <w:r>
        <w:rPr>
          <w:rFonts w:hint="cs"/>
          <w:color w:val="000000"/>
          <w:rtl/>
          <w:lang w:bidi="ar-EG"/>
        </w:rPr>
        <w:t xml:space="preserve"> .</w:t>
      </w:r>
      <w:r w:rsidRPr="00315653">
        <w:rPr>
          <w:rFonts w:hint="cs"/>
          <w:color w:val="000000"/>
          <w:rtl/>
          <w:lang w:bidi="ar-EG"/>
        </w:rPr>
        <w:t xml:space="preserve"> ولا ضرر في هذا على الدائن</w:t>
      </w:r>
      <w:r>
        <w:rPr>
          <w:rFonts w:hint="cs"/>
          <w:color w:val="000000"/>
          <w:rtl/>
          <w:lang w:bidi="ar-EG"/>
        </w:rPr>
        <w:t xml:space="preserve"> ،</w:t>
      </w:r>
      <w:r w:rsidRPr="00315653">
        <w:rPr>
          <w:rFonts w:hint="cs"/>
          <w:color w:val="000000"/>
          <w:rtl/>
          <w:lang w:bidi="ar-EG"/>
        </w:rPr>
        <w:t xml:space="preserve"> إذ هو سيستوفي حقه من الكفيل إذا لم يستوفه من المدين</w:t>
      </w:r>
      <w:r>
        <w:rPr>
          <w:rFonts w:hint="cs"/>
          <w:color w:val="000000"/>
          <w:rtl/>
          <w:lang w:bidi="ar-EG"/>
        </w:rPr>
        <w:t xml:space="preserve"> .</w:t>
      </w:r>
      <w:r w:rsidRPr="00315653">
        <w:rPr>
          <w:rFonts w:hint="cs"/>
          <w:color w:val="000000"/>
          <w:rtl/>
          <w:lang w:bidi="ar-EG"/>
        </w:rPr>
        <w:t xml:space="preserve"> ويمكن القول أيضاً أن هذه هي النية المقترضة للكفيل</w:t>
      </w:r>
      <w:r>
        <w:rPr>
          <w:rFonts w:hint="cs"/>
          <w:color w:val="000000"/>
          <w:rtl/>
          <w:lang w:bidi="ar-EG"/>
        </w:rPr>
        <w:t xml:space="preserve"> ،</w:t>
      </w:r>
      <w:r w:rsidRPr="00315653">
        <w:rPr>
          <w:rFonts w:hint="cs"/>
          <w:color w:val="000000"/>
          <w:rtl/>
          <w:lang w:bidi="ar-EG"/>
        </w:rPr>
        <w:t xml:space="preserve"> عندما كفل المدين</w:t>
      </w:r>
      <w:r>
        <w:rPr>
          <w:rFonts w:hint="cs"/>
          <w:color w:val="000000"/>
          <w:vertAlign w:val="superscript"/>
          <w:rtl/>
          <w:lang w:bidi="ar-EG"/>
        </w:rPr>
        <w:t xml:space="preserve">( </w:t>
      </w:r>
      <w:r w:rsidRPr="00315653">
        <w:rPr>
          <w:rStyle w:val="ab"/>
          <w:color w:val="000000"/>
          <w:rtl/>
          <w:lang w:bidi="ar-EG"/>
        </w:rPr>
        <w:footnoteReference w:id="26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lastRenderedPageBreak/>
        <w:t>والدفع بالتجريد بهذا المعنى الواسع مأخوذ عن القانون الروماني</w:t>
      </w:r>
      <w:r>
        <w:rPr>
          <w:rFonts w:hint="cs"/>
          <w:color w:val="000000"/>
          <w:rtl/>
          <w:lang w:bidi="ar-EG"/>
        </w:rPr>
        <w:t xml:space="preserve"> ،</w:t>
      </w:r>
      <w:r w:rsidRPr="00315653">
        <w:rPr>
          <w:rFonts w:hint="cs"/>
          <w:color w:val="000000"/>
          <w:rtl/>
          <w:lang w:bidi="ar-EG"/>
        </w:rPr>
        <w:t xml:space="preserve"> فقد أن هذا القانون في العهد الكلاسيكي يتيح للكفيل أن يطلب تجريد المدين</w:t>
      </w:r>
      <w:r>
        <w:rPr>
          <w:rFonts w:hint="cs"/>
          <w:color w:val="000000"/>
          <w:rtl/>
          <w:lang w:bidi="ar-EG"/>
        </w:rPr>
        <w:t xml:space="preserve"> ،</w:t>
      </w:r>
      <w:r w:rsidRPr="00315653">
        <w:rPr>
          <w:rFonts w:hint="cs"/>
          <w:color w:val="000000"/>
          <w:rtl/>
          <w:lang w:bidi="ar-EG"/>
        </w:rPr>
        <w:t xml:space="preserve"> إذا كان الكفيل لم يلتزم إلا بدفع ما لا يستطيع الدائن الحصول عليه من المدين $115 إذا هو رجع عليه </w:t>
      </w:r>
      <w:r>
        <w:rPr>
          <w:color w:val="000000"/>
          <w:rtl/>
          <w:lang w:bidi="ar-EG"/>
        </w:rPr>
        <w:t xml:space="preserve">( </w:t>
      </w:r>
      <w:r w:rsidRPr="00315653">
        <w:rPr>
          <w:color w:val="000000"/>
          <w:lang w:bidi="ar-EG"/>
        </w:rPr>
        <w:t>fidejussor indemnitatis</w:t>
      </w:r>
      <w:r>
        <w:rPr>
          <w:color w:val="000000"/>
          <w:rtl/>
          <w:lang w:bidi="ar-EG"/>
        </w:rPr>
        <w:t xml:space="preserve"> )</w:t>
      </w:r>
      <w:r>
        <w:rPr>
          <w:rFonts w:hint="cs"/>
          <w:color w:val="000000"/>
          <w:rtl/>
        </w:rPr>
        <w:t xml:space="preserve"> .</w:t>
      </w:r>
      <w:r w:rsidRPr="00315653">
        <w:rPr>
          <w:rFonts w:hint="cs"/>
          <w:color w:val="000000"/>
          <w:rtl/>
        </w:rPr>
        <w:t xml:space="preserve"> ثم منح جوستينان الدفع بالتجريد لكل كفيل دون تمييز</w:t>
      </w:r>
      <w:r>
        <w:rPr>
          <w:rFonts w:hint="cs"/>
          <w:color w:val="000000"/>
          <w:rtl/>
        </w:rPr>
        <w:t xml:space="preserve"> .</w:t>
      </w:r>
      <w:r w:rsidRPr="00315653">
        <w:rPr>
          <w:rFonts w:hint="cs"/>
          <w:color w:val="000000"/>
          <w:rtl/>
        </w:rPr>
        <w:t xml:space="preserve"> ولم يكن الدفع بالتجريد معروفاً في القانون الفرنسي القديم في أول عوده</w:t>
      </w:r>
      <w:r>
        <w:rPr>
          <w:rFonts w:hint="cs"/>
          <w:color w:val="000000"/>
          <w:rtl/>
        </w:rPr>
        <w:t xml:space="preserve"> ،</w:t>
      </w:r>
      <w:r w:rsidRPr="00315653">
        <w:rPr>
          <w:rFonts w:hint="cs"/>
          <w:color w:val="000000"/>
          <w:rtl/>
        </w:rPr>
        <w:t xml:space="preserve"> وكان الدائن يطالب الكفيل أولا</w:t>
      </w:r>
      <w:r>
        <w:rPr>
          <w:rFonts w:hint="cs"/>
          <w:color w:val="000000"/>
          <w:rtl/>
        </w:rPr>
        <w:t xml:space="preserve"> .</w:t>
      </w:r>
      <w:r w:rsidRPr="00315653">
        <w:rPr>
          <w:rFonts w:hint="cs"/>
          <w:color w:val="000000"/>
          <w:rtl/>
        </w:rPr>
        <w:t xml:space="preserve"> ثم أخذت العادات الفرنسية</w:t>
      </w:r>
      <w:r>
        <w:rPr>
          <w:rFonts w:hint="cs"/>
          <w:color w:val="000000"/>
          <w:rtl/>
        </w:rPr>
        <w:t xml:space="preserve"> ،</w:t>
      </w:r>
      <w:r w:rsidRPr="00315653">
        <w:rPr>
          <w:rFonts w:hint="cs"/>
          <w:color w:val="000000"/>
          <w:rtl/>
        </w:rPr>
        <w:t xml:space="preserve"> قبل إحياء القانون الروماني في جنوب فرنسا</w:t>
      </w:r>
      <w:r>
        <w:rPr>
          <w:rFonts w:hint="cs"/>
          <w:color w:val="000000"/>
          <w:rtl/>
        </w:rPr>
        <w:t xml:space="preserve"> ،</w:t>
      </w:r>
      <w:r w:rsidRPr="00315653">
        <w:rPr>
          <w:rFonts w:hint="cs"/>
          <w:color w:val="000000"/>
          <w:rtl/>
        </w:rPr>
        <w:t xml:space="preserve"> تتيح للكفيل أن يطالب الدائن بإدخال المدين في الدعوى</w:t>
      </w:r>
      <w:r>
        <w:rPr>
          <w:rFonts w:hint="cs"/>
          <w:color w:val="000000"/>
          <w:rtl/>
        </w:rPr>
        <w:t xml:space="preserve"> .</w:t>
      </w:r>
      <w:r w:rsidRPr="00315653">
        <w:rPr>
          <w:rFonts w:hint="cs"/>
          <w:color w:val="000000"/>
          <w:rtl/>
        </w:rPr>
        <w:t xml:space="preserve"> ولما أحي القانون الروماني</w:t>
      </w:r>
      <w:r>
        <w:rPr>
          <w:rFonts w:hint="cs"/>
          <w:color w:val="000000"/>
          <w:rtl/>
        </w:rPr>
        <w:t xml:space="preserve"> ،</w:t>
      </w:r>
      <w:r w:rsidRPr="00315653">
        <w:rPr>
          <w:rFonts w:hint="cs"/>
          <w:color w:val="000000"/>
          <w:rtl/>
        </w:rPr>
        <w:t xml:space="preserve"> عرف القانون الفرنسي القديم عن هذا القانون كلا من الدفع بالتجريد </w:t>
      </w:r>
      <w:r w:rsidRPr="00315653">
        <w:rPr>
          <w:color w:val="000000"/>
          <w:rtl/>
        </w:rPr>
        <w:t>–</w:t>
      </w:r>
      <w:r w:rsidRPr="00315653">
        <w:rPr>
          <w:rFonts w:hint="cs"/>
          <w:color w:val="000000"/>
          <w:rtl/>
        </w:rPr>
        <w:t xml:space="preserve"> وكان يسمى الدفع بالترتيب في الرجوع </w:t>
      </w:r>
      <w:r>
        <w:rPr>
          <w:color w:val="000000"/>
          <w:rtl/>
        </w:rPr>
        <w:t xml:space="preserve">( </w:t>
      </w:r>
      <w:r w:rsidRPr="00315653">
        <w:rPr>
          <w:color w:val="000000"/>
        </w:rPr>
        <w:t>exception d'odre</w:t>
      </w:r>
      <w:r>
        <w:rPr>
          <w:color w:val="000000"/>
          <w:rtl/>
        </w:rPr>
        <w:t xml:space="preserve"> )</w:t>
      </w:r>
      <w:r w:rsidRPr="00315653">
        <w:rPr>
          <w:rFonts w:hint="cs"/>
          <w:color w:val="000000"/>
          <w:rtl/>
        </w:rPr>
        <w:t xml:space="preserve"> </w:t>
      </w:r>
      <w:r w:rsidRPr="00315653">
        <w:rPr>
          <w:color w:val="000000"/>
          <w:rtl/>
        </w:rPr>
        <w:t>–</w:t>
      </w:r>
      <w:r w:rsidRPr="00315653">
        <w:rPr>
          <w:rFonts w:hint="cs"/>
          <w:color w:val="000000"/>
          <w:rtl/>
        </w:rPr>
        <w:t xml:space="preserve"> والدفع بالتقسيم</w:t>
      </w:r>
      <w:r>
        <w:rPr>
          <w:rFonts w:hint="cs"/>
          <w:color w:val="000000"/>
          <w:vertAlign w:val="superscript"/>
          <w:rtl/>
          <w:lang w:bidi="ar-EG"/>
        </w:rPr>
        <w:t xml:space="preserve">( </w:t>
      </w:r>
      <w:r w:rsidRPr="00315653">
        <w:rPr>
          <w:rStyle w:val="ab"/>
          <w:color w:val="000000"/>
          <w:rtl/>
          <w:lang w:bidi="ar-EG"/>
        </w:rPr>
        <w:footnoteReference w:id="26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ونبحث</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1</w:t>
      </w:r>
      <w:r>
        <w:rPr>
          <w:rFonts w:hint="cs"/>
          <w:color w:val="000000"/>
          <w:rtl/>
        </w:rPr>
        <w:t xml:space="preserve"> )</w:t>
      </w:r>
      <w:r w:rsidRPr="00315653">
        <w:rPr>
          <w:rFonts w:hint="cs"/>
          <w:color w:val="000000"/>
          <w:rtl/>
        </w:rPr>
        <w:t xml:space="preserve"> شروط الدفع بالتجريد</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2</w:t>
      </w:r>
      <w:r>
        <w:rPr>
          <w:rFonts w:hint="cs"/>
          <w:color w:val="000000"/>
          <w:rtl/>
        </w:rPr>
        <w:t xml:space="preserve"> )</w:t>
      </w:r>
      <w:r w:rsidRPr="00315653">
        <w:rPr>
          <w:rFonts w:hint="cs"/>
          <w:color w:val="000000"/>
          <w:rtl/>
        </w:rPr>
        <w:t xml:space="preserve"> الآثار التي تترتب على الدفع بالتجريد</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3</w:t>
      </w:r>
      <w:r>
        <w:rPr>
          <w:rFonts w:hint="cs"/>
          <w:color w:val="000000"/>
          <w:rtl/>
        </w:rPr>
        <w:t xml:space="preserve"> )</w:t>
      </w:r>
      <w:r w:rsidRPr="00315653">
        <w:rPr>
          <w:rFonts w:hint="cs"/>
          <w:color w:val="000000"/>
          <w:rtl/>
        </w:rPr>
        <w:t xml:space="preserve"> صورة خاصة للدفع بالتجريد</w:t>
      </w:r>
      <w:r>
        <w:rPr>
          <w:rFonts w:hint="cs"/>
          <w:color w:val="000000"/>
          <w:rtl/>
        </w:rPr>
        <w:t xml:space="preserve"> :</w:t>
      </w:r>
      <w:r w:rsidRPr="00315653">
        <w:rPr>
          <w:rFonts w:hint="cs"/>
          <w:color w:val="000000"/>
          <w:rtl/>
        </w:rPr>
        <w:t xml:space="preserve"> دفع بتجريد التأمين العيني قبل الرجوع على الكفيل</w:t>
      </w:r>
      <w:r>
        <w:rPr>
          <w:rFonts w:hint="cs"/>
          <w:color w:val="000000"/>
          <w:rtl/>
        </w:rPr>
        <w:t xml:space="preserve"> .</w:t>
      </w:r>
      <w:r w:rsidRPr="00315653">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 xml:space="preserve">48- شروط الدفع بالتجريد </w:t>
      </w:r>
      <w:r w:rsidRPr="00315653">
        <w:rPr>
          <w:b/>
          <w:bCs/>
          <w:color w:val="000000"/>
          <w:rtl/>
        </w:rPr>
        <w:t>–</w:t>
      </w:r>
      <w:r w:rsidRPr="00315653">
        <w:rPr>
          <w:rFonts w:hint="cs"/>
          <w:b/>
          <w:bCs/>
          <w:color w:val="000000"/>
          <w:rtl/>
        </w:rPr>
        <w:t xml:space="preserve"> نص قانوني</w:t>
      </w:r>
      <w:r>
        <w:rPr>
          <w:rFonts w:hint="cs"/>
          <w:color w:val="000000"/>
          <w:rtl/>
        </w:rPr>
        <w:t xml:space="preserve"> :</w:t>
      </w:r>
      <w:r w:rsidRPr="00315653">
        <w:rPr>
          <w:rFonts w:hint="cs"/>
          <w:color w:val="000000"/>
          <w:rtl/>
        </w:rPr>
        <w:t xml:space="preserve"> تنص المادة 789 مدني على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"1- إذا طلب الكفيل التجريد</w:t>
      </w:r>
      <w:r>
        <w:rPr>
          <w:rFonts w:hint="cs"/>
          <w:color w:val="000000"/>
          <w:rtl/>
        </w:rPr>
        <w:t xml:space="preserve"> ،</w:t>
      </w:r>
      <w:r w:rsidRPr="00315653">
        <w:rPr>
          <w:rFonts w:hint="cs"/>
          <w:color w:val="000000"/>
          <w:rtl/>
        </w:rPr>
        <w:t xml:space="preserve"> وجب عليه أن يقوم على نفقته بإرشاد الدائن إلى أموال للمدين تفي بالدين كله"</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"2- ولا عبرة بالأموال التي يدل عليها الكفيل</w:t>
      </w:r>
      <w:r>
        <w:rPr>
          <w:rFonts w:hint="cs"/>
          <w:color w:val="000000"/>
          <w:rtl/>
        </w:rPr>
        <w:t xml:space="preserve"> ،</w:t>
      </w:r>
      <w:r w:rsidRPr="00315653">
        <w:rPr>
          <w:rFonts w:hint="cs"/>
          <w:color w:val="000000"/>
          <w:rtl/>
        </w:rPr>
        <w:t xml:space="preserve"> إذا كانت هذه الأموال تقع خارج الأراضي المصرية</w:t>
      </w:r>
      <w:r>
        <w:rPr>
          <w:rFonts w:hint="cs"/>
          <w:color w:val="000000"/>
          <w:rtl/>
        </w:rPr>
        <w:t xml:space="preserve"> ،</w:t>
      </w:r>
      <w:r w:rsidRPr="00315653">
        <w:rPr>
          <w:rFonts w:hint="cs"/>
          <w:color w:val="000000"/>
          <w:rtl/>
        </w:rPr>
        <w:t xml:space="preserve"> أو كانت أموالا متنازعاً فيها"</w:t>
      </w:r>
      <w:r>
        <w:rPr>
          <w:rFonts w:hint="cs"/>
          <w:color w:val="000000"/>
          <w:vertAlign w:val="superscript"/>
          <w:rtl/>
          <w:lang w:bidi="ar-EG"/>
        </w:rPr>
        <w:t xml:space="preserve">( </w:t>
      </w:r>
      <w:r w:rsidRPr="00315653">
        <w:rPr>
          <w:rStyle w:val="ab"/>
          <w:color w:val="000000"/>
          <w:rtl/>
          <w:lang w:bidi="ar-EG"/>
        </w:rPr>
        <w:footnoteReference w:id="26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$116 ويستخلص من المادة سالفة الذكر ومن المادة التي قبلها</w:t>
      </w:r>
      <w:r>
        <w:rPr>
          <w:rFonts w:hint="cs"/>
          <w:color w:val="000000"/>
          <w:vertAlign w:val="superscript"/>
          <w:rtl/>
          <w:lang w:bidi="ar-EG"/>
        </w:rPr>
        <w:t xml:space="preserve">( </w:t>
      </w:r>
      <w:r w:rsidRPr="00315653">
        <w:rPr>
          <w:rStyle w:val="ab"/>
          <w:color w:val="000000"/>
          <w:rtl/>
          <w:lang w:bidi="ar-EG"/>
        </w:rPr>
        <w:footnoteReference w:id="263"/>
      </w:r>
      <w:r>
        <w:rPr>
          <w:rFonts w:hint="cs"/>
          <w:color w:val="000000"/>
          <w:vertAlign w:val="superscript"/>
          <w:rtl/>
          <w:lang w:bidi="ar-EG"/>
        </w:rPr>
        <w:t xml:space="preserve"> )</w:t>
      </w:r>
      <w:r w:rsidRPr="00315653">
        <w:rPr>
          <w:rFonts w:hint="cs"/>
          <w:color w:val="000000"/>
          <w:rtl/>
          <w:lang w:bidi="ar-EG"/>
        </w:rPr>
        <w:t xml:space="preserve"> أن شروط دفع الكفيل</w:t>
      </w:r>
      <w:r>
        <w:rPr>
          <w:rFonts w:hint="cs"/>
          <w:color w:val="000000"/>
          <w:vertAlign w:val="superscript"/>
          <w:rtl/>
          <w:lang w:bidi="ar-EG"/>
        </w:rPr>
        <w:t xml:space="preserve">( </w:t>
      </w:r>
      <w:r w:rsidRPr="00315653">
        <w:rPr>
          <w:rStyle w:val="ab"/>
          <w:color w:val="000000"/>
          <w:rtl/>
          <w:lang w:bidi="ar-EG"/>
        </w:rPr>
        <w:footnoteReference w:id="264"/>
      </w:r>
      <w:r>
        <w:rPr>
          <w:rFonts w:hint="cs"/>
          <w:color w:val="000000"/>
          <w:vertAlign w:val="superscript"/>
          <w:rtl/>
          <w:lang w:bidi="ar-EG"/>
        </w:rPr>
        <w:t xml:space="preserve"> )</w:t>
      </w:r>
      <w:r w:rsidRPr="00315653">
        <w:rPr>
          <w:rFonts w:hint="cs"/>
          <w:color w:val="000000"/>
          <w:rtl/>
          <w:lang w:bidi="ar-EG"/>
        </w:rPr>
        <w:t xml:space="preserve"> بالتجريد ثلاثة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w:t>
      </w:r>
      <w:r w:rsidRPr="00315653">
        <w:rPr>
          <w:color w:val="000000"/>
          <w:rtl/>
          <w:lang w:bidi="ar-EG"/>
        </w:rPr>
        <w:t>–</w:t>
      </w:r>
      <w:r w:rsidRPr="00315653">
        <w:rPr>
          <w:rFonts w:hint="cs"/>
          <w:color w:val="000000"/>
          <w:rtl/>
          <w:lang w:bidi="ar-EG"/>
        </w:rPr>
        <w:t xml:space="preserve"> يجب ألا يكون الكفيل قد نزل مقدماً عن الدفع بالتجريد</w:t>
      </w:r>
      <w:r>
        <w:rPr>
          <w:rFonts w:hint="cs"/>
          <w:color w:val="000000"/>
          <w:rtl/>
          <w:lang w:bidi="ar-EG"/>
        </w:rPr>
        <w:t xml:space="preserve"> ،</w:t>
      </w:r>
      <w:r w:rsidRPr="00315653">
        <w:rPr>
          <w:rFonts w:hint="cs"/>
          <w:color w:val="000000"/>
          <w:rtl/>
          <w:lang w:bidi="ar-EG"/>
        </w:rPr>
        <w:t xml:space="preserve"> إما عند $117 الكفالة أو بعد ذلك</w:t>
      </w:r>
      <w:r>
        <w:rPr>
          <w:rFonts w:hint="cs"/>
          <w:color w:val="000000"/>
          <w:rtl/>
          <w:lang w:bidi="ar-EG"/>
        </w:rPr>
        <w:t xml:space="preserve"> .</w:t>
      </w:r>
      <w:r w:rsidRPr="00315653">
        <w:rPr>
          <w:rFonts w:hint="cs"/>
          <w:color w:val="000000"/>
          <w:rtl/>
          <w:lang w:bidi="ar-EG"/>
        </w:rPr>
        <w:t xml:space="preserve"> إذ الدفع بالتجريد حق خاص بالكفيل تقرر لصالحه</w:t>
      </w:r>
      <w:r>
        <w:rPr>
          <w:rFonts w:hint="cs"/>
          <w:color w:val="000000"/>
          <w:rtl/>
          <w:lang w:bidi="ar-EG"/>
        </w:rPr>
        <w:t xml:space="preserve"> ،</w:t>
      </w:r>
      <w:r w:rsidRPr="00315653">
        <w:rPr>
          <w:rFonts w:hint="cs"/>
          <w:color w:val="000000"/>
          <w:rtl/>
          <w:lang w:bidi="ar-EG"/>
        </w:rPr>
        <w:t xml:space="preserve"> فله أن ينزل عنه</w:t>
      </w:r>
      <w:r>
        <w:rPr>
          <w:rFonts w:hint="cs"/>
          <w:color w:val="000000"/>
          <w:rtl/>
          <w:lang w:bidi="ar-EG"/>
        </w:rPr>
        <w:t xml:space="preserve"> ،</w:t>
      </w:r>
      <w:r w:rsidRPr="00315653">
        <w:rPr>
          <w:rFonts w:hint="cs"/>
          <w:color w:val="000000"/>
          <w:rtl/>
          <w:lang w:bidi="ar-EG"/>
        </w:rPr>
        <w:t xml:space="preserve"> وعندئذ لا يجوز له استعماله بعد هذا النزول</w:t>
      </w:r>
      <w:r>
        <w:rPr>
          <w:rFonts w:hint="cs"/>
          <w:color w:val="000000"/>
          <w:rtl/>
          <w:lang w:bidi="ar-EG"/>
        </w:rPr>
        <w:t xml:space="preserve"> .</w:t>
      </w:r>
      <w:r w:rsidRPr="00315653">
        <w:rPr>
          <w:rFonts w:hint="cs"/>
          <w:color w:val="000000"/>
          <w:rtl/>
          <w:lang w:bidi="ar-EG"/>
        </w:rPr>
        <w:t xml:space="preserve"> وتنص على ذلك </w:t>
      </w:r>
      <w:r w:rsidRPr="00315653">
        <w:rPr>
          <w:rFonts w:hint="cs"/>
          <w:color w:val="000000"/>
          <w:rtl/>
          <w:lang w:bidi="ar-EG"/>
        </w:rPr>
        <w:lastRenderedPageBreak/>
        <w:t>صراحة المادة 2021 مدني فرنسي إذ تقول</w:t>
      </w:r>
      <w:r>
        <w:rPr>
          <w:rFonts w:hint="cs"/>
          <w:color w:val="000000"/>
          <w:rtl/>
          <w:lang w:bidi="ar-EG"/>
        </w:rPr>
        <w:t xml:space="preserve"> :</w:t>
      </w:r>
      <w:r w:rsidRPr="00315653">
        <w:rPr>
          <w:rFonts w:hint="cs"/>
          <w:color w:val="000000"/>
          <w:rtl/>
          <w:lang w:bidi="ar-EG"/>
        </w:rPr>
        <w:t xml:space="preserve"> "لا يلتزم الكفيل أن يفي الدائن إلا إذا لم يفعل المدين ذلك</w:t>
      </w:r>
      <w:r>
        <w:rPr>
          <w:rFonts w:hint="cs"/>
          <w:color w:val="000000"/>
          <w:rtl/>
          <w:lang w:bidi="ar-EG"/>
        </w:rPr>
        <w:t xml:space="preserve"> .</w:t>
      </w:r>
      <w:r w:rsidRPr="00315653">
        <w:rPr>
          <w:rFonts w:hint="cs"/>
          <w:color w:val="000000"/>
          <w:rtl/>
          <w:lang w:bidi="ar-EG"/>
        </w:rPr>
        <w:t xml:space="preserve"> فيجب أولا تجريد المدين</w:t>
      </w:r>
      <w:r>
        <w:rPr>
          <w:rFonts w:hint="cs"/>
          <w:color w:val="000000"/>
          <w:rtl/>
          <w:lang w:bidi="ar-EG"/>
        </w:rPr>
        <w:t xml:space="preserve"> ،</w:t>
      </w:r>
      <w:r w:rsidRPr="00315653">
        <w:rPr>
          <w:rFonts w:hint="cs"/>
          <w:color w:val="000000"/>
          <w:rtl/>
          <w:lang w:bidi="ar-EG"/>
        </w:rPr>
        <w:t xml:space="preserve"> إلا إذا نزل الكفيل عن حق التجريد</w:t>
      </w:r>
      <w:r>
        <w:rPr>
          <w:rFonts w:hint="cs"/>
          <w:color w:val="000000"/>
          <w:rtl/>
          <w:lang w:bidi="ar-EG"/>
        </w:rPr>
        <w:t xml:space="preserve"> ،</w:t>
      </w:r>
      <w:r w:rsidRPr="00315653">
        <w:rPr>
          <w:rFonts w:hint="cs"/>
          <w:color w:val="000000"/>
          <w:rtl/>
          <w:lang w:bidi="ar-EG"/>
        </w:rPr>
        <w:t xml:space="preserve"> أو كان متضامناً مع المدين إذ يجب في هذه الحالة أن يسري على التزام الكفيل القواعد المقررة في التضامن"</w:t>
      </w:r>
      <w:r>
        <w:rPr>
          <w:rFonts w:hint="cs"/>
          <w:color w:val="000000"/>
          <w:rtl/>
          <w:lang w:bidi="ar-EG"/>
        </w:rPr>
        <w:t xml:space="preserve"> .</w:t>
      </w:r>
      <w:r w:rsidRPr="00315653">
        <w:rPr>
          <w:rFonts w:hint="cs"/>
          <w:color w:val="000000"/>
          <w:rtl/>
          <w:lang w:bidi="ar-EG"/>
        </w:rPr>
        <w:t xml:space="preserve"> وغني عن البيان أنه إذا كان الكفل متضامناً مع المدين فليس له حق التجريد</w:t>
      </w:r>
      <w:r>
        <w:rPr>
          <w:rFonts w:hint="cs"/>
          <w:color w:val="000000"/>
          <w:rtl/>
          <w:lang w:bidi="ar-EG"/>
        </w:rPr>
        <w:t xml:space="preserve"> ،</w:t>
      </w:r>
      <w:r w:rsidRPr="00315653">
        <w:rPr>
          <w:rFonts w:hint="cs"/>
          <w:color w:val="000000"/>
          <w:rtl/>
          <w:lang w:bidi="ar-EG"/>
        </w:rPr>
        <w:t xml:space="preserve"> إذ أن قواعد التضامن تقتضي أن يرجع الدائن إذا شاء على الكفيل المتضامن أولا </w:t>
      </w:r>
      <w:r>
        <w:rPr>
          <w:rFonts w:hint="cs"/>
          <w:color w:val="000000"/>
          <w:rtl/>
          <w:lang w:bidi="ar-EG"/>
        </w:rPr>
        <w:t xml:space="preserve">( </w:t>
      </w:r>
      <w:r w:rsidRPr="00315653">
        <w:rPr>
          <w:rFonts w:hint="cs"/>
          <w:color w:val="000000"/>
          <w:rtl/>
          <w:lang w:bidi="ar-EG"/>
        </w:rPr>
        <w:t>م 793 مدني</w:t>
      </w:r>
      <w:r>
        <w:rPr>
          <w:rFonts w:hint="cs"/>
          <w:color w:val="000000"/>
          <w:rtl/>
          <w:lang w:bidi="ar-EG"/>
        </w:rPr>
        <w:t xml:space="preserve"> ) .</w:t>
      </w:r>
      <w:r w:rsidRPr="00315653">
        <w:rPr>
          <w:rFonts w:hint="cs"/>
          <w:color w:val="000000"/>
          <w:rtl/>
          <w:lang w:bidi="ar-EG"/>
        </w:rPr>
        <w:t xml:space="preserve"> ولكنا لسنا هنا بصدد الكفيل المتضامن فله أن يطلب تجريد المدين</w:t>
      </w:r>
      <w:r>
        <w:rPr>
          <w:rFonts w:hint="cs"/>
          <w:color w:val="000000"/>
          <w:rtl/>
          <w:lang w:bidi="ar-EG"/>
        </w:rPr>
        <w:t xml:space="preserve"> ،</w:t>
      </w:r>
      <w:r w:rsidRPr="00315653">
        <w:rPr>
          <w:rFonts w:hint="cs"/>
          <w:color w:val="000000"/>
          <w:rtl/>
          <w:lang w:bidi="ar-EG"/>
        </w:rPr>
        <w:t xml:space="preserve"> إلا إذا كان قد نزل عن هذا الحق كما قدمنا</w:t>
      </w:r>
      <w:r>
        <w:rPr>
          <w:rFonts w:hint="cs"/>
          <w:color w:val="000000"/>
          <w:rtl/>
          <w:lang w:bidi="ar-EG"/>
        </w:rPr>
        <w:t xml:space="preserve"> .</w:t>
      </w:r>
      <w:r w:rsidRPr="00315653">
        <w:rPr>
          <w:rFonts w:hint="cs"/>
          <w:color w:val="000000"/>
          <w:rtl/>
          <w:lang w:bidi="ar-EG"/>
        </w:rPr>
        <w:t xml:space="preserve"> ويكون النزول عن الدفع بالتجريد صريحاً أو ضمنياً</w:t>
      </w:r>
      <w:r>
        <w:rPr>
          <w:rFonts w:hint="cs"/>
          <w:color w:val="000000"/>
          <w:rtl/>
          <w:lang w:bidi="ar-EG"/>
        </w:rPr>
        <w:t xml:space="preserve"> .</w:t>
      </w:r>
      <w:r w:rsidRPr="00315653">
        <w:rPr>
          <w:rFonts w:hint="cs"/>
          <w:color w:val="000000"/>
          <w:rtl/>
          <w:lang w:bidi="ar-EG"/>
        </w:rPr>
        <w:t xml:space="preserve"> وأكثر ما يكون النزول الصرح في يعقد الكفالة ذاته</w:t>
      </w:r>
      <w:r>
        <w:rPr>
          <w:rFonts w:hint="cs"/>
          <w:color w:val="000000"/>
          <w:rtl/>
          <w:lang w:bidi="ar-EG"/>
        </w:rPr>
        <w:t xml:space="preserve"> ،</w:t>
      </w:r>
      <w:r w:rsidRPr="00315653">
        <w:rPr>
          <w:rFonts w:hint="cs"/>
          <w:color w:val="000000"/>
          <w:rtl/>
          <w:lang w:bidi="ar-EG"/>
        </w:rPr>
        <w:t xml:space="preserve"> فيشترط الدائن على الكفل أن ينزل عن حق التجريد</w:t>
      </w:r>
      <w:r>
        <w:rPr>
          <w:rFonts w:hint="cs"/>
          <w:color w:val="000000"/>
          <w:rtl/>
          <w:lang w:bidi="ar-EG"/>
        </w:rPr>
        <w:t xml:space="preserve"> ،</w:t>
      </w:r>
      <w:r w:rsidRPr="00315653">
        <w:rPr>
          <w:rFonts w:hint="cs"/>
          <w:color w:val="000000"/>
          <w:rtl/>
          <w:lang w:bidi="ar-EG"/>
        </w:rPr>
        <w:t xml:space="preserve"> ويغلب أن يشترط الدائن ذلك حتى أصبح هذا الشرط شرطاً مألوفاً في التعامل </w:t>
      </w:r>
      <w:r>
        <w:rPr>
          <w:color w:val="000000"/>
          <w:rtl/>
          <w:lang w:bidi="ar-EG"/>
        </w:rPr>
        <w:t xml:space="preserve">( </w:t>
      </w:r>
      <w:r w:rsidRPr="00315653">
        <w:rPr>
          <w:color w:val="000000"/>
          <w:lang w:bidi="ar-EG"/>
        </w:rPr>
        <w:t>clause de style</w:t>
      </w:r>
      <w:r>
        <w:rPr>
          <w:color w:val="000000"/>
          <w:rtl/>
          <w:lang w:bidi="ar-EG"/>
        </w:rPr>
        <w:t xml:space="preserve"> )</w:t>
      </w:r>
      <w:r>
        <w:rPr>
          <w:rFonts w:hint="cs"/>
          <w:color w:val="000000"/>
          <w:rtl/>
        </w:rPr>
        <w:t xml:space="preserve"> .</w:t>
      </w:r>
      <w:r w:rsidRPr="00315653">
        <w:rPr>
          <w:rFonts w:hint="cs"/>
          <w:color w:val="000000"/>
          <w:rtl/>
        </w:rPr>
        <w:t xml:space="preserve"> أما النزول الضمني فيستخلص من الظروف</w:t>
      </w:r>
      <w:r>
        <w:rPr>
          <w:rFonts w:hint="cs"/>
          <w:color w:val="000000"/>
          <w:rtl/>
        </w:rPr>
        <w:t xml:space="preserve"> ،</w:t>
      </w:r>
      <w:r w:rsidRPr="00315653">
        <w:rPr>
          <w:rFonts w:hint="cs"/>
          <w:color w:val="000000"/>
          <w:rtl/>
        </w:rPr>
        <w:t xml:space="preserve"> وقد يستخلص من تعهد الكفيل بدفع الدين فوراً إذا لم يقم المدين بدفعه عند حلول أجله</w:t>
      </w:r>
      <w:r>
        <w:rPr>
          <w:rFonts w:hint="cs"/>
          <w:color w:val="000000"/>
          <w:rtl/>
        </w:rPr>
        <w:t xml:space="preserve"> .</w:t>
      </w:r>
      <w:r w:rsidRPr="00315653">
        <w:rPr>
          <w:rFonts w:hint="cs"/>
          <w:color w:val="000000"/>
          <w:rtl/>
        </w:rPr>
        <w:t xml:space="preserve"> ولكن أكثر ما يكون النزول الضمني بعد عقد الكفالة</w:t>
      </w:r>
      <w:r>
        <w:rPr>
          <w:rFonts w:hint="cs"/>
          <w:color w:val="000000"/>
          <w:rtl/>
        </w:rPr>
        <w:t xml:space="preserve"> ،</w:t>
      </w:r>
      <w:r w:rsidRPr="00315653">
        <w:rPr>
          <w:rFonts w:hint="cs"/>
          <w:color w:val="000000"/>
          <w:rtl/>
        </w:rPr>
        <w:t xml:space="preserve"> عند ما يشرع الدائن في التنفيذ على أموال المدين فيسكت الكفيل عن الدفع بالتجريد مما يفيد أنه نزل عن هذا الدفع ضمناً</w:t>
      </w:r>
      <w:r>
        <w:rPr>
          <w:rFonts w:hint="cs"/>
          <w:color w:val="000000"/>
          <w:vertAlign w:val="superscript"/>
          <w:rtl/>
          <w:lang w:bidi="ar-EG"/>
        </w:rPr>
        <w:t xml:space="preserve">( </w:t>
      </w:r>
      <w:r w:rsidRPr="00315653">
        <w:rPr>
          <w:rStyle w:val="ab"/>
          <w:color w:val="000000"/>
          <w:rtl/>
          <w:lang w:bidi="ar-EG"/>
        </w:rPr>
        <w:footnoteReference w:id="26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ترك الكفيل الدائن ينفذ على أمواله لأنه لم يكن لدى المدين مال تتوافر فيه الشروط يدل عليه</w:t>
      </w:r>
      <w:r>
        <w:rPr>
          <w:rFonts w:hint="cs"/>
          <w:color w:val="000000"/>
          <w:rtl/>
          <w:lang w:bidi="ar-EG"/>
        </w:rPr>
        <w:t xml:space="preserve"> ،</w:t>
      </w:r>
      <w:r w:rsidRPr="00315653">
        <w:rPr>
          <w:rFonts w:hint="cs"/>
          <w:color w:val="000000"/>
          <w:rtl/>
          <w:lang w:bidi="ar-EG"/>
        </w:rPr>
        <w:t xml:space="preserve"> ثم جد هذا المال للمدين</w:t>
      </w:r>
      <w:r>
        <w:rPr>
          <w:rFonts w:hint="cs"/>
          <w:color w:val="000000"/>
          <w:rtl/>
          <w:lang w:bidi="ar-EG"/>
        </w:rPr>
        <w:t xml:space="preserve"> ،</w:t>
      </w:r>
      <w:r w:rsidRPr="00315653">
        <w:rPr>
          <w:rFonts w:hint="cs"/>
          <w:color w:val="000000"/>
          <w:rtl/>
          <w:lang w:bidi="ar-EG"/>
        </w:rPr>
        <w:t xml:space="preserve"> لم يعتبر سكوت الكفيل عن الدفع بالتجريد نزولا ضمنياً إذا هو بادر ودفع بالتجريد بمجرد أن جد المال للمدين</w:t>
      </w:r>
      <w:r>
        <w:rPr>
          <w:rFonts w:hint="cs"/>
          <w:color w:val="000000"/>
          <w:vertAlign w:val="superscript"/>
          <w:rtl/>
          <w:lang w:bidi="ar-EG"/>
        </w:rPr>
        <w:t xml:space="preserve">( </w:t>
      </w:r>
      <w:r w:rsidRPr="00315653">
        <w:rPr>
          <w:rStyle w:val="ab"/>
          <w:color w:val="000000"/>
          <w:rtl/>
          <w:lang w:bidi="ar-EG"/>
        </w:rPr>
        <w:footnoteReference w:id="26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يعتبر نزولا ضمنياً أن تكون $118</w:t>
      </w:r>
      <w:r w:rsidRPr="00315653">
        <w:rPr>
          <w:rFonts w:hint="cs"/>
          <w:color w:val="000000"/>
          <w:rtl/>
        </w:rPr>
        <w:t xml:space="preserve"> الكفالة في مسائل تجارية فحسب</w:t>
      </w:r>
      <w:r>
        <w:rPr>
          <w:rFonts w:hint="cs"/>
          <w:color w:val="000000"/>
          <w:rtl/>
        </w:rPr>
        <w:t xml:space="preserve"> ،</w:t>
      </w:r>
      <w:r w:rsidRPr="00315653">
        <w:rPr>
          <w:rFonts w:hint="cs"/>
          <w:color w:val="000000"/>
          <w:rtl/>
        </w:rPr>
        <w:t xml:space="preserve"> فالدفع بالتجريد حائز في المسائل التجارية جوازه في المسائل المدنية</w:t>
      </w:r>
      <w:r>
        <w:rPr>
          <w:rFonts w:hint="cs"/>
          <w:color w:val="000000"/>
          <w:vertAlign w:val="superscript"/>
          <w:rtl/>
          <w:lang w:bidi="ar-EG"/>
        </w:rPr>
        <w:t xml:space="preserve">( </w:t>
      </w:r>
      <w:r w:rsidRPr="00315653">
        <w:rPr>
          <w:rStyle w:val="ab"/>
          <w:color w:val="000000"/>
          <w:rtl/>
          <w:lang w:bidi="ar-EG"/>
        </w:rPr>
        <w:footnoteReference w:id="26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2- يجب أن يتمسك الكفيل بحقه في التجريد</w:t>
      </w:r>
      <w:r>
        <w:rPr>
          <w:rFonts w:hint="cs"/>
          <w:color w:val="000000"/>
          <w:rtl/>
          <w:lang w:bidi="ar-EG"/>
        </w:rPr>
        <w:t xml:space="preserve"> ،</w:t>
      </w:r>
      <w:r w:rsidRPr="00315653">
        <w:rPr>
          <w:rFonts w:hint="cs"/>
          <w:color w:val="000000"/>
          <w:rtl/>
          <w:lang w:bidi="ar-EG"/>
        </w:rPr>
        <w:t xml:space="preserve"> فلا يحكم به القاضي من تلقاء نفسه</w:t>
      </w:r>
      <w:r>
        <w:rPr>
          <w:rFonts w:hint="cs"/>
          <w:color w:val="000000"/>
          <w:rtl/>
          <w:lang w:bidi="ar-EG"/>
        </w:rPr>
        <w:t xml:space="preserve"> .</w:t>
      </w:r>
      <w:r w:rsidRPr="00315653">
        <w:rPr>
          <w:rFonts w:hint="cs"/>
          <w:color w:val="000000"/>
          <w:rtl/>
          <w:lang w:bidi="ar-EG"/>
        </w:rPr>
        <w:t xml:space="preserve"> وقد نصت على ذلك صراحة المادة 788/2 مدني كما رأينا</w:t>
      </w:r>
      <w:r>
        <w:rPr>
          <w:rFonts w:hint="cs"/>
          <w:color w:val="000000"/>
          <w:vertAlign w:val="superscript"/>
          <w:rtl/>
          <w:lang w:bidi="ar-EG"/>
        </w:rPr>
        <w:t xml:space="preserve">( </w:t>
      </w:r>
      <w:r w:rsidRPr="00315653">
        <w:rPr>
          <w:rStyle w:val="ab"/>
          <w:color w:val="000000"/>
          <w:rtl/>
          <w:lang w:bidi="ar-EG"/>
        </w:rPr>
        <w:footnoteReference w:id="26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إذ تقول</w:t>
      </w:r>
      <w:r>
        <w:rPr>
          <w:rFonts w:hint="cs"/>
          <w:color w:val="000000"/>
          <w:rtl/>
          <w:lang w:bidi="ar-EG"/>
        </w:rPr>
        <w:t xml:space="preserve"> :</w:t>
      </w:r>
      <w:r w:rsidRPr="00315653">
        <w:rPr>
          <w:rFonts w:hint="cs"/>
          <w:color w:val="000000"/>
          <w:rtl/>
          <w:lang w:bidi="ar-EG"/>
        </w:rPr>
        <w:t xml:space="preserve"> "ويجب على الكفيل في هذه الحالة أن يتمسك بهذا الحق"</w:t>
      </w:r>
      <w:r>
        <w:rPr>
          <w:rFonts w:hint="cs"/>
          <w:color w:val="000000"/>
          <w:rtl/>
          <w:lang w:bidi="ar-EG"/>
        </w:rPr>
        <w:t xml:space="preserve"> .</w:t>
      </w:r>
      <w:r w:rsidRPr="00315653">
        <w:rPr>
          <w:rFonts w:hint="cs"/>
          <w:color w:val="000000"/>
          <w:rtl/>
          <w:lang w:bidi="ar-EG"/>
        </w:rPr>
        <w:t xml:space="preserve"> ولما كان ادفع بالتجريد</w:t>
      </w:r>
      <w:r>
        <w:rPr>
          <w:rFonts w:hint="cs"/>
          <w:color w:val="000000"/>
          <w:rtl/>
          <w:lang w:bidi="ar-EG"/>
        </w:rPr>
        <w:t xml:space="preserve"> ،</w:t>
      </w:r>
      <w:r w:rsidRPr="00315653">
        <w:rPr>
          <w:rFonts w:hint="cs"/>
          <w:color w:val="000000"/>
          <w:rtl/>
          <w:lang w:bidi="ar-EG"/>
        </w:rPr>
        <w:t xml:space="preserve"> في التقنين المدني الجديد</w:t>
      </w:r>
      <w:r>
        <w:rPr>
          <w:rFonts w:hint="cs"/>
          <w:color w:val="000000"/>
          <w:rtl/>
          <w:lang w:bidi="ar-EG"/>
        </w:rPr>
        <w:t xml:space="preserve"> ،</w:t>
      </w:r>
      <w:r w:rsidRPr="00315653">
        <w:rPr>
          <w:rFonts w:hint="cs"/>
          <w:color w:val="000000"/>
          <w:rtl/>
          <w:lang w:bidi="ar-EG"/>
        </w:rPr>
        <w:t xml:space="preserve"> إنما يتعلق بالتنفيذ لا بالمطالبة القضائية</w:t>
      </w:r>
      <w:r>
        <w:rPr>
          <w:rFonts w:hint="cs"/>
          <w:color w:val="000000"/>
          <w:rtl/>
          <w:lang w:bidi="ar-EG"/>
        </w:rPr>
        <w:t xml:space="preserve"> ،</w:t>
      </w:r>
      <w:r w:rsidRPr="00315653">
        <w:rPr>
          <w:rFonts w:hint="cs"/>
          <w:color w:val="000000"/>
          <w:rtl/>
          <w:lang w:bidi="ar-EG"/>
        </w:rPr>
        <w:t xml:space="preserve"> فيبدو أنه يترتب على ذلك أن الدفع لا يكون </w:t>
      </w:r>
      <w:r w:rsidRPr="00315653">
        <w:rPr>
          <w:rFonts w:hint="cs"/>
          <w:color w:val="000000"/>
          <w:rtl/>
          <w:lang w:bidi="ar-EG"/>
        </w:rPr>
        <w:lastRenderedPageBreak/>
        <w:t>مقبولا من الكفيل إلا عند ما يشرع الدائن في التنفيذ على أمواله بموجب سند قابل للتنفيذ عنده</w:t>
      </w:r>
      <w:r>
        <w:rPr>
          <w:rFonts w:hint="cs"/>
          <w:color w:val="000000"/>
          <w:vertAlign w:val="superscript"/>
          <w:rtl/>
          <w:lang w:bidi="ar-EG"/>
        </w:rPr>
        <w:t xml:space="preserve">( </w:t>
      </w:r>
      <w:r w:rsidRPr="00315653">
        <w:rPr>
          <w:rStyle w:val="ab"/>
          <w:color w:val="000000"/>
          <w:rtl/>
          <w:lang w:bidi="ar-EG"/>
        </w:rPr>
        <w:footnoteReference w:id="26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ويظهر أن الكفيل يستطيع إبداء الدفع بالتجريد عن طريق الاستشكال في التنفيذ</w:t>
      </w:r>
      <w:r>
        <w:rPr>
          <w:rFonts w:hint="cs"/>
          <w:color w:val="000000"/>
          <w:rtl/>
          <w:lang w:bidi="ar-EG"/>
        </w:rPr>
        <w:t xml:space="preserve"> ،</w:t>
      </w:r>
      <w:r w:rsidRPr="00315653">
        <w:rPr>
          <w:rFonts w:hint="cs"/>
          <w:color w:val="000000"/>
          <w:rtl/>
          <w:lang w:bidi="ar-EG"/>
        </w:rPr>
        <w:t xml:space="preserve"> وكذلك يستطيع عقب التنبيه </w:t>
      </w:r>
      <w:r>
        <w:rPr>
          <w:color w:val="000000"/>
          <w:rtl/>
          <w:lang w:bidi="ar-EG"/>
        </w:rPr>
        <w:t xml:space="preserve">( </w:t>
      </w:r>
      <w:r w:rsidRPr="00315653">
        <w:rPr>
          <w:color w:val="000000"/>
          <w:lang w:bidi="ar-EG"/>
        </w:rPr>
        <w:t>commandement</w:t>
      </w:r>
      <w:r>
        <w:rPr>
          <w:color w:val="000000"/>
          <w:rtl/>
          <w:lang w:bidi="ar-EG"/>
        </w:rPr>
        <w:t xml:space="preserve"> )</w:t>
      </w:r>
      <w:r w:rsidRPr="00315653">
        <w:rPr>
          <w:rFonts w:hint="cs"/>
          <w:color w:val="000000"/>
          <w:rtl/>
        </w:rPr>
        <w:t xml:space="preserve"> على الكفيل بالوفاء وإيداع قائمة شروط البيع في العقار أن يبدي الدفع$119 بالتجريد بطريق الاعتراض على قائمة شروط البيع</w:t>
      </w:r>
      <w:r>
        <w:rPr>
          <w:rFonts w:hint="cs"/>
          <w:color w:val="000000"/>
          <w:vertAlign w:val="superscript"/>
          <w:rtl/>
          <w:lang w:bidi="ar-EG"/>
        </w:rPr>
        <w:t xml:space="preserve">( </w:t>
      </w:r>
      <w:r w:rsidRPr="00315653">
        <w:rPr>
          <w:rStyle w:val="ab"/>
          <w:color w:val="000000"/>
          <w:rtl/>
          <w:lang w:bidi="ar-EG"/>
        </w:rPr>
        <w:footnoteReference w:id="27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إذا لم يتمسك الكفيل بالدفع بالتجريد في أثناء نظر دعوى مطالبة الدائن إياه بالدين</w:t>
      </w:r>
      <w:r>
        <w:rPr>
          <w:rFonts w:hint="cs"/>
          <w:color w:val="000000"/>
          <w:rtl/>
          <w:lang w:bidi="ar-EG"/>
        </w:rPr>
        <w:t xml:space="preserve"> ،</w:t>
      </w:r>
      <w:r w:rsidRPr="00315653">
        <w:rPr>
          <w:rFonts w:hint="cs"/>
          <w:color w:val="000000"/>
          <w:rtl/>
          <w:lang w:bidi="ar-EG"/>
        </w:rPr>
        <w:t xml:space="preserve"> لم يعتبر ذلك منه نزولا ضمنياً عن هذا الدفع لأن الدفع يتعلق بالتنفيذ لا بالمطالبة</w:t>
      </w:r>
      <w:r>
        <w:rPr>
          <w:rFonts w:hint="cs"/>
          <w:color w:val="000000"/>
          <w:vertAlign w:val="superscript"/>
          <w:rtl/>
          <w:lang w:bidi="ar-EG"/>
        </w:rPr>
        <w:t xml:space="preserve">( </w:t>
      </w:r>
      <w:r w:rsidRPr="00315653">
        <w:rPr>
          <w:rStyle w:val="ab"/>
          <w:color w:val="000000"/>
          <w:rtl/>
          <w:lang w:bidi="ar-EG"/>
        </w:rPr>
        <w:footnoteReference w:id="27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ويبقى حق الدفع بالتجريد للكفيل بعد ذلك</w:t>
      </w:r>
      <w:r>
        <w:rPr>
          <w:rFonts w:hint="cs"/>
          <w:color w:val="000000"/>
          <w:rtl/>
          <w:lang w:bidi="ar-EG"/>
        </w:rPr>
        <w:t xml:space="preserve"> ،</w:t>
      </w:r>
      <w:r w:rsidRPr="00315653">
        <w:rPr>
          <w:rFonts w:hint="cs"/>
          <w:color w:val="000000"/>
          <w:rtl/>
          <w:lang w:bidi="ar-EG"/>
        </w:rPr>
        <w:t xml:space="preserve"> وبخاصة إذا جد للمدين مال يصلح للتنفيذ عليه فيما بعد</w:t>
      </w:r>
      <w:r>
        <w:rPr>
          <w:rFonts w:hint="cs"/>
          <w:color w:val="000000"/>
          <w:rtl/>
          <w:lang w:bidi="ar-EG"/>
        </w:rPr>
        <w:t xml:space="preserve"> ،</w:t>
      </w:r>
      <w:r w:rsidRPr="00315653">
        <w:rPr>
          <w:rFonts w:hint="cs"/>
          <w:color w:val="000000"/>
          <w:rtl/>
          <w:lang w:bidi="ar-EG"/>
        </w:rPr>
        <w:t xml:space="preserve"> فقد قدمنا أن سكوت الكفيل عن الدفع بالتجريد قبل أن يجد للمدين هذا المال لا يعتبر نزولا ضمنياً عن الدفع</w:t>
      </w:r>
      <w:r>
        <w:rPr>
          <w:rFonts w:hint="cs"/>
          <w:color w:val="000000"/>
          <w:rtl/>
          <w:lang w:bidi="ar-EG"/>
        </w:rPr>
        <w:t xml:space="preserve"> .</w:t>
      </w:r>
      <w:r w:rsidRPr="00315653">
        <w:rPr>
          <w:rFonts w:hint="cs"/>
          <w:color w:val="000000"/>
          <w:rtl/>
          <w:lang w:bidi="ar-EG"/>
        </w:rPr>
        <w:t xml:space="preserve"> فيكون للكفيل أن يدفع بالتجريد ابتداء من شروع الدائن في التنفيذ على ماله إلى أن يتم هذا التنفيذ</w:t>
      </w:r>
      <w:r>
        <w:rPr>
          <w:rFonts w:hint="cs"/>
          <w:color w:val="000000"/>
          <w:rtl/>
          <w:lang w:bidi="ar-EG"/>
        </w:rPr>
        <w:t xml:space="preserve"> ،</w:t>
      </w:r>
      <w:r w:rsidRPr="00315653">
        <w:rPr>
          <w:rFonts w:hint="cs"/>
          <w:color w:val="000000"/>
          <w:rtl/>
          <w:lang w:bidi="ar-EG"/>
        </w:rPr>
        <w:t xml:space="preserve"> ما لم ينزل الكفيل عن الدفع صراحة أو ضمناً</w:t>
      </w:r>
      <w:r>
        <w:rPr>
          <w:rFonts w:hint="cs"/>
          <w:color w:val="000000"/>
          <w:rtl/>
          <w:lang w:bidi="ar-EG"/>
        </w:rPr>
        <w:t xml:space="preserve"> .</w:t>
      </w:r>
      <w:r w:rsidRPr="00315653">
        <w:rPr>
          <w:rFonts w:hint="cs"/>
          <w:color w:val="000000"/>
          <w:rtl/>
          <w:lang w:bidi="ar-EG"/>
        </w:rPr>
        <w:t xml:space="preserve"> ويمكن استخلاص النزول الضمني عن الدفع من عدم تمسك الكفيل به إلى أن يقطع الدائن في التنفيذ مرحلة كبيرة</w:t>
      </w:r>
      <w:r>
        <w:rPr>
          <w:rFonts w:hint="cs"/>
          <w:color w:val="000000"/>
          <w:rtl/>
          <w:lang w:bidi="ar-EG"/>
        </w:rPr>
        <w:t xml:space="preserve"> ،</w:t>
      </w:r>
      <w:r w:rsidRPr="00315653">
        <w:rPr>
          <w:rFonts w:hint="cs"/>
          <w:color w:val="000000"/>
          <w:rtl/>
          <w:lang w:bidi="ar-EG"/>
        </w:rPr>
        <w:t xml:space="preserve"> وعلى كل حال يعتبر النزول الضمني عن الدفع مسألة موضوعية بقدرها قاضي الموضوع</w:t>
      </w:r>
      <w:r>
        <w:rPr>
          <w:rFonts w:hint="cs"/>
          <w:color w:val="000000"/>
          <w:vertAlign w:val="superscript"/>
          <w:rtl/>
          <w:lang w:bidi="ar-EG"/>
        </w:rPr>
        <w:t xml:space="preserve">( </w:t>
      </w:r>
      <w:r w:rsidRPr="00315653">
        <w:rPr>
          <w:rStyle w:val="ab"/>
          <w:color w:val="000000"/>
          <w:rtl/>
          <w:lang w:bidi="ar-EG"/>
        </w:rPr>
        <w:footnoteReference w:id="27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lastRenderedPageBreak/>
        <w:t>$120 3- يجب أن يقوم الكفيل على نفقته بإرشاد الدائن إلى أموال للمدين تفي بالدين كله</w:t>
      </w:r>
      <w:r>
        <w:rPr>
          <w:rFonts w:hint="cs"/>
          <w:color w:val="000000"/>
          <w:rtl/>
        </w:rPr>
        <w:t xml:space="preserve"> ،</w:t>
      </w:r>
      <w:r w:rsidRPr="00315653">
        <w:rPr>
          <w:rFonts w:hint="cs"/>
          <w:color w:val="000000"/>
          <w:rtl/>
        </w:rPr>
        <w:t xml:space="preserve"> بشرط أن تكون هذه الأموال واقعة في داخل البلاد المصرية ولست أموالا متنازعاً فيها </w:t>
      </w:r>
      <w:r>
        <w:rPr>
          <w:rFonts w:hint="cs"/>
          <w:color w:val="000000"/>
          <w:rtl/>
        </w:rPr>
        <w:t xml:space="preserve">( </w:t>
      </w:r>
      <w:r w:rsidRPr="00315653">
        <w:rPr>
          <w:rFonts w:hint="cs"/>
          <w:color w:val="000000"/>
          <w:rtl/>
        </w:rPr>
        <w:t>م 789 مدني سالفة الذكر</w:t>
      </w:r>
      <w:r>
        <w:rPr>
          <w:rFonts w:hint="cs"/>
          <w:color w:val="000000"/>
          <w:rtl/>
        </w:rPr>
        <w:t xml:space="preserve"> ) .</w:t>
      </w:r>
      <w:r w:rsidRPr="00315653">
        <w:rPr>
          <w:rFonts w:hint="cs"/>
          <w:color w:val="000000"/>
          <w:rtl/>
        </w:rPr>
        <w:t xml:space="preserve"> وغني عن البيان أن هذا الشرط يتخلف إذا كان المدين قد شهر إفلاسه أو إعساره</w:t>
      </w:r>
      <w:r>
        <w:rPr>
          <w:rFonts w:hint="cs"/>
          <w:color w:val="000000"/>
          <w:rtl/>
        </w:rPr>
        <w:t xml:space="preserve"> ،</w:t>
      </w:r>
      <w:r w:rsidRPr="00315653">
        <w:rPr>
          <w:rFonts w:hint="cs"/>
          <w:color w:val="000000"/>
          <w:rtl/>
        </w:rPr>
        <w:t xml:space="preserve"> أو صار في حالة إفلاس أو إعسار ظاهرة</w:t>
      </w:r>
      <w:r>
        <w:rPr>
          <w:rFonts w:hint="cs"/>
          <w:color w:val="000000"/>
          <w:rtl/>
        </w:rPr>
        <w:t xml:space="preserve"> ،</w:t>
      </w:r>
      <w:r w:rsidRPr="00315653">
        <w:rPr>
          <w:rFonts w:hint="cs"/>
          <w:color w:val="000000"/>
          <w:rtl/>
        </w:rPr>
        <w:t xml:space="preserve"> وبوجه عام إذا كان ظاهر العجز عن الوفاء بالدين كما لو كان هناك محضر بأنه ليس لديه أموال ظاهرة </w:t>
      </w:r>
      <w:r>
        <w:rPr>
          <w:color w:val="000000"/>
          <w:rtl/>
        </w:rPr>
        <w:t xml:space="preserve">( </w:t>
      </w:r>
      <w:r w:rsidRPr="00315653">
        <w:rPr>
          <w:color w:val="000000"/>
        </w:rPr>
        <w:t>proces – verbal de carence</w:t>
      </w:r>
      <w:r>
        <w:rPr>
          <w:color w:val="000000"/>
          <w:rtl/>
        </w:rPr>
        <w:t xml:space="preserve"> )</w:t>
      </w:r>
      <w:r w:rsidRPr="00315653">
        <w:rPr>
          <w:rFonts w:hint="cs"/>
          <w:color w:val="000000"/>
          <w:vertAlign w:val="superscript"/>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7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ذلك لأن الكفيل في هذه الحالة لا يستطيع أن يرشد الدائن إلى أموال للمدين تفي بالدين كله</w:t>
      </w:r>
      <w:r>
        <w:rPr>
          <w:rFonts w:hint="cs"/>
          <w:color w:val="000000"/>
          <w:rtl/>
          <w:lang w:bidi="ar-EG"/>
        </w:rPr>
        <w:t xml:space="preserve"> ،</w:t>
      </w:r>
      <w:r w:rsidRPr="00315653">
        <w:rPr>
          <w:rFonts w:hint="cs"/>
          <w:color w:val="000000"/>
          <w:rtl/>
          <w:lang w:bidi="ar-EG"/>
        </w:rPr>
        <w:t xml:space="preserve"> فيتخلف شرط أساسي من شروط الدفع بالتجريد</w:t>
      </w:r>
      <w:r>
        <w:rPr>
          <w:rFonts w:hint="cs"/>
          <w:color w:val="000000"/>
          <w:vertAlign w:val="superscript"/>
          <w:rtl/>
          <w:lang w:bidi="ar-EG"/>
        </w:rPr>
        <w:t xml:space="preserve">( </w:t>
      </w:r>
      <w:r w:rsidRPr="00315653">
        <w:rPr>
          <w:rStyle w:val="ab"/>
          <w:color w:val="000000"/>
          <w:rtl/>
          <w:lang w:bidi="ar-EG"/>
        </w:rPr>
        <w:footnoteReference w:id="27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وأموال المدين التي يرشد الكفيل الدائن إليها يجب أن تفي بالدين كله</w:t>
      </w:r>
      <w:r>
        <w:rPr>
          <w:rFonts w:hint="cs"/>
          <w:color w:val="000000"/>
          <w:rtl/>
          <w:lang w:bidi="ar-EG"/>
        </w:rPr>
        <w:t xml:space="preserve"> ،</w:t>
      </w:r>
      <w:r w:rsidRPr="00315653">
        <w:rPr>
          <w:rFonts w:hint="cs"/>
          <w:color w:val="000000"/>
          <w:rtl/>
          <w:lang w:bidi="ar-EG"/>
        </w:rPr>
        <w:t xml:space="preserve"> فلا يكفي أن تفي بجزء من الدين أو حتى بمعظم الدين</w:t>
      </w:r>
      <w:r>
        <w:rPr>
          <w:rFonts w:hint="cs"/>
          <w:color w:val="000000"/>
          <w:rtl/>
          <w:lang w:bidi="ar-EG"/>
        </w:rPr>
        <w:t xml:space="preserve"> .</w:t>
      </w:r>
      <w:r w:rsidRPr="00315653">
        <w:rPr>
          <w:rFonts w:hint="cs"/>
          <w:color w:val="000000"/>
          <w:rtl/>
          <w:lang w:bidi="ar-EG"/>
        </w:rPr>
        <w:t xml:space="preserve"> ذلك بأن أموال المدين إذا كانت لا تفي بالدين كله</w:t>
      </w:r>
      <w:r>
        <w:rPr>
          <w:rFonts w:hint="cs"/>
          <w:color w:val="000000"/>
          <w:rtl/>
          <w:lang w:bidi="ar-EG"/>
        </w:rPr>
        <w:t xml:space="preserve"> ،</w:t>
      </w:r>
      <w:r w:rsidRPr="00315653">
        <w:rPr>
          <w:rFonts w:hint="cs"/>
          <w:color w:val="000000"/>
          <w:rtl/>
          <w:lang w:bidi="ar-EG"/>
        </w:rPr>
        <w:t xml:space="preserve"> اضطر الدائن عند التنفيذ عليها أن يقبل وفاء جزئياً لحقه</w:t>
      </w:r>
      <w:r>
        <w:rPr>
          <w:rFonts w:hint="cs"/>
          <w:color w:val="000000"/>
          <w:rtl/>
          <w:lang w:bidi="ar-EG"/>
        </w:rPr>
        <w:t xml:space="preserve"> ،</w:t>
      </w:r>
      <w:r w:rsidRPr="00315653">
        <w:rPr>
          <w:rFonts w:hint="cs"/>
          <w:color w:val="000000"/>
          <w:rtl/>
          <w:lang w:bidi="ar-EG"/>
        </w:rPr>
        <w:t xml:space="preserve"> ولا يجوز إجبار الدائن على أن يقبل هذا الوفاء الجزئي </w:t>
      </w:r>
      <w:r>
        <w:rPr>
          <w:rFonts w:hint="cs"/>
          <w:color w:val="000000"/>
          <w:rtl/>
          <w:lang w:bidi="ar-EG"/>
        </w:rPr>
        <w:t xml:space="preserve">( </w:t>
      </w:r>
      <w:r w:rsidRPr="00315653">
        <w:rPr>
          <w:rFonts w:hint="cs"/>
          <w:color w:val="000000"/>
          <w:rtl/>
          <w:lang w:bidi="ar-EG"/>
        </w:rPr>
        <w:t>م $121 342/1</w:t>
      </w:r>
      <w:r>
        <w:rPr>
          <w:rFonts w:hint="cs"/>
          <w:color w:val="000000"/>
          <w:rtl/>
          <w:lang w:bidi="ar-EG"/>
        </w:rPr>
        <w:t xml:space="preserve"> )</w:t>
      </w:r>
      <w:r w:rsidRPr="00315653">
        <w:rPr>
          <w:rFonts w:hint="cs"/>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27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والقانون الفرنسي لا يشترط أن تكون أموال المدين تفي بالدين كله</w:t>
      </w:r>
      <w:r>
        <w:rPr>
          <w:rFonts w:hint="cs"/>
          <w:color w:val="000000"/>
          <w:rtl/>
          <w:lang w:bidi="ar-EG"/>
        </w:rPr>
        <w:t xml:space="preserve"> ،</w:t>
      </w:r>
      <w:r w:rsidRPr="00315653">
        <w:rPr>
          <w:rFonts w:hint="cs"/>
          <w:color w:val="000000"/>
          <w:rtl/>
          <w:lang w:bidi="ar-EG"/>
        </w:rPr>
        <w:t xml:space="preserve"> فيجوز أن تفي ببعض الدين</w:t>
      </w:r>
      <w:r>
        <w:rPr>
          <w:rFonts w:hint="cs"/>
          <w:color w:val="000000"/>
          <w:rtl/>
          <w:lang w:bidi="ar-EG"/>
        </w:rPr>
        <w:t xml:space="preserve"> ،</w:t>
      </w:r>
      <w:r w:rsidRPr="00315653">
        <w:rPr>
          <w:rFonts w:hint="cs"/>
          <w:color w:val="000000"/>
          <w:rtl/>
          <w:lang w:bidi="ar-EG"/>
        </w:rPr>
        <w:t xml:space="preserve"> ويجير الدائن على قبول الوفاء الجزئي في هذه الحالة</w:t>
      </w:r>
      <w:r>
        <w:rPr>
          <w:rFonts w:hint="cs"/>
          <w:color w:val="000000"/>
          <w:rtl/>
          <w:lang w:bidi="ar-EG"/>
        </w:rPr>
        <w:t xml:space="preserve"> ،</w:t>
      </w:r>
      <w:r w:rsidRPr="00315653">
        <w:rPr>
          <w:rFonts w:hint="cs"/>
          <w:color w:val="000000"/>
          <w:rtl/>
          <w:lang w:bidi="ar-EG"/>
        </w:rPr>
        <w:t xml:space="preserve"> إذ لا يناله من ذلك كبير ضرر فهو يرجع فوراً على الكفيل ببقية الدين</w:t>
      </w:r>
      <w:r>
        <w:rPr>
          <w:rFonts w:hint="cs"/>
          <w:color w:val="000000"/>
          <w:vertAlign w:val="superscript"/>
          <w:rtl/>
          <w:lang w:bidi="ar-EG"/>
        </w:rPr>
        <w:t xml:space="preserve">( </w:t>
      </w:r>
      <w:r w:rsidRPr="00315653">
        <w:rPr>
          <w:rStyle w:val="ab"/>
          <w:color w:val="000000"/>
          <w:rtl/>
          <w:lang w:bidi="ar-EG"/>
        </w:rPr>
        <w:footnoteReference w:id="27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كان المشروع التمهيدي لنص المادة 789/1 مدني </w:t>
      </w:r>
      <w:r w:rsidRPr="00315653">
        <w:rPr>
          <w:rFonts w:hint="cs"/>
          <w:color w:val="000000"/>
          <w:rtl/>
          <w:lang w:bidi="ar-EG"/>
        </w:rPr>
        <w:lastRenderedPageBreak/>
        <w:t>مصري لا يتضمن هذا الشرط أسوة بالتقنين المدني الفرنسي</w:t>
      </w:r>
      <w:r>
        <w:rPr>
          <w:rFonts w:hint="cs"/>
          <w:color w:val="000000"/>
          <w:rtl/>
          <w:lang w:bidi="ar-EG"/>
        </w:rPr>
        <w:t xml:space="preserve"> ،</w:t>
      </w:r>
      <w:r w:rsidRPr="00315653">
        <w:rPr>
          <w:rFonts w:hint="cs"/>
          <w:color w:val="000000"/>
          <w:rtl/>
          <w:lang w:bidi="ar-EG"/>
        </w:rPr>
        <w:t xml:space="preserve"> فأضيف الشرط في لجنة المراجعة واستقر في التقنين المدني المصري الجديد</w:t>
      </w:r>
      <w:r>
        <w:rPr>
          <w:rFonts w:hint="cs"/>
          <w:color w:val="000000"/>
          <w:rtl/>
          <w:lang w:bidi="ar-EG"/>
        </w:rPr>
        <w:t xml:space="preserve"> ،</w:t>
      </w:r>
      <w:r w:rsidRPr="00315653">
        <w:rPr>
          <w:rFonts w:hint="cs"/>
          <w:color w:val="000000"/>
          <w:rtl/>
          <w:lang w:bidi="ar-EG"/>
        </w:rPr>
        <w:t xml:space="preserve"> وذلك أسوة بالتقنين المدني المصري السابق 0م 502/612</w:t>
      </w:r>
      <w:r>
        <w:rPr>
          <w:rFonts w:hint="cs"/>
          <w:color w:val="000000"/>
          <w:rtl/>
          <w:lang w:bidi="ar-EG"/>
        </w:rPr>
        <w:t xml:space="preserve"> )</w:t>
      </w:r>
      <w:r w:rsidRPr="00315653">
        <w:rPr>
          <w:rFonts w:hint="cs"/>
          <w:color w:val="000000"/>
          <w:rtl/>
          <w:lang w:bidi="ar-EG"/>
        </w:rPr>
        <w:t xml:space="preserve"> الذي كان يشترط هذا الشرط</w:t>
      </w:r>
      <w:r>
        <w:rPr>
          <w:rFonts w:hint="cs"/>
          <w:color w:val="000000"/>
          <w:vertAlign w:val="superscript"/>
          <w:rtl/>
          <w:lang w:bidi="ar-EG"/>
        </w:rPr>
        <w:t xml:space="preserve">( </w:t>
      </w:r>
      <w:r w:rsidRPr="00315653">
        <w:rPr>
          <w:rStyle w:val="ab"/>
          <w:color w:val="000000"/>
          <w:rtl/>
          <w:lang w:bidi="ar-EG"/>
        </w:rPr>
        <w:footnoteReference w:id="27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وأموال المدين التي يرشد إليها الكفيل يصح أن تكون عقاراً أو منقولا</w:t>
      </w:r>
      <w:r>
        <w:rPr>
          <w:rFonts w:hint="cs"/>
          <w:color w:val="000000"/>
          <w:vertAlign w:val="superscript"/>
          <w:rtl/>
          <w:lang w:bidi="ar-EG"/>
        </w:rPr>
        <w:t xml:space="preserve">( </w:t>
      </w:r>
      <w:r w:rsidRPr="00315653">
        <w:rPr>
          <w:rStyle w:val="ab"/>
          <w:color w:val="000000"/>
          <w:rtl/>
          <w:lang w:bidi="ar-EG"/>
        </w:rPr>
        <w:footnoteReference w:id="27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يجب أن تكون مملوكة للمدين</w:t>
      </w:r>
      <w:r>
        <w:rPr>
          <w:rFonts w:hint="cs"/>
          <w:color w:val="000000"/>
          <w:rtl/>
          <w:lang w:bidi="ar-EG"/>
        </w:rPr>
        <w:t xml:space="preserve"> .</w:t>
      </w:r>
      <w:r w:rsidRPr="00315653">
        <w:rPr>
          <w:rFonts w:hint="cs"/>
          <w:color w:val="000000"/>
          <w:rtl/>
          <w:lang w:bidi="ar-EG"/>
        </w:rPr>
        <w:t xml:space="preserve"> فلا يصح للكفيل أن يطلب تجريد كفيل آخر كفل نفس الدين ولو كان غير متضامن معه</w:t>
      </w:r>
      <w:r>
        <w:rPr>
          <w:rFonts w:hint="cs"/>
          <w:color w:val="000000"/>
          <w:vertAlign w:val="superscript"/>
          <w:rtl/>
          <w:lang w:bidi="ar-EG"/>
        </w:rPr>
        <w:t xml:space="preserve">( </w:t>
      </w:r>
      <w:r w:rsidRPr="00315653">
        <w:rPr>
          <w:rStyle w:val="ab"/>
          <w:color w:val="000000"/>
          <w:rtl/>
          <w:lang w:bidi="ar-EG"/>
        </w:rPr>
        <w:footnoteReference w:id="27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بل الذي يصح في هذه الحالة هو التقسيم إذا توافرت شروطه</w:t>
      </w:r>
      <w:r>
        <w:rPr>
          <w:rFonts w:hint="cs"/>
          <w:color w:val="000000"/>
          <w:vertAlign w:val="superscript"/>
          <w:rtl/>
          <w:lang w:bidi="ar-EG"/>
        </w:rPr>
        <w:t xml:space="preserve">( </w:t>
      </w:r>
      <w:r w:rsidRPr="00315653">
        <w:rPr>
          <w:rStyle w:val="ab"/>
          <w:color w:val="000000"/>
          <w:rtl/>
          <w:lang w:bidi="ar-EG"/>
        </w:rPr>
        <w:footnoteReference w:id="28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كما لا يصح أن يطلب كفيل لمدين متضامن مع آخرين أن يطلب تجريد هؤلاء المدينين الآخرين</w:t>
      </w:r>
      <w:r>
        <w:rPr>
          <w:rFonts w:hint="cs"/>
          <w:color w:val="000000"/>
          <w:rtl/>
          <w:lang w:bidi="ar-EG"/>
        </w:rPr>
        <w:t xml:space="preserve"> ،</w:t>
      </w:r>
      <w:r w:rsidRPr="00315653">
        <w:rPr>
          <w:rFonts w:hint="cs"/>
          <w:color w:val="000000"/>
          <w:rtl/>
          <w:lang w:bidi="ar-EG"/>
        </w:rPr>
        <w:t xml:space="preserve"> ولا يطلب إلا المدين الذي كلفه</w:t>
      </w:r>
      <w:r>
        <w:rPr>
          <w:rFonts w:hint="cs"/>
          <w:color w:val="000000"/>
          <w:vertAlign w:val="superscript"/>
          <w:rtl/>
          <w:lang w:bidi="ar-EG"/>
        </w:rPr>
        <w:t xml:space="preserve">( </w:t>
      </w:r>
      <w:r w:rsidRPr="00315653">
        <w:rPr>
          <w:rStyle w:val="ab"/>
          <w:color w:val="000000"/>
          <w:rtl/>
          <w:lang w:bidi="ar-EG"/>
        </w:rPr>
        <w:footnoteReference w:id="28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ويجب أن تكون أموال المدين التي يرشد إليها الكفيل لا يصعب التنفيذ عليها</w:t>
      </w:r>
      <w:r>
        <w:rPr>
          <w:rFonts w:hint="cs"/>
          <w:color w:val="000000"/>
          <w:rtl/>
          <w:lang w:bidi="ar-EG"/>
        </w:rPr>
        <w:t xml:space="preserve"> ،</w:t>
      </w:r>
      <w:r w:rsidRPr="00315653">
        <w:rPr>
          <w:rFonts w:hint="cs"/>
          <w:color w:val="000000"/>
          <w:rtl/>
          <w:lang w:bidi="ar-EG"/>
        </w:rPr>
        <w:t xml:space="preserve"> وتقول الفقرة الثانية من المادة 789 مدني كما رأينا في هذا الخصوص</w:t>
      </w:r>
      <w:r>
        <w:rPr>
          <w:rFonts w:hint="cs"/>
          <w:color w:val="000000"/>
          <w:rtl/>
          <w:lang w:bidi="ar-EG"/>
        </w:rPr>
        <w:t xml:space="preserve"> :</w:t>
      </w:r>
      <w:r w:rsidRPr="00315653">
        <w:rPr>
          <w:rFonts w:hint="cs"/>
          <w:color w:val="000000"/>
          <w:rtl/>
          <w:lang w:bidi="ar-EG"/>
        </w:rPr>
        <w:t xml:space="preserve"> $122 "ولا عبرة بالأموال التي يدل عليها الكفيل</w:t>
      </w:r>
      <w:r>
        <w:rPr>
          <w:rFonts w:hint="cs"/>
          <w:color w:val="000000"/>
          <w:rtl/>
          <w:lang w:bidi="ar-EG"/>
        </w:rPr>
        <w:t xml:space="preserve"> ،</w:t>
      </w:r>
      <w:r w:rsidRPr="00315653">
        <w:rPr>
          <w:rFonts w:hint="cs"/>
          <w:color w:val="000000"/>
          <w:rtl/>
          <w:lang w:bidi="ar-EG"/>
        </w:rPr>
        <w:t xml:space="preserve"> إذا كانت هذه الأموال تقع خارج الأرضي المصرية</w:t>
      </w:r>
      <w:r>
        <w:rPr>
          <w:rFonts w:hint="cs"/>
          <w:color w:val="000000"/>
          <w:rtl/>
          <w:lang w:bidi="ar-EG"/>
        </w:rPr>
        <w:t xml:space="preserve"> ،</w:t>
      </w:r>
      <w:r w:rsidRPr="00315653">
        <w:rPr>
          <w:rFonts w:hint="cs"/>
          <w:color w:val="000000"/>
          <w:rtl/>
          <w:lang w:bidi="ar-EG"/>
        </w:rPr>
        <w:t xml:space="preserve"> أو كانت أموالا متنازعاً فيها"</w:t>
      </w:r>
      <w:r>
        <w:rPr>
          <w:rFonts w:hint="cs"/>
          <w:color w:val="000000"/>
          <w:rtl/>
          <w:lang w:bidi="ar-EG"/>
        </w:rPr>
        <w:t xml:space="preserve"> .</w:t>
      </w:r>
      <w:r w:rsidRPr="00315653">
        <w:rPr>
          <w:rFonts w:hint="cs"/>
          <w:color w:val="000000"/>
          <w:rtl/>
          <w:lang w:bidi="ar-EG"/>
        </w:rPr>
        <w:t xml:space="preserve"> وظاهر أن أموال المدين</w:t>
      </w:r>
      <w:r>
        <w:rPr>
          <w:rFonts w:hint="cs"/>
          <w:color w:val="000000"/>
          <w:rtl/>
          <w:lang w:bidi="ar-EG"/>
        </w:rPr>
        <w:t xml:space="preserve"> ،</w:t>
      </w:r>
      <w:r w:rsidRPr="00315653">
        <w:rPr>
          <w:rFonts w:hint="cs"/>
          <w:color w:val="000000"/>
          <w:rtl/>
          <w:lang w:bidi="ar-EG"/>
        </w:rPr>
        <w:t xml:space="preserve"> إذا كانت خارج الأراضي المصرية</w:t>
      </w:r>
      <w:r>
        <w:rPr>
          <w:rFonts w:hint="cs"/>
          <w:color w:val="000000"/>
          <w:rtl/>
          <w:lang w:bidi="ar-EG"/>
        </w:rPr>
        <w:t xml:space="preserve"> ،</w:t>
      </w:r>
      <w:r w:rsidRPr="00315653">
        <w:rPr>
          <w:rFonts w:hint="cs"/>
          <w:color w:val="000000"/>
          <w:rtl/>
          <w:lang w:bidi="ar-EG"/>
        </w:rPr>
        <w:t xml:space="preserve"> تكون بعيدة ويصعب التنفيذ عليها</w:t>
      </w:r>
      <w:r>
        <w:rPr>
          <w:rFonts w:hint="cs"/>
          <w:color w:val="000000"/>
          <w:rtl/>
          <w:lang w:bidi="ar-EG"/>
        </w:rPr>
        <w:t xml:space="preserve"> ،</w:t>
      </w:r>
      <w:r w:rsidRPr="00315653">
        <w:rPr>
          <w:rFonts w:hint="cs"/>
          <w:color w:val="000000"/>
          <w:rtl/>
          <w:lang w:bidi="ar-EG"/>
        </w:rPr>
        <w:t xml:space="preserve"> </w:t>
      </w:r>
      <w:r w:rsidRPr="00315653">
        <w:rPr>
          <w:rFonts w:hint="cs"/>
          <w:color w:val="000000"/>
          <w:rtl/>
        </w:rPr>
        <w:t>لذلك يجب أن يدل الكفيل على أموال للمدين تكون واقعة داخل الأراضي المصرية</w:t>
      </w:r>
      <w:r>
        <w:rPr>
          <w:rFonts w:hint="cs"/>
          <w:color w:val="000000"/>
          <w:rtl/>
        </w:rPr>
        <w:t xml:space="preserve"> .</w:t>
      </w:r>
      <w:r w:rsidRPr="00315653">
        <w:rPr>
          <w:rFonts w:hint="cs"/>
          <w:color w:val="000000"/>
          <w:rtl/>
        </w:rPr>
        <w:t xml:space="preserve"> ولا يشترط أن تكون واقعة في جهة معينة داخل الأراضي المصرية</w:t>
      </w:r>
      <w:r>
        <w:rPr>
          <w:rFonts w:hint="cs"/>
          <w:color w:val="000000"/>
          <w:rtl/>
        </w:rPr>
        <w:t xml:space="preserve"> ،</w:t>
      </w:r>
      <w:r w:rsidRPr="00315653">
        <w:rPr>
          <w:rFonts w:hint="cs"/>
          <w:color w:val="000000"/>
          <w:rtl/>
        </w:rPr>
        <w:t xml:space="preserve"> كأن تكون واقعة في الجهة التي يجب وفاء الدين فيها أو واقعة في الجهة التي يكون فيها موطن المدين</w:t>
      </w:r>
      <w:r>
        <w:rPr>
          <w:rFonts w:hint="cs"/>
          <w:color w:val="000000"/>
          <w:vertAlign w:val="superscript"/>
          <w:rtl/>
          <w:lang w:bidi="ar-EG"/>
        </w:rPr>
        <w:t xml:space="preserve">( </w:t>
      </w:r>
      <w:r w:rsidRPr="00315653">
        <w:rPr>
          <w:rStyle w:val="ab"/>
          <w:color w:val="000000"/>
          <w:rtl/>
          <w:lang w:bidi="ar-EG"/>
        </w:rPr>
        <w:footnoteReference w:id="28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لا يجوز أن تكون الأموال التي يدل عليها الكفيل متنازعاً فيها</w:t>
      </w:r>
      <w:r>
        <w:rPr>
          <w:rFonts w:hint="cs"/>
          <w:color w:val="000000"/>
          <w:rtl/>
          <w:lang w:bidi="ar-EG"/>
        </w:rPr>
        <w:t xml:space="preserve"> ،</w:t>
      </w:r>
      <w:r w:rsidRPr="00315653">
        <w:rPr>
          <w:rFonts w:hint="cs"/>
          <w:color w:val="000000"/>
          <w:rtl/>
          <w:lang w:bidi="ar-EG"/>
        </w:rPr>
        <w:t xml:space="preserve"> فإن الأموال المتنازع فيها غير مأمونة العاقبة فقد يسفر فض النزاع عن أنها غير مملوكة للمدين</w:t>
      </w:r>
      <w:r>
        <w:rPr>
          <w:rFonts w:hint="cs"/>
          <w:color w:val="000000"/>
          <w:rtl/>
          <w:lang w:bidi="ar-EG"/>
        </w:rPr>
        <w:t xml:space="preserve"> ،</w:t>
      </w:r>
      <w:r w:rsidRPr="00315653">
        <w:rPr>
          <w:rFonts w:hint="cs"/>
          <w:color w:val="000000"/>
          <w:rtl/>
          <w:lang w:bidi="ar-EG"/>
        </w:rPr>
        <w:t xml:space="preserve"> وهي على كل حال يصعب التنفيذ عيها إذ يقتضي النزاع فيها غالباً التقاضي وما يترتب عليه من طول الإجراءات وتعقيدها</w:t>
      </w:r>
      <w:r>
        <w:rPr>
          <w:rFonts w:hint="cs"/>
          <w:color w:val="000000"/>
          <w:rtl/>
          <w:lang w:bidi="ar-EG"/>
        </w:rPr>
        <w:t xml:space="preserve"> .</w:t>
      </w:r>
      <w:r w:rsidRPr="00315653">
        <w:rPr>
          <w:rFonts w:hint="cs"/>
          <w:color w:val="000000"/>
          <w:rtl/>
          <w:lang w:bidi="ar-EG"/>
        </w:rPr>
        <w:t xml:space="preserve"> وليس من الضروري ليكون المال متنازعاً فيه أن تكون هناك دعوى مرفوعة في شأنه</w:t>
      </w:r>
      <w:r>
        <w:rPr>
          <w:rFonts w:hint="cs"/>
          <w:color w:val="000000"/>
          <w:rtl/>
          <w:lang w:bidi="ar-EG"/>
        </w:rPr>
        <w:t xml:space="preserve"> ،</w:t>
      </w:r>
      <w:r w:rsidRPr="00315653">
        <w:rPr>
          <w:rFonts w:hint="cs"/>
          <w:color w:val="000000"/>
          <w:rtl/>
          <w:lang w:bidi="ar-EG"/>
        </w:rPr>
        <w:t xml:space="preserve"> بل يكفي أن يكون هناك نزاع جدي</w:t>
      </w:r>
      <w:r>
        <w:rPr>
          <w:rFonts w:hint="cs"/>
          <w:color w:val="000000"/>
          <w:vertAlign w:val="superscript"/>
          <w:rtl/>
          <w:lang w:bidi="ar-EG"/>
        </w:rPr>
        <w:t xml:space="preserve">( </w:t>
      </w:r>
      <w:r w:rsidRPr="00315653">
        <w:rPr>
          <w:rStyle w:val="ab"/>
          <w:color w:val="000000"/>
          <w:rtl/>
          <w:lang w:bidi="ar-EG"/>
        </w:rPr>
        <w:footnoteReference w:id="28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والحصة الشائعة في عقار تعتبر في حكم المال المتنازع فيه إذا كان هناك دائن ذو حق مقيد رتب على أعيان مفرزة تدخل ضمنها هذه الحصة الشائعة</w:t>
      </w:r>
      <w:r>
        <w:rPr>
          <w:rFonts w:hint="cs"/>
          <w:color w:val="000000"/>
          <w:rtl/>
          <w:lang w:bidi="ar-EG"/>
        </w:rPr>
        <w:t xml:space="preserve"> ،</w:t>
      </w:r>
      <w:r w:rsidRPr="00315653">
        <w:rPr>
          <w:rFonts w:hint="cs"/>
          <w:color w:val="000000"/>
          <w:rtl/>
          <w:lang w:bidi="ar-EG"/>
        </w:rPr>
        <w:t xml:space="preserve"> ذلك بأن الدائن ذا الحق المقيد له أن يعرض رغبته في التنفيذ على الأعيان المفرزة</w:t>
      </w:r>
      <w:r>
        <w:rPr>
          <w:rFonts w:hint="cs"/>
          <w:color w:val="000000"/>
          <w:rtl/>
          <w:lang w:bidi="ar-EG"/>
        </w:rPr>
        <w:t xml:space="preserve"> ،</w:t>
      </w:r>
      <w:r w:rsidRPr="00315653">
        <w:rPr>
          <w:rFonts w:hint="cs"/>
          <w:color w:val="000000"/>
          <w:rtl/>
          <w:lang w:bidi="ar-EG"/>
        </w:rPr>
        <w:t xml:space="preserve"> وأن يطلب بطريق الاعتراض </w:t>
      </w:r>
      <w:r w:rsidRPr="00315653">
        <w:rPr>
          <w:rFonts w:hint="cs"/>
          <w:color w:val="000000"/>
          <w:rtl/>
          <w:lang w:bidi="ar-EG"/>
        </w:rPr>
        <w:lastRenderedPageBreak/>
        <w:t>على قائمة شروط البيع وقف إجراءات التنفيذ الخاصة بهذه الحصة</w:t>
      </w:r>
      <w:r>
        <w:rPr>
          <w:rFonts w:hint="cs"/>
          <w:color w:val="000000"/>
          <w:vertAlign w:val="superscript"/>
          <w:rtl/>
          <w:lang w:bidi="ar-EG"/>
        </w:rPr>
        <w:t xml:space="preserve">( </w:t>
      </w:r>
      <w:r w:rsidRPr="00315653">
        <w:rPr>
          <w:rStyle w:val="ab"/>
          <w:color w:val="000000"/>
          <w:rtl/>
          <w:lang w:bidi="ar-EG"/>
        </w:rPr>
        <w:footnoteReference w:id="28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مال المدين مثقلا بحقوق عينية</w:t>
      </w:r>
      <w:r>
        <w:rPr>
          <w:rFonts w:hint="cs"/>
          <w:color w:val="000000"/>
          <w:rtl/>
          <w:lang w:bidi="ar-EG"/>
        </w:rPr>
        <w:t xml:space="preserve"> ،</w:t>
      </w:r>
      <w:r w:rsidRPr="00315653">
        <w:rPr>
          <w:rFonts w:hint="cs"/>
          <w:color w:val="000000"/>
          <w:rtl/>
          <w:lang w:bidi="ar-EG"/>
        </w:rPr>
        <w:t xml:space="preserve"> كرهن أو امتياز أو اختصاص</w:t>
      </w:r>
      <w:r>
        <w:rPr>
          <w:rFonts w:hint="cs"/>
          <w:color w:val="000000"/>
          <w:rtl/>
          <w:lang w:bidi="ar-EG"/>
        </w:rPr>
        <w:t xml:space="preserve"> ،</w:t>
      </w:r>
      <w:r w:rsidRPr="00315653">
        <w:rPr>
          <w:rFonts w:hint="cs"/>
          <w:color w:val="000000"/>
          <w:rtl/>
          <w:lang w:bidi="ar-EG"/>
        </w:rPr>
        <w:t xml:space="preserve"> وجب ألا يحسب من قيمة هذا $123</w:t>
      </w:r>
      <w:r w:rsidRPr="00315653">
        <w:rPr>
          <w:rFonts w:hint="cs"/>
          <w:color w:val="000000"/>
          <w:rtl/>
        </w:rPr>
        <w:t xml:space="preserve"> المال إلا ما يبقى بعد خصم قيمة هذه الحقوق العينية</w:t>
      </w:r>
      <w:r>
        <w:rPr>
          <w:rFonts w:hint="cs"/>
          <w:color w:val="000000"/>
          <w:vertAlign w:val="superscript"/>
          <w:rtl/>
          <w:lang w:bidi="ar-EG"/>
        </w:rPr>
        <w:t xml:space="preserve">( </w:t>
      </w:r>
      <w:r w:rsidRPr="00315653">
        <w:rPr>
          <w:rStyle w:val="ab"/>
          <w:color w:val="000000"/>
          <w:rtl/>
          <w:lang w:bidi="ar-EG"/>
        </w:rPr>
        <w:footnoteReference w:id="28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كانت الحقوق العينية تستنفد الجزء الأكبر من قيمة المال</w:t>
      </w:r>
      <w:r>
        <w:rPr>
          <w:rFonts w:hint="cs"/>
          <w:color w:val="000000"/>
          <w:rtl/>
          <w:lang w:bidi="ar-EG"/>
        </w:rPr>
        <w:t xml:space="preserve"> ،</w:t>
      </w:r>
      <w:r w:rsidRPr="00315653">
        <w:rPr>
          <w:rFonts w:hint="cs"/>
          <w:color w:val="000000"/>
          <w:rtl/>
          <w:lang w:bidi="ar-EG"/>
        </w:rPr>
        <w:t xml:space="preserve"> جاز اعتبار المال في حكم المال المتنازع فيه وعدم الاعتداد به</w:t>
      </w:r>
      <w:r>
        <w:rPr>
          <w:rFonts w:hint="cs"/>
          <w:color w:val="000000"/>
          <w:rtl/>
          <w:lang w:bidi="ar-EG"/>
        </w:rPr>
        <w:t xml:space="preserve"> ،</w:t>
      </w:r>
      <w:r w:rsidRPr="00315653">
        <w:rPr>
          <w:rFonts w:hint="cs"/>
          <w:color w:val="000000"/>
          <w:rtl/>
          <w:lang w:bidi="ar-EG"/>
        </w:rPr>
        <w:t xml:space="preserve"> وذلك لصعوبة التنفيذ عليه وما يستتبع ذلك من التوزيع بحسب درجات الدائنين فلا يبقى منه إلا قيمة ضئيلة</w:t>
      </w:r>
      <w:r>
        <w:rPr>
          <w:rFonts w:hint="cs"/>
          <w:color w:val="000000"/>
          <w:vertAlign w:val="superscript"/>
          <w:rtl/>
          <w:lang w:bidi="ar-EG"/>
        </w:rPr>
        <w:t xml:space="preserve">( </w:t>
      </w:r>
      <w:r w:rsidRPr="00315653">
        <w:rPr>
          <w:rStyle w:val="ab"/>
          <w:color w:val="000000"/>
          <w:rtl/>
          <w:lang w:bidi="ar-EG"/>
        </w:rPr>
        <w:footnoteReference w:id="28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مال المدين لا يجوز الحجز عليه فلا يعتد به</w:t>
      </w:r>
      <w:r>
        <w:rPr>
          <w:rFonts w:hint="cs"/>
          <w:color w:val="000000"/>
          <w:rtl/>
          <w:lang w:bidi="ar-EG"/>
        </w:rPr>
        <w:t xml:space="preserve"> ،</w:t>
      </w:r>
      <w:r w:rsidRPr="00315653">
        <w:rPr>
          <w:rFonts w:hint="cs"/>
          <w:color w:val="000000"/>
          <w:rtl/>
          <w:lang w:bidi="ar-EG"/>
        </w:rPr>
        <w:t xml:space="preserve"> كذلك لا يجوز للكفيل أن يدل على مال للمدين لا يجوز اتخاذ إجراءات التنفيذ عليه</w:t>
      </w:r>
      <w:r>
        <w:rPr>
          <w:rFonts w:hint="cs"/>
          <w:color w:val="000000"/>
          <w:rtl/>
          <w:lang w:bidi="ar-EG"/>
        </w:rPr>
        <w:t xml:space="preserve"> .</w:t>
      </w:r>
      <w:r w:rsidRPr="00315653">
        <w:rPr>
          <w:rFonts w:hint="cs"/>
          <w:color w:val="000000"/>
          <w:rtl/>
          <w:lang w:bidi="ar-EG"/>
        </w:rPr>
        <w:t xml:space="preserve"> وقد نصت المادة 489 مرافعات على أنه </w:t>
      </w:r>
      <w:r w:rsidRPr="00315653">
        <w:rPr>
          <w:rFonts w:hint="cs"/>
          <w:color w:val="000000"/>
          <w:rtl/>
        </w:rPr>
        <w:t>"لا يجوز للدائن أن يتخذ إجراءات التنفيذ على مال للمدين لم يخصص لوفاء حقه إلا إذا كان ما خصص للوفاء غير كاف</w:t>
      </w:r>
      <w:r>
        <w:rPr>
          <w:rFonts w:hint="cs"/>
          <w:color w:val="000000"/>
          <w:rtl/>
        </w:rPr>
        <w:t xml:space="preserve"> ،</w:t>
      </w:r>
      <w:r w:rsidRPr="00315653">
        <w:rPr>
          <w:rFonts w:hint="cs"/>
          <w:color w:val="000000"/>
          <w:rtl/>
        </w:rPr>
        <w:t xml:space="preserve"> وعندئذ يكون التنفيذ على غير المال المخصص بأمر على عريضة من قاضي الأمور الوقتية"</w:t>
      </w:r>
      <w:r>
        <w:rPr>
          <w:rFonts w:hint="cs"/>
          <w:color w:val="000000"/>
          <w:vertAlign w:val="superscript"/>
          <w:rtl/>
          <w:lang w:bidi="ar-EG"/>
        </w:rPr>
        <w:t xml:space="preserve">( </w:t>
      </w:r>
      <w:r w:rsidRPr="00315653">
        <w:rPr>
          <w:rStyle w:val="ab"/>
          <w:color w:val="000000"/>
          <w:rtl/>
          <w:lang w:bidi="ar-EG"/>
        </w:rPr>
        <w:footnoteReference w:id="28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كان المدين قد رهن من ماله ما يكفي للوفاء بالدين</w:t>
      </w:r>
      <w:r>
        <w:rPr>
          <w:rFonts w:hint="cs"/>
          <w:color w:val="000000"/>
          <w:rtl/>
          <w:lang w:bidi="ar-EG"/>
        </w:rPr>
        <w:t xml:space="preserve"> ،</w:t>
      </w:r>
      <w:r w:rsidRPr="00315653">
        <w:rPr>
          <w:rFonts w:hint="cs"/>
          <w:color w:val="000000"/>
          <w:rtl/>
          <w:lang w:bidi="ar-EG"/>
        </w:rPr>
        <w:t xml:space="preserve"> لم يجز للفيل أن يدل على مال آخر للمدين غير مرهون في لمدين</w:t>
      </w:r>
      <w:r>
        <w:rPr>
          <w:rFonts w:hint="cs"/>
          <w:color w:val="000000"/>
          <w:rtl/>
          <w:lang w:bidi="ar-EG"/>
        </w:rPr>
        <w:t xml:space="preserve"> ،</w:t>
      </w:r>
      <w:r w:rsidRPr="00315653">
        <w:rPr>
          <w:rFonts w:hint="cs"/>
          <w:color w:val="000000"/>
          <w:rtl/>
          <w:lang w:bidi="ar-EG"/>
        </w:rPr>
        <w:t xml:space="preserve"> لأن هذا المال لا يجوز التنفيذ عليه</w:t>
      </w:r>
      <w:r>
        <w:rPr>
          <w:rFonts w:hint="cs"/>
          <w:color w:val="000000"/>
          <w:rtl/>
          <w:lang w:bidi="ar-EG"/>
        </w:rPr>
        <w:t xml:space="preserve"> .</w:t>
      </w:r>
      <w:r w:rsidRPr="00315653">
        <w:rPr>
          <w:rFonts w:hint="cs"/>
          <w:color w:val="000000"/>
          <w:rtl/>
          <w:lang w:bidi="ar-EG"/>
        </w:rPr>
        <w:t xml:space="preserve"> وهو بعدُ في غير حاجة لتجريد المدين إذا كانت $124</w:t>
      </w:r>
      <w:r w:rsidRPr="00315653">
        <w:rPr>
          <w:rFonts w:hint="cs"/>
          <w:color w:val="000000"/>
          <w:rtl/>
        </w:rPr>
        <w:t xml:space="preserve"> الكفالة غير سابقة على الرهن</w:t>
      </w:r>
      <w:r>
        <w:rPr>
          <w:rFonts w:hint="cs"/>
          <w:color w:val="000000"/>
          <w:rtl/>
        </w:rPr>
        <w:t xml:space="preserve"> ،</w:t>
      </w:r>
      <w:r w:rsidRPr="00315653">
        <w:rPr>
          <w:rFonts w:hint="cs"/>
          <w:color w:val="000000"/>
          <w:rtl/>
        </w:rPr>
        <w:t xml:space="preserve"> بل كانت معه أو بعده</w:t>
      </w:r>
      <w:r>
        <w:rPr>
          <w:rFonts w:hint="cs"/>
          <w:color w:val="000000"/>
          <w:rtl/>
        </w:rPr>
        <w:t xml:space="preserve"> ،</w:t>
      </w:r>
      <w:r w:rsidRPr="00315653">
        <w:rPr>
          <w:rFonts w:hint="cs"/>
          <w:color w:val="000000"/>
          <w:rtl/>
        </w:rPr>
        <w:t xml:space="preserve"> لأنه لا يجوز التنفيذ على أموال الكفيل إلا بعد التنفيذ على الأموال المرهونة </w:t>
      </w:r>
      <w:r>
        <w:rPr>
          <w:rFonts w:hint="cs"/>
          <w:color w:val="000000"/>
          <w:rtl/>
        </w:rPr>
        <w:t xml:space="preserve">( </w:t>
      </w:r>
      <w:r w:rsidRPr="00315653">
        <w:rPr>
          <w:rFonts w:hint="cs"/>
          <w:color w:val="000000"/>
          <w:rtl/>
        </w:rPr>
        <w:t>م 791 مدني وسيأتي بحثها</w:t>
      </w:r>
      <w:r>
        <w:rPr>
          <w:rFonts w:hint="cs"/>
          <w:color w:val="000000"/>
          <w:rtl/>
        </w:rPr>
        <w:t xml:space="preserve"> ) ،</w:t>
      </w:r>
      <w:r w:rsidRPr="00315653">
        <w:rPr>
          <w:rFonts w:hint="cs"/>
          <w:color w:val="000000"/>
          <w:rtl/>
        </w:rPr>
        <w:t xml:space="preserve"> والمفروض أن الأموال المرهونة تكفي للوفاء بالدين فلا يجرع الدائن على الكفيل ومن ثم لا يحتاج هذا الأخير إلى الدفع بالتجريد</w:t>
      </w:r>
      <w:r>
        <w:rPr>
          <w:rFonts w:hint="cs"/>
          <w:color w:val="000000"/>
          <w:rtl/>
        </w:rPr>
        <w:t xml:space="preserve"> .</w:t>
      </w:r>
      <w:r w:rsidRPr="00315653">
        <w:rPr>
          <w:rFonts w:hint="cs"/>
          <w:color w:val="000000"/>
          <w:rtl/>
        </w:rPr>
        <w:t xml:space="preserve"> أما إذا كانت الأموال المرهونة لا تكفي للوفاء بالدين فإنه يجوز للدائن الرجوع على الكفيل بما يبقى من الدين</w:t>
      </w:r>
      <w:r>
        <w:rPr>
          <w:rFonts w:hint="cs"/>
          <w:color w:val="000000"/>
          <w:rtl/>
        </w:rPr>
        <w:t xml:space="preserve"> ،</w:t>
      </w:r>
      <w:r w:rsidRPr="00315653">
        <w:rPr>
          <w:rFonts w:hint="cs"/>
          <w:color w:val="000000"/>
          <w:rtl/>
        </w:rPr>
        <w:t xml:space="preserve"> وعندئذ يجوز للكفيل أن يطلب تجريد المدين</w:t>
      </w:r>
      <w:r>
        <w:rPr>
          <w:rFonts w:hint="cs"/>
          <w:color w:val="000000"/>
          <w:rtl/>
        </w:rPr>
        <w:t xml:space="preserve"> ،</w:t>
      </w:r>
      <w:r w:rsidRPr="00315653">
        <w:rPr>
          <w:rFonts w:hint="cs"/>
          <w:color w:val="000000"/>
          <w:rtl/>
        </w:rPr>
        <w:t xml:space="preserve"> وله أن يدل على مال للمدين لا يكون مرهوناً في </w:t>
      </w:r>
      <w:r w:rsidRPr="00315653">
        <w:rPr>
          <w:rFonts w:hint="cs"/>
          <w:color w:val="000000"/>
          <w:rtl/>
        </w:rPr>
        <w:lastRenderedPageBreak/>
        <w:t>الدين</w:t>
      </w:r>
      <w:r>
        <w:rPr>
          <w:rFonts w:hint="cs"/>
          <w:color w:val="000000"/>
          <w:vertAlign w:val="superscript"/>
          <w:rtl/>
          <w:lang w:bidi="ar-EG"/>
        </w:rPr>
        <w:t xml:space="preserve">( </w:t>
      </w:r>
      <w:r w:rsidRPr="00315653">
        <w:rPr>
          <w:rStyle w:val="ab"/>
          <w:color w:val="000000"/>
          <w:rtl/>
          <w:lang w:bidi="ar-EG"/>
        </w:rPr>
        <w:footnoteReference w:id="28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لا يجوز له أن يدل على المال المرهون في الدين</w:t>
      </w:r>
      <w:r>
        <w:rPr>
          <w:rFonts w:hint="cs"/>
          <w:color w:val="000000"/>
          <w:rtl/>
          <w:lang w:bidi="ar-EG"/>
        </w:rPr>
        <w:t xml:space="preserve"> ،</w:t>
      </w:r>
      <w:r w:rsidRPr="00315653">
        <w:rPr>
          <w:rFonts w:hint="cs"/>
          <w:color w:val="000000"/>
          <w:rtl/>
          <w:lang w:bidi="ar-EG"/>
        </w:rPr>
        <w:t xml:space="preserve"> لأن هذا المال يكون الدائن قد نفذ عليه قبل الرجوع على الكفيل طبقاً لأحكام المادة 791 مدني</w:t>
      </w:r>
      <w:r>
        <w:rPr>
          <w:rFonts w:hint="cs"/>
          <w:color w:val="000000"/>
          <w:vertAlign w:val="superscript"/>
          <w:rtl/>
          <w:lang w:bidi="ar-EG"/>
        </w:rPr>
        <w:t xml:space="preserve">( </w:t>
      </w:r>
      <w:r w:rsidRPr="00315653">
        <w:rPr>
          <w:rStyle w:val="ab"/>
          <w:color w:val="000000"/>
          <w:rtl/>
          <w:lang w:bidi="ar-EG"/>
        </w:rPr>
        <w:footnoteReference w:id="28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ويكون إرشاد الكفيل للدائن إلى أموال للمدين تفي بالدين كله على نفقة الكفيل</w:t>
      </w:r>
      <w:r>
        <w:rPr>
          <w:rFonts w:hint="cs"/>
          <w:color w:val="000000"/>
          <w:rtl/>
          <w:lang w:bidi="ar-EG"/>
        </w:rPr>
        <w:t xml:space="preserve"> ،</w:t>
      </w:r>
      <w:r w:rsidRPr="00315653">
        <w:rPr>
          <w:rFonts w:hint="cs"/>
          <w:color w:val="000000"/>
          <w:rtl/>
          <w:lang w:bidi="ar-EG"/>
        </w:rPr>
        <w:t xml:space="preserve"> لأنه هو الذي يستفيد من هذا الإرشاد </w:t>
      </w:r>
      <w:r>
        <w:rPr>
          <w:rFonts w:hint="cs"/>
          <w:color w:val="000000"/>
          <w:rtl/>
          <w:lang w:bidi="ar-EG"/>
        </w:rPr>
        <w:t xml:space="preserve">( </w:t>
      </w:r>
      <w:r w:rsidRPr="00315653">
        <w:rPr>
          <w:rFonts w:hint="cs"/>
          <w:color w:val="000000"/>
          <w:rtl/>
          <w:lang w:bidi="ar-EG"/>
        </w:rPr>
        <w:t>انظر م 789/1 مدني سالفة الذكر</w:t>
      </w:r>
      <w:r>
        <w:rPr>
          <w:rFonts w:hint="cs"/>
          <w:color w:val="000000"/>
          <w:rtl/>
          <w:lang w:bidi="ar-EG"/>
        </w:rPr>
        <w:t xml:space="preserve"> ) .</w:t>
      </w:r>
      <w:r w:rsidRPr="00315653">
        <w:rPr>
          <w:rFonts w:hint="cs"/>
          <w:color w:val="000000"/>
          <w:rtl/>
          <w:lang w:bidi="ar-EG"/>
        </w:rPr>
        <w:t xml:space="preserve"> ومن المصروفات التي يتحملها الكفيل في هذا الصدد مصروفات استخراج صور لمستندات ملكية المدين للأموال التي دل عليها الكفيل</w:t>
      </w:r>
      <w:r>
        <w:rPr>
          <w:rFonts w:hint="cs"/>
          <w:color w:val="000000"/>
          <w:rtl/>
          <w:lang w:bidi="ar-EG"/>
        </w:rPr>
        <w:t xml:space="preserve"> ،</w:t>
      </w:r>
      <w:r w:rsidRPr="00315653">
        <w:rPr>
          <w:rFonts w:hint="cs"/>
          <w:color w:val="000000"/>
          <w:rtl/>
          <w:lang w:bidi="ar-EG"/>
        </w:rPr>
        <w:t xml:space="preserve"> وكذلك مصروفات الشهادات العقارية الخاصة بهذه الأموال</w:t>
      </w:r>
      <w:r>
        <w:rPr>
          <w:rFonts w:hint="cs"/>
          <w:color w:val="000000"/>
          <w:vertAlign w:val="superscript"/>
          <w:rtl/>
          <w:lang w:bidi="ar-EG"/>
        </w:rPr>
        <w:t xml:space="preserve">( </w:t>
      </w:r>
      <w:r w:rsidRPr="00315653">
        <w:rPr>
          <w:rStyle w:val="ab"/>
          <w:color w:val="000000"/>
          <w:rtl/>
          <w:lang w:bidi="ar-EG"/>
        </w:rPr>
        <w:footnoteReference w:id="29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w:t>
      </w:r>
      <w:r w:rsidRPr="00315653">
        <w:rPr>
          <w:rFonts w:hint="cs"/>
          <w:color w:val="000000"/>
          <w:rtl/>
        </w:rPr>
        <w:t>كان المشروع التمهيدي للمادة 789/1 مدني يتضمن نصاً يوجب على الكفيل أن يقدم للدائن "المبالغ الكافية للقيام بالتجريد"</w:t>
      </w:r>
      <w:r>
        <w:rPr>
          <w:rFonts w:hint="cs"/>
          <w:color w:val="000000"/>
          <w:rtl/>
        </w:rPr>
        <w:t xml:space="preserve"> .</w:t>
      </w:r>
      <w:r w:rsidRPr="00315653">
        <w:rPr>
          <w:rFonts w:hint="cs"/>
          <w:color w:val="000000"/>
          <w:rtl/>
        </w:rPr>
        <w:t xml:space="preserve"> وفي لجنة مجلس الشيوخ عدل النص</w:t>
      </w:r>
      <w:r>
        <w:rPr>
          <w:rFonts w:hint="cs"/>
          <w:color w:val="000000"/>
          <w:rtl/>
        </w:rPr>
        <w:t xml:space="preserve"> ،</w:t>
      </w:r>
      <w:r w:rsidRPr="00315653">
        <w:rPr>
          <w:rFonts w:hint="cs"/>
          <w:color w:val="000000"/>
          <w:rtl/>
        </w:rPr>
        <w:t xml:space="preserve"> فصار واجباً على الكفيل</w:t>
      </w:r>
      <w:r>
        <w:rPr>
          <w:rFonts w:hint="cs"/>
          <w:color w:val="000000"/>
          <w:rtl/>
        </w:rPr>
        <w:t xml:space="preserve"> ،</w:t>
      </w:r>
      <w:r w:rsidRPr="00315653">
        <w:rPr>
          <w:rFonts w:hint="cs"/>
          <w:color w:val="000000"/>
          <w:rtl/>
        </w:rPr>
        <w:t xml:space="preserve"> لا تقديم المبالغ الكافة للقيام بالتجريد</w:t>
      </w:r>
      <w:r>
        <w:rPr>
          <w:rFonts w:hint="cs"/>
          <w:color w:val="000000"/>
          <w:rtl/>
        </w:rPr>
        <w:t xml:space="preserve"> ،</w:t>
      </w:r>
      <w:r w:rsidRPr="00315653">
        <w:rPr>
          <w:rFonts w:hint="cs"/>
          <w:color w:val="000000"/>
          <w:rtl/>
        </w:rPr>
        <w:t xml:space="preserve"> بل القيام بنفقات إرشاد الدائن إلى أموال للمدين تفي بالدين كله</w:t>
      </w:r>
      <w:r>
        <w:rPr>
          <w:rFonts w:hint="cs"/>
          <w:color w:val="000000"/>
          <w:rtl/>
        </w:rPr>
        <w:t xml:space="preserve"> .</w:t>
      </w:r>
      <w:r w:rsidRPr="00315653">
        <w:rPr>
          <w:rFonts w:hint="cs"/>
          <w:color w:val="000000"/>
          <w:rtl/>
        </w:rPr>
        <w:t xml:space="preserve"> وجاء في تقرير اللجنة ما يأتي</w:t>
      </w:r>
      <w:r>
        <w:rPr>
          <w:rFonts w:hint="cs"/>
          <w:color w:val="000000"/>
          <w:rtl/>
        </w:rPr>
        <w:t xml:space="preserve"> :</w:t>
      </w:r>
      <w:r w:rsidRPr="00315653">
        <w:rPr>
          <w:rFonts w:hint="cs"/>
          <w:color w:val="000000"/>
          <w:rtl/>
        </w:rPr>
        <w:t xml:space="preserve"> "وقد راعت اللجنة في ذلك أن مصروفات $125 التجريد سيرجع بها الدائن على الكفيل</w:t>
      </w:r>
      <w:r>
        <w:rPr>
          <w:rFonts w:hint="cs"/>
          <w:color w:val="000000"/>
          <w:rtl/>
        </w:rPr>
        <w:t xml:space="preserve"> ،</w:t>
      </w:r>
      <w:r w:rsidRPr="00315653">
        <w:rPr>
          <w:rFonts w:hint="cs"/>
          <w:color w:val="000000"/>
          <w:rtl/>
        </w:rPr>
        <w:t xml:space="preserve"> فلا محل لإلزامه بدفعها مقدماً</w:t>
      </w:r>
      <w:r>
        <w:rPr>
          <w:rFonts w:hint="cs"/>
          <w:color w:val="000000"/>
          <w:rtl/>
        </w:rPr>
        <w:t xml:space="preserve"> ،</w:t>
      </w:r>
      <w:r w:rsidRPr="00315653">
        <w:rPr>
          <w:rFonts w:hint="cs"/>
          <w:color w:val="000000"/>
          <w:rtl/>
        </w:rPr>
        <w:t xml:space="preserve"> وبوجه خاص لأن مقدار هذه المصروفات يصعب عملا تعيينه من قبل</w:t>
      </w:r>
      <w:r>
        <w:rPr>
          <w:rFonts w:hint="cs"/>
          <w:color w:val="000000"/>
          <w:rtl/>
        </w:rPr>
        <w:t xml:space="preserve"> .</w:t>
      </w:r>
      <w:r w:rsidRPr="00315653">
        <w:rPr>
          <w:rFonts w:hint="cs"/>
          <w:color w:val="000000"/>
          <w:rtl/>
        </w:rPr>
        <w:t xml:space="preserve"> ولهذا رؤى الاكتفاء بإلزام الكفيل بإرشاد الدائن إلى أموال للمدين تفي بالدين كله</w:t>
      </w:r>
      <w:r>
        <w:rPr>
          <w:rFonts w:hint="cs"/>
          <w:color w:val="000000"/>
          <w:rtl/>
        </w:rPr>
        <w:t xml:space="preserve"> ،</w:t>
      </w:r>
      <w:r w:rsidRPr="00315653">
        <w:rPr>
          <w:rFonts w:hint="cs"/>
          <w:color w:val="000000"/>
          <w:rtl/>
        </w:rPr>
        <w:t xml:space="preserve"> ورأت الاكتفاء بأن يتحمل الكفيل نفقة هذا الإرشاد"</w:t>
      </w:r>
      <w:r>
        <w:rPr>
          <w:rFonts w:hint="cs"/>
          <w:color w:val="000000"/>
          <w:vertAlign w:val="superscript"/>
          <w:rtl/>
          <w:lang w:bidi="ar-EG"/>
        </w:rPr>
        <w:t xml:space="preserve">( </w:t>
      </w:r>
      <w:r w:rsidRPr="00315653">
        <w:rPr>
          <w:rStyle w:val="ab"/>
          <w:color w:val="000000"/>
          <w:rtl/>
          <w:lang w:bidi="ar-EG"/>
        </w:rPr>
        <w:footnoteReference w:id="29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49- الآثار التي تترتب على الدفع بالتجريد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790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"في كل الأحوال التي يدل فيها الكفيل على أموال المدين</w:t>
      </w:r>
      <w:r>
        <w:rPr>
          <w:rFonts w:hint="cs"/>
          <w:color w:val="000000"/>
          <w:rtl/>
          <w:lang w:bidi="ar-EG"/>
        </w:rPr>
        <w:t xml:space="preserve"> ،</w:t>
      </w:r>
      <w:r w:rsidRPr="00315653">
        <w:rPr>
          <w:rFonts w:hint="cs"/>
          <w:color w:val="000000"/>
          <w:rtl/>
          <w:lang w:bidi="ar-EG"/>
        </w:rPr>
        <w:t xml:space="preserve"> يكون الدائن مسئولا قبل الكفيل عن إعسار المدين الذي يترتب على عدم اتخاذه الإجراءات اللازمة في الوقت المناسب</w:t>
      </w:r>
      <w:r>
        <w:rPr>
          <w:rFonts w:hint="cs"/>
          <w:color w:val="000000"/>
          <w:vertAlign w:val="superscript"/>
          <w:rtl/>
          <w:lang w:bidi="ar-EG"/>
        </w:rPr>
        <w:t xml:space="preserve">( </w:t>
      </w:r>
      <w:r w:rsidRPr="00315653">
        <w:rPr>
          <w:rStyle w:val="ab"/>
          <w:color w:val="000000"/>
          <w:rtl/>
          <w:lang w:bidi="ar-EG"/>
        </w:rPr>
        <w:footnoteReference w:id="29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$126 والمفروض أن الدفع بالتجريد الذي أبداه الكفيل قد استوفى الشروط المطلوبة</w:t>
      </w:r>
      <w:r>
        <w:rPr>
          <w:rFonts w:hint="cs"/>
          <w:color w:val="000000"/>
          <w:rtl/>
          <w:lang w:bidi="ar-EG"/>
        </w:rPr>
        <w:t xml:space="preserve"> ،</w:t>
      </w:r>
      <w:r w:rsidRPr="00315653">
        <w:rPr>
          <w:rFonts w:hint="cs"/>
          <w:color w:val="000000"/>
          <w:rtl/>
          <w:lang w:bidi="ar-EG"/>
        </w:rPr>
        <w:t xml:space="preserve"> وأنه قد قبل</w:t>
      </w:r>
      <w:r>
        <w:rPr>
          <w:rFonts w:hint="cs"/>
          <w:color w:val="000000"/>
          <w:rtl/>
          <w:lang w:bidi="ar-EG"/>
        </w:rPr>
        <w:t xml:space="preserve"> .</w:t>
      </w:r>
      <w:r w:rsidRPr="00315653">
        <w:rPr>
          <w:rFonts w:hint="cs"/>
          <w:color w:val="000000"/>
          <w:rtl/>
          <w:lang w:bidi="ar-EG"/>
        </w:rPr>
        <w:t xml:space="preserve"> فيترتب على ذلك وقف إجراءات التنفيذ على أموال الكفيل</w:t>
      </w:r>
      <w:r>
        <w:rPr>
          <w:rFonts w:hint="cs"/>
          <w:color w:val="000000"/>
          <w:rtl/>
          <w:lang w:bidi="ar-EG"/>
        </w:rPr>
        <w:t xml:space="preserve"> ،</w:t>
      </w:r>
      <w:r w:rsidRPr="00315653">
        <w:rPr>
          <w:rFonts w:hint="cs"/>
          <w:color w:val="000000"/>
          <w:rtl/>
          <w:lang w:bidi="ar-EG"/>
        </w:rPr>
        <w:t xml:space="preserve"> ثم يجب على الدائن أن يتخذ إجراءات التنفيذ على أموال المدين التي دل عليها الكفيل</w:t>
      </w:r>
      <w:r>
        <w:rPr>
          <w:rFonts w:hint="cs"/>
          <w:color w:val="000000"/>
          <w:rtl/>
          <w:lang w:bidi="ar-EG"/>
        </w:rPr>
        <w:t xml:space="preserve"> .</w:t>
      </w:r>
      <w:r w:rsidRPr="00315653">
        <w:rPr>
          <w:rFonts w:hint="cs"/>
          <w:color w:val="000000"/>
          <w:rtl/>
          <w:lang w:bidi="ar-EG"/>
        </w:rPr>
        <w:t xml:space="preserve"> فإذا لم يتخذها في الوقت المناسب</w:t>
      </w:r>
      <w:r>
        <w:rPr>
          <w:rFonts w:hint="cs"/>
          <w:color w:val="000000"/>
          <w:rtl/>
          <w:lang w:bidi="ar-EG"/>
        </w:rPr>
        <w:t xml:space="preserve"> ،</w:t>
      </w:r>
      <w:r w:rsidRPr="00315653">
        <w:rPr>
          <w:rFonts w:hint="cs"/>
          <w:color w:val="000000"/>
          <w:rtl/>
          <w:lang w:bidi="ar-EG"/>
        </w:rPr>
        <w:t xml:space="preserve"> كامن مسئولا قبل الكفيل عن إعسار المدين الذي يترتب على ذلك كما تقول المادة 790 سالفة الذكر</w:t>
      </w:r>
      <w:r>
        <w:rPr>
          <w:rFonts w:hint="cs"/>
          <w:color w:val="000000"/>
          <w:rtl/>
          <w:lang w:bidi="ar-EG"/>
        </w:rPr>
        <w:t xml:space="preserve"> .</w:t>
      </w:r>
      <w:r w:rsidRPr="00315653">
        <w:rPr>
          <w:rFonts w:hint="cs"/>
          <w:color w:val="000000"/>
          <w:rtl/>
          <w:lang w:bidi="ar-EG"/>
        </w:rPr>
        <w:t xml:space="preserve"> وإذا اتخذها</w:t>
      </w:r>
      <w:r>
        <w:rPr>
          <w:rFonts w:hint="cs"/>
          <w:color w:val="000000"/>
          <w:rtl/>
          <w:lang w:bidi="ar-EG"/>
        </w:rPr>
        <w:t xml:space="preserve"> ،</w:t>
      </w:r>
      <w:r w:rsidRPr="00315653">
        <w:rPr>
          <w:rFonts w:hint="cs"/>
          <w:color w:val="000000"/>
          <w:rtl/>
          <w:lang w:bidi="ar-EG"/>
        </w:rPr>
        <w:t xml:space="preserve"> فحصل على حقه كله</w:t>
      </w:r>
      <w:r>
        <w:rPr>
          <w:rFonts w:hint="cs"/>
          <w:color w:val="000000"/>
          <w:rtl/>
          <w:lang w:bidi="ar-EG"/>
        </w:rPr>
        <w:t xml:space="preserve"> ،</w:t>
      </w:r>
      <w:r w:rsidRPr="00315653">
        <w:rPr>
          <w:rFonts w:hint="cs"/>
          <w:color w:val="000000"/>
          <w:rtl/>
          <w:lang w:bidi="ar-EG"/>
        </w:rPr>
        <w:t xml:space="preserve"> فقد برئت ذمة الكفل</w:t>
      </w:r>
      <w:r>
        <w:rPr>
          <w:rFonts w:hint="cs"/>
          <w:color w:val="000000"/>
          <w:rtl/>
          <w:lang w:bidi="ar-EG"/>
        </w:rPr>
        <w:t xml:space="preserve"> .</w:t>
      </w:r>
      <w:r w:rsidRPr="00315653">
        <w:rPr>
          <w:rFonts w:hint="cs"/>
          <w:color w:val="000000"/>
          <w:rtl/>
          <w:lang w:bidi="ar-EG"/>
        </w:rPr>
        <w:t xml:space="preserve"> وأما إذا حصل على بعض حقه</w:t>
      </w:r>
      <w:r>
        <w:rPr>
          <w:rFonts w:hint="cs"/>
          <w:color w:val="000000"/>
          <w:rtl/>
          <w:lang w:bidi="ar-EG"/>
        </w:rPr>
        <w:t xml:space="preserve"> ،</w:t>
      </w:r>
      <w:r w:rsidRPr="00315653">
        <w:rPr>
          <w:rFonts w:hint="cs"/>
          <w:color w:val="000000"/>
          <w:rtl/>
          <w:lang w:bidi="ar-EG"/>
        </w:rPr>
        <w:t xml:space="preserve"> فإنه يرجع بالباقي على الكفيل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فأول أثر يترتب على قبول الدفع بالتجريد هو إذن وقف إجراءات التنفيذ على أموال الكفيل</w:t>
      </w:r>
      <w:r>
        <w:rPr>
          <w:rFonts w:hint="cs"/>
          <w:color w:val="000000"/>
          <w:rtl/>
          <w:lang w:bidi="ar-EG"/>
        </w:rPr>
        <w:t xml:space="preserve"> .</w:t>
      </w:r>
      <w:r w:rsidRPr="00315653">
        <w:rPr>
          <w:rFonts w:hint="cs"/>
          <w:color w:val="000000"/>
          <w:rtl/>
          <w:lang w:bidi="ar-EG"/>
        </w:rPr>
        <w:t xml:space="preserve"> بل إنه عند إبداء الكفيل للدفع وقبل الفصل فيه</w:t>
      </w:r>
      <w:r>
        <w:rPr>
          <w:rFonts w:hint="cs"/>
          <w:color w:val="000000"/>
          <w:rtl/>
          <w:lang w:bidi="ar-EG"/>
        </w:rPr>
        <w:t xml:space="preserve"> ،</w:t>
      </w:r>
      <w:r w:rsidRPr="00315653">
        <w:rPr>
          <w:rFonts w:hint="cs"/>
          <w:color w:val="000000"/>
          <w:rtl/>
          <w:lang w:bidi="ar-EG"/>
        </w:rPr>
        <w:t xml:space="preserve"> تقف إجراءات التنفيذ حتى تفصل المحكمة في الدفع</w:t>
      </w:r>
      <w:r>
        <w:rPr>
          <w:rFonts w:hint="cs"/>
          <w:color w:val="000000"/>
          <w:rtl/>
          <w:lang w:bidi="ar-EG"/>
        </w:rPr>
        <w:t xml:space="preserve"> ،</w:t>
      </w:r>
      <w:r w:rsidRPr="00315653">
        <w:rPr>
          <w:rFonts w:hint="cs"/>
          <w:color w:val="000000"/>
          <w:rtl/>
          <w:lang w:bidi="ar-EG"/>
        </w:rPr>
        <w:t xml:space="preserve"> فإذا رفض استمر الدائن في إجراءات التنفيذ على أموال الكفيل</w:t>
      </w:r>
      <w:r>
        <w:rPr>
          <w:rFonts w:hint="cs"/>
          <w:color w:val="000000"/>
          <w:rtl/>
          <w:lang w:bidi="ar-EG"/>
        </w:rPr>
        <w:t xml:space="preserve"> .</w:t>
      </w:r>
      <w:r w:rsidRPr="00315653">
        <w:rPr>
          <w:rFonts w:hint="cs"/>
          <w:color w:val="000000"/>
          <w:rtl/>
          <w:lang w:bidi="ar-EG"/>
        </w:rPr>
        <w:t xml:space="preserve"> أما إذا قبل</w:t>
      </w:r>
      <w:r>
        <w:rPr>
          <w:rFonts w:hint="cs"/>
          <w:color w:val="000000"/>
          <w:rtl/>
          <w:lang w:bidi="ar-EG"/>
        </w:rPr>
        <w:t xml:space="preserve"> ،</w:t>
      </w:r>
      <w:r w:rsidRPr="00315653">
        <w:rPr>
          <w:rFonts w:hint="cs"/>
          <w:color w:val="000000"/>
          <w:rtl/>
          <w:lang w:bidi="ar-EG"/>
        </w:rPr>
        <w:t xml:space="preserve"> فإنه يمتنع استمرار الدائن في إجراءات التنفيذ على أموال الكفيل</w:t>
      </w:r>
      <w:r>
        <w:rPr>
          <w:rFonts w:hint="cs"/>
          <w:color w:val="000000"/>
          <w:vertAlign w:val="superscript"/>
          <w:rtl/>
          <w:lang w:bidi="ar-EG"/>
        </w:rPr>
        <w:t xml:space="preserve">( </w:t>
      </w:r>
      <w:r w:rsidRPr="00315653">
        <w:rPr>
          <w:rStyle w:val="ab"/>
          <w:color w:val="000000"/>
          <w:rtl/>
          <w:lang w:bidi="ar-EG"/>
        </w:rPr>
        <w:footnoteReference w:id="29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ما تم من هذه الإجراءات يبقى حافظاً لآثاره</w:t>
      </w:r>
      <w:r>
        <w:rPr>
          <w:rFonts w:hint="cs"/>
          <w:color w:val="000000"/>
          <w:rtl/>
          <w:lang w:bidi="ar-EG"/>
        </w:rPr>
        <w:t xml:space="preserve"> .</w:t>
      </w:r>
      <w:r w:rsidRPr="00315653">
        <w:rPr>
          <w:rFonts w:hint="cs"/>
          <w:color w:val="000000"/>
          <w:rtl/>
          <w:lang w:bidi="ar-EG"/>
        </w:rPr>
        <w:t xml:space="preserve"> ويلغي ما اتخذ من إجراءات التنفيذ على أموال الكفيل عند إبداء الدفع بالتجريد</w:t>
      </w:r>
      <w:r>
        <w:rPr>
          <w:rFonts w:hint="cs"/>
          <w:color w:val="000000"/>
          <w:rtl/>
          <w:lang w:bidi="ar-EG"/>
        </w:rPr>
        <w:t xml:space="preserve"> ،</w:t>
      </w:r>
      <w:r w:rsidRPr="00315653">
        <w:rPr>
          <w:rFonts w:hint="cs"/>
          <w:color w:val="000000"/>
          <w:rtl/>
          <w:lang w:bidi="ar-EG"/>
        </w:rPr>
        <w:t xml:space="preserve"> فيلغي مثلا حجز ما للكفيل لدى الغير ويجب رفع الحجز</w:t>
      </w:r>
      <w:r>
        <w:rPr>
          <w:rFonts w:hint="cs"/>
          <w:color w:val="000000"/>
          <w:vertAlign w:val="superscript"/>
          <w:rtl/>
          <w:lang w:bidi="ar-EG"/>
        </w:rPr>
        <w:t xml:space="preserve">( </w:t>
      </w:r>
      <w:r w:rsidRPr="00315653">
        <w:rPr>
          <w:rStyle w:val="ab"/>
          <w:color w:val="000000"/>
          <w:rtl/>
          <w:lang w:bidi="ar-EG"/>
        </w:rPr>
        <w:footnoteReference w:id="29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ويلغي التنبيه بنزع الملكية الذي اتخذ ضد الكفيل وما يترتب عليه من آثار</w:t>
      </w:r>
      <w:r>
        <w:rPr>
          <w:rFonts w:hint="cs"/>
          <w:color w:val="000000"/>
          <w:vertAlign w:val="superscript"/>
          <w:rtl/>
          <w:lang w:bidi="ar-EG"/>
        </w:rPr>
        <w:t xml:space="preserve">( </w:t>
      </w:r>
      <w:r w:rsidRPr="00315653">
        <w:rPr>
          <w:rStyle w:val="ab"/>
          <w:color w:val="000000"/>
          <w:rtl/>
          <w:lang w:bidi="ar-EG"/>
        </w:rPr>
        <w:footnoteReference w:id="29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وتلغي إجراءات الحجز التنفيذي الموقع على منقولات المدين إذا لم تكن هذه الإجراءات قد تمت</w:t>
      </w:r>
      <w:r>
        <w:rPr>
          <w:rFonts w:hint="cs"/>
          <w:color w:val="000000"/>
          <w:vertAlign w:val="superscript"/>
          <w:rtl/>
          <w:lang w:bidi="ar-EG"/>
        </w:rPr>
        <w:t xml:space="preserve">( </w:t>
      </w:r>
      <w:r w:rsidRPr="00315653">
        <w:rPr>
          <w:rStyle w:val="ab"/>
          <w:color w:val="000000"/>
          <w:rtl/>
          <w:lang w:bidi="ar-EG"/>
        </w:rPr>
        <w:footnoteReference w:id="29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ويمتنع على الدائن </w:t>
      </w:r>
      <w:r w:rsidRPr="00315653">
        <w:rPr>
          <w:rFonts w:hint="cs"/>
          <w:color w:val="000000"/>
          <w:rtl/>
          <w:lang w:bidi="ar-EG"/>
        </w:rPr>
        <w:lastRenderedPageBreak/>
        <w:t>$127 أن يجري المقاصة ين التزام الكفيل نحوه والتزام آخر في ذمة الدائن للكفيل</w:t>
      </w:r>
      <w:r>
        <w:rPr>
          <w:rFonts w:hint="cs"/>
          <w:color w:val="000000"/>
          <w:vertAlign w:val="superscript"/>
          <w:rtl/>
          <w:lang w:bidi="ar-EG"/>
        </w:rPr>
        <w:t xml:space="preserve">( </w:t>
      </w:r>
      <w:r w:rsidRPr="00315653">
        <w:rPr>
          <w:rStyle w:val="ab"/>
          <w:color w:val="000000"/>
          <w:rtl/>
          <w:lang w:bidi="ar-EG"/>
        </w:rPr>
        <w:footnoteReference w:id="29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ذلك لا يمنع الدائن من اتخاذ الإجراءات التحفظية على أموال الكفيل</w:t>
      </w:r>
      <w:r>
        <w:rPr>
          <w:rFonts w:hint="cs"/>
          <w:color w:val="000000"/>
          <w:rtl/>
          <w:lang w:bidi="ar-EG"/>
        </w:rPr>
        <w:t xml:space="preserve"> .</w:t>
      </w:r>
      <w:r w:rsidRPr="00315653">
        <w:rPr>
          <w:rFonts w:hint="cs"/>
          <w:color w:val="000000"/>
          <w:rtl/>
          <w:lang w:bidi="ar-EG"/>
        </w:rPr>
        <w:t xml:space="preserve"> وقد كان التقنين المدني السابق </w:t>
      </w:r>
      <w:r>
        <w:rPr>
          <w:rFonts w:hint="cs"/>
          <w:color w:val="000000"/>
          <w:rtl/>
          <w:lang w:bidi="ar-EG"/>
        </w:rPr>
        <w:t xml:space="preserve">( </w:t>
      </w:r>
      <w:r w:rsidRPr="00315653">
        <w:rPr>
          <w:rFonts w:hint="cs"/>
          <w:color w:val="000000"/>
          <w:rtl/>
          <w:lang w:bidi="ar-EG"/>
        </w:rPr>
        <w:t>م 502/612</w:t>
      </w:r>
      <w:r>
        <w:rPr>
          <w:rFonts w:hint="cs"/>
          <w:color w:val="000000"/>
          <w:rtl/>
          <w:lang w:bidi="ar-EG"/>
        </w:rPr>
        <w:t xml:space="preserve"> )</w:t>
      </w:r>
      <w:r w:rsidRPr="00315653">
        <w:rPr>
          <w:rFonts w:hint="cs"/>
          <w:color w:val="000000"/>
          <w:rtl/>
          <w:lang w:bidi="ar-EG"/>
        </w:rPr>
        <w:t xml:space="preserve"> ينص على ذلك صراحة</w:t>
      </w:r>
      <w:r>
        <w:rPr>
          <w:rFonts w:hint="cs"/>
          <w:color w:val="000000"/>
          <w:rtl/>
          <w:lang w:bidi="ar-EG"/>
        </w:rPr>
        <w:t xml:space="preserve"> ،</w:t>
      </w:r>
      <w:r w:rsidRPr="00315653">
        <w:rPr>
          <w:rFonts w:hint="cs"/>
          <w:color w:val="000000"/>
          <w:rtl/>
          <w:lang w:bidi="ar-EG"/>
        </w:rPr>
        <w:t xml:space="preserve"> إذ يقول</w:t>
      </w:r>
      <w:r>
        <w:rPr>
          <w:rFonts w:hint="cs"/>
          <w:color w:val="000000"/>
          <w:rtl/>
          <w:lang w:bidi="ar-EG"/>
        </w:rPr>
        <w:t xml:space="preserve"> :</w:t>
      </w:r>
      <w:r w:rsidRPr="00315653">
        <w:rPr>
          <w:rFonts w:hint="cs"/>
          <w:color w:val="000000"/>
          <w:rtl/>
          <w:lang w:bidi="ar-EG"/>
        </w:rPr>
        <w:t xml:space="preserve"> "وحينئذ فللمحكمة الحكم في إيقاف المطالبة الحاصلة للكفيل إيقافاً مؤقتاً</w:t>
      </w:r>
      <w:r>
        <w:rPr>
          <w:rFonts w:hint="cs"/>
          <w:color w:val="000000"/>
          <w:rtl/>
          <w:lang w:bidi="ar-EG"/>
        </w:rPr>
        <w:t xml:space="preserve"> ،</w:t>
      </w:r>
      <w:r w:rsidRPr="00315653">
        <w:rPr>
          <w:rFonts w:hint="cs"/>
          <w:color w:val="000000"/>
          <w:rtl/>
          <w:lang w:bidi="ar-EG"/>
        </w:rPr>
        <w:t xml:space="preserve"> مع عدم الإخلال بالإجراءات التحفظية</w:t>
      </w:r>
      <w:r>
        <w:rPr>
          <w:rFonts w:hint="cs"/>
          <w:color w:val="000000"/>
          <w:rtl/>
          <w:lang w:bidi="ar-EG"/>
        </w:rPr>
        <w:t xml:space="preserve"> ) .</w:t>
      </w:r>
      <w:r w:rsidRPr="00315653">
        <w:rPr>
          <w:rFonts w:hint="cs"/>
          <w:color w:val="000000"/>
          <w:rtl/>
          <w:lang w:bidi="ar-EG"/>
        </w:rPr>
        <w:t xml:space="preserve"> ولم يرد نص مماثل في التقنين المدني الجديد</w:t>
      </w:r>
      <w:r>
        <w:rPr>
          <w:rFonts w:hint="cs"/>
          <w:color w:val="000000"/>
          <w:rtl/>
          <w:lang w:bidi="ar-EG"/>
        </w:rPr>
        <w:t xml:space="preserve"> ،</w:t>
      </w:r>
      <w:r w:rsidRPr="00315653">
        <w:rPr>
          <w:rFonts w:hint="cs"/>
          <w:color w:val="000000"/>
          <w:rtl/>
          <w:lang w:bidi="ar-EG"/>
        </w:rPr>
        <w:t xml:space="preserve"> ولكن نص التقنين المدني السابق ليس إلا تطبيقاً للقواعد العامة</w:t>
      </w:r>
      <w:r>
        <w:rPr>
          <w:rFonts w:hint="cs"/>
          <w:color w:val="000000"/>
          <w:rtl/>
          <w:lang w:bidi="ar-EG"/>
        </w:rPr>
        <w:t xml:space="preserve"> ،</w:t>
      </w:r>
      <w:r w:rsidRPr="00315653">
        <w:rPr>
          <w:rFonts w:hint="cs"/>
          <w:color w:val="000000"/>
          <w:rtl/>
          <w:lang w:bidi="ar-EG"/>
        </w:rPr>
        <w:t xml:space="preserve"> فيجوز العمل بالحكم دون نص</w:t>
      </w:r>
      <w:r>
        <w:rPr>
          <w:rFonts w:hint="cs"/>
          <w:color w:val="000000"/>
          <w:vertAlign w:val="superscript"/>
          <w:rtl/>
          <w:lang w:bidi="ar-EG"/>
        </w:rPr>
        <w:t xml:space="preserve">( </w:t>
      </w:r>
      <w:r w:rsidRPr="00315653">
        <w:rPr>
          <w:rStyle w:val="ab"/>
          <w:color w:val="000000"/>
          <w:rtl/>
          <w:lang w:bidi="ar-EG"/>
        </w:rPr>
        <w:footnoteReference w:id="29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فيجوز للدائن أن يقطع التقادم بالنسبة إلى أموال الكفيل</w:t>
      </w:r>
      <w:r>
        <w:rPr>
          <w:rFonts w:hint="cs"/>
          <w:color w:val="000000"/>
          <w:rtl/>
          <w:lang w:bidi="ar-EG"/>
        </w:rPr>
        <w:t xml:space="preserve"> ،</w:t>
      </w:r>
      <w:r w:rsidRPr="00315653">
        <w:rPr>
          <w:rFonts w:hint="cs"/>
          <w:color w:val="000000"/>
          <w:rtl/>
          <w:lang w:bidi="ar-EG"/>
        </w:rPr>
        <w:t xml:space="preserve"> كما يجوز له أن يقيد رهناً لصالح الكفيل أو أن يجدد هذا القيد</w:t>
      </w:r>
      <w:r>
        <w:rPr>
          <w:rFonts w:hint="cs"/>
          <w:color w:val="000000"/>
          <w:rtl/>
          <w:lang w:bidi="ar-EG"/>
        </w:rPr>
        <w:t xml:space="preserve"> .</w:t>
      </w:r>
      <w:r w:rsidRPr="00315653">
        <w:rPr>
          <w:rFonts w:hint="cs"/>
          <w:color w:val="000000"/>
          <w:rtl/>
          <w:lang w:bidi="ar-EG"/>
        </w:rPr>
        <w:t xml:space="preserve"> بل يجوز له أن يحصل على حق اختصاص على عقار للكفيل بموجب حكم واجب التنفيذ صادر لصالحه ضد الكفيل</w:t>
      </w:r>
      <w:r>
        <w:rPr>
          <w:rFonts w:hint="cs"/>
          <w:color w:val="000000"/>
          <w:rtl/>
          <w:lang w:bidi="ar-EG"/>
        </w:rPr>
        <w:t xml:space="preserve"> ،</w:t>
      </w:r>
      <w:r w:rsidRPr="00315653">
        <w:rPr>
          <w:rFonts w:hint="cs"/>
          <w:color w:val="000000"/>
          <w:rtl/>
          <w:lang w:bidi="ar-EG"/>
        </w:rPr>
        <w:t xml:space="preserve"> فأخذ حق اختصاص لا يعدو أن يكون إجراء تحفظياً</w:t>
      </w:r>
      <w:r>
        <w:rPr>
          <w:rFonts w:hint="cs"/>
          <w:color w:val="000000"/>
          <w:rtl/>
          <w:lang w:bidi="ar-EG"/>
        </w:rPr>
        <w:t xml:space="preserve"> ،</w:t>
      </w:r>
      <w:r w:rsidRPr="00315653">
        <w:rPr>
          <w:rFonts w:hint="cs"/>
          <w:color w:val="000000"/>
          <w:rtl/>
          <w:lang w:bidi="ar-EG"/>
        </w:rPr>
        <w:t xml:space="preserve"> ولكن لا يجوز له بعد الحصول على حق الاختصاص أن ينفذ على عقار الكفيل إلا بعد تجريد أموال المدين</w:t>
      </w:r>
      <w:r>
        <w:rPr>
          <w:rFonts w:hint="cs"/>
          <w:color w:val="000000"/>
          <w:vertAlign w:val="superscript"/>
          <w:rtl/>
          <w:lang w:bidi="ar-EG"/>
        </w:rPr>
        <w:t xml:space="preserve">( </w:t>
      </w:r>
      <w:r w:rsidRPr="00315653">
        <w:rPr>
          <w:rStyle w:val="ab"/>
          <w:color w:val="000000"/>
          <w:rtl/>
          <w:lang w:bidi="ar-EG"/>
        </w:rPr>
        <w:footnoteReference w:id="29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وبعد وقف إجراءات التنفيذ على أموال الكفيل</w:t>
      </w:r>
      <w:r>
        <w:rPr>
          <w:rFonts w:hint="cs"/>
          <w:color w:val="000000"/>
          <w:rtl/>
          <w:lang w:bidi="ar-EG"/>
        </w:rPr>
        <w:t xml:space="preserve"> ،</w:t>
      </w:r>
      <w:r w:rsidRPr="00315653">
        <w:rPr>
          <w:rFonts w:hint="cs"/>
          <w:color w:val="000000"/>
          <w:rtl/>
          <w:lang w:bidi="ar-EG"/>
        </w:rPr>
        <w:t xml:space="preserve"> يجب على الدائن أن يتخذ إجراءات التنفيذ على أموال المدين التي دل عليها الكفل</w:t>
      </w:r>
      <w:r>
        <w:rPr>
          <w:rFonts w:hint="cs"/>
          <w:color w:val="000000"/>
          <w:rtl/>
          <w:lang w:bidi="ar-EG"/>
        </w:rPr>
        <w:t xml:space="preserve"> .</w:t>
      </w:r>
      <w:r w:rsidRPr="00315653">
        <w:rPr>
          <w:rFonts w:hint="cs"/>
          <w:color w:val="000000"/>
          <w:rtl/>
          <w:lang w:bidi="ar-EG"/>
        </w:rPr>
        <w:t xml:space="preserve"> ويكون مسولا لدى الكفيل عن إعسار المدين الذي يترتب على عدم اتخاذ إجراءات التنفيذ في الوقت المناسب </w:t>
      </w:r>
      <w:r>
        <w:rPr>
          <w:rFonts w:hint="cs"/>
          <w:color w:val="000000"/>
          <w:rtl/>
          <w:lang w:bidi="ar-EG"/>
        </w:rPr>
        <w:t xml:space="preserve">( </w:t>
      </w:r>
      <w:r w:rsidRPr="00315653">
        <w:rPr>
          <w:rFonts w:hint="cs"/>
          <w:color w:val="000000"/>
          <w:rtl/>
          <w:lang w:bidi="ar-EG"/>
        </w:rPr>
        <w:t>م 790 مدني سالفة الذكر</w:t>
      </w:r>
      <w:r>
        <w:rPr>
          <w:rFonts w:hint="cs"/>
          <w:color w:val="000000"/>
          <w:rtl/>
          <w:lang w:bidi="ar-EG"/>
        </w:rPr>
        <w:t xml:space="preserve"> ) .</w:t>
      </w:r>
      <w:r w:rsidRPr="00315653">
        <w:rPr>
          <w:rFonts w:hint="cs"/>
          <w:color w:val="000000"/>
          <w:rtl/>
          <w:lang w:bidi="ar-EG"/>
        </w:rPr>
        <w:t xml:space="preserve"> فإذا دل الكفيل على منقولات للمدين</w:t>
      </w:r>
      <w:r>
        <w:rPr>
          <w:rFonts w:hint="cs"/>
          <w:color w:val="000000"/>
          <w:rtl/>
          <w:lang w:bidi="ar-EG"/>
        </w:rPr>
        <w:t xml:space="preserve"> ،</w:t>
      </w:r>
      <w:r w:rsidRPr="00315653">
        <w:rPr>
          <w:rFonts w:hint="cs"/>
          <w:color w:val="000000"/>
          <w:rtl/>
          <w:lang w:bidi="ar-EG"/>
        </w:rPr>
        <w:t xml:space="preserve"> وتباطأ الدائن في اتخاذ إجراءات التنفيذ عيها حتى $128 تمكن المدين من إخفائها أو تهريبها أو تبديدها</w:t>
      </w:r>
      <w:r>
        <w:rPr>
          <w:rFonts w:hint="cs"/>
          <w:color w:val="000000"/>
          <w:rtl/>
          <w:lang w:bidi="ar-EG"/>
        </w:rPr>
        <w:t xml:space="preserve"> ،</w:t>
      </w:r>
      <w:r w:rsidRPr="00315653">
        <w:rPr>
          <w:rFonts w:hint="cs"/>
          <w:color w:val="000000"/>
          <w:rtl/>
          <w:lang w:bidi="ar-EG"/>
        </w:rPr>
        <w:t xml:space="preserve"> كان الدائن مسئولا عما كان يحصل عليه من ثمن هذه المنقولات لو أنه اتخذ إجراءات التنفيذ بمجرد أن دل عليها الكفيل</w:t>
      </w:r>
      <w:r>
        <w:rPr>
          <w:rFonts w:hint="cs"/>
          <w:color w:val="000000"/>
          <w:rtl/>
          <w:lang w:bidi="ar-EG"/>
        </w:rPr>
        <w:t xml:space="preserve"> ،</w:t>
      </w:r>
      <w:r w:rsidRPr="00315653">
        <w:rPr>
          <w:rFonts w:hint="cs"/>
          <w:color w:val="000000"/>
          <w:rtl/>
          <w:lang w:bidi="ar-EG"/>
        </w:rPr>
        <w:t xml:space="preserve"> لأن سهولة تهريب المنقولات تقتضي اتخاذ إجراءات سريعة للتنفيذ عليها</w:t>
      </w:r>
      <w:r>
        <w:rPr>
          <w:rFonts w:hint="cs"/>
          <w:color w:val="000000"/>
          <w:rtl/>
          <w:lang w:bidi="ar-EG"/>
        </w:rPr>
        <w:t xml:space="preserve"> .</w:t>
      </w:r>
      <w:r w:rsidRPr="00315653">
        <w:rPr>
          <w:rFonts w:hint="cs"/>
          <w:color w:val="000000"/>
          <w:rtl/>
          <w:lang w:bidi="ar-EG"/>
        </w:rPr>
        <w:t xml:space="preserve"> ولو أن الكفيل دل على عقار للمدين في يد الغير</w:t>
      </w:r>
      <w:r>
        <w:rPr>
          <w:rFonts w:hint="cs"/>
          <w:color w:val="000000"/>
          <w:rtl/>
          <w:lang w:bidi="ar-EG"/>
        </w:rPr>
        <w:t xml:space="preserve"> ،</w:t>
      </w:r>
      <w:r w:rsidRPr="00315653">
        <w:rPr>
          <w:rFonts w:hint="cs"/>
          <w:color w:val="000000"/>
          <w:rtl/>
          <w:lang w:bidi="ar-EG"/>
        </w:rPr>
        <w:t xml:space="preserve"> وتباطأ الدائن في اتخاذ الإجراءات لقطع التقادم المكسب حتى تكاملت مدة هذا التقادم وملك الغير العقار بهذا السبب من أسباب كسب الملكية</w:t>
      </w:r>
      <w:r>
        <w:rPr>
          <w:rFonts w:hint="cs"/>
          <w:color w:val="000000"/>
          <w:rtl/>
          <w:lang w:bidi="ar-EG"/>
        </w:rPr>
        <w:t xml:space="preserve"> ،</w:t>
      </w:r>
      <w:r w:rsidRPr="00315653">
        <w:rPr>
          <w:rFonts w:hint="cs"/>
          <w:color w:val="000000"/>
          <w:rtl/>
          <w:lang w:bidi="ar-EG"/>
        </w:rPr>
        <w:t xml:space="preserve"> كان الدائن مسئولا نحو الكفل عما كان يحصل عليه من التنفيذ على العقار لو أنه قطع التقادم وقام بالتنفيذ على العقار في الوقت المناسب</w:t>
      </w:r>
      <w:r>
        <w:rPr>
          <w:rFonts w:hint="cs"/>
          <w:color w:val="000000"/>
          <w:rtl/>
          <w:lang w:bidi="ar-EG"/>
        </w:rPr>
        <w:t xml:space="preserve"> .</w:t>
      </w:r>
      <w:r w:rsidRPr="00315653">
        <w:rPr>
          <w:rFonts w:hint="cs"/>
          <w:color w:val="000000"/>
          <w:rtl/>
          <w:lang w:bidi="ar-EG"/>
        </w:rPr>
        <w:t xml:space="preserve"> ويقع عبء إثبات تقصير الدائن على الكفيل</w:t>
      </w:r>
      <w:r>
        <w:rPr>
          <w:rFonts w:hint="cs"/>
          <w:color w:val="000000"/>
          <w:rtl/>
          <w:lang w:bidi="ar-EG"/>
        </w:rPr>
        <w:t xml:space="preserve"> ،</w:t>
      </w:r>
      <w:r w:rsidRPr="00315653">
        <w:rPr>
          <w:rFonts w:hint="cs"/>
          <w:color w:val="000000"/>
          <w:rtl/>
          <w:lang w:bidi="ar-EG"/>
        </w:rPr>
        <w:t xml:space="preserve"> وفقاً للقواعد العامة</w:t>
      </w:r>
      <w:r>
        <w:rPr>
          <w:rFonts w:hint="cs"/>
          <w:color w:val="000000"/>
          <w:vertAlign w:val="superscript"/>
          <w:rtl/>
          <w:lang w:bidi="ar-EG"/>
        </w:rPr>
        <w:t xml:space="preserve">( </w:t>
      </w:r>
      <w:r w:rsidRPr="00315653">
        <w:rPr>
          <w:rStyle w:val="ab"/>
          <w:color w:val="000000"/>
          <w:rtl/>
          <w:lang w:bidi="ar-EG"/>
        </w:rPr>
        <w:footnoteReference w:id="30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وليس في كل ما تقدم إلا تطبيق للقواعد العامة في المسئولية التقصيرية</w:t>
      </w:r>
      <w:r>
        <w:rPr>
          <w:rFonts w:hint="cs"/>
          <w:color w:val="000000"/>
          <w:rtl/>
          <w:lang w:bidi="ar-EG"/>
        </w:rPr>
        <w:t xml:space="preserve"> .</w:t>
      </w:r>
      <w:r w:rsidRPr="00315653">
        <w:rPr>
          <w:rFonts w:hint="cs"/>
          <w:color w:val="000000"/>
          <w:rtl/>
          <w:lang w:bidi="ar-EG"/>
        </w:rPr>
        <w:t xml:space="preserve"> وتقول المذكرة الإيضاحية للمشروع التمهيدي للمادة 790 مدني ما يأتي</w:t>
      </w:r>
      <w:r>
        <w:rPr>
          <w:rFonts w:hint="cs"/>
          <w:color w:val="000000"/>
          <w:rtl/>
          <w:lang w:bidi="ar-EG"/>
        </w:rPr>
        <w:t xml:space="preserve"> :</w:t>
      </w:r>
      <w:r w:rsidRPr="00315653">
        <w:rPr>
          <w:rFonts w:hint="cs"/>
          <w:color w:val="000000"/>
          <w:rtl/>
          <w:lang w:bidi="ar-EG"/>
        </w:rPr>
        <w:t xml:space="preserve"> "المادة 1145 مكررة </w:t>
      </w:r>
      <w:r>
        <w:rPr>
          <w:rFonts w:hint="cs"/>
          <w:color w:val="000000"/>
          <w:rtl/>
          <w:lang w:bidi="ar-EG"/>
        </w:rPr>
        <w:t xml:space="preserve">( </w:t>
      </w:r>
      <w:r w:rsidRPr="00315653">
        <w:rPr>
          <w:rFonts w:hint="cs"/>
          <w:color w:val="000000"/>
          <w:rtl/>
          <w:lang w:bidi="ar-EG"/>
        </w:rPr>
        <w:t>7980 مدني</w:t>
      </w:r>
      <w:r>
        <w:rPr>
          <w:rFonts w:hint="cs"/>
          <w:color w:val="000000"/>
          <w:rtl/>
          <w:lang w:bidi="ar-EG"/>
        </w:rPr>
        <w:t xml:space="preserve"> )</w:t>
      </w:r>
      <w:r w:rsidRPr="00315653">
        <w:rPr>
          <w:rFonts w:hint="cs"/>
          <w:color w:val="000000"/>
          <w:rtl/>
          <w:lang w:bidi="ar-EG"/>
        </w:rPr>
        <w:t xml:space="preserve"> تطابق نص المشروع الفرنسي الإيطالي </w:t>
      </w:r>
      <w:r>
        <w:rPr>
          <w:rFonts w:hint="cs"/>
          <w:color w:val="000000"/>
          <w:rtl/>
          <w:lang w:bidi="ar-EG"/>
        </w:rPr>
        <w:t xml:space="preserve">( </w:t>
      </w:r>
      <w:r w:rsidRPr="00315653">
        <w:rPr>
          <w:rFonts w:hint="cs"/>
          <w:color w:val="000000"/>
          <w:rtl/>
          <w:lang w:bidi="ar-EG"/>
        </w:rPr>
        <w:t>م 722</w:t>
      </w:r>
      <w:r>
        <w:rPr>
          <w:rFonts w:hint="cs"/>
          <w:color w:val="000000"/>
          <w:rtl/>
          <w:lang w:bidi="ar-EG"/>
        </w:rPr>
        <w:t xml:space="preserve"> )</w:t>
      </w:r>
      <w:r w:rsidRPr="00315653">
        <w:rPr>
          <w:rFonts w:hint="cs"/>
          <w:color w:val="000000"/>
          <w:rtl/>
          <w:lang w:bidi="ar-EG"/>
        </w:rPr>
        <w:t xml:space="preserve"> الذي نقله بدوره عن المادة 2024 من التقنين الفرنسي</w:t>
      </w:r>
      <w:r>
        <w:rPr>
          <w:rFonts w:hint="cs"/>
          <w:color w:val="000000"/>
          <w:rtl/>
          <w:lang w:bidi="ar-EG"/>
        </w:rPr>
        <w:t xml:space="preserve"> ،</w:t>
      </w:r>
      <w:r w:rsidRPr="00315653">
        <w:rPr>
          <w:rFonts w:hint="cs"/>
          <w:color w:val="000000"/>
          <w:rtl/>
          <w:lang w:bidi="ar-EG"/>
        </w:rPr>
        <w:t xml:space="preserve"> وحكمها </w:t>
      </w:r>
      <w:r w:rsidRPr="00315653">
        <w:rPr>
          <w:rFonts w:hint="cs"/>
          <w:color w:val="000000"/>
          <w:rtl/>
          <w:lang w:bidi="ar-EG"/>
        </w:rPr>
        <w:lastRenderedPageBreak/>
        <w:t>مجرد تطبيق للقواعد العامة في المسئولية</w:t>
      </w:r>
      <w:r>
        <w:rPr>
          <w:rFonts w:hint="cs"/>
          <w:color w:val="000000"/>
          <w:vertAlign w:val="superscript"/>
          <w:rtl/>
          <w:lang w:bidi="ar-EG"/>
        </w:rPr>
        <w:t xml:space="preserve">( </w:t>
      </w:r>
      <w:r w:rsidRPr="00315653">
        <w:rPr>
          <w:rStyle w:val="ab"/>
          <w:color w:val="000000"/>
          <w:rtl/>
          <w:lang w:bidi="ar-EG"/>
        </w:rPr>
        <w:footnoteReference w:id="301"/>
      </w:r>
      <w:r>
        <w:rPr>
          <w:rFonts w:hint="cs"/>
          <w:color w:val="000000"/>
          <w:vertAlign w:val="superscript"/>
          <w:rtl/>
          <w:lang w:bidi="ar-EG"/>
        </w:rPr>
        <w:t xml:space="preserve"> )</w:t>
      </w:r>
      <w:r w:rsidRPr="00315653">
        <w:rPr>
          <w:rFonts w:hint="cs"/>
          <w:color w:val="000000"/>
          <w:rtl/>
          <w:lang w:bidi="ar-EG"/>
        </w:rPr>
        <w:t>"</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إذا اتخذ الدائن في الوقت المناسب إجراءات التنفيذ على أموال المدين التي دل عليها الكفل</w:t>
      </w:r>
      <w:r>
        <w:rPr>
          <w:rFonts w:hint="cs"/>
          <w:color w:val="000000"/>
          <w:rtl/>
          <w:lang w:bidi="ar-EG"/>
        </w:rPr>
        <w:t xml:space="preserve"> ،</w:t>
      </w:r>
      <w:r w:rsidRPr="00315653">
        <w:rPr>
          <w:rFonts w:hint="cs"/>
          <w:color w:val="000000"/>
          <w:rtl/>
          <w:lang w:bidi="ar-EG"/>
        </w:rPr>
        <w:t xml:space="preserve"> فالغالب أنه يحصل من هذا التنفيذ على حقه كاملا</w:t>
      </w:r>
      <w:r>
        <w:rPr>
          <w:rFonts w:hint="cs"/>
          <w:color w:val="000000"/>
          <w:rtl/>
          <w:lang w:bidi="ar-EG"/>
        </w:rPr>
        <w:t xml:space="preserve"> ،</w:t>
      </w:r>
      <w:r w:rsidRPr="00315653">
        <w:rPr>
          <w:rFonts w:hint="cs"/>
          <w:color w:val="000000"/>
          <w:rtl/>
          <w:lang w:bidi="ar-EG"/>
        </w:rPr>
        <w:t xml:space="preserve"> لأن المفروض أن الكفيل قد دل على أموال للمدين تفي بالدين كاملا</w:t>
      </w:r>
      <w:r>
        <w:rPr>
          <w:rFonts w:hint="cs"/>
          <w:color w:val="000000"/>
          <w:rtl/>
          <w:lang w:bidi="ar-EG"/>
        </w:rPr>
        <w:t xml:space="preserve"> ،</w:t>
      </w:r>
      <w:r w:rsidRPr="00315653">
        <w:rPr>
          <w:rFonts w:hint="cs"/>
          <w:color w:val="000000"/>
          <w:rtl/>
          <w:lang w:bidi="ar-EG"/>
        </w:rPr>
        <w:t xml:space="preserve"> ومن ثم تبرأ ذمة الكفيل بعد أن استوفى الدائن حقه من أموال المدين</w:t>
      </w:r>
      <w:r>
        <w:rPr>
          <w:rFonts w:hint="cs"/>
          <w:color w:val="000000"/>
          <w:rtl/>
          <w:lang w:bidi="ar-EG"/>
        </w:rPr>
        <w:t xml:space="preserve"> .</w:t>
      </w:r>
      <w:r w:rsidRPr="00315653">
        <w:rPr>
          <w:rFonts w:hint="cs"/>
          <w:color w:val="000000"/>
          <w:rtl/>
          <w:lang w:bidi="ar-EG"/>
        </w:rPr>
        <w:t xml:space="preserve"> ولكن قد يقع عند تنفيذ الدائن على هذه الأموال ألا يحصل الدائن على حقه كاملا</w:t>
      </w:r>
      <w:r>
        <w:rPr>
          <w:rFonts w:hint="cs"/>
          <w:color w:val="000000"/>
          <w:rtl/>
          <w:lang w:bidi="ar-EG"/>
        </w:rPr>
        <w:t xml:space="preserve"> ،</w:t>
      </w:r>
      <w:r w:rsidRPr="00315653">
        <w:rPr>
          <w:rFonts w:hint="cs"/>
          <w:color w:val="000000"/>
          <w:rtl/>
          <w:lang w:bidi="ar-EG"/>
        </w:rPr>
        <w:t xml:space="preserve"> فقد تنخفض قيمة هذه الأموال عند التنفيذ عليها</w:t>
      </w:r>
      <w:r>
        <w:rPr>
          <w:rFonts w:hint="cs"/>
          <w:color w:val="000000"/>
          <w:rtl/>
          <w:lang w:bidi="ar-EG"/>
        </w:rPr>
        <w:t xml:space="preserve"> ،</w:t>
      </w:r>
      <w:r w:rsidRPr="00315653">
        <w:rPr>
          <w:rFonts w:hint="cs"/>
          <w:color w:val="000000"/>
          <w:rtl/>
          <w:lang w:bidi="ar-EG"/>
        </w:rPr>
        <w:t xml:space="preserve"> أو يظهر دائنون عاديون للمدين يزاحمون الدائن</w:t>
      </w:r>
      <w:r>
        <w:rPr>
          <w:rFonts w:hint="cs"/>
          <w:color w:val="000000"/>
          <w:rtl/>
          <w:lang w:bidi="ar-EG"/>
        </w:rPr>
        <w:t xml:space="preserve"> ،</w:t>
      </w:r>
      <w:r w:rsidRPr="00315653">
        <w:rPr>
          <w:rFonts w:hint="cs"/>
          <w:color w:val="000000"/>
          <w:rtl/>
          <w:lang w:bidi="ar-EG"/>
        </w:rPr>
        <w:t xml:space="preserve"> أو يتضح أن المحكمة قد قدرت هذه الأموال بأكثر من قيمتها</w:t>
      </w:r>
      <w:r>
        <w:rPr>
          <w:rFonts w:hint="cs"/>
          <w:color w:val="000000"/>
          <w:rtl/>
          <w:lang w:bidi="ar-EG"/>
        </w:rPr>
        <w:t xml:space="preserve"> .</w:t>
      </w:r>
      <w:r w:rsidRPr="00315653">
        <w:rPr>
          <w:rFonts w:hint="cs"/>
          <w:color w:val="000000"/>
          <w:rtl/>
          <w:lang w:bidi="ar-EG"/>
        </w:rPr>
        <w:t xml:space="preserve"> ففي هذه الأحوال لا تبرأ ذمة الكفل إلا بمقدار ما حصل الدائن عليه من حقه نتيجة للتنفيذ على الأموال</w:t>
      </w:r>
      <w:r>
        <w:rPr>
          <w:rFonts w:hint="cs"/>
          <w:color w:val="000000"/>
          <w:rtl/>
          <w:lang w:bidi="ar-EG"/>
        </w:rPr>
        <w:t xml:space="preserve"> ،</w:t>
      </w:r>
      <w:r w:rsidRPr="00315653">
        <w:rPr>
          <w:rFonts w:hint="cs"/>
          <w:color w:val="000000"/>
          <w:rtl/>
          <w:lang w:bidi="ar-EG"/>
        </w:rPr>
        <w:t xml:space="preserve"> ويرجع الدائن بالباقي من حقه على الكفيل</w:t>
      </w:r>
      <w:r>
        <w:rPr>
          <w:rFonts w:hint="cs"/>
          <w:color w:val="000000"/>
          <w:vertAlign w:val="superscript"/>
          <w:rtl/>
          <w:lang w:bidi="ar-EG"/>
        </w:rPr>
        <w:t xml:space="preserve">( </w:t>
      </w:r>
      <w:r w:rsidRPr="00315653">
        <w:rPr>
          <w:rStyle w:val="ab"/>
          <w:color w:val="000000"/>
          <w:rtl/>
          <w:lang w:bidi="ar-EG"/>
        </w:rPr>
        <w:footnoteReference w:id="30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الدائن أن يثبت أنه نفذ على جميع الأموال التي $129 دل عليها الدائن</w:t>
      </w:r>
      <w:r>
        <w:rPr>
          <w:rFonts w:hint="cs"/>
          <w:color w:val="000000"/>
          <w:rtl/>
          <w:lang w:bidi="ar-EG"/>
        </w:rPr>
        <w:t xml:space="preserve"> ،</w:t>
      </w:r>
      <w:r w:rsidRPr="00315653">
        <w:rPr>
          <w:rFonts w:hint="cs"/>
          <w:color w:val="000000"/>
          <w:rtl/>
          <w:lang w:bidi="ar-EG"/>
        </w:rPr>
        <w:t xml:space="preserve"> وأنه لم يحصل من هذا التنفيذ على حقه كاملا</w:t>
      </w:r>
      <w:r>
        <w:rPr>
          <w:rFonts w:hint="cs"/>
          <w:color w:val="000000"/>
          <w:rtl/>
          <w:lang w:bidi="ar-EG"/>
        </w:rPr>
        <w:t xml:space="preserve"> ،</w:t>
      </w:r>
      <w:r w:rsidRPr="00315653">
        <w:rPr>
          <w:rFonts w:hint="cs"/>
          <w:color w:val="000000"/>
          <w:rtl/>
          <w:lang w:bidi="ar-EG"/>
        </w:rPr>
        <w:t xml:space="preserve"> ويثبت ذلك عادة بمحاضر الحجز ومحاضر عدل الوجود</w:t>
      </w:r>
      <w:r>
        <w:rPr>
          <w:rFonts w:hint="cs"/>
          <w:color w:val="000000"/>
          <w:vertAlign w:val="superscript"/>
          <w:rtl/>
          <w:lang w:bidi="ar-EG"/>
        </w:rPr>
        <w:t xml:space="preserve">( </w:t>
      </w:r>
      <w:r w:rsidRPr="00315653">
        <w:rPr>
          <w:rStyle w:val="ab"/>
          <w:color w:val="000000"/>
          <w:rtl/>
          <w:lang w:bidi="ar-EG"/>
        </w:rPr>
        <w:footnoteReference w:id="30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50- صورة خاصة للدفع بالتجريد</w:t>
      </w:r>
      <w:r>
        <w:rPr>
          <w:rFonts w:hint="cs"/>
          <w:b/>
          <w:bCs/>
          <w:color w:val="000000"/>
          <w:rtl/>
          <w:lang w:bidi="ar-EG"/>
        </w:rPr>
        <w:t xml:space="preserve"> :</w:t>
      </w:r>
      <w:r w:rsidRPr="00315653">
        <w:rPr>
          <w:rFonts w:hint="cs"/>
          <w:b/>
          <w:bCs/>
          <w:color w:val="000000"/>
          <w:rtl/>
          <w:lang w:bidi="ar-EG"/>
        </w:rPr>
        <w:t xml:space="preserve"> دفع بتجريد التأمين العيني قبل التنفيذ على أموال الكفيل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7891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"إذا كان هناك تأمين عيني خصص قانوناً أو اتفاقاً لضمان الدين</w:t>
      </w:r>
      <w:r>
        <w:rPr>
          <w:rFonts w:hint="cs"/>
          <w:color w:val="000000"/>
          <w:rtl/>
          <w:lang w:bidi="ar-EG"/>
        </w:rPr>
        <w:t xml:space="preserve"> ،</w:t>
      </w:r>
      <w:r w:rsidRPr="00315653">
        <w:rPr>
          <w:rFonts w:hint="cs"/>
          <w:color w:val="000000"/>
          <w:rtl/>
          <w:lang w:bidi="ar-EG"/>
        </w:rPr>
        <w:t xml:space="preserve"> وقدمت كفالة بعد هذا التأمين أو معه</w:t>
      </w:r>
      <w:r>
        <w:rPr>
          <w:rFonts w:hint="cs"/>
          <w:color w:val="000000"/>
          <w:rtl/>
          <w:lang w:bidi="ar-EG"/>
        </w:rPr>
        <w:t xml:space="preserve"> ،</w:t>
      </w:r>
      <w:r w:rsidRPr="00315653">
        <w:rPr>
          <w:rFonts w:hint="cs"/>
          <w:color w:val="000000"/>
          <w:rtl/>
          <w:lang w:bidi="ar-EG"/>
        </w:rPr>
        <w:t xml:space="preserve"> ولم يكن الكفيل متضامناً مع المدين</w:t>
      </w:r>
      <w:r>
        <w:rPr>
          <w:rFonts w:hint="cs"/>
          <w:color w:val="000000"/>
          <w:rtl/>
          <w:lang w:bidi="ar-EG"/>
        </w:rPr>
        <w:t xml:space="preserve"> ،</w:t>
      </w:r>
      <w:r w:rsidRPr="00315653">
        <w:rPr>
          <w:rFonts w:hint="cs"/>
          <w:color w:val="000000"/>
          <w:rtl/>
          <w:lang w:bidi="ar-EG"/>
        </w:rPr>
        <w:t xml:space="preserve"> فلا يجوز التنفيذ على أموال الكفيل إلا بعد التنفيذ على الأموال التي خصصت لهذا التأمين"</w:t>
      </w:r>
      <w:r>
        <w:rPr>
          <w:rFonts w:hint="cs"/>
          <w:color w:val="000000"/>
          <w:vertAlign w:val="superscript"/>
          <w:rtl/>
          <w:lang w:bidi="ar-EG"/>
        </w:rPr>
        <w:t xml:space="preserve">( </w:t>
      </w:r>
      <w:r w:rsidRPr="00315653">
        <w:rPr>
          <w:rStyle w:val="ab"/>
          <w:color w:val="000000"/>
          <w:rtl/>
          <w:lang w:bidi="ar-EG"/>
        </w:rPr>
        <w:footnoteReference w:id="30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$130 والمفروض أن هناك تأميناً عينياً على مال للمدين يضمن نفس الدين</w:t>
      </w:r>
      <w:r>
        <w:rPr>
          <w:rFonts w:hint="cs"/>
          <w:color w:val="000000"/>
          <w:rtl/>
          <w:lang w:bidi="ar-EG"/>
        </w:rPr>
        <w:t xml:space="preserve"> ،</w:t>
      </w:r>
      <w:r w:rsidRPr="00315653">
        <w:rPr>
          <w:rFonts w:hint="cs"/>
          <w:color w:val="000000"/>
          <w:rtl/>
          <w:lang w:bidi="ar-EG"/>
        </w:rPr>
        <w:t xml:space="preserve"> فيجوز للكفيل غير المتضامن مع المدين أن يطلب التنفيذ على هذا التأمين العيني قبل التنفيذ على أمواله هو</w:t>
      </w:r>
      <w:r>
        <w:rPr>
          <w:rFonts w:hint="cs"/>
          <w:color w:val="000000"/>
          <w:rtl/>
          <w:lang w:bidi="ar-EG"/>
        </w:rPr>
        <w:t xml:space="preserve"> ،</w:t>
      </w:r>
      <w:r w:rsidRPr="00315653">
        <w:rPr>
          <w:rFonts w:hint="cs"/>
          <w:color w:val="000000"/>
          <w:rtl/>
          <w:lang w:bidi="ar-EG"/>
        </w:rPr>
        <w:t xml:space="preserve"> وذلك إذا كان قد اعتمد على هذا التأمين العيني بأن كفل المدين والتأمين العيني موجود</w:t>
      </w:r>
      <w:r>
        <w:rPr>
          <w:rFonts w:hint="cs"/>
          <w:color w:val="000000"/>
          <w:rtl/>
          <w:lang w:bidi="ar-EG"/>
        </w:rPr>
        <w:t xml:space="preserve"> ،</w:t>
      </w:r>
      <w:r w:rsidRPr="00315653">
        <w:rPr>
          <w:rFonts w:hint="cs"/>
          <w:color w:val="000000"/>
          <w:rtl/>
          <w:lang w:bidi="ar-EG"/>
        </w:rPr>
        <w:t xml:space="preserve"> أي كفله بعد هذا التأمين أو معه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والمقصود بالتأمين مال للمدين</w:t>
      </w:r>
      <w:r>
        <w:rPr>
          <w:rFonts w:hint="cs"/>
          <w:color w:val="000000"/>
          <w:rtl/>
          <w:lang w:bidi="ar-EG"/>
        </w:rPr>
        <w:t xml:space="preserve"> ،</w:t>
      </w:r>
      <w:r w:rsidRPr="00315653">
        <w:rPr>
          <w:rFonts w:hint="cs"/>
          <w:color w:val="000000"/>
          <w:rtl/>
          <w:lang w:bidi="ar-EG"/>
        </w:rPr>
        <w:t xml:space="preserve"> عقار أو منقول</w:t>
      </w:r>
      <w:r>
        <w:rPr>
          <w:rFonts w:hint="cs"/>
          <w:color w:val="000000"/>
          <w:rtl/>
          <w:lang w:bidi="ar-EG"/>
        </w:rPr>
        <w:t xml:space="preserve"> ،</w:t>
      </w:r>
      <w:r w:rsidRPr="00315653">
        <w:rPr>
          <w:rFonts w:hint="cs"/>
          <w:color w:val="000000"/>
          <w:rtl/>
          <w:lang w:bidi="ar-EG"/>
        </w:rPr>
        <w:t xml:space="preserve"> يكون مرهوناً رهناً رسمياً أو رهناً حيازياً في الدين</w:t>
      </w:r>
      <w:r>
        <w:rPr>
          <w:rFonts w:hint="cs"/>
          <w:color w:val="000000"/>
          <w:rtl/>
          <w:lang w:bidi="ar-EG"/>
        </w:rPr>
        <w:t xml:space="preserve"> ،</w:t>
      </w:r>
      <w:r w:rsidRPr="00315653">
        <w:rPr>
          <w:rFonts w:hint="cs"/>
          <w:color w:val="000000"/>
          <w:rtl/>
          <w:lang w:bidi="ar-EG"/>
        </w:rPr>
        <w:t xml:space="preserve"> أو عليه حق اختصاص ا حق امتياز ضماناً للدين</w:t>
      </w:r>
      <w:r>
        <w:rPr>
          <w:rFonts w:hint="cs"/>
          <w:color w:val="000000"/>
          <w:rtl/>
          <w:lang w:bidi="ar-EG"/>
        </w:rPr>
        <w:t xml:space="preserve"> .</w:t>
      </w:r>
      <w:r w:rsidRPr="00315653">
        <w:rPr>
          <w:rFonts w:hint="cs"/>
          <w:color w:val="000000"/>
          <w:rtl/>
          <w:lang w:bidi="ar-EG"/>
        </w:rPr>
        <w:t xml:space="preserve"> وإذا كان النص يقول</w:t>
      </w:r>
      <w:r>
        <w:rPr>
          <w:rFonts w:hint="cs"/>
          <w:color w:val="000000"/>
          <w:rtl/>
          <w:lang w:bidi="ar-EG"/>
        </w:rPr>
        <w:t xml:space="preserve"> :</w:t>
      </w:r>
      <w:r w:rsidRPr="00315653">
        <w:rPr>
          <w:rFonts w:hint="cs"/>
          <w:color w:val="000000"/>
          <w:rtl/>
          <w:lang w:bidi="ar-EG"/>
        </w:rPr>
        <w:t xml:space="preserve"> "إذا كان هناك تأمين عيني خصص قانوناً أو اتفاقاً لضمان الدين"</w:t>
      </w:r>
      <w:r>
        <w:rPr>
          <w:rFonts w:hint="cs"/>
          <w:color w:val="000000"/>
          <w:rtl/>
          <w:lang w:bidi="ar-EG"/>
        </w:rPr>
        <w:t xml:space="preserve"> ،</w:t>
      </w:r>
      <w:r w:rsidRPr="00315653">
        <w:rPr>
          <w:rFonts w:hint="cs"/>
          <w:color w:val="000000"/>
          <w:rtl/>
          <w:lang w:bidi="ar-EG"/>
        </w:rPr>
        <w:t xml:space="preserve"> فاقتصر على تأمين عنين مصدره القانون أو الاتفاق</w:t>
      </w:r>
      <w:r>
        <w:rPr>
          <w:rFonts w:hint="cs"/>
          <w:color w:val="000000"/>
          <w:rtl/>
          <w:lang w:bidi="ar-EG"/>
        </w:rPr>
        <w:t xml:space="preserve"> ،</w:t>
      </w:r>
      <w:r w:rsidRPr="00315653">
        <w:rPr>
          <w:rFonts w:hint="cs"/>
          <w:color w:val="000000"/>
          <w:rtl/>
          <w:lang w:bidi="ar-EG"/>
        </w:rPr>
        <w:t xml:space="preserve"> فإنه لا يجب استبعاد حق الاختصاص ويؤخذ بموجب حكم قضائي لا بالقانون ولا بالاتفاق</w:t>
      </w:r>
      <w:r>
        <w:rPr>
          <w:rFonts w:hint="cs"/>
          <w:color w:val="000000"/>
          <w:rtl/>
          <w:lang w:bidi="ar-EG"/>
        </w:rPr>
        <w:t xml:space="preserve"> ،</w:t>
      </w:r>
      <w:r w:rsidRPr="00315653">
        <w:rPr>
          <w:rFonts w:hint="cs"/>
          <w:color w:val="000000"/>
          <w:rtl/>
          <w:lang w:bidi="ar-EG"/>
        </w:rPr>
        <w:t xml:space="preserve"> لأن أحكام الرهن الرسمي تسري على حق الاختصاص</w:t>
      </w:r>
      <w:r>
        <w:rPr>
          <w:rFonts w:hint="cs"/>
          <w:color w:val="000000"/>
          <w:vertAlign w:val="superscript"/>
          <w:rtl/>
          <w:lang w:bidi="ar-EG"/>
        </w:rPr>
        <w:t xml:space="preserve">( </w:t>
      </w:r>
      <w:r w:rsidRPr="00315653">
        <w:rPr>
          <w:rStyle w:val="ab"/>
          <w:color w:val="000000"/>
          <w:rtl/>
          <w:lang w:bidi="ar-EG"/>
        </w:rPr>
        <w:footnoteReference w:id="30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يجب استبعاد المال الذي يباشر عليه الدائن الحق في الحبس</w:t>
      </w:r>
      <w:r>
        <w:rPr>
          <w:rFonts w:hint="cs"/>
          <w:color w:val="000000"/>
          <w:rtl/>
          <w:lang w:bidi="ar-EG"/>
        </w:rPr>
        <w:t xml:space="preserve"> ،</w:t>
      </w:r>
      <w:r w:rsidRPr="00315653">
        <w:rPr>
          <w:rFonts w:hint="cs"/>
          <w:color w:val="000000"/>
          <w:rtl/>
          <w:lang w:bidi="ar-EG"/>
        </w:rPr>
        <w:t xml:space="preserve"> لأن الحق في الحبس ليس بتأمين عيني</w:t>
      </w:r>
      <w:r>
        <w:rPr>
          <w:rFonts w:hint="cs"/>
          <w:color w:val="000000"/>
          <w:vertAlign w:val="superscript"/>
          <w:rtl/>
          <w:lang w:bidi="ar-EG"/>
        </w:rPr>
        <w:t xml:space="preserve">( </w:t>
      </w:r>
      <w:r w:rsidRPr="00315653">
        <w:rPr>
          <w:rStyle w:val="ab"/>
          <w:color w:val="000000"/>
          <w:rtl/>
          <w:lang w:bidi="ar-EG"/>
        </w:rPr>
        <w:footnoteReference w:id="30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وظاهر نص المادة 791 مدني سالف الذكر لا يشترط أن يكون التأمين العيني مقرراً على مال مملوك للمدين</w:t>
      </w:r>
      <w:r>
        <w:rPr>
          <w:rFonts w:hint="cs"/>
          <w:color w:val="000000"/>
          <w:rtl/>
          <w:lang w:bidi="ar-EG"/>
        </w:rPr>
        <w:t xml:space="preserve"> ،</w:t>
      </w:r>
      <w:r w:rsidRPr="00315653">
        <w:rPr>
          <w:rFonts w:hint="cs"/>
          <w:color w:val="000000"/>
          <w:rtl/>
          <w:lang w:bidi="ar-EG"/>
        </w:rPr>
        <w:t xml:space="preserve"> بل يقتصر النص على القول بأنه "إذا كان هناك تأمين عيني"</w:t>
      </w:r>
      <w:r>
        <w:rPr>
          <w:rFonts w:hint="cs"/>
          <w:color w:val="000000"/>
          <w:rtl/>
          <w:lang w:bidi="ar-EG"/>
        </w:rPr>
        <w:t xml:space="preserve"> .</w:t>
      </w:r>
      <w:r w:rsidRPr="00315653">
        <w:rPr>
          <w:rFonts w:hint="cs"/>
          <w:color w:val="000000"/>
          <w:rtl/>
          <w:lang w:bidi="ar-EG"/>
        </w:rPr>
        <w:t xml:space="preserve"> ولكن النص</w:t>
      </w:r>
      <w:r>
        <w:rPr>
          <w:rFonts w:hint="cs"/>
          <w:color w:val="000000"/>
          <w:rtl/>
          <w:lang w:bidi="ar-EG"/>
        </w:rPr>
        <w:t xml:space="preserve"> ،</w:t>
      </w:r>
      <w:r w:rsidRPr="00315653">
        <w:rPr>
          <w:rFonts w:hint="cs"/>
          <w:color w:val="000000"/>
          <w:rtl/>
          <w:lang w:bidi="ar-EG"/>
        </w:rPr>
        <w:t xml:space="preserve"> كما تقول المذكرة الإيضاحية للمشروع التمهيدي</w:t>
      </w:r>
      <w:r>
        <w:rPr>
          <w:rFonts w:hint="cs"/>
          <w:color w:val="000000"/>
          <w:rtl/>
          <w:lang w:bidi="ar-EG"/>
        </w:rPr>
        <w:t xml:space="preserve"> ،</w:t>
      </w:r>
      <w:r w:rsidRPr="00315653">
        <w:rPr>
          <w:rFonts w:hint="cs"/>
          <w:color w:val="000000"/>
          <w:rtl/>
          <w:lang w:bidi="ar-EG"/>
        </w:rPr>
        <w:t xml:space="preserve"> مأخوذ من المادة 495/2 التزامات سويسري والمادة $131 772/2 مدني ألماني</w:t>
      </w:r>
      <w:r>
        <w:rPr>
          <w:rFonts w:hint="cs"/>
          <w:color w:val="000000"/>
          <w:vertAlign w:val="superscript"/>
          <w:rtl/>
          <w:lang w:bidi="ar-EG"/>
        </w:rPr>
        <w:t xml:space="preserve">( </w:t>
      </w:r>
      <w:r w:rsidRPr="00315653">
        <w:rPr>
          <w:rStyle w:val="ab"/>
          <w:color w:val="000000"/>
          <w:rtl/>
          <w:lang w:bidi="ar-EG"/>
        </w:rPr>
        <w:footnoteReference w:id="30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وكلا النصين يتحدث عن تأمين عيني على مال للمدين</w:t>
      </w:r>
      <w:r>
        <w:rPr>
          <w:rFonts w:hint="cs"/>
          <w:color w:val="000000"/>
          <w:vertAlign w:val="superscript"/>
          <w:rtl/>
          <w:lang w:bidi="ar-EG"/>
        </w:rPr>
        <w:t xml:space="preserve">( </w:t>
      </w:r>
      <w:r w:rsidRPr="00315653">
        <w:rPr>
          <w:rStyle w:val="ab"/>
          <w:color w:val="000000"/>
          <w:rtl/>
          <w:lang w:bidi="ar-EG"/>
        </w:rPr>
        <w:footnoteReference w:id="30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فنص المادة 495/2 التزامات سويسري يجري على الوجه الآتي</w:t>
      </w:r>
      <w:r>
        <w:rPr>
          <w:rFonts w:hint="cs"/>
          <w:color w:val="000000"/>
          <w:rtl/>
          <w:lang w:bidi="ar-EG"/>
        </w:rPr>
        <w:t xml:space="preserve"> :</w:t>
      </w:r>
      <w:r w:rsidRPr="00315653">
        <w:rPr>
          <w:rFonts w:hint="cs"/>
          <w:color w:val="000000"/>
          <w:rtl/>
          <w:lang w:bidi="ar-EG"/>
        </w:rPr>
        <w:t xml:space="preserve"> "وإذا حصل الدائن على رهون </w:t>
      </w:r>
      <w:r w:rsidRPr="00315653">
        <w:rPr>
          <w:rFonts w:hint="cs"/>
          <w:color w:val="000000"/>
          <w:rtl/>
          <w:lang w:bidi="ar-EG"/>
        </w:rPr>
        <w:lastRenderedPageBreak/>
        <w:t>حيازية تأميناً لحقه</w:t>
      </w:r>
      <w:r>
        <w:rPr>
          <w:rFonts w:hint="cs"/>
          <w:color w:val="000000"/>
          <w:rtl/>
          <w:lang w:bidi="ar-EG"/>
        </w:rPr>
        <w:t xml:space="preserve"> ،</w:t>
      </w:r>
      <w:r w:rsidRPr="00315653">
        <w:rPr>
          <w:rFonts w:hint="cs"/>
          <w:color w:val="000000"/>
          <w:rtl/>
          <w:lang w:bidi="ar-EG"/>
        </w:rPr>
        <w:t xml:space="preserve"> قبل الكفالة أو في نفس الوقت</w:t>
      </w:r>
      <w:r>
        <w:rPr>
          <w:rFonts w:hint="cs"/>
          <w:color w:val="000000"/>
          <w:rtl/>
          <w:lang w:bidi="ar-EG"/>
        </w:rPr>
        <w:t xml:space="preserve"> ،</w:t>
      </w:r>
      <w:r w:rsidRPr="00315653">
        <w:rPr>
          <w:rFonts w:hint="cs"/>
          <w:color w:val="000000"/>
          <w:rtl/>
          <w:lang w:bidi="ar-EG"/>
        </w:rPr>
        <w:t xml:space="preserve"> فإن الكفيل البسيط يستطيع أن يقتضي استيفاء الدائن لحقه من هذه الرهون أولا</w:t>
      </w:r>
      <w:r>
        <w:rPr>
          <w:rFonts w:hint="cs"/>
          <w:color w:val="000000"/>
          <w:rtl/>
          <w:lang w:bidi="ar-EG"/>
        </w:rPr>
        <w:t xml:space="preserve"> ،</w:t>
      </w:r>
      <w:r w:rsidRPr="00315653">
        <w:rPr>
          <w:rFonts w:hint="cs"/>
          <w:color w:val="000000"/>
          <w:rtl/>
          <w:lang w:bidi="ar-EG"/>
        </w:rPr>
        <w:t xml:space="preserve"> إلا إذا كان المدين في حالة إفلاس أو كانت الرهون لا يمكن تحققها بغير إفلاس المدين</w:t>
      </w:r>
      <w:r>
        <w:rPr>
          <w:rFonts w:hint="cs"/>
          <w:color w:val="000000"/>
          <w:rtl/>
          <w:lang w:bidi="ar-EG"/>
        </w:rPr>
        <w:t xml:space="preserve"> ) .</w:t>
      </w:r>
      <w:r w:rsidRPr="00315653">
        <w:rPr>
          <w:rFonts w:hint="cs"/>
          <w:color w:val="000000"/>
          <w:rtl/>
          <w:lang w:bidi="ar-EG"/>
        </w:rPr>
        <w:t xml:space="preserve"> ونص المادة 772/2 ألماني تجري على الوجه الآتي</w:t>
      </w:r>
      <w:r>
        <w:rPr>
          <w:rFonts w:hint="cs"/>
          <w:color w:val="000000"/>
          <w:rtl/>
          <w:lang w:bidi="ar-EG"/>
        </w:rPr>
        <w:t xml:space="preserve"> :</w:t>
      </w:r>
      <w:r w:rsidRPr="00315653">
        <w:rPr>
          <w:rFonts w:hint="cs"/>
          <w:color w:val="000000"/>
          <w:rtl/>
          <w:lang w:bidi="ar-EG"/>
        </w:rPr>
        <w:t xml:space="preserve"> "إذا كان للدائن حق رهن حيازي أو حق حبس على منقول </w:t>
      </w:r>
      <w:r w:rsidRPr="00315653">
        <w:rPr>
          <w:rFonts w:hint="cs"/>
          <w:color w:val="000000"/>
          <w:u w:val="single"/>
          <w:rtl/>
          <w:lang w:bidi="ar-EG"/>
        </w:rPr>
        <w:t>مملوك للمدين الأصلي</w:t>
      </w:r>
      <w:r>
        <w:rPr>
          <w:rFonts w:hint="cs"/>
          <w:color w:val="000000"/>
          <w:rtl/>
          <w:lang w:bidi="ar-EG"/>
        </w:rPr>
        <w:t xml:space="preserve"> ،</w:t>
      </w:r>
      <w:r w:rsidRPr="00315653">
        <w:rPr>
          <w:rFonts w:hint="cs"/>
          <w:color w:val="000000"/>
          <w:rtl/>
          <w:lang w:bidi="ar-EG"/>
        </w:rPr>
        <w:t xml:space="preserve"> وجب عليه أن يستوفي حقه الأول من هذا المنقول</w:t>
      </w:r>
      <w:r>
        <w:rPr>
          <w:rFonts w:hint="cs"/>
          <w:color w:val="000000"/>
          <w:rtl/>
          <w:lang w:bidi="ar-EG"/>
        </w:rPr>
        <w:t xml:space="preserve"> .</w:t>
      </w:r>
      <w:r w:rsidRPr="00315653">
        <w:rPr>
          <w:rFonts w:hint="cs"/>
          <w:color w:val="000000"/>
          <w:rtl/>
          <w:lang w:bidi="ar-EG"/>
        </w:rPr>
        <w:t xml:space="preserve"> فإن القاعدة السابقة لا تنطبق إلا إذا كانت قيمة الشيء تغطي الدينين معاً"</w:t>
      </w:r>
      <w:r>
        <w:rPr>
          <w:rFonts w:hint="cs"/>
          <w:color w:val="000000"/>
          <w:vertAlign w:val="superscript"/>
          <w:rtl/>
          <w:lang w:bidi="ar-EG"/>
        </w:rPr>
        <w:t xml:space="preserve">( </w:t>
      </w:r>
      <w:r w:rsidRPr="00315653">
        <w:rPr>
          <w:rStyle w:val="ab"/>
          <w:color w:val="000000"/>
          <w:rtl/>
          <w:lang w:bidi="ar-EG"/>
        </w:rPr>
        <w:footnoteReference w:id="30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ولا يشترط في التأمين العيني أن يكون قد خصص لضمان الدين المكفول $132 وحده</w:t>
      </w:r>
      <w:r>
        <w:rPr>
          <w:rFonts w:hint="cs"/>
          <w:color w:val="000000"/>
          <w:rtl/>
          <w:lang w:bidi="ar-EG"/>
        </w:rPr>
        <w:t xml:space="preserve"> ،</w:t>
      </w:r>
      <w:r w:rsidRPr="00315653">
        <w:rPr>
          <w:rFonts w:hint="cs"/>
          <w:color w:val="000000"/>
          <w:rtl/>
          <w:lang w:bidi="ar-EG"/>
        </w:rPr>
        <w:t xml:space="preserve"> بل يجوز أن يضمن ديوناً أخرى معه</w:t>
      </w:r>
      <w:r>
        <w:rPr>
          <w:rFonts w:hint="cs"/>
          <w:color w:val="000000"/>
          <w:rtl/>
          <w:lang w:bidi="ar-EG"/>
        </w:rPr>
        <w:t xml:space="preserve"> ،</w:t>
      </w:r>
      <w:r w:rsidRPr="00315653">
        <w:rPr>
          <w:rFonts w:hint="cs"/>
          <w:color w:val="000000"/>
          <w:rtl/>
          <w:lang w:bidi="ar-EG"/>
        </w:rPr>
        <w:t xml:space="preserve"> كما تقول المذكرة الإيضاحية للمشروع التمهيدي</w:t>
      </w:r>
      <w:r>
        <w:rPr>
          <w:rFonts w:hint="cs"/>
          <w:color w:val="000000"/>
          <w:vertAlign w:val="superscript"/>
          <w:rtl/>
          <w:lang w:bidi="ar-EG"/>
        </w:rPr>
        <w:t xml:space="preserve">( </w:t>
      </w:r>
      <w:r w:rsidRPr="00315653">
        <w:rPr>
          <w:rStyle w:val="ab"/>
          <w:color w:val="000000"/>
          <w:rtl/>
          <w:lang w:bidi="ar-EG"/>
        </w:rPr>
        <w:footnoteReference w:id="31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وظاهر أن هذه هي صورة خاصة للدفع بالتجريد</w:t>
      </w:r>
      <w:r>
        <w:rPr>
          <w:rFonts w:hint="cs"/>
          <w:color w:val="000000"/>
          <w:vertAlign w:val="superscript"/>
          <w:rtl/>
          <w:lang w:bidi="ar-EG"/>
        </w:rPr>
        <w:t xml:space="preserve">( </w:t>
      </w:r>
      <w:r w:rsidRPr="00315653">
        <w:rPr>
          <w:rStyle w:val="ab"/>
          <w:color w:val="000000"/>
          <w:rtl/>
          <w:lang w:bidi="ar-EG"/>
        </w:rPr>
        <w:footnoteReference w:id="31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فالكفيل هنا يطلب من الدائن أن ينفذ على التأمين العيني المخصص لضمان الدين قبل التنفيذ على أمواله هو</w:t>
      </w:r>
      <w:r>
        <w:rPr>
          <w:rFonts w:hint="cs"/>
          <w:color w:val="000000"/>
          <w:rtl/>
          <w:lang w:bidi="ar-EG"/>
        </w:rPr>
        <w:t xml:space="preserve"> ،</w:t>
      </w:r>
      <w:r w:rsidRPr="00315653">
        <w:rPr>
          <w:rFonts w:hint="cs"/>
          <w:color w:val="000000"/>
          <w:rtl/>
          <w:lang w:bidi="ar-EG"/>
        </w:rPr>
        <w:t xml:space="preserve"> أي أنه يطلب تجريد التأمين العيني الذي قدمه المدين أولا</w:t>
      </w:r>
      <w:r>
        <w:rPr>
          <w:rFonts w:hint="cs"/>
          <w:color w:val="000000"/>
          <w:rtl/>
          <w:lang w:bidi="ar-EG"/>
        </w:rPr>
        <w:t xml:space="preserve"> .</w:t>
      </w:r>
      <w:r w:rsidRPr="00315653">
        <w:rPr>
          <w:rFonts w:hint="cs"/>
          <w:color w:val="000000"/>
          <w:rtl/>
          <w:lang w:bidi="ar-EG"/>
        </w:rPr>
        <w:t xml:space="preserve"> على أن الكفيل كان له أن يطلب تجريد المدين من أمواله كما سبق القول</w:t>
      </w:r>
      <w:r>
        <w:rPr>
          <w:rFonts w:hint="cs"/>
          <w:color w:val="000000"/>
          <w:rtl/>
          <w:lang w:bidi="ar-EG"/>
        </w:rPr>
        <w:t xml:space="preserve"> ،</w:t>
      </w:r>
      <w:r w:rsidRPr="00315653">
        <w:rPr>
          <w:rFonts w:hint="cs"/>
          <w:color w:val="000000"/>
          <w:rtl/>
          <w:lang w:bidi="ar-EG"/>
        </w:rPr>
        <w:t xml:space="preserve"> ولكن هذا التجريد في صورته العامة يشترط فيه أن يدل الكفيل على مال للمدين يكفي للوفاء بالدين كله كما رأينا</w:t>
      </w:r>
      <w:r>
        <w:rPr>
          <w:rFonts w:hint="cs"/>
          <w:color w:val="000000"/>
          <w:rtl/>
          <w:lang w:bidi="ar-EG"/>
        </w:rPr>
        <w:t xml:space="preserve"> .</w:t>
      </w:r>
      <w:r w:rsidRPr="00315653">
        <w:rPr>
          <w:rFonts w:hint="cs"/>
          <w:color w:val="000000"/>
          <w:rtl/>
          <w:lang w:bidi="ar-EG"/>
        </w:rPr>
        <w:t xml:space="preserve"> أما هنا حيث قدم المدين تأميناً عينياًن فلا يشترط في هذه الصورة الخاصة من التجريد أن يكون التامين العيني كافياً للوفاء بالدين كله</w:t>
      </w:r>
      <w:r>
        <w:rPr>
          <w:rFonts w:hint="cs"/>
          <w:color w:val="000000"/>
          <w:rtl/>
          <w:lang w:bidi="ar-EG"/>
        </w:rPr>
        <w:t xml:space="preserve"> .</w:t>
      </w:r>
      <w:r w:rsidRPr="00315653">
        <w:rPr>
          <w:rFonts w:hint="cs"/>
          <w:color w:val="000000"/>
          <w:rtl/>
          <w:lang w:bidi="ar-EG"/>
        </w:rPr>
        <w:t xml:space="preserve"> فحتى لو لم يكن هذا التأمين كافياً</w:t>
      </w:r>
      <w:r>
        <w:rPr>
          <w:rFonts w:hint="cs"/>
          <w:color w:val="000000"/>
          <w:rtl/>
          <w:lang w:bidi="ar-EG"/>
        </w:rPr>
        <w:t xml:space="preserve"> ،</w:t>
      </w:r>
      <w:r w:rsidRPr="00315653">
        <w:rPr>
          <w:rFonts w:hint="cs"/>
          <w:color w:val="000000"/>
          <w:rtl/>
          <w:lang w:bidi="ar-EG"/>
        </w:rPr>
        <w:t xml:space="preserve"> فإنه يجوز للكفيل أن يطلب من الدائن تجرد هذا التأمين العيني واستيفاء جزء من حقه</w:t>
      </w:r>
      <w:r>
        <w:rPr>
          <w:rFonts w:hint="cs"/>
          <w:color w:val="000000"/>
          <w:rtl/>
          <w:lang w:bidi="ar-EG"/>
        </w:rPr>
        <w:t xml:space="preserve"> ،</w:t>
      </w:r>
      <w:r w:rsidRPr="00315653">
        <w:rPr>
          <w:rFonts w:hint="cs"/>
          <w:color w:val="000000"/>
          <w:rtl/>
          <w:lang w:bidi="ar-EG"/>
        </w:rPr>
        <w:t xml:space="preserve"> وما بقي من الدين يستوفيه الدائن من الكفيل</w:t>
      </w:r>
      <w:r>
        <w:rPr>
          <w:rFonts w:hint="cs"/>
          <w:color w:val="000000"/>
          <w:rtl/>
          <w:lang w:bidi="ar-EG"/>
        </w:rPr>
        <w:t xml:space="preserve"> .</w:t>
      </w:r>
      <w:r w:rsidRPr="00315653">
        <w:rPr>
          <w:rFonts w:hint="cs"/>
          <w:color w:val="000000"/>
          <w:rtl/>
          <w:lang w:bidi="ar-EG"/>
        </w:rPr>
        <w:t xml:space="preserve"> ولكن يبدو أن للكفيل في هذه الحالة أن يدفع بالتجريد في صورته العامة</w:t>
      </w:r>
      <w:r>
        <w:rPr>
          <w:rFonts w:hint="cs"/>
          <w:color w:val="000000"/>
          <w:rtl/>
          <w:lang w:bidi="ar-EG"/>
        </w:rPr>
        <w:t xml:space="preserve"> ،</w:t>
      </w:r>
      <w:r w:rsidRPr="00315653">
        <w:rPr>
          <w:rFonts w:hint="cs"/>
          <w:color w:val="000000"/>
          <w:rtl/>
          <w:lang w:bidi="ar-EG"/>
        </w:rPr>
        <w:t xml:space="preserve"> فيطلب من الدائن عندما يرجع هذا على الكفيل بما يبقى من الدين</w:t>
      </w:r>
      <w:r>
        <w:rPr>
          <w:rFonts w:hint="cs"/>
          <w:color w:val="000000"/>
          <w:rtl/>
          <w:lang w:bidi="ar-EG"/>
        </w:rPr>
        <w:t xml:space="preserve"> ،</w:t>
      </w:r>
      <w:r w:rsidRPr="00315653">
        <w:rPr>
          <w:rFonts w:hint="cs"/>
          <w:color w:val="000000"/>
          <w:rtl/>
          <w:lang w:bidi="ar-EG"/>
        </w:rPr>
        <w:t xml:space="preserve"> أن ينفذ على بقية أموال المدين غير المال الذي قدمه المدين تأميناً عينياً</w:t>
      </w:r>
      <w:r>
        <w:rPr>
          <w:rFonts w:hint="cs"/>
          <w:color w:val="000000"/>
          <w:rtl/>
          <w:lang w:bidi="ar-EG"/>
        </w:rPr>
        <w:t xml:space="preserve"> .</w:t>
      </w:r>
      <w:r w:rsidRPr="00315653">
        <w:rPr>
          <w:rFonts w:hint="cs"/>
          <w:color w:val="000000"/>
          <w:rtl/>
          <w:lang w:bidi="ar-EG"/>
        </w:rPr>
        <w:t xml:space="preserve"> ويشترط لذلك أن يدل الكفيل على أموال أخرى للمدين تكون كافية للوفاء بكل الباقي من الدين</w:t>
      </w:r>
      <w:r>
        <w:rPr>
          <w:rFonts w:hint="cs"/>
          <w:color w:val="000000"/>
          <w:rtl/>
          <w:lang w:bidi="ar-EG"/>
        </w:rPr>
        <w:t xml:space="preserve"> ،</w:t>
      </w:r>
      <w:r w:rsidRPr="00315653">
        <w:rPr>
          <w:rFonts w:hint="cs"/>
          <w:color w:val="000000"/>
          <w:rtl/>
          <w:lang w:bidi="ar-EG"/>
        </w:rPr>
        <w:t xml:space="preserve"> وإلا نفذ الدائن بالباقي م الدين على أموال الكفيل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وقد قدمنا أن هذه الصورة الخاصة من الدفع بالتجريد ترجع إلى أن التأمين العيني الذي قدمه المدين</w:t>
      </w:r>
      <w:r>
        <w:rPr>
          <w:rFonts w:hint="cs"/>
          <w:color w:val="000000"/>
          <w:rtl/>
          <w:lang w:bidi="ar-EG"/>
        </w:rPr>
        <w:t xml:space="preserve"> ،</w:t>
      </w:r>
      <w:r w:rsidRPr="00315653">
        <w:rPr>
          <w:rFonts w:hint="cs"/>
          <w:color w:val="000000"/>
          <w:rtl/>
          <w:lang w:bidi="ar-EG"/>
        </w:rPr>
        <w:t xml:space="preserve"> وقد كان سابقاً على الكفالة أو معاصراً لها كما ذكرنا</w:t>
      </w:r>
      <w:r>
        <w:rPr>
          <w:rFonts w:hint="cs"/>
          <w:color w:val="000000"/>
          <w:rtl/>
          <w:lang w:bidi="ar-EG"/>
        </w:rPr>
        <w:t xml:space="preserve"> ،</w:t>
      </w:r>
      <w:r w:rsidRPr="00315653">
        <w:rPr>
          <w:rFonts w:hint="cs"/>
          <w:color w:val="000000"/>
          <w:rtl/>
          <w:lang w:bidi="ar-EG"/>
        </w:rPr>
        <w:t xml:space="preserve"> قد اعتمد عليه الكفيل في كفالته للمدين</w:t>
      </w:r>
      <w:r>
        <w:rPr>
          <w:rFonts w:hint="cs"/>
          <w:color w:val="000000"/>
          <w:rtl/>
          <w:lang w:bidi="ar-EG"/>
        </w:rPr>
        <w:t xml:space="preserve"> ،</w:t>
      </w:r>
      <w:r w:rsidRPr="00315653">
        <w:rPr>
          <w:rFonts w:hint="cs"/>
          <w:color w:val="000000"/>
          <w:rtl/>
          <w:lang w:bidi="ar-EG"/>
        </w:rPr>
        <w:t xml:space="preserve"> فمن حقه أن يطلب من الدائن أن ينفذ أولا </w:t>
      </w:r>
      <w:r w:rsidRPr="00315653">
        <w:rPr>
          <w:rFonts w:hint="cs"/>
          <w:color w:val="000000"/>
          <w:rtl/>
          <w:lang w:bidi="ar-EG"/>
        </w:rPr>
        <w:lastRenderedPageBreak/>
        <w:t>على هذا التأمين العيني قبل أن ينفذ على أمواله</w:t>
      </w:r>
      <w:r>
        <w:rPr>
          <w:rFonts w:hint="cs"/>
          <w:color w:val="000000"/>
          <w:rtl/>
          <w:lang w:bidi="ar-EG"/>
        </w:rPr>
        <w:t xml:space="preserve"> .</w:t>
      </w:r>
      <w:r w:rsidRPr="00315653">
        <w:rPr>
          <w:rFonts w:hint="cs"/>
          <w:color w:val="000000"/>
          <w:rtl/>
          <w:lang w:bidi="ar-EG"/>
        </w:rPr>
        <w:t xml:space="preserve"> وقد رأينا</w:t>
      </w:r>
      <w:r>
        <w:rPr>
          <w:rFonts w:hint="cs"/>
          <w:color w:val="000000"/>
          <w:vertAlign w:val="superscript"/>
          <w:rtl/>
          <w:lang w:bidi="ar-EG"/>
        </w:rPr>
        <w:t xml:space="preserve">( </w:t>
      </w:r>
      <w:r w:rsidRPr="00315653">
        <w:rPr>
          <w:rStyle w:val="ab"/>
          <w:color w:val="000000"/>
          <w:rtl/>
          <w:lang w:bidi="ar-EG"/>
        </w:rPr>
        <w:footnoteReference w:id="31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أن المادة 489 مرافعات</w:t>
      </w:r>
      <w:r>
        <w:rPr>
          <w:rFonts w:hint="cs"/>
          <w:color w:val="000000"/>
          <w:vertAlign w:val="superscript"/>
          <w:rtl/>
          <w:lang w:bidi="ar-EG"/>
        </w:rPr>
        <w:t xml:space="preserve">( </w:t>
      </w:r>
      <w:r w:rsidRPr="00315653">
        <w:rPr>
          <w:rStyle w:val="ab"/>
          <w:color w:val="000000"/>
          <w:rtl/>
          <w:lang w:bidi="ar-EG"/>
        </w:rPr>
        <w:footnoteReference w:id="313"/>
      </w:r>
      <w:r>
        <w:rPr>
          <w:rFonts w:hint="cs"/>
          <w:color w:val="000000"/>
          <w:vertAlign w:val="superscript"/>
          <w:rtl/>
          <w:lang w:bidi="ar-EG"/>
        </w:rPr>
        <w:t xml:space="preserve"> )</w:t>
      </w:r>
      <w:r w:rsidRPr="00315653">
        <w:rPr>
          <w:rFonts w:hint="cs"/>
          <w:color w:val="000000"/>
          <w:rtl/>
          <w:lang w:bidi="ar-EG"/>
        </w:rPr>
        <w:t xml:space="preserve"> تنص على أنه "لا يجوز للدائن أن يتخذ $133 إجراءات التنفيذ  على مال للمدين لم يخصص لوفاء حقه إلا إذا كان ما خصص للوفاء غير كافٍ </w:t>
      </w:r>
      <w:r>
        <w:rPr>
          <w:rFonts w:hint="cs"/>
          <w:color w:val="000000"/>
          <w:rtl/>
          <w:lang w:bidi="ar-EG"/>
        </w:rPr>
        <w:t xml:space="preserve"> . . .</w:t>
      </w:r>
      <w:r w:rsidRPr="00315653">
        <w:rPr>
          <w:rFonts w:hint="cs"/>
          <w:color w:val="000000"/>
          <w:rtl/>
          <w:lang w:bidi="ar-EG"/>
        </w:rPr>
        <w:t>"</w:t>
      </w:r>
      <w:r>
        <w:rPr>
          <w:rFonts w:hint="cs"/>
          <w:color w:val="000000"/>
          <w:rtl/>
          <w:lang w:bidi="ar-EG"/>
        </w:rPr>
        <w:t xml:space="preserve"> .</w:t>
      </w:r>
      <w:r w:rsidRPr="00315653">
        <w:rPr>
          <w:rFonts w:hint="cs"/>
          <w:color w:val="000000"/>
          <w:rtl/>
          <w:lang w:bidi="ar-EG"/>
        </w:rPr>
        <w:t xml:space="preserve"> ومعنى ذلك أنه إذ قدم المدين تأميناً عينياً على مال خصصه للوفاء بالدين</w:t>
      </w:r>
      <w:r>
        <w:rPr>
          <w:rFonts w:hint="cs"/>
          <w:color w:val="000000"/>
          <w:rtl/>
          <w:lang w:bidi="ar-EG"/>
        </w:rPr>
        <w:t xml:space="preserve"> ،</w:t>
      </w:r>
      <w:r w:rsidRPr="00315653">
        <w:rPr>
          <w:rFonts w:hint="cs"/>
          <w:color w:val="000000"/>
          <w:rtl/>
          <w:lang w:bidi="ar-EG"/>
        </w:rPr>
        <w:t xml:space="preserve"> فله أن يطلب من الدائن أن ينفذ أولا على هذا المال المخصص للوفاء بالدين قبل أن ينفذ على سائر أمواله</w:t>
      </w:r>
      <w:r>
        <w:rPr>
          <w:rFonts w:hint="cs"/>
          <w:color w:val="000000"/>
          <w:rtl/>
          <w:lang w:bidi="ar-EG"/>
        </w:rPr>
        <w:t xml:space="preserve"> .</w:t>
      </w:r>
      <w:r w:rsidRPr="00315653">
        <w:rPr>
          <w:rFonts w:hint="cs"/>
          <w:color w:val="000000"/>
          <w:rtl/>
          <w:lang w:bidi="ar-EG"/>
        </w:rPr>
        <w:t xml:space="preserve"> فأولى أن يطلب الكفيل ذلك أسوة بالمدين</w:t>
      </w:r>
      <w:r>
        <w:rPr>
          <w:rFonts w:hint="cs"/>
          <w:color w:val="000000"/>
          <w:rtl/>
          <w:lang w:bidi="ar-EG"/>
        </w:rPr>
        <w:t xml:space="preserve"> ،</w:t>
      </w:r>
      <w:r w:rsidRPr="00315653">
        <w:rPr>
          <w:rFonts w:hint="cs"/>
          <w:color w:val="000000"/>
          <w:rtl/>
          <w:lang w:bidi="ar-EG"/>
        </w:rPr>
        <w:t xml:space="preserve"> فيطالب الدائن أن ينفذ أولا على المال الذي خصصه المدين للوفاء بالدين قبل أن ينفذ على أموال المدين</w:t>
      </w:r>
      <w:r>
        <w:rPr>
          <w:rFonts w:hint="cs"/>
          <w:color w:val="000000"/>
          <w:vertAlign w:val="superscript"/>
          <w:rtl/>
          <w:lang w:bidi="ar-EG"/>
        </w:rPr>
        <w:t xml:space="preserve">( </w:t>
      </w:r>
      <w:r w:rsidRPr="00315653">
        <w:rPr>
          <w:rStyle w:val="ab"/>
          <w:color w:val="000000"/>
          <w:rtl/>
          <w:lang w:bidi="ar-EG"/>
        </w:rPr>
        <w:footnoteReference w:id="31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وهذه هي نفس الصورة الخاصة من الدفع بالتجريد التي نحن بصددها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ويخلص مما قدمناه أن هناك شروطاً لتطبيق المادة 791 مدني سالفة الذكر يمكن تلخيصها فيما يأتي</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أن يكون هناك تأمين عيني قدمه المدين لضمان دينه</w:t>
      </w:r>
      <w:r>
        <w:rPr>
          <w:rFonts w:hint="cs"/>
          <w:color w:val="000000"/>
          <w:rtl/>
          <w:lang w:bidi="ar-EG"/>
        </w:rPr>
        <w:t xml:space="preserve"> ،</w:t>
      </w:r>
      <w:r w:rsidRPr="00315653">
        <w:rPr>
          <w:rFonts w:hint="cs"/>
          <w:color w:val="000000"/>
          <w:rtl/>
          <w:lang w:bidi="ar-EG"/>
        </w:rPr>
        <w:t xml:space="preserve"> ويستوي أن يكون هذا التأمين على عقار أو على منقول</w:t>
      </w:r>
      <w:r>
        <w:rPr>
          <w:rFonts w:hint="cs"/>
          <w:color w:val="000000"/>
          <w:rtl/>
          <w:lang w:bidi="ar-EG"/>
        </w:rPr>
        <w:t xml:space="preserve"> ،</w:t>
      </w:r>
      <w:r w:rsidRPr="00315653">
        <w:rPr>
          <w:rFonts w:hint="cs"/>
          <w:color w:val="000000"/>
          <w:rtl/>
          <w:lang w:bidi="ar-EG"/>
        </w:rPr>
        <w:t xml:space="preserve"> مخصصاً لضمان الدين المكفول وحده أو لضمان ديون أخرى معه</w:t>
      </w:r>
      <w:r>
        <w:rPr>
          <w:rFonts w:hint="cs"/>
          <w:color w:val="000000"/>
          <w:rtl/>
          <w:lang w:bidi="ar-EG"/>
        </w:rPr>
        <w:t xml:space="preserve"> .</w:t>
      </w:r>
      <w:r w:rsidRPr="00315653">
        <w:rPr>
          <w:rFonts w:hint="cs"/>
          <w:color w:val="000000"/>
          <w:rtl/>
          <w:lang w:bidi="ar-EG"/>
        </w:rPr>
        <w:t xml:space="preserve"> ويستوي كذلك أن يكون هذا التأمين العيني كافياً للوفاء بالدين</w:t>
      </w:r>
      <w:r>
        <w:rPr>
          <w:rFonts w:hint="cs"/>
          <w:color w:val="000000"/>
          <w:rtl/>
          <w:lang w:bidi="ar-EG"/>
        </w:rPr>
        <w:t xml:space="preserve"> ،</w:t>
      </w:r>
      <w:r w:rsidRPr="00315653">
        <w:rPr>
          <w:rFonts w:hint="cs"/>
          <w:color w:val="000000"/>
          <w:rtl/>
          <w:lang w:bidi="ar-EG"/>
        </w:rPr>
        <w:t xml:space="preserve"> أو غير كافٍ للوفاء به</w:t>
      </w:r>
      <w:r>
        <w:rPr>
          <w:rFonts w:hint="cs"/>
          <w:color w:val="000000"/>
          <w:rtl/>
          <w:lang w:bidi="ar-EG"/>
        </w:rPr>
        <w:t xml:space="preserve"> .</w:t>
      </w:r>
      <w:r w:rsidRPr="00315653">
        <w:rPr>
          <w:rFonts w:hint="cs"/>
          <w:color w:val="000000"/>
          <w:rtl/>
          <w:lang w:bidi="ar-EG"/>
        </w:rPr>
        <w:t xml:space="preserve"> ويشمل التأمين العيني الرهن الرسمي وحق الاختصاص والرهن الحيازي وحق الامتياز</w:t>
      </w:r>
      <w:r>
        <w:rPr>
          <w:rFonts w:hint="cs"/>
          <w:color w:val="000000"/>
          <w:rtl/>
          <w:lang w:bidi="ar-EG"/>
        </w:rPr>
        <w:t xml:space="preserve"> ،</w:t>
      </w:r>
      <w:r w:rsidRPr="00315653">
        <w:rPr>
          <w:rFonts w:hint="cs"/>
          <w:color w:val="000000"/>
          <w:rtl/>
          <w:lang w:bidi="ar-EG"/>
        </w:rPr>
        <w:t xml:space="preserve"> ولا يشمل الحق في الحبس</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أن يكون هذا التأمين العيني قد قدمه المدين قبل قعد الكفالة</w:t>
      </w:r>
      <w:r>
        <w:rPr>
          <w:rFonts w:hint="cs"/>
          <w:color w:val="000000"/>
          <w:rtl/>
          <w:lang w:bidi="ar-EG"/>
        </w:rPr>
        <w:t xml:space="preserve"> ،</w:t>
      </w:r>
      <w:r w:rsidRPr="00315653">
        <w:rPr>
          <w:rFonts w:hint="cs"/>
          <w:color w:val="000000"/>
          <w:rtl/>
          <w:lang w:bidi="ar-EG"/>
        </w:rPr>
        <w:t xml:space="preserve"> أو معاصراً لها</w:t>
      </w:r>
      <w:r>
        <w:rPr>
          <w:rFonts w:hint="cs"/>
          <w:color w:val="000000"/>
          <w:rtl/>
          <w:lang w:bidi="ar-EG"/>
        </w:rPr>
        <w:t xml:space="preserve"> .</w:t>
      </w:r>
      <w:r w:rsidRPr="00315653">
        <w:rPr>
          <w:rFonts w:hint="cs"/>
          <w:color w:val="000000"/>
          <w:rtl/>
          <w:lang w:bidi="ar-EG"/>
        </w:rPr>
        <w:t xml:space="preserve"> ولا يصح أن يكون متأخراً عن عقد الكفالة</w:t>
      </w:r>
      <w:r>
        <w:rPr>
          <w:rFonts w:hint="cs"/>
          <w:color w:val="000000"/>
          <w:rtl/>
          <w:lang w:bidi="ar-EG"/>
        </w:rPr>
        <w:t xml:space="preserve"> ،</w:t>
      </w:r>
      <w:r w:rsidRPr="00315653">
        <w:rPr>
          <w:rFonts w:hint="cs"/>
          <w:color w:val="000000"/>
          <w:rtl/>
          <w:lang w:bidi="ar-EG"/>
        </w:rPr>
        <w:t xml:space="preserve"> لأن الكفيل إنما يعتمد على تأمين عيني سبق كفالته أو عاصرها ولكنه لا يعتمد على تأمين عيني تقرر متأخراً عنها</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أن يكون الكفيل غير متضامن مع المدين</w:t>
      </w:r>
      <w:r>
        <w:rPr>
          <w:rFonts w:hint="cs"/>
          <w:color w:val="000000"/>
          <w:rtl/>
          <w:lang w:bidi="ar-EG"/>
        </w:rPr>
        <w:t xml:space="preserve"> ،</w:t>
      </w:r>
      <w:r w:rsidRPr="00315653">
        <w:rPr>
          <w:rFonts w:hint="cs"/>
          <w:color w:val="000000"/>
          <w:rtl/>
          <w:lang w:bidi="ar-EG"/>
        </w:rPr>
        <w:t xml:space="preserve"> وإلا وجب تطبيق أحكام التضامن</w:t>
      </w:r>
      <w:r>
        <w:rPr>
          <w:rFonts w:hint="cs"/>
          <w:color w:val="000000"/>
          <w:rtl/>
          <w:lang w:bidi="ar-EG"/>
        </w:rPr>
        <w:t xml:space="preserve"> ،</w:t>
      </w:r>
      <w:r w:rsidRPr="00315653">
        <w:rPr>
          <w:rFonts w:hint="cs"/>
          <w:color w:val="000000"/>
          <w:rtl/>
          <w:lang w:bidi="ar-EG"/>
        </w:rPr>
        <w:t xml:space="preserve"> فيجوز الرجوع على الكفل قبل الرجوع على المدين في التأمين العيني الذي قدمه وفي سائر أمواله</w:t>
      </w:r>
      <w:r>
        <w:rPr>
          <w:rFonts w:hint="cs"/>
          <w:color w:val="000000"/>
          <w:rtl/>
          <w:lang w:bidi="ar-EG"/>
        </w:rPr>
        <w:t xml:space="preserve"> .</w:t>
      </w:r>
      <w:r w:rsidRPr="00315653">
        <w:rPr>
          <w:rFonts w:hint="cs"/>
          <w:color w:val="000000"/>
          <w:rtl/>
          <w:lang w:bidi="ar-EG"/>
        </w:rPr>
        <w:t xml:space="preserve"> ويجب كذلك ألا يكون الكفيل قد نزل عن حقه في مطالبة الدائن بالتنفيذ أولا على المال الذي ترتب عليه التأمين العيني</w:t>
      </w:r>
      <w:r>
        <w:rPr>
          <w:rFonts w:hint="cs"/>
          <w:color w:val="000000"/>
          <w:rtl/>
          <w:lang w:bidi="ar-EG"/>
        </w:rPr>
        <w:t xml:space="preserve"> ،</w:t>
      </w:r>
      <w:r w:rsidRPr="00315653">
        <w:rPr>
          <w:rFonts w:hint="cs"/>
          <w:color w:val="000000"/>
          <w:rtl/>
          <w:lang w:bidi="ar-EG"/>
        </w:rPr>
        <w:t xml:space="preserve"> وقد سبق بيان هذا الشرط عند الكلام في حق التجريد بوجه عام</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أن يتمسك الكفيل بوجوب تنفيذ الدائن أولا على المال الذي ترتب عليه التأمين العيني</w:t>
      </w:r>
      <w:r>
        <w:rPr>
          <w:rFonts w:hint="cs"/>
          <w:color w:val="000000"/>
          <w:rtl/>
          <w:lang w:bidi="ar-EG"/>
        </w:rPr>
        <w:t xml:space="preserve"> ،</w:t>
      </w:r>
      <w:r w:rsidRPr="00315653">
        <w:rPr>
          <w:rFonts w:hint="cs"/>
          <w:color w:val="000000"/>
          <w:rtl/>
          <w:lang w:bidi="ar-EG"/>
        </w:rPr>
        <w:t xml:space="preserve"> فلا يجوز للمحكمة أن تقضي بذلك من تلقاء نفسها</w:t>
      </w:r>
      <w:r>
        <w:rPr>
          <w:rFonts w:hint="cs"/>
          <w:color w:val="000000"/>
          <w:rtl/>
          <w:lang w:bidi="ar-EG"/>
        </w:rPr>
        <w:t xml:space="preserve"> .</w:t>
      </w:r>
      <w:r w:rsidRPr="00315653">
        <w:rPr>
          <w:rFonts w:hint="cs"/>
          <w:color w:val="000000"/>
          <w:rtl/>
          <w:lang w:bidi="ar-EG"/>
        </w:rPr>
        <w:t xml:space="preserve"> وقد سبق بيان هذا الشرط أيضاً عند الكلام في حق التجريد بوجه عام</w:t>
      </w:r>
      <w:r>
        <w:rPr>
          <w:rFonts w:hint="cs"/>
          <w:color w:val="000000"/>
          <w:vertAlign w:val="superscript"/>
          <w:rtl/>
          <w:lang w:bidi="ar-EG"/>
        </w:rPr>
        <w:t xml:space="preserve">( </w:t>
      </w:r>
      <w:r w:rsidRPr="00315653">
        <w:rPr>
          <w:rStyle w:val="ab"/>
          <w:color w:val="000000"/>
          <w:rtl/>
          <w:lang w:bidi="ar-EG"/>
        </w:rPr>
        <w:footnoteReference w:id="31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$134</w:t>
      </w:r>
      <w:r w:rsidRPr="00315653">
        <w:rPr>
          <w:rFonts w:hint="cs"/>
          <w:b/>
          <w:bCs/>
          <w:color w:val="000000"/>
          <w:rtl/>
          <w:lang w:bidi="ar-EG"/>
        </w:rPr>
        <w:t xml:space="preserve"> 51- ما يلتزم به الدائن عند استيفائه الدين من الكفيل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787 مدني على ما يأتي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 يلتزم الدائن بأن يسلم للكفيل</w:t>
      </w:r>
      <w:r>
        <w:rPr>
          <w:rFonts w:hint="cs"/>
          <w:color w:val="000000"/>
          <w:rtl/>
          <w:lang w:bidi="ar-EG"/>
        </w:rPr>
        <w:t xml:space="preserve"> ،</w:t>
      </w:r>
      <w:r w:rsidRPr="00315653">
        <w:rPr>
          <w:rFonts w:hint="cs"/>
          <w:color w:val="000000"/>
          <w:rtl/>
          <w:lang w:bidi="ar-EG"/>
        </w:rPr>
        <w:t xml:space="preserve"> وقت وفائه الدين</w:t>
      </w:r>
      <w:r>
        <w:rPr>
          <w:rFonts w:hint="cs"/>
          <w:color w:val="000000"/>
          <w:rtl/>
          <w:lang w:bidi="ar-EG"/>
        </w:rPr>
        <w:t xml:space="preserve"> ،</w:t>
      </w:r>
      <w:r w:rsidRPr="00315653">
        <w:rPr>
          <w:rFonts w:hint="cs"/>
          <w:color w:val="000000"/>
          <w:rtl/>
          <w:lang w:bidi="ar-EG"/>
        </w:rPr>
        <w:t xml:space="preserve"> المستندات اللازمة لاستعمال حقه في الرجوع"</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 فإذا كان الدين مضموناً بمنقول مرهون أو محبوس</w:t>
      </w:r>
      <w:r>
        <w:rPr>
          <w:rFonts w:hint="cs"/>
          <w:color w:val="000000"/>
          <w:rtl/>
          <w:lang w:bidi="ar-EG"/>
        </w:rPr>
        <w:t xml:space="preserve"> ،</w:t>
      </w:r>
      <w:r w:rsidRPr="00315653">
        <w:rPr>
          <w:rFonts w:hint="cs"/>
          <w:color w:val="000000"/>
          <w:rtl/>
          <w:lang w:bidi="ar-EG"/>
        </w:rPr>
        <w:t xml:space="preserve"> وجب على الدائن أن يتخلى عنه الكفيل"</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"3- أما إذا كان الدين مضموناً بتأمين عقاري</w:t>
      </w:r>
      <w:r>
        <w:rPr>
          <w:rFonts w:hint="cs"/>
          <w:color w:val="000000"/>
          <w:rtl/>
          <w:lang w:bidi="ar-EG"/>
        </w:rPr>
        <w:t xml:space="preserve"> ،</w:t>
      </w:r>
      <w:r w:rsidRPr="00315653">
        <w:rPr>
          <w:rFonts w:hint="cs"/>
          <w:color w:val="000000"/>
          <w:rtl/>
          <w:lang w:bidi="ar-EG"/>
        </w:rPr>
        <w:t xml:space="preserve"> فإن الدائن يلتزم أن يقوم بالإجراءات اللازمة لنقل هذا التأمين</w:t>
      </w:r>
      <w:r>
        <w:rPr>
          <w:rFonts w:hint="cs"/>
          <w:color w:val="000000"/>
          <w:rtl/>
          <w:lang w:bidi="ar-EG"/>
        </w:rPr>
        <w:t xml:space="preserve"> ،</w:t>
      </w:r>
      <w:r w:rsidRPr="00315653">
        <w:rPr>
          <w:rFonts w:hint="cs"/>
          <w:color w:val="000000"/>
          <w:rtl/>
          <w:lang w:bidi="ar-EG"/>
        </w:rPr>
        <w:t xml:space="preserve"> ويتحمل الكفيل مصروفات النقل على أن يرجع بها على المدين"</w:t>
      </w:r>
      <w:r>
        <w:rPr>
          <w:rFonts w:hint="cs"/>
          <w:color w:val="000000"/>
          <w:vertAlign w:val="superscript"/>
          <w:rtl/>
          <w:lang w:bidi="ar-EG"/>
        </w:rPr>
        <w:t xml:space="preserve">( </w:t>
      </w:r>
      <w:r w:rsidRPr="00315653">
        <w:rPr>
          <w:rStyle w:val="ab"/>
          <w:color w:val="000000"/>
          <w:rtl/>
          <w:lang w:bidi="ar-EG"/>
        </w:rPr>
        <w:footnoteReference w:id="31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ويفترض هذا النص أن الكفيل لم ينجح في دفع دعوى الدائن أو لم يدفعها بدفع ما</w:t>
      </w:r>
      <w:r>
        <w:rPr>
          <w:rFonts w:hint="cs"/>
          <w:color w:val="000000"/>
          <w:rtl/>
          <w:lang w:bidi="ar-EG"/>
        </w:rPr>
        <w:t xml:space="preserve"> ،</w:t>
      </w:r>
      <w:r w:rsidRPr="00315653">
        <w:rPr>
          <w:rFonts w:hint="cs"/>
          <w:color w:val="000000"/>
          <w:rtl/>
          <w:lang w:bidi="ar-EG"/>
        </w:rPr>
        <w:t xml:space="preserve"> فحكم عليه بالدين</w:t>
      </w:r>
      <w:r>
        <w:rPr>
          <w:rFonts w:hint="cs"/>
          <w:color w:val="000000"/>
          <w:rtl/>
          <w:lang w:bidi="ar-EG"/>
        </w:rPr>
        <w:t xml:space="preserve"> ،</w:t>
      </w:r>
      <w:r w:rsidRPr="00315653">
        <w:rPr>
          <w:rFonts w:hint="cs"/>
          <w:color w:val="000000"/>
          <w:rtl/>
          <w:lang w:bidi="ar-EG"/>
        </w:rPr>
        <w:t xml:space="preserve"> أو أن الكفيل تقدم مختاراً للدائن دون دعوى ووفى الدين</w:t>
      </w:r>
      <w:r>
        <w:rPr>
          <w:rFonts w:hint="cs"/>
          <w:color w:val="000000"/>
          <w:rtl/>
          <w:lang w:bidi="ar-EG"/>
        </w:rPr>
        <w:t xml:space="preserve"> .</w:t>
      </w:r>
      <w:r w:rsidRPr="00315653">
        <w:rPr>
          <w:rFonts w:hint="cs"/>
          <w:color w:val="000000"/>
          <w:rtl/>
          <w:lang w:bidi="ar-EG"/>
        </w:rPr>
        <w:t xml:space="preserve"> ففي هذه الحالة</w:t>
      </w:r>
      <w:r>
        <w:rPr>
          <w:rFonts w:hint="cs"/>
          <w:color w:val="000000"/>
          <w:rtl/>
          <w:lang w:bidi="ar-EG"/>
        </w:rPr>
        <w:t xml:space="preserve"> ،</w:t>
      </w:r>
      <w:r w:rsidRPr="00315653">
        <w:rPr>
          <w:rFonts w:hint="cs"/>
          <w:color w:val="000000"/>
          <w:rtl/>
          <w:lang w:bidi="ar-EG"/>
        </w:rPr>
        <w:t xml:space="preserve"> يكون للكفيل الذي وفي عن المدين حق الرجوع على هذا الخير إما بالدعوى الشخصية أو بدعوى الحلول</w:t>
      </w:r>
      <w:r>
        <w:rPr>
          <w:rFonts w:hint="cs"/>
          <w:color w:val="000000"/>
          <w:rtl/>
          <w:lang w:bidi="ar-EG"/>
        </w:rPr>
        <w:t xml:space="preserve"> ،</w:t>
      </w:r>
      <w:r w:rsidRPr="00315653">
        <w:rPr>
          <w:rFonts w:hint="cs"/>
          <w:color w:val="000000"/>
          <w:rtl/>
          <w:lang w:bidi="ar-EG"/>
        </w:rPr>
        <w:t xml:space="preserve"> وسيأتي بيان $135 ذلك</w:t>
      </w:r>
      <w:r>
        <w:rPr>
          <w:rFonts w:hint="cs"/>
          <w:color w:val="000000"/>
          <w:rtl/>
          <w:lang w:bidi="ar-EG"/>
        </w:rPr>
        <w:t xml:space="preserve"> .</w:t>
      </w:r>
      <w:r w:rsidRPr="00315653">
        <w:rPr>
          <w:rFonts w:hint="cs"/>
          <w:color w:val="000000"/>
          <w:rtl/>
          <w:lang w:bidi="ar-EG"/>
        </w:rPr>
        <w:t xml:space="preserve"> وفي جميع الأحوال</w:t>
      </w:r>
      <w:r>
        <w:rPr>
          <w:rFonts w:hint="cs"/>
          <w:color w:val="000000"/>
          <w:rtl/>
          <w:lang w:bidi="ar-EG"/>
        </w:rPr>
        <w:t xml:space="preserve"> ،</w:t>
      </w:r>
      <w:r w:rsidRPr="00315653">
        <w:rPr>
          <w:rFonts w:hint="cs"/>
          <w:color w:val="000000"/>
          <w:rtl/>
          <w:lang w:bidi="ar-EG"/>
        </w:rPr>
        <w:t xml:space="preserve"> عند وفاء الكفيل بالدين للدائن</w:t>
      </w:r>
      <w:r>
        <w:rPr>
          <w:rFonts w:hint="cs"/>
          <w:color w:val="000000"/>
          <w:rtl/>
          <w:lang w:bidi="ar-EG"/>
        </w:rPr>
        <w:t xml:space="preserve"> ،</w:t>
      </w:r>
      <w:r w:rsidRPr="00315653">
        <w:rPr>
          <w:rFonts w:hint="cs"/>
          <w:color w:val="000000"/>
          <w:rtl/>
          <w:lang w:bidi="ar-EG"/>
        </w:rPr>
        <w:t xml:space="preserve"> يجب على هذا الأخير أن يمكنه بما يستطيع من الرجوع على المدين</w:t>
      </w:r>
      <w:r>
        <w:rPr>
          <w:rFonts w:hint="cs"/>
          <w:color w:val="000000"/>
          <w:rtl/>
          <w:lang w:bidi="ar-EG"/>
        </w:rPr>
        <w:t xml:space="preserve"> .</w:t>
      </w:r>
      <w:r w:rsidRPr="00315653">
        <w:rPr>
          <w:rFonts w:hint="cs"/>
          <w:color w:val="000000"/>
          <w:rtl/>
          <w:lang w:bidi="ar-EG"/>
        </w:rPr>
        <w:t xml:space="preserve"> ويكون ذلك عقب وفاء الكفيل بالدين</w:t>
      </w:r>
      <w:r>
        <w:rPr>
          <w:rFonts w:hint="cs"/>
          <w:color w:val="000000"/>
          <w:rtl/>
          <w:lang w:bidi="ar-EG"/>
        </w:rPr>
        <w:t xml:space="preserve"> ،</w:t>
      </w:r>
      <w:r w:rsidRPr="00315653">
        <w:rPr>
          <w:rFonts w:hint="cs"/>
          <w:color w:val="000000"/>
          <w:rtl/>
          <w:lang w:bidi="ar-EG"/>
        </w:rPr>
        <w:t xml:space="preserve"> إذا أظهر الدائن استعداده للقيام بالتزامه بمجرد استيفائه</w:t>
      </w:r>
      <w:r>
        <w:rPr>
          <w:rFonts w:hint="cs"/>
          <w:color w:val="000000"/>
          <w:rtl/>
          <w:lang w:bidi="ar-EG"/>
        </w:rPr>
        <w:t xml:space="preserve"> .</w:t>
      </w:r>
      <w:r w:rsidRPr="00315653">
        <w:rPr>
          <w:rFonts w:hint="cs"/>
          <w:color w:val="000000"/>
          <w:rtl/>
          <w:lang w:bidi="ar-EG"/>
        </w:rPr>
        <w:t xml:space="preserve"> فإذا آنس الكفيل من الدائن أنه غير مستعد للوفاء بالتزامه</w:t>
      </w:r>
      <w:r>
        <w:rPr>
          <w:rFonts w:hint="cs"/>
          <w:color w:val="000000"/>
          <w:rtl/>
          <w:lang w:bidi="ar-EG"/>
        </w:rPr>
        <w:t xml:space="preserve"> ،</w:t>
      </w:r>
      <w:r w:rsidRPr="00315653">
        <w:rPr>
          <w:rFonts w:hint="cs"/>
          <w:color w:val="000000"/>
          <w:rtl/>
          <w:lang w:bidi="ar-EG"/>
        </w:rPr>
        <w:t xml:space="preserve"> استطاع الكفيل</w:t>
      </w:r>
      <w:r>
        <w:rPr>
          <w:rFonts w:hint="cs"/>
          <w:color w:val="000000"/>
          <w:rtl/>
          <w:lang w:bidi="ar-EG"/>
        </w:rPr>
        <w:t xml:space="preserve"> ،</w:t>
      </w:r>
      <w:r w:rsidRPr="00315653">
        <w:rPr>
          <w:rFonts w:hint="cs"/>
          <w:color w:val="000000"/>
          <w:rtl/>
          <w:lang w:bidi="ar-EG"/>
        </w:rPr>
        <w:t xml:space="preserve"> بدلا من أن يوفي له الدين</w:t>
      </w:r>
      <w:r>
        <w:rPr>
          <w:rFonts w:hint="cs"/>
          <w:color w:val="000000"/>
          <w:rtl/>
          <w:lang w:bidi="ar-EG"/>
        </w:rPr>
        <w:t xml:space="preserve"> ،</w:t>
      </w:r>
      <w:r w:rsidRPr="00315653">
        <w:rPr>
          <w:rFonts w:hint="cs"/>
          <w:color w:val="000000"/>
          <w:rtl/>
          <w:lang w:bidi="ar-EG"/>
        </w:rPr>
        <w:t xml:space="preserve"> أن يودعه إيداعاً قضائياً طبقاً للقواعد المقررة لذلك</w:t>
      </w:r>
      <w:r>
        <w:rPr>
          <w:rFonts w:hint="cs"/>
          <w:color w:val="000000"/>
          <w:rtl/>
          <w:lang w:bidi="ar-EG"/>
        </w:rPr>
        <w:t xml:space="preserve"> ،</w:t>
      </w:r>
      <w:r w:rsidRPr="00315653">
        <w:rPr>
          <w:rFonts w:hint="cs"/>
          <w:color w:val="000000"/>
          <w:rtl/>
          <w:lang w:bidi="ar-EG"/>
        </w:rPr>
        <w:t xml:space="preserve"> وعند ذلك يستطيع بعد هذا الإيداع القضائي أن يرجع على المدين</w:t>
      </w:r>
      <w:r>
        <w:rPr>
          <w:rFonts w:hint="cs"/>
          <w:color w:val="000000"/>
          <w:rtl/>
          <w:lang w:bidi="ar-EG"/>
        </w:rPr>
        <w:t xml:space="preserve"> .</w:t>
      </w:r>
      <w:r w:rsidRPr="00315653">
        <w:rPr>
          <w:rFonts w:hint="cs"/>
          <w:color w:val="000000"/>
          <w:rtl/>
          <w:lang w:bidi="ar-EG"/>
        </w:rPr>
        <w:t xml:space="preserve"> وكل ذلك قياساً على ما نصت عليه المادة 349 مدني من أنه "1- لمن قام بوفاء جزء من الدين أن يطلب مخالصة بما وفاه مع التأشير على سند الدين بحصول هذا الوفاء</w:t>
      </w:r>
      <w:r>
        <w:rPr>
          <w:rFonts w:hint="cs"/>
          <w:color w:val="000000"/>
          <w:rtl/>
          <w:lang w:bidi="ar-EG"/>
        </w:rPr>
        <w:t xml:space="preserve"> .</w:t>
      </w:r>
      <w:r w:rsidRPr="00315653">
        <w:rPr>
          <w:rFonts w:hint="cs"/>
          <w:color w:val="000000"/>
          <w:rtl/>
          <w:lang w:bidi="ar-EG"/>
        </w:rPr>
        <w:t xml:space="preserve"> فإذا وفي الدين كله كان له أن يطلب سند الدين أو الغاءه</w:t>
      </w:r>
      <w:r>
        <w:rPr>
          <w:rFonts w:hint="cs"/>
          <w:color w:val="000000"/>
          <w:rtl/>
          <w:lang w:bidi="ar-EG"/>
        </w:rPr>
        <w:t xml:space="preserve"> ،</w:t>
      </w:r>
      <w:r w:rsidRPr="00315653">
        <w:rPr>
          <w:rFonts w:hint="cs"/>
          <w:color w:val="000000"/>
          <w:rtl/>
          <w:lang w:bidi="ar-EG"/>
        </w:rPr>
        <w:t xml:space="preserve"> فإن كان السند قد ضاع كان له أن يطلب من الدائن أن يقر كتابة بضياع السند</w:t>
      </w:r>
      <w:r>
        <w:rPr>
          <w:rFonts w:hint="cs"/>
          <w:color w:val="000000"/>
          <w:rtl/>
          <w:lang w:bidi="ar-EG"/>
        </w:rPr>
        <w:t xml:space="preserve"> .</w:t>
      </w:r>
      <w:r w:rsidRPr="00315653">
        <w:rPr>
          <w:rFonts w:hint="cs"/>
          <w:color w:val="000000"/>
          <w:rtl/>
          <w:lang w:bidi="ar-EG"/>
        </w:rPr>
        <w:t xml:space="preserve"> 2- فإذا رفض الدائن القيام بما فرته عليه الفقرة السابقة</w:t>
      </w:r>
      <w:r>
        <w:rPr>
          <w:rFonts w:hint="cs"/>
          <w:color w:val="000000"/>
          <w:rtl/>
          <w:lang w:bidi="ar-EG"/>
        </w:rPr>
        <w:t xml:space="preserve"> ،</w:t>
      </w:r>
      <w:r w:rsidRPr="00315653">
        <w:rPr>
          <w:rFonts w:hint="cs"/>
          <w:color w:val="000000"/>
          <w:rtl/>
          <w:lang w:bidi="ar-EG"/>
        </w:rPr>
        <w:t xml:space="preserve"> جاز للدائن أن يودع الشيء المستحق إيداعاً قضائياً"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والذي يلتزم به الدائن نحو الكفيل</w:t>
      </w:r>
      <w:r>
        <w:rPr>
          <w:rFonts w:hint="cs"/>
          <w:color w:val="000000"/>
          <w:rtl/>
          <w:lang w:bidi="ar-EG"/>
        </w:rPr>
        <w:t xml:space="preserve"> ،</w:t>
      </w:r>
      <w:r w:rsidRPr="00315653">
        <w:rPr>
          <w:rFonts w:hint="cs"/>
          <w:color w:val="000000"/>
          <w:rtl/>
          <w:lang w:bidi="ar-EG"/>
        </w:rPr>
        <w:t xml:space="preserve"> إذا وفي هذا الأخير الدين للأول</w:t>
      </w:r>
      <w:r>
        <w:rPr>
          <w:rFonts w:hint="cs"/>
          <w:color w:val="000000"/>
          <w:rtl/>
          <w:lang w:bidi="ar-EG"/>
        </w:rPr>
        <w:t xml:space="preserve"> ،</w:t>
      </w:r>
      <w:r w:rsidRPr="00315653">
        <w:rPr>
          <w:rFonts w:hint="cs"/>
          <w:color w:val="000000"/>
          <w:rtl/>
          <w:lang w:bidi="ar-EG"/>
        </w:rPr>
        <w:t xml:space="preserve"> هو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أولاً </w:t>
      </w:r>
      <w:r w:rsidRPr="00315653">
        <w:rPr>
          <w:color w:val="000000"/>
          <w:rtl/>
          <w:lang w:bidi="ar-EG"/>
        </w:rPr>
        <w:t>–</w:t>
      </w:r>
      <w:r w:rsidRPr="00315653">
        <w:rPr>
          <w:rFonts w:hint="cs"/>
          <w:color w:val="000000"/>
          <w:rtl/>
          <w:lang w:bidi="ar-EG"/>
        </w:rPr>
        <w:t xml:space="preserve"> أن يسلم الدائن للكفيل المستندات اللازمة لاستعمال حقه في الرجوع</w:t>
      </w:r>
      <w:r>
        <w:rPr>
          <w:rFonts w:hint="cs"/>
          <w:color w:val="000000"/>
          <w:rtl/>
          <w:lang w:bidi="ar-EG"/>
        </w:rPr>
        <w:t xml:space="preserve"> .</w:t>
      </w:r>
      <w:r w:rsidRPr="00315653">
        <w:rPr>
          <w:rFonts w:hint="cs"/>
          <w:color w:val="000000"/>
          <w:rtl/>
          <w:lang w:bidi="ar-EG"/>
        </w:rPr>
        <w:t xml:space="preserve"> ومن أهم هذه المستندات مستندات الدين المكفول وهي في يد الدائن فيجب أن يسلمها للكفيل حتى يرجع هذا بموجبها على المدين</w:t>
      </w:r>
      <w:r>
        <w:rPr>
          <w:rFonts w:hint="cs"/>
          <w:color w:val="000000"/>
          <w:rtl/>
          <w:lang w:bidi="ar-EG"/>
        </w:rPr>
        <w:t xml:space="preserve"> ،</w:t>
      </w:r>
      <w:r w:rsidRPr="00315653">
        <w:rPr>
          <w:rFonts w:hint="cs"/>
          <w:color w:val="000000"/>
          <w:rtl/>
          <w:lang w:bidi="ar-EG"/>
        </w:rPr>
        <w:t xml:space="preserve"> ومخالصة من الدائن بأنه استوفى الدين من الكفيل وبذلك يثبت هذا الأخير أنه وفي الدين فيستطيع الرجوع على المدين</w:t>
      </w:r>
      <w:r>
        <w:rPr>
          <w:rFonts w:hint="cs"/>
          <w:color w:val="000000"/>
          <w:rtl/>
          <w:lang w:bidi="ar-EG"/>
        </w:rPr>
        <w:t xml:space="preserve"> .</w:t>
      </w:r>
      <w:r w:rsidRPr="00315653">
        <w:rPr>
          <w:rFonts w:hint="cs"/>
          <w:color w:val="000000"/>
          <w:rtl/>
          <w:lang w:bidi="ar-EG"/>
        </w:rPr>
        <w:t xml:space="preserve"> وغني عن البيان أن الكفيل</w:t>
      </w:r>
      <w:r>
        <w:rPr>
          <w:rFonts w:hint="cs"/>
          <w:color w:val="000000"/>
          <w:rtl/>
          <w:lang w:bidi="ar-EG"/>
        </w:rPr>
        <w:t xml:space="preserve"> ،</w:t>
      </w:r>
      <w:r w:rsidRPr="00315653">
        <w:rPr>
          <w:rFonts w:hint="cs"/>
          <w:color w:val="000000"/>
          <w:rtl/>
          <w:lang w:bidi="ar-EG"/>
        </w:rPr>
        <w:t xml:space="preserve"> إذا اضطر إلى إيداع الدين إيداعاً قضائياً كما قدمنا</w:t>
      </w:r>
      <w:r>
        <w:rPr>
          <w:rFonts w:hint="cs"/>
          <w:color w:val="000000"/>
          <w:rtl/>
          <w:lang w:bidi="ar-EG"/>
        </w:rPr>
        <w:t xml:space="preserve"> ،</w:t>
      </w:r>
      <w:r w:rsidRPr="00315653">
        <w:rPr>
          <w:rFonts w:hint="cs"/>
          <w:color w:val="000000"/>
          <w:rtl/>
          <w:lang w:bidi="ar-EG"/>
        </w:rPr>
        <w:t xml:space="preserve"> يستطيع أن يحصل على شهادة بذلك فتغنيه عن مستندات الدين وعن المالصة</w:t>
      </w:r>
      <w:r>
        <w:rPr>
          <w:rFonts w:hint="cs"/>
          <w:color w:val="000000"/>
          <w:rtl/>
          <w:lang w:bidi="ar-EG"/>
        </w:rPr>
        <w:t xml:space="preserve"> ،</w:t>
      </w:r>
      <w:r w:rsidRPr="00315653">
        <w:rPr>
          <w:rFonts w:hint="cs"/>
          <w:color w:val="000000"/>
          <w:rtl/>
          <w:lang w:bidi="ar-EG"/>
        </w:rPr>
        <w:t xml:space="preserve"> فيتمكن من الرجوع على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ثانياً </w:t>
      </w:r>
      <w:r w:rsidRPr="00315653">
        <w:rPr>
          <w:color w:val="000000"/>
          <w:rtl/>
          <w:lang w:bidi="ar-EG"/>
        </w:rPr>
        <w:t>–</w:t>
      </w:r>
      <w:r w:rsidRPr="00315653">
        <w:rPr>
          <w:rFonts w:hint="cs"/>
          <w:color w:val="000000"/>
          <w:rtl/>
          <w:lang w:bidi="ar-EG"/>
        </w:rPr>
        <w:t xml:space="preserve"> ولما كان الكفيل يستطيع الرجوع على المدين بدعوى الحلول كما سنرى</w:t>
      </w:r>
      <w:r>
        <w:rPr>
          <w:rFonts w:hint="cs"/>
          <w:color w:val="000000"/>
          <w:rtl/>
          <w:lang w:bidi="ar-EG"/>
        </w:rPr>
        <w:t xml:space="preserve"> ،</w:t>
      </w:r>
      <w:r w:rsidRPr="00315653">
        <w:rPr>
          <w:rFonts w:hint="cs"/>
          <w:color w:val="000000"/>
          <w:rtl/>
          <w:lang w:bidi="ar-EG"/>
        </w:rPr>
        <w:t xml:space="preserve"> فإن الدائن يلتزم بتمكينه من هذا الحلول في تأمينات الدين</w:t>
      </w:r>
      <w:r>
        <w:rPr>
          <w:rFonts w:hint="cs"/>
          <w:color w:val="000000"/>
          <w:rtl/>
          <w:lang w:bidi="ar-EG"/>
        </w:rPr>
        <w:t xml:space="preserve"> ،</w:t>
      </w:r>
      <w:r w:rsidRPr="00315653">
        <w:rPr>
          <w:rFonts w:hint="cs"/>
          <w:color w:val="000000"/>
          <w:rtl/>
          <w:lang w:bidi="ar-EG"/>
        </w:rPr>
        <w:t xml:space="preserve"> فإذا كانت هذه التأمينات واقعة على منقول وكان المنقول في يد الدائن</w:t>
      </w:r>
      <w:r>
        <w:rPr>
          <w:rFonts w:hint="cs"/>
          <w:color w:val="000000"/>
          <w:rtl/>
          <w:lang w:bidi="ar-EG"/>
        </w:rPr>
        <w:t xml:space="preserve"> ،</w:t>
      </w:r>
      <w:r w:rsidRPr="00315653">
        <w:rPr>
          <w:rFonts w:hint="cs"/>
          <w:color w:val="000000"/>
          <w:rtl/>
          <w:lang w:bidi="ar-EG"/>
        </w:rPr>
        <w:t xml:space="preserve"> وذلك كما إذا كان في يد الدائن منقول مرهون رهناً حيازياً ضماناً للدين</w:t>
      </w:r>
      <w:r>
        <w:rPr>
          <w:rFonts w:hint="cs"/>
          <w:color w:val="000000"/>
          <w:rtl/>
          <w:lang w:bidi="ar-EG"/>
        </w:rPr>
        <w:t xml:space="preserve"> ،</w:t>
      </w:r>
      <w:r w:rsidRPr="00315653">
        <w:rPr>
          <w:rFonts w:hint="cs"/>
          <w:color w:val="000000"/>
          <w:rtl/>
          <w:lang w:bidi="ar-EG"/>
        </w:rPr>
        <w:t xml:space="preserve"> أو ما هو في حكم التأمين إذا كان هناك منقول في يد الدائن محبوس في $136 الدين</w:t>
      </w:r>
      <w:r>
        <w:rPr>
          <w:rFonts w:hint="cs"/>
          <w:color w:val="000000"/>
          <w:rtl/>
          <w:lang w:bidi="ar-EG"/>
        </w:rPr>
        <w:t xml:space="preserve"> ،</w:t>
      </w:r>
      <w:r w:rsidRPr="00315653">
        <w:rPr>
          <w:rFonts w:hint="cs"/>
          <w:color w:val="000000"/>
          <w:rtl/>
          <w:lang w:bidi="ar-EG"/>
        </w:rPr>
        <w:t xml:space="preserve"> وجب على الدائن أن يسلم للكفيل هذا المنقول</w:t>
      </w:r>
      <w:r>
        <w:rPr>
          <w:rFonts w:hint="cs"/>
          <w:color w:val="000000"/>
          <w:rtl/>
          <w:lang w:bidi="ar-EG"/>
        </w:rPr>
        <w:t xml:space="preserve"> .</w:t>
      </w:r>
      <w:r w:rsidRPr="00315653">
        <w:rPr>
          <w:rFonts w:hint="cs"/>
          <w:color w:val="000000"/>
          <w:rtl/>
          <w:lang w:bidi="ar-EG"/>
        </w:rPr>
        <w:t xml:space="preserve"> وذلك حتى يحل فيه محل الدائن في حق رهن الحيازة أو في الحق في الحبس</w:t>
      </w:r>
      <w:r>
        <w:rPr>
          <w:rFonts w:hint="cs"/>
          <w:color w:val="000000"/>
          <w:rtl/>
          <w:lang w:bidi="ar-EG"/>
        </w:rPr>
        <w:t xml:space="preserve"> ،</w:t>
      </w:r>
      <w:r w:rsidRPr="00315653">
        <w:rPr>
          <w:rFonts w:hint="cs"/>
          <w:color w:val="000000"/>
          <w:rtl/>
          <w:lang w:bidi="ar-EG"/>
        </w:rPr>
        <w:t xml:space="preserve"> فيجبسه في يده كما كان يحبسه الدائن</w:t>
      </w:r>
      <w:r>
        <w:rPr>
          <w:rFonts w:hint="cs"/>
          <w:color w:val="000000"/>
          <w:rtl/>
          <w:lang w:bidi="ar-EG"/>
        </w:rPr>
        <w:t xml:space="preserve"> ،</w:t>
      </w:r>
      <w:r w:rsidRPr="00315653">
        <w:rPr>
          <w:rFonts w:hint="cs"/>
          <w:color w:val="000000"/>
          <w:rtl/>
          <w:lang w:bidi="ar-EG"/>
        </w:rPr>
        <w:t xml:space="preserve"> ضماناً لحقه في الرجوع على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ثالثاً </w:t>
      </w:r>
      <w:r w:rsidRPr="00315653">
        <w:rPr>
          <w:color w:val="000000"/>
          <w:rtl/>
          <w:lang w:bidi="ar-EG"/>
        </w:rPr>
        <w:t>–</w:t>
      </w:r>
      <w:r w:rsidRPr="00315653">
        <w:rPr>
          <w:rFonts w:hint="cs"/>
          <w:color w:val="000000"/>
          <w:rtl/>
          <w:lang w:bidi="ar-EG"/>
        </w:rPr>
        <w:t xml:space="preserve"> أما إذا كان التأمين عقارياً</w:t>
      </w:r>
      <w:r>
        <w:rPr>
          <w:rFonts w:hint="cs"/>
          <w:color w:val="000000"/>
          <w:rtl/>
          <w:lang w:bidi="ar-EG"/>
        </w:rPr>
        <w:t xml:space="preserve"> ،</w:t>
      </w:r>
      <w:r w:rsidRPr="00315653">
        <w:rPr>
          <w:rFonts w:hint="cs"/>
          <w:color w:val="000000"/>
          <w:rtl/>
          <w:lang w:bidi="ar-EG"/>
        </w:rPr>
        <w:t xml:space="preserve"> بأن كان هناك عقار مرهون رهناً رسمياً أو رهناً حيازياً أو مأخوذ عليه حق اختصاص أو واقع عليه حق امتياز ضماناً للدين</w:t>
      </w:r>
      <w:r>
        <w:rPr>
          <w:rFonts w:hint="cs"/>
          <w:color w:val="000000"/>
          <w:rtl/>
          <w:lang w:bidi="ar-EG"/>
        </w:rPr>
        <w:t xml:space="preserve"> ،</w:t>
      </w:r>
      <w:r w:rsidRPr="00315653">
        <w:rPr>
          <w:rFonts w:hint="cs"/>
          <w:color w:val="000000"/>
          <w:rtl/>
          <w:lang w:bidi="ar-EG"/>
        </w:rPr>
        <w:t xml:space="preserve"> فإنه يجب على الدائن أن يقوم بالإجراءات اللازمة لنقل هذا التأمين إلى الكفيل ليحل محله فيه</w:t>
      </w:r>
      <w:r>
        <w:rPr>
          <w:rFonts w:hint="cs"/>
          <w:color w:val="000000"/>
          <w:rtl/>
          <w:lang w:bidi="ar-EG"/>
        </w:rPr>
        <w:t xml:space="preserve"> .</w:t>
      </w:r>
      <w:r w:rsidRPr="00315653">
        <w:rPr>
          <w:rFonts w:hint="cs"/>
          <w:color w:val="000000"/>
          <w:rtl/>
          <w:lang w:bidi="ar-EG"/>
        </w:rPr>
        <w:t xml:space="preserve"> ويتحمل الكفيل مصروفات هذا النقل على أن يرجع بها على المدين ضمن ما يرجع به عليه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ويترتب على ما قدمناه أن الدائن يلتزم بالمحافظة على تأمينات الدين عقاراً كانت أو منقولا</w:t>
      </w:r>
      <w:r>
        <w:rPr>
          <w:rFonts w:hint="cs"/>
          <w:color w:val="000000"/>
          <w:rtl/>
          <w:lang w:bidi="ar-EG"/>
        </w:rPr>
        <w:t xml:space="preserve"> ،</w:t>
      </w:r>
      <w:r w:rsidRPr="00315653">
        <w:rPr>
          <w:rFonts w:hint="cs"/>
          <w:color w:val="000000"/>
          <w:rtl/>
          <w:lang w:bidi="ar-EG"/>
        </w:rPr>
        <w:t xml:space="preserve"> سواء قدمت مع الكفالة </w:t>
      </w:r>
      <w:r w:rsidRPr="00315653">
        <w:rPr>
          <w:rFonts w:hint="cs"/>
          <w:color w:val="000000"/>
          <w:rtl/>
          <w:lang w:bidi="ar-EG"/>
        </w:rPr>
        <w:lastRenderedPageBreak/>
        <w:t>أو قبلها أو بعدها</w:t>
      </w:r>
      <w:r>
        <w:rPr>
          <w:rFonts w:hint="cs"/>
          <w:color w:val="000000"/>
          <w:rtl/>
          <w:lang w:bidi="ar-EG"/>
        </w:rPr>
        <w:t xml:space="preserve"> ،</w:t>
      </w:r>
      <w:r w:rsidRPr="00315653">
        <w:rPr>
          <w:rFonts w:hint="cs"/>
          <w:color w:val="000000"/>
          <w:rtl/>
          <w:lang w:bidi="ar-EG"/>
        </w:rPr>
        <w:t xml:space="preserve"> حتى يحل فيها الكفيل محله</w:t>
      </w:r>
      <w:r>
        <w:rPr>
          <w:rFonts w:hint="cs"/>
          <w:color w:val="000000"/>
          <w:rtl/>
          <w:lang w:bidi="ar-EG"/>
        </w:rPr>
        <w:t xml:space="preserve"> .</w:t>
      </w:r>
      <w:r w:rsidRPr="00315653">
        <w:rPr>
          <w:rFonts w:hint="cs"/>
          <w:color w:val="000000"/>
          <w:rtl/>
          <w:lang w:bidi="ar-EG"/>
        </w:rPr>
        <w:t xml:space="preserve"> وسنرى</w:t>
      </w:r>
      <w:r>
        <w:rPr>
          <w:rFonts w:hint="cs"/>
          <w:color w:val="000000"/>
          <w:rtl/>
          <w:lang w:bidi="ar-EG"/>
        </w:rPr>
        <w:t xml:space="preserve"> ،</w:t>
      </w:r>
      <w:r w:rsidRPr="00315653">
        <w:rPr>
          <w:rFonts w:hint="cs"/>
          <w:color w:val="000000"/>
          <w:rtl/>
          <w:lang w:bidi="ar-EG"/>
        </w:rPr>
        <w:t xml:space="preserve"> عند الكلام في انقضاء الكفالة بطريق أصلي</w:t>
      </w:r>
      <w:r>
        <w:rPr>
          <w:rFonts w:hint="cs"/>
          <w:color w:val="000000"/>
          <w:rtl/>
          <w:lang w:bidi="ar-EG"/>
        </w:rPr>
        <w:t xml:space="preserve"> ،</w:t>
      </w:r>
      <w:r w:rsidRPr="00315653">
        <w:rPr>
          <w:rFonts w:hint="cs"/>
          <w:color w:val="000000"/>
          <w:rtl/>
          <w:lang w:bidi="ar-EG"/>
        </w:rPr>
        <w:t xml:space="preserve"> ما هي هذه التأمينات</w:t>
      </w:r>
      <w:r>
        <w:rPr>
          <w:rFonts w:hint="cs"/>
          <w:color w:val="000000"/>
          <w:rtl/>
          <w:lang w:bidi="ar-EG"/>
        </w:rPr>
        <w:t xml:space="preserve"> ،</w:t>
      </w:r>
      <w:r w:rsidRPr="00315653">
        <w:rPr>
          <w:rFonts w:hint="cs"/>
          <w:color w:val="000000"/>
          <w:rtl/>
          <w:lang w:bidi="ar-EG"/>
        </w:rPr>
        <w:t xml:space="preserve"> وما الذي يترتب على إضاعة الدائن لها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52- كفيل الكفيل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797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"تجوز كفالة الكفيل</w:t>
      </w:r>
      <w:r>
        <w:rPr>
          <w:rFonts w:hint="cs"/>
          <w:color w:val="000000"/>
          <w:rtl/>
          <w:lang w:bidi="ar-EG"/>
        </w:rPr>
        <w:t xml:space="preserve"> ،</w:t>
      </w:r>
      <w:r w:rsidRPr="00315653">
        <w:rPr>
          <w:rFonts w:hint="cs"/>
          <w:color w:val="000000"/>
          <w:rtl/>
          <w:lang w:bidi="ar-EG"/>
        </w:rPr>
        <w:t xml:space="preserve"> وفي هذه الحالة لا يجوز للدائن أن يرجع على كفيل الكفيل قبل رجوعه على الكفيل</w:t>
      </w:r>
      <w:r>
        <w:rPr>
          <w:rFonts w:hint="cs"/>
          <w:color w:val="000000"/>
          <w:rtl/>
          <w:lang w:bidi="ar-EG"/>
        </w:rPr>
        <w:t xml:space="preserve"> ،</w:t>
      </w:r>
      <w:r w:rsidRPr="00315653">
        <w:rPr>
          <w:rFonts w:hint="cs"/>
          <w:color w:val="000000"/>
          <w:rtl/>
          <w:lang w:bidi="ar-EG"/>
        </w:rPr>
        <w:t xml:space="preserve"> إلا إذا كان كفيل الكفيل متضامناً مع الكفيل"</w:t>
      </w:r>
      <w:r>
        <w:rPr>
          <w:rFonts w:hint="cs"/>
          <w:color w:val="000000"/>
          <w:vertAlign w:val="superscript"/>
          <w:rtl/>
          <w:lang w:bidi="ar-EG"/>
        </w:rPr>
        <w:t xml:space="preserve">( </w:t>
      </w:r>
      <w:r w:rsidRPr="00315653">
        <w:rPr>
          <w:rStyle w:val="ab"/>
          <w:color w:val="000000"/>
          <w:rtl/>
          <w:lang w:bidi="ar-EG"/>
        </w:rPr>
        <w:footnoteReference w:id="31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$137 وكفيل الكفيل</w:t>
      </w:r>
      <w:r>
        <w:rPr>
          <w:rFonts w:hint="cs"/>
          <w:color w:val="000000"/>
          <w:rtl/>
          <w:lang w:bidi="ar-EG"/>
        </w:rPr>
        <w:t xml:space="preserve"> ،</w:t>
      </w:r>
      <w:r w:rsidRPr="00315653">
        <w:rPr>
          <w:rFonts w:hint="cs"/>
          <w:color w:val="000000"/>
          <w:rtl/>
          <w:lang w:bidi="ar-EG"/>
        </w:rPr>
        <w:t xml:space="preserve"> ويسمى أيضاً بالمصدق </w:t>
      </w:r>
      <w:r>
        <w:rPr>
          <w:color w:val="000000"/>
          <w:rtl/>
          <w:lang w:bidi="ar-EG"/>
        </w:rPr>
        <w:t xml:space="preserve">( </w:t>
      </w:r>
      <w:r w:rsidRPr="00315653">
        <w:rPr>
          <w:color w:val="000000"/>
          <w:lang w:bidi="ar-EG"/>
        </w:rPr>
        <w:t>certificateur</w:t>
      </w:r>
      <w:r>
        <w:rPr>
          <w:color w:val="000000"/>
          <w:rtl/>
          <w:lang w:bidi="ar-EG"/>
        </w:rPr>
        <w:t xml:space="preserve"> )</w:t>
      </w:r>
      <w:r>
        <w:rPr>
          <w:rFonts w:hint="cs"/>
          <w:color w:val="000000"/>
          <w:rtl/>
        </w:rPr>
        <w:t xml:space="preserve"> ،</w:t>
      </w:r>
      <w:r w:rsidRPr="00315653">
        <w:rPr>
          <w:rFonts w:hint="cs"/>
          <w:color w:val="000000"/>
          <w:rtl/>
        </w:rPr>
        <w:t xml:space="preserve"> هو من يكفل الكفيل ذاته للدائن</w:t>
      </w:r>
      <w:r>
        <w:rPr>
          <w:rFonts w:hint="cs"/>
          <w:color w:val="000000"/>
          <w:rtl/>
        </w:rPr>
        <w:t xml:space="preserve"> ،</w:t>
      </w:r>
      <w:r w:rsidRPr="00315653">
        <w:rPr>
          <w:rFonts w:hint="cs"/>
          <w:color w:val="000000"/>
          <w:rtl/>
        </w:rPr>
        <w:t xml:space="preserve"> دون أن يكفل المدين</w:t>
      </w:r>
      <w:r>
        <w:rPr>
          <w:rFonts w:hint="cs"/>
          <w:color w:val="000000"/>
          <w:rtl/>
        </w:rPr>
        <w:t xml:space="preserve"> .</w:t>
      </w:r>
      <w:r w:rsidRPr="00315653">
        <w:rPr>
          <w:rFonts w:hint="cs"/>
          <w:color w:val="000000"/>
          <w:rtl/>
        </w:rPr>
        <w:t xml:space="preserve"> فكفيل الكفيل يكفل التزاماً تابعاً هو التزام الكفيل</w:t>
      </w:r>
      <w:r>
        <w:rPr>
          <w:rFonts w:hint="cs"/>
          <w:color w:val="000000"/>
          <w:rtl/>
        </w:rPr>
        <w:t xml:space="preserve"> ،</w:t>
      </w:r>
      <w:r w:rsidRPr="00315653">
        <w:rPr>
          <w:rFonts w:hint="cs"/>
          <w:color w:val="000000"/>
          <w:rtl/>
        </w:rPr>
        <w:t xml:space="preserve"> لا التزاماً أصلياً هو التزام المدين</w:t>
      </w:r>
      <w:r>
        <w:rPr>
          <w:rFonts w:hint="cs"/>
          <w:color w:val="000000"/>
          <w:rtl/>
        </w:rPr>
        <w:t xml:space="preserve"> .</w:t>
      </w:r>
      <w:r w:rsidRPr="00315653">
        <w:rPr>
          <w:rFonts w:hint="cs"/>
          <w:color w:val="000000"/>
          <w:rtl/>
        </w:rPr>
        <w:t xml:space="preserve"> التزام كفيل الكفيل تابع لالتزام </w:t>
      </w:r>
      <w:r w:rsidRPr="00315653">
        <w:rPr>
          <w:rFonts w:hint="cs"/>
          <w:color w:val="000000"/>
          <w:rtl/>
        </w:rPr>
        <w:lastRenderedPageBreak/>
        <w:t>الكفيل</w:t>
      </w:r>
      <w:r>
        <w:rPr>
          <w:rFonts w:hint="cs"/>
          <w:color w:val="000000"/>
          <w:rtl/>
        </w:rPr>
        <w:t xml:space="preserve"> ،</w:t>
      </w:r>
      <w:r w:rsidRPr="00315653">
        <w:rPr>
          <w:rFonts w:hint="cs"/>
          <w:color w:val="000000"/>
          <w:rtl/>
        </w:rPr>
        <w:t xml:space="preserve"> كما أن التزام الكفيل تابع لالتزام المدين الأصلي</w:t>
      </w:r>
      <w:r>
        <w:rPr>
          <w:rFonts w:hint="cs"/>
          <w:color w:val="000000"/>
          <w:rtl/>
        </w:rPr>
        <w:t xml:space="preserve"> .</w:t>
      </w:r>
      <w:r w:rsidRPr="00315653">
        <w:rPr>
          <w:rFonts w:hint="cs"/>
          <w:color w:val="000000"/>
          <w:rtl/>
        </w:rPr>
        <w:t xml:space="preserve"> ولا تفترض كفالة الكفيل</w:t>
      </w:r>
      <w:r>
        <w:rPr>
          <w:rFonts w:hint="cs"/>
          <w:color w:val="000000"/>
          <w:rtl/>
        </w:rPr>
        <w:t xml:space="preserve"> ،</w:t>
      </w:r>
      <w:r w:rsidRPr="00315653">
        <w:rPr>
          <w:rFonts w:hint="cs"/>
          <w:color w:val="000000"/>
          <w:rtl/>
        </w:rPr>
        <w:t xml:space="preserve"> فإذا كفل المدين الأصلي كفيلا احدهما كيل أول والآخر كفيل ثان</w:t>
      </w:r>
      <w:r>
        <w:rPr>
          <w:rFonts w:hint="cs"/>
          <w:color w:val="000000"/>
          <w:rtl/>
        </w:rPr>
        <w:t xml:space="preserve"> ،</w:t>
      </w:r>
      <w:r w:rsidRPr="00315653">
        <w:rPr>
          <w:rFonts w:hint="cs"/>
          <w:color w:val="000000"/>
          <w:rtl/>
        </w:rPr>
        <w:t xml:space="preserve"> لم يفترض في الكفيل الثاني أنه كفيل للكفيل الأول</w:t>
      </w:r>
      <w:r>
        <w:rPr>
          <w:rFonts w:hint="cs"/>
          <w:color w:val="000000"/>
          <w:rtl/>
        </w:rPr>
        <w:t xml:space="preserve"> ،</w:t>
      </w:r>
      <w:r w:rsidRPr="00315653">
        <w:rPr>
          <w:rFonts w:hint="cs"/>
          <w:color w:val="000000"/>
          <w:rtl/>
        </w:rPr>
        <w:t xml:space="preserve"> بل هو كفيل ثان للمدين الأصلي</w:t>
      </w:r>
      <w:r>
        <w:rPr>
          <w:rFonts w:hint="cs"/>
          <w:color w:val="000000"/>
          <w:vertAlign w:val="superscript"/>
          <w:rtl/>
          <w:lang w:bidi="ar-EG"/>
        </w:rPr>
        <w:t xml:space="preserve">( </w:t>
      </w:r>
      <w:r w:rsidRPr="00315653">
        <w:rPr>
          <w:rStyle w:val="ab"/>
          <w:color w:val="000000"/>
          <w:rtl/>
          <w:lang w:bidi="ar-EG"/>
        </w:rPr>
        <w:footnoteReference w:id="31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ولما كان كفيل الكفيل إنما كفل الكفيل دون المدين الأصلي</w:t>
      </w:r>
      <w:r>
        <w:rPr>
          <w:rFonts w:hint="cs"/>
          <w:color w:val="000000"/>
          <w:rtl/>
          <w:lang w:bidi="ar-EG"/>
        </w:rPr>
        <w:t xml:space="preserve"> ،</w:t>
      </w:r>
      <w:r w:rsidRPr="00315653">
        <w:rPr>
          <w:rFonts w:hint="cs"/>
          <w:color w:val="000000"/>
          <w:rtl/>
          <w:lang w:bidi="ar-EG"/>
        </w:rPr>
        <w:t xml:space="preserve"> فإن الكفيل يعتبر بالنسبة إليه مديناً أصلياً</w:t>
      </w:r>
      <w:r>
        <w:rPr>
          <w:rFonts w:hint="cs"/>
          <w:color w:val="000000"/>
          <w:rtl/>
          <w:lang w:bidi="ar-EG"/>
        </w:rPr>
        <w:t xml:space="preserve"> ،</w:t>
      </w:r>
      <w:r w:rsidRPr="00315653">
        <w:rPr>
          <w:rFonts w:hint="cs"/>
          <w:color w:val="000000"/>
          <w:rtl/>
          <w:lang w:bidi="ar-EG"/>
        </w:rPr>
        <w:t xml:space="preserve"> ويعتبر هو بالنسبة إلى الكفيل كفيلا؛ وعلى ذلك تسري في العلاقة ما بين الكفيل وكفيل الكفيل أحكام الكفالة</w:t>
      </w:r>
      <w:r>
        <w:rPr>
          <w:rFonts w:hint="cs"/>
          <w:color w:val="000000"/>
          <w:rtl/>
          <w:lang w:bidi="ar-EG"/>
        </w:rPr>
        <w:t xml:space="preserve"> ،</w:t>
      </w:r>
      <w:r w:rsidRPr="00315653">
        <w:rPr>
          <w:rFonts w:hint="cs"/>
          <w:color w:val="000000"/>
          <w:rtl/>
          <w:lang w:bidi="ar-EG"/>
        </w:rPr>
        <w:t xml:space="preserve"> فإذا كان كفيل الكفيل غير متضامن مع الكفيل جاز له أن يطلب من الدائن أن يرجع أولا على المدين الأصلي ثم على الكفيل</w:t>
      </w:r>
      <w:r>
        <w:rPr>
          <w:rFonts w:hint="cs"/>
          <w:color w:val="000000"/>
          <w:rtl/>
          <w:lang w:bidi="ar-EG"/>
        </w:rPr>
        <w:t xml:space="preserve"> ،</w:t>
      </w:r>
      <w:r w:rsidRPr="00315653">
        <w:rPr>
          <w:rFonts w:hint="cs"/>
          <w:color w:val="000000"/>
          <w:rtl/>
          <w:lang w:bidi="ar-EG"/>
        </w:rPr>
        <w:t xml:space="preserve"> وذلك قبل أن يرجع الدائن $138 عليه هو</w:t>
      </w:r>
      <w:r>
        <w:rPr>
          <w:rFonts w:hint="cs"/>
          <w:color w:val="000000"/>
          <w:rtl/>
          <w:lang w:bidi="ar-EG"/>
        </w:rPr>
        <w:t xml:space="preserve"> .</w:t>
      </w:r>
      <w:r w:rsidRPr="00315653">
        <w:rPr>
          <w:rFonts w:hint="cs"/>
          <w:color w:val="000000"/>
          <w:rtl/>
          <w:lang w:bidi="ar-EG"/>
        </w:rPr>
        <w:t xml:space="preserve"> كذلك لكفيل الكفيل أن يدفع بتجريد المدين الأصلي ثم بتجريد الكفيل</w:t>
      </w:r>
      <w:r>
        <w:rPr>
          <w:rFonts w:hint="cs"/>
          <w:color w:val="000000"/>
          <w:rtl/>
          <w:lang w:bidi="ar-EG"/>
        </w:rPr>
        <w:t xml:space="preserve"> ،</w:t>
      </w:r>
      <w:r w:rsidRPr="00315653">
        <w:rPr>
          <w:rFonts w:hint="cs"/>
          <w:color w:val="000000"/>
          <w:rtl/>
          <w:lang w:bidi="ar-EG"/>
        </w:rPr>
        <w:t xml:space="preserve"> فلا ينفذ الدائن على أموال كفيل الكفيل قبل أن ينفذ أولا على أموال المدين الأصلي  ثم على أموال الكفيل</w:t>
      </w:r>
      <w:r>
        <w:rPr>
          <w:rFonts w:hint="cs"/>
          <w:color w:val="000000"/>
          <w:vertAlign w:val="superscript"/>
          <w:rtl/>
          <w:lang w:bidi="ar-EG"/>
        </w:rPr>
        <w:t xml:space="preserve">( </w:t>
      </w:r>
      <w:r w:rsidRPr="00315653">
        <w:rPr>
          <w:rStyle w:val="ab"/>
          <w:color w:val="000000"/>
          <w:rtl/>
          <w:lang w:bidi="ar-EG"/>
        </w:rPr>
        <w:footnoteReference w:id="31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وليس لكفيل الكفيل أن يطلب تقسيم الدين مع الكفيل لأنهما لا يكفلان ديناً واحداً</w:t>
      </w:r>
      <w:r>
        <w:rPr>
          <w:rFonts w:hint="cs"/>
          <w:color w:val="000000"/>
          <w:rtl/>
          <w:lang w:bidi="ar-EG"/>
        </w:rPr>
        <w:t xml:space="preserve"> ،</w:t>
      </w:r>
      <w:r w:rsidRPr="00315653">
        <w:rPr>
          <w:rFonts w:hint="cs"/>
          <w:color w:val="000000"/>
          <w:rtl/>
          <w:lang w:bidi="ar-EG"/>
        </w:rPr>
        <w:t xml:space="preserve"> فكفيل الكفيل يكفل التزام الكفيل</w:t>
      </w:r>
      <w:r>
        <w:rPr>
          <w:rFonts w:hint="cs"/>
          <w:color w:val="000000"/>
          <w:rtl/>
          <w:lang w:bidi="ar-EG"/>
        </w:rPr>
        <w:t xml:space="preserve"> ،</w:t>
      </w:r>
      <w:r w:rsidRPr="00315653">
        <w:rPr>
          <w:rFonts w:hint="cs"/>
          <w:color w:val="000000"/>
          <w:rtl/>
          <w:lang w:bidi="ar-EG"/>
        </w:rPr>
        <w:t xml:space="preserve"> أما الكفيل فيكفل التزام المدين الأصلي</w:t>
      </w:r>
      <w:r>
        <w:rPr>
          <w:rFonts w:hint="cs"/>
          <w:color w:val="000000"/>
          <w:vertAlign w:val="superscript"/>
          <w:rtl/>
          <w:lang w:bidi="ar-EG"/>
        </w:rPr>
        <w:t xml:space="preserve">( </w:t>
      </w:r>
      <w:r w:rsidRPr="00315653">
        <w:rPr>
          <w:rStyle w:val="ab"/>
          <w:color w:val="000000"/>
          <w:rtl/>
          <w:lang w:bidi="ar-EG"/>
        </w:rPr>
        <w:footnoteReference w:id="32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إذا تعدد كفيل الكفيل</w:t>
      </w:r>
      <w:r>
        <w:rPr>
          <w:rFonts w:hint="cs"/>
          <w:color w:val="000000"/>
          <w:rtl/>
          <w:lang w:bidi="ar-EG"/>
        </w:rPr>
        <w:t xml:space="preserve"> ،</w:t>
      </w:r>
      <w:r w:rsidRPr="00315653">
        <w:rPr>
          <w:rFonts w:hint="cs"/>
          <w:color w:val="000000"/>
          <w:rtl/>
          <w:lang w:bidi="ar-EG"/>
        </w:rPr>
        <w:t xml:space="preserve"> انقسم الدين على كفلاء الكفيل المتعددين لأنهم يكفلون جميعاً التزاماً واحداً هو التزام الكفيل</w:t>
      </w:r>
      <w:r>
        <w:rPr>
          <w:rFonts w:hint="cs"/>
          <w:color w:val="000000"/>
          <w:rtl/>
          <w:lang w:bidi="ar-EG"/>
        </w:rPr>
        <w:t xml:space="preserve"> ،</w:t>
      </w:r>
      <w:r w:rsidRPr="00315653">
        <w:rPr>
          <w:rFonts w:hint="cs"/>
          <w:color w:val="000000"/>
          <w:rtl/>
          <w:lang w:bidi="ar-EG"/>
        </w:rPr>
        <w:t xml:space="preserve"> وذلك طبقاً للقواعد المقررة في حق التقسيم</w:t>
      </w:r>
      <w:r>
        <w:rPr>
          <w:rFonts w:hint="cs"/>
          <w:color w:val="000000"/>
          <w:vertAlign w:val="superscript"/>
          <w:rtl/>
          <w:lang w:bidi="ar-EG"/>
        </w:rPr>
        <w:t xml:space="preserve">( </w:t>
      </w:r>
      <w:r w:rsidRPr="00315653">
        <w:rPr>
          <w:rStyle w:val="ab"/>
          <w:color w:val="000000"/>
          <w:rtl/>
          <w:lang w:bidi="ar-EG"/>
        </w:rPr>
        <w:footnoteReference w:id="32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ولكفيل الكفيل أن يتمسك بالدفوع التي يجوز للكفيل التمسك بها</w:t>
      </w:r>
      <w:r>
        <w:rPr>
          <w:rFonts w:hint="cs"/>
          <w:color w:val="000000"/>
          <w:rtl/>
          <w:lang w:bidi="ar-EG"/>
        </w:rPr>
        <w:t xml:space="preserve"> ،</w:t>
      </w:r>
      <w:r w:rsidRPr="00315653">
        <w:rPr>
          <w:rFonts w:hint="cs"/>
          <w:color w:val="000000"/>
          <w:rtl/>
          <w:lang w:bidi="ar-EG"/>
        </w:rPr>
        <w:t xml:space="preserve"> ومن هذه الدفوع دفوع خاصة بالكفيل ودفوع خاصة بالمدين الأصلي</w:t>
      </w:r>
      <w:r>
        <w:rPr>
          <w:rFonts w:hint="cs"/>
          <w:color w:val="000000"/>
          <w:vertAlign w:val="superscript"/>
          <w:rtl/>
          <w:lang w:bidi="ar-EG"/>
        </w:rPr>
        <w:t xml:space="preserve">( </w:t>
      </w:r>
      <w:r w:rsidRPr="00315653">
        <w:rPr>
          <w:rStyle w:val="ab"/>
          <w:color w:val="000000"/>
          <w:rtl/>
          <w:lang w:bidi="ar-EG"/>
        </w:rPr>
        <w:footnoteReference w:id="32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ويجوز له أن يتمسك بالدفوع الخاصة به هو</w:t>
      </w:r>
      <w:r>
        <w:rPr>
          <w:rFonts w:hint="cs"/>
          <w:color w:val="000000"/>
          <w:rtl/>
          <w:lang w:bidi="ar-EG"/>
        </w:rPr>
        <w:t xml:space="preserve"> ،</w:t>
      </w:r>
      <w:r w:rsidRPr="00315653">
        <w:rPr>
          <w:rFonts w:hint="cs"/>
          <w:color w:val="000000"/>
          <w:rtl/>
          <w:lang w:bidi="ar-EG"/>
        </w:rPr>
        <w:t xml:space="preserve"> كبطلان عقد كفالة الكفيل أو قابليته للإبطال وانقضاء التزام كفيل الكفيل بطريق أصلي</w:t>
      </w:r>
      <w:r>
        <w:rPr>
          <w:rFonts w:hint="cs"/>
          <w:color w:val="000000"/>
          <w:vertAlign w:val="superscript"/>
          <w:rtl/>
          <w:lang w:bidi="ar-EG"/>
        </w:rPr>
        <w:t xml:space="preserve">( </w:t>
      </w:r>
      <w:r w:rsidRPr="00315653">
        <w:rPr>
          <w:rStyle w:val="ab"/>
          <w:color w:val="000000"/>
          <w:rtl/>
          <w:lang w:bidi="ar-EG"/>
        </w:rPr>
        <w:footnoteReference w:id="32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وله كذلك أن يتمسك بأن ينفذ الدائن على كفالة عينية قدمها المدين الأصلي</w:t>
      </w:r>
      <w:r>
        <w:rPr>
          <w:rFonts w:hint="cs"/>
          <w:color w:val="000000"/>
          <w:rtl/>
          <w:lang w:bidi="ar-EG"/>
        </w:rPr>
        <w:t xml:space="preserve"> ،</w:t>
      </w:r>
      <w:r w:rsidRPr="00315653">
        <w:rPr>
          <w:rFonts w:hint="cs"/>
          <w:color w:val="000000"/>
          <w:rtl/>
          <w:lang w:bidi="ar-EG"/>
        </w:rPr>
        <w:t xml:space="preserve"> كما يتمسك بذلك الكفيل المكفول</w:t>
      </w:r>
      <w:r>
        <w:rPr>
          <w:rFonts w:hint="cs"/>
          <w:color w:val="000000"/>
          <w:vertAlign w:val="superscript"/>
          <w:rtl/>
          <w:lang w:bidi="ar-EG"/>
        </w:rPr>
        <w:t xml:space="preserve">( </w:t>
      </w:r>
      <w:r w:rsidRPr="00315653">
        <w:rPr>
          <w:rStyle w:val="ab"/>
          <w:color w:val="000000"/>
          <w:rtl/>
          <w:lang w:bidi="ar-EG"/>
        </w:rPr>
        <w:footnoteReference w:id="32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وله أن يستعمل حقوق الكفيل الذي كفله باسم هذا الكفيل</w:t>
      </w:r>
      <w:r>
        <w:rPr>
          <w:rFonts w:hint="cs"/>
          <w:color w:val="000000"/>
          <w:rtl/>
          <w:lang w:bidi="ar-EG"/>
        </w:rPr>
        <w:t xml:space="preserve"> ،</w:t>
      </w:r>
      <w:r w:rsidRPr="00315653">
        <w:rPr>
          <w:rFonts w:hint="cs"/>
          <w:color w:val="000000"/>
          <w:rtl/>
          <w:lang w:bidi="ar-EG"/>
        </w:rPr>
        <w:t xml:space="preserve"> كما يستعمل الدائن حقوق المدين في الدعوى غير المباشرة</w:t>
      </w:r>
      <w:r>
        <w:rPr>
          <w:rFonts w:hint="cs"/>
          <w:color w:val="000000"/>
          <w:vertAlign w:val="superscript"/>
          <w:rtl/>
          <w:lang w:bidi="ar-EG"/>
        </w:rPr>
        <w:t xml:space="preserve">( </w:t>
      </w:r>
      <w:r w:rsidRPr="00315653">
        <w:rPr>
          <w:rStyle w:val="ab"/>
          <w:color w:val="000000"/>
          <w:rtl/>
          <w:lang w:bidi="ar-EG"/>
        </w:rPr>
        <w:footnoteReference w:id="32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$139 أما إذا كان كفيل الكفيل متضامناً مع الكفيل</w:t>
      </w:r>
      <w:r>
        <w:rPr>
          <w:rFonts w:hint="cs"/>
          <w:color w:val="000000"/>
          <w:rtl/>
          <w:lang w:bidi="ar-EG"/>
        </w:rPr>
        <w:t xml:space="preserve"> ،</w:t>
      </w:r>
      <w:r w:rsidRPr="00315653">
        <w:rPr>
          <w:rFonts w:hint="cs"/>
          <w:color w:val="000000"/>
          <w:rtl/>
          <w:lang w:bidi="ar-EG"/>
        </w:rPr>
        <w:t xml:space="preserve"> فإنه تسري في علاقته مع الكفيل المتضامن التي سيأتي ذكرها</w:t>
      </w:r>
      <w:r>
        <w:rPr>
          <w:rFonts w:hint="cs"/>
          <w:color w:val="000000"/>
          <w:rtl/>
          <w:lang w:bidi="ar-EG"/>
        </w:rPr>
        <w:t xml:space="preserve"> ،</w:t>
      </w:r>
      <w:r w:rsidRPr="00315653">
        <w:rPr>
          <w:rFonts w:hint="cs"/>
          <w:color w:val="000000"/>
          <w:rtl/>
          <w:lang w:bidi="ar-EG"/>
        </w:rPr>
        <w:t xml:space="preserve"> فلا يجوز لكفيل الكفيل أن يطالب الدائن بالرجوع أولا على الكفيل أو على المدين الأصلي</w:t>
      </w:r>
      <w:r>
        <w:rPr>
          <w:rFonts w:hint="cs"/>
          <w:color w:val="000000"/>
          <w:rtl/>
          <w:lang w:bidi="ar-EG"/>
        </w:rPr>
        <w:t xml:space="preserve"> ،</w:t>
      </w:r>
      <w:r w:rsidRPr="00315653">
        <w:rPr>
          <w:rFonts w:hint="cs"/>
          <w:color w:val="000000"/>
          <w:rtl/>
          <w:lang w:bidi="ar-EG"/>
        </w:rPr>
        <w:t xml:space="preserve"> ولا أن ينفذ الدائن أولا على أموال الكفيل أو على أموال المدين الأصلي</w:t>
      </w:r>
      <w:r>
        <w:rPr>
          <w:rFonts w:hint="cs"/>
          <w:color w:val="000000"/>
          <w:rtl/>
          <w:lang w:bidi="ar-EG"/>
        </w:rPr>
        <w:t xml:space="preserve"> .</w:t>
      </w:r>
      <w:r w:rsidRPr="00315653">
        <w:rPr>
          <w:rFonts w:hint="cs"/>
          <w:color w:val="000000"/>
          <w:rtl/>
          <w:lang w:bidi="ar-EG"/>
        </w:rPr>
        <w:t xml:space="preserve"> ولكن إذا كان الكفيل غير متضامن مع المدين الأصلي</w:t>
      </w:r>
      <w:r>
        <w:rPr>
          <w:rFonts w:hint="cs"/>
          <w:color w:val="000000"/>
          <w:rtl/>
          <w:lang w:bidi="ar-EG"/>
        </w:rPr>
        <w:t xml:space="preserve"> ،</w:t>
      </w:r>
      <w:r w:rsidRPr="00315653">
        <w:rPr>
          <w:rFonts w:hint="cs"/>
          <w:color w:val="000000"/>
          <w:rtl/>
          <w:lang w:bidi="ar-EG"/>
        </w:rPr>
        <w:t xml:space="preserve"> فإنه يجوز لكفل الكفيل أن يستعمل حقوق الكفيل باسم هذا الأخير</w:t>
      </w:r>
      <w:r>
        <w:rPr>
          <w:rFonts w:hint="cs"/>
          <w:color w:val="000000"/>
          <w:rtl/>
          <w:lang w:bidi="ar-EG"/>
        </w:rPr>
        <w:t xml:space="preserve"> ،</w:t>
      </w:r>
      <w:r w:rsidRPr="00315653">
        <w:rPr>
          <w:rFonts w:hint="cs"/>
          <w:color w:val="000000"/>
          <w:rtl/>
          <w:lang w:bidi="ar-EG"/>
        </w:rPr>
        <w:t xml:space="preserve"> فيطلب من الدائن الرجوع أولا على المدين الأصلي</w:t>
      </w:r>
      <w:r>
        <w:rPr>
          <w:rFonts w:hint="cs"/>
          <w:color w:val="000000"/>
          <w:rtl/>
          <w:lang w:bidi="ar-EG"/>
        </w:rPr>
        <w:t xml:space="preserve"> ،</w:t>
      </w:r>
      <w:r w:rsidRPr="00315653">
        <w:rPr>
          <w:rFonts w:hint="cs"/>
          <w:color w:val="000000"/>
          <w:rtl/>
          <w:lang w:bidi="ar-EG"/>
        </w:rPr>
        <w:t xml:space="preserve"> وكذل التنفيذ على أموال المدين الأصلي قبل التنفيذ على أمواله هو</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lang w:bidi="ar-EG"/>
        </w:rPr>
        <w:t>وإذا وفي كفيل الكفيل الدين</w:t>
      </w:r>
      <w:r>
        <w:rPr>
          <w:rFonts w:hint="cs"/>
          <w:color w:val="000000"/>
          <w:rtl/>
          <w:lang w:bidi="ar-EG"/>
        </w:rPr>
        <w:t xml:space="preserve"> ،</w:t>
      </w:r>
      <w:r w:rsidRPr="00315653">
        <w:rPr>
          <w:rFonts w:hint="cs"/>
          <w:color w:val="000000"/>
          <w:rtl/>
          <w:lang w:bidi="ar-EG"/>
        </w:rPr>
        <w:t xml:space="preserve"> كان له أن يجرع على الكفيل أو على المدين الأصلي</w:t>
      </w:r>
      <w:r>
        <w:rPr>
          <w:rFonts w:hint="cs"/>
          <w:color w:val="000000"/>
          <w:rtl/>
          <w:lang w:bidi="ar-EG"/>
        </w:rPr>
        <w:t xml:space="preserve"> ،</w:t>
      </w:r>
      <w:r w:rsidRPr="00315653">
        <w:rPr>
          <w:rFonts w:hint="cs"/>
          <w:color w:val="000000"/>
          <w:rtl/>
          <w:lang w:bidi="ar-EG"/>
        </w:rPr>
        <w:t xml:space="preserve"> أو عليهما معاً مسئولين بالتضامم </w:t>
      </w:r>
      <w:r>
        <w:rPr>
          <w:color w:val="000000"/>
          <w:rtl/>
          <w:lang w:bidi="ar-EG"/>
        </w:rPr>
        <w:t xml:space="preserve">( </w:t>
      </w:r>
      <w:r w:rsidRPr="00315653">
        <w:rPr>
          <w:color w:val="000000"/>
          <w:lang w:bidi="ar-EG"/>
        </w:rPr>
        <w:t>in solidum</w:t>
      </w:r>
      <w:r>
        <w:rPr>
          <w:color w:val="000000"/>
          <w:rtl/>
          <w:lang w:bidi="ar-EG"/>
        </w:rPr>
        <w:t xml:space="preserve"> )</w:t>
      </w:r>
      <w:r>
        <w:rPr>
          <w:rFonts w:hint="cs"/>
          <w:color w:val="000000"/>
          <w:rtl/>
        </w:rPr>
        <w:t xml:space="preserve"> .</w:t>
      </w:r>
      <w:r w:rsidRPr="00315653">
        <w:rPr>
          <w:rFonts w:hint="cs"/>
          <w:color w:val="000000"/>
          <w:rtl/>
        </w:rPr>
        <w:t xml:space="preserve"> ويكون رجوعه بالدعوى الشخصية أو بدعوى الحلول</w:t>
      </w:r>
      <w:r>
        <w:rPr>
          <w:rFonts w:hint="cs"/>
          <w:color w:val="000000"/>
          <w:rtl/>
        </w:rPr>
        <w:t xml:space="preserve"> ،</w:t>
      </w:r>
      <w:r w:rsidRPr="00315653">
        <w:rPr>
          <w:rFonts w:hint="cs"/>
          <w:color w:val="000000"/>
          <w:rtl/>
        </w:rPr>
        <w:t xml:space="preserve"> كما سنرى في رجوع الكفيل على المدين</w:t>
      </w:r>
      <w:r>
        <w:rPr>
          <w:rFonts w:hint="cs"/>
          <w:color w:val="000000"/>
          <w:vertAlign w:val="superscript"/>
          <w:rtl/>
          <w:lang w:bidi="ar-EG"/>
        </w:rPr>
        <w:t xml:space="preserve">( </w:t>
      </w:r>
      <w:r w:rsidRPr="00315653">
        <w:rPr>
          <w:rStyle w:val="ab"/>
          <w:color w:val="000000"/>
          <w:rtl/>
          <w:lang w:bidi="ar-EG"/>
        </w:rPr>
        <w:footnoteReference w:id="32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sz w:val="36"/>
          <w:szCs w:val="40"/>
          <w:rtl/>
        </w:rPr>
      </w:pPr>
      <w:r w:rsidRPr="00315653">
        <w:rPr>
          <w:rFonts w:hint="cs"/>
          <w:b/>
          <w:bCs/>
          <w:color w:val="000000"/>
          <w:sz w:val="36"/>
          <w:szCs w:val="40"/>
          <w:rtl/>
        </w:rPr>
        <w:t>المطلب الثاني</w:t>
      </w:r>
    </w:p>
    <w:p w:rsidR="00F72742" w:rsidRPr="00315653" w:rsidRDefault="00F72742" w:rsidP="00F72742">
      <w:pPr>
        <w:widowControl w:val="0"/>
        <w:spacing w:after="120"/>
        <w:jc w:val="center"/>
        <w:rPr>
          <w:rFonts w:hint="cs"/>
          <w:b/>
          <w:bCs/>
          <w:color w:val="000000"/>
          <w:rtl/>
        </w:rPr>
      </w:pPr>
      <w:r w:rsidRPr="00315653">
        <w:rPr>
          <w:rFonts w:hint="cs"/>
          <w:b/>
          <w:bCs/>
          <w:color w:val="000000"/>
          <w:rtl/>
        </w:rPr>
        <w:t>الكفيل متضامن مع المدين أو مع كفلاء آخرين</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 xml:space="preserve">53- تضامن الكفيل مع المدين </w:t>
      </w:r>
      <w:r w:rsidRPr="00315653">
        <w:rPr>
          <w:b/>
          <w:bCs/>
          <w:color w:val="000000"/>
          <w:rtl/>
        </w:rPr>
        <w:t>–</w:t>
      </w:r>
      <w:r w:rsidRPr="00315653">
        <w:rPr>
          <w:rFonts w:hint="cs"/>
          <w:b/>
          <w:bCs/>
          <w:color w:val="000000"/>
          <w:rtl/>
        </w:rPr>
        <w:t xml:space="preserve"> نص قانوني</w:t>
      </w:r>
      <w:r>
        <w:rPr>
          <w:rFonts w:hint="cs"/>
          <w:color w:val="000000"/>
          <w:rtl/>
        </w:rPr>
        <w:t xml:space="preserve"> :</w:t>
      </w:r>
      <w:r w:rsidRPr="00315653">
        <w:rPr>
          <w:rFonts w:hint="cs"/>
          <w:color w:val="000000"/>
          <w:rtl/>
        </w:rPr>
        <w:t xml:space="preserve"> تنص المادة 795 مدني على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"في الكفالة القضائية أو القانونية</w:t>
      </w:r>
      <w:r>
        <w:rPr>
          <w:rFonts w:hint="cs"/>
          <w:color w:val="000000"/>
          <w:rtl/>
        </w:rPr>
        <w:t xml:space="preserve"> ،</w:t>
      </w:r>
      <w:r w:rsidRPr="00315653">
        <w:rPr>
          <w:rFonts w:hint="cs"/>
          <w:color w:val="000000"/>
          <w:rtl/>
        </w:rPr>
        <w:t xml:space="preserve"> يكون الكفلاء دائماً متضامنين"</w:t>
      </w:r>
      <w:r>
        <w:rPr>
          <w:rFonts w:hint="cs"/>
          <w:color w:val="000000"/>
          <w:vertAlign w:val="superscript"/>
          <w:rtl/>
          <w:lang w:bidi="ar-EG"/>
        </w:rPr>
        <w:t xml:space="preserve">( </w:t>
      </w:r>
      <w:r w:rsidRPr="00315653">
        <w:rPr>
          <w:rStyle w:val="ab"/>
          <w:color w:val="000000"/>
          <w:rtl/>
          <w:lang w:bidi="ar-EG"/>
        </w:rPr>
        <w:footnoteReference w:id="32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$140</w:t>
      </w:r>
      <w:r w:rsidRPr="00315653">
        <w:rPr>
          <w:rFonts w:hint="cs"/>
          <w:color w:val="000000"/>
          <w:rtl/>
        </w:rPr>
        <w:t xml:space="preserve"> ويفهم من هذا النص أن كلا من الكفيل </w:t>
      </w:r>
      <w:r>
        <w:rPr>
          <w:rFonts w:hint="cs"/>
          <w:color w:val="000000"/>
          <w:rtl/>
        </w:rPr>
        <w:t xml:space="preserve">( </w:t>
      </w:r>
      <w:r w:rsidRPr="00315653">
        <w:rPr>
          <w:rFonts w:hint="cs"/>
          <w:color w:val="000000"/>
          <w:rtl/>
        </w:rPr>
        <w:t>القضائي والكفيل القانوني يكون دائماً</w:t>
      </w:r>
      <w:r>
        <w:rPr>
          <w:rFonts w:hint="cs"/>
          <w:color w:val="000000"/>
          <w:rtl/>
        </w:rPr>
        <w:t xml:space="preserve"> ،</w:t>
      </w:r>
      <w:r w:rsidRPr="00315653">
        <w:rPr>
          <w:rFonts w:hint="cs"/>
          <w:color w:val="000000"/>
          <w:rtl/>
        </w:rPr>
        <w:t xml:space="preserve"> وبحكم القانون</w:t>
      </w:r>
      <w:r>
        <w:rPr>
          <w:rFonts w:hint="cs"/>
          <w:color w:val="000000"/>
          <w:rtl/>
        </w:rPr>
        <w:t xml:space="preserve"> ،</w:t>
      </w:r>
      <w:r w:rsidRPr="00315653">
        <w:rPr>
          <w:rFonts w:hint="cs"/>
          <w:color w:val="000000"/>
          <w:rtl/>
        </w:rPr>
        <w:t xml:space="preserve"> متضامناً مع المدين</w:t>
      </w:r>
      <w:r>
        <w:rPr>
          <w:rFonts w:hint="cs"/>
          <w:color w:val="000000"/>
          <w:rtl/>
        </w:rPr>
        <w:t xml:space="preserve"> .</w:t>
      </w:r>
      <w:r w:rsidRPr="00315653">
        <w:rPr>
          <w:rFonts w:hint="cs"/>
          <w:color w:val="000000"/>
          <w:rtl/>
        </w:rPr>
        <w:t xml:space="preserve"> وقد قدمنا أن الكفيل القضائي هو الكفيل الذي يكون المدين ملزماً بتقديمه بموجب حكم قضائي في أحوال معينة نص عليها القانون</w:t>
      </w:r>
      <w:r>
        <w:rPr>
          <w:rFonts w:hint="cs"/>
          <w:color w:val="000000"/>
          <w:rtl/>
        </w:rPr>
        <w:t xml:space="preserve"> ،</w:t>
      </w:r>
      <w:r w:rsidRPr="00315653">
        <w:rPr>
          <w:rFonts w:hint="cs"/>
          <w:color w:val="000000"/>
          <w:rtl/>
        </w:rPr>
        <w:t xml:space="preserve"> والكفيل القانوني هو الكفيل الذي يكون المدين ملزماً بتقديمه بموجب نص في القانون</w:t>
      </w:r>
      <w:r>
        <w:rPr>
          <w:rFonts w:hint="cs"/>
          <w:color w:val="000000"/>
          <w:vertAlign w:val="superscript"/>
          <w:rtl/>
          <w:lang w:bidi="ar-EG"/>
        </w:rPr>
        <w:t xml:space="preserve">( </w:t>
      </w:r>
      <w:r w:rsidRPr="00315653">
        <w:rPr>
          <w:rStyle w:val="ab"/>
          <w:color w:val="000000"/>
          <w:rtl/>
          <w:lang w:bidi="ar-EG"/>
        </w:rPr>
        <w:footnoteReference w:id="32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فمتى قدم المدين للدائن كفيلا يكفل الدين</w:t>
      </w:r>
      <w:r>
        <w:rPr>
          <w:rFonts w:hint="cs"/>
          <w:color w:val="000000"/>
          <w:rtl/>
          <w:lang w:bidi="ar-EG"/>
        </w:rPr>
        <w:t xml:space="preserve"> ،</w:t>
      </w:r>
      <w:r w:rsidRPr="00315653">
        <w:rPr>
          <w:rFonts w:hint="cs"/>
          <w:color w:val="000000"/>
          <w:rtl/>
          <w:lang w:bidi="ar-EG"/>
        </w:rPr>
        <w:t xml:space="preserve"> بموجب حكم قضائي أو بموجب نص في القانون</w:t>
      </w:r>
      <w:r>
        <w:rPr>
          <w:rFonts w:hint="cs"/>
          <w:color w:val="000000"/>
          <w:rtl/>
          <w:lang w:bidi="ar-EG"/>
        </w:rPr>
        <w:t xml:space="preserve"> ،</w:t>
      </w:r>
      <w:r w:rsidRPr="00315653">
        <w:rPr>
          <w:rFonts w:hint="cs"/>
          <w:color w:val="000000"/>
          <w:rtl/>
          <w:lang w:bidi="ar-EG"/>
        </w:rPr>
        <w:t xml:space="preserve"> كان هذا الكفيل متضامناً مع المدين</w:t>
      </w:r>
      <w:r>
        <w:rPr>
          <w:rFonts w:hint="cs"/>
          <w:color w:val="000000"/>
          <w:vertAlign w:val="superscript"/>
          <w:rtl/>
          <w:lang w:bidi="ar-EG"/>
        </w:rPr>
        <w:t xml:space="preserve">( </w:t>
      </w:r>
      <w:r w:rsidRPr="00315653">
        <w:rPr>
          <w:rStyle w:val="ab"/>
          <w:color w:val="000000"/>
          <w:rtl/>
          <w:lang w:bidi="ar-EG"/>
        </w:rPr>
        <w:footnoteReference w:id="32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تكون هذه الحالة هي إحدى حالات تضامن الكفيل مع المدين</w:t>
      </w:r>
      <w:r>
        <w:rPr>
          <w:rFonts w:hint="cs"/>
          <w:color w:val="000000"/>
          <w:rtl/>
          <w:lang w:bidi="ar-EG"/>
        </w:rPr>
        <w:t xml:space="preserve"> ،</w:t>
      </w:r>
      <w:r w:rsidRPr="00315653">
        <w:rPr>
          <w:rFonts w:hint="cs"/>
          <w:color w:val="000000"/>
          <w:rtl/>
          <w:lang w:bidi="ar-EG"/>
        </w:rPr>
        <w:t xml:space="preserve"> وقد قررها القانون بنص صريح</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$141 ذلك بأن تضامن الكفيل مع المدين يتقرر</w:t>
      </w:r>
      <w:r>
        <w:rPr>
          <w:rFonts w:hint="cs"/>
          <w:color w:val="000000"/>
          <w:rtl/>
          <w:lang w:bidi="ar-EG"/>
        </w:rPr>
        <w:t xml:space="preserve"> ،</w:t>
      </w:r>
      <w:r w:rsidRPr="00315653">
        <w:rPr>
          <w:rFonts w:hint="cs"/>
          <w:color w:val="000000"/>
          <w:rtl/>
          <w:lang w:bidi="ar-EG"/>
        </w:rPr>
        <w:t xml:space="preserve"> كالتضامن ما بين المدينين الأصليين</w:t>
      </w:r>
      <w:r>
        <w:rPr>
          <w:rFonts w:hint="cs"/>
          <w:color w:val="000000"/>
          <w:rtl/>
          <w:lang w:bidi="ar-EG"/>
        </w:rPr>
        <w:t xml:space="preserve"> ،</w:t>
      </w:r>
      <w:r w:rsidRPr="00315653">
        <w:rPr>
          <w:rFonts w:hint="cs"/>
          <w:color w:val="000000"/>
          <w:rtl/>
          <w:lang w:bidi="ar-EG"/>
        </w:rPr>
        <w:t xml:space="preserve"> إما بالاتفاق أو بنص في القانون</w:t>
      </w:r>
      <w:r>
        <w:rPr>
          <w:rFonts w:hint="cs"/>
          <w:color w:val="000000"/>
          <w:rtl/>
          <w:lang w:bidi="ar-EG"/>
        </w:rPr>
        <w:t xml:space="preserve"> .</w:t>
      </w:r>
      <w:r w:rsidRPr="00315653">
        <w:rPr>
          <w:rFonts w:hint="cs"/>
          <w:color w:val="000000"/>
          <w:rtl/>
          <w:lang w:bidi="ar-EG"/>
        </w:rPr>
        <w:t xml:space="preserve"> وقد كان المشروع التمهيدي للمادة 795 مدني ينص على ما يأتي</w:t>
      </w:r>
      <w:r>
        <w:rPr>
          <w:rFonts w:hint="cs"/>
          <w:color w:val="000000"/>
          <w:rtl/>
          <w:lang w:bidi="ar-EG"/>
        </w:rPr>
        <w:t xml:space="preserve"> :</w:t>
      </w:r>
      <w:r w:rsidRPr="00315653">
        <w:rPr>
          <w:rFonts w:hint="cs"/>
          <w:color w:val="000000"/>
          <w:rtl/>
          <w:lang w:bidi="ar-EG"/>
        </w:rPr>
        <w:t xml:space="preserve"> "لا يفترض التضامن ما بين الكفل والمدين</w:t>
      </w:r>
      <w:r>
        <w:rPr>
          <w:rFonts w:hint="cs"/>
          <w:color w:val="000000"/>
          <w:rtl/>
          <w:lang w:bidi="ar-EG"/>
        </w:rPr>
        <w:t xml:space="preserve"> ،</w:t>
      </w:r>
      <w:r w:rsidRPr="00315653">
        <w:rPr>
          <w:rFonts w:hint="cs"/>
          <w:color w:val="000000"/>
          <w:rtl/>
          <w:lang w:bidi="ar-EG"/>
        </w:rPr>
        <w:t xml:space="preserve"> بل يجب اشتراط التضامن في عقد الكفالة أو في عقد منفصل </w:t>
      </w:r>
      <w:r>
        <w:rPr>
          <w:rFonts w:hint="cs"/>
          <w:color w:val="000000"/>
          <w:rtl/>
          <w:lang w:bidi="ar-EG"/>
        </w:rPr>
        <w:t xml:space="preserve"> . . .</w:t>
      </w:r>
      <w:r w:rsidRPr="00315653">
        <w:rPr>
          <w:rFonts w:hint="cs"/>
          <w:color w:val="000000"/>
          <w:rtl/>
          <w:lang w:bidi="ar-EG"/>
        </w:rPr>
        <w:t xml:space="preserve"> 3- أما في الكفالة القضائية أو القانونية فيكون الكفلاء دائماً </w:t>
      </w:r>
      <w:r w:rsidRPr="00315653">
        <w:rPr>
          <w:rFonts w:hint="cs"/>
          <w:color w:val="000000"/>
          <w:rtl/>
          <w:lang w:bidi="ar-EG"/>
        </w:rPr>
        <w:lastRenderedPageBreak/>
        <w:t>متضامنين"</w:t>
      </w:r>
      <w:r>
        <w:rPr>
          <w:rFonts w:hint="cs"/>
          <w:color w:val="000000"/>
          <w:rtl/>
          <w:lang w:bidi="ar-EG"/>
        </w:rPr>
        <w:t xml:space="preserve"> .</w:t>
      </w:r>
      <w:r w:rsidRPr="00315653">
        <w:rPr>
          <w:rFonts w:hint="cs"/>
          <w:color w:val="000000"/>
          <w:rtl/>
          <w:lang w:bidi="ar-EG"/>
        </w:rPr>
        <w:t xml:space="preserve"> وفي جنة المراجعة لي تستبق إلا الفقرة الثالثة</w:t>
      </w:r>
      <w:r>
        <w:rPr>
          <w:rFonts w:hint="cs"/>
          <w:color w:val="000000"/>
          <w:rtl/>
          <w:lang w:bidi="ar-EG"/>
        </w:rPr>
        <w:t xml:space="preserve"> ،</w:t>
      </w:r>
      <w:r w:rsidRPr="00315653">
        <w:rPr>
          <w:rFonts w:hint="cs"/>
          <w:color w:val="000000"/>
          <w:rtl/>
          <w:lang w:bidi="ar-EG"/>
        </w:rPr>
        <w:t xml:space="preserve"> لأن باقي النص ليس إلا تطبقاً للقواعد العامة</w:t>
      </w:r>
      <w:r>
        <w:rPr>
          <w:rFonts w:hint="cs"/>
          <w:color w:val="000000"/>
          <w:vertAlign w:val="superscript"/>
          <w:rtl/>
          <w:lang w:bidi="ar-EG"/>
        </w:rPr>
        <w:t xml:space="preserve">( </w:t>
      </w:r>
      <w:r w:rsidRPr="00315653">
        <w:rPr>
          <w:rStyle w:val="ab"/>
          <w:color w:val="000000"/>
          <w:rtl/>
          <w:lang w:bidi="ar-EG"/>
        </w:rPr>
        <w:footnoteReference w:id="33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ذلك يكون مصدر التضامن ما بين الكفيل والمدين هو نفس مصدر التضامن ما بين المدينين الأصليين</w:t>
      </w:r>
      <w:r>
        <w:rPr>
          <w:rFonts w:hint="cs"/>
          <w:color w:val="000000"/>
          <w:rtl/>
          <w:lang w:bidi="ar-EG"/>
        </w:rPr>
        <w:t xml:space="preserve"> ،</w:t>
      </w:r>
      <w:r w:rsidRPr="00315653">
        <w:rPr>
          <w:rFonts w:hint="cs"/>
          <w:color w:val="000000"/>
          <w:rtl/>
          <w:lang w:bidi="ar-EG"/>
        </w:rPr>
        <w:t xml:space="preserve"> فيكون المصدر إذن هو الاتفاق أو القانون</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المصدر الأول</w:t>
      </w:r>
      <w:r>
        <w:rPr>
          <w:rFonts w:hint="cs"/>
          <w:color w:val="000000"/>
          <w:rtl/>
          <w:lang w:bidi="ar-EG"/>
        </w:rPr>
        <w:t xml:space="preserve"> )</w:t>
      </w:r>
      <w:r w:rsidRPr="00315653">
        <w:rPr>
          <w:rFonts w:hint="cs"/>
          <w:color w:val="000000"/>
          <w:rtl/>
          <w:lang w:bidi="ar-EG"/>
        </w:rPr>
        <w:t xml:space="preserve"> الاتفاق</w:t>
      </w:r>
      <w:r>
        <w:rPr>
          <w:rFonts w:hint="cs"/>
          <w:color w:val="000000"/>
          <w:rtl/>
          <w:lang w:bidi="ar-EG"/>
        </w:rPr>
        <w:t xml:space="preserve"> :</w:t>
      </w:r>
      <w:r w:rsidRPr="00315653">
        <w:rPr>
          <w:rFonts w:hint="cs"/>
          <w:color w:val="000000"/>
          <w:rtl/>
          <w:lang w:bidi="ar-EG"/>
        </w:rPr>
        <w:t xml:space="preserve"> وأكثر ما يكون تضامن الكفيل مع المدين مصدره الاتفاق</w:t>
      </w:r>
      <w:r>
        <w:rPr>
          <w:rFonts w:hint="cs"/>
          <w:color w:val="000000"/>
          <w:rtl/>
          <w:lang w:bidi="ar-EG"/>
        </w:rPr>
        <w:t xml:space="preserve"> ،</w:t>
      </w:r>
      <w:r w:rsidRPr="00315653">
        <w:rPr>
          <w:rFonts w:hint="cs"/>
          <w:color w:val="000000"/>
          <w:rtl/>
          <w:lang w:bidi="ar-EG"/>
        </w:rPr>
        <w:t xml:space="preserve"> فيشترط الدائن تضامنهما معاً</w:t>
      </w:r>
      <w:r>
        <w:rPr>
          <w:rFonts w:hint="cs"/>
          <w:color w:val="000000"/>
          <w:rtl/>
          <w:lang w:bidi="ar-EG"/>
        </w:rPr>
        <w:t xml:space="preserve"> .</w:t>
      </w:r>
      <w:r w:rsidRPr="00315653">
        <w:rPr>
          <w:rFonts w:hint="cs"/>
          <w:color w:val="000000"/>
          <w:rtl/>
          <w:lang w:bidi="ar-EG"/>
        </w:rPr>
        <w:t xml:space="preserve"> وهذا الذي يقع في العمل غالباً</w:t>
      </w:r>
      <w:r>
        <w:rPr>
          <w:rFonts w:hint="cs"/>
          <w:color w:val="000000"/>
          <w:rtl/>
          <w:lang w:bidi="ar-EG"/>
        </w:rPr>
        <w:t xml:space="preserve"> ،</w:t>
      </w:r>
      <w:r w:rsidRPr="00315653">
        <w:rPr>
          <w:rFonts w:hint="cs"/>
          <w:color w:val="000000"/>
          <w:rtl/>
          <w:lang w:bidi="ar-EG"/>
        </w:rPr>
        <w:t xml:space="preserve"> فالتضامن بين الكفيل والمدين وإن كان من الناحية النظرية ليس هو الأصل إذ لا بد من اشتراطه</w:t>
      </w:r>
      <w:r>
        <w:rPr>
          <w:rFonts w:hint="cs"/>
          <w:color w:val="000000"/>
          <w:rtl/>
          <w:lang w:bidi="ar-EG"/>
        </w:rPr>
        <w:t xml:space="preserve"> ،</w:t>
      </w:r>
      <w:r w:rsidRPr="00315653">
        <w:rPr>
          <w:rFonts w:hint="cs"/>
          <w:color w:val="000000"/>
          <w:rtl/>
          <w:lang w:bidi="ar-EG"/>
        </w:rPr>
        <w:t xml:space="preserve"> إلا أنه من الناحية العملية هو الذي يقع في العادة</w:t>
      </w:r>
      <w:r>
        <w:rPr>
          <w:rFonts w:hint="cs"/>
          <w:color w:val="000000"/>
          <w:rtl/>
          <w:lang w:bidi="ar-EG"/>
        </w:rPr>
        <w:t xml:space="preserve"> ،</w:t>
      </w:r>
      <w:r w:rsidRPr="00315653">
        <w:rPr>
          <w:rFonts w:hint="cs"/>
          <w:color w:val="000000"/>
          <w:rtl/>
          <w:lang w:bidi="ar-EG"/>
        </w:rPr>
        <w:t xml:space="preserve"> فيتشرط الدائن عادة تضامن الكفيل مع المدين</w:t>
      </w:r>
      <w:r>
        <w:rPr>
          <w:rFonts w:hint="cs"/>
          <w:color w:val="000000"/>
          <w:vertAlign w:val="superscript"/>
          <w:rtl/>
          <w:lang w:bidi="ar-EG"/>
        </w:rPr>
        <w:t xml:space="preserve">( </w:t>
      </w:r>
      <w:r w:rsidRPr="00315653">
        <w:rPr>
          <w:rStyle w:val="ab"/>
          <w:color w:val="000000"/>
          <w:rtl/>
          <w:lang w:bidi="ar-EG"/>
        </w:rPr>
        <w:footnoteReference w:id="33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ويصح أن يكون اشتراط الدائن للتضامن في العقد ذاته الذي أنشأ الدين وهذا هو الغالب</w:t>
      </w:r>
      <w:r>
        <w:rPr>
          <w:rFonts w:hint="cs"/>
          <w:color w:val="000000"/>
          <w:rtl/>
          <w:lang w:bidi="ar-EG"/>
        </w:rPr>
        <w:t xml:space="preserve"> ،</w:t>
      </w:r>
      <w:r w:rsidRPr="00315653">
        <w:rPr>
          <w:rFonts w:hint="cs"/>
          <w:color w:val="000000"/>
          <w:rtl/>
          <w:lang w:bidi="ar-EG"/>
        </w:rPr>
        <w:t xml:space="preserve"> كما يصح أن يكون في عقد مستقل يأتي تاليا لعقد الدين</w:t>
      </w:r>
      <w:r>
        <w:rPr>
          <w:rFonts w:hint="cs"/>
          <w:color w:val="000000"/>
          <w:rtl/>
          <w:lang w:bidi="ar-EG"/>
        </w:rPr>
        <w:t xml:space="preserve"> ،</w:t>
      </w:r>
      <w:r w:rsidRPr="00315653">
        <w:rPr>
          <w:rFonts w:hint="cs"/>
          <w:color w:val="000000"/>
          <w:rtl/>
          <w:lang w:bidi="ar-EG"/>
        </w:rPr>
        <w:t xml:space="preserve"> كما إذا كانت $ 142 الكفالة في عقد مستقل يأتي تالياً لعقد الدين فيشترط الدائن فيه التضامن وسواء كان الاتفاق على التضامن واقعاً في العقد الذي أنشأ الدين أو كان تالياً له</w:t>
      </w:r>
      <w:r>
        <w:rPr>
          <w:rFonts w:hint="cs"/>
          <w:color w:val="000000"/>
          <w:rtl/>
          <w:lang w:bidi="ar-EG"/>
        </w:rPr>
        <w:t xml:space="preserve"> ،</w:t>
      </w:r>
      <w:r w:rsidRPr="00315653">
        <w:rPr>
          <w:rFonts w:hint="cs"/>
          <w:color w:val="000000"/>
          <w:rtl/>
          <w:lang w:bidi="ar-EG"/>
        </w:rPr>
        <w:t xml:space="preserve"> فإنه لا يجوز افتراض وجود التضامن دون الاتفاق على ذلك اتفاقاً واضحاً لا شك فيه</w:t>
      </w:r>
      <w:r>
        <w:rPr>
          <w:rFonts w:hint="cs"/>
          <w:color w:val="000000"/>
          <w:vertAlign w:val="superscript"/>
          <w:rtl/>
          <w:lang w:bidi="ar-EG"/>
        </w:rPr>
        <w:t xml:space="preserve">( </w:t>
      </w:r>
      <w:r w:rsidRPr="00315653">
        <w:rPr>
          <w:rStyle w:val="ab"/>
          <w:color w:val="000000"/>
          <w:rtl/>
          <w:lang w:bidi="ar-EG"/>
        </w:rPr>
        <w:footnoteReference w:id="33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لم يشترط الدائن التضامن</w:t>
      </w:r>
      <w:r>
        <w:rPr>
          <w:rFonts w:hint="cs"/>
          <w:color w:val="000000"/>
          <w:rtl/>
          <w:lang w:bidi="ar-EG"/>
        </w:rPr>
        <w:t xml:space="preserve"> ،</w:t>
      </w:r>
      <w:r w:rsidRPr="00315653">
        <w:rPr>
          <w:rFonts w:hint="cs"/>
          <w:color w:val="000000"/>
          <w:rtl/>
          <w:lang w:bidi="ar-EG"/>
        </w:rPr>
        <w:t xml:space="preserve"> فسر العقد لمصلحة الكفيل فيكون غير متضامن مع المدين</w:t>
      </w:r>
      <w:r>
        <w:rPr>
          <w:rFonts w:hint="cs"/>
          <w:color w:val="000000"/>
          <w:rtl/>
          <w:lang w:bidi="ar-EG"/>
        </w:rPr>
        <w:t xml:space="preserve"> .</w:t>
      </w:r>
      <w:r w:rsidRPr="00315653">
        <w:rPr>
          <w:rFonts w:hint="cs"/>
          <w:color w:val="000000"/>
          <w:rtl/>
          <w:lang w:bidi="ar-EG"/>
        </w:rPr>
        <w:t xml:space="preserve"> وشرط التضامن قد يكون ضمنياً</w:t>
      </w:r>
      <w:r>
        <w:rPr>
          <w:rFonts w:hint="cs"/>
          <w:color w:val="000000"/>
          <w:rtl/>
          <w:lang w:bidi="ar-EG"/>
        </w:rPr>
        <w:t xml:space="preserve"> ،</w:t>
      </w:r>
      <w:r w:rsidRPr="00315653">
        <w:rPr>
          <w:rFonts w:hint="cs"/>
          <w:color w:val="000000"/>
          <w:rtl/>
          <w:lang w:bidi="ar-EG"/>
        </w:rPr>
        <w:t xml:space="preserve"> إذ الشرط الضمني غير الشرطي المفترض</w:t>
      </w:r>
      <w:r>
        <w:rPr>
          <w:rFonts w:hint="cs"/>
          <w:color w:val="000000"/>
          <w:rtl/>
          <w:lang w:bidi="ar-EG"/>
        </w:rPr>
        <w:t xml:space="preserve"> ،</w:t>
      </w:r>
      <w:r w:rsidRPr="00315653">
        <w:rPr>
          <w:rFonts w:hint="cs"/>
          <w:color w:val="000000"/>
          <w:rtl/>
          <w:lang w:bidi="ar-EG"/>
        </w:rPr>
        <w:t xml:space="preserve"> فالتضامن لا يجوز أن يقوم على شرط مفترض ولكن يجوز أن يقوم على شرط ضمني</w:t>
      </w:r>
      <w:r>
        <w:rPr>
          <w:rFonts w:hint="cs"/>
          <w:color w:val="000000"/>
          <w:rtl/>
          <w:lang w:bidi="ar-EG"/>
        </w:rPr>
        <w:t xml:space="preserve"> .</w:t>
      </w:r>
      <w:r w:rsidRPr="00315653">
        <w:rPr>
          <w:rFonts w:hint="cs"/>
          <w:color w:val="000000"/>
          <w:rtl/>
          <w:lang w:bidi="ar-EG"/>
        </w:rPr>
        <w:t xml:space="preserve"> ويترتب على عدم جواز افتراض التضامن أن من يدعي قيام التضامن عليه أن يثبت وجوده</w:t>
      </w:r>
      <w:r>
        <w:rPr>
          <w:rFonts w:hint="cs"/>
          <w:color w:val="000000"/>
          <w:rtl/>
          <w:lang w:bidi="ar-EG"/>
        </w:rPr>
        <w:t xml:space="preserve"> ،</w:t>
      </w:r>
      <w:r w:rsidRPr="00315653">
        <w:rPr>
          <w:rFonts w:hint="cs"/>
          <w:color w:val="000000"/>
          <w:rtl/>
          <w:lang w:bidi="ar-EG"/>
        </w:rPr>
        <w:t xml:space="preserve"> ويثبت شرط الضامن طبقاً للقواعد العامة في الإثبات</w:t>
      </w:r>
      <w:r>
        <w:rPr>
          <w:rFonts w:hint="cs"/>
          <w:color w:val="000000"/>
          <w:rtl/>
          <w:lang w:bidi="ar-EG"/>
        </w:rPr>
        <w:t xml:space="preserve"> ،</w:t>
      </w:r>
      <w:r w:rsidRPr="00315653">
        <w:rPr>
          <w:rFonts w:hint="cs"/>
          <w:color w:val="000000"/>
          <w:rtl/>
          <w:lang w:bidi="ar-EG"/>
        </w:rPr>
        <w:t xml:space="preserve"> وعند الشك في قيام التضامن يعتبر أنه غير موجود</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Pr>
          <w:rFonts w:hint="cs"/>
          <w:color w:val="000000"/>
          <w:rtl/>
        </w:rPr>
        <w:t xml:space="preserve">( </w:t>
      </w:r>
      <w:r w:rsidRPr="00315653">
        <w:rPr>
          <w:rFonts w:hint="cs"/>
          <w:color w:val="000000"/>
          <w:rtl/>
        </w:rPr>
        <w:t>المصدر الثاني</w:t>
      </w:r>
      <w:r>
        <w:rPr>
          <w:rFonts w:hint="cs"/>
          <w:color w:val="000000"/>
          <w:rtl/>
        </w:rPr>
        <w:t xml:space="preserve"> )</w:t>
      </w:r>
      <w:r w:rsidRPr="00315653">
        <w:rPr>
          <w:rFonts w:hint="cs"/>
          <w:color w:val="000000"/>
          <w:rtl/>
        </w:rPr>
        <w:t xml:space="preserve"> القانون</w:t>
      </w:r>
      <w:r>
        <w:rPr>
          <w:rFonts w:hint="cs"/>
          <w:color w:val="000000"/>
          <w:rtl/>
        </w:rPr>
        <w:t xml:space="preserve"> :</w:t>
      </w:r>
      <w:r w:rsidRPr="00315653">
        <w:rPr>
          <w:rFonts w:hint="cs"/>
          <w:color w:val="000000"/>
          <w:rtl/>
        </w:rPr>
        <w:t xml:space="preserve"> وقد رأينا مثلين على تضامن مصدره القانون ما بين الكفيل والمدين</w:t>
      </w:r>
      <w:r>
        <w:rPr>
          <w:rFonts w:hint="cs"/>
          <w:color w:val="000000"/>
          <w:rtl/>
        </w:rPr>
        <w:t xml:space="preserve"> ،</w:t>
      </w:r>
      <w:r w:rsidRPr="00315653">
        <w:rPr>
          <w:rFonts w:hint="cs"/>
          <w:color w:val="000000"/>
          <w:rtl/>
        </w:rPr>
        <w:t xml:space="preserve"> وهما الكفالة القضائية والكفالة القانونية</w:t>
      </w:r>
      <w:r>
        <w:rPr>
          <w:rFonts w:hint="cs"/>
          <w:color w:val="000000"/>
          <w:rtl/>
        </w:rPr>
        <w:t xml:space="preserve"> .</w:t>
      </w:r>
      <w:r w:rsidRPr="00315653">
        <w:rPr>
          <w:rFonts w:hint="cs"/>
          <w:color w:val="000000"/>
          <w:rtl/>
        </w:rPr>
        <w:t xml:space="preserve"> فكل كفيل قضائي يكون متضامنا مع المدين</w:t>
      </w:r>
      <w:r>
        <w:rPr>
          <w:rFonts w:hint="cs"/>
          <w:color w:val="000000"/>
          <w:rtl/>
        </w:rPr>
        <w:t xml:space="preserve"> ،</w:t>
      </w:r>
      <w:r w:rsidRPr="00315653">
        <w:rPr>
          <w:rFonts w:hint="cs"/>
          <w:color w:val="000000"/>
          <w:rtl/>
        </w:rPr>
        <w:t xml:space="preserve"> وكذلك يكون متضامناً مع المدين كل كفيل قانوني</w:t>
      </w:r>
      <w:r>
        <w:rPr>
          <w:rFonts w:hint="cs"/>
          <w:color w:val="000000"/>
          <w:rtl/>
        </w:rPr>
        <w:t xml:space="preserve"> ،</w:t>
      </w:r>
      <w:r w:rsidRPr="00315653">
        <w:rPr>
          <w:rFonts w:hint="cs"/>
          <w:color w:val="000000"/>
          <w:rtl/>
        </w:rPr>
        <w:t xml:space="preserve"> ومصدر التضامن هنا نص في القانون هو المادة 795 مدني التي مر ذكرها</w:t>
      </w:r>
      <w:r>
        <w:rPr>
          <w:rFonts w:hint="cs"/>
          <w:color w:val="000000"/>
          <w:vertAlign w:val="superscript"/>
          <w:rtl/>
          <w:lang w:bidi="ar-EG"/>
        </w:rPr>
        <w:t xml:space="preserve">( </w:t>
      </w:r>
      <w:r w:rsidRPr="00315653">
        <w:rPr>
          <w:rStyle w:val="ab"/>
          <w:color w:val="000000"/>
          <w:rtl/>
          <w:lang w:bidi="ar-EG"/>
        </w:rPr>
        <w:footnoteReference w:id="33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إذا كانت الكفالة ناشئة عن ضمان </w:t>
      </w:r>
      <w:r w:rsidRPr="00315653">
        <w:rPr>
          <w:rFonts w:hint="cs"/>
          <w:color w:val="000000"/>
          <w:rtl/>
          <w:lang w:bidi="ar-EG"/>
        </w:rPr>
        <w:lastRenderedPageBreak/>
        <w:t xml:space="preserve">الأوراق التجارية $143 ضماناً احتياطياًن فإن الضامن الاحتياطي </w:t>
      </w:r>
      <w:r>
        <w:rPr>
          <w:color w:val="000000"/>
          <w:rtl/>
          <w:lang w:bidi="ar-EG"/>
        </w:rPr>
        <w:t xml:space="preserve">( </w:t>
      </w:r>
      <w:r w:rsidRPr="00315653">
        <w:rPr>
          <w:color w:val="000000"/>
          <w:lang w:bidi="ar-EG"/>
        </w:rPr>
        <w:t>aval</w:t>
      </w:r>
      <w:r>
        <w:rPr>
          <w:color w:val="000000"/>
          <w:rtl/>
          <w:lang w:bidi="ar-EG"/>
        </w:rPr>
        <w:t xml:space="preserve"> )</w:t>
      </w:r>
      <w:r w:rsidRPr="00315653">
        <w:rPr>
          <w:rFonts w:hint="cs"/>
          <w:color w:val="000000"/>
          <w:rtl/>
        </w:rPr>
        <w:t xml:space="preserve"> يكون كفيلا متضامناً مع الدين</w:t>
      </w:r>
      <w:r>
        <w:rPr>
          <w:rFonts w:hint="cs"/>
          <w:color w:val="000000"/>
          <w:rtl/>
        </w:rPr>
        <w:t xml:space="preserve"> ،</w:t>
      </w:r>
      <w:r w:rsidRPr="00315653">
        <w:rPr>
          <w:rFonts w:hint="cs"/>
          <w:color w:val="000000"/>
          <w:rtl/>
        </w:rPr>
        <w:t xml:space="preserve"> ومصدر التضامن هنا نص في القانون</w:t>
      </w:r>
      <w:r>
        <w:rPr>
          <w:rFonts w:hint="cs"/>
          <w:color w:val="000000"/>
          <w:rtl/>
        </w:rPr>
        <w:t xml:space="preserve"> ،</w:t>
      </w:r>
      <w:r w:rsidRPr="00315653">
        <w:rPr>
          <w:rFonts w:hint="cs"/>
          <w:color w:val="000000"/>
          <w:rtl/>
        </w:rPr>
        <w:t xml:space="preserve"> فقد نصت المادة 139 تجاري على أن "الضمان الاحتياطي يكون عن الساحب أو المحيل</w:t>
      </w:r>
      <w:r>
        <w:rPr>
          <w:rFonts w:hint="cs"/>
          <w:color w:val="000000"/>
          <w:rtl/>
        </w:rPr>
        <w:t xml:space="preserve"> ،</w:t>
      </w:r>
      <w:r w:rsidRPr="00315653">
        <w:rPr>
          <w:rFonts w:hint="cs"/>
          <w:color w:val="000000"/>
          <w:rtl/>
        </w:rPr>
        <w:t xml:space="preserve"> ويلزم الضامن احتياطاً بالوفاء على وجه التضامن بالأوجه التي يلزم المضمون على سحبها</w:t>
      </w:r>
      <w:r>
        <w:rPr>
          <w:rFonts w:hint="cs"/>
          <w:color w:val="000000"/>
          <w:rtl/>
        </w:rPr>
        <w:t xml:space="preserve"> ،</w:t>
      </w:r>
      <w:r w:rsidRPr="00315653">
        <w:rPr>
          <w:rFonts w:hint="cs"/>
          <w:color w:val="000000"/>
          <w:rtl/>
        </w:rPr>
        <w:t xml:space="preserve"> ما لم توجد شروط بخلاف ذلك بين المتعاقدين"</w:t>
      </w:r>
      <w:r>
        <w:rPr>
          <w:rFonts w:hint="cs"/>
          <w:color w:val="000000"/>
          <w:vertAlign w:val="superscript"/>
          <w:rtl/>
          <w:lang w:bidi="ar-EG"/>
        </w:rPr>
        <w:t xml:space="preserve">( </w:t>
      </w:r>
      <w:r w:rsidRPr="00315653">
        <w:rPr>
          <w:rStyle w:val="ab"/>
          <w:color w:val="000000"/>
          <w:rtl/>
          <w:lang w:bidi="ar-EG"/>
        </w:rPr>
        <w:footnoteReference w:id="33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كانت الكفالة ناشئة ع تظهير </w:t>
      </w:r>
      <w:r>
        <w:rPr>
          <w:color w:val="000000"/>
          <w:rtl/>
          <w:lang w:bidi="ar-EG"/>
        </w:rPr>
        <w:t xml:space="preserve">( </w:t>
      </w:r>
      <w:r w:rsidRPr="00315653">
        <w:rPr>
          <w:color w:val="000000"/>
          <w:lang w:bidi="ar-EG"/>
        </w:rPr>
        <w:t>endossement</w:t>
      </w:r>
      <w:r>
        <w:rPr>
          <w:color w:val="000000"/>
          <w:rtl/>
          <w:lang w:bidi="ar-EG"/>
        </w:rPr>
        <w:t xml:space="preserve"> )</w:t>
      </w:r>
      <w:r w:rsidRPr="00315653">
        <w:rPr>
          <w:rFonts w:hint="cs"/>
          <w:color w:val="000000"/>
          <w:rtl/>
          <w:lang w:bidi="ar-EG"/>
        </w:rPr>
        <w:t xml:space="preserve"> الأوراق التجارية</w:t>
      </w:r>
      <w:r>
        <w:rPr>
          <w:rFonts w:hint="cs"/>
          <w:color w:val="000000"/>
          <w:rtl/>
          <w:lang w:bidi="ar-EG"/>
        </w:rPr>
        <w:t xml:space="preserve"> ،</w:t>
      </w:r>
      <w:r w:rsidRPr="00315653">
        <w:rPr>
          <w:rFonts w:hint="cs"/>
          <w:color w:val="000000"/>
          <w:rtl/>
          <w:lang w:bidi="ar-EG"/>
        </w:rPr>
        <w:t xml:space="preserve"> فالقابل والمحيلون كفلاء للساحب متضامنون معه</w:t>
      </w:r>
      <w:r>
        <w:rPr>
          <w:rFonts w:hint="cs"/>
          <w:color w:val="000000"/>
          <w:rtl/>
          <w:lang w:bidi="ar-EG"/>
        </w:rPr>
        <w:t xml:space="preserve"> ،</w:t>
      </w:r>
      <w:r w:rsidRPr="00315653">
        <w:rPr>
          <w:rFonts w:hint="cs"/>
          <w:color w:val="000000"/>
          <w:rtl/>
          <w:lang w:bidi="ar-EG"/>
        </w:rPr>
        <w:t xml:space="preserve"> ومصدر التضامن هنا نص في القانون</w:t>
      </w:r>
      <w:r>
        <w:rPr>
          <w:rFonts w:hint="cs"/>
          <w:color w:val="000000"/>
          <w:rtl/>
          <w:lang w:bidi="ar-EG"/>
        </w:rPr>
        <w:t xml:space="preserve"> ،</w:t>
      </w:r>
      <w:r w:rsidRPr="00315653">
        <w:rPr>
          <w:rFonts w:hint="cs"/>
          <w:color w:val="000000"/>
          <w:rtl/>
          <w:lang w:bidi="ar-EG"/>
        </w:rPr>
        <w:t xml:space="preserve"> فقد نصت المادة 137 تجاري على أن "ساحب الكمبيالة وقابلها ومحيلها ملزمون لحاملها بالوفاء على وجه التضامن"</w:t>
      </w:r>
      <w:r>
        <w:rPr>
          <w:rFonts w:hint="cs"/>
          <w:color w:val="000000"/>
          <w:vertAlign w:val="superscript"/>
          <w:rtl/>
          <w:lang w:bidi="ar-EG"/>
        </w:rPr>
        <w:t xml:space="preserve">( </w:t>
      </w:r>
      <w:r w:rsidRPr="00315653">
        <w:rPr>
          <w:rStyle w:val="ab"/>
          <w:color w:val="000000"/>
          <w:rtl/>
          <w:lang w:bidi="ar-EG"/>
        </w:rPr>
        <w:footnoteReference w:id="33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بيع السفينة نصت المادة 23/1 من التقنين البحري على أنه "يجب على الراسي عليه مزاد السفينة من أية حمولة كانت أن يدفع في ظرف أربع وعشرين ساعة من وقت مرسى المزاد ثلث الثمن الذي رسا به المزاد عليه أو يسلمه إلى صندوق المحكمة</w:t>
      </w:r>
      <w:r>
        <w:rPr>
          <w:rFonts w:hint="cs"/>
          <w:color w:val="000000"/>
          <w:rtl/>
          <w:lang w:bidi="ar-EG"/>
        </w:rPr>
        <w:t xml:space="preserve"> ،</w:t>
      </w:r>
      <w:r w:rsidRPr="00315653">
        <w:rPr>
          <w:rFonts w:hint="cs"/>
          <w:color w:val="000000"/>
          <w:rtl/>
          <w:lang w:bidi="ar-EG"/>
        </w:rPr>
        <w:t xml:space="preserve"> ويؤدي كفيلا معتمداً بالثلثين يكون له محل في القطر المصري ويضع إمضاءه مع المكفول على السند</w:t>
      </w:r>
      <w:r>
        <w:rPr>
          <w:rFonts w:hint="cs"/>
          <w:color w:val="000000"/>
          <w:rtl/>
          <w:lang w:bidi="ar-EG"/>
        </w:rPr>
        <w:t xml:space="preserve"> ،</w:t>
      </w:r>
      <w:r w:rsidRPr="00315653">
        <w:rPr>
          <w:rFonts w:hint="cs"/>
          <w:color w:val="000000"/>
          <w:rtl/>
          <w:lang w:bidi="ar-EG"/>
        </w:rPr>
        <w:t xml:space="preserve"> ويكونان ملزمين على وجه التضامن بدفع الثلثين المذكورين في ميعاد أحد عشر يوماً من يوم مرسى المزاد</w:t>
      </w:r>
      <w:r>
        <w:rPr>
          <w:rFonts w:hint="cs"/>
          <w:color w:val="000000"/>
          <w:rtl/>
          <w:lang w:bidi="ar-EG"/>
        </w:rPr>
        <w:t xml:space="preserve"> .</w:t>
      </w:r>
      <w:r w:rsidRPr="00315653">
        <w:rPr>
          <w:rFonts w:hint="cs"/>
          <w:color w:val="000000"/>
          <w:rtl/>
          <w:lang w:bidi="ar-EG"/>
        </w:rPr>
        <w:t xml:space="preserve"> فهنا يقدم الراسي عليه مزاد السفينة كفيلا بثلثي الثمن</w:t>
      </w:r>
      <w:r>
        <w:rPr>
          <w:rFonts w:hint="cs"/>
          <w:color w:val="000000"/>
          <w:rtl/>
          <w:lang w:bidi="ar-EG"/>
        </w:rPr>
        <w:t xml:space="preserve"> ،</w:t>
      </w:r>
      <w:r w:rsidRPr="00315653">
        <w:rPr>
          <w:rFonts w:hint="cs"/>
          <w:color w:val="000000"/>
          <w:rtl/>
          <w:lang w:bidi="ar-EG"/>
        </w:rPr>
        <w:t xml:space="preserve"> أي ما يتبقى في ذمته من الثمن</w:t>
      </w:r>
      <w:r>
        <w:rPr>
          <w:rFonts w:hint="cs"/>
          <w:color w:val="000000"/>
          <w:rtl/>
          <w:lang w:bidi="ar-EG"/>
        </w:rPr>
        <w:t xml:space="preserve"> ،</w:t>
      </w:r>
      <w:r w:rsidRPr="00315653">
        <w:rPr>
          <w:rFonts w:hint="cs"/>
          <w:color w:val="000000"/>
          <w:rtl/>
          <w:lang w:bidi="ar-EG"/>
        </w:rPr>
        <w:t xml:space="preserve"> ويكون هذا الكفيل متضامناً معه أي مع المدين نحو الدائن</w:t>
      </w:r>
      <w:r>
        <w:rPr>
          <w:rFonts w:hint="cs"/>
          <w:color w:val="000000"/>
          <w:rtl/>
          <w:lang w:bidi="ar-EG"/>
        </w:rPr>
        <w:t xml:space="preserve"> ،</w:t>
      </w:r>
      <w:r w:rsidRPr="00315653">
        <w:rPr>
          <w:rFonts w:hint="cs"/>
          <w:color w:val="000000"/>
          <w:rtl/>
          <w:lang w:bidi="ar-EG"/>
        </w:rPr>
        <w:t>وذلك بموجب المادة23/1 بحري سالفة الذكر</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54- تضامن الكفلاء فيما بينهم</w:t>
      </w:r>
      <w:r>
        <w:rPr>
          <w:rFonts w:hint="cs"/>
          <w:color w:val="000000"/>
          <w:rtl/>
        </w:rPr>
        <w:t xml:space="preserve"> :</w:t>
      </w:r>
      <w:r w:rsidRPr="00315653">
        <w:rPr>
          <w:rFonts w:hint="cs"/>
          <w:color w:val="000000"/>
          <w:rtl/>
        </w:rPr>
        <w:t xml:space="preserve"> وقد يتعدد الكفلاء</w:t>
      </w:r>
      <w:r>
        <w:rPr>
          <w:rFonts w:hint="cs"/>
          <w:color w:val="000000"/>
          <w:rtl/>
        </w:rPr>
        <w:t xml:space="preserve"> ،</w:t>
      </w:r>
      <w:r w:rsidRPr="00315653">
        <w:rPr>
          <w:rFonts w:hint="cs"/>
          <w:color w:val="000000"/>
          <w:rtl/>
        </w:rPr>
        <w:t xml:space="preserve"> ويكون متضامنين فيما بينهم</w:t>
      </w:r>
      <w:r>
        <w:rPr>
          <w:rFonts w:hint="cs"/>
          <w:color w:val="000000"/>
          <w:rtl/>
        </w:rPr>
        <w:t xml:space="preserve"> ،</w:t>
      </w:r>
      <w:r w:rsidRPr="00315653">
        <w:rPr>
          <w:rFonts w:hint="cs"/>
          <w:color w:val="000000"/>
          <w:rtl/>
        </w:rPr>
        <w:t xml:space="preserve"> وغير متضامنين مع المدين</w:t>
      </w:r>
      <w:r>
        <w:rPr>
          <w:rFonts w:hint="cs"/>
          <w:color w:val="000000"/>
          <w:rtl/>
        </w:rPr>
        <w:t xml:space="preserve"> .</w:t>
      </w:r>
      <w:r w:rsidRPr="00315653">
        <w:rPr>
          <w:rFonts w:hint="cs"/>
          <w:color w:val="000000"/>
          <w:rtl/>
        </w:rPr>
        <w:t xml:space="preserve"> ومصدر تضامن الكفلاء فيما بينهم هو أيضاً</w:t>
      </w:r>
      <w:r>
        <w:rPr>
          <w:rFonts w:hint="cs"/>
          <w:color w:val="000000"/>
          <w:rtl/>
        </w:rPr>
        <w:t xml:space="preserve"> ،</w:t>
      </w:r>
      <w:r w:rsidRPr="00315653">
        <w:rPr>
          <w:rFonts w:hint="cs"/>
          <w:color w:val="000000"/>
          <w:rtl/>
        </w:rPr>
        <w:t xml:space="preserve"> مصدر تضامن الكفيل مع المدين فيما قدناه</w:t>
      </w:r>
      <w:r>
        <w:rPr>
          <w:rFonts w:hint="cs"/>
          <w:color w:val="000000"/>
          <w:rtl/>
        </w:rPr>
        <w:t xml:space="preserve"> ،</w:t>
      </w:r>
      <w:r w:rsidRPr="00315653">
        <w:rPr>
          <w:rFonts w:hint="cs"/>
          <w:color w:val="000000"/>
          <w:rtl/>
        </w:rPr>
        <w:t xml:space="preserve"> الاتفاق أو القانون</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ويجوز أن يكون الكفلاء المتعددون متضامنين فيما بينهم ومتضامنين مع  $144 المدين في وقت واجد</w:t>
      </w:r>
      <w:r>
        <w:rPr>
          <w:rFonts w:hint="cs"/>
          <w:color w:val="000000"/>
          <w:rtl/>
        </w:rPr>
        <w:t xml:space="preserve"> ،</w:t>
      </w:r>
      <w:r w:rsidRPr="00315653">
        <w:rPr>
          <w:rFonts w:hint="cs"/>
          <w:color w:val="000000"/>
          <w:rtl/>
        </w:rPr>
        <w:t xml:space="preserve"> وهذا هو الغالب</w:t>
      </w:r>
      <w:r>
        <w:rPr>
          <w:rFonts w:hint="cs"/>
          <w:color w:val="000000"/>
          <w:rtl/>
        </w:rPr>
        <w:t xml:space="preserve"> .</w:t>
      </w:r>
      <w:r w:rsidRPr="00315653">
        <w:rPr>
          <w:rFonts w:hint="cs"/>
          <w:color w:val="000000"/>
          <w:rtl/>
        </w:rPr>
        <w:t xml:space="preserve"> فيكون الكفلاء والمدين متضامنين جميعاًً</w:t>
      </w:r>
      <w:r>
        <w:rPr>
          <w:rFonts w:hint="cs"/>
          <w:color w:val="000000"/>
          <w:rtl/>
        </w:rPr>
        <w:t xml:space="preserve"> ،</w:t>
      </w:r>
      <w:r w:rsidRPr="00315653">
        <w:rPr>
          <w:rFonts w:hint="cs"/>
          <w:color w:val="000000"/>
          <w:rtl/>
        </w:rPr>
        <w:t xml:space="preserve"> الأولون باعتبارهم كفلاء والأخير باعتباره مدنياً أصلياً</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ويجوز أن يكون كل من الكفلاء المتعددين متضامناً مع المدين</w:t>
      </w:r>
      <w:r>
        <w:rPr>
          <w:rFonts w:hint="cs"/>
          <w:color w:val="000000"/>
          <w:rtl/>
        </w:rPr>
        <w:t xml:space="preserve"> ،</w:t>
      </w:r>
      <w:r w:rsidRPr="00315653">
        <w:rPr>
          <w:rFonts w:hint="cs"/>
          <w:color w:val="000000"/>
          <w:rtl/>
        </w:rPr>
        <w:t xml:space="preserve"> دون أن يكون هؤلاء الكفلاء المتعددون متضامنين فيما بينهم</w:t>
      </w:r>
      <w:r>
        <w:rPr>
          <w:rFonts w:hint="cs"/>
          <w:color w:val="000000"/>
          <w:rtl/>
        </w:rPr>
        <w:t xml:space="preserve"> .</w:t>
      </w:r>
      <w:r w:rsidRPr="00315653">
        <w:rPr>
          <w:rFonts w:hint="cs"/>
          <w:color w:val="000000"/>
          <w:rtl/>
        </w:rPr>
        <w:t xml:space="preserve"> فلو أن مديناً واحداً كان له كفيلان</w:t>
      </w:r>
      <w:r>
        <w:rPr>
          <w:rFonts w:hint="cs"/>
          <w:color w:val="000000"/>
          <w:rtl/>
        </w:rPr>
        <w:t xml:space="preserve"> ،</w:t>
      </w:r>
      <w:r w:rsidRPr="00315653">
        <w:rPr>
          <w:rFonts w:hint="cs"/>
          <w:color w:val="000000"/>
          <w:rtl/>
        </w:rPr>
        <w:t xml:space="preserve"> وكان كل كفيل متضامناً معه</w:t>
      </w:r>
      <w:r>
        <w:rPr>
          <w:rFonts w:hint="cs"/>
          <w:color w:val="000000"/>
          <w:rtl/>
        </w:rPr>
        <w:t xml:space="preserve"> ،</w:t>
      </w:r>
      <w:r w:rsidRPr="00315653">
        <w:rPr>
          <w:rFonts w:hint="cs"/>
          <w:color w:val="000000"/>
          <w:rtl/>
        </w:rPr>
        <w:t xml:space="preserve"> فإن الكفيلين لا يكونان متضامنين فيما بينهما</w:t>
      </w:r>
      <w:r>
        <w:rPr>
          <w:rFonts w:hint="cs"/>
          <w:color w:val="000000"/>
          <w:rtl/>
        </w:rPr>
        <w:t xml:space="preserve"> ،</w:t>
      </w:r>
      <w:r w:rsidRPr="00315653">
        <w:rPr>
          <w:rFonts w:hint="cs"/>
          <w:color w:val="000000"/>
          <w:rtl/>
        </w:rPr>
        <w:t xml:space="preserve"> مع أن كل كفيل منهما متضامناً مع المدين</w:t>
      </w:r>
      <w:r>
        <w:rPr>
          <w:rFonts w:hint="cs"/>
          <w:color w:val="000000"/>
          <w:rtl/>
        </w:rPr>
        <w:t xml:space="preserve"> .</w:t>
      </w:r>
      <w:r w:rsidRPr="00315653">
        <w:rPr>
          <w:rFonts w:hint="cs"/>
          <w:color w:val="000000"/>
          <w:rtl/>
        </w:rPr>
        <w:t xml:space="preserve"> ولكن مع ذلك يسري على الكفيلين كثير من أحكام التضامن كما لو كان متضامنين فيما بينهما</w:t>
      </w:r>
      <w:r>
        <w:rPr>
          <w:rFonts w:hint="cs"/>
          <w:color w:val="000000"/>
          <w:rtl/>
        </w:rPr>
        <w:t xml:space="preserve"> ،</w:t>
      </w:r>
      <w:r w:rsidRPr="00315653">
        <w:rPr>
          <w:rFonts w:hint="cs"/>
          <w:color w:val="000000"/>
          <w:rtl/>
        </w:rPr>
        <w:t xml:space="preserve"> وبوجه خاص يكون كل منهما مسئولا عن كل الدين ولا يكون لأي منهما حق التقسيم</w:t>
      </w:r>
      <w:r>
        <w:rPr>
          <w:rFonts w:hint="cs"/>
          <w:color w:val="000000"/>
          <w:rtl/>
        </w:rPr>
        <w:t xml:space="preserve"> ،</w:t>
      </w:r>
      <w:r w:rsidRPr="00315653">
        <w:rPr>
          <w:rFonts w:hint="cs"/>
          <w:color w:val="000000"/>
          <w:rtl/>
        </w:rPr>
        <w:t xml:space="preserve"> إذ أن كلا منهما مسئول عن كل الدين بحكم تضامنه مع المدين</w:t>
      </w:r>
      <w:r>
        <w:rPr>
          <w:rFonts w:hint="cs"/>
          <w:color w:val="000000"/>
          <w:vertAlign w:val="superscript"/>
          <w:rtl/>
          <w:lang w:bidi="ar-EG"/>
        </w:rPr>
        <w:t xml:space="preserve">( </w:t>
      </w:r>
      <w:r w:rsidRPr="00315653">
        <w:rPr>
          <w:rStyle w:val="ab"/>
          <w:color w:val="000000"/>
          <w:rtl/>
          <w:lang w:bidi="ar-EG"/>
        </w:rPr>
        <w:footnoteReference w:id="33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ويجوز أن يتعدد الكفلاء</w:t>
      </w:r>
      <w:r>
        <w:rPr>
          <w:rFonts w:hint="cs"/>
          <w:color w:val="000000"/>
          <w:rtl/>
          <w:lang w:bidi="ar-EG"/>
        </w:rPr>
        <w:t xml:space="preserve"> ،</w:t>
      </w:r>
      <w:r w:rsidRPr="00315653">
        <w:rPr>
          <w:rFonts w:hint="cs"/>
          <w:color w:val="000000"/>
          <w:rtl/>
          <w:lang w:bidi="ar-EG"/>
        </w:rPr>
        <w:t xml:space="preserve"> ويكون بعضهم متضامناً مع المدين وبعض آخر غير متضامن معه</w:t>
      </w:r>
      <w:r>
        <w:rPr>
          <w:rFonts w:hint="cs"/>
          <w:color w:val="000000"/>
          <w:rtl/>
          <w:lang w:bidi="ar-EG"/>
        </w:rPr>
        <w:t xml:space="preserve"> .</w:t>
      </w:r>
      <w:r w:rsidRPr="00315653">
        <w:rPr>
          <w:rFonts w:hint="cs"/>
          <w:color w:val="000000"/>
          <w:rtl/>
          <w:lang w:bidi="ar-EG"/>
        </w:rPr>
        <w:t xml:space="preserve"> فلو أن مديناً واحداً كان له ثلاثة كفلاء</w:t>
      </w:r>
      <w:r>
        <w:rPr>
          <w:rFonts w:hint="cs"/>
          <w:color w:val="000000"/>
          <w:rtl/>
          <w:lang w:bidi="ar-EG"/>
        </w:rPr>
        <w:t xml:space="preserve"> ،</w:t>
      </w:r>
      <w:r w:rsidRPr="00315653">
        <w:rPr>
          <w:rFonts w:hint="cs"/>
          <w:color w:val="000000"/>
          <w:rtl/>
          <w:lang w:bidi="ar-EG"/>
        </w:rPr>
        <w:t xml:space="preserve"> اثنان منهم متضامنان معه والثالث غير متضامن</w:t>
      </w:r>
      <w:r>
        <w:rPr>
          <w:rFonts w:hint="cs"/>
          <w:color w:val="000000"/>
          <w:rtl/>
          <w:lang w:bidi="ar-EG"/>
        </w:rPr>
        <w:t xml:space="preserve"> ،</w:t>
      </w:r>
      <w:r w:rsidRPr="00315653">
        <w:rPr>
          <w:rFonts w:hint="cs"/>
          <w:color w:val="000000"/>
          <w:rtl/>
          <w:lang w:bidi="ar-EG"/>
        </w:rPr>
        <w:t xml:space="preserve"> فالاثنان المتضامنان معه لا يكون لأي منهما حق التقسيم ولا حق التجريد</w:t>
      </w:r>
      <w:r>
        <w:rPr>
          <w:rFonts w:hint="cs"/>
          <w:color w:val="000000"/>
          <w:rtl/>
          <w:lang w:bidi="ar-EG"/>
        </w:rPr>
        <w:t xml:space="preserve"> ،</w:t>
      </w:r>
      <w:r w:rsidRPr="00315653">
        <w:rPr>
          <w:rFonts w:hint="cs"/>
          <w:color w:val="000000"/>
          <w:rtl/>
          <w:lang w:bidi="ar-EG"/>
        </w:rPr>
        <w:t xml:space="preserve"> ويكون كل منهما مسئولا عن كل الدين</w:t>
      </w:r>
      <w:r>
        <w:rPr>
          <w:rFonts w:hint="cs"/>
          <w:color w:val="000000"/>
          <w:rtl/>
          <w:lang w:bidi="ar-EG"/>
        </w:rPr>
        <w:t xml:space="preserve"> .</w:t>
      </w:r>
      <w:r w:rsidRPr="00315653">
        <w:rPr>
          <w:rFonts w:hint="cs"/>
          <w:color w:val="000000"/>
          <w:rtl/>
          <w:lang w:bidi="ar-EG"/>
        </w:rPr>
        <w:t xml:space="preserve"> أما الكفيل الثالث غير المتضامن مع المدين فيكون له حق التقسيم إذا توافرت شروطه فلا يكفل إلا حصته في الدين</w:t>
      </w:r>
      <w:r>
        <w:rPr>
          <w:rFonts w:hint="cs"/>
          <w:color w:val="000000"/>
          <w:rtl/>
          <w:lang w:bidi="ar-EG"/>
        </w:rPr>
        <w:t xml:space="preserve"> ،</w:t>
      </w:r>
      <w:r w:rsidRPr="00315653">
        <w:rPr>
          <w:rFonts w:hint="cs"/>
          <w:color w:val="000000"/>
          <w:rtl/>
          <w:lang w:bidi="ar-EG"/>
        </w:rPr>
        <w:t xml:space="preserve"> ويكون له أيضاً حق التجريد</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ويجوز أن يتعدد الكفلاء والمدينون في دين واحد</w:t>
      </w:r>
      <w:r>
        <w:rPr>
          <w:rFonts w:hint="cs"/>
          <w:color w:val="000000"/>
          <w:rtl/>
          <w:lang w:bidi="ar-EG"/>
        </w:rPr>
        <w:t xml:space="preserve"> ،</w:t>
      </w:r>
      <w:r w:rsidRPr="00315653">
        <w:rPr>
          <w:rFonts w:hint="cs"/>
          <w:color w:val="000000"/>
          <w:rtl/>
          <w:lang w:bidi="ar-EG"/>
        </w:rPr>
        <w:t xml:space="preserve"> ويكون المدينون متضامنين</w:t>
      </w:r>
      <w:r>
        <w:rPr>
          <w:rFonts w:hint="cs"/>
          <w:color w:val="000000"/>
          <w:vertAlign w:val="superscript"/>
          <w:rtl/>
          <w:lang w:bidi="ar-EG"/>
        </w:rPr>
        <w:t xml:space="preserve">( </w:t>
      </w:r>
      <w:r w:rsidRPr="00315653">
        <w:rPr>
          <w:rStyle w:val="ab"/>
          <w:color w:val="000000"/>
          <w:rtl/>
          <w:lang w:bidi="ar-EG"/>
        </w:rPr>
        <w:footnoteReference w:id="33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فإن كان الكفلاء أيضاً متضامنين فيما بينهم</w:t>
      </w:r>
      <w:r>
        <w:rPr>
          <w:rFonts w:hint="cs"/>
          <w:color w:val="000000"/>
          <w:rtl/>
          <w:lang w:bidi="ar-EG"/>
        </w:rPr>
        <w:t xml:space="preserve"> ،</w:t>
      </w:r>
      <w:r w:rsidRPr="00315653">
        <w:rPr>
          <w:rFonts w:hint="cs"/>
          <w:color w:val="000000"/>
          <w:rtl/>
          <w:lang w:bidi="ar-EG"/>
        </w:rPr>
        <w:t xml:space="preserve"> ولكنهم غير متضامنين مع المدينين المتضامنين</w:t>
      </w:r>
      <w:r>
        <w:rPr>
          <w:rFonts w:hint="cs"/>
          <w:color w:val="000000"/>
          <w:rtl/>
          <w:lang w:bidi="ar-EG"/>
        </w:rPr>
        <w:t xml:space="preserve"> ،</w:t>
      </w:r>
      <w:r w:rsidRPr="00315653">
        <w:rPr>
          <w:rFonts w:hint="cs"/>
          <w:color w:val="000000"/>
          <w:rtl/>
          <w:lang w:bidi="ar-EG"/>
        </w:rPr>
        <w:t xml:space="preserve"> لم يكن لهؤلاء المدينين المتضامنين فيما بينهم حق التقسيم</w:t>
      </w:r>
      <w:r>
        <w:rPr>
          <w:rFonts w:hint="cs"/>
          <w:color w:val="000000"/>
          <w:rtl/>
          <w:lang w:bidi="ar-EG"/>
        </w:rPr>
        <w:t xml:space="preserve"> ،</w:t>
      </w:r>
      <w:r w:rsidRPr="00315653">
        <w:rPr>
          <w:rFonts w:hint="cs"/>
          <w:color w:val="000000"/>
          <w:rtl/>
          <w:lang w:bidi="ar-EG"/>
        </w:rPr>
        <w:t xml:space="preserve"> ولكن يكون لهم حق التجريد لأنهم غير متضامنين مع المدينين المتضامنين</w:t>
      </w:r>
      <w:r>
        <w:rPr>
          <w:rFonts w:hint="cs"/>
          <w:color w:val="000000"/>
          <w:rtl/>
          <w:lang w:bidi="ar-EG"/>
        </w:rPr>
        <w:t xml:space="preserve"> .</w:t>
      </w:r>
      <w:r w:rsidRPr="00315653">
        <w:rPr>
          <w:rFonts w:hint="cs"/>
          <w:color w:val="000000"/>
          <w:rtl/>
          <w:lang w:bidi="ar-EG"/>
        </w:rPr>
        <w:t xml:space="preserve"> أما إذا كان الكفلاء غير متضامنين فيما بينهم وكفلوا بعقد واحد</w:t>
      </w:r>
      <w:r>
        <w:rPr>
          <w:rFonts w:hint="cs"/>
          <w:color w:val="000000"/>
          <w:rtl/>
          <w:lang w:bidi="ar-EG"/>
        </w:rPr>
        <w:t xml:space="preserve"> ،</w:t>
      </w:r>
      <w:r w:rsidRPr="00315653">
        <w:rPr>
          <w:rFonts w:hint="cs"/>
          <w:color w:val="000000"/>
          <w:rtl/>
          <w:lang w:bidi="ar-EG"/>
        </w:rPr>
        <w:t xml:space="preserve"> كان لهم حق التقسيم</w:t>
      </w:r>
      <w:r>
        <w:rPr>
          <w:rFonts w:hint="cs"/>
          <w:color w:val="000000"/>
          <w:rtl/>
          <w:lang w:bidi="ar-EG"/>
        </w:rPr>
        <w:t xml:space="preserve"> ،</w:t>
      </w:r>
      <w:r w:rsidRPr="00315653">
        <w:rPr>
          <w:rFonts w:hint="cs"/>
          <w:color w:val="000000"/>
          <w:rtl/>
          <w:lang w:bidi="ar-EG"/>
        </w:rPr>
        <w:t xml:space="preserve"> وكان لهم أيضاً حق التجريد</w:t>
      </w:r>
      <w:r>
        <w:rPr>
          <w:rFonts w:hint="cs"/>
          <w:color w:val="000000"/>
          <w:rtl/>
          <w:lang w:bidi="ar-EG"/>
        </w:rPr>
        <w:t xml:space="preserve"> .</w:t>
      </w:r>
      <w:r w:rsidRPr="00315653">
        <w:rPr>
          <w:rFonts w:hint="cs"/>
          <w:color w:val="000000"/>
          <w:rtl/>
          <w:lang w:bidi="ar-EG"/>
        </w:rPr>
        <w:t xml:space="preserve"> فإذا كفلوا بعقود $145 متوالية</w:t>
      </w:r>
      <w:r>
        <w:rPr>
          <w:rFonts w:hint="cs"/>
          <w:color w:val="000000"/>
          <w:rtl/>
          <w:lang w:bidi="ar-EG"/>
        </w:rPr>
        <w:t xml:space="preserve"> ،</w:t>
      </w:r>
      <w:r w:rsidRPr="00315653">
        <w:rPr>
          <w:rFonts w:hint="cs"/>
          <w:color w:val="000000"/>
          <w:rtl/>
          <w:lang w:bidi="ar-EG"/>
        </w:rPr>
        <w:t xml:space="preserve"> لم يكن لهم حق التقسيم إلا إذا احتفظ أي منهم بهذا الحق فيكون له</w:t>
      </w:r>
      <w:r>
        <w:rPr>
          <w:rFonts w:hint="cs"/>
          <w:color w:val="000000"/>
          <w:rtl/>
          <w:lang w:bidi="ar-EG"/>
        </w:rPr>
        <w:t xml:space="preserve"> ،</w:t>
      </w:r>
      <w:r w:rsidRPr="00315653">
        <w:rPr>
          <w:rFonts w:hint="cs"/>
          <w:color w:val="000000"/>
          <w:rtl/>
          <w:lang w:bidi="ar-EG"/>
        </w:rPr>
        <w:t xml:space="preserve"> ولكن يكون لهم حق التجريد لأنهم غير متضامنين مع المدينين المتضامنين</w:t>
      </w:r>
      <w:r>
        <w:rPr>
          <w:rFonts w:hint="cs"/>
          <w:color w:val="000000"/>
          <w:rtl/>
          <w:lang w:bidi="ar-EG"/>
        </w:rPr>
        <w:t xml:space="preserve"> .</w:t>
      </w:r>
      <w:r w:rsidRPr="00315653">
        <w:rPr>
          <w:rFonts w:hint="cs"/>
          <w:color w:val="000000"/>
          <w:rtl/>
          <w:lang w:bidi="ar-EG"/>
        </w:rPr>
        <w:t xml:space="preserve"> فإذا كان الكفلاء متضامنين فيما بينهم ومتضامنين أيضاً مع المدينين المتضامين</w:t>
      </w:r>
      <w:r>
        <w:rPr>
          <w:rFonts w:hint="cs"/>
          <w:color w:val="000000"/>
          <w:rtl/>
          <w:lang w:bidi="ar-EG"/>
        </w:rPr>
        <w:t xml:space="preserve"> ،</w:t>
      </w:r>
      <w:r w:rsidRPr="00315653">
        <w:rPr>
          <w:rFonts w:hint="cs"/>
          <w:color w:val="000000"/>
          <w:rtl/>
          <w:lang w:bidi="ar-EG"/>
        </w:rPr>
        <w:t xml:space="preserve"> لم يكن لهم لا حق التقسيم ولا </w:t>
      </w:r>
      <w:r w:rsidRPr="00315653">
        <w:rPr>
          <w:rFonts w:hint="cs"/>
          <w:color w:val="000000"/>
          <w:rtl/>
          <w:lang w:bidi="ar-EG"/>
        </w:rPr>
        <w:lastRenderedPageBreak/>
        <w:t>حق التجريد</w:t>
      </w:r>
      <w:r>
        <w:rPr>
          <w:rFonts w:hint="cs"/>
          <w:color w:val="000000"/>
          <w:vertAlign w:val="superscript"/>
          <w:rtl/>
          <w:lang w:bidi="ar-EG"/>
        </w:rPr>
        <w:t xml:space="preserve">( </w:t>
      </w:r>
      <w:r w:rsidRPr="00315653">
        <w:rPr>
          <w:rStyle w:val="ab"/>
          <w:color w:val="000000"/>
          <w:rtl/>
          <w:lang w:bidi="ar-EG"/>
        </w:rPr>
        <w:footnoteReference w:id="33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55- تطبيق أحكام التضامن</w:t>
      </w:r>
      <w:r>
        <w:rPr>
          <w:rFonts w:hint="cs"/>
          <w:color w:val="000000"/>
          <w:rtl/>
          <w:lang w:bidi="ar-EG"/>
        </w:rPr>
        <w:t xml:space="preserve"> :</w:t>
      </w:r>
      <w:r w:rsidRPr="00315653">
        <w:rPr>
          <w:rFonts w:hint="cs"/>
          <w:color w:val="000000"/>
          <w:rtl/>
          <w:lang w:bidi="ar-EG"/>
        </w:rPr>
        <w:t xml:space="preserve"> ويطبق على الكفلاء المتضامنين فيما بينهم وكذلك على الكفيل المتضامن مع المدين</w:t>
      </w:r>
      <w:r>
        <w:rPr>
          <w:rFonts w:hint="cs"/>
          <w:color w:val="000000"/>
          <w:rtl/>
          <w:lang w:bidi="ar-EG"/>
        </w:rPr>
        <w:t xml:space="preserve"> ،</w:t>
      </w:r>
      <w:r w:rsidRPr="00315653">
        <w:rPr>
          <w:rFonts w:hint="cs"/>
          <w:color w:val="000000"/>
          <w:rtl/>
          <w:lang w:bidi="ar-EG"/>
        </w:rPr>
        <w:t xml:space="preserve"> بوجه عام</w:t>
      </w:r>
      <w:r>
        <w:rPr>
          <w:rFonts w:hint="cs"/>
          <w:color w:val="000000"/>
          <w:rtl/>
          <w:lang w:bidi="ar-EG"/>
        </w:rPr>
        <w:t xml:space="preserve"> ،</w:t>
      </w:r>
      <w:r w:rsidRPr="00315653">
        <w:rPr>
          <w:rFonts w:hint="cs"/>
          <w:color w:val="000000"/>
          <w:rtl/>
          <w:lang w:bidi="ar-EG"/>
        </w:rPr>
        <w:t xml:space="preserve"> أحكام التضامن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ففيما يتعلق بالكفلاء المتضامنين فيما بينهم</w:t>
      </w:r>
      <w:r>
        <w:rPr>
          <w:rFonts w:hint="cs"/>
          <w:color w:val="000000"/>
          <w:rtl/>
          <w:lang w:bidi="ar-EG"/>
        </w:rPr>
        <w:t xml:space="preserve"> ،</w:t>
      </w:r>
      <w:r w:rsidRPr="00315653">
        <w:rPr>
          <w:rFonts w:hint="cs"/>
          <w:color w:val="000000"/>
          <w:rtl/>
          <w:lang w:bidi="ar-EG"/>
        </w:rPr>
        <w:t xml:space="preserve"> فهؤلاء يكونون في العلاقة بينهم وبين الدائن</w:t>
      </w:r>
      <w:r>
        <w:rPr>
          <w:rFonts w:hint="cs"/>
          <w:color w:val="000000"/>
          <w:rtl/>
          <w:lang w:bidi="ar-EG"/>
        </w:rPr>
        <w:t xml:space="preserve"> ،</w:t>
      </w:r>
      <w:r w:rsidRPr="00315653">
        <w:rPr>
          <w:rFonts w:hint="cs"/>
          <w:color w:val="000000"/>
          <w:rtl/>
          <w:lang w:bidi="ar-EG"/>
        </w:rPr>
        <w:t xml:space="preserve"> مدينين متضامنين ليس لهم حق التقسيم</w:t>
      </w:r>
      <w:r>
        <w:rPr>
          <w:rFonts w:hint="cs"/>
          <w:color w:val="000000"/>
          <w:rtl/>
          <w:lang w:bidi="ar-EG"/>
        </w:rPr>
        <w:t xml:space="preserve"> .</w:t>
      </w:r>
      <w:r w:rsidRPr="00315653">
        <w:rPr>
          <w:rFonts w:hint="cs"/>
          <w:color w:val="000000"/>
          <w:rtl/>
          <w:lang w:bidi="ar-EG"/>
        </w:rPr>
        <w:t xml:space="preserve"> ولهم حق التجريد إذا كانوا غير متضامنين مع المدين</w:t>
      </w:r>
      <w:r>
        <w:rPr>
          <w:rFonts w:hint="cs"/>
          <w:color w:val="000000"/>
          <w:rtl/>
          <w:lang w:bidi="ar-EG"/>
        </w:rPr>
        <w:t xml:space="preserve"> ،</w:t>
      </w:r>
      <w:r w:rsidRPr="00315653">
        <w:rPr>
          <w:rFonts w:hint="cs"/>
          <w:color w:val="000000"/>
          <w:rtl/>
          <w:lang w:bidi="ar-EG"/>
        </w:rPr>
        <w:t xml:space="preserve"> وليس لهم هذا الحق إذا كانون متضامنين معه</w:t>
      </w:r>
      <w:r>
        <w:rPr>
          <w:rFonts w:hint="cs"/>
          <w:color w:val="000000"/>
          <w:rtl/>
          <w:lang w:bidi="ar-EG"/>
        </w:rPr>
        <w:t xml:space="preserve"> .</w:t>
      </w:r>
      <w:r w:rsidRPr="00315653">
        <w:rPr>
          <w:rFonts w:hint="cs"/>
          <w:color w:val="000000"/>
          <w:rtl/>
          <w:lang w:bidi="ar-EG"/>
        </w:rPr>
        <w:t xml:space="preserve"> فيجوز للدائن أن يطالب أياً من الكفلاء المتضامنين فيما بينهم بكل الدين</w:t>
      </w:r>
      <w:r>
        <w:rPr>
          <w:rFonts w:hint="cs"/>
          <w:color w:val="000000"/>
          <w:rtl/>
          <w:lang w:bidi="ar-EG"/>
        </w:rPr>
        <w:t xml:space="preserve"> ،</w:t>
      </w:r>
      <w:r w:rsidRPr="00315653">
        <w:rPr>
          <w:rFonts w:hint="cs"/>
          <w:color w:val="000000"/>
          <w:rtl/>
          <w:lang w:bidi="ar-EG"/>
        </w:rPr>
        <w:t xml:space="preserve"> ويرجع ذلك إلى فكرة وحدة المحل</w:t>
      </w:r>
      <w:r>
        <w:rPr>
          <w:rFonts w:hint="cs"/>
          <w:color w:val="000000"/>
          <w:vertAlign w:val="superscript"/>
          <w:rtl/>
          <w:lang w:bidi="ar-EG"/>
        </w:rPr>
        <w:t xml:space="preserve">( </w:t>
      </w:r>
      <w:r w:rsidRPr="00315653">
        <w:rPr>
          <w:rStyle w:val="ab"/>
          <w:color w:val="000000"/>
          <w:rtl/>
          <w:lang w:bidi="ar-EG"/>
        </w:rPr>
        <w:footnoteReference w:id="33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ويجوز لكل كفيل أن يحتج بأوجه الدفع الخاصة به وبأوجه الدفع المشتركة بين الكفلاء جميعاً</w:t>
      </w:r>
      <w:r>
        <w:rPr>
          <w:rFonts w:hint="cs"/>
          <w:color w:val="000000"/>
          <w:rtl/>
          <w:lang w:bidi="ar-EG"/>
        </w:rPr>
        <w:t xml:space="preserve"> ،</w:t>
      </w:r>
      <w:r w:rsidRPr="00315653">
        <w:rPr>
          <w:rFonts w:hint="cs"/>
          <w:color w:val="000000"/>
          <w:rtl/>
          <w:lang w:bidi="ar-EG"/>
        </w:rPr>
        <w:t xml:space="preserve"> ولكن ليس له أن يحتج بأوجه الدفع الخاصة بكفيل آخر</w:t>
      </w:r>
      <w:r>
        <w:rPr>
          <w:rFonts w:hint="cs"/>
          <w:color w:val="000000"/>
          <w:rtl/>
          <w:lang w:bidi="ar-EG"/>
        </w:rPr>
        <w:t xml:space="preserve"> .</w:t>
      </w:r>
      <w:r w:rsidRPr="00315653">
        <w:rPr>
          <w:rFonts w:hint="cs"/>
          <w:color w:val="000000"/>
          <w:rtl/>
          <w:lang w:bidi="ar-EG"/>
        </w:rPr>
        <w:t xml:space="preserve"> أما إذا انقضى $146 التزام أحد الكفلاء بسبب غير الوفاء</w:t>
      </w:r>
      <w:r>
        <w:rPr>
          <w:rFonts w:hint="cs"/>
          <w:color w:val="000000"/>
          <w:rtl/>
          <w:lang w:bidi="ar-EG"/>
        </w:rPr>
        <w:t xml:space="preserve"> ،</w:t>
      </w:r>
      <w:r w:rsidRPr="00315653">
        <w:rPr>
          <w:rFonts w:hint="cs"/>
          <w:color w:val="000000"/>
          <w:rtl/>
          <w:lang w:bidi="ar-EG"/>
        </w:rPr>
        <w:t xml:space="preserve"> كتجديد أو مقاصة أو اتحاد ذمة أو غبراء أو تقادم</w:t>
      </w:r>
      <w:r>
        <w:rPr>
          <w:rFonts w:hint="cs"/>
          <w:color w:val="000000"/>
          <w:rtl/>
          <w:lang w:bidi="ar-EG"/>
        </w:rPr>
        <w:t xml:space="preserve"> ،</w:t>
      </w:r>
      <w:r w:rsidRPr="00315653">
        <w:rPr>
          <w:rFonts w:hint="cs"/>
          <w:color w:val="000000"/>
          <w:rtl/>
          <w:lang w:bidi="ar-EG"/>
        </w:rPr>
        <w:t xml:space="preserve"> فإن أثر انقضاء الالتزام يقتصر عليه</w:t>
      </w:r>
      <w:r>
        <w:rPr>
          <w:rFonts w:hint="cs"/>
          <w:color w:val="000000"/>
          <w:rtl/>
          <w:lang w:bidi="ar-EG"/>
        </w:rPr>
        <w:t xml:space="preserve"> ،</w:t>
      </w:r>
      <w:r w:rsidRPr="00315653">
        <w:rPr>
          <w:rFonts w:hint="cs"/>
          <w:color w:val="000000"/>
          <w:rtl/>
          <w:lang w:bidi="ar-EG"/>
        </w:rPr>
        <w:t xml:space="preserve"> ولا يحتج أي كفيل آخر بهذا السبب إلا بقدر حصة الكفيل الذي قام به سبب الانقضاء</w:t>
      </w:r>
      <w:r>
        <w:rPr>
          <w:rFonts w:hint="cs"/>
          <w:color w:val="000000"/>
          <w:rtl/>
          <w:lang w:bidi="ar-EG"/>
        </w:rPr>
        <w:t xml:space="preserve"> ،</w:t>
      </w:r>
      <w:r w:rsidRPr="00315653">
        <w:rPr>
          <w:rFonts w:hint="cs"/>
          <w:color w:val="000000"/>
          <w:rtl/>
          <w:lang w:bidi="ar-EG"/>
        </w:rPr>
        <w:t xml:space="preserve"> ويرجع ذلك إلى فكرة تعدد الروابط</w:t>
      </w:r>
      <w:r>
        <w:rPr>
          <w:rFonts w:hint="cs"/>
          <w:color w:val="000000"/>
          <w:rtl/>
          <w:lang w:bidi="ar-EG"/>
        </w:rPr>
        <w:t xml:space="preserve"> .</w:t>
      </w:r>
      <w:r w:rsidRPr="00315653">
        <w:rPr>
          <w:rFonts w:hint="cs"/>
          <w:color w:val="000000"/>
          <w:rtl/>
          <w:lang w:bidi="ar-EG"/>
        </w:rPr>
        <w:t xml:space="preserve"> وهناك نيابة تبادلية بين الكفلاء المتضامنين فيما بينهم</w:t>
      </w:r>
      <w:r>
        <w:rPr>
          <w:rFonts w:hint="cs"/>
          <w:color w:val="000000"/>
          <w:rtl/>
          <w:lang w:bidi="ar-EG"/>
        </w:rPr>
        <w:t xml:space="preserve"> ،</w:t>
      </w:r>
      <w:r w:rsidRPr="00315653">
        <w:rPr>
          <w:rFonts w:hint="cs"/>
          <w:color w:val="000000"/>
          <w:rtl/>
          <w:lang w:bidi="ar-EG"/>
        </w:rPr>
        <w:t xml:space="preserve"> فيعتبر كل كفيل ممثلا للكفلاء الآخرين ونائباً عنهم فيما ينفعهم لا فيما يضرهم</w:t>
      </w:r>
      <w:r>
        <w:rPr>
          <w:rFonts w:hint="cs"/>
          <w:color w:val="000000"/>
          <w:rtl/>
          <w:lang w:bidi="ar-EG"/>
        </w:rPr>
        <w:t xml:space="preserve"> .</w:t>
      </w:r>
      <w:r w:rsidRPr="00315653">
        <w:rPr>
          <w:rFonts w:hint="cs"/>
          <w:color w:val="000000"/>
          <w:rtl/>
          <w:lang w:bidi="ar-EG"/>
        </w:rPr>
        <w:t xml:space="preserve"> وإذا وفي احد الكفلاء المتضامنين فيما بينهم كل الدين</w:t>
      </w:r>
      <w:r>
        <w:rPr>
          <w:rFonts w:hint="cs"/>
          <w:color w:val="000000"/>
          <w:rtl/>
          <w:lang w:bidi="ar-EG"/>
        </w:rPr>
        <w:t xml:space="preserve"> ،</w:t>
      </w:r>
      <w:r w:rsidRPr="00315653">
        <w:rPr>
          <w:rFonts w:hint="cs"/>
          <w:color w:val="000000"/>
          <w:rtl/>
          <w:lang w:bidi="ar-EG"/>
        </w:rPr>
        <w:t xml:space="preserve"> ل يجز له أن يرجع على أي م الكفلاء الباقين إلا بقدر حصته</w:t>
      </w:r>
      <w:r>
        <w:rPr>
          <w:rFonts w:hint="cs"/>
          <w:color w:val="000000"/>
          <w:rtl/>
          <w:lang w:bidi="ar-EG"/>
        </w:rPr>
        <w:t xml:space="preserve"> ،</w:t>
      </w:r>
      <w:r w:rsidRPr="00315653">
        <w:rPr>
          <w:rFonts w:hint="cs"/>
          <w:color w:val="000000"/>
          <w:rtl/>
          <w:lang w:bidi="ar-EG"/>
        </w:rPr>
        <w:t xml:space="preserve"> ولو كان بما له من حق الحلول قد رجع بدعوى الدائن</w:t>
      </w:r>
      <w:r>
        <w:rPr>
          <w:rFonts w:hint="cs"/>
          <w:color w:val="000000"/>
          <w:vertAlign w:val="superscript"/>
          <w:rtl/>
          <w:lang w:bidi="ar-EG"/>
        </w:rPr>
        <w:t xml:space="preserve">( </w:t>
      </w:r>
      <w:r w:rsidRPr="00315653">
        <w:rPr>
          <w:rStyle w:val="ab"/>
          <w:color w:val="000000"/>
          <w:rtl/>
          <w:lang w:bidi="ar-EG"/>
        </w:rPr>
        <w:footnoteReference w:id="34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وفيما يتعلق بالكفيل المتضامن مع المدين</w:t>
      </w:r>
      <w:r>
        <w:rPr>
          <w:rFonts w:hint="cs"/>
          <w:color w:val="000000"/>
          <w:rtl/>
          <w:lang w:bidi="ar-EG"/>
        </w:rPr>
        <w:t xml:space="preserve"> ،</w:t>
      </w:r>
      <w:r w:rsidRPr="00315653">
        <w:rPr>
          <w:rFonts w:hint="cs"/>
          <w:color w:val="000000"/>
          <w:rtl/>
          <w:lang w:bidi="ar-EG"/>
        </w:rPr>
        <w:t xml:space="preserve"> يكون الاثنان بالنسبة إلى الدائن مدينين متضامنين بوجه عام فيجوز للدائن أن يطالب بكل الدين أياً من المدين أو الكفيل</w:t>
      </w:r>
      <w:r>
        <w:rPr>
          <w:rFonts w:hint="cs"/>
          <w:color w:val="000000"/>
          <w:rtl/>
          <w:lang w:bidi="ar-EG"/>
        </w:rPr>
        <w:t xml:space="preserve"> .</w:t>
      </w:r>
      <w:r w:rsidRPr="00315653">
        <w:rPr>
          <w:rFonts w:hint="cs"/>
          <w:color w:val="000000"/>
          <w:rtl/>
          <w:lang w:bidi="ar-EG"/>
        </w:rPr>
        <w:t xml:space="preserve"> على أن الكفيل المتضامن يختلف عن الكفل العادي </w:t>
      </w:r>
      <w:r>
        <w:rPr>
          <w:rFonts w:hint="cs"/>
          <w:color w:val="000000"/>
          <w:rtl/>
          <w:lang w:bidi="ar-EG"/>
        </w:rPr>
        <w:t xml:space="preserve">( </w:t>
      </w:r>
      <w:r w:rsidRPr="00315653">
        <w:rPr>
          <w:rFonts w:hint="cs"/>
          <w:color w:val="000000"/>
          <w:rtl/>
          <w:lang w:bidi="ar-EG"/>
        </w:rPr>
        <w:t>أي غير المتضامن مع المدين</w:t>
      </w:r>
      <w:r>
        <w:rPr>
          <w:rFonts w:hint="cs"/>
          <w:color w:val="000000"/>
          <w:rtl/>
          <w:lang w:bidi="ar-EG"/>
        </w:rPr>
        <w:t xml:space="preserve"> )</w:t>
      </w:r>
      <w:r w:rsidRPr="00315653">
        <w:rPr>
          <w:rFonts w:hint="cs"/>
          <w:color w:val="000000"/>
          <w:rtl/>
          <w:lang w:bidi="ar-EG"/>
        </w:rPr>
        <w:t xml:space="preserve"> في أنه بوجه خاص ليس له أن يتمسك بحق التجريد</w:t>
      </w:r>
      <w:r>
        <w:rPr>
          <w:rFonts w:hint="cs"/>
          <w:color w:val="000000"/>
          <w:rtl/>
          <w:lang w:bidi="ar-EG"/>
        </w:rPr>
        <w:t xml:space="preserve"> ،</w:t>
      </w:r>
      <w:r w:rsidRPr="00315653">
        <w:rPr>
          <w:rFonts w:hint="cs"/>
          <w:color w:val="000000"/>
          <w:rtl/>
          <w:lang w:bidi="ar-EG"/>
        </w:rPr>
        <w:t xml:space="preserve"> ثم يختلف عن المدين المتضامن في الدفوع التي يستطيع أن يحتج بها</w:t>
      </w:r>
      <w:r>
        <w:rPr>
          <w:rFonts w:hint="cs"/>
          <w:color w:val="000000"/>
          <w:rtl/>
          <w:lang w:bidi="ar-EG"/>
        </w:rPr>
        <w:t xml:space="preserve"> .</w:t>
      </w:r>
      <w:r w:rsidRPr="00315653">
        <w:rPr>
          <w:rFonts w:hint="cs"/>
          <w:color w:val="000000"/>
          <w:rtl/>
          <w:lang w:bidi="ar-EG"/>
        </w:rPr>
        <w:t xml:space="preserve"> فتقارن الكفيل المتضامن بالكفيل العادي من جهة</w:t>
      </w:r>
      <w:r>
        <w:rPr>
          <w:rFonts w:hint="cs"/>
          <w:color w:val="000000"/>
          <w:rtl/>
          <w:lang w:bidi="ar-EG"/>
        </w:rPr>
        <w:t xml:space="preserve"> ،</w:t>
      </w:r>
      <w:r w:rsidRPr="00315653">
        <w:rPr>
          <w:rFonts w:hint="cs"/>
          <w:color w:val="000000"/>
          <w:rtl/>
          <w:lang w:bidi="ar-EG"/>
        </w:rPr>
        <w:t xml:space="preserve"> ثم نقارنه بالمدين المتضامن من جهة أخرى</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56- الكفيل المتضامن والكفيل العادي </w:t>
      </w:r>
      <w:r w:rsidRPr="00315653">
        <w:rPr>
          <w:b/>
          <w:bCs/>
          <w:color w:val="000000"/>
          <w:rtl/>
          <w:lang w:bidi="ar-EG"/>
        </w:rPr>
        <w:t>–</w:t>
      </w:r>
      <w:r w:rsidRPr="00315653">
        <w:rPr>
          <w:rFonts w:hint="cs"/>
          <w:b/>
          <w:bCs/>
          <w:color w:val="000000"/>
          <w:rtl/>
          <w:lang w:bidi="ar-EG"/>
        </w:rPr>
        <w:t xml:space="preserve"> حرمان الكفيل المتضامن من حق التجريد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793 مدني على ما يأتي</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$147 "لا يجوز للكفيل المتضامن أن يطلب التجريد"</w:t>
      </w:r>
      <w:r>
        <w:rPr>
          <w:rFonts w:hint="cs"/>
          <w:color w:val="000000"/>
          <w:vertAlign w:val="superscript"/>
          <w:rtl/>
          <w:lang w:bidi="ar-EG"/>
        </w:rPr>
        <w:t xml:space="preserve">( </w:t>
      </w:r>
      <w:r w:rsidRPr="00315653">
        <w:rPr>
          <w:rStyle w:val="ab"/>
          <w:color w:val="000000"/>
          <w:rtl/>
          <w:lang w:bidi="ar-EG"/>
        </w:rPr>
        <w:footnoteReference w:id="34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وقد رأينا أن الكفيل العادي له أن يتمسك بوجوب رجوع الدائن على المدين أولا</w:t>
      </w:r>
      <w:r>
        <w:rPr>
          <w:rFonts w:hint="cs"/>
          <w:color w:val="000000"/>
          <w:rtl/>
          <w:lang w:bidi="ar-EG"/>
        </w:rPr>
        <w:t xml:space="preserve"> ،</w:t>
      </w:r>
      <w:r w:rsidRPr="00315653">
        <w:rPr>
          <w:rFonts w:hint="cs"/>
          <w:color w:val="000000"/>
          <w:rtl/>
          <w:lang w:bidi="ar-EG"/>
        </w:rPr>
        <w:t xml:space="preserve"> وله أن يتمسك أيضاً بتنفيذ الدائن على أموال المدين الأول وهذا  هو حق التجريد</w:t>
      </w:r>
      <w:r>
        <w:rPr>
          <w:rFonts w:hint="cs"/>
          <w:color w:val="000000"/>
          <w:rtl/>
          <w:lang w:bidi="ar-EG"/>
        </w:rPr>
        <w:t xml:space="preserve"> ،</w:t>
      </w:r>
      <w:r w:rsidRPr="00315653">
        <w:rPr>
          <w:rFonts w:hint="cs"/>
          <w:color w:val="000000"/>
          <w:rtl/>
          <w:lang w:bidi="ar-EG"/>
        </w:rPr>
        <w:t xml:space="preserve"> أما الكفيل المتضامن</w:t>
      </w:r>
      <w:r>
        <w:rPr>
          <w:rFonts w:hint="cs"/>
          <w:color w:val="000000"/>
          <w:rtl/>
          <w:lang w:bidi="ar-EG"/>
        </w:rPr>
        <w:t xml:space="preserve"> ،</w:t>
      </w:r>
      <w:r w:rsidRPr="00315653">
        <w:rPr>
          <w:rFonts w:hint="cs"/>
          <w:color w:val="000000"/>
          <w:rtl/>
          <w:lang w:bidi="ar-EG"/>
        </w:rPr>
        <w:t xml:space="preserve"> فليس له أن يتمسك بأي من الحقين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فإذا رجع الدائن على الكفيل المتضامن قبل أن يرجع على المدين</w:t>
      </w:r>
      <w:r>
        <w:rPr>
          <w:rFonts w:hint="cs"/>
          <w:color w:val="000000"/>
          <w:rtl/>
          <w:lang w:bidi="ar-EG"/>
        </w:rPr>
        <w:t xml:space="preserve"> ،</w:t>
      </w:r>
      <w:r w:rsidRPr="00315653">
        <w:rPr>
          <w:rFonts w:hint="cs"/>
          <w:color w:val="000000"/>
          <w:rtl/>
          <w:lang w:bidi="ar-EG"/>
        </w:rPr>
        <w:t xml:space="preserve"> فليس للكفيل المتضامن أن يدفع رجوع الدائن عليه بوجوب أن يرجع هذا الأخير أولا على المدين</w:t>
      </w:r>
      <w:r>
        <w:rPr>
          <w:rFonts w:hint="cs"/>
          <w:color w:val="000000"/>
          <w:rtl/>
          <w:lang w:bidi="ar-EG"/>
        </w:rPr>
        <w:t xml:space="preserve"> .</w:t>
      </w:r>
      <w:r w:rsidRPr="00315653">
        <w:rPr>
          <w:rFonts w:hint="cs"/>
          <w:color w:val="000000"/>
          <w:rtl/>
          <w:lang w:bidi="ar-EG"/>
        </w:rPr>
        <w:t xml:space="preserve"> وهذا الحكم هو من أهم أحكام الكفيل المتضامن</w:t>
      </w:r>
      <w:r>
        <w:rPr>
          <w:rFonts w:hint="cs"/>
          <w:color w:val="000000"/>
          <w:rtl/>
          <w:lang w:bidi="ar-EG"/>
        </w:rPr>
        <w:t xml:space="preserve"> ،</w:t>
      </w:r>
      <w:r w:rsidRPr="00315653">
        <w:rPr>
          <w:rFonts w:hint="cs"/>
          <w:color w:val="000000"/>
          <w:rtl/>
          <w:lang w:bidi="ar-EG"/>
        </w:rPr>
        <w:t xml:space="preserve"> ومن اجل هذا جعل الكفيل متضامناً مع المدين</w:t>
      </w:r>
      <w:r>
        <w:rPr>
          <w:rFonts w:hint="cs"/>
          <w:color w:val="000000"/>
          <w:rtl/>
          <w:lang w:bidi="ar-EG"/>
        </w:rPr>
        <w:t xml:space="preserve"> .</w:t>
      </w:r>
      <w:r w:rsidRPr="00315653">
        <w:rPr>
          <w:rFonts w:hint="cs"/>
          <w:color w:val="000000"/>
          <w:rtl/>
          <w:lang w:bidi="ar-EG"/>
        </w:rPr>
        <w:t xml:space="preserve"> فالكفيل المتضامن مسئول عن كل الدين كالكفيل العادي</w:t>
      </w:r>
      <w:r>
        <w:rPr>
          <w:rFonts w:hint="cs"/>
          <w:color w:val="000000"/>
          <w:rtl/>
          <w:lang w:bidi="ar-EG"/>
        </w:rPr>
        <w:t xml:space="preserve"> ،</w:t>
      </w:r>
      <w:r w:rsidRPr="00315653">
        <w:rPr>
          <w:rFonts w:hint="cs"/>
          <w:color w:val="000000"/>
          <w:rtl/>
          <w:lang w:bidi="ar-EG"/>
        </w:rPr>
        <w:t xml:space="preserve"> ولكنه يختلف عن الكفيل العادي في أن الدائن يستطيع أن يرجع عليه بكل الدين قبل أن يرجع عليه بكل الدين قبل أن يرجع على المدين</w:t>
      </w:r>
      <w:r>
        <w:rPr>
          <w:rFonts w:hint="cs"/>
          <w:color w:val="000000"/>
          <w:rtl/>
          <w:lang w:bidi="ar-EG"/>
        </w:rPr>
        <w:t xml:space="preserve"> .</w:t>
      </w:r>
      <w:r w:rsidRPr="00315653">
        <w:rPr>
          <w:rFonts w:hint="cs"/>
          <w:color w:val="000000"/>
          <w:rtl/>
          <w:lang w:bidi="ar-EG"/>
        </w:rPr>
        <w:t xml:space="preserve"> فالدائن إذن مخير أن شاء رجع على المدين وإن شاء رجع على الكفيل المتضامن</w:t>
      </w:r>
      <w:r>
        <w:rPr>
          <w:rFonts w:hint="cs"/>
          <w:color w:val="000000"/>
          <w:rtl/>
          <w:lang w:bidi="ar-EG"/>
        </w:rPr>
        <w:t xml:space="preserve"> ،</w:t>
      </w:r>
      <w:r w:rsidRPr="00315653">
        <w:rPr>
          <w:rFonts w:hint="cs"/>
          <w:color w:val="000000"/>
          <w:rtl/>
          <w:lang w:bidi="ar-EG"/>
        </w:rPr>
        <w:t xml:space="preserve"> وإذا رجع على أحدهما فإن ذلك لا يمنعه من الرجوع على الآخر وترك الرجوع على الأول</w:t>
      </w:r>
      <w:r>
        <w:rPr>
          <w:rFonts w:hint="cs"/>
          <w:color w:val="000000"/>
          <w:rtl/>
          <w:lang w:bidi="ar-EG"/>
        </w:rPr>
        <w:t xml:space="preserve"> .</w:t>
      </w:r>
      <w:r w:rsidRPr="00315653">
        <w:rPr>
          <w:rFonts w:hint="cs"/>
          <w:color w:val="000000"/>
          <w:rtl/>
          <w:lang w:bidi="ar-EG"/>
        </w:rPr>
        <w:t xml:space="preserve"> بل للدائن أن يرجع عليهما معاً في وقت واحد</w:t>
      </w:r>
      <w:r>
        <w:rPr>
          <w:rFonts w:hint="cs"/>
          <w:color w:val="000000"/>
          <w:rtl/>
          <w:lang w:bidi="ar-EG"/>
        </w:rPr>
        <w:t xml:space="preserve"> ،</w:t>
      </w:r>
      <w:r w:rsidRPr="00315653">
        <w:rPr>
          <w:rFonts w:hint="cs"/>
          <w:color w:val="000000"/>
          <w:rtl/>
          <w:lang w:bidi="ar-EG"/>
        </w:rPr>
        <w:t xml:space="preserve"> سواء كان الرجوع ابتداء أو كان بعد الرجوع على أحدهما</w:t>
      </w:r>
      <w:r>
        <w:rPr>
          <w:rFonts w:hint="cs"/>
          <w:color w:val="000000"/>
          <w:rtl/>
          <w:lang w:bidi="ar-EG"/>
        </w:rPr>
        <w:t xml:space="preserve"> .</w:t>
      </w:r>
      <w:r w:rsidRPr="00315653">
        <w:rPr>
          <w:rFonts w:hint="cs"/>
          <w:color w:val="000000"/>
          <w:rtl/>
          <w:lang w:bidi="ar-EG"/>
        </w:rPr>
        <w:t xml:space="preserve"> وتنص المادة 1031 مدني عراقي في هذا الصدد على أنه "إذا كان الكفيل متضامناً مع المدين</w:t>
      </w:r>
      <w:r>
        <w:rPr>
          <w:rFonts w:hint="cs"/>
          <w:color w:val="000000"/>
          <w:rtl/>
          <w:lang w:bidi="ar-EG"/>
        </w:rPr>
        <w:t xml:space="preserve"> ،</w:t>
      </w:r>
      <w:r w:rsidRPr="00315653">
        <w:rPr>
          <w:rFonts w:hint="cs"/>
          <w:color w:val="000000"/>
          <w:rtl/>
          <w:lang w:bidi="ar-EG"/>
        </w:rPr>
        <w:t xml:space="preserve"> فالدائن $148 مخير في المطالبة أن شاء طالب المدين وإن شاء طالب الكفيل</w:t>
      </w:r>
      <w:r>
        <w:rPr>
          <w:rFonts w:hint="cs"/>
          <w:color w:val="000000"/>
          <w:rtl/>
          <w:lang w:bidi="ar-EG"/>
        </w:rPr>
        <w:t xml:space="preserve"> .</w:t>
      </w:r>
      <w:r w:rsidRPr="00315653">
        <w:rPr>
          <w:rFonts w:hint="cs"/>
          <w:color w:val="000000"/>
          <w:rtl/>
          <w:lang w:bidi="ar-EG"/>
        </w:rPr>
        <w:t xml:space="preserve"> ومطالبته أحدهما لا تسقط حق مطالبته الآخر</w:t>
      </w:r>
      <w:r>
        <w:rPr>
          <w:rFonts w:hint="cs"/>
          <w:color w:val="000000"/>
          <w:rtl/>
          <w:lang w:bidi="ar-EG"/>
        </w:rPr>
        <w:t xml:space="preserve"> ،</w:t>
      </w:r>
      <w:r w:rsidRPr="00315653">
        <w:rPr>
          <w:rFonts w:hint="cs"/>
          <w:color w:val="000000"/>
          <w:rtl/>
          <w:lang w:bidi="ar-EG"/>
        </w:rPr>
        <w:t xml:space="preserve"> فبعد </w:t>
      </w:r>
      <w:r w:rsidRPr="00315653">
        <w:rPr>
          <w:rFonts w:hint="cs"/>
          <w:color w:val="000000"/>
          <w:rtl/>
          <w:lang w:bidi="ar-EG"/>
        </w:rPr>
        <w:lastRenderedPageBreak/>
        <w:t>مطالبته أحدهما له أن يطالب الآخر</w:t>
      </w:r>
      <w:r>
        <w:rPr>
          <w:rFonts w:hint="cs"/>
          <w:color w:val="000000"/>
          <w:rtl/>
          <w:lang w:bidi="ar-EG"/>
        </w:rPr>
        <w:t xml:space="preserve"> ،</w:t>
      </w:r>
      <w:r w:rsidRPr="00315653">
        <w:rPr>
          <w:rFonts w:hint="cs"/>
          <w:color w:val="000000"/>
          <w:rtl/>
          <w:lang w:bidi="ar-EG"/>
        </w:rPr>
        <w:t xml:space="preserve"> وله أن يطالبهما معاً"</w:t>
      </w:r>
      <w:r>
        <w:rPr>
          <w:rFonts w:hint="cs"/>
          <w:color w:val="000000"/>
          <w:vertAlign w:val="superscript"/>
          <w:rtl/>
          <w:lang w:bidi="ar-EG"/>
        </w:rPr>
        <w:t xml:space="preserve">( </w:t>
      </w:r>
      <w:r w:rsidRPr="00315653">
        <w:rPr>
          <w:rStyle w:val="ab"/>
          <w:color w:val="000000"/>
          <w:rtl/>
          <w:lang w:bidi="ar-EG"/>
        </w:rPr>
        <w:footnoteReference w:id="34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الكفيل العادي</w:t>
      </w:r>
      <w:r>
        <w:rPr>
          <w:rFonts w:hint="cs"/>
          <w:color w:val="000000"/>
          <w:rtl/>
          <w:lang w:bidi="ar-EG"/>
        </w:rPr>
        <w:t xml:space="preserve"> ،</w:t>
      </w:r>
      <w:r w:rsidRPr="00315653">
        <w:rPr>
          <w:rFonts w:hint="cs"/>
          <w:color w:val="000000"/>
          <w:rtl/>
          <w:lang w:bidi="ar-EG"/>
        </w:rPr>
        <w:t xml:space="preserve"> فلا يجوز للدائن أن يرجع عليه قبل المدين</w:t>
      </w:r>
      <w:r>
        <w:rPr>
          <w:rFonts w:hint="cs"/>
          <w:color w:val="000000"/>
          <w:rtl/>
          <w:lang w:bidi="ar-EG"/>
        </w:rPr>
        <w:t xml:space="preserve"> .</w:t>
      </w:r>
      <w:r w:rsidRPr="00315653">
        <w:rPr>
          <w:rFonts w:hint="cs"/>
          <w:color w:val="000000"/>
          <w:rtl/>
          <w:lang w:bidi="ar-EG"/>
        </w:rPr>
        <w:t xml:space="preserve"> وإذا فعل الدائن ذلكن كان للكفيل العادي أن يدفع رجوع الدائن عليه بوجوب رجوعه أولا على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وكذلك يجوز للدائن أن ينفذ بالدين على أموال الكفيل المتضامن مع المدين أولا</w:t>
      </w:r>
      <w:r>
        <w:rPr>
          <w:rFonts w:hint="cs"/>
          <w:color w:val="000000"/>
          <w:rtl/>
          <w:lang w:bidi="ar-EG"/>
        </w:rPr>
        <w:t xml:space="preserve"> ،</w:t>
      </w:r>
      <w:r w:rsidRPr="00315653">
        <w:rPr>
          <w:rFonts w:hint="cs"/>
          <w:color w:val="000000"/>
          <w:rtl/>
          <w:lang w:bidi="ar-EG"/>
        </w:rPr>
        <w:t xml:space="preserve"> ولا يستطيع هذا الأخير أن يتمسك قبل الدائن بحق التجريد</w:t>
      </w:r>
      <w:r>
        <w:rPr>
          <w:rFonts w:hint="cs"/>
          <w:color w:val="000000"/>
          <w:rtl/>
          <w:lang w:bidi="ar-EG"/>
        </w:rPr>
        <w:t xml:space="preserve"> ،</w:t>
      </w:r>
      <w:r w:rsidRPr="00315653">
        <w:rPr>
          <w:rFonts w:hint="cs"/>
          <w:color w:val="000000"/>
          <w:rtl/>
          <w:lang w:bidi="ar-EG"/>
        </w:rPr>
        <w:t xml:space="preserve"> وهذه مزية أخرى هامة لتضامن الكفيل مع المدين</w:t>
      </w:r>
      <w:r>
        <w:rPr>
          <w:rFonts w:hint="cs"/>
          <w:color w:val="000000"/>
          <w:rtl/>
          <w:lang w:bidi="ar-EG"/>
        </w:rPr>
        <w:t xml:space="preserve"> .</w:t>
      </w:r>
      <w:r w:rsidRPr="00315653">
        <w:rPr>
          <w:rFonts w:hint="cs"/>
          <w:color w:val="000000"/>
          <w:rtl/>
          <w:lang w:bidi="ar-EG"/>
        </w:rPr>
        <w:t xml:space="preserve"> أما الكفيل العادي</w:t>
      </w:r>
      <w:r>
        <w:rPr>
          <w:rFonts w:hint="cs"/>
          <w:color w:val="000000"/>
          <w:rtl/>
          <w:lang w:bidi="ar-EG"/>
        </w:rPr>
        <w:t xml:space="preserve"> ،</w:t>
      </w:r>
      <w:r w:rsidRPr="00315653">
        <w:rPr>
          <w:rFonts w:hint="cs"/>
          <w:color w:val="000000"/>
          <w:rtl/>
          <w:lang w:bidi="ar-EG"/>
        </w:rPr>
        <w:t xml:space="preserve"> فلا يجوز للدائن أن ينفذ الدين على أواله أولا</w:t>
      </w:r>
      <w:r>
        <w:rPr>
          <w:rFonts w:hint="cs"/>
          <w:color w:val="000000"/>
          <w:rtl/>
          <w:lang w:bidi="ar-EG"/>
        </w:rPr>
        <w:t xml:space="preserve"> ،</w:t>
      </w:r>
      <w:r w:rsidRPr="00315653">
        <w:rPr>
          <w:rFonts w:hint="cs"/>
          <w:color w:val="000000"/>
          <w:rtl/>
          <w:lang w:bidi="ar-EG"/>
        </w:rPr>
        <w:t xml:space="preserve"> وله أن يتمسك بحق التجريد</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57- الكفيل المتضامن والمدين المتضامن </w:t>
      </w:r>
      <w:r w:rsidRPr="00315653">
        <w:rPr>
          <w:b/>
          <w:bCs/>
          <w:color w:val="000000"/>
          <w:rtl/>
          <w:lang w:bidi="ar-EG"/>
        </w:rPr>
        <w:t>–</w:t>
      </w:r>
      <w:r w:rsidRPr="00315653">
        <w:rPr>
          <w:rFonts w:hint="cs"/>
          <w:b/>
          <w:bCs/>
          <w:color w:val="000000"/>
          <w:rtl/>
          <w:lang w:bidi="ar-EG"/>
        </w:rPr>
        <w:t xml:space="preserve"> أوجه الدفع التي يستطيع أن يحتج بها كل منهما </w:t>
      </w:r>
      <w:r w:rsidRPr="00315653">
        <w:rPr>
          <w:b/>
          <w:bCs/>
          <w:color w:val="000000"/>
          <w:rtl/>
          <w:lang w:bidi="ar-EG"/>
        </w:rPr>
        <w:t>–</w:t>
      </w:r>
      <w:r w:rsidRPr="00315653">
        <w:rPr>
          <w:rFonts w:hint="cs"/>
          <w:b/>
          <w:bCs/>
          <w:color w:val="000000"/>
          <w:rtl/>
          <w:lang w:bidi="ar-EG"/>
        </w:rPr>
        <w:t xml:space="preserve"> نص قانوني</w:t>
      </w:r>
      <w:r>
        <w:rPr>
          <w:rFonts w:hint="cs"/>
          <w:color w:val="000000"/>
          <w:rtl/>
          <w:lang w:bidi="ar-EG"/>
        </w:rPr>
        <w:t xml:space="preserve"> :</w:t>
      </w:r>
      <w:r w:rsidRPr="00315653">
        <w:rPr>
          <w:rFonts w:hint="cs"/>
          <w:color w:val="000000"/>
          <w:rtl/>
          <w:lang w:bidi="ar-EG"/>
        </w:rPr>
        <w:t xml:space="preserve"> تنص المادة 794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"يجوز للكفيل المتضامن أن يتمسك بما يتمسك به الكفيل غير المتضامن من دفوع متعلقة بالدين"</w:t>
      </w:r>
      <w:r>
        <w:rPr>
          <w:rFonts w:hint="cs"/>
          <w:color w:val="000000"/>
          <w:vertAlign w:val="superscript"/>
          <w:rtl/>
          <w:lang w:bidi="ar-EG"/>
        </w:rPr>
        <w:t xml:space="preserve">( </w:t>
      </w:r>
      <w:r w:rsidRPr="00315653">
        <w:rPr>
          <w:rStyle w:val="ab"/>
          <w:color w:val="000000"/>
          <w:rtl/>
          <w:lang w:bidi="ar-EG"/>
        </w:rPr>
        <w:footnoteReference w:id="34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$149 وقد ورد في المذكرة الإيضاحية للمشروع التمهيدي لنص هذه المادة أنها "تبحث في مركز الكفيل المتضامن مع المدين</w:t>
      </w:r>
      <w:r>
        <w:rPr>
          <w:rFonts w:hint="cs"/>
          <w:color w:val="000000"/>
          <w:rtl/>
          <w:lang w:bidi="ar-EG"/>
        </w:rPr>
        <w:t xml:space="preserve"> .</w:t>
      </w:r>
      <w:r w:rsidRPr="00315653">
        <w:rPr>
          <w:rFonts w:hint="cs"/>
          <w:color w:val="000000"/>
          <w:rtl/>
          <w:lang w:bidi="ar-EG"/>
        </w:rPr>
        <w:t xml:space="preserve"> وقد كان هذا المركز دائماً محل خلاف شديد</w:t>
      </w:r>
      <w:r>
        <w:rPr>
          <w:rFonts w:hint="cs"/>
          <w:color w:val="000000"/>
          <w:rtl/>
          <w:lang w:bidi="ar-EG"/>
        </w:rPr>
        <w:t xml:space="preserve"> :</w:t>
      </w:r>
      <w:r w:rsidRPr="00315653">
        <w:rPr>
          <w:rFonts w:hint="cs"/>
          <w:color w:val="000000"/>
          <w:rtl/>
          <w:lang w:bidi="ar-EG"/>
        </w:rPr>
        <w:t xml:space="preserve"> هل يعتبر الكفيل المتضامن في حكم المدين المتضامن فلا يجوز له التمسك بغير دفوعه الشخصية والدفوع المتعلقة بالدين دون الدفوع الخاصة بالمدين</w:t>
      </w:r>
      <w:r>
        <w:rPr>
          <w:rFonts w:hint="cs"/>
          <w:color w:val="000000"/>
          <w:rtl/>
          <w:lang w:bidi="ar-EG"/>
        </w:rPr>
        <w:t xml:space="preserve"> ،</w:t>
      </w:r>
      <w:r w:rsidRPr="00315653">
        <w:rPr>
          <w:rFonts w:hint="cs"/>
          <w:color w:val="000000"/>
          <w:rtl/>
          <w:lang w:bidi="ar-EG"/>
        </w:rPr>
        <w:t xml:space="preserve"> أم أن له أن يتمسك بكل الدفوع التي يتمسك بها الكفيل العادي مع حرمانه من حق التقسيم والتجريد؟ والتشريع المصري </w:t>
      </w:r>
      <w:r>
        <w:rPr>
          <w:rFonts w:hint="cs"/>
          <w:color w:val="000000"/>
          <w:rtl/>
          <w:lang w:bidi="ar-EG"/>
        </w:rPr>
        <w:t xml:space="preserve">( </w:t>
      </w:r>
      <w:r w:rsidRPr="00315653">
        <w:rPr>
          <w:rFonts w:hint="cs"/>
          <w:color w:val="000000"/>
          <w:rtl/>
          <w:lang w:bidi="ar-EG"/>
        </w:rPr>
        <w:t>السابق م 509/622</w:t>
      </w:r>
      <w:r>
        <w:rPr>
          <w:rFonts w:hint="cs"/>
          <w:color w:val="000000"/>
          <w:rtl/>
          <w:lang w:bidi="ar-EG"/>
        </w:rPr>
        <w:t xml:space="preserve"> ) ،</w:t>
      </w:r>
      <w:r w:rsidRPr="00315653">
        <w:rPr>
          <w:rFonts w:hint="cs"/>
          <w:color w:val="000000"/>
          <w:rtl/>
          <w:lang w:bidi="ar-EG"/>
        </w:rPr>
        <w:t xml:space="preserve"> ويجاريه المشروع في ذلك</w:t>
      </w:r>
      <w:r>
        <w:rPr>
          <w:rFonts w:hint="cs"/>
          <w:color w:val="000000"/>
          <w:rtl/>
          <w:lang w:bidi="ar-EG"/>
        </w:rPr>
        <w:t xml:space="preserve"> ،</w:t>
      </w:r>
      <w:r w:rsidRPr="00315653">
        <w:rPr>
          <w:rFonts w:hint="cs"/>
          <w:color w:val="000000"/>
          <w:rtl/>
          <w:lang w:bidi="ar-EG"/>
        </w:rPr>
        <w:t xml:space="preserve"> يؤيد الرأي القائل بأن الكفيل</w:t>
      </w:r>
      <w:r>
        <w:rPr>
          <w:rFonts w:hint="cs"/>
          <w:color w:val="000000"/>
          <w:rtl/>
          <w:lang w:bidi="ar-EG"/>
        </w:rPr>
        <w:t xml:space="preserve"> ،</w:t>
      </w:r>
      <w:r w:rsidRPr="00315653">
        <w:rPr>
          <w:rFonts w:hint="cs"/>
          <w:color w:val="000000"/>
          <w:rtl/>
          <w:lang w:bidi="ar-EG"/>
        </w:rPr>
        <w:t xml:space="preserve"> متضامناً أم عادياً</w:t>
      </w:r>
      <w:r>
        <w:rPr>
          <w:rFonts w:hint="cs"/>
          <w:color w:val="000000"/>
          <w:rtl/>
          <w:lang w:bidi="ar-EG"/>
        </w:rPr>
        <w:t xml:space="preserve"> ،</w:t>
      </w:r>
      <w:r w:rsidRPr="00315653">
        <w:rPr>
          <w:rFonts w:hint="cs"/>
          <w:color w:val="000000"/>
          <w:rtl/>
          <w:lang w:bidi="ar-EG"/>
        </w:rPr>
        <w:t xml:space="preserve"> له أن يدفع بكل دفوع المدين</w:t>
      </w:r>
      <w:r>
        <w:rPr>
          <w:rFonts w:hint="cs"/>
          <w:color w:val="000000"/>
          <w:rtl/>
          <w:lang w:bidi="ar-EG"/>
        </w:rPr>
        <w:t xml:space="preserve"> ،</w:t>
      </w:r>
      <w:r w:rsidRPr="00315653">
        <w:rPr>
          <w:rFonts w:hint="cs"/>
          <w:color w:val="000000"/>
          <w:rtl/>
          <w:lang w:bidi="ar-EG"/>
        </w:rPr>
        <w:t xml:space="preserve"> ما عدا نقص الأهلية إذا كان الكفيل يعلم به</w:t>
      </w:r>
      <w:r>
        <w:rPr>
          <w:rFonts w:hint="cs"/>
          <w:color w:val="000000"/>
          <w:rtl/>
          <w:lang w:bidi="ar-EG"/>
        </w:rPr>
        <w:t xml:space="preserve"> .</w:t>
      </w:r>
      <w:r w:rsidRPr="00315653">
        <w:rPr>
          <w:rFonts w:hint="cs"/>
          <w:color w:val="000000"/>
          <w:rtl/>
          <w:lang w:bidi="ar-EG"/>
        </w:rPr>
        <w:t xml:space="preserve"> ويتفق هذا الرأي في الواقع مع اتجاه التقنينات الحديثة نحو توسيع حق الكفيل في التمسك بكل الدفوع التي للمدين حتى الشخصية منها</w:t>
      </w:r>
      <w:r>
        <w:rPr>
          <w:rFonts w:hint="cs"/>
          <w:color w:val="000000"/>
          <w:rtl/>
          <w:lang w:bidi="ar-EG"/>
        </w:rPr>
        <w:t xml:space="preserve"> .</w:t>
      </w:r>
      <w:r w:rsidRPr="00315653">
        <w:rPr>
          <w:rFonts w:hint="cs"/>
          <w:color w:val="000000"/>
          <w:rtl/>
          <w:lang w:bidi="ar-EG"/>
        </w:rPr>
        <w:t xml:space="preserve"> كذلك يجاريه القضاء المصري هذا الرأي أيضاً</w:t>
      </w:r>
      <w:r>
        <w:rPr>
          <w:rFonts w:hint="cs"/>
          <w:color w:val="000000"/>
          <w:rtl/>
          <w:lang w:bidi="ar-EG"/>
        </w:rPr>
        <w:t xml:space="preserve"> :</w:t>
      </w:r>
      <w:r w:rsidRPr="00315653">
        <w:rPr>
          <w:rFonts w:hint="cs"/>
          <w:color w:val="000000"/>
          <w:rtl/>
          <w:lang w:bidi="ar-EG"/>
        </w:rPr>
        <w:t xml:space="preserve"> انظر على الأخص نقض 6 يونيه سنة 1940 المحاماة 21 ص 322 رقم 154 </w:t>
      </w:r>
      <w:r w:rsidRPr="00315653">
        <w:rPr>
          <w:color w:val="000000"/>
          <w:rtl/>
          <w:lang w:bidi="ar-EG"/>
        </w:rPr>
        <w:t>–</w:t>
      </w:r>
      <w:r w:rsidRPr="00315653">
        <w:rPr>
          <w:rFonts w:hint="cs"/>
          <w:color w:val="000000"/>
          <w:rtl/>
          <w:lang w:bidi="ar-EG"/>
        </w:rPr>
        <w:t xml:space="preserve"> استئناف أهلي 20 ديسمبر سنة 1939 المحاماة 20 ص 1162 رقم 491 </w:t>
      </w:r>
      <w:r w:rsidRPr="00315653">
        <w:rPr>
          <w:color w:val="000000"/>
          <w:rtl/>
          <w:lang w:bidi="ar-EG"/>
        </w:rPr>
        <w:t>–</w:t>
      </w:r>
      <w:r w:rsidRPr="00315653">
        <w:rPr>
          <w:rFonts w:hint="cs"/>
          <w:color w:val="000000"/>
          <w:rtl/>
          <w:lang w:bidi="ar-EG"/>
        </w:rPr>
        <w:t xml:space="preserve"> استئناف مختلط 14 فبراير سنة 1895 ب 7 ص 137 </w:t>
      </w:r>
      <w:r w:rsidRPr="00315653">
        <w:rPr>
          <w:color w:val="000000"/>
          <w:rtl/>
          <w:lang w:bidi="ar-EG"/>
        </w:rPr>
        <w:t>–</w:t>
      </w:r>
      <w:r w:rsidRPr="00315653">
        <w:rPr>
          <w:rFonts w:hint="cs"/>
          <w:color w:val="000000"/>
          <w:rtl/>
          <w:lang w:bidi="ar-EG"/>
        </w:rPr>
        <w:t xml:space="preserve"> 28 فبراير سنة 1900 ب 12 ص 23 </w:t>
      </w:r>
      <w:r w:rsidRPr="00315653">
        <w:rPr>
          <w:color w:val="000000"/>
          <w:rtl/>
          <w:lang w:bidi="ar-EG"/>
        </w:rPr>
        <w:t>–</w:t>
      </w:r>
      <w:r w:rsidRPr="00315653">
        <w:rPr>
          <w:rFonts w:hint="cs"/>
          <w:color w:val="000000"/>
          <w:rtl/>
          <w:lang w:bidi="ar-EG"/>
        </w:rPr>
        <w:t xml:space="preserve"> 20 أبريل سنة 1911 ب 23 ص 273 </w:t>
      </w:r>
      <w:r w:rsidRPr="00315653">
        <w:rPr>
          <w:color w:val="000000"/>
          <w:rtl/>
          <w:lang w:bidi="ar-EG"/>
        </w:rPr>
        <w:t>–</w:t>
      </w:r>
      <w:r w:rsidRPr="00315653">
        <w:rPr>
          <w:rFonts w:hint="cs"/>
          <w:color w:val="000000"/>
          <w:rtl/>
          <w:lang w:bidi="ar-EG"/>
        </w:rPr>
        <w:t xml:space="preserve"> راجع مع ذلك بني سويف 29 مايو سنة 1929 المحاماة 9 ص 1100 رقم 600</w:t>
      </w:r>
      <w:r>
        <w:rPr>
          <w:rFonts w:hint="cs"/>
          <w:color w:val="000000"/>
          <w:rtl/>
          <w:lang w:bidi="ar-EG"/>
        </w:rPr>
        <w:t xml:space="preserve"> )</w:t>
      </w:r>
      <w:r w:rsidRPr="00315653">
        <w:rPr>
          <w:rFonts w:hint="cs"/>
          <w:color w:val="000000"/>
          <w:rtl/>
          <w:lang w:bidi="ar-EG"/>
        </w:rPr>
        <w:t xml:space="preserve"> "مجت 525 </w:t>
      </w:r>
      <w:r w:rsidRPr="00315653">
        <w:rPr>
          <w:color w:val="000000"/>
          <w:rtl/>
          <w:lang w:bidi="ar-EG"/>
        </w:rPr>
        <w:t>–</w:t>
      </w:r>
      <w:r w:rsidRPr="00315653">
        <w:rPr>
          <w:rFonts w:hint="cs"/>
          <w:color w:val="000000"/>
          <w:rtl/>
          <w:lang w:bidi="ar-EG"/>
        </w:rPr>
        <w:t xml:space="preserve"> ص </w:t>
      </w:r>
      <w:r w:rsidRPr="00315653">
        <w:rPr>
          <w:rFonts w:hint="cs"/>
          <w:color w:val="000000"/>
          <w:rtl/>
          <w:lang w:bidi="ar-EG"/>
        </w:rPr>
        <w:lastRenderedPageBreak/>
        <w:t>526"</w:t>
      </w:r>
      <w:r>
        <w:rPr>
          <w:rFonts w:hint="cs"/>
          <w:color w:val="000000"/>
          <w:vertAlign w:val="superscript"/>
          <w:rtl/>
          <w:lang w:bidi="ar-EG"/>
        </w:rPr>
        <w:t xml:space="preserve">( </w:t>
      </w:r>
      <w:r w:rsidRPr="00315653">
        <w:rPr>
          <w:rStyle w:val="ab"/>
          <w:color w:val="000000"/>
          <w:rtl/>
          <w:lang w:bidi="ar-EG"/>
        </w:rPr>
        <w:footnoteReference w:id="34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$150 ويقتضينا ذلك أن نبحث ما هي الدفوع التي يستطيع أن يتمسك بها المدين المتضامن</w:t>
      </w:r>
      <w:r>
        <w:rPr>
          <w:rFonts w:hint="cs"/>
          <w:color w:val="000000"/>
          <w:rtl/>
          <w:lang w:bidi="ar-EG"/>
        </w:rPr>
        <w:t xml:space="preserve"> ،</w:t>
      </w:r>
      <w:r w:rsidRPr="00315653">
        <w:rPr>
          <w:rFonts w:hint="cs"/>
          <w:color w:val="000000"/>
          <w:rtl/>
          <w:lang w:bidi="ar-EG"/>
        </w:rPr>
        <w:t xml:space="preserve"> ثم ما هي الدفوع التي يستطيع أن يتمسك بها الكفيل المتضامن مع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فأوجه الدفع التي يحتج بها المدين المتضامن منصوص عليها في الفقرة الثانية من المادة 285 مدني على الوجه الآتي</w:t>
      </w:r>
      <w:r>
        <w:rPr>
          <w:rFonts w:hint="cs"/>
          <w:color w:val="000000"/>
          <w:rtl/>
          <w:lang w:bidi="ar-EG"/>
        </w:rPr>
        <w:t xml:space="preserve"> :</w:t>
      </w:r>
      <w:r w:rsidRPr="00315653">
        <w:rPr>
          <w:rFonts w:hint="cs"/>
          <w:color w:val="000000"/>
          <w:rtl/>
          <w:lang w:bidi="ar-EG"/>
        </w:rPr>
        <w:t xml:space="preserve"> "ولا يجوز للمدين الذي يطالبه الدائن الوفاء أن يحتج بأوجه الدفع الخاصة بغيره من المدينين</w:t>
      </w:r>
      <w:r>
        <w:rPr>
          <w:rFonts w:hint="cs"/>
          <w:color w:val="000000"/>
          <w:rtl/>
          <w:lang w:bidi="ar-EG"/>
        </w:rPr>
        <w:t xml:space="preserve"> ،</w:t>
      </w:r>
      <w:r w:rsidRPr="00315653">
        <w:rPr>
          <w:rFonts w:hint="cs"/>
          <w:color w:val="000000"/>
          <w:rtl/>
          <w:lang w:bidi="ar-EG"/>
        </w:rPr>
        <w:t xml:space="preserve"> ولكن يجوز له أن يحتج بأوجه الدفع الخاصة به وبالأوجه المشتركة بين المدينين جمعياً"</w:t>
      </w:r>
      <w:r>
        <w:rPr>
          <w:rFonts w:hint="cs"/>
          <w:color w:val="000000"/>
          <w:rtl/>
          <w:lang w:bidi="ar-EG"/>
        </w:rPr>
        <w:t xml:space="preserve"> .</w:t>
      </w:r>
      <w:r w:rsidRPr="00315653">
        <w:rPr>
          <w:rFonts w:hint="cs"/>
          <w:color w:val="000000"/>
          <w:rtl/>
          <w:lang w:bidi="ar-EG"/>
        </w:rPr>
        <w:t xml:space="preserve"> فيكون مثل أوجه الدفع الخاصة بالمدين المطالب بالوفاء</w:t>
      </w:r>
      <w:r>
        <w:rPr>
          <w:rFonts w:hint="cs"/>
          <w:color w:val="000000"/>
          <w:rtl/>
          <w:lang w:bidi="ar-EG"/>
        </w:rPr>
        <w:t xml:space="preserve"> ،</w:t>
      </w:r>
      <w:r w:rsidRPr="00315653">
        <w:rPr>
          <w:rFonts w:hint="cs"/>
          <w:color w:val="000000"/>
          <w:rtl/>
          <w:lang w:bidi="ar-EG"/>
        </w:rPr>
        <w:t xml:space="preserve"> كالمقاصة واتحاد الذمة والإبراء والتقادم</w:t>
      </w:r>
      <w:r>
        <w:rPr>
          <w:rFonts w:hint="cs"/>
          <w:color w:val="000000"/>
          <w:rtl/>
          <w:lang w:bidi="ar-EG"/>
        </w:rPr>
        <w:t xml:space="preserve"> ،</w:t>
      </w:r>
      <w:r w:rsidRPr="00315653">
        <w:rPr>
          <w:rFonts w:hint="cs"/>
          <w:color w:val="000000"/>
          <w:rtl/>
          <w:lang w:bidi="ar-EG"/>
        </w:rPr>
        <w:t xml:space="preserve"> وهذه جميعا يحتج بها المدين الذي قام السبب من جهته وبدفع بها مطالبة الدائن</w:t>
      </w:r>
      <w:r>
        <w:rPr>
          <w:rFonts w:hint="cs"/>
          <w:color w:val="000000"/>
          <w:rtl/>
          <w:lang w:bidi="ar-EG"/>
        </w:rPr>
        <w:t xml:space="preserve"> .</w:t>
      </w:r>
      <w:r w:rsidRPr="00315653">
        <w:rPr>
          <w:rFonts w:hint="cs"/>
          <w:color w:val="000000"/>
          <w:rtl/>
          <w:lang w:bidi="ar-EG"/>
        </w:rPr>
        <w:t xml:space="preserve"> وأما أوجه الدفع المشتركة بين الدائنين جميعاً</w:t>
      </w:r>
      <w:r>
        <w:rPr>
          <w:rFonts w:hint="cs"/>
          <w:color w:val="000000"/>
          <w:rtl/>
          <w:lang w:bidi="ar-EG"/>
        </w:rPr>
        <w:t xml:space="preserve"> ،</w:t>
      </w:r>
      <w:r w:rsidRPr="00315653">
        <w:rPr>
          <w:rFonts w:hint="cs"/>
          <w:color w:val="000000"/>
          <w:rtl/>
          <w:lang w:bidi="ar-EG"/>
        </w:rPr>
        <w:t xml:space="preserve"> فكأن يكون العقد الذي أنشأ الالتزام التضامني باطلا في الأصل لانعدام رضاء المدينين جميعاً أو لعدم توافر شروط المحل أو السبب أو لعيب في الشكل</w:t>
      </w:r>
      <w:r>
        <w:rPr>
          <w:rFonts w:hint="cs"/>
          <w:color w:val="000000"/>
          <w:rtl/>
          <w:lang w:bidi="ar-EG"/>
        </w:rPr>
        <w:t xml:space="preserve"> ،</w:t>
      </w:r>
      <w:r w:rsidRPr="00315653">
        <w:rPr>
          <w:rFonts w:hint="cs"/>
          <w:color w:val="000000"/>
          <w:rtl/>
          <w:lang w:bidi="ar-EG"/>
        </w:rPr>
        <w:t xml:space="preserve"> أو يكون العقد قابلا للإبطال لصالح جميع المدينين بأن يكون قد وقع عليهم جميعاً إكراه أو تدليس أو وقعوا جميعاً في غلط جوهر</w:t>
      </w:r>
      <w:r>
        <w:rPr>
          <w:rFonts w:hint="cs"/>
          <w:color w:val="000000"/>
          <w:rtl/>
          <w:lang w:bidi="ar-EG"/>
        </w:rPr>
        <w:t xml:space="preserve"> ،</w:t>
      </w:r>
      <w:r w:rsidRPr="00315653">
        <w:rPr>
          <w:rFonts w:hint="cs"/>
          <w:color w:val="000000"/>
          <w:rtl/>
          <w:lang w:bidi="ar-EG"/>
        </w:rPr>
        <w:t xml:space="preserve"> أو يكون العقد قابلا للفسخ بأن يكون الدائن مثلا لم يف بما تعهد به فيكون لكل من المدينين $151 المتضامنين حق المطالبة بالفسخ</w:t>
      </w:r>
      <w:r>
        <w:rPr>
          <w:rFonts w:hint="cs"/>
          <w:color w:val="000000"/>
          <w:rtl/>
          <w:lang w:bidi="ar-EG"/>
        </w:rPr>
        <w:t xml:space="preserve"> ،</w:t>
      </w:r>
      <w:r w:rsidRPr="00315653">
        <w:rPr>
          <w:rFonts w:hint="cs"/>
          <w:color w:val="000000"/>
          <w:rtl/>
          <w:lang w:bidi="ar-EG"/>
        </w:rPr>
        <w:t xml:space="preserve"> أو يكون أحد الدائنين قد وفي الدين كله فبرئت ذمة الجميع ويكون لكل منهم أن يحتج بهذا الوفاء على الدائن</w:t>
      </w:r>
      <w:r>
        <w:rPr>
          <w:rFonts w:hint="cs"/>
          <w:color w:val="000000"/>
          <w:rtl/>
          <w:lang w:bidi="ar-EG"/>
        </w:rPr>
        <w:t xml:space="preserve"> .</w:t>
      </w:r>
      <w:r w:rsidRPr="00315653">
        <w:rPr>
          <w:rFonts w:hint="cs"/>
          <w:color w:val="000000"/>
          <w:rtl/>
          <w:lang w:bidi="ar-EG"/>
        </w:rPr>
        <w:t>ولا يحتج المدين المتضامن المطالب بالوفاء بأوجه الدفع الخاصة بغيره م المدينين المتضامنين</w:t>
      </w:r>
      <w:r>
        <w:rPr>
          <w:rFonts w:hint="cs"/>
          <w:color w:val="000000"/>
          <w:rtl/>
          <w:lang w:bidi="ar-EG"/>
        </w:rPr>
        <w:t xml:space="preserve"> ،</w:t>
      </w:r>
      <w:r w:rsidRPr="00315653">
        <w:rPr>
          <w:rFonts w:hint="cs"/>
          <w:color w:val="000000"/>
          <w:rtl/>
          <w:lang w:bidi="ar-EG"/>
        </w:rPr>
        <w:t xml:space="preserve"> كما إذا وقع تدليس أو إكراه على غيره ناقص الأهلية فلا يحتج هو بنقص أهلية هذا المدين</w:t>
      </w:r>
      <w:r>
        <w:rPr>
          <w:rFonts w:hint="cs"/>
          <w:color w:val="000000"/>
          <w:rtl/>
          <w:lang w:bidi="ar-EG"/>
        </w:rPr>
        <w:t xml:space="preserve"> ،</w:t>
      </w:r>
      <w:r w:rsidRPr="00315653">
        <w:rPr>
          <w:rFonts w:hint="cs"/>
          <w:color w:val="000000"/>
          <w:rtl/>
          <w:lang w:bidi="ar-EG"/>
        </w:rPr>
        <w:t xml:space="preserve"> وكما إذا كان التزام غيره معلقاً على شرط أو مضافاً إلى أجل فلا يتمسك هو بهذا الدفع</w:t>
      </w:r>
      <w:r>
        <w:rPr>
          <w:rFonts w:hint="cs"/>
          <w:color w:val="000000"/>
          <w:rtl/>
          <w:lang w:bidi="ar-EG"/>
        </w:rPr>
        <w:t xml:space="preserve"> ،</w:t>
      </w:r>
      <w:r w:rsidRPr="00315653">
        <w:rPr>
          <w:rFonts w:hint="cs"/>
          <w:color w:val="000000"/>
          <w:rtl/>
          <w:lang w:bidi="ar-EG"/>
        </w:rPr>
        <w:t xml:space="preserve"> وكما إذا قام سبب للفسخ بغيره فلا يطالب هو بالفسخ</w:t>
      </w:r>
      <w:r>
        <w:rPr>
          <w:rFonts w:hint="cs"/>
          <w:color w:val="000000"/>
          <w:rtl/>
          <w:lang w:bidi="ar-EG"/>
        </w:rPr>
        <w:t xml:space="preserve"> ،</w:t>
      </w:r>
      <w:r w:rsidRPr="00315653">
        <w:rPr>
          <w:rFonts w:hint="cs"/>
          <w:color w:val="000000"/>
          <w:rtl/>
          <w:lang w:bidi="ar-EG"/>
        </w:rPr>
        <w:t xml:space="preserve"> وكما إذا قام سبب غير الوفاء لانقضاء التزام غيره فلا يحتج هو بهذا السبب إلا بقدر حصة هذا المدين</w:t>
      </w:r>
      <w:r>
        <w:rPr>
          <w:rFonts w:hint="cs"/>
          <w:color w:val="000000"/>
          <w:vertAlign w:val="superscript"/>
          <w:rtl/>
          <w:lang w:bidi="ar-EG"/>
        </w:rPr>
        <w:t xml:space="preserve">( </w:t>
      </w:r>
      <w:r w:rsidRPr="00315653">
        <w:rPr>
          <w:rStyle w:val="ab"/>
          <w:color w:val="000000"/>
          <w:rtl/>
          <w:lang w:bidi="ar-EG"/>
        </w:rPr>
        <w:footnoteReference w:id="34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يستطيع المدين المتضامن أن يحتج بالدفوع التي ترجع إلى مركز الكفيل باعتباره كفيلا</w:t>
      </w:r>
      <w:r>
        <w:rPr>
          <w:rFonts w:hint="cs"/>
          <w:color w:val="000000"/>
          <w:rtl/>
          <w:lang w:bidi="ar-EG"/>
        </w:rPr>
        <w:t xml:space="preserve"> ،</w:t>
      </w:r>
      <w:r w:rsidRPr="00315653">
        <w:rPr>
          <w:rFonts w:hint="cs"/>
          <w:color w:val="000000"/>
          <w:rtl/>
          <w:lang w:bidi="ar-EG"/>
        </w:rPr>
        <w:t xml:space="preserve"> لأنه ليس بكفيل بل هو مدين أصلي</w:t>
      </w:r>
      <w:r>
        <w:rPr>
          <w:rFonts w:hint="cs"/>
          <w:color w:val="000000"/>
          <w:rtl/>
          <w:lang w:bidi="ar-EG"/>
        </w:rPr>
        <w:t xml:space="preserve"> .</w:t>
      </w:r>
      <w:r w:rsidRPr="00315653">
        <w:rPr>
          <w:rFonts w:hint="cs"/>
          <w:color w:val="000000"/>
          <w:rtl/>
          <w:lang w:bidi="ar-EG"/>
        </w:rPr>
        <w:t xml:space="preserve"> لذلك لا يستطيع أن يحتج ببراءة ذمته بقدر ما أضاعه الدائن بخطأه من التأمينات</w:t>
      </w:r>
      <w:r>
        <w:rPr>
          <w:rFonts w:hint="cs"/>
          <w:color w:val="000000"/>
          <w:rtl/>
          <w:lang w:bidi="ar-EG"/>
        </w:rPr>
        <w:t xml:space="preserve"> ،</w:t>
      </w:r>
      <w:r w:rsidRPr="00315653">
        <w:rPr>
          <w:rFonts w:hint="cs"/>
          <w:color w:val="000000"/>
          <w:rtl/>
          <w:lang w:bidi="ar-EG"/>
        </w:rPr>
        <w:t xml:space="preserve"> ولا يستطيع أن يحتج ببراءة ذمته لتأخر الدائن في اتخاذ الإجراءات ضد مدين متضامن آخر</w:t>
      </w:r>
      <w:r>
        <w:rPr>
          <w:rFonts w:hint="cs"/>
          <w:color w:val="000000"/>
          <w:rtl/>
          <w:lang w:bidi="ar-EG"/>
        </w:rPr>
        <w:t xml:space="preserve"> ،</w:t>
      </w:r>
      <w:r w:rsidRPr="00315653">
        <w:rPr>
          <w:rFonts w:hint="cs"/>
          <w:color w:val="000000"/>
          <w:rtl/>
          <w:lang w:bidi="ar-EG"/>
        </w:rPr>
        <w:t xml:space="preserve"> ولا يستطيع أن يحتج ببراءة ذمته بقدر ما أصابه من ضرر بسبب عدم تقدم الدائن في تفليسة مدين متضامن آخر</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أوجه الدفع التي يحتج بها الكفيل المتضامن مع المدين</w:t>
      </w:r>
      <w:r>
        <w:rPr>
          <w:rFonts w:hint="cs"/>
          <w:color w:val="000000"/>
          <w:rtl/>
          <w:lang w:bidi="ar-EG"/>
        </w:rPr>
        <w:t xml:space="preserve"> ،</w:t>
      </w:r>
      <w:r w:rsidRPr="00315653">
        <w:rPr>
          <w:rFonts w:hint="cs"/>
          <w:color w:val="000000"/>
          <w:rtl/>
          <w:lang w:bidi="ar-EG"/>
        </w:rPr>
        <w:t xml:space="preserve"> فتنص المادة 744 مدني كما رأينا على أنه "يجوز </w:t>
      </w:r>
      <w:r w:rsidRPr="00315653">
        <w:rPr>
          <w:rFonts w:hint="cs"/>
          <w:color w:val="000000"/>
          <w:rtl/>
          <w:lang w:bidi="ar-EG"/>
        </w:rPr>
        <w:lastRenderedPageBreak/>
        <w:t>للكفيل المتضامن أن يتمسك بما يتمسك به الكفيل غير المتضامن من دفوع متعلقة بالدين"</w:t>
      </w:r>
      <w:r>
        <w:rPr>
          <w:rFonts w:hint="cs"/>
          <w:color w:val="000000"/>
          <w:rtl/>
          <w:lang w:bidi="ar-EG"/>
        </w:rPr>
        <w:t xml:space="preserve"> .</w:t>
      </w:r>
      <w:r w:rsidRPr="00315653">
        <w:rPr>
          <w:rFonts w:hint="cs"/>
          <w:color w:val="000000"/>
          <w:rtl/>
          <w:lang w:bidi="ar-EG"/>
        </w:rPr>
        <w:t xml:space="preserve"> فالكفيل المتضامن إذن</w:t>
      </w:r>
      <w:r>
        <w:rPr>
          <w:rFonts w:hint="cs"/>
          <w:color w:val="000000"/>
          <w:rtl/>
          <w:lang w:bidi="ar-EG"/>
        </w:rPr>
        <w:t xml:space="preserve"> ،</w:t>
      </w:r>
      <w:r w:rsidRPr="00315653">
        <w:rPr>
          <w:rFonts w:hint="cs"/>
          <w:color w:val="000000"/>
          <w:rtl/>
          <w:lang w:bidi="ar-EG"/>
        </w:rPr>
        <w:t xml:space="preserve"> في التقنين المدني الجديد</w:t>
      </w:r>
      <w:r>
        <w:rPr>
          <w:rFonts w:hint="cs"/>
          <w:color w:val="000000"/>
          <w:rtl/>
          <w:lang w:bidi="ar-EG"/>
        </w:rPr>
        <w:t xml:space="preserve"> ،</w:t>
      </w:r>
      <w:r w:rsidRPr="00315653">
        <w:rPr>
          <w:rFonts w:hint="cs"/>
          <w:color w:val="000000"/>
          <w:rtl/>
          <w:lang w:bidi="ar-EG"/>
        </w:rPr>
        <w:t xml:space="preserve"> ليس في مركز المدين المتضامن</w:t>
      </w:r>
      <w:r>
        <w:rPr>
          <w:rFonts w:hint="cs"/>
          <w:color w:val="000000"/>
          <w:rtl/>
          <w:lang w:bidi="ar-EG"/>
        </w:rPr>
        <w:t xml:space="preserve"> ،</w:t>
      </w:r>
      <w:r w:rsidRPr="00315653">
        <w:rPr>
          <w:rFonts w:hint="cs"/>
          <w:color w:val="000000"/>
          <w:rtl/>
          <w:lang w:bidi="ar-EG"/>
        </w:rPr>
        <w:t xml:space="preserve"> بل يبقى كفيلا التزامه تابع للالتزام الأصلي</w:t>
      </w:r>
      <w:r>
        <w:rPr>
          <w:rFonts w:hint="cs"/>
          <w:color w:val="000000"/>
          <w:rtl/>
          <w:lang w:bidi="ar-EG"/>
        </w:rPr>
        <w:t xml:space="preserve"> .</w:t>
      </w:r>
      <w:r w:rsidRPr="00315653">
        <w:rPr>
          <w:rFonts w:hint="cs"/>
          <w:color w:val="000000"/>
          <w:rtl/>
          <w:lang w:bidi="ar-EG"/>
        </w:rPr>
        <w:t xml:space="preserve"> ويتفق هذا الحكم</w:t>
      </w:r>
      <w:r>
        <w:rPr>
          <w:rFonts w:hint="cs"/>
          <w:color w:val="000000"/>
          <w:rtl/>
          <w:lang w:bidi="ar-EG"/>
        </w:rPr>
        <w:t xml:space="preserve"> ،</w:t>
      </w:r>
      <w:r w:rsidRPr="00315653">
        <w:rPr>
          <w:rFonts w:hint="cs"/>
          <w:color w:val="000000"/>
          <w:rtl/>
          <w:lang w:bidi="ar-EG"/>
        </w:rPr>
        <w:t xml:space="preserve"> كما تقول المذكرة الإيضاحية فيما أسلفناه</w:t>
      </w:r>
      <w:r>
        <w:rPr>
          <w:rFonts w:hint="cs"/>
          <w:color w:val="000000"/>
          <w:rtl/>
          <w:lang w:bidi="ar-EG"/>
        </w:rPr>
        <w:t xml:space="preserve"> ،</w:t>
      </w:r>
      <w:r w:rsidRPr="00315653">
        <w:rPr>
          <w:rFonts w:hint="cs"/>
          <w:color w:val="000000"/>
          <w:rtl/>
          <w:lang w:bidi="ar-EG"/>
        </w:rPr>
        <w:t xml:space="preserve"> "مع اتجاه التقنينات الحديثة نحو توسيع حق الكفيل في التمسك بكل الدفوع التي للمدين</w:t>
      </w:r>
      <w:r>
        <w:rPr>
          <w:rFonts w:hint="cs"/>
          <w:color w:val="000000"/>
          <w:rtl/>
          <w:lang w:bidi="ar-EG"/>
        </w:rPr>
        <w:t xml:space="preserve"> ،</w:t>
      </w:r>
      <w:r w:rsidRPr="00315653">
        <w:rPr>
          <w:rFonts w:hint="cs"/>
          <w:color w:val="000000"/>
          <w:rtl/>
          <w:lang w:bidi="ar-EG"/>
        </w:rPr>
        <w:t xml:space="preserve"> حتى الشخصية منها"</w:t>
      </w:r>
      <w:r>
        <w:rPr>
          <w:rFonts w:hint="cs"/>
          <w:color w:val="000000"/>
          <w:rtl/>
          <w:lang w:bidi="ar-EG"/>
        </w:rPr>
        <w:t xml:space="preserve"> .</w:t>
      </w:r>
      <w:r w:rsidRPr="00315653">
        <w:rPr>
          <w:rFonts w:hint="cs"/>
          <w:color w:val="000000"/>
          <w:rtl/>
          <w:lang w:bidi="ar-EG"/>
        </w:rPr>
        <w:t xml:space="preserve"> ولما كان للكفيل المتضامن أن يتمسك بما يتمسك به الكفيل غير المتضامن من دفوع متعلقة بالدين</w:t>
      </w:r>
      <w:r>
        <w:rPr>
          <w:rFonts w:hint="cs"/>
          <w:color w:val="000000"/>
          <w:rtl/>
          <w:lang w:bidi="ar-EG"/>
        </w:rPr>
        <w:t xml:space="preserve"> ،</w:t>
      </w:r>
      <w:r w:rsidRPr="00315653">
        <w:rPr>
          <w:rFonts w:hint="cs"/>
          <w:color w:val="000000"/>
          <w:rtl/>
          <w:lang w:bidi="ar-EG"/>
        </w:rPr>
        <w:t xml:space="preserve"> ولما كان الكفيل غير المتضامن طبقاً للمادة 782/1 مدني $152 "له أن يتمسك بجميع الأوجه التي يحتج بها المدين"</w:t>
      </w:r>
      <w:r>
        <w:rPr>
          <w:rFonts w:hint="cs"/>
          <w:color w:val="000000"/>
          <w:rtl/>
          <w:lang w:bidi="ar-EG"/>
        </w:rPr>
        <w:t xml:space="preserve"> ،</w:t>
      </w:r>
      <w:r w:rsidRPr="00315653">
        <w:rPr>
          <w:rFonts w:hint="cs"/>
          <w:color w:val="000000"/>
          <w:rtl/>
          <w:lang w:bidi="ar-EG"/>
        </w:rPr>
        <w:t xml:space="preserve"> فإن للكفيل المتضامن مع المدين أن يحتج بأوجه الدفع إلى مدى أبعد مما يحتج به المدين المتضامن</w:t>
      </w:r>
      <w:r>
        <w:rPr>
          <w:rFonts w:hint="cs"/>
          <w:color w:val="000000"/>
          <w:rtl/>
          <w:lang w:bidi="ar-EG"/>
        </w:rPr>
        <w:t xml:space="preserve"> .</w:t>
      </w:r>
      <w:r w:rsidRPr="00315653">
        <w:rPr>
          <w:rFonts w:hint="cs"/>
          <w:color w:val="000000"/>
          <w:rtl/>
          <w:lang w:bidi="ar-EG"/>
        </w:rPr>
        <w:t xml:space="preserve"> فللكفيل المتضامن مع المدين أن يتمسك ببطلان التزام المدين</w:t>
      </w:r>
      <w:r>
        <w:rPr>
          <w:rFonts w:hint="cs"/>
          <w:color w:val="000000"/>
          <w:rtl/>
          <w:lang w:bidi="ar-EG"/>
        </w:rPr>
        <w:t xml:space="preserve"> ،</w:t>
      </w:r>
      <w:r w:rsidRPr="00315653">
        <w:rPr>
          <w:rFonts w:hint="cs"/>
          <w:color w:val="000000"/>
          <w:rtl/>
          <w:lang w:bidi="ar-EG"/>
        </w:rPr>
        <w:t xml:space="preserve"> لعيب في الشكل أو لانعدام الرضاء أو لعدم توافر شروط المحل أو لعدم مشروعية السبب أو لأي سبب آخر م أسباب بطلان الالتزام</w:t>
      </w:r>
      <w:r>
        <w:rPr>
          <w:rFonts w:hint="cs"/>
          <w:color w:val="000000"/>
          <w:rtl/>
          <w:lang w:bidi="ar-EG"/>
        </w:rPr>
        <w:t xml:space="preserve"> .</w:t>
      </w:r>
      <w:r w:rsidRPr="00315653">
        <w:rPr>
          <w:rFonts w:hint="cs"/>
          <w:color w:val="000000"/>
          <w:rtl/>
          <w:lang w:bidi="ar-EG"/>
        </w:rPr>
        <w:t xml:space="preserve"> أما المدين المتضامن فقد رأينا أنه لا يستطيع أن يحتج ببطلان التزام مدين متضامن آخر إذا كان سبب البطلان خاصً بهذا المدين الآخر</w:t>
      </w:r>
      <w:r>
        <w:rPr>
          <w:rFonts w:hint="cs"/>
          <w:color w:val="000000"/>
          <w:rtl/>
          <w:lang w:bidi="ar-EG"/>
        </w:rPr>
        <w:t xml:space="preserve"> ،</w:t>
      </w:r>
      <w:r w:rsidRPr="00315653">
        <w:rPr>
          <w:rFonts w:hint="cs"/>
          <w:color w:val="000000"/>
          <w:rtl/>
          <w:lang w:bidi="ar-EG"/>
        </w:rPr>
        <w:t xml:space="preserve"> كأن انعدم رضاء هذا المدين الآخر دون أن يعدم رضاء المدين الأول</w:t>
      </w:r>
      <w:r>
        <w:rPr>
          <w:rFonts w:hint="cs"/>
          <w:color w:val="000000"/>
          <w:rtl/>
          <w:lang w:bidi="ar-EG"/>
        </w:rPr>
        <w:t xml:space="preserve"> .</w:t>
      </w:r>
      <w:r w:rsidRPr="00315653">
        <w:rPr>
          <w:rFonts w:hint="cs"/>
          <w:color w:val="000000"/>
          <w:rtl/>
          <w:lang w:bidi="ar-EG"/>
        </w:rPr>
        <w:t xml:space="preserve"> وللكفيل المتضامن مع المدين أن يتمسك بإبطال عقد المدين الأصلي لأنه التزامه يكون تبعاً لذلك قابلا للإبطال</w:t>
      </w:r>
      <w:r>
        <w:rPr>
          <w:rFonts w:hint="cs"/>
          <w:color w:val="000000"/>
          <w:rtl/>
          <w:lang w:bidi="ar-EG"/>
        </w:rPr>
        <w:t xml:space="preserve"> ،</w:t>
      </w:r>
      <w:r w:rsidRPr="00315653">
        <w:rPr>
          <w:rFonts w:hint="cs"/>
          <w:color w:val="000000"/>
          <w:rtl/>
          <w:lang w:bidi="ar-EG"/>
        </w:rPr>
        <w:t xml:space="preserve"> أما المدين المتضامن فلا يستطيع أن يحتج بقابلية التزام مدين متضامن آخر للبطلان إذا كان سبب ذلك راجعاً إلى المدين الآخر</w:t>
      </w:r>
      <w:r>
        <w:rPr>
          <w:rFonts w:hint="cs"/>
          <w:color w:val="000000"/>
          <w:rtl/>
          <w:lang w:bidi="ar-EG"/>
        </w:rPr>
        <w:t xml:space="preserve"> ،</w:t>
      </w:r>
      <w:r w:rsidRPr="00315653">
        <w:rPr>
          <w:rFonts w:hint="cs"/>
          <w:color w:val="000000"/>
          <w:rtl/>
          <w:lang w:bidi="ar-EG"/>
        </w:rPr>
        <w:t xml:space="preserve"> كأن كان رضاؤه معيباً أو كان هذا المدين الآخر ناقصا الأهلية</w:t>
      </w:r>
      <w:r>
        <w:rPr>
          <w:rFonts w:hint="cs"/>
          <w:color w:val="000000"/>
          <w:rtl/>
          <w:lang w:bidi="ar-EG"/>
        </w:rPr>
        <w:t xml:space="preserve"> .</w:t>
      </w:r>
      <w:r w:rsidRPr="00315653">
        <w:rPr>
          <w:rFonts w:hint="cs"/>
          <w:color w:val="000000"/>
          <w:rtl/>
          <w:lang w:bidi="ar-EG"/>
        </w:rPr>
        <w:t xml:space="preserve"> ويستطيع الكفيل المتضامن مع المدين أن يتمسك بنقص أهلية المدين الأصلي</w:t>
      </w:r>
      <w:r>
        <w:rPr>
          <w:rFonts w:hint="cs"/>
          <w:color w:val="000000"/>
          <w:rtl/>
          <w:lang w:bidi="ar-EG"/>
        </w:rPr>
        <w:t xml:space="preserve"> ،</w:t>
      </w:r>
      <w:r w:rsidRPr="00315653">
        <w:rPr>
          <w:rFonts w:hint="cs"/>
          <w:color w:val="000000"/>
          <w:rtl/>
          <w:lang w:bidi="ar-EG"/>
        </w:rPr>
        <w:t xml:space="preserve"> إلا إذا كان قد كفل هذا المدين بسبب نقص أهليته كما سبق القول</w:t>
      </w:r>
      <w:r>
        <w:rPr>
          <w:rFonts w:hint="cs"/>
          <w:color w:val="000000"/>
          <w:rtl/>
          <w:lang w:bidi="ar-EG"/>
        </w:rPr>
        <w:t xml:space="preserve"> .</w:t>
      </w:r>
      <w:r w:rsidRPr="00315653">
        <w:rPr>
          <w:rFonts w:hint="cs"/>
          <w:color w:val="000000"/>
          <w:rtl/>
          <w:lang w:bidi="ar-EG"/>
        </w:rPr>
        <w:t xml:space="preserve"> وإذا انقضى التزام المدين الأصلي بسبب غير الوفاء</w:t>
      </w:r>
      <w:r>
        <w:rPr>
          <w:rFonts w:hint="cs"/>
          <w:color w:val="000000"/>
          <w:rtl/>
          <w:lang w:bidi="ar-EG"/>
        </w:rPr>
        <w:t xml:space="preserve"> ،</w:t>
      </w:r>
      <w:r w:rsidRPr="00315653">
        <w:rPr>
          <w:rFonts w:hint="cs"/>
          <w:color w:val="000000"/>
          <w:rtl/>
          <w:lang w:bidi="ar-EG"/>
        </w:rPr>
        <w:t xml:space="preserve"> كالتجديد أو المقاصة أو اتحاد الذمة أو الإبراء أو التقادم</w:t>
      </w:r>
      <w:r>
        <w:rPr>
          <w:rFonts w:hint="cs"/>
          <w:color w:val="000000"/>
          <w:rtl/>
          <w:lang w:bidi="ar-EG"/>
        </w:rPr>
        <w:t xml:space="preserve"> ،</w:t>
      </w:r>
      <w:r w:rsidRPr="00315653">
        <w:rPr>
          <w:rFonts w:hint="cs"/>
          <w:color w:val="000000"/>
          <w:rtl/>
          <w:lang w:bidi="ar-EG"/>
        </w:rPr>
        <w:t xml:space="preserve"> جاز للكفيل المتضامن مع المدين</w:t>
      </w:r>
      <w:r>
        <w:rPr>
          <w:rFonts w:hint="cs"/>
          <w:color w:val="000000"/>
          <w:rtl/>
          <w:lang w:bidi="ar-EG"/>
        </w:rPr>
        <w:t xml:space="preserve"> ،</w:t>
      </w:r>
      <w:r w:rsidRPr="00315653">
        <w:rPr>
          <w:rFonts w:hint="cs"/>
          <w:color w:val="000000"/>
          <w:rtl/>
          <w:lang w:bidi="ar-EG"/>
        </w:rPr>
        <w:t xml:space="preserve"> والتزامه تابع لالتزام المدين</w:t>
      </w:r>
      <w:r>
        <w:rPr>
          <w:rFonts w:hint="cs"/>
          <w:color w:val="000000"/>
          <w:rtl/>
          <w:lang w:bidi="ar-EG"/>
        </w:rPr>
        <w:t xml:space="preserve"> ،</w:t>
      </w:r>
      <w:r w:rsidRPr="00315653">
        <w:rPr>
          <w:rFonts w:hint="cs"/>
          <w:color w:val="000000"/>
          <w:rtl/>
          <w:lang w:bidi="ar-EG"/>
        </w:rPr>
        <w:t xml:space="preserve"> أن يتمسك هو أيضاًً بانقضاء التزامه</w:t>
      </w:r>
      <w:r>
        <w:rPr>
          <w:rFonts w:hint="cs"/>
          <w:color w:val="000000"/>
          <w:rtl/>
          <w:lang w:bidi="ar-EG"/>
        </w:rPr>
        <w:t xml:space="preserve"> .</w:t>
      </w:r>
      <w:r w:rsidRPr="00315653">
        <w:rPr>
          <w:rFonts w:hint="cs"/>
          <w:color w:val="000000"/>
          <w:rtl/>
          <w:lang w:bidi="ar-EG"/>
        </w:rPr>
        <w:t xml:space="preserve"> أما المدين المتضامن</w:t>
      </w:r>
      <w:r>
        <w:rPr>
          <w:rFonts w:hint="cs"/>
          <w:color w:val="000000"/>
          <w:rtl/>
          <w:lang w:bidi="ar-EG"/>
        </w:rPr>
        <w:t xml:space="preserve"> ،</w:t>
      </w:r>
      <w:r w:rsidRPr="00315653">
        <w:rPr>
          <w:rFonts w:hint="cs"/>
          <w:color w:val="000000"/>
          <w:rtl/>
          <w:lang w:bidi="ar-EG"/>
        </w:rPr>
        <w:t xml:space="preserve"> فقد رأينا أنه لا يستطيع أن يتمسك بانقضاء التزامه إلا بقد حصة المدين المتضامن الذي قام به سبب الانقضاء</w:t>
      </w:r>
      <w:r>
        <w:rPr>
          <w:rFonts w:hint="cs"/>
          <w:color w:val="000000"/>
          <w:rtl/>
          <w:lang w:bidi="ar-EG"/>
        </w:rPr>
        <w:t xml:space="preserve"> .</w:t>
      </w:r>
      <w:r w:rsidRPr="00315653">
        <w:rPr>
          <w:rFonts w:hint="cs"/>
          <w:color w:val="000000"/>
          <w:rtl/>
          <w:lang w:bidi="ar-EG"/>
        </w:rPr>
        <w:t xml:space="preserve"> وهناك دفوع ترجع إلى مركز الكفيل باعتباره كفيلا </w:t>
      </w:r>
      <w:r>
        <w:rPr>
          <w:rFonts w:hint="cs"/>
          <w:color w:val="000000"/>
          <w:rtl/>
          <w:lang w:bidi="ar-EG"/>
        </w:rPr>
        <w:t xml:space="preserve"> ،</w:t>
      </w:r>
      <w:r w:rsidRPr="00315653">
        <w:rPr>
          <w:rFonts w:hint="cs"/>
          <w:color w:val="000000"/>
          <w:rtl/>
          <w:lang w:bidi="ar-EG"/>
        </w:rPr>
        <w:t xml:space="preserve"> ويستطيع أن يحتج بها الكفيل المتضامن مع المدين دون أن يستطيع المدين المتضامن ذلك</w:t>
      </w:r>
      <w:r>
        <w:rPr>
          <w:rFonts w:hint="cs"/>
          <w:color w:val="000000"/>
          <w:rtl/>
          <w:lang w:bidi="ar-EG"/>
        </w:rPr>
        <w:t xml:space="preserve"> .</w:t>
      </w:r>
      <w:r w:rsidRPr="00315653">
        <w:rPr>
          <w:rFonts w:hint="cs"/>
          <w:color w:val="000000"/>
          <w:rtl/>
          <w:lang w:bidi="ar-EG"/>
        </w:rPr>
        <w:t xml:space="preserve"> فيستطيع الكفيل المتضامن أن يحتج ببراءة ذمته بقدر ما أضاعه الدائن من التأمينات وبتأخر الدائن في اتخاذ الإجراءات ضد المدين الأصلي وبعدم تقدم الدائن في تفليسة المدين الأصلي</w:t>
      </w:r>
      <w:r>
        <w:rPr>
          <w:rFonts w:hint="cs"/>
          <w:color w:val="000000"/>
          <w:rtl/>
          <w:lang w:bidi="ar-EG"/>
        </w:rPr>
        <w:t xml:space="preserve"> ،</w:t>
      </w:r>
      <w:r w:rsidRPr="00315653">
        <w:rPr>
          <w:rFonts w:hint="cs"/>
          <w:color w:val="000000"/>
          <w:rtl/>
          <w:lang w:bidi="ar-EG"/>
        </w:rPr>
        <w:t xml:space="preserve"> ولا يستطيع المدين المتضامن الاحتجاج بشيء من ذلك</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$153 ومن ذلك نرى أن المبدأ الأساسي هو أن التزام الكفيل المتضامن مع المدين</w:t>
      </w:r>
      <w:r>
        <w:rPr>
          <w:rFonts w:hint="cs"/>
          <w:color w:val="000000"/>
          <w:rtl/>
          <w:lang w:bidi="ar-EG"/>
        </w:rPr>
        <w:t xml:space="preserve"> ،</w:t>
      </w:r>
      <w:r w:rsidRPr="00315653">
        <w:rPr>
          <w:rFonts w:hint="cs"/>
          <w:color w:val="000000"/>
          <w:rtl/>
          <w:lang w:bidi="ar-EG"/>
        </w:rPr>
        <w:t xml:space="preserve"> كالتزام الكفيل العادي</w:t>
      </w:r>
      <w:r>
        <w:rPr>
          <w:rFonts w:hint="cs"/>
          <w:color w:val="000000"/>
          <w:rtl/>
          <w:lang w:bidi="ar-EG"/>
        </w:rPr>
        <w:t xml:space="preserve"> ،</w:t>
      </w:r>
      <w:r w:rsidRPr="00315653">
        <w:rPr>
          <w:rFonts w:hint="cs"/>
          <w:color w:val="000000"/>
          <w:rtl/>
          <w:lang w:bidi="ar-EG"/>
        </w:rPr>
        <w:t xml:space="preserve"> تابع لالتزام المدين الأصلي</w:t>
      </w:r>
      <w:r>
        <w:rPr>
          <w:rFonts w:hint="cs"/>
          <w:color w:val="000000"/>
          <w:rtl/>
          <w:lang w:bidi="ar-EG"/>
        </w:rPr>
        <w:t xml:space="preserve"> ،</w:t>
      </w:r>
      <w:r w:rsidRPr="00315653">
        <w:rPr>
          <w:rFonts w:hint="cs"/>
          <w:color w:val="000000"/>
          <w:rtl/>
          <w:lang w:bidi="ar-EG"/>
        </w:rPr>
        <w:t xml:space="preserve"> فينقضي التزام الكفيل المتضامن بانقضاء التزام المدين الأصلي ولو لسبب آخر غير الوفاء</w:t>
      </w:r>
      <w:r>
        <w:rPr>
          <w:rFonts w:hint="cs"/>
          <w:color w:val="000000"/>
          <w:rtl/>
          <w:lang w:bidi="ar-EG"/>
        </w:rPr>
        <w:t xml:space="preserve"> .</w:t>
      </w:r>
      <w:r w:rsidRPr="00315653">
        <w:rPr>
          <w:rFonts w:hint="cs"/>
          <w:color w:val="000000"/>
          <w:rtl/>
          <w:lang w:bidi="ar-EG"/>
        </w:rPr>
        <w:t xml:space="preserve"> وهذا بخلاف المدين المتضامن</w:t>
      </w:r>
      <w:r>
        <w:rPr>
          <w:rFonts w:hint="cs"/>
          <w:color w:val="000000"/>
          <w:rtl/>
          <w:lang w:bidi="ar-EG"/>
        </w:rPr>
        <w:t xml:space="preserve"> ،</w:t>
      </w:r>
      <w:r w:rsidRPr="00315653">
        <w:rPr>
          <w:rFonts w:hint="cs"/>
          <w:color w:val="000000"/>
          <w:rtl/>
          <w:lang w:bidi="ar-EG"/>
        </w:rPr>
        <w:t xml:space="preserve"> فإن التزامه ليس تابعاً لالتزام مدين متضامن آخر</w:t>
      </w:r>
      <w:r>
        <w:rPr>
          <w:rFonts w:hint="cs"/>
          <w:color w:val="000000"/>
          <w:rtl/>
          <w:lang w:bidi="ar-EG"/>
        </w:rPr>
        <w:t xml:space="preserve"> ، ،</w:t>
      </w:r>
      <w:r w:rsidRPr="00315653">
        <w:rPr>
          <w:rFonts w:hint="cs"/>
          <w:color w:val="000000"/>
          <w:rtl/>
          <w:lang w:bidi="ar-EG"/>
        </w:rPr>
        <w:t xml:space="preserve"> ولذلك لا يستطيع أن يحتج إلا بأوجه الدفع الخاصة به وبأوجه الدفع المشتركة بين المدينين المتضامنين جميعاً</w:t>
      </w:r>
      <w:r>
        <w:rPr>
          <w:rFonts w:hint="cs"/>
          <w:color w:val="000000"/>
          <w:rtl/>
          <w:lang w:bidi="ar-EG"/>
        </w:rPr>
        <w:t xml:space="preserve"> .</w:t>
      </w:r>
      <w:r w:rsidRPr="00315653">
        <w:rPr>
          <w:rFonts w:hint="cs"/>
          <w:color w:val="000000"/>
          <w:rtl/>
          <w:lang w:bidi="ar-EG"/>
        </w:rPr>
        <w:t xml:space="preserve"> ولا يحتج باقتضاء التزام مدين متضامن آخر لسبب غير الوفاء إلا بقدر حصة هذا المدين</w:t>
      </w:r>
      <w:r>
        <w:rPr>
          <w:rFonts w:hint="cs"/>
          <w:color w:val="000000"/>
          <w:rtl/>
          <w:lang w:bidi="ar-EG"/>
        </w:rPr>
        <w:t xml:space="preserve"> ،</w:t>
      </w:r>
      <w:r w:rsidRPr="00315653">
        <w:rPr>
          <w:rFonts w:hint="cs"/>
          <w:color w:val="000000"/>
          <w:rtl/>
          <w:lang w:bidi="ar-EG"/>
        </w:rPr>
        <w:t xml:space="preserve"> في حين أن الكفيل المتضامن له أن يحتج باقتضاء الدين كله ولو انقضى لسبب آخر غير للوفاء</w:t>
      </w:r>
      <w:r>
        <w:rPr>
          <w:rFonts w:hint="cs"/>
          <w:color w:val="000000"/>
          <w:vertAlign w:val="superscript"/>
          <w:rtl/>
          <w:lang w:bidi="ar-EG"/>
        </w:rPr>
        <w:t xml:space="preserve">( </w:t>
      </w:r>
      <w:r w:rsidRPr="00315653">
        <w:rPr>
          <w:rStyle w:val="ab"/>
          <w:color w:val="000000"/>
          <w:rtl/>
          <w:lang w:bidi="ar-EG"/>
        </w:rPr>
        <w:footnoteReference w:id="346"/>
      </w:r>
      <w:r>
        <w:rPr>
          <w:rFonts w:hint="cs"/>
          <w:color w:val="000000"/>
          <w:vertAlign w:val="superscript"/>
          <w:rtl/>
          <w:lang w:bidi="ar-EG"/>
        </w:rPr>
        <w:t xml:space="preserve"> )</w:t>
      </w:r>
      <w:r w:rsidRPr="00315653">
        <w:rPr>
          <w:rFonts w:hint="cs"/>
          <w:color w:val="000000"/>
          <w:rtl/>
          <w:lang w:bidi="ar-EG"/>
        </w:rPr>
        <w:t xml:space="preserve"> كما سبق القول</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أراد الكفيل المتضامن أن يكون في مركز المدين المتضامن نفسه</w:t>
      </w:r>
      <w:r>
        <w:rPr>
          <w:rFonts w:hint="cs"/>
          <w:color w:val="000000"/>
          <w:rtl/>
          <w:lang w:bidi="ar-EG"/>
        </w:rPr>
        <w:t xml:space="preserve"> ،</w:t>
      </w:r>
      <w:r w:rsidRPr="00315653">
        <w:rPr>
          <w:rFonts w:hint="cs"/>
          <w:color w:val="000000"/>
          <w:rtl/>
          <w:lang w:bidi="ar-EG"/>
        </w:rPr>
        <w:t xml:space="preserve"> فلا يحتج إلا بأوجه الدفع التي يحتج بها </w:t>
      </w:r>
      <w:r w:rsidRPr="00315653">
        <w:rPr>
          <w:rFonts w:hint="cs"/>
          <w:color w:val="000000"/>
          <w:rtl/>
          <w:lang w:bidi="ar-EG"/>
        </w:rPr>
        <w:lastRenderedPageBreak/>
        <w:t>المدين المتضامن وبالقدر الذي يحتج به هذا الأخير</w:t>
      </w:r>
      <w:r>
        <w:rPr>
          <w:rFonts w:hint="cs"/>
          <w:color w:val="000000"/>
          <w:rtl/>
          <w:lang w:bidi="ar-EG"/>
        </w:rPr>
        <w:t xml:space="preserve"> ،</w:t>
      </w:r>
      <w:r w:rsidRPr="00315653">
        <w:rPr>
          <w:rFonts w:hint="cs"/>
          <w:color w:val="000000"/>
          <w:rtl/>
          <w:lang w:bidi="ar-EG"/>
        </w:rPr>
        <w:t xml:space="preserve"> وفي ذلك تقوية لضمان الدائن إذ يكون مسئولا أمامه مدينان متضامنان لا مدين وكفيل متضامن معه</w:t>
      </w:r>
      <w:r>
        <w:rPr>
          <w:rFonts w:hint="cs"/>
          <w:color w:val="000000"/>
          <w:rtl/>
          <w:lang w:bidi="ar-EG"/>
        </w:rPr>
        <w:t xml:space="preserve"> ،</w:t>
      </w:r>
      <w:r w:rsidRPr="00315653">
        <w:rPr>
          <w:rFonts w:hint="cs"/>
          <w:color w:val="000000"/>
          <w:rtl/>
          <w:lang w:bidi="ar-EG"/>
        </w:rPr>
        <w:t xml:space="preserve"> فما على الكفيل المتضامن إذا قبل تقوية ضمان الدائن على النحو السالف الذكر إلا أن يتقدم</w:t>
      </w:r>
      <w:r>
        <w:rPr>
          <w:rFonts w:hint="cs"/>
          <w:color w:val="000000"/>
          <w:rtl/>
          <w:lang w:bidi="ar-EG"/>
        </w:rPr>
        <w:t xml:space="preserve"> ،</w:t>
      </w:r>
      <w:r w:rsidRPr="00315653">
        <w:rPr>
          <w:rFonts w:hint="cs"/>
          <w:color w:val="000000"/>
          <w:rtl/>
          <w:lang w:bidi="ar-EG"/>
        </w:rPr>
        <w:t xml:space="preserve"> لا ككفيل متضامن مع المدين</w:t>
      </w:r>
      <w:r>
        <w:rPr>
          <w:rFonts w:hint="cs"/>
          <w:color w:val="000000"/>
          <w:rtl/>
          <w:lang w:bidi="ar-EG"/>
        </w:rPr>
        <w:t xml:space="preserve"> ،</w:t>
      </w:r>
      <w:r w:rsidRPr="00315653">
        <w:rPr>
          <w:rFonts w:hint="cs"/>
          <w:color w:val="000000"/>
          <w:rtl/>
          <w:lang w:bidi="ar-EG"/>
        </w:rPr>
        <w:t xml:space="preserve"> بل كمدين متضامن أصلي شأنه في ذلك شأن سائر المدينين المتضامنين</w:t>
      </w:r>
      <w:r>
        <w:rPr>
          <w:rFonts w:hint="cs"/>
          <w:color w:val="000000"/>
          <w:rtl/>
          <w:lang w:bidi="ar-EG"/>
        </w:rPr>
        <w:t xml:space="preserve"> .</w:t>
      </w:r>
      <w:r w:rsidRPr="00315653">
        <w:rPr>
          <w:rFonts w:hint="cs"/>
          <w:color w:val="000000"/>
          <w:rtl/>
          <w:lang w:bidi="ar-EG"/>
        </w:rPr>
        <w:t xml:space="preserve"> ويبقى في علاقته بالدائن مديناً متضامناً لا كفيلا متضامناً $154 مع المدين</w:t>
      </w:r>
      <w:r>
        <w:rPr>
          <w:rFonts w:hint="cs"/>
          <w:color w:val="000000"/>
          <w:rtl/>
          <w:lang w:bidi="ar-EG"/>
        </w:rPr>
        <w:t xml:space="preserve"> ،</w:t>
      </w:r>
      <w:r w:rsidRPr="00315653">
        <w:rPr>
          <w:rFonts w:hint="cs"/>
          <w:color w:val="000000"/>
          <w:rtl/>
          <w:lang w:bidi="ar-EG"/>
        </w:rPr>
        <w:t xml:space="preserve"> ولا تظهر حقيقة مركزه وأنه كفيل لا مدين أصلي إلا في علاقته مع المدين الأصلي</w:t>
      </w:r>
      <w:r>
        <w:rPr>
          <w:rFonts w:hint="cs"/>
          <w:color w:val="000000"/>
          <w:rtl/>
          <w:lang w:bidi="ar-EG"/>
        </w:rPr>
        <w:t xml:space="preserve"> .</w:t>
      </w:r>
      <w:r w:rsidRPr="00315653">
        <w:rPr>
          <w:rFonts w:hint="cs"/>
          <w:color w:val="000000"/>
          <w:rtl/>
          <w:lang w:bidi="ar-EG"/>
        </w:rPr>
        <w:t xml:space="preserve"> إذ يكون هذا المدين الأصلي هو وحده صاحب المصلحة في الدين فيتحمل به كله</w:t>
      </w:r>
      <w:r>
        <w:rPr>
          <w:rFonts w:hint="cs"/>
          <w:color w:val="000000"/>
          <w:rtl/>
          <w:lang w:bidi="ar-EG"/>
        </w:rPr>
        <w:t xml:space="preserve"> ،</w:t>
      </w:r>
      <w:r w:rsidRPr="00315653">
        <w:rPr>
          <w:rFonts w:hint="cs"/>
          <w:color w:val="000000"/>
          <w:rtl/>
          <w:lang w:bidi="ar-EG"/>
        </w:rPr>
        <w:t xml:space="preserve"> وإذا وفاه للدائن لم يرجع بشيء على الكفيل</w:t>
      </w:r>
      <w:r>
        <w:rPr>
          <w:rFonts w:hint="cs"/>
          <w:color w:val="000000"/>
          <w:rtl/>
          <w:lang w:bidi="ar-EG"/>
        </w:rPr>
        <w:t xml:space="preserve"> ،</w:t>
      </w:r>
      <w:r w:rsidRPr="00315653">
        <w:rPr>
          <w:rFonts w:hint="cs"/>
          <w:color w:val="000000"/>
          <w:rtl/>
          <w:lang w:bidi="ar-EG"/>
        </w:rPr>
        <w:t xml:space="preserve"> أما إذا وفي الكفيل الدين للدائن فإنه يرجع به كله على المدين الأصلي</w:t>
      </w:r>
      <w:r>
        <w:rPr>
          <w:rFonts w:hint="cs"/>
          <w:color w:val="000000"/>
          <w:rtl/>
          <w:lang w:bidi="ar-EG"/>
        </w:rPr>
        <w:t xml:space="preserve"> .</w:t>
      </w:r>
      <w:r w:rsidRPr="00315653">
        <w:rPr>
          <w:rFonts w:hint="cs"/>
          <w:color w:val="000000"/>
          <w:rtl/>
          <w:lang w:bidi="ar-EG"/>
        </w:rPr>
        <w:t xml:space="preserve"> وفي ذلك تقول المادة 299 مدني</w:t>
      </w:r>
      <w:r>
        <w:rPr>
          <w:rFonts w:hint="cs"/>
          <w:color w:val="000000"/>
          <w:rtl/>
          <w:lang w:bidi="ar-EG"/>
        </w:rPr>
        <w:t xml:space="preserve"> :</w:t>
      </w:r>
      <w:r w:rsidRPr="00315653">
        <w:rPr>
          <w:rFonts w:hint="cs"/>
          <w:color w:val="000000"/>
          <w:rtl/>
          <w:lang w:bidi="ar-EG"/>
        </w:rPr>
        <w:t xml:space="preserve"> "إذا كان احد المدينين المتضامنين هو وحده صاحب المصلحة في الدين</w:t>
      </w:r>
      <w:r>
        <w:rPr>
          <w:rFonts w:hint="cs"/>
          <w:color w:val="000000"/>
          <w:rtl/>
          <w:lang w:bidi="ar-EG"/>
        </w:rPr>
        <w:t xml:space="preserve"> ،</w:t>
      </w:r>
      <w:r w:rsidRPr="00315653">
        <w:rPr>
          <w:rFonts w:hint="cs"/>
          <w:color w:val="000000"/>
          <w:rtl/>
          <w:lang w:bidi="ar-EG"/>
        </w:rPr>
        <w:t xml:space="preserve"> فهو الذي يتحمل به كله نحو الباقين"</w:t>
      </w:r>
      <w:r>
        <w:rPr>
          <w:rFonts w:hint="cs"/>
          <w:color w:val="000000"/>
          <w:vertAlign w:val="superscript"/>
          <w:rtl/>
          <w:lang w:bidi="ar-EG"/>
        </w:rPr>
        <w:t xml:space="preserve">( </w:t>
      </w:r>
      <w:r w:rsidRPr="00315653">
        <w:rPr>
          <w:rStyle w:val="ab"/>
          <w:color w:val="000000"/>
          <w:rtl/>
          <w:lang w:bidi="ar-EG"/>
        </w:rPr>
        <w:footnoteReference w:id="34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color w:val="000000"/>
          <w:rtl/>
          <w:lang w:bidi="ar-EG"/>
        </w:rPr>
        <w:lastRenderedPageBreak/>
        <w:br w:type="page"/>
      </w:r>
      <w:r w:rsidRPr="00315653">
        <w:rPr>
          <w:rFonts w:hint="cs"/>
          <w:color w:val="000000"/>
          <w:rtl/>
          <w:lang w:bidi="ar-EG"/>
        </w:rPr>
        <w:lastRenderedPageBreak/>
        <w:t xml:space="preserve">$155 </w:t>
      </w:r>
      <w:r w:rsidRPr="00315653">
        <w:rPr>
          <w:rFonts w:hint="cs"/>
          <w:b/>
          <w:bCs/>
          <w:color w:val="000000"/>
          <w:sz w:val="44"/>
          <w:szCs w:val="44"/>
          <w:rtl/>
          <w:lang w:bidi="ar-EG"/>
        </w:rPr>
        <w:t>المبحث الثاني</w:t>
      </w:r>
    </w:p>
    <w:p w:rsidR="00F72742" w:rsidRPr="00315653" w:rsidRDefault="00F72742" w:rsidP="00F72742">
      <w:pPr>
        <w:widowControl w:val="0"/>
        <w:spacing w:after="120"/>
        <w:ind w:firstLine="567"/>
        <w:jc w:val="center"/>
        <w:rPr>
          <w:rFonts w:hint="cs"/>
          <w:b/>
          <w:bCs/>
          <w:color w:val="000000"/>
          <w:rtl/>
          <w:lang w:bidi="ar-EG"/>
        </w:rPr>
      </w:pPr>
      <w:r w:rsidRPr="00315653">
        <w:rPr>
          <w:rFonts w:hint="cs"/>
          <w:b/>
          <w:bCs/>
          <w:color w:val="000000"/>
          <w:rtl/>
          <w:lang w:bidi="ar-EG"/>
        </w:rPr>
        <w:t>لعلاقة فيما بين الكفيل والمدين وفيما بينه وبين الملتزمين بالدين</w:t>
      </w:r>
    </w:p>
    <w:p w:rsidR="00F72742" w:rsidRPr="00315653" w:rsidRDefault="00F72742" w:rsidP="00F72742">
      <w:pPr>
        <w:widowControl w:val="0"/>
        <w:spacing w:after="120"/>
        <w:jc w:val="center"/>
        <w:rPr>
          <w:rFonts w:hint="cs"/>
          <w:b/>
          <w:bCs/>
          <w:color w:val="000000"/>
          <w:sz w:val="40"/>
          <w:szCs w:val="40"/>
          <w:rtl/>
          <w:lang w:bidi="ar-EG"/>
        </w:rPr>
      </w:pPr>
      <w:r w:rsidRPr="00315653">
        <w:rPr>
          <w:rFonts w:hint="cs"/>
          <w:b/>
          <w:bCs/>
          <w:color w:val="000000"/>
          <w:sz w:val="40"/>
          <w:szCs w:val="40"/>
          <w:rtl/>
          <w:lang w:bidi="ar-EG"/>
        </w:rPr>
        <w:t>المطلب الأول</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العلاقة فيما بين الكفيل والمدين</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58- الرجوع بالدعوى الشخصية أو بدعوى الحلول</w:t>
      </w:r>
      <w:r>
        <w:rPr>
          <w:rFonts w:hint="cs"/>
          <w:color w:val="000000"/>
          <w:rtl/>
          <w:lang w:bidi="ar-EG"/>
        </w:rPr>
        <w:t xml:space="preserve"> :</w:t>
      </w:r>
      <w:r w:rsidRPr="00315653">
        <w:rPr>
          <w:rFonts w:hint="cs"/>
          <w:color w:val="000000"/>
          <w:rtl/>
          <w:lang w:bidi="ar-EG"/>
        </w:rPr>
        <w:t xml:space="preserve"> إذا وفي $156 الكفيل الدين للدائن</w:t>
      </w:r>
      <w:r>
        <w:rPr>
          <w:rFonts w:hint="cs"/>
          <w:color w:val="000000"/>
          <w:rtl/>
          <w:lang w:bidi="ar-EG"/>
        </w:rPr>
        <w:t xml:space="preserve"> ،</w:t>
      </w:r>
      <w:r w:rsidRPr="00315653">
        <w:rPr>
          <w:rFonts w:hint="cs"/>
          <w:color w:val="000000"/>
          <w:rtl/>
          <w:lang w:bidi="ar-EG"/>
        </w:rPr>
        <w:t xml:space="preserve"> كان في حكم من وفى دين غيره</w:t>
      </w:r>
      <w:r>
        <w:rPr>
          <w:rFonts w:hint="cs"/>
          <w:color w:val="000000"/>
          <w:rtl/>
          <w:lang w:bidi="ar-EG"/>
        </w:rPr>
        <w:t xml:space="preserve"> .</w:t>
      </w:r>
      <w:r w:rsidRPr="00315653">
        <w:rPr>
          <w:rFonts w:hint="cs"/>
          <w:color w:val="000000"/>
          <w:rtl/>
          <w:lang w:bidi="ar-EG"/>
        </w:rPr>
        <w:t xml:space="preserve"> ذلك بأن الكفيل لم يكن في الأصل ملتزماً بالدين</w:t>
      </w:r>
      <w:r>
        <w:rPr>
          <w:rFonts w:hint="cs"/>
          <w:color w:val="000000"/>
          <w:rtl/>
          <w:lang w:bidi="ar-EG"/>
        </w:rPr>
        <w:t xml:space="preserve"> ،</w:t>
      </w:r>
      <w:r w:rsidRPr="00315653">
        <w:rPr>
          <w:rFonts w:hint="cs"/>
          <w:color w:val="000000"/>
          <w:rtl/>
          <w:lang w:bidi="ar-EG"/>
        </w:rPr>
        <w:t xml:space="preserve"> وإنما التزم به بموجب عقد الكفالة</w:t>
      </w:r>
      <w:r>
        <w:rPr>
          <w:rFonts w:hint="cs"/>
          <w:color w:val="000000"/>
          <w:rtl/>
          <w:lang w:bidi="ar-EG"/>
        </w:rPr>
        <w:t xml:space="preserve"> ،</w:t>
      </w:r>
      <w:r w:rsidRPr="00315653">
        <w:rPr>
          <w:rFonts w:hint="cs"/>
          <w:color w:val="000000"/>
          <w:rtl/>
          <w:lang w:bidi="ar-EG"/>
        </w:rPr>
        <w:t xml:space="preserve"> فهو قد وفي دين غيره وإن كان قد وفى دين نفسه لأنه التزم بهذا الوفاء</w:t>
      </w:r>
      <w:r>
        <w:rPr>
          <w:rFonts w:hint="cs"/>
          <w:color w:val="000000"/>
          <w:rtl/>
          <w:lang w:bidi="ar-EG"/>
        </w:rPr>
        <w:t xml:space="preserve"> .</w:t>
      </w:r>
      <w:r w:rsidRPr="00315653">
        <w:rPr>
          <w:rFonts w:hint="cs"/>
          <w:color w:val="000000"/>
          <w:rtl/>
          <w:lang w:bidi="ar-EG"/>
        </w:rPr>
        <w:t xml:space="preserve"> وحكم من وفى دين غيره طبقاً للقواعد العامة هو أنه يرجع على المدين الأصلي</w:t>
      </w:r>
      <w:r>
        <w:rPr>
          <w:rFonts w:hint="cs"/>
          <w:color w:val="000000"/>
          <w:rtl/>
          <w:lang w:bidi="ar-EG"/>
        </w:rPr>
        <w:t xml:space="preserve"> ،</w:t>
      </w:r>
      <w:r w:rsidRPr="00315653">
        <w:rPr>
          <w:rFonts w:hint="cs"/>
          <w:color w:val="000000"/>
          <w:rtl/>
          <w:lang w:bidi="ar-EG"/>
        </w:rPr>
        <w:t xml:space="preserve"> ويرجع عليه بإحدى الدعويين</w:t>
      </w:r>
      <w:r>
        <w:rPr>
          <w:rFonts w:hint="cs"/>
          <w:color w:val="000000"/>
          <w:rtl/>
          <w:lang w:bidi="ar-EG"/>
        </w:rPr>
        <w:t xml:space="preserve"> ،</w:t>
      </w:r>
      <w:r w:rsidRPr="00315653">
        <w:rPr>
          <w:rFonts w:hint="cs"/>
          <w:color w:val="000000"/>
          <w:rtl/>
          <w:lang w:bidi="ar-EG"/>
        </w:rPr>
        <w:t xml:space="preserve"> أما بالدعوى الشخصية </w:t>
      </w:r>
      <w:r>
        <w:rPr>
          <w:rFonts w:hint="cs"/>
          <w:color w:val="000000"/>
          <w:rtl/>
          <w:lang w:bidi="ar-EG"/>
        </w:rPr>
        <w:t xml:space="preserve">( </w:t>
      </w:r>
      <w:r w:rsidRPr="00315653">
        <w:rPr>
          <w:rFonts w:hint="cs"/>
          <w:color w:val="000000"/>
          <w:rtl/>
          <w:lang w:bidi="ar-EG"/>
        </w:rPr>
        <w:t>م 324 مدني</w:t>
      </w:r>
      <w:r>
        <w:rPr>
          <w:rFonts w:hint="cs"/>
          <w:color w:val="000000"/>
          <w:rtl/>
          <w:lang w:bidi="ar-EG"/>
        </w:rPr>
        <w:t xml:space="preserve"> )</w:t>
      </w:r>
      <w:r w:rsidRPr="00315653">
        <w:rPr>
          <w:rFonts w:hint="cs"/>
          <w:color w:val="000000"/>
          <w:rtl/>
          <w:lang w:bidi="ar-EG"/>
        </w:rPr>
        <w:t xml:space="preserve"> أو بدعوى الحلول </w:t>
      </w:r>
      <w:r>
        <w:rPr>
          <w:rFonts w:hint="cs"/>
          <w:color w:val="000000"/>
          <w:rtl/>
          <w:lang w:bidi="ar-EG"/>
        </w:rPr>
        <w:t xml:space="preserve">( </w:t>
      </w:r>
      <w:r w:rsidRPr="00315653">
        <w:rPr>
          <w:rFonts w:hint="cs"/>
          <w:color w:val="000000"/>
          <w:rtl/>
          <w:lang w:bidi="ar-EG"/>
        </w:rPr>
        <w:t>م 326 مدني</w:t>
      </w:r>
      <w:r>
        <w:rPr>
          <w:rFonts w:hint="cs"/>
          <w:color w:val="000000"/>
          <w:rtl/>
          <w:lang w:bidi="ar-EG"/>
        </w:rPr>
        <w:t xml:space="preserve"> ) .</w:t>
      </w:r>
      <w:r w:rsidRPr="00315653">
        <w:rPr>
          <w:rFonts w:hint="cs"/>
          <w:color w:val="000000"/>
          <w:rtl/>
          <w:lang w:bidi="ar-EG"/>
        </w:rPr>
        <w:t xml:space="preserve"> وقد طبقت هذه القواعد العامة بالنسبة إلى الكفيل باعتباره أنه وفى دين غيره</w:t>
      </w:r>
      <w:r>
        <w:rPr>
          <w:rFonts w:hint="cs"/>
          <w:color w:val="000000"/>
          <w:rtl/>
          <w:lang w:bidi="ar-EG"/>
        </w:rPr>
        <w:t xml:space="preserve"> ،</w:t>
      </w:r>
      <w:r w:rsidRPr="00315653">
        <w:rPr>
          <w:rFonts w:hint="cs"/>
          <w:color w:val="000000"/>
          <w:rtl/>
          <w:lang w:bidi="ar-EG"/>
        </w:rPr>
        <w:t xml:space="preserve"> فأجازت المادة 800 مدني للكفيل أن يرجع على المدين بالدعوى الشخصية</w:t>
      </w:r>
      <w:r>
        <w:rPr>
          <w:rFonts w:hint="cs"/>
          <w:color w:val="000000"/>
          <w:rtl/>
          <w:lang w:bidi="ar-EG"/>
        </w:rPr>
        <w:t xml:space="preserve"> ،</w:t>
      </w:r>
      <w:r w:rsidRPr="00315653">
        <w:rPr>
          <w:rFonts w:hint="cs"/>
          <w:color w:val="000000"/>
          <w:rtl/>
          <w:lang w:bidi="ar-EG"/>
        </w:rPr>
        <w:t xml:space="preserve"> كما أجازت المادة 799 مدني للكفيل أن يرجع على المدين بدعوى الحلول</w:t>
      </w:r>
      <w:r>
        <w:rPr>
          <w:rFonts w:hint="cs"/>
          <w:color w:val="000000"/>
          <w:rtl/>
          <w:lang w:bidi="ar-EG"/>
        </w:rPr>
        <w:t xml:space="preserve"> .</w:t>
      </w:r>
      <w:r w:rsidRPr="00315653">
        <w:rPr>
          <w:rFonts w:hint="cs"/>
          <w:color w:val="000000"/>
          <w:rtl/>
          <w:lang w:bidi="ar-EG"/>
        </w:rPr>
        <w:t xml:space="preserve"> ثم أن المادة 801 مدني واجهت حالة ما إذا تعدد المدينون الأصليون وكانوا متضامنين</w:t>
      </w:r>
      <w:r>
        <w:rPr>
          <w:rFonts w:hint="cs"/>
          <w:color w:val="000000"/>
          <w:rtl/>
          <w:lang w:bidi="ar-EG"/>
        </w:rPr>
        <w:t xml:space="preserve"> ،</w:t>
      </w:r>
      <w:r w:rsidRPr="00315653">
        <w:rPr>
          <w:rFonts w:hint="cs"/>
          <w:color w:val="000000"/>
          <w:rtl/>
          <w:lang w:bidi="ar-EG"/>
        </w:rPr>
        <w:t xml:space="preserve"> ووفى الكفيل عنهم الدين للدائن وأراد الرجوع على هؤلاء المدينين المتضامنين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فلدينا إذن حالات ثلاث</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حالة رجوع الكفيل على المدين بالدعوى الشخصية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وحالة رجوع الكفيل على المدين بدعوى الحول</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وحالة رجوع الكفيل على المدينين المتضامنين</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b/>
          <w:bCs/>
          <w:color w:val="000000"/>
          <w:rtl/>
          <w:lang w:bidi="ar-EG"/>
        </w:rPr>
        <w:t>§</w:t>
      </w:r>
      <w:r w:rsidRPr="00315653">
        <w:rPr>
          <w:rFonts w:hint="cs"/>
          <w:b/>
          <w:bCs/>
          <w:color w:val="000000"/>
          <w:rtl/>
          <w:lang w:bidi="ar-EG"/>
        </w:rPr>
        <w:t>1</w:t>
      </w:r>
      <w:r w:rsidRPr="00315653">
        <w:rPr>
          <w:b/>
          <w:bCs/>
          <w:color w:val="000000"/>
          <w:rtl/>
          <w:lang w:bidi="ar-EG"/>
        </w:rPr>
        <w:t>–</w:t>
      </w:r>
      <w:r w:rsidRPr="00315653">
        <w:rPr>
          <w:rFonts w:hint="cs"/>
          <w:b/>
          <w:bCs/>
          <w:color w:val="000000"/>
          <w:rtl/>
          <w:lang w:bidi="ar-EG"/>
        </w:rPr>
        <w:t xml:space="preserve"> رجوع الكفيل على المدين بالدعوى الشخصية</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59- نصوص قانونية</w:t>
      </w:r>
      <w:r>
        <w:rPr>
          <w:rFonts w:hint="cs"/>
          <w:color w:val="000000"/>
          <w:rtl/>
          <w:lang w:bidi="ar-EG"/>
        </w:rPr>
        <w:t xml:space="preserve"> :</w:t>
      </w:r>
      <w:r w:rsidRPr="00315653">
        <w:rPr>
          <w:rFonts w:hint="cs"/>
          <w:color w:val="000000"/>
          <w:rtl/>
          <w:lang w:bidi="ar-EG"/>
        </w:rPr>
        <w:t xml:space="preserve"> تنص المادة 798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 يجب على الكفيل أن يخطر المدين قبل أن يقوم بوفاء الدين</w:t>
      </w:r>
      <w:r>
        <w:rPr>
          <w:rFonts w:hint="cs"/>
          <w:color w:val="000000"/>
          <w:rtl/>
          <w:lang w:bidi="ar-EG"/>
        </w:rPr>
        <w:t xml:space="preserve"> ،</w:t>
      </w:r>
      <w:r w:rsidRPr="00315653">
        <w:rPr>
          <w:rFonts w:hint="cs"/>
          <w:color w:val="000000"/>
          <w:rtl/>
          <w:lang w:bidi="ar-EG"/>
        </w:rPr>
        <w:t xml:space="preserve"> وإلا سقط حقه في الرجوع على المدين إذا كان هذا قد وفى الدين أو كانت عنده وقت الاستحقاق أسباب تقضي ببطلانه أو بانقضائه"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 فإذا لم يعارض المدين في الوفاء</w:t>
      </w:r>
      <w:r>
        <w:rPr>
          <w:rFonts w:hint="cs"/>
          <w:color w:val="000000"/>
          <w:rtl/>
          <w:lang w:bidi="ar-EG"/>
        </w:rPr>
        <w:t xml:space="preserve"> ،</w:t>
      </w:r>
      <w:r w:rsidRPr="00315653">
        <w:rPr>
          <w:rFonts w:hint="cs"/>
          <w:color w:val="000000"/>
          <w:rtl/>
          <w:lang w:bidi="ar-EG"/>
        </w:rPr>
        <w:t xml:space="preserve"> بقى للكفيل حقه في الرجوع عليه ولو كان المدين قد دفع الدين أو كانت لديه أسباب تقضي ببطلانه أو بانقضائه"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وتنص المادة 800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$157 "1- للكفيل الذي وفى الدين أن يرجع على المدين</w:t>
      </w:r>
      <w:r>
        <w:rPr>
          <w:rFonts w:hint="cs"/>
          <w:color w:val="000000"/>
          <w:rtl/>
          <w:lang w:bidi="ar-EG"/>
        </w:rPr>
        <w:t xml:space="preserve"> ،</w:t>
      </w:r>
      <w:r w:rsidRPr="00315653">
        <w:rPr>
          <w:rFonts w:hint="cs"/>
          <w:color w:val="000000"/>
          <w:rtl/>
          <w:lang w:bidi="ar-EG"/>
        </w:rPr>
        <w:t xml:space="preserve"> سواء كانت الكفالة قد عقدت بعلمه أو بغير علمه"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"2- ويرجع بأصل الدين وبالفوائد والمصروفات</w:t>
      </w:r>
      <w:r>
        <w:rPr>
          <w:rFonts w:hint="cs"/>
          <w:color w:val="000000"/>
          <w:rtl/>
          <w:lang w:bidi="ar-EG"/>
        </w:rPr>
        <w:t xml:space="preserve"> ،</w:t>
      </w:r>
      <w:r w:rsidRPr="00315653">
        <w:rPr>
          <w:rFonts w:hint="cs"/>
          <w:color w:val="000000"/>
          <w:rtl/>
          <w:lang w:bidi="ar-EG"/>
        </w:rPr>
        <w:t xml:space="preserve"> على أنه في المصروفات لا يرجع إلا بالذي دفعه م وقت إخباره المدين الأصلي بالإجراءات التي اتخذت ضده"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"3- ويكون للكفيل الحق في الفوائد القانونية عن كل ما قام بدفعه من يوم الدفع"</w:t>
      </w:r>
      <w:r>
        <w:rPr>
          <w:rFonts w:hint="cs"/>
          <w:color w:val="000000"/>
          <w:vertAlign w:val="superscript"/>
          <w:rtl/>
          <w:lang w:bidi="ar-EG"/>
        </w:rPr>
        <w:t xml:space="preserve">( </w:t>
      </w:r>
      <w:r w:rsidRPr="00315653">
        <w:rPr>
          <w:rStyle w:val="ab"/>
          <w:color w:val="000000"/>
          <w:rtl/>
          <w:lang w:bidi="ar-EG"/>
        </w:rPr>
        <w:footnoteReference w:id="34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$159 ويخلص من هذه النصوص أن الكفيل</w:t>
      </w:r>
      <w:r>
        <w:rPr>
          <w:rFonts w:hint="cs"/>
          <w:color w:val="000000"/>
          <w:rtl/>
          <w:lang w:bidi="ar-EG"/>
        </w:rPr>
        <w:t xml:space="preserve"> ،</w:t>
      </w:r>
      <w:r w:rsidRPr="00315653">
        <w:rPr>
          <w:rFonts w:hint="cs"/>
          <w:color w:val="000000"/>
          <w:rtl/>
          <w:lang w:bidi="ar-EG"/>
        </w:rPr>
        <w:t xml:space="preserve"> إذا وفى الدين عن المدين</w:t>
      </w:r>
      <w:r>
        <w:rPr>
          <w:rFonts w:hint="cs"/>
          <w:color w:val="000000"/>
          <w:rtl/>
          <w:lang w:bidi="ar-EG"/>
        </w:rPr>
        <w:t xml:space="preserve"> ،</w:t>
      </w:r>
      <w:r w:rsidRPr="00315653">
        <w:rPr>
          <w:rFonts w:hint="cs"/>
          <w:color w:val="000000"/>
          <w:rtl/>
          <w:lang w:bidi="ar-EG"/>
        </w:rPr>
        <w:t xml:space="preserve"> يرجع عليه بما وفاه بموج بدعوى شخصية</w:t>
      </w:r>
      <w:r>
        <w:rPr>
          <w:rFonts w:hint="cs"/>
          <w:color w:val="000000"/>
          <w:rtl/>
          <w:lang w:bidi="ar-EG"/>
        </w:rPr>
        <w:t xml:space="preserve"> ،</w:t>
      </w:r>
      <w:r w:rsidRPr="00315653">
        <w:rPr>
          <w:rFonts w:hint="cs"/>
          <w:color w:val="000000"/>
          <w:rtl/>
          <w:lang w:bidi="ar-EG"/>
        </w:rPr>
        <w:t xml:space="preserve"> وهذا يقتضي بالحث</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أي كفيل يرجع على المدين بالدعوى الشخصية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ما هو الأساس القانوني الذي تقوم عليه الدعوى الشخصية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ما هي الشروط الواجب توافرها لرجوع الكفيل على المدين بالدعوى الشخصية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ما الذي يرجع به الكفيل على المدين في الدعوى الشخصية إذا وفى الكفيل الدين كاملان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sidRPr="00315653">
        <w:rPr>
          <w:rFonts w:hint="cs"/>
          <w:color w:val="000000"/>
          <w:rtl/>
          <w:lang w:bidi="ar-EG"/>
        </w:rPr>
        <w:t xml:space="preserve"> ما الذي يرجع به الكفيل على المدين في الدعوى الشخصية إذا وفى الكفيل جزءاً من الدين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60- أي كفيل يرجع على المدين بالدعوى الشخصية</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349"/>
      </w:r>
      <w:r>
        <w:rPr>
          <w:rFonts w:hint="cs"/>
          <w:color w:val="000000"/>
          <w:vertAlign w:val="superscript"/>
          <w:rtl/>
          <w:lang w:bidi="ar-EG"/>
        </w:rPr>
        <w:t xml:space="preserve"> )</w:t>
      </w:r>
      <w:r w:rsidRPr="00315653">
        <w:rPr>
          <w:rFonts w:hint="cs"/>
          <w:color w:val="000000"/>
          <w:rtl/>
          <w:lang w:bidi="ar-EG"/>
        </w:rPr>
        <w:t xml:space="preserve"> أن الفقرة الأولى من المادة 800 مدني تنص على أن "للكفيل الذي وفى الدين أن يرجع على المدين</w:t>
      </w:r>
      <w:r>
        <w:rPr>
          <w:rFonts w:hint="cs"/>
          <w:color w:val="000000"/>
          <w:rtl/>
          <w:lang w:bidi="ar-EG"/>
        </w:rPr>
        <w:t xml:space="preserve"> ،</w:t>
      </w:r>
      <w:r w:rsidRPr="00315653">
        <w:rPr>
          <w:rFonts w:hint="cs"/>
          <w:color w:val="000000"/>
          <w:rtl/>
          <w:lang w:bidi="ar-EG"/>
        </w:rPr>
        <w:t xml:space="preserve"> سواء كانت الكفالة قد عقدت بعلمه أو بغير علمه"</w:t>
      </w:r>
      <w:r>
        <w:rPr>
          <w:rFonts w:hint="cs"/>
          <w:color w:val="000000"/>
          <w:rtl/>
          <w:lang w:bidi="ar-EG"/>
        </w:rPr>
        <w:t xml:space="preserve"> .</w:t>
      </w:r>
      <w:r w:rsidRPr="00315653">
        <w:rPr>
          <w:rFonts w:hint="cs"/>
          <w:color w:val="000000"/>
          <w:rtl/>
          <w:lang w:bidi="ar-EG"/>
        </w:rPr>
        <w:t xml:space="preserve"> فالكفيل يرجع على المدين بالدعوى الشخصية</w:t>
      </w:r>
      <w:r>
        <w:rPr>
          <w:rFonts w:hint="cs"/>
          <w:color w:val="000000"/>
          <w:rtl/>
          <w:lang w:bidi="ar-EG"/>
        </w:rPr>
        <w:t xml:space="preserve"> ،</w:t>
      </w:r>
      <w:r w:rsidRPr="00315653">
        <w:rPr>
          <w:rFonts w:hint="cs"/>
          <w:color w:val="000000"/>
          <w:rtl/>
          <w:lang w:bidi="ar-EG"/>
        </w:rPr>
        <w:t xml:space="preserve"> إذا كانت الكفالة قد عقدت بعلم المدين وبرضاه الصريح أو الضمني</w:t>
      </w:r>
      <w:r>
        <w:rPr>
          <w:rFonts w:hint="cs"/>
          <w:color w:val="000000"/>
          <w:rtl/>
          <w:lang w:bidi="ar-EG"/>
        </w:rPr>
        <w:t xml:space="preserve"> ،</w:t>
      </w:r>
      <w:r w:rsidRPr="00315653">
        <w:rPr>
          <w:rFonts w:hint="cs"/>
          <w:color w:val="000000"/>
          <w:rtl/>
          <w:lang w:bidi="ar-EG"/>
        </w:rPr>
        <w:t xml:space="preserve"> أو بغير علمه</w:t>
      </w:r>
      <w:r>
        <w:rPr>
          <w:rFonts w:hint="cs"/>
          <w:color w:val="000000"/>
          <w:rtl/>
          <w:lang w:bidi="ar-EG"/>
        </w:rPr>
        <w:t xml:space="preserve"> .</w:t>
      </w:r>
      <w:r w:rsidRPr="00315653">
        <w:rPr>
          <w:rFonts w:hint="cs"/>
          <w:color w:val="000000"/>
          <w:rtl/>
          <w:lang w:bidi="ar-EG"/>
        </w:rPr>
        <w:t xml:space="preserve"> ويستوي في ذلك الكفيل العادي والكفيل المتضامن والكفيل الذي تقدم باعتباره مديناً متضامناً أصلياً</w:t>
      </w:r>
      <w:r>
        <w:rPr>
          <w:rFonts w:hint="cs"/>
          <w:color w:val="000000"/>
          <w:rtl/>
          <w:lang w:bidi="ar-EG"/>
        </w:rPr>
        <w:t xml:space="preserve"> ،</w:t>
      </w:r>
      <w:r w:rsidRPr="00315653">
        <w:rPr>
          <w:rFonts w:hint="cs"/>
          <w:color w:val="000000"/>
          <w:rtl/>
          <w:lang w:bidi="ar-EG"/>
        </w:rPr>
        <w:t xml:space="preserve"> والكفيل غير المأجور والكيل المأجور</w:t>
      </w:r>
      <w:r>
        <w:rPr>
          <w:rFonts w:hint="cs"/>
          <w:color w:val="000000"/>
          <w:rtl/>
          <w:lang w:bidi="ar-EG"/>
        </w:rPr>
        <w:t xml:space="preserve"> ،</w:t>
      </w:r>
      <w:r w:rsidRPr="00315653">
        <w:rPr>
          <w:rFonts w:hint="cs"/>
          <w:color w:val="000000"/>
          <w:rtl/>
          <w:lang w:bidi="ar-EG"/>
        </w:rPr>
        <w:t xml:space="preserve"> والكفيل الشخصي والكفيل العيني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إذا عقدت الكفالة بعلم المدين ولكن بالرغم من معارضته</w:t>
      </w:r>
      <w:r>
        <w:rPr>
          <w:rFonts w:hint="cs"/>
          <w:color w:val="000000"/>
          <w:rtl/>
          <w:lang w:bidi="ar-EG"/>
        </w:rPr>
        <w:t xml:space="preserve"> ،</w:t>
      </w:r>
      <w:r w:rsidRPr="00315653">
        <w:rPr>
          <w:rFonts w:hint="cs"/>
          <w:color w:val="000000"/>
          <w:rtl/>
          <w:lang w:bidi="ar-EG"/>
        </w:rPr>
        <w:t xml:space="preserve"> فإن هذا الفرض لا يدخل في نص الفقرة الأولى من المادة 800 مدني</w:t>
      </w:r>
      <w:r>
        <w:rPr>
          <w:rFonts w:hint="cs"/>
          <w:color w:val="000000"/>
          <w:rtl/>
          <w:lang w:bidi="ar-EG"/>
        </w:rPr>
        <w:t xml:space="preserve"> .</w:t>
      </w:r>
      <w:r w:rsidRPr="00315653">
        <w:rPr>
          <w:rFonts w:hint="cs"/>
          <w:color w:val="000000"/>
          <w:rtl/>
          <w:lang w:bidi="ar-EG"/>
        </w:rPr>
        <w:t xml:space="preserve"> صحيح أن الكفالة في هذا الفرض تعقد بعلم المدين إذا هو يعارض فيها</w:t>
      </w:r>
      <w:r>
        <w:rPr>
          <w:rFonts w:hint="cs"/>
          <w:color w:val="000000"/>
          <w:rtl/>
          <w:lang w:bidi="ar-EG"/>
        </w:rPr>
        <w:t xml:space="preserve"> ،</w:t>
      </w:r>
      <w:r w:rsidRPr="00315653">
        <w:rPr>
          <w:rFonts w:hint="cs"/>
          <w:color w:val="000000"/>
          <w:rtl/>
          <w:lang w:bidi="ar-EG"/>
        </w:rPr>
        <w:t xml:space="preserve"> ولكن النص عند ما تحدث عن كفالة تعقد بعلم المدين إنما افترض أنها عقدت برضاء المدين</w:t>
      </w:r>
      <w:r>
        <w:rPr>
          <w:rFonts w:hint="cs"/>
          <w:color w:val="000000"/>
          <w:rtl/>
          <w:lang w:bidi="ar-EG"/>
        </w:rPr>
        <w:t xml:space="preserve"> ،</w:t>
      </w:r>
      <w:r w:rsidRPr="00315653">
        <w:rPr>
          <w:rFonts w:hint="cs"/>
          <w:color w:val="000000"/>
          <w:rtl/>
          <w:lang w:bidi="ar-EG"/>
        </w:rPr>
        <w:t xml:space="preserve"> ولو أراد كفالة تعقد بالرغم من معارضة المدين لذكر ذلك صراحة كما ذكره في حالات أخرى</w:t>
      </w:r>
      <w:r>
        <w:rPr>
          <w:rFonts w:hint="cs"/>
          <w:color w:val="000000"/>
          <w:vertAlign w:val="superscript"/>
          <w:rtl/>
          <w:lang w:bidi="ar-EG"/>
        </w:rPr>
        <w:t xml:space="preserve">( </w:t>
      </w:r>
      <w:r w:rsidRPr="00315653">
        <w:rPr>
          <w:rStyle w:val="ab"/>
          <w:color w:val="000000"/>
          <w:rtl/>
          <w:lang w:bidi="ar-EG"/>
        </w:rPr>
        <w:footnoteReference w:id="35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وعلى ذلك يكون النص قد أغفل هذا $160 الفرض</w:t>
      </w:r>
      <w:r>
        <w:rPr>
          <w:rFonts w:hint="cs"/>
          <w:color w:val="000000"/>
          <w:rtl/>
          <w:lang w:bidi="ar-EG"/>
        </w:rPr>
        <w:t xml:space="preserve"> ،</w:t>
      </w:r>
      <w:r w:rsidRPr="00315653">
        <w:rPr>
          <w:rFonts w:hint="cs"/>
          <w:color w:val="000000"/>
          <w:rtl/>
          <w:lang w:bidi="ar-EG"/>
        </w:rPr>
        <w:t xml:space="preserve"> فلم يبقى إلا تطبيق المبادئ </w:t>
      </w:r>
      <w:r w:rsidRPr="00315653">
        <w:rPr>
          <w:rFonts w:hint="cs"/>
          <w:color w:val="000000"/>
          <w:rtl/>
          <w:lang w:bidi="ar-EG"/>
        </w:rPr>
        <w:lastRenderedPageBreak/>
        <w:t>العامة</w:t>
      </w:r>
      <w:r>
        <w:rPr>
          <w:rFonts w:hint="cs"/>
          <w:color w:val="000000"/>
          <w:rtl/>
          <w:lang w:bidi="ar-EG"/>
        </w:rPr>
        <w:t xml:space="preserve"> .</w:t>
      </w:r>
      <w:r w:rsidRPr="00315653">
        <w:rPr>
          <w:rFonts w:hint="cs"/>
          <w:color w:val="000000"/>
          <w:rtl/>
          <w:lang w:bidi="ar-EG"/>
        </w:rPr>
        <w:t xml:space="preserve"> وهذه تقضي بأن الكفيل في هذا الفرض إذا وفى الدين عن المدين يكون قد افتقر بمقدار ما دفع</w:t>
      </w:r>
      <w:r>
        <w:rPr>
          <w:rFonts w:hint="cs"/>
          <w:color w:val="000000"/>
          <w:rtl/>
          <w:lang w:bidi="ar-EG"/>
        </w:rPr>
        <w:t xml:space="preserve"> ،</w:t>
      </w:r>
      <w:r w:rsidRPr="00315653">
        <w:rPr>
          <w:rFonts w:hint="cs"/>
          <w:color w:val="000000"/>
          <w:rtl/>
          <w:lang w:bidi="ar-EG"/>
        </w:rPr>
        <w:t xml:space="preserve"> ويكون المدين قد اغتنى أيضاً بهذا المقدار لأن الدين كان في ذمته فبرئت ذمته منه</w:t>
      </w:r>
      <w:r>
        <w:rPr>
          <w:rFonts w:hint="cs"/>
          <w:color w:val="000000"/>
          <w:rtl/>
          <w:lang w:bidi="ar-EG"/>
        </w:rPr>
        <w:t xml:space="preserve"> ،</w:t>
      </w:r>
      <w:r w:rsidRPr="00315653">
        <w:rPr>
          <w:rFonts w:hint="cs"/>
          <w:color w:val="000000"/>
          <w:rtl/>
          <w:lang w:bidi="ar-EG"/>
        </w:rPr>
        <w:t xml:space="preserve"> فيرجع الكفيل على المدين بقاعدة الإثراء بلا  سبب</w:t>
      </w:r>
      <w:r>
        <w:rPr>
          <w:rFonts w:hint="cs"/>
          <w:color w:val="000000"/>
          <w:rtl/>
          <w:lang w:bidi="ar-EG"/>
        </w:rPr>
        <w:t xml:space="preserve"> ،</w:t>
      </w:r>
      <w:r w:rsidRPr="00315653">
        <w:rPr>
          <w:rFonts w:hint="cs"/>
          <w:color w:val="000000"/>
          <w:rtl/>
          <w:lang w:bidi="ar-EG"/>
        </w:rPr>
        <w:t xml:space="preserve"> أي يرجع بمقدار ما دفع عن المدين إذا كانت ذمة المدين قد برئت بهذا المقدار</w:t>
      </w:r>
      <w:r>
        <w:rPr>
          <w:rFonts w:hint="cs"/>
          <w:color w:val="000000"/>
          <w:vertAlign w:val="superscript"/>
          <w:rtl/>
          <w:lang w:bidi="ar-EG"/>
        </w:rPr>
        <w:t xml:space="preserve">( </w:t>
      </w:r>
      <w:r w:rsidRPr="00315653">
        <w:rPr>
          <w:rStyle w:val="ab"/>
          <w:color w:val="000000"/>
          <w:rtl/>
          <w:lang w:bidi="ar-EG"/>
        </w:rPr>
        <w:footnoteReference w:id="35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الكفل لا يرجع بالمصروفات التي تكبدها لأن المدين لم يغتن بمقدارها وإن كان الكفيل قد افتقر</w:t>
      </w:r>
      <w:r>
        <w:rPr>
          <w:rFonts w:hint="cs"/>
          <w:color w:val="000000"/>
          <w:rtl/>
          <w:lang w:bidi="ar-EG"/>
        </w:rPr>
        <w:t xml:space="preserve"> ،</w:t>
      </w:r>
      <w:r w:rsidRPr="00315653">
        <w:rPr>
          <w:rFonts w:hint="cs"/>
          <w:color w:val="000000"/>
          <w:rtl/>
          <w:lang w:bidi="ar-EG"/>
        </w:rPr>
        <w:t xml:space="preserve"> ولا يرجع الكفيل بفوائد ما دفعه إلا من وقت المطالبة القضائية بالفوائد طبقاً للقواعد العامة</w:t>
      </w:r>
      <w:r>
        <w:rPr>
          <w:rFonts w:hint="cs"/>
          <w:color w:val="000000"/>
          <w:rtl/>
          <w:lang w:bidi="ar-EG"/>
        </w:rPr>
        <w:t xml:space="preserve"> ،</w:t>
      </w:r>
      <w:r w:rsidRPr="00315653">
        <w:rPr>
          <w:rFonts w:hint="cs"/>
          <w:color w:val="000000"/>
          <w:rtl/>
          <w:lang w:bidi="ar-EG"/>
        </w:rPr>
        <w:t xml:space="preserve"> فلا يرجع بالفوائد من وقت الدفع</w:t>
      </w:r>
      <w:r>
        <w:rPr>
          <w:rFonts w:hint="cs"/>
          <w:color w:val="000000"/>
          <w:rtl/>
          <w:lang w:bidi="ar-EG"/>
        </w:rPr>
        <w:t xml:space="preserve"> .</w:t>
      </w:r>
      <w:r w:rsidRPr="00315653">
        <w:rPr>
          <w:rFonts w:hint="cs"/>
          <w:color w:val="000000"/>
          <w:rtl/>
          <w:lang w:bidi="ar-EG"/>
        </w:rPr>
        <w:t xml:space="preserve"> وهذا بخلا الكفيل الذي عقد الكفالة بعلم المدين وبرضاه الصريح أو الضمني</w:t>
      </w:r>
      <w:r>
        <w:rPr>
          <w:rFonts w:hint="cs"/>
          <w:color w:val="000000"/>
          <w:rtl/>
          <w:lang w:bidi="ar-EG"/>
        </w:rPr>
        <w:t xml:space="preserve"> ،</w:t>
      </w:r>
      <w:r w:rsidRPr="00315653">
        <w:rPr>
          <w:rFonts w:hint="cs"/>
          <w:color w:val="000000"/>
          <w:rtl/>
          <w:lang w:bidi="ar-EG"/>
        </w:rPr>
        <w:t xml:space="preserve"> أو عقدها بغير علمه</w:t>
      </w:r>
      <w:r>
        <w:rPr>
          <w:rFonts w:hint="cs"/>
          <w:color w:val="000000"/>
          <w:rtl/>
          <w:lang w:bidi="ar-EG"/>
        </w:rPr>
        <w:t xml:space="preserve"> ،</w:t>
      </w:r>
      <w:r w:rsidRPr="00315653">
        <w:rPr>
          <w:rFonts w:hint="cs"/>
          <w:color w:val="000000"/>
          <w:rtl/>
          <w:lang w:bidi="ar-EG"/>
        </w:rPr>
        <w:t xml:space="preserve"> فسنرى أنه يرجع بالمصروفات وبالفوائد من وقت أن وفى الدين</w:t>
      </w:r>
      <w:r>
        <w:rPr>
          <w:rFonts w:hint="cs"/>
          <w:color w:val="000000"/>
          <w:rtl/>
          <w:lang w:bidi="ar-EG"/>
        </w:rPr>
        <w:t xml:space="preserve"> ،</w:t>
      </w:r>
      <w:r w:rsidRPr="00315653">
        <w:rPr>
          <w:rFonts w:hint="cs"/>
          <w:color w:val="000000"/>
          <w:rtl/>
          <w:lang w:bidi="ar-EG"/>
        </w:rPr>
        <w:t xml:space="preserve"> وهذا هو الفرق بين كفيل عقد الكفالة من غير معارضة المدين وكفيل عقدها بالرغم من معارضة المدين</w:t>
      </w:r>
      <w:r>
        <w:rPr>
          <w:rFonts w:hint="cs"/>
          <w:color w:val="000000"/>
          <w:vertAlign w:val="superscript"/>
          <w:rtl/>
          <w:lang w:bidi="ar-EG"/>
        </w:rPr>
        <w:t xml:space="preserve">( </w:t>
      </w:r>
      <w:r w:rsidRPr="00315653">
        <w:rPr>
          <w:rStyle w:val="ab"/>
          <w:color w:val="000000"/>
          <w:rtl/>
          <w:lang w:bidi="ar-EG"/>
        </w:rPr>
        <w:footnoteReference w:id="35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عقدت الكفالة لمصلحة الدائن دون مصلحة المدين</w:t>
      </w:r>
      <w:r>
        <w:rPr>
          <w:rFonts w:hint="cs"/>
          <w:color w:val="000000"/>
          <w:rtl/>
          <w:lang w:bidi="ar-EG"/>
        </w:rPr>
        <w:t xml:space="preserve"> ،</w:t>
      </w:r>
      <w:r w:rsidRPr="00315653">
        <w:rPr>
          <w:rFonts w:hint="cs"/>
          <w:color w:val="000000"/>
          <w:rtl/>
          <w:lang w:bidi="ar-EG"/>
        </w:rPr>
        <w:t xml:space="preserve"> كأن عقد $161 الكفيل الكفالة بعد عقد الدين لتأمين الدائن دون أية فائدة للمدين</w:t>
      </w:r>
      <w:r>
        <w:rPr>
          <w:rFonts w:hint="cs"/>
          <w:color w:val="000000"/>
          <w:rtl/>
          <w:lang w:bidi="ar-EG"/>
        </w:rPr>
        <w:t xml:space="preserve"> ،</w:t>
      </w:r>
      <w:r w:rsidRPr="00315653">
        <w:rPr>
          <w:rFonts w:hint="cs"/>
          <w:color w:val="000000"/>
          <w:rtl/>
          <w:lang w:bidi="ar-EG"/>
        </w:rPr>
        <w:t xml:space="preserve"> لم يكن الكفيل</w:t>
      </w:r>
      <w:r>
        <w:rPr>
          <w:rFonts w:hint="cs"/>
          <w:color w:val="000000"/>
          <w:rtl/>
          <w:lang w:bidi="ar-EG"/>
        </w:rPr>
        <w:t xml:space="preserve"> ،</w:t>
      </w:r>
      <w:r w:rsidRPr="00315653">
        <w:rPr>
          <w:rFonts w:hint="cs"/>
          <w:color w:val="000000"/>
          <w:rtl/>
          <w:lang w:bidi="ar-EG"/>
        </w:rPr>
        <w:t xml:space="preserve"> سواء كانت الكفالة لمصلحته أو لم تكن</w:t>
      </w:r>
      <w:r>
        <w:rPr>
          <w:rFonts w:hint="cs"/>
          <w:color w:val="000000"/>
          <w:rtl/>
          <w:lang w:bidi="ar-EG"/>
        </w:rPr>
        <w:t xml:space="preserve"> ،</w:t>
      </w:r>
      <w:r w:rsidRPr="00315653">
        <w:rPr>
          <w:rFonts w:hint="cs"/>
          <w:color w:val="000000"/>
          <w:rtl/>
          <w:lang w:bidi="ar-EG"/>
        </w:rPr>
        <w:t xml:space="preserve"> أن يرجع على المدين</w:t>
      </w:r>
      <w:r>
        <w:rPr>
          <w:rFonts w:hint="cs"/>
          <w:color w:val="000000"/>
          <w:rtl/>
          <w:lang w:bidi="ar-EG"/>
        </w:rPr>
        <w:t xml:space="preserve"> ،</w:t>
      </w:r>
      <w:r w:rsidRPr="00315653">
        <w:rPr>
          <w:rFonts w:hint="cs"/>
          <w:color w:val="000000"/>
          <w:rtl/>
          <w:lang w:bidi="ar-EG"/>
        </w:rPr>
        <w:t xml:space="preserve"> كما في الفرض السابق</w:t>
      </w:r>
      <w:r>
        <w:rPr>
          <w:rFonts w:hint="cs"/>
          <w:color w:val="000000"/>
          <w:rtl/>
          <w:lang w:bidi="ar-EG"/>
        </w:rPr>
        <w:t xml:space="preserve"> ،</w:t>
      </w:r>
      <w:r w:rsidRPr="00315653">
        <w:rPr>
          <w:rFonts w:hint="cs"/>
          <w:color w:val="000000"/>
          <w:rtl/>
          <w:lang w:bidi="ar-EG"/>
        </w:rPr>
        <w:t xml:space="preserve"> إلا بدعوى الإثراء بلا سبب</w:t>
      </w:r>
      <w:r>
        <w:rPr>
          <w:rFonts w:hint="cs"/>
          <w:color w:val="000000"/>
          <w:vertAlign w:val="superscript"/>
          <w:rtl/>
          <w:lang w:bidi="ar-EG"/>
        </w:rPr>
        <w:t xml:space="preserve">( </w:t>
      </w:r>
      <w:r w:rsidRPr="00315653">
        <w:rPr>
          <w:rStyle w:val="ab"/>
          <w:color w:val="000000"/>
          <w:rtl/>
          <w:lang w:bidi="ar-EG"/>
        </w:rPr>
        <w:footnoteReference w:id="35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فيرجع بما دفعه من الدين وهو مقدار ما افتقر به وفي الوقت ذاته مقدار ما اغتنى به المدين</w:t>
      </w:r>
      <w:r>
        <w:rPr>
          <w:rFonts w:hint="cs"/>
          <w:color w:val="000000"/>
          <w:rtl/>
          <w:lang w:bidi="ar-EG"/>
        </w:rPr>
        <w:t xml:space="preserve"> ،</w:t>
      </w:r>
      <w:r w:rsidRPr="00315653">
        <w:rPr>
          <w:rFonts w:hint="cs"/>
          <w:color w:val="000000"/>
          <w:rtl/>
          <w:lang w:bidi="ar-EG"/>
        </w:rPr>
        <w:t xml:space="preserve"> دون أن يرجع بالمصروفات أو بالفوائد</w:t>
      </w:r>
      <w:r>
        <w:rPr>
          <w:rFonts w:hint="cs"/>
          <w:color w:val="000000"/>
          <w:vertAlign w:val="superscript"/>
          <w:rtl/>
          <w:lang w:bidi="ar-EG"/>
        </w:rPr>
        <w:t xml:space="preserve">( </w:t>
      </w:r>
      <w:r w:rsidRPr="00315653">
        <w:rPr>
          <w:rStyle w:val="ab"/>
          <w:color w:val="000000"/>
          <w:rtl/>
          <w:lang w:bidi="ar-EG"/>
        </w:rPr>
        <w:footnoteReference w:id="35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عقدت الكفالة لمصلحة كل من المدين والدائن معاً</w:t>
      </w:r>
      <w:r>
        <w:rPr>
          <w:rFonts w:hint="cs"/>
          <w:color w:val="000000"/>
          <w:rtl/>
          <w:lang w:bidi="ar-EG"/>
        </w:rPr>
        <w:t xml:space="preserve"> ،</w:t>
      </w:r>
      <w:r w:rsidRPr="00315653">
        <w:rPr>
          <w:rFonts w:hint="cs"/>
          <w:color w:val="000000"/>
          <w:rtl/>
          <w:lang w:bidi="ar-EG"/>
        </w:rPr>
        <w:t xml:space="preserve"> فإن الكفيل يرجع على المدين بنفس الدعوى الشخصية كالتي كان يرجع بها لو أن الكفالة عقدت لمصلحة المدين وحده</w:t>
      </w:r>
      <w:r>
        <w:rPr>
          <w:rFonts w:hint="cs"/>
          <w:color w:val="000000"/>
          <w:rtl/>
          <w:lang w:bidi="ar-EG"/>
        </w:rPr>
        <w:t xml:space="preserve"> .</w:t>
      </w:r>
      <w:r w:rsidRPr="00315653">
        <w:rPr>
          <w:rFonts w:hint="cs"/>
          <w:color w:val="000000"/>
          <w:rtl/>
          <w:lang w:bidi="ar-EG"/>
        </w:rPr>
        <w:t xml:space="preserve"> وهذا هو الحكم أيضاً فيما إذا اعتبرت الكفالة لمصلحة المدين والكفيل معاً</w:t>
      </w:r>
      <w:r>
        <w:rPr>
          <w:rFonts w:hint="cs"/>
          <w:color w:val="000000"/>
          <w:vertAlign w:val="superscript"/>
          <w:rtl/>
          <w:lang w:bidi="ar-EG"/>
        </w:rPr>
        <w:t xml:space="preserve">( </w:t>
      </w:r>
      <w:r w:rsidRPr="00315653">
        <w:rPr>
          <w:rStyle w:val="ab"/>
          <w:color w:val="000000"/>
          <w:rtl/>
          <w:lang w:bidi="ar-EG"/>
        </w:rPr>
        <w:footnoteReference w:id="35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61- الأساس القانوني الذي تقوم عليه الدعوى الشخصية</w:t>
      </w:r>
      <w:r>
        <w:rPr>
          <w:rFonts w:hint="cs"/>
          <w:color w:val="000000"/>
          <w:rtl/>
          <w:lang w:bidi="ar-EG"/>
        </w:rPr>
        <w:t xml:space="preserve"> :</w:t>
      </w:r>
      <w:r w:rsidRPr="00315653">
        <w:rPr>
          <w:rFonts w:hint="cs"/>
          <w:color w:val="000000"/>
          <w:rtl/>
          <w:lang w:bidi="ar-EG"/>
        </w:rPr>
        <w:t xml:space="preserve"> فيما عدا الفرضين اللذين يرجع فيها الكفيل على المدين بدعوى الإثراء بلا سبب</w:t>
      </w:r>
      <w:r>
        <w:rPr>
          <w:rFonts w:hint="cs"/>
          <w:color w:val="000000"/>
          <w:rtl/>
          <w:lang w:bidi="ar-EG"/>
        </w:rPr>
        <w:t xml:space="preserve"> ،</w:t>
      </w:r>
      <w:r w:rsidRPr="00315653">
        <w:rPr>
          <w:rFonts w:hint="cs"/>
          <w:color w:val="000000"/>
          <w:rtl/>
          <w:lang w:bidi="ar-EG"/>
        </w:rPr>
        <w:t xml:space="preserve"> وهما فرض ما إذا عقد الكفيل الكفالة بالرغم من معارضة المدين وفرض ما إذا كانت الكفالة قد عقدت لمصلحة الدائن دون مصلحة المدين يوجد خلاف في الرأي بين الفقه الفرنسي وغالبية الفقهاء المصريين في الأساس القانوني الذي تقوم عليه الدعوى الشخصية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ففي الفقه الفرنسي يذهب الفقهاء بوجه عام إلى أن الدعوى الشخصية التي يرجع بها الكفيل على المدين ليست إلا دعوى الوكالة إذا عقدت الكفالة بعلم المدين ودون معارضه</w:t>
      </w:r>
      <w:r>
        <w:rPr>
          <w:rFonts w:hint="cs"/>
          <w:color w:val="000000"/>
          <w:rtl/>
          <w:lang w:bidi="ar-EG"/>
        </w:rPr>
        <w:t xml:space="preserve"> ،</w:t>
      </w:r>
      <w:r w:rsidRPr="00315653">
        <w:rPr>
          <w:rFonts w:hint="cs"/>
          <w:color w:val="000000"/>
          <w:rtl/>
          <w:lang w:bidi="ar-EG"/>
        </w:rPr>
        <w:t xml:space="preserve"> وتكون الوكالة صريحة إذا رضي المدين بالكفالة $162 رضاء صريحاً</w:t>
      </w:r>
      <w:r>
        <w:rPr>
          <w:rFonts w:hint="cs"/>
          <w:color w:val="000000"/>
          <w:rtl/>
          <w:lang w:bidi="ar-EG"/>
        </w:rPr>
        <w:t xml:space="preserve"> ،</w:t>
      </w:r>
      <w:r w:rsidRPr="00315653">
        <w:rPr>
          <w:rFonts w:hint="cs"/>
          <w:color w:val="000000"/>
          <w:rtl/>
          <w:lang w:bidi="ar-EG"/>
        </w:rPr>
        <w:t xml:space="preserve"> وتكون الوكالة ضمنية إذا رضي المدين بالكفالة رضاء ضمنياً أي سكت ولم يعارض في الكفالة</w:t>
      </w:r>
      <w:r>
        <w:rPr>
          <w:rFonts w:hint="cs"/>
          <w:color w:val="000000"/>
          <w:rtl/>
          <w:lang w:bidi="ar-EG"/>
        </w:rPr>
        <w:t xml:space="preserve"> .</w:t>
      </w:r>
      <w:r w:rsidRPr="00315653">
        <w:rPr>
          <w:rFonts w:hint="cs"/>
          <w:color w:val="000000"/>
          <w:rtl/>
          <w:lang w:bidi="ar-EG"/>
        </w:rPr>
        <w:t xml:space="preserve"> أما إذا عقدت الكفالة بغير علم المدين</w:t>
      </w:r>
      <w:r>
        <w:rPr>
          <w:rFonts w:hint="cs"/>
          <w:color w:val="000000"/>
          <w:rtl/>
          <w:lang w:bidi="ar-EG"/>
        </w:rPr>
        <w:t xml:space="preserve"> ،</w:t>
      </w:r>
      <w:r w:rsidRPr="00315653">
        <w:rPr>
          <w:rFonts w:hint="cs"/>
          <w:color w:val="000000"/>
          <w:rtl/>
          <w:lang w:bidi="ar-EG"/>
        </w:rPr>
        <w:t xml:space="preserve"> فإن الكفيل يكون فضولياً</w:t>
      </w:r>
      <w:r>
        <w:rPr>
          <w:rFonts w:hint="cs"/>
          <w:color w:val="000000"/>
          <w:rtl/>
          <w:lang w:bidi="ar-EG"/>
        </w:rPr>
        <w:t xml:space="preserve"> ،</w:t>
      </w:r>
      <w:r w:rsidRPr="00315653">
        <w:rPr>
          <w:rFonts w:hint="cs"/>
          <w:color w:val="000000"/>
          <w:rtl/>
          <w:lang w:bidi="ar-EG"/>
        </w:rPr>
        <w:t xml:space="preserve"> ويرجع إذا وفي الدين بدعوى الفضالة على المدين</w:t>
      </w:r>
      <w:r>
        <w:rPr>
          <w:rFonts w:hint="cs"/>
          <w:color w:val="000000"/>
          <w:rtl/>
          <w:lang w:bidi="ar-EG"/>
        </w:rPr>
        <w:t xml:space="preserve"> .</w:t>
      </w:r>
      <w:r w:rsidRPr="00315653">
        <w:rPr>
          <w:rFonts w:hint="cs"/>
          <w:color w:val="000000"/>
          <w:rtl/>
          <w:lang w:bidi="ar-EG"/>
        </w:rPr>
        <w:t xml:space="preserve"> ومعنى أن الأساس القانوني للدعوى الشخصية هي دعوى الوكالة أن المدين</w:t>
      </w:r>
      <w:r>
        <w:rPr>
          <w:rFonts w:hint="cs"/>
          <w:color w:val="000000"/>
          <w:rtl/>
          <w:lang w:bidi="ar-EG"/>
        </w:rPr>
        <w:t xml:space="preserve"> ،</w:t>
      </w:r>
      <w:r w:rsidRPr="00315653">
        <w:rPr>
          <w:rFonts w:hint="cs"/>
          <w:color w:val="000000"/>
          <w:rtl/>
          <w:lang w:bidi="ar-EG"/>
        </w:rPr>
        <w:t xml:space="preserve"> برضائه بالكفالة رضاء صريحا أو بسكوته فيكون هذا رضاء ضمنياً</w:t>
      </w:r>
      <w:r>
        <w:rPr>
          <w:rFonts w:hint="cs"/>
          <w:color w:val="000000"/>
          <w:rtl/>
          <w:lang w:bidi="ar-EG"/>
        </w:rPr>
        <w:t xml:space="preserve"> ،</w:t>
      </w:r>
      <w:r w:rsidRPr="00315653">
        <w:rPr>
          <w:rFonts w:hint="cs"/>
          <w:color w:val="000000"/>
          <w:rtl/>
          <w:lang w:bidi="ar-EG"/>
        </w:rPr>
        <w:t xml:space="preserve"> قد وكل الكفيل في كفالته وبدفع الدين عنه إذا لم يدفع هو</w:t>
      </w:r>
      <w:r>
        <w:rPr>
          <w:rFonts w:hint="cs"/>
          <w:color w:val="000000"/>
          <w:rtl/>
          <w:lang w:bidi="ar-EG"/>
        </w:rPr>
        <w:t xml:space="preserve"> ،</w:t>
      </w:r>
      <w:r w:rsidRPr="00315653">
        <w:rPr>
          <w:rFonts w:hint="cs"/>
          <w:color w:val="000000"/>
          <w:rtl/>
          <w:lang w:bidi="ar-EG"/>
        </w:rPr>
        <w:t xml:space="preserve"> فيرجع عليه الكفيل بما يرجع به الوكيل على الموكل</w:t>
      </w:r>
      <w:r>
        <w:rPr>
          <w:rFonts w:hint="cs"/>
          <w:color w:val="000000"/>
          <w:rtl/>
          <w:lang w:bidi="ar-EG"/>
        </w:rPr>
        <w:t xml:space="preserve"> .</w:t>
      </w:r>
      <w:r w:rsidRPr="00315653">
        <w:rPr>
          <w:rFonts w:hint="cs"/>
          <w:color w:val="000000"/>
          <w:rtl/>
          <w:lang w:bidi="ar-EG"/>
        </w:rPr>
        <w:t xml:space="preserve"> ومعنى أن الأساس القانوني للدعوى الشخصية هي دعوى الفضالة أن الكفيل</w:t>
      </w:r>
      <w:r>
        <w:rPr>
          <w:rFonts w:hint="cs"/>
          <w:color w:val="000000"/>
          <w:rtl/>
          <w:lang w:bidi="ar-EG"/>
        </w:rPr>
        <w:t xml:space="preserve"> ،</w:t>
      </w:r>
      <w:r w:rsidRPr="00315653">
        <w:rPr>
          <w:rFonts w:hint="cs"/>
          <w:color w:val="000000"/>
          <w:rtl/>
          <w:lang w:bidi="ar-EG"/>
        </w:rPr>
        <w:t xml:space="preserve"> وقد عقد الكفالة دون علم المدين ولكن لصالحه ووفى عنه الدين</w:t>
      </w:r>
      <w:r>
        <w:rPr>
          <w:rFonts w:hint="cs"/>
          <w:color w:val="000000"/>
          <w:rtl/>
          <w:lang w:bidi="ar-EG"/>
        </w:rPr>
        <w:t xml:space="preserve"> ،</w:t>
      </w:r>
      <w:r w:rsidRPr="00315653">
        <w:rPr>
          <w:rFonts w:hint="cs"/>
          <w:color w:val="000000"/>
          <w:rtl/>
          <w:lang w:bidi="ar-EG"/>
        </w:rPr>
        <w:t xml:space="preserve"> يكون قد تولى عن قصد القيام بشأن عاجل</w:t>
      </w:r>
      <w:r>
        <w:rPr>
          <w:rFonts w:hint="cs"/>
          <w:color w:val="000000"/>
          <w:rtl/>
          <w:lang w:bidi="ar-EG"/>
        </w:rPr>
        <w:t xml:space="preserve"> ،</w:t>
      </w:r>
      <w:r w:rsidRPr="00315653">
        <w:rPr>
          <w:rFonts w:hint="cs"/>
          <w:color w:val="000000"/>
          <w:rtl/>
          <w:lang w:bidi="ar-EG"/>
        </w:rPr>
        <w:t xml:space="preserve"> وهو الوفاء بالدين بعد استحقاق</w:t>
      </w:r>
      <w:r w:rsidRPr="00315653">
        <w:rPr>
          <w:rFonts w:hint="eastAsia"/>
          <w:color w:val="000000"/>
          <w:rtl/>
          <w:lang w:bidi="ar-EG"/>
        </w:rPr>
        <w:t>ه</w:t>
      </w:r>
      <w:r>
        <w:rPr>
          <w:rFonts w:hint="cs"/>
          <w:color w:val="000000"/>
          <w:rtl/>
          <w:lang w:bidi="ar-EG"/>
        </w:rPr>
        <w:t xml:space="preserve"> ،</w:t>
      </w:r>
      <w:r w:rsidRPr="00315653">
        <w:rPr>
          <w:rFonts w:hint="cs"/>
          <w:color w:val="000000"/>
          <w:rtl/>
          <w:lang w:bidi="ar-EG"/>
        </w:rPr>
        <w:t xml:space="preserve"> لحساب المدين دون أن يكون ملزماً بأن يتقدم كفيلا عن المدين لأنه عقد الكفالة دون علم المدين</w:t>
      </w:r>
      <w:r>
        <w:rPr>
          <w:rFonts w:hint="cs"/>
          <w:color w:val="000000"/>
          <w:rtl/>
          <w:lang w:bidi="ar-EG"/>
        </w:rPr>
        <w:t xml:space="preserve"> .</w:t>
      </w:r>
      <w:r w:rsidRPr="00315653">
        <w:rPr>
          <w:rFonts w:hint="cs"/>
          <w:color w:val="000000"/>
          <w:rtl/>
          <w:lang w:bidi="ar-EG"/>
        </w:rPr>
        <w:t xml:space="preserve"> فيرجع الكفيل على المدين بما يرجع به الفضولي على رب العلم</w:t>
      </w:r>
      <w:r>
        <w:rPr>
          <w:rFonts w:hint="cs"/>
          <w:color w:val="000000"/>
          <w:rtl/>
          <w:lang w:bidi="ar-EG"/>
        </w:rPr>
        <w:t xml:space="preserve"> ،</w:t>
      </w:r>
      <w:r w:rsidRPr="00315653">
        <w:rPr>
          <w:rFonts w:hint="cs"/>
          <w:color w:val="000000"/>
          <w:rtl/>
          <w:lang w:bidi="ar-EG"/>
        </w:rPr>
        <w:t xml:space="preserve"> ويكون المدين ملزماً بأن يعوض الكفيل عما دفعه هذا للدائن وبأن يرد المصروفات الضرورية والنافعة التي سوغتها الظروف مضافاً إليها فوائدها من يوم دفعها</w:t>
      </w:r>
      <w:r>
        <w:rPr>
          <w:rFonts w:hint="cs"/>
          <w:color w:val="000000"/>
          <w:rtl/>
          <w:lang w:bidi="ar-EG"/>
        </w:rPr>
        <w:t xml:space="preserve"> ،</w:t>
      </w:r>
      <w:r w:rsidRPr="00315653">
        <w:rPr>
          <w:rFonts w:hint="cs"/>
          <w:color w:val="000000"/>
          <w:rtl/>
          <w:lang w:bidi="ar-EG"/>
        </w:rPr>
        <w:t xml:space="preserve"> وبأن يعوض الكفيل عن الضرر الذي لحقه بسبب قيامه بدفع الدين عن المدين</w:t>
      </w:r>
      <w:r>
        <w:rPr>
          <w:rFonts w:hint="cs"/>
          <w:color w:val="000000"/>
          <w:rtl/>
          <w:lang w:bidi="ar-EG"/>
        </w:rPr>
        <w:t xml:space="preserve"> .</w:t>
      </w:r>
      <w:r w:rsidRPr="00315653">
        <w:rPr>
          <w:rFonts w:hint="cs"/>
          <w:color w:val="000000"/>
          <w:rtl/>
          <w:lang w:bidi="ar-EG"/>
        </w:rPr>
        <w:t xml:space="preserve"> وتنص المادة 2208 مدني فرنسي على ما يرجع به الكفيل على المدين</w:t>
      </w:r>
      <w:r>
        <w:rPr>
          <w:rFonts w:hint="cs"/>
          <w:color w:val="000000"/>
          <w:rtl/>
          <w:lang w:bidi="ar-EG"/>
        </w:rPr>
        <w:t xml:space="preserve"> ،</w:t>
      </w:r>
      <w:r w:rsidRPr="00315653">
        <w:rPr>
          <w:rFonts w:hint="cs"/>
          <w:color w:val="000000"/>
          <w:rtl/>
          <w:lang w:bidi="ar-EG"/>
        </w:rPr>
        <w:t xml:space="preserve"> فإذا هو عين ما يرجع به الوكيل على الموكل</w:t>
      </w:r>
      <w:r>
        <w:rPr>
          <w:rFonts w:hint="cs"/>
          <w:color w:val="000000"/>
          <w:rtl/>
          <w:lang w:bidi="ar-EG"/>
        </w:rPr>
        <w:t xml:space="preserve"> ،</w:t>
      </w:r>
      <w:r w:rsidRPr="00315653">
        <w:rPr>
          <w:rFonts w:hint="cs"/>
          <w:color w:val="000000"/>
          <w:rtl/>
          <w:lang w:bidi="ar-EG"/>
        </w:rPr>
        <w:t xml:space="preserve"> أو ما يرجع به الفضولي على رب العمل</w:t>
      </w:r>
      <w:r>
        <w:rPr>
          <w:rFonts w:hint="cs"/>
          <w:color w:val="000000"/>
          <w:vertAlign w:val="superscript"/>
          <w:rtl/>
          <w:lang w:bidi="ar-EG"/>
        </w:rPr>
        <w:t xml:space="preserve">( </w:t>
      </w:r>
      <w:r w:rsidRPr="00315653">
        <w:rPr>
          <w:rStyle w:val="ab"/>
          <w:color w:val="000000"/>
          <w:rtl/>
          <w:lang w:bidi="ar-EG"/>
        </w:rPr>
        <w:footnoteReference w:id="35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غالبية الفقهاء المصريين فيذهبون مذهباً آخر</w:t>
      </w:r>
      <w:r>
        <w:rPr>
          <w:rFonts w:hint="cs"/>
          <w:color w:val="000000"/>
          <w:rtl/>
          <w:lang w:bidi="ar-EG"/>
        </w:rPr>
        <w:t xml:space="preserve"> ،</w:t>
      </w:r>
      <w:r w:rsidRPr="00315653">
        <w:rPr>
          <w:rFonts w:hint="cs"/>
          <w:color w:val="000000"/>
          <w:rtl/>
          <w:lang w:bidi="ar-EG"/>
        </w:rPr>
        <w:t xml:space="preserve"> ويقولون أن الدعوى الشخصية التي يرجع بها الكفيل على المدين إذا عقدت الكفالة بعلم المدين ولكن دون معارضته</w:t>
      </w:r>
      <w:r>
        <w:rPr>
          <w:rFonts w:hint="cs"/>
          <w:color w:val="000000"/>
          <w:rtl/>
          <w:lang w:bidi="ar-EG"/>
        </w:rPr>
        <w:t xml:space="preserve"> ،</w:t>
      </w:r>
      <w:r w:rsidRPr="00315653">
        <w:rPr>
          <w:rFonts w:hint="cs"/>
          <w:color w:val="000000"/>
          <w:rtl/>
          <w:lang w:bidi="ar-EG"/>
        </w:rPr>
        <w:t xml:space="preserve"> أو عقدت بغير علمه</w:t>
      </w:r>
      <w:r>
        <w:rPr>
          <w:rFonts w:hint="cs"/>
          <w:color w:val="000000"/>
          <w:rtl/>
          <w:lang w:bidi="ar-EG"/>
        </w:rPr>
        <w:t xml:space="preserve"> ،</w:t>
      </w:r>
      <w:r w:rsidRPr="00315653">
        <w:rPr>
          <w:rFonts w:hint="cs"/>
          <w:color w:val="000000"/>
          <w:rtl/>
          <w:lang w:bidi="ar-EG"/>
        </w:rPr>
        <w:t xml:space="preserve"> ليست هي دعوى الوكالة أو دعوى الفضالة</w:t>
      </w:r>
      <w:r>
        <w:rPr>
          <w:rFonts w:hint="cs"/>
          <w:color w:val="000000"/>
          <w:rtl/>
          <w:lang w:bidi="ar-EG"/>
        </w:rPr>
        <w:t xml:space="preserve"> ،</w:t>
      </w:r>
      <w:r w:rsidRPr="00315653">
        <w:rPr>
          <w:rFonts w:hint="cs"/>
          <w:color w:val="000000"/>
          <w:rtl/>
          <w:lang w:bidi="ar-EG"/>
        </w:rPr>
        <w:t xml:space="preserve"> بل هي دعوى أخرى متميزة عن كل من الدعويين $163 ويسمونها بدعوى الكفالة</w:t>
      </w:r>
      <w:r>
        <w:rPr>
          <w:rFonts w:hint="cs"/>
          <w:color w:val="000000"/>
          <w:rtl/>
          <w:lang w:bidi="ar-EG"/>
        </w:rPr>
        <w:t xml:space="preserve"> .</w:t>
      </w:r>
      <w:r w:rsidRPr="00315653">
        <w:rPr>
          <w:rFonts w:hint="cs"/>
          <w:color w:val="000000"/>
          <w:rtl/>
          <w:lang w:bidi="ar-EG"/>
        </w:rPr>
        <w:t xml:space="preserve"> فيقول الأستاذ عبد الفتاح عبد الباقي</w:t>
      </w:r>
      <w:r>
        <w:rPr>
          <w:rFonts w:hint="cs"/>
          <w:color w:val="000000"/>
          <w:rtl/>
          <w:lang w:bidi="ar-EG"/>
        </w:rPr>
        <w:t xml:space="preserve"> :</w:t>
      </w:r>
      <w:r w:rsidRPr="00315653">
        <w:rPr>
          <w:rFonts w:hint="cs"/>
          <w:color w:val="000000"/>
          <w:rtl/>
          <w:lang w:bidi="ar-EG"/>
        </w:rPr>
        <w:t xml:space="preserve"> "ونحن لا يمكننا التسليم بما ذهبت إليه النظرية التقليدية </w:t>
      </w:r>
      <w:r>
        <w:rPr>
          <w:rFonts w:hint="cs"/>
          <w:color w:val="000000"/>
          <w:rtl/>
          <w:lang w:bidi="ar-EG"/>
        </w:rPr>
        <w:t xml:space="preserve">( </w:t>
      </w:r>
      <w:r w:rsidRPr="00315653">
        <w:rPr>
          <w:rFonts w:hint="cs"/>
          <w:color w:val="000000"/>
          <w:rtl/>
          <w:lang w:bidi="ar-EG"/>
        </w:rPr>
        <w:t>نظرية الفقه الفرنسي</w:t>
      </w:r>
      <w:r>
        <w:rPr>
          <w:rFonts w:hint="cs"/>
          <w:color w:val="000000"/>
          <w:rtl/>
          <w:lang w:bidi="ar-EG"/>
        </w:rPr>
        <w:t xml:space="preserve"> ) ،</w:t>
      </w:r>
      <w:r w:rsidRPr="00315653">
        <w:rPr>
          <w:rFonts w:hint="cs"/>
          <w:color w:val="000000"/>
          <w:rtl/>
          <w:lang w:bidi="ar-EG"/>
        </w:rPr>
        <w:t xml:space="preserve"> رغم حجية المؤيدين لها منذ عهد تمتد جذوره عميقاً في الماضي</w:t>
      </w:r>
      <w:r>
        <w:rPr>
          <w:rFonts w:hint="cs"/>
          <w:color w:val="000000"/>
          <w:rtl/>
          <w:lang w:bidi="ar-EG"/>
        </w:rPr>
        <w:t xml:space="preserve"> .</w:t>
      </w:r>
      <w:r w:rsidRPr="00315653">
        <w:rPr>
          <w:rFonts w:hint="cs"/>
          <w:color w:val="000000"/>
          <w:rtl/>
          <w:lang w:bidi="ar-EG"/>
        </w:rPr>
        <w:t xml:space="preserve"> ذلك لأنها لم تتفق مع الواقع ولا مع المبادئ القانونية من ناحية</w:t>
      </w:r>
      <w:r>
        <w:rPr>
          <w:rFonts w:hint="cs"/>
          <w:color w:val="000000"/>
          <w:rtl/>
          <w:lang w:bidi="ar-EG"/>
        </w:rPr>
        <w:t xml:space="preserve"> ،</w:t>
      </w:r>
      <w:r w:rsidRPr="00315653">
        <w:rPr>
          <w:rFonts w:hint="cs"/>
          <w:color w:val="000000"/>
          <w:rtl/>
          <w:lang w:bidi="ar-EG"/>
        </w:rPr>
        <w:t xml:space="preserve"> ولأن تطبقها المنطقي يؤدي بنا إلى الزلل في مواضع شتى من ناحية أخرى</w:t>
      </w:r>
      <w:r>
        <w:rPr>
          <w:rFonts w:hint="cs"/>
          <w:color w:val="000000"/>
          <w:rtl/>
          <w:lang w:bidi="ar-EG"/>
        </w:rPr>
        <w:t xml:space="preserve"> .</w:t>
      </w:r>
      <w:r w:rsidRPr="00315653">
        <w:rPr>
          <w:rFonts w:hint="cs"/>
          <w:color w:val="000000"/>
          <w:rtl/>
          <w:lang w:bidi="ar-EG"/>
        </w:rPr>
        <w:t xml:space="preserve"> فالوكالة</w:t>
      </w:r>
      <w:r>
        <w:rPr>
          <w:rFonts w:hint="cs"/>
          <w:color w:val="000000"/>
          <w:rtl/>
          <w:lang w:bidi="ar-EG"/>
        </w:rPr>
        <w:t xml:space="preserve"> ،</w:t>
      </w:r>
      <w:r w:rsidRPr="00315653">
        <w:rPr>
          <w:rFonts w:hint="cs"/>
          <w:color w:val="000000"/>
          <w:rtl/>
          <w:lang w:bidi="ar-EG"/>
        </w:rPr>
        <w:t xml:space="preserve"> صريحة كانت أم ضمنية</w:t>
      </w:r>
      <w:r>
        <w:rPr>
          <w:rFonts w:hint="cs"/>
          <w:color w:val="000000"/>
          <w:rtl/>
          <w:lang w:bidi="ar-EG"/>
        </w:rPr>
        <w:t xml:space="preserve"> ،</w:t>
      </w:r>
      <w:r w:rsidRPr="00315653">
        <w:rPr>
          <w:rFonts w:hint="cs"/>
          <w:color w:val="000000"/>
          <w:rtl/>
          <w:lang w:bidi="ar-EG"/>
        </w:rPr>
        <w:t xml:space="preserve"> عقد يوكل به شخص آخر في أن يقوم بعمل قانوني لحسابه</w:t>
      </w:r>
      <w:r>
        <w:rPr>
          <w:rFonts w:hint="cs"/>
          <w:color w:val="000000"/>
          <w:rtl/>
          <w:lang w:bidi="ar-EG"/>
        </w:rPr>
        <w:t xml:space="preserve"> ،</w:t>
      </w:r>
      <w:r w:rsidRPr="00315653">
        <w:rPr>
          <w:rFonts w:hint="cs"/>
          <w:color w:val="000000"/>
          <w:rtl/>
          <w:lang w:bidi="ar-EG"/>
        </w:rPr>
        <w:t xml:space="preserve"> فلا بد من أن تظهر رغبة الموكل والوكيل في الوكالة</w:t>
      </w:r>
      <w:r>
        <w:rPr>
          <w:rFonts w:hint="cs"/>
          <w:color w:val="000000"/>
          <w:rtl/>
          <w:lang w:bidi="ar-EG"/>
        </w:rPr>
        <w:t xml:space="preserve"> .</w:t>
      </w:r>
      <w:r w:rsidRPr="00315653">
        <w:rPr>
          <w:rFonts w:hint="cs"/>
          <w:color w:val="000000"/>
          <w:rtl/>
          <w:lang w:bidi="ar-EG"/>
        </w:rPr>
        <w:t xml:space="preserve"> ومن العسير القول بأن المدين</w:t>
      </w:r>
      <w:r>
        <w:rPr>
          <w:rFonts w:hint="cs"/>
          <w:color w:val="000000"/>
          <w:rtl/>
          <w:lang w:bidi="ar-EG"/>
        </w:rPr>
        <w:t xml:space="preserve"> ،</w:t>
      </w:r>
      <w:r w:rsidRPr="00315653">
        <w:rPr>
          <w:rFonts w:hint="cs"/>
          <w:color w:val="000000"/>
          <w:rtl/>
          <w:lang w:bidi="ar-EG"/>
        </w:rPr>
        <w:t xml:space="preserve"> حينما طلب من الكفيل أن يتقدم لكفالته</w:t>
      </w:r>
      <w:r>
        <w:rPr>
          <w:rFonts w:hint="cs"/>
          <w:color w:val="000000"/>
          <w:rtl/>
          <w:lang w:bidi="ar-EG"/>
        </w:rPr>
        <w:t xml:space="preserve"> ،</w:t>
      </w:r>
      <w:r w:rsidRPr="00315653">
        <w:rPr>
          <w:rFonts w:hint="cs"/>
          <w:color w:val="000000"/>
          <w:rtl/>
          <w:lang w:bidi="ar-EG"/>
        </w:rPr>
        <w:t xml:space="preserve"> أو حينما علم بكفالته ولم يعارض فيها</w:t>
      </w:r>
      <w:r>
        <w:rPr>
          <w:rFonts w:hint="cs"/>
          <w:color w:val="000000"/>
          <w:rtl/>
          <w:lang w:bidi="ar-EG"/>
        </w:rPr>
        <w:t xml:space="preserve"> ،</w:t>
      </w:r>
      <w:r w:rsidRPr="00315653">
        <w:rPr>
          <w:rFonts w:hint="cs"/>
          <w:color w:val="000000"/>
          <w:rtl/>
          <w:lang w:bidi="ar-EG"/>
        </w:rPr>
        <w:t xml:space="preserve"> أراد أن يوكله عنه في الوفاء</w:t>
      </w:r>
      <w:r>
        <w:rPr>
          <w:rFonts w:hint="cs"/>
          <w:color w:val="000000"/>
          <w:rtl/>
          <w:lang w:bidi="ar-EG"/>
        </w:rPr>
        <w:t xml:space="preserve"> ،</w:t>
      </w:r>
      <w:r w:rsidRPr="00315653">
        <w:rPr>
          <w:rFonts w:hint="cs"/>
          <w:color w:val="000000"/>
          <w:rtl/>
          <w:lang w:bidi="ar-EG"/>
        </w:rPr>
        <w:t xml:space="preserve"> فهذا العقد قلما يرد على خاطره</w:t>
      </w:r>
      <w:r>
        <w:rPr>
          <w:rFonts w:hint="cs"/>
          <w:color w:val="000000"/>
          <w:rtl/>
          <w:lang w:bidi="ar-EG"/>
        </w:rPr>
        <w:t xml:space="preserve"> .</w:t>
      </w:r>
      <w:r w:rsidRPr="00315653">
        <w:rPr>
          <w:rFonts w:hint="cs"/>
          <w:color w:val="000000"/>
          <w:rtl/>
          <w:lang w:bidi="ar-EG"/>
        </w:rPr>
        <w:t>وخطأ النظرية التقليدية لا يقل وضوحاً بالنسبة للفضالة</w:t>
      </w:r>
      <w:r>
        <w:rPr>
          <w:rFonts w:hint="cs"/>
          <w:color w:val="000000"/>
          <w:rtl/>
          <w:lang w:bidi="ar-EG"/>
        </w:rPr>
        <w:t xml:space="preserve"> ،</w:t>
      </w:r>
      <w:r w:rsidRPr="00315653">
        <w:rPr>
          <w:rFonts w:hint="cs"/>
          <w:color w:val="000000"/>
          <w:rtl/>
          <w:lang w:bidi="ar-EG"/>
        </w:rPr>
        <w:t xml:space="preserve"> إذ من مستلزماتها أن يكون ما قام به الفضولي لحساب رب العمل أمراً عاجلا</w:t>
      </w:r>
      <w:r>
        <w:rPr>
          <w:rFonts w:hint="cs"/>
          <w:color w:val="000000"/>
          <w:rtl/>
          <w:lang w:bidi="ar-EG"/>
        </w:rPr>
        <w:t xml:space="preserve"> ،</w:t>
      </w:r>
      <w:r w:rsidRPr="00315653">
        <w:rPr>
          <w:rFonts w:hint="cs"/>
          <w:color w:val="000000"/>
          <w:rtl/>
          <w:lang w:bidi="ar-EG"/>
        </w:rPr>
        <w:t xml:space="preserve"> بل أن صفة الاستعجال هي من أهم دعائم الفاضلة وعلة ما يترتب عليها من نيابة قانونية</w:t>
      </w:r>
      <w:r>
        <w:rPr>
          <w:rFonts w:hint="cs"/>
          <w:color w:val="000000"/>
          <w:rtl/>
          <w:lang w:bidi="ar-EG"/>
        </w:rPr>
        <w:t xml:space="preserve"> .</w:t>
      </w:r>
      <w:r w:rsidRPr="00315653">
        <w:rPr>
          <w:rFonts w:hint="cs"/>
          <w:color w:val="000000"/>
          <w:rtl/>
          <w:lang w:bidi="ar-EG"/>
        </w:rPr>
        <w:t xml:space="preserve"> وليس من اليسير القول بأن قيام الكفيل بالوفاء بالدين عن المدين يعتبر أمراً عاجلا</w:t>
      </w:r>
      <w:r>
        <w:rPr>
          <w:rFonts w:hint="cs"/>
          <w:color w:val="000000"/>
          <w:rtl/>
          <w:lang w:bidi="ar-EG"/>
        </w:rPr>
        <w:t xml:space="preserve"> .</w:t>
      </w:r>
      <w:r w:rsidRPr="00315653">
        <w:rPr>
          <w:rFonts w:hint="cs"/>
          <w:color w:val="000000"/>
          <w:rtl/>
          <w:lang w:bidi="ar-EG"/>
        </w:rPr>
        <w:t xml:space="preserve"> ونحن إذا سلمنا بقيام الوكالة</w:t>
      </w:r>
      <w:r>
        <w:rPr>
          <w:rFonts w:hint="cs"/>
          <w:color w:val="000000"/>
          <w:rtl/>
          <w:lang w:bidi="ar-EG"/>
        </w:rPr>
        <w:t xml:space="preserve"> ،</w:t>
      </w:r>
      <w:r w:rsidRPr="00315653">
        <w:rPr>
          <w:rFonts w:hint="cs"/>
          <w:color w:val="000000"/>
          <w:rtl/>
          <w:lang w:bidi="ar-EG"/>
        </w:rPr>
        <w:t xml:space="preserve"> صريحة كانت أم ضمنية</w:t>
      </w:r>
      <w:r>
        <w:rPr>
          <w:rFonts w:hint="cs"/>
          <w:color w:val="000000"/>
          <w:rtl/>
          <w:lang w:bidi="ar-EG"/>
        </w:rPr>
        <w:t xml:space="preserve"> ،</w:t>
      </w:r>
      <w:r w:rsidRPr="00315653">
        <w:rPr>
          <w:rFonts w:hint="cs"/>
          <w:color w:val="000000"/>
          <w:rtl/>
          <w:lang w:bidi="ar-EG"/>
        </w:rPr>
        <w:t xml:space="preserve"> بين المدين والكفيل</w:t>
      </w:r>
      <w:r>
        <w:rPr>
          <w:rFonts w:hint="cs"/>
          <w:color w:val="000000"/>
          <w:rtl/>
          <w:lang w:bidi="ar-EG"/>
        </w:rPr>
        <w:t xml:space="preserve"> ،</w:t>
      </w:r>
      <w:r w:rsidRPr="00315653">
        <w:rPr>
          <w:rFonts w:hint="cs"/>
          <w:color w:val="000000"/>
          <w:rtl/>
          <w:lang w:bidi="ar-EG"/>
        </w:rPr>
        <w:t xml:space="preserve"> وجب التسليم بكل ما يترتب على الوكالة من آثار</w:t>
      </w:r>
      <w:r>
        <w:rPr>
          <w:rFonts w:hint="cs"/>
          <w:color w:val="000000"/>
          <w:rtl/>
          <w:lang w:bidi="ar-EG"/>
        </w:rPr>
        <w:t xml:space="preserve"> ،</w:t>
      </w:r>
      <w:r w:rsidRPr="00315653">
        <w:rPr>
          <w:rFonts w:hint="cs"/>
          <w:color w:val="000000"/>
          <w:rtl/>
          <w:lang w:bidi="ar-EG"/>
        </w:rPr>
        <w:t xml:space="preserve"> والقول بأن للمدين الحق في أن يعزل الكفيل من الوكالة في أي وقت يشاء ويمنعه بذلك من رفع الدعوى الشخصية المبنية عليها</w:t>
      </w:r>
      <w:r>
        <w:rPr>
          <w:rFonts w:hint="cs"/>
          <w:color w:val="000000"/>
          <w:rtl/>
          <w:lang w:bidi="ar-EG"/>
        </w:rPr>
        <w:t xml:space="preserve"> ،</w:t>
      </w:r>
      <w:r w:rsidRPr="00315653">
        <w:rPr>
          <w:rFonts w:hint="cs"/>
          <w:color w:val="000000"/>
          <w:rtl/>
          <w:lang w:bidi="ar-EG"/>
        </w:rPr>
        <w:t xml:space="preserve"> وذلك ما لا يمكن أن يقول به أحد</w:t>
      </w:r>
      <w:r>
        <w:rPr>
          <w:rFonts w:hint="cs"/>
          <w:color w:val="000000"/>
          <w:rtl/>
          <w:lang w:bidi="ar-EG"/>
        </w:rPr>
        <w:t xml:space="preserve"> .</w:t>
      </w:r>
      <w:r w:rsidRPr="00315653">
        <w:rPr>
          <w:rFonts w:hint="cs"/>
          <w:color w:val="000000"/>
          <w:rtl/>
          <w:lang w:bidi="ar-EG"/>
        </w:rPr>
        <w:t xml:space="preserve"> أما ما يقودنا إليه تطبيق النظرية التقليدية من زلل</w:t>
      </w:r>
      <w:r>
        <w:rPr>
          <w:rFonts w:hint="cs"/>
          <w:color w:val="000000"/>
          <w:rtl/>
          <w:lang w:bidi="ar-EG"/>
        </w:rPr>
        <w:t xml:space="preserve"> ،</w:t>
      </w:r>
      <w:r w:rsidRPr="00315653">
        <w:rPr>
          <w:rFonts w:hint="cs"/>
          <w:color w:val="000000"/>
          <w:rtl/>
          <w:lang w:bidi="ar-EG"/>
        </w:rPr>
        <w:t xml:space="preserve"> فيمكن إعطاء مثلين عنه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حددت المادة 800 موضوع الدعوى الشخصية ولم تذكر من بين ما يشتمل التعويضات التي يطلبها الكفيل عن الضرر الذي قد يصيبه من جراء قيامه بالوفاء</w:t>
      </w:r>
      <w:r>
        <w:rPr>
          <w:rFonts w:hint="cs"/>
          <w:color w:val="000000"/>
          <w:rtl/>
          <w:lang w:bidi="ar-EG"/>
        </w:rPr>
        <w:t xml:space="preserve"> ،</w:t>
      </w:r>
      <w:r w:rsidRPr="00315653">
        <w:rPr>
          <w:rFonts w:hint="cs"/>
          <w:color w:val="000000"/>
          <w:rtl/>
          <w:lang w:bidi="ar-EG"/>
        </w:rPr>
        <w:t xml:space="preserve"> ويغلب أن يكون هذا السكوت من الشارع مقصوداً</w:t>
      </w:r>
      <w:r>
        <w:rPr>
          <w:rFonts w:hint="cs"/>
          <w:color w:val="000000"/>
          <w:rtl/>
          <w:lang w:bidi="ar-EG"/>
        </w:rPr>
        <w:t xml:space="preserve"> .</w:t>
      </w:r>
      <w:r w:rsidRPr="00315653">
        <w:rPr>
          <w:rFonts w:hint="cs"/>
          <w:color w:val="000000"/>
          <w:rtl/>
          <w:lang w:bidi="ar-EG"/>
        </w:rPr>
        <w:t xml:space="preserve"> ومع ذلك فلو قلنا بأن الدعوى الشخصية ترجع في أساسها إلى دعوى الوكالة أو دعوى الفضالة</w:t>
      </w:r>
      <w:r>
        <w:rPr>
          <w:rFonts w:hint="cs"/>
          <w:color w:val="000000"/>
          <w:rtl/>
          <w:lang w:bidi="ar-EG"/>
        </w:rPr>
        <w:t xml:space="preserve"> ،</w:t>
      </w:r>
      <w:r w:rsidRPr="00315653">
        <w:rPr>
          <w:rFonts w:hint="cs"/>
          <w:color w:val="000000"/>
          <w:rtl/>
          <w:lang w:bidi="ar-EG"/>
        </w:rPr>
        <w:t xml:space="preserve"> لوجب أن نمنح الكفيل الحق في التعويضات</w:t>
      </w:r>
      <w:r>
        <w:rPr>
          <w:rFonts w:hint="cs"/>
          <w:color w:val="000000"/>
          <w:rtl/>
          <w:lang w:bidi="ar-EG"/>
        </w:rPr>
        <w:t xml:space="preserve"> ،</w:t>
      </w:r>
      <w:r w:rsidRPr="00315653">
        <w:rPr>
          <w:rFonts w:hint="cs"/>
          <w:color w:val="000000"/>
          <w:rtl/>
          <w:lang w:bidi="ar-EG"/>
        </w:rPr>
        <w:t xml:space="preserve"> إذ هذا الحق ثابت لكل من الوكيل </w:t>
      </w:r>
      <w:r>
        <w:rPr>
          <w:rFonts w:hint="cs"/>
          <w:color w:val="000000"/>
          <w:rtl/>
          <w:lang w:bidi="ar-EG"/>
        </w:rPr>
        <w:t xml:space="preserve">( </w:t>
      </w:r>
      <w:r w:rsidRPr="00315653">
        <w:rPr>
          <w:rFonts w:hint="cs"/>
          <w:color w:val="000000"/>
          <w:rtl/>
          <w:lang w:bidi="ar-EG"/>
        </w:rPr>
        <w:t>م 711</w:t>
      </w:r>
      <w:r>
        <w:rPr>
          <w:rFonts w:hint="cs"/>
          <w:color w:val="000000"/>
          <w:rtl/>
          <w:lang w:bidi="ar-EG"/>
        </w:rPr>
        <w:t xml:space="preserve"> )</w:t>
      </w:r>
      <w:r w:rsidRPr="00315653">
        <w:rPr>
          <w:rFonts w:hint="cs"/>
          <w:color w:val="000000"/>
          <w:rtl/>
          <w:lang w:bidi="ar-EG"/>
        </w:rPr>
        <w:t xml:space="preserve"> والفضولي $164 </w:t>
      </w:r>
      <w:r>
        <w:rPr>
          <w:rFonts w:hint="cs"/>
          <w:color w:val="000000"/>
          <w:rtl/>
          <w:lang w:bidi="ar-EG"/>
        </w:rPr>
        <w:t xml:space="preserve">( </w:t>
      </w:r>
      <w:r w:rsidRPr="00315653">
        <w:rPr>
          <w:rFonts w:hint="cs"/>
          <w:color w:val="000000"/>
          <w:rtl/>
          <w:lang w:bidi="ar-EG"/>
        </w:rPr>
        <w:t>م 195</w:t>
      </w:r>
      <w:r>
        <w:rPr>
          <w:rFonts w:hint="cs"/>
          <w:color w:val="000000"/>
          <w:rtl/>
          <w:lang w:bidi="ar-EG"/>
        </w:rPr>
        <w:t xml:space="preserve"> )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تسقط دعوى الفضالة باقتضاء ثلاث سنوات من اليوم الذي يعلم فيه كل طرف بحقه</w:t>
      </w:r>
      <w:r>
        <w:rPr>
          <w:rFonts w:hint="cs"/>
          <w:color w:val="000000"/>
          <w:rtl/>
          <w:lang w:bidi="ar-EG"/>
        </w:rPr>
        <w:t xml:space="preserve"> ،</w:t>
      </w:r>
      <w:r w:rsidRPr="00315653">
        <w:rPr>
          <w:rFonts w:hint="cs"/>
          <w:color w:val="000000"/>
          <w:rtl/>
          <w:lang w:bidi="ar-EG"/>
        </w:rPr>
        <w:t xml:space="preserve"> وتسقط كذلك في جميع الأحوال بانقضاء خمس عشرة سنة من اليوم الذي ينشأ فيه هذا الحق </w:t>
      </w:r>
      <w:r>
        <w:rPr>
          <w:rFonts w:hint="cs"/>
          <w:color w:val="000000"/>
          <w:rtl/>
          <w:lang w:bidi="ar-EG"/>
        </w:rPr>
        <w:t xml:space="preserve">( </w:t>
      </w:r>
      <w:r w:rsidRPr="00315653">
        <w:rPr>
          <w:rFonts w:hint="cs"/>
          <w:color w:val="000000"/>
          <w:rtl/>
          <w:lang w:bidi="ar-EG"/>
        </w:rPr>
        <w:t>م 197</w:t>
      </w:r>
      <w:r>
        <w:rPr>
          <w:rFonts w:hint="cs"/>
          <w:color w:val="000000"/>
          <w:rtl/>
          <w:lang w:bidi="ar-EG"/>
        </w:rPr>
        <w:t xml:space="preserve"> ) .</w:t>
      </w:r>
      <w:r w:rsidRPr="00315653">
        <w:rPr>
          <w:rFonts w:hint="cs"/>
          <w:color w:val="000000"/>
          <w:rtl/>
          <w:lang w:bidi="ar-EG"/>
        </w:rPr>
        <w:t xml:space="preserve"> فلو قلنا أن الدعوى الشخصية قد يكون أساسها دعوى الفضالة</w:t>
      </w:r>
      <w:r>
        <w:rPr>
          <w:rFonts w:hint="cs"/>
          <w:color w:val="000000"/>
          <w:rtl/>
          <w:lang w:bidi="ar-EG"/>
        </w:rPr>
        <w:t xml:space="preserve"> ،</w:t>
      </w:r>
      <w:r w:rsidRPr="00315653">
        <w:rPr>
          <w:rFonts w:hint="cs"/>
          <w:color w:val="000000"/>
          <w:rtl/>
          <w:lang w:bidi="ar-EG"/>
        </w:rPr>
        <w:t xml:space="preserve"> لوجب القول بسقوطها عن الكفيل في هذه الحالة بمضي ثلاث سنوات من وقت قيامه بالوفاء للدائن</w:t>
      </w:r>
      <w:r>
        <w:rPr>
          <w:rFonts w:hint="cs"/>
          <w:color w:val="000000"/>
          <w:rtl/>
          <w:lang w:bidi="ar-EG"/>
        </w:rPr>
        <w:t xml:space="preserve"> ،</w:t>
      </w:r>
      <w:r w:rsidRPr="00315653">
        <w:rPr>
          <w:rFonts w:hint="cs"/>
          <w:color w:val="000000"/>
          <w:rtl/>
          <w:lang w:bidi="ar-EG"/>
        </w:rPr>
        <w:t xml:space="preserve"> وهذا ما لا نظن أن المشرع قد قصده</w:t>
      </w:r>
      <w:r>
        <w:rPr>
          <w:rFonts w:hint="cs"/>
          <w:color w:val="000000"/>
          <w:rtl/>
          <w:lang w:bidi="ar-EG"/>
        </w:rPr>
        <w:t xml:space="preserve"> .</w:t>
      </w:r>
      <w:r w:rsidRPr="00315653">
        <w:rPr>
          <w:rFonts w:hint="cs"/>
          <w:color w:val="000000"/>
          <w:rtl/>
          <w:lang w:bidi="ar-EG"/>
        </w:rPr>
        <w:t xml:space="preserve"> ونحن إذا رفضنا التسليم بالأساس التقليدي للدعوى الشخصية</w:t>
      </w:r>
      <w:r>
        <w:rPr>
          <w:rFonts w:hint="cs"/>
          <w:color w:val="000000"/>
          <w:rtl/>
          <w:lang w:bidi="ar-EG"/>
        </w:rPr>
        <w:t xml:space="preserve"> ،</w:t>
      </w:r>
      <w:r w:rsidRPr="00315653">
        <w:rPr>
          <w:rFonts w:hint="cs"/>
          <w:color w:val="000000"/>
          <w:rtl/>
          <w:lang w:bidi="ar-EG"/>
        </w:rPr>
        <w:t xml:space="preserve"> نرى إرجاع ذلك الأساس إلى القانون نفسه</w:t>
      </w:r>
      <w:r>
        <w:rPr>
          <w:rFonts w:hint="cs"/>
          <w:color w:val="000000"/>
          <w:rtl/>
          <w:lang w:bidi="ar-EG"/>
        </w:rPr>
        <w:t xml:space="preserve"> .</w:t>
      </w:r>
      <w:r w:rsidRPr="00315653">
        <w:rPr>
          <w:rFonts w:hint="cs"/>
          <w:color w:val="000000"/>
          <w:rtl/>
          <w:lang w:bidi="ar-EG"/>
        </w:rPr>
        <w:t xml:space="preserve"> فالقانون هو المصدر المباشر لهذه الدعوى</w:t>
      </w:r>
      <w:r>
        <w:rPr>
          <w:rFonts w:hint="cs"/>
          <w:color w:val="000000"/>
          <w:rtl/>
          <w:lang w:bidi="ar-EG"/>
        </w:rPr>
        <w:t xml:space="preserve"> ،</w:t>
      </w:r>
      <w:r w:rsidRPr="00315653">
        <w:rPr>
          <w:rFonts w:hint="cs"/>
          <w:color w:val="000000"/>
          <w:rtl/>
          <w:lang w:bidi="ar-EG"/>
        </w:rPr>
        <w:t xml:space="preserve"> وهو يمنحها للكفيل لا باعتباره </w:t>
      </w:r>
      <w:r w:rsidRPr="00315653">
        <w:rPr>
          <w:rFonts w:hint="cs"/>
          <w:color w:val="000000"/>
          <w:rtl/>
          <w:lang w:bidi="ar-EG"/>
        </w:rPr>
        <w:lastRenderedPageBreak/>
        <w:t>وكيلا أو فضولياً</w:t>
      </w:r>
      <w:r>
        <w:rPr>
          <w:rFonts w:hint="cs"/>
          <w:color w:val="000000"/>
          <w:rtl/>
          <w:lang w:bidi="ar-EG"/>
        </w:rPr>
        <w:t xml:space="preserve"> ،</w:t>
      </w:r>
      <w:r w:rsidRPr="00315653">
        <w:rPr>
          <w:rFonts w:hint="cs"/>
          <w:color w:val="000000"/>
          <w:rtl/>
          <w:lang w:bidi="ar-EG"/>
        </w:rPr>
        <w:t xml:space="preserve"> ولكن باعتباره كفيلا</w:t>
      </w:r>
      <w:r>
        <w:rPr>
          <w:rFonts w:hint="cs"/>
          <w:color w:val="000000"/>
          <w:rtl/>
          <w:lang w:bidi="ar-EG"/>
        </w:rPr>
        <w:t xml:space="preserve"> .</w:t>
      </w:r>
      <w:r w:rsidRPr="00315653">
        <w:rPr>
          <w:rFonts w:hint="cs"/>
          <w:color w:val="000000"/>
          <w:rtl/>
          <w:lang w:bidi="ar-EG"/>
        </w:rPr>
        <w:t xml:space="preserve"> وعلى ذلك يجب عدم الرجوع إلى قواعد الوكالة أو الفضالة في كل ما يتعلق بدعوى الكفيل على المدين"</w:t>
      </w:r>
      <w:r>
        <w:rPr>
          <w:rFonts w:hint="cs"/>
          <w:color w:val="000000"/>
          <w:vertAlign w:val="superscript"/>
          <w:rtl/>
          <w:lang w:bidi="ar-EG"/>
        </w:rPr>
        <w:t xml:space="preserve">( </w:t>
      </w:r>
      <w:r w:rsidRPr="00315653">
        <w:rPr>
          <w:rStyle w:val="ab"/>
          <w:color w:val="000000"/>
          <w:rtl/>
          <w:lang w:bidi="ar-EG"/>
        </w:rPr>
        <w:footnoteReference w:id="35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$165 ونحن لا نرى أهمية عملية بيرة في القول بأن الدعوى الشخصية التي يرجع بها الكفيل على المدين هي </w:t>
      </w:r>
      <w:r w:rsidRPr="00315653">
        <w:rPr>
          <w:rFonts w:hint="cs"/>
          <w:color w:val="000000"/>
          <w:rtl/>
          <w:lang w:bidi="ar-EG"/>
        </w:rPr>
        <w:lastRenderedPageBreak/>
        <w:t>دعوى خاصة نص عليها القانون</w:t>
      </w:r>
      <w:r>
        <w:rPr>
          <w:rFonts w:hint="cs"/>
          <w:color w:val="000000"/>
          <w:rtl/>
          <w:lang w:bidi="ar-EG"/>
        </w:rPr>
        <w:t xml:space="preserve"> ،</w:t>
      </w:r>
      <w:r w:rsidRPr="00315653">
        <w:rPr>
          <w:rFonts w:hint="cs"/>
          <w:color w:val="000000"/>
          <w:rtl/>
          <w:lang w:bidi="ar-EG"/>
        </w:rPr>
        <w:t xml:space="preserve"> وليست بدعوى الفضالة</w:t>
      </w:r>
      <w:r>
        <w:rPr>
          <w:rFonts w:hint="cs"/>
          <w:color w:val="000000"/>
          <w:rtl/>
          <w:lang w:bidi="ar-EG"/>
        </w:rPr>
        <w:t xml:space="preserve"> .</w:t>
      </w:r>
      <w:r w:rsidRPr="00315653">
        <w:rPr>
          <w:rFonts w:hint="cs"/>
          <w:color w:val="000000"/>
          <w:rtl/>
          <w:lang w:bidi="ar-EG"/>
        </w:rPr>
        <w:t xml:space="preserve"> ولا يظهر من الأعمال التحضيرية أن المشرع قصد أن يخالف نظرية الفقه الفرنسي في هذا الصدد</w:t>
      </w:r>
      <w:r>
        <w:rPr>
          <w:rFonts w:hint="cs"/>
          <w:color w:val="000000"/>
          <w:rtl/>
          <w:lang w:bidi="ar-EG"/>
        </w:rPr>
        <w:t xml:space="preserve"> ،</w:t>
      </w:r>
      <w:r w:rsidRPr="00315653">
        <w:rPr>
          <w:rFonts w:hint="cs"/>
          <w:color w:val="000000"/>
          <w:rtl/>
          <w:lang w:bidi="ar-EG"/>
        </w:rPr>
        <w:t xml:space="preserve"> بل يبدو أنه أراد أن يسلم بها بنقله نص المادة 800 مدني عن المشروع الفرنسي الإيطالي</w:t>
      </w:r>
      <w:r>
        <w:rPr>
          <w:rFonts w:hint="cs"/>
          <w:color w:val="000000"/>
          <w:rtl/>
          <w:lang w:bidi="ar-EG"/>
        </w:rPr>
        <w:t xml:space="preserve"> ،</w:t>
      </w:r>
      <w:r w:rsidRPr="00315653">
        <w:rPr>
          <w:rFonts w:hint="cs"/>
          <w:color w:val="000000"/>
          <w:rtl/>
          <w:lang w:bidi="ar-EG"/>
        </w:rPr>
        <w:t xml:space="preserve"> وأراد استبقاء العمل على ما كان عليه في التقنين المدني السابق</w:t>
      </w:r>
      <w:r>
        <w:rPr>
          <w:rFonts w:hint="cs"/>
          <w:color w:val="000000"/>
          <w:rtl/>
          <w:lang w:bidi="ar-EG"/>
        </w:rPr>
        <w:t xml:space="preserve"> .</w:t>
      </w:r>
      <w:r w:rsidRPr="00315653">
        <w:rPr>
          <w:rFonts w:hint="cs"/>
          <w:color w:val="000000"/>
          <w:rtl/>
          <w:lang w:bidi="ar-EG"/>
        </w:rPr>
        <w:t xml:space="preserve"> وإنما آثر أن يبين ما يرجع به الكفيل في الدعوى الشخصية </w:t>
      </w:r>
      <w:r>
        <w:rPr>
          <w:rFonts w:hint="cs"/>
          <w:color w:val="000000"/>
          <w:rtl/>
          <w:lang w:bidi="ar-EG"/>
        </w:rPr>
        <w:t xml:space="preserve"> ،</w:t>
      </w:r>
      <w:r w:rsidRPr="00315653">
        <w:rPr>
          <w:rFonts w:hint="cs"/>
          <w:color w:val="000000"/>
          <w:rtl/>
          <w:lang w:bidi="ar-EG"/>
        </w:rPr>
        <w:t xml:space="preserve"> لا أن يغير الأساس الذي تقوم عليه هذه الدعوى</w:t>
      </w:r>
      <w:r>
        <w:rPr>
          <w:rFonts w:hint="cs"/>
          <w:color w:val="000000"/>
          <w:rtl/>
          <w:lang w:bidi="ar-EG"/>
        </w:rPr>
        <w:t xml:space="preserve"> .</w:t>
      </w:r>
      <w:r w:rsidRPr="00315653">
        <w:rPr>
          <w:rFonts w:hint="cs"/>
          <w:color w:val="000000"/>
          <w:rtl/>
          <w:lang w:bidi="ar-EG"/>
        </w:rPr>
        <w:t xml:space="preserve"> فقد ورد في المذكرة الإيضاحية للمشروع التمهيدي في هذا الصدد</w:t>
      </w:r>
      <w:r>
        <w:rPr>
          <w:rFonts w:hint="cs"/>
          <w:color w:val="000000"/>
          <w:rtl/>
          <w:lang w:bidi="ar-EG"/>
        </w:rPr>
        <w:t xml:space="preserve"> :</w:t>
      </w:r>
      <w:r w:rsidRPr="00315653">
        <w:rPr>
          <w:rFonts w:hint="cs"/>
          <w:color w:val="000000"/>
          <w:rtl/>
          <w:lang w:bidi="ar-EG"/>
        </w:rPr>
        <w:t xml:space="preserve"> "نقل المشرع المادة 1153 مكررة عن المادة 729 من المشروع الفرنسي الإيطالي</w:t>
      </w:r>
      <w:r>
        <w:rPr>
          <w:rFonts w:hint="cs"/>
          <w:color w:val="000000"/>
          <w:rtl/>
          <w:lang w:bidi="ar-EG"/>
        </w:rPr>
        <w:t xml:space="preserve"> ،</w:t>
      </w:r>
      <w:r w:rsidRPr="00315653">
        <w:rPr>
          <w:rFonts w:hint="cs"/>
          <w:color w:val="000000"/>
          <w:rtl/>
          <w:lang w:bidi="ar-EG"/>
        </w:rPr>
        <w:t xml:space="preserve"> وهي تعرض للدعوى الشخصية التي للكفيل قبل المدين</w:t>
      </w:r>
      <w:r>
        <w:rPr>
          <w:rFonts w:hint="cs"/>
          <w:color w:val="000000"/>
          <w:rtl/>
          <w:lang w:bidi="ar-EG"/>
        </w:rPr>
        <w:t xml:space="preserve"> .</w:t>
      </w:r>
      <w:r w:rsidRPr="00315653">
        <w:rPr>
          <w:rFonts w:hint="cs"/>
          <w:color w:val="000000"/>
          <w:rtl/>
          <w:lang w:bidi="ar-EG"/>
        </w:rPr>
        <w:t xml:space="preserve"> وقد آثر المشروع أن يبين ما يرجع به الكفيل في الدعوى الشخصية</w:t>
      </w:r>
      <w:r>
        <w:rPr>
          <w:rFonts w:hint="cs"/>
          <w:color w:val="000000"/>
          <w:rtl/>
          <w:lang w:bidi="ar-EG"/>
        </w:rPr>
        <w:t xml:space="preserve"> ،</w:t>
      </w:r>
      <w:r w:rsidRPr="00315653">
        <w:rPr>
          <w:rFonts w:hint="cs"/>
          <w:color w:val="000000"/>
          <w:rtl/>
          <w:lang w:bidi="ar-EG"/>
        </w:rPr>
        <w:t xml:space="preserve"> فهو يرجع بأصل الدين وبالفوائد والمصروفات والتعويضات</w:t>
      </w:r>
      <w:r>
        <w:rPr>
          <w:rFonts w:hint="cs"/>
          <w:color w:val="000000"/>
          <w:rtl/>
          <w:lang w:bidi="ar-EG"/>
        </w:rPr>
        <w:t xml:space="preserve"> .</w:t>
      </w:r>
      <w:r w:rsidRPr="00315653">
        <w:rPr>
          <w:rFonts w:hint="cs"/>
          <w:color w:val="000000"/>
          <w:rtl/>
          <w:lang w:bidi="ar-EG"/>
        </w:rPr>
        <w:t xml:space="preserve"> وهذه الأحكام معمول بها في ظل التقنين الحالي </w:t>
      </w:r>
      <w:r>
        <w:rPr>
          <w:rFonts w:hint="cs"/>
          <w:color w:val="000000"/>
          <w:rtl/>
          <w:lang w:bidi="ar-EG"/>
        </w:rPr>
        <w:t xml:space="preserve">( </w:t>
      </w:r>
      <w:r w:rsidRPr="00315653">
        <w:rPr>
          <w:rFonts w:hint="cs"/>
          <w:color w:val="000000"/>
          <w:rtl/>
          <w:lang w:bidi="ar-EG"/>
        </w:rPr>
        <w:t>السابق</w:t>
      </w:r>
      <w:r>
        <w:rPr>
          <w:rFonts w:hint="cs"/>
          <w:color w:val="000000"/>
          <w:rtl/>
          <w:lang w:bidi="ar-EG"/>
        </w:rPr>
        <w:t xml:space="preserve"> )</w:t>
      </w:r>
      <w:r w:rsidRPr="00315653">
        <w:rPr>
          <w:rFonts w:hint="cs"/>
          <w:color w:val="000000"/>
          <w:rtl/>
          <w:lang w:bidi="ar-EG"/>
        </w:rPr>
        <w:t xml:space="preserve"> رغم عدم النص عليها"</w:t>
      </w:r>
      <w:r>
        <w:rPr>
          <w:rFonts w:hint="cs"/>
          <w:color w:val="000000"/>
          <w:vertAlign w:val="superscript"/>
          <w:rtl/>
          <w:lang w:bidi="ar-EG"/>
        </w:rPr>
        <w:t xml:space="preserve">( </w:t>
      </w:r>
      <w:r w:rsidRPr="00315653">
        <w:rPr>
          <w:rStyle w:val="ab"/>
          <w:color w:val="000000"/>
          <w:rtl/>
          <w:lang w:bidi="ar-EG"/>
        </w:rPr>
        <w:footnoteReference w:id="35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قلنا إنه $166 لا توجد أهمية علمية كبيرة في تسمية الدعوى الشخصية بدعوى الكفالة</w:t>
      </w:r>
      <w:r>
        <w:rPr>
          <w:rFonts w:hint="cs"/>
          <w:color w:val="000000"/>
          <w:rtl/>
          <w:lang w:bidi="ar-EG"/>
        </w:rPr>
        <w:t xml:space="preserve"> ،</w:t>
      </w:r>
      <w:r w:rsidRPr="00315653">
        <w:rPr>
          <w:rFonts w:hint="cs"/>
          <w:color w:val="000000"/>
          <w:rtl/>
          <w:lang w:bidi="ar-EG"/>
        </w:rPr>
        <w:t xml:space="preserve"> ذلك لأنها حتى لو سميت بهذا الاسم فلا تختلف النتائج العملية لذلك</w:t>
      </w:r>
      <w:r>
        <w:rPr>
          <w:rFonts w:hint="cs"/>
          <w:color w:val="000000"/>
          <w:rtl/>
          <w:lang w:bidi="ar-EG"/>
        </w:rPr>
        <w:t xml:space="preserve"> ،</w:t>
      </w:r>
      <w:r w:rsidRPr="00315653">
        <w:rPr>
          <w:rFonts w:hint="cs"/>
          <w:color w:val="000000"/>
          <w:rtl/>
          <w:lang w:bidi="ar-EG"/>
        </w:rPr>
        <w:t xml:space="preserve"> بل أن المقدار الذي يرجع به الكفيل على المدين هو نفس المقدار الذي يرجع به فيما لو سمينا الدعوى بدعوى الوكالة أو بدعوى الفضالة</w:t>
      </w:r>
      <w:r>
        <w:rPr>
          <w:rFonts w:hint="cs"/>
          <w:color w:val="000000"/>
          <w:rtl/>
          <w:lang w:bidi="ar-EG"/>
        </w:rPr>
        <w:t xml:space="preserve"> .</w:t>
      </w:r>
      <w:r w:rsidRPr="00315653">
        <w:rPr>
          <w:rFonts w:hint="cs"/>
          <w:color w:val="000000"/>
          <w:rtl/>
          <w:lang w:bidi="ar-EG"/>
        </w:rPr>
        <w:t xml:space="preserve"> بقى ما يسوقه أصحاب نظرية دعوى الكفالة من حجج</w:t>
      </w:r>
      <w:r>
        <w:rPr>
          <w:rFonts w:hint="cs"/>
          <w:color w:val="000000"/>
          <w:rtl/>
          <w:lang w:bidi="ar-EG"/>
        </w:rPr>
        <w:t xml:space="preserve"> ،</w:t>
      </w:r>
      <w:r w:rsidRPr="00315653">
        <w:rPr>
          <w:rFonts w:hint="cs"/>
          <w:color w:val="000000"/>
          <w:rtl/>
          <w:lang w:bidi="ar-EG"/>
        </w:rPr>
        <w:t xml:space="preserve"> لتمييز هذه الدعوى عن دعوى الوكالة أو دعوى الفضالة</w:t>
      </w:r>
      <w:r>
        <w:rPr>
          <w:rFonts w:hint="cs"/>
          <w:color w:val="000000"/>
          <w:rtl/>
          <w:lang w:bidi="ar-EG"/>
        </w:rPr>
        <w:t xml:space="preserve"> .</w:t>
      </w:r>
      <w:r w:rsidRPr="00315653">
        <w:rPr>
          <w:rFonts w:hint="cs"/>
          <w:color w:val="000000"/>
          <w:rtl/>
          <w:lang w:bidi="ar-EG"/>
        </w:rPr>
        <w:t xml:space="preserve"> فهم يقولون أن المدين لم يقصد أن يوكل الكفيل في الوفاء بالدين</w:t>
      </w:r>
      <w:r>
        <w:rPr>
          <w:rFonts w:hint="cs"/>
          <w:color w:val="000000"/>
          <w:rtl/>
          <w:lang w:bidi="ar-EG"/>
        </w:rPr>
        <w:t xml:space="preserve"> ،</w:t>
      </w:r>
      <w:r w:rsidRPr="00315653">
        <w:rPr>
          <w:rFonts w:hint="cs"/>
          <w:color w:val="000000"/>
          <w:rtl/>
          <w:lang w:bidi="ar-EG"/>
        </w:rPr>
        <w:t xml:space="preserve"> وإن الكفيل بغير علم المدين ليس فضولياً لأنه لا يقوم بشأن عاجل</w:t>
      </w:r>
      <w:r>
        <w:rPr>
          <w:rFonts w:hint="cs"/>
          <w:color w:val="000000"/>
          <w:rtl/>
          <w:lang w:bidi="ar-EG"/>
        </w:rPr>
        <w:t xml:space="preserve"> ،</w:t>
      </w:r>
      <w:r w:rsidRPr="00315653">
        <w:rPr>
          <w:rFonts w:hint="cs"/>
          <w:color w:val="000000"/>
          <w:rtl/>
          <w:lang w:bidi="ar-EG"/>
        </w:rPr>
        <w:t xml:space="preserve"> وإنه لو سلمنا بأن الدعوى الشخصية هي دعوى الوكالة لجاز للمدين أن يعزل الكفيل عن هذه الوكالة في أي وقت يشاء</w:t>
      </w:r>
      <w:r>
        <w:rPr>
          <w:rFonts w:hint="cs"/>
          <w:color w:val="000000"/>
          <w:rtl/>
          <w:lang w:bidi="ar-EG"/>
        </w:rPr>
        <w:t xml:space="preserve"> ،</w:t>
      </w:r>
      <w:r w:rsidRPr="00315653">
        <w:rPr>
          <w:rFonts w:hint="cs"/>
          <w:color w:val="000000"/>
          <w:rtl/>
          <w:lang w:bidi="ar-EG"/>
        </w:rPr>
        <w:t xml:space="preserve"> ولو قلنا بأنها دعوى الفضالة لتقادمت بثلاث سنوات</w:t>
      </w:r>
      <w:r>
        <w:rPr>
          <w:rFonts w:hint="cs"/>
          <w:color w:val="000000"/>
          <w:rtl/>
          <w:lang w:bidi="ar-EG"/>
        </w:rPr>
        <w:t xml:space="preserve"> ،</w:t>
      </w:r>
      <w:r w:rsidRPr="00315653">
        <w:rPr>
          <w:rFonts w:hint="cs"/>
          <w:color w:val="000000"/>
          <w:rtl/>
          <w:lang w:bidi="ar-EG"/>
        </w:rPr>
        <w:t xml:space="preserve"> ولو سلمنا بأنها دعوى الوكالة أو دعوى الفضالة لكان للكفيل باعتباره وكيلا أو فضوياً الحق في التعويض عن الضرر الذي قد يصيبه من جراء وفائه بالدين عن المدين</w:t>
      </w:r>
      <w:r>
        <w:rPr>
          <w:rFonts w:hint="cs"/>
          <w:color w:val="000000"/>
          <w:rtl/>
          <w:lang w:bidi="ar-EG"/>
        </w:rPr>
        <w:t xml:space="preserve"> .</w:t>
      </w:r>
      <w:r w:rsidRPr="00315653">
        <w:rPr>
          <w:rFonts w:hint="cs"/>
          <w:color w:val="000000"/>
          <w:rtl/>
          <w:lang w:bidi="ar-EG"/>
        </w:rPr>
        <w:t xml:space="preserve"> ويمكن الرد على هذه الحجج بأنه لا يوجد ما يمنع من القول بأن المدين قصد عند ما رضي بالكفالة أن يوكل الكفيل في وفاء الدين</w:t>
      </w:r>
      <w:r>
        <w:rPr>
          <w:rFonts w:hint="cs"/>
          <w:color w:val="000000"/>
          <w:rtl/>
          <w:lang w:bidi="ar-EG"/>
        </w:rPr>
        <w:t xml:space="preserve"> ،</w:t>
      </w:r>
      <w:r w:rsidRPr="00315653">
        <w:rPr>
          <w:rFonts w:hint="cs"/>
          <w:color w:val="000000"/>
          <w:rtl/>
          <w:lang w:bidi="ar-EG"/>
        </w:rPr>
        <w:t xml:space="preserve"> ولا يستطيع عزله في أي وقت يشاء كما لا يستطيع الكفيل النزول عن الوكالة لأن الوكالة هنا ليست لصالح المدين وحده بل هي أيضاً لصالح الغير وهو الدائن فلا بد من رضاء هذا الأخير حتى يعزل الوكيل أو ينزل عن الوكالة </w:t>
      </w:r>
      <w:r>
        <w:rPr>
          <w:rFonts w:hint="cs"/>
          <w:color w:val="000000"/>
          <w:rtl/>
          <w:lang w:bidi="ar-EG"/>
        </w:rPr>
        <w:t xml:space="preserve">( </w:t>
      </w:r>
      <w:r w:rsidRPr="00315653">
        <w:rPr>
          <w:rFonts w:hint="cs"/>
          <w:color w:val="000000"/>
          <w:rtl/>
          <w:lang w:bidi="ar-EG"/>
        </w:rPr>
        <w:t>م 715/2 و م 716/2 مدني</w:t>
      </w:r>
      <w:r>
        <w:rPr>
          <w:rFonts w:hint="cs"/>
          <w:color w:val="000000"/>
          <w:rtl/>
          <w:lang w:bidi="ar-EG"/>
        </w:rPr>
        <w:t xml:space="preserve"> ) .</w:t>
      </w:r>
      <w:r w:rsidRPr="00315653">
        <w:rPr>
          <w:rFonts w:hint="cs"/>
          <w:color w:val="000000"/>
          <w:rtl/>
          <w:lang w:bidi="ar-EG"/>
        </w:rPr>
        <w:t xml:space="preserve"> وإذا قام الكفيل بالكفالة بغير علم المدين ووفى الدين فعلا</w:t>
      </w:r>
      <w:r>
        <w:rPr>
          <w:rFonts w:hint="cs"/>
          <w:color w:val="000000"/>
          <w:rtl/>
          <w:lang w:bidi="ar-EG"/>
        </w:rPr>
        <w:t xml:space="preserve"> ،</w:t>
      </w:r>
      <w:r w:rsidRPr="00315653">
        <w:rPr>
          <w:rFonts w:hint="cs"/>
          <w:color w:val="000000"/>
          <w:rtl/>
          <w:lang w:bidi="ar-EG"/>
        </w:rPr>
        <w:t xml:space="preserve"> فما الذي يمنع من القول بأنه قام بشأن عاجل لمصلحة المدين</w:t>
      </w:r>
      <w:r>
        <w:rPr>
          <w:rFonts w:hint="cs"/>
          <w:color w:val="000000"/>
          <w:rtl/>
          <w:lang w:bidi="ar-EG"/>
        </w:rPr>
        <w:t xml:space="preserve"> ،</w:t>
      </w:r>
      <w:r w:rsidRPr="00315653">
        <w:rPr>
          <w:rFonts w:hint="cs"/>
          <w:color w:val="000000"/>
          <w:rtl/>
          <w:lang w:bidi="ar-EG"/>
        </w:rPr>
        <w:t xml:space="preserve"> وهل لا يكون الوفاء بالدين وقد استحق في ذمة المدين شأناً عاجلا يقوم به الكفيل؟ وما الذي يمنع من أن يتقادم الدعوى الشخصية بثلاث سنوات</w:t>
      </w:r>
      <w:r>
        <w:rPr>
          <w:rFonts w:hint="cs"/>
          <w:color w:val="000000"/>
          <w:rtl/>
          <w:lang w:bidi="ar-EG"/>
        </w:rPr>
        <w:t xml:space="preserve"> ،</w:t>
      </w:r>
      <w:r w:rsidRPr="00315653">
        <w:rPr>
          <w:rFonts w:hint="cs"/>
          <w:color w:val="000000"/>
          <w:rtl/>
          <w:lang w:bidi="ar-EG"/>
        </w:rPr>
        <w:t xml:space="preserve"> لو كان أساسها دعوا الفضالة؟ ثم لماذا لا يرجع الكفيل على المدين بالتعويض عن الضرر الذي قد يصبه من جراء الوفاء بالدين عن المدين</w:t>
      </w:r>
      <w:r>
        <w:rPr>
          <w:rFonts w:hint="cs"/>
          <w:color w:val="000000"/>
          <w:rtl/>
          <w:lang w:bidi="ar-EG"/>
        </w:rPr>
        <w:t xml:space="preserve"> ،</w:t>
      </w:r>
      <w:r w:rsidRPr="00315653">
        <w:rPr>
          <w:rFonts w:hint="cs"/>
          <w:color w:val="000000"/>
          <w:rtl/>
          <w:lang w:bidi="ar-EG"/>
        </w:rPr>
        <w:t xml:space="preserve"> وسنرى أن المشروع التمهيدي كان يتضمن نصاً صريحاً في هذا المعنى</w:t>
      </w:r>
      <w:r>
        <w:rPr>
          <w:rFonts w:hint="cs"/>
          <w:color w:val="000000"/>
          <w:rtl/>
          <w:lang w:bidi="ar-EG"/>
        </w:rPr>
        <w:t xml:space="preserve"> ،</w:t>
      </w:r>
      <w:r w:rsidRPr="00315653">
        <w:rPr>
          <w:rFonts w:hint="cs"/>
          <w:color w:val="000000"/>
          <w:rtl/>
          <w:lang w:bidi="ar-EG"/>
        </w:rPr>
        <w:t xml:space="preserve"> ولم يحذف هذا النص إلا لأنه مجرد تطبيق للقواعد العامة؟</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$167 ومهما يكن من أمر</w:t>
      </w:r>
      <w:r>
        <w:rPr>
          <w:rFonts w:hint="cs"/>
          <w:color w:val="000000"/>
          <w:rtl/>
          <w:lang w:bidi="ar-EG"/>
        </w:rPr>
        <w:t xml:space="preserve"> ،</w:t>
      </w:r>
      <w:r w:rsidRPr="00315653">
        <w:rPr>
          <w:rFonts w:hint="cs"/>
          <w:color w:val="000000"/>
          <w:rtl/>
          <w:lang w:bidi="ar-EG"/>
        </w:rPr>
        <w:t xml:space="preserve"> فليست هناك أهمية عملية كبيرة</w:t>
      </w:r>
      <w:r>
        <w:rPr>
          <w:rFonts w:hint="cs"/>
          <w:color w:val="000000"/>
          <w:rtl/>
          <w:lang w:bidi="ar-EG"/>
        </w:rPr>
        <w:t xml:space="preserve"> ،</w:t>
      </w:r>
      <w:r w:rsidRPr="00315653">
        <w:rPr>
          <w:rFonts w:hint="cs"/>
          <w:color w:val="000000"/>
          <w:rtl/>
          <w:lang w:bidi="ar-EG"/>
        </w:rPr>
        <w:t xml:space="preserve"> كما قدمنا</w:t>
      </w:r>
      <w:r>
        <w:rPr>
          <w:rFonts w:hint="cs"/>
          <w:color w:val="000000"/>
          <w:rtl/>
          <w:lang w:bidi="ar-EG"/>
        </w:rPr>
        <w:t xml:space="preserve"> ،</w:t>
      </w:r>
      <w:r w:rsidRPr="00315653">
        <w:rPr>
          <w:rFonts w:hint="cs"/>
          <w:color w:val="000000"/>
          <w:rtl/>
          <w:lang w:bidi="ar-EG"/>
        </w:rPr>
        <w:t xml:space="preserve"> من القول بالنظرية الجديدة وهي نظرية دعوى الكفالة دون القول بالنظرية التقليدية وهي نظرية دعوى الوكالة أو دعوى الفضالة</w:t>
      </w:r>
      <w:r>
        <w:rPr>
          <w:rFonts w:hint="cs"/>
          <w:color w:val="000000"/>
          <w:rtl/>
          <w:lang w:bidi="ar-EG"/>
        </w:rPr>
        <w:t xml:space="preserve"> ،</w:t>
      </w:r>
      <w:r w:rsidRPr="00315653">
        <w:rPr>
          <w:rFonts w:hint="cs"/>
          <w:color w:val="000000"/>
          <w:rtl/>
          <w:lang w:bidi="ar-EG"/>
        </w:rPr>
        <w:t xml:space="preserve"> فالحلول العلمية واحدة في كل من النظرية الجديدة والنظرية التقليدية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62- الشروط الواجب توافرها لرجوع الكفيل على المدين بالدعوى الشخصية</w:t>
      </w:r>
      <w:r>
        <w:rPr>
          <w:rFonts w:hint="cs"/>
          <w:color w:val="000000"/>
          <w:rtl/>
          <w:lang w:bidi="ar-EG"/>
        </w:rPr>
        <w:t xml:space="preserve"> :</w:t>
      </w:r>
      <w:r w:rsidRPr="00315653">
        <w:rPr>
          <w:rFonts w:hint="cs"/>
          <w:color w:val="000000"/>
          <w:rtl/>
          <w:lang w:bidi="ar-EG"/>
        </w:rPr>
        <w:t xml:space="preserve">  هناك شروط ثلاثة لا بد من توافرها حتى يرجع الكفيل على المدين بالدعوى الشخصية</w:t>
      </w:r>
      <w:r>
        <w:rPr>
          <w:rFonts w:hint="cs"/>
          <w:color w:val="000000"/>
          <w:rtl/>
          <w:lang w:bidi="ar-EG"/>
        </w:rPr>
        <w:t xml:space="preserve"> ،</w:t>
      </w:r>
      <w:r w:rsidRPr="00315653">
        <w:rPr>
          <w:rFonts w:hint="cs"/>
          <w:color w:val="000000"/>
          <w:rtl/>
          <w:lang w:bidi="ar-EG"/>
        </w:rPr>
        <w:t xml:space="preserve"> وهي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قيام الكفيل بوفاء الدين عن المدين</w:t>
      </w:r>
      <w:r>
        <w:rPr>
          <w:rFonts w:hint="cs"/>
          <w:color w:val="000000"/>
          <w:rtl/>
          <w:lang w:bidi="ar-EG"/>
        </w:rPr>
        <w:t xml:space="preserve"> :</w:t>
      </w:r>
      <w:r w:rsidRPr="00315653">
        <w:rPr>
          <w:rFonts w:hint="cs"/>
          <w:color w:val="000000"/>
          <w:rtl/>
          <w:lang w:bidi="ar-EG"/>
        </w:rPr>
        <w:t xml:space="preserve"> يجب على الكفيل</w:t>
      </w:r>
      <w:r>
        <w:rPr>
          <w:rFonts w:hint="cs"/>
          <w:color w:val="000000"/>
          <w:rtl/>
          <w:lang w:bidi="ar-EG"/>
        </w:rPr>
        <w:t xml:space="preserve"> ،</w:t>
      </w:r>
      <w:r w:rsidRPr="00315653">
        <w:rPr>
          <w:rFonts w:hint="cs"/>
          <w:color w:val="000000"/>
          <w:rtl/>
          <w:lang w:bidi="ar-EG"/>
        </w:rPr>
        <w:t xml:space="preserve"> حتى يرجع على المدين بالدعوى الشخصية</w:t>
      </w:r>
      <w:r>
        <w:rPr>
          <w:rFonts w:hint="cs"/>
          <w:color w:val="000000"/>
          <w:rtl/>
          <w:lang w:bidi="ar-EG"/>
        </w:rPr>
        <w:t xml:space="preserve"> ،</w:t>
      </w:r>
      <w:r w:rsidRPr="00315653">
        <w:rPr>
          <w:rFonts w:hint="cs"/>
          <w:color w:val="000000"/>
          <w:rtl/>
          <w:lang w:bidi="ar-EG"/>
        </w:rPr>
        <w:t xml:space="preserve"> أن يكون قد قام بوفاء الدين علن المدين</w:t>
      </w:r>
      <w:r>
        <w:rPr>
          <w:rFonts w:hint="cs"/>
          <w:color w:val="000000"/>
          <w:rtl/>
          <w:lang w:bidi="ar-EG"/>
        </w:rPr>
        <w:t xml:space="preserve"> .</w:t>
      </w:r>
      <w:r w:rsidRPr="00315653">
        <w:rPr>
          <w:rFonts w:hint="cs"/>
          <w:color w:val="000000"/>
          <w:rtl/>
          <w:lang w:bidi="ar-EG"/>
        </w:rPr>
        <w:t xml:space="preserve"> وقد رأينا المادة 800 مدني تقول</w:t>
      </w:r>
      <w:r>
        <w:rPr>
          <w:rFonts w:hint="cs"/>
          <w:color w:val="000000"/>
          <w:rtl/>
          <w:lang w:bidi="ar-EG"/>
        </w:rPr>
        <w:t xml:space="preserve"> :</w:t>
      </w:r>
      <w:r w:rsidRPr="00315653">
        <w:rPr>
          <w:rFonts w:hint="cs"/>
          <w:color w:val="000000"/>
          <w:rtl/>
          <w:lang w:bidi="ar-EG"/>
        </w:rPr>
        <w:t xml:space="preserve"> "للكفيل الذي وفى الدين أن يرجع على المدين </w:t>
      </w:r>
      <w:r>
        <w:rPr>
          <w:rFonts w:hint="cs"/>
          <w:color w:val="000000"/>
          <w:rtl/>
          <w:lang w:bidi="ar-EG"/>
        </w:rPr>
        <w:t xml:space="preserve"> . . .</w:t>
      </w:r>
      <w:r w:rsidRPr="00315653">
        <w:rPr>
          <w:rFonts w:hint="cs"/>
          <w:color w:val="000000"/>
          <w:rtl/>
          <w:lang w:bidi="ar-EG"/>
        </w:rPr>
        <w:t>"</w:t>
      </w:r>
      <w:r>
        <w:rPr>
          <w:rFonts w:hint="cs"/>
          <w:color w:val="000000"/>
          <w:rtl/>
          <w:lang w:bidi="ar-EG"/>
        </w:rPr>
        <w:t xml:space="preserve"> .</w:t>
      </w:r>
      <w:r w:rsidRPr="00315653">
        <w:rPr>
          <w:rFonts w:hint="cs"/>
          <w:color w:val="000000"/>
          <w:rtl/>
          <w:lang w:bidi="ar-EG"/>
        </w:rPr>
        <w:t xml:space="preserve"> والكفل لا يقوم بوفاء الدين عن المدين إلا إذا كان متضامناً معه وهذا هو الغالب</w:t>
      </w:r>
      <w:r>
        <w:rPr>
          <w:rFonts w:hint="cs"/>
          <w:color w:val="000000"/>
          <w:rtl/>
          <w:lang w:bidi="ar-EG"/>
        </w:rPr>
        <w:t xml:space="preserve"> ،</w:t>
      </w:r>
      <w:r w:rsidRPr="00315653">
        <w:rPr>
          <w:rFonts w:hint="cs"/>
          <w:color w:val="000000"/>
          <w:rtl/>
          <w:lang w:bidi="ar-EG"/>
        </w:rPr>
        <w:t xml:space="preserve"> أو غلا إذا لم يدفع بالتجريد أو فشل في هذا الدفع</w:t>
      </w:r>
      <w:r>
        <w:rPr>
          <w:rFonts w:hint="cs"/>
          <w:color w:val="000000"/>
          <w:rtl/>
          <w:lang w:bidi="ar-EG"/>
        </w:rPr>
        <w:t xml:space="preserve"> .</w:t>
      </w:r>
      <w:r w:rsidRPr="00315653">
        <w:rPr>
          <w:rFonts w:hint="cs"/>
          <w:color w:val="000000"/>
          <w:rtl/>
          <w:lang w:bidi="ar-EG"/>
        </w:rPr>
        <w:t xml:space="preserve"> وعند ذلك يضطر إلى الوفاء بالدين للدائن على أن يرجع على المدين</w:t>
      </w:r>
      <w:r>
        <w:rPr>
          <w:rFonts w:hint="cs"/>
          <w:color w:val="000000"/>
          <w:rtl/>
          <w:lang w:bidi="ar-EG"/>
        </w:rPr>
        <w:t xml:space="preserve"> .</w:t>
      </w:r>
      <w:r w:rsidRPr="00315653">
        <w:rPr>
          <w:rFonts w:hint="cs"/>
          <w:color w:val="000000"/>
          <w:rtl/>
          <w:lang w:bidi="ar-EG"/>
        </w:rPr>
        <w:t xml:space="preserve"> وليس من الضروري أن يفي الكفيل بالدين</w:t>
      </w:r>
      <w:r>
        <w:rPr>
          <w:rFonts w:hint="cs"/>
          <w:color w:val="000000"/>
          <w:rtl/>
          <w:lang w:bidi="ar-EG"/>
        </w:rPr>
        <w:t xml:space="preserve"> ،</w:t>
      </w:r>
      <w:r w:rsidRPr="00315653">
        <w:rPr>
          <w:rFonts w:hint="cs"/>
          <w:color w:val="000000"/>
          <w:rtl/>
          <w:lang w:bidi="ar-EG"/>
        </w:rPr>
        <w:t xml:space="preserve"> بل يكفي أن يقضي الدين بسبب من أسباب الانقضاء</w:t>
      </w:r>
      <w:r>
        <w:rPr>
          <w:rFonts w:hint="cs"/>
          <w:color w:val="000000"/>
          <w:vertAlign w:val="superscript"/>
          <w:rtl/>
          <w:lang w:bidi="ar-EG"/>
        </w:rPr>
        <w:t xml:space="preserve">( </w:t>
      </w:r>
      <w:r w:rsidRPr="00315653">
        <w:rPr>
          <w:rStyle w:val="ab"/>
          <w:color w:val="000000"/>
          <w:rtl/>
          <w:lang w:bidi="ar-EG"/>
        </w:rPr>
        <w:footnoteReference w:id="35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فله أن يفي الدين بمقابل فتبرأ ذمة المدين منه</w:t>
      </w:r>
      <w:r>
        <w:rPr>
          <w:rFonts w:hint="cs"/>
          <w:color w:val="000000"/>
          <w:rtl/>
          <w:lang w:bidi="ar-EG"/>
        </w:rPr>
        <w:t xml:space="preserve"> ،</w:t>
      </w:r>
      <w:r w:rsidRPr="00315653">
        <w:rPr>
          <w:rFonts w:hint="cs"/>
          <w:color w:val="000000"/>
          <w:rtl/>
          <w:lang w:bidi="ar-EG"/>
        </w:rPr>
        <w:t xml:space="preserve"> فيرجع الكفيل عند ذلك على المدين</w:t>
      </w:r>
      <w:r>
        <w:rPr>
          <w:rFonts w:hint="cs"/>
          <w:color w:val="000000"/>
          <w:rtl/>
          <w:lang w:bidi="ar-EG"/>
        </w:rPr>
        <w:t xml:space="preserve"> ،</w:t>
      </w:r>
      <w:r w:rsidRPr="00315653">
        <w:rPr>
          <w:rFonts w:hint="cs"/>
          <w:color w:val="000000"/>
          <w:rtl/>
          <w:lang w:bidi="ar-EG"/>
        </w:rPr>
        <w:t xml:space="preserve"> وإذا وفي الكفيل الدين بمقابل</w:t>
      </w:r>
      <w:r>
        <w:rPr>
          <w:rFonts w:hint="cs"/>
          <w:color w:val="000000"/>
          <w:rtl/>
          <w:lang w:bidi="ar-EG"/>
        </w:rPr>
        <w:t xml:space="preserve"> ،</w:t>
      </w:r>
      <w:r w:rsidRPr="00315653">
        <w:rPr>
          <w:rFonts w:hint="cs"/>
          <w:color w:val="000000"/>
          <w:rtl/>
          <w:lang w:bidi="ar-EG"/>
        </w:rPr>
        <w:t xml:space="preserve"> واستحق هذا المقابل</w:t>
      </w:r>
      <w:r>
        <w:rPr>
          <w:rFonts w:hint="cs"/>
          <w:color w:val="000000"/>
          <w:rtl/>
          <w:lang w:bidi="ar-EG"/>
        </w:rPr>
        <w:t xml:space="preserve"> ،</w:t>
      </w:r>
      <w:r w:rsidRPr="00315653">
        <w:rPr>
          <w:rFonts w:hint="cs"/>
          <w:color w:val="000000"/>
          <w:rtl/>
          <w:lang w:bidi="ar-EG"/>
        </w:rPr>
        <w:t xml:space="preserve"> لم يكن في هذا الوفاء قضاء للدين يسوغ رجوع الكفيل على المدين</w:t>
      </w:r>
      <w:r>
        <w:rPr>
          <w:rFonts w:hint="cs"/>
          <w:color w:val="000000"/>
          <w:vertAlign w:val="superscript"/>
          <w:rtl/>
          <w:lang w:bidi="ar-EG"/>
        </w:rPr>
        <w:t xml:space="preserve">( </w:t>
      </w:r>
      <w:r w:rsidRPr="00315653">
        <w:rPr>
          <w:rStyle w:val="ab"/>
          <w:color w:val="000000"/>
          <w:rtl/>
          <w:lang w:bidi="ar-EG"/>
        </w:rPr>
        <w:footnoteReference w:id="36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بل يكون الكفيل ملتزماً بضمان الاستحقاق نحو الدائن</w:t>
      </w:r>
      <w:r>
        <w:rPr>
          <w:rFonts w:hint="cs"/>
          <w:color w:val="000000"/>
          <w:rtl/>
          <w:lang w:bidi="ar-EG"/>
        </w:rPr>
        <w:t xml:space="preserve"> .</w:t>
      </w:r>
      <w:r w:rsidRPr="00315653">
        <w:rPr>
          <w:rFonts w:hint="cs"/>
          <w:color w:val="000000"/>
          <w:rtl/>
          <w:lang w:bidi="ar-EG"/>
        </w:rPr>
        <w:t xml:space="preserve"> وهذا بخلاف ما إذا وفى المدين نفسه الدين </w:t>
      </w:r>
      <w:r w:rsidRPr="00315653">
        <w:rPr>
          <w:rFonts w:hint="cs"/>
          <w:color w:val="000000"/>
          <w:rtl/>
          <w:lang w:bidi="ar-EG"/>
        </w:rPr>
        <w:lastRenderedPageBreak/>
        <w:t>بمقابل واستحق هذا المقابل</w:t>
      </w:r>
      <w:r>
        <w:rPr>
          <w:rFonts w:hint="cs"/>
          <w:color w:val="000000"/>
          <w:rtl/>
          <w:lang w:bidi="ar-EG"/>
        </w:rPr>
        <w:t xml:space="preserve"> ،</w:t>
      </w:r>
      <w:r w:rsidRPr="00315653">
        <w:rPr>
          <w:rFonts w:hint="cs"/>
          <w:color w:val="000000"/>
          <w:rtl/>
          <w:lang w:bidi="ar-EG"/>
        </w:rPr>
        <w:t xml:space="preserve"> فسنرى عند الكلام في انقضاء الكفالة أنه إذا قبل الدائن أن يستوفي $168 من الدين في مقابل الدين شيئاً آخر</w:t>
      </w:r>
      <w:r>
        <w:rPr>
          <w:rFonts w:hint="cs"/>
          <w:color w:val="000000"/>
          <w:rtl/>
          <w:lang w:bidi="ar-EG"/>
        </w:rPr>
        <w:t xml:space="preserve"> ،</w:t>
      </w:r>
      <w:r w:rsidRPr="00315653">
        <w:rPr>
          <w:rFonts w:hint="cs"/>
          <w:color w:val="000000"/>
          <w:rtl/>
          <w:lang w:bidi="ar-EG"/>
        </w:rPr>
        <w:t xml:space="preserve"> برئت ذمة الكفيل ولو استحق هذا الشيء </w:t>
      </w:r>
      <w:r>
        <w:rPr>
          <w:rFonts w:hint="cs"/>
          <w:color w:val="000000"/>
          <w:rtl/>
          <w:lang w:bidi="ar-EG"/>
        </w:rPr>
        <w:t xml:space="preserve">( </w:t>
      </w:r>
      <w:r w:rsidRPr="00315653">
        <w:rPr>
          <w:rFonts w:hint="cs"/>
          <w:color w:val="000000"/>
          <w:rtl/>
          <w:lang w:bidi="ar-EG"/>
        </w:rPr>
        <w:t>م 783 مدني</w:t>
      </w:r>
      <w:r>
        <w:rPr>
          <w:rFonts w:hint="cs"/>
          <w:color w:val="000000"/>
          <w:rtl/>
          <w:lang w:bidi="ar-EG"/>
        </w:rPr>
        <w:t xml:space="preserve"> ) .</w:t>
      </w:r>
      <w:r w:rsidRPr="00315653">
        <w:rPr>
          <w:rFonts w:hint="cs"/>
          <w:color w:val="000000"/>
          <w:rtl/>
          <w:lang w:bidi="ar-EG"/>
        </w:rPr>
        <w:t xml:space="preserve"> كذلك قد يقضي الكفيل الدين بطريق التجديد كما في التجديد بطريق تغيير المدين</w:t>
      </w:r>
      <w:r>
        <w:rPr>
          <w:rFonts w:hint="cs"/>
          <w:color w:val="000000"/>
          <w:rtl/>
          <w:lang w:bidi="ar-EG"/>
        </w:rPr>
        <w:t xml:space="preserve"> ،</w:t>
      </w:r>
      <w:r w:rsidRPr="00315653">
        <w:rPr>
          <w:rFonts w:hint="cs"/>
          <w:color w:val="000000"/>
          <w:rtl/>
          <w:lang w:bidi="ar-EG"/>
        </w:rPr>
        <w:t xml:space="preserve"> فينقضي التزام الكفيل بتجديد الدين وينقضي تبعاً له الدين الأصلي</w:t>
      </w:r>
      <w:r>
        <w:rPr>
          <w:rFonts w:hint="cs"/>
          <w:color w:val="000000"/>
          <w:rtl/>
          <w:lang w:bidi="ar-EG"/>
        </w:rPr>
        <w:t xml:space="preserve"> ،</w:t>
      </w:r>
      <w:r w:rsidRPr="00315653">
        <w:rPr>
          <w:rFonts w:hint="cs"/>
          <w:color w:val="000000"/>
          <w:rtl/>
          <w:lang w:bidi="ar-EG"/>
        </w:rPr>
        <w:t xml:space="preserve"> وعند ذلك يحق للكفيل أن يرجع على المدين بالدعوى الشخصية</w:t>
      </w:r>
      <w:r>
        <w:rPr>
          <w:rFonts w:hint="cs"/>
          <w:color w:val="000000"/>
          <w:rtl/>
          <w:lang w:bidi="ar-EG"/>
        </w:rPr>
        <w:t xml:space="preserve"> .</w:t>
      </w:r>
      <w:r w:rsidRPr="00315653">
        <w:rPr>
          <w:rFonts w:hint="cs"/>
          <w:color w:val="000000"/>
          <w:rtl/>
          <w:lang w:bidi="ar-EG"/>
        </w:rPr>
        <w:t xml:space="preserve"> وكالتجديد الإنابة الكاملة</w:t>
      </w:r>
      <w:r>
        <w:rPr>
          <w:rFonts w:hint="cs"/>
          <w:color w:val="000000"/>
          <w:rtl/>
          <w:lang w:bidi="ar-EG"/>
        </w:rPr>
        <w:t xml:space="preserve"> .</w:t>
      </w:r>
      <w:r w:rsidRPr="00315653">
        <w:rPr>
          <w:rFonts w:hint="cs"/>
          <w:color w:val="000000"/>
          <w:rtl/>
          <w:lang w:bidi="ar-EG"/>
        </w:rPr>
        <w:t xml:space="preserve"> وقد يقضي الكفيل الدين بطريق المقاصة</w:t>
      </w:r>
      <w:r>
        <w:rPr>
          <w:rFonts w:hint="cs"/>
          <w:color w:val="000000"/>
          <w:rtl/>
          <w:lang w:bidi="ar-EG"/>
        </w:rPr>
        <w:t xml:space="preserve"> ،</w:t>
      </w:r>
      <w:r w:rsidRPr="00315653">
        <w:rPr>
          <w:rFonts w:hint="cs"/>
          <w:color w:val="000000"/>
          <w:rtl/>
          <w:lang w:bidi="ar-EG"/>
        </w:rPr>
        <w:t xml:space="preserve"> أي أن يكون له دين في ذمة الدائن ينقضي مقاصة في الدين الذي التزم بدفعه الكفيل</w:t>
      </w:r>
      <w:r>
        <w:rPr>
          <w:rFonts w:hint="cs"/>
          <w:color w:val="000000"/>
          <w:rtl/>
          <w:lang w:bidi="ar-EG"/>
        </w:rPr>
        <w:t xml:space="preserve"> ،</w:t>
      </w:r>
      <w:r w:rsidRPr="00315653">
        <w:rPr>
          <w:rFonts w:hint="cs"/>
          <w:color w:val="000000"/>
          <w:rtl/>
          <w:lang w:bidi="ar-EG"/>
        </w:rPr>
        <w:t xml:space="preserve"> وعند ذلك يرجع الكفيل على المدين بالدعوى الشخصية</w:t>
      </w:r>
      <w:r>
        <w:rPr>
          <w:rFonts w:hint="cs"/>
          <w:color w:val="000000"/>
          <w:vertAlign w:val="superscript"/>
          <w:rtl/>
          <w:lang w:bidi="ar-EG"/>
        </w:rPr>
        <w:t xml:space="preserve">( </w:t>
      </w:r>
      <w:r w:rsidRPr="00315653">
        <w:rPr>
          <w:rStyle w:val="ab"/>
          <w:color w:val="000000"/>
          <w:rtl/>
          <w:lang w:bidi="ar-EG"/>
        </w:rPr>
        <w:footnoteReference w:id="36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كذلك قد يقضي الكفيل الدين باتحاد الذمة</w:t>
      </w:r>
      <w:r>
        <w:rPr>
          <w:rFonts w:hint="cs"/>
          <w:color w:val="000000"/>
          <w:rtl/>
          <w:lang w:bidi="ar-EG"/>
        </w:rPr>
        <w:t xml:space="preserve"> ،</w:t>
      </w:r>
      <w:r w:rsidRPr="00315653">
        <w:rPr>
          <w:rFonts w:hint="cs"/>
          <w:color w:val="000000"/>
          <w:rtl/>
          <w:lang w:bidi="ar-EG"/>
        </w:rPr>
        <w:t xml:space="preserve"> كأن يرث الدائن فيصبح هو الدائن فينقضي الدين</w:t>
      </w:r>
      <w:r>
        <w:rPr>
          <w:rFonts w:hint="cs"/>
          <w:color w:val="000000"/>
          <w:rtl/>
          <w:lang w:bidi="ar-EG"/>
        </w:rPr>
        <w:t xml:space="preserve"> ،</w:t>
      </w:r>
      <w:r w:rsidRPr="00315653">
        <w:rPr>
          <w:rFonts w:hint="cs"/>
          <w:color w:val="000000"/>
          <w:rtl/>
          <w:lang w:bidi="ar-EG"/>
        </w:rPr>
        <w:t xml:space="preserve"> وعند ذلك يرجع الكفيل على المدين بالدعوى الشخصية</w:t>
      </w:r>
      <w:r>
        <w:rPr>
          <w:rFonts w:hint="cs"/>
          <w:color w:val="000000"/>
          <w:rtl/>
          <w:lang w:bidi="ar-EG"/>
        </w:rPr>
        <w:t xml:space="preserve"> .</w:t>
      </w:r>
      <w:r w:rsidRPr="00315653">
        <w:rPr>
          <w:rFonts w:hint="cs"/>
          <w:color w:val="000000"/>
          <w:rtl/>
          <w:lang w:bidi="ar-EG"/>
        </w:rPr>
        <w:t xml:space="preserve"> أما إذا أبرأ الدائن الكفيل من الكفالة أو تقادم دين الكفيل</w:t>
      </w:r>
      <w:r>
        <w:rPr>
          <w:rFonts w:hint="cs"/>
          <w:color w:val="000000"/>
          <w:rtl/>
          <w:lang w:bidi="ar-EG"/>
        </w:rPr>
        <w:t xml:space="preserve"> ،</w:t>
      </w:r>
      <w:r w:rsidRPr="00315653">
        <w:rPr>
          <w:rFonts w:hint="cs"/>
          <w:color w:val="000000"/>
          <w:rtl/>
          <w:lang w:bidi="ar-EG"/>
        </w:rPr>
        <w:t xml:space="preserve"> فإن الكفيل لا يكون قد وفى الدين أو قام بعمل يقوم مقام الوفاء</w:t>
      </w:r>
      <w:r>
        <w:rPr>
          <w:rFonts w:hint="cs"/>
          <w:color w:val="000000"/>
          <w:rtl/>
          <w:lang w:bidi="ar-EG"/>
        </w:rPr>
        <w:t xml:space="preserve"> ،</w:t>
      </w:r>
      <w:r w:rsidRPr="00315653">
        <w:rPr>
          <w:rFonts w:hint="cs"/>
          <w:color w:val="000000"/>
          <w:rtl/>
          <w:lang w:bidi="ar-EG"/>
        </w:rPr>
        <w:t xml:space="preserve"> وعلى ذلك لا يستطيع الرجوع على المدين</w:t>
      </w:r>
      <w:r>
        <w:rPr>
          <w:rFonts w:hint="cs"/>
          <w:color w:val="000000"/>
          <w:vertAlign w:val="superscript"/>
          <w:rtl/>
          <w:lang w:bidi="ar-EG"/>
        </w:rPr>
        <w:t xml:space="preserve">( </w:t>
      </w:r>
      <w:r w:rsidRPr="00315653">
        <w:rPr>
          <w:rStyle w:val="ab"/>
          <w:color w:val="000000"/>
          <w:rtl/>
          <w:lang w:bidi="ar-EG"/>
        </w:rPr>
        <w:footnoteReference w:id="36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وفاء الكفيل بالدين عند حلول أجله</w:t>
      </w:r>
      <w:r>
        <w:rPr>
          <w:rFonts w:hint="cs"/>
          <w:color w:val="000000"/>
          <w:rtl/>
          <w:lang w:bidi="ar-EG"/>
        </w:rPr>
        <w:t xml:space="preserve"> :</w:t>
      </w:r>
      <w:r w:rsidRPr="00315653">
        <w:rPr>
          <w:rFonts w:hint="cs"/>
          <w:color w:val="000000"/>
          <w:rtl/>
          <w:lang w:bidi="ar-EG"/>
        </w:rPr>
        <w:t xml:space="preserve"> ويجب أن يكون وفاء الكفيل بالدين في الوقت الذي يحل فيه أجله</w:t>
      </w:r>
      <w:r>
        <w:rPr>
          <w:rFonts w:hint="cs"/>
          <w:color w:val="000000"/>
          <w:rtl/>
          <w:lang w:bidi="ar-EG"/>
        </w:rPr>
        <w:t xml:space="preserve"> ،</w:t>
      </w:r>
      <w:r w:rsidRPr="00315653">
        <w:rPr>
          <w:rFonts w:hint="cs"/>
          <w:color w:val="000000"/>
          <w:rtl/>
          <w:lang w:bidi="ar-EG"/>
        </w:rPr>
        <w:t xml:space="preserve"> فإذا تعجل الكفيل الوفاء بالدين قبل حلول الأجل</w:t>
      </w:r>
      <w:r>
        <w:rPr>
          <w:rFonts w:hint="cs"/>
          <w:color w:val="000000"/>
          <w:rtl/>
          <w:lang w:bidi="ar-EG"/>
        </w:rPr>
        <w:t xml:space="preserve"> ،</w:t>
      </w:r>
      <w:r w:rsidRPr="00315653">
        <w:rPr>
          <w:rFonts w:hint="cs"/>
          <w:color w:val="000000"/>
          <w:rtl/>
          <w:lang w:bidi="ar-EG"/>
        </w:rPr>
        <w:t xml:space="preserve"> لم يكن له أن يرجع على المدين بالدعوى الشخصية $169 إلا عند حلول الأجل</w:t>
      </w:r>
      <w:r>
        <w:rPr>
          <w:rFonts w:hint="cs"/>
          <w:color w:val="000000"/>
          <w:vertAlign w:val="superscript"/>
          <w:rtl/>
          <w:lang w:bidi="ar-EG"/>
        </w:rPr>
        <w:t xml:space="preserve">( </w:t>
      </w:r>
      <w:r w:rsidRPr="00315653">
        <w:rPr>
          <w:rStyle w:val="ab"/>
          <w:color w:val="000000"/>
          <w:rtl/>
          <w:lang w:bidi="ar-EG"/>
        </w:rPr>
        <w:footnoteReference w:id="36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لم يرجع عليه أصلا إذا جد ما بين وفاء الكفيل بالدين وحلول الأجل سبب لانقضاء دين المدين</w:t>
      </w:r>
      <w:r>
        <w:rPr>
          <w:rFonts w:hint="cs"/>
          <w:color w:val="000000"/>
          <w:vertAlign w:val="superscript"/>
          <w:rtl/>
          <w:lang w:bidi="ar-EG"/>
        </w:rPr>
        <w:t xml:space="preserve">( </w:t>
      </w:r>
      <w:r w:rsidRPr="00315653">
        <w:rPr>
          <w:rStyle w:val="ab"/>
          <w:color w:val="000000"/>
          <w:rtl/>
          <w:lang w:bidi="ar-EG"/>
        </w:rPr>
        <w:footnoteReference w:id="36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والعبرة بالأجل الأصلي للدين</w:t>
      </w:r>
      <w:r>
        <w:rPr>
          <w:rFonts w:hint="cs"/>
          <w:color w:val="000000"/>
          <w:rtl/>
          <w:lang w:bidi="ar-EG"/>
        </w:rPr>
        <w:t xml:space="preserve"> ،</w:t>
      </w:r>
      <w:r w:rsidRPr="00315653">
        <w:rPr>
          <w:rFonts w:hint="cs"/>
          <w:color w:val="000000"/>
          <w:rtl/>
          <w:lang w:bidi="ar-EG"/>
        </w:rPr>
        <w:t xml:space="preserve"> فإذا امتد هذا الأجل باتفاق بين الدائن والمدين أو بمنح المحكمة المدين نظرة الميسرة</w:t>
      </w:r>
      <w:r>
        <w:rPr>
          <w:rFonts w:hint="cs"/>
          <w:color w:val="000000"/>
          <w:rtl/>
          <w:lang w:bidi="ar-EG"/>
        </w:rPr>
        <w:t xml:space="preserve"> ،</w:t>
      </w:r>
      <w:r w:rsidRPr="00315653">
        <w:rPr>
          <w:rFonts w:hint="cs"/>
          <w:color w:val="000000"/>
          <w:rtl/>
          <w:lang w:bidi="ar-EG"/>
        </w:rPr>
        <w:t xml:space="preserve"> لم يعتد بامتداد الأجل الأصلي</w:t>
      </w:r>
      <w:r>
        <w:rPr>
          <w:rFonts w:hint="cs"/>
          <w:color w:val="000000"/>
          <w:rtl/>
          <w:lang w:bidi="ar-EG"/>
        </w:rPr>
        <w:t xml:space="preserve"> .</w:t>
      </w:r>
      <w:r w:rsidRPr="00315653">
        <w:rPr>
          <w:rFonts w:hint="cs"/>
          <w:color w:val="000000"/>
          <w:rtl/>
          <w:lang w:bidi="ar-EG"/>
        </w:rPr>
        <w:t xml:space="preserve"> وكان للكفيل أن يفي الدين عن المدين عند حلول الأجل الأصلي</w:t>
      </w:r>
      <w:r>
        <w:rPr>
          <w:rFonts w:hint="cs"/>
          <w:color w:val="000000"/>
          <w:vertAlign w:val="superscript"/>
          <w:rtl/>
          <w:lang w:bidi="ar-EG"/>
        </w:rPr>
        <w:t xml:space="preserve">( </w:t>
      </w:r>
      <w:r w:rsidRPr="00315653">
        <w:rPr>
          <w:rStyle w:val="ab"/>
          <w:color w:val="000000"/>
          <w:rtl/>
          <w:lang w:bidi="ar-EG"/>
        </w:rPr>
        <w:footnoteReference w:id="36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ثم يرجع على المدين بالدعوى الشخصية حتى قبل انقضاء ما امتد إليه الأجل</w:t>
      </w:r>
      <w:r>
        <w:rPr>
          <w:rFonts w:hint="cs"/>
          <w:color w:val="000000"/>
          <w:vertAlign w:val="superscript"/>
          <w:rtl/>
          <w:lang w:bidi="ar-EG"/>
        </w:rPr>
        <w:t xml:space="preserve">( </w:t>
      </w:r>
      <w:r w:rsidRPr="00315653">
        <w:rPr>
          <w:rStyle w:val="ab"/>
          <w:color w:val="000000"/>
          <w:rtl/>
          <w:lang w:bidi="ar-EG"/>
        </w:rPr>
        <w:footnoteReference w:id="36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lastRenderedPageBreak/>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إخطار الكفيل المدين قبل الوفاء وعدم معارضة المدين</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36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أن المادة 798/1 مدني توجب "على الكفيل أن يخطر المدين قبل أن يقوم بوفاء الدين</w:t>
      </w:r>
      <w:r>
        <w:rPr>
          <w:rFonts w:hint="cs"/>
          <w:color w:val="000000"/>
          <w:rtl/>
          <w:lang w:bidi="ar-EG"/>
        </w:rPr>
        <w:t xml:space="preserve"> ،</w:t>
      </w:r>
      <w:r w:rsidRPr="00315653">
        <w:rPr>
          <w:rFonts w:hint="cs"/>
          <w:color w:val="000000"/>
          <w:rtl/>
          <w:lang w:bidi="ar-EG"/>
        </w:rPr>
        <w:t>وإلا سقط حقه في الرجوع على المدين إذا كان هذا قد وفى الدين أو كانت عنده وقت الاستحقاق أسباب تقضي ببطلان الدين أو بانقضائه"</w:t>
      </w:r>
      <w:r>
        <w:rPr>
          <w:rFonts w:hint="cs"/>
          <w:color w:val="000000"/>
          <w:rtl/>
          <w:lang w:bidi="ar-EG"/>
        </w:rPr>
        <w:t xml:space="preserve"> .</w:t>
      </w:r>
      <w:r w:rsidRPr="00315653">
        <w:rPr>
          <w:rFonts w:hint="cs"/>
          <w:color w:val="000000"/>
          <w:rtl/>
          <w:lang w:bidi="ar-EG"/>
        </w:rPr>
        <w:t xml:space="preserve"> فيجب إذن على الكفل أن يخطر المدين قبل أن يقوم بوفاء الدين</w:t>
      </w:r>
      <w:r>
        <w:rPr>
          <w:rFonts w:hint="cs"/>
          <w:color w:val="000000"/>
          <w:rtl/>
          <w:lang w:bidi="ar-EG"/>
        </w:rPr>
        <w:t xml:space="preserve"> ،</w:t>
      </w:r>
      <w:r w:rsidRPr="00315653">
        <w:rPr>
          <w:rFonts w:hint="cs"/>
          <w:color w:val="000000"/>
          <w:rtl/>
          <w:lang w:bidi="ar-EG"/>
        </w:rPr>
        <w:t xml:space="preserve"> أو كانت عنده وقت الاستحقاق أسباب تقضي ببطلان الدين أو بانقضائه"</w:t>
      </w:r>
      <w:r>
        <w:rPr>
          <w:rFonts w:hint="cs"/>
          <w:color w:val="000000"/>
          <w:rtl/>
          <w:lang w:bidi="ar-EG"/>
        </w:rPr>
        <w:t xml:space="preserve"> .</w:t>
      </w:r>
      <w:r w:rsidRPr="00315653">
        <w:rPr>
          <w:rFonts w:hint="cs"/>
          <w:color w:val="000000"/>
          <w:rtl/>
          <w:lang w:bidi="ar-EG"/>
        </w:rPr>
        <w:t xml:space="preserve"> فيجب إذن على الكفيل أن يخطر المدين قبل أن يقوم بوفاء الدين</w:t>
      </w:r>
      <w:r>
        <w:rPr>
          <w:rFonts w:hint="cs"/>
          <w:color w:val="000000"/>
          <w:rtl/>
          <w:lang w:bidi="ar-EG"/>
        </w:rPr>
        <w:t xml:space="preserve"> ،</w:t>
      </w:r>
      <w:r w:rsidRPr="00315653">
        <w:rPr>
          <w:rFonts w:hint="cs"/>
          <w:color w:val="000000"/>
          <w:rtl/>
          <w:lang w:bidi="ar-EG"/>
        </w:rPr>
        <w:t xml:space="preserve"> وذلك سواء أراد الكفيل أن يقوم بوفاء الدين من تلقاء نفسه أو طالبه الدائن بالدين مطالبة قضائية</w:t>
      </w:r>
      <w:r>
        <w:rPr>
          <w:rFonts w:hint="cs"/>
          <w:color w:val="000000"/>
          <w:rtl/>
          <w:lang w:bidi="ar-EG"/>
        </w:rPr>
        <w:t xml:space="preserve"> .</w:t>
      </w:r>
      <w:r w:rsidRPr="00315653">
        <w:rPr>
          <w:rFonts w:hint="cs"/>
          <w:color w:val="000000"/>
          <w:rtl/>
          <w:lang w:bidi="ar-EG"/>
        </w:rPr>
        <w:t xml:space="preserve"> ففي الحالتين يجب إخطار المدين قبل الوفاء</w:t>
      </w:r>
      <w:r>
        <w:rPr>
          <w:rFonts w:hint="cs"/>
          <w:color w:val="000000"/>
          <w:rtl/>
          <w:lang w:bidi="ar-EG"/>
        </w:rPr>
        <w:t xml:space="preserve"> ،</w:t>
      </w:r>
      <w:r w:rsidRPr="00315653">
        <w:rPr>
          <w:rFonts w:hint="cs"/>
          <w:color w:val="000000"/>
          <w:rtl/>
          <w:lang w:bidi="ar-EG"/>
        </w:rPr>
        <w:t xml:space="preserve"> وذلك خشية أن يكون المدين قد وفى الدين قبل أن يوفيه الكفيل فينقضي ويكون وفاء الكفيل للدين بعد ذلك غير ذي فائدة</w:t>
      </w:r>
      <w:r>
        <w:rPr>
          <w:rFonts w:hint="cs"/>
          <w:color w:val="000000"/>
          <w:rtl/>
          <w:lang w:bidi="ar-EG"/>
        </w:rPr>
        <w:t xml:space="preserve"> ،</w:t>
      </w:r>
      <w:r w:rsidRPr="00315653">
        <w:rPr>
          <w:rFonts w:hint="cs"/>
          <w:color w:val="000000"/>
          <w:rtl/>
          <w:lang w:bidi="ar-EG"/>
        </w:rPr>
        <w:t xml:space="preserve"> أو خشية أن الكفيل بعد أن يفي بالدين دون إخطار المدين بذلك يأتي المدين دون علم منه بوفاء الكفيل يفي بالدين مرة أخرى</w:t>
      </w:r>
      <w:r>
        <w:rPr>
          <w:rFonts w:hint="cs"/>
          <w:color w:val="000000"/>
          <w:rtl/>
          <w:lang w:bidi="ar-EG"/>
        </w:rPr>
        <w:t xml:space="preserve"> ،</w:t>
      </w:r>
      <w:r w:rsidRPr="00315653">
        <w:rPr>
          <w:rFonts w:hint="cs"/>
          <w:color w:val="000000"/>
          <w:rtl/>
          <w:lang w:bidi="ar-EG"/>
        </w:rPr>
        <w:t xml:space="preserve"> أو خشية أن يكون للمدين وقت $170 استحقاق الدين أسباب تبطل الدين أو نقضيه من غير الوفاء به</w:t>
      </w:r>
      <w:r>
        <w:rPr>
          <w:rFonts w:hint="cs"/>
          <w:color w:val="000000"/>
          <w:rtl/>
          <w:lang w:bidi="ar-EG"/>
        </w:rPr>
        <w:t xml:space="preserve"> .</w:t>
      </w:r>
      <w:r w:rsidRPr="00315653">
        <w:rPr>
          <w:rFonts w:hint="cs"/>
          <w:color w:val="000000"/>
          <w:rtl/>
          <w:lang w:bidi="ar-EG"/>
        </w:rPr>
        <w:t xml:space="preserve"> وإخطار الكفيل المدين قبل الوفاء بالدين ليس له شكل خاص</w:t>
      </w:r>
      <w:r>
        <w:rPr>
          <w:rFonts w:hint="cs"/>
          <w:color w:val="000000"/>
          <w:rtl/>
          <w:lang w:bidi="ar-EG"/>
        </w:rPr>
        <w:t xml:space="preserve"> ،</w:t>
      </w:r>
      <w:r w:rsidRPr="00315653">
        <w:rPr>
          <w:rFonts w:hint="cs"/>
          <w:color w:val="000000"/>
          <w:rtl/>
          <w:lang w:bidi="ar-EG"/>
        </w:rPr>
        <w:t xml:space="preserve"> فيصح أن يكون رسمياً على يد محضر</w:t>
      </w:r>
      <w:r>
        <w:rPr>
          <w:rFonts w:hint="cs"/>
          <w:color w:val="000000"/>
          <w:rtl/>
          <w:lang w:bidi="ar-EG"/>
        </w:rPr>
        <w:t xml:space="preserve"> ،</w:t>
      </w:r>
      <w:r w:rsidRPr="00315653">
        <w:rPr>
          <w:rFonts w:hint="cs"/>
          <w:color w:val="000000"/>
          <w:rtl/>
          <w:lang w:bidi="ar-EG"/>
        </w:rPr>
        <w:t xml:space="preserve"> ويصبح أن يكون بكتاب مسجل أو غير مسجل</w:t>
      </w:r>
      <w:r>
        <w:rPr>
          <w:rFonts w:hint="cs"/>
          <w:color w:val="000000"/>
          <w:rtl/>
          <w:lang w:bidi="ar-EG"/>
        </w:rPr>
        <w:t xml:space="preserve"> ،</w:t>
      </w:r>
      <w:r w:rsidRPr="00315653">
        <w:rPr>
          <w:rFonts w:hint="cs"/>
          <w:color w:val="000000"/>
          <w:rtl/>
          <w:lang w:bidi="ar-EG"/>
        </w:rPr>
        <w:t xml:space="preserve"> ويصح أن يكون شفوياً على أن يثبت الكفيل أنه قد قام بهذا الإخطار</w:t>
      </w:r>
      <w:r>
        <w:rPr>
          <w:rFonts w:hint="cs"/>
          <w:color w:val="000000"/>
          <w:vertAlign w:val="superscript"/>
          <w:rtl/>
          <w:lang w:bidi="ar-EG"/>
        </w:rPr>
        <w:t xml:space="preserve">( </w:t>
      </w:r>
      <w:r w:rsidRPr="00315653">
        <w:rPr>
          <w:rStyle w:val="ab"/>
          <w:color w:val="000000"/>
          <w:rtl/>
          <w:lang w:bidi="ar-EG"/>
        </w:rPr>
        <w:footnoteReference w:id="36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لم يخطر الكفيل المدين قبل الوفاء وقام بوفاء الدين دون إخطار</w:t>
      </w:r>
      <w:r>
        <w:rPr>
          <w:rFonts w:hint="cs"/>
          <w:color w:val="000000"/>
          <w:rtl/>
          <w:lang w:bidi="ar-EG"/>
        </w:rPr>
        <w:t xml:space="preserve"> ،</w:t>
      </w:r>
      <w:r w:rsidRPr="00315653">
        <w:rPr>
          <w:rFonts w:hint="cs"/>
          <w:color w:val="000000"/>
          <w:rtl/>
          <w:lang w:bidi="ar-EG"/>
        </w:rPr>
        <w:t xml:space="preserve"> فعل ذلك على مسئوليته</w:t>
      </w:r>
      <w:r>
        <w:rPr>
          <w:rFonts w:hint="cs"/>
          <w:color w:val="000000"/>
          <w:rtl/>
          <w:lang w:bidi="ar-EG"/>
        </w:rPr>
        <w:t xml:space="preserve"> .</w:t>
      </w:r>
      <w:r w:rsidRPr="00315653">
        <w:rPr>
          <w:rFonts w:hint="cs"/>
          <w:color w:val="000000"/>
          <w:rtl/>
          <w:lang w:bidi="ar-EG"/>
        </w:rPr>
        <w:t xml:space="preserve"> ومعنى هذا أن الكفيل لا يفقد حقه في الرجوع على المدين بالدعوى الشخصية</w:t>
      </w:r>
      <w:r>
        <w:rPr>
          <w:rFonts w:hint="cs"/>
          <w:color w:val="000000"/>
          <w:rtl/>
          <w:lang w:bidi="ar-EG"/>
        </w:rPr>
        <w:t xml:space="preserve"> ،</w:t>
      </w:r>
      <w:r w:rsidRPr="00315653">
        <w:rPr>
          <w:rFonts w:hint="cs"/>
          <w:color w:val="000000"/>
          <w:rtl/>
          <w:lang w:bidi="ar-EG"/>
        </w:rPr>
        <w:t xml:space="preserve"> إلا إذا أثبت المدين أنه كان قد وفى الدين قبل وفاء الكفيل به</w:t>
      </w:r>
      <w:r>
        <w:rPr>
          <w:rFonts w:hint="cs"/>
          <w:color w:val="000000"/>
          <w:rtl/>
          <w:lang w:bidi="ar-EG"/>
        </w:rPr>
        <w:t xml:space="preserve"> ،</w:t>
      </w:r>
      <w:r w:rsidRPr="00315653">
        <w:rPr>
          <w:rFonts w:hint="cs"/>
          <w:color w:val="000000"/>
          <w:rtl/>
          <w:lang w:bidi="ar-EG"/>
        </w:rPr>
        <w:t xml:space="preserve"> أو أثبت أنه وفى الدين بعد وفاء الكفيل</w:t>
      </w:r>
      <w:r>
        <w:rPr>
          <w:rFonts w:hint="cs"/>
          <w:color w:val="000000"/>
          <w:vertAlign w:val="superscript"/>
          <w:rtl/>
          <w:lang w:bidi="ar-EG"/>
        </w:rPr>
        <w:t xml:space="preserve">( </w:t>
      </w:r>
      <w:r w:rsidRPr="00315653">
        <w:rPr>
          <w:rStyle w:val="ab"/>
          <w:color w:val="000000"/>
          <w:rtl/>
          <w:lang w:bidi="ar-EG"/>
        </w:rPr>
        <w:footnoteReference w:id="36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أثبت أن الدين كان باطلا أو قابلا للإبطال وكان المدين يستطيع أن يتمسك بذلك ضد الدائن</w:t>
      </w:r>
      <w:r>
        <w:rPr>
          <w:rFonts w:hint="cs"/>
          <w:color w:val="000000"/>
          <w:rtl/>
          <w:lang w:bidi="ar-EG"/>
        </w:rPr>
        <w:t xml:space="preserve"> ،</w:t>
      </w:r>
      <w:r w:rsidRPr="00315653">
        <w:rPr>
          <w:rFonts w:hint="cs"/>
          <w:color w:val="000000"/>
          <w:rtl/>
          <w:lang w:bidi="ar-EG"/>
        </w:rPr>
        <w:t xml:space="preserve"> أو أثبت أن الدين قد انقضى بسبب يرجع إليه هو </w:t>
      </w:r>
      <w:r>
        <w:rPr>
          <w:rFonts w:hint="cs"/>
          <w:color w:val="000000"/>
          <w:rtl/>
          <w:lang w:bidi="ar-EG"/>
        </w:rPr>
        <w:t xml:space="preserve">( </w:t>
      </w:r>
      <w:r w:rsidRPr="00315653">
        <w:rPr>
          <w:rFonts w:hint="cs"/>
          <w:color w:val="000000"/>
          <w:rtl/>
          <w:lang w:bidi="ar-EG"/>
        </w:rPr>
        <w:t>أي للمدين</w:t>
      </w:r>
      <w:r>
        <w:rPr>
          <w:rFonts w:hint="cs"/>
          <w:color w:val="000000"/>
          <w:rtl/>
          <w:lang w:bidi="ar-EG"/>
        </w:rPr>
        <w:t xml:space="preserve"> )</w:t>
      </w:r>
      <w:r w:rsidRPr="00315653">
        <w:rPr>
          <w:rFonts w:hint="cs"/>
          <w:color w:val="000000"/>
          <w:rtl/>
          <w:lang w:bidi="ar-EG"/>
        </w:rPr>
        <w:t xml:space="preserve"> كمقاصة أو تجديد أو اتحاد ذمة أو إبراء أو تقادم</w:t>
      </w:r>
      <w:r>
        <w:rPr>
          <w:rFonts w:hint="cs"/>
          <w:color w:val="000000"/>
          <w:vertAlign w:val="superscript"/>
          <w:rtl/>
          <w:lang w:bidi="ar-EG"/>
        </w:rPr>
        <w:t xml:space="preserve">( </w:t>
      </w:r>
      <w:r w:rsidRPr="00315653">
        <w:rPr>
          <w:rStyle w:val="ab"/>
          <w:color w:val="000000"/>
          <w:rtl/>
          <w:lang w:bidi="ar-EG"/>
        </w:rPr>
        <w:footnoteReference w:id="37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كان سبب البطلان أو الانقضاء مقصوراً على التزام الكفيل كأن كانت هناك أسباب تجعل التزام الكفيل باطلا أو قابلا للإبطال أو منقضياً دون أن ينقضي الالتزام الأصلي</w:t>
      </w:r>
      <w:r>
        <w:rPr>
          <w:rFonts w:hint="cs"/>
          <w:color w:val="000000"/>
          <w:rtl/>
          <w:lang w:bidi="ar-EG"/>
        </w:rPr>
        <w:t xml:space="preserve"> ،</w:t>
      </w:r>
      <w:r w:rsidRPr="00315653">
        <w:rPr>
          <w:rFonts w:hint="cs"/>
          <w:color w:val="000000"/>
          <w:rtl/>
          <w:lang w:bidi="ar-EG"/>
        </w:rPr>
        <w:t xml:space="preserve"> ولم يتمسك الكفيل بهذه الأسباب ووفى الدين</w:t>
      </w:r>
      <w:r>
        <w:rPr>
          <w:rFonts w:hint="cs"/>
          <w:color w:val="000000"/>
          <w:rtl/>
          <w:lang w:bidi="ar-EG"/>
        </w:rPr>
        <w:t xml:space="preserve"> ،</w:t>
      </w:r>
      <w:r w:rsidRPr="00315653">
        <w:rPr>
          <w:rFonts w:hint="cs"/>
          <w:color w:val="000000"/>
          <w:rtl/>
          <w:lang w:bidi="ar-EG"/>
        </w:rPr>
        <w:t xml:space="preserve"> فإن المدين لا شأن له بذلك</w:t>
      </w:r>
      <w:r>
        <w:rPr>
          <w:rFonts w:hint="cs"/>
          <w:color w:val="000000"/>
          <w:rtl/>
          <w:lang w:bidi="ar-EG"/>
        </w:rPr>
        <w:t xml:space="preserve"> ،</w:t>
      </w:r>
      <w:r w:rsidRPr="00315653">
        <w:rPr>
          <w:rFonts w:hint="cs"/>
          <w:color w:val="000000"/>
          <w:rtl/>
          <w:lang w:bidi="ar-EG"/>
        </w:rPr>
        <w:t xml:space="preserve"> ويبقى للكفيل بعد وفاء الدين الرجوع بالدعوى الشخصية $171 على المدين</w:t>
      </w:r>
      <w:r>
        <w:rPr>
          <w:rFonts w:hint="cs"/>
          <w:color w:val="000000"/>
          <w:vertAlign w:val="superscript"/>
          <w:rtl/>
          <w:lang w:bidi="ar-EG"/>
        </w:rPr>
        <w:t xml:space="preserve">( </w:t>
      </w:r>
      <w:r w:rsidRPr="00315653">
        <w:rPr>
          <w:rStyle w:val="ab"/>
          <w:color w:val="000000"/>
          <w:rtl/>
          <w:lang w:bidi="ar-EG"/>
        </w:rPr>
        <w:footnoteReference w:id="37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يفي الكفيل </w:t>
      </w:r>
      <w:r w:rsidRPr="00315653">
        <w:rPr>
          <w:rFonts w:hint="cs"/>
          <w:color w:val="000000"/>
          <w:rtl/>
          <w:lang w:bidi="ar-EG"/>
        </w:rPr>
        <w:lastRenderedPageBreak/>
        <w:t>الدين دون إخطار المدين قبل الوفاء</w:t>
      </w:r>
      <w:r>
        <w:rPr>
          <w:rFonts w:hint="cs"/>
          <w:color w:val="000000"/>
          <w:rtl/>
          <w:lang w:bidi="ar-EG"/>
        </w:rPr>
        <w:t xml:space="preserve"> ،</w:t>
      </w:r>
      <w:r w:rsidRPr="00315653">
        <w:rPr>
          <w:rFonts w:hint="cs"/>
          <w:color w:val="000000"/>
          <w:rtl/>
          <w:lang w:bidi="ar-EG"/>
        </w:rPr>
        <w:t xml:space="preserve"> فلا يستطيع المدين أن يثبت أنه قد وفى الدين قبل أو بعد وفاء الكفيل</w:t>
      </w:r>
      <w:r>
        <w:rPr>
          <w:rFonts w:hint="cs"/>
          <w:color w:val="000000"/>
          <w:rtl/>
          <w:lang w:bidi="ar-EG"/>
        </w:rPr>
        <w:t xml:space="preserve"> ،</w:t>
      </w:r>
      <w:r w:rsidRPr="00315653">
        <w:rPr>
          <w:rFonts w:hint="cs"/>
          <w:color w:val="000000"/>
          <w:rtl/>
          <w:lang w:bidi="ar-EG"/>
        </w:rPr>
        <w:t xml:space="preserve"> ولا يستطيع كذلك ا يثبت أن عنده أسباباً تقضي ببطلان الدين أو بانقضائه</w:t>
      </w:r>
      <w:r>
        <w:rPr>
          <w:rFonts w:hint="cs"/>
          <w:color w:val="000000"/>
          <w:rtl/>
          <w:lang w:bidi="ar-EG"/>
        </w:rPr>
        <w:t xml:space="preserve"> ،</w:t>
      </w:r>
      <w:r w:rsidRPr="00315653">
        <w:rPr>
          <w:rFonts w:hint="cs"/>
          <w:color w:val="000000"/>
          <w:rtl/>
          <w:lang w:bidi="ar-EG"/>
        </w:rPr>
        <w:t xml:space="preserve"> ولا أن يثبت أنه قد وفى ببعض الدين أو أن الدين في جزء منه باطل أو قابل للإبطال أو منقض</w:t>
      </w:r>
      <w:r>
        <w:rPr>
          <w:rFonts w:hint="cs"/>
          <w:color w:val="000000"/>
          <w:rtl/>
          <w:lang w:bidi="ar-EG"/>
        </w:rPr>
        <w:t xml:space="preserve"> ،</w:t>
      </w:r>
      <w:r w:rsidRPr="00315653">
        <w:rPr>
          <w:rFonts w:hint="cs"/>
          <w:color w:val="000000"/>
          <w:rtl/>
          <w:lang w:bidi="ar-EG"/>
        </w:rPr>
        <w:t xml:space="preserve"> فعند ذلك يستطيع الكفيل أن يرجع على المدين بالرغم من عدم إخطاره بالوفاء وبالقدر الذي استفاد به المدين من هذا الوفاء</w:t>
      </w:r>
      <w:r>
        <w:rPr>
          <w:rFonts w:hint="cs"/>
          <w:color w:val="000000"/>
          <w:rtl/>
          <w:lang w:bidi="ar-EG"/>
        </w:rPr>
        <w:t xml:space="preserve"> .</w:t>
      </w:r>
      <w:r w:rsidRPr="00315653">
        <w:rPr>
          <w:rFonts w:hint="cs"/>
          <w:color w:val="000000"/>
          <w:rtl/>
          <w:lang w:bidi="ar-EG"/>
        </w:rPr>
        <w:t xml:space="preserve"> فقد لا يرجع عليه أصلا</w:t>
      </w:r>
      <w:r>
        <w:rPr>
          <w:rFonts w:hint="cs"/>
          <w:color w:val="000000"/>
          <w:rtl/>
          <w:lang w:bidi="ar-EG"/>
        </w:rPr>
        <w:t xml:space="preserve"> ،</w:t>
      </w:r>
      <w:r w:rsidRPr="00315653">
        <w:rPr>
          <w:rFonts w:hint="cs"/>
          <w:color w:val="000000"/>
          <w:rtl/>
          <w:lang w:bidi="ar-EG"/>
        </w:rPr>
        <w:t xml:space="preserve"> أو يرجع عليه بجزء من الدين وهو الجزء الذي كان الوفاء به مفيداً للمدين</w:t>
      </w:r>
      <w:r>
        <w:rPr>
          <w:rFonts w:hint="cs"/>
          <w:color w:val="000000"/>
          <w:vertAlign w:val="superscript"/>
          <w:rtl/>
          <w:lang w:bidi="ar-EG"/>
        </w:rPr>
        <w:t xml:space="preserve">( </w:t>
      </w:r>
      <w:r w:rsidRPr="00315653">
        <w:rPr>
          <w:rStyle w:val="ab"/>
          <w:color w:val="000000"/>
          <w:rtl/>
          <w:lang w:bidi="ar-EG"/>
        </w:rPr>
        <w:footnoteReference w:id="37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ونرى من ذلك أن جزء عدم الإخطار يس هو انعدام رجوع الكفيل على المدين بالدعوى الشخصية</w:t>
      </w:r>
      <w:r>
        <w:rPr>
          <w:rFonts w:hint="cs"/>
          <w:color w:val="000000"/>
          <w:rtl/>
          <w:lang w:bidi="ar-EG"/>
        </w:rPr>
        <w:t xml:space="preserve"> ،</w:t>
      </w:r>
      <w:r w:rsidRPr="00315653">
        <w:rPr>
          <w:rFonts w:hint="cs"/>
          <w:color w:val="000000"/>
          <w:rtl/>
          <w:lang w:bidi="ar-EG"/>
        </w:rPr>
        <w:t xml:space="preserve"> فقد لا ينعدم هذا الرجوع</w:t>
      </w:r>
      <w:r>
        <w:rPr>
          <w:rFonts w:hint="cs"/>
          <w:color w:val="000000"/>
          <w:rtl/>
          <w:lang w:bidi="ar-EG"/>
        </w:rPr>
        <w:t xml:space="preserve"> .</w:t>
      </w:r>
      <w:r w:rsidRPr="00315653">
        <w:rPr>
          <w:rFonts w:hint="cs"/>
          <w:color w:val="000000"/>
          <w:rtl/>
          <w:lang w:bidi="ar-EG"/>
        </w:rPr>
        <w:t xml:space="preserve"> وإنما يكون الكفيل</w:t>
      </w:r>
      <w:r>
        <w:rPr>
          <w:rFonts w:hint="cs"/>
          <w:color w:val="000000"/>
          <w:rtl/>
          <w:lang w:bidi="ar-EG"/>
        </w:rPr>
        <w:t xml:space="preserve"> ،</w:t>
      </w:r>
      <w:r w:rsidRPr="00315653">
        <w:rPr>
          <w:rFonts w:hint="cs"/>
          <w:color w:val="000000"/>
          <w:rtl/>
          <w:lang w:bidi="ar-EG"/>
        </w:rPr>
        <w:t xml:space="preserve"> إذا لم يخطر المدين</w:t>
      </w:r>
      <w:r>
        <w:rPr>
          <w:rFonts w:hint="cs"/>
          <w:color w:val="000000"/>
          <w:rtl/>
          <w:lang w:bidi="ar-EG"/>
        </w:rPr>
        <w:t xml:space="preserve"> ،</w:t>
      </w:r>
      <w:r w:rsidRPr="00315653">
        <w:rPr>
          <w:rFonts w:hint="cs"/>
          <w:color w:val="000000"/>
          <w:rtl/>
          <w:lang w:bidi="ar-EG"/>
        </w:rPr>
        <w:t xml:space="preserve"> مجازفاً بوفاء الدين</w:t>
      </w:r>
      <w:r>
        <w:rPr>
          <w:rFonts w:hint="cs"/>
          <w:color w:val="000000"/>
          <w:rtl/>
          <w:lang w:bidi="ar-EG"/>
        </w:rPr>
        <w:t xml:space="preserve"> ،</w:t>
      </w:r>
      <w:r w:rsidRPr="00315653">
        <w:rPr>
          <w:rFonts w:hint="cs"/>
          <w:color w:val="000000"/>
          <w:rtl/>
          <w:lang w:bidi="ar-EG"/>
        </w:rPr>
        <w:t xml:space="preserve"> بحيث إذا اثبت المدين أن هذا الوفاء لم يفده أصلا لم يرجع عليه الكفيل بقدر ما أفاد</w:t>
      </w:r>
      <w:r>
        <w:rPr>
          <w:rFonts w:hint="cs"/>
          <w:color w:val="000000"/>
          <w:rtl/>
          <w:lang w:bidi="ar-EG"/>
        </w:rPr>
        <w:t xml:space="preserve"> .</w:t>
      </w:r>
      <w:r w:rsidRPr="00315653">
        <w:rPr>
          <w:rFonts w:hint="cs"/>
          <w:color w:val="000000"/>
          <w:rtl/>
          <w:lang w:bidi="ar-EG"/>
        </w:rPr>
        <w:t xml:space="preserve"> فإذا كان وفاء الكفيل للدين دون إخطار المدين قد أفاد المدين فائدة كاملة</w:t>
      </w:r>
      <w:r>
        <w:rPr>
          <w:rFonts w:hint="cs"/>
          <w:color w:val="000000"/>
          <w:rtl/>
          <w:lang w:bidi="ar-EG"/>
        </w:rPr>
        <w:t xml:space="preserve"> ،</w:t>
      </w:r>
      <w:r w:rsidRPr="00315653">
        <w:rPr>
          <w:rFonts w:hint="cs"/>
          <w:color w:val="000000"/>
          <w:rtl/>
          <w:lang w:bidi="ar-EG"/>
        </w:rPr>
        <w:t xml:space="preserve"> كان للكفيل أن يرجع على المدين بالدعوى الشخصية كما كان يفعل لو أنه اخطر المدين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أما إذا أخطر الكفيل المدين قبل الوفاء</w:t>
      </w:r>
      <w:r>
        <w:rPr>
          <w:rFonts w:hint="cs"/>
          <w:color w:val="000000"/>
          <w:rtl/>
          <w:lang w:bidi="ar-EG"/>
        </w:rPr>
        <w:t xml:space="preserve"> ،</w:t>
      </w:r>
      <w:r w:rsidRPr="00315653">
        <w:rPr>
          <w:rFonts w:hint="cs"/>
          <w:color w:val="000000"/>
          <w:rtl/>
          <w:lang w:bidi="ar-EG"/>
        </w:rPr>
        <w:t xml:space="preserve"> فإنه يتعين على المدين إذا كان $172 قد وفى الدين أو كانت لديه أسباب تقضي ببطلانه أو بانقضائه أن يعارض في الوقت المناسب في أن يفي الكفيل بالدين</w:t>
      </w:r>
      <w:r>
        <w:rPr>
          <w:rFonts w:hint="cs"/>
          <w:color w:val="000000"/>
          <w:rtl/>
          <w:lang w:bidi="ar-EG"/>
        </w:rPr>
        <w:t xml:space="preserve"> .</w:t>
      </w:r>
      <w:r w:rsidRPr="00315653">
        <w:rPr>
          <w:rFonts w:hint="cs"/>
          <w:color w:val="000000"/>
          <w:rtl/>
          <w:lang w:bidi="ar-EG"/>
        </w:rPr>
        <w:t xml:space="preserve"> ولا يوجد شكل خاص لهذه المعارضة كما لا يوجد شكل خاص لإخطار الكفيل المدين قبل الوفاء</w:t>
      </w:r>
      <w:r>
        <w:rPr>
          <w:rFonts w:hint="cs"/>
          <w:color w:val="000000"/>
          <w:rtl/>
          <w:lang w:bidi="ar-EG"/>
        </w:rPr>
        <w:t xml:space="preserve"> ،</w:t>
      </w:r>
      <w:r w:rsidRPr="00315653">
        <w:rPr>
          <w:rFonts w:hint="cs"/>
          <w:color w:val="000000"/>
          <w:rtl/>
          <w:lang w:bidi="ar-EG"/>
        </w:rPr>
        <w:t xml:space="preserve"> فتصح أن تكون هذه المعارضة بورقة رسمية على يد محضر</w:t>
      </w:r>
      <w:r>
        <w:rPr>
          <w:rFonts w:hint="cs"/>
          <w:color w:val="000000"/>
          <w:rtl/>
          <w:lang w:bidi="ar-EG"/>
        </w:rPr>
        <w:t xml:space="preserve"> ،</w:t>
      </w:r>
      <w:r w:rsidRPr="00315653">
        <w:rPr>
          <w:rFonts w:hint="cs"/>
          <w:color w:val="000000"/>
          <w:rtl/>
          <w:lang w:bidi="ar-EG"/>
        </w:rPr>
        <w:t xml:space="preserve"> ويصح أن تكون بكتاب مسجل أو غير مسجل</w:t>
      </w:r>
      <w:r>
        <w:rPr>
          <w:rFonts w:hint="cs"/>
          <w:color w:val="000000"/>
          <w:rtl/>
          <w:lang w:bidi="ar-EG"/>
        </w:rPr>
        <w:t xml:space="preserve"> ،</w:t>
      </w:r>
      <w:r w:rsidRPr="00315653">
        <w:rPr>
          <w:rFonts w:hint="cs"/>
          <w:color w:val="000000"/>
          <w:rtl/>
          <w:lang w:bidi="ar-EG"/>
        </w:rPr>
        <w:t xml:space="preserve"> ويصح أن تكون شفوية على أن يقع عبء الإثبات على المدين</w:t>
      </w:r>
      <w:r>
        <w:rPr>
          <w:rFonts w:hint="cs"/>
          <w:color w:val="000000"/>
          <w:rtl/>
          <w:lang w:bidi="ar-EG"/>
        </w:rPr>
        <w:t xml:space="preserve"> .</w:t>
      </w:r>
      <w:r w:rsidRPr="00315653">
        <w:rPr>
          <w:rFonts w:hint="cs"/>
          <w:color w:val="000000"/>
          <w:rtl/>
          <w:lang w:bidi="ar-EG"/>
        </w:rPr>
        <w:t xml:space="preserve"> فإذا تمت المعارضة وجب على الكفيل أن يمتنع عن الوفاء</w:t>
      </w:r>
      <w:r>
        <w:rPr>
          <w:rFonts w:hint="cs"/>
          <w:color w:val="000000"/>
          <w:rtl/>
          <w:lang w:bidi="ar-EG"/>
        </w:rPr>
        <w:t xml:space="preserve"> ،</w:t>
      </w:r>
      <w:r w:rsidRPr="00315653">
        <w:rPr>
          <w:rFonts w:hint="cs"/>
          <w:color w:val="000000"/>
          <w:rtl/>
          <w:lang w:bidi="ar-EG"/>
        </w:rPr>
        <w:t xml:space="preserve"> وأن يدخل المدين في الدعوى إذا طالبه الدائن قضائياً حتى يتولى للمدين دفع مطالبة الدائن</w:t>
      </w:r>
      <w:r>
        <w:rPr>
          <w:rFonts w:hint="cs"/>
          <w:color w:val="000000"/>
          <w:vertAlign w:val="superscript"/>
          <w:rtl/>
          <w:lang w:bidi="ar-EG"/>
        </w:rPr>
        <w:t xml:space="preserve">( </w:t>
      </w:r>
      <w:r w:rsidRPr="00315653">
        <w:rPr>
          <w:rStyle w:val="ab"/>
          <w:color w:val="000000"/>
          <w:rtl/>
          <w:lang w:bidi="ar-EG"/>
        </w:rPr>
        <w:footnoteReference w:id="37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لم يعارض المدين في الوفاء</w:t>
      </w:r>
      <w:r>
        <w:rPr>
          <w:rFonts w:hint="cs"/>
          <w:color w:val="000000"/>
          <w:rtl/>
          <w:lang w:bidi="ar-EG"/>
        </w:rPr>
        <w:t xml:space="preserve"> ،</w:t>
      </w:r>
      <w:r w:rsidRPr="00315653">
        <w:rPr>
          <w:rFonts w:hint="cs"/>
          <w:color w:val="000000"/>
          <w:rtl/>
          <w:lang w:bidi="ar-EG"/>
        </w:rPr>
        <w:t xml:space="preserve"> فإن الكفيل يكون في حل من وفاء الدين للدائن</w:t>
      </w:r>
      <w:r>
        <w:rPr>
          <w:rFonts w:hint="cs"/>
          <w:color w:val="000000"/>
          <w:rtl/>
          <w:lang w:bidi="ar-EG"/>
        </w:rPr>
        <w:t xml:space="preserve"> ،</w:t>
      </w:r>
      <w:r w:rsidRPr="00315653">
        <w:rPr>
          <w:rFonts w:hint="cs"/>
          <w:color w:val="000000"/>
          <w:rtl/>
          <w:lang w:bidi="ar-EG"/>
        </w:rPr>
        <w:t xml:space="preserve"> إذ أن عدم معارضة المدين في الوفاء يجعل الكفيل يعتقد أن المدين ل يف بالدين وأنه ليس لديه أسباب تقضي ببطلان الدين أو بانقضائه</w:t>
      </w:r>
      <w:r>
        <w:rPr>
          <w:rFonts w:hint="cs"/>
          <w:color w:val="000000"/>
          <w:rtl/>
          <w:lang w:bidi="ar-EG"/>
        </w:rPr>
        <w:t xml:space="preserve"> .</w:t>
      </w:r>
      <w:r w:rsidRPr="00315653">
        <w:rPr>
          <w:rFonts w:hint="cs"/>
          <w:color w:val="000000"/>
          <w:rtl/>
          <w:lang w:bidi="ar-EG"/>
        </w:rPr>
        <w:t xml:space="preserve"> فإذا وفى الكفيل الدين كان له أن يرجع بالدعوى الشخصية على المدين</w:t>
      </w:r>
      <w:r>
        <w:rPr>
          <w:rFonts w:hint="cs"/>
          <w:color w:val="000000"/>
          <w:rtl/>
          <w:lang w:bidi="ar-EG"/>
        </w:rPr>
        <w:t xml:space="preserve"> ،</w:t>
      </w:r>
      <w:r w:rsidRPr="00315653">
        <w:rPr>
          <w:rFonts w:hint="cs"/>
          <w:color w:val="000000"/>
          <w:rtl/>
          <w:lang w:bidi="ar-EG"/>
        </w:rPr>
        <w:t xml:space="preserve"> حتى لو ظهر بعد ذلك أن المدين قد وفى الدين أو كان لديه أسباب تقضي ببطلانه أو بانقضائه</w:t>
      </w:r>
      <w:r>
        <w:rPr>
          <w:rFonts w:hint="cs"/>
          <w:color w:val="000000"/>
          <w:rtl/>
          <w:lang w:bidi="ar-EG"/>
        </w:rPr>
        <w:t xml:space="preserve"> .</w:t>
      </w:r>
      <w:r w:rsidRPr="00315653">
        <w:rPr>
          <w:rFonts w:hint="cs"/>
          <w:color w:val="000000"/>
          <w:rtl/>
          <w:lang w:bidi="ar-EG"/>
        </w:rPr>
        <w:t xml:space="preserve"> وقد نصت المادة 898/2 مدني على هذا الحكم</w:t>
      </w:r>
      <w:r>
        <w:rPr>
          <w:rFonts w:hint="cs"/>
          <w:color w:val="000000"/>
          <w:rtl/>
          <w:lang w:bidi="ar-EG"/>
        </w:rPr>
        <w:t xml:space="preserve"> ،</w:t>
      </w:r>
      <w:r w:rsidRPr="00315653">
        <w:rPr>
          <w:rFonts w:hint="cs"/>
          <w:color w:val="000000"/>
          <w:rtl/>
          <w:lang w:bidi="ar-EG"/>
        </w:rPr>
        <w:t xml:space="preserve"> إذ تقول</w:t>
      </w:r>
      <w:r>
        <w:rPr>
          <w:rFonts w:hint="cs"/>
          <w:color w:val="000000"/>
          <w:rtl/>
          <w:lang w:bidi="ar-EG"/>
        </w:rPr>
        <w:t xml:space="preserve"> :</w:t>
      </w:r>
      <w:r w:rsidRPr="00315653">
        <w:rPr>
          <w:rFonts w:hint="cs"/>
          <w:color w:val="000000"/>
          <w:rtl/>
          <w:lang w:bidi="ar-EG"/>
        </w:rPr>
        <w:t xml:space="preserve"> "فإذا لم يعارض المدين في الوفاء</w:t>
      </w:r>
      <w:r>
        <w:rPr>
          <w:rFonts w:hint="cs"/>
          <w:color w:val="000000"/>
          <w:rtl/>
          <w:lang w:bidi="ar-EG"/>
        </w:rPr>
        <w:t xml:space="preserve"> ،</w:t>
      </w:r>
      <w:r w:rsidRPr="00315653">
        <w:rPr>
          <w:rFonts w:hint="cs"/>
          <w:color w:val="000000"/>
          <w:rtl/>
          <w:lang w:bidi="ar-EG"/>
        </w:rPr>
        <w:t xml:space="preserve"> بقي للكفيل حقه في الرجوع عليه ولو كان المدين قد دفع الدين أو كانت لديه أسباب تقضي ببطلانه أو بانقضائه"</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63- ما الذي يرجع به الكفيل على المدين في الدعوى الشخصية إذا وفى الكفيل الدين كاملا</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374"/>
      </w:r>
      <w:r>
        <w:rPr>
          <w:rFonts w:hint="cs"/>
          <w:color w:val="000000"/>
          <w:vertAlign w:val="superscript"/>
          <w:rtl/>
          <w:lang w:bidi="ar-EG"/>
        </w:rPr>
        <w:t xml:space="preserve"> )</w:t>
      </w:r>
      <w:r w:rsidRPr="00315653">
        <w:rPr>
          <w:rFonts w:hint="cs"/>
          <w:color w:val="000000"/>
          <w:rtl/>
          <w:lang w:bidi="ar-EG"/>
        </w:rPr>
        <w:t xml:space="preserve"> أن المادة 800/2 مدني تنص على $173 أن الكفيل الذي وفي الدين "يرجع بأصل الدين وبالفوائد والمصروفات</w:t>
      </w:r>
      <w:r>
        <w:rPr>
          <w:rFonts w:hint="cs"/>
          <w:color w:val="000000"/>
          <w:rtl/>
          <w:lang w:bidi="ar-EG"/>
        </w:rPr>
        <w:t xml:space="preserve"> ،</w:t>
      </w:r>
      <w:r w:rsidRPr="00315653">
        <w:rPr>
          <w:rFonts w:hint="cs"/>
          <w:color w:val="000000"/>
          <w:rtl/>
          <w:lang w:bidi="ar-EG"/>
        </w:rPr>
        <w:t xml:space="preserve"> على أنه في المصروفات لا يرجع إلا بالذي دفعه من وقت إخباره المدين الأصلي بالإجراءات التي اتخذت ضده"</w:t>
      </w:r>
      <w:r>
        <w:rPr>
          <w:rFonts w:hint="cs"/>
          <w:color w:val="000000"/>
          <w:rtl/>
          <w:lang w:bidi="ar-EG"/>
        </w:rPr>
        <w:t xml:space="preserve"> .</w:t>
      </w:r>
      <w:r w:rsidRPr="00315653">
        <w:rPr>
          <w:rFonts w:hint="cs"/>
          <w:color w:val="000000"/>
          <w:rtl/>
          <w:lang w:bidi="ar-EG"/>
        </w:rPr>
        <w:t xml:space="preserve"> وتقضي المادة 800/3 مدني على أنه "يكون للكفيل لاحق في الفوائد القانونية عن كل ما قام بدفعه ابتداء من يوم الدفع"</w:t>
      </w:r>
      <w:r>
        <w:rPr>
          <w:rFonts w:hint="cs"/>
          <w:color w:val="000000"/>
          <w:rtl/>
          <w:lang w:bidi="ar-EG"/>
        </w:rPr>
        <w:t xml:space="preserve"> .</w:t>
      </w:r>
      <w:r w:rsidRPr="00315653">
        <w:rPr>
          <w:rFonts w:hint="cs"/>
          <w:color w:val="000000"/>
          <w:rtl/>
          <w:lang w:bidi="ar-EG"/>
        </w:rPr>
        <w:t xml:space="preserve"> ويخلص من هذه النصوص أن الكفيل يرجع على المدين في الدعوى الشخصية بما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lastRenderedPageBreak/>
        <w:t xml:space="preserve">( </w:t>
      </w:r>
      <w:r w:rsidRPr="00315653">
        <w:rPr>
          <w:rFonts w:hint="cs"/>
          <w:color w:val="000000"/>
          <w:rtl/>
          <w:lang w:bidi="ar-EG"/>
        </w:rPr>
        <w:t>أولاً</w:t>
      </w:r>
      <w:r>
        <w:rPr>
          <w:rFonts w:hint="cs"/>
          <w:color w:val="000000"/>
          <w:rtl/>
          <w:lang w:bidi="ar-EG"/>
        </w:rPr>
        <w:t xml:space="preserve"> )</w:t>
      </w:r>
      <w:r w:rsidRPr="00315653">
        <w:rPr>
          <w:rFonts w:hint="cs"/>
          <w:color w:val="000000"/>
          <w:rtl/>
          <w:lang w:bidi="ar-EG"/>
        </w:rPr>
        <w:t xml:space="preserve"> أصل الدين</w:t>
      </w:r>
      <w:r>
        <w:rPr>
          <w:rFonts w:hint="cs"/>
          <w:color w:val="000000"/>
          <w:rtl/>
          <w:lang w:bidi="ar-EG"/>
        </w:rPr>
        <w:t xml:space="preserve"> :</w:t>
      </w:r>
      <w:r w:rsidRPr="00315653">
        <w:rPr>
          <w:rFonts w:hint="cs"/>
          <w:color w:val="000000"/>
          <w:rtl/>
          <w:lang w:bidi="ar-EG"/>
        </w:rPr>
        <w:t xml:space="preserve"> ويتضمن أصل الدين كل ما دفعه الكفيل للدائن لإخلاء ذمة المدين</w:t>
      </w:r>
      <w:r>
        <w:rPr>
          <w:rFonts w:hint="cs"/>
          <w:color w:val="000000"/>
          <w:rtl/>
          <w:lang w:bidi="ar-EG"/>
        </w:rPr>
        <w:t xml:space="preserve"> ،</w:t>
      </w:r>
      <w:r w:rsidRPr="00315653">
        <w:rPr>
          <w:rFonts w:hint="cs"/>
          <w:color w:val="000000"/>
          <w:rtl/>
          <w:lang w:bidi="ar-EG"/>
        </w:rPr>
        <w:t xml:space="preserve"> فيشمل ذلك مقدار الدين في أصله</w:t>
      </w:r>
      <w:r>
        <w:rPr>
          <w:rFonts w:hint="cs"/>
          <w:color w:val="000000"/>
          <w:vertAlign w:val="superscript"/>
          <w:rtl/>
          <w:lang w:bidi="ar-EG"/>
        </w:rPr>
        <w:t xml:space="preserve">( </w:t>
      </w:r>
      <w:r w:rsidRPr="00315653">
        <w:rPr>
          <w:rStyle w:val="ab"/>
          <w:color w:val="000000"/>
          <w:rtl/>
          <w:lang w:bidi="ar-EG"/>
        </w:rPr>
        <w:footnoteReference w:id="37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وكذلك فوائد هذا الدين لو كان الدين ينتج فوائد اتفاقية أو قانونية ما دامت هذه الفوائد تدخل ضمن الدين المكفول</w:t>
      </w:r>
      <w:r>
        <w:rPr>
          <w:rFonts w:hint="cs"/>
          <w:color w:val="000000"/>
          <w:vertAlign w:val="superscript"/>
          <w:rtl/>
          <w:lang w:bidi="ar-EG"/>
        </w:rPr>
        <w:t xml:space="preserve">( </w:t>
      </w:r>
      <w:r w:rsidRPr="00315653">
        <w:rPr>
          <w:rStyle w:val="ab"/>
          <w:color w:val="000000"/>
          <w:rtl/>
          <w:lang w:bidi="ar-EG"/>
        </w:rPr>
        <w:footnoteReference w:id="37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ويشمل أصل الدين كذلك ما يضطر الكفيل إلى دفعه للدائن في نظير المصروفات التي تكبدها هذا الأخير في مواجهة المدين</w:t>
      </w:r>
      <w:r>
        <w:rPr>
          <w:rFonts w:hint="cs"/>
          <w:color w:val="000000"/>
          <w:rtl/>
          <w:lang w:bidi="ar-EG"/>
        </w:rPr>
        <w:t xml:space="preserve"> ،</w:t>
      </w:r>
      <w:r w:rsidRPr="00315653">
        <w:rPr>
          <w:rFonts w:hint="cs"/>
          <w:color w:val="000000"/>
          <w:rtl/>
          <w:lang w:bidi="ar-EG"/>
        </w:rPr>
        <w:t xml:space="preserve"> كما يشمل بوجه عام كل ما وجب على الكفيل دفعه لإخلاء ذمة المدين</w:t>
      </w:r>
      <w:r>
        <w:rPr>
          <w:rFonts w:hint="cs"/>
          <w:color w:val="000000"/>
          <w:vertAlign w:val="superscript"/>
          <w:rtl/>
          <w:lang w:bidi="ar-EG"/>
        </w:rPr>
        <w:t xml:space="preserve">( </w:t>
      </w:r>
      <w:r w:rsidRPr="00315653">
        <w:rPr>
          <w:rStyle w:val="ab"/>
          <w:color w:val="000000"/>
          <w:rtl/>
          <w:lang w:bidi="ar-EG"/>
        </w:rPr>
        <w:footnoteReference w:id="37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ثانياً</w:t>
      </w:r>
      <w:r>
        <w:rPr>
          <w:rFonts w:hint="cs"/>
          <w:color w:val="000000"/>
          <w:rtl/>
          <w:lang w:bidi="ar-EG"/>
        </w:rPr>
        <w:t xml:space="preserve"> )</w:t>
      </w:r>
      <w:r w:rsidRPr="00315653">
        <w:rPr>
          <w:rFonts w:hint="cs"/>
          <w:color w:val="000000"/>
          <w:rtl/>
          <w:lang w:bidi="ar-EG"/>
        </w:rPr>
        <w:t xml:space="preserve"> الفوائد</w:t>
      </w:r>
      <w:r>
        <w:rPr>
          <w:rFonts w:hint="cs"/>
          <w:color w:val="000000"/>
          <w:rtl/>
          <w:lang w:bidi="ar-EG"/>
        </w:rPr>
        <w:t xml:space="preserve"> :</w:t>
      </w:r>
      <w:r w:rsidRPr="00315653">
        <w:rPr>
          <w:rFonts w:hint="cs"/>
          <w:color w:val="000000"/>
          <w:rtl/>
          <w:lang w:bidi="ar-EG"/>
        </w:rPr>
        <w:t xml:space="preserve"> وتقول الفقرة الثانية من المادة 800 مدني في هذا الصدد كما رأينا</w:t>
      </w:r>
      <w:r>
        <w:rPr>
          <w:rFonts w:hint="cs"/>
          <w:color w:val="000000"/>
          <w:rtl/>
          <w:lang w:bidi="ar-EG"/>
        </w:rPr>
        <w:t xml:space="preserve"> :</w:t>
      </w:r>
      <w:r w:rsidRPr="00315653">
        <w:rPr>
          <w:rFonts w:hint="cs"/>
          <w:color w:val="000000"/>
          <w:rtl/>
          <w:lang w:bidi="ar-EG"/>
        </w:rPr>
        <w:t xml:space="preserve"> "يكون للكفيل الحق في الفوائد القانونية عن كل ما قام $174 بدفعه ابتداء من يوم الدفع"</w:t>
      </w:r>
      <w:r>
        <w:rPr>
          <w:rFonts w:hint="cs"/>
          <w:color w:val="000000"/>
          <w:rtl/>
          <w:lang w:bidi="ar-EG"/>
        </w:rPr>
        <w:t xml:space="preserve"> .</w:t>
      </w:r>
      <w:r w:rsidRPr="00315653">
        <w:rPr>
          <w:rFonts w:hint="cs"/>
          <w:color w:val="000000"/>
          <w:rtl/>
          <w:lang w:bidi="ar-EG"/>
        </w:rPr>
        <w:t xml:space="preserve"> فكل ما قام بدفعه للدائن على النحو السابق بيانه ينتج فوائد بالسعر القانوني من يوم دفع الكفيل الدين للدائن</w:t>
      </w:r>
      <w:r>
        <w:rPr>
          <w:rFonts w:hint="cs"/>
          <w:color w:val="000000"/>
          <w:rtl/>
          <w:lang w:bidi="ar-EG"/>
        </w:rPr>
        <w:t xml:space="preserve"> ،</w:t>
      </w:r>
      <w:r w:rsidRPr="00315653">
        <w:rPr>
          <w:rFonts w:hint="cs"/>
          <w:color w:val="000000"/>
          <w:rtl/>
          <w:lang w:bidi="ar-EG"/>
        </w:rPr>
        <w:t xml:space="preserve"> وهذه الفوائد القانونية يرجع بها الكفيل على المدين بالإضافة إلى الدين</w:t>
      </w:r>
      <w:r>
        <w:rPr>
          <w:rFonts w:hint="cs"/>
          <w:color w:val="000000"/>
          <w:rtl/>
          <w:lang w:bidi="ar-EG"/>
        </w:rPr>
        <w:t xml:space="preserve"> .</w:t>
      </w:r>
      <w:r w:rsidRPr="00315653">
        <w:rPr>
          <w:rFonts w:hint="cs"/>
          <w:color w:val="000000"/>
          <w:rtl/>
          <w:lang w:bidi="ar-EG"/>
        </w:rPr>
        <w:t xml:space="preserve"> وليس في هذا إلا تطبيق لقواعد الوكالة إذا رجع الكفيل على المدين بدعوى الوكالة </w:t>
      </w:r>
      <w:r>
        <w:rPr>
          <w:rFonts w:hint="cs"/>
          <w:color w:val="000000"/>
          <w:rtl/>
          <w:lang w:bidi="ar-EG"/>
        </w:rPr>
        <w:t xml:space="preserve">( </w:t>
      </w:r>
      <w:r w:rsidRPr="00315653">
        <w:rPr>
          <w:rFonts w:hint="cs"/>
          <w:color w:val="000000"/>
          <w:rtl/>
          <w:lang w:bidi="ar-EG"/>
        </w:rPr>
        <w:t>م 710 مدني</w:t>
      </w:r>
      <w:r>
        <w:rPr>
          <w:rFonts w:hint="cs"/>
          <w:color w:val="000000"/>
          <w:rtl/>
          <w:lang w:bidi="ar-EG"/>
        </w:rPr>
        <w:t xml:space="preserve"> ) .</w:t>
      </w:r>
      <w:r w:rsidRPr="00315653">
        <w:rPr>
          <w:rFonts w:hint="cs"/>
          <w:color w:val="000000"/>
          <w:rtl/>
          <w:lang w:bidi="ar-EG"/>
        </w:rPr>
        <w:t xml:space="preserve"> أما القواعد العامة فكانت تقضي بأن الفوائد القانونية لا تستحق إلا من وقت المطالبة القضائية بها </w:t>
      </w:r>
      <w:r>
        <w:rPr>
          <w:rFonts w:hint="cs"/>
          <w:color w:val="000000"/>
          <w:rtl/>
          <w:lang w:bidi="ar-EG"/>
        </w:rPr>
        <w:t xml:space="preserve">( </w:t>
      </w:r>
      <w:r w:rsidRPr="00315653">
        <w:rPr>
          <w:rFonts w:hint="cs"/>
          <w:color w:val="000000"/>
          <w:rtl/>
          <w:lang w:bidi="ar-EG"/>
        </w:rPr>
        <w:t>م 226 مدني</w:t>
      </w:r>
      <w:r>
        <w:rPr>
          <w:rFonts w:hint="cs"/>
          <w:color w:val="000000"/>
          <w:rtl/>
          <w:lang w:bidi="ar-EG"/>
        </w:rPr>
        <w:t xml:space="preserve"> ) ،</w:t>
      </w:r>
      <w:r w:rsidRPr="00315653">
        <w:rPr>
          <w:rFonts w:hint="cs"/>
          <w:color w:val="000000"/>
          <w:rtl/>
          <w:lang w:bidi="ar-EG"/>
        </w:rPr>
        <w:t xml:space="preserve"> فخرج القانون على هذه القواعد العامة في دعوى الوكالة وفي دعوى الفضالة</w:t>
      </w:r>
      <w:r>
        <w:rPr>
          <w:rFonts w:hint="cs"/>
          <w:color w:val="000000"/>
          <w:rtl/>
          <w:lang w:bidi="ar-EG"/>
        </w:rPr>
        <w:t xml:space="preserve"> ،</w:t>
      </w:r>
      <w:r w:rsidRPr="00315653">
        <w:rPr>
          <w:rFonts w:hint="cs"/>
          <w:color w:val="000000"/>
          <w:rtl/>
          <w:lang w:bidi="ar-EG"/>
        </w:rPr>
        <w:t xml:space="preserve"> ومن ثم اقتضى الأمر الخروج أيضاً على هذه القواعد العامة في الدعوى الشخصية التي يرجع بها الكفيل على المدين كما رأينا في المادة 800/3 مدني</w:t>
      </w:r>
      <w:r>
        <w:rPr>
          <w:rFonts w:hint="cs"/>
          <w:color w:val="000000"/>
          <w:rtl/>
          <w:lang w:bidi="ar-EG"/>
        </w:rPr>
        <w:t xml:space="preserve"> .</w:t>
      </w:r>
      <w:r w:rsidRPr="00315653">
        <w:rPr>
          <w:rFonts w:hint="cs"/>
          <w:color w:val="000000"/>
          <w:rtl/>
          <w:lang w:bidi="ar-EG"/>
        </w:rPr>
        <w:t xml:space="preserve"> ويلاحظ أن القواعد القانونية التي يرجع بها الكفيل على المدين يكون بضعها فوائد على فوائد أصل الدين التي يرجع بها الكفيل على المدين فيما قدمنا</w:t>
      </w:r>
      <w:r>
        <w:rPr>
          <w:rFonts w:hint="cs"/>
          <w:color w:val="000000"/>
          <w:rtl/>
          <w:lang w:bidi="ar-EG"/>
        </w:rPr>
        <w:t xml:space="preserve"> ،</w:t>
      </w:r>
      <w:r w:rsidRPr="00315653">
        <w:rPr>
          <w:rFonts w:hint="cs"/>
          <w:color w:val="000000"/>
          <w:rtl/>
          <w:lang w:bidi="ar-EG"/>
        </w:rPr>
        <w:t xml:space="preserve"> ولا يعتبر ذلك فوائد مركبة</w:t>
      </w:r>
      <w:r>
        <w:rPr>
          <w:rFonts w:hint="cs"/>
          <w:color w:val="000000"/>
          <w:rtl/>
          <w:lang w:bidi="ar-EG"/>
        </w:rPr>
        <w:t xml:space="preserve"> ،</w:t>
      </w:r>
      <w:r w:rsidRPr="00315653">
        <w:rPr>
          <w:rFonts w:hint="cs"/>
          <w:color w:val="000000"/>
          <w:rtl/>
          <w:lang w:bidi="ar-EG"/>
        </w:rPr>
        <w:t xml:space="preserve"> لأن فوائد أصل الدين تدخل ضمن أصل الدين فيما يتعلق بالكفيل</w:t>
      </w:r>
      <w:r>
        <w:rPr>
          <w:rFonts w:hint="cs"/>
          <w:color w:val="000000"/>
          <w:rtl/>
          <w:lang w:bidi="ar-EG"/>
        </w:rPr>
        <w:t xml:space="preserve"> .</w:t>
      </w:r>
      <w:r w:rsidRPr="00315653">
        <w:rPr>
          <w:rFonts w:hint="cs"/>
          <w:color w:val="000000"/>
          <w:rtl/>
          <w:lang w:bidi="ar-EG"/>
        </w:rPr>
        <w:t xml:space="preserve"> ويلاحظ أيضاً أن الفوائد القانونية التي يرجع بها الكفيل على المدين كما تقضي المادة 800/3 مدني لا تتقادم إلا بخمس عشرة سنة في دعوى الوكالة</w:t>
      </w:r>
      <w:r>
        <w:rPr>
          <w:rFonts w:hint="cs"/>
          <w:color w:val="000000"/>
          <w:rtl/>
          <w:lang w:bidi="ar-EG"/>
        </w:rPr>
        <w:t xml:space="preserve"> ،</w:t>
      </w:r>
      <w:r w:rsidRPr="00315653">
        <w:rPr>
          <w:rFonts w:hint="cs"/>
          <w:color w:val="000000"/>
          <w:rtl/>
          <w:lang w:bidi="ar-EG"/>
        </w:rPr>
        <w:t xml:space="preserve"> وتتقادم بثلاث سنوات في دعوى الفضالة</w:t>
      </w:r>
      <w:r>
        <w:rPr>
          <w:rFonts w:hint="cs"/>
          <w:color w:val="000000"/>
          <w:rtl/>
          <w:lang w:bidi="ar-EG"/>
        </w:rPr>
        <w:t xml:space="preserve"> ،</w:t>
      </w:r>
      <w:r w:rsidRPr="00315653">
        <w:rPr>
          <w:rFonts w:hint="cs"/>
          <w:color w:val="000000"/>
          <w:rtl/>
          <w:lang w:bidi="ar-EG"/>
        </w:rPr>
        <w:t xml:space="preserve"> أما القاعدة العامة فتقضي بتقادم الفوائد بخس سنوات</w:t>
      </w:r>
      <w:r>
        <w:rPr>
          <w:rFonts w:hint="cs"/>
          <w:color w:val="000000"/>
          <w:rtl/>
          <w:lang w:bidi="ar-EG"/>
        </w:rPr>
        <w:t xml:space="preserve"> .</w:t>
      </w:r>
      <w:r w:rsidRPr="00315653">
        <w:rPr>
          <w:rFonts w:hint="cs"/>
          <w:color w:val="000000"/>
          <w:rtl/>
          <w:lang w:bidi="ar-EG"/>
        </w:rPr>
        <w:t xml:space="preserve"> هذا والرجوع بالفوائد القانونية على المدين ميزة للدعوى الشخصية على دعوى الحلول</w:t>
      </w:r>
      <w:r>
        <w:rPr>
          <w:rFonts w:hint="cs"/>
          <w:color w:val="000000"/>
          <w:rtl/>
          <w:lang w:bidi="ar-EG"/>
        </w:rPr>
        <w:t xml:space="preserve"> ،</w:t>
      </w:r>
      <w:r w:rsidRPr="00315653">
        <w:rPr>
          <w:rFonts w:hint="cs"/>
          <w:color w:val="000000"/>
          <w:rtl/>
          <w:lang w:bidi="ar-EG"/>
        </w:rPr>
        <w:t xml:space="preserve"> وسنرى أن الكفيل في دعوى الحلول لا يرجع على المدين إلا بفوائد أصل الدين كما كان الدائن يفعل</w:t>
      </w:r>
      <w:r>
        <w:rPr>
          <w:rFonts w:hint="cs"/>
          <w:color w:val="000000"/>
          <w:rtl/>
          <w:lang w:bidi="ar-EG"/>
        </w:rPr>
        <w:t xml:space="preserve"> ،</w:t>
      </w:r>
      <w:r w:rsidRPr="00315653">
        <w:rPr>
          <w:rFonts w:hint="cs"/>
          <w:color w:val="000000"/>
          <w:rtl/>
          <w:lang w:bidi="ar-EG"/>
        </w:rPr>
        <w:t xml:space="preserve"> فلا يرجع إذن بالفوائد القانونية على ما دفع للدائن إلا من وقت المطالبة القضائية بها</w:t>
      </w:r>
      <w:r>
        <w:rPr>
          <w:rFonts w:hint="cs"/>
          <w:color w:val="000000"/>
          <w:vertAlign w:val="superscript"/>
          <w:rtl/>
          <w:lang w:bidi="ar-EG"/>
        </w:rPr>
        <w:t xml:space="preserve">( </w:t>
      </w:r>
      <w:r w:rsidRPr="00315653">
        <w:rPr>
          <w:rStyle w:val="ab"/>
          <w:color w:val="000000"/>
          <w:rtl/>
          <w:lang w:bidi="ar-EG"/>
        </w:rPr>
        <w:footnoteReference w:id="37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 xml:space="preserve">$175 </w:t>
      </w:r>
      <w:r>
        <w:rPr>
          <w:rFonts w:hint="cs"/>
          <w:color w:val="000000"/>
          <w:rtl/>
          <w:lang w:bidi="ar-EG"/>
        </w:rPr>
        <w:t xml:space="preserve">( </w:t>
      </w:r>
      <w:r w:rsidRPr="00315653">
        <w:rPr>
          <w:rFonts w:hint="cs"/>
          <w:color w:val="000000"/>
          <w:rtl/>
          <w:lang w:bidi="ar-EG"/>
        </w:rPr>
        <w:t>ثالثاً</w:t>
      </w:r>
      <w:r>
        <w:rPr>
          <w:rFonts w:hint="cs"/>
          <w:color w:val="000000"/>
          <w:rtl/>
          <w:lang w:bidi="ar-EG"/>
        </w:rPr>
        <w:t xml:space="preserve"> )</w:t>
      </w:r>
      <w:r w:rsidRPr="00315653">
        <w:rPr>
          <w:rFonts w:hint="cs"/>
          <w:color w:val="000000"/>
          <w:rtl/>
          <w:lang w:bidi="ar-EG"/>
        </w:rPr>
        <w:t xml:space="preserve"> المصروفات</w:t>
      </w:r>
      <w:r>
        <w:rPr>
          <w:rFonts w:hint="cs"/>
          <w:color w:val="000000"/>
          <w:rtl/>
          <w:lang w:bidi="ar-EG"/>
        </w:rPr>
        <w:t xml:space="preserve"> :</w:t>
      </w:r>
      <w:r w:rsidRPr="00315653">
        <w:rPr>
          <w:rFonts w:hint="cs"/>
          <w:color w:val="000000"/>
          <w:rtl/>
          <w:lang w:bidi="ar-EG"/>
        </w:rPr>
        <w:t xml:space="preserve"> وتتمن كل ما أنفقه الكفيل في سبيل الوفاء بالتزامه وكل ما حكم عليه من المصروفات للدائن</w:t>
      </w:r>
      <w:r>
        <w:rPr>
          <w:rFonts w:hint="cs"/>
          <w:color w:val="000000"/>
          <w:rtl/>
          <w:lang w:bidi="ar-EG"/>
        </w:rPr>
        <w:t xml:space="preserve"> .</w:t>
      </w:r>
      <w:r w:rsidRPr="00315653">
        <w:rPr>
          <w:rFonts w:hint="cs"/>
          <w:color w:val="000000"/>
          <w:rtl/>
          <w:lang w:bidi="ar-EG"/>
        </w:rPr>
        <w:t xml:space="preserve"> والمصروفات التي أنفقها الكفيل في سبيل الوفاء بالتزامه تشمل ما أنفقه في إرشاد الدائن إلى أموال المدين لتجريدها</w:t>
      </w:r>
      <w:r>
        <w:rPr>
          <w:rFonts w:hint="cs"/>
          <w:color w:val="000000"/>
          <w:rtl/>
          <w:lang w:bidi="ar-EG"/>
        </w:rPr>
        <w:t xml:space="preserve"> ،</w:t>
      </w:r>
      <w:r w:rsidRPr="00315653">
        <w:rPr>
          <w:rFonts w:hint="cs"/>
          <w:color w:val="000000"/>
          <w:rtl/>
          <w:lang w:bidi="ar-EG"/>
        </w:rPr>
        <w:t xml:space="preserve"> ومصروفات العرض الحقيقي والإيداع فيما إذا اضطر الكفيل إلى ذلك</w:t>
      </w:r>
      <w:r>
        <w:rPr>
          <w:rFonts w:hint="cs"/>
          <w:color w:val="000000"/>
          <w:rtl/>
          <w:lang w:bidi="ar-EG"/>
        </w:rPr>
        <w:t xml:space="preserve"> .</w:t>
      </w:r>
      <w:r w:rsidRPr="00315653">
        <w:rPr>
          <w:rFonts w:hint="cs"/>
          <w:color w:val="000000"/>
          <w:rtl/>
          <w:lang w:bidi="ar-EG"/>
        </w:rPr>
        <w:t xml:space="preserve"> والمصروفات التي حكم عليه بها للدائن تشمل ما أنفقه الدائن في مطالبة الكفيل بالوفاء</w:t>
      </w:r>
      <w:r>
        <w:rPr>
          <w:rFonts w:hint="cs"/>
          <w:color w:val="000000"/>
          <w:rtl/>
          <w:lang w:bidi="ar-EG"/>
        </w:rPr>
        <w:t xml:space="preserve"> ،</w:t>
      </w:r>
      <w:r w:rsidRPr="00315653">
        <w:rPr>
          <w:rFonts w:hint="cs"/>
          <w:color w:val="000000"/>
          <w:rtl/>
          <w:lang w:bidi="ar-EG"/>
        </w:rPr>
        <w:t xml:space="preserve"> كمصروفات رفع الدعوى على الكفيل</w:t>
      </w:r>
      <w:r>
        <w:rPr>
          <w:rFonts w:hint="cs"/>
          <w:color w:val="000000"/>
          <w:rtl/>
          <w:lang w:bidi="ar-EG"/>
        </w:rPr>
        <w:t xml:space="preserve"> ،</w:t>
      </w:r>
      <w:r w:rsidRPr="00315653">
        <w:rPr>
          <w:rFonts w:hint="cs"/>
          <w:color w:val="000000"/>
          <w:rtl/>
          <w:lang w:bidi="ar-EG"/>
        </w:rPr>
        <w:t xml:space="preserve"> ومصروفات التنبيه عليه بالوفاء</w:t>
      </w:r>
      <w:r>
        <w:rPr>
          <w:rFonts w:hint="cs"/>
          <w:color w:val="000000"/>
          <w:rtl/>
          <w:lang w:bidi="ar-EG"/>
        </w:rPr>
        <w:t xml:space="preserve"> ،</w:t>
      </w:r>
      <w:r w:rsidRPr="00315653">
        <w:rPr>
          <w:rFonts w:hint="cs"/>
          <w:color w:val="000000"/>
          <w:rtl/>
          <w:lang w:bidi="ar-EG"/>
        </w:rPr>
        <w:t xml:space="preserve"> ومصروفات المطالبة الأولى التي قام بها الدائن للمدين ثم مصروفات مطالبة الدائن للمدين بعد إخطار الكفيل</w:t>
      </w:r>
      <w:r>
        <w:rPr>
          <w:rFonts w:hint="cs"/>
          <w:color w:val="000000"/>
          <w:rtl/>
          <w:lang w:bidi="ar-EG"/>
        </w:rPr>
        <w:t xml:space="preserve"> ،</w:t>
      </w:r>
      <w:r w:rsidRPr="00315653">
        <w:rPr>
          <w:rFonts w:hint="cs"/>
          <w:color w:val="000000"/>
          <w:rtl/>
          <w:lang w:bidi="ar-EG"/>
        </w:rPr>
        <w:t xml:space="preserve"> وكل مصروفات أخرى تقتضيها مطالبة الدائن للكفيل بوفاء التزامه</w:t>
      </w:r>
      <w:r>
        <w:rPr>
          <w:rFonts w:hint="cs"/>
          <w:color w:val="000000"/>
          <w:rtl/>
          <w:lang w:bidi="ar-EG"/>
        </w:rPr>
        <w:t xml:space="preserve"> .</w:t>
      </w:r>
      <w:r w:rsidRPr="00315653">
        <w:rPr>
          <w:rFonts w:hint="cs"/>
          <w:color w:val="000000"/>
          <w:rtl/>
          <w:lang w:bidi="ar-EG"/>
        </w:rPr>
        <w:t xml:space="preserve"> على أن الكفيل لا يرجع على المدين</w:t>
      </w:r>
      <w:r>
        <w:rPr>
          <w:rFonts w:hint="cs"/>
          <w:color w:val="000000"/>
          <w:rtl/>
          <w:lang w:bidi="ar-EG"/>
        </w:rPr>
        <w:t xml:space="preserve"> ،</w:t>
      </w:r>
      <w:r w:rsidRPr="00315653">
        <w:rPr>
          <w:rFonts w:hint="cs"/>
          <w:color w:val="000000"/>
          <w:rtl/>
          <w:lang w:bidi="ar-EG"/>
        </w:rPr>
        <w:t xml:space="preserve"> من هذه المصروفات</w:t>
      </w:r>
      <w:r>
        <w:rPr>
          <w:rFonts w:hint="cs"/>
          <w:color w:val="000000"/>
          <w:rtl/>
          <w:lang w:bidi="ar-EG"/>
        </w:rPr>
        <w:t xml:space="preserve"> ،</w:t>
      </w:r>
      <w:r w:rsidRPr="00315653">
        <w:rPr>
          <w:rFonts w:hint="cs"/>
          <w:color w:val="000000"/>
          <w:rtl/>
          <w:lang w:bidi="ar-EG"/>
        </w:rPr>
        <w:t xml:space="preserve"> إلا بالذي أنفقه من وقت إخباره بالإجراءات التي اتخذها الدائن ضده</w:t>
      </w:r>
      <w:r>
        <w:rPr>
          <w:rFonts w:hint="cs"/>
          <w:color w:val="000000"/>
          <w:rtl/>
          <w:lang w:bidi="ar-EG"/>
        </w:rPr>
        <w:t xml:space="preserve"> ،</w:t>
      </w:r>
      <w:r w:rsidRPr="00315653">
        <w:rPr>
          <w:rFonts w:hint="cs"/>
          <w:color w:val="000000"/>
          <w:rtl/>
          <w:lang w:bidi="ar-EG"/>
        </w:rPr>
        <w:t xml:space="preserve"> لأن المدين إذا  أخبره الكفيل بذلك قد يكون عنده من الدفوع ما يتوقى به مطالبة الدائن أو قد يبادر إلى دفع الدين الذي في ذمته للدائن فيتجنب الكفيل بذلك الإجراءات التي اتخذها الدائن ضده</w:t>
      </w:r>
      <w:r>
        <w:rPr>
          <w:rFonts w:hint="cs"/>
          <w:color w:val="000000"/>
          <w:rtl/>
          <w:lang w:bidi="ar-EG"/>
        </w:rPr>
        <w:t xml:space="preserve"> ،</w:t>
      </w:r>
      <w:r w:rsidRPr="00315653">
        <w:rPr>
          <w:rFonts w:hint="cs"/>
          <w:color w:val="000000"/>
          <w:rtl/>
          <w:lang w:bidi="ar-EG"/>
        </w:rPr>
        <w:t xml:space="preserve"> لأن المدين إذا أخبره الكفيل بذلك قد يكون عنده من الدفوع ما يتوقى به مطالبة الدائن أو قد يبادر إلى دفع الدين الذي في ذمته للدائن فيتجنب الكفيل بذلك الإجراءات التي اتخذها الدائن ضده</w:t>
      </w:r>
      <w:r>
        <w:rPr>
          <w:rFonts w:hint="cs"/>
          <w:color w:val="000000"/>
          <w:rtl/>
          <w:lang w:bidi="ar-EG"/>
        </w:rPr>
        <w:t xml:space="preserve"> .</w:t>
      </w:r>
      <w:r w:rsidRPr="00315653">
        <w:rPr>
          <w:rFonts w:hint="cs"/>
          <w:color w:val="000000"/>
          <w:rtl/>
          <w:lang w:bidi="ar-EG"/>
        </w:rPr>
        <w:t xml:space="preserve"> ونستثنى مصروفات المطالبة الأولى التي يقوم بها الدائن للكفيل من هذا الشرط</w:t>
      </w:r>
      <w:r>
        <w:rPr>
          <w:rFonts w:hint="cs"/>
          <w:color w:val="000000"/>
          <w:vertAlign w:val="superscript"/>
          <w:rtl/>
          <w:lang w:bidi="ar-EG"/>
        </w:rPr>
        <w:t xml:space="preserve">( </w:t>
      </w:r>
      <w:r w:rsidRPr="00315653">
        <w:rPr>
          <w:rStyle w:val="ab"/>
          <w:color w:val="000000"/>
          <w:rtl/>
          <w:lang w:bidi="ar-EG"/>
        </w:rPr>
        <w:footnoteReference w:id="37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كمصروفات رفع الدائن الدعوى على الكفيل</w:t>
      </w:r>
      <w:r>
        <w:rPr>
          <w:rFonts w:hint="cs"/>
          <w:color w:val="000000"/>
          <w:rtl/>
          <w:lang w:bidi="ar-EG"/>
        </w:rPr>
        <w:t xml:space="preserve"> ،</w:t>
      </w:r>
      <w:r w:rsidRPr="00315653">
        <w:rPr>
          <w:rFonts w:hint="cs"/>
          <w:color w:val="000000"/>
          <w:rtl/>
          <w:lang w:bidi="ar-EG"/>
        </w:rPr>
        <w:t xml:space="preserve"> فهذه لا يعلم بها الكفيل قبل حصولها حتى يخبر بها المدين</w:t>
      </w:r>
      <w:r>
        <w:rPr>
          <w:rFonts w:hint="cs"/>
          <w:color w:val="000000"/>
          <w:rtl/>
          <w:lang w:bidi="ar-EG"/>
        </w:rPr>
        <w:t xml:space="preserve"> ، ،</w:t>
      </w:r>
      <w:r w:rsidRPr="00315653">
        <w:rPr>
          <w:rFonts w:hint="cs"/>
          <w:color w:val="000000"/>
          <w:rtl/>
          <w:lang w:bidi="ar-EG"/>
        </w:rPr>
        <w:t xml:space="preserve"> فمتى حكم بها على الكفيل رجع بها على المدين وإن كان لم يخطره بها</w:t>
      </w:r>
      <w:r>
        <w:rPr>
          <w:rFonts w:hint="cs"/>
          <w:color w:val="000000"/>
          <w:vertAlign w:val="superscript"/>
          <w:rtl/>
          <w:lang w:bidi="ar-EG"/>
        </w:rPr>
        <w:t xml:space="preserve">( </w:t>
      </w:r>
      <w:r w:rsidRPr="00315653">
        <w:rPr>
          <w:rStyle w:val="ab"/>
          <w:color w:val="000000"/>
          <w:rtl/>
          <w:lang w:bidi="ar-EG"/>
        </w:rPr>
        <w:footnoteReference w:id="38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$176 </w:t>
      </w:r>
      <w:r>
        <w:rPr>
          <w:rFonts w:hint="cs"/>
          <w:color w:val="000000"/>
          <w:rtl/>
          <w:lang w:bidi="ar-EG"/>
        </w:rPr>
        <w:t xml:space="preserve">( </w:t>
      </w:r>
      <w:r w:rsidRPr="00315653">
        <w:rPr>
          <w:rFonts w:hint="cs"/>
          <w:color w:val="000000"/>
          <w:rtl/>
          <w:lang w:bidi="ar-EG"/>
        </w:rPr>
        <w:t>رابعاً</w:t>
      </w:r>
      <w:r>
        <w:rPr>
          <w:rFonts w:hint="cs"/>
          <w:color w:val="000000"/>
          <w:rtl/>
          <w:lang w:bidi="ar-EG"/>
        </w:rPr>
        <w:t xml:space="preserve"> )</w:t>
      </w:r>
      <w:r w:rsidRPr="00315653">
        <w:rPr>
          <w:rFonts w:hint="cs"/>
          <w:color w:val="000000"/>
          <w:rtl/>
          <w:lang w:bidi="ar-EG"/>
        </w:rPr>
        <w:t xml:space="preserve"> التعويض</w:t>
      </w:r>
      <w:r>
        <w:rPr>
          <w:rFonts w:hint="cs"/>
          <w:color w:val="000000"/>
          <w:rtl/>
          <w:lang w:bidi="ar-EG"/>
        </w:rPr>
        <w:t xml:space="preserve"> :</w:t>
      </w:r>
      <w:r w:rsidRPr="00315653">
        <w:rPr>
          <w:rFonts w:hint="cs"/>
          <w:color w:val="000000"/>
          <w:rtl/>
          <w:lang w:bidi="ar-EG"/>
        </w:rPr>
        <w:t xml:space="preserve"> وكان المشروع التمهيدي للمادة 800 مدني يتضمن فقرة تقضي بأن "للكفيل فوق ذلك أن يرجع بالتعويض"</w:t>
      </w:r>
      <w:r>
        <w:rPr>
          <w:rFonts w:hint="cs"/>
          <w:color w:val="000000"/>
          <w:vertAlign w:val="superscript"/>
          <w:rtl/>
          <w:lang w:bidi="ar-EG"/>
        </w:rPr>
        <w:t xml:space="preserve">( </w:t>
      </w:r>
      <w:r w:rsidRPr="00315653">
        <w:rPr>
          <w:rStyle w:val="ab"/>
          <w:color w:val="000000"/>
          <w:rtl/>
          <w:lang w:bidi="ar-EG"/>
        </w:rPr>
        <w:footnoteReference w:id="38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 هذه الفقرة حذفت في لجنة المراجعة اكتفاء بتطبيق القواعد العامة</w:t>
      </w:r>
      <w:r>
        <w:rPr>
          <w:rFonts w:hint="cs"/>
          <w:color w:val="000000"/>
          <w:vertAlign w:val="superscript"/>
          <w:rtl/>
          <w:lang w:bidi="ar-EG"/>
        </w:rPr>
        <w:t xml:space="preserve">( </w:t>
      </w:r>
      <w:r w:rsidRPr="00315653">
        <w:rPr>
          <w:rStyle w:val="ab"/>
          <w:color w:val="000000"/>
          <w:rtl/>
          <w:lang w:bidi="ar-EG"/>
        </w:rPr>
        <w:footnoteReference w:id="38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والقواعد العامة تقضي</w:t>
      </w:r>
      <w:r>
        <w:rPr>
          <w:rFonts w:hint="cs"/>
          <w:color w:val="000000"/>
          <w:rtl/>
          <w:lang w:bidi="ar-EG"/>
        </w:rPr>
        <w:t xml:space="preserve"> ،</w:t>
      </w:r>
      <w:r w:rsidRPr="00315653">
        <w:rPr>
          <w:rFonts w:hint="cs"/>
          <w:color w:val="000000"/>
          <w:rtl/>
          <w:lang w:bidi="ar-EG"/>
        </w:rPr>
        <w:t xml:space="preserve"> في رجوع الكفيل على المدين</w:t>
      </w:r>
      <w:r>
        <w:rPr>
          <w:rFonts w:hint="cs"/>
          <w:color w:val="000000"/>
          <w:rtl/>
          <w:lang w:bidi="ar-EG"/>
        </w:rPr>
        <w:t xml:space="preserve"> ،</w:t>
      </w:r>
      <w:r w:rsidRPr="00315653">
        <w:rPr>
          <w:rFonts w:hint="cs"/>
          <w:color w:val="000000"/>
          <w:rtl/>
          <w:lang w:bidi="ar-EG"/>
        </w:rPr>
        <w:t xml:space="preserve"> بتعويضه عن الضرر الذي يكون قد أصابه</w:t>
      </w:r>
      <w:r>
        <w:rPr>
          <w:rFonts w:hint="cs"/>
          <w:color w:val="000000"/>
          <w:rtl/>
          <w:lang w:bidi="ar-EG"/>
        </w:rPr>
        <w:t xml:space="preserve"> .</w:t>
      </w:r>
      <w:r w:rsidRPr="00315653">
        <w:rPr>
          <w:rFonts w:hint="cs"/>
          <w:color w:val="000000"/>
          <w:rtl/>
          <w:lang w:bidi="ar-EG"/>
        </w:rPr>
        <w:t xml:space="preserve"> وقد طبقت هذه القواعد العامة في </w:t>
      </w:r>
      <w:r w:rsidRPr="00315653">
        <w:rPr>
          <w:rFonts w:hint="cs"/>
          <w:color w:val="000000"/>
          <w:rtl/>
          <w:lang w:bidi="ar-EG"/>
        </w:rPr>
        <w:lastRenderedPageBreak/>
        <w:t>رجوع الوكيل على الموكل</w:t>
      </w:r>
      <w:r>
        <w:rPr>
          <w:rFonts w:hint="cs"/>
          <w:color w:val="000000"/>
          <w:rtl/>
          <w:lang w:bidi="ar-EG"/>
        </w:rPr>
        <w:t xml:space="preserve"> ،</w:t>
      </w:r>
      <w:r w:rsidRPr="00315653">
        <w:rPr>
          <w:rFonts w:hint="cs"/>
          <w:color w:val="000000"/>
          <w:rtl/>
          <w:lang w:bidi="ar-EG"/>
        </w:rPr>
        <w:t xml:space="preserve"> وفي رجوع الفضولي على رب العمل</w:t>
      </w:r>
      <w:r>
        <w:rPr>
          <w:rFonts w:hint="cs"/>
          <w:color w:val="000000"/>
          <w:rtl/>
          <w:lang w:bidi="ar-EG"/>
        </w:rPr>
        <w:t xml:space="preserve"> .</w:t>
      </w:r>
      <w:r w:rsidRPr="00315653">
        <w:rPr>
          <w:rFonts w:hint="cs"/>
          <w:color w:val="000000"/>
          <w:rtl/>
          <w:lang w:bidi="ar-EG"/>
        </w:rPr>
        <w:t xml:space="preserve"> فنصت المادة 711 مدني على أن "يكون الموكل مسئولا عما أصاب الوكيل من ضرر دون خطأ منه</w:t>
      </w:r>
      <w:r>
        <w:rPr>
          <w:rFonts w:hint="cs"/>
          <w:color w:val="000000"/>
          <w:rtl/>
          <w:lang w:bidi="ar-EG"/>
        </w:rPr>
        <w:t xml:space="preserve"> ،</w:t>
      </w:r>
      <w:r w:rsidRPr="00315653">
        <w:rPr>
          <w:rFonts w:hint="cs"/>
          <w:color w:val="000000"/>
          <w:rtl/>
          <w:lang w:bidi="ar-EG"/>
        </w:rPr>
        <w:t xml:space="preserve"> بسبب تنفيذ الوكالة تنفيذاً معتاداً"</w:t>
      </w:r>
      <w:r>
        <w:rPr>
          <w:rFonts w:hint="cs"/>
          <w:color w:val="000000"/>
          <w:rtl/>
          <w:lang w:bidi="ar-EG"/>
        </w:rPr>
        <w:t xml:space="preserve"> ،</w:t>
      </w:r>
      <w:r w:rsidRPr="00315653">
        <w:rPr>
          <w:rFonts w:hint="cs"/>
          <w:color w:val="000000"/>
          <w:rtl/>
          <w:lang w:bidi="ar-EG"/>
        </w:rPr>
        <w:t xml:space="preserve"> ونصت المادة 195 مدني على التزامات رب العمل نحو الفضولي ومنها "أن يعوضه عن الضرر الذي لحقه بسبب قيامه بالعمل"</w:t>
      </w:r>
      <w:r>
        <w:rPr>
          <w:rFonts w:hint="cs"/>
          <w:color w:val="000000"/>
          <w:rtl/>
          <w:lang w:bidi="ar-EG"/>
        </w:rPr>
        <w:t xml:space="preserve"> .</w:t>
      </w:r>
      <w:r w:rsidRPr="00315653">
        <w:rPr>
          <w:rFonts w:hint="cs"/>
          <w:color w:val="000000"/>
          <w:rtl/>
          <w:lang w:bidi="ar-EG"/>
        </w:rPr>
        <w:t xml:space="preserve"> وعلى ذلك يجوز للكفيل أن يرجع على المدين</w:t>
      </w:r>
      <w:r>
        <w:rPr>
          <w:rFonts w:hint="cs"/>
          <w:color w:val="000000"/>
          <w:rtl/>
          <w:lang w:bidi="ar-EG"/>
        </w:rPr>
        <w:t xml:space="preserve"> ،</w:t>
      </w:r>
      <w:r w:rsidRPr="00315653">
        <w:rPr>
          <w:rFonts w:hint="cs"/>
          <w:color w:val="000000"/>
          <w:rtl/>
          <w:lang w:bidi="ar-EG"/>
        </w:rPr>
        <w:t xml:space="preserve"> سواء كان ذلك بدعوى الوكالة أو بدعوى الفضالة</w:t>
      </w:r>
      <w:r>
        <w:rPr>
          <w:rFonts w:hint="cs"/>
          <w:color w:val="000000"/>
          <w:rtl/>
          <w:lang w:bidi="ar-EG"/>
        </w:rPr>
        <w:t xml:space="preserve"> ،</w:t>
      </w:r>
      <w:r w:rsidRPr="00315653">
        <w:rPr>
          <w:rFonts w:hint="cs"/>
          <w:color w:val="000000"/>
          <w:rtl/>
          <w:lang w:bidi="ar-EG"/>
        </w:rPr>
        <w:t xml:space="preserve"> بالتعويض عن الضرر الذي يكون قد أصابه دون خطأ منه</w:t>
      </w:r>
      <w:r>
        <w:rPr>
          <w:rFonts w:hint="cs"/>
          <w:color w:val="000000"/>
          <w:rtl/>
          <w:lang w:bidi="ar-EG"/>
        </w:rPr>
        <w:t xml:space="preserve"> ،</w:t>
      </w:r>
      <w:r w:rsidRPr="00315653">
        <w:rPr>
          <w:rFonts w:hint="cs"/>
          <w:color w:val="000000"/>
          <w:rtl/>
          <w:lang w:bidi="ar-EG"/>
        </w:rPr>
        <w:t xml:space="preserve"> وذلك سواء كان المدين سيء النية أو حسن النية</w:t>
      </w:r>
      <w:r>
        <w:rPr>
          <w:rFonts w:hint="cs"/>
          <w:color w:val="000000"/>
          <w:vertAlign w:val="superscript"/>
          <w:rtl/>
          <w:lang w:bidi="ar-EG"/>
        </w:rPr>
        <w:t xml:space="preserve">( </w:t>
      </w:r>
      <w:r w:rsidRPr="00315653">
        <w:rPr>
          <w:rStyle w:val="ab"/>
          <w:color w:val="000000"/>
          <w:rtl/>
          <w:lang w:bidi="ar-EG"/>
        </w:rPr>
        <w:footnoteReference w:id="38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والتقنين المدني الفرنسي </w:t>
      </w:r>
      <w:r>
        <w:rPr>
          <w:rFonts w:hint="cs"/>
          <w:color w:val="000000"/>
          <w:rtl/>
          <w:lang w:bidi="ar-EG"/>
        </w:rPr>
        <w:t xml:space="preserve">( </w:t>
      </w:r>
      <w:r w:rsidRPr="00315653">
        <w:rPr>
          <w:rFonts w:hint="cs"/>
          <w:color w:val="000000"/>
          <w:rtl/>
          <w:lang w:bidi="ar-EG"/>
        </w:rPr>
        <w:t>م 2088</w:t>
      </w:r>
      <w:r>
        <w:rPr>
          <w:rFonts w:hint="cs"/>
          <w:color w:val="000000"/>
          <w:rtl/>
          <w:lang w:bidi="ar-EG"/>
        </w:rPr>
        <w:t xml:space="preserve"> )</w:t>
      </w:r>
      <w:r w:rsidRPr="00315653">
        <w:rPr>
          <w:rFonts w:hint="cs"/>
          <w:color w:val="000000"/>
          <w:rtl/>
          <w:lang w:bidi="ar-EG"/>
        </w:rPr>
        <w:t xml:space="preserve"> ينص صراحة على رجوع$177 الكفيل بالتعويض على المدين</w:t>
      </w:r>
      <w:r>
        <w:rPr>
          <w:rFonts w:hint="cs"/>
          <w:color w:val="000000"/>
          <w:rtl/>
          <w:lang w:bidi="ar-EG"/>
        </w:rPr>
        <w:t xml:space="preserve"> ،</w:t>
      </w:r>
      <w:r w:rsidRPr="00315653">
        <w:rPr>
          <w:rFonts w:hint="cs"/>
          <w:color w:val="000000"/>
          <w:rtl/>
          <w:lang w:bidi="ar-EG"/>
        </w:rPr>
        <w:t xml:space="preserve"> وتشير إلى ذلك المادة 1053 من هذا التقنين في آخر الفقرة الأولى منها</w:t>
      </w:r>
      <w:r>
        <w:rPr>
          <w:rFonts w:hint="cs"/>
          <w:color w:val="000000"/>
          <w:rtl/>
          <w:lang w:bidi="ar-EG"/>
        </w:rPr>
        <w:t xml:space="preserve"> .</w:t>
      </w:r>
      <w:r w:rsidRPr="00315653">
        <w:rPr>
          <w:rFonts w:hint="cs"/>
          <w:color w:val="000000"/>
          <w:rtl/>
          <w:lang w:bidi="ar-EG"/>
        </w:rPr>
        <w:t xml:space="preserve"> وهذا غير الرجوع بتعويض تكميلي عن الضرر الذي تسبب فيه المدين بسوء نية</w:t>
      </w:r>
      <w:r>
        <w:rPr>
          <w:rFonts w:hint="cs"/>
          <w:color w:val="000000"/>
          <w:rtl/>
          <w:lang w:bidi="ar-EG"/>
        </w:rPr>
        <w:t xml:space="preserve"> ،</w:t>
      </w:r>
      <w:r w:rsidRPr="00315653">
        <w:rPr>
          <w:rFonts w:hint="cs"/>
          <w:color w:val="000000"/>
          <w:rtl/>
          <w:lang w:bidi="ar-EG"/>
        </w:rPr>
        <w:t xml:space="preserve"> فإن هذا التعويض التكميلي قد نص عليه في الفقرة الأخيرة من المادة 1053 وهذه الفقرة هي غير الفقرة الأولى التي تشير إلى تعويض الكفيل</w:t>
      </w:r>
      <w:r>
        <w:rPr>
          <w:rFonts w:hint="cs"/>
          <w:color w:val="000000"/>
          <w:rtl/>
          <w:lang w:bidi="ar-EG"/>
        </w:rPr>
        <w:t xml:space="preserve"> ،</w:t>
      </w:r>
      <w:r w:rsidRPr="00315653">
        <w:rPr>
          <w:rFonts w:hint="cs"/>
          <w:color w:val="000000"/>
          <w:rtl/>
          <w:lang w:bidi="ar-EG"/>
        </w:rPr>
        <w:t xml:space="preserve"> مما يدل على أنه لا يشترط في تعويض الكفيل سوء نية المدين</w:t>
      </w:r>
      <w:r>
        <w:rPr>
          <w:rFonts w:hint="cs"/>
          <w:color w:val="000000"/>
          <w:vertAlign w:val="superscript"/>
          <w:rtl/>
          <w:lang w:bidi="ar-EG"/>
        </w:rPr>
        <w:t xml:space="preserve">( </w:t>
      </w:r>
      <w:r w:rsidRPr="00315653">
        <w:rPr>
          <w:rStyle w:val="ab"/>
          <w:color w:val="000000"/>
          <w:rtl/>
          <w:lang w:bidi="ar-EG"/>
        </w:rPr>
        <w:footnoteReference w:id="38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أجمع الفقه المصري على جواز رجوع الكفيل بتعويض على المدين</w:t>
      </w:r>
      <w:r>
        <w:rPr>
          <w:rFonts w:hint="cs"/>
          <w:color w:val="000000"/>
          <w:rtl/>
          <w:lang w:bidi="ar-EG"/>
        </w:rPr>
        <w:t xml:space="preserve"> ،</w:t>
      </w:r>
      <w:r w:rsidRPr="00315653">
        <w:rPr>
          <w:rFonts w:hint="cs"/>
          <w:color w:val="000000"/>
          <w:rtl/>
          <w:lang w:bidi="ar-EG"/>
        </w:rPr>
        <w:t xml:space="preserve"> وإن كان بعض الفقهاء يشترط سوء نية المدين</w:t>
      </w:r>
      <w:r>
        <w:rPr>
          <w:rFonts w:hint="cs"/>
          <w:color w:val="000000"/>
          <w:vertAlign w:val="superscript"/>
          <w:rtl/>
          <w:lang w:bidi="ar-EG"/>
        </w:rPr>
        <w:t xml:space="preserve">( </w:t>
      </w:r>
      <w:r w:rsidRPr="00315653">
        <w:rPr>
          <w:rStyle w:val="ab"/>
          <w:color w:val="000000"/>
          <w:rtl/>
          <w:lang w:bidi="ar-EG"/>
        </w:rPr>
        <w:footnoteReference w:id="38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$178 وأمثلة التعويض الذي يرجع به الكفيل على المدين عن الضرر </w:t>
      </w:r>
      <w:r w:rsidRPr="00315653">
        <w:rPr>
          <w:rFonts w:hint="cs"/>
          <w:color w:val="000000"/>
          <w:rtl/>
          <w:lang w:bidi="ar-EG"/>
        </w:rPr>
        <w:lastRenderedPageBreak/>
        <w:t>الذي أصاب الكفيل دون خطأ منه أن يضطر الكفيل إلى بيع ماله بثمن بخس حتى يفي بالتزامه نحو الدائن</w:t>
      </w:r>
      <w:r>
        <w:rPr>
          <w:rFonts w:hint="cs"/>
          <w:color w:val="000000"/>
          <w:rtl/>
          <w:lang w:bidi="ar-EG"/>
        </w:rPr>
        <w:t xml:space="preserve"> ،</w:t>
      </w:r>
      <w:r w:rsidRPr="00315653">
        <w:rPr>
          <w:rFonts w:hint="cs"/>
          <w:color w:val="000000"/>
          <w:rtl/>
          <w:lang w:bidi="ar-EG"/>
        </w:rPr>
        <w:t xml:space="preserve"> أو أن يوقع الدائن الحجز على مال الكفيل ويبيعه بثمن بخس</w:t>
      </w:r>
      <w:r>
        <w:rPr>
          <w:rFonts w:hint="cs"/>
          <w:color w:val="000000"/>
          <w:vertAlign w:val="superscript"/>
          <w:rtl/>
          <w:lang w:bidi="ar-EG"/>
        </w:rPr>
        <w:t xml:space="preserve">( </w:t>
      </w:r>
      <w:r w:rsidRPr="00315653">
        <w:rPr>
          <w:rStyle w:val="ab"/>
          <w:color w:val="000000"/>
          <w:rtl/>
          <w:lang w:bidi="ar-EG"/>
        </w:rPr>
        <w:footnoteReference w:id="38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ويعتبر الخطأ منسوباً إلى الكفيل إذا أصابه ضرراً بأن دفع الدين للدائن مرة ثانية بعد أن دفعه المدين</w:t>
      </w:r>
      <w:r>
        <w:rPr>
          <w:rFonts w:hint="cs"/>
          <w:color w:val="000000"/>
          <w:rtl/>
          <w:lang w:bidi="ar-EG"/>
        </w:rPr>
        <w:t xml:space="preserve"> ،</w:t>
      </w:r>
      <w:r w:rsidRPr="00315653">
        <w:rPr>
          <w:rFonts w:hint="cs"/>
          <w:color w:val="000000"/>
          <w:rtl/>
          <w:lang w:bidi="ar-EG"/>
        </w:rPr>
        <w:t xml:space="preserve"> إذا كان الكفيل لم يخطر المدين بعزمه على الدفع</w:t>
      </w:r>
      <w:r>
        <w:rPr>
          <w:rFonts w:hint="cs"/>
          <w:color w:val="000000"/>
          <w:vertAlign w:val="superscript"/>
          <w:rtl/>
          <w:lang w:bidi="ar-EG"/>
        </w:rPr>
        <w:t xml:space="preserve">( </w:t>
      </w:r>
      <w:r w:rsidRPr="00315653">
        <w:rPr>
          <w:rStyle w:val="ab"/>
          <w:color w:val="000000"/>
          <w:rtl/>
          <w:lang w:bidi="ar-EG"/>
        </w:rPr>
        <w:footnoteReference w:id="38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64- ما الذي يرجع به الكفيل على المدين في الدعوى الشخصية إذا وفى الكفيل جزءا من الدين</w:t>
      </w:r>
      <w:r>
        <w:rPr>
          <w:rFonts w:hint="cs"/>
          <w:color w:val="000000"/>
          <w:rtl/>
          <w:lang w:bidi="ar-EG"/>
        </w:rPr>
        <w:t xml:space="preserve"> :</w:t>
      </w:r>
      <w:r w:rsidRPr="00315653">
        <w:rPr>
          <w:rFonts w:hint="cs"/>
          <w:color w:val="000000"/>
          <w:rtl/>
          <w:lang w:bidi="ar-EG"/>
        </w:rPr>
        <w:t xml:space="preserve"> يفي الكفيل الدائن بجزء من الدين إما لأن $179 الكفيل لم يكفل إلا هذا الجزء</w:t>
      </w:r>
      <w:r>
        <w:rPr>
          <w:rFonts w:hint="cs"/>
          <w:color w:val="000000"/>
          <w:rtl/>
          <w:lang w:bidi="ar-EG"/>
        </w:rPr>
        <w:t xml:space="preserve"> ،</w:t>
      </w:r>
      <w:r w:rsidRPr="00315653">
        <w:rPr>
          <w:rFonts w:hint="cs"/>
          <w:color w:val="000000"/>
          <w:rtl/>
          <w:lang w:bidi="ar-EG"/>
        </w:rPr>
        <w:t>أو لأن الكفيل قد كفل كل الدين ولكن الدائن قبل منه وفاء جزئياً وأبرأه من باقي الدين أو لم يبرئه منه فبقى الكفيل ملتزماً بباقي الدين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وأياً كان السبب في الوفاء الجزئي</w:t>
      </w:r>
      <w:r>
        <w:rPr>
          <w:rFonts w:hint="cs"/>
          <w:color w:val="000000"/>
          <w:rtl/>
          <w:lang w:bidi="ar-EG"/>
        </w:rPr>
        <w:t xml:space="preserve"> ،</w:t>
      </w:r>
      <w:r w:rsidRPr="00315653">
        <w:rPr>
          <w:rFonts w:hint="cs"/>
          <w:color w:val="000000"/>
          <w:rtl/>
          <w:lang w:bidi="ar-EG"/>
        </w:rPr>
        <w:t xml:space="preserve"> فإن الكفيل لا يرجع على المدين إلا بمقدار ما وفاه</w:t>
      </w:r>
      <w:r>
        <w:rPr>
          <w:rFonts w:hint="cs"/>
          <w:color w:val="000000"/>
          <w:rtl/>
          <w:lang w:bidi="ar-EG"/>
        </w:rPr>
        <w:t xml:space="preserve"> ،</w:t>
      </w:r>
      <w:r w:rsidRPr="00315653">
        <w:rPr>
          <w:rFonts w:hint="cs"/>
          <w:color w:val="000000"/>
          <w:rtl/>
          <w:lang w:bidi="ar-EG"/>
        </w:rPr>
        <w:t xml:space="preserve"> مع فوائده ومصروفاته</w:t>
      </w:r>
      <w:r>
        <w:rPr>
          <w:rFonts w:hint="cs"/>
          <w:color w:val="000000"/>
          <w:vertAlign w:val="superscript"/>
          <w:rtl/>
          <w:lang w:bidi="ar-EG"/>
        </w:rPr>
        <w:t xml:space="preserve">( </w:t>
      </w:r>
      <w:r w:rsidRPr="00315653">
        <w:rPr>
          <w:rStyle w:val="ab"/>
          <w:color w:val="000000"/>
          <w:rtl/>
          <w:lang w:bidi="ar-EG"/>
        </w:rPr>
        <w:footnoteReference w:id="388"/>
      </w:r>
      <w:r>
        <w:rPr>
          <w:rFonts w:hint="cs"/>
          <w:color w:val="000000"/>
          <w:vertAlign w:val="superscript"/>
          <w:rtl/>
          <w:lang w:bidi="ar-EG"/>
        </w:rPr>
        <w:t xml:space="preserve"> )</w:t>
      </w:r>
      <w:r>
        <w:rPr>
          <w:rFonts w:hint="cs"/>
          <w:color w:val="000000"/>
          <w:rtl/>
          <w:lang w:bidi="ar-EG"/>
        </w:rPr>
        <w:t xml:space="preserve"> </w:t>
      </w:r>
      <w:r>
        <w:rPr>
          <w:rFonts w:hint="cs"/>
          <w:color w:val="000000"/>
          <w:rtl/>
          <w:lang w:bidi="ar-EG"/>
        </w:rPr>
        <w:lastRenderedPageBreak/>
        <w:t>.</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رجع الكفيل على المدين بجزء من الدين هو مقدار ما وفاه</w:t>
      </w:r>
      <w:r>
        <w:rPr>
          <w:rFonts w:hint="cs"/>
          <w:color w:val="000000"/>
          <w:rtl/>
          <w:lang w:bidi="ar-EG"/>
        </w:rPr>
        <w:t xml:space="preserve"> ،</w:t>
      </w:r>
      <w:r w:rsidRPr="00315653">
        <w:rPr>
          <w:rFonts w:hint="cs"/>
          <w:color w:val="000000"/>
          <w:rtl/>
          <w:lang w:bidi="ar-EG"/>
        </w:rPr>
        <w:t xml:space="preserve"> ورجع الدائن أيضاً على المدين بالباقي من الدين</w:t>
      </w:r>
      <w:r>
        <w:rPr>
          <w:rFonts w:hint="cs"/>
          <w:color w:val="000000"/>
          <w:rtl/>
          <w:lang w:bidi="ar-EG"/>
        </w:rPr>
        <w:t xml:space="preserve"> ،</w:t>
      </w:r>
      <w:r w:rsidRPr="00315653">
        <w:rPr>
          <w:rFonts w:hint="cs"/>
          <w:color w:val="000000"/>
          <w:rtl/>
          <w:lang w:bidi="ar-EG"/>
        </w:rPr>
        <w:t xml:space="preserve"> فإن الدائن لا يتقدم على الكفيل في هذا الرجوع</w:t>
      </w:r>
      <w:r>
        <w:rPr>
          <w:rFonts w:hint="cs"/>
          <w:color w:val="000000"/>
          <w:rtl/>
          <w:lang w:bidi="ar-EG"/>
        </w:rPr>
        <w:t xml:space="preserve"> ،</w:t>
      </w:r>
      <w:r w:rsidRPr="00315653">
        <w:rPr>
          <w:rFonts w:hint="cs"/>
          <w:color w:val="000000"/>
          <w:rtl/>
          <w:lang w:bidi="ar-EG"/>
        </w:rPr>
        <w:t xml:space="preserve"> بل بتزاحم الاثنان معاً</w:t>
      </w:r>
      <w:r>
        <w:rPr>
          <w:rFonts w:hint="cs"/>
          <w:color w:val="000000"/>
          <w:rtl/>
          <w:lang w:bidi="ar-EG"/>
        </w:rPr>
        <w:t xml:space="preserve"> ،</w:t>
      </w:r>
      <w:r w:rsidRPr="00315653">
        <w:rPr>
          <w:rFonts w:hint="cs"/>
          <w:color w:val="000000"/>
          <w:rtl/>
          <w:lang w:bidi="ar-EG"/>
        </w:rPr>
        <w:t xml:space="preserve"> فإذا لم يكن لدى المدين ما يفي برجوع كل من الدائن والكفيل</w:t>
      </w:r>
      <w:r>
        <w:rPr>
          <w:rFonts w:hint="cs"/>
          <w:color w:val="000000"/>
          <w:rtl/>
          <w:lang w:bidi="ar-EG"/>
        </w:rPr>
        <w:t xml:space="preserve"> ،</w:t>
      </w:r>
      <w:r w:rsidRPr="00315653">
        <w:rPr>
          <w:rFonts w:hint="cs"/>
          <w:color w:val="000000"/>
          <w:rtl/>
          <w:lang w:bidi="ar-EG"/>
        </w:rPr>
        <w:t xml:space="preserve"> فإن هذين الاثنين الأخيرين مع الدائنين الآخرين يتقاسمون ما عند المدين</w:t>
      </w:r>
      <w:r>
        <w:rPr>
          <w:rFonts w:hint="cs"/>
          <w:color w:val="000000"/>
          <w:rtl/>
          <w:lang w:bidi="ar-EG"/>
        </w:rPr>
        <w:t xml:space="preserve"> ،</w:t>
      </w:r>
      <w:r w:rsidRPr="00315653">
        <w:rPr>
          <w:rFonts w:hint="cs"/>
          <w:color w:val="000000"/>
          <w:rtl/>
          <w:lang w:bidi="ar-EG"/>
        </w:rPr>
        <w:t xml:space="preserve"> ويأخذ كل منهم بنسبة ما يرجع به على المدين</w:t>
      </w:r>
      <w:r>
        <w:rPr>
          <w:rFonts w:hint="cs"/>
          <w:color w:val="000000"/>
          <w:vertAlign w:val="superscript"/>
          <w:rtl/>
          <w:lang w:bidi="ar-EG"/>
        </w:rPr>
        <w:t xml:space="preserve">( </w:t>
      </w:r>
      <w:r w:rsidRPr="00315653">
        <w:rPr>
          <w:rStyle w:val="ab"/>
          <w:color w:val="000000"/>
          <w:rtl/>
          <w:lang w:bidi="ar-EG"/>
        </w:rPr>
        <w:footnoteReference w:id="38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بخلاف دعوى الحلول</w:t>
      </w:r>
      <w:r>
        <w:rPr>
          <w:rFonts w:hint="cs"/>
          <w:color w:val="000000"/>
          <w:rtl/>
          <w:lang w:bidi="ar-EG"/>
        </w:rPr>
        <w:t xml:space="preserve"> ،</w:t>
      </w:r>
      <w:r w:rsidRPr="00315653">
        <w:rPr>
          <w:rFonts w:hint="cs"/>
          <w:color w:val="000000"/>
          <w:rtl/>
          <w:lang w:bidi="ar-EG"/>
        </w:rPr>
        <w:t xml:space="preserve"> فسنرى أن الكفيل إذا لم يوف $180 إلا بعض الدين</w:t>
      </w:r>
      <w:r>
        <w:rPr>
          <w:rFonts w:hint="cs"/>
          <w:color w:val="000000"/>
          <w:rtl/>
          <w:lang w:bidi="ar-EG"/>
        </w:rPr>
        <w:t xml:space="preserve"> ،</w:t>
      </w:r>
      <w:r w:rsidRPr="00315653">
        <w:rPr>
          <w:rFonts w:hint="cs"/>
          <w:color w:val="000000"/>
          <w:rtl/>
          <w:lang w:bidi="ar-EG"/>
        </w:rPr>
        <w:t xml:space="preserve"> لم يجرع على المدين بما وفاه إلا بعد أن يستوفي الدائن كل حقه من الدين </w:t>
      </w:r>
      <w:r>
        <w:rPr>
          <w:rFonts w:hint="cs"/>
          <w:color w:val="000000"/>
          <w:rtl/>
          <w:lang w:bidi="ar-EG"/>
        </w:rPr>
        <w:t xml:space="preserve">( </w:t>
      </w:r>
      <w:r w:rsidRPr="00315653">
        <w:rPr>
          <w:rFonts w:hint="cs"/>
          <w:color w:val="000000"/>
          <w:rtl/>
          <w:lang w:bidi="ar-EG"/>
        </w:rPr>
        <w:t>م 799 مدني</w:t>
      </w:r>
      <w:r>
        <w:rPr>
          <w:rFonts w:hint="cs"/>
          <w:color w:val="000000"/>
          <w:rtl/>
          <w:lang w:bidi="ar-EG"/>
        </w:rPr>
        <w:t xml:space="preserve"> ) .</w:t>
      </w:r>
    </w:p>
    <w:p w:rsidR="00F72742" w:rsidRPr="00315653" w:rsidRDefault="00F72742" w:rsidP="00F72742">
      <w:pPr>
        <w:widowControl w:val="0"/>
        <w:spacing w:after="120"/>
        <w:jc w:val="center"/>
        <w:rPr>
          <w:rFonts w:hint="cs"/>
          <w:b/>
          <w:bCs/>
          <w:color w:val="000000"/>
          <w:rtl/>
          <w:lang w:bidi="ar-EG"/>
        </w:rPr>
      </w:pPr>
      <w:r w:rsidRPr="00315653">
        <w:rPr>
          <w:b/>
          <w:bCs/>
          <w:color w:val="000000"/>
          <w:rtl/>
          <w:lang w:bidi="ar-EG"/>
        </w:rPr>
        <w:t>§</w:t>
      </w:r>
      <w:r w:rsidRPr="00315653">
        <w:rPr>
          <w:rFonts w:hint="cs"/>
          <w:b/>
          <w:bCs/>
          <w:color w:val="000000"/>
          <w:rtl/>
          <w:lang w:bidi="ar-EG"/>
        </w:rPr>
        <w:t xml:space="preserve"> 2- رجوع الكفيل على المدين بدعوى الحلول</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65- نص قانوني</w:t>
      </w:r>
      <w:r>
        <w:rPr>
          <w:rFonts w:hint="cs"/>
          <w:color w:val="000000"/>
          <w:rtl/>
          <w:lang w:bidi="ar-EG"/>
        </w:rPr>
        <w:t xml:space="preserve"> :</w:t>
      </w:r>
      <w:r w:rsidRPr="00315653">
        <w:rPr>
          <w:rFonts w:hint="cs"/>
          <w:color w:val="000000"/>
          <w:rtl/>
          <w:lang w:bidi="ar-EG"/>
        </w:rPr>
        <w:t xml:space="preserve"> تنص المادة 799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"إذا وفى الكفيل الدين</w:t>
      </w:r>
      <w:r>
        <w:rPr>
          <w:rFonts w:hint="cs"/>
          <w:color w:val="000000"/>
          <w:rtl/>
          <w:lang w:bidi="ar-EG"/>
        </w:rPr>
        <w:t xml:space="preserve"> ،</w:t>
      </w:r>
      <w:r w:rsidRPr="00315653">
        <w:rPr>
          <w:rFonts w:hint="cs"/>
          <w:color w:val="000000"/>
          <w:rtl/>
          <w:lang w:bidi="ar-EG"/>
        </w:rPr>
        <w:t xml:space="preserve"> كان له أن حل محل الدائن في جميع ما له من حقوق قبل المدين</w:t>
      </w:r>
      <w:r>
        <w:rPr>
          <w:rFonts w:hint="cs"/>
          <w:color w:val="000000"/>
          <w:rtl/>
          <w:lang w:bidi="ar-EG"/>
        </w:rPr>
        <w:t xml:space="preserve"> .</w:t>
      </w:r>
      <w:r w:rsidRPr="00315653">
        <w:rPr>
          <w:rFonts w:hint="cs"/>
          <w:color w:val="000000"/>
          <w:rtl/>
          <w:lang w:bidi="ar-EG"/>
        </w:rPr>
        <w:t xml:space="preserve"> ولكن إذا ل يوف إلا بعض الدين</w:t>
      </w:r>
      <w:r>
        <w:rPr>
          <w:rFonts w:hint="cs"/>
          <w:color w:val="000000"/>
          <w:rtl/>
          <w:lang w:bidi="ar-EG"/>
        </w:rPr>
        <w:t xml:space="preserve"> ،</w:t>
      </w:r>
      <w:r w:rsidRPr="00315653">
        <w:rPr>
          <w:rFonts w:hint="cs"/>
          <w:color w:val="000000"/>
          <w:rtl/>
          <w:lang w:bidi="ar-EG"/>
        </w:rPr>
        <w:t xml:space="preserve"> فلا يرجع بما وفاه إلا بعد أن يستوفي الدائن كل حقه من الدين"</w:t>
      </w:r>
      <w:r>
        <w:rPr>
          <w:rFonts w:hint="cs"/>
          <w:color w:val="000000"/>
          <w:vertAlign w:val="superscript"/>
          <w:rtl/>
          <w:lang w:bidi="ar-EG"/>
        </w:rPr>
        <w:t xml:space="preserve">( </w:t>
      </w:r>
      <w:r w:rsidRPr="00315653">
        <w:rPr>
          <w:rStyle w:val="ab"/>
          <w:color w:val="000000"/>
          <w:rtl/>
          <w:lang w:bidi="ar-EG"/>
        </w:rPr>
        <w:footnoteReference w:id="39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$181 ونسير في دعوى الحلول على نفس الخطة التي اتبعناها في الدعوى الشخصية</w:t>
      </w:r>
      <w:r>
        <w:rPr>
          <w:rFonts w:hint="cs"/>
          <w:color w:val="000000"/>
          <w:rtl/>
          <w:lang w:bidi="ar-EG"/>
        </w:rPr>
        <w:t xml:space="preserve"> ،</w:t>
      </w:r>
      <w:r w:rsidRPr="00315653">
        <w:rPr>
          <w:rFonts w:hint="cs"/>
          <w:color w:val="000000"/>
          <w:rtl/>
          <w:lang w:bidi="ar-EG"/>
        </w:rPr>
        <w:t xml:space="preserve"> فيما عدا البحث في الأساس القانوني الذي تقوم عليه دعوى الحول إذ أن هذه الدعوى ليست إلا تطبيقاً للقواعد العامة في الحلول القانوني فيما إذا قام بالوفاء شخص غر المدين فيحل الموفي محل الدائن إذا كان ملزماً بوفاء الدين عن المدين</w:t>
      </w:r>
      <w:r>
        <w:rPr>
          <w:rFonts w:hint="cs"/>
          <w:color w:val="000000"/>
          <w:rtl/>
          <w:lang w:bidi="ar-EG"/>
        </w:rPr>
        <w:t xml:space="preserve"> .</w:t>
      </w:r>
      <w:r w:rsidRPr="00315653">
        <w:rPr>
          <w:rFonts w:hint="cs"/>
          <w:color w:val="000000"/>
          <w:rtl/>
          <w:lang w:bidi="ar-EG"/>
        </w:rPr>
        <w:t xml:space="preserve"> ونضيف إلى ما نبحثه موازنة بين دعوى الحلول والدعوى الشخصية</w:t>
      </w:r>
      <w:r>
        <w:rPr>
          <w:rFonts w:hint="cs"/>
          <w:color w:val="000000"/>
          <w:rtl/>
          <w:lang w:bidi="ar-EG"/>
        </w:rPr>
        <w:t xml:space="preserve"> .</w:t>
      </w:r>
      <w:r w:rsidRPr="00315653">
        <w:rPr>
          <w:rFonts w:hint="cs"/>
          <w:color w:val="000000"/>
          <w:rtl/>
          <w:lang w:bidi="ar-EG"/>
        </w:rPr>
        <w:t xml:space="preserve"> وعلى ذلك نبحث</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أي كفيل يرجع بدعوى الحلول على المدين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الشروط الواجب توافرها لرجوع الكفيل على المدين بدعوى الحلول</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ما الذي يرجع به الكفيل على المدين في دعوى الحلول الذا</w:t>
      </w:r>
      <w:r w:rsidRPr="00315653">
        <w:rPr>
          <w:rFonts w:hint="eastAsia"/>
          <w:color w:val="000000"/>
          <w:rtl/>
          <w:lang w:bidi="ar-EG"/>
        </w:rPr>
        <w:t>ت</w:t>
      </w:r>
      <w:r w:rsidRPr="00315653">
        <w:rPr>
          <w:rFonts w:hint="cs"/>
          <w:color w:val="000000"/>
          <w:rtl/>
          <w:lang w:bidi="ar-EG"/>
        </w:rPr>
        <w:t xml:space="preserve"> وفي الكفيل الدين كاملا</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ما الذي يرجع به الكفيل على المدين في دعوى الحلول إذا وفى الكيل جزءاً من الدين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5</w:t>
      </w:r>
      <w:r>
        <w:rPr>
          <w:rFonts w:hint="cs"/>
          <w:color w:val="000000"/>
          <w:rtl/>
          <w:lang w:bidi="ar-EG"/>
        </w:rPr>
        <w:t xml:space="preserve"> )</w:t>
      </w:r>
      <w:r w:rsidRPr="00315653">
        <w:rPr>
          <w:rFonts w:hint="cs"/>
          <w:color w:val="000000"/>
          <w:rtl/>
          <w:lang w:bidi="ar-EG"/>
        </w:rPr>
        <w:t xml:space="preserve"> موازنة بين دعوى الحلول والدعوى الشخصية</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66- أي كفيل يرجع بدعوى الحلول على المدين</w:t>
      </w:r>
      <w:r>
        <w:rPr>
          <w:rFonts w:hint="cs"/>
          <w:color w:val="000000"/>
          <w:rtl/>
          <w:lang w:bidi="ar-EG"/>
        </w:rPr>
        <w:t xml:space="preserve"> :</w:t>
      </w:r>
      <w:r w:rsidRPr="00315653">
        <w:rPr>
          <w:rFonts w:hint="cs"/>
          <w:color w:val="000000"/>
          <w:rtl/>
          <w:lang w:bidi="ar-EG"/>
        </w:rPr>
        <w:t xml:space="preserve"> كل كفيل يرجع بدعوى الحلول على المدين</w:t>
      </w:r>
      <w:r>
        <w:rPr>
          <w:rFonts w:hint="cs"/>
          <w:color w:val="000000"/>
          <w:rtl/>
          <w:lang w:bidi="ar-EG"/>
        </w:rPr>
        <w:t xml:space="preserve"> ،</w:t>
      </w:r>
      <w:r w:rsidRPr="00315653">
        <w:rPr>
          <w:rFonts w:hint="cs"/>
          <w:color w:val="000000"/>
          <w:rtl/>
          <w:lang w:bidi="ar-EG"/>
        </w:rPr>
        <w:t xml:space="preserve"> يستوي في ذلك الكفيل الذي عقد الكفالة لمصلحة المدين سواء كان بأمر المدين أو بعلمه أو بغير علمه</w:t>
      </w:r>
      <w:r>
        <w:rPr>
          <w:rFonts w:hint="cs"/>
          <w:color w:val="000000"/>
          <w:rtl/>
          <w:lang w:bidi="ar-EG"/>
        </w:rPr>
        <w:t xml:space="preserve"> ،</w:t>
      </w:r>
      <w:r w:rsidRPr="00315653">
        <w:rPr>
          <w:rFonts w:hint="cs"/>
          <w:color w:val="000000"/>
          <w:rtl/>
          <w:lang w:bidi="ar-EG"/>
        </w:rPr>
        <w:t xml:space="preserve"> والكفيل الذي عقد الكفالة لمصلحة المدين بالرغم من معارضة هذا الأخير</w:t>
      </w:r>
      <w:r>
        <w:rPr>
          <w:rFonts w:hint="cs"/>
          <w:color w:val="000000"/>
          <w:rtl/>
          <w:lang w:bidi="ar-EG"/>
        </w:rPr>
        <w:t xml:space="preserve"> ،</w:t>
      </w:r>
      <w:r w:rsidRPr="00315653">
        <w:rPr>
          <w:rFonts w:hint="cs"/>
          <w:color w:val="000000"/>
          <w:rtl/>
          <w:lang w:bidi="ar-EG"/>
        </w:rPr>
        <w:t xml:space="preserve"> والكفيل عقد الكفالة لمصلحة الدائن</w:t>
      </w:r>
      <w:r>
        <w:rPr>
          <w:rFonts w:hint="cs"/>
          <w:color w:val="000000"/>
          <w:vertAlign w:val="superscript"/>
          <w:rtl/>
          <w:lang w:bidi="ar-EG"/>
        </w:rPr>
        <w:t xml:space="preserve">( </w:t>
      </w:r>
      <w:r w:rsidRPr="00315653">
        <w:rPr>
          <w:rStyle w:val="ab"/>
          <w:color w:val="000000"/>
          <w:rtl/>
          <w:lang w:bidi="ar-EG"/>
        </w:rPr>
        <w:footnoteReference w:id="39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ويستوي في ذلك أيضاً أن تكون الكفالة قد عقدت لمصلحة المدين وحده</w:t>
      </w:r>
      <w:r>
        <w:rPr>
          <w:rFonts w:hint="cs"/>
          <w:color w:val="000000"/>
          <w:rtl/>
          <w:lang w:bidi="ar-EG"/>
        </w:rPr>
        <w:t xml:space="preserve"> ،</w:t>
      </w:r>
      <w:r w:rsidRPr="00315653">
        <w:rPr>
          <w:rFonts w:hint="cs"/>
          <w:color w:val="000000"/>
          <w:rtl/>
          <w:lang w:bidi="ar-EG"/>
        </w:rPr>
        <w:t xml:space="preserve"> أو لمصلحة الدائن وحده</w:t>
      </w:r>
      <w:r>
        <w:rPr>
          <w:rFonts w:hint="cs"/>
          <w:color w:val="000000"/>
          <w:rtl/>
          <w:lang w:bidi="ar-EG"/>
        </w:rPr>
        <w:t xml:space="preserve"> ،</w:t>
      </w:r>
      <w:r w:rsidRPr="00315653">
        <w:rPr>
          <w:rFonts w:hint="cs"/>
          <w:color w:val="000000"/>
          <w:rtl/>
          <w:lang w:bidi="ar-EG"/>
        </w:rPr>
        <w:t xml:space="preserve"> أو لمصلحة الاثنين معاً</w:t>
      </w:r>
      <w:r>
        <w:rPr>
          <w:rFonts w:hint="cs"/>
          <w:color w:val="000000"/>
          <w:rtl/>
          <w:lang w:bidi="ar-EG"/>
        </w:rPr>
        <w:t xml:space="preserve"> ،</w:t>
      </w:r>
      <w:r w:rsidRPr="00315653">
        <w:rPr>
          <w:rFonts w:hint="cs"/>
          <w:color w:val="000000"/>
          <w:rtl/>
          <w:lang w:bidi="ar-EG"/>
        </w:rPr>
        <w:t xml:space="preserve"> أو لمصلحة المدين والكفيل</w:t>
      </w:r>
      <w:r>
        <w:rPr>
          <w:rFonts w:hint="cs"/>
          <w:color w:val="000000"/>
          <w:rtl/>
          <w:lang w:bidi="ar-EG"/>
        </w:rPr>
        <w:t xml:space="preserve"> ،</w:t>
      </w:r>
      <w:r w:rsidRPr="00315653">
        <w:rPr>
          <w:rFonts w:hint="cs"/>
          <w:color w:val="000000"/>
          <w:rtl/>
          <w:lang w:bidi="ar-EG"/>
        </w:rPr>
        <w:t xml:space="preserve"> أو لمصلحة الدائن والكفيل</w:t>
      </w:r>
      <w:r>
        <w:rPr>
          <w:rFonts w:hint="cs"/>
          <w:color w:val="000000"/>
          <w:rtl/>
          <w:lang w:bidi="ar-EG"/>
        </w:rPr>
        <w:t xml:space="preserve"> .</w:t>
      </w:r>
      <w:r w:rsidRPr="00315653">
        <w:rPr>
          <w:rFonts w:hint="cs"/>
          <w:color w:val="000000"/>
          <w:rtl/>
          <w:lang w:bidi="ar-EG"/>
        </w:rPr>
        <w:t xml:space="preserve"> وعلى ذلك يستوي الكفيل غير المأجور</w:t>
      </w:r>
      <w:r>
        <w:rPr>
          <w:rFonts w:hint="cs"/>
          <w:color w:val="000000"/>
          <w:rtl/>
          <w:lang w:bidi="ar-EG"/>
        </w:rPr>
        <w:t xml:space="preserve"> ،</w:t>
      </w:r>
      <w:r w:rsidRPr="00315653">
        <w:rPr>
          <w:rFonts w:hint="cs"/>
          <w:color w:val="000000"/>
          <w:rtl/>
          <w:lang w:bidi="ar-EG"/>
        </w:rPr>
        <w:t xml:space="preserve"> والكفيل المأجور</w:t>
      </w:r>
      <w:r>
        <w:rPr>
          <w:rFonts w:hint="cs"/>
          <w:color w:val="000000"/>
          <w:rtl/>
          <w:lang w:bidi="ar-EG"/>
        </w:rPr>
        <w:t xml:space="preserve"> .</w:t>
      </w:r>
      <w:r w:rsidRPr="00315653">
        <w:rPr>
          <w:rFonts w:hint="cs"/>
          <w:color w:val="000000"/>
          <w:rtl/>
          <w:lang w:bidi="ar-EG"/>
        </w:rPr>
        <w:t xml:space="preserve"> ويستوي أخيراً الكفيل غير المتضامن مع المدين</w:t>
      </w:r>
      <w:r>
        <w:rPr>
          <w:rFonts w:hint="cs"/>
          <w:color w:val="000000"/>
          <w:rtl/>
          <w:lang w:bidi="ar-EG"/>
        </w:rPr>
        <w:t xml:space="preserve"> ،</w:t>
      </w:r>
      <w:r w:rsidRPr="00315653">
        <w:rPr>
          <w:rFonts w:hint="cs"/>
          <w:color w:val="000000"/>
          <w:rtl/>
          <w:lang w:bidi="ar-EG"/>
        </w:rPr>
        <w:t xml:space="preserve"> والكفيل المتضامن مع المدين</w:t>
      </w:r>
      <w:r>
        <w:rPr>
          <w:rFonts w:hint="cs"/>
          <w:color w:val="000000"/>
          <w:vertAlign w:val="superscript"/>
          <w:rtl/>
          <w:lang w:bidi="ar-EG"/>
        </w:rPr>
        <w:t xml:space="preserve">( </w:t>
      </w:r>
      <w:r w:rsidRPr="00315653">
        <w:rPr>
          <w:rStyle w:val="ab"/>
          <w:color w:val="000000"/>
          <w:rtl/>
          <w:lang w:bidi="ar-EG"/>
        </w:rPr>
        <w:footnoteReference w:id="39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$182 والأصل في ذلك ما نصت عليه المادة 326 مدني من أنه "إذا قام بالوفاء شخص غير المدين</w:t>
      </w:r>
      <w:r>
        <w:rPr>
          <w:rFonts w:hint="cs"/>
          <w:color w:val="000000"/>
          <w:rtl/>
          <w:lang w:bidi="ar-EG"/>
        </w:rPr>
        <w:t xml:space="preserve"> ،</w:t>
      </w:r>
      <w:r w:rsidRPr="00315653">
        <w:rPr>
          <w:rFonts w:hint="cs"/>
          <w:color w:val="000000"/>
          <w:rtl/>
          <w:lang w:bidi="ar-EG"/>
        </w:rPr>
        <w:t xml:space="preserve"> حل الموفي محل الدائن الذي استوفى حقه في الأحوال شخص غير المدين</w:t>
      </w:r>
      <w:r>
        <w:rPr>
          <w:rFonts w:hint="cs"/>
          <w:color w:val="000000"/>
          <w:rtl/>
          <w:lang w:bidi="ar-EG"/>
        </w:rPr>
        <w:t xml:space="preserve"> ،</w:t>
      </w:r>
      <w:r w:rsidRPr="00315653">
        <w:rPr>
          <w:rFonts w:hint="cs"/>
          <w:color w:val="000000"/>
          <w:rtl/>
          <w:lang w:bidi="ar-EG"/>
        </w:rPr>
        <w:t xml:space="preserve"> حل الموفى محل الدائن الذي استوفى حقه في الأحوال الآتية</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إذا كان الموفي ملزماً بالدين مع المدين أو ملزماً بوفائه عنه</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ب</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 . .</w:t>
      </w:r>
      <w:r w:rsidRPr="00315653">
        <w:rPr>
          <w:rFonts w:hint="cs"/>
          <w:color w:val="000000"/>
          <w:rtl/>
          <w:lang w:bidi="ar-EG"/>
        </w:rPr>
        <w:t>"</w:t>
      </w:r>
      <w:r>
        <w:rPr>
          <w:rFonts w:hint="cs"/>
          <w:color w:val="000000"/>
          <w:rtl/>
          <w:lang w:bidi="ar-EG"/>
        </w:rPr>
        <w:t xml:space="preserve"> .</w:t>
      </w:r>
      <w:r w:rsidRPr="00315653">
        <w:rPr>
          <w:rFonts w:hint="cs"/>
          <w:color w:val="000000"/>
          <w:rtl/>
          <w:lang w:bidi="ar-EG"/>
        </w:rPr>
        <w:t xml:space="preserve">  فالكفيل ملزم بوفاء الدين عن المدين</w:t>
      </w:r>
      <w:r>
        <w:rPr>
          <w:rFonts w:hint="cs"/>
          <w:color w:val="000000"/>
          <w:rtl/>
          <w:lang w:bidi="ar-EG"/>
        </w:rPr>
        <w:t xml:space="preserve"> </w:t>
      </w:r>
      <w:r>
        <w:rPr>
          <w:rFonts w:hint="cs"/>
          <w:color w:val="000000"/>
          <w:rtl/>
          <w:lang w:bidi="ar-EG"/>
        </w:rPr>
        <w:lastRenderedPageBreak/>
        <w:t>،</w:t>
      </w:r>
      <w:r w:rsidRPr="00315653">
        <w:rPr>
          <w:rFonts w:hint="cs"/>
          <w:color w:val="000000"/>
          <w:rtl/>
          <w:lang w:bidi="ar-EG"/>
        </w:rPr>
        <w:t xml:space="preserve"> ومن ثم إذا وفى الدين للدائن كان أن يحل محل الدائن في جميع ما لهذا الأخير من حقوق قبل المدين</w:t>
      </w:r>
      <w:r>
        <w:rPr>
          <w:rFonts w:hint="cs"/>
          <w:color w:val="000000"/>
          <w:rtl/>
          <w:lang w:bidi="ar-EG"/>
        </w:rPr>
        <w:t xml:space="preserve"> .</w:t>
      </w:r>
      <w:r w:rsidRPr="00315653">
        <w:rPr>
          <w:rFonts w:hint="cs"/>
          <w:color w:val="000000"/>
          <w:rtl/>
          <w:lang w:bidi="ar-EG"/>
        </w:rPr>
        <w:t xml:space="preserve"> فليست المادة 799 مدني سالفة الذكر</w:t>
      </w:r>
      <w:r>
        <w:rPr>
          <w:rFonts w:hint="cs"/>
          <w:color w:val="000000"/>
          <w:vertAlign w:val="superscript"/>
          <w:rtl/>
          <w:lang w:bidi="ar-EG"/>
        </w:rPr>
        <w:t xml:space="preserve">( </w:t>
      </w:r>
      <w:r w:rsidRPr="00315653">
        <w:rPr>
          <w:rStyle w:val="ab"/>
          <w:color w:val="000000"/>
          <w:rtl/>
          <w:lang w:bidi="ar-EG"/>
        </w:rPr>
        <w:footnoteReference w:id="393"/>
      </w:r>
      <w:r>
        <w:rPr>
          <w:rFonts w:hint="cs"/>
          <w:color w:val="000000"/>
          <w:vertAlign w:val="superscript"/>
          <w:rtl/>
          <w:lang w:bidi="ar-EG"/>
        </w:rPr>
        <w:t xml:space="preserve"> )</w:t>
      </w:r>
      <w:r w:rsidRPr="00315653">
        <w:rPr>
          <w:rFonts w:hint="cs"/>
          <w:color w:val="000000"/>
          <w:rtl/>
          <w:lang w:bidi="ar-EG"/>
        </w:rPr>
        <w:t xml:space="preserve"> إلا تطبيقاً تشريعياً للمادة 326 مدني</w:t>
      </w:r>
      <w:r>
        <w:rPr>
          <w:rFonts w:hint="cs"/>
          <w:color w:val="000000"/>
          <w:rtl/>
          <w:lang w:bidi="ar-EG"/>
        </w:rPr>
        <w:t xml:space="preserve"> ،</w:t>
      </w:r>
      <w:r w:rsidRPr="00315653">
        <w:rPr>
          <w:rFonts w:hint="cs"/>
          <w:color w:val="000000"/>
          <w:rtl/>
          <w:lang w:bidi="ar-EG"/>
        </w:rPr>
        <w:t xml:space="preserve"> وقد أعطت دعوى الحلول للكفيل في عبارة عامة مطلقة</w:t>
      </w:r>
      <w:r>
        <w:rPr>
          <w:rFonts w:hint="cs"/>
          <w:color w:val="000000"/>
          <w:rtl/>
          <w:lang w:bidi="ar-EG"/>
        </w:rPr>
        <w:t xml:space="preserve"> ،</w:t>
      </w:r>
      <w:r w:rsidRPr="00315653">
        <w:rPr>
          <w:rFonts w:hint="cs"/>
          <w:color w:val="000000"/>
          <w:rtl/>
          <w:lang w:bidi="ar-EG"/>
        </w:rPr>
        <w:t xml:space="preserve"> بخلاف الدعوى الشخصية المنصوص عليها في المادة 800 مدني فإنها أعطيت للكفيل إذا عقد الكفالة بعلم المدين أو بغير علمه دون الكفل الذي عقد الكفالة بالرغم من معارضة المدين</w:t>
      </w:r>
      <w:r>
        <w:rPr>
          <w:rFonts w:hint="cs"/>
          <w:color w:val="000000"/>
          <w:vertAlign w:val="superscript"/>
          <w:rtl/>
          <w:lang w:bidi="ar-EG"/>
        </w:rPr>
        <w:t xml:space="preserve">( </w:t>
      </w:r>
      <w:r w:rsidRPr="00315653">
        <w:rPr>
          <w:rStyle w:val="ab"/>
          <w:color w:val="000000"/>
          <w:rtl/>
          <w:lang w:bidi="ar-EG"/>
        </w:rPr>
        <w:footnoteReference w:id="39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ويكون حلول الكفيل محل الدائن القانون</w:t>
      </w:r>
      <w:r>
        <w:rPr>
          <w:rFonts w:hint="cs"/>
          <w:color w:val="000000"/>
          <w:rtl/>
          <w:lang w:bidi="ar-EG"/>
        </w:rPr>
        <w:t xml:space="preserve"> ،</w:t>
      </w:r>
      <w:r w:rsidRPr="00315653">
        <w:rPr>
          <w:rFonts w:hint="cs"/>
          <w:color w:val="000000"/>
          <w:rtl/>
          <w:lang w:bidi="ar-EG"/>
        </w:rPr>
        <w:t xml:space="preserve"> دون حاجة لأن يطلب الكفيل ذلك</w:t>
      </w:r>
      <w:r>
        <w:rPr>
          <w:rFonts w:hint="cs"/>
          <w:color w:val="000000"/>
          <w:vertAlign w:val="superscript"/>
          <w:rtl/>
          <w:lang w:bidi="ar-EG"/>
        </w:rPr>
        <w:t xml:space="preserve">( </w:t>
      </w:r>
      <w:r w:rsidRPr="00315653">
        <w:rPr>
          <w:rStyle w:val="ab"/>
          <w:color w:val="000000"/>
          <w:rtl/>
          <w:lang w:bidi="ar-EG"/>
        </w:rPr>
        <w:footnoteReference w:id="39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67- الشروط الواجب توافرها لرجوع الكفيل على المدين بدعوى الحول</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396"/>
      </w:r>
      <w:r>
        <w:rPr>
          <w:rFonts w:hint="cs"/>
          <w:color w:val="000000"/>
          <w:vertAlign w:val="superscript"/>
          <w:rtl/>
          <w:lang w:bidi="ar-EG"/>
        </w:rPr>
        <w:t xml:space="preserve"> )</w:t>
      </w:r>
      <w:r w:rsidRPr="00315653">
        <w:rPr>
          <w:rFonts w:hint="cs"/>
          <w:color w:val="000000"/>
          <w:rtl/>
          <w:lang w:bidi="ar-EG"/>
        </w:rPr>
        <w:t xml:space="preserve"> أنه يجب توافر شروط ثلاثة لرجوع الكفيل على المدين بالدعوى الشخصية</w:t>
      </w:r>
      <w:r>
        <w:rPr>
          <w:rFonts w:hint="cs"/>
          <w:color w:val="000000"/>
          <w:rtl/>
          <w:lang w:bidi="ar-EG"/>
        </w:rPr>
        <w:t xml:space="preserve"> :</w:t>
      </w:r>
      <w:r w:rsidRPr="00315653">
        <w:rPr>
          <w:rFonts w:hint="cs"/>
          <w:color w:val="000000"/>
          <w:rtl/>
          <w:lang w:bidi="ar-EG"/>
        </w:rPr>
        <w:t xml:space="preserve"> قيام الكفيل بوفاء الدين عن المدين</w:t>
      </w:r>
      <w:r>
        <w:rPr>
          <w:rFonts w:hint="cs"/>
          <w:color w:val="000000"/>
          <w:rtl/>
          <w:lang w:bidi="ar-EG"/>
        </w:rPr>
        <w:t xml:space="preserve"> ،</w:t>
      </w:r>
      <w:r w:rsidRPr="00315653">
        <w:rPr>
          <w:rFonts w:hint="cs"/>
          <w:color w:val="000000"/>
          <w:rtl/>
          <w:lang w:bidi="ar-EG"/>
        </w:rPr>
        <w:t xml:space="preserve"> وفاء المدين $183</w:t>
      </w:r>
      <w:r w:rsidRPr="00315653">
        <w:rPr>
          <w:rFonts w:hint="cs"/>
          <w:color w:val="000000"/>
          <w:rtl/>
        </w:rPr>
        <w:t xml:space="preserve"> بالدين عند حلول أجله</w:t>
      </w:r>
      <w:r>
        <w:rPr>
          <w:rFonts w:hint="cs"/>
          <w:color w:val="000000"/>
          <w:rtl/>
        </w:rPr>
        <w:t xml:space="preserve"> ،</w:t>
      </w:r>
      <w:r w:rsidRPr="00315653">
        <w:rPr>
          <w:rFonts w:hint="cs"/>
          <w:color w:val="000000"/>
          <w:rtl/>
        </w:rPr>
        <w:t xml:space="preserve"> وإخطار الكفيل المدين قبل الوفاء مع عدم معارضة المدين</w:t>
      </w:r>
      <w:r>
        <w:rPr>
          <w:rFonts w:hint="cs"/>
          <w:color w:val="000000"/>
          <w:rtl/>
        </w:rPr>
        <w:t xml:space="preserve"> .</w:t>
      </w:r>
      <w:r w:rsidRPr="00315653">
        <w:rPr>
          <w:rFonts w:hint="cs"/>
          <w:color w:val="000000"/>
          <w:rtl/>
        </w:rPr>
        <w:t xml:space="preserve"> والشرطان الأولان من هذه الشروط الثلاثة يجب توافرهما لرجوع الكفيل على المدين بدعوى الحلول</w:t>
      </w:r>
      <w:r>
        <w:rPr>
          <w:rFonts w:hint="cs"/>
          <w:color w:val="000000"/>
          <w:rtl/>
        </w:rPr>
        <w:t xml:space="preserve"> ،</w:t>
      </w:r>
      <w:r w:rsidRPr="00315653">
        <w:rPr>
          <w:rFonts w:hint="cs"/>
          <w:color w:val="000000"/>
          <w:rtl/>
        </w:rPr>
        <w:t xml:space="preserve"> أما الشرط الثالث المتعلق بإخطار المدين فليس ضرورياً للرجوع بهذه </w:t>
      </w:r>
      <w:r w:rsidRPr="00315653">
        <w:rPr>
          <w:rFonts w:hint="cs"/>
          <w:color w:val="000000"/>
          <w:rtl/>
        </w:rPr>
        <w:lastRenderedPageBreak/>
        <w:t>الدعوى</w:t>
      </w:r>
      <w:r>
        <w:rPr>
          <w:rFonts w:hint="cs"/>
          <w:color w:val="000000"/>
          <w:vertAlign w:val="superscript"/>
          <w:rtl/>
          <w:lang w:bidi="ar-EG"/>
        </w:rPr>
        <w:t xml:space="preserve">( </w:t>
      </w:r>
      <w:r w:rsidRPr="00315653">
        <w:rPr>
          <w:rStyle w:val="ab"/>
          <w:color w:val="000000"/>
          <w:rtl/>
          <w:lang w:bidi="ar-EG"/>
        </w:rPr>
        <w:footnoteReference w:id="39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ذلك يجب توافر شرطين لرجوع الكفيل على المدين بدعوى الحلول</w:t>
      </w:r>
      <w:r>
        <w:rPr>
          <w:rFonts w:hint="cs"/>
          <w:color w:val="000000"/>
          <w:rtl/>
          <w:lang w:bidi="ar-EG"/>
        </w:rPr>
        <w:t xml:space="preserve"> ،</w:t>
      </w:r>
      <w:r w:rsidRPr="00315653">
        <w:rPr>
          <w:rFonts w:hint="cs"/>
          <w:color w:val="000000"/>
          <w:rtl/>
          <w:lang w:bidi="ar-EG"/>
        </w:rPr>
        <w:t xml:space="preserve"> وهما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الشرط الأول</w:t>
      </w:r>
      <w:r>
        <w:rPr>
          <w:rFonts w:hint="cs"/>
          <w:color w:val="000000"/>
          <w:rtl/>
          <w:lang w:bidi="ar-EG"/>
        </w:rPr>
        <w:t xml:space="preserve"> )</w:t>
      </w:r>
      <w:r w:rsidRPr="00315653">
        <w:rPr>
          <w:rFonts w:hint="cs"/>
          <w:color w:val="000000"/>
          <w:rtl/>
          <w:lang w:bidi="ar-EG"/>
        </w:rPr>
        <w:t xml:space="preserve"> قيام الكفيل بوفاء الدين عن المدين</w:t>
      </w:r>
      <w:r>
        <w:rPr>
          <w:rFonts w:hint="cs"/>
          <w:color w:val="000000"/>
          <w:rtl/>
          <w:lang w:bidi="ar-EG"/>
        </w:rPr>
        <w:t xml:space="preserve"> :</w:t>
      </w:r>
      <w:r w:rsidRPr="00315653">
        <w:rPr>
          <w:rFonts w:hint="cs"/>
          <w:color w:val="000000"/>
          <w:rtl/>
          <w:lang w:bidi="ar-EG"/>
        </w:rPr>
        <w:t xml:space="preserve"> فيجب على الكفيل حتى يرجع على المدين بدعوى الحلول</w:t>
      </w:r>
      <w:r>
        <w:rPr>
          <w:rFonts w:hint="cs"/>
          <w:color w:val="000000"/>
          <w:rtl/>
          <w:lang w:bidi="ar-EG"/>
        </w:rPr>
        <w:t xml:space="preserve"> ،</w:t>
      </w:r>
      <w:r w:rsidRPr="00315653">
        <w:rPr>
          <w:rFonts w:hint="cs"/>
          <w:color w:val="000000"/>
          <w:rtl/>
          <w:lang w:bidi="ar-EG"/>
        </w:rPr>
        <w:t xml:space="preserve"> أن يكون قد قام بوفاء الدين عن المدين</w:t>
      </w:r>
      <w:r>
        <w:rPr>
          <w:rFonts w:hint="cs"/>
          <w:color w:val="000000"/>
          <w:rtl/>
          <w:lang w:bidi="ar-EG"/>
        </w:rPr>
        <w:t xml:space="preserve"> .</w:t>
      </w:r>
      <w:r w:rsidRPr="00315653">
        <w:rPr>
          <w:rFonts w:hint="cs"/>
          <w:color w:val="000000"/>
          <w:rtl/>
          <w:lang w:bidi="ar-EG"/>
        </w:rPr>
        <w:t xml:space="preserve"> وقد رأينا</w:t>
      </w:r>
      <w:r>
        <w:rPr>
          <w:rFonts w:hint="cs"/>
          <w:color w:val="000000"/>
          <w:vertAlign w:val="superscript"/>
          <w:rtl/>
          <w:lang w:bidi="ar-EG"/>
        </w:rPr>
        <w:t xml:space="preserve">( </w:t>
      </w:r>
      <w:r w:rsidRPr="00315653">
        <w:rPr>
          <w:rStyle w:val="ab"/>
          <w:color w:val="000000"/>
          <w:rtl/>
          <w:lang w:bidi="ar-EG"/>
        </w:rPr>
        <w:footnoteReference w:id="398"/>
      </w:r>
      <w:r>
        <w:rPr>
          <w:rFonts w:hint="cs"/>
          <w:color w:val="000000"/>
          <w:vertAlign w:val="superscript"/>
          <w:rtl/>
          <w:lang w:bidi="ar-EG"/>
        </w:rPr>
        <w:t xml:space="preserve"> )</w:t>
      </w:r>
      <w:r w:rsidRPr="00315653">
        <w:rPr>
          <w:rFonts w:hint="cs"/>
          <w:color w:val="000000"/>
          <w:rtl/>
          <w:lang w:bidi="ar-EG"/>
        </w:rPr>
        <w:t xml:space="preserve"> المادة 799 تقول</w:t>
      </w:r>
      <w:r>
        <w:rPr>
          <w:rFonts w:hint="cs"/>
          <w:color w:val="000000"/>
          <w:rtl/>
          <w:lang w:bidi="ar-EG"/>
        </w:rPr>
        <w:t xml:space="preserve"> :</w:t>
      </w:r>
      <w:r w:rsidRPr="00315653">
        <w:rPr>
          <w:rFonts w:hint="cs"/>
          <w:color w:val="000000"/>
          <w:rtl/>
          <w:lang w:bidi="ar-EG"/>
        </w:rPr>
        <w:t xml:space="preserve"> "إذا وفى الكفل الدين</w:t>
      </w:r>
      <w:r>
        <w:rPr>
          <w:rFonts w:hint="cs"/>
          <w:color w:val="000000"/>
          <w:rtl/>
          <w:lang w:bidi="ar-EG"/>
        </w:rPr>
        <w:t xml:space="preserve"> ،</w:t>
      </w:r>
      <w:r w:rsidRPr="00315653">
        <w:rPr>
          <w:rFonts w:hint="cs"/>
          <w:color w:val="000000"/>
          <w:rtl/>
          <w:lang w:bidi="ar-EG"/>
        </w:rPr>
        <w:t xml:space="preserve"> كان له أن يحل محل الدائن </w:t>
      </w:r>
      <w:r>
        <w:rPr>
          <w:rFonts w:hint="cs"/>
          <w:color w:val="000000"/>
          <w:rtl/>
          <w:lang w:bidi="ar-EG"/>
        </w:rPr>
        <w:t xml:space="preserve"> . .</w:t>
      </w:r>
      <w:r w:rsidRPr="00315653">
        <w:rPr>
          <w:rFonts w:hint="cs"/>
          <w:color w:val="000000"/>
          <w:rtl/>
          <w:lang w:bidi="ar-EG"/>
        </w:rPr>
        <w:t>"</w:t>
      </w:r>
      <w:r>
        <w:rPr>
          <w:rFonts w:hint="cs"/>
          <w:color w:val="000000"/>
          <w:rtl/>
          <w:lang w:bidi="ar-EG"/>
        </w:rPr>
        <w:t xml:space="preserve"> .</w:t>
      </w:r>
      <w:r w:rsidRPr="00315653">
        <w:rPr>
          <w:rFonts w:hint="cs"/>
          <w:color w:val="000000"/>
          <w:rtl/>
          <w:lang w:bidi="ar-EG"/>
        </w:rPr>
        <w:t xml:space="preserve"> والكفيل لا يقوم بوفاء الدين عن المدين إلا إذا كان متضامناً معه أو إلا إذا لم يدفع بالتجريد أو فشل في هذا الدفع</w:t>
      </w:r>
      <w:r>
        <w:rPr>
          <w:rFonts w:hint="cs"/>
          <w:color w:val="000000"/>
          <w:rtl/>
          <w:lang w:bidi="ar-EG"/>
        </w:rPr>
        <w:t xml:space="preserve"> ،</w:t>
      </w:r>
      <w:r w:rsidRPr="00315653">
        <w:rPr>
          <w:rFonts w:hint="cs"/>
          <w:color w:val="000000"/>
          <w:rtl/>
          <w:lang w:bidi="ar-EG"/>
        </w:rPr>
        <w:t xml:space="preserve"> فعندئذ يضطر إلى وفاء الدين للدائن ويحل محله في رجوعه إلى المدين</w:t>
      </w:r>
      <w:r>
        <w:rPr>
          <w:rFonts w:hint="cs"/>
          <w:color w:val="000000"/>
          <w:rtl/>
          <w:lang w:bidi="ar-EG"/>
        </w:rPr>
        <w:t xml:space="preserve"> .</w:t>
      </w:r>
      <w:r w:rsidRPr="00315653">
        <w:rPr>
          <w:rFonts w:hint="cs"/>
          <w:color w:val="000000"/>
          <w:rtl/>
          <w:lang w:bidi="ar-EG"/>
        </w:rPr>
        <w:t xml:space="preserve"> وقد يقضي الكفيل الدين بما يقوم مقام الوفاء</w:t>
      </w:r>
      <w:r>
        <w:rPr>
          <w:rFonts w:hint="cs"/>
          <w:color w:val="000000"/>
          <w:rtl/>
          <w:lang w:bidi="ar-EG"/>
        </w:rPr>
        <w:t xml:space="preserve"> ،</w:t>
      </w:r>
      <w:r w:rsidRPr="00315653">
        <w:rPr>
          <w:rFonts w:hint="cs"/>
          <w:color w:val="000000"/>
          <w:rtl/>
          <w:lang w:bidi="ar-EG"/>
        </w:rPr>
        <w:t xml:space="preserve"> كما إذا وفى الدين بمقابل</w:t>
      </w:r>
      <w:r>
        <w:rPr>
          <w:rFonts w:hint="cs"/>
          <w:color w:val="000000"/>
          <w:rtl/>
          <w:lang w:bidi="ar-EG"/>
        </w:rPr>
        <w:t xml:space="preserve"> ،</w:t>
      </w:r>
      <w:r w:rsidRPr="00315653">
        <w:rPr>
          <w:rFonts w:hint="cs"/>
          <w:color w:val="000000"/>
          <w:rtl/>
          <w:lang w:bidi="ar-EG"/>
        </w:rPr>
        <w:t xml:space="preserve"> أو جدد الدين بتغيير المدين مثلا</w:t>
      </w:r>
      <w:r>
        <w:rPr>
          <w:rFonts w:hint="cs"/>
          <w:color w:val="000000"/>
          <w:rtl/>
          <w:lang w:bidi="ar-EG"/>
        </w:rPr>
        <w:t xml:space="preserve"> ،</w:t>
      </w:r>
      <w:r w:rsidRPr="00315653">
        <w:rPr>
          <w:rFonts w:hint="cs"/>
          <w:color w:val="000000"/>
          <w:rtl/>
          <w:lang w:bidi="ar-EG"/>
        </w:rPr>
        <w:t xml:space="preserve"> أو قضى الدين بطريق المقاصة</w:t>
      </w:r>
      <w:r>
        <w:rPr>
          <w:rFonts w:hint="cs"/>
          <w:color w:val="000000"/>
          <w:rtl/>
          <w:lang w:bidi="ar-EG"/>
        </w:rPr>
        <w:t xml:space="preserve"> .</w:t>
      </w:r>
      <w:r w:rsidRPr="00315653">
        <w:rPr>
          <w:rFonts w:hint="cs"/>
          <w:color w:val="000000"/>
          <w:rtl/>
          <w:lang w:bidi="ar-EG"/>
        </w:rPr>
        <w:t xml:space="preserve"> فكل هذه أسباب تقوم مقام $184 الوفاء فينقضي بها الدين</w:t>
      </w:r>
      <w:r>
        <w:rPr>
          <w:rFonts w:hint="cs"/>
          <w:color w:val="000000"/>
          <w:rtl/>
          <w:lang w:bidi="ar-EG"/>
        </w:rPr>
        <w:t xml:space="preserve"> ،</w:t>
      </w:r>
      <w:r w:rsidRPr="00315653">
        <w:rPr>
          <w:rFonts w:hint="cs"/>
          <w:color w:val="000000"/>
          <w:rtl/>
          <w:lang w:bidi="ar-EG"/>
        </w:rPr>
        <w:t xml:space="preserve"> ومن ثم يحل الكفيل محل الدائن بمجرد انقضاء الدين</w:t>
      </w:r>
      <w:r>
        <w:rPr>
          <w:rFonts w:hint="cs"/>
          <w:color w:val="000000"/>
          <w:vertAlign w:val="superscript"/>
          <w:rtl/>
          <w:lang w:bidi="ar-EG"/>
        </w:rPr>
        <w:t xml:space="preserve">( </w:t>
      </w:r>
      <w:r w:rsidRPr="00315653">
        <w:rPr>
          <w:rStyle w:val="ab"/>
          <w:color w:val="000000"/>
          <w:rtl/>
          <w:lang w:bidi="ar-EG"/>
        </w:rPr>
        <w:footnoteReference w:id="39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إذا لم يف الكفيل الدين أو يقضه بسبب يقوم مقام الوفاء</w:t>
      </w:r>
      <w:r>
        <w:rPr>
          <w:rFonts w:hint="cs"/>
          <w:color w:val="000000"/>
          <w:rtl/>
          <w:lang w:bidi="ar-EG"/>
        </w:rPr>
        <w:t xml:space="preserve"> ،</w:t>
      </w:r>
      <w:r w:rsidRPr="00315653">
        <w:rPr>
          <w:rFonts w:hint="cs"/>
          <w:color w:val="000000"/>
          <w:rtl/>
          <w:lang w:bidi="ar-EG"/>
        </w:rPr>
        <w:t xml:space="preserve"> كما إذا أبرأ الدائن الكفيل من الكفالة أو تقادم دين الكفيل</w:t>
      </w:r>
      <w:r>
        <w:rPr>
          <w:rFonts w:hint="cs"/>
          <w:color w:val="000000"/>
          <w:rtl/>
          <w:lang w:bidi="ar-EG"/>
        </w:rPr>
        <w:t xml:space="preserve"> ،</w:t>
      </w:r>
      <w:r w:rsidRPr="00315653">
        <w:rPr>
          <w:rFonts w:hint="cs"/>
          <w:color w:val="000000"/>
          <w:rtl/>
          <w:lang w:bidi="ar-EG"/>
        </w:rPr>
        <w:t xml:space="preserve"> فإن هذا لا يعتبر وفاء للدين</w:t>
      </w:r>
      <w:r>
        <w:rPr>
          <w:rFonts w:hint="cs"/>
          <w:color w:val="000000"/>
          <w:rtl/>
          <w:lang w:bidi="ar-EG"/>
        </w:rPr>
        <w:t xml:space="preserve"> ،</w:t>
      </w:r>
      <w:r w:rsidRPr="00315653">
        <w:rPr>
          <w:rFonts w:hint="cs"/>
          <w:color w:val="000000"/>
          <w:rtl/>
          <w:lang w:bidi="ar-EG"/>
        </w:rPr>
        <w:t xml:space="preserve"> فلا يحل الكفل محل الدائن</w:t>
      </w:r>
      <w:r>
        <w:rPr>
          <w:rFonts w:hint="cs"/>
          <w:color w:val="000000"/>
          <w:rtl/>
          <w:lang w:bidi="ar-EG"/>
        </w:rPr>
        <w:t xml:space="preserve"> .</w:t>
      </w:r>
      <w:r w:rsidRPr="00315653">
        <w:rPr>
          <w:rFonts w:hint="cs"/>
          <w:color w:val="000000"/>
          <w:rtl/>
          <w:lang w:bidi="ar-EG"/>
        </w:rPr>
        <w:t xml:space="preserve"> وقد يعمد الدائن إلى التنفيذ على أموال كل من المدين والكفيل</w:t>
      </w:r>
      <w:r>
        <w:rPr>
          <w:rFonts w:hint="cs"/>
          <w:color w:val="000000"/>
          <w:rtl/>
          <w:lang w:bidi="ar-EG"/>
        </w:rPr>
        <w:t xml:space="preserve"> ،</w:t>
      </w:r>
      <w:r w:rsidRPr="00315653">
        <w:rPr>
          <w:rFonts w:hint="cs"/>
          <w:color w:val="000000"/>
          <w:rtl/>
          <w:lang w:bidi="ar-EG"/>
        </w:rPr>
        <w:t xml:space="preserve"> فعلى الكفيل في هذه الحالة أن يتقدم في التوزيع المفتوح بالنسبة إلى أموال المدين</w:t>
      </w:r>
      <w:r>
        <w:rPr>
          <w:rFonts w:hint="cs"/>
          <w:color w:val="000000"/>
          <w:rtl/>
          <w:lang w:bidi="ar-EG"/>
        </w:rPr>
        <w:t xml:space="preserve"> ،</w:t>
      </w:r>
      <w:r w:rsidRPr="00315653">
        <w:rPr>
          <w:rFonts w:hint="cs"/>
          <w:color w:val="000000"/>
          <w:rtl/>
          <w:lang w:bidi="ar-EG"/>
        </w:rPr>
        <w:t xml:space="preserve"> حتى إذا استوفى الدائن حقه من أموال المدين وأموال الكفيل معاً</w:t>
      </w:r>
      <w:r>
        <w:rPr>
          <w:rFonts w:hint="cs"/>
          <w:color w:val="000000"/>
          <w:rtl/>
          <w:lang w:bidi="ar-EG"/>
        </w:rPr>
        <w:t xml:space="preserve"> ،</w:t>
      </w:r>
      <w:r w:rsidRPr="00315653">
        <w:rPr>
          <w:rFonts w:hint="cs"/>
          <w:color w:val="000000"/>
          <w:rtl/>
          <w:lang w:bidi="ar-EG"/>
        </w:rPr>
        <w:t xml:space="preserve"> حل الكفيل محل الدائن ودخل في توزيع أموال المدين بنسبة ما استوفاه الدائن من أمواله هو</w:t>
      </w:r>
      <w:r>
        <w:rPr>
          <w:rFonts w:hint="cs"/>
          <w:color w:val="000000"/>
          <w:vertAlign w:val="superscript"/>
          <w:rtl/>
          <w:lang w:bidi="ar-EG"/>
        </w:rPr>
        <w:t xml:space="preserve">( </w:t>
      </w:r>
      <w:r w:rsidRPr="00315653">
        <w:rPr>
          <w:rStyle w:val="ab"/>
          <w:color w:val="000000"/>
          <w:rtl/>
          <w:lang w:bidi="ar-EG"/>
        </w:rPr>
        <w:footnoteReference w:id="40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Pr>
          <w:rFonts w:hint="cs"/>
          <w:color w:val="000000"/>
          <w:rtl/>
          <w:lang w:bidi="ar-EG"/>
        </w:rPr>
        <w:t xml:space="preserve">( </w:t>
      </w:r>
      <w:r w:rsidRPr="00315653">
        <w:rPr>
          <w:rFonts w:hint="cs"/>
          <w:color w:val="000000"/>
          <w:rtl/>
          <w:lang w:bidi="ar-EG"/>
        </w:rPr>
        <w:t>الشرط الثاني</w:t>
      </w:r>
      <w:r>
        <w:rPr>
          <w:rFonts w:hint="cs"/>
          <w:color w:val="000000"/>
          <w:rtl/>
          <w:lang w:bidi="ar-EG"/>
        </w:rPr>
        <w:t xml:space="preserve"> )</w:t>
      </w:r>
      <w:r w:rsidRPr="00315653">
        <w:rPr>
          <w:rFonts w:hint="cs"/>
          <w:color w:val="000000"/>
          <w:rtl/>
          <w:lang w:bidi="ar-EG"/>
        </w:rPr>
        <w:t xml:space="preserve"> وفاء الكفيل بالدين عند حول أجله</w:t>
      </w:r>
      <w:r>
        <w:rPr>
          <w:rFonts w:hint="cs"/>
          <w:color w:val="000000"/>
          <w:rtl/>
          <w:lang w:bidi="ar-EG"/>
        </w:rPr>
        <w:t xml:space="preserve"> :</w:t>
      </w:r>
      <w:r w:rsidRPr="00315653">
        <w:rPr>
          <w:rFonts w:hint="cs"/>
          <w:color w:val="000000"/>
          <w:rtl/>
          <w:lang w:bidi="ar-EG"/>
        </w:rPr>
        <w:t xml:space="preserve"> فإذا تعجل الكفيل الوفاء بغير رضاء الدائن قبل حلول الأجل الأصلي</w:t>
      </w:r>
      <w:r>
        <w:rPr>
          <w:rFonts w:hint="cs"/>
          <w:color w:val="000000"/>
          <w:rtl/>
          <w:lang w:bidi="ar-EG"/>
        </w:rPr>
        <w:t xml:space="preserve"> ،</w:t>
      </w:r>
      <w:r w:rsidRPr="00315653">
        <w:rPr>
          <w:rFonts w:hint="cs"/>
          <w:color w:val="000000"/>
          <w:rtl/>
          <w:lang w:bidi="ar-EG"/>
        </w:rPr>
        <w:t xml:space="preserve"> لم يكن له أن يرجع بدعوى الحلول إلا عند حلول هذا الأجل</w:t>
      </w:r>
      <w:r>
        <w:rPr>
          <w:rFonts w:hint="cs"/>
          <w:color w:val="000000"/>
          <w:rtl/>
          <w:lang w:bidi="ar-EG"/>
        </w:rPr>
        <w:t xml:space="preserve"> ،</w:t>
      </w:r>
      <w:r w:rsidRPr="00315653">
        <w:rPr>
          <w:rFonts w:hint="cs"/>
          <w:color w:val="000000"/>
          <w:rtl/>
          <w:lang w:bidi="ar-EG"/>
        </w:rPr>
        <w:t xml:space="preserve"> أو لم يرجع أصلا إذا جد ما بين وفاء الكفل بالدين وحلول الأجل سبب لانقضاء الدين</w:t>
      </w:r>
      <w:r>
        <w:rPr>
          <w:rFonts w:hint="cs"/>
          <w:color w:val="000000"/>
          <w:vertAlign w:val="superscript"/>
          <w:rtl/>
          <w:lang w:bidi="ar-EG"/>
        </w:rPr>
        <w:t xml:space="preserve">( </w:t>
      </w:r>
      <w:r w:rsidRPr="00315653">
        <w:rPr>
          <w:rStyle w:val="ab"/>
          <w:color w:val="000000"/>
          <w:rtl/>
          <w:lang w:bidi="ar-EG"/>
        </w:rPr>
        <w:footnoteReference w:id="40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ورد في المذكرة الإيضاحية للمشروع التمهيدي في هذا الصدد</w:t>
      </w:r>
      <w:r>
        <w:rPr>
          <w:rFonts w:hint="cs"/>
          <w:color w:val="000000"/>
          <w:rtl/>
          <w:lang w:bidi="ar-EG"/>
        </w:rPr>
        <w:t xml:space="preserve"> :</w:t>
      </w:r>
      <w:r w:rsidRPr="00315653">
        <w:rPr>
          <w:rFonts w:hint="cs"/>
          <w:color w:val="000000"/>
          <w:rtl/>
          <w:lang w:bidi="ar-EG"/>
        </w:rPr>
        <w:t xml:space="preserve"> "فإن كان </w:t>
      </w:r>
      <w:r w:rsidRPr="00315653">
        <w:rPr>
          <w:rFonts w:hint="cs"/>
          <w:color w:val="000000"/>
          <w:rtl/>
          <w:lang w:bidi="ar-EG"/>
        </w:rPr>
        <w:lastRenderedPageBreak/>
        <w:t>الوفاء قبل الأجل قد تم بغير رضاء المدين</w:t>
      </w:r>
      <w:r>
        <w:rPr>
          <w:rFonts w:hint="cs"/>
          <w:color w:val="000000"/>
          <w:rtl/>
          <w:lang w:bidi="ar-EG"/>
        </w:rPr>
        <w:t xml:space="preserve"> ،</w:t>
      </w:r>
      <w:r w:rsidRPr="00315653">
        <w:rPr>
          <w:rFonts w:hint="cs"/>
          <w:color w:val="000000"/>
          <w:rtl/>
          <w:lang w:bidi="ar-EG"/>
        </w:rPr>
        <w:t xml:space="preserve"> فإن الكفيل يعرض نفسه لخطر ضياع حقه في الرجوع على المدين والحلول محل الدائن إذا كان الدين قد انقضى $185 في المدة بين الوفاء وحلول الأجل بسبب المقاصة أو اتحاد الذمة مثلا</w:t>
      </w:r>
      <w:r>
        <w:rPr>
          <w:rFonts w:hint="cs"/>
          <w:color w:val="000000"/>
          <w:rtl/>
          <w:lang w:bidi="ar-EG"/>
        </w:rPr>
        <w:t xml:space="preserve"> ،</w:t>
      </w:r>
      <w:r w:rsidRPr="00315653">
        <w:rPr>
          <w:rFonts w:hint="cs"/>
          <w:color w:val="000000"/>
          <w:rtl/>
          <w:lang w:bidi="ar-EG"/>
        </w:rPr>
        <w:t xml:space="preserve"> أو كانت لدى المدين دفوع تبرئ ذمته من الدين"</w:t>
      </w:r>
      <w:r>
        <w:rPr>
          <w:rFonts w:hint="cs"/>
          <w:color w:val="000000"/>
          <w:vertAlign w:val="superscript"/>
          <w:rtl/>
          <w:lang w:bidi="ar-EG"/>
        </w:rPr>
        <w:t xml:space="preserve">( </w:t>
      </w:r>
      <w:r w:rsidRPr="00315653">
        <w:rPr>
          <w:rStyle w:val="ab"/>
          <w:color w:val="000000"/>
          <w:rtl/>
          <w:lang w:bidi="ar-EG"/>
        </w:rPr>
        <w:footnoteReference w:id="40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68- ما الذي يرجع به الكفل على المدين في دعوى الحلول إذا وفى الدين كاملا</w:t>
      </w:r>
      <w:r>
        <w:rPr>
          <w:rFonts w:hint="cs"/>
          <w:color w:val="000000"/>
          <w:rtl/>
          <w:lang w:bidi="ar-EG"/>
        </w:rPr>
        <w:t xml:space="preserve"> :</w:t>
      </w:r>
      <w:r w:rsidRPr="00315653">
        <w:rPr>
          <w:rFonts w:hint="cs"/>
          <w:color w:val="000000"/>
          <w:rtl/>
          <w:lang w:bidi="ar-EG"/>
        </w:rPr>
        <w:t xml:space="preserve">  قدمنا في الجزء الثالث من الوسيط</w:t>
      </w:r>
      <w:r>
        <w:rPr>
          <w:rFonts w:hint="cs"/>
          <w:color w:val="000000"/>
          <w:rtl/>
          <w:lang w:bidi="ar-EG"/>
        </w:rPr>
        <w:t xml:space="preserve"> ،</w:t>
      </w:r>
      <w:r w:rsidRPr="00315653">
        <w:rPr>
          <w:rFonts w:hint="cs"/>
          <w:color w:val="000000"/>
          <w:rtl/>
          <w:lang w:bidi="ar-EG"/>
        </w:rPr>
        <w:t xml:space="preserve"> عند الكلام في أحكام الرجوع بدعوى الحلول</w:t>
      </w:r>
      <w:r>
        <w:rPr>
          <w:rFonts w:hint="cs"/>
          <w:color w:val="000000"/>
          <w:rtl/>
          <w:lang w:bidi="ar-EG"/>
        </w:rPr>
        <w:t xml:space="preserve"> ،</w:t>
      </w:r>
      <w:r w:rsidRPr="00315653">
        <w:rPr>
          <w:rFonts w:hint="cs"/>
          <w:color w:val="000000"/>
          <w:rtl/>
          <w:lang w:bidi="ar-EG"/>
        </w:rPr>
        <w:t xml:space="preserve"> أن الموفى وهو هنا الكفيل يحل محل الدائن</w:t>
      </w:r>
      <w:r>
        <w:rPr>
          <w:rFonts w:hint="cs"/>
          <w:color w:val="000000"/>
          <w:rtl/>
          <w:lang w:bidi="ar-EG"/>
        </w:rPr>
        <w:t xml:space="preserve"> .</w:t>
      </w:r>
      <w:r w:rsidRPr="00315653">
        <w:rPr>
          <w:rFonts w:hint="cs"/>
          <w:color w:val="000000"/>
          <w:rtl/>
          <w:lang w:bidi="ar-EG"/>
        </w:rPr>
        <w:t xml:space="preserve"> وقد نصت المادة 329 مدني في هذا الصدد على أن "من حل قانوناً أو اتفاقاً محل الدائن كان له حقه</w:t>
      </w:r>
      <w:r>
        <w:rPr>
          <w:rFonts w:hint="cs"/>
          <w:color w:val="000000"/>
          <w:rtl/>
          <w:lang w:bidi="ar-EG"/>
        </w:rPr>
        <w:t xml:space="preserve"> ،</w:t>
      </w:r>
      <w:r w:rsidRPr="00315653">
        <w:rPr>
          <w:rFonts w:hint="cs"/>
          <w:color w:val="000000"/>
          <w:rtl/>
          <w:lang w:bidi="ar-EG"/>
        </w:rPr>
        <w:t xml:space="preserve"> بما لهذا الحق من خصائص</w:t>
      </w:r>
      <w:r>
        <w:rPr>
          <w:rFonts w:hint="cs"/>
          <w:color w:val="000000"/>
          <w:rtl/>
          <w:lang w:bidi="ar-EG"/>
        </w:rPr>
        <w:t xml:space="preserve"> ،</w:t>
      </w:r>
      <w:r w:rsidRPr="00315653">
        <w:rPr>
          <w:rFonts w:hint="cs"/>
          <w:color w:val="000000"/>
          <w:rtl/>
          <w:lang w:bidi="ar-EG"/>
        </w:rPr>
        <w:t xml:space="preserve"> وما يلحقه من توابع</w:t>
      </w:r>
      <w:r>
        <w:rPr>
          <w:rFonts w:hint="cs"/>
          <w:color w:val="000000"/>
          <w:rtl/>
          <w:lang w:bidi="ar-EG"/>
        </w:rPr>
        <w:t xml:space="preserve"> ،</w:t>
      </w:r>
      <w:r w:rsidRPr="00315653">
        <w:rPr>
          <w:rFonts w:hint="cs"/>
          <w:color w:val="000000"/>
          <w:rtl/>
          <w:lang w:bidi="ar-EG"/>
        </w:rPr>
        <w:t xml:space="preserve"> وما يكفله من تأمينات</w:t>
      </w:r>
      <w:r>
        <w:rPr>
          <w:rFonts w:hint="cs"/>
          <w:color w:val="000000"/>
          <w:rtl/>
          <w:lang w:bidi="ar-EG"/>
        </w:rPr>
        <w:t xml:space="preserve"> ،</w:t>
      </w:r>
      <w:r w:rsidRPr="00315653">
        <w:rPr>
          <w:rFonts w:hint="cs"/>
          <w:color w:val="000000"/>
          <w:rtl/>
          <w:lang w:bidi="ar-EG"/>
        </w:rPr>
        <w:t xml:space="preserve"> وما يرد عليه من دفوع</w:t>
      </w:r>
      <w:r>
        <w:rPr>
          <w:rFonts w:hint="cs"/>
          <w:color w:val="000000"/>
          <w:rtl/>
          <w:lang w:bidi="ar-EG"/>
        </w:rPr>
        <w:t xml:space="preserve"> ،</w:t>
      </w:r>
      <w:r w:rsidRPr="00315653">
        <w:rPr>
          <w:rFonts w:hint="cs"/>
          <w:color w:val="000000"/>
          <w:rtl/>
          <w:lang w:bidi="ar-EG"/>
        </w:rPr>
        <w:t xml:space="preserve"> ويكون هذا الحلول بالقدر الذي أداه من ماله من حل محل الدائن"</w:t>
      </w:r>
      <w:r>
        <w:rPr>
          <w:rFonts w:hint="cs"/>
          <w:color w:val="000000"/>
          <w:vertAlign w:val="superscript"/>
          <w:rtl/>
          <w:lang w:bidi="ar-EG"/>
        </w:rPr>
        <w:t xml:space="preserve">( </w:t>
      </w:r>
      <w:r w:rsidRPr="00315653">
        <w:rPr>
          <w:rStyle w:val="ab"/>
          <w:color w:val="000000"/>
          <w:rtl/>
          <w:lang w:bidi="ar-EG"/>
        </w:rPr>
        <w:footnoteReference w:id="40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وتؤكد المادة 799 مدني</w:t>
      </w:r>
      <w:r>
        <w:rPr>
          <w:rFonts w:hint="cs"/>
          <w:color w:val="000000"/>
          <w:vertAlign w:val="superscript"/>
          <w:rtl/>
          <w:lang w:bidi="ar-EG"/>
        </w:rPr>
        <w:t xml:space="preserve">( </w:t>
      </w:r>
      <w:r w:rsidRPr="00315653">
        <w:rPr>
          <w:rStyle w:val="ab"/>
          <w:color w:val="000000"/>
          <w:rtl/>
          <w:lang w:bidi="ar-EG"/>
        </w:rPr>
        <w:footnoteReference w:id="40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هذا المعنى</w:t>
      </w:r>
      <w:r>
        <w:rPr>
          <w:rFonts w:hint="cs"/>
          <w:color w:val="000000"/>
          <w:rtl/>
          <w:lang w:bidi="ar-EG"/>
        </w:rPr>
        <w:t xml:space="preserve"> ،</w:t>
      </w:r>
      <w:r w:rsidRPr="00315653">
        <w:rPr>
          <w:rFonts w:hint="cs"/>
          <w:color w:val="000000"/>
          <w:rtl/>
          <w:lang w:bidi="ar-EG"/>
        </w:rPr>
        <w:t xml:space="preserve"> فتقول</w:t>
      </w:r>
      <w:r>
        <w:rPr>
          <w:rFonts w:hint="cs"/>
          <w:color w:val="000000"/>
          <w:rtl/>
          <w:lang w:bidi="ar-EG"/>
        </w:rPr>
        <w:t xml:space="preserve"> :</w:t>
      </w:r>
      <w:r w:rsidRPr="00315653">
        <w:rPr>
          <w:rFonts w:hint="cs"/>
          <w:color w:val="000000"/>
          <w:rtl/>
          <w:lang w:bidi="ar-EG"/>
        </w:rPr>
        <w:t xml:space="preserve"> "إذا وفى الكفيل الدين</w:t>
      </w:r>
      <w:r>
        <w:rPr>
          <w:rFonts w:hint="cs"/>
          <w:color w:val="000000"/>
          <w:rtl/>
          <w:lang w:bidi="ar-EG"/>
        </w:rPr>
        <w:t xml:space="preserve"> ،</w:t>
      </w:r>
      <w:r w:rsidRPr="00315653">
        <w:rPr>
          <w:rFonts w:hint="cs"/>
          <w:color w:val="000000"/>
          <w:rtl/>
          <w:lang w:bidi="ar-EG"/>
        </w:rPr>
        <w:t xml:space="preserve"> كان له أن يحل محل الدائن في جميع ما له من حقوق قبل المدين"</w:t>
      </w:r>
      <w:r>
        <w:rPr>
          <w:rFonts w:hint="cs"/>
          <w:color w:val="000000"/>
          <w:vertAlign w:val="superscript"/>
          <w:rtl/>
          <w:lang w:bidi="ar-EG"/>
        </w:rPr>
        <w:t xml:space="preserve">( </w:t>
      </w:r>
      <w:r w:rsidRPr="00315653">
        <w:rPr>
          <w:rStyle w:val="ab"/>
          <w:color w:val="000000"/>
          <w:rtl/>
          <w:lang w:bidi="ar-EG"/>
        </w:rPr>
        <w:footnoteReference w:id="40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هذا يحل الكفيل محل الدائن في حقه</w:t>
      </w:r>
      <w:r>
        <w:rPr>
          <w:rFonts w:hint="cs"/>
          <w:color w:val="000000"/>
          <w:rtl/>
          <w:lang w:bidi="ar-EG"/>
        </w:rPr>
        <w:t xml:space="preserve"> ،</w:t>
      </w:r>
      <w:r w:rsidRPr="00315653">
        <w:rPr>
          <w:rFonts w:hint="cs"/>
          <w:color w:val="000000"/>
          <w:rtl/>
          <w:lang w:bidi="ar-EG"/>
        </w:rPr>
        <w:t xml:space="preserve"> بما لهذا الحق من خصائص</w:t>
      </w:r>
      <w:r>
        <w:rPr>
          <w:rFonts w:hint="cs"/>
          <w:color w:val="000000"/>
          <w:rtl/>
          <w:lang w:bidi="ar-EG"/>
        </w:rPr>
        <w:t xml:space="preserve"> .</w:t>
      </w:r>
      <w:r w:rsidRPr="00315653">
        <w:rPr>
          <w:rFonts w:hint="cs"/>
          <w:color w:val="000000"/>
          <w:rtl/>
          <w:lang w:bidi="ar-EG"/>
        </w:rPr>
        <w:t xml:space="preserve"> فإذا كان حق الدائن حاقً تجارياً</w:t>
      </w:r>
      <w:r>
        <w:rPr>
          <w:rFonts w:hint="cs"/>
          <w:color w:val="000000"/>
          <w:rtl/>
          <w:lang w:bidi="ar-EG"/>
        </w:rPr>
        <w:t xml:space="preserve"> ،</w:t>
      </w:r>
      <w:r w:rsidRPr="00315653">
        <w:rPr>
          <w:rFonts w:hint="cs"/>
          <w:color w:val="000000"/>
          <w:rtl/>
          <w:lang w:bidi="ar-EG"/>
        </w:rPr>
        <w:t xml:space="preserve"> انتقل إلى الكفيل على هذه الصفة حقاً تجارياً</w:t>
      </w:r>
      <w:r>
        <w:rPr>
          <w:rFonts w:hint="cs"/>
          <w:color w:val="000000"/>
          <w:vertAlign w:val="superscript"/>
          <w:rtl/>
          <w:lang w:bidi="ar-EG"/>
        </w:rPr>
        <w:t xml:space="preserve">( </w:t>
      </w:r>
      <w:r w:rsidRPr="00315653">
        <w:rPr>
          <w:rStyle w:val="ab"/>
          <w:color w:val="000000"/>
          <w:rtl/>
          <w:lang w:bidi="ar-EG"/>
        </w:rPr>
        <w:footnoteReference w:id="40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حقا يسقط بالتقادم بانقضاء مدة قصيرة</w:t>
      </w:r>
      <w:r>
        <w:rPr>
          <w:rFonts w:hint="cs"/>
          <w:color w:val="000000"/>
          <w:rtl/>
          <w:lang w:bidi="ar-EG"/>
        </w:rPr>
        <w:t xml:space="preserve"> ،</w:t>
      </w:r>
      <w:r w:rsidRPr="00315653">
        <w:rPr>
          <w:rFonts w:hint="cs"/>
          <w:color w:val="000000"/>
          <w:rtl/>
          <w:lang w:bidi="ar-EG"/>
        </w:rPr>
        <w:t xml:space="preserve"> خمس سنوات أو أقل</w:t>
      </w:r>
      <w:r>
        <w:rPr>
          <w:rFonts w:hint="cs"/>
          <w:color w:val="000000"/>
          <w:rtl/>
          <w:lang w:bidi="ar-EG"/>
        </w:rPr>
        <w:t xml:space="preserve"> ،</w:t>
      </w:r>
      <w:r w:rsidRPr="00315653">
        <w:rPr>
          <w:rFonts w:hint="cs"/>
          <w:color w:val="000000"/>
          <w:rtl/>
          <w:lang w:bidi="ar-EG"/>
        </w:rPr>
        <w:t xml:space="preserve"> فإنه ينتقل إلى الكفيل قابلا للسقوط بالتقادم بهذه المدة القصيرة</w:t>
      </w:r>
      <w:r>
        <w:rPr>
          <w:rFonts w:hint="cs"/>
          <w:color w:val="000000"/>
          <w:rtl/>
          <w:lang w:bidi="ar-EG"/>
        </w:rPr>
        <w:t xml:space="preserve"> .</w:t>
      </w:r>
      <w:r w:rsidRPr="00315653">
        <w:rPr>
          <w:rFonts w:hint="cs"/>
          <w:color w:val="000000"/>
          <w:rtl/>
          <w:lang w:bidi="ar-EG"/>
        </w:rPr>
        <w:t xml:space="preserve"> $186 وقد تكون المدة أوشكت على الانقضاء فلا تلبث أن تنقضي بعد انتقال الحق إلى الكفيل</w:t>
      </w:r>
      <w:r>
        <w:rPr>
          <w:rFonts w:hint="cs"/>
          <w:color w:val="000000"/>
          <w:rtl/>
          <w:lang w:bidi="ar-EG"/>
        </w:rPr>
        <w:t xml:space="preserve"> ،</w:t>
      </w:r>
      <w:r w:rsidRPr="00315653">
        <w:rPr>
          <w:rFonts w:hint="cs"/>
          <w:color w:val="000000"/>
          <w:rtl/>
          <w:lang w:bidi="ar-EG"/>
        </w:rPr>
        <w:t xml:space="preserve"> وفي هذا تتميز الدعوى الشخصية على دعوى الحلول فإن سريان التقادم بالنسبة إلى الدعوى الأولى لا يبدأ إلا من وقت وفاء الكفيل بالدين</w:t>
      </w:r>
      <w:r>
        <w:rPr>
          <w:rFonts w:hint="cs"/>
          <w:color w:val="000000"/>
          <w:rtl/>
          <w:lang w:bidi="ar-EG"/>
        </w:rPr>
        <w:t xml:space="preserve"> .</w:t>
      </w:r>
      <w:r w:rsidRPr="00315653">
        <w:rPr>
          <w:rFonts w:hint="cs"/>
          <w:color w:val="000000"/>
          <w:rtl/>
          <w:lang w:bidi="ar-EG"/>
        </w:rPr>
        <w:t xml:space="preserve"> وقد يكون حق الدائن الذي انتقل إلى الكفيل ثابتاً في سند رسمي أو في حكم</w:t>
      </w:r>
      <w:r>
        <w:rPr>
          <w:rFonts w:hint="cs"/>
          <w:color w:val="000000"/>
          <w:rtl/>
          <w:lang w:bidi="ar-EG"/>
        </w:rPr>
        <w:t xml:space="preserve"> ،</w:t>
      </w:r>
      <w:r w:rsidRPr="00315653">
        <w:rPr>
          <w:rFonts w:hint="cs"/>
          <w:color w:val="000000"/>
          <w:rtl/>
          <w:lang w:bidi="ar-EG"/>
        </w:rPr>
        <w:t xml:space="preserve"> فينتقل إلى الكفيل بهذا السند التنفيذي كما كان في يد الدائن</w:t>
      </w:r>
      <w:r>
        <w:rPr>
          <w:rFonts w:hint="cs"/>
          <w:color w:val="000000"/>
          <w:rtl/>
          <w:lang w:bidi="ar-EG"/>
        </w:rPr>
        <w:t xml:space="preserve"> .</w:t>
      </w:r>
      <w:r w:rsidRPr="00315653">
        <w:rPr>
          <w:rFonts w:hint="cs"/>
          <w:color w:val="000000"/>
          <w:rtl/>
          <w:lang w:bidi="ar-EG"/>
        </w:rPr>
        <w:t xml:space="preserve"> وقد يكون الدائن قد قاضى المدين وسار في إجراءات التقاضي شوطاً بعيداً</w:t>
      </w:r>
      <w:r>
        <w:rPr>
          <w:rFonts w:hint="cs"/>
          <w:color w:val="000000"/>
          <w:rtl/>
          <w:lang w:bidi="ar-EG"/>
        </w:rPr>
        <w:t xml:space="preserve"> ،</w:t>
      </w:r>
      <w:r w:rsidRPr="00315653">
        <w:rPr>
          <w:rFonts w:hint="cs"/>
          <w:color w:val="000000"/>
          <w:rtl/>
          <w:lang w:bidi="ar-EG"/>
        </w:rPr>
        <w:t xml:space="preserve"> فلا يحتاج الكفيل إلى تجدي هذه الإجراءات بل يسير فيها من حيث وجدها</w:t>
      </w:r>
      <w:r>
        <w:rPr>
          <w:rFonts w:hint="cs"/>
          <w:color w:val="000000"/>
          <w:vertAlign w:val="superscript"/>
          <w:rtl/>
          <w:lang w:bidi="ar-EG"/>
        </w:rPr>
        <w:t xml:space="preserve">( </w:t>
      </w:r>
      <w:r w:rsidRPr="00315653">
        <w:rPr>
          <w:rStyle w:val="ab"/>
          <w:color w:val="000000"/>
          <w:rtl/>
          <w:lang w:bidi="ar-EG"/>
        </w:rPr>
        <w:footnoteReference w:id="40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ويحل الكفيل محل الدائن في حقه</w:t>
      </w:r>
      <w:r>
        <w:rPr>
          <w:rFonts w:hint="cs"/>
          <w:color w:val="000000"/>
          <w:rtl/>
          <w:lang w:bidi="ar-EG"/>
        </w:rPr>
        <w:t xml:space="preserve"> ،</w:t>
      </w:r>
      <w:r w:rsidRPr="00315653">
        <w:rPr>
          <w:rFonts w:hint="cs"/>
          <w:color w:val="000000"/>
          <w:rtl/>
          <w:lang w:bidi="ar-EG"/>
        </w:rPr>
        <w:t xml:space="preserve"> بما يلحق هذا الحق من توابع</w:t>
      </w:r>
      <w:r>
        <w:rPr>
          <w:rFonts w:hint="cs"/>
          <w:color w:val="000000"/>
          <w:rtl/>
          <w:lang w:bidi="ar-EG"/>
        </w:rPr>
        <w:t xml:space="preserve"> .</w:t>
      </w:r>
      <w:r w:rsidRPr="00315653">
        <w:rPr>
          <w:rFonts w:hint="cs"/>
          <w:color w:val="000000"/>
          <w:rtl/>
          <w:lang w:bidi="ar-EG"/>
        </w:rPr>
        <w:t xml:space="preserve"> فلو كان حق الدائن ينتج فوائد بسعر معين</w:t>
      </w:r>
      <w:r>
        <w:rPr>
          <w:rFonts w:hint="cs"/>
          <w:color w:val="000000"/>
          <w:rtl/>
          <w:lang w:bidi="ar-EG"/>
        </w:rPr>
        <w:t xml:space="preserve"> ،</w:t>
      </w:r>
      <w:r w:rsidRPr="00315653">
        <w:rPr>
          <w:rFonts w:hint="cs"/>
          <w:color w:val="000000"/>
          <w:rtl/>
          <w:lang w:bidi="ar-EG"/>
        </w:rPr>
        <w:t xml:space="preserve"> فإنه ينتقل إلى الكفيل منتجاً للفوائد بهذا السعر</w:t>
      </w:r>
      <w:r>
        <w:rPr>
          <w:rFonts w:hint="cs"/>
          <w:color w:val="000000"/>
          <w:rtl/>
          <w:lang w:bidi="ar-EG"/>
        </w:rPr>
        <w:t xml:space="preserve"> ،</w:t>
      </w:r>
      <w:r w:rsidRPr="00315653">
        <w:rPr>
          <w:rFonts w:hint="cs"/>
          <w:color w:val="000000"/>
          <w:rtl/>
          <w:lang w:bidi="ar-EG"/>
        </w:rPr>
        <w:t xml:space="preserve"> ويكون للكفيل الحق في تقاضي هذه الفوائد ما استحق منها وما سيستحق</w:t>
      </w:r>
      <w:r>
        <w:rPr>
          <w:rFonts w:hint="cs"/>
          <w:color w:val="000000"/>
          <w:rtl/>
          <w:lang w:bidi="ar-EG"/>
        </w:rPr>
        <w:t xml:space="preserve"> .</w:t>
      </w:r>
      <w:r w:rsidRPr="00315653">
        <w:rPr>
          <w:rFonts w:hint="cs"/>
          <w:color w:val="000000"/>
          <w:rtl/>
          <w:lang w:bidi="ar-EG"/>
        </w:rPr>
        <w:t xml:space="preserve"> ويعتبر تابعاً للحق دعوى الفسخ</w:t>
      </w:r>
      <w:r>
        <w:rPr>
          <w:rFonts w:hint="cs"/>
          <w:color w:val="000000"/>
          <w:rtl/>
          <w:lang w:bidi="ar-EG"/>
        </w:rPr>
        <w:t xml:space="preserve"> ،</w:t>
      </w:r>
      <w:r w:rsidRPr="00315653">
        <w:rPr>
          <w:rFonts w:hint="cs"/>
          <w:color w:val="000000"/>
          <w:rtl/>
          <w:lang w:bidi="ar-EG"/>
        </w:rPr>
        <w:t xml:space="preserve"> فلو ضمن الكفيل المشتري في دفع الثمن</w:t>
      </w:r>
      <w:r>
        <w:rPr>
          <w:rFonts w:hint="cs"/>
          <w:color w:val="000000"/>
          <w:rtl/>
          <w:lang w:bidi="ar-EG"/>
        </w:rPr>
        <w:t xml:space="preserve"> ،</w:t>
      </w:r>
      <w:r w:rsidRPr="00315653">
        <w:rPr>
          <w:rFonts w:hint="cs"/>
          <w:color w:val="000000"/>
          <w:rtl/>
          <w:lang w:bidi="ar-EG"/>
        </w:rPr>
        <w:t xml:space="preserve"> ثم دفع الكفيل الثمن للبائع وفاء لدين المشتري</w:t>
      </w:r>
      <w:r>
        <w:rPr>
          <w:rFonts w:hint="cs"/>
          <w:color w:val="000000"/>
          <w:rtl/>
          <w:lang w:bidi="ar-EG"/>
        </w:rPr>
        <w:t xml:space="preserve"> ،</w:t>
      </w:r>
      <w:r w:rsidRPr="00315653">
        <w:rPr>
          <w:rFonts w:hint="cs"/>
          <w:color w:val="000000"/>
          <w:rtl/>
          <w:lang w:bidi="ar-EG"/>
        </w:rPr>
        <w:t xml:space="preserve"> انتقل الكفيل حق البائع بما تتبعه من دعوى الفسخ لعدم وفاء المشتري بالثمن</w:t>
      </w:r>
      <w:r>
        <w:rPr>
          <w:rFonts w:hint="cs"/>
          <w:color w:val="000000"/>
          <w:vertAlign w:val="superscript"/>
          <w:rtl/>
          <w:lang w:bidi="ar-EG"/>
        </w:rPr>
        <w:t xml:space="preserve">( </w:t>
      </w:r>
      <w:r w:rsidRPr="00315653">
        <w:rPr>
          <w:rStyle w:val="ab"/>
          <w:color w:val="000000"/>
          <w:rtl/>
          <w:lang w:bidi="ar-EG"/>
        </w:rPr>
        <w:footnoteReference w:id="40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ويعتبر تابعاً للحق أن يكون للدائن حق الطعن في تصرف المدين بالدعوى البولصية</w:t>
      </w:r>
      <w:r>
        <w:rPr>
          <w:rFonts w:hint="cs"/>
          <w:color w:val="000000"/>
          <w:rtl/>
          <w:lang w:bidi="ar-EG"/>
        </w:rPr>
        <w:t xml:space="preserve"> ،</w:t>
      </w:r>
      <w:r w:rsidRPr="00315653">
        <w:rPr>
          <w:rFonts w:hint="cs"/>
          <w:color w:val="000000"/>
          <w:rtl/>
          <w:lang w:bidi="ar-EG"/>
        </w:rPr>
        <w:t xml:space="preserve"> فإذا وفى الكفيل الحق للدائن وانتقل إليه هذا الحق</w:t>
      </w:r>
      <w:r>
        <w:rPr>
          <w:rFonts w:hint="cs"/>
          <w:color w:val="000000"/>
          <w:rtl/>
          <w:lang w:bidi="ar-EG"/>
        </w:rPr>
        <w:t xml:space="preserve"> ،</w:t>
      </w:r>
      <w:r w:rsidRPr="00315653">
        <w:rPr>
          <w:rFonts w:hint="cs"/>
          <w:color w:val="000000"/>
          <w:rtl/>
          <w:lang w:bidi="ar-EG"/>
        </w:rPr>
        <w:t xml:space="preserve"> فإنه ينتقل إليه مقترناً بحق الطعن بالدعوى البولصية</w:t>
      </w:r>
      <w:r>
        <w:rPr>
          <w:rFonts w:hint="cs"/>
          <w:color w:val="000000"/>
          <w:vertAlign w:val="superscript"/>
          <w:rtl/>
          <w:lang w:bidi="ar-EG"/>
        </w:rPr>
        <w:t xml:space="preserve">( </w:t>
      </w:r>
      <w:r w:rsidRPr="00315653">
        <w:rPr>
          <w:rStyle w:val="ab"/>
          <w:color w:val="000000"/>
          <w:rtl/>
          <w:lang w:bidi="ar-EG"/>
        </w:rPr>
        <w:footnoteReference w:id="40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ويعتبر تابعاً كذلك الحق في الحبس</w:t>
      </w:r>
      <w:r>
        <w:rPr>
          <w:rFonts w:hint="cs"/>
          <w:color w:val="000000"/>
          <w:rtl/>
          <w:lang w:bidi="ar-EG"/>
        </w:rPr>
        <w:t xml:space="preserve"> ،</w:t>
      </w:r>
      <w:r w:rsidRPr="00315653">
        <w:rPr>
          <w:rFonts w:hint="cs"/>
          <w:color w:val="000000"/>
          <w:rtl/>
          <w:lang w:bidi="ar-EG"/>
        </w:rPr>
        <w:t xml:space="preserve"> فتنتقل العين المحبوسة من الدائن إلى الكفيل</w:t>
      </w:r>
      <w:r>
        <w:rPr>
          <w:rFonts w:hint="cs"/>
          <w:color w:val="000000"/>
          <w:rtl/>
          <w:lang w:bidi="ar-EG"/>
        </w:rPr>
        <w:t xml:space="preserve"> ،</w:t>
      </w:r>
      <w:r w:rsidRPr="00315653">
        <w:rPr>
          <w:rFonts w:hint="cs"/>
          <w:color w:val="000000"/>
          <w:rtl/>
          <w:lang w:bidi="ar-EG"/>
        </w:rPr>
        <w:t xml:space="preserve"> ويكون لهذا الأخير الحق في حبسها حتى يستوفي الدين من الدائن</w:t>
      </w:r>
      <w:r>
        <w:rPr>
          <w:rFonts w:hint="cs"/>
          <w:color w:val="000000"/>
          <w:vertAlign w:val="superscript"/>
          <w:rtl/>
          <w:lang w:bidi="ar-EG"/>
        </w:rPr>
        <w:t xml:space="preserve">( </w:t>
      </w:r>
      <w:r w:rsidRPr="00315653">
        <w:rPr>
          <w:rStyle w:val="ab"/>
          <w:color w:val="000000"/>
          <w:rtl/>
          <w:lang w:bidi="ar-EG"/>
        </w:rPr>
        <w:footnoteReference w:id="41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كان هناك شرط $187 جزائي</w:t>
      </w:r>
      <w:r>
        <w:rPr>
          <w:rFonts w:hint="cs"/>
          <w:color w:val="000000"/>
          <w:rtl/>
          <w:lang w:bidi="ar-EG"/>
        </w:rPr>
        <w:t xml:space="preserve"> ،</w:t>
      </w:r>
      <w:r w:rsidRPr="00315653">
        <w:rPr>
          <w:rFonts w:hint="cs"/>
          <w:color w:val="000000"/>
          <w:rtl/>
          <w:lang w:bidi="ar-EG"/>
        </w:rPr>
        <w:t xml:space="preserve"> استفاد منه الكفيل كما كان يستفيد منه الدائن</w:t>
      </w:r>
      <w:r>
        <w:rPr>
          <w:rFonts w:hint="cs"/>
          <w:color w:val="000000"/>
          <w:vertAlign w:val="superscript"/>
          <w:rtl/>
          <w:lang w:bidi="ar-EG"/>
        </w:rPr>
        <w:t xml:space="preserve">( </w:t>
      </w:r>
      <w:r w:rsidRPr="00315653">
        <w:rPr>
          <w:rStyle w:val="ab"/>
          <w:color w:val="000000"/>
          <w:rtl/>
          <w:lang w:bidi="ar-EG"/>
        </w:rPr>
        <w:footnoteReference w:id="41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ويحل الكفيل محل الدائن في حقه</w:t>
      </w:r>
      <w:r>
        <w:rPr>
          <w:rFonts w:hint="cs"/>
          <w:color w:val="000000"/>
          <w:rtl/>
          <w:lang w:bidi="ar-EG"/>
        </w:rPr>
        <w:t xml:space="preserve"> ،</w:t>
      </w:r>
      <w:r w:rsidRPr="00315653">
        <w:rPr>
          <w:rFonts w:hint="cs"/>
          <w:color w:val="000000"/>
          <w:rtl/>
          <w:lang w:bidi="ar-EG"/>
        </w:rPr>
        <w:t xml:space="preserve"> بما يكفله من تأمينات</w:t>
      </w:r>
      <w:r>
        <w:rPr>
          <w:rFonts w:hint="cs"/>
          <w:color w:val="000000"/>
          <w:rtl/>
          <w:lang w:bidi="ar-EG"/>
        </w:rPr>
        <w:t xml:space="preserve"> .</w:t>
      </w:r>
      <w:r w:rsidRPr="00315653">
        <w:rPr>
          <w:rFonts w:hint="cs"/>
          <w:color w:val="000000"/>
          <w:rtl/>
          <w:lang w:bidi="ar-EG"/>
        </w:rPr>
        <w:t xml:space="preserve"> فينتقل إلى الكفيل مع حق الدائن ما يكفل هذا الحق من تأمينات عينية</w:t>
      </w:r>
      <w:r>
        <w:rPr>
          <w:rFonts w:hint="cs"/>
          <w:color w:val="000000"/>
          <w:rtl/>
          <w:lang w:bidi="ar-EG"/>
        </w:rPr>
        <w:t xml:space="preserve"> ،</w:t>
      </w:r>
      <w:r w:rsidRPr="00315653">
        <w:rPr>
          <w:rFonts w:hint="cs"/>
          <w:color w:val="000000"/>
          <w:rtl/>
          <w:lang w:bidi="ar-EG"/>
        </w:rPr>
        <w:t xml:space="preserve"> كالرهن الرسمي وحق الاختصاص والرهن الحيازي على عقار أو منقول وحقوق الامتياز على عقار أو منقول</w:t>
      </w:r>
      <w:r>
        <w:rPr>
          <w:rFonts w:hint="cs"/>
          <w:color w:val="000000"/>
          <w:vertAlign w:val="superscript"/>
          <w:rtl/>
          <w:lang w:bidi="ar-EG"/>
        </w:rPr>
        <w:t xml:space="preserve">( </w:t>
      </w:r>
      <w:r w:rsidRPr="00315653">
        <w:rPr>
          <w:rStyle w:val="ab"/>
          <w:color w:val="000000"/>
          <w:rtl/>
          <w:lang w:bidi="ar-EG"/>
        </w:rPr>
        <w:footnoteReference w:id="41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أما انتقال التأمينات الشخصية</w:t>
      </w:r>
      <w:r>
        <w:rPr>
          <w:rFonts w:hint="cs"/>
          <w:color w:val="000000"/>
          <w:rtl/>
          <w:lang w:bidi="ar-EG"/>
        </w:rPr>
        <w:t xml:space="preserve"> ،</w:t>
      </w:r>
      <w:r w:rsidRPr="00315653">
        <w:rPr>
          <w:rFonts w:hint="cs"/>
          <w:color w:val="000000"/>
          <w:rtl/>
          <w:lang w:bidi="ar-EG"/>
        </w:rPr>
        <w:t xml:space="preserve"> ككفيل آخر ضمن الدين أو مدينين متضامنين متعددين</w:t>
      </w:r>
      <w:r>
        <w:rPr>
          <w:rFonts w:hint="cs"/>
          <w:color w:val="000000"/>
          <w:rtl/>
          <w:lang w:bidi="ar-EG"/>
        </w:rPr>
        <w:t xml:space="preserve"> ،</w:t>
      </w:r>
      <w:r w:rsidRPr="00315653">
        <w:rPr>
          <w:rFonts w:hint="cs"/>
          <w:color w:val="000000"/>
          <w:rtl/>
          <w:lang w:bidi="ar-EG"/>
        </w:rPr>
        <w:t xml:space="preserve"> فسيأتي الكلام في ذلك عند بحث رجوع الكفيل على الكفلاء الآخرين ورجوعه على المدينين المتضامنين</w:t>
      </w:r>
      <w:r>
        <w:rPr>
          <w:rFonts w:hint="cs"/>
          <w:color w:val="000000"/>
          <w:rtl/>
          <w:lang w:bidi="ar-EG"/>
        </w:rPr>
        <w:t xml:space="preserve"> .</w:t>
      </w:r>
      <w:r w:rsidRPr="00315653">
        <w:rPr>
          <w:rFonts w:hint="cs"/>
          <w:color w:val="000000"/>
          <w:rtl/>
          <w:lang w:bidi="ar-EG"/>
        </w:rPr>
        <w:t xml:space="preserve"> والحول في التأمينات يقع بحكم القانون</w:t>
      </w:r>
      <w:r>
        <w:rPr>
          <w:rFonts w:hint="cs"/>
          <w:color w:val="000000"/>
          <w:rtl/>
          <w:lang w:bidi="ar-EG"/>
        </w:rPr>
        <w:t xml:space="preserve"> ،</w:t>
      </w:r>
      <w:r w:rsidRPr="00315653">
        <w:rPr>
          <w:rFonts w:hint="cs"/>
          <w:color w:val="000000"/>
          <w:rtl/>
          <w:lang w:bidi="ar-EG"/>
        </w:rPr>
        <w:t xml:space="preserve"> فلا يحتاج الكفيل إلى اتفاق مع الدائن على إحلاله محله في رهن أو في أي تأمين آخر أو في أي طلب للدخول في التوزيع بدلا منه</w:t>
      </w:r>
      <w:r>
        <w:rPr>
          <w:rFonts w:hint="cs"/>
          <w:color w:val="000000"/>
          <w:rtl/>
          <w:lang w:bidi="ar-EG"/>
        </w:rPr>
        <w:t xml:space="preserve"> ،</w:t>
      </w:r>
      <w:r w:rsidRPr="00315653">
        <w:rPr>
          <w:rFonts w:hint="cs"/>
          <w:color w:val="000000"/>
          <w:rtl/>
          <w:lang w:bidi="ar-EG"/>
        </w:rPr>
        <w:t xml:space="preserve"> ولا يجوز للدائن أن ينزل عن الرهن أو عن مرتبة هذا الرهن إضراراً يحق الكفيل الذي حل محله في هذا الرهن</w:t>
      </w:r>
      <w:r>
        <w:rPr>
          <w:rFonts w:hint="cs"/>
          <w:color w:val="000000"/>
          <w:vertAlign w:val="superscript"/>
          <w:rtl/>
          <w:lang w:bidi="ar-EG"/>
        </w:rPr>
        <w:t xml:space="preserve">( </w:t>
      </w:r>
      <w:r w:rsidRPr="00315653">
        <w:rPr>
          <w:rStyle w:val="ab"/>
          <w:color w:val="000000"/>
          <w:rtl/>
          <w:lang w:bidi="ar-EG"/>
        </w:rPr>
        <w:footnoteReference w:id="41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ويحل الكفيل محل الدائن في حقه</w:t>
      </w:r>
      <w:r>
        <w:rPr>
          <w:rFonts w:hint="cs"/>
          <w:color w:val="000000"/>
          <w:rtl/>
          <w:lang w:bidi="ar-EG"/>
        </w:rPr>
        <w:t xml:space="preserve"> ،</w:t>
      </w:r>
      <w:r w:rsidRPr="00315653">
        <w:rPr>
          <w:rFonts w:hint="cs"/>
          <w:color w:val="000000"/>
          <w:rtl/>
          <w:lang w:bidi="ar-EG"/>
        </w:rPr>
        <w:t xml:space="preserve"> بما يرد عليه من دفوع إذا كان $188 الكفيل قد وفى الدين قبل إخطار المدين بعزمه على الوفاء فلم يتمكن المدين من المعارضة في الوفاء</w:t>
      </w:r>
      <w:r>
        <w:rPr>
          <w:rFonts w:hint="cs"/>
          <w:color w:val="000000"/>
          <w:rtl/>
          <w:lang w:bidi="ar-EG"/>
        </w:rPr>
        <w:t xml:space="preserve"> .</w:t>
      </w:r>
      <w:r w:rsidRPr="00315653">
        <w:rPr>
          <w:rFonts w:hint="cs"/>
          <w:color w:val="000000"/>
          <w:rtl/>
          <w:lang w:bidi="ar-EG"/>
        </w:rPr>
        <w:t xml:space="preserve"> فإذا كان الحق مصدره عقد باطل أو قابل للإبطال</w:t>
      </w:r>
      <w:r>
        <w:rPr>
          <w:rFonts w:hint="cs"/>
          <w:color w:val="000000"/>
          <w:rtl/>
          <w:lang w:bidi="ar-EG"/>
        </w:rPr>
        <w:t xml:space="preserve"> ،</w:t>
      </w:r>
      <w:r w:rsidRPr="00315653">
        <w:rPr>
          <w:rFonts w:hint="cs"/>
          <w:color w:val="000000"/>
          <w:rtl/>
          <w:lang w:bidi="ar-EG"/>
        </w:rPr>
        <w:t xml:space="preserve"> جاز للمدين أن يتمسك بهذا الدفع تجاه الكفيل كما كان له ذلك تجاه الدائن</w:t>
      </w:r>
      <w:r>
        <w:rPr>
          <w:rFonts w:hint="cs"/>
          <w:color w:val="000000"/>
          <w:rtl/>
          <w:lang w:bidi="ar-EG"/>
        </w:rPr>
        <w:t xml:space="preserve"> .</w:t>
      </w:r>
      <w:r w:rsidRPr="00315653">
        <w:rPr>
          <w:rFonts w:hint="cs"/>
          <w:color w:val="000000"/>
          <w:rtl/>
          <w:lang w:bidi="ar-EG"/>
        </w:rPr>
        <w:t xml:space="preserve"> وإذا كان الحق قد انقضى بالوفاء أو بأي سبب آخر كالتجديد أو المقاصة أو الإبراء أو التقادم</w:t>
      </w:r>
      <w:r>
        <w:rPr>
          <w:rFonts w:hint="cs"/>
          <w:color w:val="000000"/>
          <w:rtl/>
          <w:lang w:bidi="ar-EG"/>
        </w:rPr>
        <w:t xml:space="preserve"> ،</w:t>
      </w:r>
      <w:r w:rsidRPr="00315653">
        <w:rPr>
          <w:rFonts w:hint="cs"/>
          <w:color w:val="000000"/>
          <w:rtl/>
          <w:lang w:bidi="ar-EG"/>
        </w:rPr>
        <w:t xml:space="preserve"> جاز للمدين أن يدفع بكل ذلك</w:t>
      </w:r>
      <w:r>
        <w:rPr>
          <w:rFonts w:hint="cs"/>
          <w:color w:val="000000"/>
          <w:rtl/>
          <w:lang w:bidi="ar-EG"/>
        </w:rPr>
        <w:t xml:space="preserve"> .</w:t>
      </w:r>
      <w:r w:rsidRPr="00315653">
        <w:rPr>
          <w:rFonts w:hint="cs"/>
          <w:color w:val="000000"/>
          <w:rtl/>
          <w:lang w:bidi="ar-EG"/>
        </w:rPr>
        <w:t xml:space="preserve"> وإذا كان الحق معلقاً على شرط واقف لم يتحقق</w:t>
      </w:r>
      <w:r>
        <w:rPr>
          <w:rFonts w:hint="cs"/>
          <w:color w:val="000000"/>
          <w:rtl/>
          <w:lang w:bidi="ar-EG"/>
        </w:rPr>
        <w:t xml:space="preserve"> ،</w:t>
      </w:r>
      <w:r w:rsidRPr="00315653">
        <w:rPr>
          <w:rFonts w:hint="cs"/>
          <w:color w:val="000000"/>
          <w:rtl/>
          <w:lang w:bidi="ar-EG"/>
        </w:rPr>
        <w:t xml:space="preserve"> أو على شرط فاسخ تحقق</w:t>
      </w:r>
      <w:r>
        <w:rPr>
          <w:rFonts w:hint="cs"/>
          <w:color w:val="000000"/>
          <w:rtl/>
          <w:lang w:bidi="ar-EG"/>
        </w:rPr>
        <w:t xml:space="preserve"> ،</w:t>
      </w:r>
      <w:r w:rsidRPr="00315653">
        <w:rPr>
          <w:rFonts w:hint="cs"/>
          <w:color w:val="000000"/>
          <w:rtl/>
          <w:lang w:bidi="ar-EG"/>
        </w:rPr>
        <w:t xml:space="preserve"> أو كان حقاً مؤجلا ولم يحل الأجل</w:t>
      </w:r>
      <w:r>
        <w:rPr>
          <w:rFonts w:hint="cs"/>
          <w:color w:val="000000"/>
          <w:rtl/>
          <w:lang w:bidi="ar-EG"/>
        </w:rPr>
        <w:t xml:space="preserve"> ،</w:t>
      </w:r>
      <w:r w:rsidRPr="00315653">
        <w:rPr>
          <w:rFonts w:hint="cs"/>
          <w:color w:val="000000"/>
          <w:rtl/>
          <w:lang w:bidi="ar-EG"/>
        </w:rPr>
        <w:t xml:space="preserve"> جاز للمدين أن يدفع أيضاً بكل ذلك</w:t>
      </w:r>
      <w:r>
        <w:rPr>
          <w:rFonts w:hint="cs"/>
          <w:color w:val="000000"/>
          <w:rtl/>
          <w:lang w:bidi="ar-EG"/>
        </w:rPr>
        <w:t xml:space="preserve"> .</w:t>
      </w:r>
      <w:r w:rsidRPr="00315653">
        <w:rPr>
          <w:rFonts w:hint="cs"/>
          <w:color w:val="000000"/>
          <w:rtl/>
          <w:lang w:bidi="ar-EG"/>
        </w:rPr>
        <w:t xml:space="preserve"> أما إذا كان الدائن قاصراً</w:t>
      </w:r>
      <w:r>
        <w:rPr>
          <w:rFonts w:hint="cs"/>
          <w:color w:val="000000"/>
          <w:rtl/>
          <w:lang w:bidi="ar-EG"/>
        </w:rPr>
        <w:t xml:space="preserve"> ،</w:t>
      </w:r>
      <w:r w:rsidRPr="00315653">
        <w:rPr>
          <w:rFonts w:hint="cs"/>
          <w:color w:val="000000"/>
          <w:rtl/>
          <w:lang w:bidi="ar-EG"/>
        </w:rPr>
        <w:t xml:space="preserve"> فجاز للمدين أن يمتنع عن الوفاء له شخصياً لعدم صحة الوفاء في هذه الحالة</w:t>
      </w:r>
      <w:r>
        <w:rPr>
          <w:rFonts w:hint="cs"/>
          <w:color w:val="000000"/>
          <w:rtl/>
          <w:lang w:bidi="ar-EG"/>
        </w:rPr>
        <w:t xml:space="preserve"> ،</w:t>
      </w:r>
      <w:r w:rsidRPr="00315653">
        <w:rPr>
          <w:rFonts w:hint="cs"/>
          <w:color w:val="000000"/>
          <w:rtl/>
          <w:lang w:bidi="ar-EG"/>
        </w:rPr>
        <w:t xml:space="preserve"> فإنه لا يستطيع أن يدفع بهذا الدفع الخاص بشخص الدائن تجاه الكفيل إذا كان هذا متوافراً فيه الأهلية لاستيفاء الدين</w:t>
      </w:r>
      <w:r>
        <w:rPr>
          <w:rFonts w:hint="cs"/>
          <w:color w:val="000000"/>
          <w:vertAlign w:val="superscript"/>
          <w:rtl/>
          <w:lang w:bidi="ar-EG"/>
        </w:rPr>
        <w:t xml:space="preserve">( </w:t>
      </w:r>
      <w:r w:rsidRPr="00315653">
        <w:rPr>
          <w:rStyle w:val="ab"/>
          <w:color w:val="000000"/>
          <w:rtl/>
          <w:lang w:bidi="ar-EG"/>
        </w:rPr>
        <w:footnoteReference w:id="41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على أن العبارة الأخيرة من المادة 329 مدني تنص</w:t>
      </w:r>
      <w:r>
        <w:rPr>
          <w:rFonts w:hint="cs"/>
          <w:color w:val="000000"/>
          <w:rtl/>
          <w:lang w:bidi="ar-EG"/>
        </w:rPr>
        <w:t xml:space="preserve"> ،</w:t>
      </w:r>
      <w:r w:rsidRPr="00315653">
        <w:rPr>
          <w:rFonts w:hint="cs"/>
          <w:color w:val="000000"/>
          <w:rtl/>
          <w:lang w:bidi="ar-EG"/>
        </w:rPr>
        <w:t xml:space="preserve"> كما رأينا</w:t>
      </w:r>
      <w:r>
        <w:rPr>
          <w:rFonts w:hint="cs"/>
          <w:color w:val="000000"/>
          <w:vertAlign w:val="superscript"/>
          <w:rtl/>
          <w:lang w:bidi="ar-EG"/>
        </w:rPr>
        <w:t xml:space="preserve">( </w:t>
      </w:r>
      <w:r w:rsidRPr="00315653">
        <w:rPr>
          <w:rStyle w:val="ab"/>
          <w:color w:val="000000"/>
          <w:rtl/>
          <w:lang w:bidi="ar-EG"/>
        </w:rPr>
        <w:footnoteReference w:id="41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على أن "يكون هذا الحلول بالقدر الذي أداه من ماله من حل محل الدائن"</w:t>
      </w:r>
      <w:r>
        <w:rPr>
          <w:rFonts w:hint="cs"/>
          <w:color w:val="000000"/>
          <w:rtl/>
          <w:lang w:bidi="ar-EG"/>
        </w:rPr>
        <w:t xml:space="preserve"> .</w:t>
      </w:r>
      <w:r w:rsidRPr="00315653">
        <w:rPr>
          <w:rFonts w:hint="cs"/>
          <w:color w:val="000000"/>
          <w:rtl/>
          <w:lang w:bidi="ar-EG"/>
        </w:rPr>
        <w:t xml:space="preserve"> والسبب في ذلك أن الكفيل</w:t>
      </w:r>
      <w:r>
        <w:rPr>
          <w:rFonts w:hint="cs"/>
          <w:color w:val="000000"/>
          <w:rtl/>
          <w:lang w:bidi="ar-EG"/>
        </w:rPr>
        <w:t xml:space="preserve"> ،</w:t>
      </w:r>
      <w:r w:rsidRPr="00315653">
        <w:rPr>
          <w:rFonts w:hint="cs"/>
          <w:color w:val="000000"/>
          <w:rtl/>
          <w:lang w:bidi="ar-EG"/>
        </w:rPr>
        <w:t xml:space="preserve"> وهو يفي بالدين للدائن</w:t>
      </w:r>
      <w:r>
        <w:rPr>
          <w:rFonts w:hint="cs"/>
          <w:color w:val="000000"/>
          <w:rtl/>
          <w:lang w:bidi="ar-EG"/>
        </w:rPr>
        <w:t xml:space="preserve"> ،</w:t>
      </w:r>
      <w:r w:rsidRPr="00315653">
        <w:rPr>
          <w:rFonts w:hint="cs"/>
          <w:color w:val="000000"/>
          <w:rtl/>
          <w:lang w:bidi="ar-EG"/>
        </w:rPr>
        <w:t xml:space="preserve"> إنما يقوم بهذا بعيداً عن فكرة المضاربة التي هي في حوالة الحق لصيقة بمن يشتري الدين</w:t>
      </w:r>
      <w:r>
        <w:rPr>
          <w:rFonts w:hint="cs"/>
          <w:color w:val="000000"/>
          <w:rtl/>
          <w:lang w:bidi="ar-EG"/>
        </w:rPr>
        <w:t xml:space="preserve"> .</w:t>
      </w:r>
      <w:r w:rsidRPr="00315653">
        <w:rPr>
          <w:rFonts w:hint="cs"/>
          <w:color w:val="000000"/>
          <w:rtl/>
          <w:lang w:bidi="ar-EG"/>
        </w:rPr>
        <w:t xml:space="preserve"> ولا بد أن يكون الوفاء هنا قد أحاطت به ملابسات اقتضت أن ينزل الدائن عن جزء من الدين ويستوفي الباقي</w:t>
      </w:r>
      <w:r>
        <w:rPr>
          <w:rFonts w:hint="cs"/>
          <w:color w:val="000000"/>
          <w:rtl/>
          <w:lang w:bidi="ar-EG"/>
        </w:rPr>
        <w:t xml:space="preserve"> ،</w:t>
      </w:r>
      <w:r w:rsidRPr="00315653">
        <w:rPr>
          <w:rFonts w:hint="cs"/>
          <w:color w:val="000000"/>
          <w:rtl/>
          <w:lang w:bidi="ar-EG"/>
        </w:rPr>
        <w:t xml:space="preserve"> فليس للكفيل أن يرجع على المدين بأكثر مما وفى للدائن إذ هو لا يقصد المضاربة فيما قام به من وفاء</w:t>
      </w:r>
      <w:r>
        <w:rPr>
          <w:rFonts w:hint="cs"/>
          <w:color w:val="000000"/>
          <w:rtl/>
          <w:lang w:bidi="ar-EG"/>
        </w:rPr>
        <w:t xml:space="preserve"> ،</w:t>
      </w:r>
      <w:r w:rsidRPr="00315653">
        <w:rPr>
          <w:rFonts w:hint="cs"/>
          <w:color w:val="000000"/>
          <w:rtl/>
          <w:lang w:bidi="ar-EG"/>
        </w:rPr>
        <w:t xml:space="preserve"> وإنما هو يلتزم بالدين عن المدين ويريد الوفاء بالتزامه</w:t>
      </w:r>
      <w:r>
        <w:rPr>
          <w:rFonts w:hint="cs"/>
          <w:color w:val="000000"/>
          <w:rtl/>
          <w:lang w:bidi="ar-EG"/>
        </w:rPr>
        <w:t xml:space="preserve"> .</w:t>
      </w:r>
      <w:r w:rsidRPr="00315653">
        <w:rPr>
          <w:rFonts w:hint="cs"/>
          <w:color w:val="000000"/>
          <w:rtl/>
          <w:lang w:bidi="ar-EG"/>
        </w:rPr>
        <w:t xml:space="preserve"> ولو كان يقصد المضاربة ويريد الرجوع بكل الدين</w:t>
      </w:r>
      <w:r>
        <w:rPr>
          <w:rFonts w:hint="cs"/>
          <w:color w:val="000000"/>
          <w:rtl/>
          <w:lang w:bidi="ar-EG"/>
        </w:rPr>
        <w:t xml:space="preserve"> ،</w:t>
      </w:r>
      <w:r w:rsidRPr="00315653">
        <w:rPr>
          <w:rFonts w:hint="cs"/>
          <w:color w:val="000000"/>
          <w:rtl/>
          <w:lang w:bidi="ar-EG"/>
        </w:rPr>
        <w:t xml:space="preserve"> فسبيله إلى ذلك أن يشتري الدين من الدائن بالمقدار الذي دفعه</w:t>
      </w:r>
      <w:r>
        <w:rPr>
          <w:rFonts w:hint="cs"/>
          <w:color w:val="000000"/>
          <w:rtl/>
          <w:lang w:bidi="ar-EG"/>
        </w:rPr>
        <w:t xml:space="preserve"> ،</w:t>
      </w:r>
      <w:r w:rsidRPr="00315653">
        <w:rPr>
          <w:rFonts w:hint="cs"/>
          <w:color w:val="000000"/>
          <w:rtl/>
          <w:lang w:bidi="ar-EG"/>
        </w:rPr>
        <w:t xml:space="preserve"> وعند هذا ينتقل إليه الدين كاملا عن طريق حوالة الحق ويرجع به كله على المدين</w:t>
      </w:r>
      <w:r>
        <w:rPr>
          <w:rFonts w:hint="cs"/>
          <w:color w:val="000000"/>
          <w:vertAlign w:val="superscript"/>
          <w:rtl/>
          <w:lang w:bidi="ar-EG"/>
        </w:rPr>
        <w:t xml:space="preserve">( </w:t>
      </w:r>
      <w:r w:rsidRPr="00315653">
        <w:rPr>
          <w:rStyle w:val="ab"/>
          <w:color w:val="000000"/>
          <w:rtl/>
          <w:lang w:bidi="ar-EG"/>
        </w:rPr>
        <w:footnoteReference w:id="41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$189 وعلى ذلك يرجع الكفيل على المدين</w:t>
      </w:r>
      <w:r>
        <w:rPr>
          <w:rFonts w:hint="cs"/>
          <w:color w:val="000000"/>
          <w:rtl/>
          <w:lang w:bidi="ar-EG"/>
        </w:rPr>
        <w:t xml:space="preserve"> ،</w:t>
      </w:r>
      <w:r w:rsidRPr="00315653">
        <w:rPr>
          <w:rFonts w:hint="cs"/>
          <w:color w:val="000000"/>
          <w:rtl/>
          <w:lang w:bidi="ar-EG"/>
        </w:rPr>
        <w:t xml:space="preserve"> في دعوى الحلول</w:t>
      </w:r>
      <w:r>
        <w:rPr>
          <w:rFonts w:hint="cs"/>
          <w:color w:val="000000"/>
          <w:rtl/>
          <w:lang w:bidi="ar-EG"/>
        </w:rPr>
        <w:t xml:space="preserve"> ،</w:t>
      </w:r>
      <w:r w:rsidRPr="00315653">
        <w:rPr>
          <w:rFonts w:hint="cs"/>
          <w:color w:val="000000"/>
          <w:rtl/>
          <w:lang w:bidi="ar-EG"/>
        </w:rPr>
        <w:t xml:space="preserve"> بما دفعه الكفيل للدائن لإخلاء ذمة المدين</w:t>
      </w:r>
      <w:r>
        <w:rPr>
          <w:rFonts w:hint="cs"/>
          <w:color w:val="000000"/>
          <w:rtl/>
          <w:lang w:bidi="ar-EG"/>
        </w:rPr>
        <w:t xml:space="preserve"> .</w:t>
      </w:r>
      <w:r w:rsidRPr="00315653">
        <w:rPr>
          <w:rFonts w:hint="cs"/>
          <w:color w:val="000000"/>
          <w:rtl/>
          <w:lang w:bidi="ar-EG"/>
        </w:rPr>
        <w:t xml:space="preserve"> فيشمل ذلك مقدار الدين في أصله إذا كان قد وفى الدائن مقدار الدين بأكمله</w:t>
      </w:r>
      <w:r>
        <w:rPr>
          <w:rFonts w:hint="cs"/>
          <w:color w:val="000000"/>
          <w:rtl/>
          <w:lang w:bidi="ar-EG"/>
        </w:rPr>
        <w:t xml:space="preserve"> ،</w:t>
      </w:r>
      <w:r w:rsidRPr="00315653">
        <w:rPr>
          <w:rFonts w:hint="cs"/>
          <w:color w:val="000000"/>
          <w:rtl/>
          <w:lang w:bidi="ar-EG"/>
        </w:rPr>
        <w:t xml:space="preserve"> وإلا فالقدر الذي وفاه من الدين كما قدمنا</w:t>
      </w:r>
      <w:r>
        <w:rPr>
          <w:rFonts w:hint="cs"/>
          <w:color w:val="000000"/>
          <w:rtl/>
          <w:lang w:bidi="ar-EG"/>
        </w:rPr>
        <w:t xml:space="preserve"> .</w:t>
      </w:r>
      <w:r w:rsidRPr="00315653">
        <w:rPr>
          <w:rFonts w:hint="cs"/>
          <w:color w:val="000000"/>
          <w:rtl/>
          <w:lang w:bidi="ar-EG"/>
        </w:rPr>
        <w:t xml:space="preserve"> وكذلك يرجع بفوائد هذا الدين لو كان الدين ينتج فوائد اتفاقية أو قانونية</w:t>
      </w:r>
      <w:r>
        <w:rPr>
          <w:rFonts w:hint="cs"/>
          <w:color w:val="000000"/>
          <w:rtl/>
          <w:lang w:bidi="ar-EG"/>
        </w:rPr>
        <w:t xml:space="preserve"> ،</w:t>
      </w:r>
      <w:r w:rsidRPr="00315653">
        <w:rPr>
          <w:rFonts w:hint="cs"/>
          <w:color w:val="000000"/>
          <w:rtl/>
          <w:lang w:bidi="ar-EG"/>
        </w:rPr>
        <w:t xml:space="preserve"> ما دامت هذه الفوائد تدخل ضمن الدين المكفول</w:t>
      </w:r>
      <w:r>
        <w:rPr>
          <w:rFonts w:hint="cs"/>
          <w:color w:val="000000"/>
          <w:rtl/>
          <w:lang w:bidi="ar-EG"/>
        </w:rPr>
        <w:t xml:space="preserve"> .</w:t>
      </w:r>
      <w:r w:rsidRPr="00315653">
        <w:rPr>
          <w:rFonts w:hint="cs"/>
          <w:color w:val="000000"/>
          <w:rtl/>
          <w:lang w:bidi="ar-EG"/>
        </w:rPr>
        <w:t xml:space="preserve"> ويشمل أصل الدين كذلك</w:t>
      </w:r>
      <w:r>
        <w:rPr>
          <w:rFonts w:hint="cs"/>
          <w:color w:val="000000"/>
          <w:rtl/>
          <w:lang w:bidi="ar-EG"/>
        </w:rPr>
        <w:t xml:space="preserve"> ،</w:t>
      </w:r>
      <w:r w:rsidRPr="00315653">
        <w:rPr>
          <w:rFonts w:hint="cs"/>
          <w:color w:val="000000"/>
          <w:rtl/>
          <w:lang w:bidi="ar-EG"/>
        </w:rPr>
        <w:t xml:space="preserve"> فيرجع الكفيل به على المدين</w:t>
      </w:r>
      <w:r>
        <w:rPr>
          <w:rFonts w:hint="cs"/>
          <w:color w:val="000000"/>
          <w:rtl/>
          <w:lang w:bidi="ar-EG"/>
        </w:rPr>
        <w:t xml:space="preserve"> ،</w:t>
      </w:r>
      <w:r w:rsidRPr="00315653">
        <w:rPr>
          <w:rFonts w:hint="cs"/>
          <w:color w:val="000000"/>
          <w:rtl/>
          <w:lang w:bidi="ar-EG"/>
        </w:rPr>
        <w:t xml:space="preserve"> ما يضطر الكفيل إلى دفعه للدائن في نظير المصروفات التي تكبدها هذا الأخير في مواجهة المدين</w:t>
      </w:r>
      <w:r>
        <w:rPr>
          <w:rFonts w:hint="cs"/>
          <w:color w:val="000000"/>
          <w:rtl/>
          <w:lang w:bidi="ar-EG"/>
        </w:rPr>
        <w:t xml:space="preserve"> ،</w:t>
      </w:r>
      <w:r w:rsidRPr="00315653">
        <w:rPr>
          <w:rFonts w:hint="cs"/>
          <w:color w:val="000000"/>
          <w:rtl/>
          <w:lang w:bidi="ar-EG"/>
        </w:rPr>
        <w:t xml:space="preserve"> كما يشمل بوجه عام كل ما وجب على الكفيل دفعه للدائن لإخلاء ذمة المدين</w:t>
      </w:r>
      <w:r>
        <w:rPr>
          <w:rFonts w:hint="cs"/>
          <w:color w:val="000000"/>
          <w:rtl/>
          <w:lang w:bidi="ar-EG"/>
        </w:rPr>
        <w:t xml:space="preserve"> .</w:t>
      </w:r>
      <w:r w:rsidRPr="00315653">
        <w:rPr>
          <w:rFonts w:hint="cs"/>
          <w:color w:val="000000"/>
          <w:rtl/>
          <w:lang w:bidi="ar-EG"/>
        </w:rPr>
        <w:t xml:space="preserve"> وهذا كله يرجع به الكفل على المدين أيضاً في الدعوى الشخصية</w:t>
      </w:r>
      <w:r>
        <w:rPr>
          <w:rFonts w:hint="cs"/>
          <w:color w:val="000000"/>
          <w:rtl/>
          <w:lang w:bidi="ar-EG"/>
        </w:rPr>
        <w:t xml:space="preserve"> ،</w:t>
      </w:r>
      <w:r w:rsidRPr="00315653">
        <w:rPr>
          <w:rFonts w:hint="cs"/>
          <w:color w:val="000000"/>
          <w:rtl/>
          <w:lang w:bidi="ar-EG"/>
        </w:rPr>
        <w:t xml:space="preserve"> كما قدمنا</w:t>
      </w:r>
      <w:r>
        <w:rPr>
          <w:rFonts w:hint="cs"/>
          <w:color w:val="000000"/>
          <w:vertAlign w:val="superscript"/>
          <w:rtl/>
          <w:lang w:bidi="ar-EG"/>
        </w:rPr>
        <w:t xml:space="preserve">( </w:t>
      </w:r>
      <w:r w:rsidRPr="00315653">
        <w:rPr>
          <w:rStyle w:val="ab"/>
          <w:color w:val="000000"/>
          <w:rtl/>
          <w:lang w:bidi="ar-EG"/>
        </w:rPr>
        <w:footnoteReference w:id="41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الكفيل لا يرجع على المدين</w:t>
      </w:r>
      <w:r>
        <w:rPr>
          <w:rFonts w:hint="cs"/>
          <w:color w:val="000000"/>
          <w:rtl/>
          <w:lang w:bidi="ar-EG"/>
        </w:rPr>
        <w:t xml:space="preserve"> ،</w:t>
      </w:r>
      <w:r w:rsidRPr="00315653">
        <w:rPr>
          <w:rFonts w:hint="cs"/>
          <w:color w:val="000000"/>
          <w:rtl/>
          <w:lang w:bidi="ar-EG"/>
        </w:rPr>
        <w:t xml:space="preserve"> في دعوى الحلول</w:t>
      </w:r>
      <w:r>
        <w:rPr>
          <w:rFonts w:hint="cs"/>
          <w:color w:val="000000"/>
          <w:rtl/>
          <w:lang w:bidi="ar-EG"/>
        </w:rPr>
        <w:t xml:space="preserve"> ،</w:t>
      </w:r>
      <w:r w:rsidRPr="00315653">
        <w:rPr>
          <w:rFonts w:hint="cs"/>
          <w:color w:val="000000"/>
          <w:rtl/>
          <w:lang w:bidi="ar-EG"/>
        </w:rPr>
        <w:t xml:space="preserve"> لا بالفوائد القانونية عن كل ما قام بدفعه ابتداء من يوم الدفع</w:t>
      </w:r>
      <w:r>
        <w:rPr>
          <w:rFonts w:hint="cs"/>
          <w:color w:val="000000"/>
          <w:rtl/>
          <w:lang w:bidi="ar-EG"/>
        </w:rPr>
        <w:t xml:space="preserve"> ،</w:t>
      </w:r>
      <w:r w:rsidRPr="00315653">
        <w:rPr>
          <w:rFonts w:hint="cs"/>
          <w:color w:val="000000"/>
          <w:rtl/>
          <w:lang w:bidi="ar-EG"/>
        </w:rPr>
        <w:t xml:space="preserve"> ولا بالمصروفات التي أنفقها الكفل في سبيل الوفاء بالتزامه وكل ما حكم عليه به من المصروفات للدائن</w:t>
      </w:r>
      <w:r>
        <w:rPr>
          <w:rFonts w:hint="cs"/>
          <w:color w:val="000000"/>
          <w:rtl/>
          <w:lang w:bidi="ar-EG"/>
        </w:rPr>
        <w:t xml:space="preserve"> ،</w:t>
      </w:r>
      <w:r w:rsidRPr="00315653">
        <w:rPr>
          <w:rFonts w:hint="cs"/>
          <w:color w:val="000000"/>
          <w:rtl/>
          <w:lang w:bidi="ar-EG"/>
        </w:rPr>
        <w:t xml:space="preserve"> وذلك كمصروفات العرض الحقيقي والإبداع والمصروفات التي أنفقها الكفيل في إرشاد الدائن إلى أموال المدين لتجريدها ومصروفات مطالبة الدائن للمدين ومصروفات رفع الدائن الدعوى على الكفيل</w:t>
      </w:r>
      <w:r>
        <w:rPr>
          <w:rFonts w:hint="cs"/>
          <w:color w:val="000000"/>
          <w:rtl/>
          <w:lang w:bidi="ar-EG"/>
        </w:rPr>
        <w:t xml:space="preserve"> ،</w:t>
      </w:r>
      <w:r w:rsidRPr="00315653">
        <w:rPr>
          <w:rFonts w:hint="cs"/>
          <w:color w:val="000000"/>
          <w:rtl/>
          <w:lang w:bidi="ar-EG"/>
        </w:rPr>
        <w:t xml:space="preserve"> ولا بالتعويض عن الضرر الذي يكون قد أصاب الكفيل دون خطأ منه بسبب تنفيذ التزامه</w:t>
      </w:r>
      <w:r>
        <w:rPr>
          <w:rFonts w:hint="cs"/>
          <w:color w:val="000000"/>
          <w:vertAlign w:val="superscript"/>
          <w:rtl/>
          <w:lang w:bidi="ar-EG"/>
        </w:rPr>
        <w:t xml:space="preserve">( </w:t>
      </w:r>
      <w:r w:rsidRPr="00315653">
        <w:rPr>
          <w:rStyle w:val="ab"/>
          <w:color w:val="000000"/>
          <w:rtl/>
          <w:lang w:bidi="ar-EG"/>
        </w:rPr>
        <w:footnoteReference w:id="41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وهذا كله يرجع به الكفيل على المدين في الدعوى الشخصية</w:t>
      </w:r>
      <w:r>
        <w:rPr>
          <w:rFonts w:hint="cs"/>
          <w:color w:val="000000"/>
          <w:vertAlign w:val="superscript"/>
          <w:rtl/>
          <w:lang w:bidi="ar-EG"/>
        </w:rPr>
        <w:t xml:space="preserve">( </w:t>
      </w:r>
      <w:r w:rsidRPr="00315653">
        <w:rPr>
          <w:rStyle w:val="ab"/>
          <w:color w:val="000000"/>
          <w:rtl/>
          <w:lang w:bidi="ar-EG"/>
        </w:rPr>
        <w:footnoteReference w:id="41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r w:rsidRPr="00315653">
        <w:rPr>
          <w:rFonts w:hint="cs"/>
          <w:color w:val="000000"/>
          <w:rtl/>
          <w:lang w:bidi="ar-EG"/>
        </w:rPr>
        <w:lastRenderedPageBreak/>
        <w:t>بخلاف دعوى الحلول</w:t>
      </w:r>
      <w:r>
        <w:rPr>
          <w:rFonts w:hint="cs"/>
          <w:color w:val="000000"/>
          <w:rtl/>
          <w:lang w:bidi="ar-EG"/>
        </w:rPr>
        <w:t xml:space="preserve"> ،</w:t>
      </w:r>
      <w:r w:rsidRPr="00315653">
        <w:rPr>
          <w:rFonts w:hint="cs"/>
          <w:color w:val="000000"/>
          <w:rtl/>
          <w:lang w:bidi="ar-EG"/>
        </w:rPr>
        <w:t xml:space="preserve"> وفي ذلك تتميز الدعوى الشخصية عن دعوى الحلول</w:t>
      </w:r>
      <w:r>
        <w:rPr>
          <w:rFonts w:hint="cs"/>
          <w:color w:val="000000"/>
          <w:vertAlign w:val="superscript"/>
          <w:rtl/>
          <w:lang w:bidi="ar-EG"/>
        </w:rPr>
        <w:t xml:space="preserve">( </w:t>
      </w:r>
      <w:r w:rsidRPr="00315653">
        <w:rPr>
          <w:rStyle w:val="ab"/>
          <w:color w:val="000000"/>
          <w:rtl/>
          <w:lang w:bidi="ar-EG"/>
        </w:rPr>
        <w:footnoteReference w:id="42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$190</w:t>
      </w:r>
      <w:r w:rsidRPr="00315653">
        <w:rPr>
          <w:rFonts w:hint="cs"/>
          <w:b/>
          <w:bCs/>
          <w:color w:val="000000"/>
          <w:rtl/>
          <w:lang w:bidi="ar-EG"/>
        </w:rPr>
        <w:t xml:space="preserve"> 69- ما الذي يرجع به الكفيل على المدين في دعوى الحول إذا وفى الكفيل جزءا من الدين</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421"/>
      </w:r>
      <w:r>
        <w:rPr>
          <w:rFonts w:hint="cs"/>
          <w:color w:val="000000"/>
          <w:vertAlign w:val="superscript"/>
          <w:rtl/>
          <w:lang w:bidi="ar-EG"/>
        </w:rPr>
        <w:t xml:space="preserve"> )</w:t>
      </w:r>
      <w:r w:rsidRPr="00315653">
        <w:rPr>
          <w:rFonts w:hint="cs"/>
          <w:color w:val="000000"/>
          <w:rtl/>
          <w:lang w:bidi="ar-EG"/>
        </w:rPr>
        <w:t xml:space="preserve"> أن المادة 799 مدني تنص على ما يأتي</w:t>
      </w:r>
      <w:r>
        <w:rPr>
          <w:rFonts w:hint="cs"/>
          <w:color w:val="000000"/>
          <w:rtl/>
          <w:lang w:bidi="ar-EG"/>
        </w:rPr>
        <w:t xml:space="preserve"> :</w:t>
      </w:r>
      <w:r w:rsidRPr="00315653">
        <w:rPr>
          <w:rFonts w:hint="cs"/>
          <w:color w:val="000000"/>
          <w:rtl/>
          <w:lang w:bidi="ar-EG"/>
        </w:rPr>
        <w:t xml:space="preserve"> "ولكن إذا لم يوف </w:t>
      </w:r>
      <w:r>
        <w:rPr>
          <w:rFonts w:hint="cs"/>
          <w:color w:val="000000"/>
          <w:rtl/>
          <w:lang w:bidi="ar-EG"/>
        </w:rPr>
        <w:t xml:space="preserve">( </w:t>
      </w:r>
      <w:r w:rsidRPr="00315653">
        <w:rPr>
          <w:rFonts w:hint="cs"/>
          <w:color w:val="000000"/>
          <w:rtl/>
          <w:lang w:bidi="ar-EG"/>
        </w:rPr>
        <w:t>الكفيل</w:t>
      </w:r>
      <w:r>
        <w:rPr>
          <w:rFonts w:hint="cs"/>
          <w:color w:val="000000"/>
          <w:rtl/>
          <w:lang w:bidi="ar-EG"/>
        </w:rPr>
        <w:t xml:space="preserve"> )</w:t>
      </w:r>
      <w:r w:rsidRPr="00315653">
        <w:rPr>
          <w:rFonts w:hint="cs"/>
          <w:color w:val="000000"/>
          <w:rtl/>
          <w:lang w:bidi="ar-EG"/>
        </w:rPr>
        <w:t xml:space="preserve"> إلا بعض الدين</w:t>
      </w:r>
      <w:r>
        <w:rPr>
          <w:rFonts w:hint="cs"/>
          <w:color w:val="000000"/>
          <w:rtl/>
          <w:lang w:bidi="ar-EG"/>
        </w:rPr>
        <w:t xml:space="preserve"> ،</w:t>
      </w:r>
      <w:r w:rsidRPr="00315653">
        <w:rPr>
          <w:rFonts w:hint="cs"/>
          <w:color w:val="000000"/>
          <w:rtl/>
          <w:lang w:bidi="ar-EG"/>
        </w:rPr>
        <w:t xml:space="preserve"> فلا يرجع بما وفاه إلا بعد أن يستوفي الدائن كل حقه من المدين"</w:t>
      </w:r>
      <w:r>
        <w:rPr>
          <w:rFonts w:hint="cs"/>
          <w:color w:val="000000"/>
          <w:rtl/>
          <w:lang w:bidi="ar-EG"/>
        </w:rPr>
        <w:t xml:space="preserve"> .</w:t>
      </w:r>
      <w:r w:rsidRPr="00315653">
        <w:rPr>
          <w:rFonts w:hint="cs"/>
          <w:color w:val="000000"/>
          <w:rtl/>
          <w:lang w:bidi="ar-EG"/>
        </w:rPr>
        <w:t xml:space="preserve"> وليس هذا النص إلا تطبقاً تشريعياً لبعض ما جاء في المادة 330 مدني التي تنص على ما يأتي "1- إذا وفى الغير الدائن جزءاً من حقه وحل محله فيه</w:t>
      </w:r>
      <w:r>
        <w:rPr>
          <w:rFonts w:hint="cs"/>
          <w:color w:val="000000"/>
          <w:rtl/>
          <w:lang w:bidi="ar-EG"/>
        </w:rPr>
        <w:t xml:space="preserve"> ،</w:t>
      </w:r>
      <w:r w:rsidRPr="00315653">
        <w:rPr>
          <w:rFonts w:hint="cs"/>
          <w:color w:val="000000"/>
          <w:rtl/>
          <w:lang w:bidi="ar-EG"/>
        </w:rPr>
        <w:t xml:space="preserve"> فلا يضار الدائن بهذا الوفاء</w:t>
      </w:r>
      <w:r>
        <w:rPr>
          <w:rFonts w:hint="cs"/>
          <w:color w:val="000000"/>
          <w:rtl/>
          <w:lang w:bidi="ar-EG"/>
        </w:rPr>
        <w:t xml:space="preserve"> ،</w:t>
      </w:r>
      <w:r w:rsidRPr="00315653">
        <w:rPr>
          <w:rFonts w:hint="cs"/>
          <w:color w:val="000000"/>
          <w:rtl/>
          <w:lang w:bidi="ar-EG"/>
        </w:rPr>
        <w:t xml:space="preserve"> ويكون في استيفاء ما بقى له من حق مقدماً على من وفاه</w:t>
      </w:r>
      <w:r>
        <w:rPr>
          <w:rFonts w:hint="cs"/>
          <w:color w:val="000000"/>
          <w:rtl/>
          <w:lang w:bidi="ar-EG"/>
        </w:rPr>
        <w:t xml:space="preserve"> ،</w:t>
      </w:r>
      <w:r w:rsidRPr="00315653">
        <w:rPr>
          <w:rFonts w:hint="cs"/>
          <w:color w:val="000000"/>
          <w:rtl/>
          <w:lang w:bidi="ar-EG"/>
        </w:rPr>
        <w:t xml:space="preserve"> ما لم يوجد اتفاق يقضي بغير ذلك</w:t>
      </w:r>
      <w:r>
        <w:rPr>
          <w:rFonts w:hint="cs"/>
          <w:color w:val="000000"/>
          <w:rtl/>
          <w:lang w:bidi="ar-EG"/>
        </w:rPr>
        <w:t xml:space="preserve"> .</w:t>
      </w:r>
      <w:r w:rsidRPr="00315653">
        <w:rPr>
          <w:rFonts w:hint="cs"/>
          <w:color w:val="000000"/>
          <w:rtl/>
          <w:lang w:bidi="ar-EG"/>
        </w:rPr>
        <w:t xml:space="preserve"> 2- فإذا حل شخص آخر محل الدائن فيما بقى له من حق</w:t>
      </w:r>
      <w:r>
        <w:rPr>
          <w:rFonts w:hint="cs"/>
          <w:color w:val="000000"/>
          <w:rtl/>
          <w:lang w:bidi="ar-EG"/>
        </w:rPr>
        <w:t xml:space="preserve"> ،</w:t>
      </w:r>
      <w:r w:rsidRPr="00315653">
        <w:rPr>
          <w:rFonts w:hint="cs"/>
          <w:color w:val="000000"/>
          <w:rtl/>
          <w:lang w:bidi="ar-EG"/>
        </w:rPr>
        <w:t xml:space="preserve"> رجع من حل أخيرا هو ومن تقدمه في الحلول كل بقدر ما هو مستحق له وتقاسما قسمة الغرماء"</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والمفروض هنا أن الكفيل وفي جزءاً من الدين</w:t>
      </w:r>
      <w:r>
        <w:rPr>
          <w:rFonts w:hint="cs"/>
          <w:color w:val="000000"/>
          <w:rtl/>
          <w:lang w:bidi="ar-EG"/>
        </w:rPr>
        <w:t xml:space="preserve"> ،</w:t>
      </w:r>
      <w:r w:rsidRPr="00315653">
        <w:rPr>
          <w:rFonts w:hint="cs"/>
          <w:color w:val="000000"/>
          <w:rtl/>
          <w:lang w:bidi="ar-EG"/>
        </w:rPr>
        <w:t xml:space="preserve"> فحل محل الدائن فيه فإذا كان المدين قد رهن عقاراً في الدين وكان العقار  لا يفي بكل الدين</w:t>
      </w:r>
      <w:r>
        <w:rPr>
          <w:rFonts w:hint="cs"/>
          <w:color w:val="000000"/>
          <w:rtl/>
          <w:lang w:bidi="ar-EG"/>
        </w:rPr>
        <w:t xml:space="preserve"> ،</w:t>
      </w:r>
      <w:r w:rsidRPr="00315653">
        <w:rPr>
          <w:rFonts w:hint="cs"/>
          <w:color w:val="000000"/>
          <w:rtl/>
          <w:lang w:bidi="ar-EG"/>
        </w:rPr>
        <w:t xml:space="preserve"> وليس للمدين أموال أخرى</w:t>
      </w:r>
      <w:r>
        <w:rPr>
          <w:rFonts w:hint="cs"/>
          <w:color w:val="000000"/>
          <w:rtl/>
          <w:lang w:bidi="ar-EG"/>
        </w:rPr>
        <w:t xml:space="preserve"> ،</w:t>
      </w:r>
      <w:r w:rsidRPr="00315653">
        <w:rPr>
          <w:rFonts w:hint="cs"/>
          <w:color w:val="000000"/>
          <w:rtl/>
          <w:lang w:bidi="ar-EG"/>
        </w:rPr>
        <w:t xml:space="preserve"> فإن الكفيل وقد حل في الرهن بمقدار ما وفاه والدائن ولا يزال دائناً بالجزء الباقي لا يجدان أمامهما سوى هذا العقار ليستوفي ل حقه منه</w:t>
      </w:r>
      <w:r>
        <w:rPr>
          <w:rFonts w:hint="cs"/>
          <w:color w:val="000000"/>
          <w:rtl/>
          <w:lang w:bidi="ar-EG"/>
        </w:rPr>
        <w:t xml:space="preserve"> ،</w:t>
      </w:r>
      <w:r w:rsidRPr="00315653">
        <w:rPr>
          <w:rFonts w:hint="cs"/>
          <w:color w:val="000000"/>
          <w:rtl/>
          <w:lang w:bidi="ar-EG"/>
        </w:rPr>
        <w:t xml:space="preserve"> ويتقدمان معاً على سائر الغرماء بما لهما من حق الرهن</w:t>
      </w:r>
      <w:r>
        <w:rPr>
          <w:rFonts w:hint="cs"/>
          <w:color w:val="000000"/>
          <w:rtl/>
          <w:lang w:bidi="ar-EG"/>
        </w:rPr>
        <w:t xml:space="preserve"> .</w:t>
      </w:r>
      <w:r w:rsidRPr="00315653">
        <w:rPr>
          <w:rFonts w:hint="cs"/>
          <w:color w:val="000000"/>
          <w:rtl/>
          <w:lang w:bidi="ar-EG"/>
        </w:rPr>
        <w:t xml:space="preserve"> وكان ينبغي أن يتعادلا فإن كلا منهما دائن بجزء من دين واحد</w:t>
      </w:r>
      <w:r>
        <w:rPr>
          <w:rFonts w:hint="cs"/>
          <w:color w:val="000000"/>
          <w:rtl/>
          <w:lang w:bidi="ar-EG"/>
        </w:rPr>
        <w:t xml:space="preserve"> ،</w:t>
      </w:r>
      <w:r w:rsidRPr="00315653">
        <w:rPr>
          <w:rFonts w:hint="cs"/>
          <w:color w:val="000000"/>
          <w:rtl/>
          <w:lang w:bidi="ar-EG"/>
        </w:rPr>
        <w:t xml:space="preserve"> فلا محل لتفصيل أحدهما على الآخر</w:t>
      </w:r>
      <w:r>
        <w:rPr>
          <w:rFonts w:hint="cs"/>
          <w:color w:val="000000"/>
          <w:rtl/>
          <w:lang w:bidi="ar-EG"/>
        </w:rPr>
        <w:t xml:space="preserve"> .</w:t>
      </w:r>
      <w:r w:rsidRPr="00315653">
        <w:rPr>
          <w:rFonts w:hint="cs"/>
          <w:color w:val="000000"/>
          <w:rtl/>
          <w:lang w:bidi="ar-EG"/>
        </w:rPr>
        <w:t xml:space="preserve"> ولكن النص </w:t>
      </w:r>
      <w:r>
        <w:rPr>
          <w:rFonts w:hint="cs"/>
          <w:color w:val="000000"/>
          <w:rtl/>
          <w:lang w:bidi="ar-EG"/>
        </w:rPr>
        <w:t xml:space="preserve"> ،</w:t>
      </w:r>
      <w:r w:rsidRPr="00315653">
        <w:rPr>
          <w:rFonts w:hint="cs"/>
          <w:color w:val="000000"/>
          <w:rtl/>
          <w:lang w:bidi="ar-EG"/>
        </w:rPr>
        <w:t xml:space="preserve"> وهو في ذلك يترجم عن الإرادة المحتملة للطرفين</w:t>
      </w:r>
      <w:r>
        <w:rPr>
          <w:rFonts w:hint="cs"/>
          <w:color w:val="000000"/>
          <w:rtl/>
          <w:lang w:bidi="ar-EG"/>
        </w:rPr>
        <w:t xml:space="preserve"> ،</w:t>
      </w:r>
      <w:r w:rsidRPr="00315653">
        <w:rPr>
          <w:rFonts w:hint="cs"/>
          <w:color w:val="000000"/>
          <w:rtl/>
          <w:lang w:bidi="ar-EG"/>
        </w:rPr>
        <w:t xml:space="preserve"> يفترض أن الدائن لم يكن ليرضى باستيفاء جزء من حقه من الكفيل إلا على أساس أن يتقدم عليه في استيفاء الجزء الباقي</w:t>
      </w:r>
      <w:r>
        <w:rPr>
          <w:rFonts w:hint="cs"/>
          <w:color w:val="000000"/>
          <w:rtl/>
          <w:lang w:bidi="ar-EG"/>
        </w:rPr>
        <w:t xml:space="preserve"> .</w:t>
      </w:r>
      <w:r w:rsidRPr="00315653">
        <w:rPr>
          <w:rFonts w:hint="cs"/>
          <w:color w:val="000000"/>
          <w:rtl/>
          <w:lang w:bidi="ar-EG"/>
        </w:rPr>
        <w:t xml:space="preserve"> فيتقدم الدائن على الكفيل ويستوفي أولا الجزء الباقي من الدين</w:t>
      </w:r>
      <w:r>
        <w:rPr>
          <w:rFonts w:hint="cs"/>
          <w:color w:val="000000"/>
          <w:rtl/>
          <w:lang w:bidi="ar-EG"/>
        </w:rPr>
        <w:t xml:space="preserve"> ،</w:t>
      </w:r>
      <w:r w:rsidRPr="00315653">
        <w:rPr>
          <w:rFonts w:hint="cs"/>
          <w:color w:val="000000"/>
          <w:rtl/>
          <w:lang w:bidi="ar-EG"/>
        </w:rPr>
        <w:t xml:space="preserve"> وما بقى بعد ذلك من ثمن العقار يأخذه الكفيل فلا يستوفي به إلا بعض حقه</w:t>
      </w:r>
      <w:r>
        <w:rPr>
          <w:rFonts w:hint="cs"/>
          <w:color w:val="000000"/>
          <w:rtl/>
          <w:lang w:bidi="ar-EG"/>
        </w:rPr>
        <w:t xml:space="preserve"> .</w:t>
      </w:r>
      <w:r w:rsidRPr="00315653">
        <w:rPr>
          <w:rFonts w:hint="cs"/>
          <w:color w:val="000000"/>
          <w:rtl/>
          <w:lang w:bidi="ar-EG"/>
        </w:rPr>
        <w:t xml:space="preserve"> فالكفيل وقد حل محل الدائن في جزء من حقه لم يعامل معاملة الدائن</w:t>
      </w:r>
      <w:r>
        <w:rPr>
          <w:rFonts w:hint="cs"/>
          <w:color w:val="000000"/>
          <w:rtl/>
          <w:lang w:bidi="ar-EG"/>
        </w:rPr>
        <w:t xml:space="preserve"> ،</w:t>
      </w:r>
      <w:r w:rsidRPr="00315653">
        <w:rPr>
          <w:rFonts w:hint="cs"/>
          <w:color w:val="000000"/>
          <w:rtl/>
          <w:lang w:bidi="ar-EG"/>
        </w:rPr>
        <w:t xml:space="preserve"> بل فضل الدائن عليه</w:t>
      </w:r>
      <w:r>
        <w:rPr>
          <w:rFonts w:hint="cs"/>
          <w:color w:val="000000"/>
          <w:vertAlign w:val="superscript"/>
          <w:rtl/>
          <w:lang w:bidi="ar-EG"/>
        </w:rPr>
        <w:t xml:space="preserve">( </w:t>
      </w:r>
      <w:r w:rsidRPr="00315653">
        <w:rPr>
          <w:rStyle w:val="ab"/>
          <w:color w:val="000000"/>
          <w:rtl/>
          <w:lang w:bidi="ar-EG"/>
        </w:rPr>
        <w:footnoteReference w:id="42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على أن هذه $191 القاعدة يحد منها قيدان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أنها ليست إلا افتراضاً لما أراده الدائن والكفيل</w:t>
      </w:r>
      <w:r>
        <w:rPr>
          <w:rFonts w:hint="cs"/>
          <w:color w:val="000000"/>
          <w:rtl/>
          <w:lang w:bidi="ar-EG"/>
        </w:rPr>
        <w:t xml:space="preserve"> ،</w:t>
      </w:r>
      <w:r w:rsidRPr="00315653">
        <w:rPr>
          <w:rFonts w:hint="cs"/>
          <w:color w:val="000000"/>
          <w:rtl/>
          <w:lang w:bidi="ar-EG"/>
        </w:rPr>
        <w:t xml:space="preserve"> فهي ليست قاعدة من النظام العام</w:t>
      </w:r>
      <w:r>
        <w:rPr>
          <w:rFonts w:hint="cs"/>
          <w:color w:val="000000"/>
          <w:rtl/>
          <w:lang w:bidi="ar-EG"/>
        </w:rPr>
        <w:t xml:space="preserve"> .</w:t>
      </w:r>
      <w:r w:rsidRPr="00315653">
        <w:rPr>
          <w:rFonts w:hint="cs"/>
          <w:color w:val="000000"/>
          <w:rtl/>
          <w:lang w:bidi="ar-EG"/>
        </w:rPr>
        <w:t xml:space="preserve"> ومن ثم يجوز للدائن والكفيل أن يتفقا على غير ذلك</w:t>
      </w:r>
      <w:r>
        <w:rPr>
          <w:rFonts w:hint="cs"/>
          <w:color w:val="000000"/>
          <w:rtl/>
          <w:lang w:bidi="ar-EG"/>
        </w:rPr>
        <w:t xml:space="preserve"> ،</w:t>
      </w:r>
      <w:r w:rsidRPr="00315653">
        <w:rPr>
          <w:rFonts w:hint="cs"/>
          <w:color w:val="000000"/>
          <w:rtl/>
          <w:lang w:bidi="ar-EG"/>
        </w:rPr>
        <w:t xml:space="preserve"> فلهما أن يتفقا على أنهما يتعادلان فيقتسمان مال المدين اقتسام الغرماء</w:t>
      </w:r>
      <w:r>
        <w:rPr>
          <w:rFonts w:hint="cs"/>
          <w:color w:val="000000"/>
          <w:rtl/>
          <w:lang w:bidi="ar-EG"/>
        </w:rPr>
        <w:t xml:space="preserve"> ،</w:t>
      </w:r>
      <w:r w:rsidRPr="00315653">
        <w:rPr>
          <w:rFonts w:hint="cs"/>
          <w:color w:val="000000"/>
          <w:rtl/>
          <w:lang w:bidi="ar-EG"/>
        </w:rPr>
        <w:t xml:space="preserve"> بل لهما أن يتفقا على أن الكفيل هو الذي يتقدم على الدائن وما بقي بعد ذلك يأخذه الدائن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وحتى لو لم يتفق الدائن والكفيل على شيء يخالف القاعدة المتقدمة الذكر وتقدم الدائن على الكفيل</w:t>
      </w:r>
      <w:r>
        <w:rPr>
          <w:rFonts w:hint="cs"/>
          <w:color w:val="000000"/>
          <w:rtl/>
          <w:lang w:bidi="ar-EG"/>
        </w:rPr>
        <w:t xml:space="preserve"> ،</w:t>
      </w:r>
      <w:r w:rsidRPr="00315653">
        <w:rPr>
          <w:rFonts w:hint="cs"/>
          <w:color w:val="000000"/>
          <w:rtl/>
          <w:lang w:bidi="ar-EG"/>
        </w:rPr>
        <w:t xml:space="preserve"> فهذه ميزة شخصية للدائن وحده</w:t>
      </w:r>
      <w:r>
        <w:rPr>
          <w:rFonts w:hint="cs"/>
          <w:color w:val="000000"/>
          <w:rtl/>
          <w:lang w:bidi="ar-EG"/>
        </w:rPr>
        <w:t xml:space="preserve"> ،</w:t>
      </w:r>
      <w:r w:rsidRPr="00315653">
        <w:rPr>
          <w:rFonts w:hint="cs"/>
          <w:color w:val="000000"/>
          <w:rtl/>
          <w:lang w:bidi="ar-EG"/>
        </w:rPr>
        <w:t xml:space="preserve"> لا تنتقل منه إلى شخص آخر يفي له بالجزء الباقي من حقه ويحل فيه</w:t>
      </w:r>
      <w:r>
        <w:rPr>
          <w:rFonts w:hint="cs"/>
          <w:color w:val="000000"/>
          <w:rtl/>
          <w:lang w:bidi="ar-EG"/>
        </w:rPr>
        <w:t xml:space="preserve"> .</w:t>
      </w:r>
      <w:r w:rsidRPr="00315653">
        <w:rPr>
          <w:rFonts w:hint="cs"/>
          <w:color w:val="000000"/>
          <w:rtl/>
          <w:lang w:bidi="ar-EG"/>
        </w:rPr>
        <w:t xml:space="preserve"> وقد نصت الفقرة الثانية من المادة 330 مدني صراحة على هذا الحكم فضت بأنه "إذا حل شخص آخر محل الدائن فيما بقى له من حق</w:t>
      </w:r>
      <w:r>
        <w:rPr>
          <w:rFonts w:hint="cs"/>
          <w:color w:val="000000"/>
          <w:rtl/>
          <w:lang w:bidi="ar-EG"/>
        </w:rPr>
        <w:t xml:space="preserve"> ،</w:t>
      </w:r>
      <w:r w:rsidRPr="00315653">
        <w:rPr>
          <w:rFonts w:hint="cs"/>
          <w:color w:val="000000"/>
          <w:rtl/>
          <w:lang w:bidi="ar-EG"/>
        </w:rPr>
        <w:t xml:space="preserve"> رجع من حل أخيراً هو ومن تقدمه في الحلول كل بقدر ما هو مستحق له</w:t>
      </w:r>
      <w:r>
        <w:rPr>
          <w:rFonts w:hint="cs"/>
          <w:color w:val="000000"/>
          <w:rtl/>
          <w:lang w:bidi="ar-EG"/>
        </w:rPr>
        <w:t xml:space="preserve"> ،</w:t>
      </w:r>
      <w:r w:rsidRPr="00315653">
        <w:rPr>
          <w:rFonts w:hint="cs"/>
          <w:color w:val="000000"/>
          <w:rtl/>
          <w:lang w:bidi="ar-EG"/>
        </w:rPr>
        <w:t xml:space="preserve"> وتقاسما قسمة الغرماء"</w:t>
      </w:r>
      <w:r>
        <w:rPr>
          <w:rFonts w:hint="cs"/>
          <w:color w:val="000000"/>
          <w:rtl/>
          <w:lang w:bidi="ar-EG"/>
        </w:rPr>
        <w:t xml:space="preserve"> .</w:t>
      </w:r>
      <w:r w:rsidRPr="00315653">
        <w:rPr>
          <w:rFonts w:hint="cs"/>
          <w:color w:val="000000"/>
          <w:rtl/>
          <w:lang w:bidi="ar-EG"/>
        </w:rPr>
        <w:t xml:space="preserve"> ولا يستطيع الدائن</w:t>
      </w:r>
      <w:r>
        <w:rPr>
          <w:rFonts w:hint="cs"/>
          <w:color w:val="000000"/>
          <w:rtl/>
          <w:lang w:bidi="ar-EG"/>
        </w:rPr>
        <w:t xml:space="preserve"> ،</w:t>
      </w:r>
      <w:r w:rsidRPr="00315653">
        <w:rPr>
          <w:rFonts w:hint="cs"/>
          <w:color w:val="000000"/>
          <w:rtl/>
          <w:lang w:bidi="ar-EG"/>
        </w:rPr>
        <w:t xml:space="preserve"> وهو يستوفي الجزء الباقي من حقه من هذا الشخص الآخر أن يتفق معه على أن يجعله متقدماً على الكفيل</w:t>
      </w:r>
      <w:r>
        <w:rPr>
          <w:rFonts w:hint="cs"/>
          <w:color w:val="000000"/>
          <w:rtl/>
          <w:lang w:bidi="ar-EG"/>
        </w:rPr>
        <w:t xml:space="preserve"> ،</w:t>
      </w:r>
      <w:r w:rsidRPr="00315653">
        <w:rPr>
          <w:rFonts w:hint="cs"/>
          <w:color w:val="000000"/>
          <w:rtl/>
          <w:lang w:bidi="ar-EG"/>
        </w:rPr>
        <w:t xml:space="preserve"> إذ أن الكفيل ليس طرفاً في هذا الاتفاق فلا يسري في حقه</w:t>
      </w:r>
      <w:r>
        <w:rPr>
          <w:rFonts w:hint="cs"/>
          <w:color w:val="000000"/>
          <w:rtl/>
          <w:lang w:bidi="ar-EG"/>
        </w:rPr>
        <w:t xml:space="preserve"> .</w:t>
      </w:r>
      <w:r w:rsidRPr="00315653">
        <w:rPr>
          <w:rFonts w:hint="cs"/>
          <w:color w:val="000000"/>
          <w:rtl/>
          <w:lang w:bidi="ar-EG"/>
        </w:rPr>
        <w:t xml:space="preserve"> وإنما يجوز للدائن</w:t>
      </w:r>
      <w:r>
        <w:rPr>
          <w:rFonts w:hint="cs"/>
          <w:color w:val="000000"/>
          <w:rtl/>
          <w:lang w:bidi="ar-EG"/>
        </w:rPr>
        <w:t xml:space="preserve"> ،</w:t>
      </w:r>
      <w:r w:rsidRPr="00315653">
        <w:rPr>
          <w:rFonts w:hint="cs"/>
          <w:color w:val="000000"/>
          <w:rtl/>
          <w:lang w:bidi="ar-EG"/>
        </w:rPr>
        <w:t xml:space="preserve"> عند استيفاء جزء من حقه من الكفيل</w:t>
      </w:r>
      <w:r>
        <w:rPr>
          <w:rFonts w:hint="cs"/>
          <w:color w:val="000000"/>
          <w:rtl/>
          <w:lang w:bidi="ar-EG"/>
        </w:rPr>
        <w:t xml:space="preserve"> ،</w:t>
      </w:r>
      <w:r w:rsidRPr="00315653">
        <w:rPr>
          <w:rFonts w:hint="cs"/>
          <w:color w:val="000000"/>
          <w:rtl/>
          <w:lang w:bidi="ar-EG"/>
        </w:rPr>
        <w:t xml:space="preserve"> أن يشترط عليه أنه هو أو من يخلفه في الجزء الباقي يتقدم على الكفيل</w:t>
      </w:r>
      <w:r>
        <w:rPr>
          <w:rFonts w:hint="cs"/>
          <w:color w:val="000000"/>
          <w:rtl/>
          <w:lang w:bidi="ar-EG"/>
        </w:rPr>
        <w:t xml:space="preserve"> .</w:t>
      </w:r>
      <w:r w:rsidRPr="00315653">
        <w:rPr>
          <w:rFonts w:hint="cs"/>
          <w:color w:val="000000"/>
          <w:rtl/>
          <w:lang w:bidi="ar-EG"/>
        </w:rPr>
        <w:t xml:space="preserve"> وعند ذلك يكون للدائن</w:t>
      </w:r>
      <w:r>
        <w:rPr>
          <w:rFonts w:hint="cs"/>
          <w:color w:val="000000"/>
          <w:rtl/>
          <w:lang w:bidi="ar-EG"/>
        </w:rPr>
        <w:t xml:space="preserve"> ،</w:t>
      </w:r>
      <w:r w:rsidRPr="00315653">
        <w:rPr>
          <w:rFonts w:hint="cs"/>
          <w:color w:val="000000"/>
          <w:rtl/>
          <w:lang w:bidi="ar-EG"/>
        </w:rPr>
        <w:t xml:space="preserve"> وهو يستوفي الجزء الباقي</w:t>
      </w:r>
      <w:r>
        <w:rPr>
          <w:rFonts w:hint="cs"/>
          <w:color w:val="000000"/>
          <w:rtl/>
          <w:lang w:bidi="ar-EG"/>
        </w:rPr>
        <w:t xml:space="preserve"> ،</w:t>
      </w:r>
      <w:r w:rsidRPr="00315653">
        <w:rPr>
          <w:rFonts w:hint="cs"/>
          <w:color w:val="000000"/>
          <w:rtl/>
          <w:lang w:bidi="ar-EG"/>
        </w:rPr>
        <w:t xml:space="preserve"> أن يتفق مع الوفي الثاني أن يتقدم هذا على الكفيل</w:t>
      </w:r>
      <w:r>
        <w:rPr>
          <w:rFonts w:hint="cs"/>
          <w:color w:val="000000"/>
          <w:rtl/>
          <w:lang w:bidi="ar-EG"/>
        </w:rPr>
        <w:t xml:space="preserve"> ،</w:t>
      </w:r>
      <w:r w:rsidRPr="00315653">
        <w:rPr>
          <w:rFonts w:hint="cs"/>
          <w:color w:val="000000"/>
          <w:rtl/>
          <w:lang w:bidi="ar-EG"/>
        </w:rPr>
        <w:t xml:space="preserve"> وهذا ما رضي به الكفيل مقدماً عند اتفاقه مع الدائن</w:t>
      </w:r>
      <w:r>
        <w:rPr>
          <w:rFonts w:hint="cs"/>
          <w:color w:val="000000"/>
          <w:vertAlign w:val="superscript"/>
          <w:rtl/>
          <w:lang w:bidi="ar-EG"/>
        </w:rPr>
        <w:t xml:space="preserve">( </w:t>
      </w:r>
      <w:r w:rsidRPr="00315653">
        <w:rPr>
          <w:rStyle w:val="ab"/>
          <w:color w:val="000000"/>
          <w:rtl/>
          <w:lang w:bidi="ar-EG"/>
        </w:rPr>
        <w:footnoteReference w:id="423"/>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وما قدمناه من أن الكفيل الذي وفى بجزء من الدين يتأخر عن الدائن عند ما يريد هذا استيفاء الجزء الباقي</w:t>
      </w:r>
      <w:r>
        <w:rPr>
          <w:rFonts w:hint="cs"/>
          <w:color w:val="000000"/>
          <w:rtl/>
          <w:lang w:bidi="ar-EG"/>
        </w:rPr>
        <w:t xml:space="preserve"> ،</w:t>
      </w:r>
      <w:r w:rsidRPr="00315653">
        <w:rPr>
          <w:rFonts w:hint="cs"/>
          <w:color w:val="000000"/>
          <w:rtl/>
          <w:lang w:bidi="ar-EG"/>
        </w:rPr>
        <w:t xml:space="preserve"> إنما يصح إذا رجع الكفيل على المدين بدعوى الحول</w:t>
      </w:r>
      <w:r>
        <w:rPr>
          <w:rFonts w:hint="cs"/>
          <w:color w:val="000000"/>
          <w:rtl/>
          <w:lang w:bidi="ar-EG"/>
        </w:rPr>
        <w:t xml:space="preserve"> .</w:t>
      </w:r>
      <w:r w:rsidRPr="00315653">
        <w:rPr>
          <w:rFonts w:hint="cs"/>
          <w:color w:val="000000"/>
          <w:rtl/>
          <w:lang w:bidi="ar-EG"/>
        </w:rPr>
        <w:t xml:space="preserve"> أما إذا رجع بالدعوى الشخصي</w:t>
      </w:r>
      <w:r>
        <w:rPr>
          <w:rFonts w:hint="cs"/>
          <w:color w:val="000000"/>
          <w:rtl/>
          <w:lang w:bidi="ar-EG"/>
        </w:rPr>
        <w:t xml:space="preserve"> ،</w:t>
      </w:r>
      <w:r w:rsidRPr="00315653">
        <w:rPr>
          <w:rFonts w:hint="cs"/>
          <w:color w:val="000000"/>
          <w:rtl/>
          <w:lang w:bidi="ar-EG"/>
        </w:rPr>
        <w:t xml:space="preserve"> فقد رأينا</w:t>
      </w:r>
      <w:r>
        <w:rPr>
          <w:rFonts w:hint="cs"/>
          <w:color w:val="000000"/>
          <w:vertAlign w:val="superscript"/>
          <w:rtl/>
          <w:lang w:bidi="ar-EG"/>
        </w:rPr>
        <w:t xml:space="preserve">( </w:t>
      </w:r>
      <w:r w:rsidRPr="00315653">
        <w:rPr>
          <w:rStyle w:val="ab"/>
          <w:color w:val="000000"/>
          <w:rtl/>
          <w:lang w:bidi="ar-EG"/>
        </w:rPr>
        <w:footnoteReference w:id="42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أنه لا وجه لتفضيل الدائن عليه</w:t>
      </w:r>
      <w:r>
        <w:rPr>
          <w:rFonts w:hint="cs"/>
          <w:color w:val="000000"/>
          <w:rtl/>
          <w:lang w:bidi="ar-EG"/>
        </w:rPr>
        <w:t xml:space="preserve"> .</w:t>
      </w:r>
      <w:r w:rsidRPr="00315653">
        <w:rPr>
          <w:rFonts w:hint="cs"/>
          <w:color w:val="000000"/>
          <w:rtl/>
          <w:lang w:bidi="ar-EG"/>
        </w:rPr>
        <w:t xml:space="preserve"> فإذا فرض في المثل المتقدم أن المدين لم يرهن عقاراً لضما الدين</w:t>
      </w:r>
      <w:r>
        <w:rPr>
          <w:rFonts w:hint="cs"/>
          <w:color w:val="000000"/>
          <w:rtl/>
          <w:lang w:bidi="ar-EG"/>
        </w:rPr>
        <w:t xml:space="preserve"> ،</w:t>
      </w:r>
      <w:r w:rsidRPr="00315653">
        <w:rPr>
          <w:rFonts w:hint="cs"/>
          <w:color w:val="000000"/>
          <w:rtl/>
          <w:lang w:bidi="ar-EG"/>
        </w:rPr>
        <w:t xml:space="preserve"> ووفى الكفيل الدائن جزءاً من حقه</w:t>
      </w:r>
      <w:r>
        <w:rPr>
          <w:rFonts w:hint="cs"/>
          <w:color w:val="000000"/>
          <w:rtl/>
          <w:lang w:bidi="ar-EG"/>
        </w:rPr>
        <w:t xml:space="preserve"> ،</w:t>
      </w:r>
      <w:r w:rsidRPr="00315653">
        <w:rPr>
          <w:rFonts w:hint="cs"/>
          <w:color w:val="000000"/>
          <w:rtl/>
          <w:lang w:bidi="ar-EG"/>
        </w:rPr>
        <w:t xml:space="preserve"> ولم يكن عند المدين مال يفي بكل الدين</w:t>
      </w:r>
      <w:r>
        <w:rPr>
          <w:rFonts w:hint="cs"/>
          <w:color w:val="000000"/>
          <w:rtl/>
          <w:lang w:bidi="ar-EG"/>
        </w:rPr>
        <w:t xml:space="preserve"> ،</w:t>
      </w:r>
      <w:r w:rsidRPr="00315653">
        <w:rPr>
          <w:rFonts w:hint="cs"/>
          <w:color w:val="000000"/>
          <w:rtl/>
          <w:lang w:bidi="ar-EG"/>
        </w:rPr>
        <w:t xml:space="preserve"> فإن رجوع الكفيل بالدعوى الشخصية على المدين $192 يجعله يزاحم الدائن في رجوعه على المدين بما بقي من حقه</w:t>
      </w:r>
      <w:r>
        <w:rPr>
          <w:rFonts w:hint="cs"/>
          <w:color w:val="000000"/>
          <w:rtl/>
          <w:lang w:bidi="ar-EG"/>
        </w:rPr>
        <w:t xml:space="preserve"> ،</w:t>
      </w:r>
      <w:r w:rsidRPr="00315653">
        <w:rPr>
          <w:rFonts w:hint="cs"/>
          <w:color w:val="000000"/>
          <w:rtl/>
          <w:lang w:bidi="ar-EG"/>
        </w:rPr>
        <w:t xml:space="preserve"> ويقتسمان مال المدين اقتسام الغرماء</w:t>
      </w:r>
      <w:r>
        <w:rPr>
          <w:rFonts w:hint="cs"/>
          <w:color w:val="000000"/>
          <w:vertAlign w:val="superscript"/>
          <w:rtl/>
          <w:lang w:bidi="ar-EG"/>
        </w:rPr>
        <w:t xml:space="preserve">( </w:t>
      </w:r>
      <w:r w:rsidRPr="00315653">
        <w:rPr>
          <w:rStyle w:val="ab"/>
          <w:color w:val="000000"/>
          <w:rtl/>
          <w:lang w:bidi="ar-EG"/>
        </w:rPr>
        <w:footnoteReference w:id="42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70- موازنة ين دعوى الحلول والدعوى الشخصية</w:t>
      </w:r>
      <w:r>
        <w:rPr>
          <w:rFonts w:hint="cs"/>
          <w:color w:val="000000"/>
          <w:rtl/>
          <w:lang w:bidi="ar-EG"/>
        </w:rPr>
        <w:t xml:space="preserve"> :</w:t>
      </w:r>
      <w:r w:rsidRPr="00315653">
        <w:rPr>
          <w:rFonts w:hint="cs"/>
          <w:color w:val="000000"/>
          <w:rtl/>
          <w:lang w:bidi="ar-EG"/>
        </w:rPr>
        <w:t xml:space="preserve"> من ميزات دعوى الحلول على الدعوى الشخصية</w:t>
      </w:r>
      <w:r>
        <w:rPr>
          <w:rFonts w:hint="cs"/>
          <w:color w:val="000000"/>
          <w:rtl/>
          <w:lang w:bidi="ar-EG"/>
        </w:rPr>
        <w:t xml:space="preserve"> ،</w:t>
      </w:r>
      <w:r w:rsidRPr="00315653">
        <w:rPr>
          <w:rFonts w:hint="cs"/>
          <w:color w:val="000000"/>
          <w:rtl/>
          <w:lang w:bidi="ar-EG"/>
        </w:rPr>
        <w:t xml:space="preserve"> أن الكفيل إذا رجع بدعوى الحلول كان له جميع تأمينات الحق الذي وفاه</w:t>
      </w:r>
      <w:r>
        <w:rPr>
          <w:rFonts w:hint="cs"/>
          <w:color w:val="000000"/>
          <w:rtl/>
          <w:lang w:bidi="ar-EG"/>
        </w:rPr>
        <w:t xml:space="preserve"> ،</w:t>
      </w:r>
      <w:r w:rsidRPr="00315653">
        <w:rPr>
          <w:rFonts w:hint="cs"/>
          <w:color w:val="000000"/>
          <w:rtl/>
          <w:lang w:bidi="ar-EG"/>
        </w:rPr>
        <w:t xml:space="preserve"> وينتقل إليه الحق بما له من خصائص وما يلحقه من توابع</w:t>
      </w:r>
      <w:r>
        <w:rPr>
          <w:rFonts w:hint="cs"/>
          <w:color w:val="000000"/>
          <w:rtl/>
          <w:lang w:bidi="ar-EG"/>
        </w:rPr>
        <w:t xml:space="preserve"> ،</w:t>
      </w:r>
      <w:r w:rsidRPr="00315653">
        <w:rPr>
          <w:rFonts w:hint="cs"/>
          <w:color w:val="000000"/>
          <w:rtl/>
          <w:lang w:bidi="ar-EG"/>
        </w:rPr>
        <w:t xml:space="preserve"> وقد تقدم بيان هذا</w:t>
      </w:r>
      <w:r>
        <w:rPr>
          <w:rFonts w:hint="cs"/>
          <w:color w:val="000000"/>
          <w:vertAlign w:val="superscript"/>
          <w:rtl/>
          <w:lang w:bidi="ar-EG"/>
        </w:rPr>
        <w:t xml:space="preserve">( </w:t>
      </w:r>
      <w:r w:rsidRPr="00315653">
        <w:rPr>
          <w:rStyle w:val="ab"/>
          <w:color w:val="000000"/>
          <w:rtl/>
          <w:lang w:bidi="ar-EG"/>
        </w:rPr>
        <w:footnoteReference w:id="42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يشترط في دعوى الحلول أن يكون الكفيل قد أخرط المدين بعزمه على الوفاء</w:t>
      </w:r>
      <w:r>
        <w:rPr>
          <w:rFonts w:hint="cs"/>
          <w:color w:val="000000"/>
          <w:rtl/>
          <w:lang w:bidi="ar-EG"/>
        </w:rPr>
        <w:t xml:space="preserve"> ،</w:t>
      </w:r>
      <w:r w:rsidRPr="00315653">
        <w:rPr>
          <w:rFonts w:hint="cs"/>
          <w:color w:val="000000"/>
          <w:rtl/>
          <w:lang w:bidi="ar-EG"/>
        </w:rPr>
        <w:t xml:space="preserve"> ويشترط ذلك في الدعوى الشخصية</w:t>
      </w:r>
      <w:r>
        <w:rPr>
          <w:rFonts w:hint="cs"/>
          <w:color w:val="000000"/>
          <w:vertAlign w:val="superscript"/>
          <w:rtl/>
          <w:lang w:bidi="ar-EG"/>
        </w:rPr>
        <w:t xml:space="preserve">( </w:t>
      </w:r>
      <w:r w:rsidRPr="00315653">
        <w:rPr>
          <w:rStyle w:val="ab"/>
          <w:color w:val="000000"/>
          <w:rtl/>
          <w:lang w:bidi="ar-EG"/>
        </w:rPr>
        <w:footnoteReference w:id="427"/>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ولكن الدعوى الشخصية قد تكون لها</w:t>
      </w:r>
      <w:r>
        <w:rPr>
          <w:rFonts w:hint="cs"/>
          <w:color w:val="000000"/>
          <w:rtl/>
          <w:lang w:bidi="ar-EG"/>
        </w:rPr>
        <w:t xml:space="preserve"> ،</w:t>
      </w:r>
      <w:r w:rsidRPr="00315653">
        <w:rPr>
          <w:rFonts w:hint="cs"/>
          <w:color w:val="000000"/>
          <w:rtl/>
          <w:lang w:bidi="ar-EG"/>
        </w:rPr>
        <w:t xml:space="preserve"> من جهة أخرى</w:t>
      </w:r>
      <w:r>
        <w:rPr>
          <w:rFonts w:hint="cs"/>
          <w:color w:val="000000"/>
          <w:rtl/>
          <w:lang w:bidi="ar-EG"/>
        </w:rPr>
        <w:t xml:space="preserve"> ،</w:t>
      </w:r>
      <w:r w:rsidRPr="00315653">
        <w:rPr>
          <w:rFonts w:hint="cs"/>
          <w:color w:val="000000"/>
          <w:rtl/>
          <w:lang w:bidi="ar-EG"/>
        </w:rPr>
        <w:t xml:space="preserve"> ميزات على دعوى الحلول</w:t>
      </w:r>
      <w:r>
        <w:rPr>
          <w:rFonts w:hint="cs"/>
          <w:color w:val="000000"/>
          <w:rtl/>
          <w:lang w:bidi="ar-EG"/>
        </w:rPr>
        <w:t xml:space="preserve"> .</w:t>
      </w:r>
      <w:r w:rsidRPr="00315653">
        <w:rPr>
          <w:rFonts w:hint="cs"/>
          <w:color w:val="000000"/>
          <w:rtl/>
          <w:lang w:bidi="ar-EG"/>
        </w:rPr>
        <w:t xml:space="preserve"> ونذكر من هذا الميزات ثلاثاً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أولا </w:t>
      </w:r>
      <w:r w:rsidRPr="00315653">
        <w:rPr>
          <w:color w:val="000000"/>
          <w:rtl/>
          <w:lang w:bidi="ar-EG"/>
        </w:rPr>
        <w:t>–</w:t>
      </w:r>
      <w:r w:rsidRPr="00315653">
        <w:rPr>
          <w:rFonts w:hint="cs"/>
          <w:color w:val="000000"/>
          <w:rtl/>
          <w:lang w:bidi="ar-EG"/>
        </w:rPr>
        <w:t xml:space="preserve"> يستحق الكفل في الدعوى الشخصية الفوائد القانونية على جميع ما دفعه للدائن وفاء للدين من وقت الدفع</w:t>
      </w:r>
      <w:r>
        <w:rPr>
          <w:rFonts w:hint="cs"/>
          <w:color w:val="000000"/>
          <w:rtl/>
          <w:lang w:bidi="ar-EG"/>
        </w:rPr>
        <w:t xml:space="preserve"> ،</w:t>
      </w:r>
      <w:r w:rsidRPr="00315653">
        <w:rPr>
          <w:rFonts w:hint="cs"/>
          <w:color w:val="000000"/>
          <w:rtl/>
          <w:lang w:bidi="ar-EG"/>
        </w:rPr>
        <w:t xml:space="preserve"> ويرجع الكفيل أيضاً في الدعوى الشخصية بالمصروفات التي أنفقها في سبيل الوفاء بالتزامه وكل ما حكم عليه به من المصروفات للدائن</w:t>
      </w:r>
      <w:r>
        <w:rPr>
          <w:rFonts w:hint="cs"/>
          <w:color w:val="000000"/>
          <w:rtl/>
          <w:lang w:bidi="ar-EG"/>
        </w:rPr>
        <w:t xml:space="preserve"> ،</w:t>
      </w:r>
      <w:r w:rsidRPr="00315653">
        <w:rPr>
          <w:rFonts w:hint="cs"/>
          <w:color w:val="000000"/>
          <w:rtl/>
          <w:lang w:bidi="ar-EG"/>
        </w:rPr>
        <w:t xml:space="preserve"> كما يرجع بالتعويض عن الضرر الذي يكون قد أصابه دون خطأ منه بسبب تنفيذ التزامه</w:t>
      </w:r>
      <w:r>
        <w:rPr>
          <w:rFonts w:hint="cs"/>
          <w:color w:val="000000"/>
          <w:rtl/>
          <w:lang w:bidi="ar-EG"/>
        </w:rPr>
        <w:t xml:space="preserve"> .</w:t>
      </w:r>
      <w:r w:rsidRPr="00315653">
        <w:rPr>
          <w:rFonts w:hint="cs"/>
          <w:color w:val="000000"/>
          <w:rtl/>
          <w:lang w:bidi="ar-EG"/>
        </w:rPr>
        <w:t xml:space="preserve"> ولا يرجع الكفيل في دعوى الحلول لا بالفوائد القانونية ولا بالمصروفات ولا بالتعويض</w:t>
      </w:r>
      <w:r>
        <w:rPr>
          <w:rFonts w:hint="cs"/>
          <w:color w:val="000000"/>
          <w:rtl/>
          <w:lang w:bidi="ar-EG"/>
        </w:rPr>
        <w:t xml:space="preserve"> ،</w:t>
      </w:r>
      <w:r w:rsidRPr="00315653">
        <w:rPr>
          <w:rFonts w:hint="cs"/>
          <w:color w:val="000000"/>
          <w:rtl/>
          <w:lang w:bidi="ar-EG"/>
        </w:rPr>
        <w:t xml:space="preserve"> وهذه هي إحدى الميزات الأساسية للدعوى الشخصية على دعوى الحلول</w:t>
      </w:r>
      <w:r>
        <w:rPr>
          <w:rFonts w:hint="cs"/>
          <w:color w:val="000000"/>
          <w:vertAlign w:val="superscript"/>
          <w:rtl/>
          <w:lang w:bidi="ar-EG"/>
        </w:rPr>
        <w:t xml:space="preserve">( </w:t>
      </w:r>
      <w:r w:rsidRPr="00315653">
        <w:rPr>
          <w:rStyle w:val="ab"/>
          <w:color w:val="000000"/>
          <w:rtl/>
          <w:lang w:bidi="ar-EG"/>
        </w:rPr>
        <w:footnoteReference w:id="42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ثانياً </w:t>
      </w:r>
      <w:r w:rsidRPr="00315653">
        <w:rPr>
          <w:color w:val="000000"/>
          <w:rtl/>
          <w:lang w:bidi="ar-EG"/>
        </w:rPr>
        <w:t>–</w:t>
      </w:r>
      <w:r w:rsidRPr="00315653">
        <w:rPr>
          <w:rFonts w:hint="cs"/>
          <w:color w:val="000000"/>
          <w:rtl/>
          <w:lang w:bidi="ar-EG"/>
        </w:rPr>
        <w:t xml:space="preserve"> إذا رجع الكفيل بالدعوى الشخصية</w:t>
      </w:r>
      <w:r>
        <w:rPr>
          <w:rFonts w:hint="cs"/>
          <w:color w:val="000000"/>
          <w:rtl/>
          <w:lang w:bidi="ar-EG"/>
        </w:rPr>
        <w:t xml:space="preserve"> ،</w:t>
      </w:r>
      <w:r w:rsidRPr="00315653">
        <w:rPr>
          <w:rFonts w:hint="cs"/>
          <w:color w:val="000000"/>
          <w:rtl/>
          <w:lang w:bidi="ar-EG"/>
        </w:rPr>
        <w:t xml:space="preserve"> فإن حقه يكون قد نشأ منذ الوقت الذي وفى فيه المدين للدائن</w:t>
      </w:r>
      <w:r>
        <w:rPr>
          <w:rFonts w:hint="cs"/>
          <w:color w:val="000000"/>
          <w:rtl/>
          <w:lang w:bidi="ar-EG"/>
        </w:rPr>
        <w:t xml:space="preserve"> ،</w:t>
      </w:r>
      <w:r w:rsidRPr="00315653">
        <w:rPr>
          <w:rFonts w:hint="cs"/>
          <w:color w:val="000000"/>
          <w:rtl/>
          <w:lang w:bidi="ar-EG"/>
        </w:rPr>
        <w:t xml:space="preserve"> فلا يبدأ سريان التقادم إلا من ذلك الوقت</w:t>
      </w:r>
      <w:r>
        <w:rPr>
          <w:rFonts w:hint="cs"/>
          <w:color w:val="000000"/>
          <w:rtl/>
          <w:lang w:bidi="ar-EG"/>
        </w:rPr>
        <w:t xml:space="preserve"> .</w:t>
      </w:r>
      <w:r w:rsidRPr="00315653">
        <w:rPr>
          <w:rFonts w:hint="cs"/>
          <w:color w:val="000000"/>
          <w:rtl/>
          <w:lang w:bidi="ar-EG"/>
        </w:rPr>
        <w:t xml:space="preserve"> أما في دعوى الحلول فيرجع الكفيل بنفس حق الدائن</w:t>
      </w:r>
      <w:r>
        <w:rPr>
          <w:rFonts w:hint="cs"/>
          <w:color w:val="000000"/>
          <w:rtl/>
          <w:lang w:bidi="ar-EG"/>
        </w:rPr>
        <w:t xml:space="preserve"> ،</w:t>
      </w:r>
      <w:r w:rsidRPr="00315653">
        <w:rPr>
          <w:rFonts w:hint="cs"/>
          <w:color w:val="000000"/>
          <w:rtl/>
          <w:lang w:bidi="ar-EG"/>
        </w:rPr>
        <w:t xml:space="preserve"> وقد بدأ $193 سريان تقادم هذا الحق منذ أن استحق أي قبل أن يبدأ سريان التقادم بالنسبة إلى الدعوى الشخصية</w:t>
      </w:r>
      <w:r>
        <w:rPr>
          <w:rFonts w:hint="cs"/>
          <w:color w:val="000000"/>
          <w:rtl/>
          <w:lang w:bidi="ar-EG"/>
        </w:rPr>
        <w:t xml:space="preserve"> ،</w:t>
      </w:r>
      <w:r w:rsidRPr="00315653">
        <w:rPr>
          <w:rFonts w:hint="cs"/>
          <w:color w:val="000000"/>
          <w:rtl/>
          <w:lang w:bidi="ar-EG"/>
        </w:rPr>
        <w:t xml:space="preserve"> وقد تكون مدة تقادم حق الدائن قد أوشكت على الانقضاء</w:t>
      </w:r>
      <w:r>
        <w:rPr>
          <w:rFonts w:hint="cs"/>
          <w:color w:val="000000"/>
          <w:rtl/>
          <w:lang w:bidi="ar-EG"/>
        </w:rPr>
        <w:t xml:space="preserve"> ،</w:t>
      </w:r>
      <w:r w:rsidRPr="00315653">
        <w:rPr>
          <w:rFonts w:hint="cs"/>
          <w:color w:val="000000"/>
          <w:rtl/>
          <w:lang w:bidi="ar-EG"/>
        </w:rPr>
        <w:t xml:space="preserve"> فلا تلبث أن تنقضي بعد انتقال الحق إلى الكفيل</w:t>
      </w:r>
      <w:r>
        <w:rPr>
          <w:rFonts w:hint="cs"/>
          <w:color w:val="000000"/>
          <w:rtl/>
          <w:lang w:bidi="ar-EG"/>
        </w:rPr>
        <w:t xml:space="preserve"> ،</w:t>
      </w:r>
      <w:r w:rsidRPr="00315653">
        <w:rPr>
          <w:rFonts w:hint="cs"/>
          <w:color w:val="000000"/>
          <w:rtl/>
          <w:lang w:bidi="ar-EG"/>
        </w:rPr>
        <w:t xml:space="preserve"> وفي هذا تتميز الدعوى الشخصية على دعوى الحلول</w:t>
      </w:r>
      <w:r>
        <w:rPr>
          <w:rFonts w:hint="cs"/>
          <w:color w:val="000000"/>
          <w:vertAlign w:val="superscript"/>
          <w:rtl/>
          <w:lang w:bidi="ar-EG"/>
        </w:rPr>
        <w:t xml:space="preserve">( </w:t>
      </w:r>
      <w:r w:rsidRPr="00315653">
        <w:rPr>
          <w:rStyle w:val="ab"/>
          <w:color w:val="000000"/>
          <w:rtl/>
          <w:lang w:bidi="ar-EG"/>
        </w:rPr>
        <w:footnoteReference w:id="42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ثالثاً </w:t>
      </w:r>
      <w:r w:rsidRPr="00315653">
        <w:rPr>
          <w:color w:val="000000"/>
          <w:rtl/>
          <w:lang w:bidi="ar-EG"/>
        </w:rPr>
        <w:t>–</w:t>
      </w:r>
      <w:r w:rsidRPr="00315653">
        <w:rPr>
          <w:rFonts w:hint="cs"/>
          <w:color w:val="000000"/>
          <w:rtl/>
          <w:lang w:bidi="ar-EG"/>
        </w:rPr>
        <w:t xml:space="preserve"> إذا كان الكفيل قد وفى الدين وفاء جزئياً وأراد الرجوع بدعوى الحول</w:t>
      </w:r>
      <w:r>
        <w:rPr>
          <w:rFonts w:hint="cs"/>
          <w:color w:val="000000"/>
          <w:rtl/>
          <w:lang w:bidi="ar-EG"/>
        </w:rPr>
        <w:t xml:space="preserve"> ،</w:t>
      </w:r>
      <w:r w:rsidRPr="00315653">
        <w:rPr>
          <w:rFonts w:hint="cs"/>
          <w:color w:val="000000"/>
          <w:rtl/>
          <w:lang w:bidi="ar-EG"/>
        </w:rPr>
        <w:t xml:space="preserve"> فقد رأينا أنه يتأخر عن الدائن حتى يستوفي الدائن من المدين الباقي من حقه</w:t>
      </w:r>
      <w:r>
        <w:rPr>
          <w:rFonts w:hint="cs"/>
          <w:color w:val="000000"/>
          <w:rtl/>
          <w:lang w:bidi="ar-EG"/>
        </w:rPr>
        <w:t xml:space="preserve"> .</w:t>
      </w:r>
      <w:r w:rsidRPr="00315653">
        <w:rPr>
          <w:rFonts w:hint="cs"/>
          <w:color w:val="000000"/>
          <w:rtl/>
          <w:lang w:bidi="ar-EG"/>
        </w:rPr>
        <w:t xml:space="preserve"> أما إذا رجع الكفيل بالدعوى الشخصية</w:t>
      </w:r>
      <w:r>
        <w:rPr>
          <w:rFonts w:hint="cs"/>
          <w:color w:val="000000"/>
          <w:rtl/>
          <w:lang w:bidi="ar-EG"/>
        </w:rPr>
        <w:t xml:space="preserve"> ،</w:t>
      </w:r>
      <w:r w:rsidRPr="00315653">
        <w:rPr>
          <w:rFonts w:hint="cs"/>
          <w:color w:val="000000"/>
          <w:rtl/>
          <w:lang w:bidi="ar-EG"/>
        </w:rPr>
        <w:t xml:space="preserve"> فإنه يتعاون مع الدائن ولا يتقدم الدائن عليه</w:t>
      </w:r>
      <w:r>
        <w:rPr>
          <w:rFonts w:hint="cs"/>
          <w:color w:val="000000"/>
          <w:rtl/>
          <w:lang w:bidi="ar-EG"/>
        </w:rPr>
        <w:t xml:space="preserve"> ،</w:t>
      </w:r>
      <w:r w:rsidRPr="00315653">
        <w:rPr>
          <w:rFonts w:hint="cs"/>
          <w:color w:val="000000"/>
          <w:rtl/>
          <w:lang w:bidi="ar-EG"/>
        </w:rPr>
        <w:t xml:space="preserve"> ويقتسمان مال المدين اقتسام الغرماء</w:t>
      </w:r>
      <w:r>
        <w:rPr>
          <w:rFonts w:hint="cs"/>
          <w:color w:val="000000"/>
          <w:vertAlign w:val="superscript"/>
          <w:rtl/>
          <w:lang w:bidi="ar-EG"/>
        </w:rPr>
        <w:t xml:space="preserve">( </w:t>
      </w:r>
      <w:r w:rsidRPr="00315653">
        <w:rPr>
          <w:rStyle w:val="ab"/>
          <w:color w:val="000000"/>
          <w:rtl/>
          <w:lang w:bidi="ar-EG"/>
        </w:rPr>
        <w:footnoteReference w:id="43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rtl/>
          <w:lang w:bidi="ar-EG"/>
        </w:rPr>
      </w:pPr>
      <w:r w:rsidRPr="00315653">
        <w:rPr>
          <w:b/>
          <w:bCs/>
          <w:color w:val="000000"/>
          <w:rtl/>
          <w:lang w:bidi="ar-EG"/>
        </w:rPr>
        <w:t>§</w:t>
      </w:r>
      <w:r w:rsidRPr="00315653">
        <w:rPr>
          <w:rFonts w:hint="cs"/>
          <w:b/>
          <w:bCs/>
          <w:color w:val="000000"/>
          <w:rtl/>
          <w:lang w:bidi="ar-EG"/>
        </w:rPr>
        <w:t xml:space="preserve"> 3- رجوع الكفيل على المدينين المتضامنين</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7</w:t>
      </w:r>
      <w:r w:rsidRPr="00315653">
        <w:rPr>
          <w:rFonts w:hint="cs"/>
          <w:b/>
          <w:bCs/>
          <w:color w:val="000000"/>
          <w:rtl/>
          <w:lang w:bidi="ar-EG"/>
        </w:rPr>
        <w:t>1- نص قانوني</w:t>
      </w:r>
      <w:r>
        <w:rPr>
          <w:rFonts w:hint="cs"/>
          <w:color w:val="000000"/>
          <w:rtl/>
          <w:lang w:bidi="ar-EG"/>
        </w:rPr>
        <w:t xml:space="preserve"> :</w:t>
      </w:r>
      <w:r w:rsidRPr="00315653">
        <w:rPr>
          <w:rFonts w:hint="cs"/>
          <w:color w:val="000000"/>
          <w:rtl/>
          <w:lang w:bidi="ar-EG"/>
        </w:rPr>
        <w:t xml:space="preserve"> تنص المادة 801 مدني على ما يأتي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"إذا تعدد المدينون في دين واحد وكانوا متضامنين</w:t>
      </w:r>
      <w:r>
        <w:rPr>
          <w:rFonts w:hint="cs"/>
          <w:color w:val="000000"/>
          <w:rtl/>
          <w:lang w:bidi="ar-EG"/>
        </w:rPr>
        <w:t xml:space="preserve"> ،</w:t>
      </w:r>
      <w:r w:rsidRPr="00315653">
        <w:rPr>
          <w:rFonts w:hint="cs"/>
          <w:color w:val="000000"/>
          <w:rtl/>
          <w:lang w:bidi="ar-EG"/>
        </w:rPr>
        <w:t xml:space="preserve"> فللكفيل الذي كفلهم جميعاً أن يرجع على أي منهم بجميع ما وفاه من الدين"</w:t>
      </w:r>
      <w:r>
        <w:rPr>
          <w:rFonts w:hint="cs"/>
          <w:color w:val="000000"/>
          <w:vertAlign w:val="superscript"/>
          <w:rtl/>
          <w:lang w:bidi="ar-EG"/>
        </w:rPr>
        <w:t xml:space="preserve">( </w:t>
      </w:r>
      <w:r w:rsidRPr="00315653">
        <w:rPr>
          <w:rStyle w:val="ab"/>
          <w:color w:val="000000"/>
          <w:rtl/>
          <w:lang w:bidi="ar-EG"/>
        </w:rPr>
        <w:footnoteReference w:id="43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$194 ويفرض هذا النص أن هناك مدينين متعددين متضامنين في دين واحد</w:t>
      </w:r>
      <w:r>
        <w:rPr>
          <w:rFonts w:hint="cs"/>
          <w:color w:val="000000"/>
          <w:rtl/>
          <w:lang w:bidi="ar-EG"/>
        </w:rPr>
        <w:t xml:space="preserve"> ،</w:t>
      </w:r>
      <w:r w:rsidRPr="00315653">
        <w:rPr>
          <w:rFonts w:hint="cs"/>
          <w:color w:val="000000"/>
          <w:rtl/>
          <w:lang w:bidi="ar-EG"/>
        </w:rPr>
        <w:t xml:space="preserve"> وأن كفيلا قد ضمنهم جميعاً</w:t>
      </w:r>
      <w:r>
        <w:rPr>
          <w:rFonts w:hint="cs"/>
          <w:color w:val="000000"/>
          <w:rtl/>
          <w:lang w:bidi="ar-EG"/>
        </w:rPr>
        <w:t xml:space="preserve"> .</w:t>
      </w:r>
      <w:r w:rsidRPr="00315653">
        <w:rPr>
          <w:rFonts w:hint="cs"/>
          <w:color w:val="000000"/>
          <w:rtl/>
          <w:lang w:bidi="ar-EG"/>
        </w:rPr>
        <w:t xml:space="preserve"> وهناك فرض آخر</w:t>
      </w:r>
      <w:r>
        <w:rPr>
          <w:rFonts w:hint="cs"/>
          <w:color w:val="000000"/>
          <w:rtl/>
          <w:lang w:bidi="ar-EG"/>
        </w:rPr>
        <w:t xml:space="preserve"> ،</w:t>
      </w:r>
      <w:r w:rsidRPr="00315653">
        <w:rPr>
          <w:rFonts w:hint="cs"/>
          <w:color w:val="000000"/>
          <w:rtl/>
          <w:lang w:bidi="ar-EG"/>
        </w:rPr>
        <w:t xml:space="preserve"> هو أن هناك مدينين متعددين متضامنين في دين واحد</w:t>
      </w:r>
      <w:r>
        <w:rPr>
          <w:rFonts w:hint="cs"/>
          <w:color w:val="000000"/>
          <w:rtl/>
          <w:lang w:bidi="ar-EG"/>
        </w:rPr>
        <w:t xml:space="preserve"> ،</w:t>
      </w:r>
      <w:r w:rsidRPr="00315653">
        <w:rPr>
          <w:rFonts w:hint="cs"/>
          <w:color w:val="000000"/>
          <w:rtl/>
          <w:lang w:bidi="ar-EG"/>
        </w:rPr>
        <w:t xml:space="preserve"> وان كفيلا ضمن بعضهم دون الباقين</w:t>
      </w:r>
      <w:r>
        <w:rPr>
          <w:rFonts w:hint="cs"/>
          <w:color w:val="000000"/>
          <w:rtl/>
          <w:lang w:bidi="ar-EG"/>
        </w:rPr>
        <w:t xml:space="preserve"> .</w:t>
      </w:r>
      <w:r w:rsidRPr="00315653">
        <w:rPr>
          <w:rFonts w:hint="cs"/>
          <w:color w:val="000000"/>
          <w:rtl/>
          <w:lang w:bidi="ar-EG"/>
        </w:rPr>
        <w:t xml:space="preserve"> فنستعرض كلا من الفرضين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72- مدينون متضامنون ضمنهم الكفيل جميعا</w:t>
      </w:r>
      <w:r>
        <w:rPr>
          <w:rFonts w:hint="cs"/>
          <w:color w:val="000000"/>
          <w:rtl/>
          <w:lang w:bidi="ar-EG"/>
        </w:rPr>
        <w:t xml:space="preserve"> :</w:t>
      </w:r>
      <w:r w:rsidRPr="00315653">
        <w:rPr>
          <w:rFonts w:hint="cs"/>
          <w:color w:val="000000"/>
          <w:rtl/>
          <w:lang w:bidi="ar-EG"/>
        </w:rPr>
        <w:t xml:space="preserve"> هذا هو الفرض الذي أورد حكمه نص المادة 801 مدني سالف الذكر</w:t>
      </w:r>
      <w:r>
        <w:rPr>
          <w:rFonts w:hint="cs"/>
          <w:color w:val="000000"/>
          <w:rtl/>
          <w:lang w:bidi="ar-EG"/>
        </w:rPr>
        <w:t xml:space="preserve"> ،</w:t>
      </w:r>
      <w:r w:rsidRPr="00315653">
        <w:rPr>
          <w:rFonts w:hint="cs"/>
          <w:color w:val="000000"/>
          <w:rtl/>
          <w:lang w:bidi="ar-EG"/>
        </w:rPr>
        <w:t xml:space="preserve"> وهو أبسط الفرضين</w:t>
      </w:r>
      <w:r>
        <w:rPr>
          <w:rFonts w:hint="cs"/>
          <w:color w:val="000000"/>
          <w:rtl/>
          <w:lang w:bidi="ar-EG"/>
        </w:rPr>
        <w:t xml:space="preserve"> .</w:t>
      </w:r>
      <w:r w:rsidRPr="00315653">
        <w:rPr>
          <w:rFonts w:hint="cs"/>
          <w:color w:val="000000"/>
          <w:rtl/>
          <w:lang w:bidi="ar-EG"/>
        </w:rPr>
        <w:t xml:space="preserve"> فإذا كان هناك مدينون متضامنون في دين واحد ضمنهم الكفيل جميعاً</w:t>
      </w:r>
      <w:r>
        <w:rPr>
          <w:rFonts w:hint="cs"/>
          <w:color w:val="000000"/>
          <w:rtl/>
          <w:lang w:bidi="ar-EG"/>
        </w:rPr>
        <w:t xml:space="preserve"> ،</w:t>
      </w:r>
      <w:r w:rsidRPr="00315653">
        <w:rPr>
          <w:rFonts w:hint="cs"/>
          <w:color w:val="000000"/>
          <w:rtl/>
          <w:lang w:bidi="ar-EG"/>
        </w:rPr>
        <w:t xml:space="preserve"> ووفى الكفيل الدين للدائن</w:t>
      </w:r>
      <w:r>
        <w:rPr>
          <w:rFonts w:hint="cs"/>
          <w:color w:val="000000"/>
          <w:rtl/>
          <w:lang w:bidi="ar-EG"/>
        </w:rPr>
        <w:t xml:space="preserve"> ،</w:t>
      </w:r>
      <w:r w:rsidRPr="00315653">
        <w:rPr>
          <w:rFonts w:hint="cs"/>
          <w:color w:val="000000"/>
          <w:rtl/>
          <w:lang w:bidi="ar-EG"/>
        </w:rPr>
        <w:t xml:space="preserve"> فإنه يجرع على أي من المدينين المتضامنين إما بالدعوى الشخصية أو بدعوى الحلول</w:t>
      </w:r>
      <w:r>
        <w:rPr>
          <w:rFonts w:hint="cs"/>
          <w:color w:val="000000"/>
          <w:vertAlign w:val="superscript"/>
          <w:rtl/>
          <w:lang w:bidi="ar-EG"/>
        </w:rPr>
        <w:t xml:space="preserve">( </w:t>
      </w:r>
      <w:r w:rsidRPr="00315653">
        <w:rPr>
          <w:rStyle w:val="ab"/>
          <w:color w:val="000000"/>
          <w:rtl/>
          <w:lang w:bidi="ar-EG"/>
        </w:rPr>
        <w:footnoteReference w:id="43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فإن رجع بالدعوى الشخصية</w:t>
      </w:r>
      <w:r>
        <w:rPr>
          <w:rFonts w:hint="cs"/>
          <w:color w:val="000000"/>
          <w:rtl/>
          <w:lang w:bidi="ar-EG"/>
        </w:rPr>
        <w:t xml:space="preserve"> ،</w:t>
      </w:r>
      <w:r w:rsidRPr="00315653">
        <w:rPr>
          <w:rFonts w:hint="cs"/>
          <w:color w:val="000000"/>
          <w:rtl/>
          <w:lang w:bidi="ar-EG"/>
        </w:rPr>
        <w:t xml:space="preserve"> فإنه يرجع بما وفاه للدائن</w:t>
      </w:r>
      <w:r>
        <w:rPr>
          <w:rFonts w:hint="cs"/>
          <w:color w:val="000000"/>
          <w:rtl/>
          <w:lang w:bidi="ar-EG"/>
        </w:rPr>
        <w:t xml:space="preserve"> ،</w:t>
      </w:r>
      <w:r w:rsidRPr="00315653">
        <w:rPr>
          <w:rFonts w:hint="cs"/>
          <w:color w:val="000000"/>
          <w:rtl/>
          <w:lang w:bidi="ar-EG"/>
        </w:rPr>
        <w:t xml:space="preserve"> أي بكل الدين</w:t>
      </w:r>
      <w:r>
        <w:rPr>
          <w:rFonts w:hint="cs"/>
          <w:color w:val="000000"/>
          <w:rtl/>
          <w:lang w:bidi="ar-EG"/>
        </w:rPr>
        <w:t xml:space="preserve"> .</w:t>
      </w:r>
      <w:r w:rsidRPr="00315653">
        <w:rPr>
          <w:rFonts w:hint="cs"/>
          <w:color w:val="000000"/>
          <w:rtl/>
          <w:lang w:bidi="ar-EG"/>
        </w:rPr>
        <w:t xml:space="preserve"> ذلك لأن أي مدين متضامن مسئول عن كل الدين بحكم التضامن فيما بين المدينين</w:t>
      </w:r>
      <w:r>
        <w:rPr>
          <w:rFonts w:hint="cs"/>
          <w:color w:val="000000"/>
          <w:rtl/>
          <w:lang w:bidi="ar-EG"/>
        </w:rPr>
        <w:t xml:space="preserve"> ،</w:t>
      </w:r>
      <w:r w:rsidRPr="00315653">
        <w:rPr>
          <w:rFonts w:hint="cs"/>
          <w:color w:val="000000"/>
          <w:rtl/>
          <w:lang w:bidi="ar-EG"/>
        </w:rPr>
        <w:t xml:space="preserve"> وقد وفى الكفيل عنه كل الدين فيرجع بكل الدين عليه</w:t>
      </w:r>
      <w:r>
        <w:rPr>
          <w:rFonts w:hint="cs"/>
          <w:color w:val="000000"/>
          <w:vertAlign w:val="superscript"/>
          <w:rtl/>
          <w:lang w:bidi="ar-EG"/>
        </w:rPr>
        <w:t xml:space="preserve">( </w:t>
      </w:r>
      <w:r w:rsidRPr="00315653">
        <w:rPr>
          <w:rStyle w:val="ab"/>
          <w:color w:val="000000"/>
          <w:rtl/>
          <w:lang w:bidi="ar-EG"/>
        </w:rPr>
        <w:footnoteReference w:id="43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ويضاف إلى ذلك ما يرجع به الكفيل من فوائد قانونية ومصروفات وتعويض</w:t>
      </w:r>
      <w:r>
        <w:rPr>
          <w:rFonts w:hint="cs"/>
          <w:color w:val="000000"/>
          <w:rtl/>
          <w:lang w:bidi="ar-EG"/>
        </w:rPr>
        <w:t xml:space="preserve"> .</w:t>
      </w:r>
      <w:r w:rsidRPr="00315653">
        <w:rPr>
          <w:rFonts w:hint="cs"/>
          <w:color w:val="000000"/>
          <w:rtl/>
          <w:lang w:bidi="ar-EG"/>
        </w:rPr>
        <w:t xml:space="preserve"> فإذا رجع الكفل بكل الدين على أحد المدينين المتضامنين</w:t>
      </w:r>
      <w:r>
        <w:rPr>
          <w:rFonts w:hint="cs"/>
          <w:color w:val="000000"/>
          <w:rtl/>
          <w:lang w:bidi="ar-EG"/>
        </w:rPr>
        <w:t xml:space="preserve"> ،</w:t>
      </w:r>
      <w:r w:rsidRPr="00315653">
        <w:rPr>
          <w:rFonts w:hint="cs"/>
          <w:color w:val="000000"/>
          <w:rtl/>
          <w:lang w:bidi="ar-EG"/>
        </w:rPr>
        <w:t xml:space="preserve"> رجع هذا المدين على سائر المدينين كل بقدر حصته </w:t>
      </w:r>
      <w:r>
        <w:rPr>
          <w:rFonts w:hint="cs"/>
          <w:color w:val="000000"/>
          <w:rtl/>
          <w:lang w:bidi="ar-EG"/>
        </w:rPr>
        <w:t xml:space="preserve">( </w:t>
      </w:r>
      <w:r w:rsidRPr="00315653">
        <w:rPr>
          <w:rFonts w:hint="cs"/>
          <w:color w:val="000000"/>
          <w:rtl/>
          <w:lang w:bidi="ar-EG"/>
        </w:rPr>
        <w:t>م 297/1 مدني</w:t>
      </w:r>
      <w:r>
        <w:rPr>
          <w:rFonts w:hint="cs"/>
          <w:color w:val="000000"/>
          <w:rtl/>
          <w:lang w:bidi="ar-EG"/>
        </w:rPr>
        <w:t xml:space="preserve"> ) .</w:t>
      </w:r>
      <w:r w:rsidRPr="00315653">
        <w:rPr>
          <w:rFonts w:hint="cs"/>
          <w:color w:val="000000"/>
          <w:rtl/>
          <w:lang w:bidi="ar-EG"/>
        </w:rPr>
        <w:t xml:space="preserve"> وإذا أعسر احد المدينين المتضامنين</w:t>
      </w:r>
      <w:r>
        <w:rPr>
          <w:rFonts w:hint="cs"/>
          <w:color w:val="000000"/>
          <w:rtl/>
          <w:lang w:bidi="ar-EG"/>
        </w:rPr>
        <w:t xml:space="preserve"> ،</w:t>
      </w:r>
      <w:r w:rsidRPr="00315653">
        <w:rPr>
          <w:rFonts w:hint="cs"/>
          <w:color w:val="000000"/>
          <w:rtl/>
          <w:lang w:bidi="ar-EG"/>
        </w:rPr>
        <w:t xml:space="preserve"> تحمل تبعة هذا الإعسار المدين الذي وفى بالدين للكفيل وسائر المدينين الموسرين كل بقدر حصته </w:t>
      </w:r>
      <w:r>
        <w:rPr>
          <w:rFonts w:hint="cs"/>
          <w:color w:val="000000"/>
          <w:rtl/>
          <w:lang w:bidi="ar-EG"/>
        </w:rPr>
        <w:t xml:space="preserve">( </w:t>
      </w:r>
      <w:r w:rsidRPr="00315653">
        <w:rPr>
          <w:rFonts w:hint="cs"/>
          <w:color w:val="000000"/>
          <w:rtl/>
          <w:lang w:bidi="ar-EG"/>
        </w:rPr>
        <w:t>م 298 مدني</w:t>
      </w:r>
      <w:r>
        <w:rPr>
          <w:rFonts w:hint="cs"/>
          <w:color w:val="000000"/>
          <w:rtl/>
          <w:lang w:bidi="ar-EG"/>
        </w:rPr>
        <w:t xml:space="preserve"> ) ،</w:t>
      </w:r>
      <w:r w:rsidRPr="00315653">
        <w:rPr>
          <w:rFonts w:hint="cs"/>
          <w:color w:val="000000"/>
          <w:rtl/>
          <w:lang w:bidi="ar-EG"/>
        </w:rPr>
        <w:t xml:space="preserve"> وذلك كله طبقاً للقواعد المقررة في التضامن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وإن رجع الكفل بدعوى الحلول</w:t>
      </w:r>
      <w:r>
        <w:rPr>
          <w:rFonts w:hint="cs"/>
          <w:color w:val="000000"/>
          <w:rtl/>
          <w:lang w:bidi="ar-EG"/>
        </w:rPr>
        <w:t xml:space="preserve"> ،</w:t>
      </w:r>
      <w:r w:rsidRPr="00315653">
        <w:rPr>
          <w:rFonts w:hint="cs"/>
          <w:color w:val="000000"/>
          <w:rtl/>
          <w:lang w:bidi="ar-EG"/>
        </w:rPr>
        <w:t xml:space="preserve"> فإنه يرجع بنفس حق الدائن الذي وفاه حقه</w:t>
      </w:r>
      <w:r>
        <w:rPr>
          <w:rFonts w:hint="cs"/>
          <w:color w:val="000000"/>
          <w:rtl/>
          <w:lang w:bidi="ar-EG"/>
        </w:rPr>
        <w:t xml:space="preserve"> .</w:t>
      </w:r>
      <w:r w:rsidRPr="00315653">
        <w:rPr>
          <w:rFonts w:hint="cs"/>
          <w:color w:val="000000"/>
          <w:rtl/>
          <w:lang w:bidi="ar-EG"/>
        </w:rPr>
        <w:t xml:space="preserve"> ولما كان الدائن يرجع على أي من المدينين المتضامنين بكل الدين للتضامن القائم فيما بينهم</w:t>
      </w:r>
      <w:r>
        <w:rPr>
          <w:rFonts w:hint="cs"/>
          <w:color w:val="000000"/>
          <w:rtl/>
          <w:lang w:bidi="ar-EG"/>
        </w:rPr>
        <w:t xml:space="preserve"> ،</w:t>
      </w:r>
      <w:r w:rsidRPr="00315653">
        <w:rPr>
          <w:rFonts w:hint="cs"/>
          <w:color w:val="000000"/>
          <w:rtl/>
          <w:lang w:bidi="ar-EG"/>
        </w:rPr>
        <w:t xml:space="preserve"> فإن الكفيل له أن يرجع أيضاً بدعوى الحلول على $ 195 أي من المدينين المتضامنين بكل الدين</w:t>
      </w:r>
      <w:r>
        <w:rPr>
          <w:rFonts w:hint="cs"/>
          <w:color w:val="000000"/>
          <w:rtl/>
          <w:lang w:bidi="ar-EG"/>
        </w:rPr>
        <w:t xml:space="preserve"> ،</w:t>
      </w:r>
      <w:r w:rsidRPr="00315653">
        <w:rPr>
          <w:rFonts w:hint="cs"/>
          <w:color w:val="000000"/>
          <w:rtl/>
          <w:lang w:bidi="ar-EG"/>
        </w:rPr>
        <w:t xml:space="preserve"> كما في الدعوى الشخصية</w:t>
      </w:r>
      <w:r>
        <w:rPr>
          <w:rFonts w:hint="cs"/>
          <w:color w:val="000000"/>
          <w:vertAlign w:val="superscript"/>
          <w:rtl/>
          <w:lang w:bidi="ar-EG"/>
        </w:rPr>
        <w:t xml:space="preserve">( </w:t>
      </w:r>
      <w:r w:rsidRPr="00315653">
        <w:rPr>
          <w:rStyle w:val="ab"/>
          <w:color w:val="000000"/>
          <w:rtl/>
          <w:lang w:bidi="ar-EG"/>
        </w:rPr>
        <w:footnoteReference w:id="43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وكما في الدعوى الشخصية أيضاً يرجع المدين الذي وفى الدين للكفل على سائر المدينين كل بقدر حصته</w:t>
      </w:r>
      <w:r>
        <w:rPr>
          <w:rFonts w:hint="cs"/>
          <w:color w:val="000000"/>
          <w:rtl/>
          <w:lang w:bidi="ar-EG"/>
        </w:rPr>
        <w:t xml:space="preserve"> ،</w:t>
      </w:r>
      <w:r w:rsidRPr="00315653">
        <w:rPr>
          <w:rFonts w:hint="cs"/>
          <w:color w:val="000000"/>
          <w:rtl/>
          <w:lang w:bidi="ar-EG"/>
        </w:rPr>
        <w:t xml:space="preserve"> وإذا أعسر احد المدينين المتضامنين تحمل تبعة هذا الإعسار المدين الذي وفى الدين للكفيل وسائر المدينين المتضامنين كل بقدر حصته</w:t>
      </w:r>
      <w:r>
        <w:rPr>
          <w:rFonts w:hint="cs"/>
          <w:color w:val="000000"/>
          <w:vertAlign w:val="superscript"/>
          <w:rtl/>
          <w:lang w:bidi="ar-EG"/>
        </w:rPr>
        <w:t xml:space="preserve">( </w:t>
      </w:r>
      <w:r w:rsidRPr="00315653">
        <w:rPr>
          <w:rStyle w:val="ab"/>
          <w:color w:val="000000"/>
          <w:rtl/>
          <w:lang w:bidi="ar-EG"/>
        </w:rPr>
        <w:footnoteReference w:id="435"/>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lastRenderedPageBreak/>
        <w:t>73- مدينون متضامنون ضمن الكفيل بعضهم</w:t>
      </w:r>
      <w:r>
        <w:rPr>
          <w:rFonts w:hint="cs"/>
          <w:color w:val="000000"/>
          <w:rtl/>
          <w:lang w:bidi="ar-EG"/>
        </w:rPr>
        <w:t xml:space="preserve"> :</w:t>
      </w:r>
      <w:r w:rsidRPr="00315653">
        <w:rPr>
          <w:rFonts w:hint="cs"/>
          <w:color w:val="000000"/>
          <w:rtl/>
          <w:lang w:bidi="ar-EG"/>
        </w:rPr>
        <w:t xml:space="preserve"> ونفرض هنا أن الكفيل لم يضمن كل المدينين المتضامنين كما فعل في الفرض السابق</w:t>
      </w:r>
      <w:r>
        <w:rPr>
          <w:rFonts w:hint="cs"/>
          <w:color w:val="000000"/>
          <w:rtl/>
          <w:lang w:bidi="ar-EG"/>
        </w:rPr>
        <w:t xml:space="preserve"> ،</w:t>
      </w:r>
      <w:r w:rsidRPr="00315653">
        <w:rPr>
          <w:rFonts w:hint="cs"/>
          <w:color w:val="000000"/>
          <w:rtl/>
          <w:lang w:bidi="ar-EG"/>
        </w:rPr>
        <w:t xml:space="preserve"> بل ضمن بعضهم دون بعض آخر</w:t>
      </w:r>
      <w:r>
        <w:rPr>
          <w:rFonts w:hint="cs"/>
          <w:color w:val="000000"/>
          <w:rtl/>
          <w:lang w:bidi="ar-EG"/>
        </w:rPr>
        <w:t xml:space="preserve"> .</w:t>
      </w:r>
      <w:r w:rsidRPr="00315653">
        <w:rPr>
          <w:rFonts w:hint="cs"/>
          <w:color w:val="000000"/>
          <w:rtl/>
          <w:lang w:bidi="ar-EG"/>
        </w:rPr>
        <w:t xml:space="preserve"> فإذا كان هناك ثلاثة مدينين متضامنين</w:t>
      </w:r>
      <w:r>
        <w:rPr>
          <w:rFonts w:hint="cs"/>
          <w:color w:val="000000"/>
          <w:rtl/>
          <w:lang w:bidi="ar-EG"/>
        </w:rPr>
        <w:t xml:space="preserve"> ،</w:t>
      </w:r>
      <w:r w:rsidRPr="00315653">
        <w:rPr>
          <w:rFonts w:hint="cs"/>
          <w:color w:val="000000"/>
          <w:rtl/>
          <w:lang w:bidi="ar-EG"/>
        </w:rPr>
        <w:t xml:space="preserve"> وقد ضمن الكفيل الأول منهم دون أن يضمن الاثنين الآخرين</w:t>
      </w:r>
      <w:r>
        <w:rPr>
          <w:rFonts w:hint="cs"/>
          <w:color w:val="000000"/>
          <w:rtl/>
          <w:lang w:bidi="ar-EG"/>
        </w:rPr>
        <w:t xml:space="preserve"> ،</w:t>
      </w:r>
      <w:r w:rsidRPr="00315653">
        <w:rPr>
          <w:rFonts w:hint="cs"/>
          <w:color w:val="000000"/>
          <w:rtl/>
          <w:lang w:bidi="ar-EG"/>
        </w:rPr>
        <w:t xml:space="preserve"> ووفى الكفيل كل الدين للدائن</w:t>
      </w:r>
      <w:r>
        <w:rPr>
          <w:rFonts w:hint="cs"/>
          <w:color w:val="000000"/>
          <w:rtl/>
          <w:lang w:bidi="ar-EG"/>
        </w:rPr>
        <w:t xml:space="preserve"> ،</w:t>
      </w:r>
      <w:r w:rsidRPr="00315653">
        <w:rPr>
          <w:rFonts w:hint="cs"/>
          <w:color w:val="000000"/>
          <w:rtl/>
          <w:lang w:bidi="ar-EG"/>
        </w:rPr>
        <w:t xml:space="preserve"> فإنه يرجع على المدين الذي ضمنه بكل الدين</w:t>
      </w:r>
      <w:r>
        <w:rPr>
          <w:rFonts w:hint="cs"/>
          <w:color w:val="000000"/>
          <w:rtl/>
          <w:lang w:bidi="ar-EG"/>
        </w:rPr>
        <w:t xml:space="preserve"> ،</w:t>
      </w:r>
      <w:r w:rsidRPr="00315653">
        <w:rPr>
          <w:rFonts w:hint="cs"/>
          <w:color w:val="000000"/>
          <w:rtl/>
          <w:lang w:bidi="ar-EG"/>
        </w:rPr>
        <w:t xml:space="preserve"> سواء كان ذلك بالدعوى الشخصية أو بدعوى الحلول</w:t>
      </w:r>
      <w:r>
        <w:rPr>
          <w:rFonts w:hint="cs"/>
          <w:color w:val="000000"/>
          <w:rtl/>
          <w:lang w:bidi="ar-EG"/>
        </w:rPr>
        <w:t xml:space="preserve"> ،</w:t>
      </w:r>
      <w:r w:rsidRPr="00315653">
        <w:rPr>
          <w:rFonts w:hint="cs"/>
          <w:color w:val="000000"/>
          <w:rtl/>
          <w:lang w:bidi="ar-EG"/>
        </w:rPr>
        <w:t xml:space="preserve"> لنفس الأسباب التي قدمناها عند ما يرجع الكفيل على احد المدينين المتضامنين بعد أن يكون قد ضمنهم جميعاً</w:t>
      </w:r>
      <w:r>
        <w:rPr>
          <w:rFonts w:hint="cs"/>
          <w:color w:val="000000"/>
          <w:vertAlign w:val="superscript"/>
          <w:rtl/>
          <w:lang w:bidi="ar-EG"/>
        </w:rPr>
        <w:t xml:space="preserve">( </w:t>
      </w:r>
      <w:r w:rsidRPr="00315653">
        <w:rPr>
          <w:rStyle w:val="ab"/>
          <w:color w:val="000000"/>
          <w:rtl/>
          <w:lang w:bidi="ar-EG"/>
        </w:rPr>
        <w:footnoteReference w:id="43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$196 وإذا رجع الكفيل بالدعوى الشخصية على احد المدينين الاثنين اللذين لم يضمنهما</w:t>
      </w:r>
      <w:r>
        <w:rPr>
          <w:rFonts w:hint="cs"/>
          <w:color w:val="000000"/>
          <w:rtl/>
          <w:lang w:bidi="ar-EG"/>
        </w:rPr>
        <w:t xml:space="preserve"> ،</w:t>
      </w:r>
      <w:r w:rsidRPr="00315653">
        <w:rPr>
          <w:rFonts w:hint="cs"/>
          <w:color w:val="000000"/>
          <w:rtl/>
          <w:lang w:bidi="ar-EG"/>
        </w:rPr>
        <w:t xml:space="preserve"> فإنه يرجع عليه إما بدعوى مدينه الذي ضمنه أي بالدعوى غير المباشرة</w:t>
      </w:r>
      <w:r>
        <w:rPr>
          <w:rFonts w:hint="cs"/>
          <w:color w:val="000000"/>
          <w:rtl/>
          <w:lang w:bidi="ar-EG"/>
        </w:rPr>
        <w:t xml:space="preserve"> ،</w:t>
      </w:r>
      <w:r w:rsidRPr="00315653">
        <w:rPr>
          <w:rFonts w:hint="cs"/>
          <w:color w:val="000000"/>
          <w:rtl/>
          <w:lang w:bidi="ar-EG"/>
        </w:rPr>
        <w:t xml:space="preserve"> أو بدعوى الإثراء بلا سبب</w:t>
      </w:r>
      <w:r>
        <w:rPr>
          <w:rFonts w:hint="cs"/>
          <w:color w:val="000000"/>
          <w:rtl/>
          <w:lang w:bidi="ar-EG"/>
        </w:rPr>
        <w:t xml:space="preserve"> .</w:t>
      </w:r>
      <w:r w:rsidRPr="00315653">
        <w:rPr>
          <w:rFonts w:hint="cs"/>
          <w:color w:val="000000"/>
          <w:rtl/>
          <w:lang w:bidi="ar-EG"/>
        </w:rPr>
        <w:t xml:space="preserve"> فإن رجع بالدعوى غير المباشرة</w:t>
      </w:r>
      <w:r>
        <w:rPr>
          <w:rFonts w:hint="cs"/>
          <w:color w:val="000000"/>
          <w:rtl/>
          <w:lang w:bidi="ar-EG"/>
        </w:rPr>
        <w:t xml:space="preserve"> ،</w:t>
      </w:r>
      <w:r w:rsidRPr="00315653">
        <w:rPr>
          <w:rFonts w:hint="cs"/>
          <w:color w:val="000000"/>
          <w:rtl/>
          <w:lang w:bidi="ar-EG"/>
        </w:rPr>
        <w:t xml:space="preserve"> فإنه يرجع كما كان يرجع هذا المدين</w:t>
      </w:r>
      <w:r>
        <w:rPr>
          <w:rFonts w:hint="cs"/>
          <w:color w:val="000000"/>
          <w:rtl/>
          <w:lang w:bidi="ar-EG"/>
        </w:rPr>
        <w:t xml:space="preserve"> ،</w:t>
      </w:r>
      <w:r w:rsidRPr="00315653">
        <w:rPr>
          <w:rFonts w:hint="cs"/>
          <w:color w:val="000000"/>
          <w:rtl/>
          <w:lang w:bidi="ar-EG"/>
        </w:rPr>
        <w:t xml:space="preserve"> أي بحصة المدين الذي يرجع لعيه ونصيب هذا الأخير في حصة من يعسر من المدينين المتضامنين</w:t>
      </w:r>
      <w:r>
        <w:rPr>
          <w:rFonts w:hint="cs"/>
          <w:color w:val="000000"/>
          <w:rtl/>
          <w:lang w:bidi="ar-EG"/>
        </w:rPr>
        <w:t xml:space="preserve"> ،</w:t>
      </w:r>
      <w:r w:rsidRPr="00315653">
        <w:rPr>
          <w:rFonts w:hint="cs"/>
          <w:color w:val="000000"/>
          <w:rtl/>
          <w:lang w:bidi="ar-EG"/>
        </w:rPr>
        <w:t xml:space="preserve"> لأن المدينين المتضامنين ينقسم الدين فيما بينهم عند رجوع أحدهم على الآخرين وتنقسم عليهم حصة المدين المعسر طبقاً لقواعد التضامن</w:t>
      </w:r>
      <w:r>
        <w:rPr>
          <w:rFonts w:hint="cs"/>
          <w:color w:val="000000"/>
          <w:rtl/>
          <w:lang w:bidi="ar-EG"/>
        </w:rPr>
        <w:t xml:space="preserve"> .</w:t>
      </w:r>
      <w:r w:rsidRPr="00315653">
        <w:rPr>
          <w:rFonts w:hint="cs"/>
          <w:color w:val="000000"/>
          <w:rtl/>
          <w:lang w:bidi="ar-EG"/>
        </w:rPr>
        <w:t xml:space="preserve"> وكذلك إذا رجع الكفيل بدعوى الإثراء بلا سبب</w:t>
      </w:r>
      <w:r>
        <w:rPr>
          <w:rFonts w:hint="cs"/>
          <w:color w:val="000000"/>
          <w:rtl/>
          <w:lang w:bidi="ar-EG"/>
        </w:rPr>
        <w:t xml:space="preserve"> ،</w:t>
      </w:r>
      <w:r w:rsidRPr="00315653">
        <w:rPr>
          <w:rFonts w:hint="cs"/>
          <w:color w:val="000000"/>
          <w:rtl/>
          <w:lang w:bidi="ar-EG"/>
        </w:rPr>
        <w:t xml:space="preserve"> فإنه يرجع بقدر ما استفاد المدين الذي يرجع عليه</w:t>
      </w:r>
      <w:r>
        <w:rPr>
          <w:rFonts w:hint="cs"/>
          <w:color w:val="000000"/>
          <w:rtl/>
          <w:lang w:bidi="ar-EG"/>
        </w:rPr>
        <w:t xml:space="preserve"> ،</w:t>
      </w:r>
      <w:r w:rsidRPr="00315653">
        <w:rPr>
          <w:rFonts w:hint="cs"/>
          <w:color w:val="000000"/>
          <w:rtl/>
          <w:lang w:bidi="ar-EG"/>
        </w:rPr>
        <w:t xml:space="preserve"> وهذا المدين لم يستفد إلا بقدر حصته في الدين ونصيبه في حصة من يعسر من المدينين المتضامنين</w:t>
      </w:r>
      <w:r>
        <w:rPr>
          <w:rFonts w:hint="cs"/>
          <w:color w:val="000000"/>
          <w:rtl/>
          <w:lang w:bidi="ar-EG"/>
        </w:rPr>
        <w:t xml:space="preserve"> ،</w:t>
      </w:r>
      <w:r w:rsidRPr="00315653">
        <w:rPr>
          <w:rFonts w:hint="cs"/>
          <w:color w:val="000000"/>
          <w:rtl/>
          <w:lang w:bidi="ar-EG"/>
        </w:rPr>
        <w:t xml:space="preserve"> فيرجع الكفيل على المدين هنا أيضاً بقدر حصة هذا المدين ونصيب هذا المدين في حصة من يعسر</w:t>
      </w:r>
      <w:r>
        <w:rPr>
          <w:rFonts w:hint="cs"/>
          <w:color w:val="000000"/>
          <w:vertAlign w:val="superscript"/>
          <w:rtl/>
          <w:lang w:bidi="ar-EG"/>
        </w:rPr>
        <w:t xml:space="preserve">( </w:t>
      </w:r>
      <w:r w:rsidRPr="00315653">
        <w:rPr>
          <w:rStyle w:val="ab"/>
          <w:color w:val="000000"/>
          <w:rtl/>
          <w:lang w:bidi="ar-EG"/>
        </w:rPr>
        <w:footnoteReference w:id="43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وفي الحالتين يحتج المدين المتضامن الذي رجع عليه الكفيل بالدفوع التي كان يستطيع أن يحتج بها على المدين المتضامن الذي ضمنه الكفيل</w:t>
      </w:r>
      <w:r>
        <w:rPr>
          <w:rFonts w:hint="cs"/>
          <w:color w:val="000000"/>
          <w:rtl/>
          <w:lang w:bidi="ar-EG"/>
        </w:rPr>
        <w:t xml:space="preserve"> ،</w:t>
      </w:r>
      <w:r w:rsidRPr="00315653">
        <w:rPr>
          <w:rFonts w:hint="cs"/>
          <w:color w:val="000000"/>
          <w:rtl/>
          <w:lang w:bidi="ar-EG"/>
        </w:rPr>
        <w:t xml:space="preserve"> كما لو أبرئت ذمة المدين المتضامن الذي رجع عليه الكفيل</w:t>
      </w:r>
      <w:r>
        <w:rPr>
          <w:rFonts w:hint="cs"/>
          <w:color w:val="000000"/>
          <w:vertAlign w:val="superscript"/>
          <w:rtl/>
          <w:lang w:bidi="ar-EG"/>
        </w:rPr>
        <w:t xml:space="preserve">( </w:t>
      </w:r>
      <w:r w:rsidRPr="00315653">
        <w:rPr>
          <w:rStyle w:val="ab"/>
          <w:color w:val="000000"/>
          <w:rtl/>
          <w:lang w:bidi="ar-EG"/>
        </w:rPr>
        <w:footnoteReference w:id="43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lastRenderedPageBreak/>
        <w:t>$197 أما إذا رجع الكفيل بدعوى الحلول على أحد المدينين الاثنين اللذين لم يضمنهما</w:t>
      </w:r>
      <w:r>
        <w:rPr>
          <w:rFonts w:hint="cs"/>
          <w:color w:val="000000"/>
          <w:rtl/>
          <w:lang w:bidi="ar-EG"/>
        </w:rPr>
        <w:t xml:space="preserve"> ،</w:t>
      </w:r>
      <w:r w:rsidRPr="00315653">
        <w:rPr>
          <w:rFonts w:hint="cs"/>
          <w:color w:val="000000"/>
          <w:rtl/>
          <w:lang w:bidi="ar-EG"/>
        </w:rPr>
        <w:t xml:space="preserve"> باعتبار أن الكفيل قد حل محل الدائن وكان هذا يستطيع الرجوع على أي من هذين المدينين المتضامنين</w:t>
      </w:r>
      <w:r>
        <w:rPr>
          <w:rFonts w:hint="cs"/>
          <w:color w:val="000000"/>
          <w:vertAlign w:val="superscript"/>
          <w:rtl/>
          <w:lang w:bidi="ar-EG"/>
        </w:rPr>
        <w:t xml:space="preserve">( </w:t>
      </w:r>
      <w:r w:rsidRPr="00315653">
        <w:rPr>
          <w:rStyle w:val="ab"/>
          <w:color w:val="000000"/>
          <w:rtl/>
          <w:lang w:bidi="ar-EG"/>
        </w:rPr>
        <w:footnoteReference w:id="43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فإن محكمة النقض الفرنسية كانت تذهب أولا إلى أن الكفيل يرجع بقدر حصة هذا المدين</w:t>
      </w:r>
      <w:r>
        <w:rPr>
          <w:rFonts w:hint="cs"/>
          <w:color w:val="000000"/>
          <w:rtl/>
          <w:lang w:bidi="ar-EG"/>
        </w:rPr>
        <w:t xml:space="preserve"> .</w:t>
      </w:r>
      <w:r w:rsidRPr="00315653">
        <w:rPr>
          <w:rFonts w:hint="cs"/>
          <w:color w:val="000000"/>
          <w:rtl/>
          <w:lang w:bidi="ar-EG"/>
        </w:rPr>
        <w:t xml:space="preserve"> وكانت تسند في ذلك إلى أن المادة 2030 مدني فرنسي</w:t>
      </w:r>
      <w:r>
        <w:rPr>
          <w:rFonts w:hint="cs"/>
          <w:color w:val="000000"/>
          <w:rtl/>
          <w:lang w:bidi="ar-EG"/>
        </w:rPr>
        <w:t xml:space="preserve"> ،</w:t>
      </w:r>
      <w:r w:rsidRPr="00315653">
        <w:rPr>
          <w:rFonts w:hint="cs"/>
          <w:color w:val="000000"/>
          <w:rtl/>
          <w:lang w:bidi="ar-EG"/>
        </w:rPr>
        <w:t xml:space="preserve"> وهي تطابق المادة 801 مدني مصري</w:t>
      </w:r>
      <w:r>
        <w:rPr>
          <w:rFonts w:hint="cs"/>
          <w:color w:val="000000"/>
          <w:rtl/>
          <w:lang w:bidi="ar-EG"/>
        </w:rPr>
        <w:t xml:space="preserve"> ،</w:t>
      </w:r>
      <w:r w:rsidRPr="00315653">
        <w:rPr>
          <w:rFonts w:hint="cs"/>
          <w:color w:val="000000"/>
          <w:rtl/>
          <w:lang w:bidi="ar-EG"/>
        </w:rPr>
        <w:t xml:space="preserve"> تقضي بأن الكفيل إذا ضمن جميع المدينين المتضامنين فإنه يرجع على أي منهم بجميع الدين</w:t>
      </w:r>
      <w:r>
        <w:rPr>
          <w:rFonts w:hint="cs"/>
          <w:color w:val="000000"/>
          <w:rtl/>
          <w:lang w:bidi="ar-EG"/>
        </w:rPr>
        <w:t xml:space="preserve"> ،</w:t>
      </w:r>
      <w:r w:rsidRPr="00315653">
        <w:rPr>
          <w:rFonts w:hint="cs"/>
          <w:color w:val="000000"/>
          <w:rtl/>
          <w:lang w:bidi="ar-EG"/>
        </w:rPr>
        <w:t xml:space="preserve"> فلا يرجع إذن على المدين الذي لم يضمنه إلا بقدر حصته في الدين</w:t>
      </w:r>
      <w:r>
        <w:rPr>
          <w:rFonts w:hint="cs"/>
          <w:color w:val="000000"/>
          <w:vertAlign w:val="superscript"/>
          <w:rtl/>
          <w:lang w:bidi="ar-EG"/>
        </w:rPr>
        <w:t xml:space="preserve">( </w:t>
      </w:r>
      <w:r w:rsidRPr="00315653">
        <w:rPr>
          <w:rStyle w:val="ab"/>
          <w:color w:val="000000"/>
          <w:rtl/>
          <w:lang w:bidi="ar-EG"/>
        </w:rPr>
        <w:footnoteReference w:id="440"/>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ثم رجعت محكمة النقض الفرنسية عن هذا القضاء</w:t>
      </w:r>
      <w:r>
        <w:rPr>
          <w:rFonts w:hint="cs"/>
          <w:color w:val="000000"/>
          <w:rtl/>
          <w:lang w:bidi="ar-EG"/>
        </w:rPr>
        <w:t xml:space="preserve"> ،</w:t>
      </w:r>
      <w:r w:rsidRPr="00315653">
        <w:rPr>
          <w:rFonts w:hint="cs"/>
          <w:color w:val="000000"/>
          <w:rtl/>
          <w:lang w:bidi="ar-EG"/>
        </w:rPr>
        <w:t xml:space="preserve"> وأصبحت تقضي بأن الكفيل يرجع على المدين الذي لم يضمنه $198 بكل الدين</w:t>
      </w:r>
      <w:r>
        <w:rPr>
          <w:rFonts w:hint="cs"/>
          <w:color w:val="000000"/>
          <w:vertAlign w:val="superscript"/>
          <w:rtl/>
          <w:lang w:bidi="ar-EG"/>
        </w:rPr>
        <w:t xml:space="preserve">( </w:t>
      </w:r>
      <w:r w:rsidRPr="00315653">
        <w:rPr>
          <w:rStyle w:val="ab"/>
          <w:color w:val="000000"/>
          <w:rtl/>
          <w:lang w:bidi="ar-EG"/>
        </w:rPr>
        <w:footnoteReference w:id="44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ولا حجة فيما يقال من أن المدين الذي لم يضمنه الكفيل يضار من أن مديناً آخر متضامناً معه قدم كفيلا</w:t>
      </w:r>
      <w:r>
        <w:rPr>
          <w:rFonts w:hint="cs"/>
          <w:color w:val="000000"/>
          <w:rtl/>
          <w:lang w:bidi="ar-EG"/>
        </w:rPr>
        <w:t xml:space="preserve"> ،</w:t>
      </w:r>
      <w:r w:rsidRPr="00315653">
        <w:rPr>
          <w:rFonts w:hint="cs"/>
          <w:color w:val="000000"/>
          <w:rtl/>
          <w:lang w:bidi="ar-EG"/>
        </w:rPr>
        <w:t xml:space="preserve"> ذلك أن هذا الكفيل إذا رجع على المدين الذي لم يضمنه بكل الدين فإن هذا المدين لم يضار</w:t>
      </w:r>
      <w:r>
        <w:rPr>
          <w:rFonts w:hint="cs"/>
          <w:color w:val="000000"/>
          <w:rtl/>
          <w:lang w:bidi="ar-EG"/>
        </w:rPr>
        <w:t xml:space="preserve"> ،</w:t>
      </w:r>
      <w:r w:rsidRPr="00315653">
        <w:rPr>
          <w:rFonts w:hint="cs"/>
          <w:color w:val="000000"/>
          <w:rtl/>
          <w:lang w:bidi="ar-EG"/>
        </w:rPr>
        <w:t xml:space="preserve"> إذ أن الدائن كان يرجع عليه بكل الدين فحل الكفيل محله في ذلك</w:t>
      </w:r>
      <w:r>
        <w:rPr>
          <w:rFonts w:hint="cs"/>
          <w:color w:val="000000"/>
          <w:rtl/>
          <w:lang w:bidi="ar-EG"/>
        </w:rPr>
        <w:t xml:space="preserve"> .</w:t>
      </w:r>
      <w:r w:rsidRPr="00315653">
        <w:rPr>
          <w:rFonts w:hint="cs"/>
          <w:color w:val="000000"/>
          <w:rtl/>
          <w:lang w:bidi="ar-EG"/>
        </w:rPr>
        <w:t xml:space="preserve"> هذا إلى أنه لو دفع أجنبي الدين للدائن واتفق معه على حلول اختياري</w:t>
      </w:r>
      <w:r>
        <w:rPr>
          <w:rFonts w:hint="cs"/>
          <w:color w:val="000000"/>
          <w:rtl/>
          <w:lang w:bidi="ar-EG"/>
        </w:rPr>
        <w:t xml:space="preserve"> ،</w:t>
      </w:r>
      <w:r w:rsidRPr="00315653">
        <w:rPr>
          <w:rFonts w:hint="cs"/>
          <w:color w:val="000000"/>
          <w:rtl/>
          <w:lang w:bidi="ar-EG"/>
        </w:rPr>
        <w:t xml:space="preserve"> لرجع الأجنبي دون شك على أي مدين متضامن بكل للدين</w:t>
      </w:r>
      <w:r>
        <w:rPr>
          <w:rFonts w:hint="cs"/>
          <w:color w:val="000000"/>
          <w:rtl/>
          <w:lang w:bidi="ar-EG"/>
        </w:rPr>
        <w:t xml:space="preserve"> ،</w:t>
      </w:r>
      <w:r w:rsidRPr="00315653">
        <w:rPr>
          <w:rFonts w:hint="cs"/>
          <w:color w:val="000000"/>
          <w:rtl/>
          <w:lang w:bidi="ar-EG"/>
        </w:rPr>
        <w:t xml:space="preserve"> فأولى أن يرجع الكفيل بكل الدين على أي مدين متضامن ولو لم يضمنه</w:t>
      </w:r>
      <w:r>
        <w:rPr>
          <w:rFonts w:hint="cs"/>
          <w:color w:val="000000"/>
          <w:rtl/>
          <w:lang w:bidi="ar-EG"/>
        </w:rPr>
        <w:t xml:space="preserve"> ،</w:t>
      </w:r>
      <w:r w:rsidRPr="00315653">
        <w:rPr>
          <w:rFonts w:hint="cs"/>
          <w:color w:val="000000"/>
          <w:rtl/>
          <w:lang w:bidi="ar-EG"/>
        </w:rPr>
        <w:t xml:space="preserve"> عن طريق الحلول القانوني</w:t>
      </w:r>
      <w:r>
        <w:rPr>
          <w:rFonts w:hint="cs"/>
          <w:color w:val="000000"/>
          <w:rtl/>
          <w:lang w:bidi="ar-EG"/>
        </w:rPr>
        <w:t xml:space="preserve"> ،</w:t>
      </w:r>
      <w:r w:rsidRPr="00315653">
        <w:rPr>
          <w:rFonts w:hint="cs"/>
          <w:color w:val="000000"/>
          <w:rtl/>
          <w:lang w:bidi="ar-EG"/>
        </w:rPr>
        <w:t xml:space="preserve"> ومصلحته في وفاء الدين أوضح من مصلحة الأجنبي</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ونرى أن قضاء محكمة النقض الفرنسية الأخيرة</w:t>
      </w:r>
      <w:r>
        <w:rPr>
          <w:rFonts w:hint="cs"/>
          <w:color w:val="000000"/>
          <w:rtl/>
          <w:lang w:bidi="ar-EG"/>
        </w:rPr>
        <w:t xml:space="preserve"> ،</w:t>
      </w:r>
      <w:r w:rsidRPr="00315653">
        <w:rPr>
          <w:rFonts w:hint="cs"/>
          <w:color w:val="000000"/>
          <w:rtl/>
          <w:lang w:bidi="ar-EG"/>
        </w:rPr>
        <w:t xml:space="preserve"> بعد أن عادت عن رأيها الأول</w:t>
      </w:r>
      <w:r>
        <w:rPr>
          <w:rFonts w:hint="cs"/>
          <w:color w:val="000000"/>
          <w:rtl/>
          <w:lang w:bidi="ar-EG"/>
        </w:rPr>
        <w:t xml:space="preserve"> ،</w:t>
      </w:r>
      <w:r w:rsidRPr="00315653">
        <w:rPr>
          <w:rFonts w:hint="cs"/>
          <w:color w:val="000000"/>
          <w:rtl/>
          <w:lang w:bidi="ar-EG"/>
        </w:rPr>
        <w:t xml:space="preserve"> هو التطبيق الصحيح لقواعد الحلول</w:t>
      </w:r>
      <w:r>
        <w:rPr>
          <w:rFonts w:hint="cs"/>
          <w:color w:val="000000"/>
          <w:rtl/>
          <w:lang w:bidi="ar-EG"/>
        </w:rPr>
        <w:t xml:space="preserve"> .</w:t>
      </w:r>
      <w:r w:rsidRPr="00315653">
        <w:rPr>
          <w:rFonts w:hint="cs"/>
          <w:color w:val="000000"/>
          <w:rtl/>
          <w:lang w:bidi="ar-EG"/>
        </w:rPr>
        <w:t xml:space="preserve"> فإن الكفيل الذي وفى الدائن كل الدين يحل محله فيما وفاه</w:t>
      </w:r>
      <w:r>
        <w:rPr>
          <w:rFonts w:hint="cs"/>
          <w:color w:val="000000"/>
          <w:rtl/>
          <w:lang w:bidi="ar-EG"/>
        </w:rPr>
        <w:t xml:space="preserve"> ،</w:t>
      </w:r>
      <w:r w:rsidRPr="00315653">
        <w:rPr>
          <w:rFonts w:hint="cs"/>
          <w:color w:val="000000"/>
          <w:rtl/>
          <w:lang w:bidi="ar-EG"/>
        </w:rPr>
        <w:t xml:space="preserve"> وكان الدائن يرجع على أي من المدينين المتضامنين بكل الدين</w:t>
      </w:r>
      <w:r>
        <w:rPr>
          <w:rFonts w:hint="cs"/>
          <w:color w:val="000000"/>
          <w:rtl/>
          <w:lang w:bidi="ar-EG"/>
        </w:rPr>
        <w:t xml:space="preserve"> ،</w:t>
      </w:r>
      <w:r w:rsidRPr="00315653">
        <w:rPr>
          <w:rFonts w:hint="cs"/>
          <w:color w:val="000000"/>
          <w:rtl/>
          <w:lang w:bidi="ar-EG"/>
        </w:rPr>
        <w:t xml:space="preserve"> فكذلك يرجع الكفيل كما كان يرجع الدائن على أي من المدينين المتضامنين</w:t>
      </w:r>
      <w:r>
        <w:rPr>
          <w:rFonts w:hint="cs"/>
          <w:color w:val="000000"/>
          <w:rtl/>
          <w:lang w:bidi="ar-EG"/>
        </w:rPr>
        <w:t xml:space="preserve"> ،</w:t>
      </w:r>
      <w:r w:rsidRPr="00315653">
        <w:rPr>
          <w:rFonts w:hint="cs"/>
          <w:color w:val="000000"/>
          <w:rtl/>
          <w:lang w:bidi="ar-EG"/>
        </w:rPr>
        <w:t xml:space="preserve"> سواء من ضمنه الكفيل ومن لم </w:t>
      </w:r>
      <w:r w:rsidRPr="00315653">
        <w:rPr>
          <w:rFonts w:hint="cs"/>
          <w:color w:val="000000"/>
          <w:rtl/>
          <w:lang w:bidi="ar-EG"/>
        </w:rPr>
        <w:lastRenderedPageBreak/>
        <w:t>يضمنه</w:t>
      </w:r>
      <w:r>
        <w:rPr>
          <w:rFonts w:hint="cs"/>
          <w:color w:val="000000"/>
          <w:rtl/>
          <w:lang w:bidi="ar-EG"/>
        </w:rPr>
        <w:t xml:space="preserve"> ،</w:t>
      </w:r>
      <w:r w:rsidRPr="00315653">
        <w:rPr>
          <w:rFonts w:hint="cs"/>
          <w:color w:val="000000"/>
          <w:rtl/>
          <w:lang w:bidi="ar-EG"/>
        </w:rPr>
        <w:t xml:space="preserve"> بكل الدين</w:t>
      </w:r>
      <w:r>
        <w:rPr>
          <w:rFonts w:hint="cs"/>
          <w:color w:val="000000"/>
          <w:rtl/>
          <w:lang w:bidi="ar-EG"/>
        </w:rPr>
        <w:t xml:space="preserve"> .</w:t>
      </w:r>
      <w:r w:rsidRPr="00315653">
        <w:rPr>
          <w:rFonts w:hint="cs"/>
          <w:color w:val="000000"/>
          <w:rtl/>
          <w:lang w:bidi="ar-EG"/>
        </w:rPr>
        <w:t xml:space="preserve"> وعلى ذلك إذا رجع الكفيل بدعوى الحلول</w:t>
      </w:r>
      <w:r>
        <w:rPr>
          <w:rFonts w:hint="cs"/>
          <w:color w:val="000000"/>
          <w:rtl/>
          <w:lang w:bidi="ar-EG"/>
        </w:rPr>
        <w:t xml:space="preserve"> ،</w:t>
      </w:r>
      <w:r w:rsidRPr="00315653">
        <w:rPr>
          <w:rFonts w:hint="cs"/>
          <w:color w:val="000000"/>
          <w:rtl/>
          <w:lang w:bidi="ar-EG"/>
        </w:rPr>
        <w:t xml:space="preserve"> فسواء ضمن كل المدينين المتضامنين أو ضمن بعضهم فقط</w:t>
      </w:r>
      <w:r>
        <w:rPr>
          <w:rFonts w:hint="cs"/>
          <w:color w:val="000000"/>
          <w:rtl/>
          <w:lang w:bidi="ar-EG"/>
        </w:rPr>
        <w:t xml:space="preserve"> ،</w:t>
      </w:r>
      <w:r w:rsidRPr="00315653">
        <w:rPr>
          <w:rFonts w:hint="cs"/>
          <w:color w:val="000000"/>
          <w:rtl/>
          <w:lang w:bidi="ar-EG"/>
        </w:rPr>
        <w:t xml:space="preserve"> فإنه يرجع على أي منهم</w:t>
      </w:r>
      <w:r>
        <w:rPr>
          <w:rFonts w:hint="cs"/>
          <w:color w:val="000000"/>
          <w:rtl/>
          <w:lang w:bidi="ar-EG"/>
        </w:rPr>
        <w:t xml:space="preserve"> ،</w:t>
      </w:r>
      <w:r w:rsidRPr="00315653">
        <w:rPr>
          <w:rFonts w:hint="cs"/>
          <w:color w:val="000000"/>
          <w:rtl/>
          <w:lang w:bidi="ar-EG"/>
        </w:rPr>
        <w:t xml:space="preserve"> ضمنه أو لم يضمنه</w:t>
      </w:r>
      <w:r>
        <w:rPr>
          <w:rFonts w:hint="cs"/>
          <w:color w:val="000000"/>
          <w:rtl/>
          <w:lang w:bidi="ar-EG"/>
        </w:rPr>
        <w:t xml:space="preserve"> ،</w:t>
      </w:r>
      <w:r w:rsidRPr="00315653">
        <w:rPr>
          <w:rFonts w:hint="cs"/>
          <w:color w:val="000000"/>
          <w:rtl/>
          <w:lang w:bidi="ar-EG"/>
        </w:rPr>
        <w:t xml:space="preserve"> بكل الدين</w:t>
      </w:r>
      <w:r>
        <w:rPr>
          <w:rFonts w:hint="cs"/>
          <w:color w:val="000000"/>
          <w:vertAlign w:val="superscript"/>
          <w:rtl/>
          <w:lang w:bidi="ar-EG"/>
        </w:rPr>
        <w:t xml:space="preserve">( </w:t>
      </w:r>
      <w:r w:rsidRPr="00315653">
        <w:rPr>
          <w:rStyle w:val="ab"/>
          <w:color w:val="000000"/>
          <w:rtl/>
          <w:lang w:bidi="ar-EG"/>
        </w:rPr>
        <w:footnoteReference w:id="442"/>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فإذا كان هناك مدينون ثلاثة متضامنون في دين مقداره 300 جنيه بالتساوي فيما بينهم</w:t>
      </w:r>
      <w:r>
        <w:rPr>
          <w:rFonts w:hint="cs"/>
          <w:color w:val="000000"/>
          <w:rtl/>
          <w:lang w:bidi="ar-EG"/>
        </w:rPr>
        <w:t xml:space="preserve"> ،</w:t>
      </w:r>
      <w:r w:rsidRPr="00315653">
        <w:rPr>
          <w:rFonts w:hint="cs"/>
          <w:color w:val="000000"/>
          <w:rtl/>
          <w:lang w:bidi="ar-EG"/>
        </w:rPr>
        <w:t xml:space="preserve"> وكفل المدين الأول منهم كفيل</w:t>
      </w:r>
      <w:r>
        <w:rPr>
          <w:rFonts w:hint="cs"/>
          <w:color w:val="000000"/>
          <w:rtl/>
          <w:lang w:bidi="ar-EG"/>
        </w:rPr>
        <w:t xml:space="preserve"> ،</w:t>
      </w:r>
      <w:r w:rsidRPr="00315653">
        <w:rPr>
          <w:rFonts w:hint="cs"/>
          <w:color w:val="000000"/>
          <w:rtl/>
          <w:lang w:bidi="ar-EG"/>
        </w:rPr>
        <w:t xml:space="preserve"> ووفى الكفيل الدين $199 للدائن</w:t>
      </w:r>
      <w:r>
        <w:rPr>
          <w:rFonts w:hint="cs"/>
          <w:color w:val="000000"/>
          <w:rtl/>
          <w:lang w:bidi="ar-EG"/>
        </w:rPr>
        <w:t xml:space="preserve"> ،</w:t>
      </w:r>
      <w:r w:rsidRPr="00315653">
        <w:rPr>
          <w:rFonts w:hint="cs"/>
          <w:color w:val="000000"/>
          <w:rtl/>
          <w:lang w:bidi="ar-EG"/>
        </w:rPr>
        <w:t xml:space="preserve"> فإنه يرجع على المدين الأول الذي ضمنه بكل الدين أي بمبلغ 300 جنيه ما في ذلك من شك</w:t>
      </w:r>
      <w:r>
        <w:rPr>
          <w:rFonts w:hint="cs"/>
          <w:color w:val="000000"/>
          <w:rtl/>
          <w:lang w:bidi="ar-EG"/>
        </w:rPr>
        <w:t xml:space="preserve"> .</w:t>
      </w:r>
      <w:r w:rsidRPr="00315653">
        <w:rPr>
          <w:rFonts w:hint="cs"/>
          <w:color w:val="000000"/>
          <w:rtl/>
          <w:lang w:bidi="ar-EG"/>
        </w:rPr>
        <w:t xml:space="preserve"> وكذلك له أن يرجع على أي من المدين الثاني والمدين الثالث بكل الدين كما قدمنا</w:t>
      </w:r>
      <w:r>
        <w:rPr>
          <w:rFonts w:hint="cs"/>
          <w:color w:val="000000"/>
          <w:rtl/>
          <w:lang w:bidi="ar-EG"/>
        </w:rPr>
        <w:t xml:space="preserve"> .</w:t>
      </w:r>
      <w:r w:rsidRPr="00315653">
        <w:rPr>
          <w:rFonts w:hint="cs"/>
          <w:color w:val="000000"/>
          <w:rtl/>
          <w:lang w:bidi="ar-EG"/>
        </w:rPr>
        <w:t xml:space="preserve"> فإذا ما رجع على المدين الثاني مثلا بكل الدين</w:t>
      </w:r>
      <w:r>
        <w:rPr>
          <w:rFonts w:hint="cs"/>
          <w:color w:val="000000"/>
          <w:rtl/>
          <w:lang w:bidi="ar-EG"/>
        </w:rPr>
        <w:t xml:space="preserve"> ،</w:t>
      </w:r>
      <w:r w:rsidRPr="00315653">
        <w:rPr>
          <w:rFonts w:hint="cs"/>
          <w:color w:val="000000"/>
          <w:rtl/>
          <w:lang w:bidi="ar-EG"/>
        </w:rPr>
        <w:t xml:space="preserve"> كان لهذا المدين الثاني أن يرجع على المدين الأول الذي ضمنه الكفيل بحصته في الدين أي بمبلغ 100 جنيه</w:t>
      </w:r>
      <w:r>
        <w:rPr>
          <w:rFonts w:hint="cs"/>
          <w:color w:val="000000"/>
          <w:rtl/>
          <w:lang w:bidi="ar-EG"/>
        </w:rPr>
        <w:t xml:space="preserve"> .</w:t>
      </w:r>
      <w:r w:rsidRPr="00315653">
        <w:rPr>
          <w:rFonts w:hint="cs"/>
          <w:color w:val="000000"/>
          <w:rtl/>
          <w:lang w:bidi="ar-EG"/>
        </w:rPr>
        <w:t xml:space="preserve"> فإذا كان المدين الأول معسراً</w:t>
      </w:r>
      <w:r>
        <w:rPr>
          <w:rFonts w:hint="cs"/>
          <w:color w:val="000000"/>
          <w:rtl/>
          <w:lang w:bidi="ar-EG"/>
        </w:rPr>
        <w:t xml:space="preserve"> ،</w:t>
      </w:r>
      <w:r w:rsidRPr="00315653">
        <w:rPr>
          <w:rFonts w:hint="cs"/>
          <w:color w:val="000000"/>
          <w:rtl/>
          <w:lang w:bidi="ar-EG"/>
        </w:rPr>
        <w:t xml:space="preserve"> رجع المدين الثاني على كفيله</w:t>
      </w:r>
      <w:r>
        <w:rPr>
          <w:rFonts w:hint="cs"/>
          <w:color w:val="000000"/>
          <w:rtl/>
          <w:lang w:bidi="ar-EG"/>
        </w:rPr>
        <w:t xml:space="preserve"> .</w:t>
      </w:r>
      <w:r w:rsidRPr="00315653">
        <w:rPr>
          <w:rFonts w:hint="cs"/>
          <w:color w:val="000000"/>
          <w:rtl/>
          <w:lang w:bidi="ar-EG"/>
        </w:rPr>
        <w:t xml:space="preserve"> فاختصاراً في الإجراءات يرجع الكفيل للمدين الأول المعسر على المدين الثاني بمبلغ 200 جنيه</w:t>
      </w:r>
      <w:r>
        <w:rPr>
          <w:rFonts w:hint="cs"/>
          <w:color w:val="000000"/>
          <w:rtl/>
          <w:lang w:bidi="ar-EG"/>
        </w:rPr>
        <w:t xml:space="preserve"> ،</w:t>
      </w:r>
      <w:r w:rsidRPr="00315653">
        <w:rPr>
          <w:rFonts w:hint="cs"/>
          <w:color w:val="000000"/>
          <w:rtl/>
          <w:lang w:bidi="ar-EG"/>
        </w:rPr>
        <w:t xml:space="preserve"> ثم يرجع المدين الثاني على المدين الثالث بمبلغ 100 جنيه حصته في الدين</w:t>
      </w:r>
      <w:r>
        <w:rPr>
          <w:rFonts w:hint="cs"/>
          <w:color w:val="000000"/>
          <w:rtl/>
          <w:lang w:bidi="ar-EG"/>
        </w:rPr>
        <w:t xml:space="preserve"> .</w:t>
      </w:r>
      <w:r w:rsidRPr="00315653">
        <w:rPr>
          <w:rFonts w:hint="cs"/>
          <w:color w:val="000000"/>
          <w:rtl/>
          <w:lang w:bidi="ar-EG"/>
        </w:rPr>
        <w:t xml:space="preserve"> أما إذا كان المدين الثالث هو المعسر</w:t>
      </w:r>
      <w:r>
        <w:rPr>
          <w:rFonts w:hint="cs"/>
          <w:color w:val="000000"/>
          <w:rtl/>
          <w:lang w:bidi="ar-EG"/>
        </w:rPr>
        <w:t xml:space="preserve"> ،</w:t>
      </w:r>
      <w:r w:rsidRPr="00315653">
        <w:rPr>
          <w:rFonts w:hint="cs"/>
          <w:color w:val="000000"/>
          <w:rtl/>
          <w:lang w:bidi="ar-EG"/>
        </w:rPr>
        <w:t xml:space="preserve"> فإن الكفيل يرجع على المدين الثاني بكل الدين وهو 300 جنيه</w:t>
      </w:r>
      <w:r>
        <w:rPr>
          <w:rFonts w:hint="cs"/>
          <w:color w:val="000000"/>
          <w:rtl/>
          <w:lang w:bidi="ar-EG"/>
        </w:rPr>
        <w:t xml:space="preserve"> ،</w:t>
      </w:r>
      <w:r w:rsidRPr="00315653">
        <w:rPr>
          <w:rFonts w:hint="cs"/>
          <w:color w:val="000000"/>
          <w:rtl/>
          <w:lang w:bidi="ar-EG"/>
        </w:rPr>
        <w:t xml:space="preserve"> ويرجع المدين الثاني على المدين الأول بمبلغ 150 جنيه</w:t>
      </w:r>
      <w:r>
        <w:rPr>
          <w:rFonts w:hint="cs"/>
          <w:color w:val="000000"/>
          <w:rtl/>
          <w:lang w:bidi="ar-EG"/>
        </w:rPr>
        <w:t xml:space="preserve"> ،</w:t>
      </w:r>
      <w:r w:rsidRPr="00315653">
        <w:rPr>
          <w:rFonts w:hint="cs"/>
          <w:color w:val="000000"/>
          <w:rtl/>
          <w:lang w:bidi="ar-EG"/>
        </w:rPr>
        <w:t xml:space="preserve"> إذ يتحمل المدينان الأولان</w:t>
      </w:r>
      <w:r>
        <w:rPr>
          <w:rFonts w:hint="cs"/>
          <w:color w:val="000000"/>
          <w:rtl/>
          <w:lang w:bidi="ar-EG"/>
        </w:rPr>
        <w:t xml:space="preserve"> ،</w:t>
      </w:r>
      <w:r w:rsidRPr="00315653">
        <w:rPr>
          <w:rFonts w:hint="cs"/>
          <w:color w:val="000000"/>
          <w:rtl/>
          <w:lang w:bidi="ar-EG"/>
        </w:rPr>
        <w:t xml:space="preserve"> لا الكفيل</w:t>
      </w:r>
      <w:r>
        <w:rPr>
          <w:rFonts w:hint="cs"/>
          <w:color w:val="000000"/>
          <w:rtl/>
          <w:lang w:bidi="ar-EG"/>
        </w:rPr>
        <w:t xml:space="preserve"> ،</w:t>
      </w:r>
      <w:r w:rsidRPr="00315653">
        <w:rPr>
          <w:rFonts w:hint="cs"/>
          <w:color w:val="000000"/>
          <w:rtl/>
          <w:lang w:bidi="ar-EG"/>
        </w:rPr>
        <w:t xml:space="preserve"> حصة المدين الثالث المعسر الذي لم يضمنه أحد</w:t>
      </w:r>
      <w:r>
        <w:rPr>
          <w:rFonts w:hint="cs"/>
          <w:color w:val="000000"/>
          <w:vertAlign w:val="superscript"/>
          <w:rtl/>
          <w:lang w:bidi="ar-EG"/>
        </w:rPr>
        <w:t xml:space="preserve">( </w:t>
      </w:r>
      <w:r w:rsidRPr="00315653">
        <w:rPr>
          <w:rStyle w:val="ab"/>
          <w:color w:val="000000"/>
          <w:rtl/>
          <w:lang w:bidi="ar-EG"/>
        </w:rPr>
        <w:footnoteReference w:id="44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ويخلص مما تقدم أن الكفيل يرجع بدعوى الحلول على أي من المدينين المتضامنين بكل الدين</w:t>
      </w:r>
      <w:r>
        <w:rPr>
          <w:rFonts w:hint="cs"/>
          <w:color w:val="000000"/>
          <w:rtl/>
          <w:lang w:bidi="ar-EG"/>
        </w:rPr>
        <w:t xml:space="preserve"> ،</w:t>
      </w:r>
      <w:r w:rsidRPr="00315653">
        <w:rPr>
          <w:rFonts w:hint="cs"/>
          <w:color w:val="000000"/>
          <w:rtl/>
          <w:lang w:bidi="ar-EG"/>
        </w:rPr>
        <w:t xml:space="preserve"> سواء ضمنهم كلهم أو ضمن بعضهم فقط</w:t>
      </w:r>
      <w:r>
        <w:rPr>
          <w:rFonts w:hint="cs"/>
          <w:color w:val="000000"/>
          <w:rtl/>
          <w:lang w:bidi="ar-EG"/>
        </w:rPr>
        <w:t xml:space="preserve"> .</w:t>
      </w:r>
      <w:r w:rsidRPr="00315653">
        <w:rPr>
          <w:rFonts w:hint="cs"/>
          <w:color w:val="000000"/>
          <w:rtl/>
          <w:lang w:bidi="ar-EG"/>
        </w:rPr>
        <w:t xml:space="preserve"> أما إذا رجع بالدعوى الشخصية</w:t>
      </w:r>
      <w:r>
        <w:rPr>
          <w:rFonts w:hint="cs"/>
          <w:color w:val="000000"/>
          <w:rtl/>
          <w:lang w:bidi="ar-EG"/>
        </w:rPr>
        <w:t xml:space="preserve"> ،</w:t>
      </w:r>
      <w:r w:rsidRPr="00315653">
        <w:rPr>
          <w:rFonts w:hint="cs"/>
          <w:color w:val="000000"/>
          <w:rtl/>
          <w:lang w:bidi="ar-EG"/>
        </w:rPr>
        <w:t xml:space="preserve"> فإنه يجب التمييز ين ما إذا كان الكفيل قد ضمن كل المدينين المتضامنين أو ضمن بعضهم دون بعض آخر</w:t>
      </w:r>
      <w:r>
        <w:rPr>
          <w:rFonts w:hint="cs"/>
          <w:color w:val="000000"/>
          <w:rtl/>
          <w:lang w:bidi="ar-EG"/>
        </w:rPr>
        <w:t xml:space="preserve"> .</w:t>
      </w:r>
      <w:r w:rsidRPr="00315653">
        <w:rPr>
          <w:rFonts w:hint="cs"/>
          <w:color w:val="000000"/>
          <w:rtl/>
          <w:lang w:bidi="ar-EG"/>
        </w:rPr>
        <w:t xml:space="preserve"> فإن كان قد ضمن كل المدينين المتضامنين</w:t>
      </w:r>
      <w:r>
        <w:rPr>
          <w:rFonts w:hint="cs"/>
          <w:color w:val="000000"/>
          <w:rtl/>
          <w:lang w:bidi="ar-EG"/>
        </w:rPr>
        <w:t xml:space="preserve"> ،</w:t>
      </w:r>
      <w:r w:rsidRPr="00315653">
        <w:rPr>
          <w:rFonts w:hint="cs"/>
          <w:color w:val="000000"/>
          <w:rtl/>
          <w:lang w:bidi="ar-EG"/>
        </w:rPr>
        <w:t xml:space="preserve"> فإنه يرجع على أي منهم بكل الدين</w:t>
      </w:r>
      <w:r>
        <w:rPr>
          <w:rFonts w:hint="cs"/>
          <w:color w:val="000000"/>
          <w:rtl/>
          <w:lang w:bidi="ar-EG"/>
        </w:rPr>
        <w:t xml:space="preserve"> .</w:t>
      </w:r>
      <w:r w:rsidRPr="00315653">
        <w:rPr>
          <w:rFonts w:hint="cs"/>
          <w:color w:val="000000"/>
          <w:rtl/>
          <w:lang w:bidi="ar-EG"/>
        </w:rPr>
        <w:t xml:space="preserve"> أما إذا كان قد ضمن بعضهم فقط</w:t>
      </w:r>
      <w:r>
        <w:rPr>
          <w:rFonts w:hint="cs"/>
          <w:color w:val="000000"/>
          <w:rtl/>
          <w:lang w:bidi="ar-EG"/>
        </w:rPr>
        <w:t xml:space="preserve"> ،</w:t>
      </w:r>
      <w:r w:rsidRPr="00315653">
        <w:rPr>
          <w:rFonts w:hint="cs"/>
          <w:color w:val="000000"/>
          <w:rtl/>
          <w:lang w:bidi="ar-EG"/>
        </w:rPr>
        <w:t xml:space="preserve"> فإنه يجرع على المدين الذي ضمنه بكل الدين</w:t>
      </w:r>
      <w:r>
        <w:rPr>
          <w:rFonts w:hint="cs"/>
          <w:color w:val="000000"/>
          <w:rtl/>
          <w:lang w:bidi="ar-EG"/>
        </w:rPr>
        <w:t xml:space="preserve"> ،</w:t>
      </w:r>
      <w:r w:rsidRPr="00315653">
        <w:rPr>
          <w:rFonts w:hint="cs"/>
          <w:color w:val="000000"/>
          <w:rtl/>
          <w:lang w:bidi="ar-EG"/>
        </w:rPr>
        <w:t xml:space="preserve"> ويرجع على المدين الذي لمي ضمنه بقدر حصته في الدين</w:t>
      </w:r>
      <w:r>
        <w:rPr>
          <w:rFonts w:hint="cs"/>
          <w:color w:val="000000"/>
          <w:rtl/>
          <w:lang w:bidi="ar-EG"/>
        </w:rPr>
        <w:t xml:space="preserve"> .</w:t>
      </w:r>
    </w:p>
    <w:p w:rsidR="00F72742" w:rsidRPr="00315653" w:rsidRDefault="00F72742" w:rsidP="00F72742">
      <w:pPr>
        <w:widowControl w:val="0"/>
        <w:spacing w:after="120"/>
        <w:jc w:val="center"/>
        <w:rPr>
          <w:rFonts w:hint="cs"/>
          <w:b/>
          <w:bCs/>
          <w:color w:val="000000"/>
          <w:sz w:val="40"/>
          <w:szCs w:val="40"/>
          <w:rtl/>
          <w:lang w:bidi="ar-EG"/>
        </w:rPr>
      </w:pPr>
      <w:r w:rsidRPr="00315653">
        <w:rPr>
          <w:rFonts w:hint="cs"/>
          <w:b/>
          <w:bCs/>
          <w:color w:val="000000"/>
          <w:sz w:val="40"/>
          <w:szCs w:val="40"/>
          <w:rtl/>
          <w:lang w:bidi="ar-EG"/>
        </w:rPr>
        <w:t>المطلب الثاني</w:t>
      </w:r>
    </w:p>
    <w:p w:rsidR="00F72742" w:rsidRPr="00315653" w:rsidRDefault="00F72742" w:rsidP="00F72742">
      <w:pPr>
        <w:widowControl w:val="0"/>
        <w:spacing w:after="120"/>
        <w:jc w:val="center"/>
        <w:rPr>
          <w:rFonts w:hint="cs"/>
          <w:b/>
          <w:bCs/>
          <w:color w:val="000000"/>
          <w:rtl/>
          <w:lang w:bidi="ar-EG"/>
        </w:rPr>
      </w:pPr>
      <w:r w:rsidRPr="00315653">
        <w:rPr>
          <w:rFonts w:hint="cs"/>
          <w:b/>
          <w:bCs/>
          <w:color w:val="000000"/>
          <w:rtl/>
          <w:lang w:bidi="ar-EG"/>
        </w:rPr>
        <w:t>العلاقة فيما بين الكفيل والملتزمين بالدين</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74- المقصود بالملتزمين بالدين</w:t>
      </w:r>
      <w:r>
        <w:rPr>
          <w:rFonts w:hint="cs"/>
          <w:color w:val="000000"/>
          <w:rtl/>
          <w:lang w:bidi="ar-EG"/>
        </w:rPr>
        <w:t xml:space="preserve"> :</w:t>
      </w:r>
      <w:r w:rsidRPr="00315653">
        <w:rPr>
          <w:rFonts w:hint="cs"/>
          <w:color w:val="000000"/>
          <w:rtl/>
          <w:lang w:bidi="ar-EG"/>
        </w:rPr>
        <w:t xml:space="preserve"> إذا وفى الكفيل الدين عن المدين</w:t>
      </w:r>
      <w:r>
        <w:rPr>
          <w:rFonts w:hint="cs"/>
          <w:color w:val="000000"/>
          <w:rtl/>
          <w:lang w:bidi="ar-EG"/>
        </w:rPr>
        <w:t xml:space="preserve"> ،</w:t>
      </w:r>
      <w:r w:rsidRPr="00315653">
        <w:rPr>
          <w:rFonts w:hint="cs"/>
          <w:color w:val="000000"/>
          <w:rtl/>
          <w:lang w:bidi="ar-EG"/>
        </w:rPr>
        <w:t xml:space="preserve"> $200 فقد يجد أمامه للرجوع عليه</w:t>
      </w:r>
      <w:r>
        <w:rPr>
          <w:rFonts w:hint="cs"/>
          <w:color w:val="000000"/>
          <w:rtl/>
          <w:lang w:bidi="ar-EG"/>
        </w:rPr>
        <w:t xml:space="preserve"> ،</w:t>
      </w:r>
      <w:r w:rsidRPr="00315653">
        <w:rPr>
          <w:rFonts w:hint="cs"/>
          <w:color w:val="000000"/>
          <w:rtl/>
          <w:lang w:bidi="ar-EG"/>
        </w:rPr>
        <w:t xml:space="preserve"> ليس فحسب المدين الذي كفله</w:t>
      </w:r>
      <w:r>
        <w:rPr>
          <w:rFonts w:hint="cs"/>
          <w:color w:val="000000"/>
          <w:rtl/>
          <w:lang w:bidi="ar-EG"/>
        </w:rPr>
        <w:t xml:space="preserve"> ،</w:t>
      </w:r>
      <w:r w:rsidRPr="00315653">
        <w:rPr>
          <w:rFonts w:hint="cs"/>
          <w:color w:val="000000"/>
          <w:rtl/>
          <w:lang w:bidi="ar-EG"/>
        </w:rPr>
        <w:t xml:space="preserve"> بل أيضاً كفلاء للدين غيره إذ يكون للدين كفلاء متعددون</w:t>
      </w:r>
      <w:r>
        <w:rPr>
          <w:rFonts w:hint="cs"/>
          <w:color w:val="000000"/>
          <w:rtl/>
          <w:lang w:bidi="ar-EG"/>
        </w:rPr>
        <w:t xml:space="preserve"> .</w:t>
      </w:r>
      <w:r w:rsidRPr="00315653">
        <w:rPr>
          <w:rFonts w:hint="cs"/>
          <w:color w:val="000000"/>
          <w:rtl/>
          <w:lang w:bidi="ar-EG"/>
        </w:rPr>
        <w:t xml:space="preserve"> وقد يكون أجنبي رهن مالا له في الدين</w:t>
      </w:r>
      <w:r>
        <w:rPr>
          <w:rFonts w:hint="cs"/>
          <w:color w:val="000000"/>
          <w:rtl/>
          <w:lang w:bidi="ar-EG"/>
        </w:rPr>
        <w:t xml:space="preserve"> ،</w:t>
      </w:r>
      <w:r w:rsidRPr="00315653">
        <w:rPr>
          <w:rFonts w:hint="cs"/>
          <w:color w:val="000000"/>
          <w:rtl/>
          <w:lang w:bidi="ar-EG"/>
        </w:rPr>
        <w:t xml:space="preserve"> وهذا هو الكفيل العينين فيرجع عليه الكفل الشخصي الذي وفى الدين للدائن</w:t>
      </w:r>
      <w:r>
        <w:rPr>
          <w:rFonts w:hint="cs"/>
          <w:color w:val="000000"/>
          <w:rtl/>
          <w:lang w:bidi="ar-EG"/>
        </w:rPr>
        <w:t xml:space="preserve"> .</w:t>
      </w:r>
      <w:r w:rsidRPr="00315653">
        <w:rPr>
          <w:rFonts w:hint="cs"/>
          <w:color w:val="000000"/>
          <w:rtl/>
          <w:lang w:bidi="ar-EG"/>
        </w:rPr>
        <w:t xml:space="preserve"> وقد يكون المدين رهن عقاراً في الدين رهناً رسمياً ثم باع العقار المرهون</w:t>
      </w:r>
      <w:r>
        <w:rPr>
          <w:rFonts w:hint="cs"/>
          <w:color w:val="000000"/>
          <w:rtl/>
          <w:lang w:bidi="ar-EG"/>
        </w:rPr>
        <w:t xml:space="preserve"> ،</w:t>
      </w:r>
      <w:r w:rsidRPr="00315653">
        <w:rPr>
          <w:rFonts w:hint="cs"/>
          <w:color w:val="000000"/>
          <w:rtl/>
          <w:lang w:bidi="ar-EG"/>
        </w:rPr>
        <w:t xml:space="preserve"> فيصبح المشتري وهو الحائز للعقار </w:t>
      </w:r>
      <w:r>
        <w:rPr>
          <w:color w:val="000000"/>
          <w:rtl/>
          <w:lang w:bidi="ar-EG"/>
        </w:rPr>
        <w:t xml:space="preserve">( </w:t>
      </w:r>
      <w:r w:rsidRPr="00315653">
        <w:rPr>
          <w:color w:val="000000"/>
          <w:lang w:bidi="ar-EG"/>
        </w:rPr>
        <w:t>tiers detenteur</w:t>
      </w:r>
      <w:r>
        <w:rPr>
          <w:color w:val="000000"/>
          <w:rtl/>
          <w:lang w:bidi="ar-EG"/>
        </w:rPr>
        <w:t xml:space="preserve"> )</w:t>
      </w:r>
      <w:r w:rsidRPr="00315653">
        <w:rPr>
          <w:rFonts w:hint="cs"/>
          <w:color w:val="000000"/>
          <w:rtl/>
        </w:rPr>
        <w:t xml:space="preserve"> مسئولا عن الدين فيرجع عليه الكفيل</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t>فنبحث إذن رجوع الكفيل الذي وفى الدين على</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1</w:t>
      </w:r>
      <w:r>
        <w:rPr>
          <w:rFonts w:hint="cs"/>
          <w:color w:val="000000"/>
          <w:rtl/>
        </w:rPr>
        <w:t xml:space="preserve"> )</w:t>
      </w:r>
      <w:r w:rsidRPr="00315653">
        <w:rPr>
          <w:rFonts w:hint="cs"/>
          <w:color w:val="000000"/>
          <w:rtl/>
        </w:rPr>
        <w:t xml:space="preserve"> الكفلاء الشخصيين الذين كفلوا الدين معه</w:t>
      </w:r>
      <w:r>
        <w:rPr>
          <w:rFonts w:hint="cs"/>
          <w:color w:val="000000"/>
          <w:rtl/>
        </w:rPr>
        <w:t xml:space="preserve"> .</w:t>
      </w:r>
      <w:r w:rsidRPr="00315653">
        <w:rPr>
          <w:rFonts w:hint="cs"/>
          <w:color w:val="000000"/>
          <w:rtl/>
        </w:rPr>
        <w:t xml:space="preserve"> </w:t>
      </w:r>
      <w:r>
        <w:rPr>
          <w:rFonts w:hint="cs"/>
          <w:color w:val="000000"/>
          <w:rtl/>
        </w:rPr>
        <w:t xml:space="preserve">( </w:t>
      </w:r>
      <w:r w:rsidRPr="00315653">
        <w:rPr>
          <w:rFonts w:hint="cs"/>
          <w:color w:val="000000"/>
          <w:rtl/>
        </w:rPr>
        <w:t>2</w:t>
      </w:r>
      <w:r>
        <w:rPr>
          <w:rFonts w:hint="cs"/>
          <w:color w:val="000000"/>
          <w:rtl/>
        </w:rPr>
        <w:t xml:space="preserve"> )</w:t>
      </w:r>
      <w:r w:rsidRPr="00315653">
        <w:rPr>
          <w:rFonts w:hint="cs"/>
          <w:color w:val="000000"/>
          <w:rtl/>
        </w:rPr>
        <w:t xml:space="preserve"> الكفيل العيني والحائز للعقار</w:t>
      </w:r>
      <w:r>
        <w:rPr>
          <w:rFonts w:hint="cs"/>
          <w:color w:val="000000"/>
          <w:rtl/>
        </w:rPr>
        <w:t xml:space="preserve"> .</w:t>
      </w:r>
    </w:p>
    <w:p w:rsidR="00F72742" w:rsidRPr="00315653" w:rsidRDefault="00F72742" w:rsidP="00F72742">
      <w:pPr>
        <w:widowControl w:val="0"/>
        <w:spacing w:after="120"/>
        <w:jc w:val="center"/>
        <w:rPr>
          <w:rFonts w:hint="cs"/>
          <w:b/>
          <w:bCs/>
          <w:color w:val="000000"/>
          <w:rtl/>
        </w:rPr>
      </w:pPr>
      <w:r w:rsidRPr="00315653">
        <w:rPr>
          <w:b/>
          <w:bCs/>
          <w:color w:val="000000"/>
          <w:rtl/>
        </w:rPr>
        <w:t>§</w:t>
      </w:r>
      <w:r w:rsidRPr="00315653">
        <w:rPr>
          <w:rFonts w:hint="cs"/>
          <w:b/>
          <w:bCs/>
          <w:color w:val="000000"/>
          <w:rtl/>
        </w:rPr>
        <w:t xml:space="preserve"> 1</w:t>
      </w:r>
      <w:r w:rsidRPr="00315653">
        <w:rPr>
          <w:b/>
          <w:bCs/>
          <w:color w:val="000000"/>
          <w:rtl/>
        </w:rPr>
        <w:t>–</w:t>
      </w:r>
      <w:r w:rsidRPr="00315653">
        <w:rPr>
          <w:rFonts w:hint="cs"/>
          <w:b/>
          <w:bCs/>
          <w:color w:val="000000"/>
          <w:rtl/>
        </w:rPr>
        <w:t xml:space="preserve"> رجوع الكفيل الذي وفى الدين على الكفلاء الشخصيين</w:t>
      </w:r>
    </w:p>
    <w:p w:rsidR="00F72742" w:rsidRPr="00315653" w:rsidRDefault="00F72742" w:rsidP="00F72742">
      <w:pPr>
        <w:widowControl w:val="0"/>
        <w:spacing w:after="120"/>
        <w:jc w:val="center"/>
        <w:rPr>
          <w:rFonts w:hint="cs"/>
          <w:b/>
          <w:bCs/>
          <w:color w:val="000000"/>
          <w:rtl/>
        </w:rPr>
      </w:pPr>
      <w:r w:rsidRPr="00315653">
        <w:rPr>
          <w:rFonts w:hint="cs"/>
          <w:b/>
          <w:bCs/>
          <w:color w:val="000000"/>
          <w:rtl/>
        </w:rPr>
        <w:t>الذين كفلوا الدين معه</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rPr>
        <w:t>75- نص قانوني</w:t>
      </w:r>
      <w:r>
        <w:rPr>
          <w:rFonts w:hint="cs"/>
          <w:color w:val="000000"/>
          <w:rtl/>
        </w:rPr>
        <w:t xml:space="preserve"> :</w:t>
      </w:r>
      <w:r w:rsidRPr="00315653">
        <w:rPr>
          <w:rFonts w:hint="cs"/>
          <w:color w:val="000000"/>
          <w:rtl/>
        </w:rPr>
        <w:t xml:space="preserve"> تنص المادة 796 مدني على ما يأتي</w:t>
      </w:r>
      <w:r>
        <w:rPr>
          <w:rFonts w:hint="cs"/>
          <w:color w:val="000000"/>
          <w:rtl/>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color w:val="000000"/>
          <w:rtl/>
        </w:rPr>
        <w:lastRenderedPageBreak/>
        <w:t>"إذا كان الكفلاء متضامنين فيما بينهم ووفى أحدهم الدين عند حلوله</w:t>
      </w:r>
      <w:r>
        <w:rPr>
          <w:rFonts w:hint="cs"/>
          <w:color w:val="000000"/>
          <w:rtl/>
        </w:rPr>
        <w:t xml:space="preserve"> ،</w:t>
      </w:r>
      <w:r w:rsidRPr="00315653">
        <w:rPr>
          <w:rFonts w:hint="cs"/>
          <w:color w:val="000000"/>
          <w:rtl/>
        </w:rPr>
        <w:t xml:space="preserve"> كان له أن يرجع على كل من الباقين بحصته في الدين وبنصيبه في حصة المعسر منهم"</w:t>
      </w:r>
      <w:r>
        <w:rPr>
          <w:rFonts w:hint="cs"/>
          <w:color w:val="000000"/>
          <w:vertAlign w:val="superscript"/>
          <w:rtl/>
          <w:lang w:bidi="ar-EG"/>
        </w:rPr>
        <w:t xml:space="preserve">( </w:t>
      </w:r>
      <w:r w:rsidRPr="00315653">
        <w:rPr>
          <w:rStyle w:val="ab"/>
          <w:color w:val="000000"/>
          <w:rtl/>
          <w:lang w:bidi="ar-EG"/>
        </w:rPr>
        <w:footnoteReference w:id="44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rPr>
        <w:t>$201 وهذا النص مقصور على حالة واحدة من حالات تعدد الكفلاء الشخصيين الذين يضمنون ديناً واحداً</w:t>
      </w:r>
      <w:r>
        <w:rPr>
          <w:rFonts w:hint="cs"/>
          <w:color w:val="000000"/>
          <w:rtl/>
        </w:rPr>
        <w:t xml:space="preserve"> ،</w:t>
      </w:r>
      <w:r w:rsidRPr="00315653">
        <w:rPr>
          <w:rFonts w:hint="cs"/>
          <w:color w:val="000000"/>
          <w:rtl/>
        </w:rPr>
        <w:t xml:space="preserve"> وهي حالة ما إذا كان هؤلاء الكفلاء متضامنين فيما بينهم</w:t>
      </w:r>
      <w:r>
        <w:rPr>
          <w:rFonts w:hint="cs"/>
          <w:color w:val="000000"/>
          <w:rtl/>
        </w:rPr>
        <w:t xml:space="preserve"> .</w:t>
      </w:r>
      <w:r w:rsidRPr="00315653">
        <w:rPr>
          <w:rFonts w:hint="cs"/>
          <w:color w:val="000000"/>
          <w:rtl/>
        </w:rPr>
        <w:t xml:space="preserve"> وقد سبق أن استعرضنا حالة تعدد الكفلاء لدين واحد إذا كانوا غير متضامنين فيما بينهم</w:t>
      </w:r>
      <w:r>
        <w:rPr>
          <w:rFonts w:hint="cs"/>
          <w:color w:val="000000"/>
          <w:rtl/>
        </w:rPr>
        <w:t xml:space="preserve"> ،</w:t>
      </w:r>
      <w:r w:rsidRPr="00315653">
        <w:rPr>
          <w:rFonts w:hint="cs"/>
          <w:color w:val="000000"/>
          <w:rtl/>
        </w:rPr>
        <w:t xml:space="preserve"> سواء التزموا بعقد واحد أو بعقود متوالية</w:t>
      </w:r>
      <w:r>
        <w:rPr>
          <w:rFonts w:hint="cs"/>
          <w:color w:val="000000"/>
          <w:rtl/>
        </w:rPr>
        <w:t xml:space="preserve"> ،</w:t>
      </w:r>
      <w:r w:rsidRPr="00315653">
        <w:rPr>
          <w:rFonts w:hint="cs"/>
          <w:color w:val="000000"/>
          <w:rtl/>
        </w:rPr>
        <w:t xml:space="preserve"> فأوردنا نص المادة 792 مدني في هذا الشأن وهي تجري على الوجه الآتي</w:t>
      </w:r>
      <w:r>
        <w:rPr>
          <w:rFonts w:hint="cs"/>
          <w:color w:val="000000"/>
          <w:rtl/>
        </w:rPr>
        <w:t xml:space="preserve"> :</w:t>
      </w:r>
      <w:r w:rsidRPr="00315653">
        <w:rPr>
          <w:rFonts w:hint="cs"/>
          <w:color w:val="000000"/>
          <w:rtl/>
        </w:rPr>
        <w:t xml:space="preserve"> "1- إذا تعدد الكفلاء لدين واحد وبعقد واحد وكانوا غير متضامنين فيما بينهم</w:t>
      </w:r>
      <w:r>
        <w:rPr>
          <w:rFonts w:hint="cs"/>
          <w:color w:val="000000"/>
          <w:rtl/>
        </w:rPr>
        <w:t xml:space="preserve"> ،</w:t>
      </w:r>
      <w:r w:rsidRPr="00315653">
        <w:rPr>
          <w:rFonts w:hint="cs"/>
          <w:color w:val="000000"/>
          <w:rtl/>
        </w:rPr>
        <w:t xml:space="preserve"> قسم الدين عليهم</w:t>
      </w:r>
      <w:r>
        <w:rPr>
          <w:rFonts w:hint="cs"/>
          <w:color w:val="000000"/>
          <w:rtl/>
        </w:rPr>
        <w:t xml:space="preserve"> ،</w:t>
      </w:r>
      <w:r w:rsidRPr="00315653">
        <w:rPr>
          <w:rFonts w:hint="cs"/>
          <w:color w:val="000000"/>
          <w:rtl/>
        </w:rPr>
        <w:t xml:space="preserve"> ولا يجوز للدائن أن يطالب كل كفيل إلا بقد ر نصيبه في الكفالة</w:t>
      </w:r>
      <w:r>
        <w:rPr>
          <w:rFonts w:hint="cs"/>
          <w:color w:val="000000"/>
          <w:rtl/>
        </w:rPr>
        <w:t xml:space="preserve"> .</w:t>
      </w:r>
      <w:r w:rsidRPr="00315653">
        <w:rPr>
          <w:rFonts w:hint="cs"/>
          <w:color w:val="000000"/>
          <w:rtl/>
        </w:rPr>
        <w:t xml:space="preserve"> 2- أما إذا كان الكفلاء قد التزموا بعقود متوالية</w:t>
      </w:r>
      <w:r>
        <w:rPr>
          <w:rFonts w:hint="cs"/>
          <w:color w:val="000000"/>
          <w:rtl/>
        </w:rPr>
        <w:t xml:space="preserve"> ،</w:t>
      </w:r>
      <w:r w:rsidRPr="00315653">
        <w:rPr>
          <w:rFonts w:hint="cs"/>
          <w:color w:val="000000"/>
          <w:rtl/>
        </w:rPr>
        <w:t xml:space="preserve"> فإن كل واحد منهم يكون مسئولا عن الدين كله</w:t>
      </w:r>
      <w:r>
        <w:rPr>
          <w:rFonts w:hint="cs"/>
          <w:color w:val="000000"/>
          <w:rtl/>
        </w:rPr>
        <w:t xml:space="preserve"> ،</w:t>
      </w:r>
      <w:r w:rsidRPr="00315653">
        <w:rPr>
          <w:rFonts w:hint="cs"/>
          <w:color w:val="000000"/>
          <w:rtl/>
        </w:rPr>
        <w:t xml:space="preserve"> إلا إذا كان قد احتفظ لنفسه بحق التقسيم"</w:t>
      </w:r>
      <w:r>
        <w:rPr>
          <w:rFonts w:hint="cs"/>
          <w:color w:val="000000"/>
          <w:vertAlign w:val="superscript"/>
          <w:rtl/>
          <w:lang w:bidi="ar-EG"/>
        </w:rPr>
        <w:t xml:space="preserve">( </w:t>
      </w:r>
      <w:r w:rsidRPr="00315653">
        <w:rPr>
          <w:rStyle w:val="ab"/>
          <w:color w:val="000000"/>
          <w:rtl/>
          <w:lang w:bidi="ar-EG"/>
        </w:rPr>
        <w:footnoteReference w:id="44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وبينَّا أنه إذا كان الكفلاء قد التزموا بعقود متوالية</w:t>
      </w:r>
      <w:r>
        <w:rPr>
          <w:rFonts w:hint="cs"/>
          <w:color w:val="000000"/>
          <w:rtl/>
          <w:lang w:bidi="ar-EG"/>
        </w:rPr>
        <w:t xml:space="preserve"> ،</w:t>
      </w:r>
      <w:r w:rsidRPr="00315653">
        <w:rPr>
          <w:rFonts w:hint="cs"/>
          <w:color w:val="000000"/>
          <w:rtl/>
          <w:lang w:bidi="ar-EG"/>
        </w:rPr>
        <w:t xml:space="preserve"> فإن كلا منهم يكون مسئولا عن كل الدين</w:t>
      </w:r>
      <w:r>
        <w:rPr>
          <w:rFonts w:hint="cs"/>
          <w:color w:val="000000"/>
          <w:rtl/>
          <w:lang w:bidi="ar-EG"/>
        </w:rPr>
        <w:t xml:space="preserve"> ،</w:t>
      </w:r>
      <w:r w:rsidRPr="00315653">
        <w:rPr>
          <w:rFonts w:hint="cs"/>
          <w:color w:val="000000"/>
          <w:rtl/>
          <w:lang w:bidi="ar-EG"/>
        </w:rPr>
        <w:t xml:space="preserve"> ولكن لا على سبيل التضامن</w:t>
      </w:r>
      <w:r>
        <w:rPr>
          <w:rFonts w:hint="cs"/>
          <w:color w:val="000000"/>
          <w:rtl/>
          <w:lang w:bidi="ar-EG"/>
        </w:rPr>
        <w:t xml:space="preserve"> ،</w:t>
      </w:r>
      <w:r w:rsidRPr="00315653">
        <w:rPr>
          <w:rFonts w:hint="cs"/>
          <w:color w:val="000000"/>
          <w:rtl/>
          <w:lang w:bidi="ar-EG"/>
        </w:rPr>
        <w:t xml:space="preserve"> بل على سبيل التضامم </w:t>
      </w:r>
      <w:r>
        <w:rPr>
          <w:color w:val="000000"/>
          <w:rtl/>
          <w:lang w:bidi="ar-EG"/>
        </w:rPr>
        <w:t xml:space="preserve">( </w:t>
      </w:r>
      <w:r w:rsidRPr="00315653">
        <w:rPr>
          <w:color w:val="000000"/>
          <w:lang w:bidi="ar-EG"/>
        </w:rPr>
        <w:t>in solidum</w:t>
      </w:r>
      <w:r>
        <w:rPr>
          <w:color w:val="000000"/>
          <w:rtl/>
          <w:lang w:bidi="ar-EG"/>
        </w:rPr>
        <w:t xml:space="preserve"> )</w:t>
      </w:r>
      <w:r>
        <w:rPr>
          <w:rFonts w:hint="cs"/>
          <w:color w:val="000000"/>
          <w:vertAlign w:val="superscript"/>
          <w:rtl/>
          <w:lang w:bidi="ar-EG"/>
        </w:rPr>
        <w:t xml:space="preserve">( </w:t>
      </w:r>
      <w:r w:rsidRPr="00315653">
        <w:rPr>
          <w:rStyle w:val="ab"/>
          <w:color w:val="000000"/>
          <w:rtl/>
          <w:lang w:bidi="ar-EG"/>
        </w:rPr>
        <w:footnoteReference w:id="446"/>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ذل إذا تعدد الكفلاء لدين واحد</w:t>
      </w:r>
      <w:r>
        <w:rPr>
          <w:rFonts w:hint="cs"/>
          <w:color w:val="000000"/>
          <w:rtl/>
          <w:lang w:bidi="ar-EG"/>
        </w:rPr>
        <w:t xml:space="preserve"> ،</w:t>
      </w:r>
      <w:r w:rsidRPr="00315653">
        <w:rPr>
          <w:rFonts w:hint="cs"/>
          <w:color w:val="000000"/>
          <w:rtl/>
          <w:lang w:bidi="ar-EG"/>
        </w:rPr>
        <w:t xml:space="preserve"> فإما أن ينقسم الدين بينهم ولا يكون كل منهم مسئولا إلا بقدر نصيبه في الكفالة</w:t>
      </w:r>
      <w:r>
        <w:rPr>
          <w:rFonts w:hint="cs"/>
          <w:color w:val="000000"/>
          <w:rtl/>
          <w:lang w:bidi="ar-EG"/>
        </w:rPr>
        <w:t xml:space="preserve"> ،</w:t>
      </w:r>
      <w:r w:rsidRPr="00315653">
        <w:rPr>
          <w:rFonts w:hint="cs"/>
          <w:color w:val="000000"/>
          <w:rtl/>
          <w:lang w:bidi="ar-EG"/>
        </w:rPr>
        <w:t xml:space="preserve"> أو لا ينقسم الدين ويكون كل منهم مسئولا عنه بأكمله إما على سبيل التضامن أو على سبيل التضامم</w:t>
      </w:r>
      <w:r>
        <w:rPr>
          <w:rFonts w:hint="cs"/>
          <w:color w:val="000000"/>
          <w:rtl/>
          <w:lang w:bidi="ar-EG"/>
        </w:rPr>
        <w:t xml:space="preserve"> .</w:t>
      </w:r>
      <w:r w:rsidRPr="00315653">
        <w:rPr>
          <w:rFonts w:hint="cs"/>
          <w:color w:val="000000"/>
          <w:rtl/>
          <w:lang w:bidi="ar-EG"/>
        </w:rPr>
        <w:t xml:space="preserve"> فنبحث كلا من الحالتين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76- الحالة الأولى </w:t>
      </w:r>
      <w:r w:rsidRPr="00315653">
        <w:rPr>
          <w:b/>
          <w:bCs/>
          <w:color w:val="000000"/>
          <w:rtl/>
          <w:lang w:bidi="ar-EG"/>
        </w:rPr>
        <w:t>–</w:t>
      </w:r>
      <w:r w:rsidRPr="00315653">
        <w:rPr>
          <w:rFonts w:hint="cs"/>
          <w:b/>
          <w:bCs/>
          <w:color w:val="000000"/>
          <w:rtl/>
          <w:lang w:bidi="ar-EG"/>
        </w:rPr>
        <w:t xml:space="preserve"> تعدد الكفلاء وانقسام الدين بينهم</w:t>
      </w:r>
      <w:r>
        <w:rPr>
          <w:rFonts w:hint="cs"/>
          <w:color w:val="000000"/>
          <w:rtl/>
          <w:lang w:bidi="ar-EG"/>
        </w:rPr>
        <w:t xml:space="preserve"> :</w:t>
      </w:r>
      <w:r w:rsidRPr="00315653">
        <w:rPr>
          <w:rFonts w:hint="cs"/>
          <w:color w:val="000000"/>
          <w:rtl/>
          <w:lang w:bidi="ar-EG"/>
        </w:rPr>
        <w:t xml:space="preserve"> قدمنا</w:t>
      </w:r>
      <w:r>
        <w:rPr>
          <w:rFonts w:hint="cs"/>
          <w:color w:val="000000"/>
          <w:vertAlign w:val="superscript"/>
          <w:rtl/>
          <w:lang w:bidi="ar-EG"/>
        </w:rPr>
        <w:t xml:space="preserve">( </w:t>
      </w:r>
      <w:r w:rsidRPr="00315653">
        <w:rPr>
          <w:rStyle w:val="ab"/>
          <w:color w:val="000000"/>
          <w:rtl/>
          <w:lang w:bidi="ar-EG"/>
        </w:rPr>
        <w:footnoteReference w:id="447"/>
      </w:r>
      <w:r>
        <w:rPr>
          <w:rFonts w:hint="cs"/>
          <w:color w:val="000000"/>
          <w:vertAlign w:val="superscript"/>
          <w:rtl/>
          <w:lang w:bidi="ar-EG"/>
        </w:rPr>
        <w:t xml:space="preserve"> )</w:t>
      </w:r>
      <w:r w:rsidRPr="00315653">
        <w:rPr>
          <w:rFonts w:hint="cs"/>
          <w:color w:val="000000"/>
          <w:rtl/>
          <w:lang w:bidi="ar-EG"/>
        </w:rPr>
        <w:t xml:space="preserve"> أنه إذا تعدد الكفلاء وكانوا جميعاً قد التزموا كفالة الدين بعقد واحد</w:t>
      </w:r>
      <w:r>
        <w:rPr>
          <w:rFonts w:hint="cs"/>
          <w:color w:val="000000"/>
          <w:rtl/>
          <w:lang w:bidi="ar-EG"/>
        </w:rPr>
        <w:t xml:space="preserve"> ،</w:t>
      </w:r>
      <w:r w:rsidRPr="00315653">
        <w:rPr>
          <w:rFonts w:hint="cs"/>
          <w:color w:val="000000"/>
          <w:rtl/>
          <w:lang w:bidi="ar-EG"/>
        </w:rPr>
        <w:t xml:space="preserve"> فالمشرع يتخذ من وحدة العقد دليلا على أن كل كفيل قد اعتمد على الكفلاء الآخرين</w:t>
      </w:r>
      <w:r>
        <w:rPr>
          <w:rFonts w:hint="cs"/>
          <w:color w:val="000000"/>
          <w:rtl/>
          <w:lang w:bidi="ar-EG"/>
        </w:rPr>
        <w:t xml:space="preserve"> ،</w:t>
      </w:r>
      <w:r w:rsidRPr="00315653">
        <w:rPr>
          <w:rFonts w:hint="cs"/>
          <w:color w:val="000000"/>
          <w:rtl/>
          <w:lang w:bidi="ar-EG"/>
        </w:rPr>
        <w:t xml:space="preserve"> فينقسم الدين فيما </w:t>
      </w:r>
      <w:r w:rsidRPr="00315653">
        <w:rPr>
          <w:rFonts w:hint="cs"/>
          <w:color w:val="000000"/>
          <w:rtl/>
          <w:lang w:bidi="ar-EG"/>
        </w:rPr>
        <w:lastRenderedPageBreak/>
        <w:t>بين الكفلاء المتعددين بقوة القانون</w:t>
      </w:r>
      <w:r>
        <w:rPr>
          <w:rFonts w:hint="cs"/>
          <w:color w:val="000000"/>
          <w:rtl/>
          <w:lang w:bidi="ar-EG"/>
        </w:rPr>
        <w:t xml:space="preserve"> .</w:t>
      </w:r>
      <w:r w:rsidRPr="00315653">
        <w:rPr>
          <w:rFonts w:hint="cs"/>
          <w:color w:val="000000"/>
          <w:rtl/>
          <w:lang w:bidi="ar-EG"/>
        </w:rPr>
        <w:t xml:space="preserve"> ويشترط لذلك</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أن يتعدد الكفلاء الشخصيون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وأن يكفل الكفلاء المتعددون $202 نفس الدين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39 وان يكفلوا نفس المدين</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4</w:t>
      </w:r>
      <w:r>
        <w:rPr>
          <w:rFonts w:hint="cs"/>
          <w:color w:val="000000"/>
          <w:rtl/>
          <w:lang w:bidi="ar-EG"/>
        </w:rPr>
        <w:t xml:space="preserve"> )</w:t>
      </w:r>
      <w:r w:rsidRPr="00315653">
        <w:rPr>
          <w:rFonts w:hint="cs"/>
          <w:color w:val="000000"/>
          <w:rtl/>
          <w:lang w:bidi="ar-EG"/>
        </w:rPr>
        <w:t xml:space="preserve"> وألا يكونوا متضامنين فيما بينهم</w:t>
      </w:r>
      <w:r>
        <w:rPr>
          <w:rFonts w:hint="cs"/>
          <w:color w:val="000000"/>
          <w:vertAlign w:val="superscript"/>
          <w:rtl/>
          <w:lang w:bidi="ar-EG"/>
        </w:rPr>
        <w:t xml:space="preserve">( </w:t>
      </w:r>
      <w:r w:rsidRPr="00315653">
        <w:rPr>
          <w:rStyle w:val="ab"/>
          <w:color w:val="000000"/>
          <w:rtl/>
          <w:lang w:bidi="ar-EG"/>
        </w:rPr>
        <w:footnoteReference w:id="448"/>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وعلى ذلك لا يكون كل كفيل ملتزماً إلا بقدر نصيبه في الكفالة</w:t>
      </w:r>
      <w:r>
        <w:rPr>
          <w:rFonts w:hint="cs"/>
          <w:color w:val="000000"/>
          <w:rtl/>
          <w:lang w:bidi="ar-EG"/>
        </w:rPr>
        <w:t xml:space="preserve"> .</w:t>
      </w:r>
      <w:r w:rsidRPr="00315653">
        <w:rPr>
          <w:rFonts w:hint="cs"/>
          <w:color w:val="000000"/>
          <w:rtl/>
          <w:lang w:bidi="ar-EG"/>
        </w:rPr>
        <w:t xml:space="preserve"> فإذا وفى هذا النصيب للدائن</w:t>
      </w:r>
      <w:r>
        <w:rPr>
          <w:rFonts w:hint="cs"/>
          <w:color w:val="000000"/>
          <w:rtl/>
          <w:lang w:bidi="ar-EG"/>
        </w:rPr>
        <w:t xml:space="preserve"> ،</w:t>
      </w:r>
      <w:r w:rsidRPr="00315653">
        <w:rPr>
          <w:rFonts w:hint="cs"/>
          <w:color w:val="000000"/>
          <w:rtl/>
          <w:lang w:bidi="ar-EG"/>
        </w:rPr>
        <w:t xml:space="preserve"> لم يرجع بشيء على الكفلاء الآخرين لأنه لم يف بأنصبائهم في الدين بل وفى بنصيبه وحده</w:t>
      </w:r>
      <w:r>
        <w:rPr>
          <w:rFonts w:hint="cs"/>
          <w:color w:val="000000"/>
          <w:rtl/>
          <w:lang w:bidi="ar-EG"/>
        </w:rPr>
        <w:t xml:space="preserve"> .</w:t>
      </w:r>
      <w:r w:rsidRPr="00315653">
        <w:rPr>
          <w:rFonts w:hint="cs"/>
          <w:color w:val="000000"/>
          <w:rtl/>
          <w:lang w:bidi="ar-EG"/>
        </w:rPr>
        <w:t xml:space="preserve"> وإنما يرجع على المدين الذي كفله بمقدار ما وفى عنه من الدين</w:t>
      </w:r>
      <w:r>
        <w:rPr>
          <w:rFonts w:hint="cs"/>
          <w:color w:val="000000"/>
          <w:rtl/>
          <w:lang w:bidi="ar-EG"/>
        </w:rPr>
        <w:t xml:space="preserve"> ،</w:t>
      </w:r>
      <w:r w:rsidRPr="00315653">
        <w:rPr>
          <w:rFonts w:hint="cs"/>
          <w:color w:val="000000"/>
          <w:rtl/>
          <w:lang w:bidi="ar-EG"/>
        </w:rPr>
        <w:t xml:space="preserve"> إما بالدعوى الشخصية أو بدعوى الحلول</w:t>
      </w:r>
      <w:r>
        <w:rPr>
          <w:rFonts w:hint="cs"/>
          <w:color w:val="000000"/>
          <w:rtl/>
          <w:lang w:bidi="ar-EG"/>
        </w:rPr>
        <w:t xml:space="preserve"> ،</w:t>
      </w:r>
      <w:r w:rsidRPr="00315653">
        <w:rPr>
          <w:rFonts w:hint="cs"/>
          <w:color w:val="000000"/>
          <w:rtl/>
          <w:lang w:bidi="ar-EG"/>
        </w:rPr>
        <w:t xml:space="preserve"> وقد سبق بيان ذلك</w:t>
      </w:r>
      <w:r>
        <w:rPr>
          <w:rFonts w:hint="cs"/>
          <w:color w:val="000000"/>
          <w:rtl/>
          <w:lang w:bidi="ar-EG"/>
        </w:rPr>
        <w:t xml:space="preserve"> .</w:t>
      </w:r>
      <w:r w:rsidRPr="00315653">
        <w:rPr>
          <w:rFonts w:hint="cs"/>
          <w:color w:val="000000"/>
          <w:rtl/>
          <w:lang w:bidi="ar-EG"/>
        </w:rPr>
        <w:t xml:space="preserve"> وهو إذا وفى بنصيب أحد الكفلاء الآخرين</w:t>
      </w:r>
      <w:r>
        <w:rPr>
          <w:rFonts w:hint="cs"/>
          <w:color w:val="000000"/>
          <w:rtl/>
          <w:lang w:bidi="ar-EG"/>
        </w:rPr>
        <w:t xml:space="preserve"> ،</w:t>
      </w:r>
      <w:r w:rsidRPr="00315653">
        <w:rPr>
          <w:rFonts w:hint="cs"/>
          <w:color w:val="000000"/>
          <w:rtl/>
          <w:lang w:bidi="ar-EG"/>
        </w:rPr>
        <w:t xml:space="preserve"> وهو غير مسئول عن هذا النصيب كما قدمنا</w:t>
      </w:r>
      <w:r>
        <w:rPr>
          <w:rFonts w:hint="cs"/>
          <w:color w:val="000000"/>
          <w:rtl/>
          <w:lang w:bidi="ar-EG"/>
        </w:rPr>
        <w:t xml:space="preserve"> ،</w:t>
      </w:r>
      <w:r w:rsidRPr="00315653">
        <w:rPr>
          <w:rFonts w:hint="cs"/>
          <w:color w:val="000000"/>
          <w:rtl/>
          <w:lang w:bidi="ar-EG"/>
        </w:rPr>
        <w:t xml:space="preserve"> لم يستطع الرجوع عليه بدعوى الحلول</w:t>
      </w:r>
      <w:r>
        <w:rPr>
          <w:rFonts w:hint="cs"/>
          <w:color w:val="000000"/>
          <w:rtl/>
          <w:lang w:bidi="ar-EG"/>
        </w:rPr>
        <w:t xml:space="preserve"> ،</w:t>
      </w:r>
      <w:r w:rsidRPr="00315653">
        <w:rPr>
          <w:rFonts w:hint="cs"/>
          <w:color w:val="000000"/>
          <w:rtl/>
          <w:lang w:bidi="ar-EG"/>
        </w:rPr>
        <w:t xml:space="preserve"> وإنما يرجع عليه بالدعوى الشخصية المبنية على الإثراء بلا سببن فيرجع بأقل القيمتين</w:t>
      </w:r>
      <w:r>
        <w:rPr>
          <w:rFonts w:hint="cs"/>
          <w:color w:val="000000"/>
          <w:rtl/>
          <w:lang w:bidi="ar-EG"/>
        </w:rPr>
        <w:t xml:space="preserve"> ،</w:t>
      </w:r>
      <w:r w:rsidRPr="00315653">
        <w:rPr>
          <w:rFonts w:hint="cs"/>
          <w:color w:val="000000"/>
          <w:rtl/>
          <w:lang w:bidi="ar-EG"/>
        </w:rPr>
        <w:t xml:space="preserve"> القيمة التي دفعها ومقدار ما أفاد منه هذا الكفيل</w:t>
      </w:r>
      <w:r>
        <w:rPr>
          <w:rFonts w:hint="cs"/>
          <w:color w:val="000000"/>
          <w:vertAlign w:val="superscript"/>
          <w:rtl/>
          <w:lang w:bidi="ar-EG"/>
        </w:rPr>
        <w:t xml:space="preserve">( </w:t>
      </w:r>
      <w:r w:rsidRPr="00315653">
        <w:rPr>
          <w:rStyle w:val="ab"/>
          <w:color w:val="000000"/>
          <w:rtl/>
          <w:lang w:bidi="ar-EG"/>
        </w:rPr>
        <w:footnoteReference w:id="449"/>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وإذا أعسر أحد الكفلاء</w:t>
      </w:r>
      <w:r>
        <w:rPr>
          <w:rFonts w:hint="cs"/>
          <w:color w:val="000000"/>
          <w:rtl/>
          <w:lang w:bidi="ar-EG"/>
        </w:rPr>
        <w:t xml:space="preserve"> ،</w:t>
      </w:r>
      <w:r w:rsidRPr="00315653">
        <w:rPr>
          <w:rFonts w:hint="cs"/>
          <w:color w:val="000000"/>
          <w:rtl/>
          <w:lang w:bidi="ar-EG"/>
        </w:rPr>
        <w:t xml:space="preserve"> لم يتحمل أحد من الباقين أي نصيب في حصة المعسر</w:t>
      </w:r>
      <w:r>
        <w:rPr>
          <w:rFonts w:hint="cs"/>
          <w:color w:val="000000"/>
          <w:rtl/>
          <w:lang w:bidi="ar-EG"/>
        </w:rPr>
        <w:t xml:space="preserve"> ،</w:t>
      </w:r>
      <w:r w:rsidRPr="00315653">
        <w:rPr>
          <w:rFonts w:hint="cs"/>
          <w:color w:val="000000"/>
          <w:rtl/>
          <w:lang w:bidi="ar-EG"/>
        </w:rPr>
        <w:t xml:space="preserve"> بل يتحمل الدائن وحده حصة الكفيل المعسر</w:t>
      </w:r>
      <w:r>
        <w:rPr>
          <w:rFonts w:hint="cs"/>
          <w:color w:val="000000"/>
          <w:vertAlign w:val="superscript"/>
          <w:rtl/>
          <w:lang w:bidi="ar-EG"/>
        </w:rPr>
        <w:t xml:space="preserve">( </w:t>
      </w:r>
      <w:r w:rsidRPr="00315653">
        <w:rPr>
          <w:rStyle w:val="ab"/>
          <w:color w:val="000000"/>
          <w:rtl/>
          <w:lang w:bidi="ar-EG"/>
        </w:rPr>
        <w:footnoteReference w:id="45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 xml:space="preserve">77- الحالة الثانية </w:t>
      </w:r>
      <w:r w:rsidRPr="00315653">
        <w:rPr>
          <w:b/>
          <w:bCs/>
          <w:color w:val="000000"/>
          <w:rtl/>
          <w:lang w:bidi="ar-EG"/>
        </w:rPr>
        <w:t>–</w:t>
      </w:r>
      <w:r w:rsidRPr="00315653">
        <w:rPr>
          <w:rFonts w:hint="cs"/>
          <w:b/>
          <w:bCs/>
          <w:color w:val="000000"/>
          <w:rtl/>
          <w:lang w:bidi="ar-EG"/>
        </w:rPr>
        <w:t xml:space="preserve"> تعدد الكفلاء مع التضامن أو التضامم فيما بينهم</w:t>
      </w:r>
      <w:r>
        <w:rPr>
          <w:rFonts w:hint="cs"/>
          <w:color w:val="000000"/>
          <w:rtl/>
          <w:lang w:bidi="ar-EG"/>
        </w:rPr>
        <w:t xml:space="preserve"> :</w:t>
      </w:r>
      <w:r w:rsidRPr="00315653">
        <w:rPr>
          <w:rFonts w:hint="cs"/>
          <w:color w:val="000000"/>
          <w:rtl/>
          <w:lang w:bidi="ar-EG"/>
        </w:rPr>
        <w:t xml:space="preserve"> أما إذا تعدد الكفلاء متضامنين أو متضامين فيما بينهم</w:t>
      </w:r>
      <w:r>
        <w:rPr>
          <w:rFonts w:hint="cs"/>
          <w:color w:val="000000"/>
          <w:rtl/>
          <w:lang w:bidi="ar-EG"/>
        </w:rPr>
        <w:t xml:space="preserve"> ،</w:t>
      </w:r>
      <w:r w:rsidRPr="00315653">
        <w:rPr>
          <w:rFonts w:hint="cs"/>
          <w:color w:val="000000"/>
          <w:rtl/>
          <w:lang w:bidi="ar-EG"/>
        </w:rPr>
        <w:t xml:space="preserve"> فلا فرق في الحكم بين حالة التضامن وحالة التضامم</w:t>
      </w:r>
      <w:r>
        <w:rPr>
          <w:rFonts w:hint="cs"/>
          <w:color w:val="000000"/>
          <w:rtl/>
          <w:lang w:bidi="ar-EG"/>
        </w:rPr>
        <w:t xml:space="preserve"> ،</w:t>
      </w:r>
      <w:r w:rsidRPr="00315653">
        <w:rPr>
          <w:rFonts w:hint="cs"/>
          <w:color w:val="000000"/>
          <w:rtl/>
          <w:lang w:bidi="ar-EG"/>
        </w:rPr>
        <w:t xml:space="preserve"> لا في مسئولية كل كفيل نحو الدائن عن كل الدين</w:t>
      </w:r>
      <w:r>
        <w:rPr>
          <w:rFonts w:hint="cs"/>
          <w:color w:val="000000"/>
          <w:rtl/>
          <w:lang w:bidi="ar-EG"/>
        </w:rPr>
        <w:t xml:space="preserve"> ،</w:t>
      </w:r>
      <w:r w:rsidRPr="00315653">
        <w:rPr>
          <w:rFonts w:hint="cs"/>
          <w:color w:val="000000"/>
          <w:rtl/>
          <w:lang w:bidi="ar-EG"/>
        </w:rPr>
        <w:t xml:space="preserve"> ولا في رجوع الكفل على كل من الكفلاء الباقين بحصته في الدين وبنصيبه في حصة المعسر</w:t>
      </w:r>
      <w:r>
        <w:rPr>
          <w:rFonts w:hint="cs"/>
          <w:color w:val="000000"/>
          <w:vertAlign w:val="superscript"/>
          <w:rtl/>
          <w:lang w:bidi="ar-EG"/>
        </w:rPr>
        <w:t xml:space="preserve">( </w:t>
      </w:r>
      <w:r w:rsidRPr="00315653">
        <w:rPr>
          <w:rStyle w:val="ab"/>
          <w:color w:val="000000"/>
          <w:rtl/>
          <w:lang w:bidi="ar-EG"/>
        </w:rPr>
        <w:footnoteReference w:id="45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وقد تكفل ببيان الحكم الأول $203 وهو مسئولية كل كفيل عن كل الدين الفقرة الثانية من المادة 792 مدني</w:t>
      </w:r>
      <w:r>
        <w:rPr>
          <w:rFonts w:hint="cs"/>
          <w:color w:val="000000"/>
          <w:rtl/>
          <w:lang w:bidi="ar-EG"/>
        </w:rPr>
        <w:t xml:space="preserve"> ،</w:t>
      </w:r>
      <w:r w:rsidRPr="00315653">
        <w:rPr>
          <w:rFonts w:hint="cs"/>
          <w:color w:val="000000"/>
          <w:rtl/>
          <w:lang w:bidi="ar-EG"/>
        </w:rPr>
        <w:t xml:space="preserve"> وتكفل ببيان الحكم الثاني وهو رجوع الكفيل على كل من الكفلاء الآخرين بحصته وبنصيبه في حصة المعسر المادة 796 مدني</w:t>
      </w:r>
      <w:r>
        <w:rPr>
          <w:rFonts w:hint="cs"/>
          <w:color w:val="000000"/>
          <w:rtl/>
          <w:lang w:bidi="ar-EG"/>
        </w:rPr>
        <w:t xml:space="preserve"> .</w:t>
      </w:r>
      <w:r w:rsidRPr="00315653">
        <w:rPr>
          <w:rFonts w:hint="cs"/>
          <w:color w:val="000000"/>
          <w:rtl/>
          <w:lang w:bidi="ar-EG"/>
        </w:rPr>
        <w:t xml:space="preserve"> ولا فرق بين الالتزام التضامني والالتزام التضاممي إلا في أنه في الالتزام التضامني تجمع بين المدينين المتضامنين وحدة المصلحة المشتركة وهذه المصلحة هي التي تبرر أن كل مدين متضامن يمثل الآخرين فيما ينفعهم لا فيما يضرهم</w:t>
      </w:r>
      <w:r>
        <w:rPr>
          <w:rFonts w:hint="cs"/>
          <w:color w:val="000000"/>
          <w:rtl/>
          <w:lang w:bidi="ar-EG"/>
        </w:rPr>
        <w:t xml:space="preserve"> ،</w:t>
      </w:r>
      <w:r w:rsidRPr="00315653">
        <w:rPr>
          <w:rFonts w:hint="cs"/>
          <w:color w:val="000000"/>
          <w:rtl/>
          <w:lang w:bidi="ar-EG"/>
        </w:rPr>
        <w:t xml:space="preserve"> أما في الالتزام التضاممي فلا توجد مصلحة مشتركة بين المدينين المتضامنين فلا يقوم هذا التمثيل بينهم حتى فيما ينفعهم</w:t>
      </w:r>
      <w:r>
        <w:rPr>
          <w:rFonts w:hint="cs"/>
          <w:color w:val="000000"/>
          <w:vertAlign w:val="superscript"/>
          <w:rtl/>
          <w:lang w:bidi="ar-EG"/>
        </w:rPr>
        <w:t xml:space="preserve">( </w:t>
      </w:r>
      <w:r w:rsidRPr="00315653">
        <w:rPr>
          <w:rStyle w:val="ab"/>
          <w:color w:val="000000"/>
          <w:rtl/>
          <w:lang w:bidi="ar-EG"/>
        </w:rPr>
        <w:footnoteReference w:id="45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لذلك نتكلم في الحالتين  فيما يلي كأنهما حالة واحدة</w:t>
      </w:r>
      <w:r>
        <w:rPr>
          <w:rFonts w:hint="cs"/>
          <w:color w:val="000000"/>
          <w:vertAlign w:val="superscript"/>
          <w:rtl/>
          <w:lang w:bidi="ar-EG"/>
        </w:rPr>
        <w:t xml:space="preserve">( </w:t>
      </w:r>
      <w:r w:rsidRPr="00315653">
        <w:rPr>
          <w:rStyle w:val="ab"/>
          <w:color w:val="000000"/>
          <w:rtl/>
          <w:lang w:bidi="ar-EG"/>
        </w:rPr>
        <w:footnoteReference w:id="45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فنبحث</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1</w:t>
      </w:r>
      <w:r>
        <w:rPr>
          <w:rFonts w:hint="cs"/>
          <w:color w:val="000000"/>
          <w:rtl/>
          <w:lang w:bidi="ar-EG"/>
        </w:rPr>
        <w:t xml:space="preserve"> )</w:t>
      </w:r>
      <w:r w:rsidRPr="00315653">
        <w:rPr>
          <w:rFonts w:hint="cs"/>
          <w:color w:val="000000"/>
          <w:rtl/>
          <w:lang w:bidi="ar-EG"/>
        </w:rPr>
        <w:t xml:space="preserve"> رجوع الكفيل الذي وفى الدين على كل من الكفلاء الآخرين وأساس هذا الرجوع</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2</w:t>
      </w:r>
      <w:r>
        <w:rPr>
          <w:rFonts w:hint="cs"/>
          <w:color w:val="000000"/>
          <w:rtl/>
          <w:lang w:bidi="ar-EG"/>
        </w:rPr>
        <w:t xml:space="preserve"> )</w:t>
      </w:r>
      <w:r w:rsidRPr="00315653">
        <w:rPr>
          <w:rFonts w:hint="cs"/>
          <w:color w:val="000000"/>
          <w:rtl/>
          <w:lang w:bidi="ar-EG"/>
        </w:rPr>
        <w:t xml:space="preserve"> شروط هذا الرجوع</w:t>
      </w:r>
      <w:r>
        <w:rPr>
          <w:rFonts w:hint="cs"/>
          <w:color w:val="000000"/>
          <w:rtl/>
          <w:lang w:bidi="ar-EG"/>
        </w:rPr>
        <w:t xml:space="preserve"> .</w:t>
      </w:r>
      <w:r w:rsidRPr="00315653">
        <w:rPr>
          <w:rFonts w:hint="cs"/>
          <w:color w:val="000000"/>
          <w:rtl/>
          <w:lang w:bidi="ar-EG"/>
        </w:rPr>
        <w:t xml:space="preserve"> </w:t>
      </w:r>
      <w:r>
        <w:rPr>
          <w:rFonts w:hint="cs"/>
          <w:color w:val="000000"/>
          <w:rtl/>
          <w:lang w:bidi="ar-EG"/>
        </w:rPr>
        <w:t xml:space="preserve">( </w:t>
      </w:r>
      <w:r w:rsidRPr="00315653">
        <w:rPr>
          <w:rFonts w:hint="cs"/>
          <w:color w:val="000000"/>
          <w:rtl/>
          <w:lang w:bidi="ar-EG"/>
        </w:rPr>
        <w:t>3</w:t>
      </w:r>
      <w:r>
        <w:rPr>
          <w:rFonts w:hint="cs"/>
          <w:color w:val="000000"/>
          <w:rtl/>
          <w:lang w:bidi="ar-EG"/>
        </w:rPr>
        <w:t xml:space="preserve"> )</w:t>
      </w:r>
      <w:r w:rsidRPr="00315653">
        <w:rPr>
          <w:rFonts w:hint="cs"/>
          <w:color w:val="000000"/>
          <w:rtl/>
          <w:lang w:bidi="ar-EG"/>
        </w:rPr>
        <w:t xml:space="preserve"> مقدار ما يرجع الكفيل به</w:t>
      </w:r>
      <w:r>
        <w:rPr>
          <w:rFonts w:hint="cs"/>
          <w:color w:val="000000"/>
          <w:rtl/>
          <w:lang w:bidi="ar-EG"/>
        </w:rPr>
        <w:t xml:space="preserve"> .</w:t>
      </w:r>
      <w:r w:rsidRPr="00315653">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 xml:space="preserve">78- رجوع الكفيل الذي وفى الدين على كل من الكفلاء الآخرين </w:t>
      </w:r>
      <w:r w:rsidRPr="00315653">
        <w:rPr>
          <w:color w:val="000000"/>
          <w:rtl/>
          <w:lang w:bidi="ar-EG"/>
        </w:rPr>
        <w:t>–</w:t>
      </w:r>
      <w:r w:rsidRPr="00315653">
        <w:rPr>
          <w:rFonts w:hint="cs"/>
          <w:color w:val="000000"/>
          <w:rtl/>
          <w:lang w:bidi="ar-EG"/>
        </w:rPr>
        <w:t xml:space="preserve"> أساس هذا الرجوع</w:t>
      </w:r>
      <w:r>
        <w:rPr>
          <w:rFonts w:hint="cs"/>
          <w:color w:val="000000"/>
          <w:rtl/>
          <w:lang w:bidi="ar-EG"/>
        </w:rPr>
        <w:t xml:space="preserve"> :</w:t>
      </w:r>
      <w:r w:rsidRPr="00315653">
        <w:rPr>
          <w:rFonts w:hint="cs"/>
          <w:color w:val="000000"/>
          <w:rtl/>
          <w:lang w:bidi="ar-EG"/>
        </w:rPr>
        <w:t xml:space="preserve"> المفروض هنا أن كل كفيل من الكفلاء المتعددين مسئول عن كل الدين تجاه الدائن</w:t>
      </w:r>
      <w:r>
        <w:rPr>
          <w:rFonts w:hint="cs"/>
          <w:color w:val="000000"/>
          <w:rtl/>
          <w:lang w:bidi="ar-EG"/>
        </w:rPr>
        <w:t xml:space="preserve"> ،</w:t>
      </w:r>
      <w:r w:rsidRPr="00315653">
        <w:rPr>
          <w:rFonts w:hint="cs"/>
          <w:color w:val="000000"/>
          <w:rtl/>
          <w:lang w:bidi="ar-EG"/>
        </w:rPr>
        <w:t xml:space="preserve"> إما لأنه متضامن مع الكفلاء الآخرين أو لأنه متضام معهم</w:t>
      </w:r>
      <w:r>
        <w:rPr>
          <w:rFonts w:hint="cs"/>
          <w:color w:val="000000"/>
          <w:rtl/>
          <w:lang w:bidi="ar-EG"/>
        </w:rPr>
        <w:t xml:space="preserve"> .</w:t>
      </w:r>
      <w:r w:rsidRPr="00315653">
        <w:rPr>
          <w:rFonts w:hint="cs"/>
          <w:color w:val="000000"/>
          <w:rtl/>
          <w:lang w:bidi="ar-EG"/>
        </w:rPr>
        <w:t xml:space="preserve"> فيجوز إذن للدائن أن يرجع بكل الدين على أي كفيل من هؤلاء الكفلاء المتعددين</w:t>
      </w:r>
      <w:r>
        <w:rPr>
          <w:rFonts w:hint="cs"/>
          <w:color w:val="000000"/>
          <w:rtl/>
          <w:lang w:bidi="ar-EG"/>
        </w:rPr>
        <w:t xml:space="preserve"> ،</w:t>
      </w:r>
      <w:r w:rsidRPr="00315653">
        <w:rPr>
          <w:rFonts w:hint="cs"/>
          <w:color w:val="000000"/>
          <w:rtl/>
          <w:lang w:bidi="ar-EG"/>
        </w:rPr>
        <w:t xml:space="preserve"> ويلتزم هذا الكفيل بوفاء الدين كله للدائن</w:t>
      </w:r>
      <w:r>
        <w:rPr>
          <w:rFonts w:hint="cs"/>
          <w:color w:val="000000"/>
          <w:rtl/>
          <w:lang w:bidi="ar-EG"/>
        </w:rPr>
        <w:t xml:space="preserve"> .</w:t>
      </w:r>
      <w:r w:rsidRPr="00315653">
        <w:rPr>
          <w:rFonts w:hint="cs"/>
          <w:color w:val="000000"/>
          <w:rtl/>
          <w:lang w:bidi="ar-EG"/>
        </w:rPr>
        <w:t xml:space="preserve"> بعد أن يدفع الكفيل بوجوب رجوع الدائن أولا على المدين وبوجوب تجريد هذا المدين إذا كان له حق في هذين الدفعين</w:t>
      </w:r>
      <w:r>
        <w:rPr>
          <w:rFonts w:hint="cs"/>
          <w:color w:val="000000"/>
          <w:rtl/>
          <w:lang w:bidi="ar-EG"/>
        </w:rPr>
        <w:t xml:space="preserve"> ،</w:t>
      </w:r>
      <w:r w:rsidRPr="00315653">
        <w:rPr>
          <w:rFonts w:hint="cs"/>
          <w:color w:val="000000"/>
          <w:rtl/>
          <w:lang w:bidi="ar-EG"/>
        </w:rPr>
        <w:t xml:space="preserve"> وبعد أن </w:t>
      </w:r>
      <w:r w:rsidRPr="00315653">
        <w:rPr>
          <w:rFonts w:hint="cs"/>
          <w:color w:val="000000"/>
          <w:rtl/>
          <w:lang w:bidi="ar-EG"/>
        </w:rPr>
        <w:lastRenderedPageBreak/>
        <w:t>يدفع رجوع الدائن عليه بالدفع التي يحق له التمسك بها</w:t>
      </w:r>
      <w:r>
        <w:rPr>
          <w:rFonts w:hint="cs"/>
          <w:color w:val="000000"/>
          <w:vertAlign w:val="superscript"/>
          <w:rtl/>
          <w:lang w:bidi="ar-EG"/>
        </w:rPr>
        <w:t xml:space="preserve">( </w:t>
      </w:r>
      <w:r w:rsidRPr="00315653">
        <w:rPr>
          <w:rStyle w:val="ab"/>
          <w:color w:val="000000"/>
          <w:rtl/>
          <w:lang w:bidi="ar-EG"/>
        </w:rPr>
        <w:footnoteReference w:id="454"/>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فإذا لم ينجح الكفيل في دفع دعوى الدائن أو لم يدفعها بدفع ما فحكم عليه بكل الدين</w:t>
      </w:r>
      <w:r>
        <w:rPr>
          <w:rFonts w:hint="cs"/>
          <w:color w:val="000000"/>
          <w:rtl/>
          <w:lang w:bidi="ar-EG"/>
        </w:rPr>
        <w:t xml:space="preserve"> ،</w:t>
      </w:r>
      <w:r w:rsidRPr="00315653">
        <w:rPr>
          <w:rFonts w:hint="cs"/>
          <w:color w:val="000000"/>
          <w:rtl/>
          <w:lang w:bidi="ar-EG"/>
        </w:rPr>
        <w:t xml:space="preserve"> أو تقدم الكفيل $204 مختاراً للدائن ووفى كل الدين</w:t>
      </w:r>
      <w:r>
        <w:rPr>
          <w:rFonts w:hint="cs"/>
          <w:color w:val="000000"/>
          <w:rtl/>
          <w:lang w:bidi="ar-EG"/>
        </w:rPr>
        <w:t xml:space="preserve"> ،</w:t>
      </w:r>
      <w:r w:rsidRPr="00315653">
        <w:rPr>
          <w:rFonts w:hint="cs"/>
          <w:color w:val="000000"/>
          <w:rtl/>
          <w:lang w:bidi="ar-EG"/>
        </w:rPr>
        <w:t xml:space="preserve"> فعندئذ يحق له الرجوع على كل من الكفلاء الآخرين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وتقول المادة 796 مدني كما رأينا</w:t>
      </w:r>
      <w:r>
        <w:rPr>
          <w:rFonts w:hint="cs"/>
          <w:color w:val="000000"/>
          <w:vertAlign w:val="superscript"/>
          <w:rtl/>
          <w:lang w:bidi="ar-EG"/>
        </w:rPr>
        <w:t xml:space="preserve">( </w:t>
      </w:r>
      <w:r w:rsidRPr="00315653">
        <w:rPr>
          <w:rStyle w:val="ab"/>
          <w:color w:val="000000"/>
          <w:rtl/>
          <w:lang w:bidi="ar-EG"/>
        </w:rPr>
        <w:footnoteReference w:id="455"/>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فيما إذا كان الكفلاء متضامنين فيما بينهم</w:t>
      </w:r>
      <w:r>
        <w:rPr>
          <w:rFonts w:hint="cs"/>
          <w:color w:val="000000"/>
          <w:rtl/>
          <w:lang w:bidi="ar-EG"/>
        </w:rPr>
        <w:t xml:space="preserve"> ،</w:t>
      </w:r>
      <w:r w:rsidRPr="00315653">
        <w:rPr>
          <w:rFonts w:hint="cs"/>
          <w:color w:val="000000"/>
          <w:rtl/>
          <w:lang w:bidi="ar-EG"/>
        </w:rPr>
        <w:t xml:space="preserve"> أن للكفيل الذي وفى الدين كله عند حلوله "أن يرجع على كل من الباقين بحصته في الدين وبنصيبه في حصة المعسر منهم"</w:t>
      </w:r>
      <w:r>
        <w:rPr>
          <w:rFonts w:hint="cs"/>
          <w:color w:val="000000"/>
          <w:rtl/>
          <w:lang w:bidi="ar-EG"/>
        </w:rPr>
        <w:t xml:space="preserve"> .</w:t>
      </w:r>
      <w:r w:rsidRPr="00315653">
        <w:rPr>
          <w:rFonts w:hint="cs"/>
          <w:color w:val="000000"/>
          <w:rtl/>
          <w:lang w:bidi="ar-EG"/>
        </w:rPr>
        <w:t xml:space="preserve"> وهذا هو الحكم أيضاً فيما إذا كان الكفلاء متضامين لا متضامين</w:t>
      </w:r>
      <w:r>
        <w:rPr>
          <w:rFonts w:hint="cs"/>
          <w:color w:val="000000"/>
          <w:rtl/>
          <w:lang w:bidi="ar-EG"/>
        </w:rPr>
        <w:t xml:space="preserve"> ،</w:t>
      </w:r>
      <w:r w:rsidRPr="00315653">
        <w:rPr>
          <w:rFonts w:hint="cs"/>
          <w:color w:val="000000"/>
          <w:rtl/>
          <w:lang w:bidi="ar-EG"/>
        </w:rPr>
        <w:t xml:space="preserve"> فيجوز للدائن أن يرجع بكل الدين على أي كفيل منهم</w:t>
      </w:r>
      <w:r>
        <w:rPr>
          <w:rFonts w:hint="cs"/>
          <w:color w:val="000000"/>
          <w:rtl/>
          <w:lang w:bidi="ar-EG"/>
        </w:rPr>
        <w:t xml:space="preserve"> ،</w:t>
      </w:r>
      <w:r w:rsidRPr="00315653">
        <w:rPr>
          <w:rFonts w:hint="cs"/>
          <w:color w:val="000000"/>
          <w:rtl/>
          <w:lang w:bidi="ar-EG"/>
        </w:rPr>
        <w:t xml:space="preserve"> ولهذا الكفيل أن يرجع على كل من الباقين بحصته في الدين وبنصيبه في حصة المعسر</w:t>
      </w:r>
      <w:r>
        <w:rPr>
          <w:rFonts w:hint="cs"/>
          <w:color w:val="000000"/>
          <w:rtl/>
          <w:lang w:bidi="ar-EG"/>
        </w:rPr>
        <w:t xml:space="preserve"> .</w:t>
      </w:r>
      <w:r w:rsidRPr="00315653">
        <w:rPr>
          <w:rFonts w:hint="cs"/>
          <w:color w:val="000000"/>
          <w:rtl/>
          <w:lang w:bidi="ar-EG"/>
        </w:rPr>
        <w:t xml:space="preserve"> والكفلاء</w:t>
      </w:r>
      <w:r>
        <w:rPr>
          <w:rFonts w:hint="cs"/>
          <w:color w:val="000000"/>
          <w:rtl/>
          <w:lang w:bidi="ar-EG"/>
        </w:rPr>
        <w:t xml:space="preserve"> ،</w:t>
      </w:r>
      <w:r w:rsidRPr="00315653">
        <w:rPr>
          <w:rFonts w:hint="cs"/>
          <w:color w:val="000000"/>
          <w:rtl/>
          <w:lang w:bidi="ar-EG"/>
        </w:rPr>
        <w:t xml:space="preserve"> متضامنين أو كانوا أو متضامين</w:t>
      </w:r>
      <w:r>
        <w:rPr>
          <w:rFonts w:hint="cs"/>
          <w:color w:val="000000"/>
          <w:rtl/>
          <w:lang w:bidi="ar-EG"/>
        </w:rPr>
        <w:t xml:space="preserve"> ،</w:t>
      </w:r>
      <w:r w:rsidRPr="00315653">
        <w:rPr>
          <w:rFonts w:hint="cs"/>
          <w:color w:val="000000"/>
          <w:rtl/>
          <w:lang w:bidi="ar-EG"/>
        </w:rPr>
        <w:t xml:space="preserve"> ليسوا إلا مدينين للدائن متضامنين أو متضامين</w:t>
      </w:r>
      <w:r>
        <w:rPr>
          <w:rFonts w:hint="cs"/>
          <w:color w:val="000000"/>
          <w:rtl/>
          <w:lang w:bidi="ar-EG"/>
        </w:rPr>
        <w:t xml:space="preserve"> .</w:t>
      </w:r>
      <w:r w:rsidRPr="00315653">
        <w:rPr>
          <w:rFonts w:hint="cs"/>
          <w:color w:val="000000"/>
          <w:rtl/>
          <w:lang w:bidi="ar-EG"/>
        </w:rPr>
        <w:t xml:space="preserve"> وقد قدمنا ألا فرق بين المدينين المتضامنين والمدينين المتضامين إلا في وحدة المصلحة المشتركة</w:t>
      </w:r>
      <w:r>
        <w:rPr>
          <w:rFonts w:hint="cs"/>
          <w:color w:val="000000"/>
          <w:rtl/>
          <w:lang w:bidi="ar-EG"/>
        </w:rPr>
        <w:t xml:space="preserve"> ،</w:t>
      </w:r>
      <w:r w:rsidRPr="00315653">
        <w:rPr>
          <w:rFonts w:hint="cs"/>
          <w:color w:val="000000"/>
          <w:rtl/>
          <w:lang w:bidi="ar-EG"/>
        </w:rPr>
        <w:t xml:space="preserve"> ولسنا الآن في صددها</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وأساس رجع الكفيل الذي وفى بكل الدين على الكفلاء الآخرين هو نفس أساس رجوع المدين المتضامن أو المدين المتضام على المدينين الآخرين</w:t>
      </w:r>
      <w:r>
        <w:rPr>
          <w:rFonts w:hint="cs"/>
          <w:color w:val="000000"/>
          <w:rtl/>
          <w:lang w:bidi="ar-EG"/>
        </w:rPr>
        <w:t xml:space="preserve"> ،</w:t>
      </w:r>
      <w:r w:rsidRPr="00315653">
        <w:rPr>
          <w:rFonts w:hint="cs"/>
          <w:color w:val="000000"/>
          <w:rtl/>
          <w:lang w:bidi="ar-EG"/>
        </w:rPr>
        <w:t xml:space="preserve"> فيرجع الكفيل الذي وفى بكل الدين على كل مدين من المدينين الآخرين إما بالدعوى الشخصية أو بدعوى الحلول</w:t>
      </w:r>
      <w:r>
        <w:rPr>
          <w:rFonts w:hint="cs"/>
          <w:color w:val="000000"/>
          <w:vertAlign w:val="superscript"/>
          <w:rtl/>
          <w:lang w:bidi="ar-EG"/>
        </w:rPr>
        <w:t xml:space="preserve">( </w:t>
      </w:r>
      <w:r w:rsidRPr="00315653">
        <w:rPr>
          <w:rStyle w:val="ab"/>
          <w:color w:val="000000"/>
          <w:rtl/>
          <w:lang w:bidi="ar-EG"/>
        </w:rPr>
        <w:footnoteReference w:id="456"/>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فإذا رجع بالدعوى الشخصية</w:t>
      </w:r>
      <w:r>
        <w:rPr>
          <w:rFonts w:hint="cs"/>
          <w:color w:val="000000"/>
          <w:rtl/>
          <w:lang w:bidi="ar-EG"/>
        </w:rPr>
        <w:t xml:space="preserve"> ،</w:t>
      </w:r>
      <w:r w:rsidRPr="00315653">
        <w:rPr>
          <w:rFonts w:hint="cs"/>
          <w:color w:val="000000"/>
          <w:rtl/>
          <w:lang w:bidi="ar-EG"/>
        </w:rPr>
        <w:t xml:space="preserve"> فإنه يرجع بدعوى الوكالة أو بدعوى الفضالة أو بدعوى الإثراء بلا سبب</w:t>
      </w:r>
      <w:r>
        <w:rPr>
          <w:rFonts w:hint="cs"/>
          <w:color w:val="000000"/>
          <w:rtl/>
          <w:lang w:bidi="ar-EG"/>
        </w:rPr>
        <w:t xml:space="preserve"> ،</w:t>
      </w:r>
      <w:r w:rsidRPr="00315653">
        <w:rPr>
          <w:rFonts w:hint="cs"/>
          <w:color w:val="000000"/>
          <w:rtl/>
          <w:lang w:bidi="ar-EG"/>
        </w:rPr>
        <w:t xml:space="preserve"> وتسرى هنا قواعد رجوع المدين المتضامن إذا وفى بكل الدين على سائر المدينين المتضامنين</w:t>
      </w:r>
      <w:r>
        <w:rPr>
          <w:rFonts w:hint="cs"/>
          <w:color w:val="000000"/>
          <w:rtl/>
          <w:lang w:bidi="ar-EG"/>
        </w:rPr>
        <w:t xml:space="preserve"> .</w:t>
      </w:r>
      <w:r w:rsidRPr="00315653">
        <w:rPr>
          <w:rFonts w:hint="cs"/>
          <w:color w:val="000000"/>
          <w:rtl/>
          <w:lang w:bidi="ar-EG"/>
        </w:rPr>
        <w:t xml:space="preserve"> وإذا رجع بدعوى الحلول</w:t>
      </w:r>
      <w:r>
        <w:rPr>
          <w:rFonts w:hint="cs"/>
          <w:color w:val="000000"/>
          <w:rtl/>
          <w:lang w:bidi="ar-EG"/>
        </w:rPr>
        <w:t xml:space="preserve"> ،</w:t>
      </w:r>
      <w:r w:rsidRPr="00315653">
        <w:rPr>
          <w:rFonts w:hint="cs"/>
          <w:color w:val="000000"/>
          <w:rtl/>
          <w:lang w:bidi="ar-EG"/>
        </w:rPr>
        <w:t xml:space="preserve"> فإنه يحل محل الدائن الذي وفاه الدين</w:t>
      </w:r>
      <w:r>
        <w:rPr>
          <w:rFonts w:hint="cs"/>
          <w:color w:val="000000"/>
          <w:vertAlign w:val="superscript"/>
          <w:rtl/>
          <w:lang w:bidi="ar-EG"/>
        </w:rPr>
        <w:t xml:space="preserve">( </w:t>
      </w:r>
      <w:r w:rsidRPr="00315653">
        <w:rPr>
          <w:rStyle w:val="ab"/>
          <w:color w:val="000000"/>
          <w:rtl/>
          <w:lang w:bidi="ar-EG"/>
        </w:rPr>
        <w:footnoteReference w:id="45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ولكنه يجرع على كل $205 كفيل متضامن معه أو متضام بقدر حصته في الدين وبنصيبه في حصة المعسر كما سنرى</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b/>
          <w:bCs/>
          <w:color w:val="000000"/>
          <w:rtl/>
          <w:lang w:bidi="ar-EG"/>
        </w:rPr>
        <w:t>79- شروط هذا الرجوع</w:t>
      </w:r>
      <w:r>
        <w:rPr>
          <w:rFonts w:hint="cs"/>
          <w:color w:val="000000"/>
          <w:rtl/>
          <w:lang w:bidi="ar-EG"/>
        </w:rPr>
        <w:t xml:space="preserve"> :</w:t>
      </w:r>
      <w:r w:rsidRPr="00315653">
        <w:rPr>
          <w:rFonts w:hint="cs"/>
          <w:color w:val="000000"/>
          <w:rtl/>
          <w:lang w:bidi="ar-EG"/>
        </w:rPr>
        <w:t xml:space="preserve"> ويشترط في رجوع الكفيل على باقي الكفلاء</w:t>
      </w:r>
      <w:r>
        <w:rPr>
          <w:rFonts w:hint="cs"/>
          <w:color w:val="000000"/>
          <w:rtl/>
          <w:lang w:bidi="ar-EG"/>
        </w:rPr>
        <w:t xml:space="preserve"> ،</w:t>
      </w:r>
      <w:r w:rsidRPr="00315653">
        <w:rPr>
          <w:rFonts w:hint="cs"/>
          <w:color w:val="000000"/>
          <w:rtl/>
          <w:lang w:bidi="ar-EG"/>
        </w:rPr>
        <w:t xml:space="preserve"> سواء بالدعوى الشخصية أو بدعوى الحلول</w:t>
      </w:r>
      <w:r>
        <w:rPr>
          <w:rFonts w:hint="cs"/>
          <w:color w:val="000000"/>
          <w:rtl/>
          <w:lang w:bidi="ar-EG"/>
        </w:rPr>
        <w:t xml:space="preserve"> ،</w:t>
      </w:r>
      <w:r w:rsidRPr="00315653">
        <w:rPr>
          <w:rFonts w:hint="cs"/>
          <w:color w:val="000000"/>
          <w:rtl/>
          <w:lang w:bidi="ar-EG"/>
        </w:rPr>
        <w:t xml:space="preserve"> أن يكون هذا الكفيل قد وفى الدين كله للدائن</w:t>
      </w:r>
      <w:r>
        <w:rPr>
          <w:rFonts w:hint="cs"/>
          <w:color w:val="000000"/>
          <w:rtl/>
          <w:lang w:bidi="ar-EG"/>
        </w:rPr>
        <w:t xml:space="preserve"> ،</w:t>
      </w:r>
      <w:r w:rsidRPr="00315653">
        <w:rPr>
          <w:rFonts w:hint="cs"/>
          <w:color w:val="000000"/>
          <w:rtl/>
          <w:lang w:bidi="ar-EG"/>
        </w:rPr>
        <w:t xml:space="preserve"> وان يكون هذا الوفاء مبرئاً لذمة الكفلاء الآخرين نحو الدائن</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فيجب أولا أن يكون الكفيل قد وفى الدين كله للدائن عند حلوله</w:t>
      </w:r>
      <w:r>
        <w:rPr>
          <w:rFonts w:hint="cs"/>
          <w:color w:val="000000"/>
          <w:rtl/>
          <w:lang w:bidi="ar-EG"/>
        </w:rPr>
        <w:t xml:space="preserve"> .</w:t>
      </w:r>
      <w:r w:rsidRPr="00315653">
        <w:rPr>
          <w:rFonts w:hint="cs"/>
          <w:color w:val="000000"/>
          <w:rtl/>
          <w:lang w:bidi="ar-EG"/>
        </w:rPr>
        <w:t xml:space="preserve"> وقد يقضي الكفيل الدين بما يقوم مقام الوفاء</w:t>
      </w:r>
      <w:r>
        <w:rPr>
          <w:rFonts w:hint="cs"/>
          <w:color w:val="000000"/>
          <w:rtl/>
          <w:lang w:bidi="ar-EG"/>
        </w:rPr>
        <w:t xml:space="preserve"> ،</w:t>
      </w:r>
      <w:r w:rsidRPr="00315653">
        <w:rPr>
          <w:rFonts w:hint="cs"/>
          <w:color w:val="000000"/>
          <w:rtl/>
          <w:lang w:bidi="ar-EG"/>
        </w:rPr>
        <w:t xml:space="preserve"> كالوفاء بمقابل والتجديد والمقاصة</w:t>
      </w:r>
      <w:r>
        <w:rPr>
          <w:rFonts w:hint="cs"/>
          <w:color w:val="000000"/>
          <w:rtl/>
          <w:lang w:bidi="ar-EG"/>
        </w:rPr>
        <w:t xml:space="preserve"> .</w:t>
      </w:r>
      <w:r w:rsidRPr="00315653">
        <w:rPr>
          <w:rFonts w:hint="cs"/>
          <w:color w:val="000000"/>
          <w:rtl/>
          <w:lang w:bidi="ar-EG"/>
        </w:rPr>
        <w:t xml:space="preserve"> ولا يكفي أن يخشى الكفيل أن يكون رجوعه على الكفلاء الآخرين مهدداً بالخطر</w:t>
      </w:r>
      <w:r>
        <w:rPr>
          <w:rFonts w:hint="cs"/>
          <w:color w:val="000000"/>
          <w:rtl/>
          <w:lang w:bidi="ar-EG"/>
        </w:rPr>
        <w:t xml:space="preserve"> ،</w:t>
      </w:r>
      <w:r w:rsidRPr="00315653">
        <w:rPr>
          <w:rFonts w:hint="cs"/>
          <w:color w:val="000000"/>
          <w:rtl/>
          <w:lang w:bidi="ar-EG"/>
        </w:rPr>
        <w:t xml:space="preserve"> فيرجع عليهم قبل أن يفي بالدين للدائن</w:t>
      </w:r>
      <w:r>
        <w:rPr>
          <w:rFonts w:hint="cs"/>
          <w:color w:val="000000"/>
          <w:rtl/>
          <w:lang w:bidi="ar-EG"/>
        </w:rPr>
        <w:t xml:space="preserve"> ،</w:t>
      </w:r>
      <w:r w:rsidRPr="00315653">
        <w:rPr>
          <w:rFonts w:hint="cs"/>
          <w:color w:val="000000"/>
          <w:rtl/>
          <w:lang w:bidi="ar-EG"/>
        </w:rPr>
        <w:t xml:space="preserve"> بل يجب أن يكون الكفيل قد قضي الدين فعلا بالوفاء أو بما يقوم مقام الوفاء</w:t>
      </w:r>
      <w:r>
        <w:rPr>
          <w:rFonts w:hint="cs"/>
          <w:color w:val="000000"/>
          <w:vertAlign w:val="superscript"/>
          <w:rtl/>
          <w:lang w:bidi="ar-EG"/>
        </w:rPr>
        <w:t xml:space="preserve">( </w:t>
      </w:r>
      <w:r w:rsidRPr="00315653">
        <w:rPr>
          <w:rStyle w:val="ab"/>
          <w:color w:val="000000"/>
          <w:rtl/>
          <w:lang w:bidi="ar-EG"/>
        </w:rPr>
        <w:footnoteReference w:id="45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وإذا اقتصر الكفيل على دفع حصته في الدين وقبل الدائن منه ذلك</w:t>
      </w:r>
      <w:r>
        <w:rPr>
          <w:rFonts w:hint="cs"/>
          <w:color w:val="000000"/>
          <w:rtl/>
          <w:lang w:bidi="ar-EG"/>
        </w:rPr>
        <w:t xml:space="preserve"> ،</w:t>
      </w:r>
      <w:r w:rsidRPr="00315653">
        <w:rPr>
          <w:rFonts w:hint="cs"/>
          <w:color w:val="000000"/>
          <w:rtl/>
          <w:lang w:bidi="ar-EG"/>
        </w:rPr>
        <w:t xml:space="preserve"> لم يرجع الكفيل بشيء على سائر الكفلاء</w:t>
      </w:r>
      <w:r>
        <w:rPr>
          <w:rFonts w:hint="cs"/>
          <w:color w:val="000000"/>
          <w:rtl/>
          <w:lang w:bidi="ar-EG"/>
        </w:rPr>
        <w:t xml:space="preserve"> .</w:t>
      </w:r>
      <w:r w:rsidRPr="00315653">
        <w:rPr>
          <w:rFonts w:hint="cs"/>
          <w:color w:val="000000"/>
          <w:rtl/>
          <w:lang w:bidi="ar-EG"/>
        </w:rPr>
        <w:t xml:space="preserve"> لكن إذا دفع الكفيل للدائن أكثر من حصته دون أن يفي بكل الدين وقبل الدائن منه هذا الوفاء الجزئي</w:t>
      </w:r>
      <w:r>
        <w:rPr>
          <w:rFonts w:hint="cs"/>
          <w:color w:val="000000"/>
          <w:rtl/>
          <w:lang w:bidi="ar-EG"/>
        </w:rPr>
        <w:t xml:space="preserve"> ،</w:t>
      </w:r>
      <w:r w:rsidRPr="00315653">
        <w:rPr>
          <w:rFonts w:hint="cs"/>
          <w:color w:val="000000"/>
          <w:rtl/>
          <w:lang w:bidi="ar-EG"/>
        </w:rPr>
        <w:t xml:space="preserve"> كان للكفيل أن يرجع بما زاد على حصته على سار الكفلاء</w:t>
      </w:r>
      <w:r>
        <w:rPr>
          <w:rFonts w:hint="cs"/>
          <w:color w:val="000000"/>
          <w:rtl/>
          <w:lang w:bidi="ar-EG"/>
        </w:rPr>
        <w:t xml:space="preserve"> ،</w:t>
      </w:r>
      <w:r w:rsidRPr="00315653">
        <w:rPr>
          <w:rFonts w:hint="cs"/>
          <w:color w:val="000000"/>
          <w:rtl/>
          <w:lang w:bidi="ar-EG"/>
        </w:rPr>
        <w:t xml:space="preserve"> كل بنسبة حصته في الدين</w:t>
      </w:r>
      <w:r>
        <w:rPr>
          <w:rFonts w:hint="cs"/>
          <w:color w:val="000000"/>
          <w:vertAlign w:val="superscript"/>
          <w:rtl/>
          <w:lang w:bidi="ar-EG"/>
        </w:rPr>
        <w:t xml:space="preserve">( </w:t>
      </w:r>
      <w:r w:rsidRPr="00315653">
        <w:rPr>
          <w:rStyle w:val="ab"/>
          <w:color w:val="000000"/>
          <w:rtl/>
          <w:lang w:bidi="ar-EG"/>
        </w:rPr>
        <w:footnoteReference w:id="45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وعبء إثبات الوفاء يقع على عائق الكفيل الذي يتمسك بهذا </w:t>
      </w:r>
      <w:r w:rsidRPr="00315653">
        <w:rPr>
          <w:rFonts w:hint="cs"/>
          <w:color w:val="000000"/>
          <w:rtl/>
          <w:lang w:bidi="ar-EG"/>
        </w:rPr>
        <w:lastRenderedPageBreak/>
        <w:t>الوفاء</w:t>
      </w:r>
      <w:r>
        <w:rPr>
          <w:rFonts w:hint="cs"/>
          <w:color w:val="000000"/>
          <w:rtl/>
          <w:lang w:bidi="ar-EG"/>
        </w:rPr>
        <w:t xml:space="preserve"> ،</w:t>
      </w:r>
      <w:r w:rsidRPr="00315653">
        <w:rPr>
          <w:rFonts w:hint="cs"/>
          <w:color w:val="000000"/>
          <w:rtl/>
          <w:lang w:bidi="ar-EG"/>
        </w:rPr>
        <w:t xml:space="preserve"> ويكون الإثبات طبقاً للقواعد العامة المقررة في الإثبات</w:t>
      </w:r>
      <w:r>
        <w:rPr>
          <w:rFonts w:hint="cs"/>
          <w:color w:val="000000"/>
          <w:rtl/>
          <w:lang w:bidi="ar-EG"/>
        </w:rPr>
        <w:t xml:space="preserve"> ،</w:t>
      </w:r>
      <w:r w:rsidRPr="00315653">
        <w:rPr>
          <w:rFonts w:hint="cs"/>
          <w:color w:val="000000"/>
          <w:rtl/>
          <w:lang w:bidi="ar-EG"/>
        </w:rPr>
        <w:t xml:space="preserve"> فلا يجوز إثبات الوفاء بما يزيد على النصاب القانوني للبينة إلا بالكتابة أو بما يقوم مقام الكتابة</w:t>
      </w:r>
      <w:r>
        <w:rPr>
          <w:rFonts w:hint="cs"/>
          <w:color w:val="000000"/>
          <w:vertAlign w:val="superscript"/>
          <w:rtl/>
          <w:lang w:bidi="ar-EG"/>
        </w:rPr>
        <w:t xml:space="preserve">( </w:t>
      </w:r>
      <w:r w:rsidRPr="00315653">
        <w:rPr>
          <w:rStyle w:val="ab"/>
          <w:color w:val="000000"/>
          <w:rtl/>
          <w:lang w:bidi="ar-EG"/>
        </w:rPr>
        <w:footnoteReference w:id="46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lang w:bidi="ar-EG"/>
        </w:rPr>
      </w:pPr>
      <w:r w:rsidRPr="00315653">
        <w:rPr>
          <w:rFonts w:hint="cs"/>
          <w:color w:val="000000"/>
          <w:rtl/>
          <w:lang w:bidi="ar-EG"/>
        </w:rPr>
        <w:t>ويجب ثانياً أن يكون هذا الوفاء مبرئاً لذمة الكفلاء الآخرين نحو الدائن</w:t>
      </w:r>
      <w:r>
        <w:rPr>
          <w:rFonts w:hint="cs"/>
          <w:color w:val="000000"/>
          <w:vertAlign w:val="superscript"/>
          <w:rtl/>
          <w:lang w:bidi="ar-EG"/>
        </w:rPr>
        <w:t xml:space="preserve">( </w:t>
      </w:r>
      <w:r w:rsidRPr="00315653">
        <w:rPr>
          <w:rStyle w:val="ab"/>
          <w:color w:val="000000"/>
          <w:rtl/>
          <w:lang w:bidi="ar-EG"/>
        </w:rPr>
        <w:footnoteReference w:id="461"/>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$206 فإذا كان الوفاء باطلا لم يكن مبرئاً للذمة ولا يعتد به</w:t>
      </w:r>
      <w:r>
        <w:rPr>
          <w:rFonts w:hint="cs"/>
          <w:color w:val="000000"/>
          <w:rtl/>
          <w:lang w:bidi="ar-EG"/>
        </w:rPr>
        <w:t xml:space="preserve"> ،</w:t>
      </w:r>
      <w:r w:rsidRPr="00315653">
        <w:rPr>
          <w:rFonts w:hint="cs"/>
          <w:color w:val="000000"/>
          <w:rtl/>
          <w:lang w:bidi="ar-EG"/>
        </w:rPr>
        <w:t xml:space="preserve"> ولا يجوز للكفيل الذي قام بهذا الوفاء الباطل أن يرجع على بقية الكفلاء</w:t>
      </w:r>
      <w:r>
        <w:rPr>
          <w:rFonts w:hint="cs"/>
          <w:color w:val="000000"/>
          <w:rtl/>
          <w:lang w:bidi="ar-EG"/>
        </w:rPr>
        <w:t xml:space="preserve"> .</w:t>
      </w:r>
      <w:r w:rsidRPr="00315653">
        <w:rPr>
          <w:rFonts w:hint="cs"/>
          <w:color w:val="000000"/>
          <w:rtl/>
          <w:lang w:bidi="ar-EG"/>
        </w:rPr>
        <w:t xml:space="preserve"> وحتى لو كان الوفاء صحيحاً ورجع الكفل الذي قام بهذا الوفاء الصحيح على كفل آخر</w:t>
      </w:r>
      <w:r>
        <w:rPr>
          <w:rFonts w:hint="cs"/>
          <w:color w:val="000000"/>
          <w:rtl/>
          <w:lang w:bidi="ar-EG"/>
        </w:rPr>
        <w:t xml:space="preserve"> ،</w:t>
      </w:r>
      <w:r w:rsidRPr="00315653">
        <w:rPr>
          <w:rFonts w:hint="cs"/>
          <w:color w:val="000000"/>
          <w:rtl/>
          <w:lang w:bidi="ar-EG"/>
        </w:rPr>
        <w:t xml:space="preserve"> وكان لهاذ الكفيل الآخر أن يتمسك بدفع يبرئ ذمته غير هذا الوفاء</w:t>
      </w:r>
      <w:r>
        <w:rPr>
          <w:rFonts w:hint="cs"/>
          <w:color w:val="000000"/>
          <w:rtl/>
          <w:lang w:bidi="ar-EG"/>
        </w:rPr>
        <w:t xml:space="preserve"> ،</w:t>
      </w:r>
      <w:r w:rsidRPr="00315653">
        <w:rPr>
          <w:rFonts w:hint="cs"/>
          <w:color w:val="000000"/>
          <w:rtl/>
          <w:lang w:bidi="ar-EG"/>
        </w:rPr>
        <w:t xml:space="preserve"> لما جاز الرجوع</w:t>
      </w:r>
      <w:r>
        <w:rPr>
          <w:rFonts w:hint="cs"/>
          <w:color w:val="000000"/>
          <w:vertAlign w:val="superscript"/>
          <w:rtl/>
          <w:lang w:bidi="ar-EG"/>
        </w:rPr>
        <w:t xml:space="preserve">( </w:t>
      </w:r>
      <w:r w:rsidRPr="00315653">
        <w:rPr>
          <w:rStyle w:val="ab"/>
          <w:color w:val="000000"/>
          <w:rtl/>
          <w:lang w:bidi="ar-EG"/>
        </w:rPr>
        <w:footnoteReference w:id="46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وذلك كأن يكون الدائن قد أبرأ هذا الكفيل من الكفالة</w:t>
      </w:r>
      <w:r>
        <w:rPr>
          <w:rFonts w:hint="cs"/>
          <w:color w:val="000000"/>
          <w:vertAlign w:val="superscript"/>
          <w:rtl/>
          <w:lang w:bidi="ar-EG"/>
        </w:rPr>
        <w:t xml:space="preserve">( </w:t>
      </w:r>
      <w:r w:rsidRPr="00315653">
        <w:rPr>
          <w:rStyle w:val="ab"/>
          <w:color w:val="000000"/>
          <w:rtl/>
          <w:lang w:bidi="ar-EG"/>
        </w:rPr>
        <w:footnoteReference w:id="463"/>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أو أن يكون عقد كفالته باطلا أو قابلا للإبطال</w:t>
      </w:r>
      <w:r>
        <w:rPr>
          <w:rFonts w:hint="cs"/>
          <w:color w:val="000000"/>
          <w:rtl/>
          <w:lang w:bidi="ar-EG"/>
        </w:rPr>
        <w:t xml:space="preserve"> ،</w:t>
      </w:r>
      <w:r w:rsidRPr="00315653">
        <w:rPr>
          <w:rFonts w:hint="cs"/>
          <w:color w:val="000000"/>
          <w:rtl/>
          <w:lang w:bidi="ar-EG"/>
        </w:rPr>
        <w:t xml:space="preserve"> أو أن يكون الدين المكفول باطلا أو قابلا للإبطال أو انقضى بسبب من أسباب الانقضاء ووفى الكفل الذي يريد الرجوع دون نظر إلى شيء من ذلك</w:t>
      </w:r>
      <w:r>
        <w:rPr>
          <w:rFonts w:hint="cs"/>
          <w:color w:val="000000"/>
          <w:vertAlign w:val="superscript"/>
          <w:rtl/>
          <w:lang w:bidi="ar-EG"/>
        </w:rPr>
        <w:t xml:space="preserve">( </w:t>
      </w:r>
      <w:r w:rsidRPr="00315653">
        <w:rPr>
          <w:rStyle w:val="ab"/>
          <w:color w:val="000000"/>
          <w:rtl/>
          <w:lang w:bidi="ar-EG"/>
        </w:rPr>
        <w:footnoteReference w:id="464"/>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widowControl w:val="0"/>
        <w:spacing w:after="120"/>
        <w:ind w:firstLine="567"/>
        <w:jc w:val="lowKashida"/>
        <w:rPr>
          <w:rFonts w:hint="cs"/>
          <w:color w:val="000000"/>
          <w:rtl/>
        </w:rPr>
      </w:pPr>
      <w:r w:rsidRPr="00315653">
        <w:rPr>
          <w:rFonts w:hint="cs"/>
          <w:b/>
          <w:bCs/>
          <w:color w:val="000000"/>
          <w:rtl/>
          <w:lang w:bidi="ar-EG"/>
        </w:rPr>
        <w:t>80- مقدار ما يرجع الكفيل به</w:t>
      </w:r>
      <w:r>
        <w:rPr>
          <w:rFonts w:hint="cs"/>
          <w:color w:val="000000"/>
          <w:rtl/>
          <w:lang w:bidi="ar-EG"/>
        </w:rPr>
        <w:t xml:space="preserve"> :</w:t>
      </w:r>
      <w:r w:rsidRPr="00315653">
        <w:rPr>
          <w:rFonts w:hint="cs"/>
          <w:color w:val="000000"/>
          <w:rtl/>
          <w:lang w:bidi="ar-EG"/>
        </w:rPr>
        <w:t xml:space="preserve"> رأينا</w:t>
      </w:r>
      <w:r>
        <w:rPr>
          <w:rFonts w:hint="cs"/>
          <w:color w:val="000000"/>
          <w:vertAlign w:val="superscript"/>
          <w:rtl/>
          <w:lang w:bidi="ar-EG"/>
        </w:rPr>
        <w:t xml:space="preserve">( </w:t>
      </w:r>
      <w:r w:rsidRPr="00315653">
        <w:rPr>
          <w:rStyle w:val="ab"/>
          <w:color w:val="000000"/>
          <w:rtl/>
          <w:lang w:bidi="ar-EG"/>
        </w:rPr>
        <w:footnoteReference w:id="465"/>
      </w:r>
      <w:r>
        <w:rPr>
          <w:rFonts w:hint="cs"/>
          <w:color w:val="000000"/>
          <w:vertAlign w:val="superscript"/>
          <w:rtl/>
          <w:lang w:bidi="ar-EG"/>
        </w:rPr>
        <w:t xml:space="preserve"> )</w:t>
      </w:r>
      <w:r w:rsidRPr="00315653">
        <w:rPr>
          <w:rFonts w:hint="cs"/>
          <w:color w:val="000000"/>
          <w:rtl/>
          <w:lang w:bidi="ar-EG"/>
        </w:rPr>
        <w:t xml:space="preserve"> أن المادة 796 مدني تنص على أنه "إذا كان الكفلاء متضامنين فيما بينهم ووفى أحدهم الدين عند حلوله</w:t>
      </w:r>
      <w:r>
        <w:rPr>
          <w:rFonts w:hint="cs"/>
          <w:color w:val="000000"/>
          <w:rtl/>
          <w:lang w:bidi="ar-EG"/>
        </w:rPr>
        <w:t xml:space="preserve"> ،</w:t>
      </w:r>
      <w:r w:rsidRPr="00315653">
        <w:rPr>
          <w:rFonts w:hint="cs"/>
          <w:color w:val="000000"/>
          <w:rtl/>
          <w:lang w:bidi="ar-EG"/>
        </w:rPr>
        <w:t xml:space="preserve"> كان له أن يرجع على كل من الباقين بحصته في الدين وبنصيبه في $207 حصة المعسر منهم"</w:t>
      </w:r>
      <w:r>
        <w:rPr>
          <w:rFonts w:hint="cs"/>
          <w:color w:val="000000"/>
          <w:rtl/>
          <w:lang w:bidi="ar-EG"/>
        </w:rPr>
        <w:t xml:space="preserve"> .</w:t>
      </w:r>
      <w:r w:rsidRPr="00315653">
        <w:rPr>
          <w:rFonts w:hint="cs"/>
          <w:color w:val="000000"/>
          <w:rtl/>
          <w:lang w:bidi="ar-EG"/>
        </w:rPr>
        <w:t xml:space="preserve"> وليس هذا النص إلا تطبقاً تشريعياً للقواعد العامة في التضامن ما ين المدينين المتضامنين إذا رجع أحدهم على الباقين</w:t>
      </w:r>
      <w:r>
        <w:rPr>
          <w:rFonts w:hint="cs"/>
          <w:color w:val="000000"/>
          <w:rtl/>
          <w:lang w:bidi="ar-EG"/>
        </w:rPr>
        <w:t xml:space="preserve"> ،</w:t>
      </w:r>
      <w:r w:rsidRPr="00315653">
        <w:rPr>
          <w:rFonts w:hint="cs"/>
          <w:color w:val="000000"/>
          <w:rtl/>
          <w:lang w:bidi="ar-EG"/>
        </w:rPr>
        <w:t xml:space="preserve"> إذ أن الكفلاء المتضامنين ليسوا إلا مدينين متضامنين تجاه الدائن</w:t>
      </w:r>
      <w:r>
        <w:rPr>
          <w:rFonts w:hint="cs"/>
          <w:color w:val="000000"/>
          <w:rtl/>
          <w:lang w:bidi="ar-EG"/>
        </w:rPr>
        <w:t xml:space="preserve"> .</w:t>
      </w:r>
      <w:r w:rsidRPr="00315653">
        <w:rPr>
          <w:rFonts w:hint="cs"/>
          <w:color w:val="000000"/>
          <w:rtl/>
          <w:lang w:bidi="ar-EG"/>
        </w:rPr>
        <w:t xml:space="preserve"> وتنص المادة 297 مدني في هذا الصدد على أنه "1- إذا وفى أحد المدينين المتضامنين كل الدين</w:t>
      </w:r>
      <w:r>
        <w:rPr>
          <w:rFonts w:hint="cs"/>
          <w:color w:val="000000"/>
          <w:rtl/>
          <w:lang w:bidi="ar-EG"/>
        </w:rPr>
        <w:t xml:space="preserve"> ،</w:t>
      </w:r>
      <w:r w:rsidRPr="00315653">
        <w:rPr>
          <w:rFonts w:hint="cs"/>
          <w:color w:val="000000"/>
          <w:rtl/>
          <w:lang w:bidi="ar-EG"/>
        </w:rPr>
        <w:t xml:space="preserve"> فلا يجوز له أن يرجع على أي من الباقين إلا بقدر حصته في الدين</w:t>
      </w:r>
      <w:r>
        <w:rPr>
          <w:rFonts w:hint="cs"/>
          <w:color w:val="000000"/>
          <w:rtl/>
          <w:lang w:bidi="ar-EG"/>
        </w:rPr>
        <w:t xml:space="preserve"> ،</w:t>
      </w:r>
      <w:r w:rsidRPr="00315653">
        <w:rPr>
          <w:rFonts w:hint="cs"/>
          <w:color w:val="000000"/>
          <w:rtl/>
          <w:lang w:bidi="ar-EG"/>
        </w:rPr>
        <w:t xml:space="preserve"> ولو كان بما له من حق الحلول قد رجع بدعوى الدائن</w:t>
      </w:r>
      <w:r>
        <w:rPr>
          <w:rFonts w:hint="cs"/>
          <w:color w:val="000000"/>
          <w:rtl/>
          <w:lang w:bidi="ar-EG"/>
        </w:rPr>
        <w:t xml:space="preserve"> .</w:t>
      </w:r>
      <w:r w:rsidRPr="00315653">
        <w:rPr>
          <w:rFonts w:hint="cs"/>
          <w:color w:val="000000"/>
          <w:rtl/>
          <w:lang w:bidi="ar-EG"/>
        </w:rPr>
        <w:t xml:space="preserve"> 2- وينقسم الدين إذا وفاه أحد المدينين حصصاً متساوية بين الجميع</w:t>
      </w:r>
      <w:r>
        <w:rPr>
          <w:rFonts w:hint="cs"/>
          <w:color w:val="000000"/>
          <w:rtl/>
          <w:lang w:bidi="ar-EG"/>
        </w:rPr>
        <w:t xml:space="preserve"> ،</w:t>
      </w:r>
      <w:r w:rsidRPr="00315653">
        <w:rPr>
          <w:rFonts w:hint="cs"/>
          <w:color w:val="000000"/>
          <w:rtl/>
          <w:lang w:bidi="ar-EG"/>
        </w:rPr>
        <w:t xml:space="preserve"> ما لم يوجد اتفاق أو نص يقضي بغير ذلك"</w:t>
      </w:r>
      <w:r>
        <w:rPr>
          <w:rFonts w:hint="cs"/>
          <w:color w:val="000000"/>
          <w:rtl/>
          <w:lang w:bidi="ar-EG"/>
        </w:rPr>
        <w:t xml:space="preserve"> .</w:t>
      </w:r>
      <w:r w:rsidRPr="00315653">
        <w:rPr>
          <w:rFonts w:hint="cs"/>
          <w:color w:val="000000"/>
          <w:rtl/>
          <w:lang w:bidi="ar-EG"/>
        </w:rPr>
        <w:t xml:space="preserve"> وتنص المادة 298 مدني على أنه "إذا أعسر أحد المدينين المتضامنين</w:t>
      </w:r>
      <w:r>
        <w:rPr>
          <w:rFonts w:hint="cs"/>
          <w:color w:val="000000"/>
          <w:rtl/>
          <w:lang w:bidi="ar-EG"/>
        </w:rPr>
        <w:t xml:space="preserve"> ،</w:t>
      </w:r>
      <w:r w:rsidRPr="00315653">
        <w:rPr>
          <w:rFonts w:hint="cs"/>
          <w:color w:val="000000"/>
          <w:rtl/>
          <w:lang w:bidi="ar-EG"/>
        </w:rPr>
        <w:t xml:space="preserve"> تحمل تبعة هذا الإعسار المدين الذي وفى بالدين وسائر المدينين الموسرين</w:t>
      </w:r>
      <w:r>
        <w:rPr>
          <w:rFonts w:hint="cs"/>
          <w:color w:val="000000"/>
          <w:rtl/>
          <w:lang w:bidi="ar-EG"/>
        </w:rPr>
        <w:t xml:space="preserve"> ،</w:t>
      </w:r>
      <w:r w:rsidRPr="00315653">
        <w:rPr>
          <w:rFonts w:hint="cs"/>
          <w:color w:val="000000"/>
          <w:rtl/>
          <w:lang w:bidi="ar-EG"/>
        </w:rPr>
        <w:t xml:space="preserve"> كل بقدر حصته"</w:t>
      </w:r>
      <w:r>
        <w:rPr>
          <w:rFonts w:hint="cs"/>
          <w:color w:val="000000"/>
          <w:rtl/>
          <w:lang w:bidi="ar-EG"/>
        </w:rPr>
        <w:t xml:space="preserve"> .</w:t>
      </w:r>
      <w:r w:rsidRPr="00315653">
        <w:rPr>
          <w:rFonts w:hint="cs"/>
          <w:color w:val="000000"/>
          <w:rtl/>
          <w:lang w:bidi="ar-EG"/>
        </w:rPr>
        <w:t xml:space="preserve"> والمدينون المتضامون</w:t>
      </w:r>
      <w:r>
        <w:rPr>
          <w:rFonts w:hint="cs"/>
          <w:color w:val="000000"/>
          <w:rtl/>
          <w:lang w:bidi="ar-EG"/>
        </w:rPr>
        <w:t xml:space="preserve"> ،</w:t>
      </w:r>
      <w:r w:rsidRPr="00315653">
        <w:rPr>
          <w:rFonts w:hint="cs"/>
          <w:color w:val="000000"/>
          <w:rtl/>
          <w:lang w:bidi="ar-EG"/>
        </w:rPr>
        <w:t xml:space="preserve"> </w:t>
      </w:r>
      <w:r>
        <w:rPr>
          <w:color w:val="000000"/>
          <w:rtl/>
          <w:lang w:bidi="ar-EG"/>
        </w:rPr>
        <w:t xml:space="preserve">( </w:t>
      </w:r>
      <w:r w:rsidRPr="00315653">
        <w:rPr>
          <w:color w:val="000000"/>
          <w:lang w:bidi="ar-EG"/>
        </w:rPr>
        <w:t>in solidum</w:t>
      </w:r>
      <w:r>
        <w:rPr>
          <w:color w:val="000000"/>
          <w:rtl/>
          <w:lang w:bidi="ar-EG"/>
        </w:rPr>
        <w:t xml:space="preserve"> )</w:t>
      </w:r>
      <w:r w:rsidRPr="00315653">
        <w:rPr>
          <w:rFonts w:hint="cs"/>
          <w:color w:val="000000"/>
          <w:rtl/>
        </w:rPr>
        <w:t xml:space="preserve"> في هذا كالمدينين المتضامنين</w:t>
      </w:r>
      <w:r>
        <w:rPr>
          <w:rFonts w:hint="cs"/>
          <w:color w:val="000000"/>
          <w:rtl/>
        </w:rPr>
        <w:t xml:space="preserve"> ،</w:t>
      </w:r>
      <w:r w:rsidRPr="00315653">
        <w:rPr>
          <w:rFonts w:hint="cs"/>
          <w:color w:val="000000"/>
          <w:rtl/>
        </w:rPr>
        <w:t xml:space="preserve"> إذ قدمنا أنه لا يقترن أحد الفريقين عن الفريق الآخر إلا في المصلحة </w:t>
      </w:r>
      <w:r w:rsidRPr="00315653">
        <w:rPr>
          <w:rFonts w:hint="cs"/>
          <w:color w:val="000000"/>
          <w:rtl/>
        </w:rPr>
        <w:lastRenderedPageBreak/>
        <w:t>المشتركة وتمثيل أحد المدينين لسائرهم فيما ينفع</w:t>
      </w:r>
      <w:r>
        <w:rPr>
          <w:rFonts w:hint="cs"/>
          <w:color w:val="000000"/>
          <w:rtl/>
        </w:rPr>
        <w:t xml:space="preserve"> ،</w:t>
      </w:r>
      <w:r w:rsidRPr="00315653">
        <w:rPr>
          <w:rFonts w:hint="cs"/>
          <w:color w:val="000000"/>
          <w:rtl/>
        </w:rPr>
        <w:t xml:space="preserve"> ورجوع أحد المدينين على الباقي لا علاقة له بهذا التمثيل</w:t>
      </w:r>
      <w:r>
        <w:rPr>
          <w:rFonts w:hint="cs"/>
          <w:color w:val="000000"/>
          <w:rtl/>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rPr>
        <w:t>فإذا وفى أحد الكفلاء المتضامنين أو المتضامين</w:t>
      </w:r>
      <w:r>
        <w:rPr>
          <w:rFonts w:hint="cs"/>
          <w:color w:val="000000"/>
          <w:vertAlign w:val="superscript"/>
          <w:rtl/>
          <w:lang w:bidi="ar-EG"/>
        </w:rPr>
        <w:t xml:space="preserve">( </w:t>
      </w:r>
      <w:r w:rsidRPr="00315653">
        <w:rPr>
          <w:rStyle w:val="ab"/>
          <w:color w:val="000000"/>
          <w:rtl/>
          <w:lang w:bidi="ar-EG"/>
        </w:rPr>
        <w:footnoteReference w:id="466"/>
      </w:r>
      <w:r>
        <w:rPr>
          <w:rFonts w:hint="cs"/>
          <w:color w:val="000000"/>
          <w:vertAlign w:val="superscript"/>
          <w:rtl/>
          <w:lang w:bidi="ar-EG"/>
        </w:rPr>
        <w:t xml:space="preserve"> )</w:t>
      </w:r>
      <w:r w:rsidRPr="00315653">
        <w:rPr>
          <w:rFonts w:hint="cs"/>
          <w:color w:val="000000"/>
          <w:rtl/>
          <w:lang w:bidi="ar-EG"/>
        </w:rPr>
        <w:t xml:space="preserve"> كل الدين للدائن</w:t>
      </w:r>
      <w:r>
        <w:rPr>
          <w:rFonts w:hint="cs"/>
          <w:color w:val="000000"/>
          <w:rtl/>
          <w:lang w:bidi="ar-EG"/>
        </w:rPr>
        <w:t xml:space="preserve"> ،</w:t>
      </w:r>
      <w:r w:rsidRPr="00315653">
        <w:rPr>
          <w:rFonts w:hint="cs"/>
          <w:color w:val="000000"/>
          <w:rtl/>
          <w:lang w:bidi="ar-EG"/>
        </w:rPr>
        <w:t xml:space="preserve"> رجع على باقي الكفلاء كل بقدر حصته في الدين</w:t>
      </w:r>
      <w:r>
        <w:rPr>
          <w:rFonts w:hint="cs"/>
          <w:color w:val="000000"/>
          <w:rtl/>
          <w:lang w:bidi="ar-EG"/>
        </w:rPr>
        <w:t xml:space="preserve"> ،</w:t>
      </w:r>
      <w:r w:rsidRPr="00315653">
        <w:rPr>
          <w:rFonts w:hint="cs"/>
          <w:color w:val="000000"/>
          <w:rtl/>
          <w:lang w:bidi="ar-EG"/>
        </w:rPr>
        <w:t xml:space="preserve"> سواء رجع بالدعوى الشخصية أو بدعوى الحلول</w:t>
      </w:r>
      <w:r>
        <w:rPr>
          <w:rFonts w:hint="cs"/>
          <w:color w:val="000000"/>
          <w:vertAlign w:val="superscript"/>
          <w:rtl/>
          <w:lang w:bidi="ar-EG"/>
        </w:rPr>
        <w:t xml:space="preserve">( </w:t>
      </w:r>
      <w:r w:rsidRPr="00315653">
        <w:rPr>
          <w:rStyle w:val="ab"/>
          <w:color w:val="000000"/>
          <w:rtl/>
          <w:lang w:bidi="ar-EG"/>
        </w:rPr>
        <w:footnoteReference w:id="467"/>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وتتعين حصص الكفلاء في الدين بموجب $208 الاتفاق فيما بينهم منذ نشوء الدين في ذمتهم أ</w:t>
      </w:r>
      <w:r w:rsidRPr="00315653">
        <w:rPr>
          <w:rFonts w:hint="cs"/>
          <w:color w:val="000000"/>
          <w:rtl/>
        </w:rPr>
        <w:t>و</w:t>
      </w:r>
      <w:r w:rsidRPr="00315653">
        <w:rPr>
          <w:rFonts w:hint="cs"/>
          <w:color w:val="000000"/>
          <w:rtl/>
          <w:lang w:bidi="ar-EG"/>
        </w:rPr>
        <w:t xml:space="preserve"> بموجب نص في القانون</w:t>
      </w:r>
      <w:r>
        <w:rPr>
          <w:rFonts w:hint="cs"/>
          <w:color w:val="000000"/>
          <w:rtl/>
          <w:lang w:bidi="ar-EG"/>
        </w:rPr>
        <w:t xml:space="preserve"> .</w:t>
      </w:r>
      <w:r w:rsidRPr="00315653">
        <w:rPr>
          <w:rFonts w:hint="cs"/>
          <w:color w:val="000000"/>
          <w:rtl/>
          <w:lang w:bidi="ar-EG"/>
        </w:rPr>
        <w:t xml:space="preserve"> فإذا لم يوجد اتفاق أو نص</w:t>
      </w:r>
      <w:r>
        <w:rPr>
          <w:rFonts w:hint="cs"/>
          <w:color w:val="000000"/>
          <w:rtl/>
          <w:lang w:bidi="ar-EG"/>
        </w:rPr>
        <w:t xml:space="preserve"> ،</w:t>
      </w:r>
      <w:r w:rsidRPr="00315653">
        <w:rPr>
          <w:rFonts w:hint="cs"/>
          <w:color w:val="000000"/>
          <w:rtl/>
          <w:lang w:bidi="ar-EG"/>
        </w:rPr>
        <w:t xml:space="preserve"> لم يبق إلا جعل حصص الكفلاء جميعاً متساوية</w:t>
      </w:r>
      <w:r>
        <w:rPr>
          <w:rFonts w:hint="cs"/>
          <w:color w:val="000000"/>
          <w:rtl/>
          <w:lang w:bidi="ar-EG"/>
        </w:rPr>
        <w:t xml:space="preserve"> ،</w:t>
      </w:r>
      <w:r w:rsidRPr="00315653">
        <w:rPr>
          <w:rFonts w:hint="cs"/>
          <w:color w:val="000000"/>
          <w:rtl/>
          <w:lang w:bidi="ar-EG"/>
        </w:rPr>
        <w:t xml:space="preserve"> إذ لا مبرر لجعل حصة أكبر من الأخرى</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lang w:bidi="ar-EG"/>
        </w:rPr>
        <w:t>ويتحمل الكفلاء المتضامنون أو المتضامون حصة المعسر منهم</w:t>
      </w:r>
      <w:r>
        <w:rPr>
          <w:rFonts w:hint="cs"/>
          <w:color w:val="000000"/>
          <w:rtl/>
          <w:lang w:bidi="ar-EG"/>
        </w:rPr>
        <w:t xml:space="preserve"> ،</w:t>
      </w:r>
      <w:r w:rsidRPr="00315653">
        <w:rPr>
          <w:rFonts w:hint="cs"/>
          <w:color w:val="000000"/>
          <w:rtl/>
          <w:lang w:bidi="ar-EG"/>
        </w:rPr>
        <w:t xml:space="preserve"> فتنقسم هذه الحصة بينهم بنسبة الحصة الأصلية لكل منهم في الدين</w:t>
      </w:r>
      <w:r>
        <w:rPr>
          <w:rFonts w:hint="cs"/>
          <w:color w:val="000000"/>
          <w:rtl/>
          <w:lang w:bidi="ar-EG"/>
        </w:rPr>
        <w:t xml:space="preserve"> ،</w:t>
      </w:r>
      <w:r w:rsidRPr="00315653">
        <w:rPr>
          <w:rFonts w:hint="cs"/>
          <w:color w:val="000000"/>
          <w:rtl/>
          <w:lang w:bidi="ar-EG"/>
        </w:rPr>
        <w:t xml:space="preserve"> ويرجع الكفيل الذي وفي كل الدين على أي من الكفلاء الموسرين بمقدار حصته وبنصيبه في حصة المعسر</w:t>
      </w:r>
      <w:r>
        <w:rPr>
          <w:rFonts w:hint="cs"/>
          <w:color w:val="000000"/>
          <w:rtl/>
          <w:lang w:bidi="ar-EG"/>
        </w:rPr>
        <w:t xml:space="preserve"> .</w:t>
      </w:r>
      <w:r w:rsidRPr="00315653">
        <w:rPr>
          <w:rFonts w:hint="cs"/>
          <w:color w:val="000000"/>
          <w:rtl/>
          <w:lang w:bidi="ar-EG"/>
        </w:rPr>
        <w:t xml:space="preserve"> فلو أن الكفلاء المتضامنين أو المتضامين كانوا ثلاثة</w:t>
      </w:r>
      <w:r>
        <w:rPr>
          <w:rFonts w:hint="cs"/>
          <w:color w:val="000000"/>
          <w:rtl/>
          <w:lang w:bidi="ar-EG"/>
        </w:rPr>
        <w:t xml:space="preserve"> ،</w:t>
      </w:r>
      <w:r w:rsidRPr="00315653">
        <w:rPr>
          <w:rFonts w:hint="cs"/>
          <w:color w:val="000000"/>
          <w:rtl/>
          <w:lang w:bidi="ar-EG"/>
        </w:rPr>
        <w:t xml:space="preserve"> وكان الدين ثلاثة آلاف على كل منهم الثلث</w:t>
      </w:r>
      <w:r>
        <w:rPr>
          <w:rFonts w:hint="cs"/>
          <w:color w:val="000000"/>
          <w:rtl/>
          <w:lang w:bidi="ar-EG"/>
        </w:rPr>
        <w:t xml:space="preserve"> ،</w:t>
      </w:r>
      <w:r w:rsidRPr="00315653">
        <w:rPr>
          <w:rFonts w:hint="cs"/>
          <w:color w:val="000000"/>
          <w:rtl/>
          <w:lang w:bidi="ar-EG"/>
        </w:rPr>
        <w:t xml:space="preserve"> ووفاه كله واحد منهم</w:t>
      </w:r>
      <w:r>
        <w:rPr>
          <w:rFonts w:hint="cs"/>
          <w:color w:val="000000"/>
          <w:rtl/>
          <w:lang w:bidi="ar-EG"/>
        </w:rPr>
        <w:t xml:space="preserve"> ،</w:t>
      </w:r>
      <w:r w:rsidRPr="00315653">
        <w:rPr>
          <w:rFonts w:hint="cs"/>
          <w:color w:val="000000"/>
          <w:rtl/>
          <w:lang w:bidi="ar-EG"/>
        </w:rPr>
        <w:t xml:space="preserve"> فإنه يرجع على كل من الاثنين الآخرين بألف</w:t>
      </w:r>
      <w:r>
        <w:rPr>
          <w:rFonts w:hint="cs"/>
          <w:color w:val="000000"/>
          <w:rtl/>
          <w:lang w:bidi="ar-EG"/>
        </w:rPr>
        <w:t xml:space="preserve"> .</w:t>
      </w:r>
      <w:r w:rsidRPr="00315653">
        <w:rPr>
          <w:rFonts w:hint="cs"/>
          <w:color w:val="000000"/>
          <w:rtl/>
          <w:lang w:bidi="ar-EG"/>
        </w:rPr>
        <w:t xml:space="preserve"> فلو كان واحد منهما معسراً رجع الكفيل الدافع على الكفيل الموسر بألف وخمسمائة</w:t>
      </w:r>
      <w:r>
        <w:rPr>
          <w:rFonts w:hint="cs"/>
          <w:color w:val="000000"/>
          <w:rtl/>
          <w:lang w:bidi="ar-EG"/>
        </w:rPr>
        <w:t xml:space="preserve"> ،</w:t>
      </w:r>
      <w:r w:rsidRPr="00315653">
        <w:rPr>
          <w:rFonts w:hint="cs"/>
          <w:color w:val="000000"/>
          <w:rtl/>
          <w:lang w:bidi="ar-EG"/>
        </w:rPr>
        <w:t xml:space="preserve"> ألف هي حصة الكفيل الموسر في الدين وخمسمائة هي نصيبه في حصة الكفيل المعسر</w:t>
      </w:r>
      <w:r>
        <w:rPr>
          <w:rFonts w:hint="cs"/>
          <w:color w:val="000000"/>
          <w:vertAlign w:val="superscript"/>
          <w:rtl/>
          <w:lang w:bidi="ar-EG"/>
        </w:rPr>
        <w:t xml:space="preserve">( </w:t>
      </w:r>
      <w:r w:rsidRPr="00315653">
        <w:rPr>
          <w:rStyle w:val="ab"/>
          <w:color w:val="000000"/>
          <w:rtl/>
          <w:lang w:bidi="ar-EG"/>
        </w:rPr>
        <w:footnoteReference w:id="468"/>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ويذهب الفقه الفرنسي إلى أن العبرة في القيام الإعسار</w:t>
      </w:r>
      <w:r w:rsidRPr="00315653">
        <w:rPr>
          <w:rFonts w:hint="cs"/>
          <w:color w:val="000000"/>
          <w:vertAlign w:val="superscript"/>
          <w:rtl/>
          <w:lang w:bidi="ar-EG"/>
        </w:rPr>
        <w:t xml:space="preserve"> </w:t>
      </w:r>
      <w:r w:rsidRPr="00315653">
        <w:rPr>
          <w:rFonts w:hint="cs"/>
          <w:color w:val="000000"/>
          <w:rtl/>
          <w:lang w:bidi="ar-EG"/>
        </w:rPr>
        <w:t>تكون $209</w:t>
      </w:r>
      <w:r w:rsidRPr="00315653">
        <w:rPr>
          <w:color w:val="000000"/>
          <w:lang w:bidi="ar-EG"/>
        </w:rPr>
        <w:t xml:space="preserve"> </w:t>
      </w:r>
      <w:r w:rsidRPr="00315653">
        <w:rPr>
          <w:rFonts w:hint="cs"/>
          <w:color w:val="000000"/>
          <w:rtl/>
          <w:lang w:bidi="ar-EG"/>
        </w:rPr>
        <w:t xml:space="preserve"> بالوقت الذي وفي فيه الكفيل الدين للدائن</w:t>
      </w:r>
      <w:r>
        <w:rPr>
          <w:rFonts w:hint="cs"/>
          <w:color w:val="000000"/>
          <w:rtl/>
          <w:lang w:bidi="ar-EG"/>
        </w:rPr>
        <w:t xml:space="preserve"> ،</w:t>
      </w:r>
      <w:r w:rsidRPr="00315653">
        <w:rPr>
          <w:rFonts w:hint="cs"/>
          <w:color w:val="000000"/>
          <w:rtl/>
          <w:lang w:bidi="ar-EG"/>
        </w:rPr>
        <w:t xml:space="preserve"> فقد نشأ حقه ف الرجوع على الكفلاء الآخرين بما في ذلك تقسيم حصة المعسر على الموسرين في هذا الوقت</w:t>
      </w:r>
      <w:r>
        <w:rPr>
          <w:rFonts w:hint="cs"/>
          <w:color w:val="000000"/>
          <w:rtl/>
          <w:lang w:bidi="ar-EG"/>
        </w:rPr>
        <w:t xml:space="preserve"> .</w:t>
      </w:r>
      <w:r w:rsidRPr="00315653">
        <w:rPr>
          <w:rFonts w:hint="cs"/>
          <w:color w:val="000000"/>
          <w:rtl/>
          <w:lang w:bidi="ar-EG"/>
        </w:rPr>
        <w:t xml:space="preserve"> فإذا كان الكفلاء الآخرون موسرين وقت الوفاء للدائن</w:t>
      </w:r>
      <w:r>
        <w:rPr>
          <w:rFonts w:hint="cs"/>
          <w:color w:val="000000"/>
          <w:rtl/>
          <w:lang w:bidi="ar-EG"/>
        </w:rPr>
        <w:t xml:space="preserve"> ،</w:t>
      </w:r>
      <w:r w:rsidRPr="00315653">
        <w:rPr>
          <w:rFonts w:hint="cs"/>
          <w:color w:val="000000"/>
          <w:rtl/>
          <w:lang w:bidi="ar-EG"/>
        </w:rPr>
        <w:t xml:space="preserve"> وتأخر الكفيل الذي وفي الدين في الرجوع عليهم حتى أعسر واحد منهم</w:t>
      </w:r>
      <w:r>
        <w:rPr>
          <w:rFonts w:hint="cs"/>
          <w:color w:val="000000"/>
          <w:rtl/>
          <w:lang w:bidi="ar-EG"/>
        </w:rPr>
        <w:t xml:space="preserve"> ،</w:t>
      </w:r>
      <w:r w:rsidRPr="00315653">
        <w:rPr>
          <w:rFonts w:hint="cs"/>
          <w:color w:val="000000"/>
          <w:rtl/>
          <w:lang w:bidi="ar-EG"/>
        </w:rPr>
        <w:t xml:space="preserve"> فالكفيل الذي وفى الدين هو وحده الذي يتحمل حصة هذا المعسر جزاء تأخره في الرجوع عليه</w:t>
      </w:r>
      <w:r>
        <w:rPr>
          <w:rFonts w:hint="cs"/>
          <w:color w:val="000000"/>
          <w:vertAlign w:val="superscript"/>
          <w:rtl/>
          <w:lang w:bidi="ar-EG"/>
        </w:rPr>
        <w:t xml:space="preserve">( </w:t>
      </w:r>
      <w:r w:rsidRPr="00315653">
        <w:rPr>
          <w:rStyle w:val="ab"/>
          <w:color w:val="000000"/>
          <w:rtl/>
          <w:lang w:bidi="ar-EG"/>
        </w:rPr>
        <w:footnoteReference w:id="469"/>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ويحسن التحفظ في هذا الرأي</w:t>
      </w:r>
      <w:r>
        <w:rPr>
          <w:rFonts w:hint="cs"/>
          <w:color w:val="000000"/>
          <w:rtl/>
          <w:lang w:bidi="ar-EG"/>
        </w:rPr>
        <w:t xml:space="preserve"> .</w:t>
      </w:r>
      <w:r w:rsidRPr="00315653">
        <w:rPr>
          <w:rFonts w:hint="cs"/>
          <w:color w:val="000000"/>
          <w:rtl/>
          <w:lang w:bidi="ar-EG"/>
        </w:rPr>
        <w:t xml:space="preserve"> فقد يطالب الدائن أحد الكفلاء المتضامنين أو المتضامين بكل الدين</w:t>
      </w:r>
      <w:r>
        <w:rPr>
          <w:rFonts w:hint="cs"/>
          <w:color w:val="000000"/>
          <w:rtl/>
          <w:lang w:bidi="ar-EG"/>
        </w:rPr>
        <w:t xml:space="preserve"> ،</w:t>
      </w:r>
      <w:r w:rsidRPr="00315653">
        <w:rPr>
          <w:rFonts w:hint="cs"/>
          <w:color w:val="000000"/>
          <w:rtl/>
          <w:lang w:bidi="ar-EG"/>
        </w:rPr>
        <w:t xml:space="preserve"> فيبادر هذا الكفيل الذي رفع عليه الدعوى</w:t>
      </w:r>
      <w:r>
        <w:rPr>
          <w:rFonts w:hint="cs"/>
          <w:color w:val="000000"/>
          <w:rtl/>
          <w:lang w:bidi="ar-EG"/>
        </w:rPr>
        <w:t xml:space="preserve"> ،</w:t>
      </w:r>
      <w:r w:rsidRPr="00315653">
        <w:rPr>
          <w:rFonts w:hint="cs"/>
          <w:color w:val="000000"/>
          <w:rtl/>
          <w:lang w:bidi="ar-EG"/>
        </w:rPr>
        <w:t xml:space="preserve"> ثم يعسر أحد الكفلاء قبل أن يتمكن الكفيل الذي وفى الدين من استيفاء حصة هذا الكفيل الذي أعسر</w:t>
      </w:r>
      <w:r>
        <w:rPr>
          <w:rFonts w:hint="cs"/>
          <w:color w:val="000000"/>
          <w:rtl/>
          <w:lang w:bidi="ar-EG"/>
        </w:rPr>
        <w:t xml:space="preserve"> .</w:t>
      </w:r>
      <w:r w:rsidRPr="00315653">
        <w:rPr>
          <w:rFonts w:hint="cs"/>
          <w:color w:val="000000"/>
          <w:rtl/>
          <w:lang w:bidi="ar-EG"/>
        </w:rPr>
        <w:t xml:space="preserve"> فهنا لا يمكن أن ينسب أي تقصير إلى الكفيل الذي وفى الدين</w:t>
      </w:r>
      <w:r>
        <w:rPr>
          <w:rFonts w:hint="cs"/>
          <w:color w:val="000000"/>
          <w:rtl/>
          <w:lang w:bidi="ar-EG"/>
        </w:rPr>
        <w:t xml:space="preserve"> ،</w:t>
      </w:r>
      <w:r w:rsidRPr="00315653">
        <w:rPr>
          <w:rFonts w:hint="cs"/>
          <w:color w:val="000000"/>
          <w:rtl/>
          <w:lang w:bidi="ar-EG"/>
        </w:rPr>
        <w:t xml:space="preserve"> وليس من العدل أن يتحمل وحده حصة الكفيل المعسر</w:t>
      </w:r>
      <w:r>
        <w:rPr>
          <w:rFonts w:hint="cs"/>
          <w:color w:val="000000"/>
          <w:rtl/>
          <w:lang w:bidi="ar-EG"/>
        </w:rPr>
        <w:t xml:space="preserve"> .</w:t>
      </w:r>
      <w:r w:rsidRPr="00315653">
        <w:rPr>
          <w:rFonts w:hint="cs"/>
          <w:color w:val="000000"/>
          <w:rtl/>
          <w:lang w:bidi="ar-EG"/>
        </w:rPr>
        <w:t xml:space="preserve"> من أجل ذلك يحسن القول بأن الأصل </w:t>
      </w:r>
      <w:r w:rsidRPr="00315653">
        <w:rPr>
          <w:rFonts w:hint="cs"/>
          <w:color w:val="000000"/>
          <w:rtl/>
          <w:lang w:bidi="ar-EG"/>
        </w:rPr>
        <w:lastRenderedPageBreak/>
        <w:t>في الإعسار أن يقوم وقت الوفاء للدائن</w:t>
      </w:r>
      <w:r>
        <w:rPr>
          <w:rFonts w:hint="cs"/>
          <w:color w:val="000000"/>
          <w:rtl/>
          <w:lang w:bidi="ar-EG"/>
        </w:rPr>
        <w:t xml:space="preserve"> ،</w:t>
      </w:r>
      <w:r w:rsidRPr="00315653">
        <w:rPr>
          <w:rFonts w:hint="cs"/>
          <w:color w:val="000000"/>
          <w:rtl/>
          <w:lang w:bidi="ar-EG"/>
        </w:rPr>
        <w:t xml:space="preserve"> فإذا وقع من هذا الوقت تحمل الكفيل الذي وفى الدين وحده حصة المعسر</w:t>
      </w:r>
      <w:r>
        <w:rPr>
          <w:rFonts w:hint="cs"/>
          <w:color w:val="000000"/>
          <w:rtl/>
          <w:lang w:bidi="ar-EG"/>
        </w:rPr>
        <w:t xml:space="preserve"> ،</w:t>
      </w:r>
      <w:r w:rsidRPr="00315653">
        <w:rPr>
          <w:rFonts w:hint="cs"/>
          <w:color w:val="000000"/>
          <w:rtl/>
          <w:lang w:bidi="ar-EG"/>
        </w:rPr>
        <w:t xml:space="preserve"> إلا إذا أثبت أنه لم يقصر إطلاقاً في المحافظة على حقه ضد الكفيل المعسر</w:t>
      </w:r>
      <w:r>
        <w:rPr>
          <w:rFonts w:hint="cs"/>
          <w:color w:val="000000"/>
          <w:vertAlign w:val="superscript"/>
          <w:rtl/>
          <w:lang w:bidi="ar-EG"/>
        </w:rPr>
        <w:t xml:space="preserve">( </w:t>
      </w:r>
      <w:r w:rsidRPr="00315653">
        <w:rPr>
          <w:rStyle w:val="ab"/>
          <w:color w:val="000000"/>
          <w:rtl/>
          <w:lang w:bidi="ar-EG"/>
        </w:rPr>
        <w:footnoteReference w:id="470"/>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spacing w:before="120"/>
        <w:jc w:val="center"/>
        <w:rPr>
          <w:rFonts w:hint="cs"/>
          <w:b/>
          <w:bCs/>
          <w:color w:val="000000"/>
          <w:rtl/>
          <w:lang w:bidi="ar-EG"/>
        </w:rPr>
      </w:pPr>
      <w:r w:rsidRPr="00315653">
        <w:rPr>
          <w:b/>
          <w:bCs/>
          <w:color w:val="000000"/>
          <w:rtl/>
          <w:lang w:bidi="ar-EG"/>
        </w:rPr>
        <w:t>§</w:t>
      </w:r>
      <w:r w:rsidRPr="00315653">
        <w:rPr>
          <w:rFonts w:hint="cs"/>
          <w:b/>
          <w:bCs/>
          <w:color w:val="000000"/>
          <w:rtl/>
          <w:lang w:bidi="ar-EG"/>
        </w:rPr>
        <w:t xml:space="preserve"> 2- رجوع الكفيل الذي وفى الدين على الكفيل العيني</w:t>
      </w:r>
    </w:p>
    <w:p w:rsidR="00F72742" w:rsidRPr="00315653" w:rsidRDefault="00F72742" w:rsidP="00F72742">
      <w:pPr>
        <w:spacing w:before="120"/>
        <w:jc w:val="center"/>
        <w:rPr>
          <w:rFonts w:hint="cs"/>
          <w:b/>
          <w:bCs/>
          <w:color w:val="000000"/>
          <w:rtl/>
          <w:lang w:bidi="ar-EG"/>
        </w:rPr>
      </w:pPr>
      <w:r w:rsidRPr="00315653">
        <w:rPr>
          <w:rFonts w:hint="cs"/>
          <w:b/>
          <w:bCs/>
          <w:color w:val="000000"/>
          <w:rtl/>
          <w:lang w:bidi="ar-EG"/>
        </w:rPr>
        <w:t>وعلى الحائز للعقار</w:t>
      </w:r>
    </w:p>
    <w:p w:rsidR="00F72742" w:rsidRPr="00315653" w:rsidRDefault="00F72742" w:rsidP="00F72742">
      <w:pPr>
        <w:spacing w:before="120"/>
        <w:ind w:firstLine="565"/>
        <w:jc w:val="lowKashida"/>
        <w:rPr>
          <w:rFonts w:hint="cs"/>
          <w:color w:val="000000"/>
          <w:rtl/>
          <w:lang w:bidi="ar-EG"/>
        </w:rPr>
      </w:pPr>
      <w:r w:rsidRPr="00315653">
        <w:rPr>
          <w:rFonts w:hint="cs"/>
          <w:b/>
          <w:bCs/>
          <w:color w:val="000000"/>
          <w:rtl/>
          <w:lang w:bidi="ar-EG"/>
        </w:rPr>
        <w:t>81- رجوع الكفيل الذي وفى الدين على الكيل العيني</w:t>
      </w:r>
      <w:r>
        <w:rPr>
          <w:rFonts w:hint="cs"/>
          <w:color w:val="000000"/>
          <w:rtl/>
          <w:lang w:bidi="ar-EG"/>
        </w:rPr>
        <w:t xml:space="preserve"> :</w:t>
      </w:r>
      <w:r w:rsidRPr="00315653">
        <w:rPr>
          <w:rFonts w:hint="cs"/>
          <w:color w:val="000000"/>
          <w:rtl/>
          <w:lang w:bidi="ar-EG"/>
        </w:rPr>
        <w:t xml:space="preserve"> الكفيل العيني</w:t>
      </w:r>
      <w:r>
        <w:rPr>
          <w:rFonts w:hint="cs"/>
          <w:color w:val="000000"/>
          <w:rtl/>
          <w:lang w:bidi="ar-EG"/>
        </w:rPr>
        <w:t xml:space="preserve"> ،</w:t>
      </w:r>
      <w:r w:rsidRPr="00315653">
        <w:rPr>
          <w:rFonts w:hint="cs"/>
          <w:color w:val="000000"/>
          <w:rtl/>
          <w:lang w:bidi="ar-EG"/>
        </w:rPr>
        <w:t xml:space="preserve"> كالكفيل الشخصي</w:t>
      </w:r>
      <w:r>
        <w:rPr>
          <w:rFonts w:hint="cs"/>
          <w:color w:val="000000"/>
          <w:rtl/>
          <w:lang w:bidi="ar-EG"/>
        </w:rPr>
        <w:t xml:space="preserve"> ،</w:t>
      </w:r>
      <w:r w:rsidRPr="00315653">
        <w:rPr>
          <w:rFonts w:hint="cs"/>
          <w:color w:val="000000"/>
          <w:rtl/>
          <w:lang w:bidi="ar-EG"/>
        </w:rPr>
        <w:t xml:space="preserve"> يعتبر كفيلا لا مديناً أصلياً</w:t>
      </w:r>
      <w:r>
        <w:rPr>
          <w:rFonts w:hint="cs"/>
          <w:color w:val="000000"/>
          <w:rtl/>
          <w:lang w:bidi="ar-EG"/>
        </w:rPr>
        <w:t xml:space="preserve"> ،</w:t>
      </w:r>
      <w:r w:rsidRPr="00315653">
        <w:rPr>
          <w:rFonts w:hint="cs"/>
          <w:color w:val="000000"/>
          <w:rtl/>
          <w:lang w:bidi="ar-EG"/>
        </w:rPr>
        <w:t xml:space="preserve"> ويفترق عن $210 الكفل الشخصي في أن غير مسئول عن الدين إلا  بمقدار قيمة المال الذي رهنه تأميناً للدين</w:t>
      </w:r>
      <w:r>
        <w:rPr>
          <w:rFonts w:hint="cs"/>
          <w:color w:val="000000"/>
          <w:rtl/>
          <w:lang w:bidi="ar-EG"/>
        </w:rPr>
        <w:t xml:space="preserve"> ،</w:t>
      </w:r>
      <w:r w:rsidRPr="00315653">
        <w:rPr>
          <w:rFonts w:hint="cs"/>
          <w:color w:val="000000"/>
          <w:rtl/>
          <w:lang w:bidi="ar-EG"/>
        </w:rPr>
        <w:t xml:space="preserve"> في حين أن الكفل الشخصي يكون عادة مسئولا عن كل الدين</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lang w:bidi="ar-EG"/>
        </w:rPr>
        <w:t>وما دام الكفيل العيني يعتبر كفيلا</w:t>
      </w:r>
      <w:r>
        <w:rPr>
          <w:rFonts w:hint="cs"/>
          <w:color w:val="000000"/>
          <w:rtl/>
          <w:lang w:bidi="ar-EG"/>
        </w:rPr>
        <w:t xml:space="preserve"> ،</w:t>
      </w:r>
      <w:r w:rsidRPr="00315653">
        <w:rPr>
          <w:rFonts w:hint="cs"/>
          <w:color w:val="000000"/>
          <w:rtl/>
          <w:lang w:bidi="ar-EG"/>
        </w:rPr>
        <w:t xml:space="preserve"> فإنه إذا وفى الدين</w:t>
      </w:r>
      <w:r>
        <w:rPr>
          <w:rFonts w:hint="cs"/>
          <w:color w:val="000000"/>
          <w:rtl/>
          <w:lang w:bidi="ar-EG"/>
        </w:rPr>
        <w:t xml:space="preserve"> ،</w:t>
      </w:r>
      <w:r w:rsidRPr="00315653">
        <w:rPr>
          <w:rFonts w:hint="cs"/>
          <w:color w:val="000000"/>
          <w:rtl/>
          <w:lang w:bidi="ar-EG"/>
        </w:rPr>
        <w:t xml:space="preserve"> كان له الرجوع على الكفلاء الآخرين شخصيين وعينيين</w:t>
      </w:r>
      <w:r>
        <w:rPr>
          <w:rFonts w:hint="cs"/>
          <w:color w:val="000000"/>
          <w:rtl/>
          <w:lang w:bidi="ar-EG"/>
        </w:rPr>
        <w:t xml:space="preserve"> ،</w:t>
      </w:r>
      <w:r w:rsidRPr="00315653">
        <w:rPr>
          <w:rFonts w:hint="cs"/>
          <w:color w:val="000000"/>
          <w:rtl/>
          <w:lang w:bidi="ar-EG"/>
        </w:rPr>
        <w:t xml:space="preserve"> كما يرجع أي كفيل وفي الدين</w:t>
      </w:r>
      <w:r>
        <w:rPr>
          <w:rFonts w:hint="cs"/>
          <w:color w:val="000000"/>
          <w:rtl/>
          <w:lang w:bidi="ar-EG"/>
        </w:rPr>
        <w:t xml:space="preserve"> .</w:t>
      </w:r>
      <w:r w:rsidRPr="00315653">
        <w:rPr>
          <w:rFonts w:hint="cs"/>
          <w:color w:val="000000"/>
          <w:rtl/>
          <w:lang w:bidi="ar-EG"/>
        </w:rPr>
        <w:t xml:space="preserve"> وكذلك إذا وفى الدين كفيل آخر غير الكفيل العيني</w:t>
      </w:r>
      <w:r>
        <w:rPr>
          <w:rFonts w:hint="cs"/>
          <w:color w:val="000000"/>
          <w:rtl/>
          <w:lang w:bidi="ar-EG"/>
        </w:rPr>
        <w:t xml:space="preserve"> ،</w:t>
      </w:r>
      <w:r w:rsidRPr="00315653">
        <w:rPr>
          <w:rFonts w:hint="cs"/>
          <w:color w:val="000000"/>
          <w:rtl/>
          <w:lang w:bidi="ar-EG"/>
        </w:rPr>
        <w:t xml:space="preserve"> فانه يرجع على الكفيل العيني بمقدار حصته في الدين</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lang w:bidi="ar-EG"/>
        </w:rPr>
        <w:t>يبقى أن نحدد حصة الكفيل العيني في الدين</w:t>
      </w:r>
      <w:r>
        <w:rPr>
          <w:rFonts w:hint="cs"/>
          <w:color w:val="000000"/>
          <w:rtl/>
          <w:lang w:bidi="ar-EG"/>
        </w:rPr>
        <w:t xml:space="preserve"> .</w:t>
      </w:r>
      <w:r w:rsidRPr="00315653">
        <w:rPr>
          <w:rFonts w:hint="cs"/>
          <w:color w:val="000000"/>
          <w:rtl/>
          <w:lang w:bidi="ar-EG"/>
        </w:rPr>
        <w:t xml:space="preserve"> ولما كان هذا الكفيل غير مسئول عن الدين إلا بمقدار قيمة المال الذي رهنه في الدين</w:t>
      </w:r>
      <w:r>
        <w:rPr>
          <w:rFonts w:hint="cs"/>
          <w:color w:val="000000"/>
          <w:rtl/>
          <w:lang w:bidi="ar-EG"/>
        </w:rPr>
        <w:t xml:space="preserve"> ،</w:t>
      </w:r>
      <w:r w:rsidRPr="00315653">
        <w:rPr>
          <w:rFonts w:hint="cs"/>
          <w:color w:val="000000"/>
          <w:rtl/>
          <w:lang w:bidi="ar-EG"/>
        </w:rPr>
        <w:t xml:space="preserve"> فإذا كانت هذه القيمة تساوي الدين أو أكثر كانت مسئوليته عن الدين بمقدار مسئولية الكفيل الشخصي</w:t>
      </w:r>
      <w:r>
        <w:rPr>
          <w:rFonts w:hint="cs"/>
          <w:color w:val="000000"/>
          <w:rtl/>
          <w:lang w:bidi="ar-EG"/>
        </w:rPr>
        <w:t xml:space="preserve"> ،</w:t>
      </w:r>
      <w:r w:rsidRPr="00315653">
        <w:rPr>
          <w:rFonts w:hint="cs"/>
          <w:color w:val="000000"/>
          <w:rtl/>
          <w:lang w:bidi="ar-EG"/>
        </w:rPr>
        <w:t xml:space="preserve"> أما إذا كانت أقل من قيمة الدين بأن كانت مثلا ثلثي الدين</w:t>
      </w:r>
      <w:r>
        <w:rPr>
          <w:rFonts w:hint="cs"/>
          <w:color w:val="000000"/>
          <w:rtl/>
          <w:lang w:bidi="ar-EG"/>
        </w:rPr>
        <w:t xml:space="preserve"> ،</w:t>
      </w:r>
      <w:r w:rsidRPr="00315653">
        <w:rPr>
          <w:rFonts w:hint="cs"/>
          <w:color w:val="000000"/>
          <w:rtl/>
          <w:lang w:bidi="ar-EG"/>
        </w:rPr>
        <w:t xml:space="preserve"> فإن حصته في الدين تحسب بنسبة هذه القيمة</w:t>
      </w:r>
      <w:r>
        <w:rPr>
          <w:rFonts w:hint="cs"/>
          <w:color w:val="000000"/>
          <w:rtl/>
          <w:lang w:bidi="ar-EG"/>
        </w:rPr>
        <w:t xml:space="preserve"> .</w:t>
      </w:r>
      <w:r w:rsidRPr="00315653">
        <w:rPr>
          <w:rFonts w:hint="cs"/>
          <w:color w:val="000000"/>
          <w:rtl/>
          <w:lang w:bidi="ar-EG"/>
        </w:rPr>
        <w:t xml:space="preserve"> فإذا كان الدين مثلا ثلاثة آلاف</w:t>
      </w:r>
      <w:r>
        <w:rPr>
          <w:rFonts w:hint="cs"/>
          <w:color w:val="000000"/>
          <w:rtl/>
          <w:lang w:bidi="ar-EG"/>
        </w:rPr>
        <w:t xml:space="preserve"> ،</w:t>
      </w:r>
      <w:r w:rsidRPr="00315653">
        <w:rPr>
          <w:rFonts w:hint="cs"/>
          <w:color w:val="000000"/>
          <w:rtl/>
          <w:lang w:bidi="ar-EG"/>
        </w:rPr>
        <w:t xml:space="preserve"> وله كفيل شخصي بكل الدين</w:t>
      </w:r>
      <w:r>
        <w:rPr>
          <w:rFonts w:hint="cs"/>
          <w:color w:val="000000"/>
          <w:rtl/>
          <w:lang w:bidi="ar-EG"/>
        </w:rPr>
        <w:t xml:space="preserve"> ،</w:t>
      </w:r>
      <w:r w:rsidRPr="00315653">
        <w:rPr>
          <w:rFonts w:hint="cs"/>
          <w:color w:val="000000"/>
          <w:rtl/>
          <w:lang w:bidi="ar-EG"/>
        </w:rPr>
        <w:t xml:space="preserve"> وكفيل عيني رهن في الدين عقاراً قيمته ألفان</w:t>
      </w:r>
      <w:r>
        <w:rPr>
          <w:rFonts w:hint="cs"/>
          <w:color w:val="000000"/>
          <w:rtl/>
          <w:lang w:bidi="ar-EG"/>
        </w:rPr>
        <w:t xml:space="preserve"> ،</w:t>
      </w:r>
      <w:r w:rsidRPr="00315653">
        <w:rPr>
          <w:rFonts w:hint="cs"/>
          <w:color w:val="000000"/>
          <w:rtl/>
          <w:lang w:bidi="ar-EG"/>
        </w:rPr>
        <w:t xml:space="preserve"> حسبت حصة الكفيل العيني في الدين بمقدار ثلثي حصة الكفيل الشخصي</w:t>
      </w:r>
      <w:r>
        <w:rPr>
          <w:rFonts w:hint="cs"/>
          <w:color w:val="000000"/>
          <w:rtl/>
          <w:lang w:bidi="ar-EG"/>
        </w:rPr>
        <w:t xml:space="preserve"> ،</w:t>
      </w:r>
      <w:r w:rsidRPr="00315653">
        <w:rPr>
          <w:rFonts w:hint="cs"/>
          <w:color w:val="000000"/>
          <w:rtl/>
          <w:lang w:bidi="ar-EG"/>
        </w:rPr>
        <w:t xml:space="preserve"> فتكون حصة الكفيل الشخصي في الدين ثلاثة أخماس</w:t>
      </w:r>
      <w:r>
        <w:rPr>
          <w:rFonts w:hint="cs"/>
          <w:color w:val="000000"/>
          <w:rtl/>
          <w:lang w:bidi="ar-EG"/>
        </w:rPr>
        <w:t xml:space="preserve"> ،</w:t>
      </w:r>
      <w:r w:rsidRPr="00315653">
        <w:rPr>
          <w:rFonts w:hint="cs"/>
          <w:color w:val="000000"/>
          <w:rtl/>
          <w:lang w:bidi="ar-EG"/>
        </w:rPr>
        <w:t xml:space="preserve"> أما حصة الكيل العيني فخمسمائة</w:t>
      </w:r>
      <w:r>
        <w:rPr>
          <w:rFonts w:hint="cs"/>
          <w:color w:val="000000"/>
          <w:rtl/>
          <w:lang w:bidi="ar-EG"/>
        </w:rPr>
        <w:t xml:space="preserve"> .</w:t>
      </w:r>
      <w:r w:rsidRPr="00315653">
        <w:rPr>
          <w:rFonts w:hint="cs"/>
          <w:color w:val="000000"/>
          <w:rtl/>
          <w:lang w:bidi="ar-EG"/>
        </w:rPr>
        <w:t xml:space="preserve"> وعلى هذا الأساس إذا وفى الكفيل الشخصي الدين</w:t>
      </w:r>
      <w:r>
        <w:rPr>
          <w:rFonts w:hint="cs"/>
          <w:color w:val="000000"/>
          <w:rtl/>
          <w:lang w:bidi="ar-EG"/>
        </w:rPr>
        <w:t xml:space="preserve"> ،</w:t>
      </w:r>
      <w:r w:rsidRPr="00315653">
        <w:rPr>
          <w:rFonts w:hint="cs"/>
          <w:color w:val="000000"/>
          <w:rtl/>
          <w:lang w:bidi="ar-EG"/>
        </w:rPr>
        <w:t xml:space="preserve"> فإنه يرجع على الكفل العيني بمقدار خمسي الدين</w:t>
      </w:r>
      <w:r>
        <w:rPr>
          <w:rFonts w:hint="cs"/>
          <w:color w:val="000000"/>
          <w:rtl/>
          <w:lang w:bidi="ar-EG"/>
        </w:rPr>
        <w:t xml:space="preserve"> ،</w:t>
      </w:r>
      <w:r w:rsidRPr="00315653">
        <w:rPr>
          <w:rFonts w:hint="cs"/>
          <w:color w:val="000000"/>
          <w:rtl/>
          <w:lang w:bidi="ar-EG"/>
        </w:rPr>
        <w:t>ويتحمل هو ثلاثة الأخماس</w:t>
      </w:r>
      <w:r>
        <w:rPr>
          <w:rFonts w:hint="cs"/>
          <w:color w:val="000000"/>
          <w:vertAlign w:val="superscript"/>
          <w:rtl/>
          <w:lang w:bidi="ar-EG"/>
        </w:rPr>
        <w:t xml:space="preserve">( </w:t>
      </w:r>
      <w:r w:rsidRPr="00315653">
        <w:rPr>
          <w:rStyle w:val="ab"/>
          <w:color w:val="000000"/>
          <w:rtl/>
          <w:lang w:bidi="ar-EG"/>
        </w:rPr>
        <w:footnoteReference w:id="471"/>
      </w:r>
      <w:r>
        <w:rPr>
          <w:rFonts w:hint="cs"/>
          <w:color w:val="000000"/>
          <w:vertAlign w:val="superscript"/>
          <w:rtl/>
          <w:lang w:bidi="ar-EG"/>
        </w:rPr>
        <w:t xml:space="preserve"> )</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lang w:bidi="ar-EG"/>
        </w:rPr>
        <w:t>وإذا فرض أن الدين ألفا</w:t>
      </w:r>
      <w:r>
        <w:rPr>
          <w:rFonts w:hint="cs"/>
          <w:color w:val="000000"/>
          <w:rtl/>
          <w:lang w:bidi="ar-EG"/>
        </w:rPr>
        <w:t xml:space="preserve"> ،</w:t>
      </w:r>
      <w:r w:rsidRPr="00315653">
        <w:rPr>
          <w:rFonts w:hint="cs"/>
          <w:color w:val="000000"/>
          <w:rtl/>
          <w:lang w:bidi="ar-EG"/>
        </w:rPr>
        <w:t xml:space="preserve"> ضمنه كفيلان شخصيات كل منهما مسئول عن كل الدين</w:t>
      </w:r>
      <w:r>
        <w:rPr>
          <w:rFonts w:hint="cs"/>
          <w:color w:val="000000"/>
          <w:rtl/>
          <w:lang w:bidi="ar-EG"/>
        </w:rPr>
        <w:t xml:space="preserve"> ،</w:t>
      </w:r>
      <w:r w:rsidRPr="00315653">
        <w:rPr>
          <w:rFonts w:hint="cs"/>
          <w:color w:val="000000"/>
          <w:rtl/>
          <w:lang w:bidi="ar-EG"/>
        </w:rPr>
        <w:t xml:space="preserve"> وكيل عيني رهن مقداراً قيمته ألف</w:t>
      </w:r>
      <w:r>
        <w:rPr>
          <w:rFonts w:hint="cs"/>
          <w:color w:val="000000"/>
          <w:rtl/>
          <w:lang w:bidi="ar-EG"/>
        </w:rPr>
        <w:t xml:space="preserve"> ،</w:t>
      </w:r>
      <w:r w:rsidRPr="00315653">
        <w:rPr>
          <w:rFonts w:hint="cs"/>
          <w:color w:val="000000"/>
          <w:rtl/>
          <w:lang w:bidi="ar-EG"/>
        </w:rPr>
        <w:t xml:space="preserve"> كانت حصة كل من الكفلين الشخصيين في الدين ضعف حصة الكفيل العيني</w:t>
      </w:r>
      <w:r>
        <w:rPr>
          <w:rFonts w:hint="cs"/>
          <w:color w:val="000000"/>
          <w:rtl/>
          <w:lang w:bidi="ar-EG"/>
        </w:rPr>
        <w:t xml:space="preserve"> ،</w:t>
      </w:r>
      <w:r w:rsidRPr="00315653">
        <w:rPr>
          <w:rFonts w:hint="cs"/>
          <w:color w:val="000000"/>
          <w:rtl/>
          <w:lang w:bidi="ar-EG"/>
        </w:rPr>
        <w:t xml:space="preserve"> وينقسم الدين $211 بينهم فيكون كل من الكفيلين الشخصيين مسئولا من ثمانمائة ويكون الكفيل العيني مسئولا عن أربعمائة</w:t>
      </w:r>
      <w:r>
        <w:rPr>
          <w:rFonts w:hint="cs"/>
          <w:color w:val="000000"/>
          <w:rtl/>
          <w:lang w:bidi="ar-EG"/>
        </w:rPr>
        <w:t xml:space="preserve"> .</w:t>
      </w:r>
      <w:r w:rsidRPr="00315653">
        <w:rPr>
          <w:rFonts w:hint="cs"/>
          <w:color w:val="000000"/>
          <w:rtl/>
          <w:lang w:bidi="ar-EG"/>
        </w:rPr>
        <w:t xml:space="preserve"> وإذا  دفع أحد الكفيلين الشخصيين كل الدين للدائن</w:t>
      </w:r>
      <w:r>
        <w:rPr>
          <w:rFonts w:hint="cs"/>
          <w:color w:val="000000"/>
          <w:rtl/>
          <w:lang w:bidi="ar-EG"/>
        </w:rPr>
        <w:t xml:space="preserve"> ،</w:t>
      </w:r>
      <w:r w:rsidRPr="00315653">
        <w:rPr>
          <w:rFonts w:hint="cs"/>
          <w:color w:val="000000"/>
          <w:rtl/>
          <w:lang w:bidi="ar-EG"/>
        </w:rPr>
        <w:t xml:space="preserve"> فإنه يرجع بثمانمائة على الكفيل الشخصي الثاني</w:t>
      </w:r>
      <w:r>
        <w:rPr>
          <w:rFonts w:hint="cs"/>
          <w:color w:val="000000"/>
          <w:rtl/>
          <w:lang w:bidi="ar-EG"/>
        </w:rPr>
        <w:t xml:space="preserve"> ،</w:t>
      </w:r>
      <w:r w:rsidRPr="00315653">
        <w:rPr>
          <w:rFonts w:hint="cs"/>
          <w:color w:val="000000"/>
          <w:rtl/>
          <w:lang w:bidi="ar-EG"/>
        </w:rPr>
        <w:t xml:space="preserve"> وبأربعمائة على الكفيل العيني</w:t>
      </w:r>
      <w:r>
        <w:rPr>
          <w:rFonts w:hint="cs"/>
          <w:color w:val="000000"/>
          <w:rtl/>
          <w:lang w:bidi="ar-EG"/>
        </w:rPr>
        <w:t xml:space="preserve"> .</w:t>
      </w:r>
      <w:r w:rsidRPr="00315653">
        <w:rPr>
          <w:rFonts w:hint="cs"/>
          <w:color w:val="000000"/>
          <w:rtl/>
          <w:lang w:bidi="ar-EG"/>
        </w:rPr>
        <w:t xml:space="preserve"> فإذا وجد الكفيل الشخصي الذي دفع كل الدين الكفيل الشخصي الآخر عسراً</w:t>
      </w:r>
      <w:r>
        <w:rPr>
          <w:rFonts w:hint="cs"/>
          <w:color w:val="000000"/>
          <w:rtl/>
          <w:lang w:bidi="ar-EG"/>
        </w:rPr>
        <w:t xml:space="preserve"> ،</w:t>
      </w:r>
      <w:r w:rsidRPr="00315653">
        <w:rPr>
          <w:rFonts w:hint="cs"/>
          <w:color w:val="000000"/>
          <w:rtl/>
          <w:lang w:bidi="ar-EG"/>
        </w:rPr>
        <w:t xml:space="preserve"> قسم حصة هذا الكفيل المعسر وهي ثمانمائة بينه وبين الكفل العيني بنسبة الثلثين يتحملهما هو والثلث يتحمله الكفيل العيني</w:t>
      </w:r>
      <w:r>
        <w:rPr>
          <w:rFonts w:hint="cs"/>
          <w:color w:val="000000"/>
          <w:rtl/>
          <w:lang w:bidi="ar-EG"/>
        </w:rPr>
        <w:t xml:space="preserve"> .</w:t>
      </w:r>
      <w:r w:rsidRPr="00315653">
        <w:rPr>
          <w:rFonts w:hint="cs"/>
          <w:color w:val="000000"/>
          <w:rtl/>
          <w:lang w:bidi="ar-EG"/>
        </w:rPr>
        <w:t xml:space="preserve"> يتحمل الكفيل العيني من الدين حصته وهي أربعمائة</w:t>
      </w:r>
      <w:r>
        <w:rPr>
          <w:rFonts w:hint="cs"/>
          <w:color w:val="000000"/>
          <w:rtl/>
          <w:lang w:bidi="ar-EG"/>
        </w:rPr>
        <w:t xml:space="preserve"> ،</w:t>
      </w:r>
      <w:r w:rsidRPr="00315653">
        <w:rPr>
          <w:rFonts w:hint="cs"/>
          <w:color w:val="000000"/>
          <w:rtl/>
          <w:lang w:bidi="ar-EG"/>
        </w:rPr>
        <w:t xml:space="preserve"> ونصيبه في حصة الكفيل المعسر وهو 800/3 أي 2/3  266</w:t>
      </w:r>
      <w:r>
        <w:rPr>
          <w:rFonts w:hint="cs"/>
          <w:color w:val="000000"/>
          <w:rtl/>
          <w:lang w:bidi="ar-EG"/>
        </w:rPr>
        <w:t xml:space="preserve"> .</w:t>
      </w:r>
      <w:r w:rsidRPr="00315653">
        <w:rPr>
          <w:rFonts w:hint="cs"/>
          <w:color w:val="000000"/>
          <w:rtl/>
          <w:lang w:bidi="ar-EG"/>
        </w:rPr>
        <w:t xml:space="preserve"> فيكون مجموع ما يتحمله الكفيل العيني هو 2/3 266</w:t>
      </w:r>
      <w:r>
        <w:rPr>
          <w:rFonts w:hint="cs"/>
          <w:color w:val="000000"/>
          <w:rtl/>
          <w:lang w:bidi="ar-EG"/>
        </w:rPr>
        <w:t xml:space="preserve"> ،</w:t>
      </w:r>
      <w:r w:rsidRPr="00315653">
        <w:rPr>
          <w:rFonts w:hint="cs"/>
          <w:color w:val="000000"/>
          <w:rtl/>
          <w:lang w:bidi="ar-EG"/>
        </w:rPr>
        <w:t xml:space="preserve"> وهذا المبلغ يخرج من قيمة العقار الذي رهنه وهو ألف كما قدمناه</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b/>
          <w:bCs/>
          <w:color w:val="000000"/>
          <w:rtl/>
          <w:lang w:bidi="ar-EG"/>
        </w:rPr>
        <w:t>82- رجوع الكفيل الذي وفى الدين على الحائز للعقار</w:t>
      </w:r>
      <w:r>
        <w:rPr>
          <w:rFonts w:hint="cs"/>
          <w:color w:val="000000"/>
          <w:rtl/>
          <w:lang w:bidi="ar-EG"/>
        </w:rPr>
        <w:t xml:space="preserve"> :</w:t>
      </w:r>
      <w:r w:rsidRPr="00315653">
        <w:rPr>
          <w:rFonts w:hint="cs"/>
          <w:color w:val="000000"/>
          <w:rtl/>
          <w:lang w:bidi="ar-EG"/>
        </w:rPr>
        <w:t xml:space="preserve"> قدمنا أن الحائز للعقار هو من تنتقل إليه ملكية عقار رهنه المدين في الدين</w:t>
      </w:r>
      <w:r>
        <w:rPr>
          <w:rFonts w:hint="cs"/>
          <w:color w:val="000000"/>
          <w:rtl/>
          <w:lang w:bidi="ar-EG"/>
        </w:rPr>
        <w:t xml:space="preserve"> .</w:t>
      </w:r>
      <w:r w:rsidRPr="00315653">
        <w:rPr>
          <w:rFonts w:hint="cs"/>
          <w:color w:val="000000"/>
          <w:rtl/>
          <w:lang w:bidi="ar-EG"/>
        </w:rPr>
        <w:t xml:space="preserve"> فإذا وفى الكفيل بالدين</w:t>
      </w:r>
      <w:r>
        <w:rPr>
          <w:rFonts w:hint="cs"/>
          <w:color w:val="000000"/>
          <w:rtl/>
          <w:lang w:bidi="ar-EG"/>
        </w:rPr>
        <w:t xml:space="preserve"> ،</w:t>
      </w:r>
      <w:r w:rsidRPr="00315653">
        <w:rPr>
          <w:rFonts w:hint="cs"/>
          <w:color w:val="000000"/>
          <w:rtl/>
          <w:lang w:bidi="ar-EG"/>
        </w:rPr>
        <w:t xml:space="preserve"> حل محل الدائن في هذا الرهن</w:t>
      </w:r>
      <w:r>
        <w:rPr>
          <w:rFonts w:hint="cs"/>
          <w:color w:val="000000"/>
          <w:rtl/>
          <w:lang w:bidi="ar-EG"/>
        </w:rPr>
        <w:t xml:space="preserve"> ،</w:t>
      </w:r>
      <w:r w:rsidRPr="00315653">
        <w:rPr>
          <w:rFonts w:hint="cs"/>
          <w:color w:val="000000"/>
          <w:rtl/>
          <w:lang w:bidi="ar-EG"/>
        </w:rPr>
        <w:t xml:space="preserve"> وكان له أن يتتبع العقار في يد الحائز وينفذ عليه بمقدار ما دفعه من الدين</w:t>
      </w:r>
      <w:r>
        <w:rPr>
          <w:rFonts w:hint="cs"/>
          <w:color w:val="000000"/>
          <w:rtl/>
          <w:lang w:bidi="ar-EG"/>
        </w:rPr>
        <w:t xml:space="preserve"> ،</w:t>
      </w:r>
      <w:r w:rsidRPr="00315653">
        <w:rPr>
          <w:rFonts w:hint="cs"/>
          <w:color w:val="000000"/>
          <w:rtl/>
          <w:lang w:bidi="ar-EG"/>
        </w:rPr>
        <w:t xml:space="preserve"> متقدماً في ذلك على سائر دائني الحائز للعقار</w:t>
      </w:r>
      <w:r>
        <w:rPr>
          <w:rFonts w:hint="cs"/>
          <w:color w:val="000000"/>
          <w:rtl/>
          <w:lang w:bidi="ar-EG"/>
        </w:rPr>
        <w:t xml:space="preserve"> ،</w:t>
      </w:r>
      <w:r w:rsidRPr="00315653">
        <w:rPr>
          <w:rFonts w:hint="cs"/>
          <w:color w:val="000000"/>
          <w:rtl/>
          <w:lang w:bidi="ar-EG"/>
        </w:rPr>
        <w:t xml:space="preserve"> لأنه حل محل الدائن في الرهن الذي يثقل هذا العقار</w:t>
      </w:r>
      <w:r>
        <w:rPr>
          <w:rFonts w:hint="cs"/>
          <w:color w:val="000000"/>
          <w:rtl/>
          <w:lang w:bidi="ar-EG"/>
        </w:rPr>
        <w:t xml:space="preserve"> .</w:t>
      </w:r>
    </w:p>
    <w:p w:rsidR="00F72742" w:rsidRPr="00315653" w:rsidRDefault="00F72742" w:rsidP="00F72742">
      <w:pPr>
        <w:spacing w:before="120"/>
        <w:ind w:firstLine="565"/>
        <w:jc w:val="lowKashida"/>
        <w:rPr>
          <w:rFonts w:hint="cs"/>
          <w:color w:val="000000"/>
          <w:rtl/>
          <w:lang w:bidi="ar-EG"/>
        </w:rPr>
      </w:pPr>
      <w:r w:rsidRPr="00315653">
        <w:rPr>
          <w:rFonts w:hint="cs"/>
          <w:color w:val="000000"/>
          <w:rtl/>
          <w:lang w:bidi="ar-EG"/>
        </w:rPr>
        <w:t>والقاعدة أن الكفيل يرجع على الجائز إذا هو وفى الدين</w:t>
      </w:r>
      <w:r>
        <w:rPr>
          <w:rFonts w:hint="cs"/>
          <w:color w:val="000000"/>
          <w:rtl/>
          <w:lang w:bidi="ar-EG"/>
        </w:rPr>
        <w:t xml:space="preserve"> ،</w:t>
      </w:r>
      <w:r w:rsidRPr="00315653">
        <w:rPr>
          <w:rFonts w:hint="cs"/>
          <w:color w:val="000000"/>
          <w:rtl/>
          <w:lang w:bidi="ar-EG"/>
        </w:rPr>
        <w:t xml:space="preserve"> لأنه يحل محل الدائن في الرهن الذي يثقل العقار</w:t>
      </w:r>
      <w:r>
        <w:rPr>
          <w:rFonts w:hint="cs"/>
          <w:color w:val="000000"/>
          <w:rtl/>
          <w:lang w:bidi="ar-EG"/>
        </w:rPr>
        <w:t xml:space="preserve"> ،</w:t>
      </w:r>
      <w:r w:rsidRPr="00315653">
        <w:rPr>
          <w:rFonts w:hint="cs"/>
          <w:color w:val="000000"/>
          <w:rtl/>
          <w:lang w:bidi="ar-EG"/>
        </w:rPr>
        <w:t xml:space="preserve"> ولكن الحائز لا يرجع على الكفيل إذا هو وفي الدين</w:t>
      </w:r>
      <w:r>
        <w:rPr>
          <w:rFonts w:hint="cs"/>
          <w:color w:val="000000"/>
          <w:rtl/>
          <w:lang w:bidi="ar-EG"/>
        </w:rPr>
        <w:t xml:space="preserve"> .</w:t>
      </w:r>
      <w:r w:rsidRPr="00315653">
        <w:rPr>
          <w:rFonts w:hint="cs"/>
          <w:color w:val="000000"/>
          <w:rtl/>
          <w:lang w:bidi="ar-EG"/>
        </w:rPr>
        <w:t xml:space="preserve"> ذلك بأن الكفيل كان يعتمد على العقار الذي رهنه المدين في الدين</w:t>
      </w:r>
      <w:r>
        <w:rPr>
          <w:rFonts w:hint="cs"/>
          <w:color w:val="000000"/>
          <w:rtl/>
          <w:lang w:bidi="ar-EG"/>
        </w:rPr>
        <w:t xml:space="preserve"> .</w:t>
      </w:r>
      <w:r w:rsidRPr="00315653">
        <w:rPr>
          <w:rFonts w:hint="cs"/>
          <w:color w:val="000000"/>
          <w:rtl/>
          <w:lang w:bidi="ar-EG"/>
        </w:rPr>
        <w:t xml:space="preserve"> ذلك بأن </w:t>
      </w:r>
      <w:r w:rsidRPr="00315653">
        <w:rPr>
          <w:rFonts w:hint="cs"/>
          <w:color w:val="000000"/>
          <w:rtl/>
          <w:lang w:bidi="ar-EG"/>
        </w:rPr>
        <w:lastRenderedPageBreak/>
        <w:t>الكفيل كان يعتمد على العقار الذي رهنه المدين في المدين</w:t>
      </w:r>
      <w:r>
        <w:rPr>
          <w:rFonts w:hint="cs"/>
          <w:color w:val="000000"/>
          <w:rtl/>
          <w:lang w:bidi="ar-EG"/>
        </w:rPr>
        <w:t xml:space="preserve"> ،</w:t>
      </w:r>
      <w:r w:rsidRPr="00315653">
        <w:rPr>
          <w:rFonts w:hint="cs"/>
          <w:color w:val="000000"/>
          <w:rtl/>
          <w:lang w:bidi="ar-EG"/>
        </w:rPr>
        <w:t xml:space="preserve"> فلما انتقلت ملكية هذا العقار إلى الحائز لم يكن من شأن انتقال ملكيته إلى غير المدين أن يقلل من اعتماد الكفيل على العقار ولا أن يغير من موقفه بالنسبة إلى هذا الضمان</w:t>
      </w:r>
      <w:r>
        <w:rPr>
          <w:rFonts w:hint="cs"/>
          <w:color w:val="000000"/>
          <w:rtl/>
          <w:lang w:bidi="ar-EG"/>
        </w:rPr>
        <w:t xml:space="preserve"> .</w:t>
      </w:r>
      <w:r w:rsidRPr="00315653">
        <w:rPr>
          <w:rFonts w:hint="cs"/>
          <w:color w:val="000000"/>
          <w:rtl/>
          <w:lang w:bidi="ar-EG"/>
        </w:rPr>
        <w:t xml:space="preserve"> ولذلك قلنا أن الكفيل يرجع على الحائز للعقار</w:t>
      </w:r>
      <w:r>
        <w:rPr>
          <w:rFonts w:hint="cs"/>
          <w:color w:val="000000"/>
          <w:rtl/>
          <w:lang w:bidi="ar-EG"/>
        </w:rPr>
        <w:t xml:space="preserve"> .</w:t>
      </w:r>
      <w:r w:rsidRPr="00315653">
        <w:rPr>
          <w:rFonts w:hint="cs"/>
          <w:color w:val="000000"/>
          <w:rtl/>
          <w:lang w:bidi="ar-EG"/>
        </w:rPr>
        <w:t xml:space="preserve"> أما إذا وفى الحائز للعقار الدين</w:t>
      </w:r>
      <w:r>
        <w:rPr>
          <w:rFonts w:hint="cs"/>
          <w:color w:val="000000"/>
          <w:rtl/>
          <w:lang w:bidi="ar-EG"/>
        </w:rPr>
        <w:t xml:space="preserve"> ،</w:t>
      </w:r>
      <w:r w:rsidRPr="00315653">
        <w:rPr>
          <w:rFonts w:hint="cs"/>
          <w:color w:val="000000"/>
          <w:rtl/>
          <w:lang w:bidi="ar-EG"/>
        </w:rPr>
        <w:t xml:space="preserve"> فإنه يكون قد ارتكب خطأ</w:t>
      </w:r>
      <w:r>
        <w:rPr>
          <w:rFonts w:hint="cs"/>
          <w:color w:val="000000"/>
          <w:rtl/>
          <w:lang w:bidi="ar-EG"/>
        </w:rPr>
        <w:t xml:space="preserve"> ،</w:t>
      </w:r>
      <w:r w:rsidRPr="00315653">
        <w:rPr>
          <w:rFonts w:hint="cs"/>
          <w:color w:val="000000"/>
          <w:rtl/>
          <w:lang w:bidi="ar-EG"/>
        </w:rPr>
        <w:t xml:space="preserve"> إذا كان في وسعة أن يطهر العقار من الرهن</w:t>
      </w:r>
      <w:r>
        <w:rPr>
          <w:rFonts w:hint="cs"/>
          <w:color w:val="000000"/>
          <w:rtl/>
          <w:lang w:bidi="ar-EG"/>
        </w:rPr>
        <w:t xml:space="preserve"> ،</w:t>
      </w:r>
      <w:r w:rsidRPr="00315653">
        <w:rPr>
          <w:rFonts w:hint="cs"/>
          <w:color w:val="000000"/>
          <w:rtl/>
          <w:lang w:bidi="ar-EG"/>
        </w:rPr>
        <w:t xml:space="preserve"> وبذلك يطمئن إلى حقوقه $212 دون حاجة الرجوع على الكفيل</w:t>
      </w:r>
      <w:r>
        <w:rPr>
          <w:rFonts w:hint="cs"/>
          <w:color w:val="000000"/>
          <w:rtl/>
          <w:lang w:bidi="ar-EG"/>
        </w:rPr>
        <w:t xml:space="preserve"> .</w:t>
      </w:r>
      <w:r w:rsidRPr="00315653">
        <w:rPr>
          <w:rFonts w:hint="cs"/>
          <w:color w:val="000000"/>
          <w:rtl/>
          <w:lang w:bidi="ar-EG"/>
        </w:rPr>
        <w:t xml:space="preserve"> وبين الكفيل الذي اعتمد على العقار المرهون ولم يرتكب خطأ في هذا الاعتماد</w:t>
      </w:r>
      <w:r>
        <w:rPr>
          <w:rFonts w:hint="cs"/>
          <w:color w:val="000000"/>
          <w:rtl/>
          <w:lang w:bidi="ar-EG"/>
        </w:rPr>
        <w:t xml:space="preserve"> ،</w:t>
      </w:r>
      <w:r w:rsidRPr="00315653">
        <w:rPr>
          <w:rFonts w:hint="cs"/>
          <w:color w:val="000000"/>
          <w:rtl/>
          <w:lang w:bidi="ar-EG"/>
        </w:rPr>
        <w:t xml:space="preserve"> والحائز للعقار الذي لم يطهر العقار فارتكب خطأ بوفائه للدين دون اللجوء إلى التطهير</w:t>
      </w:r>
      <w:r>
        <w:rPr>
          <w:rFonts w:hint="cs"/>
          <w:color w:val="000000"/>
          <w:rtl/>
          <w:lang w:bidi="ar-EG"/>
        </w:rPr>
        <w:t xml:space="preserve"> ،</w:t>
      </w:r>
      <w:r w:rsidRPr="00315653">
        <w:rPr>
          <w:rFonts w:hint="cs"/>
          <w:color w:val="000000"/>
          <w:rtl/>
          <w:lang w:bidi="ar-EG"/>
        </w:rPr>
        <w:t xml:space="preserve"> يكون الكفيل هو الولي بالرعاية</w:t>
      </w:r>
      <w:r>
        <w:rPr>
          <w:rFonts w:hint="cs"/>
          <w:color w:val="000000"/>
          <w:rtl/>
          <w:lang w:bidi="ar-EG"/>
        </w:rPr>
        <w:t xml:space="preserve"> .</w:t>
      </w:r>
      <w:r w:rsidRPr="00315653">
        <w:rPr>
          <w:rFonts w:hint="cs"/>
          <w:color w:val="000000"/>
          <w:rtl/>
          <w:lang w:bidi="ar-EG"/>
        </w:rPr>
        <w:t xml:space="preserve"> لذلك إذا كان الكفيل الذي وفي الدين يرجع على الحائز للعقار كما قدمنا</w:t>
      </w:r>
      <w:r>
        <w:rPr>
          <w:rFonts w:hint="cs"/>
          <w:color w:val="000000"/>
          <w:rtl/>
          <w:lang w:bidi="ar-EG"/>
        </w:rPr>
        <w:t xml:space="preserve"> ،</w:t>
      </w:r>
      <w:r w:rsidRPr="00315653">
        <w:rPr>
          <w:rFonts w:hint="cs"/>
          <w:color w:val="000000"/>
          <w:rtl/>
          <w:lang w:bidi="ar-EG"/>
        </w:rPr>
        <w:t xml:space="preserve"> فإن الحائز للعقار الذي وفى الدين لا يرجع على الكفيل</w:t>
      </w:r>
      <w:r>
        <w:rPr>
          <w:rFonts w:hint="cs"/>
          <w:color w:val="000000"/>
          <w:vertAlign w:val="superscript"/>
          <w:rtl/>
          <w:lang w:bidi="ar-EG"/>
        </w:rPr>
        <w:t xml:space="preserve">( </w:t>
      </w:r>
      <w:r w:rsidRPr="00315653">
        <w:rPr>
          <w:rStyle w:val="ab"/>
          <w:color w:val="000000"/>
          <w:rtl/>
          <w:lang w:bidi="ar-EG"/>
        </w:rPr>
        <w:footnoteReference w:id="472"/>
      </w:r>
      <w:r>
        <w:rPr>
          <w:rFonts w:hint="cs"/>
          <w:color w:val="000000"/>
          <w:vertAlign w:val="superscript"/>
          <w:rtl/>
          <w:lang w:bidi="ar-EG"/>
        </w:rPr>
        <w:t xml:space="preserve"> )</w:t>
      </w:r>
      <w:r>
        <w:rPr>
          <w:rFonts w:hint="cs"/>
          <w:color w:val="000000"/>
          <w:rtl/>
          <w:lang w:bidi="ar-EG"/>
        </w:rPr>
        <w:t xml:space="preserve"> .</w:t>
      </w:r>
      <w:r w:rsidRPr="00315653">
        <w:rPr>
          <w:rFonts w:hint="cs"/>
          <w:color w:val="000000"/>
          <w:rtl/>
          <w:lang w:bidi="ar-EG"/>
        </w:rPr>
        <w:t xml:space="preserve"> وكذلك لا يرجع الحائز للعقار على الكفيل العيني</w:t>
      </w:r>
      <w:r>
        <w:rPr>
          <w:rFonts w:hint="cs"/>
          <w:color w:val="000000"/>
          <w:rtl/>
          <w:lang w:bidi="ar-EG"/>
        </w:rPr>
        <w:t xml:space="preserve"> ،</w:t>
      </w:r>
      <w:r w:rsidRPr="00315653">
        <w:rPr>
          <w:rFonts w:hint="cs"/>
          <w:color w:val="000000"/>
          <w:rtl/>
          <w:lang w:bidi="ar-EG"/>
        </w:rPr>
        <w:t xml:space="preserve"> لنفس الأسباب التي من أجلها لا يرجع على الكفيل الشخصي</w:t>
      </w:r>
      <w:r>
        <w:rPr>
          <w:rFonts w:hint="cs"/>
          <w:color w:val="000000"/>
          <w:vertAlign w:val="superscript"/>
          <w:rtl/>
          <w:lang w:bidi="ar-EG"/>
        </w:rPr>
        <w:t xml:space="preserve">( </w:t>
      </w:r>
      <w:r w:rsidRPr="00315653">
        <w:rPr>
          <w:rStyle w:val="ab"/>
          <w:color w:val="000000"/>
          <w:rtl/>
          <w:lang w:bidi="ar-EG"/>
        </w:rPr>
        <w:footnoteReference w:id="473"/>
      </w:r>
      <w:r>
        <w:rPr>
          <w:rFonts w:hint="cs"/>
          <w:color w:val="000000"/>
          <w:vertAlign w:val="superscript"/>
          <w:rtl/>
          <w:lang w:bidi="ar-EG"/>
        </w:rPr>
        <w:t xml:space="preserve"> )</w:t>
      </w:r>
      <w:r>
        <w:rPr>
          <w:rFonts w:hint="cs"/>
          <w:color w:val="000000"/>
          <w:rtl/>
          <w:lang w:bidi="ar-EG"/>
        </w:rPr>
        <w:t xml:space="preserve"> .</w:t>
      </w:r>
    </w:p>
    <w:p w:rsidR="00F72742" w:rsidRDefault="00F72742" w:rsidP="00F72742">
      <w:pPr>
        <w:spacing w:before="120"/>
        <w:ind w:firstLine="565"/>
        <w:jc w:val="lowKashida"/>
        <w:rPr>
          <w:rFonts w:hint="cs"/>
          <w:color w:val="000000"/>
          <w:rtl/>
          <w:lang w:bidi="ar-EG"/>
        </w:rPr>
      </w:pPr>
      <w:r w:rsidRPr="00315653">
        <w:rPr>
          <w:rFonts w:hint="cs"/>
          <w:color w:val="000000"/>
          <w:rtl/>
          <w:lang w:bidi="ar-EG"/>
        </w:rPr>
        <w:t>وعلى ذلك إذا كان الدين مقدار ألفان</w:t>
      </w:r>
      <w:r>
        <w:rPr>
          <w:rFonts w:hint="cs"/>
          <w:color w:val="000000"/>
          <w:rtl/>
          <w:lang w:bidi="ar-EG"/>
        </w:rPr>
        <w:t xml:space="preserve"> ،</w:t>
      </w:r>
      <w:r w:rsidRPr="00315653">
        <w:rPr>
          <w:rFonts w:hint="cs"/>
          <w:color w:val="000000"/>
          <w:rtl/>
          <w:lang w:bidi="ar-EG"/>
        </w:rPr>
        <w:t xml:space="preserve"> وله كفيل شخصي</w:t>
      </w:r>
      <w:r>
        <w:rPr>
          <w:rFonts w:hint="cs"/>
          <w:color w:val="000000"/>
          <w:rtl/>
          <w:lang w:bidi="ar-EG"/>
        </w:rPr>
        <w:t xml:space="preserve"> ،</w:t>
      </w:r>
      <w:r w:rsidRPr="00315653">
        <w:rPr>
          <w:rFonts w:hint="cs"/>
          <w:color w:val="000000"/>
          <w:rtl/>
          <w:lang w:bidi="ar-EG"/>
        </w:rPr>
        <w:t xml:space="preserve"> ورهن المدين عقاراً قيمته ألفان في هذا الدين وباع هذا العقار لحائز</w:t>
      </w:r>
      <w:r>
        <w:rPr>
          <w:rFonts w:hint="cs"/>
          <w:color w:val="000000"/>
          <w:rtl/>
          <w:lang w:bidi="ar-EG"/>
        </w:rPr>
        <w:t xml:space="preserve"> ،</w:t>
      </w:r>
      <w:r w:rsidRPr="00315653">
        <w:rPr>
          <w:rFonts w:hint="cs"/>
          <w:color w:val="000000"/>
          <w:rtl/>
          <w:lang w:bidi="ar-EG"/>
        </w:rPr>
        <w:t xml:space="preserve"> فإن الكفيل الشخصي إذا وفى الدين يرجع على الحائز للعقار</w:t>
      </w:r>
      <w:r>
        <w:rPr>
          <w:rFonts w:hint="cs"/>
          <w:color w:val="000000"/>
          <w:rtl/>
          <w:lang w:bidi="ar-EG"/>
        </w:rPr>
        <w:t xml:space="preserve"> ،</w:t>
      </w:r>
      <w:r w:rsidRPr="00315653">
        <w:rPr>
          <w:rFonts w:hint="cs"/>
          <w:color w:val="000000"/>
          <w:rtl/>
          <w:lang w:bidi="ar-EG"/>
        </w:rPr>
        <w:t xml:space="preserve"> وينفذ على العقار المرهون بما وفاه من الدين</w:t>
      </w:r>
      <w:r>
        <w:rPr>
          <w:rFonts w:hint="cs"/>
          <w:color w:val="000000"/>
          <w:rtl/>
          <w:lang w:bidi="ar-EG"/>
        </w:rPr>
        <w:t xml:space="preserve"> .</w:t>
      </w:r>
      <w:r w:rsidRPr="00315653">
        <w:rPr>
          <w:rFonts w:hint="cs"/>
          <w:color w:val="000000"/>
          <w:rtl/>
          <w:lang w:bidi="ar-EG"/>
        </w:rPr>
        <w:t xml:space="preserve"> وقد كان في استطاعة الدائن</w:t>
      </w:r>
      <w:r>
        <w:rPr>
          <w:rFonts w:hint="cs"/>
          <w:color w:val="000000"/>
          <w:rtl/>
          <w:lang w:bidi="ar-EG"/>
        </w:rPr>
        <w:t xml:space="preserve"> ،</w:t>
      </w:r>
      <w:r w:rsidRPr="00315653">
        <w:rPr>
          <w:rFonts w:hint="cs"/>
          <w:color w:val="000000"/>
          <w:rtl/>
          <w:lang w:bidi="ar-EG"/>
        </w:rPr>
        <w:t xml:space="preserve"> وقت أن استوفى الدين من الكفيل</w:t>
      </w:r>
      <w:r>
        <w:rPr>
          <w:rFonts w:hint="cs"/>
          <w:color w:val="000000"/>
          <w:rtl/>
          <w:lang w:bidi="ar-EG"/>
        </w:rPr>
        <w:t xml:space="preserve"> ،</w:t>
      </w:r>
      <w:r w:rsidRPr="00315653">
        <w:rPr>
          <w:rFonts w:hint="cs"/>
          <w:color w:val="000000"/>
          <w:rtl/>
          <w:lang w:bidi="ar-EG"/>
        </w:rPr>
        <w:t xml:space="preserve"> أن يحول حقه إلى هذا الكفيل</w:t>
      </w:r>
      <w:r>
        <w:rPr>
          <w:rFonts w:hint="cs"/>
          <w:color w:val="000000"/>
          <w:rtl/>
          <w:lang w:bidi="ar-EG"/>
        </w:rPr>
        <w:t xml:space="preserve"> ،</w:t>
      </w:r>
      <w:r w:rsidRPr="00315653">
        <w:rPr>
          <w:rFonts w:hint="cs"/>
          <w:color w:val="000000"/>
          <w:rtl/>
          <w:lang w:bidi="ar-EG"/>
        </w:rPr>
        <w:t xml:space="preserve"> فيكون للكفيل الحق في الرجوع على العقار المرهون</w:t>
      </w:r>
      <w:r>
        <w:rPr>
          <w:rFonts w:hint="cs"/>
          <w:color w:val="000000"/>
          <w:rtl/>
          <w:lang w:bidi="ar-EG"/>
        </w:rPr>
        <w:t xml:space="preserve"> .</w:t>
      </w:r>
      <w:r w:rsidRPr="00315653">
        <w:rPr>
          <w:rFonts w:hint="cs"/>
          <w:color w:val="000000"/>
          <w:rtl/>
          <w:lang w:bidi="ar-EG"/>
        </w:rPr>
        <w:t xml:space="preserve"> فأثر وفاء الكفيل للدين مع الحلول محل الدائن هو نفس أثر تحويل الدائن حقه للكفيل عند ما يستوفي الدين منه</w:t>
      </w:r>
      <w:r>
        <w:rPr>
          <w:rFonts w:hint="cs"/>
          <w:color w:val="000000"/>
          <w:rtl/>
          <w:lang w:bidi="ar-EG"/>
        </w:rPr>
        <w:t xml:space="preserve"> .</w:t>
      </w:r>
    </w:p>
    <w:p w:rsidR="00F72742" w:rsidRPr="00EC737F" w:rsidRDefault="00F72742" w:rsidP="00F72742">
      <w:pPr>
        <w:widowControl w:val="0"/>
        <w:spacing w:after="120"/>
        <w:ind w:firstLine="567"/>
        <w:jc w:val="center"/>
        <w:rPr>
          <w:rFonts w:cs="Traditional Arabic" w:hint="cs"/>
          <w:b/>
          <w:bCs/>
          <w:sz w:val="28"/>
          <w:szCs w:val="32"/>
          <w:rtl/>
        </w:rPr>
      </w:pPr>
      <w:r>
        <w:rPr>
          <w:color w:val="000000"/>
          <w:rtl/>
        </w:rPr>
        <w:br w:type="page"/>
      </w:r>
      <w:r w:rsidRPr="00EC737F">
        <w:rPr>
          <w:rFonts w:cs="Traditional Arabic" w:hint="cs"/>
          <w:sz w:val="28"/>
          <w:szCs w:val="32"/>
          <w:rtl/>
        </w:rPr>
        <w:lastRenderedPageBreak/>
        <w:t xml:space="preserve">$213 </w:t>
      </w:r>
      <w:r w:rsidRPr="00EC737F">
        <w:rPr>
          <w:rFonts w:cs="Traditional Arabic" w:hint="cs"/>
          <w:b/>
          <w:bCs/>
          <w:sz w:val="28"/>
          <w:szCs w:val="52"/>
          <w:rtl/>
        </w:rPr>
        <w:t>الفصل الثالث</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b/>
          <w:bCs/>
          <w:sz w:val="28"/>
          <w:szCs w:val="32"/>
          <w:rtl/>
        </w:rPr>
        <w:t>انقضاء الكفالة</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b/>
          <w:bCs/>
          <w:sz w:val="28"/>
          <w:szCs w:val="32"/>
          <w:rtl/>
        </w:rPr>
        <w:t>ـــ</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83- انقضاء الكفالة بطريق تبعي وانقضاؤها بطريق أصلي</w:t>
      </w:r>
      <w:r>
        <w:rPr>
          <w:rFonts w:cs="Traditional Arabic" w:hint="cs"/>
          <w:sz w:val="28"/>
          <w:szCs w:val="32"/>
          <w:rtl/>
        </w:rPr>
        <w:t xml:space="preserve"> :</w:t>
      </w:r>
      <w:r w:rsidRPr="00EC737F">
        <w:rPr>
          <w:rFonts w:cs="Traditional Arabic" w:hint="cs"/>
          <w:sz w:val="28"/>
          <w:szCs w:val="32"/>
          <w:rtl/>
        </w:rPr>
        <w:t xml:space="preserve"> تنقضي الكفالة بطريق تبعي إذا انقضى الدين المكفول</w:t>
      </w:r>
      <w:r>
        <w:rPr>
          <w:rFonts w:cs="Traditional Arabic" w:hint="cs"/>
          <w:sz w:val="28"/>
          <w:szCs w:val="32"/>
          <w:rtl/>
        </w:rPr>
        <w:t xml:space="preserve"> ،</w:t>
      </w:r>
      <w:r w:rsidRPr="00EC737F">
        <w:rPr>
          <w:rFonts w:cs="Traditional Arabic" w:hint="cs"/>
          <w:sz w:val="28"/>
          <w:szCs w:val="32"/>
          <w:rtl/>
        </w:rPr>
        <w:t xml:space="preserve"> ولما كانت الكفالة تابعة لهذا الدين فإن انقضاءه يستتبع انقضائها</w:t>
      </w:r>
      <w:r>
        <w:rPr>
          <w:rFonts w:cs="Traditional Arabic" w:hint="cs"/>
          <w:sz w:val="28"/>
          <w:szCs w:val="32"/>
          <w:rtl/>
        </w:rPr>
        <w:t xml:space="preserve"> ،</w:t>
      </w:r>
      <w:r w:rsidRPr="00EC737F">
        <w:rPr>
          <w:rFonts w:cs="Traditional Arabic" w:hint="cs"/>
          <w:sz w:val="28"/>
          <w:szCs w:val="32"/>
          <w:rtl/>
        </w:rPr>
        <w:t xml:space="preserve"> وتنقضي الكفالة بطريق أصلي إذا انقضت هي ذاتها بسبب من أسباب انقضاء الدين</w:t>
      </w:r>
      <w:r>
        <w:rPr>
          <w:rFonts w:cs="Traditional Arabic" w:hint="cs"/>
          <w:sz w:val="28"/>
          <w:szCs w:val="32"/>
          <w:rtl/>
        </w:rPr>
        <w:t xml:space="preserve"> ،</w:t>
      </w:r>
      <w:r w:rsidRPr="00EC737F">
        <w:rPr>
          <w:rFonts w:cs="Traditional Arabic" w:hint="cs"/>
          <w:sz w:val="28"/>
          <w:szCs w:val="32"/>
          <w:rtl/>
        </w:rPr>
        <w:t xml:space="preserve"> دون أن ينقضي الدين المكفول</w:t>
      </w:r>
      <w:r>
        <w:rPr>
          <w:rFonts w:cs="Traditional Arabic" w:hint="cs"/>
          <w:sz w:val="28"/>
          <w:szCs w:val="32"/>
          <w:vertAlign w:val="superscript"/>
          <w:rtl/>
        </w:rPr>
        <w:t xml:space="preserve">( </w:t>
      </w:r>
      <w:r w:rsidRPr="00EC737F">
        <w:rPr>
          <w:rStyle w:val="ab"/>
          <w:rFonts w:cs="Traditional Arabic"/>
          <w:sz w:val="28"/>
          <w:szCs w:val="32"/>
          <w:rtl/>
        </w:rPr>
        <w:footnoteReference w:id="47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center"/>
        <w:rPr>
          <w:rFonts w:cs="Traditional Arabic" w:hint="cs"/>
          <w:b/>
          <w:bCs/>
          <w:sz w:val="28"/>
          <w:szCs w:val="44"/>
          <w:rtl/>
        </w:rPr>
      </w:pPr>
      <w:r w:rsidRPr="00EC737F">
        <w:rPr>
          <w:rFonts w:cs="Traditional Arabic" w:hint="cs"/>
          <w:b/>
          <w:bCs/>
          <w:sz w:val="28"/>
          <w:szCs w:val="44"/>
          <w:rtl/>
        </w:rPr>
        <w:t>المبحث الأول</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b/>
          <w:bCs/>
          <w:sz w:val="28"/>
          <w:szCs w:val="32"/>
          <w:rtl/>
        </w:rPr>
        <w:t>انقضاء الكفالة</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84- كيف ينقضي الدين المكفول</w:t>
      </w:r>
      <w:r>
        <w:rPr>
          <w:rFonts w:cs="Traditional Arabic" w:hint="cs"/>
          <w:sz w:val="28"/>
          <w:szCs w:val="32"/>
          <w:rtl/>
        </w:rPr>
        <w:t xml:space="preserve"> :</w:t>
      </w:r>
      <w:r w:rsidRPr="00EC737F">
        <w:rPr>
          <w:rFonts w:cs="Traditional Arabic" w:hint="cs"/>
          <w:sz w:val="28"/>
          <w:szCs w:val="32"/>
          <w:rtl/>
        </w:rPr>
        <w:t xml:space="preserve"> أسباب انقضاء الدين المكفول هي نفس أسباب انقضاء أي دين</w:t>
      </w:r>
      <w:r>
        <w:rPr>
          <w:rFonts w:cs="Traditional Arabic" w:hint="cs"/>
          <w:sz w:val="28"/>
          <w:szCs w:val="32"/>
          <w:rtl/>
        </w:rPr>
        <w:t xml:space="preserve"> ،</w:t>
      </w:r>
      <w:r w:rsidRPr="00EC737F">
        <w:rPr>
          <w:rFonts w:cs="Traditional Arabic" w:hint="cs"/>
          <w:sz w:val="28"/>
          <w:szCs w:val="32"/>
          <w:rtl/>
        </w:rPr>
        <w:t xml:space="preserve"> فإذا انقضى هذا الدين بسبب من أسباب الانقضاء فقد انقضت الكفالة كما قدمنا</w:t>
      </w:r>
      <w:r>
        <w:rPr>
          <w:rFonts w:cs="Traditional Arabic" w:hint="cs"/>
          <w:sz w:val="28"/>
          <w:szCs w:val="32"/>
          <w:rtl/>
        </w:rPr>
        <w:t xml:space="preserve"> ،</w:t>
      </w:r>
      <w:r w:rsidRPr="00EC737F">
        <w:rPr>
          <w:rFonts w:cs="Traditional Arabic" w:hint="cs"/>
          <w:sz w:val="28"/>
          <w:szCs w:val="32"/>
          <w:rtl/>
        </w:rPr>
        <w:t xml:space="preserve"> لأن التابع لا يبقى بغير الأصيل</w:t>
      </w:r>
      <w:r>
        <w:rPr>
          <w:rFonts w:cs="Traditional Arabic" w:hint="cs"/>
          <w:sz w:val="28"/>
          <w:szCs w:val="32"/>
          <w:vertAlign w:val="superscript"/>
          <w:rtl/>
        </w:rPr>
        <w:t xml:space="preserve">( </w:t>
      </w:r>
      <w:r w:rsidRPr="00EC737F">
        <w:rPr>
          <w:rStyle w:val="ab"/>
          <w:rFonts w:cs="Traditional Arabic"/>
          <w:sz w:val="28"/>
          <w:szCs w:val="32"/>
          <w:rtl/>
        </w:rPr>
        <w:footnoteReference w:id="47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وانقضاء الدين المكفول يكون بالوفاء</w:t>
      </w:r>
      <w:r>
        <w:rPr>
          <w:rFonts w:cs="Traditional Arabic" w:hint="cs"/>
          <w:sz w:val="28"/>
          <w:szCs w:val="32"/>
          <w:rtl/>
        </w:rPr>
        <w:t xml:space="preserve"> ،</w:t>
      </w:r>
      <w:r w:rsidRPr="00EC737F">
        <w:rPr>
          <w:rFonts w:cs="Traditional Arabic" w:hint="cs"/>
          <w:sz w:val="28"/>
          <w:szCs w:val="32"/>
          <w:rtl/>
        </w:rPr>
        <w:t xml:space="preserve"> والوفاء بمقابل</w:t>
      </w:r>
      <w:r>
        <w:rPr>
          <w:rFonts w:cs="Traditional Arabic" w:hint="cs"/>
          <w:sz w:val="28"/>
          <w:szCs w:val="32"/>
          <w:rtl/>
        </w:rPr>
        <w:t xml:space="preserve"> ،</w:t>
      </w:r>
      <w:r w:rsidRPr="00EC737F">
        <w:rPr>
          <w:rFonts w:cs="Traditional Arabic" w:hint="cs"/>
          <w:sz w:val="28"/>
          <w:szCs w:val="32"/>
          <w:rtl/>
        </w:rPr>
        <w:t xml:space="preserve"> والتجديد</w:t>
      </w:r>
      <w:r>
        <w:rPr>
          <w:rFonts w:cs="Traditional Arabic" w:hint="cs"/>
          <w:sz w:val="28"/>
          <w:szCs w:val="32"/>
          <w:rtl/>
        </w:rPr>
        <w:t xml:space="preserve"> ،</w:t>
      </w:r>
      <w:r w:rsidRPr="00EC737F">
        <w:rPr>
          <w:rFonts w:cs="Traditional Arabic" w:hint="cs"/>
          <w:sz w:val="28"/>
          <w:szCs w:val="32"/>
          <w:rtl/>
        </w:rPr>
        <w:t xml:space="preserve"> والمقاصة</w:t>
      </w:r>
      <w:r>
        <w:rPr>
          <w:rFonts w:cs="Traditional Arabic" w:hint="cs"/>
          <w:sz w:val="28"/>
          <w:szCs w:val="32"/>
          <w:rtl/>
        </w:rPr>
        <w:t xml:space="preserve"> ،</w:t>
      </w:r>
      <w:r w:rsidRPr="00EC737F">
        <w:rPr>
          <w:rFonts w:cs="Traditional Arabic" w:hint="cs"/>
          <w:sz w:val="28"/>
          <w:szCs w:val="32"/>
          <w:rtl/>
        </w:rPr>
        <w:t xml:space="preserve"> $214 واتحاد الذمة</w:t>
      </w:r>
      <w:r>
        <w:rPr>
          <w:rFonts w:cs="Traditional Arabic" w:hint="cs"/>
          <w:sz w:val="28"/>
          <w:szCs w:val="32"/>
          <w:rtl/>
        </w:rPr>
        <w:t xml:space="preserve"> ،</w:t>
      </w:r>
      <w:r w:rsidRPr="00EC737F">
        <w:rPr>
          <w:rFonts w:cs="Traditional Arabic" w:hint="cs"/>
          <w:sz w:val="28"/>
          <w:szCs w:val="32"/>
          <w:rtl/>
        </w:rPr>
        <w:t xml:space="preserve"> والإبراء</w:t>
      </w:r>
      <w:r>
        <w:rPr>
          <w:rFonts w:cs="Traditional Arabic" w:hint="cs"/>
          <w:sz w:val="28"/>
          <w:szCs w:val="32"/>
          <w:rtl/>
        </w:rPr>
        <w:t xml:space="preserve"> ،</w:t>
      </w:r>
      <w:r w:rsidRPr="00EC737F">
        <w:rPr>
          <w:rFonts w:cs="Traditional Arabic" w:hint="cs"/>
          <w:sz w:val="28"/>
          <w:szCs w:val="32"/>
          <w:rtl/>
        </w:rPr>
        <w:t xml:space="preserve"> واستحالة التنفيذ</w:t>
      </w:r>
      <w:r>
        <w:rPr>
          <w:rFonts w:cs="Traditional Arabic" w:hint="cs"/>
          <w:sz w:val="28"/>
          <w:szCs w:val="32"/>
          <w:rtl/>
        </w:rPr>
        <w:t xml:space="preserve"> ،</w:t>
      </w:r>
      <w:r w:rsidRPr="00EC737F">
        <w:rPr>
          <w:rFonts w:cs="Traditional Arabic" w:hint="cs"/>
          <w:sz w:val="28"/>
          <w:szCs w:val="32"/>
          <w:rtl/>
        </w:rPr>
        <w:t xml:space="preserve"> والتقادم</w:t>
      </w:r>
      <w:r>
        <w:rPr>
          <w:rFonts w:cs="Traditional Arabic" w:hint="cs"/>
          <w:sz w:val="28"/>
          <w:szCs w:val="32"/>
          <w:rtl/>
        </w:rPr>
        <w:t xml:space="preserve"> .</w:t>
      </w:r>
      <w:r w:rsidRPr="00EC737F">
        <w:rPr>
          <w:rFonts w:cs="Traditional Arabic" w:hint="cs"/>
          <w:sz w:val="28"/>
          <w:szCs w:val="32"/>
          <w:rtl/>
        </w:rPr>
        <w:t xml:space="preserve"> وقد يفسخ الدين المكفول أو يتمسك بإبطاله</w:t>
      </w:r>
      <w:r>
        <w:rPr>
          <w:rFonts w:cs="Traditional Arabic" w:hint="cs"/>
          <w:sz w:val="28"/>
          <w:szCs w:val="32"/>
          <w:rtl/>
        </w:rPr>
        <w:t xml:space="preserve"> ،</w:t>
      </w:r>
      <w:r w:rsidRPr="00EC737F">
        <w:rPr>
          <w:rFonts w:cs="Traditional Arabic" w:hint="cs"/>
          <w:sz w:val="28"/>
          <w:szCs w:val="32"/>
          <w:rtl/>
        </w:rPr>
        <w:t xml:space="preserve"> فنزول الكفالة تبعاً لذلك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85- انقضاء الدين المكفول بالوفاء</w:t>
      </w:r>
      <w:r>
        <w:rPr>
          <w:rFonts w:cs="Traditional Arabic" w:hint="cs"/>
          <w:sz w:val="28"/>
          <w:szCs w:val="32"/>
          <w:rtl/>
        </w:rPr>
        <w:t xml:space="preserve"> :</w:t>
      </w:r>
      <w:r w:rsidRPr="00EC737F">
        <w:rPr>
          <w:rFonts w:cs="Traditional Arabic" w:hint="cs"/>
          <w:sz w:val="28"/>
          <w:szCs w:val="32"/>
          <w:rtl/>
        </w:rPr>
        <w:t xml:space="preserve"> قد يقضي المدين الأصلي دينه المكفول بالوفاء</w:t>
      </w:r>
      <w:r>
        <w:rPr>
          <w:rFonts w:cs="Traditional Arabic" w:hint="cs"/>
          <w:sz w:val="28"/>
          <w:szCs w:val="32"/>
          <w:rtl/>
        </w:rPr>
        <w:t xml:space="preserve"> ،</w:t>
      </w:r>
      <w:r w:rsidRPr="00EC737F">
        <w:rPr>
          <w:rFonts w:cs="Traditional Arabic" w:hint="cs"/>
          <w:sz w:val="28"/>
          <w:szCs w:val="32"/>
          <w:rtl/>
        </w:rPr>
        <w:t xml:space="preserve"> فيفي </w:t>
      </w:r>
      <w:r w:rsidRPr="00EC737F">
        <w:rPr>
          <w:rFonts w:cs="Traditional Arabic" w:hint="cs"/>
          <w:sz w:val="28"/>
          <w:szCs w:val="32"/>
          <w:rtl/>
        </w:rPr>
        <w:lastRenderedPageBreak/>
        <w:t>هذا الدين</w:t>
      </w:r>
      <w:r>
        <w:rPr>
          <w:rFonts w:cs="Traditional Arabic" w:hint="cs"/>
          <w:sz w:val="28"/>
          <w:szCs w:val="32"/>
          <w:rtl/>
        </w:rPr>
        <w:t xml:space="preserve"> .</w:t>
      </w:r>
      <w:r w:rsidRPr="00EC737F">
        <w:rPr>
          <w:rFonts w:cs="Traditional Arabic" w:hint="cs"/>
          <w:sz w:val="28"/>
          <w:szCs w:val="32"/>
          <w:rtl/>
        </w:rPr>
        <w:t xml:space="preserve"> فينقضي الدين المكفول</w:t>
      </w:r>
      <w:r>
        <w:rPr>
          <w:rFonts w:cs="Traditional Arabic" w:hint="cs"/>
          <w:sz w:val="28"/>
          <w:szCs w:val="32"/>
          <w:rtl/>
        </w:rPr>
        <w:t xml:space="preserve"> ،</w:t>
      </w:r>
      <w:r w:rsidRPr="00EC737F">
        <w:rPr>
          <w:rFonts w:cs="Traditional Arabic" w:hint="cs"/>
          <w:sz w:val="28"/>
          <w:szCs w:val="32"/>
          <w:rtl/>
        </w:rPr>
        <w:t xml:space="preserve"> وينقضي تبعاً له دين الكفيل فتنقضي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47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ويكفي لقضاء الدين المكفول أن يحجز الدائن على أموال المدين ويبيعها ويكون الثمن كافياً لوفاء حقه</w:t>
      </w:r>
      <w:r>
        <w:rPr>
          <w:rFonts w:cs="Traditional Arabic" w:hint="cs"/>
          <w:sz w:val="28"/>
          <w:szCs w:val="32"/>
          <w:rtl/>
        </w:rPr>
        <w:t xml:space="preserve"> ،</w:t>
      </w:r>
      <w:r w:rsidRPr="00EC737F">
        <w:rPr>
          <w:rFonts w:cs="Traditional Arabic" w:hint="cs"/>
          <w:sz w:val="28"/>
          <w:szCs w:val="32"/>
          <w:rtl/>
        </w:rPr>
        <w:t xml:space="preserve"> حتى لو هلك المال قبل تسليمه للمشتري</w:t>
      </w:r>
      <w:r>
        <w:rPr>
          <w:rFonts w:cs="Traditional Arabic" w:hint="cs"/>
          <w:sz w:val="28"/>
          <w:szCs w:val="32"/>
          <w:rtl/>
        </w:rPr>
        <w:t xml:space="preserve"> ،</w:t>
      </w:r>
      <w:r w:rsidRPr="00EC737F">
        <w:rPr>
          <w:rFonts w:cs="Traditional Arabic" w:hint="cs"/>
          <w:sz w:val="28"/>
          <w:szCs w:val="32"/>
          <w:rtl/>
        </w:rPr>
        <w:t xml:space="preserve"> فإن الضامن للهلاك في هذه الحالة لا يكون هو الدائن بل المدين إذ يعتبر أنه هو البائع</w:t>
      </w:r>
      <w:r>
        <w:rPr>
          <w:rFonts w:cs="Traditional Arabic" w:hint="cs"/>
          <w:sz w:val="28"/>
          <w:szCs w:val="32"/>
          <w:vertAlign w:val="superscript"/>
          <w:rtl/>
        </w:rPr>
        <w:t xml:space="preserve">( </w:t>
      </w:r>
      <w:r w:rsidRPr="00EC737F">
        <w:rPr>
          <w:rStyle w:val="ab"/>
          <w:rFonts w:cs="Traditional Arabic"/>
          <w:sz w:val="28"/>
          <w:szCs w:val="32"/>
          <w:rtl/>
        </w:rPr>
        <w:footnoteReference w:id="47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لم يقبل الدائن الوفاء</w:t>
      </w:r>
      <w:r>
        <w:rPr>
          <w:rFonts w:cs="Traditional Arabic" w:hint="cs"/>
          <w:sz w:val="28"/>
          <w:szCs w:val="32"/>
          <w:rtl/>
        </w:rPr>
        <w:t xml:space="preserve"> ،</w:t>
      </w:r>
      <w:r w:rsidRPr="00EC737F">
        <w:rPr>
          <w:rFonts w:cs="Traditional Arabic" w:hint="cs"/>
          <w:sz w:val="28"/>
          <w:szCs w:val="32"/>
          <w:rtl/>
        </w:rPr>
        <w:t xml:space="preserve"> واضطر المدين لعرض الدين عرضاً حقيقياً تلاه الإيداع</w:t>
      </w:r>
      <w:r>
        <w:rPr>
          <w:rFonts w:cs="Traditional Arabic" w:hint="cs"/>
          <w:sz w:val="28"/>
          <w:szCs w:val="32"/>
          <w:rtl/>
        </w:rPr>
        <w:t xml:space="preserve"> ،</w:t>
      </w:r>
      <w:r w:rsidRPr="00EC737F">
        <w:rPr>
          <w:rFonts w:cs="Traditional Arabic" w:hint="cs"/>
          <w:sz w:val="28"/>
          <w:szCs w:val="32"/>
          <w:rtl/>
        </w:rPr>
        <w:t xml:space="preserve"> فإن العرض الحقيقي يقوم مقام الوفاء إذا قبله الدائن أو صدر حكم نهائي بصحته </w:t>
      </w:r>
      <w:r>
        <w:rPr>
          <w:rFonts w:cs="Traditional Arabic" w:hint="cs"/>
          <w:sz w:val="28"/>
          <w:szCs w:val="32"/>
          <w:rtl/>
        </w:rPr>
        <w:t xml:space="preserve">( </w:t>
      </w:r>
      <w:r w:rsidRPr="00EC737F">
        <w:rPr>
          <w:rFonts w:cs="Traditional Arabic" w:hint="cs"/>
          <w:sz w:val="28"/>
          <w:szCs w:val="32"/>
          <w:rtl/>
        </w:rPr>
        <w:t>م 339 مدني</w:t>
      </w:r>
      <w:r>
        <w:rPr>
          <w:rFonts w:cs="Traditional Arabic" w:hint="cs"/>
          <w:sz w:val="28"/>
          <w:szCs w:val="32"/>
          <w:rtl/>
        </w:rPr>
        <w:t xml:space="preserve"> ) .</w:t>
      </w:r>
      <w:r w:rsidRPr="00EC737F">
        <w:rPr>
          <w:rFonts w:cs="Traditional Arabic" w:hint="cs"/>
          <w:sz w:val="28"/>
          <w:szCs w:val="32"/>
          <w:rtl/>
        </w:rPr>
        <w:t xml:space="preserve"> ويجوز للمدين أن يرجع في هذا العرض ما دام الدائن $215 لم  يقبله أو ما دام لم يصدر حكم بصحته</w:t>
      </w:r>
      <w:r>
        <w:rPr>
          <w:rFonts w:cs="Traditional Arabic" w:hint="cs"/>
          <w:sz w:val="28"/>
          <w:szCs w:val="32"/>
          <w:rtl/>
        </w:rPr>
        <w:t xml:space="preserve"> .</w:t>
      </w:r>
      <w:r w:rsidRPr="00EC737F">
        <w:rPr>
          <w:rFonts w:cs="Traditional Arabic" w:hint="cs"/>
          <w:sz w:val="28"/>
          <w:szCs w:val="32"/>
          <w:rtl/>
        </w:rPr>
        <w:t xml:space="preserve"> وإذا رجع لم يعتبر المدين قد وفي الدين</w:t>
      </w:r>
      <w:r>
        <w:rPr>
          <w:rFonts w:cs="Traditional Arabic" w:hint="cs"/>
          <w:sz w:val="28"/>
          <w:szCs w:val="32"/>
          <w:rtl/>
        </w:rPr>
        <w:t xml:space="preserve"> ،</w:t>
      </w:r>
      <w:r w:rsidRPr="00EC737F">
        <w:rPr>
          <w:rFonts w:cs="Traditional Arabic" w:hint="cs"/>
          <w:sz w:val="28"/>
          <w:szCs w:val="32"/>
          <w:rtl/>
        </w:rPr>
        <w:t xml:space="preserve"> ومن ثم لا تبرأ ذمة الكفيل </w:t>
      </w:r>
      <w:r>
        <w:rPr>
          <w:rFonts w:cs="Traditional Arabic" w:hint="cs"/>
          <w:sz w:val="28"/>
          <w:szCs w:val="32"/>
          <w:rtl/>
        </w:rPr>
        <w:t xml:space="preserve">( </w:t>
      </w:r>
      <w:r w:rsidRPr="00EC737F">
        <w:rPr>
          <w:rFonts w:cs="Traditional Arabic" w:hint="cs"/>
          <w:sz w:val="28"/>
          <w:szCs w:val="32"/>
          <w:rtl/>
        </w:rPr>
        <w:t>م 340/1 مدني</w:t>
      </w:r>
      <w:r>
        <w:rPr>
          <w:rFonts w:cs="Traditional Arabic" w:hint="cs"/>
          <w:sz w:val="28"/>
          <w:szCs w:val="32"/>
          <w:rtl/>
        </w:rPr>
        <w:t xml:space="preserve"> ) .</w:t>
      </w:r>
      <w:r w:rsidRPr="00EC737F">
        <w:rPr>
          <w:rFonts w:cs="Traditional Arabic" w:hint="cs"/>
          <w:sz w:val="28"/>
          <w:szCs w:val="32"/>
          <w:rtl/>
        </w:rPr>
        <w:t xml:space="preserve"> أما إذا رجع المدين في العرض بعد أن قبله الدائن أو بعد أن حكم بصحته</w:t>
      </w:r>
      <w:r>
        <w:rPr>
          <w:rFonts w:cs="Traditional Arabic" w:hint="cs"/>
          <w:sz w:val="28"/>
          <w:szCs w:val="32"/>
          <w:rtl/>
        </w:rPr>
        <w:t xml:space="preserve"> ،</w:t>
      </w:r>
      <w:r w:rsidRPr="00EC737F">
        <w:rPr>
          <w:rFonts w:cs="Traditional Arabic" w:hint="cs"/>
          <w:sz w:val="28"/>
          <w:szCs w:val="32"/>
          <w:rtl/>
        </w:rPr>
        <w:t xml:space="preserve"> وقبل الدائن هذا الرجوع</w:t>
      </w:r>
      <w:r>
        <w:rPr>
          <w:rFonts w:cs="Traditional Arabic" w:hint="cs"/>
          <w:sz w:val="28"/>
          <w:szCs w:val="32"/>
          <w:rtl/>
        </w:rPr>
        <w:t xml:space="preserve"> ،</w:t>
      </w:r>
      <w:r w:rsidRPr="00EC737F">
        <w:rPr>
          <w:rFonts w:cs="Traditional Arabic" w:hint="cs"/>
          <w:sz w:val="28"/>
          <w:szCs w:val="32"/>
          <w:rtl/>
        </w:rPr>
        <w:t xml:space="preserve"> لم يكن لرجوع المدين أثر في حق الكفيل واعتبر الدين موفى بالنسبة إليه وبرئت ذمته نهائياً </w:t>
      </w:r>
      <w:r>
        <w:rPr>
          <w:rFonts w:cs="Traditional Arabic" w:hint="cs"/>
          <w:sz w:val="28"/>
          <w:szCs w:val="32"/>
          <w:rtl/>
        </w:rPr>
        <w:t xml:space="preserve">( </w:t>
      </w:r>
      <w:r w:rsidRPr="00EC737F">
        <w:rPr>
          <w:rFonts w:cs="Traditional Arabic" w:hint="cs"/>
          <w:sz w:val="28"/>
          <w:szCs w:val="32"/>
          <w:rtl/>
        </w:rPr>
        <w:t>م 340/2 مدني</w:t>
      </w:r>
      <w:r>
        <w:rPr>
          <w:rFonts w:cs="Traditional Arabic" w:hint="cs"/>
          <w:sz w:val="28"/>
          <w:szCs w:val="32"/>
          <w:rtl/>
        </w:rPr>
        <w:t xml:space="preserve"> ) .</w:t>
      </w:r>
      <w:r w:rsidRPr="00EC737F">
        <w:rPr>
          <w:rFonts w:cs="Traditional Arabic" w:hint="cs"/>
          <w:sz w:val="28"/>
          <w:szCs w:val="32"/>
          <w:rtl/>
        </w:rPr>
        <w:t xml:space="preserve"> وإذا كان الوفاء باطلا أو أبطل</w:t>
      </w:r>
      <w:r>
        <w:rPr>
          <w:rFonts w:cs="Traditional Arabic" w:hint="cs"/>
          <w:sz w:val="28"/>
          <w:szCs w:val="32"/>
          <w:rtl/>
        </w:rPr>
        <w:t xml:space="preserve"> ،</w:t>
      </w:r>
      <w:r w:rsidRPr="00EC737F">
        <w:rPr>
          <w:rFonts w:cs="Traditional Arabic" w:hint="cs"/>
          <w:sz w:val="28"/>
          <w:szCs w:val="32"/>
          <w:rtl/>
        </w:rPr>
        <w:t xml:space="preserve"> اعتبر كأن لم يكن</w:t>
      </w:r>
      <w:r>
        <w:rPr>
          <w:rFonts w:cs="Traditional Arabic" w:hint="cs"/>
          <w:sz w:val="28"/>
          <w:szCs w:val="32"/>
          <w:rtl/>
        </w:rPr>
        <w:t xml:space="preserve"> ،</w:t>
      </w:r>
      <w:r w:rsidRPr="00EC737F">
        <w:rPr>
          <w:rFonts w:cs="Traditional Arabic" w:hint="cs"/>
          <w:sz w:val="28"/>
          <w:szCs w:val="32"/>
          <w:rtl/>
        </w:rPr>
        <w:t xml:space="preserve"> فيعود الدين المكفول وتعود معه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47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وهذا بخلاف الوفاء </w:t>
      </w:r>
      <w:r w:rsidRPr="00EC737F">
        <w:rPr>
          <w:rFonts w:cs="Traditional Arabic" w:hint="cs"/>
          <w:sz w:val="28"/>
          <w:szCs w:val="32"/>
          <w:rtl/>
        </w:rPr>
        <w:lastRenderedPageBreak/>
        <w:t>بمقابل</w:t>
      </w:r>
      <w:r>
        <w:rPr>
          <w:rFonts w:cs="Traditional Arabic" w:hint="cs"/>
          <w:sz w:val="28"/>
          <w:szCs w:val="32"/>
          <w:rtl/>
        </w:rPr>
        <w:t xml:space="preserve"> ،</w:t>
      </w:r>
      <w:r w:rsidRPr="00EC737F">
        <w:rPr>
          <w:rFonts w:cs="Traditional Arabic" w:hint="cs"/>
          <w:sz w:val="28"/>
          <w:szCs w:val="32"/>
          <w:rtl/>
        </w:rPr>
        <w:t xml:space="preserve"> فسنرى أنه إذا استحقا لشي</w:t>
      </w:r>
      <w:r w:rsidRPr="00EC737F">
        <w:rPr>
          <w:rFonts w:cs="Traditional Arabic" w:hint="eastAsia"/>
          <w:sz w:val="28"/>
          <w:szCs w:val="32"/>
          <w:rtl/>
        </w:rPr>
        <w:t>ء</w:t>
      </w:r>
      <w:r w:rsidRPr="00EC737F">
        <w:rPr>
          <w:rFonts w:cs="Traditional Arabic" w:hint="cs"/>
          <w:sz w:val="28"/>
          <w:szCs w:val="32"/>
          <w:rtl/>
        </w:rPr>
        <w:t xml:space="preserve"> المدفوع في مقابل الدين</w:t>
      </w:r>
      <w:r>
        <w:rPr>
          <w:rFonts w:cs="Traditional Arabic" w:hint="cs"/>
          <w:sz w:val="28"/>
          <w:szCs w:val="32"/>
          <w:rtl/>
        </w:rPr>
        <w:t xml:space="preserve"> ،</w:t>
      </w:r>
      <w:r w:rsidRPr="00EC737F">
        <w:rPr>
          <w:rFonts w:cs="Traditional Arabic" w:hint="cs"/>
          <w:sz w:val="28"/>
          <w:szCs w:val="32"/>
          <w:rtl/>
        </w:rPr>
        <w:t xml:space="preserve"> فإن الوفاء بمقابل يبقى مبرئاً لذمة الكفيل ولا تعود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47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وتوجد حالة يوفى فيها بالدين المكفول</w:t>
      </w:r>
      <w:r>
        <w:rPr>
          <w:rFonts w:cs="Traditional Arabic" w:hint="cs"/>
          <w:sz w:val="28"/>
          <w:szCs w:val="32"/>
          <w:rtl/>
        </w:rPr>
        <w:t xml:space="preserve"> ،</w:t>
      </w:r>
      <w:r w:rsidRPr="00EC737F">
        <w:rPr>
          <w:rFonts w:cs="Traditional Arabic" w:hint="cs"/>
          <w:sz w:val="28"/>
          <w:szCs w:val="32"/>
          <w:rtl/>
        </w:rPr>
        <w:t xml:space="preserve"> ومع ذلك لا ينقضي هذا الدين</w:t>
      </w:r>
      <w:r>
        <w:rPr>
          <w:rFonts w:cs="Traditional Arabic" w:hint="cs"/>
          <w:sz w:val="28"/>
          <w:szCs w:val="32"/>
          <w:rtl/>
        </w:rPr>
        <w:t xml:space="preserve"> .</w:t>
      </w:r>
      <w:r w:rsidRPr="00EC737F">
        <w:rPr>
          <w:rFonts w:cs="Traditional Arabic" w:hint="cs"/>
          <w:sz w:val="28"/>
          <w:szCs w:val="32"/>
          <w:rtl/>
        </w:rPr>
        <w:t xml:space="preserve"> وذلك إذا وفي الغير بهذا الدين للدائن</w:t>
      </w:r>
      <w:r>
        <w:rPr>
          <w:rFonts w:cs="Traditional Arabic" w:hint="cs"/>
          <w:sz w:val="28"/>
          <w:szCs w:val="32"/>
          <w:rtl/>
        </w:rPr>
        <w:t xml:space="preserve"> ،</w:t>
      </w:r>
      <w:r w:rsidRPr="00EC737F">
        <w:rPr>
          <w:rFonts w:cs="Traditional Arabic" w:hint="cs"/>
          <w:sz w:val="28"/>
          <w:szCs w:val="32"/>
          <w:rtl/>
        </w:rPr>
        <w:t xml:space="preserve"> وحل محله فيه حلولا اختيارياً أو قانونياً</w:t>
      </w:r>
      <w:r>
        <w:rPr>
          <w:rFonts w:cs="Traditional Arabic" w:hint="cs"/>
          <w:sz w:val="28"/>
          <w:szCs w:val="32"/>
          <w:rtl/>
        </w:rPr>
        <w:t xml:space="preserve"> .</w:t>
      </w:r>
      <w:r w:rsidRPr="00EC737F">
        <w:rPr>
          <w:rFonts w:cs="Traditional Arabic" w:hint="cs"/>
          <w:sz w:val="28"/>
          <w:szCs w:val="32"/>
          <w:rtl/>
        </w:rPr>
        <w:t xml:space="preserve"> ففي هذه الحالة يرجع الموفى بالدين على المدين بنفس الدين كما تقضي قواعد الحلول</w:t>
      </w:r>
      <w:r>
        <w:rPr>
          <w:rFonts w:cs="Traditional Arabic" w:hint="cs"/>
          <w:sz w:val="28"/>
          <w:szCs w:val="32"/>
          <w:rtl/>
        </w:rPr>
        <w:t xml:space="preserve"> ،</w:t>
      </w:r>
      <w:r w:rsidRPr="00EC737F">
        <w:rPr>
          <w:rFonts w:cs="Traditional Arabic" w:hint="cs"/>
          <w:sz w:val="28"/>
          <w:szCs w:val="32"/>
          <w:rtl/>
        </w:rPr>
        <w:t xml:space="preserve"> فلا يكون الدين قد انقضى بالرغم من وفائه ويفي التزام الكفيل</w:t>
      </w:r>
      <w:r>
        <w:rPr>
          <w:rFonts w:cs="Traditional Arabic" w:hint="cs"/>
          <w:sz w:val="28"/>
          <w:szCs w:val="32"/>
          <w:vertAlign w:val="superscript"/>
          <w:rtl/>
        </w:rPr>
        <w:t xml:space="preserve">( </w:t>
      </w:r>
      <w:r w:rsidRPr="00EC737F">
        <w:rPr>
          <w:rStyle w:val="ab"/>
          <w:rFonts w:cs="Traditional Arabic"/>
          <w:sz w:val="28"/>
          <w:szCs w:val="32"/>
          <w:rtl/>
        </w:rPr>
        <w:footnoteReference w:id="48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ويستوي في كل ما قدمناه أن يكون الكفيل غير متضامن مع المدين أو متضامنا معه</w:t>
      </w:r>
      <w:r>
        <w:rPr>
          <w:rFonts w:cs="Traditional Arabic" w:hint="cs"/>
          <w:sz w:val="28"/>
          <w:szCs w:val="32"/>
          <w:vertAlign w:val="superscript"/>
          <w:rtl/>
        </w:rPr>
        <w:t xml:space="preserve">( </w:t>
      </w:r>
      <w:r w:rsidRPr="00EC737F">
        <w:rPr>
          <w:rStyle w:val="ab"/>
          <w:rFonts w:cs="Traditional Arabic"/>
          <w:sz w:val="28"/>
          <w:szCs w:val="32"/>
          <w:rtl/>
        </w:rPr>
        <w:footnoteReference w:id="48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86- انقضاء الدين المكفول بالوفاء بمقابل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783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"إذا قبل الدائن أن يستوفي في مقابل الدين شيئاً آخر</w:t>
      </w:r>
      <w:r>
        <w:rPr>
          <w:rFonts w:cs="Traditional Arabic" w:hint="cs"/>
          <w:sz w:val="28"/>
          <w:szCs w:val="32"/>
          <w:rtl/>
        </w:rPr>
        <w:t xml:space="preserve"> ،</w:t>
      </w:r>
      <w:r w:rsidRPr="00EC737F">
        <w:rPr>
          <w:rFonts w:cs="Traditional Arabic" w:hint="cs"/>
          <w:sz w:val="28"/>
          <w:szCs w:val="32"/>
          <w:rtl/>
        </w:rPr>
        <w:t xml:space="preserve"> برئت ذمة الكفيل ولو استحق هذا الشيء"</w:t>
      </w:r>
      <w:r>
        <w:rPr>
          <w:rFonts w:cs="Traditional Arabic" w:hint="cs"/>
          <w:sz w:val="28"/>
          <w:szCs w:val="32"/>
          <w:vertAlign w:val="superscript"/>
          <w:rtl/>
        </w:rPr>
        <w:t xml:space="preserve">( </w:t>
      </w:r>
      <w:r w:rsidRPr="00EC737F">
        <w:rPr>
          <w:rStyle w:val="ab"/>
          <w:rFonts w:cs="Traditional Arabic"/>
          <w:sz w:val="28"/>
          <w:szCs w:val="32"/>
          <w:rtl/>
        </w:rPr>
        <w:footnoteReference w:id="48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 xml:space="preserve">$216 والمفروض هنا </w:t>
      </w:r>
      <w:r w:rsidRPr="00EC737F">
        <w:rPr>
          <w:rFonts w:cs="Traditional Arabic"/>
          <w:sz w:val="28"/>
          <w:szCs w:val="32"/>
          <w:rtl/>
        </w:rPr>
        <w:t>–</w:t>
      </w:r>
      <w:r w:rsidRPr="00EC737F">
        <w:rPr>
          <w:rFonts w:cs="Traditional Arabic" w:hint="cs"/>
          <w:sz w:val="28"/>
          <w:szCs w:val="32"/>
          <w:rtl/>
        </w:rPr>
        <w:t xml:space="preserve"> وهذا الذي يقع غالباً </w:t>
      </w:r>
      <w:r w:rsidRPr="00EC737F">
        <w:rPr>
          <w:rFonts w:cs="Traditional Arabic"/>
          <w:sz w:val="28"/>
          <w:szCs w:val="32"/>
          <w:rtl/>
        </w:rPr>
        <w:t>–</w:t>
      </w:r>
      <w:r w:rsidRPr="00EC737F">
        <w:rPr>
          <w:rFonts w:cs="Traditional Arabic" w:hint="cs"/>
          <w:sz w:val="28"/>
          <w:szCs w:val="32"/>
          <w:rtl/>
        </w:rPr>
        <w:t xml:space="preserve"> أن المدين قد قضى الدين المكفول عن طريق الوفاء بمقابل فاتفق المدين مع الدائن على الاستعاضة عن الدين الأصلي بنقل ملكية شيء آخر من المدين إلى الدائن</w:t>
      </w:r>
      <w:r>
        <w:rPr>
          <w:rFonts w:cs="Traditional Arabic" w:hint="cs"/>
          <w:sz w:val="28"/>
          <w:szCs w:val="32"/>
          <w:rtl/>
        </w:rPr>
        <w:t xml:space="preserve"> ،</w:t>
      </w:r>
      <w:r w:rsidRPr="00EC737F">
        <w:rPr>
          <w:rFonts w:cs="Traditional Arabic" w:hint="cs"/>
          <w:sz w:val="28"/>
          <w:szCs w:val="32"/>
          <w:rtl/>
        </w:rPr>
        <w:t xml:space="preserve"> ونفذ هذا الاتفاق بنقل الملكية فعلاً</w:t>
      </w:r>
      <w:r>
        <w:rPr>
          <w:rFonts w:cs="Traditional Arabic" w:hint="cs"/>
          <w:sz w:val="28"/>
          <w:szCs w:val="32"/>
          <w:rtl/>
        </w:rPr>
        <w:t xml:space="preserve"> ،</w:t>
      </w:r>
      <w:r w:rsidRPr="00EC737F">
        <w:rPr>
          <w:rFonts w:cs="Traditional Arabic" w:hint="cs"/>
          <w:sz w:val="28"/>
          <w:szCs w:val="32"/>
          <w:rtl/>
        </w:rPr>
        <w:t xml:space="preserve"> ومن ثم تبرأ ذمة المدين من الدين الأصلي عن طرق هذا الوفاء بمقابل</w:t>
      </w:r>
      <w:r>
        <w:rPr>
          <w:rFonts w:cs="Traditional Arabic" w:hint="cs"/>
          <w:sz w:val="28"/>
          <w:szCs w:val="32"/>
          <w:rtl/>
        </w:rPr>
        <w:t xml:space="preserve"> ،</w:t>
      </w:r>
      <w:r w:rsidRPr="00EC737F">
        <w:rPr>
          <w:rFonts w:cs="Traditional Arabic" w:hint="cs"/>
          <w:sz w:val="28"/>
          <w:szCs w:val="32"/>
          <w:rtl/>
        </w:rPr>
        <w:t xml:space="preserve"> وتبرأ ذمة الكفيل تعباً لذلك فتنقضي الكفالة بطريق تبعي</w:t>
      </w:r>
      <w:r>
        <w:rPr>
          <w:rFonts w:cs="Traditional Arabic" w:hint="cs"/>
          <w:sz w:val="28"/>
          <w:szCs w:val="32"/>
          <w:vertAlign w:val="superscript"/>
          <w:rtl/>
        </w:rPr>
        <w:t xml:space="preserve">( </w:t>
      </w:r>
      <w:r w:rsidRPr="00EC737F">
        <w:rPr>
          <w:rStyle w:val="ab"/>
          <w:rFonts w:cs="Traditional Arabic"/>
          <w:sz w:val="28"/>
          <w:szCs w:val="32"/>
          <w:rtl/>
        </w:rPr>
        <w:footnoteReference w:id="48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$217 ولما كان التكييف القانوني للوفاء بمقابل</w:t>
      </w:r>
      <w:r>
        <w:rPr>
          <w:rFonts w:cs="Traditional Arabic" w:hint="cs"/>
          <w:sz w:val="28"/>
          <w:szCs w:val="32"/>
          <w:rtl/>
        </w:rPr>
        <w:t xml:space="preserve"> ،</w:t>
      </w:r>
      <w:r w:rsidRPr="00EC737F">
        <w:rPr>
          <w:rFonts w:cs="Traditional Arabic" w:hint="cs"/>
          <w:sz w:val="28"/>
          <w:szCs w:val="32"/>
          <w:rtl/>
        </w:rPr>
        <w:t xml:space="preserve"> وهو التكييف الذي تغلب في الفقه المعاصر</w:t>
      </w:r>
      <w:r>
        <w:rPr>
          <w:rFonts w:cs="Traditional Arabic" w:hint="cs"/>
          <w:sz w:val="28"/>
          <w:szCs w:val="32"/>
          <w:rtl/>
        </w:rPr>
        <w:t xml:space="preserve"> ،</w:t>
      </w:r>
      <w:r w:rsidRPr="00EC737F">
        <w:rPr>
          <w:rFonts w:cs="Traditional Arabic" w:hint="cs"/>
          <w:sz w:val="28"/>
          <w:szCs w:val="32"/>
          <w:rtl/>
        </w:rPr>
        <w:t xml:space="preserve"> هو </w:t>
      </w:r>
      <w:r w:rsidRPr="00EC737F">
        <w:rPr>
          <w:rFonts w:cs="Traditional Arabic" w:hint="cs"/>
          <w:sz w:val="28"/>
          <w:szCs w:val="32"/>
          <w:rtl/>
        </w:rPr>
        <w:lastRenderedPageBreak/>
        <w:t>أن الوفاء بمقابل مزيج من التجديد والوفاء عن طريق نقل الملكية</w:t>
      </w:r>
      <w:r>
        <w:rPr>
          <w:rFonts w:cs="Traditional Arabic" w:hint="cs"/>
          <w:sz w:val="28"/>
          <w:szCs w:val="32"/>
          <w:rtl/>
        </w:rPr>
        <w:t xml:space="preserve"> ،</w:t>
      </w:r>
      <w:r w:rsidRPr="00EC737F">
        <w:rPr>
          <w:rFonts w:cs="Traditional Arabic" w:hint="cs"/>
          <w:sz w:val="28"/>
          <w:szCs w:val="32"/>
          <w:rtl/>
        </w:rPr>
        <w:t xml:space="preserve"> فإنه يجب تحليل الوفاء بمقابل إلى عنصريه الأولين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فهو أولا تجديد بتغيير محل الدين</w:t>
      </w:r>
      <w:r>
        <w:rPr>
          <w:rFonts w:cs="Traditional Arabic" w:hint="cs"/>
          <w:sz w:val="28"/>
          <w:szCs w:val="32"/>
          <w:rtl/>
        </w:rPr>
        <w:t xml:space="preserve"> ،</w:t>
      </w:r>
      <w:r w:rsidRPr="00EC737F">
        <w:rPr>
          <w:rFonts w:cs="Traditional Arabic" w:hint="cs"/>
          <w:sz w:val="28"/>
          <w:szCs w:val="32"/>
          <w:rtl/>
        </w:rPr>
        <w:t xml:space="preserve"> ومتى دخل في الدين هذا التعديل الجوهر فقد أصبح ديناً جديداً يحل محل الدين القديم</w:t>
      </w:r>
      <w:r>
        <w:rPr>
          <w:rFonts w:cs="Traditional Arabic" w:hint="cs"/>
          <w:sz w:val="28"/>
          <w:szCs w:val="32"/>
          <w:rtl/>
        </w:rPr>
        <w:t xml:space="preserve"> ،</w:t>
      </w:r>
      <w:r w:rsidRPr="00EC737F">
        <w:rPr>
          <w:rFonts w:cs="Traditional Arabic" w:hint="cs"/>
          <w:sz w:val="28"/>
          <w:szCs w:val="32"/>
          <w:rtl/>
        </w:rPr>
        <w:t xml:space="preserve"> وهذا هو التجديد</w:t>
      </w:r>
      <w:r>
        <w:rPr>
          <w:rFonts w:cs="Traditional Arabic" w:hint="cs"/>
          <w:sz w:val="28"/>
          <w:szCs w:val="32"/>
          <w:rtl/>
        </w:rPr>
        <w:t xml:space="preserve"> .</w:t>
      </w:r>
      <w:r w:rsidRPr="00EC737F">
        <w:rPr>
          <w:rFonts w:cs="Traditional Arabic" w:hint="cs"/>
          <w:sz w:val="28"/>
          <w:szCs w:val="32"/>
          <w:rtl/>
        </w:rPr>
        <w:t xml:space="preserve"> ويترتب على هذه الخطوة الأولى أن الدين الأصلي ينقضي معه تأميناته ومنها الكفالة</w:t>
      </w:r>
      <w:r>
        <w:rPr>
          <w:rFonts w:cs="Traditional Arabic" w:hint="cs"/>
          <w:sz w:val="28"/>
          <w:szCs w:val="32"/>
          <w:rtl/>
        </w:rPr>
        <w:t xml:space="preserve"> ،</w:t>
      </w:r>
      <w:r w:rsidRPr="00EC737F">
        <w:rPr>
          <w:rFonts w:cs="Traditional Arabic" w:hint="cs"/>
          <w:sz w:val="28"/>
          <w:szCs w:val="32"/>
          <w:rtl/>
        </w:rPr>
        <w:t xml:space="preserve"> وعلى ذلك تبرأ ذمة الكفيل نهائياً باقتضاء الدين الأصلي عن طريق التجديد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والوفاء بمقابل ثانياً هو وفاء الدين الجديد الذي حل محل الدين القديم</w:t>
      </w:r>
      <w:r>
        <w:rPr>
          <w:rFonts w:cs="Traditional Arabic" w:hint="cs"/>
          <w:sz w:val="28"/>
          <w:szCs w:val="32"/>
          <w:rtl/>
        </w:rPr>
        <w:t xml:space="preserve"> .</w:t>
      </w:r>
      <w:r w:rsidRPr="00EC737F">
        <w:rPr>
          <w:rFonts w:cs="Traditional Arabic" w:hint="cs"/>
          <w:sz w:val="28"/>
          <w:szCs w:val="32"/>
          <w:rtl/>
        </w:rPr>
        <w:t xml:space="preserve"> وذلك عن طريق نقل الملكية</w:t>
      </w:r>
      <w:r>
        <w:rPr>
          <w:rFonts w:cs="Traditional Arabic" w:hint="cs"/>
          <w:sz w:val="28"/>
          <w:szCs w:val="32"/>
          <w:rtl/>
        </w:rPr>
        <w:t xml:space="preserve"> .</w:t>
      </w:r>
      <w:r w:rsidRPr="00EC737F">
        <w:rPr>
          <w:rFonts w:cs="Traditional Arabic" w:hint="cs"/>
          <w:sz w:val="28"/>
          <w:szCs w:val="32"/>
          <w:rtl/>
        </w:rPr>
        <w:t xml:space="preserve"> فتسري إذن على الوفاء بمقابل أحكام البيع باعتباره ناقلا للملكية</w:t>
      </w:r>
      <w:r>
        <w:rPr>
          <w:rFonts w:cs="Traditional Arabic" w:hint="cs"/>
          <w:sz w:val="28"/>
          <w:szCs w:val="32"/>
          <w:rtl/>
        </w:rPr>
        <w:t xml:space="preserve"> ،</w:t>
      </w:r>
      <w:r w:rsidRPr="00EC737F">
        <w:rPr>
          <w:rFonts w:cs="Traditional Arabic" w:hint="cs"/>
          <w:sz w:val="28"/>
          <w:szCs w:val="32"/>
          <w:rtl/>
        </w:rPr>
        <w:t xml:space="preserve"> وتسري عليه أيضاً أحكام الوفاء باعتباره أنه يقضي الدين</w:t>
      </w:r>
      <w:r>
        <w:rPr>
          <w:rFonts w:cs="Traditional Arabic" w:hint="cs"/>
          <w:sz w:val="28"/>
          <w:szCs w:val="32"/>
          <w:rtl/>
        </w:rPr>
        <w:t xml:space="preserve"> .</w:t>
      </w:r>
      <w:r w:rsidRPr="00EC737F">
        <w:rPr>
          <w:rFonts w:cs="Traditional Arabic" w:hint="cs"/>
          <w:sz w:val="28"/>
          <w:szCs w:val="32"/>
          <w:rtl/>
        </w:rPr>
        <w:t xml:space="preserve"> ومن أحكام البيع ضمان الاستحقاق</w:t>
      </w:r>
      <w:r>
        <w:rPr>
          <w:rFonts w:cs="Traditional Arabic" w:hint="cs"/>
          <w:sz w:val="28"/>
          <w:szCs w:val="32"/>
          <w:rtl/>
        </w:rPr>
        <w:t xml:space="preserve"> ،</w:t>
      </w:r>
      <w:r w:rsidRPr="00EC737F">
        <w:rPr>
          <w:rFonts w:cs="Traditional Arabic" w:hint="cs"/>
          <w:sz w:val="28"/>
          <w:szCs w:val="32"/>
          <w:rtl/>
        </w:rPr>
        <w:t xml:space="preserve"> فإذا استحق المقابل في يد الدائن</w:t>
      </w:r>
      <w:r>
        <w:rPr>
          <w:rFonts w:cs="Traditional Arabic" w:hint="cs"/>
          <w:sz w:val="28"/>
          <w:szCs w:val="32"/>
          <w:rtl/>
        </w:rPr>
        <w:t xml:space="preserve"> ،</w:t>
      </w:r>
      <w:r w:rsidRPr="00EC737F">
        <w:rPr>
          <w:rFonts w:cs="Traditional Arabic" w:hint="cs"/>
          <w:sz w:val="28"/>
          <w:szCs w:val="32"/>
          <w:rtl/>
        </w:rPr>
        <w:t xml:space="preserve"> رجع بهذا الضمان على المدين</w:t>
      </w:r>
      <w:r>
        <w:rPr>
          <w:rFonts w:cs="Traditional Arabic" w:hint="cs"/>
          <w:sz w:val="28"/>
          <w:szCs w:val="32"/>
          <w:vertAlign w:val="superscript"/>
          <w:rtl/>
        </w:rPr>
        <w:t xml:space="preserve">( </w:t>
      </w:r>
      <w:r w:rsidRPr="00EC737F">
        <w:rPr>
          <w:rStyle w:val="ab"/>
          <w:rFonts w:cs="Traditional Arabic"/>
          <w:sz w:val="28"/>
          <w:szCs w:val="32"/>
          <w:rtl/>
        </w:rPr>
        <w:footnoteReference w:id="48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ولكنه لا يرجع بالدين الأصلين فإن هذا المدين قد انقضى بالتجديد كما قدمنا وقد انقضت تأميناته معه فبرئت ذمة الكفيل نهائياً</w:t>
      </w:r>
      <w:r>
        <w:rPr>
          <w:rFonts w:cs="Traditional Arabic" w:hint="cs"/>
          <w:sz w:val="28"/>
          <w:szCs w:val="32"/>
          <w:rtl/>
        </w:rPr>
        <w:t xml:space="preserve"> .</w:t>
      </w:r>
      <w:r w:rsidRPr="00EC737F">
        <w:rPr>
          <w:rFonts w:cs="Traditional Arabic" w:hint="cs"/>
          <w:sz w:val="28"/>
          <w:szCs w:val="32"/>
          <w:rtl/>
        </w:rPr>
        <w:t xml:space="preserve"> إذ التجديد قد أصبح باتاً لا رجوع فيه</w:t>
      </w:r>
      <w:r>
        <w:rPr>
          <w:rFonts w:cs="Traditional Arabic" w:hint="cs"/>
          <w:sz w:val="28"/>
          <w:szCs w:val="32"/>
          <w:vertAlign w:val="superscript"/>
          <w:rtl/>
        </w:rPr>
        <w:t xml:space="preserve">( </w:t>
      </w:r>
      <w:r w:rsidRPr="00EC737F">
        <w:rPr>
          <w:rStyle w:val="ab"/>
          <w:rFonts w:cs="Traditional Arabic"/>
          <w:sz w:val="28"/>
          <w:szCs w:val="32"/>
          <w:rtl/>
        </w:rPr>
        <w:footnoteReference w:id="48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$218 وهو الذي قضي الدين الأصلي بتأميناته</w:t>
      </w:r>
      <w:r>
        <w:rPr>
          <w:rFonts w:cs="Traditional Arabic" w:hint="cs"/>
          <w:sz w:val="28"/>
          <w:szCs w:val="32"/>
          <w:rtl/>
        </w:rPr>
        <w:t xml:space="preserve"> ،</w:t>
      </w:r>
      <w:r w:rsidRPr="00EC737F">
        <w:rPr>
          <w:rFonts w:cs="Traditional Arabic" w:hint="cs"/>
          <w:sz w:val="28"/>
          <w:szCs w:val="32"/>
          <w:rtl/>
        </w:rPr>
        <w:t xml:space="preserve"> وأقام مقامه الدين الجديد الذي يستوجب تنفيذه </w:t>
      </w:r>
      <w:r w:rsidRPr="00EC737F">
        <w:rPr>
          <w:rFonts w:cs="Traditional Arabic" w:hint="cs"/>
          <w:sz w:val="28"/>
          <w:szCs w:val="32"/>
          <w:rtl/>
        </w:rPr>
        <w:lastRenderedPageBreak/>
        <w:t>نقل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48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وأيا كان سبب استحقاق المقابل</w:t>
      </w:r>
      <w:r>
        <w:rPr>
          <w:rFonts w:cs="Traditional Arabic" w:hint="cs"/>
          <w:sz w:val="28"/>
          <w:szCs w:val="32"/>
          <w:rtl/>
        </w:rPr>
        <w:t xml:space="preserve"> ،</w:t>
      </w:r>
      <w:r w:rsidRPr="00EC737F">
        <w:rPr>
          <w:rFonts w:cs="Traditional Arabic" w:hint="cs"/>
          <w:sz w:val="28"/>
          <w:szCs w:val="32"/>
          <w:rtl/>
        </w:rPr>
        <w:t xml:space="preserve"> فإن الوفاء بمقابل يبرئ ذمة الكفيل نهائياً</w:t>
      </w:r>
      <w:r>
        <w:rPr>
          <w:rFonts w:cs="Traditional Arabic" w:hint="cs"/>
          <w:sz w:val="28"/>
          <w:szCs w:val="32"/>
          <w:rtl/>
        </w:rPr>
        <w:t xml:space="preserve"> .</w:t>
      </w:r>
      <w:r w:rsidRPr="00EC737F">
        <w:rPr>
          <w:rFonts w:cs="Traditional Arabic" w:hint="cs"/>
          <w:sz w:val="28"/>
          <w:szCs w:val="32"/>
          <w:rtl/>
        </w:rPr>
        <w:t xml:space="preserve"> وذلك ما لم يكن المقابل مملوكاً للكفيل نفسه وكان الكفيل يعلم أن المدين الأصلي قد أعطي هذا المقابل للدائن</w:t>
      </w:r>
      <w:r>
        <w:rPr>
          <w:rFonts w:cs="Traditional Arabic" w:hint="cs"/>
          <w:sz w:val="28"/>
          <w:szCs w:val="32"/>
          <w:rtl/>
        </w:rPr>
        <w:t xml:space="preserve"> ،</w:t>
      </w:r>
      <w:r w:rsidRPr="00EC737F">
        <w:rPr>
          <w:rFonts w:cs="Traditional Arabic" w:hint="cs"/>
          <w:sz w:val="28"/>
          <w:szCs w:val="32"/>
          <w:rtl/>
        </w:rPr>
        <w:t xml:space="preserve"> ففي هذه الحالة إذا رجع الكفيل بضمان الاستحقاق على الدائن لم تبرأ ذمته من الكفالة لأنه هو الذي تسبب بعمله في ضمان الاستحقاق</w:t>
      </w:r>
      <w:r>
        <w:rPr>
          <w:rFonts w:cs="Traditional Arabic" w:hint="cs"/>
          <w:sz w:val="28"/>
          <w:szCs w:val="32"/>
          <w:vertAlign w:val="superscript"/>
          <w:rtl/>
        </w:rPr>
        <w:t xml:space="preserve">( </w:t>
      </w:r>
      <w:r w:rsidRPr="00EC737F">
        <w:rPr>
          <w:rStyle w:val="ab"/>
          <w:rFonts w:cs="Traditional Arabic"/>
          <w:sz w:val="28"/>
          <w:szCs w:val="32"/>
          <w:rtl/>
        </w:rPr>
        <w:footnoteReference w:id="48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ويجوز للدائن</w:t>
      </w:r>
      <w:r>
        <w:rPr>
          <w:rFonts w:cs="Traditional Arabic" w:hint="cs"/>
          <w:sz w:val="28"/>
          <w:szCs w:val="32"/>
          <w:rtl/>
        </w:rPr>
        <w:t xml:space="preserve"> ،</w:t>
      </w:r>
      <w:r w:rsidRPr="00EC737F">
        <w:rPr>
          <w:rFonts w:cs="Traditional Arabic" w:hint="cs"/>
          <w:sz w:val="28"/>
          <w:szCs w:val="32"/>
          <w:rtl/>
        </w:rPr>
        <w:t xml:space="preserve"> عند تسلمه المقابل</w:t>
      </w:r>
      <w:r>
        <w:rPr>
          <w:rFonts w:cs="Traditional Arabic" w:hint="cs"/>
          <w:sz w:val="28"/>
          <w:szCs w:val="32"/>
          <w:rtl/>
        </w:rPr>
        <w:t xml:space="preserve"> ،</w:t>
      </w:r>
      <w:r w:rsidRPr="00EC737F">
        <w:rPr>
          <w:rFonts w:cs="Traditional Arabic" w:hint="cs"/>
          <w:sz w:val="28"/>
          <w:szCs w:val="32"/>
          <w:rtl/>
        </w:rPr>
        <w:t xml:space="preserve"> أن يحتفظ بحقه في الرجوع على الكفيل أو استحق هذا المقابل</w:t>
      </w:r>
      <w:r>
        <w:rPr>
          <w:rFonts w:cs="Traditional Arabic" w:hint="cs"/>
          <w:sz w:val="28"/>
          <w:szCs w:val="32"/>
          <w:rtl/>
        </w:rPr>
        <w:t xml:space="preserve"> .</w:t>
      </w:r>
      <w:r w:rsidRPr="00EC737F">
        <w:rPr>
          <w:rFonts w:cs="Traditional Arabic" w:hint="cs"/>
          <w:sz w:val="28"/>
          <w:szCs w:val="32"/>
          <w:rtl/>
        </w:rPr>
        <w:t xml:space="preserve"> ففي هذه الحالة يكون انقضاء الكفالة معلقاً على شرط واقف هو عدم استحقاق المقابل</w:t>
      </w:r>
      <w:r>
        <w:rPr>
          <w:rFonts w:cs="Traditional Arabic" w:hint="cs"/>
          <w:sz w:val="28"/>
          <w:szCs w:val="32"/>
          <w:rtl/>
        </w:rPr>
        <w:t xml:space="preserve"> ،</w:t>
      </w:r>
      <w:r w:rsidRPr="00EC737F">
        <w:rPr>
          <w:rFonts w:cs="Traditional Arabic" w:hint="cs"/>
          <w:sz w:val="28"/>
          <w:szCs w:val="32"/>
          <w:rtl/>
        </w:rPr>
        <w:t xml:space="preserve"> وقد يتخلف الشرط باستحقاق المقابل</w:t>
      </w:r>
      <w:r>
        <w:rPr>
          <w:rFonts w:cs="Traditional Arabic" w:hint="cs"/>
          <w:sz w:val="28"/>
          <w:szCs w:val="32"/>
          <w:vertAlign w:val="superscript"/>
          <w:rtl/>
        </w:rPr>
        <w:t xml:space="preserve">( </w:t>
      </w:r>
      <w:r w:rsidRPr="00EC737F">
        <w:rPr>
          <w:rStyle w:val="ab"/>
          <w:rFonts w:cs="Traditional Arabic"/>
          <w:sz w:val="28"/>
          <w:szCs w:val="32"/>
          <w:rtl/>
        </w:rPr>
        <w:footnoteReference w:id="48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قدمنا أن الذي قع غالباً أن المدين هو الذي يقدم شيئاً مملوكاً له في مقابل الدين</w:t>
      </w:r>
      <w:r>
        <w:rPr>
          <w:rFonts w:cs="Traditional Arabic" w:hint="cs"/>
          <w:sz w:val="28"/>
          <w:szCs w:val="32"/>
          <w:rtl/>
        </w:rPr>
        <w:t xml:space="preserve"> .</w:t>
      </w:r>
      <w:r w:rsidRPr="00EC737F">
        <w:rPr>
          <w:rFonts w:cs="Traditional Arabic" w:hint="cs"/>
          <w:sz w:val="28"/>
          <w:szCs w:val="32"/>
          <w:rtl/>
        </w:rPr>
        <w:t xml:space="preserve"> ذلك انه لو كان الذي قدم المقابل هو الكفيل</w:t>
      </w:r>
      <w:r>
        <w:rPr>
          <w:rFonts w:cs="Traditional Arabic" w:hint="cs"/>
          <w:sz w:val="28"/>
          <w:szCs w:val="32"/>
          <w:rtl/>
        </w:rPr>
        <w:t xml:space="preserve"> ،</w:t>
      </w:r>
      <w:r w:rsidRPr="00EC737F">
        <w:rPr>
          <w:rFonts w:cs="Traditional Arabic" w:hint="cs"/>
          <w:sz w:val="28"/>
          <w:szCs w:val="32"/>
          <w:rtl/>
        </w:rPr>
        <w:t xml:space="preserve"> واستحق المقابل</w:t>
      </w:r>
      <w:r>
        <w:rPr>
          <w:rFonts w:cs="Traditional Arabic" w:hint="cs"/>
          <w:sz w:val="28"/>
          <w:szCs w:val="32"/>
          <w:rtl/>
        </w:rPr>
        <w:t xml:space="preserve"> ،</w:t>
      </w:r>
      <w:r w:rsidRPr="00EC737F">
        <w:rPr>
          <w:rFonts w:cs="Traditional Arabic" w:hint="cs"/>
          <w:sz w:val="28"/>
          <w:szCs w:val="32"/>
          <w:rtl/>
        </w:rPr>
        <w:t xml:space="preserve"> لم تبرأ ذمة الكفيل بل يرجع عليه الدائن بضمان الاستحقاق</w:t>
      </w:r>
      <w:r>
        <w:rPr>
          <w:rFonts w:cs="Traditional Arabic" w:hint="cs"/>
          <w:sz w:val="28"/>
          <w:szCs w:val="32"/>
          <w:rtl/>
        </w:rPr>
        <w:t xml:space="preserve"> .</w:t>
      </w:r>
      <w:r w:rsidRPr="00EC737F">
        <w:rPr>
          <w:rFonts w:cs="Traditional Arabic" w:hint="cs"/>
          <w:sz w:val="28"/>
          <w:szCs w:val="32"/>
          <w:rtl/>
        </w:rPr>
        <w:t xml:space="preserve"> وهذا هو الذي دعا مجلس النواب</w:t>
      </w:r>
      <w:r>
        <w:rPr>
          <w:rFonts w:cs="Traditional Arabic" w:hint="cs"/>
          <w:sz w:val="28"/>
          <w:szCs w:val="32"/>
          <w:rtl/>
        </w:rPr>
        <w:t xml:space="preserve"> ،</w:t>
      </w:r>
      <w:r w:rsidRPr="00EC737F">
        <w:rPr>
          <w:rFonts w:cs="Traditional Arabic" w:hint="cs"/>
          <w:sz w:val="28"/>
          <w:szCs w:val="32"/>
          <w:rtl/>
        </w:rPr>
        <w:t xml:space="preserve"> في مشروع المادة 783 مدني سالفة لذاكر</w:t>
      </w:r>
      <w:r>
        <w:rPr>
          <w:rFonts w:cs="Traditional Arabic" w:hint="cs"/>
          <w:sz w:val="28"/>
          <w:szCs w:val="32"/>
          <w:rtl/>
        </w:rPr>
        <w:t xml:space="preserve"> ،</w:t>
      </w:r>
      <w:r w:rsidRPr="00EC737F">
        <w:rPr>
          <w:rFonts w:cs="Traditional Arabic" w:hint="cs"/>
          <w:sz w:val="28"/>
          <w:szCs w:val="32"/>
          <w:rtl/>
        </w:rPr>
        <w:t xml:space="preserve"> أن يضيف عبارة "من المدين" بعد عبارة "إذا قبل الدائن أن يستوفي" </w:t>
      </w:r>
      <w:r>
        <w:rPr>
          <w:rFonts w:cs="Traditional Arabic" w:hint="cs"/>
          <w:sz w:val="28"/>
          <w:szCs w:val="32"/>
          <w:rtl/>
        </w:rPr>
        <w:t xml:space="preserve"> .</w:t>
      </w:r>
      <w:r w:rsidRPr="00EC737F">
        <w:rPr>
          <w:rFonts w:cs="Traditional Arabic" w:hint="cs"/>
          <w:sz w:val="28"/>
          <w:szCs w:val="32"/>
          <w:rtl/>
        </w:rPr>
        <w:t xml:space="preserve"> $219 إذ المفروض ألا ينصرف إلا إلى حالة ما إذا استوفى الدائن مقابل الدين من المدين لا من الكفيل</w:t>
      </w:r>
      <w:r>
        <w:rPr>
          <w:rFonts w:cs="Traditional Arabic" w:hint="cs"/>
          <w:sz w:val="28"/>
          <w:szCs w:val="32"/>
          <w:rtl/>
        </w:rPr>
        <w:t xml:space="preserve"> .</w:t>
      </w:r>
      <w:r w:rsidRPr="00EC737F">
        <w:rPr>
          <w:rFonts w:cs="Traditional Arabic" w:hint="cs"/>
          <w:sz w:val="28"/>
          <w:szCs w:val="32"/>
          <w:rtl/>
        </w:rPr>
        <w:t xml:space="preserve"> أما إذا استوفى المقابل من الكفيل</w:t>
      </w:r>
      <w:r>
        <w:rPr>
          <w:rFonts w:cs="Traditional Arabic" w:hint="cs"/>
          <w:sz w:val="28"/>
          <w:szCs w:val="32"/>
          <w:rtl/>
        </w:rPr>
        <w:t xml:space="preserve"> ،</w:t>
      </w:r>
      <w:r w:rsidRPr="00EC737F">
        <w:rPr>
          <w:rFonts w:cs="Traditional Arabic" w:hint="cs"/>
          <w:sz w:val="28"/>
          <w:szCs w:val="32"/>
          <w:rtl/>
        </w:rPr>
        <w:t xml:space="preserve"> فإن هذا الأخير يكون ضامناً لاستحقاق الشيء</w:t>
      </w:r>
      <w:r>
        <w:rPr>
          <w:rFonts w:cs="Traditional Arabic" w:hint="cs"/>
          <w:sz w:val="28"/>
          <w:szCs w:val="32"/>
          <w:rtl/>
        </w:rPr>
        <w:t xml:space="preserve"> ،</w:t>
      </w:r>
      <w:r w:rsidRPr="00EC737F">
        <w:rPr>
          <w:rFonts w:cs="Traditional Arabic" w:hint="cs"/>
          <w:sz w:val="28"/>
          <w:szCs w:val="32"/>
          <w:rtl/>
        </w:rPr>
        <w:t xml:space="preserve"> ولا تبرأ ذمته طبقاً للقواعد العامة</w:t>
      </w:r>
      <w:r>
        <w:rPr>
          <w:rFonts w:cs="Traditional Arabic" w:hint="cs"/>
          <w:sz w:val="28"/>
          <w:szCs w:val="32"/>
          <w:rtl/>
        </w:rPr>
        <w:t xml:space="preserve"> .</w:t>
      </w:r>
      <w:r w:rsidRPr="00EC737F">
        <w:rPr>
          <w:rFonts w:cs="Traditional Arabic" w:hint="cs"/>
          <w:sz w:val="28"/>
          <w:szCs w:val="32"/>
          <w:rtl/>
        </w:rPr>
        <w:t xml:space="preserve"> ولكن مجلس الشيوخ أعاد النص إلى أصله "حتى يشمل المدين وأي شخص آخر</w:t>
      </w:r>
      <w:r>
        <w:rPr>
          <w:rFonts w:cs="Traditional Arabic" w:hint="cs"/>
          <w:sz w:val="28"/>
          <w:szCs w:val="32"/>
          <w:rtl/>
        </w:rPr>
        <w:t xml:space="preserve"> ،</w:t>
      </w:r>
      <w:r w:rsidRPr="00EC737F">
        <w:rPr>
          <w:rFonts w:cs="Traditional Arabic" w:hint="cs"/>
          <w:sz w:val="28"/>
          <w:szCs w:val="32"/>
          <w:rtl/>
        </w:rPr>
        <w:t xml:space="preserve"> لأن الوفاء قد يقع من المدين أو من غيره</w:t>
      </w:r>
      <w:r>
        <w:rPr>
          <w:rFonts w:cs="Traditional Arabic" w:hint="cs"/>
          <w:sz w:val="28"/>
          <w:szCs w:val="32"/>
          <w:rtl/>
        </w:rPr>
        <w:t xml:space="preserve"> ،</w:t>
      </w:r>
      <w:r w:rsidRPr="00EC737F">
        <w:rPr>
          <w:rFonts w:cs="Traditional Arabic" w:hint="cs"/>
          <w:sz w:val="28"/>
          <w:szCs w:val="32"/>
          <w:rtl/>
        </w:rPr>
        <w:t xml:space="preserve"> فليس ثمة موجب لتخصيص يخل بهذا المبدأ"</w:t>
      </w:r>
      <w:r>
        <w:rPr>
          <w:rFonts w:cs="Traditional Arabic" w:hint="cs"/>
          <w:sz w:val="28"/>
          <w:szCs w:val="32"/>
          <w:vertAlign w:val="superscript"/>
          <w:rtl/>
        </w:rPr>
        <w:t xml:space="preserve">( </w:t>
      </w:r>
      <w:r w:rsidRPr="00EC737F">
        <w:rPr>
          <w:rStyle w:val="ab"/>
          <w:rFonts w:cs="Traditional Arabic"/>
          <w:sz w:val="28"/>
          <w:szCs w:val="32"/>
          <w:rtl/>
        </w:rPr>
        <w:footnoteReference w:id="489"/>
      </w:r>
      <w:r>
        <w:rPr>
          <w:rFonts w:cs="Traditional Arabic" w:hint="cs"/>
          <w:sz w:val="28"/>
          <w:szCs w:val="32"/>
          <w:vertAlign w:val="superscript"/>
          <w:rtl/>
        </w:rPr>
        <w:t xml:space="preserve"> )</w:t>
      </w:r>
      <w:r w:rsidRPr="00EC737F">
        <w:rPr>
          <w:rFonts w:cs="Traditional Arabic" w:hint="cs"/>
          <w:sz w:val="28"/>
          <w:szCs w:val="32"/>
          <w:rtl/>
        </w:rPr>
        <w:t xml:space="preserve"> والمقصود بما قرره مجلس الشيوخ من أن الوفاء بمقابل قد يقع من </w:t>
      </w:r>
      <w:r w:rsidRPr="00EC737F">
        <w:rPr>
          <w:rFonts w:cs="Traditional Arabic" w:hint="cs"/>
          <w:sz w:val="28"/>
          <w:szCs w:val="32"/>
          <w:rtl/>
        </w:rPr>
        <w:lastRenderedPageBreak/>
        <w:t>المدين أو من غره</w:t>
      </w:r>
      <w:r>
        <w:rPr>
          <w:rFonts w:cs="Traditional Arabic" w:hint="cs"/>
          <w:sz w:val="28"/>
          <w:szCs w:val="32"/>
          <w:rtl/>
        </w:rPr>
        <w:t xml:space="preserve"> ،</w:t>
      </w:r>
      <w:r w:rsidRPr="00EC737F">
        <w:rPr>
          <w:rFonts w:cs="Traditional Arabic" w:hint="cs"/>
          <w:sz w:val="28"/>
          <w:szCs w:val="32"/>
          <w:rtl/>
        </w:rPr>
        <w:t xml:space="preserve"> أن يكون هذا الغير هو غير الكفيل</w:t>
      </w:r>
      <w:r>
        <w:rPr>
          <w:rFonts w:cs="Traditional Arabic" w:hint="cs"/>
          <w:sz w:val="28"/>
          <w:szCs w:val="32"/>
          <w:rtl/>
        </w:rPr>
        <w:t xml:space="preserve"> ،</w:t>
      </w:r>
      <w:r w:rsidRPr="00EC737F">
        <w:rPr>
          <w:rFonts w:cs="Traditional Arabic" w:hint="cs"/>
          <w:sz w:val="28"/>
          <w:szCs w:val="32"/>
          <w:rtl/>
        </w:rPr>
        <w:t xml:space="preserve"> لأن الوفاء بمقابل الذي يقع من الكفيل لا يبرئ ذمته إذا استحق الشيء كما سبق القول</w:t>
      </w:r>
      <w:r>
        <w:rPr>
          <w:rFonts w:cs="Traditional Arabic" w:hint="cs"/>
          <w:sz w:val="28"/>
          <w:szCs w:val="32"/>
          <w:rtl/>
        </w:rPr>
        <w:t xml:space="preserve"> .</w:t>
      </w:r>
      <w:r w:rsidRPr="00EC737F">
        <w:rPr>
          <w:rFonts w:cs="Traditional Arabic" w:hint="cs"/>
          <w:sz w:val="28"/>
          <w:szCs w:val="32"/>
          <w:rtl/>
        </w:rPr>
        <w:t xml:space="preserve"> فيجب إذن أن يكون الذي قام بالوفاء بمقابل هو أجنبي</w:t>
      </w:r>
      <w:r>
        <w:rPr>
          <w:rFonts w:cs="Traditional Arabic" w:hint="cs"/>
          <w:sz w:val="28"/>
          <w:szCs w:val="32"/>
          <w:rtl/>
        </w:rPr>
        <w:t xml:space="preserve"> ،</w:t>
      </w:r>
      <w:r w:rsidRPr="00EC737F">
        <w:rPr>
          <w:rFonts w:cs="Traditional Arabic" w:hint="cs"/>
          <w:sz w:val="28"/>
          <w:szCs w:val="32"/>
          <w:rtl/>
        </w:rPr>
        <w:t xml:space="preserve"> غير الكفيل وغير المدين</w:t>
      </w:r>
      <w:r>
        <w:rPr>
          <w:rFonts w:cs="Traditional Arabic" w:hint="cs"/>
          <w:sz w:val="28"/>
          <w:szCs w:val="32"/>
          <w:rtl/>
        </w:rPr>
        <w:t xml:space="preserve"> .</w:t>
      </w:r>
      <w:r w:rsidRPr="00EC737F">
        <w:rPr>
          <w:rFonts w:cs="Traditional Arabic" w:hint="cs"/>
          <w:sz w:val="28"/>
          <w:szCs w:val="32"/>
          <w:rtl/>
        </w:rPr>
        <w:t xml:space="preserve"> وقد سبق أن قررنا في هذا الصدد</w:t>
      </w:r>
      <w:r>
        <w:rPr>
          <w:rFonts w:cs="Traditional Arabic" w:hint="cs"/>
          <w:sz w:val="28"/>
          <w:szCs w:val="32"/>
          <w:rtl/>
        </w:rPr>
        <w:t xml:space="preserve"> :</w:t>
      </w:r>
      <w:r w:rsidRPr="00EC737F">
        <w:rPr>
          <w:rFonts w:cs="Traditional Arabic" w:hint="cs"/>
          <w:sz w:val="28"/>
          <w:szCs w:val="32"/>
          <w:rtl/>
        </w:rPr>
        <w:t xml:space="preserve"> "ولا نرى ما يمنع من أن يتفق الدائن مع غير المدين </w:t>
      </w:r>
      <w:r>
        <w:rPr>
          <w:rFonts w:cs="Traditional Arabic" w:hint="cs"/>
          <w:sz w:val="28"/>
          <w:szCs w:val="32"/>
          <w:rtl/>
        </w:rPr>
        <w:t xml:space="preserve">( </w:t>
      </w:r>
      <w:r w:rsidRPr="00EC737F">
        <w:rPr>
          <w:rFonts w:cs="Traditional Arabic" w:hint="cs"/>
          <w:sz w:val="28"/>
          <w:szCs w:val="32"/>
          <w:rtl/>
        </w:rPr>
        <w:t>وغير الكفيل</w:t>
      </w:r>
      <w:r>
        <w:rPr>
          <w:rFonts w:cs="Traditional Arabic" w:hint="cs"/>
          <w:sz w:val="28"/>
          <w:szCs w:val="32"/>
          <w:rtl/>
        </w:rPr>
        <w:t xml:space="preserve"> )</w:t>
      </w:r>
      <w:r w:rsidRPr="00EC737F">
        <w:rPr>
          <w:rFonts w:cs="Traditional Arabic" w:hint="cs"/>
          <w:sz w:val="28"/>
          <w:szCs w:val="32"/>
          <w:rtl/>
        </w:rPr>
        <w:t xml:space="preserve"> على أن يستوفي الدين منه بمقابل</w:t>
      </w:r>
      <w:r>
        <w:rPr>
          <w:rFonts w:cs="Traditional Arabic" w:hint="cs"/>
          <w:sz w:val="28"/>
          <w:szCs w:val="32"/>
          <w:rtl/>
        </w:rPr>
        <w:t xml:space="preserve"> ،</w:t>
      </w:r>
      <w:r w:rsidRPr="00EC737F">
        <w:rPr>
          <w:rFonts w:cs="Traditional Arabic" w:hint="cs"/>
          <w:sz w:val="28"/>
          <w:szCs w:val="32"/>
          <w:rtl/>
        </w:rPr>
        <w:t xml:space="preserve"> فينقل الغير إلى الدائن ملكية شيء مملوكة للأول وفاء للدين</w:t>
      </w:r>
      <w:r>
        <w:rPr>
          <w:rFonts w:cs="Traditional Arabic" w:hint="cs"/>
          <w:sz w:val="28"/>
          <w:szCs w:val="32"/>
          <w:rtl/>
        </w:rPr>
        <w:t xml:space="preserve"> ،</w:t>
      </w:r>
      <w:r w:rsidRPr="00EC737F">
        <w:rPr>
          <w:rFonts w:cs="Traditional Arabic" w:hint="cs"/>
          <w:sz w:val="28"/>
          <w:szCs w:val="32"/>
          <w:rtl/>
        </w:rPr>
        <w:t xml:space="preserve"> ثم يرجع الغير على المدين</w:t>
      </w:r>
      <w:r>
        <w:rPr>
          <w:rFonts w:cs="Traditional Arabic" w:hint="cs"/>
          <w:sz w:val="28"/>
          <w:szCs w:val="32"/>
          <w:rtl/>
        </w:rPr>
        <w:t xml:space="preserve"> ،</w:t>
      </w:r>
      <w:r w:rsidRPr="00EC737F">
        <w:rPr>
          <w:rFonts w:cs="Traditional Arabic" w:hint="cs"/>
          <w:sz w:val="28"/>
          <w:szCs w:val="32"/>
          <w:rtl/>
        </w:rPr>
        <w:t xml:space="preserve"> إذا لم يكن هناك اتفاق بينهما</w:t>
      </w:r>
      <w:r>
        <w:rPr>
          <w:rFonts w:cs="Traditional Arabic" w:hint="cs"/>
          <w:sz w:val="28"/>
          <w:szCs w:val="32"/>
          <w:rtl/>
        </w:rPr>
        <w:t xml:space="preserve"> ،</w:t>
      </w:r>
      <w:r w:rsidRPr="00EC737F">
        <w:rPr>
          <w:rFonts w:cs="Traditional Arabic" w:hint="cs"/>
          <w:sz w:val="28"/>
          <w:szCs w:val="32"/>
          <w:rtl/>
        </w:rPr>
        <w:t xml:space="preserve"> بدعوى الفضالة أو بدعوى الإثراء بلا سبب</w:t>
      </w:r>
      <w:r>
        <w:rPr>
          <w:rFonts w:cs="Traditional Arabic" w:hint="cs"/>
          <w:sz w:val="28"/>
          <w:szCs w:val="32"/>
          <w:rtl/>
        </w:rPr>
        <w:t xml:space="preserve"> ،</w:t>
      </w:r>
      <w:r w:rsidRPr="00EC737F">
        <w:rPr>
          <w:rFonts w:cs="Traditional Arabic" w:hint="cs"/>
          <w:sz w:val="28"/>
          <w:szCs w:val="32"/>
          <w:rtl/>
        </w:rPr>
        <w:t xml:space="preserve"> بحسب الأحوال"</w:t>
      </w:r>
      <w:r>
        <w:rPr>
          <w:rFonts w:cs="Traditional Arabic" w:hint="cs"/>
          <w:sz w:val="28"/>
          <w:szCs w:val="32"/>
          <w:vertAlign w:val="superscript"/>
          <w:rtl/>
        </w:rPr>
        <w:t xml:space="preserve">( </w:t>
      </w:r>
      <w:r w:rsidRPr="00EC737F">
        <w:rPr>
          <w:rStyle w:val="ab"/>
          <w:rFonts w:cs="Traditional Arabic"/>
          <w:sz w:val="28"/>
          <w:szCs w:val="32"/>
          <w:rtl/>
        </w:rPr>
        <w:footnoteReference w:id="49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دفع مقابل الوفاء من غير المدين ومن غير الكفيل على هذا النحو</w:t>
      </w:r>
      <w:r>
        <w:rPr>
          <w:rFonts w:cs="Traditional Arabic" w:hint="cs"/>
          <w:sz w:val="28"/>
          <w:szCs w:val="32"/>
          <w:rtl/>
        </w:rPr>
        <w:t xml:space="preserve"> ،</w:t>
      </w:r>
      <w:r w:rsidRPr="00EC737F">
        <w:rPr>
          <w:rFonts w:cs="Traditional Arabic" w:hint="cs"/>
          <w:sz w:val="28"/>
          <w:szCs w:val="32"/>
          <w:rtl/>
        </w:rPr>
        <w:t xml:space="preserve"> فإن هذا الوفاء بمقابل يبرئ ذمة الكفيل نهائياً كما يبرئها نهائياً الوفاء بمقابل الواقع من المدين</w:t>
      </w:r>
      <w:r>
        <w:rPr>
          <w:rFonts w:cs="Traditional Arabic" w:hint="cs"/>
          <w:sz w:val="28"/>
          <w:szCs w:val="32"/>
          <w:rtl/>
        </w:rPr>
        <w:t xml:space="preserve"> .</w:t>
      </w:r>
      <w:r w:rsidRPr="00EC737F">
        <w:rPr>
          <w:rFonts w:cs="Traditional Arabic" w:hint="cs"/>
          <w:sz w:val="28"/>
          <w:szCs w:val="32"/>
          <w:rtl/>
        </w:rPr>
        <w:t xml:space="preserve"> ولا تعود الكفالة إذا استحق المقابل المدفوع من الغير</w:t>
      </w:r>
      <w:r>
        <w:rPr>
          <w:rFonts w:cs="Traditional Arabic" w:hint="cs"/>
          <w:sz w:val="28"/>
          <w:szCs w:val="32"/>
          <w:rtl/>
        </w:rPr>
        <w:t xml:space="preserve"> ،</w:t>
      </w:r>
      <w:r w:rsidRPr="00EC737F">
        <w:rPr>
          <w:rFonts w:cs="Traditional Arabic" w:hint="cs"/>
          <w:sz w:val="28"/>
          <w:szCs w:val="32"/>
          <w:rtl/>
        </w:rPr>
        <w:t xml:space="preserve"> كما لا تعود إذا استحق المقابل المدفوع من المدين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87- انقضاء الدين المكفول بالتجديد</w:t>
      </w:r>
      <w:r>
        <w:rPr>
          <w:rFonts w:cs="Traditional Arabic" w:hint="cs"/>
          <w:sz w:val="28"/>
          <w:szCs w:val="32"/>
          <w:rtl/>
        </w:rPr>
        <w:t xml:space="preserve"> :</w:t>
      </w:r>
      <w:r w:rsidRPr="00EC737F">
        <w:rPr>
          <w:rFonts w:cs="Traditional Arabic" w:hint="cs"/>
          <w:sz w:val="28"/>
          <w:szCs w:val="32"/>
          <w:rtl/>
        </w:rPr>
        <w:t xml:space="preserve"> إذا انقضى الدين المكفول بالتجديد</w:t>
      </w:r>
      <w:r>
        <w:rPr>
          <w:rFonts w:cs="Traditional Arabic" w:hint="cs"/>
          <w:sz w:val="28"/>
          <w:szCs w:val="32"/>
          <w:rtl/>
        </w:rPr>
        <w:t xml:space="preserve"> ،</w:t>
      </w:r>
      <w:r w:rsidRPr="00EC737F">
        <w:rPr>
          <w:rFonts w:cs="Traditional Arabic" w:hint="cs"/>
          <w:sz w:val="28"/>
          <w:szCs w:val="32"/>
          <w:rtl/>
        </w:rPr>
        <w:t xml:space="preserve"> بأن جدد المدين الأصلي دينه بتغير الدائن أو تغيير المدين أو تغيير الدين في محله أو مصدره</w:t>
      </w:r>
      <w:r>
        <w:rPr>
          <w:rFonts w:cs="Traditional Arabic" w:hint="cs"/>
          <w:sz w:val="28"/>
          <w:szCs w:val="32"/>
          <w:rtl/>
        </w:rPr>
        <w:t xml:space="preserve"> ،</w:t>
      </w:r>
      <w:r w:rsidRPr="00EC737F">
        <w:rPr>
          <w:rFonts w:cs="Traditional Arabic" w:hint="cs"/>
          <w:sz w:val="28"/>
          <w:szCs w:val="32"/>
          <w:rtl/>
        </w:rPr>
        <w:t xml:space="preserve"> فإن الدين المكفول ينقضي وتنقضي تبعاً لانقضائه $220 الكفالة</w:t>
      </w:r>
      <w:r>
        <w:rPr>
          <w:rFonts w:cs="Traditional Arabic" w:hint="cs"/>
          <w:sz w:val="28"/>
          <w:szCs w:val="32"/>
          <w:rtl/>
        </w:rPr>
        <w:t xml:space="preserve"> .</w:t>
      </w:r>
      <w:r w:rsidRPr="00EC737F">
        <w:rPr>
          <w:rFonts w:cs="Traditional Arabic" w:hint="cs"/>
          <w:sz w:val="28"/>
          <w:szCs w:val="32"/>
          <w:rtl/>
        </w:rPr>
        <w:t xml:space="preserve"> ويحل محل الدين المكفول دين جديد لا تنتقل إليه التأمينات التي كانت تكفل الدين المكفول</w:t>
      </w:r>
      <w:r>
        <w:rPr>
          <w:rFonts w:cs="Traditional Arabic" w:hint="cs"/>
          <w:sz w:val="28"/>
          <w:szCs w:val="32"/>
          <w:rtl/>
        </w:rPr>
        <w:t xml:space="preserve"> ،</w:t>
      </w:r>
      <w:r w:rsidRPr="00EC737F">
        <w:rPr>
          <w:rFonts w:cs="Traditional Arabic" w:hint="cs"/>
          <w:sz w:val="28"/>
          <w:szCs w:val="32"/>
          <w:rtl/>
        </w:rPr>
        <w:t xml:space="preserve"> إلا إذا نص القانون على ذلك أو تبين من الاتفاق أو من الظروف أن نية المتعاقدين قد انصرفت إلى ذلك</w:t>
      </w:r>
      <w:r>
        <w:rPr>
          <w:rFonts w:cs="Traditional Arabic" w:hint="cs"/>
          <w:sz w:val="28"/>
          <w:szCs w:val="32"/>
          <w:rtl/>
        </w:rPr>
        <w:t xml:space="preserve"> .</w:t>
      </w:r>
      <w:r w:rsidRPr="00EC737F">
        <w:rPr>
          <w:rFonts w:cs="Traditional Arabic" w:hint="cs"/>
          <w:sz w:val="28"/>
          <w:szCs w:val="32"/>
          <w:rtl/>
        </w:rPr>
        <w:t xml:space="preserve"> وقد ورد نص صريح في هذا المعنى</w:t>
      </w:r>
      <w:r>
        <w:rPr>
          <w:rFonts w:cs="Traditional Arabic" w:hint="cs"/>
          <w:sz w:val="28"/>
          <w:szCs w:val="32"/>
          <w:rtl/>
        </w:rPr>
        <w:t xml:space="preserve"> ،</w:t>
      </w:r>
      <w:r w:rsidRPr="00EC737F">
        <w:rPr>
          <w:rFonts w:cs="Traditional Arabic" w:hint="cs"/>
          <w:sz w:val="28"/>
          <w:szCs w:val="32"/>
          <w:rtl/>
        </w:rPr>
        <w:t xml:space="preserve"> فنصت المادة 356 مدني على أنه "1- يترتب على التجديد أن ينقضي الالتزام الأصلي بتوابعه</w:t>
      </w:r>
      <w:r>
        <w:rPr>
          <w:rFonts w:cs="Traditional Arabic" w:hint="cs"/>
          <w:sz w:val="28"/>
          <w:szCs w:val="32"/>
          <w:rtl/>
        </w:rPr>
        <w:t xml:space="preserve"> ،</w:t>
      </w:r>
      <w:r w:rsidRPr="00EC737F">
        <w:rPr>
          <w:rFonts w:cs="Traditional Arabic" w:hint="cs"/>
          <w:sz w:val="28"/>
          <w:szCs w:val="32"/>
          <w:rtl/>
        </w:rPr>
        <w:t xml:space="preserve"> وأن ينشأ مكانه التزام جديد</w:t>
      </w:r>
      <w:r>
        <w:rPr>
          <w:rFonts w:cs="Traditional Arabic" w:hint="cs"/>
          <w:sz w:val="28"/>
          <w:szCs w:val="32"/>
          <w:rtl/>
        </w:rPr>
        <w:t xml:space="preserve"> .</w:t>
      </w:r>
      <w:r w:rsidRPr="00EC737F">
        <w:rPr>
          <w:rFonts w:cs="Traditional Arabic" w:hint="cs"/>
          <w:sz w:val="28"/>
          <w:szCs w:val="32"/>
          <w:rtl/>
        </w:rPr>
        <w:t xml:space="preserve"> 2- ولا ينتقل إلى الالتزام الجديد التأمينات التي كانت تكفل تنفيذ الالتزام الأصلي إلا بنص في القانون</w:t>
      </w:r>
      <w:r>
        <w:rPr>
          <w:rFonts w:cs="Traditional Arabic" w:hint="cs"/>
          <w:sz w:val="28"/>
          <w:szCs w:val="32"/>
          <w:rtl/>
        </w:rPr>
        <w:t xml:space="preserve"> ،</w:t>
      </w:r>
      <w:r w:rsidRPr="00EC737F">
        <w:rPr>
          <w:rFonts w:cs="Traditional Arabic" w:hint="cs"/>
          <w:sz w:val="28"/>
          <w:szCs w:val="32"/>
          <w:rtl/>
        </w:rPr>
        <w:t xml:space="preserve"> أو إلا إذا تبين من الاتفاق  أو من الظروف أن نية المتعاقدين قد انصرفت إلى 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فقد يكون الالتزام الأصلي مضموناً بكفيل</w:t>
      </w:r>
      <w:r>
        <w:rPr>
          <w:rFonts w:cs="Traditional Arabic" w:hint="cs"/>
          <w:sz w:val="28"/>
          <w:szCs w:val="32"/>
          <w:rtl/>
        </w:rPr>
        <w:t xml:space="preserve"> ،</w:t>
      </w:r>
      <w:r w:rsidRPr="00EC737F">
        <w:rPr>
          <w:rFonts w:cs="Traditional Arabic" w:hint="cs"/>
          <w:sz w:val="28"/>
          <w:szCs w:val="32"/>
          <w:rtl/>
        </w:rPr>
        <w:t xml:space="preserve"> فبانقضائه بطريق التجديد تنقضي الكفالة</w:t>
      </w:r>
      <w:r>
        <w:rPr>
          <w:rFonts w:cs="Traditional Arabic" w:hint="cs"/>
          <w:sz w:val="28"/>
          <w:szCs w:val="32"/>
          <w:rtl/>
        </w:rPr>
        <w:t xml:space="preserve"> .</w:t>
      </w:r>
      <w:r w:rsidRPr="00EC737F">
        <w:rPr>
          <w:rFonts w:cs="Traditional Arabic" w:hint="cs"/>
          <w:sz w:val="28"/>
          <w:szCs w:val="32"/>
          <w:rtl/>
        </w:rPr>
        <w:t xml:space="preserve"> ولا تنتقل الكفالة إلى الالتزام الجديد</w:t>
      </w:r>
      <w:r>
        <w:rPr>
          <w:rFonts w:cs="Traditional Arabic" w:hint="cs"/>
          <w:sz w:val="28"/>
          <w:szCs w:val="32"/>
          <w:rtl/>
        </w:rPr>
        <w:t xml:space="preserve"> ،</w:t>
      </w:r>
      <w:r w:rsidRPr="00EC737F">
        <w:rPr>
          <w:rFonts w:cs="Traditional Arabic" w:hint="cs"/>
          <w:sz w:val="28"/>
          <w:szCs w:val="32"/>
          <w:rtl/>
        </w:rPr>
        <w:t xml:space="preserve"> إلا بنص في القانون أو بالإنفاق</w:t>
      </w:r>
      <w:r>
        <w:rPr>
          <w:rFonts w:cs="Traditional Arabic" w:hint="cs"/>
          <w:sz w:val="28"/>
          <w:szCs w:val="32"/>
          <w:rtl/>
        </w:rPr>
        <w:t xml:space="preserve"> .</w:t>
      </w:r>
      <w:r w:rsidRPr="00EC737F">
        <w:rPr>
          <w:rFonts w:cs="Traditional Arabic" w:hint="cs"/>
          <w:sz w:val="28"/>
          <w:szCs w:val="32"/>
          <w:rtl/>
        </w:rPr>
        <w:t xml:space="preserve"> أما نص القانون فمثله ما ورد في المادة 355 مدني من أن 1- لا يكون تجديداً مجرد تغيير الالتزام في حساب جار</w:t>
      </w:r>
      <w:r>
        <w:rPr>
          <w:rFonts w:cs="Traditional Arabic" w:hint="cs"/>
          <w:sz w:val="28"/>
          <w:szCs w:val="32"/>
          <w:rtl/>
        </w:rPr>
        <w:t xml:space="preserve"> .</w:t>
      </w:r>
      <w:r w:rsidRPr="00EC737F">
        <w:rPr>
          <w:rFonts w:cs="Traditional Arabic" w:hint="cs"/>
          <w:sz w:val="28"/>
          <w:szCs w:val="32"/>
          <w:rtl/>
        </w:rPr>
        <w:t xml:space="preserve"> 2- وإنما يتجدد الالتزام إذا قطع رصيد الحساب وتم إقراره</w:t>
      </w:r>
      <w:r>
        <w:rPr>
          <w:rFonts w:cs="Traditional Arabic" w:hint="cs"/>
          <w:sz w:val="28"/>
          <w:szCs w:val="32"/>
          <w:rtl/>
        </w:rPr>
        <w:t xml:space="preserve"> .</w:t>
      </w:r>
      <w:r w:rsidRPr="00EC737F">
        <w:rPr>
          <w:rFonts w:cs="Traditional Arabic" w:hint="cs"/>
          <w:sz w:val="28"/>
          <w:szCs w:val="32"/>
          <w:rtl/>
        </w:rPr>
        <w:t xml:space="preserve"> على انه إذا كان الالتزام مضموناً بتأمين خاص</w:t>
      </w:r>
      <w:r>
        <w:rPr>
          <w:rFonts w:cs="Traditional Arabic" w:hint="cs"/>
          <w:sz w:val="28"/>
          <w:szCs w:val="32"/>
          <w:rtl/>
        </w:rPr>
        <w:t xml:space="preserve"> ،</w:t>
      </w:r>
      <w:r w:rsidRPr="00EC737F">
        <w:rPr>
          <w:rFonts w:cs="Traditional Arabic" w:hint="cs"/>
          <w:sz w:val="28"/>
          <w:szCs w:val="32"/>
          <w:rtl/>
        </w:rPr>
        <w:t xml:space="preserve"> فإن هذا التأمين يبقى ما </w:t>
      </w:r>
      <w:r w:rsidRPr="00EC737F">
        <w:rPr>
          <w:rFonts w:cs="Traditional Arabic" w:hint="cs"/>
          <w:sz w:val="28"/>
          <w:szCs w:val="32"/>
          <w:rtl/>
        </w:rPr>
        <w:lastRenderedPageBreak/>
        <w:t>لم يتفق على غير ذلك"</w:t>
      </w:r>
      <w:r>
        <w:rPr>
          <w:rFonts w:cs="Traditional Arabic" w:hint="cs"/>
          <w:sz w:val="28"/>
          <w:szCs w:val="32"/>
          <w:rtl/>
        </w:rPr>
        <w:t xml:space="preserve"> .</w:t>
      </w:r>
      <w:r w:rsidRPr="00EC737F">
        <w:rPr>
          <w:rFonts w:cs="Traditional Arabic" w:hint="cs"/>
          <w:sz w:val="28"/>
          <w:szCs w:val="32"/>
          <w:rtl/>
        </w:rPr>
        <w:t xml:space="preserve"> فهنا لم تنقض الكفالة بانقضاء الالتزام الأصلي بالتجديد</w:t>
      </w:r>
      <w:r>
        <w:rPr>
          <w:rFonts w:cs="Traditional Arabic" w:hint="cs"/>
          <w:sz w:val="28"/>
          <w:szCs w:val="32"/>
          <w:rtl/>
        </w:rPr>
        <w:t xml:space="preserve"> ،</w:t>
      </w:r>
      <w:r w:rsidRPr="00EC737F">
        <w:rPr>
          <w:rFonts w:cs="Traditional Arabic" w:hint="cs"/>
          <w:sz w:val="28"/>
          <w:szCs w:val="32"/>
          <w:rtl/>
        </w:rPr>
        <w:t xml:space="preserve"> بل بقيت وانتقلت إلى الالتزام الجديد</w:t>
      </w:r>
      <w:r>
        <w:rPr>
          <w:rFonts w:cs="Traditional Arabic" w:hint="cs"/>
          <w:sz w:val="28"/>
          <w:szCs w:val="32"/>
          <w:rtl/>
        </w:rPr>
        <w:t xml:space="preserve"> ،</w:t>
      </w:r>
      <w:r w:rsidRPr="00EC737F">
        <w:rPr>
          <w:rFonts w:cs="Traditional Arabic" w:hint="cs"/>
          <w:sz w:val="28"/>
          <w:szCs w:val="32"/>
          <w:rtl/>
        </w:rPr>
        <w:t xml:space="preserve"> وهو رصيد الحساب</w:t>
      </w:r>
      <w:r>
        <w:rPr>
          <w:rFonts w:cs="Traditional Arabic" w:hint="cs"/>
          <w:sz w:val="28"/>
          <w:szCs w:val="32"/>
          <w:rtl/>
        </w:rPr>
        <w:t xml:space="preserve"> ،</w:t>
      </w:r>
      <w:r w:rsidRPr="00EC737F">
        <w:rPr>
          <w:rFonts w:cs="Traditional Arabic" w:hint="cs"/>
          <w:sz w:val="28"/>
          <w:szCs w:val="32"/>
          <w:rtl/>
        </w:rPr>
        <w:t xml:space="preserve"> وذلك بحكم القانون ودون حاجة إلى رضاء الكفيل</w:t>
      </w:r>
      <w:r>
        <w:rPr>
          <w:rFonts w:cs="Traditional Arabic" w:hint="cs"/>
          <w:sz w:val="28"/>
          <w:szCs w:val="32"/>
          <w:rtl/>
        </w:rPr>
        <w:t xml:space="preserve"> .</w:t>
      </w:r>
      <w:r w:rsidRPr="00EC737F">
        <w:rPr>
          <w:rFonts w:cs="Traditional Arabic" w:hint="cs"/>
          <w:sz w:val="28"/>
          <w:szCs w:val="32"/>
          <w:rtl/>
        </w:rPr>
        <w:t xml:space="preserve"> وأما الاتفاق</w:t>
      </w:r>
      <w:r>
        <w:rPr>
          <w:rFonts w:cs="Traditional Arabic" w:hint="cs"/>
          <w:sz w:val="28"/>
          <w:szCs w:val="32"/>
          <w:rtl/>
        </w:rPr>
        <w:t xml:space="preserve"> ،</w:t>
      </w:r>
      <w:r w:rsidRPr="00EC737F">
        <w:rPr>
          <w:rFonts w:cs="Traditional Arabic" w:hint="cs"/>
          <w:sz w:val="28"/>
          <w:szCs w:val="32"/>
          <w:rtl/>
        </w:rPr>
        <w:t xml:space="preserve"> فقد وردت في شأنه المادة 358 مدني</w:t>
      </w:r>
      <w:r>
        <w:rPr>
          <w:rFonts w:cs="Traditional Arabic" w:hint="cs"/>
          <w:sz w:val="28"/>
          <w:szCs w:val="32"/>
          <w:rtl/>
        </w:rPr>
        <w:t xml:space="preserve"> ،</w:t>
      </w:r>
      <w:r w:rsidRPr="00EC737F">
        <w:rPr>
          <w:rFonts w:cs="Traditional Arabic" w:hint="cs"/>
          <w:sz w:val="28"/>
          <w:szCs w:val="32"/>
          <w:rtl/>
        </w:rPr>
        <w:t xml:space="preserve"> وتنص على أنه "لا ينتقل إلى الالتزام الجديد الكفالة</w:t>
      </w:r>
      <w:r>
        <w:rPr>
          <w:rFonts w:cs="Traditional Arabic" w:hint="cs"/>
          <w:sz w:val="28"/>
          <w:szCs w:val="32"/>
          <w:rtl/>
        </w:rPr>
        <w:t xml:space="preserve"> ،</w:t>
      </w:r>
      <w:r w:rsidRPr="00EC737F">
        <w:rPr>
          <w:rFonts w:cs="Traditional Arabic" w:hint="cs"/>
          <w:sz w:val="28"/>
          <w:szCs w:val="32"/>
          <w:rtl/>
        </w:rPr>
        <w:t xml:space="preserve"> عينية كانت أو شخصية</w:t>
      </w:r>
      <w:r>
        <w:rPr>
          <w:rFonts w:cs="Traditional Arabic" w:hint="cs"/>
          <w:sz w:val="28"/>
          <w:szCs w:val="32"/>
          <w:rtl/>
        </w:rPr>
        <w:t xml:space="preserve"> ،</w:t>
      </w:r>
      <w:r w:rsidRPr="00EC737F">
        <w:rPr>
          <w:rFonts w:cs="Traditional Arabic" w:hint="cs"/>
          <w:sz w:val="28"/>
          <w:szCs w:val="32"/>
          <w:rtl/>
        </w:rPr>
        <w:t xml:space="preserve"> ولا التضامن</w:t>
      </w:r>
      <w:r>
        <w:rPr>
          <w:rFonts w:cs="Traditional Arabic" w:hint="cs"/>
          <w:sz w:val="28"/>
          <w:szCs w:val="32"/>
          <w:rtl/>
        </w:rPr>
        <w:t xml:space="preserve"> ،</w:t>
      </w:r>
      <w:r w:rsidRPr="00EC737F">
        <w:rPr>
          <w:rFonts w:cs="Traditional Arabic" w:hint="cs"/>
          <w:sz w:val="28"/>
          <w:szCs w:val="32"/>
          <w:rtl/>
        </w:rPr>
        <w:t xml:space="preserve"> إلا إذا رضي بذلك الكفلاء والمدينون المتضامنون"</w:t>
      </w:r>
      <w:r>
        <w:rPr>
          <w:rFonts w:cs="Traditional Arabic" w:hint="cs"/>
          <w:sz w:val="28"/>
          <w:szCs w:val="32"/>
          <w:rtl/>
        </w:rPr>
        <w:t xml:space="preserve"> .</w:t>
      </w:r>
      <w:r w:rsidRPr="00EC737F">
        <w:rPr>
          <w:rFonts w:cs="Traditional Arabic" w:hint="cs"/>
          <w:sz w:val="28"/>
          <w:szCs w:val="32"/>
          <w:rtl/>
        </w:rPr>
        <w:t xml:space="preserve"> ذلك أن الكفالة قد انقضت بانقضاء الدين المكفول</w:t>
      </w:r>
      <w:r>
        <w:rPr>
          <w:rFonts w:cs="Traditional Arabic" w:hint="cs"/>
          <w:sz w:val="28"/>
          <w:szCs w:val="32"/>
          <w:rtl/>
        </w:rPr>
        <w:t xml:space="preserve"> ،</w:t>
      </w:r>
      <w:r w:rsidRPr="00EC737F">
        <w:rPr>
          <w:rFonts w:cs="Traditional Arabic" w:hint="cs"/>
          <w:sz w:val="28"/>
          <w:szCs w:val="32"/>
          <w:rtl/>
        </w:rPr>
        <w:t xml:space="preserve"> فلا تنتقل إلى الدين الجديد لتكلفه</w:t>
      </w:r>
      <w:r>
        <w:rPr>
          <w:rFonts w:cs="Traditional Arabic" w:hint="cs"/>
          <w:sz w:val="28"/>
          <w:szCs w:val="32"/>
          <w:rtl/>
        </w:rPr>
        <w:t xml:space="preserve"> .</w:t>
      </w:r>
      <w:r w:rsidRPr="00EC737F">
        <w:rPr>
          <w:rFonts w:cs="Traditional Arabic" w:hint="cs"/>
          <w:sz w:val="28"/>
          <w:szCs w:val="32"/>
          <w:rtl/>
        </w:rPr>
        <w:t xml:space="preserve"> ولا يكفي إذن</w:t>
      </w:r>
      <w:r>
        <w:rPr>
          <w:rFonts w:cs="Traditional Arabic" w:hint="cs"/>
          <w:sz w:val="28"/>
          <w:szCs w:val="32"/>
          <w:rtl/>
        </w:rPr>
        <w:t xml:space="preserve"> ،</w:t>
      </w:r>
      <w:r w:rsidRPr="00EC737F">
        <w:rPr>
          <w:rFonts w:cs="Traditional Arabic" w:hint="cs"/>
          <w:sz w:val="28"/>
          <w:szCs w:val="32"/>
          <w:rtl/>
        </w:rPr>
        <w:t xml:space="preserve"> حتى يكفل الكفيل الالتزام الجديد بعد أن كان يكفل الالتزام الأصلي</w:t>
      </w:r>
      <w:r>
        <w:rPr>
          <w:rFonts w:cs="Traditional Arabic" w:hint="cs"/>
          <w:sz w:val="28"/>
          <w:szCs w:val="32"/>
          <w:rtl/>
        </w:rPr>
        <w:t xml:space="preserve"> ،</w:t>
      </w:r>
      <w:r w:rsidRPr="00EC737F">
        <w:rPr>
          <w:rFonts w:cs="Traditional Arabic" w:hint="cs"/>
          <w:sz w:val="28"/>
          <w:szCs w:val="32"/>
          <w:rtl/>
        </w:rPr>
        <w:t xml:space="preserve"> أن يتفق على ذلك الدائن والمدين معاً ومعهما المدين الجديد أو الدائن الجديد</w:t>
      </w:r>
      <w:r>
        <w:rPr>
          <w:rFonts w:cs="Traditional Arabic" w:hint="cs"/>
          <w:sz w:val="28"/>
          <w:szCs w:val="32"/>
          <w:rtl/>
        </w:rPr>
        <w:t xml:space="preserve"> ،</w:t>
      </w:r>
      <w:r w:rsidRPr="00EC737F">
        <w:rPr>
          <w:rFonts w:cs="Traditional Arabic" w:hint="cs"/>
          <w:sz w:val="28"/>
          <w:szCs w:val="32"/>
          <w:rtl/>
        </w:rPr>
        <w:t xml:space="preserve"> بل لا بد من رضاء الكفيل أيضاً</w:t>
      </w:r>
      <w:r>
        <w:rPr>
          <w:rFonts w:cs="Traditional Arabic" w:hint="cs"/>
          <w:sz w:val="28"/>
          <w:szCs w:val="32"/>
          <w:rtl/>
        </w:rPr>
        <w:t xml:space="preserve"> .</w:t>
      </w:r>
      <w:r w:rsidRPr="00EC737F">
        <w:rPr>
          <w:rFonts w:cs="Traditional Arabic" w:hint="cs"/>
          <w:sz w:val="28"/>
          <w:szCs w:val="32"/>
          <w:rtl/>
        </w:rPr>
        <w:t xml:space="preserve"> فانه لم يكفل إلا التزاماً بعينه وهو الالتزام الأصلي</w:t>
      </w:r>
      <w:r>
        <w:rPr>
          <w:rFonts w:cs="Traditional Arabic" w:hint="cs"/>
          <w:sz w:val="28"/>
          <w:szCs w:val="32"/>
          <w:rtl/>
        </w:rPr>
        <w:t xml:space="preserve"> ،</w:t>
      </w:r>
      <w:r w:rsidRPr="00EC737F">
        <w:rPr>
          <w:rFonts w:cs="Traditional Arabic" w:hint="cs"/>
          <w:sz w:val="28"/>
          <w:szCs w:val="32"/>
          <w:rtl/>
        </w:rPr>
        <w:t xml:space="preserve"> وقد انقضى هذا الالتزام $221 فانقضت كفالته تبعاً لذلك</w:t>
      </w:r>
      <w:r>
        <w:rPr>
          <w:rFonts w:cs="Traditional Arabic" w:hint="cs"/>
          <w:sz w:val="28"/>
          <w:szCs w:val="32"/>
          <w:rtl/>
        </w:rPr>
        <w:t xml:space="preserve"> .</w:t>
      </w:r>
      <w:r w:rsidRPr="00EC737F">
        <w:rPr>
          <w:rFonts w:cs="Traditional Arabic" w:hint="cs"/>
          <w:sz w:val="28"/>
          <w:szCs w:val="32"/>
          <w:rtl/>
        </w:rPr>
        <w:t xml:space="preserve"> فحتى يضمن الكفيل الالتزام الجديد</w:t>
      </w:r>
      <w:r>
        <w:rPr>
          <w:rFonts w:cs="Traditional Arabic" w:hint="cs"/>
          <w:sz w:val="28"/>
          <w:szCs w:val="32"/>
          <w:rtl/>
        </w:rPr>
        <w:t xml:space="preserve"> ،</w:t>
      </w:r>
      <w:r w:rsidRPr="00EC737F">
        <w:rPr>
          <w:rFonts w:cs="Traditional Arabic" w:hint="cs"/>
          <w:sz w:val="28"/>
          <w:szCs w:val="32"/>
          <w:rtl/>
        </w:rPr>
        <w:t xml:space="preserve"> ولو كان أقل قيمة</w:t>
      </w:r>
      <w:r>
        <w:rPr>
          <w:rFonts w:cs="Traditional Arabic" w:hint="cs"/>
          <w:sz w:val="28"/>
          <w:szCs w:val="32"/>
          <w:rtl/>
        </w:rPr>
        <w:t xml:space="preserve"> ،</w:t>
      </w:r>
      <w:r w:rsidRPr="00EC737F">
        <w:rPr>
          <w:rFonts w:cs="Traditional Arabic" w:hint="cs"/>
          <w:sz w:val="28"/>
          <w:szCs w:val="32"/>
          <w:rtl/>
        </w:rPr>
        <w:t xml:space="preserve"> لا بد م رضائه بذلك</w:t>
      </w:r>
      <w:r>
        <w:rPr>
          <w:rFonts w:cs="Traditional Arabic" w:hint="cs"/>
          <w:sz w:val="28"/>
          <w:szCs w:val="32"/>
          <w:rtl/>
        </w:rPr>
        <w:t xml:space="preserve"> ،</w:t>
      </w:r>
      <w:r w:rsidRPr="00EC737F">
        <w:rPr>
          <w:rFonts w:cs="Traditional Arabic" w:hint="cs"/>
          <w:sz w:val="28"/>
          <w:szCs w:val="32"/>
          <w:rtl/>
        </w:rPr>
        <w:t xml:space="preserve"> أي لا بد من كفالة جديدة</w:t>
      </w:r>
      <w:r>
        <w:rPr>
          <w:rFonts w:cs="Traditional Arabic" w:hint="cs"/>
          <w:sz w:val="28"/>
          <w:szCs w:val="32"/>
          <w:vertAlign w:val="superscript"/>
          <w:rtl/>
        </w:rPr>
        <w:t xml:space="preserve">( </w:t>
      </w:r>
      <w:r w:rsidRPr="00EC737F">
        <w:rPr>
          <w:rStyle w:val="ab"/>
          <w:rFonts w:cs="Traditional Arabic"/>
          <w:sz w:val="28"/>
          <w:szCs w:val="32"/>
          <w:rtl/>
        </w:rPr>
        <w:footnoteReference w:id="49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وإيداع الدين في قائمة التوزيع ضد المدين وتسلمه أمر الصرف لا يعتبر تجديداً</w:t>
      </w:r>
      <w:r>
        <w:rPr>
          <w:rFonts w:cs="Traditional Arabic" w:hint="cs"/>
          <w:sz w:val="28"/>
          <w:szCs w:val="32"/>
          <w:rtl/>
        </w:rPr>
        <w:t xml:space="preserve"> ،</w:t>
      </w:r>
      <w:r w:rsidRPr="00EC737F">
        <w:rPr>
          <w:rFonts w:cs="Traditional Arabic" w:hint="cs"/>
          <w:sz w:val="28"/>
          <w:szCs w:val="32"/>
          <w:rtl/>
        </w:rPr>
        <w:t xml:space="preserve"> فلا يقضي الكفالة</w:t>
      </w:r>
      <w:r>
        <w:rPr>
          <w:rFonts w:cs="Traditional Arabic" w:hint="cs"/>
          <w:sz w:val="28"/>
          <w:szCs w:val="32"/>
          <w:rtl/>
        </w:rPr>
        <w:t xml:space="preserve"> .</w:t>
      </w:r>
      <w:r w:rsidRPr="00EC737F">
        <w:rPr>
          <w:rFonts w:cs="Traditional Arabic" w:hint="cs"/>
          <w:sz w:val="28"/>
          <w:szCs w:val="32"/>
          <w:rtl/>
        </w:rPr>
        <w:t xml:space="preserve"> ويستطيع الدائن أن ينزل عن إدراجه في قائمة هذا التوزيع</w:t>
      </w:r>
      <w:r>
        <w:rPr>
          <w:rFonts w:cs="Traditional Arabic" w:hint="cs"/>
          <w:sz w:val="28"/>
          <w:szCs w:val="32"/>
          <w:rtl/>
        </w:rPr>
        <w:t xml:space="preserve"> ،</w:t>
      </w:r>
      <w:r w:rsidRPr="00EC737F">
        <w:rPr>
          <w:rFonts w:cs="Traditional Arabic" w:hint="cs"/>
          <w:sz w:val="28"/>
          <w:szCs w:val="32"/>
          <w:rtl/>
        </w:rPr>
        <w:t xml:space="preserve"> وأن يرجع على الكفيل الذي لم تبرأ ذمته</w:t>
      </w:r>
      <w:r>
        <w:rPr>
          <w:rFonts w:cs="Traditional Arabic" w:hint="cs"/>
          <w:sz w:val="28"/>
          <w:szCs w:val="32"/>
          <w:vertAlign w:val="superscript"/>
          <w:rtl/>
        </w:rPr>
        <w:t xml:space="preserve">( </w:t>
      </w:r>
      <w:r w:rsidRPr="00EC737F">
        <w:rPr>
          <w:rStyle w:val="ab"/>
          <w:rFonts w:cs="Traditional Arabic"/>
          <w:sz w:val="28"/>
          <w:szCs w:val="32"/>
          <w:rtl/>
        </w:rPr>
        <w:footnoteReference w:id="49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وحتى يكون هناك تجديد</w:t>
      </w:r>
      <w:r>
        <w:rPr>
          <w:rFonts w:cs="Traditional Arabic" w:hint="cs"/>
          <w:sz w:val="28"/>
          <w:szCs w:val="32"/>
          <w:rtl/>
        </w:rPr>
        <w:t xml:space="preserve"> ،</w:t>
      </w:r>
      <w:r w:rsidRPr="00EC737F">
        <w:rPr>
          <w:rFonts w:cs="Traditional Arabic" w:hint="cs"/>
          <w:sz w:val="28"/>
          <w:szCs w:val="32"/>
          <w:rtl/>
        </w:rPr>
        <w:t xml:space="preserve"> فتقضي به الكفالة</w:t>
      </w:r>
      <w:r>
        <w:rPr>
          <w:rFonts w:cs="Traditional Arabic" w:hint="cs"/>
          <w:sz w:val="28"/>
          <w:szCs w:val="32"/>
          <w:rtl/>
        </w:rPr>
        <w:t xml:space="preserve"> ،</w:t>
      </w:r>
      <w:r w:rsidRPr="00EC737F">
        <w:rPr>
          <w:rFonts w:cs="Traditional Arabic" w:hint="cs"/>
          <w:sz w:val="28"/>
          <w:szCs w:val="32"/>
          <w:rtl/>
        </w:rPr>
        <w:t xml:space="preserve"> لا بد أن تكون نية التجديد واضحة</w:t>
      </w:r>
      <w:r>
        <w:rPr>
          <w:rFonts w:cs="Traditional Arabic" w:hint="cs"/>
          <w:sz w:val="28"/>
          <w:szCs w:val="32"/>
          <w:rtl/>
        </w:rPr>
        <w:t xml:space="preserve"> ،</w:t>
      </w:r>
      <w:r w:rsidRPr="00EC737F">
        <w:rPr>
          <w:rFonts w:cs="Traditional Arabic" w:hint="cs"/>
          <w:sz w:val="28"/>
          <w:szCs w:val="32"/>
          <w:rtl/>
        </w:rPr>
        <w:t xml:space="preserve"> وقد نصت المادة 354/1 مدني على أن "التجديد لا يفترض بل يجب أن يتفق عليه صراحة</w:t>
      </w:r>
      <w:r>
        <w:rPr>
          <w:rFonts w:cs="Traditional Arabic" w:hint="cs"/>
          <w:sz w:val="28"/>
          <w:szCs w:val="32"/>
          <w:rtl/>
        </w:rPr>
        <w:t xml:space="preserve"> ،</w:t>
      </w:r>
      <w:r w:rsidRPr="00EC737F">
        <w:rPr>
          <w:rFonts w:cs="Traditional Arabic" w:hint="cs"/>
          <w:sz w:val="28"/>
          <w:szCs w:val="32"/>
          <w:rtl/>
        </w:rPr>
        <w:t xml:space="preserve"> أو أن يستخلص بوضوح من الظروف"</w:t>
      </w:r>
      <w:r>
        <w:rPr>
          <w:rFonts w:cs="Traditional Arabic" w:hint="cs"/>
          <w:sz w:val="28"/>
          <w:szCs w:val="32"/>
          <w:rtl/>
        </w:rPr>
        <w:t xml:space="preserve"> .</w:t>
      </w:r>
      <w:r w:rsidRPr="00EC737F">
        <w:rPr>
          <w:rFonts w:cs="Traditional Arabic" w:hint="cs"/>
          <w:sz w:val="28"/>
          <w:szCs w:val="32"/>
          <w:rtl/>
        </w:rPr>
        <w:t xml:space="preserve"> وحتى تقوم نية التجديد واضحة</w:t>
      </w:r>
      <w:r>
        <w:rPr>
          <w:rFonts w:cs="Traditional Arabic" w:hint="cs"/>
          <w:sz w:val="28"/>
          <w:szCs w:val="32"/>
          <w:rtl/>
        </w:rPr>
        <w:t xml:space="preserve"> ،</w:t>
      </w:r>
      <w:r w:rsidRPr="00EC737F">
        <w:rPr>
          <w:rFonts w:cs="Traditional Arabic" w:hint="cs"/>
          <w:sz w:val="28"/>
          <w:szCs w:val="32"/>
          <w:rtl/>
        </w:rPr>
        <w:t xml:space="preserve"> يجب أن يغاير الالتزام الجديد الالتزام القديم في عنصر من عناصره الهامة</w:t>
      </w:r>
      <w:r>
        <w:rPr>
          <w:rFonts w:cs="Traditional Arabic" w:hint="cs"/>
          <w:sz w:val="28"/>
          <w:szCs w:val="32"/>
          <w:rtl/>
        </w:rPr>
        <w:t xml:space="preserve"> .</w:t>
      </w:r>
      <w:r w:rsidRPr="00EC737F">
        <w:rPr>
          <w:rFonts w:cs="Traditional Arabic" w:hint="cs"/>
          <w:sz w:val="28"/>
          <w:szCs w:val="32"/>
          <w:rtl/>
        </w:rPr>
        <w:t xml:space="preserve"> فتغير محل الدين أو مصدره</w:t>
      </w:r>
      <w:r>
        <w:rPr>
          <w:rFonts w:cs="Traditional Arabic" w:hint="cs"/>
          <w:sz w:val="28"/>
          <w:szCs w:val="32"/>
          <w:rtl/>
        </w:rPr>
        <w:t xml:space="preserve"> ،</w:t>
      </w:r>
      <w:r w:rsidRPr="00EC737F">
        <w:rPr>
          <w:rFonts w:cs="Traditional Arabic" w:hint="cs"/>
          <w:sz w:val="28"/>
          <w:szCs w:val="32"/>
          <w:rtl/>
        </w:rPr>
        <w:t xml:space="preserve"> وإضافة شرط أو إلغاؤه</w:t>
      </w:r>
      <w:r>
        <w:rPr>
          <w:rFonts w:cs="Traditional Arabic" w:hint="cs"/>
          <w:sz w:val="28"/>
          <w:szCs w:val="32"/>
          <w:rtl/>
        </w:rPr>
        <w:t xml:space="preserve"> ،</w:t>
      </w:r>
      <w:r w:rsidRPr="00EC737F">
        <w:rPr>
          <w:rFonts w:cs="Traditional Arabic" w:hint="cs"/>
          <w:sz w:val="28"/>
          <w:szCs w:val="32"/>
          <w:rtl/>
        </w:rPr>
        <w:t xml:space="preserve"> وتغيير الدائن</w:t>
      </w:r>
      <w:r>
        <w:rPr>
          <w:rFonts w:cs="Traditional Arabic" w:hint="cs"/>
          <w:sz w:val="28"/>
          <w:szCs w:val="32"/>
          <w:rtl/>
        </w:rPr>
        <w:t xml:space="preserve"> ،</w:t>
      </w:r>
      <w:r w:rsidRPr="00EC737F">
        <w:rPr>
          <w:rFonts w:cs="Traditional Arabic" w:hint="cs"/>
          <w:sz w:val="28"/>
          <w:szCs w:val="32"/>
          <w:rtl/>
        </w:rPr>
        <w:t xml:space="preserve"> وتغيير المدين</w:t>
      </w:r>
      <w:r>
        <w:rPr>
          <w:rFonts w:cs="Traditional Arabic" w:hint="cs"/>
          <w:sz w:val="28"/>
          <w:szCs w:val="32"/>
          <w:rtl/>
        </w:rPr>
        <w:t xml:space="preserve"> ،</w:t>
      </w:r>
      <w:r w:rsidRPr="00EC737F">
        <w:rPr>
          <w:rFonts w:cs="Traditional Arabic" w:hint="cs"/>
          <w:sz w:val="28"/>
          <w:szCs w:val="32"/>
          <w:rtl/>
        </w:rPr>
        <w:t xml:space="preserve"> كل هذا ينطوي على إدخال تعديلات جوهرية تخلص منها نية  التجديد في وضوح</w:t>
      </w:r>
      <w:r>
        <w:rPr>
          <w:rFonts w:cs="Traditional Arabic" w:hint="cs"/>
          <w:sz w:val="28"/>
          <w:szCs w:val="32"/>
          <w:rtl/>
        </w:rPr>
        <w:t xml:space="preserve"> .</w:t>
      </w:r>
      <w:r w:rsidRPr="00EC737F">
        <w:rPr>
          <w:rFonts w:cs="Traditional Arabic" w:hint="cs"/>
          <w:sz w:val="28"/>
          <w:szCs w:val="32"/>
          <w:rtl/>
        </w:rPr>
        <w:t xml:space="preserve"> وإضافة أجل</w:t>
      </w:r>
      <w:r>
        <w:rPr>
          <w:rFonts w:cs="Traditional Arabic" w:hint="cs"/>
          <w:sz w:val="28"/>
          <w:szCs w:val="32"/>
          <w:rtl/>
        </w:rPr>
        <w:t xml:space="preserve"> </w:t>
      </w:r>
      <w:r>
        <w:rPr>
          <w:rFonts w:cs="Traditional Arabic" w:hint="cs"/>
          <w:sz w:val="28"/>
          <w:szCs w:val="32"/>
          <w:rtl/>
        </w:rPr>
        <w:lastRenderedPageBreak/>
        <w:t>،</w:t>
      </w:r>
      <w:r w:rsidRPr="00EC737F">
        <w:rPr>
          <w:rFonts w:cs="Traditional Arabic" w:hint="cs"/>
          <w:sz w:val="28"/>
          <w:szCs w:val="32"/>
          <w:rtl/>
        </w:rPr>
        <w:t xml:space="preserve"> أو مد أجل قائم</w:t>
      </w:r>
      <w:r>
        <w:rPr>
          <w:rFonts w:cs="Traditional Arabic" w:hint="cs"/>
          <w:sz w:val="28"/>
          <w:szCs w:val="32"/>
          <w:vertAlign w:val="superscript"/>
          <w:rtl/>
        </w:rPr>
        <w:t xml:space="preserve">( </w:t>
      </w:r>
      <w:r w:rsidRPr="00EC737F">
        <w:rPr>
          <w:rStyle w:val="ab"/>
          <w:rFonts w:cs="Traditional Arabic"/>
          <w:sz w:val="28"/>
          <w:szCs w:val="32"/>
          <w:rtl/>
        </w:rPr>
        <w:footnoteReference w:id="49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الإلغاء أجل موجود</w:t>
      </w:r>
      <w:r>
        <w:rPr>
          <w:rFonts w:cs="Traditional Arabic" w:hint="cs"/>
          <w:sz w:val="28"/>
          <w:szCs w:val="32"/>
          <w:rtl/>
        </w:rPr>
        <w:t xml:space="preserve"> ،</w:t>
      </w:r>
      <w:r w:rsidRPr="00EC737F">
        <w:rPr>
          <w:rFonts w:cs="Traditional Arabic" w:hint="cs"/>
          <w:sz w:val="28"/>
          <w:szCs w:val="32"/>
          <w:rtl/>
        </w:rPr>
        <w:t xml:space="preserve"> إضافة شرط جزائي</w:t>
      </w:r>
      <w:r>
        <w:rPr>
          <w:rFonts w:cs="Traditional Arabic" w:hint="cs"/>
          <w:sz w:val="28"/>
          <w:szCs w:val="32"/>
          <w:rtl/>
        </w:rPr>
        <w:t xml:space="preserve"> ،</w:t>
      </w:r>
      <w:r w:rsidRPr="00EC737F">
        <w:rPr>
          <w:rFonts w:cs="Traditional Arabic" w:hint="cs"/>
          <w:sz w:val="28"/>
          <w:szCs w:val="32"/>
          <w:rtl/>
        </w:rPr>
        <w:t xml:space="preserve"> أو تقديم تأمين عيني أو شخصي</w:t>
      </w:r>
      <w:r>
        <w:rPr>
          <w:rFonts w:cs="Traditional Arabic" w:hint="cs"/>
          <w:sz w:val="28"/>
          <w:szCs w:val="32"/>
          <w:rtl/>
        </w:rPr>
        <w:t xml:space="preserve"> ،</w:t>
      </w:r>
      <w:r w:rsidRPr="00EC737F">
        <w:rPr>
          <w:rFonts w:cs="Traditional Arabic" w:hint="cs"/>
          <w:sz w:val="28"/>
          <w:szCs w:val="32"/>
          <w:rtl/>
        </w:rPr>
        <w:t xml:space="preserve"> أو إلغاء هذا التأمين</w:t>
      </w:r>
      <w:r>
        <w:rPr>
          <w:rFonts w:cs="Traditional Arabic" w:hint="cs"/>
          <w:sz w:val="28"/>
          <w:szCs w:val="32"/>
          <w:rtl/>
        </w:rPr>
        <w:t xml:space="preserve"> ،</w:t>
      </w:r>
      <w:r w:rsidRPr="00EC737F">
        <w:rPr>
          <w:rFonts w:cs="Traditional Arabic" w:hint="cs"/>
          <w:sz w:val="28"/>
          <w:szCs w:val="32"/>
          <w:rtl/>
        </w:rPr>
        <w:t xml:space="preserve"> أو تغيير مكان الوفاء</w:t>
      </w:r>
      <w:r>
        <w:rPr>
          <w:rFonts w:cs="Traditional Arabic" w:hint="cs"/>
          <w:sz w:val="28"/>
          <w:szCs w:val="32"/>
          <w:rtl/>
        </w:rPr>
        <w:t xml:space="preserve"> ،</w:t>
      </w:r>
      <w:r w:rsidRPr="00EC737F">
        <w:rPr>
          <w:rFonts w:cs="Traditional Arabic" w:hint="cs"/>
          <w:sz w:val="28"/>
          <w:szCs w:val="32"/>
          <w:rtl/>
        </w:rPr>
        <w:t xml:space="preserve"> أو تعديل سعر الفائدة يخفضها أو عرفها</w:t>
      </w:r>
      <w:r>
        <w:rPr>
          <w:rFonts w:cs="Traditional Arabic" w:hint="cs"/>
          <w:sz w:val="28"/>
          <w:szCs w:val="32"/>
          <w:rtl/>
        </w:rPr>
        <w:t xml:space="preserve"> ،</w:t>
      </w:r>
      <w:r w:rsidRPr="00EC737F">
        <w:rPr>
          <w:rFonts w:cs="Traditional Arabic" w:hint="cs"/>
          <w:sz w:val="28"/>
          <w:szCs w:val="32"/>
          <w:rtl/>
        </w:rPr>
        <w:t xml:space="preserve"> أو تغيير مقدار الدين بزيادته أو نقصه</w:t>
      </w:r>
      <w:r>
        <w:rPr>
          <w:rFonts w:cs="Traditional Arabic" w:hint="cs"/>
          <w:sz w:val="28"/>
          <w:szCs w:val="32"/>
          <w:rtl/>
        </w:rPr>
        <w:t xml:space="preserve"> ،</w:t>
      </w:r>
      <w:r w:rsidRPr="00EC737F">
        <w:rPr>
          <w:rFonts w:cs="Traditional Arabic" w:hint="cs"/>
          <w:sz w:val="28"/>
          <w:szCs w:val="32"/>
          <w:rtl/>
        </w:rPr>
        <w:t xml:space="preserve"> كل ذلك لا يكفي لاستخلاص نية التجديد</w:t>
      </w:r>
      <w:r>
        <w:rPr>
          <w:rFonts w:cs="Traditional Arabic" w:hint="cs"/>
          <w:sz w:val="28"/>
          <w:szCs w:val="32"/>
          <w:rtl/>
        </w:rPr>
        <w:t xml:space="preserve"> ،</w:t>
      </w:r>
      <w:r w:rsidRPr="00EC737F">
        <w:rPr>
          <w:rFonts w:cs="Traditional Arabic" w:hint="cs"/>
          <w:sz w:val="28"/>
          <w:szCs w:val="32"/>
          <w:rtl/>
        </w:rPr>
        <w:t xml:space="preserve"> إلا إذا وجدت ظروف أخرى تدل في وضوح على هذه النية</w:t>
      </w:r>
      <w:r>
        <w:rPr>
          <w:rFonts w:cs="Traditional Arabic" w:hint="cs"/>
          <w:sz w:val="28"/>
          <w:szCs w:val="32"/>
          <w:rtl/>
        </w:rPr>
        <w:t xml:space="preserve"> .</w:t>
      </w:r>
      <w:r w:rsidRPr="00EC737F">
        <w:rPr>
          <w:rFonts w:cs="Traditional Arabic" w:hint="cs"/>
          <w:sz w:val="28"/>
          <w:szCs w:val="32"/>
          <w:rtl/>
        </w:rPr>
        <w:t xml:space="preserve"> وقد نصت المادة $222 مدني صراحة على ذلك</w:t>
      </w:r>
      <w:r>
        <w:rPr>
          <w:rFonts w:cs="Traditional Arabic" w:hint="cs"/>
          <w:sz w:val="28"/>
          <w:szCs w:val="32"/>
          <w:rtl/>
        </w:rPr>
        <w:t xml:space="preserve"> ،</w:t>
      </w:r>
      <w:r w:rsidRPr="00EC737F">
        <w:rPr>
          <w:rFonts w:cs="Traditional Arabic" w:hint="cs"/>
          <w:sz w:val="28"/>
          <w:szCs w:val="32"/>
          <w:rtl/>
        </w:rPr>
        <w:t xml:space="preserve"> فهي تقضي بأنه "لا يستفاد التجديد من كتابة سند بدين موجود قبل ذلك</w:t>
      </w:r>
      <w:r>
        <w:rPr>
          <w:rFonts w:cs="Traditional Arabic" w:hint="cs"/>
          <w:sz w:val="28"/>
          <w:szCs w:val="32"/>
          <w:rtl/>
        </w:rPr>
        <w:t xml:space="preserve"> ،</w:t>
      </w:r>
      <w:r w:rsidRPr="00EC737F">
        <w:rPr>
          <w:rFonts w:cs="Traditional Arabic" w:hint="cs"/>
          <w:sz w:val="28"/>
          <w:szCs w:val="32"/>
          <w:rtl/>
        </w:rPr>
        <w:t xml:space="preserve"> ولا مما يحدث في الالتزام من تغيير لا يتناول إلا زمان الوفاء أو مكانه أو كيفيته</w:t>
      </w:r>
      <w:r>
        <w:rPr>
          <w:rFonts w:cs="Traditional Arabic" w:hint="cs"/>
          <w:sz w:val="28"/>
          <w:szCs w:val="32"/>
          <w:rtl/>
        </w:rPr>
        <w:t xml:space="preserve"> ،</w:t>
      </w:r>
      <w:r w:rsidRPr="00EC737F">
        <w:rPr>
          <w:rFonts w:cs="Traditional Arabic" w:hint="cs"/>
          <w:sz w:val="28"/>
          <w:szCs w:val="32"/>
          <w:rtl/>
        </w:rPr>
        <w:t xml:space="preserve"> ولا مما يدخل على الالتزام من تعديل لا يتناول إلا التأمينات أو سعر الفائدة</w:t>
      </w:r>
      <w:r>
        <w:rPr>
          <w:rFonts w:cs="Traditional Arabic" w:hint="cs"/>
          <w:sz w:val="28"/>
          <w:szCs w:val="32"/>
          <w:rtl/>
        </w:rPr>
        <w:t xml:space="preserve"> ،</w:t>
      </w:r>
      <w:r w:rsidRPr="00EC737F">
        <w:rPr>
          <w:rFonts w:cs="Traditional Arabic" w:hint="cs"/>
          <w:sz w:val="28"/>
          <w:szCs w:val="32"/>
          <w:rtl/>
        </w:rPr>
        <w:t xml:space="preserve"> كل هذا ما لم يوجد اتفاق يقضي بغيره"</w:t>
      </w:r>
      <w:r>
        <w:rPr>
          <w:rFonts w:cs="Traditional Arabic" w:hint="cs"/>
          <w:sz w:val="28"/>
          <w:szCs w:val="32"/>
          <w:rtl/>
        </w:rPr>
        <w:t xml:space="preserve"> .</w:t>
      </w:r>
      <w:r w:rsidRPr="00EC737F">
        <w:rPr>
          <w:rFonts w:cs="Traditional Arabic" w:hint="cs"/>
          <w:sz w:val="28"/>
          <w:szCs w:val="32"/>
          <w:rtl/>
        </w:rPr>
        <w:t xml:space="preserve"> فمجرد كتابة سند بدين كان غير مكتوب لا يعد تجديداً</w:t>
      </w:r>
      <w:r>
        <w:rPr>
          <w:rFonts w:cs="Traditional Arabic" w:hint="cs"/>
          <w:sz w:val="28"/>
          <w:szCs w:val="32"/>
          <w:rtl/>
        </w:rPr>
        <w:t xml:space="preserve"> ،</w:t>
      </w:r>
      <w:r w:rsidRPr="00EC737F">
        <w:rPr>
          <w:rFonts w:cs="Traditional Arabic" w:hint="cs"/>
          <w:sz w:val="28"/>
          <w:szCs w:val="32"/>
          <w:rtl/>
        </w:rPr>
        <w:t xml:space="preserve"> بل هو تهيئة دليل على دين موجود فعلا</w:t>
      </w:r>
      <w:r>
        <w:rPr>
          <w:rFonts w:cs="Traditional Arabic" w:hint="cs"/>
          <w:sz w:val="28"/>
          <w:szCs w:val="32"/>
          <w:rtl/>
        </w:rPr>
        <w:t xml:space="preserve"> ،</w:t>
      </w:r>
      <w:r w:rsidRPr="00EC737F">
        <w:rPr>
          <w:rFonts w:cs="Traditional Arabic" w:hint="cs"/>
          <w:sz w:val="28"/>
          <w:szCs w:val="32"/>
          <w:rtl/>
        </w:rPr>
        <w:t xml:space="preserve"> فلا تنقضي الكفالة التي تضمن هذا الدين</w:t>
      </w:r>
      <w:r>
        <w:rPr>
          <w:rFonts w:cs="Traditional Arabic" w:hint="cs"/>
          <w:sz w:val="28"/>
          <w:szCs w:val="32"/>
          <w:rtl/>
        </w:rPr>
        <w:t xml:space="preserve"> .</w:t>
      </w:r>
      <w:r w:rsidRPr="00EC737F">
        <w:rPr>
          <w:rFonts w:cs="Traditional Arabic" w:hint="cs"/>
          <w:sz w:val="28"/>
          <w:szCs w:val="32"/>
          <w:rtl/>
        </w:rPr>
        <w:t xml:space="preserve"> كذلك إبدال ورقة تجارية بورقة تجارية أخرى</w:t>
      </w:r>
      <w:r>
        <w:rPr>
          <w:rFonts w:cs="Traditional Arabic" w:hint="cs"/>
          <w:sz w:val="28"/>
          <w:szCs w:val="32"/>
          <w:rtl/>
        </w:rPr>
        <w:t xml:space="preserve"> ،</w:t>
      </w:r>
      <w:r w:rsidRPr="00EC737F">
        <w:rPr>
          <w:rFonts w:cs="Traditional Arabic" w:hint="cs"/>
          <w:sz w:val="28"/>
          <w:szCs w:val="32"/>
          <w:rtl/>
        </w:rPr>
        <w:t xml:space="preserve"> كإبدال كمبيالة بكمبيالة أو سند إذني بكمبيالة أو كمبيالة بسند غذني بفرض مد أجل الدين</w:t>
      </w:r>
      <w:r>
        <w:rPr>
          <w:rFonts w:cs="Traditional Arabic" w:hint="cs"/>
          <w:sz w:val="28"/>
          <w:szCs w:val="32"/>
          <w:rtl/>
        </w:rPr>
        <w:t xml:space="preserve"> ،</w:t>
      </w:r>
      <w:r w:rsidRPr="00EC737F">
        <w:rPr>
          <w:rFonts w:cs="Traditional Arabic" w:hint="cs"/>
          <w:sz w:val="28"/>
          <w:szCs w:val="32"/>
          <w:rtl/>
        </w:rPr>
        <w:t xml:space="preserve"> أو تغيير سند الدين بكمبيالة أو نسد إذني</w:t>
      </w:r>
      <w:r>
        <w:rPr>
          <w:rFonts w:cs="Traditional Arabic" w:hint="cs"/>
          <w:sz w:val="28"/>
          <w:szCs w:val="32"/>
          <w:rtl/>
        </w:rPr>
        <w:t xml:space="preserve"> ،</w:t>
      </w:r>
      <w:r w:rsidRPr="00EC737F">
        <w:rPr>
          <w:rFonts w:cs="Traditional Arabic" w:hint="cs"/>
          <w:sz w:val="28"/>
          <w:szCs w:val="32"/>
          <w:rtl/>
        </w:rPr>
        <w:t xml:space="preserve"> لا يعد تجديداً</w:t>
      </w:r>
      <w:r>
        <w:rPr>
          <w:rFonts w:cs="Traditional Arabic" w:hint="cs"/>
          <w:sz w:val="28"/>
          <w:szCs w:val="32"/>
          <w:rtl/>
        </w:rPr>
        <w:t xml:space="preserve"> ،</w:t>
      </w:r>
      <w:r w:rsidRPr="00EC737F">
        <w:rPr>
          <w:rFonts w:cs="Traditional Arabic" w:hint="cs"/>
          <w:sz w:val="28"/>
          <w:szCs w:val="32"/>
          <w:rtl/>
        </w:rPr>
        <w:t xml:space="preserve"> ولا تنقضي به الكفالة</w:t>
      </w:r>
      <w:r>
        <w:rPr>
          <w:rFonts w:cs="Traditional Arabic" w:hint="cs"/>
          <w:sz w:val="28"/>
          <w:szCs w:val="32"/>
          <w:rtl/>
        </w:rPr>
        <w:t xml:space="preserve"> .</w:t>
      </w:r>
      <w:r w:rsidRPr="00EC737F">
        <w:rPr>
          <w:rFonts w:cs="Traditional Arabic" w:hint="cs"/>
          <w:sz w:val="28"/>
          <w:szCs w:val="32"/>
          <w:rtl/>
        </w:rPr>
        <w:t xml:space="preserve"> وكذلك تحرير كمبيالة أو سند إذني بثمن المبيع لا يعد تجديداً للثمن</w:t>
      </w:r>
      <w:r>
        <w:rPr>
          <w:rFonts w:cs="Traditional Arabic" w:hint="cs"/>
          <w:sz w:val="28"/>
          <w:szCs w:val="32"/>
          <w:rtl/>
        </w:rPr>
        <w:t xml:space="preserve"> ،</w:t>
      </w:r>
      <w:r w:rsidRPr="00EC737F">
        <w:rPr>
          <w:rFonts w:cs="Traditional Arabic" w:hint="cs"/>
          <w:sz w:val="28"/>
          <w:szCs w:val="32"/>
          <w:rtl/>
        </w:rPr>
        <w:t xml:space="preserve"> بل يكون ضرباً من التوثيق له</w:t>
      </w:r>
      <w:r>
        <w:rPr>
          <w:rFonts w:cs="Traditional Arabic" w:hint="cs"/>
          <w:sz w:val="28"/>
          <w:szCs w:val="32"/>
          <w:rtl/>
        </w:rPr>
        <w:t xml:space="preserve"> ،</w:t>
      </w:r>
      <w:r w:rsidRPr="00EC737F">
        <w:rPr>
          <w:rFonts w:cs="Traditional Arabic" w:hint="cs"/>
          <w:sz w:val="28"/>
          <w:szCs w:val="32"/>
          <w:rtl/>
        </w:rPr>
        <w:t xml:space="preserve"> ويبقى امتياز البائع قائماً وكذلك الكفالة حتى بعد كتابة الكمبيالة أو السند</w:t>
      </w:r>
      <w:r>
        <w:rPr>
          <w:rFonts w:cs="Traditional Arabic" w:hint="cs"/>
          <w:sz w:val="28"/>
          <w:szCs w:val="32"/>
          <w:rtl/>
        </w:rPr>
        <w:t xml:space="preserve"> ،</w:t>
      </w:r>
      <w:r w:rsidRPr="00EC737F">
        <w:rPr>
          <w:rFonts w:cs="Traditional Arabic" w:hint="cs"/>
          <w:sz w:val="28"/>
          <w:szCs w:val="32"/>
          <w:rtl/>
        </w:rPr>
        <w:t xml:space="preserve"> وهذا ما لم يتفق على غيره</w:t>
      </w:r>
      <w:r>
        <w:rPr>
          <w:rFonts w:cs="Traditional Arabic" w:hint="cs"/>
          <w:sz w:val="28"/>
          <w:szCs w:val="32"/>
          <w:rtl/>
        </w:rPr>
        <w:t xml:space="preserve"> ،</w:t>
      </w:r>
      <w:r w:rsidRPr="00EC737F">
        <w:rPr>
          <w:rFonts w:cs="Traditional Arabic" w:hint="cs"/>
          <w:sz w:val="28"/>
          <w:szCs w:val="32"/>
          <w:rtl/>
        </w:rPr>
        <w:t xml:space="preserve"> كأن يقر البائع أنه تسلم الثمن نقداً ففي هذه الحالة يقضي دين الثمن بتأميناته من امتياز وكفالة ويحل محله دين جديد هو الدين الثابت بالكمبيالة أو السند</w:t>
      </w:r>
      <w:r>
        <w:rPr>
          <w:rFonts w:cs="Traditional Arabic" w:hint="cs"/>
          <w:sz w:val="28"/>
          <w:szCs w:val="32"/>
          <w:rtl/>
        </w:rPr>
        <w:t xml:space="preserve"> .</w:t>
      </w:r>
      <w:r w:rsidRPr="00EC737F">
        <w:rPr>
          <w:rFonts w:cs="Traditional Arabic" w:hint="cs"/>
          <w:sz w:val="28"/>
          <w:szCs w:val="32"/>
          <w:rtl/>
        </w:rPr>
        <w:t xml:space="preserve"> ولا يعتبر تجديداً</w:t>
      </w:r>
      <w:r>
        <w:rPr>
          <w:rFonts w:cs="Traditional Arabic" w:hint="cs"/>
          <w:sz w:val="28"/>
          <w:szCs w:val="32"/>
          <w:rtl/>
        </w:rPr>
        <w:t xml:space="preserve"> ،</w:t>
      </w:r>
      <w:r w:rsidRPr="00EC737F">
        <w:rPr>
          <w:rFonts w:cs="Traditional Arabic" w:hint="cs"/>
          <w:sz w:val="28"/>
          <w:szCs w:val="32"/>
          <w:rtl/>
        </w:rPr>
        <w:t xml:space="preserve"> فلا تنقضي الكفالة</w:t>
      </w:r>
      <w:r>
        <w:rPr>
          <w:rFonts w:cs="Traditional Arabic" w:hint="cs"/>
          <w:sz w:val="28"/>
          <w:szCs w:val="32"/>
          <w:rtl/>
        </w:rPr>
        <w:t xml:space="preserve"> ،</w:t>
      </w:r>
      <w:r w:rsidRPr="00EC737F">
        <w:rPr>
          <w:rFonts w:cs="Traditional Arabic" w:hint="cs"/>
          <w:sz w:val="28"/>
          <w:szCs w:val="32"/>
          <w:rtl/>
        </w:rPr>
        <w:t xml:space="preserve"> الإقرار بدين بعد صدور حكم به ولو قيل في الإقرار أنه في حالة عدم الوفاء ينفذ الحكم</w:t>
      </w:r>
      <w:r>
        <w:rPr>
          <w:rFonts w:cs="Traditional Arabic" w:hint="cs"/>
          <w:sz w:val="28"/>
          <w:szCs w:val="32"/>
          <w:rtl/>
        </w:rPr>
        <w:t xml:space="preserve"> ،</w:t>
      </w:r>
      <w:r w:rsidRPr="00EC737F">
        <w:rPr>
          <w:rFonts w:cs="Traditional Arabic" w:hint="cs"/>
          <w:sz w:val="28"/>
          <w:szCs w:val="32"/>
          <w:rtl/>
        </w:rPr>
        <w:t xml:space="preserve"> ولا الإقرار الصادر من المستأجر بالتجديد في ذمته م الأجرة</w:t>
      </w:r>
      <w:r>
        <w:rPr>
          <w:rFonts w:cs="Traditional Arabic" w:hint="cs"/>
          <w:sz w:val="28"/>
          <w:szCs w:val="32"/>
          <w:rtl/>
        </w:rPr>
        <w:t xml:space="preserve"> ،</w:t>
      </w:r>
      <w:r w:rsidRPr="00EC737F">
        <w:rPr>
          <w:rFonts w:cs="Traditional Arabic" w:hint="cs"/>
          <w:sz w:val="28"/>
          <w:szCs w:val="32"/>
          <w:rtl/>
        </w:rPr>
        <w:t xml:space="preserve"> فتبقى الكفالة وامتياز المؤجر ويتقادم الدين بخمس سنوات</w:t>
      </w:r>
      <w:r>
        <w:rPr>
          <w:rFonts w:cs="Traditional Arabic" w:hint="cs"/>
          <w:sz w:val="28"/>
          <w:szCs w:val="32"/>
          <w:vertAlign w:val="superscript"/>
          <w:rtl/>
        </w:rPr>
        <w:t xml:space="preserve">( </w:t>
      </w:r>
      <w:r w:rsidRPr="00EC737F">
        <w:rPr>
          <w:rStyle w:val="ab"/>
          <w:rFonts w:cs="Traditional Arabic"/>
          <w:sz w:val="28"/>
          <w:szCs w:val="32"/>
          <w:rtl/>
        </w:rPr>
        <w:footnoteReference w:id="49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88- انقضاء الدين المكفول بالمقاصة</w:t>
      </w:r>
      <w:r>
        <w:rPr>
          <w:rFonts w:cs="Traditional Arabic" w:hint="cs"/>
          <w:sz w:val="28"/>
          <w:szCs w:val="32"/>
          <w:rtl/>
        </w:rPr>
        <w:t xml:space="preserve"> :</w:t>
      </w:r>
      <w:r w:rsidRPr="00EC737F">
        <w:rPr>
          <w:rFonts w:cs="Traditional Arabic" w:hint="cs"/>
          <w:sz w:val="28"/>
          <w:szCs w:val="32"/>
          <w:rtl/>
        </w:rPr>
        <w:t xml:space="preserve"> وإذا انقضى الدين المكفول بالمقاصة</w:t>
      </w:r>
      <w:r>
        <w:rPr>
          <w:rFonts w:cs="Traditional Arabic" w:hint="cs"/>
          <w:sz w:val="28"/>
          <w:szCs w:val="32"/>
          <w:rtl/>
        </w:rPr>
        <w:t xml:space="preserve"> ،</w:t>
      </w:r>
      <w:r w:rsidRPr="00EC737F">
        <w:rPr>
          <w:rFonts w:cs="Traditional Arabic" w:hint="cs"/>
          <w:sz w:val="28"/>
          <w:szCs w:val="32"/>
          <w:rtl/>
        </w:rPr>
        <w:t xml:space="preserve"> بأن كان ذمة الدائن للمدين يصلح للمقاصة في الدين الثابت $223 في ذمة المدين للدائن</w:t>
      </w:r>
      <w:r>
        <w:rPr>
          <w:rFonts w:cs="Traditional Arabic" w:hint="cs"/>
          <w:sz w:val="28"/>
          <w:szCs w:val="32"/>
          <w:rtl/>
        </w:rPr>
        <w:t xml:space="preserve"> ،</w:t>
      </w:r>
      <w:r w:rsidRPr="00EC737F">
        <w:rPr>
          <w:rFonts w:cs="Traditional Arabic" w:hint="cs"/>
          <w:sz w:val="28"/>
          <w:szCs w:val="32"/>
          <w:rtl/>
        </w:rPr>
        <w:t xml:space="preserve"> انقضى الدين المكفول بالمقاصة وانقضت الكفالة تبعاً لذلك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ويستطيع الكفيل أن يتمسك بالمقاصة بين الدين الذي كفله ودين للمدين في ذمة الدائن</w:t>
      </w:r>
      <w:r>
        <w:rPr>
          <w:rFonts w:cs="Traditional Arabic" w:hint="cs"/>
          <w:sz w:val="28"/>
          <w:szCs w:val="32"/>
          <w:rtl/>
        </w:rPr>
        <w:t xml:space="preserve"> ،</w:t>
      </w:r>
      <w:r w:rsidRPr="00EC737F">
        <w:rPr>
          <w:rFonts w:cs="Traditional Arabic" w:hint="cs"/>
          <w:sz w:val="28"/>
          <w:szCs w:val="32"/>
          <w:rtl/>
        </w:rPr>
        <w:t xml:space="preserve"> لأن مديونيته تابعة لمديونية المدين</w:t>
      </w:r>
      <w:r>
        <w:rPr>
          <w:rFonts w:cs="Traditional Arabic" w:hint="cs"/>
          <w:sz w:val="28"/>
          <w:szCs w:val="32"/>
          <w:rtl/>
        </w:rPr>
        <w:t xml:space="preserve"> ،</w:t>
      </w:r>
      <w:r w:rsidRPr="00EC737F">
        <w:rPr>
          <w:rFonts w:cs="Traditional Arabic" w:hint="cs"/>
          <w:sz w:val="28"/>
          <w:szCs w:val="32"/>
          <w:rtl/>
        </w:rPr>
        <w:t xml:space="preserve"> فإذا تخلص المدين من مديونيته عن طرق المقاصة</w:t>
      </w:r>
      <w:r>
        <w:rPr>
          <w:rFonts w:cs="Traditional Arabic" w:hint="cs"/>
          <w:sz w:val="28"/>
          <w:szCs w:val="32"/>
          <w:rtl/>
        </w:rPr>
        <w:t xml:space="preserve"> ،</w:t>
      </w:r>
      <w:r w:rsidRPr="00EC737F">
        <w:rPr>
          <w:rFonts w:cs="Traditional Arabic" w:hint="cs"/>
          <w:sz w:val="28"/>
          <w:szCs w:val="32"/>
          <w:rtl/>
        </w:rPr>
        <w:t xml:space="preserve"> تخلص الكفيل تبعاً لذلك</w:t>
      </w:r>
      <w:r>
        <w:rPr>
          <w:rFonts w:cs="Traditional Arabic" w:hint="cs"/>
          <w:sz w:val="28"/>
          <w:szCs w:val="32"/>
          <w:rtl/>
        </w:rPr>
        <w:t xml:space="preserve"> .</w:t>
      </w:r>
      <w:r w:rsidRPr="00EC737F">
        <w:rPr>
          <w:rFonts w:cs="Traditional Arabic" w:hint="cs"/>
          <w:sz w:val="28"/>
          <w:szCs w:val="32"/>
          <w:rtl/>
        </w:rPr>
        <w:t xml:space="preserve"> ولكن لا تقع المقاصة بين دين الدائن في ذمة المدين ودين لكفيل غير متضامن في ذمة الدائن</w:t>
      </w:r>
      <w:r>
        <w:rPr>
          <w:rFonts w:cs="Traditional Arabic" w:hint="cs"/>
          <w:sz w:val="28"/>
          <w:szCs w:val="32"/>
          <w:rtl/>
        </w:rPr>
        <w:t xml:space="preserve"> .</w:t>
      </w:r>
      <w:r w:rsidRPr="00EC737F">
        <w:rPr>
          <w:rFonts w:cs="Traditional Arabic" w:hint="cs"/>
          <w:sz w:val="28"/>
          <w:szCs w:val="32"/>
          <w:rtl/>
        </w:rPr>
        <w:t xml:space="preserve"> إذ الدينان هنا غير متقابلين</w:t>
      </w:r>
      <w:r>
        <w:rPr>
          <w:rFonts w:cs="Traditional Arabic" w:hint="cs"/>
          <w:sz w:val="28"/>
          <w:szCs w:val="32"/>
          <w:rtl/>
        </w:rPr>
        <w:t xml:space="preserve"> ،</w:t>
      </w:r>
      <w:r w:rsidRPr="00EC737F">
        <w:rPr>
          <w:rFonts w:cs="Traditional Arabic" w:hint="cs"/>
          <w:sz w:val="28"/>
          <w:szCs w:val="32"/>
          <w:rtl/>
        </w:rPr>
        <w:t xml:space="preserve"> فأحدهما في ذمة المدين للدائن والآخر في ذمة الدائن للكفيل لا للمدين</w:t>
      </w:r>
      <w:r>
        <w:rPr>
          <w:rFonts w:cs="Traditional Arabic" w:hint="cs"/>
          <w:sz w:val="28"/>
          <w:szCs w:val="32"/>
          <w:vertAlign w:val="superscript"/>
          <w:rtl/>
        </w:rPr>
        <w:t xml:space="preserve">( </w:t>
      </w:r>
      <w:r w:rsidRPr="00EC737F">
        <w:rPr>
          <w:rStyle w:val="ab"/>
          <w:rFonts w:cs="Traditional Arabic"/>
          <w:sz w:val="28"/>
          <w:szCs w:val="32"/>
          <w:rtl/>
        </w:rPr>
        <w:footnoteReference w:id="49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نصت المادة 1294 مدني فرنسي على هذه الأحكام</w:t>
      </w:r>
      <w:r>
        <w:rPr>
          <w:rFonts w:cs="Traditional Arabic" w:hint="cs"/>
          <w:sz w:val="28"/>
          <w:szCs w:val="32"/>
          <w:rtl/>
        </w:rPr>
        <w:t xml:space="preserve"> ،</w:t>
      </w:r>
      <w:r w:rsidRPr="00EC737F">
        <w:rPr>
          <w:rFonts w:cs="Traditional Arabic" w:hint="cs"/>
          <w:sz w:val="28"/>
          <w:szCs w:val="32"/>
          <w:rtl/>
        </w:rPr>
        <w:t xml:space="preserve"> إذ تقول </w:t>
      </w:r>
      <w:r>
        <w:rPr>
          <w:rFonts w:cs="Traditional Arabic" w:hint="cs"/>
          <w:sz w:val="28"/>
          <w:szCs w:val="32"/>
          <w:rtl/>
        </w:rPr>
        <w:t xml:space="preserve"> :</w:t>
      </w:r>
      <w:r w:rsidRPr="00EC737F">
        <w:rPr>
          <w:rFonts w:cs="Traditional Arabic" w:hint="cs"/>
          <w:sz w:val="28"/>
          <w:szCs w:val="32"/>
          <w:rtl/>
        </w:rPr>
        <w:t xml:space="preserve"> "يجوز للكفيل أن يتمسك بالمقاصة في دين على الدائن للمدين الأصلي</w:t>
      </w:r>
      <w:r>
        <w:rPr>
          <w:rFonts w:cs="Traditional Arabic" w:hint="cs"/>
          <w:sz w:val="28"/>
          <w:szCs w:val="32"/>
          <w:rtl/>
        </w:rPr>
        <w:t xml:space="preserve"> ،</w:t>
      </w:r>
      <w:r w:rsidRPr="00EC737F">
        <w:rPr>
          <w:rFonts w:cs="Traditional Arabic" w:hint="cs"/>
          <w:sz w:val="28"/>
          <w:szCs w:val="32"/>
          <w:rtl/>
        </w:rPr>
        <w:t xml:space="preserve"> ولكن لا يجوز للمدين الأصلي أن يتمسك بالمقاصة في دين على الدائن الكفيل"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ولما كانت المقاصة ليست من النظام العام فيجوز النزول عنها</w:t>
      </w:r>
      <w:r>
        <w:rPr>
          <w:rFonts w:cs="Traditional Arabic" w:hint="cs"/>
          <w:sz w:val="28"/>
          <w:szCs w:val="32"/>
          <w:rtl/>
        </w:rPr>
        <w:t xml:space="preserve"> ،</w:t>
      </w:r>
      <w:r w:rsidRPr="00EC737F">
        <w:rPr>
          <w:rFonts w:cs="Traditional Arabic" w:hint="cs"/>
          <w:sz w:val="28"/>
          <w:szCs w:val="32"/>
          <w:rtl/>
        </w:rPr>
        <w:t xml:space="preserve"> فإذا نزل عنها المدينان معاً بعد أن توافرت شروطها وتلاقى الدينان</w:t>
      </w:r>
      <w:r>
        <w:rPr>
          <w:rFonts w:cs="Traditional Arabic" w:hint="cs"/>
          <w:sz w:val="28"/>
          <w:szCs w:val="32"/>
          <w:rtl/>
        </w:rPr>
        <w:t xml:space="preserve"> ،</w:t>
      </w:r>
      <w:r w:rsidRPr="00EC737F">
        <w:rPr>
          <w:rFonts w:cs="Traditional Arabic" w:hint="cs"/>
          <w:sz w:val="28"/>
          <w:szCs w:val="32"/>
          <w:rtl/>
        </w:rPr>
        <w:t xml:space="preserve"> فعلى كل من المدينين أن يؤدي الدين الذي في ذمته</w:t>
      </w:r>
      <w:r>
        <w:rPr>
          <w:rFonts w:cs="Traditional Arabic" w:hint="cs"/>
          <w:sz w:val="28"/>
          <w:szCs w:val="32"/>
          <w:rtl/>
        </w:rPr>
        <w:t xml:space="preserve"> ،</w:t>
      </w:r>
      <w:r w:rsidRPr="00EC737F">
        <w:rPr>
          <w:rFonts w:cs="Traditional Arabic" w:hint="cs"/>
          <w:sz w:val="28"/>
          <w:szCs w:val="32"/>
          <w:rtl/>
        </w:rPr>
        <w:t xml:space="preserve"> وله أن يتقاضى حقه من مدينه</w:t>
      </w:r>
      <w:r>
        <w:rPr>
          <w:rFonts w:cs="Traditional Arabic" w:hint="cs"/>
          <w:sz w:val="28"/>
          <w:szCs w:val="32"/>
          <w:rtl/>
        </w:rPr>
        <w:t xml:space="preserve"> .</w:t>
      </w:r>
      <w:r w:rsidRPr="00EC737F">
        <w:rPr>
          <w:rFonts w:cs="Traditional Arabic" w:hint="cs"/>
          <w:sz w:val="28"/>
          <w:szCs w:val="32"/>
          <w:rtl/>
        </w:rPr>
        <w:t xml:space="preserve"> فبعد أن كانت المقاصة قد قضت الدينين معاً منذ تلاقيهما</w:t>
      </w:r>
      <w:r>
        <w:rPr>
          <w:rFonts w:cs="Traditional Arabic" w:hint="cs"/>
          <w:sz w:val="28"/>
          <w:szCs w:val="32"/>
          <w:rtl/>
        </w:rPr>
        <w:t xml:space="preserve"> ،</w:t>
      </w:r>
      <w:r w:rsidRPr="00EC737F">
        <w:rPr>
          <w:rFonts w:cs="Traditional Arabic" w:hint="cs"/>
          <w:sz w:val="28"/>
          <w:szCs w:val="32"/>
          <w:rtl/>
        </w:rPr>
        <w:t xml:space="preserve"> فإن النزول عن المقاصة يعيد الدينين إلى الوجود بما كان لهما من تأمينات</w:t>
      </w:r>
      <w:r>
        <w:rPr>
          <w:rFonts w:cs="Traditional Arabic" w:hint="cs"/>
          <w:sz w:val="28"/>
          <w:szCs w:val="32"/>
          <w:rtl/>
        </w:rPr>
        <w:t xml:space="preserve"> ،</w:t>
      </w:r>
      <w:r w:rsidRPr="00EC737F">
        <w:rPr>
          <w:rFonts w:cs="Traditional Arabic" w:hint="cs"/>
          <w:sz w:val="28"/>
          <w:szCs w:val="32"/>
          <w:rtl/>
        </w:rPr>
        <w:t xml:space="preserve"> وذلك دون إضرار بحقوق الغير</w:t>
      </w:r>
      <w:r>
        <w:rPr>
          <w:rFonts w:cs="Traditional Arabic" w:hint="cs"/>
          <w:sz w:val="28"/>
          <w:szCs w:val="32"/>
          <w:rtl/>
        </w:rPr>
        <w:t xml:space="preserve"> .</w:t>
      </w:r>
      <w:r w:rsidRPr="00EC737F">
        <w:rPr>
          <w:rFonts w:cs="Traditional Arabic" w:hint="cs"/>
          <w:sz w:val="28"/>
          <w:szCs w:val="32"/>
          <w:rtl/>
        </w:rPr>
        <w:t xml:space="preserve"> فلو أن أحد المدينين كان مضموناً بكفيل</w:t>
      </w:r>
      <w:r>
        <w:rPr>
          <w:rFonts w:cs="Traditional Arabic" w:hint="cs"/>
          <w:sz w:val="28"/>
          <w:szCs w:val="32"/>
          <w:rtl/>
        </w:rPr>
        <w:t xml:space="preserve"> ،</w:t>
      </w:r>
      <w:r w:rsidRPr="00EC737F">
        <w:rPr>
          <w:rFonts w:cs="Traditional Arabic" w:hint="cs"/>
          <w:sz w:val="28"/>
          <w:szCs w:val="32"/>
          <w:rtl/>
        </w:rPr>
        <w:t xml:space="preserve"> ووقعت المقاصة بين الدينين</w:t>
      </w:r>
      <w:r>
        <w:rPr>
          <w:rFonts w:cs="Traditional Arabic" w:hint="cs"/>
          <w:sz w:val="28"/>
          <w:szCs w:val="32"/>
          <w:rtl/>
        </w:rPr>
        <w:t xml:space="preserve"> ،</w:t>
      </w:r>
      <w:r w:rsidRPr="00EC737F">
        <w:rPr>
          <w:rFonts w:cs="Traditional Arabic" w:hint="cs"/>
          <w:sz w:val="28"/>
          <w:szCs w:val="32"/>
          <w:rtl/>
        </w:rPr>
        <w:t xml:space="preserve"> انقضى الدين المكفول وانقضت معه الكفالة</w:t>
      </w:r>
      <w:r>
        <w:rPr>
          <w:rFonts w:cs="Traditional Arabic" w:hint="cs"/>
          <w:sz w:val="28"/>
          <w:szCs w:val="32"/>
          <w:rtl/>
        </w:rPr>
        <w:t xml:space="preserve"> .</w:t>
      </w:r>
      <w:r w:rsidRPr="00EC737F">
        <w:rPr>
          <w:rFonts w:cs="Traditional Arabic" w:hint="cs"/>
          <w:sz w:val="28"/>
          <w:szCs w:val="32"/>
          <w:rtl/>
        </w:rPr>
        <w:t xml:space="preserve"> فإذا نزل المدين في الدين المكفول عن المقاصة</w:t>
      </w:r>
      <w:r>
        <w:rPr>
          <w:rFonts w:cs="Traditional Arabic" w:hint="cs"/>
          <w:sz w:val="28"/>
          <w:szCs w:val="32"/>
          <w:rtl/>
        </w:rPr>
        <w:t xml:space="preserve"> ،</w:t>
      </w:r>
      <w:r w:rsidRPr="00EC737F">
        <w:rPr>
          <w:rFonts w:cs="Traditional Arabic" w:hint="cs"/>
          <w:sz w:val="28"/>
          <w:szCs w:val="32"/>
          <w:rtl/>
        </w:rPr>
        <w:t xml:space="preserve"> فإن الدين يعود</w:t>
      </w:r>
      <w:r>
        <w:rPr>
          <w:rFonts w:cs="Traditional Arabic" w:hint="cs"/>
          <w:sz w:val="28"/>
          <w:szCs w:val="32"/>
          <w:rtl/>
        </w:rPr>
        <w:t xml:space="preserve"> ،</w:t>
      </w:r>
      <w:r w:rsidRPr="00EC737F">
        <w:rPr>
          <w:rFonts w:cs="Traditional Arabic" w:hint="cs"/>
          <w:sz w:val="28"/>
          <w:szCs w:val="32"/>
          <w:rtl/>
        </w:rPr>
        <w:t xml:space="preserve"> ولكن لا تعود الكفالة</w:t>
      </w:r>
      <w:r>
        <w:rPr>
          <w:rFonts w:cs="Traditional Arabic" w:hint="cs"/>
          <w:sz w:val="28"/>
          <w:szCs w:val="32"/>
          <w:rtl/>
        </w:rPr>
        <w:t xml:space="preserve"> .</w:t>
      </w:r>
      <w:r w:rsidRPr="00EC737F">
        <w:rPr>
          <w:rFonts w:cs="Traditional Arabic" w:hint="cs"/>
          <w:sz w:val="28"/>
          <w:szCs w:val="32"/>
          <w:rtl/>
        </w:rPr>
        <w:t xml:space="preserve"> $224 ذلك أن </w:t>
      </w:r>
      <w:r w:rsidRPr="00EC737F">
        <w:rPr>
          <w:rFonts w:cs="Traditional Arabic" w:hint="cs"/>
          <w:sz w:val="28"/>
          <w:szCs w:val="32"/>
          <w:rtl/>
        </w:rPr>
        <w:lastRenderedPageBreak/>
        <w:t>الكفيل كان قد تخلص من الكفالة منذ أن انقضى الدين المكفول بالمقاصة</w:t>
      </w:r>
      <w:r>
        <w:rPr>
          <w:rFonts w:cs="Traditional Arabic" w:hint="cs"/>
          <w:sz w:val="28"/>
          <w:szCs w:val="32"/>
          <w:rtl/>
        </w:rPr>
        <w:t xml:space="preserve"> ،</w:t>
      </w:r>
      <w:r w:rsidRPr="00EC737F">
        <w:rPr>
          <w:rFonts w:cs="Traditional Arabic" w:hint="cs"/>
          <w:sz w:val="28"/>
          <w:szCs w:val="32"/>
          <w:rtl/>
        </w:rPr>
        <w:t xml:space="preserve"> فلا يضار بنزول المدين عن مقاصة الدين المكفول</w:t>
      </w:r>
      <w:r>
        <w:rPr>
          <w:rFonts w:cs="Traditional Arabic" w:hint="cs"/>
          <w:sz w:val="28"/>
          <w:szCs w:val="32"/>
          <w:vertAlign w:val="superscript"/>
          <w:rtl/>
        </w:rPr>
        <w:t xml:space="preserve">( </w:t>
      </w:r>
      <w:r w:rsidRPr="00EC737F">
        <w:rPr>
          <w:rStyle w:val="ab"/>
          <w:rFonts w:cs="Traditional Arabic"/>
          <w:sz w:val="28"/>
          <w:szCs w:val="32"/>
          <w:rtl/>
        </w:rPr>
        <w:footnoteReference w:id="49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وهناك حالة من حالات النزول الضمني عن المقاصة بعد ثبوت الحق فيها</w:t>
      </w:r>
      <w:r>
        <w:rPr>
          <w:rFonts w:cs="Traditional Arabic" w:hint="cs"/>
          <w:sz w:val="28"/>
          <w:szCs w:val="32"/>
          <w:rtl/>
        </w:rPr>
        <w:t xml:space="preserve"> ،</w:t>
      </w:r>
      <w:r w:rsidRPr="00EC737F">
        <w:rPr>
          <w:rFonts w:cs="Traditional Arabic" w:hint="cs"/>
          <w:sz w:val="28"/>
          <w:szCs w:val="32"/>
          <w:rtl/>
        </w:rPr>
        <w:t xml:space="preserve"> ورد في شأنها نص خاص هو المادة 369 مدني</w:t>
      </w:r>
      <w:r>
        <w:rPr>
          <w:rFonts w:cs="Traditional Arabic" w:hint="cs"/>
          <w:sz w:val="28"/>
          <w:szCs w:val="32"/>
          <w:rtl/>
        </w:rPr>
        <w:t xml:space="preserve"> ،</w:t>
      </w:r>
      <w:r w:rsidRPr="00EC737F">
        <w:rPr>
          <w:rFonts w:cs="Traditional Arabic" w:hint="cs"/>
          <w:sz w:val="28"/>
          <w:szCs w:val="32"/>
          <w:rtl/>
        </w:rPr>
        <w:t xml:space="preserve"> وتجري على الوجه الآتي</w:t>
      </w:r>
      <w:r>
        <w:rPr>
          <w:rFonts w:cs="Traditional Arabic" w:hint="cs"/>
          <w:sz w:val="28"/>
          <w:szCs w:val="32"/>
          <w:rtl/>
        </w:rPr>
        <w:t xml:space="preserve"> :</w:t>
      </w:r>
      <w:r w:rsidRPr="00EC737F">
        <w:rPr>
          <w:rFonts w:cs="Traditional Arabic" w:hint="cs"/>
          <w:sz w:val="28"/>
          <w:szCs w:val="32"/>
          <w:rtl/>
        </w:rPr>
        <w:t xml:space="preserve"> "إذا وفى المدين ديناً وكان له أن يطلب المقاصة فيه بحق له</w:t>
      </w:r>
      <w:r>
        <w:rPr>
          <w:rFonts w:cs="Traditional Arabic" w:hint="cs"/>
          <w:sz w:val="28"/>
          <w:szCs w:val="32"/>
          <w:rtl/>
        </w:rPr>
        <w:t xml:space="preserve"> ،</w:t>
      </w:r>
      <w:r w:rsidRPr="00EC737F">
        <w:rPr>
          <w:rFonts w:cs="Traditional Arabic" w:hint="cs"/>
          <w:sz w:val="28"/>
          <w:szCs w:val="32"/>
          <w:rtl/>
        </w:rPr>
        <w:t xml:space="preserve"> فلا يجوز أن يتمسك إضراراً بالغير بالتأمينات التي كانت تكفل حقه</w:t>
      </w:r>
      <w:r>
        <w:rPr>
          <w:rFonts w:cs="Traditional Arabic" w:hint="cs"/>
          <w:sz w:val="28"/>
          <w:szCs w:val="32"/>
          <w:rtl/>
        </w:rPr>
        <w:t xml:space="preserve"> ،</w:t>
      </w:r>
      <w:r w:rsidRPr="00EC737F">
        <w:rPr>
          <w:rFonts w:cs="Traditional Arabic" w:hint="cs"/>
          <w:sz w:val="28"/>
          <w:szCs w:val="32"/>
          <w:rtl/>
        </w:rPr>
        <w:t xml:space="preserve"> إلا إذا كان يجهل وجود هذا الحق"</w:t>
      </w:r>
      <w:r>
        <w:rPr>
          <w:rFonts w:cs="Traditional Arabic" w:hint="cs"/>
          <w:sz w:val="28"/>
          <w:szCs w:val="32"/>
          <w:rtl/>
        </w:rPr>
        <w:t xml:space="preserve"> .</w:t>
      </w:r>
      <w:r w:rsidRPr="00EC737F">
        <w:rPr>
          <w:rFonts w:cs="Traditional Arabic" w:hint="cs"/>
          <w:sz w:val="28"/>
          <w:szCs w:val="32"/>
          <w:rtl/>
        </w:rPr>
        <w:t xml:space="preserve"> وهذا النص يفرض أن المدين وفي دينه للدائن</w:t>
      </w:r>
      <w:r>
        <w:rPr>
          <w:rFonts w:cs="Traditional Arabic" w:hint="cs"/>
          <w:sz w:val="28"/>
          <w:szCs w:val="32"/>
          <w:rtl/>
        </w:rPr>
        <w:t xml:space="preserve"> ،</w:t>
      </w:r>
      <w:r w:rsidRPr="00EC737F">
        <w:rPr>
          <w:rFonts w:cs="Traditional Arabic" w:hint="cs"/>
          <w:sz w:val="28"/>
          <w:szCs w:val="32"/>
          <w:rtl/>
        </w:rPr>
        <w:t xml:space="preserve"> بالرغم من وجود حق له في ذمة الدائن كان من الممكن أن يقاضي به دينه فلم يفعل</w:t>
      </w:r>
      <w:r>
        <w:rPr>
          <w:rFonts w:cs="Traditional Arabic" w:hint="cs"/>
          <w:sz w:val="28"/>
          <w:szCs w:val="32"/>
          <w:rtl/>
        </w:rPr>
        <w:t xml:space="preserve"> .</w:t>
      </w:r>
      <w:r w:rsidRPr="00EC737F">
        <w:rPr>
          <w:rFonts w:cs="Traditional Arabic" w:hint="cs"/>
          <w:sz w:val="28"/>
          <w:szCs w:val="32"/>
          <w:rtl/>
        </w:rPr>
        <w:t xml:space="preserve"> وهنا يجب التمييز بين فرضين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أولا</w:t>
      </w:r>
      <w:r>
        <w:rPr>
          <w:rFonts w:cs="Traditional Arabic" w:hint="cs"/>
          <w:sz w:val="28"/>
          <w:szCs w:val="32"/>
          <w:rtl/>
        </w:rPr>
        <w:t xml:space="preserve"> )</w:t>
      </w:r>
      <w:r w:rsidRPr="00EC737F">
        <w:rPr>
          <w:rFonts w:cs="Traditional Arabic" w:hint="cs"/>
          <w:sz w:val="28"/>
          <w:szCs w:val="32"/>
          <w:rtl/>
        </w:rPr>
        <w:t xml:space="preserve"> فرض ما إذا كان المدين وهو يدفع دينه يجهل وجود حق له يمكن أن يقاص به الدين</w:t>
      </w:r>
      <w:r>
        <w:rPr>
          <w:rFonts w:cs="Traditional Arabic" w:hint="cs"/>
          <w:sz w:val="28"/>
          <w:szCs w:val="32"/>
          <w:rtl/>
        </w:rPr>
        <w:t xml:space="preserve"> ،</w:t>
      </w:r>
      <w:r w:rsidRPr="00EC737F">
        <w:rPr>
          <w:rFonts w:cs="Traditional Arabic" w:hint="cs"/>
          <w:sz w:val="28"/>
          <w:szCs w:val="32"/>
          <w:rtl/>
        </w:rPr>
        <w:t xml:space="preserve"> فهنا لا يمكن القول بأن المدين وهو يجهل وجود قه قد نزل عن التمسك بالمقاصة في هذا الحق</w:t>
      </w:r>
      <w:r>
        <w:rPr>
          <w:rFonts w:cs="Traditional Arabic" w:hint="cs"/>
          <w:sz w:val="28"/>
          <w:szCs w:val="32"/>
          <w:rtl/>
        </w:rPr>
        <w:t xml:space="preserve"> .</w:t>
      </w:r>
      <w:r w:rsidRPr="00EC737F">
        <w:rPr>
          <w:rFonts w:cs="Traditional Arabic" w:hint="cs"/>
          <w:sz w:val="28"/>
          <w:szCs w:val="32"/>
          <w:rtl/>
        </w:rPr>
        <w:t xml:space="preserve"> وكان مقتضى تطبيق القواعد العامة أن يقال إن المقاصة قد وقعت بحكم القانون</w:t>
      </w:r>
      <w:r>
        <w:rPr>
          <w:rFonts w:cs="Traditional Arabic" w:hint="cs"/>
          <w:sz w:val="28"/>
          <w:szCs w:val="32"/>
          <w:rtl/>
        </w:rPr>
        <w:t xml:space="preserve"> ،</w:t>
      </w:r>
      <w:r w:rsidRPr="00EC737F">
        <w:rPr>
          <w:rFonts w:cs="Traditional Arabic" w:hint="cs"/>
          <w:sz w:val="28"/>
          <w:szCs w:val="32"/>
          <w:rtl/>
        </w:rPr>
        <w:t xml:space="preserve"> فانقضى بها دين المدين</w:t>
      </w:r>
      <w:r>
        <w:rPr>
          <w:rFonts w:cs="Traditional Arabic" w:hint="cs"/>
          <w:sz w:val="28"/>
          <w:szCs w:val="32"/>
          <w:rtl/>
        </w:rPr>
        <w:t xml:space="preserve"> .</w:t>
      </w:r>
      <w:r w:rsidRPr="00EC737F">
        <w:rPr>
          <w:rFonts w:cs="Traditional Arabic" w:hint="cs"/>
          <w:sz w:val="28"/>
          <w:szCs w:val="32"/>
          <w:rtl/>
        </w:rPr>
        <w:t xml:space="preserve"> فإذا فدعه بعد ذلك يكون قد دفع ديناً انقضى</w:t>
      </w:r>
      <w:r>
        <w:rPr>
          <w:rFonts w:cs="Traditional Arabic" w:hint="cs"/>
          <w:sz w:val="28"/>
          <w:szCs w:val="32"/>
          <w:rtl/>
        </w:rPr>
        <w:t xml:space="preserve"> ،</w:t>
      </w:r>
      <w:r w:rsidRPr="00EC737F">
        <w:rPr>
          <w:rFonts w:cs="Traditional Arabic" w:hint="cs"/>
          <w:sz w:val="28"/>
          <w:szCs w:val="32"/>
          <w:rtl/>
        </w:rPr>
        <w:t xml:space="preserve"> فيسترد ما دفع وفاقً لقواعد استرداد غير المستحق</w:t>
      </w:r>
      <w:r>
        <w:rPr>
          <w:rFonts w:cs="Traditional Arabic" w:hint="cs"/>
          <w:sz w:val="28"/>
          <w:szCs w:val="32"/>
          <w:rtl/>
        </w:rPr>
        <w:t xml:space="preserve"> .</w:t>
      </w:r>
      <w:r w:rsidRPr="00EC737F">
        <w:rPr>
          <w:rFonts w:cs="Traditional Arabic" w:hint="cs"/>
          <w:sz w:val="28"/>
          <w:szCs w:val="32"/>
          <w:rtl/>
        </w:rPr>
        <w:t xml:space="preserve"> ولا يرجع بحقه ولا بما يكفل هذا الحق من تأمينات</w:t>
      </w:r>
      <w:r>
        <w:rPr>
          <w:rFonts w:cs="Traditional Arabic" w:hint="cs"/>
          <w:sz w:val="28"/>
          <w:szCs w:val="32"/>
          <w:rtl/>
        </w:rPr>
        <w:t xml:space="preserve"> ،</w:t>
      </w:r>
      <w:r w:rsidRPr="00EC737F">
        <w:rPr>
          <w:rFonts w:cs="Traditional Arabic" w:hint="cs"/>
          <w:sz w:val="28"/>
          <w:szCs w:val="32"/>
          <w:rtl/>
        </w:rPr>
        <w:t xml:space="preserve"> لأن هذا الحق قد انقضى أيضاً بالمقاصة وانقضت معه تأميناته</w:t>
      </w:r>
      <w:r>
        <w:rPr>
          <w:rFonts w:cs="Traditional Arabic" w:hint="cs"/>
          <w:sz w:val="28"/>
          <w:szCs w:val="32"/>
          <w:rtl/>
        </w:rPr>
        <w:t xml:space="preserve"> .</w:t>
      </w:r>
      <w:r w:rsidRPr="00EC737F">
        <w:rPr>
          <w:rFonts w:cs="Traditional Arabic" w:hint="cs"/>
          <w:sz w:val="28"/>
          <w:szCs w:val="32"/>
          <w:rtl/>
        </w:rPr>
        <w:t xml:space="preserve"> ولكن القانون جعل من جهل المدين بوجود حقه المكفول بتأمينات عذراً مقبولا</w:t>
      </w:r>
      <w:r>
        <w:rPr>
          <w:rFonts w:cs="Traditional Arabic" w:hint="cs"/>
          <w:sz w:val="28"/>
          <w:szCs w:val="32"/>
          <w:rtl/>
        </w:rPr>
        <w:t xml:space="preserve"> ،</w:t>
      </w:r>
      <w:r w:rsidRPr="00EC737F">
        <w:rPr>
          <w:rFonts w:cs="Traditional Arabic" w:hint="cs"/>
          <w:sz w:val="28"/>
          <w:szCs w:val="32"/>
          <w:rtl/>
        </w:rPr>
        <w:t xml:space="preserve"> فاعتد بالوفاء الصادر منه على أنه وفاء لدين قام في ذمته لا على أنه وفاء لدين انقضى بالقاصة</w:t>
      </w:r>
      <w:r>
        <w:rPr>
          <w:rFonts w:cs="Traditional Arabic" w:hint="cs"/>
          <w:sz w:val="28"/>
          <w:szCs w:val="32"/>
          <w:rtl/>
        </w:rPr>
        <w:t xml:space="preserve"> .</w:t>
      </w:r>
      <w:r w:rsidRPr="00EC737F">
        <w:rPr>
          <w:rFonts w:cs="Traditional Arabic" w:hint="cs"/>
          <w:sz w:val="28"/>
          <w:szCs w:val="32"/>
          <w:rtl/>
        </w:rPr>
        <w:t xml:space="preserve"> وما دامت المقاصة لم تقع</w:t>
      </w:r>
      <w:r>
        <w:rPr>
          <w:rFonts w:cs="Traditional Arabic" w:hint="cs"/>
          <w:sz w:val="28"/>
          <w:szCs w:val="32"/>
          <w:rtl/>
        </w:rPr>
        <w:t xml:space="preserve"> ،</w:t>
      </w:r>
      <w:r w:rsidRPr="00EC737F">
        <w:rPr>
          <w:rFonts w:cs="Traditional Arabic" w:hint="cs"/>
          <w:sz w:val="28"/>
          <w:szCs w:val="32"/>
          <w:rtl/>
        </w:rPr>
        <w:t xml:space="preserve"> فإن حق المدين في ذمة الدائن يبقى بما له من تأمينات</w:t>
      </w:r>
      <w:r>
        <w:rPr>
          <w:rFonts w:cs="Traditional Arabic" w:hint="cs"/>
          <w:sz w:val="28"/>
          <w:szCs w:val="32"/>
          <w:rtl/>
        </w:rPr>
        <w:t xml:space="preserve"> ،</w:t>
      </w:r>
      <w:r w:rsidRPr="00EC737F">
        <w:rPr>
          <w:rFonts w:cs="Traditional Arabic" w:hint="cs"/>
          <w:sz w:val="28"/>
          <w:szCs w:val="32"/>
          <w:rtl/>
        </w:rPr>
        <w:t xml:space="preserve"> ولو كانت هذه التأمينات كفالة شخصية فأضر بقاؤها بالكفيل</w:t>
      </w:r>
      <w:r>
        <w:rPr>
          <w:rFonts w:cs="Traditional Arabic" w:hint="cs"/>
          <w:sz w:val="28"/>
          <w:szCs w:val="32"/>
          <w:rtl/>
        </w:rPr>
        <w:t xml:space="preserve"> ،</w:t>
      </w:r>
      <w:r w:rsidRPr="00EC737F">
        <w:rPr>
          <w:rFonts w:cs="Traditional Arabic" w:hint="cs"/>
          <w:sz w:val="28"/>
          <w:szCs w:val="32"/>
          <w:rtl/>
        </w:rPr>
        <w:t xml:space="preserve"> وذلك كله رعاية لحسن نية المدين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ثانياً</w:t>
      </w:r>
      <w:r>
        <w:rPr>
          <w:rFonts w:cs="Traditional Arabic" w:hint="cs"/>
          <w:sz w:val="28"/>
          <w:szCs w:val="32"/>
          <w:rtl/>
        </w:rPr>
        <w:t xml:space="preserve"> )</w:t>
      </w:r>
      <w:r w:rsidRPr="00EC737F">
        <w:rPr>
          <w:rFonts w:cs="Traditional Arabic" w:hint="cs"/>
          <w:sz w:val="28"/>
          <w:szCs w:val="32"/>
          <w:rtl/>
        </w:rPr>
        <w:t xml:space="preserve"> فرض ما إذا كان المدين وهو يدفع دينه يعلم وجود حق له يمكن أن يقاص به الدين</w:t>
      </w:r>
      <w:r>
        <w:rPr>
          <w:rFonts w:cs="Traditional Arabic" w:hint="cs"/>
          <w:sz w:val="28"/>
          <w:szCs w:val="32"/>
          <w:rtl/>
        </w:rPr>
        <w:t xml:space="preserve"> ،</w:t>
      </w:r>
      <w:r w:rsidRPr="00EC737F">
        <w:rPr>
          <w:rFonts w:cs="Traditional Arabic" w:hint="cs"/>
          <w:sz w:val="28"/>
          <w:szCs w:val="32"/>
          <w:rtl/>
        </w:rPr>
        <w:t xml:space="preserve"> فلم يتمسك مع ذلك بالمقاصة ودفع الدين</w:t>
      </w:r>
      <w:r>
        <w:rPr>
          <w:rFonts w:cs="Traditional Arabic" w:hint="cs"/>
          <w:sz w:val="28"/>
          <w:szCs w:val="32"/>
          <w:rtl/>
        </w:rPr>
        <w:t xml:space="preserve"> .</w:t>
      </w:r>
      <w:r w:rsidRPr="00EC737F">
        <w:rPr>
          <w:rFonts w:cs="Traditional Arabic" w:hint="cs"/>
          <w:sz w:val="28"/>
          <w:szCs w:val="32"/>
          <w:rtl/>
        </w:rPr>
        <w:t xml:space="preserve"> $225 وهنا يجب تأويل عدم تمسك المدين بالمقاصة مع علمه بجواز التمسك بها أن هذا نزول ضمني منه عن التمسك بالمقاصة بعد ثبوتها</w:t>
      </w:r>
      <w:r>
        <w:rPr>
          <w:rFonts w:cs="Traditional Arabic" w:hint="cs"/>
          <w:sz w:val="28"/>
          <w:szCs w:val="32"/>
          <w:rtl/>
        </w:rPr>
        <w:t xml:space="preserve"> .</w:t>
      </w:r>
      <w:r w:rsidRPr="00EC737F">
        <w:rPr>
          <w:rFonts w:cs="Traditional Arabic" w:hint="cs"/>
          <w:sz w:val="28"/>
          <w:szCs w:val="32"/>
          <w:rtl/>
        </w:rPr>
        <w:t xml:space="preserve"> ومن ثم ينقضي الدين الذي كان في ذمة المدين بالوفاء</w:t>
      </w:r>
      <w:r>
        <w:rPr>
          <w:rFonts w:cs="Traditional Arabic" w:hint="cs"/>
          <w:sz w:val="28"/>
          <w:szCs w:val="32"/>
          <w:rtl/>
        </w:rPr>
        <w:t xml:space="preserve"> ،</w:t>
      </w:r>
      <w:r w:rsidRPr="00EC737F">
        <w:rPr>
          <w:rFonts w:cs="Traditional Arabic" w:hint="cs"/>
          <w:sz w:val="28"/>
          <w:szCs w:val="32"/>
          <w:rtl/>
        </w:rPr>
        <w:t xml:space="preserve"> ويعود للمدين حقه الذي كان قد انقضى بالمقاصة بعد أن نزل عنها</w:t>
      </w:r>
      <w:r>
        <w:rPr>
          <w:rFonts w:cs="Traditional Arabic" w:hint="cs"/>
          <w:sz w:val="28"/>
          <w:szCs w:val="32"/>
          <w:rtl/>
        </w:rPr>
        <w:t xml:space="preserve"> .</w:t>
      </w:r>
      <w:r w:rsidRPr="00EC737F">
        <w:rPr>
          <w:rFonts w:cs="Traditional Arabic" w:hint="cs"/>
          <w:sz w:val="28"/>
          <w:szCs w:val="32"/>
          <w:rtl/>
        </w:rPr>
        <w:t xml:space="preserve"> ولكن لا يعود من التأمينات التي كانت تكفل هذا الحق ما تضر عودته بالغير</w:t>
      </w:r>
      <w:r>
        <w:rPr>
          <w:rFonts w:cs="Traditional Arabic" w:hint="cs"/>
          <w:sz w:val="28"/>
          <w:szCs w:val="32"/>
          <w:rtl/>
        </w:rPr>
        <w:t xml:space="preserve"> ،</w:t>
      </w:r>
      <w:r w:rsidRPr="00EC737F">
        <w:rPr>
          <w:rFonts w:cs="Traditional Arabic" w:hint="cs"/>
          <w:sz w:val="28"/>
          <w:szCs w:val="32"/>
          <w:rtl/>
        </w:rPr>
        <w:t xml:space="preserve"> فلا </w:t>
      </w:r>
      <w:r w:rsidRPr="00EC737F">
        <w:rPr>
          <w:rFonts w:cs="Traditional Arabic" w:hint="cs"/>
          <w:sz w:val="28"/>
          <w:szCs w:val="32"/>
          <w:rtl/>
        </w:rPr>
        <w:lastRenderedPageBreak/>
        <w:t>تعود الكفالة بعد أن انقضت</w:t>
      </w:r>
      <w:r>
        <w:rPr>
          <w:rFonts w:cs="Traditional Arabic" w:hint="cs"/>
          <w:sz w:val="28"/>
          <w:szCs w:val="32"/>
          <w:vertAlign w:val="superscript"/>
          <w:rtl/>
        </w:rPr>
        <w:t xml:space="preserve">( </w:t>
      </w:r>
      <w:r w:rsidRPr="00EC737F">
        <w:rPr>
          <w:rStyle w:val="ab"/>
          <w:rFonts w:cs="Traditional Arabic"/>
          <w:sz w:val="28"/>
          <w:szCs w:val="32"/>
          <w:rtl/>
        </w:rPr>
        <w:footnoteReference w:id="49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89- انقضاء الدين المكفول باتحاد الذمة</w:t>
      </w:r>
      <w:r>
        <w:rPr>
          <w:rFonts w:cs="Traditional Arabic" w:hint="cs"/>
          <w:sz w:val="28"/>
          <w:szCs w:val="32"/>
          <w:rtl/>
        </w:rPr>
        <w:t xml:space="preserve"> :</w:t>
      </w:r>
      <w:r w:rsidRPr="00EC737F">
        <w:rPr>
          <w:rFonts w:cs="Traditional Arabic" w:hint="cs"/>
          <w:sz w:val="28"/>
          <w:szCs w:val="32"/>
          <w:rtl/>
        </w:rPr>
        <w:t xml:space="preserve"> وإذا انقضى الدين المكفول باتحاد الذمة</w:t>
      </w:r>
      <w:r>
        <w:rPr>
          <w:rFonts w:cs="Traditional Arabic" w:hint="cs"/>
          <w:sz w:val="28"/>
          <w:szCs w:val="32"/>
          <w:rtl/>
        </w:rPr>
        <w:t xml:space="preserve"> ،</w:t>
      </w:r>
      <w:r w:rsidRPr="00EC737F">
        <w:rPr>
          <w:rFonts w:cs="Traditional Arabic" w:hint="cs"/>
          <w:sz w:val="28"/>
          <w:szCs w:val="32"/>
          <w:rtl/>
        </w:rPr>
        <w:t xml:space="preserve"> بأن ورث المدين الدائن فورث حقه وأصبح هو الدائن لنفسه فانقضى الدين باتحاد الذمة</w:t>
      </w:r>
      <w:r>
        <w:rPr>
          <w:rFonts w:cs="Traditional Arabic" w:hint="cs"/>
          <w:sz w:val="28"/>
          <w:szCs w:val="32"/>
          <w:rtl/>
        </w:rPr>
        <w:t xml:space="preserve"> ،</w:t>
      </w:r>
      <w:r w:rsidRPr="00EC737F">
        <w:rPr>
          <w:rFonts w:cs="Traditional Arabic" w:hint="cs"/>
          <w:sz w:val="28"/>
          <w:szCs w:val="32"/>
          <w:rtl/>
        </w:rPr>
        <w:t xml:space="preserve"> انقضت الكفالة التي كانت تضمن الدين تبعاً لذلك</w:t>
      </w:r>
      <w:r>
        <w:rPr>
          <w:rFonts w:cs="Traditional Arabic" w:hint="cs"/>
          <w:sz w:val="28"/>
          <w:szCs w:val="32"/>
          <w:rtl/>
        </w:rPr>
        <w:t xml:space="preserve"> ،</w:t>
      </w:r>
      <w:r w:rsidRPr="00EC737F">
        <w:rPr>
          <w:rFonts w:cs="Traditional Arabic" w:hint="cs"/>
          <w:sz w:val="28"/>
          <w:szCs w:val="32"/>
          <w:rtl/>
        </w:rPr>
        <w:t xml:space="preserve"> وبرئت ذمة الكفيل</w:t>
      </w:r>
      <w:r>
        <w:rPr>
          <w:rFonts w:cs="Traditional Arabic" w:hint="cs"/>
          <w:sz w:val="28"/>
          <w:szCs w:val="32"/>
          <w:vertAlign w:val="superscript"/>
          <w:rtl/>
        </w:rPr>
        <w:t xml:space="preserve">( </w:t>
      </w:r>
      <w:r w:rsidRPr="00EC737F">
        <w:rPr>
          <w:rStyle w:val="ab"/>
          <w:rFonts w:cs="Traditional Arabic"/>
          <w:sz w:val="28"/>
          <w:szCs w:val="32"/>
          <w:rtl/>
        </w:rPr>
        <w:footnoteReference w:id="49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إذا زال اتحاد الذمة بأثر رجعي</w:t>
      </w:r>
      <w:r>
        <w:rPr>
          <w:rFonts w:cs="Traditional Arabic" w:hint="cs"/>
          <w:sz w:val="28"/>
          <w:szCs w:val="32"/>
          <w:rtl/>
        </w:rPr>
        <w:t xml:space="preserve"> ،</w:t>
      </w:r>
      <w:r w:rsidRPr="00EC737F">
        <w:rPr>
          <w:rFonts w:cs="Traditional Arabic" w:hint="cs"/>
          <w:sz w:val="28"/>
          <w:szCs w:val="32"/>
          <w:rtl/>
        </w:rPr>
        <w:t xml:space="preserve"> اعتبر كأنه لم يكن</w:t>
      </w:r>
      <w:r>
        <w:rPr>
          <w:rFonts w:cs="Traditional Arabic" w:hint="cs"/>
          <w:sz w:val="28"/>
          <w:szCs w:val="32"/>
          <w:rtl/>
        </w:rPr>
        <w:t xml:space="preserve"> ،</w:t>
      </w:r>
      <w:r w:rsidRPr="00EC737F">
        <w:rPr>
          <w:rFonts w:cs="Traditional Arabic" w:hint="cs"/>
          <w:sz w:val="28"/>
          <w:szCs w:val="32"/>
          <w:rtl/>
        </w:rPr>
        <w:t xml:space="preserve"> وعادت الكفالة إلى الوجود لأنها لم تكن قد انقضت باتحاد الذمة الذي زال بأثر رجعي</w:t>
      </w:r>
      <w:r>
        <w:rPr>
          <w:rFonts w:cs="Traditional Arabic" w:hint="cs"/>
          <w:sz w:val="28"/>
          <w:szCs w:val="32"/>
          <w:rtl/>
        </w:rPr>
        <w:t xml:space="preserve"> .</w:t>
      </w:r>
      <w:r w:rsidRPr="00EC737F">
        <w:rPr>
          <w:rFonts w:cs="Traditional Arabic" w:hint="cs"/>
          <w:sz w:val="28"/>
          <w:szCs w:val="32"/>
          <w:rtl/>
        </w:rPr>
        <w:t xml:space="preserve"> وقد نصت المادة 370/2 مدني في هذا المعنى على ما يأتي</w:t>
      </w:r>
      <w:r>
        <w:rPr>
          <w:rFonts w:cs="Traditional Arabic" w:hint="cs"/>
          <w:sz w:val="28"/>
          <w:szCs w:val="32"/>
          <w:rtl/>
        </w:rPr>
        <w:t xml:space="preserve"> :</w:t>
      </w:r>
      <w:r w:rsidRPr="00EC737F">
        <w:rPr>
          <w:rFonts w:cs="Traditional Arabic" w:hint="cs"/>
          <w:sz w:val="28"/>
          <w:szCs w:val="32"/>
          <w:rtl/>
        </w:rPr>
        <w:t xml:space="preserve"> "وإذا زال السبب الذي أدى لاتحاد الذمة</w:t>
      </w:r>
      <w:r>
        <w:rPr>
          <w:rFonts w:cs="Traditional Arabic" w:hint="cs"/>
          <w:sz w:val="28"/>
          <w:szCs w:val="32"/>
          <w:rtl/>
        </w:rPr>
        <w:t xml:space="preserve"> ،</w:t>
      </w:r>
      <w:r w:rsidRPr="00EC737F">
        <w:rPr>
          <w:rFonts w:cs="Traditional Arabic" w:hint="cs"/>
          <w:sz w:val="28"/>
          <w:szCs w:val="32"/>
          <w:rtl/>
        </w:rPr>
        <w:t xml:space="preserve"> وكان لزواله أثر رجعي</w:t>
      </w:r>
      <w:r>
        <w:rPr>
          <w:rFonts w:cs="Traditional Arabic" w:hint="cs"/>
          <w:sz w:val="28"/>
          <w:szCs w:val="32"/>
          <w:rtl/>
        </w:rPr>
        <w:t xml:space="preserve"> ،</w:t>
      </w:r>
      <w:r w:rsidRPr="00EC737F">
        <w:rPr>
          <w:rFonts w:cs="Traditional Arabic" w:hint="cs"/>
          <w:sz w:val="28"/>
          <w:szCs w:val="32"/>
          <w:rtl/>
        </w:rPr>
        <w:t xml:space="preserve"> عاد الدين إلى الوجود هو وملحقاته بالنسبة إلى ذوي الشأن جميعاً</w:t>
      </w:r>
      <w:r>
        <w:rPr>
          <w:rFonts w:cs="Traditional Arabic" w:hint="cs"/>
          <w:sz w:val="28"/>
          <w:szCs w:val="32"/>
          <w:rtl/>
        </w:rPr>
        <w:t xml:space="preserve"> ،</w:t>
      </w:r>
      <w:r w:rsidRPr="00EC737F">
        <w:rPr>
          <w:rFonts w:cs="Traditional Arabic" w:hint="cs"/>
          <w:sz w:val="28"/>
          <w:szCs w:val="32"/>
          <w:rtl/>
        </w:rPr>
        <w:t xml:space="preserve"> ويعتبر اتحاد الذمة كأن لم يكن"</w:t>
      </w:r>
      <w:r>
        <w:rPr>
          <w:rFonts w:cs="Traditional Arabic" w:hint="cs"/>
          <w:sz w:val="28"/>
          <w:szCs w:val="32"/>
          <w:vertAlign w:val="superscript"/>
          <w:rtl/>
        </w:rPr>
        <w:t xml:space="preserve">( </w:t>
      </w:r>
      <w:r w:rsidRPr="00EC737F">
        <w:rPr>
          <w:rStyle w:val="ab"/>
          <w:rFonts w:cs="Traditional Arabic"/>
          <w:sz w:val="28"/>
          <w:szCs w:val="32"/>
          <w:rtl/>
        </w:rPr>
        <w:footnoteReference w:id="49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مات الدائن ورثه الكفيل</w:t>
      </w:r>
      <w:r>
        <w:rPr>
          <w:rFonts w:cs="Traditional Arabic" w:hint="cs"/>
          <w:sz w:val="28"/>
          <w:szCs w:val="32"/>
          <w:rtl/>
        </w:rPr>
        <w:t xml:space="preserve"> ،</w:t>
      </w:r>
      <w:r w:rsidRPr="00EC737F">
        <w:rPr>
          <w:rFonts w:cs="Traditional Arabic" w:hint="cs"/>
          <w:sz w:val="28"/>
          <w:szCs w:val="32"/>
          <w:rtl/>
        </w:rPr>
        <w:t xml:space="preserve"> فاتحاد الذمة ما بين الدائن والكفيل إذا كان يقضي التزام الكفيل</w:t>
      </w:r>
      <w:r>
        <w:rPr>
          <w:rFonts w:cs="Traditional Arabic" w:hint="cs"/>
          <w:sz w:val="28"/>
          <w:szCs w:val="32"/>
          <w:rtl/>
        </w:rPr>
        <w:t xml:space="preserve"> ،</w:t>
      </w:r>
      <w:r w:rsidRPr="00EC737F">
        <w:rPr>
          <w:rFonts w:cs="Traditional Arabic" w:hint="cs"/>
          <w:sz w:val="28"/>
          <w:szCs w:val="32"/>
          <w:rtl/>
        </w:rPr>
        <w:t xml:space="preserve"> فليس ينقضي على النحو الذي ينقضي به لو أن الكفيل وفي الدين حقه</w:t>
      </w:r>
      <w:r>
        <w:rPr>
          <w:rFonts w:cs="Traditional Arabic" w:hint="cs"/>
          <w:sz w:val="28"/>
          <w:szCs w:val="32"/>
          <w:rtl/>
        </w:rPr>
        <w:t xml:space="preserve"> .</w:t>
      </w:r>
      <w:r w:rsidRPr="00EC737F">
        <w:rPr>
          <w:rFonts w:cs="Traditional Arabic" w:hint="cs"/>
          <w:sz w:val="28"/>
          <w:szCs w:val="32"/>
          <w:rtl/>
        </w:rPr>
        <w:t xml:space="preserve"> فإن الكفيل إذا وفى الدين للدائن</w:t>
      </w:r>
      <w:r>
        <w:rPr>
          <w:rFonts w:cs="Traditional Arabic" w:hint="cs"/>
          <w:sz w:val="28"/>
          <w:szCs w:val="32"/>
          <w:rtl/>
        </w:rPr>
        <w:t xml:space="preserve"> ،</w:t>
      </w:r>
      <w:r w:rsidRPr="00EC737F">
        <w:rPr>
          <w:rFonts w:cs="Traditional Arabic" w:hint="cs"/>
          <w:sz w:val="28"/>
          <w:szCs w:val="32"/>
          <w:rtl/>
        </w:rPr>
        <w:t xml:space="preserve"> انقضى $226 الدين وبرئت ذمة المدين فانقضت الكفالة بصفة تبعية</w:t>
      </w:r>
      <w:r>
        <w:rPr>
          <w:rFonts w:cs="Traditional Arabic" w:hint="cs"/>
          <w:sz w:val="28"/>
          <w:szCs w:val="32"/>
          <w:rtl/>
        </w:rPr>
        <w:t xml:space="preserve"> ،</w:t>
      </w:r>
      <w:r w:rsidRPr="00EC737F">
        <w:rPr>
          <w:rFonts w:cs="Traditional Arabic" w:hint="cs"/>
          <w:sz w:val="28"/>
          <w:szCs w:val="32"/>
          <w:rtl/>
        </w:rPr>
        <w:t xml:space="preserve"> ورجع الكفيل على المدين بالدعوى الشخصية أو بدعوى الحلول</w:t>
      </w:r>
      <w:r>
        <w:rPr>
          <w:rFonts w:cs="Traditional Arabic" w:hint="cs"/>
          <w:sz w:val="28"/>
          <w:szCs w:val="32"/>
          <w:rtl/>
        </w:rPr>
        <w:t xml:space="preserve"> .</w:t>
      </w:r>
      <w:r w:rsidRPr="00EC737F">
        <w:rPr>
          <w:rFonts w:cs="Traditional Arabic" w:hint="cs"/>
          <w:sz w:val="28"/>
          <w:szCs w:val="32"/>
          <w:rtl/>
        </w:rPr>
        <w:t xml:space="preserve"> أما إذا ورث الكفيل الدائن</w:t>
      </w:r>
      <w:r>
        <w:rPr>
          <w:rFonts w:cs="Traditional Arabic" w:hint="cs"/>
          <w:sz w:val="28"/>
          <w:szCs w:val="32"/>
          <w:rtl/>
        </w:rPr>
        <w:t xml:space="preserve"> ،</w:t>
      </w:r>
      <w:r w:rsidRPr="00EC737F">
        <w:rPr>
          <w:rFonts w:cs="Traditional Arabic" w:hint="cs"/>
          <w:sz w:val="28"/>
          <w:szCs w:val="32"/>
          <w:rtl/>
        </w:rPr>
        <w:t xml:space="preserve"> فاتحدت الذمة وانقضت الكفالة بصفة أصلية</w:t>
      </w:r>
      <w:r>
        <w:rPr>
          <w:rFonts w:cs="Traditional Arabic" w:hint="cs"/>
          <w:sz w:val="28"/>
          <w:szCs w:val="32"/>
          <w:rtl/>
        </w:rPr>
        <w:t xml:space="preserve"> ،</w:t>
      </w:r>
      <w:r w:rsidRPr="00EC737F">
        <w:rPr>
          <w:rFonts w:cs="Traditional Arabic" w:hint="cs"/>
          <w:sz w:val="28"/>
          <w:szCs w:val="32"/>
          <w:rtl/>
        </w:rPr>
        <w:t xml:space="preserve"> لم ينقض الدين الأصلي</w:t>
      </w:r>
      <w:r>
        <w:rPr>
          <w:rFonts w:cs="Traditional Arabic" w:hint="cs"/>
          <w:sz w:val="28"/>
          <w:szCs w:val="32"/>
          <w:rtl/>
        </w:rPr>
        <w:t xml:space="preserve"> ،</w:t>
      </w:r>
      <w:r w:rsidRPr="00EC737F">
        <w:rPr>
          <w:rFonts w:cs="Traditional Arabic" w:hint="cs"/>
          <w:sz w:val="28"/>
          <w:szCs w:val="32"/>
          <w:rtl/>
        </w:rPr>
        <w:t xml:space="preserve"> وطالب الكفيل الذي أصبح دائناً المدين بهذا الدين ذاته</w:t>
      </w:r>
      <w:r>
        <w:rPr>
          <w:rFonts w:cs="Traditional Arabic" w:hint="cs"/>
          <w:sz w:val="28"/>
          <w:szCs w:val="32"/>
          <w:vertAlign w:val="superscript"/>
          <w:rtl/>
        </w:rPr>
        <w:t xml:space="preserve">( </w:t>
      </w:r>
      <w:r w:rsidRPr="00EC737F">
        <w:rPr>
          <w:rStyle w:val="ab"/>
          <w:rFonts w:cs="Traditional Arabic"/>
          <w:sz w:val="28"/>
          <w:szCs w:val="32"/>
          <w:rtl/>
        </w:rPr>
        <w:footnoteReference w:id="50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وإذا مات المدين وورثه الكفيل</w:t>
      </w:r>
      <w:r>
        <w:rPr>
          <w:rFonts w:cs="Traditional Arabic" w:hint="cs"/>
          <w:sz w:val="28"/>
          <w:szCs w:val="32"/>
          <w:rtl/>
        </w:rPr>
        <w:t xml:space="preserve"> ،</w:t>
      </w:r>
      <w:r w:rsidRPr="00EC737F">
        <w:rPr>
          <w:rFonts w:cs="Traditional Arabic" w:hint="cs"/>
          <w:sz w:val="28"/>
          <w:szCs w:val="32"/>
          <w:rtl/>
        </w:rPr>
        <w:t xml:space="preserve"> فاتحدت الذمة </w:t>
      </w:r>
      <w:r>
        <w:rPr>
          <w:rFonts w:cs="Traditional Arabic" w:hint="cs"/>
          <w:sz w:val="28"/>
          <w:szCs w:val="32"/>
          <w:rtl/>
        </w:rPr>
        <w:t xml:space="preserve">( </w:t>
      </w:r>
      <w:r w:rsidRPr="00EC737F">
        <w:rPr>
          <w:rFonts w:cs="Traditional Arabic" w:hint="cs"/>
          <w:sz w:val="28"/>
          <w:szCs w:val="32"/>
          <w:rtl/>
        </w:rPr>
        <w:t>في القانون الفرنسي</w:t>
      </w:r>
      <w:r>
        <w:rPr>
          <w:rFonts w:cs="Traditional Arabic" w:hint="cs"/>
          <w:sz w:val="28"/>
          <w:szCs w:val="32"/>
          <w:rtl/>
        </w:rPr>
        <w:t xml:space="preserve"> )</w:t>
      </w:r>
      <w:r w:rsidRPr="00EC737F">
        <w:rPr>
          <w:rFonts w:cs="Traditional Arabic" w:hint="cs"/>
          <w:sz w:val="28"/>
          <w:szCs w:val="32"/>
          <w:rtl/>
        </w:rPr>
        <w:t xml:space="preserve"> وانقضت الكفالة</w:t>
      </w:r>
      <w:r>
        <w:rPr>
          <w:rFonts w:cs="Traditional Arabic" w:hint="cs"/>
          <w:sz w:val="28"/>
          <w:szCs w:val="32"/>
          <w:rtl/>
        </w:rPr>
        <w:t xml:space="preserve"> ،</w:t>
      </w:r>
      <w:r w:rsidRPr="00EC737F">
        <w:rPr>
          <w:rFonts w:cs="Traditional Arabic" w:hint="cs"/>
          <w:sz w:val="28"/>
          <w:szCs w:val="32"/>
          <w:rtl/>
        </w:rPr>
        <w:t xml:space="preserve"> فإن انقضاء التزام الكفيل على هذا النحو لا يكون إلا من حيث المطالبة</w:t>
      </w:r>
      <w:r>
        <w:rPr>
          <w:rFonts w:cs="Traditional Arabic" w:hint="cs"/>
          <w:sz w:val="28"/>
          <w:szCs w:val="32"/>
          <w:rtl/>
        </w:rPr>
        <w:t xml:space="preserve"> .</w:t>
      </w:r>
      <w:r w:rsidRPr="00EC737F">
        <w:rPr>
          <w:rFonts w:cs="Traditional Arabic" w:hint="cs"/>
          <w:sz w:val="28"/>
          <w:szCs w:val="32"/>
          <w:rtl/>
        </w:rPr>
        <w:t xml:space="preserve"> فإذا أدى الكفيل الدين للدائن</w:t>
      </w:r>
      <w:r>
        <w:rPr>
          <w:rFonts w:cs="Traditional Arabic" w:hint="cs"/>
          <w:sz w:val="28"/>
          <w:szCs w:val="32"/>
          <w:rtl/>
        </w:rPr>
        <w:t xml:space="preserve"> ،</w:t>
      </w:r>
      <w:r w:rsidRPr="00EC737F">
        <w:rPr>
          <w:rFonts w:cs="Traditional Arabic" w:hint="cs"/>
          <w:sz w:val="28"/>
          <w:szCs w:val="32"/>
          <w:rtl/>
        </w:rPr>
        <w:t xml:space="preserve"> أداه باعتباره مديناً أصلياً بعد أن ورث المدين لا باعتباره كفيلا</w:t>
      </w:r>
      <w:r>
        <w:rPr>
          <w:rFonts w:cs="Traditional Arabic" w:hint="cs"/>
          <w:sz w:val="28"/>
          <w:szCs w:val="32"/>
          <w:rtl/>
        </w:rPr>
        <w:t xml:space="preserve"> .</w:t>
      </w:r>
      <w:r w:rsidRPr="00EC737F">
        <w:rPr>
          <w:rFonts w:cs="Traditional Arabic" w:hint="cs"/>
          <w:sz w:val="28"/>
          <w:szCs w:val="32"/>
          <w:rtl/>
        </w:rPr>
        <w:t xml:space="preserve"> أما إذا أتا</w:t>
      </w:r>
      <w:r w:rsidRPr="00EC737F">
        <w:rPr>
          <w:rFonts w:cs="Traditional Arabic" w:hint="eastAsia"/>
          <w:sz w:val="28"/>
          <w:szCs w:val="32"/>
          <w:rtl/>
        </w:rPr>
        <w:t>ه</w:t>
      </w:r>
      <w:r w:rsidRPr="00EC737F">
        <w:rPr>
          <w:rFonts w:cs="Traditional Arabic" w:hint="cs"/>
          <w:sz w:val="28"/>
          <w:szCs w:val="32"/>
          <w:rtl/>
        </w:rPr>
        <w:t xml:space="preserve"> باعتباره كفيلا</w:t>
      </w:r>
      <w:r>
        <w:rPr>
          <w:rFonts w:cs="Traditional Arabic" w:hint="cs"/>
          <w:sz w:val="28"/>
          <w:szCs w:val="32"/>
          <w:rtl/>
        </w:rPr>
        <w:t xml:space="preserve"> ،</w:t>
      </w:r>
      <w:r w:rsidRPr="00EC737F">
        <w:rPr>
          <w:rFonts w:cs="Traditional Arabic" w:hint="cs"/>
          <w:sz w:val="28"/>
          <w:szCs w:val="32"/>
          <w:rtl/>
        </w:rPr>
        <w:t xml:space="preserve"> بعد أن أصبح مديناً أصلياً بالميراث</w:t>
      </w:r>
      <w:r>
        <w:rPr>
          <w:rFonts w:cs="Traditional Arabic" w:hint="cs"/>
          <w:sz w:val="28"/>
          <w:szCs w:val="32"/>
          <w:rtl/>
        </w:rPr>
        <w:t xml:space="preserve"> ،</w:t>
      </w:r>
      <w:r w:rsidRPr="00EC737F">
        <w:rPr>
          <w:rFonts w:cs="Traditional Arabic" w:hint="cs"/>
          <w:sz w:val="28"/>
          <w:szCs w:val="32"/>
          <w:rtl/>
        </w:rPr>
        <w:t xml:space="preserve"> فإنه لا يستطيع باعتباره كفيلا الرجوع على نفسه باعتباره مديناً</w:t>
      </w:r>
      <w:r>
        <w:rPr>
          <w:rFonts w:cs="Traditional Arabic" w:hint="cs"/>
          <w:sz w:val="28"/>
          <w:szCs w:val="32"/>
          <w:rtl/>
        </w:rPr>
        <w:t xml:space="preserve"> .</w:t>
      </w:r>
      <w:r w:rsidRPr="00EC737F">
        <w:rPr>
          <w:rFonts w:cs="Traditional Arabic" w:hint="cs"/>
          <w:sz w:val="28"/>
          <w:szCs w:val="32"/>
          <w:rtl/>
        </w:rPr>
        <w:t xml:space="preserve"> ولكن التزامه ككفيل يبقى مع ذلك معتداً به في غير هذه المطالبة</w:t>
      </w:r>
      <w:r>
        <w:rPr>
          <w:rFonts w:cs="Traditional Arabic" w:hint="cs"/>
          <w:sz w:val="28"/>
          <w:szCs w:val="32"/>
          <w:rtl/>
        </w:rPr>
        <w:t xml:space="preserve"> .</w:t>
      </w:r>
      <w:r w:rsidRPr="00EC737F">
        <w:rPr>
          <w:rFonts w:cs="Traditional Arabic" w:hint="cs"/>
          <w:sz w:val="28"/>
          <w:szCs w:val="32"/>
          <w:rtl/>
        </w:rPr>
        <w:t xml:space="preserve"> ويترتب على ذلك أنه إذا كان لهذا الكفيل كفيل</w:t>
      </w:r>
      <w:r>
        <w:rPr>
          <w:rFonts w:cs="Traditional Arabic" w:hint="cs"/>
          <w:sz w:val="28"/>
          <w:szCs w:val="32"/>
          <w:rtl/>
        </w:rPr>
        <w:t xml:space="preserve"> ،</w:t>
      </w:r>
      <w:r w:rsidRPr="00EC737F">
        <w:rPr>
          <w:rFonts w:cs="Traditional Arabic" w:hint="cs"/>
          <w:sz w:val="28"/>
          <w:szCs w:val="32"/>
          <w:rtl/>
        </w:rPr>
        <w:t xml:space="preserve"> فإن التزام كفيل الكفيل يبقى قائماً مستنداً إلى التزام الكفيل بالرغم من انقضاء هذا الالتزام الأخير باتحاد الذمة</w:t>
      </w:r>
      <w:r>
        <w:rPr>
          <w:rFonts w:cs="Traditional Arabic" w:hint="cs"/>
          <w:sz w:val="28"/>
          <w:szCs w:val="32"/>
          <w:rtl/>
        </w:rPr>
        <w:t xml:space="preserve"> .</w:t>
      </w:r>
      <w:r w:rsidRPr="00EC737F">
        <w:rPr>
          <w:rFonts w:cs="Traditional Arabic" w:hint="cs"/>
          <w:sz w:val="28"/>
          <w:szCs w:val="32"/>
          <w:rtl/>
        </w:rPr>
        <w:t xml:space="preserve"> فيجوز للدائن في هذه الحالة</w:t>
      </w:r>
      <w:r>
        <w:rPr>
          <w:rFonts w:cs="Traditional Arabic" w:hint="cs"/>
          <w:sz w:val="28"/>
          <w:szCs w:val="32"/>
          <w:rtl/>
        </w:rPr>
        <w:t xml:space="preserve"> ،</w:t>
      </w:r>
      <w:r w:rsidRPr="00EC737F">
        <w:rPr>
          <w:rFonts w:cs="Traditional Arabic" w:hint="cs"/>
          <w:sz w:val="28"/>
          <w:szCs w:val="32"/>
          <w:rtl/>
        </w:rPr>
        <w:t xml:space="preserve"> إذا لم يستطع استيفاء حقه من الكفيل الذي أصبح في الوقت ذاته مديناً أصلياً</w:t>
      </w:r>
      <w:r>
        <w:rPr>
          <w:rFonts w:cs="Traditional Arabic" w:hint="cs"/>
          <w:sz w:val="28"/>
          <w:szCs w:val="32"/>
          <w:rtl/>
        </w:rPr>
        <w:t xml:space="preserve"> ،</w:t>
      </w:r>
      <w:r w:rsidRPr="00EC737F">
        <w:rPr>
          <w:rFonts w:cs="Traditional Arabic" w:hint="cs"/>
          <w:sz w:val="28"/>
          <w:szCs w:val="32"/>
          <w:rtl/>
        </w:rPr>
        <w:t xml:space="preserve"> أن يرجع على كفيل الكفيل</w:t>
      </w:r>
      <w:r>
        <w:rPr>
          <w:rFonts w:cs="Traditional Arabic" w:hint="cs"/>
          <w:sz w:val="28"/>
          <w:szCs w:val="32"/>
          <w:vertAlign w:val="superscript"/>
          <w:rtl/>
        </w:rPr>
        <w:t xml:space="preserve">( </w:t>
      </w:r>
      <w:r w:rsidRPr="00EC737F">
        <w:rPr>
          <w:rStyle w:val="ab"/>
          <w:rFonts w:cs="Traditional Arabic"/>
          <w:sz w:val="28"/>
          <w:szCs w:val="32"/>
          <w:rtl/>
        </w:rPr>
        <w:footnoteReference w:id="50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ولهذا الأخير</w:t>
      </w:r>
      <w:r>
        <w:rPr>
          <w:rFonts w:cs="Traditional Arabic" w:hint="cs"/>
          <w:sz w:val="28"/>
          <w:szCs w:val="32"/>
          <w:rtl/>
        </w:rPr>
        <w:t xml:space="preserve"> ،</w:t>
      </w:r>
      <w:r w:rsidRPr="00EC737F">
        <w:rPr>
          <w:rFonts w:cs="Traditional Arabic" w:hint="cs"/>
          <w:sz w:val="28"/>
          <w:szCs w:val="32"/>
          <w:rtl/>
        </w:rPr>
        <w:t xml:space="preserve"> إذا وفى الدين</w:t>
      </w:r>
      <w:r>
        <w:rPr>
          <w:rFonts w:cs="Traditional Arabic" w:hint="cs"/>
          <w:sz w:val="28"/>
          <w:szCs w:val="32"/>
          <w:rtl/>
        </w:rPr>
        <w:t xml:space="preserve"> ،</w:t>
      </w:r>
      <w:r w:rsidRPr="00EC737F">
        <w:rPr>
          <w:rFonts w:cs="Traditional Arabic" w:hint="cs"/>
          <w:sz w:val="28"/>
          <w:szCs w:val="32"/>
          <w:rtl/>
        </w:rPr>
        <w:t xml:space="preserve"> أن يرجع على الكفيل بما وفاه للدائن بالرغم من اتحاد ذمة الكفيل والمدين الأصلي</w:t>
      </w:r>
      <w:r>
        <w:rPr>
          <w:rFonts w:cs="Traditional Arabic" w:hint="cs"/>
          <w:sz w:val="28"/>
          <w:szCs w:val="32"/>
          <w:rtl/>
        </w:rPr>
        <w:t xml:space="preserve"> .</w:t>
      </w:r>
      <w:r w:rsidRPr="00EC737F">
        <w:rPr>
          <w:rFonts w:cs="Traditional Arabic" w:hint="cs"/>
          <w:sz w:val="28"/>
          <w:szCs w:val="32"/>
          <w:rtl/>
        </w:rPr>
        <w:t xml:space="preserve"> وقد نصت المادة 2035 مدني فرنسي على هذا الحكم</w:t>
      </w:r>
      <w:r>
        <w:rPr>
          <w:rFonts w:cs="Traditional Arabic" w:hint="cs"/>
          <w:sz w:val="28"/>
          <w:szCs w:val="32"/>
          <w:rtl/>
        </w:rPr>
        <w:t xml:space="preserve"> ،</w:t>
      </w:r>
      <w:r w:rsidRPr="00EC737F">
        <w:rPr>
          <w:rFonts w:cs="Traditional Arabic" w:hint="cs"/>
          <w:sz w:val="28"/>
          <w:szCs w:val="32"/>
          <w:rtl/>
        </w:rPr>
        <w:t xml:space="preserve"> إذ تقول</w:t>
      </w:r>
      <w:r>
        <w:rPr>
          <w:rFonts w:cs="Traditional Arabic" w:hint="cs"/>
          <w:sz w:val="28"/>
          <w:szCs w:val="32"/>
          <w:rtl/>
        </w:rPr>
        <w:t xml:space="preserve"> :</w:t>
      </w:r>
      <w:r w:rsidRPr="00EC737F">
        <w:rPr>
          <w:rFonts w:cs="Traditional Arabic" w:hint="cs"/>
          <w:sz w:val="28"/>
          <w:szCs w:val="32"/>
          <w:rtl/>
        </w:rPr>
        <w:t xml:space="preserve"> "اتحاد الذمة الذي يتحقق بين شخص المدين الأصلي وكفيله</w:t>
      </w:r>
      <w:r>
        <w:rPr>
          <w:rFonts w:cs="Traditional Arabic" w:hint="cs"/>
          <w:sz w:val="28"/>
          <w:szCs w:val="32"/>
          <w:rtl/>
        </w:rPr>
        <w:t xml:space="preserve"> ،</w:t>
      </w:r>
      <w:r w:rsidRPr="00EC737F">
        <w:rPr>
          <w:rFonts w:cs="Traditional Arabic" w:hint="cs"/>
          <w:sz w:val="28"/>
          <w:szCs w:val="32"/>
          <w:rtl/>
        </w:rPr>
        <w:t xml:space="preserve"> عندما يرث أدهما الآخر</w:t>
      </w:r>
      <w:r>
        <w:rPr>
          <w:rFonts w:cs="Traditional Arabic" w:hint="cs"/>
          <w:sz w:val="28"/>
          <w:szCs w:val="32"/>
          <w:rtl/>
        </w:rPr>
        <w:t xml:space="preserve"> ،</w:t>
      </w:r>
      <w:r w:rsidRPr="00EC737F">
        <w:rPr>
          <w:rFonts w:cs="Traditional Arabic" w:hint="cs"/>
          <w:sz w:val="28"/>
          <w:szCs w:val="32"/>
          <w:rtl/>
        </w:rPr>
        <w:t xml:space="preserve"> لا يقضي $227 دعوى الدائن ضد من كفل الكفيل</w:t>
      </w:r>
      <w:r>
        <w:rPr>
          <w:rFonts w:cs="Traditional Arabic" w:hint="cs"/>
          <w:sz w:val="28"/>
          <w:szCs w:val="32"/>
          <w:vertAlign w:val="superscript"/>
          <w:rtl/>
        </w:rPr>
        <w:t xml:space="preserve">( </w:t>
      </w:r>
      <w:r w:rsidRPr="00EC737F">
        <w:rPr>
          <w:rStyle w:val="ab"/>
          <w:rFonts w:cs="Traditional Arabic"/>
          <w:sz w:val="28"/>
          <w:szCs w:val="32"/>
          <w:rtl/>
        </w:rPr>
        <w:footnoteReference w:id="50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كفل الكفيل مدينين متضامنين </w:t>
      </w:r>
      <w:r w:rsidRPr="00EC737F">
        <w:rPr>
          <w:rFonts w:cs="Traditional Arabic" w:hint="cs"/>
          <w:sz w:val="28"/>
          <w:szCs w:val="32"/>
          <w:rtl/>
        </w:rPr>
        <w:lastRenderedPageBreak/>
        <w:t>متعددين وورث أحدهم</w:t>
      </w:r>
      <w:r>
        <w:rPr>
          <w:rFonts w:cs="Traditional Arabic" w:hint="cs"/>
          <w:sz w:val="28"/>
          <w:szCs w:val="32"/>
          <w:rtl/>
        </w:rPr>
        <w:t xml:space="preserve"> ،</w:t>
      </w:r>
      <w:r w:rsidRPr="00EC737F">
        <w:rPr>
          <w:rFonts w:cs="Traditional Arabic" w:hint="cs"/>
          <w:sz w:val="28"/>
          <w:szCs w:val="32"/>
          <w:rtl/>
        </w:rPr>
        <w:t xml:space="preserve"> فصار في القانون الفرنسي كفيلا ومديناً متضامناً في وقت واحد</w:t>
      </w:r>
      <w:r>
        <w:rPr>
          <w:rFonts w:cs="Traditional Arabic" w:hint="cs"/>
          <w:sz w:val="28"/>
          <w:szCs w:val="32"/>
          <w:rtl/>
        </w:rPr>
        <w:t xml:space="preserve"> ،</w:t>
      </w:r>
      <w:r w:rsidRPr="00EC737F">
        <w:rPr>
          <w:rFonts w:cs="Traditional Arabic" w:hint="cs"/>
          <w:sz w:val="28"/>
          <w:szCs w:val="32"/>
          <w:rtl/>
        </w:rPr>
        <w:t xml:space="preserve"> فإن وفى الدين باعتباره كفيلا</w:t>
      </w:r>
      <w:r>
        <w:rPr>
          <w:rFonts w:cs="Traditional Arabic" w:hint="cs"/>
          <w:sz w:val="28"/>
          <w:szCs w:val="32"/>
          <w:rtl/>
        </w:rPr>
        <w:t xml:space="preserve"> ،</w:t>
      </w:r>
      <w:r w:rsidRPr="00EC737F">
        <w:rPr>
          <w:rFonts w:cs="Traditional Arabic" w:hint="cs"/>
          <w:sz w:val="28"/>
          <w:szCs w:val="32"/>
          <w:rtl/>
        </w:rPr>
        <w:t xml:space="preserve"> رجع على أي من المدينين المتضامنين الآخرين بالدين بعد استنزال حصة مورثه</w:t>
      </w:r>
      <w:r>
        <w:rPr>
          <w:rFonts w:cs="Traditional Arabic" w:hint="cs"/>
          <w:sz w:val="28"/>
          <w:szCs w:val="32"/>
          <w:rtl/>
        </w:rPr>
        <w:t xml:space="preserve"> .</w:t>
      </w:r>
      <w:r w:rsidRPr="00EC737F">
        <w:rPr>
          <w:rFonts w:cs="Traditional Arabic" w:hint="cs"/>
          <w:sz w:val="28"/>
          <w:szCs w:val="32"/>
          <w:rtl/>
        </w:rPr>
        <w:t xml:space="preserve"> أما إذا وفاه باعتباره مديناً متضامناً</w:t>
      </w:r>
      <w:r>
        <w:rPr>
          <w:rFonts w:cs="Traditional Arabic" w:hint="cs"/>
          <w:sz w:val="28"/>
          <w:szCs w:val="32"/>
          <w:rtl/>
        </w:rPr>
        <w:t xml:space="preserve"> ،</w:t>
      </w:r>
      <w:r w:rsidRPr="00EC737F">
        <w:rPr>
          <w:rFonts w:cs="Traditional Arabic" w:hint="cs"/>
          <w:sz w:val="28"/>
          <w:szCs w:val="32"/>
          <w:rtl/>
        </w:rPr>
        <w:t xml:space="preserve"> فانه لا يستطيع الرجوع على باقي المدينين المتضامنين إلا بقدر حصة كل منهم في الدن</w:t>
      </w:r>
      <w:r>
        <w:rPr>
          <w:rFonts w:cs="Traditional Arabic" w:hint="cs"/>
          <w:sz w:val="28"/>
          <w:szCs w:val="32"/>
          <w:vertAlign w:val="superscript"/>
          <w:rtl/>
        </w:rPr>
        <w:t xml:space="preserve">( </w:t>
      </w:r>
      <w:r w:rsidRPr="00EC737F">
        <w:rPr>
          <w:rStyle w:val="ab"/>
          <w:rFonts w:cs="Traditional Arabic"/>
          <w:sz w:val="28"/>
          <w:szCs w:val="32"/>
          <w:rtl/>
        </w:rPr>
        <w:footnoteReference w:id="50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90- انقضاء الدين المكفول بالإبراء</w:t>
      </w:r>
      <w:r>
        <w:rPr>
          <w:rFonts w:cs="Traditional Arabic" w:hint="cs"/>
          <w:sz w:val="28"/>
          <w:szCs w:val="32"/>
          <w:rtl/>
        </w:rPr>
        <w:t xml:space="preserve"> :</w:t>
      </w:r>
      <w:r w:rsidRPr="00EC737F">
        <w:rPr>
          <w:rFonts w:cs="Traditional Arabic" w:hint="cs"/>
          <w:sz w:val="28"/>
          <w:szCs w:val="32"/>
          <w:rtl/>
        </w:rPr>
        <w:t xml:space="preserve"> وإذا انقضى الدين المكفول بإبراء الدائن للمدين من الدين</w:t>
      </w:r>
      <w:r>
        <w:rPr>
          <w:rFonts w:cs="Traditional Arabic" w:hint="cs"/>
          <w:sz w:val="28"/>
          <w:szCs w:val="32"/>
          <w:rtl/>
        </w:rPr>
        <w:t xml:space="preserve"> ،</w:t>
      </w:r>
      <w:r w:rsidRPr="00EC737F">
        <w:rPr>
          <w:rFonts w:cs="Traditional Arabic" w:hint="cs"/>
          <w:sz w:val="28"/>
          <w:szCs w:val="32"/>
          <w:rtl/>
        </w:rPr>
        <w:t xml:space="preserve"> انقضى الدين المكفول بالإبراء</w:t>
      </w:r>
      <w:r>
        <w:rPr>
          <w:rFonts w:cs="Traditional Arabic" w:hint="cs"/>
          <w:sz w:val="28"/>
          <w:szCs w:val="32"/>
          <w:rtl/>
        </w:rPr>
        <w:t xml:space="preserve"> ،</w:t>
      </w:r>
      <w:r w:rsidRPr="00EC737F">
        <w:rPr>
          <w:rFonts w:cs="Traditional Arabic" w:hint="cs"/>
          <w:sz w:val="28"/>
          <w:szCs w:val="32"/>
          <w:rtl/>
        </w:rPr>
        <w:t xml:space="preserve"> وانقضت تبعاً لانقضائه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50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والإبراء في التقنين المدني الجديد يتم بإرادة واحدة من جانب الدائن</w:t>
      </w:r>
      <w:r>
        <w:rPr>
          <w:rFonts w:cs="Traditional Arabic" w:hint="cs"/>
          <w:sz w:val="28"/>
          <w:szCs w:val="32"/>
          <w:rtl/>
        </w:rPr>
        <w:t xml:space="preserve"> ،</w:t>
      </w:r>
      <w:r w:rsidRPr="00EC737F">
        <w:rPr>
          <w:rFonts w:cs="Traditional Arabic" w:hint="cs"/>
          <w:sz w:val="28"/>
          <w:szCs w:val="32"/>
          <w:rtl/>
        </w:rPr>
        <w:t xml:space="preserve"> $228 ويرتد برد المدين إياه</w:t>
      </w:r>
      <w:r>
        <w:rPr>
          <w:rFonts w:cs="Traditional Arabic" w:hint="cs"/>
          <w:sz w:val="28"/>
          <w:szCs w:val="32"/>
          <w:rtl/>
        </w:rPr>
        <w:t xml:space="preserve"> .</w:t>
      </w:r>
      <w:r w:rsidRPr="00EC737F">
        <w:rPr>
          <w:rFonts w:cs="Traditional Arabic" w:hint="cs"/>
          <w:sz w:val="28"/>
          <w:szCs w:val="32"/>
          <w:rtl/>
        </w:rPr>
        <w:t xml:space="preserve"> وقد صرحت بذلك المادة 371 مدني</w:t>
      </w:r>
      <w:r>
        <w:rPr>
          <w:rFonts w:cs="Traditional Arabic" w:hint="cs"/>
          <w:sz w:val="28"/>
          <w:szCs w:val="32"/>
          <w:rtl/>
        </w:rPr>
        <w:t xml:space="preserve"> ،</w:t>
      </w:r>
      <w:r w:rsidRPr="00EC737F">
        <w:rPr>
          <w:rFonts w:cs="Traditional Arabic" w:hint="cs"/>
          <w:sz w:val="28"/>
          <w:szCs w:val="32"/>
          <w:rtl/>
        </w:rPr>
        <w:t xml:space="preserve"> فهي تقضي بأن الإبراء يتم "متى وصل إلى علم المدين</w:t>
      </w:r>
      <w:r>
        <w:rPr>
          <w:rFonts w:cs="Traditional Arabic" w:hint="cs"/>
          <w:sz w:val="28"/>
          <w:szCs w:val="32"/>
          <w:rtl/>
        </w:rPr>
        <w:t xml:space="preserve"> ،</w:t>
      </w:r>
      <w:r w:rsidRPr="00EC737F">
        <w:rPr>
          <w:rFonts w:cs="Traditional Arabic" w:hint="cs"/>
          <w:sz w:val="28"/>
          <w:szCs w:val="32"/>
          <w:rtl/>
        </w:rPr>
        <w:t xml:space="preserve"> ويرتد برده"</w:t>
      </w:r>
      <w:r>
        <w:rPr>
          <w:rFonts w:cs="Traditional Arabic" w:hint="cs"/>
          <w:sz w:val="28"/>
          <w:szCs w:val="32"/>
          <w:rtl/>
        </w:rPr>
        <w:t xml:space="preserve"> .</w:t>
      </w:r>
      <w:r w:rsidRPr="00EC737F">
        <w:rPr>
          <w:rFonts w:cs="Traditional Arabic" w:hint="cs"/>
          <w:sz w:val="28"/>
          <w:szCs w:val="32"/>
          <w:rtl/>
        </w:rPr>
        <w:t xml:space="preserve"> فإذا رد المدين الإبراء</w:t>
      </w:r>
      <w:r>
        <w:rPr>
          <w:rFonts w:cs="Traditional Arabic" w:hint="cs"/>
          <w:sz w:val="28"/>
          <w:szCs w:val="32"/>
          <w:rtl/>
        </w:rPr>
        <w:t xml:space="preserve"> ،</w:t>
      </w:r>
      <w:r w:rsidRPr="00EC737F">
        <w:rPr>
          <w:rFonts w:cs="Traditional Arabic" w:hint="cs"/>
          <w:sz w:val="28"/>
          <w:szCs w:val="32"/>
          <w:rtl/>
        </w:rPr>
        <w:t xml:space="preserve"> كان بهذا الرد يفقر نفسه</w:t>
      </w:r>
      <w:r>
        <w:rPr>
          <w:rFonts w:cs="Traditional Arabic" w:hint="cs"/>
          <w:sz w:val="28"/>
          <w:szCs w:val="32"/>
          <w:rtl/>
        </w:rPr>
        <w:t xml:space="preserve"> .</w:t>
      </w:r>
      <w:r w:rsidRPr="00EC737F">
        <w:rPr>
          <w:rFonts w:cs="Traditional Arabic" w:hint="cs"/>
          <w:sz w:val="28"/>
          <w:szCs w:val="32"/>
          <w:rtl/>
        </w:rPr>
        <w:t xml:space="preserve"> ذلك أن ذمته تبرأ من الدين بمجرد وصول الإبراء إلى علمه</w:t>
      </w:r>
      <w:r>
        <w:rPr>
          <w:rFonts w:cs="Traditional Arabic" w:hint="cs"/>
          <w:sz w:val="28"/>
          <w:szCs w:val="32"/>
          <w:rtl/>
        </w:rPr>
        <w:t xml:space="preserve"> ،</w:t>
      </w:r>
      <w:r w:rsidRPr="00EC737F">
        <w:rPr>
          <w:rFonts w:cs="Traditional Arabic" w:hint="cs"/>
          <w:sz w:val="28"/>
          <w:szCs w:val="32"/>
          <w:rtl/>
        </w:rPr>
        <w:t xml:space="preserve"> فبرده للإبراء يعود الدين إلى ذمته بعد أن كان قد انقضى</w:t>
      </w:r>
      <w:r>
        <w:rPr>
          <w:rFonts w:cs="Traditional Arabic" w:hint="cs"/>
          <w:sz w:val="28"/>
          <w:szCs w:val="32"/>
          <w:rtl/>
        </w:rPr>
        <w:t xml:space="preserve"> .</w:t>
      </w:r>
      <w:r w:rsidRPr="00EC737F">
        <w:rPr>
          <w:rFonts w:cs="Traditional Arabic" w:hint="cs"/>
          <w:sz w:val="28"/>
          <w:szCs w:val="32"/>
          <w:rtl/>
        </w:rPr>
        <w:t xml:space="preserve"> ومن ثم يجوز للكفيل</w:t>
      </w:r>
      <w:r>
        <w:rPr>
          <w:rFonts w:cs="Traditional Arabic" w:hint="cs"/>
          <w:sz w:val="28"/>
          <w:szCs w:val="32"/>
          <w:rtl/>
        </w:rPr>
        <w:t xml:space="preserve"> ،</w:t>
      </w:r>
      <w:r w:rsidRPr="00EC737F">
        <w:rPr>
          <w:rFonts w:cs="Traditional Arabic" w:hint="cs"/>
          <w:sz w:val="28"/>
          <w:szCs w:val="32"/>
          <w:rtl/>
        </w:rPr>
        <w:t xml:space="preserve"> وهو دائن للمدين بالرجوع عليه إذا وفى الدين للدائن</w:t>
      </w:r>
      <w:r>
        <w:rPr>
          <w:rFonts w:cs="Traditional Arabic" w:hint="cs"/>
          <w:sz w:val="28"/>
          <w:szCs w:val="32"/>
          <w:rtl/>
        </w:rPr>
        <w:t xml:space="preserve"> ،</w:t>
      </w:r>
      <w:r w:rsidRPr="00EC737F">
        <w:rPr>
          <w:rFonts w:cs="Traditional Arabic" w:hint="cs"/>
          <w:sz w:val="28"/>
          <w:szCs w:val="32"/>
          <w:rtl/>
        </w:rPr>
        <w:t xml:space="preserve"> أن يطعن في رد المدين للإبراء بالدعوى البولصية</w:t>
      </w:r>
      <w:r>
        <w:rPr>
          <w:rFonts w:cs="Traditional Arabic" w:hint="cs"/>
          <w:sz w:val="28"/>
          <w:szCs w:val="32"/>
          <w:rtl/>
        </w:rPr>
        <w:t xml:space="preserve"> ،</w:t>
      </w:r>
      <w:r w:rsidRPr="00EC737F">
        <w:rPr>
          <w:rFonts w:cs="Traditional Arabic" w:hint="cs"/>
          <w:sz w:val="28"/>
          <w:szCs w:val="32"/>
          <w:rtl/>
        </w:rPr>
        <w:t xml:space="preserve"> لأن هذا الرد زاد في التزامات المدين إذ عاد الدين بالرد بعد انقضائه</w:t>
      </w:r>
      <w:r>
        <w:rPr>
          <w:rFonts w:cs="Traditional Arabic" w:hint="cs"/>
          <w:sz w:val="28"/>
          <w:szCs w:val="32"/>
          <w:rtl/>
        </w:rPr>
        <w:t xml:space="preserve"> .</w:t>
      </w:r>
      <w:r w:rsidRPr="00EC737F">
        <w:rPr>
          <w:rFonts w:cs="Traditional Arabic" w:hint="cs"/>
          <w:sz w:val="28"/>
          <w:szCs w:val="32"/>
          <w:rtl/>
        </w:rPr>
        <w:t xml:space="preserve"> ومن ثم إذا أبرأ الدائن المدين من الدين</w:t>
      </w:r>
      <w:r>
        <w:rPr>
          <w:rFonts w:cs="Traditional Arabic" w:hint="cs"/>
          <w:sz w:val="28"/>
          <w:szCs w:val="32"/>
          <w:rtl/>
        </w:rPr>
        <w:t xml:space="preserve"> ،</w:t>
      </w:r>
      <w:r w:rsidRPr="00EC737F">
        <w:rPr>
          <w:rFonts w:cs="Traditional Arabic" w:hint="cs"/>
          <w:sz w:val="28"/>
          <w:szCs w:val="32"/>
          <w:rtl/>
        </w:rPr>
        <w:t xml:space="preserve"> ورد المدين هذا الإبراء</w:t>
      </w:r>
      <w:r>
        <w:rPr>
          <w:rFonts w:cs="Traditional Arabic" w:hint="cs"/>
          <w:sz w:val="28"/>
          <w:szCs w:val="32"/>
          <w:rtl/>
        </w:rPr>
        <w:t xml:space="preserve"> ،</w:t>
      </w:r>
      <w:r w:rsidRPr="00EC737F">
        <w:rPr>
          <w:rFonts w:cs="Traditional Arabic" w:hint="cs"/>
          <w:sz w:val="28"/>
          <w:szCs w:val="32"/>
          <w:rtl/>
        </w:rPr>
        <w:t xml:space="preserve"> فعاد الدين بعد انقضائه إلى ذمة المدين</w:t>
      </w:r>
      <w:r>
        <w:rPr>
          <w:rFonts w:cs="Traditional Arabic" w:hint="cs"/>
          <w:sz w:val="28"/>
          <w:szCs w:val="32"/>
          <w:rtl/>
        </w:rPr>
        <w:t xml:space="preserve"> ،</w:t>
      </w:r>
      <w:r w:rsidRPr="00EC737F">
        <w:rPr>
          <w:rFonts w:cs="Traditional Arabic" w:hint="cs"/>
          <w:sz w:val="28"/>
          <w:szCs w:val="32"/>
          <w:rtl/>
        </w:rPr>
        <w:t xml:space="preserve"> جاز للكفيل أن يطعن في هذا الرد بالدعوى البولصية فلا يسري في حقه</w:t>
      </w:r>
      <w:r>
        <w:rPr>
          <w:rFonts w:cs="Traditional Arabic" w:hint="cs"/>
          <w:sz w:val="28"/>
          <w:szCs w:val="32"/>
          <w:rtl/>
        </w:rPr>
        <w:t xml:space="preserve"> ،</w:t>
      </w:r>
      <w:r w:rsidRPr="00EC737F">
        <w:rPr>
          <w:rFonts w:cs="Traditional Arabic" w:hint="cs"/>
          <w:sz w:val="28"/>
          <w:szCs w:val="32"/>
          <w:rtl/>
        </w:rPr>
        <w:t xml:space="preserve"> وتبرأ ذمة الكفيل نهائياً من الكفالة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أورد التقنين المدني السابق في شأن الكفالة سلسلة من النصوص لم ينقلها التقنين المدني الجديد</w:t>
      </w:r>
      <w:r>
        <w:rPr>
          <w:rFonts w:cs="Traditional Arabic" w:hint="cs"/>
          <w:sz w:val="28"/>
          <w:szCs w:val="32"/>
          <w:rtl/>
        </w:rPr>
        <w:t xml:space="preserve"> </w:t>
      </w:r>
      <w:r>
        <w:rPr>
          <w:rFonts w:cs="Traditional Arabic" w:hint="cs"/>
          <w:sz w:val="28"/>
          <w:szCs w:val="32"/>
          <w:rtl/>
        </w:rPr>
        <w:lastRenderedPageBreak/>
        <w:t>،</w:t>
      </w:r>
      <w:r w:rsidRPr="00EC737F">
        <w:rPr>
          <w:rFonts w:cs="Traditional Arabic" w:hint="cs"/>
          <w:sz w:val="28"/>
          <w:szCs w:val="32"/>
          <w:rtl/>
        </w:rPr>
        <w:t xml:space="preserve"> لأنها مجرد تطبيق للقواعد العامة</w:t>
      </w:r>
      <w:r>
        <w:rPr>
          <w:rFonts w:cs="Traditional Arabic" w:hint="cs"/>
          <w:sz w:val="28"/>
          <w:szCs w:val="32"/>
          <w:rtl/>
        </w:rPr>
        <w:t xml:space="preserve"> ،</w:t>
      </w:r>
      <w:r w:rsidRPr="00EC737F">
        <w:rPr>
          <w:rFonts w:cs="Traditional Arabic" w:hint="cs"/>
          <w:sz w:val="28"/>
          <w:szCs w:val="32"/>
          <w:rtl/>
        </w:rPr>
        <w:t xml:space="preserve"> فتسري أحكامها دون حاجة إلى نص</w:t>
      </w:r>
      <w:r>
        <w:rPr>
          <w:rFonts w:cs="Traditional Arabic" w:hint="cs"/>
          <w:sz w:val="28"/>
          <w:szCs w:val="32"/>
          <w:rtl/>
        </w:rPr>
        <w:t xml:space="preserve"> .</w:t>
      </w:r>
      <w:r w:rsidRPr="00EC737F">
        <w:rPr>
          <w:rFonts w:cs="Traditional Arabic" w:hint="cs"/>
          <w:sz w:val="28"/>
          <w:szCs w:val="32"/>
          <w:rtl/>
        </w:rPr>
        <w:t xml:space="preserve"> من ذلك أن نصت المادة 181/244 التي سبق إيرادها</w:t>
      </w:r>
      <w:r>
        <w:rPr>
          <w:rFonts w:cs="Traditional Arabic" w:hint="cs"/>
          <w:sz w:val="28"/>
          <w:szCs w:val="32"/>
          <w:rtl/>
        </w:rPr>
        <w:t xml:space="preserve"> ،</w:t>
      </w:r>
      <w:r w:rsidRPr="00EC737F">
        <w:rPr>
          <w:rFonts w:cs="Traditional Arabic" w:hint="cs"/>
          <w:sz w:val="28"/>
          <w:szCs w:val="32"/>
          <w:rtl/>
        </w:rPr>
        <w:t xml:space="preserve"> فقالت إن "إبراء ذمة المدين يترتب عليه ذمة ضامنيه أيضاً</w:t>
      </w:r>
      <w:r>
        <w:rPr>
          <w:rFonts w:cs="Traditional Arabic" w:hint="cs"/>
          <w:sz w:val="28"/>
          <w:szCs w:val="32"/>
          <w:vertAlign w:val="superscript"/>
          <w:rtl/>
        </w:rPr>
        <w:t xml:space="preserve">( </w:t>
      </w:r>
      <w:r w:rsidRPr="00EC737F">
        <w:rPr>
          <w:rStyle w:val="ab"/>
          <w:rFonts w:cs="Traditional Arabic"/>
          <w:sz w:val="28"/>
          <w:szCs w:val="32"/>
          <w:rtl/>
        </w:rPr>
        <w:footnoteReference w:id="505"/>
      </w:r>
      <w:r>
        <w:rPr>
          <w:rFonts w:cs="Traditional Arabic" w:hint="cs"/>
          <w:sz w:val="28"/>
          <w:szCs w:val="32"/>
          <w:vertAlign w:val="superscript"/>
          <w:rtl/>
        </w:rPr>
        <w:t xml:space="preserve"> )</w:t>
      </w:r>
      <w:r w:rsidRPr="00EC737F">
        <w:rPr>
          <w:rFonts w:cs="Traditional Arabic" w:hint="cs"/>
          <w:sz w:val="28"/>
          <w:szCs w:val="32"/>
          <w:rtl/>
        </w:rPr>
        <w:t>"</w:t>
      </w:r>
      <w:r>
        <w:rPr>
          <w:rFonts w:cs="Traditional Arabic" w:hint="cs"/>
          <w:sz w:val="28"/>
          <w:szCs w:val="32"/>
          <w:rtl/>
        </w:rPr>
        <w:t xml:space="preserve"> .</w:t>
      </w:r>
      <w:r w:rsidRPr="00EC737F">
        <w:rPr>
          <w:rFonts w:cs="Traditional Arabic" w:hint="cs"/>
          <w:sz w:val="28"/>
          <w:szCs w:val="32"/>
          <w:rtl/>
        </w:rPr>
        <w:t xml:space="preserve"> فتبرأ ذمة  الكفيل ببراءة ذمة المدين</w:t>
      </w:r>
      <w:r>
        <w:rPr>
          <w:rFonts w:cs="Traditional Arabic" w:hint="cs"/>
          <w:sz w:val="28"/>
          <w:szCs w:val="32"/>
          <w:rtl/>
        </w:rPr>
        <w:t xml:space="preserve"> ،</w:t>
      </w:r>
      <w:r w:rsidRPr="00EC737F">
        <w:rPr>
          <w:rFonts w:cs="Traditional Arabic" w:hint="cs"/>
          <w:sz w:val="28"/>
          <w:szCs w:val="32"/>
          <w:rtl/>
        </w:rPr>
        <w:t xml:space="preserve"> لأن التزام الكفيل تابع لالتزام المدين</w:t>
      </w:r>
      <w:r>
        <w:rPr>
          <w:rFonts w:cs="Traditional Arabic" w:hint="cs"/>
          <w:sz w:val="28"/>
          <w:szCs w:val="32"/>
          <w:rtl/>
        </w:rPr>
        <w:t xml:space="preserve"> ،</w:t>
      </w:r>
      <w:r w:rsidRPr="00EC737F">
        <w:rPr>
          <w:rFonts w:cs="Traditional Arabic" w:hint="cs"/>
          <w:sz w:val="28"/>
          <w:szCs w:val="32"/>
          <w:rtl/>
        </w:rPr>
        <w:t xml:space="preserve"> فإذا زال الأصل زال التبع</w:t>
      </w:r>
      <w:r>
        <w:rPr>
          <w:rFonts w:cs="Traditional Arabic" w:hint="cs"/>
          <w:sz w:val="28"/>
          <w:szCs w:val="32"/>
          <w:vertAlign w:val="superscript"/>
          <w:rtl/>
        </w:rPr>
        <w:t xml:space="preserve">( </w:t>
      </w:r>
      <w:r w:rsidRPr="00EC737F">
        <w:rPr>
          <w:rStyle w:val="ab"/>
          <w:rFonts w:cs="Traditional Arabic"/>
          <w:sz w:val="28"/>
          <w:szCs w:val="32"/>
          <w:rtl/>
        </w:rPr>
        <w:footnoteReference w:id="50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ويستثنى من ذلك الإبراء الذي يتضمنه الصلح مع المفلس</w:t>
      </w:r>
      <w:r>
        <w:rPr>
          <w:rFonts w:cs="Traditional Arabic" w:hint="cs"/>
          <w:sz w:val="28"/>
          <w:szCs w:val="32"/>
          <w:rtl/>
        </w:rPr>
        <w:t xml:space="preserve"> ،</w:t>
      </w:r>
      <w:r w:rsidRPr="00EC737F">
        <w:rPr>
          <w:rFonts w:cs="Traditional Arabic" w:hint="cs"/>
          <w:sz w:val="28"/>
          <w:szCs w:val="32"/>
          <w:rtl/>
        </w:rPr>
        <w:t xml:space="preserve"> إذ يجب تمييز الإبراء عن صح الدائنين مع مدينهم المفلس </w:t>
      </w:r>
      <w:r>
        <w:rPr>
          <w:rFonts w:cs="Traditional Arabic"/>
          <w:sz w:val="28"/>
          <w:szCs w:val="32"/>
          <w:rtl/>
        </w:rPr>
        <w:t xml:space="preserve">( </w:t>
      </w:r>
      <w:r w:rsidRPr="00EC737F">
        <w:rPr>
          <w:rFonts w:cs="Traditional Arabic"/>
          <w:sz w:val="28"/>
          <w:szCs w:val="32"/>
        </w:rPr>
        <w:t>concordat</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فالدائنون عند ما يبرئون ذمة مدينهم المفلس من $229 جزء من الديون لا يتبرعون</w:t>
      </w:r>
      <w:r>
        <w:rPr>
          <w:rFonts w:cs="Traditional Arabic" w:hint="cs"/>
          <w:sz w:val="28"/>
          <w:szCs w:val="32"/>
          <w:rtl/>
        </w:rPr>
        <w:t xml:space="preserve"> ،</w:t>
      </w:r>
      <w:r w:rsidRPr="00EC737F">
        <w:rPr>
          <w:rFonts w:cs="Traditional Arabic" w:hint="cs"/>
          <w:sz w:val="28"/>
          <w:szCs w:val="32"/>
          <w:rtl/>
        </w:rPr>
        <w:t xml:space="preserve"> ولكنهم يأملون من وراء هذا الإبراء أن يحصلوا على أكبر حصة ممكنة من حقوقهم</w:t>
      </w:r>
      <w:r>
        <w:rPr>
          <w:rFonts w:cs="Traditional Arabic" w:hint="cs"/>
          <w:sz w:val="28"/>
          <w:szCs w:val="32"/>
          <w:rtl/>
        </w:rPr>
        <w:t xml:space="preserve"> ،</w:t>
      </w:r>
      <w:r w:rsidRPr="00EC737F">
        <w:rPr>
          <w:rFonts w:cs="Traditional Arabic" w:hint="cs"/>
          <w:sz w:val="28"/>
          <w:szCs w:val="32"/>
          <w:rtl/>
        </w:rPr>
        <w:t xml:space="preserve"> وهم ييسرون على المدين السبل التي تؤدي إلى ذلك ومنها إبراؤه من جزء من ديونه</w:t>
      </w:r>
      <w:r>
        <w:rPr>
          <w:rFonts w:cs="Traditional Arabic" w:hint="cs"/>
          <w:sz w:val="28"/>
          <w:szCs w:val="32"/>
          <w:rtl/>
        </w:rPr>
        <w:t xml:space="preserve"> ،</w:t>
      </w:r>
      <w:r w:rsidRPr="00EC737F">
        <w:rPr>
          <w:rFonts w:cs="Traditional Arabic" w:hint="cs"/>
          <w:sz w:val="28"/>
          <w:szCs w:val="32"/>
          <w:rtl/>
        </w:rPr>
        <w:t xml:space="preserve"> وعلى ذلك إذا أبرأ الدائنون مدينهم المفلس من جزء من ديونه بالصلح معه </w:t>
      </w:r>
      <w:r>
        <w:rPr>
          <w:rFonts w:cs="Traditional Arabic"/>
          <w:sz w:val="28"/>
          <w:szCs w:val="32"/>
          <w:rtl/>
        </w:rPr>
        <w:t xml:space="preserve">( </w:t>
      </w:r>
      <w:r w:rsidRPr="00EC737F">
        <w:rPr>
          <w:rFonts w:cs="Traditional Arabic"/>
          <w:sz w:val="28"/>
          <w:szCs w:val="32"/>
        </w:rPr>
        <w:t>concordat</w:t>
      </w:r>
      <w:r>
        <w:rPr>
          <w:rFonts w:cs="Traditional Arabic"/>
          <w:sz w:val="28"/>
          <w:szCs w:val="32"/>
          <w:rtl/>
        </w:rPr>
        <w:t xml:space="preserve"> )</w:t>
      </w:r>
      <w:r w:rsidRPr="00EC737F">
        <w:rPr>
          <w:rFonts w:cs="Traditional Arabic" w:hint="cs"/>
          <w:sz w:val="28"/>
          <w:szCs w:val="32"/>
          <w:rtl/>
        </w:rPr>
        <w:t xml:space="preserve"> فإنهم لا يبرئون ذمة الكفلاء</w:t>
      </w:r>
      <w:r>
        <w:rPr>
          <w:rFonts w:cs="Traditional Arabic" w:hint="cs"/>
          <w:sz w:val="28"/>
          <w:szCs w:val="32"/>
          <w:rtl/>
        </w:rPr>
        <w:t xml:space="preserve"> .</w:t>
      </w:r>
      <w:r w:rsidRPr="00EC737F">
        <w:rPr>
          <w:rFonts w:cs="Traditional Arabic" w:hint="cs"/>
          <w:sz w:val="28"/>
          <w:szCs w:val="32"/>
          <w:rtl/>
        </w:rPr>
        <w:t xml:space="preserve"> بل إن فائدة الكفالة لا تظهر إلا عند إفلاس المدين</w:t>
      </w:r>
      <w:r>
        <w:rPr>
          <w:rFonts w:cs="Traditional Arabic" w:hint="cs"/>
          <w:sz w:val="28"/>
          <w:szCs w:val="32"/>
          <w:rtl/>
        </w:rPr>
        <w:t xml:space="preserve"> ،</w:t>
      </w:r>
      <w:r w:rsidRPr="00EC737F">
        <w:rPr>
          <w:rFonts w:cs="Traditional Arabic" w:hint="cs"/>
          <w:sz w:val="28"/>
          <w:szCs w:val="32"/>
          <w:rtl/>
        </w:rPr>
        <w:t xml:space="preserve"> فقد أراد الدائن أن يستوثق لحقه من ذلك</w:t>
      </w:r>
      <w:r>
        <w:rPr>
          <w:rFonts w:cs="Traditional Arabic" w:hint="cs"/>
          <w:sz w:val="28"/>
          <w:szCs w:val="32"/>
          <w:vertAlign w:val="superscript"/>
          <w:rtl/>
        </w:rPr>
        <w:t xml:space="preserve">( </w:t>
      </w:r>
      <w:r w:rsidRPr="00EC737F">
        <w:rPr>
          <w:rStyle w:val="ab"/>
          <w:rFonts w:cs="Traditional Arabic"/>
          <w:sz w:val="28"/>
          <w:szCs w:val="32"/>
          <w:rtl/>
        </w:rPr>
        <w:footnoteReference w:id="50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إبراء ذمة الكفل فلا يبرئ ذمة المدين الأصلي</w:t>
      </w:r>
      <w:r>
        <w:rPr>
          <w:rFonts w:cs="Traditional Arabic" w:hint="cs"/>
          <w:sz w:val="28"/>
          <w:szCs w:val="32"/>
          <w:rtl/>
        </w:rPr>
        <w:t xml:space="preserve"> ،</w:t>
      </w:r>
      <w:r w:rsidRPr="00EC737F">
        <w:rPr>
          <w:rFonts w:cs="Traditional Arabic" w:hint="cs"/>
          <w:sz w:val="28"/>
          <w:szCs w:val="32"/>
          <w:rtl/>
        </w:rPr>
        <w:t xml:space="preserve"> لأن زوال التبع لا يستوجب زوال الأصل</w:t>
      </w:r>
      <w:r>
        <w:rPr>
          <w:rFonts w:cs="Traditional Arabic" w:hint="cs"/>
          <w:sz w:val="28"/>
          <w:szCs w:val="32"/>
          <w:rtl/>
        </w:rPr>
        <w:t xml:space="preserve"> .</w:t>
      </w:r>
      <w:r w:rsidRPr="00EC737F">
        <w:rPr>
          <w:rFonts w:cs="Traditional Arabic" w:hint="cs"/>
          <w:sz w:val="28"/>
          <w:szCs w:val="32"/>
          <w:rtl/>
        </w:rPr>
        <w:t xml:space="preserve">  وفي هذا الصدد تنص المادة 184/247 من التقنين المدني السابق على أنه "لا تبرأ ذمة المدين بإبراء ذمة ضامنه"</w:t>
      </w:r>
      <w:r>
        <w:rPr>
          <w:rFonts w:cs="Traditional Arabic" w:hint="cs"/>
          <w:sz w:val="28"/>
          <w:szCs w:val="32"/>
          <w:rtl/>
        </w:rPr>
        <w:t xml:space="preserve"> .</w:t>
      </w:r>
      <w:r w:rsidRPr="00EC737F">
        <w:rPr>
          <w:rFonts w:cs="Traditional Arabic" w:hint="cs"/>
          <w:sz w:val="28"/>
          <w:szCs w:val="32"/>
          <w:rtl/>
        </w:rPr>
        <w:t xml:space="preserve"> وإذا تعدد الكفلاء</w:t>
      </w:r>
      <w:r>
        <w:rPr>
          <w:rFonts w:cs="Traditional Arabic" w:hint="cs"/>
          <w:sz w:val="28"/>
          <w:szCs w:val="32"/>
          <w:rtl/>
        </w:rPr>
        <w:t xml:space="preserve"> ،</w:t>
      </w:r>
      <w:r w:rsidRPr="00EC737F">
        <w:rPr>
          <w:rFonts w:cs="Traditional Arabic" w:hint="cs"/>
          <w:sz w:val="28"/>
          <w:szCs w:val="32"/>
          <w:rtl/>
        </w:rPr>
        <w:t xml:space="preserve"> وأبرأ الدائن أحدهم</w:t>
      </w:r>
      <w:r>
        <w:rPr>
          <w:rFonts w:cs="Traditional Arabic" w:hint="cs"/>
          <w:sz w:val="28"/>
          <w:szCs w:val="32"/>
          <w:rtl/>
        </w:rPr>
        <w:t xml:space="preserve"> ،</w:t>
      </w:r>
      <w:r w:rsidRPr="00EC737F">
        <w:rPr>
          <w:rFonts w:cs="Traditional Arabic" w:hint="cs"/>
          <w:sz w:val="28"/>
          <w:szCs w:val="32"/>
          <w:rtl/>
        </w:rPr>
        <w:t xml:space="preserve"> فإن ذلك لا يعني أنه أبرأ الباقين</w:t>
      </w:r>
      <w:r>
        <w:rPr>
          <w:rFonts w:cs="Traditional Arabic" w:hint="cs"/>
          <w:sz w:val="28"/>
          <w:szCs w:val="32"/>
          <w:rtl/>
        </w:rPr>
        <w:t xml:space="preserve"> ،</w:t>
      </w:r>
      <w:r w:rsidRPr="00EC737F">
        <w:rPr>
          <w:rFonts w:cs="Traditional Arabic" w:hint="cs"/>
          <w:sz w:val="28"/>
          <w:szCs w:val="32"/>
          <w:rtl/>
        </w:rPr>
        <w:t xml:space="preserve"> بل تجوز له مطالبة باقي </w:t>
      </w:r>
      <w:r w:rsidRPr="00EC737F">
        <w:rPr>
          <w:rFonts w:cs="Traditional Arabic" w:hint="cs"/>
          <w:sz w:val="28"/>
          <w:szCs w:val="32"/>
          <w:rtl/>
        </w:rPr>
        <w:lastRenderedPageBreak/>
        <w:t>الكفلاء كل بقدر الحصة التي كفلها إذا كان الكفلاء غير متضامنين</w:t>
      </w:r>
      <w:r>
        <w:rPr>
          <w:rFonts w:cs="Traditional Arabic" w:hint="cs"/>
          <w:sz w:val="28"/>
          <w:szCs w:val="32"/>
          <w:rtl/>
        </w:rPr>
        <w:t xml:space="preserve"> ،</w:t>
      </w:r>
      <w:r w:rsidRPr="00EC737F">
        <w:rPr>
          <w:rFonts w:cs="Traditional Arabic" w:hint="cs"/>
          <w:sz w:val="28"/>
          <w:szCs w:val="32"/>
          <w:rtl/>
        </w:rPr>
        <w:t xml:space="preserve"> أو أي منهم بالدين بعد استنزال حصة الكفيل الذي أبرأه إذا كان الكفلاء متضامنين</w:t>
      </w:r>
      <w:r>
        <w:rPr>
          <w:rFonts w:cs="Traditional Arabic" w:hint="cs"/>
          <w:sz w:val="28"/>
          <w:szCs w:val="32"/>
          <w:vertAlign w:val="superscript"/>
          <w:rtl/>
        </w:rPr>
        <w:t xml:space="preserve">( </w:t>
      </w:r>
      <w:r w:rsidRPr="00EC737F">
        <w:rPr>
          <w:rStyle w:val="ab"/>
          <w:rFonts w:cs="Traditional Arabic"/>
          <w:sz w:val="28"/>
          <w:szCs w:val="32"/>
          <w:rtl/>
        </w:rPr>
        <w:footnoteReference w:id="50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هذا كله ما لم يكن الكفيل الذي أبرأه الدائن قد كفل الدين بعد أن كفله الكفلاء الآخرون</w:t>
      </w:r>
      <w:r>
        <w:rPr>
          <w:rFonts w:cs="Traditional Arabic" w:hint="cs"/>
          <w:sz w:val="28"/>
          <w:szCs w:val="32"/>
          <w:rtl/>
        </w:rPr>
        <w:t xml:space="preserve"> ،</w:t>
      </w:r>
      <w:r w:rsidRPr="00EC737F">
        <w:rPr>
          <w:rFonts w:cs="Traditional Arabic" w:hint="cs"/>
          <w:sz w:val="28"/>
          <w:szCs w:val="32"/>
          <w:rtl/>
        </w:rPr>
        <w:t xml:space="preserve"> فهو إذا كان متأخراً عنهم لا يكونون قد اعتمدوا على كفالته</w:t>
      </w:r>
      <w:r>
        <w:rPr>
          <w:rFonts w:cs="Traditional Arabic" w:hint="cs"/>
          <w:sz w:val="28"/>
          <w:szCs w:val="32"/>
          <w:rtl/>
        </w:rPr>
        <w:t xml:space="preserve"> ،</w:t>
      </w:r>
      <w:r w:rsidRPr="00EC737F">
        <w:rPr>
          <w:rFonts w:cs="Traditional Arabic" w:hint="cs"/>
          <w:sz w:val="28"/>
          <w:szCs w:val="32"/>
          <w:rtl/>
        </w:rPr>
        <w:t xml:space="preserve"> فإذا أبرأه الدائن لم يجز للكفلاء المتقدمين أن يستنزلوا حصته</w:t>
      </w:r>
      <w:r>
        <w:rPr>
          <w:rFonts w:cs="Traditional Arabic" w:hint="cs"/>
          <w:sz w:val="28"/>
          <w:szCs w:val="32"/>
          <w:rtl/>
        </w:rPr>
        <w:t xml:space="preserve"> .</w:t>
      </w:r>
      <w:r w:rsidRPr="00EC737F">
        <w:rPr>
          <w:rFonts w:cs="Traditional Arabic" w:hint="cs"/>
          <w:sz w:val="28"/>
          <w:szCs w:val="32"/>
          <w:rtl/>
        </w:rPr>
        <w:t xml:space="preserve"> بل يرجع الدائن على كل منهم بعد تقسيم الدين كله بينهم دون الكفيل المتأخر إذا كانوا غير متضامنين</w:t>
      </w:r>
      <w:r>
        <w:rPr>
          <w:rFonts w:cs="Traditional Arabic" w:hint="cs"/>
          <w:sz w:val="28"/>
          <w:szCs w:val="32"/>
          <w:rtl/>
        </w:rPr>
        <w:t xml:space="preserve"> ،</w:t>
      </w:r>
      <w:r w:rsidRPr="00EC737F">
        <w:rPr>
          <w:rFonts w:cs="Traditional Arabic" w:hint="cs"/>
          <w:sz w:val="28"/>
          <w:szCs w:val="32"/>
          <w:rtl/>
        </w:rPr>
        <w:t xml:space="preserve"> أو يرجع على أي منهم بكل الدين إذا كانوا $230 متضامنين</w:t>
      </w:r>
      <w:r>
        <w:rPr>
          <w:rFonts w:cs="Traditional Arabic" w:hint="cs"/>
          <w:sz w:val="28"/>
          <w:szCs w:val="32"/>
          <w:rtl/>
        </w:rPr>
        <w:t xml:space="preserve"> .</w:t>
      </w:r>
      <w:r w:rsidRPr="00EC737F">
        <w:rPr>
          <w:rFonts w:cs="Traditional Arabic" w:hint="cs"/>
          <w:sz w:val="28"/>
          <w:szCs w:val="32"/>
          <w:rtl/>
        </w:rPr>
        <w:t xml:space="preserve"> فرجوع الكفلاء على الكفيل الذي أبرأه الدائن</w:t>
      </w:r>
      <w:r>
        <w:rPr>
          <w:rFonts w:cs="Traditional Arabic" w:hint="cs"/>
          <w:sz w:val="28"/>
          <w:szCs w:val="32"/>
          <w:rtl/>
        </w:rPr>
        <w:t xml:space="preserve"> .</w:t>
      </w:r>
      <w:r w:rsidRPr="00EC737F">
        <w:rPr>
          <w:rFonts w:cs="Traditional Arabic" w:hint="cs"/>
          <w:sz w:val="28"/>
          <w:szCs w:val="32"/>
          <w:rtl/>
        </w:rPr>
        <w:t xml:space="preserve"> بمقدار حصته</w:t>
      </w:r>
      <w:r>
        <w:rPr>
          <w:rFonts w:cs="Traditional Arabic" w:hint="cs"/>
          <w:sz w:val="28"/>
          <w:szCs w:val="32"/>
          <w:rtl/>
        </w:rPr>
        <w:t xml:space="preserve"> ،</w:t>
      </w:r>
      <w:r w:rsidRPr="00EC737F">
        <w:rPr>
          <w:rFonts w:cs="Traditional Arabic" w:hint="cs"/>
          <w:sz w:val="28"/>
          <w:szCs w:val="32"/>
          <w:rtl/>
        </w:rPr>
        <w:t xml:space="preserve"> منوط بأن تكون ضمانه هذا الكفيل سابقة لضمانتهم أو مقارنة لها</w:t>
      </w:r>
      <w:r>
        <w:rPr>
          <w:rFonts w:cs="Traditional Arabic" w:hint="cs"/>
          <w:sz w:val="28"/>
          <w:szCs w:val="32"/>
          <w:rtl/>
        </w:rPr>
        <w:t xml:space="preserve"> ،</w:t>
      </w:r>
      <w:r w:rsidRPr="00EC737F">
        <w:rPr>
          <w:rFonts w:cs="Traditional Arabic" w:hint="cs"/>
          <w:sz w:val="28"/>
          <w:szCs w:val="32"/>
          <w:rtl/>
        </w:rPr>
        <w:t xml:space="preserve"> وفي هذا الصدد تنص المادة 185/248 من التقنين المدنين السابق على أنه "إذا تعدد الضامنون في دين واحد</w:t>
      </w:r>
      <w:r>
        <w:rPr>
          <w:rFonts w:cs="Traditional Arabic" w:hint="cs"/>
          <w:sz w:val="28"/>
          <w:szCs w:val="32"/>
          <w:rtl/>
        </w:rPr>
        <w:t xml:space="preserve"> ،</w:t>
      </w:r>
      <w:r w:rsidRPr="00EC737F">
        <w:rPr>
          <w:rFonts w:cs="Traditional Arabic" w:hint="cs"/>
          <w:sz w:val="28"/>
          <w:szCs w:val="32"/>
          <w:rtl/>
        </w:rPr>
        <w:t xml:space="preserve"> وأبرأ الدائن ذمة أحدهم</w:t>
      </w:r>
      <w:r>
        <w:rPr>
          <w:rFonts w:cs="Traditional Arabic" w:hint="cs"/>
          <w:sz w:val="28"/>
          <w:szCs w:val="32"/>
          <w:rtl/>
        </w:rPr>
        <w:t xml:space="preserve"> ،</w:t>
      </w:r>
      <w:r w:rsidRPr="00EC737F">
        <w:rPr>
          <w:rFonts w:cs="Traditional Arabic" w:hint="cs"/>
          <w:sz w:val="28"/>
          <w:szCs w:val="32"/>
          <w:rtl/>
        </w:rPr>
        <w:t xml:space="preserve"> جاز للباقي مطالبه بالضمان إذا كانت ضمانته سابقة على ضمانتهم أو مقارنه لها"</w:t>
      </w:r>
      <w:r>
        <w:rPr>
          <w:rFonts w:cs="Traditional Arabic" w:hint="cs"/>
          <w:sz w:val="28"/>
          <w:szCs w:val="32"/>
          <w:vertAlign w:val="superscript"/>
          <w:rtl/>
        </w:rPr>
        <w:t xml:space="preserve">( </w:t>
      </w:r>
      <w:r w:rsidRPr="00EC737F">
        <w:rPr>
          <w:rStyle w:val="ab"/>
          <w:rFonts w:cs="Traditional Arabic"/>
          <w:sz w:val="28"/>
          <w:szCs w:val="32"/>
          <w:rtl/>
        </w:rPr>
        <w:footnoteReference w:id="50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تصالح الدائن مع المدين</w:t>
      </w:r>
      <w:r>
        <w:rPr>
          <w:rFonts w:cs="Traditional Arabic" w:hint="cs"/>
          <w:sz w:val="28"/>
          <w:szCs w:val="32"/>
          <w:rtl/>
        </w:rPr>
        <w:t xml:space="preserve"> ،</w:t>
      </w:r>
      <w:r w:rsidRPr="00EC737F">
        <w:rPr>
          <w:rFonts w:cs="Traditional Arabic" w:hint="cs"/>
          <w:sz w:val="28"/>
          <w:szCs w:val="32"/>
          <w:rtl/>
        </w:rPr>
        <w:t xml:space="preserve"> وتضمن الصلح نزول من الدائن عن جزء من الدين</w:t>
      </w:r>
      <w:r>
        <w:rPr>
          <w:rFonts w:cs="Traditional Arabic" w:hint="cs"/>
          <w:sz w:val="28"/>
          <w:szCs w:val="32"/>
          <w:rtl/>
        </w:rPr>
        <w:t xml:space="preserve"> ،</w:t>
      </w:r>
      <w:r w:rsidRPr="00EC737F">
        <w:rPr>
          <w:rFonts w:cs="Traditional Arabic" w:hint="cs"/>
          <w:sz w:val="28"/>
          <w:szCs w:val="32"/>
          <w:rtl/>
        </w:rPr>
        <w:t xml:space="preserve"> فللكفيل أن يتمسك بهذا الصلح</w:t>
      </w:r>
      <w:r>
        <w:rPr>
          <w:rFonts w:cs="Traditional Arabic" w:hint="cs"/>
          <w:sz w:val="28"/>
          <w:szCs w:val="32"/>
          <w:rtl/>
        </w:rPr>
        <w:t xml:space="preserve"> .</w:t>
      </w:r>
      <w:r w:rsidRPr="00EC737F">
        <w:rPr>
          <w:rFonts w:cs="Traditional Arabic" w:hint="cs"/>
          <w:sz w:val="28"/>
          <w:szCs w:val="32"/>
          <w:rtl/>
        </w:rPr>
        <w:t xml:space="preserve"> فلا يكون مسئولا نحن الدائن إلا عن الباقي من الدين بعد استنزال الجزء الذي نزل عنه الدائن بالصلح</w:t>
      </w:r>
      <w:r>
        <w:rPr>
          <w:rFonts w:cs="Traditional Arabic" w:hint="cs"/>
          <w:sz w:val="28"/>
          <w:szCs w:val="32"/>
          <w:rtl/>
        </w:rPr>
        <w:t xml:space="preserve"> ،</w:t>
      </w:r>
      <w:r w:rsidRPr="00EC737F">
        <w:rPr>
          <w:rFonts w:cs="Traditional Arabic" w:hint="cs"/>
          <w:sz w:val="28"/>
          <w:szCs w:val="32"/>
          <w:rtl/>
        </w:rPr>
        <w:t xml:space="preserve"> وتكون مسئولية الكفيل في ذلك مثل مسئولية المدين</w:t>
      </w:r>
      <w:r>
        <w:rPr>
          <w:rFonts w:cs="Traditional Arabic" w:hint="cs"/>
          <w:sz w:val="28"/>
          <w:szCs w:val="32"/>
          <w:vertAlign w:val="superscript"/>
          <w:rtl/>
        </w:rPr>
        <w:t xml:space="preserve">( </w:t>
      </w:r>
      <w:r w:rsidRPr="00EC737F">
        <w:rPr>
          <w:rStyle w:val="ab"/>
          <w:rFonts w:cs="Traditional Arabic"/>
          <w:sz w:val="28"/>
          <w:szCs w:val="32"/>
          <w:rtl/>
        </w:rPr>
        <w:footnoteReference w:id="51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91- انقضاء الدين المكفول باستحالة التنفيذ</w:t>
      </w:r>
      <w:r>
        <w:rPr>
          <w:rFonts w:cs="Traditional Arabic" w:hint="cs"/>
          <w:sz w:val="28"/>
          <w:szCs w:val="32"/>
          <w:rtl/>
        </w:rPr>
        <w:t xml:space="preserve"> :</w:t>
      </w:r>
      <w:r w:rsidRPr="00EC737F">
        <w:rPr>
          <w:rFonts w:cs="Traditional Arabic" w:hint="cs"/>
          <w:sz w:val="28"/>
          <w:szCs w:val="32"/>
          <w:rtl/>
        </w:rPr>
        <w:t xml:space="preserve"> وإذا انقضى الدين المكفول باستحال</w:t>
      </w:r>
      <w:r w:rsidRPr="00EC737F">
        <w:rPr>
          <w:rFonts w:cs="Traditional Arabic" w:hint="eastAsia"/>
          <w:sz w:val="28"/>
          <w:szCs w:val="32"/>
          <w:rtl/>
        </w:rPr>
        <w:t>ة</w:t>
      </w:r>
      <w:r w:rsidRPr="00EC737F">
        <w:rPr>
          <w:rFonts w:cs="Traditional Arabic" w:hint="cs"/>
          <w:sz w:val="28"/>
          <w:szCs w:val="32"/>
          <w:rtl/>
        </w:rPr>
        <w:t xml:space="preserve"> التنفيذ لسبب أجنبي</w:t>
      </w:r>
      <w:r>
        <w:rPr>
          <w:rFonts w:cs="Traditional Arabic" w:hint="cs"/>
          <w:sz w:val="28"/>
          <w:szCs w:val="32"/>
          <w:rtl/>
        </w:rPr>
        <w:t xml:space="preserve"> ،</w:t>
      </w:r>
      <w:r w:rsidRPr="00EC737F">
        <w:rPr>
          <w:rFonts w:cs="Traditional Arabic" w:hint="cs"/>
          <w:sz w:val="28"/>
          <w:szCs w:val="32"/>
          <w:rtl/>
        </w:rPr>
        <w:t xml:space="preserve"> انقضت باقتضائه الكفالة</w:t>
      </w:r>
      <w:r>
        <w:rPr>
          <w:rFonts w:cs="Traditional Arabic" w:hint="cs"/>
          <w:sz w:val="28"/>
          <w:szCs w:val="32"/>
          <w:rtl/>
        </w:rPr>
        <w:t xml:space="preserve"> .</w:t>
      </w:r>
      <w:r w:rsidRPr="00EC737F">
        <w:rPr>
          <w:rFonts w:cs="Traditional Arabic" w:hint="cs"/>
          <w:sz w:val="28"/>
          <w:szCs w:val="32"/>
          <w:rtl/>
        </w:rPr>
        <w:t xml:space="preserve"> فإذا كان للدين كفيل</w:t>
      </w:r>
      <w:r>
        <w:rPr>
          <w:rFonts w:cs="Traditional Arabic" w:hint="cs"/>
          <w:sz w:val="28"/>
          <w:szCs w:val="32"/>
          <w:rtl/>
        </w:rPr>
        <w:t xml:space="preserve"> ،</w:t>
      </w:r>
      <w:r w:rsidRPr="00EC737F">
        <w:rPr>
          <w:rFonts w:cs="Traditional Arabic" w:hint="cs"/>
          <w:sz w:val="28"/>
          <w:szCs w:val="32"/>
          <w:rtl/>
        </w:rPr>
        <w:t xml:space="preserve"> ثم استحال تنفيذ الدين بسبب أجنبي فانقضى وبرئت ذمة المدين منه</w:t>
      </w:r>
      <w:r>
        <w:rPr>
          <w:rFonts w:cs="Traditional Arabic" w:hint="cs"/>
          <w:sz w:val="28"/>
          <w:szCs w:val="32"/>
          <w:rtl/>
        </w:rPr>
        <w:t xml:space="preserve"> ،</w:t>
      </w:r>
      <w:r w:rsidRPr="00EC737F">
        <w:rPr>
          <w:rFonts w:cs="Traditional Arabic" w:hint="cs"/>
          <w:sz w:val="28"/>
          <w:szCs w:val="32"/>
          <w:rtl/>
        </w:rPr>
        <w:t xml:space="preserve"> فإن ذمة الكفيل تبرأ تبعاً لبراءة ذمة المدين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استحال تنفيذ الدين بخطأ المدين</w:t>
      </w:r>
      <w:r>
        <w:rPr>
          <w:rFonts w:cs="Traditional Arabic" w:hint="cs"/>
          <w:sz w:val="28"/>
          <w:szCs w:val="32"/>
          <w:rtl/>
        </w:rPr>
        <w:t xml:space="preserve"> ،</w:t>
      </w:r>
      <w:r w:rsidRPr="00EC737F">
        <w:rPr>
          <w:rFonts w:cs="Traditional Arabic" w:hint="cs"/>
          <w:sz w:val="28"/>
          <w:szCs w:val="32"/>
          <w:rtl/>
        </w:rPr>
        <w:t xml:space="preserve"> فإن محل الدين يتحول إلى تعويض</w:t>
      </w:r>
      <w:r>
        <w:rPr>
          <w:rFonts w:cs="Traditional Arabic" w:hint="cs"/>
          <w:sz w:val="28"/>
          <w:szCs w:val="32"/>
          <w:rtl/>
        </w:rPr>
        <w:t xml:space="preserve"> ،</w:t>
      </w:r>
      <w:r w:rsidRPr="00EC737F">
        <w:rPr>
          <w:rFonts w:cs="Traditional Arabic" w:hint="cs"/>
          <w:sz w:val="28"/>
          <w:szCs w:val="32"/>
          <w:rtl/>
        </w:rPr>
        <w:t xml:space="preserve"> ولا تبرأ ذمة المدين</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كذلك لا تبرأ ذمة الكفل</w:t>
      </w:r>
      <w:r>
        <w:rPr>
          <w:rFonts w:cs="Traditional Arabic" w:hint="cs"/>
          <w:sz w:val="28"/>
          <w:szCs w:val="32"/>
          <w:rtl/>
        </w:rPr>
        <w:t xml:space="preserve"> ،</w:t>
      </w:r>
      <w:r w:rsidRPr="00EC737F">
        <w:rPr>
          <w:rFonts w:cs="Traditional Arabic" w:hint="cs"/>
          <w:sz w:val="28"/>
          <w:szCs w:val="32"/>
          <w:rtl/>
        </w:rPr>
        <w:t xml:space="preserve"> بل يبقى كفيلا للتعويض</w:t>
      </w:r>
      <w:r>
        <w:rPr>
          <w:rFonts w:cs="Traditional Arabic" w:hint="cs"/>
          <w:sz w:val="28"/>
          <w:szCs w:val="32"/>
          <w:vertAlign w:val="superscript"/>
          <w:rtl/>
        </w:rPr>
        <w:t xml:space="preserve">( </w:t>
      </w:r>
      <w:r w:rsidRPr="00EC737F">
        <w:rPr>
          <w:rStyle w:val="ab"/>
          <w:rFonts w:cs="Traditional Arabic"/>
          <w:sz w:val="28"/>
          <w:szCs w:val="32"/>
          <w:rtl/>
        </w:rPr>
        <w:footnoteReference w:id="51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إذا هلك الشيء بفعل الكفيل</w:t>
      </w:r>
      <w:r>
        <w:rPr>
          <w:rFonts w:cs="Traditional Arabic" w:hint="cs"/>
          <w:sz w:val="28"/>
          <w:szCs w:val="32"/>
          <w:rtl/>
        </w:rPr>
        <w:t xml:space="preserve"> ،</w:t>
      </w:r>
      <w:r w:rsidRPr="00EC737F">
        <w:rPr>
          <w:rFonts w:cs="Traditional Arabic" w:hint="cs"/>
          <w:sz w:val="28"/>
          <w:szCs w:val="32"/>
          <w:rtl/>
        </w:rPr>
        <w:t xml:space="preserve"> فإن ذمة المدين تبرأ من الدين</w:t>
      </w:r>
      <w:r>
        <w:rPr>
          <w:rFonts w:cs="Traditional Arabic" w:hint="cs"/>
          <w:sz w:val="28"/>
          <w:szCs w:val="32"/>
          <w:rtl/>
        </w:rPr>
        <w:t xml:space="preserve"> ،</w:t>
      </w:r>
      <w:r w:rsidRPr="00EC737F">
        <w:rPr>
          <w:rFonts w:cs="Traditional Arabic" w:hint="cs"/>
          <w:sz w:val="28"/>
          <w:szCs w:val="32"/>
          <w:rtl/>
        </w:rPr>
        <w:t xml:space="preserve"> إذ يعتبر فعل الكفيل سبباً أجنبياً بالنسبة إلى المدين</w:t>
      </w:r>
      <w:r>
        <w:rPr>
          <w:rFonts w:cs="Traditional Arabic" w:hint="cs"/>
          <w:sz w:val="28"/>
          <w:szCs w:val="32"/>
          <w:vertAlign w:val="superscript"/>
          <w:rtl/>
        </w:rPr>
        <w:t xml:space="preserve">( </w:t>
      </w:r>
      <w:r w:rsidRPr="00EC737F">
        <w:rPr>
          <w:rStyle w:val="ab"/>
          <w:rFonts w:cs="Traditional Arabic"/>
          <w:sz w:val="28"/>
          <w:szCs w:val="32"/>
          <w:rtl/>
        </w:rPr>
        <w:footnoteReference w:id="51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وتبرأ ذمة الكفيل باعتباره كفيلا تبعاً لبراءة ذمة المدين</w:t>
      </w:r>
      <w:r>
        <w:rPr>
          <w:rFonts w:cs="Traditional Arabic" w:hint="cs"/>
          <w:sz w:val="28"/>
          <w:szCs w:val="32"/>
          <w:rtl/>
        </w:rPr>
        <w:t xml:space="preserve"> ،</w:t>
      </w:r>
      <w:r w:rsidRPr="00EC737F">
        <w:rPr>
          <w:rFonts w:cs="Traditional Arabic" w:hint="cs"/>
          <w:sz w:val="28"/>
          <w:szCs w:val="32"/>
          <w:rtl/>
        </w:rPr>
        <w:t xml:space="preserve"> ولكن الكفيل يبقى مسئولا عن خطأه كمدين أصلي نحو الدائن</w:t>
      </w:r>
      <w:r>
        <w:rPr>
          <w:rFonts w:cs="Traditional Arabic" w:hint="cs"/>
          <w:sz w:val="28"/>
          <w:szCs w:val="32"/>
          <w:vertAlign w:val="superscript"/>
          <w:rtl/>
        </w:rPr>
        <w:t xml:space="preserve">( </w:t>
      </w:r>
      <w:r w:rsidRPr="00EC737F">
        <w:rPr>
          <w:rStyle w:val="ab"/>
          <w:rFonts w:cs="Traditional Arabic"/>
          <w:sz w:val="28"/>
          <w:szCs w:val="32"/>
          <w:rtl/>
        </w:rPr>
        <w:footnoteReference w:id="51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$231</w:t>
      </w:r>
      <w:r w:rsidRPr="00EC737F">
        <w:rPr>
          <w:rFonts w:cs="Traditional Arabic" w:hint="cs"/>
          <w:b/>
          <w:bCs/>
          <w:sz w:val="28"/>
          <w:szCs w:val="32"/>
          <w:rtl/>
        </w:rPr>
        <w:t xml:space="preserve"> 92- انقضاء الدين المكفول بالتقادم</w:t>
      </w:r>
      <w:r>
        <w:rPr>
          <w:rFonts w:cs="Traditional Arabic" w:hint="cs"/>
          <w:sz w:val="28"/>
          <w:szCs w:val="32"/>
          <w:rtl/>
        </w:rPr>
        <w:t xml:space="preserve"> :</w:t>
      </w:r>
      <w:r w:rsidRPr="00EC737F">
        <w:rPr>
          <w:rFonts w:cs="Traditional Arabic" w:hint="cs"/>
          <w:sz w:val="28"/>
          <w:szCs w:val="32"/>
          <w:rtl/>
        </w:rPr>
        <w:t xml:space="preserve"> وإذا انقضى الدين المكفول بالتقادم</w:t>
      </w:r>
      <w:r>
        <w:rPr>
          <w:rFonts w:cs="Traditional Arabic" w:hint="cs"/>
          <w:sz w:val="28"/>
          <w:szCs w:val="32"/>
          <w:rtl/>
        </w:rPr>
        <w:t xml:space="preserve"> ،</w:t>
      </w:r>
      <w:r w:rsidRPr="00EC737F">
        <w:rPr>
          <w:rFonts w:cs="Traditional Arabic" w:hint="cs"/>
          <w:sz w:val="28"/>
          <w:szCs w:val="32"/>
          <w:rtl/>
        </w:rPr>
        <w:t xml:space="preserve"> انقضت باقتضائه الكفالة</w:t>
      </w:r>
      <w:r>
        <w:rPr>
          <w:rFonts w:cs="Traditional Arabic" w:hint="cs"/>
          <w:sz w:val="28"/>
          <w:szCs w:val="32"/>
          <w:rtl/>
        </w:rPr>
        <w:t xml:space="preserve"> ،</w:t>
      </w:r>
      <w:r w:rsidRPr="00EC737F">
        <w:rPr>
          <w:rFonts w:cs="Traditional Arabic" w:hint="cs"/>
          <w:sz w:val="28"/>
          <w:szCs w:val="32"/>
          <w:rtl/>
        </w:rPr>
        <w:t xml:space="preserve"> وذلك حتى لو كان التزام الكفيل التابع لم ينقص هو نفسه بالتقادم</w:t>
      </w:r>
      <w:r>
        <w:rPr>
          <w:rFonts w:cs="Traditional Arabic" w:hint="cs"/>
          <w:sz w:val="28"/>
          <w:szCs w:val="32"/>
          <w:rtl/>
        </w:rPr>
        <w:t xml:space="preserve"> .</w:t>
      </w:r>
      <w:r w:rsidRPr="00EC737F">
        <w:rPr>
          <w:rFonts w:cs="Traditional Arabic" w:hint="cs"/>
          <w:sz w:val="28"/>
          <w:szCs w:val="32"/>
          <w:rtl/>
        </w:rPr>
        <w:t xml:space="preserve"> والغالب أن يسري التقادم بالنسبة إلى الدين الأصلي في الوقت الذي يسري فيه بالنسبة إلى التزام الكفيل</w:t>
      </w:r>
      <w:r>
        <w:rPr>
          <w:rFonts w:cs="Traditional Arabic" w:hint="cs"/>
          <w:sz w:val="28"/>
          <w:szCs w:val="32"/>
          <w:rtl/>
        </w:rPr>
        <w:t xml:space="preserve"> ،</w:t>
      </w:r>
      <w:r w:rsidRPr="00EC737F">
        <w:rPr>
          <w:rFonts w:cs="Traditional Arabic" w:hint="cs"/>
          <w:sz w:val="28"/>
          <w:szCs w:val="32"/>
          <w:rtl/>
        </w:rPr>
        <w:t xml:space="preserve"> فينقضي الدينان بالتقادم في وقت واحد</w:t>
      </w:r>
      <w:r>
        <w:rPr>
          <w:rFonts w:cs="Traditional Arabic" w:hint="cs"/>
          <w:sz w:val="28"/>
          <w:szCs w:val="32"/>
          <w:rtl/>
        </w:rPr>
        <w:t xml:space="preserve"> .</w:t>
      </w:r>
      <w:r w:rsidRPr="00EC737F">
        <w:rPr>
          <w:rFonts w:cs="Traditional Arabic" w:hint="cs"/>
          <w:sz w:val="28"/>
          <w:szCs w:val="32"/>
          <w:rtl/>
        </w:rPr>
        <w:t xml:space="preserve"> وعندئذ تبرأ ذمة الكفيل إما لأن المدين الأصلي قد برئت ذمته والكفيل تابع للمدين الأصلي</w:t>
      </w:r>
      <w:r>
        <w:rPr>
          <w:rFonts w:cs="Traditional Arabic" w:hint="cs"/>
          <w:sz w:val="28"/>
          <w:szCs w:val="32"/>
          <w:rtl/>
        </w:rPr>
        <w:t xml:space="preserve"> ،</w:t>
      </w:r>
      <w:r w:rsidRPr="00EC737F">
        <w:rPr>
          <w:rFonts w:cs="Traditional Arabic" w:hint="cs"/>
          <w:sz w:val="28"/>
          <w:szCs w:val="32"/>
          <w:rtl/>
        </w:rPr>
        <w:t xml:space="preserve"> أو لأن التزام الكيل التابع قد انقضى هو نفسه بالتقادم مستقلا عن الدين الأصلي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ولكن يحدث أن الدين الأصلي ينقضي بالتقادم دون أن ينقضي التزام الكفيل</w:t>
      </w:r>
      <w:r>
        <w:rPr>
          <w:rFonts w:cs="Traditional Arabic" w:hint="cs"/>
          <w:sz w:val="28"/>
          <w:szCs w:val="32"/>
          <w:rtl/>
        </w:rPr>
        <w:t xml:space="preserve"> ،</w:t>
      </w:r>
      <w:r w:rsidRPr="00EC737F">
        <w:rPr>
          <w:rFonts w:cs="Traditional Arabic" w:hint="cs"/>
          <w:sz w:val="28"/>
          <w:szCs w:val="32"/>
          <w:rtl/>
        </w:rPr>
        <w:t xml:space="preserve"> ويقع ذلك إذا كان التزام الكفيل قد نشأ بعد الدين الأصلي بأن يضمن الكفيل الدين بعد نشوئه</w:t>
      </w:r>
      <w:r>
        <w:rPr>
          <w:rFonts w:cs="Traditional Arabic" w:hint="cs"/>
          <w:sz w:val="28"/>
          <w:szCs w:val="32"/>
          <w:rtl/>
        </w:rPr>
        <w:t xml:space="preserve"> ،</w:t>
      </w:r>
      <w:r w:rsidRPr="00EC737F">
        <w:rPr>
          <w:rFonts w:cs="Traditional Arabic" w:hint="cs"/>
          <w:sz w:val="28"/>
          <w:szCs w:val="32"/>
          <w:rtl/>
        </w:rPr>
        <w:t xml:space="preserve"> أو حدد لالتزام الكفل أجل أبعد من الأجل الذي حدد لإلزام المدين</w:t>
      </w:r>
      <w:r>
        <w:rPr>
          <w:rFonts w:cs="Traditional Arabic" w:hint="cs"/>
          <w:sz w:val="28"/>
          <w:szCs w:val="32"/>
          <w:rtl/>
        </w:rPr>
        <w:t xml:space="preserve"> .</w:t>
      </w:r>
      <w:r w:rsidRPr="00EC737F">
        <w:rPr>
          <w:rFonts w:cs="Traditional Arabic" w:hint="cs"/>
          <w:sz w:val="28"/>
          <w:szCs w:val="32"/>
          <w:rtl/>
        </w:rPr>
        <w:t xml:space="preserve"> فعند ذلك يتقادم الدين الأصلي قبل أن يتقادم التزام الكفيل</w:t>
      </w:r>
      <w:r>
        <w:rPr>
          <w:rFonts w:cs="Traditional Arabic" w:hint="cs"/>
          <w:sz w:val="28"/>
          <w:szCs w:val="32"/>
          <w:rtl/>
        </w:rPr>
        <w:t xml:space="preserve"> ،</w:t>
      </w:r>
      <w:r w:rsidRPr="00EC737F">
        <w:rPr>
          <w:rFonts w:cs="Traditional Arabic" w:hint="cs"/>
          <w:sz w:val="28"/>
          <w:szCs w:val="32"/>
          <w:rtl/>
        </w:rPr>
        <w:t xml:space="preserve"> ويتقادم الدين الأصلي تبرأ ذمة الكفيل تبعاً لانقضاء الدين الأصلي</w:t>
      </w:r>
      <w:r>
        <w:rPr>
          <w:rFonts w:cs="Traditional Arabic" w:hint="cs"/>
          <w:sz w:val="28"/>
          <w:szCs w:val="32"/>
          <w:rtl/>
        </w:rPr>
        <w:t xml:space="preserve"> ،</w:t>
      </w:r>
      <w:r w:rsidRPr="00EC737F">
        <w:rPr>
          <w:rFonts w:cs="Traditional Arabic" w:hint="cs"/>
          <w:sz w:val="28"/>
          <w:szCs w:val="32"/>
          <w:rtl/>
        </w:rPr>
        <w:t xml:space="preserve"> وذلك دون أن يتقادم التزام الكفيل</w:t>
      </w:r>
      <w:r>
        <w:rPr>
          <w:rFonts w:cs="Traditional Arabic" w:hint="cs"/>
          <w:sz w:val="28"/>
          <w:szCs w:val="32"/>
          <w:vertAlign w:val="superscript"/>
          <w:rtl/>
        </w:rPr>
        <w:t xml:space="preserve">( </w:t>
      </w:r>
      <w:r w:rsidRPr="00EC737F">
        <w:rPr>
          <w:rStyle w:val="ab"/>
          <w:rFonts w:cs="Traditional Arabic"/>
          <w:sz w:val="28"/>
          <w:szCs w:val="32"/>
          <w:rtl/>
        </w:rPr>
        <w:footnoteReference w:id="51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وحتى إذا بدأ سريان تقادم التزام الكفيل في الوقت الذي بدأ فيه سريان تقادم الدين الأصلي</w:t>
      </w:r>
      <w:r>
        <w:rPr>
          <w:rFonts w:cs="Traditional Arabic" w:hint="cs"/>
          <w:sz w:val="28"/>
          <w:szCs w:val="32"/>
          <w:rtl/>
        </w:rPr>
        <w:t xml:space="preserve"> ،</w:t>
      </w:r>
      <w:r w:rsidRPr="00EC737F">
        <w:rPr>
          <w:rFonts w:cs="Traditional Arabic" w:hint="cs"/>
          <w:sz w:val="28"/>
          <w:szCs w:val="32"/>
          <w:rtl/>
        </w:rPr>
        <w:t xml:space="preserve"> فقد يقطع التقادم بالنسبة إلى الكفيل فلا ينقطع بالنسبة إلى المدين الأصلي</w:t>
      </w:r>
      <w:r>
        <w:rPr>
          <w:rFonts w:cs="Traditional Arabic" w:hint="cs"/>
          <w:sz w:val="28"/>
          <w:szCs w:val="32"/>
          <w:rtl/>
        </w:rPr>
        <w:t xml:space="preserve"> .</w:t>
      </w:r>
      <w:r w:rsidRPr="00EC737F">
        <w:rPr>
          <w:rFonts w:cs="Traditional Arabic" w:hint="cs"/>
          <w:sz w:val="28"/>
          <w:szCs w:val="32"/>
          <w:rtl/>
        </w:rPr>
        <w:t xml:space="preserve"> فيتقادم الدين الأصلي في هذه الحالة قبل أن يتقادم التزام الكفيل</w:t>
      </w:r>
      <w:r>
        <w:rPr>
          <w:rFonts w:cs="Traditional Arabic" w:hint="cs"/>
          <w:sz w:val="28"/>
          <w:szCs w:val="32"/>
          <w:rtl/>
        </w:rPr>
        <w:t xml:space="preserve"> ،</w:t>
      </w:r>
      <w:r w:rsidRPr="00EC737F">
        <w:rPr>
          <w:rFonts w:cs="Traditional Arabic" w:hint="cs"/>
          <w:sz w:val="28"/>
          <w:szCs w:val="32"/>
          <w:rtl/>
        </w:rPr>
        <w:t xml:space="preserve"> فتبرأ ذمة الكفيل تبعاً لبراءة ذمة المدين الأصلي دون أن يتقادم </w:t>
      </w:r>
      <w:r w:rsidRPr="00EC737F">
        <w:rPr>
          <w:rFonts w:cs="Traditional Arabic" w:hint="cs"/>
          <w:sz w:val="28"/>
          <w:szCs w:val="32"/>
          <w:rtl/>
        </w:rPr>
        <w:lastRenderedPageBreak/>
        <w:t>التزام الكفيل</w:t>
      </w:r>
      <w:r>
        <w:rPr>
          <w:rFonts w:cs="Traditional Arabic" w:hint="cs"/>
          <w:sz w:val="28"/>
          <w:szCs w:val="32"/>
          <w:vertAlign w:val="superscript"/>
          <w:rtl/>
        </w:rPr>
        <w:t xml:space="preserve">( </w:t>
      </w:r>
      <w:r w:rsidRPr="00EC737F">
        <w:rPr>
          <w:rStyle w:val="ab"/>
          <w:rFonts w:cs="Traditional Arabic"/>
          <w:sz w:val="28"/>
          <w:szCs w:val="32"/>
          <w:rtl/>
        </w:rPr>
        <w:footnoteReference w:id="51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$232 يقف التقادم بالنسبة إلى الكفيل لوجود مانع يتعذر معه على الدائن أن يطالب بحقه </w:t>
      </w:r>
      <w:r>
        <w:rPr>
          <w:rFonts w:cs="Traditional Arabic" w:hint="cs"/>
          <w:sz w:val="28"/>
          <w:szCs w:val="32"/>
          <w:rtl/>
        </w:rPr>
        <w:t xml:space="preserve">( </w:t>
      </w:r>
      <w:r w:rsidRPr="00EC737F">
        <w:rPr>
          <w:rFonts w:cs="Traditional Arabic" w:hint="cs"/>
          <w:sz w:val="28"/>
          <w:szCs w:val="32"/>
          <w:rtl/>
        </w:rPr>
        <w:t>م 382/1 مدني</w:t>
      </w:r>
      <w:r>
        <w:rPr>
          <w:rFonts w:cs="Traditional Arabic" w:hint="cs"/>
          <w:sz w:val="28"/>
          <w:szCs w:val="32"/>
          <w:rtl/>
        </w:rPr>
        <w:t xml:space="preserve"> ) ،</w:t>
      </w:r>
      <w:r w:rsidRPr="00EC737F">
        <w:rPr>
          <w:rFonts w:cs="Traditional Arabic" w:hint="cs"/>
          <w:sz w:val="28"/>
          <w:szCs w:val="32"/>
          <w:rtl/>
        </w:rPr>
        <w:t xml:space="preserve"> ولا يوجد هذا المانع بالنسبة إلى المدين</w:t>
      </w:r>
      <w:r>
        <w:rPr>
          <w:rFonts w:cs="Traditional Arabic" w:hint="cs"/>
          <w:sz w:val="28"/>
          <w:szCs w:val="32"/>
          <w:rtl/>
        </w:rPr>
        <w:t xml:space="preserve"> .</w:t>
      </w:r>
      <w:r w:rsidRPr="00EC737F">
        <w:rPr>
          <w:rFonts w:cs="Traditional Arabic" w:hint="cs"/>
          <w:sz w:val="28"/>
          <w:szCs w:val="32"/>
          <w:rtl/>
        </w:rPr>
        <w:t xml:space="preserve"> فيتقادم الدين الأصلي قبل أن يتقادم التزام الكفيل</w:t>
      </w:r>
      <w:r>
        <w:rPr>
          <w:rFonts w:cs="Traditional Arabic" w:hint="cs"/>
          <w:sz w:val="28"/>
          <w:szCs w:val="32"/>
          <w:rtl/>
        </w:rPr>
        <w:t xml:space="preserve"> ،</w:t>
      </w:r>
      <w:r w:rsidRPr="00EC737F">
        <w:rPr>
          <w:rFonts w:cs="Traditional Arabic" w:hint="cs"/>
          <w:sz w:val="28"/>
          <w:szCs w:val="32"/>
          <w:rtl/>
        </w:rPr>
        <w:t xml:space="preserve"> فتبرأ ذمة الكفيل تبعاً لبراءة ذمة المدين الأصلي دون أن يتقادم التزام الكفيل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ويحدث كذلك أن التزام الكفيل ينقضي بالتقادم</w:t>
      </w:r>
      <w:r>
        <w:rPr>
          <w:rFonts w:cs="Traditional Arabic" w:hint="cs"/>
          <w:sz w:val="28"/>
          <w:szCs w:val="32"/>
          <w:rtl/>
        </w:rPr>
        <w:t xml:space="preserve"> ،</w:t>
      </w:r>
      <w:r w:rsidRPr="00EC737F">
        <w:rPr>
          <w:rFonts w:cs="Traditional Arabic" w:hint="cs"/>
          <w:sz w:val="28"/>
          <w:szCs w:val="32"/>
          <w:rtl/>
        </w:rPr>
        <w:t xml:space="preserve"> دون أن ينقضي بالتقادم الدين الأصلي</w:t>
      </w:r>
      <w:r>
        <w:rPr>
          <w:rFonts w:cs="Traditional Arabic" w:hint="cs"/>
          <w:sz w:val="28"/>
          <w:szCs w:val="32"/>
          <w:rtl/>
        </w:rPr>
        <w:t xml:space="preserve"> .</w:t>
      </w:r>
      <w:r w:rsidRPr="00EC737F">
        <w:rPr>
          <w:rFonts w:cs="Traditional Arabic" w:hint="cs"/>
          <w:sz w:val="28"/>
          <w:szCs w:val="32"/>
          <w:rtl/>
        </w:rPr>
        <w:t xml:space="preserve"> ويكون ذلك بقطع التقادم بالنسبة إلى المدين الأصلي</w:t>
      </w:r>
      <w:r>
        <w:rPr>
          <w:rFonts w:cs="Traditional Arabic" w:hint="cs"/>
          <w:sz w:val="28"/>
          <w:szCs w:val="32"/>
          <w:rtl/>
        </w:rPr>
        <w:t xml:space="preserve"> ،</w:t>
      </w:r>
      <w:r w:rsidRPr="00EC737F">
        <w:rPr>
          <w:rFonts w:cs="Traditional Arabic" w:hint="cs"/>
          <w:sz w:val="28"/>
          <w:szCs w:val="32"/>
          <w:rtl/>
        </w:rPr>
        <w:t xml:space="preserve"> فإن قطع التقادم بالنسبة إلى هذا المدين لا يقطعه بالنسبة إلى الكفيل</w:t>
      </w:r>
      <w:r>
        <w:rPr>
          <w:rFonts w:cs="Traditional Arabic" w:hint="cs"/>
          <w:sz w:val="28"/>
          <w:szCs w:val="32"/>
          <w:vertAlign w:val="superscript"/>
          <w:rtl/>
        </w:rPr>
        <w:t xml:space="preserve">( </w:t>
      </w:r>
      <w:r w:rsidRPr="00EC737F">
        <w:rPr>
          <w:rStyle w:val="ab"/>
          <w:rFonts w:cs="Traditional Arabic"/>
          <w:sz w:val="28"/>
          <w:szCs w:val="32"/>
          <w:rtl/>
        </w:rPr>
        <w:footnoteReference w:id="51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يقف التقادم بالنسبة إلى المدين الأصلي بأن يوجد مانع يتعذر معه على الدائن أن يطالب المدين بحقه </w:t>
      </w:r>
      <w:r>
        <w:rPr>
          <w:rFonts w:cs="Traditional Arabic" w:hint="cs"/>
          <w:sz w:val="28"/>
          <w:szCs w:val="32"/>
          <w:rtl/>
        </w:rPr>
        <w:t xml:space="preserve">( </w:t>
      </w:r>
      <w:r w:rsidRPr="00EC737F">
        <w:rPr>
          <w:rFonts w:cs="Traditional Arabic" w:hint="cs"/>
          <w:sz w:val="28"/>
          <w:szCs w:val="32"/>
          <w:rtl/>
        </w:rPr>
        <w:t>م 382/1 مدني</w:t>
      </w:r>
      <w:r>
        <w:rPr>
          <w:rFonts w:cs="Traditional Arabic" w:hint="cs"/>
          <w:sz w:val="28"/>
          <w:szCs w:val="32"/>
          <w:rtl/>
        </w:rPr>
        <w:t xml:space="preserve"> ) ،</w:t>
      </w:r>
      <w:r w:rsidRPr="00EC737F">
        <w:rPr>
          <w:rFonts w:cs="Traditional Arabic" w:hint="cs"/>
          <w:sz w:val="28"/>
          <w:szCs w:val="32"/>
          <w:rtl/>
        </w:rPr>
        <w:t xml:space="preserve"> ولا يوجد هذا المانع بالنسبة إلى الكفيل</w:t>
      </w:r>
      <w:r>
        <w:rPr>
          <w:rFonts w:cs="Traditional Arabic" w:hint="cs"/>
          <w:sz w:val="28"/>
          <w:szCs w:val="32"/>
          <w:rtl/>
        </w:rPr>
        <w:t xml:space="preserve"> .</w:t>
      </w:r>
      <w:r w:rsidRPr="00EC737F">
        <w:rPr>
          <w:rFonts w:cs="Traditional Arabic" w:hint="cs"/>
          <w:sz w:val="28"/>
          <w:szCs w:val="32"/>
          <w:rtl/>
        </w:rPr>
        <w:t xml:space="preserve"> فعند ذلك لا ينقطع التقادم ولا يقف بالنسب إلى الكفيل</w:t>
      </w:r>
      <w:r>
        <w:rPr>
          <w:rFonts w:cs="Traditional Arabic" w:hint="cs"/>
          <w:sz w:val="28"/>
          <w:szCs w:val="32"/>
          <w:rtl/>
        </w:rPr>
        <w:t xml:space="preserve"> ،</w:t>
      </w:r>
      <w:r w:rsidRPr="00EC737F">
        <w:rPr>
          <w:rFonts w:cs="Traditional Arabic" w:hint="cs"/>
          <w:sz w:val="28"/>
          <w:szCs w:val="32"/>
          <w:rtl/>
        </w:rPr>
        <w:t xml:space="preserve"> ويتقادم التزامه قبل أن يتقادم الدين الأصلي</w:t>
      </w:r>
      <w:r>
        <w:rPr>
          <w:rFonts w:cs="Traditional Arabic" w:hint="cs"/>
          <w:sz w:val="28"/>
          <w:szCs w:val="32"/>
          <w:rtl/>
        </w:rPr>
        <w:t xml:space="preserve"> .</w:t>
      </w:r>
      <w:r w:rsidRPr="00EC737F">
        <w:rPr>
          <w:rFonts w:cs="Traditional Arabic" w:hint="cs"/>
          <w:sz w:val="28"/>
          <w:szCs w:val="32"/>
          <w:rtl/>
        </w:rPr>
        <w:t xml:space="preserve"> فتبرأ ذمة الكفيل بصفة أصلية كما سيأتي</w:t>
      </w:r>
      <w:r>
        <w:rPr>
          <w:rFonts w:cs="Traditional Arabic" w:hint="cs"/>
          <w:sz w:val="28"/>
          <w:szCs w:val="32"/>
          <w:rtl/>
        </w:rPr>
        <w:t xml:space="preserve"> ،</w:t>
      </w:r>
      <w:r w:rsidRPr="00EC737F">
        <w:rPr>
          <w:rFonts w:cs="Traditional Arabic" w:hint="cs"/>
          <w:sz w:val="28"/>
          <w:szCs w:val="32"/>
          <w:rtl/>
        </w:rPr>
        <w:t xml:space="preserve"> دون أن تبرأ ذمة المدين الأصلي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تقادم الدين الأصلي</w:t>
      </w:r>
      <w:r>
        <w:rPr>
          <w:rFonts w:cs="Traditional Arabic" w:hint="cs"/>
          <w:sz w:val="28"/>
          <w:szCs w:val="32"/>
          <w:rtl/>
        </w:rPr>
        <w:t xml:space="preserve"> ،</w:t>
      </w:r>
      <w:r w:rsidRPr="00EC737F">
        <w:rPr>
          <w:rFonts w:cs="Traditional Arabic" w:hint="cs"/>
          <w:sz w:val="28"/>
          <w:szCs w:val="32"/>
          <w:rtl/>
        </w:rPr>
        <w:t xml:space="preserve"> برئت ذمة الكفيل تبعاً لذلك كما قدمنا</w:t>
      </w:r>
      <w:r>
        <w:rPr>
          <w:rFonts w:cs="Traditional Arabic" w:hint="cs"/>
          <w:sz w:val="28"/>
          <w:szCs w:val="32"/>
          <w:rtl/>
        </w:rPr>
        <w:t xml:space="preserve"> ،</w:t>
      </w:r>
      <w:r w:rsidRPr="00EC737F">
        <w:rPr>
          <w:rFonts w:cs="Traditional Arabic" w:hint="cs"/>
          <w:sz w:val="28"/>
          <w:szCs w:val="32"/>
          <w:rtl/>
        </w:rPr>
        <w:t xml:space="preserve"> حتى لو لم يتمسك المدين </w:t>
      </w:r>
      <w:r w:rsidRPr="00EC737F">
        <w:rPr>
          <w:rFonts w:cs="Traditional Arabic" w:hint="cs"/>
          <w:sz w:val="28"/>
          <w:szCs w:val="32"/>
          <w:rtl/>
        </w:rPr>
        <w:lastRenderedPageBreak/>
        <w:t>الأصلي بالتقادم</w:t>
      </w:r>
      <w:r>
        <w:rPr>
          <w:rFonts w:cs="Traditional Arabic" w:hint="cs"/>
          <w:sz w:val="28"/>
          <w:szCs w:val="32"/>
          <w:rtl/>
        </w:rPr>
        <w:t xml:space="preserve"> ،</w:t>
      </w:r>
      <w:r w:rsidRPr="00EC737F">
        <w:rPr>
          <w:rFonts w:cs="Traditional Arabic" w:hint="cs"/>
          <w:sz w:val="28"/>
          <w:szCs w:val="32"/>
          <w:rtl/>
        </w:rPr>
        <w:t xml:space="preserve"> أو حتى لو نزل عنه</w:t>
      </w:r>
      <w:r>
        <w:rPr>
          <w:rFonts w:cs="Traditional Arabic" w:hint="cs"/>
          <w:sz w:val="28"/>
          <w:szCs w:val="32"/>
          <w:vertAlign w:val="superscript"/>
          <w:rtl/>
        </w:rPr>
        <w:t xml:space="preserve">( </w:t>
      </w:r>
      <w:r w:rsidRPr="00EC737F">
        <w:rPr>
          <w:rStyle w:val="ab"/>
          <w:rFonts w:cs="Traditional Arabic"/>
          <w:sz w:val="28"/>
          <w:szCs w:val="32"/>
          <w:rtl/>
        </w:rPr>
        <w:footnoteReference w:id="51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فإن كان المدين الأصلي لم يتمسك بالتقادم</w:t>
      </w:r>
      <w:r>
        <w:rPr>
          <w:rFonts w:cs="Traditional Arabic" w:hint="cs"/>
          <w:sz w:val="28"/>
          <w:szCs w:val="32"/>
          <w:rtl/>
        </w:rPr>
        <w:t xml:space="preserve"> ،</w:t>
      </w:r>
      <w:r w:rsidRPr="00EC737F">
        <w:rPr>
          <w:rFonts w:cs="Traditional Arabic" w:hint="cs"/>
          <w:sz w:val="28"/>
          <w:szCs w:val="32"/>
          <w:rtl/>
        </w:rPr>
        <w:t xml:space="preserve"> جاز للكفيل أن يتمسك به هو تطبيقاً $233 للمادة 387/1 مدني وتنص على أنه "لا يجوز للمحكمة أن تقضي بالتقادم من تلقاء نفسها</w:t>
      </w:r>
      <w:r>
        <w:rPr>
          <w:rFonts w:cs="Traditional Arabic" w:hint="cs"/>
          <w:sz w:val="28"/>
          <w:szCs w:val="32"/>
          <w:rtl/>
        </w:rPr>
        <w:t xml:space="preserve"> ،</w:t>
      </w:r>
      <w:r w:rsidRPr="00EC737F">
        <w:rPr>
          <w:rFonts w:cs="Traditional Arabic" w:hint="cs"/>
          <w:sz w:val="28"/>
          <w:szCs w:val="32"/>
          <w:rtl/>
        </w:rPr>
        <w:t xml:space="preserve"> بل يجب أن يكون ذلك بناء على طلب المدين أو بناء على طلب دائنيه أو أي شخص له شخص له مصلحة فيه ولو لم يتمسك به المدين</w:t>
      </w:r>
      <w:r>
        <w:rPr>
          <w:rFonts w:cs="Traditional Arabic" w:hint="cs"/>
          <w:sz w:val="28"/>
          <w:szCs w:val="32"/>
          <w:rtl/>
        </w:rPr>
        <w:t xml:space="preserve"> .</w:t>
      </w:r>
      <w:r w:rsidRPr="00EC737F">
        <w:rPr>
          <w:rFonts w:cs="Traditional Arabic" w:hint="cs"/>
          <w:sz w:val="28"/>
          <w:szCs w:val="32"/>
          <w:rtl/>
        </w:rPr>
        <w:t xml:space="preserve"> والكفيل لا شك في أن له مصلحة في التمسك بتقادم الدين الأصلي</w:t>
      </w:r>
      <w:r>
        <w:rPr>
          <w:rFonts w:cs="Traditional Arabic" w:hint="cs"/>
          <w:sz w:val="28"/>
          <w:szCs w:val="32"/>
          <w:rtl/>
        </w:rPr>
        <w:t xml:space="preserve"> ،</w:t>
      </w:r>
      <w:r w:rsidRPr="00EC737F">
        <w:rPr>
          <w:rFonts w:cs="Traditional Arabic" w:hint="cs"/>
          <w:sz w:val="28"/>
          <w:szCs w:val="32"/>
          <w:rtl/>
        </w:rPr>
        <w:t xml:space="preserve"> إذ تبرأ ذمته من الكفالة</w:t>
      </w:r>
      <w:r>
        <w:rPr>
          <w:rFonts w:cs="Traditional Arabic" w:hint="cs"/>
          <w:sz w:val="28"/>
          <w:szCs w:val="32"/>
          <w:rtl/>
        </w:rPr>
        <w:t xml:space="preserve"> .</w:t>
      </w:r>
      <w:r w:rsidRPr="00EC737F">
        <w:rPr>
          <w:rFonts w:cs="Traditional Arabic" w:hint="cs"/>
          <w:sz w:val="28"/>
          <w:szCs w:val="32"/>
          <w:rtl/>
        </w:rPr>
        <w:t xml:space="preserve"> وإن كان المدين الأصلي قد نزل عن التقادم</w:t>
      </w:r>
      <w:r>
        <w:rPr>
          <w:rFonts w:cs="Traditional Arabic" w:hint="cs"/>
          <w:sz w:val="28"/>
          <w:szCs w:val="32"/>
          <w:rtl/>
        </w:rPr>
        <w:t xml:space="preserve"> ،</w:t>
      </w:r>
      <w:r w:rsidRPr="00EC737F">
        <w:rPr>
          <w:rFonts w:cs="Traditional Arabic" w:hint="cs"/>
          <w:sz w:val="28"/>
          <w:szCs w:val="32"/>
          <w:rtl/>
        </w:rPr>
        <w:t xml:space="preserve"> جاز للكفيل أن يطعن في هذا النزول بالدعوى البولصية باعتباره دائناً للمدين الأصلي</w:t>
      </w:r>
      <w:r>
        <w:rPr>
          <w:rFonts w:cs="Traditional Arabic" w:hint="cs"/>
          <w:sz w:val="28"/>
          <w:szCs w:val="32"/>
          <w:rtl/>
        </w:rPr>
        <w:t xml:space="preserve"> ،</w:t>
      </w:r>
      <w:r w:rsidRPr="00EC737F">
        <w:rPr>
          <w:rFonts w:cs="Traditional Arabic" w:hint="cs"/>
          <w:sz w:val="28"/>
          <w:szCs w:val="32"/>
          <w:rtl/>
        </w:rPr>
        <w:t xml:space="preserve"> وذلك تطبيقاً للمادة 388/2 مدني وتنص على ما يأتي</w:t>
      </w:r>
      <w:r>
        <w:rPr>
          <w:rFonts w:cs="Traditional Arabic" w:hint="cs"/>
          <w:sz w:val="28"/>
          <w:szCs w:val="32"/>
          <w:rtl/>
        </w:rPr>
        <w:t xml:space="preserve"> :</w:t>
      </w:r>
      <w:r w:rsidRPr="00EC737F">
        <w:rPr>
          <w:rFonts w:cs="Traditional Arabic" w:hint="cs"/>
          <w:sz w:val="28"/>
          <w:szCs w:val="32"/>
          <w:rtl/>
        </w:rPr>
        <w:t xml:space="preserve"> "وإنما يجوز الكل شخص يملك التصرف في حقوقه أن ينزل ضمناً عن التقادم بعد ثبوت الحق فيه</w:t>
      </w:r>
      <w:r>
        <w:rPr>
          <w:rFonts w:cs="Traditional Arabic" w:hint="cs"/>
          <w:sz w:val="28"/>
          <w:szCs w:val="32"/>
          <w:rtl/>
        </w:rPr>
        <w:t xml:space="preserve"> ،</w:t>
      </w:r>
      <w:r w:rsidRPr="00EC737F">
        <w:rPr>
          <w:rFonts w:cs="Traditional Arabic" w:hint="cs"/>
          <w:sz w:val="28"/>
          <w:szCs w:val="32"/>
          <w:rtl/>
        </w:rPr>
        <w:t xml:space="preserve"> على أن هذا النزول لا ينفذ في حق الدائنين إذا صدر إضرار بهم"</w:t>
      </w:r>
      <w:r>
        <w:rPr>
          <w:rFonts w:cs="Traditional Arabic" w:hint="cs"/>
          <w:sz w:val="28"/>
          <w:szCs w:val="32"/>
          <w:vertAlign w:val="superscript"/>
          <w:rtl/>
        </w:rPr>
        <w:t xml:space="preserve">( </w:t>
      </w:r>
      <w:r w:rsidRPr="00EC737F">
        <w:rPr>
          <w:rStyle w:val="ab"/>
          <w:rFonts w:cs="Traditional Arabic"/>
          <w:sz w:val="28"/>
          <w:szCs w:val="32"/>
          <w:rtl/>
        </w:rPr>
        <w:footnoteReference w:id="51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93- انقضاء الكفالة بفسخ الدين المكفول أو بإبطاله</w:t>
      </w:r>
      <w:r>
        <w:rPr>
          <w:rFonts w:cs="Traditional Arabic" w:hint="cs"/>
          <w:sz w:val="28"/>
          <w:szCs w:val="32"/>
          <w:rtl/>
        </w:rPr>
        <w:t xml:space="preserve"> :</w:t>
      </w:r>
      <w:r w:rsidRPr="00EC737F">
        <w:rPr>
          <w:rFonts w:cs="Traditional Arabic" w:hint="cs"/>
          <w:sz w:val="28"/>
          <w:szCs w:val="32"/>
          <w:rtl/>
        </w:rPr>
        <w:t xml:space="preserve"> وقد يزول الدين المكفول بفسخ العقد الذي أنشأه</w:t>
      </w:r>
      <w:r>
        <w:rPr>
          <w:rFonts w:cs="Traditional Arabic" w:hint="cs"/>
          <w:sz w:val="28"/>
          <w:szCs w:val="32"/>
          <w:rtl/>
        </w:rPr>
        <w:t xml:space="preserve"> ،</w:t>
      </w:r>
      <w:r w:rsidRPr="00EC737F">
        <w:rPr>
          <w:rFonts w:cs="Traditional Arabic" w:hint="cs"/>
          <w:sz w:val="28"/>
          <w:szCs w:val="32"/>
          <w:rtl/>
        </w:rPr>
        <w:t xml:space="preserve"> فيصبح الدين كأن لم يكن</w:t>
      </w:r>
      <w:r>
        <w:rPr>
          <w:rFonts w:cs="Traditional Arabic" w:hint="cs"/>
          <w:sz w:val="28"/>
          <w:szCs w:val="32"/>
          <w:rtl/>
        </w:rPr>
        <w:t xml:space="preserve"> ،</w:t>
      </w:r>
      <w:r w:rsidRPr="00EC737F">
        <w:rPr>
          <w:rFonts w:cs="Traditional Arabic" w:hint="cs"/>
          <w:sz w:val="28"/>
          <w:szCs w:val="32"/>
          <w:rtl/>
        </w:rPr>
        <w:t xml:space="preserve"> وكذلك تصبح الكفالة كأن لم تكن تبعاً للدين</w:t>
      </w:r>
      <w:r>
        <w:rPr>
          <w:rFonts w:cs="Traditional Arabic" w:hint="cs"/>
          <w:sz w:val="28"/>
          <w:szCs w:val="32"/>
          <w:rtl/>
        </w:rPr>
        <w:t xml:space="preserve"> .</w:t>
      </w:r>
      <w:r w:rsidRPr="00EC737F">
        <w:rPr>
          <w:rFonts w:cs="Traditional Arabic" w:hint="cs"/>
          <w:sz w:val="28"/>
          <w:szCs w:val="32"/>
          <w:rtl/>
        </w:rPr>
        <w:t xml:space="preserve"> مثل ذلك أن يضمن كفيل التزام المشتري بدفع الثمن</w:t>
      </w:r>
      <w:r>
        <w:rPr>
          <w:rFonts w:cs="Traditional Arabic" w:hint="cs"/>
          <w:sz w:val="28"/>
          <w:szCs w:val="32"/>
          <w:rtl/>
        </w:rPr>
        <w:t xml:space="preserve"> ،</w:t>
      </w:r>
      <w:r w:rsidRPr="00EC737F">
        <w:rPr>
          <w:rFonts w:cs="Traditional Arabic" w:hint="cs"/>
          <w:sz w:val="28"/>
          <w:szCs w:val="32"/>
          <w:rtl/>
        </w:rPr>
        <w:t xml:space="preserve"> ثم يسخ البيع فيزول بأثر رجعي ويعتبر دين الثمن كأن لم يكن</w:t>
      </w:r>
      <w:r>
        <w:rPr>
          <w:rFonts w:cs="Traditional Arabic" w:hint="cs"/>
          <w:sz w:val="28"/>
          <w:szCs w:val="32"/>
          <w:rtl/>
        </w:rPr>
        <w:t xml:space="preserve"> ،</w:t>
      </w:r>
      <w:r w:rsidRPr="00EC737F">
        <w:rPr>
          <w:rFonts w:cs="Traditional Arabic" w:hint="cs"/>
          <w:sz w:val="28"/>
          <w:szCs w:val="32"/>
          <w:rtl/>
        </w:rPr>
        <w:t xml:space="preserve"> وكذلك يزول التزام الكفيل تبعاً لزوال التزام المشتري بدفع الثمن</w:t>
      </w:r>
      <w:r>
        <w:rPr>
          <w:rFonts w:cs="Traditional Arabic" w:hint="cs"/>
          <w:sz w:val="28"/>
          <w:szCs w:val="32"/>
          <w:rtl/>
        </w:rPr>
        <w:t xml:space="preserve"> .</w:t>
      </w:r>
      <w:r w:rsidRPr="00EC737F">
        <w:rPr>
          <w:rFonts w:cs="Traditional Arabic" w:hint="cs"/>
          <w:sz w:val="28"/>
          <w:szCs w:val="32"/>
          <w:rtl/>
        </w:rPr>
        <w:t xml:space="preserve"> ولا تعود الكفالة بعد أن زالت</w:t>
      </w:r>
      <w:r>
        <w:rPr>
          <w:rFonts w:cs="Traditional Arabic" w:hint="cs"/>
          <w:sz w:val="28"/>
          <w:szCs w:val="32"/>
          <w:rtl/>
        </w:rPr>
        <w:t xml:space="preserve"> ،</w:t>
      </w:r>
      <w:r w:rsidRPr="00EC737F">
        <w:rPr>
          <w:rFonts w:cs="Traditional Arabic" w:hint="cs"/>
          <w:sz w:val="28"/>
          <w:szCs w:val="32"/>
          <w:rtl/>
        </w:rPr>
        <w:t xml:space="preserve"> حتى لو كان المدين الأصلي الذي زال التزامه بالفسخ التزام من جديد</w:t>
      </w:r>
      <w:r>
        <w:rPr>
          <w:rFonts w:cs="Traditional Arabic" w:hint="cs"/>
          <w:sz w:val="28"/>
          <w:szCs w:val="32"/>
          <w:rtl/>
        </w:rPr>
        <w:t xml:space="preserve"> ،</w:t>
      </w:r>
      <w:r w:rsidRPr="00EC737F">
        <w:rPr>
          <w:rFonts w:cs="Traditional Arabic" w:hint="cs"/>
          <w:sz w:val="28"/>
          <w:szCs w:val="32"/>
          <w:rtl/>
        </w:rPr>
        <w:t xml:space="preserve"> بل لا بد أن يلتزم الكفيل كذلك من جديد</w:t>
      </w:r>
      <w:r>
        <w:rPr>
          <w:rFonts w:cs="Traditional Arabic" w:hint="cs"/>
          <w:sz w:val="28"/>
          <w:szCs w:val="32"/>
          <w:vertAlign w:val="superscript"/>
          <w:rtl/>
        </w:rPr>
        <w:t xml:space="preserve">( </w:t>
      </w:r>
      <w:r w:rsidRPr="00EC737F">
        <w:rPr>
          <w:rStyle w:val="ab"/>
          <w:rFonts w:cs="Traditional Arabic"/>
          <w:sz w:val="28"/>
          <w:szCs w:val="32"/>
          <w:rtl/>
        </w:rPr>
        <w:footnoteReference w:id="51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وكالنسخ تحقيق الشرط الناسخ</w:t>
      </w:r>
      <w:r>
        <w:rPr>
          <w:rFonts w:cs="Traditional Arabic" w:hint="cs"/>
          <w:sz w:val="28"/>
          <w:szCs w:val="32"/>
          <w:vertAlign w:val="superscript"/>
          <w:rtl/>
        </w:rPr>
        <w:t xml:space="preserve">( </w:t>
      </w:r>
      <w:r w:rsidRPr="00EC737F">
        <w:rPr>
          <w:rStyle w:val="ab"/>
          <w:rFonts w:cs="Traditional Arabic"/>
          <w:sz w:val="28"/>
          <w:szCs w:val="32"/>
          <w:rtl/>
        </w:rPr>
        <w:footnoteReference w:id="52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وما يقال عن فسخ الدين المكفول وتحقق الشرط الفاسخ يقال كذلك عن إبطال الدين</w:t>
      </w:r>
      <w:r>
        <w:rPr>
          <w:rFonts w:cs="Traditional Arabic" w:hint="cs"/>
          <w:sz w:val="28"/>
          <w:szCs w:val="32"/>
          <w:rtl/>
        </w:rPr>
        <w:t xml:space="preserve"> ،</w:t>
      </w:r>
      <w:r w:rsidRPr="00EC737F">
        <w:rPr>
          <w:rFonts w:cs="Traditional Arabic" w:hint="cs"/>
          <w:sz w:val="28"/>
          <w:szCs w:val="32"/>
          <w:rtl/>
        </w:rPr>
        <w:t xml:space="preserve"> فإذا كان العقد الذي أنشأ الدين المكفول قابلا للإبطال وأبطل بأثر رجعي</w:t>
      </w:r>
      <w:r>
        <w:rPr>
          <w:rFonts w:cs="Traditional Arabic" w:hint="cs"/>
          <w:sz w:val="28"/>
          <w:szCs w:val="32"/>
          <w:rtl/>
        </w:rPr>
        <w:t xml:space="preserve"> ،</w:t>
      </w:r>
      <w:r w:rsidRPr="00EC737F">
        <w:rPr>
          <w:rFonts w:cs="Traditional Arabic" w:hint="cs"/>
          <w:sz w:val="28"/>
          <w:szCs w:val="32"/>
          <w:rtl/>
        </w:rPr>
        <w:t xml:space="preserve"> زال الدين المكفول بأثر رجعي</w:t>
      </w:r>
      <w:r>
        <w:rPr>
          <w:rFonts w:cs="Traditional Arabic" w:hint="cs"/>
          <w:sz w:val="28"/>
          <w:szCs w:val="32"/>
          <w:rtl/>
        </w:rPr>
        <w:t xml:space="preserve"> ،</w:t>
      </w:r>
      <w:r w:rsidRPr="00EC737F">
        <w:rPr>
          <w:rFonts w:cs="Traditional Arabic" w:hint="cs"/>
          <w:sz w:val="28"/>
          <w:szCs w:val="32"/>
          <w:rtl/>
        </w:rPr>
        <w:t xml:space="preserve"> وزالت </w:t>
      </w:r>
      <w:r w:rsidRPr="00EC737F">
        <w:rPr>
          <w:rFonts w:cs="Traditional Arabic" w:hint="cs"/>
          <w:sz w:val="28"/>
          <w:szCs w:val="32"/>
          <w:rtl/>
        </w:rPr>
        <w:lastRenderedPageBreak/>
        <w:t>بزواله الكفالة بأثر رجعي كذلك</w:t>
      </w:r>
      <w:r>
        <w:rPr>
          <w:rFonts w:cs="Traditional Arabic" w:hint="cs"/>
          <w:sz w:val="28"/>
          <w:szCs w:val="32"/>
          <w:vertAlign w:val="superscript"/>
          <w:rtl/>
        </w:rPr>
        <w:t xml:space="preserve">( </w:t>
      </w:r>
      <w:r w:rsidRPr="00EC737F">
        <w:rPr>
          <w:rStyle w:val="ab"/>
          <w:rFonts w:cs="Traditional Arabic"/>
          <w:sz w:val="28"/>
          <w:szCs w:val="32"/>
          <w:rtl/>
        </w:rPr>
        <w:footnoteReference w:id="52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sz w:val="28"/>
          <w:szCs w:val="32"/>
          <w:rtl/>
        </w:rPr>
        <w:t xml:space="preserve">$234 </w:t>
      </w:r>
      <w:r w:rsidRPr="00EC737F">
        <w:rPr>
          <w:rFonts w:cs="Traditional Arabic" w:hint="cs"/>
          <w:b/>
          <w:bCs/>
          <w:sz w:val="28"/>
          <w:szCs w:val="44"/>
          <w:rtl/>
        </w:rPr>
        <w:t>المبحث الثاني</w:t>
      </w:r>
    </w:p>
    <w:p w:rsidR="00F72742" w:rsidRPr="00EC737F" w:rsidRDefault="00F72742" w:rsidP="00F72742">
      <w:pPr>
        <w:widowControl w:val="0"/>
        <w:spacing w:after="120"/>
        <w:jc w:val="center"/>
        <w:rPr>
          <w:rFonts w:cs="Traditional Arabic" w:hint="cs"/>
          <w:sz w:val="28"/>
          <w:szCs w:val="32"/>
          <w:rtl/>
        </w:rPr>
      </w:pPr>
      <w:r w:rsidRPr="00EC737F">
        <w:rPr>
          <w:rFonts w:cs="Traditional Arabic" w:hint="cs"/>
          <w:b/>
          <w:bCs/>
          <w:sz w:val="28"/>
          <w:szCs w:val="32"/>
          <w:rtl/>
        </w:rPr>
        <w:t>انقضاء الكفالة بطريق أصلي</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94- كيف تنقضي الكفالة بطريق أصلي</w:t>
      </w:r>
      <w:r>
        <w:rPr>
          <w:rFonts w:cs="Traditional Arabic" w:hint="cs"/>
          <w:sz w:val="28"/>
          <w:szCs w:val="32"/>
          <w:rtl/>
        </w:rPr>
        <w:t xml:space="preserve"> :</w:t>
      </w:r>
      <w:r w:rsidRPr="00EC737F">
        <w:rPr>
          <w:rFonts w:cs="Traditional Arabic" w:hint="cs"/>
          <w:sz w:val="28"/>
          <w:szCs w:val="32"/>
          <w:rtl/>
        </w:rPr>
        <w:t xml:space="preserve"> تنقضي الكفالة بطري أصلي غما بانقضاء التزام الكيل دون الدين المكفول بسبب من أسباب انقضاء الالتزام</w:t>
      </w:r>
      <w:r>
        <w:rPr>
          <w:rFonts w:cs="Traditional Arabic" w:hint="cs"/>
          <w:sz w:val="28"/>
          <w:szCs w:val="32"/>
          <w:rtl/>
        </w:rPr>
        <w:t xml:space="preserve"> ،</w:t>
      </w:r>
      <w:r w:rsidRPr="00EC737F">
        <w:rPr>
          <w:rFonts w:cs="Traditional Arabic" w:hint="cs"/>
          <w:sz w:val="28"/>
          <w:szCs w:val="32"/>
          <w:rtl/>
        </w:rPr>
        <w:t xml:space="preserve"> أو بأوجه خاصة بالكفالة دون غيرها</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40"/>
          <w:rtl/>
        </w:rPr>
      </w:pPr>
      <w:r w:rsidRPr="00EC737F">
        <w:rPr>
          <w:rFonts w:cs="Traditional Arabic" w:hint="cs"/>
          <w:b/>
          <w:bCs/>
          <w:sz w:val="28"/>
          <w:szCs w:val="40"/>
          <w:rtl/>
        </w:rPr>
        <w:t>المطلب الأول</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انقضاء التزام الكفيل دون الدين المكفول</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بسبب من أسباب انقضاء الالتزام</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95- أسباب انقضاء التزام الكفيل دون الدين المكفول</w:t>
      </w:r>
      <w:r>
        <w:rPr>
          <w:rFonts w:cs="Traditional Arabic" w:hint="cs"/>
          <w:sz w:val="28"/>
          <w:szCs w:val="32"/>
          <w:rtl/>
        </w:rPr>
        <w:t xml:space="preserve"> :</w:t>
      </w:r>
      <w:r w:rsidRPr="00EC737F">
        <w:rPr>
          <w:rFonts w:cs="Traditional Arabic" w:hint="cs"/>
          <w:sz w:val="28"/>
          <w:szCs w:val="32"/>
          <w:rtl/>
        </w:rPr>
        <w:t xml:space="preserve"> قد ينقضي التزام الكفيل بسبب من أسباب انقضاء الالتزام فتنقضي الكفالة</w:t>
      </w:r>
      <w:r>
        <w:rPr>
          <w:rFonts w:cs="Traditional Arabic" w:hint="cs"/>
          <w:sz w:val="28"/>
          <w:szCs w:val="32"/>
          <w:rtl/>
        </w:rPr>
        <w:t xml:space="preserve"> ،</w:t>
      </w:r>
      <w:r w:rsidRPr="00EC737F">
        <w:rPr>
          <w:rFonts w:cs="Traditional Arabic" w:hint="cs"/>
          <w:sz w:val="28"/>
          <w:szCs w:val="32"/>
          <w:rtl/>
        </w:rPr>
        <w:t xml:space="preserve"> ولكن يغلب أن ينقضي في الوقت ذاته الالتزام المكفول لا التزام الكفيل فحسب</w:t>
      </w:r>
      <w:r>
        <w:rPr>
          <w:rFonts w:cs="Traditional Arabic" w:hint="cs"/>
          <w:sz w:val="28"/>
          <w:szCs w:val="32"/>
          <w:rtl/>
        </w:rPr>
        <w:t xml:space="preserve"> .</w:t>
      </w:r>
      <w:r w:rsidRPr="00EC737F">
        <w:rPr>
          <w:rFonts w:cs="Traditional Arabic" w:hint="cs"/>
          <w:sz w:val="28"/>
          <w:szCs w:val="32"/>
          <w:rtl/>
        </w:rPr>
        <w:t xml:space="preserve"> فإذا وفى الكفيل التزامه للدائن أو قضاه عن طريق الوفاء بمقابل</w:t>
      </w:r>
      <w:r>
        <w:rPr>
          <w:rFonts w:cs="Traditional Arabic" w:hint="cs"/>
          <w:sz w:val="28"/>
          <w:szCs w:val="32"/>
          <w:rtl/>
        </w:rPr>
        <w:t xml:space="preserve"> ،</w:t>
      </w:r>
      <w:r w:rsidRPr="00EC737F">
        <w:rPr>
          <w:rFonts w:cs="Traditional Arabic" w:hint="cs"/>
          <w:sz w:val="28"/>
          <w:szCs w:val="32"/>
          <w:rtl/>
        </w:rPr>
        <w:t xml:space="preserve"> أو عن طريق التجديد أو عن طريق المقاصة</w:t>
      </w:r>
      <w:r>
        <w:rPr>
          <w:rFonts w:cs="Traditional Arabic" w:hint="cs"/>
          <w:sz w:val="28"/>
          <w:szCs w:val="32"/>
          <w:vertAlign w:val="superscript"/>
          <w:rtl/>
        </w:rPr>
        <w:t xml:space="preserve">( </w:t>
      </w:r>
      <w:r w:rsidRPr="00EC737F">
        <w:rPr>
          <w:rStyle w:val="ab"/>
          <w:rFonts w:cs="Traditional Arabic"/>
          <w:sz w:val="28"/>
          <w:szCs w:val="32"/>
          <w:rtl/>
        </w:rPr>
        <w:footnoteReference w:id="52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فإنه يكون قد قضي التزامه ككفيل $235 وقضى في الوقت ذاته الدين </w:t>
      </w:r>
      <w:r w:rsidRPr="00EC737F">
        <w:rPr>
          <w:rFonts w:cs="Traditional Arabic" w:hint="cs"/>
          <w:sz w:val="28"/>
          <w:szCs w:val="32"/>
          <w:rtl/>
        </w:rPr>
        <w:lastRenderedPageBreak/>
        <w:t>المكفول</w:t>
      </w:r>
      <w:r>
        <w:rPr>
          <w:rFonts w:cs="Traditional Arabic" w:hint="cs"/>
          <w:sz w:val="28"/>
          <w:szCs w:val="32"/>
          <w:rtl/>
        </w:rPr>
        <w:t xml:space="preserve"> .</w:t>
      </w:r>
      <w:r w:rsidRPr="00EC737F">
        <w:rPr>
          <w:rFonts w:cs="Traditional Arabic" w:hint="cs"/>
          <w:sz w:val="28"/>
          <w:szCs w:val="32"/>
          <w:rtl/>
        </w:rPr>
        <w:t xml:space="preserve"> وهنا نفرض أن الكفيل نفسه هو الذي قام بقضاء التزامه</w:t>
      </w:r>
      <w:r>
        <w:rPr>
          <w:rFonts w:cs="Traditional Arabic" w:hint="cs"/>
          <w:sz w:val="28"/>
          <w:szCs w:val="32"/>
          <w:rtl/>
        </w:rPr>
        <w:t xml:space="preserve"> ،</w:t>
      </w:r>
      <w:r w:rsidRPr="00EC737F">
        <w:rPr>
          <w:rFonts w:cs="Traditional Arabic" w:hint="cs"/>
          <w:sz w:val="28"/>
          <w:szCs w:val="32"/>
          <w:rtl/>
        </w:rPr>
        <w:t xml:space="preserve"> فوفاه أو وفاه بمقابل أو جدده أو قاص به حقاً له في ذمة الدائن</w:t>
      </w:r>
      <w:r>
        <w:rPr>
          <w:rFonts w:cs="Traditional Arabic" w:hint="cs"/>
          <w:sz w:val="28"/>
          <w:szCs w:val="32"/>
          <w:vertAlign w:val="superscript"/>
          <w:rtl/>
        </w:rPr>
        <w:t xml:space="preserve">( </w:t>
      </w:r>
      <w:r w:rsidRPr="00EC737F">
        <w:rPr>
          <w:rStyle w:val="ab"/>
          <w:rFonts w:cs="Traditional Arabic"/>
          <w:sz w:val="28"/>
          <w:szCs w:val="32"/>
          <w:rtl/>
        </w:rPr>
        <w:footnoteReference w:id="52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فيما تقدم</w:t>
      </w:r>
      <w:r>
        <w:rPr>
          <w:rFonts w:cs="Traditional Arabic" w:hint="cs"/>
          <w:sz w:val="28"/>
          <w:szCs w:val="32"/>
          <w:rtl/>
        </w:rPr>
        <w:t xml:space="preserve"> ،</w:t>
      </w:r>
      <w:r w:rsidRPr="00EC737F">
        <w:rPr>
          <w:rFonts w:cs="Traditional Arabic" w:hint="cs"/>
          <w:sz w:val="28"/>
          <w:szCs w:val="32"/>
          <w:rtl/>
        </w:rPr>
        <w:t xml:space="preserve"> فقد فرضنا أن المدين هو الذي قام بقضاء الدين المكفول</w:t>
      </w:r>
      <w:r>
        <w:rPr>
          <w:rFonts w:cs="Traditional Arabic" w:hint="cs"/>
          <w:sz w:val="28"/>
          <w:szCs w:val="32"/>
          <w:rtl/>
        </w:rPr>
        <w:t xml:space="preserve"> ،</w:t>
      </w:r>
      <w:r w:rsidRPr="00EC737F">
        <w:rPr>
          <w:rFonts w:cs="Traditional Arabic" w:hint="cs"/>
          <w:sz w:val="28"/>
          <w:szCs w:val="32"/>
          <w:rtl/>
        </w:rPr>
        <w:t xml:space="preserve"> فوفاه أو وفاه بمقابل أو جدده أو قاص به حقاً له في ذمة الدائن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ولكن قد يحدث أن الكفيل يقضي التزامه ككفيل</w:t>
      </w:r>
      <w:r>
        <w:rPr>
          <w:rFonts w:cs="Traditional Arabic" w:hint="cs"/>
          <w:sz w:val="28"/>
          <w:szCs w:val="32"/>
          <w:rtl/>
        </w:rPr>
        <w:t xml:space="preserve"> ،</w:t>
      </w:r>
      <w:r w:rsidRPr="00EC737F">
        <w:rPr>
          <w:rFonts w:cs="Traditional Arabic" w:hint="cs"/>
          <w:sz w:val="28"/>
          <w:szCs w:val="32"/>
          <w:rtl/>
        </w:rPr>
        <w:t xml:space="preserve"> دون أن يقضي بذلك الدين المكفول</w:t>
      </w:r>
      <w:r>
        <w:rPr>
          <w:rFonts w:cs="Traditional Arabic" w:hint="cs"/>
          <w:sz w:val="28"/>
          <w:szCs w:val="32"/>
          <w:rtl/>
        </w:rPr>
        <w:t xml:space="preserve"> .</w:t>
      </w:r>
      <w:r w:rsidRPr="00EC737F">
        <w:rPr>
          <w:rFonts w:cs="Traditional Arabic" w:hint="cs"/>
          <w:sz w:val="28"/>
          <w:szCs w:val="32"/>
          <w:rtl/>
        </w:rPr>
        <w:t xml:space="preserve"> وإذا صح القول بأن قضاء الكفيل لالتزامه يكون فيه انقضاء للكفالة بطريق أصلي حتى لو انقضى الدين المكفول</w:t>
      </w:r>
      <w:r>
        <w:rPr>
          <w:rFonts w:cs="Traditional Arabic" w:hint="cs"/>
          <w:sz w:val="28"/>
          <w:szCs w:val="32"/>
          <w:vertAlign w:val="superscript"/>
          <w:rtl/>
        </w:rPr>
        <w:t xml:space="preserve">( </w:t>
      </w:r>
      <w:r w:rsidRPr="00EC737F">
        <w:rPr>
          <w:rStyle w:val="ab"/>
          <w:rFonts w:cs="Traditional Arabic"/>
          <w:sz w:val="28"/>
          <w:szCs w:val="32"/>
          <w:rtl/>
        </w:rPr>
        <w:footnoteReference w:id="52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فإن قضاء الكفيل لالتزامه دون أن ينقضي الدين المكفول بصدق عليه بوضوح أكبر أن الكفالة قد انقضت بطريق أصلي</w:t>
      </w:r>
      <w:r>
        <w:rPr>
          <w:rFonts w:cs="Traditional Arabic" w:hint="cs"/>
          <w:sz w:val="28"/>
          <w:szCs w:val="32"/>
          <w:vertAlign w:val="superscript"/>
          <w:rtl/>
        </w:rPr>
        <w:t xml:space="preserve">( </w:t>
      </w:r>
      <w:r w:rsidRPr="00EC737F">
        <w:rPr>
          <w:rStyle w:val="ab"/>
          <w:rFonts w:cs="Traditional Arabic"/>
          <w:sz w:val="28"/>
          <w:szCs w:val="32"/>
          <w:rtl/>
        </w:rPr>
        <w:footnoteReference w:id="52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ويقع ذلك في اتحاد الذمة والإبراء $236 والتقادم</w:t>
      </w:r>
      <w:r>
        <w:rPr>
          <w:rFonts w:cs="Traditional Arabic" w:hint="cs"/>
          <w:sz w:val="28"/>
          <w:szCs w:val="32"/>
          <w:rtl/>
        </w:rPr>
        <w:t xml:space="preserve"> ،</w:t>
      </w:r>
      <w:r w:rsidRPr="00EC737F">
        <w:rPr>
          <w:rFonts w:cs="Traditional Arabic" w:hint="cs"/>
          <w:sz w:val="28"/>
          <w:szCs w:val="32"/>
          <w:rtl/>
        </w:rPr>
        <w:t xml:space="preserve"> فقد ينقضي بسبب من هذه الأسباب التزام الكفيل دون أن يقتضي الدين المكفول</w:t>
      </w:r>
      <w:r>
        <w:rPr>
          <w:rFonts w:cs="Traditional Arabic" w:hint="cs"/>
          <w:sz w:val="28"/>
          <w:szCs w:val="32"/>
          <w:rtl/>
        </w:rPr>
        <w:t xml:space="preserve"> .</w:t>
      </w:r>
      <w:r w:rsidRPr="00EC737F">
        <w:rPr>
          <w:rFonts w:cs="Traditional Arabic" w:hint="cs"/>
          <w:sz w:val="28"/>
          <w:szCs w:val="32"/>
          <w:rtl/>
        </w:rPr>
        <w:t xml:space="preserve"> فتقصر القول على كل من هذه الأسباب الثلاثة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96- انقضاء التزام الكفيل باتحاد الذمة</w:t>
      </w:r>
      <w:r>
        <w:rPr>
          <w:rFonts w:cs="Traditional Arabic" w:hint="cs"/>
          <w:sz w:val="28"/>
          <w:szCs w:val="32"/>
          <w:rtl/>
        </w:rPr>
        <w:t xml:space="preserve"> :</w:t>
      </w:r>
      <w:r w:rsidRPr="00EC737F">
        <w:rPr>
          <w:rFonts w:cs="Traditional Arabic" w:hint="cs"/>
          <w:sz w:val="28"/>
          <w:szCs w:val="32"/>
          <w:rtl/>
        </w:rPr>
        <w:t xml:space="preserve"> قد ينقضي التزام الكفيل باتحاد الذمة</w:t>
      </w:r>
      <w:r>
        <w:rPr>
          <w:rFonts w:cs="Traditional Arabic" w:hint="cs"/>
          <w:sz w:val="28"/>
          <w:szCs w:val="32"/>
          <w:rtl/>
        </w:rPr>
        <w:t xml:space="preserve"> ،</w:t>
      </w:r>
      <w:r w:rsidRPr="00EC737F">
        <w:rPr>
          <w:rFonts w:cs="Traditional Arabic" w:hint="cs"/>
          <w:sz w:val="28"/>
          <w:szCs w:val="32"/>
          <w:rtl/>
        </w:rPr>
        <w:t xml:space="preserve"> دون أن ينقضي الدين المكفول</w:t>
      </w:r>
      <w:r>
        <w:rPr>
          <w:rFonts w:cs="Traditional Arabic" w:hint="cs"/>
          <w:sz w:val="28"/>
          <w:szCs w:val="32"/>
          <w:rtl/>
        </w:rPr>
        <w:t xml:space="preserve"> ،</w:t>
      </w:r>
      <w:r w:rsidRPr="00EC737F">
        <w:rPr>
          <w:rFonts w:cs="Traditional Arabic" w:hint="cs"/>
          <w:sz w:val="28"/>
          <w:szCs w:val="32"/>
          <w:rtl/>
        </w:rPr>
        <w:t xml:space="preserve"> ويتحقق ذلك إذا مات الدائن وورثه الكفيل</w:t>
      </w:r>
      <w:r>
        <w:rPr>
          <w:rFonts w:cs="Traditional Arabic" w:hint="cs"/>
          <w:sz w:val="28"/>
          <w:szCs w:val="32"/>
          <w:rtl/>
        </w:rPr>
        <w:t xml:space="preserve"> ،</w:t>
      </w:r>
      <w:r w:rsidRPr="00EC737F">
        <w:rPr>
          <w:rFonts w:cs="Traditional Arabic" w:hint="cs"/>
          <w:sz w:val="28"/>
          <w:szCs w:val="32"/>
          <w:rtl/>
        </w:rPr>
        <w:t xml:space="preserve"> فاتحدت الذمة وانقضت الكفالة</w:t>
      </w:r>
      <w:r>
        <w:rPr>
          <w:rFonts w:cs="Traditional Arabic" w:hint="cs"/>
          <w:sz w:val="28"/>
          <w:szCs w:val="32"/>
          <w:rtl/>
        </w:rPr>
        <w:t xml:space="preserve"> ،</w:t>
      </w:r>
      <w:r w:rsidRPr="00EC737F">
        <w:rPr>
          <w:rFonts w:cs="Traditional Arabic" w:hint="cs"/>
          <w:sz w:val="28"/>
          <w:szCs w:val="32"/>
          <w:rtl/>
        </w:rPr>
        <w:t xml:space="preserve"> فإن التزام الكفيل ينقضي بصفة أصلية لأنه ورث الدائن فأصبح دائناً لنفسه</w:t>
      </w:r>
      <w:r>
        <w:rPr>
          <w:rFonts w:cs="Traditional Arabic" w:hint="cs"/>
          <w:sz w:val="28"/>
          <w:szCs w:val="32"/>
          <w:rtl/>
        </w:rPr>
        <w:t xml:space="preserve"> ،</w:t>
      </w:r>
      <w:r w:rsidRPr="00EC737F">
        <w:rPr>
          <w:rFonts w:cs="Traditional Arabic" w:hint="cs"/>
          <w:sz w:val="28"/>
          <w:szCs w:val="32"/>
          <w:rtl/>
        </w:rPr>
        <w:t xml:space="preserve"> ولكن الدين المكفول لا ينقضي</w:t>
      </w:r>
      <w:r>
        <w:rPr>
          <w:rFonts w:cs="Traditional Arabic" w:hint="cs"/>
          <w:sz w:val="28"/>
          <w:szCs w:val="32"/>
          <w:rtl/>
        </w:rPr>
        <w:t xml:space="preserve"> .</w:t>
      </w:r>
      <w:r w:rsidRPr="00EC737F">
        <w:rPr>
          <w:rFonts w:cs="Traditional Arabic" w:hint="cs"/>
          <w:sz w:val="28"/>
          <w:szCs w:val="32"/>
          <w:rtl/>
        </w:rPr>
        <w:t xml:space="preserve"> فيستطيع الكفيل</w:t>
      </w:r>
      <w:r>
        <w:rPr>
          <w:rFonts w:cs="Traditional Arabic" w:hint="cs"/>
          <w:sz w:val="28"/>
          <w:szCs w:val="32"/>
          <w:rtl/>
        </w:rPr>
        <w:t xml:space="preserve"> ،</w:t>
      </w:r>
      <w:r w:rsidRPr="00EC737F">
        <w:rPr>
          <w:rFonts w:cs="Traditional Arabic" w:hint="cs"/>
          <w:sz w:val="28"/>
          <w:szCs w:val="32"/>
          <w:rtl/>
        </w:rPr>
        <w:t xml:space="preserve"> الذي أصبح دائناً باتحاد الذمة</w:t>
      </w:r>
      <w:r>
        <w:rPr>
          <w:rFonts w:cs="Traditional Arabic" w:hint="cs"/>
          <w:sz w:val="28"/>
          <w:szCs w:val="32"/>
          <w:rtl/>
        </w:rPr>
        <w:t xml:space="preserve"> ،</w:t>
      </w:r>
      <w:r w:rsidRPr="00EC737F">
        <w:rPr>
          <w:rFonts w:cs="Traditional Arabic" w:hint="cs"/>
          <w:sz w:val="28"/>
          <w:szCs w:val="32"/>
          <w:rtl/>
        </w:rPr>
        <w:t xml:space="preserve"> أن يرجع على المدين بالدين ذاته كما كان يرجع الدائن قبل موته"</w:t>
      </w:r>
      <w:r>
        <w:rPr>
          <w:rFonts w:cs="Traditional Arabic" w:hint="cs"/>
          <w:sz w:val="28"/>
          <w:szCs w:val="32"/>
          <w:vertAlign w:val="superscript"/>
          <w:rtl/>
        </w:rPr>
        <w:t xml:space="preserve">( </w:t>
      </w:r>
      <w:r w:rsidRPr="00EC737F">
        <w:rPr>
          <w:rStyle w:val="ab"/>
          <w:rFonts w:cs="Traditional Arabic"/>
          <w:sz w:val="28"/>
          <w:szCs w:val="32"/>
          <w:rtl/>
        </w:rPr>
        <w:footnoteReference w:id="52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كذلك إذا مات المدين وورثه الكفيل</w:t>
      </w:r>
      <w:r>
        <w:rPr>
          <w:rFonts w:cs="Traditional Arabic" w:hint="cs"/>
          <w:sz w:val="28"/>
          <w:szCs w:val="32"/>
          <w:rtl/>
        </w:rPr>
        <w:t xml:space="preserve"> ،</w:t>
      </w:r>
      <w:r w:rsidRPr="00EC737F">
        <w:rPr>
          <w:rFonts w:cs="Traditional Arabic" w:hint="cs"/>
          <w:sz w:val="28"/>
          <w:szCs w:val="32"/>
          <w:rtl/>
        </w:rPr>
        <w:t xml:space="preserve"> أو مات الكفيل وورثه المدين</w:t>
      </w:r>
      <w:r>
        <w:rPr>
          <w:rFonts w:cs="Traditional Arabic" w:hint="cs"/>
          <w:sz w:val="28"/>
          <w:szCs w:val="32"/>
          <w:rtl/>
        </w:rPr>
        <w:t xml:space="preserve"> ،</w:t>
      </w:r>
      <w:r w:rsidRPr="00EC737F">
        <w:rPr>
          <w:rFonts w:cs="Traditional Arabic" w:hint="cs"/>
          <w:sz w:val="28"/>
          <w:szCs w:val="32"/>
          <w:rtl/>
        </w:rPr>
        <w:t xml:space="preserve"> فاتحدت الذمة في القانون الفرنسي بين المدين والكفيل</w:t>
      </w:r>
      <w:r>
        <w:rPr>
          <w:rFonts w:cs="Traditional Arabic" w:hint="cs"/>
          <w:sz w:val="28"/>
          <w:szCs w:val="32"/>
          <w:rtl/>
        </w:rPr>
        <w:t xml:space="preserve"> ،</w:t>
      </w:r>
      <w:r w:rsidRPr="00EC737F">
        <w:rPr>
          <w:rFonts w:cs="Traditional Arabic" w:hint="cs"/>
          <w:sz w:val="28"/>
          <w:szCs w:val="32"/>
          <w:rtl/>
        </w:rPr>
        <w:t xml:space="preserve"> استطاع من ورث الآخر أن يودي الدين للدائن باعتباره مديناً أصلياً لا كفيلا</w:t>
      </w:r>
      <w:r>
        <w:rPr>
          <w:rFonts w:cs="Traditional Arabic" w:hint="cs"/>
          <w:sz w:val="28"/>
          <w:szCs w:val="32"/>
          <w:vertAlign w:val="superscript"/>
          <w:rtl/>
        </w:rPr>
        <w:t xml:space="preserve">( </w:t>
      </w:r>
      <w:r w:rsidRPr="00EC737F">
        <w:rPr>
          <w:rStyle w:val="ab"/>
          <w:rFonts w:cs="Traditional Arabic"/>
          <w:sz w:val="28"/>
          <w:szCs w:val="32"/>
          <w:rtl/>
        </w:rPr>
        <w:footnoteReference w:id="52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التزامه ككفيل يبقى معتدا به</w:t>
      </w:r>
      <w:r>
        <w:rPr>
          <w:rFonts w:cs="Traditional Arabic" w:hint="cs"/>
          <w:sz w:val="28"/>
          <w:szCs w:val="32"/>
          <w:rtl/>
        </w:rPr>
        <w:t xml:space="preserve"> ،</w:t>
      </w:r>
      <w:r w:rsidRPr="00EC737F">
        <w:rPr>
          <w:rFonts w:cs="Traditional Arabic" w:hint="cs"/>
          <w:sz w:val="28"/>
          <w:szCs w:val="32"/>
          <w:rtl/>
        </w:rPr>
        <w:t xml:space="preserve"> فإذا كان للكفيل كفيل بقى التزام كفيل الكفيل قائماً مستنداً إلى التزام الكفيل بالرغم ن انقضائه باتحاد الذمة</w:t>
      </w:r>
      <w:r>
        <w:rPr>
          <w:rFonts w:cs="Traditional Arabic" w:hint="cs"/>
          <w:sz w:val="28"/>
          <w:szCs w:val="32"/>
          <w:rtl/>
        </w:rPr>
        <w:t xml:space="preserve"> .</w:t>
      </w:r>
      <w:r w:rsidRPr="00EC737F">
        <w:rPr>
          <w:rFonts w:cs="Traditional Arabic" w:hint="cs"/>
          <w:sz w:val="28"/>
          <w:szCs w:val="32"/>
          <w:rtl/>
        </w:rPr>
        <w:t xml:space="preserve"> ويستطيع الدائن أن يرجع على كفيل الكفيل</w:t>
      </w:r>
      <w:r>
        <w:rPr>
          <w:rFonts w:cs="Traditional Arabic" w:hint="cs"/>
          <w:sz w:val="28"/>
          <w:szCs w:val="32"/>
          <w:rtl/>
        </w:rPr>
        <w:t xml:space="preserve"> ،</w:t>
      </w:r>
      <w:r w:rsidRPr="00EC737F">
        <w:rPr>
          <w:rFonts w:cs="Traditional Arabic" w:hint="cs"/>
          <w:sz w:val="28"/>
          <w:szCs w:val="32"/>
          <w:rtl/>
        </w:rPr>
        <w:t xml:space="preserve"> فإذا وفى الأخير الدين كان له أن يرجع على المدين أو على الكفيل</w:t>
      </w:r>
      <w:r>
        <w:rPr>
          <w:rFonts w:cs="Traditional Arabic" w:hint="cs"/>
          <w:sz w:val="28"/>
          <w:szCs w:val="32"/>
          <w:rtl/>
        </w:rPr>
        <w:t xml:space="preserve"> ،</w:t>
      </w:r>
      <w:r w:rsidRPr="00EC737F">
        <w:rPr>
          <w:rFonts w:cs="Traditional Arabic" w:hint="cs"/>
          <w:sz w:val="28"/>
          <w:szCs w:val="32"/>
          <w:rtl/>
        </w:rPr>
        <w:t xml:space="preserve"> من بقى منهما حياً وورث الآخر</w:t>
      </w:r>
      <w:r>
        <w:rPr>
          <w:rFonts w:cs="Traditional Arabic" w:hint="cs"/>
          <w:sz w:val="28"/>
          <w:szCs w:val="32"/>
          <w:rtl/>
        </w:rPr>
        <w:t xml:space="preserve"> ،</w:t>
      </w:r>
      <w:r w:rsidRPr="00EC737F">
        <w:rPr>
          <w:rFonts w:cs="Traditional Arabic" w:hint="cs"/>
          <w:sz w:val="28"/>
          <w:szCs w:val="32"/>
          <w:rtl/>
        </w:rPr>
        <w:t xml:space="preserve"> وقد تقدم بيان ذلك</w:t>
      </w:r>
      <w:r>
        <w:rPr>
          <w:rFonts w:cs="Traditional Arabic" w:hint="cs"/>
          <w:sz w:val="28"/>
          <w:szCs w:val="32"/>
          <w:vertAlign w:val="superscript"/>
          <w:rtl/>
        </w:rPr>
        <w:t xml:space="preserve">( </w:t>
      </w:r>
      <w:r w:rsidRPr="00EC737F">
        <w:rPr>
          <w:rStyle w:val="ab"/>
          <w:rFonts w:cs="Traditional Arabic"/>
          <w:sz w:val="28"/>
          <w:szCs w:val="32"/>
          <w:rtl/>
        </w:rPr>
        <w:footnoteReference w:id="52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97- انقضاء التزام الكفيل بالإبراء</w:t>
      </w:r>
      <w:r>
        <w:rPr>
          <w:rFonts w:cs="Traditional Arabic" w:hint="cs"/>
          <w:sz w:val="28"/>
          <w:szCs w:val="32"/>
          <w:rtl/>
        </w:rPr>
        <w:t xml:space="preserve"> :</w:t>
      </w:r>
      <w:r w:rsidRPr="00EC737F">
        <w:rPr>
          <w:rFonts w:cs="Traditional Arabic" w:hint="cs"/>
          <w:sz w:val="28"/>
          <w:szCs w:val="32"/>
          <w:rtl/>
        </w:rPr>
        <w:t xml:space="preserve"> وإذا أبرأ الدائن الكفيل من الكفالة</w:t>
      </w:r>
      <w:r>
        <w:rPr>
          <w:rFonts w:cs="Traditional Arabic" w:hint="cs"/>
          <w:sz w:val="28"/>
          <w:szCs w:val="32"/>
          <w:rtl/>
        </w:rPr>
        <w:t xml:space="preserve"> ،</w:t>
      </w:r>
      <w:r w:rsidRPr="00EC737F">
        <w:rPr>
          <w:rFonts w:cs="Traditional Arabic" w:hint="cs"/>
          <w:sz w:val="28"/>
          <w:szCs w:val="32"/>
          <w:rtl/>
        </w:rPr>
        <w:t xml:space="preserve"> برئت ذمة هذا الأخير دون أن يقتضي الدين المكفول</w:t>
      </w:r>
      <w:r>
        <w:rPr>
          <w:rFonts w:cs="Traditional Arabic" w:hint="cs"/>
          <w:sz w:val="28"/>
          <w:szCs w:val="32"/>
          <w:rtl/>
        </w:rPr>
        <w:t xml:space="preserve"> ،</w:t>
      </w:r>
      <w:r w:rsidRPr="00EC737F">
        <w:rPr>
          <w:rFonts w:cs="Traditional Arabic" w:hint="cs"/>
          <w:sz w:val="28"/>
          <w:szCs w:val="32"/>
          <w:rtl/>
        </w:rPr>
        <w:t xml:space="preserve"> فيكون الدائن قد نزل عن الكفيل واستبقى المدين الأصلي</w:t>
      </w:r>
      <w:r>
        <w:rPr>
          <w:rFonts w:cs="Traditional Arabic" w:hint="cs"/>
          <w:sz w:val="28"/>
          <w:szCs w:val="32"/>
          <w:vertAlign w:val="superscript"/>
          <w:rtl/>
        </w:rPr>
        <w:t xml:space="preserve">( </w:t>
      </w:r>
      <w:r w:rsidRPr="00EC737F">
        <w:rPr>
          <w:rStyle w:val="ab"/>
          <w:rFonts w:cs="Traditional Arabic"/>
          <w:sz w:val="28"/>
          <w:szCs w:val="32"/>
          <w:rtl/>
        </w:rPr>
        <w:footnoteReference w:id="52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العكس فغير $237 صحيح</w:t>
      </w:r>
      <w:r>
        <w:rPr>
          <w:rFonts w:cs="Traditional Arabic" w:hint="cs"/>
          <w:sz w:val="28"/>
          <w:szCs w:val="32"/>
          <w:rtl/>
        </w:rPr>
        <w:t xml:space="preserve"> ،</w:t>
      </w:r>
      <w:r w:rsidRPr="00EC737F">
        <w:rPr>
          <w:rFonts w:cs="Traditional Arabic" w:hint="cs"/>
          <w:sz w:val="28"/>
          <w:szCs w:val="32"/>
          <w:rtl/>
        </w:rPr>
        <w:t xml:space="preserve"> فلا يجوز للدائن أن يبرئ ذمة المدين الأصلي دون أن يبرئ ذمة الكفيل</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وذلك لأن زوال الأصل يستتبع زوال التبع</w:t>
      </w:r>
      <w:r>
        <w:rPr>
          <w:rFonts w:cs="Traditional Arabic" w:hint="cs"/>
          <w:sz w:val="28"/>
          <w:szCs w:val="32"/>
          <w:vertAlign w:val="superscript"/>
          <w:rtl/>
        </w:rPr>
        <w:t xml:space="preserve">( </w:t>
      </w:r>
      <w:r w:rsidRPr="00EC737F">
        <w:rPr>
          <w:rStyle w:val="ab"/>
          <w:rFonts w:cs="Traditional Arabic"/>
          <w:sz w:val="28"/>
          <w:szCs w:val="32"/>
          <w:rtl/>
        </w:rPr>
        <w:footnoteReference w:id="53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وذا أبرأ الدائن أحد الكفلاء</w:t>
      </w:r>
      <w:r>
        <w:rPr>
          <w:rFonts w:cs="Traditional Arabic" w:hint="cs"/>
          <w:sz w:val="28"/>
          <w:szCs w:val="32"/>
          <w:rtl/>
        </w:rPr>
        <w:t xml:space="preserve"> ،</w:t>
      </w:r>
      <w:r w:rsidRPr="00EC737F">
        <w:rPr>
          <w:rFonts w:cs="Traditional Arabic" w:hint="cs"/>
          <w:sz w:val="28"/>
          <w:szCs w:val="32"/>
          <w:rtl/>
        </w:rPr>
        <w:t xml:space="preserve"> فلا تبرأ ذمة باقيهم</w:t>
      </w:r>
      <w:r>
        <w:rPr>
          <w:rFonts w:cs="Traditional Arabic" w:hint="cs"/>
          <w:sz w:val="28"/>
          <w:szCs w:val="32"/>
          <w:rtl/>
        </w:rPr>
        <w:t xml:space="preserve"> .</w:t>
      </w:r>
      <w:r w:rsidRPr="00EC737F">
        <w:rPr>
          <w:rFonts w:cs="Traditional Arabic" w:hint="cs"/>
          <w:sz w:val="28"/>
          <w:szCs w:val="32"/>
          <w:rtl/>
        </w:rPr>
        <w:t xml:space="preserve"> وتجوز مطالبتهم كل بقدر الحصة التي كفلها إذا كان الكفلاء غير متضامنين</w:t>
      </w:r>
      <w:r>
        <w:rPr>
          <w:rFonts w:cs="Traditional Arabic" w:hint="cs"/>
          <w:sz w:val="28"/>
          <w:szCs w:val="32"/>
          <w:rtl/>
        </w:rPr>
        <w:t xml:space="preserve"> .</w:t>
      </w:r>
      <w:r w:rsidRPr="00EC737F">
        <w:rPr>
          <w:rFonts w:cs="Traditional Arabic" w:hint="cs"/>
          <w:sz w:val="28"/>
          <w:szCs w:val="32"/>
          <w:rtl/>
        </w:rPr>
        <w:t xml:space="preserve"> كما تجوز مطالبة أي منهم بالدين بعد استنزال حصة الكفيل الذي أبرئ إذا كان الكفلاء متضامنين</w:t>
      </w:r>
      <w:r>
        <w:rPr>
          <w:rFonts w:cs="Traditional Arabic" w:hint="cs"/>
          <w:sz w:val="28"/>
          <w:szCs w:val="32"/>
          <w:vertAlign w:val="superscript"/>
          <w:rtl/>
        </w:rPr>
        <w:t xml:space="preserve">( </w:t>
      </w:r>
      <w:r w:rsidRPr="00EC737F">
        <w:rPr>
          <w:rStyle w:val="ab"/>
          <w:rFonts w:cs="Traditional Arabic"/>
          <w:sz w:val="28"/>
          <w:szCs w:val="32"/>
          <w:rtl/>
        </w:rPr>
        <w:footnoteReference w:id="53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$238 </w:t>
      </w:r>
      <w:r w:rsidRPr="00EC737F">
        <w:rPr>
          <w:rFonts w:cs="Traditional Arabic" w:hint="cs"/>
          <w:b/>
          <w:bCs/>
          <w:sz w:val="28"/>
          <w:szCs w:val="32"/>
          <w:rtl/>
        </w:rPr>
        <w:t>98- انقضاء التزام الكفيل بالتقادم</w:t>
      </w:r>
      <w:r>
        <w:rPr>
          <w:rFonts w:cs="Traditional Arabic" w:hint="cs"/>
          <w:sz w:val="28"/>
          <w:szCs w:val="32"/>
          <w:rtl/>
        </w:rPr>
        <w:t xml:space="preserve"> :</w:t>
      </w:r>
      <w:r w:rsidRPr="00EC737F">
        <w:rPr>
          <w:rFonts w:cs="Traditional Arabic" w:hint="cs"/>
          <w:sz w:val="28"/>
          <w:szCs w:val="32"/>
          <w:rtl/>
        </w:rPr>
        <w:t xml:space="preserve"> وقد يقتضي التزام الكفيل بالتقادم</w:t>
      </w:r>
      <w:r>
        <w:rPr>
          <w:rFonts w:cs="Traditional Arabic" w:hint="cs"/>
          <w:sz w:val="28"/>
          <w:szCs w:val="32"/>
          <w:rtl/>
        </w:rPr>
        <w:t xml:space="preserve"> ،</w:t>
      </w:r>
      <w:r w:rsidRPr="00EC737F">
        <w:rPr>
          <w:rFonts w:cs="Traditional Arabic" w:hint="cs"/>
          <w:sz w:val="28"/>
          <w:szCs w:val="32"/>
          <w:rtl/>
        </w:rPr>
        <w:t xml:space="preserve"> دون أن </w:t>
      </w:r>
      <w:r w:rsidRPr="00EC737F">
        <w:rPr>
          <w:rFonts w:cs="Traditional Arabic" w:hint="cs"/>
          <w:sz w:val="28"/>
          <w:szCs w:val="32"/>
          <w:rtl/>
        </w:rPr>
        <w:lastRenderedPageBreak/>
        <w:t>ينقضي الدين المكفول</w:t>
      </w:r>
      <w:r>
        <w:rPr>
          <w:rFonts w:cs="Traditional Arabic" w:hint="cs"/>
          <w:sz w:val="28"/>
          <w:szCs w:val="32"/>
          <w:rtl/>
        </w:rPr>
        <w:t xml:space="preserve"> .</w:t>
      </w:r>
      <w:r w:rsidRPr="00EC737F">
        <w:rPr>
          <w:rFonts w:cs="Traditional Arabic" w:hint="cs"/>
          <w:sz w:val="28"/>
          <w:szCs w:val="32"/>
          <w:rtl/>
        </w:rPr>
        <w:t xml:space="preserve"> وقد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532"/>
      </w:r>
      <w:r>
        <w:rPr>
          <w:rFonts w:cs="Traditional Arabic" w:hint="cs"/>
          <w:sz w:val="28"/>
          <w:szCs w:val="32"/>
          <w:vertAlign w:val="superscript"/>
          <w:rtl/>
        </w:rPr>
        <w:t xml:space="preserve"> )</w:t>
      </w:r>
      <w:r w:rsidRPr="00EC737F">
        <w:rPr>
          <w:rFonts w:cs="Traditional Arabic" w:hint="cs"/>
          <w:sz w:val="28"/>
          <w:szCs w:val="32"/>
          <w:rtl/>
        </w:rPr>
        <w:t xml:space="preserve"> أن الغالب أن يسري التقادم بالنسبة إلى الدين الأصلي في الوقت الذي يسري فيه بالنسبة إلى التزام الكفيل</w:t>
      </w:r>
      <w:r>
        <w:rPr>
          <w:rFonts w:cs="Traditional Arabic" w:hint="cs"/>
          <w:sz w:val="28"/>
          <w:szCs w:val="32"/>
          <w:rtl/>
        </w:rPr>
        <w:t xml:space="preserve"> ،</w:t>
      </w:r>
      <w:r w:rsidRPr="00EC737F">
        <w:rPr>
          <w:rFonts w:cs="Traditional Arabic" w:hint="cs"/>
          <w:sz w:val="28"/>
          <w:szCs w:val="32"/>
          <w:rtl/>
        </w:rPr>
        <w:t xml:space="preserve"> فينقضي الدينان بالتقادم في وقت واحد</w:t>
      </w:r>
      <w:r>
        <w:rPr>
          <w:rFonts w:cs="Traditional Arabic" w:hint="cs"/>
          <w:sz w:val="28"/>
          <w:szCs w:val="32"/>
          <w:rtl/>
        </w:rPr>
        <w:t xml:space="preserve"> .</w:t>
      </w:r>
      <w:r w:rsidRPr="00EC737F">
        <w:rPr>
          <w:rFonts w:cs="Traditional Arabic" w:hint="cs"/>
          <w:sz w:val="28"/>
          <w:szCs w:val="32"/>
          <w:rtl/>
        </w:rPr>
        <w:t xml:space="preserve"> ولكن قد يحدث أن ينقضي التزام الكفيل بالتقادم</w:t>
      </w:r>
      <w:r>
        <w:rPr>
          <w:rFonts w:cs="Traditional Arabic" w:hint="cs"/>
          <w:sz w:val="28"/>
          <w:szCs w:val="32"/>
          <w:rtl/>
        </w:rPr>
        <w:t xml:space="preserve"> ،</w:t>
      </w:r>
      <w:r w:rsidRPr="00EC737F">
        <w:rPr>
          <w:rFonts w:cs="Traditional Arabic" w:hint="cs"/>
          <w:sz w:val="28"/>
          <w:szCs w:val="32"/>
          <w:rtl/>
        </w:rPr>
        <w:t xml:space="preserve"> وذلك دون أن ينقضي الدين الأصلي</w:t>
      </w:r>
      <w:r>
        <w:rPr>
          <w:rFonts w:cs="Traditional Arabic" w:hint="cs"/>
          <w:sz w:val="28"/>
          <w:szCs w:val="32"/>
          <w:rtl/>
        </w:rPr>
        <w:t xml:space="preserve"> .</w:t>
      </w:r>
      <w:r w:rsidRPr="00EC737F">
        <w:rPr>
          <w:rFonts w:cs="Traditional Arabic" w:hint="cs"/>
          <w:sz w:val="28"/>
          <w:szCs w:val="32"/>
          <w:rtl/>
        </w:rPr>
        <w:t xml:space="preserve"> وعند ذلك تنقضي الكفالة لانقضاء التزام الكفيل</w:t>
      </w:r>
      <w:r>
        <w:rPr>
          <w:rFonts w:cs="Traditional Arabic" w:hint="cs"/>
          <w:sz w:val="28"/>
          <w:szCs w:val="32"/>
          <w:rtl/>
        </w:rPr>
        <w:t xml:space="preserve"> ،</w:t>
      </w:r>
      <w:r w:rsidRPr="00EC737F">
        <w:rPr>
          <w:rFonts w:cs="Traditional Arabic" w:hint="cs"/>
          <w:sz w:val="28"/>
          <w:szCs w:val="32"/>
          <w:rtl/>
        </w:rPr>
        <w:t xml:space="preserve"> وإن كان التزام المدين الأصلي لا يزال باقياً</w:t>
      </w:r>
      <w:r>
        <w:rPr>
          <w:rFonts w:cs="Traditional Arabic" w:hint="cs"/>
          <w:sz w:val="28"/>
          <w:szCs w:val="32"/>
          <w:rtl/>
        </w:rPr>
        <w:t xml:space="preserve"> .</w:t>
      </w:r>
      <w:r w:rsidRPr="00EC737F">
        <w:rPr>
          <w:rFonts w:cs="Traditional Arabic" w:hint="cs"/>
          <w:sz w:val="28"/>
          <w:szCs w:val="32"/>
          <w:rtl/>
        </w:rPr>
        <w:t xml:space="preserve"> فإن انقطع التقادم بالنسبة إلى المدين الأصلي بقي التزامه قائما</w:t>
      </w:r>
      <w:r>
        <w:rPr>
          <w:rFonts w:cs="Traditional Arabic" w:hint="cs"/>
          <w:sz w:val="28"/>
          <w:szCs w:val="32"/>
          <w:rtl/>
        </w:rPr>
        <w:t xml:space="preserve"> .</w:t>
      </w:r>
      <w:r w:rsidRPr="00EC737F">
        <w:rPr>
          <w:rFonts w:cs="Traditional Arabic" w:hint="cs"/>
          <w:sz w:val="28"/>
          <w:szCs w:val="32"/>
          <w:rtl/>
        </w:rPr>
        <w:t xml:space="preserve"> أما التزام الكفيل الذي لم ينقطع سريان التقادم بالنسبة إليه فانه ينقضي بالتقادم</w:t>
      </w:r>
      <w:r>
        <w:rPr>
          <w:rFonts w:cs="Traditional Arabic" w:hint="cs"/>
          <w:sz w:val="28"/>
          <w:szCs w:val="32"/>
          <w:vertAlign w:val="superscript"/>
          <w:rtl/>
        </w:rPr>
        <w:t xml:space="preserve">( </w:t>
      </w:r>
      <w:r w:rsidRPr="00EC737F">
        <w:rPr>
          <w:rStyle w:val="ab"/>
          <w:rFonts w:cs="Traditional Arabic"/>
          <w:sz w:val="28"/>
          <w:szCs w:val="32"/>
          <w:rtl/>
        </w:rPr>
        <w:footnoteReference w:id="533"/>
      </w:r>
      <w:r>
        <w:rPr>
          <w:rFonts w:cs="Traditional Arabic" w:hint="cs"/>
          <w:sz w:val="28"/>
          <w:szCs w:val="32"/>
          <w:vertAlign w:val="superscript"/>
          <w:rtl/>
        </w:rPr>
        <w:t xml:space="preserve"> )</w:t>
      </w:r>
      <w:r w:rsidRPr="00EC737F">
        <w:rPr>
          <w:rFonts w:cs="Traditional Arabic" w:hint="cs"/>
          <w:sz w:val="28"/>
          <w:szCs w:val="32"/>
          <w:rtl/>
        </w:rPr>
        <w:t xml:space="preserve"> وقد يقف التقادم بالنسبة إلى المدين الأصلي ولا يقف بالنسبة إلى الكفيل</w:t>
      </w:r>
      <w:r>
        <w:rPr>
          <w:rFonts w:cs="Traditional Arabic" w:hint="cs"/>
          <w:sz w:val="28"/>
          <w:szCs w:val="32"/>
          <w:rtl/>
        </w:rPr>
        <w:t xml:space="preserve"> ،</w:t>
      </w:r>
      <w:r w:rsidRPr="00EC737F">
        <w:rPr>
          <w:rFonts w:cs="Traditional Arabic" w:hint="cs"/>
          <w:sz w:val="28"/>
          <w:szCs w:val="32"/>
          <w:rtl/>
        </w:rPr>
        <w:t xml:space="preserve"> فيتقادم التزام الكفيل قبل أن يتقادم التزام المدين الأصلي</w:t>
      </w:r>
      <w:r>
        <w:rPr>
          <w:rFonts w:cs="Traditional Arabic" w:hint="cs"/>
          <w:sz w:val="28"/>
          <w:szCs w:val="32"/>
          <w:rtl/>
        </w:rPr>
        <w:t xml:space="preserve"> .</w:t>
      </w:r>
      <w:r w:rsidRPr="00EC737F">
        <w:rPr>
          <w:rFonts w:cs="Traditional Arabic" w:hint="cs"/>
          <w:sz w:val="28"/>
          <w:szCs w:val="32"/>
          <w:rtl/>
        </w:rPr>
        <w:t xml:space="preserve"> وفي مثل هذه الأحوال تبرأ ذمة الكفيل بصفة أصلية</w:t>
      </w:r>
      <w:r>
        <w:rPr>
          <w:rFonts w:cs="Traditional Arabic" w:hint="cs"/>
          <w:sz w:val="28"/>
          <w:szCs w:val="32"/>
          <w:rtl/>
        </w:rPr>
        <w:t xml:space="preserve"> ،</w:t>
      </w:r>
      <w:r w:rsidRPr="00EC737F">
        <w:rPr>
          <w:rFonts w:cs="Traditional Arabic" w:hint="cs"/>
          <w:sz w:val="28"/>
          <w:szCs w:val="32"/>
          <w:rtl/>
        </w:rPr>
        <w:t xml:space="preserve"> مع بقاء المدين الأصلي ملتزماً بالدين</w:t>
      </w:r>
      <w:r>
        <w:rPr>
          <w:rFonts w:cs="Traditional Arabic" w:hint="cs"/>
          <w:sz w:val="28"/>
          <w:szCs w:val="32"/>
          <w:vertAlign w:val="superscript"/>
          <w:rtl/>
        </w:rPr>
        <w:t xml:space="preserve">( </w:t>
      </w:r>
      <w:r w:rsidRPr="00EC737F">
        <w:rPr>
          <w:rStyle w:val="ab"/>
          <w:rFonts w:cs="Traditional Arabic"/>
          <w:sz w:val="28"/>
          <w:szCs w:val="32"/>
          <w:rtl/>
        </w:rPr>
        <w:footnoteReference w:id="53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535"/>
      </w:r>
      <w:r>
        <w:rPr>
          <w:rFonts w:cs="Traditional Arabic" w:hint="cs"/>
          <w:sz w:val="28"/>
          <w:szCs w:val="32"/>
          <w:vertAlign w:val="superscript"/>
          <w:rtl/>
        </w:rPr>
        <w:t xml:space="preserve"> )</w:t>
      </w:r>
      <w:r w:rsidRPr="00EC737F">
        <w:rPr>
          <w:rFonts w:cs="Traditional Arabic" w:hint="cs"/>
          <w:sz w:val="28"/>
          <w:szCs w:val="32"/>
          <w:rtl/>
        </w:rPr>
        <w:t xml:space="preserve"> أن قطع التقادم بالنسبة إلى المدين الأصلي</w:t>
      </w:r>
      <w:r>
        <w:rPr>
          <w:rFonts w:cs="Traditional Arabic" w:hint="cs"/>
          <w:sz w:val="28"/>
          <w:szCs w:val="32"/>
          <w:rtl/>
        </w:rPr>
        <w:t xml:space="preserve"> ،</w:t>
      </w:r>
      <w:r w:rsidRPr="00EC737F">
        <w:rPr>
          <w:rFonts w:cs="Traditional Arabic" w:hint="cs"/>
          <w:sz w:val="28"/>
          <w:szCs w:val="32"/>
          <w:rtl/>
        </w:rPr>
        <w:t xml:space="preserve"> في التقنين المدني الفرنسي </w:t>
      </w:r>
      <w:r>
        <w:rPr>
          <w:rFonts w:cs="Traditional Arabic" w:hint="cs"/>
          <w:sz w:val="28"/>
          <w:szCs w:val="32"/>
          <w:rtl/>
        </w:rPr>
        <w:t xml:space="preserve">( </w:t>
      </w:r>
      <w:r w:rsidRPr="00EC737F">
        <w:rPr>
          <w:rFonts w:cs="Traditional Arabic" w:hint="cs"/>
          <w:sz w:val="28"/>
          <w:szCs w:val="32"/>
          <w:rtl/>
        </w:rPr>
        <w:t>م 2250</w:t>
      </w:r>
      <w:r>
        <w:rPr>
          <w:rFonts w:cs="Traditional Arabic" w:hint="cs"/>
          <w:sz w:val="28"/>
          <w:szCs w:val="32"/>
          <w:rtl/>
        </w:rPr>
        <w:t xml:space="preserve"> ) ،</w:t>
      </w:r>
      <w:r w:rsidRPr="00EC737F">
        <w:rPr>
          <w:rFonts w:cs="Traditional Arabic" w:hint="cs"/>
          <w:sz w:val="28"/>
          <w:szCs w:val="32"/>
          <w:rtl/>
        </w:rPr>
        <w:t xml:space="preserve"> بقطع التقادم بالنسبة إلى الكفيل</w:t>
      </w:r>
      <w:r>
        <w:rPr>
          <w:rFonts w:cs="Traditional Arabic" w:hint="cs"/>
          <w:sz w:val="28"/>
          <w:szCs w:val="32"/>
          <w:vertAlign w:val="superscript"/>
          <w:rtl/>
        </w:rPr>
        <w:t xml:space="preserve">( </w:t>
      </w:r>
      <w:r w:rsidRPr="00EC737F">
        <w:rPr>
          <w:rStyle w:val="ab"/>
          <w:rFonts w:cs="Traditional Arabic"/>
          <w:sz w:val="28"/>
          <w:szCs w:val="32"/>
          <w:rtl/>
        </w:rPr>
        <w:footnoteReference w:id="53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ولذلك لا يتحقق في التقنين المدني الفرنسي أن يتقادم التزام الكفيل دون أن يتقادم الدين الأصلي عن طريق قطع سريان التقادم بالنسبة إلى المدين الأصلي</w:t>
      </w:r>
      <w:r>
        <w:rPr>
          <w:rFonts w:cs="Traditional Arabic" w:hint="cs"/>
          <w:sz w:val="28"/>
          <w:szCs w:val="32"/>
          <w:rtl/>
        </w:rPr>
        <w:t xml:space="preserve"> ،</w:t>
      </w:r>
      <w:r w:rsidRPr="00EC737F">
        <w:rPr>
          <w:rFonts w:cs="Traditional Arabic" w:hint="cs"/>
          <w:sz w:val="28"/>
          <w:szCs w:val="32"/>
          <w:rtl/>
        </w:rPr>
        <w:t xml:space="preserve"> فإن قطع التقادم بالنسبة إلى المدين الأصلي يقطعه بالنسبة إلى التزام الكفيل كما $239 سبق القول</w:t>
      </w:r>
      <w:r>
        <w:rPr>
          <w:rFonts w:cs="Traditional Arabic" w:hint="cs"/>
          <w:sz w:val="28"/>
          <w:szCs w:val="32"/>
          <w:rtl/>
        </w:rPr>
        <w:t xml:space="preserve"> .</w:t>
      </w:r>
      <w:r w:rsidRPr="00EC737F">
        <w:rPr>
          <w:rFonts w:cs="Traditional Arabic" w:hint="cs"/>
          <w:sz w:val="28"/>
          <w:szCs w:val="32"/>
          <w:rtl/>
        </w:rPr>
        <w:t xml:space="preserve"> ولذلك يتقادم التزام الكفيل وبتقادم الدين الأصلي في وقت واحد</w:t>
      </w:r>
      <w:r>
        <w:rPr>
          <w:rFonts w:cs="Traditional Arabic" w:hint="cs"/>
          <w:sz w:val="28"/>
          <w:szCs w:val="32"/>
          <w:rtl/>
        </w:rPr>
        <w:t xml:space="preserve"> ،</w:t>
      </w:r>
      <w:r w:rsidRPr="00EC737F">
        <w:rPr>
          <w:rFonts w:cs="Traditional Arabic" w:hint="cs"/>
          <w:sz w:val="28"/>
          <w:szCs w:val="32"/>
          <w:rtl/>
        </w:rPr>
        <w:t xml:space="preserve"> إذا بدأ سيان التقادم في وقت واحد بالنسبة </w:t>
      </w:r>
      <w:r w:rsidRPr="00EC737F">
        <w:rPr>
          <w:rFonts w:cs="Traditional Arabic" w:hint="cs"/>
          <w:sz w:val="28"/>
          <w:szCs w:val="32"/>
          <w:rtl/>
        </w:rPr>
        <w:lastRenderedPageBreak/>
        <w:t>إلى كليهما</w:t>
      </w:r>
      <w:r>
        <w:rPr>
          <w:rFonts w:cs="Traditional Arabic" w:hint="cs"/>
          <w:sz w:val="28"/>
          <w:szCs w:val="32"/>
          <w:vertAlign w:val="superscript"/>
          <w:rtl/>
        </w:rPr>
        <w:t xml:space="preserve">( </w:t>
      </w:r>
      <w:r w:rsidRPr="00EC737F">
        <w:rPr>
          <w:rStyle w:val="ab"/>
          <w:rFonts w:cs="Traditional Arabic"/>
          <w:sz w:val="28"/>
          <w:szCs w:val="32"/>
          <w:rtl/>
        </w:rPr>
        <w:footnoteReference w:id="53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40"/>
          <w:rtl/>
        </w:rPr>
      </w:pPr>
      <w:r w:rsidRPr="00EC737F">
        <w:rPr>
          <w:rFonts w:cs="Traditional Arabic" w:hint="cs"/>
          <w:b/>
          <w:bCs/>
          <w:sz w:val="28"/>
          <w:szCs w:val="40"/>
          <w:rtl/>
        </w:rPr>
        <w:t>المطلب الثاني</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أوجه خاصة بالكفالة دون غيرها</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99- أوجه ثلاثة خاصة بالكفالة</w:t>
      </w:r>
      <w:r>
        <w:rPr>
          <w:rFonts w:cs="Traditional Arabic" w:hint="cs"/>
          <w:sz w:val="28"/>
          <w:szCs w:val="32"/>
          <w:rtl/>
        </w:rPr>
        <w:t xml:space="preserve"> :</w:t>
      </w:r>
      <w:r w:rsidRPr="00EC737F">
        <w:rPr>
          <w:rFonts w:cs="Traditional Arabic" w:hint="cs"/>
          <w:sz w:val="28"/>
          <w:szCs w:val="32"/>
          <w:rtl/>
        </w:rPr>
        <w:t xml:space="preserve"> وهناك أوجه ثلاثة قد تنقضي بها الكفالة بطريق أصلي</w:t>
      </w:r>
      <w:r>
        <w:rPr>
          <w:rFonts w:cs="Traditional Arabic" w:hint="cs"/>
          <w:sz w:val="28"/>
          <w:szCs w:val="32"/>
          <w:rtl/>
        </w:rPr>
        <w:t xml:space="preserve"> ،</w:t>
      </w:r>
      <w:r w:rsidRPr="00EC737F">
        <w:rPr>
          <w:rFonts w:cs="Traditional Arabic" w:hint="cs"/>
          <w:sz w:val="28"/>
          <w:szCs w:val="32"/>
          <w:rtl/>
        </w:rPr>
        <w:t xml:space="preserve"> دون أن ينقضي الدين المكفول</w:t>
      </w:r>
      <w:r>
        <w:rPr>
          <w:rFonts w:cs="Traditional Arabic" w:hint="cs"/>
          <w:sz w:val="28"/>
          <w:szCs w:val="32"/>
          <w:rtl/>
        </w:rPr>
        <w:t xml:space="preserve"> .</w:t>
      </w:r>
      <w:r w:rsidRPr="00EC737F">
        <w:rPr>
          <w:rFonts w:cs="Traditional Arabic" w:hint="cs"/>
          <w:sz w:val="28"/>
          <w:szCs w:val="32"/>
          <w:rtl/>
        </w:rPr>
        <w:t xml:space="preserve"> وهذه الأوجه ليست مجرد تطبيق للقواعد العامة في انقضاء التزام الكفل كما هي الحال فيما تقدم في المطلب الأول</w:t>
      </w:r>
      <w:r>
        <w:rPr>
          <w:rFonts w:cs="Traditional Arabic" w:hint="cs"/>
          <w:sz w:val="28"/>
          <w:szCs w:val="32"/>
          <w:rtl/>
        </w:rPr>
        <w:t xml:space="preserve"> ،</w:t>
      </w:r>
      <w:r w:rsidRPr="00EC737F">
        <w:rPr>
          <w:rFonts w:cs="Traditional Arabic" w:hint="cs"/>
          <w:sz w:val="28"/>
          <w:szCs w:val="32"/>
          <w:rtl/>
        </w:rPr>
        <w:t xml:space="preserve"> بل هي أوجه خاصة بالكفالة دون غيرها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نص التقنين المدني على هذه الأوجه الثلاثة</w:t>
      </w:r>
      <w:r>
        <w:rPr>
          <w:rFonts w:cs="Traditional Arabic" w:hint="cs"/>
          <w:sz w:val="28"/>
          <w:szCs w:val="32"/>
          <w:rtl/>
        </w:rPr>
        <w:t xml:space="preserve"> ،</w:t>
      </w:r>
      <w:r w:rsidRPr="00EC737F">
        <w:rPr>
          <w:rFonts w:cs="Traditional Arabic" w:hint="cs"/>
          <w:sz w:val="28"/>
          <w:szCs w:val="32"/>
          <w:rtl/>
        </w:rPr>
        <w:t xml:space="preserve"> وهي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براءة ذمة الكفيل بقدر ما أضاعه الدائن بخطأه من الضمانات</w:t>
      </w:r>
      <w:r>
        <w:rPr>
          <w:rFonts w:cs="Traditional Arabic" w:hint="cs"/>
          <w:sz w:val="28"/>
          <w:szCs w:val="32"/>
          <w:rtl/>
        </w:rPr>
        <w:t xml:space="preserve"> ،</w:t>
      </w:r>
      <w:r w:rsidRPr="00EC737F">
        <w:rPr>
          <w:rFonts w:cs="Traditional Arabic" w:hint="cs"/>
          <w:sz w:val="28"/>
          <w:szCs w:val="32"/>
          <w:rtl/>
        </w:rPr>
        <w:t xml:space="preserve"> وذلك دون أن ينقضي الدين الأصلي </w:t>
      </w:r>
      <w:r>
        <w:rPr>
          <w:rFonts w:cs="Traditional Arabic" w:hint="cs"/>
          <w:sz w:val="28"/>
          <w:szCs w:val="32"/>
          <w:rtl/>
        </w:rPr>
        <w:t xml:space="preserve">( </w:t>
      </w:r>
      <w:r w:rsidRPr="00EC737F">
        <w:rPr>
          <w:rFonts w:cs="Traditional Arabic" w:hint="cs"/>
          <w:sz w:val="28"/>
          <w:szCs w:val="32"/>
          <w:rtl/>
        </w:rPr>
        <w:t>م 784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براءة ذمة الكفيل لتأخر الدائن في اتخاذ الإجراءات ضد المدين</w:t>
      </w:r>
      <w:r>
        <w:rPr>
          <w:rFonts w:cs="Traditional Arabic" w:hint="cs"/>
          <w:sz w:val="28"/>
          <w:szCs w:val="32"/>
          <w:rtl/>
        </w:rPr>
        <w:t xml:space="preserve"> ،</w:t>
      </w:r>
      <w:r w:rsidRPr="00EC737F">
        <w:rPr>
          <w:rFonts w:cs="Traditional Arabic" w:hint="cs"/>
          <w:sz w:val="28"/>
          <w:szCs w:val="32"/>
          <w:rtl/>
        </w:rPr>
        <w:t xml:space="preserve"> وذلك أيضاً دون أن ينقضي الدين الأصلي </w:t>
      </w:r>
      <w:r>
        <w:rPr>
          <w:rFonts w:cs="Traditional Arabic" w:hint="cs"/>
          <w:sz w:val="28"/>
          <w:szCs w:val="32"/>
          <w:rtl/>
        </w:rPr>
        <w:t xml:space="preserve">( </w:t>
      </w:r>
      <w:r w:rsidRPr="00EC737F">
        <w:rPr>
          <w:rFonts w:cs="Traditional Arabic" w:hint="cs"/>
          <w:sz w:val="28"/>
          <w:szCs w:val="32"/>
          <w:rtl/>
        </w:rPr>
        <w:t>م 785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عدم تقدم الدائن في تفليسة المدين</w:t>
      </w:r>
      <w:r>
        <w:rPr>
          <w:rFonts w:cs="Traditional Arabic" w:hint="cs"/>
          <w:sz w:val="28"/>
          <w:szCs w:val="32"/>
          <w:rtl/>
        </w:rPr>
        <w:t xml:space="preserve"> ،</w:t>
      </w:r>
      <w:r w:rsidRPr="00EC737F">
        <w:rPr>
          <w:rFonts w:cs="Traditional Arabic" w:hint="cs"/>
          <w:sz w:val="28"/>
          <w:szCs w:val="32"/>
          <w:rtl/>
        </w:rPr>
        <w:t xml:space="preserve"> فتبرأ ذمة الكفيل بقدر ما أصابه هذا الأخير من ضرر بسبب إهمال الدائن</w:t>
      </w:r>
      <w:r>
        <w:rPr>
          <w:rFonts w:cs="Traditional Arabic" w:hint="cs"/>
          <w:sz w:val="28"/>
          <w:szCs w:val="32"/>
          <w:rtl/>
        </w:rPr>
        <w:t xml:space="preserve"> ،</w:t>
      </w:r>
      <w:r w:rsidRPr="00EC737F">
        <w:rPr>
          <w:rFonts w:cs="Traditional Arabic" w:hint="cs"/>
          <w:sz w:val="28"/>
          <w:szCs w:val="32"/>
          <w:rtl/>
        </w:rPr>
        <w:t xml:space="preserve"> وذلك مع بقا الدين الأصلي قائماً </w:t>
      </w:r>
      <w:r>
        <w:rPr>
          <w:rFonts w:cs="Traditional Arabic" w:hint="cs"/>
          <w:sz w:val="28"/>
          <w:szCs w:val="32"/>
          <w:rtl/>
        </w:rPr>
        <w:t xml:space="preserve">( </w:t>
      </w:r>
      <w:r w:rsidRPr="00EC737F">
        <w:rPr>
          <w:rFonts w:cs="Traditional Arabic" w:hint="cs"/>
          <w:sz w:val="28"/>
          <w:szCs w:val="32"/>
          <w:rtl/>
        </w:rPr>
        <w:t>م 786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$240 وسنرى أن التقنين المدني السابق</w:t>
      </w:r>
      <w:r>
        <w:rPr>
          <w:rFonts w:cs="Traditional Arabic" w:hint="cs"/>
          <w:sz w:val="28"/>
          <w:szCs w:val="32"/>
          <w:rtl/>
        </w:rPr>
        <w:t xml:space="preserve"> ،</w:t>
      </w:r>
      <w:r w:rsidRPr="00EC737F">
        <w:rPr>
          <w:rFonts w:cs="Traditional Arabic" w:hint="cs"/>
          <w:sz w:val="28"/>
          <w:szCs w:val="32"/>
          <w:rtl/>
        </w:rPr>
        <w:t xml:space="preserve"> وقد انتفى في ذلك أثر التقنين المدني الفرنسي</w:t>
      </w:r>
      <w:r>
        <w:rPr>
          <w:rFonts w:cs="Traditional Arabic" w:hint="cs"/>
          <w:sz w:val="28"/>
          <w:szCs w:val="32"/>
          <w:rtl/>
        </w:rPr>
        <w:t xml:space="preserve"> ،</w:t>
      </w:r>
      <w:r w:rsidRPr="00EC737F">
        <w:rPr>
          <w:rFonts w:cs="Traditional Arabic" w:hint="cs"/>
          <w:sz w:val="28"/>
          <w:szCs w:val="32"/>
          <w:rtl/>
        </w:rPr>
        <w:t xml:space="preserve"> كان </w:t>
      </w:r>
      <w:r w:rsidRPr="00EC737F">
        <w:rPr>
          <w:rFonts w:cs="Traditional Arabic" w:hint="cs"/>
          <w:sz w:val="28"/>
          <w:szCs w:val="32"/>
          <w:rtl/>
        </w:rPr>
        <w:lastRenderedPageBreak/>
        <w:t xml:space="preserve">يعالج الوجهين الأخيرين </w:t>
      </w:r>
      <w:r w:rsidRPr="00EC737F">
        <w:rPr>
          <w:rFonts w:cs="Traditional Arabic"/>
          <w:sz w:val="28"/>
          <w:szCs w:val="32"/>
          <w:rtl/>
        </w:rPr>
        <w:t>–</w:t>
      </w:r>
      <w:r w:rsidRPr="00EC737F">
        <w:rPr>
          <w:rFonts w:cs="Traditional Arabic" w:hint="cs"/>
          <w:sz w:val="28"/>
          <w:szCs w:val="32"/>
          <w:rtl/>
        </w:rPr>
        <w:t xml:space="preserve"> براءة ذمة الكفيل لتأخر الدائن في اتخاذ الإجراءات ضد المدين وعدم نقدم الدائن في تفليسة المدين </w:t>
      </w:r>
      <w:r w:rsidRPr="00EC737F">
        <w:rPr>
          <w:rFonts w:cs="Traditional Arabic"/>
          <w:sz w:val="28"/>
          <w:szCs w:val="32"/>
          <w:rtl/>
        </w:rPr>
        <w:t>–</w:t>
      </w:r>
      <w:r w:rsidRPr="00EC737F">
        <w:rPr>
          <w:rFonts w:cs="Traditional Arabic" w:hint="cs"/>
          <w:sz w:val="28"/>
          <w:szCs w:val="32"/>
          <w:rtl/>
        </w:rPr>
        <w:t xml:space="preserve"> لا ببراءة ذمة الكفيل بقدر ما أصابه من ضرر</w:t>
      </w:r>
      <w:r>
        <w:rPr>
          <w:rFonts w:cs="Traditional Arabic" w:hint="cs"/>
          <w:sz w:val="28"/>
          <w:szCs w:val="32"/>
          <w:rtl/>
        </w:rPr>
        <w:t xml:space="preserve"> ،</w:t>
      </w:r>
      <w:r w:rsidRPr="00EC737F">
        <w:rPr>
          <w:rFonts w:cs="Traditional Arabic" w:hint="cs"/>
          <w:sz w:val="28"/>
          <w:szCs w:val="32"/>
          <w:rtl/>
        </w:rPr>
        <w:t xml:space="preserve"> بل يرجع الكفيل على المدين قبل أن يدفع المدين بدعوى يطلب فيها أن يؤمنه المدين بما يكفل رجوعه عليه إذا اضطر لدفع الدين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ونبحث فيما يلي هذه الأوجه الثلاثة الخاصة بالكفالة</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1</w:t>
      </w:r>
      <w:r w:rsidRPr="00EC737F">
        <w:rPr>
          <w:rFonts w:cs="Traditional Arabic"/>
          <w:b/>
          <w:bCs/>
          <w:sz w:val="28"/>
          <w:szCs w:val="32"/>
          <w:rtl/>
        </w:rPr>
        <w:t>–</w:t>
      </w:r>
      <w:r w:rsidRPr="00EC737F">
        <w:rPr>
          <w:rFonts w:cs="Traditional Arabic" w:hint="cs"/>
          <w:b/>
          <w:bCs/>
          <w:sz w:val="28"/>
          <w:szCs w:val="32"/>
          <w:rtl/>
        </w:rPr>
        <w:t xml:space="preserve"> براءة ذمة الكفيل بقدر ما أضاعه</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الدائن بخطأه من الضمانات</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100- نص قانوني</w:t>
      </w:r>
      <w:r>
        <w:rPr>
          <w:rFonts w:cs="Traditional Arabic" w:hint="cs"/>
          <w:sz w:val="28"/>
          <w:szCs w:val="32"/>
          <w:rtl/>
        </w:rPr>
        <w:t xml:space="preserve"> :</w:t>
      </w:r>
      <w:r w:rsidRPr="00EC737F">
        <w:rPr>
          <w:rFonts w:cs="Traditional Arabic" w:hint="cs"/>
          <w:sz w:val="28"/>
          <w:szCs w:val="32"/>
          <w:rtl/>
        </w:rPr>
        <w:t xml:space="preserve"> تنص المادة 784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 تبرأ ذمة الكفيل بقدر ما أضاعه الدائن بخطأه من الضمانات"</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ويقصد بالضمانات في هذه المادة كل تامين يخصص لضمان الدين ولو تقرر بعد الكفالة</w:t>
      </w:r>
      <w:r>
        <w:rPr>
          <w:rFonts w:cs="Traditional Arabic" w:hint="cs"/>
          <w:sz w:val="28"/>
          <w:szCs w:val="32"/>
          <w:rtl/>
        </w:rPr>
        <w:t xml:space="preserve"> ،</w:t>
      </w:r>
      <w:r w:rsidRPr="00EC737F">
        <w:rPr>
          <w:rFonts w:cs="Traditional Arabic" w:hint="cs"/>
          <w:sz w:val="28"/>
          <w:szCs w:val="32"/>
          <w:rtl/>
        </w:rPr>
        <w:t xml:space="preserve"> وكل تأمين مقرر بحكم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53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النص في التقنين المدني السابق المادة 510/623</w:t>
      </w:r>
      <w:r>
        <w:rPr>
          <w:rFonts w:cs="Traditional Arabic" w:hint="cs"/>
          <w:sz w:val="28"/>
          <w:szCs w:val="32"/>
          <w:vertAlign w:val="superscript"/>
          <w:rtl/>
        </w:rPr>
        <w:t xml:space="preserve">( </w:t>
      </w:r>
      <w:r w:rsidRPr="00EC737F">
        <w:rPr>
          <w:rStyle w:val="ab"/>
          <w:rFonts w:cs="Traditional Arabic"/>
          <w:sz w:val="28"/>
          <w:szCs w:val="32"/>
          <w:rtl/>
        </w:rPr>
        <w:footnoteReference w:id="53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في التقنينات المدينة العربية الأخرى</w:t>
      </w:r>
      <w:r>
        <w:rPr>
          <w:rFonts w:cs="Traditional Arabic" w:hint="cs"/>
          <w:sz w:val="28"/>
          <w:szCs w:val="32"/>
          <w:rtl/>
        </w:rPr>
        <w:t xml:space="preserve"> :</w:t>
      </w:r>
      <w:r w:rsidRPr="00EC737F">
        <w:rPr>
          <w:rFonts w:cs="Traditional Arabic" w:hint="cs"/>
          <w:sz w:val="28"/>
          <w:szCs w:val="32"/>
          <w:rtl/>
        </w:rPr>
        <w:t xml:space="preserve"> التقنين المدني السوري $241 م 750- التقنين المدني الليبي م 793 </w:t>
      </w:r>
      <w:r w:rsidRPr="00EC737F">
        <w:rPr>
          <w:rFonts w:cs="Traditional Arabic"/>
          <w:sz w:val="28"/>
          <w:szCs w:val="32"/>
          <w:rtl/>
        </w:rPr>
        <w:t>–</w:t>
      </w:r>
      <w:r w:rsidRPr="00EC737F">
        <w:rPr>
          <w:rFonts w:cs="Traditional Arabic" w:hint="cs"/>
          <w:sz w:val="28"/>
          <w:szCs w:val="32"/>
          <w:rtl/>
        </w:rPr>
        <w:t xml:space="preserve"> التقنين المدني العراقي م 1027 </w:t>
      </w:r>
      <w:r w:rsidRPr="00EC737F">
        <w:rPr>
          <w:rFonts w:cs="Traditional Arabic"/>
          <w:sz w:val="28"/>
          <w:szCs w:val="32"/>
          <w:rtl/>
        </w:rPr>
        <w:t>–</w:t>
      </w:r>
      <w:r w:rsidRPr="00EC737F">
        <w:rPr>
          <w:rFonts w:cs="Traditional Arabic" w:hint="cs"/>
          <w:sz w:val="28"/>
          <w:szCs w:val="32"/>
          <w:rtl/>
        </w:rPr>
        <w:t xml:space="preserve"> قانون الموجبات والعقود اللبناني م 1089</w:t>
      </w:r>
      <w:r>
        <w:rPr>
          <w:rFonts w:cs="Traditional Arabic" w:hint="cs"/>
          <w:sz w:val="28"/>
          <w:szCs w:val="32"/>
          <w:vertAlign w:val="superscript"/>
          <w:rtl/>
        </w:rPr>
        <w:t xml:space="preserve">( </w:t>
      </w:r>
      <w:r w:rsidRPr="00EC737F">
        <w:rPr>
          <w:rStyle w:val="ab"/>
          <w:rFonts w:cs="Traditional Arabic"/>
          <w:sz w:val="28"/>
          <w:szCs w:val="32"/>
          <w:rtl/>
        </w:rPr>
        <w:footnoteReference w:id="54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ولما كان النص يبرئ ذمة الكفيل بقد ما أضاعه الدائن بخطأه من الضمانات فإن الأمر يقتضي بحث المسائل الخمس الآتية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الكفلاء الذين يحق لهم التمسك ببراءة ذمتهم</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الأساس الذي تقوم عليه براءة ذمة الكفيل</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الخطأ الذي يرتكبه الدائن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الضمانات التي يضيعها الدائن بخطأه</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5</w:t>
      </w:r>
      <w:r>
        <w:rPr>
          <w:rFonts w:cs="Traditional Arabic" w:hint="cs"/>
          <w:sz w:val="28"/>
          <w:szCs w:val="32"/>
          <w:rtl/>
        </w:rPr>
        <w:t xml:space="preserve"> )</w:t>
      </w:r>
      <w:r w:rsidRPr="00EC737F">
        <w:rPr>
          <w:rFonts w:cs="Traditional Arabic" w:hint="cs"/>
          <w:sz w:val="28"/>
          <w:szCs w:val="32"/>
          <w:rtl/>
        </w:rPr>
        <w:t xml:space="preserve"> الشروط الواجب توافرها لبراءة ذمة الكفيل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101- الكفلاء الذين يحق لهم التمسك ببراءة ذمتهم</w:t>
      </w:r>
      <w:r>
        <w:rPr>
          <w:rFonts w:cs="Traditional Arabic" w:hint="cs"/>
          <w:sz w:val="28"/>
          <w:szCs w:val="32"/>
          <w:rtl/>
        </w:rPr>
        <w:t xml:space="preserve"> :</w:t>
      </w:r>
      <w:r w:rsidRPr="00EC737F">
        <w:rPr>
          <w:rFonts w:cs="Traditional Arabic" w:hint="cs"/>
          <w:sz w:val="28"/>
          <w:szCs w:val="32"/>
          <w:rtl/>
        </w:rPr>
        <w:t xml:space="preserve"> يحق له التمس ببراءة ذمة كل كفيل شخصي</w:t>
      </w:r>
      <w:r>
        <w:rPr>
          <w:rFonts w:cs="Traditional Arabic" w:hint="cs"/>
          <w:sz w:val="28"/>
          <w:szCs w:val="32"/>
          <w:rtl/>
        </w:rPr>
        <w:t xml:space="preserve"> ،</w:t>
      </w:r>
      <w:r w:rsidRPr="00EC737F">
        <w:rPr>
          <w:rFonts w:cs="Traditional Arabic" w:hint="cs"/>
          <w:sz w:val="28"/>
          <w:szCs w:val="32"/>
          <w:rtl/>
        </w:rPr>
        <w:t xml:space="preserve"> متضامن أو غير متضامن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فالكفيل غير المتضامن يجوز له التمسك ببراءة ذمته إذا ارتكب الدائن خطأ يضيع التأمينات على الكفيل</w:t>
      </w:r>
      <w:r>
        <w:rPr>
          <w:rFonts w:cs="Traditional Arabic" w:hint="cs"/>
          <w:sz w:val="28"/>
          <w:szCs w:val="32"/>
          <w:rtl/>
        </w:rPr>
        <w:t xml:space="preserve"> .</w:t>
      </w:r>
      <w:r w:rsidRPr="00EC737F">
        <w:rPr>
          <w:rFonts w:cs="Traditional Arabic" w:hint="cs"/>
          <w:sz w:val="28"/>
          <w:szCs w:val="32"/>
          <w:rtl/>
        </w:rPr>
        <w:t xml:space="preserve"> ولا يستطيع الدائن أن يعتبر الكفيل غير المتضامن مسئولا</w:t>
      </w:r>
      <w:r>
        <w:rPr>
          <w:rFonts w:cs="Traditional Arabic" w:hint="cs"/>
          <w:sz w:val="28"/>
          <w:szCs w:val="32"/>
          <w:rtl/>
        </w:rPr>
        <w:t xml:space="preserve"> ،</w:t>
      </w:r>
      <w:r w:rsidRPr="00EC737F">
        <w:rPr>
          <w:rFonts w:cs="Traditional Arabic" w:hint="cs"/>
          <w:sz w:val="28"/>
          <w:szCs w:val="32"/>
          <w:rtl/>
        </w:rPr>
        <w:t xml:space="preserve"> فإن مسئوليته قد ارتفعت بالخطأ الذي ارتكبه الدائن</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وحتى ولو كان الكفيل متضامناً مع المدين</w:t>
      </w:r>
      <w:r>
        <w:rPr>
          <w:rFonts w:cs="Traditional Arabic" w:hint="cs"/>
          <w:sz w:val="28"/>
          <w:szCs w:val="32"/>
          <w:rtl/>
        </w:rPr>
        <w:t xml:space="preserve"> ،</w:t>
      </w:r>
      <w:r w:rsidRPr="00EC737F">
        <w:rPr>
          <w:rFonts w:cs="Traditional Arabic" w:hint="cs"/>
          <w:sz w:val="28"/>
          <w:szCs w:val="32"/>
          <w:rtl/>
        </w:rPr>
        <w:t xml:space="preserve"> فانه يستطيع أن يتمسك ببراءة ذمته إذا ارتكب الدائن خطأ أضاع عليه التأمينات</w:t>
      </w:r>
      <w:r>
        <w:rPr>
          <w:rFonts w:cs="Traditional Arabic" w:hint="cs"/>
          <w:sz w:val="28"/>
          <w:szCs w:val="32"/>
          <w:rtl/>
        </w:rPr>
        <w:t xml:space="preserve"> ،</w:t>
      </w:r>
      <w:r w:rsidRPr="00EC737F">
        <w:rPr>
          <w:rFonts w:cs="Traditional Arabic" w:hint="cs"/>
          <w:sz w:val="28"/>
          <w:szCs w:val="32"/>
          <w:rtl/>
        </w:rPr>
        <w:t xml:space="preserve"> فالقانون لا يميز بين الكفيل غير المتضامن والكفيل المتضامن في هذا الصدد</w:t>
      </w:r>
      <w:r>
        <w:rPr>
          <w:rFonts w:cs="Traditional Arabic" w:hint="cs"/>
          <w:sz w:val="28"/>
          <w:szCs w:val="32"/>
          <w:vertAlign w:val="superscript"/>
          <w:rtl/>
        </w:rPr>
        <w:t xml:space="preserve">( </w:t>
      </w:r>
      <w:r w:rsidRPr="00EC737F">
        <w:rPr>
          <w:rStyle w:val="ab"/>
          <w:rFonts w:cs="Traditional Arabic"/>
          <w:sz w:val="28"/>
          <w:szCs w:val="32"/>
          <w:rtl/>
        </w:rPr>
        <w:footnoteReference w:id="541"/>
      </w:r>
      <w:r>
        <w:rPr>
          <w:rFonts w:cs="Traditional Arabic" w:hint="cs"/>
          <w:sz w:val="28"/>
          <w:szCs w:val="32"/>
          <w:vertAlign w:val="superscript"/>
          <w:rtl/>
        </w:rPr>
        <w:t xml:space="preserve"> </w:t>
      </w:r>
      <w:r>
        <w:rPr>
          <w:rFonts w:cs="Traditional Arabic" w:hint="cs"/>
          <w:sz w:val="28"/>
          <w:szCs w:val="32"/>
          <w:vertAlign w:val="superscript"/>
          <w:rtl/>
        </w:rPr>
        <w:lastRenderedPageBreak/>
        <w:t>)</w:t>
      </w:r>
      <w:r>
        <w:rPr>
          <w:rFonts w:cs="Traditional Arabic" w:hint="cs"/>
          <w:sz w:val="28"/>
          <w:szCs w:val="32"/>
          <w:rtl/>
        </w:rPr>
        <w:t xml:space="preserve"> .</w:t>
      </w:r>
      <w:r w:rsidRPr="00EC737F">
        <w:rPr>
          <w:rFonts w:cs="Traditional Arabic" w:hint="cs"/>
          <w:sz w:val="28"/>
          <w:szCs w:val="32"/>
          <w:rtl/>
        </w:rPr>
        <w:t xml:space="preserve"> فيستطيع إذن $242 الكفيل الاحتياطي </w:t>
      </w:r>
      <w:r>
        <w:rPr>
          <w:rFonts w:cs="Traditional Arabic"/>
          <w:sz w:val="28"/>
          <w:szCs w:val="32"/>
          <w:rtl/>
        </w:rPr>
        <w:t xml:space="preserve">( </w:t>
      </w:r>
      <w:r w:rsidRPr="00EC737F">
        <w:rPr>
          <w:rFonts w:cs="Traditional Arabic"/>
          <w:sz w:val="28"/>
          <w:szCs w:val="32"/>
        </w:rPr>
        <w:t>aval</w:t>
      </w:r>
      <w:r>
        <w:rPr>
          <w:rFonts w:cs="Traditional Arabic"/>
          <w:sz w:val="28"/>
          <w:szCs w:val="32"/>
          <w:rtl/>
        </w:rPr>
        <w:t xml:space="preserve"> )</w:t>
      </w:r>
      <w:r w:rsidRPr="00EC737F">
        <w:rPr>
          <w:rFonts w:cs="Traditional Arabic" w:hint="cs"/>
          <w:sz w:val="28"/>
          <w:szCs w:val="32"/>
          <w:rtl/>
        </w:rPr>
        <w:t xml:space="preserve"> والكفيل في شؤون الجمارك أن يتمسكا ببراءة متهما</w:t>
      </w:r>
      <w:r>
        <w:rPr>
          <w:rFonts w:cs="Traditional Arabic" w:hint="cs"/>
          <w:sz w:val="28"/>
          <w:szCs w:val="32"/>
          <w:rtl/>
        </w:rPr>
        <w:t xml:space="preserve"> ،</w:t>
      </w:r>
      <w:r w:rsidRPr="00EC737F">
        <w:rPr>
          <w:rFonts w:cs="Traditional Arabic" w:hint="cs"/>
          <w:sz w:val="28"/>
          <w:szCs w:val="32"/>
          <w:rtl/>
        </w:rPr>
        <w:t xml:space="preserve"> وكذلك يستطيع التمسك ببراءة الذمة الكفيل الذي نزل عن الدفع بالتجريد</w:t>
      </w:r>
      <w:r>
        <w:rPr>
          <w:rFonts w:cs="Traditional Arabic" w:hint="cs"/>
          <w:sz w:val="28"/>
          <w:szCs w:val="32"/>
          <w:vertAlign w:val="superscript"/>
          <w:rtl/>
        </w:rPr>
        <w:t xml:space="preserve">( </w:t>
      </w:r>
      <w:r w:rsidRPr="00EC737F">
        <w:rPr>
          <w:rStyle w:val="ab"/>
          <w:rFonts w:cs="Traditional Arabic"/>
          <w:sz w:val="28"/>
          <w:szCs w:val="32"/>
          <w:rtl/>
        </w:rPr>
        <w:footnoteReference w:id="54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وكذلك يستطيع أن يتمسك ببراءة ذمته الكفيل العيني</w:t>
      </w:r>
      <w:r>
        <w:rPr>
          <w:rFonts w:cs="Traditional Arabic" w:hint="cs"/>
          <w:sz w:val="28"/>
          <w:szCs w:val="32"/>
          <w:rtl/>
        </w:rPr>
        <w:t xml:space="preserve"> ،</w:t>
      </w:r>
      <w:r w:rsidRPr="00EC737F">
        <w:rPr>
          <w:rFonts w:cs="Traditional Arabic" w:hint="cs"/>
          <w:sz w:val="28"/>
          <w:szCs w:val="32"/>
          <w:rtl/>
        </w:rPr>
        <w:t xml:space="preserve"> فهو كفيل ركز كفالته في عين معينة بالذات</w:t>
      </w:r>
      <w:r>
        <w:rPr>
          <w:rFonts w:cs="Traditional Arabic" w:hint="cs"/>
          <w:sz w:val="28"/>
          <w:szCs w:val="32"/>
          <w:vertAlign w:val="superscript"/>
          <w:rtl/>
        </w:rPr>
        <w:t xml:space="preserve">( </w:t>
      </w:r>
      <w:r w:rsidRPr="00EC737F">
        <w:rPr>
          <w:rStyle w:val="ab"/>
          <w:rFonts w:cs="Traditional Arabic"/>
          <w:sz w:val="28"/>
          <w:szCs w:val="32"/>
          <w:rtl/>
        </w:rPr>
        <w:footnoteReference w:id="54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ولكن لا يستطيع أن يتمسك ببراءة ذمته الحائز للعقار</w:t>
      </w:r>
      <w:r>
        <w:rPr>
          <w:rFonts w:cs="Traditional Arabic" w:hint="cs"/>
          <w:sz w:val="28"/>
          <w:szCs w:val="32"/>
          <w:rtl/>
        </w:rPr>
        <w:t xml:space="preserve"> ،</w:t>
      </w:r>
      <w:r w:rsidRPr="00EC737F">
        <w:rPr>
          <w:rFonts w:cs="Traditional Arabic" w:hint="cs"/>
          <w:sz w:val="28"/>
          <w:szCs w:val="32"/>
          <w:rtl/>
        </w:rPr>
        <w:t xml:space="preserve"> وهو المشتري للعقار الذي رهنه المدين في الدين</w:t>
      </w:r>
      <w:r>
        <w:rPr>
          <w:rFonts w:cs="Traditional Arabic" w:hint="cs"/>
          <w:sz w:val="28"/>
          <w:szCs w:val="32"/>
          <w:rtl/>
        </w:rPr>
        <w:t xml:space="preserve"> ،</w:t>
      </w:r>
      <w:r w:rsidRPr="00EC737F">
        <w:rPr>
          <w:rFonts w:cs="Traditional Arabic" w:hint="cs"/>
          <w:sz w:val="28"/>
          <w:szCs w:val="32"/>
          <w:rtl/>
        </w:rPr>
        <w:t xml:space="preserve"> إذ أن هذا المشتري ليس بكفيل</w:t>
      </w:r>
      <w:r>
        <w:rPr>
          <w:rFonts w:cs="Traditional Arabic" w:hint="cs"/>
          <w:sz w:val="28"/>
          <w:szCs w:val="32"/>
          <w:vertAlign w:val="superscript"/>
          <w:rtl/>
        </w:rPr>
        <w:t xml:space="preserve">( </w:t>
      </w:r>
      <w:r w:rsidRPr="00EC737F">
        <w:rPr>
          <w:rStyle w:val="ab"/>
          <w:rFonts w:cs="Traditional Arabic"/>
          <w:sz w:val="28"/>
          <w:szCs w:val="32"/>
          <w:rtl/>
        </w:rPr>
        <w:footnoteReference w:id="54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$243 ولا يستطيع أن يتمسك ببراءة ذمته المدين المتضامن مع غيره من المدينين</w:t>
      </w:r>
      <w:r>
        <w:rPr>
          <w:rFonts w:cs="Traditional Arabic" w:hint="cs"/>
          <w:sz w:val="28"/>
          <w:szCs w:val="32"/>
          <w:vertAlign w:val="superscript"/>
          <w:rtl/>
        </w:rPr>
        <w:t xml:space="preserve">( </w:t>
      </w:r>
      <w:r w:rsidRPr="00EC737F">
        <w:rPr>
          <w:rStyle w:val="ab"/>
          <w:rFonts w:cs="Traditional Arabic"/>
          <w:sz w:val="28"/>
          <w:szCs w:val="32"/>
          <w:rtl/>
        </w:rPr>
        <w:footnoteReference w:id="545"/>
      </w:r>
      <w:r>
        <w:rPr>
          <w:rFonts w:cs="Traditional Arabic" w:hint="cs"/>
          <w:sz w:val="28"/>
          <w:szCs w:val="32"/>
          <w:vertAlign w:val="superscript"/>
          <w:rtl/>
        </w:rPr>
        <w:t xml:space="preserve"> )</w:t>
      </w:r>
      <w:r w:rsidRPr="00EC737F">
        <w:rPr>
          <w:rFonts w:cs="Traditional Arabic" w:hint="cs"/>
          <w:sz w:val="28"/>
          <w:szCs w:val="32"/>
          <w:rtl/>
        </w:rPr>
        <w:t xml:space="preserve"> لأن المدين المتضامن إنما يلتزم لمصلحته هو</w:t>
      </w:r>
      <w:r>
        <w:rPr>
          <w:rFonts w:cs="Traditional Arabic" w:hint="cs"/>
          <w:sz w:val="28"/>
          <w:szCs w:val="32"/>
          <w:rtl/>
        </w:rPr>
        <w:t xml:space="preserve"> ،</w:t>
      </w:r>
      <w:r w:rsidRPr="00EC737F">
        <w:rPr>
          <w:rFonts w:cs="Traditional Arabic" w:hint="cs"/>
          <w:sz w:val="28"/>
          <w:szCs w:val="32"/>
          <w:rtl/>
        </w:rPr>
        <w:t xml:space="preserve"> أما الكفيل فيلتزم لمصلحة غيره وهو المدين فيجب أن تكون حمايته أوسع من حماية المدين المتضامن</w:t>
      </w:r>
      <w:r>
        <w:rPr>
          <w:rFonts w:cs="Traditional Arabic" w:hint="cs"/>
          <w:sz w:val="28"/>
          <w:szCs w:val="32"/>
          <w:rtl/>
        </w:rPr>
        <w:t xml:space="preserve"> .</w:t>
      </w:r>
      <w:r w:rsidRPr="00EC737F">
        <w:rPr>
          <w:rFonts w:cs="Traditional Arabic" w:hint="cs"/>
          <w:sz w:val="28"/>
          <w:szCs w:val="32"/>
          <w:rtl/>
        </w:rPr>
        <w:t xml:space="preserve"> ولا يستطيع أن يتمسك ببراءة ذمته الوسيط </w:t>
      </w:r>
      <w:r>
        <w:rPr>
          <w:rFonts w:cs="Traditional Arabic"/>
          <w:sz w:val="28"/>
          <w:szCs w:val="32"/>
          <w:rtl/>
        </w:rPr>
        <w:t xml:space="preserve">( </w:t>
      </w:r>
      <w:r w:rsidRPr="00EC737F">
        <w:rPr>
          <w:rFonts w:cs="Traditional Arabic"/>
          <w:sz w:val="28"/>
          <w:szCs w:val="32"/>
        </w:rPr>
        <w:t>commissionaire ducroire</w:t>
      </w:r>
      <w:r>
        <w:rPr>
          <w:rFonts w:cs="Traditional Arabic"/>
          <w:sz w:val="28"/>
          <w:szCs w:val="32"/>
          <w:rtl/>
        </w:rPr>
        <w:t xml:space="preserve"> )</w:t>
      </w:r>
      <w:r w:rsidRPr="00EC737F">
        <w:rPr>
          <w:rFonts w:cs="Traditional Arabic" w:hint="cs"/>
          <w:sz w:val="28"/>
          <w:szCs w:val="32"/>
          <w:rtl/>
        </w:rPr>
        <w:t xml:space="preserve"> إذ هو ليس بكفيل</w:t>
      </w:r>
      <w:r>
        <w:rPr>
          <w:rFonts w:cs="Traditional Arabic" w:hint="cs"/>
          <w:sz w:val="28"/>
          <w:szCs w:val="32"/>
          <w:vertAlign w:val="superscript"/>
          <w:rtl/>
        </w:rPr>
        <w:t xml:space="preserve">( </w:t>
      </w:r>
      <w:r w:rsidRPr="00EC737F">
        <w:rPr>
          <w:rStyle w:val="ab"/>
          <w:rFonts w:cs="Traditional Arabic"/>
          <w:sz w:val="28"/>
          <w:szCs w:val="32"/>
          <w:rtl/>
        </w:rPr>
        <w:footnoteReference w:id="54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102 </w:t>
      </w:r>
      <w:r w:rsidRPr="00EC737F">
        <w:rPr>
          <w:rFonts w:cs="Traditional Arabic"/>
          <w:b/>
          <w:bCs/>
          <w:sz w:val="28"/>
          <w:szCs w:val="32"/>
          <w:rtl/>
        </w:rPr>
        <w:t>–</w:t>
      </w:r>
      <w:r w:rsidRPr="00EC737F">
        <w:rPr>
          <w:rFonts w:cs="Traditional Arabic" w:hint="cs"/>
          <w:b/>
          <w:bCs/>
          <w:sz w:val="28"/>
          <w:szCs w:val="32"/>
          <w:rtl/>
        </w:rPr>
        <w:t xml:space="preserve"> الأساس الذي تقوم عليه براءة ذمة الكفيل</w:t>
      </w:r>
      <w:r>
        <w:rPr>
          <w:rFonts w:cs="Traditional Arabic" w:hint="cs"/>
          <w:sz w:val="28"/>
          <w:szCs w:val="32"/>
          <w:rtl/>
        </w:rPr>
        <w:t xml:space="preserve"> :</w:t>
      </w:r>
      <w:r w:rsidRPr="00EC737F">
        <w:rPr>
          <w:rFonts w:cs="Traditional Arabic" w:hint="cs"/>
          <w:sz w:val="28"/>
          <w:szCs w:val="32"/>
          <w:rtl/>
        </w:rPr>
        <w:t xml:space="preserve"> تبرأ ذمة الكفيل لأن الدائن قد تسبب بخطأه في جعل الكفيل محله في ضماناته مستحيلا</w:t>
      </w:r>
      <w:r>
        <w:rPr>
          <w:rFonts w:cs="Traditional Arabic" w:hint="cs"/>
          <w:sz w:val="28"/>
          <w:szCs w:val="32"/>
          <w:rtl/>
        </w:rPr>
        <w:t xml:space="preserve"> ،</w:t>
      </w:r>
      <w:r w:rsidRPr="00EC737F">
        <w:rPr>
          <w:rFonts w:cs="Traditional Arabic" w:hint="cs"/>
          <w:sz w:val="28"/>
          <w:szCs w:val="32"/>
          <w:rtl/>
        </w:rPr>
        <w:t xml:space="preserve"> وقد كان من حق الكفيل أن يحل محل الدائن في هذه الضمانات</w:t>
      </w:r>
      <w:r>
        <w:rPr>
          <w:rFonts w:cs="Traditional Arabic" w:hint="cs"/>
          <w:sz w:val="28"/>
          <w:szCs w:val="32"/>
          <w:rtl/>
        </w:rPr>
        <w:t xml:space="preserve"> .</w:t>
      </w:r>
      <w:r w:rsidRPr="00EC737F">
        <w:rPr>
          <w:rFonts w:cs="Traditional Arabic" w:hint="cs"/>
          <w:sz w:val="28"/>
          <w:szCs w:val="32"/>
          <w:rtl/>
        </w:rPr>
        <w:t xml:space="preserve"> فإذا أضاع الدائن هذه الضمانات التي اعتمد عليها الكفيل في كفالته للدين</w:t>
      </w:r>
      <w:r>
        <w:rPr>
          <w:rFonts w:cs="Traditional Arabic" w:hint="cs"/>
          <w:sz w:val="28"/>
          <w:szCs w:val="32"/>
          <w:rtl/>
        </w:rPr>
        <w:t xml:space="preserve"> ،</w:t>
      </w:r>
      <w:r w:rsidRPr="00EC737F">
        <w:rPr>
          <w:rFonts w:cs="Traditional Arabic" w:hint="cs"/>
          <w:sz w:val="28"/>
          <w:szCs w:val="32"/>
          <w:rtl/>
        </w:rPr>
        <w:t xml:space="preserve"> كان من حق الكفيل أن تبرأ ذمته بقدر ما أضيع من ضمان</w:t>
      </w:r>
      <w:r>
        <w:rPr>
          <w:rFonts w:cs="Traditional Arabic" w:hint="cs"/>
          <w:sz w:val="28"/>
          <w:szCs w:val="32"/>
          <w:vertAlign w:val="superscript"/>
          <w:rtl/>
        </w:rPr>
        <w:t xml:space="preserve">( </w:t>
      </w:r>
      <w:r w:rsidRPr="00EC737F">
        <w:rPr>
          <w:rStyle w:val="ab"/>
          <w:rFonts w:cs="Traditional Arabic"/>
          <w:sz w:val="28"/>
          <w:szCs w:val="32"/>
          <w:rtl/>
        </w:rPr>
        <w:footnoteReference w:id="54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ويمكن أن يضاف أيضاً إلى السبب المتقدم سبب آخر</w:t>
      </w:r>
      <w:r>
        <w:rPr>
          <w:rFonts w:cs="Traditional Arabic" w:hint="cs"/>
          <w:sz w:val="28"/>
          <w:szCs w:val="32"/>
          <w:rtl/>
        </w:rPr>
        <w:t xml:space="preserve"> ،</w:t>
      </w:r>
      <w:r w:rsidRPr="00EC737F">
        <w:rPr>
          <w:rFonts w:cs="Traditional Arabic" w:hint="cs"/>
          <w:sz w:val="28"/>
          <w:szCs w:val="32"/>
          <w:rtl/>
        </w:rPr>
        <w:t xml:space="preserve"> هو أن الكفيل من حقه أن يحل محل الدائن في الضمانات التي كانت لهذا الأخير</w:t>
      </w:r>
      <w:r>
        <w:rPr>
          <w:rFonts w:cs="Traditional Arabic" w:hint="cs"/>
          <w:sz w:val="28"/>
          <w:szCs w:val="32"/>
          <w:rtl/>
        </w:rPr>
        <w:t xml:space="preserve"> ،</w:t>
      </w:r>
      <w:r w:rsidRPr="00EC737F">
        <w:rPr>
          <w:rFonts w:cs="Traditional Arabic" w:hint="cs"/>
          <w:sz w:val="28"/>
          <w:szCs w:val="32"/>
          <w:rtl/>
        </w:rPr>
        <w:t xml:space="preserve"> بسبب الخدمة التي يؤديها الكفيل للدائن</w:t>
      </w:r>
      <w:r>
        <w:rPr>
          <w:rFonts w:cs="Traditional Arabic" w:hint="cs"/>
          <w:sz w:val="28"/>
          <w:szCs w:val="32"/>
          <w:vertAlign w:val="superscript"/>
          <w:rtl/>
        </w:rPr>
        <w:t xml:space="preserve">( </w:t>
      </w:r>
      <w:r w:rsidRPr="00EC737F">
        <w:rPr>
          <w:rStyle w:val="ab"/>
          <w:rFonts w:cs="Traditional Arabic"/>
          <w:sz w:val="28"/>
          <w:szCs w:val="32"/>
          <w:rtl/>
        </w:rPr>
        <w:footnoteReference w:id="54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أريد جعل الدفع بالتجريد أساساً تقوم عليه براءة ذمة الكفيل</w:t>
      </w:r>
      <w:r>
        <w:rPr>
          <w:rFonts w:cs="Traditional Arabic" w:hint="cs"/>
          <w:sz w:val="28"/>
          <w:szCs w:val="32"/>
          <w:rtl/>
        </w:rPr>
        <w:t xml:space="preserve"> ،</w:t>
      </w:r>
      <w:r w:rsidRPr="00EC737F">
        <w:rPr>
          <w:rFonts w:cs="Traditional Arabic" w:hint="cs"/>
          <w:sz w:val="28"/>
          <w:szCs w:val="32"/>
          <w:rtl/>
        </w:rPr>
        <w:t xml:space="preserve"> ولكن ذلك لا يستقيم مع جعل الأساس الذي تقوم عليه براءة ذمة الكفيل يرجع إلى القانون الروماني</w:t>
      </w:r>
      <w:r>
        <w:rPr>
          <w:rFonts w:cs="Traditional Arabic" w:hint="cs"/>
          <w:sz w:val="28"/>
          <w:szCs w:val="32"/>
          <w:rtl/>
        </w:rPr>
        <w:t xml:space="preserve"> .</w:t>
      </w:r>
      <w:r w:rsidRPr="00EC737F">
        <w:rPr>
          <w:rFonts w:cs="Traditional Arabic" w:hint="cs"/>
          <w:sz w:val="28"/>
          <w:szCs w:val="32"/>
          <w:rtl/>
        </w:rPr>
        <w:t xml:space="preserve"> فقد كان هذا القانون هو الذي يبرئ ذمة الكفيل</w:t>
      </w:r>
      <w:r>
        <w:rPr>
          <w:rFonts w:cs="Traditional Arabic" w:hint="cs"/>
          <w:sz w:val="28"/>
          <w:szCs w:val="32"/>
          <w:rtl/>
        </w:rPr>
        <w:t xml:space="preserve"> ،</w:t>
      </w:r>
      <w:r w:rsidRPr="00EC737F">
        <w:rPr>
          <w:rFonts w:cs="Traditional Arabic" w:hint="cs"/>
          <w:sz w:val="28"/>
          <w:szCs w:val="32"/>
          <w:rtl/>
        </w:rPr>
        <w:t xml:space="preserve"> والدليل على ذلك أن الكفيل القضائي</w:t>
      </w:r>
      <w:r>
        <w:rPr>
          <w:rFonts w:cs="Traditional Arabic" w:hint="cs"/>
          <w:sz w:val="28"/>
          <w:szCs w:val="32"/>
          <w:rtl/>
        </w:rPr>
        <w:t xml:space="preserve"> ،</w:t>
      </w:r>
      <w:r w:rsidRPr="00EC737F">
        <w:rPr>
          <w:rFonts w:cs="Traditional Arabic" w:hint="cs"/>
          <w:sz w:val="28"/>
          <w:szCs w:val="32"/>
          <w:rtl/>
        </w:rPr>
        <w:t xml:space="preserve"> ولم يكن حق التجريد في هذا القانون</w:t>
      </w:r>
      <w:r>
        <w:rPr>
          <w:rFonts w:cs="Traditional Arabic" w:hint="cs"/>
          <w:sz w:val="28"/>
          <w:szCs w:val="32"/>
          <w:rtl/>
        </w:rPr>
        <w:t xml:space="preserve"> ،</w:t>
      </w:r>
      <w:r w:rsidRPr="00EC737F">
        <w:rPr>
          <w:rFonts w:cs="Traditional Arabic" w:hint="cs"/>
          <w:sz w:val="28"/>
          <w:szCs w:val="32"/>
          <w:rtl/>
        </w:rPr>
        <w:t xml:space="preserve"> كان من الكفلاء الذين تبرأ ذمتهم</w:t>
      </w:r>
      <w:r>
        <w:rPr>
          <w:rFonts w:cs="Traditional Arabic" w:hint="cs"/>
          <w:sz w:val="28"/>
          <w:szCs w:val="32"/>
          <w:vertAlign w:val="superscript"/>
          <w:rtl/>
        </w:rPr>
        <w:t xml:space="preserve">( </w:t>
      </w:r>
      <w:r w:rsidRPr="00EC737F">
        <w:rPr>
          <w:rStyle w:val="ab"/>
          <w:rFonts w:cs="Traditional Arabic"/>
          <w:sz w:val="28"/>
          <w:szCs w:val="32"/>
          <w:rtl/>
        </w:rPr>
        <w:footnoteReference w:id="54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 xml:space="preserve">$244 </w:t>
      </w:r>
      <w:r w:rsidRPr="00EC737F">
        <w:rPr>
          <w:rFonts w:cs="Traditional Arabic" w:hint="cs"/>
          <w:b/>
          <w:bCs/>
          <w:sz w:val="28"/>
          <w:szCs w:val="32"/>
          <w:rtl/>
        </w:rPr>
        <w:t>103- الخطأ الذي يرتكبه الدائن</w:t>
      </w:r>
      <w:r>
        <w:rPr>
          <w:rFonts w:cs="Traditional Arabic" w:hint="cs"/>
          <w:sz w:val="28"/>
          <w:szCs w:val="32"/>
          <w:rtl/>
        </w:rPr>
        <w:t xml:space="preserve"> :</w:t>
      </w:r>
      <w:r w:rsidRPr="00EC737F">
        <w:rPr>
          <w:rFonts w:cs="Traditional Arabic" w:hint="cs"/>
          <w:sz w:val="28"/>
          <w:szCs w:val="32"/>
          <w:rtl/>
        </w:rPr>
        <w:t xml:space="preserve"> يجب أن يرتكب الدائن خطأ يترتب عليه إضعاف التأمينات التي له</w:t>
      </w:r>
      <w:r>
        <w:rPr>
          <w:rFonts w:cs="Traditional Arabic" w:hint="cs"/>
          <w:sz w:val="28"/>
          <w:szCs w:val="32"/>
          <w:vertAlign w:val="superscript"/>
          <w:rtl/>
        </w:rPr>
        <w:t xml:space="preserve">( </w:t>
      </w:r>
      <w:r w:rsidRPr="00EC737F">
        <w:rPr>
          <w:rStyle w:val="ab"/>
          <w:rFonts w:cs="Traditional Arabic"/>
          <w:sz w:val="28"/>
          <w:szCs w:val="32"/>
          <w:rtl/>
        </w:rPr>
        <w:footnoteReference w:id="55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كأن يبرئ ذمة أحد الكفلاء</w:t>
      </w:r>
      <w:r>
        <w:rPr>
          <w:rFonts w:cs="Traditional Arabic" w:hint="cs"/>
          <w:sz w:val="28"/>
          <w:szCs w:val="32"/>
          <w:vertAlign w:val="superscript"/>
          <w:rtl/>
        </w:rPr>
        <w:t xml:space="preserve">( </w:t>
      </w:r>
      <w:r w:rsidRPr="00EC737F">
        <w:rPr>
          <w:rStyle w:val="ab"/>
          <w:rFonts w:cs="Traditional Arabic"/>
          <w:sz w:val="28"/>
          <w:szCs w:val="32"/>
          <w:rtl/>
        </w:rPr>
        <w:footnoteReference w:id="55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أن ينزل عن رهن ترتب لمصلحته</w:t>
      </w:r>
      <w:r>
        <w:rPr>
          <w:rFonts w:cs="Traditional Arabic" w:hint="cs"/>
          <w:sz w:val="28"/>
          <w:szCs w:val="32"/>
          <w:vertAlign w:val="superscript"/>
          <w:rtl/>
        </w:rPr>
        <w:t xml:space="preserve">( </w:t>
      </w:r>
      <w:r w:rsidRPr="00EC737F">
        <w:rPr>
          <w:rStyle w:val="ab"/>
          <w:rFonts w:cs="Traditional Arabic"/>
          <w:sz w:val="28"/>
          <w:szCs w:val="32"/>
          <w:rtl/>
        </w:rPr>
        <w:footnoteReference w:id="55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كذلك يعتبر خطأ من الدائن أن يهمل في اتخاذ الإجراءات اللازمة للمحافظة على رهن ترتب لضمان حقه</w:t>
      </w:r>
      <w:r>
        <w:rPr>
          <w:rFonts w:cs="Traditional Arabic" w:hint="cs"/>
          <w:sz w:val="28"/>
          <w:szCs w:val="32"/>
          <w:vertAlign w:val="superscript"/>
          <w:rtl/>
        </w:rPr>
        <w:t xml:space="preserve">( </w:t>
      </w:r>
      <w:r w:rsidRPr="00EC737F">
        <w:rPr>
          <w:rStyle w:val="ab"/>
          <w:rFonts w:cs="Traditional Arabic"/>
          <w:sz w:val="28"/>
          <w:szCs w:val="32"/>
          <w:rtl/>
        </w:rPr>
        <w:footnoteReference w:id="55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كأن يهمل في تجديد قيد الرهن الرسمي</w:t>
      </w:r>
      <w:r>
        <w:rPr>
          <w:rFonts w:cs="Traditional Arabic" w:hint="cs"/>
          <w:sz w:val="28"/>
          <w:szCs w:val="32"/>
          <w:rtl/>
        </w:rPr>
        <w:t xml:space="preserve"> ،</w:t>
      </w:r>
      <w:r w:rsidRPr="00EC737F">
        <w:rPr>
          <w:rFonts w:cs="Traditional Arabic" w:hint="cs"/>
          <w:sz w:val="28"/>
          <w:szCs w:val="32"/>
          <w:rtl/>
        </w:rPr>
        <w:t xml:space="preserve"> أو كأن يبيع بثمن بخس القيم التي ارتهنها ضماناً لحقه</w:t>
      </w:r>
      <w:r>
        <w:rPr>
          <w:rFonts w:cs="Traditional Arabic" w:hint="cs"/>
          <w:sz w:val="28"/>
          <w:szCs w:val="32"/>
          <w:vertAlign w:val="superscript"/>
          <w:rtl/>
        </w:rPr>
        <w:t xml:space="preserve">( </w:t>
      </w:r>
      <w:r w:rsidRPr="00EC737F">
        <w:rPr>
          <w:rStyle w:val="ab"/>
          <w:rFonts w:cs="Traditional Arabic"/>
          <w:sz w:val="28"/>
          <w:szCs w:val="32"/>
          <w:rtl/>
        </w:rPr>
        <w:footnoteReference w:id="55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أن يتأخر في استيفاء حقه عن دائنين كان له أن يتقدم عليهم</w:t>
      </w:r>
      <w:r>
        <w:rPr>
          <w:rFonts w:cs="Traditional Arabic" w:hint="cs"/>
          <w:sz w:val="28"/>
          <w:szCs w:val="32"/>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555"/>
      </w:r>
      <w:r>
        <w:rPr>
          <w:rFonts w:cs="Traditional Arabic" w:hint="cs"/>
          <w:sz w:val="28"/>
          <w:szCs w:val="32"/>
          <w:vertAlign w:val="superscript"/>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ويكون الدائن مسئولا إذا هو جعل المدين يضعف من أثر الرهن المترتب على عقار مملوك له</w:t>
      </w:r>
      <w:r>
        <w:rPr>
          <w:rFonts w:cs="Traditional Arabic" w:hint="cs"/>
          <w:sz w:val="28"/>
          <w:szCs w:val="32"/>
          <w:rtl/>
        </w:rPr>
        <w:t xml:space="preserve"> ،</w:t>
      </w:r>
      <w:r w:rsidRPr="00EC737F">
        <w:rPr>
          <w:rFonts w:cs="Traditional Arabic" w:hint="cs"/>
          <w:sz w:val="28"/>
          <w:szCs w:val="32"/>
          <w:rtl/>
        </w:rPr>
        <w:t xml:space="preserve"> فتبرأ ذمة الكفيل بقدر ما أضعف المدين من أثر هذا الرهن</w:t>
      </w:r>
      <w:r>
        <w:rPr>
          <w:rFonts w:cs="Traditional Arabic" w:hint="cs"/>
          <w:sz w:val="28"/>
          <w:szCs w:val="32"/>
          <w:rtl/>
        </w:rPr>
        <w:t xml:space="preserve"> .</w:t>
      </w:r>
      <w:r w:rsidRPr="00EC737F">
        <w:rPr>
          <w:rFonts w:cs="Traditional Arabic" w:hint="cs"/>
          <w:sz w:val="28"/>
          <w:szCs w:val="32"/>
          <w:rtl/>
        </w:rPr>
        <w:t xml:space="preserve"> كذلك يكون الدائن مسئولا إذا هو انقص من قيمة العقار</w:t>
      </w:r>
      <w:r>
        <w:rPr>
          <w:rFonts w:cs="Traditional Arabic" w:hint="cs"/>
          <w:sz w:val="28"/>
          <w:szCs w:val="32"/>
          <w:rtl/>
        </w:rPr>
        <w:t xml:space="preserve"> ،</w:t>
      </w:r>
      <w:r w:rsidRPr="00EC737F">
        <w:rPr>
          <w:rFonts w:cs="Traditional Arabic" w:hint="cs"/>
          <w:sz w:val="28"/>
          <w:szCs w:val="32"/>
          <w:rtl/>
        </w:rPr>
        <w:t xml:space="preserve"> بأن استأجره لمدة طويلة</w:t>
      </w:r>
      <w:r>
        <w:rPr>
          <w:rFonts w:cs="Traditional Arabic" w:hint="cs"/>
          <w:sz w:val="28"/>
          <w:szCs w:val="32"/>
          <w:vertAlign w:val="superscript"/>
          <w:rtl/>
        </w:rPr>
        <w:t xml:space="preserve">( </w:t>
      </w:r>
      <w:r w:rsidRPr="00EC737F">
        <w:rPr>
          <w:rStyle w:val="ab"/>
          <w:rFonts w:cs="Traditional Arabic"/>
          <w:sz w:val="28"/>
          <w:szCs w:val="32"/>
          <w:rtl/>
        </w:rPr>
        <w:footnoteReference w:id="55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$245 ولا يكون الدائن مسئولا عن الخطأ الذي يرتكبه الغير</w:t>
      </w:r>
      <w:r>
        <w:rPr>
          <w:rFonts w:cs="Traditional Arabic" w:hint="cs"/>
          <w:sz w:val="28"/>
          <w:szCs w:val="32"/>
          <w:vertAlign w:val="superscript"/>
          <w:rtl/>
        </w:rPr>
        <w:t xml:space="preserve">( </w:t>
      </w:r>
      <w:r w:rsidRPr="00EC737F">
        <w:rPr>
          <w:rStyle w:val="ab"/>
          <w:rFonts w:cs="Traditional Arabic"/>
          <w:sz w:val="28"/>
          <w:szCs w:val="32"/>
          <w:rtl/>
        </w:rPr>
        <w:footnoteReference w:id="55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عن الخطأ الذي يرتكبه </w:t>
      </w:r>
      <w:r w:rsidRPr="00EC737F">
        <w:rPr>
          <w:rFonts w:cs="Traditional Arabic" w:hint="cs"/>
          <w:sz w:val="28"/>
          <w:szCs w:val="32"/>
          <w:rtl/>
        </w:rPr>
        <w:lastRenderedPageBreak/>
        <w:t>الكفيل نفسه</w:t>
      </w:r>
      <w:r>
        <w:rPr>
          <w:rFonts w:cs="Traditional Arabic" w:hint="cs"/>
          <w:sz w:val="28"/>
          <w:szCs w:val="32"/>
          <w:vertAlign w:val="superscript"/>
          <w:rtl/>
        </w:rPr>
        <w:t xml:space="preserve">( </w:t>
      </w:r>
      <w:r w:rsidRPr="00EC737F">
        <w:rPr>
          <w:rStyle w:val="ab"/>
          <w:rFonts w:cs="Traditional Arabic"/>
          <w:sz w:val="28"/>
          <w:szCs w:val="32"/>
          <w:rtl/>
        </w:rPr>
        <w:footnoteReference w:id="55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يكون مسئولا عن الخطأ الذي يرتكبه هو إذا اشترك الكفيل في هذا الخطأ</w:t>
      </w:r>
      <w:r>
        <w:rPr>
          <w:rFonts w:cs="Traditional Arabic" w:hint="cs"/>
          <w:sz w:val="28"/>
          <w:szCs w:val="32"/>
          <w:vertAlign w:val="superscript"/>
          <w:rtl/>
        </w:rPr>
        <w:t xml:space="preserve">( </w:t>
      </w:r>
      <w:r w:rsidRPr="00EC737F">
        <w:rPr>
          <w:rStyle w:val="ab"/>
          <w:rFonts w:cs="Traditional Arabic"/>
          <w:sz w:val="28"/>
          <w:szCs w:val="32"/>
          <w:rtl/>
        </w:rPr>
        <w:footnoteReference w:id="55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كما لا يكون مسئولا عن الخطأ الذي يرتكبه في إهماله الحصول على ضمان جديد</w:t>
      </w:r>
      <w:r>
        <w:rPr>
          <w:rFonts w:cs="Traditional Arabic" w:hint="cs"/>
          <w:sz w:val="28"/>
          <w:szCs w:val="32"/>
          <w:vertAlign w:val="superscript"/>
          <w:rtl/>
        </w:rPr>
        <w:t xml:space="preserve">( </w:t>
      </w:r>
      <w:r w:rsidRPr="00EC737F">
        <w:rPr>
          <w:rStyle w:val="ab"/>
          <w:rFonts w:cs="Traditional Arabic"/>
          <w:sz w:val="28"/>
          <w:szCs w:val="32"/>
          <w:rtl/>
        </w:rPr>
        <w:footnoteReference w:id="56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104- الضمانات التي يضيعها الدائن بخطأه</w:t>
      </w:r>
      <w:r>
        <w:rPr>
          <w:rFonts w:cs="Traditional Arabic" w:hint="cs"/>
          <w:sz w:val="28"/>
          <w:szCs w:val="32"/>
          <w:rtl/>
        </w:rPr>
        <w:t xml:space="preserve"> :</w:t>
      </w:r>
      <w:r w:rsidRPr="00EC737F">
        <w:rPr>
          <w:rFonts w:cs="Traditional Arabic" w:hint="cs"/>
          <w:sz w:val="28"/>
          <w:szCs w:val="32"/>
          <w:rtl/>
        </w:rPr>
        <w:t xml:space="preserve"> أما الضمانات التي يضيعها الدائن بخطأه</w:t>
      </w:r>
      <w:r>
        <w:rPr>
          <w:rFonts w:cs="Traditional Arabic" w:hint="cs"/>
          <w:sz w:val="28"/>
          <w:szCs w:val="32"/>
          <w:rtl/>
        </w:rPr>
        <w:t xml:space="preserve"> ،</w:t>
      </w:r>
      <w:r w:rsidRPr="00EC737F">
        <w:rPr>
          <w:rFonts w:cs="Traditional Arabic" w:hint="cs"/>
          <w:sz w:val="28"/>
          <w:szCs w:val="32"/>
          <w:rtl/>
        </w:rPr>
        <w:t xml:space="preserve"> فقد كان هناك رأي يقصرها على التأمينات الاتفاقية</w:t>
      </w:r>
      <w:r>
        <w:rPr>
          <w:rFonts w:cs="Traditional Arabic" w:hint="cs"/>
          <w:sz w:val="28"/>
          <w:szCs w:val="32"/>
          <w:rtl/>
        </w:rPr>
        <w:t xml:space="preserve"> ،</w:t>
      </w:r>
      <w:r w:rsidRPr="00EC737F">
        <w:rPr>
          <w:rFonts w:cs="Traditional Arabic" w:hint="cs"/>
          <w:sz w:val="28"/>
          <w:szCs w:val="32"/>
          <w:rtl/>
        </w:rPr>
        <w:t xml:space="preserve"> كالرهن السمي والرهن الحيازي</w:t>
      </w:r>
      <w:r>
        <w:rPr>
          <w:rFonts w:cs="Traditional Arabic" w:hint="cs"/>
          <w:sz w:val="28"/>
          <w:szCs w:val="32"/>
          <w:rtl/>
        </w:rPr>
        <w:t xml:space="preserve"> .</w:t>
      </w:r>
      <w:r w:rsidRPr="00EC737F">
        <w:rPr>
          <w:rFonts w:cs="Traditional Arabic" w:hint="cs"/>
          <w:sz w:val="28"/>
          <w:szCs w:val="32"/>
          <w:rtl/>
        </w:rPr>
        <w:t xml:space="preserve"> ولكن الرأي الذي تغلب في هذا الصدد هو أن يدخل أي تأمين حتى لو كان تأميناً قانونياً كحقوق الامتياز وقد ورد النص صريحاً في هذا المعنى</w:t>
      </w:r>
      <w:r>
        <w:rPr>
          <w:rFonts w:cs="Traditional Arabic" w:hint="cs"/>
          <w:sz w:val="28"/>
          <w:szCs w:val="32"/>
          <w:vertAlign w:val="superscript"/>
          <w:rtl/>
        </w:rPr>
        <w:t xml:space="preserve">( </w:t>
      </w:r>
      <w:r w:rsidRPr="00EC737F">
        <w:rPr>
          <w:rStyle w:val="ab"/>
          <w:rFonts w:cs="Traditional Arabic"/>
          <w:sz w:val="28"/>
          <w:szCs w:val="32"/>
          <w:rtl/>
        </w:rPr>
        <w:footnoteReference w:id="56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وحتى لو كان تأميناً قضائياً كحق الاختصاص</w:t>
      </w:r>
      <w:r>
        <w:rPr>
          <w:rFonts w:cs="Traditional Arabic" w:hint="cs"/>
          <w:sz w:val="28"/>
          <w:szCs w:val="32"/>
          <w:vertAlign w:val="superscript"/>
          <w:rtl/>
        </w:rPr>
        <w:t xml:space="preserve">( </w:t>
      </w:r>
      <w:r w:rsidRPr="00EC737F">
        <w:rPr>
          <w:rStyle w:val="ab"/>
          <w:rFonts w:cs="Traditional Arabic"/>
          <w:sz w:val="28"/>
          <w:szCs w:val="32"/>
          <w:rtl/>
        </w:rPr>
        <w:footnoteReference w:id="56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كذلك قام خلاف فيما إذا كان يدخل في هذه الضمانات التأمينات التي $246 توجد بعد قيام الكفالة</w:t>
      </w:r>
      <w:r>
        <w:rPr>
          <w:rFonts w:cs="Traditional Arabic" w:hint="cs"/>
          <w:sz w:val="28"/>
          <w:szCs w:val="32"/>
          <w:rtl/>
        </w:rPr>
        <w:t xml:space="preserve"> .</w:t>
      </w:r>
      <w:r w:rsidRPr="00EC737F">
        <w:rPr>
          <w:rFonts w:cs="Traditional Arabic" w:hint="cs"/>
          <w:sz w:val="28"/>
          <w:szCs w:val="32"/>
          <w:rtl/>
        </w:rPr>
        <w:t xml:space="preserve"> فذهب رأي إلى أن هذه التأمينات لا تدخل</w:t>
      </w:r>
      <w:r>
        <w:rPr>
          <w:rFonts w:cs="Traditional Arabic" w:hint="cs"/>
          <w:sz w:val="28"/>
          <w:szCs w:val="32"/>
          <w:rtl/>
        </w:rPr>
        <w:t xml:space="preserve"> ،</w:t>
      </w:r>
      <w:r w:rsidRPr="00EC737F">
        <w:rPr>
          <w:rFonts w:cs="Traditional Arabic" w:hint="cs"/>
          <w:sz w:val="28"/>
          <w:szCs w:val="32"/>
          <w:rtl/>
        </w:rPr>
        <w:t xml:space="preserve"> ولا تدخل إلا التأمينات التي كانت موجودة عند قيام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56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وكن الرأي الذي تغلب</w:t>
      </w:r>
      <w:r>
        <w:rPr>
          <w:rFonts w:cs="Traditional Arabic" w:hint="cs"/>
          <w:sz w:val="28"/>
          <w:szCs w:val="32"/>
          <w:rtl/>
        </w:rPr>
        <w:t xml:space="preserve"> ،</w:t>
      </w:r>
      <w:r w:rsidRPr="00EC737F">
        <w:rPr>
          <w:rFonts w:cs="Traditional Arabic" w:hint="cs"/>
          <w:sz w:val="28"/>
          <w:szCs w:val="32"/>
          <w:rtl/>
        </w:rPr>
        <w:t xml:space="preserve"> والذي أخذ به التقنين المدني المصري الجديد صراحة</w:t>
      </w:r>
      <w:r>
        <w:rPr>
          <w:rFonts w:cs="Traditional Arabic" w:hint="cs"/>
          <w:sz w:val="28"/>
          <w:szCs w:val="32"/>
          <w:vertAlign w:val="superscript"/>
          <w:rtl/>
        </w:rPr>
        <w:t xml:space="preserve">( </w:t>
      </w:r>
      <w:r w:rsidRPr="00EC737F">
        <w:rPr>
          <w:rStyle w:val="ab"/>
          <w:rFonts w:cs="Traditional Arabic"/>
          <w:sz w:val="28"/>
          <w:szCs w:val="32"/>
          <w:rtl/>
        </w:rPr>
        <w:footnoteReference w:id="56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هو أن جميع التأمينات تدخل</w:t>
      </w:r>
      <w:r>
        <w:rPr>
          <w:rFonts w:cs="Traditional Arabic" w:hint="cs"/>
          <w:sz w:val="28"/>
          <w:szCs w:val="32"/>
          <w:rtl/>
        </w:rPr>
        <w:t xml:space="preserve"> ،</w:t>
      </w:r>
      <w:r w:rsidRPr="00EC737F">
        <w:rPr>
          <w:rFonts w:cs="Traditional Arabic" w:hint="cs"/>
          <w:sz w:val="28"/>
          <w:szCs w:val="32"/>
          <w:rtl/>
        </w:rPr>
        <w:t xml:space="preserve"> سواء ما وجد منها عند قيام الكفالة أو ما يوجد منها بعد قيام الكفالة</w:t>
      </w:r>
      <w:r>
        <w:rPr>
          <w:rFonts w:cs="Traditional Arabic" w:hint="cs"/>
          <w:sz w:val="28"/>
          <w:szCs w:val="32"/>
          <w:vertAlign w:val="superscript"/>
          <w:rtl/>
        </w:rPr>
        <w:t xml:space="preserve">( </w:t>
      </w:r>
      <w:r w:rsidRPr="00EC737F">
        <w:rPr>
          <w:rStyle w:val="ab"/>
          <w:rFonts w:cs="Traditional Arabic"/>
          <w:sz w:val="28"/>
          <w:szCs w:val="32"/>
          <w:rtl/>
        </w:rPr>
        <w:footnoteReference w:id="56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وتقول المذكرة الإيضاحية للمشروع التمهيدي في هذا الصدد</w:t>
      </w:r>
      <w:r>
        <w:rPr>
          <w:rFonts w:cs="Traditional Arabic" w:hint="cs"/>
          <w:sz w:val="28"/>
          <w:szCs w:val="32"/>
          <w:rtl/>
        </w:rPr>
        <w:t xml:space="preserve"> :</w:t>
      </w:r>
      <w:r w:rsidRPr="00EC737F">
        <w:rPr>
          <w:rFonts w:cs="Traditional Arabic" w:hint="cs"/>
          <w:sz w:val="28"/>
          <w:szCs w:val="32"/>
          <w:rtl/>
        </w:rPr>
        <w:t xml:space="preserve"> "ولما كان قد ثار نزاع في العمل بشأن تحديد الضمانات التي يترتب على ضياعها بخطأ الدائن إبراء الكفيل</w:t>
      </w:r>
      <w:r>
        <w:rPr>
          <w:rFonts w:cs="Traditional Arabic" w:hint="cs"/>
          <w:sz w:val="28"/>
          <w:szCs w:val="32"/>
          <w:rtl/>
        </w:rPr>
        <w:t xml:space="preserve"> ،</w:t>
      </w:r>
      <w:r w:rsidRPr="00EC737F">
        <w:rPr>
          <w:rFonts w:cs="Traditional Arabic" w:hint="cs"/>
          <w:sz w:val="28"/>
          <w:szCs w:val="32"/>
          <w:rtl/>
        </w:rPr>
        <w:t xml:space="preserve"> فقررت بعض الأحكام أن المقصود هو التأمين الاتفاقي كالرهن التأميني أو الحيازي </w:t>
      </w:r>
      <w:r>
        <w:rPr>
          <w:rFonts w:cs="Traditional Arabic" w:hint="cs"/>
          <w:sz w:val="28"/>
          <w:szCs w:val="32"/>
          <w:rtl/>
        </w:rPr>
        <w:t xml:space="preserve">( </w:t>
      </w:r>
      <w:r w:rsidRPr="00EC737F">
        <w:rPr>
          <w:rFonts w:cs="Traditional Arabic" w:hint="cs"/>
          <w:sz w:val="28"/>
          <w:szCs w:val="32"/>
          <w:rtl/>
        </w:rPr>
        <w:t xml:space="preserve">انظر على الأخص استئناف مختلط 31 يناير سنة </w:t>
      </w:r>
      <w:smartTag w:uri="urn:schemas-microsoft-com:office:smarttags" w:element="metricconverter">
        <w:smartTagPr>
          <w:attr w:name="ProductID" w:val="1912 م"/>
        </w:smartTagPr>
        <w:r w:rsidRPr="00EC737F">
          <w:rPr>
            <w:rFonts w:cs="Traditional Arabic" w:hint="cs"/>
            <w:sz w:val="28"/>
            <w:szCs w:val="32"/>
            <w:rtl/>
          </w:rPr>
          <w:t>1912 م</w:t>
        </w:r>
      </w:smartTag>
      <w:r w:rsidRPr="00EC737F">
        <w:rPr>
          <w:rFonts w:cs="Traditional Arabic" w:hint="cs"/>
          <w:sz w:val="28"/>
          <w:szCs w:val="32"/>
          <w:rtl/>
        </w:rPr>
        <w:t xml:space="preserve"> 24 ص 118 </w:t>
      </w:r>
      <w:r w:rsidRPr="00EC737F">
        <w:rPr>
          <w:rFonts w:cs="Traditional Arabic"/>
          <w:sz w:val="28"/>
          <w:szCs w:val="32"/>
          <w:rtl/>
        </w:rPr>
        <w:t>–</w:t>
      </w:r>
      <w:r w:rsidRPr="00EC737F">
        <w:rPr>
          <w:rFonts w:cs="Traditional Arabic" w:hint="cs"/>
          <w:sz w:val="28"/>
          <w:szCs w:val="32"/>
          <w:rtl/>
        </w:rPr>
        <w:t xml:space="preserve"> 3 ديسمبر سنة </w:t>
      </w:r>
      <w:smartTag w:uri="urn:schemas-microsoft-com:office:smarttags" w:element="metricconverter">
        <w:smartTagPr>
          <w:attr w:name="ProductID" w:val="1913 م"/>
        </w:smartTagPr>
        <w:r w:rsidRPr="00EC737F">
          <w:rPr>
            <w:rFonts w:cs="Traditional Arabic" w:hint="cs"/>
            <w:sz w:val="28"/>
            <w:szCs w:val="32"/>
            <w:rtl/>
          </w:rPr>
          <w:t>1913 م</w:t>
        </w:r>
      </w:smartTag>
      <w:r w:rsidRPr="00EC737F">
        <w:rPr>
          <w:rFonts w:cs="Traditional Arabic" w:hint="cs"/>
          <w:sz w:val="28"/>
          <w:szCs w:val="32"/>
          <w:rtl/>
        </w:rPr>
        <w:t xml:space="preserve"> 26 ص 76 </w:t>
      </w:r>
      <w:r w:rsidRPr="00EC737F">
        <w:rPr>
          <w:rFonts w:cs="Traditional Arabic"/>
          <w:sz w:val="28"/>
          <w:szCs w:val="32"/>
          <w:rtl/>
        </w:rPr>
        <w:t>–</w:t>
      </w:r>
      <w:r w:rsidRPr="00EC737F">
        <w:rPr>
          <w:rFonts w:cs="Traditional Arabic" w:hint="cs"/>
          <w:sz w:val="28"/>
          <w:szCs w:val="32"/>
          <w:rtl/>
        </w:rPr>
        <w:t xml:space="preserve"> 27 </w:t>
      </w:r>
      <w:r w:rsidRPr="00EC737F">
        <w:rPr>
          <w:rFonts w:cs="Traditional Arabic"/>
          <w:sz w:val="28"/>
          <w:szCs w:val="32"/>
          <w:rtl/>
        </w:rPr>
        <w:t>–</w:t>
      </w:r>
      <w:r w:rsidRPr="00EC737F">
        <w:rPr>
          <w:rFonts w:cs="Traditional Arabic" w:hint="cs"/>
          <w:sz w:val="28"/>
          <w:szCs w:val="32"/>
          <w:rtl/>
        </w:rPr>
        <w:t xml:space="preserve"> يناير سنة </w:t>
      </w:r>
      <w:smartTag w:uri="urn:schemas-microsoft-com:office:smarttags" w:element="metricconverter">
        <w:smartTagPr>
          <w:attr w:name="ProductID" w:val="1915 م"/>
        </w:smartTagPr>
        <w:r w:rsidRPr="00EC737F">
          <w:rPr>
            <w:rFonts w:cs="Traditional Arabic" w:hint="cs"/>
            <w:sz w:val="28"/>
            <w:szCs w:val="32"/>
            <w:rtl/>
          </w:rPr>
          <w:t>1915 م</w:t>
        </w:r>
      </w:smartTag>
      <w:r w:rsidRPr="00EC737F">
        <w:rPr>
          <w:rFonts w:cs="Traditional Arabic" w:hint="cs"/>
          <w:sz w:val="28"/>
          <w:szCs w:val="32"/>
          <w:rtl/>
        </w:rPr>
        <w:t xml:space="preserve"> 27 ص 137 </w:t>
      </w:r>
      <w:r w:rsidRPr="00EC737F">
        <w:rPr>
          <w:rFonts w:cs="Traditional Arabic"/>
          <w:sz w:val="28"/>
          <w:szCs w:val="32"/>
          <w:rtl/>
        </w:rPr>
        <w:t>–</w:t>
      </w:r>
      <w:r w:rsidRPr="00EC737F">
        <w:rPr>
          <w:rFonts w:cs="Traditional Arabic" w:hint="cs"/>
          <w:sz w:val="28"/>
          <w:szCs w:val="32"/>
          <w:rtl/>
        </w:rPr>
        <w:t xml:space="preserve"> 14 أبريل سنة </w:t>
      </w:r>
      <w:smartTag w:uri="urn:schemas-microsoft-com:office:smarttags" w:element="metricconverter">
        <w:smartTagPr>
          <w:attr w:name="ProductID" w:val="1915 م"/>
        </w:smartTagPr>
        <w:r w:rsidRPr="00EC737F">
          <w:rPr>
            <w:rFonts w:cs="Traditional Arabic" w:hint="cs"/>
            <w:sz w:val="28"/>
            <w:szCs w:val="32"/>
            <w:rtl/>
          </w:rPr>
          <w:t>1915 م</w:t>
        </w:r>
      </w:smartTag>
      <w:r w:rsidRPr="00EC737F">
        <w:rPr>
          <w:rFonts w:cs="Traditional Arabic" w:hint="cs"/>
          <w:sz w:val="28"/>
          <w:szCs w:val="32"/>
          <w:rtl/>
        </w:rPr>
        <w:t xml:space="preserve"> 27 ص 278 </w:t>
      </w:r>
      <w:r w:rsidRPr="00EC737F">
        <w:rPr>
          <w:rFonts w:cs="Traditional Arabic"/>
          <w:sz w:val="28"/>
          <w:szCs w:val="32"/>
          <w:rtl/>
        </w:rPr>
        <w:t>–</w:t>
      </w:r>
      <w:r w:rsidRPr="00EC737F">
        <w:rPr>
          <w:rFonts w:cs="Traditional Arabic" w:hint="cs"/>
          <w:sz w:val="28"/>
          <w:szCs w:val="32"/>
          <w:rtl/>
        </w:rPr>
        <w:t xml:space="preserve"> 7 يونيه سنة </w:t>
      </w:r>
      <w:smartTag w:uri="urn:schemas-microsoft-com:office:smarttags" w:element="metricconverter">
        <w:smartTagPr>
          <w:attr w:name="ProductID" w:val="1917 م"/>
        </w:smartTagPr>
        <w:r w:rsidRPr="00EC737F">
          <w:rPr>
            <w:rFonts w:cs="Traditional Arabic" w:hint="cs"/>
            <w:sz w:val="28"/>
            <w:szCs w:val="32"/>
            <w:rtl/>
          </w:rPr>
          <w:t>1917 م</w:t>
        </w:r>
      </w:smartTag>
      <w:r w:rsidRPr="00EC737F">
        <w:rPr>
          <w:rFonts w:cs="Traditional Arabic" w:hint="cs"/>
          <w:sz w:val="28"/>
          <w:szCs w:val="32"/>
          <w:rtl/>
        </w:rPr>
        <w:t xml:space="preserve"> 29 ص 490</w:t>
      </w:r>
      <w:r>
        <w:rPr>
          <w:rFonts w:cs="Traditional Arabic" w:hint="cs"/>
          <w:sz w:val="28"/>
          <w:szCs w:val="32"/>
          <w:rtl/>
        </w:rPr>
        <w:t xml:space="preserve"> ) .</w:t>
      </w:r>
      <w:r w:rsidRPr="00EC737F">
        <w:rPr>
          <w:rFonts w:cs="Traditional Arabic" w:hint="cs"/>
          <w:sz w:val="28"/>
          <w:szCs w:val="32"/>
          <w:rtl/>
        </w:rPr>
        <w:t xml:space="preserve"> ورأت غالبية الأحكام أن المقصود هو كل تأمين خصص لوفاء الدين</w:t>
      </w:r>
      <w:r>
        <w:rPr>
          <w:rFonts w:cs="Traditional Arabic" w:hint="cs"/>
          <w:sz w:val="28"/>
          <w:szCs w:val="32"/>
          <w:rtl/>
        </w:rPr>
        <w:t xml:space="preserve"> ،</w:t>
      </w:r>
      <w:r w:rsidRPr="00EC737F">
        <w:rPr>
          <w:rFonts w:cs="Traditional Arabic" w:hint="cs"/>
          <w:sz w:val="28"/>
          <w:szCs w:val="32"/>
          <w:rtl/>
        </w:rPr>
        <w:t xml:space="preserve"> حتى لو كان تأميناً قانونياً </w:t>
      </w:r>
      <w:r>
        <w:rPr>
          <w:rFonts w:cs="Traditional Arabic" w:hint="cs"/>
          <w:sz w:val="28"/>
          <w:szCs w:val="32"/>
          <w:rtl/>
        </w:rPr>
        <w:t xml:space="preserve">( </w:t>
      </w:r>
      <w:r w:rsidRPr="00EC737F">
        <w:rPr>
          <w:rFonts w:cs="Traditional Arabic" w:hint="cs"/>
          <w:sz w:val="28"/>
          <w:szCs w:val="32"/>
          <w:rtl/>
        </w:rPr>
        <w:t xml:space="preserve">راجع استئناف مختلط 14 مايو سنة </w:t>
      </w:r>
      <w:smartTag w:uri="urn:schemas-microsoft-com:office:smarttags" w:element="metricconverter">
        <w:smartTagPr>
          <w:attr w:name="ProductID" w:val="1913 م"/>
        </w:smartTagPr>
        <w:r w:rsidRPr="00EC737F">
          <w:rPr>
            <w:rFonts w:cs="Traditional Arabic" w:hint="cs"/>
            <w:sz w:val="28"/>
            <w:szCs w:val="32"/>
            <w:rtl/>
          </w:rPr>
          <w:t>1913 م</w:t>
        </w:r>
      </w:smartTag>
      <w:r w:rsidRPr="00EC737F">
        <w:rPr>
          <w:rFonts w:cs="Traditional Arabic" w:hint="cs"/>
          <w:sz w:val="28"/>
          <w:szCs w:val="32"/>
          <w:rtl/>
        </w:rPr>
        <w:t xml:space="preserve"> 25 ص 376 </w:t>
      </w:r>
      <w:r w:rsidRPr="00EC737F">
        <w:rPr>
          <w:rFonts w:cs="Traditional Arabic"/>
          <w:sz w:val="28"/>
          <w:szCs w:val="32"/>
          <w:rtl/>
        </w:rPr>
        <w:t>–</w:t>
      </w:r>
      <w:r w:rsidRPr="00EC737F">
        <w:rPr>
          <w:rFonts w:cs="Traditional Arabic" w:hint="cs"/>
          <w:sz w:val="28"/>
          <w:szCs w:val="32"/>
          <w:rtl/>
        </w:rPr>
        <w:t xml:space="preserve"> 15 مايو سن </w:t>
      </w:r>
      <w:smartTag w:uri="urn:schemas-microsoft-com:office:smarttags" w:element="metricconverter">
        <w:smartTagPr>
          <w:attr w:name="ProductID" w:val="1923 م"/>
        </w:smartTagPr>
        <w:r w:rsidRPr="00EC737F">
          <w:rPr>
            <w:rFonts w:cs="Traditional Arabic" w:hint="cs"/>
            <w:sz w:val="28"/>
            <w:szCs w:val="32"/>
            <w:rtl/>
          </w:rPr>
          <w:t>1923 م</w:t>
        </w:r>
      </w:smartTag>
      <w:r w:rsidRPr="00EC737F">
        <w:rPr>
          <w:rFonts w:cs="Traditional Arabic" w:hint="cs"/>
          <w:sz w:val="28"/>
          <w:szCs w:val="32"/>
          <w:rtl/>
        </w:rPr>
        <w:t xml:space="preserve"> 35 ص 445</w:t>
      </w:r>
      <w:r>
        <w:rPr>
          <w:rFonts w:cs="Traditional Arabic" w:hint="cs"/>
          <w:sz w:val="28"/>
          <w:szCs w:val="32"/>
          <w:rtl/>
        </w:rPr>
        <w:t xml:space="preserve"> ) .</w:t>
      </w:r>
      <w:r w:rsidRPr="00EC737F">
        <w:rPr>
          <w:rFonts w:cs="Traditional Arabic" w:hint="cs"/>
          <w:sz w:val="28"/>
          <w:szCs w:val="32"/>
          <w:rtl/>
        </w:rPr>
        <w:t xml:space="preserve"> كذلك قام الخلاف بشأن التأمينات التي توجد بعد قيام الكفالة</w:t>
      </w:r>
      <w:r>
        <w:rPr>
          <w:rFonts w:cs="Traditional Arabic" w:hint="cs"/>
          <w:sz w:val="28"/>
          <w:szCs w:val="32"/>
          <w:rtl/>
        </w:rPr>
        <w:t xml:space="preserve"> ،</w:t>
      </w:r>
      <w:r w:rsidRPr="00EC737F">
        <w:rPr>
          <w:rFonts w:cs="Traditional Arabic" w:hint="cs"/>
          <w:sz w:val="28"/>
          <w:szCs w:val="32"/>
          <w:rtl/>
        </w:rPr>
        <w:t xml:space="preserve"> وهل يشملها النص</w:t>
      </w:r>
      <w:r>
        <w:rPr>
          <w:rFonts w:cs="Traditional Arabic" w:hint="cs"/>
          <w:sz w:val="28"/>
          <w:szCs w:val="32"/>
          <w:rtl/>
        </w:rPr>
        <w:t xml:space="preserve"> .</w:t>
      </w:r>
      <w:r w:rsidRPr="00EC737F">
        <w:rPr>
          <w:rFonts w:cs="Traditional Arabic" w:hint="cs"/>
          <w:sz w:val="28"/>
          <w:szCs w:val="32"/>
          <w:rtl/>
        </w:rPr>
        <w:t xml:space="preserve"> وقد جرى القضاء على أن هذه التأمينات لم يقصدها المشرع</w:t>
      </w:r>
      <w:r>
        <w:rPr>
          <w:rFonts w:cs="Traditional Arabic" w:hint="cs"/>
          <w:sz w:val="28"/>
          <w:szCs w:val="32"/>
          <w:rtl/>
        </w:rPr>
        <w:t xml:space="preserve"> ،</w:t>
      </w:r>
      <w:r w:rsidRPr="00EC737F">
        <w:rPr>
          <w:rFonts w:cs="Traditional Arabic" w:hint="cs"/>
          <w:sz w:val="28"/>
          <w:szCs w:val="32"/>
          <w:rtl/>
        </w:rPr>
        <w:t xml:space="preserve"> فلا يترتب على ضياعها بخطأ الدائن إبراء الكفيل </w:t>
      </w:r>
      <w:r>
        <w:rPr>
          <w:rFonts w:cs="Traditional Arabic" w:hint="cs"/>
          <w:sz w:val="28"/>
          <w:szCs w:val="32"/>
          <w:rtl/>
        </w:rPr>
        <w:t xml:space="preserve">( </w:t>
      </w:r>
      <w:r w:rsidRPr="00EC737F">
        <w:rPr>
          <w:rFonts w:cs="Traditional Arabic" w:hint="cs"/>
          <w:sz w:val="28"/>
          <w:szCs w:val="32"/>
          <w:rtl/>
        </w:rPr>
        <w:t xml:space="preserve">استئناف أهلي 22 مايو سنة 1912 الحقوق 28 ص 51 </w:t>
      </w:r>
      <w:r w:rsidRPr="00EC737F">
        <w:rPr>
          <w:rFonts w:cs="Traditional Arabic"/>
          <w:sz w:val="28"/>
          <w:szCs w:val="32"/>
          <w:rtl/>
        </w:rPr>
        <w:t>–</w:t>
      </w:r>
      <w:r w:rsidRPr="00EC737F">
        <w:rPr>
          <w:rFonts w:cs="Traditional Arabic" w:hint="cs"/>
          <w:sz w:val="28"/>
          <w:szCs w:val="32"/>
          <w:rtl/>
        </w:rPr>
        <w:t xml:space="preserve"> استئناف مختلط 15 يناير سنة </w:t>
      </w:r>
      <w:smartTag w:uri="urn:schemas-microsoft-com:office:smarttags" w:element="metricconverter">
        <w:smartTagPr>
          <w:attr w:name="ProductID" w:val="1914 م"/>
        </w:smartTagPr>
        <w:r w:rsidRPr="00EC737F">
          <w:rPr>
            <w:rFonts w:cs="Traditional Arabic" w:hint="cs"/>
            <w:sz w:val="28"/>
            <w:szCs w:val="32"/>
            <w:rtl/>
          </w:rPr>
          <w:t>1914 م</w:t>
        </w:r>
      </w:smartTag>
      <w:r w:rsidRPr="00EC737F">
        <w:rPr>
          <w:rFonts w:cs="Traditional Arabic" w:hint="cs"/>
          <w:sz w:val="28"/>
          <w:szCs w:val="32"/>
          <w:rtl/>
        </w:rPr>
        <w:t xml:space="preserve"> 26 ص 156 </w:t>
      </w:r>
      <w:r w:rsidRPr="00EC737F">
        <w:rPr>
          <w:rFonts w:cs="Traditional Arabic"/>
          <w:sz w:val="28"/>
          <w:szCs w:val="32"/>
          <w:rtl/>
        </w:rPr>
        <w:t>–</w:t>
      </w:r>
      <w:r w:rsidRPr="00EC737F">
        <w:rPr>
          <w:rFonts w:cs="Traditional Arabic" w:hint="cs"/>
          <w:sz w:val="28"/>
          <w:szCs w:val="32"/>
          <w:rtl/>
        </w:rPr>
        <w:t xml:space="preserve"> 13 ماس سنة </w:t>
      </w:r>
      <w:smartTag w:uri="urn:schemas-microsoft-com:office:smarttags" w:element="metricconverter">
        <w:smartTagPr>
          <w:attr w:name="ProductID" w:val="1923 م"/>
        </w:smartTagPr>
        <w:r w:rsidRPr="00EC737F">
          <w:rPr>
            <w:rFonts w:cs="Traditional Arabic" w:hint="cs"/>
            <w:sz w:val="28"/>
            <w:szCs w:val="32"/>
            <w:rtl/>
          </w:rPr>
          <w:t>1923 م</w:t>
        </w:r>
      </w:smartTag>
      <w:r w:rsidRPr="00EC737F">
        <w:rPr>
          <w:rFonts w:cs="Traditional Arabic" w:hint="cs"/>
          <w:sz w:val="28"/>
          <w:szCs w:val="32"/>
          <w:rtl/>
        </w:rPr>
        <w:t xml:space="preserve"> 35 ص 376 </w:t>
      </w:r>
      <w:r w:rsidRPr="00EC737F">
        <w:rPr>
          <w:rFonts w:cs="Traditional Arabic"/>
          <w:sz w:val="28"/>
          <w:szCs w:val="32"/>
          <w:rtl/>
        </w:rPr>
        <w:t>–</w:t>
      </w:r>
      <w:r w:rsidRPr="00EC737F">
        <w:rPr>
          <w:rFonts w:cs="Traditional Arabic" w:hint="cs"/>
          <w:sz w:val="28"/>
          <w:szCs w:val="32"/>
          <w:rtl/>
        </w:rPr>
        <w:t xml:space="preserve"> 7 مارس سنة </w:t>
      </w:r>
      <w:smartTag w:uri="urn:schemas-microsoft-com:office:smarttags" w:element="metricconverter">
        <w:smartTagPr>
          <w:attr w:name="ProductID" w:val="1939 م"/>
        </w:smartTagPr>
        <w:r w:rsidRPr="00EC737F">
          <w:rPr>
            <w:rFonts w:cs="Traditional Arabic" w:hint="cs"/>
            <w:sz w:val="28"/>
            <w:szCs w:val="32"/>
            <w:rtl/>
          </w:rPr>
          <w:t>1939 م</w:t>
        </w:r>
      </w:smartTag>
      <w:r w:rsidRPr="00EC737F">
        <w:rPr>
          <w:rFonts w:cs="Traditional Arabic" w:hint="cs"/>
          <w:sz w:val="28"/>
          <w:szCs w:val="32"/>
          <w:rtl/>
        </w:rPr>
        <w:t xml:space="preserve"> 51 ص 186</w:t>
      </w:r>
      <w:r>
        <w:rPr>
          <w:rFonts w:cs="Traditional Arabic" w:hint="cs"/>
          <w:sz w:val="28"/>
          <w:szCs w:val="32"/>
          <w:rtl/>
        </w:rPr>
        <w:t xml:space="preserve"> ) .</w:t>
      </w:r>
      <w:r w:rsidRPr="00EC737F">
        <w:rPr>
          <w:rFonts w:cs="Traditional Arabic" w:hint="cs"/>
          <w:sz w:val="28"/>
          <w:szCs w:val="32"/>
          <w:rtl/>
        </w:rPr>
        <w:t xml:space="preserve"> ولكن يعاب على $247 هذا الرأي أن مبنى الدفع فكرة الحلول والتبعية</w:t>
      </w:r>
      <w:r>
        <w:rPr>
          <w:rFonts w:cs="Traditional Arabic" w:hint="cs"/>
          <w:sz w:val="28"/>
          <w:szCs w:val="32"/>
          <w:rtl/>
        </w:rPr>
        <w:t xml:space="preserve"> ،</w:t>
      </w:r>
      <w:r w:rsidRPr="00EC737F">
        <w:rPr>
          <w:rFonts w:cs="Traditional Arabic" w:hint="cs"/>
          <w:sz w:val="28"/>
          <w:szCs w:val="32"/>
          <w:rtl/>
        </w:rPr>
        <w:t>وأن الكفيل يحل محل الدائن في التأمينات التي تتقرر بعد الكفالة وضياعها بخطأه يحرمه من ذلك الحلول0 وقد قضى المشروع على كل هذا الخلاف</w:t>
      </w:r>
      <w:r>
        <w:rPr>
          <w:rFonts w:cs="Traditional Arabic" w:hint="cs"/>
          <w:sz w:val="28"/>
          <w:szCs w:val="32"/>
          <w:rtl/>
        </w:rPr>
        <w:t xml:space="preserve"> ،</w:t>
      </w:r>
      <w:r w:rsidRPr="00EC737F">
        <w:rPr>
          <w:rFonts w:cs="Traditional Arabic" w:hint="cs"/>
          <w:sz w:val="28"/>
          <w:szCs w:val="32"/>
          <w:rtl/>
        </w:rPr>
        <w:t xml:space="preserve"> بأن قرر في الفقرة الثاني أن الضمانات المقصودة في هذه المادة تشمل كل تأمين خصص لضمان الدين حتى لو تقرر بعد الكفالة</w:t>
      </w:r>
      <w:r>
        <w:rPr>
          <w:rFonts w:cs="Traditional Arabic" w:hint="cs"/>
          <w:sz w:val="28"/>
          <w:szCs w:val="32"/>
          <w:rtl/>
        </w:rPr>
        <w:t xml:space="preserve"> ،</w:t>
      </w:r>
      <w:r w:rsidRPr="00EC737F">
        <w:rPr>
          <w:rFonts w:cs="Traditional Arabic" w:hint="cs"/>
          <w:sz w:val="28"/>
          <w:szCs w:val="32"/>
          <w:rtl/>
        </w:rPr>
        <w:t xml:space="preserve"> وكذلك كل تقرير مقرر بحكم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56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105- الشروط الواجب توافرها لبراءة ذمة الكفيل</w:t>
      </w:r>
      <w:r>
        <w:rPr>
          <w:rFonts w:cs="Traditional Arabic" w:hint="cs"/>
          <w:sz w:val="28"/>
          <w:szCs w:val="32"/>
          <w:rtl/>
        </w:rPr>
        <w:t xml:space="preserve"> :</w:t>
      </w:r>
      <w:r w:rsidRPr="00EC737F">
        <w:rPr>
          <w:rFonts w:cs="Traditional Arabic" w:hint="cs"/>
          <w:sz w:val="28"/>
          <w:szCs w:val="32"/>
          <w:rtl/>
        </w:rPr>
        <w:t xml:space="preserve"> وحتى تبرأ ذمة الكفيل</w:t>
      </w:r>
      <w:r>
        <w:rPr>
          <w:rFonts w:cs="Traditional Arabic" w:hint="cs"/>
          <w:sz w:val="28"/>
          <w:szCs w:val="32"/>
          <w:rtl/>
        </w:rPr>
        <w:t xml:space="preserve"> ،</w:t>
      </w:r>
      <w:r w:rsidRPr="00EC737F">
        <w:rPr>
          <w:rFonts w:cs="Traditional Arabic" w:hint="cs"/>
          <w:sz w:val="28"/>
          <w:szCs w:val="32"/>
          <w:rtl/>
        </w:rPr>
        <w:t xml:space="preserve"> يجب عليه أن يثبت أنه قد أصابه ضرر من عمل الدائن</w:t>
      </w:r>
      <w:r>
        <w:rPr>
          <w:rFonts w:cs="Traditional Arabic" w:hint="cs"/>
          <w:sz w:val="28"/>
          <w:szCs w:val="32"/>
          <w:rtl/>
        </w:rPr>
        <w:t xml:space="preserve"> ،</w:t>
      </w:r>
      <w:r w:rsidRPr="00EC737F">
        <w:rPr>
          <w:rFonts w:cs="Traditional Arabic" w:hint="cs"/>
          <w:sz w:val="28"/>
          <w:szCs w:val="32"/>
          <w:rtl/>
        </w:rPr>
        <w:t xml:space="preserve"> وأن يتمسك ببراءة ذمته</w:t>
      </w:r>
      <w:r>
        <w:rPr>
          <w:rFonts w:cs="Traditional Arabic" w:hint="cs"/>
          <w:sz w:val="28"/>
          <w:szCs w:val="32"/>
          <w:rtl/>
        </w:rPr>
        <w:t xml:space="preserve"> ،</w:t>
      </w:r>
      <w:r w:rsidRPr="00EC737F">
        <w:rPr>
          <w:rFonts w:cs="Traditional Arabic" w:hint="cs"/>
          <w:sz w:val="28"/>
          <w:szCs w:val="32"/>
          <w:rtl/>
        </w:rPr>
        <w:t xml:space="preserve"> وألا يكون هناك اتفاق على عدم حلول الكفيل محل الدائن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فيجب</w:t>
      </w:r>
      <w:r>
        <w:rPr>
          <w:rFonts w:cs="Traditional Arabic" w:hint="cs"/>
          <w:sz w:val="28"/>
          <w:szCs w:val="32"/>
          <w:rtl/>
        </w:rPr>
        <w:t xml:space="preserve"> ،</w:t>
      </w:r>
      <w:r w:rsidRPr="00EC737F">
        <w:rPr>
          <w:rFonts w:cs="Traditional Arabic" w:hint="cs"/>
          <w:sz w:val="28"/>
          <w:szCs w:val="32"/>
          <w:rtl/>
        </w:rPr>
        <w:t xml:space="preserve"> أولا</w:t>
      </w:r>
      <w:r>
        <w:rPr>
          <w:rFonts w:cs="Traditional Arabic" w:hint="cs"/>
          <w:sz w:val="28"/>
          <w:szCs w:val="32"/>
          <w:rtl/>
        </w:rPr>
        <w:t xml:space="preserve"> ،</w:t>
      </w:r>
      <w:r w:rsidRPr="00EC737F">
        <w:rPr>
          <w:rFonts w:cs="Traditional Arabic" w:hint="cs"/>
          <w:sz w:val="28"/>
          <w:szCs w:val="32"/>
          <w:rtl/>
        </w:rPr>
        <w:t xml:space="preserve"> أن يثبت الكفيل أنه قد أصابه ضرر من عمل الدائن</w:t>
      </w:r>
      <w:r>
        <w:rPr>
          <w:rFonts w:cs="Traditional Arabic" w:hint="cs"/>
          <w:sz w:val="28"/>
          <w:szCs w:val="32"/>
          <w:vertAlign w:val="superscript"/>
          <w:rtl/>
        </w:rPr>
        <w:t xml:space="preserve">( </w:t>
      </w:r>
      <w:r w:rsidRPr="00EC737F">
        <w:rPr>
          <w:rStyle w:val="ab"/>
          <w:rFonts w:cs="Traditional Arabic"/>
          <w:sz w:val="28"/>
          <w:szCs w:val="32"/>
          <w:rtl/>
        </w:rPr>
        <w:footnoteReference w:id="56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فلا يجوز للكفيل أن يتمسك ببراءة ذمته إذا نزل الدائن عن رهن متأخر في المرتبة بحيث لا يسعفه أصلا في تقاضي حقه</w:t>
      </w:r>
      <w:r>
        <w:rPr>
          <w:rFonts w:cs="Traditional Arabic" w:hint="cs"/>
          <w:sz w:val="28"/>
          <w:szCs w:val="32"/>
          <w:vertAlign w:val="superscript"/>
          <w:rtl/>
        </w:rPr>
        <w:t xml:space="preserve">( </w:t>
      </w:r>
      <w:r w:rsidRPr="00EC737F">
        <w:rPr>
          <w:rStyle w:val="ab"/>
          <w:rFonts w:cs="Traditional Arabic"/>
          <w:sz w:val="28"/>
          <w:szCs w:val="32"/>
          <w:rtl/>
        </w:rPr>
        <w:footnoteReference w:id="56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نزل عن كفيل في نظير أن يحل محله كفيل آخر يماثله في اليسار</w:t>
      </w:r>
      <w:r>
        <w:rPr>
          <w:rFonts w:cs="Traditional Arabic" w:hint="cs"/>
          <w:sz w:val="28"/>
          <w:szCs w:val="32"/>
          <w:vertAlign w:val="superscript"/>
          <w:rtl/>
        </w:rPr>
        <w:t xml:space="preserve">( </w:t>
      </w:r>
      <w:r w:rsidRPr="00EC737F">
        <w:rPr>
          <w:rStyle w:val="ab"/>
          <w:rFonts w:cs="Traditional Arabic"/>
          <w:sz w:val="28"/>
          <w:szCs w:val="32"/>
          <w:rtl/>
        </w:rPr>
        <w:footnoteReference w:id="56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كذلك لا يجوز للكفيل أن $248 يطلب براءة ذمته</w:t>
      </w:r>
      <w:r>
        <w:rPr>
          <w:rFonts w:cs="Traditional Arabic" w:hint="cs"/>
          <w:sz w:val="28"/>
          <w:szCs w:val="32"/>
          <w:rtl/>
        </w:rPr>
        <w:t xml:space="preserve"> ،</w:t>
      </w:r>
      <w:r w:rsidRPr="00EC737F">
        <w:rPr>
          <w:rFonts w:cs="Traditional Arabic" w:hint="cs"/>
          <w:sz w:val="28"/>
          <w:szCs w:val="32"/>
          <w:rtl/>
        </w:rPr>
        <w:t xml:space="preserve"> إذا رضي الدائن يبيع أشياء مرهونة له بثمن لا يقل عن قيمتها الحقيقة</w:t>
      </w:r>
      <w:r>
        <w:rPr>
          <w:rFonts w:cs="Traditional Arabic" w:hint="cs"/>
          <w:sz w:val="28"/>
          <w:szCs w:val="32"/>
          <w:rtl/>
        </w:rPr>
        <w:t xml:space="preserve"> ،</w:t>
      </w:r>
      <w:r w:rsidRPr="00EC737F">
        <w:rPr>
          <w:rFonts w:cs="Traditional Arabic" w:hint="cs"/>
          <w:sz w:val="28"/>
          <w:szCs w:val="32"/>
          <w:rtl/>
        </w:rPr>
        <w:t xml:space="preserve"> ولو بيعت هذه الأشياء دون إتباع الإجراءات التي رسمها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57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ويجب أن يثبت الكفيل أن يثبت الكفيل أن الضرر الذي أصابه م عمل الدائن ضرر محقق</w:t>
      </w:r>
      <w:r>
        <w:rPr>
          <w:rFonts w:cs="Traditional Arabic" w:hint="cs"/>
          <w:sz w:val="28"/>
          <w:szCs w:val="32"/>
          <w:rtl/>
        </w:rPr>
        <w:t xml:space="preserve"> ،</w:t>
      </w:r>
      <w:r w:rsidRPr="00EC737F">
        <w:rPr>
          <w:rFonts w:cs="Traditional Arabic" w:hint="cs"/>
          <w:sz w:val="28"/>
          <w:szCs w:val="32"/>
          <w:rtl/>
        </w:rPr>
        <w:t xml:space="preserve"> وليس مجرد ضرر محتمل</w:t>
      </w:r>
      <w:r>
        <w:rPr>
          <w:rFonts w:cs="Traditional Arabic" w:hint="cs"/>
          <w:sz w:val="28"/>
          <w:szCs w:val="32"/>
          <w:vertAlign w:val="superscript"/>
          <w:rtl/>
        </w:rPr>
        <w:t xml:space="preserve">( </w:t>
      </w:r>
      <w:r w:rsidRPr="00EC737F">
        <w:rPr>
          <w:rStyle w:val="ab"/>
          <w:rFonts w:cs="Traditional Arabic"/>
          <w:sz w:val="28"/>
          <w:szCs w:val="32"/>
          <w:rtl/>
        </w:rPr>
        <w:footnoteReference w:id="57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ويطلب الكفيل براءة ذمته بمقدار ما أصابه من ضرر</w:t>
      </w:r>
      <w:r>
        <w:rPr>
          <w:rFonts w:cs="Traditional Arabic" w:hint="cs"/>
          <w:sz w:val="28"/>
          <w:szCs w:val="32"/>
          <w:rtl/>
        </w:rPr>
        <w:t xml:space="preserve"> ،</w:t>
      </w:r>
      <w:r w:rsidRPr="00EC737F">
        <w:rPr>
          <w:rFonts w:cs="Traditional Arabic" w:hint="cs"/>
          <w:sz w:val="28"/>
          <w:szCs w:val="32"/>
          <w:rtl/>
        </w:rPr>
        <w:t xml:space="preserve"> فلو كان للدائن رهنان رسميان على منزلين قيمة كل منها 1000 جنيه</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وكان حقه يبلغ 2000 جنيه</w:t>
      </w:r>
      <w:r>
        <w:rPr>
          <w:rFonts w:cs="Traditional Arabic" w:hint="cs"/>
          <w:sz w:val="28"/>
          <w:szCs w:val="32"/>
          <w:rtl/>
        </w:rPr>
        <w:t xml:space="preserve"> ،</w:t>
      </w:r>
      <w:r w:rsidRPr="00EC737F">
        <w:rPr>
          <w:rFonts w:cs="Traditional Arabic" w:hint="cs"/>
          <w:sz w:val="28"/>
          <w:szCs w:val="32"/>
          <w:rtl/>
        </w:rPr>
        <w:t xml:space="preserve"> ونزل الدائن عن رهنه على أحد هذين المنزلين</w:t>
      </w:r>
      <w:r>
        <w:rPr>
          <w:rFonts w:cs="Traditional Arabic" w:hint="cs"/>
          <w:sz w:val="28"/>
          <w:szCs w:val="32"/>
          <w:rtl/>
        </w:rPr>
        <w:t xml:space="preserve"> ،</w:t>
      </w:r>
      <w:r w:rsidRPr="00EC737F">
        <w:rPr>
          <w:rFonts w:cs="Traditional Arabic" w:hint="cs"/>
          <w:sz w:val="28"/>
          <w:szCs w:val="32"/>
          <w:rtl/>
        </w:rPr>
        <w:t xml:space="preserve"> فالكفيل لم يصبه من الضرر إلا مقدار النصف</w:t>
      </w:r>
      <w:r>
        <w:rPr>
          <w:rFonts w:cs="Traditional Arabic" w:hint="cs"/>
          <w:sz w:val="28"/>
          <w:szCs w:val="32"/>
          <w:rtl/>
        </w:rPr>
        <w:t xml:space="preserve"> ،</w:t>
      </w:r>
      <w:r w:rsidRPr="00EC737F">
        <w:rPr>
          <w:rFonts w:cs="Traditional Arabic" w:hint="cs"/>
          <w:sz w:val="28"/>
          <w:szCs w:val="32"/>
          <w:rtl/>
        </w:rPr>
        <w:t xml:space="preserve"> فيطلب براءة ذمته بهذا المقار حسب</w:t>
      </w:r>
      <w:r>
        <w:rPr>
          <w:rFonts w:cs="Traditional Arabic" w:hint="cs"/>
          <w:sz w:val="28"/>
          <w:szCs w:val="32"/>
          <w:vertAlign w:val="superscript"/>
          <w:rtl/>
        </w:rPr>
        <w:t xml:space="preserve">( </w:t>
      </w:r>
      <w:r w:rsidRPr="00EC737F">
        <w:rPr>
          <w:rStyle w:val="ab"/>
          <w:rFonts w:cs="Traditional Arabic"/>
          <w:sz w:val="28"/>
          <w:szCs w:val="32"/>
          <w:rtl/>
        </w:rPr>
        <w:footnoteReference w:id="57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والكفيل هو الذي يثبت مقدار ما أصابه م ضرر بعمل الدائن</w:t>
      </w:r>
      <w:r>
        <w:rPr>
          <w:rFonts w:cs="Traditional Arabic" w:hint="cs"/>
          <w:sz w:val="28"/>
          <w:szCs w:val="32"/>
          <w:rtl/>
        </w:rPr>
        <w:t xml:space="preserve"> ،</w:t>
      </w:r>
      <w:r w:rsidRPr="00EC737F">
        <w:rPr>
          <w:rFonts w:cs="Traditional Arabic" w:hint="cs"/>
          <w:sz w:val="28"/>
          <w:szCs w:val="32"/>
          <w:rtl/>
        </w:rPr>
        <w:t xml:space="preserve"> لأنه هو الذي يطلب براءة ذمته فعليه أن يثبت ما يبرر ذلك</w:t>
      </w:r>
      <w:r>
        <w:rPr>
          <w:rFonts w:cs="Traditional Arabic" w:hint="cs"/>
          <w:sz w:val="28"/>
          <w:szCs w:val="32"/>
          <w:vertAlign w:val="superscript"/>
          <w:rtl/>
        </w:rPr>
        <w:t xml:space="preserve">( </w:t>
      </w:r>
      <w:r w:rsidRPr="00EC737F">
        <w:rPr>
          <w:rStyle w:val="ab"/>
          <w:rFonts w:cs="Traditional Arabic"/>
          <w:sz w:val="28"/>
          <w:szCs w:val="32"/>
          <w:rtl/>
        </w:rPr>
        <w:footnoteReference w:id="57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ويجب</w:t>
      </w:r>
      <w:r>
        <w:rPr>
          <w:rFonts w:cs="Traditional Arabic" w:hint="cs"/>
          <w:sz w:val="28"/>
          <w:szCs w:val="32"/>
          <w:rtl/>
        </w:rPr>
        <w:t xml:space="preserve"> ،</w:t>
      </w:r>
      <w:r w:rsidRPr="00EC737F">
        <w:rPr>
          <w:rFonts w:cs="Traditional Arabic" w:hint="cs"/>
          <w:sz w:val="28"/>
          <w:szCs w:val="32"/>
          <w:rtl/>
        </w:rPr>
        <w:t xml:space="preserve"> ثانياً</w:t>
      </w:r>
      <w:r>
        <w:rPr>
          <w:rFonts w:cs="Traditional Arabic" w:hint="cs"/>
          <w:sz w:val="28"/>
          <w:szCs w:val="32"/>
          <w:rtl/>
        </w:rPr>
        <w:t xml:space="preserve"> ،</w:t>
      </w:r>
      <w:r w:rsidRPr="00EC737F">
        <w:rPr>
          <w:rFonts w:cs="Traditional Arabic" w:hint="cs"/>
          <w:sz w:val="28"/>
          <w:szCs w:val="32"/>
          <w:rtl/>
        </w:rPr>
        <w:t xml:space="preserve"> أن يتمسك الكفيل ببراءة ذمته</w:t>
      </w:r>
      <w:r>
        <w:rPr>
          <w:rFonts w:cs="Traditional Arabic" w:hint="cs"/>
          <w:sz w:val="28"/>
          <w:szCs w:val="32"/>
          <w:rtl/>
        </w:rPr>
        <w:t xml:space="preserve"> ،</w:t>
      </w:r>
      <w:r w:rsidRPr="00EC737F">
        <w:rPr>
          <w:rFonts w:cs="Traditional Arabic" w:hint="cs"/>
          <w:sz w:val="28"/>
          <w:szCs w:val="32"/>
          <w:rtl/>
        </w:rPr>
        <w:t xml:space="preserve"> فلا يعطي الحق في براءة الذمة إلا إذا طلب ذلك</w:t>
      </w:r>
      <w:r>
        <w:rPr>
          <w:rFonts w:cs="Traditional Arabic" w:hint="cs"/>
          <w:sz w:val="28"/>
          <w:szCs w:val="32"/>
          <w:vertAlign w:val="superscript"/>
          <w:rtl/>
        </w:rPr>
        <w:t xml:space="preserve">( </w:t>
      </w:r>
      <w:r w:rsidRPr="00EC737F">
        <w:rPr>
          <w:rStyle w:val="ab"/>
          <w:rFonts w:cs="Traditional Arabic"/>
          <w:sz w:val="28"/>
          <w:szCs w:val="32"/>
          <w:rtl/>
        </w:rPr>
        <w:footnoteReference w:id="57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ومن ثم لا يجوز للكفيل أن يتمسك ببراءة ذمته</w:t>
      </w:r>
      <w:r>
        <w:rPr>
          <w:rFonts w:cs="Traditional Arabic" w:hint="cs"/>
          <w:sz w:val="28"/>
          <w:szCs w:val="32"/>
          <w:rtl/>
        </w:rPr>
        <w:t xml:space="preserve"> ،</w:t>
      </w:r>
      <w:r w:rsidRPr="00EC737F">
        <w:rPr>
          <w:rFonts w:cs="Traditional Arabic" w:hint="cs"/>
          <w:sz w:val="28"/>
          <w:szCs w:val="32"/>
          <w:rtl/>
        </w:rPr>
        <w:t xml:space="preserve"> إلا إذا رفع الدائن عليه الدعوى وتمسك هو ببراءة المذمة</w:t>
      </w:r>
      <w:r>
        <w:rPr>
          <w:rFonts w:cs="Traditional Arabic" w:hint="cs"/>
          <w:sz w:val="28"/>
          <w:szCs w:val="32"/>
          <w:vertAlign w:val="superscript"/>
          <w:rtl/>
        </w:rPr>
        <w:t xml:space="preserve">( </w:t>
      </w:r>
      <w:r w:rsidRPr="00EC737F">
        <w:rPr>
          <w:rStyle w:val="ab"/>
          <w:rFonts w:cs="Traditional Arabic"/>
          <w:sz w:val="28"/>
          <w:szCs w:val="32"/>
          <w:rtl/>
        </w:rPr>
        <w:footnoteReference w:id="57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بدعوى يرفعها هو على الدائن</w:t>
      </w:r>
      <w:r>
        <w:rPr>
          <w:rFonts w:cs="Traditional Arabic" w:hint="cs"/>
          <w:sz w:val="28"/>
          <w:szCs w:val="32"/>
          <w:vertAlign w:val="superscript"/>
          <w:rtl/>
        </w:rPr>
        <w:t xml:space="preserve">( </w:t>
      </w:r>
      <w:r w:rsidRPr="00EC737F">
        <w:rPr>
          <w:rStyle w:val="ab"/>
          <w:rFonts w:cs="Traditional Arabic"/>
          <w:sz w:val="28"/>
          <w:szCs w:val="32"/>
          <w:rtl/>
        </w:rPr>
        <w:footnoteReference w:id="57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يجوز</w:t>
      </w:r>
      <w:r>
        <w:rPr>
          <w:rFonts w:cs="Traditional Arabic" w:hint="cs"/>
          <w:sz w:val="28"/>
          <w:szCs w:val="32"/>
          <w:rtl/>
        </w:rPr>
        <w:t xml:space="preserve"> ،</w:t>
      </w:r>
      <w:r w:rsidRPr="00EC737F">
        <w:rPr>
          <w:rFonts w:cs="Traditional Arabic" w:hint="cs"/>
          <w:sz w:val="28"/>
          <w:szCs w:val="32"/>
          <w:rtl/>
        </w:rPr>
        <w:t xml:space="preserve"> إذا رفع الدائن عليه $249 الدعوى</w:t>
      </w:r>
      <w:r>
        <w:rPr>
          <w:rFonts w:cs="Traditional Arabic" w:hint="cs"/>
          <w:sz w:val="28"/>
          <w:szCs w:val="32"/>
          <w:rtl/>
        </w:rPr>
        <w:t xml:space="preserve"> ،</w:t>
      </w:r>
      <w:r w:rsidRPr="00EC737F">
        <w:rPr>
          <w:rFonts w:cs="Traditional Arabic" w:hint="cs"/>
          <w:sz w:val="28"/>
          <w:szCs w:val="32"/>
          <w:rtl/>
        </w:rPr>
        <w:t xml:space="preserve"> أن يتمسك ببراءة ذمته في أي وقت حتى تحجز القضية للحكم</w:t>
      </w:r>
      <w:r>
        <w:rPr>
          <w:rFonts w:cs="Traditional Arabic" w:hint="cs"/>
          <w:sz w:val="28"/>
          <w:szCs w:val="32"/>
          <w:rtl/>
        </w:rPr>
        <w:t xml:space="preserve"> .</w:t>
      </w:r>
      <w:r w:rsidRPr="00EC737F">
        <w:rPr>
          <w:rFonts w:cs="Traditional Arabic" w:hint="cs"/>
          <w:sz w:val="28"/>
          <w:szCs w:val="32"/>
          <w:rtl/>
        </w:rPr>
        <w:t xml:space="preserve"> وه أن يتمسك ببراءة ذمته أمام محكمة استئناف لأول مرة</w:t>
      </w:r>
      <w:r>
        <w:rPr>
          <w:rFonts w:cs="Traditional Arabic" w:hint="cs"/>
          <w:sz w:val="28"/>
          <w:szCs w:val="32"/>
          <w:rtl/>
        </w:rPr>
        <w:t xml:space="preserve"> ،</w:t>
      </w:r>
      <w:r w:rsidRPr="00EC737F">
        <w:rPr>
          <w:rFonts w:cs="Traditional Arabic" w:hint="cs"/>
          <w:sz w:val="28"/>
          <w:szCs w:val="32"/>
          <w:rtl/>
        </w:rPr>
        <w:t xml:space="preserve"> ولكن لا يجوز له أن يتمسك بذلك لأول مرة أمام محكمة النقض لأن التمسك ببراءة الذمة هنا لا يعتبر من النظام العام بل هو من حق الكفيل</w:t>
      </w:r>
      <w:r>
        <w:rPr>
          <w:rFonts w:cs="Traditional Arabic" w:hint="cs"/>
          <w:sz w:val="28"/>
          <w:szCs w:val="32"/>
          <w:vertAlign w:val="superscript"/>
          <w:rtl/>
        </w:rPr>
        <w:t xml:space="preserve">( </w:t>
      </w:r>
      <w:r w:rsidRPr="00EC737F">
        <w:rPr>
          <w:rStyle w:val="ab"/>
          <w:rFonts w:cs="Traditional Arabic"/>
          <w:sz w:val="28"/>
          <w:szCs w:val="32"/>
          <w:rtl/>
        </w:rPr>
        <w:footnoteReference w:id="57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ويجب</w:t>
      </w:r>
      <w:r>
        <w:rPr>
          <w:rFonts w:cs="Traditional Arabic" w:hint="cs"/>
          <w:sz w:val="28"/>
          <w:szCs w:val="32"/>
          <w:rtl/>
        </w:rPr>
        <w:t xml:space="preserve"> ،</w:t>
      </w:r>
      <w:r w:rsidRPr="00EC737F">
        <w:rPr>
          <w:rFonts w:cs="Traditional Arabic" w:hint="cs"/>
          <w:sz w:val="28"/>
          <w:szCs w:val="32"/>
          <w:rtl/>
        </w:rPr>
        <w:t xml:space="preserve"> ثالثاً</w:t>
      </w:r>
      <w:r>
        <w:rPr>
          <w:rFonts w:cs="Traditional Arabic" w:hint="cs"/>
          <w:sz w:val="28"/>
          <w:szCs w:val="32"/>
          <w:rtl/>
        </w:rPr>
        <w:t xml:space="preserve"> ،</w:t>
      </w:r>
      <w:r w:rsidRPr="00EC737F">
        <w:rPr>
          <w:rFonts w:cs="Traditional Arabic" w:hint="cs"/>
          <w:sz w:val="28"/>
          <w:szCs w:val="32"/>
          <w:rtl/>
        </w:rPr>
        <w:t xml:space="preserve"> ألا يكون هناك اتفاق بين الدائن والكيل على ألا يتمسك الكفيل ببراءة الذمة أي على عدم حلول الكفيل محل الدائن</w:t>
      </w:r>
      <w:r>
        <w:rPr>
          <w:rFonts w:cs="Traditional Arabic" w:hint="cs"/>
          <w:sz w:val="28"/>
          <w:szCs w:val="32"/>
          <w:rtl/>
        </w:rPr>
        <w:t xml:space="preserve"> .</w:t>
      </w:r>
      <w:r w:rsidRPr="00EC737F">
        <w:rPr>
          <w:rFonts w:cs="Traditional Arabic" w:hint="cs"/>
          <w:sz w:val="28"/>
          <w:szCs w:val="32"/>
          <w:rtl/>
        </w:rPr>
        <w:t xml:space="preserve"> فإذا وج هذا الاتفاق</w:t>
      </w:r>
      <w:r>
        <w:rPr>
          <w:rFonts w:cs="Traditional Arabic" w:hint="cs"/>
          <w:sz w:val="28"/>
          <w:szCs w:val="32"/>
          <w:rtl/>
        </w:rPr>
        <w:t xml:space="preserve"> ،</w:t>
      </w:r>
      <w:r w:rsidRPr="00EC737F">
        <w:rPr>
          <w:rFonts w:cs="Traditional Arabic" w:hint="cs"/>
          <w:sz w:val="28"/>
          <w:szCs w:val="32"/>
          <w:rtl/>
        </w:rPr>
        <w:t xml:space="preserve"> امتنع على الكفيل أن يتمسك ببراءة الذم </w:t>
      </w:r>
      <w:r w:rsidRPr="00EC737F">
        <w:rPr>
          <w:rFonts w:cs="Traditional Arabic" w:hint="cs"/>
          <w:sz w:val="28"/>
          <w:szCs w:val="32"/>
          <w:rtl/>
        </w:rPr>
        <w:lastRenderedPageBreak/>
        <w:t>لأنه لا يحل محل الدائن فيما أضاعه هذا من التأمينات</w:t>
      </w:r>
      <w:r>
        <w:rPr>
          <w:rFonts w:cs="Traditional Arabic" w:hint="cs"/>
          <w:sz w:val="28"/>
          <w:szCs w:val="32"/>
          <w:vertAlign w:val="superscript"/>
          <w:rtl/>
        </w:rPr>
        <w:t xml:space="preserve">( </w:t>
      </w:r>
      <w:r w:rsidRPr="00EC737F">
        <w:rPr>
          <w:rStyle w:val="ab"/>
          <w:rFonts w:cs="Traditional Arabic"/>
          <w:sz w:val="28"/>
          <w:szCs w:val="32"/>
          <w:rtl/>
        </w:rPr>
        <w:footnoteReference w:id="57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b/>
          <w:bCs/>
          <w:sz w:val="28"/>
          <w:szCs w:val="32"/>
          <w:rtl/>
        </w:rPr>
        <w:t>§</w:t>
      </w:r>
      <w:r w:rsidRPr="00EC737F">
        <w:rPr>
          <w:rFonts w:cs="Traditional Arabic" w:hint="cs"/>
          <w:b/>
          <w:bCs/>
          <w:sz w:val="28"/>
          <w:szCs w:val="32"/>
          <w:rtl/>
        </w:rPr>
        <w:t>2- براءة ذمة الكفيل لتأخر الدائن</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في اتخاذ الإجراءات ضد المدين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106- نص قانوني</w:t>
      </w:r>
      <w:r>
        <w:rPr>
          <w:rFonts w:cs="Traditional Arabic" w:hint="cs"/>
          <w:sz w:val="28"/>
          <w:szCs w:val="32"/>
          <w:rtl/>
        </w:rPr>
        <w:t xml:space="preserve"> :</w:t>
      </w:r>
      <w:r w:rsidRPr="00EC737F">
        <w:rPr>
          <w:rFonts w:cs="Traditional Arabic" w:hint="cs"/>
          <w:sz w:val="28"/>
          <w:szCs w:val="32"/>
          <w:rtl/>
        </w:rPr>
        <w:t xml:space="preserve"> تنص المادة 785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 لا تبرأ ذمة الكفيل لمجرد أن الدائن تأخر في اتخاذ الإجراءات أو لمجرد أنه لم يتخذها"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على أن ذمة الكفيل تبرأ إذا لم يقم الدائن باتخاذ الإجراءات ضد المدين خلال ستة أشهر من إنذار الكفيل للدائن</w:t>
      </w:r>
      <w:r>
        <w:rPr>
          <w:rFonts w:cs="Traditional Arabic" w:hint="cs"/>
          <w:sz w:val="28"/>
          <w:szCs w:val="32"/>
          <w:rtl/>
        </w:rPr>
        <w:t xml:space="preserve"> ،</w:t>
      </w:r>
      <w:r w:rsidRPr="00EC737F">
        <w:rPr>
          <w:rFonts w:cs="Traditional Arabic" w:hint="cs"/>
          <w:sz w:val="28"/>
          <w:szCs w:val="32"/>
          <w:rtl/>
        </w:rPr>
        <w:t xml:space="preserve"> ما لم يقدم المدين للكيل ضماناً كافياً"</w:t>
      </w:r>
      <w:r>
        <w:rPr>
          <w:rFonts w:cs="Traditional Arabic" w:hint="cs"/>
          <w:sz w:val="28"/>
          <w:szCs w:val="32"/>
          <w:vertAlign w:val="superscript"/>
          <w:rtl/>
        </w:rPr>
        <w:t xml:space="preserve">( </w:t>
      </w:r>
      <w:r w:rsidRPr="00EC737F">
        <w:rPr>
          <w:rStyle w:val="ab"/>
          <w:rFonts w:cs="Traditional Arabic"/>
          <w:sz w:val="28"/>
          <w:szCs w:val="32"/>
          <w:rtl/>
        </w:rPr>
        <w:footnoteReference w:id="57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$250 ويقابل النص في التقنين المدني السابق المادة 503/616</w:t>
      </w:r>
      <w:r>
        <w:rPr>
          <w:rFonts w:cs="Traditional Arabic" w:hint="cs"/>
          <w:sz w:val="28"/>
          <w:szCs w:val="32"/>
          <w:vertAlign w:val="superscript"/>
          <w:rtl/>
        </w:rPr>
        <w:t xml:space="preserve">( </w:t>
      </w:r>
      <w:r w:rsidRPr="00EC737F">
        <w:rPr>
          <w:rStyle w:val="ab"/>
          <w:rFonts w:cs="Traditional Arabic"/>
          <w:sz w:val="28"/>
          <w:szCs w:val="32"/>
          <w:rtl/>
        </w:rPr>
        <w:footnoteReference w:id="58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في التقنينات المدنية العربية الأخرى</w:t>
      </w:r>
      <w:r>
        <w:rPr>
          <w:rFonts w:cs="Traditional Arabic" w:hint="cs"/>
          <w:sz w:val="28"/>
          <w:szCs w:val="32"/>
          <w:rtl/>
        </w:rPr>
        <w:t xml:space="preserve"> :</w:t>
      </w:r>
      <w:r w:rsidRPr="00EC737F">
        <w:rPr>
          <w:rFonts w:cs="Traditional Arabic" w:hint="cs"/>
          <w:sz w:val="28"/>
          <w:szCs w:val="32"/>
          <w:rtl/>
        </w:rPr>
        <w:t xml:space="preserve"> في التقنين المدني السوري م 751 </w:t>
      </w:r>
      <w:r w:rsidRPr="00EC737F">
        <w:rPr>
          <w:rFonts w:cs="Traditional Arabic"/>
          <w:sz w:val="28"/>
          <w:szCs w:val="32"/>
          <w:rtl/>
        </w:rPr>
        <w:t>–</w:t>
      </w:r>
      <w:r w:rsidRPr="00EC737F">
        <w:rPr>
          <w:rFonts w:cs="Traditional Arabic" w:hint="cs"/>
          <w:sz w:val="28"/>
          <w:szCs w:val="32"/>
          <w:rtl/>
        </w:rPr>
        <w:t xml:space="preserve"> وفي التقنين المدني الليبي م 794 </w:t>
      </w:r>
      <w:r w:rsidRPr="00EC737F">
        <w:rPr>
          <w:rFonts w:cs="Traditional Arabic"/>
          <w:sz w:val="28"/>
          <w:szCs w:val="32"/>
          <w:rtl/>
        </w:rPr>
        <w:t>–</w:t>
      </w:r>
      <w:r w:rsidRPr="00EC737F">
        <w:rPr>
          <w:rFonts w:cs="Traditional Arabic" w:hint="cs"/>
          <w:sz w:val="28"/>
          <w:szCs w:val="32"/>
          <w:rtl/>
        </w:rPr>
        <w:t xml:space="preserve"> وفي التقنين المدني العراقي م 1036 </w:t>
      </w:r>
      <w:r w:rsidRPr="00EC737F">
        <w:rPr>
          <w:rFonts w:cs="Traditional Arabic"/>
          <w:sz w:val="28"/>
          <w:szCs w:val="32"/>
          <w:rtl/>
        </w:rPr>
        <w:t>–</w:t>
      </w:r>
      <w:r w:rsidRPr="00EC737F">
        <w:rPr>
          <w:rFonts w:cs="Traditional Arabic" w:hint="cs"/>
          <w:sz w:val="28"/>
          <w:szCs w:val="32"/>
          <w:rtl/>
        </w:rPr>
        <w:t xml:space="preserve"> وفي قانون الموجبات والعقود اللبناني م 1079</w:t>
      </w:r>
      <w:r>
        <w:rPr>
          <w:rFonts w:cs="Traditional Arabic" w:hint="cs"/>
          <w:sz w:val="28"/>
          <w:szCs w:val="32"/>
          <w:vertAlign w:val="superscript"/>
          <w:rtl/>
        </w:rPr>
        <w:t xml:space="preserve">( </w:t>
      </w:r>
      <w:r w:rsidRPr="00EC737F">
        <w:rPr>
          <w:rStyle w:val="ab"/>
          <w:rFonts w:cs="Traditional Arabic"/>
          <w:sz w:val="28"/>
          <w:szCs w:val="32"/>
          <w:rtl/>
        </w:rPr>
        <w:footnoteReference w:id="58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$251 ويفترض التقنين هنا أن الدين المكفول قد حل</w:t>
      </w:r>
      <w:r>
        <w:rPr>
          <w:rFonts w:cs="Traditional Arabic" w:hint="cs"/>
          <w:sz w:val="28"/>
          <w:szCs w:val="32"/>
          <w:rtl/>
        </w:rPr>
        <w:t xml:space="preserve"> .</w:t>
      </w:r>
      <w:r w:rsidRPr="00EC737F">
        <w:rPr>
          <w:rFonts w:cs="Traditional Arabic" w:hint="cs"/>
          <w:sz w:val="28"/>
          <w:szCs w:val="32"/>
          <w:rtl/>
        </w:rPr>
        <w:t xml:space="preserve"> وأن الدائن لم يتخذ الإجراءات للمطالبة بالدين أو ا</w:t>
      </w:r>
      <w:r>
        <w:rPr>
          <w:rFonts w:cs="Traditional Arabic" w:hint="cs"/>
          <w:sz w:val="28"/>
          <w:szCs w:val="32"/>
          <w:rtl/>
        </w:rPr>
        <w:t xml:space="preserve"> ،</w:t>
      </w:r>
      <w:r w:rsidRPr="00EC737F">
        <w:rPr>
          <w:rFonts w:cs="Traditional Arabic" w:hint="cs"/>
          <w:sz w:val="28"/>
          <w:szCs w:val="32"/>
          <w:rtl/>
        </w:rPr>
        <w:t>ه تأخر في اتخاذها</w:t>
      </w:r>
      <w:r>
        <w:rPr>
          <w:rFonts w:cs="Traditional Arabic" w:hint="cs"/>
          <w:sz w:val="28"/>
          <w:szCs w:val="32"/>
          <w:rtl/>
        </w:rPr>
        <w:t xml:space="preserve"> .</w:t>
      </w:r>
      <w:r w:rsidRPr="00EC737F">
        <w:rPr>
          <w:rFonts w:cs="Traditional Arabic" w:hint="cs"/>
          <w:sz w:val="28"/>
          <w:szCs w:val="32"/>
          <w:rtl/>
        </w:rPr>
        <w:t xml:space="preserve"> فنص على حق الكفيل في هذه الحالة في أن ينذر الدائن لاتخاذ الإجراءات</w:t>
      </w:r>
      <w:r>
        <w:rPr>
          <w:rFonts w:cs="Traditional Arabic" w:hint="cs"/>
          <w:sz w:val="28"/>
          <w:szCs w:val="32"/>
          <w:rtl/>
        </w:rPr>
        <w:t xml:space="preserve"> ،</w:t>
      </w:r>
      <w:r w:rsidRPr="00EC737F">
        <w:rPr>
          <w:rFonts w:cs="Traditional Arabic" w:hint="cs"/>
          <w:sz w:val="28"/>
          <w:szCs w:val="32"/>
          <w:rtl/>
        </w:rPr>
        <w:t xml:space="preserve"> فإذا لم يتخذها في خلال ستة أشهر من وقت الإنذار</w:t>
      </w:r>
      <w:r>
        <w:rPr>
          <w:rFonts w:cs="Traditional Arabic" w:hint="cs"/>
          <w:sz w:val="28"/>
          <w:szCs w:val="32"/>
          <w:rtl/>
        </w:rPr>
        <w:t xml:space="preserve"> ،</w:t>
      </w:r>
      <w:r w:rsidRPr="00EC737F">
        <w:rPr>
          <w:rFonts w:cs="Traditional Arabic" w:hint="cs"/>
          <w:sz w:val="28"/>
          <w:szCs w:val="32"/>
          <w:rtl/>
        </w:rPr>
        <w:t xml:space="preserve"> ولم يقدم المدين للكفيل ضماناً كافياً </w:t>
      </w:r>
      <w:r w:rsidRPr="00EC737F">
        <w:rPr>
          <w:rFonts w:cs="Traditional Arabic" w:hint="cs"/>
          <w:sz w:val="28"/>
          <w:szCs w:val="32"/>
          <w:rtl/>
        </w:rPr>
        <w:lastRenderedPageBreak/>
        <w:t xml:space="preserve">برئت ذمة الكفيل من الكفالة </w:t>
      </w:r>
      <w:r w:rsidRPr="00EC737F">
        <w:rPr>
          <w:rFonts w:cs="Traditional Arabic"/>
          <w:sz w:val="28"/>
          <w:szCs w:val="32"/>
          <w:rtl/>
        </w:rPr>
        <w:t>–</w:t>
      </w:r>
      <w:r w:rsidRPr="00EC737F">
        <w:rPr>
          <w:rFonts w:cs="Traditional Arabic" w:hint="cs"/>
          <w:sz w:val="28"/>
          <w:szCs w:val="32"/>
          <w:rtl/>
        </w:rPr>
        <w:t xml:space="preserve"> وكان التقنين المدني السابق يجعل للكفيل الحق في مطالبة المدين عند حلول الأجل</w:t>
      </w:r>
      <w:r>
        <w:rPr>
          <w:rFonts w:cs="Traditional Arabic" w:hint="cs"/>
          <w:sz w:val="28"/>
          <w:szCs w:val="32"/>
          <w:rtl/>
        </w:rPr>
        <w:t xml:space="preserve"> ،</w:t>
      </w:r>
      <w:r w:rsidRPr="00EC737F">
        <w:rPr>
          <w:rFonts w:cs="Traditional Arabic" w:hint="cs"/>
          <w:sz w:val="28"/>
          <w:szCs w:val="32"/>
          <w:rtl/>
        </w:rPr>
        <w:t xml:space="preserve"> إذا منح الدائن للمدين أجلا جديداً ولم يبرئ الكفيل من الكفالة</w:t>
      </w:r>
      <w:r>
        <w:rPr>
          <w:rFonts w:cs="Traditional Arabic" w:hint="cs"/>
          <w:sz w:val="28"/>
          <w:szCs w:val="32"/>
          <w:rtl/>
        </w:rPr>
        <w:t xml:space="preserve"> .</w:t>
      </w:r>
      <w:r w:rsidRPr="00EC737F">
        <w:rPr>
          <w:rFonts w:cs="Traditional Arabic" w:hint="cs"/>
          <w:sz w:val="28"/>
          <w:szCs w:val="32"/>
          <w:rtl/>
        </w:rPr>
        <w:t xml:space="preserve"> ويبدو أن التقنين المدني الجديد لم ينتظر حتى يمنح الدائن للمدين أجلا جديداً</w:t>
      </w:r>
      <w:r>
        <w:rPr>
          <w:rFonts w:cs="Traditional Arabic" w:hint="cs"/>
          <w:sz w:val="28"/>
          <w:szCs w:val="32"/>
          <w:rtl/>
        </w:rPr>
        <w:t xml:space="preserve"> ،</w:t>
      </w:r>
      <w:r w:rsidRPr="00EC737F">
        <w:rPr>
          <w:rFonts w:cs="Traditional Arabic" w:hint="cs"/>
          <w:sz w:val="28"/>
          <w:szCs w:val="32"/>
          <w:rtl/>
        </w:rPr>
        <w:t xml:space="preserve"> بل أعطى للكفيل الحق في إنذار الدائن في أن يطالب المدين بدينه</w:t>
      </w:r>
      <w:r>
        <w:rPr>
          <w:rFonts w:cs="Traditional Arabic" w:hint="cs"/>
          <w:sz w:val="28"/>
          <w:szCs w:val="32"/>
          <w:rtl/>
        </w:rPr>
        <w:t xml:space="preserve"> ،</w:t>
      </w:r>
      <w:r w:rsidRPr="00EC737F">
        <w:rPr>
          <w:rFonts w:cs="Traditional Arabic" w:hint="cs"/>
          <w:sz w:val="28"/>
          <w:szCs w:val="32"/>
          <w:rtl/>
        </w:rPr>
        <w:t xml:space="preserve"> فإذا لم يفعل ذلك في خلال ستة أشهر من وقت إنذار الكفيل إياه برئت ذمة الكفيل</w:t>
      </w:r>
      <w:r>
        <w:rPr>
          <w:rFonts w:cs="Traditional Arabic" w:hint="cs"/>
          <w:sz w:val="28"/>
          <w:szCs w:val="32"/>
          <w:rtl/>
        </w:rPr>
        <w:t xml:space="preserve"> ،</w:t>
      </w:r>
      <w:r w:rsidRPr="00EC737F">
        <w:rPr>
          <w:rFonts w:cs="Traditional Arabic" w:hint="cs"/>
          <w:sz w:val="28"/>
          <w:szCs w:val="32"/>
          <w:rtl/>
        </w:rPr>
        <w:t xml:space="preserve"> وذلك ما لم يعطه المدين ضماناً كافياً</w:t>
      </w:r>
      <w:r>
        <w:rPr>
          <w:rFonts w:cs="Traditional Arabic" w:hint="cs"/>
          <w:sz w:val="28"/>
          <w:szCs w:val="32"/>
          <w:rtl/>
        </w:rPr>
        <w:t xml:space="preserve"> .</w:t>
      </w:r>
      <w:r w:rsidRPr="00EC737F">
        <w:rPr>
          <w:rFonts w:cs="Traditional Arabic" w:hint="cs"/>
          <w:sz w:val="28"/>
          <w:szCs w:val="32"/>
          <w:rtl/>
        </w:rPr>
        <w:t xml:space="preserve"> فنبحث ما يتضمنه هذا الموضوع من مسائل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107- لا تبرأ ذمة الكفيل لعدم اتخاذ الدائن إجراءات التنفيذ</w:t>
      </w:r>
      <w:r>
        <w:rPr>
          <w:rFonts w:cs="Traditional Arabic" w:hint="cs"/>
          <w:sz w:val="28"/>
          <w:szCs w:val="32"/>
          <w:rtl/>
        </w:rPr>
        <w:t xml:space="preserve"> :</w:t>
      </w:r>
      <w:r w:rsidRPr="00EC737F">
        <w:rPr>
          <w:rFonts w:cs="Traditional Arabic" w:hint="cs"/>
          <w:sz w:val="28"/>
          <w:szCs w:val="32"/>
          <w:rtl/>
        </w:rPr>
        <w:t xml:space="preserve"> إذا حل الدين المكفول</w:t>
      </w:r>
      <w:r>
        <w:rPr>
          <w:rFonts w:cs="Traditional Arabic" w:hint="cs"/>
          <w:sz w:val="28"/>
          <w:szCs w:val="32"/>
          <w:rtl/>
        </w:rPr>
        <w:t xml:space="preserve"> ،</w:t>
      </w:r>
      <w:r w:rsidRPr="00EC737F">
        <w:rPr>
          <w:rFonts w:cs="Traditional Arabic" w:hint="cs"/>
          <w:sz w:val="28"/>
          <w:szCs w:val="32"/>
          <w:rtl/>
        </w:rPr>
        <w:t xml:space="preserve"> كان للدائن أن يتخذ إجراءات التنفيذ</w:t>
      </w:r>
      <w:r>
        <w:rPr>
          <w:rFonts w:cs="Traditional Arabic" w:hint="cs"/>
          <w:sz w:val="28"/>
          <w:szCs w:val="32"/>
          <w:rtl/>
        </w:rPr>
        <w:t xml:space="preserve"> ،</w:t>
      </w:r>
      <w:r w:rsidRPr="00EC737F">
        <w:rPr>
          <w:rFonts w:cs="Traditional Arabic" w:hint="cs"/>
          <w:sz w:val="28"/>
          <w:szCs w:val="32"/>
          <w:rtl/>
        </w:rPr>
        <w:t xml:space="preserve"> فإذا لم يتخذها</w:t>
      </w:r>
      <w:r>
        <w:rPr>
          <w:rFonts w:cs="Traditional Arabic" w:hint="cs"/>
          <w:sz w:val="28"/>
          <w:szCs w:val="32"/>
          <w:rtl/>
        </w:rPr>
        <w:t xml:space="preserve"> ،</w:t>
      </w:r>
      <w:r w:rsidRPr="00EC737F">
        <w:rPr>
          <w:rFonts w:cs="Traditional Arabic" w:hint="cs"/>
          <w:sz w:val="28"/>
          <w:szCs w:val="32"/>
          <w:rtl/>
        </w:rPr>
        <w:t xml:space="preserve"> أو تأخر في اتخاذها</w:t>
      </w:r>
      <w:r>
        <w:rPr>
          <w:rFonts w:cs="Traditional Arabic" w:hint="cs"/>
          <w:sz w:val="28"/>
          <w:szCs w:val="32"/>
          <w:rtl/>
        </w:rPr>
        <w:t xml:space="preserve"> ،</w:t>
      </w:r>
      <w:r w:rsidRPr="00EC737F">
        <w:rPr>
          <w:rFonts w:cs="Traditional Arabic" w:hint="cs"/>
          <w:sz w:val="28"/>
          <w:szCs w:val="32"/>
          <w:rtl/>
        </w:rPr>
        <w:t xml:space="preserve"> لم تبرأ ذمة الكفيل لذلك</w:t>
      </w:r>
      <w:r>
        <w:rPr>
          <w:rFonts w:cs="Traditional Arabic" w:hint="cs"/>
          <w:sz w:val="28"/>
          <w:szCs w:val="32"/>
          <w:rtl/>
        </w:rPr>
        <w:t xml:space="preserve"> ،</w:t>
      </w:r>
      <w:r w:rsidRPr="00EC737F">
        <w:rPr>
          <w:rFonts w:cs="Traditional Arabic" w:hint="cs"/>
          <w:sz w:val="28"/>
          <w:szCs w:val="32"/>
          <w:rtl/>
        </w:rPr>
        <w:t xml:space="preserve"> بل يبقى ملتزماً بالكفالة</w:t>
      </w:r>
      <w:r>
        <w:rPr>
          <w:rFonts w:cs="Traditional Arabic" w:hint="cs"/>
          <w:sz w:val="28"/>
          <w:szCs w:val="32"/>
          <w:rtl/>
        </w:rPr>
        <w:t xml:space="preserve"> .</w:t>
      </w:r>
      <w:r w:rsidRPr="00EC737F">
        <w:rPr>
          <w:rFonts w:cs="Traditional Arabic" w:hint="cs"/>
          <w:sz w:val="28"/>
          <w:szCs w:val="32"/>
          <w:rtl/>
        </w:rPr>
        <w:t xml:space="preserve"> ذلك لأن للكفيل</w:t>
      </w:r>
      <w:r>
        <w:rPr>
          <w:rFonts w:cs="Traditional Arabic" w:hint="cs"/>
          <w:sz w:val="28"/>
          <w:szCs w:val="32"/>
          <w:rtl/>
        </w:rPr>
        <w:t xml:space="preserve"> ،</w:t>
      </w:r>
      <w:r w:rsidRPr="00EC737F">
        <w:rPr>
          <w:rFonts w:cs="Traditional Arabic" w:hint="cs"/>
          <w:sz w:val="28"/>
          <w:szCs w:val="32"/>
          <w:rtl/>
        </w:rPr>
        <w:t xml:space="preserve"> إذا هو وفى الدين للدائن عند حلول الأجل</w:t>
      </w:r>
      <w:r>
        <w:rPr>
          <w:rFonts w:cs="Traditional Arabic" w:hint="cs"/>
          <w:sz w:val="28"/>
          <w:szCs w:val="32"/>
          <w:rtl/>
        </w:rPr>
        <w:t xml:space="preserve"> ،</w:t>
      </w:r>
      <w:r w:rsidRPr="00EC737F">
        <w:rPr>
          <w:rFonts w:cs="Traditional Arabic" w:hint="cs"/>
          <w:sz w:val="28"/>
          <w:szCs w:val="32"/>
          <w:rtl/>
        </w:rPr>
        <w:t xml:space="preserve"> الرجوع على المدين</w:t>
      </w:r>
      <w:r>
        <w:rPr>
          <w:rFonts w:cs="Traditional Arabic" w:hint="cs"/>
          <w:sz w:val="28"/>
          <w:szCs w:val="32"/>
          <w:rtl/>
        </w:rPr>
        <w:t xml:space="preserve"> ،</w:t>
      </w:r>
      <w:r w:rsidRPr="00EC737F">
        <w:rPr>
          <w:rFonts w:cs="Traditional Arabic" w:hint="cs"/>
          <w:sz w:val="28"/>
          <w:szCs w:val="32"/>
          <w:rtl/>
        </w:rPr>
        <w:t xml:space="preserve"> حتى لو مد الدائن الأجل للمدين دون رضاء الكفيل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كانت الفقرة الأولى من المادة 785 مدني سالفة الذكر تتضمن في آخرها العبارة الآتية</w:t>
      </w:r>
      <w:r>
        <w:rPr>
          <w:rFonts w:cs="Traditional Arabic" w:hint="cs"/>
          <w:sz w:val="28"/>
          <w:szCs w:val="32"/>
          <w:rtl/>
        </w:rPr>
        <w:t xml:space="preserve"> :</w:t>
      </w:r>
      <w:r w:rsidRPr="00EC737F">
        <w:rPr>
          <w:rFonts w:cs="Traditional Arabic" w:hint="cs"/>
          <w:sz w:val="28"/>
          <w:szCs w:val="32"/>
          <w:rtl/>
        </w:rPr>
        <w:t xml:space="preserve"> "إلا إذا ترتب على خطأه </w:t>
      </w:r>
      <w:r>
        <w:rPr>
          <w:rFonts w:cs="Traditional Arabic" w:hint="cs"/>
          <w:sz w:val="28"/>
          <w:szCs w:val="32"/>
          <w:rtl/>
        </w:rPr>
        <w:t xml:space="preserve">( </w:t>
      </w:r>
      <w:r w:rsidRPr="00EC737F">
        <w:rPr>
          <w:rFonts w:cs="Traditional Arabic" w:hint="cs"/>
          <w:sz w:val="28"/>
          <w:szCs w:val="32"/>
          <w:rtl/>
        </w:rPr>
        <w:t>خطأ الدائن</w:t>
      </w:r>
      <w:r>
        <w:rPr>
          <w:rFonts w:cs="Traditional Arabic" w:hint="cs"/>
          <w:sz w:val="28"/>
          <w:szCs w:val="32"/>
          <w:rtl/>
        </w:rPr>
        <w:t xml:space="preserve"> )</w:t>
      </w:r>
      <w:r w:rsidRPr="00EC737F">
        <w:rPr>
          <w:rFonts w:cs="Traditional Arabic" w:hint="cs"/>
          <w:sz w:val="28"/>
          <w:szCs w:val="32"/>
          <w:rtl/>
        </w:rPr>
        <w:t xml:space="preserve"> ضرر للكفيل</w:t>
      </w:r>
      <w:r>
        <w:rPr>
          <w:rFonts w:cs="Traditional Arabic" w:hint="cs"/>
          <w:sz w:val="28"/>
          <w:szCs w:val="32"/>
          <w:rtl/>
        </w:rPr>
        <w:t xml:space="preserve"> ،</w:t>
      </w:r>
      <w:r w:rsidRPr="00EC737F">
        <w:rPr>
          <w:rFonts w:cs="Traditional Arabic" w:hint="cs"/>
          <w:sz w:val="28"/>
          <w:szCs w:val="32"/>
          <w:rtl/>
        </w:rPr>
        <w:t xml:space="preserve"> ويقدر هذا الضرر</w:t>
      </w:r>
      <w:r>
        <w:rPr>
          <w:rFonts w:cs="Traditional Arabic" w:hint="cs"/>
          <w:sz w:val="28"/>
          <w:szCs w:val="32"/>
          <w:rtl/>
        </w:rPr>
        <w:t xml:space="preserve"> : .</w:t>
      </w:r>
      <w:r w:rsidRPr="00EC737F">
        <w:rPr>
          <w:rFonts w:cs="Traditional Arabic" w:hint="cs"/>
          <w:sz w:val="28"/>
          <w:szCs w:val="32"/>
          <w:rtl/>
        </w:rPr>
        <w:t xml:space="preserve"> وقد طلب أحد الأعضاء حذف الفقرة الأولى</w:t>
      </w:r>
      <w:r>
        <w:rPr>
          <w:rFonts w:cs="Traditional Arabic" w:hint="cs"/>
          <w:sz w:val="28"/>
          <w:szCs w:val="32"/>
          <w:rtl/>
        </w:rPr>
        <w:t xml:space="preserve"> ،</w:t>
      </w:r>
      <w:r w:rsidRPr="00EC737F">
        <w:rPr>
          <w:rFonts w:cs="Traditional Arabic" w:hint="cs"/>
          <w:sz w:val="28"/>
          <w:szCs w:val="32"/>
          <w:rtl/>
        </w:rPr>
        <w:t xml:space="preserve"> لأنه سيترتب عليها إشكالا كثيرة في العمل</w:t>
      </w:r>
      <w:r>
        <w:rPr>
          <w:rFonts w:cs="Traditional Arabic" w:hint="cs"/>
          <w:sz w:val="28"/>
          <w:szCs w:val="32"/>
          <w:rtl/>
        </w:rPr>
        <w:t xml:space="preserve"> ،</w:t>
      </w:r>
      <w:r w:rsidRPr="00EC737F">
        <w:rPr>
          <w:rFonts w:cs="Traditional Arabic" w:hint="cs"/>
          <w:sz w:val="28"/>
          <w:szCs w:val="32"/>
          <w:rtl/>
        </w:rPr>
        <w:t xml:space="preserve"> "ويجب ترك تقديرها للقضاء لا ليس تشريعي"</w:t>
      </w:r>
      <w:r>
        <w:rPr>
          <w:rFonts w:cs="Traditional Arabic" w:hint="cs"/>
          <w:sz w:val="28"/>
          <w:szCs w:val="32"/>
          <w:rtl/>
        </w:rPr>
        <w:t xml:space="preserve"> .</w:t>
      </w:r>
      <w:r w:rsidRPr="00EC737F">
        <w:rPr>
          <w:rFonts w:cs="Traditional Arabic" w:hint="cs"/>
          <w:sz w:val="28"/>
          <w:szCs w:val="32"/>
          <w:rtl/>
        </w:rPr>
        <w:t xml:space="preserve"> فأجابت الحكومة "بأن هذا النص تقنين لما استقر عليه القضاء في مصر في هذا الموضوع</w:t>
      </w:r>
      <w:r>
        <w:rPr>
          <w:rFonts w:cs="Traditional Arabic" w:hint="cs"/>
          <w:sz w:val="28"/>
          <w:szCs w:val="32"/>
          <w:rtl/>
        </w:rPr>
        <w:t xml:space="preserve"> ،</w:t>
      </w:r>
      <w:r w:rsidRPr="00EC737F">
        <w:rPr>
          <w:rFonts w:cs="Traditional Arabic" w:hint="cs"/>
          <w:sz w:val="28"/>
          <w:szCs w:val="32"/>
          <w:rtl/>
        </w:rPr>
        <w:t xml:space="preserve"> بعد أن تردد كثيراً في أول الأمر في تقريره</w:t>
      </w:r>
      <w:r>
        <w:rPr>
          <w:rFonts w:cs="Traditional Arabic" w:hint="cs"/>
          <w:sz w:val="28"/>
          <w:szCs w:val="32"/>
          <w:rtl/>
        </w:rPr>
        <w:t xml:space="preserve"> ،</w:t>
      </w:r>
      <w:r w:rsidRPr="00EC737F">
        <w:rPr>
          <w:rFonts w:cs="Traditional Arabic" w:hint="cs"/>
          <w:sz w:val="28"/>
          <w:szCs w:val="32"/>
          <w:rtl/>
        </w:rPr>
        <w:t xml:space="preserve"> بسبب وجود خفاء فيما إذا كان التأخر في اتخاذ $252 إجراءات تحفظية أو تنفيذية</w:t>
      </w:r>
      <w:r>
        <w:rPr>
          <w:rFonts w:cs="Traditional Arabic" w:hint="cs"/>
          <w:sz w:val="28"/>
          <w:szCs w:val="32"/>
          <w:rtl/>
        </w:rPr>
        <w:t xml:space="preserve"> ،</w:t>
      </w:r>
      <w:r w:rsidRPr="00EC737F">
        <w:rPr>
          <w:rFonts w:cs="Traditional Arabic" w:hint="cs"/>
          <w:sz w:val="28"/>
          <w:szCs w:val="32"/>
          <w:rtl/>
        </w:rPr>
        <w:t xml:space="preserve"> يمكن أن يعتبر خطأ تطبيقاً لقواعد المسئولية التقصيرية"</w:t>
      </w:r>
      <w:r>
        <w:rPr>
          <w:rFonts w:cs="Traditional Arabic" w:hint="cs"/>
          <w:sz w:val="28"/>
          <w:szCs w:val="32"/>
          <w:rtl/>
        </w:rPr>
        <w:t xml:space="preserve"> .</w:t>
      </w:r>
      <w:r w:rsidRPr="00EC737F">
        <w:rPr>
          <w:rFonts w:cs="Traditional Arabic" w:hint="cs"/>
          <w:sz w:val="28"/>
          <w:szCs w:val="32"/>
          <w:rtl/>
        </w:rPr>
        <w:t xml:space="preserve"> ثم اتجه الرأي أخيراً في لجنة مجلس الشيوخ إلى استبقاء الفقرة</w:t>
      </w:r>
      <w:r>
        <w:rPr>
          <w:rFonts w:cs="Traditional Arabic" w:hint="cs"/>
          <w:sz w:val="28"/>
          <w:szCs w:val="32"/>
          <w:rtl/>
        </w:rPr>
        <w:t xml:space="preserve"> ،</w:t>
      </w:r>
      <w:r w:rsidRPr="00EC737F">
        <w:rPr>
          <w:rFonts w:cs="Traditional Arabic" w:hint="cs"/>
          <w:sz w:val="28"/>
          <w:szCs w:val="32"/>
          <w:rtl/>
        </w:rPr>
        <w:t xml:space="preserve"> مع حذف العبارة الأخيرة الواردة فيها وهي "إلا إذا ترتب على خطأه ضرر للكفيل</w:t>
      </w:r>
      <w:r>
        <w:rPr>
          <w:rFonts w:cs="Traditional Arabic" w:hint="cs"/>
          <w:sz w:val="28"/>
          <w:szCs w:val="32"/>
          <w:rtl/>
        </w:rPr>
        <w:t xml:space="preserve"> ،</w:t>
      </w:r>
      <w:r w:rsidRPr="00EC737F">
        <w:rPr>
          <w:rFonts w:cs="Traditional Arabic" w:hint="cs"/>
          <w:sz w:val="28"/>
          <w:szCs w:val="32"/>
          <w:rtl/>
        </w:rPr>
        <w:t xml:space="preserve"> ويقدر هذا الضرر"</w:t>
      </w:r>
      <w:r>
        <w:rPr>
          <w:rFonts w:cs="Traditional Arabic" w:hint="cs"/>
          <w:sz w:val="28"/>
          <w:szCs w:val="32"/>
          <w:rtl/>
        </w:rPr>
        <w:t xml:space="preserve"> .</w:t>
      </w:r>
      <w:r w:rsidRPr="00EC737F">
        <w:rPr>
          <w:rFonts w:cs="Traditional Arabic" w:hint="cs"/>
          <w:sz w:val="28"/>
          <w:szCs w:val="32"/>
          <w:rtl/>
        </w:rPr>
        <w:t xml:space="preserve"> وقد قررت أغلبية اللجنة حذف العبارة المذكورة</w:t>
      </w:r>
      <w:r>
        <w:rPr>
          <w:rFonts w:cs="Traditional Arabic" w:hint="cs"/>
          <w:sz w:val="28"/>
          <w:szCs w:val="32"/>
          <w:rtl/>
        </w:rPr>
        <w:t xml:space="preserve"> ،</w:t>
      </w:r>
      <w:r w:rsidRPr="00EC737F">
        <w:rPr>
          <w:rFonts w:cs="Traditional Arabic" w:hint="cs"/>
          <w:sz w:val="28"/>
          <w:szCs w:val="32"/>
          <w:rtl/>
        </w:rPr>
        <w:t xml:space="preserve"> لأن في القواعد العامة في المسئولية التقصيرية ما يغني عن المعنى الذي قصدته هذه العبارة إلى استظهاره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جاء في المذكرة الإيضاحية للمشروع التمهيدي في خصوص هذه الفقرة الأولى ما يأتي</w:t>
      </w:r>
      <w:r>
        <w:rPr>
          <w:rFonts w:cs="Traditional Arabic" w:hint="cs"/>
          <w:sz w:val="28"/>
          <w:szCs w:val="32"/>
          <w:rtl/>
        </w:rPr>
        <w:t xml:space="preserve"> :</w:t>
      </w:r>
      <w:r w:rsidRPr="00EC737F">
        <w:rPr>
          <w:rFonts w:cs="Traditional Arabic" w:hint="cs"/>
          <w:sz w:val="28"/>
          <w:szCs w:val="32"/>
          <w:rtl/>
        </w:rPr>
        <w:t xml:space="preserve"> "الفقرة الأولى اقتبسها المشروع من أحكام القضاء المصري</w:t>
      </w:r>
      <w:r>
        <w:rPr>
          <w:rFonts w:cs="Traditional Arabic" w:hint="cs"/>
          <w:sz w:val="28"/>
          <w:szCs w:val="32"/>
          <w:rtl/>
        </w:rPr>
        <w:t xml:space="preserve"> ،</w:t>
      </w:r>
      <w:r w:rsidRPr="00EC737F">
        <w:rPr>
          <w:rFonts w:cs="Traditional Arabic" w:hint="cs"/>
          <w:sz w:val="28"/>
          <w:szCs w:val="32"/>
          <w:rtl/>
        </w:rPr>
        <w:t xml:space="preserve"> وهي تقرر في جزئها الأول حكماً مجمعاً عليه</w:t>
      </w:r>
      <w:r>
        <w:rPr>
          <w:rFonts w:cs="Traditional Arabic" w:hint="cs"/>
          <w:sz w:val="28"/>
          <w:szCs w:val="32"/>
          <w:rtl/>
        </w:rPr>
        <w:t xml:space="preserve"> ،</w:t>
      </w:r>
      <w:r w:rsidRPr="00EC737F">
        <w:rPr>
          <w:rFonts w:cs="Traditional Arabic" w:hint="cs"/>
          <w:sz w:val="28"/>
          <w:szCs w:val="32"/>
          <w:rtl/>
        </w:rPr>
        <w:t xml:space="preserve"> وهو أن الكفيل  تبرأ ذمته لمجرد تأخر الدائن في اتخاذ الإجراءات</w:t>
      </w:r>
      <w:r>
        <w:rPr>
          <w:rFonts w:cs="Traditional Arabic" w:hint="cs"/>
          <w:sz w:val="28"/>
          <w:szCs w:val="32"/>
          <w:rtl/>
        </w:rPr>
        <w:t xml:space="preserve"> ،</w:t>
      </w:r>
      <w:r w:rsidRPr="00EC737F">
        <w:rPr>
          <w:rFonts w:cs="Traditional Arabic" w:hint="cs"/>
          <w:sz w:val="28"/>
          <w:szCs w:val="32"/>
          <w:rtl/>
        </w:rPr>
        <w:t xml:space="preserve"> أو لمجرد أنه لم يتخذها</w:t>
      </w:r>
      <w:r>
        <w:rPr>
          <w:rFonts w:cs="Traditional Arabic" w:hint="cs"/>
          <w:sz w:val="28"/>
          <w:szCs w:val="32"/>
          <w:rtl/>
        </w:rPr>
        <w:t xml:space="preserve"> .</w:t>
      </w:r>
      <w:r w:rsidRPr="00EC737F">
        <w:rPr>
          <w:rFonts w:cs="Traditional Arabic" w:hint="cs"/>
          <w:sz w:val="28"/>
          <w:szCs w:val="32"/>
          <w:rtl/>
        </w:rPr>
        <w:t xml:space="preserve"> لأن للكفيل الحق في الرجوع على المدين بمجرد حلول الأجل</w:t>
      </w:r>
      <w:r>
        <w:rPr>
          <w:rFonts w:cs="Traditional Arabic" w:hint="cs"/>
          <w:sz w:val="28"/>
          <w:szCs w:val="32"/>
          <w:rtl/>
        </w:rPr>
        <w:t xml:space="preserve"> ،</w:t>
      </w:r>
      <w:r w:rsidRPr="00EC737F">
        <w:rPr>
          <w:rFonts w:cs="Traditional Arabic" w:hint="cs"/>
          <w:sz w:val="28"/>
          <w:szCs w:val="32"/>
          <w:rtl/>
        </w:rPr>
        <w:t xml:space="preserve"> حتى لو مد الدائن الأجل له</w:t>
      </w:r>
      <w:r>
        <w:rPr>
          <w:rFonts w:cs="Traditional Arabic" w:hint="cs"/>
          <w:sz w:val="28"/>
          <w:szCs w:val="32"/>
          <w:rtl/>
        </w:rPr>
        <w:t xml:space="preserve"> .</w:t>
      </w:r>
      <w:r w:rsidRPr="00EC737F">
        <w:rPr>
          <w:rFonts w:cs="Traditional Arabic" w:hint="cs"/>
          <w:sz w:val="28"/>
          <w:szCs w:val="32"/>
          <w:rtl/>
        </w:rPr>
        <w:t xml:space="preserve"> على أنه قد تصدر من الدائن </w:t>
      </w:r>
      <w:r w:rsidRPr="00EC737F">
        <w:rPr>
          <w:rFonts w:cs="Traditional Arabic" w:hint="cs"/>
          <w:sz w:val="28"/>
          <w:szCs w:val="32"/>
          <w:rtl/>
        </w:rPr>
        <w:lastRenderedPageBreak/>
        <w:t>أعمال إيجابية كتنازله عن حجز تنفيذي أو تحفظي أو حجز ما لمدينه لدى الغير أو إجراءات التنفيذ العقاري أو وضع أموال المدين تحت الحراسة أو إيداع المبالغ الناتجة من بيع المنقولات في خزينة المحكمة</w:t>
      </w:r>
      <w:r>
        <w:rPr>
          <w:rFonts w:cs="Traditional Arabic" w:hint="cs"/>
          <w:sz w:val="28"/>
          <w:szCs w:val="32"/>
          <w:rtl/>
        </w:rPr>
        <w:t xml:space="preserve"> ،</w:t>
      </w:r>
      <w:r w:rsidRPr="00EC737F">
        <w:rPr>
          <w:rFonts w:cs="Traditional Arabic" w:hint="cs"/>
          <w:sz w:val="28"/>
          <w:szCs w:val="32"/>
          <w:rtl/>
        </w:rPr>
        <w:t xml:space="preserve"> أو أعمال سلبية كعدم قيامه باتخاذ إجراءات تنفيذي أو تحفظي لا يستطيع الكفيل القيام به لجهله إياه أو لعدم وجود المستندات اللازمة لإجرائه وكذلك التقدم في التوزيع أو سقوط الحق بسبب التأخر  أو الإهمال في القيام بإجراء معين أو إبراز مستند ما</w:t>
      </w:r>
      <w:r>
        <w:rPr>
          <w:rFonts w:cs="Traditional Arabic" w:hint="cs"/>
          <w:sz w:val="28"/>
          <w:szCs w:val="32"/>
          <w:rtl/>
        </w:rPr>
        <w:t xml:space="preserve"> ،</w:t>
      </w:r>
      <w:r w:rsidRPr="00EC737F">
        <w:rPr>
          <w:rFonts w:cs="Traditional Arabic" w:hint="cs"/>
          <w:sz w:val="28"/>
          <w:szCs w:val="32"/>
          <w:rtl/>
        </w:rPr>
        <w:t xml:space="preserve"> لا يترتب عليها ضياع التأمينات</w:t>
      </w:r>
      <w:r>
        <w:rPr>
          <w:rFonts w:cs="Traditional Arabic" w:hint="cs"/>
          <w:sz w:val="28"/>
          <w:szCs w:val="32"/>
          <w:rtl/>
        </w:rPr>
        <w:t xml:space="preserve"> .</w:t>
      </w:r>
      <w:r w:rsidRPr="00EC737F">
        <w:rPr>
          <w:rFonts w:cs="Traditional Arabic" w:hint="cs"/>
          <w:sz w:val="28"/>
          <w:szCs w:val="32"/>
          <w:rtl/>
        </w:rPr>
        <w:t xml:space="preserve"> ولكنها مع ذلك يؤثر في حق الكفيل فتضيعه أو تنتقص منه</w:t>
      </w:r>
      <w:r>
        <w:rPr>
          <w:rFonts w:cs="Traditional Arabic" w:hint="cs"/>
          <w:sz w:val="28"/>
          <w:szCs w:val="32"/>
          <w:rtl/>
        </w:rPr>
        <w:t xml:space="preserve"> .</w:t>
      </w:r>
      <w:r w:rsidRPr="00EC737F">
        <w:rPr>
          <w:rFonts w:cs="Traditional Arabic" w:hint="cs"/>
          <w:sz w:val="28"/>
          <w:szCs w:val="32"/>
          <w:rtl/>
        </w:rPr>
        <w:t xml:space="preserve"> كل هذه الأعمال يجب أن يسأل عنها الدائن طبقاً لقواعد المسئولية</w:t>
      </w:r>
      <w:r>
        <w:rPr>
          <w:rFonts w:cs="Traditional Arabic" w:hint="cs"/>
          <w:sz w:val="28"/>
          <w:szCs w:val="32"/>
          <w:rtl/>
        </w:rPr>
        <w:t xml:space="preserve"> ،</w:t>
      </w:r>
      <w:r w:rsidRPr="00EC737F">
        <w:rPr>
          <w:rFonts w:cs="Traditional Arabic" w:hint="cs"/>
          <w:sz w:val="28"/>
          <w:szCs w:val="32"/>
          <w:rtl/>
        </w:rPr>
        <w:t xml:space="preserve"> ما دام قد ترتب عليها ضرر للكفيل</w:t>
      </w:r>
      <w:r>
        <w:rPr>
          <w:rFonts w:cs="Traditional Arabic" w:hint="cs"/>
          <w:sz w:val="28"/>
          <w:szCs w:val="32"/>
          <w:rtl/>
        </w:rPr>
        <w:t xml:space="preserve"> .</w:t>
      </w:r>
      <w:r w:rsidRPr="00EC737F">
        <w:rPr>
          <w:rFonts w:cs="Traditional Arabic" w:hint="cs"/>
          <w:sz w:val="28"/>
          <w:szCs w:val="32"/>
          <w:rtl/>
        </w:rPr>
        <w:t xml:space="preserve"> والتقنين الحالي </w:t>
      </w:r>
      <w:r>
        <w:rPr>
          <w:rFonts w:cs="Traditional Arabic" w:hint="cs"/>
          <w:sz w:val="28"/>
          <w:szCs w:val="32"/>
          <w:rtl/>
        </w:rPr>
        <w:t xml:space="preserve">( </w:t>
      </w:r>
      <w:r w:rsidRPr="00EC737F">
        <w:rPr>
          <w:rFonts w:cs="Traditional Arabic" w:hint="cs"/>
          <w:sz w:val="28"/>
          <w:szCs w:val="32"/>
          <w:rtl/>
        </w:rPr>
        <w:t>السابق</w:t>
      </w:r>
      <w:r>
        <w:rPr>
          <w:rFonts w:cs="Traditional Arabic" w:hint="cs"/>
          <w:sz w:val="28"/>
          <w:szCs w:val="32"/>
          <w:rtl/>
        </w:rPr>
        <w:t xml:space="preserve"> )</w:t>
      </w:r>
      <w:r w:rsidRPr="00EC737F">
        <w:rPr>
          <w:rFonts w:cs="Traditional Arabic" w:hint="cs"/>
          <w:sz w:val="28"/>
          <w:szCs w:val="32"/>
          <w:rtl/>
        </w:rPr>
        <w:t xml:space="preserve"> لم يتعرض لذلك</w:t>
      </w:r>
      <w:r>
        <w:rPr>
          <w:rFonts w:cs="Traditional Arabic" w:hint="cs"/>
          <w:sz w:val="28"/>
          <w:szCs w:val="32"/>
          <w:rtl/>
        </w:rPr>
        <w:t xml:space="preserve"> ،</w:t>
      </w:r>
      <w:r w:rsidRPr="00EC737F">
        <w:rPr>
          <w:rFonts w:cs="Traditional Arabic" w:hint="cs"/>
          <w:sz w:val="28"/>
          <w:szCs w:val="32"/>
          <w:rtl/>
        </w:rPr>
        <w:t xml:space="preserve"> ولكن بعض التقنينات الحديثة أوردت نصوصاً في هذا الصدد </w:t>
      </w:r>
      <w:r>
        <w:rPr>
          <w:rFonts w:cs="Traditional Arabic" w:hint="cs"/>
          <w:sz w:val="28"/>
          <w:szCs w:val="32"/>
          <w:rtl/>
        </w:rPr>
        <w:t xml:space="preserve">( </w:t>
      </w:r>
      <w:r w:rsidRPr="00EC737F">
        <w:rPr>
          <w:rFonts w:cs="Traditional Arabic" w:hint="cs"/>
          <w:sz w:val="28"/>
          <w:szCs w:val="32"/>
          <w:rtl/>
        </w:rPr>
        <w:t>انظر مثلا التقنين الألماني م 766</w:t>
      </w:r>
      <w:r>
        <w:rPr>
          <w:rFonts w:cs="Traditional Arabic" w:hint="cs"/>
          <w:sz w:val="28"/>
          <w:szCs w:val="32"/>
          <w:rtl/>
        </w:rPr>
        <w:t xml:space="preserve"> ) .</w:t>
      </w:r>
      <w:r w:rsidRPr="00EC737F">
        <w:rPr>
          <w:rFonts w:cs="Traditional Arabic" w:hint="cs"/>
          <w:sz w:val="28"/>
          <w:szCs w:val="32"/>
          <w:rtl/>
        </w:rPr>
        <w:t xml:space="preserve"> والمشروع</w:t>
      </w:r>
      <w:r>
        <w:rPr>
          <w:rFonts w:cs="Traditional Arabic" w:hint="cs"/>
          <w:sz w:val="28"/>
          <w:szCs w:val="32"/>
          <w:rtl/>
        </w:rPr>
        <w:t xml:space="preserve"> ،</w:t>
      </w:r>
      <w:r w:rsidRPr="00EC737F">
        <w:rPr>
          <w:rFonts w:cs="Traditional Arabic" w:hint="cs"/>
          <w:sz w:val="28"/>
          <w:szCs w:val="32"/>
          <w:rtl/>
        </w:rPr>
        <w:t xml:space="preserve"> قياساً على هذه التقنينات</w:t>
      </w:r>
      <w:r>
        <w:rPr>
          <w:rFonts w:cs="Traditional Arabic" w:hint="cs"/>
          <w:sz w:val="28"/>
          <w:szCs w:val="32"/>
          <w:rtl/>
        </w:rPr>
        <w:t xml:space="preserve"> ،</w:t>
      </w:r>
      <w:r w:rsidRPr="00EC737F">
        <w:rPr>
          <w:rFonts w:cs="Traditional Arabic" w:hint="cs"/>
          <w:sz w:val="28"/>
          <w:szCs w:val="32"/>
          <w:rtl/>
        </w:rPr>
        <w:t xml:space="preserve"> أورد هذه الفقرة مقتبساً $253 حكمها من القضاء المصري</w:t>
      </w:r>
      <w:r>
        <w:rPr>
          <w:rFonts w:cs="Traditional Arabic" w:hint="cs"/>
          <w:sz w:val="28"/>
          <w:szCs w:val="32"/>
          <w:rtl/>
        </w:rPr>
        <w:t xml:space="preserve"> :</w:t>
      </w:r>
      <w:r w:rsidRPr="00EC737F">
        <w:rPr>
          <w:rFonts w:cs="Traditional Arabic" w:hint="cs"/>
          <w:sz w:val="28"/>
          <w:szCs w:val="32"/>
          <w:rtl/>
        </w:rPr>
        <w:t xml:space="preserve"> راجع استئناف مختلط 7 ديسمبر سنة </w:t>
      </w:r>
      <w:smartTag w:uri="urn:schemas-microsoft-com:office:smarttags" w:element="metricconverter">
        <w:smartTagPr>
          <w:attr w:name="ProductID" w:val="1915 م"/>
        </w:smartTagPr>
        <w:r w:rsidRPr="00EC737F">
          <w:rPr>
            <w:rFonts w:cs="Traditional Arabic" w:hint="cs"/>
            <w:sz w:val="28"/>
            <w:szCs w:val="32"/>
            <w:rtl/>
          </w:rPr>
          <w:t>1915 م</w:t>
        </w:r>
      </w:smartTag>
      <w:r w:rsidRPr="00EC737F">
        <w:rPr>
          <w:rFonts w:cs="Traditional Arabic" w:hint="cs"/>
          <w:sz w:val="28"/>
          <w:szCs w:val="32"/>
          <w:rtl/>
        </w:rPr>
        <w:t xml:space="preserve"> 28 ص 46"</w:t>
      </w:r>
      <w:r>
        <w:rPr>
          <w:rFonts w:cs="Traditional Arabic" w:hint="cs"/>
          <w:sz w:val="28"/>
          <w:szCs w:val="32"/>
          <w:vertAlign w:val="superscript"/>
          <w:rtl/>
        </w:rPr>
        <w:t xml:space="preserve">( </w:t>
      </w:r>
      <w:r w:rsidRPr="00EC737F">
        <w:rPr>
          <w:rStyle w:val="ab"/>
          <w:rFonts w:cs="Traditional Arabic"/>
          <w:sz w:val="28"/>
          <w:szCs w:val="32"/>
          <w:rtl/>
        </w:rPr>
        <w:footnoteReference w:id="58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108- وجوب إنذار الكفيل للدائن</w:t>
      </w:r>
      <w:r>
        <w:rPr>
          <w:rFonts w:cs="Traditional Arabic" w:hint="cs"/>
          <w:sz w:val="28"/>
          <w:szCs w:val="32"/>
          <w:rtl/>
        </w:rPr>
        <w:t xml:space="preserve"> :</w:t>
      </w:r>
      <w:r w:rsidRPr="00EC737F">
        <w:rPr>
          <w:rFonts w:cs="Traditional Arabic" w:hint="cs"/>
          <w:sz w:val="28"/>
          <w:szCs w:val="32"/>
          <w:rtl/>
        </w:rPr>
        <w:t xml:space="preserve"> ولكن الكفيل</w:t>
      </w:r>
      <w:r>
        <w:rPr>
          <w:rFonts w:cs="Traditional Arabic" w:hint="cs"/>
          <w:sz w:val="28"/>
          <w:szCs w:val="32"/>
          <w:rtl/>
        </w:rPr>
        <w:t xml:space="preserve"> ،</w:t>
      </w:r>
      <w:r w:rsidRPr="00EC737F">
        <w:rPr>
          <w:rFonts w:cs="Traditional Arabic" w:hint="cs"/>
          <w:sz w:val="28"/>
          <w:szCs w:val="32"/>
          <w:rtl/>
        </w:rPr>
        <w:t xml:space="preserve"> إذا أراد اتخاذ الاحتياطات اللازمة</w:t>
      </w:r>
      <w:r>
        <w:rPr>
          <w:rFonts w:cs="Traditional Arabic" w:hint="cs"/>
          <w:sz w:val="28"/>
          <w:szCs w:val="32"/>
          <w:rtl/>
        </w:rPr>
        <w:t xml:space="preserve"> ،</w:t>
      </w:r>
      <w:r w:rsidRPr="00EC737F">
        <w:rPr>
          <w:rFonts w:cs="Traditional Arabic" w:hint="cs"/>
          <w:sz w:val="28"/>
          <w:szCs w:val="32"/>
          <w:rtl/>
        </w:rPr>
        <w:t xml:space="preserve"> وجب عليه أن ينذر الدائن ليتخذ هذا الإجراءات الواجبة قانوناً عند حلول الدين ضد المدين</w:t>
      </w:r>
      <w:r>
        <w:rPr>
          <w:rFonts w:cs="Traditional Arabic" w:hint="cs"/>
          <w:sz w:val="28"/>
          <w:szCs w:val="32"/>
          <w:rtl/>
        </w:rPr>
        <w:t xml:space="preserve"> ،</w:t>
      </w:r>
      <w:r w:rsidRPr="00EC737F">
        <w:rPr>
          <w:rFonts w:cs="Traditional Arabic" w:hint="cs"/>
          <w:sz w:val="28"/>
          <w:szCs w:val="32"/>
          <w:rtl/>
        </w:rPr>
        <w:t xml:space="preserve"> وذلك طبقاً لما تقضي به الفقرة الثانية من المادة 785 مدني سالف الذكر</w:t>
      </w:r>
      <w:r>
        <w:rPr>
          <w:rFonts w:cs="Traditional Arabic" w:hint="cs"/>
          <w:sz w:val="28"/>
          <w:szCs w:val="32"/>
          <w:rtl/>
        </w:rPr>
        <w:t xml:space="preserve"> .</w:t>
      </w:r>
      <w:r w:rsidRPr="00EC737F">
        <w:rPr>
          <w:rFonts w:cs="Traditional Arabic" w:hint="cs"/>
          <w:sz w:val="28"/>
          <w:szCs w:val="32"/>
          <w:rtl/>
        </w:rPr>
        <w:t xml:space="preserve"> وهذه الفقرة استمدها المشرع من المادة 739 من المشروع الفرنسي الإيطالي</w:t>
      </w:r>
      <w:r>
        <w:rPr>
          <w:rFonts w:cs="Traditional Arabic" w:hint="cs"/>
          <w:sz w:val="28"/>
          <w:szCs w:val="32"/>
          <w:rtl/>
        </w:rPr>
        <w:t xml:space="preserve"> ،</w:t>
      </w:r>
      <w:r w:rsidRPr="00EC737F">
        <w:rPr>
          <w:rFonts w:cs="Traditional Arabic" w:hint="cs"/>
          <w:sz w:val="28"/>
          <w:szCs w:val="32"/>
          <w:rtl/>
        </w:rPr>
        <w:t xml:space="preserve"> ومن المادة 502 من تقنين الالتزامات السويسري</w:t>
      </w:r>
      <w:r>
        <w:rPr>
          <w:rFonts w:cs="Traditional Arabic" w:hint="cs"/>
          <w:sz w:val="28"/>
          <w:szCs w:val="32"/>
          <w:rtl/>
        </w:rPr>
        <w:t xml:space="preserve"> ،</w:t>
      </w:r>
      <w:r w:rsidRPr="00EC737F">
        <w:rPr>
          <w:rFonts w:cs="Traditional Arabic" w:hint="cs"/>
          <w:sz w:val="28"/>
          <w:szCs w:val="32"/>
          <w:rtl/>
        </w:rPr>
        <w:t xml:space="preserve"> ومن المادة637 من تقنين الالتزامات البولوني</w:t>
      </w:r>
      <w:r>
        <w:rPr>
          <w:rFonts w:cs="Traditional Arabic" w:hint="cs"/>
          <w:sz w:val="28"/>
          <w:szCs w:val="32"/>
          <w:vertAlign w:val="superscript"/>
          <w:rtl/>
        </w:rPr>
        <w:t xml:space="preserve">( </w:t>
      </w:r>
      <w:r w:rsidRPr="00EC737F">
        <w:rPr>
          <w:rStyle w:val="ab"/>
          <w:rFonts w:cs="Traditional Arabic"/>
          <w:sz w:val="28"/>
          <w:szCs w:val="32"/>
          <w:rtl/>
        </w:rPr>
        <w:footnoteReference w:id="58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ولا يتخذ الكفيل هذا الاحتياط إلا عند حلول أجل الدين المكفول</w:t>
      </w:r>
      <w:r>
        <w:rPr>
          <w:rFonts w:cs="Traditional Arabic" w:hint="cs"/>
          <w:sz w:val="28"/>
          <w:szCs w:val="32"/>
          <w:rtl/>
        </w:rPr>
        <w:t xml:space="preserve"> ،</w:t>
      </w:r>
      <w:r w:rsidRPr="00EC737F">
        <w:rPr>
          <w:rFonts w:cs="Traditional Arabic" w:hint="cs"/>
          <w:sz w:val="28"/>
          <w:szCs w:val="32"/>
          <w:rtl/>
        </w:rPr>
        <w:t xml:space="preserve"> أو في أي وقت بعد حلول هذا الأجل</w:t>
      </w:r>
      <w:r>
        <w:rPr>
          <w:rFonts w:cs="Traditional Arabic" w:hint="cs"/>
          <w:sz w:val="28"/>
          <w:szCs w:val="32"/>
          <w:rtl/>
        </w:rPr>
        <w:t xml:space="preserve"> .</w:t>
      </w:r>
      <w:r w:rsidRPr="00EC737F">
        <w:rPr>
          <w:rFonts w:cs="Traditional Arabic" w:hint="cs"/>
          <w:sz w:val="28"/>
          <w:szCs w:val="32"/>
          <w:rtl/>
        </w:rPr>
        <w:t xml:space="preserve"> ذلك لأن الإنذار يتضمن تنبيه الدائن إلى وجوب اتخاذ الإجراءات الواجبة قانوناً</w:t>
      </w:r>
      <w:r>
        <w:rPr>
          <w:rFonts w:cs="Traditional Arabic" w:hint="cs"/>
          <w:sz w:val="28"/>
          <w:szCs w:val="32"/>
          <w:rtl/>
        </w:rPr>
        <w:t xml:space="preserve"> ،</w:t>
      </w:r>
      <w:r w:rsidRPr="00EC737F">
        <w:rPr>
          <w:rFonts w:cs="Traditional Arabic" w:hint="cs"/>
          <w:sz w:val="28"/>
          <w:szCs w:val="32"/>
          <w:rtl/>
        </w:rPr>
        <w:t xml:space="preserve"> ولا يمكن اتخاذ هذه الإجراءات إلا عند حلول أجل الدين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والعبرة بحلول الأجل الأصلي للدين المكفول</w:t>
      </w:r>
      <w:r>
        <w:rPr>
          <w:rFonts w:cs="Traditional Arabic" w:hint="cs"/>
          <w:sz w:val="28"/>
          <w:szCs w:val="32"/>
          <w:rtl/>
        </w:rPr>
        <w:t xml:space="preserve"> .</w:t>
      </w:r>
      <w:r w:rsidRPr="00EC737F">
        <w:rPr>
          <w:rFonts w:cs="Traditional Arabic" w:hint="cs"/>
          <w:sz w:val="28"/>
          <w:szCs w:val="32"/>
          <w:rtl/>
        </w:rPr>
        <w:t xml:space="preserve"> فإذا حل هذا الأجل</w:t>
      </w:r>
      <w:r>
        <w:rPr>
          <w:rFonts w:cs="Traditional Arabic" w:hint="cs"/>
          <w:sz w:val="28"/>
          <w:szCs w:val="32"/>
          <w:rtl/>
        </w:rPr>
        <w:t xml:space="preserve"> ،</w:t>
      </w:r>
      <w:r w:rsidRPr="00EC737F">
        <w:rPr>
          <w:rFonts w:cs="Traditional Arabic" w:hint="cs"/>
          <w:sz w:val="28"/>
          <w:szCs w:val="32"/>
          <w:rtl/>
        </w:rPr>
        <w:t xml:space="preserve"> $254 جاز للكفيل إنذار الدائن</w:t>
      </w:r>
      <w:r>
        <w:rPr>
          <w:rFonts w:cs="Traditional Arabic" w:hint="cs"/>
          <w:sz w:val="28"/>
          <w:szCs w:val="32"/>
          <w:rtl/>
        </w:rPr>
        <w:t xml:space="preserve"> ،</w:t>
      </w:r>
      <w:r w:rsidRPr="00EC737F">
        <w:rPr>
          <w:rFonts w:cs="Traditional Arabic" w:hint="cs"/>
          <w:sz w:val="28"/>
          <w:szCs w:val="32"/>
          <w:rtl/>
        </w:rPr>
        <w:t xml:space="preserve"> حتى لو أن الدائن مد للمدين في الأجل المحدد أصلا</w:t>
      </w:r>
      <w:r>
        <w:rPr>
          <w:rFonts w:cs="Traditional Arabic" w:hint="cs"/>
          <w:sz w:val="28"/>
          <w:szCs w:val="32"/>
          <w:rtl/>
        </w:rPr>
        <w:t xml:space="preserve"> .</w:t>
      </w:r>
      <w:r w:rsidRPr="00EC737F">
        <w:rPr>
          <w:rFonts w:cs="Traditional Arabic" w:hint="cs"/>
          <w:sz w:val="28"/>
          <w:szCs w:val="32"/>
          <w:rtl/>
        </w:rPr>
        <w:t xml:space="preserve"> فالكفيل لا يلتزم باحترام هذا المد إلا إذا كان قد ارتضاه</w:t>
      </w:r>
      <w:r>
        <w:rPr>
          <w:rFonts w:cs="Traditional Arabic" w:hint="cs"/>
          <w:sz w:val="28"/>
          <w:szCs w:val="32"/>
          <w:rtl/>
        </w:rPr>
        <w:t xml:space="preserve"> ،</w:t>
      </w:r>
      <w:r w:rsidRPr="00EC737F">
        <w:rPr>
          <w:rFonts w:cs="Traditional Arabic" w:hint="cs"/>
          <w:sz w:val="28"/>
          <w:szCs w:val="32"/>
          <w:rtl/>
        </w:rPr>
        <w:t xml:space="preserve"> فإذا لم يرتضه جاز له أن يتدرج الدائن عند حلول الأجل الأصلي بأن يتخذ الإجراءات الواجبة قانوناً نحو مطالبة المدين بالمدين</w:t>
      </w:r>
      <w:r>
        <w:rPr>
          <w:rFonts w:cs="Traditional Arabic" w:hint="cs"/>
          <w:sz w:val="28"/>
          <w:szCs w:val="32"/>
          <w:vertAlign w:val="superscript"/>
          <w:rtl/>
        </w:rPr>
        <w:t xml:space="preserve">( </w:t>
      </w:r>
      <w:r w:rsidRPr="00EC737F">
        <w:rPr>
          <w:rStyle w:val="ab"/>
          <w:rFonts w:cs="Traditional Arabic"/>
          <w:sz w:val="28"/>
          <w:szCs w:val="32"/>
          <w:rtl/>
        </w:rPr>
        <w:footnoteReference w:id="58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والمدة التي تسبق هذا الإنذار لا يعتد بها</w:t>
      </w:r>
      <w:r>
        <w:rPr>
          <w:rFonts w:cs="Traditional Arabic" w:hint="cs"/>
          <w:sz w:val="28"/>
          <w:szCs w:val="32"/>
          <w:rtl/>
        </w:rPr>
        <w:t xml:space="preserve"> ،</w:t>
      </w:r>
      <w:r w:rsidRPr="00EC737F">
        <w:rPr>
          <w:rFonts w:cs="Traditional Arabic" w:hint="cs"/>
          <w:sz w:val="28"/>
          <w:szCs w:val="32"/>
          <w:rtl/>
        </w:rPr>
        <w:t xml:space="preserve"> فما دام الكفيل لم ينذر الكفيل باتخاذ الإجراءات الواجبة قانوناً فليس على الدائن اتخاذ هذه الإجراءات</w:t>
      </w:r>
      <w:r>
        <w:rPr>
          <w:rFonts w:cs="Traditional Arabic" w:hint="cs"/>
          <w:sz w:val="28"/>
          <w:szCs w:val="32"/>
          <w:rtl/>
        </w:rPr>
        <w:t xml:space="preserve"> ،</w:t>
      </w:r>
      <w:r w:rsidRPr="00EC737F">
        <w:rPr>
          <w:rFonts w:cs="Traditional Arabic" w:hint="cs"/>
          <w:sz w:val="28"/>
          <w:szCs w:val="32"/>
          <w:rtl/>
        </w:rPr>
        <w:t xml:space="preserve"> مع مراعاة ألا يسقط حق الدائن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109- ما الذي يترتب على إنذار الكفيل للدائن</w:t>
      </w:r>
      <w:r>
        <w:rPr>
          <w:rFonts w:cs="Traditional Arabic" w:hint="cs"/>
          <w:sz w:val="28"/>
          <w:szCs w:val="32"/>
          <w:rtl/>
        </w:rPr>
        <w:t xml:space="preserve"> :</w:t>
      </w:r>
      <w:r w:rsidRPr="00EC737F">
        <w:rPr>
          <w:rFonts w:cs="Traditional Arabic" w:hint="cs"/>
          <w:sz w:val="28"/>
          <w:szCs w:val="32"/>
          <w:rtl/>
        </w:rPr>
        <w:t xml:space="preserve"> تقول الفقرة الثانية من المادة 785 مدني ما يأتي</w:t>
      </w:r>
      <w:r>
        <w:rPr>
          <w:rFonts w:cs="Traditional Arabic" w:hint="cs"/>
          <w:sz w:val="28"/>
          <w:szCs w:val="32"/>
          <w:rtl/>
        </w:rPr>
        <w:t xml:space="preserve"> :</w:t>
      </w:r>
      <w:r w:rsidRPr="00EC737F">
        <w:rPr>
          <w:rFonts w:cs="Traditional Arabic" w:hint="cs"/>
          <w:sz w:val="28"/>
          <w:szCs w:val="32"/>
          <w:rtl/>
        </w:rPr>
        <w:t xml:space="preserve"> "على أن ذمة الكفيل تبرأ إذا لم يقم الدائن باتخاذ الإجراءات ضد المدين خلال ستة أشهر من إنذار الكفيل للدائن</w:t>
      </w:r>
      <w:r>
        <w:rPr>
          <w:rFonts w:cs="Traditional Arabic" w:hint="cs"/>
          <w:sz w:val="28"/>
          <w:szCs w:val="32"/>
          <w:rtl/>
        </w:rPr>
        <w:t xml:space="preserve"> ،</w:t>
      </w:r>
      <w:r w:rsidRPr="00EC737F">
        <w:rPr>
          <w:rFonts w:cs="Traditional Arabic" w:hint="cs"/>
          <w:sz w:val="28"/>
          <w:szCs w:val="32"/>
          <w:rtl/>
        </w:rPr>
        <w:t xml:space="preserve"> ما لم يقدم المدين للكيل ضماناً كافياً"</w:t>
      </w:r>
      <w:r>
        <w:rPr>
          <w:rFonts w:cs="Traditional Arabic" w:hint="cs"/>
          <w:sz w:val="28"/>
          <w:szCs w:val="32"/>
          <w:rtl/>
        </w:rPr>
        <w:t xml:space="preserve"> .</w:t>
      </w:r>
      <w:r w:rsidRPr="00EC737F">
        <w:rPr>
          <w:rFonts w:cs="Traditional Arabic" w:hint="cs"/>
          <w:sz w:val="28"/>
          <w:szCs w:val="32"/>
          <w:rtl/>
        </w:rPr>
        <w:t xml:space="preserve"> يجب إذن</w:t>
      </w:r>
      <w:r>
        <w:rPr>
          <w:rFonts w:cs="Traditional Arabic" w:hint="cs"/>
          <w:sz w:val="28"/>
          <w:szCs w:val="32"/>
          <w:rtl/>
        </w:rPr>
        <w:t xml:space="preserve"> ،</w:t>
      </w:r>
      <w:r w:rsidRPr="00EC737F">
        <w:rPr>
          <w:rFonts w:cs="Traditional Arabic" w:hint="cs"/>
          <w:sz w:val="28"/>
          <w:szCs w:val="32"/>
          <w:rtl/>
        </w:rPr>
        <w:t xml:space="preserve"> إذا أنذر الكفيل الدائن</w:t>
      </w:r>
      <w:r>
        <w:rPr>
          <w:rFonts w:cs="Traditional Arabic" w:hint="cs"/>
          <w:sz w:val="28"/>
          <w:szCs w:val="32"/>
          <w:rtl/>
        </w:rPr>
        <w:t xml:space="preserve"> ،</w:t>
      </w:r>
      <w:r w:rsidRPr="00EC737F">
        <w:rPr>
          <w:rFonts w:cs="Traditional Arabic" w:hint="cs"/>
          <w:sz w:val="28"/>
          <w:szCs w:val="32"/>
          <w:rtl/>
        </w:rPr>
        <w:t xml:space="preserve"> أن يتخذ الدائن الإجراءات الواجبة ضد المدين</w:t>
      </w:r>
      <w:r>
        <w:rPr>
          <w:rFonts w:cs="Traditional Arabic" w:hint="cs"/>
          <w:sz w:val="28"/>
          <w:szCs w:val="32"/>
          <w:rtl/>
        </w:rPr>
        <w:t xml:space="preserve"> ،</w:t>
      </w:r>
      <w:r w:rsidRPr="00EC737F">
        <w:rPr>
          <w:rFonts w:cs="Traditional Arabic" w:hint="cs"/>
          <w:sz w:val="28"/>
          <w:szCs w:val="32"/>
          <w:rtl/>
        </w:rPr>
        <w:t xml:space="preserve"> أو أن يقدم المدين للكفيل ضماناً كافياً في حالة ما إذا لم يتخذ الدائن الإجراءات الواجبة ضد المدين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اتخذ الدائن الإجراءات الواجبة قانوناً ضد المدين</w:t>
      </w:r>
      <w:r>
        <w:rPr>
          <w:rFonts w:cs="Traditional Arabic" w:hint="cs"/>
          <w:sz w:val="28"/>
          <w:szCs w:val="32"/>
          <w:rtl/>
        </w:rPr>
        <w:t xml:space="preserve"> ،</w:t>
      </w:r>
      <w:r w:rsidRPr="00EC737F">
        <w:rPr>
          <w:rFonts w:cs="Traditional Arabic" w:hint="cs"/>
          <w:sz w:val="28"/>
          <w:szCs w:val="32"/>
          <w:rtl/>
        </w:rPr>
        <w:t xml:space="preserve"> وسار في اتخاذها بالعناية اللازمة كان هذا </w:t>
      </w:r>
      <w:r w:rsidRPr="00EC737F">
        <w:rPr>
          <w:rFonts w:cs="Traditional Arabic" w:hint="cs"/>
          <w:sz w:val="28"/>
          <w:szCs w:val="32"/>
          <w:rtl/>
        </w:rPr>
        <w:lastRenderedPageBreak/>
        <w:t>كافياً</w:t>
      </w:r>
      <w:r>
        <w:rPr>
          <w:rFonts w:cs="Traditional Arabic" w:hint="cs"/>
          <w:sz w:val="28"/>
          <w:szCs w:val="32"/>
          <w:rtl/>
        </w:rPr>
        <w:t xml:space="preserve"> ،</w:t>
      </w:r>
      <w:r w:rsidRPr="00EC737F">
        <w:rPr>
          <w:rFonts w:cs="Traditional Arabic" w:hint="cs"/>
          <w:sz w:val="28"/>
          <w:szCs w:val="32"/>
          <w:rtl/>
        </w:rPr>
        <w:t xml:space="preserve"> ويكون ذلك بأن يرفع الدائن الدعوى للمدين يطالبه فيها بالدين</w:t>
      </w:r>
      <w:r>
        <w:rPr>
          <w:rFonts w:cs="Traditional Arabic" w:hint="cs"/>
          <w:sz w:val="28"/>
          <w:szCs w:val="32"/>
          <w:rtl/>
        </w:rPr>
        <w:t xml:space="preserve"> ،</w:t>
      </w:r>
      <w:r w:rsidRPr="00EC737F">
        <w:rPr>
          <w:rFonts w:cs="Traditional Arabic" w:hint="cs"/>
          <w:sz w:val="28"/>
          <w:szCs w:val="32"/>
          <w:rtl/>
        </w:rPr>
        <w:t xml:space="preserve"> إذا كان سند الدين عرفياً</w:t>
      </w:r>
      <w:r>
        <w:rPr>
          <w:rFonts w:cs="Traditional Arabic" w:hint="cs"/>
          <w:sz w:val="28"/>
          <w:szCs w:val="32"/>
          <w:rtl/>
        </w:rPr>
        <w:t xml:space="preserve"> .</w:t>
      </w:r>
      <w:r w:rsidRPr="00EC737F">
        <w:rPr>
          <w:rFonts w:cs="Traditional Arabic" w:hint="cs"/>
          <w:sz w:val="28"/>
          <w:szCs w:val="32"/>
          <w:rtl/>
        </w:rPr>
        <w:t xml:space="preserve"> أما إذا كان السند تنفيذياً حكماً كان أو ورقة رسمية</w:t>
      </w:r>
      <w:r>
        <w:rPr>
          <w:rFonts w:cs="Traditional Arabic" w:hint="cs"/>
          <w:sz w:val="28"/>
          <w:szCs w:val="32"/>
          <w:rtl/>
        </w:rPr>
        <w:t xml:space="preserve"> ،</w:t>
      </w:r>
      <w:r w:rsidRPr="00EC737F">
        <w:rPr>
          <w:rFonts w:cs="Traditional Arabic" w:hint="cs"/>
          <w:sz w:val="28"/>
          <w:szCs w:val="32"/>
          <w:rtl/>
        </w:rPr>
        <w:t xml:space="preserve"> فانه يجب على الدائن أن يباشر إجراءات التنفيذ على أموال المدين</w:t>
      </w:r>
      <w:r>
        <w:rPr>
          <w:rFonts w:cs="Traditional Arabic" w:hint="cs"/>
          <w:sz w:val="28"/>
          <w:szCs w:val="32"/>
          <w:vertAlign w:val="superscript"/>
          <w:rtl/>
        </w:rPr>
        <w:t xml:space="preserve">( </w:t>
      </w:r>
      <w:r w:rsidRPr="00EC737F">
        <w:rPr>
          <w:rStyle w:val="ab"/>
          <w:rFonts w:cs="Traditional Arabic"/>
          <w:sz w:val="28"/>
          <w:szCs w:val="32"/>
          <w:rtl/>
        </w:rPr>
        <w:footnoteReference w:id="58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لم يتخذ الدائن الإجراءات الواجبة قانوناً ضد المدين في خلال الستة الأشهر من وقت وصول إنذار الكفيل للدائن</w:t>
      </w:r>
      <w:r>
        <w:rPr>
          <w:rFonts w:cs="Traditional Arabic" w:hint="cs"/>
          <w:sz w:val="28"/>
          <w:szCs w:val="32"/>
          <w:rtl/>
        </w:rPr>
        <w:t xml:space="preserve"> ،</w:t>
      </w:r>
      <w:r w:rsidRPr="00EC737F">
        <w:rPr>
          <w:rFonts w:cs="Traditional Arabic" w:hint="cs"/>
          <w:sz w:val="28"/>
          <w:szCs w:val="32"/>
          <w:rtl/>
        </w:rPr>
        <w:t xml:space="preserve"> برئت ذمة الكفيل من الكفالة</w:t>
      </w:r>
      <w:r>
        <w:rPr>
          <w:rFonts w:cs="Traditional Arabic" w:hint="cs"/>
          <w:sz w:val="28"/>
          <w:szCs w:val="32"/>
          <w:rtl/>
        </w:rPr>
        <w:t xml:space="preserve"> ،</w:t>
      </w:r>
      <w:r w:rsidRPr="00EC737F">
        <w:rPr>
          <w:rFonts w:cs="Traditional Arabic" w:hint="cs"/>
          <w:sz w:val="28"/>
          <w:szCs w:val="32"/>
          <w:rtl/>
        </w:rPr>
        <w:t xml:space="preserve"> وبذلك ينقضي عقد الكفالة بطريق أصلي</w:t>
      </w:r>
      <w:r>
        <w:rPr>
          <w:rFonts w:cs="Traditional Arabic" w:hint="cs"/>
          <w:sz w:val="28"/>
          <w:szCs w:val="32"/>
          <w:rtl/>
        </w:rPr>
        <w:t xml:space="preserve"> ،</w:t>
      </w:r>
      <w:r w:rsidRPr="00EC737F">
        <w:rPr>
          <w:rFonts w:cs="Traditional Arabic" w:hint="cs"/>
          <w:sz w:val="28"/>
          <w:szCs w:val="32"/>
          <w:rtl/>
        </w:rPr>
        <w:t xml:space="preserve"> دون أن ينقضي الدين المكفول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$255 على أنه يجوز للمدين</w:t>
      </w:r>
      <w:r>
        <w:rPr>
          <w:rFonts w:cs="Traditional Arabic" w:hint="cs"/>
          <w:sz w:val="28"/>
          <w:szCs w:val="32"/>
          <w:rtl/>
        </w:rPr>
        <w:t xml:space="preserve"> ،</w:t>
      </w:r>
      <w:r w:rsidRPr="00EC737F">
        <w:rPr>
          <w:rFonts w:cs="Traditional Arabic" w:hint="cs"/>
          <w:sz w:val="28"/>
          <w:szCs w:val="32"/>
          <w:rtl/>
        </w:rPr>
        <w:t xml:space="preserve"> قبل انقضاء الستة الأشهر سالفة الذكر</w:t>
      </w:r>
      <w:r>
        <w:rPr>
          <w:rFonts w:cs="Traditional Arabic" w:hint="cs"/>
          <w:sz w:val="28"/>
          <w:szCs w:val="32"/>
          <w:rtl/>
        </w:rPr>
        <w:t xml:space="preserve"> ،</w:t>
      </w:r>
      <w:r w:rsidRPr="00EC737F">
        <w:rPr>
          <w:rFonts w:cs="Traditional Arabic" w:hint="cs"/>
          <w:sz w:val="28"/>
          <w:szCs w:val="32"/>
          <w:rtl/>
        </w:rPr>
        <w:t xml:space="preserve"> أن يقدم للكفيل ضماناً كافياً لما عسى أن يدفعه الكفيل للدائن</w:t>
      </w:r>
      <w:r>
        <w:rPr>
          <w:rFonts w:cs="Traditional Arabic" w:hint="cs"/>
          <w:sz w:val="28"/>
          <w:szCs w:val="32"/>
          <w:rtl/>
        </w:rPr>
        <w:t xml:space="preserve"> .</w:t>
      </w:r>
      <w:r w:rsidRPr="00EC737F">
        <w:rPr>
          <w:rFonts w:cs="Traditional Arabic" w:hint="cs"/>
          <w:sz w:val="28"/>
          <w:szCs w:val="32"/>
          <w:rtl/>
        </w:rPr>
        <w:t xml:space="preserve"> ويتفق الدائن مع المدين على هذا الضمان الواجب تقديمه للكفيل</w:t>
      </w:r>
      <w:r>
        <w:rPr>
          <w:rFonts w:cs="Traditional Arabic" w:hint="cs"/>
          <w:sz w:val="28"/>
          <w:szCs w:val="32"/>
          <w:rtl/>
        </w:rPr>
        <w:t xml:space="preserve"> .</w:t>
      </w:r>
      <w:r w:rsidRPr="00EC737F">
        <w:rPr>
          <w:rFonts w:cs="Traditional Arabic" w:hint="cs"/>
          <w:sz w:val="28"/>
          <w:szCs w:val="32"/>
          <w:rtl/>
        </w:rPr>
        <w:t xml:space="preserve"> وقاضي الموضوع هو الذي يقدر</w:t>
      </w:r>
      <w:r>
        <w:rPr>
          <w:rFonts w:cs="Traditional Arabic" w:hint="cs"/>
          <w:sz w:val="28"/>
          <w:szCs w:val="32"/>
          <w:rtl/>
        </w:rPr>
        <w:t xml:space="preserve"> ،</w:t>
      </w:r>
      <w:r w:rsidRPr="00EC737F">
        <w:rPr>
          <w:rFonts w:cs="Traditional Arabic" w:hint="cs"/>
          <w:sz w:val="28"/>
          <w:szCs w:val="32"/>
          <w:rtl/>
        </w:rPr>
        <w:t xml:space="preserve"> عند المنازعة</w:t>
      </w:r>
      <w:r>
        <w:rPr>
          <w:rFonts w:cs="Traditional Arabic" w:hint="cs"/>
          <w:sz w:val="28"/>
          <w:szCs w:val="32"/>
          <w:rtl/>
        </w:rPr>
        <w:t xml:space="preserve"> ،</w:t>
      </w:r>
      <w:r w:rsidRPr="00EC737F">
        <w:rPr>
          <w:rFonts w:cs="Traditional Arabic" w:hint="cs"/>
          <w:sz w:val="28"/>
          <w:szCs w:val="32"/>
          <w:rtl/>
        </w:rPr>
        <w:t xml:space="preserve"> ما إذا كان لاضمان الذي يقدمه المدين للكفيل ضماناً كافياً</w:t>
      </w:r>
      <w:r>
        <w:rPr>
          <w:rFonts w:cs="Traditional Arabic" w:hint="cs"/>
          <w:sz w:val="28"/>
          <w:szCs w:val="32"/>
          <w:rtl/>
        </w:rPr>
        <w:t xml:space="preserve"> .</w:t>
      </w:r>
      <w:r w:rsidRPr="00EC737F">
        <w:rPr>
          <w:rFonts w:cs="Traditional Arabic" w:hint="cs"/>
          <w:sz w:val="28"/>
          <w:szCs w:val="32"/>
          <w:rtl/>
        </w:rPr>
        <w:t xml:space="preserve"> فإذا قدم المدين للكفيل هذا لاضمان الكافي</w:t>
      </w:r>
      <w:r>
        <w:rPr>
          <w:rFonts w:cs="Traditional Arabic" w:hint="cs"/>
          <w:sz w:val="28"/>
          <w:szCs w:val="32"/>
          <w:rtl/>
        </w:rPr>
        <w:t xml:space="preserve"> ،</w:t>
      </w:r>
      <w:r w:rsidRPr="00EC737F">
        <w:rPr>
          <w:rFonts w:cs="Traditional Arabic" w:hint="cs"/>
          <w:sz w:val="28"/>
          <w:szCs w:val="32"/>
          <w:rtl/>
        </w:rPr>
        <w:t xml:space="preserve"> وصل الكفيل إلى ما يبتغيه</w:t>
      </w:r>
      <w:r>
        <w:rPr>
          <w:rFonts w:cs="Traditional Arabic" w:hint="cs"/>
          <w:sz w:val="28"/>
          <w:szCs w:val="32"/>
          <w:rtl/>
        </w:rPr>
        <w:t xml:space="preserve"> ،</w:t>
      </w:r>
      <w:r w:rsidRPr="00EC737F">
        <w:rPr>
          <w:rFonts w:cs="Traditional Arabic" w:hint="cs"/>
          <w:sz w:val="28"/>
          <w:szCs w:val="32"/>
          <w:rtl/>
        </w:rPr>
        <w:t xml:space="preserve"> وصار عليه أن ينتظر حتى يطالب الدائن المدين بالدين</w:t>
      </w:r>
      <w:r>
        <w:rPr>
          <w:rFonts w:cs="Traditional Arabic" w:hint="cs"/>
          <w:sz w:val="28"/>
          <w:szCs w:val="32"/>
          <w:rtl/>
        </w:rPr>
        <w:t xml:space="preserve"> .</w:t>
      </w:r>
      <w:r w:rsidRPr="00EC737F">
        <w:rPr>
          <w:rFonts w:cs="Traditional Arabic" w:hint="cs"/>
          <w:sz w:val="28"/>
          <w:szCs w:val="32"/>
          <w:rtl/>
        </w:rPr>
        <w:t xml:space="preserve"> فإذا دفع المدين الدين للدائن</w:t>
      </w:r>
      <w:r>
        <w:rPr>
          <w:rFonts w:cs="Traditional Arabic" w:hint="cs"/>
          <w:sz w:val="28"/>
          <w:szCs w:val="32"/>
          <w:rtl/>
        </w:rPr>
        <w:t xml:space="preserve"> ،</w:t>
      </w:r>
      <w:r w:rsidRPr="00EC737F">
        <w:rPr>
          <w:rFonts w:cs="Traditional Arabic" w:hint="cs"/>
          <w:sz w:val="28"/>
          <w:szCs w:val="32"/>
          <w:rtl/>
        </w:rPr>
        <w:t xml:space="preserve"> وقف الأمر عند هذا الحد</w:t>
      </w:r>
      <w:r>
        <w:rPr>
          <w:rFonts w:cs="Traditional Arabic" w:hint="cs"/>
          <w:sz w:val="28"/>
          <w:szCs w:val="32"/>
          <w:rtl/>
        </w:rPr>
        <w:t xml:space="preserve"> ،</w:t>
      </w:r>
      <w:r w:rsidRPr="00EC737F">
        <w:rPr>
          <w:rFonts w:cs="Traditional Arabic" w:hint="cs"/>
          <w:sz w:val="28"/>
          <w:szCs w:val="32"/>
          <w:rtl/>
        </w:rPr>
        <w:t xml:space="preserve"> وبرئت ذمة المدين</w:t>
      </w:r>
      <w:r>
        <w:rPr>
          <w:rFonts w:cs="Traditional Arabic" w:hint="cs"/>
          <w:sz w:val="28"/>
          <w:szCs w:val="32"/>
          <w:rtl/>
        </w:rPr>
        <w:t xml:space="preserve"> ،</w:t>
      </w:r>
      <w:r w:rsidRPr="00EC737F">
        <w:rPr>
          <w:rFonts w:cs="Traditional Arabic" w:hint="cs"/>
          <w:sz w:val="28"/>
          <w:szCs w:val="32"/>
          <w:rtl/>
        </w:rPr>
        <w:t xml:space="preserve"> وبرئت ذمة الكفيل تبعاً لذلك</w:t>
      </w:r>
      <w:r>
        <w:rPr>
          <w:rFonts w:cs="Traditional Arabic" w:hint="cs"/>
          <w:sz w:val="28"/>
          <w:szCs w:val="32"/>
          <w:rtl/>
        </w:rPr>
        <w:t xml:space="preserve"> .</w:t>
      </w:r>
      <w:r w:rsidRPr="00EC737F">
        <w:rPr>
          <w:rFonts w:cs="Traditional Arabic" w:hint="cs"/>
          <w:sz w:val="28"/>
          <w:szCs w:val="32"/>
          <w:rtl/>
        </w:rPr>
        <w:t xml:space="preserve"> أما إذا لم يدفع المدين الدين للدائن</w:t>
      </w:r>
      <w:r>
        <w:rPr>
          <w:rFonts w:cs="Traditional Arabic" w:hint="cs"/>
          <w:sz w:val="28"/>
          <w:szCs w:val="32"/>
          <w:rtl/>
        </w:rPr>
        <w:t xml:space="preserve"> ،</w:t>
      </w:r>
      <w:r w:rsidRPr="00EC737F">
        <w:rPr>
          <w:rFonts w:cs="Traditional Arabic" w:hint="cs"/>
          <w:sz w:val="28"/>
          <w:szCs w:val="32"/>
          <w:rtl/>
        </w:rPr>
        <w:t xml:space="preserve"> ورجع الدائن على الكفل بهذا الدين</w:t>
      </w:r>
      <w:r>
        <w:rPr>
          <w:rFonts w:cs="Traditional Arabic" w:hint="cs"/>
          <w:sz w:val="28"/>
          <w:szCs w:val="32"/>
          <w:rtl/>
        </w:rPr>
        <w:t xml:space="preserve"> ،</w:t>
      </w:r>
      <w:r w:rsidRPr="00EC737F">
        <w:rPr>
          <w:rFonts w:cs="Traditional Arabic" w:hint="cs"/>
          <w:sz w:val="28"/>
          <w:szCs w:val="32"/>
          <w:rtl/>
        </w:rPr>
        <w:t xml:space="preserve"> كان لدى الكفيل الضمان الكافي الذي قدمه المدين</w:t>
      </w:r>
      <w:r>
        <w:rPr>
          <w:rFonts w:cs="Traditional Arabic" w:hint="cs"/>
          <w:sz w:val="28"/>
          <w:szCs w:val="32"/>
          <w:rtl/>
        </w:rPr>
        <w:t xml:space="preserve"> ،</w:t>
      </w:r>
      <w:r w:rsidRPr="00EC737F">
        <w:rPr>
          <w:rFonts w:cs="Traditional Arabic" w:hint="cs"/>
          <w:sz w:val="28"/>
          <w:szCs w:val="32"/>
          <w:rtl/>
        </w:rPr>
        <w:t xml:space="preserve"> فيدفع الدين للدائن</w:t>
      </w:r>
      <w:r>
        <w:rPr>
          <w:rFonts w:cs="Traditional Arabic" w:hint="cs"/>
          <w:sz w:val="28"/>
          <w:szCs w:val="32"/>
          <w:rtl/>
        </w:rPr>
        <w:t xml:space="preserve"> ،</w:t>
      </w:r>
      <w:r w:rsidRPr="00EC737F">
        <w:rPr>
          <w:rFonts w:cs="Traditional Arabic" w:hint="cs"/>
          <w:sz w:val="28"/>
          <w:szCs w:val="32"/>
          <w:rtl/>
        </w:rPr>
        <w:t xml:space="preserve"> ويستوفيه من هذا الضمان</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b/>
          <w:bCs/>
          <w:sz w:val="28"/>
          <w:szCs w:val="32"/>
          <w:rtl/>
        </w:rPr>
        <w:t>§</w:t>
      </w:r>
      <w:r w:rsidRPr="00EC737F">
        <w:rPr>
          <w:rFonts w:cs="Traditional Arabic" w:hint="cs"/>
          <w:b/>
          <w:bCs/>
          <w:sz w:val="28"/>
          <w:szCs w:val="32"/>
          <w:rtl/>
        </w:rPr>
        <w:t xml:space="preserve"> 3- عدم تقدم الدائن في تفليسة المدين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110- نص قانوني</w:t>
      </w:r>
      <w:r>
        <w:rPr>
          <w:rFonts w:cs="Traditional Arabic" w:hint="cs"/>
          <w:sz w:val="28"/>
          <w:szCs w:val="32"/>
          <w:rtl/>
        </w:rPr>
        <w:t xml:space="preserve"> :</w:t>
      </w:r>
      <w:r w:rsidRPr="00EC737F">
        <w:rPr>
          <w:rFonts w:cs="Traditional Arabic" w:hint="cs"/>
          <w:sz w:val="28"/>
          <w:szCs w:val="32"/>
          <w:rtl/>
        </w:rPr>
        <w:t xml:space="preserve"> تنص المادة 786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"إذا أفلس المدين</w:t>
      </w:r>
      <w:r>
        <w:rPr>
          <w:rFonts w:cs="Traditional Arabic" w:hint="cs"/>
          <w:sz w:val="28"/>
          <w:szCs w:val="32"/>
          <w:rtl/>
        </w:rPr>
        <w:t xml:space="preserve"> ،</w:t>
      </w:r>
      <w:r w:rsidRPr="00EC737F">
        <w:rPr>
          <w:rFonts w:cs="Traditional Arabic" w:hint="cs"/>
          <w:sz w:val="28"/>
          <w:szCs w:val="32"/>
          <w:rtl/>
        </w:rPr>
        <w:t xml:space="preserve"> وجب على الدائن أن يتقدم في التفليسة بالدين</w:t>
      </w:r>
      <w:r>
        <w:rPr>
          <w:rFonts w:cs="Traditional Arabic" w:hint="cs"/>
          <w:sz w:val="28"/>
          <w:szCs w:val="32"/>
          <w:rtl/>
        </w:rPr>
        <w:t xml:space="preserve"> ،</w:t>
      </w:r>
      <w:r w:rsidRPr="00EC737F">
        <w:rPr>
          <w:rFonts w:cs="Traditional Arabic" w:hint="cs"/>
          <w:sz w:val="28"/>
          <w:szCs w:val="32"/>
          <w:rtl/>
        </w:rPr>
        <w:t xml:space="preserve"> وإلا سقط حقه في الرجوع </w:t>
      </w:r>
      <w:r w:rsidRPr="00EC737F">
        <w:rPr>
          <w:rFonts w:cs="Traditional Arabic" w:hint="cs"/>
          <w:sz w:val="28"/>
          <w:szCs w:val="32"/>
          <w:rtl/>
        </w:rPr>
        <w:lastRenderedPageBreak/>
        <w:t>على الكفل بقدر ما أصاب هذا الأخير م ضرر بسبب إهمال الدائن"</w:t>
      </w:r>
      <w:r>
        <w:rPr>
          <w:rFonts w:cs="Traditional Arabic" w:hint="cs"/>
          <w:sz w:val="28"/>
          <w:szCs w:val="32"/>
          <w:vertAlign w:val="superscript"/>
          <w:rtl/>
        </w:rPr>
        <w:t xml:space="preserve">( </w:t>
      </w:r>
      <w:r w:rsidRPr="00EC737F">
        <w:rPr>
          <w:rStyle w:val="ab"/>
          <w:rFonts w:cs="Traditional Arabic"/>
          <w:sz w:val="28"/>
          <w:szCs w:val="32"/>
          <w:rtl/>
        </w:rPr>
        <w:footnoteReference w:id="58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النص في التقنين المدني السابق المادة 503/614</w:t>
      </w:r>
      <w:r>
        <w:rPr>
          <w:rFonts w:cs="Traditional Arabic" w:hint="cs"/>
          <w:sz w:val="28"/>
          <w:szCs w:val="32"/>
          <w:vertAlign w:val="superscript"/>
          <w:rtl/>
        </w:rPr>
        <w:t xml:space="preserve">( </w:t>
      </w:r>
      <w:r w:rsidRPr="00EC737F">
        <w:rPr>
          <w:rStyle w:val="ab"/>
          <w:rFonts w:cs="Traditional Arabic"/>
          <w:sz w:val="28"/>
          <w:szCs w:val="32"/>
          <w:rtl/>
        </w:rPr>
        <w:footnoteReference w:id="58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التقنينات المدنية العربية الأخرى</w:t>
      </w:r>
      <w:r>
        <w:rPr>
          <w:rFonts w:cs="Traditional Arabic" w:hint="cs"/>
          <w:sz w:val="28"/>
          <w:szCs w:val="32"/>
          <w:rtl/>
        </w:rPr>
        <w:t xml:space="preserve"> :</w:t>
      </w:r>
      <w:r w:rsidRPr="00EC737F">
        <w:rPr>
          <w:rFonts w:cs="Traditional Arabic" w:hint="cs"/>
          <w:sz w:val="28"/>
          <w:szCs w:val="32"/>
          <w:rtl/>
        </w:rPr>
        <w:t xml:space="preserve"> في التقنين المدني السوري $256 م 752 </w:t>
      </w:r>
      <w:r w:rsidRPr="00EC737F">
        <w:rPr>
          <w:rFonts w:cs="Traditional Arabic"/>
          <w:sz w:val="28"/>
          <w:szCs w:val="32"/>
          <w:rtl/>
        </w:rPr>
        <w:t>–</w:t>
      </w:r>
      <w:r w:rsidRPr="00EC737F">
        <w:rPr>
          <w:rFonts w:cs="Traditional Arabic" w:hint="cs"/>
          <w:sz w:val="28"/>
          <w:szCs w:val="32"/>
          <w:rtl/>
        </w:rPr>
        <w:t xml:space="preserve"> وفي التقنين المدني الليبي م 795 </w:t>
      </w:r>
      <w:r w:rsidRPr="00EC737F">
        <w:rPr>
          <w:rFonts w:cs="Traditional Arabic"/>
          <w:sz w:val="28"/>
          <w:szCs w:val="32"/>
          <w:rtl/>
        </w:rPr>
        <w:t>–</w:t>
      </w:r>
      <w:r w:rsidRPr="00EC737F">
        <w:rPr>
          <w:rFonts w:cs="Traditional Arabic" w:hint="cs"/>
          <w:sz w:val="28"/>
          <w:szCs w:val="32"/>
          <w:rtl/>
        </w:rPr>
        <w:t xml:space="preserve"> وفي التقنين المدني العراقي م 1028 </w:t>
      </w:r>
      <w:r w:rsidRPr="00EC737F">
        <w:rPr>
          <w:rFonts w:cs="Traditional Arabic"/>
          <w:sz w:val="28"/>
          <w:szCs w:val="32"/>
          <w:rtl/>
        </w:rPr>
        <w:t>–</w:t>
      </w:r>
      <w:r w:rsidRPr="00EC737F">
        <w:rPr>
          <w:rFonts w:cs="Traditional Arabic" w:hint="cs"/>
          <w:sz w:val="28"/>
          <w:szCs w:val="32"/>
          <w:rtl/>
        </w:rPr>
        <w:t xml:space="preserve"> وفي قانون الموجبات والعقود اللبناني م 1073</w:t>
      </w:r>
      <w:r>
        <w:rPr>
          <w:rFonts w:cs="Traditional Arabic" w:hint="cs"/>
          <w:sz w:val="28"/>
          <w:szCs w:val="32"/>
          <w:vertAlign w:val="superscript"/>
          <w:rtl/>
        </w:rPr>
        <w:t xml:space="preserve">( </w:t>
      </w:r>
      <w:r w:rsidRPr="00EC737F">
        <w:rPr>
          <w:rStyle w:val="ab"/>
          <w:rFonts w:cs="Traditional Arabic"/>
          <w:sz w:val="28"/>
          <w:szCs w:val="32"/>
          <w:rtl/>
        </w:rPr>
        <w:footnoteReference w:id="58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وظاهر أن للكفيل</w:t>
      </w:r>
      <w:r>
        <w:rPr>
          <w:rFonts w:cs="Traditional Arabic" w:hint="cs"/>
          <w:sz w:val="28"/>
          <w:szCs w:val="32"/>
          <w:rtl/>
        </w:rPr>
        <w:t xml:space="preserve"> ،</w:t>
      </w:r>
      <w:r w:rsidRPr="00EC737F">
        <w:rPr>
          <w:rFonts w:cs="Traditional Arabic" w:hint="cs"/>
          <w:sz w:val="28"/>
          <w:szCs w:val="32"/>
          <w:rtl/>
        </w:rPr>
        <w:t xml:space="preserve"> في التقنين المدني السابق</w:t>
      </w:r>
      <w:r>
        <w:rPr>
          <w:rFonts w:cs="Traditional Arabic" w:hint="cs"/>
          <w:sz w:val="28"/>
          <w:szCs w:val="32"/>
          <w:rtl/>
        </w:rPr>
        <w:t xml:space="preserve"> ،</w:t>
      </w:r>
      <w:r w:rsidRPr="00EC737F">
        <w:rPr>
          <w:rFonts w:cs="Traditional Arabic" w:hint="cs"/>
          <w:sz w:val="28"/>
          <w:szCs w:val="32"/>
          <w:rtl/>
        </w:rPr>
        <w:t xml:space="preserve"> حق مطالبة المدين بالدين أفلس المدين قبل حلول أجل الدين المكفول </w:t>
      </w:r>
      <w:r>
        <w:rPr>
          <w:rFonts w:cs="Traditional Arabic" w:hint="cs"/>
          <w:sz w:val="28"/>
          <w:szCs w:val="32"/>
          <w:rtl/>
        </w:rPr>
        <w:t xml:space="preserve">( </w:t>
      </w:r>
      <w:r w:rsidRPr="00EC737F">
        <w:rPr>
          <w:rFonts w:cs="Traditional Arabic" w:hint="cs"/>
          <w:sz w:val="28"/>
          <w:szCs w:val="32"/>
          <w:rtl/>
        </w:rPr>
        <w:t>م 503/614</w:t>
      </w:r>
      <w:r>
        <w:rPr>
          <w:rFonts w:cs="Traditional Arabic" w:hint="cs"/>
          <w:sz w:val="28"/>
          <w:szCs w:val="32"/>
          <w:rtl/>
        </w:rPr>
        <w:t xml:space="preserve"> ) .</w:t>
      </w:r>
      <w:r w:rsidRPr="00EC737F">
        <w:rPr>
          <w:rFonts w:cs="Traditional Arabic" w:hint="cs"/>
          <w:sz w:val="28"/>
          <w:szCs w:val="32"/>
          <w:rtl/>
        </w:rPr>
        <w:t xml:space="preserve"> أما في التقنين المدني الحالي</w:t>
      </w:r>
      <w:r>
        <w:rPr>
          <w:rFonts w:cs="Traditional Arabic" w:hint="cs"/>
          <w:sz w:val="28"/>
          <w:szCs w:val="32"/>
          <w:rtl/>
        </w:rPr>
        <w:t xml:space="preserve"> ،</w:t>
      </w:r>
      <w:r w:rsidRPr="00EC737F">
        <w:rPr>
          <w:rFonts w:cs="Traditional Arabic" w:hint="cs"/>
          <w:sz w:val="28"/>
          <w:szCs w:val="32"/>
          <w:rtl/>
        </w:rPr>
        <w:t xml:space="preserve"> فليس للكفيل أن يرجع على المدين</w:t>
      </w:r>
      <w:r>
        <w:rPr>
          <w:rFonts w:cs="Traditional Arabic" w:hint="cs"/>
          <w:sz w:val="28"/>
          <w:szCs w:val="32"/>
          <w:rtl/>
        </w:rPr>
        <w:t xml:space="preserve"> .</w:t>
      </w:r>
      <w:r w:rsidRPr="00EC737F">
        <w:rPr>
          <w:rFonts w:cs="Traditional Arabic" w:hint="cs"/>
          <w:sz w:val="28"/>
          <w:szCs w:val="32"/>
          <w:rtl/>
        </w:rPr>
        <w:t xml:space="preserve"> فننظر الآن ماذا يكون الحكم لو أفلس المدين قبل حلول الدين المكفول</w:t>
      </w:r>
      <w:r>
        <w:rPr>
          <w:rFonts w:cs="Traditional Arabic" w:hint="cs"/>
          <w:sz w:val="28"/>
          <w:szCs w:val="32"/>
          <w:rtl/>
        </w:rPr>
        <w:t xml:space="preserve"> ،</w:t>
      </w:r>
      <w:r w:rsidRPr="00EC737F">
        <w:rPr>
          <w:rFonts w:cs="Traditional Arabic" w:hint="cs"/>
          <w:sz w:val="28"/>
          <w:szCs w:val="32"/>
          <w:rtl/>
        </w:rPr>
        <w:t xml:space="preserve"> ثم ننظر بعد ذلك ماذا يكون الحكم لو أعسر المدين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111- إفلاس المدين أو إعساره قبل حلول الدين المكفول</w:t>
      </w:r>
      <w:r>
        <w:rPr>
          <w:rFonts w:cs="Traditional Arabic" w:hint="cs"/>
          <w:sz w:val="28"/>
          <w:szCs w:val="32"/>
          <w:rtl/>
        </w:rPr>
        <w:t xml:space="preserve"> :</w:t>
      </w:r>
      <w:r w:rsidRPr="00EC737F">
        <w:rPr>
          <w:rFonts w:cs="Traditional Arabic" w:hint="cs"/>
          <w:sz w:val="28"/>
          <w:szCs w:val="32"/>
          <w:rtl/>
        </w:rPr>
        <w:t xml:space="preserve"> تعرض المادة 786 مدني</w:t>
      </w:r>
      <w:r>
        <w:rPr>
          <w:rFonts w:cs="Traditional Arabic" w:hint="cs"/>
          <w:sz w:val="28"/>
          <w:szCs w:val="32"/>
          <w:vertAlign w:val="superscript"/>
          <w:rtl/>
        </w:rPr>
        <w:t xml:space="preserve">( </w:t>
      </w:r>
      <w:r w:rsidRPr="00EC737F">
        <w:rPr>
          <w:rStyle w:val="ab"/>
          <w:rFonts w:cs="Traditional Arabic"/>
          <w:sz w:val="28"/>
          <w:szCs w:val="32"/>
          <w:rtl/>
        </w:rPr>
        <w:footnoteReference w:id="58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لحالة ما إذا أفلس المدين قبل حلول الدين المكفول</w:t>
      </w:r>
      <w:r>
        <w:rPr>
          <w:rFonts w:cs="Traditional Arabic" w:hint="cs"/>
          <w:sz w:val="28"/>
          <w:szCs w:val="32"/>
          <w:rtl/>
        </w:rPr>
        <w:t xml:space="preserve"> .</w:t>
      </w:r>
      <w:r w:rsidRPr="00EC737F">
        <w:rPr>
          <w:rFonts w:cs="Traditional Arabic" w:hint="cs"/>
          <w:sz w:val="28"/>
          <w:szCs w:val="32"/>
          <w:rtl/>
        </w:rPr>
        <w:t xml:space="preserve"> فتنص على أنه يجب على الدائن في هذه الحالة أن يتقدم بحقه في تفليسة المدين</w:t>
      </w:r>
      <w:r>
        <w:rPr>
          <w:rFonts w:cs="Traditional Arabic" w:hint="cs"/>
          <w:sz w:val="28"/>
          <w:szCs w:val="32"/>
          <w:rtl/>
        </w:rPr>
        <w:t xml:space="preserve"> ،</w:t>
      </w:r>
      <w:r w:rsidRPr="00EC737F">
        <w:rPr>
          <w:rFonts w:cs="Traditional Arabic" w:hint="cs"/>
          <w:sz w:val="28"/>
          <w:szCs w:val="32"/>
          <w:rtl/>
        </w:rPr>
        <w:t xml:space="preserve"> ويتقاضى من هذه التفليسة المقدار الذي يصيبه بحسب قيمة هذا الحق</w:t>
      </w:r>
      <w:r>
        <w:rPr>
          <w:rFonts w:cs="Traditional Arabic" w:hint="cs"/>
          <w:sz w:val="28"/>
          <w:szCs w:val="32"/>
          <w:rtl/>
        </w:rPr>
        <w:t xml:space="preserve"> .</w:t>
      </w:r>
      <w:r w:rsidRPr="00EC737F">
        <w:rPr>
          <w:rFonts w:cs="Traditional Arabic" w:hint="cs"/>
          <w:sz w:val="28"/>
          <w:szCs w:val="32"/>
          <w:rtl/>
        </w:rPr>
        <w:t xml:space="preserve"> فإذا لم يفعل</w:t>
      </w:r>
      <w:r>
        <w:rPr>
          <w:rFonts w:cs="Traditional Arabic" w:hint="cs"/>
          <w:sz w:val="28"/>
          <w:szCs w:val="32"/>
          <w:rtl/>
        </w:rPr>
        <w:t xml:space="preserve"> ،</w:t>
      </w:r>
      <w:r w:rsidRPr="00EC737F">
        <w:rPr>
          <w:rFonts w:cs="Traditional Arabic" w:hint="cs"/>
          <w:sz w:val="28"/>
          <w:szCs w:val="32"/>
          <w:rtl/>
        </w:rPr>
        <w:t xml:space="preserve"> فلم يصيبه من تفليسة المدين شيء</w:t>
      </w:r>
      <w:r>
        <w:rPr>
          <w:rFonts w:cs="Traditional Arabic" w:hint="cs"/>
          <w:sz w:val="28"/>
          <w:szCs w:val="32"/>
          <w:rtl/>
        </w:rPr>
        <w:t xml:space="preserve"> ،</w:t>
      </w:r>
      <w:r w:rsidRPr="00EC737F">
        <w:rPr>
          <w:rFonts w:cs="Traditional Arabic" w:hint="cs"/>
          <w:sz w:val="28"/>
          <w:szCs w:val="32"/>
          <w:rtl/>
        </w:rPr>
        <w:t xml:space="preserve"> وأراد الرجوع على الكفيل</w:t>
      </w:r>
      <w:r>
        <w:rPr>
          <w:rFonts w:cs="Traditional Arabic" w:hint="cs"/>
          <w:sz w:val="28"/>
          <w:szCs w:val="32"/>
          <w:rtl/>
        </w:rPr>
        <w:t xml:space="preserve"> ،</w:t>
      </w:r>
      <w:r w:rsidRPr="00EC737F">
        <w:rPr>
          <w:rFonts w:cs="Traditional Arabic" w:hint="cs"/>
          <w:sz w:val="28"/>
          <w:szCs w:val="32"/>
          <w:rtl/>
        </w:rPr>
        <w:t xml:space="preserve"> سقط من حقه في الرجوع على الكفل ما كان يصيبه لو أنه تقدم بحقه في تفليسة المدين</w:t>
      </w:r>
      <w:r>
        <w:rPr>
          <w:rFonts w:cs="Traditional Arabic" w:hint="cs"/>
          <w:sz w:val="28"/>
          <w:szCs w:val="32"/>
          <w:rtl/>
        </w:rPr>
        <w:t xml:space="preserve"> .</w:t>
      </w:r>
      <w:r w:rsidRPr="00EC737F">
        <w:rPr>
          <w:rFonts w:cs="Traditional Arabic" w:hint="cs"/>
          <w:sz w:val="28"/>
          <w:szCs w:val="32"/>
          <w:rtl/>
        </w:rPr>
        <w:t xml:space="preserve"> وقد اقتبست المادة 786 مدين</w:t>
      </w:r>
      <w:r>
        <w:rPr>
          <w:rFonts w:cs="Traditional Arabic" w:hint="cs"/>
          <w:sz w:val="28"/>
          <w:szCs w:val="32"/>
          <w:rtl/>
        </w:rPr>
        <w:t xml:space="preserve"> ،</w:t>
      </w:r>
      <w:r w:rsidRPr="00EC737F">
        <w:rPr>
          <w:rFonts w:cs="Traditional Arabic" w:hint="cs"/>
          <w:sz w:val="28"/>
          <w:szCs w:val="32"/>
          <w:rtl/>
        </w:rPr>
        <w:t xml:space="preserve"> وهي التي تقرر هذا الحكم</w:t>
      </w:r>
      <w:r>
        <w:rPr>
          <w:rFonts w:cs="Traditional Arabic" w:hint="cs"/>
          <w:sz w:val="28"/>
          <w:szCs w:val="32"/>
          <w:rtl/>
        </w:rPr>
        <w:t xml:space="preserve"> ،</w:t>
      </w:r>
      <w:r w:rsidRPr="00EC737F">
        <w:rPr>
          <w:rFonts w:cs="Traditional Arabic" w:hint="cs"/>
          <w:sz w:val="28"/>
          <w:szCs w:val="32"/>
          <w:rtl/>
        </w:rPr>
        <w:t xml:space="preserve"> من كل من المادة </w:t>
      </w:r>
      <w:smartTag w:uri="urn:schemas-microsoft-com:office:smarttags" w:element="metricconverter">
        <w:smartTagPr>
          <w:attr w:name="ProductID" w:val="511 م"/>
        </w:smartTagPr>
        <w:r w:rsidRPr="00EC737F">
          <w:rPr>
            <w:rFonts w:cs="Traditional Arabic" w:hint="cs"/>
            <w:sz w:val="28"/>
            <w:szCs w:val="32"/>
            <w:rtl/>
          </w:rPr>
          <w:t>511 م</w:t>
        </w:r>
      </w:smartTag>
      <w:r w:rsidRPr="00EC737F">
        <w:rPr>
          <w:rFonts w:cs="Traditional Arabic" w:hint="cs"/>
          <w:sz w:val="28"/>
          <w:szCs w:val="32"/>
          <w:rtl/>
        </w:rPr>
        <w:t xml:space="preserve"> تقنين الالتزامات السويسري والمادة 643 من تقنين الالتزامات البولوني</w:t>
      </w:r>
      <w:r>
        <w:rPr>
          <w:rFonts w:cs="Traditional Arabic" w:hint="cs"/>
          <w:sz w:val="28"/>
          <w:szCs w:val="32"/>
          <w:vertAlign w:val="superscript"/>
          <w:rtl/>
        </w:rPr>
        <w:t xml:space="preserve">( </w:t>
      </w:r>
      <w:r w:rsidRPr="00EC737F">
        <w:rPr>
          <w:rStyle w:val="ab"/>
          <w:rFonts w:cs="Traditional Arabic"/>
          <w:sz w:val="28"/>
          <w:szCs w:val="32"/>
          <w:rtl/>
        </w:rPr>
        <w:footnoteReference w:id="59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ولم يكن الكفيل يستطيع أن يتقدم</w:t>
      </w:r>
      <w:r>
        <w:rPr>
          <w:rFonts w:cs="Traditional Arabic" w:hint="cs"/>
          <w:sz w:val="28"/>
          <w:szCs w:val="32"/>
          <w:rtl/>
        </w:rPr>
        <w:t xml:space="preserve"> ،</w:t>
      </w:r>
      <w:r w:rsidRPr="00EC737F">
        <w:rPr>
          <w:rFonts w:cs="Traditional Arabic" w:hint="cs"/>
          <w:sz w:val="28"/>
          <w:szCs w:val="32"/>
          <w:rtl/>
        </w:rPr>
        <w:t xml:space="preserve"> في $257 التقنين المدني الجديد</w:t>
      </w:r>
      <w:r>
        <w:rPr>
          <w:rFonts w:cs="Traditional Arabic" w:hint="cs"/>
          <w:sz w:val="28"/>
          <w:szCs w:val="32"/>
          <w:rtl/>
        </w:rPr>
        <w:t xml:space="preserve"> ،</w:t>
      </w:r>
      <w:r w:rsidRPr="00EC737F">
        <w:rPr>
          <w:rFonts w:cs="Traditional Arabic" w:hint="cs"/>
          <w:sz w:val="28"/>
          <w:szCs w:val="32"/>
          <w:rtl/>
        </w:rPr>
        <w:t xml:space="preserve"> في تفلسة المدن إلا إذا دفع للدائن حقه</w:t>
      </w:r>
      <w:r>
        <w:rPr>
          <w:rFonts w:cs="Traditional Arabic" w:hint="cs"/>
          <w:sz w:val="28"/>
          <w:szCs w:val="32"/>
          <w:rtl/>
        </w:rPr>
        <w:t xml:space="preserve"> .</w:t>
      </w:r>
      <w:r w:rsidRPr="00EC737F">
        <w:rPr>
          <w:rFonts w:cs="Traditional Arabic" w:hint="cs"/>
          <w:sz w:val="28"/>
          <w:szCs w:val="32"/>
          <w:rtl/>
        </w:rPr>
        <w:t xml:space="preserve"> فلم يبق إذن إلا أن يتقدم الدائن نسه بحقه في تفليسة المدين</w:t>
      </w:r>
      <w:r>
        <w:rPr>
          <w:rFonts w:cs="Traditional Arabic" w:hint="cs"/>
          <w:sz w:val="28"/>
          <w:szCs w:val="32"/>
          <w:rtl/>
        </w:rPr>
        <w:t xml:space="preserve"> ،</w:t>
      </w:r>
      <w:r w:rsidRPr="00EC737F">
        <w:rPr>
          <w:rFonts w:cs="Traditional Arabic" w:hint="cs"/>
          <w:sz w:val="28"/>
          <w:szCs w:val="32"/>
          <w:rtl/>
        </w:rPr>
        <w:t xml:space="preserve"> ليحصل على ما يمكنه الحصول عليه من حقه</w:t>
      </w:r>
      <w:r>
        <w:rPr>
          <w:rFonts w:cs="Traditional Arabic" w:hint="cs"/>
          <w:sz w:val="28"/>
          <w:szCs w:val="32"/>
          <w:rtl/>
        </w:rPr>
        <w:t xml:space="preserve"> ،</w:t>
      </w:r>
      <w:r w:rsidRPr="00EC737F">
        <w:rPr>
          <w:rFonts w:cs="Traditional Arabic" w:hint="cs"/>
          <w:sz w:val="28"/>
          <w:szCs w:val="32"/>
          <w:rtl/>
        </w:rPr>
        <w:t xml:space="preserve"> ثم يرجع بالباقي على الكفل</w:t>
      </w:r>
      <w:r>
        <w:rPr>
          <w:rFonts w:cs="Traditional Arabic" w:hint="cs"/>
          <w:sz w:val="28"/>
          <w:szCs w:val="32"/>
          <w:rtl/>
        </w:rPr>
        <w:t xml:space="preserve"> .</w:t>
      </w:r>
      <w:r w:rsidRPr="00EC737F">
        <w:rPr>
          <w:rFonts w:cs="Traditional Arabic" w:hint="cs"/>
          <w:sz w:val="28"/>
          <w:szCs w:val="32"/>
          <w:rtl/>
        </w:rPr>
        <w:t xml:space="preserve">  فإذا لم يفعل الدائن ذلك كان مقصراً</w:t>
      </w:r>
      <w:r>
        <w:rPr>
          <w:rFonts w:cs="Traditional Arabic" w:hint="cs"/>
          <w:sz w:val="28"/>
          <w:szCs w:val="32"/>
          <w:rtl/>
        </w:rPr>
        <w:t xml:space="preserve"> ،</w:t>
      </w:r>
      <w:r w:rsidRPr="00EC737F">
        <w:rPr>
          <w:rFonts w:cs="Traditional Arabic" w:hint="cs"/>
          <w:sz w:val="28"/>
          <w:szCs w:val="32"/>
          <w:rtl/>
        </w:rPr>
        <w:t xml:space="preserve"> وعليه أن يتحمل نتيجة تقصيره</w:t>
      </w:r>
      <w:r>
        <w:rPr>
          <w:rFonts w:cs="Traditional Arabic" w:hint="cs"/>
          <w:sz w:val="28"/>
          <w:szCs w:val="32"/>
          <w:rtl/>
        </w:rPr>
        <w:t xml:space="preserve"> .</w:t>
      </w:r>
      <w:r w:rsidRPr="00EC737F">
        <w:rPr>
          <w:rFonts w:cs="Traditional Arabic" w:hint="cs"/>
          <w:sz w:val="28"/>
          <w:szCs w:val="32"/>
          <w:rtl/>
        </w:rPr>
        <w:t xml:space="preserve"> فلا يرجع على الكفل إلا بالباقي من حقه</w:t>
      </w:r>
      <w:r>
        <w:rPr>
          <w:rFonts w:cs="Traditional Arabic" w:hint="cs"/>
          <w:sz w:val="28"/>
          <w:szCs w:val="32"/>
          <w:rtl/>
        </w:rPr>
        <w:t xml:space="preserve"> ،</w:t>
      </w:r>
      <w:r w:rsidRPr="00EC737F">
        <w:rPr>
          <w:rFonts w:cs="Traditional Arabic" w:hint="cs"/>
          <w:sz w:val="28"/>
          <w:szCs w:val="32"/>
          <w:rtl/>
        </w:rPr>
        <w:t xml:space="preserve"> بعد خصم ما كان يحصل عليه لو أنه تقدم في تفليسة المدين</w:t>
      </w:r>
      <w:r>
        <w:rPr>
          <w:rFonts w:cs="Traditional Arabic" w:hint="cs"/>
          <w:sz w:val="28"/>
          <w:szCs w:val="32"/>
          <w:rtl/>
        </w:rPr>
        <w:t xml:space="preserve"> .</w:t>
      </w:r>
      <w:r w:rsidRPr="00EC737F">
        <w:rPr>
          <w:rFonts w:cs="Traditional Arabic" w:hint="cs"/>
          <w:sz w:val="28"/>
          <w:szCs w:val="32"/>
          <w:rtl/>
        </w:rPr>
        <w:t xml:space="preserve"> ويجب على الكفيل في هذه الحالة أن يطلب استنزال ما كان يحصل عليه الدائن من تفليسة المدين</w:t>
      </w:r>
      <w:r>
        <w:rPr>
          <w:rFonts w:cs="Traditional Arabic" w:hint="cs"/>
          <w:sz w:val="28"/>
          <w:szCs w:val="32"/>
          <w:rtl/>
        </w:rPr>
        <w:t xml:space="preserve"> ،</w:t>
      </w:r>
      <w:r w:rsidRPr="00EC737F">
        <w:rPr>
          <w:rFonts w:cs="Traditional Arabic" w:hint="cs"/>
          <w:sz w:val="28"/>
          <w:szCs w:val="32"/>
          <w:rtl/>
        </w:rPr>
        <w:t xml:space="preserve"> سواء كان ذلك في صورة الدعوى أو في صورة الدفع</w:t>
      </w:r>
      <w:r>
        <w:rPr>
          <w:rFonts w:cs="Traditional Arabic" w:hint="cs"/>
          <w:sz w:val="28"/>
          <w:szCs w:val="32"/>
          <w:rtl/>
        </w:rPr>
        <w:t xml:space="preserve"> ،</w:t>
      </w:r>
      <w:r w:rsidRPr="00EC737F">
        <w:rPr>
          <w:rFonts w:cs="Traditional Arabic" w:hint="cs"/>
          <w:sz w:val="28"/>
          <w:szCs w:val="32"/>
          <w:rtl/>
        </w:rPr>
        <w:t xml:space="preserve"> فلا يبرأ الكفيل بقوة القانون من هذا المقدار</w:t>
      </w:r>
      <w:r>
        <w:rPr>
          <w:rFonts w:cs="Traditional Arabic" w:hint="cs"/>
          <w:sz w:val="28"/>
          <w:szCs w:val="32"/>
          <w:rtl/>
        </w:rPr>
        <w:t xml:space="preserve"> ،</w:t>
      </w:r>
      <w:r w:rsidRPr="00EC737F">
        <w:rPr>
          <w:rFonts w:cs="Traditional Arabic" w:hint="cs"/>
          <w:sz w:val="28"/>
          <w:szCs w:val="32"/>
          <w:rtl/>
        </w:rPr>
        <w:t xml:space="preserve"> بل لا بد له من الطلب</w:t>
      </w:r>
      <w:r>
        <w:rPr>
          <w:rFonts w:cs="Traditional Arabic" w:hint="cs"/>
          <w:sz w:val="28"/>
          <w:szCs w:val="32"/>
          <w:vertAlign w:val="superscript"/>
          <w:rtl/>
        </w:rPr>
        <w:t xml:space="preserve">( </w:t>
      </w:r>
      <w:r w:rsidRPr="00EC737F">
        <w:rPr>
          <w:rStyle w:val="ab"/>
          <w:rFonts w:cs="Traditional Arabic"/>
          <w:sz w:val="28"/>
          <w:szCs w:val="32"/>
          <w:rtl/>
        </w:rPr>
        <w:footnoteReference w:id="59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ويبدو أن هذا هو الحكم أيضاً</w:t>
      </w:r>
      <w:r>
        <w:rPr>
          <w:rFonts w:cs="Traditional Arabic" w:hint="cs"/>
          <w:sz w:val="28"/>
          <w:szCs w:val="32"/>
          <w:rtl/>
        </w:rPr>
        <w:t xml:space="preserve"> ،</w:t>
      </w:r>
      <w:r w:rsidRPr="00EC737F">
        <w:rPr>
          <w:rFonts w:cs="Traditional Arabic" w:hint="cs"/>
          <w:sz w:val="28"/>
          <w:szCs w:val="32"/>
          <w:rtl/>
        </w:rPr>
        <w:t xml:space="preserve"> فيما إذا أعسر المدين</w:t>
      </w:r>
      <w:r>
        <w:rPr>
          <w:rFonts w:cs="Traditional Arabic" w:hint="cs"/>
          <w:sz w:val="28"/>
          <w:szCs w:val="32"/>
          <w:rtl/>
        </w:rPr>
        <w:t xml:space="preserve"> .</w:t>
      </w:r>
      <w:r w:rsidRPr="00EC737F">
        <w:rPr>
          <w:rFonts w:cs="Traditional Arabic" w:hint="cs"/>
          <w:sz w:val="28"/>
          <w:szCs w:val="32"/>
          <w:rtl/>
        </w:rPr>
        <w:t xml:space="preserve"> فيجب على الدائن أن يتقدم للحصول على ما يمكن الحصول عليه من حقه من مال المدين</w:t>
      </w:r>
      <w:r>
        <w:rPr>
          <w:rFonts w:cs="Traditional Arabic" w:hint="cs"/>
          <w:sz w:val="28"/>
          <w:szCs w:val="32"/>
          <w:rtl/>
        </w:rPr>
        <w:t xml:space="preserve"> ،</w:t>
      </w:r>
      <w:r w:rsidRPr="00EC737F">
        <w:rPr>
          <w:rFonts w:cs="Traditional Arabic" w:hint="cs"/>
          <w:sz w:val="28"/>
          <w:szCs w:val="32"/>
          <w:rtl/>
        </w:rPr>
        <w:t xml:space="preserve"> ثم يرجع بالباقي له على الكفيل</w:t>
      </w:r>
      <w:r>
        <w:rPr>
          <w:rFonts w:cs="Traditional Arabic" w:hint="cs"/>
          <w:sz w:val="28"/>
          <w:szCs w:val="32"/>
          <w:rtl/>
        </w:rPr>
        <w:t xml:space="preserve"> .</w:t>
      </w:r>
      <w:r w:rsidRPr="00EC737F">
        <w:rPr>
          <w:rFonts w:cs="Traditional Arabic" w:hint="cs"/>
          <w:sz w:val="28"/>
          <w:szCs w:val="32"/>
          <w:rtl/>
        </w:rPr>
        <w:t xml:space="preserve"> وإذا كانت المادة </w:t>
      </w:r>
      <w:r w:rsidRPr="00EC737F">
        <w:rPr>
          <w:rFonts w:cs="Traditional Arabic" w:hint="cs"/>
          <w:sz w:val="28"/>
          <w:szCs w:val="32"/>
          <w:rtl/>
        </w:rPr>
        <w:lastRenderedPageBreak/>
        <w:t>786 مدني لم تعرض إلا لحالة إفلاس المدين</w:t>
      </w:r>
      <w:r>
        <w:rPr>
          <w:rFonts w:cs="Traditional Arabic" w:hint="cs"/>
          <w:sz w:val="28"/>
          <w:szCs w:val="32"/>
          <w:rtl/>
        </w:rPr>
        <w:t xml:space="preserve"> ،</w:t>
      </w:r>
      <w:r w:rsidRPr="00EC737F">
        <w:rPr>
          <w:rFonts w:cs="Traditional Arabic" w:hint="cs"/>
          <w:sz w:val="28"/>
          <w:szCs w:val="32"/>
          <w:rtl/>
        </w:rPr>
        <w:t xml:space="preserve"> فإن ذلك لم يكن إلا تطبيقاً للقواعد العامة من حيث إلزام الدائن بمطالبة المدين في الوقت المناسب</w:t>
      </w:r>
      <w:r>
        <w:rPr>
          <w:rFonts w:cs="Traditional Arabic" w:hint="cs"/>
          <w:sz w:val="28"/>
          <w:szCs w:val="32"/>
          <w:rtl/>
        </w:rPr>
        <w:t xml:space="preserve"> ،</w:t>
      </w:r>
      <w:r w:rsidRPr="00EC737F">
        <w:rPr>
          <w:rFonts w:cs="Traditional Arabic" w:hint="cs"/>
          <w:sz w:val="28"/>
          <w:szCs w:val="32"/>
          <w:rtl/>
        </w:rPr>
        <w:t xml:space="preserve"> وإلا كان الدائن مسئولا عن ذلك نحو الكفيل</w:t>
      </w:r>
      <w:r>
        <w:rPr>
          <w:rFonts w:cs="Traditional Arabic" w:hint="cs"/>
          <w:sz w:val="28"/>
          <w:szCs w:val="32"/>
          <w:vertAlign w:val="superscript"/>
          <w:rtl/>
        </w:rPr>
        <w:t xml:space="preserve">( </w:t>
      </w:r>
      <w:r w:rsidRPr="00EC737F">
        <w:rPr>
          <w:rStyle w:val="ab"/>
          <w:rFonts w:cs="Traditional Arabic"/>
          <w:sz w:val="28"/>
          <w:szCs w:val="32"/>
          <w:rtl/>
        </w:rPr>
        <w:footnoteReference w:id="59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sz w:val="28"/>
          <w:szCs w:val="32"/>
          <w:rtl/>
        </w:rPr>
        <w:br w:type="page"/>
      </w:r>
    </w:p>
    <w:p w:rsidR="00F72742" w:rsidRPr="00EC737F" w:rsidRDefault="00F72742" w:rsidP="00F72742">
      <w:pPr>
        <w:widowControl w:val="0"/>
        <w:spacing w:after="120"/>
        <w:ind w:firstLine="567"/>
        <w:jc w:val="lowKashida"/>
        <w:rPr>
          <w:rFonts w:cs="Traditional Arabic" w:hint="cs"/>
          <w:sz w:val="28"/>
          <w:szCs w:val="32"/>
          <w:rtl/>
        </w:rPr>
      </w:pPr>
    </w:p>
    <w:p w:rsidR="00F72742" w:rsidRPr="00EC737F" w:rsidRDefault="00F72742" w:rsidP="00F72742">
      <w:pPr>
        <w:widowControl w:val="0"/>
        <w:spacing w:after="120"/>
        <w:ind w:firstLine="567"/>
        <w:jc w:val="lowKashida"/>
        <w:rPr>
          <w:rFonts w:cs="Traditional Arabic" w:hint="cs"/>
          <w:sz w:val="28"/>
          <w:szCs w:val="32"/>
          <w:rtl/>
        </w:rPr>
      </w:pPr>
    </w:p>
    <w:p w:rsidR="00F72742" w:rsidRPr="00EC737F" w:rsidRDefault="00F72742" w:rsidP="00F72742">
      <w:pPr>
        <w:widowControl w:val="0"/>
        <w:spacing w:after="120"/>
        <w:jc w:val="center"/>
        <w:rPr>
          <w:rFonts w:cs="Traditional Arabic" w:hint="cs"/>
          <w:sz w:val="28"/>
          <w:szCs w:val="60"/>
          <w:rtl/>
        </w:rPr>
      </w:pPr>
      <w:r w:rsidRPr="00EC737F">
        <w:rPr>
          <w:rFonts w:cs="Traditional Arabic" w:hint="cs"/>
          <w:sz w:val="28"/>
          <w:szCs w:val="32"/>
          <w:rtl/>
        </w:rPr>
        <w:t xml:space="preserve">$258 </w:t>
      </w:r>
      <w:r w:rsidRPr="00EC737F">
        <w:rPr>
          <w:rFonts w:cs="Traditional Arabic" w:hint="cs"/>
          <w:sz w:val="28"/>
          <w:szCs w:val="60"/>
          <w:rtl/>
        </w:rPr>
        <w:t>القسم الثاني</w:t>
      </w:r>
    </w:p>
    <w:p w:rsidR="00F72742" w:rsidRPr="00EC737F" w:rsidRDefault="00F72742" w:rsidP="00F72742">
      <w:pPr>
        <w:widowControl w:val="0"/>
        <w:spacing w:after="120"/>
        <w:jc w:val="center"/>
        <w:rPr>
          <w:rFonts w:cs="Traditional Arabic" w:hint="cs"/>
          <w:sz w:val="28"/>
          <w:szCs w:val="90"/>
          <w:rtl/>
        </w:rPr>
      </w:pPr>
      <w:r w:rsidRPr="00EC737F">
        <w:rPr>
          <w:rFonts w:cs="Traditional Arabic" w:hint="cs"/>
          <w:sz w:val="28"/>
          <w:szCs w:val="90"/>
          <w:rtl/>
        </w:rPr>
        <w:t>التأمينات العينية</w:t>
      </w:r>
    </w:p>
    <w:p w:rsidR="00F72742" w:rsidRPr="00EC737F" w:rsidRDefault="00F72742" w:rsidP="00F72742">
      <w:pPr>
        <w:widowControl w:val="0"/>
        <w:spacing w:after="120"/>
        <w:jc w:val="center"/>
        <w:rPr>
          <w:rFonts w:cs="Traditional Arabic" w:hint="cs"/>
          <w:b/>
          <w:bCs/>
          <w:sz w:val="28"/>
          <w:szCs w:val="60"/>
          <w:rtl/>
        </w:rPr>
      </w:pPr>
      <w:r w:rsidRPr="00EC737F">
        <w:rPr>
          <w:rFonts w:cs="Traditional Arabic"/>
          <w:sz w:val="28"/>
          <w:szCs w:val="32"/>
          <w:rtl/>
        </w:rPr>
        <w:br w:type="page"/>
      </w:r>
      <w:r w:rsidRPr="00EC737F">
        <w:rPr>
          <w:rFonts w:cs="Traditional Arabic"/>
          <w:sz w:val="28"/>
          <w:szCs w:val="32"/>
          <w:rtl/>
        </w:rPr>
        <w:lastRenderedPageBreak/>
        <w:br w:type="page"/>
      </w:r>
      <w:r w:rsidRPr="00EC737F">
        <w:rPr>
          <w:rFonts w:cs="Traditional Arabic" w:hint="cs"/>
          <w:sz w:val="28"/>
          <w:szCs w:val="32"/>
          <w:rtl/>
        </w:rPr>
        <w:lastRenderedPageBreak/>
        <w:t>$261</w:t>
      </w:r>
      <w:r w:rsidRPr="00EC737F">
        <w:rPr>
          <w:rFonts w:cs="Traditional Arabic" w:hint="cs"/>
          <w:b/>
          <w:bCs/>
          <w:sz w:val="28"/>
          <w:szCs w:val="60"/>
          <w:rtl/>
        </w:rPr>
        <w:t xml:space="preserve"> تمهيد</w:t>
      </w:r>
      <w:r>
        <w:rPr>
          <w:rStyle w:val="ab"/>
          <w:rFonts w:cs="Traditional Arabic"/>
          <w:b/>
          <w:bCs/>
          <w:sz w:val="28"/>
          <w:szCs w:val="60"/>
          <w:rtl/>
        </w:rPr>
        <w:t xml:space="preserve">( </w:t>
      </w:r>
      <w:r w:rsidRPr="00EC737F">
        <w:rPr>
          <w:rStyle w:val="ab"/>
          <w:rFonts w:cs="Traditional Arabic"/>
          <w:b/>
          <w:bCs/>
          <w:sz w:val="28"/>
          <w:szCs w:val="60"/>
          <w:rtl/>
        </w:rPr>
        <w:t>*</w:t>
      </w:r>
      <w:r>
        <w:rPr>
          <w:rStyle w:val="ab"/>
          <w:rFonts w:cs="Traditional Arabic"/>
          <w:b/>
          <w:bCs/>
          <w:sz w:val="28"/>
          <w:szCs w:val="60"/>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112- كيف يتقدم الدائن ذو التأمين العيني على الدائن العادي</w:t>
      </w:r>
      <w:r>
        <w:rPr>
          <w:rFonts w:cs="Traditional Arabic" w:hint="cs"/>
          <w:sz w:val="28"/>
          <w:szCs w:val="32"/>
          <w:rtl/>
        </w:rPr>
        <w:t xml:space="preserve"> :</w:t>
      </w:r>
      <w:r w:rsidRPr="00EC737F">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593"/>
      </w:r>
      <w:r>
        <w:rPr>
          <w:rFonts w:cs="Traditional Arabic" w:hint="cs"/>
          <w:sz w:val="28"/>
          <w:szCs w:val="32"/>
          <w:vertAlign w:val="superscript"/>
          <w:rtl/>
        </w:rPr>
        <w:t xml:space="preserve"> )</w:t>
      </w:r>
      <w:r w:rsidRPr="00EC737F">
        <w:rPr>
          <w:rFonts w:cs="Traditional Arabic" w:hint="cs"/>
          <w:sz w:val="28"/>
          <w:szCs w:val="32"/>
          <w:rtl/>
        </w:rPr>
        <w:t xml:space="preserve"> أن الدائن قد يكون له تأمينات خاصة</w:t>
      </w:r>
      <w:r>
        <w:rPr>
          <w:rFonts w:cs="Traditional Arabic" w:hint="cs"/>
          <w:sz w:val="28"/>
          <w:szCs w:val="32"/>
          <w:rtl/>
        </w:rPr>
        <w:t xml:space="preserve"> ،</w:t>
      </w:r>
      <w:r w:rsidRPr="00EC737F">
        <w:rPr>
          <w:rFonts w:cs="Traditional Arabic" w:hint="cs"/>
          <w:sz w:val="28"/>
          <w:szCs w:val="32"/>
          <w:rtl/>
        </w:rPr>
        <w:t xml:space="preserve"> وهي نوعان شخصية وعينية</w:t>
      </w:r>
      <w:r>
        <w:rPr>
          <w:rFonts w:cs="Traditional Arabic" w:hint="cs"/>
          <w:sz w:val="28"/>
          <w:szCs w:val="32"/>
          <w:rtl/>
        </w:rPr>
        <w:t xml:space="preserve"> .</w:t>
      </w:r>
      <w:r w:rsidRPr="00EC737F">
        <w:rPr>
          <w:rFonts w:cs="Traditional Arabic" w:hint="cs"/>
          <w:sz w:val="28"/>
          <w:szCs w:val="32"/>
          <w:rtl/>
        </w:rPr>
        <w:t xml:space="preserve"> والذي يعنينا هنا هو التأمينات العينية</w:t>
      </w:r>
      <w:r>
        <w:rPr>
          <w:rFonts w:cs="Traditional Arabic" w:hint="cs"/>
          <w:sz w:val="28"/>
          <w:szCs w:val="32"/>
          <w:rtl/>
        </w:rPr>
        <w:t xml:space="preserve"> .</w:t>
      </w:r>
      <w:r w:rsidRPr="00EC737F">
        <w:rPr>
          <w:rFonts w:cs="Traditional Arabic" w:hint="cs"/>
          <w:sz w:val="28"/>
          <w:szCs w:val="32"/>
          <w:rtl/>
        </w:rPr>
        <w:t xml:space="preserve"> لا التأمينات الشخصية</w:t>
      </w:r>
      <w:r>
        <w:rPr>
          <w:rFonts w:cs="Traditional Arabic" w:hint="cs"/>
          <w:sz w:val="28"/>
          <w:szCs w:val="32"/>
          <w:rtl/>
        </w:rPr>
        <w:t xml:space="preserve"> .</w:t>
      </w:r>
      <w:r w:rsidRPr="00EC737F">
        <w:rPr>
          <w:rFonts w:cs="Traditional Arabic" w:hint="cs"/>
          <w:sz w:val="28"/>
          <w:szCs w:val="32"/>
          <w:rtl/>
        </w:rPr>
        <w:t xml:space="preserve"> فالتأمينات $262 العينية تجعل الدائن الذي يتمتع بها يتقدم على الدائن العادي</w:t>
      </w:r>
      <w:r>
        <w:rPr>
          <w:rFonts w:cs="Traditional Arabic" w:hint="cs"/>
          <w:sz w:val="28"/>
          <w:szCs w:val="32"/>
          <w:rtl/>
        </w:rPr>
        <w:t xml:space="preserve"> ،</w:t>
      </w:r>
      <w:r w:rsidRPr="00EC737F">
        <w:rPr>
          <w:rFonts w:cs="Traditional Arabic" w:hint="cs"/>
          <w:sz w:val="28"/>
          <w:szCs w:val="32"/>
          <w:rtl/>
        </w:rPr>
        <w:t xml:space="preserve"> بأن يتقاضى حقه من هذه التأمينات متقدماً في ذلك على الدائن العادي</w:t>
      </w:r>
      <w:r>
        <w:rPr>
          <w:rFonts w:cs="Traditional Arabic" w:hint="cs"/>
          <w:sz w:val="28"/>
          <w:szCs w:val="32"/>
          <w:rtl/>
        </w:rPr>
        <w:t xml:space="preserve"> .</w:t>
      </w:r>
      <w:r w:rsidRPr="00EC737F">
        <w:rPr>
          <w:rFonts w:cs="Traditional Arabic" w:hint="cs"/>
          <w:sz w:val="28"/>
          <w:szCs w:val="32"/>
          <w:rtl/>
        </w:rPr>
        <w:t xml:space="preserve"> والدائن ذو التأمينات العينية ليس له فحسب حق التقدم </w:t>
      </w:r>
      <w:r>
        <w:rPr>
          <w:rFonts w:cs="Traditional Arabic"/>
          <w:sz w:val="28"/>
          <w:szCs w:val="32"/>
          <w:rtl/>
        </w:rPr>
        <w:t xml:space="preserve">( </w:t>
      </w:r>
      <w:r w:rsidRPr="00EC737F">
        <w:rPr>
          <w:rFonts w:cs="Traditional Arabic"/>
          <w:sz w:val="28"/>
          <w:szCs w:val="32"/>
        </w:rPr>
        <w:t>droit de preference</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بل له أيضاً حق التتبع </w:t>
      </w:r>
      <w:r>
        <w:rPr>
          <w:rFonts w:cs="Traditional Arabic"/>
          <w:sz w:val="28"/>
          <w:szCs w:val="32"/>
          <w:rtl/>
        </w:rPr>
        <w:t xml:space="preserve">( </w:t>
      </w:r>
      <w:r w:rsidRPr="00EC737F">
        <w:rPr>
          <w:rFonts w:cs="Traditional Arabic"/>
          <w:sz w:val="28"/>
          <w:szCs w:val="32"/>
        </w:rPr>
        <w:t>droit de suite</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فإذا باع مالك التأمين العيني مثلا هذا التأمين كان للدائن أن يتتبعه في يد من يشتريه</w:t>
      </w:r>
      <w:r>
        <w:rPr>
          <w:rFonts w:cs="Traditional Arabic" w:hint="cs"/>
          <w:sz w:val="28"/>
          <w:szCs w:val="32"/>
          <w:rtl/>
        </w:rPr>
        <w:t xml:space="preserve"> ،</w:t>
      </w:r>
      <w:r w:rsidRPr="00EC737F">
        <w:rPr>
          <w:rFonts w:cs="Traditional Arabic" w:hint="cs"/>
          <w:sz w:val="28"/>
          <w:szCs w:val="32"/>
          <w:rtl/>
        </w:rPr>
        <w:t xml:space="preserve"> وينفذ عليه بحقه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ظهرت التأمينات العينية متأخرة عن التأمينات الشخصية كما سبق القول</w:t>
      </w:r>
      <w:r>
        <w:rPr>
          <w:rFonts w:cs="Traditional Arabic" w:hint="cs"/>
          <w:sz w:val="28"/>
          <w:szCs w:val="32"/>
          <w:vertAlign w:val="superscript"/>
          <w:rtl/>
        </w:rPr>
        <w:t xml:space="preserve">( </w:t>
      </w:r>
      <w:r w:rsidRPr="00EC737F">
        <w:rPr>
          <w:rStyle w:val="ab"/>
          <w:rFonts w:cs="Traditional Arabic"/>
          <w:sz w:val="28"/>
          <w:szCs w:val="32"/>
          <w:rtl/>
        </w:rPr>
        <w:footnoteReference w:id="59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فلما ظهرت</w:t>
      </w:r>
      <w:r>
        <w:rPr>
          <w:rFonts w:cs="Traditional Arabic" w:hint="cs"/>
          <w:sz w:val="28"/>
          <w:szCs w:val="32"/>
          <w:rtl/>
        </w:rPr>
        <w:t xml:space="preserve"> ،</w:t>
      </w:r>
      <w:r w:rsidRPr="00EC737F">
        <w:rPr>
          <w:rFonts w:cs="Traditional Arabic" w:hint="cs"/>
          <w:sz w:val="28"/>
          <w:szCs w:val="32"/>
          <w:rtl/>
        </w:rPr>
        <w:t xml:space="preserve"> كان لا بد من تنظيمها قانوناً</w:t>
      </w:r>
      <w:r>
        <w:rPr>
          <w:rFonts w:cs="Traditional Arabic" w:hint="cs"/>
          <w:sz w:val="28"/>
          <w:szCs w:val="32"/>
          <w:rtl/>
        </w:rPr>
        <w:t xml:space="preserve"> .</w:t>
      </w:r>
      <w:r w:rsidRPr="00EC737F">
        <w:rPr>
          <w:rFonts w:cs="Traditional Arabic" w:hint="cs"/>
          <w:sz w:val="28"/>
          <w:szCs w:val="32"/>
          <w:rtl/>
        </w:rPr>
        <w:t xml:space="preserve"> وكان هناك نوعان من التأمينات العينية</w:t>
      </w:r>
      <w:r>
        <w:rPr>
          <w:rFonts w:cs="Traditional Arabic" w:hint="cs"/>
          <w:sz w:val="28"/>
          <w:szCs w:val="32"/>
          <w:rtl/>
        </w:rPr>
        <w:t xml:space="preserve"> ،</w:t>
      </w:r>
      <w:r w:rsidRPr="00EC737F">
        <w:rPr>
          <w:rFonts w:cs="Traditional Arabic" w:hint="cs"/>
          <w:sz w:val="28"/>
          <w:szCs w:val="32"/>
          <w:rtl/>
        </w:rPr>
        <w:t xml:space="preserve"> نوع يقوم على الحيازة ونوع لا يقوم عليها</w:t>
      </w:r>
      <w:r>
        <w:rPr>
          <w:rFonts w:cs="Traditional Arabic" w:hint="cs"/>
          <w:sz w:val="28"/>
          <w:szCs w:val="32"/>
          <w:rtl/>
        </w:rPr>
        <w:t xml:space="preserve"> .</w:t>
      </w:r>
      <w:r w:rsidRPr="00EC737F">
        <w:rPr>
          <w:rFonts w:cs="Traditional Arabic" w:hint="cs"/>
          <w:sz w:val="28"/>
          <w:szCs w:val="32"/>
          <w:rtl/>
        </w:rPr>
        <w:t xml:space="preserve"> فالنوع الذي يقوم على الحيازة كان ينقل حيازة التأمين العيني إلى يد الدائن</w:t>
      </w:r>
      <w:r>
        <w:rPr>
          <w:rFonts w:cs="Traditional Arabic" w:hint="cs"/>
          <w:sz w:val="28"/>
          <w:szCs w:val="32"/>
          <w:rtl/>
        </w:rPr>
        <w:t xml:space="preserve"> ،</w:t>
      </w:r>
      <w:r w:rsidRPr="00EC737F">
        <w:rPr>
          <w:rFonts w:cs="Traditional Arabic" w:hint="cs"/>
          <w:sz w:val="28"/>
          <w:szCs w:val="32"/>
          <w:rtl/>
        </w:rPr>
        <w:t xml:space="preserve"> ويبقى هذا الدائن الحائز مرتهناً للعين إلى أن يحل الدين</w:t>
      </w:r>
      <w:r>
        <w:rPr>
          <w:rFonts w:cs="Traditional Arabic" w:hint="cs"/>
          <w:sz w:val="28"/>
          <w:szCs w:val="32"/>
          <w:rtl/>
        </w:rPr>
        <w:t xml:space="preserve"> ،</w:t>
      </w:r>
      <w:r w:rsidRPr="00EC737F">
        <w:rPr>
          <w:rFonts w:cs="Traditional Arabic" w:hint="cs"/>
          <w:sz w:val="28"/>
          <w:szCs w:val="32"/>
          <w:rtl/>
        </w:rPr>
        <w:t xml:space="preserve"> فإما أن يستوفيه من المدين أو أن يبيع التأمين العيني طبقاً للإجراءات التي سنها القانون ليستوفي الدين من ثمنه</w:t>
      </w:r>
      <w:r>
        <w:rPr>
          <w:rFonts w:cs="Traditional Arabic" w:hint="cs"/>
          <w:sz w:val="28"/>
          <w:szCs w:val="32"/>
          <w:rtl/>
        </w:rPr>
        <w:t xml:space="preserve"> .</w:t>
      </w:r>
      <w:r w:rsidRPr="00EC737F">
        <w:rPr>
          <w:rFonts w:cs="Traditional Arabic" w:hint="cs"/>
          <w:sz w:val="28"/>
          <w:szCs w:val="32"/>
          <w:rtl/>
        </w:rPr>
        <w:t xml:space="preserve"> أما النوع الآخر فكان لا يقوم على الحيازة</w:t>
      </w:r>
      <w:r>
        <w:rPr>
          <w:rFonts w:cs="Traditional Arabic" w:hint="cs"/>
          <w:sz w:val="28"/>
          <w:szCs w:val="32"/>
          <w:rtl/>
        </w:rPr>
        <w:t xml:space="preserve"> ،</w:t>
      </w:r>
      <w:r w:rsidRPr="00EC737F">
        <w:rPr>
          <w:rFonts w:cs="Traditional Arabic" w:hint="cs"/>
          <w:sz w:val="28"/>
          <w:szCs w:val="32"/>
          <w:rtl/>
        </w:rPr>
        <w:t xml:space="preserve"> ويبقى التأمين العيني في يد المدين إلى أن يحل الدين</w:t>
      </w:r>
      <w:r>
        <w:rPr>
          <w:rFonts w:cs="Traditional Arabic" w:hint="cs"/>
          <w:sz w:val="28"/>
          <w:szCs w:val="32"/>
          <w:rtl/>
        </w:rPr>
        <w:t xml:space="preserve"> ،</w:t>
      </w:r>
      <w:r w:rsidRPr="00EC737F">
        <w:rPr>
          <w:rFonts w:cs="Traditional Arabic" w:hint="cs"/>
          <w:sz w:val="28"/>
          <w:szCs w:val="32"/>
          <w:rtl/>
        </w:rPr>
        <w:t xml:space="preserve"> فيستوفي الدائن دينه من المدين أو يبيع التأمين العيني طبقاً للإجراءات القانونية ليستوفي الدين من ثمنه</w:t>
      </w:r>
      <w:r>
        <w:rPr>
          <w:rFonts w:cs="Traditional Arabic" w:hint="cs"/>
          <w:sz w:val="28"/>
          <w:szCs w:val="32"/>
          <w:rtl/>
        </w:rPr>
        <w:t xml:space="preserve"> .</w:t>
      </w:r>
      <w:r w:rsidRPr="00EC737F">
        <w:rPr>
          <w:rFonts w:cs="Traditional Arabic" w:hint="cs"/>
          <w:sz w:val="28"/>
          <w:szCs w:val="32"/>
          <w:rtl/>
        </w:rPr>
        <w:t xml:space="preserve"> وكان كل من النوعين يتناول العقار والمنقول</w:t>
      </w:r>
      <w:r>
        <w:rPr>
          <w:rFonts w:cs="Traditional Arabic" w:hint="cs"/>
          <w:sz w:val="28"/>
          <w:szCs w:val="32"/>
          <w:rtl/>
        </w:rPr>
        <w:t xml:space="preserve"> ،</w:t>
      </w:r>
      <w:r w:rsidRPr="00EC737F">
        <w:rPr>
          <w:rFonts w:cs="Traditional Arabic" w:hint="cs"/>
          <w:sz w:val="28"/>
          <w:szCs w:val="32"/>
          <w:rtl/>
        </w:rPr>
        <w:t xml:space="preserve"> ثم أخذ النوع الثاني وهو يتمثل في الرهن الرسمي يقتصر على العقار وحده</w:t>
      </w:r>
      <w:r>
        <w:rPr>
          <w:rFonts w:cs="Traditional Arabic" w:hint="cs"/>
          <w:sz w:val="28"/>
          <w:szCs w:val="32"/>
          <w:rtl/>
        </w:rPr>
        <w:t xml:space="preserve"> ،</w:t>
      </w:r>
      <w:r w:rsidRPr="00EC737F">
        <w:rPr>
          <w:rFonts w:cs="Traditional Arabic" w:hint="cs"/>
          <w:sz w:val="28"/>
          <w:szCs w:val="32"/>
          <w:rtl/>
        </w:rPr>
        <w:t xml:space="preserve"> في حين أن النوع الأول بقي يتناول العقار والمنقول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وكان القانون الروماني يجعل كلا من الرهن الحيازي والرهن الرسمي يتناول العقار والمنقول</w:t>
      </w:r>
      <w:r>
        <w:rPr>
          <w:rFonts w:cs="Traditional Arabic" w:hint="cs"/>
          <w:sz w:val="28"/>
          <w:szCs w:val="32"/>
          <w:rtl/>
        </w:rPr>
        <w:t xml:space="preserve"> ،</w:t>
      </w:r>
      <w:r w:rsidRPr="00EC737F">
        <w:rPr>
          <w:rFonts w:cs="Traditional Arabic" w:hint="cs"/>
          <w:sz w:val="28"/>
          <w:szCs w:val="32"/>
          <w:rtl/>
        </w:rPr>
        <w:t xml:space="preserve"> وسار </w:t>
      </w:r>
      <w:r w:rsidRPr="00EC737F">
        <w:rPr>
          <w:rFonts w:cs="Traditional Arabic" w:hint="cs"/>
          <w:sz w:val="28"/>
          <w:szCs w:val="32"/>
          <w:rtl/>
        </w:rPr>
        <w:lastRenderedPageBreak/>
        <w:t>القانون الفرنسي القديم على هذا النحو إلى القرن السادس عشر</w:t>
      </w:r>
      <w:r>
        <w:rPr>
          <w:rFonts w:cs="Traditional Arabic" w:hint="cs"/>
          <w:sz w:val="28"/>
          <w:szCs w:val="32"/>
          <w:rtl/>
        </w:rPr>
        <w:t xml:space="preserve"> .</w:t>
      </w:r>
      <w:r w:rsidRPr="00EC737F">
        <w:rPr>
          <w:rFonts w:cs="Traditional Arabic" w:hint="cs"/>
          <w:sz w:val="28"/>
          <w:szCs w:val="32"/>
          <w:rtl/>
        </w:rPr>
        <w:t xml:space="preserve"> ومنذ ذلك الوقت</w:t>
      </w:r>
      <w:r>
        <w:rPr>
          <w:rFonts w:cs="Traditional Arabic" w:hint="cs"/>
          <w:sz w:val="28"/>
          <w:szCs w:val="32"/>
          <w:rtl/>
        </w:rPr>
        <w:t xml:space="preserve"> ،</w:t>
      </w:r>
      <w:r w:rsidRPr="00EC737F">
        <w:rPr>
          <w:rFonts w:cs="Traditional Arabic" w:hint="cs"/>
          <w:sz w:val="28"/>
          <w:szCs w:val="32"/>
          <w:rtl/>
        </w:rPr>
        <w:t xml:space="preserve"> ثم في التقنين المدني الفرنسي نفسه</w:t>
      </w:r>
      <w:r>
        <w:rPr>
          <w:rFonts w:cs="Traditional Arabic" w:hint="cs"/>
          <w:sz w:val="28"/>
          <w:szCs w:val="32"/>
          <w:rtl/>
        </w:rPr>
        <w:t xml:space="preserve"> ،</w:t>
      </w:r>
      <w:r w:rsidRPr="00EC737F">
        <w:rPr>
          <w:rFonts w:cs="Traditional Arabic" w:hint="cs"/>
          <w:sz w:val="28"/>
          <w:szCs w:val="32"/>
          <w:rtl/>
        </w:rPr>
        <w:t xml:space="preserve"> أخذ الرهن الرسمي يقتصر على العقار وحده كما سبق القول</w:t>
      </w:r>
      <w:r>
        <w:rPr>
          <w:rFonts w:cs="Traditional Arabic" w:hint="cs"/>
          <w:sz w:val="28"/>
          <w:szCs w:val="32"/>
          <w:rtl/>
        </w:rPr>
        <w:t xml:space="preserve"> ،</w:t>
      </w:r>
      <w:r w:rsidRPr="00EC737F">
        <w:rPr>
          <w:rFonts w:cs="Traditional Arabic" w:hint="cs"/>
          <w:sz w:val="28"/>
          <w:szCs w:val="32"/>
          <w:rtl/>
        </w:rPr>
        <w:t xml:space="preserve"> واخذ رهن المنقول حيازة </w:t>
      </w:r>
      <w:r>
        <w:rPr>
          <w:rFonts w:cs="Traditional Arabic"/>
          <w:sz w:val="28"/>
          <w:szCs w:val="32"/>
          <w:rtl/>
        </w:rPr>
        <w:t xml:space="preserve">( </w:t>
      </w:r>
      <w:r w:rsidRPr="00EC737F">
        <w:rPr>
          <w:rFonts w:cs="Traditional Arabic"/>
          <w:sz w:val="28"/>
          <w:szCs w:val="32"/>
        </w:rPr>
        <w:t>gage</w:t>
      </w:r>
      <w:r>
        <w:rPr>
          <w:rFonts w:cs="Traditional Arabic"/>
          <w:sz w:val="28"/>
          <w:szCs w:val="32"/>
          <w:rtl/>
        </w:rPr>
        <w:t xml:space="preserve"> )</w:t>
      </w:r>
      <w:r w:rsidRPr="00EC737F">
        <w:rPr>
          <w:rFonts w:cs="Traditional Arabic" w:hint="cs"/>
          <w:sz w:val="28"/>
          <w:szCs w:val="32"/>
          <w:rtl/>
        </w:rPr>
        <w:t xml:space="preserve"> يقتصر على المنقول</w:t>
      </w:r>
      <w:r>
        <w:rPr>
          <w:rFonts w:cs="Traditional Arabic" w:hint="cs"/>
          <w:sz w:val="28"/>
          <w:szCs w:val="32"/>
          <w:rtl/>
        </w:rPr>
        <w:t xml:space="preserve"> .</w:t>
      </w:r>
      <w:r w:rsidRPr="00EC737F">
        <w:rPr>
          <w:rFonts w:cs="Traditional Arabic" w:hint="cs"/>
          <w:sz w:val="28"/>
          <w:szCs w:val="32"/>
          <w:rtl/>
        </w:rPr>
        <w:t xml:space="preserve"> ولكن الرهن الحيازي ظل يشمل كلا من العقار والمنقول تحت اسم </w:t>
      </w:r>
      <w:r w:rsidRPr="00EC737F">
        <w:rPr>
          <w:rFonts w:cs="Traditional Arabic"/>
          <w:sz w:val="28"/>
          <w:szCs w:val="32"/>
        </w:rPr>
        <w:t>nantissement</w:t>
      </w:r>
      <w:r w:rsidRPr="00EC737F">
        <w:rPr>
          <w:rFonts w:cs="Traditional Arabic" w:hint="cs"/>
          <w:sz w:val="28"/>
          <w:szCs w:val="32"/>
          <w:rtl/>
        </w:rPr>
        <w:t xml:space="preserve"> في التقنين $263 المدني الفرنسي في سنة 1804</w:t>
      </w:r>
      <w:r>
        <w:rPr>
          <w:rFonts w:cs="Traditional Arabic" w:hint="cs"/>
          <w:sz w:val="28"/>
          <w:szCs w:val="32"/>
          <w:rtl/>
        </w:rPr>
        <w:t xml:space="preserve"> ،</w:t>
      </w:r>
      <w:r w:rsidRPr="00EC737F">
        <w:rPr>
          <w:rFonts w:cs="Traditional Arabic" w:hint="cs"/>
          <w:sz w:val="28"/>
          <w:szCs w:val="32"/>
          <w:rtl/>
        </w:rPr>
        <w:t xml:space="preserve"> فإذا كان الشيء المرهون منقولا سمي الرهن </w:t>
      </w:r>
      <w:r w:rsidRPr="00EC737F">
        <w:rPr>
          <w:rFonts w:cs="Traditional Arabic"/>
          <w:sz w:val="28"/>
          <w:szCs w:val="32"/>
        </w:rPr>
        <w:t>gage</w:t>
      </w:r>
      <w:r>
        <w:rPr>
          <w:rFonts w:cs="Traditional Arabic" w:hint="cs"/>
          <w:sz w:val="28"/>
          <w:szCs w:val="32"/>
          <w:rtl/>
        </w:rPr>
        <w:t xml:space="preserve"> ،</w:t>
      </w:r>
      <w:r w:rsidRPr="00EC737F">
        <w:rPr>
          <w:rFonts w:cs="Traditional Arabic" w:hint="cs"/>
          <w:sz w:val="28"/>
          <w:szCs w:val="32"/>
          <w:rtl/>
        </w:rPr>
        <w:t xml:space="preserve"> وإذا كان عقاراً سمي الرهن </w:t>
      </w:r>
      <w:r w:rsidRPr="00EC737F">
        <w:rPr>
          <w:rFonts w:cs="Traditional Arabic"/>
          <w:sz w:val="28"/>
          <w:szCs w:val="32"/>
        </w:rPr>
        <w:t>antichrese</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وإلى جانب الرهن</w:t>
      </w:r>
      <w:r>
        <w:rPr>
          <w:rFonts w:cs="Traditional Arabic" w:hint="cs"/>
          <w:sz w:val="28"/>
          <w:szCs w:val="32"/>
          <w:rtl/>
        </w:rPr>
        <w:t xml:space="preserve"> ،</w:t>
      </w:r>
      <w:r w:rsidRPr="00EC737F">
        <w:rPr>
          <w:rFonts w:cs="Traditional Arabic" w:hint="cs"/>
          <w:sz w:val="28"/>
          <w:szCs w:val="32"/>
          <w:rtl/>
        </w:rPr>
        <w:t xml:space="preserve"> رهناً رسمياً كان أو رهناً حيازياً</w:t>
      </w:r>
      <w:r>
        <w:rPr>
          <w:rFonts w:cs="Traditional Arabic" w:hint="cs"/>
          <w:sz w:val="28"/>
          <w:szCs w:val="32"/>
          <w:rtl/>
        </w:rPr>
        <w:t xml:space="preserve"> ،</w:t>
      </w:r>
      <w:r w:rsidRPr="00EC737F">
        <w:rPr>
          <w:rFonts w:cs="Traditional Arabic" w:hint="cs"/>
          <w:sz w:val="28"/>
          <w:szCs w:val="32"/>
          <w:rtl/>
        </w:rPr>
        <w:t xml:space="preserve"> وجد أيضاً في التأمينات حقوق الامتياز </w:t>
      </w:r>
      <w:r>
        <w:rPr>
          <w:rFonts w:cs="Traditional Arabic"/>
          <w:sz w:val="28"/>
          <w:szCs w:val="32"/>
          <w:rtl/>
        </w:rPr>
        <w:t xml:space="preserve">( </w:t>
      </w:r>
      <w:r w:rsidRPr="00EC737F">
        <w:rPr>
          <w:rFonts w:cs="Traditional Arabic"/>
          <w:sz w:val="28"/>
          <w:szCs w:val="32"/>
        </w:rPr>
        <w:t>privileges</w:t>
      </w:r>
      <w:r>
        <w:rPr>
          <w:rFonts w:cs="Traditional Arabic"/>
          <w:sz w:val="28"/>
          <w:szCs w:val="32"/>
          <w:rtl/>
        </w:rPr>
        <w:t xml:space="preserve"> )</w:t>
      </w:r>
      <w:r w:rsidRPr="00EC737F">
        <w:rPr>
          <w:rFonts w:cs="Traditional Arabic" w:hint="cs"/>
          <w:sz w:val="28"/>
          <w:szCs w:val="32"/>
          <w:rtl/>
        </w:rPr>
        <w:t xml:space="preserve"> وهذه الحقوق يوليها القانون للدائن على مجموع أموال المدين من منقولات وعقارات</w:t>
      </w:r>
      <w:r>
        <w:rPr>
          <w:rFonts w:cs="Traditional Arabic" w:hint="cs"/>
          <w:sz w:val="28"/>
          <w:szCs w:val="32"/>
          <w:rtl/>
        </w:rPr>
        <w:t xml:space="preserve"> ،</w:t>
      </w:r>
      <w:r w:rsidRPr="00EC737F">
        <w:rPr>
          <w:rFonts w:cs="Traditional Arabic" w:hint="cs"/>
          <w:sz w:val="28"/>
          <w:szCs w:val="32"/>
          <w:rtl/>
        </w:rPr>
        <w:t xml:space="preserve"> أو على منقول معين بالذات</w:t>
      </w:r>
      <w:r>
        <w:rPr>
          <w:rFonts w:cs="Traditional Arabic" w:hint="cs"/>
          <w:sz w:val="28"/>
          <w:szCs w:val="32"/>
          <w:rtl/>
        </w:rPr>
        <w:t xml:space="preserve"> ،</w:t>
      </w:r>
      <w:r w:rsidRPr="00EC737F">
        <w:rPr>
          <w:rFonts w:cs="Traditional Arabic" w:hint="cs"/>
          <w:sz w:val="28"/>
          <w:szCs w:val="32"/>
          <w:rtl/>
        </w:rPr>
        <w:t xml:space="preserve"> أو على عقار معين بالذات</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وحيث يوجد للدائن تأمين عيني</w:t>
      </w:r>
      <w:r>
        <w:rPr>
          <w:rFonts w:cs="Traditional Arabic" w:hint="cs"/>
          <w:sz w:val="28"/>
          <w:szCs w:val="32"/>
          <w:rtl/>
        </w:rPr>
        <w:t xml:space="preserve"> ،</w:t>
      </w:r>
      <w:r w:rsidRPr="00EC737F">
        <w:rPr>
          <w:rFonts w:cs="Traditional Arabic" w:hint="cs"/>
          <w:sz w:val="28"/>
          <w:szCs w:val="32"/>
          <w:rtl/>
        </w:rPr>
        <w:t xml:space="preserve"> رهن أو امتياز</w:t>
      </w:r>
      <w:r>
        <w:rPr>
          <w:rFonts w:cs="Traditional Arabic" w:hint="cs"/>
          <w:sz w:val="28"/>
          <w:szCs w:val="32"/>
          <w:rtl/>
        </w:rPr>
        <w:t xml:space="preserve"> ،</w:t>
      </w:r>
      <w:r w:rsidRPr="00EC737F">
        <w:rPr>
          <w:rFonts w:cs="Traditional Arabic" w:hint="cs"/>
          <w:sz w:val="28"/>
          <w:szCs w:val="32"/>
          <w:rtl/>
        </w:rPr>
        <w:t xml:space="preserve"> فانه يتقدم في هذا التأمين على سائر الدائنين العاديين</w:t>
      </w:r>
      <w:r>
        <w:rPr>
          <w:rFonts w:cs="Traditional Arabic" w:hint="cs"/>
          <w:sz w:val="28"/>
          <w:szCs w:val="32"/>
          <w:rtl/>
        </w:rPr>
        <w:t xml:space="preserve"> ،</w:t>
      </w:r>
      <w:r w:rsidRPr="00EC737F">
        <w:rPr>
          <w:rFonts w:cs="Traditional Arabic" w:hint="cs"/>
          <w:sz w:val="28"/>
          <w:szCs w:val="32"/>
          <w:rtl/>
        </w:rPr>
        <w:t xml:space="preserve"> بل ويتقدم على الدائنين الذين لهم حق متأخر على هذا التأمين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113- الفرق ما بين الرهون وحقوق الامتياز</w:t>
      </w:r>
      <w:r>
        <w:rPr>
          <w:rFonts w:cs="Traditional Arabic" w:hint="cs"/>
          <w:sz w:val="28"/>
          <w:szCs w:val="32"/>
          <w:rtl/>
        </w:rPr>
        <w:t xml:space="preserve"> :</w:t>
      </w:r>
      <w:r w:rsidRPr="00EC737F">
        <w:rPr>
          <w:rFonts w:cs="Traditional Arabic" w:hint="cs"/>
          <w:sz w:val="28"/>
          <w:szCs w:val="32"/>
          <w:rtl/>
        </w:rPr>
        <w:t xml:space="preserve"> وهناك فروق جوهرية ما بين الرهن وحقوق الامتياز</w:t>
      </w:r>
      <w:r>
        <w:rPr>
          <w:rFonts w:cs="Traditional Arabic" w:hint="cs"/>
          <w:sz w:val="28"/>
          <w:szCs w:val="32"/>
          <w:rtl/>
        </w:rPr>
        <w:t xml:space="preserve"> .</w:t>
      </w:r>
      <w:r w:rsidRPr="00EC737F">
        <w:rPr>
          <w:rFonts w:cs="Traditional Arabic" w:hint="cs"/>
          <w:sz w:val="28"/>
          <w:szCs w:val="32"/>
          <w:rtl/>
        </w:rPr>
        <w:t xml:space="preserve"> فحقوق الامتياز لا يمنحها إلا القانون</w:t>
      </w:r>
      <w:r>
        <w:rPr>
          <w:rFonts w:cs="Traditional Arabic" w:hint="cs"/>
          <w:sz w:val="28"/>
          <w:szCs w:val="32"/>
          <w:rtl/>
        </w:rPr>
        <w:t xml:space="preserve"> ،</w:t>
      </w:r>
      <w:r w:rsidRPr="00EC737F">
        <w:rPr>
          <w:rFonts w:cs="Traditional Arabic" w:hint="cs"/>
          <w:sz w:val="28"/>
          <w:szCs w:val="32"/>
          <w:rtl/>
        </w:rPr>
        <w:t xml:space="preserve"> ولا يستطيع الاتفاق أو القضاء أن يمنح حق امتياز للدائن على مال مدينه</w:t>
      </w:r>
      <w:r>
        <w:rPr>
          <w:rFonts w:cs="Traditional Arabic" w:hint="cs"/>
          <w:sz w:val="28"/>
          <w:szCs w:val="32"/>
          <w:rtl/>
        </w:rPr>
        <w:t xml:space="preserve"> .</w:t>
      </w:r>
      <w:r w:rsidRPr="00EC737F">
        <w:rPr>
          <w:rFonts w:cs="Traditional Arabic" w:hint="cs"/>
          <w:sz w:val="28"/>
          <w:szCs w:val="32"/>
          <w:rtl/>
        </w:rPr>
        <w:t xml:space="preserve"> وتوجد حقوق امتياز عامة يمنحها القانون على جميع أموال المدين من منقول وعقار</w:t>
      </w:r>
      <w:r>
        <w:rPr>
          <w:rFonts w:cs="Traditional Arabic" w:hint="cs"/>
          <w:sz w:val="28"/>
          <w:szCs w:val="32"/>
          <w:rtl/>
        </w:rPr>
        <w:t xml:space="preserve"> ،</w:t>
      </w:r>
      <w:r w:rsidRPr="00EC737F">
        <w:rPr>
          <w:rFonts w:cs="Traditional Arabic" w:hint="cs"/>
          <w:sz w:val="28"/>
          <w:szCs w:val="32"/>
          <w:rtl/>
        </w:rPr>
        <w:t xml:space="preserve"> كما توجد حقوق امتياز خاصة على منقول أو على عقار بالذات مملوكة للمدين</w:t>
      </w:r>
      <w:r>
        <w:rPr>
          <w:rFonts w:cs="Traditional Arabic" w:hint="cs"/>
          <w:sz w:val="28"/>
          <w:szCs w:val="32"/>
          <w:rtl/>
        </w:rPr>
        <w:t xml:space="preserve"> .</w:t>
      </w:r>
      <w:r w:rsidRPr="00EC737F">
        <w:rPr>
          <w:rFonts w:cs="Traditional Arabic" w:hint="cs"/>
          <w:sz w:val="28"/>
          <w:szCs w:val="32"/>
          <w:rtl/>
        </w:rPr>
        <w:t xml:space="preserve"> أما الرهون</w:t>
      </w:r>
      <w:r>
        <w:rPr>
          <w:rFonts w:cs="Traditional Arabic" w:hint="cs"/>
          <w:sz w:val="28"/>
          <w:szCs w:val="32"/>
          <w:rtl/>
        </w:rPr>
        <w:t xml:space="preserve"> ،</w:t>
      </w:r>
      <w:r w:rsidRPr="00EC737F">
        <w:rPr>
          <w:rFonts w:cs="Traditional Arabic" w:hint="cs"/>
          <w:sz w:val="28"/>
          <w:szCs w:val="32"/>
          <w:rtl/>
        </w:rPr>
        <w:t xml:space="preserve"> فالأصل فيها أن يمنحها الاتفاق ما بين الدائن والمدين</w:t>
      </w:r>
      <w:r>
        <w:rPr>
          <w:rFonts w:cs="Traditional Arabic" w:hint="cs"/>
          <w:sz w:val="28"/>
          <w:szCs w:val="32"/>
          <w:rtl/>
        </w:rPr>
        <w:t xml:space="preserve"> .</w:t>
      </w:r>
      <w:r w:rsidRPr="00EC737F">
        <w:rPr>
          <w:rFonts w:cs="Traditional Arabic" w:hint="cs"/>
          <w:sz w:val="28"/>
          <w:szCs w:val="32"/>
          <w:rtl/>
        </w:rPr>
        <w:t xml:space="preserve"> ويشمل ذلك الرهن الرسمي والرهن الحيازي</w:t>
      </w:r>
      <w:r>
        <w:rPr>
          <w:rFonts w:cs="Traditional Arabic" w:hint="cs"/>
          <w:sz w:val="28"/>
          <w:szCs w:val="32"/>
          <w:rtl/>
        </w:rPr>
        <w:t xml:space="preserve"> ،</w:t>
      </w:r>
      <w:r w:rsidRPr="00EC737F">
        <w:rPr>
          <w:rFonts w:cs="Traditional Arabic" w:hint="cs"/>
          <w:sz w:val="28"/>
          <w:szCs w:val="32"/>
          <w:rtl/>
        </w:rPr>
        <w:t xml:space="preserve"> فالرهنان يترتبان عادة على اتفاق ما بين الدائن والمدين</w:t>
      </w:r>
      <w:r>
        <w:rPr>
          <w:rFonts w:cs="Traditional Arabic" w:hint="cs"/>
          <w:sz w:val="28"/>
          <w:szCs w:val="32"/>
          <w:rtl/>
        </w:rPr>
        <w:t xml:space="preserve"> ،</w:t>
      </w:r>
      <w:r w:rsidRPr="00EC737F">
        <w:rPr>
          <w:rFonts w:cs="Traditional Arabic" w:hint="cs"/>
          <w:sz w:val="28"/>
          <w:szCs w:val="32"/>
          <w:rtl/>
        </w:rPr>
        <w:t xml:space="preserve"> ويكون الرهن الرسمي مقصوراً على العقار</w:t>
      </w:r>
      <w:r>
        <w:rPr>
          <w:rFonts w:cs="Traditional Arabic" w:hint="cs"/>
          <w:sz w:val="28"/>
          <w:szCs w:val="32"/>
          <w:rtl/>
        </w:rPr>
        <w:t xml:space="preserve"> ،</w:t>
      </w:r>
      <w:r w:rsidRPr="00EC737F">
        <w:rPr>
          <w:rFonts w:cs="Traditional Arabic" w:hint="cs"/>
          <w:sz w:val="28"/>
          <w:szCs w:val="32"/>
          <w:rtl/>
        </w:rPr>
        <w:t xml:space="preserve"> أما الرهن الحيازي فيشمل العقار والمنقول</w:t>
      </w:r>
      <w:r>
        <w:rPr>
          <w:rFonts w:cs="Traditional Arabic" w:hint="cs"/>
          <w:sz w:val="28"/>
          <w:szCs w:val="32"/>
          <w:rtl/>
        </w:rPr>
        <w:t xml:space="preserve"> .</w:t>
      </w:r>
      <w:r w:rsidRPr="00EC737F">
        <w:rPr>
          <w:rFonts w:cs="Traditional Arabic" w:hint="cs"/>
          <w:sz w:val="28"/>
          <w:szCs w:val="32"/>
          <w:rtl/>
        </w:rPr>
        <w:t xml:space="preserve"> ولكن هناك رهناً رسمياً يترتب على حكم من القضاء في التقنين المدني المصري وهذا هو حق الاختصاص</w:t>
      </w:r>
      <w:r>
        <w:rPr>
          <w:rFonts w:cs="Traditional Arabic" w:hint="cs"/>
          <w:sz w:val="28"/>
          <w:szCs w:val="32"/>
          <w:rtl/>
        </w:rPr>
        <w:t xml:space="preserve"> ،</w:t>
      </w:r>
      <w:r w:rsidRPr="00EC737F">
        <w:rPr>
          <w:rFonts w:cs="Traditional Arabic" w:hint="cs"/>
          <w:sz w:val="28"/>
          <w:szCs w:val="32"/>
          <w:rtl/>
        </w:rPr>
        <w:t xml:space="preserve"> كما أن هناك رهناً رسمياً يترتب على القانون ورهنا رسمياً يترتب على القضاء في التقنين المدين الفرنسي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والفروق الجوهرية ما بين الرهون وحقوق الامتياز ثلاثة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الفرق الأول</w:t>
      </w:r>
      <w:r>
        <w:rPr>
          <w:rFonts w:cs="Traditional Arabic" w:hint="cs"/>
          <w:sz w:val="28"/>
          <w:szCs w:val="32"/>
          <w:rtl/>
        </w:rPr>
        <w:t xml:space="preserve"> )</w:t>
      </w:r>
      <w:r w:rsidRPr="00EC737F">
        <w:rPr>
          <w:rFonts w:cs="Traditional Arabic" w:hint="cs"/>
          <w:sz w:val="28"/>
          <w:szCs w:val="32"/>
          <w:rtl/>
        </w:rPr>
        <w:t xml:space="preserve"> حقوق الامتياز يوليها القانون للديون في ذاتها بقطع $264 النظر عن دائنيها</w:t>
      </w:r>
      <w:r>
        <w:rPr>
          <w:rFonts w:cs="Traditional Arabic" w:hint="cs"/>
          <w:sz w:val="28"/>
          <w:szCs w:val="32"/>
          <w:rtl/>
        </w:rPr>
        <w:t xml:space="preserve"> ،</w:t>
      </w:r>
      <w:r w:rsidRPr="00EC737F">
        <w:rPr>
          <w:rFonts w:cs="Traditional Arabic" w:hint="cs"/>
          <w:sz w:val="28"/>
          <w:szCs w:val="32"/>
          <w:rtl/>
        </w:rPr>
        <w:t xml:space="preserve"> فالقانون يولي الدين حق امتياز فيجعله متقدماً على سائر الديون لخاصية يتمتع بها هذا الدين</w:t>
      </w:r>
      <w:r>
        <w:rPr>
          <w:rFonts w:cs="Traditional Arabic" w:hint="cs"/>
          <w:sz w:val="28"/>
          <w:szCs w:val="32"/>
          <w:rtl/>
        </w:rPr>
        <w:t xml:space="preserve"> .</w:t>
      </w:r>
      <w:r w:rsidRPr="00EC737F">
        <w:rPr>
          <w:rFonts w:cs="Traditional Arabic" w:hint="cs"/>
          <w:sz w:val="28"/>
          <w:szCs w:val="32"/>
          <w:rtl/>
        </w:rPr>
        <w:t xml:space="preserve"> أما الرهون</w:t>
      </w:r>
      <w:r>
        <w:rPr>
          <w:rFonts w:cs="Traditional Arabic" w:hint="cs"/>
          <w:sz w:val="28"/>
          <w:szCs w:val="32"/>
          <w:rtl/>
        </w:rPr>
        <w:t xml:space="preserve"> </w:t>
      </w:r>
      <w:r>
        <w:rPr>
          <w:rFonts w:cs="Traditional Arabic" w:hint="cs"/>
          <w:sz w:val="28"/>
          <w:szCs w:val="32"/>
          <w:rtl/>
        </w:rPr>
        <w:lastRenderedPageBreak/>
        <w:t>،</w:t>
      </w:r>
      <w:r w:rsidRPr="00EC737F">
        <w:rPr>
          <w:rFonts w:cs="Traditional Arabic" w:hint="cs"/>
          <w:sz w:val="28"/>
          <w:szCs w:val="32"/>
          <w:rtl/>
        </w:rPr>
        <w:t xml:space="preserve"> سواء أنشأها الاتفاق كما هو الغالب أو القانون في فرنسا أو القضاء في مصر</w:t>
      </w:r>
      <w:r>
        <w:rPr>
          <w:rFonts w:cs="Traditional Arabic" w:hint="cs"/>
          <w:sz w:val="28"/>
          <w:szCs w:val="32"/>
          <w:rtl/>
        </w:rPr>
        <w:t xml:space="preserve"> ،</w:t>
      </w:r>
      <w:r w:rsidRPr="00EC737F">
        <w:rPr>
          <w:rFonts w:cs="Traditional Arabic" w:hint="cs"/>
          <w:sz w:val="28"/>
          <w:szCs w:val="32"/>
          <w:rtl/>
        </w:rPr>
        <w:t xml:space="preserve"> فتعطي للدائن لا للمدين</w:t>
      </w:r>
      <w:r>
        <w:rPr>
          <w:rFonts w:cs="Traditional Arabic" w:hint="cs"/>
          <w:sz w:val="28"/>
          <w:szCs w:val="32"/>
          <w:rtl/>
        </w:rPr>
        <w:t xml:space="preserve"> .</w:t>
      </w:r>
      <w:r w:rsidRPr="00EC737F">
        <w:rPr>
          <w:rFonts w:cs="Traditional Arabic" w:hint="cs"/>
          <w:sz w:val="28"/>
          <w:szCs w:val="32"/>
          <w:rtl/>
        </w:rPr>
        <w:t xml:space="preserve"> فيكون الدائن هو الذي أرادها أياً كانت</w:t>
      </w:r>
      <w:r>
        <w:rPr>
          <w:rFonts w:cs="Traditional Arabic" w:hint="cs"/>
          <w:sz w:val="28"/>
          <w:szCs w:val="32"/>
          <w:rtl/>
        </w:rPr>
        <w:t xml:space="preserve"> ،</w:t>
      </w:r>
      <w:r w:rsidRPr="00EC737F">
        <w:rPr>
          <w:rFonts w:cs="Traditional Arabic" w:hint="cs"/>
          <w:sz w:val="28"/>
          <w:szCs w:val="32"/>
          <w:rtl/>
        </w:rPr>
        <w:t xml:space="preserve"> وقد يحل محل الدائن القانون أو القضاء لأسباب خاصة</w:t>
      </w:r>
      <w:r>
        <w:rPr>
          <w:rFonts w:cs="Traditional Arabic" w:hint="cs"/>
          <w:sz w:val="28"/>
          <w:szCs w:val="32"/>
          <w:rtl/>
        </w:rPr>
        <w:t xml:space="preserve"> ،</w:t>
      </w:r>
      <w:r w:rsidRPr="00EC737F">
        <w:rPr>
          <w:rFonts w:cs="Traditional Arabic" w:hint="cs"/>
          <w:sz w:val="28"/>
          <w:szCs w:val="32"/>
          <w:rtl/>
        </w:rPr>
        <w:t xml:space="preserve"> ولكنها على كل حال ميزة تعطي للدائن لا للمدين</w:t>
      </w:r>
      <w:r>
        <w:rPr>
          <w:rFonts w:cs="Traditional Arabic" w:hint="cs"/>
          <w:sz w:val="28"/>
          <w:szCs w:val="32"/>
          <w:vertAlign w:val="superscript"/>
          <w:rtl/>
        </w:rPr>
        <w:t xml:space="preserve">( </w:t>
      </w:r>
      <w:r w:rsidRPr="00EC737F">
        <w:rPr>
          <w:rStyle w:val="ab"/>
          <w:rFonts w:cs="Traditional Arabic"/>
          <w:sz w:val="28"/>
          <w:szCs w:val="32"/>
          <w:rtl/>
        </w:rPr>
        <w:footnoteReference w:id="59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الفرق الثاني</w:t>
      </w:r>
      <w:r>
        <w:rPr>
          <w:rFonts w:cs="Traditional Arabic" w:hint="cs"/>
          <w:sz w:val="28"/>
          <w:szCs w:val="32"/>
          <w:rtl/>
        </w:rPr>
        <w:t xml:space="preserve"> )</w:t>
      </w:r>
      <w:r w:rsidRPr="00EC737F">
        <w:rPr>
          <w:rFonts w:cs="Traditional Arabic" w:hint="cs"/>
          <w:sz w:val="28"/>
          <w:szCs w:val="32"/>
          <w:rtl/>
        </w:rPr>
        <w:t xml:space="preserve"> إذا تقدم دائنون بحقوق امتياز مختلفة</w:t>
      </w:r>
      <w:r>
        <w:rPr>
          <w:rFonts w:cs="Traditional Arabic" w:hint="cs"/>
          <w:sz w:val="28"/>
          <w:szCs w:val="32"/>
          <w:rtl/>
        </w:rPr>
        <w:t xml:space="preserve"> ،</w:t>
      </w:r>
      <w:r w:rsidRPr="00EC737F">
        <w:rPr>
          <w:rFonts w:cs="Traditional Arabic" w:hint="cs"/>
          <w:sz w:val="28"/>
          <w:szCs w:val="32"/>
          <w:rtl/>
        </w:rPr>
        <w:t xml:space="preserve"> فضل منهم من أعطي له القانون حق التقدم على غيره من الدائنين ذوي حقوق الامتياز الأخرى</w:t>
      </w:r>
      <w:r>
        <w:rPr>
          <w:rFonts w:cs="Traditional Arabic" w:hint="cs"/>
          <w:sz w:val="28"/>
          <w:szCs w:val="32"/>
          <w:rtl/>
        </w:rPr>
        <w:t xml:space="preserve"> ،</w:t>
      </w:r>
      <w:r w:rsidRPr="00EC737F">
        <w:rPr>
          <w:rFonts w:cs="Traditional Arabic" w:hint="cs"/>
          <w:sz w:val="28"/>
          <w:szCs w:val="32"/>
          <w:rtl/>
        </w:rPr>
        <w:t xml:space="preserve"> فالعبر إذن بما يقدمه القانون وما يؤخره من حقوق الامتياز المختلفة</w:t>
      </w:r>
      <w:r>
        <w:rPr>
          <w:rFonts w:cs="Traditional Arabic" w:hint="cs"/>
          <w:sz w:val="28"/>
          <w:szCs w:val="32"/>
          <w:rtl/>
        </w:rPr>
        <w:t xml:space="preserve"> .</w:t>
      </w:r>
      <w:r w:rsidRPr="00EC737F">
        <w:rPr>
          <w:rFonts w:cs="Traditional Arabic" w:hint="cs"/>
          <w:sz w:val="28"/>
          <w:szCs w:val="32"/>
          <w:rtl/>
        </w:rPr>
        <w:t xml:space="preserve"> فإن كان الدائنون ذوي حقوق امتياز من نوع واحد</w:t>
      </w:r>
      <w:r>
        <w:rPr>
          <w:rFonts w:cs="Traditional Arabic" w:hint="cs"/>
          <w:sz w:val="28"/>
          <w:szCs w:val="32"/>
          <w:rtl/>
        </w:rPr>
        <w:t xml:space="preserve"> ،</w:t>
      </w:r>
      <w:r w:rsidRPr="00EC737F">
        <w:rPr>
          <w:rFonts w:cs="Traditional Arabic" w:hint="cs"/>
          <w:sz w:val="28"/>
          <w:szCs w:val="32"/>
          <w:rtl/>
        </w:rPr>
        <w:t xml:space="preserve"> بحيث لا يتقدم منهم دائن على آخر</w:t>
      </w:r>
      <w:r>
        <w:rPr>
          <w:rFonts w:cs="Traditional Arabic" w:hint="cs"/>
          <w:sz w:val="28"/>
          <w:szCs w:val="32"/>
          <w:rtl/>
        </w:rPr>
        <w:t xml:space="preserve"> ،</w:t>
      </w:r>
      <w:r w:rsidRPr="00EC737F">
        <w:rPr>
          <w:rFonts w:cs="Traditional Arabic" w:hint="cs"/>
          <w:sz w:val="28"/>
          <w:szCs w:val="32"/>
          <w:rtl/>
        </w:rPr>
        <w:t xml:space="preserve"> اشتركوا جميعاً في تقاضي حقوقهم من هذا التأمين العيني</w:t>
      </w:r>
      <w:r>
        <w:rPr>
          <w:rFonts w:cs="Traditional Arabic" w:hint="cs"/>
          <w:sz w:val="28"/>
          <w:szCs w:val="32"/>
          <w:rtl/>
        </w:rPr>
        <w:t xml:space="preserve"> .</w:t>
      </w:r>
      <w:r w:rsidRPr="00EC737F">
        <w:rPr>
          <w:rFonts w:cs="Traditional Arabic" w:hint="cs"/>
          <w:sz w:val="28"/>
          <w:szCs w:val="32"/>
          <w:rtl/>
        </w:rPr>
        <w:t xml:space="preserve"> فإن اتسع لهم جميعاً أخذ كل منهم حقه</w:t>
      </w:r>
      <w:r>
        <w:rPr>
          <w:rFonts w:cs="Traditional Arabic" w:hint="cs"/>
          <w:sz w:val="28"/>
          <w:szCs w:val="32"/>
          <w:rtl/>
        </w:rPr>
        <w:t xml:space="preserve"> ،</w:t>
      </w:r>
      <w:r w:rsidRPr="00EC737F">
        <w:rPr>
          <w:rFonts w:cs="Traditional Arabic" w:hint="cs"/>
          <w:sz w:val="28"/>
          <w:szCs w:val="32"/>
          <w:rtl/>
        </w:rPr>
        <w:t xml:space="preserve"> وإلا تقاسموا التأمين العيني بنسبة ما لهم من حقوق</w:t>
      </w:r>
      <w:r>
        <w:rPr>
          <w:rFonts w:cs="Traditional Arabic" w:hint="cs"/>
          <w:sz w:val="28"/>
          <w:szCs w:val="32"/>
          <w:rtl/>
        </w:rPr>
        <w:t xml:space="preserve"> .</w:t>
      </w:r>
      <w:r w:rsidRPr="00EC737F">
        <w:rPr>
          <w:rFonts w:cs="Traditional Arabic" w:hint="cs"/>
          <w:sz w:val="28"/>
          <w:szCs w:val="32"/>
          <w:rtl/>
        </w:rPr>
        <w:t xml:space="preserve"> أما الدائنون المرتهنون</w:t>
      </w:r>
      <w:r>
        <w:rPr>
          <w:rFonts w:cs="Traditional Arabic" w:hint="cs"/>
          <w:sz w:val="28"/>
          <w:szCs w:val="32"/>
          <w:rtl/>
        </w:rPr>
        <w:t xml:space="preserve"> ،</w:t>
      </w:r>
      <w:r w:rsidRPr="00EC737F">
        <w:rPr>
          <w:rFonts w:cs="Traditional Arabic" w:hint="cs"/>
          <w:sz w:val="28"/>
          <w:szCs w:val="32"/>
          <w:rtl/>
        </w:rPr>
        <w:t xml:space="preserve"> فيتقدم أحدهم على الآخرين تبعاً للتاريخ الذي قيد فيه حقه</w:t>
      </w:r>
      <w:r>
        <w:rPr>
          <w:rFonts w:cs="Traditional Arabic" w:hint="cs"/>
          <w:sz w:val="28"/>
          <w:szCs w:val="32"/>
          <w:vertAlign w:val="superscript"/>
          <w:rtl/>
        </w:rPr>
        <w:t xml:space="preserve">( </w:t>
      </w:r>
      <w:r w:rsidRPr="00EC737F">
        <w:rPr>
          <w:rStyle w:val="ab"/>
          <w:rFonts w:cs="Traditional Arabic"/>
          <w:sz w:val="28"/>
          <w:szCs w:val="32"/>
          <w:rtl/>
        </w:rPr>
        <w:footnoteReference w:id="59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الفرق الثالث</w:t>
      </w:r>
      <w:r>
        <w:rPr>
          <w:rFonts w:cs="Traditional Arabic" w:hint="cs"/>
          <w:sz w:val="28"/>
          <w:szCs w:val="32"/>
          <w:rtl/>
        </w:rPr>
        <w:t xml:space="preserve"> )</w:t>
      </w:r>
      <w:r w:rsidRPr="00EC737F">
        <w:rPr>
          <w:rFonts w:cs="Traditional Arabic" w:hint="cs"/>
          <w:sz w:val="28"/>
          <w:szCs w:val="32"/>
          <w:rtl/>
        </w:rPr>
        <w:t xml:space="preserve"> إذا تقدم دائنون ذوو امتياز ودائنون مرتهنون</w:t>
      </w:r>
      <w:r>
        <w:rPr>
          <w:rFonts w:cs="Traditional Arabic" w:hint="cs"/>
          <w:sz w:val="28"/>
          <w:szCs w:val="32"/>
          <w:rtl/>
        </w:rPr>
        <w:t xml:space="preserve"> ،</w:t>
      </w:r>
      <w:r w:rsidRPr="00EC737F">
        <w:rPr>
          <w:rFonts w:cs="Traditional Arabic" w:hint="cs"/>
          <w:sz w:val="28"/>
          <w:szCs w:val="32"/>
          <w:rtl/>
        </w:rPr>
        <w:t xml:space="preserve"> فإن الدائنين ذوي الامتياز يتقدمون على الدائنين المرتهنين</w:t>
      </w:r>
      <w:r>
        <w:rPr>
          <w:rFonts w:cs="Traditional Arabic" w:hint="cs"/>
          <w:sz w:val="28"/>
          <w:szCs w:val="32"/>
          <w:vertAlign w:val="superscript"/>
          <w:rtl/>
        </w:rPr>
        <w:t xml:space="preserve">( </w:t>
      </w:r>
      <w:r w:rsidRPr="00EC737F">
        <w:rPr>
          <w:rStyle w:val="ab"/>
          <w:rFonts w:cs="Traditional Arabic"/>
          <w:sz w:val="28"/>
          <w:szCs w:val="32"/>
          <w:rtl/>
        </w:rPr>
        <w:footnoteReference w:id="59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ويشترط أن يكون الدائنون جميعا دائنين لمدين واحد</w:t>
      </w:r>
      <w:r>
        <w:rPr>
          <w:rFonts w:cs="Traditional Arabic" w:hint="cs"/>
          <w:sz w:val="28"/>
          <w:szCs w:val="32"/>
          <w:rtl/>
        </w:rPr>
        <w:t xml:space="preserve"> ،</w:t>
      </w:r>
      <w:r w:rsidRPr="00EC737F">
        <w:rPr>
          <w:rFonts w:cs="Traditional Arabic" w:hint="cs"/>
          <w:sz w:val="28"/>
          <w:szCs w:val="32"/>
          <w:rtl/>
        </w:rPr>
        <w:t xml:space="preserve"> لا أن يكونوا دائنين لمدينين $265 مختلفين</w:t>
      </w:r>
      <w:r>
        <w:rPr>
          <w:rFonts w:cs="Traditional Arabic" w:hint="cs"/>
          <w:sz w:val="28"/>
          <w:szCs w:val="32"/>
          <w:vertAlign w:val="superscript"/>
          <w:rtl/>
        </w:rPr>
        <w:t xml:space="preserve">( </w:t>
      </w:r>
      <w:r w:rsidRPr="00EC737F">
        <w:rPr>
          <w:rStyle w:val="ab"/>
          <w:rFonts w:cs="Traditional Arabic"/>
          <w:sz w:val="28"/>
          <w:szCs w:val="32"/>
          <w:rtl/>
        </w:rPr>
        <w:footnoteReference w:id="59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وأن يكون الشيء المرهون منقولا لأن التقدم في العقار يكون بحسب تاريخ القيد كما سنرى</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114- ظهور الرهون الرسمية على المنقولات</w:t>
      </w:r>
      <w:r>
        <w:rPr>
          <w:rFonts w:cs="Traditional Arabic" w:hint="cs"/>
          <w:sz w:val="28"/>
          <w:szCs w:val="32"/>
          <w:rtl/>
        </w:rPr>
        <w:t xml:space="preserve"> :</w:t>
      </w:r>
      <w:r w:rsidRPr="00EC737F">
        <w:rPr>
          <w:rFonts w:cs="Traditional Arabic" w:hint="cs"/>
          <w:sz w:val="28"/>
          <w:szCs w:val="32"/>
          <w:rtl/>
        </w:rPr>
        <w:t xml:space="preserve"> وقد ظهرت أخيراً رهون رسمية على المنقولات</w:t>
      </w:r>
      <w:r>
        <w:rPr>
          <w:rFonts w:cs="Traditional Arabic" w:hint="cs"/>
          <w:sz w:val="28"/>
          <w:szCs w:val="32"/>
          <w:rtl/>
        </w:rPr>
        <w:t xml:space="preserve"> ،</w:t>
      </w:r>
      <w:r w:rsidRPr="00EC737F">
        <w:rPr>
          <w:rFonts w:cs="Traditional Arabic" w:hint="cs"/>
          <w:sz w:val="28"/>
          <w:szCs w:val="32"/>
          <w:rtl/>
        </w:rPr>
        <w:t>تربت عليها دون أن تنقل حيازة المنقولات إلى الدائن المرتهن</w:t>
      </w:r>
      <w:r>
        <w:rPr>
          <w:rFonts w:cs="Traditional Arabic" w:hint="cs"/>
          <w:sz w:val="28"/>
          <w:szCs w:val="32"/>
          <w:rtl/>
        </w:rPr>
        <w:t xml:space="preserve"> ،</w:t>
      </w:r>
      <w:r w:rsidRPr="00EC737F">
        <w:rPr>
          <w:rFonts w:cs="Traditional Arabic" w:hint="cs"/>
          <w:sz w:val="28"/>
          <w:szCs w:val="32"/>
          <w:rtl/>
        </w:rPr>
        <w:t xml:space="preserve"> فصارت رهوناً رسمية لا رهون حيازة</w:t>
      </w:r>
      <w:r>
        <w:rPr>
          <w:rFonts w:cs="Traditional Arabic" w:hint="cs"/>
          <w:sz w:val="28"/>
          <w:szCs w:val="32"/>
          <w:rtl/>
        </w:rPr>
        <w:t xml:space="preserve"> .</w:t>
      </w:r>
      <w:r w:rsidRPr="00EC737F">
        <w:rPr>
          <w:rFonts w:cs="Traditional Arabic" w:hint="cs"/>
          <w:sz w:val="28"/>
          <w:szCs w:val="32"/>
          <w:rtl/>
        </w:rPr>
        <w:t xml:space="preserve"> وهذه الرهون ثلاثة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رهن رسمي بحري </w:t>
      </w:r>
      <w:r>
        <w:rPr>
          <w:rFonts w:cs="Traditional Arabic"/>
          <w:sz w:val="28"/>
          <w:szCs w:val="32"/>
          <w:rtl/>
        </w:rPr>
        <w:t xml:space="preserve">( </w:t>
      </w:r>
      <w:r w:rsidRPr="00EC737F">
        <w:rPr>
          <w:rFonts w:cs="Traditional Arabic"/>
          <w:sz w:val="28"/>
          <w:szCs w:val="32"/>
        </w:rPr>
        <w:t>hypotheque maritime</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وهو رهن يترتب على السفينة النهرية</w:t>
      </w:r>
      <w:r>
        <w:rPr>
          <w:rFonts w:cs="Traditional Arabic" w:hint="cs"/>
          <w:sz w:val="28"/>
          <w:szCs w:val="32"/>
          <w:rtl/>
        </w:rPr>
        <w:t xml:space="preserve"> ،</w:t>
      </w:r>
      <w:r w:rsidRPr="00EC737F">
        <w:rPr>
          <w:rFonts w:cs="Traditional Arabic" w:hint="cs"/>
          <w:sz w:val="28"/>
          <w:szCs w:val="32"/>
          <w:rtl/>
        </w:rPr>
        <w:t xml:space="preserve"> فتبقى هذه السفينة في حيازة مالكها</w:t>
      </w:r>
      <w:r>
        <w:rPr>
          <w:rFonts w:cs="Traditional Arabic" w:hint="cs"/>
          <w:sz w:val="28"/>
          <w:szCs w:val="32"/>
          <w:rtl/>
        </w:rPr>
        <w:t xml:space="preserve"> ،</w:t>
      </w:r>
      <w:r w:rsidRPr="00EC737F">
        <w:rPr>
          <w:rFonts w:cs="Traditional Arabic" w:hint="cs"/>
          <w:sz w:val="28"/>
          <w:szCs w:val="32"/>
          <w:rtl/>
        </w:rPr>
        <w:t xml:space="preserve"> ولا يكون للدائن إلا حق رهن رسمي عليها</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رهن رسمي على الطائرات </w:t>
      </w:r>
      <w:r>
        <w:rPr>
          <w:rFonts w:cs="Traditional Arabic"/>
          <w:sz w:val="28"/>
          <w:szCs w:val="32"/>
          <w:rtl/>
        </w:rPr>
        <w:t xml:space="preserve">( </w:t>
      </w:r>
      <w:r w:rsidRPr="00EC737F">
        <w:rPr>
          <w:rFonts w:cs="Traditional Arabic"/>
          <w:sz w:val="28"/>
          <w:szCs w:val="32"/>
        </w:rPr>
        <w:t>hypotheque aeronefs</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وهو رهن يترتب على الطائرة</w:t>
      </w:r>
      <w:r>
        <w:rPr>
          <w:rFonts w:cs="Traditional Arabic" w:hint="cs"/>
          <w:sz w:val="28"/>
          <w:szCs w:val="32"/>
          <w:rtl/>
        </w:rPr>
        <w:t xml:space="preserve"> ،</w:t>
      </w:r>
      <w:r w:rsidRPr="00EC737F">
        <w:rPr>
          <w:rFonts w:cs="Traditional Arabic" w:hint="cs"/>
          <w:sz w:val="28"/>
          <w:szCs w:val="32"/>
          <w:rtl/>
        </w:rPr>
        <w:t xml:space="preserve"> فتبقى الطائرة في حيازة مالكها</w:t>
      </w:r>
      <w:r>
        <w:rPr>
          <w:rFonts w:cs="Traditional Arabic" w:hint="cs"/>
          <w:sz w:val="28"/>
          <w:szCs w:val="32"/>
          <w:rtl/>
        </w:rPr>
        <w:t xml:space="preserve"> ،</w:t>
      </w:r>
      <w:r w:rsidRPr="00EC737F">
        <w:rPr>
          <w:rFonts w:cs="Traditional Arabic" w:hint="cs"/>
          <w:sz w:val="28"/>
          <w:szCs w:val="32"/>
          <w:rtl/>
        </w:rPr>
        <w:t xml:space="preserve"> ويكون للدائن حق رهن عليها هو حق رهن رسمي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فلم يعد صحيحاً إذن أن الرهن الرسمي لا يترتب إلا على العقارات</w:t>
      </w:r>
      <w:r>
        <w:rPr>
          <w:rFonts w:cs="Traditional Arabic" w:hint="cs"/>
          <w:sz w:val="28"/>
          <w:szCs w:val="32"/>
          <w:rtl/>
        </w:rPr>
        <w:t xml:space="preserve"> ،</w:t>
      </w:r>
      <w:r w:rsidRPr="00EC737F">
        <w:rPr>
          <w:rFonts w:cs="Traditional Arabic" w:hint="cs"/>
          <w:sz w:val="28"/>
          <w:szCs w:val="32"/>
          <w:rtl/>
        </w:rPr>
        <w:t xml:space="preserve"> ما دام يترتب كما رأينا على السفن البحرية والسفن النهرية والطائرات</w:t>
      </w:r>
      <w:r>
        <w:rPr>
          <w:rFonts w:cs="Traditional Arabic" w:hint="cs"/>
          <w:sz w:val="28"/>
          <w:szCs w:val="32"/>
          <w:rtl/>
        </w:rPr>
        <w:t xml:space="preserve"> .</w:t>
      </w:r>
      <w:r w:rsidRPr="00EC737F">
        <w:rPr>
          <w:rFonts w:cs="Traditional Arabic" w:hint="cs"/>
          <w:sz w:val="28"/>
          <w:szCs w:val="32"/>
          <w:rtl/>
        </w:rPr>
        <w:t xml:space="preserve"> كذلك أصبح غير مفهوم لماذا يترتب على هذه المنقولات رهن حيازة</w:t>
      </w:r>
      <w:r>
        <w:rPr>
          <w:rFonts w:cs="Traditional Arabic" w:hint="cs"/>
          <w:sz w:val="28"/>
          <w:szCs w:val="32"/>
          <w:rtl/>
        </w:rPr>
        <w:t xml:space="preserve"> ،</w:t>
      </w:r>
      <w:r w:rsidRPr="00EC737F">
        <w:rPr>
          <w:rFonts w:cs="Traditional Arabic" w:hint="cs"/>
          <w:sz w:val="28"/>
          <w:szCs w:val="32"/>
          <w:rtl/>
        </w:rPr>
        <w:t xml:space="preserve"> ثم يترتب عليها رهن رسمين فتبقى في الرهن الرسمي في حيازة مالكها في حين أن حيازتها تنتقل إلى الدائن المرتهن في رهن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59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115- التأمينات العينية في التقنين المدني المصري</w:t>
      </w:r>
      <w:r>
        <w:rPr>
          <w:rFonts w:cs="Traditional Arabic" w:hint="cs"/>
          <w:sz w:val="28"/>
          <w:szCs w:val="32"/>
          <w:rtl/>
        </w:rPr>
        <w:t xml:space="preserve"> :</w:t>
      </w:r>
      <w:r w:rsidRPr="00EC737F">
        <w:rPr>
          <w:rFonts w:cs="Traditional Arabic" w:hint="cs"/>
          <w:sz w:val="28"/>
          <w:szCs w:val="32"/>
          <w:rtl/>
        </w:rPr>
        <w:t xml:space="preserve"> ويعرف التقنين $266 المدني المصري أربعة تأمينات عينية</w:t>
      </w:r>
      <w:r>
        <w:rPr>
          <w:rFonts w:cs="Traditional Arabic" w:hint="cs"/>
          <w:sz w:val="28"/>
          <w:szCs w:val="32"/>
          <w:rtl/>
        </w:rPr>
        <w:t xml:space="preserve"> ،</w:t>
      </w:r>
      <w:r w:rsidRPr="00EC737F">
        <w:rPr>
          <w:rFonts w:cs="Traditional Arabic" w:hint="cs"/>
          <w:sz w:val="28"/>
          <w:szCs w:val="32"/>
          <w:rtl/>
        </w:rPr>
        <w:t xml:space="preserve"> جميعها معاً في الكتاب الرابع</w:t>
      </w:r>
      <w:r>
        <w:rPr>
          <w:rFonts w:cs="Traditional Arabic" w:hint="cs"/>
          <w:sz w:val="28"/>
          <w:szCs w:val="32"/>
          <w:rtl/>
        </w:rPr>
        <w:t xml:space="preserve"> ،</w:t>
      </w:r>
      <w:r w:rsidRPr="00EC737F">
        <w:rPr>
          <w:rFonts w:cs="Traditional Arabic" w:hint="cs"/>
          <w:sz w:val="28"/>
          <w:szCs w:val="32"/>
          <w:rtl/>
        </w:rPr>
        <w:t xml:space="preserve"> تحت عنوان الحقوق العينية التبعية أو التأمينات العينية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وهذه التأمينات العينية الربعة هي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الرهن الرسمي</w:t>
      </w:r>
      <w:r>
        <w:rPr>
          <w:rFonts w:cs="Traditional Arabic" w:hint="cs"/>
          <w:sz w:val="28"/>
          <w:szCs w:val="32"/>
          <w:rtl/>
        </w:rPr>
        <w:t xml:space="preserve"> ،</w:t>
      </w:r>
      <w:r w:rsidRPr="00EC737F">
        <w:rPr>
          <w:rFonts w:cs="Traditional Arabic" w:hint="cs"/>
          <w:sz w:val="28"/>
          <w:szCs w:val="32"/>
          <w:rtl/>
        </w:rPr>
        <w:t xml:space="preserve"> وهو أوسع الرهون انتشاراً وأكبرها خطراً</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حق الاختصاص</w:t>
      </w:r>
      <w:r>
        <w:rPr>
          <w:rFonts w:cs="Traditional Arabic" w:hint="cs"/>
          <w:sz w:val="28"/>
          <w:szCs w:val="32"/>
          <w:rtl/>
        </w:rPr>
        <w:t xml:space="preserve"> ،</w:t>
      </w:r>
      <w:r w:rsidRPr="00EC737F">
        <w:rPr>
          <w:rFonts w:cs="Traditional Arabic" w:hint="cs"/>
          <w:sz w:val="28"/>
          <w:szCs w:val="32"/>
          <w:rtl/>
        </w:rPr>
        <w:t xml:space="preserve"> وهو رهن رسمي يترتب على عقار مملوك للمدين</w:t>
      </w:r>
      <w:r>
        <w:rPr>
          <w:rFonts w:cs="Traditional Arabic" w:hint="cs"/>
          <w:sz w:val="28"/>
          <w:szCs w:val="32"/>
          <w:rtl/>
        </w:rPr>
        <w:t xml:space="preserve"> ،</w:t>
      </w:r>
      <w:r w:rsidRPr="00EC737F">
        <w:rPr>
          <w:rFonts w:cs="Traditional Arabic" w:hint="cs"/>
          <w:sz w:val="28"/>
          <w:szCs w:val="32"/>
          <w:rtl/>
        </w:rPr>
        <w:t xml:space="preserve"> لا بموجب اتفاق بينه وبين الدائن كما في الرهن الرسمين بل بموجب طلب يتقدم به الدائن إلى القضاء</w:t>
      </w:r>
      <w:r>
        <w:rPr>
          <w:rFonts w:cs="Traditional Arabic" w:hint="cs"/>
          <w:sz w:val="28"/>
          <w:szCs w:val="32"/>
          <w:rtl/>
        </w:rPr>
        <w:t xml:space="preserve"> ،</w:t>
      </w:r>
      <w:r w:rsidRPr="00EC737F">
        <w:rPr>
          <w:rFonts w:cs="Traditional Arabic" w:hint="cs"/>
          <w:sz w:val="28"/>
          <w:szCs w:val="32"/>
          <w:rtl/>
        </w:rPr>
        <w:t xml:space="preserve"> فيحصل منه على أمر بالاختصاص</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الرهن الحيازي</w:t>
      </w:r>
      <w:r>
        <w:rPr>
          <w:rFonts w:cs="Traditional Arabic" w:hint="cs"/>
          <w:sz w:val="28"/>
          <w:szCs w:val="32"/>
          <w:rtl/>
        </w:rPr>
        <w:t xml:space="preserve"> ،</w:t>
      </w:r>
      <w:r w:rsidRPr="00EC737F">
        <w:rPr>
          <w:rFonts w:cs="Traditional Arabic" w:hint="cs"/>
          <w:sz w:val="28"/>
          <w:szCs w:val="32"/>
          <w:rtl/>
        </w:rPr>
        <w:t xml:space="preserve"> وهو رهن واسع الانتشار في البيئات الزراعية</w:t>
      </w:r>
      <w:r>
        <w:rPr>
          <w:rFonts w:cs="Traditional Arabic" w:hint="cs"/>
          <w:sz w:val="28"/>
          <w:szCs w:val="32"/>
          <w:rtl/>
        </w:rPr>
        <w:t xml:space="preserve"> ،</w:t>
      </w:r>
      <w:r w:rsidRPr="00EC737F">
        <w:rPr>
          <w:rFonts w:cs="Traditional Arabic" w:hint="cs"/>
          <w:sz w:val="28"/>
          <w:szCs w:val="32"/>
          <w:rtl/>
        </w:rPr>
        <w:t xml:space="preserve"> وقد قدر له البقاء إلى جانب الرهن الرسمي</w:t>
      </w:r>
      <w:r>
        <w:rPr>
          <w:rFonts w:cs="Traditional Arabic" w:hint="cs"/>
          <w:sz w:val="28"/>
          <w:szCs w:val="32"/>
          <w:rtl/>
        </w:rPr>
        <w:t xml:space="preserve"> .</w:t>
      </w:r>
      <w:r w:rsidRPr="00EC737F">
        <w:rPr>
          <w:rFonts w:cs="Traditional Arabic" w:hint="cs"/>
          <w:sz w:val="28"/>
          <w:szCs w:val="32"/>
          <w:rtl/>
        </w:rPr>
        <w:t xml:space="preserve"> وهو يشمل المنقول كما يمتد إلى العقار</w:t>
      </w:r>
      <w:r>
        <w:rPr>
          <w:rFonts w:cs="Traditional Arabic" w:hint="cs"/>
          <w:sz w:val="28"/>
          <w:szCs w:val="32"/>
          <w:rtl/>
        </w:rPr>
        <w:t xml:space="preserve"> ،</w:t>
      </w:r>
      <w:r w:rsidRPr="00EC737F">
        <w:rPr>
          <w:rFonts w:cs="Traditional Arabic" w:hint="cs"/>
          <w:sz w:val="28"/>
          <w:szCs w:val="32"/>
          <w:rtl/>
        </w:rPr>
        <w:t xml:space="preserve"> في حين أن الرهن الرسمي وحق الاختصاص لا يتناولان إلا العقار</w:t>
      </w:r>
      <w:r>
        <w:rPr>
          <w:rFonts w:cs="Traditional Arabic" w:hint="cs"/>
          <w:sz w:val="28"/>
          <w:szCs w:val="32"/>
          <w:rtl/>
        </w:rPr>
        <w:t xml:space="preserve"> .</w:t>
      </w:r>
      <w:r w:rsidRPr="00EC737F">
        <w:rPr>
          <w:rFonts w:cs="Traditional Arabic" w:hint="cs"/>
          <w:sz w:val="28"/>
          <w:szCs w:val="32"/>
          <w:rtl/>
        </w:rPr>
        <w:t xml:space="preserve"> ويقوم على الحيازة</w:t>
      </w:r>
      <w:r>
        <w:rPr>
          <w:rFonts w:cs="Traditional Arabic" w:hint="cs"/>
          <w:sz w:val="28"/>
          <w:szCs w:val="32"/>
          <w:rtl/>
        </w:rPr>
        <w:t xml:space="preserve"> ،</w:t>
      </w:r>
      <w:r w:rsidRPr="00EC737F">
        <w:rPr>
          <w:rFonts w:cs="Traditional Arabic" w:hint="cs"/>
          <w:sz w:val="28"/>
          <w:szCs w:val="32"/>
          <w:rtl/>
        </w:rPr>
        <w:t xml:space="preserve"> فلا بد من انتقال حيازة الشيء المرهون من الراهن إلى الدائن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حقوق الامتياز</w:t>
      </w:r>
      <w:r>
        <w:rPr>
          <w:rFonts w:cs="Traditional Arabic" w:hint="cs"/>
          <w:sz w:val="28"/>
          <w:szCs w:val="32"/>
          <w:rtl/>
        </w:rPr>
        <w:t xml:space="preserve"> ،</w:t>
      </w:r>
      <w:r w:rsidRPr="00EC737F">
        <w:rPr>
          <w:rFonts w:cs="Traditional Arabic" w:hint="cs"/>
          <w:sz w:val="28"/>
          <w:szCs w:val="32"/>
          <w:rtl/>
        </w:rPr>
        <w:t xml:space="preserve"> وهذه يمنحها القانون لديون معينة نظراً لصفات خاصة تميز هذه الديون</w:t>
      </w:r>
      <w:r>
        <w:rPr>
          <w:rFonts w:cs="Traditional Arabic" w:hint="cs"/>
          <w:sz w:val="28"/>
          <w:szCs w:val="32"/>
          <w:rtl/>
        </w:rPr>
        <w:t xml:space="preserve"> ،</w:t>
      </w:r>
      <w:r w:rsidRPr="00EC737F">
        <w:rPr>
          <w:rFonts w:cs="Traditional Arabic" w:hint="cs"/>
          <w:sz w:val="28"/>
          <w:szCs w:val="32"/>
          <w:rtl/>
        </w:rPr>
        <w:t xml:space="preserve"> وحقوق الامتياز إما أن تكون عامة فتشمل كل أموال المدين من منقول وعقار</w:t>
      </w:r>
      <w:r>
        <w:rPr>
          <w:rFonts w:cs="Traditional Arabic" w:hint="cs"/>
          <w:sz w:val="28"/>
          <w:szCs w:val="32"/>
          <w:rtl/>
        </w:rPr>
        <w:t xml:space="preserve"> ،</w:t>
      </w:r>
      <w:r w:rsidRPr="00EC737F">
        <w:rPr>
          <w:rFonts w:cs="Traditional Arabic" w:hint="cs"/>
          <w:sz w:val="28"/>
          <w:szCs w:val="32"/>
          <w:rtl/>
        </w:rPr>
        <w:t xml:space="preserve"> أو أن تكون خاصة فتقتصر على </w:t>
      </w:r>
      <w:r w:rsidRPr="00EC737F">
        <w:rPr>
          <w:rFonts w:cs="Traditional Arabic" w:hint="cs"/>
          <w:sz w:val="28"/>
          <w:szCs w:val="32"/>
          <w:rtl/>
        </w:rPr>
        <w:lastRenderedPageBreak/>
        <w:t>منقول معين بالذات أو على عقار معين بالذات</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وننتقل هنا ما ورد في هذا الشأن في المذكرة الإيضاحية للمشروع التمهيدي</w:t>
      </w:r>
      <w:r>
        <w:rPr>
          <w:rFonts w:cs="Traditional Arabic" w:hint="cs"/>
          <w:sz w:val="28"/>
          <w:szCs w:val="32"/>
          <w:rtl/>
        </w:rPr>
        <w:t xml:space="preserve"> ،</w:t>
      </w:r>
      <w:r w:rsidRPr="00EC737F">
        <w:rPr>
          <w:rFonts w:cs="Traditional Arabic" w:hint="cs"/>
          <w:sz w:val="28"/>
          <w:szCs w:val="32"/>
          <w:rtl/>
        </w:rPr>
        <w:t xml:space="preserve"> فقد ورد في هذه المذكرة ما يأتي</w:t>
      </w:r>
      <w:r>
        <w:rPr>
          <w:rFonts w:cs="Traditional Arabic" w:hint="cs"/>
          <w:sz w:val="28"/>
          <w:szCs w:val="32"/>
          <w:rtl/>
        </w:rPr>
        <w:t xml:space="preserve"> :</w:t>
      </w:r>
      <w:r w:rsidRPr="00EC737F">
        <w:rPr>
          <w:rFonts w:cs="Traditional Arabic" w:hint="cs"/>
          <w:sz w:val="28"/>
          <w:szCs w:val="32"/>
          <w:rtl/>
        </w:rPr>
        <w:t xml:space="preserve"> "جمع المشروع التأمينات العينية في كتاب واحد</w:t>
      </w:r>
      <w:r>
        <w:rPr>
          <w:rFonts w:cs="Traditional Arabic" w:hint="cs"/>
          <w:sz w:val="28"/>
          <w:szCs w:val="32"/>
          <w:rtl/>
        </w:rPr>
        <w:t xml:space="preserve"> ،</w:t>
      </w:r>
      <w:r w:rsidRPr="00EC737F">
        <w:rPr>
          <w:rFonts w:cs="Traditional Arabic" w:hint="cs"/>
          <w:sz w:val="28"/>
          <w:szCs w:val="32"/>
          <w:rtl/>
        </w:rPr>
        <w:t xml:space="preserve"> وبذلك وضع رهن الحيازة في مكانه بين الرهون الأخرى</w:t>
      </w:r>
      <w:r>
        <w:rPr>
          <w:rFonts w:cs="Traditional Arabic" w:hint="cs"/>
          <w:sz w:val="28"/>
          <w:szCs w:val="32"/>
          <w:rtl/>
        </w:rPr>
        <w:t xml:space="preserve"> ،</w:t>
      </w:r>
      <w:r w:rsidRPr="00EC737F">
        <w:rPr>
          <w:rFonts w:cs="Traditional Arabic" w:hint="cs"/>
          <w:sz w:val="28"/>
          <w:szCs w:val="32"/>
          <w:rtl/>
        </w:rPr>
        <w:t xml:space="preserve"> فأصلح عيباً وقع فيه التقنين الحالي </w:t>
      </w:r>
      <w:r>
        <w:rPr>
          <w:rFonts w:cs="Traditional Arabic" w:hint="cs"/>
          <w:sz w:val="28"/>
          <w:szCs w:val="32"/>
          <w:rtl/>
        </w:rPr>
        <w:t xml:space="preserve">( </w:t>
      </w:r>
      <w:r w:rsidRPr="00EC737F">
        <w:rPr>
          <w:rFonts w:cs="Traditional Arabic" w:hint="cs"/>
          <w:sz w:val="28"/>
          <w:szCs w:val="32"/>
          <w:rtl/>
        </w:rPr>
        <w:t>السابق</w:t>
      </w:r>
      <w:r>
        <w:rPr>
          <w:rFonts w:cs="Traditional Arabic" w:hint="cs"/>
          <w:sz w:val="28"/>
          <w:szCs w:val="32"/>
          <w:rtl/>
        </w:rPr>
        <w:t xml:space="preserve"> ) .</w:t>
      </w:r>
      <w:r w:rsidRPr="00EC737F">
        <w:rPr>
          <w:rFonts w:cs="Traditional Arabic" w:hint="cs"/>
          <w:sz w:val="28"/>
          <w:szCs w:val="32"/>
          <w:rtl/>
        </w:rPr>
        <w:t xml:space="preserve"> وتنتظم التأمينات العينية جميعاً فكرة واحدة</w:t>
      </w:r>
      <w:r>
        <w:rPr>
          <w:rFonts w:cs="Traditional Arabic" w:hint="cs"/>
          <w:sz w:val="28"/>
          <w:szCs w:val="32"/>
          <w:rtl/>
        </w:rPr>
        <w:t xml:space="preserve"> ،</w:t>
      </w:r>
      <w:r w:rsidRPr="00EC737F">
        <w:rPr>
          <w:rFonts w:cs="Traditional Arabic" w:hint="cs"/>
          <w:sz w:val="28"/>
          <w:szCs w:val="32"/>
          <w:rtl/>
        </w:rPr>
        <w:t xml:space="preserve"> هي فكرة الرهن ضمانا لوفاء الدين</w:t>
      </w:r>
      <w:r>
        <w:rPr>
          <w:rFonts w:cs="Traditional Arabic" w:hint="cs"/>
          <w:sz w:val="28"/>
          <w:szCs w:val="32"/>
          <w:rtl/>
        </w:rPr>
        <w:t xml:space="preserve"> .</w:t>
      </w:r>
      <w:r w:rsidRPr="00EC737F">
        <w:rPr>
          <w:rFonts w:cs="Traditional Arabic" w:hint="cs"/>
          <w:sz w:val="28"/>
          <w:szCs w:val="32"/>
          <w:rtl/>
        </w:rPr>
        <w:t xml:space="preserve"> فيكون الرهن بمقتضى اتفاق في الرهن الرسمي ورهن الحيازة</w:t>
      </w:r>
      <w:r>
        <w:rPr>
          <w:rFonts w:cs="Traditional Arabic" w:hint="cs"/>
          <w:sz w:val="28"/>
          <w:szCs w:val="32"/>
          <w:rtl/>
        </w:rPr>
        <w:t xml:space="preserve"> ،</w:t>
      </w:r>
      <w:r w:rsidRPr="00EC737F">
        <w:rPr>
          <w:rFonts w:cs="Traditional Arabic" w:hint="cs"/>
          <w:sz w:val="28"/>
          <w:szCs w:val="32"/>
          <w:rtl/>
        </w:rPr>
        <w:t xml:space="preserve"> وبمقتضى أمر من القاضي في حق الاختصاص</w:t>
      </w:r>
      <w:r>
        <w:rPr>
          <w:rFonts w:cs="Traditional Arabic" w:hint="cs"/>
          <w:sz w:val="28"/>
          <w:szCs w:val="32"/>
          <w:rtl/>
        </w:rPr>
        <w:t xml:space="preserve"> ،</w:t>
      </w:r>
      <w:r w:rsidRPr="00EC737F">
        <w:rPr>
          <w:rFonts w:cs="Traditional Arabic" w:hint="cs"/>
          <w:sz w:val="28"/>
          <w:szCs w:val="32"/>
          <w:rtl/>
        </w:rPr>
        <w:t xml:space="preserve"> وبمقتضى نص في القانون في حقوق الامتياز</w:t>
      </w:r>
      <w:r>
        <w:rPr>
          <w:rFonts w:cs="Traditional Arabic" w:hint="cs"/>
          <w:sz w:val="28"/>
          <w:szCs w:val="32"/>
          <w:rtl/>
        </w:rPr>
        <w:t xml:space="preserve"> .</w:t>
      </w:r>
      <w:r w:rsidRPr="00EC737F">
        <w:rPr>
          <w:rFonts w:cs="Traditional Arabic" w:hint="cs"/>
          <w:sz w:val="28"/>
          <w:szCs w:val="32"/>
          <w:rtl/>
        </w:rPr>
        <w:t xml:space="preserve"> أما الحق في الحبس</w:t>
      </w:r>
      <w:r>
        <w:rPr>
          <w:rFonts w:cs="Traditional Arabic" w:hint="cs"/>
          <w:sz w:val="28"/>
          <w:szCs w:val="32"/>
          <w:rtl/>
        </w:rPr>
        <w:t xml:space="preserve"> ،</w:t>
      </w:r>
      <w:r w:rsidRPr="00EC737F">
        <w:rPr>
          <w:rFonts w:cs="Traditional Arabic" w:hint="cs"/>
          <w:sz w:val="28"/>
          <w:szCs w:val="32"/>
          <w:rtl/>
        </w:rPr>
        <w:t xml:space="preserve"> فقد تقدم أن المشروع لا يعتبره حقاً عينياً</w:t>
      </w:r>
      <w:r>
        <w:rPr>
          <w:rFonts w:cs="Traditional Arabic" w:hint="cs"/>
          <w:sz w:val="28"/>
          <w:szCs w:val="32"/>
          <w:rtl/>
        </w:rPr>
        <w:t xml:space="preserve"> ،</w:t>
      </w:r>
      <w:r w:rsidRPr="00EC737F">
        <w:rPr>
          <w:rFonts w:cs="Traditional Arabic" w:hint="cs"/>
          <w:sz w:val="28"/>
          <w:szCs w:val="32"/>
          <w:rtl/>
        </w:rPr>
        <w:t xml:space="preserve"> بل هو دفع يبديه من له حق التمسك به</w:t>
      </w:r>
      <w:r>
        <w:rPr>
          <w:rFonts w:cs="Traditional Arabic" w:hint="cs"/>
          <w:sz w:val="28"/>
          <w:szCs w:val="32"/>
          <w:rtl/>
        </w:rPr>
        <w:t xml:space="preserve"> .</w:t>
      </w:r>
      <w:r w:rsidRPr="00EC737F">
        <w:rPr>
          <w:rFonts w:cs="Traditional Arabic" w:hint="cs"/>
          <w:sz w:val="28"/>
          <w:szCs w:val="32"/>
          <w:rtl/>
        </w:rPr>
        <w:t xml:space="preserve"> وقد قدم المشروع الرهن الرسمي على غيره $267 من الرهون</w:t>
      </w:r>
      <w:r>
        <w:rPr>
          <w:rFonts w:cs="Traditional Arabic" w:hint="cs"/>
          <w:sz w:val="28"/>
          <w:szCs w:val="32"/>
          <w:rtl/>
        </w:rPr>
        <w:t xml:space="preserve"> ،</w:t>
      </w:r>
      <w:r w:rsidRPr="00EC737F">
        <w:rPr>
          <w:rFonts w:cs="Traditional Arabic" w:hint="cs"/>
          <w:sz w:val="28"/>
          <w:szCs w:val="32"/>
          <w:rtl/>
        </w:rPr>
        <w:t xml:space="preserve"> لأنه أوسعها انتشاراً وأكبرها خطراً</w:t>
      </w:r>
      <w:r>
        <w:rPr>
          <w:rFonts w:cs="Traditional Arabic" w:hint="cs"/>
          <w:sz w:val="28"/>
          <w:szCs w:val="32"/>
          <w:rtl/>
        </w:rPr>
        <w:t xml:space="preserve"> .</w:t>
      </w:r>
      <w:r w:rsidRPr="00EC737F">
        <w:rPr>
          <w:rFonts w:cs="Traditional Arabic" w:hint="cs"/>
          <w:sz w:val="28"/>
          <w:szCs w:val="32"/>
          <w:rtl/>
        </w:rPr>
        <w:t xml:space="preserve"> ثم أعقب الرهن الرسمي يحق الاختصاص</w:t>
      </w:r>
      <w:r>
        <w:rPr>
          <w:rFonts w:cs="Traditional Arabic" w:hint="cs"/>
          <w:sz w:val="28"/>
          <w:szCs w:val="32"/>
          <w:rtl/>
        </w:rPr>
        <w:t xml:space="preserve"> ،</w:t>
      </w:r>
      <w:r w:rsidRPr="00EC737F">
        <w:rPr>
          <w:rFonts w:cs="Traditional Arabic" w:hint="cs"/>
          <w:sz w:val="28"/>
          <w:szCs w:val="32"/>
          <w:rtl/>
        </w:rPr>
        <w:t xml:space="preserve"> لأنه حق مصوغ على غرار الرهن الرسمي والأحكام بينهما مشتركة</w:t>
      </w:r>
      <w:r>
        <w:rPr>
          <w:rFonts w:cs="Traditional Arabic" w:hint="cs"/>
          <w:sz w:val="28"/>
          <w:szCs w:val="32"/>
          <w:rtl/>
        </w:rPr>
        <w:t xml:space="preserve"> .</w:t>
      </w:r>
      <w:r w:rsidRPr="00EC737F">
        <w:rPr>
          <w:rFonts w:cs="Traditional Arabic" w:hint="cs"/>
          <w:sz w:val="28"/>
          <w:szCs w:val="32"/>
          <w:rtl/>
        </w:rPr>
        <w:t xml:space="preserve"> وتلي ذلك رهن الحيازة</w:t>
      </w:r>
      <w:r>
        <w:rPr>
          <w:rFonts w:cs="Traditional Arabic" w:hint="cs"/>
          <w:sz w:val="28"/>
          <w:szCs w:val="32"/>
          <w:rtl/>
        </w:rPr>
        <w:t xml:space="preserve"> ،</w:t>
      </w:r>
      <w:r w:rsidRPr="00EC737F">
        <w:rPr>
          <w:rFonts w:cs="Traditional Arabic" w:hint="cs"/>
          <w:sz w:val="28"/>
          <w:szCs w:val="32"/>
          <w:rtl/>
        </w:rPr>
        <w:t xml:space="preserve"> وهو رهن واسع الانتشار في البيئات الزراعية</w:t>
      </w:r>
      <w:r>
        <w:rPr>
          <w:rFonts w:cs="Traditional Arabic" w:hint="cs"/>
          <w:sz w:val="28"/>
          <w:szCs w:val="32"/>
          <w:rtl/>
        </w:rPr>
        <w:t xml:space="preserve"> .</w:t>
      </w:r>
      <w:r w:rsidRPr="00EC737F">
        <w:rPr>
          <w:rFonts w:cs="Traditional Arabic" w:hint="cs"/>
          <w:sz w:val="28"/>
          <w:szCs w:val="32"/>
          <w:rtl/>
        </w:rPr>
        <w:t xml:space="preserve"> فلم يبق إلا حقوق الامتياز</w:t>
      </w:r>
      <w:r>
        <w:rPr>
          <w:rFonts w:cs="Traditional Arabic" w:hint="cs"/>
          <w:sz w:val="28"/>
          <w:szCs w:val="32"/>
          <w:rtl/>
        </w:rPr>
        <w:t xml:space="preserve"> ،</w:t>
      </w:r>
      <w:r w:rsidRPr="00EC737F">
        <w:rPr>
          <w:rFonts w:cs="Traditional Arabic" w:hint="cs"/>
          <w:sz w:val="28"/>
          <w:szCs w:val="32"/>
          <w:rtl/>
        </w:rPr>
        <w:t xml:space="preserve"> تختم بها التأمينات العينية"</w:t>
      </w:r>
      <w:r>
        <w:rPr>
          <w:rFonts w:cs="Traditional Arabic" w:hint="cs"/>
          <w:sz w:val="28"/>
          <w:szCs w:val="32"/>
          <w:vertAlign w:val="superscript"/>
          <w:rtl/>
        </w:rPr>
        <w:t xml:space="preserve">( </w:t>
      </w:r>
      <w:r w:rsidRPr="00EC737F">
        <w:rPr>
          <w:rStyle w:val="ab"/>
          <w:rFonts w:cs="Traditional Arabic"/>
          <w:sz w:val="28"/>
          <w:szCs w:val="32"/>
          <w:rtl/>
        </w:rPr>
        <w:footnoteReference w:id="60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sz w:val="28"/>
          <w:szCs w:val="32"/>
          <w:rtl/>
        </w:rPr>
      </w:pPr>
      <w:r w:rsidRPr="00EC737F">
        <w:rPr>
          <w:rFonts w:cs="Traditional Arabic"/>
          <w:sz w:val="28"/>
          <w:szCs w:val="32"/>
          <w:rtl/>
        </w:rPr>
        <w:br w:type="page"/>
      </w:r>
      <w:r w:rsidRPr="00EC737F">
        <w:rPr>
          <w:rFonts w:cs="Traditional Arabic" w:hint="cs"/>
          <w:sz w:val="28"/>
          <w:szCs w:val="32"/>
          <w:rtl/>
        </w:rPr>
        <w:lastRenderedPageBreak/>
        <w:t xml:space="preserve">$268 </w:t>
      </w:r>
      <w:r w:rsidRPr="00EC737F">
        <w:rPr>
          <w:rFonts w:cs="Traditional Arabic" w:hint="cs"/>
          <w:b/>
          <w:bCs/>
          <w:sz w:val="28"/>
          <w:szCs w:val="60"/>
          <w:rtl/>
        </w:rPr>
        <w:t>الباب الأول</w:t>
      </w:r>
    </w:p>
    <w:p w:rsidR="00F72742" w:rsidRPr="00EC737F" w:rsidRDefault="00F72742" w:rsidP="00F72742">
      <w:pPr>
        <w:widowControl w:val="0"/>
        <w:spacing w:after="120"/>
        <w:jc w:val="center"/>
        <w:rPr>
          <w:rFonts w:cs="Traditional Arabic" w:hint="cs"/>
          <w:b/>
          <w:bCs/>
          <w:sz w:val="28"/>
          <w:szCs w:val="44"/>
          <w:rtl/>
        </w:rPr>
      </w:pPr>
      <w:r w:rsidRPr="00EC737F">
        <w:rPr>
          <w:rFonts w:cs="Traditional Arabic" w:hint="cs"/>
          <w:b/>
          <w:bCs/>
          <w:sz w:val="28"/>
          <w:szCs w:val="44"/>
          <w:rtl/>
        </w:rPr>
        <w:t>الرهن الرسمي</w:t>
      </w:r>
    </w:p>
    <w:p w:rsidR="00F72742" w:rsidRPr="00EC737F" w:rsidRDefault="00F72742" w:rsidP="00F72742">
      <w:pPr>
        <w:widowControl w:val="0"/>
        <w:spacing w:after="120"/>
        <w:jc w:val="center"/>
        <w:rPr>
          <w:rFonts w:cs="Traditional Arabic" w:hint="cs"/>
          <w:sz w:val="28"/>
          <w:szCs w:val="32"/>
          <w:rtl/>
        </w:rPr>
      </w:pPr>
      <w:r w:rsidRPr="00EC737F">
        <w:rPr>
          <w:rFonts w:cs="Traditional Arabic" w:hint="cs"/>
          <w:sz w:val="28"/>
          <w:szCs w:val="32"/>
          <w:rtl/>
        </w:rPr>
        <w:t>ــ</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116- تعريف الرهن الرسمي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1030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"الرهن الرسمي عقد به يكسب الدائن على عقار مخصص لوفاء دينه حقاً عينياً</w:t>
      </w:r>
      <w:r>
        <w:rPr>
          <w:rFonts w:cs="Traditional Arabic" w:hint="cs"/>
          <w:sz w:val="28"/>
          <w:szCs w:val="32"/>
          <w:rtl/>
        </w:rPr>
        <w:t xml:space="preserve"> ،</w:t>
      </w:r>
      <w:r w:rsidRPr="00EC737F">
        <w:rPr>
          <w:rFonts w:cs="Traditional Arabic" w:hint="cs"/>
          <w:sz w:val="28"/>
          <w:szCs w:val="32"/>
          <w:rtl/>
        </w:rPr>
        <w:t xml:space="preserve"> يكون له بمقتضاه أن يتقدم على الدائنين العاديين والدائنين التالين له في المرتبة في استيفاء حقه من ثمن ذلك العقار في أي يد يكون"</w:t>
      </w:r>
      <w:r>
        <w:rPr>
          <w:rFonts w:cs="Traditional Arabic" w:hint="cs"/>
          <w:sz w:val="28"/>
          <w:szCs w:val="32"/>
          <w:vertAlign w:val="superscript"/>
          <w:rtl/>
        </w:rPr>
        <w:t xml:space="preserve">( </w:t>
      </w:r>
      <w:r w:rsidRPr="00EC737F">
        <w:rPr>
          <w:rStyle w:val="ab"/>
          <w:rFonts w:cs="Traditional Arabic"/>
          <w:sz w:val="28"/>
          <w:szCs w:val="32"/>
          <w:rtl/>
        </w:rPr>
        <w:footnoteReference w:id="60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$269 ويخلص النص أن الرهن الرسمي يطلق على العقد الذي يترتب به للدائن حق عيني على عقار مخصص لوفاء دينه</w:t>
      </w:r>
      <w:r>
        <w:rPr>
          <w:rFonts w:cs="Traditional Arabic" w:hint="cs"/>
          <w:sz w:val="28"/>
          <w:szCs w:val="32"/>
          <w:rtl/>
        </w:rPr>
        <w:t xml:space="preserve"> ،</w:t>
      </w:r>
      <w:r w:rsidRPr="00EC737F">
        <w:rPr>
          <w:rFonts w:cs="Traditional Arabic" w:hint="cs"/>
          <w:sz w:val="28"/>
          <w:szCs w:val="32"/>
          <w:rtl/>
        </w:rPr>
        <w:t xml:space="preserve"> ويطلق أيضاً على هذا الحق العيني الذي ترتب للدائن ضماناً لوفاء دينه</w:t>
      </w:r>
      <w:r>
        <w:rPr>
          <w:rFonts w:cs="Traditional Arabic" w:hint="cs"/>
          <w:sz w:val="28"/>
          <w:szCs w:val="32"/>
          <w:rtl/>
        </w:rPr>
        <w:t xml:space="preserve"> .</w:t>
      </w:r>
      <w:r w:rsidRPr="00EC737F">
        <w:rPr>
          <w:rFonts w:cs="Traditional Arabic" w:hint="cs"/>
          <w:sz w:val="28"/>
          <w:szCs w:val="32"/>
          <w:rtl/>
        </w:rPr>
        <w:t xml:space="preserve"> وقد جاء في المذكرة الإيضاحية للمشروع التمهيدي في هذا الصدد</w:t>
      </w:r>
      <w:r>
        <w:rPr>
          <w:rFonts w:cs="Traditional Arabic" w:hint="cs"/>
          <w:sz w:val="28"/>
          <w:szCs w:val="32"/>
          <w:rtl/>
        </w:rPr>
        <w:t xml:space="preserve"> :</w:t>
      </w:r>
      <w:r w:rsidRPr="00EC737F">
        <w:rPr>
          <w:rFonts w:cs="Traditional Arabic" w:hint="cs"/>
          <w:sz w:val="28"/>
          <w:szCs w:val="32"/>
          <w:rtl/>
        </w:rPr>
        <w:t xml:space="preserve"> "يطلق الرهن على العقد الرسمي وعلى الحق العيني الذي ينشئه هذا العقد</w:t>
      </w:r>
      <w:r>
        <w:rPr>
          <w:rFonts w:cs="Traditional Arabic" w:hint="cs"/>
          <w:sz w:val="28"/>
          <w:szCs w:val="32"/>
          <w:rtl/>
        </w:rPr>
        <w:t xml:space="preserve"> .</w:t>
      </w:r>
      <w:r w:rsidRPr="00EC737F">
        <w:rPr>
          <w:rFonts w:cs="Traditional Arabic" w:hint="cs"/>
          <w:sz w:val="28"/>
          <w:szCs w:val="32"/>
          <w:rtl/>
        </w:rPr>
        <w:t xml:space="preserve"> فالرهن عقد يتم بين الراهن والدائن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60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العقد الرسمي فأمره ظاهر</w:t>
      </w:r>
      <w:r>
        <w:rPr>
          <w:rFonts w:cs="Traditional Arabic" w:hint="cs"/>
          <w:sz w:val="28"/>
          <w:szCs w:val="32"/>
          <w:rtl/>
        </w:rPr>
        <w:t xml:space="preserve"> ،</w:t>
      </w:r>
      <w:r w:rsidRPr="00EC737F">
        <w:rPr>
          <w:rFonts w:cs="Traditional Arabic" w:hint="cs"/>
          <w:sz w:val="28"/>
          <w:szCs w:val="32"/>
          <w:rtl/>
        </w:rPr>
        <w:t xml:space="preserve"> وهو عقد يتم بين الدائن المرتهن ومالك العقار المرهون</w:t>
      </w:r>
      <w:r>
        <w:rPr>
          <w:rFonts w:cs="Traditional Arabic" w:hint="cs"/>
          <w:sz w:val="28"/>
          <w:szCs w:val="32"/>
          <w:rtl/>
        </w:rPr>
        <w:t xml:space="preserve"> ،</w:t>
      </w:r>
      <w:r w:rsidRPr="00EC737F">
        <w:rPr>
          <w:rFonts w:cs="Traditional Arabic" w:hint="cs"/>
          <w:sz w:val="28"/>
          <w:szCs w:val="32"/>
          <w:rtl/>
        </w:rPr>
        <w:t xml:space="preserve"> سواء كان هذا المالك هو نفس المدين أو كان كفيلا عينياً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وأما الحق العيني الذي يترتب للدائن ضماناً لوفاء دينه فهو حق عيني عقاري يترتب على العقار المخصص لوفاء الدين</w:t>
      </w:r>
      <w:r>
        <w:rPr>
          <w:rFonts w:cs="Traditional Arabic" w:hint="cs"/>
          <w:sz w:val="28"/>
          <w:szCs w:val="32"/>
          <w:rtl/>
        </w:rPr>
        <w:t xml:space="preserve"> ،</w:t>
      </w:r>
      <w:r w:rsidRPr="00EC737F">
        <w:rPr>
          <w:rFonts w:cs="Traditional Arabic" w:hint="cs"/>
          <w:sz w:val="28"/>
          <w:szCs w:val="32"/>
          <w:rtl/>
        </w:rPr>
        <w:t xml:space="preserve"> ويكون للدين بموجبه حق تقدم في استيفاء دينه من ثمن العقار المرهون</w:t>
      </w:r>
      <w:r>
        <w:rPr>
          <w:rFonts w:cs="Traditional Arabic" w:hint="cs"/>
          <w:sz w:val="28"/>
          <w:szCs w:val="32"/>
          <w:rtl/>
        </w:rPr>
        <w:t xml:space="preserve"> .</w:t>
      </w:r>
      <w:r w:rsidRPr="00EC737F">
        <w:rPr>
          <w:rFonts w:cs="Traditional Arabic" w:hint="cs"/>
          <w:sz w:val="28"/>
          <w:szCs w:val="32"/>
          <w:rtl/>
        </w:rPr>
        <w:t xml:space="preserve"> ويتقدم الدائن بموجب هذا الحق العيني ليس فحسب على الدائنين العاديين لمالك العقار المرهون</w:t>
      </w:r>
      <w:r>
        <w:rPr>
          <w:rFonts w:cs="Traditional Arabic" w:hint="cs"/>
          <w:sz w:val="28"/>
          <w:szCs w:val="32"/>
          <w:rtl/>
        </w:rPr>
        <w:t xml:space="preserve"> ،</w:t>
      </w:r>
      <w:r w:rsidRPr="00EC737F">
        <w:rPr>
          <w:rFonts w:cs="Traditional Arabic" w:hint="cs"/>
          <w:sz w:val="28"/>
          <w:szCs w:val="32"/>
          <w:rtl/>
        </w:rPr>
        <w:t xml:space="preserve"> بل أيضاً على الدائنين الذين لهم حق عيني آخر على هذا العقار</w:t>
      </w:r>
      <w:r>
        <w:rPr>
          <w:rFonts w:cs="Traditional Arabic" w:hint="cs"/>
          <w:sz w:val="28"/>
          <w:szCs w:val="32"/>
          <w:rtl/>
        </w:rPr>
        <w:t xml:space="preserve"> ،</w:t>
      </w:r>
      <w:r w:rsidRPr="00EC737F">
        <w:rPr>
          <w:rFonts w:cs="Traditional Arabic" w:hint="cs"/>
          <w:sz w:val="28"/>
          <w:szCs w:val="32"/>
          <w:rtl/>
        </w:rPr>
        <w:t xml:space="preserve"> من دائنين مرتهنين وأصحاب حقوق امتياز</w:t>
      </w:r>
      <w:r>
        <w:rPr>
          <w:rFonts w:cs="Traditional Arabic" w:hint="cs"/>
          <w:sz w:val="28"/>
          <w:szCs w:val="32"/>
          <w:rtl/>
        </w:rPr>
        <w:t xml:space="preserve"> ،</w:t>
      </w:r>
      <w:r w:rsidRPr="00EC737F">
        <w:rPr>
          <w:rFonts w:cs="Traditional Arabic" w:hint="cs"/>
          <w:sz w:val="28"/>
          <w:szCs w:val="32"/>
          <w:rtl/>
        </w:rPr>
        <w:t xml:space="preserve"> إذا كان هؤلاء الدائنون متأخرين في المرتبة أي مقيدين بعد تاريخ قيد الدائن المرتهن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استوفى الدائن المرتهن حقه في مواجهة دائن آخر مع بقاء العقار في يد مالكه سمي هذا تقدماً</w:t>
      </w:r>
      <w:r>
        <w:rPr>
          <w:rFonts w:cs="Traditional Arabic" w:hint="cs"/>
          <w:sz w:val="28"/>
          <w:szCs w:val="32"/>
          <w:rtl/>
        </w:rPr>
        <w:t xml:space="preserve"> ،</w:t>
      </w:r>
      <w:r w:rsidRPr="00EC737F">
        <w:rPr>
          <w:rFonts w:cs="Traditional Arabic" w:hint="cs"/>
          <w:sz w:val="28"/>
          <w:szCs w:val="32"/>
          <w:rtl/>
        </w:rPr>
        <w:t xml:space="preserve"> أما إذا استوفاه وقد انتقلت ملكية العقار $270 المرهون إلى غير المالك فإن ذلك يسمى تقدماً على </w:t>
      </w:r>
      <w:r w:rsidRPr="00EC737F">
        <w:rPr>
          <w:rFonts w:cs="Traditional Arabic" w:hint="cs"/>
          <w:sz w:val="28"/>
          <w:szCs w:val="32"/>
          <w:rtl/>
        </w:rPr>
        <w:lastRenderedPageBreak/>
        <w:t>الدائنين الآخرين وتتبعاً في يد من انتقلت إليه ملكية هذا العقار</w:t>
      </w:r>
      <w:r>
        <w:rPr>
          <w:rFonts w:cs="Traditional Arabic" w:hint="cs"/>
          <w:sz w:val="28"/>
          <w:szCs w:val="32"/>
          <w:vertAlign w:val="superscript"/>
          <w:rtl/>
        </w:rPr>
        <w:t xml:space="preserve">( </w:t>
      </w:r>
      <w:r w:rsidRPr="00EC737F">
        <w:rPr>
          <w:rStyle w:val="ab"/>
          <w:rFonts w:cs="Traditional Arabic"/>
          <w:sz w:val="28"/>
          <w:szCs w:val="32"/>
          <w:rtl/>
        </w:rPr>
        <w:footnoteReference w:id="60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ويلجأ الدائن المرتهن عادة</w:t>
      </w:r>
      <w:r>
        <w:rPr>
          <w:rFonts w:cs="Traditional Arabic" w:hint="cs"/>
          <w:sz w:val="28"/>
          <w:szCs w:val="32"/>
          <w:rtl/>
        </w:rPr>
        <w:t xml:space="preserve"> ،</w:t>
      </w:r>
      <w:r w:rsidRPr="00EC737F">
        <w:rPr>
          <w:rFonts w:cs="Traditional Arabic" w:hint="cs"/>
          <w:sz w:val="28"/>
          <w:szCs w:val="32"/>
          <w:rtl/>
        </w:rPr>
        <w:t xml:space="preserve"> في استيفاء دينه من ثمن العقار المرهون</w:t>
      </w:r>
      <w:r>
        <w:rPr>
          <w:rFonts w:cs="Traditional Arabic" w:hint="cs"/>
          <w:sz w:val="28"/>
          <w:szCs w:val="32"/>
          <w:rtl/>
        </w:rPr>
        <w:t xml:space="preserve"> ،</w:t>
      </w:r>
      <w:r w:rsidRPr="00EC737F">
        <w:rPr>
          <w:rFonts w:cs="Traditional Arabic" w:hint="cs"/>
          <w:sz w:val="28"/>
          <w:szCs w:val="32"/>
          <w:rtl/>
        </w:rPr>
        <w:t xml:space="preserve"> إلى التنفيذ على هذا العقار وبيعه بالمزاد العلني</w:t>
      </w:r>
      <w:r>
        <w:rPr>
          <w:rFonts w:cs="Traditional Arabic" w:hint="cs"/>
          <w:sz w:val="28"/>
          <w:szCs w:val="32"/>
          <w:rtl/>
        </w:rPr>
        <w:t xml:space="preserve"> .</w:t>
      </w:r>
      <w:r w:rsidRPr="00EC737F">
        <w:rPr>
          <w:rFonts w:cs="Traditional Arabic" w:hint="cs"/>
          <w:sz w:val="28"/>
          <w:szCs w:val="32"/>
          <w:rtl/>
        </w:rPr>
        <w:t xml:space="preserve"> ولكن العقار المرهون قد يهلك قبل بيعه بالمزاد العلني</w:t>
      </w:r>
      <w:r>
        <w:rPr>
          <w:rFonts w:cs="Traditional Arabic" w:hint="cs"/>
          <w:sz w:val="28"/>
          <w:szCs w:val="32"/>
          <w:rtl/>
        </w:rPr>
        <w:t xml:space="preserve"> ،</w:t>
      </w:r>
      <w:r w:rsidRPr="00EC737F">
        <w:rPr>
          <w:rFonts w:cs="Traditional Arabic" w:hint="cs"/>
          <w:sz w:val="28"/>
          <w:szCs w:val="32"/>
          <w:rtl/>
        </w:rPr>
        <w:t xml:space="preserve"> فينتقل حق الدائن المرتهن إلى قيمة هذا العقار كمبلغ تعويض في حالة تعدي الغير على العقار المرهون</w:t>
      </w:r>
      <w:r>
        <w:rPr>
          <w:rFonts w:cs="Traditional Arabic" w:hint="cs"/>
          <w:sz w:val="28"/>
          <w:szCs w:val="32"/>
          <w:rtl/>
        </w:rPr>
        <w:t xml:space="preserve"> ،</w:t>
      </w:r>
      <w:r w:rsidRPr="00EC737F">
        <w:rPr>
          <w:rFonts w:cs="Traditional Arabic" w:hint="cs"/>
          <w:sz w:val="28"/>
          <w:szCs w:val="32"/>
          <w:rtl/>
        </w:rPr>
        <w:t xml:space="preserve"> أو مبلغ تأمين في حالة التأمين على العقار عند إحدى شركات التأمين</w:t>
      </w:r>
      <w:r>
        <w:rPr>
          <w:rFonts w:cs="Traditional Arabic" w:hint="cs"/>
          <w:sz w:val="28"/>
          <w:szCs w:val="32"/>
          <w:rtl/>
        </w:rPr>
        <w:t xml:space="preserve"> ،</w:t>
      </w:r>
      <w:r w:rsidRPr="00EC737F">
        <w:rPr>
          <w:rFonts w:cs="Traditional Arabic" w:hint="cs"/>
          <w:sz w:val="28"/>
          <w:szCs w:val="32"/>
          <w:rtl/>
        </w:rPr>
        <w:t xml:space="preserve"> أو مبلغ مقابل لنزع ملكية العقار المرهون للمنفعة العامة</w:t>
      </w:r>
      <w:r>
        <w:rPr>
          <w:rFonts w:cs="Traditional Arabic" w:hint="cs"/>
          <w:sz w:val="28"/>
          <w:szCs w:val="32"/>
          <w:rtl/>
        </w:rPr>
        <w:t xml:space="preserve"> .</w:t>
      </w:r>
      <w:r w:rsidRPr="00EC737F">
        <w:rPr>
          <w:rFonts w:cs="Traditional Arabic" w:hint="cs"/>
          <w:sz w:val="28"/>
          <w:szCs w:val="32"/>
          <w:rtl/>
        </w:rPr>
        <w:t xml:space="preserve"> وتقول المادة 1056 مدني في هذا الخصوص</w:t>
      </w:r>
      <w:r>
        <w:rPr>
          <w:rFonts w:cs="Traditional Arabic" w:hint="cs"/>
          <w:sz w:val="28"/>
          <w:szCs w:val="32"/>
          <w:rtl/>
        </w:rPr>
        <w:t xml:space="preserve"> :</w:t>
      </w:r>
      <w:r w:rsidRPr="00EC737F">
        <w:rPr>
          <w:rFonts w:cs="Traditional Arabic" w:hint="cs"/>
          <w:sz w:val="28"/>
          <w:szCs w:val="32"/>
          <w:rtl/>
        </w:rPr>
        <w:t xml:space="preserve"> "يستوفي الدائنون المرتهنون حقوقهم قبل الدائنين العاديين من ثمن العقار المرهون</w:t>
      </w:r>
      <w:r>
        <w:rPr>
          <w:rFonts w:cs="Traditional Arabic" w:hint="cs"/>
          <w:sz w:val="28"/>
          <w:szCs w:val="32"/>
          <w:rtl/>
        </w:rPr>
        <w:t xml:space="preserve"> ،</w:t>
      </w:r>
      <w:r w:rsidRPr="00EC737F">
        <w:rPr>
          <w:rFonts w:cs="Traditional Arabic" w:hint="cs"/>
          <w:sz w:val="28"/>
          <w:szCs w:val="32"/>
          <w:rtl/>
        </w:rPr>
        <w:t xml:space="preserve"> أو من المال الذي حل محل هذا العقار</w:t>
      </w:r>
      <w:r>
        <w:rPr>
          <w:rFonts w:cs="Traditional Arabic" w:hint="cs"/>
          <w:sz w:val="28"/>
          <w:szCs w:val="32"/>
          <w:rtl/>
        </w:rPr>
        <w:t xml:space="preserve"> ،</w:t>
      </w:r>
      <w:r w:rsidRPr="00EC737F">
        <w:rPr>
          <w:rFonts w:cs="Traditional Arabic" w:hint="cs"/>
          <w:sz w:val="28"/>
          <w:szCs w:val="32"/>
          <w:rtl/>
        </w:rPr>
        <w:t xml:space="preserve"> بحسب مرتبة كل منهم ولو كانوا قد أجروا القيد في يوم واحد"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فالرهن الرسمي إذن هو حق عيني ينشأ بموجب عقد رسمي هو الرهن</w:t>
      </w:r>
      <w:r>
        <w:rPr>
          <w:rFonts w:cs="Traditional Arabic" w:hint="cs"/>
          <w:sz w:val="28"/>
          <w:szCs w:val="32"/>
          <w:rtl/>
        </w:rPr>
        <w:t xml:space="preserve"> ،</w:t>
      </w:r>
      <w:r w:rsidRPr="00EC737F">
        <w:rPr>
          <w:rFonts w:cs="Traditional Arabic" w:hint="cs"/>
          <w:sz w:val="28"/>
          <w:szCs w:val="32"/>
          <w:rtl/>
        </w:rPr>
        <w:t xml:space="preserve"> ويتقرر ضماناً للوفاء بدين</w:t>
      </w:r>
      <w:r>
        <w:rPr>
          <w:rFonts w:cs="Traditional Arabic" w:hint="cs"/>
          <w:sz w:val="28"/>
          <w:szCs w:val="32"/>
          <w:rtl/>
        </w:rPr>
        <w:t xml:space="preserve"> .</w:t>
      </w:r>
      <w:r w:rsidRPr="00EC737F">
        <w:rPr>
          <w:rFonts w:cs="Traditional Arabic" w:hint="cs"/>
          <w:sz w:val="28"/>
          <w:szCs w:val="32"/>
          <w:rtl/>
        </w:rPr>
        <w:t xml:space="preserve"> وهذا الحق العيني يتقرر على عقار</w:t>
      </w:r>
      <w:r>
        <w:rPr>
          <w:rFonts w:cs="Traditional Arabic" w:hint="cs"/>
          <w:sz w:val="28"/>
          <w:szCs w:val="32"/>
          <w:rtl/>
        </w:rPr>
        <w:t xml:space="preserve"> ،</w:t>
      </w:r>
      <w:r w:rsidRPr="00EC737F">
        <w:rPr>
          <w:rFonts w:cs="Traditional Arabic" w:hint="cs"/>
          <w:sz w:val="28"/>
          <w:szCs w:val="32"/>
          <w:rtl/>
        </w:rPr>
        <w:t xml:space="preserve"> مملوك للمدين أو لكفيل عيني</w:t>
      </w:r>
      <w:r>
        <w:rPr>
          <w:rFonts w:cs="Traditional Arabic" w:hint="cs"/>
          <w:sz w:val="28"/>
          <w:szCs w:val="32"/>
          <w:rtl/>
        </w:rPr>
        <w:t xml:space="preserve"> .</w:t>
      </w:r>
      <w:r w:rsidRPr="00EC737F">
        <w:rPr>
          <w:rFonts w:cs="Traditional Arabic" w:hint="cs"/>
          <w:sz w:val="28"/>
          <w:szCs w:val="32"/>
          <w:rtl/>
        </w:rPr>
        <w:t xml:space="preserve"> وبموجبه يكون للدائن الحق في استيفاء دينه من ثمن هذا العقار</w:t>
      </w:r>
      <w:r>
        <w:rPr>
          <w:rFonts w:cs="Traditional Arabic" w:hint="cs"/>
          <w:sz w:val="28"/>
          <w:szCs w:val="32"/>
          <w:rtl/>
        </w:rPr>
        <w:t xml:space="preserve"> ،</w:t>
      </w:r>
      <w:r w:rsidRPr="00EC737F">
        <w:rPr>
          <w:rFonts w:cs="Traditional Arabic" w:hint="cs"/>
          <w:sz w:val="28"/>
          <w:szCs w:val="32"/>
          <w:rtl/>
        </w:rPr>
        <w:t xml:space="preserve"> مقدما في ذلك على الدائنين العاديين لمالك هذا العقار وللدائنين أصحاب الحقوق العينية على هذا العقار المتأخرين في المرتبة</w:t>
      </w:r>
      <w:r>
        <w:rPr>
          <w:rFonts w:cs="Traditional Arabic" w:hint="cs"/>
          <w:sz w:val="28"/>
          <w:szCs w:val="32"/>
          <w:rtl/>
        </w:rPr>
        <w:t xml:space="preserve"> ،</w:t>
      </w:r>
      <w:r w:rsidRPr="00EC737F">
        <w:rPr>
          <w:rFonts w:cs="Traditional Arabic" w:hint="cs"/>
          <w:sz w:val="28"/>
          <w:szCs w:val="32"/>
          <w:rtl/>
        </w:rPr>
        <w:t xml:space="preserve"> ومتتبعاً هذا العقار تحت يد من انتقلت إليه ملكيته</w:t>
      </w:r>
      <w:r>
        <w:rPr>
          <w:rFonts w:cs="Traditional Arabic" w:hint="cs"/>
          <w:sz w:val="28"/>
          <w:szCs w:val="32"/>
          <w:vertAlign w:val="superscript"/>
          <w:rtl/>
        </w:rPr>
        <w:t xml:space="preserve">( </w:t>
      </w:r>
      <w:r w:rsidRPr="00EC737F">
        <w:rPr>
          <w:rStyle w:val="ab"/>
          <w:rFonts w:cs="Traditional Arabic"/>
          <w:sz w:val="28"/>
          <w:szCs w:val="32"/>
          <w:rtl/>
        </w:rPr>
        <w:footnoteReference w:id="60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117- خصائص حق الرهن الرسمي</w:t>
      </w:r>
      <w:r>
        <w:rPr>
          <w:rFonts w:cs="Traditional Arabic" w:hint="cs"/>
          <w:sz w:val="28"/>
          <w:szCs w:val="32"/>
          <w:rtl/>
        </w:rPr>
        <w:t xml:space="preserve"> :</w:t>
      </w:r>
      <w:r w:rsidRPr="00EC737F">
        <w:rPr>
          <w:rFonts w:cs="Traditional Arabic" w:hint="cs"/>
          <w:sz w:val="28"/>
          <w:szCs w:val="32"/>
          <w:rtl/>
        </w:rPr>
        <w:t xml:space="preserve"> ومن خصائص حق الرهن $271 الرسمي أنه</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حق عيني عقاري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حق تبعي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حق غير قابل للتجزئة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118- الرهن الرسمي حق عيني عقاري</w:t>
      </w:r>
      <w:r>
        <w:rPr>
          <w:rFonts w:cs="Traditional Arabic" w:hint="cs"/>
          <w:sz w:val="28"/>
          <w:szCs w:val="32"/>
          <w:rtl/>
        </w:rPr>
        <w:t xml:space="preserve"> :</w:t>
      </w:r>
      <w:r w:rsidRPr="00EC737F">
        <w:rPr>
          <w:rFonts w:cs="Traditional Arabic" w:hint="cs"/>
          <w:sz w:val="28"/>
          <w:szCs w:val="32"/>
          <w:rtl/>
        </w:rPr>
        <w:t xml:space="preserve"> يعطي حق الرهن الرسمي للدائن المرتهن حقا عينياً </w:t>
      </w:r>
      <w:r w:rsidRPr="00EC737F">
        <w:rPr>
          <w:rFonts w:cs="Traditional Arabic" w:hint="cs"/>
          <w:sz w:val="28"/>
          <w:szCs w:val="32"/>
          <w:rtl/>
        </w:rPr>
        <w:lastRenderedPageBreak/>
        <w:t>عقارياًن بجميع ما ينتج عن هذا الحق من مزايا وضمانات عينية</w:t>
      </w:r>
      <w:r>
        <w:rPr>
          <w:rFonts w:cs="Traditional Arabic" w:hint="cs"/>
          <w:sz w:val="28"/>
          <w:szCs w:val="32"/>
          <w:vertAlign w:val="superscript"/>
          <w:rtl/>
        </w:rPr>
        <w:t xml:space="preserve">( </w:t>
      </w:r>
      <w:r w:rsidRPr="00EC737F">
        <w:rPr>
          <w:rStyle w:val="ab"/>
          <w:rFonts w:cs="Traditional Arabic"/>
          <w:sz w:val="28"/>
          <w:szCs w:val="32"/>
          <w:rtl/>
        </w:rPr>
        <w:footnoteReference w:id="60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فيعطي هذا الحق العيني للدائن حق التقدم على جميع الدائنين العاديين والدائنين المتأخرين في المرتبة</w:t>
      </w:r>
      <w:r>
        <w:rPr>
          <w:rFonts w:cs="Traditional Arabic" w:hint="cs"/>
          <w:sz w:val="28"/>
          <w:szCs w:val="32"/>
          <w:rtl/>
        </w:rPr>
        <w:t xml:space="preserve"> ،</w:t>
      </w:r>
      <w:r w:rsidRPr="00EC737F">
        <w:rPr>
          <w:rFonts w:cs="Traditional Arabic" w:hint="cs"/>
          <w:sz w:val="28"/>
          <w:szCs w:val="32"/>
          <w:rtl/>
        </w:rPr>
        <w:t xml:space="preserve"> كما يعطي حق التتبع في يد من تنتقل إليه ملكية العقار المرهون</w:t>
      </w:r>
      <w:r>
        <w:rPr>
          <w:rFonts w:cs="Traditional Arabic" w:hint="cs"/>
          <w:sz w:val="28"/>
          <w:szCs w:val="32"/>
          <w:rtl/>
        </w:rPr>
        <w:t xml:space="preserve"> .</w:t>
      </w:r>
      <w:r w:rsidRPr="00EC737F">
        <w:rPr>
          <w:rFonts w:cs="Traditional Arabic" w:hint="cs"/>
          <w:sz w:val="28"/>
          <w:szCs w:val="32"/>
          <w:rtl/>
        </w:rPr>
        <w:t xml:space="preserve"> فحق الرهن الرسمي ليس إذن جزءا من حق الملكية كحق الارتفاق وحق الانتفاع</w:t>
      </w:r>
      <w:r>
        <w:rPr>
          <w:rFonts w:cs="Traditional Arabic" w:hint="cs"/>
          <w:sz w:val="28"/>
          <w:szCs w:val="32"/>
          <w:rtl/>
        </w:rPr>
        <w:t xml:space="preserve"> ،</w:t>
      </w:r>
      <w:r w:rsidRPr="00EC737F">
        <w:rPr>
          <w:rFonts w:cs="Traditional Arabic" w:hint="cs"/>
          <w:sz w:val="28"/>
          <w:szCs w:val="32"/>
          <w:rtl/>
        </w:rPr>
        <w:t xml:space="preserve"> بل هو حق الملكي ذاته </w:t>
      </w:r>
      <w:r>
        <w:rPr>
          <w:rFonts w:cs="Traditional Arabic" w:hint="cs"/>
          <w:sz w:val="28"/>
          <w:szCs w:val="32"/>
          <w:rtl/>
        </w:rPr>
        <w:t xml:space="preserve">( </w:t>
      </w:r>
      <w:r w:rsidRPr="00EC737F">
        <w:rPr>
          <w:rFonts w:cs="Traditional Arabic" w:hint="cs"/>
          <w:sz w:val="28"/>
          <w:szCs w:val="32"/>
          <w:rtl/>
        </w:rPr>
        <w:t>أو حق عقاري آخر</w:t>
      </w:r>
      <w:r>
        <w:rPr>
          <w:rFonts w:cs="Traditional Arabic" w:hint="cs"/>
          <w:sz w:val="28"/>
          <w:szCs w:val="32"/>
          <w:rtl/>
        </w:rPr>
        <w:t xml:space="preserve"> )</w:t>
      </w:r>
      <w:r w:rsidRPr="00EC737F">
        <w:rPr>
          <w:rFonts w:cs="Traditional Arabic" w:hint="cs"/>
          <w:sz w:val="28"/>
          <w:szCs w:val="32"/>
          <w:rtl/>
        </w:rPr>
        <w:t xml:space="preserve"> وضع ضماناً لدين معين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كان الرهن الرسمي حقاً عقارياً تابعاً لدين كما سنرى</w:t>
      </w:r>
      <w:r>
        <w:rPr>
          <w:rFonts w:cs="Traditional Arabic" w:hint="cs"/>
          <w:sz w:val="28"/>
          <w:szCs w:val="32"/>
          <w:rtl/>
        </w:rPr>
        <w:t xml:space="preserve"> ،</w:t>
      </w:r>
      <w:r w:rsidRPr="00EC737F">
        <w:rPr>
          <w:rFonts w:cs="Traditional Arabic" w:hint="cs"/>
          <w:sz w:val="28"/>
          <w:szCs w:val="32"/>
          <w:rtl/>
        </w:rPr>
        <w:t xml:space="preserve"> فإن هذه التبعية تظهر يف أمور معينة</w:t>
      </w:r>
      <w:r>
        <w:rPr>
          <w:rFonts w:cs="Traditional Arabic" w:hint="cs"/>
          <w:sz w:val="28"/>
          <w:szCs w:val="32"/>
          <w:rtl/>
        </w:rPr>
        <w:t xml:space="preserve"> ،</w:t>
      </w:r>
      <w:r w:rsidRPr="00EC737F">
        <w:rPr>
          <w:rFonts w:cs="Traditional Arabic" w:hint="cs"/>
          <w:sz w:val="28"/>
          <w:szCs w:val="32"/>
          <w:rtl/>
        </w:rPr>
        <w:t xml:space="preserve"> منها أن ينتقل الدين ومعه الرهن الرسمي للموصي له من الدائن المرتهن</w:t>
      </w:r>
      <w:r>
        <w:rPr>
          <w:rFonts w:cs="Traditional Arabic" w:hint="cs"/>
          <w:sz w:val="28"/>
          <w:szCs w:val="32"/>
          <w:rtl/>
        </w:rPr>
        <w:t xml:space="preserve"> ،</w:t>
      </w:r>
      <w:r w:rsidRPr="00EC737F">
        <w:rPr>
          <w:rFonts w:cs="Traditional Arabic" w:hint="cs"/>
          <w:sz w:val="28"/>
          <w:szCs w:val="32"/>
          <w:rtl/>
        </w:rPr>
        <w:t xml:space="preserve"> ومنها أن ينتقل الدين ومعه الرهن الرسمي كذلك إلى المحال له</w:t>
      </w:r>
      <w:r>
        <w:rPr>
          <w:rFonts w:cs="Traditional Arabic" w:hint="cs"/>
          <w:sz w:val="28"/>
          <w:szCs w:val="32"/>
          <w:vertAlign w:val="superscript"/>
          <w:rtl/>
        </w:rPr>
        <w:t xml:space="preserve">( </w:t>
      </w:r>
      <w:r w:rsidRPr="00EC737F">
        <w:rPr>
          <w:rStyle w:val="ab"/>
          <w:rFonts w:cs="Traditional Arabic"/>
          <w:sz w:val="28"/>
          <w:szCs w:val="32"/>
          <w:rtl/>
        </w:rPr>
        <w:footnoteReference w:id="60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الرهن الرسمي يبقى مع ذلك حقاً عقارياً</w:t>
      </w:r>
      <w:r>
        <w:rPr>
          <w:rFonts w:cs="Traditional Arabic" w:hint="cs"/>
          <w:sz w:val="28"/>
          <w:szCs w:val="32"/>
          <w:rtl/>
        </w:rPr>
        <w:t xml:space="preserve"> ،</w:t>
      </w:r>
      <w:r w:rsidRPr="00EC737F">
        <w:rPr>
          <w:rFonts w:cs="Traditional Arabic" w:hint="cs"/>
          <w:sz w:val="28"/>
          <w:szCs w:val="32"/>
          <w:rtl/>
        </w:rPr>
        <w:t xml:space="preserve"> فإذا أراد الدائن المرتهن أن يتخلى عنه أو أن يحيله لشخص آخر</w:t>
      </w:r>
      <w:r>
        <w:rPr>
          <w:rFonts w:cs="Traditional Arabic" w:hint="cs"/>
          <w:sz w:val="28"/>
          <w:szCs w:val="32"/>
          <w:rtl/>
        </w:rPr>
        <w:t xml:space="preserve"> ،</w:t>
      </w:r>
      <w:r w:rsidRPr="00EC737F">
        <w:rPr>
          <w:rFonts w:cs="Traditional Arabic" w:hint="cs"/>
          <w:sz w:val="28"/>
          <w:szCs w:val="32"/>
          <w:rtl/>
        </w:rPr>
        <w:t xml:space="preserve"> وجب أن يكون لهذا الدائن الأهلية اللازمة لنقل العقار</w:t>
      </w:r>
      <w:r>
        <w:rPr>
          <w:rFonts w:cs="Traditional Arabic" w:hint="cs"/>
          <w:sz w:val="28"/>
          <w:szCs w:val="32"/>
          <w:vertAlign w:val="superscript"/>
          <w:rtl/>
        </w:rPr>
        <w:t xml:space="preserve">( </w:t>
      </w:r>
      <w:r w:rsidRPr="00EC737F">
        <w:rPr>
          <w:rStyle w:val="ab"/>
          <w:rFonts w:cs="Traditional Arabic"/>
          <w:sz w:val="28"/>
          <w:szCs w:val="32"/>
          <w:rtl/>
        </w:rPr>
        <w:footnoteReference w:id="60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119- الرهن الرسمي حق تبعي</w:t>
      </w:r>
      <w:r>
        <w:rPr>
          <w:rFonts w:cs="Traditional Arabic" w:hint="cs"/>
          <w:sz w:val="28"/>
          <w:szCs w:val="32"/>
          <w:rtl/>
        </w:rPr>
        <w:t xml:space="preserve"> :</w:t>
      </w:r>
      <w:r w:rsidRPr="00EC737F">
        <w:rPr>
          <w:rFonts w:cs="Traditional Arabic" w:hint="cs"/>
          <w:sz w:val="28"/>
          <w:szCs w:val="32"/>
          <w:rtl/>
        </w:rPr>
        <w:t xml:space="preserve"> وحق الرهن الرسمي حق تبعي للدين الذي يضمنه هذا الرهن</w:t>
      </w:r>
      <w:r>
        <w:rPr>
          <w:rFonts w:cs="Traditional Arabic" w:hint="cs"/>
          <w:sz w:val="28"/>
          <w:szCs w:val="32"/>
          <w:rtl/>
        </w:rPr>
        <w:t xml:space="preserve"> .</w:t>
      </w:r>
      <w:r w:rsidRPr="00EC737F">
        <w:rPr>
          <w:rFonts w:cs="Traditional Arabic" w:hint="cs"/>
          <w:sz w:val="28"/>
          <w:szCs w:val="32"/>
          <w:rtl/>
        </w:rPr>
        <w:t xml:space="preserve"> فلا يقوم هذا الحق إلا بقيام الدين المضمون به</w:t>
      </w:r>
      <w:r>
        <w:rPr>
          <w:rFonts w:cs="Traditional Arabic" w:hint="cs"/>
          <w:sz w:val="28"/>
          <w:szCs w:val="32"/>
          <w:rtl/>
        </w:rPr>
        <w:t xml:space="preserve"> ،</w:t>
      </w:r>
      <w:r w:rsidRPr="00EC737F">
        <w:rPr>
          <w:rFonts w:cs="Traditional Arabic" w:hint="cs"/>
          <w:sz w:val="28"/>
          <w:szCs w:val="32"/>
          <w:rtl/>
        </w:rPr>
        <w:t xml:space="preserve"> $272 ويسير مع الدين وجوداً وعدماً</w:t>
      </w:r>
      <w:r>
        <w:rPr>
          <w:rFonts w:cs="Traditional Arabic" w:hint="cs"/>
          <w:sz w:val="28"/>
          <w:szCs w:val="32"/>
          <w:vertAlign w:val="superscript"/>
          <w:rtl/>
        </w:rPr>
        <w:t xml:space="preserve">( </w:t>
      </w:r>
      <w:r w:rsidRPr="00EC737F">
        <w:rPr>
          <w:rStyle w:val="ab"/>
          <w:rFonts w:cs="Traditional Arabic"/>
          <w:sz w:val="28"/>
          <w:szCs w:val="32"/>
          <w:rtl/>
        </w:rPr>
        <w:footnoteReference w:id="60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فكل رهن رسمي يفترض إذن وجود التزام صحيح يضمنه هذا الرهن</w:t>
      </w:r>
      <w:r>
        <w:rPr>
          <w:rFonts w:cs="Traditional Arabic" w:hint="cs"/>
          <w:sz w:val="28"/>
          <w:szCs w:val="32"/>
          <w:rtl/>
        </w:rPr>
        <w:t xml:space="preserve"> ،</w:t>
      </w:r>
      <w:r w:rsidRPr="00EC737F">
        <w:rPr>
          <w:rFonts w:cs="Traditional Arabic" w:hint="cs"/>
          <w:sz w:val="28"/>
          <w:szCs w:val="32"/>
          <w:rtl/>
        </w:rPr>
        <w:t xml:space="preserve"> فإذا اعتور الالتزام عيب يؤدي إلى بطلانه أو إبطاله أو نقضه</w:t>
      </w:r>
      <w:r>
        <w:rPr>
          <w:rFonts w:cs="Traditional Arabic" w:hint="cs"/>
          <w:sz w:val="28"/>
          <w:szCs w:val="32"/>
          <w:rtl/>
        </w:rPr>
        <w:t xml:space="preserve"> ،</w:t>
      </w:r>
      <w:r w:rsidRPr="00EC737F">
        <w:rPr>
          <w:rFonts w:cs="Traditional Arabic" w:hint="cs"/>
          <w:sz w:val="28"/>
          <w:szCs w:val="32"/>
          <w:rtl/>
        </w:rPr>
        <w:t xml:space="preserve"> اختفى الرهن مع الالتزام</w:t>
      </w:r>
      <w:r>
        <w:rPr>
          <w:rFonts w:cs="Traditional Arabic" w:hint="cs"/>
          <w:sz w:val="28"/>
          <w:szCs w:val="32"/>
          <w:vertAlign w:val="superscript"/>
          <w:rtl/>
        </w:rPr>
        <w:t xml:space="preserve">( </w:t>
      </w:r>
      <w:r w:rsidRPr="00EC737F">
        <w:rPr>
          <w:rStyle w:val="ab"/>
          <w:rFonts w:cs="Traditional Arabic"/>
          <w:sz w:val="28"/>
          <w:szCs w:val="32"/>
          <w:rtl/>
        </w:rPr>
        <w:footnoteReference w:id="60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وينتقل الرهن مع الالتزام للموصي له بالمنقول</w:t>
      </w:r>
      <w:r>
        <w:rPr>
          <w:rFonts w:cs="Traditional Arabic" w:hint="cs"/>
          <w:sz w:val="28"/>
          <w:szCs w:val="32"/>
          <w:vertAlign w:val="superscript"/>
          <w:rtl/>
        </w:rPr>
        <w:t xml:space="preserve">( </w:t>
      </w:r>
      <w:r w:rsidRPr="00EC737F">
        <w:rPr>
          <w:rStyle w:val="ab"/>
          <w:rFonts w:cs="Traditional Arabic"/>
          <w:sz w:val="28"/>
          <w:szCs w:val="32"/>
          <w:rtl/>
        </w:rPr>
        <w:footnoteReference w:id="61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كما </w:t>
      </w:r>
      <w:r w:rsidRPr="00EC737F">
        <w:rPr>
          <w:rFonts w:cs="Traditional Arabic" w:hint="cs"/>
          <w:sz w:val="28"/>
          <w:szCs w:val="32"/>
          <w:rtl/>
        </w:rPr>
        <w:lastRenderedPageBreak/>
        <w:t>ينتقل مع الالتزام للخلف العام أو الخاص للدائن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61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وينتهي انتهاء الالتزام بالوفاء أو بأية طريقة أخرى من طريق الانقضاء</w:t>
      </w:r>
      <w:r>
        <w:rPr>
          <w:rFonts w:cs="Traditional Arabic" w:hint="cs"/>
          <w:sz w:val="28"/>
          <w:szCs w:val="32"/>
          <w:vertAlign w:val="superscript"/>
          <w:rtl/>
        </w:rPr>
        <w:t xml:space="preserve">( </w:t>
      </w:r>
      <w:r w:rsidRPr="00EC737F">
        <w:rPr>
          <w:rStyle w:val="ab"/>
          <w:rFonts w:cs="Traditional Arabic"/>
          <w:sz w:val="28"/>
          <w:szCs w:val="32"/>
          <w:rtl/>
        </w:rPr>
        <w:footnoteReference w:id="61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ويقوم الرهن الرسمي لضمان أي التزام مهما كانت طبيعته وأوصافه</w:t>
      </w:r>
      <w:r>
        <w:rPr>
          <w:rFonts w:cs="Traditional Arabic" w:hint="cs"/>
          <w:sz w:val="28"/>
          <w:szCs w:val="32"/>
          <w:rtl/>
        </w:rPr>
        <w:t xml:space="preserve"> ،</w:t>
      </w:r>
      <w:r w:rsidRPr="00EC737F">
        <w:rPr>
          <w:rFonts w:cs="Traditional Arabic" w:hint="cs"/>
          <w:sz w:val="28"/>
          <w:szCs w:val="32"/>
          <w:rtl/>
        </w:rPr>
        <w:t xml:space="preserve"> فيجوز أن يضمن الرهن التزاماً مؤجلا أو التزاماً شرطياً فيصبح مؤجلا أو شرطياً كالالتزا</w:t>
      </w:r>
      <w:r w:rsidRPr="00EC737F">
        <w:rPr>
          <w:rFonts w:cs="Traditional Arabic" w:hint="eastAsia"/>
          <w:sz w:val="28"/>
          <w:szCs w:val="32"/>
          <w:rtl/>
        </w:rPr>
        <w:t>م</w:t>
      </w:r>
      <w:r w:rsidRPr="00EC737F">
        <w:rPr>
          <w:rFonts w:cs="Traditional Arabic" w:hint="cs"/>
          <w:sz w:val="28"/>
          <w:szCs w:val="32"/>
          <w:rtl/>
        </w:rPr>
        <w:t xml:space="preserve"> المضمون</w:t>
      </w:r>
      <w:r>
        <w:rPr>
          <w:rFonts w:cs="Traditional Arabic" w:hint="cs"/>
          <w:sz w:val="28"/>
          <w:szCs w:val="32"/>
          <w:vertAlign w:val="superscript"/>
          <w:rtl/>
        </w:rPr>
        <w:t xml:space="preserve">( </w:t>
      </w:r>
      <w:r w:rsidRPr="00EC737F">
        <w:rPr>
          <w:rStyle w:val="ab"/>
          <w:rFonts w:cs="Traditional Arabic"/>
          <w:sz w:val="28"/>
          <w:szCs w:val="32"/>
          <w:rtl/>
        </w:rPr>
        <w:footnoteReference w:id="61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على أنه يجوز من جهة</w:t>
      </w:r>
      <w:r>
        <w:rPr>
          <w:rFonts w:cs="Traditional Arabic" w:hint="cs"/>
          <w:sz w:val="28"/>
          <w:szCs w:val="32"/>
          <w:rtl/>
        </w:rPr>
        <w:t xml:space="preserve"> ،</w:t>
      </w:r>
      <w:r w:rsidRPr="00EC737F">
        <w:rPr>
          <w:rFonts w:cs="Traditional Arabic" w:hint="cs"/>
          <w:sz w:val="28"/>
          <w:szCs w:val="32"/>
          <w:rtl/>
        </w:rPr>
        <w:t xml:space="preserve"> في القانون الفرنسي</w:t>
      </w:r>
      <w:r>
        <w:rPr>
          <w:rFonts w:cs="Traditional Arabic" w:hint="cs"/>
          <w:sz w:val="28"/>
          <w:szCs w:val="32"/>
          <w:rtl/>
        </w:rPr>
        <w:t xml:space="preserve"> ،</w:t>
      </w:r>
      <w:r w:rsidRPr="00EC737F">
        <w:rPr>
          <w:rFonts w:cs="Traditional Arabic" w:hint="cs"/>
          <w:sz w:val="28"/>
          <w:szCs w:val="32"/>
          <w:rtl/>
        </w:rPr>
        <w:t xml:space="preserve"> فصل الرهن الرسمي عن الالتزام المضمون فيحتفظ صاحب العقار المرهون بالحق في منح مرتبة الرهن الرسمي لدائن مرتهن غير الدائن المرتهن</w:t>
      </w:r>
      <w:r>
        <w:rPr>
          <w:rFonts w:cs="Traditional Arabic" w:hint="cs"/>
          <w:sz w:val="28"/>
          <w:szCs w:val="32"/>
          <w:rtl/>
        </w:rPr>
        <w:t xml:space="preserve"> ،</w:t>
      </w:r>
      <w:r w:rsidRPr="00EC737F">
        <w:rPr>
          <w:rFonts w:cs="Traditional Arabic" w:hint="cs"/>
          <w:sz w:val="28"/>
          <w:szCs w:val="32"/>
          <w:rtl/>
        </w:rPr>
        <w:t xml:space="preserve"> كما يجوز من جهة أخرى إنشاء رهن رسمي لضمان حق مستقل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$273 أما عن احتفاظ صاحب العقار المرهون بالحق في منح مرتبة الرهن الرسمي لدائن مرتهن غير الدائن المرتهن الأول في القانون الفرنسي</w:t>
      </w:r>
      <w:r>
        <w:rPr>
          <w:rFonts w:cs="Traditional Arabic" w:hint="cs"/>
          <w:sz w:val="28"/>
          <w:szCs w:val="32"/>
          <w:rtl/>
        </w:rPr>
        <w:t xml:space="preserve"> ،</w:t>
      </w:r>
      <w:r w:rsidRPr="00EC737F">
        <w:rPr>
          <w:rFonts w:cs="Traditional Arabic" w:hint="cs"/>
          <w:sz w:val="28"/>
          <w:szCs w:val="32"/>
          <w:rtl/>
        </w:rPr>
        <w:t xml:space="preserve"> فيتحقق ذلك بأن يفي صاحب العقار المرهون الدائن المرتهن الأول ويستبقى مرتبة الرهن يعطيها لمن يشاء من الدائنين</w:t>
      </w:r>
      <w:r>
        <w:rPr>
          <w:rFonts w:cs="Traditional Arabic" w:hint="cs"/>
          <w:sz w:val="28"/>
          <w:szCs w:val="32"/>
          <w:rtl/>
        </w:rPr>
        <w:t xml:space="preserve"> ،</w:t>
      </w:r>
      <w:r w:rsidRPr="00EC737F">
        <w:rPr>
          <w:rFonts w:cs="Traditional Arabic" w:hint="cs"/>
          <w:sz w:val="28"/>
          <w:szCs w:val="32"/>
          <w:rtl/>
        </w:rPr>
        <w:t xml:space="preserve"> فيصبح لهذا الدائن مرتبة الدائن المرتهن الأول الذي سبق أن استوفى حقه</w:t>
      </w:r>
      <w:r>
        <w:rPr>
          <w:rFonts w:cs="Traditional Arabic" w:hint="cs"/>
          <w:sz w:val="28"/>
          <w:szCs w:val="32"/>
          <w:rtl/>
        </w:rPr>
        <w:t xml:space="preserve"> .</w:t>
      </w:r>
      <w:r w:rsidRPr="00EC737F">
        <w:rPr>
          <w:rFonts w:cs="Traditional Arabic" w:hint="cs"/>
          <w:sz w:val="28"/>
          <w:szCs w:val="32"/>
          <w:rtl/>
        </w:rPr>
        <w:t xml:space="preserve"> وعلى الدائن المرتهن الجديد أن يذكر في القيد الذي يجريه مرتبته في الرهن</w:t>
      </w:r>
      <w:r>
        <w:rPr>
          <w:rFonts w:cs="Traditional Arabic" w:hint="cs"/>
          <w:sz w:val="28"/>
          <w:szCs w:val="32"/>
          <w:rtl/>
        </w:rPr>
        <w:t xml:space="preserve"> ،</w:t>
      </w:r>
      <w:r w:rsidRPr="00EC737F">
        <w:rPr>
          <w:rFonts w:cs="Traditional Arabic" w:hint="cs"/>
          <w:sz w:val="28"/>
          <w:szCs w:val="32"/>
          <w:rtl/>
        </w:rPr>
        <w:t xml:space="preserve"> أي مرتبة الدائن المرتهن الأول</w:t>
      </w:r>
      <w:r>
        <w:rPr>
          <w:rFonts w:cs="Traditional Arabic" w:hint="cs"/>
          <w:sz w:val="28"/>
          <w:szCs w:val="32"/>
          <w:vertAlign w:val="superscript"/>
          <w:rtl/>
        </w:rPr>
        <w:t xml:space="preserve">( </w:t>
      </w:r>
      <w:r w:rsidRPr="00EC737F">
        <w:rPr>
          <w:rStyle w:val="ab"/>
          <w:rFonts w:cs="Traditional Arabic"/>
          <w:sz w:val="28"/>
          <w:szCs w:val="32"/>
          <w:rtl/>
        </w:rPr>
        <w:footnoteReference w:id="61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وأما عن إنشاء رهن رسمي لضمان حق مستقل</w:t>
      </w:r>
      <w:r>
        <w:rPr>
          <w:rFonts w:cs="Traditional Arabic" w:hint="cs"/>
          <w:sz w:val="28"/>
          <w:szCs w:val="32"/>
          <w:rtl/>
        </w:rPr>
        <w:t xml:space="preserve"> ،</w:t>
      </w:r>
      <w:r w:rsidRPr="00EC737F">
        <w:rPr>
          <w:rFonts w:cs="Traditional Arabic" w:hint="cs"/>
          <w:sz w:val="28"/>
          <w:szCs w:val="32"/>
          <w:rtl/>
        </w:rPr>
        <w:t xml:space="preserve"> فيتحقق ذلك إذا فتح مصرف اعتماداً لأحد عملائه مضموناً برهن يأخذه المصرف على عقار لهذا المدين</w:t>
      </w:r>
      <w:r>
        <w:rPr>
          <w:rFonts w:cs="Traditional Arabic" w:hint="cs"/>
          <w:sz w:val="28"/>
          <w:szCs w:val="32"/>
          <w:rtl/>
        </w:rPr>
        <w:t xml:space="preserve"> .</w:t>
      </w:r>
      <w:r w:rsidRPr="00EC737F">
        <w:rPr>
          <w:rFonts w:cs="Traditional Arabic" w:hint="cs"/>
          <w:sz w:val="28"/>
          <w:szCs w:val="32"/>
          <w:rtl/>
        </w:rPr>
        <w:t xml:space="preserve"> فيوجد الرهن أولا قبل أن يوجد الدين</w:t>
      </w:r>
      <w:r>
        <w:rPr>
          <w:rFonts w:cs="Traditional Arabic" w:hint="cs"/>
          <w:sz w:val="28"/>
          <w:szCs w:val="32"/>
          <w:rtl/>
        </w:rPr>
        <w:t xml:space="preserve"> ،</w:t>
      </w:r>
      <w:r w:rsidRPr="00EC737F">
        <w:rPr>
          <w:rFonts w:cs="Traditional Arabic" w:hint="cs"/>
          <w:sz w:val="28"/>
          <w:szCs w:val="32"/>
          <w:rtl/>
        </w:rPr>
        <w:t xml:space="preserve"> ثم يوجد الدين بعد ذلك</w:t>
      </w:r>
      <w:r>
        <w:rPr>
          <w:rFonts w:cs="Traditional Arabic" w:hint="cs"/>
          <w:sz w:val="28"/>
          <w:szCs w:val="32"/>
          <w:rtl/>
        </w:rPr>
        <w:t xml:space="preserve"> .</w:t>
      </w:r>
      <w:r w:rsidRPr="00EC737F">
        <w:rPr>
          <w:rFonts w:cs="Traditional Arabic" w:hint="cs"/>
          <w:sz w:val="28"/>
          <w:szCs w:val="32"/>
          <w:rtl/>
        </w:rPr>
        <w:t xml:space="preserve"> ويجوز قيد الرهن قبل أن يوجد الدين</w:t>
      </w:r>
      <w:r>
        <w:rPr>
          <w:rFonts w:cs="Traditional Arabic" w:hint="cs"/>
          <w:sz w:val="28"/>
          <w:szCs w:val="32"/>
          <w:rtl/>
        </w:rPr>
        <w:t xml:space="preserve"> ،</w:t>
      </w:r>
      <w:r w:rsidRPr="00EC737F">
        <w:rPr>
          <w:rFonts w:cs="Traditional Arabic" w:hint="cs"/>
          <w:sz w:val="28"/>
          <w:szCs w:val="32"/>
          <w:rtl/>
        </w:rPr>
        <w:t xml:space="preserve"> ويعتبر الرهن مورداً حتى قبل أن يقبض العميل الاعتماد المضمون بالرهن</w:t>
      </w:r>
      <w:r>
        <w:rPr>
          <w:rFonts w:cs="Traditional Arabic" w:hint="cs"/>
          <w:sz w:val="28"/>
          <w:szCs w:val="32"/>
          <w:vertAlign w:val="superscript"/>
          <w:rtl/>
        </w:rPr>
        <w:t xml:space="preserve">( </w:t>
      </w:r>
      <w:r w:rsidRPr="00EC737F">
        <w:rPr>
          <w:rStyle w:val="ab"/>
          <w:rFonts w:cs="Traditional Arabic"/>
          <w:sz w:val="28"/>
          <w:szCs w:val="32"/>
          <w:rtl/>
        </w:rPr>
        <w:footnoteReference w:id="61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120- الرهن الرسمي حق غير قابل للتجزئة</w:t>
      </w:r>
      <w:r>
        <w:rPr>
          <w:rFonts w:cs="Traditional Arabic" w:hint="cs"/>
          <w:sz w:val="28"/>
          <w:szCs w:val="32"/>
          <w:rtl/>
        </w:rPr>
        <w:t xml:space="preserve"> :</w:t>
      </w:r>
      <w:r w:rsidRPr="00EC737F">
        <w:rPr>
          <w:rFonts w:cs="Traditional Arabic" w:hint="cs"/>
          <w:sz w:val="28"/>
          <w:szCs w:val="32"/>
          <w:rtl/>
        </w:rPr>
        <w:t xml:space="preserve"> والرهن الرسمي حق غير قابل للتجزئة</w:t>
      </w:r>
      <w:r>
        <w:rPr>
          <w:rFonts w:cs="Traditional Arabic" w:hint="cs"/>
          <w:sz w:val="28"/>
          <w:szCs w:val="32"/>
          <w:rtl/>
        </w:rPr>
        <w:t xml:space="preserve"> ،</w:t>
      </w:r>
      <w:r w:rsidRPr="00EC737F">
        <w:rPr>
          <w:rFonts w:cs="Traditional Arabic" w:hint="cs"/>
          <w:sz w:val="28"/>
          <w:szCs w:val="32"/>
          <w:rtl/>
        </w:rPr>
        <w:t xml:space="preserve"> سواء بالنسبة إلى العقار المرهون أو بالنسبة إلى الدين المضمون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بالنسبة إلى العقار المرهون</w:t>
      </w:r>
      <w:r>
        <w:rPr>
          <w:rFonts w:cs="Traditional Arabic" w:hint="cs"/>
          <w:sz w:val="28"/>
          <w:szCs w:val="32"/>
          <w:rtl/>
        </w:rPr>
        <w:t xml:space="preserve"> ،</w:t>
      </w:r>
      <w:r w:rsidRPr="00EC737F">
        <w:rPr>
          <w:rFonts w:cs="Traditional Arabic" w:hint="cs"/>
          <w:sz w:val="28"/>
          <w:szCs w:val="32"/>
          <w:rtl/>
        </w:rPr>
        <w:t xml:space="preserve"> فإنه إذا فرض أن هذا العقار انتقل إلى ورثة مالكه وأصبح كل وارث مسئولا عن جزء من الدين</w:t>
      </w:r>
      <w:r>
        <w:rPr>
          <w:rFonts w:cs="Traditional Arabic" w:hint="cs"/>
          <w:sz w:val="28"/>
          <w:szCs w:val="32"/>
          <w:rtl/>
        </w:rPr>
        <w:t xml:space="preserve"> ،</w:t>
      </w:r>
      <w:r w:rsidRPr="00EC737F">
        <w:rPr>
          <w:rFonts w:cs="Traditional Arabic" w:hint="cs"/>
          <w:sz w:val="28"/>
          <w:szCs w:val="32"/>
          <w:rtl/>
        </w:rPr>
        <w:t xml:space="preserve"> فإن الجزء من العقار الذي يملكه هذا الوارث يبقى مرهوناً في كل الدين</w:t>
      </w:r>
      <w:r>
        <w:rPr>
          <w:rFonts w:cs="Traditional Arabic" w:hint="cs"/>
          <w:sz w:val="28"/>
          <w:szCs w:val="32"/>
          <w:rtl/>
        </w:rPr>
        <w:t xml:space="preserve"> .</w:t>
      </w:r>
      <w:r w:rsidRPr="00EC737F">
        <w:rPr>
          <w:rFonts w:cs="Traditional Arabic" w:hint="cs"/>
          <w:sz w:val="28"/>
          <w:szCs w:val="32"/>
          <w:rtl/>
        </w:rPr>
        <w:t xml:space="preserve"> فإذا أدى $274 الوارث الجزء من الدين الذي هو مسئول عنه</w:t>
      </w:r>
      <w:r>
        <w:rPr>
          <w:rFonts w:cs="Traditional Arabic" w:hint="cs"/>
          <w:sz w:val="28"/>
          <w:szCs w:val="32"/>
          <w:rtl/>
        </w:rPr>
        <w:t xml:space="preserve"> ،</w:t>
      </w:r>
      <w:r w:rsidRPr="00EC737F">
        <w:rPr>
          <w:rFonts w:cs="Traditional Arabic" w:hint="cs"/>
          <w:sz w:val="28"/>
          <w:szCs w:val="32"/>
          <w:rtl/>
        </w:rPr>
        <w:t xml:space="preserve"> بقي الجزء من العقار الذي دخل في ملكه مسئولا عن باقي الدين</w:t>
      </w:r>
      <w:r>
        <w:rPr>
          <w:rFonts w:cs="Traditional Arabic" w:hint="cs"/>
          <w:sz w:val="28"/>
          <w:szCs w:val="32"/>
          <w:rtl/>
        </w:rPr>
        <w:t xml:space="preserve"> ،</w:t>
      </w:r>
      <w:r w:rsidRPr="00EC737F">
        <w:rPr>
          <w:rFonts w:cs="Traditional Arabic" w:hint="cs"/>
          <w:sz w:val="28"/>
          <w:szCs w:val="32"/>
          <w:rtl/>
        </w:rPr>
        <w:t xml:space="preserve"> ولا يجوز شطب الرهن عن هذا الجزء من العقار إلا بعد سداد الدين كله</w:t>
      </w:r>
      <w:r>
        <w:rPr>
          <w:rFonts w:cs="Traditional Arabic" w:hint="cs"/>
          <w:sz w:val="28"/>
          <w:szCs w:val="32"/>
          <w:rtl/>
        </w:rPr>
        <w:t xml:space="preserve"> .</w:t>
      </w:r>
      <w:r w:rsidRPr="00EC737F">
        <w:rPr>
          <w:rFonts w:cs="Traditional Arabic" w:hint="cs"/>
          <w:sz w:val="28"/>
          <w:szCs w:val="32"/>
          <w:rtl/>
        </w:rPr>
        <w:t xml:space="preserve"> وإذا فرض أن عقارات متعددة مرهون في الدين</w:t>
      </w:r>
      <w:r>
        <w:rPr>
          <w:rFonts w:cs="Traditional Arabic" w:hint="cs"/>
          <w:sz w:val="28"/>
          <w:szCs w:val="32"/>
          <w:rtl/>
        </w:rPr>
        <w:t xml:space="preserve"> ،</w:t>
      </w:r>
      <w:r w:rsidRPr="00EC737F">
        <w:rPr>
          <w:rFonts w:cs="Traditional Arabic" w:hint="cs"/>
          <w:sz w:val="28"/>
          <w:szCs w:val="32"/>
          <w:rtl/>
        </w:rPr>
        <w:t xml:space="preserve"> فإن كل عقار منها يبقى مرهوناً إلى أن يسدد الدين كله</w:t>
      </w:r>
      <w:r>
        <w:rPr>
          <w:rFonts w:cs="Traditional Arabic" w:hint="cs"/>
          <w:sz w:val="28"/>
          <w:szCs w:val="32"/>
          <w:rtl/>
        </w:rPr>
        <w:t xml:space="preserve"> ،</w:t>
      </w:r>
      <w:r w:rsidRPr="00EC737F">
        <w:rPr>
          <w:rFonts w:cs="Traditional Arabic" w:hint="cs"/>
          <w:sz w:val="28"/>
          <w:szCs w:val="32"/>
          <w:rtl/>
        </w:rPr>
        <w:t xml:space="preserve"> ولا يكفي وفاء ما يقابل هذا العقار من الدين حتى يتخلص العقار من الرهن</w:t>
      </w:r>
      <w:r>
        <w:rPr>
          <w:rFonts w:cs="Traditional Arabic" w:hint="cs"/>
          <w:sz w:val="28"/>
          <w:szCs w:val="32"/>
          <w:vertAlign w:val="superscript"/>
          <w:rtl/>
        </w:rPr>
        <w:t xml:space="preserve">( </w:t>
      </w:r>
      <w:r w:rsidRPr="00EC737F">
        <w:rPr>
          <w:rStyle w:val="ab"/>
          <w:rFonts w:cs="Traditional Arabic"/>
          <w:sz w:val="28"/>
          <w:szCs w:val="32"/>
          <w:rtl/>
        </w:rPr>
        <w:footnoteReference w:id="61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وأما بالنسبة إلى الدين المضمون</w:t>
      </w:r>
      <w:r>
        <w:rPr>
          <w:rFonts w:cs="Traditional Arabic" w:hint="cs"/>
          <w:sz w:val="28"/>
          <w:szCs w:val="32"/>
          <w:rtl/>
        </w:rPr>
        <w:t xml:space="preserve"> ،</w:t>
      </w:r>
      <w:r w:rsidRPr="00EC737F">
        <w:rPr>
          <w:rFonts w:cs="Traditional Arabic" w:hint="cs"/>
          <w:sz w:val="28"/>
          <w:szCs w:val="32"/>
          <w:rtl/>
        </w:rPr>
        <w:t xml:space="preserve"> فدعوى الرهن لا تتجزأ</w:t>
      </w:r>
      <w:r>
        <w:rPr>
          <w:rFonts w:cs="Traditional Arabic" w:hint="cs"/>
          <w:sz w:val="28"/>
          <w:szCs w:val="32"/>
          <w:rtl/>
        </w:rPr>
        <w:t xml:space="preserve"> ،</w:t>
      </w:r>
      <w:r w:rsidRPr="00EC737F">
        <w:rPr>
          <w:rFonts w:cs="Traditional Arabic" w:hint="cs"/>
          <w:sz w:val="28"/>
          <w:szCs w:val="32"/>
          <w:rtl/>
        </w:rPr>
        <w:t xml:space="preserve"> ويترتب على ذلك النتائج الآتية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إذا انقضى جزء من الدين المضمون</w:t>
      </w:r>
      <w:r>
        <w:rPr>
          <w:rFonts w:cs="Traditional Arabic" w:hint="cs"/>
          <w:sz w:val="28"/>
          <w:szCs w:val="32"/>
          <w:rtl/>
        </w:rPr>
        <w:t xml:space="preserve"> ،</w:t>
      </w:r>
      <w:r w:rsidRPr="00EC737F">
        <w:rPr>
          <w:rFonts w:cs="Traditional Arabic" w:hint="cs"/>
          <w:sz w:val="28"/>
          <w:szCs w:val="32"/>
          <w:rtl/>
        </w:rPr>
        <w:t xml:space="preserve"> فإن العقار الضامن للدين يبقى ضامناً لما بقي من الدين</w:t>
      </w:r>
      <w:r>
        <w:rPr>
          <w:rFonts w:cs="Traditional Arabic" w:hint="cs"/>
          <w:sz w:val="28"/>
          <w:szCs w:val="32"/>
          <w:rtl/>
        </w:rPr>
        <w:t xml:space="preserve"> ،</w:t>
      </w:r>
      <w:r w:rsidRPr="00EC737F">
        <w:rPr>
          <w:rFonts w:cs="Traditional Arabic" w:hint="cs"/>
          <w:sz w:val="28"/>
          <w:szCs w:val="32"/>
          <w:rtl/>
        </w:rPr>
        <w:t xml:space="preserve"> فلا يخلص منه ما يقابل ما انقضى من الدين المضمون</w:t>
      </w:r>
      <w:r>
        <w:rPr>
          <w:rFonts w:cs="Traditional Arabic" w:hint="cs"/>
          <w:sz w:val="28"/>
          <w:szCs w:val="32"/>
          <w:rtl/>
        </w:rPr>
        <w:t xml:space="preserve"> .</w:t>
      </w:r>
      <w:r w:rsidRPr="00EC737F">
        <w:rPr>
          <w:rFonts w:cs="Traditional Arabic" w:hint="cs"/>
          <w:sz w:val="28"/>
          <w:szCs w:val="32"/>
          <w:rtl/>
        </w:rPr>
        <w:t xml:space="preserve"> فإذا كان ما انقضى هو ربع الدين مثلا</w:t>
      </w:r>
      <w:r>
        <w:rPr>
          <w:rFonts w:cs="Traditional Arabic" w:hint="cs"/>
          <w:sz w:val="28"/>
          <w:szCs w:val="32"/>
          <w:rtl/>
        </w:rPr>
        <w:t xml:space="preserve"> ،</w:t>
      </w:r>
      <w:r w:rsidRPr="00EC737F">
        <w:rPr>
          <w:rFonts w:cs="Traditional Arabic" w:hint="cs"/>
          <w:sz w:val="28"/>
          <w:szCs w:val="32"/>
          <w:rtl/>
        </w:rPr>
        <w:t xml:space="preserve"> بقي العقار كله ضامناً لثلاثة  أرباع الدين الباقية دون وفاء</w:t>
      </w:r>
      <w:r>
        <w:rPr>
          <w:rFonts w:cs="Traditional Arabic" w:hint="cs"/>
          <w:sz w:val="28"/>
          <w:szCs w:val="32"/>
          <w:rtl/>
        </w:rPr>
        <w:t xml:space="preserve"> ،</w:t>
      </w:r>
      <w:r w:rsidRPr="00EC737F">
        <w:rPr>
          <w:rFonts w:cs="Traditional Arabic" w:hint="cs"/>
          <w:sz w:val="28"/>
          <w:szCs w:val="32"/>
          <w:rtl/>
        </w:rPr>
        <w:t xml:space="preserve"> ولا يخلص ربع العقار من الرهن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وإذا مات </w:t>
      </w:r>
      <w:r w:rsidRPr="00EC737F">
        <w:rPr>
          <w:rFonts w:cs="Traditional Arabic" w:hint="cs"/>
          <w:sz w:val="28"/>
          <w:szCs w:val="32"/>
          <w:rtl/>
        </w:rPr>
        <w:lastRenderedPageBreak/>
        <w:t>الدائن المرتهن وورثه ثلاثة أشخاص مثلا</w:t>
      </w:r>
      <w:r>
        <w:rPr>
          <w:rFonts w:cs="Traditional Arabic" w:hint="cs"/>
          <w:sz w:val="28"/>
          <w:szCs w:val="32"/>
          <w:rtl/>
        </w:rPr>
        <w:t xml:space="preserve"> ،</w:t>
      </w:r>
      <w:r w:rsidRPr="00EC737F">
        <w:rPr>
          <w:rFonts w:cs="Traditional Arabic" w:hint="cs"/>
          <w:sz w:val="28"/>
          <w:szCs w:val="32"/>
          <w:rtl/>
        </w:rPr>
        <w:t xml:space="preserve"> فإن كل وارث من هؤلاء الثلاثة</w:t>
      </w:r>
      <w:r>
        <w:rPr>
          <w:rFonts w:cs="Traditional Arabic" w:hint="cs"/>
          <w:sz w:val="28"/>
          <w:szCs w:val="32"/>
          <w:rtl/>
        </w:rPr>
        <w:t xml:space="preserve"> ،</w:t>
      </w:r>
      <w:r w:rsidRPr="00EC737F">
        <w:rPr>
          <w:rFonts w:cs="Traditional Arabic" w:hint="cs"/>
          <w:sz w:val="28"/>
          <w:szCs w:val="32"/>
          <w:rtl/>
        </w:rPr>
        <w:t xml:space="preserve"> إذا كانت أنصبتهم في الميراث متساوية</w:t>
      </w:r>
      <w:r>
        <w:rPr>
          <w:rFonts w:cs="Traditional Arabic" w:hint="cs"/>
          <w:sz w:val="28"/>
          <w:szCs w:val="32"/>
          <w:rtl/>
        </w:rPr>
        <w:t xml:space="preserve"> ،</w:t>
      </w:r>
      <w:r w:rsidRPr="00EC737F">
        <w:rPr>
          <w:rFonts w:cs="Traditional Arabic" w:hint="cs"/>
          <w:sz w:val="28"/>
          <w:szCs w:val="32"/>
          <w:rtl/>
        </w:rPr>
        <w:t xml:space="preserve"> يكون له ثلث الدين المضمون بالرهن</w:t>
      </w:r>
      <w:r>
        <w:rPr>
          <w:rFonts w:cs="Traditional Arabic" w:hint="cs"/>
          <w:sz w:val="28"/>
          <w:szCs w:val="32"/>
          <w:rtl/>
        </w:rPr>
        <w:t xml:space="preserve"> ،</w:t>
      </w:r>
      <w:r w:rsidRPr="00EC737F">
        <w:rPr>
          <w:rFonts w:cs="Traditional Arabic" w:hint="cs"/>
          <w:sz w:val="28"/>
          <w:szCs w:val="32"/>
          <w:rtl/>
        </w:rPr>
        <w:t xml:space="preserve"> ولكنه يستطيع أن ينفذ بحقه على كل العقار المرهون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وإذا مات المدين الراهن</w:t>
      </w:r>
      <w:r>
        <w:rPr>
          <w:rFonts w:cs="Traditional Arabic" w:hint="cs"/>
          <w:sz w:val="28"/>
          <w:szCs w:val="32"/>
          <w:rtl/>
        </w:rPr>
        <w:t xml:space="preserve"> ،</w:t>
      </w:r>
      <w:r w:rsidRPr="00EC737F">
        <w:rPr>
          <w:rFonts w:cs="Traditional Arabic" w:hint="cs"/>
          <w:sz w:val="28"/>
          <w:szCs w:val="32"/>
          <w:rtl/>
        </w:rPr>
        <w:t xml:space="preserve"> وترك ورثة ثلاثة أصبتهم متساوية</w:t>
      </w:r>
      <w:r>
        <w:rPr>
          <w:rFonts w:cs="Traditional Arabic" w:hint="cs"/>
          <w:sz w:val="28"/>
          <w:szCs w:val="32"/>
          <w:rtl/>
        </w:rPr>
        <w:t xml:space="preserve"> ،</w:t>
      </w:r>
      <w:r w:rsidRPr="00EC737F">
        <w:rPr>
          <w:rFonts w:cs="Traditional Arabic" w:hint="cs"/>
          <w:sz w:val="28"/>
          <w:szCs w:val="32"/>
          <w:rtl/>
        </w:rPr>
        <w:t xml:space="preserve"> ورث كل منهم ثلث الثلث فأصبح مديناً به كما هو الأمر في القانون المدني الفرنسي</w:t>
      </w:r>
      <w:r>
        <w:rPr>
          <w:rFonts w:cs="Traditional Arabic" w:hint="cs"/>
          <w:sz w:val="28"/>
          <w:szCs w:val="32"/>
          <w:rtl/>
        </w:rPr>
        <w:t xml:space="preserve"> .</w:t>
      </w:r>
      <w:r w:rsidRPr="00EC737F">
        <w:rPr>
          <w:rFonts w:cs="Traditional Arabic" w:hint="cs"/>
          <w:sz w:val="28"/>
          <w:szCs w:val="32"/>
          <w:rtl/>
        </w:rPr>
        <w:t xml:space="preserve"> ولكن إذا انتقل إليه العقار المرهون</w:t>
      </w:r>
      <w:r>
        <w:rPr>
          <w:rFonts w:cs="Traditional Arabic" w:hint="cs"/>
          <w:sz w:val="28"/>
          <w:szCs w:val="32"/>
          <w:rtl/>
        </w:rPr>
        <w:t xml:space="preserve"> ،</w:t>
      </w:r>
      <w:r w:rsidRPr="00EC737F">
        <w:rPr>
          <w:rFonts w:cs="Traditional Arabic" w:hint="cs"/>
          <w:sz w:val="28"/>
          <w:szCs w:val="32"/>
          <w:rtl/>
        </w:rPr>
        <w:t xml:space="preserve"> فإنه يمكن للدائن أن ينفذ على هذا العقار بكل الدين</w:t>
      </w:r>
      <w:r>
        <w:rPr>
          <w:rFonts w:cs="Traditional Arabic" w:hint="cs"/>
          <w:sz w:val="28"/>
          <w:szCs w:val="32"/>
          <w:rtl/>
        </w:rPr>
        <w:t xml:space="preserve"> ،</w:t>
      </w:r>
      <w:r w:rsidRPr="00EC737F">
        <w:rPr>
          <w:rFonts w:cs="Traditional Arabic" w:hint="cs"/>
          <w:sz w:val="28"/>
          <w:szCs w:val="32"/>
          <w:rtl/>
        </w:rPr>
        <w:t xml:space="preserve"> ويكون للوارث في هذه الحالة الرجوع على الوارثين الآخرين كل بقدر نصيبه في الدين</w:t>
      </w:r>
      <w:r>
        <w:rPr>
          <w:rFonts w:cs="Traditional Arabic" w:hint="cs"/>
          <w:sz w:val="28"/>
          <w:szCs w:val="32"/>
          <w:vertAlign w:val="superscript"/>
          <w:rtl/>
        </w:rPr>
        <w:t xml:space="preserve">( </w:t>
      </w:r>
      <w:r w:rsidRPr="00EC737F">
        <w:rPr>
          <w:rStyle w:val="ab"/>
          <w:rFonts w:cs="Traditional Arabic"/>
          <w:sz w:val="28"/>
          <w:szCs w:val="32"/>
          <w:rtl/>
        </w:rPr>
        <w:footnoteReference w:id="61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121- خطة البحث</w:t>
      </w:r>
      <w:r>
        <w:rPr>
          <w:rFonts w:cs="Traditional Arabic" w:hint="cs"/>
          <w:sz w:val="28"/>
          <w:szCs w:val="32"/>
          <w:rtl/>
        </w:rPr>
        <w:t xml:space="preserve"> :</w:t>
      </w:r>
      <w:r w:rsidRPr="00EC737F">
        <w:rPr>
          <w:rFonts w:cs="Traditional Arabic" w:hint="cs"/>
          <w:sz w:val="28"/>
          <w:szCs w:val="32"/>
          <w:rtl/>
        </w:rPr>
        <w:t xml:space="preserve">  وبحث الرهن الرسمي في فصول ثلاثة</w:t>
      </w:r>
      <w:r>
        <w:rPr>
          <w:rFonts w:cs="Traditional Arabic" w:hint="cs"/>
          <w:sz w:val="28"/>
          <w:szCs w:val="32"/>
          <w:rtl/>
        </w:rPr>
        <w:t xml:space="preserve"> :</w:t>
      </w:r>
      <w:r w:rsidRPr="00EC737F">
        <w:rPr>
          <w:rFonts w:cs="Traditional Arabic" w:hint="cs"/>
          <w:sz w:val="28"/>
          <w:szCs w:val="32"/>
          <w:rtl/>
        </w:rPr>
        <w:t xml:space="preserve"> $275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إنشاء الرهن الرسمين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آثار الرهن الرسمي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انقضاء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61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center"/>
        <w:rPr>
          <w:rFonts w:cs="Traditional Arabic" w:hint="cs"/>
          <w:b/>
          <w:bCs/>
          <w:sz w:val="28"/>
          <w:szCs w:val="44"/>
          <w:rtl/>
        </w:rPr>
      </w:pPr>
      <w:r w:rsidRPr="00EC737F">
        <w:rPr>
          <w:rFonts w:cs="Traditional Arabic" w:hint="cs"/>
          <w:sz w:val="28"/>
          <w:szCs w:val="32"/>
          <w:rtl/>
        </w:rPr>
        <w:lastRenderedPageBreak/>
        <w:t xml:space="preserve">$276 </w:t>
      </w:r>
      <w:r w:rsidRPr="00EC737F">
        <w:rPr>
          <w:rFonts w:cs="Traditional Arabic" w:hint="cs"/>
          <w:b/>
          <w:bCs/>
          <w:sz w:val="28"/>
          <w:szCs w:val="44"/>
          <w:rtl/>
        </w:rPr>
        <w:t>الفصل الأول</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b/>
          <w:bCs/>
          <w:sz w:val="28"/>
          <w:szCs w:val="32"/>
          <w:rtl/>
        </w:rPr>
        <w:t>إنشاء الرهن الرسمي</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122- الشكل والموضوع</w:t>
      </w:r>
      <w:r>
        <w:rPr>
          <w:rFonts w:cs="Traditional Arabic" w:hint="cs"/>
          <w:sz w:val="28"/>
          <w:szCs w:val="32"/>
          <w:rtl/>
        </w:rPr>
        <w:t xml:space="preserve"> :</w:t>
      </w:r>
      <w:r w:rsidRPr="00EC737F">
        <w:rPr>
          <w:rFonts w:cs="Traditional Arabic" w:hint="cs"/>
          <w:sz w:val="28"/>
          <w:szCs w:val="32"/>
          <w:rtl/>
        </w:rPr>
        <w:t xml:space="preserve"> عقد الرهن الرسمي عقد شكلي</w:t>
      </w:r>
      <w:r>
        <w:rPr>
          <w:rFonts w:cs="Traditional Arabic" w:hint="cs"/>
          <w:sz w:val="28"/>
          <w:szCs w:val="32"/>
          <w:rtl/>
        </w:rPr>
        <w:t xml:space="preserve"> ،</w:t>
      </w:r>
      <w:r w:rsidRPr="00EC737F">
        <w:rPr>
          <w:rFonts w:cs="Traditional Arabic" w:hint="cs"/>
          <w:sz w:val="28"/>
          <w:szCs w:val="32"/>
          <w:rtl/>
        </w:rPr>
        <w:t xml:space="preserve"> لا يتم إلا بورقة رسمية على النحو الذي سنحدده</w:t>
      </w:r>
      <w:r>
        <w:rPr>
          <w:rFonts w:cs="Traditional Arabic" w:hint="cs"/>
          <w:sz w:val="28"/>
          <w:szCs w:val="32"/>
          <w:rtl/>
        </w:rPr>
        <w:t xml:space="preserve"> .</w:t>
      </w:r>
      <w:r w:rsidRPr="00EC737F">
        <w:rPr>
          <w:rFonts w:cs="Traditional Arabic" w:hint="cs"/>
          <w:sz w:val="28"/>
          <w:szCs w:val="32"/>
          <w:rtl/>
        </w:rPr>
        <w:t xml:space="preserve"> ثم هو بعد ذلك</w:t>
      </w:r>
      <w:r>
        <w:rPr>
          <w:rFonts w:cs="Traditional Arabic" w:hint="cs"/>
          <w:sz w:val="28"/>
          <w:szCs w:val="32"/>
          <w:rtl/>
        </w:rPr>
        <w:t xml:space="preserve"> ،</w:t>
      </w:r>
      <w:r w:rsidRPr="00EC737F">
        <w:rPr>
          <w:rFonts w:cs="Traditional Arabic" w:hint="cs"/>
          <w:sz w:val="28"/>
          <w:szCs w:val="32"/>
          <w:rtl/>
        </w:rPr>
        <w:t xml:space="preserve"> من ناحية الموضوع</w:t>
      </w:r>
      <w:r>
        <w:rPr>
          <w:rFonts w:cs="Traditional Arabic" w:hint="cs"/>
          <w:sz w:val="28"/>
          <w:szCs w:val="32"/>
          <w:rtl/>
        </w:rPr>
        <w:t xml:space="preserve"> ،</w:t>
      </w:r>
      <w:r w:rsidRPr="00EC737F">
        <w:rPr>
          <w:rFonts w:cs="Traditional Arabic" w:hint="cs"/>
          <w:sz w:val="28"/>
          <w:szCs w:val="32"/>
          <w:rtl/>
        </w:rPr>
        <w:t xml:space="preserve"> عقد يجب فيه رضاء المتعاقدين على إنشاء حق الرهن الرسمي على العقار المخصص لذلك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فنبحث إنشاء الرهن الرسمي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من ناحية الشكل</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ثمن من ناحية الموضوع</w:t>
      </w:r>
      <w:r>
        <w:rPr>
          <w:rFonts w:cs="Traditional Arabic" w:hint="cs"/>
          <w:sz w:val="28"/>
          <w:szCs w:val="32"/>
          <w:rtl/>
        </w:rPr>
        <w:t xml:space="preserve"> .</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sz w:val="28"/>
          <w:szCs w:val="32"/>
          <w:rtl/>
        </w:rPr>
        <w:t>$277</w:t>
      </w:r>
      <w:r w:rsidRPr="00EC737F">
        <w:rPr>
          <w:rFonts w:cs="Traditional Arabic" w:hint="cs"/>
          <w:b/>
          <w:bCs/>
          <w:sz w:val="28"/>
          <w:szCs w:val="32"/>
          <w:rtl/>
        </w:rPr>
        <w:t xml:space="preserve"> </w:t>
      </w:r>
      <w:r w:rsidRPr="00EC737F">
        <w:rPr>
          <w:rFonts w:cs="Traditional Arabic" w:hint="cs"/>
          <w:b/>
          <w:bCs/>
          <w:sz w:val="28"/>
          <w:szCs w:val="40"/>
          <w:rtl/>
        </w:rPr>
        <w:t>المبحث الأول</w:t>
      </w:r>
    </w:p>
    <w:p w:rsidR="00F72742" w:rsidRPr="00EC737F" w:rsidRDefault="00F72742" w:rsidP="00F72742">
      <w:pPr>
        <w:widowControl w:val="0"/>
        <w:spacing w:after="120"/>
        <w:ind w:firstLine="567"/>
        <w:jc w:val="center"/>
        <w:rPr>
          <w:rFonts w:cs="Traditional Arabic" w:hint="cs"/>
          <w:b/>
          <w:bCs/>
          <w:sz w:val="28"/>
          <w:szCs w:val="32"/>
          <w:rtl/>
        </w:rPr>
      </w:pPr>
      <w:r w:rsidRPr="00EC737F">
        <w:rPr>
          <w:rFonts w:cs="Traditional Arabic" w:hint="cs"/>
          <w:b/>
          <w:bCs/>
          <w:sz w:val="28"/>
          <w:szCs w:val="32"/>
          <w:rtl/>
        </w:rPr>
        <w:t>إنشاء الرهن الرسمي من ناحية الشكل</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123- نص قانوني</w:t>
      </w:r>
      <w:r>
        <w:rPr>
          <w:rFonts w:cs="Traditional Arabic" w:hint="cs"/>
          <w:sz w:val="28"/>
          <w:szCs w:val="32"/>
          <w:rtl/>
        </w:rPr>
        <w:t xml:space="preserve"> :</w:t>
      </w:r>
      <w:r w:rsidRPr="00EC737F">
        <w:rPr>
          <w:rFonts w:cs="Traditional Arabic" w:hint="cs"/>
          <w:sz w:val="28"/>
          <w:szCs w:val="32"/>
          <w:rtl/>
        </w:rPr>
        <w:t xml:space="preserve"> تنص المادة 1031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 لا ينعقد الرهن الرسمي إلا إذا كان بورقة رسمية"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ونفقات العقد على الرهن</w:t>
      </w:r>
      <w:r>
        <w:rPr>
          <w:rFonts w:cs="Traditional Arabic" w:hint="cs"/>
          <w:sz w:val="28"/>
          <w:szCs w:val="32"/>
          <w:rtl/>
        </w:rPr>
        <w:t xml:space="preserve"> ،</w:t>
      </w:r>
      <w:r w:rsidRPr="00EC737F">
        <w:rPr>
          <w:rFonts w:cs="Traditional Arabic" w:hint="cs"/>
          <w:sz w:val="28"/>
          <w:szCs w:val="32"/>
          <w:rtl/>
        </w:rPr>
        <w:t xml:space="preserve"> إلا إذا اتفق على غير ذلك</w:t>
      </w:r>
      <w:r>
        <w:rPr>
          <w:rFonts w:cs="Traditional Arabic" w:hint="cs"/>
          <w:sz w:val="28"/>
          <w:szCs w:val="32"/>
          <w:vertAlign w:val="superscript"/>
          <w:rtl/>
        </w:rPr>
        <w:t xml:space="preserve">( </w:t>
      </w:r>
      <w:r w:rsidRPr="00EC737F">
        <w:rPr>
          <w:rStyle w:val="ab"/>
          <w:rFonts w:cs="Traditional Arabic"/>
          <w:sz w:val="28"/>
          <w:szCs w:val="32"/>
          <w:rtl/>
        </w:rPr>
        <w:footnoteReference w:id="61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في التقنين المدني السابق م 557/681</w:t>
      </w:r>
      <w:r>
        <w:rPr>
          <w:rFonts w:cs="Traditional Arabic" w:hint="cs"/>
          <w:sz w:val="28"/>
          <w:szCs w:val="32"/>
          <w:vertAlign w:val="superscript"/>
          <w:rtl/>
        </w:rPr>
        <w:t xml:space="preserve">( </w:t>
      </w:r>
      <w:r w:rsidRPr="00EC737F">
        <w:rPr>
          <w:rStyle w:val="ab"/>
          <w:rFonts w:cs="Traditional Arabic"/>
          <w:sz w:val="28"/>
          <w:szCs w:val="32"/>
          <w:rtl/>
        </w:rPr>
        <w:footnoteReference w:id="62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ويقابل النص في التقنينات المدنية العربية الأخرى</w:t>
      </w:r>
      <w:r>
        <w:rPr>
          <w:rFonts w:cs="Traditional Arabic" w:hint="cs"/>
          <w:sz w:val="28"/>
          <w:szCs w:val="32"/>
          <w:rtl/>
        </w:rPr>
        <w:t xml:space="preserve"> :</w:t>
      </w:r>
      <w:r w:rsidRPr="00EC737F">
        <w:rPr>
          <w:rFonts w:cs="Traditional Arabic" w:hint="cs"/>
          <w:sz w:val="28"/>
          <w:szCs w:val="32"/>
          <w:rtl/>
        </w:rPr>
        <w:t xml:space="preserve"> في التقنين المدني السوري م 1091 </w:t>
      </w:r>
      <w:r w:rsidRPr="00EC737F">
        <w:rPr>
          <w:rFonts w:cs="Traditional Arabic"/>
          <w:sz w:val="28"/>
          <w:szCs w:val="32"/>
          <w:rtl/>
        </w:rPr>
        <w:t>–</w:t>
      </w:r>
      <w:r w:rsidRPr="00EC737F">
        <w:rPr>
          <w:rFonts w:cs="Traditional Arabic" w:hint="cs"/>
          <w:sz w:val="28"/>
          <w:szCs w:val="32"/>
          <w:rtl/>
        </w:rPr>
        <w:t xml:space="preserve"> وفي التقنين المدني الليبي ك 1-34 </w:t>
      </w:r>
      <w:r w:rsidRPr="00EC737F">
        <w:rPr>
          <w:rFonts w:cs="Traditional Arabic"/>
          <w:sz w:val="28"/>
          <w:szCs w:val="32"/>
          <w:rtl/>
        </w:rPr>
        <w:t>–</w:t>
      </w:r>
      <w:r w:rsidRPr="00EC737F">
        <w:rPr>
          <w:rFonts w:cs="Traditional Arabic" w:hint="cs"/>
          <w:sz w:val="28"/>
          <w:szCs w:val="32"/>
          <w:rtl/>
        </w:rPr>
        <w:t xml:space="preserve"> وفي التقنين المدني العراقي م 1286 </w:t>
      </w:r>
      <w:r w:rsidRPr="00EC737F">
        <w:rPr>
          <w:rFonts w:cs="Traditional Arabic"/>
          <w:sz w:val="28"/>
          <w:szCs w:val="32"/>
          <w:rtl/>
        </w:rPr>
        <w:t>–</w:t>
      </w:r>
      <w:r w:rsidRPr="00EC737F">
        <w:rPr>
          <w:rFonts w:cs="Traditional Arabic" w:hint="cs"/>
          <w:sz w:val="28"/>
          <w:szCs w:val="32"/>
          <w:rtl/>
        </w:rPr>
        <w:t xml:space="preserve"> وفي قانون الملكية العقارية اللبناني م 126 </w:t>
      </w:r>
      <w:r w:rsidRPr="00EC737F">
        <w:rPr>
          <w:rFonts w:cs="Traditional Arabic"/>
          <w:sz w:val="28"/>
          <w:szCs w:val="32"/>
          <w:rtl/>
        </w:rPr>
        <w:t>–</w:t>
      </w:r>
      <w:r w:rsidRPr="00EC737F">
        <w:rPr>
          <w:rFonts w:cs="Traditional Arabic" w:hint="cs"/>
          <w:sz w:val="28"/>
          <w:szCs w:val="32"/>
          <w:rtl/>
        </w:rPr>
        <w:t xml:space="preserve"> 127 و م 141 - 142</w:t>
      </w:r>
      <w:r>
        <w:rPr>
          <w:rFonts w:cs="Traditional Arabic" w:hint="cs"/>
          <w:sz w:val="28"/>
          <w:szCs w:val="32"/>
          <w:vertAlign w:val="superscript"/>
          <w:rtl/>
        </w:rPr>
        <w:t xml:space="preserve">( </w:t>
      </w:r>
      <w:r w:rsidRPr="00EC737F">
        <w:rPr>
          <w:rStyle w:val="ab"/>
          <w:rFonts w:cs="Traditional Arabic"/>
          <w:sz w:val="28"/>
          <w:szCs w:val="32"/>
          <w:rtl/>
        </w:rPr>
        <w:footnoteReference w:id="62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$278 وجاء في المذكرة الإيضاحية للمشروع التمهيدي في هذا الخصوص</w:t>
      </w:r>
      <w:r>
        <w:rPr>
          <w:rFonts w:cs="Traditional Arabic" w:hint="cs"/>
          <w:sz w:val="28"/>
          <w:szCs w:val="32"/>
          <w:rtl/>
        </w:rPr>
        <w:t xml:space="preserve"> :</w:t>
      </w:r>
      <w:r w:rsidRPr="00EC737F">
        <w:rPr>
          <w:rFonts w:cs="Traditional Arabic" w:hint="cs"/>
          <w:sz w:val="28"/>
          <w:szCs w:val="32"/>
          <w:rtl/>
        </w:rPr>
        <w:t xml:space="preserve"> "يطلق الرهن على العقد الرسمي وعلى الحق العيني الذي ينشئه هذا العقد</w:t>
      </w:r>
      <w:r>
        <w:rPr>
          <w:rFonts w:cs="Traditional Arabic" w:hint="cs"/>
          <w:sz w:val="28"/>
          <w:szCs w:val="32"/>
          <w:rtl/>
        </w:rPr>
        <w:t xml:space="preserve"> .</w:t>
      </w:r>
      <w:r w:rsidRPr="00EC737F">
        <w:rPr>
          <w:rFonts w:cs="Traditional Arabic" w:hint="cs"/>
          <w:sz w:val="28"/>
          <w:szCs w:val="32"/>
          <w:rtl/>
        </w:rPr>
        <w:t xml:space="preserve"> فالرهن عقد يتم بين الراهن والراهن المرتهن</w:t>
      </w:r>
      <w:r>
        <w:rPr>
          <w:rFonts w:cs="Traditional Arabic" w:hint="cs"/>
          <w:sz w:val="28"/>
          <w:szCs w:val="32"/>
          <w:rtl/>
        </w:rPr>
        <w:t xml:space="preserve"> .</w:t>
      </w:r>
      <w:r w:rsidRPr="00EC737F">
        <w:rPr>
          <w:rFonts w:cs="Traditional Arabic" w:hint="cs"/>
          <w:sz w:val="28"/>
          <w:szCs w:val="32"/>
          <w:rtl/>
        </w:rPr>
        <w:t xml:space="preserve"> ويكون الراهن عادة هو المدين</w:t>
      </w:r>
      <w:r>
        <w:rPr>
          <w:rFonts w:cs="Traditional Arabic" w:hint="cs"/>
          <w:sz w:val="28"/>
          <w:szCs w:val="32"/>
          <w:rtl/>
        </w:rPr>
        <w:t xml:space="preserve"> ،</w:t>
      </w:r>
      <w:r w:rsidRPr="00EC737F">
        <w:rPr>
          <w:rFonts w:cs="Traditional Arabic" w:hint="cs"/>
          <w:sz w:val="28"/>
          <w:szCs w:val="32"/>
          <w:rtl/>
        </w:rPr>
        <w:t xml:space="preserve"> $279 وقد يكون غير المدين فيسمى كفيلا عينياً</w:t>
      </w:r>
      <w:r>
        <w:rPr>
          <w:rFonts w:cs="Traditional Arabic" w:hint="cs"/>
          <w:sz w:val="28"/>
          <w:szCs w:val="32"/>
          <w:rtl/>
        </w:rPr>
        <w:t xml:space="preserve"> .</w:t>
      </w:r>
      <w:r w:rsidRPr="00EC737F">
        <w:rPr>
          <w:rFonts w:cs="Traditional Arabic" w:hint="cs"/>
          <w:sz w:val="28"/>
          <w:szCs w:val="32"/>
          <w:rtl/>
        </w:rPr>
        <w:t xml:space="preserve"> والرسمية ركن في العقد لا يقوم بدونها</w:t>
      </w:r>
      <w:r>
        <w:rPr>
          <w:rFonts w:cs="Traditional Arabic" w:hint="cs"/>
          <w:sz w:val="28"/>
          <w:szCs w:val="32"/>
          <w:rtl/>
        </w:rPr>
        <w:t xml:space="preserve"> ،</w:t>
      </w:r>
      <w:r w:rsidRPr="00EC737F">
        <w:rPr>
          <w:rFonts w:cs="Traditional Arabic" w:hint="cs"/>
          <w:sz w:val="28"/>
          <w:szCs w:val="32"/>
          <w:rtl/>
        </w:rPr>
        <w:t xml:space="preserve"> ونفقات العقد من كتابة ورسوم وقيد وغير ذلك تكون على الراهن</w:t>
      </w:r>
      <w:r>
        <w:rPr>
          <w:rFonts w:cs="Traditional Arabic" w:hint="cs"/>
          <w:sz w:val="28"/>
          <w:szCs w:val="32"/>
          <w:rtl/>
        </w:rPr>
        <w:t xml:space="preserve"> ،</w:t>
      </w:r>
      <w:r w:rsidRPr="00EC737F">
        <w:rPr>
          <w:rFonts w:cs="Traditional Arabic" w:hint="cs"/>
          <w:sz w:val="28"/>
          <w:szCs w:val="32"/>
          <w:rtl/>
        </w:rPr>
        <w:t xml:space="preserve"> إلا إذا كان هناك اتفاق على شيء آخر</w:t>
      </w:r>
      <w:r>
        <w:rPr>
          <w:rFonts w:cs="Traditional Arabic" w:hint="cs"/>
          <w:sz w:val="28"/>
          <w:szCs w:val="32"/>
          <w:rtl/>
        </w:rPr>
        <w:t xml:space="preserve"> .</w:t>
      </w:r>
      <w:r w:rsidRPr="00EC737F">
        <w:rPr>
          <w:rFonts w:cs="Traditional Arabic" w:hint="cs"/>
          <w:sz w:val="28"/>
          <w:szCs w:val="32"/>
          <w:rtl/>
        </w:rPr>
        <w:t xml:space="preserve"> أما حق الرهن فهو سلطة الدائن على العقار المرهون</w:t>
      </w:r>
      <w:r>
        <w:rPr>
          <w:rFonts w:cs="Traditional Arabic" w:hint="cs"/>
          <w:sz w:val="28"/>
          <w:szCs w:val="32"/>
          <w:rtl/>
        </w:rPr>
        <w:t xml:space="preserve"> ،</w:t>
      </w:r>
      <w:r w:rsidRPr="00EC737F">
        <w:rPr>
          <w:rFonts w:cs="Traditional Arabic" w:hint="cs"/>
          <w:sz w:val="28"/>
          <w:szCs w:val="32"/>
          <w:rtl/>
        </w:rPr>
        <w:t xml:space="preserve"> يستوفي بمقتضاها الدين من ثمن هذا العقار</w:t>
      </w:r>
      <w:r>
        <w:rPr>
          <w:rFonts w:cs="Traditional Arabic" w:hint="cs"/>
          <w:sz w:val="28"/>
          <w:szCs w:val="32"/>
          <w:rtl/>
        </w:rPr>
        <w:t xml:space="preserve"> .</w:t>
      </w:r>
      <w:r w:rsidRPr="00EC737F">
        <w:rPr>
          <w:rFonts w:cs="Traditional Arabic" w:hint="cs"/>
          <w:sz w:val="28"/>
          <w:szCs w:val="32"/>
          <w:rtl/>
        </w:rPr>
        <w:t xml:space="preserve"> فإن استوفاه في مواجهة دائن آخر سمي هذا تقدماً</w:t>
      </w:r>
      <w:r>
        <w:rPr>
          <w:rFonts w:cs="Traditional Arabic" w:hint="cs"/>
          <w:sz w:val="28"/>
          <w:szCs w:val="32"/>
          <w:rtl/>
        </w:rPr>
        <w:t xml:space="preserve"> ،</w:t>
      </w:r>
      <w:r w:rsidRPr="00EC737F">
        <w:rPr>
          <w:rFonts w:cs="Traditional Arabic" w:hint="cs"/>
          <w:sz w:val="28"/>
          <w:szCs w:val="32"/>
          <w:rtl/>
        </w:rPr>
        <w:t xml:space="preserve"> وإن استوفاه في مواجهة من انتقلت ملكية العقار المرهون إليه سمي هذا تتبعاً"</w:t>
      </w:r>
      <w:r>
        <w:rPr>
          <w:rFonts w:cs="Traditional Arabic" w:hint="cs"/>
          <w:sz w:val="28"/>
          <w:szCs w:val="32"/>
          <w:vertAlign w:val="superscript"/>
          <w:rtl/>
        </w:rPr>
        <w:t xml:space="preserve">( </w:t>
      </w:r>
      <w:r w:rsidRPr="00EC737F">
        <w:rPr>
          <w:rStyle w:val="ab"/>
          <w:rFonts w:cs="Traditional Arabic"/>
          <w:sz w:val="28"/>
          <w:szCs w:val="32"/>
          <w:rtl/>
        </w:rPr>
        <w:footnoteReference w:id="62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وظاهر أن المذكرة الإيضاحية تشير إلى أن كلمة "الرهن" يفهم منه معنيان مختلفان أحجهما عن الآخر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عقد الرهن الرسمي ذاتهن ولا يد أن يكون في ورقة رسمية</w:t>
      </w:r>
      <w:r>
        <w:rPr>
          <w:rFonts w:cs="Traditional Arabic" w:hint="cs"/>
          <w:sz w:val="28"/>
          <w:szCs w:val="32"/>
          <w:rtl/>
        </w:rPr>
        <w:t xml:space="preserve"> ،</w:t>
      </w:r>
      <w:r w:rsidRPr="00EC737F">
        <w:rPr>
          <w:rFonts w:cs="Traditional Arabic" w:hint="cs"/>
          <w:sz w:val="28"/>
          <w:szCs w:val="32"/>
          <w:rtl/>
        </w:rPr>
        <w:t xml:space="preserve"> فهو عقد شكلي يقتضي الرسمية لوجوده</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حق الرهن الرسمي الذي ينشأ عن عقد الرهن الرسمي</w:t>
      </w:r>
      <w:r>
        <w:rPr>
          <w:rFonts w:cs="Traditional Arabic" w:hint="cs"/>
          <w:sz w:val="28"/>
          <w:szCs w:val="32"/>
          <w:rtl/>
        </w:rPr>
        <w:t xml:space="preserve"> ،</w:t>
      </w:r>
      <w:r w:rsidRPr="00EC737F">
        <w:rPr>
          <w:rFonts w:cs="Traditional Arabic" w:hint="cs"/>
          <w:sz w:val="28"/>
          <w:szCs w:val="32"/>
          <w:rtl/>
        </w:rPr>
        <w:t xml:space="preserve"> وهو سلطة للدائن على العقار المرهون يستوفي بمقتضاها الدين من ثمن هذا العقار</w:t>
      </w:r>
      <w:r>
        <w:rPr>
          <w:rFonts w:cs="Traditional Arabic" w:hint="cs"/>
          <w:sz w:val="28"/>
          <w:szCs w:val="32"/>
          <w:rtl/>
        </w:rPr>
        <w:t xml:space="preserve"> .</w:t>
      </w:r>
      <w:r w:rsidRPr="00EC737F">
        <w:rPr>
          <w:rFonts w:cs="Traditional Arabic" w:hint="cs"/>
          <w:sz w:val="28"/>
          <w:szCs w:val="32"/>
          <w:rtl/>
        </w:rPr>
        <w:t xml:space="preserve"> فإن استوفاه في مواجهة دائن آخر سمي هذا تقدماً </w:t>
      </w:r>
      <w:r>
        <w:rPr>
          <w:rFonts w:cs="Traditional Arabic"/>
          <w:sz w:val="28"/>
          <w:szCs w:val="32"/>
          <w:rtl/>
        </w:rPr>
        <w:t xml:space="preserve">( </w:t>
      </w:r>
      <w:r w:rsidRPr="00EC737F">
        <w:rPr>
          <w:rFonts w:cs="Traditional Arabic"/>
          <w:sz w:val="28"/>
          <w:szCs w:val="32"/>
        </w:rPr>
        <w:t>droit de preference</w:t>
      </w:r>
      <w:r>
        <w:rPr>
          <w:rFonts w:cs="Traditional Arabic"/>
          <w:sz w:val="28"/>
          <w:szCs w:val="32"/>
          <w:rtl/>
        </w:rPr>
        <w:t xml:space="preserve"> )</w:t>
      </w:r>
      <w:r w:rsidRPr="00EC737F">
        <w:rPr>
          <w:rFonts w:cs="Traditional Arabic" w:hint="cs"/>
          <w:sz w:val="28"/>
          <w:szCs w:val="32"/>
          <w:rtl/>
        </w:rPr>
        <w:t xml:space="preserve"> أما إذا استوفاه في مواجهة من انتقلت إليه ملكية العقار المرهون فإن هذا يسمى تتبعاً </w:t>
      </w:r>
      <w:r>
        <w:rPr>
          <w:rFonts w:cs="Traditional Arabic"/>
          <w:sz w:val="28"/>
          <w:szCs w:val="32"/>
          <w:rtl/>
        </w:rPr>
        <w:t xml:space="preserve">( </w:t>
      </w:r>
      <w:r w:rsidRPr="00EC737F">
        <w:rPr>
          <w:rFonts w:cs="Traditional Arabic"/>
          <w:sz w:val="28"/>
          <w:szCs w:val="32"/>
        </w:rPr>
        <w:t>droit de suite</w:t>
      </w:r>
      <w:r>
        <w:rPr>
          <w:rFonts w:cs="Traditional Arabic"/>
          <w:sz w:val="28"/>
          <w:szCs w:val="32"/>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وسواء كان المراد عقد الرهن الرسمي أو حق الرهن الرسمي</w:t>
      </w:r>
      <w:r>
        <w:rPr>
          <w:rFonts w:cs="Traditional Arabic" w:hint="cs"/>
          <w:sz w:val="28"/>
          <w:szCs w:val="32"/>
          <w:rtl/>
        </w:rPr>
        <w:t xml:space="preserve"> ،</w:t>
      </w:r>
      <w:r w:rsidRPr="00EC737F">
        <w:rPr>
          <w:rFonts w:cs="Traditional Arabic" w:hint="cs"/>
          <w:sz w:val="28"/>
          <w:szCs w:val="32"/>
          <w:rtl/>
        </w:rPr>
        <w:t xml:space="preserve"> فإن المعنيين يتسايران معاً في نظام الرهن </w:t>
      </w:r>
      <w:r w:rsidRPr="00EC737F">
        <w:rPr>
          <w:rFonts w:cs="Traditional Arabic" w:hint="cs"/>
          <w:sz w:val="28"/>
          <w:szCs w:val="32"/>
          <w:rtl/>
        </w:rPr>
        <w:lastRenderedPageBreak/>
        <w:t>السمي باعتباره عقداً وباعتباره حقاً ينشأ عن هذا العقد</w:t>
      </w:r>
      <w:r>
        <w:rPr>
          <w:rFonts w:cs="Traditional Arabic" w:hint="cs"/>
          <w:sz w:val="28"/>
          <w:szCs w:val="32"/>
          <w:rtl/>
        </w:rPr>
        <w:t xml:space="preserve"> ،</w:t>
      </w:r>
      <w:r w:rsidRPr="00EC737F">
        <w:rPr>
          <w:rFonts w:cs="Traditional Arabic" w:hint="cs"/>
          <w:sz w:val="28"/>
          <w:szCs w:val="32"/>
          <w:rtl/>
        </w:rPr>
        <w:t xml:space="preserve"> والرهن الرسمي</w:t>
      </w:r>
      <w:r>
        <w:rPr>
          <w:rFonts w:cs="Traditional Arabic" w:hint="cs"/>
          <w:sz w:val="28"/>
          <w:szCs w:val="32"/>
          <w:rtl/>
        </w:rPr>
        <w:t xml:space="preserve"> ،</w:t>
      </w:r>
      <w:r w:rsidRPr="00EC737F">
        <w:rPr>
          <w:rFonts w:cs="Traditional Arabic" w:hint="cs"/>
          <w:sz w:val="28"/>
          <w:szCs w:val="32"/>
          <w:rtl/>
        </w:rPr>
        <w:t xml:space="preserve"> باعتباره حقاً</w:t>
      </w:r>
      <w:r>
        <w:rPr>
          <w:rFonts w:cs="Traditional Arabic" w:hint="cs"/>
          <w:sz w:val="28"/>
          <w:szCs w:val="32"/>
          <w:rtl/>
        </w:rPr>
        <w:t xml:space="preserve"> ،</w:t>
      </w:r>
      <w:r w:rsidRPr="00EC737F">
        <w:rPr>
          <w:rFonts w:cs="Traditional Arabic" w:hint="cs"/>
          <w:sz w:val="28"/>
          <w:szCs w:val="32"/>
          <w:rtl/>
        </w:rPr>
        <w:t xml:space="preserve"> يكون حقاً تابعاً نشأ لتأمين دين</w:t>
      </w:r>
      <w:r>
        <w:rPr>
          <w:rFonts w:cs="Traditional Arabic" w:hint="cs"/>
          <w:sz w:val="28"/>
          <w:szCs w:val="32"/>
          <w:rtl/>
        </w:rPr>
        <w:t xml:space="preserve"> .</w:t>
      </w:r>
      <w:r w:rsidRPr="00EC737F">
        <w:rPr>
          <w:rFonts w:cs="Traditional Arabic" w:hint="cs"/>
          <w:sz w:val="28"/>
          <w:szCs w:val="32"/>
          <w:rtl/>
        </w:rPr>
        <w:t xml:space="preserve"> ففي الأصل إذن يوجد دين</w:t>
      </w:r>
      <w:r>
        <w:rPr>
          <w:rFonts w:cs="Traditional Arabic" w:hint="cs"/>
          <w:sz w:val="28"/>
          <w:szCs w:val="32"/>
          <w:rtl/>
        </w:rPr>
        <w:t xml:space="preserve"> ،</w:t>
      </w:r>
      <w:r w:rsidRPr="00EC737F">
        <w:rPr>
          <w:rFonts w:cs="Traditional Arabic" w:hint="cs"/>
          <w:sz w:val="28"/>
          <w:szCs w:val="32"/>
          <w:rtl/>
        </w:rPr>
        <w:t xml:space="preserve"> ثم ينشئ عقد الرهن الرسمي حقاً عينياً تابعاً لتأمين هذا الدين</w:t>
      </w:r>
      <w:r>
        <w:rPr>
          <w:rFonts w:cs="Traditional Arabic" w:hint="cs"/>
          <w:sz w:val="28"/>
          <w:szCs w:val="32"/>
          <w:rtl/>
        </w:rPr>
        <w:t xml:space="preserve"> .</w:t>
      </w:r>
      <w:r w:rsidRPr="00EC737F">
        <w:rPr>
          <w:rFonts w:cs="Traditional Arabic" w:hint="cs"/>
          <w:sz w:val="28"/>
          <w:szCs w:val="32"/>
          <w:rtl/>
        </w:rPr>
        <w:t xml:space="preserve"> والدين قد يكون مصدره عقداً رسمياً أو غير رسمي</w:t>
      </w:r>
      <w:r>
        <w:rPr>
          <w:rFonts w:cs="Traditional Arabic" w:hint="cs"/>
          <w:sz w:val="28"/>
          <w:szCs w:val="32"/>
          <w:rtl/>
        </w:rPr>
        <w:t xml:space="preserve"> ،</w:t>
      </w:r>
      <w:r w:rsidRPr="00EC737F">
        <w:rPr>
          <w:rFonts w:cs="Traditional Arabic" w:hint="cs"/>
          <w:sz w:val="28"/>
          <w:szCs w:val="32"/>
          <w:rtl/>
        </w:rPr>
        <w:t xml:space="preserve"> وقد يكون مصدره إرادة منفردة</w:t>
      </w:r>
      <w:r>
        <w:rPr>
          <w:rFonts w:cs="Traditional Arabic" w:hint="cs"/>
          <w:sz w:val="28"/>
          <w:szCs w:val="32"/>
          <w:rtl/>
        </w:rPr>
        <w:t xml:space="preserve"> ،</w:t>
      </w:r>
      <w:r w:rsidRPr="00EC737F">
        <w:rPr>
          <w:rFonts w:cs="Traditional Arabic" w:hint="cs"/>
          <w:sz w:val="28"/>
          <w:szCs w:val="32"/>
          <w:rtl/>
        </w:rPr>
        <w:t xml:space="preserve"> أو عملا غير مشروع</w:t>
      </w:r>
      <w:r>
        <w:rPr>
          <w:rFonts w:cs="Traditional Arabic" w:hint="cs"/>
          <w:sz w:val="28"/>
          <w:szCs w:val="32"/>
          <w:rtl/>
        </w:rPr>
        <w:t xml:space="preserve"> ،</w:t>
      </w:r>
      <w:r w:rsidRPr="00EC737F">
        <w:rPr>
          <w:rFonts w:cs="Traditional Arabic" w:hint="cs"/>
          <w:sz w:val="28"/>
          <w:szCs w:val="32"/>
          <w:rtl/>
        </w:rPr>
        <w:t xml:space="preserve"> أو إثراء بلا سبب</w:t>
      </w:r>
      <w:r>
        <w:rPr>
          <w:rFonts w:cs="Traditional Arabic" w:hint="cs"/>
          <w:sz w:val="28"/>
          <w:szCs w:val="32"/>
          <w:rtl/>
        </w:rPr>
        <w:t xml:space="preserve"> ،</w:t>
      </w:r>
      <w:r w:rsidRPr="00EC737F">
        <w:rPr>
          <w:rFonts w:cs="Traditional Arabic" w:hint="cs"/>
          <w:sz w:val="28"/>
          <w:szCs w:val="32"/>
          <w:rtl/>
        </w:rPr>
        <w:t xml:space="preserve"> وقد يكون مصدره القانون</w:t>
      </w:r>
      <w:r>
        <w:rPr>
          <w:rFonts w:cs="Traditional Arabic" w:hint="cs"/>
          <w:sz w:val="28"/>
          <w:szCs w:val="32"/>
          <w:rtl/>
        </w:rPr>
        <w:t xml:space="preserve"> .</w:t>
      </w:r>
      <w:r w:rsidRPr="00EC737F">
        <w:rPr>
          <w:rFonts w:cs="Traditional Arabic" w:hint="cs"/>
          <w:sz w:val="28"/>
          <w:szCs w:val="32"/>
          <w:rtl/>
        </w:rPr>
        <w:t xml:space="preserve"> وأياً كان مصدره</w:t>
      </w:r>
      <w:r>
        <w:rPr>
          <w:rFonts w:cs="Traditional Arabic" w:hint="cs"/>
          <w:sz w:val="28"/>
          <w:szCs w:val="32"/>
          <w:rtl/>
        </w:rPr>
        <w:t xml:space="preserve"> ،</w:t>
      </w:r>
      <w:r w:rsidRPr="00EC737F">
        <w:rPr>
          <w:rFonts w:cs="Traditional Arabic" w:hint="cs"/>
          <w:sz w:val="28"/>
          <w:szCs w:val="32"/>
          <w:rtl/>
        </w:rPr>
        <w:t xml:space="preserve"> فهو يقوم مع حق الرهن ذاته أو قبل هذا الحق</w:t>
      </w:r>
      <w:r>
        <w:rPr>
          <w:rFonts w:cs="Traditional Arabic" w:hint="cs"/>
          <w:sz w:val="28"/>
          <w:szCs w:val="32"/>
          <w:rtl/>
        </w:rPr>
        <w:t xml:space="preserve"> .</w:t>
      </w:r>
      <w:r w:rsidRPr="00EC737F">
        <w:rPr>
          <w:rFonts w:cs="Traditional Arabic" w:hint="cs"/>
          <w:sz w:val="28"/>
          <w:szCs w:val="32"/>
          <w:rtl/>
        </w:rPr>
        <w:t xml:space="preserve"> ولكنه لا يقوم بعد قيام هذا الحقن فرهن المال المستقبل يقع باطلا كما سنرى</w:t>
      </w:r>
      <w:r>
        <w:rPr>
          <w:rFonts w:cs="Traditional Arabic" w:hint="cs"/>
          <w:sz w:val="28"/>
          <w:szCs w:val="32"/>
          <w:rtl/>
        </w:rPr>
        <w:t xml:space="preserve">( </w:t>
      </w:r>
      <w:r w:rsidRPr="00EC737F">
        <w:rPr>
          <w:rFonts w:cs="Traditional Arabic" w:hint="cs"/>
          <w:sz w:val="28"/>
          <w:szCs w:val="32"/>
          <w:rtl/>
        </w:rPr>
        <w:t xml:space="preserve"> م 1033/2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$280 لذلك نبحث فيما يلي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أهيم الرسمية لانعقاد عقد الرهن الرسمي ولإنشاء هذا العقد لحق رهن رسمي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المقصود بالرسمية في هذا الصدد</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الجزاء على تخلف الرسمية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إبرام عقد الرهن الرسمي خارج مصر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5</w:t>
      </w:r>
      <w:r>
        <w:rPr>
          <w:rFonts w:cs="Traditional Arabic" w:hint="cs"/>
          <w:sz w:val="28"/>
          <w:szCs w:val="32"/>
          <w:rtl/>
        </w:rPr>
        <w:t xml:space="preserve"> )</w:t>
      </w:r>
      <w:r w:rsidRPr="00EC737F">
        <w:rPr>
          <w:rFonts w:cs="Traditional Arabic" w:hint="cs"/>
          <w:sz w:val="28"/>
          <w:szCs w:val="32"/>
          <w:rtl/>
        </w:rPr>
        <w:t xml:space="preserve"> نفقات عقد الرهن الرسمي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6</w:t>
      </w:r>
      <w:r>
        <w:rPr>
          <w:rFonts w:cs="Traditional Arabic" w:hint="cs"/>
          <w:sz w:val="28"/>
          <w:szCs w:val="32"/>
          <w:rtl/>
        </w:rPr>
        <w:t xml:space="preserve"> )</w:t>
      </w:r>
      <w:r w:rsidRPr="00EC737F">
        <w:rPr>
          <w:rFonts w:cs="Traditional Arabic" w:hint="cs"/>
          <w:sz w:val="28"/>
          <w:szCs w:val="32"/>
          <w:rtl/>
        </w:rPr>
        <w:t xml:space="preserve"> التوكيل في الرهن الرسمي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7</w:t>
      </w:r>
      <w:r>
        <w:rPr>
          <w:rFonts w:cs="Traditional Arabic" w:hint="cs"/>
          <w:sz w:val="28"/>
          <w:szCs w:val="32"/>
          <w:rtl/>
        </w:rPr>
        <w:t xml:space="preserve"> )</w:t>
      </w:r>
      <w:r w:rsidRPr="00EC737F">
        <w:rPr>
          <w:rFonts w:cs="Traditional Arabic" w:hint="cs"/>
          <w:sz w:val="28"/>
          <w:szCs w:val="32"/>
          <w:rtl/>
        </w:rPr>
        <w:t xml:space="preserve"> الوعد بالرهن الرسمي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124- أهمية الرسمية لانعقاد عقد الرهن الرسمي ولإنشاء هذا العقد لحق رهن رسمي</w:t>
      </w:r>
      <w:r>
        <w:rPr>
          <w:rFonts w:cs="Traditional Arabic" w:hint="cs"/>
          <w:sz w:val="28"/>
          <w:szCs w:val="32"/>
          <w:rtl/>
        </w:rPr>
        <w:t xml:space="preserve"> :</w:t>
      </w:r>
      <w:r w:rsidRPr="00EC737F">
        <w:rPr>
          <w:rFonts w:cs="Traditional Arabic" w:hint="cs"/>
          <w:sz w:val="28"/>
          <w:szCs w:val="32"/>
          <w:rtl/>
        </w:rPr>
        <w:t xml:space="preserve"> لا ينعقد عقد الرهن الرسمي إلا إذا كتب في ورقة رسمية</w:t>
      </w:r>
      <w:r>
        <w:rPr>
          <w:rFonts w:cs="Traditional Arabic" w:hint="cs"/>
          <w:sz w:val="28"/>
          <w:szCs w:val="32"/>
          <w:rtl/>
        </w:rPr>
        <w:t xml:space="preserve"> ،</w:t>
      </w:r>
      <w:r w:rsidRPr="00EC737F">
        <w:rPr>
          <w:rFonts w:cs="Traditional Arabic" w:hint="cs"/>
          <w:sz w:val="28"/>
          <w:szCs w:val="32"/>
          <w:rtl/>
        </w:rPr>
        <w:t xml:space="preserve"> طبقاً لأوضاع وسوم معينة</w:t>
      </w:r>
      <w:r>
        <w:rPr>
          <w:rFonts w:cs="Traditional Arabic" w:hint="cs"/>
          <w:sz w:val="28"/>
          <w:szCs w:val="32"/>
          <w:rtl/>
        </w:rPr>
        <w:t xml:space="preserve"> .</w:t>
      </w:r>
      <w:r w:rsidRPr="00EC737F">
        <w:rPr>
          <w:rFonts w:cs="Traditional Arabic" w:hint="cs"/>
          <w:sz w:val="28"/>
          <w:szCs w:val="32"/>
          <w:rtl/>
        </w:rPr>
        <w:t xml:space="preserve"> فإذا وضع في ورقة رسمية فقد انعقد</w:t>
      </w:r>
      <w:r>
        <w:rPr>
          <w:rFonts w:cs="Traditional Arabic" w:hint="cs"/>
          <w:sz w:val="28"/>
          <w:szCs w:val="32"/>
          <w:rtl/>
        </w:rPr>
        <w:t xml:space="preserve"> ،</w:t>
      </w:r>
      <w:r w:rsidRPr="00EC737F">
        <w:rPr>
          <w:rFonts w:cs="Traditional Arabic" w:hint="cs"/>
          <w:sz w:val="28"/>
          <w:szCs w:val="32"/>
          <w:rtl/>
        </w:rPr>
        <w:t xml:space="preserve"> وانبنى على ذلك أنه ينشئ حق رهن رسمي له آثار معينة فيما بين المتعاقدين وبالنسبة إلى الغير</w:t>
      </w:r>
      <w:r>
        <w:rPr>
          <w:rFonts w:cs="Traditional Arabic" w:hint="cs"/>
          <w:sz w:val="28"/>
          <w:szCs w:val="32"/>
          <w:vertAlign w:val="superscript"/>
          <w:rtl/>
        </w:rPr>
        <w:t xml:space="preserve">( </w:t>
      </w:r>
      <w:r w:rsidRPr="00EC737F">
        <w:rPr>
          <w:rStyle w:val="ab"/>
          <w:rFonts w:cs="Traditional Arabic"/>
          <w:sz w:val="28"/>
          <w:szCs w:val="32"/>
          <w:rtl/>
        </w:rPr>
        <w:footnoteReference w:id="62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ورسمية عقد الرهن الرسمية تقررت لمصلحة الراهن</w:t>
      </w:r>
      <w:r>
        <w:rPr>
          <w:rFonts w:cs="Traditional Arabic" w:hint="cs"/>
          <w:sz w:val="28"/>
          <w:szCs w:val="32"/>
          <w:rtl/>
        </w:rPr>
        <w:t xml:space="preserve"> ،</w:t>
      </w:r>
      <w:r w:rsidRPr="00EC737F">
        <w:rPr>
          <w:rFonts w:cs="Traditional Arabic" w:hint="cs"/>
          <w:sz w:val="28"/>
          <w:szCs w:val="32"/>
          <w:rtl/>
        </w:rPr>
        <w:t xml:space="preserve"> ولمصلحة الدائن المرتهن</w:t>
      </w:r>
      <w:r>
        <w:rPr>
          <w:rFonts w:cs="Traditional Arabic" w:hint="cs"/>
          <w:sz w:val="28"/>
          <w:szCs w:val="32"/>
          <w:rtl/>
        </w:rPr>
        <w:t xml:space="preserve"> ،</w:t>
      </w:r>
      <w:r w:rsidRPr="00EC737F">
        <w:rPr>
          <w:rFonts w:cs="Traditional Arabic" w:hint="cs"/>
          <w:sz w:val="28"/>
          <w:szCs w:val="32"/>
          <w:rtl/>
        </w:rPr>
        <w:t xml:space="preserve"> ولمصلحة الائتمان في </w:t>
      </w:r>
      <w:r w:rsidRPr="00EC737F">
        <w:rPr>
          <w:rFonts w:cs="Traditional Arabic" w:hint="cs"/>
          <w:sz w:val="28"/>
          <w:szCs w:val="32"/>
          <w:rtl/>
        </w:rPr>
        <w:lastRenderedPageBreak/>
        <w:t>ذاته</w:t>
      </w:r>
      <w:r>
        <w:rPr>
          <w:rFonts w:cs="Traditional Arabic" w:hint="cs"/>
          <w:sz w:val="28"/>
          <w:szCs w:val="32"/>
          <w:vertAlign w:val="superscript"/>
          <w:rtl/>
        </w:rPr>
        <w:t xml:space="preserve">( </w:t>
      </w:r>
      <w:r w:rsidRPr="00EC737F">
        <w:rPr>
          <w:rStyle w:val="ab"/>
          <w:rFonts w:cs="Traditional Arabic"/>
          <w:sz w:val="28"/>
          <w:szCs w:val="32"/>
          <w:rtl/>
        </w:rPr>
        <w:footnoteReference w:id="62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أن الرسمية قد تقررت لمصلحة الراهن</w:t>
      </w:r>
      <w:r>
        <w:rPr>
          <w:rFonts w:cs="Traditional Arabic" w:hint="cs"/>
          <w:sz w:val="28"/>
          <w:szCs w:val="32"/>
          <w:rtl/>
        </w:rPr>
        <w:t xml:space="preserve"> ،</w:t>
      </w:r>
      <w:r w:rsidRPr="00EC737F">
        <w:rPr>
          <w:rFonts w:cs="Traditional Arabic" w:hint="cs"/>
          <w:sz w:val="28"/>
          <w:szCs w:val="32"/>
          <w:rtl/>
        </w:rPr>
        <w:t xml:space="preserve"> فذلك لأن الراهن يحتفظ بملكية العقار المرهون وبحيازته</w:t>
      </w:r>
      <w:r>
        <w:rPr>
          <w:rFonts w:cs="Traditional Arabic" w:hint="cs"/>
          <w:sz w:val="28"/>
          <w:szCs w:val="32"/>
          <w:rtl/>
        </w:rPr>
        <w:t xml:space="preserve"> ،</w:t>
      </w:r>
      <w:r w:rsidRPr="00EC737F">
        <w:rPr>
          <w:rFonts w:cs="Traditional Arabic" w:hint="cs"/>
          <w:sz w:val="28"/>
          <w:szCs w:val="32"/>
          <w:rtl/>
        </w:rPr>
        <w:t xml:space="preserve"> وهذا يغريه على أن يعتقد أنه ستخلص من الرهن</w:t>
      </w:r>
      <w:r>
        <w:rPr>
          <w:rFonts w:cs="Traditional Arabic" w:hint="cs"/>
          <w:sz w:val="28"/>
          <w:szCs w:val="32"/>
          <w:rtl/>
        </w:rPr>
        <w:t xml:space="preserve"> .</w:t>
      </w:r>
      <w:r w:rsidRPr="00EC737F">
        <w:rPr>
          <w:rFonts w:cs="Traditional Arabic" w:hint="cs"/>
          <w:sz w:val="28"/>
          <w:szCs w:val="32"/>
          <w:rtl/>
        </w:rPr>
        <w:t xml:space="preserve"> ولكن قد يطول الأمر به دون أن يتخلص من الرهن</w:t>
      </w:r>
      <w:r>
        <w:rPr>
          <w:rFonts w:cs="Traditional Arabic" w:hint="cs"/>
          <w:sz w:val="28"/>
          <w:szCs w:val="32"/>
          <w:rtl/>
        </w:rPr>
        <w:t xml:space="preserve"> ،</w:t>
      </w:r>
      <w:r w:rsidRPr="00EC737F">
        <w:rPr>
          <w:rFonts w:cs="Traditional Arabic" w:hint="cs"/>
          <w:sz w:val="28"/>
          <w:szCs w:val="32"/>
          <w:rtl/>
        </w:rPr>
        <w:t xml:space="preserve"> وفي بعض الأحيان يقع فريسة وتنزع منه ملكية العقار المرهون ليستوفي الدائن دينه</w:t>
      </w:r>
      <w:r>
        <w:rPr>
          <w:rFonts w:cs="Traditional Arabic" w:hint="cs"/>
          <w:sz w:val="28"/>
          <w:szCs w:val="32"/>
          <w:rtl/>
        </w:rPr>
        <w:t xml:space="preserve"> .</w:t>
      </w:r>
      <w:r w:rsidRPr="00EC737F">
        <w:rPr>
          <w:rFonts w:cs="Traditional Arabic" w:hint="cs"/>
          <w:sz w:val="28"/>
          <w:szCs w:val="32"/>
          <w:rtl/>
        </w:rPr>
        <w:t xml:space="preserve"> $281 لذلك كان من الواجب أن يكون عقد الرهن عقداً رسمياً</w:t>
      </w:r>
      <w:r>
        <w:rPr>
          <w:rFonts w:cs="Traditional Arabic" w:hint="cs"/>
          <w:sz w:val="28"/>
          <w:szCs w:val="32"/>
          <w:rtl/>
        </w:rPr>
        <w:t xml:space="preserve"> ،</w:t>
      </w:r>
      <w:r w:rsidRPr="00EC737F">
        <w:rPr>
          <w:rFonts w:cs="Traditional Arabic" w:hint="cs"/>
          <w:sz w:val="28"/>
          <w:szCs w:val="32"/>
          <w:rtl/>
        </w:rPr>
        <w:t xml:space="preserve"> حتى يتمكن الراهن من إدراك خطورة ما يقدم عليه من الأمر</w:t>
      </w:r>
      <w:r>
        <w:rPr>
          <w:rFonts w:cs="Traditional Arabic" w:hint="cs"/>
          <w:sz w:val="28"/>
          <w:szCs w:val="32"/>
          <w:rtl/>
        </w:rPr>
        <w:t xml:space="preserve"> ،</w:t>
      </w:r>
      <w:r w:rsidRPr="00EC737F">
        <w:rPr>
          <w:rFonts w:cs="Traditional Arabic" w:hint="cs"/>
          <w:sz w:val="28"/>
          <w:szCs w:val="32"/>
          <w:rtl/>
        </w:rPr>
        <w:t xml:space="preserve"> فلا يقدم إلا بعد احتياط وتدبر</w:t>
      </w:r>
      <w:r>
        <w:rPr>
          <w:rFonts w:cs="Traditional Arabic" w:hint="cs"/>
          <w:sz w:val="28"/>
          <w:szCs w:val="32"/>
          <w:vertAlign w:val="superscript"/>
          <w:rtl/>
        </w:rPr>
        <w:t xml:space="preserve">( </w:t>
      </w:r>
      <w:r w:rsidRPr="00EC737F">
        <w:rPr>
          <w:rStyle w:val="ab"/>
          <w:rFonts w:cs="Traditional Arabic"/>
          <w:sz w:val="28"/>
          <w:szCs w:val="32"/>
          <w:rtl/>
        </w:rPr>
        <w:footnoteReference w:id="62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وأما أن الرسمية قد تقررت لمصلحة الدائن المرتهن</w:t>
      </w:r>
      <w:r>
        <w:rPr>
          <w:rFonts w:cs="Traditional Arabic" w:hint="cs"/>
          <w:sz w:val="28"/>
          <w:szCs w:val="32"/>
          <w:rtl/>
        </w:rPr>
        <w:t xml:space="preserve"> .</w:t>
      </w:r>
      <w:r w:rsidRPr="00EC737F">
        <w:rPr>
          <w:rFonts w:cs="Traditional Arabic" w:hint="cs"/>
          <w:sz w:val="28"/>
          <w:szCs w:val="32"/>
          <w:rtl/>
        </w:rPr>
        <w:t xml:space="preserve"> فذلك يظهر م أن الدائن المرتهن يجد نفسه في حاجة إلى التثبت من أصل ملكية الراهن ومن أهليته للتعاقد</w:t>
      </w:r>
      <w:r>
        <w:rPr>
          <w:rFonts w:cs="Traditional Arabic" w:hint="cs"/>
          <w:sz w:val="28"/>
          <w:szCs w:val="32"/>
          <w:rtl/>
        </w:rPr>
        <w:t xml:space="preserve"> .</w:t>
      </w:r>
      <w:r w:rsidRPr="00EC737F">
        <w:rPr>
          <w:rFonts w:cs="Traditional Arabic" w:hint="cs"/>
          <w:sz w:val="28"/>
          <w:szCs w:val="32"/>
          <w:rtl/>
        </w:rPr>
        <w:t xml:space="preserve"> فالتجاؤه إلى الرسمية يجعله في أمن من ذلك</w:t>
      </w:r>
      <w:r>
        <w:rPr>
          <w:rFonts w:cs="Traditional Arabic" w:hint="cs"/>
          <w:sz w:val="28"/>
          <w:szCs w:val="32"/>
          <w:rtl/>
        </w:rPr>
        <w:t xml:space="preserve"> .</w:t>
      </w:r>
      <w:r w:rsidRPr="00EC737F">
        <w:rPr>
          <w:rFonts w:cs="Traditional Arabic" w:hint="cs"/>
          <w:sz w:val="28"/>
          <w:szCs w:val="32"/>
          <w:rtl/>
        </w:rPr>
        <w:t xml:space="preserve"> إذ يكون إلى جانبه موظف رسمي يجمع له شتات الأمور ويعينه على تدير أمره</w:t>
      </w:r>
      <w:r>
        <w:rPr>
          <w:rFonts w:cs="Traditional Arabic" w:hint="cs"/>
          <w:sz w:val="28"/>
          <w:szCs w:val="32"/>
          <w:rtl/>
        </w:rPr>
        <w:t xml:space="preserve"> .</w:t>
      </w:r>
      <w:r w:rsidRPr="00EC737F">
        <w:rPr>
          <w:rFonts w:cs="Traditional Arabic" w:hint="cs"/>
          <w:sz w:val="28"/>
          <w:szCs w:val="32"/>
          <w:rtl/>
        </w:rPr>
        <w:t xml:space="preserve"> هذا إلى أن الرسمية من شأنها أن تضع في يد الدائن المرتهن سنداً قابلا للتنفيذ</w:t>
      </w:r>
      <w:r>
        <w:rPr>
          <w:rFonts w:cs="Traditional Arabic" w:hint="cs"/>
          <w:sz w:val="28"/>
          <w:szCs w:val="32"/>
          <w:rtl/>
        </w:rPr>
        <w:t xml:space="preserve"> ،</w:t>
      </w:r>
      <w:r w:rsidRPr="00EC737F">
        <w:rPr>
          <w:rFonts w:cs="Traditional Arabic" w:hint="cs"/>
          <w:sz w:val="28"/>
          <w:szCs w:val="32"/>
          <w:rtl/>
        </w:rPr>
        <w:t xml:space="preserve"> فلا يحتاج إلى حكم إذا حل أجل الدين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وأما أن الرسمي قد تقررت لمصلحة الائتمان في ذاته</w:t>
      </w:r>
      <w:r>
        <w:rPr>
          <w:rFonts w:cs="Traditional Arabic" w:hint="cs"/>
          <w:sz w:val="28"/>
          <w:szCs w:val="32"/>
          <w:rtl/>
        </w:rPr>
        <w:t xml:space="preserve"> ،</w:t>
      </w:r>
      <w:r w:rsidRPr="00EC737F">
        <w:rPr>
          <w:rFonts w:cs="Traditional Arabic" w:hint="cs"/>
          <w:sz w:val="28"/>
          <w:szCs w:val="32"/>
          <w:rtl/>
        </w:rPr>
        <w:t xml:space="preserve"> فذلك يظهر من ضرورة كتابة العقد كتابة </w:t>
      </w:r>
      <w:r w:rsidRPr="00EC737F">
        <w:rPr>
          <w:rFonts w:cs="Traditional Arabic" w:hint="cs"/>
          <w:sz w:val="28"/>
          <w:szCs w:val="32"/>
          <w:rtl/>
        </w:rPr>
        <w:lastRenderedPageBreak/>
        <w:t>صحيحة</w:t>
      </w:r>
      <w:r>
        <w:rPr>
          <w:rFonts w:cs="Traditional Arabic" w:hint="cs"/>
          <w:sz w:val="28"/>
          <w:szCs w:val="32"/>
          <w:rtl/>
        </w:rPr>
        <w:t xml:space="preserve"> .</w:t>
      </w:r>
      <w:r w:rsidRPr="00EC737F">
        <w:rPr>
          <w:rFonts w:cs="Traditional Arabic" w:hint="cs"/>
          <w:sz w:val="28"/>
          <w:szCs w:val="32"/>
          <w:rtl/>
        </w:rPr>
        <w:t xml:space="preserve"> ولا يتوافر ذلك إلى درجة كبيرة إلا إذا كان العقد رسمياً</w:t>
      </w:r>
      <w:r>
        <w:rPr>
          <w:rFonts w:cs="Traditional Arabic" w:hint="cs"/>
          <w:sz w:val="28"/>
          <w:szCs w:val="32"/>
          <w:vertAlign w:val="superscript"/>
          <w:rtl/>
        </w:rPr>
        <w:t xml:space="preserve">( </w:t>
      </w:r>
      <w:r w:rsidRPr="00EC737F">
        <w:rPr>
          <w:rStyle w:val="ab"/>
          <w:rFonts w:cs="Traditional Arabic"/>
          <w:sz w:val="28"/>
          <w:szCs w:val="32"/>
          <w:rtl/>
        </w:rPr>
        <w:footnoteReference w:id="62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125- المقصود بالرسمية في هذا الصدد</w:t>
      </w:r>
      <w:r>
        <w:rPr>
          <w:rFonts w:cs="Traditional Arabic" w:hint="cs"/>
          <w:b/>
          <w:bCs/>
          <w:sz w:val="28"/>
          <w:szCs w:val="32"/>
          <w:rtl/>
        </w:rPr>
        <w:t xml:space="preserve"> :</w:t>
      </w:r>
      <w:r w:rsidRPr="00EC737F">
        <w:rPr>
          <w:rFonts w:cs="Traditional Arabic" w:hint="cs"/>
          <w:b/>
          <w:bCs/>
          <w:sz w:val="28"/>
          <w:szCs w:val="32"/>
          <w:rtl/>
        </w:rPr>
        <w:t xml:space="preserve"> </w:t>
      </w:r>
      <w:r w:rsidRPr="00EC737F">
        <w:rPr>
          <w:rFonts w:cs="Traditional Arabic" w:hint="cs"/>
          <w:sz w:val="28"/>
          <w:szCs w:val="32"/>
          <w:rtl/>
        </w:rPr>
        <w:t>والمقصود بالرسمية هنا أن تكون هناك ورقة رسمية يفرغ فيها عقد الرهن الرسمي</w:t>
      </w:r>
      <w:r>
        <w:rPr>
          <w:rFonts w:cs="Traditional Arabic" w:hint="cs"/>
          <w:sz w:val="28"/>
          <w:szCs w:val="32"/>
          <w:rtl/>
        </w:rPr>
        <w:t xml:space="preserve"> ،</w:t>
      </w:r>
      <w:r w:rsidRPr="00EC737F">
        <w:rPr>
          <w:rFonts w:cs="Traditional Arabic" w:hint="cs"/>
          <w:sz w:val="28"/>
          <w:szCs w:val="32"/>
          <w:rtl/>
        </w:rPr>
        <w:t xml:space="preserve"> حتى يكون هذا العقد صحيحاً</w:t>
      </w:r>
      <w:r>
        <w:rPr>
          <w:rFonts w:cs="Traditional Arabic" w:hint="cs"/>
          <w:sz w:val="28"/>
          <w:szCs w:val="32"/>
          <w:rtl/>
        </w:rPr>
        <w:t xml:space="preserve"> ،</w:t>
      </w:r>
      <w:r w:rsidRPr="00EC737F">
        <w:rPr>
          <w:rFonts w:cs="Traditional Arabic" w:hint="cs"/>
          <w:sz w:val="28"/>
          <w:szCs w:val="32"/>
          <w:rtl/>
        </w:rPr>
        <w:t xml:space="preserve"> الرسمية بهذا المعنى تهدف إلى ضمان التعبير عن الإرادة على $282 على وجه صحيح</w:t>
      </w:r>
      <w:r>
        <w:rPr>
          <w:rFonts w:cs="Traditional Arabic" w:hint="cs"/>
          <w:sz w:val="28"/>
          <w:szCs w:val="32"/>
          <w:rtl/>
        </w:rPr>
        <w:t xml:space="preserve"> ،</w:t>
      </w:r>
      <w:r w:rsidRPr="00EC737F">
        <w:rPr>
          <w:rFonts w:cs="Traditional Arabic" w:hint="cs"/>
          <w:sz w:val="28"/>
          <w:szCs w:val="32"/>
          <w:rtl/>
        </w:rPr>
        <w:t xml:space="preserve"> في حين أن  الشكلية في القوانين القديم كالقانون الروماني كانت تطغي على الإرادة فلا يعتد بالإرادة إذا وجد الشكل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وهناك اتجاه غالب في الفقه الفرنسي</w:t>
      </w:r>
      <w:r>
        <w:rPr>
          <w:rFonts w:cs="Traditional Arabic" w:hint="cs"/>
          <w:sz w:val="28"/>
          <w:szCs w:val="32"/>
          <w:vertAlign w:val="superscript"/>
          <w:rtl/>
        </w:rPr>
        <w:t xml:space="preserve">( </w:t>
      </w:r>
      <w:r w:rsidRPr="00EC737F">
        <w:rPr>
          <w:rStyle w:val="ab"/>
          <w:rFonts w:cs="Traditional Arabic"/>
          <w:sz w:val="28"/>
          <w:szCs w:val="32"/>
          <w:rtl/>
        </w:rPr>
        <w:footnoteReference w:id="62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يؤيده جانب كبير من الفقه المصري</w:t>
      </w:r>
      <w:r>
        <w:rPr>
          <w:rFonts w:cs="Traditional Arabic" w:hint="cs"/>
          <w:sz w:val="28"/>
          <w:szCs w:val="32"/>
          <w:vertAlign w:val="superscript"/>
          <w:rtl/>
        </w:rPr>
        <w:t xml:space="preserve">( </w:t>
      </w:r>
      <w:r w:rsidRPr="00EC737F">
        <w:rPr>
          <w:rStyle w:val="ab"/>
          <w:rFonts w:cs="Traditional Arabic"/>
          <w:sz w:val="28"/>
          <w:szCs w:val="32"/>
          <w:rtl/>
        </w:rPr>
        <w:footnoteReference w:id="62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يذهب إلى أن الرسمية لا تشترط إلا في رضاء الراهن</w:t>
      </w:r>
      <w:r>
        <w:rPr>
          <w:rFonts w:cs="Traditional Arabic" w:hint="cs"/>
          <w:sz w:val="28"/>
          <w:szCs w:val="32"/>
          <w:rtl/>
        </w:rPr>
        <w:t xml:space="preserve"> ،</w:t>
      </w:r>
      <w:r w:rsidRPr="00EC737F">
        <w:rPr>
          <w:rFonts w:cs="Traditional Arabic" w:hint="cs"/>
          <w:sz w:val="28"/>
          <w:szCs w:val="32"/>
          <w:rtl/>
        </w:rPr>
        <w:t xml:space="preserve"> أما الدائن المرتهن فلا تشترط الرسمية في رضائه ويجوز أن يكون هذا الرضاء ضمنياً</w:t>
      </w:r>
      <w:r>
        <w:rPr>
          <w:rFonts w:cs="Traditional Arabic" w:hint="cs"/>
          <w:sz w:val="28"/>
          <w:szCs w:val="32"/>
          <w:rtl/>
        </w:rPr>
        <w:t xml:space="preserve"> .</w:t>
      </w:r>
      <w:r w:rsidRPr="00EC737F">
        <w:rPr>
          <w:rFonts w:cs="Traditional Arabic" w:hint="cs"/>
          <w:sz w:val="28"/>
          <w:szCs w:val="32"/>
          <w:rtl/>
        </w:rPr>
        <w:t xml:space="preserve"> والظاهر من نصوص القانون أن الرسمية ضرورية في كل من رضاء الراهن ورضاء الدائن المرتهن</w:t>
      </w:r>
      <w:r>
        <w:rPr>
          <w:rFonts w:cs="Traditional Arabic" w:hint="cs"/>
          <w:sz w:val="28"/>
          <w:szCs w:val="32"/>
          <w:rtl/>
        </w:rPr>
        <w:t xml:space="preserve"> ،</w:t>
      </w:r>
      <w:r w:rsidRPr="00EC737F">
        <w:rPr>
          <w:rFonts w:cs="Traditional Arabic" w:hint="cs"/>
          <w:sz w:val="28"/>
          <w:szCs w:val="32"/>
          <w:rtl/>
        </w:rPr>
        <w:t xml:space="preserve"> فلا يكفي أن يكون رضاء الراهن وحده رسمياً إذا لم يكن رضاء الدائن المرتهن رسمياً أيضاً</w:t>
      </w:r>
      <w:r>
        <w:rPr>
          <w:rFonts w:cs="Traditional Arabic" w:hint="cs"/>
          <w:sz w:val="28"/>
          <w:szCs w:val="32"/>
          <w:rtl/>
        </w:rPr>
        <w:t xml:space="preserve"> ،</w:t>
      </w:r>
      <w:r w:rsidRPr="00EC737F">
        <w:rPr>
          <w:rFonts w:cs="Traditional Arabic" w:hint="cs"/>
          <w:sz w:val="28"/>
          <w:szCs w:val="32"/>
          <w:rtl/>
        </w:rPr>
        <w:t xml:space="preserve"> وقد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62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أن الرسمية قد تقررت لا لمصلحة الراهن وحده</w:t>
      </w:r>
      <w:r>
        <w:rPr>
          <w:rFonts w:cs="Traditional Arabic" w:hint="cs"/>
          <w:sz w:val="28"/>
          <w:szCs w:val="32"/>
          <w:rtl/>
        </w:rPr>
        <w:t xml:space="preserve"> ،</w:t>
      </w:r>
      <w:r w:rsidRPr="00EC737F">
        <w:rPr>
          <w:rFonts w:cs="Traditional Arabic" w:hint="cs"/>
          <w:sz w:val="28"/>
          <w:szCs w:val="32"/>
          <w:rtl/>
        </w:rPr>
        <w:t xml:space="preserve"> بل أيضاً لمصلحة الدائن المرتهن</w:t>
      </w:r>
      <w:r>
        <w:rPr>
          <w:rFonts w:cs="Traditional Arabic" w:hint="cs"/>
          <w:sz w:val="28"/>
          <w:szCs w:val="32"/>
          <w:rtl/>
        </w:rPr>
        <w:t xml:space="preserve"> ،</w:t>
      </w:r>
      <w:r w:rsidRPr="00EC737F">
        <w:rPr>
          <w:rFonts w:cs="Traditional Arabic" w:hint="cs"/>
          <w:sz w:val="28"/>
          <w:szCs w:val="32"/>
          <w:rtl/>
        </w:rPr>
        <w:t xml:space="preserve"> فوجب القول إن رضاء الدائن المرتهن يجب أيضاً أن يكون رسمياً كرضاء الراهن</w:t>
      </w:r>
      <w:r>
        <w:rPr>
          <w:rFonts w:cs="Traditional Arabic" w:hint="cs"/>
          <w:sz w:val="28"/>
          <w:szCs w:val="32"/>
          <w:vertAlign w:val="superscript"/>
          <w:rtl/>
        </w:rPr>
        <w:t xml:space="preserve">( </w:t>
      </w:r>
      <w:r w:rsidRPr="00EC737F">
        <w:rPr>
          <w:rStyle w:val="ab"/>
          <w:rFonts w:cs="Traditional Arabic"/>
          <w:sz w:val="28"/>
          <w:szCs w:val="32"/>
          <w:rtl/>
        </w:rPr>
        <w:footnoteReference w:id="63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126- الجزاء على تخلف الرسمية</w:t>
      </w:r>
      <w:r>
        <w:rPr>
          <w:rFonts w:cs="Traditional Arabic" w:hint="cs"/>
          <w:sz w:val="28"/>
          <w:szCs w:val="32"/>
          <w:rtl/>
        </w:rPr>
        <w:t xml:space="preserve"> :</w:t>
      </w:r>
      <w:r w:rsidRPr="00EC737F">
        <w:rPr>
          <w:rFonts w:cs="Traditional Arabic" w:hint="cs"/>
          <w:sz w:val="28"/>
          <w:szCs w:val="32"/>
          <w:rtl/>
        </w:rPr>
        <w:t xml:space="preserve"> وإذا لم يفرغ عقد الرهن الرسمي في ورقة رسمية</w:t>
      </w:r>
      <w:r>
        <w:rPr>
          <w:rFonts w:cs="Traditional Arabic" w:hint="cs"/>
          <w:sz w:val="28"/>
          <w:szCs w:val="32"/>
          <w:rtl/>
        </w:rPr>
        <w:t xml:space="preserve"> ،</w:t>
      </w:r>
      <w:r w:rsidRPr="00EC737F">
        <w:rPr>
          <w:rFonts w:cs="Traditional Arabic" w:hint="cs"/>
          <w:sz w:val="28"/>
          <w:szCs w:val="32"/>
          <w:rtl/>
        </w:rPr>
        <w:t xml:space="preserve"> فانه يكون عقداً باطلا</w:t>
      </w:r>
      <w:r>
        <w:rPr>
          <w:rFonts w:cs="Traditional Arabic" w:hint="cs"/>
          <w:sz w:val="28"/>
          <w:szCs w:val="32"/>
          <w:rtl/>
        </w:rPr>
        <w:t xml:space="preserve"> ،</w:t>
      </w:r>
      <w:r w:rsidRPr="00EC737F">
        <w:rPr>
          <w:rFonts w:cs="Traditional Arabic" w:hint="cs"/>
          <w:sz w:val="28"/>
          <w:szCs w:val="32"/>
          <w:rtl/>
        </w:rPr>
        <w:t xml:space="preserve"> لأنه عقد شكلي ولا يقوم صحيحا إلا إذا كتب في ورقة رسمية</w:t>
      </w:r>
      <w:r>
        <w:rPr>
          <w:rFonts w:cs="Traditional Arabic" w:hint="cs"/>
          <w:sz w:val="28"/>
          <w:szCs w:val="32"/>
          <w:rtl/>
        </w:rPr>
        <w:t xml:space="preserve"> .</w:t>
      </w:r>
      <w:r w:rsidRPr="00EC737F">
        <w:rPr>
          <w:rFonts w:cs="Traditional Arabic" w:hint="cs"/>
          <w:sz w:val="28"/>
          <w:szCs w:val="32"/>
          <w:rtl/>
        </w:rPr>
        <w:t xml:space="preserve"> وعقد الرهن الرسمي الباطل لخلل في الشكل لا يصلح أن يكون وعداً صحيحاً بالرهن</w:t>
      </w:r>
      <w:r>
        <w:rPr>
          <w:rFonts w:cs="Traditional Arabic" w:hint="cs"/>
          <w:sz w:val="28"/>
          <w:szCs w:val="32"/>
          <w:rtl/>
        </w:rPr>
        <w:t xml:space="preserve"> ،</w:t>
      </w:r>
      <w:r w:rsidRPr="00EC737F">
        <w:rPr>
          <w:rFonts w:cs="Traditional Arabic" w:hint="cs"/>
          <w:sz w:val="28"/>
          <w:szCs w:val="32"/>
          <w:rtl/>
        </w:rPr>
        <w:t xml:space="preserve"> لأن عقد الوعد بالرهن يجب أن يكون هو </w:t>
      </w:r>
      <w:r w:rsidRPr="00EC737F">
        <w:rPr>
          <w:rFonts w:cs="Traditional Arabic" w:hint="cs"/>
          <w:sz w:val="28"/>
          <w:szCs w:val="32"/>
          <w:rtl/>
        </w:rPr>
        <w:lastRenderedPageBreak/>
        <w:t>أيضاً في ورقة رسمية</w:t>
      </w:r>
      <w:r>
        <w:rPr>
          <w:rFonts w:cs="Traditional Arabic" w:hint="cs"/>
          <w:sz w:val="28"/>
          <w:szCs w:val="32"/>
          <w:rtl/>
        </w:rPr>
        <w:t xml:space="preserve"> ،</w:t>
      </w:r>
      <w:r w:rsidRPr="00EC737F">
        <w:rPr>
          <w:rFonts w:cs="Traditional Arabic" w:hint="cs"/>
          <w:sz w:val="28"/>
          <w:szCs w:val="32"/>
          <w:rtl/>
        </w:rPr>
        <w:t xml:space="preserve"> شأنه في ذلك شأن عقد الرهن الرسمي كما سنرى</w:t>
      </w:r>
      <w:r>
        <w:rPr>
          <w:rFonts w:cs="Traditional Arabic" w:hint="cs"/>
          <w:sz w:val="28"/>
          <w:szCs w:val="32"/>
          <w:vertAlign w:val="superscript"/>
          <w:rtl/>
        </w:rPr>
        <w:t xml:space="preserve">( </w:t>
      </w:r>
      <w:r w:rsidRPr="00EC737F">
        <w:rPr>
          <w:rStyle w:val="ab"/>
          <w:rFonts w:cs="Traditional Arabic"/>
          <w:sz w:val="28"/>
          <w:szCs w:val="32"/>
          <w:rtl/>
        </w:rPr>
        <w:footnoteReference w:id="63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إذا كتب وعد بالرهن في ورقة عرفية</w:t>
      </w:r>
      <w:r>
        <w:rPr>
          <w:rFonts w:cs="Traditional Arabic" w:hint="cs"/>
          <w:sz w:val="28"/>
          <w:szCs w:val="32"/>
          <w:rtl/>
        </w:rPr>
        <w:t xml:space="preserve"> ،</w:t>
      </w:r>
      <w:r w:rsidRPr="00EC737F">
        <w:rPr>
          <w:rFonts w:cs="Traditional Arabic" w:hint="cs"/>
          <w:sz w:val="28"/>
          <w:szCs w:val="32"/>
          <w:rtl/>
        </w:rPr>
        <w:t xml:space="preserve"> فإن هذا $283 الوعد يكون عقداً ملزماً</w:t>
      </w:r>
      <w:r>
        <w:rPr>
          <w:rFonts w:cs="Traditional Arabic" w:hint="cs"/>
          <w:sz w:val="28"/>
          <w:szCs w:val="32"/>
          <w:rtl/>
        </w:rPr>
        <w:t xml:space="preserve"> ،</w:t>
      </w:r>
      <w:r w:rsidRPr="00EC737F">
        <w:rPr>
          <w:rFonts w:cs="Traditional Arabic" w:hint="cs"/>
          <w:sz w:val="28"/>
          <w:szCs w:val="32"/>
          <w:rtl/>
        </w:rPr>
        <w:t xml:space="preserve"> غير أنه لا يكون عقد وعد بالرهن</w:t>
      </w:r>
      <w:r>
        <w:rPr>
          <w:rFonts w:cs="Traditional Arabic" w:hint="cs"/>
          <w:sz w:val="28"/>
          <w:szCs w:val="32"/>
          <w:rtl/>
        </w:rPr>
        <w:t xml:space="preserve"> .</w:t>
      </w:r>
      <w:r w:rsidRPr="00EC737F">
        <w:rPr>
          <w:rFonts w:cs="Traditional Arabic" w:hint="cs"/>
          <w:sz w:val="28"/>
          <w:szCs w:val="32"/>
          <w:rtl/>
        </w:rPr>
        <w:t xml:space="preserve"> وإنما يجب على الواعد أن يحرر عقداً رسمياً بوعد بالرهن</w:t>
      </w:r>
      <w:r>
        <w:rPr>
          <w:rFonts w:cs="Traditional Arabic" w:hint="cs"/>
          <w:sz w:val="28"/>
          <w:szCs w:val="32"/>
          <w:rtl/>
        </w:rPr>
        <w:t xml:space="preserve"> ،</w:t>
      </w:r>
      <w:r w:rsidRPr="00EC737F">
        <w:rPr>
          <w:rFonts w:cs="Traditional Arabic" w:hint="cs"/>
          <w:sz w:val="28"/>
          <w:szCs w:val="32"/>
          <w:rtl/>
        </w:rPr>
        <w:t xml:space="preserve"> فإن ليم يفعل وجب لعيه دفع التعويض لأن هذا هو الجزاء على تخلف الرسمية؟ كذلك يجوز</w:t>
      </w:r>
      <w:r>
        <w:rPr>
          <w:rFonts w:cs="Traditional Arabic" w:hint="cs"/>
          <w:sz w:val="28"/>
          <w:szCs w:val="32"/>
          <w:rtl/>
        </w:rPr>
        <w:t xml:space="preserve"> ،</w:t>
      </w:r>
      <w:r w:rsidRPr="00EC737F">
        <w:rPr>
          <w:rFonts w:cs="Traditional Arabic" w:hint="cs"/>
          <w:sz w:val="28"/>
          <w:szCs w:val="32"/>
          <w:rtl/>
        </w:rPr>
        <w:t xml:space="preserve"> تطبيقاً للمادة 273/3 مدني</w:t>
      </w:r>
      <w:r>
        <w:rPr>
          <w:rFonts w:cs="Traditional Arabic" w:hint="cs"/>
          <w:sz w:val="28"/>
          <w:szCs w:val="32"/>
          <w:rtl/>
        </w:rPr>
        <w:t xml:space="preserve"> ،</w:t>
      </w:r>
      <w:r w:rsidRPr="00EC737F">
        <w:rPr>
          <w:rFonts w:cs="Traditional Arabic" w:hint="cs"/>
          <w:sz w:val="28"/>
          <w:szCs w:val="32"/>
          <w:rtl/>
        </w:rPr>
        <w:t xml:space="preserve"> أن يعتبر الموعود له أن الواعد لم يقم بوعده</w:t>
      </w:r>
      <w:r>
        <w:rPr>
          <w:rFonts w:cs="Traditional Arabic" w:hint="cs"/>
          <w:sz w:val="28"/>
          <w:szCs w:val="32"/>
          <w:rtl/>
        </w:rPr>
        <w:t xml:space="preserve"> ،</w:t>
      </w:r>
      <w:r w:rsidRPr="00EC737F">
        <w:rPr>
          <w:rFonts w:cs="Traditional Arabic" w:hint="cs"/>
          <w:sz w:val="28"/>
          <w:szCs w:val="32"/>
          <w:rtl/>
        </w:rPr>
        <w:t xml:space="preserve"> ولم يقدم ما وعد في العقد بتقديمه من التأمينات</w:t>
      </w:r>
      <w:r>
        <w:rPr>
          <w:rFonts w:cs="Traditional Arabic" w:hint="cs"/>
          <w:sz w:val="28"/>
          <w:szCs w:val="32"/>
          <w:rtl/>
        </w:rPr>
        <w:t xml:space="preserve"> ،</w:t>
      </w:r>
      <w:r w:rsidRPr="00EC737F">
        <w:rPr>
          <w:rFonts w:cs="Traditional Arabic" w:hint="cs"/>
          <w:sz w:val="28"/>
          <w:szCs w:val="32"/>
          <w:rtl/>
        </w:rPr>
        <w:t xml:space="preserve"> ومن ثم يكون للموعود له وهو الدائن أن يطلب سقوط أجل الدين</w:t>
      </w:r>
      <w:r>
        <w:rPr>
          <w:rFonts w:cs="Traditional Arabic" w:hint="cs"/>
          <w:sz w:val="28"/>
          <w:szCs w:val="32"/>
          <w:rtl/>
        </w:rPr>
        <w:t xml:space="preserve"> ،</w:t>
      </w:r>
      <w:r w:rsidRPr="00EC737F">
        <w:rPr>
          <w:rFonts w:cs="Traditional Arabic" w:hint="cs"/>
          <w:sz w:val="28"/>
          <w:szCs w:val="32"/>
          <w:rtl/>
        </w:rPr>
        <w:t xml:space="preserve"> فيصبح الدين حالا تجوز المطالبة به فوراً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كان هناك عقد غير سمري تضمن الاتفاق على أن يعطي شخص لآخر قرضاً وعلى أن المقترض ينشئ رهناً لضمان هذا القرض</w:t>
      </w:r>
      <w:r>
        <w:rPr>
          <w:rFonts w:cs="Traditional Arabic" w:hint="cs"/>
          <w:sz w:val="28"/>
          <w:szCs w:val="32"/>
          <w:rtl/>
        </w:rPr>
        <w:t xml:space="preserve"> ،</w:t>
      </w:r>
      <w:r w:rsidRPr="00EC737F">
        <w:rPr>
          <w:rFonts w:cs="Traditional Arabic" w:hint="cs"/>
          <w:sz w:val="28"/>
          <w:szCs w:val="32"/>
          <w:rtl/>
        </w:rPr>
        <w:t xml:space="preserve"> وجب على المقترض أن يقوم بإنشاء الرهن الرسمي</w:t>
      </w:r>
      <w:r>
        <w:rPr>
          <w:rFonts w:cs="Traditional Arabic" w:hint="cs"/>
          <w:sz w:val="28"/>
          <w:szCs w:val="32"/>
          <w:rtl/>
        </w:rPr>
        <w:t xml:space="preserve"> .</w:t>
      </w:r>
      <w:r w:rsidRPr="00EC737F">
        <w:rPr>
          <w:rFonts w:cs="Traditional Arabic" w:hint="cs"/>
          <w:sz w:val="28"/>
          <w:szCs w:val="32"/>
          <w:rtl/>
        </w:rPr>
        <w:t xml:space="preserve"> فإن لم يفعل</w:t>
      </w:r>
      <w:r>
        <w:rPr>
          <w:rFonts w:cs="Traditional Arabic" w:hint="cs"/>
          <w:sz w:val="28"/>
          <w:szCs w:val="32"/>
          <w:rtl/>
        </w:rPr>
        <w:t xml:space="preserve"> ،</w:t>
      </w:r>
      <w:r w:rsidRPr="00EC737F">
        <w:rPr>
          <w:rFonts w:cs="Traditional Arabic" w:hint="cs"/>
          <w:sz w:val="28"/>
          <w:szCs w:val="32"/>
          <w:rtl/>
        </w:rPr>
        <w:t xml:space="preserve"> لم يجبر على ذلك لأن العقد غير رسمي</w:t>
      </w:r>
      <w:r>
        <w:rPr>
          <w:rFonts w:cs="Traditional Arabic" w:hint="cs"/>
          <w:sz w:val="28"/>
          <w:szCs w:val="32"/>
          <w:vertAlign w:val="superscript"/>
          <w:rtl/>
        </w:rPr>
        <w:t xml:space="preserve">( </w:t>
      </w:r>
      <w:r w:rsidRPr="00EC737F">
        <w:rPr>
          <w:rStyle w:val="ab"/>
          <w:rFonts w:cs="Traditional Arabic"/>
          <w:sz w:val="28"/>
          <w:szCs w:val="32"/>
          <w:rtl/>
        </w:rPr>
        <w:footnoteReference w:id="63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يبطل العقد في شق منه</w:t>
      </w:r>
      <w:r>
        <w:rPr>
          <w:rFonts w:cs="Traditional Arabic" w:hint="cs"/>
          <w:sz w:val="28"/>
          <w:szCs w:val="32"/>
          <w:rtl/>
        </w:rPr>
        <w:t xml:space="preserve"> ،</w:t>
      </w:r>
      <w:r w:rsidRPr="00EC737F">
        <w:rPr>
          <w:rFonts w:cs="Traditional Arabic" w:hint="cs"/>
          <w:sz w:val="28"/>
          <w:szCs w:val="32"/>
          <w:rtl/>
        </w:rPr>
        <w:t xml:space="preserve"> وهو الشق الذي يوجب على المقترض أن ينشئ رهناً رسمياً</w:t>
      </w:r>
      <w:r>
        <w:rPr>
          <w:rFonts w:cs="Traditional Arabic" w:hint="cs"/>
          <w:sz w:val="28"/>
          <w:szCs w:val="32"/>
          <w:rtl/>
        </w:rPr>
        <w:t xml:space="preserve"> .</w:t>
      </w:r>
      <w:r w:rsidRPr="00EC737F">
        <w:rPr>
          <w:rFonts w:cs="Traditional Arabic" w:hint="cs"/>
          <w:sz w:val="28"/>
          <w:szCs w:val="32"/>
          <w:rtl/>
        </w:rPr>
        <w:t xml:space="preserve"> أما الشق الآخر</w:t>
      </w:r>
      <w:r>
        <w:rPr>
          <w:rFonts w:cs="Traditional Arabic" w:hint="cs"/>
          <w:sz w:val="28"/>
          <w:szCs w:val="32"/>
          <w:rtl/>
        </w:rPr>
        <w:t xml:space="preserve"> ،</w:t>
      </w:r>
      <w:r w:rsidRPr="00EC737F">
        <w:rPr>
          <w:rFonts w:cs="Traditional Arabic" w:hint="cs"/>
          <w:sz w:val="28"/>
          <w:szCs w:val="32"/>
          <w:rtl/>
        </w:rPr>
        <w:t xml:space="preserve"> وهو القرض</w:t>
      </w:r>
      <w:r>
        <w:rPr>
          <w:rFonts w:cs="Traditional Arabic" w:hint="cs"/>
          <w:sz w:val="28"/>
          <w:szCs w:val="32"/>
          <w:rtl/>
        </w:rPr>
        <w:t xml:space="preserve"> ،</w:t>
      </w:r>
      <w:r w:rsidRPr="00EC737F">
        <w:rPr>
          <w:rFonts w:cs="Traditional Arabic" w:hint="cs"/>
          <w:sz w:val="28"/>
          <w:szCs w:val="32"/>
          <w:rtl/>
        </w:rPr>
        <w:t xml:space="preserve"> فيبقى صحيحاً لأن القرض ليس بعقد شكلي</w:t>
      </w:r>
      <w:r>
        <w:rPr>
          <w:rFonts w:cs="Traditional Arabic" w:hint="cs"/>
          <w:sz w:val="28"/>
          <w:szCs w:val="32"/>
          <w:rtl/>
        </w:rPr>
        <w:t xml:space="preserve"> ،</w:t>
      </w:r>
      <w:r w:rsidRPr="00EC737F">
        <w:rPr>
          <w:rFonts w:cs="Traditional Arabic" w:hint="cs"/>
          <w:sz w:val="28"/>
          <w:szCs w:val="32"/>
          <w:rtl/>
        </w:rPr>
        <w:t xml:space="preserve"> إلا إذا تبين أن القرض ما كان لينشأ بغير الرهن فيبطل القرض أيضاً </w:t>
      </w:r>
      <w:r>
        <w:rPr>
          <w:rFonts w:cs="Traditional Arabic" w:hint="cs"/>
          <w:sz w:val="28"/>
          <w:szCs w:val="32"/>
          <w:rtl/>
        </w:rPr>
        <w:t xml:space="preserve">( </w:t>
      </w:r>
      <w:r w:rsidRPr="00EC737F">
        <w:rPr>
          <w:rFonts w:cs="Traditional Arabic" w:hint="cs"/>
          <w:sz w:val="28"/>
          <w:szCs w:val="32"/>
          <w:rtl/>
        </w:rPr>
        <w:t>م 143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127- إبرام عقد الرهن الرسمي خارج مصر</w:t>
      </w:r>
      <w:r>
        <w:rPr>
          <w:rFonts w:cs="Traditional Arabic" w:hint="cs"/>
          <w:sz w:val="28"/>
          <w:szCs w:val="32"/>
          <w:rtl/>
        </w:rPr>
        <w:t xml:space="preserve"> :</w:t>
      </w:r>
      <w:r w:rsidRPr="00EC737F">
        <w:rPr>
          <w:rFonts w:cs="Traditional Arabic" w:hint="cs"/>
          <w:sz w:val="28"/>
          <w:szCs w:val="32"/>
          <w:rtl/>
        </w:rPr>
        <w:t xml:space="preserve"> في التنين المدين الفرنسي تنص المادة 2128 على أن "العقود المبرمة في الخارج </w:t>
      </w:r>
      <w:r>
        <w:rPr>
          <w:rFonts w:cs="Traditional Arabic" w:hint="cs"/>
          <w:sz w:val="28"/>
          <w:szCs w:val="32"/>
          <w:rtl/>
        </w:rPr>
        <w:t xml:space="preserve">( </w:t>
      </w:r>
      <w:r w:rsidRPr="00EC737F">
        <w:rPr>
          <w:rFonts w:cs="Traditional Arabic" w:hint="cs"/>
          <w:sz w:val="28"/>
          <w:szCs w:val="32"/>
          <w:rtl/>
        </w:rPr>
        <w:t>خارج فرنسا</w:t>
      </w:r>
      <w:r>
        <w:rPr>
          <w:rFonts w:cs="Traditional Arabic" w:hint="cs"/>
          <w:sz w:val="28"/>
          <w:szCs w:val="32"/>
          <w:rtl/>
        </w:rPr>
        <w:t xml:space="preserve"> )</w:t>
      </w:r>
      <w:r w:rsidRPr="00EC737F">
        <w:rPr>
          <w:rFonts w:cs="Traditional Arabic" w:hint="cs"/>
          <w:sz w:val="28"/>
          <w:szCs w:val="32"/>
          <w:rtl/>
        </w:rPr>
        <w:t xml:space="preserve"> لا تعطي حق رهن رسمي على الأموال الموجودة في فرنسا</w:t>
      </w:r>
      <w:r>
        <w:rPr>
          <w:rFonts w:cs="Traditional Arabic" w:hint="cs"/>
          <w:sz w:val="28"/>
          <w:szCs w:val="32"/>
          <w:rtl/>
        </w:rPr>
        <w:t xml:space="preserve"> ،</w:t>
      </w:r>
      <w:r w:rsidRPr="00EC737F">
        <w:rPr>
          <w:rFonts w:cs="Traditional Arabic" w:hint="cs"/>
          <w:sz w:val="28"/>
          <w:szCs w:val="32"/>
          <w:rtl/>
        </w:rPr>
        <w:t xml:space="preserve"> إذا لم يوجد نص مخالف لهذا المبدأ في التشريعات السياسية أو في المعاهدات"</w:t>
      </w:r>
      <w:r>
        <w:rPr>
          <w:rFonts w:cs="Traditional Arabic" w:hint="cs"/>
          <w:sz w:val="28"/>
          <w:szCs w:val="32"/>
          <w:rtl/>
        </w:rPr>
        <w:t xml:space="preserve"> .</w:t>
      </w:r>
      <w:r w:rsidRPr="00EC737F">
        <w:rPr>
          <w:rFonts w:cs="Traditional Arabic" w:hint="cs"/>
          <w:sz w:val="28"/>
          <w:szCs w:val="32"/>
          <w:rtl/>
        </w:rPr>
        <w:t xml:space="preserve"> فالأصل إذن في فرنسا أن العقود المبرمة في الخارج لا تعطي حق رهن رسمي على العقارات الموجودة في فرنسا</w:t>
      </w:r>
      <w:r>
        <w:rPr>
          <w:rFonts w:cs="Traditional Arabic" w:hint="cs"/>
          <w:sz w:val="28"/>
          <w:szCs w:val="32"/>
          <w:rtl/>
        </w:rPr>
        <w:t xml:space="preserve"> ،</w:t>
      </w:r>
      <w:r w:rsidRPr="00EC737F">
        <w:rPr>
          <w:rFonts w:cs="Traditional Arabic" w:hint="cs"/>
          <w:sz w:val="28"/>
          <w:szCs w:val="32"/>
          <w:rtl/>
        </w:rPr>
        <w:t xml:space="preserve"> ولا بد من إبرام عقد الرهن الرسمي في فرنسا ذاتها حتى ينشئ هذا العقد حق رهن رسمي على العقارات الموجودة في فرنسا</w:t>
      </w:r>
      <w:r>
        <w:rPr>
          <w:rFonts w:cs="Traditional Arabic" w:hint="cs"/>
          <w:sz w:val="28"/>
          <w:szCs w:val="32"/>
          <w:rtl/>
        </w:rPr>
        <w:t xml:space="preserve"> .</w:t>
      </w:r>
      <w:r w:rsidRPr="00EC737F">
        <w:rPr>
          <w:rFonts w:cs="Traditional Arabic" w:hint="cs"/>
          <w:sz w:val="28"/>
          <w:szCs w:val="32"/>
          <w:rtl/>
        </w:rPr>
        <w:t xml:space="preserve"> ولا شك في أن المادة 2128 مدني فرنسي تعتبر استثناء من القاعدة $284 التي تقضي بأن قانون المحل هو </w:t>
      </w:r>
      <w:r w:rsidRPr="00EC737F">
        <w:rPr>
          <w:rFonts w:cs="Traditional Arabic" w:hint="cs"/>
          <w:sz w:val="28"/>
          <w:szCs w:val="32"/>
          <w:rtl/>
        </w:rPr>
        <w:lastRenderedPageBreak/>
        <w:t xml:space="preserve">الذي يحكم شكل العقد </w:t>
      </w:r>
      <w:r>
        <w:rPr>
          <w:rFonts w:cs="Traditional Arabic"/>
          <w:sz w:val="28"/>
          <w:szCs w:val="32"/>
          <w:rtl/>
        </w:rPr>
        <w:t xml:space="preserve">( </w:t>
      </w:r>
      <w:r w:rsidRPr="00EC737F">
        <w:rPr>
          <w:rFonts w:cs="Traditional Arabic"/>
          <w:sz w:val="28"/>
          <w:szCs w:val="32"/>
        </w:rPr>
        <w:t>lous negit actum</w:t>
      </w:r>
      <w:r>
        <w:rPr>
          <w:rFonts w:cs="Traditional Arabic"/>
          <w:sz w:val="28"/>
          <w:szCs w:val="32"/>
          <w:rtl/>
        </w:rPr>
        <w:t xml:space="preserve"> )</w:t>
      </w:r>
      <w:r w:rsidRPr="00EC737F">
        <w:rPr>
          <w:rFonts w:cs="Traditional Arabic" w:hint="cs"/>
          <w:sz w:val="28"/>
          <w:szCs w:val="32"/>
          <w:rtl/>
        </w:rPr>
        <w:t xml:space="preserve"> ولكنه استثناء غير مفهوم</w:t>
      </w:r>
      <w:r>
        <w:rPr>
          <w:rFonts w:cs="Traditional Arabic" w:hint="cs"/>
          <w:sz w:val="28"/>
          <w:szCs w:val="32"/>
          <w:vertAlign w:val="superscript"/>
          <w:rtl/>
        </w:rPr>
        <w:t xml:space="preserve">( </w:t>
      </w:r>
      <w:r w:rsidRPr="00EC737F">
        <w:rPr>
          <w:rStyle w:val="ab"/>
          <w:rFonts w:cs="Traditional Arabic"/>
          <w:sz w:val="28"/>
          <w:szCs w:val="32"/>
          <w:rtl/>
        </w:rPr>
        <w:footnoteReference w:id="63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في التقنين المدني المصري</w:t>
      </w:r>
      <w:r>
        <w:rPr>
          <w:rFonts w:cs="Traditional Arabic" w:hint="cs"/>
          <w:sz w:val="28"/>
          <w:szCs w:val="32"/>
          <w:rtl/>
        </w:rPr>
        <w:t xml:space="preserve"> ،</w:t>
      </w:r>
      <w:r w:rsidRPr="00EC737F">
        <w:rPr>
          <w:rFonts w:cs="Traditional Arabic" w:hint="cs"/>
          <w:sz w:val="28"/>
          <w:szCs w:val="32"/>
          <w:rtl/>
        </w:rPr>
        <w:t xml:space="preserve"> فقد كان التقنين المدني السابق يماثل التقنين المدني الفرنسي في أنه لا يجوز إبرام عقد رهن رسمي في الخارج فنص في المادة 557/681 على أنه "لا يعتبر رهن العقار إلا إذا كان بموجب عقد رسمي محرر في قلم كتاب أحدى المحاكم </w:t>
      </w:r>
      <w:r>
        <w:rPr>
          <w:rFonts w:cs="Traditional Arabic" w:hint="cs"/>
          <w:sz w:val="28"/>
          <w:szCs w:val="32"/>
          <w:rtl/>
        </w:rPr>
        <w:t xml:space="preserve">( </w:t>
      </w:r>
      <w:r w:rsidRPr="00EC737F">
        <w:rPr>
          <w:rFonts w:cs="Traditional Arabic" w:hint="cs"/>
          <w:sz w:val="28"/>
          <w:szCs w:val="32"/>
          <w:rtl/>
        </w:rPr>
        <w:t>المختلطة</w:t>
      </w:r>
      <w:r>
        <w:rPr>
          <w:rFonts w:cs="Traditional Arabic" w:hint="cs"/>
          <w:sz w:val="28"/>
          <w:szCs w:val="32"/>
          <w:rtl/>
        </w:rPr>
        <w:t xml:space="preserve"> )</w:t>
      </w:r>
      <w:r w:rsidRPr="00EC737F">
        <w:rPr>
          <w:rFonts w:cs="Traditional Arabic" w:hint="cs"/>
          <w:sz w:val="28"/>
          <w:szCs w:val="32"/>
          <w:rtl/>
        </w:rPr>
        <w:t xml:space="preserve"> بين الدائن ومالك العقار المرهون</w:t>
      </w:r>
      <w:r>
        <w:rPr>
          <w:rFonts w:cs="Traditional Arabic" w:hint="cs"/>
          <w:sz w:val="28"/>
          <w:szCs w:val="32"/>
          <w:rtl/>
        </w:rPr>
        <w:t xml:space="preserve"> ،</w:t>
      </w:r>
      <w:r w:rsidRPr="00EC737F">
        <w:rPr>
          <w:rFonts w:cs="Traditional Arabic" w:hint="cs"/>
          <w:sz w:val="28"/>
          <w:szCs w:val="32"/>
          <w:rtl/>
        </w:rPr>
        <w:t xml:space="preserve"> تأميناً لوفاء الدين"</w:t>
      </w:r>
      <w:r>
        <w:rPr>
          <w:rFonts w:cs="Traditional Arabic" w:hint="cs"/>
          <w:sz w:val="28"/>
          <w:szCs w:val="32"/>
          <w:rtl/>
        </w:rPr>
        <w:t xml:space="preserve"> .</w:t>
      </w:r>
      <w:r w:rsidRPr="00EC737F">
        <w:rPr>
          <w:rFonts w:cs="Traditional Arabic" w:hint="cs"/>
          <w:sz w:val="28"/>
          <w:szCs w:val="32"/>
          <w:rtl/>
        </w:rPr>
        <w:t xml:space="preserve"> ويفهم من هذا النص أن رهن العقار الموجود في مصر لا يكون إلا بموجب عقد رسمي</w:t>
      </w:r>
      <w:r>
        <w:rPr>
          <w:rFonts w:cs="Traditional Arabic" w:hint="cs"/>
          <w:sz w:val="28"/>
          <w:szCs w:val="32"/>
          <w:rtl/>
        </w:rPr>
        <w:t xml:space="preserve"> ،</w:t>
      </w:r>
      <w:r w:rsidRPr="00EC737F">
        <w:rPr>
          <w:rFonts w:cs="Traditional Arabic" w:hint="cs"/>
          <w:sz w:val="28"/>
          <w:szCs w:val="32"/>
          <w:rtl/>
        </w:rPr>
        <w:t xml:space="preserve"> وهذا العقد يجب أن يحرر في قلم كتاب إحدى المحاكم المصرية </w:t>
      </w:r>
      <w:r>
        <w:rPr>
          <w:rFonts w:cs="Traditional Arabic" w:hint="cs"/>
          <w:sz w:val="28"/>
          <w:szCs w:val="32"/>
          <w:rtl/>
        </w:rPr>
        <w:t xml:space="preserve">( </w:t>
      </w:r>
      <w:r w:rsidRPr="00EC737F">
        <w:rPr>
          <w:rFonts w:cs="Traditional Arabic" w:hint="cs"/>
          <w:sz w:val="28"/>
          <w:szCs w:val="32"/>
          <w:rtl/>
        </w:rPr>
        <w:t>المختلطة</w:t>
      </w:r>
      <w:r>
        <w:rPr>
          <w:rFonts w:cs="Traditional Arabic" w:hint="cs"/>
          <w:sz w:val="28"/>
          <w:szCs w:val="32"/>
          <w:rtl/>
        </w:rPr>
        <w:t xml:space="preserve"> ) .</w:t>
      </w:r>
      <w:r w:rsidRPr="00EC737F">
        <w:rPr>
          <w:rFonts w:cs="Traditional Arabic" w:hint="cs"/>
          <w:sz w:val="28"/>
          <w:szCs w:val="32"/>
          <w:rtl/>
        </w:rPr>
        <w:t xml:space="preserve"> فالرهن الذي يعقد في الخارج عن عقارات موجودة في مصر لا يعتد به</w:t>
      </w:r>
      <w:r>
        <w:rPr>
          <w:rFonts w:cs="Traditional Arabic" w:hint="cs"/>
          <w:sz w:val="28"/>
          <w:szCs w:val="32"/>
          <w:rtl/>
        </w:rPr>
        <w:t xml:space="preserve"> ،</w:t>
      </w:r>
      <w:r w:rsidRPr="00EC737F">
        <w:rPr>
          <w:rFonts w:cs="Traditional Arabic" w:hint="cs"/>
          <w:sz w:val="28"/>
          <w:szCs w:val="32"/>
          <w:rtl/>
        </w:rPr>
        <w:t xml:space="preserve"> ويكون باطلا</w:t>
      </w:r>
      <w:r>
        <w:rPr>
          <w:rFonts w:cs="Traditional Arabic" w:hint="cs"/>
          <w:sz w:val="28"/>
          <w:szCs w:val="32"/>
          <w:rtl/>
        </w:rPr>
        <w:t xml:space="preserve"> .</w:t>
      </w:r>
      <w:r w:rsidRPr="00EC737F">
        <w:rPr>
          <w:rFonts w:cs="Traditional Arabic" w:hint="cs"/>
          <w:sz w:val="28"/>
          <w:szCs w:val="32"/>
          <w:rtl/>
        </w:rPr>
        <w:t xml:space="preserve"> ولما صدر مرسوم بقانون القنصليات في 13 أغسطس سنة 1925 </w:t>
      </w:r>
      <w:r>
        <w:rPr>
          <w:rFonts w:cs="Traditional Arabic" w:hint="cs"/>
          <w:sz w:val="28"/>
          <w:szCs w:val="32"/>
          <w:rtl/>
        </w:rPr>
        <w:t xml:space="preserve">( </w:t>
      </w:r>
      <w:r w:rsidRPr="00EC737F">
        <w:rPr>
          <w:rFonts w:cs="Traditional Arabic" w:hint="cs"/>
          <w:sz w:val="28"/>
          <w:szCs w:val="32"/>
          <w:rtl/>
        </w:rPr>
        <w:t>وقد استبدل بقه القانون رقم 166 لسنة 1954</w:t>
      </w:r>
      <w:r>
        <w:rPr>
          <w:rFonts w:cs="Traditional Arabic" w:hint="cs"/>
          <w:sz w:val="28"/>
          <w:szCs w:val="32"/>
          <w:rtl/>
        </w:rPr>
        <w:t xml:space="preserve"> ) ،</w:t>
      </w:r>
      <w:r w:rsidRPr="00EC737F">
        <w:rPr>
          <w:rFonts w:cs="Traditional Arabic" w:hint="cs"/>
          <w:sz w:val="28"/>
          <w:szCs w:val="32"/>
          <w:rtl/>
        </w:rPr>
        <w:t xml:space="preserve"> تضمن هذا المرسوم بقانون نصاً يجيز لقناصل مصر في الخارج تحرير العقود ويجعل لها قوة العقود الرسمية</w:t>
      </w:r>
      <w:r>
        <w:rPr>
          <w:rFonts w:cs="Traditional Arabic" w:hint="cs"/>
          <w:sz w:val="28"/>
          <w:szCs w:val="32"/>
          <w:rtl/>
        </w:rPr>
        <w:t xml:space="preserve"> ،</w:t>
      </w:r>
      <w:r w:rsidRPr="00EC737F">
        <w:rPr>
          <w:rFonts w:cs="Traditional Arabic" w:hint="cs"/>
          <w:sz w:val="28"/>
          <w:szCs w:val="32"/>
          <w:rtl/>
        </w:rPr>
        <w:t xml:space="preserve"> لذلك كان واجباً أن يتم الرهن بعقد رسمي في أحد مكاتب التوثيق الرسمية</w:t>
      </w:r>
      <w:r>
        <w:rPr>
          <w:rFonts w:cs="Traditional Arabic" w:hint="cs"/>
          <w:sz w:val="28"/>
          <w:szCs w:val="32"/>
          <w:rtl/>
        </w:rPr>
        <w:t xml:space="preserve"> ،</w:t>
      </w:r>
      <w:r w:rsidRPr="00EC737F">
        <w:rPr>
          <w:rFonts w:cs="Traditional Arabic" w:hint="cs"/>
          <w:sz w:val="28"/>
          <w:szCs w:val="32"/>
          <w:rtl/>
        </w:rPr>
        <w:t xml:space="preserve"> أو في إحدى القنصليات المصرية في الخارج</w:t>
      </w:r>
      <w:r>
        <w:rPr>
          <w:rFonts w:cs="Traditional Arabic" w:hint="cs"/>
          <w:sz w:val="28"/>
          <w:szCs w:val="32"/>
          <w:rtl/>
        </w:rPr>
        <w:t xml:space="preserve"> .</w:t>
      </w:r>
      <w:r w:rsidRPr="00EC737F">
        <w:rPr>
          <w:rFonts w:cs="Traditional Arabic" w:hint="cs"/>
          <w:sz w:val="28"/>
          <w:szCs w:val="32"/>
          <w:rtl/>
        </w:rPr>
        <w:t xml:space="preserve"> وقد وجه إلى التقنين المدني السابق نس الانتقاد الذي وجه إلى التقنين المدين الفرنسي</w:t>
      </w:r>
      <w:r>
        <w:rPr>
          <w:rFonts w:cs="Traditional Arabic" w:hint="cs"/>
          <w:sz w:val="28"/>
          <w:szCs w:val="32"/>
          <w:rtl/>
        </w:rPr>
        <w:t xml:space="preserve"> ،</w:t>
      </w:r>
      <w:r w:rsidRPr="00EC737F">
        <w:rPr>
          <w:rFonts w:cs="Traditional Arabic" w:hint="cs"/>
          <w:sz w:val="28"/>
          <w:szCs w:val="32"/>
          <w:rtl/>
        </w:rPr>
        <w:t xml:space="preserve"> باعتبار أنه يعوق التعامل بين أشخاص مقيمين في دول مختلفة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$285 لذلك عدل التقنين المدين الجدي عما كان يتمسك به التقنين المدين السابق</w:t>
      </w:r>
      <w:r>
        <w:rPr>
          <w:rFonts w:cs="Traditional Arabic" w:hint="cs"/>
          <w:sz w:val="28"/>
          <w:szCs w:val="32"/>
          <w:rtl/>
        </w:rPr>
        <w:t xml:space="preserve"> .</w:t>
      </w:r>
      <w:r w:rsidRPr="00EC737F">
        <w:rPr>
          <w:rFonts w:cs="Traditional Arabic" w:hint="cs"/>
          <w:sz w:val="28"/>
          <w:szCs w:val="32"/>
          <w:rtl/>
        </w:rPr>
        <w:t xml:space="preserve"> فنص في المادة 1031/1 على أنه "لا ينعقد الرهن إلا إذا كان بورقة رسمية"</w:t>
      </w:r>
      <w:r>
        <w:rPr>
          <w:rFonts w:cs="Traditional Arabic" w:hint="cs"/>
          <w:sz w:val="28"/>
          <w:szCs w:val="32"/>
          <w:rtl/>
        </w:rPr>
        <w:t xml:space="preserve"> .</w:t>
      </w:r>
      <w:r w:rsidRPr="00EC737F">
        <w:rPr>
          <w:rFonts w:cs="Traditional Arabic" w:hint="cs"/>
          <w:sz w:val="28"/>
          <w:szCs w:val="32"/>
          <w:rtl/>
        </w:rPr>
        <w:t xml:space="preserve"> فالورقة الرسمية ركن في انعقاد عقد الرهن</w:t>
      </w:r>
      <w:r>
        <w:rPr>
          <w:rFonts w:cs="Traditional Arabic" w:hint="cs"/>
          <w:sz w:val="28"/>
          <w:szCs w:val="32"/>
          <w:rtl/>
        </w:rPr>
        <w:t xml:space="preserve"> ،</w:t>
      </w:r>
      <w:r w:rsidRPr="00EC737F">
        <w:rPr>
          <w:rFonts w:cs="Traditional Arabic" w:hint="cs"/>
          <w:sz w:val="28"/>
          <w:szCs w:val="32"/>
          <w:rtl/>
        </w:rPr>
        <w:t xml:space="preserve"> ولكن المشرع المصري لم يشترط إلا وجود هذه الورقة الرسمية</w:t>
      </w:r>
      <w:r>
        <w:rPr>
          <w:rFonts w:cs="Traditional Arabic" w:hint="cs"/>
          <w:sz w:val="28"/>
          <w:szCs w:val="32"/>
          <w:rtl/>
        </w:rPr>
        <w:t xml:space="preserve"> ،</w:t>
      </w:r>
      <w:r w:rsidRPr="00EC737F">
        <w:rPr>
          <w:rFonts w:cs="Traditional Arabic" w:hint="cs"/>
          <w:sz w:val="28"/>
          <w:szCs w:val="32"/>
          <w:rtl/>
        </w:rPr>
        <w:t xml:space="preserve"> ولم يبين من أية جهة تصدر هذه الورقة</w:t>
      </w:r>
      <w:r>
        <w:rPr>
          <w:rFonts w:cs="Traditional Arabic" w:hint="cs"/>
          <w:sz w:val="28"/>
          <w:szCs w:val="32"/>
          <w:rtl/>
        </w:rPr>
        <w:t xml:space="preserve"> .</w:t>
      </w:r>
      <w:r w:rsidRPr="00EC737F">
        <w:rPr>
          <w:rFonts w:cs="Traditional Arabic" w:hint="cs"/>
          <w:sz w:val="28"/>
          <w:szCs w:val="32"/>
          <w:rtl/>
        </w:rPr>
        <w:t xml:space="preserve"> وقد نصت المادة 20 من التقني المدني الجديد على أن "العقود ما بين الأحياء تخضع في شكلها </w:t>
      </w:r>
      <w:r w:rsidRPr="00EC737F">
        <w:rPr>
          <w:rFonts w:cs="Traditional Arabic" w:hint="cs"/>
          <w:sz w:val="28"/>
          <w:szCs w:val="32"/>
          <w:rtl/>
        </w:rPr>
        <w:lastRenderedPageBreak/>
        <w:t xml:space="preserve">لقانون البلد الذي تمت فيه </w:t>
      </w:r>
      <w:r>
        <w:rPr>
          <w:rFonts w:cs="Traditional Arabic"/>
          <w:sz w:val="28"/>
          <w:szCs w:val="32"/>
          <w:rtl/>
        </w:rPr>
        <w:t xml:space="preserve">( </w:t>
      </w:r>
      <w:r w:rsidRPr="00EC737F">
        <w:rPr>
          <w:rFonts w:cs="Traditional Arabic"/>
          <w:sz w:val="28"/>
          <w:szCs w:val="32"/>
        </w:rPr>
        <w:t>locus regit actnm</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ويجوز أيضاً أن تخضع للقانون الذي يسري على أحكامها الموضوعية</w:t>
      </w:r>
      <w:r>
        <w:rPr>
          <w:rFonts w:cs="Traditional Arabic" w:hint="cs"/>
          <w:sz w:val="28"/>
          <w:szCs w:val="32"/>
          <w:rtl/>
        </w:rPr>
        <w:t xml:space="preserve"> ،</w:t>
      </w:r>
      <w:r w:rsidRPr="00EC737F">
        <w:rPr>
          <w:rFonts w:cs="Traditional Arabic" w:hint="cs"/>
          <w:sz w:val="28"/>
          <w:szCs w:val="32"/>
          <w:rtl/>
        </w:rPr>
        <w:t xml:space="preserve"> كما يجوز أن تخضع لقانون موطن المتعاقدين أو قانونهما الوطني المشترك"</w:t>
      </w:r>
      <w:r>
        <w:rPr>
          <w:rFonts w:cs="Traditional Arabic" w:hint="cs"/>
          <w:sz w:val="28"/>
          <w:szCs w:val="32"/>
          <w:rtl/>
        </w:rPr>
        <w:t xml:space="preserve"> .</w:t>
      </w:r>
      <w:r w:rsidRPr="00EC737F">
        <w:rPr>
          <w:rFonts w:cs="Traditional Arabic" w:hint="cs"/>
          <w:sz w:val="28"/>
          <w:szCs w:val="32"/>
          <w:rtl/>
        </w:rPr>
        <w:t xml:space="preserve"> فيجوز إذن أن يخضع عقد الرهن الرسمي</w:t>
      </w:r>
      <w:r>
        <w:rPr>
          <w:rFonts w:cs="Traditional Arabic" w:hint="cs"/>
          <w:sz w:val="28"/>
          <w:szCs w:val="32"/>
          <w:rtl/>
        </w:rPr>
        <w:t xml:space="preserve"> ،</w:t>
      </w:r>
      <w:r w:rsidRPr="00EC737F">
        <w:rPr>
          <w:rFonts w:cs="Traditional Arabic" w:hint="cs"/>
          <w:sz w:val="28"/>
          <w:szCs w:val="32"/>
          <w:rtl/>
        </w:rPr>
        <w:t xml:space="preserve"> من حيث شكله</w:t>
      </w:r>
      <w:r>
        <w:rPr>
          <w:rFonts w:cs="Traditional Arabic" w:hint="cs"/>
          <w:sz w:val="28"/>
          <w:szCs w:val="32"/>
          <w:rtl/>
        </w:rPr>
        <w:t xml:space="preserve"> ،</w:t>
      </w:r>
      <w:r w:rsidRPr="00EC737F">
        <w:rPr>
          <w:rFonts w:cs="Traditional Arabic" w:hint="cs"/>
          <w:sz w:val="28"/>
          <w:szCs w:val="32"/>
          <w:rtl/>
        </w:rPr>
        <w:t xml:space="preserve"> لقانون البلد الذي تم فيه</w:t>
      </w:r>
      <w:r>
        <w:rPr>
          <w:rFonts w:cs="Traditional Arabic" w:hint="cs"/>
          <w:sz w:val="28"/>
          <w:szCs w:val="32"/>
          <w:vertAlign w:val="superscript"/>
          <w:rtl/>
        </w:rPr>
        <w:t xml:space="preserve">( </w:t>
      </w:r>
      <w:r w:rsidRPr="00EC737F">
        <w:rPr>
          <w:rStyle w:val="ab"/>
          <w:rFonts w:cs="Traditional Arabic"/>
          <w:sz w:val="28"/>
          <w:szCs w:val="32"/>
          <w:rtl/>
        </w:rPr>
        <w:footnoteReference w:id="63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عقد رهن رسمي في بلد أجنبي يرتب حق رهن رسمي على عقار موجود في مصر</w:t>
      </w:r>
      <w:r>
        <w:rPr>
          <w:rFonts w:cs="Traditional Arabic" w:hint="cs"/>
          <w:sz w:val="28"/>
          <w:szCs w:val="32"/>
          <w:rtl/>
        </w:rPr>
        <w:t xml:space="preserve"> ،</w:t>
      </w:r>
      <w:r w:rsidRPr="00EC737F">
        <w:rPr>
          <w:rFonts w:cs="Traditional Arabic" w:hint="cs"/>
          <w:sz w:val="28"/>
          <w:szCs w:val="32"/>
          <w:rtl/>
        </w:rPr>
        <w:t xml:space="preserve"> جاز أن يتولى العقد في هذا البلد الأجنبي موثق أجنبي بتولي إخضاع العقد من حيث الشكل للقاعدة التي تقضي بأن الشكل يخضع لقانون المحل </w:t>
      </w:r>
      <w:r>
        <w:rPr>
          <w:rFonts w:cs="Traditional Arabic"/>
          <w:sz w:val="28"/>
          <w:szCs w:val="32"/>
          <w:rtl/>
        </w:rPr>
        <w:t xml:space="preserve">( </w:t>
      </w:r>
      <w:r w:rsidRPr="00EC737F">
        <w:rPr>
          <w:rFonts w:cs="Traditional Arabic"/>
          <w:sz w:val="28"/>
          <w:szCs w:val="32"/>
        </w:rPr>
        <w:t>locus regit actum</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كما يجوز أن يوثق الورقة الرسمية التي يفرغ فيها عقد الرهن الرسمي قنصل من قناصل الجمهورية في الخارج</w:t>
      </w:r>
      <w:r>
        <w:rPr>
          <w:rFonts w:cs="Traditional Arabic" w:hint="cs"/>
          <w:sz w:val="28"/>
          <w:szCs w:val="32"/>
          <w:vertAlign w:val="superscript"/>
          <w:rtl/>
        </w:rPr>
        <w:t xml:space="preserve">( </w:t>
      </w:r>
      <w:r w:rsidRPr="00EC737F">
        <w:rPr>
          <w:rStyle w:val="ab"/>
          <w:rFonts w:cs="Traditional Arabic"/>
          <w:sz w:val="28"/>
          <w:szCs w:val="32"/>
          <w:rtl/>
        </w:rPr>
        <w:footnoteReference w:id="63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128- نفقات عقد الرهن الرسمي</w:t>
      </w:r>
      <w:r>
        <w:rPr>
          <w:rFonts w:cs="Traditional Arabic" w:hint="cs"/>
          <w:sz w:val="28"/>
          <w:szCs w:val="32"/>
          <w:rtl/>
        </w:rPr>
        <w:t xml:space="preserve"> :</w:t>
      </w:r>
      <w:r w:rsidRPr="00EC737F">
        <w:rPr>
          <w:rFonts w:cs="Traditional Arabic" w:hint="cs"/>
          <w:sz w:val="28"/>
          <w:szCs w:val="32"/>
          <w:rtl/>
        </w:rPr>
        <w:t xml:space="preserve"> تقول الفقرة الثاني من المادة 1031 مدني</w:t>
      </w:r>
      <w:r>
        <w:rPr>
          <w:rFonts w:cs="Traditional Arabic" w:hint="cs"/>
          <w:sz w:val="28"/>
          <w:szCs w:val="32"/>
          <w:rtl/>
        </w:rPr>
        <w:t xml:space="preserve"> :</w:t>
      </w:r>
      <w:r w:rsidRPr="00EC737F">
        <w:rPr>
          <w:rFonts w:cs="Traditional Arabic" w:hint="cs"/>
          <w:sz w:val="28"/>
          <w:szCs w:val="32"/>
          <w:rtl/>
        </w:rPr>
        <w:t xml:space="preserve"> "ونفقات العقد على الراهن</w:t>
      </w:r>
      <w:r>
        <w:rPr>
          <w:rFonts w:cs="Traditional Arabic" w:hint="cs"/>
          <w:sz w:val="28"/>
          <w:szCs w:val="32"/>
          <w:rtl/>
        </w:rPr>
        <w:t xml:space="preserve"> ،</w:t>
      </w:r>
      <w:r w:rsidRPr="00EC737F">
        <w:rPr>
          <w:rFonts w:cs="Traditional Arabic" w:hint="cs"/>
          <w:sz w:val="28"/>
          <w:szCs w:val="32"/>
          <w:rtl/>
        </w:rPr>
        <w:t xml:space="preserve"> إلا إذا اتفق على غير ذلك"</w:t>
      </w:r>
      <w:r>
        <w:rPr>
          <w:rFonts w:cs="Traditional Arabic" w:hint="cs"/>
          <w:sz w:val="28"/>
          <w:szCs w:val="32"/>
          <w:vertAlign w:val="superscript"/>
          <w:rtl/>
        </w:rPr>
        <w:t xml:space="preserve">( </w:t>
      </w:r>
      <w:r w:rsidRPr="00EC737F">
        <w:rPr>
          <w:rStyle w:val="ab"/>
          <w:rFonts w:cs="Traditional Arabic"/>
          <w:sz w:val="28"/>
          <w:szCs w:val="32"/>
          <w:rtl/>
        </w:rPr>
        <w:footnoteReference w:id="63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$286 ويتبين من هذا النص أن الأصل أن تكون نفقات العقد على الراهن</w:t>
      </w:r>
      <w:r>
        <w:rPr>
          <w:rFonts w:cs="Traditional Arabic" w:hint="cs"/>
          <w:sz w:val="28"/>
          <w:szCs w:val="32"/>
          <w:rtl/>
        </w:rPr>
        <w:t xml:space="preserve"> ،</w:t>
      </w:r>
      <w:r w:rsidRPr="00EC737F">
        <w:rPr>
          <w:rFonts w:cs="Traditional Arabic" w:hint="cs"/>
          <w:sz w:val="28"/>
          <w:szCs w:val="32"/>
          <w:rtl/>
        </w:rPr>
        <w:t xml:space="preserve"> فهو الطرف الملزم في هذا المعقد فيتحمل</w:t>
      </w:r>
      <w:r>
        <w:rPr>
          <w:rFonts w:cs="Traditional Arabic" w:hint="cs"/>
          <w:sz w:val="28"/>
          <w:szCs w:val="32"/>
          <w:rtl/>
        </w:rPr>
        <w:t xml:space="preserve"> ،</w:t>
      </w:r>
      <w:r w:rsidRPr="00EC737F">
        <w:rPr>
          <w:rFonts w:cs="Traditional Arabic" w:hint="cs"/>
          <w:sz w:val="28"/>
          <w:szCs w:val="32"/>
          <w:rtl/>
        </w:rPr>
        <w:t xml:space="preserve"> عند ترتيب حق الرهن الرسمي على عقاره وما يترتب على هذا الحق من الآثار</w:t>
      </w:r>
      <w:r>
        <w:rPr>
          <w:rFonts w:cs="Traditional Arabic" w:hint="cs"/>
          <w:sz w:val="28"/>
          <w:szCs w:val="32"/>
          <w:rtl/>
        </w:rPr>
        <w:t xml:space="preserve"> ،</w:t>
      </w:r>
      <w:r w:rsidRPr="00EC737F">
        <w:rPr>
          <w:rFonts w:cs="Traditional Arabic" w:hint="cs"/>
          <w:sz w:val="28"/>
          <w:szCs w:val="32"/>
          <w:rtl/>
        </w:rPr>
        <w:t xml:space="preserve"> جميع نفقات العقد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ومن نفقات العقد نفقات كتابية</w:t>
      </w:r>
      <w:r>
        <w:rPr>
          <w:rFonts w:cs="Traditional Arabic" w:hint="cs"/>
          <w:sz w:val="28"/>
          <w:szCs w:val="32"/>
          <w:rtl/>
        </w:rPr>
        <w:t xml:space="preserve"> ،</w:t>
      </w:r>
      <w:r w:rsidRPr="00EC737F">
        <w:rPr>
          <w:rFonts w:cs="Traditional Arabic" w:hint="cs"/>
          <w:sz w:val="28"/>
          <w:szCs w:val="32"/>
          <w:rtl/>
        </w:rPr>
        <w:t xml:space="preserve"> وكذلك رسوم الورقة الرسمية التي لا بد منها لانعقاد الرهن أي رسوم التوثيق</w:t>
      </w:r>
      <w:r>
        <w:rPr>
          <w:rFonts w:cs="Traditional Arabic" w:hint="cs"/>
          <w:sz w:val="28"/>
          <w:szCs w:val="32"/>
          <w:rtl/>
        </w:rPr>
        <w:t xml:space="preserve"> ،</w:t>
      </w:r>
      <w:r w:rsidRPr="00EC737F">
        <w:rPr>
          <w:rFonts w:cs="Traditional Arabic" w:hint="cs"/>
          <w:sz w:val="28"/>
          <w:szCs w:val="32"/>
          <w:rtl/>
        </w:rPr>
        <w:t xml:space="preserve"> والنفقات اللازمة لاستخراج الشهادات العقارية</w:t>
      </w:r>
      <w:r>
        <w:rPr>
          <w:rFonts w:cs="Traditional Arabic" w:hint="cs"/>
          <w:sz w:val="28"/>
          <w:szCs w:val="32"/>
          <w:rtl/>
        </w:rPr>
        <w:t xml:space="preserve"> ،</w:t>
      </w:r>
      <w:r w:rsidRPr="00EC737F">
        <w:rPr>
          <w:rFonts w:cs="Traditional Arabic" w:hint="cs"/>
          <w:sz w:val="28"/>
          <w:szCs w:val="32"/>
          <w:rtl/>
        </w:rPr>
        <w:t xml:space="preserve"> وأتعاب المحامي</w:t>
      </w:r>
      <w:r>
        <w:rPr>
          <w:rFonts w:cs="Traditional Arabic" w:hint="cs"/>
          <w:sz w:val="28"/>
          <w:szCs w:val="32"/>
          <w:rtl/>
        </w:rPr>
        <w:t xml:space="preserve"> ،</w:t>
      </w:r>
      <w:r w:rsidRPr="00EC737F">
        <w:rPr>
          <w:rFonts w:cs="Traditional Arabic" w:hint="cs"/>
          <w:sz w:val="28"/>
          <w:szCs w:val="32"/>
          <w:rtl/>
        </w:rPr>
        <w:t xml:space="preserve"> وغير ذلك من النفقات التي يستلزمها العقد</w:t>
      </w:r>
      <w:r>
        <w:rPr>
          <w:rFonts w:cs="Traditional Arabic" w:hint="cs"/>
          <w:sz w:val="28"/>
          <w:szCs w:val="32"/>
          <w:rtl/>
        </w:rPr>
        <w:t xml:space="preserve"> .</w:t>
      </w:r>
      <w:r w:rsidRPr="00EC737F">
        <w:rPr>
          <w:rFonts w:cs="Traditional Arabic" w:hint="cs"/>
          <w:sz w:val="28"/>
          <w:szCs w:val="32"/>
          <w:rtl/>
        </w:rPr>
        <w:t xml:space="preserve"> وسنرى فيما يلي أن الراهن هو الذي يتحمل أيضاً نفقات قيد الرهن</w:t>
      </w:r>
      <w:r>
        <w:rPr>
          <w:rFonts w:cs="Traditional Arabic" w:hint="cs"/>
          <w:sz w:val="28"/>
          <w:szCs w:val="32"/>
          <w:rtl/>
        </w:rPr>
        <w:t xml:space="preserve"> ،</w:t>
      </w:r>
      <w:r w:rsidRPr="00EC737F">
        <w:rPr>
          <w:rFonts w:cs="Traditional Arabic" w:hint="cs"/>
          <w:sz w:val="28"/>
          <w:szCs w:val="32"/>
          <w:rtl/>
        </w:rPr>
        <w:t xml:space="preserve"> وتجديد هذا </w:t>
      </w:r>
      <w:r w:rsidRPr="00EC737F">
        <w:rPr>
          <w:rFonts w:cs="Traditional Arabic" w:hint="cs"/>
          <w:sz w:val="28"/>
          <w:szCs w:val="32"/>
          <w:rtl/>
        </w:rPr>
        <w:lastRenderedPageBreak/>
        <w:t>القيد</w:t>
      </w:r>
      <w:r>
        <w:rPr>
          <w:rFonts w:cs="Traditional Arabic" w:hint="cs"/>
          <w:sz w:val="28"/>
          <w:szCs w:val="32"/>
          <w:rtl/>
        </w:rPr>
        <w:t xml:space="preserve"> ،</w:t>
      </w:r>
      <w:r w:rsidRPr="00EC737F">
        <w:rPr>
          <w:rFonts w:cs="Traditional Arabic" w:hint="cs"/>
          <w:sz w:val="28"/>
          <w:szCs w:val="32"/>
          <w:rtl/>
        </w:rPr>
        <w:t xml:space="preserve"> ومحوه </w:t>
      </w:r>
      <w:r>
        <w:rPr>
          <w:rFonts w:cs="Traditional Arabic" w:hint="cs"/>
          <w:sz w:val="28"/>
          <w:szCs w:val="32"/>
          <w:rtl/>
        </w:rPr>
        <w:t xml:space="preserve">( </w:t>
      </w:r>
      <w:r w:rsidRPr="00EC737F">
        <w:rPr>
          <w:rFonts w:cs="Traditional Arabic" w:hint="cs"/>
          <w:sz w:val="28"/>
          <w:szCs w:val="32"/>
          <w:rtl/>
        </w:rPr>
        <w:t>م 1055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ومع ذلك يجوز الاتفاق على غير ما تقدم</w:t>
      </w:r>
      <w:r>
        <w:rPr>
          <w:rFonts w:cs="Traditional Arabic" w:hint="cs"/>
          <w:sz w:val="28"/>
          <w:szCs w:val="32"/>
          <w:rtl/>
        </w:rPr>
        <w:t xml:space="preserve"> ،</w:t>
      </w:r>
      <w:r w:rsidRPr="00EC737F">
        <w:rPr>
          <w:rFonts w:cs="Traditional Arabic" w:hint="cs"/>
          <w:sz w:val="28"/>
          <w:szCs w:val="32"/>
          <w:rtl/>
        </w:rPr>
        <w:t xml:space="preserve"> فيتفق الدائن المرتهن مع مالك العقار المرهون على أن تكون نفقات العقد مناصفة بينهما أو بنسب معينة</w:t>
      </w:r>
      <w:r>
        <w:rPr>
          <w:rFonts w:cs="Traditional Arabic" w:hint="cs"/>
          <w:sz w:val="28"/>
          <w:szCs w:val="32"/>
          <w:rtl/>
        </w:rPr>
        <w:t xml:space="preserve"> ،</w:t>
      </w:r>
      <w:r w:rsidRPr="00EC737F">
        <w:rPr>
          <w:rFonts w:cs="Traditional Arabic" w:hint="cs"/>
          <w:sz w:val="28"/>
          <w:szCs w:val="32"/>
          <w:rtl/>
        </w:rPr>
        <w:t xml:space="preserve"> أو أن يتحمل الدائن المرتهن وحده جميع نفقات العقد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كان مالك العقار المرهون هو غير المدين أي كفل عيني</w:t>
      </w:r>
      <w:r>
        <w:rPr>
          <w:rFonts w:cs="Traditional Arabic" w:hint="cs"/>
          <w:sz w:val="28"/>
          <w:szCs w:val="32"/>
          <w:rtl/>
        </w:rPr>
        <w:t xml:space="preserve"> ،</w:t>
      </w:r>
      <w:r w:rsidRPr="00EC737F">
        <w:rPr>
          <w:rFonts w:cs="Traditional Arabic" w:hint="cs"/>
          <w:sz w:val="28"/>
          <w:szCs w:val="32"/>
          <w:rtl/>
        </w:rPr>
        <w:t xml:space="preserve"> وهذا نادر</w:t>
      </w:r>
      <w:r>
        <w:rPr>
          <w:rFonts w:cs="Traditional Arabic" w:hint="cs"/>
          <w:sz w:val="28"/>
          <w:szCs w:val="32"/>
          <w:rtl/>
        </w:rPr>
        <w:t xml:space="preserve"> ،</w:t>
      </w:r>
      <w:r w:rsidRPr="00EC737F">
        <w:rPr>
          <w:rFonts w:cs="Traditional Arabic" w:hint="cs"/>
          <w:sz w:val="28"/>
          <w:szCs w:val="32"/>
          <w:rtl/>
        </w:rPr>
        <w:t xml:space="preserve"> فإن نفقات العقد تكون على هذا الكيل العيني لأنه مالك العقار المرهون</w:t>
      </w:r>
      <w:r>
        <w:rPr>
          <w:rFonts w:cs="Traditional Arabic" w:hint="cs"/>
          <w:sz w:val="28"/>
          <w:szCs w:val="32"/>
          <w:rtl/>
        </w:rPr>
        <w:t xml:space="preserve"> ،</w:t>
      </w:r>
      <w:r w:rsidRPr="00EC737F">
        <w:rPr>
          <w:rFonts w:cs="Traditional Arabic" w:hint="cs"/>
          <w:sz w:val="28"/>
          <w:szCs w:val="32"/>
          <w:rtl/>
        </w:rPr>
        <w:t xml:space="preserve"> إلا إذا اتفق على غير ذلك</w:t>
      </w:r>
      <w:r>
        <w:rPr>
          <w:rFonts w:cs="Traditional Arabic" w:hint="cs"/>
          <w:sz w:val="28"/>
          <w:szCs w:val="32"/>
          <w:rtl/>
        </w:rPr>
        <w:t xml:space="preserve"> .</w:t>
      </w:r>
      <w:r w:rsidRPr="00EC737F">
        <w:rPr>
          <w:rFonts w:cs="Traditional Arabic" w:hint="cs"/>
          <w:sz w:val="28"/>
          <w:szCs w:val="32"/>
          <w:rtl/>
        </w:rPr>
        <w:t xml:space="preserve"> ولكن ذلك كله إنما يكون في العلاقة فيما بين مالك العقار المرهون والدائن المرتهن</w:t>
      </w:r>
      <w:r>
        <w:rPr>
          <w:rFonts w:cs="Traditional Arabic" w:hint="cs"/>
          <w:sz w:val="28"/>
          <w:szCs w:val="32"/>
          <w:rtl/>
        </w:rPr>
        <w:t xml:space="preserve"> ،</w:t>
      </w:r>
      <w:r w:rsidRPr="00EC737F">
        <w:rPr>
          <w:rFonts w:cs="Traditional Arabic" w:hint="cs"/>
          <w:sz w:val="28"/>
          <w:szCs w:val="32"/>
          <w:rtl/>
        </w:rPr>
        <w:t xml:space="preserve"> ولا يمنع من رجوع مالك العقار المرهون بمصروفات العقد التي دفعها على المدين لأنه هو الذي استفاد من العقد فيلتزم بنفقته</w:t>
      </w:r>
      <w:r>
        <w:rPr>
          <w:rFonts w:cs="Traditional Arabic" w:hint="cs"/>
          <w:sz w:val="28"/>
          <w:szCs w:val="32"/>
          <w:vertAlign w:val="superscript"/>
          <w:rtl/>
        </w:rPr>
        <w:t xml:space="preserve">( </w:t>
      </w:r>
      <w:r w:rsidRPr="00EC737F">
        <w:rPr>
          <w:rStyle w:val="ab"/>
          <w:rFonts w:cs="Traditional Arabic"/>
          <w:sz w:val="28"/>
          <w:szCs w:val="32"/>
          <w:rtl/>
        </w:rPr>
        <w:footnoteReference w:id="63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129- التوكيل في الرهن الرسمي</w:t>
      </w:r>
      <w:r>
        <w:rPr>
          <w:rFonts w:cs="Traditional Arabic" w:hint="cs"/>
          <w:sz w:val="28"/>
          <w:szCs w:val="32"/>
          <w:rtl/>
        </w:rPr>
        <w:t xml:space="preserve"> :</w:t>
      </w:r>
      <w:r w:rsidRPr="00EC737F">
        <w:rPr>
          <w:rFonts w:cs="Traditional Arabic" w:hint="cs"/>
          <w:sz w:val="28"/>
          <w:szCs w:val="32"/>
          <w:rtl/>
        </w:rPr>
        <w:t xml:space="preserve"> تنص المادة 700 مدني على أنه يتوافر في الوكالة الشكل الواجب توافره في العمل القانوني الذي يكون محل الوكالة</w:t>
      </w:r>
      <w:r>
        <w:rPr>
          <w:rFonts w:cs="Traditional Arabic" w:hint="cs"/>
          <w:sz w:val="28"/>
          <w:szCs w:val="32"/>
          <w:rtl/>
        </w:rPr>
        <w:t xml:space="preserve"> ،</w:t>
      </w:r>
      <w:r w:rsidRPr="00EC737F">
        <w:rPr>
          <w:rFonts w:cs="Traditional Arabic" w:hint="cs"/>
          <w:sz w:val="28"/>
          <w:szCs w:val="32"/>
          <w:rtl/>
        </w:rPr>
        <w:t xml:space="preserve"> ما لم يوجد نص يقضي بغير ذلك"</w:t>
      </w:r>
      <w:r>
        <w:rPr>
          <w:rFonts w:cs="Traditional Arabic" w:hint="cs"/>
          <w:sz w:val="28"/>
          <w:szCs w:val="32"/>
          <w:rtl/>
        </w:rPr>
        <w:t xml:space="preserve"> .</w:t>
      </w:r>
      <w:r w:rsidRPr="00EC737F">
        <w:rPr>
          <w:rFonts w:cs="Traditional Arabic" w:hint="cs"/>
          <w:sz w:val="28"/>
          <w:szCs w:val="32"/>
          <w:rtl/>
        </w:rPr>
        <w:t xml:space="preserve"> فالتوكيل في عقد الرهن الرسمي إذن يجب أن يكون شكلياً كعقد الرهن الرسمي نفسه</w:t>
      </w:r>
      <w:r>
        <w:rPr>
          <w:rFonts w:cs="Traditional Arabic" w:hint="cs"/>
          <w:sz w:val="28"/>
          <w:szCs w:val="32"/>
          <w:rtl/>
        </w:rPr>
        <w:t xml:space="preserve"> ،</w:t>
      </w:r>
      <w:r w:rsidRPr="00EC737F">
        <w:rPr>
          <w:rFonts w:cs="Traditional Arabic" w:hint="cs"/>
          <w:sz w:val="28"/>
          <w:szCs w:val="32"/>
          <w:rtl/>
        </w:rPr>
        <w:t xml:space="preserve"> أي أن يكون في ورقة رسمية</w:t>
      </w:r>
      <w:r>
        <w:rPr>
          <w:rFonts w:cs="Traditional Arabic" w:hint="cs"/>
          <w:sz w:val="28"/>
          <w:szCs w:val="32"/>
          <w:rtl/>
        </w:rPr>
        <w:t xml:space="preserve"> .</w:t>
      </w:r>
      <w:r w:rsidRPr="00EC737F">
        <w:rPr>
          <w:rFonts w:cs="Traditional Arabic" w:hint="cs"/>
          <w:sz w:val="28"/>
          <w:szCs w:val="32"/>
          <w:rtl/>
        </w:rPr>
        <w:t xml:space="preserve"> ذلك أن الأصل إنما يعبر عن إرادته في عقد الوكالة نفسه</w:t>
      </w:r>
      <w:r>
        <w:rPr>
          <w:rFonts w:cs="Traditional Arabic" w:hint="cs"/>
          <w:sz w:val="28"/>
          <w:szCs w:val="32"/>
          <w:rtl/>
        </w:rPr>
        <w:t xml:space="preserve"> ،</w:t>
      </w:r>
      <w:r w:rsidRPr="00EC737F">
        <w:rPr>
          <w:rFonts w:cs="Traditional Arabic" w:hint="cs"/>
          <w:sz w:val="28"/>
          <w:szCs w:val="32"/>
          <w:rtl/>
        </w:rPr>
        <w:t xml:space="preserve"> فيجب $287 أن يكون هذا التعبير في الشكل الذي قرره القانون لعقد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63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ولما كان الاتجاه المتغلب في فرنسا</w:t>
      </w:r>
      <w:r>
        <w:rPr>
          <w:rFonts w:cs="Traditional Arabic" w:hint="cs"/>
          <w:sz w:val="28"/>
          <w:szCs w:val="32"/>
          <w:rtl/>
        </w:rPr>
        <w:t xml:space="preserve"> ،</w:t>
      </w:r>
      <w:r w:rsidRPr="00EC737F">
        <w:rPr>
          <w:rFonts w:cs="Traditional Arabic" w:hint="cs"/>
          <w:sz w:val="28"/>
          <w:szCs w:val="32"/>
          <w:rtl/>
        </w:rPr>
        <w:t xml:space="preserve"> يؤيده جانب كبير من الفقه المصري</w:t>
      </w:r>
      <w:r>
        <w:rPr>
          <w:rFonts w:cs="Traditional Arabic" w:hint="cs"/>
          <w:sz w:val="28"/>
          <w:szCs w:val="32"/>
          <w:vertAlign w:val="superscript"/>
          <w:rtl/>
        </w:rPr>
        <w:t xml:space="preserve">( </w:t>
      </w:r>
      <w:r w:rsidRPr="00EC737F">
        <w:rPr>
          <w:rStyle w:val="ab"/>
          <w:rFonts w:cs="Traditional Arabic"/>
          <w:sz w:val="28"/>
          <w:szCs w:val="32"/>
          <w:rtl/>
        </w:rPr>
        <w:footnoteReference w:id="63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يذهب إلى أن الرسمية في الرهن الرسمي لا تكون إلا من جانب الراهن وحده</w:t>
      </w:r>
      <w:r>
        <w:rPr>
          <w:rFonts w:cs="Traditional Arabic" w:hint="cs"/>
          <w:sz w:val="28"/>
          <w:szCs w:val="32"/>
          <w:rtl/>
        </w:rPr>
        <w:t xml:space="preserve"> ،</w:t>
      </w:r>
      <w:r w:rsidRPr="00EC737F">
        <w:rPr>
          <w:rFonts w:cs="Traditional Arabic" w:hint="cs"/>
          <w:sz w:val="28"/>
          <w:szCs w:val="32"/>
          <w:rtl/>
        </w:rPr>
        <w:t xml:space="preserve"> أما الدائن المرتهن فيصح أن يكون رضاؤه عرفياً بل ضمنياً</w:t>
      </w:r>
      <w:r>
        <w:rPr>
          <w:rFonts w:cs="Traditional Arabic" w:hint="cs"/>
          <w:sz w:val="28"/>
          <w:szCs w:val="32"/>
          <w:rtl/>
        </w:rPr>
        <w:t xml:space="preserve"> ،</w:t>
      </w:r>
      <w:r w:rsidRPr="00EC737F">
        <w:rPr>
          <w:rFonts w:cs="Traditional Arabic" w:hint="cs"/>
          <w:sz w:val="28"/>
          <w:szCs w:val="32"/>
          <w:rtl/>
        </w:rPr>
        <w:t xml:space="preserve"> فإن هذا الاتجاه نراه أيضاً في التوكيل بالرهن الرسمي</w:t>
      </w:r>
      <w:r>
        <w:rPr>
          <w:rFonts w:cs="Traditional Arabic" w:hint="cs"/>
          <w:sz w:val="28"/>
          <w:szCs w:val="32"/>
          <w:rtl/>
        </w:rPr>
        <w:t xml:space="preserve"> .</w:t>
      </w:r>
      <w:r w:rsidRPr="00EC737F">
        <w:rPr>
          <w:rFonts w:cs="Traditional Arabic" w:hint="cs"/>
          <w:sz w:val="28"/>
          <w:szCs w:val="32"/>
          <w:rtl/>
        </w:rPr>
        <w:t xml:space="preserve"> لذلك يرجع الاتجاه إلى أن التوكيل بالرهن الرسمي إنما تجب فيه الرسمية إذا كان الموكل هو مالك العقار المرهون</w:t>
      </w:r>
      <w:r>
        <w:rPr>
          <w:rFonts w:cs="Traditional Arabic" w:hint="cs"/>
          <w:sz w:val="28"/>
          <w:szCs w:val="32"/>
          <w:rtl/>
        </w:rPr>
        <w:t xml:space="preserve"> ،</w:t>
      </w:r>
      <w:r w:rsidRPr="00EC737F">
        <w:rPr>
          <w:rFonts w:cs="Traditional Arabic" w:hint="cs"/>
          <w:sz w:val="28"/>
          <w:szCs w:val="32"/>
          <w:rtl/>
        </w:rPr>
        <w:t xml:space="preserve"> أما إذا كان الموكل هو الدائن </w:t>
      </w:r>
      <w:r w:rsidRPr="00EC737F">
        <w:rPr>
          <w:rFonts w:cs="Traditional Arabic" w:hint="cs"/>
          <w:sz w:val="28"/>
          <w:szCs w:val="32"/>
          <w:rtl/>
        </w:rPr>
        <w:lastRenderedPageBreak/>
        <w:t>المرتهن فلا تشترط الرسمية في التوكيل</w:t>
      </w:r>
      <w:r>
        <w:rPr>
          <w:rFonts w:cs="Traditional Arabic" w:hint="cs"/>
          <w:sz w:val="28"/>
          <w:szCs w:val="32"/>
          <w:rtl/>
        </w:rPr>
        <w:t xml:space="preserve"> .</w:t>
      </w:r>
      <w:r w:rsidRPr="00EC737F">
        <w:rPr>
          <w:rFonts w:cs="Traditional Arabic" w:hint="cs"/>
          <w:sz w:val="28"/>
          <w:szCs w:val="32"/>
          <w:rtl/>
        </w:rPr>
        <w:t xml:space="preserve"> ولكن هناك رأياً نؤيده يقضي بأن الرسمية ضرورية في عقد الرهن الرسمي سواء من جانب الراهن أو من جانب الدائن المرتهن</w:t>
      </w:r>
      <w:r>
        <w:rPr>
          <w:rFonts w:cs="Traditional Arabic" w:hint="cs"/>
          <w:sz w:val="28"/>
          <w:szCs w:val="32"/>
          <w:rtl/>
        </w:rPr>
        <w:t xml:space="preserve"> ،</w:t>
      </w:r>
      <w:r w:rsidRPr="00EC737F">
        <w:rPr>
          <w:rFonts w:cs="Traditional Arabic" w:hint="cs"/>
          <w:sz w:val="28"/>
          <w:szCs w:val="32"/>
          <w:rtl/>
        </w:rPr>
        <w:t xml:space="preserve"> ولذلك يجب أن يكون التوكيل بالرهن الرسمي رسمياً حتى لو كان الموكل هو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64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ولما كان الرهن الرسمي من أعمال التصرف لا من أعمال الإدارة</w:t>
      </w:r>
      <w:r>
        <w:rPr>
          <w:rFonts w:cs="Traditional Arabic" w:hint="cs"/>
          <w:sz w:val="28"/>
          <w:szCs w:val="32"/>
          <w:rtl/>
        </w:rPr>
        <w:t xml:space="preserve"> ،</w:t>
      </w:r>
      <w:r w:rsidRPr="00EC737F">
        <w:rPr>
          <w:rFonts w:cs="Traditional Arabic" w:hint="cs"/>
          <w:sz w:val="28"/>
          <w:szCs w:val="32"/>
          <w:rtl/>
        </w:rPr>
        <w:t xml:space="preserve"> لذلك لا تكفي الوكالة العامة فيه</w:t>
      </w:r>
      <w:r>
        <w:rPr>
          <w:rFonts w:cs="Traditional Arabic" w:hint="cs"/>
          <w:sz w:val="28"/>
          <w:szCs w:val="32"/>
          <w:rtl/>
        </w:rPr>
        <w:t xml:space="preserve"> ،</w:t>
      </w:r>
      <w:r w:rsidRPr="00EC737F">
        <w:rPr>
          <w:rFonts w:cs="Traditional Arabic" w:hint="cs"/>
          <w:sz w:val="28"/>
          <w:szCs w:val="32"/>
          <w:rtl/>
        </w:rPr>
        <w:t xml:space="preserve"> ويجب أن تكون الوكالة خاصة</w:t>
      </w:r>
      <w:r>
        <w:rPr>
          <w:rFonts w:cs="Traditional Arabic" w:hint="cs"/>
          <w:sz w:val="28"/>
          <w:szCs w:val="32"/>
          <w:rtl/>
        </w:rPr>
        <w:t xml:space="preserve"> .</w:t>
      </w:r>
      <w:r w:rsidRPr="00EC737F">
        <w:rPr>
          <w:rFonts w:cs="Traditional Arabic" w:hint="cs"/>
          <w:sz w:val="28"/>
          <w:szCs w:val="32"/>
          <w:rtl/>
        </w:rPr>
        <w:t xml:space="preserve"> وقد نصت المادة 702/1 و 2 مدني على أنه "1- لا بد م وكالة خاصة في كل عمل ليس من أعمال الإدارة</w:t>
      </w:r>
      <w:r>
        <w:rPr>
          <w:rFonts w:cs="Traditional Arabic" w:hint="cs"/>
          <w:sz w:val="28"/>
          <w:szCs w:val="32"/>
          <w:rtl/>
        </w:rPr>
        <w:t xml:space="preserve"> ،</w:t>
      </w:r>
      <w:r w:rsidRPr="00EC737F">
        <w:rPr>
          <w:rFonts w:cs="Traditional Arabic" w:hint="cs"/>
          <w:sz w:val="28"/>
          <w:szCs w:val="32"/>
          <w:rtl/>
        </w:rPr>
        <w:t xml:space="preserve"> وبوجه خاص في البيع والرهن والصلح والإقرار والتحكيم وتوجيه اليمين والمرافعة أمام القضاء</w:t>
      </w:r>
      <w:r>
        <w:rPr>
          <w:rFonts w:cs="Traditional Arabic" w:hint="cs"/>
          <w:sz w:val="28"/>
          <w:szCs w:val="32"/>
          <w:rtl/>
        </w:rPr>
        <w:t xml:space="preserve"> ،</w:t>
      </w:r>
      <w:r w:rsidRPr="00EC737F">
        <w:rPr>
          <w:rFonts w:cs="Traditional Arabic" w:hint="cs"/>
          <w:sz w:val="28"/>
          <w:szCs w:val="32"/>
          <w:rtl/>
        </w:rPr>
        <w:t xml:space="preserve"> 2- والوكالة الخاصة في نوع معين من نوع الأعمال القانونية تصح ولو لم يعين كل هذا العمل على وجه التخصيص</w:t>
      </w:r>
      <w:r>
        <w:rPr>
          <w:rFonts w:cs="Traditional Arabic" w:hint="cs"/>
          <w:sz w:val="28"/>
          <w:szCs w:val="32"/>
          <w:rtl/>
        </w:rPr>
        <w:t xml:space="preserve"> ،</w:t>
      </w:r>
      <w:r w:rsidRPr="00EC737F">
        <w:rPr>
          <w:rFonts w:cs="Traditional Arabic" w:hint="cs"/>
          <w:sz w:val="28"/>
          <w:szCs w:val="32"/>
          <w:rtl/>
        </w:rPr>
        <w:t xml:space="preserve"> إلا إذا كان العمل من التبرعات"</w:t>
      </w:r>
      <w:r>
        <w:rPr>
          <w:rFonts w:cs="Traditional Arabic" w:hint="cs"/>
          <w:sz w:val="28"/>
          <w:szCs w:val="32"/>
          <w:rtl/>
        </w:rPr>
        <w:t xml:space="preserve"> .</w:t>
      </w:r>
      <w:r w:rsidRPr="00EC737F">
        <w:rPr>
          <w:rFonts w:cs="Traditional Arabic" w:hint="cs"/>
          <w:sz w:val="28"/>
          <w:szCs w:val="32"/>
          <w:rtl/>
        </w:rPr>
        <w:t xml:space="preserve"> ولما كان الرهن الرسمي ليس من أعمال التبرعات بل هو من أعمال التصرف</w:t>
      </w:r>
      <w:r>
        <w:rPr>
          <w:rFonts w:cs="Traditional Arabic" w:hint="cs"/>
          <w:sz w:val="28"/>
          <w:szCs w:val="32"/>
          <w:rtl/>
        </w:rPr>
        <w:t xml:space="preserve"> ،</w:t>
      </w:r>
      <w:r w:rsidRPr="00EC737F">
        <w:rPr>
          <w:rFonts w:cs="Traditional Arabic" w:hint="cs"/>
          <w:sz w:val="28"/>
          <w:szCs w:val="32"/>
          <w:rtl/>
        </w:rPr>
        <w:t xml:space="preserve"> لذلك ليس من الضروري في التوكيل به أن يعين العقار الذي يكون محلا للرهن</w:t>
      </w:r>
      <w:r>
        <w:rPr>
          <w:rFonts w:cs="Traditional Arabic" w:hint="cs"/>
          <w:sz w:val="28"/>
          <w:szCs w:val="32"/>
          <w:rtl/>
        </w:rPr>
        <w:t xml:space="preserve"> ،</w:t>
      </w:r>
      <w:r w:rsidRPr="00EC737F">
        <w:rPr>
          <w:rFonts w:cs="Traditional Arabic" w:hint="cs"/>
          <w:sz w:val="28"/>
          <w:szCs w:val="32"/>
          <w:rtl/>
        </w:rPr>
        <w:t xml:space="preserve"> بل يكنى التوكيل في الرهن</w:t>
      </w:r>
      <w:r>
        <w:rPr>
          <w:rFonts w:cs="Traditional Arabic" w:hint="cs"/>
          <w:sz w:val="28"/>
          <w:szCs w:val="32"/>
          <w:rtl/>
        </w:rPr>
        <w:t xml:space="preserve"> .</w:t>
      </w:r>
      <w:r w:rsidRPr="00EC737F">
        <w:rPr>
          <w:rFonts w:cs="Traditional Arabic" w:hint="cs"/>
          <w:sz w:val="28"/>
          <w:szCs w:val="32"/>
          <w:rtl/>
        </w:rPr>
        <w:t xml:space="preserve"> وعند ذلك يجوز للوكيل أن يرهن أي عقار مملوك للموكل رهنا رسمياً</w:t>
      </w:r>
      <w:r>
        <w:rPr>
          <w:rFonts w:cs="Traditional Arabic" w:hint="cs"/>
          <w:sz w:val="28"/>
          <w:szCs w:val="32"/>
          <w:rtl/>
        </w:rPr>
        <w:t xml:space="preserve"> ،</w:t>
      </w:r>
      <w:r w:rsidRPr="00EC737F">
        <w:rPr>
          <w:rFonts w:cs="Traditional Arabic" w:hint="cs"/>
          <w:sz w:val="28"/>
          <w:szCs w:val="32"/>
          <w:rtl/>
        </w:rPr>
        <w:t xml:space="preserve"> ويدخل ذلك في دائرة توكيله</w:t>
      </w:r>
      <w:r>
        <w:rPr>
          <w:rFonts w:cs="Traditional Arabic" w:hint="cs"/>
          <w:sz w:val="28"/>
          <w:szCs w:val="32"/>
          <w:rtl/>
        </w:rPr>
        <w:t xml:space="preserve"> .</w:t>
      </w:r>
      <w:r w:rsidRPr="00EC737F">
        <w:rPr>
          <w:rFonts w:cs="Traditional Arabic" w:hint="cs"/>
          <w:sz w:val="28"/>
          <w:szCs w:val="32"/>
          <w:rtl/>
        </w:rPr>
        <w:t xml:space="preserve"> وهذا كله على فرض أن الموكل $288 هو نفس المدين</w:t>
      </w:r>
      <w:r>
        <w:rPr>
          <w:rFonts w:cs="Traditional Arabic" w:hint="cs"/>
          <w:sz w:val="28"/>
          <w:szCs w:val="32"/>
          <w:rtl/>
        </w:rPr>
        <w:t xml:space="preserve"> ،</w:t>
      </w:r>
      <w:r w:rsidRPr="00EC737F">
        <w:rPr>
          <w:rFonts w:cs="Traditional Arabic" w:hint="cs"/>
          <w:sz w:val="28"/>
          <w:szCs w:val="32"/>
          <w:rtl/>
        </w:rPr>
        <w:t xml:space="preserve"> أما إذا كان الموكل ليس المدين بل هو كفيل عيني</w:t>
      </w:r>
      <w:r>
        <w:rPr>
          <w:rFonts w:cs="Traditional Arabic" w:hint="cs"/>
          <w:sz w:val="28"/>
          <w:szCs w:val="32"/>
          <w:rtl/>
        </w:rPr>
        <w:t xml:space="preserve"> ،</w:t>
      </w:r>
      <w:r w:rsidRPr="00EC737F">
        <w:rPr>
          <w:rFonts w:cs="Traditional Arabic" w:hint="cs"/>
          <w:sz w:val="28"/>
          <w:szCs w:val="32"/>
          <w:rtl/>
        </w:rPr>
        <w:t xml:space="preserve"> فالغالب أن يكون متبرعاً</w:t>
      </w:r>
      <w:r>
        <w:rPr>
          <w:rFonts w:cs="Traditional Arabic" w:hint="cs"/>
          <w:sz w:val="28"/>
          <w:szCs w:val="32"/>
          <w:rtl/>
        </w:rPr>
        <w:t xml:space="preserve"> ،</w:t>
      </w:r>
      <w:r w:rsidRPr="00EC737F">
        <w:rPr>
          <w:rFonts w:cs="Traditional Arabic" w:hint="cs"/>
          <w:sz w:val="28"/>
          <w:szCs w:val="32"/>
          <w:rtl/>
        </w:rPr>
        <w:t xml:space="preserve"> ومن ثم إذا ثبت عنده نية التبرع فإنه يجب عليه أن يحدد في توكيله بالرهن العقار بالذات الذي يخول الوكيل أن يرهنه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130- الوعد بالرهن الرسمي</w:t>
      </w:r>
      <w:r>
        <w:rPr>
          <w:rFonts w:cs="Traditional Arabic" w:hint="cs"/>
          <w:sz w:val="28"/>
          <w:szCs w:val="32"/>
          <w:rtl/>
        </w:rPr>
        <w:t xml:space="preserve"> :</w:t>
      </w:r>
      <w:r w:rsidRPr="00EC737F">
        <w:rPr>
          <w:rFonts w:cs="Traditional Arabic" w:hint="cs"/>
          <w:sz w:val="28"/>
          <w:szCs w:val="32"/>
          <w:rtl/>
        </w:rPr>
        <w:t xml:space="preserve"> نصت المادة 101/2 مدني على أنه "إذا اشترط القانون لتمام العقد استيفاء شكل معين</w:t>
      </w:r>
      <w:r>
        <w:rPr>
          <w:rFonts w:cs="Traditional Arabic" w:hint="cs"/>
          <w:sz w:val="28"/>
          <w:szCs w:val="32"/>
          <w:rtl/>
        </w:rPr>
        <w:t xml:space="preserve"> ،</w:t>
      </w:r>
      <w:r w:rsidRPr="00EC737F">
        <w:rPr>
          <w:rFonts w:cs="Traditional Arabic" w:hint="cs"/>
          <w:sz w:val="28"/>
          <w:szCs w:val="32"/>
          <w:rtl/>
        </w:rPr>
        <w:t xml:space="preserve"> فهذا الشكل تجب مراعاته أيضاً في الاتفاق الذي يتضمن الوعد بإبرام هذا العقد"</w:t>
      </w:r>
      <w:r>
        <w:rPr>
          <w:rFonts w:cs="Traditional Arabic" w:hint="cs"/>
          <w:sz w:val="28"/>
          <w:szCs w:val="32"/>
          <w:rtl/>
        </w:rPr>
        <w:t xml:space="preserve"> .</w:t>
      </w:r>
      <w:r w:rsidRPr="00EC737F">
        <w:rPr>
          <w:rFonts w:cs="Traditional Arabic" w:hint="cs"/>
          <w:sz w:val="28"/>
          <w:szCs w:val="32"/>
          <w:rtl/>
        </w:rPr>
        <w:t xml:space="preserve"> ويخلص من هذا النص أنه لما كان عقد الرهن الرسمي لا بد من كتابته في ورقة رسمية</w:t>
      </w:r>
      <w:r>
        <w:rPr>
          <w:rFonts w:cs="Traditional Arabic" w:hint="cs"/>
          <w:sz w:val="28"/>
          <w:szCs w:val="32"/>
          <w:rtl/>
        </w:rPr>
        <w:t xml:space="preserve"> ،</w:t>
      </w:r>
      <w:r w:rsidRPr="00EC737F">
        <w:rPr>
          <w:rFonts w:cs="Traditional Arabic" w:hint="cs"/>
          <w:sz w:val="28"/>
          <w:szCs w:val="32"/>
          <w:rtl/>
        </w:rPr>
        <w:t xml:space="preserve"> فكذلك الوعد بالرهن الرسمي تجب أيضاً كتابته في ورقة رسمية وإلا كان باطلا</w:t>
      </w:r>
      <w:r>
        <w:rPr>
          <w:rFonts w:cs="Traditional Arabic" w:hint="cs"/>
          <w:sz w:val="28"/>
          <w:szCs w:val="32"/>
          <w:rtl/>
        </w:rPr>
        <w:t xml:space="preserve"> .</w:t>
      </w:r>
      <w:r w:rsidRPr="00EC737F">
        <w:rPr>
          <w:rFonts w:cs="Traditional Arabic" w:hint="cs"/>
          <w:sz w:val="28"/>
          <w:szCs w:val="32"/>
          <w:rtl/>
        </w:rPr>
        <w:t xml:space="preserve"> يوجه هذا النظر أن إغفال الشكل في الوعد يعين على الإفلات من هذا القيد</w:t>
      </w:r>
      <w:r>
        <w:rPr>
          <w:rFonts w:cs="Traditional Arabic" w:hint="cs"/>
          <w:sz w:val="28"/>
          <w:szCs w:val="32"/>
          <w:rtl/>
        </w:rPr>
        <w:t xml:space="preserve"> ،</w:t>
      </w:r>
      <w:r w:rsidRPr="00EC737F">
        <w:rPr>
          <w:rFonts w:cs="Traditional Arabic" w:hint="cs"/>
          <w:sz w:val="28"/>
          <w:szCs w:val="32"/>
          <w:rtl/>
        </w:rPr>
        <w:t xml:space="preserve"> "ما دام أن الوعد قد يؤدي إلى إتمام التعاقد المراد عقده فيما إذا حكم القضاء بذلك</w:t>
      </w:r>
      <w:r>
        <w:rPr>
          <w:rFonts w:cs="Traditional Arabic" w:hint="cs"/>
          <w:sz w:val="28"/>
          <w:szCs w:val="32"/>
          <w:rtl/>
        </w:rPr>
        <w:t xml:space="preserve"> .</w:t>
      </w:r>
      <w:r w:rsidRPr="00EC737F">
        <w:rPr>
          <w:rFonts w:cs="Traditional Arabic" w:hint="cs"/>
          <w:sz w:val="28"/>
          <w:szCs w:val="32"/>
          <w:rtl/>
        </w:rPr>
        <w:t xml:space="preserve"> ويكفي لبلوغ هذه الغاية أن يعدل المتعاقدان عن إبرام العقد الذي يرغبان في الإفلات من القيود الخاصة بشكله</w:t>
      </w:r>
      <w:r>
        <w:rPr>
          <w:rFonts w:cs="Traditional Arabic" w:hint="cs"/>
          <w:sz w:val="28"/>
          <w:szCs w:val="32"/>
          <w:rtl/>
        </w:rPr>
        <w:t xml:space="preserve"> ،</w:t>
      </w:r>
      <w:r w:rsidRPr="00EC737F">
        <w:rPr>
          <w:rFonts w:cs="Traditional Arabic" w:hint="cs"/>
          <w:sz w:val="28"/>
          <w:szCs w:val="32"/>
          <w:rtl/>
        </w:rPr>
        <w:t xml:space="preserve"> ويعمدا إلى عقد اتفاق تمهيدي أو وعد بإبرام هذا العقد لا يستوفي فيه الشكل المطلوب</w:t>
      </w:r>
      <w:r>
        <w:rPr>
          <w:rFonts w:cs="Traditional Arabic" w:hint="cs"/>
          <w:sz w:val="28"/>
          <w:szCs w:val="32"/>
          <w:rtl/>
        </w:rPr>
        <w:t xml:space="preserve"> ،</w:t>
      </w:r>
      <w:r w:rsidRPr="00EC737F">
        <w:rPr>
          <w:rFonts w:cs="Traditional Arabic" w:hint="cs"/>
          <w:sz w:val="28"/>
          <w:szCs w:val="32"/>
          <w:rtl/>
        </w:rPr>
        <w:t xml:space="preserve"> ثم يستصدرا حكماً يقرر إتمام التعاقد بينهما</w:t>
      </w:r>
      <w:r>
        <w:rPr>
          <w:rFonts w:cs="Traditional Arabic" w:hint="cs"/>
          <w:sz w:val="28"/>
          <w:szCs w:val="32"/>
          <w:rtl/>
        </w:rPr>
        <w:t xml:space="preserve"> ،</w:t>
      </w:r>
      <w:r w:rsidRPr="00EC737F">
        <w:rPr>
          <w:rFonts w:cs="Traditional Arabic" w:hint="cs"/>
          <w:sz w:val="28"/>
          <w:szCs w:val="32"/>
          <w:rtl/>
        </w:rPr>
        <w:t xml:space="preserve"> وبذلك يتاح لهما أن يصلا بطريق </w:t>
      </w:r>
      <w:r w:rsidRPr="00EC737F">
        <w:rPr>
          <w:rFonts w:cs="Traditional Arabic" w:hint="cs"/>
          <w:sz w:val="28"/>
          <w:szCs w:val="32"/>
          <w:rtl/>
        </w:rPr>
        <w:lastRenderedPageBreak/>
        <w:t>غير مباشر إلى عدم مراعاة القيود المتقدم ذكرها"</w:t>
      </w:r>
      <w:r>
        <w:rPr>
          <w:rFonts w:cs="Traditional Arabic" w:hint="cs"/>
          <w:sz w:val="28"/>
          <w:szCs w:val="32"/>
          <w:vertAlign w:val="superscript"/>
          <w:rtl/>
        </w:rPr>
        <w:t xml:space="preserve">( </w:t>
      </w:r>
      <w:r w:rsidRPr="00EC737F">
        <w:rPr>
          <w:rStyle w:val="ab"/>
          <w:rFonts w:cs="Traditional Arabic"/>
          <w:sz w:val="28"/>
          <w:szCs w:val="32"/>
          <w:rtl/>
        </w:rPr>
        <w:footnoteReference w:id="64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فالوعد بإنشاء رهن رسمي لا ينعقد إذن إلا إذا أفرغ هو نفسه في الشكل الرسمي</w:t>
      </w:r>
      <w:r>
        <w:rPr>
          <w:rFonts w:cs="Traditional Arabic" w:hint="cs"/>
          <w:sz w:val="28"/>
          <w:szCs w:val="32"/>
          <w:rtl/>
        </w:rPr>
        <w:t xml:space="preserve"> ،</w:t>
      </w:r>
      <w:r w:rsidRPr="00EC737F">
        <w:rPr>
          <w:rFonts w:cs="Traditional Arabic" w:hint="cs"/>
          <w:sz w:val="28"/>
          <w:szCs w:val="32"/>
          <w:rtl/>
        </w:rPr>
        <w:t xml:space="preserve"> شأنه في ذلك بشأن عقد الرهن ذاته</w:t>
      </w:r>
      <w:r>
        <w:rPr>
          <w:rFonts w:cs="Traditional Arabic" w:hint="cs"/>
          <w:sz w:val="28"/>
          <w:szCs w:val="32"/>
          <w:rtl/>
        </w:rPr>
        <w:t xml:space="preserve"> .</w:t>
      </w:r>
      <w:r w:rsidRPr="00EC737F">
        <w:rPr>
          <w:rFonts w:cs="Traditional Arabic" w:hint="cs"/>
          <w:sz w:val="28"/>
          <w:szCs w:val="32"/>
          <w:rtl/>
        </w:rPr>
        <w:t xml:space="preserve"> فإذا تم الوعد في الشكل الرسمي</w:t>
      </w:r>
      <w:r>
        <w:rPr>
          <w:rFonts w:cs="Traditional Arabic" w:hint="cs"/>
          <w:sz w:val="28"/>
          <w:szCs w:val="32"/>
          <w:rtl/>
        </w:rPr>
        <w:t xml:space="preserve"> ،</w:t>
      </w:r>
      <w:r w:rsidRPr="00EC737F">
        <w:rPr>
          <w:rFonts w:cs="Traditional Arabic" w:hint="cs"/>
          <w:sz w:val="28"/>
          <w:szCs w:val="32"/>
          <w:rtl/>
        </w:rPr>
        <w:t xml:space="preserve"> وتوافرت فيه جميع الشروط الواجب توافرها من تعيين المسائل الجوهرية للعقد المراد إبرامه والمدة التي يجب إبرامه فيها </w:t>
      </w:r>
      <w:r>
        <w:rPr>
          <w:rFonts w:cs="Traditional Arabic" w:hint="cs"/>
          <w:sz w:val="28"/>
          <w:szCs w:val="32"/>
          <w:rtl/>
        </w:rPr>
        <w:t xml:space="preserve">( </w:t>
      </w:r>
      <w:r w:rsidRPr="00EC737F">
        <w:rPr>
          <w:rFonts w:cs="Traditional Arabic" w:hint="cs"/>
          <w:sz w:val="28"/>
          <w:szCs w:val="32"/>
          <w:rtl/>
        </w:rPr>
        <w:t>م 101 مدني</w:t>
      </w:r>
      <w:r>
        <w:rPr>
          <w:rFonts w:cs="Traditional Arabic" w:hint="cs"/>
          <w:sz w:val="28"/>
          <w:szCs w:val="32"/>
          <w:rtl/>
        </w:rPr>
        <w:t xml:space="preserve"> ) ،</w:t>
      </w:r>
      <w:r w:rsidRPr="00EC737F">
        <w:rPr>
          <w:rFonts w:cs="Traditional Arabic" w:hint="cs"/>
          <w:sz w:val="28"/>
          <w:szCs w:val="32"/>
          <w:rtl/>
        </w:rPr>
        <w:t xml:space="preserve"> نشأ في ذمة الوعد التزام بإتمام عقد الرهن الرسمي</w:t>
      </w:r>
      <w:r>
        <w:rPr>
          <w:rFonts w:cs="Traditional Arabic" w:hint="cs"/>
          <w:sz w:val="28"/>
          <w:szCs w:val="32"/>
          <w:rtl/>
        </w:rPr>
        <w:t xml:space="preserve"> .</w:t>
      </w:r>
      <w:r w:rsidRPr="00EC737F">
        <w:rPr>
          <w:rFonts w:cs="Traditional Arabic" w:hint="cs"/>
          <w:sz w:val="28"/>
          <w:szCs w:val="32"/>
          <w:rtl/>
        </w:rPr>
        <w:t xml:space="preserve"> فإذا لم يفعل</w:t>
      </w:r>
      <w:r>
        <w:rPr>
          <w:rFonts w:cs="Traditional Arabic" w:hint="cs"/>
          <w:sz w:val="28"/>
          <w:szCs w:val="32"/>
          <w:rtl/>
        </w:rPr>
        <w:t xml:space="preserve"> ،</w:t>
      </w:r>
      <w:r w:rsidRPr="00EC737F">
        <w:rPr>
          <w:rFonts w:cs="Traditional Arabic" w:hint="cs"/>
          <w:sz w:val="28"/>
          <w:szCs w:val="32"/>
          <w:rtl/>
        </w:rPr>
        <w:t xml:space="preserve"> أمكن الموعد له الحصول على حكم</w:t>
      </w:r>
      <w:r>
        <w:rPr>
          <w:rFonts w:cs="Traditional Arabic" w:hint="cs"/>
          <w:sz w:val="28"/>
          <w:szCs w:val="32"/>
          <w:rtl/>
        </w:rPr>
        <w:t xml:space="preserve"> ،</w:t>
      </w:r>
      <w:r w:rsidRPr="00EC737F">
        <w:rPr>
          <w:rFonts w:cs="Traditional Arabic" w:hint="cs"/>
          <w:sz w:val="28"/>
          <w:szCs w:val="32"/>
          <w:rtl/>
        </w:rPr>
        <w:t xml:space="preserve"> ويقوم هذا الحكم متى حاز قوة الشيء المقضي مقام العقد </w:t>
      </w:r>
      <w:r>
        <w:rPr>
          <w:rFonts w:cs="Traditional Arabic" w:hint="cs"/>
          <w:sz w:val="28"/>
          <w:szCs w:val="32"/>
          <w:rtl/>
        </w:rPr>
        <w:t xml:space="preserve">( </w:t>
      </w:r>
      <w:r w:rsidRPr="00EC737F">
        <w:rPr>
          <w:rFonts w:cs="Traditional Arabic" w:hint="cs"/>
          <w:sz w:val="28"/>
          <w:szCs w:val="32"/>
          <w:rtl/>
        </w:rPr>
        <w:t>م 102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$289 أما إذا لم يستوف الشكل في الوعد بإنشاء رهن رسمي</w:t>
      </w:r>
      <w:r>
        <w:rPr>
          <w:rFonts w:cs="Traditional Arabic" w:hint="cs"/>
          <w:sz w:val="28"/>
          <w:szCs w:val="32"/>
          <w:rtl/>
        </w:rPr>
        <w:t xml:space="preserve"> ،</w:t>
      </w:r>
      <w:r w:rsidRPr="00EC737F">
        <w:rPr>
          <w:rFonts w:cs="Traditional Arabic" w:hint="cs"/>
          <w:sz w:val="28"/>
          <w:szCs w:val="32"/>
          <w:rtl/>
        </w:rPr>
        <w:t xml:space="preserve"> وتم هذا الوعد في ورقة عرفية</w:t>
      </w:r>
      <w:r>
        <w:rPr>
          <w:rFonts w:cs="Traditional Arabic" w:hint="cs"/>
          <w:sz w:val="28"/>
          <w:szCs w:val="32"/>
          <w:rtl/>
        </w:rPr>
        <w:t xml:space="preserve"> ،</w:t>
      </w:r>
      <w:r w:rsidRPr="00EC737F">
        <w:rPr>
          <w:rFonts w:cs="Traditional Arabic" w:hint="cs"/>
          <w:sz w:val="28"/>
          <w:szCs w:val="32"/>
          <w:rtl/>
        </w:rPr>
        <w:t xml:space="preserve"> مثلا</w:t>
      </w:r>
      <w:r>
        <w:rPr>
          <w:rFonts w:cs="Traditional Arabic" w:hint="cs"/>
          <w:sz w:val="28"/>
          <w:szCs w:val="32"/>
          <w:rtl/>
        </w:rPr>
        <w:t xml:space="preserve"> ،</w:t>
      </w:r>
      <w:r w:rsidRPr="00EC737F">
        <w:rPr>
          <w:rFonts w:cs="Traditional Arabic" w:hint="cs"/>
          <w:sz w:val="28"/>
          <w:szCs w:val="32"/>
          <w:rtl/>
        </w:rPr>
        <w:t xml:space="preserve"> فإنه يكون باطلا كما قدمنا</w:t>
      </w:r>
      <w:r>
        <w:rPr>
          <w:rFonts w:cs="Traditional Arabic" w:hint="cs"/>
          <w:sz w:val="28"/>
          <w:szCs w:val="32"/>
          <w:rtl/>
        </w:rPr>
        <w:t xml:space="preserve"> .</w:t>
      </w:r>
      <w:r w:rsidRPr="00EC737F">
        <w:rPr>
          <w:rFonts w:cs="Traditional Arabic" w:hint="cs"/>
          <w:sz w:val="28"/>
          <w:szCs w:val="32"/>
          <w:rtl/>
        </w:rPr>
        <w:t xml:space="preserve"> ولكنه يكون باطلا كوعد بإنشاء رهن رسمي</w:t>
      </w:r>
      <w:r>
        <w:rPr>
          <w:rFonts w:cs="Traditional Arabic" w:hint="cs"/>
          <w:sz w:val="28"/>
          <w:szCs w:val="32"/>
          <w:rtl/>
        </w:rPr>
        <w:t xml:space="preserve"> ،</w:t>
      </w:r>
      <w:r w:rsidRPr="00EC737F">
        <w:rPr>
          <w:rFonts w:cs="Traditional Arabic" w:hint="cs"/>
          <w:sz w:val="28"/>
          <w:szCs w:val="32"/>
          <w:rtl/>
        </w:rPr>
        <w:t xml:space="preserve"> دون أن يكون باطلا كاتفاق ملزم يمكن بموجبه الحكم بتعويض على الواعد</w:t>
      </w:r>
      <w:r>
        <w:rPr>
          <w:rFonts w:cs="Traditional Arabic" w:hint="cs"/>
          <w:sz w:val="28"/>
          <w:szCs w:val="32"/>
          <w:rtl/>
        </w:rPr>
        <w:t xml:space="preserve"> .</w:t>
      </w:r>
      <w:r w:rsidRPr="00EC737F">
        <w:rPr>
          <w:rFonts w:cs="Traditional Arabic" w:hint="cs"/>
          <w:sz w:val="28"/>
          <w:szCs w:val="32"/>
          <w:rtl/>
        </w:rPr>
        <w:t xml:space="preserve"> وقد ذهبت المذكر الإيضاحية للمشروع التمهيدي في هذا الصدد إلى أن "الوعد بإبرام عقد رسمي لا يكون خلواً من أي أثر قانوني</w:t>
      </w:r>
      <w:r>
        <w:rPr>
          <w:rFonts w:cs="Traditional Arabic" w:hint="cs"/>
          <w:sz w:val="28"/>
          <w:szCs w:val="32"/>
          <w:rtl/>
        </w:rPr>
        <w:t xml:space="preserve"> ،</w:t>
      </w:r>
      <w:r w:rsidRPr="00EC737F">
        <w:rPr>
          <w:rFonts w:cs="Traditional Arabic" w:hint="cs"/>
          <w:sz w:val="28"/>
          <w:szCs w:val="32"/>
          <w:rtl/>
        </w:rPr>
        <w:t xml:space="preserve"> إذا لم يستوف ركن السمية</w:t>
      </w:r>
      <w:r>
        <w:rPr>
          <w:rFonts w:cs="Traditional Arabic" w:hint="cs"/>
          <w:sz w:val="28"/>
          <w:szCs w:val="32"/>
          <w:rtl/>
        </w:rPr>
        <w:t xml:space="preserve"> .</w:t>
      </w:r>
      <w:r w:rsidRPr="00EC737F">
        <w:rPr>
          <w:rFonts w:cs="Traditional Arabic" w:hint="cs"/>
          <w:sz w:val="28"/>
          <w:szCs w:val="32"/>
          <w:rtl/>
        </w:rPr>
        <w:t xml:space="preserve"> فإذا صح أن هذا الوعد لا يؤدي إلى إتمام التعاقد المقصود فعلا</w:t>
      </w:r>
      <w:r>
        <w:rPr>
          <w:rFonts w:cs="Traditional Arabic" w:hint="cs"/>
          <w:sz w:val="28"/>
          <w:szCs w:val="32"/>
          <w:rtl/>
        </w:rPr>
        <w:t xml:space="preserve"> ،</w:t>
      </w:r>
      <w:r w:rsidRPr="00EC737F">
        <w:rPr>
          <w:rFonts w:cs="Traditional Arabic" w:hint="cs"/>
          <w:sz w:val="28"/>
          <w:szCs w:val="32"/>
          <w:rtl/>
        </w:rPr>
        <w:t xml:space="preserve"> فهو بذاته تعاقد كامل يرتب التزامات شخصية طبقاً لمبدأ سلطان الإرادة</w:t>
      </w:r>
      <w:r>
        <w:rPr>
          <w:rFonts w:cs="Traditional Arabic" w:hint="cs"/>
          <w:sz w:val="28"/>
          <w:szCs w:val="32"/>
          <w:rtl/>
        </w:rPr>
        <w:t xml:space="preserve"> ،</w:t>
      </w:r>
      <w:r w:rsidRPr="00EC737F">
        <w:rPr>
          <w:rFonts w:cs="Traditional Arabic" w:hint="cs"/>
          <w:sz w:val="28"/>
          <w:szCs w:val="32"/>
          <w:rtl/>
        </w:rPr>
        <w:t xml:space="preserve"> قد ينتهي عند المطالبة بالتنفيذ إلى إتمام عقد الرهن</w:t>
      </w:r>
      <w:r>
        <w:rPr>
          <w:rFonts w:cs="Traditional Arabic" w:hint="cs"/>
          <w:sz w:val="28"/>
          <w:szCs w:val="32"/>
          <w:rtl/>
        </w:rPr>
        <w:t xml:space="preserve"> ،</w:t>
      </w:r>
      <w:r w:rsidRPr="00EC737F">
        <w:rPr>
          <w:rFonts w:cs="Traditional Arabic" w:hint="cs"/>
          <w:sz w:val="28"/>
          <w:szCs w:val="32"/>
          <w:rtl/>
        </w:rPr>
        <w:t xml:space="preserve"> أو على الأقل إلى قيام دعوى بالتعويض</w:t>
      </w:r>
      <w:r>
        <w:rPr>
          <w:rFonts w:cs="Traditional Arabic" w:hint="cs"/>
          <w:sz w:val="28"/>
          <w:szCs w:val="32"/>
          <w:rtl/>
        </w:rPr>
        <w:t xml:space="preserve"> ،</w:t>
      </w:r>
      <w:r w:rsidRPr="00EC737F">
        <w:rPr>
          <w:rFonts w:cs="Traditional Arabic" w:hint="cs"/>
          <w:sz w:val="28"/>
          <w:szCs w:val="32"/>
          <w:rtl/>
        </w:rPr>
        <w:t xml:space="preserve"> بل والى سقوط أجل القرض الذي يراد ترتيب الرهن لضمان الوفاء به"</w:t>
      </w:r>
      <w:r>
        <w:rPr>
          <w:rFonts w:cs="Traditional Arabic" w:hint="cs"/>
          <w:sz w:val="28"/>
          <w:szCs w:val="32"/>
          <w:vertAlign w:val="superscript"/>
          <w:rtl/>
        </w:rPr>
        <w:t xml:space="preserve">( </w:t>
      </w:r>
      <w:r w:rsidRPr="00EC737F">
        <w:rPr>
          <w:rStyle w:val="ab"/>
          <w:rFonts w:cs="Traditional Arabic"/>
          <w:sz w:val="28"/>
          <w:szCs w:val="32"/>
          <w:rtl/>
        </w:rPr>
        <w:footnoteReference w:id="64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سبق أن قدمنا في الجزء الأول م الوسيط أنه "يجوز أن يؤدي الوعد بالرهن الرسمي غير المفرغ في ورقة رسمية إلى النتيجة الآتية</w:t>
      </w:r>
      <w:r>
        <w:rPr>
          <w:rFonts w:cs="Traditional Arabic" w:hint="cs"/>
          <w:sz w:val="28"/>
          <w:szCs w:val="32"/>
          <w:rtl/>
        </w:rPr>
        <w:t xml:space="preserve"> :</w:t>
      </w:r>
      <w:r w:rsidRPr="00EC737F">
        <w:rPr>
          <w:rFonts w:cs="Traditional Arabic" w:hint="cs"/>
          <w:sz w:val="28"/>
          <w:szCs w:val="32"/>
          <w:rtl/>
        </w:rPr>
        <w:t xml:space="preserve"> يعتبر عقداً غير معين تم بإيجاب وقبول وفقاً لمبدأ سلطان الإرادة</w:t>
      </w:r>
      <w:r>
        <w:rPr>
          <w:rFonts w:cs="Traditional Arabic" w:hint="cs"/>
          <w:sz w:val="28"/>
          <w:szCs w:val="32"/>
          <w:rtl/>
        </w:rPr>
        <w:t xml:space="preserve"> ،</w:t>
      </w:r>
      <w:r w:rsidRPr="00EC737F">
        <w:rPr>
          <w:rFonts w:cs="Traditional Arabic" w:hint="cs"/>
          <w:sz w:val="28"/>
          <w:szCs w:val="32"/>
          <w:rtl/>
        </w:rPr>
        <w:t xml:space="preserve"> ورتب التزماً شخصياً في ذمة الواعد</w:t>
      </w:r>
      <w:r>
        <w:rPr>
          <w:rFonts w:cs="Traditional Arabic" w:hint="cs"/>
          <w:sz w:val="28"/>
          <w:szCs w:val="32"/>
          <w:rtl/>
        </w:rPr>
        <w:t xml:space="preserve"> .</w:t>
      </w:r>
      <w:r w:rsidRPr="00EC737F">
        <w:rPr>
          <w:rFonts w:cs="Traditional Arabic" w:hint="cs"/>
          <w:sz w:val="28"/>
          <w:szCs w:val="32"/>
          <w:rtl/>
        </w:rPr>
        <w:t xml:space="preserve"> ولما كان هذا الالتزام يتعذر تنفيذه عيناً</w:t>
      </w:r>
      <w:r>
        <w:rPr>
          <w:rFonts w:cs="Traditional Arabic" w:hint="cs"/>
          <w:sz w:val="28"/>
          <w:szCs w:val="32"/>
          <w:rtl/>
        </w:rPr>
        <w:t xml:space="preserve"> ،</w:t>
      </w:r>
      <w:r w:rsidRPr="00EC737F">
        <w:rPr>
          <w:rFonts w:cs="Traditional Arabic" w:hint="cs"/>
          <w:sz w:val="28"/>
          <w:szCs w:val="32"/>
          <w:rtl/>
        </w:rPr>
        <w:t xml:space="preserve"> فلا يبقى إلا التعويض حكم به على الواعد</w:t>
      </w:r>
      <w:r>
        <w:rPr>
          <w:rFonts w:cs="Traditional Arabic" w:hint="cs"/>
          <w:sz w:val="28"/>
          <w:szCs w:val="32"/>
          <w:rtl/>
        </w:rPr>
        <w:t xml:space="preserve"> .</w:t>
      </w:r>
      <w:r w:rsidRPr="00EC737F">
        <w:rPr>
          <w:rFonts w:cs="Traditional Arabic" w:hint="cs"/>
          <w:sz w:val="28"/>
          <w:szCs w:val="32"/>
          <w:rtl/>
        </w:rPr>
        <w:t xml:space="preserve"> ويجوز أن يؤخذ به حق اختصاص يؤدي عملا إلى نتيجة قريبة من الرهن الرسمي</w:t>
      </w:r>
      <w:r>
        <w:rPr>
          <w:rFonts w:cs="Traditional Arabic" w:hint="cs"/>
          <w:sz w:val="28"/>
          <w:szCs w:val="32"/>
          <w:rtl/>
        </w:rPr>
        <w:t xml:space="preserve"> ،</w:t>
      </w:r>
      <w:r w:rsidRPr="00EC737F">
        <w:rPr>
          <w:rFonts w:cs="Traditional Arabic" w:hint="cs"/>
          <w:sz w:val="28"/>
          <w:szCs w:val="32"/>
          <w:rtl/>
        </w:rPr>
        <w:t xml:space="preserve"> كما يجوز </w:t>
      </w:r>
      <w:r w:rsidRPr="00EC737F">
        <w:rPr>
          <w:rFonts w:cs="Traditional Arabic" w:hint="cs"/>
          <w:sz w:val="28"/>
          <w:szCs w:val="32"/>
          <w:rtl/>
        </w:rPr>
        <w:lastRenderedPageBreak/>
        <w:t>الحكم بسقوط أجل القرض الذي كان يراد ضمانه بالرهن وأخذ حق اختصاص بمبلغ القرض"</w:t>
      </w:r>
      <w:r>
        <w:rPr>
          <w:rFonts w:cs="Traditional Arabic" w:hint="cs"/>
          <w:sz w:val="28"/>
          <w:szCs w:val="32"/>
          <w:vertAlign w:val="superscript"/>
          <w:rtl/>
        </w:rPr>
        <w:t xml:space="preserve">( </w:t>
      </w:r>
      <w:r w:rsidRPr="00EC737F">
        <w:rPr>
          <w:rStyle w:val="ab"/>
          <w:rFonts w:cs="Traditional Arabic"/>
          <w:sz w:val="28"/>
          <w:szCs w:val="32"/>
          <w:rtl/>
        </w:rPr>
        <w:footnoteReference w:id="64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وهذا الرأي قريب من الرأي المعمول به في فرنسا</w:t>
      </w:r>
      <w:r>
        <w:rPr>
          <w:rFonts w:cs="Traditional Arabic" w:hint="cs"/>
          <w:sz w:val="28"/>
          <w:szCs w:val="32"/>
          <w:rtl/>
        </w:rPr>
        <w:t xml:space="preserve"> ،</w:t>
      </w:r>
      <w:r w:rsidRPr="00EC737F">
        <w:rPr>
          <w:rFonts w:cs="Traditional Arabic" w:hint="cs"/>
          <w:sz w:val="28"/>
          <w:szCs w:val="32"/>
          <w:rtl/>
        </w:rPr>
        <w:t xml:space="preserve"> فالمقرر هناك أن القضاء الفرنسي لا يعتبر الوعد بالرهن الرسمي عديم الأثر إذا لم يقم به موثق العقود </w:t>
      </w:r>
      <w:r>
        <w:rPr>
          <w:rFonts w:cs="Traditional Arabic"/>
          <w:sz w:val="28"/>
          <w:szCs w:val="32"/>
          <w:rtl/>
        </w:rPr>
        <w:t xml:space="preserve">( </w:t>
      </w:r>
      <w:r w:rsidRPr="00EC737F">
        <w:rPr>
          <w:rFonts w:cs="Traditional Arabic"/>
          <w:sz w:val="28"/>
          <w:szCs w:val="32"/>
        </w:rPr>
        <w:t>notaire</w:t>
      </w:r>
      <w:r>
        <w:rPr>
          <w:rFonts w:cs="Traditional Arabic"/>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 فالموعد له يستطيع أن يلجأ إلى القضاء</w:t>
      </w:r>
      <w:r>
        <w:rPr>
          <w:rFonts w:cs="Traditional Arabic" w:hint="cs"/>
          <w:sz w:val="28"/>
          <w:szCs w:val="32"/>
          <w:rtl/>
        </w:rPr>
        <w:t xml:space="preserve"> ،</w:t>
      </w:r>
      <w:r w:rsidRPr="00EC737F">
        <w:rPr>
          <w:rFonts w:cs="Traditional Arabic" w:hint="cs"/>
          <w:sz w:val="28"/>
          <w:szCs w:val="32"/>
          <w:rtl/>
        </w:rPr>
        <w:t xml:space="preserve"> $290 والمحكمة لا تصدر حكماً بصحة الوعد</w:t>
      </w:r>
      <w:r>
        <w:rPr>
          <w:rFonts w:cs="Traditional Arabic" w:hint="cs"/>
          <w:sz w:val="28"/>
          <w:szCs w:val="32"/>
          <w:rtl/>
        </w:rPr>
        <w:t xml:space="preserve"> ،</w:t>
      </w:r>
      <w:r w:rsidRPr="00EC737F">
        <w:rPr>
          <w:rFonts w:cs="Traditional Arabic" w:hint="cs"/>
          <w:sz w:val="28"/>
          <w:szCs w:val="32"/>
          <w:rtl/>
        </w:rPr>
        <w:t xml:space="preserve"> ولكنها تحكم على الواعد بالتعويض وتزود هذا الحكم برهن فضائي</w:t>
      </w:r>
      <w:r>
        <w:rPr>
          <w:rFonts w:cs="Traditional Arabic" w:hint="cs"/>
          <w:sz w:val="28"/>
          <w:szCs w:val="32"/>
          <w:vertAlign w:val="superscript"/>
          <w:rtl/>
        </w:rPr>
        <w:t xml:space="preserve">( </w:t>
      </w:r>
      <w:r w:rsidRPr="00EC737F">
        <w:rPr>
          <w:rStyle w:val="ab"/>
          <w:rFonts w:cs="Traditional Arabic"/>
          <w:sz w:val="28"/>
          <w:szCs w:val="32"/>
          <w:rtl/>
        </w:rPr>
        <w:footnoteReference w:id="64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وهناك رأي مرجوح في مصر يذهب إلى أن الوعد بإنشاء رهن رسمي يكون باطلا إذا لم يفرغ في ورقة رسمية</w:t>
      </w:r>
      <w:r>
        <w:rPr>
          <w:rFonts w:cs="Traditional Arabic" w:hint="cs"/>
          <w:sz w:val="28"/>
          <w:szCs w:val="32"/>
          <w:rtl/>
        </w:rPr>
        <w:t xml:space="preserve"> ،</w:t>
      </w:r>
      <w:r w:rsidRPr="00EC737F">
        <w:rPr>
          <w:rFonts w:cs="Traditional Arabic" w:hint="cs"/>
          <w:sz w:val="28"/>
          <w:szCs w:val="32"/>
          <w:rtl/>
        </w:rPr>
        <w:t xml:space="preserve"> ولا يترتب عليه أي أثر</w:t>
      </w:r>
      <w:r>
        <w:rPr>
          <w:rFonts w:cs="Traditional Arabic" w:hint="cs"/>
          <w:sz w:val="28"/>
          <w:szCs w:val="32"/>
          <w:rtl/>
        </w:rPr>
        <w:t xml:space="preserve"> .</w:t>
      </w:r>
      <w:r w:rsidRPr="00EC737F">
        <w:rPr>
          <w:rFonts w:cs="Traditional Arabic" w:hint="cs"/>
          <w:sz w:val="28"/>
          <w:szCs w:val="32"/>
          <w:rtl/>
        </w:rPr>
        <w:t xml:space="preserve"> ومن ثم لا يحكم على الواعد بأي تعويض</w:t>
      </w:r>
      <w:r>
        <w:rPr>
          <w:rFonts w:cs="Traditional Arabic" w:hint="cs"/>
          <w:sz w:val="28"/>
          <w:szCs w:val="32"/>
          <w:rtl/>
        </w:rPr>
        <w:t xml:space="preserve"> ،</w:t>
      </w:r>
      <w:r w:rsidRPr="00EC737F">
        <w:rPr>
          <w:rFonts w:cs="Traditional Arabic" w:hint="cs"/>
          <w:sz w:val="28"/>
          <w:szCs w:val="32"/>
          <w:rtl/>
        </w:rPr>
        <w:t xml:space="preserve"> ولا يجوز أن يؤخذ عليه حق اختصاص من أجل تعويض لم يحكم به</w:t>
      </w:r>
      <w:r>
        <w:rPr>
          <w:rFonts w:cs="Traditional Arabic" w:hint="cs"/>
          <w:sz w:val="28"/>
          <w:szCs w:val="32"/>
          <w:rtl/>
        </w:rPr>
        <w:t xml:space="preserve"> ،</w:t>
      </w:r>
      <w:r w:rsidRPr="00EC737F">
        <w:rPr>
          <w:rFonts w:cs="Traditional Arabic" w:hint="cs"/>
          <w:sz w:val="28"/>
          <w:szCs w:val="32"/>
          <w:rtl/>
        </w:rPr>
        <w:t xml:space="preserve"> وإذا جاز للدائن المرتهن أن يسعى للحصول على حق اختصاص</w:t>
      </w:r>
      <w:r>
        <w:rPr>
          <w:rFonts w:cs="Traditional Arabic" w:hint="cs"/>
          <w:sz w:val="28"/>
          <w:szCs w:val="32"/>
          <w:rtl/>
        </w:rPr>
        <w:t xml:space="preserve"> ،</w:t>
      </w:r>
      <w:r w:rsidRPr="00EC737F">
        <w:rPr>
          <w:rFonts w:cs="Traditional Arabic" w:hint="cs"/>
          <w:sz w:val="28"/>
          <w:szCs w:val="32"/>
          <w:rtl/>
        </w:rPr>
        <w:t xml:space="preserve"> فإنما يكون ذلك بناء على حكم بالدين الذي أريد ضمانه بالرهن</w:t>
      </w:r>
      <w:r>
        <w:rPr>
          <w:rFonts w:cs="Traditional Arabic" w:hint="cs"/>
          <w:sz w:val="28"/>
          <w:szCs w:val="32"/>
          <w:vertAlign w:val="superscript"/>
          <w:rtl/>
        </w:rPr>
        <w:t xml:space="preserve">( </w:t>
      </w:r>
      <w:r w:rsidRPr="00EC737F">
        <w:rPr>
          <w:rStyle w:val="ab"/>
          <w:rFonts w:cs="Traditional Arabic"/>
          <w:sz w:val="28"/>
          <w:szCs w:val="32"/>
          <w:rtl/>
        </w:rPr>
        <w:footnoteReference w:id="64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44"/>
          <w:rtl/>
        </w:rPr>
        <w:t>المبحث الثاني</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إنشاء الرهن الرسمي من ناحية الموضوع</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131- تطبيق القواعد العامة</w:t>
      </w:r>
      <w:r>
        <w:rPr>
          <w:rFonts w:cs="Traditional Arabic" w:hint="cs"/>
          <w:sz w:val="28"/>
          <w:szCs w:val="32"/>
          <w:rtl/>
        </w:rPr>
        <w:t xml:space="preserve"> :</w:t>
      </w:r>
      <w:r w:rsidRPr="00EC737F">
        <w:rPr>
          <w:rFonts w:cs="Traditional Arabic" w:hint="cs"/>
          <w:sz w:val="28"/>
          <w:szCs w:val="32"/>
          <w:rtl/>
        </w:rPr>
        <w:t xml:space="preserve"> عقد الرهن الرسمي كسائر العقود يجب في إنشائه</w:t>
      </w:r>
      <w:r>
        <w:rPr>
          <w:rFonts w:cs="Traditional Arabic" w:hint="cs"/>
          <w:sz w:val="28"/>
          <w:szCs w:val="32"/>
          <w:rtl/>
        </w:rPr>
        <w:t xml:space="preserve"> ،</w:t>
      </w:r>
      <w:r w:rsidRPr="00EC737F">
        <w:rPr>
          <w:rFonts w:cs="Traditional Arabic" w:hint="cs"/>
          <w:sz w:val="28"/>
          <w:szCs w:val="32"/>
          <w:rtl/>
        </w:rPr>
        <w:t xml:space="preserve"> من ناحية الموضوع</w:t>
      </w:r>
      <w:r>
        <w:rPr>
          <w:rFonts w:cs="Traditional Arabic" w:hint="cs"/>
          <w:sz w:val="28"/>
          <w:szCs w:val="32"/>
          <w:rtl/>
        </w:rPr>
        <w:t xml:space="preserve"> ،</w:t>
      </w:r>
      <w:r w:rsidRPr="00EC737F">
        <w:rPr>
          <w:rFonts w:cs="Traditional Arabic" w:hint="cs"/>
          <w:sz w:val="28"/>
          <w:szCs w:val="32"/>
          <w:rtl/>
        </w:rPr>
        <w:t xml:space="preserve"> توافر الرضاء والمحل والسبب</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الرضاء فيصدر من المتعاقدين</w:t>
      </w:r>
      <w:r>
        <w:rPr>
          <w:rFonts w:cs="Traditional Arabic" w:hint="cs"/>
          <w:sz w:val="28"/>
          <w:szCs w:val="32"/>
          <w:rtl/>
        </w:rPr>
        <w:t xml:space="preserve"> ،</w:t>
      </w:r>
      <w:r w:rsidRPr="00EC737F">
        <w:rPr>
          <w:rFonts w:cs="Traditional Arabic" w:hint="cs"/>
          <w:sz w:val="28"/>
          <w:szCs w:val="32"/>
          <w:rtl/>
        </w:rPr>
        <w:t xml:space="preserve"> وهما الراهن والدائن المرتهن</w:t>
      </w:r>
      <w:r>
        <w:rPr>
          <w:rFonts w:cs="Traditional Arabic" w:hint="cs"/>
          <w:sz w:val="28"/>
          <w:szCs w:val="32"/>
          <w:rtl/>
        </w:rPr>
        <w:t xml:space="preserve"> .</w:t>
      </w:r>
      <w:r w:rsidRPr="00EC737F">
        <w:rPr>
          <w:rFonts w:cs="Traditional Arabic" w:hint="cs"/>
          <w:sz w:val="28"/>
          <w:szCs w:val="32"/>
          <w:rtl/>
        </w:rPr>
        <w:t xml:space="preserve"> ومتى صدرت منهما إرادتان </w:t>
      </w:r>
      <w:r w:rsidRPr="00EC737F">
        <w:rPr>
          <w:rFonts w:cs="Traditional Arabic" w:hint="cs"/>
          <w:sz w:val="28"/>
          <w:szCs w:val="32"/>
          <w:rtl/>
        </w:rPr>
        <w:lastRenderedPageBreak/>
        <w:t>متطابقتان</w:t>
      </w:r>
      <w:r>
        <w:rPr>
          <w:rFonts w:cs="Traditional Arabic" w:hint="cs"/>
          <w:sz w:val="28"/>
          <w:szCs w:val="32"/>
          <w:rtl/>
        </w:rPr>
        <w:t xml:space="preserve"> ،</w:t>
      </w:r>
      <w:r w:rsidRPr="00EC737F">
        <w:rPr>
          <w:rFonts w:cs="Traditional Arabic" w:hint="cs"/>
          <w:sz w:val="28"/>
          <w:szCs w:val="32"/>
          <w:rtl/>
        </w:rPr>
        <w:t xml:space="preserve"> فقد انعقد الرهن الرسمي</w:t>
      </w:r>
      <w:r>
        <w:rPr>
          <w:rFonts w:cs="Traditional Arabic" w:hint="cs"/>
          <w:sz w:val="28"/>
          <w:szCs w:val="32"/>
          <w:rtl/>
        </w:rPr>
        <w:t xml:space="preserve"> .</w:t>
      </w:r>
      <w:r w:rsidRPr="00EC737F">
        <w:rPr>
          <w:rFonts w:cs="Traditional Arabic" w:hint="cs"/>
          <w:sz w:val="28"/>
          <w:szCs w:val="32"/>
          <w:rtl/>
        </w:rPr>
        <w:t xml:space="preserve"> ويرجع في ذلك إلى القواعد العامة في نظرية العقد</w:t>
      </w:r>
      <w:r>
        <w:rPr>
          <w:rFonts w:cs="Traditional Arabic" w:hint="cs"/>
          <w:sz w:val="28"/>
          <w:szCs w:val="32"/>
          <w:rtl/>
        </w:rPr>
        <w:t xml:space="preserve"> ،</w:t>
      </w:r>
      <w:r w:rsidRPr="00EC737F">
        <w:rPr>
          <w:rFonts w:cs="Traditional Arabic" w:hint="cs"/>
          <w:sz w:val="28"/>
          <w:szCs w:val="32"/>
          <w:rtl/>
        </w:rPr>
        <w:t xml:space="preserve"> كما يرجع إلى هذه القواعد في خلو الإرادتين من عيوب الرضاء</w:t>
      </w:r>
      <w:r>
        <w:rPr>
          <w:rFonts w:cs="Traditional Arabic" w:hint="cs"/>
          <w:sz w:val="28"/>
          <w:szCs w:val="32"/>
          <w:rtl/>
        </w:rPr>
        <w:t xml:space="preserve"> .</w:t>
      </w:r>
      <w:r w:rsidRPr="00EC737F">
        <w:rPr>
          <w:rFonts w:cs="Traditional Arabic" w:hint="cs"/>
          <w:sz w:val="28"/>
          <w:szCs w:val="32"/>
          <w:rtl/>
        </w:rPr>
        <w:t xml:space="preserve"> ويشترط أن يكون كل من الدائن المرتهن والراهن أهلا لمباشرة عقد الرهن الرسمي</w:t>
      </w:r>
      <w:r>
        <w:rPr>
          <w:rFonts w:cs="Traditional Arabic" w:hint="cs"/>
          <w:sz w:val="28"/>
          <w:szCs w:val="32"/>
          <w:rtl/>
        </w:rPr>
        <w:t xml:space="preserve"> .</w:t>
      </w:r>
      <w:r w:rsidRPr="00EC737F">
        <w:rPr>
          <w:rFonts w:cs="Traditional Arabic" w:hint="cs"/>
          <w:sz w:val="28"/>
          <w:szCs w:val="32"/>
          <w:rtl/>
        </w:rPr>
        <w:t xml:space="preserve"> ولم يعرض المشرع لأهلية الدائن المرتهن</w:t>
      </w:r>
      <w:r>
        <w:rPr>
          <w:rFonts w:cs="Traditional Arabic" w:hint="cs"/>
          <w:sz w:val="28"/>
          <w:szCs w:val="32"/>
          <w:rtl/>
        </w:rPr>
        <w:t xml:space="preserve"> ،</w:t>
      </w:r>
      <w:r w:rsidRPr="00EC737F">
        <w:rPr>
          <w:rFonts w:cs="Traditional Arabic" w:hint="cs"/>
          <w:sz w:val="28"/>
          <w:szCs w:val="32"/>
          <w:rtl/>
        </w:rPr>
        <w:t xml:space="preserve"> فوجب تطبيق القواعد العامة</w:t>
      </w:r>
      <w:r>
        <w:rPr>
          <w:rFonts w:cs="Traditional Arabic" w:hint="cs"/>
          <w:sz w:val="28"/>
          <w:szCs w:val="32"/>
          <w:rtl/>
        </w:rPr>
        <w:t xml:space="preserve"> .</w:t>
      </w:r>
      <w:r w:rsidRPr="00EC737F">
        <w:rPr>
          <w:rFonts w:cs="Traditional Arabic" w:hint="cs"/>
          <w:sz w:val="28"/>
          <w:szCs w:val="32"/>
          <w:rtl/>
        </w:rPr>
        <w:t xml:space="preserve"> وهذه تقضي بأن الرهن $291 السمي بالنسبة إلى الدائن المرتهن من التصرفات النافعة نفعاً محضا</w:t>
      </w:r>
      <w:r>
        <w:rPr>
          <w:rFonts w:cs="Traditional Arabic" w:hint="cs"/>
          <w:sz w:val="28"/>
          <w:szCs w:val="32"/>
          <w:rtl/>
        </w:rPr>
        <w:t xml:space="preserve"> ،</w:t>
      </w:r>
      <w:r w:rsidRPr="00EC737F">
        <w:rPr>
          <w:rFonts w:cs="Traditional Arabic" w:hint="cs"/>
          <w:sz w:val="28"/>
          <w:szCs w:val="32"/>
          <w:rtl/>
        </w:rPr>
        <w:t xml:space="preserve"> فيعتب الرهن صحيحاً غير قابل للإبطال إذا كان الدائن المرتهن صبياً مميزاً أو كان في حكمة كالمحجور عليه للسفة أو للغفلة</w:t>
      </w:r>
      <w:r>
        <w:rPr>
          <w:rFonts w:cs="Traditional Arabic" w:hint="cs"/>
          <w:sz w:val="28"/>
          <w:szCs w:val="32"/>
          <w:vertAlign w:val="superscript"/>
          <w:rtl/>
        </w:rPr>
        <w:t xml:space="preserve">( </w:t>
      </w:r>
      <w:r w:rsidRPr="00EC737F">
        <w:rPr>
          <w:rStyle w:val="ab"/>
          <w:rFonts w:cs="Traditional Arabic"/>
          <w:sz w:val="28"/>
          <w:szCs w:val="32"/>
          <w:rtl/>
        </w:rPr>
        <w:footnoteReference w:id="64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بالنسب إلى الراهن</w:t>
      </w:r>
      <w:r>
        <w:rPr>
          <w:rFonts w:cs="Traditional Arabic" w:hint="cs"/>
          <w:sz w:val="28"/>
          <w:szCs w:val="32"/>
          <w:rtl/>
        </w:rPr>
        <w:t xml:space="preserve"> ،</w:t>
      </w:r>
      <w:r w:rsidRPr="00EC737F">
        <w:rPr>
          <w:rFonts w:cs="Traditional Arabic" w:hint="cs"/>
          <w:sz w:val="28"/>
          <w:szCs w:val="32"/>
          <w:rtl/>
        </w:rPr>
        <w:t xml:space="preserve"> فقد قضت المادة 1032/2 مدني بأنه يجب أن يكون أهلا للتصرف في العقار المرهون</w:t>
      </w:r>
      <w:r>
        <w:rPr>
          <w:rFonts w:cs="Traditional Arabic" w:hint="cs"/>
          <w:sz w:val="28"/>
          <w:szCs w:val="32"/>
          <w:rtl/>
        </w:rPr>
        <w:t xml:space="preserve"> ،</w:t>
      </w:r>
      <w:r w:rsidRPr="00EC737F">
        <w:rPr>
          <w:rFonts w:cs="Traditional Arabic" w:hint="cs"/>
          <w:sz w:val="28"/>
          <w:szCs w:val="32"/>
          <w:rtl/>
        </w:rPr>
        <w:t xml:space="preserve"> إذ الرهن الرسمي يعتبر من أعمال التصرف بالنسبة إلى الراهن وهو تصرف جزئي في العقار</w:t>
      </w:r>
      <w:r>
        <w:rPr>
          <w:rFonts w:cs="Traditional Arabic" w:hint="cs"/>
          <w:sz w:val="28"/>
          <w:szCs w:val="32"/>
          <w:vertAlign w:val="superscript"/>
          <w:rtl/>
        </w:rPr>
        <w:t xml:space="preserve">( </w:t>
      </w:r>
      <w:r w:rsidRPr="00EC737F">
        <w:rPr>
          <w:rStyle w:val="ab"/>
          <w:rFonts w:cs="Traditional Arabic"/>
          <w:sz w:val="28"/>
          <w:szCs w:val="32"/>
          <w:rtl/>
        </w:rPr>
        <w:footnoteReference w:id="64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وعلى ذلك لا يصح الرهن الرسمي الصادر من الصبي المميز</w:t>
      </w:r>
      <w:r>
        <w:rPr>
          <w:rFonts w:cs="Traditional Arabic" w:hint="cs"/>
          <w:sz w:val="28"/>
          <w:szCs w:val="32"/>
          <w:rtl/>
        </w:rPr>
        <w:t xml:space="preserve"> ،</w:t>
      </w:r>
      <w:r w:rsidRPr="00EC737F">
        <w:rPr>
          <w:rFonts w:cs="Traditional Arabic" w:hint="cs"/>
          <w:sz w:val="28"/>
          <w:szCs w:val="32"/>
          <w:rtl/>
        </w:rPr>
        <w:t xml:space="preserve"> حتى لو بلغ الثامنة </w:t>
      </w:r>
      <w:r w:rsidRPr="00EC737F">
        <w:rPr>
          <w:rFonts w:cs="Traditional Arabic" w:hint="cs"/>
          <w:sz w:val="28"/>
          <w:szCs w:val="32"/>
          <w:rtl/>
        </w:rPr>
        <w:lastRenderedPageBreak/>
        <w:t>عشرة وإذن له في إدارة أمواله بما في ذلك العقار</w:t>
      </w:r>
      <w:r>
        <w:rPr>
          <w:rFonts w:cs="Traditional Arabic" w:hint="cs"/>
          <w:sz w:val="28"/>
          <w:szCs w:val="32"/>
          <w:vertAlign w:val="superscript"/>
          <w:rtl/>
        </w:rPr>
        <w:t xml:space="preserve">( </w:t>
      </w:r>
      <w:r w:rsidRPr="00EC737F">
        <w:rPr>
          <w:rStyle w:val="ab"/>
          <w:rFonts w:cs="Traditional Arabic"/>
          <w:sz w:val="28"/>
          <w:szCs w:val="32"/>
          <w:rtl/>
        </w:rPr>
        <w:footnoteReference w:id="64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وعقد الرهن الرسمي يعتبر من أعمال التصرف الدائرة بين $292 النفع والضرر إذا كان صادراً من المدين الراهن</w:t>
      </w:r>
      <w:r>
        <w:rPr>
          <w:rFonts w:cs="Traditional Arabic" w:hint="cs"/>
          <w:sz w:val="28"/>
          <w:szCs w:val="32"/>
          <w:rtl/>
        </w:rPr>
        <w:t xml:space="preserve"> ،</w:t>
      </w:r>
      <w:r w:rsidRPr="00EC737F">
        <w:rPr>
          <w:rFonts w:cs="Traditional Arabic" w:hint="cs"/>
          <w:sz w:val="28"/>
          <w:szCs w:val="32"/>
          <w:rtl/>
        </w:rPr>
        <w:t xml:space="preserve"> لأنه يرهن عقاره وفاء لالتزام عليه</w:t>
      </w:r>
      <w:r>
        <w:rPr>
          <w:rFonts w:cs="Traditional Arabic" w:hint="cs"/>
          <w:sz w:val="28"/>
          <w:szCs w:val="32"/>
          <w:rtl/>
        </w:rPr>
        <w:t xml:space="preserve"> .</w:t>
      </w:r>
      <w:r w:rsidRPr="00EC737F">
        <w:rPr>
          <w:rFonts w:cs="Traditional Arabic" w:hint="cs"/>
          <w:sz w:val="28"/>
          <w:szCs w:val="32"/>
          <w:rtl/>
        </w:rPr>
        <w:t xml:space="preserve"> وعلى ذلك يعتبر الرهن الصادر من الصبي المميز أو من في حكمه</w:t>
      </w:r>
      <w:r>
        <w:rPr>
          <w:rFonts w:cs="Traditional Arabic" w:hint="cs"/>
          <w:sz w:val="28"/>
          <w:szCs w:val="32"/>
          <w:rtl/>
        </w:rPr>
        <w:t xml:space="preserve"> ،</w:t>
      </w:r>
      <w:r w:rsidRPr="00EC737F">
        <w:rPr>
          <w:rFonts w:cs="Traditional Arabic" w:hint="cs"/>
          <w:sz w:val="28"/>
          <w:szCs w:val="32"/>
          <w:rtl/>
        </w:rPr>
        <w:t xml:space="preserve"> إذا كان هو المدين</w:t>
      </w:r>
      <w:r>
        <w:rPr>
          <w:rFonts w:cs="Traditional Arabic" w:hint="cs"/>
          <w:sz w:val="28"/>
          <w:szCs w:val="32"/>
          <w:rtl/>
        </w:rPr>
        <w:t xml:space="preserve"> ،</w:t>
      </w:r>
      <w:r w:rsidRPr="00EC737F">
        <w:rPr>
          <w:rFonts w:cs="Traditional Arabic" w:hint="cs"/>
          <w:sz w:val="28"/>
          <w:szCs w:val="32"/>
          <w:rtl/>
        </w:rPr>
        <w:t xml:space="preserve"> قابلا للإبطال</w:t>
      </w:r>
      <w:r>
        <w:rPr>
          <w:rFonts w:cs="Traditional Arabic" w:hint="cs"/>
          <w:sz w:val="28"/>
          <w:szCs w:val="32"/>
          <w:rtl/>
        </w:rPr>
        <w:t xml:space="preserve"> .</w:t>
      </w:r>
      <w:r w:rsidRPr="00EC737F">
        <w:rPr>
          <w:rFonts w:cs="Traditional Arabic" w:hint="cs"/>
          <w:sz w:val="28"/>
          <w:szCs w:val="32"/>
          <w:rtl/>
        </w:rPr>
        <w:t xml:space="preserve"> أما إذا كان الرهن الرسمي صادراً من كفيل عيني</w:t>
      </w:r>
      <w:r>
        <w:rPr>
          <w:rFonts w:cs="Traditional Arabic" w:hint="cs"/>
          <w:sz w:val="28"/>
          <w:szCs w:val="32"/>
          <w:rtl/>
        </w:rPr>
        <w:t xml:space="preserve"> ،</w:t>
      </w:r>
      <w:r w:rsidRPr="00EC737F">
        <w:rPr>
          <w:rFonts w:cs="Traditional Arabic" w:hint="cs"/>
          <w:sz w:val="28"/>
          <w:szCs w:val="32"/>
          <w:rtl/>
        </w:rPr>
        <w:t xml:space="preserve"> فهو يحب الأصل متبرع</w:t>
      </w:r>
      <w:r>
        <w:rPr>
          <w:rFonts w:cs="Traditional Arabic" w:hint="cs"/>
          <w:sz w:val="28"/>
          <w:szCs w:val="32"/>
          <w:rtl/>
        </w:rPr>
        <w:t xml:space="preserve"> ،</w:t>
      </w:r>
      <w:r w:rsidRPr="00EC737F">
        <w:rPr>
          <w:rFonts w:cs="Traditional Arabic" w:hint="cs"/>
          <w:sz w:val="28"/>
          <w:szCs w:val="32"/>
          <w:rtl/>
        </w:rPr>
        <w:t xml:space="preserve"> فيكون رهن الصبي المميز ومن في حكمه باطلا</w:t>
      </w:r>
      <w:r>
        <w:rPr>
          <w:rFonts w:cs="Traditional Arabic" w:hint="cs"/>
          <w:sz w:val="28"/>
          <w:szCs w:val="32"/>
          <w:rtl/>
        </w:rPr>
        <w:t xml:space="preserve"> .</w:t>
      </w:r>
      <w:r w:rsidRPr="00EC737F">
        <w:rPr>
          <w:rFonts w:cs="Traditional Arabic" w:hint="cs"/>
          <w:sz w:val="28"/>
          <w:szCs w:val="32"/>
          <w:rtl/>
        </w:rPr>
        <w:t xml:space="preserve"> وذلك ما لم يتبين أن الصبي المميز ومن في حكمه قدم الرهن بمقابل إما للمدين أو للدائن المرتهن</w:t>
      </w:r>
      <w:r>
        <w:rPr>
          <w:rFonts w:cs="Traditional Arabic" w:hint="cs"/>
          <w:sz w:val="28"/>
          <w:szCs w:val="32"/>
          <w:rtl/>
        </w:rPr>
        <w:t xml:space="preserve"> ،</w:t>
      </w:r>
      <w:r w:rsidRPr="00EC737F">
        <w:rPr>
          <w:rFonts w:cs="Traditional Arabic" w:hint="cs"/>
          <w:sz w:val="28"/>
          <w:szCs w:val="32"/>
          <w:rtl/>
        </w:rPr>
        <w:t xml:space="preserve"> فيكون الرهن في هذه الحالة من التصرفات الدائرة بين النفع والضرر</w:t>
      </w:r>
      <w:r>
        <w:rPr>
          <w:rFonts w:cs="Traditional Arabic" w:hint="cs"/>
          <w:sz w:val="28"/>
          <w:szCs w:val="32"/>
          <w:rtl/>
        </w:rPr>
        <w:t xml:space="preserve"> ،</w:t>
      </w:r>
      <w:r w:rsidRPr="00EC737F">
        <w:rPr>
          <w:rFonts w:cs="Traditional Arabic" w:hint="cs"/>
          <w:sz w:val="28"/>
          <w:szCs w:val="32"/>
          <w:rtl/>
        </w:rPr>
        <w:t xml:space="preserve"> ويكون قابلا للإبطال وليس بباطل</w:t>
      </w:r>
      <w:r>
        <w:rPr>
          <w:rFonts w:cs="Traditional Arabic" w:hint="cs"/>
          <w:sz w:val="28"/>
          <w:szCs w:val="32"/>
          <w:vertAlign w:val="superscript"/>
          <w:rtl/>
        </w:rPr>
        <w:t xml:space="preserve">( </w:t>
      </w:r>
      <w:r w:rsidRPr="00EC737F">
        <w:rPr>
          <w:rStyle w:val="ab"/>
          <w:rFonts w:cs="Traditional Arabic"/>
          <w:sz w:val="28"/>
          <w:szCs w:val="32"/>
          <w:rtl/>
        </w:rPr>
        <w:footnoteReference w:id="64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ومحل عقد الرهن الرسمي هو إنشاء حق عيني على عقار مملوك للراهن</w:t>
      </w:r>
      <w:r>
        <w:rPr>
          <w:rFonts w:cs="Traditional Arabic" w:hint="cs"/>
          <w:sz w:val="28"/>
          <w:szCs w:val="32"/>
          <w:rtl/>
        </w:rPr>
        <w:t xml:space="preserve"> ،</w:t>
      </w:r>
      <w:r w:rsidRPr="00EC737F">
        <w:rPr>
          <w:rFonts w:cs="Traditional Arabic" w:hint="cs"/>
          <w:sz w:val="28"/>
          <w:szCs w:val="32"/>
          <w:rtl/>
        </w:rPr>
        <w:t xml:space="preserve"> لضمان الوفاء بالتزام يترتب في ذمة الراهن نفسه أو في ذمة غيره</w:t>
      </w:r>
      <w:r>
        <w:rPr>
          <w:rFonts w:cs="Traditional Arabic" w:hint="cs"/>
          <w:sz w:val="28"/>
          <w:szCs w:val="32"/>
          <w:rtl/>
        </w:rPr>
        <w:t xml:space="preserve"> .</w:t>
      </w:r>
      <w:r w:rsidRPr="00EC737F">
        <w:rPr>
          <w:rFonts w:cs="Traditional Arabic" w:hint="cs"/>
          <w:sz w:val="28"/>
          <w:szCs w:val="32"/>
          <w:rtl/>
        </w:rPr>
        <w:t xml:space="preserve"> فدراسة محل الرهن الرسمي سيأتي الكلام فيها مفصلا فيما يلي</w:t>
      </w:r>
      <w:r>
        <w:rPr>
          <w:rFonts w:cs="Traditional Arabic" w:hint="cs"/>
          <w:sz w:val="28"/>
          <w:szCs w:val="32"/>
          <w:rtl/>
        </w:rPr>
        <w:t xml:space="preserve"> ،</w:t>
      </w:r>
      <w:r w:rsidRPr="00EC737F">
        <w:rPr>
          <w:rFonts w:cs="Traditional Arabic" w:hint="cs"/>
          <w:sz w:val="28"/>
          <w:szCs w:val="32"/>
          <w:rtl/>
        </w:rPr>
        <w:t xml:space="preserve"> عند الكلام في تخصيص الرهن</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بقى السبب في عقد الرهن الرسمي</w:t>
      </w:r>
      <w:r>
        <w:rPr>
          <w:rFonts w:cs="Traditional Arabic" w:hint="cs"/>
          <w:sz w:val="28"/>
          <w:szCs w:val="32"/>
          <w:rtl/>
        </w:rPr>
        <w:t xml:space="preserve"> .</w:t>
      </w:r>
      <w:r w:rsidRPr="00EC737F">
        <w:rPr>
          <w:rFonts w:cs="Traditional Arabic" w:hint="cs"/>
          <w:sz w:val="28"/>
          <w:szCs w:val="32"/>
          <w:rtl/>
        </w:rPr>
        <w:t xml:space="preserve"> ويبدو أن السبب في هذا العقد هو ضمان الدين</w:t>
      </w:r>
      <w:r>
        <w:rPr>
          <w:rFonts w:cs="Traditional Arabic" w:hint="cs"/>
          <w:sz w:val="28"/>
          <w:szCs w:val="32"/>
          <w:rtl/>
        </w:rPr>
        <w:t xml:space="preserve"> ،</w:t>
      </w:r>
      <w:r w:rsidRPr="00EC737F">
        <w:rPr>
          <w:rFonts w:cs="Traditional Arabic" w:hint="cs"/>
          <w:sz w:val="28"/>
          <w:szCs w:val="32"/>
          <w:rtl/>
        </w:rPr>
        <w:t xml:space="preserve"> ولهذا قد رضي صاحب العقار المرهون</w:t>
      </w:r>
      <w:r>
        <w:rPr>
          <w:rFonts w:cs="Traditional Arabic" w:hint="cs"/>
          <w:sz w:val="28"/>
          <w:szCs w:val="32"/>
          <w:rtl/>
        </w:rPr>
        <w:t xml:space="preserve"> ،</w:t>
      </w:r>
      <w:r w:rsidRPr="00EC737F">
        <w:rPr>
          <w:rFonts w:cs="Traditional Arabic" w:hint="cs"/>
          <w:sz w:val="28"/>
          <w:szCs w:val="32"/>
          <w:rtl/>
        </w:rPr>
        <w:t xml:space="preserve"> سواء كان هو المدين أو كان كفيلا عينياً</w:t>
      </w:r>
      <w:r>
        <w:rPr>
          <w:rFonts w:cs="Traditional Arabic" w:hint="cs"/>
          <w:sz w:val="28"/>
          <w:szCs w:val="32"/>
          <w:rtl/>
        </w:rPr>
        <w:t xml:space="preserve"> ،</w:t>
      </w:r>
      <w:r w:rsidRPr="00EC737F">
        <w:rPr>
          <w:rFonts w:cs="Traditional Arabic" w:hint="cs"/>
          <w:sz w:val="28"/>
          <w:szCs w:val="32"/>
          <w:rtl/>
        </w:rPr>
        <w:t xml:space="preserve"> بإقامة رهن رسمي على عقاره</w:t>
      </w:r>
      <w:r>
        <w:rPr>
          <w:rFonts w:cs="Traditional Arabic" w:hint="cs"/>
          <w:sz w:val="28"/>
          <w:szCs w:val="32"/>
          <w:rtl/>
        </w:rPr>
        <w:t xml:space="preserve"> .</w:t>
      </w:r>
      <w:r w:rsidRPr="00EC737F">
        <w:rPr>
          <w:rFonts w:cs="Traditional Arabic" w:hint="cs"/>
          <w:sz w:val="28"/>
          <w:szCs w:val="32"/>
          <w:rtl/>
        </w:rPr>
        <w:t xml:space="preserve"> يجب إذن أن يكون هناك دين مضمون قد نشأ صحيحاً</w:t>
      </w:r>
      <w:r>
        <w:rPr>
          <w:rFonts w:cs="Traditional Arabic" w:hint="cs"/>
          <w:sz w:val="28"/>
          <w:szCs w:val="32"/>
          <w:rtl/>
        </w:rPr>
        <w:t xml:space="preserve"> ،</w:t>
      </w:r>
      <w:r w:rsidRPr="00EC737F">
        <w:rPr>
          <w:rFonts w:cs="Traditional Arabic" w:hint="cs"/>
          <w:sz w:val="28"/>
          <w:szCs w:val="32"/>
          <w:rtl/>
        </w:rPr>
        <w:t xml:space="preserve"> ثم بقي قائماً إلى حين انعقاد الرهن</w:t>
      </w:r>
      <w:r>
        <w:rPr>
          <w:rFonts w:cs="Traditional Arabic" w:hint="cs"/>
          <w:sz w:val="28"/>
          <w:szCs w:val="32"/>
          <w:vertAlign w:val="superscript"/>
          <w:rtl/>
        </w:rPr>
        <w:t xml:space="preserve">( </w:t>
      </w:r>
      <w:r w:rsidRPr="00EC737F">
        <w:rPr>
          <w:rStyle w:val="ab"/>
          <w:rFonts w:cs="Traditional Arabic"/>
          <w:sz w:val="28"/>
          <w:szCs w:val="32"/>
          <w:rtl/>
        </w:rPr>
        <w:footnoteReference w:id="65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w:t>
      </w:r>
      <w:r w:rsidRPr="00EC737F">
        <w:rPr>
          <w:rFonts w:cs="Traditional Arabic" w:hint="cs"/>
          <w:sz w:val="28"/>
          <w:szCs w:val="32"/>
          <w:rtl/>
        </w:rPr>
        <w:lastRenderedPageBreak/>
        <w:t>يشترط في الدين المضمون أن يكون منجزاً</w:t>
      </w:r>
      <w:r>
        <w:rPr>
          <w:rFonts w:cs="Traditional Arabic" w:hint="cs"/>
          <w:sz w:val="28"/>
          <w:szCs w:val="32"/>
          <w:rtl/>
        </w:rPr>
        <w:t xml:space="preserve"> ،</w:t>
      </w:r>
      <w:r w:rsidRPr="00EC737F">
        <w:rPr>
          <w:rFonts w:cs="Traditional Arabic" w:hint="cs"/>
          <w:sz w:val="28"/>
          <w:szCs w:val="32"/>
          <w:rtl/>
        </w:rPr>
        <w:t xml:space="preserve"> فيجوز أن $293 يكون معلقاً على شرط أو مستقبلا أو احتمالياً</w:t>
      </w:r>
      <w:r>
        <w:rPr>
          <w:rFonts w:cs="Traditional Arabic" w:hint="cs"/>
          <w:sz w:val="28"/>
          <w:szCs w:val="32"/>
          <w:rtl/>
        </w:rPr>
        <w:t xml:space="preserve"> .</w:t>
      </w:r>
      <w:r w:rsidRPr="00EC737F">
        <w:rPr>
          <w:rFonts w:cs="Traditional Arabic" w:hint="cs"/>
          <w:sz w:val="28"/>
          <w:szCs w:val="32"/>
          <w:rtl/>
        </w:rPr>
        <w:t xml:space="preserve"> وعلى ذلك يجوز تقرير الرهن ضماناً لقرض لم يتم تنفيذه</w:t>
      </w:r>
      <w:r>
        <w:rPr>
          <w:rFonts w:cs="Traditional Arabic" w:hint="cs"/>
          <w:sz w:val="28"/>
          <w:szCs w:val="32"/>
          <w:rtl/>
        </w:rPr>
        <w:t xml:space="preserve"> ،</w:t>
      </w:r>
      <w:r w:rsidRPr="00EC737F">
        <w:rPr>
          <w:rFonts w:cs="Traditional Arabic" w:hint="cs"/>
          <w:sz w:val="28"/>
          <w:szCs w:val="32"/>
          <w:rtl/>
        </w:rPr>
        <w:t xml:space="preserve"> أو لاعتماد مفتوح</w:t>
      </w:r>
      <w:r>
        <w:rPr>
          <w:rFonts w:cs="Traditional Arabic" w:hint="cs"/>
          <w:sz w:val="28"/>
          <w:szCs w:val="32"/>
          <w:rtl/>
        </w:rPr>
        <w:t xml:space="preserve"> ،</w:t>
      </w:r>
      <w:r w:rsidRPr="00EC737F">
        <w:rPr>
          <w:rFonts w:cs="Traditional Arabic" w:hint="cs"/>
          <w:sz w:val="28"/>
          <w:szCs w:val="32"/>
          <w:rtl/>
        </w:rPr>
        <w:t xml:space="preserve"> أو لحساب جار</w:t>
      </w:r>
      <w:r>
        <w:rPr>
          <w:rFonts w:cs="Traditional Arabic" w:hint="cs"/>
          <w:sz w:val="28"/>
          <w:szCs w:val="32"/>
          <w:rtl/>
        </w:rPr>
        <w:t xml:space="preserve"> ،</w:t>
      </w:r>
      <w:r w:rsidRPr="00EC737F">
        <w:rPr>
          <w:rFonts w:cs="Traditional Arabic" w:hint="cs"/>
          <w:sz w:val="28"/>
          <w:szCs w:val="32"/>
          <w:rtl/>
        </w:rPr>
        <w:t xml:space="preserve"> ويجب على كل حال أن يكون الدين المضمون بالرهن معيناً تعيناً كافياً من حيث مصدره وتاريخه ومحله ومقداره</w:t>
      </w:r>
      <w:r>
        <w:rPr>
          <w:rFonts w:cs="Traditional Arabic" w:hint="cs"/>
          <w:sz w:val="28"/>
          <w:szCs w:val="32"/>
          <w:rtl/>
        </w:rPr>
        <w:t xml:space="preserve"> ،</w:t>
      </w:r>
      <w:r w:rsidRPr="00EC737F">
        <w:rPr>
          <w:rFonts w:cs="Traditional Arabic" w:hint="cs"/>
          <w:sz w:val="28"/>
          <w:szCs w:val="32"/>
          <w:rtl/>
        </w:rPr>
        <w:t xml:space="preserve"> فلا يجوز الرهن ضماناً لكل ما عسى أن ينشأ في ذمة الراهن من ديون للمرتهن</w:t>
      </w:r>
      <w:r>
        <w:rPr>
          <w:rFonts w:cs="Traditional Arabic" w:hint="cs"/>
          <w:sz w:val="28"/>
          <w:szCs w:val="32"/>
          <w:vertAlign w:val="superscript"/>
          <w:rtl/>
        </w:rPr>
        <w:t xml:space="preserve">( </w:t>
      </w:r>
      <w:r w:rsidRPr="00EC737F">
        <w:rPr>
          <w:rStyle w:val="ab"/>
          <w:rFonts w:cs="Traditional Arabic"/>
          <w:sz w:val="28"/>
          <w:szCs w:val="32"/>
          <w:rtl/>
        </w:rPr>
        <w:footnoteReference w:id="65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ويجب على الأقل أن يعين الحد الأقصى للدين في الاعتماد المفتوح وفي الحساب الجاري</w:t>
      </w:r>
      <w:r>
        <w:rPr>
          <w:rFonts w:cs="Traditional Arabic" w:hint="cs"/>
          <w:sz w:val="28"/>
          <w:szCs w:val="32"/>
          <w:rtl/>
        </w:rPr>
        <w:t xml:space="preserve"> ،</w:t>
      </w:r>
      <w:r w:rsidRPr="00EC737F">
        <w:rPr>
          <w:rFonts w:cs="Traditional Arabic" w:hint="cs"/>
          <w:sz w:val="28"/>
          <w:szCs w:val="32"/>
          <w:rtl/>
        </w:rPr>
        <w:t xml:space="preserve"> وإذا عين ميعاد يقفل فه الاعتماد المفتوح أو الحساب الجاري لم يضمن الرهن إلا المبالغ المستحقة في هذا الميعاد ولو لم تصل إلى الحد الأقصى المتفق عليه</w:t>
      </w:r>
      <w:r>
        <w:rPr>
          <w:rFonts w:cs="Traditional Arabic" w:hint="cs"/>
          <w:sz w:val="28"/>
          <w:szCs w:val="32"/>
          <w:rtl/>
        </w:rPr>
        <w:t xml:space="preserve"> ،</w:t>
      </w:r>
      <w:r w:rsidRPr="00EC737F">
        <w:rPr>
          <w:rFonts w:cs="Traditional Arabic" w:hint="cs"/>
          <w:sz w:val="28"/>
          <w:szCs w:val="32"/>
          <w:rtl/>
        </w:rPr>
        <w:t xml:space="preserve"> وتكون مرتبة هذا الرهن من يوم قيده لا من يوم تحقق الدين </w:t>
      </w:r>
      <w:r>
        <w:rPr>
          <w:rFonts w:cs="Traditional Arabic" w:hint="cs"/>
          <w:sz w:val="28"/>
          <w:szCs w:val="32"/>
          <w:rtl/>
        </w:rPr>
        <w:t xml:space="preserve">( </w:t>
      </w:r>
      <w:r w:rsidRPr="00EC737F">
        <w:rPr>
          <w:rFonts w:cs="Traditional Arabic" w:hint="cs"/>
          <w:sz w:val="28"/>
          <w:szCs w:val="32"/>
          <w:rtl/>
        </w:rPr>
        <w:t>م 1040 مدني</w:t>
      </w:r>
      <w:r>
        <w:rPr>
          <w:rFonts w:cs="Traditional Arabic" w:hint="cs"/>
          <w:sz w:val="28"/>
          <w:szCs w:val="32"/>
          <w:rtl/>
        </w:rPr>
        <w:t xml:space="preserve">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65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132- خطة البحث</w:t>
      </w:r>
      <w:r>
        <w:rPr>
          <w:rFonts w:cs="Traditional Arabic" w:hint="cs"/>
          <w:sz w:val="28"/>
          <w:szCs w:val="32"/>
          <w:rtl/>
        </w:rPr>
        <w:t xml:space="preserve"> :</w:t>
      </w:r>
      <w:r w:rsidRPr="00EC737F">
        <w:rPr>
          <w:rFonts w:cs="Traditional Arabic" w:hint="cs"/>
          <w:sz w:val="28"/>
          <w:szCs w:val="32"/>
          <w:rtl/>
        </w:rPr>
        <w:t xml:space="preserve"> ولا نقف فيما تقدم إلا على المسائل التي هي في صميم عقد الرهن الرسمي</w:t>
      </w:r>
      <w:r>
        <w:rPr>
          <w:rFonts w:cs="Traditional Arabic" w:hint="cs"/>
          <w:sz w:val="28"/>
          <w:szCs w:val="32"/>
          <w:rtl/>
        </w:rPr>
        <w:t xml:space="preserve"> ،</w:t>
      </w:r>
      <w:r w:rsidRPr="00EC737F">
        <w:rPr>
          <w:rFonts w:cs="Traditional Arabic" w:hint="cs"/>
          <w:sz w:val="28"/>
          <w:szCs w:val="32"/>
          <w:rtl/>
        </w:rPr>
        <w:t xml:space="preserve"> تاركين ما عدا ذلك من البحوث التي يشترك فيها الرهن مع سائر العقود</w:t>
      </w:r>
      <w:r>
        <w:rPr>
          <w:rFonts w:cs="Traditional Arabic" w:hint="cs"/>
          <w:sz w:val="28"/>
          <w:szCs w:val="32"/>
          <w:rtl/>
        </w:rPr>
        <w:t xml:space="preserve"> .</w:t>
      </w:r>
      <w:r w:rsidRPr="00EC737F">
        <w:rPr>
          <w:rFonts w:cs="Traditional Arabic" w:hint="cs"/>
          <w:sz w:val="28"/>
          <w:szCs w:val="32"/>
          <w:rtl/>
        </w:rPr>
        <w:t xml:space="preserve"> فنبحث أمرين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الراهن وملكيته للعقار المرهون</w:t>
      </w:r>
      <w:r>
        <w:rPr>
          <w:rFonts w:cs="Traditional Arabic" w:hint="cs"/>
          <w:sz w:val="28"/>
          <w:szCs w:val="32"/>
          <w:rtl/>
        </w:rPr>
        <w:t xml:space="preserve"> ،</w:t>
      </w:r>
      <w:r w:rsidRPr="00EC737F">
        <w:rPr>
          <w:rFonts w:cs="Traditional Arabic" w:hint="cs"/>
          <w:sz w:val="28"/>
          <w:szCs w:val="32"/>
          <w:rtl/>
        </w:rPr>
        <w:t xml:space="preserve"> وأهليته للتصرف فيه</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تخصيص الرهن من حيث العقار المرهون</w:t>
      </w:r>
      <w:r>
        <w:rPr>
          <w:rFonts w:cs="Traditional Arabic" w:hint="cs"/>
          <w:sz w:val="28"/>
          <w:szCs w:val="32"/>
          <w:rtl/>
        </w:rPr>
        <w:t xml:space="preserve"> ،</w:t>
      </w:r>
      <w:r w:rsidRPr="00EC737F">
        <w:rPr>
          <w:rFonts w:cs="Traditional Arabic" w:hint="cs"/>
          <w:sz w:val="28"/>
          <w:szCs w:val="32"/>
          <w:rtl/>
        </w:rPr>
        <w:t xml:space="preserve"> ومن حيث الدين المضمون</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sz w:val="28"/>
          <w:szCs w:val="32"/>
          <w:rtl/>
        </w:rPr>
      </w:pPr>
      <w:r w:rsidRPr="00EC737F">
        <w:rPr>
          <w:rFonts w:cs="Traditional Arabic" w:hint="cs"/>
          <w:sz w:val="28"/>
          <w:szCs w:val="32"/>
          <w:rtl/>
        </w:rPr>
        <w:t xml:space="preserve">$ 284 </w:t>
      </w:r>
      <w:r w:rsidRPr="00EC737F">
        <w:rPr>
          <w:rFonts w:cs="Traditional Arabic" w:hint="cs"/>
          <w:b/>
          <w:bCs/>
          <w:sz w:val="28"/>
          <w:szCs w:val="44"/>
          <w:rtl/>
        </w:rPr>
        <w:t>المطلب الأول</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الراهن وملكيته للعقار المرهون وأهليته للتصرف فيه</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133- نص قانوني</w:t>
      </w:r>
      <w:r>
        <w:rPr>
          <w:rFonts w:cs="Traditional Arabic" w:hint="cs"/>
          <w:sz w:val="28"/>
          <w:szCs w:val="32"/>
          <w:rtl/>
        </w:rPr>
        <w:t xml:space="preserve"> :</w:t>
      </w:r>
      <w:r w:rsidRPr="00EC737F">
        <w:rPr>
          <w:rFonts w:cs="Traditional Arabic" w:hint="cs"/>
          <w:sz w:val="28"/>
          <w:szCs w:val="32"/>
          <w:rtl/>
        </w:rPr>
        <w:t xml:space="preserve"> تنص المادة 1032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"1- يجوز أن يكون الراهن هو نس المدين</w:t>
      </w:r>
      <w:r>
        <w:rPr>
          <w:rFonts w:cs="Traditional Arabic" w:hint="cs"/>
          <w:sz w:val="28"/>
          <w:szCs w:val="32"/>
          <w:rtl/>
        </w:rPr>
        <w:t xml:space="preserve"> ،</w:t>
      </w:r>
      <w:r w:rsidRPr="00EC737F">
        <w:rPr>
          <w:rFonts w:cs="Traditional Arabic" w:hint="cs"/>
          <w:sz w:val="28"/>
          <w:szCs w:val="32"/>
          <w:rtl/>
        </w:rPr>
        <w:t xml:space="preserve"> كما يجوز أن يكون شخصاً آخر يقدم رهناً لمصلحة المدين"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وفي كلتا الحالتين يجب أن يكون الراهن مالكاً للعقار المرهون</w:t>
      </w:r>
      <w:r>
        <w:rPr>
          <w:rFonts w:cs="Traditional Arabic" w:hint="cs"/>
          <w:sz w:val="28"/>
          <w:szCs w:val="32"/>
          <w:rtl/>
        </w:rPr>
        <w:t xml:space="preserve"> ،</w:t>
      </w:r>
      <w:r w:rsidRPr="00EC737F">
        <w:rPr>
          <w:rFonts w:cs="Traditional Arabic" w:hint="cs"/>
          <w:sz w:val="28"/>
          <w:szCs w:val="32"/>
          <w:rtl/>
        </w:rPr>
        <w:t xml:space="preserve"> وأهلا للتصرف فيه"</w:t>
      </w:r>
      <w:r>
        <w:rPr>
          <w:rFonts w:cs="Traditional Arabic" w:hint="cs"/>
          <w:sz w:val="28"/>
          <w:szCs w:val="32"/>
          <w:vertAlign w:val="superscript"/>
          <w:rtl/>
        </w:rPr>
        <w:t xml:space="preserve">( </w:t>
      </w:r>
      <w:r w:rsidRPr="00EC737F">
        <w:rPr>
          <w:rStyle w:val="ab"/>
          <w:rFonts w:cs="Traditional Arabic"/>
          <w:sz w:val="28"/>
          <w:szCs w:val="32"/>
          <w:rtl/>
        </w:rPr>
        <w:footnoteReference w:id="65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النص في التقنين المدني السابق م 558/682</w:t>
      </w:r>
      <w:r>
        <w:rPr>
          <w:rFonts w:cs="Traditional Arabic" w:hint="cs"/>
          <w:sz w:val="28"/>
          <w:szCs w:val="32"/>
          <w:vertAlign w:val="superscript"/>
          <w:rtl/>
        </w:rPr>
        <w:t xml:space="preserve">( </w:t>
      </w:r>
      <w:r w:rsidRPr="00EC737F">
        <w:rPr>
          <w:rStyle w:val="ab"/>
          <w:rFonts w:cs="Traditional Arabic"/>
          <w:sz w:val="28"/>
          <w:szCs w:val="32"/>
          <w:rtl/>
        </w:rPr>
        <w:footnoteReference w:id="65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ويقابل في التقنينات المدنية العربية الأخرى</w:t>
      </w:r>
      <w:r>
        <w:rPr>
          <w:rFonts w:cs="Traditional Arabic" w:hint="cs"/>
          <w:sz w:val="28"/>
          <w:szCs w:val="32"/>
          <w:rtl/>
        </w:rPr>
        <w:t xml:space="preserve"> :</w:t>
      </w:r>
      <w:r w:rsidRPr="00EC737F">
        <w:rPr>
          <w:rFonts w:cs="Traditional Arabic" w:hint="cs"/>
          <w:sz w:val="28"/>
          <w:szCs w:val="32"/>
          <w:rtl/>
        </w:rPr>
        <w:t xml:space="preserve"> في التقنين المدني السوري م 1079 </w:t>
      </w:r>
      <w:r w:rsidRPr="00EC737F">
        <w:rPr>
          <w:rFonts w:cs="Traditional Arabic"/>
          <w:sz w:val="28"/>
          <w:szCs w:val="32"/>
          <w:rtl/>
        </w:rPr>
        <w:t>–</w:t>
      </w:r>
      <w:r w:rsidRPr="00EC737F">
        <w:rPr>
          <w:rFonts w:cs="Traditional Arabic" w:hint="cs"/>
          <w:sz w:val="28"/>
          <w:szCs w:val="32"/>
          <w:rtl/>
        </w:rPr>
        <w:t xml:space="preserve"> وفي التقنين المدني الليبي م 1035 </w:t>
      </w:r>
      <w:r w:rsidRPr="00EC737F">
        <w:rPr>
          <w:rFonts w:cs="Traditional Arabic"/>
          <w:sz w:val="28"/>
          <w:szCs w:val="32"/>
          <w:rtl/>
        </w:rPr>
        <w:t>–</w:t>
      </w:r>
      <w:r w:rsidRPr="00EC737F">
        <w:rPr>
          <w:rFonts w:cs="Traditional Arabic" w:hint="cs"/>
          <w:sz w:val="28"/>
          <w:szCs w:val="32"/>
          <w:rtl/>
        </w:rPr>
        <w:t xml:space="preserve"> وفي التقنين المدني العراقي م 1287 </w:t>
      </w:r>
      <w:r w:rsidRPr="00EC737F">
        <w:rPr>
          <w:rFonts w:cs="Traditional Arabic"/>
          <w:sz w:val="28"/>
          <w:szCs w:val="32"/>
          <w:rtl/>
        </w:rPr>
        <w:t>–</w:t>
      </w:r>
      <w:r w:rsidRPr="00EC737F">
        <w:rPr>
          <w:rFonts w:cs="Traditional Arabic" w:hint="cs"/>
          <w:sz w:val="28"/>
          <w:szCs w:val="32"/>
          <w:rtl/>
        </w:rPr>
        <w:t xml:space="preserve"> وفي قانون الملكية العقارية اللبناني م 128</w:t>
      </w:r>
      <w:r>
        <w:rPr>
          <w:rFonts w:cs="Traditional Arabic" w:hint="cs"/>
          <w:sz w:val="28"/>
          <w:szCs w:val="32"/>
          <w:vertAlign w:val="superscript"/>
          <w:rtl/>
        </w:rPr>
        <w:t xml:space="preserve">( </w:t>
      </w:r>
      <w:r w:rsidRPr="00EC737F">
        <w:rPr>
          <w:rStyle w:val="ab"/>
          <w:rFonts w:cs="Traditional Arabic"/>
          <w:sz w:val="28"/>
          <w:szCs w:val="32"/>
          <w:rtl/>
        </w:rPr>
        <w:footnoteReference w:id="65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$295 والأصل يكون الراهن هو نفس المدين</w:t>
      </w:r>
      <w:r>
        <w:rPr>
          <w:rFonts w:cs="Traditional Arabic" w:hint="cs"/>
          <w:sz w:val="28"/>
          <w:szCs w:val="32"/>
          <w:rtl/>
        </w:rPr>
        <w:t xml:space="preserve"> ،</w:t>
      </w:r>
      <w:r w:rsidRPr="00EC737F">
        <w:rPr>
          <w:rFonts w:cs="Traditional Arabic" w:hint="cs"/>
          <w:sz w:val="28"/>
          <w:szCs w:val="32"/>
          <w:rtl/>
        </w:rPr>
        <w:t xml:space="preserve"> يرتب رهناً رسمياً على عقار مملوك له تأميناً للوفاء  </w:t>
      </w:r>
      <w:r w:rsidRPr="00EC737F">
        <w:rPr>
          <w:rFonts w:cs="Traditional Arabic" w:hint="cs"/>
          <w:sz w:val="28"/>
          <w:szCs w:val="32"/>
          <w:rtl/>
        </w:rPr>
        <w:lastRenderedPageBreak/>
        <w:t>بدين في ذمته</w:t>
      </w:r>
      <w:r>
        <w:rPr>
          <w:rFonts w:cs="Traditional Arabic" w:hint="cs"/>
          <w:sz w:val="28"/>
          <w:szCs w:val="32"/>
          <w:rtl/>
        </w:rPr>
        <w:t xml:space="preserve"> .</w:t>
      </w:r>
      <w:r w:rsidRPr="00EC737F">
        <w:rPr>
          <w:rFonts w:cs="Traditional Arabic" w:hint="cs"/>
          <w:sz w:val="28"/>
          <w:szCs w:val="32"/>
          <w:rtl/>
        </w:rPr>
        <w:t xml:space="preserve"> ولكن لا يوجد ما يمنع من أن يكون المدين والراهن شخصين مختلفين</w:t>
      </w:r>
      <w:r>
        <w:rPr>
          <w:rFonts w:cs="Traditional Arabic" w:hint="cs"/>
          <w:sz w:val="28"/>
          <w:szCs w:val="32"/>
          <w:rtl/>
        </w:rPr>
        <w:t xml:space="preserve"> ،</w:t>
      </w:r>
      <w:r w:rsidRPr="00EC737F">
        <w:rPr>
          <w:rFonts w:cs="Traditional Arabic" w:hint="cs"/>
          <w:sz w:val="28"/>
          <w:szCs w:val="32"/>
          <w:rtl/>
        </w:rPr>
        <w:t xml:space="preserve"> فيترتب الدين في ذمة المدين</w:t>
      </w:r>
      <w:r>
        <w:rPr>
          <w:rFonts w:cs="Traditional Arabic" w:hint="cs"/>
          <w:sz w:val="28"/>
          <w:szCs w:val="32"/>
          <w:rtl/>
        </w:rPr>
        <w:t xml:space="preserve"> ،</w:t>
      </w:r>
      <w:r w:rsidRPr="00EC737F">
        <w:rPr>
          <w:rFonts w:cs="Traditional Arabic" w:hint="cs"/>
          <w:sz w:val="28"/>
          <w:szCs w:val="32"/>
          <w:rtl/>
        </w:rPr>
        <w:t xml:space="preserve"> ويرتب شخص آخر على عقار مملوك له رهناً رسمياً تأميناً للدين</w:t>
      </w:r>
      <w:r>
        <w:rPr>
          <w:rFonts w:cs="Traditional Arabic" w:hint="cs"/>
          <w:sz w:val="28"/>
          <w:szCs w:val="32"/>
          <w:rtl/>
        </w:rPr>
        <w:t xml:space="preserve"> .</w:t>
      </w:r>
      <w:r w:rsidRPr="00EC737F">
        <w:rPr>
          <w:rFonts w:cs="Traditional Arabic" w:hint="cs"/>
          <w:sz w:val="28"/>
          <w:szCs w:val="32"/>
          <w:rtl/>
        </w:rPr>
        <w:t xml:space="preserve"> وفي هذه الحالة</w:t>
      </w:r>
      <w:r>
        <w:rPr>
          <w:rFonts w:cs="Traditional Arabic" w:hint="cs"/>
          <w:sz w:val="28"/>
          <w:szCs w:val="32"/>
          <w:rtl/>
        </w:rPr>
        <w:t xml:space="preserve"> ،</w:t>
      </w:r>
      <w:r w:rsidRPr="00EC737F">
        <w:rPr>
          <w:rFonts w:cs="Traditional Arabic" w:hint="cs"/>
          <w:sz w:val="28"/>
          <w:szCs w:val="32"/>
          <w:rtl/>
        </w:rPr>
        <w:t xml:space="preserve"> كما سبق القول</w:t>
      </w:r>
      <w:r>
        <w:rPr>
          <w:rFonts w:cs="Traditional Arabic" w:hint="cs"/>
          <w:sz w:val="28"/>
          <w:szCs w:val="32"/>
          <w:rtl/>
        </w:rPr>
        <w:t xml:space="preserve"> ،</w:t>
      </w:r>
      <w:r w:rsidRPr="00EC737F">
        <w:rPr>
          <w:rFonts w:cs="Traditional Arabic" w:hint="cs"/>
          <w:sz w:val="28"/>
          <w:szCs w:val="32"/>
          <w:rtl/>
        </w:rPr>
        <w:t xml:space="preserve"> يسمى الراهن كفيلا عينياً</w:t>
      </w:r>
      <w:r>
        <w:rPr>
          <w:rFonts w:cs="Traditional Arabic" w:hint="cs"/>
          <w:sz w:val="28"/>
          <w:szCs w:val="32"/>
          <w:rtl/>
        </w:rPr>
        <w:t xml:space="preserve"> ،</w:t>
      </w:r>
      <w:r w:rsidRPr="00EC737F">
        <w:rPr>
          <w:rFonts w:cs="Traditional Arabic" w:hint="cs"/>
          <w:sz w:val="28"/>
          <w:szCs w:val="32"/>
          <w:rtl/>
        </w:rPr>
        <w:t xml:space="preserve"> لأنه يكفل الدين ولكن في حدود العقار الذي رتب عليه الرهن الرسمي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وسواء كان الراهن هو المدين نفسه كما هو الغالب أو كان كفيلا عينياً</w:t>
      </w:r>
      <w:r>
        <w:rPr>
          <w:rFonts w:cs="Traditional Arabic" w:hint="cs"/>
          <w:sz w:val="28"/>
          <w:szCs w:val="32"/>
          <w:rtl/>
        </w:rPr>
        <w:t xml:space="preserve"> ،</w:t>
      </w:r>
      <w:r w:rsidRPr="00EC737F">
        <w:rPr>
          <w:rFonts w:cs="Traditional Arabic" w:hint="cs"/>
          <w:sz w:val="28"/>
          <w:szCs w:val="32"/>
          <w:rtl/>
        </w:rPr>
        <w:t xml:space="preserve"> فالأمر بالنسبة إليه لا يتغير إلا في قليل من المسائل سيأتي ذكرها</w:t>
      </w:r>
      <w:r>
        <w:rPr>
          <w:rFonts w:cs="Traditional Arabic" w:hint="cs"/>
          <w:sz w:val="28"/>
          <w:szCs w:val="32"/>
          <w:rtl/>
        </w:rPr>
        <w:t xml:space="preserve"> .</w:t>
      </w:r>
      <w:r w:rsidRPr="00EC737F">
        <w:rPr>
          <w:rFonts w:cs="Traditional Arabic" w:hint="cs"/>
          <w:sz w:val="28"/>
          <w:szCs w:val="32"/>
          <w:rtl/>
        </w:rPr>
        <w:t xml:space="preserve"> ويجب أن يكون الراهن في الحالتين مالكاً للعقار المرهون</w:t>
      </w:r>
      <w:r>
        <w:rPr>
          <w:rFonts w:cs="Traditional Arabic" w:hint="cs"/>
          <w:sz w:val="28"/>
          <w:szCs w:val="32"/>
          <w:rtl/>
        </w:rPr>
        <w:t xml:space="preserve"> ،</w:t>
      </w:r>
      <w:r w:rsidRPr="00EC737F">
        <w:rPr>
          <w:rFonts w:cs="Traditional Arabic" w:hint="cs"/>
          <w:sz w:val="28"/>
          <w:szCs w:val="32"/>
          <w:rtl/>
        </w:rPr>
        <w:t xml:space="preserve"> وأهلا للتصرف فيه</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b/>
          <w:bCs/>
          <w:sz w:val="28"/>
          <w:szCs w:val="32"/>
          <w:rtl/>
        </w:rPr>
        <w:t>§</w:t>
      </w:r>
      <w:r w:rsidRPr="00EC737F">
        <w:rPr>
          <w:rFonts w:cs="Traditional Arabic" w:hint="cs"/>
          <w:b/>
          <w:bCs/>
          <w:sz w:val="28"/>
          <w:szCs w:val="32"/>
          <w:rtl/>
        </w:rPr>
        <w:t>1</w:t>
      </w:r>
      <w:r w:rsidRPr="00EC737F">
        <w:rPr>
          <w:rFonts w:cs="Traditional Arabic"/>
          <w:b/>
          <w:bCs/>
          <w:sz w:val="28"/>
          <w:szCs w:val="32"/>
          <w:rtl/>
        </w:rPr>
        <w:t>–</w:t>
      </w:r>
      <w:r w:rsidRPr="00EC737F">
        <w:rPr>
          <w:rFonts w:cs="Traditional Arabic" w:hint="cs"/>
          <w:b/>
          <w:bCs/>
          <w:sz w:val="28"/>
          <w:szCs w:val="32"/>
          <w:rtl/>
        </w:rPr>
        <w:t xml:space="preserve"> ملكية الراهن للعقار المرهون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134- وجوب أن يكون الراهن مالكا للعقار المرهون</w:t>
      </w:r>
      <w:r>
        <w:rPr>
          <w:rFonts w:cs="Traditional Arabic" w:hint="cs"/>
          <w:sz w:val="28"/>
          <w:szCs w:val="32"/>
          <w:rtl/>
        </w:rPr>
        <w:t xml:space="preserve"> :</w:t>
      </w:r>
      <w:r w:rsidRPr="00EC737F">
        <w:rPr>
          <w:rFonts w:cs="Traditional Arabic" w:hint="cs"/>
          <w:sz w:val="28"/>
          <w:szCs w:val="32"/>
          <w:rtl/>
        </w:rPr>
        <w:t xml:space="preserve"> يجب أن يكون الراهن كما قدمنا مالكاً للعقار المرهون</w:t>
      </w:r>
      <w:r>
        <w:rPr>
          <w:rFonts w:cs="Traditional Arabic" w:hint="cs"/>
          <w:sz w:val="28"/>
          <w:szCs w:val="32"/>
          <w:rtl/>
        </w:rPr>
        <w:t xml:space="preserve"> ،</w:t>
      </w:r>
      <w:r w:rsidRPr="00EC737F">
        <w:rPr>
          <w:rFonts w:cs="Traditional Arabic" w:hint="cs"/>
          <w:sz w:val="28"/>
          <w:szCs w:val="32"/>
          <w:rtl/>
        </w:rPr>
        <w:t xml:space="preserve"> لأنه برهنه لهذا العقار يتصرف فيه ولو تصرفاً جزئياً</w:t>
      </w:r>
      <w:r>
        <w:rPr>
          <w:rFonts w:cs="Traditional Arabic" w:hint="cs"/>
          <w:sz w:val="28"/>
          <w:szCs w:val="32"/>
          <w:rtl/>
        </w:rPr>
        <w:t xml:space="preserve"> ،</w:t>
      </w:r>
      <w:r w:rsidRPr="00EC737F">
        <w:rPr>
          <w:rFonts w:cs="Traditional Arabic" w:hint="cs"/>
          <w:sz w:val="28"/>
          <w:szCs w:val="32"/>
          <w:rtl/>
        </w:rPr>
        <w:t xml:space="preserve"> ويجب أن يكون من يتصرف في عقار مالكاً له</w:t>
      </w:r>
      <w:r>
        <w:rPr>
          <w:rFonts w:cs="Traditional Arabic" w:hint="cs"/>
          <w:sz w:val="28"/>
          <w:szCs w:val="32"/>
          <w:rtl/>
        </w:rPr>
        <w:t xml:space="preserve"> ،</w:t>
      </w:r>
      <w:r w:rsidRPr="00EC737F">
        <w:rPr>
          <w:rFonts w:cs="Traditional Arabic" w:hint="cs"/>
          <w:sz w:val="28"/>
          <w:szCs w:val="32"/>
          <w:rtl/>
        </w:rPr>
        <w:t xml:space="preserve"> إلا إذا كان مفوضاً في رهنه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ومتى كان الرهن هو المالك للعقار المرهون</w:t>
      </w:r>
      <w:r>
        <w:rPr>
          <w:rFonts w:cs="Traditional Arabic" w:hint="cs"/>
          <w:sz w:val="28"/>
          <w:szCs w:val="32"/>
          <w:rtl/>
        </w:rPr>
        <w:t xml:space="preserve"> ،</w:t>
      </w:r>
      <w:r w:rsidRPr="00EC737F">
        <w:rPr>
          <w:rFonts w:cs="Traditional Arabic" w:hint="cs"/>
          <w:sz w:val="28"/>
          <w:szCs w:val="32"/>
          <w:rtl/>
        </w:rPr>
        <w:t xml:space="preserve"> فإنه يستطيع أن يرهنه بنفسه</w:t>
      </w:r>
      <w:r>
        <w:rPr>
          <w:rFonts w:cs="Traditional Arabic" w:hint="cs"/>
          <w:sz w:val="28"/>
          <w:vertAlign w:val="superscript"/>
          <w:rtl/>
        </w:rPr>
        <w:t xml:space="preserve">( </w:t>
      </w:r>
      <w:r w:rsidRPr="00EC737F">
        <w:rPr>
          <w:rStyle w:val="ab"/>
          <w:rFonts w:cs="Traditional Arabic"/>
          <w:sz w:val="28"/>
          <w:rtl/>
        </w:rPr>
        <w:footnoteReference w:id="656"/>
      </w:r>
      <w:r>
        <w:rPr>
          <w:rFonts w:cs="Traditional Arabic" w:hint="cs"/>
          <w:sz w:val="28"/>
          <w:vertAlign w:val="superscript"/>
          <w:rtl/>
        </w:rPr>
        <w:t xml:space="preserve"> )</w:t>
      </w:r>
      <w:r w:rsidRPr="00EC737F">
        <w:rPr>
          <w:rFonts w:cs="Traditional Arabic" w:hint="cs"/>
          <w:sz w:val="28"/>
          <w:rtl/>
        </w:rPr>
        <w:t xml:space="preserve"> إذا كان كامل الأهلية كما سيأتي</w:t>
      </w:r>
      <w:r>
        <w:rPr>
          <w:rFonts w:cs="Traditional Arabic" w:hint="cs"/>
          <w:sz w:val="28"/>
          <w:rtl/>
        </w:rPr>
        <w:t xml:space="preserve"> .</w:t>
      </w:r>
      <w:r w:rsidRPr="00EC737F">
        <w:rPr>
          <w:rFonts w:cs="Traditional Arabic" w:hint="cs"/>
          <w:sz w:val="28"/>
          <w:rtl/>
        </w:rPr>
        <w:t xml:space="preserve"> </w:t>
      </w:r>
      <w:r w:rsidRPr="00EC737F">
        <w:rPr>
          <w:rFonts w:cs="Traditional Arabic" w:hint="cs"/>
          <w:sz w:val="28"/>
          <w:rtl/>
        </w:rPr>
        <w:lastRenderedPageBreak/>
        <w:t xml:space="preserve">فإذا لم يكن كامل الأهلية </w:t>
      </w:r>
      <w:r>
        <w:rPr>
          <w:rFonts w:cs="Traditional Arabic" w:hint="cs"/>
          <w:sz w:val="28"/>
          <w:rtl/>
        </w:rPr>
        <w:t xml:space="preserve"> ،</w:t>
      </w:r>
      <w:r w:rsidRPr="00EC737F">
        <w:rPr>
          <w:rFonts w:cs="Traditional Arabic" w:hint="cs"/>
          <w:sz w:val="28"/>
          <w:rtl/>
        </w:rPr>
        <w:t xml:space="preserve"> $296</w:t>
      </w:r>
      <w:r w:rsidRPr="00EC737F">
        <w:rPr>
          <w:rFonts w:cs="Traditional Arabic" w:hint="cs"/>
          <w:sz w:val="28"/>
          <w:szCs w:val="32"/>
          <w:rtl/>
        </w:rPr>
        <w:t xml:space="preserve"> جاز لوليه أو لوصيه أو للقيم أن يرهنه بالشروط التي رسمها القانون لذلك وسيأتي ذكرها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rtl/>
        </w:rPr>
      </w:pPr>
      <w:r w:rsidRPr="00EC737F">
        <w:rPr>
          <w:rFonts w:cs="Traditional Arabic" w:hint="cs"/>
          <w:sz w:val="28"/>
          <w:szCs w:val="32"/>
          <w:rtl/>
        </w:rPr>
        <w:t>ويجوز لكامل الأهلية أن يوكل عنه من يرهن عقاره</w:t>
      </w:r>
      <w:r>
        <w:rPr>
          <w:rFonts w:cs="Traditional Arabic" w:hint="cs"/>
          <w:sz w:val="28"/>
          <w:szCs w:val="32"/>
          <w:rtl/>
        </w:rPr>
        <w:t xml:space="preserve"> ،</w:t>
      </w:r>
      <w:r w:rsidRPr="00EC737F">
        <w:rPr>
          <w:rFonts w:cs="Traditional Arabic" w:hint="cs"/>
          <w:sz w:val="28"/>
          <w:szCs w:val="32"/>
          <w:rtl/>
        </w:rPr>
        <w:t xml:space="preserve"> وقد سبق الكلام في التوكيل في الرهن الرسمي وبينا أن التوكيل يجب أن يكون في عقد رسمي وإلا كأن باطلا</w:t>
      </w:r>
      <w:r>
        <w:rPr>
          <w:rFonts w:cs="Traditional Arabic" w:hint="cs"/>
          <w:sz w:val="28"/>
          <w:szCs w:val="32"/>
          <w:vertAlign w:val="superscript"/>
          <w:rtl/>
        </w:rPr>
        <w:t xml:space="preserve">( </w:t>
      </w:r>
      <w:r w:rsidRPr="00EC737F">
        <w:rPr>
          <w:rStyle w:val="ab"/>
          <w:rFonts w:cs="Traditional Arabic"/>
          <w:sz w:val="28"/>
          <w:szCs w:val="32"/>
          <w:rtl/>
        </w:rPr>
        <w:footnoteReference w:id="657"/>
      </w:r>
      <w:r>
        <w:rPr>
          <w:rFonts w:cs="Traditional Arabic" w:hint="cs"/>
          <w:sz w:val="28"/>
          <w:szCs w:val="32"/>
          <w:vertAlign w:val="superscript"/>
          <w:rtl/>
        </w:rPr>
        <w:t xml:space="preserve"> )</w:t>
      </w:r>
      <w:r>
        <w:rPr>
          <w:rFonts w:cs="Traditional Arabic" w:hint="cs"/>
          <w:sz w:val="28"/>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يكون الراهن غير مالك للعقار المرهون الموجود حالا</w:t>
      </w:r>
      <w:r>
        <w:rPr>
          <w:rFonts w:cs="Traditional Arabic" w:hint="cs"/>
          <w:sz w:val="28"/>
          <w:szCs w:val="32"/>
          <w:rtl/>
        </w:rPr>
        <w:t xml:space="preserve"> ،</w:t>
      </w:r>
      <w:r w:rsidRPr="00EC737F">
        <w:rPr>
          <w:rFonts w:cs="Traditional Arabic" w:hint="cs"/>
          <w:sz w:val="28"/>
          <w:szCs w:val="32"/>
          <w:rtl/>
        </w:rPr>
        <w:t xml:space="preserve"> فإذا رهنه كأن الرهن قابلا للإبطال</w:t>
      </w:r>
      <w:r>
        <w:rPr>
          <w:rFonts w:cs="Traditional Arabic" w:hint="cs"/>
          <w:sz w:val="28"/>
          <w:szCs w:val="32"/>
          <w:rtl/>
        </w:rPr>
        <w:t xml:space="preserve"> .</w:t>
      </w:r>
      <w:r w:rsidRPr="00EC737F">
        <w:rPr>
          <w:rFonts w:cs="Traditional Arabic" w:hint="cs"/>
          <w:sz w:val="28"/>
          <w:szCs w:val="32"/>
          <w:rtl/>
        </w:rPr>
        <w:t xml:space="preserve"> أما إذا كأن العقار مالا مستقبلا</w:t>
      </w:r>
      <w:r>
        <w:rPr>
          <w:rFonts w:cs="Traditional Arabic" w:hint="cs"/>
          <w:sz w:val="28"/>
          <w:szCs w:val="32"/>
          <w:rtl/>
        </w:rPr>
        <w:t xml:space="preserve"> ،</w:t>
      </w:r>
      <w:r w:rsidRPr="00EC737F">
        <w:rPr>
          <w:rFonts w:cs="Traditional Arabic" w:hint="cs"/>
          <w:sz w:val="28"/>
          <w:szCs w:val="32"/>
          <w:rtl/>
        </w:rPr>
        <w:t xml:space="preserve"> فالراهن لا يستطيع أن يرهن أن يرهنه ويكون رهنه في هذه الحالة باطلا</w:t>
      </w:r>
      <w:r>
        <w:rPr>
          <w:rFonts w:cs="Traditional Arabic" w:hint="cs"/>
          <w:sz w:val="28"/>
          <w:szCs w:val="32"/>
          <w:rtl/>
        </w:rPr>
        <w:t xml:space="preserve"> .</w:t>
      </w:r>
      <w:r w:rsidRPr="00EC737F">
        <w:rPr>
          <w:rFonts w:cs="Traditional Arabic" w:hint="cs"/>
          <w:sz w:val="28"/>
          <w:szCs w:val="32"/>
          <w:rtl/>
        </w:rPr>
        <w:t xml:space="preserve"> وإذا كأن المالك الظاهر للعقار هو الذي يتصرف فيه بالرهن الرسمي</w:t>
      </w:r>
      <w:r>
        <w:rPr>
          <w:rFonts w:cs="Traditional Arabic" w:hint="cs"/>
          <w:sz w:val="28"/>
          <w:szCs w:val="32"/>
          <w:rtl/>
        </w:rPr>
        <w:t xml:space="preserve"> ،</w:t>
      </w:r>
      <w:r w:rsidRPr="00EC737F">
        <w:rPr>
          <w:rFonts w:cs="Traditional Arabic" w:hint="cs"/>
          <w:sz w:val="28"/>
          <w:szCs w:val="32"/>
          <w:rtl/>
        </w:rPr>
        <w:t xml:space="preserve"> كأن رهنه صحيحاً</w:t>
      </w:r>
      <w:r>
        <w:rPr>
          <w:rFonts w:cs="Traditional Arabic" w:hint="cs"/>
          <w:sz w:val="28"/>
          <w:szCs w:val="32"/>
          <w:rtl/>
        </w:rPr>
        <w:t xml:space="preserve"> .</w:t>
      </w:r>
      <w:r w:rsidRPr="00EC737F">
        <w:rPr>
          <w:rFonts w:cs="Traditional Arabic" w:hint="cs"/>
          <w:sz w:val="28"/>
          <w:szCs w:val="32"/>
          <w:rtl/>
        </w:rPr>
        <w:t xml:space="preserve"> ورهن المشتري للعقار قبل التسجيل يكون قابلا للإبطال</w:t>
      </w:r>
      <w:r>
        <w:rPr>
          <w:rFonts w:cs="Traditional Arabic" w:hint="cs"/>
          <w:sz w:val="28"/>
          <w:szCs w:val="32"/>
          <w:rtl/>
        </w:rPr>
        <w:t xml:space="preserve"> ،</w:t>
      </w:r>
      <w:r w:rsidRPr="00EC737F">
        <w:rPr>
          <w:rFonts w:cs="Traditional Arabic" w:hint="cs"/>
          <w:sz w:val="28"/>
          <w:szCs w:val="32"/>
          <w:rtl/>
        </w:rPr>
        <w:t xml:space="preserve"> فإذا ما سجل انقلب الرهن صحيحاً</w:t>
      </w:r>
      <w:r>
        <w:rPr>
          <w:rFonts w:cs="Traditional Arabic" w:hint="cs"/>
          <w:sz w:val="28"/>
          <w:szCs w:val="32"/>
          <w:rtl/>
        </w:rPr>
        <w:t xml:space="preserve"> .</w:t>
      </w:r>
      <w:r w:rsidRPr="00EC737F">
        <w:rPr>
          <w:rFonts w:cs="Traditional Arabic" w:hint="cs"/>
          <w:sz w:val="28"/>
          <w:szCs w:val="32"/>
          <w:rtl/>
        </w:rPr>
        <w:t xml:space="preserve"> ويجوز للوارث أن يرهن العقار الموروث</w:t>
      </w:r>
      <w:r>
        <w:rPr>
          <w:rFonts w:cs="Traditional Arabic" w:hint="cs"/>
          <w:sz w:val="28"/>
          <w:szCs w:val="32"/>
          <w:rtl/>
        </w:rPr>
        <w:t xml:space="preserve"> ،</w:t>
      </w:r>
      <w:r w:rsidRPr="00EC737F">
        <w:rPr>
          <w:rFonts w:cs="Traditional Arabic" w:hint="cs"/>
          <w:sz w:val="28"/>
          <w:szCs w:val="32"/>
          <w:rtl/>
        </w:rPr>
        <w:t xml:space="preserve"> بشروط معينة</w:t>
      </w:r>
      <w:r>
        <w:rPr>
          <w:rFonts w:cs="Traditional Arabic" w:hint="cs"/>
          <w:sz w:val="28"/>
          <w:szCs w:val="32"/>
          <w:rtl/>
        </w:rPr>
        <w:t xml:space="preserve"> .</w:t>
      </w:r>
      <w:r w:rsidRPr="00EC737F">
        <w:rPr>
          <w:rFonts w:cs="Traditional Arabic" w:hint="cs"/>
          <w:sz w:val="28"/>
          <w:szCs w:val="32"/>
          <w:rtl/>
        </w:rPr>
        <w:t xml:space="preserve"> وإذا كأن الراهن مالكاً للعقار المرهون ورهنه بحسن نية في الوقت الذي أبرمم فيه الرهن</w:t>
      </w:r>
      <w:r>
        <w:rPr>
          <w:rFonts w:cs="Traditional Arabic" w:hint="cs"/>
          <w:sz w:val="28"/>
          <w:szCs w:val="32"/>
          <w:rtl/>
        </w:rPr>
        <w:t xml:space="preserve"> ،</w:t>
      </w:r>
      <w:r w:rsidRPr="00EC737F">
        <w:rPr>
          <w:rFonts w:cs="Traditional Arabic" w:hint="cs"/>
          <w:sz w:val="28"/>
          <w:szCs w:val="32"/>
          <w:rtl/>
        </w:rPr>
        <w:t xml:space="preserve"> كأن الرهن صحيحاً حتى لو تقرر بعد الرهن إبطال سند ملكية الراهن أو فسخه أو إلغاؤه أو زواله لأي سبب آخر</w:t>
      </w:r>
      <w:r>
        <w:rPr>
          <w:rFonts w:cs="Traditional Arabic" w:hint="cs"/>
          <w:sz w:val="28"/>
          <w:szCs w:val="32"/>
          <w:rtl/>
        </w:rPr>
        <w:t xml:space="preserve"> .</w:t>
      </w:r>
      <w:r w:rsidRPr="00EC737F">
        <w:rPr>
          <w:rFonts w:cs="Traditional Arabic" w:hint="cs"/>
          <w:sz w:val="28"/>
          <w:szCs w:val="32"/>
          <w:rtl/>
        </w:rPr>
        <w:t xml:space="preserve"> ويبقى نافذاً الرهن الصادر من جميع الملاك لعقار شائع</w:t>
      </w:r>
      <w:r>
        <w:rPr>
          <w:rFonts w:cs="Traditional Arabic" w:hint="cs"/>
          <w:sz w:val="28"/>
          <w:szCs w:val="32"/>
          <w:rtl/>
        </w:rPr>
        <w:t xml:space="preserve"> ،</w:t>
      </w:r>
      <w:r w:rsidRPr="00EC737F">
        <w:rPr>
          <w:rFonts w:cs="Traditional Arabic" w:hint="cs"/>
          <w:sz w:val="28"/>
          <w:szCs w:val="32"/>
          <w:rtl/>
        </w:rPr>
        <w:t xml:space="preserve"> أياً كانت النتيجة التي تترتب على قسمة العقار فيما بعد أو على بيعه لعدم إمكان قسمته</w:t>
      </w:r>
      <w:r>
        <w:rPr>
          <w:rFonts w:cs="Traditional Arabic" w:hint="cs"/>
          <w:sz w:val="28"/>
          <w:szCs w:val="32"/>
          <w:rtl/>
        </w:rPr>
        <w:t xml:space="preserve"> .</w:t>
      </w:r>
      <w:r w:rsidRPr="00EC737F">
        <w:rPr>
          <w:rFonts w:cs="Traditional Arabic" w:hint="cs"/>
          <w:sz w:val="28"/>
          <w:szCs w:val="32"/>
          <w:rtl/>
        </w:rPr>
        <w:t xml:space="preserve"> وإذا رهن أحد الشركاء حصته الشائعة في العقار أو جزءاً مفرزاً م هذا العقار</w:t>
      </w:r>
      <w:r>
        <w:rPr>
          <w:rFonts w:cs="Traditional Arabic" w:hint="cs"/>
          <w:sz w:val="28"/>
          <w:szCs w:val="32"/>
          <w:rtl/>
        </w:rPr>
        <w:t xml:space="preserve"> ،</w:t>
      </w:r>
      <w:r w:rsidRPr="00EC737F">
        <w:rPr>
          <w:rFonts w:cs="Traditional Arabic" w:hint="cs"/>
          <w:sz w:val="28"/>
          <w:szCs w:val="32"/>
          <w:rtl/>
        </w:rPr>
        <w:t xml:space="preserve"> ثم وقع في نصيبه عند القسمة أعيان غير التي رهنها</w:t>
      </w:r>
      <w:r>
        <w:rPr>
          <w:rFonts w:cs="Traditional Arabic" w:hint="cs"/>
          <w:sz w:val="28"/>
          <w:szCs w:val="32"/>
          <w:rtl/>
        </w:rPr>
        <w:t xml:space="preserve"> ،</w:t>
      </w:r>
      <w:r w:rsidRPr="00EC737F">
        <w:rPr>
          <w:rFonts w:cs="Traditional Arabic" w:hint="cs"/>
          <w:sz w:val="28"/>
          <w:szCs w:val="32"/>
          <w:rtl/>
        </w:rPr>
        <w:t xml:space="preserve"> انتقل الرهن بمرتبته إلى قدر من هذه الأعيان يعادل قيمة العقار الذي كأن مرهوناً في الأصل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$297 فيجب إذن أن نبحث المسائل الآتية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رهن ملك الغير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رهن الملك المستقبل</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رهن المالك الظاهر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رهن المشتري للعقار قبل أن يسجل عقد شرائه</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5</w:t>
      </w:r>
      <w:r>
        <w:rPr>
          <w:rFonts w:cs="Traditional Arabic" w:hint="cs"/>
          <w:sz w:val="28"/>
          <w:szCs w:val="32"/>
          <w:rtl/>
        </w:rPr>
        <w:t xml:space="preserve"> )</w:t>
      </w:r>
      <w:r w:rsidRPr="00EC737F">
        <w:rPr>
          <w:rFonts w:cs="Traditional Arabic" w:hint="cs"/>
          <w:sz w:val="28"/>
          <w:szCs w:val="32"/>
          <w:rtl/>
        </w:rPr>
        <w:t xml:space="preserve"> رهن الوارث قبل سداد ديون التركة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6</w:t>
      </w:r>
      <w:r>
        <w:rPr>
          <w:rFonts w:cs="Traditional Arabic" w:hint="cs"/>
          <w:sz w:val="28"/>
          <w:szCs w:val="32"/>
          <w:rtl/>
        </w:rPr>
        <w:t xml:space="preserve"> )</w:t>
      </w:r>
      <w:r w:rsidRPr="00EC737F">
        <w:rPr>
          <w:rFonts w:cs="Traditional Arabic" w:hint="cs"/>
          <w:sz w:val="28"/>
          <w:szCs w:val="32"/>
          <w:rtl/>
        </w:rPr>
        <w:t xml:space="preserve"> رهن من تقرر بعد الرهن إبطال سند ملكيته أو نسخه أو إلغاؤه أو زواله لأي سبب آخر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7</w:t>
      </w:r>
      <w:r>
        <w:rPr>
          <w:rFonts w:cs="Traditional Arabic" w:hint="cs"/>
          <w:sz w:val="28"/>
          <w:szCs w:val="32"/>
          <w:rtl/>
        </w:rPr>
        <w:t xml:space="preserve"> )</w:t>
      </w:r>
      <w:r w:rsidRPr="00EC737F">
        <w:rPr>
          <w:rFonts w:cs="Traditional Arabic" w:hint="cs"/>
          <w:sz w:val="28"/>
          <w:szCs w:val="32"/>
          <w:rtl/>
        </w:rPr>
        <w:t xml:space="preserve"> رهن المالك الشائع</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135- رهن مل الغير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الفقرة الأولى المادة 1033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"إذا كأن الراهن غير مالك للعقار المرهون</w:t>
      </w:r>
      <w:r>
        <w:rPr>
          <w:rFonts w:cs="Traditional Arabic" w:hint="cs"/>
          <w:sz w:val="28"/>
          <w:szCs w:val="32"/>
          <w:rtl/>
        </w:rPr>
        <w:t xml:space="preserve"> ،</w:t>
      </w:r>
      <w:r w:rsidRPr="00EC737F">
        <w:rPr>
          <w:rFonts w:cs="Traditional Arabic" w:hint="cs"/>
          <w:sz w:val="28"/>
          <w:szCs w:val="32"/>
          <w:rtl/>
        </w:rPr>
        <w:t xml:space="preserve"> فإن عقد الرهن يصبح صحيحاً إذا أقره المالك الحقيقي </w:t>
      </w:r>
      <w:r w:rsidRPr="00EC737F">
        <w:rPr>
          <w:rFonts w:cs="Traditional Arabic" w:hint="cs"/>
          <w:sz w:val="28"/>
          <w:szCs w:val="32"/>
          <w:rtl/>
        </w:rPr>
        <w:lastRenderedPageBreak/>
        <w:t>بورقة رسمية</w:t>
      </w:r>
      <w:r>
        <w:rPr>
          <w:rFonts w:cs="Traditional Arabic" w:hint="cs"/>
          <w:sz w:val="28"/>
          <w:szCs w:val="32"/>
          <w:rtl/>
        </w:rPr>
        <w:t xml:space="preserve"> .</w:t>
      </w:r>
      <w:r w:rsidRPr="00EC737F">
        <w:rPr>
          <w:rFonts w:cs="Traditional Arabic" w:hint="cs"/>
          <w:sz w:val="28"/>
          <w:szCs w:val="32"/>
          <w:rtl/>
        </w:rPr>
        <w:t xml:space="preserve"> وإذا لم يصدر هذا الإقرار</w:t>
      </w:r>
      <w:r>
        <w:rPr>
          <w:rFonts w:cs="Traditional Arabic" w:hint="cs"/>
          <w:sz w:val="28"/>
          <w:szCs w:val="32"/>
          <w:rtl/>
        </w:rPr>
        <w:t xml:space="preserve"> ،</w:t>
      </w:r>
      <w:r w:rsidRPr="00EC737F">
        <w:rPr>
          <w:rFonts w:cs="Traditional Arabic" w:hint="cs"/>
          <w:sz w:val="28"/>
          <w:szCs w:val="32"/>
          <w:rtl/>
        </w:rPr>
        <w:t xml:space="preserve"> فإن حق الرهن لا يترتب على العقار إلا من الوقت الذي يصبح فيه هذا العقار مملوكاً للراهن"</w:t>
      </w:r>
      <w:r>
        <w:rPr>
          <w:rFonts w:cs="Traditional Arabic" w:hint="cs"/>
          <w:sz w:val="28"/>
          <w:szCs w:val="32"/>
          <w:vertAlign w:val="superscript"/>
          <w:rtl/>
        </w:rPr>
        <w:t xml:space="preserve">( </w:t>
      </w:r>
      <w:r w:rsidRPr="00EC737F">
        <w:rPr>
          <w:rStyle w:val="ab"/>
          <w:rFonts w:cs="Traditional Arabic"/>
          <w:sz w:val="28"/>
          <w:szCs w:val="32"/>
          <w:rtl/>
        </w:rPr>
        <w:footnoteReference w:id="65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$298 ورهن ملك الغير هو غير هن المال المستقبل</w:t>
      </w:r>
      <w:r>
        <w:rPr>
          <w:rFonts w:cs="Traditional Arabic" w:hint="cs"/>
          <w:sz w:val="28"/>
          <w:szCs w:val="32"/>
          <w:rtl/>
        </w:rPr>
        <w:t xml:space="preserve"> .</w:t>
      </w:r>
      <w:r w:rsidRPr="00EC737F">
        <w:rPr>
          <w:rFonts w:cs="Traditional Arabic" w:hint="cs"/>
          <w:sz w:val="28"/>
          <w:szCs w:val="32"/>
          <w:rtl/>
        </w:rPr>
        <w:t xml:space="preserve"> إذ أن رهن ملك الغير هو رهن لعقار لا يملكه الراهن</w:t>
      </w:r>
      <w:r>
        <w:rPr>
          <w:rFonts w:cs="Traditional Arabic" w:hint="cs"/>
          <w:sz w:val="28"/>
          <w:szCs w:val="32"/>
          <w:rtl/>
        </w:rPr>
        <w:t xml:space="preserve"> ،</w:t>
      </w:r>
      <w:r w:rsidRPr="00EC737F">
        <w:rPr>
          <w:rFonts w:cs="Traditional Arabic" w:hint="cs"/>
          <w:sz w:val="28"/>
          <w:szCs w:val="32"/>
          <w:rtl/>
        </w:rPr>
        <w:t xml:space="preserve"> وإنما يرهنه عادة لاعتقاده أن المالك سيقر الرهن بورقة رسمية</w:t>
      </w:r>
      <w:r>
        <w:rPr>
          <w:rFonts w:cs="Traditional Arabic" w:hint="cs"/>
          <w:sz w:val="28"/>
          <w:szCs w:val="32"/>
          <w:rtl/>
        </w:rPr>
        <w:t xml:space="preserve"> ،</w:t>
      </w:r>
      <w:r w:rsidRPr="00EC737F">
        <w:rPr>
          <w:rFonts w:cs="Traditional Arabic" w:hint="cs"/>
          <w:sz w:val="28"/>
          <w:szCs w:val="32"/>
          <w:rtl/>
        </w:rPr>
        <w:t xml:space="preserve"> أو لأنه سيسعى حتى يصبح العقار مملوكاً وعند ذلك يستقر رهنه من ذلك الوقت</w:t>
      </w:r>
      <w:r>
        <w:rPr>
          <w:rFonts w:cs="Traditional Arabic" w:hint="cs"/>
          <w:sz w:val="28"/>
          <w:szCs w:val="32"/>
          <w:rtl/>
        </w:rPr>
        <w:t xml:space="preserve"> .</w:t>
      </w:r>
      <w:r w:rsidRPr="00EC737F">
        <w:rPr>
          <w:rFonts w:cs="Traditional Arabic" w:hint="cs"/>
          <w:sz w:val="28"/>
          <w:szCs w:val="32"/>
          <w:rtl/>
        </w:rPr>
        <w:t xml:space="preserve"> أما رهن المال المستقبل فهو رهن لا يملكه الراهن أيضاً</w:t>
      </w:r>
      <w:r>
        <w:rPr>
          <w:rFonts w:cs="Traditional Arabic" w:hint="cs"/>
          <w:sz w:val="28"/>
          <w:szCs w:val="32"/>
          <w:rtl/>
        </w:rPr>
        <w:t xml:space="preserve"> ،</w:t>
      </w:r>
      <w:r w:rsidRPr="00EC737F">
        <w:rPr>
          <w:rFonts w:cs="Traditional Arabic" w:hint="cs"/>
          <w:sz w:val="28"/>
          <w:szCs w:val="32"/>
          <w:rtl/>
        </w:rPr>
        <w:t xml:space="preserve"> ولكن يرهنه مع ذلك لاعتقاده أنه سيملكه بطريق ما كطريق الميراث أو طريق الوصية</w:t>
      </w:r>
      <w:r>
        <w:rPr>
          <w:rFonts w:cs="Traditional Arabic" w:hint="cs"/>
          <w:sz w:val="28"/>
          <w:szCs w:val="32"/>
          <w:rtl/>
        </w:rPr>
        <w:t xml:space="preserve"> .</w:t>
      </w:r>
      <w:r w:rsidRPr="00EC737F">
        <w:rPr>
          <w:rFonts w:cs="Traditional Arabic" w:hint="cs"/>
          <w:sz w:val="28"/>
          <w:szCs w:val="32"/>
          <w:rtl/>
        </w:rPr>
        <w:t xml:space="preserve"> وهو لا يرهن عقاراً معيناً بالذات كما يفعل في رهن ملك الغير</w:t>
      </w:r>
      <w:r>
        <w:rPr>
          <w:rFonts w:cs="Traditional Arabic" w:hint="cs"/>
          <w:sz w:val="28"/>
          <w:szCs w:val="32"/>
          <w:rtl/>
        </w:rPr>
        <w:t xml:space="preserve"> ،</w:t>
      </w:r>
      <w:r w:rsidRPr="00EC737F">
        <w:rPr>
          <w:rFonts w:cs="Traditional Arabic" w:hint="cs"/>
          <w:sz w:val="28"/>
          <w:szCs w:val="32"/>
          <w:rtl/>
        </w:rPr>
        <w:t xml:space="preserve"> وإنما يرهن ما عسى أن يملكه في المستقبل من عقار</w:t>
      </w:r>
      <w:r>
        <w:rPr>
          <w:rFonts w:cs="Traditional Arabic" w:hint="cs"/>
          <w:sz w:val="28"/>
          <w:szCs w:val="32"/>
          <w:rtl/>
        </w:rPr>
        <w:t xml:space="preserve"> ،</w:t>
      </w:r>
      <w:r w:rsidRPr="00EC737F">
        <w:rPr>
          <w:rFonts w:cs="Traditional Arabic" w:hint="cs"/>
          <w:sz w:val="28"/>
          <w:szCs w:val="32"/>
          <w:rtl/>
        </w:rPr>
        <w:t xml:space="preserve"> فيكون الرهن باطلا لا قابلا للإبطال لأنه يتعارض مع مبدأ تخصيص الرهن</w:t>
      </w:r>
      <w:r>
        <w:rPr>
          <w:rFonts w:cs="Traditional Arabic" w:hint="cs"/>
          <w:sz w:val="28"/>
          <w:szCs w:val="32"/>
          <w:rtl/>
        </w:rPr>
        <w:t xml:space="preserve"> .</w:t>
      </w:r>
      <w:r w:rsidRPr="00EC737F">
        <w:rPr>
          <w:rFonts w:cs="Traditional Arabic" w:hint="cs"/>
          <w:sz w:val="28"/>
          <w:szCs w:val="32"/>
          <w:rtl/>
        </w:rPr>
        <w:t xml:space="preserve"> وتقول المذكة </w:t>
      </w:r>
      <w:r w:rsidRPr="00EC737F">
        <w:rPr>
          <w:rFonts w:cs="Traditional Arabic" w:hint="cs"/>
          <w:sz w:val="28"/>
          <w:szCs w:val="32"/>
          <w:rtl/>
        </w:rPr>
        <w:lastRenderedPageBreak/>
        <w:t>الإيضاحية للمشروع التمهيدي في هذا الصدد</w:t>
      </w:r>
      <w:r>
        <w:rPr>
          <w:rFonts w:cs="Traditional Arabic" w:hint="cs"/>
          <w:sz w:val="28"/>
          <w:szCs w:val="32"/>
          <w:rtl/>
        </w:rPr>
        <w:t xml:space="preserve"> :</w:t>
      </w:r>
      <w:r w:rsidRPr="00EC737F">
        <w:rPr>
          <w:rFonts w:cs="Traditional Arabic" w:hint="cs"/>
          <w:sz w:val="28"/>
          <w:szCs w:val="32"/>
          <w:rtl/>
        </w:rPr>
        <w:t xml:space="preserve"> "الراهن</w:t>
      </w:r>
      <w:r>
        <w:rPr>
          <w:rFonts w:cs="Traditional Arabic" w:hint="cs"/>
          <w:sz w:val="28"/>
          <w:szCs w:val="32"/>
          <w:rtl/>
        </w:rPr>
        <w:t xml:space="preserve"> ،</w:t>
      </w:r>
      <w:r w:rsidRPr="00EC737F">
        <w:rPr>
          <w:rFonts w:cs="Traditional Arabic" w:hint="cs"/>
          <w:sz w:val="28"/>
          <w:szCs w:val="32"/>
          <w:rtl/>
        </w:rPr>
        <w:t xml:space="preserve"> سواء أكان المدين أم كأن كفيلا عينياً</w:t>
      </w:r>
      <w:r>
        <w:rPr>
          <w:rFonts w:cs="Traditional Arabic" w:hint="cs"/>
          <w:sz w:val="28"/>
          <w:szCs w:val="32"/>
          <w:rtl/>
        </w:rPr>
        <w:t xml:space="preserve"> ،</w:t>
      </w:r>
      <w:r w:rsidRPr="00EC737F">
        <w:rPr>
          <w:rFonts w:cs="Traditional Arabic" w:hint="cs"/>
          <w:sz w:val="28"/>
          <w:szCs w:val="32"/>
          <w:rtl/>
        </w:rPr>
        <w:t xml:space="preserve"> يجب أن يكون مالكاً للعقار المرهون</w:t>
      </w:r>
      <w:r>
        <w:rPr>
          <w:rFonts w:cs="Traditional Arabic" w:hint="cs"/>
          <w:sz w:val="28"/>
          <w:szCs w:val="32"/>
          <w:rtl/>
        </w:rPr>
        <w:t xml:space="preserve"> ،</w:t>
      </w:r>
      <w:r w:rsidRPr="00EC737F">
        <w:rPr>
          <w:rFonts w:cs="Traditional Arabic" w:hint="cs"/>
          <w:sz w:val="28"/>
          <w:szCs w:val="32"/>
          <w:rtl/>
        </w:rPr>
        <w:t xml:space="preserve"> وأن تتوافر فيه أهلية التصرف</w:t>
      </w:r>
      <w:r>
        <w:rPr>
          <w:rFonts w:cs="Traditional Arabic" w:hint="cs"/>
          <w:sz w:val="28"/>
          <w:szCs w:val="32"/>
          <w:rtl/>
        </w:rPr>
        <w:t xml:space="preserve"> ،</w:t>
      </w:r>
      <w:r w:rsidRPr="00EC737F">
        <w:rPr>
          <w:rFonts w:cs="Traditional Arabic" w:hint="cs"/>
          <w:sz w:val="28"/>
          <w:szCs w:val="32"/>
          <w:rtl/>
        </w:rPr>
        <w:t xml:space="preserve"> لأن الرهن من عقود التصرفات</w:t>
      </w:r>
      <w:r>
        <w:rPr>
          <w:rFonts w:cs="Traditional Arabic" w:hint="cs"/>
          <w:sz w:val="28"/>
          <w:szCs w:val="32"/>
          <w:rtl/>
        </w:rPr>
        <w:t xml:space="preserve"> .</w:t>
      </w:r>
      <w:r w:rsidRPr="00EC737F">
        <w:rPr>
          <w:rFonts w:cs="Traditional Arabic" w:hint="cs"/>
          <w:sz w:val="28"/>
          <w:szCs w:val="32"/>
          <w:rtl/>
        </w:rPr>
        <w:t xml:space="preserve"> فإن كأن الراهن غير مالك للعقار المرهون فإن الرهن يكون باطلا بطلاناً نسبياً</w:t>
      </w:r>
      <w:r>
        <w:rPr>
          <w:rFonts w:cs="Traditional Arabic" w:hint="cs"/>
          <w:sz w:val="28"/>
          <w:szCs w:val="32"/>
          <w:rtl/>
        </w:rPr>
        <w:t xml:space="preserve"> ،</w:t>
      </w:r>
      <w:r w:rsidRPr="00EC737F">
        <w:rPr>
          <w:rFonts w:cs="Traditional Arabic" w:hint="cs"/>
          <w:sz w:val="28"/>
          <w:szCs w:val="32"/>
          <w:rtl/>
        </w:rPr>
        <w:t xml:space="preserve"> وقد انحرف المشروع في هذا الحكم عن التقنين الحالي </w:t>
      </w:r>
      <w:r>
        <w:rPr>
          <w:rFonts w:cs="Traditional Arabic" w:hint="cs"/>
          <w:sz w:val="28"/>
          <w:szCs w:val="32"/>
          <w:rtl/>
        </w:rPr>
        <w:t xml:space="preserve">( </w:t>
      </w:r>
      <w:r w:rsidRPr="00EC737F">
        <w:rPr>
          <w:rFonts w:cs="Traditional Arabic" w:hint="cs"/>
          <w:sz w:val="28"/>
          <w:szCs w:val="32"/>
          <w:rtl/>
        </w:rPr>
        <w:t>السابق</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م 563/687</w:t>
      </w:r>
      <w:r>
        <w:rPr>
          <w:rFonts w:cs="Traditional Arabic" w:hint="cs"/>
          <w:sz w:val="28"/>
          <w:szCs w:val="32"/>
          <w:rtl/>
        </w:rPr>
        <w:t xml:space="preserve"> )</w:t>
      </w:r>
      <w:r w:rsidRPr="00EC737F">
        <w:rPr>
          <w:rFonts w:cs="Traditional Arabic" w:hint="cs"/>
          <w:sz w:val="28"/>
          <w:szCs w:val="32"/>
          <w:rtl/>
        </w:rPr>
        <w:t xml:space="preserve"> الذي يجعل رهن الأموال المستقبلة باطلا بطلاناً مطلقاً دون تمييز بين عقار معين وبين عقار غير معين</w:t>
      </w:r>
      <w:r>
        <w:rPr>
          <w:rFonts w:cs="Traditional Arabic" w:hint="cs"/>
          <w:sz w:val="28"/>
          <w:szCs w:val="32"/>
          <w:rtl/>
        </w:rPr>
        <w:t xml:space="preserve"> .</w:t>
      </w:r>
      <w:r w:rsidRPr="00EC737F">
        <w:rPr>
          <w:rFonts w:cs="Traditional Arabic" w:hint="cs"/>
          <w:sz w:val="28"/>
          <w:szCs w:val="32"/>
          <w:rtl/>
        </w:rPr>
        <w:t xml:space="preserve"> وقد أراد المشروع بجعل الرهن في العقار المعين غير المملوك للراهن باطلا بطلاناً نسبياً أن يوحد في الحكم ما بين بيع ملك الغير 0م 632 من المشروع</w:t>
      </w:r>
      <w:r>
        <w:rPr>
          <w:rFonts w:cs="Traditional Arabic" w:hint="cs"/>
          <w:sz w:val="28"/>
          <w:szCs w:val="32"/>
          <w:rtl/>
        </w:rPr>
        <w:t xml:space="preserve"> )</w:t>
      </w:r>
      <w:r w:rsidRPr="00EC737F">
        <w:rPr>
          <w:rFonts w:cs="Traditional Arabic" w:hint="cs"/>
          <w:sz w:val="28"/>
          <w:szCs w:val="32"/>
          <w:rtl/>
        </w:rPr>
        <w:t xml:space="preserve"> ورهن ملك الغير رهناً رسمياً </w:t>
      </w:r>
      <w:r>
        <w:rPr>
          <w:rFonts w:cs="Traditional Arabic" w:hint="cs"/>
          <w:sz w:val="28"/>
          <w:szCs w:val="32"/>
          <w:rtl/>
        </w:rPr>
        <w:t xml:space="preserve">( </w:t>
      </w:r>
      <w:r w:rsidRPr="00EC737F">
        <w:rPr>
          <w:rFonts w:cs="Traditional Arabic" w:hint="cs"/>
          <w:sz w:val="28"/>
          <w:szCs w:val="32"/>
          <w:rtl/>
        </w:rPr>
        <w:t>م 1440 من المشروع</w:t>
      </w:r>
      <w:r>
        <w:rPr>
          <w:rFonts w:cs="Traditional Arabic" w:hint="cs"/>
          <w:sz w:val="28"/>
          <w:szCs w:val="32"/>
          <w:rtl/>
        </w:rPr>
        <w:t xml:space="preserve"> )</w:t>
      </w:r>
      <w:r w:rsidRPr="00EC737F">
        <w:rPr>
          <w:rFonts w:cs="Traditional Arabic" w:hint="cs"/>
          <w:sz w:val="28"/>
          <w:szCs w:val="32"/>
          <w:rtl/>
        </w:rPr>
        <w:t xml:space="preserve"> ورهن ملك الغير حيازة </w:t>
      </w:r>
      <w:r>
        <w:rPr>
          <w:rFonts w:cs="Traditional Arabic" w:hint="cs"/>
          <w:sz w:val="28"/>
          <w:szCs w:val="32"/>
          <w:rtl/>
        </w:rPr>
        <w:t xml:space="preserve">( </w:t>
      </w:r>
      <w:r w:rsidRPr="00EC737F">
        <w:rPr>
          <w:rFonts w:cs="Traditional Arabic" w:hint="cs"/>
          <w:sz w:val="28"/>
          <w:szCs w:val="32"/>
          <w:rtl/>
        </w:rPr>
        <w:t>م 1531/2 من المشروع</w:t>
      </w:r>
      <w:r>
        <w:rPr>
          <w:rFonts w:cs="Traditional Arabic" w:hint="cs"/>
          <w:sz w:val="28"/>
          <w:szCs w:val="32"/>
          <w:rtl/>
        </w:rPr>
        <w:t xml:space="preserve"> ) ،</w:t>
      </w:r>
      <w:r w:rsidRPr="00EC737F">
        <w:rPr>
          <w:rFonts w:cs="Traditional Arabic" w:hint="cs"/>
          <w:sz w:val="28"/>
          <w:szCs w:val="32"/>
          <w:rtl/>
        </w:rPr>
        <w:t xml:space="preserve"> لوحدة العلة وتحقيقاً لا تساق التشريع</w:t>
      </w:r>
      <w:r>
        <w:rPr>
          <w:rFonts w:cs="Traditional Arabic" w:hint="cs"/>
          <w:sz w:val="28"/>
          <w:szCs w:val="32"/>
          <w:rtl/>
        </w:rPr>
        <w:t xml:space="preserve"> .</w:t>
      </w:r>
      <w:r w:rsidRPr="00EC737F">
        <w:rPr>
          <w:rFonts w:cs="Traditional Arabic" w:hint="cs"/>
          <w:sz w:val="28"/>
          <w:szCs w:val="32"/>
          <w:rtl/>
        </w:rPr>
        <w:t xml:space="preserve"> وفي هذه الفروض الثلاثة يجيز العقد $299 من تقرر البطلان لمصلحته </w:t>
      </w:r>
      <w:r>
        <w:rPr>
          <w:rFonts w:cs="Traditional Arabic" w:hint="cs"/>
          <w:sz w:val="28"/>
          <w:szCs w:val="32"/>
          <w:rtl/>
        </w:rPr>
        <w:t xml:space="preserve">( </w:t>
      </w:r>
      <w:r w:rsidRPr="00EC737F">
        <w:rPr>
          <w:rFonts w:cs="Traditional Arabic" w:hint="cs"/>
          <w:sz w:val="28"/>
          <w:szCs w:val="32"/>
          <w:rtl/>
        </w:rPr>
        <w:t>المشتري أو الدائن المرتهن</w:t>
      </w:r>
      <w:r>
        <w:rPr>
          <w:rFonts w:cs="Traditional Arabic" w:hint="cs"/>
          <w:sz w:val="28"/>
          <w:szCs w:val="32"/>
          <w:rtl/>
        </w:rPr>
        <w:t xml:space="preserve"> ) ،</w:t>
      </w:r>
      <w:r w:rsidRPr="00EC737F">
        <w:rPr>
          <w:rFonts w:cs="Traditional Arabic" w:hint="cs"/>
          <w:sz w:val="28"/>
          <w:szCs w:val="32"/>
          <w:rtl/>
        </w:rPr>
        <w:t xml:space="preserve"> كما يجيزه إقرار المالك الحقيقي أو انتقال الملكية من إلى البائع أو الراهنة</w:t>
      </w:r>
      <w:r>
        <w:rPr>
          <w:rFonts w:cs="Traditional Arabic" w:hint="cs"/>
          <w:sz w:val="28"/>
          <w:szCs w:val="32"/>
          <w:rtl/>
        </w:rPr>
        <w:t xml:space="preserve"> .</w:t>
      </w:r>
      <w:r w:rsidRPr="00EC737F">
        <w:rPr>
          <w:rFonts w:cs="Traditional Arabic" w:hint="cs"/>
          <w:sz w:val="28"/>
          <w:szCs w:val="32"/>
          <w:rtl/>
        </w:rPr>
        <w:t xml:space="preserve"> وإذا كأن العقار المرهون مستقبلا معيناً بالذات وغير مملوك للراهن</w:t>
      </w:r>
      <w:r>
        <w:rPr>
          <w:rFonts w:cs="Traditional Arabic" w:hint="cs"/>
          <w:sz w:val="28"/>
          <w:szCs w:val="32"/>
          <w:rtl/>
        </w:rPr>
        <w:t xml:space="preserve"> ،</w:t>
      </w:r>
      <w:r w:rsidRPr="00EC737F">
        <w:rPr>
          <w:rFonts w:cs="Traditional Arabic" w:hint="cs"/>
          <w:sz w:val="28"/>
          <w:szCs w:val="32"/>
          <w:rtl/>
        </w:rPr>
        <w:t xml:space="preserve"> فإن الرهن يكون باطلا بطلاناً نسبياً</w:t>
      </w:r>
      <w:r>
        <w:rPr>
          <w:rFonts w:cs="Traditional Arabic" w:hint="cs"/>
          <w:sz w:val="28"/>
          <w:szCs w:val="32"/>
          <w:rtl/>
        </w:rPr>
        <w:t xml:space="preserve"> .</w:t>
      </w:r>
      <w:r w:rsidRPr="00EC737F">
        <w:rPr>
          <w:rFonts w:cs="Traditional Arabic" w:hint="cs"/>
          <w:sz w:val="28"/>
          <w:szCs w:val="32"/>
          <w:rtl/>
        </w:rPr>
        <w:t xml:space="preserve"> أما إذا كأن الرهن واقعاً على عقار لم يعين بالذات</w:t>
      </w:r>
      <w:r>
        <w:rPr>
          <w:rFonts w:cs="Traditional Arabic" w:hint="cs"/>
          <w:sz w:val="28"/>
          <w:szCs w:val="32"/>
          <w:rtl/>
        </w:rPr>
        <w:t xml:space="preserve"> ،</w:t>
      </w:r>
      <w:r w:rsidRPr="00EC737F">
        <w:rPr>
          <w:rFonts w:cs="Traditional Arabic" w:hint="cs"/>
          <w:sz w:val="28"/>
          <w:szCs w:val="32"/>
          <w:rtl/>
        </w:rPr>
        <w:t xml:space="preserve"> واقتصر الراهن على رهن ما عسى أن يملكه في المستقبل من عقار</w:t>
      </w:r>
      <w:r>
        <w:rPr>
          <w:rFonts w:cs="Traditional Arabic" w:hint="cs"/>
          <w:sz w:val="28"/>
          <w:szCs w:val="32"/>
          <w:rtl/>
        </w:rPr>
        <w:t xml:space="preserve"> ،</w:t>
      </w:r>
      <w:r w:rsidRPr="00EC737F">
        <w:rPr>
          <w:rFonts w:cs="Traditional Arabic" w:hint="cs"/>
          <w:sz w:val="28"/>
          <w:szCs w:val="32"/>
          <w:rtl/>
        </w:rPr>
        <w:t xml:space="preserve"> فإن الرهن يكون باطلا بطلاناً مطلقاً</w:t>
      </w:r>
      <w:r>
        <w:rPr>
          <w:rFonts w:cs="Traditional Arabic" w:hint="cs"/>
          <w:sz w:val="28"/>
          <w:szCs w:val="32"/>
          <w:rtl/>
        </w:rPr>
        <w:t xml:space="preserve"> ،</w:t>
      </w:r>
      <w:r w:rsidRPr="00EC737F">
        <w:rPr>
          <w:rFonts w:cs="Traditional Arabic" w:hint="cs"/>
          <w:sz w:val="28"/>
          <w:szCs w:val="32"/>
          <w:rtl/>
        </w:rPr>
        <w:t xml:space="preserve"> لأنه يتعارض مع  مبدأ تخصيص الرهن</w:t>
      </w:r>
      <w:r>
        <w:rPr>
          <w:rFonts w:cs="Traditional Arabic" w:hint="cs"/>
          <w:sz w:val="28"/>
          <w:szCs w:val="32"/>
          <w:rtl/>
        </w:rPr>
        <w:t xml:space="preserve"> ،</w:t>
      </w:r>
      <w:r w:rsidRPr="00EC737F">
        <w:rPr>
          <w:rFonts w:cs="Traditional Arabic" w:hint="cs"/>
          <w:sz w:val="28"/>
          <w:szCs w:val="32"/>
          <w:rtl/>
        </w:rPr>
        <w:t xml:space="preserve"> ولم ير المشروع إدخال أي استثناء على هذا الحكم على خلاف ما ورد في التقنين الفرنسي </w:t>
      </w:r>
      <w:r>
        <w:rPr>
          <w:rFonts w:cs="Traditional Arabic" w:hint="cs"/>
          <w:sz w:val="28"/>
          <w:szCs w:val="32"/>
          <w:rtl/>
        </w:rPr>
        <w:t xml:space="preserve">( </w:t>
      </w:r>
      <w:r w:rsidRPr="00EC737F">
        <w:rPr>
          <w:rFonts w:cs="Traditional Arabic" w:hint="cs"/>
          <w:sz w:val="28"/>
          <w:szCs w:val="32"/>
          <w:rtl/>
        </w:rPr>
        <w:t xml:space="preserve">انظر م 2130 </w:t>
      </w:r>
      <w:r w:rsidRPr="00EC737F">
        <w:rPr>
          <w:rFonts w:cs="Traditional Arabic"/>
          <w:sz w:val="28"/>
          <w:szCs w:val="32"/>
          <w:rtl/>
        </w:rPr>
        <w:t>–</w:t>
      </w:r>
      <w:r w:rsidRPr="00EC737F">
        <w:rPr>
          <w:rFonts w:cs="Traditional Arabic" w:hint="cs"/>
          <w:sz w:val="28"/>
          <w:szCs w:val="32"/>
          <w:rtl/>
        </w:rPr>
        <w:t xml:space="preserve"> 2131 من هذا التقنين</w:t>
      </w:r>
      <w:r>
        <w:rPr>
          <w:rFonts w:cs="Traditional Arabic" w:hint="cs"/>
          <w:sz w:val="28"/>
          <w:szCs w:val="32"/>
          <w:rtl/>
        </w:rPr>
        <w:t xml:space="preserve"> )</w:t>
      </w:r>
      <w:r w:rsidRPr="00EC737F">
        <w:rPr>
          <w:rFonts w:cs="Traditional Arabic" w:hint="cs"/>
          <w:sz w:val="28"/>
          <w:szCs w:val="32"/>
          <w:rtl/>
        </w:rPr>
        <w:t>"</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65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ونتكلم هنا في رهن ملكم الغير رهناً رسمياً</w:t>
      </w:r>
      <w:r>
        <w:rPr>
          <w:rFonts w:cs="Traditional Arabic" w:hint="cs"/>
          <w:sz w:val="28"/>
          <w:szCs w:val="32"/>
          <w:rtl/>
        </w:rPr>
        <w:t xml:space="preserve"> ،</w:t>
      </w:r>
      <w:r w:rsidRPr="00EC737F">
        <w:rPr>
          <w:rFonts w:cs="Traditional Arabic" w:hint="cs"/>
          <w:sz w:val="28"/>
          <w:szCs w:val="32"/>
          <w:rtl/>
        </w:rPr>
        <w:t xml:space="preserve"> لا في رهن المال المستقبل</w:t>
      </w:r>
      <w:r>
        <w:rPr>
          <w:rFonts w:cs="Traditional Arabic" w:hint="cs"/>
          <w:sz w:val="28"/>
          <w:szCs w:val="32"/>
          <w:rtl/>
        </w:rPr>
        <w:t xml:space="preserve"> .</w:t>
      </w:r>
      <w:r w:rsidRPr="00EC737F">
        <w:rPr>
          <w:rFonts w:cs="Traditional Arabic" w:hint="cs"/>
          <w:sz w:val="28"/>
          <w:szCs w:val="32"/>
          <w:rtl/>
        </w:rPr>
        <w:t xml:space="preserve"> ويلاحظ أن التقنين المدني الفرنسي لم يرد فيه نص في هذا الموضوع</w:t>
      </w:r>
      <w:r>
        <w:rPr>
          <w:rFonts w:cs="Traditional Arabic" w:hint="cs"/>
          <w:sz w:val="28"/>
          <w:szCs w:val="32"/>
          <w:rtl/>
        </w:rPr>
        <w:t xml:space="preserve"> ،</w:t>
      </w:r>
      <w:r w:rsidRPr="00EC737F">
        <w:rPr>
          <w:rFonts w:cs="Traditional Arabic" w:hint="cs"/>
          <w:sz w:val="28"/>
          <w:szCs w:val="32"/>
          <w:rtl/>
        </w:rPr>
        <w:t xml:space="preserve"> ولكن الفقه والقضاء في فرنسا يذهبان إلى أن الرهن يكون باطلا بطلاناً مطلقاً</w:t>
      </w:r>
      <w:r>
        <w:rPr>
          <w:rFonts w:cs="Traditional Arabic" w:hint="cs"/>
          <w:sz w:val="28"/>
          <w:szCs w:val="32"/>
          <w:rtl/>
        </w:rPr>
        <w:t xml:space="preserve"> .</w:t>
      </w:r>
      <w:r w:rsidRPr="00EC737F">
        <w:rPr>
          <w:rFonts w:cs="Traditional Arabic" w:hint="cs"/>
          <w:sz w:val="28"/>
          <w:szCs w:val="32"/>
          <w:rtl/>
        </w:rPr>
        <w:t xml:space="preserve"> ولم يكن هناك نص صريح في هذا المعنى في التقنين المدني المصري السابق</w:t>
      </w:r>
      <w:r>
        <w:rPr>
          <w:rFonts w:cs="Traditional Arabic" w:hint="cs"/>
          <w:sz w:val="28"/>
          <w:szCs w:val="32"/>
          <w:rtl/>
        </w:rPr>
        <w:t xml:space="preserve"> ،</w:t>
      </w:r>
      <w:r w:rsidRPr="00EC737F">
        <w:rPr>
          <w:rFonts w:cs="Traditional Arabic" w:hint="cs"/>
          <w:sz w:val="28"/>
          <w:szCs w:val="32"/>
          <w:rtl/>
        </w:rPr>
        <w:t xml:space="preserve"> فكان الفقه والقضاء في مصر يتبعان الفقه والقضاء  في فرنسا ويذهبان إلى أن الرهن الرسمي في هذه الحالة يكون باطلا بطلاناً مطلقاً</w:t>
      </w:r>
      <w:r>
        <w:rPr>
          <w:rFonts w:cs="Traditional Arabic" w:hint="cs"/>
          <w:sz w:val="28"/>
          <w:szCs w:val="32"/>
          <w:rtl/>
        </w:rPr>
        <w:t xml:space="preserve"> .</w:t>
      </w:r>
      <w:r w:rsidRPr="00EC737F">
        <w:rPr>
          <w:rFonts w:cs="Traditional Arabic" w:hint="cs"/>
          <w:sz w:val="28"/>
          <w:szCs w:val="32"/>
          <w:rtl/>
        </w:rPr>
        <w:t xml:space="preserve"> ولكن التقنين المدني المصري الجديد ميز ما بين رهن ملك الغير ورهن المال المستقبل</w:t>
      </w:r>
      <w:r>
        <w:rPr>
          <w:rFonts w:cs="Traditional Arabic" w:hint="cs"/>
          <w:sz w:val="28"/>
          <w:szCs w:val="32"/>
          <w:rtl/>
        </w:rPr>
        <w:t xml:space="preserve"> ،</w:t>
      </w:r>
      <w:r w:rsidRPr="00EC737F">
        <w:rPr>
          <w:rFonts w:cs="Traditional Arabic" w:hint="cs"/>
          <w:sz w:val="28"/>
          <w:szCs w:val="32"/>
          <w:rtl/>
        </w:rPr>
        <w:t xml:space="preserve"> فيجعل الأول قابلا للإبطال والثاني باطلا</w:t>
      </w:r>
      <w:r>
        <w:rPr>
          <w:rFonts w:cs="Traditional Arabic" w:hint="cs"/>
          <w:sz w:val="28"/>
          <w:szCs w:val="32"/>
          <w:rtl/>
        </w:rPr>
        <w:t xml:space="preserve"> .</w:t>
      </w:r>
      <w:r w:rsidRPr="00EC737F">
        <w:rPr>
          <w:rFonts w:cs="Traditional Arabic" w:hint="cs"/>
          <w:sz w:val="28"/>
          <w:szCs w:val="32"/>
          <w:rtl/>
        </w:rPr>
        <w:t xml:space="preserve"> فنستعرض هذه التقنينات الثلاثة</w:t>
      </w:r>
      <w:r>
        <w:rPr>
          <w:rFonts w:cs="Traditional Arabic" w:hint="cs"/>
          <w:sz w:val="28"/>
          <w:szCs w:val="32"/>
          <w:rtl/>
        </w:rPr>
        <w:t xml:space="preserve"> ،</w:t>
      </w:r>
      <w:r w:rsidRPr="00EC737F">
        <w:rPr>
          <w:rFonts w:cs="Traditional Arabic" w:hint="cs"/>
          <w:sz w:val="28"/>
          <w:szCs w:val="32"/>
          <w:rtl/>
        </w:rPr>
        <w:t xml:space="preserve"> وبوجه خاص التقنيني المدين المصري الجديد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136- رهن ملك الغير في التقنين المدني الفرنسي</w:t>
      </w:r>
      <w:r>
        <w:rPr>
          <w:rFonts w:cs="Traditional Arabic" w:hint="cs"/>
          <w:sz w:val="28"/>
          <w:szCs w:val="32"/>
          <w:rtl/>
        </w:rPr>
        <w:t xml:space="preserve"> :</w:t>
      </w:r>
      <w:r w:rsidRPr="00EC737F">
        <w:rPr>
          <w:rFonts w:cs="Traditional Arabic" w:hint="cs"/>
          <w:sz w:val="28"/>
          <w:szCs w:val="32"/>
          <w:rtl/>
        </w:rPr>
        <w:t xml:space="preserve"> يجب</w:t>
      </w:r>
      <w:r>
        <w:rPr>
          <w:rFonts w:cs="Traditional Arabic" w:hint="cs"/>
          <w:sz w:val="28"/>
          <w:szCs w:val="32"/>
          <w:rtl/>
        </w:rPr>
        <w:t xml:space="preserve"> ،</w:t>
      </w:r>
      <w:r w:rsidRPr="00EC737F">
        <w:rPr>
          <w:rFonts w:cs="Traditional Arabic" w:hint="cs"/>
          <w:sz w:val="28"/>
          <w:szCs w:val="32"/>
          <w:rtl/>
        </w:rPr>
        <w:t xml:space="preserve"> حتى يكون الرهن الرسمي صحيحاً في التقنين المدني الفرنسي</w:t>
      </w:r>
      <w:r>
        <w:rPr>
          <w:rFonts w:cs="Traditional Arabic" w:hint="cs"/>
          <w:sz w:val="28"/>
          <w:szCs w:val="32"/>
          <w:rtl/>
        </w:rPr>
        <w:t xml:space="preserve"> ،</w:t>
      </w:r>
      <w:r w:rsidRPr="00EC737F">
        <w:rPr>
          <w:rFonts w:cs="Traditional Arabic" w:hint="cs"/>
          <w:sz w:val="28"/>
          <w:szCs w:val="32"/>
          <w:rtl/>
        </w:rPr>
        <w:t xml:space="preserve"> أن يكون الراهن مالكاً للعقار المرهون</w:t>
      </w:r>
      <w:r>
        <w:rPr>
          <w:rFonts w:cs="Traditional Arabic" w:hint="cs"/>
          <w:sz w:val="28"/>
          <w:szCs w:val="32"/>
          <w:rtl/>
        </w:rPr>
        <w:t xml:space="preserve"> ،</w:t>
      </w:r>
      <w:r w:rsidRPr="00EC737F">
        <w:rPr>
          <w:rFonts w:cs="Traditional Arabic" w:hint="cs"/>
          <w:sz w:val="28"/>
          <w:szCs w:val="32"/>
          <w:rtl/>
        </w:rPr>
        <w:t xml:space="preserve"> أو صاحباً للحق العقاري الذي يرهنه</w:t>
      </w:r>
      <w:r>
        <w:rPr>
          <w:rFonts w:cs="Traditional Arabic" w:hint="cs"/>
          <w:sz w:val="28"/>
          <w:szCs w:val="32"/>
          <w:rtl/>
        </w:rPr>
        <w:t xml:space="preserve"> .</w:t>
      </w:r>
      <w:r w:rsidRPr="00EC737F">
        <w:rPr>
          <w:rFonts w:cs="Traditional Arabic" w:hint="cs"/>
          <w:sz w:val="28"/>
          <w:szCs w:val="32"/>
          <w:rtl/>
        </w:rPr>
        <w:t xml:space="preserve"> وقد نصت المادة 2129/1 من هذا التقنين على أنه لا يوجد رهن رسمي اتفاقي صحيح إلا ما ينشئه المدين على عقاراته</w:t>
      </w:r>
      <w:r>
        <w:rPr>
          <w:rFonts w:cs="Traditional Arabic" w:hint="cs"/>
          <w:sz w:val="28"/>
          <w:szCs w:val="32"/>
          <w:rtl/>
        </w:rPr>
        <w:t xml:space="preserve"> ،</w:t>
      </w:r>
      <w:r w:rsidRPr="00EC737F">
        <w:rPr>
          <w:rFonts w:cs="Traditional Arabic" w:hint="cs"/>
          <w:sz w:val="28"/>
          <w:szCs w:val="32"/>
          <w:rtl/>
        </w:rPr>
        <w:t xml:space="preserve"> ثم تضيف المادة 2129/2 أن الأموال $300 المستقبلة لا يجوز رهنها رهناً رسمياً</w:t>
      </w:r>
      <w:r>
        <w:rPr>
          <w:rFonts w:cs="Traditional Arabic" w:hint="cs"/>
          <w:sz w:val="28"/>
          <w:szCs w:val="32"/>
          <w:rtl/>
        </w:rPr>
        <w:t xml:space="preserve"> ،</w:t>
      </w:r>
      <w:r w:rsidRPr="00EC737F">
        <w:rPr>
          <w:rFonts w:cs="Traditional Arabic" w:hint="cs"/>
          <w:sz w:val="28"/>
          <w:szCs w:val="32"/>
          <w:rtl/>
        </w:rPr>
        <w:t xml:space="preserve"> وهذا النص الأخير يمنع رهن الأموال المستقبلة رهناً رسمياً كأن العقار غير معين أو كأن معيناً</w:t>
      </w:r>
      <w:r>
        <w:rPr>
          <w:rFonts w:cs="Traditional Arabic" w:hint="cs"/>
          <w:sz w:val="28"/>
          <w:szCs w:val="32"/>
          <w:vertAlign w:val="superscript"/>
          <w:rtl/>
        </w:rPr>
        <w:t xml:space="preserve">( </w:t>
      </w:r>
      <w:r w:rsidRPr="00EC737F">
        <w:rPr>
          <w:rStyle w:val="ab"/>
          <w:rFonts w:cs="Traditional Arabic"/>
          <w:sz w:val="28"/>
          <w:szCs w:val="32"/>
          <w:rtl/>
        </w:rPr>
        <w:footnoteReference w:id="66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ويذهب القضاء والفقه في فرنسا إلى أن بطلان رهن ملك الغير رهنا رسمياً هو بطلان مطلق لا بطلان نسبي</w:t>
      </w:r>
      <w:r>
        <w:rPr>
          <w:rFonts w:cs="Traditional Arabic" w:hint="cs"/>
          <w:sz w:val="28"/>
          <w:szCs w:val="32"/>
          <w:rtl/>
        </w:rPr>
        <w:t xml:space="preserve"> ،</w:t>
      </w:r>
      <w:r w:rsidRPr="00EC737F">
        <w:rPr>
          <w:rFonts w:cs="Traditional Arabic" w:hint="cs"/>
          <w:sz w:val="28"/>
          <w:szCs w:val="32"/>
          <w:rtl/>
        </w:rPr>
        <w:t xml:space="preserve"> ويبقى البطلان مطلقاً حتى لو كسب الراهن غير المالك ملكية العقار فيما بعد</w:t>
      </w:r>
      <w:r>
        <w:rPr>
          <w:rFonts w:cs="Traditional Arabic" w:hint="cs"/>
          <w:sz w:val="28"/>
          <w:szCs w:val="32"/>
          <w:rtl/>
        </w:rPr>
        <w:t xml:space="preserve"> ،</w:t>
      </w:r>
      <w:r w:rsidRPr="00EC737F">
        <w:rPr>
          <w:rFonts w:cs="Traditional Arabic" w:hint="cs"/>
          <w:sz w:val="28"/>
          <w:szCs w:val="32"/>
          <w:rtl/>
        </w:rPr>
        <w:t xml:space="preserve"> وفي هذه الحالة لا يستطيع الراهن أن يرهن العقار إلا بعد أن يتملكه ومن وقت أن يتملكه</w:t>
      </w:r>
      <w:r>
        <w:rPr>
          <w:rFonts w:cs="Traditional Arabic" w:hint="cs"/>
          <w:sz w:val="28"/>
          <w:szCs w:val="32"/>
          <w:vertAlign w:val="superscript"/>
          <w:rtl/>
        </w:rPr>
        <w:t xml:space="preserve">( </w:t>
      </w:r>
      <w:r w:rsidRPr="00EC737F">
        <w:rPr>
          <w:rStyle w:val="ab"/>
          <w:rFonts w:cs="Traditional Arabic"/>
          <w:sz w:val="28"/>
          <w:szCs w:val="32"/>
          <w:rtl/>
        </w:rPr>
        <w:footnoteReference w:id="66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ولما كأن بطلان الرهن الرسمية الصادر من غير مالك العقار المرهون بطلاناً مطلقاً</w:t>
      </w:r>
      <w:r>
        <w:rPr>
          <w:rFonts w:cs="Traditional Arabic" w:hint="cs"/>
          <w:sz w:val="28"/>
          <w:szCs w:val="32"/>
          <w:rtl/>
        </w:rPr>
        <w:t xml:space="preserve"> ،</w:t>
      </w:r>
      <w:r w:rsidRPr="00EC737F">
        <w:rPr>
          <w:rFonts w:cs="Traditional Arabic" w:hint="cs"/>
          <w:sz w:val="28"/>
          <w:szCs w:val="32"/>
          <w:rtl/>
        </w:rPr>
        <w:t xml:space="preserve"> جاز أن يتمسك به مالك العقار المرهون نفسه وخلفه</w:t>
      </w:r>
      <w:r>
        <w:rPr>
          <w:rFonts w:cs="Traditional Arabic" w:hint="cs"/>
          <w:sz w:val="28"/>
          <w:szCs w:val="32"/>
          <w:vertAlign w:val="superscript"/>
          <w:rtl/>
        </w:rPr>
        <w:t xml:space="preserve">( </w:t>
      </w:r>
      <w:r w:rsidRPr="00EC737F">
        <w:rPr>
          <w:rStyle w:val="ab"/>
          <w:rFonts w:cs="Traditional Arabic"/>
          <w:sz w:val="28"/>
          <w:szCs w:val="32"/>
          <w:rtl/>
        </w:rPr>
        <w:footnoteReference w:id="66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كما يجوز أن يتمسك به كل شخص له مصلحة في ذلك</w:t>
      </w:r>
      <w:r>
        <w:rPr>
          <w:rFonts w:cs="Traditional Arabic" w:hint="cs"/>
          <w:sz w:val="28"/>
          <w:szCs w:val="32"/>
          <w:rtl/>
        </w:rPr>
        <w:t xml:space="preserve"> ،</w:t>
      </w:r>
      <w:r w:rsidRPr="00EC737F">
        <w:rPr>
          <w:rFonts w:cs="Traditional Arabic" w:hint="cs"/>
          <w:sz w:val="28"/>
          <w:szCs w:val="32"/>
          <w:rtl/>
        </w:rPr>
        <w:t xml:space="preserve"> فيتمسك به الدائنون الشخصيون للراهن</w:t>
      </w:r>
      <w:r>
        <w:rPr>
          <w:rFonts w:cs="Traditional Arabic" w:hint="cs"/>
          <w:sz w:val="28"/>
          <w:szCs w:val="32"/>
          <w:vertAlign w:val="superscript"/>
          <w:rtl/>
        </w:rPr>
        <w:t xml:space="preserve">( </w:t>
      </w:r>
      <w:r w:rsidRPr="00EC737F">
        <w:rPr>
          <w:rStyle w:val="ab"/>
          <w:rFonts w:cs="Traditional Arabic"/>
          <w:sz w:val="28"/>
          <w:szCs w:val="32"/>
          <w:rtl/>
        </w:rPr>
        <w:footnoteReference w:id="66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وكذلك الغير الذي باع له الراهن أو وهب أو رهن العقار الموهوب بعد أن أصبح هذا العقار ملكاً له</w:t>
      </w:r>
      <w:r>
        <w:rPr>
          <w:rFonts w:cs="Traditional Arabic" w:hint="cs"/>
          <w:sz w:val="28"/>
          <w:szCs w:val="32"/>
          <w:vertAlign w:val="superscript"/>
          <w:rtl/>
        </w:rPr>
        <w:t xml:space="preserve">( </w:t>
      </w:r>
      <w:r w:rsidRPr="00EC737F">
        <w:rPr>
          <w:rStyle w:val="ab"/>
          <w:rFonts w:cs="Traditional Arabic"/>
          <w:sz w:val="28"/>
          <w:szCs w:val="32"/>
          <w:rtl/>
        </w:rPr>
        <w:footnoteReference w:id="66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 xml:space="preserve">$301 ويميز الفقه والقضاء في فرنسا بين رهن ملك الغير رهناً رسمياً وهو باطل وبين ملك الغير وهو قابل للإبطال </w:t>
      </w:r>
      <w:r>
        <w:rPr>
          <w:rFonts w:cs="Traditional Arabic" w:hint="cs"/>
          <w:sz w:val="28"/>
          <w:szCs w:val="32"/>
          <w:rtl/>
        </w:rPr>
        <w:t xml:space="preserve">( </w:t>
      </w:r>
      <w:r w:rsidRPr="00EC737F">
        <w:rPr>
          <w:rFonts w:cs="Traditional Arabic" w:hint="cs"/>
          <w:sz w:val="28"/>
          <w:szCs w:val="32"/>
          <w:rtl/>
        </w:rPr>
        <w:t>م 1599 مدني فرنسي</w:t>
      </w:r>
      <w:r>
        <w:rPr>
          <w:rFonts w:cs="Traditional Arabic" w:hint="cs"/>
          <w:sz w:val="28"/>
          <w:szCs w:val="32"/>
          <w:rtl/>
        </w:rPr>
        <w:t xml:space="preserve"> ) ،</w:t>
      </w:r>
      <w:r w:rsidRPr="00EC737F">
        <w:rPr>
          <w:rFonts w:cs="Traditional Arabic" w:hint="cs"/>
          <w:sz w:val="28"/>
          <w:szCs w:val="32"/>
          <w:rtl/>
        </w:rPr>
        <w:t xml:space="preserve"> فلا يجوز أن يتمسك بقابلية بيع ملك الغير للإبطال إلا المشتري</w:t>
      </w:r>
      <w:r>
        <w:rPr>
          <w:rFonts w:cs="Traditional Arabic" w:hint="cs"/>
          <w:sz w:val="28"/>
          <w:szCs w:val="32"/>
          <w:rtl/>
        </w:rPr>
        <w:t xml:space="preserve"> ،</w:t>
      </w:r>
      <w:r w:rsidRPr="00EC737F">
        <w:rPr>
          <w:rFonts w:cs="Traditional Arabic" w:hint="cs"/>
          <w:sz w:val="28"/>
          <w:szCs w:val="32"/>
          <w:rtl/>
        </w:rPr>
        <w:t xml:space="preserve"> وتزول هذه القابلية للإبطال إذا أقر المالك البيع أو أصبح البائع مالكا للعقار المبيع</w:t>
      </w:r>
      <w:r>
        <w:rPr>
          <w:rFonts w:cs="Traditional Arabic" w:hint="cs"/>
          <w:sz w:val="28"/>
          <w:szCs w:val="32"/>
          <w:vertAlign w:val="superscript"/>
          <w:rtl/>
        </w:rPr>
        <w:t xml:space="preserve">( </w:t>
      </w:r>
      <w:r w:rsidRPr="00EC737F">
        <w:rPr>
          <w:rStyle w:val="ab"/>
          <w:rFonts w:cs="Traditional Arabic"/>
          <w:sz w:val="28"/>
          <w:szCs w:val="32"/>
          <w:rtl/>
        </w:rPr>
        <w:footnoteReference w:id="66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137- رهن ملك الغير في التقنين المدني المصري السابق</w:t>
      </w:r>
      <w:r>
        <w:rPr>
          <w:rFonts w:cs="Traditional Arabic" w:hint="cs"/>
          <w:sz w:val="28"/>
          <w:szCs w:val="32"/>
          <w:rtl/>
        </w:rPr>
        <w:t xml:space="preserve"> :</w:t>
      </w:r>
      <w:r w:rsidRPr="00EC737F">
        <w:rPr>
          <w:rFonts w:cs="Traditional Arabic" w:hint="cs"/>
          <w:sz w:val="28"/>
          <w:szCs w:val="32"/>
          <w:rtl/>
        </w:rPr>
        <w:t xml:space="preserve"> سار الفقه والقضاء في مصر</w:t>
      </w:r>
      <w:r>
        <w:rPr>
          <w:rFonts w:cs="Traditional Arabic" w:hint="cs"/>
          <w:sz w:val="28"/>
          <w:szCs w:val="32"/>
          <w:rtl/>
        </w:rPr>
        <w:t xml:space="preserve"> ،</w:t>
      </w:r>
      <w:r w:rsidRPr="00EC737F">
        <w:rPr>
          <w:rFonts w:cs="Traditional Arabic" w:hint="cs"/>
          <w:sz w:val="28"/>
          <w:szCs w:val="32"/>
          <w:rtl/>
        </w:rPr>
        <w:t xml:space="preserve"> في عهد التقنين المدني السابق</w:t>
      </w:r>
      <w:r>
        <w:rPr>
          <w:rFonts w:cs="Traditional Arabic" w:hint="cs"/>
          <w:sz w:val="28"/>
          <w:szCs w:val="32"/>
          <w:rtl/>
        </w:rPr>
        <w:t xml:space="preserve"> ،</w:t>
      </w:r>
      <w:r w:rsidRPr="00EC737F">
        <w:rPr>
          <w:rFonts w:cs="Traditional Arabic" w:hint="cs"/>
          <w:sz w:val="28"/>
          <w:szCs w:val="32"/>
          <w:rtl/>
        </w:rPr>
        <w:t xml:space="preserve"> في الطريق الذي سار فيه الفقه والقضاء في فرنسا فيما يتعلق ببطلان رهن ملك الغير رهناً رسمياً</w:t>
      </w:r>
      <w:r>
        <w:rPr>
          <w:rFonts w:cs="Traditional Arabic" w:hint="cs"/>
          <w:sz w:val="28"/>
          <w:szCs w:val="32"/>
          <w:rtl/>
        </w:rPr>
        <w:t xml:space="preserve"> .</w:t>
      </w:r>
      <w:r w:rsidRPr="00EC737F">
        <w:rPr>
          <w:rFonts w:cs="Traditional Arabic" w:hint="cs"/>
          <w:sz w:val="28"/>
          <w:szCs w:val="32"/>
          <w:rtl/>
        </w:rPr>
        <w:t xml:space="preserve"> فكانا يقضيان بأن هذا الرهن الرسمي يكون باطلا</w:t>
      </w:r>
      <w:r>
        <w:rPr>
          <w:rFonts w:cs="Traditional Arabic" w:hint="cs"/>
          <w:sz w:val="28"/>
          <w:szCs w:val="32"/>
          <w:rtl/>
        </w:rPr>
        <w:t xml:space="preserve"> ،</w:t>
      </w:r>
      <w:r w:rsidRPr="00EC737F">
        <w:rPr>
          <w:rFonts w:cs="Traditional Arabic" w:hint="cs"/>
          <w:sz w:val="28"/>
          <w:szCs w:val="32"/>
          <w:rtl/>
        </w:rPr>
        <w:t xml:space="preserve"> وكانا يستندان في ذلك إلى نصين في التقنين المدني السابق لا يعرضان بالذات إلى رهن ملك الغير</w:t>
      </w:r>
      <w:r>
        <w:rPr>
          <w:rFonts w:cs="Traditional Arabic" w:hint="cs"/>
          <w:sz w:val="28"/>
          <w:szCs w:val="32"/>
          <w:rtl/>
        </w:rPr>
        <w:t xml:space="preserve"> ،</w:t>
      </w:r>
      <w:r w:rsidRPr="00EC737F">
        <w:rPr>
          <w:rFonts w:cs="Traditional Arabic" w:hint="cs"/>
          <w:sz w:val="28"/>
          <w:szCs w:val="32"/>
          <w:rtl/>
        </w:rPr>
        <w:t xml:space="preserve"> فكانت المادة 577/681 تنص على أنه "لا يعتبر رهن العقار إلا بموجب عقد رسمي </w:t>
      </w:r>
      <w:r>
        <w:rPr>
          <w:rFonts w:cs="Traditional Arabic" w:hint="cs"/>
          <w:sz w:val="28"/>
          <w:szCs w:val="32"/>
          <w:rtl/>
        </w:rPr>
        <w:t xml:space="preserve"> . . .</w:t>
      </w:r>
      <w:r w:rsidRPr="00EC737F">
        <w:rPr>
          <w:rFonts w:cs="Traditional Arabic" w:hint="cs"/>
          <w:sz w:val="28"/>
          <w:szCs w:val="32"/>
          <w:rtl/>
        </w:rPr>
        <w:t xml:space="preserve"> بين الدائن </w:t>
      </w:r>
      <w:r w:rsidRPr="00EC737F">
        <w:rPr>
          <w:rFonts w:cs="Traditional Arabic" w:hint="cs"/>
          <w:sz w:val="28"/>
          <w:szCs w:val="32"/>
          <w:u w:val="single"/>
          <w:rtl/>
        </w:rPr>
        <w:t>ومالك العقار</w:t>
      </w:r>
      <w:r w:rsidRPr="00EC737F">
        <w:rPr>
          <w:rFonts w:cs="Traditional Arabic" w:hint="cs"/>
          <w:sz w:val="28"/>
          <w:szCs w:val="32"/>
          <w:rtl/>
        </w:rPr>
        <w:t xml:space="preserve"> تأميناً لوفاء الدين"</w:t>
      </w:r>
      <w:r>
        <w:rPr>
          <w:rFonts w:cs="Traditional Arabic" w:hint="cs"/>
          <w:sz w:val="28"/>
          <w:szCs w:val="32"/>
          <w:rtl/>
        </w:rPr>
        <w:t xml:space="preserve"> .</w:t>
      </w:r>
      <w:r w:rsidRPr="00EC737F">
        <w:rPr>
          <w:rFonts w:cs="Traditional Arabic" w:hint="cs"/>
          <w:sz w:val="28"/>
          <w:szCs w:val="32"/>
          <w:rtl/>
        </w:rPr>
        <w:t xml:space="preserve"> وكانت المادة 563/687 تنص على أن "رهن العقارات التي تؤول إلى الراهن في المستقبل باطل"</w:t>
      </w:r>
      <w:r>
        <w:rPr>
          <w:rFonts w:cs="Traditional Arabic" w:hint="cs"/>
          <w:sz w:val="28"/>
          <w:szCs w:val="32"/>
          <w:rtl/>
        </w:rPr>
        <w:t xml:space="preserve"> .</w:t>
      </w:r>
      <w:r w:rsidRPr="00EC737F">
        <w:rPr>
          <w:rFonts w:cs="Traditional Arabic" w:hint="cs"/>
          <w:sz w:val="28"/>
          <w:szCs w:val="32"/>
          <w:rtl/>
        </w:rPr>
        <w:t xml:space="preserve"> فالنص الأول يقضي بأن من يرتب الرهن على عقار يجب أن يكون مالكاً لهذا العقار</w:t>
      </w:r>
      <w:r>
        <w:rPr>
          <w:rFonts w:cs="Traditional Arabic" w:hint="cs"/>
          <w:sz w:val="28"/>
          <w:szCs w:val="32"/>
          <w:rtl/>
        </w:rPr>
        <w:t xml:space="preserve"> ،</w:t>
      </w:r>
      <w:r w:rsidRPr="00EC737F">
        <w:rPr>
          <w:rFonts w:cs="Traditional Arabic" w:hint="cs"/>
          <w:sz w:val="28"/>
          <w:szCs w:val="32"/>
          <w:rtl/>
        </w:rPr>
        <w:t xml:space="preserve"> ويقضي النص الثاني ببطلان الرهن الذي يصدر م شخص لا يملك العقار المرهون ولو اعتقد الراهن أن هذا العقار ستؤول ملكيته إليه في المستقبل</w:t>
      </w:r>
      <w:r>
        <w:rPr>
          <w:rFonts w:cs="Traditional Arabic" w:hint="cs"/>
          <w:sz w:val="28"/>
          <w:szCs w:val="32"/>
          <w:rtl/>
        </w:rPr>
        <w:t xml:space="preserve"> .</w:t>
      </w:r>
      <w:r w:rsidRPr="00EC737F">
        <w:rPr>
          <w:rFonts w:cs="Traditional Arabic" w:hint="cs"/>
          <w:sz w:val="28"/>
          <w:szCs w:val="32"/>
          <w:rtl/>
        </w:rPr>
        <w:t xml:space="preserve"> فكان الفقه والقضاء يجعلان الرهن الرسمي الصادر من غير مالك العقار المرهون باطلا بطلاناً مطلقاً</w:t>
      </w:r>
      <w:r>
        <w:rPr>
          <w:rFonts w:cs="Traditional Arabic" w:hint="cs"/>
          <w:sz w:val="28"/>
          <w:szCs w:val="32"/>
          <w:rtl/>
        </w:rPr>
        <w:t xml:space="preserve"> ،</w:t>
      </w:r>
      <w:r w:rsidRPr="00EC737F">
        <w:rPr>
          <w:rFonts w:cs="Traditional Arabic" w:hint="cs"/>
          <w:sz w:val="28"/>
          <w:szCs w:val="32"/>
          <w:rtl/>
        </w:rPr>
        <w:t xml:space="preserve"> لا فرق في ذلك بين عقار معين بالذات مملوك للغير وعقار غير معين بالذات سيؤول إلى الراهن في المستقبل</w:t>
      </w:r>
      <w:r>
        <w:rPr>
          <w:rFonts w:cs="Traditional Arabic" w:hint="cs"/>
          <w:sz w:val="28"/>
          <w:szCs w:val="32"/>
          <w:vertAlign w:val="superscript"/>
          <w:rtl/>
        </w:rPr>
        <w:t xml:space="preserve">( </w:t>
      </w:r>
      <w:r w:rsidRPr="00EC737F">
        <w:rPr>
          <w:rStyle w:val="ab"/>
          <w:rFonts w:cs="Traditional Arabic"/>
          <w:sz w:val="28"/>
          <w:szCs w:val="32"/>
          <w:rtl/>
        </w:rPr>
        <w:footnoteReference w:id="66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والذي حمل الفقه والقضاء في مصر على هذا $302 النهج تقليدهما للفقه </w:t>
      </w:r>
      <w:r w:rsidRPr="00EC737F">
        <w:rPr>
          <w:rFonts w:cs="Traditional Arabic" w:hint="cs"/>
          <w:sz w:val="28"/>
          <w:szCs w:val="32"/>
          <w:rtl/>
        </w:rPr>
        <w:lastRenderedPageBreak/>
        <w:t>والقضاء في فرنسا</w:t>
      </w:r>
      <w:r>
        <w:rPr>
          <w:rFonts w:cs="Traditional Arabic" w:hint="cs"/>
          <w:sz w:val="28"/>
          <w:szCs w:val="32"/>
          <w:rtl/>
        </w:rPr>
        <w:t xml:space="preserve"> ،</w:t>
      </w:r>
      <w:r w:rsidRPr="00EC737F">
        <w:rPr>
          <w:rFonts w:cs="Traditional Arabic" w:hint="cs"/>
          <w:sz w:val="28"/>
          <w:szCs w:val="32"/>
          <w:rtl/>
        </w:rPr>
        <w:t xml:space="preserve"> كما سبق القول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أغفلت محكمة الاستئناف المختلطة</w:t>
      </w:r>
      <w:r>
        <w:rPr>
          <w:rFonts w:cs="Traditional Arabic" w:hint="cs"/>
          <w:sz w:val="28"/>
          <w:szCs w:val="32"/>
          <w:rtl/>
        </w:rPr>
        <w:t xml:space="preserve"> .</w:t>
      </w:r>
      <w:r w:rsidRPr="00EC737F">
        <w:rPr>
          <w:rFonts w:cs="Traditional Arabic" w:hint="cs"/>
          <w:sz w:val="28"/>
          <w:szCs w:val="32"/>
          <w:rtl/>
        </w:rPr>
        <w:t xml:space="preserve"> أنه لا يوجد فرق بين رهن ملك الغير رهناً رسمياً وبيع ملك الغير</w:t>
      </w:r>
      <w:r>
        <w:rPr>
          <w:rFonts w:cs="Traditional Arabic" w:hint="cs"/>
          <w:sz w:val="28"/>
          <w:szCs w:val="32"/>
          <w:rtl/>
        </w:rPr>
        <w:t xml:space="preserve"> ،</w:t>
      </w:r>
      <w:r w:rsidRPr="00EC737F">
        <w:rPr>
          <w:rFonts w:cs="Traditional Arabic" w:hint="cs"/>
          <w:sz w:val="28"/>
          <w:szCs w:val="32"/>
          <w:rtl/>
        </w:rPr>
        <w:t xml:space="preserve"> إذ كانت تقضي بأن بيع 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667"/>
      </w:r>
      <w:r>
        <w:rPr>
          <w:rFonts w:cs="Traditional Arabic" w:hint="cs"/>
          <w:sz w:val="28"/>
          <w:szCs w:val="32"/>
          <w:vertAlign w:val="superscript"/>
          <w:rtl/>
        </w:rPr>
        <w:t xml:space="preserve"> )</w:t>
      </w:r>
      <w:r w:rsidRPr="00EC737F">
        <w:rPr>
          <w:rFonts w:cs="Traditional Arabic" w:hint="cs"/>
          <w:sz w:val="28"/>
          <w:szCs w:val="32"/>
          <w:rtl/>
        </w:rPr>
        <w:t xml:space="preserve"> قابل للإبطال لا باطل</w:t>
      </w:r>
      <w:r>
        <w:rPr>
          <w:rFonts w:cs="Traditional Arabic" w:hint="cs"/>
          <w:sz w:val="28"/>
          <w:szCs w:val="32"/>
          <w:rtl/>
        </w:rPr>
        <w:t xml:space="preserve"> .</w:t>
      </w:r>
      <w:r w:rsidRPr="00EC737F">
        <w:rPr>
          <w:rFonts w:cs="Traditional Arabic" w:hint="cs"/>
          <w:sz w:val="28"/>
          <w:szCs w:val="32"/>
          <w:rtl/>
        </w:rPr>
        <w:t xml:space="preserve"> وإذا كانت قد قضت في أول عهدها بأن رهن ملك الغير رهناً رسمياً يجب اعتباره قابلا للإبطال لا باطلا</w:t>
      </w:r>
      <w:r>
        <w:rPr>
          <w:rFonts w:cs="Traditional Arabic" w:hint="cs"/>
          <w:sz w:val="28"/>
          <w:szCs w:val="32"/>
          <w:rtl/>
        </w:rPr>
        <w:t xml:space="preserve"> ،</w:t>
      </w:r>
      <w:r w:rsidRPr="00EC737F">
        <w:rPr>
          <w:rFonts w:cs="Traditional Arabic" w:hint="cs"/>
          <w:sz w:val="28"/>
          <w:szCs w:val="32"/>
          <w:rtl/>
        </w:rPr>
        <w:t xml:space="preserve"> قياساً على بيع 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66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إلا أنها هجرت هذا الحكم وجنحت إلى اعتبار رهن ملك الغير رهناً رسمياً باطلا بطلاناً مطلقاً على النحو الذي رأيناه</w:t>
      </w:r>
      <w:r>
        <w:rPr>
          <w:rFonts w:cs="Traditional Arabic" w:hint="cs"/>
          <w:sz w:val="28"/>
          <w:szCs w:val="32"/>
          <w:vertAlign w:val="superscript"/>
          <w:rtl/>
        </w:rPr>
        <w:t xml:space="preserve">( </w:t>
      </w:r>
      <w:r w:rsidRPr="00EC737F">
        <w:rPr>
          <w:rStyle w:val="ab"/>
          <w:rFonts w:cs="Traditional Arabic"/>
          <w:sz w:val="28"/>
          <w:szCs w:val="32"/>
          <w:rtl/>
        </w:rPr>
        <w:footnoteReference w:id="66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138- بطلان بيع ملك الغير في التقنين المدني المصري الجديد</w:t>
      </w:r>
      <w:r>
        <w:rPr>
          <w:rFonts w:cs="Traditional Arabic" w:hint="cs"/>
          <w:sz w:val="28"/>
          <w:szCs w:val="32"/>
          <w:rtl/>
        </w:rPr>
        <w:t xml:space="preserve"> :</w:t>
      </w:r>
      <w:r w:rsidRPr="00EC737F">
        <w:rPr>
          <w:rFonts w:cs="Traditional Arabic" w:hint="cs"/>
          <w:sz w:val="28"/>
          <w:szCs w:val="32"/>
          <w:rtl/>
        </w:rPr>
        <w:t xml:space="preserve"> رأينا فيما تقدم</w:t>
      </w:r>
      <w:r>
        <w:rPr>
          <w:rFonts w:cs="Traditional Arabic" w:hint="cs"/>
          <w:sz w:val="28"/>
          <w:szCs w:val="32"/>
          <w:vertAlign w:val="superscript"/>
          <w:rtl/>
        </w:rPr>
        <w:t xml:space="preserve">( </w:t>
      </w:r>
      <w:r w:rsidRPr="00EC737F">
        <w:rPr>
          <w:rStyle w:val="ab"/>
          <w:rFonts w:cs="Traditional Arabic"/>
          <w:sz w:val="28"/>
          <w:szCs w:val="32"/>
          <w:rtl/>
        </w:rPr>
        <w:footnoteReference w:id="67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أن التقنين المدني المصري الجديد أراد أن يسوي بين حكم بيع ملك الغير ورهن ملك الغير</w:t>
      </w:r>
      <w:r>
        <w:rPr>
          <w:rFonts w:cs="Traditional Arabic" w:hint="cs"/>
          <w:sz w:val="28"/>
          <w:szCs w:val="32"/>
          <w:rtl/>
        </w:rPr>
        <w:t xml:space="preserve"> ،</w:t>
      </w:r>
      <w:r w:rsidRPr="00EC737F">
        <w:rPr>
          <w:rFonts w:cs="Traditional Arabic" w:hint="cs"/>
          <w:sz w:val="28"/>
          <w:szCs w:val="32"/>
          <w:rtl/>
        </w:rPr>
        <w:t xml:space="preserve"> فجعل كلا منهما قابلا للإبطال لا باطلا</w:t>
      </w:r>
      <w:r>
        <w:rPr>
          <w:rFonts w:cs="Traditional Arabic" w:hint="cs"/>
          <w:sz w:val="28"/>
          <w:szCs w:val="32"/>
          <w:rtl/>
        </w:rPr>
        <w:t xml:space="preserve"> .</w:t>
      </w:r>
      <w:r w:rsidRPr="00EC737F">
        <w:rPr>
          <w:rFonts w:cs="Traditional Arabic" w:hint="cs"/>
          <w:sz w:val="28"/>
          <w:szCs w:val="32"/>
          <w:rtl/>
        </w:rPr>
        <w:t xml:space="preserve"> وقد أورد من النصوص ما هو صريح في هذا المعنى</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ففي البيع</w:t>
      </w:r>
      <w:r>
        <w:rPr>
          <w:rFonts w:cs="Traditional Arabic" w:hint="cs"/>
          <w:sz w:val="28"/>
          <w:szCs w:val="32"/>
          <w:rtl/>
        </w:rPr>
        <w:t xml:space="preserve"> ،</w:t>
      </w:r>
      <w:r w:rsidRPr="00EC737F">
        <w:rPr>
          <w:rFonts w:cs="Traditional Arabic" w:hint="cs"/>
          <w:sz w:val="28"/>
          <w:szCs w:val="32"/>
          <w:rtl/>
        </w:rPr>
        <w:t xml:space="preserve"> نص في المادة 466 على أنه "إذا باع شخص شيئاً معيناً بالذات وهو لا يملكه</w:t>
      </w:r>
      <w:r>
        <w:rPr>
          <w:rFonts w:cs="Traditional Arabic" w:hint="cs"/>
          <w:sz w:val="28"/>
          <w:szCs w:val="32"/>
          <w:rtl/>
        </w:rPr>
        <w:t xml:space="preserve"> ،</w:t>
      </w:r>
      <w:r w:rsidRPr="00EC737F">
        <w:rPr>
          <w:rFonts w:cs="Traditional Arabic" w:hint="cs"/>
          <w:sz w:val="28"/>
          <w:szCs w:val="32"/>
          <w:rtl/>
        </w:rPr>
        <w:t xml:space="preserve"> جاز للمشتري أن يطلب إبطال البيع</w:t>
      </w:r>
      <w:r>
        <w:rPr>
          <w:rFonts w:cs="Traditional Arabic" w:hint="cs"/>
          <w:sz w:val="28"/>
          <w:szCs w:val="32"/>
          <w:rtl/>
        </w:rPr>
        <w:t xml:space="preserve"> .</w:t>
      </w:r>
      <w:r w:rsidRPr="00EC737F">
        <w:rPr>
          <w:rFonts w:cs="Traditional Arabic" w:hint="cs"/>
          <w:sz w:val="28"/>
          <w:szCs w:val="32"/>
          <w:rtl/>
        </w:rPr>
        <w:t xml:space="preserve"> ويكون الأمر $303 كذلك لو وقع البيع على عقار</w:t>
      </w:r>
      <w:r>
        <w:rPr>
          <w:rFonts w:cs="Traditional Arabic" w:hint="cs"/>
          <w:sz w:val="28"/>
          <w:szCs w:val="32"/>
          <w:rtl/>
        </w:rPr>
        <w:t xml:space="preserve"> ،</w:t>
      </w:r>
      <w:r w:rsidRPr="00EC737F">
        <w:rPr>
          <w:rFonts w:cs="Traditional Arabic" w:hint="cs"/>
          <w:sz w:val="28"/>
          <w:szCs w:val="32"/>
          <w:rtl/>
        </w:rPr>
        <w:t xml:space="preserve"> سجل العقد أو </w:t>
      </w:r>
      <w:r w:rsidRPr="00EC737F">
        <w:rPr>
          <w:rFonts w:cs="Traditional Arabic" w:hint="cs"/>
          <w:sz w:val="28"/>
          <w:szCs w:val="32"/>
          <w:rtl/>
        </w:rPr>
        <w:lastRenderedPageBreak/>
        <w:t>لم يسجل</w:t>
      </w:r>
      <w:r>
        <w:rPr>
          <w:rFonts w:cs="Traditional Arabic" w:hint="cs"/>
          <w:sz w:val="28"/>
          <w:szCs w:val="32"/>
          <w:rtl/>
        </w:rPr>
        <w:t xml:space="preserve"> .</w:t>
      </w:r>
      <w:r w:rsidRPr="00EC737F">
        <w:rPr>
          <w:rFonts w:cs="Traditional Arabic" w:hint="cs"/>
          <w:sz w:val="28"/>
          <w:szCs w:val="32"/>
          <w:rtl/>
        </w:rPr>
        <w:t xml:space="preserve"> وفي كل حال لا يسري هذا البيع في حق المالك للعين المبيعة</w:t>
      </w:r>
      <w:r>
        <w:rPr>
          <w:rFonts w:cs="Traditional Arabic" w:hint="cs"/>
          <w:sz w:val="28"/>
          <w:szCs w:val="32"/>
          <w:rtl/>
        </w:rPr>
        <w:t xml:space="preserve"> ،</w:t>
      </w:r>
      <w:r w:rsidRPr="00EC737F">
        <w:rPr>
          <w:rFonts w:cs="Traditional Arabic" w:hint="cs"/>
          <w:sz w:val="28"/>
          <w:szCs w:val="32"/>
          <w:rtl/>
        </w:rPr>
        <w:t xml:space="preserve"> ولو أجاز المشتري العقد"</w:t>
      </w:r>
      <w:r>
        <w:rPr>
          <w:rFonts w:cs="Traditional Arabic" w:hint="cs"/>
          <w:sz w:val="28"/>
          <w:szCs w:val="32"/>
          <w:rtl/>
        </w:rPr>
        <w:t xml:space="preserve"> .</w:t>
      </w:r>
      <w:r w:rsidRPr="00EC737F">
        <w:rPr>
          <w:rFonts w:cs="Traditional Arabic" w:hint="cs"/>
          <w:sz w:val="28"/>
          <w:szCs w:val="32"/>
          <w:rtl/>
        </w:rPr>
        <w:t xml:space="preserve"> ونص في المادة 467 على أنه "1- إذا أقر المالك البيع</w:t>
      </w:r>
      <w:r>
        <w:rPr>
          <w:rFonts w:cs="Traditional Arabic" w:hint="cs"/>
          <w:sz w:val="28"/>
          <w:szCs w:val="32"/>
          <w:rtl/>
        </w:rPr>
        <w:t xml:space="preserve"> ،</w:t>
      </w:r>
      <w:r w:rsidRPr="00EC737F">
        <w:rPr>
          <w:rFonts w:cs="Traditional Arabic" w:hint="cs"/>
          <w:sz w:val="28"/>
          <w:szCs w:val="32"/>
          <w:rtl/>
        </w:rPr>
        <w:t xml:space="preserve"> سري العقد في حقه وانقلب صحيحاً في حق المشتري؟ 2- وكذلك ينقلب العقد صحيحاً في حق المشتري</w:t>
      </w:r>
      <w:r>
        <w:rPr>
          <w:rFonts w:cs="Traditional Arabic" w:hint="cs"/>
          <w:sz w:val="28"/>
          <w:szCs w:val="32"/>
          <w:rtl/>
        </w:rPr>
        <w:t xml:space="preserve"> ،</w:t>
      </w:r>
      <w:r w:rsidRPr="00EC737F">
        <w:rPr>
          <w:rFonts w:cs="Traditional Arabic" w:hint="cs"/>
          <w:sz w:val="28"/>
          <w:szCs w:val="32"/>
          <w:rtl/>
        </w:rPr>
        <w:t xml:space="preserve"> إذا آلت ملكية المبيع إلى البائع بعد صدور العقد"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وفي الرهن</w:t>
      </w:r>
      <w:r>
        <w:rPr>
          <w:rFonts w:cs="Traditional Arabic" w:hint="cs"/>
          <w:sz w:val="28"/>
          <w:szCs w:val="32"/>
          <w:rtl/>
        </w:rPr>
        <w:t xml:space="preserve"> ،</w:t>
      </w:r>
      <w:r w:rsidRPr="00EC737F">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671"/>
      </w:r>
      <w:r>
        <w:rPr>
          <w:rFonts w:cs="Traditional Arabic" w:hint="cs"/>
          <w:sz w:val="28"/>
          <w:szCs w:val="32"/>
          <w:vertAlign w:val="superscript"/>
          <w:rtl/>
        </w:rPr>
        <w:t xml:space="preserve"> )</w:t>
      </w:r>
      <w:r w:rsidRPr="00EC737F">
        <w:rPr>
          <w:rFonts w:cs="Traditional Arabic" w:hint="cs"/>
          <w:sz w:val="28"/>
          <w:szCs w:val="32"/>
          <w:rtl/>
        </w:rPr>
        <w:t xml:space="preserve"> أن الفقرة الأولى من المادة 1033 تنص على أنه "إذا كان الراهن غير مالك العقار المرهون</w:t>
      </w:r>
      <w:r>
        <w:rPr>
          <w:rFonts w:cs="Traditional Arabic" w:hint="cs"/>
          <w:sz w:val="28"/>
          <w:szCs w:val="32"/>
          <w:rtl/>
        </w:rPr>
        <w:t xml:space="preserve"> ،</w:t>
      </w:r>
      <w:r w:rsidRPr="00EC737F">
        <w:rPr>
          <w:rFonts w:cs="Traditional Arabic" w:hint="cs"/>
          <w:sz w:val="28"/>
          <w:szCs w:val="32"/>
          <w:rtl/>
        </w:rPr>
        <w:t xml:space="preserve"> فإن عقد الرهن يصبح صحيحاً إذا أقره المالك الحقيقي بورقة رسمية</w:t>
      </w:r>
      <w:r>
        <w:rPr>
          <w:rFonts w:cs="Traditional Arabic" w:hint="cs"/>
          <w:sz w:val="28"/>
          <w:szCs w:val="32"/>
          <w:rtl/>
        </w:rPr>
        <w:t xml:space="preserve"> .</w:t>
      </w:r>
      <w:r w:rsidRPr="00EC737F">
        <w:rPr>
          <w:rFonts w:cs="Traditional Arabic" w:hint="cs"/>
          <w:sz w:val="28"/>
          <w:szCs w:val="32"/>
          <w:rtl/>
        </w:rPr>
        <w:t xml:space="preserve"> وإذا لم يصدر هذا الإقرار</w:t>
      </w:r>
      <w:r>
        <w:rPr>
          <w:rFonts w:cs="Traditional Arabic" w:hint="cs"/>
          <w:sz w:val="28"/>
          <w:szCs w:val="32"/>
          <w:rtl/>
        </w:rPr>
        <w:t xml:space="preserve"> ،</w:t>
      </w:r>
      <w:r w:rsidRPr="00EC737F">
        <w:rPr>
          <w:rFonts w:cs="Traditional Arabic" w:hint="cs"/>
          <w:sz w:val="28"/>
          <w:szCs w:val="32"/>
          <w:rtl/>
        </w:rPr>
        <w:t xml:space="preserve"> فإن حق الرهن لا يترتب على العقار إلا من الوقت الذي يصبح فيه هذا العقار مملوكاً للراهن"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وهذه النصوص صريحة في أن رهن ملك الغير رهناً رسمياً حكمه هو نفس حكم بيع ملك الغير</w:t>
      </w:r>
      <w:r>
        <w:rPr>
          <w:rFonts w:cs="Traditional Arabic" w:hint="cs"/>
          <w:sz w:val="28"/>
          <w:szCs w:val="32"/>
          <w:rtl/>
        </w:rPr>
        <w:t xml:space="preserve"> ،</w:t>
      </w:r>
      <w:r w:rsidRPr="00EC737F">
        <w:rPr>
          <w:rFonts w:cs="Traditional Arabic" w:hint="cs"/>
          <w:sz w:val="28"/>
          <w:szCs w:val="32"/>
          <w:rtl/>
        </w:rPr>
        <w:t xml:space="preserve"> كلاهما قابل للإبطال لا باطل</w:t>
      </w:r>
      <w:r>
        <w:rPr>
          <w:rFonts w:cs="Traditional Arabic" w:hint="cs"/>
          <w:sz w:val="28"/>
          <w:szCs w:val="32"/>
          <w:rtl/>
        </w:rPr>
        <w:t xml:space="preserve"> .</w:t>
      </w:r>
      <w:r w:rsidRPr="00EC737F">
        <w:rPr>
          <w:rFonts w:cs="Traditional Arabic" w:hint="cs"/>
          <w:sz w:val="28"/>
          <w:szCs w:val="32"/>
          <w:rtl/>
        </w:rPr>
        <w:t xml:space="preserve"> فإذا رهن شخص عقار غيره رهناً رسمياً</w:t>
      </w:r>
      <w:r>
        <w:rPr>
          <w:rFonts w:cs="Traditional Arabic" w:hint="cs"/>
          <w:sz w:val="28"/>
          <w:szCs w:val="32"/>
          <w:rtl/>
        </w:rPr>
        <w:t xml:space="preserve"> ،</w:t>
      </w:r>
      <w:r w:rsidRPr="00EC737F">
        <w:rPr>
          <w:rFonts w:cs="Traditional Arabic" w:hint="cs"/>
          <w:sz w:val="28"/>
          <w:szCs w:val="32"/>
          <w:rtl/>
        </w:rPr>
        <w:t xml:space="preserve"> فإن الرهن يكون قابلا للإبطال</w:t>
      </w:r>
      <w:r>
        <w:rPr>
          <w:rFonts w:cs="Traditional Arabic" w:hint="cs"/>
          <w:sz w:val="28"/>
          <w:szCs w:val="32"/>
          <w:rtl/>
        </w:rPr>
        <w:t xml:space="preserve"> ،</w:t>
      </w:r>
      <w:r w:rsidRPr="00EC737F">
        <w:rPr>
          <w:rFonts w:cs="Traditional Arabic" w:hint="cs"/>
          <w:sz w:val="28"/>
          <w:szCs w:val="32"/>
          <w:rtl/>
        </w:rPr>
        <w:t xml:space="preserve"> سواء كان الراهن لا يعلم بعدم ملكيته للعقار أو كان يعلم</w:t>
      </w:r>
      <w:r>
        <w:rPr>
          <w:rFonts w:cs="Traditional Arabic" w:hint="cs"/>
          <w:sz w:val="28"/>
          <w:szCs w:val="32"/>
          <w:rtl/>
        </w:rPr>
        <w:t xml:space="preserve"> ،</w:t>
      </w:r>
      <w:r w:rsidRPr="00EC737F">
        <w:rPr>
          <w:rFonts w:cs="Traditional Arabic" w:hint="cs"/>
          <w:sz w:val="28"/>
          <w:szCs w:val="32"/>
          <w:rtl/>
        </w:rPr>
        <w:t xml:space="preserve"> وسواء كان الدائن المرتهن لا يعلم كذلك أو يعلم</w:t>
      </w:r>
      <w:r>
        <w:rPr>
          <w:rFonts w:cs="Traditional Arabic" w:hint="cs"/>
          <w:sz w:val="28"/>
          <w:szCs w:val="32"/>
          <w:rtl/>
        </w:rPr>
        <w:t xml:space="preserve"> .</w:t>
      </w:r>
      <w:r w:rsidRPr="00EC737F">
        <w:rPr>
          <w:rFonts w:cs="Traditional Arabic" w:hint="cs"/>
          <w:sz w:val="28"/>
          <w:szCs w:val="32"/>
          <w:rtl/>
        </w:rPr>
        <w:t xml:space="preserve"> ففي جميع هذه الأحوال يكون رهن ملك الغير رهناً رسمياً قابلا للإبطال لا باطلا</w:t>
      </w:r>
      <w:r>
        <w:rPr>
          <w:rFonts w:cs="Traditional Arabic" w:hint="cs"/>
          <w:sz w:val="28"/>
          <w:szCs w:val="32"/>
          <w:rtl/>
        </w:rPr>
        <w:t xml:space="preserve"> ،</w:t>
      </w:r>
      <w:r w:rsidRPr="00EC737F">
        <w:rPr>
          <w:rFonts w:cs="Traditional Arabic" w:hint="cs"/>
          <w:sz w:val="28"/>
          <w:szCs w:val="32"/>
          <w:rtl/>
        </w:rPr>
        <w:t xml:space="preserve"> وهو قابل للإبطال لمصلحة الدائن المرتهن لا لمصلحة الراهن</w:t>
      </w:r>
      <w:r>
        <w:rPr>
          <w:rFonts w:cs="Traditional Arabic" w:hint="cs"/>
          <w:sz w:val="28"/>
          <w:szCs w:val="32"/>
          <w:rtl/>
        </w:rPr>
        <w:t xml:space="preserve"> .</w:t>
      </w:r>
      <w:r w:rsidRPr="00EC737F">
        <w:rPr>
          <w:rFonts w:cs="Traditional Arabic" w:hint="cs"/>
          <w:sz w:val="28"/>
          <w:szCs w:val="32"/>
          <w:rtl/>
        </w:rPr>
        <w:t xml:space="preserve"> ومن ثم يجوز للدائن المرتهن أن يطلب إبطال الرهن</w:t>
      </w:r>
      <w:r>
        <w:rPr>
          <w:rFonts w:cs="Traditional Arabic" w:hint="cs"/>
          <w:sz w:val="28"/>
          <w:szCs w:val="32"/>
          <w:rtl/>
        </w:rPr>
        <w:t xml:space="preserve"> ،</w:t>
      </w:r>
      <w:r w:rsidRPr="00EC737F">
        <w:rPr>
          <w:rFonts w:cs="Traditional Arabic" w:hint="cs"/>
          <w:sz w:val="28"/>
          <w:szCs w:val="32"/>
          <w:rtl/>
        </w:rPr>
        <w:t xml:space="preserve"> فيبطل</w:t>
      </w:r>
      <w:r>
        <w:rPr>
          <w:rFonts w:cs="Traditional Arabic" w:hint="cs"/>
          <w:sz w:val="28"/>
          <w:szCs w:val="32"/>
          <w:rtl/>
        </w:rPr>
        <w:t xml:space="preserve"> .</w:t>
      </w:r>
      <w:r w:rsidRPr="00EC737F">
        <w:rPr>
          <w:rFonts w:cs="Traditional Arabic" w:hint="cs"/>
          <w:sz w:val="28"/>
          <w:szCs w:val="32"/>
          <w:rtl/>
        </w:rPr>
        <w:t xml:space="preserve"> وكذلك يجوز للمرتهن أن يجيز عقد الرهن الرسمي</w:t>
      </w:r>
      <w:r>
        <w:rPr>
          <w:rFonts w:cs="Traditional Arabic" w:hint="cs"/>
          <w:sz w:val="28"/>
          <w:szCs w:val="32"/>
          <w:rtl/>
        </w:rPr>
        <w:t xml:space="preserve"> ،</w:t>
      </w:r>
      <w:r w:rsidRPr="00EC737F">
        <w:rPr>
          <w:rFonts w:cs="Traditional Arabic" w:hint="cs"/>
          <w:sz w:val="28"/>
          <w:szCs w:val="32"/>
          <w:rtl/>
        </w:rPr>
        <w:t xml:space="preserve"> فيصبح هذا العقد صحيحاً بإجازة الدائن له</w:t>
      </w:r>
      <w:r>
        <w:rPr>
          <w:rFonts w:cs="Traditional Arabic" w:hint="cs"/>
          <w:sz w:val="28"/>
          <w:szCs w:val="32"/>
          <w:rtl/>
        </w:rPr>
        <w:t xml:space="preserve"> .</w:t>
      </w:r>
      <w:r w:rsidRPr="00EC737F">
        <w:rPr>
          <w:rFonts w:cs="Traditional Arabic" w:hint="cs"/>
          <w:sz w:val="28"/>
          <w:szCs w:val="32"/>
          <w:rtl/>
        </w:rPr>
        <w:t xml:space="preserve"> ولكن ليس معنى ذلك أن حق الرهن الرسمي ينشأ لمصلحته</w:t>
      </w:r>
      <w:r>
        <w:rPr>
          <w:rFonts w:cs="Traditional Arabic" w:hint="cs"/>
          <w:sz w:val="28"/>
          <w:szCs w:val="32"/>
          <w:rtl/>
        </w:rPr>
        <w:t xml:space="preserve"> ،</w:t>
      </w:r>
      <w:r w:rsidRPr="00EC737F">
        <w:rPr>
          <w:rFonts w:cs="Traditional Arabic" w:hint="cs"/>
          <w:sz w:val="28"/>
          <w:szCs w:val="32"/>
          <w:rtl/>
        </w:rPr>
        <w:t xml:space="preserve"> بل إن هذا الحق لا ينشأ إلا إذا أقر المالك الحقيقي $304 عقد الرهن بورقة رسمية</w:t>
      </w:r>
      <w:r>
        <w:rPr>
          <w:rFonts w:cs="Traditional Arabic" w:hint="cs"/>
          <w:sz w:val="28"/>
          <w:szCs w:val="32"/>
          <w:vertAlign w:val="superscript"/>
          <w:rtl/>
        </w:rPr>
        <w:t xml:space="preserve">( </w:t>
      </w:r>
      <w:r w:rsidRPr="00EC737F">
        <w:rPr>
          <w:rStyle w:val="ab"/>
          <w:rFonts w:cs="Traditional Arabic"/>
          <w:sz w:val="28"/>
          <w:szCs w:val="32"/>
          <w:rtl/>
        </w:rPr>
        <w:footnoteReference w:id="67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إذا أصبح الراهن مالكاً للعقار المرهون ومن وقت ملكيته له لا قبل 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فرهن ملك الغير رهناً رسمياً</w:t>
      </w:r>
      <w:r>
        <w:rPr>
          <w:rFonts w:cs="Traditional Arabic" w:hint="cs"/>
          <w:sz w:val="28"/>
          <w:szCs w:val="32"/>
          <w:rtl/>
        </w:rPr>
        <w:t xml:space="preserve"> ،</w:t>
      </w:r>
      <w:r w:rsidRPr="00EC737F">
        <w:rPr>
          <w:rFonts w:cs="Traditional Arabic" w:hint="cs"/>
          <w:sz w:val="28"/>
          <w:szCs w:val="32"/>
          <w:rtl/>
        </w:rPr>
        <w:t xml:space="preserve"> كبيع ملك الغير</w:t>
      </w:r>
      <w:r>
        <w:rPr>
          <w:rFonts w:cs="Traditional Arabic" w:hint="cs"/>
          <w:sz w:val="28"/>
          <w:szCs w:val="32"/>
          <w:rtl/>
        </w:rPr>
        <w:t xml:space="preserve"> ،</w:t>
      </w:r>
      <w:r w:rsidRPr="00EC737F">
        <w:rPr>
          <w:rFonts w:cs="Traditional Arabic" w:hint="cs"/>
          <w:sz w:val="28"/>
          <w:szCs w:val="32"/>
          <w:rtl/>
        </w:rPr>
        <w:t xml:space="preserve"> ينشأ أولا قابلا للإبطال</w:t>
      </w:r>
      <w:r>
        <w:rPr>
          <w:rFonts w:cs="Traditional Arabic" w:hint="cs"/>
          <w:sz w:val="28"/>
          <w:szCs w:val="32"/>
          <w:rtl/>
        </w:rPr>
        <w:t xml:space="preserve"> .</w:t>
      </w:r>
      <w:r w:rsidRPr="00EC737F">
        <w:rPr>
          <w:rFonts w:cs="Traditional Arabic" w:hint="cs"/>
          <w:sz w:val="28"/>
          <w:szCs w:val="32"/>
          <w:rtl/>
        </w:rPr>
        <w:t xml:space="preserve"> وفي هذه الفترة يبقى عقد الرهن قائماً فيما بين الراهن والدائن المرتهن</w:t>
      </w:r>
      <w:r>
        <w:rPr>
          <w:rFonts w:cs="Traditional Arabic" w:hint="cs"/>
          <w:sz w:val="28"/>
          <w:szCs w:val="32"/>
          <w:rtl/>
        </w:rPr>
        <w:t xml:space="preserve"> ،</w:t>
      </w:r>
      <w:r w:rsidRPr="00EC737F">
        <w:rPr>
          <w:rFonts w:cs="Traditional Arabic" w:hint="cs"/>
          <w:sz w:val="28"/>
          <w:szCs w:val="32"/>
          <w:rtl/>
        </w:rPr>
        <w:t xml:space="preserve"> ولكنه لا ينفذ في حق المالك الحقيقي</w:t>
      </w:r>
      <w:r>
        <w:rPr>
          <w:rFonts w:cs="Traditional Arabic" w:hint="cs"/>
          <w:sz w:val="28"/>
          <w:szCs w:val="32"/>
          <w:rtl/>
        </w:rPr>
        <w:t xml:space="preserve"> .</w:t>
      </w:r>
      <w:r w:rsidRPr="00EC737F">
        <w:rPr>
          <w:rFonts w:cs="Traditional Arabic" w:hint="cs"/>
          <w:sz w:val="28"/>
          <w:szCs w:val="32"/>
          <w:rtl/>
        </w:rPr>
        <w:t xml:space="preserve"> فإذا أبطله الدائن </w:t>
      </w:r>
      <w:r w:rsidRPr="00EC737F">
        <w:rPr>
          <w:rFonts w:cs="Traditional Arabic" w:hint="cs"/>
          <w:sz w:val="28"/>
          <w:szCs w:val="32"/>
          <w:rtl/>
        </w:rPr>
        <w:lastRenderedPageBreak/>
        <w:t>المرتهن</w:t>
      </w:r>
      <w:r>
        <w:rPr>
          <w:rFonts w:cs="Traditional Arabic" w:hint="cs"/>
          <w:sz w:val="28"/>
          <w:szCs w:val="32"/>
          <w:rtl/>
        </w:rPr>
        <w:t xml:space="preserve"> ،</w:t>
      </w:r>
      <w:r w:rsidRPr="00EC737F">
        <w:rPr>
          <w:rFonts w:cs="Traditional Arabic" w:hint="cs"/>
          <w:sz w:val="28"/>
          <w:szCs w:val="32"/>
          <w:rtl/>
        </w:rPr>
        <w:t xml:space="preserve"> زال واعتبر كأن لم يكن</w:t>
      </w:r>
      <w:r>
        <w:rPr>
          <w:rFonts w:cs="Traditional Arabic" w:hint="cs"/>
          <w:sz w:val="28"/>
          <w:szCs w:val="32"/>
          <w:rtl/>
        </w:rPr>
        <w:t xml:space="preserve"> .</w:t>
      </w:r>
      <w:r w:rsidRPr="00EC737F">
        <w:rPr>
          <w:rFonts w:cs="Traditional Arabic" w:hint="cs"/>
          <w:sz w:val="28"/>
          <w:szCs w:val="32"/>
          <w:rtl/>
        </w:rPr>
        <w:t xml:space="preserve"> أما إذا أجازه</w:t>
      </w:r>
      <w:r>
        <w:rPr>
          <w:rFonts w:cs="Traditional Arabic" w:hint="cs"/>
          <w:sz w:val="28"/>
          <w:szCs w:val="32"/>
          <w:rtl/>
        </w:rPr>
        <w:t xml:space="preserve"> ،</w:t>
      </w:r>
      <w:r w:rsidRPr="00EC737F">
        <w:rPr>
          <w:rFonts w:cs="Traditional Arabic" w:hint="cs"/>
          <w:sz w:val="28"/>
          <w:szCs w:val="32"/>
          <w:rtl/>
        </w:rPr>
        <w:t xml:space="preserve"> فإنه ينقلب صحيحاً فلا يعود للدائن المرتهن حق إبطاله</w:t>
      </w:r>
      <w:r>
        <w:rPr>
          <w:rFonts w:cs="Traditional Arabic" w:hint="cs"/>
          <w:sz w:val="28"/>
          <w:szCs w:val="32"/>
          <w:rtl/>
        </w:rPr>
        <w:t xml:space="preserve"> ،</w:t>
      </w:r>
      <w:r w:rsidRPr="00EC737F">
        <w:rPr>
          <w:rFonts w:cs="Traditional Arabic" w:hint="cs"/>
          <w:sz w:val="28"/>
          <w:szCs w:val="32"/>
          <w:rtl/>
        </w:rPr>
        <w:t xml:space="preserve"> ولكنه لا ينشئ حق رهن رسمي لمصلحة الدائن المرتهن</w:t>
      </w:r>
      <w:r>
        <w:rPr>
          <w:rFonts w:cs="Traditional Arabic" w:hint="cs"/>
          <w:sz w:val="28"/>
          <w:szCs w:val="32"/>
          <w:rtl/>
        </w:rPr>
        <w:t xml:space="preserve"> .</w:t>
      </w:r>
      <w:r w:rsidRPr="00EC737F">
        <w:rPr>
          <w:rFonts w:cs="Traditional Arabic" w:hint="cs"/>
          <w:sz w:val="28"/>
          <w:szCs w:val="32"/>
          <w:rtl/>
        </w:rPr>
        <w:t xml:space="preserve"> ويجوز في هذه الحالة للدائن المرتهن أن يطلب فسخ العقد ضد الراهن</w:t>
      </w:r>
      <w:r>
        <w:rPr>
          <w:rFonts w:cs="Traditional Arabic" w:hint="cs"/>
          <w:sz w:val="28"/>
          <w:szCs w:val="32"/>
          <w:rtl/>
        </w:rPr>
        <w:t xml:space="preserve"> ،</w:t>
      </w:r>
      <w:r w:rsidRPr="00EC737F">
        <w:rPr>
          <w:rFonts w:cs="Traditional Arabic" w:hint="cs"/>
          <w:sz w:val="28"/>
          <w:szCs w:val="32"/>
          <w:rtl/>
        </w:rPr>
        <w:t xml:space="preserve"> فإذا فسخ العقد زال بأثر رجعي</w:t>
      </w:r>
      <w:r>
        <w:rPr>
          <w:rFonts w:cs="Traditional Arabic" w:hint="cs"/>
          <w:sz w:val="28"/>
          <w:szCs w:val="32"/>
          <w:rtl/>
        </w:rPr>
        <w:t xml:space="preserve"> .</w:t>
      </w:r>
      <w:r w:rsidRPr="00EC737F">
        <w:rPr>
          <w:rFonts w:cs="Traditional Arabic" w:hint="cs"/>
          <w:sz w:val="28"/>
          <w:szCs w:val="32"/>
          <w:rtl/>
        </w:rPr>
        <w:t xml:space="preserve"> ويجوز كذلك أن يقر المالك الحقيقي العقد</w:t>
      </w:r>
      <w:r>
        <w:rPr>
          <w:rFonts w:cs="Traditional Arabic" w:hint="cs"/>
          <w:sz w:val="28"/>
          <w:szCs w:val="32"/>
          <w:rtl/>
        </w:rPr>
        <w:t xml:space="preserve"> ،</w:t>
      </w:r>
      <w:r w:rsidRPr="00EC737F">
        <w:rPr>
          <w:rFonts w:cs="Traditional Arabic" w:hint="cs"/>
          <w:sz w:val="28"/>
          <w:szCs w:val="32"/>
          <w:rtl/>
        </w:rPr>
        <w:t xml:space="preserve"> وعند ذلك لا يصبح العقد صحيحاً فحسب</w:t>
      </w:r>
      <w:r>
        <w:rPr>
          <w:rFonts w:cs="Traditional Arabic" w:hint="cs"/>
          <w:sz w:val="28"/>
          <w:szCs w:val="32"/>
          <w:rtl/>
        </w:rPr>
        <w:t xml:space="preserve"> ،</w:t>
      </w:r>
      <w:r w:rsidRPr="00EC737F">
        <w:rPr>
          <w:rFonts w:cs="Traditional Arabic" w:hint="cs"/>
          <w:sz w:val="28"/>
          <w:szCs w:val="32"/>
          <w:rtl/>
        </w:rPr>
        <w:t xml:space="preserve"> بل أيضاً ينشئ حق رهن رسمي من وقت وجوده لمصلحة الدائن المرتهن</w:t>
      </w:r>
      <w:r>
        <w:rPr>
          <w:rFonts w:cs="Traditional Arabic" w:hint="cs"/>
          <w:sz w:val="28"/>
          <w:szCs w:val="32"/>
          <w:rtl/>
        </w:rPr>
        <w:t xml:space="preserve"> .</w:t>
      </w:r>
      <w:r w:rsidRPr="00EC737F">
        <w:rPr>
          <w:rFonts w:cs="Traditional Arabic" w:hint="cs"/>
          <w:sz w:val="28"/>
          <w:szCs w:val="32"/>
          <w:rtl/>
        </w:rPr>
        <w:t xml:space="preserve"> ويجوز أخيراً أن تنتقل ملكية العقار المرهون إلى الراهن</w:t>
      </w:r>
      <w:r>
        <w:rPr>
          <w:rFonts w:cs="Traditional Arabic" w:hint="cs"/>
          <w:sz w:val="28"/>
          <w:szCs w:val="32"/>
          <w:rtl/>
        </w:rPr>
        <w:t xml:space="preserve"> ،</w:t>
      </w:r>
      <w:r w:rsidRPr="00EC737F">
        <w:rPr>
          <w:rFonts w:cs="Traditional Arabic" w:hint="cs"/>
          <w:sz w:val="28"/>
          <w:szCs w:val="32"/>
          <w:rtl/>
        </w:rPr>
        <w:t xml:space="preserve"> وعند ذلك ينشئ العقد</w:t>
      </w:r>
      <w:r>
        <w:rPr>
          <w:rFonts w:cs="Traditional Arabic" w:hint="cs"/>
          <w:sz w:val="28"/>
          <w:szCs w:val="32"/>
          <w:rtl/>
        </w:rPr>
        <w:t xml:space="preserve"> ،</w:t>
      </w:r>
      <w:r w:rsidRPr="00EC737F">
        <w:rPr>
          <w:rFonts w:cs="Traditional Arabic" w:hint="cs"/>
          <w:sz w:val="28"/>
          <w:szCs w:val="32"/>
          <w:rtl/>
        </w:rPr>
        <w:t xml:space="preserve"> وقد أصبح صحيحاً كما قدمنا</w:t>
      </w:r>
      <w:r>
        <w:rPr>
          <w:rFonts w:cs="Traditional Arabic" w:hint="cs"/>
          <w:sz w:val="28"/>
          <w:szCs w:val="32"/>
          <w:rtl/>
        </w:rPr>
        <w:t xml:space="preserve"> ،</w:t>
      </w:r>
      <w:r w:rsidRPr="00EC737F">
        <w:rPr>
          <w:rFonts w:cs="Traditional Arabic" w:hint="cs"/>
          <w:sz w:val="28"/>
          <w:szCs w:val="32"/>
          <w:rtl/>
        </w:rPr>
        <w:t xml:space="preserve"> حق رهن رسمي لمصلحة الدائن المرتهن</w:t>
      </w:r>
      <w:r>
        <w:rPr>
          <w:rFonts w:cs="Traditional Arabic" w:hint="cs"/>
          <w:sz w:val="28"/>
          <w:szCs w:val="32"/>
          <w:rtl/>
        </w:rPr>
        <w:t xml:space="preserve"> ،</w:t>
      </w:r>
      <w:r w:rsidRPr="00EC737F">
        <w:rPr>
          <w:rFonts w:cs="Traditional Arabic" w:hint="cs"/>
          <w:sz w:val="28"/>
          <w:szCs w:val="32"/>
          <w:rtl/>
        </w:rPr>
        <w:t xml:space="preserve"> ولكن من وقت انتقال ملكية العقار المرهون إلى الراهن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ونحن فيما قدمناه إنما نقيس رهن ملك الغير رهناً رسمياً على بيع ملك الغير</w:t>
      </w:r>
      <w:r>
        <w:rPr>
          <w:rFonts w:cs="Traditional Arabic" w:hint="cs"/>
          <w:sz w:val="28"/>
          <w:szCs w:val="32"/>
          <w:rtl/>
        </w:rPr>
        <w:t xml:space="preserve"> ،</w:t>
      </w:r>
      <w:r w:rsidRPr="00EC737F">
        <w:rPr>
          <w:rFonts w:cs="Traditional Arabic" w:hint="cs"/>
          <w:sz w:val="28"/>
          <w:szCs w:val="32"/>
          <w:rtl/>
        </w:rPr>
        <w:t xml:space="preserve"> وننقل أحكام الثاني إلى الأول في غير عناء</w:t>
      </w:r>
      <w:r>
        <w:rPr>
          <w:rFonts w:cs="Traditional Arabic" w:hint="cs"/>
          <w:sz w:val="28"/>
          <w:szCs w:val="32"/>
          <w:vertAlign w:val="superscript"/>
          <w:rtl/>
        </w:rPr>
        <w:t xml:space="preserve">( </w:t>
      </w:r>
      <w:r w:rsidRPr="00EC737F">
        <w:rPr>
          <w:rStyle w:val="ab"/>
          <w:rFonts w:cs="Traditional Arabic"/>
          <w:sz w:val="28"/>
          <w:szCs w:val="32"/>
          <w:rtl/>
        </w:rPr>
        <w:footnoteReference w:id="67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ويبقى بعد ذلك أن نؤصل قابلية رهن ملك الغير رهناً رسمياً للإبطال</w:t>
      </w:r>
      <w:r>
        <w:rPr>
          <w:rFonts w:cs="Traditional Arabic" w:hint="cs"/>
          <w:sz w:val="28"/>
          <w:szCs w:val="32"/>
          <w:rtl/>
        </w:rPr>
        <w:t xml:space="preserve"> ،</w:t>
      </w:r>
      <w:r w:rsidRPr="00EC737F">
        <w:rPr>
          <w:rFonts w:cs="Traditional Arabic" w:hint="cs"/>
          <w:sz w:val="28"/>
          <w:szCs w:val="32"/>
          <w:rtl/>
        </w:rPr>
        <w:t xml:space="preserve"> بعد أن سبق أن أصلنا ذلك في بيع 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67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وتأصيل القابلية للإبطال واحد في بيع ملك الغير $305 وفي رهن ملك الغير رهناً رسمياً</w:t>
      </w:r>
      <w:r>
        <w:rPr>
          <w:rFonts w:cs="Traditional Arabic" w:hint="cs"/>
          <w:sz w:val="28"/>
          <w:szCs w:val="32"/>
          <w:rtl/>
        </w:rPr>
        <w:t xml:space="preserve"> ،</w:t>
      </w:r>
      <w:r w:rsidRPr="00EC737F">
        <w:rPr>
          <w:rFonts w:cs="Traditional Arabic" w:hint="cs"/>
          <w:sz w:val="28"/>
          <w:szCs w:val="32"/>
          <w:rtl/>
        </w:rPr>
        <w:t xml:space="preserve"> فالبيع والرهن من أعمال التصرف</w:t>
      </w:r>
      <w:r>
        <w:rPr>
          <w:rFonts w:cs="Traditional Arabic" w:hint="cs"/>
          <w:sz w:val="28"/>
          <w:szCs w:val="32"/>
          <w:rtl/>
        </w:rPr>
        <w:t xml:space="preserve"> ،</w:t>
      </w:r>
      <w:r w:rsidRPr="00EC737F">
        <w:rPr>
          <w:rFonts w:cs="Traditional Arabic" w:hint="cs"/>
          <w:sz w:val="28"/>
          <w:szCs w:val="32"/>
          <w:rtl/>
        </w:rPr>
        <w:t xml:space="preserve"> فالتأصيل يكون واحداً في الحاتلين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وهناك نظريتان لتأصيل القابلية للإبطال في كل من الحالتين</w:t>
      </w:r>
      <w:r>
        <w:rPr>
          <w:rFonts w:cs="Traditional Arabic" w:hint="cs"/>
          <w:sz w:val="28"/>
          <w:szCs w:val="32"/>
          <w:rtl/>
        </w:rPr>
        <w:t xml:space="preserve"> ،</w:t>
      </w:r>
      <w:r w:rsidRPr="00EC737F">
        <w:rPr>
          <w:rFonts w:cs="Traditional Arabic" w:hint="cs"/>
          <w:sz w:val="28"/>
          <w:szCs w:val="32"/>
          <w:rtl/>
        </w:rPr>
        <w:t xml:space="preserve"> قال بإحداهما الأستاذ سليمان مرقس</w:t>
      </w:r>
      <w:r>
        <w:rPr>
          <w:rFonts w:cs="Traditional Arabic" w:hint="cs"/>
          <w:sz w:val="28"/>
          <w:szCs w:val="32"/>
          <w:rtl/>
        </w:rPr>
        <w:t xml:space="preserve"> ،</w:t>
      </w:r>
      <w:r w:rsidRPr="00EC737F">
        <w:rPr>
          <w:rFonts w:cs="Traditional Arabic" w:hint="cs"/>
          <w:sz w:val="28"/>
          <w:szCs w:val="32"/>
          <w:rtl/>
        </w:rPr>
        <w:t xml:space="preserve"> وقال بالنظرية الثانية الأستاذ شفيق شحاته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قال الأول بأن بيع ملك الغير أو رهن ملك الغير باطل بطلاناً مطلقاً لاستحالة المحل استحالة مطلقة</w:t>
      </w:r>
      <w:r>
        <w:rPr>
          <w:rFonts w:cs="Traditional Arabic" w:hint="cs"/>
          <w:sz w:val="28"/>
          <w:szCs w:val="32"/>
          <w:rtl/>
        </w:rPr>
        <w:t xml:space="preserve"> ،</w:t>
      </w:r>
      <w:r w:rsidRPr="00EC737F">
        <w:rPr>
          <w:rFonts w:cs="Traditional Arabic" w:hint="cs"/>
          <w:sz w:val="28"/>
          <w:szCs w:val="32"/>
          <w:rtl/>
        </w:rPr>
        <w:t xml:space="preserve"> ثم يكمل نظرية البطلان المطلق بنظرية تحول العقد الباطل</w:t>
      </w:r>
      <w:r>
        <w:rPr>
          <w:rFonts w:cs="Traditional Arabic" w:hint="cs"/>
          <w:sz w:val="28"/>
          <w:szCs w:val="32"/>
          <w:rtl/>
        </w:rPr>
        <w:t xml:space="preserve"> .</w:t>
      </w:r>
      <w:r w:rsidRPr="00EC737F">
        <w:rPr>
          <w:rFonts w:cs="Traditional Arabic" w:hint="cs"/>
          <w:sz w:val="28"/>
          <w:szCs w:val="32"/>
          <w:rtl/>
        </w:rPr>
        <w:t xml:space="preserve"> فيتحول بيع ملك الغير أو رهن ملك الغير طبقاً لهذه النظرية من بيع ناقل للملكية فوراً أو من رهن منشئ لحق الرهن فوراً إلى بيع أو رهن منشئ لالتزامات فحسب</w:t>
      </w:r>
      <w:r>
        <w:rPr>
          <w:rFonts w:cs="Traditional Arabic" w:hint="cs"/>
          <w:sz w:val="28"/>
          <w:szCs w:val="32"/>
          <w:rtl/>
        </w:rPr>
        <w:t xml:space="preserve"> ،</w:t>
      </w:r>
      <w:r w:rsidRPr="00EC737F">
        <w:rPr>
          <w:rFonts w:cs="Traditional Arabic" w:hint="cs"/>
          <w:sz w:val="28"/>
          <w:szCs w:val="32"/>
          <w:rtl/>
        </w:rPr>
        <w:t xml:space="preserve"> متى ثبت أن نية الطرفين المحتملة كانت تنصرف إلى ذلك لو علما أن العقد الأول لا يمكن انعقاده بسبب انعدام الملكية</w:t>
      </w:r>
      <w:r>
        <w:rPr>
          <w:rFonts w:cs="Traditional Arabic" w:hint="cs"/>
          <w:sz w:val="28"/>
          <w:szCs w:val="32"/>
          <w:rtl/>
        </w:rPr>
        <w:t xml:space="preserve"> .</w:t>
      </w:r>
      <w:r w:rsidRPr="00EC737F">
        <w:rPr>
          <w:rFonts w:cs="Traditional Arabic" w:hint="cs"/>
          <w:sz w:val="28"/>
          <w:szCs w:val="32"/>
          <w:rtl/>
        </w:rPr>
        <w:t xml:space="preserve"> وانصراف نية البائع أو الراهن المحتملة إلى تحول العقد على هذا النحو مفروض فرضاً غير قابل لإثبات العكس</w:t>
      </w:r>
      <w:r>
        <w:rPr>
          <w:rFonts w:cs="Traditional Arabic" w:hint="cs"/>
          <w:sz w:val="28"/>
          <w:szCs w:val="32"/>
          <w:rtl/>
        </w:rPr>
        <w:t xml:space="preserve"> ،</w:t>
      </w:r>
      <w:r w:rsidRPr="00EC737F">
        <w:rPr>
          <w:rFonts w:cs="Traditional Arabic" w:hint="cs"/>
          <w:sz w:val="28"/>
          <w:szCs w:val="32"/>
          <w:rtl/>
        </w:rPr>
        <w:t xml:space="preserve"> أما انصراف نية المشتري أو الدائن المرتهن إلى ذلك فمفروض إلى </w:t>
      </w:r>
      <w:r w:rsidRPr="00EC737F">
        <w:rPr>
          <w:rFonts w:cs="Traditional Arabic" w:hint="cs"/>
          <w:sz w:val="28"/>
          <w:szCs w:val="32"/>
          <w:rtl/>
        </w:rPr>
        <w:lastRenderedPageBreak/>
        <w:t>أن يثبت العكس</w:t>
      </w:r>
      <w:r>
        <w:rPr>
          <w:rFonts w:cs="Traditional Arabic" w:hint="cs"/>
          <w:sz w:val="28"/>
          <w:szCs w:val="32"/>
          <w:rtl/>
        </w:rPr>
        <w:t xml:space="preserve"> ،</w:t>
      </w:r>
      <w:r w:rsidRPr="00EC737F">
        <w:rPr>
          <w:rFonts w:cs="Traditional Arabic" w:hint="cs"/>
          <w:sz w:val="28"/>
          <w:szCs w:val="32"/>
          <w:rtl/>
        </w:rPr>
        <w:t xml:space="preserve"> فإذا تمسك المشتري أو الدائن المرتهن بإبطال البيع أو الرهن فقد ثبت العكس وأنه لم تنصرف نيته إلى التحول</w:t>
      </w:r>
      <w:r>
        <w:rPr>
          <w:rFonts w:cs="Traditional Arabic" w:hint="cs"/>
          <w:sz w:val="28"/>
          <w:szCs w:val="32"/>
          <w:vertAlign w:val="superscript"/>
          <w:rtl/>
        </w:rPr>
        <w:t xml:space="preserve">( </w:t>
      </w:r>
      <w:r w:rsidRPr="00EC737F">
        <w:rPr>
          <w:rStyle w:val="ab"/>
          <w:rFonts w:cs="Traditional Arabic"/>
          <w:sz w:val="28"/>
          <w:szCs w:val="32"/>
          <w:rtl/>
        </w:rPr>
        <w:footnoteReference w:id="67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ونأخذ على هذا الرأي أمرين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أولا</w:t>
      </w:r>
      <w:r>
        <w:rPr>
          <w:rFonts w:cs="Traditional Arabic" w:hint="cs"/>
          <w:sz w:val="28"/>
          <w:szCs w:val="32"/>
          <w:rtl/>
        </w:rPr>
        <w:t xml:space="preserve"> )</w:t>
      </w:r>
      <w:r w:rsidRPr="00EC737F">
        <w:rPr>
          <w:rFonts w:cs="Traditional Arabic" w:hint="cs"/>
          <w:sz w:val="28"/>
          <w:szCs w:val="32"/>
          <w:rtl/>
        </w:rPr>
        <w:t xml:space="preserve"> القول بأن بيع ملك الغير أو رهن مال الغير هو في أصله باطل بطلاناً مطلقاً يتعارض مع نص صريح من نصوص التقنين المدني المصري</w:t>
      </w:r>
      <w:r>
        <w:rPr>
          <w:rFonts w:cs="Traditional Arabic" w:hint="cs"/>
          <w:sz w:val="28"/>
          <w:szCs w:val="32"/>
          <w:rtl/>
        </w:rPr>
        <w:t xml:space="preserve"> ،</w:t>
      </w:r>
      <w:r w:rsidRPr="00EC737F">
        <w:rPr>
          <w:rFonts w:cs="Traditional Arabic" w:hint="cs"/>
          <w:sz w:val="28"/>
          <w:szCs w:val="32"/>
          <w:rtl/>
        </w:rPr>
        <w:t xml:space="preserve"> فقد بينا أن هذه النصوص  قاطعة في أن بيع ملك الغير ورهن ملك الغير كلاهما قابل للإبطال لا بطال بطلاناً مطلقاً</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ثانياً</w:t>
      </w:r>
      <w:r>
        <w:rPr>
          <w:rFonts w:cs="Traditional Arabic" w:hint="cs"/>
          <w:sz w:val="28"/>
          <w:szCs w:val="32"/>
          <w:rtl/>
        </w:rPr>
        <w:t xml:space="preserve"> )</w:t>
      </w:r>
      <w:r w:rsidRPr="00EC737F">
        <w:rPr>
          <w:rFonts w:cs="Traditional Arabic" w:hint="cs"/>
          <w:sz w:val="28"/>
          <w:szCs w:val="32"/>
          <w:rtl/>
        </w:rPr>
        <w:t xml:space="preserve"> والقول بأن العقد الباطل قد تحول إلى عقد منشئ للالتزامات يتعارض مع نظرية التحول المعروف</w:t>
      </w:r>
      <w:r>
        <w:rPr>
          <w:rFonts w:cs="Traditional Arabic" w:hint="cs"/>
          <w:sz w:val="28"/>
          <w:szCs w:val="32"/>
          <w:rtl/>
        </w:rPr>
        <w:t xml:space="preserve"> ،</w:t>
      </w:r>
      <w:r w:rsidRPr="00EC737F">
        <w:rPr>
          <w:rFonts w:cs="Traditional Arabic" w:hint="cs"/>
          <w:sz w:val="28"/>
          <w:szCs w:val="32"/>
          <w:rtl/>
        </w:rPr>
        <w:t xml:space="preserve"> فهذه تقتضي أن نية المتعاقدين كان تنصرف وقت العقد إلى العقد الجديد لا إلى العقد الباطل</w:t>
      </w:r>
      <w:r>
        <w:rPr>
          <w:rFonts w:cs="Traditional Arabic" w:hint="cs"/>
          <w:sz w:val="28"/>
          <w:szCs w:val="32"/>
          <w:rtl/>
        </w:rPr>
        <w:t xml:space="preserve"> ،</w:t>
      </w:r>
      <w:r w:rsidRPr="00EC737F">
        <w:rPr>
          <w:rFonts w:cs="Traditional Arabic" w:hint="cs"/>
          <w:sz w:val="28"/>
          <w:szCs w:val="32"/>
          <w:rtl/>
        </w:rPr>
        <w:t xml:space="preserve"> ونية المشتري أو الدائن المرتهن تستعصي على هذا التأويل</w:t>
      </w:r>
      <w:r>
        <w:rPr>
          <w:rFonts w:cs="Traditional Arabic" w:hint="cs"/>
          <w:sz w:val="28"/>
          <w:szCs w:val="32"/>
          <w:rtl/>
        </w:rPr>
        <w:t xml:space="preserve"> .</w:t>
      </w:r>
      <w:r w:rsidRPr="00EC737F">
        <w:rPr>
          <w:rFonts w:cs="Traditional Arabic" w:hint="cs"/>
          <w:sz w:val="28"/>
          <w:szCs w:val="32"/>
          <w:rtl/>
        </w:rPr>
        <w:t xml:space="preserve"> فإما أن تكون هذه النية قد انصرفت احتمالا إلى العقد الجديد منذ البداية فلا يجوز إثبات العكس</w:t>
      </w:r>
      <w:r>
        <w:rPr>
          <w:rFonts w:cs="Traditional Arabic" w:hint="cs"/>
          <w:sz w:val="28"/>
          <w:szCs w:val="32"/>
          <w:rtl/>
        </w:rPr>
        <w:t xml:space="preserve"> ،</w:t>
      </w:r>
      <w:r w:rsidRPr="00EC737F">
        <w:rPr>
          <w:rFonts w:cs="Traditional Arabic" w:hint="cs"/>
          <w:sz w:val="28"/>
          <w:szCs w:val="32"/>
          <w:rtl/>
        </w:rPr>
        <w:t xml:space="preserve"> $306 وينبغي ألا يجوز تبعاً لذلك للمشتري أو للدائن المرتهن أن يطلب إبطال البيع أو الرهن</w:t>
      </w:r>
      <w:r>
        <w:rPr>
          <w:rFonts w:cs="Traditional Arabic" w:hint="cs"/>
          <w:sz w:val="28"/>
          <w:szCs w:val="32"/>
          <w:rtl/>
        </w:rPr>
        <w:t xml:space="preserve"> .</w:t>
      </w:r>
      <w:r w:rsidRPr="00EC737F">
        <w:rPr>
          <w:rFonts w:cs="Traditional Arabic" w:hint="cs"/>
          <w:sz w:val="28"/>
          <w:szCs w:val="32"/>
          <w:rtl/>
        </w:rPr>
        <w:t xml:space="preserve"> أو ألا تكون قد انصرفت إلى العقد الجديد فلا يكون هناك تحول</w:t>
      </w:r>
      <w:r>
        <w:rPr>
          <w:rFonts w:cs="Traditional Arabic" w:hint="cs"/>
          <w:sz w:val="28"/>
          <w:szCs w:val="32"/>
          <w:rtl/>
        </w:rPr>
        <w:t xml:space="preserve"> ،</w:t>
      </w:r>
      <w:r w:rsidRPr="00EC737F">
        <w:rPr>
          <w:rFonts w:cs="Traditional Arabic" w:hint="cs"/>
          <w:sz w:val="28"/>
          <w:szCs w:val="32"/>
          <w:rtl/>
        </w:rPr>
        <w:t xml:space="preserve"> وينبغي أن يبقى البيع أو الرهن باطلا بطلاناً مطلقاً وهذا يتعارض مع النص الصريح</w:t>
      </w:r>
      <w:r>
        <w:rPr>
          <w:rFonts w:cs="Traditional Arabic" w:hint="cs"/>
          <w:sz w:val="28"/>
          <w:szCs w:val="32"/>
          <w:vertAlign w:val="superscript"/>
          <w:rtl/>
        </w:rPr>
        <w:t xml:space="preserve">( </w:t>
      </w:r>
      <w:r w:rsidRPr="00EC737F">
        <w:rPr>
          <w:rStyle w:val="ab"/>
          <w:rFonts w:cs="Traditional Arabic"/>
          <w:sz w:val="28"/>
          <w:szCs w:val="32"/>
          <w:rtl/>
        </w:rPr>
        <w:footnoteReference w:id="67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وقالا الأستاذ شفيق شحاته في كتابه "النظرية العامة للتأمين العين" ما يأتي</w:t>
      </w:r>
      <w:r>
        <w:rPr>
          <w:rFonts w:cs="Traditional Arabic" w:hint="cs"/>
          <w:sz w:val="28"/>
          <w:szCs w:val="32"/>
          <w:rtl/>
        </w:rPr>
        <w:t xml:space="preserve"> :</w:t>
      </w:r>
      <w:r w:rsidRPr="00EC737F">
        <w:rPr>
          <w:rFonts w:cs="Traditional Arabic" w:hint="cs"/>
          <w:sz w:val="28"/>
          <w:szCs w:val="32"/>
          <w:rtl/>
        </w:rPr>
        <w:t xml:space="preserve"> "وقد تضاربت آراء الشراح في طبيعة البطلان الذي يلحق بيع ملك الغير</w:t>
      </w:r>
      <w:r>
        <w:rPr>
          <w:rFonts w:cs="Traditional Arabic" w:hint="cs"/>
          <w:sz w:val="28"/>
          <w:szCs w:val="32"/>
          <w:rtl/>
        </w:rPr>
        <w:t xml:space="preserve"> .</w:t>
      </w:r>
      <w:r w:rsidRPr="00EC737F">
        <w:rPr>
          <w:rFonts w:cs="Traditional Arabic" w:hint="cs"/>
          <w:sz w:val="28"/>
          <w:szCs w:val="32"/>
          <w:rtl/>
        </w:rPr>
        <w:t xml:space="preserve"> على أن الرأي الصحيح هو أن بيع ملك الغير هو بيع غير نافذ في حق المالك</w:t>
      </w:r>
      <w:r>
        <w:rPr>
          <w:rFonts w:cs="Traditional Arabic" w:hint="cs"/>
          <w:sz w:val="28"/>
          <w:szCs w:val="32"/>
          <w:rtl/>
        </w:rPr>
        <w:t xml:space="preserve"> .</w:t>
      </w:r>
      <w:r w:rsidRPr="00EC737F">
        <w:rPr>
          <w:rFonts w:cs="Traditional Arabic" w:hint="cs"/>
          <w:sz w:val="28"/>
          <w:szCs w:val="32"/>
          <w:rtl/>
        </w:rPr>
        <w:t xml:space="preserve"> وعدم نفاذ العقد الناقل للملكية يجعله كذلك عديم الأثر فيما بين المتعاقدين</w:t>
      </w:r>
      <w:r>
        <w:rPr>
          <w:rFonts w:cs="Traditional Arabic" w:hint="cs"/>
          <w:sz w:val="28"/>
          <w:szCs w:val="32"/>
          <w:rtl/>
        </w:rPr>
        <w:t xml:space="preserve"> .</w:t>
      </w:r>
      <w:r w:rsidRPr="00EC737F">
        <w:rPr>
          <w:rFonts w:cs="Traditional Arabic" w:hint="cs"/>
          <w:sz w:val="28"/>
          <w:szCs w:val="32"/>
          <w:rtl/>
        </w:rPr>
        <w:t xml:space="preserve"> وليس معناه أن العقد باطل بطلاناً مطلقاً أو نسبياً</w:t>
      </w:r>
      <w:r>
        <w:rPr>
          <w:rFonts w:cs="Traditional Arabic" w:hint="cs"/>
          <w:sz w:val="28"/>
          <w:szCs w:val="32"/>
          <w:rtl/>
        </w:rPr>
        <w:t xml:space="preserve"> ،</w:t>
      </w:r>
      <w:r w:rsidRPr="00EC737F">
        <w:rPr>
          <w:rFonts w:cs="Traditional Arabic" w:hint="cs"/>
          <w:sz w:val="28"/>
          <w:szCs w:val="32"/>
          <w:rtl/>
        </w:rPr>
        <w:t xml:space="preserve"> فالعقد يعتبر في هذه الصورة عقدً موقوفاً </w:t>
      </w:r>
      <w:r>
        <w:rPr>
          <w:rFonts w:cs="Traditional Arabic" w:hint="cs"/>
          <w:sz w:val="28"/>
          <w:szCs w:val="32"/>
          <w:rtl/>
        </w:rPr>
        <w:t xml:space="preserve"> . . .</w:t>
      </w:r>
      <w:r w:rsidRPr="00EC737F">
        <w:rPr>
          <w:rFonts w:cs="Traditional Arabic" w:hint="cs"/>
          <w:sz w:val="28"/>
          <w:szCs w:val="32"/>
          <w:rtl/>
        </w:rPr>
        <w:t xml:space="preserve"> والعقد الموقوف يتوقف أثره على الإقرار الصادر م المالك</w:t>
      </w:r>
      <w:r>
        <w:rPr>
          <w:rFonts w:cs="Traditional Arabic" w:hint="cs"/>
          <w:sz w:val="28"/>
          <w:szCs w:val="32"/>
          <w:rtl/>
        </w:rPr>
        <w:t xml:space="preserve"> ،</w:t>
      </w:r>
      <w:r w:rsidRPr="00EC737F">
        <w:rPr>
          <w:rFonts w:cs="Traditional Arabic" w:hint="cs"/>
          <w:sz w:val="28"/>
          <w:szCs w:val="32"/>
          <w:rtl/>
        </w:rPr>
        <w:t xml:space="preserve"> فإذا أقره المالك أنتج أثره فيما بين المتعاقدين وبالنسبة إلى المالك</w:t>
      </w:r>
      <w:r>
        <w:rPr>
          <w:rFonts w:cs="Traditional Arabic" w:hint="cs"/>
          <w:sz w:val="28"/>
          <w:szCs w:val="32"/>
          <w:rtl/>
        </w:rPr>
        <w:t xml:space="preserve"> ،</w:t>
      </w:r>
      <w:r w:rsidRPr="00EC737F">
        <w:rPr>
          <w:rFonts w:cs="Traditional Arabic" w:hint="cs"/>
          <w:sz w:val="28"/>
          <w:szCs w:val="32"/>
          <w:rtl/>
        </w:rPr>
        <w:t xml:space="preserve"> وإذا لم يقره المالك فالعقد يظل معدوم الأثر كما كان</w:t>
      </w:r>
      <w:r>
        <w:rPr>
          <w:rFonts w:cs="Traditional Arabic" w:hint="cs"/>
          <w:sz w:val="28"/>
          <w:szCs w:val="32"/>
          <w:rtl/>
        </w:rPr>
        <w:t xml:space="preserve"> .</w:t>
      </w:r>
      <w:r w:rsidRPr="00EC737F">
        <w:rPr>
          <w:rFonts w:cs="Traditional Arabic" w:hint="cs"/>
          <w:sz w:val="28"/>
          <w:szCs w:val="32"/>
          <w:rtl/>
        </w:rPr>
        <w:t xml:space="preserve"> وقد أخضع القانون المدني الجديد عقد الرهن الصادر من غير المالك يعتبر عقداً موقوفاً</w:t>
      </w:r>
      <w:r>
        <w:rPr>
          <w:rFonts w:cs="Traditional Arabic" w:hint="cs"/>
          <w:sz w:val="28"/>
          <w:szCs w:val="32"/>
          <w:rtl/>
        </w:rPr>
        <w:t xml:space="preserve"> ،</w:t>
      </w:r>
      <w:r w:rsidRPr="00EC737F">
        <w:rPr>
          <w:rFonts w:cs="Traditional Arabic" w:hint="cs"/>
          <w:sz w:val="28"/>
          <w:szCs w:val="32"/>
          <w:rtl/>
        </w:rPr>
        <w:t xml:space="preserve"> لا صحيحاً ولا باطلا</w:t>
      </w:r>
      <w:r>
        <w:rPr>
          <w:rFonts w:cs="Traditional Arabic" w:hint="cs"/>
          <w:sz w:val="28"/>
          <w:szCs w:val="32"/>
          <w:rtl/>
        </w:rPr>
        <w:t xml:space="preserve"> .</w:t>
      </w:r>
      <w:r w:rsidRPr="00EC737F">
        <w:rPr>
          <w:rFonts w:cs="Traditional Arabic" w:hint="cs"/>
          <w:sz w:val="28"/>
          <w:szCs w:val="32"/>
          <w:rtl/>
        </w:rPr>
        <w:t xml:space="preserve"> ولو تم قيد الرهن بناء على العقد</w:t>
      </w:r>
      <w:r>
        <w:rPr>
          <w:rFonts w:cs="Traditional Arabic" w:hint="cs"/>
          <w:sz w:val="28"/>
          <w:szCs w:val="32"/>
          <w:rtl/>
        </w:rPr>
        <w:t xml:space="preserve"> ،</w:t>
      </w:r>
      <w:r w:rsidRPr="00EC737F">
        <w:rPr>
          <w:rFonts w:cs="Traditional Arabic" w:hint="cs"/>
          <w:sz w:val="28"/>
          <w:szCs w:val="32"/>
          <w:rtl/>
        </w:rPr>
        <w:t xml:space="preserve"> فإن أثر القيد يظل متوقفاً هو الآخر على الإقرار</w:t>
      </w:r>
      <w:r>
        <w:rPr>
          <w:rFonts w:cs="Traditional Arabic" w:hint="cs"/>
          <w:sz w:val="28"/>
          <w:szCs w:val="32"/>
          <w:rtl/>
        </w:rPr>
        <w:t xml:space="preserve"> .</w:t>
      </w:r>
      <w:r w:rsidRPr="00EC737F">
        <w:rPr>
          <w:rFonts w:cs="Traditional Arabic" w:hint="cs"/>
          <w:sz w:val="28"/>
          <w:szCs w:val="32"/>
          <w:rtl/>
        </w:rPr>
        <w:t xml:space="preserve"> ولا ينشأ الرهن إلا إذا أقره المالك </w:t>
      </w:r>
      <w:r w:rsidRPr="00EC737F">
        <w:rPr>
          <w:rFonts w:cs="Traditional Arabic" w:hint="cs"/>
          <w:sz w:val="28"/>
          <w:szCs w:val="32"/>
          <w:rtl/>
        </w:rPr>
        <w:lastRenderedPageBreak/>
        <w:t>الحقيقي</w:t>
      </w:r>
      <w:r>
        <w:rPr>
          <w:rFonts w:cs="Traditional Arabic" w:hint="cs"/>
          <w:sz w:val="28"/>
          <w:szCs w:val="32"/>
          <w:rtl/>
        </w:rPr>
        <w:t xml:space="preserve"> ،</w:t>
      </w:r>
      <w:r w:rsidRPr="00EC737F">
        <w:rPr>
          <w:rFonts w:cs="Traditional Arabic" w:hint="cs"/>
          <w:sz w:val="28"/>
          <w:szCs w:val="32"/>
          <w:rtl/>
        </w:rPr>
        <w:t xml:space="preserve"> أما إذا لم يقره فإن الرهن لن يتحقق له وجود"</w:t>
      </w:r>
      <w:r>
        <w:rPr>
          <w:rFonts w:cs="Traditional Arabic" w:hint="cs"/>
          <w:sz w:val="28"/>
          <w:szCs w:val="32"/>
          <w:vertAlign w:val="superscript"/>
          <w:rtl/>
        </w:rPr>
        <w:t xml:space="preserve">( </w:t>
      </w:r>
      <w:r w:rsidRPr="00EC737F">
        <w:rPr>
          <w:rStyle w:val="ab"/>
          <w:rFonts w:cs="Traditional Arabic"/>
          <w:sz w:val="28"/>
          <w:szCs w:val="32"/>
          <w:rtl/>
        </w:rPr>
        <w:footnoteReference w:id="67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ويؤخذ على هذا الرأي ما يأتي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أولا</w:t>
      </w:r>
      <w:r>
        <w:rPr>
          <w:rFonts w:cs="Traditional Arabic" w:hint="cs"/>
          <w:sz w:val="28"/>
          <w:szCs w:val="32"/>
          <w:rtl/>
        </w:rPr>
        <w:t xml:space="preserve"> )</w:t>
      </w:r>
      <w:r w:rsidRPr="00EC737F">
        <w:rPr>
          <w:rFonts w:cs="Traditional Arabic" w:hint="cs"/>
          <w:sz w:val="28"/>
          <w:szCs w:val="32"/>
          <w:rtl/>
        </w:rPr>
        <w:t xml:space="preserve"> لو كان بيع ملك الغير أو رهن ملك الغير موقوفاً</w:t>
      </w:r>
      <w:r>
        <w:rPr>
          <w:rFonts w:cs="Traditional Arabic" w:hint="cs"/>
          <w:sz w:val="28"/>
          <w:szCs w:val="32"/>
          <w:rtl/>
        </w:rPr>
        <w:t xml:space="preserve"> ،</w:t>
      </w:r>
      <w:r w:rsidRPr="00EC737F">
        <w:rPr>
          <w:rFonts w:cs="Traditional Arabic" w:hint="cs"/>
          <w:sz w:val="28"/>
          <w:szCs w:val="32"/>
          <w:rtl/>
        </w:rPr>
        <w:t xml:space="preserve"> لما أنتج أي أثر قبل أن يجيزه المالك الحقيقي كما تقضي بذلك أحكام الفقه الإسلامي</w:t>
      </w:r>
      <w:r>
        <w:rPr>
          <w:rFonts w:cs="Traditional Arabic" w:hint="cs"/>
          <w:sz w:val="28"/>
          <w:szCs w:val="32"/>
          <w:rtl/>
        </w:rPr>
        <w:t xml:space="preserve"> .</w:t>
      </w:r>
      <w:r w:rsidRPr="00EC737F">
        <w:rPr>
          <w:rFonts w:cs="Traditional Arabic" w:hint="cs"/>
          <w:sz w:val="28"/>
          <w:szCs w:val="32"/>
          <w:rtl/>
        </w:rPr>
        <w:t xml:space="preserve"> ولكن كلا من العقدين ينتج أثره في الحال</w:t>
      </w:r>
      <w:r>
        <w:rPr>
          <w:rFonts w:cs="Traditional Arabic" w:hint="cs"/>
          <w:sz w:val="28"/>
          <w:szCs w:val="32"/>
          <w:rtl/>
        </w:rPr>
        <w:t xml:space="preserve"> ،</w:t>
      </w:r>
      <w:r w:rsidRPr="00EC737F">
        <w:rPr>
          <w:rFonts w:cs="Traditional Arabic" w:hint="cs"/>
          <w:sz w:val="28"/>
          <w:szCs w:val="32"/>
          <w:rtl/>
        </w:rPr>
        <w:t xml:space="preserve"> ولا يبطل إلا إذا طلب المشتري أو الدائن المرتهن إبطاله</w:t>
      </w:r>
      <w:r>
        <w:rPr>
          <w:rFonts w:cs="Traditional Arabic" w:hint="cs"/>
          <w:sz w:val="28"/>
          <w:szCs w:val="32"/>
          <w:rtl/>
        </w:rPr>
        <w:t xml:space="preserve"> .</w:t>
      </w:r>
      <w:r w:rsidRPr="00EC737F">
        <w:rPr>
          <w:rFonts w:cs="Traditional Arabic" w:hint="cs"/>
          <w:sz w:val="28"/>
          <w:szCs w:val="32"/>
          <w:rtl/>
        </w:rPr>
        <w:t xml:space="preserve"> ثم إن المشتري والدائن المرتهن يملك كل منهما الإجازة</w:t>
      </w:r>
      <w:r>
        <w:rPr>
          <w:rFonts w:cs="Traditional Arabic" w:hint="cs"/>
          <w:sz w:val="28"/>
          <w:szCs w:val="32"/>
          <w:rtl/>
        </w:rPr>
        <w:t xml:space="preserve"> ،</w:t>
      </w:r>
      <w:r w:rsidRPr="00EC737F">
        <w:rPr>
          <w:rFonts w:cs="Traditional Arabic" w:hint="cs"/>
          <w:sz w:val="28"/>
          <w:szCs w:val="32"/>
          <w:rtl/>
        </w:rPr>
        <w:t xml:space="preserve"> والعقد الموقوف في الفقه الإسلامي لا يجيزه $307 إلا المالك الحقيقي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ثانياً</w:t>
      </w:r>
      <w:r>
        <w:rPr>
          <w:rFonts w:cs="Traditional Arabic" w:hint="cs"/>
          <w:sz w:val="28"/>
          <w:szCs w:val="32"/>
          <w:rtl/>
        </w:rPr>
        <w:t xml:space="preserve"> )</w:t>
      </w:r>
      <w:r w:rsidRPr="00EC737F">
        <w:rPr>
          <w:rFonts w:cs="Traditional Arabic" w:hint="cs"/>
          <w:sz w:val="28"/>
          <w:szCs w:val="32"/>
          <w:rtl/>
        </w:rPr>
        <w:t xml:space="preserve"> نظرية العقد الموقوف إذا أمكن الأخذ بها في القانون المصري نقلا عن الفقه الإسلامي باعتباره مصدراً من مصادر هذا القانون </w:t>
      </w:r>
      <w:r>
        <w:rPr>
          <w:rFonts w:cs="Traditional Arabic" w:hint="cs"/>
          <w:sz w:val="28"/>
          <w:szCs w:val="32"/>
          <w:rtl/>
        </w:rPr>
        <w:t xml:space="preserve">( </w:t>
      </w:r>
      <w:r w:rsidRPr="00EC737F">
        <w:rPr>
          <w:rFonts w:cs="Traditional Arabic" w:hint="cs"/>
          <w:sz w:val="28"/>
          <w:szCs w:val="32"/>
          <w:rtl/>
        </w:rPr>
        <w:t>م 1/2 مدني9</w:t>
      </w:r>
      <w:r>
        <w:rPr>
          <w:rFonts w:cs="Traditional Arabic" w:hint="cs"/>
          <w:sz w:val="28"/>
          <w:szCs w:val="32"/>
          <w:rtl/>
        </w:rPr>
        <w:t xml:space="preserve"> ) ،</w:t>
      </w:r>
      <w:r w:rsidRPr="00EC737F">
        <w:rPr>
          <w:rFonts w:cs="Traditional Arabic" w:hint="cs"/>
          <w:sz w:val="28"/>
          <w:szCs w:val="32"/>
          <w:rtl/>
        </w:rPr>
        <w:t xml:space="preserve"> فذلك لا يكون إلا حيث لا يوجد نص تشريعي يمكن تطبيقه</w:t>
      </w:r>
      <w:r>
        <w:rPr>
          <w:rFonts w:cs="Traditional Arabic" w:hint="cs"/>
          <w:sz w:val="28"/>
          <w:szCs w:val="32"/>
          <w:rtl/>
        </w:rPr>
        <w:t xml:space="preserve"> .</w:t>
      </w:r>
      <w:r w:rsidRPr="00EC737F">
        <w:rPr>
          <w:rFonts w:cs="Traditional Arabic" w:hint="cs"/>
          <w:sz w:val="28"/>
          <w:szCs w:val="32"/>
          <w:rtl/>
        </w:rPr>
        <w:t xml:space="preserve"> ولذل قد يصح الأخذ بالفقه الإسلامي في مجاوزة الوكيل لحدود الوكالة فيكون تعاقده موقوفاً على إجازة الموكل</w:t>
      </w:r>
      <w:r>
        <w:rPr>
          <w:rFonts w:cs="Traditional Arabic" w:hint="cs"/>
          <w:sz w:val="28"/>
          <w:szCs w:val="32"/>
          <w:rtl/>
        </w:rPr>
        <w:t xml:space="preserve"> ،</w:t>
      </w:r>
      <w:r w:rsidRPr="00EC737F">
        <w:rPr>
          <w:rFonts w:cs="Traditional Arabic" w:hint="cs"/>
          <w:sz w:val="28"/>
          <w:szCs w:val="32"/>
          <w:rtl/>
        </w:rPr>
        <w:t xml:space="preserve"> إذ لا نص يمنع من ذلك</w:t>
      </w:r>
      <w:r>
        <w:rPr>
          <w:rFonts w:cs="Traditional Arabic" w:hint="cs"/>
          <w:sz w:val="28"/>
          <w:szCs w:val="32"/>
          <w:rtl/>
        </w:rPr>
        <w:t xml:space="preserve"> .</w:t>
      </w:r>
      <w:r w:rsidRPr="00EC737F">
        <w:rPr>
          <w:rFonts w:cs="Traditional Arabic" w:hint="cs"/>
          <w:sz w:val="28"/>
          <w:szCs w:val="32"/>
          <w:rtl/>
        </w:rPr>
        <w:t xml:space="preserve"> أما هنا فيوجد نص تشريعي صريح يجعل كلا من بيع ملك الغير ورهن ملك الغير عقداً قابلا للإبطال لا عقداً موقوفاً</w:t>
      </w:r>
      <w:r>
        <w:rPr>
          <w:rFonts w:cs="Traditional Arabic" w:hint="cs"/>
          <w:sz w:val="28"/>
          <w:szCs w:val="32"/>
          <w:rtl/>
        </w:rPr>
        <w:t xml:space="preserve"> ،</w:t>
      </w:r>
      <w:r w:rsidRPr="00EC737F">
        <w:rPr>
          <w:rFonts w:cs="Traditional Arabic" w:hint="cs"/>
          <w:sz w:val="28"/>
          <w:szCs w:val="32"/>
          <w:rtl/>
        </w:rPr>
        <w:t xml:space="preserve"> فيجب في هذه الحالة إعمال النص الصريح</w:t>
      </w:r>
      <w:r>
        <w:rPr>
          <w:rFonts w:cs="Traditional Arabic" w:hint="cs"/>
          <w:sz w:val="28"/>
          <w:szCs w:val="32"/>
          <w:vertAlign w:val="superscript"/>
          <w:rtl/>
        </w:rPr>
        <w:t xml:space="preserve">( </w:t>
      </w:r>
      <w:r w:rsidRPr="00EC737F">
        <w:rPr>
          <w:rStyle w:val="ab"/>
          <w:rFonts w:cs="Traditional Arabic"/>
          <w:sz w:val="28"/>
          <w:szCs w:val="32"/>
          <w:rtl/>
        </w:rPr>
        <w:footnoteReference w:id="67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وكما قلنا في بيع ملك الغير</w:t>
      </w:r>
      <w:r>
        <w:rPr>
          <w:rFonts w:cs="Traditional Arabic" w:hint="cs"/>
          <w:sz w:val="28"/>
          <w:szCs w:val="32"/>
          <w:rtl/>
        </w:rPr>
        <w:t xml:space="preserve"> ،</w:t>
      </w:r>
      <w:r w:rsidRPr="00EC737F">
        <w:rPr>
          <w:rFonts w:cs="Traditional Arabic" w:hint="cs"/>
          <w:sz w:val="28"/>
          <w:szCs w:val="32"/>
          <w:rtl/>
        </w:rPr>
        <w:t xml:space="preserve"> نقول هنا أيضاً إنه لا يسعنا</w:t>
      </w:r>
      <w:r>
        <w:rPr>
          <w:rFonts w:cs="Traditional Arabic" w:hint="cs"/>
          <w:sz w:val="28"/>
          <w:szCs w:val="32"/>
          <w:rtl/>
        </w:rPr>
        <w:t xml:space="preserve"> ،</w:t>
      </w:r>
      <w:r w:rsidRPr="00EC737F">
        <w:rPr>
          <w:rFonts w:cs="Traditional Arabic" w:hint="cs"/>
          <w:sz w:val="28"/>
          <w:szCs w:val="32"/>
          <w:rtl/>
        </w:rPr>
        <w:t xml:space="preserve"> إزاء تضارب الآراء في تأصيل رهن ملك الغير</w:t>
      </w:r>
      <w:r>
        <w:rPr>
          <w:rFonts w:cs="Traditional Arabic" w:hint="cs"/>
          <w:sz w:val="28"/>
          <w:szCs w:val="32"/>
          <w:rtl/>
        </w:rPr>
        <w:t xml:space="preserve"> ،</w:t>
      </w:r>
      <w:r w:rsidRPr="00EC737F">
        <w:rPr>
          <w:rFonts w:cs="Traditional Arabic" w:hint="cs"/>
          <w:sz w:val="28"/>
          <w:szCs w:val="32"/>
          <w:rtl/>
        </w:rPr>
        <w:t xml:space="preserve"> إلا أن نتلمس العلة في هذا البطلان</w:t>
      </w:r>
      <w:r>
        <w:rPr>
          <w:rFonts w:cs="Traditional Arabic" w:hint="cs"/>
          <w:sz w:val="28"/>
          <w:szCs w:val="32"/>
          <w:rtl/>
        </w:rPr>
        <w:t xml:space="preserve"> ،</w:t>
      </w:r>
      <w:r w:rsidRPr="00EC737F">
        <w:rPr>
          <w:rFonts w:cs="Traditional Arabic" w:hint="cs"/>
          <w:sz w:val="28"/>
          <w:szCs w:val="32"/>
          <w:rtl/>
        </w:rPr>
        <w:t xml:space="preserve"> فهي منافاة العقد لطبيعة الرهن</w:t>
      </w:r>
      <w:r>
        <w:rPr>
          <w:rFonts w:cs="Traditional Arabic" w:hint="cs"/>
          <w:sz w:val="28"/>
          <w:szCs w:val="32"/>
          <w:rtl/>
        </w:rPr>
        <w:t xml:space="preserve"> .</w:t>
      </w:r>
      <w:r w:rsidRPr="00EC737F">
        <w:rPr>
          <w:rFonts w:cs="Traditional Arabic" w:hint="cs"/>
          <w:sz w:val="28"/>
          <w:szCs w:val="32"/>
          <w:rtl/>
        </w:rPr>
        <w:t xml:space="preserve"> ولكن العلة وحدها لا تكفي</w:t>
      </w:r>
      <w:r>
        <w:rPr>
          <w:rFonts w:cs="Traditional Arabic" w:hint="cs"/>
          <w:sz w:val="28"/>
          <w:szCs w:val="32"/>
          <w:rtl/>
        </w:rPr>
        <w:t xml:space="preserve"> ،</w:t>
      </w:r>
      <w:r w:rsidRPr="00EC737F">
        <w:rPr>
          <w:rFonts w:cs="Traditional Arabic" w:hint="cs"/>
          <w:sz w:val="28"/>
          <w:szCs w:val="32"/>
          <w:rtl/>
        </w:rPr>
        <w:t xml:space="preserve"> فليس في القواعد العامة ما يجعل منها سبباً لإبطال العقد</w:t>
      </w:r>
      <w:r>
        <w:rPr>
          <w:rFonts w:cs="Traditional Arabic" w:hint="cs"/>
          <w:sz w:val="28"/>
          <w:szCs w:val="32"/>
          <w:rtl/>
        </w:rPr>
        <w:t xml:space="preserve"> .</w:t>
      </w:r>
      <w:r w:rsidRPr="00EC737F">
        <w:rPr>
          <w:rFonts w:cs="Traditional Arabic" w:hint="cs"/>
          <w:sz w:val="28"/>
          <w:szCs w:val="32"/>
          <w:rtl/>
        </w:rPr>
        <w:t xml:space="preserve"> إذ أن سبب إبطال العقد</w:t>
      </w:r>
      <w:r>
        <w:rPr>
          <w:rFonts w:cs="Traditional Arabic" w:hint="cs"/>
          <w:sz w:val="28"/>
          <w:szCs w:val="32"/>
          <w:rtl/>
        </w:rPr>
        <w:t xml:space="preserve"> ،</w:t>
      </w:r>
      <w:r w:rsidRPr="00EC737F">
        <w:rPr>
          <w:rFonts w:cs="Traditional Arabic" w:hint="cs"/>
          <w:sz w:val="28"/>
          <w:szCs w:val="32"/>
          <w:rtl/>
        </w:rPr>
        <w:t xml:space="preserve"> وفقاً للقواعد العامة</w:t>
      </w:r>
      <w:r>
        <w:rPr>
          <w:rFonts w:cs="Traditional Arabic" w:hint="cs"/>
          <w:sz w:val="28"/>
          <w:szCs w:val="32"/>
          <w:rtl/>
        </w:rPr>
        <w:t xml:space="preserve"> ،</w:t>
      </w:r>
      <w:r w:rsidRPr="00EC737F">
        <w:rPr>
          <w:rFonts w:cs="Traditional Arabic" w:hint="cs"/>
          <w:sz w:val="28"/>
          <w:szCs w:val="32"/>
          <w:rtl/>
        </w:rPr>
        <w:t xml:space="preserve"> ليس إلا نقص الأهلية أو عيباً من عيوب الرضاء</w:t>
      </w:r>
      <w:r>
        <w:rPr>
          <w:rFonts w:cs="Traditional Arabic" w:hint="cs"/>
          <w:sz w:val="28"/>
          <w:szCs w:val="32"/>
          <w:rtl/>
        </w:rPr>
        <w:t xml:space="preserve"> .</w:t>
      </w:r>
      <w:r w:rsidRPr="00EC737F">
        <w:rPr>
          <w:rFonts w:cs="Traditional Arabic" w:hint="cs"/>
          <w:sz w:val="28"/>
          <w:szCs w:val="32"/>
          <w:rtl/>
        </w:rPr>
        <w:t xml:space="preserve"> لذلك كان لا بد من نص خاص ينشئ جواز إبطال رهن ملك الغير</w:t>
      </w:r>
      <w:r>
        <w:rPr>
          <w:rFonts w:cs="Traditional Arabic" w:hint="cs"/>
          <w:sz w:val="28"/>
          <w:szCs w:val="32"/>
          <w:rtl/>
        </w:rPr>
        <w:t xml:space="preserve"> ،</w:t>
      </w:r>
      <w:r w:rsidRPr="00EC737F">
        <w:rPr>
          <w:rFonts w:cs="Traditional Arabic" w:hint="cs"/>
          <w:sz w:val="28"/>
          <w:szCs w:val="32"/>
          <w:rtl/>
        </w:rPr>
        <w:t xml:space="preserve"> ويستند إلى العلة المعقولة التي قدمناها</w:t>
      </w:r>
      <w:r>
        <w:rPr>
          <w:rFonts w:cs="Traditional Arabic" w:hint="cs"/>
          <w:sz w:val="28"/>
          <w:szCs w:val="32"/>
          <w:rtl/>
        </w:rPr>
        <w:t xml:space="preserve"> ،</w:t>
      </w:r>
      <w:r w:rsidRPr="00EC737F">
        <w:rPr>
          <w:rFonts w:cs="Traditional Arabic" w:hint="cs"/>
          <w:sz w:val="28"/>
          <w:szCs w:val="32"/>
          <w:rtl/>
        </w:rPr>
        <w:t xml:space="preserve"> وقد وجد هذا النص فهو نص منشئ للإبطال لا كاشف عنه</w:t>
      </w:r>
      <w:r>
        <w:rPr>
          <w:rFonts w:cs="Traditional Arabic" w:hint="cs"/>
          <w:sz w:val="28"/>
          <w:szCs w:val="32"/>
          <w:rtl/>
        </w:rPr>
        <w:t xml:space="preserve"> ،</w:t>
      </w:r>
      <w:r w:rsidRPr="00EC737F">
        <w:rPr>
          <w:rFonts w:cs="Traditional Arabic" w:hint="cs"/>
          <w:sz w:val="28"/>
          <w:szCs w:val="32"/>
          <w:rtl/>
        </w:rPr>
        <w:t xml:space="preserve"> ولو لم يوجد لما أمكن القول بأن رهن ملك الغير قابل للإبطال</w:t>
      </w:r>
      <w:r>
        <w:rPr>
          <w:rFonts w:cs="Traditional Arabic" w:hint="cs"/>
          <w:sz w:val="28"/>
          <w:szCs w:val="32"/>
          <w:rtl/>
        </w:rPr>
        <w:t xml:space="preserve"> .</w:t>
      </w:r>
      <w:r w:rsidRPr="00EC737F">
        <w:rPr>
          <w:rFonts w:cs="Traditional Arabic" w:hint="cs"/>
          <w:sz w:val="28"/>
          <w:szCs w:val="32"/>
          <w:rtl/>
        </w:rPr>
        <w:t xml:space="preserve"> بل لوجب القول بأنه صحيح ولكنه قابل للنسخ</w:t>
      </w:r>
      <w:r>
        <w:rPr>
          <w:rFonts w:cs="Traditional Arabic" w:hint="cs"/>
          <w:sz w:val="28"/>
          <w:szCs w:val="32"/>
          <w:rtl/>
        </w:rPr>
        <w:t xml:space="preserve"> ،</w:t>
      </w:r>
      <w:r w:rsidRPr="00EC737F">
        <w:rPr>
          <w:rFonts w:cs="Traditional Arabic" w:hint="cs"/>
          <w:sz w:val="28"/>
          <w:szCs w:val="32"/>
          <w:rtl/>
        </w:rPr>
        <w:t xml:space="preserve"> كما قيل ذلك في إيجار ملك الغير حيث لا يوجد نص يقرر الإبطال</w:t>
      </w:r>
      <w:r>
        <w:rPr>
          <w:rFonts w:cs="Traditional Arabic" w:hint="cs"/>
          <w:sz w:val="28"/>
          <w:szCs w:val="32"/>
          <w:rtl/>
        </w:rPr>
        <w:t xml:space="preserve"> .</w:t>
      </w:r>
      <w:r w:rsidRPr="00EC737F">
        <w:rPr>
          <w:rFonts w:cs="Traditional Arabic" w:hint="cs"/>
          <w:sz w:val="28"/>
          <w:szCs w:val="32"/>
          <w:rtl/>
        </w:rPr>
        <w:t xml:space="preserve"> فلا بد إذن من القول بأن جواز إبطال رهن ملك الغير</w:t>
      </w:r>
      <w:r>
        <w:rPr>
          <w:rFonts w:cs="Traditional Arabic" w:hint="cs"/>
          <w:sz w:val="28"/>
          <w:szCs w:val="32"/>
          <w:rtl/>
        </w:rPr>
        <w:t xml:space="preserve"> ،</w:t>
      </w:r>
      <w:r w:rsidRPr="00EC737F">
        <w:rPr>
          <w:rFonts w:cs="Traditional Arabic" w:hint="cs"/>
          <w:sz w:val="28"/>
          <w:szCs w:val="32"/>
          <w:rtl/>
        </w:rPr>
        <w:t xml:space="preserve"> كجواز إبطال بيع ملك الغير</w:t>
      </w:r>
      <w:r>
        <w:rPr>
          <w:rFonts w:cs="Traditional Arabic" w:hint="cs"/>
          <w:sz w:val="28"/>
          <w:szCs w:val="32"/>
          <w:rtl/>
        </w:rPr>
        <w:t xml:space="preserve"> ،</w:t>
      </w:r>
      <w:r w:rsidRPr="00EC737F">
        <w:rPr>
          <w:rFonts w:cs="Traditional Arabic" w:hint="cs"/>
          <w:sz w:val="28"/>
          <w:szCs w:val="32"/>
          <w:rtl/>
        </w:rPr>
        <w:t xml:space="preserve"> هو إبطال خاص لا يستمد من القواعد العامة</w:t>
      </w:r>
      <w:r>
        <w:rPr>
          <w:rFonts w:cs="Traditional Arabic" w:hint="cs"/>
          <w:sz w:val="28"/>
          <w:szCs w:val="32"/>
          <w:rtl/>
        </w:rPr>
        <w:t xml:space="preserve"> ،</w:t>
      </w:r>
      <w:r w:rsidRPr="00EC737F">
        <w:rPr>
          <w:rFonts w:cs="Traditional Arabic" w:hint="cs"/>
          <w:sz w:val="28"/>
          <w:szCs w:val="32"/>
          <w:rtl/>
        </w:rPr>
        <w:t xml:space="preserve"> وقد أنشأه نص تشريعي صريح واستند في إنشائه إلى علة </w:t>
      </w:r>
      <w:r w:rsidRPr="00EC737F">
        <w:rPr>
          <w:rFonts w:cs="Traditional Arabic" w:hint="cs"/>
          <w:sz w:val="28"/>
          <w:szCs w:val="32"/>
          <w:rtl/>
        </w:rPr>
        <w:lastRenderedPageBreak/>
        <w:t>معقولة</w:t>
      </w:r>
      <w:r>
        <w:rPr>
          <w:rFonts w:cs="Traditional Arabic" w:hint="cs"/>
          <w:sz w:val="28"/>
          <w:szCs w:val="32"/>
          <w:vertAlign w:val="superscript"/>
          <w:rtl/>
        </w:rPr>
        <w:t xml:space="preserve">( </w:t>
      </w:r>
      <w:r w:rsidRPr="00EC737F">
        <w:rPr>
          <w:rStyle w:val="ab"/>
          <w:rFonts w:cs="Traditional Arabic"/>
          <w:sz w:val="28"/>
          <w:szCs w:val="32"/>
          <w:rtl/>
        </w:rPr>
        <w:footnoteReference w:id="67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$308 </w:t>
      </w:r>
      <w:r w:rsidRPr="00EC737F">
        <w:rPr>
          <w:rFonts w:cs="Traditional Arabic" w:hint="cs"/>
          <w:b/>
          <w:bCs/>
          <w:sz w:val="28"/>
          <w:szCs w:val="32"/>
          <w:rtl/>
        </w:rPr>
        <w:t xml:space="preserve">139- رهن الملك المستقبل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الفقرة الثانية من المادة 1033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"ويقع باطلا رهن المال المستقبل"</w:t>
      </w:r>
      <w:r>
        <w:rPr>
          <w:rFonts w:cs="Traditional Arabic" w:hint="cs"/>
          <w:sz w:val="28"/>
          <w:szCs w:val="32"/>
          <w:vertAlign w:val="superscript"/>
          <w:rtl/>
        </w:rPr>
        <w:t xml:space="preserve">( </w:t>
      </w:r>
      <w:r w:rsidRPr="00EC737F">
        <w:rPr>
          <w:rStyle w:val="ab"/>
          <w:rFonts w:cs="Traditional Arabic"/>
          <w:sz w:val="28"/>
          <w:szCs w:val="32"/>
          <w:rtl/>
        </w:rPr>
        <w:footnoteReference w:id="68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سبق أن بينا الفرق بين رهن ملك الغير ورهن المال المستقبل</w:t>
      </w:r>
      <w:r>
        <w:rPr>
          <w:rFonts w:cs="Traditional Arabic" w:hint="cs"/>
          <w:sz w:val="28"/>
          <w:szCs w:val="32"/>
          <w:rtl/>
        </w:rPr>
        <w:t xml:space="preserve"> ،</w:t>
      </w:r>
      <w:r w:rsidRPr="00EC737F">
        <w:rPr>
          <w:rFonts w:cs="Traditional Arabic" w:hint="cs"/>
          <w:sz w:val="28"/>
          <w:szCs w:val="32"/>
          <w:rtl/>
        </w:rPr>
        <w:t xml:space="preserve"> فإذا كان الرهن واقعاً على عقار لم يعين بالذات واقتصر الراهن على رهن ما عسى أن يملكه في المستقبل من عقار</w:t>
      </w:r>
      <w:r>
        <w:rPr>
          <w:rFonts w:cs="Traditional Arabic" w:hint="cs"/>
          <w:sz w:val="28"/>
          <w:szCs w:val="32"/>
          <w:rtl/>
        </w:rPr>
        <w:t xml:space="preserve"> ،</w:t>
      </w:r>
      <w:r w:rsidRPr="00EC737F">
        <w:rPr>
          <w:rFonts w:cs="Traditional Arabic" w:hint="cs"/>
          <w:sz w:val="28"/>
          <w:szCs w:val="32"/>
          <w:rtl/>
        </w:rPr>
        <w:t xml:space="preserve"> فإن الرهن يكون باطلا بطلاناً مطلقاً لأنه يتعارض مع مبدأ تخصيص الرهن</w:t>
      </w:r>
      <w:r>
        <w:rPr>
          <w:rFonts w:cs="Traditional Arabic" w:hint="cs"/>
          <w:sz w:val="28"/>
          <w:szCs w:val="32"/>
          <w:vertAlign w:val="superscript"/>
          <w:rtl/>
        </w:rPr>
        <w:t xml:space="preserve">( </w:t>
      </w:r>
      <w:r w:rsidRPr="00EC737F">
        <w:rPr>
          <w:rStyle w:val="ab"/>
          <w:rFonts w:cs="Traditional Arabic"/>
          <w:sz w:val="28"/>
          <w:szCs w:val="32"/>
          <w:rtl/>
        </w:rPr>
        <w:footnoteReference w:id="68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وعلة بطلان رهن المال المستقبل بطلاناً مطلقاً ليست هي عدم ملكية الراهن للعقار المرهون</w:t>
      </w:r>
      <w:r>
        <w:rPr>
          <w:rFonts w:cs="Traditional Arabic" w:hint="cs"/>
          <w:sz w:val="28"/>
          <w:szCs w:val="32"/>
          <w:rtl/>
        </w:rPr>
        <w:t xml:space="preserve"> ،</w:t>
      </w:r>
      <w:r w:rsidRPr="00EC737F">
        <w:rPr>
          <w:rFonts w:cs="Traditional Arabic" w:hint="cs"/>
          <w:sz w:val="28"/>
          <w:szCs w:val="32"/>
          <w:rtl/>
        </w:rPr>
        <w:t xml:space="preserve"> فقد رأينا أن رهن ملك الغير يكون قابلا للإبطال لا باطلا</w:t>
      </w:r>
      <w:r>
        <w:rPr>
          <w:rFonts w:cs="Traditional Arabic" w:hint="cs"/>
          <w:sz w:val="28"/>
          <w:szCs w:val="32"/>
          <w:rtl/>
        </w:rPr>
        <w:t xml:space="preserve"> .</w:t>
      </w:r>
      <w:r w:rsidRPr="00EC737F">
        <w:rPr>
          <w:rFonts w:cs="Traditional Arabic" w:hint="cs"/>
          <w:sz w:val="28"/>
          <w:szCs w:val="32"/>
          <w:rtl/>
        </w:rPr>
        <w:t xml:space="preserve"> ولكن العلة هي عدم تعيين العقار المرهون تعييناً كافياً</w:t>
      </w:r>
      <w:r>
        <w:rPr>
          <w:rFonts w:cs="Traditional Arabic" w:hint="cs"/>
          <w:sz w:val="28"/>
          <w:szCs w:val="32"/>
          <w:rtl/>
        </w:rPr>
        <w:t xml:space="preserve"> ،</w:t>
      </w:r>
      <w:r w:rsidRPr="00EC737F">
        <w:rPr>
          <w:rFonts w:cs="Traditional Arabic" w:hint="cs"/>
          <w:sz w:val="28"/>
          <w:szCs w:val="32"/>
          <w:rtl/>
        </w:rPr>
        <w:t xml:space="preserve"> فيكون بطلان رهن المال المستقبل هو جزاء لمخالفته مبدأ التخصيص</w:t>
      </w:r>
      <w:r>
        <w:rPr>
          <w:rFonts w:cs="Traditional Arabic" w:hint="cs"/>
          <w:sz w:val="28"/>
          <w:szCs w:val="32"/>
          <w:rtl/>
        </w:rPr>
        <w:t xml:space="preserve"> .</w:t>
      </w:r>
      <w:r w:rsidRPr="00EC737F">
        <w:rPr>
          <w:rFonts w:cs="Traditional Arabic" w:hint="cs"/>
          <w:sz w:val="28"/>
          <w:szCs w:val="32"/>
          <w:rtl/>
        </w:rPr>
        <w:t xml:space="preserve"> وقد أراد المشرع حماية الراهن من أن يقدم على رهن ما يستجد له من مال مستقبل</w:t>
      </w:r>
      <w:r>
        <w:rPr>
          <w:rFonts w:cs="Traditional Arabic" w:hint="cs"/>
          <w:sz w:val="28"/>
          <w:szCs w:val="32"/>
          <w:vertAlign w:val="superscript"/>
          <w:rtl/>
        </w:rPr>
        <w:t xml:space="preserve">( </w:t>
      </w:r>
      <w:r w:rsidRPr="00EC737F">
        <w:rPr>
          <w:rStyle w:val="ab"/>
          <w:rFonts w:cs="Traditional Arabic"/>
          <w:sz w:val="28"/>
          <w:szCs w:val="32"/>
          <w:rtl/>
        </w:rPr>
        <w:footnoteReference w:id="68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$309 وعلى ذلك يجب قصر رهن المال المستقبل على الأحوال التي يكون فيها العقار المرهون غير معين تعييناً كافياً</w:t>
      </w:r>
      <w:r>
        <w:rPr>
          <w:rFonts w:cs="Traditional Arabic" w:hint="cs"/>
          <w:sz w:val="28"/>
          <w:szCs w:val="32"/>
          <w:rtl/>
        </w:rPr>
        <w:t xml:space="preserve"> ،</w:t>
      </w:r>
      <w:r w:rsidRPr="00EC737F">
        <w:rPr>
          <w:rFonts w:cs="Traditional Arabic" w:hint="cs"/>
          <w:sz w:val="28"/>
          <w:szCs w:val="32"/>
          <w:rtl/>
        </w:rPr>
        <w:t xml:space="preserve"> أما إذا كان العقار معيناً </w:t>
      </w:r>
      <w:r w:rsidRPr="00EC737F">
        <w:rPr>
          <w:rFonts w:cs="Traditional Arabic" w:hint="cs"/>
          <w:sz w:val="28"/>
          <w:szCs w:val="32"/>
          <w:rtl/>
        </w:rPr>
        <w:lastRenderedPageBreak/>
        <w:t>تعييناً كافياً فإن الرهن يكون قابلا للإبطال لأنه يكون رعنا لملك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68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فرهن مالا يملكه الراهن إنما يكو باطلا بطلاناً مطلقاً لأن العقار المرهون غير معين</w:t>
      </w:r>
      <w:r>
        <w:rPr>
          <w:rFonts w:cs="Traditional Arabic" w:hint="cs"/>
          <w:sz w:val="28"/>
          <w:szCs w:val="32"/>
          <w:rtl/>
        </w:rPr>
        <w:t xml:space="preserve"> ،</w:t>
      </w:r>
      <w:r w:rsidRPr="00EC737F">
        <w:rPr>
          <w:rFonts w:cs="Traditional Arabic" w:hint="cs"/>
          <w:sz w:val="28"/>
          <w:szCs w:val="32"/>
          <w:rtl/>
        </w:rPr>
        <w:t xml:space="preserve"> لا لأنه غير مملوك للراهن</w:t>
      </w:r>
      <w:r>
        <w:rPr>
          <w:rFonts w:cs="Traditional Arabic" w:hint="cs"/>
          <w:sz w:val="28"/>
          <w:szCs w:val="32"/>
          <w:vertAlign w:val="superscript"/>
          <w:rtl/>
        </w:rPr>
        <w:t xml:space="preserve">( </w:t>
      </w:r>
      <w:r w:rsidRPr="00EC737F">
        <w:rPr>
          <w:rStyle w:val="ab"/>
          <w:rFonts w:cs="Traditional Arabic"/>
          <w:sz w:val="28"/>
          <w:szCs w:val="32"/>
          <w:rtl/>
        </w:rPr>
        <w:footnoteReference w:id="68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فلا يكون باطلا بطلاناً مطلقاً رهن العقار المعين بالذات</w:t>
      </w:r>
      <w:r>
        <w:rPr>
          <w:rFonts w:cs="Traditional Arabic" w:hint="cs"/>
          <w:sz w:val="28"/>
          <w:szCs w:val="32"/>
          <w:rtl/>
        </w:rPr>
        <w:t xml:space="preserve"> ،</w:t>
      </w:r>
      <w:r w:rsidRPr="00EC737F">
        <w:rPr>
          <w:rFonts w:cs="Traditional Arabic" w:hint="cs"/>
          <w:sz w:val="28"/>
          <w:szCs w:val="32"/>
          <w:rtl/>
        </w:rPr>
        <w:t xml:space="preserve"> ولو لم يكن مملوكاً للراهن</w:t>
      </w:r>
      <w:r>
        <w:rPr>
          <w:rFonts w:cs="Traditional Arabic" w:hint="cs"/>
          <w:sz w:val="28"/>
          <w:szCs w:val="32"/>
          <w:rtl/>
        </w:rPr>
        <w:t xml:space="preserve"> .</w:t>
      </w:r>
      <w:r w:rsidRPr="00EC737F">
        <w:rPr>
          <w:rFonts w:cs="Traditional Arabic" w:hint="cs"/>
          <w:sz w:val="28"/>
          <w:szCs w:val="32"/>
          <w:rtl/>
        </w:rPr>
        <w:t xml:space="preserve"> وعلى ذلك إذا رهن شخص ما سيؤول إليه من تركة أبيه حسب تقديره من عقار</w:t>
      </w:r>
      <w:r>
        <w:rPr>
          <w:rFonts w:cs="Traditional Arabic" w:hint="cs"/>
          <w:sz w:val="28"/>
          <w:szCs w:val="32"/>
          <w:rtl/>
        </w:rPr>
        <w:t xml:space="preserve"> ،</w:t>
      </w:r>
      <w:r w:rsidRPr="00EC737F">
        <w:rPr>
          <w:rFonts w:cs="Traditional Arabic" w:hint="cs"/>
          <w:sz w:val="28"/>
          <w:szCs w:val="32"/>
          <w:rtl/>
        </w:rPr>
        <w:t xml:space="preserve"> كان هذا رهناً لمال مستقبل وباطلا بطلاناً مطلقاً</w:t>
      </w:r>
      <w:r>
        <w:rPr>
          <w:rFonts w:cs="Traditional Arabic" w:hint="cs"/>
          <w:sz w:val="28"/>
          <w:szCs w:val="32"/>
          <w:rtl/>
        </w:rPr>
        <w:t xml:space="preserve"> .</w:t>
      </w:r>
      <w:r w:rsidRPr="00EC737F">
        <w:rPr>
          <w:rFonts w:cs="Traditional Arabic" w:hint="cs"/>
          <w:sz w:val="28"/>
          <w:szCs w:val="32"/>
          <w:rtl/>
        </w:rPr>
        <w:t xml:space="preserve"> أما إذ رهن مالا معيناً بالذات</w:t>
      </w:r>
      <w:r>
        <w:rPr>
          <w:rFonts w:cs="Traditional Arabic" w:hint="cs"/>
          <w:sz w:val="28"/>
          <w:szCs w:val="32"/>
          <w:rtl/>
        </w:rPr>
        <w:t xml:space="preserve"> ،</w:t>
      </w:r>
      <w:r w:rsidRPr="00EC737F">
        <w:rPr>
          <w:rFonts w:cs="Traditional Arabic" w:hint="cs"/>
          <w:sz w:val="28"/>
          <w:szCs w:val="32"/>
          <w:rtl/>
        </w:rPr>
        <w:t xml:space="preserve"> وقصد أن يكون الرهن فوراً</w:t>
      </w:r>
      <w:r>
        <w:rPr>
          <w:rFonts w:cs="Traditional Arabic" w:hint="cs"/>
          <w:sz w:val="28"/>
          <w:szCs w:val="32"/>
          <w:rtl/>
        </w:rPr>
        <w:t xml:space="preserve"> ،</w:t>
      </w:r>
      <w:r w:rsidRPr="00EC737F">
        <w:rPr>
          <w:rFonts w:cs="Traditional Arabic" w:hint="cs"/>
          <w:sz w:val="28"/>
          <w:szCs w:val="32"/>
          <w:rtl/>
        </w:rPr>
        <w:t xml:space="preserve"> وكان لا يملك العقار المرهون كان هذا رهناً لملك الغير</w:t>
      </w:r>
      <w:r>
        <w:rPr>
          <w:rFonts w:cs="Traditional Arabic" w:hint="cs"/>
          <w:sz w:val="28"/>
          <w:szCs w:val="32"/>
          <w:rtl/>
        </w:rPr>
        <w:t xml:space="preserve"> ،</w:t>
      </w:r>
      <w:r w:rsidRPr="00EC737F">
        <w:rPr>
          <w:rFonts w:cs="Traditional Arabic" w:hint="cs"/>
          <w:sz w:val="28"/>
          <w:szCs w:val="32"/>
          <w:rtl/>
        </w:rPr>
        <w:t xml:space="preserve"> ومن ثم يكون قابلا للإبطال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140- رهن المالك الظاهر</w:t>
      </w:r>
      <w:r>
        <w:rPr>
          <w:rFonts w:cs="Traditional Arabic" w:hint="cs"/>
          <w:sz w:val="28"/>
          <w:szCs w:val="32"/>
          <w:rtl/>
        </w:rPr>
        <w:t xml:space="preserve"> :</w:t>
      </w:r>
      <w:r w:rsidRPr="00EC737F">
        <w:rPr>
          <w:rFonts w:cs="Traditional Arabic" w:hint="cs"/>
          <w:sz w:val="28"/>
          <w:szCs w:val="32"/>
          <w:rtl/>
        </w:rPr>
        <w:t xml:space="preserve"> المالك الظاهر للعقار  المرهون ليس بمالك حقيقي له</w:t>
      </w:r>
      <w:r>
        <w:rPr>
          <w:rFonts w:cs="Traditional Arabic" w:hint="cs"/>
          <w:sz w:val="28"/>
          <w:szCs w:val="32"/>
          <w:rtl/>
        </w:rPr>
        <w:t xml:space="preserve"> ،</w:t>
      </w:r>
      <w:r w:rsidRPr="00EC737F">
        <w:rPr>
          <w:rFonts w:cs="Traditional Arabic" w:hint="cs"/>
          <w:sz w:val="28"/>
          <w:szCs w:val="32"/>
          <w:rtl/>
        </w:rPr>
        <w:t xml:space="preserve"> ومن ثم يكون الرهن الصادر منه صادراً من غير مالك</w:t>
      </w:r>
      <w:r>
        <w:rPr>
          <w:rFonts w:cs="Traditional Arabic" w:hint="cs"/>
          <w:sz w:val="28"/>
          <w:szCs w:val="32"/>
          <w:rtl/>
        </w:rPr>
        <w:t xml:space="preserve"> .</w:t>
      </w:r>
      <w:r w:rsidRPr="00EC737F">
        <w:rPr>
          <w:rFonts w:cs="Traditional Arabic" w:hint="cs"/>
          <w:sz w:val="28"/>
          <w:szCs w:val="32"/>
          <w:rtl/>
        </w:rPr>
        <w:t xml:space="preserve"> ولو أننا طبقنا في هذا الصدد قاعدة إبطال رهن ملك الغير</w:t>
      </w:r>
      <w:r>
        <w:rPr>
          <w:rFonts w:cs="Traditional Arabic" w:hint="cs"/>
          <w:sz w:val="28"/>
          <w:szCs w:val="32"/>
          <w:rtl/>
        </w:rPr>
        <w:t xml:space="preserve"> ،</w:t>
      </w:r>
      <w:r w:rsidRPr="00EC737F">
        <w:rPr>
          <w:rFonts w:cs="Traditional Arabic" w:hint="cs"/>
          <w:sz w:val="28"/>
          <w:szCs w:val="32"/>
          <w:rtl/>
        </w:rPr>
        <w:t xml:space="preserve"> لوجب اعتبار الرهن الصادر من المالك الظاهر قابلا للإبطال وغير سار في حق المالك الحقيقي</w:t>
      </w:r>
      <w:r>
        <w:rPr>
          <w:rFonts w:cs="Traditional Arabic" w:hint="cs"/>
          <w:sz w:val="28"/>
          <w:szCs w:val="32"/>
          <w:rtl/>
        </w:rPr>
        <w:t xml:space="preserve"> ،</w:t>
      </w:r>
      <w:r w:rsidRPr="00EC737F">
        <w:rPr>
          <w:rFonts w:cs="Traditional Arabic" w:hint="cs"/>
          <w:sz w:val="28"/>
          <w:szCs w:val="32"/>
          <w:rtl/>
        </w:rPr>
        <w:t xml:space="preserve"> ولجاز للدائن المرتهن أن يطلب إبطال عقد الرهن</w:t>
      </w:r>
      <w:r>
        <w:rPr>
          <w:rFonts w:cs="Traditional Arabic" w:hint="cs"/>
          <w:sz w:val="28"/>
          <w:szCs w:val="32"/>
          <w:rtl/>
        </w:rPr>
        <w:t xml:space="preserve"> .</w:t>
      </w:r>
      <w:r w:rsidRPr="00EC737F">
        <w:rPr>
          <w:rFonts w:cs="Traditional Arabic" w:hint="cs"/>
          <w:sz w:val="28"/>
          <w:szCs w:val="32"/>
          <w:rtl/>
        </w:rPr>
        <w:t xml:space="preserve"> ولو أنه لم يطلب ذلك بل لو أجاز عقد الرهن الرسمي</w:t>
      </w:r>
      <w:r>
        <w:rPr>
          <w:rFonts w:cs="Traditional Arabic" w:hint="cs"/>
          <w:sz w:val="28"/>
          <w:szCs w:val="32"/>
          <w:rtl/>
        </w:rPr>
        <w:t xml:space="preserve"> ،</w:t>
      </w:r>
      <w:r w:rsidRPr="00EC737F">
        <w:rPr>
          <w:rFonts w:cs="Traditional Arabic" w:hint="cs"/>
          <w:sz w:val="28"/>
          <w:szCs w:val="32"/>
          <w:rtl/>
        </w:rPr>
        <w:t xml:space="preserve"> لما أنتج هذا العقد حق رهن للدائن المرتهن</w:t>
      </w:r>
      <w:r>
        <w:rPr>
          <w:rFonts w:cs="Traditional Arabic" w:hint="cs"/>
          <w:sz w:val="28"/>
          <w:szCs w:val="32"/>
          <w:rtl/>
        </w:rPr>
        <w:t xml:space="preserve"> ،</w:t>
      </w:r>
      <w:r w:rsidRPr="00EC737F">
        <w:rPr>
          <w:rFonts w:cs="Traditional Arabic" w:hint="cs"/>
          <w:sz w:val="28"/>
          <w:szCs w:val="32"/>
          <w:rtl/>
        </w:rPr>
        <w:t xml:space="preserve"> ما لم يقر المال الحقيقي عقد الرهن أو ما لم تنتقل ملكية العقار المرهون إلى المالك الظاهر</w:t>
      </w:r>
      <w:r>
        <w:rPr>
          <w:rFonts w:cs="Traditional Arabic" w:hint="cs"/>
          <w:sz w:val="28"/>
          <w:szCs w:val="32"/>
          <w:rtl/>
        </w:rPr>
        <w:t xml:space="preserve"> .</w:t>
      </w:r>
      <w:r w:rsidRPr="00EC737F">
        <w:rPr>
          <w:rFonts w:cs="Traditional Arabic" w:hint="cs"/>
          <w:sz w:val="28"/>
          <w:szCs w:val="32"/>
          <w:rtl/>
        </w:rPr>
        <w:t xml:space="preserve"> ولكن الرهن الرسمي الصادر من المالك الظاهر لا تنطبق عليه هذه القواعد</w:t>
      </w:r>
      <w:r>
        <w:rPr>
          <w:rFonts w:cs="Traditional Arabic" w:hint="cs"/>
          <w:sz w:val="28"/>
          <w:szCs w:val="32"/>
          <w:rtl/>
        </w:rPr>
        <w:t xml:space="preserve"> ،</w:t>
      </w:r>
      <w:r w:rsidRPr="00EC737F">
        <w:rPr>
          <w:rFonts w:cs="Traditional Arabic" w:hint="cs"/>
          <w:sz w:val="28"/>
          <w:szCs w:val="32"/>
          <w:rtl/>
        </w:rPr>
        <w:t xml:space="preserve"> لأن المالك الظاهر وإن كان غي رمالك حقيقي يظهر أمام الناس أنه هو المالك</w:t>
      </w:r>
      <w:r>
        <w:rPr>
          <w:rFonts w:cs="Traditional Arabic" w:hint="cs"/>
          <w:sz w:val="28"/>
          <w:szCs w:val="32"/>
          <w:rtl/>
        </w:rPr>
        <w:t xml:space="preserve"> .</w:t>
      </w:r>
      <w:r w:rsidRPr="00EC737F">
        <w:rPr>
          <w:rFonts w:cs="Traditional Arabic" w:hint="cs"/>
          <w:sz w:val="28"/>
          <w:szCs w:val="32"/>
          <w:rtl/>
        </w:rPr>
        <w:t xml:space="preserve"> فإذا ما تعامل معه الغير</w:t>
      </w:r>
      <w:r>
        <w:rPr>
          <w:rFonts w:cs="Traditional Arabic" w:hint="cs"/>
          <w:sz w:val="28"/>
          <w:szCs w:val="32"/>
          <w:rtl/>
        </w:rPr>
        <w:t xml:space="preserve"> ،</w:t>
      </w:r>
      <w:r w:rsidRPr="00EC737F">
        <w:rPr>
          <w:rFonts w:cs="Traditional Arabic" w:hint="cs"/>
          <w:sz w:val="28"/>
          <w:szCs w:val="32"/>
          <w:rtl/>
        </w:rPr>
        <w:t xml:space="preserve"> معتقداً بحسن نية أنه هو المالك الحقيقي</w:t>
      </w:r>
      <w:r>
        <w:rPr>
          <w:rFonts w:cs="Traditional Arabic" w:hint="cs"/>
          <w:sz w:val="28"/>
          <w:szCs w:val="32"/>
          <w:rtl/>
        </w:rPr>
        <w:t xml:space="preserve"> ،</w:t>
      </w:r>
      <w:r w:rsidRPr="00EC737F">
        <w:rPr>
          <w:rFonts w:cs="Traditional Arabic" w:hint="cs"/>
          <w:sz w:val="28"/>
          <w:szCs w:val="32"/>
          <w:rtl/>
        </w:rPr>
        <w:t xml:space="preserve"> أجاز القانون هذه المعاملة</w:t>
      </w:r>
      <w:r>
        <w:rPr>
          <w:rFonts w:cs="Traditional Arabic" w:hint="cs"/>
          <w:sz w:val="28"/>
          <w:szCs w:val="32"/>
          <w:rtl/>
        </w:rPr>
        <w:t xml:space="preserve"> ،</w:t>
      </w:r>
      <w:r w:rsidRPr="00EC737F">
        <w:rPr>
          <w:rFonts w:cs="Traditional Arabic" w:hint="cs"/>
          <w:sz w:val="28"/>
          <w:szCs w:val="32"/>
          <w:rtl/>
        </w:rPr>
        <w:t xml:space="preserve"> وسمح للغير حسن النية الذي ارتهن $310 العقار من المالك الظاهر بالتمسك بهذا الرهن</w:t>
      </w:r>
      <w:r>
        <w:rPr>
          <w:rFonts w:cs="Traditional Arabic" w:hint="cs"/>
          <w:sz w:val="28"/>
          <w:szCs w:val="32"/>
          <w:rtl/>
        </w:rPr>
        <w:t xml:space="preserve"> .</w:t>
      </w:r>
      <w:r w:rsidRPr="00EC737F">
        <w:rPr>
          <w:rFonts w:cs="Traditional Arabic" w:hint="cs"/>
          <w:sz w:val="28"/>
          <w:szCs w:val="32"/>
          <w:rtl/>
        </w:rPr>
        <w:t xml:space="preserve"> ونستعرض فئات ثلاثاً لهذا المالك الظاهر</w:t>
      </w:r>
      <w:r>
        <w:rPr>
          <w:rFonts w:cs="Traditional Arabic" w:hint="cs"/>
          <w:sz w:val="28"/>
          <w:szCs w:val="32"/>
          <w:rtl/>
        </w:rPr>
        <w:t xml:space="preserve"> ،</w:t>
      </w:r>
      <w:r w:rsidRPr="00EC737F">
        <w:rPr>
          <w:rFonts w:cs="Traditional Arabic" w:hint="cs"/>
          <w:sz w:val="28"/>
          <w:szCs w:val="32"/>
          <w:rtl/>
        </w:rPr>
        <w:t xml:space="preserve"> وهم الوارث الظاهر</w:t>
      </w:r>
      <w:r>
        <w:rPr>
          <w:rFonts w:cs="Traditional Arabic" w:hint="cs"/>
          <w:sz w:val="28"/>
          <w:szCs w:val="32"/>
          <w:rtl/>
        </w:rPr>
        <w:t xml:space="preserve"> ،</w:t>
      </w:r>
      <w:r w:rsidRPr="00EC737F">
        <w:rPr>
          <w:rFonts w:cs="Traditional Arabic" w:hint="cs"/>
          <w:sz w:val="28"/>
          <w:szCs w:val="32"/>
          <w:rtl/>
        </w:rPr>
        <w:t xml:space="preserve"> والمال الظاهر بسند صوري</w:t>
      </w:r>
      <w:r>
        <w:rPr>
          <w:rFonts w:cs="Traditional Arabic" w:hint="cs"/>
          <w:sz w:val="28"/>
          <w:szCs w:val="32"/>
          <w:rtl/>
        </w:rPr>
        <w:t xml:space="preserve"> ،</w:t>
      </w:r>
      <w:r w:rsidRPr="00EC737F">
        <w:rPr>
          <w:rFonts w:cs="Traditional Arabic" w:hint="cs"/>
          <w:sz w:val="28"/>
          <w:szCs w:val="32"/>
          <w:rtl/>
        </w:rPr>
        <w:t xml:space="preserve"> والمالك الظاهر كاسم مستعار</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فالرهن الرسمي الذي يرتبه الوارث الظاهر </w:t>
      </w:r>
      <w:r>
        <w:rPr>
          <w:rFonts w:cs="Traditional Arabic" w:hint="cs"/>
          <w:sz w:val="28"/>
          <w:szCs w:val="32"/>
          <w:rtl/>
        </w:rPr>
        <w:t xml:space="preserve">( </w:t>
      </w:r>
      <w:r w:rsidRPr="00EC737F">
        <w:rPr>
          <w:rFonts w:cs="Traditional Arabic" w:hint="cs"/>
          <w:sz w:val="28"/>
          <w:szCs w:val="32"/>
          <w:rtl/>
        </w:rPr>
        <w:t>أو الموصي له الظاهر</w:t>
      </w:r>
      <w:r>
        <w:rPr>
          <w:rFonts w:cs="Traditional Arabic" w:hint="cs"/>
          <w:sz w:val="28"/>
          <w:szCs w:val="32"/>
          <w:rtl/>
        </w:rPr>
        <w:t xml:space="preserve"> )</w:t>
      </w:r>
      <w:r w:rsidRPr="00EC737F">
        <w:rPr>
          <w:rFonts w:cs="Traditional Arabic" w:hint="cs"/>
          <w:sz w:val="28"/>
          <w:szCs w:val="32"/>
          <w:rtl/>
        </w:rPr>
        <w:t xml:space="preserve"> على العقار الذي ورثه ظاهراً يكون رهناً صحيحاً</w:t>
      </w:r>
      <w:r>
        <w:rPr>
          <w:rFonts w:cs="Traditional Arabic" w:hint="cs"/>
          <w:sz w:val="28"/>
          <w:szCs w:val="32"/>
          <w:rtl/>
        </w:rPr>
        <w:t xml:space="preserve"> ،</w:t>
      </w:r>
      <w:r w:rsidRPr="00EC737F">
        <w:rPr>
          <w:rFonts w:cs="Traditional Arabic" w:hint="cs"/>
          <w:sz w:val="28"/>
          <w:szCs w:val="32"/>
          <w:rtl/>
        </w:rPr>
        <w:t xml:space="preserve"> ويجوز للدائن المرتهن أن يتمسك بهذا الرهن ما دام أنه حسن النية</w:t>
      </w:r>
      <w:r>
        <w:rPr>
          <w:rFonts w:cs="Traditional Arabic" w:hint="cs"/>
          <w:sz w:val="28"/>
          <w:szCs w:val="32"/>
          <w:rtl/>
        </w:rPr>
        <w:t xml:space="preserve"> ،</w:t>
      </w:r>
      <w:r w:rsidRPr="00EC737F">
        <w:rPr>
          <w:rFonts w:cs="Traditional Arabic" w:hint="cs"/>
          <w:sz w:val="28"/>
          <w:szCs w:val="32"/>
          <w:rtl/>
        </w:rPr>
        <w:t xml:space="preserve"> أي يعتقد وقت أن تعاقد على الرهن أن الوارث الظاهر هو الوارث الحقيقي للعقار</w:t>
      </w:r>
      <w:r>
        <w:rPr>
          <w:rFonts w:cs="Traditional Arabic" w:hint="cs"/>
          <w:sz w:val="28"/>
          <w:szCs w:val="32"/>
          <w:rtl/>
        </w:rPr>
        <w:t xml:space="preserve"> .</w:t>
      </w:r>
      <w:r w:rsidRPr="00EC737F">
        <w:rPr>
          <w:rFonts w:cs="Traditional Arabic" w:hint="cs"/>
          <w:sz w:val="28"/>
          <w:szCs w:val="32"/>
          <w:rtl/>
        </w:rPr>
        <w:t xml:space="preserve"> وله في هذه الحالة  أن يتمسك بالرهن </w:t>
      </w:r>
      <w:r w:rsidRPr="00EC737F">
        <w:rPr>
          <w:rFonts w:cs="Traditional Arabic" w:hint="cs"/>
          <w:sz w:val="28"/>
          <w:szCs w:val="32"/>
          <w:rtl/>
        </w:rPr>
        <w:lastRenderedPageBreak/>
        <w:t>ضد الوارث الحقيقي</w:t>
      </w:r>
      <w:r>
        <w:rPr>
          <w:rFonts w:cs="Traditional Arabic" w:hint="cs"/>
          <w:sz w:val="28"/>
          <w:szCs w:val="32"/>
          <w:rtl/>
        </w:rPr>
        <w:t xml:space="preserve"> ،</w:t>
      </w:r>
      <w:r w:rsidRPr="00EC737F">
        <w:rPr>
          <w:rFonts w:cs="Traditional Arabic" w:hint="cs"/>
          <w:sz w:val="28"/>
          <w:szCs w:val="32"/>
          <w:rtl/>
        </w:rPr>
        <w:t xml:space="preserve"> وأن يحتمي بالقاعدة التي تقضي بأن الغلط الشائع يولد الحق </w:t>
      </w:r>
      <w:r>
        <w:rPr>
          <w:rFonts w:cs="Traditional Arabic"/>
          <w:sz w:val="28"/>
          <w:szCs w:val="32"/>
          <w:rtl/>
        </w:rPr>
        <w:t xml:space="preserve">( </w:t>
      </w:r>
      <w:r w:rsidRPr="00EC737F">
        <w:rPr>
          <w:rFonts w:cs="Traditional Arabic"/>
          <w:sz w:val="28"/>
          <w:szCs w:val="32"/>
        </w:rPr>
        <w:t>error communis facit jus</w:t>
      </w:r>
      <w:r>
        <w:rPr>
          <w:rFonts w:cs="Traditional Arabic"/>
          <w:sz w:val="28"/>
          <w:szCs w:val="32"/>
          <w:rtl/>
        </w:rPr>
        <w:t xml:space="preserve">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68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ويختلف المالك الظاهر بسند صوري عن الوارث الظاهر في أن سند ملكية الأول هو عقد صوري يحرر به عادة سند صوري كبيع أو هبة</w:t>
      </w:r>
      <w:r>
        <w:rPr>
          <w:rFonts w:cs="Traditional Arabic" w:hint="cs"/>
          <w:sz w:val="28"/>
          <w:szCs w:val="32"/>
          <w:rtl/>
        </w:rPr>
        <w:t xml:space="preserve"> ،</w:t>
      </w:r>
      <w:r w:rsidRPr="00EC737F">
        <w:rPr>
          <w:rFonts w:cs="Traditional Arabic" w:hint="cs"/>
          <w:sz w:val="28"/>
          <w:szCs w:val="32"/>
          <w:rtl/>
        </w:rPr>
        <w:t xml:space="preserve"> في حين أن سند ملكية الآخر هو الميراث وليس حقيقياً ولكن المالك الظاهر بسند صوري كالوارث الظاهر معروف بين الناس أنه هو المالك للعقار المرهون</w:t>
      </w:r>
      <w:r>
        <w:rPr>
          <w:rFonts w:cs="Traditional Arabic" w:hint="cs"/>
          <w:sz w:val="28"/>
          <w:szCs w:val="32"/>
          <w:rtl/>
        </w:rPr>
        <w:t xml:space="preserve"> ،</w:t>
      </w:r>
      <w:r w:rsidRPr="00EC737F">
        <w:rPr>
          <w:rFonts w:cs="Traditional Arabic" w:hint="cs"/>
          <w:sz w:val="28"/>
          <w:szCs w:val="32"/>
          <w:rtl/>
        </w:rPr>
        <w:t xml:space="preserve"> ولذلك يصح تعامله مع الغير إذا كان هذا الغير وقت التعامل يعتقد بحسن نية أنه تعامل مع المالك الحقيقي للعقار</w:t>
      </w:r>
      <w:r>
        <w:rPr>
          <w:rFonts w:cs="Traditional Arabic" w:hint="cs"/>
          <w:sz w:val="28"/>
          <w:szCs w:val="32"/>
          <w:rtl/>
        </w:rPr>
        <w:t xml:space="preserve"> .</w:t>
      </w:r>
      <w:r w:rsidRPr="00EC737F">
        <w:rPr>
          <w:rFonts w:cs="Traditional Arabic" w:hint="cs"/>
          <w:sz w:val="28"/>
          <w:szCs w:val="32"/>
          <w:rtl/>
        </w:rPr>
        <w:t xml:space="preserve"> فإذا باع شخص لآخر $311 عقاراً بعقد صوري</w:t>
      </w:r>
      <w:r>
        <w:rPr>
          <w:rFonts w:cs="Traditional Arabic" w:hint="cs"/>
          <w:sz w:val="28"/>
          <w:szCs w:val="32"/>
          <w:rtl/>
        </w:rPr>
        <w:t xml:space="preserve"> ،</w:t>
      </w:r>
      <w:r w:rsidRPr="00EC737F">
        <w:rPr>
          <w:rFonts w:cs="Traditional Arabic" w:hint="cs"/>
          <w:sz w:val="28"/>
          <w:szCs w:val="32"/>
          <w:rtl/>
        </w:rPr>
        <w:t xml:space="preserve"> واحتفظ بورقة ضد </w:t>
      </w:r>
      <w:r>
        <w:rPr>
          <w:rFonts w:cs="Traditional Arabic"/>
          <w:sz w:val="28"/>
          <w:szCs w:val="32"/>
          <w:rtl/>
        </w:rPr>
        <w:t xml:space="preserve">( </w:t>
      </w:r>
      <w:r w:rsidRPr="00EC737F">
        <w:rPr>
          <w:rFonts w:cs="Traditional Arabic"/>
          <w:sz w:val="28"/>
          <w:szCs w:val="32"/>
        </w:rPr>
        <w:t>contre lettre</w:t>
      </w:r>
      <w:r>
        <w:rPr>
          <w:rFonts w:cs="Traditional Arabic"/>
          <w:sz w:val="28"/>
          <w:szCs w:val="32"/>
          <w:rtl/>
        </w:rPr>
        <w:t xml:space="preserve"> )</w:t>
      </w:r>
      <w:r w:rsidRPr="00EC737F">
        <w:rPr>
          <w:rFonts w:cs="Traditional Arabic" w:hint="cs"/>
          <w:sz w:val="28"/>
          <w:szCs w:val="32"/>
          <w:rtl/>
        </w:rPr>
        <w:t xml:space="preserve"> هي العقد الحقيقي الذي يثبت أن عقد الشراء الذي يوجد عند المشتري ليس إلا عقداً صورياً</w:t>
      </w:r>
      <w:r>
        <w:rPr>
          <w:rFonts w:cs="Traditional Arabic" w:hint="cs"/>
          <w:sz w:val="28"/>
          <w:szCs w:val="32"/>
          <w:rtl/>
        </w:rPr>
        <w:t xml:space="preserve"> ،</w:t>
      </w:r>
      <w:r w:rsidRPr="00EC737F">
        <w:rPr>
          <w:rFonts w:cs="Traditional Arabic" w:hint="cs"/>
          <w:sz w:val="28"/>
          <w:szCs w:val="32"/>
          <w:rtl/>
        </w:rPr>
        <w:t xml:space="preserve"> فإن المشتري يعتبر مع ذلك في نظر الناس أنه قد اشترى العقار</w:t>
      </w:r>
      <w:r>
        <w:rPr>
          <w:rFonts w:cs="Traditional Arabic" w:hint="cs"/>
          <w:sz w:val="28"/>
          <w:szCs w:val="32"/>
          <w:rtl/>
        </w:rPr>
        <w:t xml:space="preserve"> ،</w:t>
      </w:r>
      <w:r w:rsidRPr="00EC737F">
        <w:rPr>
          <w:rFonts w:cs="Traditional Arabic" w:hint="cs"/>
          <w:sz w:val="28"/>
          <w:szCs w:val="32"/>
          <w:rtl/>
        </w:rPr>
        <w:t xml:space="preserve"> وأنه قد ملكه إذا كان  قد سجل عقد الشراء</w:t>
      </w:r>
      <w:r>
        <w:rPr>
          <w:rFonts w:cs="Traditional Arabic" w:hint="cs"/>
          <w:sz w:val="28"/>
          <w:szCs w:val="32"/>
          <w:rtl/>
        </w:rPr>
        <w:t xml:space="preserve"> .</w:t>
      </w:r>
      <w:r w:rsidRPr="00EC737F">
        <w:rPr>
          <w:rFonts w:cs="Traditional Arabic" w:hint="cs"/>
          <w:sz w:val="28"/>
          <w:szCs w:val="32"/>
          <w:rtl/>
        </w:rPr>
        <w:t xml:space="preserve"> من يتقدم إلى هذا المشتري ليتعامل بحسن نية معه في العقار</w:t>
      </w:r>
      <w:r>
        <w:rPr>
          <w:rFonts w:cs="Traditional Arabic" w:hint="cs"/>
          <w:sz w:val="28"/>
          <w:szCs w:val="32"/>
          <w:rtl/>
        </w:rPr>
        <w:t xml:space="preserve"> ،</w:t>
      </w:r>
      <w:r w:rsidRPr="00EC737F">
        <w:rPr>
          <w:rFonts w:cs="Traditional Arabic" w:hint="cs"/>
          <w:sz w:val="28"/>
          <w:szCs w:val="32"/>
          <w:rtl/>
        </w:rPr>
        <w:t xml:space="preserve"> كأن يرتهنه منه</w:t>
      </w:r>
      <w:r>
        <w:rPr>
          <w:rFonts w:cs="Traditional Arabic" w:hint="cs"/>
          <w:sz w:val="28"/>
          <w:szCs w:val="32"/>
          <w:rtl/>
        </w:rPr>
        <w:t xml:space="preserve"> ،</w:t>
      </w:r>
      <w:r w:rsidRPr="00EC737F">
        <w:rPr>
          <w:rFonts w:cs="Traditional Arabic" w:hint="cs"/>
          <w:sz w:val="28"/>
          <w:szCs w:val="32"/>
          <w:rtl/>
        </w:rPr>
        <w:t xml:space="preserve"> يجب أن يحمي وإن كان قد ارتهن العقار من غير مالك</w:t>
      </w:r>
      <w:r>
        <w:rPr>
          <w:rFonts w:cs="Traditional Arabic" w:hint="cs"/>
          <w:sz w:val="28"/>
          <w:szCs w:val="32"/>
          <w:rtl/>
        </w:rPr>
        <w:t xml:space="preserve"> .</w:t>
      </w:r>
      <w:r w:rsidRPr="00EC737F">
        <w:rPr>
          <w:rFonts w:cs="Traditional Arabic" w:hint="cs"/>
          <w:sz w:val="28"/>
          <w:szCs w:val="32"/>
          <w:rtl/>
        </w:rPr>
        <w:t xml:space="preserve"> ولا يجوز تطبق قواعد رهن ملك الغير في هذه الحالة</w:t>
      </w:r>
      <w:r>
        <w:rPr>
          <w:rFonts w:cs="Traditional Arabic" w:hint="cs"/>
          <w:sz w:val="28"/>
          <w:szCs w:val="32"/>
          <w:rtl/>
        </w:rPr>
        <w:t xml:space="preserve"> ،</w:t>
      </w:r>
      <w:r w:rsidRPr="00EC737F">
        <w:rPr>
          <w:rFonts w:cs="Traditional Arabic" w:hint="cs"/>
          <w:sz w:val="28"/>
          <w:szCs w:val="32"/>
          <w:rtl/>
        </w:rPr>
        <w:t xml:space="preserve"> بل يجب اعتبار الرهن صحيحاً كأنه صادر من المالك</w:t>
      </w:r>
      <w:r>
        <w:rPr>
          <w:rFonts w:cs="Traditional Arabic" w:hint="cs"/>
          <w:sz w:val="28"/>
          <w:szCs w:val="32"/>
          <w:rtl/>
        </w:rPr>
        <w:t xml:space="preserve"> .</w:t>
      </w:r>
      <w:r w:rsidRPr="00EC737F">
        <w:rPr>
          <w:rFonts w:cs="Traditional Arabic" w:hint="cs"/>
          <w:sz w:val="28"/>
          <w:szCs w:val="32"/>
          <w:rtl/>
        </w:rPr>
        <w:t xml:space="preserve"> وقد نصت المادة 244 مدني في هذا الصدد على أنه "1- إذا أبرم عقد صوري</w:t>
      </w:r>
      <w:r>
        <w:rPr>
          <w:rFonts w:cs="Traditional Arabic" w:hint="cs"/>
          <w:sz w:val="28"/>
          <w:szCs w:val="32"/>
          <w:rtl/>
        </w:rPr>
        <w:t xml:space="preserve"> ،</w:t>
      </w:r>
      <w:r w:rsidRPr="00EC737F">
        <w:rPr>
          <w:rFonts w:cs="Traditional Arabic" w:hint="cs"/>
          <w:sz w:val="28"/>
          <w:szCs w:val="32"/>
          <w:rtl/>
        </w:rPr>
        <w:t xml:space="preserve"> فلدائني المتعاقدين وللخلف الخاص</w:t>
      </w:r>
      <w:r>
        <w:rPr>
          <w:rFonts w:cs="Traditional Arabic" w:hint="cs"/>
          <w:sz w:val="28"/>
          <w:szCs w:val="32"/>
          <w:rtl/>
        </w:rPr>
        <w:t xml:space="preserve"> ،</w:t>
      </w:r>
      <w:r w:rsidRPr="00EC737F">
        <w:rPr>
          <w:rFonts w:cs="Traditional Arabic" w:hint="cs"/>
          <w:sz w:val="28"/>
          <w:szCs w:val="32"/>
          <w:rtl/>
        </w:rPr>
        <w:t xml:space="preserve"> متى كانوا حسنى النية</w:t>
      </w:r>
      <w:r>
        <w:rPr>
          <w:rFonts w:cs="Traditional Arabic" w:hint="cs"/>
          <w:sz w:val="28"/>
          <w:szCs w:val="32"/>
          <w:rtl/>
        </w:rPr>
        <w:t xml:space="preserve"> ،</w:t>
      </w:r>
      <w:r w:rsidRPr="00EC737F">
        <w:rPr>
          <w:rFonts w:cs="Traditional Arabic" w:hint="cs"/>
          <w:sz w:val="28"/>
          <w:szCs w:val="32"/>
          <w:rtl/>
        </w:rPr>
        <w:t xml:space="preserve"> أن يتمسكوا بالعقد الصوري</w:t>
      </w:r>
      <w:r>
        <w:rPr>
          <w:rFonts w:cs="Traditional Arabic" w:hint="cs"/>
          <w:sz w:val="28"/>
          <w:szCs w:val="32"/>
          <w:rtl/>
        </w:rPr>
        <w:t xml:space="preserve"> .</w:t>
      </w:r>
      <w:r w:rsidRPr="00EC737F">
        <w:rPr>
          <w:rFonts w:cs="Traditional Arabic" w:hint="cs"/>
          <w:sz w:val="28"/>
          <w:szCs w:val="32"/>
          <w:rtl/>
        </w:rPr>
        <w:t xml:space="preserve"> 2- وإذا تعارض مصالح ذوي الشأن</w:t>
      </w:r>
      <w:r>
        <w:rPr>
          <w:rFonts w:cs="Traditional Arabic" w:hint="cs"/>
          <w:sz w:val="28"/>
          <w:szCs w:val="32"/>
          <w:rtl/>
        </w:rPr>
        <w:t xml:space="preserve"> ،</w:t>
      </w:r>
      <w:r w:rsidRPr="00EC737F">
        <w:rPr>
          <w:rFonts w:cs="Traditional Arabic" w:hint="cs"/>
          <w:sz w:val="28"/>
          <w:szCs w:val="32"/>
          <w:rtl/>
        </w:rPr>
        <w:t xml:space="preserve"> فتمسك بعضهم بالعقد الظاهر وتمسك الآخرون بالعقد المستتر</w:t>
      </w:r>
      <w:r>
        <w:rPr>
          <w:rFonts w:cs="Traditional Arabic" w:hint="cs"/>
          <w:sz w:val="28"/>
          <w:szCs w:val="32"/>
          <w:rtl/>
        </w:rPr>
        <w:t xml:space="preserve"> ،</w:t>
      </w:r>
      <w:r w:rsidRPr="00EC737F">
        <w:rPr>
          <w:rFonts w:cs="Traditional Arabic" w:hint="cs"/>
          <w:sz w:val="28"/>
          <w:szCs w:val="32"/>
          <w:rtl/>
        </w:rPr>
        <w:t xml:space="preserve"> كانت الأفضلية للأولين"</w:t>
      </w:r>
      <w:r>
        <w:rPr>
          <w:rFonts w:cs="Traditional Arabic" w:hint="cs"/>
          <w:sz w:val="28"/>
          <w:szCs w:val="32"/>
          <w:rtl/>
        </w:rPr>
        <w:t xml:space="preserve"> .</w:t>
      </w:r>
      <w:r w:rsidRPr="00EC737F">
        <w:rPr>
          <w:rFonts w:cs="Traditional Arabic" w:hint="cs"/>
          <w:sz w:val="28"/>
          <w:szCs w:val="32"/>
          <w:rtl/>
        </w:rPr>
        <w:t xml:space="preserve"> ونرى من ذلك أن المالك الظاهر بسند صوري من حق الناس حسني النية أن يعتبروا </w:t>
      </w:r>
      <w:r w:rsidRPr="00EC737F">
        <w:rPr>
          <w:rFonts w:cs="Traditional Arabic" w:hint="cs"/>
          <w:sz w:val="28"/>
          <w:szCs w:val="32"/>
          <w:rtl/>
        </w:rPr>
        <w:lastRenderedPageBreak/>
        <w:t>أنه هو المالك الحقيقي</w:t>
      </w:r>
      <w:r>
        <w:rPr>
          <w:rFonts w:cs="Traditional Arabic" w:hint="cs"/>
          <w:sz w:val="28"/>
          <w:szCs w:val="32"/>
          <w:rtl/>
        </w:rPr>
        <w:t xml:space="preserve"> ،</w:t>
      </w:r>
      <w:r w:rsidRPr="00EC737F">
        <w:rPr>
          <w:rFonts w:cs="Traditional Arabic" w:hint="cs"/>
          <w:sz w:val="28"/>
          <w:szCs w:val="32"/>
          <w:rtl/>
        </w:rPr>
        <w:t xml:space="preserve"> وأن يتعاملوا معه على هذا الأساس</w:t>
      </w:r>
      <w:r>
        <w:rPr>
          <w:rFonts w:cs="Traditional Arabic" w:hint="cs"/>
          <w:sz w:val="28"/>
          <w:szCs w:val="32"/>
          <w:rtl/>
        </w:rPr>
        <w:t xml:space="preserve"> ،</w:t>
      </w:r>
      <w:r w:rsidRPr="00EC737F">
        <w:rPr>
          <w:rFonts w:cs="Traditional Arabic" w:hint="cs"/>
          <w:sz w:val="28"/>
          <w:szCs w:val="32"/>
          <w:rtl/>
        </w:rPr>
        <w:t xml:space="preserve"> فإذا تقدم شخص حسن النية وارتهن العقا رمن المالك الظاهر بسند صوري</w:t>
      </w:r>
      <w:r>
        <w:rPr>
          <w:rFonts w:cs="Traditional Arabic" w:hint="cs"/>
          <w:sz w:val="28"/>
          <w:szCs w:val="32"/>
          <w:rtl/>
        </w:rPr>
        <w:t xml:space="preserve"> ،</w:t>
      </w:r>
      <w:r w:rsidRPr="00EC737F">
        <w:rPr>
          <w:rFonts w:cs="Traditional Arabic" w:hint="cs"/>
          <w:sz w:val="28"/>
          <w:szCs w:val="32"/>
          <w:rtl/>
        </w:rPr>
        <w:t xml:space="preserve"> كان الرهن صحيحاً كما قدمنا</w:t>
      </w:r>
      <w:r>
        <w:rPr>
          <w:rFonts w:cs="Traditional Arabic" w:hint="cs"/>
          <w:sz w:val="28"/>
          <w:szCs w:val="32"/>
          <w:rtl/>
        </w:rPr>
        <w:t xml:space="preserve"> ،</w:t>
      </w:r>
      <w:r w:rsidRPr="00EC737F">
        <w:rPr>
          <w:rFonts w:cs="Traditional Arabic" w:hint="cs"/>
          <w:sz w:val="28"/>
          <w:szCs w:val="32"/>
          <w:rtl/>
        </w:rPr>
        <w:t xml:space="preserve"> وجاز للدائن المرتهن أن يتمسك بهذا الرهن</w:t>
      </w:r>
      <w:r>
        <w:rPr>
          <w:rFonts w:cs="Traditional Arabic" w:hint="cs"/>
          <w:sz w:val="28"/>
          <w:szCs w:val="32"/>
          <w:rtl/>
        </w:rPr>
        <w:t xml:space="preserve"> ،</w:t>
      </w:r>
      <w:r w:rsidRPr="00EC737F">
        <w:rPr>
          <w:rFonts w:cs="Traditional Arabic" w:hint="cs"/>
          <w:sz w:val="28"/>
          <w:szCs w:val="32"/>
          <w:rtl/>
        </w:rPr>
        <w:t xml:space="preserve"> لا قبل المالك الظاهر وحده</w:t>
      </w:r>
      <w:r>
        <w:rPr>
          <w:rFonts w:cs="Traditional Arabic" w:hint="cs"/>
          <w:sz w:val="28"/>
          <w:szCs w:val="32"/>
          <w:rtl/>
        </w:rPr>
        <w:t xml:space="preserve"> ،</w:t>
      </w:r>
      <w:r w:rsidRPr="00EC737F">
        <w:rPr>
          <w:rFonts w:cs="Traditional Arabic" w:hint="cs"/>
          <w:sz w:val="28"/>
          <w:szCs w:val="32"/>
          <w:rtl/>
        </w:rPr>
        <w:t xml:space="preserve"> بل أيضاً قبل المالك الحقيقي ومن تعامل معه</w:t>
      </w:r>
      <w:r>
        <w:rPr>
          <w:rFonts w:cs="Traditional Arabic" w:hint="cs"/>
          <w:sz w:val="28"/>
          <w:szCs w:val="32"/>
          <w:rtl/>
        </w:rPr>
        <w:t xml:space="preserve"> .</w:t>
      </w:r>
      <w:r w:rsidRPr="00EC737F">
        <w:rPr>
          <w:rFonts w:cs="Traditional Arabic" w:hint="cs"/>
          <w:sz w:val="28"/>
          <w:szCs w:val="32"/>
          <w:rtl/>
        </w:rPr>
        <w:t xml:space="preserve"> فإذا رهن المالك الحقيقي العقار</w:t>
      </w:r>
      <w:r>
        <w:rPr>
          <w:rFonts w:cs="Traditional Arabic" w:hint="cs"/>
          <w:sz w:val="28"/>
          <w:szCs w:val="32"/>
          <w:rtl/>
        </w:rPr>
        <w:t xml:space="preserve"> ،</w:t>
      </w:r>
      <w:r w:rsidRPr="00EC737F">
        <w:rPr>
          <w:rFonts w:cs="Traditional Arabic" w:hint="cs"/>
          <w:sz w:val="28"/>
          <w:szCs w:val="32"/>
          <w:rtl/>
        </w:rPr>
        <w:t xml:space="preserve"> ولو لشخص حسن النية</w:t>
      </w:r>
      <w:r>
        <w:rPr>
          <w:rFonts w:cs="Traditional Arabic" w:hint="cs"/>
          <w:sz w:val="28"/>
          <w:szCs w:val="32"/>
          <w:rtl/>
        </w:rPr>
        <w:t xml:space="preserve"> ،</w:t>
      </w:r>
      <w:r w:rsidRPr="00EC737F">
        <w:rPr>
          <w:rFonts w:cs="Traditional Arabic" w:hint="cs"/>
          <w:sz w:val="28"/>
          <w:szCs w:val="32"/>
          <w:rtl/>
        </w:rPr>
        <w:t xml:space="preserve"> فإن الدائن المرتهن من المالك الصوري هو الذي يصح رهنه</w:t>
      </w:r>
      <w:r>
        <w:rPr>
          <w:rFonts w:cs="Traditional Arabic" w:hint="cs"/>
          <w:sz w:val="28"/>
          <w:szCs w:val="32"/>
          <w:vertAlign w:val="superscript"/>
          <w:rtl/>
        </w:rPr>
        <w:t xml:space="preserve">( </w:t>
      </w:r>
      <w:r w:rsidRPr="00EC737F">
        <w:rPr>
          <w:rStyle w:val="ab"/>
          <w:rFonts w:cs="Traditional Arabic"/>
          <w:sz w:val="28"/>
          <w:szCs w:val="32"/>
          <w:rtl/>
        </w:rPr>
        <w:footnoteReference w:id="68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بقي الاسم المستعار</w:t>
      </w:r>
      <w:r>
        <w:rPr>
          <w:rFonts w:cs="Traditional Arabic" w:hint="cs"/>
          <w:sz w:val="28"/>
          <w:szCs w:val="32"/>
          <w:rtl/>
        </w:rPr>
        <w:t xml:space="preserve"> ،</w:t>
      </w:r>
      <w:r w:rsidRPr="00EC737F">
        <w:rPr>
          <w:rFonts w:cs="Traditional Arabic" w:hint="cs"/>
          <w:sz w:val="28"/>
          <w:szCs w:val="32"/>
          <w:rtl/>
        </w:rPr>
        <w:t xml:space="preserve"> وهذا أيضاً مالك ظاهر ويس بمالك حقيقي</w:t>
      </w:r>
      <w:r>
        <w:rPr>
          <w:rFonts w:cs="Traditional Arabic" w:hint="cs"/>
          <w:sz w:val="28"/>
          <w:szCs w:val="32"/>
          <w:rtl/>
        </w:rPr>
        <w:t xml:space="preserve"> .</w:t>
      </w:r>
      <w:r w:rsidRPr="00EC737F">
        <w:rPr>
          <w:rFonts w:cs="Traditional Arabic" w:hint="cs"/>
          <w:sz w:val="28"/>
          <w:szCs w:val="32"/>
          <w:rtl/>
        </w:rPr>
        <w:t xml:space="preserve"> فإذا $312 أعطي شخص لآخر توكيلا لشراء منزل له فاشتراه الوكيل باسمه هو لا باسم موكله متفقاً معه على ذلك</w:t>
      </w:r>
      <w:r>
        <w:rPr>
          <w:rFonts w:cs="Traditional Arabic" w:hint="cs"/>
          <w:sz w:val="28"/>
          <w:szCs w:val="32"/>
          <w:rtl/>
        </w:rPr>
        <w:t xml:space="preserve"> ،</w:t>
      </w:r>
      <w:r w:rsidRPr="00EC737F">
        <w:rPr>
          <w:rFonts w:cs="Traditional Arabic" w:hint="cs"/>
          <w:sz w:val="28"/>
          <w:szCs w:val="32"/>
          <w:rtl/>
        </w:rPr>
        <w:t xml:space="preserve"> فإن الوكيل يصبح مالكاً للمنزل أمام الناس</w:t>
      </w:r>
      <w:r>
        <w:rPr>
          <w:rFonts w:cs="Traditional Arabic" w:hint="cs"/>
          <w:sz w:val="28"/>
          <w:szCs w:val="32"/>
          <w:rtl/>
        </w:rPr>
        <w:t xml:space="preserve"> ،</w:t>
      </w:r>
      <w:r w:rsidRPr="00EC737F">
        <w:rPr>
          <w:rFonts w:cs="Traditional Arabic" w:hint="cs"/>
          <w:sz w:val="28"/>
          <w:szCs w:val="32"/>
          <w:rtl/>
        </w:rPr>
        <w:t xml:space="preserve"> وهو اسم مستعار </w:t>
      </w:r>
      <w:r>
        <w:rPr>
          <w:rFonts w:cs="Traditional Arabic"/>
          <w:sz w:val="28"/>
          <w:szCs w:val="32"/>
          <w:rtl/>
        </w:rPr>
        <w:t xml:space="preserve">( </w:t>
      </w:r>
      <w:r w:rsidRPr="00EC737F">
        <w:rPr>
          <w:rFonts w:cs="Traditional Arabic"/>
          <w:sz w:val="28"/>
          <w:szCs w:val="32"/>
        </w:rPr>
        <w:t>prete – non</w:t>
      </w:r>
      <w:r>
        <w:rPr>
          <w:rFonts w:cs="Traditional Arabic"/>
          <w:sz w:val="28"/>
          <w:szCs w:val="32"/>
          <w:rtl/>
        </w:rPr>
        <w:t xml:space="preserve"> )</w:t>
      </w:r>
      <w:r w:rsidRPr="00EC737F">
        <w:rPr>
          <w:rFonts w:cs="Traditional Arabic" w:hint="cs"/>
          <w:sz w:val="28"/>
          <w:szCs w:val="32"/>
          <w:rtl/>
        </w:rPr>
        <w:t xml:space="preserve"> لا مالك حقيقي</w:t>
      </w:r>
      <w:r>
        <w:rPr>
          <w:rFonts w:cs="Traditional Arabic" w:hint="cs"/>
          <w:sz w:val="28"/>
          <w:szCs w:val="32"/>
          <w:rtl/>
        </w:rPr>
        <w:t xml:space="preserve"> .</w:t>
      </w:r>
      <w:r w:rsidRPr="00EC737F">
        <w:rPr>
          <w:rFonts w:cs="Traditional Arabic" w:hint="cs"/>
          <w:sz w:val="28"/>
          <w:szCs w:val="32"/>
          <w:rtl/>
        </w:rPr>
        <w:t xml:space="preserve"> فإذا تعامل معه شخص حسن النية يعتقد أنه هو المالك</w:t>
      </w:r>
      <w:r>
        <w:rPr>
          <w:rFonts w:cs="Traditional Arabic" w:hint="cs"/>
          <w:sz w:val="28"/>
          <w:szCs w:val="32"/>
          <w:rtl/>
        </w:rPr>
        <w:t xml:space="preserve"> ،</w:t>
      </w:r>
      <w:r w:rsidRPr="00EC737F">
        <w:rPr>
          <w:rFonts w:cs="Traditional Arabic" w:hint="cs"/>
          <w:sz w:val="28"/>
          <w:szCs w:val="32"/>
          <w:rtl/>
        </w:rPr>
        <w:t xml:space="preserve"> وارتهن منه المنزل</w:t>
      </w:r>
      <w:r>
        <w:rPr>
          <w:rFonts w:cs="Traditional Arabic" w:hint="cs"/>
          <w:sz w:val="28"/>
          <w:szCs w:val="32"/>
          <w:rtl/>
        </w:rPr>
        <w:t xml:space="preserve"> ،</w:t>
      </w:r>
      <w:r w:rsidRPr="00EC737F">
        <w:rPr>
          <w:rFonts w:cs="Traditional Arabic" w:hint="cs"/>
          <w:sz w:val="28"/>
          <w:szCs w:val="32"/>
          <w:rtl/>
        </w:rPr>
        <w:t xml:space="preserve"> فإن الرهن يكون صحيحاً</w:t>
      </w:r>
      <w:r>
        <w:rPr>
          <w:rFonts w:cs="Traditional Arabic" w:hint="cs"/>
          <w:sz w:val="28"/>
          <w:szCs w:val="32"/>
          <w:rtl/>
        </w:rPr>
        <w:t xml:space="preserve"> ،</w:t>
      </w:r>
      <w:r w:rsidRPr="00EC737F">
        <w:rPr>
          <w:rFonts w:cs="Traditional Arabic" w:hint="cs"/>
          <w:sz w:val="28"/>
          <w:szCs w:val="32"/>
          <w:rtl/>
        </w:rPr>
        <w:t xml:space="preserve"> ويستطيع أن يتمسك به الدائن المرتهن قبل الاسم المستعار وقبل المالك الحقيقي ومن يخلفه لنفس الاعتبارات التي ذكرناها</w:t>
      </w:r>
      <w:r>
        <w:rPr>
          <w:rFonts w:cs="Traditional Arabic" w:hint="cs"/>
          <w:sz w:val="28"/>
          <w:szCs w:val="32"/>
          <w:vertAlign w:val="superscript"/>
          <w:rtl/>
        </w:rPr>
        <w:t xml:space="preserve">( </w:t>
      </w:r>
      <w:r w:rsidRPr="00EC737F">
        <w:rPr>
          <w:rStyle w:val="ab"/>
          <w:rFonts w:cs="Traditional Arabic"/>
          <w:sz w:val="28"/>
          <w:szCs w:val="32"/>
          <w:rtl/>
        </w:rPr>
        <w:footnoteReference w:id="68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ولكن مالك العقار يستطيع</w:t>
      </w:r>
      <w:r>
        <w:rPr>
          <w:rFonts w:cs="Traditional Arabic" w:hint="cs"/>
          <w:sz w:val="28"/>
          <w:szCs w:val="32"/>
          <w:rtl/>
        </w:rPr>
        <w:t xml:space="preserve"> ،</w:t>
      </w:r>
      <w:r w:rsidRPr="00EC737F">
        <w:rPr>
          <w:rFonts w:cs="Traditional Arabic" w:hint="cs"/>
          <w:sz w:val="28"/>
          <w:szCs w:val="32"/>
          <w:rtl/>
        </w:rPr>
        <w:t xml:space="preserve"> إذا باعه ولم يسجل البيع</w:t>
      </w:r>
      <w:r>
        <w:rPr>
          <w:rFonts w:cs="Traditional Arabic" w:hint="cs"/>
          <w:sz w:val="28"/>
          <w:szCs w:val="32"/>
          <w:rtl/>
        </w:rPr>
        <w:t xml:space="preserve"> ،</w:t>
      </w:r>
      <w:r w:rsidRPr="00EC737F">
        <w:rPr>
          <w:rFonts w:cs="Traditional Arabic" w:hint="cs"/>
          <w:sz w:val="28"/>
          <w:szCs w:val="32"/>
          <w:rtl/>
        </w:rPr>
        <w:t xml:space="preserve"> أن يرهن العقار لأنه لا يزال مالكاً له</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ويكون الرهن صحيحاً إذا قيد قبل أن يسجل البيع</w:t>
      </w:r>
      <w:r>
        <w:rPr>
          <w:rFonts w:cs="Traditional Arabic" w:hint="cs"/>
          <w:sz w:val="28"/>
          <w:szCs w:val="32"/>
          <w:vertAlign w:val="superscript"/>
          <w:rtl/>
        </w:rPr>
        <w:t xml:space="preserve">( </w:t>
      </w:r>
      <w:r w:rsidRPr="00EC737F">
        <w:rPr>
          <w:rStyle w:val="ab"/>
          <w:rFonts w:cs="Traditional Arabic"/>
          <w:sz w:val="28"/>
          <w:szCs w:val="32"/>
          <w:rtl/>
        </w:rPr>
        <w:footnoteReference w:id="68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141- رهن المشتري للعقار قبل تسجيل عقد شرائه</w:t>
      </w:r>
      <w:r>
        <w:rPr>
          <w:rFonts w:cs="Traditional Arabic" w:hint="cs"/>
          <w:sz w:val="28"/>
          <w:szCs w:val="32"/>
          <w:rtl/>
        </w:rPr>
        <w:t xml:space="preserve"> :</w:t>
      </w:r>
      <w:r w:rsidRPr="00EC737F">
        <w:rPr>
          <w:rFonts w:cs="Traditional Arabic" w:hint="cs"/>
          <w:sz w:val="28"/>
          <w:szCs w:val="32"/>
          <w:rtl/>
        </w:rPr>
        <w:t xml:space="preserve"> وإذا اشترى شخص عقاراً ولم يسجل عقد الشراء</w:t>
      </w:r>
      <w:r>
        <w:rPr>
          <w:rFonts w:cs="Traditional Arabic" w:hint="cs"/>
          <w:sz w:val="28"/>
          <w:szCs w:val="32"/>
          <w:rtl/>
        </w:rPr>
        <w:t xml:space="preserve"> ،</w:t>
      </w:r>
      <w:r w:rsidRPr="00EC737F">
        <w:rPr>
          <w:rFonts w:cs="Traditional Arabic" w:hint="cs"/>
          <w:sz w:val="28"/>
          <w:szCs w:val="32"/>
          <w:rtl/>
        </w:rPr>
        <w:t xml:space="preserve"> فإن ملكية العقار لا تنتقل إليه لعدم التسجيل</w:t>
      </w:r>
      <w:r>
        <w:rPr>
          <w:rFonts w:cs="Traditional Arabic" w:hint="cs"/>
          <w:sz w:val="28"/>
          <w:szCs w:val="32"/>
          <w:rtl/>
        </w:rPr>
        <w:t xml:space="preserve"> .</w:t>
      </w:r>
      <w:r w:rsidRPr="00EC737F">
        <w:rPr>
          <w:rFonts w:cs="Traditional Arabic" w:hint="cs"/>
          <w:sz w:val="28"/>
          <w:szCs w:val="32"/>
          <w:rtl/>
        </w:rPr>
        <w:t xml:space="preserve"> فإذا رهن المشتري العقار قبل التسجيل</w:t>
      </w:r>
      <w:r>
        <w:rPr>
          <w:rFonts w:cs="Traditional Arabic" w:hint="cs"/>
          <w:sz w:val="28"/>
          <w:szCs w:val="32"/>
          <w:rtl/>
        </w:rPr>
        <w:t xml:space="preserve"> ،</w:t>
      </w:r>
      <w:r w:rsidRPr="00EC737F">
        <w:rPr>
          <w:rFonts w:cs="Traditional Arabic" w:hint="cs"/>
          <w:sz w:val="28"/>
          <w:szCs w:val="32"/>
          <w:rtl/>
        </w:rPr>
        <w:t xml:space="preserve"> فإن الرهن يعتبر صادراً من غير مالك</w:t>
      </w:r>
      <w:r>
        <w:rPr>
          <w:rFonts w:cs="Traditional Arabic" w:hint="cs"/>
          <w:sz w:val="28"/>
          <w:szCs w:val="32"/>
          <w:rtl/>
        </w:rPr>
        <w:t xml:space="preserve"> ،</w:t>
      </w:r>
      <w:r w:rsidRPr="00EC737F">
        <w:rPr>
          <w:rFonts w:cs="Traditional Arabic" w:hint="cs"/>
          <w:sz w:val="28"/>
          <w:szCs w:val="32"/>
          <w:rtl/>
        </w:rPr>
        <w:t xml:space="preserve"> ويكون قابلا للإبطال باعتباره رهناً لملك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68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$313 وعلى ذلك يجوز للدائن المرتهن أن يطلب إبطال العقد فيعتبر كأن لم يكن</w:t>
      </w:r>
      <w:r>
        <w:rPr>
          <w:rFonts w:cs="Traditional Arabic" w:hint="cs"/>
          <w:sz w:val="28"/>
          <w:szCs w:val="32"/>
          <w:rtl/>
        </w:rPr>
        <w:t xml:space="preserve"> ،</w:t>
      </w:r>
      <w:r w:rsidRPr="00EC737F">
        <w:rPr>
          <w:rFonts w:cs="Traditional Arabic" w:hint="cs"/>
          <w:sz w:val="28"/>
          <w:szCs w:val="32"/>
          <w:rtl/>
        </w:rPr>
        <w:t xml:space="preserve"> ومن ثم يجوز لهذا الدائن أن يطلب فسخ عقد الدين إذا كان الرهن شرطاً جوهرياً فيه</w:t>
      </w:r>
      <w:r>
        <w:rPr>
          <w:rFonts w:cs="Traditional Arabic" w:hint="cs"/>
          <w:sz w:val="28"/>
          <w:szCs w:val="32"/>
          <w:rtl/>
        </w:rPr>
        <w:t xml:space="preserve"> .</w:t>
      </w:r>
      <w:r w:rsidRPr="00EC737F">
        <w:rPr>
          <w:rFonts w:cs="Traditional Arabic" w:hint="cs"/>
          <w:sz w:val="28"/>
          <w:szCs w:val="32"/>
          <w:rtl/>
        </w:rPr>
        <w:t xml:space="preserve"> ويجوز أيضاً</w:t>
      </w:r>
      <w:r>
        <w:rPr>
          <w:rFonts w:cs="Traditional Arabic" w:hint="cs"/>
          <w:sz w:val="28"/>
          <w:szCs w:val="32"/>
          <w:rtl/>
        </w:rPr>
        <w:t xml:space="preserve"> ،</w:t>
      </w:r>
      <w:r w:rsidRPr="00EC737F">
        <w:rPr>
          <w:rFonts w:cs="Traditional Arabic" w:hint="cs"/>
          <w:sz w:val="28"/>
          <w:szCs w:val="32"/>
          <w:rtl/>
        </w:rPr>
        <w:t xml:space="preserve"> إذا أقر مالك العقار </w:t>
      </w:r>
      <w:r>
        <w:rPr>
          <w:rFonts w:cs="Traditional Arabic" w:hint="cs"/>
          <w:sz w:val="28"/>
          <w:szCs w:val="32"/>
          <w:rtl/>
        </w:rPr>
        <w:t xml:space="preserve">( </w:t>
      </w:r>
      <w:r w:rsidRPr="00EC737F">
        <w:rPr>
          <w:rFonts w:cs="Traditional Arabic" w:hint="cs"/>
          <w:sz w:val="28"/>
          <w:szCs w:val="32"/>
          <w:rtl/>
        </w:rPr>
        <w:t>وهو البائع له قبل تسجيل البيع</w:t>
      </w:r>
      <w:r>
        <w:rPr>
          <w:rFonts w:cs="Traditional Arabic" w:hint="cs"/>
          <w:sz w:val="28"/>
          <w:szCs w:val="32"/>
          <w:rtl/>
        </w:rPr>
        <w:t xml:space="preserve"> )</w:t>
      </w:r>
      <w:r w:rsidRPr="00EC737F">
        <w:rPr>
          <w:rFonts w:cs="Traditional Arabic" w:hint="cs"/>
          <w:sz w:val="28"/>
          <w:szCs w:val="32"/>
          <w:rtl/>
        </w:rPr>
        <w:t xml:space="preserve"> الرهن</w:t>
      </w:r>
      <w:r>
        <w:rPr>
          <w:rFonts w:cs="Traditional Arabic" w:hint="cs"/>
          <w:sz w:val="28"/>
          <w:szCs w:val="32"/>
          <w:rtl/>
        </w:rPr>
        <w:t xml:space="preserve"> ،</w:t>
      </w:r>
      <w:r w:rsidRPr="00EC737F">
        <w:rPr>
          <w:rFonts w:cs="Traditional Arabic" w:hint="cs"/>
          <w:sz w:val="28"/>
          <w:szCs w:val="32"/>
          <w:rtl/>
        </w:rPr>
        <w:t xml:space="preserve"> أن ينقلب عقد الرهن صحيحاً</w:t>
      </w:r>
      <w:r>
        <w:rPr>
          <w:rFonts w:cs="Traditional Arabic" w:hint="cs"/>
          <w:sz w:val="28"/>
          <w:szCs w:val="32"/>
          <w:rtl/>
        </w:rPr>
        <w:t xml:space="preserve"> ،</w:t>
      </w:r>
      <w:r w:rsidRPr="00EC737F">
        <w:rPr>
          <w:rFonts w:cs="Traditional Arabic" w:hint="cs"/>
          <w:sz w:val="28"/>
          <w:szCs w:val="32"/>
          <w:rtl/>
        </w:rPr>
        <w:t xml:space="preserve"> وأن ينشأ حق الرهن لصالح الدائن المرتهن</w:t>
      </w:r>
      <w:r>
        <w:rPr>
          <w:rFonts w:cs="Traditional Arabic" w:hint="cs"/>
          <w:sz w:val="28"/>
          <w:szCs w:val="32"/>
          <w:rtl/>
        </w:rPr>
        <w:t xml:space="preserve"> .</w:t>
      </w:r>
      <w:r w:rsidRPr="00EC737F">
        <w:rPr>
          <w:rFonts w:cs="Traditional Arabic" w:hint="cs"/>
          <w:sz w:val="28"/>
          <w:szCs w:val="32"/>
          <w:rtl/>
        </w:rPr>
        <w:t xml:space="preserve"> ويجوز أخيرا</w:t>
      </w:r>
      <w:r>
        <w:rPr>
          <w:rFonts w:cs="Traditional Arabic" w:hint="cs"/>
          <w:sz w:val="28"/>
          <w:szCs w:val="32"/>
          <w:rtl/>
        </w:rPr>
        <w:t xml:space="preserve"> ،</w:t>
      </w:r>
      <w:r w:rsidRPr="00EC737F">
        <w:rPr>
          <w:rFonts w:cs="Traditional Arabic" w:hint="cs"/>
          <w:sz w:val="28"/>
          <w:szCs w:val="32"/>
          <w:rtl/>
        </w:rPr>
        <w:t>ن إذا سجل المشتري عقد شرائه فأصبح مالكاً للعقار</w:t>
      </w:r>
      <w:r>
        <w:rPr>
          <w:rFonts w:cs="Traditional Arabic" w:hint="cs"/>
          <w:sz w:val="28"/>
          <w:szCs w:val="32"/>
          <w:rtl/>
        </w:rPr>
        <w:t xml:space="preserve"> ،</w:t>
      </w:r>
      <w:r w:rsidRPr="00EC737F">
        <w:rPr>
          <w:rFonts w:cs="Traditional Arabic" w:hint="cs"/>
          <w:sz w:val="28"/>
          <w:szCs w:val="32"/>
          <w:rtl/>
        </w:rPr>
        <w:t xml:space="preserve"> أن يصبح عقد الرهن صحيحاً</w:t>
      </w:r>
      <w:r>
        <w:rPr>
          <w:rFonts w:cs="Traditional Arabic" w:hint="cs"/>
          <w:sz w:val="28"/>
          <w:szCs w:val="32"/>
          <w:rtl/>
        </w:rPr>
        <w:t xml:space="preserve"> ،</w:t>
      </w:r>
      <w:r w:rsidRPr="00EC737F">
        <w:rPr>
          <w:rFonts w:cs="Traditional Arabic" w:hint="cs"/>
          <w:sz w:val="28"/>
          <w:szCs w:val="32"/>
          <w:rtl/>
        </w:rPr>
        <w:t xml:space="preserve"> وأن ينشأ الرهن لصالح الدائن المرتهن من وقت صيرورة المشتري مالكاً</w:t>
      </w:r>
      <w:r>
        <w:rPr>
          <w:rFonts w:cs="Traditional Arabic" w:hint="cs"/>
          <w:sz w:val="28"/>
          <w:szCs w:val="32"/>
          <w:rtl/>
        </w:rPr>
        <w:t xml:space="preserve"> ،</w:t>
      </w:r>
      <w:r w:rsidRPr="00EC737F">
        <w:rPr>
          <w:rFonts w:cs="Traditional Arabic" w:hint="cs"/>
          <w:sz w:val="28"/>
          <w:szCs w:val="32"/>
          <w:rtl/>
        </w:rPr>
        <w:t xml:space="preserve"> أي من وقت تسجيل عقد الشراء</w:t>
      </w:r>
      <w:r>
        <w:rPr>
          <w:rFonts w:cs="Traditional Arabic" w:hint="cs"/>
          <w:sz w:val="28"/>
          <w:szCs w:val="32"/>
          <w:vertAlign w:val="superscript"/>
          <w:rtl/>
        </w:rPr>
        <w:t xml:space="preserve">( </w:t>
      </w:r>
      <w:r w:rsidRPr="00EC737F">
        <w:rPr>
          <w:rStyle w:val="ab"/>
          <w:rFonts w:cs="Traditional Arabic"/>
          <w:sz w:val="28"/>
          <w:szCs w:val="32"/>
          <w:rtl/>
        </w:rPr>
        <w:footnoteReference w:id="69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142- رهن الوارث قبل سداد ديون الشركة</w:t>
      </w:r>
      <w:r>
        <w:rPr>
          <w:rFonts w:cs="Traditional Arabic" w:hint="cs"/>
          <w:sz w:val="28"/>
          <w:szCs w:val="32"/>
          <w:rtl/>
        </w:rPr>
        <w:t xml:space="preserve"> :</w:t>
      </w:r>
      <w:r w:rsidRPr="00EC737F">
        <w:rPr>
          <w:rFonts w:cs="Traditional Arabic" w:hint="cs"/>
          <w:sz w:val="28"/>
          <w:szCs w:val="32"/>
          <w:rtl/>
        </w:rPr>
        <w:t xml:space="preserve"> وقد نص قانون الشهر العقاري </w:t>
      </w:r>
      <w:r>
        <w:rPr>
          <w:rFonts w:cs="Traditional Arabic" w:hint="cs"/>
          <w:sz w:val="28"/>
          <w:szCs w:val="32"/>
          <w:rtl/>
        </w:rPr>
        <w:t xml:space="preserve">( </w:t>
      </w:r>
      <w:r w:rsidRPr="00EC737F">
        <w:rPr>
          <w:rFonts w:cs="Traditional Arabic" w:hint="cs"/>
          <w:sz w:val="28"/>
          <w:szCs w:val="32"/>
          <w:rtl/>
        </w:rPr>
        <w:t>م 13/1</w:t>
      </w:r>
      <w:r>
        <w:rPr>
          <w:rFonts w:cs="Traditional Arabic" w:hint="cs"/>
          <w:sz w:val="28"/>
          <w:szCs w:val="32"/>
          <w:rtl/>
        </w:rPr>
        <w:t xml:space="preserve"> )</w:t>
      </w:r>
      <w:r w:rsidRPr="00EC737F">
        <w:rPr>
          <w:rFonts w:cs="Traditional Arabic" w:hint="cs"/>
          <w:sz w:val="28"/>
          <w:szCs w:val="32"/>
          <w:rtl/>
        </w:rPr>
        <w:t xml:space="preserve"> على وجوب شهر حق الإرث</w:t>
      </w:r>
      <w:r>
        <w:rPr>
          <w:rFonts w:cs="Traditional Arabic" w:hint="cs"/>
          <w:sz w:val="28"/>
          <w:szCs w:val="32"/>
          <w:rtl/>
        </w:rPr>
        <w:t xml:space="preserve"> ،</w:t>
      </w:r>
      <w:r w:rsidRPr="00EC737F">
        <w:rPr>
          <w:rFonts w:cs="Traditional Arabic" w:hint="cs"/>
          <w:sz w:val="28"/>
          <w:szCs w:val="32"/>
          <w:rtl/>
        </w:rPr>
        <w:t xml:space="preserve"> والى أن يتم هذا الشهر لا يجوز شهر أي تصرف يصدر من الوارث في حق من حقوق التركة</w:t>
      </w:r>
      <w:r>
        <w:rPr>
          <w:rFonts w:cs="Traditional Arabic" w:hint="cs"/>
          <w:sz w:val="28"/>
          <w:szCs w:val="32"/>
          <w:rtl/>
        </w:rPr>
        <w:t xml:space="preserve"> .</w:t>
      </w:r>
      <w:r w:rsidRPr="00EC737F">
        <w:rPr>
          <w:rFonts w:cs="Traditional Arabic" w:hint="cs"/>
          <w:sz w:val="28"/>
          <w:szCs w:val="32"/>
          <w:rtl/>
        </w:rPr>
        <w:t xml:space="preserve"> وأوجب قانون الشهر العقاري </w:t>
      </w:r>
      <w:r>
        <w:rPr>
          <w:rFonts w:cs="Traditional Arabic" w:hint="cs"/>
          <w:sz w:val="28"/>
          <w:szCs w:val="32"/>
          <w:rtl/>
        </w:rPr>
        <w:t xml:space="preserve">( </w:t>
      </w:r>
      <w:r w:rsidRPr="00EC737F">
        <w:rPr>
          <w:rFonts w:cs="Traditional Arabic" w:hint="cs"/>
          <w:sz w:val="28"/>
          <w:szCs w:val="32"/>
          <w:rtl/>
        </w:rPr>
        <w:t>م 14/1</w:t>
      </w:r>
      <w:r>
        <w:rPr>
          <w:rFonts w:cs="Traditional Arabic" w:hint="cs"/>
          <w:sz w:val="28"/>
          <w:szCs w:val="32"/>
          <w:rtl/>
        </w:rPr>
        <w:t xml:space="preserve"> )</w:t>
      </w:r>
      <w:r w:rsidRPr="00EC737F">
        <w:rPr>
          <w:rFonts w:cs="Traditional Arabic" w:hint="cs"/>
          <w:sz w:val="28"/>
          <w:szCs w:val="32"/>
          <w:rtl/>
        </w:rPr>
        <w:t xml:space="preserve"> التأشير بالمحررات المثبتة لدين من الديون العادية على المورث في هامش تسجيل حق الإرث</w:t>
      </w:r>
      <w:r>
        <w:rPr>
          <w:rFonts w:cs="Traditional Arabic" w:hint="cs"/>
          <w:sz w:val="28"/>
          <w:szCs w:val="32"/>
          <w:rtl/>
        </w:rPr>
        <w:t xml:space="preserve"> ،</w:t>
      </w:r>
      <w:r w:rsidRPr="00EC737F">
        <w:rPr>
          <w:rFonts w:cs="Traditional Arabic" w:hint="cs"/>
          <w:sz w:val="28"/>
          <w:szCs w:val="32"/>
          <w:rtl/>
        </w:rPr>
        <w:t xml:space="preserve"> وجعل هذا التأشير بالدين يحتج به من تاريخ حصوله</w:t>
      </w:r>
      <w:r>
        <w:rPr>
          <w:rFonts w:cs="Traditional Arabic" w:hint="cs"/>
          <w:sz w:val="28"/>
          <w:szCs w:val="32"/>
          <w:rtl/>
        </w:rPr>
        <w:t xml:space="preserve"> ،</w:t>
      </w:r>
      <w:r w:rsidRPr="00EC737F">
        <w:rPr>
          <w:rFonts w:cs="Traditional Arabic" w:hint="cs"/>
          <w:sz w:val="28"/>
          <w:szCs w:val="32"/>
          <w:rtl/>
        </w:rPr>
        <w:t xml:space="preserve"> إلا إذا تم في خلال سنة من تاريخ تسجيل حق الإرث فيكون عندئذ للدائن أن يحتج بحقه على </w:t>
      </w:r>
      <w:r w:rsidRPr="00EC737F">
        <w:rPr>
          <w:rFonts w:cs="Traditional Arabic" w:hint="cs"/>
          <w:sz w:val="28"/>
          <w:szCs w:val="32"/>
          <w:rtl/>
        </w:rPr>
        <w:lastRenderedPageBreak/>
        <w:t>كل من تلقى من الوارث حقاً عينياً عقارياً وقام بشهره قبل هذا التسجيل</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وعلى ذلك إذا لم يسجل الوارث حق إرثه</w:t>
      </w:r>
      <w:r>
        <w:rPr>
          <w:rFonts w:cs="Traditional Arabic" w:hint="cs"/>
          <w:sz w:val="28"/>
          <w:szCs w:val="32"/>
          <w:rtl/>
        </w:rPr>
        <w:t xml:space="preserve"> ،</w:t>
      </w:r>
      <w:r w:rsidRPr="00EC737F">
        <w:rPr>
          <w:rFonts w:cs="Traditional Arabic" w:hint="cs"/>
          <w:sz w:val="28"/>
          <w:szCs w:val="32"/>
          <w:rtl/>
        </w:rPr>
        <w:t xml:space="preserve"> ورهن عقاراً في التركة</w:t>
      </w:r>
      <w:r>
        <w:rPr>
          <w:rFonts w:cs="Traditional Arabic" w:hint="cs"/>
          <w:sz w:val="28"/>
          <w:szCs w:val="32"/>
          <w:rtl/>
        </w:rPr>
        <w:t xml:space="preserve"> ،</w:t>
      </w:r>
      <w:r w:rsidRPr="00EC737F">
        <w:rPr>
          <w:rFonts w:cs="Traditional Arabic" w:hint="cs"/>
          <w:sz w:val="28"/>
          <w:szCs w:val="32"/>
          <w:rtl/>
        </w:rPr>
        <w:t xml:space="preserve"> لم يجز للدائن المرتهن أن يقيد حق الرهن</w:t>
      </w:r>
      <w:r>
        <w:rPr>
          <w:rFonts w:cs="Traditional Arabic" w:hint="cs"/>
          <w:sz w:val="28"/>
          <w:szCs w:val="32"/>
          <w:rtl/>
        </w:rPr>
        <w:t xml:space="preserve"> ،</w:t>
      </w:r>
      <w:r w:rsidRPr="00EC737F">
        <w:rPr>
          <w:rFonts w:cs="Traditional Arabic" w:hint="cs"/>
          <w:sz w:val="28"/>
          <w:szCs w:val="32"/>
          <w:rtl/>
        </w:rPr>
        <w:t xml:space="preserve"> فلم يعد للرهن أثر بالنسبة إلى الغير</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إذا سجل الوارث حق إرثه</w:t>
      </w:r>
      <w:r>
        <w:rPr>
          <w:rFonts w:cs="Traditional Arabic" w:hint="cs"/>
          <w:sz w:val="28"/>
          <w:szCs w:val="32"/>
          <w:rtl/>
        </w:rPr>
        <w:t xml:space="preserve"> ،</w:t>
      </w:r>
      <w:r w:rsidRPr="00EC737F">
        <w:rPr>
          <w:rFonts w:cs="Traditional Arabic" w:hint="cs"/>
          <w:sz w:val="28"/>
          <w:szCs w:val="32"/>
          <w:rtl/>
        </w:rPr>
        <w:t xml:space="preserve"> فإن الدائن المرتهن يستطيع أن يقيد حق الرهن</w:t>
      </w:r>
      <w:r>
        <w:rPr>
          <w:rFonts w:cs="Traditional Arabic" w:hint="cs"/>
          <w:sz w:val="28"/>
          <w:szCs w:val="32"/>
          <w:rtl/>
        </w:rPr>
        <w:t xml:space="preserve"> ،</w:t>
      </w:r>
      <w:r w:rsidRPr="00EC737F">
        <w:rPr>
          <w:rFonts w:cs="Traditional Arabic" w:hint="cs"/>
          <w:sz w:val="28"/>
          <w:szCs w:val="32"/>
          <w:rtl/>
        </w:rPr>
        <w:t xml:space="preserve"> ويحتج به على الوارث ودائنيه وعلى دائني التركة إذا أشر هؤلاء الدائنون بحقوقهم بعد سنة من تسجيل الوارث لحق إرثه</w:t>
      </w:r>
      <w:r>
        <w:rPr>
          <w:rFonts w:cs="Traditional Arabic" w:hint="cs"/>
          <w:sz w:val="28"/>
          <w:szCs w:val="32"/>
          <w:rtl/>
        </w:rPr>
        <w:t xml:space="preserve"> ،</w:t>
      </w:r>
      <w:r w:rsidRPr="00EC737F">
        <w:rPr>
          <w:rFonts w:cs="Traditional Arabic" w:hint="cs"/>
          <w:sz w:val="28"/>
          <w:szCs w:val="32"/>
          <w:rtl/>
        </w:rPr>
        <w:t xml:space="preserve"> أما إذا $314 أشروا بحقوقهم في خلال سنة من تسجيل الوارث لحق إرثه</w:t>
      </w:r>
      <w:r>
        <w:rPr>
          <w:rFonts w:cs="Traditional Arabic" w:hint="cs"/>
          <w:sz w:val="28"/>
          <w:szCs w:val="32"/>
          <w:rtl/>
        </w:rPr>
        <w:t xml:space="preserve"> ،</w:t>
      </w:r>
      <w:r w:rsidRPr="00EC737F">
        <w:rPr>
          <w:rFonts w:cs="Traditional Arabic" w:hint="cs"/>
          <w:sz w:val="28"/>
          <w:szCs w:val="32"/>
          <w:rtl/>
        </w:rPr>
        <w:t xml:space="preserve"> فإنهم يتقدمون بديونهم العادية على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69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143- رهن من تقرر بعد الرهن إبطال سند ملكية أو فسخه أو إلغاؤه أو زواله لأي سبب آخر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1034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"يبقى قائماً لمصلحة الدائن المرتهن الرهن الصادر من المالك الذي تقرر إبطال سند ملكيته أو فسخه أو إلغاؤه أو زواله لأي سبب آخر</w:t>
      </w:r>
      <w:r>
        <w:rPr>
          <w:rFonts w:cs="Traditional Arabic" w:hint="cs"/>
          <w:sz w:val="28"/>
          <w:szCs w:val="32"/>
          <w:rtl/>
        </w:rPr>
        <w:t xml:space="preserve"> ،</w:t>
      </w:r>
      <w:r w:rsidRPr="00EC737F">
        <w:rPr>
          <w:rFonts w:cs="Traditional Arabic" w:hint="cs"/>
          <w:sz w:val="28"/>
          <w:szCs w:val="32"/>
          <w:rtl/>
        </w:rPr>
        <w:t xml:space="preserve"> إذا كان هذا الدائن حسن النية في الوقت الذي أبرم فيه الرهن</w:t>
      </w:r>
      <w:r>
        <w:rPr>
          <w:rFonts w:cs="Traditional Arabic" w:hint="cs"/>
          <w:sz w:val="28"/>
          <w:szCs w:val="32"/>
          <w:vertAlign w:val="superscript"/>
          <w:rtl/>
        </w:rPr>
        <w:t xml:space="preserve">( </w:t>
      </w:r>
      <w:r w:rsidRPr="00EC737F">
        <w:rPr>
          <w:rStyle w:val="ab"/>
          <w:rFonts w:cs="Traditional Arabic"/>
          <w:sz w:val="28"/>
          <w:szCs w:val="32"/>
          <w:rtl/>
        </w:rPr>
        <w:footnoteReference w:id="692"/>
      </w:r>
      <w:r>
        <w:rPr>
          <w:rFonts w:cs="Traditional Arabic" w:hint="cs"/>
          <w:sz w:val="28"/>
          <w:szCs w:val="32"/>
          <w:vertAlign w:val="superscript"/>
          <w:rtl/>
        </w:rPr>
        <w:t xml:space="preserve"> )</w:t>
      </w:r>
      <w:r w:rsidRPr="00EC737F">
        <w:rPr>
          <w:rFonts w:cs="Traditional Arabic" w:hint="cs"/>
          <w:sz w:val="28"/>
          <w:szCs w:val="32"/>
          <w:rtl/>
        </w:rPr>
        <w:t>"</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$315 وهذا النص</w:t>
      </w:r>
      <w:r>
        <w:rPr>
          <w:rFonts w:cs="Traditional Arabic" w:hint="cs"/>
          <w:sz w:val="28"/>
          <w:szCs w:val="32"/>
          <w:rtl/>
        </w:rPr>
        <w:t xml:space="preserve"> ،</w:t>
      </w:r>
      <w:r w:rsidRPr="00EC737F">
        <w:rPr>
          <w:rFonts w:cs="Traditional Arabic" w:hint="cs"/>
          <w:sz w:val="28"/>
          <w:szCs w:val="32"/>
          <w:rtl/>
        </w:rPr>
        <w:t xml:space="preserve"> وقد حل محل نصوص متعددة متناثرة في التقنين المدني السابق</w:t>
      </w:r>
      <w:r>
        <w:rPr>
          <w:rFonts w:cs="Traditional Arabic" w:hint="cs"/>
          <w:sz w:val="28"/>
          <w:szCs w:val="32"/>
          <w:rtl/>
        </w:rPr>
        <w:t xml:space="preserve"> ،</w:t>
      </w:r>
      <w:r w:rsidRPr="00EC737F">
        <w:rPr>
          <w:rFonts w:cs="Traditional Arabic" w:hint="cs"/>
          <w:sz w:val="28"/>
          <w:szCs w:val="32"/>
          <w:rtl/>
        </w:rPr>
        <w:t xml:space="preserve"> كان لا بد من وجوده لأنه يقرر حكماً يخالف الأحكام التي تستخلص من القواعد العامة</w:t>
      </w:r>
      <w:r>
        <w:rPr>
          <w:rFonts w:cs="Traditional Arabic" w:hint="cs"/>
          <w:sz w:val="28"/>
          <w:szCs w:val="32"/>
          <w:rtl/>
        </w:rPr>
        <w:t xml:space="preserve"> .</w:t>
      </w:r>
      <w:r w:rsidRPr="00EC737F">
        <w:rPr>
          <w:rFonts w:cs="Traditional Arabic" w:hint="cs"/>
          <w:sz w:val="28"/>
          <w:szCs w:val="32"/>
          <w:rtl/>
        </w:rPr>
        <w:t xml:space="preserve"> ذلك أن القواعد العامة كانت تقضي بأن المالك</w:t>
      </w:r>
      <w:r>
        <w:rPr>
          <w:rFonts w:cs="Traditional Arabic" w:hint="cs"/>
          <w:sz w:val="28"/>
          <w:szCs w:val="32"/>
          <w:rtl/>
        </w:rPr>
        <w:t xml:space="preserve"> ،</w:t>
      </w:r>
      <w:r w:rsidRPr="00EC737F">
        <w:rPr>
          <w:rFonts w:cs="Traditional Arabic" w:hint="cs"/>
          <w:sz w:val="28"/>
          <w:szCs w:val="32"/>
          <w:rtl/>
        </w:rPr>
        <w:t xml:space="preserve"> إذا زال ملكه بأثر رجعي</w:t>
      </w:r>
      <w:r>
        <w:rPr>
          <w:rFonts w:cs="Traditional Arabic" w:hint="cs"/>
          <w:sz w:val="28"/>
          <w:szCs w:val="32"/>
          <w:rtl/>
        </w:rPr>
        <w:t xml:space="preserve"> ،</w:t>
      </w:r>
      <w:r w:rsidRPr="00EC737F">
        <w:rPr>
          <w:rFonts w:cs="Traditional Arabic" w:hint="cs"/>
          <w:sz w:val="28"/>
          <w:szCs w:val="32"/>
          <w:rtl/>
        </w:rPr>
        <w:t xml:space="preserve"> يعتبر كأنه لم يكن مالكاً للعقار الذي تصرف فيه</w:t>
      </w:r>
      <w:r>
        <w:rPr>
          <w:rFonts w:cs="Traditional Arabic" w:hint="cs"/>
          <w:sz w:val="28"/>
          <w:szCs w:val="32"/>
          <w:rtl/>
        </w:rPr>
        <w:t xml:space="preserve"> ،</w:t>
      </w:r>
      <w:r w:rsidRPr="00EC737F">
        <w:rPr>
          <w:rFonts w:cs="Traditional Arabic" w:hint="cs"/>
          <w:sz w:val="28"/>
          <w:szCs w:val="32"/>
          <w:rtl/>
        </w:rPr>
        <w:t xml:space="preserve"> وزوال ملكيته لهذا العقار بأثر رجعي يجعل تصرفاته في هذا العقار كأنها لم تكن</w:t>
      </w:r>
      <w:r>
        <w:rPr>
          <w:rFonts w:cs="Traditional Arabic" w:hint="cs"/>
          <w:sz w:val="28"/>
          <w:szCs w:val="32"/>
          <w:rtl/>
        </w:rPr>
        <w:t xml:space="preserve"> ،</w:t>
      </w:r>
      <w:r w:rsidRPr="00EC737F">
        <w:rPr>
          <w:rFonts w:cs="Traditional Arabic" w:hint="cs"/>
          <w:sz w:val="28"/>
          <w:szCs w:val="32"/>
          <w:rtl/>
        </w:rPr>
        <w:t xml:space="preserve"> وعلى ذلك إذا كان قد رهن هذا العقار رهناً رسمياً اعتبر الرهن كأن لم يكن</w:t>
      </w:r>
      <w:r>
        <w:rPr>
          <w:rFonts w:cs="Traditional Arabic" w:hint="cs"/>
          <w:sz w:val="28"/>
          <w:szCs w:val="32"/>
          <w:rtl/>
        </w:rPr>
        <w:t xml:space="preserve"> .</w:t>
      </w:r>
      <w:r w:rsidRPr="00EC737F">
        <w:rPr>
          <w:rFonts w:cs="Traditional Arabic" w:hint="cs"/>
          <w:sz w:val="28"/>
          <w:szCs w:val="32"/>
          <w:rtl/>
        </w:rPr>
        <w:t xml:space="preserve"> فتطبيق القواعد العامة إذن تضحي بمركز من زالت </w:t>
      </w:r>
      <w:r w:rsidRPr="00EC737F">
        <w:rPr>
          <w:rFonts w:cs="Traditional Arabic" w:hint="cs"/>
          <w:sz w:val="28"/>
          <w:szCs w:val="32"/>
          <w:rtl/>
        </w:rPr>
        <w:lastRenderedPageBreak/>
        <w:t>ملكيته للعقار بأثر رجعي</w:t>
      </w:r>
      <w:r>
        <w:rPr>
          <w:rFonts w:cs="Traditional Arabic" w:hint="cs"/>
          <w:sz w:val="28"/>
          <w:szCs w:val="32"/>
          <w:rtl/>
        </w:rPr>
        <w:t xml:space="preserve"> ،</w:t>
      </w:r>
      <w:r w:rsidRPr="00EC737F">
        <w:rPr>
          <w:rFonts w:cs="Traditional Arabic" w:hint="cs"/>
          <w:sz w:val="28"/>
          <w:szCs w:val="32"/>
          <w:rtl/>
        </w:rPr>
        <w:t xml:space="preserve"> وتضحي كذلك بمركز كل من تصرف له هذا المالك قبل زوال ملكيته</w:t>
      </w:r>
      <w:r>
        <w:rPr>
          <w:rFonts w:cs="Traditional Arabic" w:hint="cs"/>
          <w:sz w:val="28"/>
          <w:szCs w:val="32"/>
          <w:rtl/>
        </w:rPr>
        <w:t xml:space="preserve"> ،</w:t>
      </w:r>
      <w:r w:rsidRPr="00EC737F">
        <w:rPr>
          <w:rFonts w:cs="Traditional Arabic" w:hint="cs"/>
          <w:sz w:val="28"/>
          <w:szCs w:val="32"/>
          <w:rtl/>
        </w:rPr>
        <w:t xml:space="preserve"> ويدخل في ذلك الدائن المرتهن رهناً رسمياً</w:t>
      </w:r>
      <w:r>
        <w:rPr>
          <w:rFonts w:cs="Traditional Arabic" w:hint="cs"/>
          <w:sz w:val="28"/>
          <w:szCs w:val="32"/>
          <w:rtl/>
        </w:rPr>
        <w:t xml:space="preserve"> .</w:t>
      </w:r>
      <w:r w:rsidRPr="00EC737F">
        <w:rPr>
          <w:rFonts w:cs="Traditional Arabic" w:hint="cs"/>
          <w:sz w:val="28"/>
          <w:szCs w:val="32"/>
          <w:rtl/>
        </w:rPr>
        <w:t xml:space="preserve"> ومن ثم فإن من يرتهن العقار من مالكه</w:t>
      </w:r>
      <w:r>
        <w:rPr>
          <w:rFonts w:cs="Traditional Arabic" w:hint="cs"/>
          <w:sz w:val="28"/>
          <w:szCs w:val="32"/>
          <w:rtl/>
        </w:rPr>
        <w:t xml:space="preserve"> ،</w:t>
      </w:r>
      <w:r w:rsidRPr="00EC737F">
        <w:rPr>
          <w:rFonts w:cs="Traditional Arabic" w:hint="cs"/>
          <w:sz w:val="28"/>
          <w:szCs w:val="32"/>
          <w:rtl/>
        </w:rPr>
        <w:t xml:space="preserve"> ثم تزول ملكية هذا المالك عن العقار المرهون بأثر رجعي</w:t>
      </w:r>
      <w:r>
        <w:rPr>
          <w:rFonts w:cs="Traditional Arabic" w:hint="cs"/>
          <w:sz w:val="28"/>
          <w:szCs w:val="32"/>
          <w:rtl/>
        </w:rPr>
        <w:t xml:space="preserve"> ،</w:t>
      </w:r>
      <w:r w:rsidRPr="00EC737F">
        <w:rPr>
          <w:rFonts w:cs="Traditional Arabic" w:hint="cs"/>
          <w:sz w:val="28"/>
          <w:szCs w:val="32"/>
          <w:rtl/>
        </w:rPr>
        <w:t xml:space="preserve"> يسقط رهنه هو أيضاً بأثر رجعي</w:t>
      </w:r>
      <w:r>
        <w:rPr>
          <w:rFonts w:cs="Traditional Arabic" w:hint="cs"/>
          <w:sz w:val="28"/>
          <w:szCs w:val="32"/>
          <w:rtl/>
        </w:rPr>
        <w:t xml:space="preserve"> .</w:t>
      </w:r>
      <w:r w:rsidRPr="00EC737F">
        <w:rPr>
          <w:rFonts w:cs="Traditional Arabic" w:hint="cs"/>
          <w:sz w:val="28"/>
          <w:szCs w:val="32"/>
          <w:rtl/>
        </w:rPr>
        <w:t xml:space="preserve"> وهذا هو $316 حل القانون الفرنسي</w:t>
      </w:r>
      <w:r>
        <w:rPr>
          <w:rFonts w:cs="Traditional Arabic" w:hint="cs"/>
          <w:sz w:val="28"/>
          <w:szCs w:val="32"/>
          <w:rtl/>
        </w:rPr>
        <w:t xml:space="preserve"> ،</w:t>
      </w:r>
      <w:r w:rsidRPr="00EC737F">
        <w:rPr>
          <w:rFonts w:cs="Traditional Arabic" w:hint="cs"/>
          <w:sz w:val="28"/>
          <w:szCs w:val="32"/>
          <w:rtl/>
        </w:rPr>
        <w:t xml:space="preserve"> لا يغير منه أن يكون الدائن المرتهن حسن النية وقت إبرام عقد الرهن الرسمي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فلما رأى التقنين المدني المصري</w:t>
      </w:r>
      <w:r>
        <w:rPr>
          <w:rFonts w:cs="Traditional Arabic" w:hint="cs"/>
          <w:sz w:val="28"/>
          <w:szCs w:val="32"/>
          <w:rtl/>
        </w:rPr>
        <w:t xml:space="preserve"> ،</w:t>
      </w:r>
      <w:r w:rsidRPr="00EC737F">
        <w:rPr>
          <w:rFonts w:cs="Traditional Arabic" w:hint="cs"/>
          <w:sz w:val="28"/>
          <w:szCs w:val="32"/>
          <w:rtl/>
        </w:rPr>
        <w:t xml:space="preserve"> السابق والجديد</w:t>
      </w:r>
      <w:r>
        <w:rPr>
          <w:rFonts w:cs="Traditional Arabic" w:hint="cs"/>
          <w:sz w:val="28"/>
          <w:szCs w:val="32"/>
          <w:rtl/>
        </w:rPr>
        <w:t xml:space="preserve"> ،</w:t>
      </w:r>
      <w:r w:rsidRPr="00EC737F">
        <w:rPr>
          <w:rFonts w:cs="Traditional Arabic" w:hint="cs"/>
          <w:sz w:val="28"/>
          <w:szCs w:val="32"/>
          <w:rtl/>
        </w:rPr>
        <w:t xml:space="preserve"> متمشياً في ذلك مع كثير من التشريعات الحديثة</w:t>
      </w:r>
      <w:r>
        <w:rPr>
          <w:rFonts w:cs="Traditional Arabic" w:hint="cs"/>
          <w:sz w:val="28"/>
          <w:szCs w:val="32"/>
          <w:rtl/>
        </w:rPr>
        <w:t xml:space="preserve"> ،</w:t>
      </w:r>
      <w:r w:rsidRPr="00EC737F">
        <w:rPr>
          <w:rFonts w:cs="Traditional Arabic" w:hint="cs"/>
          <w:sz w:val="28"/>
          <w:szCs w:val="32"/>
          <w:rtl/>
        </w:rPr>
        <w:t xml:space="preserve"> أن يجعل الرهن الصادر من مالك رهناً صحيحاً حتى لو زالت ملكية هذا لرهن للعقار المرهون بأثر رجعي</w:t>
      </w:r>
      <w:r>
        <w:rPr>
          <w:rFonts w:cs="Traditional Arabic" w:hint="cs"/>
          <w:sz w:val="28"/>
          <w:szCs w:val="32"/>
          <w:rtl/>
        </w:rPr>
        <w:t xml:space="preserve"> ،</w:t>
      </w:r>
      <w:r w:rsidRPr="00EC737F">
        <w:rPr>
          <w:rFonts w:cs="Traditional Arabic" w:hint="cs"/>
          <w:sz w:val="28"/>
          <w:szCs w:val="32"/>
          <w:rtl/>
        </w:rPr>
        <w:t xml:space="preserve"> أوجد النص الخاص بذلك وهو النص الذي نحت بصدده</w:t>
      </w:r>
      <w:r>
        <w:rPr>
          <w:rFonts w:cs="Traditional Arabic" w:hint="cs"/>
          <w:sz w:val="28"/>
          <w:szCs w:val="32"/>
          <w:rtl/>
        </w:rPr>
        <w:t xml:space="preserve"> .</w:t>
      </w:r>
      <w:r w:rsidRPr="00EC737F">
        <w:rPr>
          <w:rFonts w:cs="Traditional Arabic" w:hint="cs"/>
          <w:sz w:val="28"/>
          <w:szCs w:val="32"/>
          <w:rtl/>
        </w:rPr>
        <w:t xml:space="preserve"> ويبين من هذا النص أن هناك شروطاً ثلاثة لا بد من توافرها حتى يكون الرهن الصادر من مالك زالت ملكيته بعد ذلك بأثر رجعي رهناً صحيحاً</w:t>
      </w:r>
      <w:r>
        <w:rPr>
          <w:rFonts w:cs="Traditional Arabic" w:hint="cs"/>
          <w:sz w:val="28"/>
          <w:szCs w:val="32"/>
          <w:rtl/>
        </w:rPr>
        <w:t xml:space="preserve"> ،</w:t>
      </w:r>
      <w:r w:rsidRPr="00EC737F">
        <w:rPr>
          <w:rFonts w:cs="Traditional Arabic" w:hint="cs"/>
          <w:sz w:val="28"/>
          <w:szCs w:val="32"/>
          <w:rtl/>
        </w:rPr>
        <w:t xml:space="preserve"> وهذه الشروط هي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أولا </w:t>
      </w:r>
      <w:r w:rsidRPr="00EC737F">
        <w:rPr>
          <w:rFonts w:cs="Traditional Arabic"/>
          <w:sz w:val="28"/>
          <w:szCs w:val="32"/>
          <w:rtl/>
        </w:rPr>
        <w:t>–</w:t>
      </w:r>
      <w:r w:rsidRPr="00EC737F">
        <w:rPr>
          <w:rFonts w:cs="Traditional Arabic" w:hint="cs"/>
          <w:sz w:val="28"/>
          <w:szCs w:val="32"/>
          <w:rtl/>
        </w:rPr>
        <w:t xml:space="preserve"> يجب أن يكون الراهن مالكاً للعقار المرهون وقت انعقاد الرهن الرسمي</w:t>
      </w:r>
      <w:r>
        <w:rPr>
          <w:rFonts w:cs="Traditional Arabic" w:hint="cs"/>
          <w:sz w:val="28"/>
          <w:szCs w:val="32"/>
          <w:rtl/>
        </w:rPr>
        <w:t xml:space="preserve"> ،</w:t>
      </w:r>
      <w:r w:rsidRPr="00EC737F">
        <w:rPr>
          <w:rFonts w:cs="Traditional Arabic" w:hint="cs"/>
          <w:sz w:val="28"/>
          <w:szCs w:val="32"/>
          <w:rtl/>
        </w:rPr>
        <w:t xml:space="preserve"> ويجب أن يكون سند هذه الملكية قابلا للإلغاء بأثر رجعي</w:t>
      </w:r>
      <w:r>
        <w:rPr>
          <w:rFonts w:cs="Traditional Arabic" w:hint="cs"/>
          <w:sz w:val="28"/>
          <w:szCs w:val="32"/>
          <w:rtl/>
        </w:rPr>
        <w:t xml:space="preserve"> ،</w:t>
      </w:r>
      <w:r w:rsidRPr="00EC737F">
        <w:rPr>
          <w:rFonts w:cs="Traditional Arabic" w:hint="cs"/>
          <w:sz w:val="28"/>
          <w:szCs w:val="32"/>
          <w:rtl/>
        </w:rPr>
        <w:t xml:space="preserve"> كأن يكون هذا السند قابلا للإبطال أو قابلا للفسخ أو قابلا للرجوع فيه أو نحو ذلك</w:t>
      </w:r>
      <w:r>
        <w:rPr>
          <w:rFonts w:cs="Traditional Arabic" w:hint="cs"/>
          <w:sz w:val="28"/>
          <w:szCs w:val="32"/>
          <w:rtl/>
        </w:rPr>
        <w:t xml:space="preserve"> .</w:t>
      </w:r>
      <w:r w:rsidRPr="00EC737F">
        <w:rPr>
          <w:rFonts w:cs="Traditional Arabic" w:hint="cs"/>
          <w:sz w:val="28"/>
          <w:szCs w:val="32"/>
          <w:rtl/>
        </w:rPr>
        <w:t xml:space="preserve"> أما أن يكون سند هذه الملكية باطلا بطلاناً مطلقاً</w:t>
      </w:r>
      <w:r>
        <w:rPr>
          <w:rFonts w:cs="Traditional Arabic" w:hint="cs"/>
          <w:sz w:val="28"/>
          <w:szCs w:val="32"/>
          <w:rtl/>
        </w:rPr>
        <w:t xml:space="preserve"> ،</w:t>
      </w:r>
      <w:r w:rsidRPr="00EC737F">
        <w:rPr>
          <w:rFonts w:cs="Traditional Arabic" w:hint="cs"/>
          <w:sz w:val="28"/>
          <w:szCs w:val="32"/>
          <w:rtl/>
        </w:rPr>
        <w:t xml:space="preserve"> فهذا لا يجوز</w:t>
      </w:r>
      <w:r>
        <w:rPr>
          <w:rFonts w:cs="Traditional Arabic" w:hint="cs"/>
          <w:sz w:val="28"/>
          <w:szCs w:val="32"/>
          <w:rtl/>
        </w:rPr>
        <w:t xml:space="preserve"> .</w:t>
      </w:r>
      <w:r w:rsidRPr="00EC737F">
        <w:rPr>
          <w:rFonts w:cs="Traditional Arabic" w:hint="cs"/>
          <w:sz w:val="28"/>
          <w:szCs w:val="32"/>
          <w:rtl/>
        </w:rPr>
        <w:t xml:space="preserve"> ذلك بأن الراهن يجب أن يكون مالكاً للعقار المرهون كما قدمنا</w:t>
      </w:r>
      <w:r>
        <w:rPr>
          <w:rFonts w:cs="Traditional Arabic" w:hint="cs"/>
          <w:sz w:val="28"/>
          <w:szCs w:val="32"/>
          <w:rtl/>
        </w:rPr>
        <w:t xml:space="preserve"> ،</w:t>
      </w:r>
      <w:r w:rsidRPr="00EC737F">
        <w:rPr>
          <w:rFonts w:cs="Traditional Arabic" w:hint="cs"/>
          <w:sz w:val="28"/>
          <w:szCs w:val="32"/>
          <w:rtl/>
        </w:rPr>
        <w:t xml:space="preserve"> والسند الباطل بطلاناً مطلقاً لا أثر له فلا ينقل الملكية إلى الراهن</w:t>
      </w:r>
      <w:r>
        <w:rPr>
          <w:rFonts w:cs="Traditional Arabic" w:hint="cs"/>
          <w:sz w:val="28"/>
          <w:szCs w:val="32"/>
          <w:vertAlign w:val="superscript"/>
          <w:rtl/>
        </w:rPr>
        <w:t xml:space="preserve">( </w:t>
      </w:r>
      <w:r w:rsidRPr="00EC737F">
        <w:rPr>
          <w:rStyle w:val="ab"/>
          <w:rFonts w:cs="Traditional Arabic"/>
          <w:sz w:val="28"/>
          <w:szCs w:val="32"/>
          <w:rtl/>
        </w:rPr>
        <w:footnoteReference w:id="69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فرض أن الراهن كان قد اشترى العقار المرهون لسبب غير مشروع</w:t>
      </w:r>
      <w:r>
        <w:rPr>
          <w:rFonts w:cs="Traditional Arabic" w:hint="cs"/>
          <w:sz w:val="28"/>
          <w:szCs w:val="32"/>
          <w:rtl/>
        </w:rPr>
        <w:t xml:space="preserve"> ،</w:t>
      </w:r>
      <w:r w:rsidRPr="00EC737F">
        <w:rPr>
          <w:rFonts w:cs="Traditional Arabic" w:hint="cs"/>
          <w:sz w:val="28"/>
          <w:szCs w:val="32"/>
          <w:rtl/>
        </w:rPr>
        <w:t xml:space="preserve"> فإن الشراء يكون باطلا بطلاناً مطلقاً ولا ينقل ملكية العقار إلى الراهن</w:t>
      </w:r>
      <w:r>
        <w:rPr>
          <w:rFonts w:cs="Traditional Arabic" w:hint="cs"/>
          <w:sz w:val="28"/>
          <w:szCs w:val="32"/>
          <w:rtl/>
        </w:rPr>
        <w:t xml:space="preserve"> .</w:t>
      </w:r>
      <w:r w:rsidRPr="00EC737F">
        <w:rPr>
          <w:rFonts w:cs="Traditional Arabic" w:hint="cs"/>
          <w:sz w:val="28"/>
          <w:szCs w:val="32"/>
          <w:rtl/>
        </w:rPr>
        <w:t xml:space="preserve"> فإذا قرر الراهن بعد ذلك حق رهن رسمي لدائن مرتهن</w:t>
      </w:r>
      <w:r>
        <w:rPr>
          <w:rFonts w:cs="Traditional Arabic" w:hint="cs"/>
          <w:sz w:val="28"/>
          <w:szCs w:val="32"/>
          <w:rtl/>
        </w:rPr>
        <w:t xml:space="preserve"> ،</w:t>
      </w:r>
      <w:r w:rsidRPr="00EC737F">
        <w:rPr>
          <w:rFonts w:cs="Traditional Arabic" w:hint="cs"/>
          <w:sz w:val="28"/>
          <w:szCs w:val="32"/>
          <w:rtl/>
        </w:rPr>
        <w:t xml:space="preserve"> فإن هذا الرهن يكون باطلا أيضاً بطلان البيع</w:t>
      </w:r>
      <w:r>
        <w:rPr>
          <w:rFonts w:cs="Traditional Arabic" w:hint="cs"/>
          <w:sz w:val="28"/>
          <w:szCs w:val="32"/>
          <w:rtl/>
        </w:rPr>
        <w:t xml:space="preserve"> ،</w:t>
      </w:r>
      <w:r w:rsidRPr="00EC737F">
        <w:rPr>
          <w:rFonts w:cs="Traditional Arabic" w:hint="cs"/>
          <w:sz w:val="28"/>
          <w:szCs w:val="32"/>
          <w:rtl/>
        </w:rPr>
        <w:t xml:space="preserve"> ولا يكون للدائن المرتهن أي حق على العقار</w:t>
      </w:r>
      <w:r>
        <w:rPr>
          <w:rFonts w:cs="Traditional Arabic" w:hint="cs"/>
          <w:sz w:val="28"/>
          <w:szCs w:val="32"/>
          <w:vertAlign w:val="superscript"/>
          <w:rtl/>
        </w:rPr>
        <w:t xml:space="preserve">( </w:t>
      </w:r>
      <w:r w:rsidRPr="00EC737F">
        <w:rPr>
          <w:rStyle w:val="ab"/>
          <w:rFonts w:cs="Traditional Arabic"/>
          <w:sz w:val="28"/>
          <w:szCs w:val="32"/>
          <w:rtl/>
        </w:rPr>
        <w:footnoteReference w:id="69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 xml:space="preserve">$317 ثانياً </w:t>
      </w:r>
      <w:r w:rsidRPr="00EC737F">
        <w:rPr>
          <w:rFonts w:cs="Traditional Arabic"/>
          <w:sz w:val="28"/>
          <w:szCs w:val="32"/>
          <w:rtl/>
        </w:rPr>
        <w:t>–</w:t>
      </w:r>
      <w:r w:rsidRPr="00EC737F">
        <w:rPr>
          <w:rFonts w:cs="Traditional Arabic" w:hint="cs"/>
          <w:sz w:val="28"/>
          <w:szCs w:val="32"/>
          <w:rtl/>
        </w:rPr>
        <w:t xml:space="preserve"> يجب أن يكون الدائن المرتهن</w:t>
      </w:r>
      <w:r>
        <w:rPr>
          <w:rFonts w:cs="Traditional Arabic" w:hint="cs"/>
          <w:sz w:val="28"/>
          <w:szCs w:val="32"/>
          <w:rtl/>
        </w:rPr>
        <w:t xml:space="preserve"> ،</w:t>
      </w:r>
      <w:r w:rsidRPr="00EC737F">
        <w:rPr>
          <w:rFonts w:cs="Traditional Arabic" w:hint="cs"/>
          <w:sz w:val="28"/>
          <w:szCs w:val="32"/>
          <w:rtl/>
        </w:rPr>
        <w:t xml:space="preserve"> وقت أن أبرم عقد الرهن</w:t>
      </w:r>
      <w:r>
        <w:rPr>
          <w:rFonts w:cs="Traditional Arabic" w:hint="cs"/>
          <w:sz w:val="28"/>
          <w:szCs w:val="32"/>
          <w:rtl/>
        </w:rPr>
        <w:t xml:space="preserve"> ،</w:t>
      </w:r>
      <w:r w:rsidRPr="00EC737F">
        <w:rPr>
          <w:rFonts w:cs="Traditional Arabic" w:hint="cs"/>
          <w:sz w:val="28"/>
          <w:szCs w:val="32"/>
          <w:rtl/>
        </w:rPr>
        <w:t xml:space="preserve"> حسن النية</w:t>
      </w:r>
      <w:r>
        <w:rPr>
          <w:rFonts w:cs="Traditional Arabic" w:hint="cs"/>
          <w:sz w:val="28"/>
          <w:szCs w:val="32"/>
          <w:rtl/>
        </w:rPr>
        <w:t xml:space="preserve"> ،</w:t>
      </w:r>
      <w:r w:rsidRPr="00EC737F">
        <w:rPr>
          <w:rFonts w:cs="Traditional Arabic" w:hint="cs"/>
          <w:sz w:val="28"/>
          <w:szCs w:val="32"/>
          <w:rtl/>
        </w:rPr>
        <w:t xml:space="preserve"> وتقول المادة 1034 مدني كما رأينا "إذا كان الدائن حسن النية في الوقت الذي أبرم فيه الرهن"</w:t>
      </w:r>
      <w:r>
        <w:rPr>
          <w:rFonts w:cs="Traditional Arabic" w:hint="cs"/>
          <w:sz w:val="28"/>
          <w:szCs w:val="32"/>
          <w:rtl/>
        </w:rPr>
        <w:t xml:space="preserve"> .</w:t>
      </w:r>
      <w:r w:rsidRPr="00EC737F">
        <w:rPr>
          <w:rFonts w:cs="Traditional Arabic" w:hint="cs"/>
          <w:sz w:val="28"/>
          <w:szCs w:val="32"/>
          <w:rtl/>
        </w:rPr>
        <w:t xml:space="preserve"> ومعنى حسن نية الدائن المرتهن هو ألا يكون هذا الدائن عالماً بأن ملكية الراهن مهددة بالزوال بأثر رجعي</w:t>
      </w:r>
      <w:r>
        <w:rPr>
          <w:rFonts w:cs="Traditional Arabic" w:hint="cs"/>
          <w:sz w:val="28"/>
          <w:szCs w:val="32"/>
          <w:rtl/>
        </w:rPr>
        <w:t xml:space="preserve"> ،</w:t>
      </w:r>
      <w:r w:rsidRPr="00EC737F">
        <w:rPr>
          <w:rFonts w:cs="Traditional Arabic" w:hint="cs"/>
          <w:sz w:val="28"/>
          <w:szCs w:val="32"/>
          <w:rtl/>
        </w:rPr>
        <w:t xml:space="preserve"> فإذا كان عنده أي شك في ذلك لم يكن حسن النية</w:t>
      </w:r>
      <w:r>
        <w:rPr>
          <w:rFonts w:cs="Traditional Arabic" w:hint="cs"/>
          <w:sz w:val="28"/>
          <w:szCs w:val="32"/>
          <w:rtl/>
        </w:rPr>
        <w:t xml:space="preserve"> ،</w:t>
      </w:r>
      <w:r w:rsidRPr="00EC737F">
        <w:rPr>
          <w:rFonts w:cs="Traditional Arabic" w:hint="cs"/>
          <w:sz w:val="28"/>
          <w:szCs w:val="32"/>
          <w:rtl/>
        </w:rPr>
        <w:t xml:space="preserve"> وحسن النية يفترض أصلا</w:t>
      </w:r>
      <w:r>
        <w:rPr>
          <w:rFonts w:cs="Traditional Arabic" w:hint="cs"/>
          <w:sz w:val="28"/>
          <w:szCs w:val="32"/>
          <w:rtl/>
        </w:rPr>
        <w:t xml:space="preserve"> ،</w:t>
      </w:r>
      <w:r w:rsidRPr="00EC737F">
        <w:rPr>
          <w:rFonts w:cs="Traditional Arabic" w:hint="cs"/>
          <w:sz w:val="28"/>
          <w:szCs w:val="32"/>
          <w:rtl/>
        </w:rPr>
        <w:t xml:space="preserve"> فإذا أبرم الدائن المرتهن عقد الرهن افترض حسن النية</w:t>
      </w:r>
      <w:r>
        <w:rPr>
          <w:rFonts w:cs="Traditional Arabic" w:hint="cs"/>
          <w:sz w:val="28"/>
          <w:szCs w:val="32"/>
          <w:rtl/>
        </w:rPr>
        <w:t xml:space="preserve"> ،</w:t>
      </w:r>
      <w:r w:rsidRPr="00EC737F">
        <w:rPr>
          <w:rFonts w:cs="Traditional Arabic" w:hint="cs"/>
          <w:sz w:val="28"/>
          <w:szCs w:val="32"/>
          <w:rtl/>
        </w:rPr>
        <w:t xml:space="preserve"> ومع إذا أثبت الخصم أنه كان أمام الدائن المرتهن سبيل للشك في ملكية الراهن</w:t>
      </w:r>
      <w:r>
        <w:rPr>
          <w:rFonts w:cs="Traditional Arabic" w:hint="cs"/>
          <w:sz w:val="28"/>
          <w:szCs w:val="32"/>
          <w:rtl/>
        </w:rPr>
        <w:t xml:space="preserve"> ،</w:t>
      </w:r>
      <w:r w:rsidRPr="00EC737F">
        <w:rPr>
          <w:rFonts w:cs="Traditional Arabic" w:hint="cs"/>
          <w:sz w:val="28"/>
          <w:szCs w:val="32"/>
          <w:rtl/>
        </w:rPr>
        <w:t xml:space="preserve"> بأن كان هذا الراهن مثلا لا يزال مديناً بالثمن أو ببعضه فإذا لم يدفع ما هو مدين به يفسخ البيع</w:t>
      </w:r>
      <w:r>
        <w:rPr>
          <w:rFonts w:cs="Traditional Arabic" w:hint="cs"/>
          <w:sz w:val="28"/>
          <w:szCs w:val="32"/>
          <w:rtl/>
        </w:rPr>
        <w:t xml:space="preserve"> ،</w:t>
      </w:r>
      <w:r w:rsidRPr="00EC737F">
        <w:rPr>
          <w:rFonts w:cs="Traditional Arabic" w:hint="cs"/>
          <w:sz w:val="28"/>
          <w:szCs w:val="32"/>
          <w:rtl/>
        </w:rPr>
        <w:t xml:space="preserve"> كان على الدائن المرتهن أن يثبت أنه لم يكن يعلم أن الراهن لا يزال مديناً بالثمن أو ببعضه</w:t>
      </w:r>
      <w:r>
        <w:rPr>
          <w:rFonts w:cs="Traditional Arabic" w:hint="cs"/>
          <w:sz w:val="28"/>
          <w:szCs w:val="32"/>
          <w:vertAlign w:val="superscript"/>
          <w:rtl/>
        </w:rPr>
        <w:t xml:space="preserve">( </w:t>
      </w:r>
      <w:r w:rsidRPr="00EC737F">
        <w:rPr>
          <w:rStyle w:val="ab"/>
          <w:rFonts w:cs="Traditional Arabic"/>
          <w:sz w:val="28"/>
          <w:szCs w:val="32"/>
          <w:rtl/>
        </w:rPr>
        <w:footnoteReference w:id="69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إذا رفع المدعي دعوى إزالة ملكية الراهن بأثر رجعي قبل أن يقيد الدائن المرتهن رهنه وأشر المدعي $318 بدعواه </w:t>
      </w:r>
      <w:r w:rsidRPr="00EC737F">
        <w:rPr>
          <w:rFonts w:cs="Traditional Arabic" w:hint="cs"/>
          <w:sz w:val="28"/>
          <w:szCs w:val="32"/>
          <w:rtl/>
        </w:rPr>
        <w:lastRenderedPageBreak/>
        <w:t>على هامش تسجيل سند ملكية الراهن</w:t>
      </w:r>
      <w:r>
        <w:rPr>
          <w:rFonts w:cs="Traditional Arabic" w:hint="cs"/>
          <w:sz w:val="28"/>
          <w:szCs w:val="32"/>
          <w:vertAlign w:val="superscript"/>
          <w:rtl/>
        </w:rPr>
        <w:t xml:space="preserve">( </w:t>
      </w:r>
      <w:r w:rsidRPr="00EC737F">
        <w:rPr>
          <w:rStyle w:val="ab"/>
          <w:rFonts w:cs="Traditional Arabic"/>
          <w:sz w:val="28"/>
          <w:szCs w:val="32"/>
          <w:rtl/>
        </w:rPr>
        <w:footnoteReference w:id="69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فإن المادة 15 من قانون الشهر العقار تفترض افتراضاً غير قابل لإثبات العكس أن الدائن المرتهن بعلم برفع الدعوى</w:t>
      </w:r>
      <w:r>
        <w:rPr>
          <w:rFonts w:cs="Traditional Arabic" w:hint="cs"/>
          <w:sz w:val="28"/>
          <w:szCs w:val="32"/>
          <w:rtl/>
        </w:rPr>
        <w:t xml:space="preserve"> ،</w:t>
      </w:r>
      <w:r w:rsidRPr="00EC737F">
        <w:rPr>
          <w:rFonts w:cs="Traditional Arabic" w:hint="cs"/>
          <w:sz w:val="28"/>
          <w:szCs w:val="32"/>
          <w:rtl/>
        </w:rPr>
        <w:t xml:space="preserve"> فإذا حكم فيها لمصلحة المدعي كان هذا الحكم حجة على الدائن المرتهن</w:t>
      </w:r>
      <w:r>
        <w:rPr>
          <w:rFonts w:cs="Traditional Arabic" w:hint="cs"/>
          <w:sz w:val="28"/>
          <w:szCs w:val="32"/>
          <w:rtl/>
        </w:rPr>
        <w:t xml:space="preserve"> .</w:t>
      </w:r>
      <w:r w:rsidRPr="00EC737F">
        <w:rPr>
          <w:rFonts w:cs="Traditional Arabic" w:hint="cs"/>
          <w:sz w:val="28"/>
          <w:szCs w:val="32"/>
          <w:rtl/>
        </w:rPr>
        <w:t xml:space="preserve"> وتقول المادة 15 من قانون الشهر العقاري في هذا المعنى</w:t>
      </w:r>
      <w:r>
        <w:rPr>
          <w:rFonts w:cs="Traditional Arabic" w:hint="cs"/>
          <w:sz w:val="28"/>
          <w:szCs w:val="32"/>
          <w:rtl/>
        </w:rPr>
        <w:t xml:space="preserve"> :</w:t>
      </w:r>
      <w:r w:rsidRPr="00EC737F">
        <w:rPr>
          <w:rFonts w:cs="Traditional Arabic" w:hint="cs"/>
          <w:sz w:val="28"/>
          <w:szCs w:val="32"/>
          <w:rtl/>
        </w:rPr>
        <w:t xml:space="preserve"> "يجب التأشير في هامش سجيل المحررات واجبة الشهر بما يقدم ضدها من الدعاوي التي يكون الغرض منها الطعن في التصرف الذي يتضمنه المحرر وجوداً أو صحة أو نفاذاً كدعاوي البطلان أو الإلغاء أو الرجوع</w:t>
      </w:r>
      <w:r>
        <w:rPr>
          <w:rFonts w:cs="Traditional Arabic" w:hint="cs"/>
          <w:sz w:val="28"/>
          <w:szCs w:val="32"/>
          <w:rtl/>
        </w:rPr>
        <w:t xml:space="preserve"> .</w:t>
      </w:r>
      <w:r w:rsidRPr="00EC737F">
        <w:rPr>
          <w:rFonts w:cs="Traditional Arabic" w:hint="cs"/>
          <w:sz w:val="28"/>
          <w:szCs w:val="32"/>
          <w:rtl/>
        </w:rPr>
        <w:t xml:space="preserve"> فإذا كان المحرر الأصلي لم يشهر</w:t>
      </w:r>
      <w:r>
        <w:rPr>
          <w:rFonts w:cs="Traditional Arabic" w:hint="cs"/>
          <w:sz w:val="28"/>
          <w:szCs w:val="32"/>
          <w:rtl/>
        </w:rPr>
        <w:t xml:space="preserve"> ،</w:t>
      </w:r>
      <w:r w:rsidRPr="00EC737F">
        <w:rPr>
          <w:rFonts w:cs="Traditional Arabic" w:hint="cs"/>
          <w:sz w:val="28"/>
          <w:szCs w:val="32"/>
          <w:rtl/>
        </w:rPr>
        <w:t xml:space="preserve"> تسجل تلك الدعاوي"</w:t>
      </w:r>
      <w:r>
        <w:rPr>
          <w:rFonts w:cs="Traditional Arabic" w:hint="cs"/>
          <w:sz w:val="28"/>
          <w:szCs w:val="32"/>
          <w:rtl/>
        </w:rPr>
        <w:t xml:space="preserve"> .</w:t>
      </w:r>
      <w:r w:rsidRPr="00EC737F">
        <w:rPr>
          <w:rFonts w:cs="Traditional Arabic" w:hint="cs"/>
          <w:sz w:val="28"/>
          <w:szCs w:val="32"/>
          <w:rtl/>
        </w:rPr>
        <w:t xml:space="preserve"> ثم تقضي المادة 17 من قانون الشهر العقاري بأنه "يترتب على تسجيل الدعاوي المذكورة بالمادة الخامسة عشر أو التأشير بها أن حق المدعي إذا تقرر بحكم مؤشر به طبق القانون</w:t>
      </w:r>
      <w:r>
        <w:rPr>
          <w:rFonts w:cs="Traditional Arabic" w:hint="cs"/>
          <w:sz w:val="28"/>
          <w:szCs w:val="32"/>
          <w:rtl/>
        </w:rPr>
        <w:t xml:space="preserve"> ،</w:t>
      </w:r>
      <w:r w:rsidRPr="00EC737F">
        <w:rPr>
          <w:rFonts w:cs="Traditional Arabic" w:hint="cs"/>
          <w:sz w:val="28"/>
          <w:szCs w:val="32"/>
          <w:rtl/>
        </w:rPr>
        <w:t xml:space="preserve"> يكون حجة على من ترتبت لهم حقوق عينية ابتداء من تاريخ تسجيل الدعاوي أو التأشير بها</w:t>
      </w:r>
      <w:r>
        <w:rPr>
          <w:rFonts w:cs="Traditional Arabic" w:hint="cs"/>
          <w:sz w:val="28"/>
          <w:szCs w:val="32"/>
          <w:rtl/>
        </w:rPr>
        <w:t xml:space="preserve"> .</w:t>
      </w:r>
      <w:r w:rsidRPr="00EC737F">
        <w:rPr>
          <w:rFonts w:cs="Traditional Arabic" w:hint="cs"/>
          <w:sz w:val="28"/>
          <w:szCs w:val="32"/>
          <w:rtl/>
        </w:rPr>
        <w:t xml:space="preserve"> ولا يكون هذا الحق حجة على الغير الذي كسب حقه بحسن نية قبل التأشير أو التسجيل المشار إليهما"</w:t>
      </w:r>
      <w:r>
        <w:rPr>
          <w:rFonts w:cs="Traditional Arabic" w:hint="cs"/>
          <w:sz w:val="28"/>
          <w:szCs w:val="32"/>
          <w:rtl/>
        </w:rPr>
        <w:t xml:space="preserve"> .</w:t>
      </w:r>
      <w:r w:rsidRPr="00EC737F">
        <w:rPr>
          <w:rFonts w:cs="Traditional Arabic" w:hint="cs"/>
          <w:sz w:val="28"/>
          <w:szCs w:val="32"/>
          <w:rtl/>
        </w:rPr>
        <w:t xml:space="preserve"> وعلى ذلك يتوقف الأمر على الوقت الذي قيد فيه حق الرهن الرسمي</w:t>
      </w:r>
      <w:r>
        <w:rPr>
          <w:rFonts w:cs="Traditional Arabic" w:hint="cs"/>
          <w:sz w:val="28"/>
          <w:szCs w:val="32"/>
          <w:rtl/>
        </w:rPr>
        <w:t xml:space="preserve"> .</w:t>
      </w:r>
      <w:r w:rsidRPr="00EC737F">
        <w:rPr>
          <w:rFonts w:cs="Traditional Arabic" w:hint="cs"/>
          <w:sz w:val="28"/>
          <w:szCs w:val="32"/>
          <w:rtl/>
        </w:rPr>
        <w:t xml:space="preserve"> فإذا كان هذا الوقت سابقاً على التأشير بدعوى المدعي في هامش تسجيل سند الراهن</w:t>
      </w:r>
      <w:r>
        <w:rPr>
          <w:rFonts w:cs="Traditional Arabic" w:hint="cs"/>
          <w:sz w:val="28"/>
          <w:szCs w:val="32"/>
          <w:rtl/>
        </w:rPr>
        <w:t xml:space="preserve"> ،</w:t>
      </w:r>
      <w:r w:rsidRPr="00EC737F">
        <w:rPr>
          <w:rFonts w:cs="Traditional Arabic" w:hint="cs"/>
          <w:sz w:val="28"/>
          <w:szCs w:val="32"/>
          <w:rtl/>
        </w:rPr>
        <w:t xml:space="preserve"> كان المفروض أصلا أن الدائن المرتهن حسن النية وقت إبرام عقد الرهن</w:t>
      </w:r>
      <w:r>
        <w:rPr>
          <w:rFonts w:cs="Traditional Arabic" w:hint="cs"/>
          <w:sz w:val="28"/>
          <w:szCs w:val="32"/>
          <w:rtl/>
        </w:rPr>
        <w:t xml:space="preserve"> ،</w:t>
      </w:r>
      <w:r w:rsidRPr="00EC737F">
        <w:rPr>
          <w:rFonts w:cs="Traditional Arabic" w:hint="cs"/>
          <w:sz w:val="28"/>
          <w:szCs w:val="32"/>
          <w:rtl/>
        </w:rPr>
        <w:t xml:space="preserve"> أي لا يعلم بأن ملكية الراهن مهددة بالزوال بأثر رجعي</w:t>
      </w:r>
      <w:r>
        <w:rPr>
          <w:rFonts w:cs="Traditional Arabic" w:hint="cs"/>
          <w:sz w:val="28"/>
          <w:szCs w:val="32"/>
          <w:rtl/>
        </w:rPr>
        <w:t xml:space="preserve"> ،</w:t>
      </w:r>
      <w:r w:rsidRPr="00EC737F">
        <w:rPr>
          <w:rFonts w:cs="Traditional Arabic" w:hint="cs"/>
          <w:sz w:val="28"/>
          <w:szCs w:val="32"/>
          <w:rtl/>
        </w:rPr>
        <w:t xml:space="preserve"> إلا إذا ثبت وجود سبب للشك في هذا الأمر فعند ذلك يكلف الدائن المرتهن بإثبات حسن نيته</w:t>
      </w:r>
      <w:r>
        <w:rPr>
          <w:rFonts w:cs="Traditional Arabic" w:hint="cs"/>
          <w:sz w:val="28"/>
          <w:szCs w:val="32"/>
          <w:rtl/>
        </w:rPr>
        <w:t xml:space="preserve"> .</w:t>
      </w:r>
      <w:r w:rsidRPr="00EC737F">
        <w:rPr>
          <w:rFonts w:cs="Traditional Arabic" w:hint="cs"/>
          <w:sz w:val="28"/>
          <w:szCs w:val="32"/>
          <w:rtl/>
        </w:rPr>
        <w:t xml:space="preserve"> أما إذا كان هذا الوقت لاحقاً لتأشير المدعي بدعواه في هامش تسجيل سند الراهن</w:t>
      </w:r>
      <w:r>
        <w:rPr>
          <w:rFonts w:cs="Traditional Arabic" w:hint="cs"/>
          <w:sz w:val="28"/>
          <w:szCs w:val="32"/>
          <w:rtl/>
        </w:rPr>
        <w:t xml:space="preserve"> ،</w:t>
      </w:r>
      <w:r w:rsidRPr="00EC737F">
        <w:rPr>
          <w:rFonts w:cs="Traditional Arabic" w:hint="cs"/>
          <w:sz w:val="28"/>
          <w:szCs w:val="32"/>
          <w:rtl/>
        </w:rPr>
        <w:t xml:space="preserve"> فإن هذه قرينة قانونية غير قابلة لإثبات العكس بأن الدائن $319 المرتهن يعلم برفع الدعوى</w:t>
      </w:r>
      <w:r>
        <w:rPr>
          <w:rFonts w:cs="Traditional Arabic" w:hint="cs"/>
          <w:sz w:val="28"/>
          <w:szCs w:val="32"/>
          <w:rtl/>
        </w:rPr>
        <w:t xml:space="preserve"> .</w:t>
      </w:r>
      <w:r w:rsidRPr="00EC737F">
        <w:rPr>
          <w:rFonts w:cs="Traditional Arabic" w:hint="cs"/>
          <w:sz w:val="28"/>
          <w:szCs w:val="32"/>
          <w:rtl/>
        </w:rPr>
        <w:t xml:space="preserve"> فإذا حكم فيها لصالح المدعي</w:t>
      </w:r>
      <w:r>
        <w:rPr>
          <w:rFonts w:cs="Traditional Arabic" w:hint="cs"/>
          <w:sz w:val="28"/>
          <w:szCs w:val="32"/>
          <w:rtl/>
        </w:rPr>
        <w:t xml:space="preserve"> ،</w:t>
      </w:r>
      <w:r w:rsidRPr="00EC737F">
        <w:rPr>
          <w:rFonts w:cs="Traditional Arabic" w:hint="cs"/>
          <w:sz w:val="28"/>
          <w:szCs w:val="32"/>
          <w:rtl/>
        </w:rPr>
        <w:t xml:space="preserve"> أن هذا الحكم حجة على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69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ونرى من ذل أنه تجب الاستعانة بالمادتين 15 و 17 من قانون </w:t>
      </w:r>
      <w:r w:rsidRPr="00EC737F">
        <w:rPr>
          <w:rFonts w:cs="Traditional Arabic" w:hint="cs"/>
          <w:sz w:val="28"/>
          <w:szCs w:val="32"/>
          <w:rtl/>
        </w:rPr>
        <w:lastRenderedPageBreak/>
        <w:t>الشهر العقار في هذا الصدد</w:t>
      </w:r>
      <w:r>
        <w:rPr>
          <w:rFonts w:cs="Traditional Arabic" w:hint="cs"/>
          <w:sz w:val="28"/>
          <w:szCs w:val="32"/>
          <w:rtl/>
        </w:rPr>
        <w:t xml:space="preserve"> ،</w:t>
      </w:r>
      <w:r w:rsidRPr="00EC737F">
        <w:rPr>
          <w:rFonts w:cs="Traditional Arabic" w:hint="cs"/>
          <w:sz w:val="28"/>
          <w:szCs w:val="32"/>
          <w:rtl/>
        </w:rPr>
        <w:t xml:space="preserve"> واعتبار التأشير بدعوى المدعي على الوجه السابق ذكره قبل قيد الرهن الرسمي قرينة قاطعة على علم الدائن المرتهن بهذه الدعوى ثم بالحكم الذي يصدر فيها لصالح المدعي</w:t>
      </w:r>
      <w:r>
        <w:rPr>
          <w:rFonts w:cs="Traditional Arabic" w:hint="cs"/>
          <w:sz w:val="28"/>
          <w:szCs w:val="32"/>
          <w:vertAlign w:val="superscript"/>
          <w:rtl/>
        </w:rPr>
        <w:t xml:space="preserve">( </w:t>
      </w:r>
      <w:r w:rsidRPr="00EC737F">
        <w:rPr>
          <w:rStyle w:val="ab"/>
          <w:rFonts w:cs="Traditional Arabic"/>
          <w:sz w:val="28"/>
          <w:szCs w:val="32"/>
          <w:rtl/>
        </w:rPr>
        <w:footnoteReference w:id="69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ثالثاً </w:t>
      </w:r>
      <w:r w:rsidRPr="00EC737F">
        <w:rPr>
          <w:rFonts w:cs="Traditional Arabic"/>
          <w:sz w:val="28"/>
          <w:szCs w:val="32"/>
          <w:rtl/>
        </w:rPr>
        <w:t>–</w:t>
      </w:r>
      <w:r w:rsidRPr="00EC737F">
        <w:rPr>
          <w:rFonts w:cs="Traditional Arabic" w:hint="cs"/>
          <w:sz w:val="28"/>
          <w:szCs w:val="32"/>
          <w:rtl/>
        </w:rPr>
        <w:t xml:space="preserve"> يجب أن تزول</w:t>
      </w:r>
      <w:r>
        <w:rPr>
          <w:rFonts w:cs="Traditional Arabic" w:hint="cs"/>
          <w:sz w:val="28"/>
          <w:szCs w:val="32"/>
          <w:rtl/>
        </w:rPr>
        <w:t xml:space="preserve"> ،</w:t>
      </w:r>
      <w:r w:rsidRPr="00EC737F">
        <w:rPr>
          <w:rFonts w:cs="Traditional Arabic" w:hint="cs"/>
          <w:sz w:val="28"/>
          <w:szCs w:val="32"/>
          <w:rtl/>
        </w:rPr>
        <w:t xml:space="preserve"> بعد الرهن</w:t>
      </w:r>
      <w:r>
        <w:rPr>
          <w:rFonts w:cs="Traditional Arabic" w:hint="cs"/>
          <w:sz w:val="28"/>
          <w:szCs w:val="32"/>
          <w:rtl/>
        </w:rPr>
        <w:t xml:space="preserve"> ،</w:t>
      </w:r>
      <w:r w:rsidRPr="00EC737F">
        <w:rPr>
          <w:rFonts w:cs="Traditional Arabic" w:hint="cs"/>
          <w:sz w:val="28"/>
          <w:szCs w:val="32"/>
          <w:rtl/>
        </w:rPr>
        <w:t xml:space="preserve"> ملكية الراهن للعقار المرهون بأثر رجعي يرتبه القانون</w:t>
      </w:r>
      <w:r>
        <w:rPr>
          <w:rFonts w:cs="Traditional Arabic" w:hint="cs"/>
          <w:sz w:val="28"/>
          <w:szCs w:val="32"/>
          <w:rtl/>
        </w:rPr>
        <w:t xml:space="preserve"> .</w:t>
      </w:r>
      <w:r w:rsidRPr="00EC737F">
        <w:rPr>
          <w:rFonts w:cs="Traditional Arabic" w:hint="cs"/>
          <w:sz w:val="28"/>
          <w:szCs w:val="32"/>
          <w:rtl/>
        </w:rPr>
        <w:t xml:space="preserve"> مثل ذلك أن يكون الراهن قد اشترى العقار المرهون بعقد قابل للإبطال لصالح البائع</w:t>
      </w:r>
      <w:r>
        <w:rPr>
          <w:rFonts w:cs="Traditional Arabic" w:hint="cs"/>
          <w:sz w:val="28"/>
          <w:szCs w:val="32"/>
          <w:rtl/>
        </w:rPr>
        <w:t xml:space="preserve"> ،</w:t>
      </w:r>
      <w:r w:rsidRPr="00EC737F">
        <w:rPr>
          <w:rFonts w:cs="Traditional Arabic" w:hint="cs"/>
          <w:sz w:val="28"/>
          <w:szCs w:val="32"/>
          <w:rtl/>
        </w:rPr>
        <w:t xml:space="preserve"> فأبطل البائع هذا البيع بعد أن رتب الراهن رهنه</w:t>
      </w:r>
      <w:r>
        <w:rPr>
          <w:rFonts w:cs="Traditional Arabic" w:hint="cs"/>
          <w:sz w:val="28"/>
          <w:szCs w:val="32"/>
          <w:rtl/>
        </w:rPr>
        <w:t xml:space="preserve"> .</w:t>
      </w:r>
      <w:r w:rsidRPr="00EC737F">
        <w:rPr>
          <w:rFonts w:cs="Traditional Arabic" w:hint="cs"/>
          <w:sz w:val="28"/>
          <w:szCs w:val="32"/>
          <w:rtl/>
        </w:rPr>
        <w:t xml:space="preserve"> ومثل ذلك أيضاً أن يكون الراهن قد اشترى العقار المرهون بثمن لم يسدده كله</w:t>
      </w:r>
      <w:r>
        <w:rPr>
          <w:rFonts w:cs="Traditional Arabic" w:hint="cs"/>
          <w:sz w:val="28"/>
          <w:szCs w:val="32"/>
          <w:rtl/>
        </w:rPr>
        <w:t xml:space="preserve"> ،</w:t>
      </w:r>
      <w:r w:rsidRPr="00EC737F">
        <w:rPr>
          <w:rFonts w:cs="Traditional Arabic" w:hint="cs"/>
          <w:sz w:val="28"/>
          <w:szCs w:val="32"/>
          <w:rtl/>
        </w:rPr>
        <w:t xml:space="preserve"> وبعد رهنه طالب البائع بفسخ البيع لعدم دفع الباقي من الثمن وفسخ البيع لذلك</w:t>
      </w:r>
      <w:r>
        <w:rPr>
          <w:rFonts w:cs="Traditional Arabic" w:hint="cs"/>
          <w:sz w:val="28"/>
          <w:szCs w:val="32"/>
          <w:rtl/>
        </w:rPr>
        <w:t xml:space="preserve"> .</w:t>
      </w:r>
      <w:r w:rsidRPr="00EC737F">
        <w:rPr>
          <w:rFonts w:cs="Traditional Arabic" w:hint="cs"/>
          <w:sz w:val="28"/>
          <w:szCs w:val="32"/>
          <w:rtl/>
        </w:rPr>
        <w:t xml:space="preserve"> ومثل ذلك أن يكون العقار المرهون جزءاً من عقار شائع</w:t>
      </w:r>
      <w:r>
        <w:rPr>
          <w:rFonts w:cs="Traditional Arabic" w:hint="cs"/>
          <w:sz w:val="28"/>
          <w:szCs w:val="32"/>
          <w:rtl/>
        </w:rPr>
        <w:t xml:space="preserve"> ،</w:t>
      </w:r>
      <w:r w:rsidRPr="00EC737F">
        <w:rPr>
          <w:rFonts w:cs="Traditional Arabic" w:hint="cs"/>
          <w:sz w:val="28"/>
          <w:szCs w:val="32"/>
          <w:rtl/>
        </w:rPr>
        <w:t xml:space="preserve"> ثم اقتسم العقار الشائع فأصاب الراهن العقار الذي رهنه</w:t>
      </w:r>
      <w:r>
        <w:rPr>
          <w:rFonts w:cs="Traditional Arabic" w:hint="cs"/>
          <w:sz w:val="28"/>
          <w:szCs w:val="32"/>
          <w:rtl/>
        </w:rPr>
        <w:t xml:space="preserve"> ،</w:t>
      </w:r>
      <w:r w:rsidRPr="00EC737F">
        <w:rPr>
          <w:rFonts w:cs="Traditional Arabic" w:hint="cs"/>
          <w:sz w:val="28"/>
          <w:szCs w:val="32"/>
          <w:rtl/>
        </w:rPr>
        <w:t xml:space="preserve"> ثم فسخ عقد القسمة للغبن أو لغير ذلك من الأسباب</w:t>
      </w:r>
      <w:r>
        <w:rPr>
          <w:rFonts w:cs="Traditional Arabic" w:hint="cs"/>
          <w:sz w:val="28"/>
          <w:szCs w:val="32"/>
          <w:rtl/>
        </w:rPr>
        <w:t xml:space="preserve"> .</w:t>
      </w:r>
      <w:r w:rsidRPr="00EC737F">
        <w:rPr>
          <w:rFonts w:cs="Traditional Arabic" w:hint="cs"/>
          <w:sz w:val="28"/>
          <w:szCs w:val="32"/>
          <w:rtl/>
        </w:rPr>
        <w:t xml:space="preserve"> ومثل ذلك أن يكون العقار المرهون موهوباً للراهن ثم رجع الواهب في هبته</w:t>
      </w:r>
      <w:r>
        <w:rPr>
          <w:rFonts w:cs="Traditional Arabic" w:hint="cs"/>
          <w:sz w:val="28"/>
          <w:szCs w:val="32"/>
          <w:rtl/>
        </w:rPr>
        <w:t xml:space="preserve"> ،</w:t>
      </w:r>
      <w:r w:rsidRPr="00EC737F">
        <w:rPr>
          <w:rFonts w:cs="Traditional Arabic" w:hint="cs"/>
          <w:sz w:val="28"/>
          <w:szCs w:val="32"/>
          <w:rtl/>
        </w:rPr>
        <w:t xml:space="preserve"> بعد الرهن</w:t>
      </w:r>
      <w:r>
        <w:rPr>
          <w:rFonts w:cs="Traditional Arabic" w:hint="cs"/>
          <w:sz w:val="28"/>
          <w:szCs w:val="32"/>
          <w:rtl/>
        </w:rPr>
        <w:t xml:space="preserve"> ،</w:t>
      </w:r>
      <w:r w:rsidRPr="00EC737F">
        <w:rPr>
          <w:rFonts w:cs="Traditional Arabic" w:hint="cs"/>
          <w:sz w:val="28"/>
          <w:szCs w:val="32"/>
          <w:rtl/>
        </w:rPr>
        <w:t xml:space="preserve"> لسبب من أسباب الرجوع</w:t>
      </w:r>
      <w:r>
        <w:rPr>
          <w:rFonts w:cs="Traditional Arabic" w:hint="cs"/>
          <w:sz w:val="28"/>
          <w:szCs w:val="32"/>
          <w:rtl/>
        </w:rPr>
        <w:t xml:space="preserve"> .</w:t>
      </w:r>
      <w:r w:rsidRPr="00EC737F">
        <w:rPr>
          <w:rFonts w:cs="Traditional Arabic" w:hint="cs"/>
          <w:sz w:val="28"/>
          <w:szCs w:val="32"/>
          <w:rtl/>
        </w:rPr>
        <w:t xml:space="preserve"> كل هذه الأسباب وغيرها من $320 أسباب زوال ملكية الراهن للعقار المرهون بأثر رجعي</w:t>
      </w:r>
      <w:r>
        <w:rPr>
          <w:rFonts w:cs="Traditional Arabic" w:hint="cs"/>
          <w:sz w:val="28"/>
          <w:szCs w:val="32"/>
          <w:vertAlign w:val="superscript"/>
          <w:rtl/>
        </w:rPr>
        <w:t xml:space="preserve">( </w:t>
      </w:r>
      <w:r w:rsidRPr="00EC737F">
        <w:rPr>
          <w:rStyle w:val="ab"/>
          <w:rFonts w:cs="Traditional Arabic"/>
          <w:sz w:val="28"/>
          <w:szCs w:val="32"/>
          <w:rtl/>
        </w:rPr>
        <w:footnoteReference w:id="69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فيجب أن تزول ملكية الراهن بسبب منها وعند ذلك يحق للدائن المرتهن أن يتمسك بالرهن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توافرت هذه الشروط الثلاثة</w:t>
      </w:r>
      <w:r>
        <w:rPr>
          <w:rFonts w:cs="Traditional Arabic" w:hint="cs"/>
          <w:sz w:val="28"/>
          <w:szCs w:val="32"/>
          <w:rtl/>
        </w:rPr>
        <w:t xml:space="preserve"> ،</w:t>
      </w:r>
      <w:r w:rsidRPr="00EC737F">
        <w:rPr>
          <w:rFonts w:cs="Traditional Arabic" w:hint="cs"/>
          <w:sz w:val="28"/>
          <w:szCs w:val="32"/>
          <w:rtl/>
        </w:rPr>
        <w:t xml:space="preserve"> بقي الرهن لمصلحة الدائن المرتهن ولو أن ملكية الراهن قد زالت </w:t>
      </w:r>
      <w:r w:rsidRPr="00EC737F">
        <w:rPr>
          <w:rFonts w:cs="Traditional Arabic" w:hint="cs"/>
          <w:sz w:val="28"/>
          <w:szCs w:val="32"/>
          <w:rtl/>
        </w:rPr>
        <w:lastRenderedPageBreak/>
        <w:t>بأثر رجعي</w:t>
      </w:r>
      <w:r>
        <w:rPr>
          <w:rFonts w:cs="Traditional Arabic" w:hint="cs"/>
          <w:sz w:val="28"/>
          <w:szCs w:val="32"/>
          <w:rtl/>
        </w:rPr>
        <w:t xml:space="preserve"> .</w:t>
      </w:r>
      <w:r w:rsidRPr="00EC737F">
        <w:rPr>
          <w:rFonts w:cs="Traditional Arabic" w:hint="cs"/>
          <w:sz w:val="28"/>
          <w:szCs w:val="32"/>
          <w:rtl/>
        </w:rPr>
        <w:t xml:space="preserve"> وقد ذهبت المذكرة الإيضاحية للمشروع التمهيدي في تبرير ذلك إلى أنه "يمكن القول إن غير المالك الذي صدر منه الرهن هو نائب عن المالك نيابة قانونية</w:t>
      </w:r>
      <w:r>
        <w:rPr>
          <w:rFonts w:cs="Traditional Arabic" w:hint="cs"/>
          <w:sz w:val="28"/>
          <w:szCs w:val="32"/>
          <w:rtl/>
        </w:rPr>
        <w:t xml:space="preserve"> ،</w:t>
      </w:r>
      <w:r w:rsidRPr="00EC737F">
        <w:rPr>
          <w:rFonts w:cs="Traditional Arabic" w:hint="cs"/>
          <w:sz w:val="28"/>
          <w:szCs w:val="32"/>
          <w:rtl/>
        </w:rPr>
        <w:t xml:space="preserve"> تبررها حماية الدائن المرتهن حسن النية</w:t>
      </w:r>
      <w:r>
        <w:rPr>
          <w:rFonts w:cs="Traditional Arabic" w:hint="cs"/>
          <w:sz w:val="28"/>
          <w:szCs w:val="32"/>
          <w:rtl/>
        </w:rPr>
        <w:t xml:space="preserve"> .</w:t>
      </w:r>
      <w:r w:rsidRPr="00EC737F">
        <w:rPr>
          <w:rFonts w:cs="Traditional Arabic" w:hint="cs"/>
          <w:sz w:val="28"/>
          <w:szCs w:val="32"/>
          <w:rtl/>
        </w:rPr>
        <w:t xml:space="preserve"> أو يقال إن الرهن الرسمي</w:t>
      </w:r>
      <w:r>
        <w:rPr>
          <w:rFonts w:cs="Traditional Arabic" w:hint="cs"/>
          <w:sz w:val="28"/>
          <w:szCs w:val="32"/>
          <w:rtl/>
        </w:rPr>
        <w:t xml:space="preserve"> ،</w:t>
      </w:r>
      <w:r w:rsidRPr="00EC737F">
        <w:rPr>
          <w:rFonts w:cs="Traditional Arabic" w:hint="cs"/>
          <w:sz w:val="28"/>
          <w:szCs w:val="32"/>
          <w:rtl/>
        </w:rPr>
        <w:t xml:space="preserve"> كما يكسب العقد</w:t>
      </w:r>
      <w:r>
        <w:rPr>
          <w:rFonts w:cs="Traditional Arabic" w:hint="cs"/>
          <w:sz w:val="28"/>
          <w:szCs w:val="32"/>
          <w:rtl/>
        </w:rPr>
        <w:t xml:space="preserve"> ،</w:t>
      </w:r>
      <w:r w:rsidRPr="00EC737F">
        <w:rPr>
          <w:rFonts w:cs="Traditional Arabic" w:hint="cs"/>
          <w:sz w:val="28"/>
          <w:szCs w:val="32"/>
          <w:rtl/>
        </w:rPr>
        <w:t xml:space="preserve"> يكسب كذلك بالسبب الصحيح الصادر من غير مالك في أحوال معينة</w:t>
      </w:r>
      <w:r>
        <w:rPr>
          <w:rFonts w:cs="Traditional Arabic" w:hint="cs"/>
          <w:sz w:val="28"/>
          <w:szCs w:val="32"/>
          <w:rtl/>
        </w:rPr>
        <w:t xml:space="preserve"> ،</w:t>
      </w:r>
      <w:r w:rsidRPr="00EC737F">
        <w:rPr>
          <w:rFonts w:cs="Traditional Arabic" w:hint="cs"/>
          <w:sz w:val="28"/>
          <w:szCs w:val="32"/>
          <w:rtl/>
        </w:rPr>
        <w:t xml:space="preserve"> إذا اقترن السبب الصحيح بحسن النية"</w:t>
      </w:r>
      <w:r>
        <w:rPr>
          <w:rFonts w:cs="Traditional Arabic" w:hint="cs"/>
          <w:sz w:val="28"/>
          <w:szCs w:val="32"/>
          <w:vertAlign w:val="superscript"/>
          <w:rtl/>
        </w:rPr>
        <w:t xml:space="preserve">( </w:t>
      </w:r>
      <w:r w:rsidRPr="00EC737F">
        <w:rPr>
          <w:rStyle w:val="ab"/>
          <w:rFonts w:cs="Traditional Arabic"/>
          <w:sz w:val="28"/>
          <w:szCs w:val="32"/>
          <w:rtl/>
        </w:rPr>
        <w:footnoteReference w:id="70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ويضاف إلى هذين الرأيين رأي ثالث</w:t>
      </w:r>
      <w:r>
        <w:rPr>
          <w:rFonts w:cs="Traditional Arabic" w:hint="cs"/>
          <w:sz w:val="28"/>
          <w:szCs w:val="32"/>
          <w:rtl/>
        </w:rPr>
        <w:t xml:space="preserve"> ،</w:t>
      </w:r>
      <w:r w:rsidRPr="00EC737F">
        <w:rPr>
          <w:rFonts w:cs="Traditional Arabic" w:hint="cs"/>
          <w:sz w:val="28"/>
          <w:szCs w:val="32"/>
          <w:rtl/>
        </w:rPr>
        <w:t xml:space="preserve"> $321 هو الرأي القائل بأن حق الرهن ينشأ مباشرة على عقار المالك الحقيقي بعد زوال ملكية الراهن بأثر رجعي</w:t>
      </w:r>
      <w:r>
        <w:rPr>
          <w:rFonts w:cs="Traditional Arabic" w:hint="cs"/>
          <w:sz w:val="28"/>
          <w:szCs w:val="32"/>
          <w:rtl/>
        </w:rPr>
        <w:t xml:space="preserve"> ،</w:t>
      </w:r>
      <w:r w:rsidRPr="00EC737F">
        <w:rPr>
          <w:rFonts w:cs="Traditional Arabic" w:hint="cs"/>
          <w:sz w:val="28"/>
          <w:szCs w:val="32"/>
          <w:rtl/>
        </w:rPr>
        <w:t xml:space="preserve"> كما لو كان العقار لا يزال على ملك الراهن</w:t>
      </w:r>
      <w:r>
        <w:rPr>
          <w:rFonts w:cs="Traditional Arabic" w:hint="cs"/>
          <w:sz w:val="28"/>
          <w:szCs w:val="32"/>
          <w:rtl/>
        </w:rPr>
        <w:t xml:space="preserve"> ،</w:t>
      </w:r>
      <w:r w:rsidRPr="00EC737F">
        <w:rPr>
          <w:rFonts w:cs="Traditional Arabic" w:hint="cs"/>
          <w:sz w:val="28"/>
          <w:szCs w:val="32"/>
          <w:rtl/>
        </w:rPr>
        <w:t xml:space="preserve"> إذ الراهن يعتبر مالكاً ظاهراً في هذا الفض</w:t>
      </w:r>
      <w:r>
        <w:rPr>
          <w:rFonts w:cs="Traditional Arabic" w:hint="cs"/>
          <w:sz w:val="28"/>
          <w:szCs w:val="32"/>
          <w:rtl/>
        </w:rPr>
        <w:t xml:space="preserve"> .</w:t>
      </w:r>
      <w:r w:rsidRPr="00EC737F">
        <w:rPr>
          <w:rFonts w:cs="Traditional Arabic" w:hint="cs"/>
          <w:sz w:val="28"/>
          <w:szCs w:val="32"/>
          <w:rtl/>
        </w:rPr>
        <w:t xml:space="preserve"> وهذه حيلة شرعية</w:t>
      </w:r>
      <w:r>
        <w:rPr>
          <w:rFonts w:cs="Traditional Arabic" w:hint="cs"/>
          <w:sz w:val="28"/>
          <w:szCs w:val="32"/>
          <w:rtl/>
        </w:rPr>
        <w:t xml:space="preserve"> ،</w:t>
      </w:r>
      <w:r w:rsidRPr="00EC737F">
        <w:rPr>
          <w:rFonts w:cs="Traditional Arabic" w:hint="cs"/>
          <w:sz w:val="28"/>
          <w:szCs w:val="32"/>
          <w:rtl/>
        </w:rPr>
        <w:t xml:space="preserve"> تفترض بقاء المال على ملك الراهن</w:t>
      </w:r>
      <w:r>
        <w:rPr>
          <w:rFonts w:cs="Traditional Arabic" w:hint="cs"/>
          <w:sz w:val="28"/>
          <w:szCs w:val="32"/>
          <w:vertAlign w:val="superscript"/>
          <w:rtl/>
        </w:rPr>
        <w:t xml:space="preserve">( </w:t>
      </w:r>
      <w:r w:rsidRPr="00EC737F">
        <w:rPr>
          <w:rStyle w:val="ab"/>
          <w:rFonts w:cs="Traditional Arabic"/>
          <w:sz w:val="28"/>
          <w:szCs w:val="32"/>
          <w:rtl/>
        </w:rPr>
        <w:footnoteReference w:id="70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وهناك رأي رابع يفسر بقثاء الرهن بعد زوال </w:t>
      </w:r>
      <w:r w:rsidRPr="00EC737F">
        <w:rPr>
          <w:rFonts w:cs="Traditional Arabic" w:hint="cs"/>
          <w:sz w:val="28"/>
          <w:szCs w:val="32"/>
          <w:rtl/>
        </w:rPr>
        <w:lastRenderedPageBreak/>
        <w:t>ملكية الراهن بالحد من إطلاق الأثر الرجعي لزوالها</w:t>
      </w:r>
      <w:r>
        <w:rPr>
          <w:rFonts w:cs="Traditional Arabic" w:hint="cs"/>
          <w:sz w:val="28"/>
          <w:szCs w:val="32"/>
          <w:rtl/>
        </w:rPr>
        <w:t xml:space="preserve"> ،</w:t>
      </w:r>
      <w:r w:rsidRPr="00EC737F">
        <w:rPr>
          <w:rFonts w:cs="Traditional Arabic" w:hint="cs"/>
          <w:sz w:val="28"/>
          <w:szCs w:val="32"/>
          <w:rtl/>
        </w:rPr>
        <w:t xml:space="preserve"> وهذا ما ذهب إليه المشرع فعلا في المادتين 15 و 17 من قانون الشهر العقاري حماية لأصحاب الحقوق العينية التي تم كسبها بحسن نية قبل زوال الملكية</w:t>
      </w:r>
      <w:r>
        <w:rPr>
          <w:rFonts w:cs="Traditional Arabic" w:hint="cs"/>
          <w:sz w:val="28"/>
          <w:szCs w:val="32"/>
          <w:rtl/>
        </w:rPr>
        <w:t xml:space="preserve"> .</w:t>
      </w:r>
      <w:r w:rsidRPr="00EC737F">
        <w:rPr>
          <w:rFonts w:cs="Traditional Arabic" w:hint="cs"/>
          <w:sz w:val="28"/>
          <w:szCs w:val="32"/>
          <w:rtl/>
        </w:rPr>
        <w:t xml:space="preserve"> فإذا روعيت الحماية المقررة في قانون تنظيم الشهر العقاري</w:t>
      </w:r>
      <w:r>
        <w:rPr>
          <w:rFonts w:cs="Traditional Arabic" w:hint="cs"/>
          <w:sz w:val="28"/>
          <w:szCs w:val="32"/>
          <w:rtl/>
        </w:rPr>
        <w:t xml:space="preserve"> ،</w:t>
      </w:r>
      <w:r w:rsidRPr="00EC737F">
        <w:rPr>
          <w:rFonts w:cs="Traditional Arabic" w:hint="cs"/>
          <w:sz w:val="28"/>
          <w:szCs w:val="32"/>
          <w:rtl/>
        </w:rPr>
        <w:t xml:space="preserve"> لم تكن المادة 1034 استثناء القواعد العامة بل تطبيقاً لقاعدة عامة جديدة بموجبها يحد المشرع من الأثر الرجعي لزوال الملكية بما لا يؤثر في حقوق الغير حسن النية</w:t>
      </w:r>
      <w:r>
        <w:rPr>
          <w:rFonts w:cs="Traditional Arabic" w:hint="cs"/>
          <w:sz w:val="28"/>
          <w:szCs w:val="32"/>
          <w:vertAlign w:val="superscript"/>
          <w:rtl/>
        </w:rPr>
        <w:t xml:space="preserve">( </w:t>
      </w:r>
      <w:r w:rsidRPr="00EC737F">
        <w:rPr>
          <w:rStyle w:val="ab"/>
          <w:rFonts w:cs="Traditional Arabic"/>
          <w:sz w:val="28"/>
          <w:szCs w:val="32"/>
          <w:rtl/>
        </w:rPr>
        <w:footnoteReference w:id="70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$322 </w:t>
      </w:r>
      <w:r w:rsidRPr="00EC737F">
        <w:rPr>
          <w:rFonts w:cs="Traditional Arabic" w:hint="cs"/>
          <w:b/>
          <w:bCs/>
          <w:sz w:val="28"/>
          <w:szCs w:val="32"/>
          <w:rtl/>
        </w:rPr>
        <w:t xml:space="preserve">144 رهن العقار </w:t>
      </w:r>
      <w:r w:rsidRPr="00EC737F">
        <w:rPr>
          <w:rFonts w:cs="Traditional Arabic"/>
          <w:b/>
          <w:bCs/>
          <w:sz w:val="28"/>
          <w:szCs w:val="32"/>
          <w:rtl/>
        </w:rPr>
        <w:t>–</w:t>
      </w:r>
      <w:r w:rsidRPr="00EC737F">
        <w:rPr>
          <w:rFonts w:cs="Traditional Arabic" w:hint="cs"/>
          <w:b/>
          <w:bCs/>
          <w:sz w:val="28"/>
          <w:szCs w:val="32"/>
          <w:rtl/>
        </w:rPr>
        <w:t xml:space="preserve"> البائع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1039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 يبقى نافذاً الرهن الصادر م جميع الملاك لعقار شائع</w:t>
      </w:r>
      <w:r>
        <w:rPr>
          <w:rFonts w:cs="Traditional Arabic" w:hint="cs"/>
          <w:sz w:val="28"/>
          <w:szCs w:val="32"/>
          <w:rtl/>
        </w:rPr>
        <w:t xml:space="preserve"> ،</w:t>
      </w:r>
      <w:r w:rsidRPr="00EC737F">
        <w:rPr>
          <w:rFonts w:cs="Traditional Arabic" w:hint="cs"/>
          <w:sz w:val="28"/>
          <w:szCs w:val="32"/>
          <w:rtl/>
        </w:rPr>
        <w:t xml:space="preserve"> أياً كانت النتيجة التي تترتب على قسم العقار فيما بعد أو على بيعه لعدم إمكانه قسمته"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وإذا رهن أحد الشركاء حصته الشائعة في العقار أو جزءاً مفرزاً من هذا العقار</w:t>
      </w:r>
      <w:r>
        <w:rPr>
          <w:rFonts w:cs="Traditional Arabic" w:hint="cs"/>
          <w:sz w:val="28"/>
          <w:szCs w:val="32"/>
          <w:rtl/>
        </w:rPr>
        <w:t xml:space="preserve"> ،</w:t>
      </w:r>
      <w:r w:rsidRPr="00EC737F">
        <w:rPr>
          <w:rFonts w:cs="Traditional Arabic" w:hint="cs"/>
          <w:sz w:val="28"/>
          <w:szCs w:val="32"/>
          <w:rtl/>
        </w:rPr>
        <w:t xml:space="preserve"> ثم وقع في نصيبه عند القسمة أعيان غير التي رهنها</w:t>
      </w:r>
      <w:r>
        <w:rPr>
          <w:rFonts w:cs="Traditional Arabic" w:hint="cs"/>
          <w:sz w:val="28"/>
          <w:szCs w:val="32"/>
          <w:rtl/>
        </w:rPr>
        <w:t xml:space="preserve"> ،</w:t>
      </w:r>
      <w:r w:rsidRPr="00EC737F">
        <w:rPr>
          <w:rFonts w:cs="Traditional Arabic" w:hint="cs"/>
          <w:sz w:val="28"/>
          <w:szCs w:val="32"/>
          <w:rtl/>
        </w:rPr>
        <w:t xml:space="preserve"> انتقل الرهن بمرتبته إلى قد رمن هذا الأعيان غير يعادل قيمة العقار الذي كان مرهوناً في الأصل</w:t>
      </w:r>
      <w:r>
        <w:rPr>
          <w:rFonts w:cs="Traditional Arabic" w:hint="cs"/>
          <w:sz w:val="28"/>
          <w:szCs w:val="32"/>
          <w:rtl/>
        </w:rPr>
        <w:t xml:space="preserve"> .</w:t>
      </w:r>
      <w:r w:rsidRPr="00EC737F">
        <w:rPr>
          <w:rFonts w:cs="Traditional Arabic" w:hint="cs"/>
          <w:sz w:val="28"/>
          <w:szCs w:val="32"/>
          <w:rtl/>
        </w:rPr>
        <w:t xml:space="preserve"> ويعين هذا القدر بأمر على عريضة</w:t>
      </w:r>
      <w:r>
        <w:rPr>
          <w:rFonts w:cs="Traditional Arabic" w:hint="cs"/>
          <w:sz w:val="28"/>
          <w:szCs w:val="32"/>
          <w:rtl/>
        </w:rPr>
        <w:t xml:space="preserve"> ،</w:t>
      </w:r>
      <w:r w:rsidRPr="00EC737F">
        <w:rPr>
          <w:rFonts w:cs="Traditional Arabic" w:hint="cs"/>
          <w:sz w:val="28"/>
          <w:szCs w:val="32"/>
          <w:rtl/>
        </w:rPr>
        <w:t xml:space="preserve"> ويقوم الدائن المرتهن بإجراء قيد جديد يبين فيه القدر الذي انتقل إليه الرهن خلال تسعين يوماً من الوقت الذي يخطره فيه أي ذي شأن بتسجيل القسمة</w:t>
      </w:r>
      <w:r>
        <w:rPr>
          <w:rFonts w:cs="Traditional Arabic" w:hint="cs"/>
          <w:sz w:val="28"/>
          <w:szCs w:val="32"/>
          <w:rtl/>
        </w:rPr>
        <w:t xml:space="preserve"> .</w:t>
      </w:r>
      <w:r w:rsidRPr="00EC737F">
        <w:rPr>
          <w:rFonts w:cs="Traditional Arabic" w:hint="cs"/>
          <w:sz w:val="28"/>
          <w:szCs w:val="32"/>
          <w:rtl/>
        </w:rPr>
        <w:t xml:space="preserve"> ولا يضر انتقال الرهن على هذا الوجه برهن صدر من جميع الشركاء</w:t>
      </w:r>
      <w:r>
        <w:rPr>
          <w:rFonts w:cs="Traditional Arabic" w:hint="cs"/>
          <w:sz w:val="28"/>
          <w:szCs w:val="32"/>
          <w:rtl/>
        </w:rPr>
        <w:t xml:space="preserve"> ،</w:t>
      </w:r>
      <w:r w:rsidRPr="00EC737F">
        <w:rPr>
          <w:rFonts w:cs="Traditional Arabic" w:hint="cs"/>
          <w:sz w:val="28"/>
          <w:szCs w:val="32"/>
          <w:rtl/>
        </w:rPr>
        <w:t xml:space="preserve"> ولا بامتياز المتقاسمين"</w:t>
      </w:r>
      <w:r>
        <w:rPr>
          <w:rFonts w:cs="Traditional Arabic" w:hint="cs"/>
          <w:sz w:val="28"/>
          <w:szCs w:val="32"/>
          <w:vertAlign w:val="superscript"/>
          <w:rtl/>
        </w:rPr>
        <w:t xml:space="preserve">( </w:t>
      </w:r>
      <w:r w:rsidRPr="00EC737F">
        <w:rPr>
          <w:rStyle w:val="ab"/>
          <w:rFonts w:cs="Traditional Arabic"/>
          <w:sz w:val="28"/>
          <w:szCs w:val="32"/>
          <w:rtl/>
        </w:rPr>
        <w:footnoteReference w:id="70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ويستخلص من هذا النص أنه إذا كان هناك عقار شائع</w:t>
      </w:r>
      <w:r>
        <w:rPr>
          <w:rFonts w:cs="Traditional Arabic" w:hint="cs"/>
          <w:sz w:val="28"/>
          <w:szCs w:val="32"/>
          <w:rtl/>
        </w:rPr>
        <w:t xml:space="preserve"> ،</w:t>
      </w:r>
      <w:r w:rsidRPr="00EC737F">
        <w:rPr>
          <w:rFonts w:cs="Traditional Arabic" w:hint="cs"/>
          <w:sz w:val="28"/>
          <w:szCs w:val="32"/>
          <w:rtl/>
        </w:rPr>
        <w:t xml:space="preserve"> فيمكن أن يرهنه جميع الشركاء</w:t>
      </w:r>
      <w:r>
        <w:rPr>
          <w:rFonts w:cs="Traditional Arabic" w:hint="cs"/>
          <w:sz w:val="28"/>
          <w:szCs w:val="32"/>
          <w:rtl/>
        </w:rPr>
        <w:t xml:space="preserve"> ،</w:t>
      </w:r>
      <w:r w:rsidRPr="00EC737F">
        <w:rPr>
          <w:rFonts w:cs="Traditional Arabic" w:hint="cs"/>
          <w:sz w:val="28"/>
          <w:szCs w:val="32"/>
          <w:rtl/>
        </w:rPr>
        <w:t xml:space="preserve"> ويكون الرهن نافذاً في حق الجميع</w:t>
      </w:r>
      <w:r>
        <w:rPr>
          <w:rFonts w:cs="Traditional Arabic" w:hint="cs"/>
          <w:sz w:val="28"/>
          <w:szCs w:val="32"/>
          <w:rtl/>
        </w:rPr>
        <w:t xml:space="preserve"> ،</w:t>
      </w:r>
      <w:r w:rsidRPr="00EC737F">
        <w:rPr>
          <w:rFonts w:cs="Traditional Arabic" w:hint="cs"/>
          <w:sz w:val="28"/>
          <w:szCs w:val="32"/>
          <w:rtl/>
        </w:rPr>
        <w:t xml:space="preserve"> أيا كانت النتيجة التي تترتب على قسمة العقار أو على بيعه لعدم إمكان قسمته</w:t>
      </w:r>
      <w:r>
        <w:rPr>
          <w:rFonts w:cs="Traditional Arabic" w:hint="cs"/>
          <w:sz w:val="28"/>
          <w:szCs w:val="32"/>
          <w:rtl/>
        </w:rPr>
        <w:t xml:space="preserve"> .</w:t>
      </w:r>
      <w:r w:rsidRPr="00EC737F">
        <w:rPr>
          <w:rFonts w:cs="Traditional Arabic" w:hint="cs"/>
          <w:sz w:val="28"/>
          <w:szCs w:val="32"/>
          <w:rtl/>
        </w:rPr>
        <w:t xml:space="preserve"> ويمكن أيضاً أن يرهن العقار الشائع أحد الشركاء</w:t>
      </w:r>
      <w:r>
        <w:rPr>
          <w:rFonts w:cs="Traditional Arabic" w:hint="cs"/>
          <w:sz w:val="28"/>
          <w:szCs w:val="32"/>
          <w:rtl/>
        </w:rPr>
        <w:t xml:space="preserve"> .</w:t>
      </w:r>
      <w:r w:rsidRPr="00EC737F">
        <w:rPr>
          <w:rFonts w:cs="Traditional Arabic" w:hint="cs"/>
          <w:sz w:val="28"/>
          <w:szCs w:val="32"/>
          <w:rtl/>
        </w:rPr>
        <w:t xml:space="preserve"> وهذا الشريك الراهن إما أن $323 يرهن حصته الشائعة في العقار</w:t>
      </w:r>
      <w:r>
        <w:rPr>
          <w:rFonts w:cs="Traditional Arabic" w:hint="cs"/>
          <w:sz w:val="28"/>
          <w:szCs w:val="32"/>
          <w:rtl/>
        </w:rPr>
        <w:t xml:space="preserve"> ،</w:t>
      </w:r>
      <w:r w:rsidRPr="00EC737F">
        <w:rPr>
          <w:rFonts w:cs="Traditional Arabic" w:hint="cs"/>
          <w:sz w:val="28"/>
          <w:szCs w:val="32"/>
          <w:rtl/>
        </w:rPr>
        <w:t xml:space="preserve"> أو يرهن جزءاً مقرراً في هذا العقار بقدر عادة أنه هو الجزء المفرز الذي سيصيبه من قسمة العقار</w:t>
      </w:r>
      <w:r>
        <w:rPr>
          <w:rFonts w:cs="Traditional Arabic" w:hint="cs"/>
          <w:sz w:val="28"/>
          <w:szCs w:val="32"/>
          <w:rtl/>
        </w:rPr>
        <w:t xml:space="preserve"> ،</w:t>
      </w:r>
      <w:r w:rsidRPr="00EC737F">
        <w:rPr>
          <w:rFonts w:cs="Traditional Arabic" w:hint="cs"/>
          <w:sz w:val="28"/>
          <w:szCs w:val="32"/>
          <w:rtl/>
        </w:rPr>
        <w:t xml:space="preserve"> أو يرهن جميع العقار الشائع  وهذا الفرض الأخير لم يتعرض له النص</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فنبحث إذن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رهن جميع الشركاء للعقار الشائع</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رهن أحد الشركاء لحصته الشائعة في العقار الشائع</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رهن أحد الشركاء لجزء مفرز من العقار الشائع</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رهن أحد الشركاء لجميع العقار الشائع</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145- رهن جميع الشركاء للعقار الشائع</w:t>
      </w:r>
      <w:r>
        <w:rPr>
          <w:rFonts w:cs="Traditional Arabic" w:hint="cs"/>
          <w:sz w:val="28"/>
          <w:szCs w:val="32"/>
          <w:rtl/>
        </w:rPr>
        <w:t xml:space="preserve"> :</w:t>
      </w:r>
      <w:r w:rsidRPr="00EC737F">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704"/>
      </w:r>
      <w:r>
        <w:rPr>
          <w:rFonts w:cs="Traditional Arabic" w:hint="cs"/>
          <w:sz w:val="28"/>
          <w:szCs w:val="32"/>
          <w:vertAlign w:val="superscript"/>
          <w:rtl/>
        </w:rPr>
        <w:t xml:space="preserve"> )</w:t>
      </w:r>
      <w:r w:rsidRPr="00EC737F">
        <w:rPr>
          <w:rFonts w:cs="Traditional Arabic" w:hint="cs"/>
          <w:sz w:val="28"/>
          <w:szCs w:val="32"/>
          <w:rtl/>
        </w:rPr>
        <w:t xml:space="preserve"> أن الفقرة الأولى من المادة 1039 مدني تنص على أنه "تبقى نافذاً الرهن الصادر من جميع الملاك لعقار شائع</w:t>
      </w:r>
      <w:r>
        <w:rPr>
          <w:rFonts w:cs="Traditional Arabic" w:hint="cs"/>
          <w:sz w:val="28"/>
          <w:szCs w:val="32"/>
          <w:rtl/>
        </w:rPr>
        <w:t xml:space="preserve"> ،</w:t>
      </w:r>
      <w:r w:rsidRPr="00EC737F">
        <w:rPr>
          <w:rFonts w:cs="Traditional Arabic" w:hint="cs"/>
          <w:sz w:val="28"/>
          <w:szCs w:val="32"/>
          <w:rtl/>
        </w:rPr>
        <w:t xml:space="preserve"> أياً كانت النتيجة التي تترتب على قسمة العقار فيما بعد أو على بيعه لعدم إمكان قسمته"</w:t>
      </w:r>
      <w:r>
        <w:rPr>
          <w:rFonts w:cs="Traditional Arabic" w:hint="cs"/>
          <w:sz w:val="28"/>
          <w:szCs w:val="32"/>
          <w:rtl/>
        </w:rPr>
        <w:t xml:space="preserve"> .</w:t>
      </w:r>
      <w:r w:rsidRPr="00EC737F">
        <w:rPr>
          <w:rFonts w:cs="Traditional Arabic" w:hint="cs"/>
          <w:sz w:val="28"/>
          <w:szCs w:val="32"/>
          <w:rtl/>
        </w:rPr>
        <w:t xml:space="preserve"> فالنص يفرض أن هناك عقاراً شائعاً بين عدة شركاء</w:t>
      </w:r>
      <w:r>
        <w:rPr>
          <w:rFonts w:cs="Traditional Arabic" w:hint="cs"/>
          <w:sz w:val="28"/>
          <w:szCs w:val="32"/>
          <w:rtl/>
        </w:rPr>
        <w:t xml:space="preserve"> ،</w:t>
      </w:r>
      <w:r w:rsidRPr="00EC737F">
        <w:rPr>
          <w:rFonts w:cs="Traditional Arabic" w:hint="cs"/>
          <w:sz w:val="28"/>
          <w:szCs w:val="32"/>
          <w:rtl/>
        </w:rPr>
        <w:t xml:space="preserve"> ثلاثة مثلاً</w:t>
      </w:r>
      <w:r>
        <w:rPr>
          <w:rFonts w:cs="Traditional Arabic" w:hint="cs"/>
          <w:sz w:val="28"/>
          <w:szCs w:val="32"/>
          <w:rtl/>
        </w:rPr>
        <w:t xml:space="preserve"> ،</w:t>
      </w:r>
      <w:r w:rsidRPr="00EC737F">
        <w:rPr>
          <w:rFonts w:cs="Traditional Arabic" w:hint="cs"/>
          <w:sz w:val="28"/>
          <w:szCs w:val="32"/>
          <w:rtl/>
        </w:rPr>
        <w:t xml:space="preserve"> وأن هؤلاء الثلاثة رهنوا هذا العقار الشائع</w:t>
      </w:r>
      <w:r>
        <w:rPr>
          <w:rFonts w:cs="Traditional Arabic" w:hint="cs"/>
          <w:sz w:val="28"/>
          <w:szCs w:val="32"/>
          <w:rtl/>
        </w:rPr>
        <w:t xml:space="preserve"> .</w:t>
      </w:r>
      <w:r w:rsidRPr="00EC737F">
        <w:rPr>
          <w:rFonts w:cs="Traditional Arabic" w:hint="cs"/>
          <w:sz w:val="28"/>
          <w:szCs w:val="32"/>
          <w:rtl/>
        </w:rPr>
        <w:t xml:space="preserve"> فالرهن الصادر من هؤلاء الثلاثة</w:t>
      </w:r>
      <w:r>
        <w:rPr>
          <w:rFonts w:cs="Traditional Arabic" w:hint="cs"/>
          <w:sz w:val="28"/>
          <w:szCs w:val="32"/>
          <w:rtl/>
        </w:rPr>
        <w:t xml:space="preserve"> ،</w:t>
      </w:r>
      <w:r w:rsidRPr="00EC737F">
        <w:rPr>
          <w:rFonts w:cs="Traditional Arabic" w:hint="cs"/>
          <w:sz w:val="28"/>
          <w:szCs w:val="32"/>
          <w:rtl/>
        </w:rPr>
        <w:t xml:space="preserve"> وهم جميع الشركاء المشتاعين</w:t>
      </w:r>
      <w:r>
        <w:rPr>
          <w:rFonts w:cs="Traditional Arabic" w:hint="cs"/>
          <w:sz w:val="28"/>
          <w:szCs w:val="32"/>
          <w:rtl/>
        </w:rPr>
        <w:t xml:space="preserve"> ،</w:t>
      </w:r>
      <w:r w:rsidRPr="00EC737F">
        <w:rPr>
          <w:rFonts w:cs="Traditional Arabic" w:hint="cs"/>
          <w:sz w:val="28"/>
          <w:szCs w:val="32"/>
          <w:rtl/>
        </w:rPr>
        <w:t xml:space="preserve"> يكون رهناً صحيحاً نافذاً في حق الجميع</w:t>
      </w:r>
      <w:r>
        <w:rPr>
          <w:rFonts w:cs="Traditional Arabic" w:hint="cs"/>
          <w:sz w:val="28"/>
          <w:szCs w:val="32"/>
          <w:rtl/>
        </w:rPr>
        <w:t xml:space="preserve"> ،</w:t>
      </w:r>
      <w:r w:rsidRPr="00EC737F">
        <w:rPr>
          <w:rFonts w:cs="Traditional Arabic" w:hint="cs"/>
          <w:sz w:val="28"/>
          <w:szCs w:val="32"/>
          <w:rtl/>
        </w:rPr>
        <w:t xml:space="preserve"> سواء كان ذلك قبل القسمة</w:t>
      </w:r>
      <w:r>
        <w:rPr>
          <w:rFonts w:cs="Traditional Arabic" w:hint="cs"/>
          <w:sz w:val="28"/>
          <w:szCs w:val="32"/>
          <w:rtl/>
        </w:rPr>
        <w:t xml:space="preserve"> ،</w:t>
      </w:r>
      <w:r w:rsidRPr="00EC737F">
        <w:rPr>
          <w:rFonts w:cs="Traditional Arabic" w:hint="cs"/>
          <w:sz w:val="28"/>
          <w:szCs w:val="32"/>
          <w:rtl/>
        </w:rPr>
        <w:t xml:space="preserve"> أو بعد القسمة</w:t>
      </w:r>
      <w:r>
        <w:rPr>
          <w:rFonts w:cs="Traditional Arabic" w:hint="cs"/>
          <w:sz w:val="28"/>
          <w:szCs w:val="32"/>
          <w:rtl/>
        </w:rPr>
        <w:t xml:space="preserve"> ،</w:t>
      </w:r>
      <w:r w:rsidRPr="00EC737F">
        <w:rPr>
          <w:rFonts w:cs="Traditional Arabic" w:hint="cs"/>
          <w:sz w:val="28"/>
          <w:szCs w:val="32"/>
          <w:rtl/>
        </w:rPr>
        <w:t xml:space="preserve"> أو بعد البيع لعدم إمكان القسمة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فالرهن يكون صحيحاً نافذاً قبل القسمة</w:t>
      </w:r>
      <w:r>
        <w:rPr>
          <w:rFonts w:cs="Traditional Arabic" w:hint="cs"/>
          <w:sz w:val="28"/>
          <w:szCs w:val="32"/>
          <w:rtl/>
        </w:rPr>
        <w:t xml:space="preserve"> ،</w:t>
      </w:r>
      <w:r w:rsidRPr="00EC737F">
        <w:rPr>
          <w:rFonts w:cs="Traditional Arabic" w:hint="cs"/>
          <w:sz w:val="28"/>
          <w:szCs w:val="32"/>
          <w:rtl/>
        </w:rPr>
        <w:t xml:space="preserve"> لأنه صدر من الثلاثة الشركاء وهو جميع الشركاء المشتاعين</w:t>
      </w:r>
      <w:r>
        <w:rPr>
          <w:rFonts w:cs="Traditional Arabic" w:hint="cs"/>
          <w:sz w:val="28"/>
          <w:szCs w:val="32"/>
          <w:rtl/>
        </w:rPr>
        <w:t xml:space="preserve"> .</w:t>
      </w:r>
      <w:r w:rsidRPr="00EC737F">
        <w:rPr>
          <w:rFonts w:cs="Traditional Arabic" w:hint="cs"/>
          <w:sz w:val="28"/>
          <w:szCs w:val="32"/>
          <w:rtl/>
        </w:rPr>
        <w:t xml:space="preserve"> فإذا باع هؤلاء العقار الشائع بعد رهنه</w:t>
      </w:r>
      <w:r>
        <w:rPr>
          <w:rFonts w:cs="Traditional Arabic" w:hint="cs"/>
          <w:sz w:val="28"/>
          <w:szCs w:val="32"/>
          <w:rtl/>
        </w:rPr>
        <w:t xml:space="preserve"> ،</w:t>
      </w:r>
      <w:r w:rsidRPr="00EC737F">
        <w:rPr>
          <w:rFonts w:cs="Traditional Arabic" w:hint="cs"/>
          <w:sz w:val="28"/>
          <w:szCs w:val="32"/>
          <w:rtl/>
        </w:rPr>
        <w:t xml:space="preserve"> فإنه ينتقل إلى المشتري مثقلا بالرهن</w:t>
      </w:r>
      <w:r>
        <w:rPr>
          <w:rFonts w:cs="Traditional Arabic" w:hint="cs"/>
          <w:sz w:val="28"/>
          <w:szCs w:val="32"/>
          <w:rtl/>
        </w:rPr>
        <w:t xml:space="preserve"> ،</w:t>
      </w:r>
      <w:r w:rsidRPr="00EC737F">
        <w:rPr>
          <w:rFonts w:cs="Traditional Arabic" w:hint="cs"/>
          <w:sz w:val="28"/>
          <w:szCs w:val="32"/>
          <w:rtl/>
        </w:rPr>
        <w:t xml:space="preserve"> ويتتبع الدائن </w:t>
      </w:r>
      <w:r w:rsidRPr="00EC737F">
        <w:rPr>
          <w:rFonts w:cs="Traditional Arabic" w:hint="cs"/>
          <w:sz w:val="28"/>
          <w:szCs w:val="32"/>
          <w:rtl/>
        </w:rPr>
        <w:lastRenderedPageBreak/>
        <w:t>المرتهن العقار الشائع في يد المشتري وهو الحائز للعقار</w:t>
      </w:r>
      <w:r>
        <w:rPr>
          <w:rFonts w:cs="Traditional Arabic" w:hint="cs"/>
          <w:sz w:val="28"/>
          <w:szCs w:val="32"/>
          <w:rtl/>
        </w:rPr>
        <w:t xml:space="preserve"> .</w:t>
      </w:r>
      <w:r w:rsidRPr="00EC737F">
        <w:rPr>
          <w:rFonts w:cs="Traditional Arabic" w:hint="cs"/>
          <w:sz w:val="28"/>
          <w:szCs w:val="32"/>
          <w:rtl/>
        </w:rPr>
        <w:t xml:space="preserve"> وإذا بقي العقار الشائع في ملكية الشركاء</w:t>
      </w:r>
      <w:r>
        <w:rPr>
          <w:rFonts w:cs="Traditional Arabic" w:hint="cs"/>
          <w:sz w:val="28"/>
          <w:szCs w:val="32"/>
          <w:rtl/>
        </w:rPr>
        <w:t xml:space="preserve"> ،</w:t>
      </w:r>
      <w:r w:rsidRPr="00EC737F">
        <w:rPr>
          <w:rFonts w:cs="Traditional Arabic" w:hint="cs"/>
          <w:sz w:val="28"/>
          <w:szCs w:val="32"/>
          <w:rtl/>
        </w:rPr>
        <w:t xml:space="preserve"> وأراد أحد دائني شريك منهم التنفيذ عليه</w:t>
      </w:r>
      <w:r>
        <w:rPr>
          <w:rFonts w:cs="Traditional Arabic" w:hint="cs"/>
          <w:sz w:val="28"/>
          <w:szCs w:val="32"/>
          <w:rtl/>
        </w:rPr>
        <w:t xml:space="preserve"> ،</w:t>
      </w:r>
      <w:r w:rsidRPr="00EC737F">
        <w:rPr>
          <w:rFonts w:cs="Traditional Arabic" w:hint="cs"/>
          <w:sz w:val="28"/>
          <w:szCs w:val="32"/>
          <w:rtl/>
        </w:rPr>
        <w:t xml:space="preserve"> فإن الدائن المرتهن يتقدم على هذا الدائن العادي لأنه دائن مرتهن</w:t>
      </w:r>
      <w:r>
        <w:rPr>
          <w:rFonts w:cs="Traditional Arabic" w:hint="cs"/>
          <w:sz w:val="28"/>
          <w:szCs w:val="32"/>
          <w:rtl/>
        </w:rPr>
        <w:t xml:space="preserve"> .</w:t>
      </w:r>
      <w:r w:rsidRPr="00EC737F">
        <w:rPr>
          <w:rFonts w:cs="Traditional Arabic" w:hint="cs"/>
          <w:sz w:val="28"/>
          <w:szCs w:val="32"/>
          <w:rtl/>
        </w:rPr>
        <w:t xml:space="preserve"> وإذا مات بعض الثلاثة الشركاء أو كلهم</w:t>
      </w:r>
      <w:r>
        <w:rPr>
          <w:rFonts w:cs="Traditional Arabic" w:hint="cs"/>
          <w:sz w:val="28"/>
          <w:szCs w:val="32"/>
          <w:rtl/>
        </w:rPr>
        <w:t xml:space="preserve"> ،</w:t>
      </w:r>
      <w:r w:rsidRPr="00EC737F">
        <w:rPr>
          <w:rFonts w:cs="Traditional Arabic" w:hint="cs"/>
          <w:sz w:val="28"/>
          <w:szCs w:val="32"/>
          <w:rtl/>
        </w:rPr>
        <w:t xml:space="preserve"> انتقل العقار مرهوناً إلى الورثة</w:t>
      </w:r>
      <w:r>
        <w:rPr>
          <w:rFonts w:cs="Traditional Arabic" w:hint="cs"/>
          <w:sz w:val="28"/>
          <w:szCs w:val="32"/>
          <w:rtl/>
        </w:rPr>
        <w:t xml:space="preserve"> .</w:t>
      </w:r>
      <w:r w:rsidRPr="00EC737F">
        <w:rPr>
          <w:rFonts w:cs="Traditional Arabic" w:hint="cs"/>
          <w:sz w:val="28"/>
          <w:szCs w:val="32"/>
          <w:rtl/>
        </w:rPr>
        <w:t xml:space="preserve"> وعلى ذلك يسري الرهن في $324 حق الشركاء الثلاثة</w:t>
      </w:r>
      <w:r>
        <w:rPr>
          <w:rFonts w:cs="Traditional Arabic" w:hint="cs"/>
          <w:sz w:val="28"/>
          <w:szCs w:val="32"/>
          <w:rtl/>
        </w:rPr>
        <w:t xml:space="preserve"> ،</w:t>
      </w:r>
      <w:r w:rsidRPr="00EC737F">
        <w:rPr>
          <w:rFonts w:cs="Traditional Arabic" w:hint="cs"/>
          <w:sz w:val="28"/>
          <w:szCs w:val="32"/>
          <w:rtl/>
        </w:rPr>
        <w:t xml:space="preserve"> وفي حق دائنيهم</w:t>
      </w:r>
      <w:r>
        <w:rPr>
          <w:rFonts w:cs="Traditional Arabic" w:hint="cs"/>
          <w:sz w:val="28"/>
          <w:szCs w:val="32"/>
          <w:rtl/>
        </w:rPr>
        <w:t xml:space="preserve"> ،</w:t>
      </w:r>
      <w:r w:rsidRPr="00EC737F">
        <w:rPr>
          <w:rFonts w:cs="Traditional Arabic" w:hint="cs"/>
          <w:sz w:val="28"/>
          <w:szCs w:val="32"/>
          <w:rtl/>
        </w:rPr>
        <w:t xml:space="preserve"> وفي حق الخلف الخاص والخلف العام</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والرهن يكون صحيحاً نافذاً بعد القسمة</w:t>
      </w:r>
      <w:r>
        <w:rPr>
          <w:rFonts w:cs="Traditional Arabic" w:hint="cs"/>
          <w:sz w:val="28"/>
          <w:szCs w:val="32"/>
          <w:rtl/>
        </w:rPr>
        <w:t xml:space="preserve"> ،</w:t>
      </w:r>
      <w:r w:rsidRPr="00EC737F">
        <w:rPr>
          <w:rFonts w:cs="Traditional Arabic" w:hint="cs"/>
          <w:sz w:val="28"/>
          <w:szCs w:val="32"/>
          <w:rtl/>
        </w:rPr>
        <w:t xml:space="preserve"> و بعد البيع لعدم إمكان القسمة عيناً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اقتسم الثلاثة الشركاء العقار الشائع</w:t>
      </w:r>
      <w:r>
        <w:rPr>
          <w:rFonts w:cs="Traditional Arabic" w:hint="cs"/>
          <w:sz w:val="28"/>
          <w:szCs w:val="32"/>
          <w:rtl/>
        </w:rPr>
        <w:t xml:space="preserve"> ،</w:t>
      </w:r>
      <w:r w:rsidRPr="00EC737F">
        <w:rPr>
          <w:rFonts w:cs="Traditional Arabic" w:hint="cs"/>
          <w:sz w:val="28"/>
          <w:szCs w:val="32"/>
          <w:rtl/>
        </w:rPr>
        <w:t xml:space="preserve"> وأخذ كل منهم حصة مفرزة من هذا العقار فإن هذه الحصة المفرزة التي تقع في نصيب كل من الشركاء الثلاثة تكون مثقلة بحق الرهن</w:t>
      </w:r>
      <w:r>
        <w:rPr>
          <w:rFonts w:cs="Traditional Arabic" w:hint="cs"/>
          <w:sz w:val="28"/>
          <w:szCs w:val="32"/>
          <w:rtl/>
        </w:rPr>
        <w:t xml:space="preserve"> ،</w:t>
      </w:r>
      <w:r w:rsidRPr="00EC737F">
        <w:rPr>
          <w:rFonts w:cs="Traditional Arabic" w:hint="cs"/>
          <w:sz w:val="28"/>
          <w:szCs w:val="32"/>
          <w:rtl/>
        </w:rPr>
        <w:t xml:space="preserve"> لأن الشركاء الثلاثة كلهم قد رهنوا العقار عندما كان شائعاً</w:t>
      </w:r>
      <w:r>
        <w:rPr>
          <w:rFonts w:cs="Traditional Arabic" w:hint="cs"/>
          <w:sz w:val="28"/>
          <w:szCs w:val="32"/>
          <w:rtl/>
        </w:rPr>
        <w:t xml:space="preserve"> ،</w:t>
      </w:r>
      <w:r w:rsidRPr="00EC737F">
        <w:rPr>
          <w:rFonts w:cs="Traditional Arabic" w:hint="cs"/>
          <w:sz w:val="28"/>
          <w:szCs w:val="32"/>
          <w:rtl/>
        </w:rPr>
        <w:t xml:space="preserve"> فيبقى مرهوناً عند إفرازه</w:t>
      </w:r>
      <w:r>
        <w:rPr>
          <w:rFonts w:cs="Traditional Arabic" w:hint="cs"/>
          <w:sz w:val="28"/>
          <w:szCs w:val="32"/>
          <w:rtl/>
        </w:rPr>
        <w:t xml:space="preserve"> .</w:t>
      </w:r>
      <w:r w:rsidRPr="00EC737F">
        <w:rPr>
          <w:rFonts w:cs="Traditional Arabic" w:hint="cs"/>
          <w:sz w:val="28"/>
          <w:szCs w:val="32"/>
          <w:rtl/>
        </w:rPr>
        <w:t xml:space="preserve"> أما إذا وقع العقار الشائع في نصيب أحد الشركاء الثلاثة</w:t>
      </w:r>
      <w:r>
        <w:rPr>
          <w:rFonts w:cs="Traditional Arabic" w:hint="cs"/>
          <w:sz w:val="28"/>
          <w:szCs w:val="32"/>
          <w:rtl/>
        </w:rPr>
        <w:t xml:space="preserve"> ،</w:t>
      </w:r>
      <w:r w:rsidRPr="00EC737F">
        <w:rPr>
          <w:rFonts w:cs="Traditional Arabic" w:hint="cs"/>
          <w:sz w:val="28"/>
          <w:szCs w:val="32"/>
          <w:rtl/>
        </w:rPr>
        <w:t xml:space="preserve"> وأخذ كل من الشريكين الآخرين نصيبه مفرزاً في عقار أو عقارات أخرى شائعة بين الثلاثة</w:t>
      </w:r>
      <w:r>
        <w:rPr>
          <w:rFonts w:cs="Traditional Arabic" w:hint="cs"/>
          <w:sz w:val="28"/>
          <w:szCs w:val="32"/>
          <w:rtl/>
        </w:rPr>
        <w:t xml:space="preserve"> ،</w:t>
      </w:r>
      <w:r w:rsidRPr="00EC737F">
        <w:rPr>
          <w:rFonts w:cs="Traditional Arabic" w:hint="cs"/>
          <w:sz w:val="28"/>
          <w:szCs w:val="32"/>
          <w:rtl/>
        </w:rPr>
        <w:t xml:space="preserve"> فإن العقار الشائع المرهون ينتقل مرهوناً إلى الشريك الذي وقع في نصيبه</w:t>
      </w:r>
      <w:r>
        <w:rPr>
          <w:rFonts w:cs="Traditional Arabic" w:hint="cs"/>
          <w:sz w:val="28"/>
          <w:szCs w:val="32"/>
          <w:rtl/>
        </w:rPr>
        <w:t xml:space="preserve"> .</w:t>
      </w:r>
      <w:r w:rsidRPr="00EC737F">
        <w:rPr>
          <w:rFonts w:cs="Traditional Arabic" w:hint="cs"/>
          <w:sz w:val="28"/>
          <w:szCs w:val="32"/>
          <w:rtl/>
        </w:rPr>
        <w:t xml:space="preserve"> وقد يعترض على ذلك بأن العقار كله وقع في نصيب واحد من الثلاثة الشركاء</w:t>
      </w:r>
      <w:r>
        <w:rPr>
          <w:rFonts w:cs="Traditional Arabic" w:hint="cs"/>
          <w:sz w:val="28"/>
          <w:szCs w:val="32"/>
          <w:rtl/>
        </w:rPr>
        <w:t xml:space="preserve"> ،</w:t>
      </w:r>
      <w:r w:rsidRPr="00EC737F">
        <w:rPr>
          <w:rFonts w:cs="Traditional Arabic" w:hint="cs"/>
          <w:sz w:val="28"/>
          <w:szCs w:val="32"/>
          <w:rtl/>
        </w:rPr>
        <w:t xml:space="preserve"> وهذا الشريك لم يرهن عند الشيوع إلا نصيبه شائعاً</w:t>
      </w:r>
      <w:r>
        <w:rPr>
          <w:rFonts w:cs="Traditional Arabic" w:hint="cs"/>
          <w:sz w:val="28"/>
          <w:szCs w:val="32"/>
          <w:rtl/>
        </w:rPr>
        <w:t xml:space="preserve"> ،</w:t>
      </w:r>
      <w:r w:rsidRPr="00EC737F">
        <w:rPr>
          <w:rFonts w:cs="Traditional Arabic" w:hint="cs"/>
          <w:sz w:val="28"/>
          <w:szCs w:val="32"/>
          <w:rtl/>
        </w:rPr>
        <w:t xml:space="preserve"> فيجب أن ينتقل إليه العقار مثقلاً بالرهن بمقدار نصيبه في الشيوع فحسب</w:t>
      </w:r>
      <w:r>
        <w:rPr>
          <w:rFonts w:cs="Traditional Arabic" w:hint="cs"/>
          <w:sz w:val="28"/>
          <w:szCs w:val="32"/>
          <w:rtl/>
        </w:rPr>
        <w:t xml:space="preserve"> .</w:t>
      </w:r>
      <w:r w:rsidRPr="00EC737F">
        <w:rPr>
          <w:rFonts w:cs="Traditional Arabic" w:hint="cs"/>
          <w:sz w:val="28"/>
          <w:szCs w:val="32"/>
          <w:rtl/>
        </w:rPr>
        <w:t xml:space="preserve"> فإذا كانت حصص الشركاء الثلاثة متساوية</w:t>
      </w:r>
      <w:r>
        <w:rPr>
          <w:rFonts w:cs="Traditional Arabic" w:hint="cs"/>
          <w:sz w:val="28"/>
          <w:szCs w:val="32"/>
          <w:rtl/>
        </w:rPr>
        <w:t xml:space="preserve"> ،</w:t>
      </w:r>
      <w:r w:rsidRPr="00EC737F">
        <w:rPr>
          <w:rFonts w:cs="Traditional Arabic" w:hint="cs"/>
          <w:sz w:val="28"/>
          <w:szCs w:val="32"/>
          <w:rtl/>
        </w:rPr>
        <w:t xml:space="preserve"> وجب أن ينتقل العقار مثقلا بالرهن في ثلثه على الشيوع فقط</w:t>
      </w:r>
      <w:r>
        <w:rPr>
          <w:rFonts w:cs="Traditional Arabic" w:hint="cs"/>
          <w:sz w:val="28"/>
          <w:szCs w:val="32"/>
          <w:rtl/>
        </w:rPr>
        <w:t xml:space="preserve"> ،</w:t>
      </w:r>
      <w:r w:rsidRPr="00EC737F">
        <w:rPr>
          <w:rFonts w:cs="Traditional Arabic" w:hint="cs"/>
          <w:sz w:val="28"/>
          <w:szCs w:val="32"/>
          <w:rtl/>
        </w:rPr>
        <w:t xml:space="preserve"> لأن هذا الثلث هو الذي رهنه من وقع في نصيبه العقار</w:t>
      </w:r>
      <w:r>
        <w:rPr>
          <w:rFonts w:cs="Traditional Arabic" w:hint="cs"/>
          <w:sz w:val="28"/>
          <w:szCs w:val="32"/>
          <w:rtl/>
        </w:rPr>
        <w:t xml:space="preserve"> ،</w:t>
      </w:r>
      <w:r w:rsidRPr="00EC737F">
        <w:rPr>
          <w:rFonts w:cs="Traditional Arabic" w:hint="cs"/>
          <w:sz w:val="28"/>
          <w:szCs w:val="32"/>
          <w:rtl/>
        </w:rPr>
        <w:t xml:space="preserve"> أما الشريكان الآخران فلم يرهنا شيئاً بحكم الأثر الرجعي للقسمة إذ يعتبر أنهما لم يملكا العقار أصلا</w:t>
      </w:r>
      <w:r>
        <w:rPr>
          <w:rFonts w:cs="Traditional Arabic" w:hint="cs"/>
          <w:sz w:val="28"/>
          <w:szCs w:val="32"/>
          <w:rtl/>
        </w:rPr>
        <w:t xml:space="preserve"> .</w:t>
      </w:r>
      <w:r w:rsidRPr="00EC737F">
        <w:rPr>
          <w:rFonts w:cs="Traditional Arabic" w:hint="cs"/>
          <w:sz w:val="28"/>
          <w:szCs w:val="32"/>
          <w:rtl/>
        </w:rPr>
        <w:t xml:space="preserve"> وهذا الاعتراض يتمشى مع فكرة الأثر الرجعي للقسمة إذا أخذت على إطلاقها</w:t>
      </w:r>
      <w:r>
        <w:rPr>
          <w:rFonts w:cs="Traditional Arabic" w:hint="cs"/>
          <w:sz w:val="28"/>
          <w:szCs w:val="32"/>
          <w:rtl/>
        </w:rPr>
        <w:t xml:space="preserve"> ،</w:t>
      </w:r>
      <w:r w:rsidRPr="00EC737F">
        <w:rPr>
          <w:rFonts w:cs="Traditional Arabic" w:hint="cs"/>
          <w:sz w:val="28"/>
          <w:szCs w:val="32"/>
          <w:rtl/>
        </w:rPr>
        <w:t xml:space="preserve"> وكان القضاء الفرنسي يسير على هذا النحو فيقضي بأن العقار ينتقل كله إلى أحد الشركاء الثلاثة مثقلا بالرهن في ثلثه على الشيوع فقط</w:t>
      </w:r>
      <w:r>
        <w:rPr>
          <w:rFonts w:cs="Traditional Arabic" w:hint="cs"/>
          <w:sz w:val="28"/>
          <w:szCs w:val="32"/>
          <w:vertAlign w:val="superscript"/>
          <w:rtl/>
        </w:rPr>
        <w:t xml:space="preserve">( </w:t>
      </w:r>
      <w:r w:rsidRPr="00EC737F">
        <w:rPr>
          <w:rStyle w:val="ab"/>
          <w:rFonts w:cs="Traditional Arabic"/>
          <w:sz w:val="28"/>
          <w:szCs w:val="32"/>
          <w:rtl/>
        </w:rPr>
        <w:footnoteReference w:id="70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الموثقين </w:t>
      </w:r>
      <w:r>
        <w:rPr>
          <w:rFonts w:cs="Traditional Arabic"/>
          <w:sz w:val="28"/>
          <w:szCs w:val="32"/>
          <w:rtl/>
        </w:rPr>
        <w:t xml:space="preserve">( </w:t>
      </w:r>
      <w:r w:rsidRPr="00EC737F">
        <w:rPr>
          <w:rFonts w:cs="Traditional Arabic"/>
          <w:sz w:val="28"/>
          <w:szCs w:val="32"/>
        </w:rPr>
        <w:t>notaires</w:t>
      </w:r>
      <w:r>
        <w:rPr>
          <w:rFonts w:cs="Traditional Arabic"/>
          <w:sz w:val="28"/>
          <w:szCs w:val="32"/>
          <w:rtl/>
        </w:rPr>
        <w:t xml:space="preserve"> )</w:t>
      </w:r>
      <w:r w:rsidRPr="00EC737F">
        <w:rPr>
          <w:rFonts w:cs="Traditional Arabic" w:hint="cs"/>
          <w:sz w:val="28"/>
          <w:szCs w:val="32"/>
          <w:rtl/>
        </w:rPr>
        <w:t xml:space="preserve"> في فرنسا اعترضوا على قضاء محكمة النقض</w:t>
      </w:r>
      <w:r>
        <w:rPr>
          <w:rFonts w:cs="Traditional Arabic" w:hint="cs"/>
          <w:sz w:val="28"/>
          <w:szCs w:val="32"/>
          <w:rtl/>
        </w:rPr>
        <w:t xml:space="preserve"> ،</w:t>
      </w:r>
      <w:r w:rsidRPr="00EC737F">
        <w:rPr>
          <w:rFonts w:cs="Traditional Arabic" w:hint="cs"/>
          <w:sz w:val="28"/>
          <w:szCs w:val="32"/>
          <w:rtl/>
        </w:rPr>
        <w:t xml:space="preserve"> وذهبوا إلى أن جميع الشركاء قد وافقوا على رهن العقار الشائع</w:t>
      </w:r>
      <w:r>
        <w:rPr>
          <w:rFonts w:cs="Traditional Arabic" w:hint="cs"/>
          <w:sz w:val="28"/>
          <w:szCs w:val="32"/>
          <w:rtl/>
        </w:rPr>
        <w:t xml:space="preserve"> ،</w:t>
      </w:r>
      <w:r w:rsidRPr="00EC737F">
        <w:rPr>
          <w:rFonts w:cs="Traditional Arabic" w:hint="cs"/>
          <w:sz w:val="28"/>
          <w:szCs w:val="32"/>
          <w:rtl/>
        </w:rPr>
        <w:t xml:space="preserve"> فوجب أن يبقى الرهن صحيحاً نافذاً في حقهم حتى بعد القسمة</w:t>
      </w:r>
      <w:r>
        <w:rPr>
          <w:rFonts w:cs="Traditional Arabic" w:hint="cs"/>
          <w:sz w:val="28"/>
          <w:szCs w:val="32"/>
          <w:rtl/>
        </w:rPr>
        <w:t xml:space="preserve"> ،</w:t>
      </w:r>
      <w:r w:rsidRPr="00EC737F">
        <w:rPr>
          <w:rFonts w:cs="Traditional Arabic" w:hint="cs"/>
          <w:sz w:val="28"/>
          <w:szCs w:val="32"/>
          <w:rtl/>
        </w:rPr>
        <w:t xml:space="preserve"> وحتى $325 لو كانت نتيجة القسمة أن اخذ كل العقار الشائع أحد الشركاء المشتاعين وحده فصدر في فرنسا قانون 31 ديسمبر سنة 1910 يضيف فقرة إلى المادة 2125 مدني فرنسي</w:t>
      </w:r>
      <w:r>
        <w:rPr>
          <w:rFonts w:cs="Traditional Arabic" w:hint="cs"/>
          <w:sz w:val="28"/>
          <w:szCs w:val="32"/>
          <w:rtl/>
        </w:rPr>
        <w:t xml:space="preserve"> ،</w:t>
      </w:r>
      <w:r w:rsidRPr="00EC737F">
        <w:rPr>
          <w:rFonts w:cs="Traditional Arabic" w:hint="cs"/>
          <w:sz w:val="28"/>
          <w:szCs w:val="32"/>
          <w:rtl/>
        </w:rPr>
        <w:t xml:space="preserve"> تنص على أن الرهن الذي يقرره جميع الشركاء يبقى أثره </w:t>
      </w:r>
      <w:r w:rsidRPr="00EC737F">
        <w:rPr>
          <w:rFonts w:cs="Traditional Arabic" w:hint="cs"/>
          <w:sz w:val="28"/>
          <w:szCs w:val="32"/>
          <w:rtl/>
        </w:rPr>
        <w:lastRenderedPageBreak/>
        <w:t>القانوني مهما كانت نتيجة البيع بالمزاد أو القسمة الحاصلة بعد ذلك</w:t>
      </w:r>
      <w:r>
        <w:rPr>
          <w:rFonts w:cs="Traditional Arabic" w:hint="cs"/>
          <w:sz w:val="28"/>
          <w:szCs w:val="32"/>
          <w:rtl/>
        </w:rPr>
        <w:t xml:space="preserve"> .</w:t>
      </w:r>
      <w:r w:rsidRPr="00EC737F">
        <w:rPr>
          <w:rFonts w:cs="Traditional Arabic" w:hint="cs"/>
          <w:sz w:val="28"/>
          <w:szCs w:val="32"/>
          <w:rtl/>
        </w:rPr>
        <w:t xml:space="preserve"> وبهذا الحكم الأخير أخذ التقنين المدني المصري الجديد</w:t>
      </w:r>
      <w:r>
        <w:rPr>
          <w:rFonts w:cs="Traditional Arabic" w:hint="cs"/>
          <w:sz w:val="28"/>
          <w:szCs w:val="32"/>
          <w:rtl/>
        </w:rPr>
        <w:t xml:space="preserve"> ،</w:t>
      </w:r>
      <w:r w:rsidRPr="00EC737F">
        <w:rPr>
          <w:rFonts w:cs="Traditional Arabic" w:hint="cs"/>
          <w:sz w:val="28"/>
          <w:szCs w:val="32"/>
          <w:rtl/>
        </w:rPr>
        <w:t xml:space="preserve"> فقرر أن الرهن الذي يعقده كل الشركاء على الشيوع يبقى نافذاً "أياً كانت النتيجة التي تترتب على قسمة العقار فيما بعد</w:t>
      </w:r>
      <w:r>
        <w:rPr>
          <w:rFonts w:cs="Traditional Arabic" w:hint="cs"/>
          <w:sz w:val="28"/>
          <w:szCs w:val="32"/>
          <w:rtl/>
        </w:rPr>
        <w:t xml:space="preserve"> ،</w:t>
      </w:r>
      <w:r w:rsidRPr="00EC737F">
        <w:rPr>
          <w:rFonts w:cs="Traditional Arabic" w:hint="cs"/>
          <w:sz w:val="28"/>
          <w:szCs w:val="32"/>
          <w:rtl/>
        </w:rPr>
        <w:t xml:space="preserve"> أو على بيعه لعدم إمكان قسمته" </w:t>
      </w:r>
      <w:r>
        <w:rPr>
          <w:rFonts w:cs="Traditional Arabic" w:hint="cs"/>
          <w:sz w:val="28"/>
          <w:szCs w:val="32"/>
          <w:rtl/>
        </w:rPr>
        <w:t xml:space="preserve">( </w:t>
      </w:r>
      <w:r w:rsidRPr="00EC737F">
        <w:rPr>
          <w:rFonts w:cs="Traditional Arabic" w:hint="cs"/>
          <w:sz w:val="28"/>
          <w:szCs w:val="32"/>
          <w:rtl/>
        </w:rPr>
        <w:t>م 1039/1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وينتقل العقار مرهوناً كله</w:t>
      </w:r>
      <w:r>
        <w:rPr>
          <w:rFonts w:cs="Traditional Arabic" w:hint="cs"/>
          <w:sz w:val="28"/>
          <w:szCs w:val="32"/>
          <w:rtl/>
        </w:rPr>
        <w:t xml:space="preserve"> ،</w:t>
      </w:r>
      <w:r w:rsidRPr="00EC737F">
        <w:rPr>
          <w:rFonts w:cs="Traditional Arabic" w:hint="cs"/>
          <w:sz w:val="28"/>
          <w:szCs w:val="32"/>
          <w:rtl/>
        </w:rPr>
        <w:t xml:space="preserve"> حتى لو لم تمكن قسمته عيناً فبيع</w:t>
      </w:r>
      <w:r>
        <w:rPr>
          <w:rFonts w:cs="Traditional Arabic" w:hint="cs"/>
          <w:sz w:val="28"/>
          <w:szCs w:val="32"/>
          <w:vertAlign w:val="superscript"/>
          <w:rtl/>
        </w:rPr>
        <w:t xml:space="preserve">( </w:t>
      </w:r>
      <w:r w:rsidRPr="00EC737F">
        <w:rPr>
          <w:rStyle w:val="ab"/>
          <w:rFonts w:cs="Traditional Arabic"/>
          <w:sz w:val="28"/>
          <w:szCs w:val="32"/>
          <w:rtl/>
        </w:rPr>
        <w:footnoteReference w:id="70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وقع البيع لأحد الشركاء الثلاثة</w:t>
      </w:r>
      <w:r>
        <w:rPr>
          <w:rFonts w:cs="Traditional Arabic" w:hint="cs"/>
          <w:sz w:val="28"/>
          <w:szCs w:val="32"/>
          <w:rtl/>
        </w:rPr>
        <w:t xml:space="preserve"> ،</w:t>
      </w:r>
      <w:r w:rsidRPr="00EC737F">
        <w:rPr>
          <w:rFonts w:cs="Traditional Arabic" w:hint="cs"/>
          <w:sz w:val="28"/>
          <w:szCs w:val="32"/>
          <w:rtl/>
        </w:rPr>
        <w:t xml:space="preserve"> فإن العقار ينتقل إليه كله كما قدمنا</w:t>
      </w:r>
      <w:r>
        <w:rPr>
          <w:rFonts w:cs="Traditional Arabic" w:hint="cs"/>
          <w:sz w:val="28"/>
          <w:szCs w:val="32"/>
          <w:rtl/>
        </w:rPr>
        <w:t xml:space="preserve"> ،</w:t>
      </w:r>
      <w:r w:rsidRPr="00EC737F">
        <w:rPr>
          <w:rFonts w:cs="Traditional Arabic" w:hint="cs"/>
          <w:sz w:val="28"/>
          <w:szCs w:val="32"/>
          <w:rtl/>
        </w:rPr>
        <w:t xml:space="preserve"> وهذا ما يقضي به نص الفقرة الأولى من المادة 1039 مدني فيما رأينا</w:t>
      </w:r>
      <w:r>
        <w:rPr>
          <w:rFonts w:cs="Traditional Arabic" w:hint="cs"/>
          <w:sz w:val="28"/>
          <w:szCs w:val="32"/>
          <w:rtl/>
        </w:rPr>
        <w:t xml:space="preserve"> .</w:t>
      </w:r>
      <w:r w:rsidRPr="00EC737F">
        <w:rPr>
          <w:rFonts w:cs="Traditional Arabic" w:hint="cs"/>
          <w:sz w:val="28"/>
          <w:szCs w:val="32"/>
          <w:rtl/>
        </w:rPr>
        <w:t xml:space="preserve"> ومن باب أولى إذا بيع العقار لأجنبي</w:t>
      </w:r>
      <w:r>
        <w:rPr>
          <w:rFonts w:cs="Traditional Arabic" w:hint="cs"/>
          <w:sz w:val="28"/>
          <w:szCs w:val="32"/>
          <w:rtl/>
        </w:rPr>
        <w:t xml:space="preserve"> ،</w:t>
      </w:r>
      <w:r w:rsidRPr="00EC737F">
        <w:rPr>
          <w:rFonts w:cs="Traditional Arabic" w:hint="cs"/>
          <w:sz w:val="28"/>
          <w:szCs w:val="32"/>
          <w:rtl/>
        </w:rPr>
        <w:t xml:space="preserve"> فقد رهن الثلاثة الشركاء العقار كله</w:t>
      </w:r>
      <w:r>
        <w:rPr>
          <w:rFonts w:cs="Traditional Arabic" w:hint="cs"/>
          <w:sz w:val="28"/>
          <w:szCs w:val="32"/>
          <w:rtl/>
        </w:rPr>
        <w:t xml:space="preserve"> ،</w:t>
      </w:r>
      <w:r w:rsidRPr="00EC737F">
        <w:rPr>
          <w:rFonts w:cs="Traditional Arabic" w:hint="cs"/>
          <w:sz w:val="28"/>
          <w:szCs w:val="32"/>
          <w:rtl/>
        </w:rPr>
        <w:t xml:space="preserve"> ثم باعوه إلى أجنبي</w:t>
      </w:r>
      <w:r>
        <w:rPr>
          <w:rFonts w:cs="Traditional Arabic" w:hint="cs"/>
          <w:sz w:val="28"/>
          <w:szCs w:val="32"/>
          <w:rtl/>
        </w:rPr>
        <w:t xml:space="preserve"> ،</w:t>
      </w:r>
      <w:r w:rsidRPr="00EC737F">
        <w:rPr>
          <w:rFonts w:cs="Traditional Arabic" w:hint="cs"/>
          <w:sz w:val="28"/>
          <w:szCs w:val="32"/>
          <w:rtl/>
        </w:rPr>
        <w:t xml:space="preserve"> فينتقل العقار مرهوناً إلى المشتري</w:t>
      </w:r>
      <w:r>
        <w:rPr>
          <w:rFonts w:cs="Traditional Arabic" w:hint="cs"/>
          <w:sz w:val="28"/>
          <w:szCs w:val="32"/>
          <w:vertAlign w:val="superscript"/>
          <w:rtl/>
        </w:rPr>
        <w:t xml:space="preserve">( </w:t>
      </w:r>
      <w:r w:rsidRPr="00EC737F">
        <w:rPr>
          <w:rStyle w:val="ab"/>
          <w:rFonts w:cs="Traditional Arabic"/>
          <w:sz w:val="28"/>
          <w:szCs w:val="32"/>
          <w:rtl/>
        </w:rPr>
        <w:footnoteReference w:id="70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يقع أن يرهن أحد الشركاء حصته الشائعة أو جزءاً مفرزاً من المال الشائع</w:t>
      </w:r>
      <w:r>
        <w:rPr>
          <w:rFonts w:cs="Traditional Arabic" w:hint="cs"/>
          <w:sz w:val="28"/>
          <w:szCs w:val="32"/>
          <w:rtl/>
        </w:rPr>
        <w:t xml:space="preserve"> ،</w:t>
      </w:r>
      <w:r w:rsidRPr="00EC737F">
        <w:rPr>
          <w:rFonts w:cs="Traditional Arabic" w:hint="cs"/>
          <w:sz w:val="28"/>
          <w:szCs w:val="32"/>
          <w:rtl/>
        </w:rPr>
        <w:t xml:space="preserve"> ثم يرهن جميع الشركاء بما فيهم الشريك الراهن جميع العقار الشائع</w:t>
      </w:r>
      <w:r>
        <w:rPr>
          <w:rFonts w:cs="Traditional Arabic" w:hint="cs"/>
          <w:sz w:val="28"/>
          <w:szCs w:val="32"/>
          <w:rtl/>
        </w:rPr>
        <w:t xml:space="preserve"> .</w:t>
      </w:r>
      <w:r w:rsidRPr="00EC737F">
        <w:rPr>
          <w:rFonts w:cs="Traditional Arabic" w:hint="cs"/>
          <w:sz w:val="28"/>
          <w:szCs w:val="32"/>
          <w:rtl/>
        </w:rPr>
        <w:t xml:space="preserve"> ثم يقسم العقار الشائع</w:t>
      </w:r>
      <w:r>
        <w:rPr>
          <w:rFonts w:cs="Traditional Arabic" w:hint="cs"/>
          <w:sz w:val="28"/>
          <w:szCs w:val="32"/>
          <w:rtl/>
        </w:rPr>
        <w:t xml:space="preserve"> ،</w:t>
      </w:r>
      <w:r w:rsidRPr="00EC737F">
        <w:rPr>
          <w:rFonts w:cs="Traditional Arabic" w:hint="cs"/>
          <w:sz w:val="28"/>
          <w:szCs w:val="32"/>
          <w:rtl/>
        </w:rPr>
        <w:t xml:space="preserve"> فيقع في نصيب الشريك الراهن جزء مفرز من هذا العقار الشائع غير الجزء المفرز الذي رهنه</w:t>
      </w:r>
      <w:r>
        <w:rPr>
          <w:rFonts w:cs="Traditional Arabic" w:hint="cs"/>
          <w:sz w:val="28"/>
          <w:szCs w:val="32"/>
          <w:rtl/>
        </w:rPr>
        <w:t xml:space="preserve"> .</w:t>
      </w:r>
      <w:r w:rsidRPr="00EC737F">
        <w:rPr>
          <w:rFonts w:cs="Traditional Arabic" w:hint="cs"/>
          <w:sz w:val="28"/>
          <w:szCs w:val="32"/>
          <w:rtl/>
        </w:rPr>
        <w:t xml:space="preserve"> وسنرى أن الدائن $326 المرتهن من هذا الشريك يستطيع بإجراءات معينة أن ينتقل رهنه إلى الجزء المفرز بفضل الحول العيني</w:t>
      </w:r>
      <w:r>
        <w:rPr>
          <w:rFonts w:cs="Traditional Arabic" w:hint="cs"/>
          <w:sz w:val="28"/>
          <w:szCs w:val="32"/>
          <w:rtl/>
        </w:rPr>
        <w:t xml:space="preserve"> ،</w:t>
      </w:r>
      <w:r w:rsidRPr="00EC737F">
        <w:rPr>
          <w:rFonts w:cs="Traditional Arabic" w:hint="cs"/>
          <w:sz w:val="28"/>
          <w:szCs w:val="32"/>
          <w:rtl/>
        </w:rPr>
        <w:t xml:space="preserve"> وأن يحتفظ بمرتبة رهنه كما كان</w:t>
      </w:r>
      <w:r>
        <w:rPr>
          <w:rFonts w:cs="Traditional Arabic" w:hint="cs"/>
          <w:sz w:val="28"/>
          <w:szCs w:val="32"/>
          <w:rtl/>
        </w:rPr>
        <w:t xml:space="preserve"> .</w:t>
      </w:r>
      <w:r w:rsidRPr="00EC737F">
        <w:rPr>
          <w:rFonts w:cs="Traditional Arabic" w:hint="cs"/>
          <w:sz w:val="28"/>
          <w:szCs w:val="32"/>
          <w:rtl/>
        </w:rPr>
        <w:t xml:space="preserve"> فيسبق هذا الرهن في المرتبة الرهن الصادر من جميع الشركاء على العقار الشائع</w:t>
      </w:r>
      <w:r>
        <w:rPr>
          <w:rFonts w:cs="Traditional Arabic" w:hint="cs"/>
          <w:sz w:val="28"/>
          <w:szCs w:val="32"/>
          <w:rtl/>
        </w:rPr>
        <w:t xml:space="preserve"> ،</w:t>
      </w:r>
      <w:r w:rsidRPr="00EC737F">
        <w:rPr>
          <w:rFonts w:cs="Traditional Arabic" w:hint="cs"/>
          <w:sz w:val="28"/>
          <w:szCs w:val="32"/>
          <w:rtl/>
        </w:rPr>
        <w:t xml:space="preserve"> لأن الرهن الأول سبق الرهن الأخير</w:t>
      </w:r>
      <w:r>
        <w:rPr>
          <w:rFonts w:cs="Traditional Arabic" w:hint="cs"/>
          <w:sz w:val="28"/>
          <w:szCs w:val="32"/>
          <w:rtl/>
        </w:rPr>
        <w:t xml:space="preserve"> .</w:t>
      </w:r>
      <w:r w:rsidRPr="00EC737F">
        <w:rPr>
          <w:rFonts w:cs="Traditional Arabic" w:hint="cs"/>
          <w:sz w:val="28"/>
          <w:szCs w:val="32"/>
          <w:rtl/>
        </w:rPr>
        <w:t xml:space="preserve"> وكان هذا يقتضي أن الدائن المرتهن من الشريك الراهن يتقدم على الدائن المرتهن من جميع الشركاء</w:t>
      </w:r>
      <w:r>
        <w:rPr>
          <w:rFonts w:cs="Traditional Arabic" w:hint="cs"/>
          <w:sz w:val="28"/>
          <w:szCs w:val="32"/>
          <w:rtl/>
        </w:rPr>
        <w:t xml:space="preserve"> ،</w:t>
      </w:r>
      <w:r w:rsidRPr="00EC737F">
        <w:rPr>
          <w:rFonts w:cs="Traditional Arabic" w:hint="cs"/>
          <w:sz w:val="28"/>
          <w:szCs w:val="32"/>
          <w:rtl/>
        </w:rPr>
        <w:t xml:space="preserve"> إذ هو أسبق في المرتبة</w:t>
      </w:r>
      <w:r>
        <w:rPr>
          <w:rFonts w:cs="Traditional Arabic" w:hint="cs"/>
          <w:sz w:val="28"/>
          <w:szCs w:val="32"/>
          <w:rtl/>
        </w:rPr>
        <w:t xml:space="preserve"> .</w:t>
      </w:r>
      <w:r w:rsidRPr="00EC737F">
        <w:rPr>
          <w:rFonts w:cs="Traditional Arabic" w:hint="cs"/>
          <w:sz w:val="28"/>
          <w:szCs w:val="32"/>
          <w:rtl/>
        </w:rPr>
        <w:t xml:space="preserve"> ولكن العبارة الأخيرة من المادة 1039/2 مدني</w:t>
      </w:r>
      <w:r>
        <w:rPr>
          <w:rFonts w:cs="Traditional Arabic" w:hint="cs"/>
          <w:sz w:val="28"/>
          <w:szCs w:val="32"/>
          <w:rtl/>
        </w:rPr>
        <w:t xml:space="preserve"> ،</w:t>
      </w:r>
      <w:r w:rsidRPr="00EC737F">
        <w:rPr>
          <w:rFonts w:cs="Traditional Arabic" w:hint="cs"/>
          <w:sz w:val="28"/>
          <w:szCs w:val="32"/>
          <w:rtl/>
        </w:rPr>
        <w:t xml:space="preserve"> كما سنرى تقول</w:t>
      </w:r>
      <w:r>
        <w:rPr>
          <w:rFonts w:cs="Traditional Arabic" w:hint="cs"/>
          <w:sz w:val="28"/>
          <w:szCs w:val="32"/>
          <w:rtl/>
        </w:rPr>
        <w:t xml:space="preserve"> :</w:t>
      </w:r>
      <w:r w:rsidRPr="00EC737F">
        <w:rPr>
          <w:rFonts w:cs="Traditional Arabic" w:hint="cs"/>
          <w:sz w:val="28"/>
          <w:szCs w:val="32"/>
          <w:rtl/>
        </w:rPr>
        <w:t xml:space="preserve"> "ولا يضر انتقال الرهن على هذا الوجه </w:t>
      </w:r>
      <w:r>
        <w:rPr>
          <w:rFonts w:cs="Traditional Arabic" w:hint="cs"/>
          <w:sz w:val="28"/>
          <w:szCs w:val="32"/>
          <w:rtl/>
        </w:rPr>
        <w:t xml:space="preserve">( </w:t>
      </w:r>
      <w:r w:rsidRPr="00EC737F">
        <w:rPr>
          <w:rFonts w:cs="Traditional Arabic" w:hint="cs"/>
          <w:sz w:val="28"/>
          <w:szCs w:val="32"/>
          <w:rtl/>
        </w:rPr>
        <w:t>أي انتقال رهن الدائن المرتهن من الشريك الراهن</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برهن صدر من جميع الشركاء ولا بامتياز المتقاسمين"</w:t>
      </w:r>
      <w:r>
        <w:rPr>
          <w:rFonts w:cs="Traditional Arabic" w:hint="cs"/>
          <w:sz w:val="28"/>
          <w:szCs w:val="32"/>
          <w:rtl/>
        </w:rPr>
        <w:t xml:space="preserve"> .</w:t>
      </w:r>
      <w:r w:rsidRPr="00EC737F">
        <w:rPr>
          <w:rFonts w:cs="Traditional Arabic" w:hint="cs"/>
          <w:sz w:val="28"/>
          <w:szCs w:val="32"/>
          <w:rtl/>
        </w:rPr>
        <w:t xml:space="preserve"> وعلى ذل يتقدم الدائن المرتهن من جميع الشركاء</w:t>
      </w:r>
      <w:r>
        <w:rPr>
          <w:rFonts w:cs="Traditional Arabic" w:hint="cs"/>
          <w:sz w:val="28"/>
          <w:szCs w:val="32"/>
          <w:rtl/>
        </w:rPr>
        <w:t xml:space="preserve"> ،</w:t>
      </w:r>
      <w:r w:rsidRPr="00EC737F">
        <w:rPr>
          <w:rFonts w:cs="Traditional Arabic" w:hint="cs"/>
          <w:sz w:val="28"/>
          <w:szCs w:val="32"/>
          <w:rtl/>
        </w:rPr>
        <w:t xml:space="preserve"> وهو متأخر في المرتبة</w:t>
      </w:r>
      <w:r>
        <w:rPr>
          <w:rFonts w:cs="Traditional Arabic" w:hint="cs"/>
          <w:sz w:val="28"/>
          <w:szCs w:val="32"/>
          <w:rtl/>
        </w:rPr>
        <w:t xml:space="preserve"> ،</w:t>
      </w:r>
      <w:r w:rsidRPr="00EC737F">
        <w:rPr>
          <w:rFonts w:cs="Traditional Arabic" w:hint="cs"/>
          <w:sz w:val="28"/>
          <w:szCs w:val="32"/>
          <w:rtl/>
        </w:rPr>
        <w:t xml:space="preserve"> على الدائن المرتهن من الشريك الراهن</w:t>
      </w:r>
      <w:r>
        <w:rPr>
          <w:rFonts w:cs="Traditional Arabic" w:hint="cs"/>
          <w:sz w:val="28"/>
          <w:szCs w:val="32"/>
          <w:rtl/>
        </w:rPr>
        <w:t xml:space="preserve"> ،</w:t>
      </w:r>
      <w:r w:rsidRPr="00EC737F">
        <w:rPr>
          <w:rFonts w:cs="Traditional Arabic" w:hint="cs"/>
          <w:sz w:val="28"/>
          <w:szCs w:val="32"/>
          <w:rtl/>
        </w:rPr>
        <w:t xml:space="preserve"> لأنه ارتهن العقار كله من جميع الشركاء فأصبح آمناً على رهنه</w:t>
      </w:r>
      <w:r>
        <w:rPr>
          <w:rFonts w:cs="Traditional Arabic" w:hint="cs"/>
          <w:sz w:val="28"/>
          <w:szCs w:val="32"/>
          <w:vertAlign w:val="superscript"/>
          <w:rtl/>
        </w:rPr>
        <w:t xml:space="preserve">( </w:t>
      </w:r>
      <w:r w:rsidRPr="00EC737F">
        <w:rPr>
          <w:rStyle w:val="ab"/>
          <w:rFonts w:cs="Traditional Arabic"/>
          <w:sz w:val="28"/>
          <w:szCs w:val="32"/>
          <w:rtl/>
        </w:rPr>
        <w:footnoteReference w:id="70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وما قدمناه في الرهن الرسمي ينطبق على الرهن الحيازي</w:t>
      </w:r>
      <w:r>
        <w:rPr>
          <w:rFonts w:cs="Traditional Arabic" w:hint="cs"/>
          <w:sz w:val="28"/>
          <w:szCs w:val="32"/>
          <w:rtl/>
        </w:rPr>
        <w:t xml:space="preserve"> ،</w:t>
      </w:r>
      <w:r w:rsidRPr="00EC737F">
        <w:rPr>
          <w:rFonts w:cs="Traditional Arabic" w:hint="cs"/>
          <w:sz w:val="28"/>
          <w:szCs w:val="32"/>
          <w:rtl/>
        </w:rPr>
        <w:t xml:space="preserve"> ولو أنه لا يوجد نص في هذا المعنى في نصوص الرهن الحيازي</w:t>
      </w:r>
      <w:r>
        <w:rPr>
          <w:rFonts w:cs="Traditional Arabic" w:hint="cs"/>
          <w:sz w:val="28"/>
          <w:szCs w:val="32"/>
          <w:rtl/>
        </w:rPr>
        <w:t xml:space="preserve"> .</w:t>
      </w:r>
      <w:r w:rsidRPr="00EC737F">
        <w:rPr>
          <w:rFonts w:cs="Traditional Arabic" w:hint="cs"/>
          <w:sz w:val="28"/>
          <w:szCs w:val="32"/>
          <w:rtl/>
        </w:rPr>
        <w:t xml:space="preserve"> فالمادة 1089 مدني تنص على أن "تسري على الرهن الحيازي أحكام المادة 1033 وأحكام المواد  من 1040 إلى  1042 المتعلقة بالرهن الرسمي"</w:t>
      </w:r>
      <w:r>
        <w:rPr>
          <w:rFonts w:cs="Traditional Arabic" w:hint="cs"/>
          <w:sz w:val="28"/>
          <w:szCs w:val="32"/>
          <w:rtl/>
        </w:rPr>
        <w:t xml:space="preserve"> ،</w:t>
      </w:r>
      <w:r w:rsidRPr="00EC737F">
        <w:rPr>
          <w:rFonts w:cs="Traditional Arabic" w:hint="cs"/>
          <w:sz w:val="28"/>
          <w:szCs w:val="32"/>
          <w:rtl/>
        </w:rPr>
        <w:t xml:space="preserve"> والمادة 1102/2 مدني تقضي بأن "تسري على الرهن الحيازي أحكام المادتين 1048 و 1049 المتعلقة بهلاك الشيء المرهون رهناً رسمياً أو تلفه وبانتقال حق الدائن من الشيء المرهون إلى ما حل محله من حقوق"</w:t>
      </w:r>
      <w:r>
        <w:rPr>
          <w:rFonts w:cs="Traditional Arabic" w:hint="cs"/>
          <w:sz w:val="28"/>
          <w:szCs w:val="32"/>
          <w:rtl/>
        </w:rPr>
        <w:t xml:space="preserve"> .</w:t>
      </w:r>
      <w:r w:rsidRPr="00EC737F">
        <w:rPr>
          <w:rFonts w:cs="Traditional Arabic" w:hint="cs"/>
          <w:sz w:val="28"/>
          <w:szCs w:val="32"/>
          <w:rtl/>
        </w:rPr>
        <w:t xml:space="preserve"> ولكن هذه المواد لا شأن لها بمسألتنا هذه</w:t>
      </w:r>
      <w:r>
        <w:rPr>
          <w:rFonts w:cs="Traditional Arabic" w:hint="cs"/>
          <w:sz w:val="28"/>
          <w:szCs w:val="32"/>
          <w:rtl/>
        </w:rPr>
        <w:t xml:space="preserve"> ،</w:t>
      </w:r>
      <w:r w:rsidRPr="00EC737F">
        <w:rPr>
          <w:rFonts w:cs="Traditional Arabic" w:hint="cs"/>
          <w:sz w:val="28"/>
          <w:szCs w:val="32"/>
          <w:rtl/>
        </w:rPr>
        <w:t xml:space="preserve"> ومن ثم لا يوجد نص صريح في المسألة</w:t>
      </w:r>
      <w:r>
        <w:rPr>
          <w:rFonts w:cs="Traditional Arabic" w:hint="cs"/>
          <w:sz w:val="28"/>
          <w:szCs w:val="32"/>
          <w:rtl/>
        </w:rPr>
        <w:t xml:space="preserve"> .</w:t>
      </w:r>
      <w:r w:rsidRPr="00EC737F">
        <w:rPr>
          <w:rFonts w:cs="Traditional Arabic" w:hint="cs"/>
          <w:sz w:val="28"/>
          <w:szCs w:val="32"/>
          <w:rtl/>
        </w:rPr>
        <w:t xml:space="preserve"> على أنه إذا رهن جميع الشركاء المشتاعين العقار الشائع رهناً حيازياً</w:t>
      </w:r>
      <w:r>
        <w:rPr>
          <w:rFonts w:cs="Traditional Arabic" w:hint="cs"/>
          <w:sz w:val="28"/>
          <w:szCs w:val="32"/>
          <w:rtl/>
        </w:rPr>
        <w:t xml:space="preserve"> ،</w:t>
      </w:r>
      <w:r w:rsidRPr="00EC737F">
        <w:rPr>
          <w:rFonts w:cs="Traditional Arabic" w:hint="cs"/>
          <w:sz w:val="28"/>
          <w:szCs w:val="32"/>
          <w:rtl/>
        </w:rPr>
        <w:t xml:space="preserve"> فإن الرهن يبقى نافذاً أيا كانت النتيجة التي تترتب على قسمة العقار فيما بعد أو على بيعه لعدم إمكان قسمته</w:t>
      </w:r>
      <w:r>
        <w:rPr>
          <w:rFonts w:cs="Traditional Arabic" w:hint="cs"/>
          <w:sz w:val="28"/>
          <w:szCs w:val="32"/>
          <w:rtl/>
        </w:rPr>
        <w:t xml:space="preserve"> .</w:t>
      </w:r>
      <w:r w:rsidRPr="00EC737F">
        <w:rPr>
          <w:rFonts w:cs="Traditional Arabic" w:hint="cs"/>
          <w:sz w:val="28"/>
          <w:szCs w:val="32"/>
          <w:rtl/>
        </w:rPr>
        <w:t xml:space="preserve"> فالرهن الحيازي قد صدر من جميع الشركاء الشائعين</w:t>
      </w:r>
      <w:r>
        <w:rPr>
          <w:rFonts w:cs="Traditional Arabic" w:hint="cs"/>
          <w:sz w:val="28"/>
          <w:szCs w:val="32"/>
          <w:rtl/>
        </w:rPr>
        <w:t xml:space="preserve"> ،</w:t>
      </w:r>
      <w:r w:rsidRPr="00EC737F">
        <w:rPr>
          <w:rFonts w:cs="Traditional Arabic" w:hint="cs"/>
          <w:sz w:val="28"/>
          <w:szCs w:val="32"/>
          <w:rtl/>
        </w:rPr>
        <w:t xml:space="preserve"> فهو نافذ بطيعة الحال قبل قسمة العقار </w:t>
      </w:r>
      <w:r>
        <w:rPr>
          <w:rFonts w:cs="Traditional Arabic" w:hint="cs"/>
          <w:sz w:val="28"/>
          <w:szCs w:val="32"/>
          <w:rtl/>
        </w:rPr>
        <w:t xml:space="preserve"> .</w:t>
      </w:r>
      <w:r w:rsidRPr="00EC737F">
        <w:rPr>
          <w:rFonts w:cs="Traditional Arabic" w:hint="cs"/>
          <w:sz w:val="28"/>
          <w:szCs w:val="32"/>
          <w:rtl/>
        </w:rPr>
        <w:t xml:space="preserve"> ثم هو نافذا إذا حصلت القسمة ووقع العقار كله في $327 نصيب أحد الشركاء</w:t>
      </w:r>
      <w:r>
        <w:rPr>
          <w:rFonts w:cs="Traditional Arabic" w:hint="cs"/>
          <w:sz w:val="28"/>
          <w:szCs w:val="32"/>
          <w:rtl/>
        </w:rPr>
        <w:t xml:space="preserve"> ،</w:t>
      </w:r>
      <w:r w:rsidRPr="00EC737F">
        <w:rPr>
          <w:rFonts w:cs="Traditional Arabic" w:hint="cs"/>
          <w:sz w:val="28"/>
          <w:szCs w:val="32"/>
          <w:rtl/>
        </w:rPr>
        <w:t xml:space="preserve"> فإن هذا الشريك يعتبر مالكاً للعقار منذ البداية وقد اشترك في الرهن مع سائر الشركاء فينتقل إليه العقار مرهوناً كله</w:t>
      </w:r>
      <w:r>
        <w:rPr>
          <w:rFonts w:cs="Traditional Arabic" w:hint="cs"/>
          <w:sz w:val="28"/>
          <w:szCs w:val="32"/>
          <w:rtl/>
        </w:rPr>
        <w:t xml:space="preserve"> .</w:t>
      </w:r>
      <w:r w:rsidRPr="00EC737F">
        <w:rPr>
          <w:rFonts w:cs="Traditional Arabic" w:hint="cs"/>
          <w:sz w:val="28"/>
          <w:szCs w:val="32"/>
          <w:rtl/>
        </w:rPr>
        <w:t xml:space="preserve"> وكذلك إذا بيع العقار لعدم إمكان قسمته فرسا مزاده على أحد الشركاء</w:t>
      </w:r>
      <w:r>
        <w:rPr>
          <w:rFonts w:cs="Traditional Arabic" w:hint="cs"/>
          <w:sz w:val="28"/>
          <w:szCs w:val="32"/>
          <w:rtl/>
        </w:rPr>
        <w:t xml:space="preserve"> ،</w:t>
      </w:r>
      <w:r w:rsidRPr="00EC737F">
        <w:rPr>
          <w:rFonts w:cs="Traditional Arabic" w:hint="cs"/>
          <w:sz w:val="28"/>
          <w:szCs w:val="32"/>
          <w:rtl/>
        </w:rPr>
        <w:t xml:space="preserve"> كان هذا البيع قسمة واعتبر الشريك الذي رسا عليه المزاد مالكاً للعقار منذ البداية كما في الفرض السابق</w:t>
      </w:r>
      <w:r>
        <w:rPr>
          <w:rFonts w:cs="Traditional Arabic" w:hint="cs"/>
          <w:sz w:val="28"/>
          <w:szCs w:val="32"/>
          <w:rtl/>
        </w:rPr>
        <w:t xml:space="preserve"> .</w:t>
      </w:r>
      <w:r w:rsidRPr="00EC737F">
        <w:rPr>
          <w:rFonts w:cs="Traditional Arabic" w:hint="cs"/>
          <w:sz w:val="28"/>
          <w:szCs w:val="32"/>
          <w:rtl/>
        </w:rPr>
        <w:t xml:space="preserve"> أما إذا رسا المزاد على أجنبي</w:t>
      </w:r>
      <w:r>
        <w:rPr>
          <w:rFonts w:cs="Traditional Arabic" w:hint="cs"/>
          <w:sz w:val="28"/>
          <w:szCs w:val="32"/>
          <w:rtl/>
        </w:rPr>
        <w:t xml:space="preserve"> ،</w:t>
      </w:r>
      <w:r w:rsidRPr="00EC737F">
        <w:rPr>
          <w:rFonts w:cs="Traditional Arabic" w:hint="cs"/>
          <w:sz w:val="28"/>
          <w:szCs w:val="32"/>
          <w:rtl/>
        </w:rPr>
        <w:t xml:space="preserve"> فإنه يكون بيعاً من جميع الشركاء الراهنين للعقار</w:t>
      </w:r>
      <w:r>
        <w:rPr>
          <w:rFonts w:cs="Traditional Arabic" w:hint="cs"/>
          <w:sz w:val="28"/>
          <w:szCs w:val="32"/>
          <w:rtl/>
        </w:rPr>
        <w:t xml:space="preserve"> ،</w:t>
      </w:r>
      <w:r w:rsidRPr="00EC737F">
        <w:rPr>
          <w:rFonts w:cs="Traditional Arabic" w:hint="cs"/>
          <w:sz w:val="28"/>
          <w:szCs w:val="32"/>
          <w:rtl/>
        </w:rPr>
        <w:t xml:space="preserve"> فينتقل إلى المشتري مرهوناً كما تنقضي 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70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هذا وقد قضت المادة 832 مدني على أن "للشركاء الذين يملكون على الأقل ثلاثة أرباع المال الشائع أن يقرروا التصرف فيه إذا استندوا في ذلك إلى أسباب قوية</w:t>
      </w:r>
      <w:r>
        <w:rPr>
          <w:rFonts w:cs="Traditional Arabic" w:hint="cs"/>
          <w:sz w:val="28"/>
          <w:szCs w:val="32"/>
          <w:rtl/>
        </w:rPr>
        <w:t xml:space="preserve"> ،</w:t>
      </w:r>
      <w:r w:rsidRPr="00EC737F">
        <w:rPr>
          <w:rFonts w:cs="Traditional Arabic" w:hint="cs"/>
          <w:sz w:val="28"/>
          <w:szCs w:val="32"/>
          <w:rtl/>
        </w:rPr>
        <w:t xml:space="preserve"> على أن يعلنوا قراراتهم إلى باقي الشركاء</w:t>
      </w:r>
      <w:r>
        <w:rPr>
          <w:rFonts w:cs="Traditional Arabic" w:hint="cs"/>
          <w:sz w:val="28"/>
          <w:szCs w:val="32"/>
          <w:rtl/>
        </w:rPr>
        <w:t xml:space="preserve"> .</w:t>
      </w:r>
      <w:r w:rsidRPr="00EC737F">
        <w:rPr>
          <w:rFonts w:cs="Traditional Arabic" w:hint="cs"/>
          <w:sz w:val="28"/>
          <w:szCs w:val="32"/>
          <w:rtl/>
        </w:rPr>
        <w:t xml:space="preserve"> ولمن خالف من هؤلاء حق الرجوع إلى المحكمة</w:t>
      </w:r>
      <w:r>
        <w:rPr>
          <w:rFonts w:cs="Traditional Arabic" w:hint="cs"/>
          <w:sz w:val="28"/>
          <w:szCs w:val="32"/>
          <w:rtl/>
        </w:rPr>
        <w:t xml:space="preserve"> ،</w:t>
      </w:r>
      <w:r w:rsidRPr="00EC737F">
        <w:rPr>
          <w:rFonts w:cs="Traditional Arabic" w:hint="cs"/>
          <w:sz w:val="28"/>
          <w:szCs w:val="32"/>
          <w:rtl/>
        </w:rPr>
        <w:t xml:space="preserve"> خلال شهرين من وقت الإعلان</w:t>
      </w:r>
      <w:r>
        <w:rPr>
          <w:rFonts w:cs="Traditional Arabic" w:hint="cs"/>
          <w:sz w:val="28"/>
          <w:szCs w:val="32"/>
          <w:rtl/>
        </w:rPr>
        <w:t xml:space="preserve"> .</w:t>
      </w:r>
      <w:r w:rsidRPr="00EC737F">
        <w:rPr>
          <w:rFonts w:cs="Traditional Arabic" w:hint="cs"/>
          <w:sz w:val="28"/>
          <w:szCs w:val="32"/>
          <w:rtl/>
        </w:rPr>
        <w:t xml:space="preserve"> وللمحكمة</w:t>
      </w:r>
      <w:r>
        <w:rPr>
          <w:rFonts w:cs="Traditional Arabic" w:hint="cs"/>
          <w:sz w:val="28"/>
          <w:szCs w:val="32"/>
          <w:rtl/>
        </w:rPr>
        <w:t xml:space="preserve"> ،</w:t>
      </w:r>
      <w:r w:rsidRPr="00EC737F">
        <w:rPr>
          <w:rFonts w:cs="Traditional Arabic" w:hint="cs"/>
          <w:sz w:val="28"/>
          <w:szCs w:val="32"/>
          <w:rtl/>
        </w:rPr>
        <w:t xml:space="preserve"> عند ما تكون قسمة المال الشائع ضارة بمصالح الشركاء</w:t>
      </w:r>
      <w:r>
        <w:rPr>
          <w:rFonts w:cs="Traditional Arabic" w:hint="cs"/>
          <w:sz w:val="28"/>
          <w:szCs w:val="32"/>
          <w:rtl/>
        </w:rPr>
        <w:t xml:space="preserve"> ،</w:t>
      </w:r>
      <w:r w:rsidRPr="00EC737F">
        <w:rPr>
          <w:rFonts w:cs="Traditional Arabic" w:hint="cs"/>
          <w:sz w:val="28"/>
          <w:szCs w:val="32"/>
          <w:rtl/>
        </w:rPr>
        <w:t xml:space="preserve"> أن تقدر تبعاً للظروف ما إذا كان التصرف واجباً"</w:t>
      </w:r>
      <w:r>
        <w:rPr>
          <w:rFonts w:cs="Traditional Arabic" w:hint="cs"/>
          <w:sz w:val="28"/>
          <w:szCs w:val="32"/>
          <w:rtl/>
        </w:rPr>
        <w:t xml:space="preserve"> .</w:t>
      </w:r>
      <w:r w:rsidRPr="00EC737F">
        <w:rPr>
          <w:rFonts w:cs="Traditional Arabic" w:hint="cs"/>
          <w:sz w:val="28"/>
          <w:szCs w:val="32"/>
          <w:rtl/>
        </w:rPr>
        <w:t xml:space="preserve"> فإذا قرر الشركاء الذي يملكون على الأقل ثلاثة أرباع العقار الشائع</w:t>
      </w:r>
      <w:r>
        <w:rPr>
          <w:rFonts w:cs="Traditional Arabic" w:hint="cs"/>
          <w:sz w:val="28"/>
          <w:szCs w:val="32"/>
          <w:rtl/>
        </w:rPr>
        <w:t xml:space="preserve"> ،</w:t>
      </w:r>
      <w:r w:rsidRPr="00EC737F">
        <w:rPr>
          <w:rFonts w:cs="Traditional Arabic" w:hint="cs"/>
          <w:sz w:val="28"/>
          <w:szCs w:val="32"/>
          <w:rtl/>
        </w:rPr>
        <w:t xml:space="preserve"> وليس كله</w:t>
      </w:r>
      <w:r>
        <w:rPr>
          <w:rFonts w:cs="Traditional Arabic" w:hint="cs"/>
          <w:sz w:val="28"/>
          <w:szCs w:val="32"/>
          <w:rtl/>
        </w:rPr>
        <w:t xml:space="preserve"> ،</w:t>
      </w:r>
      <w:r w:rsidRPr="00EC737F">
        <w:rPr>
          <w:rFonts w:cs="Traditional Arabic" w:hint="cs"/>
          <w:sz w:val="28"/>
          <w:szCs w:val="32"/>
          <w:rtl/>
        </w:rPr>
        <w:t xml:space="preserve"> رهنه طبقاً للمادة 832 مدني</w:t>
      </w:r>
      <w:r>
        <w:rPr>
          <w:rFonts w:cs="Traditional Arabic" w:hint="cs"/>
          <w:sz w:val="28"/>
          <w:szCs w:val="32"/>
          <w:rtl/>
        </w:rPr>
        <w:t xml:space="preserve"> ،</w:t>
      </w:r>
      <w:r w:rsidRPr="00EC737F">
        <w:rPr>
          <w:rFonts w:cs="Traditional Arabic" w:hint="cs"/>
          <w:sz w:val="28"/>
          <w:szCs w:val="32"/>
          <w:rtl/>
        </w:rPr>
        <w:t xml:space="preserve"> ولم يعارض باقي الشركاء أو عارضوا وقدرت المحكمة أن قسمة العقار الشائع ضارة بمصالح الشركاء وان رهن هذا العقار تصرف مناسب</w:t>
      </w:r>
      <w:r>
        <w:rPr>
          <w:rFonts w:cs="Traditional Arabic" w:hint="cs"/>
          <w:sz w:val="28"/>
          <w:szCs w:val="32"/>
          <w:rtl/>
        </w:rPr>
        <w:t xml:space="preserve"> ،</w:t>
      </w:r>
      <w:r w:rsidRPr="00EC737F">
        <w:rPr>
          <w:rFonts w:cs="Traditional Arabic" w:hint="cs"/>
          <w:sz w:val="28"/>
          <w:szCs w:val="32"/>
          <w:rtl/>
        </w:rPr>
        <w:t xml:space="preserve"> كان الرهن صحيحاً نافذاً في حق الجميع</w:t>
      </w:r>
      <w:r>
        <w:rPr>
          <w:rFonts w:cs="Traditional Arabic" w:hint="cs"/>
          <w:sz w:val="28"/>
          <w:szCs w:val="32"/>
          <w:rtl/>
        </w:rPr>
        <w:t xml:space="preserve"> ،</w:t>
      </w:r>
      <w:r w:rsidRPr="00EC737F">
        <w:rPr>
          <w:rFonts w:cs="Traditional Arabic" w:hint="cs"/>
          <w:sz w:val="28"/>
          <w:szCs w:val="32"/>
          <w:rtl/>
        </w:rPr>
        <w:t xml:space="preserve"> وذلك بالرغم من معارضة أقلية الشركاء في الرهن</w:t>
      </w:r>
      <w:r>
        <w:rPr>
          <w:rFonts w:cs="Traditional Arabic" w:hint="cs"/>
          <w:sz w:val="28"/>
          <w:szCs w:val="32"/>
          <w:rtl/>
        </w:rPr>
        <w:t xml:space="preserve"> .</w:t>
      </w:r>
      <w:r w:rsidRPr="00EC737F">
        <w:rPr>
          <w:rFonts w:cs="Traditional Arabic" w:hint="cs"/>
          <w:sz w:val="28"/>
          <w:szCs w:val="32"/>
          <w:rtl/>
        </w:rPr>
        <w:t xml:space="preserve"> فإذا بدا بعد ذلك للشركاء أو لبعضهم قسمة العقار وقسمته كما هو مفروض ضارة بمصالح الشركاء</w:t>
      </w:r>
      <w:r>
        <w:rPr>
          <w:rFonts w:cs="Traditional Arabic" w:hint="cs"/>
          <w:sz w:val="28"/>
          <w:szCs w:val="32"/>
          <w:rtl/>
        </w:rPr>
        <w:t xml:space="preserve"> ،</w:t>
      </w:r>
      <w:r w:rsidRPr="00EC737F">
        <w:rPr>
          <w:rFonts w:cs="Traditional Arabic" w:hint="cs"/>
          <w:sz w:val="28"/>
          <w:szCs w:val="32"/>
          <w:rtl/>
        </w:rPr>
        <w:t xml:space="preserve"> فبيع العقار $328 ورسا مزاده على أحد الشركاء أو على أجنبي</w:t>
      </w:r>
      <w:r>
        <w:rPr>
          <w:rFonts w:cs="Traditional Arabic" w:hint="cs"/>
          <w:sz w:val="28"/>
          <w:szCs w:val="32"/>
          <w:rtl/>
        </w:rPr>
        <w:t xml:space="preserve"> ،</w:t>
      </w:r>
      <w:r w:rsidRPr="00EC737F">
        <w:rPr>
          <w:rFonts w:cs="Traditional Arabic" w:hint="cs"/>
          <w:sz w:val="28"/>
          <w:szCs w:val="32"/>
          <w:rtl/>
        </w:rPr>
        <w:t xml:space="preserve"> فإنه ينتقل إلى المشتري مرهوناً</w:t>
      </w:r>
      <w:r>
        <w:rPr>
          <w:rFonts w:cs="Traditional Arabic" w:hint="cs"/>
          <w:sz w:val="28"/>
          <w:szCs w:val="32"/>
          <w:rtl/>
        </w:rPr>
        <w:t xml:space="preserve"> ؛</w:t>
      </w:r>
      <w:r w:rsidRPr="00EC737F">
        <w:rPr>
          <w:rFonts w:cs="Traditional Arabic" w:hint="cs"/>
          <w:sz w:val="28"/>
          <w:szCs w:val="32"/>
          <w:rtl/>
        </w:rPr>
        <w:t xml:space="preserve"> تطبيقاً لأحكام المادة 1139/1 مدني سافلة الذكر</w:t>
      </w:r>
      <w:r>
        <w:rPr>
          <w:rFonts w:cs="Traditional Arabic" w:hint="cs"/>
          <w:sz w:val="28"/>
          <w:szCs w:val="32"/>
          <w:vertAlign w:val="superscript"/>
          <w:rtl/>
        </w:rPr>
        <w:t xml:space="preserve">( </w:t>
      </w:r>
      <w:r w:rsidRPr="00EC737F">
        <w:rPr>
          <w:rStyle w:val="ab"/>
          <w:rFonts w:cs="Traditional Arabic"/>
          <w:sz w:val="28"/>
          <w:szCs w:val="32"/>
          <w:rtl/>
        </w:rPr>
        <w:footnoteReference w:id="71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146- رهن أحد الشركاء لحصته الشائعة في العقار الشائع</w:t>
      </w:r>
      <w:r>
        <w:rPr>
          <w:rFonts w:cs="Traditional Arabic" w:hint="cs"/>
          <w:sz w:val="28"/>
          <w:szCs w:val="32"/>
          <w:rtl/>
        </w:rPr>
        <w:t xml:space="preserve"> :</w:t>
      </w:r>
      <w:r w:rsidRPr="00EC737F">
        <w:rPr>
          <w:rFonts w:cs="Traditional Arabic" w:hint="cs"/>
          <w:sz w:val="28"/>
          <w:szCs w:val="32"/>
          <w:rtl/>
        </w:rPr>
        <w:t xml:space="preserve"> لا شك في أن كل شريك مشتاع يملك حصته الشائعة</w:t>
      </w:r>
      <w:r>
        <w:rPr>
          <w:rFonts w:cs="Traditional Arabic" w:hint="cs"/>
          <w:sz w:val="28"/>
          <w:szCs w:val="32"/>
          <w:rtl/>
        </w:rPr>
        <w:t xml:space="preserve"> ،</w:t>
      </w:r>
      <w:r w:rsidRPr="00EC737F">
        <w:rPr>
          <w:rFonts w:cs="Traditional Arabic" w:hint="cs"/>
          <w:sz w:val="28"/>
          <w:szCs w:val="32"/>
          <w:rtl/>
        </w:rPr>
        <w:t xml:space="preserve"> وله حق التصرف فيها</w:t>
      </w:r>
      <w:r>
        <w:rPr>
          <w:rFonts w:cs="Traditional Arabic" w:hint="cs"/>
          <w:sz w:val="28"/>
          <w:szCs w:val="32"/>
          <w:rtl/>
        </w:rPr>
        <w:t xml:space="preserve"> .</w:t>
      </w:r>
      <w:r w:rsidRPr="00EC737F">
        <w:rPr>
          <w:rFonts w:cs="Traditional Arabic" w:hint="cs"/>
          <w:sz w:val="28"/>
          <w:szCs w:val="32"/>
          <w:rtl/>
        </w:rPr>
        <w:t xml:space="preserve"> فله أن يرهنها</w:t>
      </w:r>
      <w:r>
        <w:rPr>
          <w:rFonts w:cs="Traditional Arabic" w:hint="cs"/>
          <w:sz w:val="28"/>
          <w:szCs w:val="32"/>
          <w:rtl/>
        </w:rPr>
        <w:t xml:space="preserve"> ،</w:t>
      </w:r>
      <w:r w:rsidRPr="00EC737F">
        <w:rPr>
          <w:rFonts w:cs="Traditional Arabic" w:hint="cs"/>
          <w:sz w:val="28"/>
          <w:szCs w:val="32"/>
          <w:rtl/>
        </w:rPr>
        <w:t xml:space="preserve"> ويكون رهنه صحيحاً ما دام العقار شائعاً</w:t>
      </w:r>
      <w:r>
        <w:rPr>
          <w:rFonts w:cs="Traditional Arabic" w:hint="cs"/>
          <w:sz w:val="28"/>
          <w:szCs w:val="32"/>
          <w:rtl/>
        </w:rPr>
        <w:t xml:space="preserve"> ،</w:t>
      </w:r>
      <w:r w:rsidRPr="00EC737F">
        <w:rPr>
          <w:rFonts w:cs="Traditional Arabic" w:hint="cs"/>
          <w:sz w:val="28"/>
          <w:szCs w:val="32"/>
          <w:rtl/>
        </w:rPr>
        <w:t xml:space="preserve"> وإذا باع هذه الحصة الشائعة انتقلت مرهونة إلى المشتري</w:t>
      </w:r>
      <w:r>
        <w:rPr>
          <w:rFonts w:cs="Traditional Arabic" w:hint="cs"/>
          <w:sz w:val="28"/>
          <w:szCs w:val="32"/>
          <w:rtl/>
        </w:rPr>
        <w:t xml:space="preserve"> .</w:t>
      </w:r>
      <w:r w:rsidRPr="00EC737F">
        <w:rPr>
          <w:rFonts w:cs="Traditional Arabic" w:hint="cs"/>
          <w:sz w:val="28"/>
          <w:szCs w:val="32"/>
          <w:rtl/>
        </w:rPr>
        <w:t xml:space="preserve"> أما إذا اقتصر على الرهن</w:t>
      </w:r>
      <w:r>
        <w:rPr>
          <w:rFonts w:cs="Traditional Arabic" w:hint="cs"/>
          <w:sz w:val="28"/>
          <w:szCs w:val="32"/>
          <w:rtl/>
        </w:rPr>
        <w:t xml:space="preserve"> ،</w:t>
      </w:r>
      <w:r w:rsidRPr="00EC737F">
        <w:rPr>
          <w:rFonts w:cs="Traditional Arabic" w:hint="cs"/>
          <w:sz w:val="28"/>
          <w:szCs w:val="32"/>
          <w:rtl/>
        </w:rPr>
        <w:t xml:space="preserve"> واقتسم الشركاء العقار بعد ذلك فوقع كله أو جزء منه في نصيب هذا الشريك فإنه ينتقل مرهوناً</w:t>
      </w:r>
      <w:r>
        <w:rPr>
          <w:rFonts w:cs="Traditional Arabic" w:hint="cs"/>
          <w:sz w:val="28"/>
          <w:szCs w:val="32"/>
          <w:vertAlign w:val="superscript"/>
          <w:rtl/>
        </w:rPr>
        <w:t xml:space="preserve">( </w:t>
      </w:r>
      <w:r w:rsidRPr="00EC737F">
        <w:rPr>
          <w:rStyle w:val="ab"/>
          <w:rFonts w:cs="Traditional Arabic"/>
          <w:sz w:val="28"/>
          <w:szCs w:val="32"/>
          <w:rtl/>
        </w:rPr>
        <w:footnoteReference w:id="71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أو ينتقل مرهوناً </w:t>
      </w:r>
      <w:r w:rsidRPr="00EC737F">
        <w:rPr>
          <w:rFonts w:cs="Traditional Arabic" w:hint="cs"/>
          <w:sz w:val="28"/>
          <w:szCs w:val="32"/>
          <w:rtl/>
        </w:rPr>
        <w:lastRenderedPageBreak/>
        <w:t>بعضه في الشيوع بمقدار حصة الشريك فيما إذا وقع العقار كله في نصيبه</w:t>
      </w:r>
      <w:r>
        <w:rPr>
          <w:rFonts w:cs="Traditional Arabic" w:hint="cs"/>
          <w:sz w:val="28"/>
          <w:szCs w:val="32"/>
          <w:vertAlign w:val="superscript"/>
          <w:rtl/>
        </w:rPr>
        <w:t xml:space="preserve">( </w:t>
      </w:r>
      <w:r w:rsidRPr="00EC737F">
        <w:rPr>
          <w:rStyle w:val="ab"/>
          <w:rFonts w:cs="Traditional Arabic"/>
          <w:sz w:val="28"/>
          <w:szCs w:val="32"/>
          <w:rtl/>
        </w:rPr>
        <w:footnoteReference w:id="71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وفي هذا المعنى تقول المذكرة الإيضاحية للمشروع التمهيدي</w:t>
      </w:r>
      <w:r>
        <w:rPr>
          <w:rFonts w:cs="Traditional Arabic" w:hint="cs"/>
          <w:sz w:val="28"/>
          <w:szCs w:val="32"/>
          <w:rtl/>
        </w:rPr>
        <w:t xml:space="preserve"> :</w:t>
      </w:r>
      <w:r w:rsidRPr="00EC737F">
        <w:rPr>
          <w:rFonts w:cs="Traditional Arabic" w:hint="cs"/>
          <w:sz w:val="28"/>
          <w:szCs w:val="32"/>
          <w:rtl/>
        </w:rPr>
        <w:t xml:space="preserve"> "يجوز رهن العقار الشائع</w:t>
      </w:r>
      <w:r>
        <w:rPr>
          <w:rFonts w:cs="Traditional Arabic" w:hint="cs"/>
          <w:sz w:val="28"/>
          <w:szCs w:val="32"/>
          <w:rtl/>
        </w:rPr>
        <w:t xml:space="preserve"> :</w:t>
      </w:r>
      <w:r w:rsidRPr="00EC737F">
        <w:rPr>
          <w:rFonts w:cs="Traditional Arabic" w:hint="cs"/>
          <w:sz w:val="28"/>
          <w:szCs w:val="32"/>
          <w:rtl/>
        </w:rPr>
        <w:t xml:space="preserve"> فإذا رهن المالك نصيبه شائعاً كان الرهن صحيحاً</w:t>
      </w:r>
      <w:r>
        <w:rPr>
          <w:rFonts w:cs="Traditional Arabic" w:hint="cs"/>
          <w:sz w:val="28"/>
          <w:szCs w:val="32"/>
          <w:rtl/>
        </w:rPr>
        <w:t xml:space="preserve"> ،</w:t>
      </w:r>
      <w:r w:rsidRPr="00EC737F">
        <w:rPr>
          <w:rFonts w:cs="Traditional Arabic" w:hint="cs"/>
          <w:sz w:val="28"/>
          <w:szCs w:val="32"/>
          <w:rtl/>
        </w:rPr>
        <w:t xml:space="preserve"> حتى إذا أفرز النصيب الشائع من نذلك انتقل الرهن إلى النصيب المفرز"</w:t>
      </w:r>
      <w:r>
        <w:rPr>
          <w:rFonts w:cs="Traditional Arabic" w:hint="cs"/>
          <w:sz w:val="28"/>
          <w:szCs w:val="32"/>
          <w:vertAlign w:val="superscript"/>
          <w:rtl/>
        </w:rPr>
        <w:t xml:space="preserve">( </w:t>
      </w:r>
      <w:r w:rsidRPr="00EC737F">
        <w:rPr>
          <w:rStyle w:val="ab"/>
          <w:rFonts w:cs="Traditional Arabic"/>
          <w:sz w:val="28"/>
          <w:szCs w:val="32"/>
          <w:rtl/>
        </w:rPr>
        <w:footnoteReference w:id="71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$329 ولكن قد ينتج عن القسمة أن يقع في نصيب الشريك الراهن</w:t>
      </w:r>
      <w:r>
        <w:rPr>
          <w:rFonts w:cs="Traditional Arabic" w:hint="cs"/>
          <w:sz w:val="28"/>
          <w:szCs w:val="32"/>
          <w:rtl/>
        </w:rPr>
        <w:t xml:space="preserve"> ،</w:t>
      </w:r>
      <w:r w:rsidRPr="00EC737F">
        <w:rPr>
          <w:rFonts w:cs="Traditional Arabic" w:hint="cs"/>
          <w:sz w:val="28"/>
          <w:szCs w:val="32"/>
          <w:rtl/>
        </w:rPr>
        <w:t xml:space="preserve"> لا العقار المرهون ولا جزء منه</w:t>
      </w:r>
      <w:r>
        <w:rPr>
          <w:rFonts w:cs="Traditional Arabic" w:hint="cs"/>
          <w:sz w:val="28"/>
          <w:szCs w:val="32"/>
          <w:rtl/>
        </w:rPr>
        <w:t xml:space="preserve"> ،</w:t>
      </w:r>
      <w:r w:rsidRPr="00EC737F">
        <w:rPr>
          <w:rFonts w:cs="Traditional Arabic" w:hint="cs"/>
          <w:sz w:val="28"/>
          <w:szCs w:val="32"/>
          <w:rtl/>
        </w:rPr>
        <w:t xml:space="preserve"> وإنما يقع في نصيبه عقاراً آخر كان هو أيضاً شائعاً ودخل في القسمة فوقع في نصيب الشريك الراهن</w:t>
      </w:r>
      <w:r>
        <w:rPr>
          <w:rFonts w:cs="Traditional Arabic" w:hint="cs"/>
          <w:sz w:val="28"/>
          <w:szCs w:val="32"/>
          <w:rtl/>
        </w:rPr>
        <w:t xml:space="preserve"> .</w:t>
      </w:r>
      <w:r w:rsidRPr="00EC737F">
        <w:rPr>
          <w:rFonts w:cs="Traditional Arabic" w:hint="cs"/>
          <w:sz w:val="28"/>
          <w:szCs w:val="32"/>
          <w:rtl/>
        </w:rPr>
        <w:t xml:space="preserve"> وفي هذا تقول المادة الثانية من المادة 1039 مدني</w:t>
      </w:r>
      <w:r>
        <w:rPr>
          <w:rFonts w:cs="Traditional Arabic" w:hint="cs"/>
          <w:sz w:val="28"/>
          <w:szCs w:val="32"/>
          <w:rtl/>
        </w:rPr>
        <w:t xml:space="preserve"> ،</w:t>
      </w:r>
      <w:r w:rsidRPr="00EC737F">
        <w:rPr>
          <w:rFonts w:cs="Traditional Arabic" w:hint="cs"/>
          <w:sz w:val="28"/>
          <w:szCs w:val="32"/>
          <w:rtl/>
        </w:rPr>
        <w:t xml:space="preserve"> كما رأينا</w:t>
      </w:r>
      <w:r>
        <w:rPr>
          <w:rFonts w:cs="Traditional Arabic" w:hint="cs"/>
          <w:sz w:val="28"/>
          <w:szCs w:val="32"/>
          <w:rtl/>
        </w:rPr>
        <w:t xml:space="preserve"> ،</w:t>
      </w:r>
      <w:r w:rsidRPr="00EC737F">
        <w:rPr>
          <w:rFonts w:cs="Traditional Arabic" w:hint="cs"/>
          <w:sz w:val="28"/>
          <w:szCs w:val="32"/>
          <w:rtl/>
        </w:rPr>
        <w:t xml:space="preserve"> ما يأتي</w:t>
      </w:r>
      <w:r>
        <w:rPr>
          <w:rFonts w:cs="Traditional Arabic" w:hint="cs"/>
          <w:sz w:val="28"/>
          <w:szCs w:val="32"/>
          <w:rtl/>
        </w:rPr>
        <w:t xml:space="preserve"> :</w:t>
      </w:r>
      <w:r w:rsidRPr="00EC737F">
        <w:rPr>
          <w:rFonts w:cs="Traditional Arabic" w:hint="cs"/>
          <w:sz w:val="28"/>
          <w:szCs w:val="32"/>
          <w:rtl/>
        </w:rPr>
        <w:t xml:space="preserve"> "وإذا رهن أحد الشركاء حصته الشائعة في العقار </w:t>
      </w:r>
      <w:r>
        <w:rPr>
          <w:rFonts w:cs="Traditional Arabic" w:hint="cs"/>
          <w:sz w:val="28"/>
          <w:szCs w:val="32"/>
          <w:rtl/>
        </w:rPr>
        <w:t xml:space="preserve"> . . .</w:t>
      </w:r>
      <w:r w:rsidRPr="00EC737F">
        <w:rPr>
          <w:rFonts w:cs="Traditional Arabic" w:hint="cs"/>
          <w:sz w:val="28"/>
          <w:szCs w:val="32"/>
          <w:rtl/>
        </w:rPr>
        <w:t xml:space="preserve"> ثم وقع في نصيبه عند القسمة أعيان غير التي رهنها</w:t>
      </w:r>
      <w:r>
        <w:rPr>
          <w:rFonts w:cs="Traditional Arabic" w:hint="cs"/>
          <w:sz w:val="28"/>
          <w:szCs w:val="32"/>
          <w:rtl/>
        </w:rPr>
        <w:t xml:space="preserve"> ،</w:t>
      </w:r>
      <w:r w:rsidRPr="00EC737F">
        <w:rPr>
          <w:rFonts w:cs="Traditional Arabic" w:hint="cs"/>
          <w:sz w:val="28"/>
          <w:szCs w:val="32"/>
          <w:rtl/>
        </w:rPr>
        <w:t xml:space="preserve"> انتقل الرهن بمرتبته إلى قدر من هذه الأعيان يعادل قيمة العقار الذي كان مرهوناً في الأصل</w:t>
      </w:r>
      <w:r>
        <w:rPr>
          <w:rFonts w:cs="Traditional Arabic" w:hint="cs"/>
          <w:sz w:val="28"/>
          <w:szCs w:val="32"/>
          <w:rtl/>
        </w:rPr>
        <w:t xml:space="preserve"> .</w:t>
      </w:r>
      <w:r w:rsidRPr="00EC737F">
        <w:rPr>
          <w:rFonts w:cs="Traditional Arabic" w:hint="cs"/>
          <w:sz w:val="28"/>
          <w:szCs w:val="32"/>
          <w:rtl/>
        </w:rPr>
        <w:t xml:space="preserve"> ويبرر هذا القدر بأمر على عريضة</w:t>
      </w:r>
      <w:r>
        <w:rPr>
          <w:rFonts w:cs="Traditional Arabic" w:hint="cs"/>
          <w:sz w:val="28"/>
          <w:szCs w:val="32"/>
          <w:rtl/>
        </w:rPr>
        <w:t xml:space="preserve"> ،</w:t>
      </w:r>
      <w:r w:rsidRPr="00EC737F">
        <w:rPr>
          <w:rFonts w:cs="Traditional Arabic" w:hint="cs"/>
          <w:sz w:val="28"/>
          <w:szCs w:val="32"/>
          <w:rtl/>
        </w:rPr>
        <w:t xml:space="preserve"> ويقوم الدائن المرتهن بإجراء قيد جديد يبين فيه القدر الذي انتقل إليه خلال تسعين يوماً من </w:t>
      </w:r>
      <w:r w:rsidRPr="00EC737F">
        <w:rPr>
          <w:rFonts w:cs="Traditional Arabic" w:hint="cs"/>
          <w:sz w:val="28"/>
          <w:szCs w:val="32"/>
          <w:rtl/>
        </w:rPr>
        <w:lastRenderedPageBreak/>
        <w:t>الوقت الذي يخطره فيه أي ذي شأن بتسجيل القسمة</w:t>
      </w:r>
      <w:r>
        <w:rPr>
          <w:rFonts w:cs="Traditional Arabic" w:hint="cs"/>
          <w:sz w:val="28"/>
          <w:szCs w:val="32"/>
          <w:rtl/>
        </w:rPr>
        <w:t xml:space="preserve"> .</w:t>
      </w:r>
      <w:r w:rsidRPr="00EC737F">
        <w:rPr>
          <w:rFonts w:cs="Traditional Arabic" w:hint="cs"/>
          <w:sz w:val="28"/>
          <w:szCs w:val="32"/>
          <w:rtl/>
        </w:rPr>
        <w:t xml:space="preserve"> ولا يضر انتقال الرهن على هذا الوجه برهن صدر من جميع الشركاء</w:t>
      </w:r>
      <w:r>
        <w:rPr>
          <w:rFonts w:cs="Traditional Arabic" w:hint="cs"/>
          <w:sz w:val="28"/>
          <w:szCs w:val="32"/>
          <w:rtl/>
        </w:rPr>
        <w:t xml:space="preserve"> ،</w:t>
      </w:r>
      <w:r w:rsidRPr="00EC737F">
        <w:rPr>
          <w:rFonts w:cs="Traditional Arabic" w:hint="cs"/>
          <w:sz w:val="28"/>
          <w:szCs w:val="32"/>
          <w:rtl/>
        </w:rPr>
        <w:t xml:space="preserve"> ولا بامتياز المتقاسمين"</w:t>
      </w:r>
      <w:r>
        <w:rPr>
          <w:rFonts w:cs="Traditional Arabic" w:hint="cs"/>
          <w:sz w:val="28"/>
          <w:szCs w:val="32"/>
          <w:rtl/>
        </w:rPr>
        <w:t xml:space="preserve"> .</w:t>
      </w:r>
      <w:r w:rsidRPr="00EC737F">
        <w:rPr>
          <w:rFonts w:cs="Traditional Arabic" w:hint="cs"/>
          <w:sz w:val="28"/>
          <w:szCs w:val="32"/>
          <w:rtl/>
        </w:rPr>
        <w:t xml:space="preserve"> وهذا هو الحلول العيني</w:t>
      </w:r>
      <w:r>
        <w:rPr>
          <w:rFonts w:cs="Traditional Arabic" w:hint="cs"/>
          <w:sz w:val="28"/>
          <w:szCs w:val="32"/>
          <w:rtl/>
        </w:rPr>
        <w:t xml:space="preserve"> ،</w:t>
      </w:r>
      <w:r w:rsidRPr="00EC737F">
        <w:rPr>
          <w:rFonts w:cs="Traditional Arabic" w:hint="cs"/>
          <w:sz w:val="28"/>
          <w:szCs w:val="32"/>
          <w:rtl/>
        </w:rPr>
        <w:t xml:space="preserve"> فقد وقع في نصيب الشريك الراهن بالقسمة عقاراً آخر غير العقار الذي رهنه</w:t>
      </w:r>
      <w:r>
        <w:rPr>
          <w:rFonts w:cs="Traditional Arabic" w:hint="cs"/>
          <w:sz w:val="28"/>
          <w:szCs w:val="32"/>
          <w:rtl/>
        </w:rPr>
        <w:t xml:space="preserve"> ،</w:t>
      </w:r>
      <w:r w:rsidRPr="00EC737F">
        <w:rPr>
          <w:rFonts w:cs="Traditional Arabic" w:hint="cs"/>
          <w:sz w:val="28"/>
          <w:szCs w:val="32"/>
          <w:rtl/>
        </w:rPr>
        <w:t xml:space="preserve"> فحل هذا العقار الآخر محل العقار الأول المرهون</w:t>
      </w:r>
      <w:r>
        <w:rPr>
          <w:rFonts w:cs="Traditional Arabic" w:hint="cs"/>
          <w:sz w:val="28"/>
          <w:szCs w:val="32"/>
          <w:rtl/>
        </w:rPr>
        <w:t xml:space="preserve"> ،</w:t>
      </w:r>
      <w:r w:rsidRPr="00EC737F">
        <w:rPr>
          <w:rFonts w:cs="Traditional Arabic" w:hint="cs"/>
          <w:sz w:val="28"/>
          <w:szCs w:val="32"/>
          <w:rtl/>
        </w:rPr>
        <w:t xml:space="preserve"> وينتقل مرهوناً بدلا من العقار الأول</w:t>
      </w:r>
      <w:r>
        <w:rPr>
          <w:rFonts w:cs="Traditional Arabic" w:hint="cs"/>
          <w:sz w:val="28"/>
          <w:szCs w:val="32"/>
          <w:rtl/>
        </w:rPr>
        <w:t xml:space="preserve"> ،</w:t>
      </w:r>
      <w:r w:rsidRPr="00EC737F">
        <w:rPr>
          <w:rFonts w:cs="Traditional Arabic" w:hint="cs"/>
          <w:sz w:val="28"/>
          <w:szCs w:val="32"/>
          <w:rtl/>
        </w:rPr>
        <w:t xml:space="preserve"> ويتبع الدائن المرتهن إجراءات معين في قيد رهنه الجديد حتى يحتفظ بمرتبة الرهن الأول</w:t>
      </w:r>
      <w:r>
        <w:rPr>
          <w:rFonts w:cs="Traditional Arabic" w:hint="cs"/>
          <w:sz w:val="28"/>
          <w:szCs w:val="32"/>
          <w:rtl/>
        </w:rPr>
        <w:t xml:space="preserve"> .</w:t>
      </w:r>
      <w:r w:rsidRPr="00EC737F">
        <w:rPr>
          <w:rFonts w:cs="Traditional Arabic" w:hint="cs"/>
          <w:sz w:val="28"/>
          <w:szCs w:val="32"/>
          <w:rtl/>
        </w:rPr>
        <w:t xml:space="preserve"> ولولا الحلول العيني</w:t>
      </w:r>
      <w:r>
        <w:rPr>
          <w:rFonts w:cs="Traditional Arabic" w:hint="cs"/>
          <w:sz w:val="28"/>
          <w:szCs w:val="32"/>
          <w:rtl/>
        </w:rPr>
        <w:t xml:space="preserve"> ،</w:t>
      </w:r>
      <w:r w:rsidRPr="00EC737F">
        <w:rPr>
          <w:rFonts w:cs="Traditional Arabic" w:hint="cs"/>
          <w:sz w:val="28"/>
          <w:szCs w:val="32"/>
          <w:rtl/>
        </w:rPr>
        <w:t xml:space="preserve"> لقيل إن العقار الآخر الذي وقع في نصيب الشريك الراهن لم يسبق رهنه من هذا الشريك</w:t>
      </w:r>
      <w:r>
        <w:rPr>
          <w:rFonts w:cs="Traditional Arabic" w:hint="cs"/>
          <w:sz w:val="28"/>
          <w:szCs w:val="32"/>
          <w:rtl/>
        </w:rPr>
        <w:t xml:space="preserve"> ،</w:t>
      </w:r>
      <w:r w:rsidRPr="00EC737F">
        <w:rPr>
          <w:rFonts w:cs="Traditional Arabic" w:hint="cs"/>
          <w:sz w:val="28"/>
          <w:szCs w:val="32"/>
          <w:rtl/>
        </w:rPr>
        <w:t xml:space="preserve"> وبذلك لا ينتقل الرهن إلى هذا العقار</w:t>
      </w:r>
      <w:r>
        <w:rPr>
          <w:rFonts w:cs="Traditional Arabic" w:hint="cs"/>
          <w:sz w:val="28"/>
          <w:szCs w:val="32"/>
          <w:rtl/>
        </w:rPr>
        <w:t xml:space="preserve"> ،</w:t>
      </w:r>
      <w:r w:rsidRPr="00EC737F">
        <w:rPr>
          <w:rFonts w:cs="Traditional Arabic" w:hint="cs"/>
          <w:sz w:val="28"/>
          <w:szCs w:val="32"/>
          <w:rtl/>
        </w:rPr>
        <w:t xml:space="preserve"> أما العقار  الذي رهنه الشريك فيعتبر أن $330 هذا لم يكن مالكاً له  من مبدأ الأمر ويكون الرهن صادراً من غير مالك</w:t>
      </w:r>
      <w:r>
        <w:rPr>
          <w:rFonts w:cs="Traditional Arabic" w:hint="cs"/>
          <w:sz w:val="28"/>
          <w:szCs w:val="32"/>
          <w:rtl/>
        </w:rPr>
        <w:t xml:space="preserve"> ،</w:t>
      </w:r>
      <w:r w:rsidRPr="00EC737F">
        <w:rPr>
          <w:rFonts w:cs="Traditional Arabic" w:hint="cs"/>
          <w:sz w:val="28"/>
          <w:szCs w:val="32"/>
          <w:rtl/>
        </w:rPr>
        <w:t xml:space="preserve"> فيكون قابلا للإبطال ولا ينفذ في حق المالك الذي وقع في نصيبه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71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والإجراءات التي يتبعها الدائن المرتهن في قيد رهنه الجديد حتى يحتفظ بمرتبة الرهن الأول تبدأ بأن يأخذ هذا الدائن من القاضي أمراً على عريضة يخول للدائن إجراء قيد جديد</w:t>
      </w:r>
      <w:r>
        <w:rPr>
          <w:rFonts w:cs="Traditional Arabic" w:hint="cs"/>
          <w:sz w:val="28"/>
          <w:szCs w:val="32"/>
          <w:rtl/>
        </w:rPr>
        <w:t xml:space="preserve"> ،</w:t>
      </w:r>
      <w:r w:rsidRPr="00EC737F">
        <w:rPr>
          <w:rFonts w:cs="Traditional Arabic" w:hint="cs"/>
          <w:sz w:val="28"/>
          <w:szCs w:val="32"/>
          <w:rtl/>
        </w:rPr>
        <w:t xml:space="preserve"> ويعين في هذا الأمر القدر الذي انتقل إليه الرهن بموجب الحلول العيني</w:t>
      </w:r>
      <w:r>
        <w:rPr>
          <w:rFonts w:cs="Traditional Arabic" w:hint="cs"/>
          <w:sz w:val="28"/>
          <w:szCs w:val="32"/>
          <w:rtl/>
        </w:rPr>
        <w:t xml:space="preserve"> .</w:t>
      </w:r>
      <w:r w:rsidRPr="00EC737F">
        <w:rPr>
          <w:rFonts w:cs="Traditional Arabic" w:hint="cs"/>
          <w:sz w:val="28"/>
          <w:szCs w:val="32"/>
          <w:rtl/>
        </w:rPr>
        <w:t xml:space="preserve"> فإذا وقع في نصيب الشريك الراهن عقار آخر غير الذي رهنه يساوي في القيمة ما رهنه من العقار الأول</w:t>
      </w:r>
      <w:r>
        <w:rPr>
          <w:rFonts w:cs="Traditional Arabic" w:hint="cs"/>
          <w:sz w:val="28"/>
          <w:szCs w:val="32"/>
          <w:rtl/>
        </w:rPr>
        <w:t xml:space="preserve"> ،</w:t>
      </w:r>
      <w:r w:rsidRPr="00EC737F">
        <w:rPr>
          <w:rFonts w:cs="Traditional Arabic" w:hint="cs"/>
          <w:sz w:val="28"/>
          <w:szCs w:val="32"/>
          <w:rtl/>
        </w:rPr>
        <w:t xml:space="preserve"> انتقل الرهن إلى كل هذا العقار الآخر</w:t>
      </w:r>
      <w:r>
        <w:rPr>
          <w:rFonts w:cs="Traditional Arabic" w:hint="cs"/>
          <w:sz w:val="28"/>
          <w:szCs w:val="32"/>
          <w:rtl/>
        </w:rPr>
        <w:t xml:space="preserve"> ،</w:t>
      </w:r>
      <w:r w:rsidRPr="00EC737F">
        <w:rPr>
          <w:rFonts w:cs="Traditional Arabic" w:hint="cs"/>
          <w:sz w:val="28"/>
          <w:szCs w:val="32"/>
          <w:rtl/>
        </w:rPr>
        <w:t xml:space="preserve"> ويبين ذلك في الأمر على عريضة وإجراء القيد الجديد خلال تسعين يوماً من الوقت الذي يخطره فه أي ذي شأن بتسجيل القسمة التي تمت</w:t>
      </w:r>
      <w:r>
        <w:rPr>
          <w:rFonts w:cs="Traditional Arabic" w:hint="cs"/>
          <w:sz w:val="28"/>
          <w:szCs w:val="32"/>
          <w:rtl/>
        </w:rPr>
        <w:t xml:space="preserve"> ،</w:t>
      </w:r>
      <w:r w:rsidRPr="00EC737F">
        <w:rPr>
          <w:rFonts w:cs="Traditional Arabic" w:hint="cs"/>
          <w:sz w:val="28"/>
          <w:szCs w:val="32"/>
          <w:rtl/>
        </w:rPr>
        <w:t xml:space="preserve"> كالشريك الراهن أو الشريك الذي وقع في نصيبه العقار المرهون</w:t>
      </w:r>
      <w:r>
        <w:rPr>
          <w:rFonts w:cs="Traditional Arabic" w:hint="cs"/>
          <w:sz w:val="28"/>
          <w:szCs w:val="32"/>
          <w:rtl/>
        </w:rPr>
        <w:t xml:space="preserve"> .</w:t>
      </w:r>
      <w:r w:rsidRPr="00EC737F">
        <w:rPr>
          <w:rFonts w:cs="Traditional Arabic" w:hint="cs"/>
          <w:sz w:val="28"/>
          <w:szCs w:val="32"/>
          <w:rtl/>
        </w:rPr>
        <w:t xml:space="preserve"> ولم يبين القانون كيف يكون هذا الإخطار</w:t>
      </w:r>
      <w:r>
        <w:rPr>
          <w:rFonts w:cs="Traditional Arabic" w:hint="cs"/>
          <w:sz w:val="28"/>
          <w:szCs w:val="32"/>
          <w:rtl/>
        </w:rPr>
        <w:t xml:space="preserve"> ،</w:t>
      </w:r>
      <w:r w:rsidRPr="00EC737F">
        <w:rPr>
          <w:rFonts w:cs="Traditional Arabic" w:hint="cs"/>
          <w:sz w:val="28"/>
          <w:szCs w:val="32"/>
          <w:rtl/>
        </w:rPr>
        <w:t xml:space="preserve"> فيصح أن يكون إخطاراً شفوياً على أن يثبته من قام به</w:t>
      </w:r>
      <w:r>
        <w:rPr>
          <w:rFonts w:cs="Traditional Arabic" w:hint="cs"/>
          <w:sz w:val="28"/>
          <w:szCs w:val="32"/>
          <w:rtl/>
        </w:rPr>
        <w:t xml:space="preserve"> .</w:t>
      </w:r>
      <w:r w:rsidRPr="00EC737F">
        <w:rPr>
          <w:rFonts w:cs="Traditional Arabic" w:hint="cs"/>
          <w:sz w:val="28"/>
          <w:szCs w:val="32"/>
          <w:rtl/>
        </w:rPr>
        <w:t xml:space="preserve"> فإذا قام الدائن المرتهن بهذه الإجراءات</w:t>
      </w:r>
      <w:r>
        <w:rPr>
          <w:rFonts w:cs="Traditional Arabic" w:hint="cs"/>
          <w:sz w:val="28"/>
          <w:szCs w:val="32"/>
          <w:rtl/>
        </w:rPr>
        <w:t xml:space="preserve"> ،</w:t>
      </w:r>
      <w:r w:rsidRPr="00EC737F">
        <w:rPr>
          <w:rFonts w:cs="Traditional Arabic" w:hint="cs"/>
          <w:sz w:val="28"/>
          <w:szCs w:val="32"/>
          <w:rtl/>
        </w:rPr>
        <w:t xml:space="preserve"> وأجرى القيد الجديد في خلال التسعين يوماً المبين ذكرها</w:t>
      </w:r>
      <w:r>
        <w:rPr>
          <w:rFonts w:cs="Traditional Arabic" w:hint="cs"/>
          <w:sz w:val="28"/>
          <w:szCs w:val="32"/>
          <w:rtl/>
        </w:rPr>
        <w:t xml:space="preserve"> ،</w:t>
      </w:r>
      <w:r w:rsidRPr="00EC737F">
        <w:rPr>
          <w:rFonts w:cs="Traditional Arabic" w:hint="cs"/>
          <w:sz w:val="28"/>
          <w:szCs w:val="32"/>
          <w:rtl/>
        </w:rPr>
        <w:t xml:space="preserve"> احتفظ الرهن برتبته الأولى من وقت أن قيد أول مرة</w:t>
      </w:r>
      <w:r>
        <w:rPr>
          <w:rFonts w:cs="Traditional Arabic" w:hint="cs"/>
          <w:sz w:val="28"/>
          <w:szCs w:val="32"/>
          <w:rtl/>
        </w:rPr>
        <w:t xml:space="preserve"> ،</w:t>
      </w:r>
      <w:r w:rsidRPr="00EC737F">
        <w:rPr>
          <w:rFonts w:cs="Traditional Arabic" w:hint="cs"/>
          <w:sz w:val="28"/>
          <w:szCs w:val="32"/>
          <w:rtl/>
        </w:rPr>
        <w:t xml:space="preserve"> وهذا هو المقصود من هذه الإجراءات</w:t>
      </w:r>
      <w:r>
        <w:rPr>
          <w:rFonts w:cs="Traditional Arabic" w:hint="cs"/>
          <w:sz w:val="28"/>
          <w:szCs w:val="32"/>
          <w:rtl/>
        </w:rPr>
        <w:t xml:space="preserve"> .</w:t>
      </w:r>
      <w:r w:rsidRPr="00EC737F">
        <w:rPr>
          <w:rFonts w:cs="Traditional Arabic" w:hint="cs"/>
          <w:sz w:val="28"/>
          <w:szCs w:val="32"/>
          <w:rtl/>
        </w:rPr>
        <w:t xml:space="preserve"> أما إذا أجره الدائن المرتهن بعد الميعاد</w:t>
      </w:r>
      <w:r>
        <w:rPr>
          <w:rFonts w:cs="Traditional Arabic" w:hint="cs"/>
          <w:sz w:val="28"/>
          <w:szCs w:val="32"/>
          <w:rtl/>
        </w:rPr>
        <w:t xml:space="preserve"> ،</w:t>
      </w:r>
      <w:r w:rsidRPr="00EC737F">
        <w:rPr>
          <w:rFonts w:cs="Traditional Arabic" w:hint="cs"/>
          <w:sz w:val="28"/>
          <w:szCs w:val="32"/>
          <w:rtl/>
        </w:rPr>
        <w:t xml:space="preserve"> فإن الرهن الجديد تكون مرتبته من تاريخ القيد الجديد</w:t>
      </w:r>
      <w:r>
        <w:rPr>
          <w:rFonts w:cs="Traditional Arabic" w:hint="cs"/>
          <w:sz w:val="28"/>
          <w:szCs w:val="32"/>
          <w:rtl/>
        </w:rPr>
        <w:t xml:space="preserve"> ،</w:t>
      </w:r>
      <w:r w:rsidRPr="00EC737F">
        <w:rPr>
          <w:rFonts w:cs="Traditional Arabic" w:hint="cs"/>
          <w:sz w:val="28"/>
          <w:szCs w:val="32"/>
          <w:rtl/>
        </w:rPr>
        <w:t xml:space="preserve"> ويتقدم على هذا الدائن المرتهن دائن مرتهن آخر يكون الشريك الراهن قد $331 رهن له ما وقع في نسيبه من عقار وقيد الدائن المرتهن الآخر </w:t>
      </w:r>
      <w:r w:rsidRPr="00EC737F">
        <w:rPr>
          <w:rFonts w:cs="Traditional Arabic" w:hint="cs"/>
          <w:sz w:val="28"/>
          <w:szCs w:val="32"/>
          <w:rtl/>
        </w:rPr>
        <w:lastRenderedPageBreak/>
        <w:t>رهنه قبل قيد الرهن الأول</w:t>
      </w:r>
      <w:r>
        <w:rPr>
          <w:rFonts w:cs="Traditional Arabic" w:hint="cs"/>
          <w:sz w:val="28"/>
          <w:szCs w:val="32"/>
          <w:vertAlign w:val="superscript"/>
          <w:rtl/>
        </w:rPr>
        <w:t xml:space="preserve">( </w:t>
      </w:r>
      <w:r w:rsidRPr="00EC737F">
        <w:rPr>
          <w:rStyle w:val="ab"/>
          <w:rFonts w:cs="Traditional Arabic"/>
          <w:sz w:val="28"/>
          <w:szCs w:val="32"/>
          <w:rtl/>
        </w:rPr>
        <w:footnoteReference w:id="71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وقع في نصيب الشريك الراهن</w:t>
      </w:r>
      <w:r>
        <w:rPr>
          <w:rFonts w:cs="Traditional Arabic" w:hint="cs"/>
          <w:sz w:val="28"/>
          <w:szCs w:val="32"/>
          <w:rtl/>
        </w:rPr>
        <w:t xml:space="preserve"> ،</w:t>
      </w:r>
      <w:r w:rsidRPr="00EC737F">
        <w:rPr>
          <w:rFonts w:cs="Traditional Arabic" w:hint="cs"/>
          <w:sz w:val="28"/>
          <w:szCs w:val="32"/>
          <w:rtl/>
        </w:rPr>
        <w:t xml:space="preserve"> لا العقار المرهون ولا عقار آخر يحل محله</w:t>
      </w:r>
      <w:r>
        <w:rPr>
          <w:rFonts w:cs="Traditional Arabic" w:hint="cs"/>
          <w:sz w:val="28"/>
          <w:szCs w:val="32"/>
          <w:rtl/>
        </w:rPr>
        <w:t xml:space="preserve"> ،</w:t>
      </w:r>
      <w:r w:rsidRPr="00EC737F">
        <w:rPr>
          <w:rFonts w:cs="Traditional Arabic" w:hint="cs"/>
          <w:sz w:val="28"/>
          <w:szCs w:val="32"/>
          <w:rtl/>
        </w:rPr>
        <w:t xml:space="preserve"> بل منقول</w:t>
      </w:r>
      <w:r>
        <w:rPr>
          <w:rFonts w:cs="Traditional Arabic" w:hint="cs"/>
          <w:sz w:val="28"/>
          <w:szCs w:val="32"/>
          <w:rtl/>
        </w:rPr>
        <w:t xml:space="preserve"> ،</w:t>
      </w:r>
      <w:r w:rsidRPr="00EC737F">
        <w:rPr>
          <w:rFonts w:cs="Traditional Arabic" w:hint="cs"/>
          <w:sz w:val="28"/>
          <w:szCs w:val="32"/>
          <w:rtl/>
        </w:rPr>
        <w:t xml:space="preserve"> فإن الدائن المرتهن يفقد حق رهنه على العقار المرهون لأنه وقع في نصيب شريك لم يرهنه</w:t>
      </w:r>
      <w:r>
        <w:rPr>
          <w:rFonts w:cs="Traditional Arabic" w:hint="cs"/>
          <w:sz w:val="28"/>
          <w:szCs w:val="32"/>
          <w:rtl/>
        </w:rPr>
        <w:t xml:space="preserve"> ،</w:t>
      </w:r>
      <w:r w:rsidRPr="00EC737F">
        <w:rPr>
          <w:rFonts w:cs="Traditional Arabic" w:hint="cs"/>
          <w:sz w:val="28"/>
          <w:szCs w:val="32"/>
          <w:rtl/>
        </w:rPr>
        <w:t xml:space="preserve"> وكذلك لا ينتقل رهنه الرسمي إلى المنقول الذي وقع في نصيب الشريك الراهن لأن المنقول لا يصح أن يكون محلا للرهن الرسمي</w:t>
      </w:r>
      <w:r>
        <w:rPr>
          <w:rFonts w:cs="Traditional Arabic" w:hint="cs"/>
          <w:sz w:val="28"/>
          <w:szCs w:val="32"/>
          <w:rtl/>
        </w:rPr>
        <w:t xml:space="preserve"> ،</w:t>
      </w:r>
      <w:r w:rsidRPr="00EC737F">
        <w:rPr>
          <w:rFonts w:cs="Traditional Arabic" w:hint="cs"/>
          <w:sz w:val="28"/>
          <w:szCs w:val="32"/>
          <w:rtl/>
        </w:rPr>
        <w:t xml:space="preserve"> وعلى ذل يفقد الدائن المرتهن حقه في الرهن نتيجة للقسمة</w:t>
      </w:r>
      <w:r>
        <w:rPr>
          <w:rFonts w:cs="Traditional Arabic" w:hint="cs"/>
          <w:sz w:val="28"/>
          <w:szCs w:val="32"/>
          <w:rtl/>
        </w:rPr>
        <w:t xml:space="preserve"> ،</w:t>
      </w:r>
      <w:r w:rsidRPr="00EC737F">
        <w:rPr>
          <w:rFonts w:cs="Traditional Arabic" w:hint="cs"/>
          <w:sz w:val="28"/>
          <w:szCs w:val="32"/>
          <w:rtl/>
        </w:rPr>
        <w:t xml:space="preserve"> وهذا هو الرأي السائد</w:t>
      </w:r>
      <w:r>
        <w:rPr>
          <w:rFonts w:cs="Traditional Arabic" w:hint="cs"/>
          <w:sz w:val="28"/>
          <w:szCs w:val="32"/>
          <w:vertAlign w:val="superscript"/>
          <w:rtl/>
        </w:rPr>
        <w:t xml:space="preserve">( </w:t>
      </w:r>
      <w:r w:rsidRPr="00EC737F">
        <w:rPr>
          <w:rStyle w:val="ab"/>
          <w:rFonts w:cs="Traditional Arabic"/>
          <w:sz w:val="28"/>
          <w:szCs w:val="32"/>
          <w:rtl/>
        </w:rPr>
        <w:footnoteReference w:id="71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وقع في نصيب الشريك الراهن مبلغ من النقود</w:t>
      </w:r>
      <w:r>
        <w:rPr>
          <w:rFonts w:cs="Traditional Arabic" w:hint="cs"/>
          <w:sz w:val="28"/>
          <w:szCs w:val="32"/>
          <w:rtl/>
        </w:rPr>
        <w:t xml:space="preserve"> ،</w:t>
      </w:r>
      <w:r w:rsidRPr="00EC737F">
        <w:rPr>
          <w:rFonts w:cs="Traditional Arabic" w:hint="cs"/>
          <w:sz w:val="28"/>
          <w:szCs w:val="32"/>
          <w:rtl/>
        </w:rPr>
        <w:t xml:space="preserve"> فإن الدائن المرتهن يحتفظ بحق التقدم في استيفاء حقه من هذه النقود</w:t>
      </w:r>
      <w:r>
        <w:rPr>
          <w:rFonts w:cs="Traditional Arabic" w:hint="cs"/>
          <w:sz w:val="28"/>
          <w:szCs w:val="32"/>
          <w:vertAlign w:val="superscript"/>
          <w:rtl/>
        </w:rPr>
        <w:t xml:space="preserve">( </w:t>
      </w:r>
      <w:r w:rsidRPr="00EC737F">
        <w:rPr>
          <w:rStyle w:val="ab"/>
          <w:rFonts w:cs="Traditional Arabic"/>
          <w:sz w:val="28"/>
          <w:szCs w:val="32"/>
          <w:rtl/>
        </w:rPr>
        <w:footnoteReference w:id="71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هذا وإذا انتقل الرهن من العقار المرهون إلى عقار آخر وقع في نصيب الشري الراهن على النحو الذي أسلفناه</w:t>
      </w:r>
      <w:r>
        <w:rPr>
          <w:rFonts w:cs="Traditional Arabic" w:hint="cs"/>
          <w:sz w:val="28"/>
          <w:szCs w:val="32"/>
          <w:rtl/>
        </w:rPr>
        <w:t xml:space="preserve"> ،</w:t>
      </w:r>
      <w:r w:rsidRPr="00EC737F">
        <w:rPr>
          <w:rFonts w:cs="Traditional Arabic" w:hint="cs"/>
          <w:sz w:val="28"/>
          <w:szCs w:val="32"/>
          <w:rtl/>
        </w:rPr>
        <w:t xml:space="preserve"> فإن العبارة الأخيرة من المادة 1039/2 مدني تقول</w:t>
      </w:r>
      <w:r>
        <w:rPr>
          <w:rFonts w:cs="Traditional Arabic" w:hint="cs"/>
          <w:sz w:val="28"/>
          <w:szCs w:val="32"/>
          <w:rtl/>
        </w:rPr>
        <w:t xml:space="preserve"> :</w:t>
      </w:r>
      <w:r w:rsidRPr="00EC737F">
        <w:rPr>
          <w:rFonts w:cs="Traditional Arabic" w:hint="cs"/>
          <w:sz w:val="28"/>
          <w:szCs w:val="32"/>
          <w:rtl/>
        </w:rPr>
        <w:t xml:space="preserve"> "ولا يضر انتقال الرهن على هذا الوجه برهن صدر من جميع الشركاء</w:t>
      </w:r>
      <w:r>
        <w:rPr>
          <w:rFonts w:cs="Traditional Arabic" w:hint="cs"/>
          <w:sz w:val="28"/>
          <w:szCs w:val="32"/>
          <w:rtl/>
        </w:rPr>
        <w:t xml:space="preserve"> ،</w:t>
      </w:r>
      <w:r w:rsidRPr="00EC737F">
        <w:rPr>
          <w:rFonts w:cs="Traditional Arabic" w:hint="cs"/>
          <w:sz w:val="28"/>
          <w:szCs w:val="32"/>
          <w:rtl/>
        </w:rPr>
        <w:t xml:space="preserve"> ولا بامتياز المتقاسمين"</w:t>
      </w:r>
      <w:r>
        <w:rPr>
          <w:rFonts w:cs="Traditional Arabic" w:hint="cs"/>
          <w:sz w:val="28"/>
          <w:szCs w:val="32"/>
          <w:rtl/>
        </w:rPr>
        <w:t xml:space="preserve"> .</w:t>
      </w:r>
      <w:r w:rsidRPr="00EC737F">
        <w:rPr>
          <w:rFonts w:cs="Traditional Arabic" w:hint="cs"/>
          <w:sz w:val="28"/>
          <w:szCs w:val="32"/>
          <w:rtl/>
        </w:rPr>
        <w:t xml:space="preserve"> فالدائن المرتهن من أحد الشركاء في الشيوع الذي انتقل رهنه إلى عقار آخر يتأخر عن الدائن المرتهن من جميع الشراء لهذا العقار الآخر</w:t>
      </w:r>
      <w:r>
        <w:rPr>
          <w:rFonts w:cs="Traditional Arabic" w:hint="cs"/>
          <w:sz w:val="28"/>
          <w:szCs w:val="32"/>
          <w:rtl/>
        </w:rPr>
        <w:t xml:space="preserve"> ،</w:t>
      </w:r>
      <w:r w:rsidRPr="00EC737F">
        <w:rPr>
          <w:rFonts w:cs="Traditional Arabic" w:hint="cs"/>
          <w:sz w:val="28"/>
          <w:szCs w:val="32"/>
          <w:rtl/>
        </w:rPr>
        <w:t xml:space="preserve"> حتى لو كانت مرتبة الدائن الأول $332 متقدمه على مرتبة الدائن الأخير</w:t>
      </w:r>
      <w:r>
        <w:rPr>
          <w:rFonts w:cs="Traditional Arabic" w:hint="cs"/>
          <w:sz w:val="28"/>
          <w:szCs w:val="32"/>
          <w:rtl/>
        </w:rPr>
        <w:t xml:space="preserve"> ،</w:t>
      </w:r>
      <w:r w:rsidRPr="00EC737F">
        <w:rPr>
          <w:rFonts w:cs="Traditional Arabic" w:hint="cs"/>
          <w:sz w:val="28"/>
          <w:szCs w:val="32"/>
          <w:rtl/>
        </w:rPr>
        <w:t xml:space="preserve"> وذلك احتراماً لحق الرهن الصادر من جميع الشركاء</w:t>
      </w:r>
      <w:r>
        <w:rPr>
          <w:rFonts w:cs="Traditional Arabic" w:hint="cs"/>
          <w:sz w:val="28"/>
          <w:szCs w:val="32"/>
          <w:vertAlign w:val="superscript"/>
          <w:rtl/>
        </w:rPr>
        <w:t xml:space="preserve">( </w:t>
      </w:r>
      <w:r w:rsidRPr="00EC737F">
        <w:rPr>
          <w:rStyle w:val="ab"/>
          <w:rFonts w:cs="Traditional Arabic"/>
          <w:sz w:val="28"/>
          <w:szCs w:val="32"/>
          <w:rtl/>
        </w:rPr>
        <w:footnoteReference w:id="71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وكذلك يكون للشركاء حق امتياز المتقاسم على العقار الذي انتقل إليه حق الرهن</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ضماناً لحقوقهم المترتبة على القسمة</w:t>
      </w:r>
      <w:r>
        <w:rPr>
          <w:rFonts w:cs="Traditional Arabic" w:hint="cs"/>
          <w:sz w:val="28"/>
          <w:szCs w:val="32"/>
          <w:rtl/>
        </w:rPr>
        <w:t xml:space="preserve"> ،</w:t>
      </w:r>
      <w:r w:rsidRPr="00EC737F">
        <w:rPr>
          <w:rFonts w:cs="Traditional Arabic" w:hint="cs"/>
          <w:sz w:val="28"/>
          <w:szCs w:val="32"/>
          <w:rtl/>
        </w:rPr>
        <w:t xml:space="preserve"> وسنفصله عند الكلام في حقوق الامتياز</w:t>
      </w:r>
      <w:r>
        <w:rPr>
          <w:rFonts w:cs="Traditional Arabic" w:hint="cs"/>
          <w:sz w:val="28"/>
          <w:szCs w:val="32"/>
          <w:rtl/>
        </w:rPr>
        <w:t xml:space="preserve"> ،</w:t>
      </w:r>
      <w:r w:rsidRPr="00EC737F">
        <w:rPr>
          <w:rFonts w:cs="Traditional Arabic" w:hint="cs"/>
          <w:sz w:val="28"/>
          <w:szCs w:val="32"/>
          <w:rtl/>
        </w:rPr>
        <w:t xml:space="preserve"> وحق امتياز المتقاسم هذا يتقدم هو أيضاً على الرهن الذي انتقل إلى العقار حتى لو كان حق الامتياز متأخراً في المرتبة</w:t>
      </w:r>
      <w:r>
        <w:rPr>
          <w:rFonts w:cs="Traditional Arabic" w:hint="cs"/>
          <w:sz w:val="28"/>
          <w:szCs w:val="32"/>
          <w:vertAlign w:val="superscript"/>
          <w:rtl/>
        </w:rPr>
        <w:t xml:space="preserve">( </w:t>
      </w:r>
      <w:r w:rsidRPr="00EC737F">
        <w:rPr>
          <w:rStyle w:val="ab"/>
          <w:rFonts w:cs="Traditional Arabic"/>
          <w:sz w:val="28"/>
          <w:szCs w:val="32"/>
          <w:rtl/>
        </w:rPr>
        <w:footnoteReference w:id="71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147- رهن أحد الشركاء لجزء مفرز من العقار الشائع</w:t>
      </w:r>
      <w:r>
        <w:rPr>
          <w:rFonts w:cs="Traditional Arabic" w:hint="cs"/>
          <w:sz w:val="28"/>
          <w:szCs w:val="32"/>
          <w:rtl/>
        </w:rPr>
        <w:t xml:space="preserve"> :</w:t>
      </w:r>
      <w:r w:rsidRPr="00EC737F">
        <w:rPr>
          <w:rFonts w:cs="Traditional Arabic" w:hint="cs"/>
          <w:sz w:val="28"/>
          <w:szCs w:val="32"/>
          <w:rtl/>
        </w:rPr>
        <w:t xml:space="preserve"> ولما كان الشريك في الشيوع لا يملك ملكية خالصة أي جزء مفرز في العقار الشائع</w:t>
      </w:r>
      <w:r>
        <w:rPr>
          <w:rFonts w:cs="Traditional Arabic" w:hint="cs"/>
          <w:sz w:val="28"/>
          <w:szCs w:val="32"/>
          <w:rtl/>
        </w:rPr>
        <w:t xml:space="preserve"> ،</w:t>
      </w:r>
      <w:r w:rsidRPr="00EC737F">
        <w:rPr>
          <w:rFonts w:cs="Traditional Arabic" w:hint="cs"/>
          <w:sz w:val="28"/>
          <w:szCs w:val="32"/>
          <w:rtl/>
        </w:rPr>
        <w:t xml:space="preserve"> فإنه إذا رهن جزءاً مفرزاً لم ينفذ هذا الرهن في حق الشركاء الآخرين</w:t>
      </w:r>
      <w:r>
        <w:rPr>
          <w:rFonts w:cs="Traditional Arabic" w:hint="cs"/>
          <w:sz w:val="28"/>
          <w:szCs w:val="32"/>
          <w:rtl/>
        </w:rPr>
        <w:t xml:space="preserve"> ،</w:t>
      </w:r>
      <w:r w:rsidRPr="00EC737F">
        <w:rPr>
          <w:rFonts w:cs="Traditional Arabic" w:hint="cs"/>
          <w:sz w:val="28"/>
          <w:szCs w:val="32"/>
          <w:rtl/>
        </w:rPr>
        <w:t xml:space="preserve"> ولهؤلاء أن يتمسكوا بحقوقهم في هذا الجزء المفر باعتباره شائعاً بينهم جميعاص</w:t>
      </w:r>
      <w:r>
        <w:rPr>
          <w:rFonts w:cs="Traditional Arabic" w:hint="cs"/>
          <w:sz w:val="28"/>
          <w:szCs w:val="32"/>
          <w:rtl/>
        </w:rPr>
        <w:t xml:space="preserve"> .</w:t>
      </w:r>
      <w:r w:rsidRPr="00EC737F">
        <w:rPr>
          <w:rFonts w:cs="Traditional Arabic" w:hint="cs"/>
          <w:sz w:val="28"/>
          <w:szCs w:val="32"/>
          <w:rtl/>
        </w:rPr>
        <w:t xml:space="preserve"> أما الدائن المرتهن فإنه</w:t>
      </w:r>
      <w:r>
        <w:rPr>
          <w:rFonts w:cs="Traditional Arabic" w:hint="cs"/>
          <w:sz w:val="28"/>
          <w:szCs w:val="32"/>
          <w:rtl/>
        </w:rPr>
        <w:t xml:space="preserve"> ،</w:t>
      </w:r>
      <w:r w:rsidRPr="00EC737F">
        <w:rPr>
          <w:rFonts w:cs="Traditional Arabic" w:hint="cs"/>
          <w:sz w:val="28"/>
          <w:szCs w:val="32"/>
          <w:rtl/>
        </w:rPr>
        <w:t xml:space="preserve"> إذا كان لا يتعلم أن الجزء المفرز الذي ارتهنه هو شائع بين الراهن له وسائر شركائه</w:t>
      </w:r>
      <w:r>
        <w:rPr>
          <w:rFonts w:cs="Traditional Arabic" w:hint="cs"/>
          <w:sz w:val="28"/>
          <w:szCs w:val="32"/>
          <w:rtl/>
        </w:rPr>
        <w:t xml:space="preserve"> ،</w:t>
      </w:r>
      <w:r w:rsidRPr="00EC737F">
        <w:rPr>
          <w:rFonts w:cs="Traditional Arabic" w:hint="cs"/>
          <w:sz w:val="28"/>
          <w:szCs w:val="32"/>
          <w:rtl/>
        </w:rPr>
        <w:t xml:space="preserve"> يستطيع أن يبطل عند الرهن للغلط</w:t>
      </w:r>
      <w:r>
        <w:rPr>
          <w:rFonts w:cs="Traditional Arabic" w:hint="cs"/>
          <w:sz w:val="28"/>
          <w:szCs w:val="32"/>
          <w:rtl/>
        </w:rPr>
        <w:t xml:space="preserve"> .</w:t>
      </w:r>
      <w:r w:rsidRPr="00EC737F">
        <w:rPr>
          <w:rFonts w:cs="Traditional Arabic" w:hint="cs"/>
          <w:sz w:val="28"/>
          <w:szCs w:val="32"/>
          <w:rtl/>
        </w:rPr>
        <w:t xml:space="preserve"> وإذا كان يعلم بشيوع الجزء المفرز</w:t>
      </w:r>
      <w:r>
        <w:rPr>
          <w:rFonts w:cs="Traditional Arabic" w:hint="cs"/>
          <w:sz w:val="28"/>
          <w:szCs w:val="32"/>
          <w:rtl/>
        </w:rPr>
        <w:t xml:space="preserve"> ،</w:t>
      </w:r>
      <w:r w:rsidRPr="00EC737F">
        <w:rPr>
          <w:rFonts w:cs="Traditional Arabic" w:hint="cs"/>
          <w:sz w:val="28"/>
          <w:szCs w:val="32"/>
          <w:rtl/>
        </w:rPr>
        <w:t xml:space="preserve"> فإنه لا يستطيع إبطال الرهن للغلط</w:t>
      </w:r>
      <w:r>
        <w:rPr>
          <w:rFonts w:cs="Traditional Arabic" w:hint="cs"/>
          <w:sz w:val="28"/>
          <w:szCs w:val="32"/>
          <w:rtl/>
        </w:rPr>
        <w:t xml:space="preserve"> .</w:t>
      </w:r>
      <w:r w:rsidRPr="00EC737F">
        <w:rPr>
          <w:rFonts w:cs="Traditional Arabic" w:hint="cs"/>
          <w:sz w:val="28"/>
          <w:szCs w:val="32"/>
          <w:rtl/>
        </w:rPr>
        <w:t xml:space="preserve"> ويكون الرهن فيما بين الشريك الراهن والدائن المرتهن صحيحا</w:t>
      </w:r>
      <w:r>
        <w:rPr>
          <w:rFonts w:cs="Traditional Arabic" w:hint="cs"/>
          <w:sz w:val="28"/>
          <w:szCs w:val="32"/>
          <w:rtl/>
        </w:rPr>
        <w:t xml:space="preserve"> ،</w:t>
      </w:r>
      <w:r w:rsidRPr="00EC737F">
        <w:rPr>
          <w:rFonts w:cs="Traditional Arabic" w:hint="cs"/>
          <w:sz w:val="28"/>
          <w:szCs w:val="32"/>
          <w:rtl/>
        </w:rPr>
        <w:t xml:space="preserve"> على اعتبار أن الدائن المتهن قد رضي بانتظار نتيجة القسمة</w:t>
      </w:r>
      <w:r>
        <w:rPr>
          <w:rFonts w:cs="Traditional Arabic" w:hint="cs"/>
          <w:sz w:val="28"/>
          <w:szCs w:val="32"/>
          <w:vertAlign w:val="superscript"/>
          <w:rtl/>
        </w:rPr>
        <w:t xml:space="preserve">( </w:t>
      </w:r>
      <w:r w:rsidRPr="00EC737F">
        <w:rPr>
          <w:rStyle w:val="ab"/>
          <w:rFonts w:cs="Traditional Arabic"/>
          <w:sz w:val="28"/>
          <w:szCs w:val="32"/>
          <w:rtl/>
        </w:rPr>
        <w:footnoteReference w:id="72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اقتسم الشركاء العقار الشائع</w:t>
      </w:r>
      <w:r>
        <w:rPr>
          <w:rFonts w:cs="Traditional Arabic" w:hint="cs"/>
          <w:sz w:val="28"/>
          <w:szCs w:val="32"/>
          <w:rtl/>
        </w:rPr>
        <w:t xml:space="preserve"> ،</w:t>
      </w:r>
      <w:r w:rsidRPr="00EC737F">
        <w:rPr>
          <w:rFonts w:cs="Traditional Arabic" w:hint="cs"/>
          <w:sz w:val="28"/>
          <w:szCs w:val="32"/>
          <w:rtl/>
        </w:rPr>
        <w:t xml:space="preserve"> ووقع الجزء المفرز في نصيب الشريك الراهن</w:t>
      </w:r>
      <w:r>
        <w:rPr>
          <w:rFonts w:cs="Traditional Arabic" w:hint="cs"/>
          <w:sz w:val="28"/>
          <w:szCs w:val="32"/>
          <w:rtl/>
        </w:rPr>
        <w:t xml:space="preserve"> ،</w:t>
      </w:r>
      <w:r w:rsidRPr="00EC737F">
        <w:rPr>
          <w:rFonts w:cs="Traditional Arabic" w:hint="cs"/>
          <w:sz w:val="28"/>
          <w:szCs w:val="32"/>
          <w:rtl/>
        </w:rPr>
        <w:t xml:space="preserve"> فإن الرهن يكون باتاً</w:t>
      </w:r>
      <w:r>
        <w:rPr>
          <w:rFonts w:cs="Traditional Arabic" w:hint="cs"/>
          <w:sz w:val="28"/>
          <w:szCs w:val="32"/>
          <w:rtl/>
        </w:rPr>
        <w:t xml:space="preserve"> ،</w:t>
      </w:r>
      <w:r w:rsidRPr="00EC737F">
        <w:rPr>
          <w:rFonts w:cs="Traditional Arabic" w:hint="cs"/>
          <w:sz w:val="28"/>
          <w:szCs w:val="32"/>
          <w:rtl/>
        </w:rPr>
        <w:t xml:space="preserve"> إذ يتبين أن الشريك كان يملك هذا الجزء المفرز من بداية الأمر وقد رهنه</w:t>
      </w:r>
      <w:r>
        <w:rPr>
          <w:rFonts w:cs="Traditional Arabic" w:hint="cs"/>
          <w:sz w:val="28"/>
          <w:szCs w:val="32"/>
          <w:rtl/>
        </w:rPr>
        <w:t xml:space="preserve"> ،</w:t>
      </w:r>
      <w:r w:rsidRPr="00EC737F">
        <w:rPr>
          <w:rFonts w:cs="Traditional Arabic" w:hint="cs"/>
          <w:sz w:val="28"/>
          <w:szCs w:val="32"/>
          <w:rtl/>
        </w:rPr>
        <w:t xml:space="preserve"> فيكون رهنه صحيحاً باتاً كما قدمنا</w:t>
      </w:r>
      <w:r>
        <w:rPr>
          <w:rFonts w:cs="Traditional Arabic" w:hint="cs"/>
          <w:sz w:val="28"/>
          <w:szCs w:val="32"/>
          <w:vertAlign w:val="superscript"/>
          <w:rtl/>
        </w:rPr>
        <w:t xml:space="preserve">( </w:t>
      </w:r>
      <w:r w:rsidRPr="00EC737F">
        <w:rPr>
          <w:rStyle w:val="ab"/>
          <w:rFonts w:cs="Traditional Arabic"/>
          <w:sz w:val="28"/>
          <w:szCs w:val="32"/>
          <w:rtl/>
        </w:rPr>
        <w:footnoteReference w:id="72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$333 أما إذا لم يقع الجزء المفرز المرهون في نصيب الشريك الراهن</w:t>
      </w:r>
      <w:r>
        <w:rPr>
          <w:rFonts w:cs="Traditional Arabic" w:hint="cs"/>
          <w:sz w:val="28"/>
          <w:szCs w:val="32"/>
          <w:rtl/>
        </w:rPr>
        <w:t xml:space="preserve"> .</w:t>
      </w:r>
      <w:r w:rsidRPr="00EC737F">
        <w:rPr>
          <w:rFonts w:cs="Traditional Arabic" w:hint="cs"/>
          <w:sz w:val="28"/>
          <w:szCs w:val="32"/>
          <w:rtl/>
        </w:rPr>
        <w:t xml:space="preserve"> بل وقع في نصيبه جزء مفرز آخر من نفس العقار أو من عقار آخر</w:t>
      </w:r>
      <w:r>
        <w:rPr>
          <w:rFonts w:cs="Traditional Arabic" w:hint="cs"/>
          <w:sz w:val="28"/>
          <w:szCs w:val="32"/>
          <w:rtl/>
        </w:rPr>
        <w:t xml:space="preserve"> ،</w:t>
      </w:r>
      <w:r w:rsidRPr="00EC737F">
        <w:rPr>
          <w:rFonts w:cs="Traditional Arabic" w:hint="cs"/>
          <w:sz w:val="28"/>
          <w:szCs w:val="32"/>
          <w:rtl/>
        </w:rPr>
        <w:t xml:space="preserve"> انتقل الرهن إلى هذا الجزء المفرز الآخر</w:t>
      </w:r>
      <w:r>
        <w:rPr>
          <w:rFonts w:cs="Traditional Arabic" w:hint="cs"/>
          <w:sz w:val="28"/>
          <w:szCs w:val="32"/>
          <w:rtl/>
        </w:rPr>
        <w:t xml:space="preserve"> .</w:t>
      </w:r>
      <w:r w:rsidRPr="00EC737F">
        <w:rPr>
          <w:rFonts w:cs="Traditional Arabic" w:hint="cs"/>
          <w:sz w:val="28"/>
          <w:szCs w:val="32"/>
          <w:rtl/>
        </w:rPr>
        <w:t xml:space="preserve"> ووجب على الدائن المرتهن</w:t>
      </w:r>
      <w:r>
        <w:rPr>
          <w:rFonts w:cs="Traditional Arabic" w:hint="cs"/>
          <w:sz w:val="28"/>
          <w:szCs w:val="32"/>
          <w:rtl/>
        </w:rPr>
        <w:t xml:space="preserve"> ،</w:t>
      </w:r>
      <w:r w:rsidRPr="00EC737F">
        <w:rPr>
          <w:rFonts w:cs="Traditional Arabic" w:hint="cs"/>
          <w:sz w:val="28"/>
          <w:szCs w:val="32"/>
          <w:rtl/>
        </w:rPr>
        <w:t xml:space="preserve"> إذا أراد الاحتفاظ بمرتبة رهنه</w:t>
      </w:r>
      <w:r>
        <w:rPr>
          <w:rFonts w:cs="Traditional Arabic" w:hint="cs"/>
          <w:sz w:val="28"/>
          <w:szCs w:val="32"/>
          <w:rtl/>
        </w:rPr>
        <w:t xml:space="preserve"> ،</w:t>
      </w:r>
      <w:r w:rsidRPr="00EC737F">
        <w:rPr>
          <w:rFonts w:cs="Traditional Arabic" w:hint="cs"/>
          <w:sz w:val="28"/>
          <w:szCs w:val="32"/>
          <w:rtl/>
        </w:rPr>
        <w:t xml:space="preserve"> أن يقوم بنفس الإجراءات التي بسطناها في الفقرة السابقة</w:t>
      </w:r>
      <w:r>
        <w:rPr>
          <w:rFonts w:cs="Traditional Arabic" w:hint="cs"/>
          <w:sz w:val="28"/>
          <w:szCs w:val="32"/>
          <w:rtl/>
        </w:rPr>
        <w:t xml:space="preserve"> .</w:t>
      </w:r>
      <w:r w:rsidRPr="00EC737F">
        <w:rPr>
          <w:rFonts w:cs="Traditional Arabic" w:hint="cs"/>
          <w:sz w:val="28"/>
          <w:szCs w:val="32"/>
          <w:rtl/>
        </w:rPr>
        <w:t xml:space="preserve"> ذلك أنه ورد في الفقرة الثانية من المادة 1039 مدنين فيما رأينا</w:t>
      </w:r>
      <w:r>
        <w:rPr>
          <w:rFonts w:cs="Traditional Arabic" w:hint="cs"/>
          <w:sz w:val="28"/>
          <w:szCs w:val="32"/>
          <w:rtl/>
        </w:rPr>
        <w:t xml:space="preserve"> ،</w:t>
      </w:r>
      <w:r w:rsidRPr="00EC737F">
        <w:rPr>
          <w:rFonts w:cs="Traditional Arabic" w:hint="cs"/>
          <w:sz w:val="28"/>
          <w:szCs w:val="32"/>
          <w:rtl/>
        </w:rPr>
        <w:t xml:space="preserve"> أنه إذا رهن أحد الشركاء جزءاً مفرزاً ثم وقع في </w:t>
      </w:r>
      <w:r w:rsidRPr="00EC737F">
        <w:rPr>
          <w:rFonts w:cs="Traditional Arabic" w:hint="cs"/>
          <w:sz w:val="28"/>
          <w:szCs w:val="32"/>
          <w:rtl/>
        </w:rPr>
        <w:lastRenderedPageBreak/>
        <w:t>نصيبه أعيان غير التي رهنها</w:t>
      </w:r>
      <w:r>
        <w:rPr>
          <w:rFonts w:cs="Traditional Arabic" w:hint="cs"/>
          <w:sz w:val="28"/>
          <w:szCs w:val="32"/>
          <w:rtl/>
        </w:rPr>
        <w:t xml:space="preserve"> ،</w:t>
      </w:r>
      <w:r w:rsidRPr="00EC737F">
        <w:rPr>
          <w:rFonts w:cs="Traditional Arabic" w:hint="cs"/>
          <w:sz w:val="28"/>
          <w:szCs w:val="32"/>
          <w:rtl/>
        </w:rPr>
        <w:t xml:space="preserve"> انتقل الرهن بمرتبته إلى قدر من هذه الأعيان يعادل قيمة الجزء المفرز الذي رهنه</w:t>
      </w:r>
      <w:r>
        <w:rPr>
          <w:rFonts w:cs="Traditional Arabic" w:hint="cs"/>
          <w:sz w:val="28"/>
          <w:szCs w:val="32"/>
          <w:rtl/>
        </w:rPr>
        <w:t xml:space="preserve"> ،</w:t>
      </w:r>
      <w:r w:rsidRPr="00EC737F">
        <w:rPr>
          <w:rFonts w:cs="Traditional Arabic" w:hint="cs"/>
          <w:sz w:val="28"/>
          <w:szCs w:val="32"/>
          <w:rtl/>
        </w:rPr>
        <w:t xml:space="preserve"> ويعين هذا القدر بأمر على عريضة</w:t>
      </w:r>
      <w:r>
        <w:rPr>
          <w:rFonts w:cs="Traditional Arabic" w:hint="cs"/>
          <w:sz w:val="28"/>
          <w:szCs w:val="32"/>
          <w:rtl/>
        </w:rPr>
        <w:t xml:space="preserve"> .</w:t>
      </w:r>
      <w:r w:rsidRPr="00EC737F">
        <w:rPr>
          <w:rFonts w:cs="Traditional Arabic" w:hint="cs"/>
          <w:sz w:val="28"/>
          <w:szCs w:val="32"/>
          <w:rtl/>
        </w:rPr>
        <w:t xml:space="preserve"> ويقوم الدائن المرتهن بإجراء قيد جديد خلال تسعين يوماً من الوقت الذي يخطره فه أي ذي شأن بتسجيل القسمة</w:t>
      </w:r>
      <w:r>
        <w:rPr>
          <w:rFonts w:cs="Traditional Arabic" w:hint="cs"/>
          <w:sz w:val="28"/>
          <w:szCs w:val="32"/>
          <w:rtl/>
        </w:rPr>
        <w:t xml:space="preserve"> .</w:t>
      </w:r>
      <w:r w:rsidRPr="00EC737F">
        <w:rPr>
          <w:rFonts w:cs="Traditional Arabic" w:hint="cs"/>
          <w:sz w:val="28"/>
          <w:szCs w:val="32"/>
          <w:rtl/>
        </w:rPr>
        <w:t xml:space="preserve"> وقد ورد نص آخر يقرر انتقال حق الرهن إلى الجزء المفرز الذي وقع في نصيب الشريك الراهن</w:t>
      </w:r>
      <w:r>
        <w:rPr>
          <w:rFonts w:cs="Traditional Arabic" w:hint="cs"/>
          <w:sz w:val="28"/>
          <w:szCs w:val="32"/>
          <w:rtl/>
        </w:rPr>
        <w:t xml:space="preserve"> ،</w:t>
      </w:r>
      <w:r w:rsidRPr="00EC737F">
        <w:rPr>
          <w:rFonts w:cs="Traditional Arabic" w:hint="cs"/>
          <w:sz w:val="28"/>
          <w:szCs w:val="32"/>
          <w:rtl/>
        </w:rPr>
        <w:t xml:space="preserve"> فنصت المادة 826/2 مدني على أنه "إذا كان تصرف الشريك في الشيوع</w:t>
      </w:r>
      <w:r>
        <w:rPr>
          <w:rFonts w:cs="Traditional Arabic" w:hint="cs"/>
          <w:sz w:val="28"/>
          <w:szCs w:val="32"/>
          <w:rtl/>
        </w:rPr>
        <w:t xml:space="preserve"> ،</w:t>
      </w:r>
      <w:r w:rsidRPr="00EC737F">
        <w:rPr>
          <w:rFonts w:cs="Traditional Arabic" w:hint="cs"/>
          <w:sz w:val="28"/>
          <w:szCs w:val="32"/>
          <w:rtl/>
        </w:rPr>
        <w:t xml:space="preserve"> ويدخل في التصرف الرهن</w:t>
      </w:r>
      <w:r>
        <w:rPr>
          <w:rFonts w:cs="Traditional Arabic" w:hint="cs"/>
          <w:sz w:val="28"/>
          <w:szCs w:val="32"/>
          <w:rtl/>
        </w:rPr>
        <w:t xml:space="preserve"> ،</w:t>
      </w:r>
      <w:r w:rsidRPr="00EC737F">
        <w:rPr>
          <w:rFonts w:cs="Traditional Arabic" w:hint="cs"/>
          <w:sz w:val="28"/>
          <w:szCs w:val="32"/>
          <w:rtl/>
        </w:rPr>
        <w:t xml:space="preserve"> منصباً على جزء مفرز من المال الشائع ولم يقع هذا الجزء عند القسمة في نصيب المتصرف</w:t>
      </w:r>
      <w:r>
        <w:rPr>
          <w:rFonts w:cs="Traditional Arabic" w:hint="cs"/>
          <w:sz w:val="28"/>
          <w:szCs w:val="32"/>
          <w:rtl/>
        </w:rPr>
        <w:t xml:space="preserve"> ،</w:t>
      </w:r>
      <w:r w:rsidRPr="00EC737F">
        <w:rPr>
          <w:rFonts w:cs="Traditional Arabic" w:hint="cs"/>
          <w:sz w:val="28"/>
          <w:szCs w:val="32"/>
          <w:rtl/>
        </w:rPr>
        <w:t xml:space="preserve"> انتقل حق المتصرف إليه من وقت التصرف إلى الجزء الذي آل إلى المتصرف بطريق القسمة</w:t>
      </w:r>
      <w:r>
        <w:rPr>
          <w:rFonts w:cs="Traditional Arabic" w:hint="cs"/>
          <w:sz w:val="28"/>
          <w:szCs w:val="32"/>
          <w:rtl/>
        </w:rPr>
        <w:t xml:space="preserve"> .</w:t>
      </w:r>
      <w:r w:rsidRPr="00EC737F">
        <w:rPr>
          <w:rFonts w:cs="Traditional Arabic" w:hint="cs"/>
          <w:sz w:val="28"/>
          <w:szCs w:val="32"/>
          <w:rtl/>
        </w:rPr>
        <w:t xml:space="preserve"> وللمتصرف إليه</w:t>
      </w:r>
      <w:r>
        <w:rPr>
          <w:rFonts w:cs="Traditional Arabic" w:hint="cs"/>
          <w:sz w:val="28"/>
          <w:szCs w:val="32"/>
          <w:rtl/>
        </w:rPr>
        <w:t xml:space="preserve"> ،</w:t>
      </w:r>
      <w:r w:rsidRPr="00EC737F">
        <w:rPr>
          <w:rFonts w:cs="Traditional Arabic" w:hint="cs"/>
          <w:sz w:val="28"/>
          <w:szCs w:val="32"/>
          <w:rtl/>
        </w:rPr>
        <w:t xml:space="preserve"> إذا كان يجهل أن المتصرف لا يملك العين المتصرف فيها مفرزة</w:t>
      </w:r>
      <w:r>
        <w:rPr>
          <w:rFonts w:cs="Traditional Arabic" w:hint="cs"/>
          <w:sz w:val="28"/>
          <w:szCs w:val="32"/>
          <w:rtl/>
        </w:rPr>
        <w:t xml:space="preserve"> ،</w:t>
      </w:r>
      <w:r w:rsidRPr="00EC737F">
        <w:rPr>
          <w:rFonts w:cs="Traditional Arabic" w:hint="cs"/>
          <w:sz w:val="28"/>
          <w:szCs w:val="32"/>
          <w:rtl/>
        </w:rPr>
        <w:t xml:space="preserve"> الحق في إبطال التصرف"</w:t>
      </w:r>
      <w:r>
        <w:rPr>
          <w:rFonts w:cs="Traditional Arabic" w:hint="cs"/>
          <w:sz w:val="28"/>
          <w:szCs w:val="32"/>
          <w:rtl/>
        </w:rPr>
        <w:t xml:space="preserve"> .</w:t>
      </w:r>
      <w:r w:rsidRPr="00EC737F">
        <w:rPr>
          <w:rFonts w:cs="Traditional Arabic" w:hint="cs"/>
          <w:sz w:val="28"/>
          <w:szCs w:val="32"/>
          <w:rtl/>
        </w:rPr>
        <w:t xml:space="preserve"> ومتى قام الدائن المرتهن بالإجراءات التي سبق ذكرها في المواعيد المقررة</w:t>
      </w:r>
      <w:r>
        <w:rPr>
          <w:rFonts w:cs="Traditional Arabic" w:hint="cs"/>
          <w:sz w:val="28"/>
          <w:szCs w:val="32"/>
          <w:rtl/>
        </w:rPr>
        <w:t xml:space="preserve"> ،</w:t>
      </w:r>
      <w:r w:rsidRPr="00EC737F">
        <w:rPr>
          <w:rFonts w:cs="Traditional Arabic" w:hint="cs"/>
          <w:sz w:val="28"/>
          <w:szCs w:val="32"/>
          <w:rtl/>
        </w:rPr>
        <w:t xml:space="preserve"> فإنه يحتفظ بمرتبة رهنه كما كانت</w:t>
      </w:r>
      <w:r>
        <w:rPr>
          <w:rFonts w:cs="Traditional Arabic" w:hint="cs"/>
          <w:sz w:val="28"/>
          <w:szCs w:val="32"/>
          <w:rtl/>
        </w:rPr>
        <w:t xml:space="preserve"> ،</w:t>
      </w:r>
      <w:r w:rsidRPr="00EC737F">
        <w:rPr>
          <w:rFonts w:cs="Traditional Arabic" w:hint="cs"/>
          <w:sz w:val="28"/>
          <w:szCs w:val="32"/>
          <w:rtl/>
        </w:rPr>
        <w:t xml:space="preserve"> بالرغم من أنه قد مضت مدة قبل القيد الجديد قد تصل إلى التسعين يوماً كما سبق القول</w:t>
      </w:r>
      <w:r>
        <w:rPr>
          <w:rFonts w:cs="Traditional Arabic" w:hint="cs"/>
          <w:sz w:val="28"/>
          <w:szCs w:val="32"/>
          <w:rtl/>
        </w:rPr>
        <w:t xml:space="preserve"> .</w:t>
      </w:r>
      <w:r w:rsidRPr="00EC737F">
        <w:rPr>
          <w:rFonts w:cs="Traditional Arabic" w:hint="cs"/>
          <w:sz w:val="28"/>
          <w:szCs w:val="32"/>
          <w:rtl/>
        </w:rPr>
        <w:t xml:space="preserve"> أما إذا لم يقم بالإجراءات في المواعيد المقررة</w:t>
      </w:r>
      <w:r>
        <w:rPr>
          <w:rFonts w:cs="Traditional Arabic" w:hint="cs"/>
          <w:sz w:val="28"/>
          <w:szCs w:val="32"/>
          <w:rtl/>
        </w:rPr>
        <w:t xml:space="preserve"> ،</w:t>
      </w:r>
      <w:r w:rsidRPr="00EC737F">
        <w:rPr>
          <w:rFonts w:cs="Traditional Arabic" w:hint="cs"/>
          <w:sz w:val="28"/>
          <w:szCs w:val="32"/>
          <w:rtl/>
        </w:rPr>
        <w:t xml:space="preserve"> ولكنه مع ذلك قيد الرهن الذي انتقل قيداً جديداً</w:t>
      </w:r>
      <w:r>
        <w:rPr>
          <w:rFonts w:cs="Traditional Arabic" w:hint="cs"/>
          <w:sz w:val="28"/>
          <w:szCs w:val="32"/>
          <w:rtl/>
        </w:rPr>
        <w:t xml:space="preserve"> ،</w:t>
      </w:r>
      <w:r w:rsidRPr="00EC737F">
        <w:rPr>
          <w:rFonts w:cs="Traditional Arabic" w:hint="cs"/>
          <w:sz w:val="28"/>
          <w:szCs w:val="32"/>
          <w:rtl/>
        </w:rPr>
        <w:t xml:space="preserve"> فإن مرتبة هذا الرهن تكون من يوم إجراء القيد الجديد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وقع في نصيب الشريك الراهن منقول بدلا من العقار</w:t>
      </w:r>
      <w:r>
        <w:rPr>
          <w:rFonts w:cs="Traditional Arabic" w:hint="cs"/>
          <w:sz w:val="28"/>
          <w:szCs w:val="32"/>
          <w:rtl/>
        </w:rPr>
        <w:t xml:space="preserve"> ،</w:t>
      </w:r>
      <w:r w:rsidRPr="00EC737F">
        <w:rPr>
          <w:rFonts w:cs="Traditional Arabic" w:hint="cs"/>
          <w:sz w:val="28"/>
          <w:szCs w:val="32"/>
          <w:rtl/>
        </w:rPr>
        <w:t xml:space="preserve"> فقد الدائن المرتهن حقه في الرهن كما في الفرض السابق</w:t>
      </w:r>
      <w:r>
        <w:rPr>
          <w:rFonts w:cs="Traditional Arabic" w:hint="cs"/>
          <w:sz w:val="28"/>
          <w:szCs w:val="32"/>
          <w:rtl/>
        </w:rPr>
        <w:t xml:space="preserve"> .</w:t>
      </w:r>
      <w:r w:rsidRPr="00EC737F">
        <w:rPr>
          <w:rFonts w:cs="Traditional Arabic" w:hint="cs"/>
          <w:sz w:val="28"/>
          <w:szCs w:val="32"/>
          <w:rtl/>
        </w:rPr>
        <w:t xml:space="preserve"> وكما في الفرض السابق $334 أيضاً</w:t>
      </w:r>
      <w:r>
        <w:rPr>
          <w:rFonts w:cs="Traditional Arabic" w:hint="cs"/>
          <w:sz w:val="28"/>
          <w:szCs w:val="32"/>
          <w:rtl/>
        </w:rPr>
        <w:t xml:space="preserve"> ،</w:t>
      </w:r>
      <w:r w:rsidRPr="00EC737F">
        <w:rPr>
          <w:rFonts w:cs="Traditional Arabic" w:hint="cs"/>
          <w:sz w:val="28"/>
          <w:szCs w:val="32"/>
          <w:rtl/>
        </w:rPr>
        <w:t xml:space="preserve"> يحتفظ الدائن المرتهن بحقه في التقدم</w:t>
      </w:r>
      <w:r>
        <w:rPr>
          <w:rFonts w:cs="Traditional Arabic" w:hint="cs"/>
          <w:sz w:val="28"/>
          <w:szCs w:val="32"/>
          <w:rtl/>
        </w:rPr>
        <w:t xml:space="preserve"> ،</w:t>
      </w:r>
      <w:r w:rsidRPr="00EC737F">
        <w:rPr>
          <w:rFonts w:cs="Traditional Arabic" w:hint="cs"/>
          <w:sz w:val="28"/>
          <w:szCs w:val="32"/>
          <w:rtl/>
        </w:rPr>
        <w:t xml:space="preserve"> إذا وقع في نصيب الشريك الراهن مبلغ من النقود</w:t>
      </w:r>
      <w:r>
        <w:rPr>
          <w:rFonts w:cs="Traditional Arabic" w:hint="cs"/>
          <w:sz w:val="28"/>
          <w:szCs w:val="32"/>
          <w:vertAlign w:val="superscript"/>
          <w:rtl/>
        </w:rPr>
        <w:t xml:space="preserve">( </w:t>
      </w:r>
      <w:r w:rsidRPr="00EC737F">
        <w:rPr>
          <w:rStyle w:val="ab"/>
          <w:rFonts w:cs="Traditional Arabic"/>
          <w:sz w:val="28"/>
          <w:szCs w:val="32"/>
          <w:rtl/>
        </w:rPr>
        <w:footnoteReference w:id="72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انتقل الرهن من الجزء المفرز المرهون إلى جزء مفرز آخر</w:t>
      </w:r>
      <w:r>
        <w:rPr>
          <w:rFonts w:cs="Traditional Arabic" w:hint="cs"/>
          <w:sz w:val="28"/>
          <w:szCs w:val="32"/>
          <w:rtl/>
        </w:rPr>
        <w:t xml:space="preserve"> ،</w:t>
      </w:r>
      <w:r w:rsidRPr="00EC737F">
        <w:rPr>
          <w:rFonts w:cs="Traditional Arabic" w:hint="cs"/>
          <w:sz w:val="28"/>
          <w:szCs w:val="32"/>
          <w:rtl/>
        </w:rPr>
        <w:t xml:space="preserve"> لم يضر انتقال الرهن على هذا الوجه برهن صدر من جميع الشركاء ولا بامتياز المتقاسمين</w:t>
      </w:r>
      <w:r>
        <w:rPr>
          <w:rFonts w:cs="Traditional Arabic" w:hint="cs"/>
          <w:sz w:val="28"/>
          <w:szCs w:val="32"/>
          <w:rtl/>
        </w:rPr>
        <w:t xml:space="preserve"> .</w:t>
      </w:r>
      <w:r w:rsidRPr="00EC737F">
        <w:rPr>
          <w:rFonts w:cs="Traditional Arabic" w:hint="cs"/>
          <w:sz w:val="28"/>
          <w:szCs w:val="32"/>
          <w:rtl/>
        </w:rPr>
        <w:t xml:space="preserve"> وقد سبق شرح ذلك</w:t>
      </w:r>
      <w:r>
        <w:rPr>
          <w:rFonts w:cs="Traditional Arabic" w:hint="cs"/>
          <w:sz w:val="28"/>
          <w:szCs w:val="32"/>
          <w:rtl/>
        </w:rPr>
        <w:t xml:space="preserve"> ،</w:t>
      </w:r>
      <w:r w:rsidRPr="00EC737F">
        <w:rPr>
          <w:rFonts w:cs="Traditional Arabic" w:hint="cs"/>
          <w:sz w:val="28"/>
          <w:szCs w:val="32"/>
          <w:rtl/>
        </w:rPr>
        <w:t xml:space="preserve"> عند الكلام في رهن أحد الشركاء لحصته الشائعة</w:t>
      </w:r>
      <w:r>
        <w:rPr>
          <w:rFonts w:cs="Traditional Arabic" w:hint="cs"/>
          <w:sz w:val="28"/>
          <w:szCs w:val="32"/>
          <w:rtl/>
        </w:rPr>
        <w:t xml:space="preserve">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72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148- رهن أحد الشركاء لجميع العقار الشائع</w:t>
      </w:r>
      <w:r>
        <w:rPr>
          <w:rFonts w:cs="Traditional Arabic" w:hint="cs"/>
          <w:sz w:val="28"/>
          <w:szCs w:val="32"/>
          <w:rtl/>
        </w:rPr>
        <w:t xml:space="preserve"> :</w:t>
      </w:r>
      <w:r w:rsidRPr="00EC737F">
        <w:rPr>
          <w:rFonts w:cs="Traditional Arabic" w:hint="cs"/>
          <w:sz w:val="28"/>
          <w:szCs w:val="32"/>
          <w:rtl/>
        </w:rPr>
        <w:t xml:space="preserve"> ولما كان العقار الشائع مملوكاً لعدد من </w:t>
      </w:r>
      <w:r w:rsidRPr="00EC737F">
        <w:rPr>
          <w:rFonts w:cs="Traditional Arabic" w:hint="cs"/>
          <w:sz w:val="28"/>
          <w:szCs w:val="32"/>
          <w:rtl/>
        </w:rPr>
        <w:lastRenderedPageBreak/>
        <w:t>الشركاء</w:t>
      </w:r>
      <w:r>
        <w:rPr>
          <w:rFonts w:cs="Traditional Arabic" w:hint="cs"/>
          <w:sz w:val="28"/>
          <w:szCs w:val="32"/>
          <w:rtl/>
        </w:rPr>
        <w:t xml:space="preserve"> ،</w:t>
      </w:r>
      <w:r w:rsidRPr="00EC737F">
        <w:rPr>
          <w:rFonts w:cs="Traditional Arabic" w:hint="cs"/>
          <w:sz w:val="28"/>
          <w:szCs w:val="32"/>
          <w:rtl/>
        </w:rPr>
        <w:t xml:space="preserve"> فإن ملكيته لا تخص لواحد منهم فقط</w:t>
      </w:r>
      <w:r>
        <w:rPr>
          <w:rFonts w:cs="Traditional Arabic" w:hint="cs"/>
          <w:sz w:val="28"/>
          <w:szCs w:val="32"/>
          <w:rtl/>
        </w:rPr>
        <w:t xml:space="preserve"> .</w:t>
      </w:r>
      <w:r w:rsidRPr="00EC737F">
        <w:rPr>
          <w:rFonts w:cs="Traditional Arabic" w:hint="cs"/>
          <w:sz w:val="28"/>
          <w:szCs w:val="32"/>
          <w:rtl/>
        </w:rPr>
        <w:t xml:space="preserve"> فإذا رهن أحد الشركاء جميع العقار الشائع</w:t>
      </w:r>
      <w:r>
        <w:rPr>
          <w:rFonts w:cs="Traditional Arabic" w:hint="cs"/>
          <w:sz w:val="28"/>
          <w:szCs w:val="32"/>
          <w:vertAlign w:val="superscript"/>
          <w:rtl/>
        </w:rPr>
        <w:t xml:space="preserve">( </w:t>
      </w:r>
      <w:r w:rsidRPr="00EC737F">
        <w:rPr>
          <w:rStyle w:val="ab"/>
          <w:rFonts w:cs="Traditional Arabic"/>
          <w:sz w:val="28"/>
          <w:szCs w:val="32"/>
          <w:rtl/>
        </w:rPr>
        <w:footnoteReference w:id="72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أمكن للدائن المرتهن إبطال عقد الرهن للغلط إذا كان يعتقد أن الشريك الراهن يملك كل العقار الشائع ملكية مفرزة خالصة</w:t>
      </w:r>
      <w:r>
        <w:rPr>
          <w:rFonts w:cs="Traditional Arabic" w:hint="cs"/>
          <w:sz w:val="28"/>
          <w:szCs w:val="32"/>
          <w:rtl/>
        </w:rPr>
        <w:t xml:space="preserve"> .</w:t>
      </w:r>
      <w:r w:rsidRPr="00EC737F">
        <w:rPr>
          <w:rFonts w:cs="Traditional Arabic" w:hint="cs"/>
          <w:sz w:val="28"/>
          <w:szCs w:val="32"/>
          <w:rtl/>
        </w:rPr>
        <w:t xml:space="preserve"> أما إذا كان الدائن المرتهن يعرف الحقيقة</w:t>
      </w:r>
      <w:r>
        <w:rPr>
          <w:rFonts w:cs="Traditional Arabic" w:hint="cs"/>
          <w:sz w:val="28"/>
          <w:szCs w:val="32"/>
          <w:rtl/>
        </w:rPr>
        <w:t xml:space="preserve"> ،</w:t>
      </w:r>
      <w:r w:rsidRPr="00EC737F">
        <w:rPr>
          <w:rFonts w:cs="Traditional Arabic" w:hint="cs"/>
          <w:sz w:val="28"/>
          <w:szCs w:val="32"/>
          <w:rtl/>
        </w:rPr>
        <w:t xml:space="preserve"> ويعلم أن الشريك الراهن لا يملك العقار إلا في الشيوع</w:t>
      </w:r>
      <w:r>
        <w:rPr>
          <w:rFonts w:cs="Traditional Arabic" w:hint="cs"/>
          <w:sz w:val="28"/>
          <w:szCs w:val="32"/>
          <w:rtl/>
        </w:rPr>
        <w:t xml:space="preserve"> ،</w:t>
      </w:r>
      <w:r w:rsidRPr="00EC737F">
        <w:rPr>
          <w:rFonts w:cs="Traditional Arabic" w:hint="cs"/>
          <w:sz w:val="28"/>
          <w:szCs w:val="32"/>
          <w:rtl/>
        </w:rPr>
        <w:t xml:space="preserve"> فإن الرهن يكون صحيحاً</w:t>
      </w:r>
      <w:r>
        <w:rPr>
          <w:rFonts w:cs="Traditional Arabic" w:hint="cs"/>
          <w:sz w:val="28"/>
          <w:szCs w:val="32"/>
          <w:rtl/>
        </w:rPr>
        <w:t xml:space="preserve"> ،</w:t>
      </w:r>
      <w:r w:rsidRPr="00EC737F">
        <w:rPr>
          <w:rFonts w:cs="Traditional Arabic" w:hint="cs"/>
          <w:sz w:val="28"/>
          <w:szCs w:val="32"/>
          <w:rtl/>
        </w:rPr>
        <w:t xml:space="preserve"> لأن الدائن المرتهن لا يستطيع إبطاله للغلط</w:t>
      </w:r>
      <w:r>
        <w:rPr>
          <w:rFonts w:cs="Traditional Arabic" w:hint="cs"/>
          <w:sz w:val="28"/>
          <w:szCs w:val="32"/>
          <w:rtl/>
        </w:rPr>
        <w:t xml:space="preserve"> .</w:t>
      </w:r>
      <w:r w:rsidRPr="00EC737F">
        <w:rPr>
          <w:rFonts w:cs="Traditional Arabic" w:hint="cs"/>
          <w:sz w:val="28"/>
          <w:szCs w:val="32"/>
          <w:rtl/>
        </w:rPr>
        <w:t xml:space="preserve"> ولكن هذا الرهن لا ينفذ في حق سائر الشركاء الشائعين</w:t>
      </w:r>
      <w:r>
        <w:rPr>
          <w:rFonts w:cs="Traditional Arabic" w:hint="cs"/>
          <w:sz w:val="28"/>
          <w:szCs w:val="32"/>
          <w:rtl/>
        </w:rPr>
        <w:t xml:space="preserve"> ،</w:t>
      </w:r>
      <w:r w:rsidRPr="00EC737F">
        <w:rPr>
          <w:rFonts w:cs="Traditional Arabic" w:hint="cs"/>
          <w:sz w:val="28"/>
          <w:szCs w:val="32"/>
          <w:rtl/>
        </w:rPr>
        <w:t xml:space="preserve"> ويجب انتظار نتيجة القسمة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حصلت القسمة</w:t>
      </w:r>
      <w:r>
        <w:rPr>
          <w:rFonts w:cs="Traditional Arabic" w:hint="cs"/>
          <w:sz w:val="28"/>
          <w:szCs w:val="32"/>
          <w:rtl/>
        </w:rPr>
        <w:t xml:space="preserve"> ،</w:t>
      </w:r>
      <w:r w:rsidRPr="00EC737F">
        <w:rPr>
          <w:rFonts w:cs="Traditional Arabic" w:hint="cs"/>
          <w:sz w:val="28"/>
          <w:szCs w:val="32"/>
          <w:rtl/>
        </w:rPr>
        <w:t xml:space="preserve"> ووقع كل العقار في نصيب الشريك الراهن</w:t>
      </w:r>
      <w:r>
        <w:rPr>
          <w:rFonts w:cs="Traditional Arabic" w:hint="cs"/>
          <w:sz w:val="28"/>
          <w:szCs w:val="32"/>
          <w:rtl/>
        </w:rPr>
        <w:t xml:space="preserve"> ،</w:t>
      </w:r>
      <w:r w:rsidRPr="00EC737F">
        <w:rPr>
          <w:rFonts w:cs="Traditional Arabic" w:hint="cs"/>
          <w:sz w:val="28"/>
          <w:szCs w:val="32"/>
          <w:rtl/>
        </w:rPr>
        <w:t xml:space="preserve"> إلى نتيجة القسمة أو للبيع لعدم إمكان القسمة عيناً</w:t>
      </w:r>
      <w:r>
        <w:rPr>
          <w:rFonts w:cs="Traditional Arabic" w:hint="cs"/>
          <w:sz w:val="28"/>
          <w:szCs w:val="32"/>
          <w:rtl/>
        </w:rPr>
        <w:t xml:space="preserve"> ،</w:t>
      </w:r>
      <w:r w:rsidRPr="00EC737F">
        <w:rPr>
          <w:rFonts w:cs="Traditional Arabic" w:hint="cs"/>
          <w:sz w:val="28"/>
          <w:szCs w:val="32"/>
          <w:rtl/>
        </w:rPr>
        <w:t xml:space="preserve"> أصبح الرهن باتاً</w:t>
      </w:r>
      <w:r>
        <w:rPr>
          <w:rFonts w:cs="Traditional Arabic" w:hint="cs"/>
          <w:sz w:val="28"/>
          <w:szCs w:val="32"/>
          <w:rtl/>
        </w:rPr>
        <w:t xml:space="preserve"> ،</w:t>
      </w:r>
      <w:r w:rsidRPr="00EC737F">
        <w:rPr>
          <w:rFonts w:cs="Traditional Arabic" w:hint="cs"/>
          <w:sz w:val="28"/>
          <w:szCs w:val="32"/>
          <w:rtl/>
        </w:rPr>
        <w:t xml:space="preserve"> وصار نافذاً في حق الشريك الراهن بعد أن أصبح هذا مالكاً لكل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72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أمكنت قسمة العقار أجزاء مفرزة</w:t>
      </w:r>
      <w:r>
        <w:rPr>
          <w:rFonts w:cs="Traditional Arabic" w:hint="cs"/>
          <w:sz w:val="28"/>
          <w:szCs w:val="32"/>
          <w:rtl/>
        </w:rPr>
        <w:t xml:space="preserve"> ،</w:t>
      </w:r>
      <w:r w:rsidRPr="00EC737F">
        <w:rPr>
          <w:rFonts w:cs="Traditional Arabic" w:hint="cs"/>
          <w:sz w:val="28"/>
          <w:szCs w:val="32"/>
          <w:rtl/>
        </w:rPr>
        <w:t xml:space="preserve"> ووقع في نصيب الشريك الراهن جزء مفرز من هذا العقار الشائع</w:t>
      </w:r>
      <w:r>
        <w:rPr>
          <w:rFonts w:cs="Traditional Arabic" w:hint="cs"/>
          <w:sz w:val="28"/>
          <w:szCs w:val="32"/>
          <w:rtl/>
        </w:rPr>
        <w:t xml:space="preserve"> ،</w:t>
      </w:r>
      <w:r w:rsidRPr="00EC737F">
        <w:rPr>
          <w:rFonts w:cs="Traditional Arabic" w:hint="cs"/>
          <w:sz w:val="28"/>
          <w:szCs w:val="32"/>
          <w:rtl/>
        </w:rPr>
        <w:t xml:space="preserve"> فإن الدائن المرتهن</w:t>
      </w:r>
      <w:r>
        <w:rPr>
          <w:rFonts w:cs="Traditional Arabic" w:hint="cs"/>
          <w:sz w:val="28"/>
          <w:szCs w:val="32"/>
          <w:rtl/>
        </w:rPr>
        <w:t xml:space="preserve"> ،</w:t>
      </w:r>
      <w:r w:rsidRPr="00EC737F">
        <w:rPr>
          <w:rFonts w:cs="Traditional Arabic" w:hint="cs"/>
          <w:sz w:val="28"/>
          <w:szCs w:val="32"/>
          <w:rtl/>
        </w:rPr>
        <w:t xml:space="preserve"> وكان على $335 بينه من هذا الأمر</w:t>
      </w:r>
      <w:r>
        <w:rPr>
          <w:rFonts w:cs="Traditional Arabic" w:hint="cs"/>
          <w:sz w:val="28"/>
          <w:szCs w:val="32"/>
          <w:rtl/>
        </w:rPr>
        <w:t xml:space="preserve"> ،</w:t>
      </w:r>
      <w:r w:rsidRPr="00EC737F">
        <w:rPr>
          <w:rFonts w:cs="Traditional Arabic" w:hint="cs"/>
          <w:sz w:val="28"/>
          <w:szCs w:val="32"/>
          <w:rtl/>
        </w:rPr>
        <w:t xml:space="preserve"> يتركز حق رهنه في الجزء المفرز الذي وقع في نصيب الشريك الرهن</w:t>
      </w:r>
      <w:r>
        <w:rPr>
          <w:rFonts w:cs="Traditional Arabic" w:hint="cs"/>
          <w:sz w:val="28"/>
          <w:szCs w:val="32"/>
          <w:vertAlign w:val="superscript"/>
          <w:rtl/>
        </w:rPr>
        <w:t xml:space="preserve">( </w:t>
      </w:r>
      <w:r w:rsidRPr="00EC737F">
        <w:rPr>
          <w:rStyle w:val="ab"/>
          <w:rFonts w:cs="Traditional Arabic"/>
          <w:sz w:val="28"/>
          <w:szCs w:val="32"/>
          <w:rtl/>
        </w:rPr>
        <w:footnoteReference w:id="72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وذلك ما لم يكن هناك اتفاق</w:t>
      </w:r>
      <w:r>
        <w:rPr>
          <w:rFonts w:cs="Traditional Arabic" w:hint="cs"/>
          <w:sz w:val="28"/>
          <w:szCs w:val="32"/>
          <w:rtl/>
        </w:rPr>
        <w:t xml:space="preserve"> ،</w:t>
      </w:r>
      <w:r w:rsidRPr="00EC737F">
        <w:rPr>
          <w:rFonts w:cs="Traditional Arabic" w:hint="cs"/>
          <w:sz w:val="28"/>
          <w:szCs w:val="32"/>
          <w:rtl/>
        </w:rPr>
        <w:t xml:space="preserve"> صريح أو ضمني</w:t>
      </w:r>
      <w:r>
        <w:rPr>
          <w:rFonts w:cs="Traditional Arabic" w:hint="cs"/>
          <w:sz w:val="28"/>
          <w:szCs w:val="32"/>
          <w:rtl/>
        </w:rPr>
        <w:t xml:space="preserve"> ،</w:t>
      </w:r>
      <w:r w:rsidRPr="00EC737F">
        <w:rPr>
          <w:rFonts w:cs="Traditional Arabic" w:hint="cs"/>
          <w:sz w:val="28"/>
          <w:szCs w:val="32"/>
          <w:rtl/>
        </w:rPr>
        <w:t xml:space="preserve"> بين الشريك الراهن والدائن المرتهن على شيء آخر</w:t>
      </w:r>
      <w:r>
        <w:rPr>
          <w:rFonts w:cs="Traditional Arabic" w:hint="cs"/>
          <w:sz w:val="28"/>
          <w:szCs w:val="32"/>
          <w:rtl/>
        </w:rPr>
        <w:t xml:space="preserve"> .</w:t>
      </w:r>
      <w:r w:rsidRPr="00EC737F">
        <w:rPr>
          <w:rFonts w:cs="Traditional Arabic" w:hint="cs"/>
          <w:sz w:val="28"/>
          <w:szCs w:val="32"/>
          <w:rtl/>
        </w:rPr>
        <w:t xml:space="preserve"> فقد يتفقان على أنه إذا لم يقع كل العقار الشائع في نصيب الشريك الراهن</w:t>
      </w:r>
      <w:r>
        <w:rPr>
          <w:rFonts w:cs="Traditional Arabic" w:hint="cs"/>
          <w:sz w:val="28"/>
          <w:szCs w:val="32"/>
          <w:rtl/>
        </w:rPr>
        <w:t xml:space="preserve"> ،</w:t>
      </w:r>
      <w:r w:rsidRPr="00EC737F">
        <w:rPr>
          <w:rFonts w:cs="Traditional Arabic" w:hint="cs"/>
          <w:sz w:val="28"/>
          <w:szCs w:val="32"/>
          <w:rtl/>
        </w:rPr>
        <w:t xml:space="preserve"> جاز للدائن المرتهن إبطال الرهن</w:t>
      </w:r>
      <w:r>
        <w:rPr>
          <w:rFonts w:cs="Traditional Arabic" w:hint="cs"/>
          <w:sz w:val="28"/>
          <w:szCs w:val="32"/>
          <w:rtl/>
        </w:rPr>
        <w:t xml:space="preserve"> .</w:t>
      </w:r>
      <w:r w:rsidRPr="00EC737F">
        <w:rPr>
          <w:rFonts w:cs="Traditional Arabic" w:hint="cs"/>
          <w:sz w:val="28"/>
          <w:szCs w:val="32"/>
          <w:rtl/>
        </w:rPr>
        <w:t xml:space="preserve"> وقد يتفقان على أن الرهن يبقى على الجزء المفرز الذي وقع في نصيب الشريك الراهن</w:t>
      </w:r>
      <w:r>
        <w:rPr>
          <w:rFonts w:cs="Traditional Arabic" w:hint="cs"/>
          <w:sz w:val="28"/>
          <w:szCs w:val="32"/>
          <w:rtl/>
        </w:rPr>
        <w:t xml:space="preserve"> ،</w:t>
      </w:r>
      <w:r w:rsidRPr="00EC737F">
        <w:rPr>
          <w:rFonts w:cs="Traditional Arabic" w:hint="cs"/>
          <w:sz w:val="28"/>
          <w:szCs w:val="32"/>
          <w:rtl/>
        </w:rPr>
        <w:t xml:space="preserve"> ولكن على هذا الشريك أن يستكمل الرهن بأي ضمان آخر</w:t>
      </w:r>
      <w:r>
        <w:rPr>
          <w:rFonts w:cs="Traditional Arabic" w:hint="cs"/>
          <w:sz w:val="28"/>
          <w:szCs w:val="32"/>
          <w:rtl/>
        </w:rPr>
        <w:t xml:space="preserve"> ،</w:t>
      </w:r>
      <w:r w:rsidRPr="00EC737F">
        <w:rPr>
          <w:rFonts w:cs="Traditional Arabic" w:hint="cs"/>
          <w:sz w:val="28"/>
          <w:szCs w:val="32"/>
          <w:rtl/>
        </w:rPr>
        <w:t xml:space="preserve"> رهن رسمي </w:t>
      </w:r>
      <w:r w:rsidRPr="00EC737F">
        <w:rPr>
          <w:rFonts w:cs="Traditional Arabic" w:hint="cs"/>
          <w:sz w:val="28"/>
          <w:szCs w:val="32"/>
          <w:rtl/>
        </w:rPr>
        <w:lastRenderedPageBreak/>
        <w:t>أو رهن حيازة أو كفالة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لم يقع في نصيب الشريك الراهن شيء من العقار المرهون</w:t>
      </w:r>
      <w:r>
        <w:rPr>
          <w:rFonts w:cs="Traditional Arabic" w:hint="cs"/>
          <w:sz w:val="28"/>
          <w:szCs w:val="32"/>
          <w:rtl/>
        </w:rPr>
        <w:t xml:space="preserve"> ،</w:t>
      </w:r>
      <w:r w:rsidRPr="00EC737F">
        <w:rPr>
          <w:rFonts w:cs="Traditional Arabic" w:hint="cs"/>
          <w:sz w:val="28"/>
          <w:szCs w:val="32"/>
          <w:rtl/>
        </w:rPr>
        <w:t xml:space="preserve"> ووقع بدلا منه منقول</w:t>
      </w:r>
      <w:r>
        <w:rPr>
          <w:rFonts w:cs="Traditional Arabic" w:hint="cs"/>
          <w:sz w:val="28"/>
          <w:szCs w:val="32"/>
          <w:rtl/>
        </w:rPr>
        <w:t xml:space="preserve"> ،</w:t>
      </w:r>
      <w:r w:rsidRPr="00EC737F">
        <w:rPr>
          <w:rFonts w:cs="Traditional Arabic" w:hint="cs"/>
          <w:sz w:val="28"/>
          <w:szCs w:val="32"/>
          <w:rtl/>
        </w:rPr>
        <w:t xml:space="preserve"> فقد الدائن المرتهن حق رهنه</w:t>
      </w:r>
      <w:r>
        <w:rPr>
          <w:rFonts w:cs="Traditional Arabic" w:hint="cs"/>
          <w:sz w:val="28"/>
          <w:szCs w:val="32"/>
          <w:rtl/>
        </w:rPr>
        <w:t xml:space="preserve"> ،</w:t>
      </w:r>
      <w:r w:rsidRPr="00EC737F">
        <w:rPr>
          <w:rFonts w:cs="Traditional Arabic" w:hint="cs"/>
          <w:sz w:val="28"/>
          <w:szCs w:val="32"/>
          <w:rtl/>
        </w:rPr>
        <w:t xml:space="preserve"> لأن العقار المرهون لم يقع في نصيب الشريك الراهن</w:t>
      </w:r>
      <w:r>
        <w:rPr>
          <w:rFonts w:cs="Traditional Arabic" w:hint="cs"/>
          <w:sz w:val="28"/>
          <w:szCs w:val="32"/>
          <w:rtl/>
        </w:rPr>
        <w:t xml:space="preserve"> ،</w:t>
      </w:r>
      <w:r w:rsidRPr="00EC737F">
        <w:rPr>
          <w:rFonts w:cs="Traditional Arabic" w:hint="cs"/>
          <w:sz w:val="28"/>
          <w:szCs w:val="32"/>
          <w:rtl/>
        </w:rPr>
        <w:t xml:space="preserve"> ولأن المنقول الذي وقع في نصيب هذا الشريك لا يصلح أن يكون محلا للرهن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72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وقع في نصيب الشريك الراهن</w:t>
      </w:r>
      <w:r>
        <w:rPr>
          <w:rFonts w:cs="Traditional Arabic" w:hint="cs"/>
          <w:sz w:val="28"/>
          <w:szCs w:val="32"/>
          <w:rtl/>
        </w:rPr>
        <w:t xml:space="preserve"> ،</w:t>
      </w:r>
      <w:r w:rsidRPr="00EC737F">
        <w:rPr>
          <w:rFonts w:cs="Traditional Arabic" w:hint="cs"/>
          <w:sz w:val="28"/>
          <w:szCs w:val="32"/>
          <w:rtl/>
        </w:rPr>
        <w:t xml:space="preserve"> لا العقار المرهون ولا شيء منه ولا منقول</w:t>
      </w:r>
      <w:r>
        <w:rPr>
          <w:rFonts w:cs="Traditional Arabic" w:hint="cs"/>
          <w:sz w:val="28"/>
          <w:szCs w:val="32"/>
          <w:rtl/>
        </w:rPr>
        <w:t xml:space="preserve"> ،</w:t>
      </w:r>
      <w:r w:rsidRPr="00EC737F">
        <w:rPr>
          <w:rFonts w:cs="Traditional Arabic" w:hint="cs"/>
          <w:sz w:val="28"/>
          <w:szCs w:val="32"/>
          <w:rtl/>
        </w:rPr>
        <w:t xml:space="preserve"> ولكن وقع في نصيبه مبلغ من النقود</w:t>
      </w:r>
      <w:r>
        <w:rPr>
          <w:rFonts w:cs="Traditional Arabic" w:hint="cs"/>
          <w:sz w:val="28"/>
          <w:szCs w:val="32"/>
          <w:rtl/>
        </w:rPr>
        <w:t xml:space="preserve"> ،</w:t>
      </w:r>
      <w:r w:rsidRPr="00EC737F">
        <w:rPr>
          <w:rFonts w:cs="Traditional Arabic" w:hint="cs"/>
          <w:sz w:val="28"/>
          <w:szCs w:val="32"/>
          <w:rtl/>
        </w:rPr>
        <w:t xml:space="preserve"> كان للدائن المرتهن $336 حق التقدم على هذا المبلغ بما له من حق الرهن الرسمي</w:t>
      </w:r>
      <w:r>
        <w:rPr>
          <w:rFonts w:cs="Traditional Arabic" w:hint="cs"/>
          <w:sz w:val="28"/>
          <w:szCs w:val="32"/>
          <w:rtl/>
        </w:rPr>
        <w:t xml:space="preserve"> ،</w:t>
      </w:r>
      <w:r w:rsidRPr="00EC737F">
        <w:rPr>
          <w:rFonts w:cs="Traditional Arabic" w:hint="cs"/>
          <w:sz w:val="28"/>
          <w:szCs w:val="32"/>
          <w:rtl/>
        </w:rPr>
        <w:t xml:space="preserve"> وقد سبق أن بينا هذا الحكم</w:t>
      </w:r>
      <w:r>
        <w:rPr>
          <w:rFonts w:cs="Traditional Arabic" w:hint="cs"/>
          <w:sz w:val="28"/>
          <w:szCs w:val="32"/>
          <w:vertAlign w:val="superscript"/>
          <w:rtl/>
        </w:rPr>
        <w:t xml:space="preserve">( </w:t>
      </w:r>
      <w:r w:rsidRPr="00EC737F">
        <w:rPr>
          <w:rStyle w:val="ab"/>
          <w:rFonts w:cs="Traditional Arabic"/>
          <w:sz w:val="28"/>
          <w:szCs w:val="32"/>
          <w:rtl/>
        </w:rPr>
        <w:footnoteReference w:id="72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b/>
          <w:bCs/>
          <w:sz w:val="28"/>
          <w:szCs w:val="32"/>
          <w:rtl/>
        </w:rPr>
        <w:t>§</w:t>
      </w:r>
      <w:r w:rsidRPr="00EC737F">
        <w:rPr>
          <w:rFonts w:cs="Traditional Arabic" w:hint="cs"/>
          <w:b/>
          <w:bCs/>
          <w:sz w:val="28"/>
          <w:szCs w:val="32"/>
          <w:rtl/>
        </w:rPr>
        <w:t xml:space="preserve"> 2- أهلية الراهن للتصرف في العقار المرهون</w:t>
      </w:r>
    </w:p>
    <w:p w:rsidR="00F72742" w:rsidRPr="00EC737F" w:rsidRDefault="00F72742" w:rsidP="00F72742">
      <w:pPr>
        <w:widowControl w:val="0"/>
        <w:spacing w:after="120"/>
        <w:jc w:val="center"/>
        <w:rPr>
          <w:rFonts w:cs="Traditional Arabic" w:hint="cs"/>
          <w:b/>
          <w:bCs/>
          <w:sz w:val="28"/>
          <w:szCs w:val="32"/>
          <w:rtl/>
        </w:rPr>
      </w:pPr>
      <w:r w:rsidRPr="00EC737F">
        <w:rPr>
          <w:rFonts w:cs="Traditional Arabic" w:hint="cs"/>
          <w:b/>
          <w:bCs/>
          <w:sz w:val="28"/>
          <w:szCs w:val="32"/>
          <w:rtl/>
        </w:rPr>
        <w:t>وأهلية الدائن المرتهن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149- وجوب توافر أهلية الراهن للتصرف في العقار المرهون</w:t>
      </w:r>
      <w:r>
        <w:rPr>
          <w:rFonts w:cs="Traditional Arabic" w:hint="cs"/>
          <w:sz w:val="28"/>
          <w:szCs w:val="32"/>
          <w:rtl/>
        </w:rPr>
        <w:t xml:space="preserve"> :</w:t>
      </w:r>
      <w:r w:rsidRPr="00EC737F">
        <w:rPr>
          <w:rFonts w:cs="Traditional Arabic" w:hint="cs"/>
          <w:sz w:val="28"/>
          <w:szCs w:val="32"/>
          <w:rtl/>
        </w:rPr>
        <w:t xml:space="preserve"> ولا يكفي أن يكون الراهن مالكاً للعقار المرهون</w:t>
      </w:r>
      <w:r>
        <w:rPr>
          <w:rFonts w:cs="Traditional Arabic" w:hint="cs"/>
          <w:sz w:val="28"/>
          <w:szCs w:val="32"/>
          <w:rtl/>
        </w:rPr>
        <w:t xml:space="preserve"> ،</w:t>
      </w:r>
      <w:r w:rsidRPr="00EC737F">
        <w:rPr>
          <w:rFonts w:cs="Traditional Arabic" w:hint="cs"/>
          <w:sz w:val="28"/>
          <w:szCs w:val="32"/>
          <w:rtl/>
        </w:rPr>
        <w:t xml:space="preserve"> بل يجب أن يكون أيضاً أهلا للتصرف فيه</w:t>
      </w:r>
      <w:r>
        <w:rPr>
          <w:rFonts w:cs="Traditional Arabic" w:hint="cs"/>
          <w:sz w:val="28"/>
          <w:szCs w:val="32"/>
          <w:rtl/>
        </w:rPr>
        <w:t xml:space="preserve"> .</w:t>
      </w:r>
      <w:r w:rsidRPr="00EC737F">
        <w:rPr>
          <w:rFonts w:cs="Traditional Arabic" w:hint="cs"/>
          <w:sz w:val="28"/>
          <w:szCs w:val="32"/>
          <w:rtl/>
        </w:rPr>
        <w:t xml:space="preserve"> وقد رأينا</w:t>
      </w:r>
      <w:r>
        <w:rPr>
          <w:rFonts w:cs="Traditional Arabic" w:hint="cs"/>
          <w:sz w:val="28"/>
          <w:szCs w:val="32"/>
          <w:vertAlign w:val="superscript"/>
          <w:rtl/>
        </w:rPr>
        <w:t xml:space="preserve">( </w:t>
      </w:r>
      <w:r w:rsidRPr="00EC737F">
        <w:rPr>
          <w:rStyle w:val="ab"/>
          <w:rFonts w:cs="Traditional Arabic"/>
          <w:sz w:val="28"/>
          <w:szCs w:val="32"/>
          <w:rtl/>
        </w:rPr>
        <w:footnoteReference w:id="729"/>
      </w:r>
      <w:r>
        <w:rPr>
          <w:rFonts w:cs="Traditional Arabic" w:hint="cs"/>
          <w:sz w:val="28"/>
          <w:szCs w:val="32"/>
          <w:vertAlign w:val="superscript"/>
          <w:rtl/>
        </w:rPr>
        <w:t xml:space="preserve"> )</w:t>
      </w:r>
      <w:r w:rsidRPr="00EC737F">
        <w:rPr>
          <w:rFonts w:cs="Traditional Arabic" w:hint="cs"/>
          <w:sz w:val="28"/>
          <w:szCs w:val="32"/>
          <w:rtl/>
        </w:rPr>
        <w:t xml:space="preserve"> أن الفقرة الثانية من المادة 1032 مدني تنص على أنه "يجب أن يكون الراهن مالكا للعقار المرهون</w:t>
      </w:r>
      <w:r>
        <w:rPr>
          <w:rFonts w:cs="Traditional Arabic" w:hint="cs"/>
          <w:sz w:val="28"/>
          <w:szCs w:val="32"/>
          <w:rtl/>
        </w:rPr>
        <w:t xml:space="preserve"> ،</w:t>
      </w:r>
      <w:r w:rsidRPr="00EC737F">
        <w:rPr>
          <w:rFonts w:cs="Traditional Arabic" w:hint="cs"/>
          <w:sz w:val="28"/>
          <w:szCs w:val="32"/>
          <w:rtl/>
        </w:rPr>
        <w:t xml:space="preserve"> وأهلا للتصرف فيه"</w:t>
      </w:r>
      <w:r>
        <w:rPr>
          <w:rFonts w:cs="Traditional Arabic" w:hint="cs"/>
          <w:sz w:val="28"/>
          <w:szCs w:val="32"/>
          <w:rtl/>
        </w:rPr>
        <w:t xml:space="preserve"> .</w:t>
      </w:r>
      <w:r w:rsidRPr="00EC737F">
        <w:rPr>
          <w:rFonts w:cs="Traditional Arabic" w:hint="cs"/>
          <w:sz w:val="28"/>
          <w:szCs w:val="32"/>
          <w:rtl/>
        </w:rPr>
        <w:t xml:space="preserve"> ذلك أن الرهن الرسمي عمل من أعمال التصرف</w:t>
      </w:r>
      <w:r>
        <w:rPr>
          <w:rFonts w:cs="Traditional Arabic" w:hint="cs"/>
          <w:sz w:val="28"/>
          <w:szCs w:val="32"/>
          <w:rtl/>
        </w:rPr>
        <w:t xml:space="preserve"> ،</w:t>
      </w:r>
      <w:r w:rsidRPr="00EC737F">
        <w:rPr>
          <w:rFonts w:cs="Traditional Arabic" w:hint="cs"/>
          <w:sz w:val="28"/>
          <w:szCs w:val="32"/>
          <w:rtl/>
        </w:rPr>
        <w:t xml:space="preserve"> فيجب على من يقدم عليه أن يكون متوافراً على الأهلية اللازمة له</w:t>
      </w:r>
      <w:r>
        <w:rPr>
          <w:rFonts w:cs="Traditional Arabic" w:hint="cs"/>
          <w:sz w:val="28"/>
          <w:szCs w:val="32"/>
          <w:rtl/>
        </w:rPr>
        <w:t xml:space="preserve"> ،</w:t>
      </w:r>
      <w:r w:rsidRPr="00EC737F">
        <w:rPr>
          <w:rFonts w:cs="Traditional Arabic" w:hint="cs"/>
          <w:sz w:val="28"/>
          <w:szCs w:val="32"/>
          <w:rtl/>
        </w:rPr>
        <w:t xml:space="preserve"> أي أن يكون أهلا للتصرف في العقار المرهون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أما بالنسبة إلى أهلية الدائن المرتهن</w:t>
      </w:r>
      <w:r>
        <w:rPr>
          <w:rFonts w:cs="Traditional Arabic" w:hint="cs"/>
          <w:sz w:val="28"/>
          <w:szCs w:val="32"/>
          <w:rtl/>
        </w:rPr>
        <w:t xml:space="preserve"> ،</w:t>
      </w:r>
      <w:r w:rsidRPr="00EC737F">
        <w:rPr>
          <w:rFonts w:cs="Traditional Arabic" w:hint="cs"/>
          <w:sz w:val="28"/>
          <w:szCs w:val="32"/>
          <w:rtl/>
        </w:rPr>
        <w:t xml:space="preserve"> فليست أهلية هذا الأخير كأهلية الراهن</w:t>
      </w:r>
      <w:r>
        <w:rPr>
          <w:rFonts w:cs="Traditional Arabic" w:hint="cs"/>
          <w:sz w:val="28"/>
          <w:szCs w:val="32"/>
          <w:rtl/>
        </w:rPr>
        <w:t xml:space="preserve"> ،</w:t>
      </w:r>
      <w:r w:rsidRPr="00EC737F">
        <w:rPr>
          <w:rFonts w:cs="Traditional Arabic" w:hint="cs"/>
          <w:sz w:val="28"/>
          <w:szCs w:val="32"/>
          <w:rtl/>
        </w:rPr>
        <w:t xml:space="preserve"> لأن الرهن نافع للدائن المرتهن نفعاً محضاً</w:t>
      </w:r>
      <w:r>
        <w:rPr>
          <w:rFonts w:cs="Traditional Arabic" w:hint="cs"/>
          <w:sz w:val="28"/>
          <w:szCs w:val="32"/>
          <w:rtl/>
        </w:rPr>
        <w:t xml:space="preserve"> .</w:t>
      </w:r>
      <w:r w:rsidRPr="00EC737F">
        <w:rPr>
          <w:rFonts w:cs="Traditional Arabic" w:hint="cs"/>
          <w:sz w:val="28"/>
          <w:szCs w:val="32"/>
          <w:rtl/>
        </w:rPr>
        <w:t xml:space="preserve"> فيكفي في الدائن المرتهن أن يكون ذا تمييز صحيح</w:t>
      </w:r>
      <w:r>
        <w:rPr>
          <w:rFonts w:cs="Traditional Arabic" w:hint="cs"/>
          <w:sz w:val="28"/>
          <w:szCs w:val="32"/>
          <w:rtl/>
        </w:rPr>
        <w:t xml:space="preserve"> ،</w:t>
      </w:r>
      <w:r w:rsidRPr="00EC737F">
        <w:rPr>
          <w:rFonts w:cs="Traditional Arabic" w:hint="cs"/>
          <w:sz w:val="28"/>
          <w:szCs w:val="32"/>
          <w:rtl/>
        </w:rPr>
        <w:t xml:space="preserve"> ولا يشترط فيه أهلية التصرف</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والولاية غير الأهلية</w:t>
      </w:r>
      <w:r>
        <w:rPr>
          <w:rFonts w:cs="Traditional Arabic" w:hint="cs"/>
          <w:sz w:val="28"/>
          <w:szCs w:val="32"/>
          <w:rtl/>
        </w:rPr>
        <w:t xml:space="preserve"> .</w:t>
      </w:r>
      <w:r w:rsidRPr="00EC737F">
        <w:rPr>
          <w:rFonts w:cs="Traditional Arabic" w:hint="cs"/>
          <w:sz w:val="28"/>
          <w:szCs w:val="32"/>
          <w:rtl/>
        </w:rPr>
        <w:t xml:space="preserve"> فقد لا يباشر الراهن العقد بنفسه بل بنائب عنه</w:t>
      </w:r>
      <w:r>
        <w:rPr>
          <w:rFonts w:cs="Traditional Arabic" w:hint="cs"/>
          <w:sz w:val="28"/>
          <w:szCs w:val="32"/>
          <w:rtl/>
        </w:rPr>
        <w:t xml:space="preserve"> ،</w:t>
      </w:r>
      <w:r w:rsidRPr="00EC737F">
        <w:rPr>
          <w:rFonts w:cs="Traditional Arabic" w:hint="cs"/>
          <w:sz w:val="28"/>
          <w:szCs w:val="32"/>
          <w:rtl/>
        </w:rPr>
        <w:t xml:space="preserve"> وكيل أو ولي أو وصي أو يمز وكذلك قد يباشر الدائن المرتهن العقد عن طريق نائب عنه</w:t>
      </w:r>
      <w:r>
        <w:rPr>
          <w:rFonts w:cs="Traditional Arabic" w:hint="cs"/>
          <w:sz w:val="28"/>
          <w:szCs w:val="32"/>
          <w:rtl/>
        </w:rPr>
        <w:t xml:space="preserve"> ،</w:t>
      </w:r>
      <w:r w:rsidRPr="00EC737F">
        <w:rPr>
          <w:rFonts w:cs="Traditional Arabic" w:hint="cs"/>
          <w:sz w:val="28"/>
          <w:szCs w:val="32"/>
          <w:rtl/>
        </w:rPr>
        <w:t xml:space="preserve"> ويكون هذا ولاية لا أهلية</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وهناك راهن لا يكون هو المدين</w:t>
      </w:r>
      <w:r>
        <w:rPr>
          <w:rFonts w:cs="Traditional Arabic" w:hint="cs"/>
          <w:sz w:val="28"/>
          <w:szCs w:val="32"/>
          <w:rtl/>
        </w:rPr>
        <w:t xml:space="preserve"> ،</w:t>
      </w:r>
      <w:r w:rsidRPr="00EC737F">
        <w:rPr>
          <w:rFonts w:cs="Traditional Arabic" w:hint="cs"/>
          <w:sz w:val="28"/>
          <w:szCs w:val="32"/>
          <w:rtl/>
        </w:rPr>
        <w:t xml:space="preserve"> بل يكون كفيلا عينياً يجمع بن الرهن والكفالة ويشترط في الكفيل العيني</w:t>
      </w:r>
      <w:r>
        <w:rPr>
          <w:rFonts w:cs="Traditional Arabic" w:hint="cs"/>
          <w:sz w:val="28"/>
          <w:szCs w:val="32"/>
          <w:rtl/>
        </w:rPr>
        <w:t xml:space="preserve"> ،</w:t>
      </w:r>
      <w:r w:rsidRPr="00EC737F">
        <w:rPr>
          <w:rFonts w:cs="Traditional Arabic" w:hint="cs"/>
          <w:sz w:val="28"/>
          <w:szCs w:val="32"/>
          <w:rtl/>
        </w:rPr>
        <w:t xml:space="preserve"> كما يشترط في المدين الراهن</w:t>
      </w:r>
      <w:r>
        <w:rPr>
          <w:rFonts w:cs="Traditional Arabic" w:hint="cs"/>
          <w:sz w:val="28"/>
          <w:szCs w:val="32"/>
          <w:rtl/>
        </w:rPr>
        <w:t xml:space="preserve"> ،</w:t>
      </w:r>
      <w:r w:rsidRPr="00EC737F">
        <w:rPr>
          <w:rFonts w:cs="Traditional Arabic" w:hint="cs"/>
          <w:sz w:val="28"/>
          <w:szCs w:val="32"/>
          <w:rtl/>
        </w:rPr>
        <w:t xml:space="preserve"> أن يكون أهلا للتصرف في العقار المرهون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وإذن نبحث المسائل الآتية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أهلية المدين الراهن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أهلية $337 الدائن المرتهن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الولاية فيما يتعلق بالمدين الراهن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الولاية فيما يتعلق بالدائن المرتهن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5</w:t>
      </w:r>
      <w:r>
        <w:rPr>
          <w:rFonts w:cs="Traditional Arabic" w:hint="cs"/>
          <w:sz w:val="28"/>
          <w:szCs w:val="32"/>
          <w:rtl/>
        </w:rPr>
        <w:t xml:space="preserve"> )</w:t>
      </w:r>
      <w:r w:rsidRPr="00EC737F">
        <w:rPr>
          <w:rFonts w:cs="Traditional Arabic" w:hint="cs"/>
          <w:sz w:val="28"/>
          <w:szCs w:val="32"/>
          <w:rtl/>
        </w:rPr>
        <w:t xml:space="preserve"> الأهلية والولاية فيما يتعلق بالكفيل العيني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150- أهلية المدين الراهن</w:t>
      </w:r>
      <w:r>
        <w:rPr>
          <w:rFonts w:cs="Traditional Arabic" w:hint="cs"/>
          <w:sz w:val="28"/>
          <w:szCs w:val="32"/>
          <w:rtl/>
        </w:rPr>
        <w:t xml:space="preserve"> :</w:t>
      </w:r>
      <w:r w:rsidRPr="00EC737F">
        <w:rPr>
          <w:rFonts w:cs="Traditional Arabic" w:hint="cs"/>
          <w:sz w:val="28"/>
          <w:szCs w:val="32"/>
          <w:rtl/>
        </w:rPr>
        <w:t xml:space="preserve"> بالنسبة إلى المدين يعتبر الرهن عملا من أعمال التصرف دائراً بين النفع والضرر</w:t>
      </w:r>
      <w:r>
        <w:rPr>
          <w:rFonts w:cs="Traditional Arabic" w:hint="cs"/>
          <w:sz w:val="28"/>
          <w:szCs w:val="32"/>
          <w:rtl/>
        </w:rPr>
        <w:t xml:space="preserve"> ،</w:t>
      </w:r>
      <w:r w:rsidRPr="00EC737F">
        <w:rPr>
          <w:rFonts w:cs="Traditional Arabic" w:hint="cs"/>
          <w:sz w:val="28"/>
          <w:szCs w:val="32"/>
          <w:rtl/>
        </w:rPr>
        <w:t xml:space="preserve"> إذ أن المدين الراهن لا يتبرع برهن عقاره</w:t>
      </w:r>
      <w:r>
        <w:rPr>
          <w:rFonts w:cs="Traditional Arabic" w:hint="cs"/>
          <w:sz w:val="28"/>
          <w:szCs w:val="32"/>
          <w:rtl/>
        </w:rPr>
        <w:t xml:space="preserve"> ،</w:t>
      </w:r>
      <w:r w:rsidRPr="00EC737F">
        <w:rPr>
          <w:rFonts w:cs="Traditional Arabic" w:hint="cs"/>
          <w:sz w:val="28"/>
          <w:szCs w:val="32"/>
          <w:rtl/>
        </w:rPr>
        <w:t xml:space="preserve"> بل هو يبغي من وراء رهنه الحصول على قرض أو مد أجل الدين أو بوجه عام ضمان التزامه</w:t>
      </w:r>
      <w:r>
        <w:rPr>
          <w:rFonts w:cs="Traditional Arabic" w:hint="cs"/>
          <w:sz w:val="28"/>
          <w:szCs w:val="32"/>
          <w:vertAlign w:val="superscript"/>
          <w:rtl/>
        </w:rPr>
        <w:t xml:space="preserve">( </w:t>
      </w:r>
      <w:r w:rsidRPr="00EC737F">
        <w:rPr>
          <w:rStyle w:val="ab"/>
          <w:rFonts w:cs="Traditional Arabic"/>
          <w:sz w:val="28"/>
          <w:szCs w:val="32"/>
          <w:rtl/>
        </w:rPr>
        <w:footnoteReference w:id="73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وعلى ذك يجب أن يتوافر في المدين الراهن</w:t>
      </w:r>
      <w:r>
        <w:rPr>
          <w:rFonts w:cs="Traditional Arabic" w:hint="cs"/>
          <w:sz w:val="28"/>
          <w:szCs w:val="32"/>
          <w:rtl/>
        </w:rPr>
        <w:t xml:space="preserve"> ،</w:t>
      </w:r>
      <w:r w:rsidRPr="00EC737F">
        <w:rPr>
          <w:rFonts w:cs="Traditional Arabic" w:hint="cs"/>
          <w:sz w:val="28"/>
          <w:szCs w:val="32"/>
          <w:rtl/>
        </w:rPr>
        <w:t xml:space="preserve"> لا أهلية الإدارة فحسب</w:t>
      </w:r>
      <w:r>
        <w:rPr>
          <w:rFonts w:cs="Traditional Arabic" w:hint="cs"/>
          <w:sz w:val="28"/>
          <w:szCs w:val="32"/>
          <w:rtl/>
        </w:rPr>
        <w:t xml:space="preserve"> ،</w:t>
      </w:r>
      <w:r w:rsidRPr="00EC737F">
        <w:rPr>
          <w:rFonts w:cs="Traditional Arabic" w:hint="cs"/>
          <w:sz w:val="28"/>
          <w:szCs w:val="32"/>
          <w:rtl/>
        </w:rPr>
        <w:t xml:space="preserve"> ولا أهلية التبرع</w:t>
      </w:r>
      <w:r>
        <w:rPr>
          <w:rFonts w:cs="Traditional Arabic" w:hint="cs"/>
          <w:sz w:val="28"/>
          <w:szCs w:val="32"/>
          <w:rtl/>
        </w:rPr>
        <w:t xml:space="preserve"> ،</w:t>
      </w:r>
      <w:r w:rsidRPr="00EC737F">
        <w:rPr>
          <w:rFonts w:cs="Traditional Arabic" w:hint="cs"/>
          <w:sz w:val="28"/>
          <w:szCs w:val="32"/>
          <w:rtl/>
        </w:rPr>
        <w:t xml:space="preserve"> بل أهلية التصرف كما سبق القول</w:t>
      </w:r>
      <w:r>
        <w:rPr>
          <w:rFonts w:cs="Traditional Arabic" w:hint="cs"/>
          <w:sz w:val="28"/>
          <w:szCs w:val="32"/>
          <w:rtl/>
        </w:rPr>
        <w:t xml:space="preserve"> .</w:t>
      </w:r>
      <w:r w:rsidRPr="00EC737F">
        <w:rPr>
          <w:rFonts w:cs="Traditional Arabic" w:hint="cs"/>
          <w:sz w:val="28"/>
          <w:szCs w:val="32"/>
          <w:rtl/>
        </w:rPr>
        <w:t xml:space="preserve"> فيجب إذن أن يكون بالغاً سن الرشد غير محجور عليه لسفه أو غفلة</w:t>
      </w:r>
      <w:r>
        <w:rPr>
          <w:rFonts w:cs="Traditional Arabic" w:hint="cs"/>
          <w:sz w:val="28"/>
          <w:szCs w:val="32"/>
          <w:rtl/>
        </w:rPr>
        <w:t xml:space="preserve"> .</w:t>
      </w:r>
      <w:r w:rsidRPr="00EC737F">
        <w:rPr>
          <w:rFonts w:cs="Traditional Arabic" w:hint="cs"/>
          <w:sz w:val="28"/>
          <w:szCs w:val="32"/>
          <w:rtl/>
        </w:rPr>
        <w:t xml:space="preserve"> فإذا لم يبلغ سن الرشد أو كان محجوراً عليه</w:t>
      </w:r>
      <w:r>
        <w:rPr>
          <w:rFonts w:cs="Traditional Arabic" w:hint="cs"/>
          <w:sz w:val="28"/>
          <w:szCs w:val="32"/>
          <w:rtl/>
        </w:rPr>
        <w:t xml:space="preserve"> ،</w:t>
      </w:r>
      <w:r w:rsidRPr="00EC737F">
        <w:rPr>
          <w:rFonts w:cs="Traditional Arabic" w:hint="cs"/>
          <w:sz w:val="28"/>
          <w:szCs w:val="32"/>
          <w:rtl/>
        </w:rPr>
        <w:t xml:space="preserve"> جاز لوليه أو لوصيه أو للقيم عليه عقد الرهن الرسمي</w:t>
      </w:r>
      <w:r>
        <w:rPr>
          <w:rFonts w:cs="Traditional Arabic" w:hint="cs"/>
          <w:sz w:val="28"/>
          <w:szCs w:val="32"/>
          <w:rtl/>
        </w:rPr>
        <w:t xml:space="preserve"> ،</w:t>
      </w:r>
      <w:r w:rsidRPr="00EC737F">
        <w:rPr>
          <w:rFonts w:cs="Traditional Arabic" w:hint="cs"/>
          <w:sz w:val="28"/>
          <w:szCs w:val="32"/>
          <w:rtl/>
        </w:rPr>
        <w:t xml:space="preserve"> بعد أخذ إذن المحكمة فيما يتعلق بالوصي والقيم وفيما يتعلق بالجد إذا كان ولياً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عقد المدين الراهن الرهن الرسمي بنفسه</w:t>
      </w:r>
      <w:r>
        <w:rPr>
          <w:rFonts w:cs="Traditional Arabic" w:hint="cs"/>
          <w:sz w:val="28"/>
          <w:szCs w:val="32"/>
          <w:rtl/>
        </w:rPr>
        <w:t xml:space="preserve"> ،</w:t>
      </w:r>
      <w:r w:rsidRPr="00EC737F">
        <w:rPr>
          <w:rFonts w:cs="Traditional Arabic" w:hint="cs"/>
          <w:sz w:val="28"/>
          <w:szCs w:val="32"/>
          <w:rtl/>
        </w:rPr>
        <w:t xml:space="preserve"> فإن كان فاقد التمييز بأن كان صبياً غير مميز أو مجنوناً </w:t>
      </w:r>
      <w:r w:rsidRPr="00EC737F">
        <w:rPr>
          <w:rFonts w:cs="Traditional Arabic" w:hint="cs"/>
          <w:sz w:val="28"/>
          <w:szCs w:val="32"/>
          <w:rtl/>
        </w:rPr>
        <w:lastRenderedPageBreak/>
        <w:t>أو معتوهاً لا تمييز له</w:t>
      </w:r>
      <w:r>
        <w:rPr>
          <w:rFonts w:cs="Traditional Arabic" w:hint="cs"/>
          <w:sz w:val="28"/>
          <w:szCs w:val="32"/>
          <w:rtl/>
        </w:rPr>
        <w:t xml:space="preserve"> ،</w:t>
      </w:r>
      <w:r w:rsidRPr="00EC737F">
        <w:rPr>
          <w:rFonts w:cs="Traditional Arabic" w:hint="cs"/>
          <w:sz w:val="28"/>
          <w:szCs w:val="32"/>
          <w:rtl/>
        </w:rPr>
        <w:t xml:space="preserve"> كان عقده باطلا بطلاناً مطلقاً</w:t>
      </w:r>
      <w:r>
        <w:rPr>
          <w:rFonts w:cs="Traditional Arabic" w:hint="cs"/>
          <w:sz w:val="28"/>
          <w:szCs w:val="32"/>
          <w:rtl/>
        </w:rPr>
        <w:t xml:space="preserve"> .</w:t>
      </w:r>
      <w:r w:rsidRPr="00EC737F">
        <w:rPr>
          <w:rFonts w:cs="Traditional Arabic" w:hint="cs"/>
          <w:sz w:val="28"/>
          <w:szCs w:val="32"/>
          <w:rtl/>
        </w:rPr>
        <w:t xml:space="preserve"> أما إذا كان مميزاً</w:t>
      </w:r>
      <w:r>
        <w:rPr>
          <w:rFonts w:cs="Traditional Arabic" w:hint="cs"/>
          <w:sz w:val="28"/>
          <w:szCs w:val="32"/>
          <w:rtl/>
        </w:rPr>
        <w:t xml:space="preserve"> ،</w:t>
      </w:r>
      <w:r w:rsidRPr="00EC737F">
        <w:rPr>
          <w:rFonts w:cs="Traditional Arabic" w:hint="cs"/>
          <w:sz w:val="28"/>
          <w:szCs w:val="32"/>
          <w:rtl/>
        </w:rPr>
        <w:t xml:space="preserve"> بأن كان صبياً توافر عنده التمييز أو كان محجوراً عليه لسفه أو غفلة</w:t>
      </w:r>
      <w:r>
        <w:rPr>
          <w:rFonts w:cs="Traditional Arabic" w:hint="cs"/>
          <w:sz w:val="28"/>
          <w:szCs w:val="32"/>
          <w:rtl/>
        </w:rPr>
        <w:t xml:space="preserve"> ،</w:t>
      </w:r>
      <w:r w:rsidRPr="00EC737F">
        <w:rPr>
          <w:rFonts w:cs="Traditional Arabic" w:hint="cs"/>
          <w:sz w:val="28"/>
          <w:szCs w:val="32"/>
          <w:rtl/>
        </w:rPr>
        <w:t xml:space="preserve"> فإن العقد يكون قابلا للإبطال</w:t>
      </w:r>
      <w:r>
        <w:rPr>
          <w:rFonts w:cs="Traditional Arabic" w:hint="cs"/>
          <w:sz w:val="28"/>
          <w:szCs w:val="32"/>
          <w:vertAlign w:val="superscript"/>
          <w:rtl/>
        </w:rPr>
        <w:t xml:space="preserve">( </w:t>
      </w:r>
      <w:r w:rsidRPr="00EC737F">
        <w:rPr>
          <w:rStyle w:val="ab"/>
          <w:rFonts w:cs="Traditional Arabic"/>
          <w:sz w:val="28"/>
          <w:szCs w:val="32"/>
          <w:rtl/>
        </w:rPr>
        <w:footnoteReference w:id="73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يكون $338 باطلا لأن الرهن من أعمال التصرف لا من أعمال التبرع كما أسلفنا</w:t>
      </w:r>
      <w:r>
        <w:rPr>
          <w:rFonts w:cs="Traditional Arabic" w:hint="cs"/>
          <w:sz w:val="28"/>
          <w:szCs w:val="32"/>
          <w:rtl/>
        </w:rPr>
        <w:t xml:space="preserve"> .</w:t>
      </w:r>
      <w:r w:rsidRPr="00EC737F">
        <w:rPr>
          <w:rFonts w:cs="Traditional Arabic" w:hint="cs"/>
          <w:sz w:val="28"/>
          <w:szCs w:val="32"/>
          <w:rtl/>
        </w:rPr>
        <w:t xml:space="preserve"> وفي هذه الحالة يجوز للأب أن يقر الرهن فينقلب صحيحا إذا كان العقار المرهون لا تزيد قيمته على ثلثمائة جنيه وإلا فلا بد من إذن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73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ويجوز للجد أو للوصي أو للقيم أن يحصل على إذن المحكمة لإقرار الرهن</w:t>
      </w:r>
      <w:r>
        <w:rPr>
          <w:rFonts w:cs="Traditional Arabic" w:hint="cs"/>
          <w:sz w:val="28"/>
          <w:szCs w:val="32"/>
          <w:rtl/>
        </w:rPr>
        <w:t xml:space="preserve"> ،</w:t>
      </w:r>
      <w:r w:rsidRPr="00EC737F">
        <w:rPr>
          <w:rFonts w:cs="Traditional Arabic" w:hint="cs"/>
          <w:sz w:val="28"/>
          <w:szCs w:val="32"/>
          <w:rtl/>
        </w:rPr>
        <w:t xml:space="preserve"> فإن لم يحصل ذلك وبقي الرهن قابلا للإبطال</w:t>
      </w:r>
      <w:r>
        <w:rPr>
          <w:rFonts w:cs="Traditional Arabic" w:hint="cs"/>
          <w:sz w:val="28"/>
          <w:szCs w:val="32"/>
          <w:rtl/>
        </w:rPr>
        <w:t xml:space="preserve"> ،</w:t>
      </w:r>
      <w:r w:rsidRPr="00EC737F">
        <w:rPr>
          <w:rFonts w:cs="Traditional Arabic" w:hint="cs"/>
          <w:sz w:val="28"/>
          <w:szCs w:val="32"/>
          <w:rtl/>
        </w:rPr>
        <w:t xml:space="preserve"> جاز للولي أو الوصي أو القيم إبطال الرهن</w:t>
      </w:r>
      <w:r>
        <w:rPr>
          <w:rFonts w:cs="Traditional Arabic" w:hint="cs"/>
          <w:sz w:val="28"/>
          <w:szCs w:val="32"/>
          <w:rtl/>
        </w:rPr>
        <w:t xml:space="preserve"> ،</w:t>
      </w:r>
      <w:r w:rsidRPr="00EC737F">
        <w:rPr>
          <w:rFonts w:cs="Traditional Arabic" w:hint="cs"/>
          <w:sz w:val="28"/>
          <w:szCs w:val="32"/>
          <w:rtl/>
        </w:rPr>
        <w:t xml:space="preserve"> وجاز أيضاً للمدين الراهن عند بلوغه سن الرشد أن يبطل الرهن أو أن يقره حسبما يرى</w:t>
      </w:r>
      <w:r>
        <w:rPr>
          <w:rFonts w:cs="Traditional Arabic" w:hint="cs"/>
          <w:sz w:val="28"/>
          <w:szCs w:val="32"/>
          <w:vertAlign w:val="superscript"/>
          <w:rtl/>
        </w:rPr>
        <w:t xml:space="preserve">( </w:t>
      </w:r>
      <w:r w:rsidRPr="00EC737F">
        <w:rPr>
          <w:rStyle w:val="ab"/>
          <w:rFonts w:cs="Traditional Arabic"/>
          <w:sz w:val="28"/>
          <w:szCs w:val="32"/>
          <w:rtl/>
        </w:rPr>
        <w:footnoteReference w:id="73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ويجوز لدائني المدين الراهن</w:t>
      </w:r>
      <w:r>
        <w:rPr>
          <w:rFonts w:cs="Traditional Arabic" w:hint="cs"/>
          <w:sz w:val="28"/>
          <w:szCs w:val="32"/>
          <w:rtl/>
        </w:rPr>
        <w:t xml:space="preserve"> ،</w:t>
      </w:r>
      <w:r w:rsidRPr="00EC737F">
        <w:rPr>
          <w:rFonts w:cs="Traditional Arabic" w:hint="cs"/>
          <w:sz w:val="28"/>
          <w:szCs w:val="32"/>
          <w:rtl/>
        </w:rPr>
        <w:t xml:space="preserve"> إذا لم يكن المدين الراهن قد أقر الرهن</w:t>
      </w:r>
      <w:r>
        <w:rPr>
          <w:rFonts w:cs="Traditional Arabic" w:hint="cs"/>
          <w:sz w:val="28"/>
          <w:szCs w:val="32"/>
          <w:rtl/>
        </w:rPr>
        <w:t xml:space="preserve"> ،</w:t>
      </w:r>
      <w:r w:rsidRPr="00EC737F">
        <w:rPr>
          <w:rFonts w:cs="Traditional Arabic" w:hint="cs"/>
          <w:sz w:val="28"/>
          <w:szCs w:val="32"/>
          <w:rtl/>
        </w:rPr>
        <w:t xml:space="preserve"> أن يتمسكوا بطريق الدعوى غير المباشرة بحق مدينهم ويطالبوا بإبطال الرهن</w:t>
      </w:r>
      <w:r>
        <w:rPr>
          <w:rFonts w:cs="Traditional Arabic" w:hint="cs"/>
          <w:sz w:val="28"/>
          <w:szCs w:val="32"/>
          <w:vertAlign w:val="superscript"/>
          <w:rtl/>
        </w:rPr>
        <w:t xml:space="preserve">( </w:t>
      </w:r>
      <w:r w:rsidRPr="00EC737F">
        <w:rPr>
          <w:rStyle w:val="ab"/>
          <w:rFonts w:cs="Traditional Arabic"/>
          <w:sz w:val="28"/>
          <w:szCs w:val="32"/>
          <w:rtl/>
        </w:rPr>
        <w:lastRenderedPageBreak/>
        <w:footnoteReference w:id="73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باع القاصر عقاره المرهون بيعاً صحيحاً</w:t>
      </w:r>
      <w:r>
        <w:rPr>
          <w:rFonts w:cs="Traditional Arabic" w:hint="cs"/>
          <w:sz w:val="28"/>
          <w:szCs w:val="32"/>
          <w:rtl/>
        </w:rPr>
        <w:t xml:space="preserve"> ،</w:t>
      </w:r>
      <w:r w:rsidRPr="00EC737F">
        <w:rPr>
          <w:rFonts w:cs="Traditional Arabic" w:hint="cs"/>
          <w:sz w:val="28"/>
          <w:szCs w:val="32"/>
          <w:rtl/>
        </w:rPr>
        <w:t xml:space="preserve"> بأن باعه بعد بلوغه سن الرشد</w:t>
      </w:r>
      <w:r>
        <w:rPr>
          <w:rFonts w:cs="Traditional Arabic" w:hint="cs"/>
          <w:sz w:val="28"/>
          <w:szCs w:val="32"/>
          <w:rtl/>
        </w:rPr>
        <w:t xml:space="preserve"> ،</w:t>
      </w:r>
      <w:r w:rsidRPr="00EC737F">
        <w:rPr>
          <w:rFonts w:cs="Traditional Arabic" w:hint="cs"/>
          <w:sz w:val="28"/>
          <w:szCs w:val="32"/>
          <w:rtl/>
        </w:rPr>
        <w:t xml:space="preserve"> أو باعه قبل ذلك عن طريق النائب عنه وبإذن المحكمة</w:t>
      </w:r>
      <w:r>
        <w:rPr>
          <w:rFonts w:cs="Traditional Arabic" w:hint="cs"/>
          <w:sz w:val="28"/>
          <w:szCs w:val="32"/>
          <w:rtl/>
        </w:rPr>
        <w:t xml:space="preserve"> ،</w:t>
      </w:r>
      <w:r w:rsidRPr="00EC737F">
        <w:rPr>
          <w:rFonts w:cs="Traditional Arabic" w:hint="cs"/>
          <w:sz w:val="28"/>
          <w:szCs w:val="32"/>
          <w:rtl/>
        </w:rPr>
        <w:t xml:space="preserve"> ثم أجاز الرهن بعد ذلك</w:t>
      </w:r>
      <w:r>
        <w:rPr>
          <w:rFonts w:cs="Traditional Arabic" w:hint="cs"/>
          <w:sz w:val="28"/>
          <w:szCs w:val="32"/>
          <w:rtl/>
        </w:rPr>
        <w:t xml:space="preserve"> ،</w:t>
      </w:r>
      <w:r w:rsidRPr="00EC737F">
        <w:rPr>
          <w:rFonts w:cs="Traditional Arabic" w:hint="cs"/>
          <w:sz w:val="28"/>
          <w:szCs w:val="32"/>
          <w:rtl/>
        </w:rPr>
        <w:t xml:space="preserve"> فإن هذه الإجازة لا تسري في حق المشتري لأن الملكية $339 تكون قد انتقلت إليه بالبيع</w:t>
      </w:r>
      <w:r>
        <w:rPr>
          <w:rFonts w:cs="Traditional Arabic" w:hint="cs"/>
          <w:sz w:val="28"/>
          <w:szCs w:val="32"/>
          <w:rtl/>
        </w:rPr>
        <w:t xml:space="preserve"> ،</w:t>
      </w:r>
      <w:r w:rsidRPr="00EC737F">
        <w:rPr>
          <w:rFonts w:cs="Traditional Arabic" w:hint="cs"/>
          <w:sz w:val="28"/>
          <w:szCs w:val="32"/>
          <w:rtl/>
        </w:rPr>
        <w:t xml:space="preserve"> فتكون إجازة المدين الراهن صادرة من غير مالك</w:t>
      </w:r>
      <w:r>
        <w:rPr>
          <w:rFonts w:cs="Traditional Arabic" w:hint="cs"/>
          <w:sz w:val="28"/>
          <w:szCs w:val="32"/>
          <w:vertAlign w:val="superscript"/>
          <w:rtl/>
        </w:rPr>
        <w:t xml:space="preserve">( </w:t>
      </w:r>
      <w:r w:rsidRPr="00EC737F">
        <w:rPr>
          <w:rStyle w:val="ab"/>
          <w:rFonts w:cs="Traditional Arabic"/>
          <w:sz w:val="28"/>
          <w:szCs w:val="32"/>
          <w:rtl/>
        </w:rPr>
        <w:footnoteReference w:id="73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ويسقط حق إبطال الرهن الرسمي بالتقادم بمضي ثلاث سنوات من اليوم الذي يزول فيه نقص الأهلية </w:t>
      </w:r>
      <w:r>
        <w:rPr>
          <w:rFonts w:cs="Traditional Arabic" w:hint="cs"/>
          <w:sz w:val="28"/>
          <w:szCs w:val="32"/>
          <w:rtl/>
        </w:rPr>
        <w:t xml:space="preserve">( </w:t>
      </w:r>
      <w:r w:rsidRPr="00EC737F">
        <w:rPr>
          <w:rFonts w:cs="Traditional Arabic" w:hint="cs"/>
          <w:sz w:val="28"/>
          <w:szCs w:val="32"/>
          <w:rtl/>
        </w:rPr>
        <w:t>م 140 مدني</w:t>
      </w:r>
      <w:r>
        <w:rPr>
          <w:rFonts w:cs="Traditional Arabic" w:hint="cs"/>
          <w:sz w:val="28"/>
          <w:szCs w:val="32"/>
          <w:rtl/>
        </w:rPr>
        <w:t xml:space="preserve"> )</w:t>
      </w:r>
      <w:r w:rsidRPr="00EC737F">
        <w:rPr>
          <w:rFonts w:cs="Traditional Arabic" w:hint="cs"/>
          <w:sz w:val="28"/>
          <w:szCs w:val="32"/>
          <w:rtl/>
        </w:rPr>
        <w:t xml:space="preserve"> فيصبح الرهن صحيحاً بأثر رجعي منذ نشئوه</w:t>
      </w:r>
      <w:r>
        <w:rPr>
          <w:rFonts w:cs="Traditional Arabic" w:hint="cs"/>
          <w:sz w:val="28"/>
          <w:szCs w:val="32"/>
          <w:rtl/>
        </w:rPr>
        <w:t xml:space="preserve"> ،</w:t>
      </w:r>
      <w:r w:rsidRPr="00EC737F">
        <w:rPr>
          <w:rFonts w:cs="Traditional Arabic" w:hint="cs"/>
          <w:sz w:val="28"/>
          <w:szCs w:val="32"/>
          <w:rtl/>
        </w:rPr>
        <w:t xml:space="preserve"> ويحتاج به على كل من كسب حقاً عينياً على العقار المرهون كدائن مرتهن آخر كسب حقه بعد نفاذ الرهن الأول ولو كان ذلك قبل تمام التقادم</w:t>
      </w:r>
      <w:r>
        <w:rPr>
          <w:rFonts w:cs="Traditional Arabic" w:hint="cs"/>
          <w:sz w:val="28"/>
          <w:szCs w:val="32"/>
          <w:vertAlign w:val="superscript"/>
          <w:rtl/>
        </w:rPr>
        <w:t xml:space="preserve">( </w:t>
      </w:r>
      <w:r w:rsidRPr="00EC737F">
        <w:rPr>
          <w:rStyle w:val="ab"/>
          <w:rFonts w:cs="Traditional Arabic"/>
          <w:sz w:val="28"/>
          <w:szCs w:val="32"/>
          <w:rtl/>
        </w:rPr>
        <w:footnoteReference w:id="73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يكون مالك العقار المرهون أهلا للتصرف</w:t>
      </w:r>
      <w:r>
        <w:rPr>
          <w:rFonts w:cs="Traditional Arabic" w:hint="cs"/>
          <w:sz w:val="28"/>
          <w:szCs w:val="32"/>
          <w:rtl/>
        </w:rPr>
        <w:t xml:space="preserve"> ،</w:t>
      </w:r>
      <w:r w:rsidRPr="00EC737F">
        <w:rPr>
          <w:rFonts w:cs="Traditional Arabic" w:hint="cs"/>
          <w:sz w:val="28"/>
          <w:szCs w:val="32"/>
          <w:rtl/>
        </w:rPr>
        <w:t xml:space="preserve"> ولكنه ممنوع من التصرف في العقار منعاً اتفاقياً </w:t>
      </w:r>
      <w:r>
        <w:rPr>
          <w:rFonts w:cs="Traditional Arabic" w:hint="cs"/>
          <w:sz w:val="28"/>
          <w:szCs w:val="32"/>
          <w:rtl/>
        </w:rPr>
        <w:t xml:space="preserve">( </w:t>
      </w:r>
      <w:r w:rsidRPr="00EC737F">
        <w:rPr>
          <w:rFonts w:cs="Traditional Arabic" w:hint="cs"/>
          <w:sz w:val="28"/>
          <w:szCs w:val="32"/>
          <w:rtl/>
        </w:rPr>
        <w:t xml:space="preserve">م 823 </w:t>
      </w:r>
      <w:r w:rsidRPr="00EC737F">
        <w:rPr>
          <w:rFonts w:cs="Traditional Arabic"/>
          <w:sz w:val="28"/>
          <w:szCs w:val="32"/>
          <w:rtl/>
        </w:rPr>
        <w:t>–</w:t>
      </w:r>
      <w:r w:rsidRPr="00EC737F">
        <w:rPr>
          <w:rFonts w:cs="Traditional Arabic" w:hint="cs"/>
          <w:sz w:val="28"/>
          <w:szCs w:val="32"/>
          <w:rtl/>
        </w:rPr>
        <w:t xml:space="preserve"> 824 مدني</w:t>
      </w:r>
      <w:r>
        <w:rPr>
          <w:rFonts w:cs="Traditional Arabic" w:hint="cs"/>
          <w:sz w:val="28"/>
          <w:szCs w:val="32"/>
          <w:rtl/>
        </w:rPr>
        <w:t xml:space="preserve"> ) .</w:t>
      </w:r>
      <w:r w:rsidRPr="00EC737F">
        <w:rPr>
          <w:rFonts w:cs="Traditional Arabic" w:hint="cs"/>
          <w:sz w:val="28"/>
          <w:szCs w:val="32"/>
          <w:rtl/>
        </w:rPr>
        <w:t xml:space="preserve"> فإذا تصرف الممنوع من التصرف</w:t>
      </w:r>
      <w:r>
        <w:rPr>
          <w:rFonts w:cs="Traditional Arabic" w:hint="cs"/>
          <w:sz w:val="28"/>
          <w:szCs w:val="32"/>
          <w:rtl/>
        </w:rPr>
        <w:t xml:space="preserve"> ،</w:t>
      </w:r>
      <w:r w:rsidRPr="00EC737F">
        <w:rPr>
          <w:rFonts w:cs="Traditional Arabic" w:hint="cs"/>
          <w:sz w:val="28"/>
          <w:szCs w:val="32"/>
          <w:rtl/>
        </w:rPr>
        <w:t xml:space="preserve"> كمان تصرفه باطلا </w:t>
      </w:r>
      <w:r>
        <w:rPr>
          <w:rFonts w:cs="Traditional Arabic" w:hint="cs"/>
          <w:sz w:val="28"/>
          <w:szCs w:val="32"/>
          <w:rtl/>
        </w:rPr>
        <w:t xml:space="preserve">( </w:t>
      </w:r>
      <w:r w:rsidRPr="00EC737F">
        <w:rPr>
          <w:rFonts w:cs="Traditional Arabic" w:hint="cs"/>
          <w:sz w:val="28"/>
          <w:szCs w:val="32"/>
          <w:rtl/>
        </w:rPr>
        <w:t>م 824 مدني</w:t>
      </w:r>
      <w:r>
        <w:rPr>
          <w:rFonts w:cs="Traditional Arabic" w:hint="cs"/>
          <w:sz w:val="28"/>
          <w:szCs w:val="32"/>
          <w:rtl/>
        </w:rPr>
        <w:t xml:space="preserve"> ) .</w:t>
      </w:r>
      <w:r w:rsidRPr="00EC737F">
        <w:rPr>
          <w:rFonts w:cs="Traditional Arabic" w:hint="cs"/>
          <w:sz w:val="28"/>
          <w:szCs w:val="32"/>
          <w:rtl/>
        </w:rPr>
        <w:t xml:space="preserve"> وعلى ذلك إذا تلقى شخص ملكية عقار بعقد أو وصية</w:t>
      </w:r>
      <w:r>
        <w:rPr>
          <w:rFonts w:cs="Traditional Arabic" w:hint="cs"/>
          <w:sz w:val="28"/>
          <w:szCs w:val="32"/>
          <w:rtl/>
        </w:rPr>
        <w:t xml:space="preserve"> ،</w:t>
      </w:r>
      <w:r w:rsidRPr="00EC737F">
        <w:rPr>
          <w:rFonts w:cs="Traditional Arabic" w:hint="cs"/>
          <w:sz w:val="28"/>
          <w:szCs w:val="32"/>
          <w:rtl/>
        </w:rPr>
        <w:t xml:space="preserve"> ومنع من التصرف لمصلحة المتصرف</w:t>
      </w:r>
      <w:r>
        <w:rPr>
          <w:rFonts w:cs="Traditional Arabic" w:hint="cs"/>
          <w:sz w:val="28"/>
          <w:szCs w:val="32"/>
          <w:rtl/>
        </w:rPr>
        <w:t xml:space="preserve"> ،</w:t>
      </w:r>
      <w:r w:rsidRPr="00EC737F">
        <w:rPr>
          <w:rFonts w:cs="Traditional Arabic" w:hint="cs"/>
          <w:sz w:val="28"/>
          <w:szCs w:val="32"/>
          <w:rtl/>
        </w:rPr>
        <w:t xml:space="preserve"> ومع ذلك رهن العقار رهناً رسمياً</w:t>
      </w:r>
      <w:r>
        <w:rPr>
          <w:rFonts w:cs="Traditional Arabic" w:hint="cs"/>
          <w:sz w:val="28"/>
          <w:szCs w:val="32"/>
          <w:rtl/>
        </w:rPr>
        <w:t xml:space="preserve"> ،</w:t>
      </w:r>
      <w:r w:rsidRPr="00EC737F">
        <w:rPr>
          <w:rFonts w:cs="Traditional Arabic" w:hint="cs"/>
          <w:sz w:val="28"/>
          <w:szCs w:val="32"/>
          <w:rtl/>
        </w:rPr>
        <w:t xml:space="preserve"> كان هذا الرهن باطلا</w:t>
      </w:r>
      <w:r>
        <w:rPr>
          <w:rFonts w:cs="Traditional Arabic" w:hint="cs"/>
          <w:sz w:val="28"/>
          <w:szCs w:val="32"/>
          <w:rtl/>
        </w:rPr>
        <w:t xml:space="preserve"> ،</w:t>
      </w:r>
      <w:r w:rsidRPr="00EC737F">
        <w:rPr>
          <w:rFonts w:cs="Traditional Arabic" w:hint="cs"/>
          <w:sz w:val="28"/>
          <w:szCs w:val="32"/>
          <w:rtl/>
        </w:rPr>
        <w:t xml:space="preserve"> وجاز للمتصرف أن يتمسك ببطلان الرهن</w:t>
      </w:r>
      <w:r>
        <w:rPr>
          <w:rFonts w:cs="Traditional Arabic" w:hint="cs"/>
          <w:sz w:val="28"/>
          <w:szCs w:val="32"/>
          <w:vertAlign w:val="superscript"/>
          <w:rtl/>
        </w:rPr>
        <w:t xml:space="preserve">( </w:t>
      </w:r>
      <w:r w:rsidRPr="00EC737F">
        <w:rPr>
          <w:rStyle w:val="ab"/>
          <w:rFonts w:cs="Traditional Arabic"/>
          <w:sz w:val="28"/>
          <w:szCs w:val="32"/>
          <w:rtl/>
        </w:rPr>
        <w:footnoteReference w:id="73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كذلك يمنع المفلس من التصرف</w:t>
      </w:r>
      <w:r>
        <w:rPr>
          <w:rFonts w:cs="Traditional Arabic" w:hint="cs"/>
          <w:sz w:val="28"/>
          <w:szCs w:val="32"/>
          <w:rtl/>
        </w:rPr>
        <w:t xml:space="preserve"> ،</w:t>
      </w:r>
      <w:r w:rsidRPr="00EC737F">
        <w:rPr>
          <w:rFonts w:cs="Traditional Arabic" w:hint="cs"/>
          <w:sz w:val="28"/>
          <w:szCs w:val="32"/>
          <w:rtl/>
        </w:rPr>
        <w:t xml:space="preserve"> وقد قضت المادة 227 والمادة 236 من التقنين التجاري على </w:t>
      </w:r>
      <w:r w:rsidRPr="00EC737F">
        <w:rPr>
          <w:rFonts w:cs="Traditional Arabic" w:hint="cs"/>
          <w:sz w:val="28"/>
          <w:szCs w:val="32"/>
          <w:rtl/>
        </w:rPr>
        <w:lastRenderedPageBreak/>
        <w:t>أن يعتبر غير نافذ في حق مجموعة الدائنين ما يصدر من المدين المفلس</w:t>
      </w:r>
      <w:r>
        <w:rPr>
          <w:rFonts w:cs="Traditional Arabic" w:hint="cs"/>
          <w:sz w:val="28"/>
          <w:szCs w:val="32"/>
          <w:rtl/>
        </w:rPr>
        <w:t xml:space="preserve"> ،</w:t>
      </w:r>
      <w:r w:rsidRPr="00EC737F">
        <w:rPr>
          <w:rFonts w:cs="Traditional Arabic" w:hint="cs"/>
          <w:sz w:val="28"/>
          <w:szCs w:val="32"/>
          <w:rtl/>
        </w:rPr>
        <w:t xml:space="preserve"> ابتداء من التاريخ الذي تحدده المحكمة باعتباره تاريخ التوقف عن الوفاء أو في عشرة الأيام السابقة على هذا التاريخ</w:t>
      </w:r>
      <w:r>
        <w:rPr>
          <w:rFonts w:cs="Traditional Arabic" w:hint="cs"/>
          <w:sz w:val="28"/>
          <w:szCs w:val="32"/>
          <w:rtl/>
        </w:rPr>
        <w:t xml:space="preserve"> ،</w:t>
      </w:r>
      <w:r w:rsidRPr="00EC737F">
        <w:rPr>
          <w:rFonts w:cs="Traditional Arabic" w:hint="cs"/>
          <w:sz w:val="28"/>
          <w:szCs w:val="32"/>
          <w:rtl/>
        </w:rPr>
        <w:t xml:space="preserve"> من تصرفات نقالة للملكية دون مقابل ومن وفاء ومن رهن تقرر ضماناً لديون سابقة</w:t>
      </w:r>
      <w:r>
        <w:rPr>
          <w:rFonts w:cs="Traditional Arabic" w:hint="cs"/>
          <w:sz w:val="28"/>
          <w:szCs w:val="32"/>
          <w:rtl/>
        </w:rPr>
        <w:t xml:space="preserve"> .</w:t>
      </w:r>
      <w:r w:rsidRPr="00EC737F">
        <w:rPr>
          <w:rFonts w:cs="Traditional Arabic" w:hint="cs"/>
          <w:sz w:val="28"/>
          <w:szCs w:val="32"/>
          <w:rtl/>
        </w:rPr>
        <w:t xml:space="preserve"> $340 فإذا رهن المفلس</w:t>
      </w:r>
      <w:r>
        <w:rPr>
          <w:rFonts w:cs="Traditional Arabic" w:hint="cs"/>
          <w:sz w:val="28"/>
          <w:szCs w:val="32"/>
          <w:rtl/>
        </w:rPr>
        <w:t xml:space="preserve"> ،</w:t>
      </w:r>
      <w:r w:rsidRPr="00EC737F">
        <w:rPr>
          <w:rFonts w:cs="Traditional Arabic" w:hint="cs"/>
          <w:sz w:val="28"/>
          <w:szCs w:val="32"/>
          <w:rtl/>
        </w:rPr>
        <w:t xml:space="preserve"> في المدة سالفة الذكر عقاراً له رهناً رسمياً</w:t>
      </w:r>
      <w:r>
        <w:rPr>
          <w:rFonts w:cs="Traditional Arabic" w:hint="cs"/>
          <w:sz w:val="28"/>
          <w:szCs w:val="32"/>
          <w:rtl/>
        </w:rPr>
        <w:t xml:space="preserve"> ،</w:t>
      </w:r>
      <w:r w:rsidRPr="00EC737F">
        <w:rPr>
          <w:rFonts w:cs="Traditional Arabic" w:hint="cs"/>
          <w:sz w:val="28"/>
          <w:szCs w:val="32"/>
          <w:rtl/>
        </w:rPr>
        <w:t xml:space="preserve"> لم يكن رهناً باطلاً</w:t>
      </w:r>
      <w:r>
        <w:rPr>
          <w:rFonts w:cs="Traditional Arabic" w:hint="cs"/>
          <w:sz w:val="28"/>
          <w:szCs w:val="32"/>
          <w:rtl/>
        </w:rPr>
        <w:t xml:space="preserve"> ،</w:t>
      </w:r>
      <w:r w:rsidRPr="00EC737F">
        <w:rPr>
          <w:rFonts w:cs="Traditional Arabic" w:hint="cs"/>
          <w:sz w:val="28"/>
          <w:szCs w:val="32"/>
          <w:rtl/>
        </w:rPr>
        <w:t xml:space="preserve"> ولكنه لا ينفذ في حق مجموعة الدائنين</w:t>
      </w:r>
      <w:r>
        <w:rPr>
          <w:rFonts w:cs="Traditional Arabic" w:hint="cs"/>
          <w:sz w:val="28"/>
          <w:szCs w:val="32"/>
          <w:rtl/>
        </w:rPr>
        <w:t xml:space="preserve"> .</w:t>
      </w:r>
      <w:r w:rsidRPr="00EC737F">
        <w:rPr>
          <w:rFonts w:cs="Traditional Arabic" w:hint="cs"/>
          <w:sz w:val="28"/>
          <w:szCs w:val="32"/>
          <w:rtl/>
        </w:rPr>
        <w:t xml:space="preserve"> فإذا استوفى هؤلاء حقوقهم أو وقع صلح عليها</w:t>
      </w:r>
      <w:r>
        <w:rPr>
          <w:rFonts w:cs="Traditional Arabic" w:hint="cs"/>
          <w:sz w:val="28"/>
          <w:szCs w:val="32"/>
          <w:rtl/>
        </w:rPr>
        <w:t xml:space="preserve"> ،</w:t>
      </w:r>
      <w:r w:rsidRPr="00EC737F">
        <w:rPr>
          <w:rFonts w:cs="Traditional Arabic" w:hint="cs"/>
          <w:sz w:val="28"/>
          <w:szCs w:val="32"/>
          <w:rtl/>
        </w:rPr>
        <w:t xml:space="preserve"> فإن رهن الدائن المرتهن ينفذ في حق من يستجد من الدائنين</w:t>
      </w:r>
      <w:r>
        <w:rPr>
          <w:rFonts w:cs="Traditional Arabic" w:hint="cs"/>
          <w:sz w:val="28"/>
          <w:szCs w:val="32"/>
          <w:vertAlign w:val="superscript"/>
          <w:rtl/>
        </w:rPr>
        <w:t xml:space="preserve">( </w:t>
      </w:r>
      <w:r w:rsidRPr="00EC737F">
        <w:rPr>
          <w:rStyle w:val="ab"/>
          <w:rFonts w:cs="Traditional Arabic"/>
          <w:sz w:val="28"/>
          <w:szCs w:val="32"/>
          <w:rtl/>
        </w:rPr>
        <w:footnoteReference w:id="73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وكالمفلس من شهر إعساره</w:t>
      </w:r>
      <w:r>
        <w:rPr>
          <w:rFonts w:cs="Traditional Arabic" w:hint="cs"/>
          <w:sz w:val="28"/>
          <w:szCs w:val="32"/>
          <w:rtl/>
        </w:rPr>
        <w:t xml:space="preserve"> ،</w:t>
      </w:r>
      <w:r w:rsidRPr="00EC737F">
        <w:rPr>
          <w:rFonts w:cs="Traditional Arabic" w:hint="cs"/>
          <w:sz w:val="28"/>
          <w:szCs w:val="32"/>
          <w:rtl/>
        </w:rPr>
        <w:t xml:space="preserve"> وقد نصت المادة 257 مدني على أنه "متى سجلت صحيفة دعوى الإعسار</w:t>
      </w:r>
      <w:r>
        <w:rPr>
          <w:rFonts w:cs="Traditional Arabic" w:hint="cs"/>
          <w:sz w:val="28"/>
          <w:szCs w:val="32"/>
          <w:rtl/>
        </w:rPr>
        <w:t xml:space="preserve"> ،</w:t>
      </w:r>
      <w:r w:rsidRPr="00EC737F">
        <w:rPr>
          <w:rFonts w:cs="Traditional Arabic" w:hint="cs"/>
          <w:sz w:val="28"/>
          <w:szCs w:val="32"/>
          <w:rtl/>
        </w:rPr>
        <w:t xml:space="preserve"> فلا يسري في حق الدائنين أي تصرف للمدين يكون من شأنه أن ينقص من حقوقه أو يزيد في التزاماته</w:t>
      </w:r>
      <w:r>
        <w:rPr>
          <w:rFonts w:cs="Traditional Arabic" w:hint="cs"/>
          <w:sz w:val="28"/>
          <w:szCs w:val="32"/>
          <w:rtl/>
        </w:rPr>
        <w:t xml:space="preserve"> ،</w:t>
      </w:r>
      <w:r w:rsidRPr="00EC737F">
        <w:rPr>
          <w:rFonts w:cs="Traditional Arabic" w:hint="cs"/>
          <w:sz w:val="28"/>
          <w:szCs w:val="32"/>
          <w:rtl/>
        </w:rPr>
        <w:t xml:space="preserve"> كما لا يسري في حقهم أي وفاء يقوم به المدين"</w:t>
      </w:r>
      <w:r>
        <w:rPr>
          <w:rFonts w:cs="Traditional Arabic" w:hint="cs"/>
          <w:sz w:val="28"/>
          <w:szCs w:val="32"/>
          <w:rtl/>
        </w:rPr>
        <w:t xml:space="preserve"> .</w:t>
      </w:r>
      <w:r w:rsidRPr="00EC737F">
        <w:rPr>
          <w:rFonts w:cs="Traditional Arabic" w:hint="cs"/>
          <w:sz w:val="28"/>
          <w:szCs w:val="32"/>
          <w:rtl/>
        </w:rPr>
        <w:t xml:space="preserve"> وهذا النص يفهم منه أن من شهر إعساره ممنوع من أي تصرف ينقص من حقوقه أو يزيد في التزاماته</w:t>
      </w:r>
      <w:r>
        <w:rPr>
          <w:rFonts w:cs="Traditional Arabic" w:hint="cs"/>
          <w:sz w:val="28"/>
          <w:szCs w:val="32"/>
          <w:rtl/>
        </w:rPr>
        <w:t xml:space="preserve"> ،</w:t>
      </w:r>
      <w:r w:rsidRPr="00EC737F">
        <w:rPr>
          <w:rFonts w:cs="Traditional Arabic" w:hint="cs"/>
          <w:sz w:val="28"/>
          <w:szCs w:val="32"/>
          <w:rtl/>
        </w:rPr>
        <w:t xml:space="preserve"> فيدخل في ذلك الرهن الرسمي</w:t>
      </w:r>
      <w:r>
        <w:rPr>
          <w:rFonts w:cs="Traditional Arabic" w:hint="cs"/>
          <w:sz w:val="28"/>
          <w:szCs w:val="32"/>
          <w:rtl/>
        </w:rPr>
        <w:t xml:space="preserve"> .</w:t>
      </w:r>
      <w:r w:rsidRPr="00EC737F">
        <w:rPr>
          <w:rFonts w:cs="Traditional Arabic" w:hint="cs"/>
          <w:sz w:val="28"/>
          <w:szCs w:val="32"/>
          <w:rtl/>
        </w:rPr>
        <w:t xml:space="preserve"> فإذا سجلت صحيفة دعوى الإعسار</w:t>
      </w:r>
      <w:r>
        <w:rPr>
          <w:rFonts w:cs="Traditional Arabic" w:hint="cs"/>
          <w:sz w:val="28"/>
          <w:szCs w:val="32"/>
          <w:rtl/>
        </w:rPr>
        <w:t xml:space="preserve"> ،</w:t>
      </w:r>
      <w:r w:rsidRPr="00EC737F">
        <w:rPr>
          <w:rFonts w:cs="Traditional Arabic" w:hint="cs"/>
          <w:sz w:val="28"/>
          <w:szCs w:val="32"/>
          <w:rtl/>
        </w:rPr>
        <w:t xml:space="preserve"> ولجأ المدين الذي شهر إعساره بعد تسجيل صحيفة الدعوى إلى رهن عقار له</w:t>
      </w:r>
      <w:r>
        <w:rPr>
          <w:rFonts w:cs="Traditional Arabic" w:hint="cs"/>
          <w:sz w:val="28"/>
          <w:szCs w:val="32"/>
          <w:rtl/>
        </w:rPr>
        <w:t xml:space="preserve"> ،</w:t>
      </w:r>
      <w:r w:rsidRPr="00EC737F">
        <w:rPr>
          <w:rFonts w:cs="Traditional Arabic" w:hint="cs"/>
          <w:sz w:val="28"/>
          <w:szCs w:val="32"/>
          <w:rtl/>
        </w:rPr>
        <w:t xml:space="preserve"> لم يسر هذا الرهن في حق الدائنين السابقين على شهر الإعسار</w:t>
      </w:r>
      <w:r>
        <w:rPr>
          <w:rFonts w:cs="Traditional Arabic" w:hint="cs"/>
          <w:sz w:val="28"/>
          <w:szCs w:val="32"/>
          <w:rtl/>
        </w:rPr>
        <w:t xml:space="preserve"> .</w:t>
      </w:r>
      <w:r w:rsidRPr="00EC737F">
        <w:rPr>
          <w:rFonts w:cs="Traditional Arabic" w:hint="cs"/>
          <w:sz w:val="28"/>
          <w:szCs w:val="32"/>
          <w:rtl/>
        </w:rPr>
        <w:t xml:space="preserve"> ولكن ذلك لا يمنع من نفاذ الرهن في حق الدائنين الذين يستجدون بعد انتهاء حالة الإعسار</w:t>
      </w:r>
      <w:r>
        <w:rPr>
          <w:rFonts w:cs="Traditional Arabic" w:hint="cs"/>
          <w:sz w:val="28"/>
          <w:szCs w:val="32"/>
          <w:vertAlign w:val="superscript"/>
          <w:rtl/>
        </w:rPr>
        <w:t xml:space="preserve">( </w:t>
      </w:r>
      <w:r w:rsidRPr="00EC737F">
        <w:rPr>
          <w:rStyle w:val="ab"/>
          <w:rFonts w:cs="Traditional Arabic"/>
          <w:sz w:val="28"/>
          <w:szCs w:val="32"/>
          <w:rtl/>
        </w:rPr>
        <w:footnoteReference w:id="73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151- أهلية الدائن المرتهن</w:t>
      </w:r>
      <w:r>
        <w:rPr>
          <w:rFonts w:cs="Traditional Arabic" w:hint="cs"/>
          <w:sz w:val="28"/>
          <w:szCs w:val="32"/>
          <w:rtl/>
        </w:rPr>
        <w:t xml:space="preserve"> :</w:t>
      </w:r>
      <w:r w:rsidRPr="00EC737F">
        <w:rPr>
          <w:rFonts w:cs="Traditional Arabic" w:hint="cs"/>
          <w:sz w:val="28"/>
          <w:szCs w:val="32"/>
          <w:rtl/>
        </w:rPr>
        <w:t xml:space="preserve"> والدائن المرتهن لا يلتزم</w:t>
      </w:r>
      <w:r>
        <w:rPr>
          <w:rFonts w:cs="Traditional Arabic" w:hint="cs"/>
          <w:sz w:val="28"/>
          <w:szCs w:val="32"/>
          <w:rtl/>
        </w:rPr>
        <w:t xml:space="preserve"> ،</w:t>
      </w:r>
      <w:r w:rsidRPr="00EC737F">
        <w:rPr>
          <w:rFonts w:cs="Traditional Arabic" w:hint="cs"/>
          <w:sz w:val="28"/>
          <w:szCs w:val="32"/>
          <w:rtl/>
        </w:rPr>
        <w:t xml:space="preserve"> فإن الرهن الرسمي يكون عادة ملزماً لجانب واحد هو جانب الراهن</w:t>
      </w:r>
      <w:r>
        <w:rPr>
          <w:rFonts w:cs="Traditional Arabic" w:hint="cs"/>
          <w:sz w:val="28"/>
          <w:szCs w:val="32"/>
          <w:rtl/>
        </w:rPr>
        <w:t xml:space="preserve"> .</w:t>
      </w:r>
      <w:r w:rsidRPr="00EC737F">
        <w:rPr>
          <w:rFonts w:cs="Traditional Arabic" w:hint="cs"/>
          <w:sz w:val="28"/>
          <w:szCs w:val="32"/>
          <w:rtl/>
        </w:rPr>
        <w:t xml:space="preserve"> لذلك يكون الرهن الرسمي</w:t>
      </w:r>
      <w:r>
        <w:rPr>
          <w:rFonts w:cs="Traditional Arabic" w:hint="cs"/>
          <w:sz w:val="28"/>
          <w:szCs w:val="32"/>
          <w:rtl/>
        </w:rPr>
        <w:t xml:space="preserve"> ،</w:t>
      </w:r>
      <w:r w:rsidRPr="00EC737F">
        <w:rPr>
          <w:rFonts w:cs="Traditional Arabic" w:hint="cs"/>
          <w:sz w:val="28"/>
          <w:szCs w:val="32"/>
          <w:rtl/>
        </w:rPr>
        <w:t xml:space="preserve"> بالنسبة إلى الدائن المرتهن</w:t>
      </w:r>
      <w:r>
        <w:rPr>
          <w:rFonts w:cs="Traditional Arabic" w:hint="cs"/>
          <w:sz w:val="28"/>
          <w:szCs w:val="32"/>
          <w:rtl/>
        </w:rPr>
        <w:t xml:space="preserve"> ،</w:t>
      </w:r>
      <w:r w:rsidRPr="00EC737F">
        <w:rPr>
          <w:rFonts w:cs="Traditional Arabic" w:hint="cs"/>
          <w:sz w:val="28"/>
          <w:szCs w:val="32"/>
          <w:rtl/>
        </w:rPr>
        <w:t xml:space="preserve"> نافعاً نفعاً محضاً</w:t>
      </w:r>
      <w:r>
        <w:rPr>
          <w:rFonts w:cs="Traditional Arabic" w:hint="cs"/>
          <w:sz w:val="28"/>
          <w:szCs w:val="32"/>
          <w:rtl/>
        </w:rPr>
        <w:t xml:space="preserve"> .</w:t>
      </w:r>
      <w:r w:rsidRPr="00EC737F">
        <w:rPr>
          <w:rFonts w:cs="Traditional Arabic" w:hint="cs"/>
          <w:sz w:val="28"/>
          <w:szCs w:val="32"/>
          <w:rtl/>
        </w:rPr>
        <w:t xml:space="preserve"> فلا تلزم في الدائن المرتهن أهلية التصرف</w:t>
      </w:r>
      <w:r>
        <w:rPr>
          <w:rFonts w:cs="Traditional Arabic" w:hint="cs"/>
          <w:sz w:val="28"/>
          <w:szCs w:val="32"/>
          <w:rtl/>
        </w:rPr>
        <w:t xml:space="preserve"> ،</w:t>
      </w:r>
      <w:r w:rsidRPr="00EC737F">
        <w:rPr>
          <w:rFonts w:cs="Traditional Arabic" w:hint="cs"/>
          <w:sz w:val="28"/>
          <w:szCs w:val="32"/>
          <w:rtl/>
        </w:rPr>
        <w:t xml:space="preserve"> كما تلزم هذه الأهلية في المدين الراهن بصريح نص الفقرة من المادة 1032 مدني</w:t>
      </w:r>
      <w:r>
        <w:rPr>
          <w:rFonts w:cs="Traditional Arabic" w:hint="cs"/>
          <w:sz w:val="28"/>
          <w:szCs w:val="32"/>
          <w:rtl/>
        </w:rPr>
        <w:t xml:space="preserve"> .</w:t>
      </w:r>
      <w:r w:rsidRPr="00EC737F">
        <w:rPr>
          <w:rFonts w:cs="Traditional Arabic" w:hint="cs"/>
          <w:sz w:val="28"/>
          <w:szCs w:val="32"/>
          <w:rtl/>
        </w:rPr>
        <w:t xml:space="preserve"> فيجوز أن يكون الدائن المرتهن بالغاً سن الرشد غير محجور عليه</w:t>
      </w:r>
      <w:r>
        <w:rPr>
          <w:rFonts w:cs="Traditional Arabic" w:hint="cs"/>
          <w:sz w:val="28"/>
          <w:szCs w:val="32"/>
          <w:rtl/>
        </w:rPr>
        <w:t xml:space="preserve"> ،</w:t>
      </w:r>
      <w:r w:rsidRPr="00EC737F">
        <w:rPr>
          <w:rFonts w:cs="Traditional Arabic" w:hint="cs"/>
          <w:sz w:val="28"/>
          <w:szCs w:val="32"/>
          <w:rtl/>
        </w:rPr>
        <w:t xml:space="preserve"> كما يجوز أن يكون قاصراً ما دام متوافراً على التمييز حتى يستطيع العقاد</w:t>
      </w:r>
      <w:r>
        <w:rPr>
          <w:rFonts w:cs="Traditional Arabic" w:hint="cs"/>
          <w:sz w:val="28"/>
          <w:szCs w:val="32"/>
          <w:rtl/>
        </w:rPr>
        <w:t xml:space="preserve"> ،</w:t>
      </w:r>
      <w:r w:rsidRPr="00EC737F">
        <w:rPr>
          <w:rFonts w:cs="Traditional Arabic" w:hint="cs"/>
          <w:sz w:val="28"/>
          <w:szCs w:val="32"/>
          <w:rtl/>
        </w:rPr>
        <w:t xml:space="preserve"> ويجوز أن يكون محجوراص عليه لسفه أو غفلة لأنه يكون في هذه الحالة متوافراً على التمييز</w:t>
      </w:r>
      <w:r>
        <w:rPr>
          <w:rFonts w:cs="Traditional Arabic" w:hint="cs"/>
          <w:sz w:val="28"/>
          <w:szCs w:val="32"/>
          <w:rtl/>
        </w:rPr>
        <w:t xml:space="preserve"> .</w:t>
      </w:r>
      <w:r w:rsidRPr="00EC737F">
        <w:rPr>
          <w:rFonts w:cs="Traditional Arabic" w:hint="cs"/>
          <w:sz w:val="28"/>
          <w:szCs w:val="32"/>
          <w:rtl/>
        </w:rPr>
        <w:t xml:space="preserve"> فأهلية التصرف غير لازمة في الدائن المرتهن</w:t>
      </w:r>
      <w:r>
        <w:rPr>
          <w:rFonts w:cs="Traditional Arabic" w:hint="cs"/>
          <w:sz w:val="28"/>
          <w:szCs w:val="32"/>
          <w:rtl/>
        </w:rPr>
        <w:t xml:space="preserve"> ،</w:t>
      </w:r>
      <w:r w:rsidRPr="00EC737F">
        <w:rPr>
          <w:rFonts w:cs="Traditional Arabic" w:hint="cs"/>
          <w:sz w:val="28"/>
          <w:szCs w:val="32"/>
          <w:rtl/>
        </w:rPr>
        <w:t xml:space="preserve"> وتكفي أهلية التعاقد</w:t>
      </w:r>
      <w:r>
        <w:rPr>
          <w:rFonts w:cs="Traditional Arabic" w:hint="cs"/>
          <w:sz w:val="28"/>
          <w:szCs w:val="32"/>
          <w:vertAlign w:val="superscript"/>
          <w:rtl/>
        </w:rPr>
        <w:t xml:space="preserve">( </w:t>
      </w:r>
      <w:r w:rsidRPr="00EC737F">
        <w:rPr>
          <w:rStyle w:val="ab"/>
          <w:rFonts w:cs="Traditional Arabic"/>
          <w:sz w:val="28"/>
          <w:szCs w:val="32"/>
          <w:rtl/>
        </w:rPr>
        <w:footnoteReference w:id="74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$341 وهناك رأي يذهب إلى أن الرهن الرسمي</w:t>
      </w:r>
      <w:r>
        <w:rPr>
          <w:rFonts w:cs="Traditional Arabic" w:hint="cs"/>
          <w:sz w:val="28"/>
          <w:szCs w:val="32"/>
          <w:rtl/>
        </w:rPr>
        <w:t xml:space="preserve"> ،</w:t>
      </w:r>
      <w:r w:rsidRPr="00EC737F">
        <w:rPr>
          <w:rFonts w:cs="Traditional Arabic" w:hint="cs"/>
          <w:sz w:val="28"/>
          <w:szCs w:val="32"/>
          <w:rtl/>
        </w:rPr>
        <w:t xml:space="preserve"> بالنسبة إلى الدائن المرتهن</w:t>
      </w:r>
      <w:r>
        <w:rPr>
          <w:rFonts w:cs="Traditional Arabic" w:hint="cs"/>
          <w:sz w:val="28"/>
          <w:szCs w:val="32"/>
          <w:rtl/>
        </w:rPr>
        <w:t xml:space="preserve"> ،</w:t>
      </w:r>
      <w:r w:rsidRPr="00EC737F">
        <w:rPr>
          <w:rFonts w:cs="Traditional Arabic" w:hint="cs"/>
          <w:sz w:val="28"/>
          <w:szCs w:val="32"/>
          <w:rtl/>
        </w:rPr>
        <w:t xml:space="preserve"> يعتبر من أعمال التصرف</w:t>
      </w:r>
      <w:r>
        <w:rPr>
          <w:rFonts w:cs="Traditional Arabic" w:hint="cs"/>
          <w:sz w:val="28"/>
          <w:szCs w:val="32"/>
          <w:rtl/>
        </w:rPr>
        <w:t xml:space="preserve"> ،</w:t>
      </w:r>
      <w:r w:rsidRPr="00EC737F">
        <w:rPr>
          <w:rFonts w:cs="Traditional Arabic" w:hint="cs"/>
          <w:sz w:val="28"/>
          <w:szCs w:val="32"/>
          <w:rtl/>
        </w:rPr>
        <w:t xml:space="preserve"> لأنه يتضمن استيفاء الدين كرهن الحيازة</w:t>
      </w:r>
      <w:r>
        <w:rPr>
          <w:rFonts w:cs="Traditional Arabic" w:hint="cs"/>
          <w:sz w:val="28"/>
          <w:szCs w:val="32"/>
          <w:rtl/>
        </w:rPr>
        <w:t xml:space="preserve"> ،</w:t>
      </w:r>
      <w:r w:rsidRPr="00EC737F">
        <w:rPr>
          <w:rFonts w:cs="Traditional Arabic" w:hint="cs"/>
          <w:sz w:val="28"/>
          <w:szCs w:val="32"/>
          <w:rtl/>
        </w:rPr>
        <w:t xml:space="preserve"> لذلك يجب في الدائن المرتهن أن يكون اهلا للتصرف</w:t>
      </w:r>
      <w:r>
        <w:rPr>
          <w:rFonts w:cs="Traditional Arabic" w:hint="cs"/>
          <w:sz w:val="28"/>
          <w:szCs w:val="32"/>
          <w:rtl/>
        </w:rPr>
        <w:t xml:space="preserve"> ،</w:t>
      </w:r>
      <w:r w:rsidRPr="00EC737F">
        <w:rPr>
          <w:rFonts w:cs="Traditional Arabic" w:hint="cs"/>
          <w:sz w:val="28"/>
          <w:szCs w:val="32"/>
          <w:rtl/>
        </w:rPr>
        <w:t xml:space="preserve"> فلا يجوز أن يكون قاصراً أو محجوراً عليه لسفه أو غفلة</w:t>
      </w:r>
      <w:r>
        <w:rPr>
          <w:rFonts w:cs="Traditional Arabic" w:hint="cs"/>
          <w:sz w:val="28"/>
          <w:szCs w:val="32"/>
          <w:rtl/>
        </w:rPr>
        <w:t xml:space="preserve"> ،</w:t>
      </w:r>
      <w:r w:rsidRPr="00EC737F">
        <w:rPr>
          <w:rFonts w:cs="Traditional Arabic" w:hint="cs"/>
          <w:sz w:val="28"/>
          <w:szCs w:val="32"/>
          <w:rtl/>
        </w:rPr>
        <w:t xml:space="preserve"> بل يجب أن يكون بالغاً سن الرشد غير محجور عليه</w:t>
      </w:r>
      <w:r>
        <w:rPr>
          <w:rFonts w:cs="Traditional Arabic" w:hint="cs"/>
          <w:sz w:val="28"/>
          <w:szCs w:val="32"/>
          <w:rtl/>
        </w:rPr>
        <w:t xml:space="preserve"> .</w:t>
      </w:r>
      <w:r w:rsidRPr="00EC737F">
        <w:rPr>
          <w:rFonts w:cs="Traditional Arabic" w:hint="cs"/>
          <w:sz w:val="28"/>
          <w:szCs w:val="32"/>
          <w:rtl/>
        </w:rPr>
        <w:t xml:space="preserve"> وهكذا قرر فقهاء الشريعة الإسلامية في رهن الحيازة</w:t>
      </w:r>
      <w:r>
        <w:rPr>
          <w:rFonts w:cs="Traditional Arabic" w:hint="cs"/>
          <w:sz w:val="28"/>
          <w:szCs w:val="32"/>
          <w:rtl/>
        </w:rPr>
        <w:t xml:space="preserve"> ،</w:t>
      </w:r>
      <w:r w:rsidRPr="00EC737F">
        <w:rPr>
          <w:rFonts w:cs="Traditional Arabic" w:hint="cs"/>
          <w:sz w:val="28"/>
          <w:szCs w:val="32"/>
          <w:rtl/>
        </w:rPr>
        <w:t xml:space="preserve"> والرهن الرسمي كرهن الحيازة من حيث الأهلية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74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ويزيد أحد أنصار هذا الرأي أنه قد يقبل القاصر أو المحجور عليه لسفه أو غفلة رهناً رسمياً لا يفي بضمان الدين إذا كان الدين قد وجد صحيحاً قبل الرهن واستقل القاصر أو المحجور عليه بعقد الرهن الرسمي</w:t>
      </w:r>
      <w:r>
        <w:rPr>
          <w:rFonts w:cs="Traditional Arabic" w:hint="cs"/>
          <w:sz w:val="28"/>
          <w:szCs w:val="32"/>
          <w:rtl/>
        </w:rPr>
        <w:t xml:space="preserve"> ،</w:t>
      </w:r>
      <w:r w:rsidRPr="00EC737F">
        <w:rPr>
          <w:rFonts w:cs="Traditional Arabic" w:hint="cs"/>
          <w:sz w:val="28"/>
          <w:szCs w:val="32"/>
          <w:rtl/>
        </w:rPr>
        <w:t xml:space="preserve"> فيجب أن يكون الرهن الرسمي في هذه الحالة قابلا للإبطال</w:t>
      </w:r>
      <w:r>
        <w:rPr>
          <w:rFonts w:cs="Traditional Arabic" w:hint="cs"/>
          <w:sz w:val="28"/>
          <w:szCs w:val="32"/>
          <w:vertAlign w:val="superscript"/>
          <w:rtl/>
        </w:rPr>
        <w:t xml:space="preserve">( </w:t>
      </w:r>
      <w:r w:rsidRPr="00EC737F">
        <w:rPr>
          <w:rStyle w:val="ab"/>
          <w:rFonts w:cs="Traditional Arabic"/>
          <w:sz w:val="28"/>
          <w:szCs w:val="32"/>
          <w:rtl/>
        </w:rPr>
        <w:footnoteReference w:id="74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والظاهر أن الرأي الأول</w:t>
      </w:r>
      <w:r>
        <w:rPr>
          <w:rFonts w:cs="Traditional Arabic" w:hint="cs"/>
          <w:sz w:val="28"/>
          <w:szCs w:val="32"/>
          <w:rtl/>
        </w:rPr>
        <w:t xml:space="preserve"> ،</w:t>
      </w:r>
      <w:r w:rsidRPr="00EC737F">
        <w:rPr>
          <w:rFonts w:cs="Traditional Arabic" w:hint="cs"/>
          <w:sz w:val="28"/>
          <w:szCs w:val="32"/>
          <w:rtl/>
        </w:rPr>
        <w:t xml:space="preserve"> وهو الرأي السائد</w:t>
      </w:r>
      <w:r>
        <w:rPr>
          <w:rFonts w:cs="Traditional Arabic" w:hint="cs"/>
          <w:sz w:val="28"/>
          <w:szCs w:val="32"/>
          <w:rtl/>
        </w:rPr>
        <w:t xml:space="preserve"> ،</w:t>
      </w:r>
      <w:r w:rsidRPr="00EC737F">
        <w:rPr>
          <w:rFonts w:cs="Traditional Arabic" w:hint="cs"/>
          <w:sz w:val="28"/>
          <w:szCs w:val="32"/>
          <w:rtl/>
        </w:rPr>
        <w:t xml:space="preserve"> هو الرأي الصحيح</w:t>
      </w:r>
      <w:r>
        <w:rPr>
          <w:rFonts w:cs="Traditional Arabic" w:hint="cs"/>
          <w:sz w:val="28"/>
          <w:szCs w:val="32"/>
          <w:rtl/>
        </w:rPr>
        <w:t xml:space="preserve"> .</w:t>
      </w:r>
      <w:r w:rsidRPr="00EC737F">
        <w:rPr>
          <w:rFonts w:cs="Traditional Arabic" w:hint="cs"/>
          <w:sz w:val="28"/>
          <w:szCs w:val="32"/>
          <w:rtl/>
        </w:rPr>
        <w:t xml:space="preserve"> ذل أن الرهن الرسمي لا يتضمن استيفاء الدين وإنما هو عقد استيثاق للدين يضمن الوفاء به</w:t>
      </w:r>
      <w:r>
        <w:rPr>
          <w:rFonts w:cs="Traditional Arabic" w:hint="cs"/>
          <w:sz w:val="28"/>
          <w:szCs w:val="32"/>
          <w:rtl/>
        </w:rPr>
        <w:t xml:space="preserve"> ،</w:t>
      </w:r>
      <w:r w:rsidRPr="00EC737F">
        <w:rPr>
          <w:rFonts w:cs="Traditional Arabic" w:hint="cs"/>
          <w:sz w:val="28"/>
          <w:szCs w:val="32"/>
          <w:rtl/>
        </w:rPr>
        <w:t xml:space="preserve"> فليس هو إذن من أعمال التصرف بالنسبة إلى الدائن المرتهن</w:t>
      </w:r>
      <w:r>
        <w:rPr>
          <w:rFonts w:cs="Traditional Arabic" w:hint="cs"/>
          <w:sz w:val="28"/>
          <w:szCs w:val="32"/>
          <w:rtl/>
        </w:rPr>
        <w:t xml:space="preserve"> .</w:t>
      </w:r>
      <w:r w:rsidRPr="00EC737F">
        <w:rPr>
          <w:rFonts w:cs="Traditional Arabic" w:hint="cs"/>
          <w:sz w:val="28"/>
          <w:szCs w:val="32"/>
          <w:rtl/>
        </w:rPr>
        <w:t xml:space="preserve"> ولم تعرف الشريعة الإسلامية  الرهن الرسمي كما عرفت رهن الحيازة</w:t>
      </w:r>
      <w:r>
        <w:rPr>
          <w:rFonts w:cs="Traditional Arabic" w:hint="cs"/>
          <w:sz w:val="28"/>
          <w:szCs w:val="32"/>
          <w:rtl/>
        </w:rPr>
        <w:t xml:space="preserve"> ،</w:t>
      </w:r>
      <w:r w:rsidRPr="00EC737F">
        <w:rPr>
          <w:rFonts w:cs="Traditional Arabic" w:hint="cs"/>
          <w:sz w:val="28"/>
          <w:szCs w:val="32"/>
          <w:rtl/>
        </w:rPr>
        <w:t xml:space="preserve"> لذلك لا نلتجئ إلى الشريعة الإسلامية في هذه المسألة</w:t>
      </w:r>
      <w:r>
        <w:rPr>
          <w:rFonts w:cs="Traditional Arabic" w:hint="cs"/>
          <w:sz w:val="28"/>
          <w:szCs w:val="32"/>
          <w:rtl/>
        </w:rPr>
        <w:t xml:space="preserve"> .</w:t>
      </w:r>
      <w:r w:rsidRPr="00EC737F">
        <w:rPr>
          <w:rFonts w:cs="Traditional Arabic" w:hint="cs"/>
          <w:sz w:val="28"/>
          <w:szCs w:val="32"/>
          <w:rtl/>
        </w:rPr>
        <w:t xml:space="preserve"> وإذا قبل الدائن الرهن الرسمي الذي لا يفي بضمان الدين</w:t>
      </w:r>
      <w:r>
        <w:rPr>
          <w:rFonts w:cs="Traditional Arabic" w:hint="cs"/>
          <w:sz w:val="28"/>
          <w:szCs w:val="32"/>
          <w:rtl/>
        </w:rPr>
        <w:t xml:space="preserve"> ،</w:t>
      </w:r>
      <w:r w:rsidRPr="00EC737F">
        <w:rPr>
          <w:rFonts w:cs="Traditional Arabic" w:hint="cs"/>
          <w:sz w:val="28"/>
          <w:szCs w:val="32"/>
          <w:rtl/>
        </w:rPr>
        <w:t xml:space="preserve"> فذلك لا يرجع إلى عقد الرهن في ذاته</w:t>
      </w:r>
      <w:r>
        <w:rPr>
          <w:rFonts w:cs="Traditional Arabic" w:hint="cs"/>
          <w:sz w:val="28"/>
          <w:szCs w:val="32"/>
          <w:rtl/>
        </w:rPr>
        <w:t xml:space="preserve"> ،</w:t>
      </w:r>
      <w:r w:rsidRPr="00EC737F">
        <w:rPr>
          <w:rFonts w:cs="Traditional Arabic" w:hint="cs"/>
          <w:sz w:val="28"/>
          <w:szCs w:val="32"/>
          <w:rtl/>
        </w:rPr>
        <w:t xml:space="preserve"> وإنما يرجع إلى شرط تقديم الراهن عقاراً يفي بضمان الدين</w:t>
      </w:r>
      <w:r>
        <w:rPr>
          <w:rFonts w:cs="Traditional Arabic" w:hint="cs"/>
          <w:sz w:val="28"/>
          <w:szCs w:val="32"/>
          <w:rtl/>
        </w:rPr>
        <w:t xml:space="preserve"> .</w:t>
      </w:r>
      <w:r w:rsidRPr="00EC737F">
        <w:rPr>
          <w:rFonts w:cs="Traditional Arabic" w:hint="cs"/>
          <w:sz w:val="28"/>
          <w:szCs w:val="32"/>
          <w:rtl/>
        </w:rPr>
        <w:t xml:space="preserve"> فإذا كان هذا الشرط صحيحاً أو مفهوماً ضمناً وجب الوفاء به</w:t>
      </w:r>
      <w:r>
        <w:rPr>
          <w:rFonts w:cs="Traditional Arabic" w:hint="cs"/>
          <w:sz w:val="28"/>
          <w:szCs w:val="32"/>
          <w:rtl/>
        </w:rPr>
        <w:t xml:space="preserve"> ،</w:t>
      </w:r>
      <w:r w:rsidRPr="00EC737F">
        <w:rPr>
          <w:rFonts w:cs="Traditional Arabic" w:hint="cs"/>
          <w:sz w:val="28"/>
          <w:szCs w:val="32"/>
          <w:rtl/>
        </w:rPr>
        <w:t xml:space="preserve"> فإذا قدم الراهن عقاراً لا يفي بضمان الدين اختل الشرط ووجبت تكملة الرهن أو فسخ العقد</w:t>
      </w:r>
      <w:r>
        <w:rPr>
          <w:rFonts w:cs="Traditional Arabic" w:hint="cs"/>
          <w:sz w:val="28"/>
          <w:szCs w:val="32"/>
          <w:rtl/>
        </w:rPr>
        <w:t xml:space="preserve"> .</w:t>
      </w:r>
      <w:r w:rsidRPr="00EC737F">
        <w:rPr>
          <w:rFonts w:cs="Traditional Arabic" w:hint="cs"/>
          <w:sz w:val="28"/>
          <w:szCs w:val="32"/>
          <w:rtl/>
        </w:rPr>
        <w:t xml:space="preserve"> ولكن ذلك لا يرجع إلى الرهن الرسمي في ذاته</w:t>
      </w:r>
      <w:r>
        <w:rPr>
          <w:rFonts w:cs="Traditional Arabic" w:hint="cs"/>
          <w:sz w:val="28"/>
          <w:szCs w:val="32"/>
          <w:rtl/>
        </w:rPr>
        <w:t xml:space="preserve"> ،</w:t>
      </w:r>
      <w:r w:rsidRPr="00EC737F">
        <w:rPr>
          <w:rFonts w:cs="Traditional Arabic" w:hint="cs"/>
          <w:sz w:val="28"/>
          <w:szCs w:val="32"/>
          <w:rtl/>
        </w:rPr>
        <w:t xml:space="preserve"> بل هو $342 لا يزال نافعاً نفعاً محضاً للدائن المرتهن</w:t>
      </w:r>
      <w:r>
        <w:rPr>
          <w:rFonts w:cs="Traditional Arabic" w:hint="cs"/>
          <w:sz w:val="28"/>
          <w:szCs w:val="32"/>
          <w:rtl/>
        </w:rPr>
        <w:t xml:space="preserve"> ،</w:t>
      </w:r>
      <w:r w:rsidRPr="00EC737F">
        <w:rPr>
          <w:rFonts w:cs="Traditional Arabic" w:hint="cs"/>
          <w:sz w:val="28"/>
          <w:szCs w:val="32"/>
          <w:rtl/>
        </w:rPr>
        <w:t xml:space="preserve"> فلا تلزم في هذا الدائن إلا أهلية التعاقد</w:t>
      </w:r>
      <w:r>
        <w:rPr>
          <w:rFonts w:cs="Traditional Arabic" w:hint="cs"/>
          <w:sz w:val="28"/>
          <w:szCs w:val="32"/>
          <w:rtl/>
        </w:rPr>
        <w:t xml:space="preserve"> ،</w:t>
      </w:r>
      <w:r w:rsidRPr="00EC737F">
        <w:rPr>
          <w:rFonts w:cs="Traditional Arabic" w:hint="cs"/>
          <w:sz w:val="28"/>
          <w:szCs w:val="32"/>
          <w:rtl/>
        </w:rPr>
        <w:t xml:space="preserve"> وليس من الضروري أن تتوافر فيه أهلية التصرف</w:t>
      </w:r>
      <w:r>
        <w:rPr>
          <w:rFonts w:cs="Traditional Arabic" w:hint="cs"/>
          <w:sz w:val="28"/>
          <w:szCs w:val="32"/>
          <w:rtl/>
        </w:rPr>
        <w:t xml:space="preserve"> .</w:t>
      </w:r>
      <w:r w:rsidRPr="00EC737F">
        <w:rPr>
          <w:rFonts w:cs="Traditional Arabic" w:hint="cs"/>
          <w:sz w:val="28"/>
          <w:szCs w:val="32"/>
          <w:rtl/>
        </w:rPr>
        <w:t xml:space="preserve"> وإذا كنا قد اشترطنا الرسمية في رضاء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74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فلا يرجع </w:t>
      </w:r>
      <w:r w:rsidRPr="00EC737F">
        <w:rPr>
          <w:rFonts w:cs="Traditional Arabic" w:hint="cs"/>
          <w:sz w:val="28"/>
          <w:szCs w:val="32"/>
          <w:rtl/>
        </w:rPr>
        <w:lastRenderedPageBreak/>
        <w:t>ذلك إلى أن الرهن الرسمي يعتبر من عقود التصرف بالنسبة إلى هذا الدائن</w:t>
      </w:r>
      <w:r>
        <w:rPr>
          <w:rFonts w:cs="Traditional Arabic" w:hint="cs"/>
          <w:sz w:val="28"/>
          <w:szCs w:val="32"/>
          <w:rtl/>
        </w:rPr>
        <w:t xml:space="preserve"> .</w:t>
      </w:r>
      <w:r w:rsidRPr="00EC737F">
        <w:rPr>
          <w:rFonts w:cs="Traditional Arabic" w:hint="cs"/>
          <w:sz w:val="28"/>
          <w:szCs w:val="32"/>
          <w:rtl/>
        </w:rPr>
        <w:t xml:space="preserve"> وإنما هو عقد ككل العقود يجب فيه رضاء المتعاقدين</w:t>
      </w:r>
      <w:r>
        <w:rPr>
          <w:rFonts w:cs="Traditional Arabic" w:hint="cs"/>
          <w:sz w:val="28"/>
          <w:szCs w:val="32"/>
          <w:rtl/>
        </w:rPr>
        <w:t xml:space="preserve"> ،</w:t>
      </w:r>
      <w:r w:rsidRPr="00EC737F">
        <w:rPr>
          <w:rFonts w:cs="Traditional Arabic" w:hint="cs"/>
          <w:sz w:val="28"/>
          <w:szCs w:val="32"/>
          <w:rtl/>
        </w:rPr>
        <w:t xml:space="preserve"> فيجب إذن رضاء الدائن المرتهن</w:t>
      </w:r>
      <w:r>
        <w:rPr>
          <w:rFonts w:cs="Traditional Arabic" w:hint="cs"/>
          <w:sz w:val="28"/>
          <w:szCs w:val="32"/>
          <w:rtl/>
        </w:rPr>
        <w:t xml:space="preserve"> .</w:t>
      </w:r>
      <w:r w:rsidRPr="00EC737F">
        <w:rPr>
          <w:rFonts w:cs="Traditional Arabic" w:hint="cs"/>
          <w:sz w:val="28"/>
          <w:szCs w:val="32"/>
          <w:rtl/>
        </w:rPr>
        <w:t xml:space="preserve"> وقد اشترط القانون الرسمية في عقد الرهن الرسمي لاعتبارات نظر إليها</w:t>
      </w:r>
      <w:r>
        <w:rPr>
          <w:rFonts w:cs="Traditional Arabic" w:hint="cs"/>
          <w:sz w:val="28"/>
          <w:szCs w:val="32"/>
          <w:rtl/>
        </w:rPr>
        <w:t xml:space="preserve"> ،</w:t>
      </w:r>
      <w:r w:rsidRPr="00EC737F">
        <w:rPr>
          <w:rFonts w:cs="Traditional Arabic" w:hint="cs"/>
          <w:sz w:val="28"/>
          <w:szCs w:val="32"/>
          <w:rtl/>
        </w:rPr>
        <w:t xml:space="preserve"> وقد وجدنا هذه الاعتبارات متوافرة في الدائن المرتهن كتوافرها في الراهن</w:t>
      </w:r>
      <w:r>
        <w:rPr>
          <w:rFonts w:cs="Traditional Arabic" w:hint="cs"/>
          <w:sz w:val="28"/>
          <w:szCs w:val="32"/>
          <w:rtl/>
        </w:rPr>
        <w:t xml:space="preserve"> ،</w:t>
      </w:r>
      <w:r w:rsidRPr="00EC737F">
        <w:rPr>
          <w:rFonts w:cs="Traditional Arabic" w:hint="cs"/>
          <w:sz w:val="28"/>
          <w:szCs w:val="32"/>
          <w:rtl/>
        </w:rPr>
        <w:t xml:space="preserve"> فقلنا غنه لا بد أن يكون رضاء كل من الراهن والدائن المرتهن رضاء رسمياً</w:t>
      </w:r>
      <w:r>
        <w:rPr>
          <w:rFonts w:cs="Traditional Arabic" w:hint="cs"/>
          <w:sz w:val="28"/>
          <w:szCs w:val="32"/>
          <w:vertAlign w:val="superscript"/>
          <w:rtl/>
        </w:rPr>
        <w:t xml:space="preserve">( </w:t>
      </w:r>
      <w:r w:rsidRPr="00EC737F">
        <w:rPr>
          <w:rStyle w:val="ab"/>
          <w:rFonts w:cs="Traditional Arabic"/>
          <w:sz w:val="28"/>
          <w:szCs w:val="32"/>
          <w:rtl/>
        </w:rPr>
        <w:footnoteReference w:id="74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ذلك لا يمنع من أن يكون الرهن نافعاً نفعاً محضاً للدائن المرتهن</w:t>
      </w:r>
      <w:r>
        <w:rPr>
          <w:rFonts w:cs="Traditional Arabic" w:hint="cs"/>
          <w:sz w:val="28"/>
          <w:szCs w:val="32"/>
          <w:rtl/>
        </w:rPr>
        <w:t xml:space="preserve"> ،</w:t>
      </w:r>
      <w:r w:rsidRPr="00EC737F">
        <w:rPr>
          <w:rFonts w:cs="Traditional Arabic" w:hint="cs"/>
          <w:sz w:val="28"/>
          <w:szCs w:val="32"/>
          <w:rtl/>
        </w:rPr>
        <w:t xml:space="preserve"> فوجب</w:t>
      </w:r>
      <w:r>
        <w:rPr>
          <w:rFonts w:cs="Traditional Arabic" w:hint="cs"/>
          <w:sz w:val="28"/>
          <w:szCs w:val="32"/>
          <w:rtl/>
        </w:rPr>
        <w:t xml:space="preserve"> ،</w:t>
      </w:r>
      <w:r w:rsidRPr="00EC737F">
        <w:rPr>
          <w:rFonts w:cs="Traditional Arabic" w:hint="cs"/>
          <w:sz w:val="28"/>
          <w:szCs w:val="32"/>
          <w:rtl/>
        </w:rPr>
        <w:t xml:space="preserve"> مع القول بأن رضاءه يجب أن يكون رسمياً</w:t>
      </w:r>
      <w:r>
        <w:rPr>
          <w:rFonts w:cs="Traditional Arabic" w:hint="cs"/>
          <w:sz w:val="28"/>
          <w:szCs w:val="32"/>
          <w:rtl/>
        </w:rPr>
        <w:t xml:space="preserve"> ،</w:t>
      </w:r>
      <w:r w:rsidRPr="00EC737F">
        <w:rPr>
          <w:rFonts w:cs="Traditional Arabic" w:hint="cs"/>
          <w:sz w:val="28"/>
          <w:szCs w:val="32"/>
          <w:rtl/>
        </w:rPr>
        <w:t xml:space="preserve"> إلا تتوافر فيه إلا أهلية التعاقد</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152- الولاية فيما يتعلق بالمدين الراهن</w:t>
      </w:r>
      <w:r>
        <w:rPr>
          <w:rFonts w:cs="Traditional Arabic" w:hint="cs"/>
          <w:sz w:val="28"/>
          <w:szCs w:val="32"/>
          <w:rtl/>
        </w:rPr>
        <w:t xml:space="preserve"> :</w:t>
      </w:r>
      <w:r w:rsidRPr="00EC737F">
        <w:rPr>
          <w:rFonts w:cs="Traditional Arabic" w:hint="cs"/>
          <w:sz w:val="28"/>
          <w:szCs w:val="32"/>
          <w:rtl/>
        </w:rPr>
        <w:t xml:space="preserve"> المقصود هنا ألا يباشر المدين الراهن الرهن الرسمي بنفسه</w:t>
      </w:r>
      <w:r>
        <w:rPr>
          <w:rFonts w:cs="Traditional Arabic" w:hint="cs"/>
          <w:sz w:val="28"/>
          <w:szCs w:val="32"/>
          <w:rtl/>
        </w:rPr>
        <w:t xml:space="preserve"> ،</w:t>
      </w:r>
      <w:r w:rsidRPr="00EC737F">
        <w:rPr>
          <w:rFonts w:cs="Traditional Arabic" w:hint="cs"/>
          <w:sz w:val="28"/>
          <w:szCs w:val="32"/>
          <w:rtl/>
        </w:rPr>
        <w:t xml:space="preserve"> بل يلي ذلك غيره تكون له الولاية في ذلك</w:t>
      </w:r>
      <w:r>
        <w:rPr>
          <w:rFonts w:cs="Traditional Arabic" w:hint="cs"/>
          <w:sz w:val="28"/>
          <w:szCs w:val="32"/>
          <w:rtl/>
        </w:rPr>
        <w:t xml:space="preserve"> .</w:t>
      </w:r>
      <w:r w:rsidRPr="00EC737F">
        <w:rPr>
          <w:rFonts w:cs="Traditional Arabic" w:hint="cs"/>
          <w:sz w:val="28"/>
          <w:szCs w:val="32"/>
          <w:rtl/>
        </w:rPr>
        <w:t xml:space="preserve"> والمدين الراهن إما أن يكون بالغاً سن الرشد غير محجور عليه</w:t>
      </w:r>
      <w:r>
        <w:rPr>
          <w:rFonts w:cs="Traditional Arabic" w:hint="cs"/>
          <w:sz w:val="28"/>
          <w:szCs w:val="32"/>
          <w:rtl/>
        </w:rPr>
        <w:t xml:space="preserve"> ،</w:t>
      </w:r>
      <w:r w:rsidRPr="00EC737F">
        <w:rPr>
          <w:rFonts w:cs="Traditional Arabic" w:hint="cs"/>
          <w:sz w:val="28"/>
          <w:szCs w:val="32"/>
          <w:rtl/>
        </w:rPr>
        <w:t xml:space="preserve"> وعندئذ قد يلي رهن عقاره وكيل يفوض له ذلك</w:t>
      </w:r>
      <w:r>
        <w:rPr>
          <w:rFonts w:cs="Traditional Arabic" w:hint="cs"/>
          <w:sz w:val="28"/>
          <w:szCs w:val="32"/>
          <w:rtl/>
        </w:rPr>
        <w:t xml:space="preserve"> .</w:t>
      </w:r>
      <w:r w:rsidRPr="00EC737F">
        <w:rPr>
          <w:rFonts w:cs="Traditional Arabic" w:hint="cs"/>
          <w:sz w:val="28"/>
          <w:szCs w:val="32"/>
          <w:rtl/>
        </w:rPr>
        <w:t xml:space="preserve"> وإما أن يكون المدين الراهن قاصراً أو محجوراً عليه</w:t>
      </w:r>
      <w:r>
        <w:rPr>
          <w:rFonts w:cs="Traditional Arabic" w:hint="cs"/>
          <w:sz w:val="28"/>
          <w:szCs w:val="32"/>
          <w:rtl/>
        </w:rPr>
        <w:t xml:space="preserve"> ،</w:t>
      </w:r>
      <w:r w:rsidRPr="00EC737F">
        <w:rPr>
          <w:rFonts w:cs="Traditional Arabic" w:hint="cs"/>
          <w:sz w:val="28"/>
          <w:szCs w:val="32"/>
          <w:rtl/>
        </w:rPr>
        <w:t xml:space="preserve"> وعندئذ يلي رهن عقاره وليه أو وصيه أو القيم عليه إذ يكون لهؤلاء الولاية في رهن عقاره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كان من له الولاية هو وكيل يفوض له المدين الراهن رهن عقاره</w:t>
      </w:r>
      <w:r>
        <w:rPr>
          <w:rFonts w:cs="Traditional Arabic" w:hint="cs"/>
          <w:sz w:val="28"/>
          <w:szCs w:val="32"/>
          <w:rtl/>
        </w:rPr>
        <w:t xml:space="preserve"> ،</w:t>
      </w:r>
      <w:r w:rsidRPr="00EC737F">
        <w:rPr>
          <w:rFonts w:cs="Traditional Arabic" w:hint="cs"/>
          <w:sz w:val="28"/>
          <w:szCs w:val="32"/>
          <w:rtl/>
        </w:rPr>
        <w:t xml:space="preserve"> فالرهن هنا يعتب رمن أعمال التصرف لا من أعمال الإدارة</w:t>
      </w:r>
      <w:r>
        <w:rPr>
          <w:rFonts w:cs="Traditional Arabic" w:hint="cs"/>
          <w:sz w:val="28"/>
          <w:szCs w:val="32"/>
          <w:rtl/>
        </w:rPr>
        <w:t xml:space="preserve"> ،</w:t>
      </w:r>
      <w:r w:rsidRPr="00EC737F">
        <w:rPr>
          <w:rFonts w:cs="Traditional Arabic" w:hint="cs"/>
          <w:sz w:val="28"/>
          <w:szCs w:val="32"/>
          <w:rtl/>
        </w:rPr>
        <w:t xml:space="preserve"> ومن ثم يجب أن يصدر من المدين الراهن توكيل خاص</w:t>
      </w:r>
      <w:r>
        <w:rPr>
          <w:rFonts w:cs="Traditional Arabic" w:hint="cs"/>
          <w:sz w:val="28"/>
          <w:szCs w:val="32"/>
          <w:rtl/>
        </w:rPr>
        <w:t xml:space="preserve"> ،</w:t>
      </w:r>
      <w:r w:rsidRPr="00EC737F">
        <w:rPr>
          <w:rFonts w:cs="Traditional Arabic" w:hint="cs"/>
          <w:sz w:val="28"/>
          <w:szCs w:val="32"/>
          <w:rtl/>
        </w:rPr>
        <w:t xml:space="preserve"> ولا يكفي التوكيل العام</w:t>
      </w:r>
      <w:r>
        <w:rPr>
          <w:rFonts w:cs="Traditional Arabic" w:hint="cs"/>
          <w:sz w:val="28"/>
          <w:szCs w:val="32"/>
          <w:rtl/>
        </w:rPr>
        <w:t xml:space="preserve"> .</w:t>
      </w:r>
      <w:r w:rsidRPr="00EC737F">
        <w:rPr>
          <w:rFonts w:cs="Traditional Arabic" w:hint="cs"/>
          <w:sz w:val="28"/>
          <w:szCs w:val="32"/>
          <w:rtl/>
        </w:rPr>
        <w:t xml:space="preserve"> وفي هذا تنص المادة 702/1 و 2 مدني على أنه "1- لا بد من وكالة خاصة في يكل عمل ليس من أعمال الإدارة</w:t>
      </w:r>
      <w:r>
        <w:rPr>
          <w:rFonts w:cs="Traditional Arabic" w:hint="cs"/>
          <w:sz w:val="28"/>
          <w:szCs w:val="32"/>
          <w:rtl/>
        </w:rPr>
        <w:t xml:space="preserve"> ،</w:t>
      </w:r>
      <w:r w:rsidRPr="00EC737F">
        <w:rPr>
          <w:rFonts w:cs="Traditional Arabic" w:hint="cs"/>
          <w:sz w:val="28"/>
          <w:szCs w:val="32"/>
          <w:rtl/>
        </w:rPr>
        <w:t xml:space="preserve"> وبوجه خاص في البيع والرهن $343 والتبرعات والصلح والإقرار والتحكيم وتوجيه اليمين والمرافعة أمام القضاء</w:t>
      </w:r>
      <w:r>
        <w:rPr>
          <w:rFonts w:cs="Traditional Arabic" w:hint="cs"/>
          <w:sz w:val="28"/>
          <w:szCs w:val="32"/>
          <w:rtl/>
        </w:rPr>
        <w:t xml:space="preserve"> .</w:t>
      </w:r>
      <w:r w:rsidRPr="00EC737F">
        <w:rPr>
          <w:rFonts w:cs="Traditional Arabic" w:hint="cs"/>
          <w:sz w:val="28"/>
          <w:szCs w:val="32"/>
          <w:rtl/>
        </w:rPr>
        <w:t xml:space="preserve"> 2- والوكالة الخاصة في نوع معين من الأعمال القانونية يصح ولو لم يعين محل هذا العمل على وجه التخصيص</w:t>
      </w:r>
      <w:r>
        <w:rPr>
          <w:rFonts w:cs="Traditional Arabic" w:hint="cs"/>
          <w:sz w:val="28"/>
          <w:szCs w:val="32"/>
          <w:rtl/>
        </w:rPr>
        <w:t xml:space="preserve"> ،</w:t>
      </w:r>
      <w:r w:rsidRPr="00EC737F">
        <w:rPr>
          <w:rFonts w:cs="Traditional Arabic" w:hint="cs"/>
          <w:sz w:val="28"/>
          <w:szCs w:val="32"/>
          <w:rtl/>
        </w:rPr>
        <w:t xml:space="preserve"> إلا إذا كان العمل من التبرعات"</w:t>
      </w:r>
      <w:r>
        <w:rPr>
          <w:rFonts w:cs="Traditional Arabic" w:hint="cs"/>
          <w:sz w:val="28"/>
          <w:szCs w:val="32"/>
          <w:rtl/>
        </w:rPr>
        <w:t xml:space="preserve"> .</w:t>
      </w:r>
      <w:r w:rsidRPr="00EC737F">
        <w:rPr>
          <w:rFonts w:cs="Traditional Arabic" w:hint="cs"/>
          <w:sz w:val="28"/>
          <w:szCs w:val="32"/>
          <w:rtl/>
        </w:rPr>
        <w:t xml:space="preserve"> وقد قضت محكمة النقض تطبيقاً لذلك بأن مجرد التوكيل بالرهن كافٍ لرهن مال الموكل لدين عليه هو</w:t>
      </w:r>
      <w:r>
        <w:rPr>
          <w:rFonts w:cs="Traditional Arabic" w:hint="cs"/>
          <w:sz w:val="28"/>
          <w:szCs w:val="32"/>
          <w:rtl/>
        </w:rPr>
        <w:t xml:space="preserve"> ،</w:t>
      </w:r>
      <w:r w:rsidRPr="00EC737F">
        <w:rPr>
          <w:rFonts w:cs="Traditional Arabic" w:hint="cs"/>
          <w:sz w:val="28"/>
          <w:szCs w:val="32"/>
          <w:rtl/>
        </w:rPr>
        <w:t xml:space="preserve"> باعتبار أن الرهن ليس من أعمال التبرعات</w:t>
      </w:r>
      <w:r>
        <w:rPr>
          <w:rFonts w:cs="Traditional Arabic" w:hint="cs"/>
          <w:sz w:val="28"/>
          <w:szCs w:val="32"/>
          <w:vertAlign w:val="superscript"/>
          <w:rtl/>
        </w:rPr>
        <w:t xml:space="preserve">( </w:t>
      </w:r>
      <w:r w:rsidRPr="00EC737F">
        <w:rPr>
          <w:rStyle w:val="ab"/>
          <w:rFonts w:cs="Traditional Arabic"/>
          <w:sz w:val="28"/>
          <w:szCs w:val="32"/>
          <w:rtl/>
        </w:rPr>
        <w:footnoteReference w:id="74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وكل شخص شخصاً آخر في رهن عقاراته دون أن يحدد عقاراً على وجه التخصيص</w:t>
      </w:r>
      <w:r>
        <w:rPr>
          <w:rFonts w:cs="Traditional Arabic" w:hint="cs"/>
          <w:sz w:val="28"/>
          <w:szCs w:val="32"/>
          <w:rtl/>
        </w:rPr>
        <w:t xml:space="preserve"> ،</w:t>
      </w:r>
      <w:r w:rsidRPr="00EC737F">
        <w:rPr>
          <w:rFonts w:cs="Traditional Arabic" w:hint="cs"/>
          <w:sz w:val="28"/>
          <w:szCs w:val="32"/>
          <w:rtl/>
        </w:rPr>
        <w:t xml:space="preserve"> جاز للوكيل أن يرهن رهناً رسمياً أي عقار للموكل</w:t>
      </w:r>
      <w:r>
        <w:rPr>
          <w:rFonts w:cs="Traditional Arabic" w:hint="cs"/>
          <w:sz w:val="28"/>
          <w:szCs w:val="32"/>
          <w:rtl/>
        </w:rPr>
        <w:t xml:space="preserve"> .</w:t>
      </w:r>
      <w:r w:rsidRPr="00EC737F">
        <w:rPr>
          <w:rFonts w:cs="Traditional Arabic" w:hint="cs"/>
          <w:sz w:val="28"/>
          <w:szCs w:val="32"/>
          <w:rtl/>
        </w:rPr>
        <w:t xml:space="preserve"> غير أن هناك رأياص يذهب إلى أن المادة 700 مدني تشترط في الوكالة توافر الشكل الواجب في التصرف محل التوكيل</w:t>
      </w:r>
      <w:r>
        <w:rPr>
          <w:rFonts w:cs="Traditional Arabic" w:hint="cs"/>
          <w:sz w:val="28"/>
          <w:szCs w:val="32"/>
          <w:rtl/>
        </w:rPr>
        <w:t xml:space="preserve"> ،</w:t>
      </w:r>
      <w:r w:rsidRPr="00EC737F">
        <w:rPr>
          <w:rFonts w:cs="Traditional Arabic" w:hint="cs"/>
          <w:sz w:val="28"/>
          <w:szCs w:val="32"/>
          <w:rtl/>
        </w:rPr>
        <w:t xml:space="preserve"> وشكل الرهن الرسمي في </w:t>
      </w:r>
      <w:r w:rsidRPr="00EC737F">
        <w:rPr>
          <w:rFonts w:cs="Traditional Arabic" w:hint="cs"/>
          <w:sz w:val="28"/>
          <w:szCs w:val="32"/>
          <w:rtl/>
        </w:rPr>
        <w:lastRenderedPageBreak/>
        <w:t>نظر هؤلاء الفقهاء ليس هو فحسب رسمية العقد</w:t>
      </w:r>
      <w:r>
        <w:rPr>
          <w:rFonts w:cs="Traditional Arabic" w:hint="cs"/>
          <w:sz w:val="28"/>
          <w:szCs w:val="32"/>
          <w:rtl/>
        </w:rPr>
        <w:t xml:space="preserve"> ،</w:t>
      </w:r>
      <w:r w:rsidRPr="00EC737F">
        <w:rPr>
          <w:rFonts w:cs="Traditional Arabic" w:hint="cs"/>
          <w:sz w:val="28"/>
          <w:szCs w:val="32"/>
          <w:rtl/>
        </w:rPr>
        <w:t xml:space="preserve"> بل أيضاً اشتمال الورقة على البيانات التي يتخصص بها الرهن </w:t>
      </w:r>
      <w:r>
        <w:rPr>
          <w:rFonts w:cs="Traditional Arabic" w:hint="cs"/>
          <w:sz w:val="28"/>
          <w:szCs w:val="32"/>
          <w:rtl/>
        </w:rPr>
        <w:t xml:space="preserve">( </w:t>
      </w:r>
      <w:r w:rsidRPr="00EC737F">
        <w:rPr>
          <w:rFonts w:cs="Traditional Arabic" w:hint="cs"/>
          <w:sz w:val="28"/>
          <w:szCs w:val="32"/>
          <w:rtl/>
        </w:rPr>
        <w:t xml:space="preserve"> م 1035/2 مدني</w:t>
      </w:r>
      <w:r>
        <w:rPr>
          <w:rFonts w:cs="Traditional Arabic" w:hint="cs"/>
          <w:sz w:val="28"/>
          <w:szCs w:val="32"/>
          <w:rtl/>
        </w:rPr>
        <w:t xml:space="preserve"> ) .</w:t>
      </w:r>
      <w:r w:rsidRPr="00EC737F">
        <w:rPr>
          <w:rFonts w:cs="Traditional Arabic" w:hint="cs"/>
          <w:sz w:val="28"/>
          <w:szCs w:val="32"/>
          <w:rtl/>
        </w:rPr>
        <w:t xml:space="preserve"> فوجب القول في نظر هؤلاء بأن التوكيل بالرهن يشترط فيه</w:t>
      </w:r>
      <w:r>
        <w:rPr>
          <w:rFonts w:cs="Traditional Arabic" w:hint="cs"/>
          <w:sz w:val="28"/>
          <w:szCs w:val="32"/>
          <w:rtl/>
        </w:rPr>
        <w:t xml:space="preserve"> ،</w:t>
      </w:r>
      <w:r w:rsidRPr="00EC737F">
        <w:rPr>
          <w:rFonts w:cs="Traditional Arabic" w:hint="cs"/>
          <w:sz w:val="28"/>
          <w:szCs w:val="32"/>
          <w:rtl/>
        </w:rPr>
        <w:t xml:space="preserve"> من ناحية الشكل</w:t>
      </w:r>
      <w:r>
        <w:rPr>
          <w:rFonts w:cs="Traditional Arabic" w:hint="cs"/>
          <w:sz w:val="28"/>
          <w:szCs w:val="32"/>
          <w:rtl/>
        </w:rPr>
        <w:t xml:space="preserve"> ،</w:t>
      </w:r>
      <w:r w:rsidRPr="00EC737F">
        <w:rPr>
          <w:rFonts w:cs="Traditional Arabic" w:hint="cs"/>
          <w:sz w:val="28"/>
          <w:szCs w:val="32"/>
          <w:rtl/>
        </w:rPr>
        <w:t xml:space="preserve"> إلى جانب حصوله بورقة رسمية</w:t>
      </w:r>
      <w:r>
        <w:rPr>
          <w:rFonts w:cs="Traditional Arabic" w:hint="cs"/>
          <w:sz w:val="28"/>
          <w:szCs w:val="32"/>
          <w:rtl/>
        </w:rPr>
        <w:t xml:space="preserve"> ،</w:t>
      </w:r>
      <w:r w:rsidRPr="00EC737F">
        <w:rPr>
          <w:rFonts w:cs="Traditional Arabic" w:hint="cs"/>
          <w:sz w:val="28"/>
          <w:szCs w:val="32"/>
          <w:rtl/>
        </w:rPr>
        <w:t xml:space="preserve"> أن يخصص فيه محل الرهن</w:t>
      </w:r>
      <w:r>
        <w:rPr>
          <w:rFonts w:cs="Traditional Arabic" w:hint="cs"/>
          <w:sz w:val="28"/>
          <w:szCs w:val="32"/>
          <w:rtl/>
        </w:rPr>
        <w:t xml:space="preserve"> .</w:t>
      </w:r>
      <w:r w:rsidRPr="00EC737F">
        <w:rPr>
          <w:rFonts w:cs="Traditional Arabic" w:hint="cs"/>
          <w:sz w:val="28"/>
          <w:szCs w:val="32"/>
          <w:rtl/>
        </w:rPr>
        <w:t xml:space="preserve"> وعلى ذلك يجب في التوكيل بالرهن بيان العقار المراد رهنه</w:t>
      </w:r>
      <w:r>
        <w:rPr>
          <w:rFonts w:cs="Traditional Arabic" w:hint="cs"/>
          <w:sz w:val="28"/>
          <w:szCs w:val="32"/>
          <w:rtl/>
        </w:rPr>
        <w:t xml:space="preserve"> ،</w:t>
      </w:r>
      <w:r w:rsidRPr="00EC737F">
        <w:rPr>
          <w:rFonts w:cs="Traditional Arabic" w:hint="cs"/>
          <w:sz w:val="28"/>
          <w:szCs w:val="32"/>
          <w:rtl/>
        </w:rPr>
        <w:t xml:space="preserve"> وأن يكون معيناً بالذات تعييناً دقيقاً من حيث طبيعته وموقعه</w:t>
      </w:r>
      <w:r>
        <w:rPr>
          <w:rFonts w:cs="Traditional Arabic" w:hint="cs"/>
          <w:sz w:val="28"/>
          <w:szCs w:val="32"/>
          <w:rtl/>
        </w:rPr>
        <w:t xml:space="preserve"> ،</w:t>
      </w:r>
      <w:r w:rsidRPr="00EC737F">
        <w:rPr>
          <w:rFonts w:cs="Traditional Arabic" w:hint="cs"/>
          <w:sz w:val="28"/>
          <w:szCs w:val="32"/>
          <w:rtl/>
        </w:rPr>
        <w:t xml:space="preserve"> ويجب أيضاً أن يبين الدين الذي يراد تقرير الرهن ضماناً للوفاء به</w:t>
      </w:r>
      <w:r>
        <w:rPr>
          <w:rFonts w:cs="Traditional Arabic" w:hint="cs"/>
          <w:sz w:val="28"/>
          <w:szCs w:val="32"/>
          <w:vertAlign w:val="superscript"/>
          <w:rtl/>
        </w:rPr>
        <w:t xml:space="preserve">( </w:t>
      </w:r>
      <w:r w:rsidRPr="00EC737F">
        <w:rPr>
          <w:rStyle w:val="ab"/>
          <w:rFonts w:cs="Traditional Arabic"/>
          <w:sz w:val="28"/>
          <w:szCs w:val="32"/>
          <w:rtl/>
        </w:rPr>
        <w:footnoteReference w:id="74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نميل للاعتقاد بأن تخصيص الرهن من حيث العقار المرهون والدين المضمون يعتبر متعلقاً بشكل الرهن</w:t>
      </w:r>
      <w:r>
        <w:rPr>
          <w:rFonts w:cs="Traditional Arabic" w:hint="cs"/>
          <w:sz w:val="28"/>
          <w:szCs w:val="32"/>
          <w:rtl/>
        </w:rPr>
        <w:t xml:space="preserve"> ،</w:t>
      </w:r>
      <w:r w:rsidRPr="00EC737F">
        <w:rPr>
          <w:rFonts w:cs="Traditional Arabic" w:hint="cs"/>
          <w:sz w:val="28"/>
          <w:szCs w:val="32"/>
          <w:rtl/>
        </w:rPr>
        <w:t xml:space="preserve"> ولذلك نتمشى مع محكمة النقض في أنه يكفي للتوكيل بالرهن مجرد ذكر الرهن حتى تكون الوكالة خاصة</w:t>
      </w:r>
      <w:r>
        <w:rPr>
          <w:rFonts w:cs="Traditional Arabic" w:hint="cs"/>
          <w:sz w:val="28"/>
          <w:szCs w:val="32"/>
          <w:rtl/>
        </w:rPr>
        <w:t xml:space="preserve"> .</w:t>
      </w:r>
      <w:r w:rsidRPr="00EC737F">
        <w:rPr>
          <w:rFonts w:cs="Traditional Arabic" w:hint="cs"/>
          <w:sz w:val="28"/>
          <w:szCs w:val="32"/>
          <w:rtl/>
        </w:rPr>
        <w:t xml:space="preserve"> أما ما جرى عليه العمل</w:t>
      </w:r>
      <w:r>
        <w:rPr>
          <w:rFonts w:cs="Traditional Arabic" w:hint="cs"/>
          <w:sz w:val="28"/>
          <w:szCs w:val="32"/>
          <w:rtl/>
        </w:rPr>
        <w:t xml:space="preserve"> ،</w:t>
      </w:r>
      <w:r w:rsidRPr="00EC737F">
        <w:rPr>
          <w:rFonts w:cs="Traditional Arabic" w:hint="cs"/>
          <w:sz w:val="28"/>
          <w:szCs w:val="32"/>
          <w:rtl/>
        </w:rPr>
        <w:t xml:space="preserve"> فإن التوكيل بالرهن يذكر عادة الرهن والعقار المرهون والدين المضمون وغير ذلك من التفصيلات زيادة في الإيضاح</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كان الذي له الولاية هو الولي أو الوصي أو القيم</w:t>
      </w:r>
      <w:r>
        <w:rPr>
          <w:rFonts w:cs="Traditional Arabic" w:hint="cs"/>
          <w:sz w:val="28"/>
          <w:szCs w:val="32"/>
          <w:rtl/>
        </w:rPr>
        <w:t xml:space="preserve"> ،</w:t>
      </w:r>
      <w:r w:rsidRPr="00EC737F">
        <w:rPr>
          <w:rFonts w:cs="Traditional Arabic" w:hint="cs"/>
          <w:sz w:val="28"/>
          <w:szCs w:val="32"/>
          <w:rtl/>
        </w:rPr>
        <w:t xml:space="preserve"> فإن كان $344 الأب هو الولي</w:t>
      </w:r>
      <w:r>
        <w:rPr>
          <w:rFonts w:cs="Traditional Arabic" w:hint="cs"/>
          <w:sz w:val="28"/>
          <w:szCs w:val="32"/>
          <w:rtl/>
        </w:rPr>
        <w:t xml:space="preserve"> ،</w:t>
      </w:r>
      <w:r w:rsidRPr="00EC737F">
        <w:rPr>
          <w:rFonts w:cs="Traditional Arabic" w:hint="cs"/>
          <w:sz w:val="28"/>
          <w:szCs w:val="32"/>
          <w:rtl/>
        </w:rPr>
        <w:t xml:space="preserve"> كان له أن يرهن عقار القاصر دون إذن المحكمة إذا لم تزد قيمة العقار على 300 جنيه</w:t>
      </w:r>
      <w:r>
        <w:rPr>
          <w:rFonts w:cs="Traditional Arabic" w:hint="cs"/>
          <w:sz w:val="28"/>
          <w:szCs w:val="32"/>
          <w:rtl/>
        </w:rPr>
        <w:t xml:space="preserve"> ،</w:t>
      </w:r>
      <w:r w:rsidRPr="00EC737F">
        <w:rPr>
          <w:rFonts w:cs="Traditional Arabic" w:hint="cs"/>
          <w:sz w:val="28"/>
          <w:szCs w:val="32"/>
          <w:rtl/>
        </w:rPr>
        <w:t xml:space="preserve"> وإلا فلا بد من إذن المحكمة</w:t>
      </w:r>
      <w:r>
        <w:rPr>
          <w:rFonts w:cs="Traditional Arabic" w:hint="cs"/>
          <w:sz w:val="28"/>
          <w:szCs w:val="32"/>
          <w:rtl/>
        </w:rPr>
        <w:t xml:space="preserve"> .</w:t>
      </w:r>
      <w:r w:rsidRPr="00EC737F">
        <w:rPr>
          <w:rFonts w:cs="Traditional Arabic" w:hint="cs"/>
          <w:sz w:val="28"/>
          <w:szCs w:val="32"/>
          <w:rtl/>
        </w:rPr>
        <w:t>ويجوز للأب</w:t>
      </w:r>
      <w:r>
        <w:rPr>
          <w:rFonts w:cs="Traditional Arabic" w:hint="cs"/>
          <w:sz w:val="28"/>
          <w:szCs w:val="32"/>
          <w:rtl/>
        </w:rPr>
        <w:t xml:space="preserve"> ،</w:t>
      </w:r>
      <w:r w:rsidRPr="00EC737F">
        <w:rPr>
          <w:rFonts w:cs="Traditional Arabic" w:hint="cs"/>
          <w:sz w:val="28"/>
          <w:szCs w:val="32"/>
          <w:rtl/>
        </w:rPr>
        <w:t xml:space="preserve"> إذا كان العقار المراد رهنه قد آل إلى الصغير عن طريق التبرع من الأب</w:t>
      </w:r>
      <w:r>
        <w:rPr>
          <w:rFonts w:cs="Traditional Arabic" w:hint="cs"/>
          <w:sz w:val="28"/>
          <w:szCs w:val="32"/>
          <w:rtl/>
        </w:rPr>
        <w:t xml:space="preserve"> ،</w:t>
      </w:r>
      <w:r w:rsidRPr="00EC737F">
        <w:rPr>
          <w:rFonts w:cs="Traditional Arabic" w:hint="cs"/>
          <w:sz w:val="28"/>
          <w:szCs w:val="32"/>
          <w:rtl/>
        </w:rPr>
        <w:t xml:space="preserve"> أن يرهن هذا العقار دون إذن المحكمة أياً كانت قيمته</w:t>
      </w:r>
      <w:r>
        <w:rPr>
          <w:rFonts w:cs="Traditional Arabic" w:hint="cs"/>
          <w:sz w:val="28"/>
          <w:szCs w:val="32"/>
          <w:rtl/>
        </w:rPr>
        <w:t xml:space="preserve"> ،</w:t>
      </w:r>
      <w:r w:rsidRPr="00EC737F">
        <w:rPr>
          <w:rFonts w:cs="Traditional Arabic" w:hint="cs"/>
          <w:sz w:val="28"/>
          <w:szCs w:val="32"/>
          <w:rtl/>
        </w:rPr>
        <w:t xml:space="preserve"> لأنه لا يقدم إلى المحكمة حساباً عنه</w:t>
      </w:r>
      <w:r>
        <w:rPr>
          <w:rFonts w:cs="Traditional Arabic" w:hint="cs"/>
          <w:sz w:val="28"/>
          <w:szCs w:val="32"/>
          <w:rtl/>
        </w:rPr>
        <w:t xml:space="preserve"> .</w:t>
      </w:r>
      <w:r w:rsidRPr="00EC737F">
        <w:rPr>
          <w:rFonts w:cs="Traditional Arabic" w:hint="cs"/>
          <w:sz w:val="28"/>
          <w:szCs w:val="32"/>
          <w:rtl/>
        </w:rPr>
        <w:t xml:space="preserve"> وإذا كان الذي له الولاية هو الجد أو الوصي أو القيم</w:t>
      </w:r>
      <w:r>
        <w:rPr>
          <w:rFonts w:cs="Traditional Arabic" w:hint="cs"/>
          <w:sz w:val="28"/>
          <w:szCs w:val="32"/>
          <w:rtl/>
        </w:rPr>
        <w:t xml:space="preserve"> ،</w:t>
      </w:r>
      <w:r w:rsidRPr="00EC737F">
        <w:rPr>
          <w:rFonts w:cs="Traditional Arabic" w:hint="cs"/>
          <w:sz w:val="28"/>
          <w:szCs w:val="32"/>
          <w:rtl/>
        </w:rPr>
        <w:t xml:space="preserve"> لم يجز لأي منهم رهن عقار القاصر</w:t>
      </w:r>
      <w:r>
        <w:rPr>
          <w:rFonts w:cs="Traditional Arabic" w:hint="cs"/>
          <w:sz w:val="28"/>
          <w:szCs w:val="32"/>
          <w:rtl/>
        </w:rPr>
        <w:t xml:space="preserve"> ،</w:t>
      </w:r>
      <w:r w:rsidRPr="00EC737F">
        <w:rPr>
          <w:rFonts w:cs="Traditional Arabic" w:hint="cs"/>
          <w:sz w:val="28"/>
          <w:szCs w:val="32"/>
          <w:rtl/>
        </w:rPr>
        <w:t xml:space="preserve"> أياً كانت قيمته</w:t>
      </w:r>
      <w:r>
        <w:rPr>
          <w:rFonts w:cs="Traditional Arabic" w:hint="cs"/>
          <w:sz w:val="28"/>
          <w:szCs w:val="32"/>
          <w:rtl/>
        </w:rPr>
        <w:t xml:space="preserve"> ،</w:t>
      </w:r>
      <w:r w:rsidRPr="00EC737F">
        <w:rPr>
          <w:rFonts w:cs="Traditional Arabic" w:hint="cs"/>
          <w:sz w:val="28"/>
          <w:szCs w:val="32"/>
          <w:rtl/>
        </w:rPr>
        <w:t xml:space="preserve"> إلا بإذن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74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153- الولاية فيما يتعلق بالدائن المرتهن</w:t>
      </w:r>
      <w:r>
        <w:rPr>
          <w:rFonts w:cs="Traditional Arabic" w:hint="cs"/>
          <w:sz w:val="28"/>
          <w:szCs w:val="32"/>
          <w:rtl/>
        </w:rPr>
        <w:t xml:space="preserve"> :</w:t>
      </w:r>
      <w:r w:rsidRPr="00EC737F">
        <w:rPr>
          <w:rFonts w:cs="Traditional Arabic" w:hint="cs"/>
          <w:sz w:val="28"/>
          <w:szCs w:val="32"/>
          <w:rtl/>
        </w:rPr>
        <w:t xml:space="preserve"> أما فيما يتعلق بالدائن المرتهن</w:t>
      </w:r>
      <w:r>
        <w:rPr>
          <w:rFonts w:cs="Traditional Arabic" w:hint="cs"/>
          <w:sz w:val="28"/>
          <w:szCs w:val="32"/>
          <w:rtl/>
        </w:rPr>
        <w:t xml:space="preserve"> ،</w:t>
      </w:r>
      <w:r w:rsidRPr="00EC737F">
        <w:rPr>
          <w:rFonts w:cs="Traditional Arabic" w:hint="cs"/>
          <w:sz w:val="28"/>
          <w:szCs w:val="32"/>
          <w:rtl/>
        </w:rPr>
        <w:t xml:space="preserve"> فقد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74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أنه يكفي فيه لرهن عقاره أهلية التعاقد</w:t>
      </w:r>
      <w:r>
        <w:rPr>
          <w:rFonts w:cs="Traditional Arabic" w:hint="cs"/>
          <w:sz w:val="28"/>
          <w:szCs w:val="32"/>
          <w:rtl/>
        </w:rPr>
        <w:t xml:space="preserve"> ،</w:t>
      </w:r>
      <w:r w:rsidRPr="00EC737F">
        <w:rPr>
          <w:rFonts w:cs="Traditional Arabic" w:hint="cs"/>
          <w:sz w:val="28"/>
          <w:szCs w:val="32"/>
          <w:rtl/>
        </w:rPr>
        <w:t xml:space="preserve"> ولا تلزم أهلية التصرف</w:t>
      </w:r>
      <w:r>
        <w:rPr>
          <w:rFonts w:cs="Traditional Arabic" w:hint="cs"/>
          <w:sz w:val="28"/>
          <w:szCs w:val="32"/>
          <w:rtl/>
        </w:rPr>
        <w:t xml:space="preserve"> .</w:t>
      </w:r>
      <w:r w:rsidRPr="00EC737F">
        <w:rPr>
          <w:rFonts w:cs="Traditional Arabic" w:hint="cs"/>
          <w:sz w:val="28"/>
          <w:szCs w:val="32"/>
          <w:rtl/>
        </w:rPr>
        <w:t xml:space="preserve"> وعلى ذلك يستطيع الدائن المرتهن</w:t>
      </w:r>
      <w:r>
        <w:rPr>
          <w:rFonts w:cs="Traditional Arabic" w:hint="cs"/>
          <w:sz w:val="28"/>
          <w:szCs w:val="32"/>
          <w:rtl/>
        </w:rPr>
        <w:t xml:space="preserve"> ،</w:t>
      </w:r>
      <w:r w:rsidRPr="00EC737F">
        <w:rPr>
          <w:rFonts w:cs="Traditional Arabic" w:hint="cs"/>
          <w:sz w:val="28"/>
          <w:szCs w:val="32"/>
          <w:rtl/>
        </w:rPr>
        <w:t xml:space="preserve"> إذا أراد أن يوكل شخصاً آخر في ارتهان عقار الغير</w:t>
      </w:r>
      <w:r>
        <w:rPr>
          <w:rFonts w:cs="Traditional Arabic" w:hint="cs"/>
          <w:sz w:val="28"/>
          <w:szCs w:val="32"/>
          <w:rtl/>
        </w:rPr>
        <w:t xml:space="preserve"> ،</w:t>
      </w:r>
      <w:r w:rsidRPr="00EC737F">
        <w:rPr>
          <w:rFonts w:cs="Traditional Arabic" w:hint="cs"/>
          <w:sz w:val="28"/>
          <w:szCs w:val="32"/>
          <w:rtl/>
        </w:rPr>
        <w:t xml:space="preserve"> أن يصدر له توكيلا عاماً</w:t>
      </w:r>
      <w:r>
        <w:rPr>
          <w:rFonts w:cs="Traditional Arabic" w:hint="cs"/>
          <w:sz w:val="28"/>
          <w:szCs w:val="32"/>
          <w:rtl/>
        </w:rPr>
        <w:t xml:space="preserve"> ،</w:t>
      </w:r>
      <w:r w:rsidRPr="00EC737F">
        <w:rPr>
          <w:rFonts w:cs="Traditional Arabic" w:hint="cs"/>
          <w:sz w:val="28"/>
          <w:szCs w:val="32"/>
          <w:rtl/>
        </w:rPr>
        <w:t xml:space="preserve"> لأن الرهن الرسمي بالنسبة إلى </w:t>
      </w:r>
      <w:r w:rsidRPr="00EC737F">
        <w:rPr>
          <w:rFonts w:cs="Traditional Arabic" w:hint="cs"/>
          <w:sz w:val="28"/>
          <w:szCs w:val="32"/>
          <w:rtl/>
        </w:rPr>
        <w:lastRenderedPageBreak/>
        <w:t>الدائن المرتهن ليس من أعمال التصرف حتى يستلزم توكيلا خاصاً</w:t>
      </w:r>
      <w:r>
        <w:rPr>
          <w:rFonts w:cs="Traditional Arabic" w:hint="cs"/>
          <w:sz w:val="28"/>
          <w:szCs w:val="32"/>
          <w:vertAlign w:val="superscript"/>
          <w:rtl/>
        </w:rPr>
        <w:t xml:space="preserve">( </w:t>
      </w:r>
      <w:r w:rsidRPr="00EC737F">
        <w:rPr>
          <w:rStyle w:val="ab"/>
          <w:rFonts w:cs="Traditional Arabic"/>
          <w:sz w:val="28"/>
          <w:szCs w:val="32"/>
          <w:rtl/>
        </w:rPr>
        <w:footnoteReference w:id="74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إذا كان الدائن المرتهن قاصراً مميزاً أو محجوراً عليه لسفه أو لغفلة</w:t>
      </w:r>
      <w:r>
        <w:rPr>
          <w:rFonts w:cs="Traditional Arabic" w:hint="cs"/>
          <w:sz w:val="28"/>
          <w:szCs w:val="32"/>
          <w:rtl/>
        </w:rPr>
        <w:t xml:space="preserve"> ،</w:t>
      </w:r>
      <w:r w:rsidRPr="00EC737F">
        <w:rPr>
          <w:rFonts w:cs="Traditional Arabic" w:hint="cs"/>
          <w:sz w:val="28"/>
          <w:szCs w:val="32"/>
          <w:rtl/>
        </w:rPr>
        <w:t xml:space="preserve"> فإنه يجوز له كما قدمنا أن يرتهن عقار الغير</w:t>
      </w:r>
      <w:r>
        <w:rPr>
          <w:rFonts w:cs="Traditional Arabic" w:hint="cs"/>
          <w:sz w:val="28"/>
          <w:szCs w:val="32"/>
          <w:rtl/>
        </w:rPr>
        <w:t xml:space="preserve"> ،</w:t>
      </w:r>
      <w:r w:rsidRPr="00EC737F">
        <w:rPr>
          <w:rFonts w:cs="Traditional Arabic" w:hint="cs"/>
          <w:sz w:val="28"/>
          <w:szCs w:val="32"/>
          <w:rtl/>
        </w:rPr>
        <w:t xml:space="preserve"> فجوز له أن يصدر توكيلا عاماً للغير بالارتهان</w:t>
      </w:r>
      <w:r>
        <w:rPr>
          <w:rFonts w:cs="Traditional Arabic" w:hint="cs"/>
          <w:sz w:val="28"/>
          <w:szCs w:val="32"/>
          <w:rtl/>
        </w:rPr>
        <w:t xml:space="preserve"> .</w:t>
      </w:r>
      <w:r w:rsidRPr="00EC737F">
        <w:rPr>
          <w:rFonts w:cs="Traditional Arabic" w:hint="cs"/>
          <w:sz w:val="28"/>
          <w:szCs w:val="32"/>
          <w:rtl/>
        </w:rPr>
        <w:t xml:space="preserve"> ويجوز لكل من الولي أو الوصي أو القيم أن يرتهن عقار الغير نيابة عن القصار أو المحجر عليه</w:t>
      </w:r>
      <w:r>
        <w:rPr>
          <w:rFonts w:cs="Traditional Arabic" w:hint="cs"/>
          <w:sz w:val="28"/>
          <w:szCs w:val="32"/>
          <w:rtl/>
        </w:rPr>
        <w:t xml:space="preserve"> ،</w:t>
      </w:r>
      <w:r w:rsidRPr="00EC737F">
        <w:rPr>
          <w:rFonts w:cs="Traditional Arabic" w:hint="cs"/>
          <w:sz w:val="28"/>
          <w:szCs w:val="32"/>
          <w:rtl/>
        </w:rPr>
        <w:t xml:space="preserve"> دن حاجة إلى إذن المحكمة</w:t>
      </w:r>
      <w:r>
        <w:rPr>
          <w:rFonts w:cs="Traditional Arabic" w:hint="cs"/>
          <w:sz w:val="28"/>
          <w:szCs w:val="32"/>
          <w:rtl/>
        </w:rPr>
        <w:t xml:space="preserve"> ،</w:t>
      </w:r>
      <w:r w:rsidRPr="00EC737F">
        <w:rPr>
          <w:rFonts w:cs="Traditional Arabic" w:hint="cs"/>
          <w:sz w:val="28"/>
          <w:szCs w:val="32"/>
          <w:rtl/>
        </w:rPr>
        <w:t xml:space="preserve"> وتكون له الولاية في ذلك</w:t>
      </w:r>
      <w:r>
        <w:rPr>
          <w:rFonts w:cs="Traditional Arabic" w:hint="cs"/>
          <w:sz w:val="28"/>
          <w:szCs w:val="32"/>
          <w:vertAlign w:val="superscript"/>
          <w:rtl/>
        </w:rPr>
        <w:t xml:space="preserve">( </w:t>
      </w:r>
      <w:r w:rsidRPr="00EC737F">
        <w:rPr>
          <w:rStyle w:val="ab"/>
          <w:rFonts w:cs="Traditional Arabic"/>
          <w:sz w:val="28"/>
          <w:szCs w:val="32"/>
          <w:rtl/>
        </w:rPr>
        <w:footnoteReference w:id="75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154- الأهلية والولاية فيما يتعلق بالكفيل العيني</w:t>
      </w:r>
      <w:r>
        <w:rPr>
          <w:rFonts w:cs="Traditional Arabic" w:hint="cs"/>
          <w:sz w:val="28"/>
          <w:szCs w:val="32"/>
          <w:rtl/>
        </w:rPr>
        <w:t xml:space="preserve"> :</w:t>
      </w:r>
      <w:r w:rsidRPr="00EC737F">
        <w:rPr>
          <w:rFonts w:cs="Traditional Arabic" w:hint="cs"/>
          <w:sz w:val="28"/>
          <w:szCs w:val="32"/>
          <w:rtl/>
        </w:rPr>
        <w:t xml:space="preserve"> فيما قدمنا فرضنا أن الذي رهن عقاره هو نفس المدين</w:t>
      </w:r>
      <w:r>
        <w:rPr>
          <w:rFonts w:cs="Traditional Arabic" w:hint="cs"/>
          <w:sz w:val="28"/>
          <w:szCs w:val="32"/>
          <w:rtl/>
        </w:rPr>
        <w:t xml:space="preserve"> ،</w:t>
      </w:r>
      <w:r w:rsidRPr="00EC737F">
        <w:rPr>
          <w:rFonts w:cs="Traditional Arabic" w:hint="cs"/>
          <w:sz w:val="28"/>
          <w:szCs w:val="32"/>
          <w:rtl/>
        </w:rPr>
        <w:t xml:space="preserve"> كما هو الغالب</w:t>
      </w:r>
      <w:r>
        <w:rPr>
          <w:rFonts w:cs="Traditional Arabic" w:hint="cs"/>
          <w:sz w:val="28"/>
          <w:szCs w:val="32"/>
          <w:rtl/>
        </w:rPr>
        <w:t xml:space="preserve"> .</w:t>
      </w:r>
      <w:r w:rsidRPr="00EC737F">
        <w:rPr>
          <w:rFonts w:cs="Traditional Arabic" w:hint="cs"/>
          <w:sz w:val="28"/>
          <w:szCs w:val="32"/>
          <w:rtl/>
        </w:rPr>
        <w:t xml:space="preserve"> ولكن قد يقع أن $345 شخصاً غير المدين يرهن عقاره ضماناً للوفاء يدين على الغير</w:t>
      </w:r>
      <w:r>
        <w:rPr>
          <w:rFonts w:cs="Traditional Arabic" w:hint="cs"/>
          <w:sz w:val="28"/>
          <w:szCs w:val="32"/>
          <w:rtl/>
        </w:rPr>
        <w:t xml:space="preserve"> ،</w:t>
      </w:r>
      <w:r w:rsidRPr="00EC737F">
        <w:rPr>
          <w:rFonts w:cs="Traditional Arabic" w:hint="cs"/>
          <w:sz w:val="28"/>
          <w:szCs w:val="32"/>
          <w:rtl/>
        </w:rPr>
        <w:t xml:space="preserve"> وهذا هو الكفيل العيني ويجب في الكفيل العيني</w:t>
      </w:r>
      <w:r>
        <w:rPr>
          <w:rFonts w:cs="Traditional Arabic" w:hint="cs"/>
          <w:sz w:val="28"/>
          <w:szCs w:val="32"/>
          <w:rtl/>
        </w:rPr>
        <w:t xml:space="preserve"> ،</w:t>
      </w:r>
      <w:r w:rsidRPr="00EC737F">
        <w:rPr>
          <w:rFonts w:cs="Traditional Arabic" w:hint="cs"/>
          <w:sz w:val="28"/>
          <w:szCs w:val="32"/>
          <w:rtl/>
        </w:rPr>
        <w:t xml:space="preserve"> كما يجب في المدين الراهن</w:t>
      </w:r>
      <w:r>
        <w:rPr>
          <w:rFonts w:cs="Traditional Arabic" w:hint="cs"/>
          <w:sz w:val="28"/>
          <w:szCs w:val="32"/>
          <w:rtl/>
        </w:rPr>
        <w:t xml:space="preserve"> ،</w:t>
      </w:r>
      <w:r w:rsidRPr="00EC737F">
        <w:rPr>
          <w:rFonts w:cs="Traditional Arabic" w:hint="cs"/>
          <w:sz w:val="28"/>
          <w:szCs w:val="32"/>
          <w:rtl/>
        </w:rPr>
        <w:t xml:space="preserve"> أن يكون مالكاً للعقار المرهون وان يكون أهلا للتصرف فيه</w:t>
      </w:r>
      <w:r>
        <w:rPr>
          <w:rFonts w:cs="Traditional Arabic" w:hint="cs"/>
          <w:sz w:val="28"/>
          <w:szCs w:val="32"/>
          <w:rtl/>
        </w:rPr>
        <w:t xml:space="preserve"> .</w:t>
      </w:r>
      <w:r w:rsidRPr="00EC737F">
        <w:rPr>
          <w:rFonts w:cs="Traditional Arabic" w:hint="cs"/>
          <w:sz w:val="28"/>
          <w:szCs w:val="32"/>
          <w:rtl/>
        </w:rPr>
        <w:t xml:space="preserve"> ولكن التصرف هنا لا يكون عادة بمقابل</w:t>
      </w:r>
      <w:r>
        <w:rPr>
          <w:rFonts w:cs="Traditional Arabic" w:hint="cs"/>
          <w:sz w:val="28"/>
          <w:szCs w:val="32"/>
          <w:rtl/>
        </w:rPr>
        <w:t xml:space="preserve"> ،</w:t>
      </w:r>
      <w:r w:rsidRPr="00EC737F">
        <w:rPr>
          <w:rFonts w:cs="Traditional Arabic" w:hint="cs"/>
          <w:sz w:val="28"/>
          <w:szCs w:val="32"/>
          <w:rtl/>
        </w:rPr>
        <w:t xml:space="preserve"> على عكس مما تكون الحال بالنسبة إلى المدين الراهن</w:t>
      </w:r>
      <w:r>
        <w:rPr>
          <w:rFonts w:cs="Traditional Arabic" w:hint="cs"/>
          <w:sz w:val="28"/>
          <w:szCs w:val="32"/>
          <w:rtl/>
        </w:rPr>
        <w:t xml:space="preserve"> .</w:t>
      </w:r>
      <w:r w:rsidRPr="00EC737F">
        <w:rPr>
          <w:rFonts w:cs="Traditional Arabic" w:hint="cs"/>
          <w:sz w:val="28"/>
          <w:szCs w:val="32"/>
          <w:rtl/>
        </w:rPr>
        <w:t xml:space="preserve"> فالمدين الراهن يرهن عقاره ضماناً للوفاء بدين في ذمته</w:t>
      </w:r>
      <w:r>
        <w:rPr>
          <w:rFonts w:cs="Traditional Arabic" w:hint="cs"/>
          <w:sz w:val="28"/>
          <w:szCs w:val="32"/>
          <w:rtl/>
        </w:rPr>
        <w:t xml:space="preserve"> ،</w:t>
      </w:r>
      <w:r w:rsidRPr="00EC737F">
        <w:rPr>
          <w:rFonts w:cs="Traditional Arabic" w:hint="cs"/>
          <w:sz w:val="28"/>
          <w:szCs w:val="32"/>
          <w:rtl/>
        </w:rPr>
        <w:t xml:space="preserve"> فيكون الرهن في هذه الحالة من أعمال التصرف وهو يدور بين النفع والضرر</w:t>
      </w:r>
      <w:r>
        <w:rPr>
          <w:rFonts w:cs="Traditional Arabic" w:hint="cs"/>
          <w:sz w:val="28"/>
          <w:szCs w:val="32"/>
          <w:rtl/>
        </w:rPr>
        <w:t xml:space="preserve"> .</w:t>
      </w:r>
      <w:r w:rsidRPr="00EC737F">
        <w:rPr>
          <w:rFonts w:cs="Traditional Arabic" w:hint="cs"/>
          <w:sz w:val="28"/>
          <w:szCs w:val="32"/>
          <w:rtl/>
        </w:rPr>
        <w:t xml:space="preserve"> أما الكفيل العيني فإنه عادة لا ينتفع شخصياً بالرهن الذي يقدمه ضماناً للوفاء بدين في ذمة غيره</w:t>
      </w:r>
      <w:r>
        <w:rPr>
          <w:rFonts w:cs="Traditional Arabic" w:hint="cs"/>
          <w:sz w:val="28"/>
          <w:szCs w:val="32"/>
          <w:rtl/>
        </w:rPr>
        <w:t xml:space="preserve"> ،</w:t>
      </w:r>
      <w:r w:rsidRPr="00EC737F">
        <w:rPr>
          <w:rFonts w:cs="Traditional Arabic" w:hint="cs"/>
          <w:sz w:val="28"/>
          <w:szCs w:val="32"/>
          <w:rtl/>
        </w:rPr>
        <w:t xml:space="preserve"> بل هو ينفع المدين برهنه هذا</w:t>
      </w:r>
      <w:r>
        <w:rPr>
          <w:rFonts w:cs="Traditional Arabic" w:hint="cs"/>
          <w:sz w:val="28"/>
          <w:szCs w:val="32"/>
          <w:rtl/>
        </w:rPr>
        <w:t xml:space="preserve"> .</w:t>
      </w:r>
      <w:r w:rsidRPr="00EC737F">
        <w:rPr>
          <w:rFonts w:cs="Traditional Arabic" w:hint="cs"/>
          <w:sz w:val="28"/>
          <w:szCs w:val="32"/>
          <w:rtl/>
        </w:rPr>
        <w:t xml:space="preserve"> لذلك يعتبر الرهن الذي يقدمه الكفيل العيني في العادة من أعمال التبرع</w:t>
      </w:r>
      <w:r>
        <w:rPr>
          <w:rFonts w:cs="Traditional Arabic" w:hint="cs"/>
          <w:sz w:val="28"/>
          <w:szCs w:val="32"/>
          <w:rtl/>
        </w:rPr>
        <w:t xml:space="preserve"> ،</w:t>
      </w:r>
      <w:r w:rsidRPr="00EC737F">
        <w:rPr>
          <w:rFonts w:cs="Traditional Arabic" w:hint="cs"/>
          <w:sz w:val="28"/>
          <w:szCs w:val="32"/>
          <w:rtl/>
        </w:rPr>
        <w:t xml:space="preserve"> لا مجرد عمل من أعمال التصرف</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ولذلك يجب أن يتوافر في الكفيل العيني أهلية التبرع</w:t>
      </w:r>
      <w:r>
        <w:rPr>
          <w:rFonts w:cs="Traditional Arabic" w:hint="cs"/>
          <w:sz w:val="28"/>
          <w:szCs w:val="32"/>
          <w:rtl/>
        </w:rPr>
        <w:t xml:space="preserve"> ،</w:t>
      </w:r>
      <w:r w:rsidRPr="00EC737F">
        <w:rPr>
          <w:rFonts w:cs="Traditional Arabic" w:hint="cs"/>
          <w:sz w:val="28"/>
          <w:szCs w:val="32"/>
          <w:rtl/>
        </w:rPr>
        <w:t xml:space="preserve"> لا أهلية التصرف فحسب</w:t>
      </w:r>
      <w:r>
        <w:rPr>
          <w:rFonts w:cs="Traditional Arabic" w:hint="cs"/>
          <w:sz w:val="28"/>
          <w:szCs w:val="32"/>
          <w:rtl/>
        </w:rPr>
        <w:t xml:space="preserve"> .</w:t>
      </w:r>
      <w:r w:rsidRPr="00EC737F">
        <w:rPr>
          <w:rFonts w:cs="Traditional Arabic" w:hint="cs"/>
          <w:sz w:val="28"/>
          <w:szCs w:val="32"/>
          <w:rtl/>
        </w:rPr>
        <w:t xml:space="preserve"> ومن ثم يجب أن يكون بالغاً سن الرشد غير محجور عليه</w:t>
      </w:r>
      <w:r>
        <w:rPr>
          <w:rFonts w:cs="Traditional Arabic" w:hint="cs"/>
          <w:sz w:val="28"/>
          <w:szCs w:val="32"/>
          <w:rtl/>
        </w:rPr>
        <w:t xml:space="preserve"> ،</w:t>
      </w:r>
      <w:r w:rsidRPr="00EC737F">
        <w:rPr>
          <w:rFonts w:cs="Traditional Arabic" w:hint="cs"/>
          <w:sz w:val="28"/>
          <w:szCs w:val="32"/>
          <w:rtl/>
        </w:rPr>
        <w:t xml:space="preserve"> وعند ذلك يستطيع أن يرهن عقاره ضماناً للوفاء بالتزام في ذمة غيره</w:t>
      </w:r>
      <w:r>
        <w:rPr>
          <w:rFonts w:cs="Traditional Arabic" w:hint="cs"/>
          <w:sz w:val="28"/>
          <w:szCs w:val="32"/>
          <w:rtl/>
        </w:rPr>
        <w:t xml:space="preserve"> .</w:t>
      </w:r>
      <w:r w:rsidRPr="00EC737F">
        <w:rPr>
          <w:rFonts w:cs="Traditional Arabic" w:hint="cs"/>
          <w:sz w:val="28"/>
          <w:szCs w:val="32"/>
          <w:rtl/>
        </w:rPr>
        <w:t xml:space="preserve"> فإذا كان قاصراً</w:t>
      </w:r>
      <w:r>
        <w:rPr>
          <w:rFonts w:cs="Traditional Arabic" w:hint="cs"/>
          <w:sz w:val="28"/>
          <w:szCs w:val="32"/>
          <w:rtl/>
        </w:rPr>
        <w:t xml:space="preserve"> ،</w:t>
      </w:r>
      <w:r w:rsidRPr="00EC737F">
        <w:rPr>
          <w:rFonts w:cs="Traditional Arabic" w:hint="cs"/>
          <w:sz w:val="28"/>
          <w:szCs w:val="32"/>
          <w:rtl/>
        </w:rPr>
        <w:t xml:space="preserve"> مميزاً أو غير مميز</w:t>
      </w:r>
      <w:r>
        <w:rPr>
          <w:rFonts w:cs="Traditional Arabic" w:hint="cs"/>
          <w:sz w:val="28"/>
          <w:szCs w:val="32"/>
          <w:rtl/>
        </w:rPr>
        <w:t xml:space="preserve"> ،</w:t>
      </w:r>
      <w:r w:rsidRPr="00EC737F">
        <w:rPr>
          <w:rFonts w:cs="Traditional Arabic" w:hint="cs"/>
          <w:sz w:val="28"/>
          <w:szCs w:val="32"/>
          <w:rtl/>
        </w:rPr>
        <w:t xml:space="preserve"> أو كان محجوراً عليه ولو لسفه أو غفلة</w:t>
      </w:r>
      <w:r>
        <w:rPr>
          <w:rFonts w:cs="Traditional Arabic" w:hint="cs"/>
          <w:sz w:val="28"/>
          <w:szCs w:val="32"/>
          <w:rtl/>
        </w:rPr>
        <w:t xml:space="preserve"> ،</w:t>
      </w:r>
      <w:r w:rsidRPr="00EC737F">
        <w:rPr>
          <w:rFonts w:cs="Traditional Arabic" w:hint="cs"/>
          <w:sz w:val="28"/>
          <w:szCs w:val="32"/>
          <w:rtl/>
        </w:rPr>
        <w:t xml:space="preserve"> ورهن عقاره ككفيل عيني</w:t>
      </w:r>
      <w:r>
        <w:rPr>
          <w:rFonts w:cs="Traditional Arabic" w:hint="cs"/>
          <w:sz w:val="28"/>
          <w:szCs w:val="32"/>
          <w:rtl/>
        </w:rPr>
        <w:t xml:space="preserve"> ،</w:t>
      </w:r>
      <w:r w:rsidRPr="00EC737F">
        <w:rPr>
          <w:rFonts w:cs="Traditional Arabic" w:hint="cs"/>
          <w:sz w:val="28"/>
          <w:szCs w:val="32"/>
          <w:rtl/>
        </w:rPr>
        <w:t xml:space="preserve"> كان الرهن باطلا لا قابلا للإبطال</w:t>
      </w:r>
      <w:r>
        <w:rPr>
          <w:rFonts w:cs="Traditional Arabic" w:hint="cs"/>
          <w:sz w:val="28"/>
          <w:szCs w:val="32"/>
          <w:rtl/>
        </w:rPr>
        <w:t xml:space="preserve"> ،</w:t>
      </w:r>
      <w:r w:rsidRPr="00EC737F">
        <w:rPr>
          <w:rFonts w:cs="Traditional Arabic" w:hint="cs"/>
          <w:sz w:val="28"/>
          <w:szCs w:val="32"/>
          <w:rtl/>
        </w:rPr>
        <w:t xml:space="preserve"> لأن الكفيل العيني يقوم بعمل من أعمال التبرع وهو لا يملكه</w:t>
      </w:r>
      <w:r>
        <w:rPr>
          <w:rFonts w:cs="Traditional Arabic" w:hint="cs"/>
          <w:sz w:val="28"/>
          <w:szCs w:val="32"/>
          <w:rtl/>
        </w:rPr>
        <w:t xml:space="preserve"> .</w:t>
      </w:r>
      <w:r w:rsidRPr="00EC737F">
        <w:rPr>
          <w:rFonts w:cs="Traditional Arabic" w:hint="cs"/>
          <w:sz w:val="28"/>
          <w:szCs w:val="32"/>
          <w:rtl/>
        </w:rPr>
        <w:t>كذلك لا يجوز</w:t>
      </w:r>
      <w:r>
        <w:rPr>
          <w:rFonts w:cs="Traditional Arabic" w:hint="cs"/>
          <w:sz w:val="28"/>
          <w:szCs w:val="32"/>
          <w:rtl/>
        </w:rPr>
        <w:t xml:space="preserve"> ،</w:t>
      </w:r>
      <w:r w:rsidRPr="00EC737F">
        <w:rPr>
          <w:rFonts w:cs="Traditional Arabic" w:hint="cs"/>
          <w:sz w:val="28"/>
          <w:szCs w:val="32"/>
          <w:rtl/>
        </w:rPr>
        <w:t xml:space="preserve"> وهو قاصرا أو محجور عليه</w:t>
      </w:r>
      <w:r>
        <w:rPr>
          <w:rFonts w:cs="Traditional Arabic" w:hint="cs"/>
          <w:sz w:val="28"/>
          <w:szCs w:val="32"/>
          <w:rtl/>
        </w:rPr>
        <w:t xml:space="preserve"> ،</w:t>
      </w:r>
      <w:r w:rsidRPr="00EC737F">
        <w:rPr>
          <w:rFonts w:cs="Traditional Arabic" w:hint="cs"/>
          <w:sz w:val="28"/>
          <w:szCs w:val="32"/>
          <w:rtl/>
        </w:rPr>
        <w:t xml:space="preserve"> أن يرهن وليه </w:t>
      </w:r>
      <w:r>
        <w:rPr>
          <w:rFonts w:cs="Traditional Arabic" w:hint="cs"/>
          <w:sz w:val="28"/>
          <w:szCs w:val="32"/>
          <w:rtl/>
        </w:rPr>
        <w:t xml:space="preserve">( </w:t>
      </w:r>
      <w:r w:rsidRPr="00EC737F">
        <w:rPr>
          <w:rFonts w:cs="Traditional Arabic" w:hint="cs"/>
          <w:sz w:val="28"/>
          <w:szCs w:val="32"/>
          <w:rtl/>
        </w:rPr>
        <w:t>ولو كان الأب</w:t>
      </w:r>
      <w:r>
        <w:rPr>
          <w:rFonts w:cs="Traditional Arabic" w:hint="cs"/>
          <w:sz w:val="28"/>
          <w:szCs w:val="32"/>
          <w:rtl/>
        </w:rPr>
        <w:t xml:space="preserve"> )</w:t>
      </w:r>
      <w:r w:rsidRPr="00EC737F">
        <w:rPr>
          <w:rFonts w:cs="Traditional Arabic" w:hint="cs"/>
          <w:sz w:val="28"/>
          <w:szCs w:val="32"/>
          <w:rtl/>
        </w:rPr>
        <w:t xml:space="preserve"> أو وصيه أو القيم عليه </w:t>
      </w:r>
      <w:r w:rsidRPr="00EC737F">
        <w:rPr>
          <w:rFonts w:cs="Traditional Arabic" w:hint="cs"/>
          <w:sz w:val="28"/>
          <w:szCs w:val="32"/>
          <w:rtl/>
        </w:rPr>
        <w:lastRenderedPageBreak/>
        <w:t>عقاره ضماناً للوفاء بالتزام في ذمة غيره</w:t>
      </w:r>
      <w:r>
        <w:rPr>
          <w:rFonts w:cs="Traditional Arabic" w:hint="cs"/>
          <w:sz w:val="28"/>
          <w:szCs w:val="32"/>
          <w:rtl/>
        </w:rPr>
        <w:t xml:space="preserve"> .</w:t>
      </w:r>
      <w:r w:rsidRPr="00EC737F">
        <w:rPr>
          <w:rFonts w:cs="Traditional Arabic" w:hint="cs"/>
          <w:sz w:val="28"/>
          <w:szCs w:val="32"/>
          <w:rtl/>
        </w:rPr>
        <w:t xml:space="preserve"> وإن فعل كان الرهن باطلا بطلاناً مطلقاً لا قابلا للإبطال</w:t>
      </w:r>
      <w:r>
        <w:rPr>
          <w:rFonts w:cs="Traditional Arabic" w:hint="cs"/>
          <w:sz w:val="28"/>
          <w:szCs w:val="32"/>
          <w:rtl/>
        </w:rPr>
        <w:t xml:space="preserve"> ،</w:t>
      </w:r>
      <w:r w:rsidRPr="00EC737F">
        <w:rPr>
          <w:rFonts w:cs="Traditional Arabic" w:hint="cs"/>
          <w:sz w:val="28"/>
          <w:szCs w:val="32"/>
          <w:rtl/>
        </w:rPr>
        <w:t xml:space="preserve"> ولو ك أن ذلك بإذن المحكمة</w:t>
      </w:r>
      <w:r>
        <w:rPr>
          <w:rFonts w:cs="Traditional Arabic" w:hint="cs"/>
          <w:sz w:val="28"/>
          <w:szCs w:val="32"/>
          <w:rtl/>
        </w:rPr>
        <w:t xml:space="preserve"> ،</w:t>
      </w:r>
      <w:r w:rsidRPr="00EC737F">
        <w:rPr>
          <w:rFonts w:cs="Traditional Arabic" w:hint="cs"/>
          <w:sz w:val="28"/>
          <w:szCs w:val="32"/>
          <w:rtl/>
        </w:rPr>
        <w:t xml:space="preserve"> لأن النائب لا يستطيع التبرع بمال محجوره ولو بإذن المحكمة</w:t>
      </w:r>
      <w:r>
        <w:rPr>
          <w:rFonts w:cs="Traditional Arabic" w:hint="cs"/>
          <w:sz w:val="28"/>
          <w:szCs w:val="32"/>
          <w:rtl/>
        </w:rPr>
        <w:t xml:space="preserve"> .</w:t>
      </w:r>
      <w:r w:rsidRPr="00EC737F">
        <w:rPr>
          <w:rFonts w:cs="Traditional Arabic" w:hint="cs"/>
          <w:sz w:val="28"/>
          <w:szCs w:val="32"/>
          <w:rtl/>
        </w:rPr>
        <w:t xml:space="preserve"> ويجوز أن يتمسك بالبطلان المطلق كل ذي مصلحة</w:t>
      </w:r>
      <w:r>
        <w:rPr>
          <w:rFonts w:cs="Traditional Arabic" w:hint="cs"/>
          <w:sz w:val="28"/>
          <w:szCs w:val="32"/>
          <w:rtl/>
        </w:rPr>
        <w:t xml:space="preserve"> ،</w:t>
      </w:r>
      <w:r w:rsidRPr="00EC737F">
        <w:rPr>
          <w:rFonts w:cs="Traditional Arabic" w:hint="cs"/>
          <w:sz w:val="28"/>
          <w:szCs w:val="32"/>
          <w:rtl/>
        </w:rPr>
        <w:t xml:space="preserve"> فيتمسك به نفس الكفيل العيني بعد بلوغه سن الرشد والدائن المرتهن </w:t>
      </w:r>
      <w:r>
        <w:rPr>
          <w:rFonts w:cs="Traditional Arabic" w:hint="cs"/>
          <w:sz w:val="28"/>
          <w:szCs w:val="32"/>
          <w:rtl/>
        </w:rPr>
        <w:t xml:space="preserve">( </w:t>
      </w:r>
      <w:r w:rsidRPr="00EC737F">
        <w:rPr>
          <w:rFonts w:cs="Traditional Arabic" w:hint="cs"/>
          <w:sz w:val="28"/>
          <w:szCs w:val="32"/>
          <w:rtl/>
        </w:rPr>
        <w:t>ويطلب حلول أجل الدين لبطلان الرهن</w:t>
      </w:r>
      <w:r>
        <w:rPr>
          <w:rFonts w:cs="Traditional Arabic" w:hint="cs"/>
          <w:sz w:val="28"/>
          <w:szCs w:val="32"/>
          <w:rtl/>
        </w:rPr>
        <w:t xml:space="preserve"> )</w:t>
      </w:r>
      <w:r w:rsidRPr="00EC737F">
        <w:rPr>
          <w:rFonts w:cs="Traditional Arabic" w:hint="cs"/>
          <w:sz w:val="28"/>
          <w:szCs w:val="32"/>
          <w:rtl/>
        </w:rPr>
        <w:t xml:space="preserve"> والولي والوصي والقيم ودائنو الكفيل العيني ومن اشترى العقار المرهون أو ارتهنه مرة ثانية وكان الشراء أو الرهن الثاني صحيحاً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وإذا لم يباشر الكفيل العيني الرهن الرسمي بنفسه</w:t>
      </w:r>
      <w:r>
        <w:rPr>
          <w:rFonts w:cs="Traditional Arabic" w:hint="cs"/>
          <w:sz w:val="28"/>
          <w:szCs w:val="32"/>
          <w:rtl/>
        </w:rPr>
        <w:t xml:space="preserve"> ،</w:t>
      </w:r>
      <w:r w:rsidRPr="00EC737F">
        <w:rPr>
          <w:rFonts w:cs="Traditional Arabic" w:hint="cs"/>
          <w:sz w:val="28"/>
          <w:szCs w:val="32"/>
          <w:rtl/>
        </w:rPr>
        <w:t xml:space="preserve"> بل باشره غيره</w:t>
      </w:r>
      <w:r>
        <w:rPr>
          <w:rFonts w:cs="Traditional Arabic" w:hint="cs"/>
          <w:sz w:val="28"/>
          <w:szCs w:val="32"/>
          <w:rtl/>
        </w:rPr>
        <w:t xml:space="preserve"> ،</w:t>
      </w:r>
      <w:r w:rsidRPr="00EC737F">
        <w:rPr>
          <w:rFonts w:cs="Traditional Arabic" w:hint="cs"/>
          <w:sz w:val="28"/>
          <w:szCs w:val="32"/>
          <w:rtl/>
        </w:rPr>
        <w:t xml:space="preserve"> $346 وجب أن يكون هذا الغير وكيلا عن الكفيل العيني</w:t>
      </w:r>
      <w:r>
        <w:rPr>
          <w:rFonts w:cs="Traditional Arabic" w:hint="cs"/>
          <w:sz w:val="28"/>
          <w:szCs w:val="32"/>
          <w:rtl/>
        </w:rPr>
        <w:t xml:space="preserve"> ،</w:t>
      </w:r>
      <w:r w:rsidRPr="00EC737F">
        <w:rPr>
          <w:rFonts w:cs="Traditional Arabic" w:hint="cs"/>
          <w:sz w:val="28"/>
          <w:szCs w:val="32"/>
          <w:rtl/>
        </w:rPr>
        <w:t xml:space="preserve"> ويجب أن تكون الوكالة خاصة لعمل من أعمال التبرع</w:t>
      </w:r>
      <w:r>
        <w:rPr>
          <w:rFonts w:cs="Traditional Arabic" w:hint="cs"/>
          <w:sz w:val="28"/>
          <w:szCs w:val="32"/>
          <w:rtl/>
        </w:rPr>
        <w:t xml:space="preserve"> ،</w:t>
      </w:r>
      <w:r w:rsidRPr="00EC737F">
        <w:rPr>
          <w:rFonts w:cs="Traditional Arabic" w:hint="cs"/>
          <w:sz w:val="28"/>
          <w:szCs w:val="32"/>
          <w:rtl/>
        </w:rPr>
        <w:t xml:space="preserve"> فلا تكفي الوكالة العامة للإدارة ولا الوكالة الخاصة لعمل من أعمال التصرف</w:t>
      </w:r>
      <w:r>
        <w:rPr>
          <w:rFonts w:cs="Traditional Arabic" w:hint="cs"/>
          <w:sz w:val="28"/>
          <w:szCs w:val="32"/>
          <w:rtl/>
        </w:rPr>
        <w:t xml:space="preserve"> .</w:t>
      </w:r>
      <w:r w:rsidRPr="00EC737F">
        <w:rPr>
          <w:rFonts w:cs="Traditional Arabic" w:hint="cs"/>
          <w:sz w:val="28"/>
          <w:szCs w:val="32"/>
          <w:rtl/>
        </w:rPr>
        <w:t xml:space="preserve"> ولذلك يجب أن يكون الكفيل بالغاص سن الرشد غير محجور عليه</w:t>
      </w:r>
      <w:r>
        <w:rPr>
          <w:rFonts w:cs="Traditional Arabic" w:hint="cs"/>
          <w:sz w:val="28"/>
          <w:szCs w:val="32"/>
          <w:rtl/>
        </w:rPr>
        <w:t xml:space="preserve"> ،</w:t>
      </w:r>
      <w:r w:rsidRPr="00EC737F">
        <w:rPr>
          <w:rFonts w:cs="Traditional Arabic" w:hint="cs"/>
          <w:sz w:val="28"/>
          <w:szCs w:val="32"/>
          <w:rtl/>
        </w:rPr>
        <w:t xml:space="preserve"> حتى يستطيع أن يصدر هذه الوكالة</w:t>
      </w:r>
      <w:r>
        <w:rPr>
          <w:rFonts w:cs="Traditional Arabic" w:hint="cs"/>
          <w:sz w:val="28"/>
          <w:szCs w:val="32"/>
          <w:rtl/>
        </w:rPr>
        <w:t xml:space="preserve"> .</w:t>
      </w:r>
      <w:r w:rsidRPr="00EC737F">
        <w:rPr>
          <w:rFonts w:cs="Traditional Arabic" w:hint="cs"/>
          <w:sz w:val="28"/>
          <w:szCs w:val="32"/>
          <w:rtl/>
        </w:rPr>
        <w:t xml:space="preserve"> ويجب أن يكون التوكيل بالرهن الرسمي الصادر من الكفيل العيني مذكوراً فيه العقار المراد رهنه والدين الذي يرهن العقار ضماناً للوفاء به</w:t>
      </w:r>
      <w:r>
        <w:rPr>
          <w:rFonts w:cs="Traditional Arabic" w:hint="cs"/>
          <w:sz w:val="28"/>
          <w:szCs w:val="32"/>
          <w:rtl/>
        </w:rPr>
        <w:t xml:space="preserve"> ،</w:t>
      </w:r>
      <w:r w:rsidRPr="00EC737F">
        <w:rPr>
          <w:rFonts w:cs="Traditional Arabic" w:hint="cs"/>
          <w:sz w:val="28"/>
          <w:szCs w:val="32"/>
          <w:rtl/>
        </w:rPr>
        <w:t xml:space="preserve"> وإلا كان التوكيل باطلا لأن الوكيل يقوم بعمل من أعمال التبرع</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إما إذا كان الكيل العيني قاصراً لو مميزاً</w:t>
      </w:r>
      <w:r>
        <w:rPr>
          <w:rFonts w:cs="Traditional Arabic" w:hint="cs"/>
          <w:sz w:val="28"/>
          <w:szCs w:val="32"/>
          <w:rtl/>
        </w:rPr>
        <w:t xml:space="preserve"> ،</w:t>
      </w:r>
      <w:r w:rsidRPr="00EC737F">
        <w:rPr>
          <w:rFonts w:cs="Traditional Arabic" w:hint="cs"/>
          <w:sz w:val="28"/>
          <w:szCs w:val="32"/>
          <w:rtl/>
        </w:rPr>
        <w:t xml:space="preserve"> أو محجوراً عليه ولو لسفه أو غفلة</w:t>
      </w:r>
      <w:r>
        <w:rPr>
          <w:rFonts w:cs="Traditional Arabic" w:hint="cs"/>
          <w:sz w:val="28"/>
          <w:szCs w:val="32"/>
          <w:rtl/>
        </w:rPr>
        <w:t xml:space="preserve"> ،</w:t>
      </w:r>
      <w:r w:rsidRPr="00EC737F">
        <w:rPr>
          <w:rFonts w:cs="Traditional Arabic" w:hint="cs"/>
          <w:sz w:val="28"/>
          <w:szCs w:val="32"/>
          <w:rtl/>
        </w:rPr>
        <w:t xml:space="preserve"> لم يستطع أحد أن يرهن عقاره ضماناً للوفاء بالتزام في ذمة غيره</w:t>
      </w:r>
      <w:r>
        <w:rPr>
          <w:rFonts w:cs="Traditional Arabic" w:hint="cs"/>
          <w:sz w:val="28"/>
          <w:szCs w:val="32"/>
          <w:rtl/>
        </w:rPr>
        <w:t xml:space="preserve"> .</w:t>
      </w:r>
      <w:r w:rsidRPr="00EC737F">
        <w:rPr>
          <w:rFonts w:cs="Traditional Arabic" w:hint="cs"/>
          <w:sz w:val="28"/>
          <w:szCs w:val="32"/>
          <w:rtl/>
        </w:rPr>
        <w:t xml:space="preserve"> وقد قدمنا أن الولي أو الوصي أو القيم لا يستطيع ذلك ولو بإذن المحكمة</w:t>
      </w:r>
      <w:r>
        <w:rPr>
          <w:rFonts w:cs="Traditional Arabic" w:hint="cs"/>
          <w:sz w:val="28"/>
          <w:szCs w:val="32"/>
          <w:rtl/>
        </w:rPr>
        <w:t xml:space="preserve"> ،</w:t>
      </w:r>
      <w:r w:rsidRPr="00EC737F">
        <w:rPr>
          <w:rFonts w:cs="Traditional Arabic" w:hint="cs"/>
          <w:sz w:val="28"/>
          <w:szCs w:val="32"/>
          <w:rtl/>
        </w:rPr>
        <w:t xml:space="preserve"> وإن فعل كان الرهن باطلا بطلاناً مطلقاً لأنه عمل من أعمال التبرع</w:t>
      </w:r>
      <w:r>
        <w:rPr>
          <w:rFonts w:cs="Traditional Arabic" w:hint="cs"/>
          <w:sz w:val="28"/>
          <w:szCs w:val="32"/>
          <w:vertAlign w:val="superscript"/>
          <w:rtl/>
        </w:rPr>
        <w:t xml:space="preserve">( </w:t>
      </w:r>
      <w:r w:rsidRPr="00EC737F">
        <w:rPr>
          <w:rStyle w:val="ab"/>
          <w:rFonts w:cs="Traditional Arabic"/>
          <w:sz w:val="28"/>
          <w:szCs w:val="32"/>
          <w:rtl/>
        </w:rPr>
        <w:footnoteReference w:id="75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jc w:val="center"/>
        <w:rPr>
          <w:rFonts w:cs="Traditional Arabic" w:hint="cs"/>
          <w:b/>
          <w:bCs/>
          <w:sz w:val="28"/>
          <w:szCs w:val="40"/>
          <w:rtl/>
        </w:rPr>
      </w:pPr>
      <w:r w:rsidRPr="00EC737F">
        <w:rPr>
          <w:rFonts w:cs="Traditional Arabic" w:hint="cs"/>
          <w:b/>
          <w:bCs/>
          <w:sz w:val="28"/>
          <w:szCs w:val="40"/>
          <w:rtl/>
        </w:rPr>
        <w:t>المطلب الثاني</w:t>
      </w:r>
    </w:p>
    <w:p w:rsidR="00F72742" w:rsidRPr="00EC737F" w:rsidRDefault="00F72742" w:rsidP="00F72742">
      <w:pPr>
        <w:widowControl w:val="0"/>
        <w:jc w:val="center"/>
        <w:rPr>
          <w:rFonts w:cs="Traditional Arabic" w:hint="cs"/>
          <w:b/>
          <w:bCs/>
          <w:sz w:val="28"/>
          <w:szCs w:val="32"/>
          <w:rtl/>
        </w:rPr>
      </w:pPr>
      <w:r w:rsidRPr="00EC737F">
        <w:rPr>
          <w:rFonts w:cs="Traditional Arabic" w:hint="cs"/>
          <w:b/>
          <w:bCs/>
          <w:sz w:val="28"/>
          <w:szCs w:val="32"/>
          <w:rtl/>
        </w:rPr>
        <w:t>تخصيص الرهن من حيث العقار المرهون</w:t>
      </w:r>
    </w:p>
    <w:p w:rsidR="00F72742" w:rsidRPr="00EC737F" w:rsidRDefault="00F72742" w:rsidP="00F72742">
      <w:pPr>
        <w:widowControl w:val="0"/>
        <w:jc w:val="center"/>
        <w:rPr>
          <w:rFonts w:cs="Traditional Arabic" w:hint="cs"/>
          <w:b/>
          <w:bCs/>
          <w:sz w:val="28"/>
          <w:szCs w:val="32"/>
          <w:rtl/>
        </w:rPr>
      </w:pPr>
      <w:r w:rsidRPr="00EC737F">
        <w:rPr>
          <w:rFonts w:cs="Traditional Arabic" w:hint="cs"/>
          <w:b/>
          <w:bCs/>
          <w:sz w:val="28"/>
          <w:szCs w:val="32"/>
          <w:rtl/>
        </w:rPr>
        <w:t>ومن حيث الالتزام المضمون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155- كيف نشأ مبدأ تخصص الرهن</w:t>
      </w:r>
      <w:r>
        <w:rPr>
          <w:rFonts w:cs="Traditional Arabic" w:hint="cs"/>
          <w:sz w:val="28"/>
          <w:szCs w:val="32"/>
          <w:rtl/>
        </w:rPr>
        <w:t xml:space="preserve"> :</w:t>
      </w:r>
      <w:r w:rsidRPr="00EC737F">
        <w:rPr>
          <w:rFonts w:cs="Traditional Arabic" w:hint="cs"/>
          <w:sz w:val="28"/>
          <w:szCs w:val="32"/>
          <w:rtl/>
        </w:rPr>
        <w:t xml:space="preserve"> لم يكن مبدأ تخصيص الرهن معروفاً  في القانون الروماني</w:t>
      </w:r>
      <w:r>
        <w:rPr>
          <w:rFonts w:cs="Traditional Arabic" w:hint="cs"/>
          <w:sz w:val="28"/>
          <w:szCs w:val="32"/>
          <w:rtl/>
        </w:rPr>
        <w:t xml:space="preserve"> </w:t>
      </w:r>
      <w:r>
        <w:rPr>
          <w:rFonts w:cs="Traditional Arabic" w:hint="cs"/>
          <w:sz w:val="28"/>
          <w:szCs w:val="32"/>
          <w:rtl/>
        </w:rPr>
        <w:lastRenderedPageBreak/>
        <w:t>،</w:t>
      </w:r>
      <w:r w:rsidRPr="00EC737F">
        <w:rPr>
          <w:rFonts w:cs="Traditional Arabic" w:hint="cs"/>
          <w:sz w:val="28"/>
          <w:szCs w:val="32"/>
          <w:rtl/>
        </w:rPr>
        <w:t xml:space="preserve"> فكان يجوز في هذا القانون أن يرهن الشخص رهناً رسمياً جميع عقاراته الحاضرة والمستقبلة</w:t>
      </w:r>
      <w:r>
        <w:rPr>
          <w:rFonts w:cs="Traditional Arabic" w:hint="cs"/>
          <w:sz w:val="28"/>
          <w:szCs w:val="32"/>
          <w:rtl/>
        </w:rPr>
        <w:t xml:space="preserve"> ،</w:t>
      </w:r>
      <w:r w:rsidRPr="00EC737F">
        <w:rPr>
          <w:rFonts w:cs="Traditional Arabic" w:hint="cs"/>
          <w:sz w:val="28"/>
          <w:szCs w:val="32"/>
          <w:rtl/>
        </w:rPr>
        <w:t xml:space="preserve"> ولم يكن يستثني من عقارات المدين إلا ما تستثنيه الإرادة الضمنية أو ما ينزل عنه الدائن</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وكان هذا المبدأ مجهولا أيضاً في القانون الفرنسي القديم</w:t>
      </w:r>
      <w:r>
        <w:rPr>
          <w:rFonts w:cs="Traditional Arabic" w:hint="cs"/>
          <w:sz w:val="28"/>
          <w:szCs w:val="32"/>
          <w:rtl/>
        </w:rPr>
        <w:t xml:space="preserve"> ،</w:t>
      </w:r>
      <w:r w:rsidRPr="00EC737F">
        <w:rPr>
          <w:rFonts w:cs="Traditional Arabic" w:hint="cs"/>
          <w:sz w:val="28"/>
          <w:szCs w:val="32"/>
          <w:rtl/>
        </w:rPr>
        <w:t xml:space="preserve"> وكان الرهن الرسمي العام لجميع العقارات هو الرهن المعتاد في هذه العصور</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$347 وفي الثورة الفرنسية أباح قانون مسيدور </w:t>
      </w:r>
      <w:r>
        <w:rPr>
          <w:rFonts w:cs="Traditional Arabic"/>
          <w:sz w:val="28"/>
          <w:szCs w:val="32"/>
          <w:rtl/>
        </w:rPr>
        <w:t xml:space="preserve">( </w:t>
      </w:r>
      <w:r w:rsidRPr="00EC737F">
        <w:rPr>
          <w:rFonts w:cs="Traditional Arabic"/>
          <w:sz w:val="28"/>
          <w:szCs w:val="32"/>
        </w:rPr>
        <w:t>messidor</w:t>
      </w:r>
      <w:r>
        <w:rPr>
          <w:rFonts w:cs="Traditional Arabic"/>
          <w:sz w:val="28"/>
          <w:szCs w:val="32"/>
          <w:rtl/>
        </w:rPr>
        <w:t xml:space="preserve"> )</w:t>
      </w:r>
      <w:r w:rsidRPr="00EC737F">
        <w:rPr>
          <w:rFonts w:cs="Traditional Arabic" w:hint="cs"/>
          <w:sz w:val="28"/>
          <w:szCs w:val="32"/>
          <w:rtl/>
        </w:rPr>
        <w:t xml:space="preserve"> للسنة الثالثة للثورة رهن جميع العقارات دون مراعاة لمبدأ التخصيص</w:t>
      </w:r>
      <w:r>
        <w:rPr>
          <w:rFonts w:cs="Traditional Arabic" w:hint="cs"/>
          <w:sz w:val="28"/>
          <w:szCs w:val="32"/>
          <w:rtl/>
        </w:rPr>
        <w:t xml:space="preserve"> ،</w:t>
      </w:r>
      <w:r w:rsidRPr="00EC737F">
        <w:rPr>
          <w:rFonts w:cs="Traditional Arabic" w:hint="cs"/>
          <w:sz w:val="28"/>
          <w:szCs w:val="32"/>
          <w:rtl/>
        </w:rPr>
        <w:t xml:space="preserve"> ولكنه أوجب في قدي الرهن أن يخصص العقار المرهون</w:t>
      </w:r>
      <w:r>
        <w:rPr>
          <w:rFonts w:cs="Traditional Arabic" w:hint="cs"/>
          <w:sz w:val="28"/>
          <w:szCs w:val="32"/>
          <w:rtl/>
        </w:rPr>
        <w:t xml:space="preserve"> ،</w:t>
      </w:r>
      <w:r w:rsidRPr="00EC737F">
        <w:rPr>
          <w:rFonts w:cs="Traditional Arabic" w:hint="cs"/>
          <w:sz w:val="28"/>
          <w:szCs w:val="32"/>
          <w:rtl/>
        </w:rPr>
        <w:t xml:space="preserve"> وقرر في المادة 19 منه أن الرهن الرسمي لا يكون مكسوباً نهائياً إلا بالقيد</w:t>
      </w:r>
      <w:r>
        <w:rPr>
          <w:rFonts w:cs="Traditional Arabic" w:hint="cs"/>
          <w:sz w:val="28"/>
          <w:szCs w:val="32"/>
          <w:rtl/>
        </w:rPr>
        <w:t xml:space="preserve"> .</w:t>
      </w:r>
      <w:r w:rsidRPr="00EC737F">
        <w:rPr>
          <w:rFonts w:cs="Traditional Arabic" w:hint="cs"/>
          <w:sz w:val="28"/>
          <w:szCs w:val="32"/>
          <w:rtl/>
        </w:rPr>
        <w:t xml:space="preserve"> أما قانون 11 بريمير </w:t>
      </w:r>
      <w:r>
        <w:rPr>
          <w:rFonts w:cs="Traditional Arabic"/>
          <w:sz w:val="28"/>
          <w:szCs w:val="32"/>
          <w:rtl/>
        </w:rPr>
        <w:t xml:space="preserve">( </w:t>
      </w:r>
      <w:r w:rsidRPr="00EC737F">
        <w:rPr>
          <w:rFonts w:cs="Traditional Arabic"/>
          <w:sz w:val="28"/>
          <w:szCs w:val="32"/>
        </w:rPr>
        <w:t>brumaire</w:t>
      </w:r>
      <w:r>
        <w:rPr>
          <w:rFonts w:cs="Traditional Arabic"/>
          <w:sz w:val="28"/>
          <w:szCs w:val="32"/>
          <w:rtl/>
        </w:rPr>
        <w:t xml:space="preserve"> )</w:t>
      </w:r>
      <w:r w:rsidRPr="00EC737F">
        <w:rPr>
          <w:rFonts w:cs="Traditional Arabic" w:hint="cs"/>
          <w:sz w:val="28"/>
          <w:szCs w:val="32"/>
          <w:rtl/>
        </w:rPr>
        <w:t xml:space="preserve"> للسنة السابعة للثورة</w:t>
      </w:r>
      <w:r>
        <w:rPr>
          <w:rFonts w:cs="Traditional Arabic" w:hint="cs"/>
          <w:sz w:val="28"/>
          <w:szCs w:val="32"/>
          <w:rtl/>
        </w:rPr>
        <w:t xml:space="preserve"> ،</w:t>
      </w:r>
      <w:r w:rsidRPr="00EC737F">
        <w:rPr>
          <w:rFonts w:cs="Traditional Arabic" w:hint="cs"/>
          <w:sz w:val="28"/>
          <w:szCs w:val="32"/>
          <w:rtl/>
        </w:rPr>
        <w:t xml:space="preserve"> فقد قرر مبدأ تخصيص الرهن</w:t>
      </w:r>
      <w:r>
        <w:rPr>
          <w:rFonts w:cs="Traditional Arabic" w:hint="cs"/>
          <w:sz w:val="28"/>
          <w:szCs w:val="32"/>
          <w:rtl/>
        </w:rPr>
        <w:t xml:space="preserve"> ،</w:t>
      </w:r>
      <w:r w:rsidRPr="00EC737F">
        <w:rPr>
          <w:rFonts w:cs="Traditional Arabic" w:hint="cs"/>
          <w:sz w:val="28"/>
          <w:szCs w:val="32"/>
          <w:rtl/>
        </w:rPr>
        <w:t xml:space="preserve"> لا في القيد فحسب</w:t>
      </w:r>
      <w:r>
        <w:rPr>
          <w:rFonts w:cs="Traditional Arabic" w:hint="cs"/>
          <w:sz w:val="28"/>
          <w:szCs w:val="32"/>
          <w:rtl/>
        </w:rPr>
        <w:t xml:space="preserve"> ،</w:t>
      </w:r>
      <w:r w:rsidRPr="00EC737F">
        <w:rPr>
          <w:rFonts w:cs="Traditional Arabic" w:hint="cs"/>
          <w:sz w:val="28"/>
          <w:szCs w:val="32"/>
          <w:rtl/>
        </w:rPr>
        <w:t xml:space="preserve"> بل أيضاً في عقد الرهن نفسه </w:t>
      </w:r>
      <w:r>
        <w:rPr>
          <w:rFonts w:cs="Traditional Arabic" w:hint="cs"/>
          <w:sz w:val="28"/>
          <w:szCs w:val="32"/>
          <w:rtl/>
        </w:rPr>
        <w:t xml:space="preserve">( </w:t>
      </w:r>
      <w:r w:rsidRPr="00EC737F">
        <w:rPr>
          <w:rFonts w:cs="Traditional Arabic" w:hint="cs"/>
          <w:sz w:val="28"/>
          <w:szCs w:val="32"/>
          <w:rtl/>
        </w:rPr>
        <w:t>م4 من هذا القانون</w:t>
      </w:r>
      <w:r>
        <w:rPr>
          <w:rFonts w:cs="Traditional Arabic" w:hint="cs"/>
          <w:sz w:val="28"/>
          <w:szCs w:val="32"/>
          <w:rtl/>
        </w:rPr>
        <w:t xml:space="preserve"> )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ولما وضع التقنين المدني الفرنسي</w:t>
      </w:r>
      <w:r>
        <w:rPr>
          <w:rFonts w:cs="Traditional Arabic" w:hint="cs"/>
          <w:sz w:val="28"/>
          <w:szCs w:val="32"/>
          <w:rtl/>
        </w:rPr>
        <w:t xml:space="preserve"> ،</w:t>
      </w:r>
      <w:r w:rsidRPr="00EC737F">
        <w:rPr>
          <w:rFonts w:cs="Traditional Arabic" w:hint="cs"/>
          <w:sz w:val="28"/>
          <w:szCs w:val="32"/>
          <w:rtl/>
        </w:rPr>
        <w:t xml:space="preserve"> كان لمبدأ عدم تخصيص الرهن الرسمي أنصار عديدون يقولون بجواز عمومية هذا لرهن وعدم تخصيصه</w:t>
      </w:r>
      <w:r>
        <w:rPr>
          <w:rFonts w:cs="Traditional Arabic" w:hint="cs"/>
          <w:sz w:val="28"/>
          <w:szCs w:val="32"/>
          <w:rtl/>
        </w:rPr>
        <w:t xml:space="preserve"> .</w:t>
      </w:r>
      <w:r w:rsidRPr="00EC737F">
        <w:rPr>
          <w:rFonts w:cs="Traditional Arabic" w:hint="cs"/>
          <w:sz w:val="28"/>
          <w:szCs w:val="32"/>
          <w:rtl/>
        </w:rPr>
        <w:t xml:space="preserve"> وقام صراع عنيف بين هؤلاء الأنصار وأنصار تخصيص الرهن الرسمي</w:t>
      </w:r>
      <w:r>
        <w:rPr>
          <w:rFonts w:cs="Traditional Arabic" w:hint="cs"/>
          <w:sz w:val="28"/>
          <w:szCs w:val="32"/>
          <w:rtl/>
        </w:rPr>
        <w:t xml:space="preserve"> ،</w:t>
      </w:r>
      <w:r w:rsidRPr="00EC737F">
        <w:rPr>
          <w:rFonts w:cs="Traditional Arabic" w:hint="cs"/>
          <w:sz w:val="28"/>
          <w:szCs w:val="32"/>
          <w:rtl/>
        </w:rPr>
        <w:t xml:space="preserve"> ولم يتغلب هؤلاء الأخيرون ويسجلوا مبدأ تخصيص الرهن الرسمي إلا بفضل نشاط محكمة النقض الفرنسية التي انتصرت لمبدأ التخصيص</w:t>
      </w:r>
      <w:r>
        <w:rPr>
          <w:rFonts w:cs="Traditional Arabic" w:hint="cs"/>
          <w:sz w:val="28"/>
          <w:szCs w:val="32"/>
          <w:vertAlign w:val="superscript"/>
          <w:rtl/>
        </w:rPr>
        <w:t xml:space="preserve">( </w:t>
      </w:r>
      <w:r w:rsidRPr="00EC737F">
        <w:rPr>
          <w:rStyle w:val="ab"/>
          <w:rFonts w:cs="Traditional Arabic"/>
          <w:sz w:val="28"/>
          <w:szCs w:val="32"/>
          <w:rtl/>
        </w:rPr>
        <w:footnoteReference w:id="75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وبقي مبدأ تخصيص الرهن ثابتاً في القانون الفرنسي حتى اليوم</w:t>
      </w:r>
      <w:r>
        <w:rPr>
          <w:rFonts w:cs="Traditional Arabic" w:hint="cs"/>
          <w:sz w:val="28"/>
          <w:szCs w:val="32"/>
          <w:rtl/>
        </w:rPr>
        <w:t xml:space="preserve"> ،</w:t>
      </w:r>
      <w:r w:rsidRPr="00EC737F">
        <w:rPr>
          <w:rFonts w:cs="Traditional Arabic" w:hint="cs"/>
          <w:sz w:val="28"/>
          <w:szCs w:val="32"/>
          <w:rtl/>
        </w:rPr>
        <w:t xml:space="preserve"> وكل رهن لا يكون خصصاً يكون باطلا</w:t>
      </w:r>
      <w:r>
        <w:rPr>
          <w:rFonts w:cs="Traditional Arabic" w:hint="cs"/>
          <w:sz w:val="28"/>
          <w:szCs w:val="32"/>
          <w:vertAlign w:val="superscript"/>
          <w:rtl/>
        </w:rPr>
        <w:t xml:space="preserve">( </w:t>
      </w:r>
      <w:r w:rsidRPr="00EC737F">
        <w:rPr>
          <w:rStyle w:val="ab"/>
          <w:rFonts w:cs="Traditional Arabic"/>
          <w:sz w:val="28"/>
          <w:szCs w:val="32"/>
          <w:rtl/>
        </w:rPr>
        <w:footnoteReference w:id="75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واتبع التقنين المدني المصري</w:t>
      </w:r>
      <w:r>
        <w:rPr>
          <w:rFonts w:cs="Traditional Arabic" w:hint="cs"/>
          <w:sz w:val="28"/>
          <w:szCs w:val="32"/>
          <w:rtl/>
        </w:rPr>
        <w:t xml:space="preserve"> ،</w:t>
      </w:r>
      <w:r w:rsidRPr="00EC737F">
        <w:rPr>
          <w:rFonts w:cs="Traditional Arabic" w:hint="cs"/>
          <w:sz w:val="28"/>
          <w:szCs w:val="32"/>
          <w:rtl/>
        </w:rPr>
        <w:t xml:space="preserve"> القديم والجديد</w:t>
      </w:r>
      <w:r>
        <w:rPr>
          <w:rFonts w:cs="Traditional Arabic" w:hint="cs"/>
          <w:sz w:val="28"/>
          <w:szCs w:val="32"/>
          <w:rtl/>
        </w:rPr>
        <w:t xml:space="preserve"> ،</w:t>
      </w:r>
      <w:r w:rsidRPr="00EC737F">
        <w:rPr>
          <w:rFonts w:cs="Traditional Arabic" w:hint="cs"/>
          <w:sz w:val="28"/>
          <w:szCs w:val="32"/>
          <w:rtl/>
        </w:rPr>
        <w:t xml:space="preserve"> مبدأ تخصيص الرهن وسجله في نصوصه</w:t>
      </w:r>
      <w:r>
        <w:rPr>
          <w:rFonts w:cs="Traditional Arabic" w:hint="cs"/>
          <w:sz w:val="28"/>
          <w:szCs w:val="32"/>
          <w:rtl/>
        </w:rPr>
        <w:t xml:space="preserve"> ،</w:t>
      </w:r>
      <w:r w:rsidRPr="00EC737F">
        <w:rPr>
          <w:rFonts w:cs="Traditional Arabic" w:hint="cs"/>
          <w:sz w:val="28"/>
          <w:szCs w:val="32"/>
          <w:rtl/>
        </w:rPr>
        <w:t xml:space="preserve"> وجعل البطلان جزاء تخلفه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ومبدأ تخصيص الرهن يقتضي أمرين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تخصيص العقار المرهون</w:t>
      </w:r>
      <w:r>
        <w:rPr>
          <w:rFonts w:cs="Traditional Arabic" w:hint="cs"/>
          <w:sz w:val="28"/>
          <w:szCs w:val="32"/>
          <w:rtl/>
        </w:rPr>
        <w:t xml:space="preserve"> ،</w:t>
      </w:r>
      <w:r w:rsidRPr="00EC737F">
        <w:rPr>
          <w:rFonts w:cs="Traditional Arabic" w:hint="cs"/>
          <w:sz w:val="28"/>
          <w:szCs w:val="32"/>
          <w:rtl/>
        </w:rPr>
        <w:t xml:space="preserve"> $348 فيجب تعيينه تعييناً دقيقاً في عقد الرهن بالذات</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تخصيص الدين المرهون</w:t>
      </w:r>
      <w:r>
        <w:rPr>
          <w:rFonts w:cs="Traditional Arabic" w:hint="cs"/>
          <w:sz w:val="28"/>
          <w:szCs w:val="32"/>
          <w:rtl/>
        </w:rPr>
        <w:t xml:space="preserve"> ،</w:t>
      </w:r>
      <w:r w:rsidRPr="00EC737F">
        <w:rPr>
          <w:rFonts w:cs="Traditional Arabic" w:hint="cs"/>
          <w:sz w:val="28"/>
          <w:szCs w:val="32"/>
          <w:rtl/>
        </w:rPr>
        <w:t xml:space="preserve"> فيجب ذكر مقدار الدين الذي يضمنه الرهن الرسمي</w:t>
      </w:r>
      <w:r>
        <w:rPr>
          <w:rFonts w:cs="Traditional Arabic" w:hint="cs"/>
          <w:sz w:val="28"/>
          <w:szCs w:val="32"/>
          <w:rtl/>
        </w:rPr>
        <w:t xml:space="preserve"> ،</w:t>
      </w:r>
      <w:r w:rsidRPr="00EC737F">
        <w:rPr>
          <w:rFonts w:cs="Traditional Arabic" w:hint="cs"/>
          <w:sz w:val="28"/>
          <w:szCs w:val="32"/>
          <w:rtl/>
        </w:rPr>
        <w:t xml:space="preserve"> وتقرير قاعدة عدم تجزئة الرهن بالنسبة إلى هذا الدين</w:t>
      </w:r>
      <w:r>
        <w:rPr>
          <w:rFonts w:cs="Traditional Arabic" w:hint="cs"/>
          <w:sz w:val="28"/>
          <w:szCs w:val="32"/>
          <w:rtl/>
        </w:rPr>
        <w:t xml:space="preserve"> ،</w:t>
      </w:r>
      <w:r w:rsidRPr="00EC737F">
        <w:rPr>
          <w:rFonts w:cs="Traditional Arabic" w:hint="cs"/>
          <w:sz w:val="28"/>
          <w:szCs w:val="32"/>
          <w:rtl/>
        </w:rPr>
        <w:t xml:space="preserve"> وجعل الرهن تابعاً للدين فلا ينفصل عنه</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b/>
          <w:bCs/>
          <w:sz w:val="28"/>
          <w:szCs w:val="32"/>
          <w:rtl/>
        </w:rPr>
        <w:t>§</w:t>
      </w:r>
      <w:r w:rsidRPr="00EC737F">
        <w:rPr>
          <w:rFonts w:cs="Traditional Arabic" w:hint="cs"/>
          <w:b/>
          <w:bCs/>
          <w:sz w:val="28"/>
          <w:szCs w:val="32"/>
          <w:rtl/>
        </w:rPr>
        <w:t xml:space="preserve"> 1</w:t>
      </w:r>
      <w:r w:rsidRPr="00EC737F">
        <w:rPr>
          <w:rFonts w:cs="Traditional Arabic"/>
          <w:b/>
          <w:bCs/>
          <w:sz w:val="28"/>
          <w:szCs w:val="32"/>
          <w:rtl/>
        </w:rPr>
        <w:t>–</w:t>
      </w:r>
      <w:r w:rsidRPr="00EC737F">
        <w:rPr>
          <w:rFonts w:cs="Traditional Arabic" w:hint="cs"/>
          <w:b/>
          <w:bCs/>
          <w:sz w:val="28"/>
          <w:szCs w:val="32"/>
          <w:rtl/>
        </w:rPr>
        <w:t xml:space="preserve"> تخصيص الرهن من حيث العقار المرهون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156- نص قانوني</w:t>
      </w:r>
      <w:r>
        <w:rPr>
          <w:rFonts w:cs="Traditional Arabic" w:hint="cs"/>
          <w:sz w:val="28"/>
          <w:szCs w:val="32"/>
          <w:rtl/>
        </w:rPr>
        <w:t xml:space="preserve"> :</w:t>
      </w:r>
      <w:r w:rsidRPr="00EC737F">
        <w:rPr>
          <w:rFonts w:cs="Traditional Arabic" w:hint="cs"/>
          <w:sz w:val="28"/>
          <w:szCs w:val="32"/>
          <w:rtl/>
        </w:rPr>
        <w:t xml:space="preserve"> تنص المادة 1035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 لا يجوز أن يرد الرهن الرسمي إلا على عقار</w:t>
      </w:r>
      <w:r>
        <w:rPr>
          <w:rFonts w:cs="Traditional Arabic" w:hint="cs"/>
          <w:sz w:val="28"/>
          <w:szCs w:val="32"/>
          <w:rtl/>
        </w:rPr>
        <w:t xml:space="preserve"> ،</w:t>
      </w:r>
      <w:r w:rsidRPr="00EC737F">
        <w:rPr>
          <w:rFonts w:cs="Traditional Arabic" w:hint="cs"/>
          <w:sz w:val="28"/>
          <w:szCs w:val="32"/>
          <w:rtl/>
        </w:rPr>
        <w:t xml:space="preserve"> ما لم يوجد نص يقضي بغير 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ويجب أن يكون العقار المرهون مما يصح التعامل فيه وبيعه بالمزاد العلني</w:t>
      </w:r>
      <w:r>
        <w:rPr>
          <w:rFonts w:cs="Traditional Arabic" w:hint="cs"/>
          <w:sz w:val="28"/>
          <w:szCs w:val="32"/>
          <w:rtl/>
        </w:rPr>
        <w:t xml:space="preserve"> ،</w:t>
      </w:r>
      <w:r w:rsidRPr="00EC737F">
        <w:rPr>
          <w:rFonts w:cs="Traditional Arabic" w:hint="cs"/>
          <w:sz w:val="28"/>
          <w:szCs w:val="32"/>
          <w:rtl/>
        </w:rPr>
        <w:t xml:space="preserve"> وان يكن معيناً بالذات تعييناً دقيقاً من حيث طبيعته وموقعه</w:t>
      </w:r>
      <w:r>
        <w:rPr>
          <w:rFonts w:cs="Traditional Arabic" w:hint="cs"/>
          <w:sz w:val="28"/>
          <w:szCs w:val="32"/>
          <w:rtl/>
        </w:rPr>
        <w:t xml:space="preserve"> ،</w:t>
      </w:r>
      <w:r w:rsidRPr="00EC737F">
        <w:rPr>
          <w:rFonts w:cs="Traditional Arabic" w:hint="cs"/>
          <w:sz w:val="28"/>
          <w:szCs w:val="32"/>
          <w:rtl/>
        </w:rPr>
        <w:t xml:space="preserve"> وان يرد هذا التعيين إما في عقد الرهن ذاته أو في عقد رسمي لاحق</w:t>
      </w:r>
      <w:r>
        <w:rPr>
          <w:rFonts w:cs="Traditional Arabic" w:hint="cs"/>
          <w:sz w:val="28"/>
          <w:szCs w:val="32"/>
          <w:rtl/>
        </w:rPr>
        <w:t xml:space="preserve"> ،</w:t>
      </w:r>
      <w:r w:rsidRPr="00EC737F">
        <w:rPr>
          <w:rFonts w:cs="Traditional Arabic" w:hint="cs"/>
          <w:sz w:val="28"/>
          <w:szCs w:val="32"/>
          <w:rtl/>
        </w:rPr>
        <w:t xml:space="preserve"> وإلا وقع الرهن باطلا"</w:t>
      </w:r>
      <w:r>
        <w:rPr>
          <w:rFonts w:cs="Traditional Arabic" w:hint="cs"/>
          <w:sz w:val="28"/>
          <w:szCs w:val="32"/>
          <w:vertAlign w:val="superscript"/>
          <w:rtl/>
        </w:rPr>
        <w:t xml:space="preserve">( </w:t>
      </w:r>
      <w:r w:rsidRPr="00EC737F">
        <w:rPr>
          <w:rStyle w:val="ab"/>
          <w:rFonts w:cs="Traditional Arabic"/>
          <w:sz w:val="28"/>
          <w:szCs w:val="32"/>
          <w:rtl/>
        </w:rPr>
        <w:footnoteReference w:id="75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وظاهر من هذا النص أن الرهن الرسمي يجب أن يقع على عقار يصح $349 التعامل فيه ويجوز بيعه بالمزاد العلني</w:t>
      </w:r>
      <w:r>
        <w:rPr>
          <w:rFonts w:cs="Traditional Arabic" w:hint="cs"/>
          <w:sz w:val="28"/>
          <w:szCs w:val="32"/>
          <w:rtl/>
        </w:rPr>
        <w:t xml:space="preserve"> ،</w:t>
      </w:r>
      <w:r w:rsidRPr="00EC737F">
        <w:rPr>
          <w:rFonts w:cs="Traditional Arabic" w:hint="cs"/>
          <w:sz w:val="28"/>
          <w:szCs w:val="32"/>
          <w:rtl/>
        </w:rPr>
        <w:t xml:space="preserve"> ويجب تعيينه تعييناً دقيقاً في عقد الرهن من حيث طبيعته وموقعه</w:t>
      </w:r>
      <w:r>
        <w:rPr>
          <w:rFonts w:cs="Traditional Arabic" w:hint="cs"/>
          <w:sz w:val="28"/>
          <w:szCs w:val="32"/>
          <w:rtl/>
        </w:rPr>
        <w:t xml:space="preserve"> .</w:t>
      </w:r>
      <w:r w:rsidRPr="00EC737F">
        <w:rPr>
          <w:rFonts w:cs="Traditional Arabic" w:hint="cs"/>
          <w:sz w:val="28"/>
          <w:szCs w:val="32"/>
          <w:rtl/>
        </w:rPr>
        <w:t xml:space="preserve"> هذا ويشمل الرهن إلى جانب هذا العقار المرهون ملحقاته</w:t>
      </w:r>
      <w:r>
        <w:rPr>
          <w:rFonts w:cs="Traditional Arabic" w:hint="cs"/>
          <w:sz w:val="28"/>
          <w:szCs w:val="32"/>
          <w:rtl/>
        </w:rPr>
        <w:t xml:space="preserve"> ،</w:t>
      </w:r>
      <w:r w:rsidRPr="00EC737F">
        <w:rPr>
          <w:rFonts w:cs="Traditional Arabic" w:hint="cs"/>
          <w:sz w:val="28"/>
          <w:szCs w:val="32"/>
          <w:rtl/>
        </w:rPr>
        <w:t xml:space="preserve"> وكذلك ثماره من وقت إلحاق الثمار بالعقار</w:t>
      </w:r>
      <w:r>
        <w:rPr>
          <w:rFonts w:cs="Traditional Arabic" w:hint="cs"/>
          <w:sz w:val="28"/>
          <w:szCs w:val="32"/>
          <w:rtl/>
        </w:rPr>
        <w:t xml:space="preserve"> .</w:t>
      </w:r>
      <w:r w:rsidRPr="00EC737F">
        <w:rPr>
          <w:rFonts w:cs="Traditional Arabic" w:hint="cs"/>
          <w:sz w:val="28"/>
          <w:szCs w:val="32"/>
          <w:rtl/>
        </w:rPr>
        <w:t xml:space="preserve"> ويجوز رهن المباني القائمة على أرض الغير</w:t>
      </w:r>
      <w:r>
        <w:rPr>
          <w:rFonts w:cs="Traditional Arabic" w:hint="cs"/>
          <w:sz w:val="28"/>
          <w:szCs w:val="32"/>
          <w:rtl/>
        </w:rPr>
        <w:t xml:space="preserve"> ،</w:t>
      </w:r>
      <w:r w:rsidRPr="00EC737F">
        <w:rPr>
          <w:rFonts w:cs="Traditional Arabic" w:hint="cs"/>
          <w:sz w:val="28"/>
          <w:szCs w:val="32"/>
          <w:rtl/>
        </w:rPr>
        <w:t xml:space="preserve"> فيكون للمرتهن حق التقدم في ثمن الأنقاض إذا هدمت المباني</w:t>
      </w:r>
      <w:r>
        <w:rPr>
          <w:rFonts w:cs="Traditional Arabic" w:hint="cs"/>
          <w:sz w:val="28"/>
          <w:szCs w:val="32"/>
          <w:rtl/>
        </w:rPr>
        <w:t xml:space="preserve"> ،</w:t>
      </w:r>
      <w:r w:rsidRPr="00EC737F">
        <w:rPr>
          <w:rFonts w:cs="Traditional Arabic" w:hint="cs"/>
          <w:sz w:val="28"/>
          <w:szCs w:val="32"/>
          <w:rtl/>
        </w:rPr>
        <w:t xml:space="preserve"> وفي التعويض إذا استبقى المباني صاحب الأرض</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فنتكلم إذن فيما يأتي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وقوع الرهن الرسمي على عقار يصح التعامل فيه ويجوز بيعه بالمزاد العلني</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تعيين العقار المرهون تعييناً دقيقاً من حيث طبيعته وموقعه</w:t>
      </w:r>
      <w:r>
        <w:rPr>
          <w:rFonts w:cs="Traditional Arabic" w:hint="cs"/>
          <w:sz w:val="28"/>
          <w:szCs w:val="32"/>
          <w:rtl/>
        </w:rPr>
        <w:t xml:space="preserve"> ،</w:t>
      </w:r>
      <w:r w:rsidRPr="00EC737F">
        <w:rPr>
          <w:rFonts w:cs="Traditional Arabic" w:hint="cs"/>
          <w:sz w:val="28"/>
          <w:szCs w:val="32"/>
          <w:rtl/>
        </w:rPr>
        <w:t xml:space="preserve"> وهذا الأصل في تخصيص الرهن من حيث العقار المرهون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شمول الرهن لملحقات العقار المرهون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4</w:t>
      </w:r>
      <w:r>
        <w:rPr>
          <w:rFonts w:cs="Traditional Arabic" w:hint="cs"/>
          <w:sz w:val="28"/>
          <w:szCs w:val="32"/>
          <w:rtl/>
        </w:rPr>
        <w:t xml:space="preserve"> )</w:t>
      </w:r>
      <w:r w:rsidRPr="00EC737F">
        <w:rPr>
          <w:rFonts w:cs="Traditional Arabic" w:hint="cs"/>
          <w:sz w:val="28"/>
          <w:szCs w:val="32"/>
          <w:rtl/>
        </w:rPr>
        <w:t xml:space="preserve"> شمول الرهن للثمار من وقت إلحاقها بالعقار</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5</w:t>
      </w:r>
      <w:r>
        <w:rPr>
          <w:rFonts w:cs="Traditional Arabic" w:hint="cs"/>
          <w:sz w:val="28"/>
          <w:szCs w:val="32"/>
          <w:rtl/>
        </w:rPr>
        <w:t xml:space="preserve"> )</w:t>
      </w:r>
      <w:r w:rsidRPr="00EC737F">
        <w:rPr>
          <w:rFonts w:cs="Traditional Arabic" w:hint="cs"/>
          <w:sz w:val="28"/>
          <w:szCs w:val="32"/>
          <w:rtl/>
        </w:rPr>
        <w:t xml:space="preserve"> رهن المباني القائمة على ارض الغير رهناً رسمياً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157- وقوع الرهن الرسمي على عقار يصح التكامل فيه ويجوز بيعه بالمزاد العلني</w:t>
      </w:r>
      <w:r>
        <w:rPr>
          <w:rFonts w:cs="Traditional Arabic" w:hint="cs"/>
          <w:sz w:val="28"/>
          <w:szCs w:val="32"/>
          <w:rtl/>
        </w:rPr>
        <w:t xml:space="preserve"> :</w:t>
      </w:r>
      <w:r w:rsidRPr="00EC737F">
        <w:rPr>
          <w:rFonts w:cs="Traditional Arabic" w:hint="cs"/>
          <w:sz w:val="28"/>
          <w:szCs w:val="32"/>
          <w:rtl/>
        </w:rPr>
        <w:t xml:space="preserve"> والرهن الرسمي لا يقع إلا على العقار</w:t>
      </w:r>
      <w:r>
        <w:rPr>
          <w:rFonts w:cs="Traditional Arabic" w:hint="cs"/>
          <w:sz w:val="28"/>
          <w:szCs w:val="32"/>
          <w:rtl/>
        </w:rPr>
        <w:t xml:space="preserve"> ،</w:t>
      </w:r>
      <w:r w:rsidRPr="00EC737F">
        <w:rPr>
          <w:rFonts w:cs="Traditional Arabic" w:hint="cs"/>
          <w:sz w:val="28"/>
          <w:szCs w:val="32"/>
          <w:rtl/>
        </w:rPr>
        <w:t xml:space="preserve"> أما المنقول فلا يصح استقلالا أن يكون محلا للرهن الرسمي</w:t>
      </w:r>
      <w:r>
        <w:rPr>
          <w:rFonts w:cs="Traditional Arabic" w:hint="cs"/>
          <w:sz w:val="28"/>
          <w:szCs w:val="32"/>
          <w:rtl/>
        </w:rPr>
        <w:t xml:space="preserve"> .</w:t>
      </w:r>
      <w:r w:rsidRPr="00EC737F">
        <w:rPr>
          <w:rFonts w:cs="Traditional Arabic" w:hint="cs"/>
          <w:sz w:val="28"/>
          <w:szCs w:val="32"/>
          <w:rtl/>
        </w:rPr>
        <w:t xml:space="preserve"> وعلى ذلك لا يصح رهن الأموال المنقولة</w:t>
      </w:r>
      <w:r>
        <w:rPr>
          <w:rFonts w:cs="Traditional Arabic" w:hint="cs"/>
          <w:sz w:val="28"/>
          <w:szCs w:val="32"/>
          <w:rtl/>
        </w:rPr>
        <w:t xml:space="preserve"> ،</w:t>
      </w:r>
      <w:r w:rsidRPr="00EC737F">
        <w:rPr>
          <w:rFonts w:cs="Traditional Arabic" w:hint="cs"/>
          <w:sz w:val="28"/>
          <w:szCs w:val="32"/>
          <w:rtl/>
        </w:rPr>
        <w:t xml:space="preserve"> أي الحقوق العينية التي تقع على منقول كحق ملكية المنقول وحق الانتفاع به</w:t>
      </w:r>
      <w:r>
        <w:rPr>
          <w:rFonts w:cs="Traditional Arabic" w:hint="cs"/>
          <w:sz w:val="28"/>
          <w:szCs w:val="32"/>
          <w:rtl/>
        </w:rPr>
        <w:t xml:space="preserve"> .</w:t>
      </w:r>
      <w:r w:rsidRPr="00EC737F">
        <w:rPr>
          <w:rFonts w:cs="Traditional Arabic" w:hint="cs"/>
          <w:sz w:val="28"/>
          <w:szCs w:val="32"/>
          <w:rtl/>
        </w:rPr>
        <w:t xml:space="preserve"> فلا يجوز رهن سيارة أو ساعة مهما كانت ثمينة أو مجوهرات رهناً رسمياً</w:t>
      </w:r>
      <w:r>
        <w:rPr>
          <w:rFonts w:cs="Traditional Arabic" w:hint="cs"/>
          <w:sz w:val="28"/>
          <w:szCs w:val="32"/>
          <w:rtl/>
        </w:rPr>
        <w:t xml:space="preserve"> ،</w:t>
      </w:r>
      <w:r w:rsidRPr="00EC737F">
        <w:rPr>
          <w:rFonts w:cs="Traditional Arabic" w:hint="cs"/>
          <w:sz w:val="28"/>
          <w:szCs w:val="32"/>
          <w:rtl/>
        </w:rPr>
        <w:t xml:space="preserve"> وإن كان يجوز رهنا رهن حيازة ما سنرى</w:t>
      </w:r>
      <w:r>
        <w:rPr>
          <w:rFonts w:cs="Traditional Arabic" w:hint="cs"/>
          <w:sz w:val="28"/>
          <w:szCs w:val="32"/>
          <w:rtl/>
        </w:rPr>
        <w:t xml:space="preserve"> .</w:t>
      </w:r>
      <w:r w:rsidRPr="00EC737F">
        <w:rPr>
          <w:rFonts w:cs="Traditional Arabic" w:hint="cs"/>
          <w:sz w:val="28"/>
          <w:szCs w:val="32"/>
          <w:rtl/>
        </w:rPr>
        <w:t xml:space="preserve"> على أن هناك منقولات وردت نصوص خاصة تجيز رهنها رهناً رسمياً</w:t>
      </w:r>
      <w:r>
        <w:rPr>
          <w:rFonts w:cs="Traditional Arabic" w:hint="cs"/>
          <w:sz w:val="28"/>
          <w:szCs w:val="32"/>
          <w:rtl/>
        </w:rPr>
        <w:t xml:space="preserve"> ،</w:t>
      </w:r>
      <w:r w:rsidRPr="00EC737F">
        <w:rPr>
          <w:rFonts w:cs="Traditional Arabic" w:hint="cs"/>
          <w:sz w:val="28"/>
          <w:szCs w:val="32"/>
          <w:rtl/>
        </w:rPr>
        <w:t xml:space="preserve"> وهذه هي المحال التجارية </w:t>
      </w:r>
      <w:r>
        <w:rPr>
          <w:rFonts w:cs="Traditional Arabic"/>
          <w:sz w:val="28"/>
          <w:szCs w:val="32"/>
          <w:rtl/>
        </w:rPr>
        <w:t xml:space="preserve">( </w:t>
      </w:r>
      <w:r w:rsidRPr="00EC737F">
        <w:rPr>
          <w:rFonts w:cs="Traditional Arabic"/>
          <w:sz w:val="28"/>
          <w:szCs w:val="32"/>
        </w:rPr>
        <w:t>fonds de commerce</w:t>
      </w:r>
      <w:r>
        <w:rPr>
          <w:rFonts w:cs="Traditional Arabic"/>
          <w:sz w:val="28"/>
          <w:szCs w:val="32"/>
          <w:rtl/>
        </w:rPr>
        <w:t xml:space="preserve"> )</w:t>
      </w:r>
      <w:r w:rsidRPr="00EC737F">
        <w:rPr>
          <w:rFonts w:cs="Traditional Arabic" w:hint="cs"/>
          <w:sz w:val="28"/>
          <w:szCs w:val="32"/>
          <w:rtl/>
        </w:rPr>
        <w:t xml:space="preserve"> فقد أجاز القانون رقم 11 لسنة 1940 رهنها رهناً رسمياً</w:t>
      </w:r>
      <w:r>
        <w:rPr>
          <w:rFonts w:cs="Traditional Arabic" w:hint="cs"/>
          <w:sz w:val="28"/>
          <w:szCs w:val="32"/>
          <w:rtl/>
        </w:rPr>
        <w:t xml:space="preserve"> ،</w:t>
      </w:r>
      <w:r w:rsidRPr="00EC737F">
        <w:rPr>
          <w:rFonts w:cs="Traditional Arabic" w:hint="cs"/>
          <w:sz w:val="28"/>
          <w:szCs w:val="32"/>
          <w:rtl/>
        </w:rPr>
        <w:t xml:space="preserve"> وين الإجراءات التي تتبع في ذلك</w:t>
      </w:r>
      <w:r>
        <w:rPr>
          <w:rFonts w:cs="Traditional Arabic" w:hint="cs"/>
          <w:sz w:val="28"/>
          <w:szCs w:val="32"/>
          <w:rtl/>
        </w:rPr>
        <w:t xml:space="preserve"> .</w:t>
      </w:r>
      <w:r w:rsidRPr="00EC737F">
        <w:rPr>
          <w:rFonts w:cs="Traditional Arabic" w:hint="cs"/>
          <w:sz w:val="28"/>
          <w:szCs w:val="32"/>
          <w:rtl/>
        </w:rPr>
        <w:t xml:space="preserve"> ذلك أن المحال التجارية لا تعتبر منقولا مادياً</w:t>
      </w:r>
      <w:r>
        <w:rPr>
          <w:rFonts w:cs="Traditional Arabic" w:hint="cs"/>
          <w:sz w:val="28"/>
          <w:szCs w:val="32"/>
          <w:rtl/>
        </w:rPr>
        <w:t xml:space="preserve"> ،</w:t>
      </w:r>
      <w:r w:rsidRPr="00EC737F">
        <w:rPr>
          <w:rFonts w:cs="Traditional Arabic" w:hint="cs"/>
          <w:sz w:val="28"/>
          <w:szCs w:val="32"/>
          <w:rtl/>
        </w:rPr>
        <w:t xml:space="preserve"> بل هي منقول معنوي إذ تشمل خلاف العناصر المادية</w:t>
      </w:r>
      <w:r>
        <w:rPr>
          <w:rFonts w:cs="Traditional Arabic" w:hint="cs"/>
          <w:sz w:val="28"/>
          <w:szCs w:val="32"/>
          <w:rtl/>
        </w:rPr>
        <w:t xml:space="preserve"> ،</w:t>
      </w:r>
      <w:r w:rsidRPr="00EC737F">
        <w:rPr>
          <w:rFonts w:cs="Traditional Arabic" w:hint="cs"/>
          <w:sz w:val="28"/>
          <w:szCs w:val="32"/>
          <w:rtl/>
        </w:rPr>
        <w:t xml:space="preserve"> عناصر معنوية كالاسم التجاري والسمعة التجارية والعملاء ونحو ذلك</w:t>
      </w:r>
      <w:r>
        <w:rPr>
          <w:rFonts w:cs="Traditional Arabic" w:hint="cs"/>
          <w:sz w:val="28"/>
          <w:szCs w:val="32"/>
          <w:rtl/>
        </w:rPr>
        <w:t xml:space="preserve"> .</w:t>
      </w:r>
      <w:r w:rsidRPr="00EC737F">
        <w:rPr>
          <w:rFonts w:cs="Traditional Arabic" w:hint="cs"/>
          <w:sz w:val="28"/>
          <w:szCs w:val="32"/>
          <w:rtl/>
        </w:rPr>
        <w:t xml:space="preserve"> والمحل التجاري لا يخضع لا يخضع على كل حال للقاعدة التي تقضي بأن الحيازة في المنقول سند الملكية</w:t>
      </w:r>
      <w:r>
        <w:rPr>
          <w:rFonts w:cs="Traditional Arabic" w:hint="cs"/>
          <w:sz w:val="28"/>
          <w:szCs w:val="32"/>
          <w:rtl/>
        </w:rPr>
        <w:t xml:space="preserve"> ،</w:t>
      </w:r>
      <w:r w:rsidRPr="00EC737F">
        <w:rPr>
          <w:rFonts w:cs="Traditional Arabic" w:hint="cs"/>
          <w:sz w:val="28"/>
          <w:szCs w:val="32"/>
          <w:rtl/>
        </w:rPr>
        <w:t xml:space="preserve"> فرهنا رهناً رسمياً $350 لا  يعرضها لهذه القاعدة التي تضيع أهم فوائد الرهن الرسمي</w:t>
      </w:r>
      <w:r>
        <w:rPr>
          <w:rFonts w:cs="Traditional Arabic" w:hint="cs"/>
          <w:sz w:val="28"/>
          <w:szCs w:val="32"/>
          <w:rtl/>
        </w:rPr>
        <w:t xml:space="preserve"> ،</w:t>
      </w:r>
      <w:r w:rsidRPr="00EC737F">
        <w:rPr>
          <w:rFonts w:cs="Traditional Arabic" w:hint="cs"/>
          <w:sz w:val="28"/>
          <w:szCs w:val="32"/>
          <w:rtl/>
        </w:rPr>
        <w:t xml:space="preserve"> هذا إلى أنه يتيسر وضع نظام لشهر الرهن الرسمي على المحال التجارية</w:t>
      </w:r>
      <w:r>
        <w:rPr>
          <w:rFonts w:cs="Traditional Arabic" w:hint="cs"/>
          <w:sz w:val="28"/>
          <w:szCs w:val="32"/>
          <w:vertAlign w:val="superscript"/>
          <w:rtl/>
        </w:rPr>
        <w:t xml:space="preserve">( </w:t>
      </w:r>
      <w:r w:rsidRPr="00EC737F">
        <w:rPr>
          <w:rStyle w:val="ab"/>
          <w:rFonts w:cs="Traditional Arabic"/>
          <w:sz w:val="28"/>
          <w:szCs w:val="32"/>
          <w:rtl/>
        </w:rPr>
        <w:footnoteReference w:id="75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كذلك يجوز الرهن الرسمي الوارد على السفن </w:t>
      </w:r>
      <w:r w:rsidRPr="00EC737F">
        <w:rPr>
          <w:rFonts w:cs="Traditional Arabic" w:hint="cs"/>
          <w:sz w:val="28"/>
          <w:szCs w:val="32"/>
          <w:rtl/>
        </w:rPr>
        <w:lastRenderedPageBreak/>
        <w:t>بموجب القانون رقم 35 لسنة 1951</w:t>
      </w:r>
      <w:r>
        <w:rPr>
          <w:rFonts w:cs="Traditional Arabic" w:hint="cs"/>
          <w:sz w:val="28"/>
          <w:szCs w:val="32"/>
          <w:rtl/>
        </w:rPr>
        <w:t xml:space="preserve"> ،</w:t>
      </w:r>
      <w:r w:rsidRPr="00EC737F">
        <w:rPr>
          <w:rFonts w:cs="Traditional Arabic" w:hint="cs"/>
          <w:sz w:val="28"/>
          <w:szCs w:val="32"/>
          <w:rtl/>
        </w:rPr>
        <w:t xml:space="preserve"> لأنها لا تخضع لقاعدة حيازة المنقول ويمكن أن يوضع لها نظام لشهر الرهن</w:t>
      </w:r>
      <w:r>
        <w:rPr>
          <w:rFonts w:cs="Traditional Arabic" w:hint="cs"/>
          <w:sz w:val="28"/>
          <w:szCs w:val="32"/>
          <w:vertAlign w:val="superscript"/>
          <w:rtl/>
        </w:rPr>
        <w:t xml:space="preserve">( </w:t>
      </w:r>
      <w:r w:rsidRPr="00EC737F">
        <w:rPr>
          <w:rStyle w:val="ab"/>
          <w:rFonts w:cs="Traditional Arabic"/>
          <w:sz w:val="28"/>
          <w:szCs w:val="32"/>
          <w:rtl/>
        </w:rPr>
        <w:footnoteReference w:id="75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وعلى غرار نظام رهن السفن البحرية</w:t>
      </w:r>
      <w:r>
        <w:rPr>
          <w:rFonts w:cs="Traditional Arabic" w:hint="cs"/>
          <w:sz w:val="28"/>
          <w:szCs w:val="32"/>
          <w:rtl/>
        </w:rPr>
        <w:t xml:space="preserve"> ،</w:t>
      </w:r>
      <w:r w:rsidRPr="00EC737F">
        <w:rPr>
          <w:rFonts w:cs="Traditional Arabic" w:hint="cs"/>
          <w:sz w:val="28"/>
          <w:szCs w:val="32"/>
          <w:rtl/>
        </w:rPr>
        <w:t xml:space="preserve"> عرف نظام رهن السفن النهرية ورهن الطائرات </w:t>
      </w:r>
      <w:r>
        <w:rPr>
          <w:rFonts w:cs="Traditional Arabic" w:hint="cs"/>
          <w:sz w:val="28"/>
          <w:szCs w:val="32"/>
          <w:rtl/>
        </w:rPr>
        <w:t xml:space="preserve">( </w:t>
      </w:r>
      <w:r w:rsidRPr="00EC737F">
        <w:rPr>
          <w:rFonts w:cs="Traditional Arabic" w:hint="cs"/>
          <w:sz w:val="28"/>
          <w:szCs w:val="32"/>
          <w:rtl/>
        </w:rPr>
        <w:t>اتفاقية جنيف سنة 1948</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ويجوز رهن العقار رهناً رسمياً</w:t>
      </w:r>
      <w:r>
        <w:rPr>
          <w:rFonts w:cs="Traditional Arabic" w:hint="cs"/>
          <w:sz w:val="28"/>
          <w:szCs w:val="32"/>
          <w:rtl/>
        </w:rPr>
        <w:t xml:space="preserve"> ،</w:t>
      </w:r>
      <w:r w:rsidRPr="00EC737F">
        <w:rPr>
          <w:rFonts w:cs="Traditional Arabic" w:hint="cs"/>
          <w:sz w:val="28"/>
          <w:szCs w:val="32"/>
          <w:rtl/>
        </w:rPr>
        <w:t xml:space="preserve"> سواء كان هذا العقار حق ملكية في عقار كملكية ارض أو ملكية منزل</w:t>
      </w:r>
      <w:r>
        <w:rPr>
          <w:rFonts w:cs="Traditional Arabic" w:hint="cs"/>
          <w:sz w:val="28"/>
          <w:szCs w:val="32"/>
          <w:rtl/>
        </w:rPr>
        <w:t xml:space="preserve"> ،</w:t>
      </w:r>
      <w:r w:rsidRPr="00EC737F">
        <w:rPr>
          <w:rFonts w:cs="Traditional Arabic" w:hint="cs"/>
          <w:sz w:val="28"/>
          <w:szCs w:val="32"/>
          <w:rtl/>
        </w:rPr>
        <w:t xml:space="preserve"> أو حق رفعة عقارية</w:t>
      </w:r>
      <w:r>
        <w:rPr>
          <w:rFonts w:cs="Traditional Arabic" w:hint="cs"/>
          <w:sz w:val="28"/>
          <w:szCs w:val="32"/>
          <w:rtl/>
        </w:rPr>
        <w:t xml:space="preserve"> ،</w:t>
      </w:r>
      <w:r w:rsidRPr="00EC737F">
        <w:rPr>
          <w:rFonts w:cs="Traditional Arabic" w:hint="cs"/>
          <w:sz w:val="28"/>
          <w:szCs w:val="32"/>
          <w:rtl/>
        </w:rPr>
        <w:t xml:space="preserve"> أو حق انتفاع عقاري</w:t>
      </w:r>
      <w:r>
        <w:rPr>
          <w:rFonts w:cs="Traditional Arabic" w:hint="cs"/>
          <w:sz w:val="28"/>
          <w:szCs w:val="32"/>
          <w:vertAlign w:val="superscript"/>
          <w:rtl/>
        </w:rPr>
        <w:t xml:space="preserve">( </w:t>
      </w:r>
      <w:r w:rsidRPr="00EC737F">
        <w:rPr>
          <w:rStyle w:val="ab"/>
          <w:rFonts w:cs="Traditional Arabic"/>
          <w:sz w:val="28"/>
          <w:szCs w:val="32"/>
          <w:rtl/>
        </w:rPr>
        <w:footnoteReference w:id="75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$351 كذلك يجوز رهن حق المحتكر أي الحكر</w:t>
      </w:r>
      <w:r>
        <w:rPr>
          <w:rFonts w:cs="Traditional Arabic" w:hint="cs"/>
          <w:sz w:val="28"/>
          <w:szCs w:val="32"/>
          <w:rtl/>
        </w:rPr>
        <w:t xml:space="preserve"> ،</w:t>
      </w:r>
      <w:r w:rsidRPr="00EC737F">
        <w:rPr>
          <w:rFonts w:cs="Traditional Arabic" w:hint="cs"/>
          <w:sz w:val="28"/>
          <w:szCs w:val="32"/>
          <w:rtl/>
        </w:rPr>
        <w:t xml:space="preserve"> ويشمل الرهن في هذه الحالة ما أحدثه المحتكر في الأرض المحكره من بناء أو غراس</w:t>
      </w:r>
      <w:r>
        <w:rPr>
          <w:rFonts w:cs="Traditional Arabic" w:hint="cs"/>
          <w:sz w:val="28"/>
          <w:szCs w:val="32"/>
          <w:rtl/>
        </w:rPr>
        <w:t xml:space="preserve"> ،</w:t>
      </w:r>
      <w:r w:rsidRPr="00EC737F">
        <w:rPr>
          <w:rFonts w:cs="Traditional Arabic" w:hint="cs"/>
          <w:sz w:val="28"/>
          <w:szCs w:val="32"/>
          <w:rtl/>
        </w:rPr>
        <w:t xml:space="preserve"> إلا إذا رهن المحتكر حقه في الحكر وحده دون البناء أو الغراس</w:t>
      </w:r>
      <w:r>
        <w:rPr>
          <w:rFonts w:cs="Traditional Arabic" w:hint="cs"/>
          <w:sz w:val="28"/>
          <w:szCs w:val="32"/>
          <w:rtl/>
        </w:rPr>
        <w:t xml:space="preserve"> .</w:t>
      </w:r>
      <w:r w:rsidRPr="00EC737F">
        <w:rPr>
          <w:rFonts w:cs="Traditional Arabic" w:hint="cs"/>
          <w:sz w:val="28"/>
          <w:szCs w:val="32"/>
          <w:rtl/>
        </w:rPr>
        <w:t xml:space="preserve"> وكذلك </w:t>
      </w:r>
      <w:r w:rsidRPr="00EC737F">
        <w:rPr>
          <w:rFonts w:cs="Traditional Arabic" w:hint="cs"/>
          <w:sz w:val="28"/>
          <w:szCs w:val="32"/>
          <w:rtl/>
        </w:rPr>
        <w:lastRenderedPageBreak/>
        <w:t>يجوز رهن حق صاحب الرقبة في الأرض المحتكرة</w:t>
      </w:r>
      <w:r>
        <w:rPr>
          <w:rFonts w:cs="Traditional Arabic" w:hint="cs"/>
          <w:sz w:val="28"/>
          <w:szCs w:val="32"/>
          <w:rtl/>
        </w:rPr>
        <w:t xml:space="preserve"> ،</w:t>
      </w:r>
      <w:r w:rsidRPr="00EC737F">
        <w:rPr>
          <w:rFonts w:cs="Traditional Arabic" w:hint="cs"/>
          <w:sz w:val="28"/>
          <w:szCs w:val="32"/>
          <w:rtl/>
        </w:rPr>
        <w:t xml:space="preserve"> لأن هذا الحق يعتبر عقاراً فيجوز رهنه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ويجو رهن حق الارتفاق </w:t>
      </w:r>
      <w:r>
        <w:rPr>
          <w:rFonts w:cs="Traditional Arabic" w:hint="cs"/>
          <w:sz w:val="28"/>
          <w:szCs w:val="32"/>
          <w:rtl/>
        </w:rPr>
        <w:t xml:space="preserve"> ،</w:t>
      </w:r>
      <w:r w:rsidRPr="00EC737F">
        <w:rPr>
          <w:rFonts w:cs="Traditional Arabic" w:hint="cs"/>
          <w:sz w:val="28"/>
          <w:szCs w:val="32"/>
          <w:rtl/>
        </w:rPr>
        <w:t xml:space="preserve"> ولكن تبعاً للعقار المرتفق لا وحده</w:t>
      </w:r>
      <w:r>
        <w:rPr>
          <w:rFonts w:cs="Traditional Arabic" w:hint="cs"/>
          <w:sz w:val="28"/>
          <w:szCs w:val="32"/>
          <w:rtl/>
        </w:rPr>
        <w:t xml:space="preserve"> ،</w:t>
      </w:r>
      <w:r w:rsidRPr="00EC737F">
        <w:rPr>
          <w:rFonts w:cs="Traditional Arabic" w:hint="cs"/>
          <w:sz w:val="28"/>
          <w:szCs w:val="32"/>
          <w:rtl/>
        </w:rPr>
        <w:t xml:space="preserve"> لأنه لا يجوز بيع حق الارتفاق منفصلا عن العقار المرتفق</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 ويجوز رهن الحق العقاري المتنازع فه</w:t>
      </w:r>
      <w:r>
        <w:rPr>
          <w:rFonts w:cs="Traditional Arabic" w:hint="cs"/>
          <w:sz w:val="28"/>
          <w:szCs w:val="32"/>
          <w:rtl/>
        </w:rPr>
        <w:t xml:space="preserve"> ،</w:t>
      </w:r>
      <w:r w:rsidRPr="00EC737F">
        <w:rPr>
          <w:rFonts w:cs="Traditional Arabic" w:hint="cs"/>
          <w:sz w:val="28"/>
          <w:szCs w:val="32"/>
          <w:rtl/>
        </w:rPr>
        <w:t xml:space="preserve"> ويشمل ذلك الدعوى المتعلقة به</w:t>
      </w:r>
      <w:r>
        <w:rPr>
          <w:rFonts w:cs="Traditional Arabic" w:hint="cs"/>
          <w:sz w:val="28"/>
          <w:szCs w:val="32"/>
          <w:rtl/>
        </w:rPr>
        <w:t xml:space="preserve"> ،</w:t>
      </w:r>
      <w:r w:rsidRPr="00EC737F">
        <w:rPr>
          <w:rFonts w:cs="Traditional Arabic" w:hint="cs"/>
          <w:sz w:val="28"/>
          <w:szCs w:val="32"/>
          <w:rtl/>
        </w:rPr>
        <w:t xml:space="preserve"> ولكن لا يجوز رهن الدعوى دون الحق</w:t>
      </w:r>
      <w:r>
        <w:rPr>
          <w:rFonts w:cs="Traditional Arabic" w:hint="cs"/>
          <w:sz w:val="28"/>
          <w:szCs w:val="32"/>
          <w:vertAlign w:val="superscript"/>
          <w:rtl/>
        </w:rPr>
        <w:t xml:space="preserve">( </w:t>
      </w:r>
      <w:r w:rsidRPr="00EC737F">
        <w:rPr>
          <w:rStyle w:val="ab"/>
          <w:rFonts w:cs="Traditional Arabic"/>
          <w:sz w:val="28"/>
          <w:szCs w:val="32"/>
          <w:rtl/>
        </w:rPr>
        <w:footnoteReference w:id="75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حق الرهن الرسمي نفسه</w:t>
      </w:r>
      <w:r>
        <w:rPr>
          <w:rFonts w:cs="Traditional Arabic" w:hint="cs"/>
          <w:sz w:val="28"/>
          <w:szCs w:val="32"/>
          <w:rtl/>
        </w:rPr>
        <w:t xml:space="preserve"> ،</w:t>
      </w:r>
      <w:r w:rsidRPr="00EC737F">
        <w:rPr>
          <w:rFonts w:cs="Traditional Arabic" w:hint="cs"/>
          <w:sz w:val="28"/>
          <w:szCs w:val="32"/>
          <w:rtl/>
        </w:rPr>
        <w:t xml:space="preserve"> فلا يجوز في فرنسا رهنه رهناً رسمياً</w:t>
      </w:r>
      <w:r>
        <w:rPr>
          <w:rFonts w:cs="Traditional Arabic" w:hint="cs"/>
          <w:sz w:val="28"/>
          <w:szCs w:val="32"/>
          <w:rtl/>
        </w:rPr>
        <w:t xml:space="preserve"> ،</w:t>
      </w:r>
      <w:r w:rsidRPr="00EC737F">
        <w:rPr>
          <w:rFonts w:cs="Traditional Arabic" w:hint="cs"/>
          <w:sz w:val="28"/>
          <w:szCs w:val="32"/>
          <w:rtl/>
        </w:rPr>
        <w:t xml:space="preserve"> لأن المادة 2118 مدني فرنسي ذكرت على سبيل الحصر الأموال التي يجوز رهنا رهناً رسمياً وليس حق الرهن الرسمي منها</w:t>
      </w:r>
      <w:r>
        <w:rPr>
          <w:rFonts w:cs="Traditional Arabic" w:hint="cs"/>
          <w:sz w:val="28"/>
          <w:szCs w:val="32"/>
          <w:rtl/>
        </w:rPr>
        <w:t xml:space="preserve"> ،</w:t>
      </w:r>
      <w:r w:rsidRPr="00EC737F">
        <w:rPr>
          <w:rFonts w:cs="Traditional Arabic" w:hint="cs"/>
          <w:sz w:val="28"/>
          <w:szCs w:val="32"/>
          <w:rtl/>
        </w:rPr>
        <w:t xml:space="preserve"> ولأن المادة 775 مرافعات فرنسي نصت على وجوب قسمة الناتج من الرهن قسمة غرماء ين دائني الدائن المرتهن فاعتبر ذل الناتج منقولا لا عقاراً</w:t>
      </w:r>
      <w:r>
        <w:rPr>
          <w:rFonts w:cs="Traditional Arabic" w:hint="cs"/>
          <w:sz w:val="28"/>
          <w:szCs w:val="32"/>
          <w:vertAlign w:val="superscript"/>
          <w:rtl/>
        </w:rPr>
        <w:t xml:space="preserve">( </w:t>
      </w:r>
      <w:r w:rsidRPr="00EC737F">
        <w:rPr>
          <w:rStyle w:val="ab"/>
          <w:rFonts w:cs="Traditional Arabic"/>
          <w:sz w:val="28"/>
          <w:szCs w:val="32"/>
          <w:rtl/>
        </w:rPr>
        <w:footnoteReference w:id="75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وهذا هو الرأي السائد في مصر</w:t>
      </w:r>
      <w:r>
        <w:rPr>
          <w:rFonts w:cs="Traditional Arabic" w:hint="cs"/>
          <w:sz w:val="28"/>
          <w:szCs w:val="32"/>
          <w:vertAlign w:val="superscript"/>
          <w:rtl/>
        </w:rPr>
        <w:t xml:space="preserve">( </w:t>
      </w:r>
      <w:r w:rsidRPr="00EC737F">
        <w:rPr>
          <w:rStyle w:val="ab"/>
          <w:rFonts w:cs="Traditional Arabic"/>
          <w:sz w:val="28"/>
          <w:szCs w:val="32"/>
          <w:rtl/>
        </w:rPr>
        <w:footnoteReference w:id="76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ولكن يجوز على كل حال رهن الدائن للدين المضمون بالرهن $352 الرسمي رهن حيازة فيتبع الرهن الرسمي الدين في رهنه</w:t>
      </w:r>
      <w:r>
        <w:rPr>
          <w:rFonts w:cs="Traditional Arabic" w:hint="cs"/>
          <w:sz w:val="28"/>
          <w:szCs w:val="32"/>
          <w:rtl/>
        </w:rPr>
        <w:t xml:space="preserve"> ،</w:t>
      </w:r>
      <w:r w:rsidRPr="00EC737F">
        <w:rPr>
          <w:rFonts w:cs="Traditional Arabic" w:hint="cs"/>
          <w:sz w:val="28"/>
          <w:szCs w:val="32"/>
          <w:rtl/>
        </w:rPr>
        <w:t xml:space="preserve"> كما يجوز له أن يبيع الدين ويتبعه في ذلك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76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ويجب أن يكون العقار المرهون رهناً رسمياً مما يجوز التعامل فيه ومما يجوز بيعه بالمزاد العلني</w:t>
      </w:r>
      <w:r>
        <w:rPr>
          <w:rFonts w:cs="Traditional Arabic" w:hint="cs"/>
          <w:sz w:val="28"/>
          <w:szCs w:val="32"/>
          <w:rtl/>
        </w:rPr>
        <w:t xml:space="preserve"> ،</w:t>
      </w:r>
      <w:r w:rsidRPr="00EC737F">
        <w:rPr>
          <w:rFonts w:cs="Traditional Arabic" w:hint="cs"/>
          <w:sz w:val="28"/>
          <w:szCs w:val="32"/>
          <w:rtl/>
        </w:rPr>
        <w:t xml:space="preserve"> فلا يجوز رهن الوقف</w:t>
      </w:r>
      <w:r>
        <w:rPr>
          <w:rFonts w:cs="Traditional Arabic" w:hint="cs"/>
          <w:sz w:val="28"/>
          <w:szCs w:val="32"/>
          <w:rtl/>
        </w:rPr>
        <w:t xml:space="preserve"> ،</w:t>
      </w:r>
      <w:r w:rsidRPr="00EC737F">
        <w:rPr>
          <w:rFonts w:cs="Traditional Arabic" w:hint="cs"/>
          <w:sz w:val="28"/>
          <w:szCs w:val="32"/>
          <w:rtl/>
        </w:rPr>
        <w:t xml:space="preserve"> وقد جاء في المذكرة الإيضاحية في هذا الصدد</w:t>
      </w:r>
      <w:r>
        <w:rPr>
          <w:rFonts w:cs="Traditional Arabic" w:hint="cs"/>
          <w:sz w:val="28"/>
          <w:szCs w:val="32"/>
          <w:rtl/>
        </w:rPr>
        <w:t xml:space="preserve"> :</w:t>
      </w:r>
      <w:r w:rsidRPr="00EC737F">
        <w:rPr>
          <w:rFonts w:cs="Traditional Arabic" w:hint="cs"/>
          <w:sz w:val="28"/>
          <w:szCs w:val="32"/>
          <w:rtl/>
        </w:rPr>
        <w:t xml:space="preserve"> "يجب أن يكون المال الذي صح رهنه رهناً </w:t>
      </w:r>
      <w:r w:rsidRPr="00EC737F">
        <w:rPr>
          <w:rFonts w:cs="Traditional Arabic" w:hint="cs"/>
          <w:sz w:val="28"/>
          <w:szCs w:val="32"/>
          <w:rtl/>
        </w:rPr>
        <w:lastRenderedPageBreak/>
        <w:t>رسمياً عقاراً يجوز التعامل فيه</w:t>
      </w:r>
      <w:r>
        <w:rPr>
          <w:rFonts w:cs="Traditional Arabic" w:hint="cs"/>
          <w:sz w:val="28"/>
          <w:szCs w:val="32"/>
          <w:rtl/>
        </w:rPr>
        <w:t xml:space="preserve"> ،</w:t>
      </w:r>
      <w:r w:rsidRPr="00EC737F">
        <w:rPr>
          <w:rFonts w:cs="Traditional Arabic" w:hint="cs"/>
          <w:sz w:val="28"/>
          <w:szCs w:val="32"/>
          <w:rtl/>
        </w:rPr>
        <w:t xml:space="preserve"> فلا يجوز رهن الوقف"</w:t>
      </w:r>
      <w:r>
        <w:rPr>
          <w:rFonts w:cs="Traditional Arabic" w:hint="cs"/>
          <w:sz w:val="28"/>
          <w:szCs w:val="32"/>
          <w:vertAlign w:val="superscript"/>
          <w:rtl/>
        </w:rPr>
        <w:t xml:space="preserve">( </w:t>
      </w:r>
      <w:r w:rsidRPr="00EC737F">
        <w:rPr>
          <w:rStyle w:val="ab"/>
          <w:rFonts w:cs="Traditional Arabic"/>
          <w:sz w:val="28"/>
          <w:szCs w:val="32"/>
          <w:rtl/>
        </w:rPr>
        <w:footnoteReference w:id="76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يجوز رهن العقار المشروط عدم التصرف فيه</w:t>
      </w:r>
      <w:r>
        <w:rPr>
          <w:rFonts w:cs="Traditional Arabic" w:hint="cs"/>
          <w:sz w:val="28"/>
          <w:szCs w:val="32"/>
          <w:vertAlign w:val="superscript"/>
          <w:rtl/>
        </w:rPr>
        <w:t xml:space="preserve">( </w:t>
      </w:r>
      <w:r w:rsidRPr="00EC737F">
        <w:rPr>
          <w:rStyle w:val="ab"/>
          <w:rFonts w:cs="Traditional Arabic"/>
          <w:sz w:val="28"/>
          <w:szCs w:val="32"/>
          <w:rtl/>
        </w:rPr>
        <w:footnoteReference w:id="76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جاء في المذكرة الإيضاحية في هذا الصدد</w:t>
      </w:r>
      <w:r>
        <w:rPr>
          <w:rFonts w:cs="Traditional Arabic" w:hint="cs"/>
          <w:sz w:val="28"/>
          <w:szCs w:val="32"/>
          <w:rtl/>
        </w:rPr>
        <w:t xml:space="preserve"> :</w:t>
      </w:r>
      <w:r w:rsidRPr="00EC737F">
        <w:rPr>
          <w:rFonts w:cs="Traditional Arabic" w:hint="cs"/>
          <w:sz w:val="28"/>
          <w:szCs w:val="32"/>
          <w:rtl/>
        </w:rPr>
        <w:t xml:space="preserve"> "كذلك يجب أن يكون جائزاً بيعه في المزاد العلني</w:t>
      </w:r>
      <w:r>
        <w:rPr>
          <w:rFonts w:cs="Traditional Arabic" w:hint="cs"/>
          <w:sz w:val="28"/>
          <w:szCs w:val="32"/>
          <w:rtl/>
        </w:rPr>
        <w:t xml:space="preserve"> ،</w:t>
      </w:r>
      <w:r w:rsidRPr="00EC737F">
        <w:rPr>
          <w:rFonts w:cs="Traditional Arabic" w:hint="cs"/>
          <w:sz w:val="28"/>
          <w:szCs w:val="32"/>
          <w:rtl/>
        </w:rPr>
        <w:t xml:space="preserve"> فلا يجوز رهن العقار المشروط عدم التصرف لبيعه</w:t>
      </w:r>
      <w:r>
        <w:rPr>
          <w:rFonts w:cs="Traditional Arabic" w:hint="cs"/>
          <w:sz w:val="28"/>
          <w:szCs w:val="32"/>
          <w:vertAlign w:val="superscript"/>
          <w:rtl/>
        </w:rPr>
        <w:t xml:space="preserve">( </w:t>
      </w:r>
      <w:r w:rsidRPr="00EC737F">
        <w:rPr>
          <w:rStyle w:val="ab"/>
          <w:rFonts w:cs="Traditional Arabic"/>
          <w:sz w:val="28"/>
          <w:szCs w:val="32"/>
          <w:rtl/>
        </w:rPr>
        <w:footnoteReference w:id="76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كذل لا يجوز رهن $353 ما لا يجوز التعامل فيه محافظة على النظام العام والآداب</w:t>
      </w:r>
      <w:r>
        <w:rPr>
          <w:rFonts w:cs="Traditional Arabic" w:hint="cs"/>
          <w:sz w:val="28"/>
          <w:szCs w:val="32"/>
          <w:rtl/>
        </w:rPr>
        <w:t xml:space="preserve"> ،</w:t>
      </w:r>
      <w:r w:rsidRPr="00EC737F">
        <w:rPr>
          <w:rFonts w:cs="Traditional Arabic" w:hint="cs"/>
          <w:sz w:val="28"/>
          <w:szCs w:val="32"/>
          <w:rtl/>
        </w:rPr>
        <w:t xml:space="preserve"> كرهن العقار المستعمل للمقامرة أو للعاهرة</w:t>
      </w:r>
      <w:r>
        <w:rPr>
          <w:rFonts w:cs="Traditional Arabic" w:hint="cs"/>
          <w:sz w:val="28"/>
          <w:szCs w:val="32"/>
          <w:rtl/>
        </w:rPr>
        <w:t xml:space="preserve"> .</w:t>
      </w:r>
      <w:r w:rsidRPr="00EC737F">
        <w:rPr>
          <w:rFonts w:cs="Traditional Arabic" w:hint="cs"/>
          <w:sz w:val="28"/>
          <w:szCs w:val="32"/>
          <w:rtl/>
        </w:rPr>
        <w:t xml:space="preserve"> ولا يجوز أن يرهن رهناً رسمياً العقار المقصور على مالكه</w:t>
      </w:r>
      <w:r>
        <w:rPr>
          <w:rFonts w:cs="Traditional Arabic" w:hint="cs"/>
          <w:sz w:val="28"/>
          <w:szCs w:val="32"/>
          <w:rtl/>
        </w:rPr>
        <w:t xml:space="preserve"> ،</w:t>
      </w:r>
      <w:r w:rsidRPr="00EC737F">
        <w:rPr>
          <w:rFonts w:cs="Traditional Arabic" w:hint="cs"/>
          <w:sz w:val="28"/>
          <w:szCs w:val="32"/>
          <w:rtl/>
        </w:rPr>
        <w:t xml:space="preserve"> كحق الاستعمال وحق السكنى</w:t>
      </w:r>
      <w:r>
        <w:rPr>
          <w:rFonts w:cs="Traditional Arabic" w:hint="cs"/>
          <w:sz w:val="28"/>
          <w:szCs w:val="32"/>
          <w:rtl/>
        </w:rPr>
        <w:t xml:space="preserve"> ،</w:t>
      </w:r>
      <w:r w:rsidRPr="00EC737F">
        <w:rPr>
          <w:rFonts w:cs="Traditional Arabic" w:hint="cs"/>
          <w:sz w:val="28"/>
          <w:szCs w:val="32"/>
          <w:rtl/>
        </w:rPr>
        <w:t xml:space="preserve"> لأن المالك لحق الاستعمال أو حق السكنى لا يستطيع النزول عن حقه إلا بناء على شرط صريح أو لمبرر قوي </w:t>
      </w:r>
      <w:r>
        <w:rPr>
          <w:rFonts w:cs="Traditional Arabic" w:hint="cs"/>
          <w:sz w:val="28"/>
          <w:szCs w:val="32"/>
          <w:rtl/>
        </w:rPr>
        <w:t xml:space="preserve">( </w:t>
      </w:r>
      <w:r w:rsidRPr="00EC737F">
        <w:rPr>
          <w:rFonts w:cs="Traditional Arabic" w:hint="cs"/>
          <w:sz w:val="28"/>
          <w:szCs w:val="32"/>
          <w:rtl/>
        </w:rPr>
        <w:t>م 997 مدني</w:t>
      </w:r>
      <w:r>
        <w:rPr>
          <w:rFonts w:cs="Traditional Arabic" w:hint="cs"/>
          <w:sz w:val="28"/>
          <w:szCs w:val="32"/>
          <w:rtl/>
        </w:rPr>
        <w:t xml:space="preserve">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765"/>
      </w:r>
      <w:r>
        <w:rPr>
          <w:rFonts w:cs="Traditional Arabic" w:hint="cs"/>
          <w:sz w:val="28"/>
          <w:szCs w:val="32"/>
          <w:vertAlign w:val="superscript"/>
          <w:rtl/>
        </w:rPr>
        <w:t xml:space="preserve"> </w:t>
      </w:r>
      <w:r>
        <w:rPr>
          <w:rFonts w:cs="Traditional Arabic" w:hint="cs"/>
          <w:sz w:val="28"/>
          <w:szCs w:val="32"/>
          <w:vertAlign w:val="superscript"/>
          <w:rtl/>
        </w:rPr>
        <w:lastRenderedPageBreak/>
        <w:t>)</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158- تعيين العقار المرهون تعيينا دقيقا من حيث طبيعته وموقعه</w:t>
      </w:r>
      <w:r>
        <w:rPr>
          <w:rFonts w:cs="Traditional Arabic" w:hint="cs"/>
          <w:sz w:val="28"/>
          <w:szCs w:val="32"/>
          <w:rtl/>
        </w:rPr>
        <w:t xml:space="preserve"> :</w:t>
      </w:r>
      <w:r w:rsidRPr="00EC737F">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766"/>
      </w:r>
      <w:r>
        <w:rPr>
          <w:rFonts w:cs="Traditional Arabic" w:hint="cs"/>
          <w:sz w:val="28"/>
          <w:szCs w:val="32"/>
          <w:vertAlign w:val="superscript"/>
          <w:rtl/>
        </w:rPr>
        <w:t xml:space="preserve"> )</w:t>
      </w:r>
      <w:r w:rsidRPr="00EC737F">
        <w:rPr>
          <w:rFonts w:cs="Traditional Arabic" w:hint="cs"/>
          <w:sz w:val="28"/>
          <w:szCs w:val="32"/>
          <w:rtl/>
        </w:rPr>
        <w:t xml:space="preserve"> أن الفقرة الثانية من المادة 1035 مدني تنص على أن العقار المرهون يجب "أن يكون معيناً بالذات تعييناً دقيقاً من حيث طبيعته وموقعه</w:t>
      </w:r>
      <w:r>
        <w:rPr>
          <w:rFonts w:cs="Traditional Arabic" w:hint="cs"/>
          <w:sz w:val="28"/>
          <w:szCs w:val="32"/>
          <w:rtl/>
        </w:rPr>
        <w:t xml:space="preserve"> ،</w:t>
      </w:r>
      <w:r w:rsidRPr="00EC737F">
        <w:rPr>
          <w:rFonts w:cs="Traditional Arabic" w:hint="cs"/>
          <w:sz w:val="28"/>
          <w:szCs w:val="32"/>
          <w:rtl/>
        </w:rPr>
        <w:t xml:space="preserve"> وأن يرد هذا التعيين إما في عقد الرهن ذاته أو في عقد رسمي لاحق</w:t>
      </w:r>
      <w:r>
        <w:rPr>
          <w:rFonts w:cs="Traditional Arabic" w:hint="cs"/>
          <w:sz w:val="28"/>
          <w:szCs w:val="32"/>
          <w:rtl/>
        </w:rPr>
        <w:t xml:space="preserve"> ،</w:t>
      </w:r>
      <w:r w:rsidRPr="00EC737F">
        <w:rPr>
          <w:rFonts w:cs="Traditional Arabic" w:hint="cs"/>
          <w:sz w:val="28"/>
          <w:szCs w:val="32"/>
          <w:rtl/>
        </w:rPr>
        <w:t xml:space="preserve"> وإلا وقع الرهن باطلا"</w:t>
      </w:r>
      <w:r>
        <w:rPr>
          <w:rFonts w:cs="Traditional Arabic" w:hint="cs"/>
          <w:sz w:val="28"/>
          <w:szCs w:val="32"/>
          <w:rtl/>
        </w:rPr>
        <w:t xml:space="preserve"> .</w:t>
      </w:r>
      <w:r w:rsidRPr="00EC737F">
        <w:rPr>
          <w:rFonts w:cs="Traditional Arabic" w:hint="cs"/>
          <w:sz w:val="28"/>
          <w:szCs w:val="32"/>
          <w:rtl/>
        </w:rPr>
        <w:t xml:space="preserve"> وجاء في المذكرة الإيضاحية للمشروع التمهيدي في هذا الصدد</w:t>
      </w:r>
      <w:r>
        <w:rPr>
          <w:rFonts w:cs="Traditional Arabic" w:hint="cs"/>
          <w:sz w:val="28"/>
          <w:szCs w:val="32"/>
          <w:rtl/>
        </w:rPr>
        <w:t xml:space="preserve"> :</w:t>
      </w:r>
      <w:r w:rsidRPr="00EC737F">
        <w:rPr>
          <w:rFonts w:cs="Traditional Arabic" w:hint="cs"/>
          <w:sz w:val="28"/>
          <w:szCs w:val="32"/>
          <w:rtl/>
        </w:rPr>
        <w:t xml:space="preserve"> "وتقتضي قاعدة تخصيص الرهن أن يكون العقار المرهون معيناً تعييناً دقيقاً من حيث الطبيعة والموقع</w:t>
      </w:r>
      <w:r>
        <w:rPr>
          <w:rFonts w:cs="Traditional Arabic" w:hint="cs"/>
          <w:sz w:val="28"/>
          <w:szCs w:val="32"/>
          <w:rtl/>
        </w:rPr>
        <w:t xml:space="preserve"> ،</w:t>
      </w:r>
      <w:r w:rsidRPr="00EC737F">
        <w:rPr>
          <w:rFonts w:cs="Traditional Arabic" w:hint="cs"/>
          <w:sz w:val="28"/>
          <w:szCs w:val="32"/>
          <w:rtl/>
        </w:rPr>
        <w:t xml:space="preserve"> فإذا لم يرد في العقد هذا التحديد أمكنت تكملته في ورقة لاحقة تكون هي أيضاً رسمية</w:t>
      </w:r>
      <w:r>
        <w:rPr>
          <w:rFonts w:cs="Traditional Arabic" w:hint="cs"/>
          <w:sz w:val="28"/>
          <w:szCs w:val="32"/>
          <w:rtl/>
        </w:rPr>
        <w:t xml:space="preserve"> ،</w:t>
      </w:r>
      <w:r w:rsidRPr="00EC737F">
        <w:rPr>
          <w:rFonts w:cs="Traditional Arabic" w:hint="cs"/>
          <w:sz w:val="28"/>
          <w:szCs w:val="32"/>
          <w:rtl/>
        </w:rPr>
        <w:t xml:space="preserve"> وتعتبر ملحقاً العقد الرهن"</w:t>
      </w:r>
      <w:r>
        <w:rPr>
          <w:rFonts w:cs="Traditional Arabic" w:hint="cs"/>
          <w:sz w:val="28"/>
          <w:szCs w:val="32"/>
          <w:vertAlign w:val="superscript"/>
          <w:rtl/>
        </w:rPr>
        <w:t xml:space="preserve">( </w:t>
      </w:r>
      <w:r w:rsidRPr="00EC737F">
        <w:rPr>
          <w:rStyle w:val="ab"/>
          <w:rFonts w:cs="Traditional Arabic"/>
          <w:sz w:val="28"/>
          <w:szCs w:val="32"/>
          <w:rtl/>
        </w:rPr>
        <w:footnoteReference w:id="76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فمبدأ تخصيص الرهن</w:t>
      </w:r>
      <w:r>
        <w:rPr>
          <w:rFonts w:cs="Traditional Arabic" w:hint="cs"/>
          <w:sz w:val="28"/>
          <w:szCs w:val="32"/>
          <w:vertAlign w:val="superscript"/>
          <w:rtl/>
        </w:rPr>
        <w:t xml:space="preserve">( </w:t>
      </w:r>
      <w:r w:rsidRPr="00EC737F">
        <w:rPr>
          <w:rStyle w:val="ab"/>
          <w:rFonts w:cs="Traditional Arabic"/>
          <w:sz w:val="28"/>
          <w:szCs w:val="32"/>
          <w:rtl/>
        </w:rPr>
        <w:footnoteReference w:id="768"/>
      </w:r>
      <w:r>
        <w:rPr>
          <w:rFonts w:cs="Traditional Arabic" w:hint="cs"/>
          <w:sz w:val="28"/>
          <w:szCs w:val="32"/>
          <w:vertAlign w:val="superscript"/>
          <w:rtl/>
        </w:rPr>
        <w:t xml:space="preserve"> )</w:t>
      </w:r>
      <w:r w:rsidRPr="00EC737F">
        <w:rPr>
          <w:rFonts w:cs="Traditional Arabic" w:hint="cs"/>
          <w:sz w:val="28"/>
          <w:szCs w:val="32"/>
          <w:rtl/>
        </w:rPr>
        <w:t xml:space="preserve"> إذن يقتضي أولا تعيين العقار المرهون بالذات</w:t>
      </w:r>
      <w:r>
        <w:rPr>
          <w:rFonts w:cs="Traditional Arabic" w:hint="cs"/>
          <w:sz w:val="28"/>
          <w:szCs w:val="32"/>
          <w:rtl/>
        </w:rPr>
        <w:t xml:space="preserve"> ،</w:t>
      </w:r>
      <w:r w:rsidRPr="00EC737F">
        <w:rPr>
          <w:rFonts w:cs="Traditional Arabic" w:hint="cs"/>
          <w:sz w:val="28"/>
          <w:szCs w:val="32"/>
          <w:rtl/>
        </w:rPr>
        <w:t xml:space="preserve"> $354 فلا يجوز رهن المالك لجميع ما يملك من العقارات</w:t>
      </w:r>
      <w:r>
        <w:rPr>
          <w:rFonts w:cs="Traditional Arabic" w:hint="cs"/>
          <w:sz w:val="28"/>
          <w:szCs w:val="32"/>
          <w:rtl/>
        </w:rPr>
        <w:t xml:space="preserve"> ،</w:t>
      </w:r>
      <w:r w:rsidRPr="00EC737F">
        <w:rPr>
          <w:rFonts w:cs="Traditional Arabic" w:hint="cs"/>
          <w:sz w:val="28"/>
          <w:szCs w:val="32"/>
          <w:rtl/>
        </w:rPr>
        <w:t xml:space="preserve"> أو لجميع عقاراته الموجودة بجهة كذا</w:t>
      </w:r>
      <w:r>
        <w:rPr>
          <w:rFonts w:cs="Traditional Arabic" w:hint="cs"/>
          <w:sz w:val="28"/>
          <w:szCs w:val="32"/>
          <w:rtl/>
        </w:rPr>
        <w:t xml:space="preserve"> .</w:t>
      </w:r>
      <w:r w:rsidRPr="00EC737F">
        <w:rPr>
          <w:rFonts w:cs="Traditional Arabic" w:hint="cs"/>
          <w:sz w:val="28"/>
          <w:szCs w:val="32"/>
          <w:rtl/>
        </w:rPr>
        <w:t xml:space="preserve"> ومتى عين العقار المرهون بالذات</w:t>
      </w:r>
      <w:r>
        <w:rPr>
          <w:rFonts w:cs="Traditional Arabic" w:hint="cs"/>
          <w:sz w:val="28"/>
          <w:szCs w:val="32"/>
          <w:rtl/>
        </w:rPr>
        <w:t xml:space="preserve"> ،</w:t>
      </w:r>
      <w:r w:rsidRPr="00EC737F">
        <w:rPr>
          <w:rFonts w:cs="Traditional Arabic" w:hint="cs"/>
          <w:sz w:val="28"/>
          <w:szCs w:val="32"/>
          <w:rtl/>
        </w:rPr>
        <w:t xml:space="preserve"> وجب تحديده تحديداً دقيقاً من ناحيتين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الناحية الأولى</w:t>
      </w:r>
      <w:r>
        <w:rPr>
          <w:rFonts w:cs="Traditional Arabic" w:hint="cs"/>
          <w:sz w:val="28"/>
          <w:szCs w:val="32"/>
          <w:rtl/>
        </w:rPr>
        <w:t xml:space="preserve"> )</w:t>
      </w:r>
      <w:r w:rsidRPr="00EC737F">
        <w:rPr>
          <w:rFonts w:cs="Traditional Arabic" w:hint="cs"/>
          <w:sz w:val="28"/>
          <w:szCs w:val="32"/>
          <w:rtl/>
        </w:rPr>
        <w:t xml:space="preserve"> من حيث طبيعته</w:t>
      </w:r>
      <w:r>
        <w:rPr>
          <w:rFonts w:cs="Traditional Arabic" w:hint="cs"/>
          <w:sz w:val="28"/>
          <w:szCs w:val="32"/>
          <w:rtl/>
        </w:rPr>
        <w:t xml:space="preserve"> ،</w:t>
      </w:r>
      <w:r w:rsidRPr="00EC737F">
        <w:rPr>
          <w:rFonts w:cs="Traditional Arabic" w:hint="cs"/>
          <w:sz w:val="28"/>
          <w:szCs w:val="32"/>
          <w:rtl/>
        </w:rPr>
        <w:t xml:space="preserve"> فيقال إن هذا العقار هو ارض أو منزل أو مصنع أو غير ذلك ن العقارات</w:t>
      </w:r>
      <w:r>
        <w:rPr>
          <w:rFonts w:cs="Traditional Arabic" w:hint="cs"/>
          <w:sz w:val="28"/>
          <w:szCs w:val="32"/>
          <w:rtl/>
        </w:rPr>
        <w:t xml:space="preserve"> ،</w:t>
      </w:r>
      <w:r w:rsidRPr="00EC737F">
        <w:rPr>
          <w:rFonts w:cs="Traditional Arabic" w:hint="cs"/>
          <w:sz w:val="28"/>
          <w:szCs w:val="32"/>
          <w:rtl/>
        </w:rPr>
        <w:t xml:space="preserve"> وإذا كان أرضاً فهل هي أرض زراعية أو أرض بناء أو غير ذلك</w:t>
      </w:r>
      <w:r>
        <w:rPr>
          <w:rFonts w:cs="Traditional Arabic" w:hint="cs"/>
          <w:sz w:val="28"/>
          <w:szCs w:val="32"/>
          <w:rtl/>
        </w:rPr>
        <w:t xml:space="preserve"> .</w:t>
      </w:r>
      <w:r w:rsidRPr="00EC737F">
        <w:rPr>
          <w:rFonts w:cs="Traditional Arabic" w:hint="cs"/>
          <w:sz w:val="28"/>
          <w:szCs w:val="32"/>
          <w:rtl/>
        </w:rPr>
        <w:t>ويحسن ذكر حدود هذا العقار</w:t>
      </w:r>
      <w:r>
        <w:rPr>
          <w:rFonts w:cs="Traditional Arabic" w:hint="cs"/>
          <w:sz w:val="28"/>
          <w:szCs w:val="32"/>
          <w:rtl/>
        </w:rPr>
        <w:t xml:space="preserve"> ،</w:t>
      </w:r>
      <w:r w:rsidRPr="00EC737F">
        <w:rPr>
          <w:rFonts w:cs="Traditional Arabic" w:hint="cs"/>
          <w:sz w:val="28"/>
          <w:szCs w:val="32"/>
          <w:rtl/>
        </w:rPr>
        <w:t xml:space="preserve"> ومساحة رقعته</w:t>
      </w:r>
      <w:r>
        <w:rPr>
          <w:rFonts w:cs="Traditional Arabic" w:hint="cs"/>
          <w:sz w:val="28"/>
          <w:szCs w:val="32"/>
          <w:rtl/>
        </w:rPr>
        <w:t xml:space="preserve"> ،</w:t>
      </w:r>
      <w:r w:rsidRPr="00EC737F">
        <w:rPr>
          <w:rFonts w:cs="Traditional Arabic" w:hint="cs"/>
          <w:sz w:val="28"/>
          <w:szCs w:val="32"/>
          <w:rtl/>
        </w:rPr>
        <w:t xml:space="preserve"> وما يحمله من مميزات</w:t>
      </w:r>
      <w:r>
        <w:rPr>
          <w:rFonts w:cs="Traditional Arabic" w:hint="cs"/>
          <w:sz w:val="28"/>
          <w:szCs w:val="32"/>
          <w:rtl/>
        </w:rPr>
        <w:t xml:space="preserve"> ،</w:t>
      </w:r>
      <w:r w:rsidRPr="00EC737F">
        <w:rPr>
          <w:rFonts w:cs="Traditional Arabic" w:hint="cs"/>
          <w:sz w:val="28"/>
          <w:szCs w:val="32"/>
          <w:rtl/>
        </w:rPr>
        <w:t xml:space="preserve"> وما أعد له من أغراض وخدمات</w:t>
      </w:r>
      <w:r>
        <w:rPr>
          <w:rFonts w:cs="Traditional Arabic" w:hint="cs"/>
          <w:sz w:val="28"/>
          <w:szCs w:val="32"/>
          <w:rtl/>
        </w:rPr>
        <w:t xml:space="preserve"> ،</w:t>
      </w:r>
      <w:r w:rsidRPr="00EC737F">
        <w:rPr>
          <w:rFonts w:cs="Traditional Arabic" w:hint="cs"/>
          <w:sz w:val="28"/>
          <w:szCs w:val="32"/>
          <w:rtl/>
        </w:rPr>
        <w:t xml:space="preserve"> وغير ذلك مما يجعل العقار موصوفاً وصفاً تاماً يمكن معه أن يتعين م نبين كثير من العقارات المشابهة</w:t>
      </w:r>
      <w:r>
        <w:rPr>
          <w:rFonts w:cs="Traditional Arabic" w:hint="cs"/>
          <w:sz w:val="28"/>
          <w:szCs w:val="32"/>
          <w:rtl/>
        </w:rPr>
        <w:t xml:space="preserve"> .</w:t>
      </w:r>
      <w:r w:rsidRPr="00EC737F">
        <w:rPr>
          <w:rFonts w:cs="Traditional Arabic" w:hint="cs"/>
          <w:sz w:val="28"/>
          <w:szCs w:val="32"/>
          <w:rtl/>
        </w:rPr>
        <w:t xml:space="preserve"> ويجب ذكر ما إذا كان ملكاً كاملا أو حق رقبة أو حق انتفاع</w:t>
      </w:r>
      <w:r>
        <w:rPr>
          <w:rFonts w:cs="Traditional Arabic" w:hint="cs"/>
          <w:sz w:val="28"/>
          <w:szCs w:val="32"/>
          <w:vertAlign w:val="superscript"/>
          <w:rtl/>
        </w:rPr>
        <w:t xml:space="preserve">( </w:t>
      </w:r>
      <w:r w:rsidRPr="00EC737F">
        <w:rPr>
          <w:rStyle w:val="ab"/>
          <w:rFonts w:cs="Traditional Arabic"/>
          <w:sz w:val="28"/>
          <w:szCs w:val="32"/>
          <w:rtl/>
        </w:rPr>
        <w:footnoteReference w:id="769"/>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 xml:space="preserve">الناحية </w:t>
      </w:r>
      <w:r w:rsidRPr="00EC737F">
        <w:rPr>
          <w:rFonts w:cs="Traditional Arabic" w:hint="cs"/>
          <w:sz w:val="28"/>
          <w:szCs w:val="32"/>
          <w:rtl/>
        </w:rPr>
        <w:lastRenderedPageBreak/>
        <w:t>الثانية</w:t>
      </w:r>
      <w:r>
        <w:rPr>
          <w:rFonts w:cs="Traditional Arabic" w:hint="cs"/>
          <w:sz w:val="28"/>
          <w:szCs w:val="32"/>
          <w:rtl/>
        </w:rPr>
        <w:t xml:space="preserve"> )</w:t>
      </w:r>
      <w:r w:rsidRPr="00EC737F">
        <w:rPr>
          <w:rFonts w:cs="Traditional Arabic" w:hint="cs"/>
          <w:sz w:val="28"/>
          <w:szCs w:val="32"/>
          <w:rtl/>
        </w:rPr>
        <w:t xml:space="preserve"> من حيث موقعه</w:t>
      </w:r>
      <w:r>
        <w:rPr>
          <w:rFonts w:cs="Traditional Arabic" w:hint="cs"/>
          <w:sz w:val="28"/>
          <w:szCs w:val="32"/>
          <w:rtl/>
        </w:rPr>
        <w:t xml:space="preserve"> ،</w:t>
      </w:r>
      <w:r w:rsidRPr="00EC737F">
        <w:rPr>
          <w:rFonts w:cs="Traditional Arabic" w:hint="cs"/>
          <w:sz w:val="28"/>
          <w:szCs w:val="32"/>
          <w:rtl/>
        </w:rPr>
        <w:t xml:space="preserve"> فتذكر الجهة التي يوجد فيها العقار</w:t>
      </w:r>
      <w:r>
        <w:rPr>
          <w:rFonts w:cs="Traditional Arabic" w:hint="cs"/>
          <w:sz w:val="28"/>
          <w:szCs w:val="32"/>
          <w:rtl/>
        </w:rPr>
        <w:t xml:space="preserve"> ،</w:t>
      </w:r>
      <w:r w:rsidRPr="00EC737F">
        <w:rPr>
          <w:rFonts w:cs="Traditional Arabic" w:hint="cs"/>
          <w:sz w:val="28"/>
          <w:szCs w:val="32"/>
          <w:rtl/>
        </w:rPr>
        <w:t xml:space="preserve"> وموقع العقار م هذه الجهة</w:t>
      </w:r>
      <w:r>
        <w:rPr>
          <w:rFonts w:cs="Traditional Arabic" w:hint="cs"/>
          <w:sz w:val="28"/>
          <w:szCs w:val="32"/>
          <w:rtl/>
        </w:rPr>
        <w:t xml:space="preserve"> ،</w:t>
      </w:r>
      <w:r w:rsidRPr="00EC737F">
        <w:rPr>
          <w:rFonts w:cs="Traditional Arabic" w:hint="cs"/>
          <w:sz w:val="28"/>
          <w:szCs w:val="32"/>
          <w:rtl/>
        </w:rPr>
        <w:t xml:space="preserve"> وما يحيط به من جيران وعقارات أخرى</w:t>
      </w:r>
      <w:r>
        <w:rPr>
          <w:rFonts w:cs="Traditional Arabic" w:hint="cs"/>
          <w:sz w:val="28"/>
          <w:szCs w:val="32"/>
          <w:rtl/>
        </w:rPr>
        <w:t xml:space="preserve"> ،</w:t>
      </w:r>
      <w:r w:rsidRPr="00EC737F">
        <w:rPr>
          <w:rFonts w:cs="Traditional Arabic" w:hint="cs"/>
          <w:sz w:val="28"/>
          <w:szCs w:val="32"/>
          <w:rtl/>
        </w:rPr>
        <w:t xml:space="preserve"> بحيث يتميز العقار تميزاً تاماً عن سائر العقارات المجاورة له في الجهة التي هو فيها</w:t>
      </w:r>
      <w:r>
        <w:rPr>
          <w:rFonts w:cs="Traditional Arabic" w:hint="cs"/>
          <w:sz w:val="28"/>
          <w:szCs w:val="32"/>
          <w:rtl/>
        </w:rPr>
        <w:t xml:space="preserve"> ،</w:t>
      </w:r>
      <w:r w:rsidRPr="00EC737F">
        <w:rPr>
          <w:rFonts w:cs="Traditional Arabic" w:hint="cs"/>
          <w:sz w:val="28"/>
          <w:szCs w:val="32"/>
          <w:rtl/>
        </w:rPr>
        <w:t xml:space="preserve"> فلا يلتبس بغيره من العقارات</w:t>
      </w:r>
      <w:r>
        <w:rPr>
          <w:rFonts w:cs="Traditional Arabic" w:hint="cs"/>
          <w:sz w:val="28"/>
          <w:szCs w:val="32"/>
          <w:vertAlign w:val="superscript"/>
          <w:rtl/>
        </w:rPr>
        <w:t xml:space="preserve">( </w:t>
      </w:r>
      <w:r w:rsidRPr="00EC737F">
        <w:rPr>
          <w:rStyle w:val="ab"/>
          <w:rFonts w:cs="Traditional Arabic"/>
          <w:sz w:val="28"/>
          <w:szCs w:val="32"/>
          <w:rtl/>
        </w:rPr>
        <w:footnoteReference w:id="77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ويجب ا يحدد العقار هذا التحديد الدقيق في نفس عقد الرهن الرسمي</w:t>
      </w:r>
      <w:r>
        <w:rPr>
          <w:rFonts w:cs="Traditional Arabic" w:hint="cs"/>
          <w:sz w:val="28"/>
          <w:szCs w:val="32"/>
          <w:rtl/>
        </w:rPr>
        <w:t xml:space="preserve"> ،</w:t>
      </w:r>
      <w:r w:rsidRPr="00EC737F">
        <w:rPr>
          <w:rFonts w:cs="Traditional Arabic" w:hint="cs"/>
          <w:sz w:val="28"/>
          <w:szCs w:val="32"/>
          <w:rtl/>
        </w:rPr>
        <w:t xml:space="preserve"> فلا يكفي التحديد في القيد</w:t>
      </w:r>
      <w:r>
        <w:rPr>
          <w:rFonts w:cs="Traditional Arabic" w:hint="cs"/>
          <w:sz w:val="28"/>
          <w:szCs w:val="32"/>
          <w:rtl/>
        </w:rPr>
        <w:t xml:space="preserve"> ،</w:t>
      </w:r>
      <w:r w:rsidRPr="00EC737F">
        <w:rPr>
          <w:rFonts w:cs="Traditional Arabic" w:hint="cs"/>
          <w:sz w:val="28"/>
          <w:szCs w:val="32"/>
          <w:rtl/>
        </w:rPr>
        <w:t xml:space="preserve"> لأن التحديد في القيد شيء آخر يفيد الغير ولا شأن له بنفس العقد</w:t>
      </w:r>
      <w:r>
        <w:rPr>
          <w:rFonts w:cs="Traditional Arabic" w:hint="cs"/>
          <w:sz w:val="28"/>
          <w:szCs w:val="32"/>
          <w:rtl/>
        </w:rPr>
        <w:t xml:space="preserve"> .</w:t>
      </w:r>
      <w:r w:rsidRPr="00EC737F">
        <w:rPr>
          <w:rFonts w:cs="Traditional Arabic" w:hint="cs"/>
          <w:sz w:val="28"/>
          <w:szCs w:val="32"/>
          <w:rtl/>
        </w:rPr>
        <w:t xml:space="preserve"> فإذا لم يحدد العقار في نفس العقد الرسمي</w:t>
      </w:r>
      <w:r>
        <w:rPr>
          <w:rFonts w:cs="Traditional Arabic" w:hint="cs"/>
          <w:sz w:val="28"/>
          <w:szCs w:val="32"/>
          <w:rtl/>
        </w:rPr>
        <w:t xml:space="preserve"> ،</w:t>
      </w:r>
      <w:r w:rsidRPr="00EC737F">
        <w:rPr>
          <w:rFonts w:cs="Traditional Arabic" w:hint="cs"/>
          <w:sz w:val="28"/>
          <w:szCs w:val="32"/>
          <w:rtl/>
        </w:rPr>
        <w:t xml:space="preserve"> أو حدد تحديداً غير دقيق</w:t>
      </w:r>
      <w:r>
        <w:rPr>
          <w:rFonts w:cs="Traditional Arabic" w:hint="cs"/>
          <w:sz w:val="28"/>
          <w:szCs w:val="32"/>
          <w:rtl/>
        </w:rPr>
        <w:t xml:space="preserve"> ،</w:t>
      </w:r>
      <w:r w:rsidRPr="00EC737F">
        <w:rPr>
          <w:rFonts w:cs="Traditional Arabic" w:hint="cs"/>
          <w:sz w:val="28"/>
          <w:szCs w:val="32"/>
          <w:rtl/>
        </w:rPr>
        <w:t xml:space="preserve"> وجب إلحاق العقد بورقة أخرى</w:t>
      </w:r>
      <w:r>
        <w:rPr>
          <w:rFonts w:cs="Traditional Arabic" w:hint="cs"/>
          <w:sz w:val="28"/>
          <w:szCs w:val="32"/>
          <w:rtl/>
        </w:rPr>
        <w:t xml:space="preserve"> ،</w:t>
      </w:r>
      <w:r w:rsidRPr="00EC737F">
        <w:rPr>
          <w:rFonts w:cs="Traditional Arabic" w:hint="cs"/>
          <w:sz w:val="28"/>
          <w:szCs w:val="32"/>
          <w:rtl/>
        </w:rPr>
        <w:t xml:space="preserve"> تكون هي أيضاً رسمية</w:t>
      </w:r>
      <w:r>
        <w:rPr>
          <w:rFonts w:cs="Traditional Arabic" w:hint="cs"/>
          <w:sz w:val="28"/>
          <w:szCs w:val="32"/>
          <w:rtl/>
        </w:rPr>
        <w:t xml:space="preserve"> ،</w:t>
      </w:r>
      <w:r w:rsidRPr="00EC737F">
        <w:rPr>
          <w:rFonts w:cs="Traditional Arabic" w:hint="cs"/>
          <w:sz w:val="28"/>
          <w:szCs w:val="32"/>
          <w:rtl/>
        </w:rPr>
        <w:t xml:space="preserve"> يحدد فيها العقار تحديداً دقيقاً أو يستكمل فيها ما نقص من هذا التحديد في العقد الرسمي</w:t>
      </w:r>
      <w:r>
        <w:rPr>
          <w:rFonts w:cs="Traditional Arabic" w:hint="cs"/>
          <w:sz w:val="28"/>
          <w:szCs w:val="32"/>
          <w:rtl/>
        </w:rPr>
        <w:t xml:space="preserve"> .</w:t>
      </w:r>
      <w:r w:rsidRPr="00EC737F">
        <w:rPr>
          <w:rFonts w:cs="Traditional Arabic" w:hint="cs"/>
          <w:sz w:val="28"/>
          <w:szCs w:val="32"/>
          <w:rtl/>
        </w:rPr>
        <w:t xml:space="preserve"> وتعتبر هذه الورقة ملحقاً للعقد الرسمي</w:t>
      </w:r>
      <w:r>
        <w:rPr>
          <w:rFonts w:cs="Traditional Arabic" w:hint="cs"/>
          <w:sz w:val="28"/>
          <w:szCs w:val="32"/>
          <w:rtl/>
        </w:rPr>
        <w:t xml:space="preserve"> ،</w:t>
      </w:r>
      <w:r w:rsidRPr="00EC737F">
        <w:rPr>
          <w:rFonts w:cs="Traditional Arabic" w:hint="cs"/>
          <w:sz w:val="28"/>
          <w:szCs w:val="32"/>
          <w:rtl/>
        </w:rPr>
        <w:t xml:space="preserve"> فيكون العقد الرسمي $355 مشتملا على ورقتين</w:t>
      </w:r>
      <w:r>
        <w:rPr>
          <w:rFonts w:cs="Traditional Arabic" w:hint="cs"/>
          <w:sz w:val="28"/>
          <w:szCs w:val="32"/>
          <w:rtl/>
        </w:rPr>
        <w:t xml:space="preserve"> ،</w:t>
      </w:r>
      <w:r w:rsidRPr="00EC737F">
        <w:rPr>
          <w:rFonts w:cs="Traditional Arabic" w:hint="cs"/>
          <w:sz w:val="28"/>
          <w:szCs w:val="32"/>
          <w:rtl/>
        </w:rPr>
        <w:t xml:space="preserve"> ورقة يذكر فيها العقد وأخرى يحدد فيها العقار المرهون تحديداً دقيقاً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وجزاء عدم التحديد الدقيق على الوجه الذي سبق بيانه هو البطلان المطلق</w:t>
      </w:r>
      <w:r>
        <w:rPr>
          <w:rFonts w:cs="Traditional Arabic" w:hint="cs"/>
          <w:sz w:val="28"/>
          <w:szCs w:val="32"/>
          <w:rtl/>
        </w:rPr>
        <w:t xml:space="preserve"> ،</w:t>
      </w:r>
      <w:r w:rsidRPr="00EC737F">
        <w:rPr>
          <w:rFonts w:cs="Traditional Arabic" w:hint="cs"/>
          <w:sz w:val="28"/>
          <w:szCs w:val="32"/>
          <w:rtl/>
        </w:rPr>
        <w:t xml:space="preserve"> لأن هذا التحددي الدقيق هو أصل من أصول تخصيص الرهن</w:t>
      </w:r>
      <w:r>
        <w:rPr>
          <w:rFonts w:cs="Traditional Arabic" w:hint="cs"/>
          <w:sz w:val="28"/>
          <w:szCs w:val="32"/>
          <w:rtl/>
        </w:rPr>
        <w:t xml:space="preserve"> ،</w:t>
      </w:r>
      <w:r w:rsidRPr="00EC737F">
        <w:rPr>
          <w:rFonts w:cs="Traditional Arabic" w:hint="cs"/>
          <w:sz w:val="28"/>
          <w:szCs w:val="32"/>
          <w:rtl/>
        </w:rPr>
        <w:t xml:space="preserve"> ومبدأ تخصيص الرهن مبدأ جوهري لا يقوم الرهن بدونه </w:t>
      </w:r>
      <w:r w:rsidRPr="00EC737F">
        <w:rPr>
          <w:rFonts w:cs="Traditional Arabic"/>
          <w:sz w:val="28"/>
          <w:szCs w:val="32"/>
          <w:rtl/>
        </w:rPr>
        <w:t>–</w:t>
      </w:r>
      <w:r w:rsidRPr="00EC737F">
        <w:rPr>
          <w:rFonts w:cs="Traditional Arabic" w:hint="cs"/>
          <w:sz w:val="28"/>
          <w:szCs w:val="32"/>
          <w:rtl/>
        </w:rPr>
        <w:t xml:space="preserve"> ولا يجوز أن يغفل هذا التحديد الدقيق في عقد الرهن الرسمي أو في ملحقه</w:t>
      </w:r>
      <w:r>
        <w:rPr>
          <w:rFonts w:cs="Traditional Arabic" w:hint="cs"/>
          <w:sz w:val="28"/>
          <w:szCs w:val="32"/>
          <w:rtl/>
        </w:rPr>
        <w:t xml:space="preserve"> ،</w:t>
      </w:r>
      <w:r w:rsidRPr="00EC737F">
        <w:rPr>
          <w:rFonts w:cs="Traditional Arabic" w:hint="cs"/>
          <w:sz w:val="28"/>
          <w:szCs w:val="32"/>
          <w:rtl/>
        </w:rPr>
        <w:t xml:space="preserve"> اكتفاء بذكره في قيد الرهن</w:t>
      </w:r>
      <w:r>
        <w:rPr>
          <w:rFonts w:cs="Traditional Arabic" w:hint="cs"/>
          <w:sz w:val="28"/>
          <w:szCs w:val="32"/>
          <w:rtl/>
        </w:rPr>
        <w:t xml:space="preserve"> ،</w:t>
      </w:r>
      <w:r w:rsidRPr="00EC737F">
        <w:rPr>
          <w:rFonts w:cs="Traditional Arabic" w:hint="cs"/>
          <w:sz w:val="28"/>
          <w:szCs w:val="32"/>
          <w:rtl/>
        </w:rPr>
        <w:t xml:space="preserve"> فإن الرهن لا يقيد إلا إذا كان صحيحاً</w:t>
      </w:r>
      <w:r>
        <w:rPr>
          <w:rFonts w:cs="Traditional Arabic" w:hint="cs"/>
          <w:sz w:val="28"/>
          <w:szCs w:val="32"/>
          <w:rtl/>
        </w:rPr>
        <w:t xml:space="preserve"> ،</w:t>
      </w:r>
      <w:r w:rsidRPr="00EC737F">
        <w:rPr>
          <w:rFonts w:cs="Traditional Arabic" w:hint="cs"/>
          <w:sz w:val="28"/>
          <w:szCs w:val="32"/>
          <w:rtl/>
        </w:rPr>
        <w:t xml:space="preserve"> والرهن الرسمي دون هذا التحديد الدقيق يكون باطلا كما قدمنا</w:t>
      </w:r>
      <w:r>
        <w:rPr>
          <w:rFonts w:cs="Traditional Arabic" w:hint="cs"/>
          <w:sz w:val="28"/>
          <w:szCs w:val="32"/>
          <w:rtl/>
        </w:rPr>
        <w:t xml:space="preserve"> .</w:t>
      </w:r>
      <w:r w:rsidRPr="00EC737F">
        <w:rPr>
          <w:rFonts w:cs="Traditional Arabic" w:hint="cs"/>
          <w:sz w:val="28"/>
          <w:szCs w:val="32"/>
          <w:rtl/>
        </w:rPr>
        <w:t xml:space="preserve"> فإذا لم يحدد العقار المرهون تحديداً دقيقاً فأصبح الرهن الرسمي باطلا</w:t>
      </w:r>
      <w:r>
        <w:rPr>
          <w:rFonts w:cs="Traditional Arabic" w:hint="cs"/>
          <w:sz w:val="28"/>
          <w:szCs w:val="32"/>
          <w:rtl/>
        </w:rPr>
        <w:t xml:space="preserve"> ،</w:t>
      </w:r>
      <w:r w:rsidRPr="00EC737F">
        <w:rPr>
          <w:rFonts w:cs="Traditional Arabic" w:hint="cs"/>
          <w:sz w:val="28"/>
          <w:szCs w:val="32"/>
          <w:rtl/>
        </w:rPr>
        <w:t xml:space="preserve"> لم يصححه القيد ولو احتوى على هذا التحديد الدقيق</w:t>
      </w:r>
      <w:r>
        <w:rPr>
          <w:rFonts w:cs="Traditional Arabic" w:hint="cs"/>
          <w:sz w:val="28"/>
          <w:szCs w:val="32"/>
          <w:vertAlign w:val="superscript"/>
          <w:rtl/>
        </w:rPr>
        <w:t xml:space="preserve">( </w:t>
      </w:r>
      <w:r w:rsidRPr="00EC737F">
        <w:rPr>
          <w:rStyle w:val="ab"/>
          <w:rFonts w:cs="Traditional Arabic"/>
          <w:sz w:val="28"/>
          <w:szCs w:val="32"/>
          <w:rtl/>
        </w:rPr>
        <w:footnoteReference w:id="77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كان الرهن الرسمي باطلا لعدم التحديد الدقيق</w:t>
      </w:r>
      <w:r>
        <w:rPr>
          <w:rFonts w:cs="Traditional Arabic" w:hint="cs"/>
          <w:sz w:val="28"/>
          <w:szCs w:val="32"/>
          <w:rtl/>
        </w:rPr>
        <w:t xml:space="preserve"> ،</w:t>
      </w:r>
      <w:r w:rsidRPr="00EC737F">
        <w:rPr>
          <w:rFonts w:cs="Traditional Arabic" w:hint="cs"/>
          <w:sz w:val="28"/>
          <w:szCs w:val="32"/>
          <w:rtl/>
        </w:rPr>
        <w:t xml:space="preserve"> أمكن أن يتمسك بالبطلان كل ذي مصلحة</w:t>
      </w:r>
      <w:r>
        <w:rPr>
          <w:rFonts w:cs="Traditional Arabic" w:hint="cs"/>
          <w:sz w:val="28"/>
          <w:szCs w:val="32"/>
          <w:rtl/>
        </w:rPr>
        <w:t xml:space="preserve"> :</w:t>
      </w:r>
      <w:r w:rsidRPr="00EC737F">
        <w:rPr>
          <w:rFonts w:cs="Traditional Arabic" w:hint="cs"/>
          <w:sz w:val="28"/>
          <w:szCs w:val="32"/>
          <w:rtl/>
        </w:rPr>
        <w:t xml:space="preserve"> الدائن المرتهن والراهن وورثة كل منهما والدائنون المرتهنون المتأخرون في المرتبة </w:t>
      </w:r>
      <w:r w:rsidRPr="00EC737F">
        <w:rPr>
          <w:rFonts w:cs="Traditional Arabic" w:hint="cs"/>
          <w:sz w:val="28"/>
          <w:szCs w:val="32"/>
          <w:rtl/>
        </w:rPr>
        <w:lastRenderedPageBreak/>
        <w:t>والحائز للعقار</w:t>
      </w:r>
      <w:r>
        <w:rPr>
          <w:rFonts w:cs="Traditional Arabic" w:hint="cs"/>
          <w:sz w:val="28"/>
          <w:szCs w:val="32"/>
          <w:vertAlign w:val="superscript"/>
          <w:rtl/>
        </w:rPr>
        <w:t xml:space="preserve">( </w:t>
      </w:r>
      <w:r w:rsidRPr="00EC737F">
        <w:rPr>
          <w:rStyle w:val="ab"/>
          <w:rFonts w:cs="Traditional Arabic"/>
          <w:sz w:val="28"/>
          <w:szCs w:val="32"/>
          <w:rtl/>
        </w:rPr>
        <w:footnoteReference w:id="772"/>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ويتضمن عقد الرهن الرسمي الباطل وعداً صحيحاً بعد رهن رسمي آخر</w:t>
      </w:r>
      <w:r>
        <w:rPr>
          <w:rFonts w:cs="Traditional Arabic" w:hint="cs"/>
          <w:sz w:val="28"/>
          <w:szCs w:val="32"/>
          <w:rtl/>
        </w:rPr>
        <w:t xml:space="preserve"> ،</w:t>
      </w:r>
      <w:r w:rsidRPr="00EC737F">
        <w:rPr>
          <w:rFonts w:cs="Traditional Arabic" w:hint="cs"/>
          <w:sz w:val="28"/>
          <w:szCs w:val="32"/>
          <w:rtl/>
        </w:rPr>
        <w:t xml:space="preserve"> فإذا لم يقم به الراهن</w:t>
      </w:r>
      <w:r>
        <w:rPr>
          <w:rFonts w:cs="Traditional Arabic" w:hint="cs"/>
          <w:sz w:val="28"/>
          <w:szCs w:val="32"/>
          <w:rtl/>
        </w:rPr>
        <w:t xml:space="preserve"> ،</w:t>
      </w:r>
      <w:r w:rsidRPr="00EC737F">
        <w:rPr>
          <w:rFonts w:cs="Traditional Arabic" w:hint="cs"/>
          <w:sz w:val="28"/>
          <w:szCs w:val="32"/>
          <w:rtl/>
        </w:rPr>
        <w:t xml:space="preserve"> جاز للدائن المرتهن أن يعتبر أن الراهن قد أخل بوعده</w:t>
      </w:r>
      <w:r>
        <w:rPr>
          <w:rFonts w:cs="Traditional Arabic" w:hint="cs"/>
          <w:sz w:val="28"/>
          <w:szCs w:val="32"/>
          <w:rtl/>
        </w:rPr>
        <w:t xml:space="preserve"> ،</w:t>
      </w:r>
      <w:r w:rsidRPr="00EC737F">
        <w:rPr>
          <w:rFonts w:cs="Traditional Arabic" w:hint="cs"/>
          <w:sz w:val="28"/>
          <w:szCs w:val="32"/>
          <w:rtl/>
        </w:rPr>
        <w:t xml:space="preserve"> فيحل الدين فوراً ويفقد المدين سعة الأجل</w:t>
      </w:r>
      <w:r>
        <w:rPr>
          <w:rFonts w:cs="Traditional Arabic" w:hint="cs"/>
          <w:sz w:val="28"/>
          <w:szCs w:val="32"/>
          <w:vertAlign w:val="superscript"/>
          <w:rtl/>
        </w:rPr>
        <w:t xml:space="preserve">( </w:t>
      </w:r>
      <w:r w:rsidRPr="00EC737F">
        <w:rPr>
          <w:rStyle w:val="ab"/>
          <w:rFonts w:cs="Traditional Arabic"/>
          <w:sz w:val="28"/>
          <w:szCs w:val="32"/>
          <w:rtl/>
        </w:rPr>
        <w:footnoteReference w:id="77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159- شمول الرهن الملحقات العقار المرهون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1036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$356 "يشمل الرهن ملحقات العقار المرهون التي تعتبر عقاراً</w:t>
      </w:r>
      <w:r>
        <w:rPr>
          <w:rFonts w:cs="Traditional Arabic" w:hint="cs"/>
          <w:sz w:val="28"/>
          <w:szCs w:val="32"/>
          <w:rtl/>
        </w:rPr>
        <w:t xml:space="preserve"> ،</w:t>
      </w:r>
      <w:r w:rsidRPr="00EC737F">
        <w:rPr>
          <w:rFonts w:cs="Traditional Arabic" w:hint="cs"/>
          <w:sz w:val="28"/>
          <w:szCs w:val="32"/>
          <w:rtl/>
        </w:rPr>
        <w:t xml:space="preserve"> ويشمل بوجه خاص حقوق الارتفاق والعقارات بالتخصيص والتحسينات والإنشاءات التي تعود بمنفعة على المالك</w:t>
      </w:r>
      <w:r>
        <w:rPr>
          <w:rFonts w:cs="Traditional Arabic" w:hint="cs"/>
          <w:sz w:val="28"/>
          <w:szCs w:val="32"/>
          <w:rtl/>
        </w:rPr>
        <w:t xml:space="preserve"> ،</w:t>
      </w:r>
      <w:r w:rsidRPr="00EC737F">
        <w:rPr>
          <w:rFonts w:cs="Traditional Arabic" w:hint="cs"/>
          <w:sz w:val="28"/>
          <w:szCs w:val="32"/>
          <w:rtl/>
        </w:rPr>
        <w:t xml:space="preserve"> ما لم يتفق على غير ذلك</w:t>
      </w:r>
      <w:r>
        <w:rPr>
          <w:rFonts w:cs="Traditional Arabic" w:hint="cs"/>
          <w:sz w:val="28"/>
          <w:szCs w:val="32"/>
          <w:rtl/>
        </w:rPr>
        <w:t xml:space="preserve"> ،</w:t>
      </w:r>
      <w:r w:rsidRPr="00EC737F">
        <w:rPr>
          <w:rFonts w:cs="Traditional Arabic" w:hint="cs"/>
          <w:sz w:val="28"/>
          <w:szCs w:val="32"/>
          <w:rtl/>
        </w:rPr>
        <w:t xml:space="preserve"> مع عدم الإخلال بامتياز</w:t>
      </w:r>
      <w:r>
        <w:rPr>
          <w:rFonts w:cs="Traditional Arabic" w:hint="cs"/>
          <w:sz w:val="28"/>
          <w:szCs w:val="32"/>
          <w:rtl/>
        </w:rPr>
        <w:t xml:space="preserve"> .</w:t>
      </w:r>
      <w:r w:rsidRPr="00EC737F">
        <w:rPr>
          <w:rFonts w:cs="Traditional Arabic" w:hint="cs"/>
          <w:sz w:val="28"/>
          <w:szCs w:val="32"/>
          <w:rtl/>
        </w:rPr>
        <w:t xml:space="preserve"> المبالغ المستحقة للمقاولين أو المهندسين المعماريين المنصوص عليه في المادة 1148"</w:t>
      </w:r>
      <w:r>
        <w:rPr>
          <w:rFonts w:cs="Traditional Arabic" w:hint="cs"/>
          <w:sz w:val="28"/>
          <w:szCs w:val="32"/>
          <w:vertAlign w:val="superscript"/>
          <w:rtl/>
        </w:rPr>
        <w:t xml:space="preserve">( </w:t>
      </w:r>
      <w:r w:rsidRPr="00EC737F">
        <w:rPr>
          <w:rStyle w:val="ab"/>
          <w:rFonts w:cs="Traditional Arabic"/>
          <w:sz w:val="28"/>
          <w:szCs w:val="32"/>
          <w:rtl/>
        </w:rPr>
        <w:footnoteReference w:id="77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وهذا النص يجعل الرهن يمتد إلى ملحقات العقار المرهون</w:t>
      </w:r>
      <w:r>
        <w:rPr>
          <w:rFonts w:cs="Traditional Arabic" w:hint="cs"/>
          <w:sz w:val="28"/>
          <w:szCs w:val="32"/>
          <w:rtl/>
        </w:rPr>
        <w:t xml:space="preserve"> ،</w:t>
      </w:r>
      <w:r w:rsidRPr="00EC737F">
        <w:rPr>
          <w:rFonts w:cs="Traditional Arabic" w:hint="cs"/>
          <w:sz w:val="28"/>
          <w:szCs w:val="32"/>
          <w:rtl/>
        </w:rPr>
        <w:t xml:space="preserve"> لأن هذه الملحقات تابعة للعقار المرهون فتكون مرهونة مثله</w:t>
      </w:r>
      <w:r>
        <w:rPr>
          <w:rFonts w:cs="Traditional Arabic" w:hint="cs"/>
          <w:sz w:val="28"/>
          <w:szCs w:val="32"/>
          <w:rtl/>
        </w:rPr>
        <w:t xml:space="preserve"> .</w:t>
      </w:r>
      <w:r w:rsidRPr="00EC737F">
        <w:rPr>
          <w:rFonts w:cs="Traditional Arabic" w:hint="cs"/>
          <w:sz w:val="28"/>
          <w:szCs w:val="32"/>
          <w:rtl/>
        </w:rPr>
        <w:t xml:space="preserve"> وقد ذكر النص أمثلة واضحة لهذه الملحقات</w:t>
      </w:r>
      <w:r>
        <w:rPr>
          <w:rFonts w:cs="Traditional Arabic" w:hint="cs"/>
          <w:sz w:val="28"/>
          <w:szCs w:val="32"/>
          <w:rtl/>
        </w:rPr>
        <w:t xml:space="preserve"> ،</w:t>
      </w:r>
      <w:r w:rsidRPr="00EC737F">
        <w:rPr>
          <w:rFonts w:cs="Traditional Arabic" w:hint="cs"/>
          <w:sz w:val="28"/>
          <w:szCs w:val="32"/>
          <w:rtl/>
        </w:rPr>
        <w:t xml:space="preserve"> هذه هي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1</w:t>
      </w:r>
      <w:r w:rsidRPr="00EC737F">
        <w:rPr>
          <w:rFonts w:cs="Traditional Arabic"/>
          <w:sz w:val="28"/>
          <w:szCs w:val="32"/>
          <w:rtl/>
        </w:rPr>
        <w:t>–</w:t>
      </w:r>
      <w:r w:rsidRPr="00EC737F">
        <w:rPr>
          <w:rFonts w:cs="Traditional Arabic" w:hint="cs"/>
          <w:sz w:val="28"/>
          <w:szCs w:val="32"/>
          <w:rtl/>
        </w:rPr>
        <w:t xml:space="preserve"> حقوق الارتفاق</w:t>
      </w:r>
      <w:r>
        <w:rPr>
          <w:rFonts w:cs="Traditional Arabic" w:hint="cs"/>
          <w:sz w:val="28"/>
          <w:szCs w:val="32"/>
          <w:rtl/>
        </w:rPr>
        <w:t xml:space="preserve"> :</w:t>
      </w:r>
      <w:r w:rsidRPr="00EC737F">
        <w:rPr>
          <w:rFonts w:cs="Traditional Arabic" w:hint="cs"/>
          <w:sz w:val="28"/>
          <w:szCs w:val="32"/>
          <w:rtl/>
        </w:rPr>
        <w:t xml:space="preserve"> ويقصد بها حقوق الارتفاق الإيجابية التي تكون تابعة للعقار المرهون</w:t>
      </w:r>
      <w:r>
        <w:rPr>
          <w:rFonts w:cs="Traditional Arabic" w:hint="cs"/>
          <w:sz w:val="28"/>
          <w:szCs w:val="32"/>
          <w:rtl/>
        </w:rPr>
        <w:t xml:space="preserve"> ،</w:t>
      </w:r>
      <w:r w:rsidRPr="00EC737F">
        <w:rPr>
          <w:rFonts w:cs="Traditional Arabic" w:hint="cs"/>
          <w:sz w:val="28"/>
          <w:szCs w:val="32"/>
          <w:rtl/>
        </w:rPr>
        <w:t xml:space="preserve"> فيكون هذا العقار عقاراً مرتفعا</w:t>
      </w:r>
      <w:r>
        <w:rPr>
          <w:rFonts w:cs="Traditional Arabic" w:hint="cs"/>
          <w:sz w:val="28"/>
          <w:szCs w:val="32"/>
          <w:rtl/>
        </w:rPr>
        <w:t xml:space="preserve"> ،</w:t>
      </w:r>
      <w:r w:rsidRPr="00EC737F">
        <w:rPr>
          <w:rFonts w:cs="Traditional Arabic" w:hint="cs"/>
          <w:sz w:val="28"/>
          <w:szCs w:val="32"/>
          <w:rtl/>
        </w:rPr>
        <w:t xml:space="preserve"> له ارتفاق على عقارات أخرى مجاورة</w:t>
      </w:r>
      <w:r>
        <w:rPr>
          <w:rFonts w:cs="Traditional Arabic" w:hint="cs"/>
          <w:sz w:val="28"/>
          <w:szCs w:val="32"/>
          <w:rtl/>
        </w:rPr>
        <w:t xml:space="preserve"> .</w:t>
      </w:r>
      <w:r w:rsidRPr="00EC737F">
        <w:rPr>
          <w:rFonts w:cs="Traditional Arabic" w:hint="cs"/>
          <w:sz w:val="28"/>
          <w:szCs w:val="32"/>
          <w:rtl/>
        </w:rPr>
        <w:t xml:space="preserve"> ذلك أن حق الارتفاق يتبع العقار الذي يخدمه</w:t>
      </w:r>
      <w:r>
        <w:rPr>
          <w:rFonts w:cs="Traditional Arabic" w:hint="cs"/>
          <w:sz w:val="28"/>
          <w:szCs w:val="32"/>
          <w:rtl/>
        </w:rPr>
        <w:t xml:space="preserve"> ،</w:t>
      </w:r>
      <w:r w:rsidRPr="00EC737F">
        <w:rPr>
          <w:rFonts w:cs="Traditional Arabic" w:hint="cs"/>
          <w:sz w:val="28"/>
          <w:szCs w:val="32"/>
          <w:rtl/>
        </w:rPr>
        <w:t xml:space="preserve"> فلا ينفصل عنه</w:t>
      </w:r>
      <w:r>
        <w:rPr>
          <w:rFonts w:cs="Traditional Arabic" w:hint="cs"/>
          <w:sz w:val="28"/>
          <w:szCs w:val="32"/>
          <w:rtl/>
        </w:rPr>
        <w:t xml:space="preserve"> .</w:t>
      </w:r>
      <w:r w:rsidRPr="00EC737F">
        <w:rPr>
          <w:rFonts w:cs="Traditional Arabic" w:hint="cs"/>
          <w:sz w:val="28"/>
          <w:szCs w:val="32"/>
          <w:rtl/>
        </w:rPr>
        <w:t xml:space="preserve"> فإذا بيع العقار بيعت معه حقوق ارتفاقه</w:t>
      </w:r>
      <w:r>
        <w:rPr>
          <w:rFonts w:cs="Traditional Arabic" w:hint="cs"/>
          <w:sz w:val="28"/>
          <w:szCs w:val="32"/>
          <w:rtl/>
        </w:rPr>
        <w:t xml:space="preserve"> ،</w:t>
      </w:r>
      <w:r w:rsidRPr="00EC737F">
        <w:rPr>
          <w:rFonts w:cs="Traditional Arabic" w:hint="cs"/>
          <w:sz w:val="28"/>
          <w:szCs w:val="32"/>
          <w:rtl/>
        </w:rPr>
        <w:t xml:space="preserve"> وكذلك إذا $357 رهن فإن حقوق الارتفاق تصبح مرهونة مثله</w:t>
      </w:r>
      <w:r>
        <w:rPr>
          <w:rFonts w:cs="Traditional Arabic" w:hint="cs"/>
          <w:sz w:val="28"/>
          <w:szCs w:val="32"/>
          <w:vertAlign w:val="superscript"/>
          <w:rtl/>
        </w:rPr>
        <w:t xml:space="preserve">( </w:t>
      </w:r>
      <w:r w:rsidRPr="00EC737F">
        <w:rPr>
          <w:rStyle w:val="ab"/>
          <w:rFonts w:cs="Traditional Arabic"/>
          <w:sz w:val="28"/>
          <w:szCs w:val="32"/>
          <w:rtl/>
        </w:rPr>
        <w:footnoteReference w:id="77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وتكون حقوق الارتفاق مرهونة مع العقار</w:t>
      </w:r>
      <w:r>
        <w:rPr>
          <w:rFonts w:cs="Traditional Arabic" w:hint="cs"/>
          <w:sz w:val="28"/>
          <w:szCs w:val="32"/>
          <w:rtl/>
        </w:rPr>
        <w:t xml:space="preserve"> ،</w:t>
      </w:r>
      <w:r w:rsidRPr="00EC737F">
        <w:rPr>
          <w:rFonts w:cs="Traditional Arabic" w:hint="cs"/>
          <w:sz w:val="28"/>
          <w:szCs w:val="32"/>
          <w:rtl/>
        </w:rPr>
        <w:t xml:space="preserve"> حتى لو لم توجد حقوق الارتفاق هذه إلا بعد عقد الرهن</w:t>
      </w:r>
      <w:r>
        <w:rPr>
          <w:rFonts w:cs="Traditional Arabic" w:hint="cs"/>
          <w:sz w:val="28"/>
          <w:szCs w:val="32"/>
          <w:rtl/>
        </w:rPr>
        <w:t xml:space="preserve"> ،</w:t>
      </w:r>
      <w:r w:rsidRPr="00EC737F">
        <w:rPr>
          <w:rFonts w:cs="Traditional Arabic" w:hint="cs"/>
          <w:sz w:val="28"/>
          <w:szCs w:val="32"/>
          <w:rtl/>
        </w:rPr>
        <w:t xml:space="preserve"> لأنها تعتبر تابعة للعقار</w:t>
      </w:r>
      <w:r>
        <w:rPr>
          <w:rFonts w:cs="Traditional Arabic" w:hint="cs"/>
          <w:sz w:val="28"/>
          <w:szCs w:val="32"/>
          <w:vertAlign w:val="superscript"/>
          <w:rtl/>
        </w:rPr>
        <w:t xml:space="preserve">( </w:t>
      </w:r>
      <w:r w:rsidRPr="00EC737F">
        <w:rPr>
          <w:rStyle w:val="ab"/>
          <w:rFonts w:cs="Traditional Arabic"/>
          <w:sz w:val="28"/>
          <w:szCs w:val="32"/>
          <w:rtl/>
        </w:rPr>
        <w:footnoteReference w:id="77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2-  العقارات بالتخصيص</w:t>
      </w:r>
      <w:r>
        <w:rPr>
          <w:rFonts w:cs="Traditional Arabic" w:hint="cs"/>
          <w:sz w:val="28"/>
          <w:szCs w:val="32"/>
          <w:rtl/>
        </w:rPr>
        <w:t xml:space="preserve"> :</w:t>
      </w:r>
      <w:r w:rsidRPr="00EC737F">
        <w:rPr>
          <w:rFonts w:cs="Traditional Arabic" w:hint="cs"/>
          <w:sz w:val="28"/>
          <w:szCs w:val="32"/>
          <w:rtl/>
        </w:rPr>
        <w:t xml:space="preserve"> والعقار التخصيص هو منقول بطبيعته يملكه مالك العقار ولكن هذا المالك رصده وقفاً على خدمة العقار واستغلاله</w:t>
      </w:r>
      <w:r>
        <w:rPr>
          <w:rFonts w:cs="Traditional Arabic" w:hint="cs"/>
          <w:sz w:val="28"/>
          <w:szCs w:val="32"/>
          <w:rtl/>
        </w:rPr>
        <w:t xml:space="preserve"> ،</w:t>
      </w:r>
      <w:r w:rsidRPr="00EC737F">
        <w:rPr>
          <w:rFonts w:cs="Traditional Arabic" w:hint="cs"/>
          <w:sz w:val="28"/>
          <w:szCs w:val="32"/>
          <w:rtl/>
        </w:rPr>
        <w:t xml:space="preserve"> فهو إذن يلازم العقار ويتبعه في مصيره بيعاً أو رهناً أو أي تصرف آخر من التصرفات</w:t>
      </w:r>
      <w:r>
        <w:rPr>
          <w:rFonts w:cs="Traditional Arabic" w:hint="cs"/>
          <w:sz w:val="28"/>
          <w:szCs w:val="32"/>
          <w:rtl/>
        </w:rPr>
        <w:t xml:space="preserve"> .</w:t>
      </w:r>
      <w:r w:rsidRPr="00EC737F">
        <w:rPr>
          <w:rFonts w:cs="Traditional Arabic" w:hint="cs"/>
          <w:sz w:val="28"/>
          <w:szCs w:val="32"/>
          <w:rtl/>
        </w:rPr>
        <w:t xml:space="preserve"> ولا يجوز فصله عن العقار</w:t>
      </w:r>
      <w:r>
        <w:rPr>
          <w:rFonts w:cs="Traditional Arabic" w:hint="cs"/>
          <w:sz w:val="28"/>
          <w:szCs w:val="32"/>
          <w:rtl/>
        </w:rPr>
        <w:t xml:space="preserve"> ،</w:t>
      </w:r>
      <w:r w:rsidRPr="00EC737F">
        <w:rPr>
          <w:rFonts w:cs="Traditional Arabic" w:hint="cs"/>
          <w:sz w:val="28"/>
          <w:szCs w:val="32"/>
          <w:rtl/>
        </w:rPr>
        <w:t xml:space="preserve"> وإلا أصبح منقولا لا يجوز رهنه رهناً رسمياً</w:t>
      </w:r>
      <w:r>
        <w:rPr>
          <w:rFonts w:cs="Traditional Arabic" w:hint="cs"/>
          <w:sz w:val="28"/>
          <w:szCs w:val="32"/>
          <w:rtl/>
        </w:rPr>
        <w:t xml:space="preserve"> .</w:t>
      </w:r>
      <w:r w:rsidRPr="00EC737F">
        <w:rPr>
          <w:rFonts w:cs="Traditional Arabic" w:hint="cs"/>
          <w:sz w:val="28"/>
          <w:szCs w:val="32"/>
          <w:rtl/>
        </w:rPr>
        <w:t xml:space="preserve"> وتدخل العقارات بالتخصيص</w:t>
      </w:r>
      <w:r>
        <w:rPr>
          <w:rFonts w:cs="Traditional Arabic" w:hint="cs"/>
          <w:sz w:val="28"/>
          <w:szCs w:val="32"/>
          <w:rtl/>
        </w:rPr>
        <w:t xml:space="preserve"> ،</w:t>
      </w:r>
      <w:r w:rsidRPr="00EC737F">
        <w:rPr>
          <w:rFonts w:cs="Traditional Arabic" w:hint="cs"/>
          <w:sz w:val="28"/>
          <w:szCs w:val="32"/>
          <w:rtl/>
        </w:rPr>
        <w:t xml:space="preserve"> كالماشية والآلات الزراعية وأدوات النقل والسماد والبذور والمفروشات المخصصة خدمة فندق والآلات المخصصة لخدمة مصنع ونحو ذلك</w:t>
      </w:r>
      <w:r>
        <w:rPr>
          <w:rFonts w:cs="Traditional Arabic" w:hint="cs"/>
          <w:sz w:val="28"/>
          <w:szCs w:val="32"/>
          <w:rtl/>
        </w:rPr>
        <w:t xml:space="preserve"> ،</w:t>
      </w:r>
      <w:r w:rsidRPr="00EC737F">
        <w:rPr>
          <w:rFonts w:cs="Traditional Arabic" w:hint="cs"/>
          <w:sz w:val="28"/>
          <w:szCs w:val="32"/>
          <w:rtl/>
        </w:rPr>
        <w:t xml:space="preserve"> مع العقار المرهون في الرهن</w:t>
      </w:r>
      <w:r>
        <w:rPr>
          <w:rFonts w:cs="Traditional Arabic" w:hint="cs"/>
          <w:sz w:val="28"/>
          <w:szCs w:val="32"/>
          <w:rtl/>
        </w:rPr>
        <w:t xml:space="preserve"> ،</w:t>
      </w:r>
      <w:r w:rsidRPr="00EC737F">
        <w:rPr>
          <w:rFonts w:cs="Traditional Arabic" w:hint="cs"/>
          <w:sz w:val="28"/>
          <w:szCs w:val="32"/>
          <w:rtl/>
        </w:rPr>
        <w:t xml:space="preserve"> دون حاجة إلى ذكر ذلك</w:t>
      </w:r>
      <w:r>
        <w:rPr>
          <w:rFonts w:cs="Traditional Arabic" w:hint="cs"/>
          <w:sz w:val="28"/>
          <w:szCs w:val="32"/>
          <w:rtl/>
        </w:rPr>
        <w:t xml:space="preserve"> ،</w:t>
      </w:r>
      <w:r w:rsidRPr="00EC737F">
        <w:rPr>
          <w:rFonts w:cs="Traditional Arabic" w:hint="cs"/>
          <w:sz w:val="28"/>
          <w:szCs w:val="32"/>
          <w:rtl/>
        </w:rPr>
        <w:t xml:space="preserve"> لأن هذه العقارات بالتخصيص تتبع العقار الأصلي</w:t>
      </w:r>
      <w:r>
        <w:rPr>
          <w:rFonts w:cs="Traditional Arabic" w:hint="cs"/>
          <w:sz w:val="28"/>
          <w:szCs w:val="32"/>
          <w:rtl/>
        </w:rPr>
        <w:t xml:space="preserve"> ،</w:t>
      </w:r>
      <w:r w:rsidRPr="00EC737F">
        <w:rPr>
          <w:rFonts w:cs="Traditional Arabic" w:hint="cs"/>
          <w:sz w:val="28"/>
          <w:szCs w:val="32"/>
          <w:rtl/>
        </w:rPr>
        <w:t xml:space="preserve"> فتصبح مرهونة مثله ويستوي أن يكون العقار بالتخصيص موجوداً وقت عقد الرهن و وجد بعد ذلك</w:t>
      </w:r>
      <w:r>
        <w:rPr>
          <w:rFonts w:cs="Traditional Arabic" w:hint="cs"/>
          <w:sz w:val="28"/>
          <w:szCs w:val="32"/>
          <w:rtl/>
        </w:rPr>
        <w:t xml:space="preserve"> ،</w:t>
      </w:r>
      <w:r w:rsidRPr="00EC737F">
        <w:rPr>
          <w:rFonts w:cs="Traditional Arabic" w:hint="cs"/>
          <w:sz w:val="28"/>
          <w:szCs w:val="32"/>
          <w:rtl/>
        </w:rPr>
        <w:t xml:space="preserve"> فكل عقار بالتخصيص يلحق العقار الأصلي في الرهن</w:t>
      </w:r>
      <w:r>
        <w:rPr>
          <w:rFonts w:cs="Traditional Arabic" w:hint="cs"/>
          <w:sz w:val="28"/>
          <w:szCs w:val="32"/>
          <w:rtl/>
        </w:rPr>
        <w:t xml:space="preserve"> ،</w:t>
      </w:r>
      <w:r w:rsidRPr="00EC737F">
        <w:rPr>
          <w:rFonts w:cs="Traditional Arabic" w:hint="cs"/>
          <w:sz w:val="28"/>
          <w:szCs w:val="32"/>
          <w:rtl/>
        </w:rPr>
        <w:t xml:space="preserve"> أياً كان تاريخ وجوده</w:t>
      </w:r>
      <w:r>
        <w:rPr>
          <w:rFonts w:cs="Traditional Arabic" w:hint="cs"/>
          <w:sz w:val="28"/>
          <w:szCs w:val="32"/>
          <w:vertAlign w:val="superscript"/>
          <w:rtl/>
        </w:rPr>
        <w:t xml:space="preserve">( </w:t>
      </w:r>
      <w:r w:rsidRPr="00EC737F">
        <w:rPr>
          <w:rStyle w:val="ab"/>
          <w:rFonts w:cs="Traditional Arabic"/>
          <w:sz w:val="28"/>
          <w:szCs w:val="32"/>
          <w:rtl/>
        </w:rPr>
        <w:footnoteReference w:id="777"/>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دخل العقار بالتخصيص في الرهن</w:t>
      </w:r>
      <w:r>
        <w:rPr>
          <w:rFonts w:cs="Traditional Arabic" w:hint="cs"/>
          <w:sz w:val="28"/>
          <w:szCs w:val="32"/>
          <w:rtl/>
        </w:rPr>
        <w:t xml:space="preserve"> ،</w:t>
      </w:r>
      <w:r w:rsidRPr="00EC737F">
        <w:rPr>
          <w:rFonts w:cs="Traditional Arabic" w:hint="cs"/>
          <w:sz w:val="28"/>
          <w:szCs w:val="32"/>
          <w:rtl/>
        </w:rPr>
        <w:t xml:space="preserve"> ثم فصله </w:t>
      </w:r>
      <w:r w:rsidRPr="00EC737F">
        <w:rPr>
          <w:rFonts w:cs="Traditional Arabic" w:hint="cs"/>
          <w:sz w:val="28"/>
          <w:szCs w:val="32"/>
          <w:rtl/>
        </w:rPr>
        <w:lastRenderedPageBreak/>
        <w:t>الراهن عن العقار الأصلي</w:t>
      </w:r>
      <w:r>
        <w:rPr>
          <w:rFonts w:cs="Traditional Arabic" w:hint="cs"/>
          <w:sz w:val="28"/>
          <w:szCs w:val="32"/>
          <w:rtl/>
        </w:rPr>
        <w:t xml:space="preserve"> ،</w:t>
      </w:r>
      <w:r w:rsidRPr="00EC737F">
        <w:rPr>
          <w:rFonts w:cs="Traditional Arabic" w:hint="cs"/>
          <w:sz w:val="28"/>
          <w:szCs w:val="32"/>
          <w:rtl/>
        </w:rPr>
        <w:t xml:space="preserve"> كأن باعه وسلمه إلى المشتري</w:t>
      </w:r>
      <w:r>
        <w:rPr>
          <w:rFonts w:cs="Traditional Arabic" w:hint="cs"/>
          <w:sz w:val="28"/>
          <w:szCs w:val="32"/>
          <w:rtl/>
        </w:rPr>
        <w:t xml:space="preserve"> ،</w:t>
      </w:r>
      <w:r w:rsidRPr="00EC737F">
        <w:rPr>
          <w:rFonts w:cs="Traditional Arabic" w:hint="cs"/>
          <w:sz w:val="28"/>
          <w:szCs w:val="32"/>
          <w:rtl/>
        </w:rPr>
        <w:t xml:space="preserve"> فإن المشتري إذا كان حسن النية يملك العقار بالتخصيص الذي أصبح منقولا</w:t>
      </w:r>
      <w:r>
        <w:rPr>
          <w:rFonts w:cs="Traditional Arabic" w:hint="cs"/>
          <w:sz w:val="28"/>
          <w:szCs w:val="32"/>
          <w:rtl/>
        </w:rPr>
        <w:t xml:space="preserve"> ،</w:t>
      </w:r>
      <w:r w:rsidRPr="00EC737F">
        <w:rPr>
          <w:rFonts w:cs="Traditional Arabic" w:hint="cs"/>
          <w:sz w:val="28"/>
          <w:szCs w:val="32"/>
          <w:rtl/>
        </w:rPr>
        <w:t xml:space="preserve"> $358 ولا يحتج عليه بأنه كان مرهوناً مع العقار الأصلي لأنه حازه وهو يعتقد بحسن نية أنه خالٍ من الرهن</w:t>
      </w:r>
      <w:r>
        <w:rPr>
          <w:rFonts w:cs="Traditional Arabic" w:hint="cs"/>
          <w:sz w:val="28"/>
          <w:szCs w:val="32"/>
          <w:rtl/>
        </w:rPr>
        <w:t xml:space="preserve"> .</w:t>
      </w:r>
      <w:r w:rsidRPr="00EC737F">
        <w:rPr>
          <w:rFonts w:cs="Traditional Arabic" w:hint="cs"/>
          <w:sz w:val="28"/>
          <w:szCs w:val="32"/>
          <w:rtl/>
        </w:rPr>
        <w:t xml:space="preserve"> ولكن يجوز للدائن المرتهن أن يحجز على الثمن وهو في يد المشتري</w:t>
      </w:r>
      <w:r>
        <w:rPr>
          <w:rFonts w:cs="Traditional Arabic" w:hint="cs"/>
          <w:sz w:val="28"/>
          <w:szCs w:val="32"/>
          <w:rtl/>
        </w:rPr>
        <w:t xml:space="preserve"> ،</w:t>
      </w:r>
      <w:r w:rsidRPr="00EC737F">
        <w:rPr>
          <w:rFonts w:cs="Traditional Arabic" w:hint="cs"/>
          <w:sz w:val="28"/>
          <w:szCs w:val="32"/>
          <w:rtl/>
        </w:rPr>
        <w:t xml:space="preserve"> إذا كان هذا لم يدفعه للبائع</w:t>
      </w:r>
      <w:r>
        <w:rPr>
          <w:rFonts w:cs="Traditional Arabic" w:hint="cs"/>
          <w:sz w:val="28"/>
          <w:szCs w:val="32"/>
          <w:rtl/>
        </w:rPr>
        <w:t xml:space="preserve"> ،</w:t>
      </w:r>
      <w:r w:rsidRPr="00EC737F">
        <w:rPr>
          <w:rFonts w:cs="Traditional Arabic" w:hint="cs"/>
          <w:sz w:val="28"/>
          <w:szCs w:val="32"/>
          <w:rtl/>
        </w:rPr>
        <w:t xml:space="preserve"> لأن الرهن شمل الثمن ويتقدم فيه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77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أما إذا باع الراهن العقار بالتخصيص ولكن لم يسلمه للمشتري</w:t>
      </w:r>
      <w:r>
        <w:rPr>
          <w:rFonts w:cs="Traditional Arabic" w:hint="cs"/>
          <w:sz w:val="28"/>
          <w:szCs w:val="32"/>
          <w:rtl/>
        </w:rPr>
        <w:t xml:space="preserve"> ،</w:t>
      </w:r>
      <w:r w:rsidRPr="00EC737F">
        <w:rPr>
          <w:rFonts w:cs="Traditional Arabic" w:hint="cs"/>
          <w:sz w:val="28"/>
          <w:szCs w:val="32"/>
          <w:rtl/>
        </w:rPr>
        <w:t xml:space="preserve"> فإنه يبقى مرهوناً مع العقار الأصلي كما كان</w:t>
      </w:r>
      <w:r>
        <w:rPr>
          <w:rFonts w:cs="Traditional Arabic" w:hint="cs"/>
          <w:sz w:val="28"/>
          <w:szCs w:val="32"/>
          <w:rtl/>
        </w:rPr>
        <w:t xml:space="preserve"> ،</w:t>
      </w:r>
      <w:r w:rsidRPr="00EC737F">
        <w:rPr>
          <w:rFonts w:cs="Traditional Arabic" w:hint="cs"/>
          <w:sz w:val="28"/>
          <w:szCs w:val="32"/>
          <w:rtl/>
        </w:rPr>
        <w:t xml:space="preserve"> حتى لو كان المشتري حسن النية ما دام أنه لم يحزه</w:t>
      </w:r>
      <w:r>
        <w:rPr>
          <w:rFonts w:cs="Traditional Arabic" w:hint="cs"/>
          <w:sz w:val="28"/>
          <w:szCs w:val="32"/>
          <w:rtl/>
        </w:rPr>
        <w:t xml:space="preserve"> ،</w:t>
      </w:r>
      <w:r w:rsidRPr="00EC737F">
        <w:rPr>
          <w:rFonts w:cs="Traditional Arabic" w:hint="cs"/>
          <w:sz w:val="28"/>
          <w:szCs w:val="32"/>
          <w:rtl/>
        </w:rPr>
        <w:t xml:space="preserve"> ويستطيع الدائن المرتهن أن يعارض في تسليم العقار بالتخصيص للمشتري</w:t>
      </w:r>
      <w:r>
        <w:rPr>
          <w:rFonts w:cs="Traditional Arabic" w:hint="cs"/>
          <w:sz w:val="28"/>
          <w:szCs w:val="32"/>
          <w:vertAlign w:val="superscript"/>
          <w:rtl/>
        </w:rPr>
        <w:t xml:space="preserve">( </w:t>
      </w:r>
      <w:r w:rsidRPr="00EC737F">
        <w:rPr>
          <w:rStyle w:val="ab"/>
          <w:rFonts w:cs="Traditional Arabic"/>
          <w:sz w:val="28"/>
          <w:szCs w:val="32"/>
          <w:rtl/>
        </w:rPr>
        <w:footnoteReference w:id="77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 التحسينات والإنشاءات</w:t>
      </w:r>
      <w:r>
        <w:rPr>
          <w:rFonts w:cs="Traditional Arabic" w:hint="cs"/>
          <w:sz w:val="28"/>
          <w:szCs w:val="32"/>
          <w:rtl/>
        </w:rPr>
        <w:t xml:space="preserve"> :</w:t>
      </w:r>
      <w:r w:rsidRPr="00EC737F">
        <w:rPr>
          <w:rFonts w:cs="Traditional Arabic" w:hint="cs"/>
          <w:sz w:val="28"/>
          <w:szCs w:val="32"/>
          <w:rtl/>
        </w:rPr>
        <w:t xml:space="preserve"> وكثيراً ما يستحدث مالك العقار المرهون هذه التحسينات ويقيم هذه المنشآت</w:t>
      </w:r>
      <w:r>
        <w:rPr>
          <w:rFonts w:cs="Traditional Arabic" w:hint="cs"/>
          <w:sz w:val="28"/>
          <w:szCs w:val="32"/>
          <w:rtl/>
        </w:rPr>
        <w:t xml:space="preserve"> ،</w:t>
      </w:r>
      <w:r w:rsidRPr="00EC737F">
        <w:rPr>
          <w:rFonts w:cs="Traditional Arabic" w:hint="cs"/>
          <w:sz w:val="28"/>
          <w:szCs w:val="32"/>
          <w:rtl/>
        </w:rPr>
        <w:t xml:space="preserve"> فتدخل ضمناً</w:t>
      </w:r>
      <w:r>
        <w:rPr>
          <w:rFonts w:cs="Traditional Arabic" w:hint="cs"/>
          <w:sz w:val="28"/>
          <w:szCs w:val="32"/>
          <w:rtl/>
        </w:rPr>
        <w:t xml:space="preserve"> ،</w:t>
      </w:r>
      <w:r w:rsidRPr="00EC737F">
        <w:rPr>
          <w:rFonts w:cs="Traditional Arabic" w:hint="cs"/>
          <w:sz w:val="28"/>
          <w:szCs w:val="32"/>
          <w:rtl/>
        </w:rPr>
        <w:t xml:space="preserve"> دون حاجة إلى اتفاق خاص على ذلك</w:t>
      </w:r>
      <w:r>
        <w:rPr>
          <w:rFonts w:cs="Traditional Arabic" w:hint="cs"/>
          <w:sz w:val="28"/>
          <w:szCs w:val="32"/>
          <w:rtl/>
        </w:rPr>
        <w:t xml:space="preserve"> ،</w:t>
      </w:r>
      <w:r w:rsidRPr="00EC737F">
        <w:rPr>
          <w:rFonts w:cs="Traditional Arabic" w:hint="cs"/>
          <w:sz w:val="28"/>
          <w:szCs w:val="32"/>
          <w:rtl/>
        </w:rPr>
        <w:t xml:space="preserve"> في الرهن باعتبارها تابعة للعقار المرهون</w:t>
      </w:r>
      <w:r>
        <w:rPr>
          <w:rFonts w:cs="Traditional Arabic" w:hint="cs"/>
          <w:sz w:val="28"/>
          <w:szCs w:val="32"/>
          <w:rtl/>
        </w:rPr>
        <w:t xml:space="preserve"> .</w:t>
      </w:r>
      <w:r w:rsidRPr="00EC737F">
        <w:rPr>
          <w:rFonts w:cs="Traditional Arabic" w:hint="cs"/>
          <w:sz w:val="28"/>
          <w:szCs w:val="32"/>
          <w:rtl/>
        </w:rPr>
        <w:t xml:space="preserve"> ولا يقصد بالتحسينات والمنشآت ما نشأ نتيجة للتقلبات الاقتصادية كارتفاع سعر العقار المرهون</w:t>
      </w:r>
      <w:r>
        <w:rPr>
          <w:rFonts w:cs="Traditional Arabic" w:hint="cs"/>
          <w:sz w:val="28"/>
          <w:szCs w:val="32"/>
          <w:rtl/>
        </w:rPr>
        <w:t xml:space="preserve"> </w:t>
      </w:r>
      <w:r>
        <w:rPr>
          <w:rFonts w:cs="Traditional Arabic" w:hint="cs"/>
          <w:sz w:val="28"/>
          <w:szCs w:val="32"/>
          <w:rtl/>
        </w:rPr>
        <w:lastRenderedPageBreak/>
        <w:t>،</w:t>
      </w:r>
      <w:r w:rsidRPr="00EC737F">
        <w:rPr>
          <w:rFonts w:cs="Traditional Arabic" w:hint="cs"/>
          <w:sz w:val="28"/>
          <w:szCs w:val="32"/>
          <w:rtl/>
        </w:rPr>
        <w:t xml:space="preserve"> أو نتيجة لتنفيذ مشروعات عامة كمشروعات للإنارة أو للكهرباء أو للري أو للصرف</w:t>
      </w:r>
      <w:r>
        <w:rPr>
          <w:rFonts w:cs="Traditional Arabic" w:hint="cs"/>
          <w:sz w:val="28"/>
          <w:szCs w:val="32"/>
          <w:rtl/>
        </w:rPr>
        <w:t xml:space="preserve"> ،</w:t>
      </w:r>
      <w:r w:rsidRPr="00EC737F">
        <w:rPr>
          <w:rFonts w:cs="Traditional Arabic" w:hint="cs"/>
          <w:sz w:val="28"/>
          <w:szCs w:val="32"/>
          <w:rtl/>
        </w:rPr>
        <w:t xml:space="preserve"> فكل هذه يستفيد منها العقار فيعلو سعره ويدخل هذا العلو في الرهن</w:t>
      </w:r>
      <w:r>
        <w:rPr>
          <w:rFonts w:cs="Traditional Arabic" w:hint="cs"/>
          <w:sz w:val="28"/>
          <w:szCs w:val="32"/>
          <w:rtl/>
        </w:rPr>
        <w:t xml:space="preserve"> ،</w:t>
      </w:r>
      <w:r w:rsidRPr="00EC737F">
        <w:rPr>
          <w:rFonts w:cs="Traditional Arabic" w:hint="cs"/>
          <w:sz w:val="28"/>
          <w:szCs w:val="32"/>
          <w:rtl/>
        </w:rPr>
        <w:t xml:space="preserve"> ولكنها لا تعتبر هي التحسينات والمنشآت المقصودة</w:t>
      </w:r>
      <w:r>
        <w:rPr>
          <w:rFonts w:cs="Traditional Arabic" w:hint="cs"/>
          <w:sz w:val="28"/>
          <w:szCs w:val="32"/>
          <w:vertAlign w:val="superscript"/>
          <w:rtl/>
        </w:rPr>
        <w:t xml:space="preserve">( </w:t>
      </w:r>
      <w:r w:rsidRPr="00EC737F">
        <w:rPr>
          <w:rStyle w:val="ab"/>
          <w:rFonts w:cs="Traditional Arabic"/>
          <w:sz w:val="28"/>
          <w:szCs w:val="32"/>
          <w:rtl/>
        </w:rPr>
        <w:footnoteReference w:id="78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وما أنتجته الطبيعة من تحسينات في الأرض</w:t>
      </w:r>
      <w:r>
        <w:rPr>
          <w:rFonts w:cs="Traditional Arabic" w:hint="cs"/>
          <w:sz w:val="28"/>
          <w:szCs w:val="32"/>
          <w:rtl/>
        </w:rPr>
        <w:t xml:space="preserve"> ،</w:t>
      </w:r>
      <w:r w:rsidRPr="00EC737F">
        <w:rPr>
          <w:rFonts w:cs="Traditional Arabic" w:hint="cs"/>
          <w:sz w:val="28"/>
          <w:szCs w:val="32"/>
          <w:rtl/>
        </w:rPr>
        <w:t xml:space="preserve"> كتراكم الطمي $359 الذي يزيد من مساحة الأرض</w:t>
      </w:r>
      <w:r>
        <w:rPr>
          <w:rFonts w:cs="Traditional Arabic" w:hint="cs"/>
          <w:sz w:val="28"/>
          <w:szCs w:val="32"/>
          <w:rtl/>
        </w:rPr>
        <w:t xml:space="preserve"> .</w:t>
      </w:r>
      <w:r w:rsidRPr="00EC737F">
        <w:rPr>
          <w:rFonts w:cs="Traditional Arabic" w:hint="cs"/>
          <w:sz w:val="28"/>
          <w:szCs w:val="32"/>
          <w:rtl/>
        </w:rPr>
        <w:t xml:space="preserve"> يعتبر تحسينا بفعل الطبيعة ويدخل ضمن الرهن</w:t>
      </w:r>
      <w:r>
        <w:rPr>
          <w:rFonts w:cs="Traditional Arabic" w:hint="cs"/>
          <w:sz w:val="28"/>
          <w:szCs w:val="32"/>
          <w:rtl/>
        </w:rPr>
        <w:t xml:space="preserve"> .</w:t>
      </w:r>
      <w:r w:rsidRPr="00EC737F">
        <w:rPr>
          <w:rFonts w:cs="Traditional Arabic" w:hint="cs"/>
          <w:sz w:val="28"/>
          <w:szCs w:val="32"/>
          <w:rtl/>
        </w:rPr>
        <w:t xml:space="preserve"> أما المقصود بالتحسينات هنا</w:t>
      </w:r>
      <w:r>
        <w:rPr>
          <w:rFonts w:cs="Traditional Arabic" w:hint="cs"/>
          <w:sz w:val="28"/>
          <w:szCs w:val="32"/>
          <w:rtl/>
        </w:rPr>
        <w:t xml:space="preserve"> ،</w:t>
      </w:r>
      <w:r w:rsidRPr="00EC737F">
        <w:rPr>
          <w:rFonts w:cs="Traditional Arabic" w:hint="cs"/>
          <w:sz w:val="28"/>
          <w:szCs w:val="32"/>
          <w:rtl/>
        </w:rPr>
        <w:t xml:space="preserve"> فهو ما يصنعه صاحب العقار المرهون بنفسه</w:t>
      </w:r>
      <w:r>
        <w:rPr>
          <w:rFonts w:cs="Traditional Arabic" w:hint="cs"/>
          <w:sz w:val="28"/>
          <w:szCs w:val="32"/>
          <w:rtl/>
        </w:rPr>
        <w:t xml:space="preserve"> ،</w:t>
      </w:r>
      <w:r w:rsidRPr="00EC737F">
        <w:rPr>
          <w:rFonts w:cs="Traditional Arabic" w:hint="cs"/>
          <w:sz w:val="28"/>
          <w:szCs w:val="32"/>
          <w:rtl/>
        </w:rPr>
        <w:t xml:space="preserve"> كتوسيع غرف المنزل وإعادة حديقة له وتيسير سبيل المرور إليه من الطريق العام</w:t>
      </w:r>
      <w:r>
        <w:rPr>
          <w:rFonts w:cs="Traditional Arabic" w:hint="cs"/>
          <w:sz w:val="28"/>
          <w:szCs w:val="32"/>
          <w:rtl/>
        </w:rPr>
        <w:t xml:space="preserve"> ،</w:t>
      </w:r>
      <w:r w:rsidRPr="00EC737F">
        <w:rPr>
          <w:rFonts w:cs="Traditional Arabic" w:hint="cs"/>
          <w:sz w:val="28"/>
          <w:szCs w:val="32"/>
          <w:rtl/>
        </w:rPr>
        <w:t xml:space="preserve"> فكل ما يصنع م ذلك يعتبر تحسيناً يدخل ضمن الرهن</w:t>
      </w:r>
      <w:r>
        <w:rPr>
          <w:rFonts w:cs="Traditional Arabic" w:hint="cs"/>
          <w:sz w:val="28"/>
          <w:szCs w:val="32"/>
          <w:vertAlign w:val="superscript"/>
          <w:rtl/>
        </w:rPr>
        <w:t xml:space="preserve">( </w:t>
      </w:r>
      <w:r w:rsidRPr="00EC737F">
        <w:rPr>
          <w:rStyle w:val="ab"/>
          <w:rFonts w:cs="Traditional Arabic"/>
          <w:sz w:val="28"/>
          <w:szCs w:val="32"/>
          <w:rtl/>
        </w:rPr>
        <w:footnoteReference w:id="78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وكذلك الإنشاءات التي يزيدها صاحب العقار المرهون</w:t>
      </w:r>
      <w:r>
        <w:rPr>
          <w:rFonts w:cs="Traditional Arabic" w:hint="cs"/>
          <w:sz w:val="28"/>
          <w:szCs w:val="32"/>
          <w:rtl/>
        </w:rPr>
        <w:t xml:space="preserve"> ،</w:t>
      </w:r>
      <w:r w:rsidRPr="00EC737F">
        <w:rPr>
          <w:rFonts w:cs="Traditional Arabic" w:hint="cs"/>
          <w:sz w:val="28"/>
          <w:szCs w:val="32"/>
          <w:rtl/>
        </w:rPr>
        <w:t xml:space="preserve"> كأن يبني طابقاً جديداً أو يستحدث بناء على الأرض المرهونة أو يضيف إلى البناء الموجود ملاحق له تزيد من قيمته</w:t>
      </w:r>
      <w:r>
        <w:rPr>
          <w:rFonts w:cs="Traditional Arabic" w:hint="cs"/>
          <w:sz w:val="28"/>
          <w:szCs w:val="32"/>
          <w:rtl/>
        </w:rPr>
        <w:t xml:space="preserve"> ،</w:t>
      </w:r>
      <w:r w:rsidRPr="00EC737F">
        <w:rPr>
          <w:rFonts w:cs="Traditional Arabic" w:hint="cs"/>
          <w:sz w:val="28"/>
          <w:szCs w:val="32"/>
          <w:rtl/>
        </w:rPr>
        <w:t xml:space="preserve"> كل هذه تعتبر إنشاءات تتبع العقار المرهون وتدخل معه في الرهن</w:t>
      </w:r>
      <w:r>
        <w:rPr>
          <w:rFonts w:cs="Traditional Arabic" w:hint="cs"/>
          <w:sz w:val="28"/>
          <w:szCs w:val="32"/>
          <w:vertAlign w:val="superscript"/>
          <w:rtl/>
        </w:rPr>
        <w:t xml:space="preserve">( </w:t>
      </w:r>
      <w:r w:rsidRPr="00EC737F">
        <w:rPr>
          <w:rStyle w:val="ab"/>
          <w:rFonts w:cs="Traditional Arabic"/>
          <w:sz w:val="28"/>
          <w:szCs w:val="32"/>
          <w:rtl/>
        </w:rPr>
        <w:footnoteReference w:id="78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ويستوي أن تكون التحسينات والإنشاءات قد حدثت قبل عقد الرهن أو حدثت بعد ذلك</w:t>
      </w:r>
      <w:r>
        <w:rPr>
          <w:rFonts w:cs="Traditional Arabic" w:hint="cs"/>
          <w:sz w:val="28"/>
          <w:szCs w:val="32"/>
          <w:rtl/>
        </w:rPr>
        <w:t xml:space="preserve"> ،</w:t>
      </w:r>
      <w:r w:rsidRPr="00EC737F">
        <w:rPr>
          <w:rFonts w:cs="Traditional Arabic" w:hint="cs"/>
          <w:sz w:val="28"/>
          <w:szCs w:val="32"/>
          <w:rtl/>
        </w:rPr>
        <w:t xml:space="preserve"> فما دامت قد أصبحت عقاراً ملحقاً بالعقار الأصلي المرهون</w:t>
      </w:r>
      <w:r>
        <w:rPr>
          <w:rFonts w:cs="Traditional Arabic" w:hint="cs"/>
          <w:sz w:val="28"/>
          <w:szCs w:val="32"/>
          <w:rtl/>
        </w:rPr>
        <w:t xml:space="preserve"> ،</w:t>
      </w:r>
      <w:r w:rsidRPr="00EC737F">
        <w:rPr>
          <w:rFonts w:cs="Traditional Arabic" w:hint="cs"/>
          <w:sz w:val="28"/>
          <w:szCs w:val="32"/>
          <w:rtl/>
        </w:rPr>
        <w:t xml:space="preserve"> فإنها تدخل معه في الرهن</w:t>
      </w:r>
      <w:r>
        <w:rPr>
          <w:rFonts w:cs="Traditional Arabic" w:hint="cs"/>
          <w:sz w:val="28"/>
          <w:szCs w:val="32"/>
          <w:rtl/>
        </w:rPr>
        <w:t xml:space="preserve"> .</w:t>
      </w:r>
      <w:r w:rsidRPr="00EC737F">
        <w:rPr>
          <w:rFonts w:cs="Traditional Arabic" w:hint="cs"/>
          <w:sz w:val="28"/>
          <w:szCs w:val="32"/>
          <w:rtl/>
        </w:rPr>
        <w:t xml:space="preserve"> وتدخل التحسينات والإنشاءات أياً كانت قيمتها</w:t>
      </w:r>
      <w:r>
        <w:rPr>
          <w:rFonts w:cs="Traditional Arabic" w:hint="cs"/>
          <w:sz w:val="28"/>
          <w:szCs w:val="32"/>
          <w:rtl/>
        </w:rPr>
        <w:t xml:space="preserve"> ،</w:t>
      </w:r>
      <w:r w:rsidRPr="00EC737F">
        <w:rPr>
          <w:rFonts w:cs="Traditional Arabic" w:hint="cs"/>
          <w:sz w:val="28"/>
          <w:szCs w:val="32"/>
          <w:rtl/>
        </w:rPr>
        <w:t xml:space="preserve"> ولو زادت القيمة على العقار الأصلي المرهون نفسه</w:t>
      </w:r>
      <w:r>
        <w:rPr>
          <w:rFonts w:cs="Traditional Arabic" w:hint="cs"/>
          <w:sz w:val="28"/>
          <w:szCs w:val="32"/>
          <w:vertAlign w:val="superscript"/>
          <w:rtl/>
        </w:rPr>
        <w:t xml:space="preserve">( </w:t>
      </w:r>
      <w:r w:rsidRPr="00EC737F">
        <w:rPr>
          <w:rStyle w:val="ab"/>
          <w:rFonts w:cs="Traditional Arabic"/>
          <w:sz w:val="28"/>
          <w:szCs w:val="32"/>
          <w:rtl/>
        </w:rPr>
        <w:footnoteReference w:id="78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قام الغير</w:t>
      </w:r>
      <w:r>
        <w:rPr>
          <w:rFonts w:cs="Traditional Arabic" w:hint="cs"/>
          <w:sz w:val="28"/>
          <w:szCs w:val="32"/>
          <w:rtl/>
        </w:rPr>
        <w:t xml:space="preserve"> ،</w:t>
      </w:r>
      <w:r w:rsidRPr="00EC737F">
        <w:rPr>
          <w:rFonts w:cs="Traditional Arabic" w:hint="cs"/>
          <w:sz w:val="28"/>
          <w:szCs w:val="32"/>
          <w:rtl/>
        </w:rPr>
        <w:t xml:space="preserve"> كمستأجر</w:t>
      </w:r>
      <w:r>
        <w:rPr>
          <w:rFonts w:cs="Traditional Arabic" w:hint="cs"/>
          <w:sz w:val="28"/>
          <w:szCs w:val="32"/>
          <w:rtl/>
        </w:rPr>
        <w:t xml:space="preserve"> ،</w:t>
      </w:r>
      <w:r w:rsidRPr="00EC737F">
        <w:rPr>
          <w:rFonts w:cs="Traditional Arabic" w:hint="cs"/>
          <w:sz w:val="28"/>
          <w:szCs w:val="32"/>
          <w:rtl/>
        </w:rPr>
        <w:t xml:space="preserve"> بالإنشاءات لخدمته</w:t>
      </w:r>
      <w:r>
        <w:rPr>
          <w:rFonts w:cs="Traditional Arabic" w:hint="cs"/>
          <w:sz w:val="28"/>
          <w:szCs w:val="32"/>
          <w:rtl/>
        </w:rPr>
        <w:t xml:space="preserve"> ،</w:t>
      </w:r>
      <w:r w:rsidRPr="00EC737F">
        <w:rPr>
          <w:rFonts w:cs="Traditional Arabic" w:hint="cs"/>
          <w:sz w:val="28"/>
          <w:szCs w:val="32"/>
          <w:rtl/>
        </w:rPr>
        <w:t xml:space="preserve"> فإنها لا تدخل في الرهن ما دامت في ملك المستأجر</w:t>
      </w:r>
      <w:r>
        <w:rPr>
          <w:rFonts w:cs="Traditional Arabic" w:hint="cs"/>
          <w:sz w:val="28"/>
          <w:szCs w:val="32"/>
          <w:vertAlign w:val="superscript"/>
          <w:rtl/>
        </w:rPr>
        <w:t xml:space="preserve">( </w:t>
      </w:r>
      <w:r w:rsidRPr="00EC737F">
        <w:rPr>
          <w:rStyle w:val="ab"/>
          <w:rFonts w:cs="Traditional Arabic"/>
          <w:sz w:val="28"/>
          <w:szCs w:val="32"/>
          <w:rtl/>
        </w:rPr>
        <w:footnoteReference w:id="78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حتى إذا </w:t>
      </w:r>
      <w:r w:rsidRPr="00EC737F">
        <w:rPr>
          <w:rFonts w:cs="Traditional Arabic" w:hint="cs"/>
          <w:sz w:val="28"/>
          <w:szCs w:val="32"/>
          <w:rtl/>
        </w:rPr>
        <w:lastRenderedPageBreak/>
        <w:t>انتهى $360  الأمر بأن دخلت في ملك صاحب العقار المرهون</w:t>
      </w:r>
      <w:r>
        <w:rPr>
          <w:rFonts w:cs="Traditional Arabic" w:hint="cs"/>
          <w:sz w:val="28"/>
          <w:szCs w:val="32"/>
          <w:rtl/>
        </w:rPr>
        <w:t xml:space="preserve"> ،</w:t>
      </w:r>
      <w:r w:rsidRPr="00EC737F">
        <w:rPr>
          <w:rFonts w:cs="Traditional Arabic" w:hint="cs"/>
          <w:sz w:val="28"/>
          <w:szCs w:val="32"/>
          <w:rtl/>
        </w:rPr>
        <w:t xml:space="preserve"> فإن الرهن يشملها</w:t>
      </w:r>
      <w:r>
        <w:rPr>
          <w:rFonts w:cs="Traditional Arabic" w:hint="cs"/>
          <w:sz w:val="28"/>
          <w:szCs w:val="32"/>
          <w:vertAlign w:val="superscript"/>
          <w:rtl/>
        </w:rPr>
        <w:t xml:space="preserve">( </w:t>
      </w:r>
      <w:r w:rsidRPr="00EC737F">
        <w:rPr>
          <w:rStyle w:val="ab"/>
          <w:rFonts w:cs="Traditional Arabic"/>
          <w:sz w:val="28"/>
          <w:szCs w:val="32"/>
          <w:rtl/>
        </w:rPr>
        <w:footnoteReference w:id="785"/>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ولا يعتبر رهناً لمال مستقبل أن تكون المنشآت قد أقيمت بعد الرهن</w:t>
      </w:r>
      <w:r>
        <w:rPr>
          <w:rFonts w:cs="Traditional Arabic" w:hint="cs"/>
          <w:sz w:val="28"/>
          <w:szCs w:val="32"/>
          <w:rtl/>
        </w:rPr>
        <w:t xml:space="preserve"> ،</w:t>
      </w:r>
      <w:r w:rsidRPr="00EC737F">
        <w:rPr>
          <w:rFonts w:cs="Traditional Arabic" w:hint="cs"/>
          <w:sz w:val="28"/>
          <w:szCs w:val="32"/>
          <w:rtl/>
        </w:rPr>
        <w:t xml:space="preserve"> فإن الرهن يشملها لا مستقلة بل باعتبارها قد أصبحت تابعة للعقار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78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امتد الرهن إلى المنشآت والتحسينات فإنه يمتد بمرتبته الأصلية لا من تاريخ وجود هذه المنشآت والتحسينات</w:t>
      </w:r>
      <w:r>
        <w:rPr>
          <w:rFonts w:cs="Traditional Arabic" w:hint="cs"/>
          <w:sz w:val="28"/>
          <w:szCs w:val="32"/>
          <w:rtl/>
        </w:rPr>
        <w:t xml:space="preserve"> ،</w:t>
      </w:r>
      <w:r w:rsidRPr="00EC737F">
        <w:rPr>
          <w:rFonts w:cs="Traditional Arabic" w:hint="cs"/>
          <w:sz w:val="28"/>
          <w:szCs w:val="32"/>
          <w:rtl/>
        </w:rPr>
        <w:t xml:space="preserve"> حتى لو لم تقم هذه المنشآت والتحسينات إلا بعد مدة طويلة انقضت بعد عقد الرهن</w:t>
      </w:r>
      <w:r>
        <w:rPr>
          <w:rFonts w:cs="Traditional Arabic" w:hint="cs"/>
          <w:sz w:val="28"/>
          <w:szCs w:val="32"/>
          <w:vertAlign w:val="superscript"/>
          <w:rtl/>
        </w:rPr>
        <w:t xml:space="preserve">( </w:t>
      </w:r>
      <w:r w:rsidRPr="00EC737F">
        <w:rPr>
          <w:rStyle w:val="ab"/>
          <w:rFonts w:cs="Traditional Arabic"/>
          <w:sz w:val="28"/>
          <w:szCs w:val="32"/>
          <w:rtl/>
        </w:rPr>
        <w:footnoteReference w:id="78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وليس ما ذكرنا هو وحده الذي يلحق بالعقار المرهون فيدخل في الرهن</w:t>
      </w:r>
      <w:r>
        <w:rPr>
          <w:rFonts w:cs="Traditional Arabic" w:hint="cs"/>
          <w:sz w:val="28"/>
          <w:szCs w:val="32"/>
          <w:rtl/>
        </w:rPr>
        <w:t xml:space="preserve"> ،</w:t>
      </w:r>
      <w:r w:rsidRPr="00EC737F">
        <w:rPr>
          <w:rFonts w:cs="Traditional Arabic" w:hint="cs"/>
          <w:sz w:val="28"/>
          <w:szCs w:val="32"/>
          <w:rtl/>
        </w:rPr>
        <w:t xml:space="preserve"> بل كل ملحق بالعقار المرهون يدخل في الرهن إذا اعتبر عقاراً مثله</w:t>
      </w:r>
      <w:r>
        <w:rPr>
          <w:rFonts w:cs="Traditional Arabic" w:hint="cs"/>
          <w:sz w:val="28"/>
          <w:szCs w:val="32"/>
          <w:rtl/>
        </w:rPr>
        <w:t xml:space="preserve"> .</w:t>
      </w:r>
      <w:r w:rsidRPr="00EC737F">
        <w:rPr>
          <w:rFonts w:cs="Traditional Arabic" w:hint="cs"/>
          <w:sz w:val="28"/>
          <w:szCs w:val="32"/>
          <w:rtl/>
        </w:rPr>
        <w:t xml:space="preserve"> فيدخل حق الانتفاع باعتباره تابعاً للعقار المرهون</w:t>
      </w:r>
      <w:r>
        <w:rPr>
          <w:rFonts w:cs="Traditional Arabic" w:hint="cs"/>
          <w:sz w:val="28"/>
          <w:szCs w:val="32"/>
          <w:rtl/>
        </w:rPr>
        <w:t xml:space="preserve"> ،</w:t>
      </w:r>
      <w:r w:rsidRPr="00EC737F">
        <w:rPr>
          <w:rFonts w:cs="Traditional Arabic" w:hint="cs"/>
          <w:sz w:val="28"/>
          <w:szCs w:val="32"/>
          <w:rtl/>
        </w:rPr>
        <w:t xml:space="preserve"> وعلى ذلك إذا رهن مالك الرقبة ما يملكه وهو الرقبة</w:t>
      </w:r>
      <w:r>
        <w:rPr>
          <w:rFonts w:cs="Traditional Arabic" w:hint="cs"/>
          <w:sz w:val="28"/>
          <w:szCs w:val="32"/>
          <w:rtl/>
        </w:rPr>
        <w:t xml:space="preserve"> ،</w:t>
      </w:r>
      <w:r w:rsidRPr="00EC737F">
        <w:rPr>
          <w:rFonts w:cs="Traditional Arabic" w:hint="cs"/>
          <w:sz w:val="28"/>
          <w:szCs w:val="32"/>
          <w:rtl/>
        </w:rPr>
        <w:t xml:space="preserve"> وكان حق الانتفاع مفصولا من الرقبة ومقرراً لشخص آخر</w:t>
      </w:r>
      <w:r>
        <w:rPr>
          <w:rFonts w:cs="Traditional Arabic" w:hint="cs"/>
          <w:sz w:val="28"/>
          <w:szCs w:val="32"/>
          <w:rtl/>
        </w:rPr>
        <w:t xml:space="preserve"> ،</w:t>
      </w:r>
      <w:r w:rsidRPr="00EC737F">
        <w:rPr>
          <w:rFonts w:cs="Traditional Arabic" w:hint="cs"/>
          <w:sz w:val="28"/>
          <w:szCs w:val="32"/>
          <w:rtl/>
        </w:rPr>
        <w:t xml:space="preserve"> ثم انتهى حق الانتفاع فآل إلى الرقبة</w:t>
      </w:r>
      <w:r>
        <w:rPr>
          <w:rFonts w:cs="Traditional Arabic" w:hint="cs"/>
          <w:sz w:val="28"/>
          <w:szCs w:val="32"/>
          <w:rtl/>
        </w:rPr>
        <w:t xml:space="preserve"> ،</w:t>
      </w:r>
      <w:r w:rsidRPr="00EC737F">
        <w:rPr>
          <w:rFonts w:cs="Traditional Arabic" w:hint="cs"/>
          <w:sz w:val="28"/>
          <w:szCs w:val="32"/>
          <w:rtl/>
        </w:rPr>
        <w:t xml:space="preserve"> دخل حق الانتفاع باعتباره ملحقاً بالعقار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788"/>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ويدخل كذلك حق الحكر</w:t>
      </w:r>
      <w:r>
        <w:rPr>
          <w:rFonts w:cs="Traditional Arabic" w:hint="cs"/>
          <w:sz w:val="28"/>
          <w:szCs w:val="32"/>
          <w:rtl/>
        </w:rPr>
        <w:t xml:space="preserve"> ،</w:t>
      </w:r>
      <w:r w:rsidRPr="00EC737F">
        <w:rPr>
          <w:rFonts w:cs="Traditional Arabic" w:hint="cs"/>
          <w:sz w:val="28"/>
          <w:szCs w:val="32"/>
          <w:rtl/>
        </w:rPr>
        <w:t xml:space="preserve"> إذا رهن صاحب الرقبة ما يملكه ثم انقضى حق الحكر أو فسخ</w:t>
      </w:r>
      <w:r>
        <w:rPr>
          <w:rFonts w:cs="Traditional Arabic" w:hint="cs"/>
          <w:sz w:val="28"/>
          <w:szCs w:val="32"/>
          <w:rtl/>
        </w:rPr>
        <w:t xml:space="preserve"> ،</w:t>
      </w:r>
      <w:r w:rsidRPr="00EC737F">
        <w:rPr>
          <w:rFonts w:cs="Traditional Arabic" w:hint="cs"/>
          <w:sz w:val="28"/>
          <w:szCs w:val="32"/>
          <w:rtl/>
        </w:rPr>
        <w:t xml:space="preserve"> فإنه يلتحق بالرقبة المرهونة ويصير مرهوناً مثلها</w:t>
      </w:r>
      <w:r>
        <w:rPr>
          <w:rFonts w:cs="Traditional Arabic" w:hint="cs"/>
          <w:sz w:val="28"/>
          <w:szCs w:val="32"/>
          <w:vertAlign w:val="superscript"/>
          <w:rtl/>
        </w:rPr>
        <w:t xml:space="preserve">( </w:t>
      </w:r>
      <w:r w:rsidRPr="00EC737F">
        <w:rPr>
          <w:rStyle w:val="ab"/>
          <w:rFonts w:cs="Traditional Arabic"/>
          <w:sz w:val="28"/>
          <w:szCs w:val="32"/>
          <w:rtl/>
        </w:rPr>
        <w:footnoteReference w:id="78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ويدخل كذلك في الحائط المشترك الذي يحد العقار المرهون</w:t>
      </w:r>
      <w:r>
        <w:rPr>
          <w:rFonts w:cs="Traditional Arabic" w:hint="cs"/>
          <w:sz w:val="28"/>
          <w:szCs w:val="32"/>
          <w:rtl/>
        </w:rPr>
        <w:t xml:space="preserve"> ،</w:t>
      </w:r>
      <w:r w:rsidRPr="00EC737F">
        <w:rPr>
          <w:rFonts w:cs="Traditional Arabic" w:hint="cs"/>
          <w:sz w:val="28"/>
          <w:szCs w:val="32"/>
          <w:rtl/>
        </w:rPr>
        <w:t xml:space="preserve"> باعتبار أنه ملحق بهذا العقار</w:t>
      </w:r>
      <w:r>
        <w:rPr>
          <w:rFonts w:cs="Traditional Arabic" w:hint="cs"/>
          <w:sz w:val="28"/>
          <w:szCs w:val="32"/>
          <w:vertAlign w:val="superscript"/>
          <w:rtl/>
        </w:rPr>
        <w:t xml:space="preserve">( </w:t>
      </w:r>
      <w:r w:rsidRPr="00EC737F">
        <w:rPr>
          <w:rStyle w:val="ab"/>
          <w:rFonts w:cs="Traditional Arabic"/>
          <w:sz w:val="28"/>
          <w:szCs w:val="32"/>
          <w:rtl/>
        </w:rPr>
        <w:footnoteReference w:id="79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r w:rsidRPr="00EC737F">
        <w:rPr>
          <w:rFonts w:cs="Traditional Arabic" w:hint="cs"/>
          <w:sz w:val="28"/>
          <w:szCs w:val="32"/>
          <w:rtl/>
        </w:rPr>
        <w:lastRenderedPageBreak/>
        <w:t>كما يدخل صاحب سطح الأرض المرهون $361 في التعويض الذي يأخذه من منجم في بطن الأرض</w:t>
      </w:r>
      <w:r>
        <w:rPr>
          <w:rFonts w:cs="Traditional Arabic" w:hint="cs"/>
          <w:sz w:val="28"/>
          <w:szCs w:val="32"/>
          <w:vertAlign w:val="superscript"/>
          <w:rtl/>
        </w:rPr>
        <w:t xml:space="preserve">( </w:t>
      </w:r>
      <w:r w:rsidRPr="00EC737F">
        <w:rPr>
          <w:rStyle w:val="ab"/>
          <w:rFonts w:cs="Traditional Arabic"/>
          <w:sz w:val="28"/>
          <w:szCs w:val="32"/>
          <w:rtl/>
        </w:rPr>
        <w:footnoteReference w:id="791"/>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والمهم أن يكون الذي يدخل في الرهن هو ملحق للعقار المرهون يعود بمنفعة على المالك</w:t>
      </w:r>
      <w:r>
        <w:rPr>
          <w:rFonts w:cs="Traditional Arabic" w:hint="cs"/>
          <w:sz w:val="28"/>
          <w:szCs w:val="32"/>
          <w:vertAlign w:val="superscript"/>
          <w:rtl/>
        </w:rPr>
        <w:t xml:space="preserve">( </w:t>
      </w:r>
      <w:r w:rsidRPr="00EC737F">
        <w:rPr>
          <w:rStyle w:val="ab"/>
          <w:rFonts w:cs="Traditional Arabic"/>
          <w:sz w:val="28"/>
          <w:szCs w:val="32"/>
          <w:rtl/>
        </w:rPr>
        <w:footnoteReference w:id="79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وأن يكون في الوقت ذاته معتبراً عقاراً مثله</w:t>
      </w:r>
      <w:r>
        <w:rPr>
          <w:rFonts w:cs="Traditional Arabic" w:hint="cs"/>
          <w:sz w:val="28"/>
          <w:szCs w:val="32"/>
          <w:vertAlign w:val="superscript"/>
          <w:rtl/>
        </w:rPr>
        <w:t xml:space="preserve">( </w:t>
      </w:r>
      <w:r w:rsidRPr="00EC737F">
        <w:rPr>
          <w:rStyle w:val="ab"/>
          <w:rFonts w:cs="Traditional Arabic"/>
          <w:sz w:val="28"/>
          <w:szCs w:val="32"/>
          <w:rtl/>
        </w:rPr>
        <w:footnoteReference w:id="79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فقد نصت المادة 1036 مدني كما رأينا على أن "يشمل الرهن ملحقات العقار المرهون التي تعتبر عقاراً"</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لاحظ المشرع المصري أنه قد يدخل ضمن الرهن</w:t>
      </w:r>
      <w:r>
        <w:rPr>
          <w:rFonts w:cs="Traditional Arabic" w:hint="cs"/>
          <w:sz w:val="28"/>
          <w:szCs w:val="32"/>
          <w:rtl/>
        </w:rPr>
        <w:t xml:space="preserve"> ،</w:t>
      </w:r>
      <w:r w:rsidRPr="00EC737F">
        <w:rPr>
          <w:rFonts w:cs="Traditional Arabic" w:hint="cs"/>
          <w:sz w:val="28"/>
          <w:szCs w:val="32"/>
          <w:rtl/>
        </w:rPr>
        <w:t xml:space="preserve"> كملحقات للعقار المرهون</w:t>
      </w:r>
      <w:r>
        <w:rPr>
          <w:rFonts w:cs="Traditional Arabic" w:hint="cs"/>
          <w:sz w:val="28"/>
          <w:szCs w:val="32"/>
          <w:rtl/>
        </w:rPr>
        <w:t xml:space="preserve"> ،</w:t>
      </w:r>
      <w:r w:rsidRPr="00EC737F">
        <w:rPr>
          <w:rFonts w:cs="Traditional Arabic" w:hint="cs"/>
          <w:sz w:val="28"/>
          <w:szCs w:val="32"/>
          <w:rtl/>
        </w:rPr>
        <w:t xml:space="preserve"> ما يكون مثقلا بحق امتياز المقاول أو المهندس المعماري</w:t>
      </w:r>
      <w:r>
        <w:rPr>
          <w:rFonts w:cs="Traditional Arabic" w:hint="cs"/>
          <w:sz w:val="28"/>
          <w:szCs w:val="32"/>
          <w:rtl/>
        </w:rPr>
        <w:t xml:space="preserve"> ،</w:t>
      </w:r>
      <w:r w:rsidRPr="00EC737F">
        <w:rPr>
          <w:rFonts w:cs="Traditional Arabic" w:hint="cs"/>
          <w:sz w:val="28"/>
          <w:szCs w:val="32"/>
          <w:rtl/>
        </w:rPr>
        <w:t xml:space="preserve"> وذلك كالمنشآت والتحسينات التي يقيمها صاحب العقار المرهون فتدخل في الرهن وعليها امتياز للمقاول أو المهندس المعماري الذي بناها</w:t>
      </w:r>
      <w:r>
        <w:rPr>
          <w:rFonts w:cs="Traditional Arabic" w:hint="cs"/>
          <w:sz w:val="28"/>
          <w:szCs w:val="32"/>
          <w:rtl/>
        </w:rPr>
        <w:t xml:space="preserve"> .</w:t>
      </w:r>
      <w:r w:rsidRPr="00EC737F">
        <w:rPr>
          <w:rFonts w:cs="Traditional Arabic" w:hint="cs"/>
          <w:sz w:val="28"/>
          <w:szCs w:val="32"/>
          <w:rtl/>
        </w:rPr>
        <w:t xml:space="preserve"> هذا الامتياز قد يكون متأخراً في مرتبته عن حق الرهن الأصلي</w:t>
      </w:r>
      <w:r>
        <w:rPr>
          <w:rFonts w:cs="Traditional Arabic" w:hint="cs"/>
          <w:sz w:val="28"/>
          <w:szCs w:val="32"/>
          <w:rtl/>
        </w:rPr>
        <w:t xml:space="preserve"> ،</w:t>
      </w:r>
      <w:r w:rsidRPr="00EC737F">
        <w:rPr>
          <w:rFonts w:cs="Traditional Arabic" w:hint="cs"/>
          <w:sz w:val="28"/>
          <w:szCs w:val="32"/>
          <w:rtl/>
        </w:rPr>
        <w:t xml:space="preserve"> بأن تكون المنشآت أو التحسينات لم تقم إلا بعد الرهن</w:t>
      </w:r>
      <w:r>
        <w:rPr>
          <w:rFonts w:cs="Traditional Arabic" w:hint="cs"/>
          <w:sz w:val="28"/>
          <w:szCs w:val="32"/>
          <w:rtl/>
        </w:rPr>
        <w:t xml:space="preserve"> .</w:t>
      </w:r>
      <w:r w:rsidRPr="00EC737F">
        <w:rPr>
          <w:rFonts w:cs="Traditional Arabic" w:hint="cs"/>
          <w:sz w:val="28"/>
          <w:szCs w:val="32"/>
          <w:rtl/>
        </w:rPr>
        <w:t xml:space="preserve"> ومع ذلك يتقدم المقاول أو المهندس المعماري بامتيازه هذا المتأخر على الدائن المرتهن المتقدم ولو كان الدائن المرتهن لا يعلم بحق الامتياز</w:t>
      </w:r>
      <w:r>
        <w:rPr>
          <w:rFonts w:cs="Traditional Arabic" w:hint="cs"/>
          <w:sz w:val="28"/>
          <w:szCs w:val="32"/>
          <w:rtl/>
        </w:rPr>
        <w:t xml:space="preserve"> .</w:t>
      </w:r>
      <w:r w:rsidRPr="00EC737F">
        <w:rPr>
          <w:rFonts w:cs="Traditional Arabic" w:hint="cs"/>
          <w:sz w:val="28"/>
          <w:szCs w:val="32"/>
          <w:rtl/>
        </w:rPr>
        <w:t xml:space="preserve"> وقد نصت العبارة الأخيرة من المادة 1036 مدني على هذا الحكم</w:t>
      </w:r>
      <w:r>
        <w:rPr>
          <w:rFonts w:cs="Traditional Arabic" w:hint="cs"/>
          <w:sz w:val="28"/>
          <w:szCs w:val="32"/>
          <w:rtl/>
        </w:rPr>
        <w:t xml:space="preserve"> ،</w:t>
      </w:r>
      <w:r w:rsidRPr="00EC737F">
        <w:rPr>
          <w:rFonts w:cs="Traditional Arabic" w:hint="cs"/>
          <w:sz w:val="28"/>
          <w:szCs w:val="32"/>
          <w:rtl/>
        </w:rPr>
        <w:t xml:space="preserve"> إذ تقول</w:t>
      </w:r>
      <w:r>
        <w:rPr>
          <w:rFonts w:cs="Traditional Arabic" w:hint="cs"/>
          <w:sz w:val="28"/>
          <w:szCs w:val="32"/>
          <w:rtl/>
        </w:rPr>
        <w:t xml:space="preserve"> :</w:t>
      </w:r>
      <w:r w:rsidRPr="00EC737F">
        <w:rPr>
          <w:rFonts w:cs="Traditional Arabic" w:hint="cs"/>
          <w:sz w:val="28"/>
          <w:szCs w:val="32"/>
          <w:rtl/>
        </w:rPr>
        <w:t xml:space="preserve"> "مع عدم الإخلال بامتياز المبالغ المستحقة للمقاولين أو المهندسين المعماريين المنصوص عليه في المادة 1148"</w:t>
      </w:r>
      <w:r>
        <w:rPr>
          <w:rFonts w:cs="Traditional Arabic" w:hint="cs"/>
          <w:sz w:val="28"/>
          <w:szCs w:val="32"/>
          <w:vertAlign w:val="superscript"/>
          <w:rtl/>
        </w:rPr>
        <w:t xml:space="preserve">( </w:t>
      </w:r>
      <w:r w:rsidRPr="00EC737F">
        <w:rPr>
          <w:rStyle w:val="ab"/>
          <w:rFonts w:cs="Traditional Arabic"/>
          <w:sz w:val="28"/>
          <w:szCs w:val="32"/>
          <w:rtl/>
        </w:rPr>
        <w:footnoteReference w:id="794"/>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$362 وكل ما قدمنا ليس من النظام العام</w:t>
      </w:r>
      <w:r>
        <w:rPr>
          <w:rFonts w:cs="Traditional Arabic" w:hint="cs"/>
          <w:sz w:val="28"/>
          <w:szCs w:val="32"/>
          <w:rtl/>
        </w:rPr>
        <w:t xml:space="preserve"> .</w:t>
      </w:r>
      <w:r w:rsidRPr="00EC737F">
        <w:rPr>
          <w:rFonts w:cs="Traditional Arabic" w:hint="cs"/>
          <w:sz w:val="28"/>
          <w:szCs w:val="32"/>
          <w:rtl/>
        </w:rPr>
        <w:t xml:space="preserve"> فيجوز للدائن المرتهن وصاحب العقار المرهون أن يتفقا على إخراج التحسينات والإنشاءات أو حق الانتفاع أو غير ذلك من الرهن</w:t>
      </w:r>
      <w:r>
        <w:rPr>
          <w:rFonts w:cs="Traditional Arabic" w:hint="cs"/>
          <w:sz w:val="28"/>
          <w:szCs w:val="32"/>
          <w:rtl/>
        </w:rPr>
        <w:t xml:space="preserve"> ،</w:t>
      </w:r>
      <w:r w:rsidRPr="00EC737F">
        <w:rPr>
          <w:rFonts w:cs="Traditional Arabic" w:hint="cs"/>
          <w:sz w:val="28"/>
          <w:szCs w:val="32"/>
          <w:rtl/>
        </w:rPr>
        <w:t xml:space="preserve"> فلا يصبح مرهوناً مع العقار المرهون</w:t>
      </w:r>
      <w:r>
        <w:rPr>
          <w:rFonts w:cs="Traditional Arabic" w:hint="cs"/>
          <w:sz w:val="28"/>
          <w:szCs w:val="32"/>
          <w:rtl/>
        </w:rPr>
        <w:t xml:space="preserve"> .</w:t>
      </w:r>
      <w:r w:rsidRPr="00EC737F">
        <w:rPr>
          <w:rFonts w:cs="Traditional Arabic" w:hint="cs"/>
          <w:sz w:val="28"/>
          <w:szCs w:val="32"/>
          <w:rtl/>
        </w:rPr>
        <w:t xml:space="preserve"> وقد نصت المادة 1036 مدني على ذلك</w:t>
      </w:r>
      <w:r>
        <w:rPr>
          <w:rFonts w:cs="Traditional Arabic" w:hint="cs"/>
          <w:sz w:val="28"/>
          <w:szCs w:val="32"/>
          <w:rtl/>
        </w:rPr>
        <w:t xml:space="preserve"> ،</w:t>
      </w:r>
      <w:r w:rsidRPr="00EC737F">
        <w:rPr>
          <w:rFonts w:cs="Traditional Arabic" w:hint="cs"/>
          <w:sz w:val="28"/>
          <w:szCs w:val="32"/>
          <w:rtl/>
        </w:rPr>
        <w:t xml:space="preserve"> إذا تقول "ما لم يتفق على غير ذلك"</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160- شمول الرهن للثمار من وقت إلحاقها بالعقار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1037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"يترتب على تسجيل تنبيه نزع الملكية أن يلحق بالعقار ما يغله من ثمار وإيراد عن المدة التي أعقبت التسجيل</w:t>
      </w:r>
      <w:r>
        <w:rPr>
          <w:rFonts w:cs="Traditional Arabic" w:hint="cs"/>
          <w:sz w:val="28"/>
          <w:szCs w:val="32"/>
          <w:rtl/>
        </w:rPr>
        <w:t xml:space="preserve"> ،</w:t>
      </w:r>
      <w:r w:rsidRPr="00EC737F">
        <w:rPr>
          <w:rFonts w:cs="Traditional Arabic" w:hint="cs"/>
          <w:sz w:val="28"/>
          <w:szCs w:val="32"/>
          <w:rtl/>
        </w:rPr>
        <w:t xml:space="preserve"> ويجري في توزيع هذه الغلة ما يجري في توزيع ثمن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795"/>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$363 ويؤخذ من هذا النص أن ثمار العقار المرهون تلتحق بهذا العقار</w:t>
      </w:r>
      <w:r>
        <w:rPr>
          <w:rFonts w:cs="Traditional Arabic" w:hint="cs"/>
          <w:sz w:val="28"/>
          <w:szCs w:val="32"/>
          <w:rtl/>
        </w:rPr>
        <w:t xml:space="preserve"> ،</w:t>
      </w:r>
      <w:r w:rsidRPr="00EC737F">
        <w:rPr>
          <w:rFonts w:cs="Traditional Arabic" w:hint="cs"/>
          <w:sz w:val="28"/>
          <w:szCs w:val="32"/>
          <w:rtl/>
        </w:rPr>
        <w:t xml:space="preserve"> ويجري في توزيعها ما يجري في توزيع ثمن العقار</w:t>
      </w:r>
      <w:r>
        <w:rPr>
          <w:rFonts w:cs="Traditional Arabic" w:hint="cs"/>
          <w:sz w:val="28"/>
          <w:szCs w:val="32"/>
          <w:rtl/>
        </w:rPr>
        <w:t xml:space="preserve"> ،</w:t>
      </w:r>
      <w:r w:rsidRPr="00EC737F">
        <w:rPr>
          <w:rFonts w:cs="Traditional Arabic" w:hint="cs"/>
          <w:sz w:val="28"/>
          <w:szCs w:val="32"/>
          <w:rtl/>
        </w:rPr>
        <w:t xml:space="preserve"> من وقت إلحاق الثمار بالعقار عند الشروع في نزع ملكية العقار</w:t>
      </w:r>
      <w:r>
        <w:rPr>
          <w:rFonts w:cs="Traditional Arabic" w:hint="cs"/>
          <w:sz w:val="28"/>
          <w:szCs w:val="32"/>
          <w:rtl/>
        </w:rPr>
        <w:t xml:space="preserve"> ،</w:t>
      </w:r>
      <w:r w:rsidRPr="00EC737F">
        <w:rPr>
          <w:rFonts w:cs="Traditional Arabic" w:hint="cs"/>
          <w:sz w:val="28"/>
          <w:szCs w:val="32"/>
          <w:rtl/>
        </w:rPr>
        <w:t xml:space="preserve"> سواء أن نازع </w:t>
      </w:r>
      <w:r w:rsidRPr="00EC737F">
        <w:rPr>
          <w:rFonts w:cs="Traditional Arabic" w:hint="cs"/>
          <w:sz w:val="28"/>
          <w:szCs w:val="32"/>
          <w:rtl/>
        </w:rPr>
        <w:lastRenderedPageBreak/>
        <w:t>الملكية هو الدائن المرتهن أو أي دائن آخر ولو كان دائناً عادياً</w:t>
      </w:r>
      <w:r>
        <w:rPr>
          <w:rFonts w:cs="Traditional Arabic" w:hint="cs"/>
          <w:sz w:val="28"/>
          <w:szCs w:val="32"/>
          <w:rtl/>
        </w:rPr>
        <w:t xml:space="preserve"> .</w:t>
      </w:r>
      <w:r w:rsidRPr="00EC737F">
        <w:rPr>
          <w:rFonts w:cs="Traditional Arabic" w:hint="cs"/>
          <w:sz w:val="28"/>
          <w:szCs w:val="32"/>
          <w:rtl/>
        </w:rPr>
        <w:t xml:space="preserve"> أما قبل إلحاق الثمار بالعقار</w:t>
      </w:r>
      <w:r>
        <w:rPr>
          <w:rFonts w:cs="Traditional Arabic" w:hint="cs"/>
          <w:sz w:val="28"/>
          <w:szCs w:val="32"/>
          <w:rtl/>
        </w:rPr>
        <w:t xml:space="preserve"> ،</w:t>
      </w:r>
      <w:r w:rsidRPr="00EC737F">
        <w:rPr>
          <w:rFonts w:cs="Traditional Arabic" w:hint="cs"/>
          <w:sz w:val="28"/>
          <w:szCs w:val="32"/>
          <w:rtl/>
        </w:rPr>
        <w:t xml:space="preserve"> فالثمار من حق صاحب العقار المرهون وله قبضها</w:t>
      </w:r>
      <w:r>
        <w:rPr>
          <w:rFonts w:cs="Traditional Arabic" w:hint="cs"/>
          <w:sz w:val="28"/>
          <w:szCs w:val="32"/>
          <w:rtl/>
        </w:rPr>
        <w:t xml:space="preserve"> ،</w:t>
      </w:r>
      <w:r w:rsidRPr="00EC737F">
        <w:rPr>
          <w:rFonts w:cs="Traditional Arabic" w:hint="cs"/>
          <w:sz w:val="28"/>
          <w:szCs w:val="32"/>
          <w:rtl/>
        </w:rPr>
        <w:t xml:space="preserve"> وقد نصت المادة 1044 مدني في هذا الصدد على أن "للراهن الحق في إدارة العقار المرهون</w:t>
      </w:r>
      <w:r>
        <w:rPr>
          <w:rFonts w:cs="Traditional Arabic" w:hint="cs"/>
          <w:sz w:val="28"/>
          <w:szCs w:val="32"/>
          <w:rtl/>
        </w:rPr>
        <w:t xml:space="preserve"> ،</w:t>
      </w:r>
      <w:r w:rsidRPr="00EC737F">
        <w:rPr>
          <w:rFonts w:cs="Traditional Arabic" w:hint="cs"/>
          <w:sz w:val="28"/>
          <w:szCs w:val="32"/>
          <w:rtl/>
        </w:rPr>
        <w:t xml:space="preserve"> وفي قبض ثماره إلى وقت التحاقها بالعقار"</w:t>
      </w:r>
      <w:r>
        <w:rPr>
          <w:rFonts w:cs="Traditional Arabic" w:hint="cs"/>
          <w:sz w:val="28"/>
          <w:szCs w:val="32"/>
          <w:rtl/>
        </w:rPr>
        <w:t xml:space="preserve"> .</w:t>
      </w:r>
      <w:r w:rsidRPr="00EC737F">
        <w:rPr>
          <w:rFonts w:cs="Traditional Arabic" w:hint="cs"/>
          <w:sz w:val="28"/>
          <w:szCs w:val="32"/>
          <w:rtl/>
        </w:rPr>
        <w:t xml:space="preserve"> وهذا هو الذي يميز الرهن الرسمي</w:t>
      </w:r>
      <w:r>
        <w:rPr>
          <w:rFonts w:cs="Traditional Arabic" w:hint="cs"/>
          <w:sz w:val="28"/>
          <w:szCs w:val="32"/>
          <w:rtl/>
        </w:rPr>
        <w:t xml:space="preserve"> ،</w:t>
      </w:r>
      <w:r w:rsidRPr="00EC737F">
        <w:rPr>
          <w:rFonts w:cs="Traditional Arabic" w:hint="cs"/>
          <w:sz w:val="28"/>
          <w:szCs w:val="32"/>
          <w:rtl/>
        </w:rPr>
        <w:t xml:space="preserve"> فالراهن لعقاره رهناً رسمياً  لا يحرم نفسه من ثمار عقاره</w:t>
      </w:r>
      <w:r>
        <w:rPr>
          <w:rFonts w:cs="Traditional Arabic" w:hint="cs"/>
          <w:sz w:val="28"/>
          <w:szCs w:val="32"/>
          <w:rtl/>
        </w:rPr>
        <w:t xml:space="preserve"> ،</w:t>
      </w:r>
      <w:r w:rsidRPr="00EC737F">
        <w:rPr>
          <w:rFonts w:cs="Traditional Arabic" w:hint="cs"/>
          <w:sz w:val="28"/>
          <w:szCs w:val="32"/>
          <w:rtl/>
        </w:rPr>
        <w:t xml:space="preserve"> فهي ملكه وله أن يقبضها إلى أن تلحق بالعقار"</w:t>
      </w:r>
      <w:r>
        <w:rPr>
          <w:rFonts w:cs="Traditional Arabic" w:hint="cs"/>
          <w:sz w:val="28"/>
          <w:szCs w:val="32"/>
          <w:vertAlign w:val="superscript"/>
          <w:rtl/>
        </w:rPr>
        <w:t xml:space="preserve">( </w:t>
      </w:r>
      <w:r w:rsidRPr="00EC737F">
        <w:rPr>
          <w:rStyle w:val="ab"/>
          <w:rFonts w:cs="Traditional Arabic"/>
          <w:sz w:val="28"/>
          <w:szCs w:val="32"/>
          <w:rtl/>
        </w:rPr>
        <w:footnoteReference w:id="796"/>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يبقى إذن أن نحدد بالضبط متى تلتحق الثمار بالعقار</w:t>
      </w:r>
      <w:r>
        <w:rPr>
          <w:rFonts w:cs="Traditional Arabic" w:hint="cs"/>
          <w:sz w:val="28"/>
          <w:szCs w:val="32"/>
          <w:rtl/>
        </w:rPr>
        <w:t xml:space="preserve"> ،</w:t>
      </w:r>
      <w:r w:rsidRPr="00EC737F">
        <w:rPr>
          <w:rFonts w:cs="Traditional Arabic" w:hint="cs"/>
          <w:sz w:val="28"/>
          <w:szCs w:val="32"/>
          <w:rtl/>
        </w:rPr>
        <w:t xml:space="preserve"> فيتقدم فيها الدائن المرتهن بحسب مرتبته كما يتقدم في استيفاء دينه من ثمار العقار نفسه</w:t>
      </w:r>
      <w:r>
        <w:rPr>
          <w:rFonts w:cs="Traditional Arabic" w:hint="cs"/>
          <w:sz w:val="28"/>
          <w:szCs w:val="32"/>
          <w:rtl/>
        </w:rPr>
        <w:t xml:space="preserve"> .</w:t>
      </w:r>
      <w:r w:rsidRPr="00EC737F">
        <w:rPr>
          <w:rFonts w:cs="Traditional Arabic" w:hint="cs"/>
          <w:sz w:val="28"/>
          <w:szCs w:val="32"/>
          <w:rtl/>
        </w:rPr>
        <w:t xml:space="preserve"> تقول المادة 1037 مدني</w:t>
      </w:r>
      <w:r>
        <w:rPr>
          <w:rFonts w:cs="Traditional Arabic" w:hint="cs"/>
          <w:sz w:val="28"/>
          <w:szCs w:val="32"/>
          <w:rtl/>
        </w:rPr>
        <w:t xml:space="preserve"> ،</w:t>
      </w:r>
      <w:r w:rsidRPr="00EC737F">
        <w:rPr>
          <w:rFonts w:cs="Traditional Arabic" w:hint="cs"/>
          <w:sz w:val="28"/>
          <w:szCs w:val="32"/>
          <w:rtl/>
        </w:rPr>
        <w:t xml:space="preserve"> كما رأينا</w:t>
      </w:r>
      <w:r>
        <w:rPr>
          <w:rFonts w:cs="Traditional Arabic" w:hint="cs"/>
          <w:sz w:val="28"/>
          <w:szCs w:val="32"/>
          <w:rtl/>
        </w:rPr>
        <w:t xml:space="preserve"> ،</w:t>
      </w:r>
      <w:r w:rsidRPr="00EC737F">
        <w:rPr>
          <w:rFonts w:cs="Traditional Arabic" w:hint="cs"/>
          <w:sz w:val="28"/>
          <w:szCs w:val="32"/>
          <w:rtl/>
        </w:rPr>
        <w:t xml:space="preserve"> أنه "يترتب على تسجيل تنبيه نزع الملكية أن يلحق بالعقار</w:t>
      </w:r>
      <w:r>
        <w:rPr>
          <w:rFonts w:cs="Traditional Arabic" w:hint="cs"/>
          <w:sz w:val="28"/>
          <w:szCs w:val="32"/>
          <w:rtl/>
        </w:rPr>
        <w:t xml:space="preserve"> ،</w:t>
      </w:r>
      <w:r w:rsidRPr="00EC737F">
        <w:rPr>
          <w:rFonts w:cs="Traditional Arabic" w:hint="cs"/>
          <w:sz w:val="28"/>
          <w:szCs w:val="32"/>
          <w:rtl/>
        </w:rPr>
        <w:t xml:space="preserve"> ما يغله من ثمار وإيراد عن المدة التي أعقبت التسجيل"</w:t>
      </w:r>
      <w:r>
        <w:rPr>
          <w:rFonts w:cs="Traditional Arabic" w:hint="cs"/>
          <w:sz w:val="28"/>
          <w:szCs w:val="32"/>
          <w:rtl/>
        </w:rPr>
        <w:t xml:space="preserve"> .</w:t>
      </w:r>
      <w:r w:rsidRPr="00EC737F">
        <w:rPr>
          <w:rFonts w:cs="Traditional Arabic" w:hint="cs"/>
          <w:sz w:val="28"/>
          <w:szCs w:val="32"/>
          <w:rtl/>
        </w:rPr>
        <w:t xml:space="preserve"> فتلحق الثمار بالعقار المرهون من وقت تسجيل تنبيه نزع الملكية</w:t>
      </w:r>
      <w:r>
        <w:rPr>
          <w:rFonts w:cs="Traditional Arabic" w:hint="cs"/>
          <w:sz w:val="28"/>
          <w:szCs w:val="32"/>
          <w:rtl/>
        </w:rPr>
        <w:t xml:space="preserve"> ،</w:t>
      </w:r>
      <w:r w:rsidRPr="00EC737F">
        <w:rPr>
          <w:rFonts w:cs="Traditional Arabic" w:hint="cs"/>
          <w:sz w:val="28"/>
          <w:szCs w:val="32"/>
          <w:rtl/>
        </w:rPr>
        <w:t xml:space="preserve"> وهذا لم إذا كان العقار المرهون لا يزال في ملك الراهن</w:t>
      </w:r>
      <w:r>
        <w:rPr>
          <w:rFonts w:cs="Traditional Arabic" w:hint="cs"/>
          <w:sz w:val="28"/>
          <w:szCs w:val="32"/>
          <w:rtl/>
        </w:rPr>
        <w:t xml:space="preserve"> .</w:t>
      </w:r>
      <w:r w:rsidRPr="00EC737F">
        <w:rPr>
          <w:rFonts w:cs="Traditional Arabic" w:hint="cs"/>
          <w:sz w:val="28"/>
          <w:szCs w:val="32"/>
          <w:rtl/>
        </w:rPr>
        <w:t xml:space="preserve"> أما إذا انتقل العقار المرهون إلى ملك حائز للعقار</w:t>
      </w:r>
      <w:r>
        <w:rPr>
          <w:rFonts w:cs="Traditional Arabic" w:hint="cs"/>
          <w:sz w:val="28"/>
          <w:szCs w:val="32"/>
          <w:rtl/>
        </w:rPr>
        <w:t xml:space="preserve"> ،</w:t>
      </w:r>
      <w:r w:rsidRPr="00EC737F">
        <w:rPr>
          <w:rFonts w:cs="Traditional Arabic" w:hint="cs"/>
          <w:sz w:val="28"/>
          <w:szCs w:val="32"/>
          <w:rtl/>
        </w:rPr>
        <w:t xml:space="preserve"> فقد نصت المادة 1079 مدني على أنه "على الحائز أن يرد ثمار العقار من وقت إنذاره بالدفع أو التخلية</w:t>
      </w:r>
      <w:r>
        <w:rPr>
          <w:rFonts w:cs="Traditional Arabic" w:hint="cs"/>
          <w:sz w:val="28"/>
          <w:szCs w:val="32"/>
          <w:rtl/>
        </w:rPr>
        <w:t xml:space="preserve"> ،</w:t>
      </w:r>
      <w:r w:rsidRPr="00EC737F">
        <w:rPr>
          <w:rFonts w:cs="Traditional Arabic" w:hint="cs"/>
          <w:sz w:val="28"/>
          <w:szCs w:val="32"/>
          <w:rtl/>
        </w:rPr>
        <w:t xml:space="preserve"> فإذا تركت الإجراءات مدة ثلاث سنوات فلا يرد الثمار إلا من وقت أن يوجه إليه إنذار جديد"ز</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كانت الثمار مدنية</w:t>
      </w:r>
      <w:r>
        <w:rPr>
          <w:rFonts w:cs="Traditional Arabic" w:hint="cs"/>
          <w:sz w:val="28"/>
          <w:szCs w:val="32"/>
          <w:rtl/>
        </w:rPr>
        <w:t xml:space="preserve"> ،</w:t>
      </w:r>
      <w:r w:rsidRPr="00EC737F">
        <w:rPr>
          <w:rFonts w:cs="Traditional Arabic" w:hint="cs"/>
          <w:sz w:val="28"/>
          <w:szCs w:val="32"/>
          <w:rtl/>
        </w:rPr>
        <w:t xml:space="preserve"> وهي ما يسميها المشرع بالإيرادات</w:t>
      </w:r>
      <w:r>
        <w:rPr>
          <w:rFonts w:cs="Traditional Arabic" w:hint="cs"/>
          <w:sz w:val="28"/>
          <w:szCs w:val="32"/>
          <w:rtl/>
        </w:rPr>
        <w:t xml:space="preserve"> ،</w:t>
      </w:r>
      <w:r w:rsidRPr="00EC737F">
        <w:rPr>
          <w:rFonts w:cs="Traditional Arabic" w:hint="cs"/>
          <w:sz w:val="28"/>
          <w:szCs w:val="32"/>
          <w:rtl/>
        </w:rPr>
        <w:t xml:space="preserve"> فما يستحق منها عن المدة اللاحقة لتسجيل التنبيه أو الإنذار بالدفع أو التخلية إلى وقت $364 رسو مزاد العقار المرهون يلحق بالعقار</w:t>
      </w:r>
      <w:r>
        <w:rPr>
          <w:rFonts w:cs="Traditional Arabic" w:hint="cs"/>
          <w:sz w:val="28"/>
          <w:szCs w:val="32"/>
          <w:rtl/>
        </w:rPr>
        <w:t xml:space="preserve"> ،</w:t>
      </w:r>
      <w:r w:rsidRPr="00EC737F">
        <w:rPr>
          <w:rFonts w:cs="Traditional Arabic" w:hint="cs"/>
          <w:sz w:val="28"/>
          <w:szCs w:val="32"/>
          <w:rtl/>
        </w:rPr>
        <w:t xml:space="preserve"> ويوزع على الدائنين المرتهنين بحسب مراتبهم كما يوزع ثمن العقار المرهون نفسه</w:t>
      </w:r>
      <w:r>
        <w:rPr>
          <w:rFonts w:cs="Traditional Arabic" w:hint="cs"/>
          <w:sz w:val="28"/>
          <w:szCs w:val="32"/>
          <w:rtl/>
        </w:rPr>
        <w:t xml:space="preserve"> .</w:t>
      </w:r>
      <w:r w:rsidRPr="00EC737F">
        <w:rPr>
          <w:rFonts w:cs="Traditional Arabic" w:hint="cs"/>
          <w:sz w:val="28"/>
          <w:szCs w:val="32"/>
          <w:rtl/>
        </w:rPr>
        <w:t xml:space="preserve"> فإذا كان العقار المرهون منزلا وكان مؤجراً</w:t>
      </w:r>
      <w:r>
        <w:rPr>
          <w:rFonts w:cs="Traditional Arabic" w:hint="cs"/>
          <w:sz w:val="28"/>
          <w:szCs w:val="32"/>
          <w:rtl/>
        </w:rPr>
        <w:t xml:space="preserve"> ،</w:t>
      </w:r>
      <w:r w:rsidRPr="00EC737F">
        <w:rPr>
          <w:rFonts w:cs="Traditional Arabic" w:hint="cs"/>
          <w:sz w:val="28"/>
          <w:szCs w:val="32"/>
          <w:rtl/>
        </w:rPr>
        <w:t xml:space="preserve"> فإن أجرة المنزل من وقت تنبيه نزع الملكية أو من وقت الإنذار بالدفع أو التخلية إلى وقت رسو مزاد المنزل تلحق بالعقار</w:t>
      </w:r>
      <w:r>
        <w:rPr>
          <w:rFonts w:cs="Traditional Arabic" w:hint="cs"/>
          <w:sz w:val="28"/>
          <w:szCs w:val="32"/>
          <w:rtl/>
        </w:rPr>
        <w:t xml:space="preserve"> ،</w:t>
      </w:r>
      <w:r w:rsidRPr="00EC737F">
        <w:rPr>
          <w:rFonts w:cs="Traditional Arabic" w:hint="cs"/>
          <w:sz w:val="28"/>
          <w:szCs w:val="32"/>
          <w:rtl/>
        </w:rPr>
        <w:t xml:space="preserve"> وتوزع مع ثمن العقار على الدائنين المرتهنين بحسب مراتبهم</w:t>
      </w:r>
      <w:r>
        <w:rPr>
          <w:rFonts w:cs="Traditional Arabic" w:hint="cs"/>
          <w:sz w:val="28"/>
          <w:szCs w:val="32"/>
          <w:rtl/>
        </w:rPr>
        <w:t xml:space="preserve"> .</w:t>
      </w:r>
      <w:r w:rsidRPr="00EC737F">
        <w:rPr>
          <w:rFonts w:cs="Traditional Arabic" w:hint="cs"/>
          <w:sz w:val="28"/>
          <w:szCs w:val="32"/>
          <w:rtl/>
        </w:rPr>
        <w:t xml:space="preserve"> أما ما </w:t>
      </w:r>
      <w:r w:rsidRPr="00EC737F">
        <w:rPr>
          <w:rFonts w:cs="Traditional Arabic" w:hint="cs"/>
          <w:sz w:val="28"/>
          <w:szCs w:val="32"/>
          <w:rtl/>
        </w:rPr>
        <w:lastRenderedPageBreak/>
        <w:t>يستحق من الأجرة عن مدة سابقة على تسجيل التنبيه أو على الإنذار فإنه يكون من حق صاحب العقار المرهون</w:t>
      </w:r>
      <w:r>
        <w:rPr>
          <w:rFonts w:cs="Traditional Arabic" w:hint="cs"/>
          <w:sz w:val="28"/>
          <w:szCs w:val="32"/>
          <w:rtl/>
        </w:rPr>
        <w:t xml:space="preserve"> ،</w:t>
      </w:r>
      <w:r w:rsidRPr="00EC737F">
        <w:rPr>
          <w:rFonts w:cs="Traditional Arabic" w:hint="cs"/>
          <w:sz w:val="28"/>
          <w:szCs w:val="32"/>
          <w:rtl/>
        </w:rPr>
        <w:t xml:space="preserve"> ولو لم يتم الوفاء إلا بعد التسجيل أو الإنذار</w:t>
      </w:r>
      <w:r>
        <w:rPr>
          <w:rFonts w:cs="Traditional Arabic" w:hint="cs"/>
          <w:sz w:val="28"/>
          <w:szCs w:val="32"/>
          <w:vertAlign w:val="superscript"/>
          <w:rtl/>
        </w:rPr>
        <w:t xml:space="preserve">( </w:t>
      </w:r>
      <w:r w:rsidRPr="00EC737F">
        <w:rPr>
          <w:rStyle w:val="ab"/>
          <w:rFonts w:cs="Traditional Arabic"/>
          <w:sz w:val="28"/>
          <w:szCs w:val="32"/>
          <w:rtl/>
        </w:rPr>
        <w:footnoteReference w:id="79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أما إذا كانت الثمار طبيعية أو مستحدثة</w:t>
      </w:r>
      <w:r>
        <w:rPr>
          <w:rFonts w:cs="Traditional Arabic" w:hint="cs"/>
          <w:sz w:val="28"/>
          <w:szCs w:val="32"/>
          <w:rtl/>
        </w:rPr>
        <w:t xml:space="preserve"> ،</w:t>
      </w:r>
      <w:r w:rsidRPr="00EC737F">
        <w:rPr>
          <w:rFonts w:cs="Traditional Arabic" w:hint="cs"/>
          <w:sz w:val="28"/>
          <w:szCs w:val="32"/>
          <w:rtl/>
        </w:rPr>
        <w:t xml:space="preserve"> فهناك رأي يذهب إلى أن العبرة فيها بتاريخ الجني</w:t>
      </w:r>
      <w:r>
        <w:rPr>
          <w:rFonts w:cs="Traditional Arabic" w:hint="cs"/>
          <w:sz w:val="28"/>
          <w:szCs w:val="32"/>
          <w:rtl/>
        </w:rPr>
        <w:t xml:space="preserve"> ،</w:t>
      </w:r>
      <w:r w:rsidRPr="00EC737F">
        <w:rPr>
          <w:rFonts w:cs="Traditional Arabic" w:hint="cs"/>
          <w:sz w:val="28"/>
          <w:szCs w:val="32"/>
          <w:rtl/>
        </w:rPr>
        <w:t xml:space="preserve"> فإذا كان التاريخ بعد التسجيل أو الإنذار ألحقت كلها بالعقار</w:t>
      </w:r>
      <w:r>
        <w:rPr>
          <w:rFonts w:cs="Traditional Arabic" w:hint="cs"/>
          <w:sz w:val="28"/>
          <w:szCs w:val="32"/>
          <w:rtl/>
        </w:rPr>
        <w:t xml:space="preserve"> ،</w:t>
      </w:r>
      <w:r w:rsidRPr="00EC737F">
        <w:rPr>
          <w:rFonts w:cs="Traditional Arabic" w:hint="cs"/>
          <w:sz w:val="28"/>
          <w:szCs w:val="32"/>
          <w:rtl/>
        </w:rPr>
        <w:t xml:space="preserve"> ولا يعقد بالمدة التي بقيت فيها هذه الثمار بالأرض قبل التسجيل أو الإنذار ما دامت قد جنيت بعد ذلك</w:t>
      </w:r>
      <w:r>
        <w:rPr>
          <w:rFonts w:cs="Traditional Arabic" w:hint="cs"/>
          <w:sz w:val="28"/>
          <w:szCs w:val="32"/>
          <w:rtl/>
        </w:rPr>
        <w:t xml:space="preserve"> .</w:t>
      </w:r>
      <w:r w:rsidRPr="00EC737F">
        <w:rPr>
          <w:rFonts w:cs="Traditional Arabic" w:hint="cs"/>
          <w:sz w:val="28"/>
          <w:szCs w:val="32"/>
          <w:rtl/>
        </w:rPr>
        <w:t xml:space="preserve"> فلو أن الثمار هي محصولات الأرض</w:t>
      </w:r>
      <w:r>
        <w:rPr>
          <w:rFonts w:cs="Traditional Arabic" w:hint="cs"/>
          <w:sz w:val="28"/>
          <w:szCs w:val="32"/>
          <w:rtl/>
        </w:rPr>
        <w:t xml:space="preserve"> ،</w:t>
      </w:r>
      <w:r w:rsidRPr="00EC737F">
        <w:rPr>
          <w:rFonts w:cs="Traditional Arabic" w:hint="cs"/>
          <w:sz w:val="28"/>
          <w:szCs w:val="32"/>
          <w:rtl/>
        </w:rPr>
        <w:t xml:space="preserve"> وبقيت هذه المحصولات في الأرض تسعة أشهر منها ستة أشهر قبل التسجيل أو الإنذار وثلاثة أشهر بعد ذلك</w:t>
      </w:r>
      <w:r>
        <w:rPr>
          <w:rFonts w:cs="Traditional Arabic" w:hint="cs"/>
          <w:sz w:val="28"/>
          <w:szCs w:val="32"/>
          <w:rtl/>
        </w:rPr>
        <w:t xml:space="preserve"> ،</w:t>
      </w:r>
      <w:r w:rsidRPr="00EC737F">
        <w:rPr>
          <w:rFonts w:cs="Traditional Arabic" w:hint="cs"/>
          <w:sz w:val="28"/>
          <w:szCs w:val="32"/>
          <w:rtl/>
        </w:rPr>
        <w:t xml:space="preserve"> فما دامت قد جنيت بعد التسجيل أو الإنذار فإنها تعتبر كلها ملحقة بالعقار المرهون ويوزع ثمنها على الدائنين المرتهنين كما يوزع ثمن العقار نفسه</w:t>
      </w:r>
      <w:r>
        <w:rPr>
          <w:rFonts w:cs="Traditional Arabic" w:hint="cs"/>
          <w:sz w:val="28"/>
          <w:szCs w:val="32"/>
          <w:rtl/>
        </w:rPr>
        <w:t xml:space="preserve"> ،</w:t>
      </w:r>
      <w:r w:rsidRPr="00EC737F">
        <w:rPr>
          <w:rFonts w:cs="Traditional Arabic" w:hint="cs"/>
          <w:sz w:val="28"/>
          <w:szCs w:val="32"/>
          <w:rtl/>
        </w:rPr>
        <w:t xml:space="preserve"> ولو أن هذه المحصولات بقيت في الأرض ثلثي المدة قبل التسجيل أو الإنذار وثلث المدة فقط بعد ذلك</w:t>
      </w:r>
      <w:r>
        <w:rPr>
          <w:rFonts w:cs="Traditional Arabic" w:hint="cs"/>
          <w:sz w:val="28"/>
          <w:szCs w:val="32"/>
          <w:vertAlign w:val="superscript"/>
          <w:rtl/>
        </w:rPr>
        <w:t xml:space="preserve">( </w:t>
      </w:r>
      <w:r w:rsidRPr="00EC737F">
        <w:rPr>
          <w:rStyle w:val="ab"/>
          <w:rFonts w:cs="Traditional Arabic"/>
          <w:sz w:val="28"/>
          <w:szCs w:val="32"/>
          <w:rtl/>
        </w:rPr>
        <w:footnoteReference w:id="798"/>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ويستند هذا الرأي إلى أن الثمار الطبيعية أو المستحدثة لا تعتبر مقبوضة إلا من وقت فصلها</w:t>
      </w:r>
      <w:r>
        <w:rPr>
          <w:rFonts w:cs="Traditional Arabic" w:hint="cs"/>
          <w:sz w:val="28"/>
          <w:szCs w:val="32"/>
          <w:rtl/>
        </w:rPr>
        <w:t xml:space="preserve"> ،</w:t>
      </w:r>
      <w:r w:rsidRPr="00EC737F">
        <w:rPr>
          <w:rFonts w:cs="Traditional Arabic" w:hint="cs"/>
          <w:sz w:val="28"/>
          <w:szCs w:val="32"/>
          <w:rtl/>
        </w:rPr>
        <w:t xml:space="preserve"> بخلاف المثار المدنية فإنها تعتبر مقبوضة يوماً فيوماً </w:t>
      </w:r>
      <w:r>
        <w:rPr>
          <w:rFonts w:cs="Traditional Arabic" w:hint="cs"/>
          <w:sz w:val="28"/>
          <w:szCs w:val="32"/>
          <w:rtl/>
        </w:rPr>
        <w:t xml:space="preserve">( </w:t>
      </w:r>
      <w:r w:rsidRPr="00EC737F">
        <w:rPr>
          <w:rFonts w:cs="Traditional Arabic" w:hint="cs"/>
          <w:sz w:val="28"/>
          <w:szCs w:val="32"/>
          <w:rtl/>
        </w:rPr>
        <w:t>م 978/2 مدني</w:t>
      </w:r>
      <w:r>
        <w:rPr>
          <w:rFonts w:cs="Traditional Arabic" w:hint="cs"/>
          <w:sz w:val="28"/>
          <w:szCs w:val="32"/>
          <w:rtl/>
        </w:rPr>
        <w:t xml:space="preserve"> )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ولكن الرأي السائد</w:t>
      </w:r>
      <w:r>
        <w:rPr>
          <w:rFonts w:cs="Traditional Arabic" w:hint="cs"/>
          <w:sz w:val="28"/>
          <w:szCs w:val="32"/>
          <w:rtl/>
        </w:rPr>
        <w:t xml:space="preserve"> ،</w:t>
      </w:r>
      <w:r w:rsidRPr="00EC737F">
        <w:rPr>
          <w:rFonts w:cs="Traditional Arabic" w:hint="cs"/>
          <w:sz w:val="28"/>
          <w:szCs w:val="32"/>
          <w:rtl/>
        </w:rPr>
        <w:t xml:space="preserve"> وهو الرأي الذي نأخذ به</w:t>
      </w:r>
      <w:r>
        <w:rPr>
          <w:rFonts w:cs="Traditional Arabic" w:hint="cs"/>
          <w:sz w:val="28"/>
          <w:szCs w:val="32"/>
          <w:rtl/>
        </w:rPr>
        <w:t xml:space="preserve"> ،</w:t>
      </w:r>
      <w:r w:rsidRPr="00EC737F">
        <w:rPr>
          <w:rFonts w:cs="Traditional Arabic" w:hint="cs"/>
          <w:sz w:val="28"/>
          <w:szCs w:val="32"/>
          <w:rtl/>
        </w:rPr>
        <w:t xml:space="preserve"> يذهب إلى أن الثمار الطبيعية أو المستحدثة هي كالثمار المدنية</w:t>
      </w:r>
      <w:r>
        <w:rPr>
          <w:rFonts w:cs="Traditional Arabic" w:hint="cs"/>
          <w:sz w:val="28"/>
          <w:szCs w:val="32"/>
          <w:rtl/>
        </w:rPr>
        <w:t xml:space="preserve"> ،</w:t>
      </w:r>
      <w:r w:rsidRPr="00EC737F">
        <w:rPr>
          <w:rFonts w:cs="Traditional Arabic" w:hint="cs"/>
          <w:sz w:val="28"/>
          <w:szCs w:val="32"/>
          <w:rtl/>
        </w:rPr>
        <w:t xml:space="preserve"> فلا تلحق بالعقار إلا بنسبة المدة التي أعقبت التسجيل أو الإنذار على كل المدة التي بقيت فيها هذه الثمار بالأرض</w:t>
      </w:r>
      <w:r>
        <w:rPr>
          <w:rFonts w:cs="Traditional Arabic" w:hint="cs"/>
          <w:sz w:val="28"/>
          <w:szCs w:val="32"/>
          <w:rtl/>
        </w:rPr>
        <w:t xml:space="preserve"> .</w:t>
      </w:r>
      <w:r w:rsidRPr="00EC737F">
        <w:rPr>
          <w:rFonts w:cs="Traditional Arabic" w:hint="cs"/>
          <w:sz w:val="28"/>
          <w:szCs w:val="32"/>
          <w:rtl/>
        </w:rPr>
        <w:t xml:space="preserve"> ففي المثل السابق</w:t>
      </w:r>
      <w:r>
        <w:rPr>
          <w:rFonts w:cs="Traditional Arabic" w:hint="cs"/>
          <w:sz w:val="28"/>
          <w:szCs w:val="32"/>
          <w:rtl/>
        </w:rPr>
        <w:t xml:space="preserve"> ،</w:t>
      </w:r>
      <w:r w:rsidRPr="00EC737F">
        <w:rPr>
          <w:rFonts w:cs="Traditional Arabic" w:hint="cs"/>
          <w:sz w:val="28"/>
          <w:szCs w:val="32"/>
          <w:rtl/>
        </w:rPr>
        <w:t xml:space="preserve"> لا يلتحق بالعقار المرهون إلا ثلث المحصول</w:t>
      </w:r>
      <w:r>
        <w:rPr>
          <w:rFonts w:cs="Traditional Arabic" w:hint="cs"/>
          <w:sz w:val="28"/>
          <w:szCs w:val="32"/>
          <w:rtl/>
        </w:rPr>
        <w:t xml:space="preserve"> ،</w:t>
      </w:r>
      <w:r w:rsidRPr="00EC737F">
        <w:rPr>
          <w:rFonts w:cs="Traditional Arabic" w:hint="cs"/>
          <w:sz w:val="28"/>
          <w:szCs w:val="32"/>
          <w:rtl/>
        </w:rPr>
        <w:t xml:space="preserve"> $365 أما الثلثان فيكونان من نصيب الراهن</w:t>
      </w:r>
      <w:r>
        <w:rPr>
          <w:rFonts w:cs="Traditional Arabic" w:hint="cs"/>
          <w:sz w:val="28"/>
          <w:szCs w:val="32"/>
          <w:rtl/>
        </w:rPr>
        <w:t xml:space="preserve"> .</w:t>
      </w:r>
      <w:r w:rsidRPr="00EC737F">
        <w:rPr>
          <w:rFonts w:cs="Traditional Arabic" w:hint="cs"/>
          <w:sz w:val="28"/>
          <w:szCs w:val="32"/>
          <w:rtl/>
        </w:rPr>
        <w:t xml:space="preserve"> ونستند في هذا الرأي إلى أنه لا مبرر للتفرقة بين الثمار المدنية والثمار الطبيعية أو المستحدثة في هذا الصدد</w:t>
      </w:r>
      <w:r>
        <w:rPr>
          <w:rFonts w:cs="Traditional Arabic" w:hint="cs"/>
          <w:sz w:val="28"/>
          <w:szCs w:val="32"/>
          <w:rtl/>
        </w:rPr>
        <w:t xml:space="preserve"> ،</w:t>
      </w:r>
      <w:r w:rsidRPr="00EC737F">
        <w:rPr>
          <w:rFonts w:cs="Traditional Arabic" w:hint="cs"/>
          <w:sz w:val="28"/>
          <w:szCs w:val="32"/>
          <w:rtl/>
        </w:rPr>
        <w:t xml:space="preserve"> والى أنه ما دامت هذه الثمار الطبيعية أو المستحدثة بقيت في الأرض مدة قبل التسجيل أو  الإنذار فإن ما يقابل هذه المدة منها يكون من حق الراهن</w:t>
      </w:r>
      <w:r>
        <w:rPr>
          <w:rFonts w:cs="Traditional Arabic" w:hint="cs"/>
          <w:sz w:val="28"/>
          <w:szCs w:val="32"/>
          <w:rtl/>
        </w:rPr>
        <w:t xml:space="preserve"> .</w:t>
      </w:r>
      <w:r w:rsidRPr="00EC737F">
        <w:rPr>
          <w:rFonts w:cs="Traditional Arabic" w:hint="cs"/>
          <w:sz w:val="28"/>
          <w:szCs w:val="32"/>
          <w:rtl/>
        </w:rPr>
        <w:t xml:space="preserve"> وهذا ما تنص عليه المادة 1037 مدنين فهي تقول</w:t>
      </w:r>
      <w:r>
        <w:rPr>
          <w:rFonts w:cs="Traditional Arabic" w:hint="cs"/>
          <w:sz w:val="28"/>
          <w:szCs w:val="32"/>
          <w:rtl/>
        </w:rPr>
        <w:t xml:space="preserve"> :</w:t>
      </w:r>
      <w:r w:rsidRPr="00EC737F">
        <w:rPr>
          <w:rFonts w:cs="Traditional Arabic" w:hint="cs"/>
          <w:sz w:val="28"/>
          <w:szCs w:val="32"/>
          <w:rtl/>
        </w:rPr>
        <w:t xml:space="preserve"> "يترتب على تسجيل تنبيه نع الملكية أن يلحق بالعقار ما يغله من ثمار وإيراد عن المدة التي أعقبت التسجيل </w:t>
      </w:r>
      <w:r>
        <w:rPr>
          <w:rFonts w:cs="Traditional Arabic" w:hint="cs"/>
          <w:sz w:val="28"/>
          <w:szCs w:val="32"/>
          <w:rtl/>
        </w:rPr>
        <w:t xml:space="preserve"> . . .</w:t>
      </w:r>
      <w:r w:rsidRPr="00EC737F">
        <w:rPr>
          <w:rFonts w:cs="Traditional Arabic" w:hint="cs"/>
          <w:sz w:val="28"/>
          <w:szCs w:val="32"/>
          <w:rtl/>
        </w:rPr>
        <w:t>"</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79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lastRenderedPageBreak/>
        <w:t xml:space="preserve">161- رهن المباني القائمة على ارض الغير رهنا رسميا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1038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يجوز لمالك المباني القائمة على ارض الغير أن يرهنا</w:t>
      </w:r>
      <w:r>
        <w:rPr>
          <w:rFonts w:cs="Traditional Arabic" w:hint="cs"/>
          <w:sz w:val="28"/>
          <w:szCs w:val="32"/>
          <w:rtl/>
        </w:rPr>
        <w:t xml:space="preserve"> ،</w:t>
      </w:r>
      <w:r w:rsidRPr="00EC737F">
        <w:rPr>
          <w:rFonts w:cs="Traditional Arabic" w:hint="cs"/>
          <w:sz w:val="28"/>
          <w:szCs w:val="32"/>
          <w:rtl/>
        </w:rPr>
        <w:t xml:space="preserve"> وفي هذه الحالة يكون للدائن المرتهن حق التقدم في استيفاء الدين من ثمن الأنقاض إذا هدمت المباني</w:t>
      </w:r>
      <w:r>
        <w:rPr>
          <w:rFonts w:cs="Traditional Arabic" w:hint="cs"/>
          <w:sz w:val="28"/>
          <w:szCs w:val="32"/>
          <w:rtl/>
        </w:rPr>
        <w:t xml:space="preserve"> ،</w:t>
      </w:r>
      <w:r w:rsidRPr="00EC737F">
        <w:rPr>
          <w:rFonts w:cs="Traditional Arabic" w:hint="cs"/>
          <w:sz w:val="28"/>
          <w:szCs w:val="32"/>
          <w:rtl/>
        </w:rPr>
        <w:t xml:space="preserve"> ومن التعويض الذي يدفعه مالك الأرض إذا استبقى المباني وفقاً لأحكام الخاصة بالالتصاق"</w:t>
      </w:r>
      <w:r>
        <w:rPr>
          <w:rFonts w:cs="Traditional Arabic" w:hint="cs"/>
          <w:sz w:val="28"/>
          <w:szCs w:val="32"/>
          <w:vertAlign w:val="superscript"/>
          <w:rtl/>
        </w:rPr>
        <w:t xml:space="preserve">( </w:t>
      </w:r>
      <w:r w:rsidRPr="00EC737F">
        <w:rPr>
          <w:rStyle w:val="ab"/>
          <w:rFonts w:cs="Traditional Arabic"/>
          <w:sz w:val="28"/>
          <w:szCs w:val="32"/>
          <w:rtl/>
        </w:rPr>
        <w:footnoteReference w:id="800"/>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$366 ويخذ من هذا النص أنه يجوز لشخص غير مالك الأرض أن يقيم على الأرض مباني يتملكها</w:t>
      </w:r>
      <w:r>
        <w:rPr>
          <w:rFonts w:cs="Traditional Arabic" w:hint="cs"/>
          <w:sz w:val="28"/>
          <w:szCs w:val="32"/>
          <w:rtl/>
        </w:rPr>
        <w:t xml:space="preserve"> ،</w:t>
      </w:r>
      <w:r w:rsidRPr="00EC737F">
        <w:rPr>
          <w:rFonts w:cs="Traditional Arabic" w:hint="cs"/>
          <w:sz w:val="28"/>
          <w:szCs w:val="32"/>
          <w:rtl/>
        </w:rPr>
        <w:t xml:space="preserve"> فتكون الأرض مملوكة لشخص والمباني مملوكة لشخص آخر</w:t>
      </w:r>
      <w:r>
        <w:rPr>
          <w:rFonts w:cs="Traditional Arabic" w:hint="cs"/>
          <w:sz w:val="28"/>
          <w:szCs w:val="32"/>
          <w:rtl/>
        </w:rPr>
        <w:t xml:space="preserve"> .</w:t>
      </w:r>
      <w:r w:rsidRPr="00EC737F">
        <w:rPr>
          <w:rFonts w:cs="Traditional Arabic" w:hint="cs"/>
          <w:sz w:val="28"/>
          <w:szCs w:val="32"/>
          <w:rtl/>
        </w:rPr>
        <w:t xml:space="preserve"> نفرض مثلا أن مستأجراً للأرض أو صحاب حق انتفاع أو مجرد حائز حصل من صاحب الأرض على الحق في إقامة منشآت في الأرض على أن تبقى هذه المنشآت ملكه</w:t>
      </w:r>
      <w:r>
        <w:rPr>
          <w:rFonts w:cs="Traditional Arabic" w:hint="cs"/>
          <w:sz w:val="28"/>
          <w:szCs w:val="32"/>
          <w:rtl/>
        </w:rPr>
        <w:t xml:space="preserve"> ،</w:t>
      </w:r>
      <w:r w:rsidRPr="00EC737F">
        <w:rPr>
          <w:rFonts w:cs="Traditional Arabic" w:hint="cs"/>
          <w:sz w:val="28"/>
          <w:szCs w:val="32"/>
          <w:rtl/>
        </w:rPr>
        <w:t xml:space="preserve"> فإذا انقضت المدة المتفق عليها كان لمالك الأرض أن يستبقي المباني التي يتملكها بموجب حق الالتصاق ويعطي لصاحب المباني التعويض المتفق عليه أو التعويض الذي يحدده القانون طبقاً لقواعد الالتصاق</w:t>
      </w:r>
      <w:r>
        <w:rPr>
          <w:rFonts w:cs="Traditional Arabic" w:hint="cs"/>
          <w:sz w:val="28"/>
          <w:szCs w:val="32"/>
          <w:rtl/>
        </w:rPr>
        <w:t xml:space="preserve"> ،</w:t>
      </w:r>
      <w:r w:rsidRPr="00EC737F">
        <w:rPr>
          <w:rFonts w:cs="Traditional Arabic" w:hint="cs"/>
          <w:sz w:val="28"/>
          <w:szCs w:val="32"/>
          <w:rtl/>
        </w:rPr>
        <w:t xml:space="preserve"> أو أن يطلب من صاحب المباني هدمها وأخذ أنقاضها أو بيع هذه الأنقاض</w:t>
      </w:r>
      <w:r>
        <w:rPr>
          <w:rFonts w:cs="Traditional Arabic" w:hint="cs"/>
          <w:sz w:val="28"/>
          <w:szCs w:val="32"/>
          <w:rtl/>
        </w:rPr>
        <w:t xml:space="preserve"> .</w:t>
      </w:r>
      <w:r w:rsidRPr="00EC737F">
        <w:rPr>
          <w:rFonts w:cs="Traditional Arabic" w:hint="cs"/>
          <w:sz w:val="28"/>
          <w:szCs w:val="32"/>
          <w:rtl/>
        </w:rPr>
        <w:t xml:space="preserve"> وقد نصت المادة 922 مدني على هذا الحكم</w:t>
      </w:r>
      <w:r>
        <w:rPr>
          <w:rFonts w:cs="Traditional Arabic" w:hint="cs"/>
          <w:sz w:val="28"/>
          <w:szCs w:val="32"/>
          <w:rtl/>
        </w:rPr>
        <w:t xml:space="preserve"> ،</w:t>
      </w:r>
      <w:r w:rsidRPr="00EC737F">
        <w:rPr>
          <w:rFonts w:cs="Traditional Arabic" w:hint="cs"/>
          <w:sz w:val="28"/>
          <w:szCs w:val="32"/>
          <w:rtl/>
        </w:rPr>
        <w:t xml:space="preserve"> فهي تقول</w:t>
      </w:r>
      <w:r>
        <w:rPr>
          <w:rFonts w:cs="Traditional Arabic" w:hint="cs"/>
          <w:sz w:val="28"/>
          <w:szCs w:val="32"/>
          <w:rtl/>
        </w:rPr>
        <w:t xml:space="preserve"> :</w:t>
      </w:r>
      <w:r w:rsidRPr="00EC737F">
        <w:rPr>
          <w:rFonts w:cs="Traditional Arabic" w:hint="cs"/>
          <w:sz w:val="28"/>
          <w:szCs w:val="32"/>
          <w:rtl/>
        </w:rPr>
        <w:t xml:space="preserve"> "1- كل ما على الأرض أو تحتها من بناء أو منشآت أخرى يعتبر من عمل صاحب الأرض</w:t>
      </w:r>
      <w:r>
        <w:rPr>
          <w:rFonts w:cs="Traditional Arabic" w:hint="cs"/>
          <w:sz w:val="28"/>
          <w:szCs w:val="32"/>
          <w:rtl/>
        </w:rPr>
        <w:t xml:space="preserve"> ،</w:t>
      </w:r>
      <w:r w:rsidRPr="00EC737F">
        <w:rPr>
          <w:rFonts w:cs="Traditional Arabic" w:hint="cs"/>
          <w:sz w:val="28"/>
          <w:szCs w:val="32"/>
          <w:rtl/>
        </w:rPr>
        <w:t xml:space="preserve"> أقامه على نفقته</w:t>
      </w:r>
      <w:r>
        <w:rPr>
          <w:rFonts w:cs="Traditional Arabic" w:hint="cs"/>
          <w:sz w:val="28"/>
          <w:szCs w:val="32"/>
          <w:rtl/>
        </w:rPr>
        <w:t xml:space="preserve"> ،</w:t>
      </w:r>
      <w:r w:rsidRPr="00EC737F">
        <w:rPr>
          <w:rFonts w:cs="Traditional Arabic" w:hint="cs"/>
          <w:sz w:val="28"/>
          <w:szCs w:val="32"/>
          <w:rtl/>
        </w:rPr>
        <w:t xml:space="preserve"> ويكون مملوكاً له</w:t>
      </w:r>
      <w:r>
        <w:rPr>
          <w:rFonts w:cs="Traditional Arabic" w:hint="cs"/>
          <w:sz w:val="28"/>
          <w:szCs w:val="32"/>
          <w:rtl/>
        </w:rPr>
        <w:t xml:space="preserve"> .</w:t>
      </w:r>
      <w:r w:rsidRPr="00EC737F">
        <w:rPr>
          <w:rFonts w:cs="Traditional Arabic" w:hint="cs"/>
          <w:sz w:val="28"/>
          <w:szCs w:val="32"/>
          <w:rtl/>
        </w:rPr>
        <w:t xml:space="preserve"> 2- ويجوز مع ذلك أن يقام الدليل على أن أجنبياً قد أقام هذه المنشآت على نفقته</w:t>
      </w:r>
      <w:r>
        <w:rPr>
          <w:rFonts w:cs="Traditional Arabic" w:hint="cs"/>
          <w:sz w:val="28"/>
          <w:szCs w:val="32"/>
          <w:rtl/>
        </w:rPr>
        <w:t xml:space="preserve"> ،</w:t>
      </w:r>
      <w:r w:rsidRPr="00EC737F">
        <w:rPr>
          <w:rFonts w:cs="Traditional Arabic" w:hint="cs"/>
          <w:sz w:val="28"/>
          <w:szCs w:val="32"/>
          <w:rtl/>
        </w:rPr>
        <w:t xml:space="preserve"> كما يجوز أن يقام </w:t>
      </w:r>
      <w:r w:rsidRPr="00EC737F">
        <w:rPr>
          <w:rFonts w:cs="Traditional Arabic" w:hint="cs"/>
          <w:sz w:val="28"/>
          <w:szCs w:val="32"/>
          <w:rtl/>
        </w:rPr>
        <w:lastRenderedPageBreak/>
        <w:t>الدليل على أن مالك الأرض قد خول أجنبياً ملكية منشآت كانت قائمة  من قبل</w:t>
      </w:r>
      <w:r>
        <w:rPr>
          <w:rFonts w:cs="Traditional Arabic" w:hint="cs"/>
          <w:sz w:val="28"/>
          <w:szCs w:val="32"/>
          <w:rtl/>
        </w:rPr>
        <w:t xml:space="preserve"> ،</w:t>
      </w:r>
      <w:r w:rsidRPr="00EC737F">
        <w:rPr>
          <w:rFonts w:cs="Traditional Arabic" w:hint="cs"/>
          <w:sz w:val="28"/>
          <w:szCs w:val="32"/>
          <w:rtl/>
        </w:rPr>
        <w:t xml:space="preserve"> أو خوله الحق في إقامة هذه المنشآت وتملكها"</w:t>
      </w:r>
      <w:r>
        <w:rPr>
          <w:rFonts w:cs="Traditional Arabic" w:hint="cs"/>
          <w:sz w:val="28"/>
          <w:szCs w:val="32"/>
          <w:rtl/>
        </w:rPr>
        <w:t xml:space="preserve"> .</w:t>
      </w:r>
      <w:r w:rsidRPr="00EC737F">
        <w:rPr>
          <w:rFonts w:cs="Traditional Arabic" w:hint="cs"/>
          <w:sz w:val="28"/>
          <w:szCs w:val="32"/>
          <w:rtl/>
        </w:rPr>
        <w:t xml:space="preserve"> فيجز إذن أن يكون لأجنبي على ارض الغير مبان ومنشآت</w:t>
      </w:r>
      <w:r>
        <w:rPr>
          <w:rFonts w:cs="Traditional Arabic" w:hint="cs"/>
          <w:sz w:val="28"/>
          <w:szCs w:val="32"/>
          <w:rtl/>
        </w:rPr>
        <w:t xml:space="preserve"> ،</w:t>
      </w:r>
      <w:r w:rsidRPr="00EC737F">
        <w:rPr>
          <w:rFonts w:cs="Traditional Arabic" w:hint="cs"/>
          <w:sz w:val="28"/>
          <w:szCs w:val="32"/>
          <w:rtl/>
        </w:rPr>
        <w:t xml:space="preserve"> يملكها تحت شرط فاسخ</w:t>
      </w:r>
      <w:r>
        <w:rPr>
          <w:rFonts w:cs="Traditional Arabic" w:hint="cs"/>
          <w:sz w:val="28"/>
          <w:szCs w:val="32"/>
          <w:rtl/>
        </w:rPr>
        <w:t xml:space="preserve"> .</w:t>
      </w:r>
      <w:r w:rsidRPr="00EC737F">
        <w:rPr>
          <w:rFonts w:cs="Traditional Arabic" w:hint="cs"/>
          <w:sz w:val="28"/>
          <w:szCs w:val="32"/>
          <w:rtl/>
        </w:rPr>
        <w:t xml:space="preserve"> فإذا انقضى الميعاد المتفق عليه ووجب خروج الأجنبي من الأرض</w:t>
      </w:r>
      <w:r>
        <w:rPr>
          <w:rFonts w:cs="Traditional Arabic" w:hint="cs"/>
          <w:sz w:val="28"/>
          <w:szCs w:val="32"/>
          <w:rtl/>
        </w:rPr>
        <w:t xml:space="preserve"> ،</w:t>
      </w:r>
      <w:r w:rsidRPr="00EC737F">
        <w:rPr>
          <w:rFonts w:cs="Traditional Arabic" w:hint="cs"/>
          <w:sz w:val="28"/>
          <w:szCs w:val="32"/>
          <w:rtl/>
        </w:rPr>
        <w:t xml:space="preserve"> كان لمالك الأرض الحق في تملك المباني بالالتصاق على أن يدفع لصاحب المباني التعويض المتفق عليه أو التعويض الذي حدده القانون في حالة التملك بالالتصاق</w:t>
      </w:r>
      <w:r>
        <w:rPr>
          <w:rFonts w:cs="Traditional Arabic" w:hint="cs"/>
          <w:sz w:val="28"/>
          <w:szCs w:val="32"/>
          <w:rtl/>
        </w:rPr>
        <w:t xml:space="preserve"> ،</w:t>
      </w:r>
      <w:r w:rsidRPr="00EC737F">
        <w:rPr>
          <w:rFonts w:cs="Traditional Arabic" w:hint="cs"/>
          <w:sz w:val="28"/>
          <w:szCs w:val="32"/>
          <w:rtl/>
        </w:rPr>
        <w:t xml:space="preserve"> أو الحق في أن يطلب من صاحب المباني هدمها وأخذ الأنقاض أو بيعها</w:t>
      </w:r>
      <w:r>
        <w:rPr>
          <w:rFonts w:cs="Traditional Arabic" w:hint="cs"/>
          <w:sz w:val="28"/>
          <w:szCs w:val="32"/>
          <w:rtl/>
        </w:rPr>
        <w:t xml:space="preserve"> .</w:t>
      </w:r>
      <w:r w:rsidRPr="00EC737F">
        <w:rPr>
          <w:rFonts w:cs="Traditional Arabic" w:hint="cs"/>
          <w:sz w:val="28"/>
          <w:szCs w:val="32"/>
          <w:rtl/>
        </w:rPr>
        <w:t xml:space="preserve"> وفي هذه الحالة يكون المستأجر أو صاحب حق الانتفاع أو الحائز مالكاً للمباني</w:t>
      </w:r>
      <w:r>
        <w:rPr>
          <w:rFonts w:cs="Traditional Arabic" w:hint="cs"/>
          <w:sz w:val="28"/>
          <w:szCs w:val="32"/>
          <w:rtl/>
        </w:rPr>
        <w:t xml:space="preserve"> ،</w:t>
      </w:r>
      <w:r w:rsidRPr="00EC737F">
        <w:rPr>
          <w:rFonts w:cs="Traditional Arabic" w:hint="cs"/>
          <w:sz w:val="28"/>
          <w:szCs w:val="32"/>
          <w:rtl/>
        </w:rPr>
        <w:t xml:space="preserve"> إلى أن يستعمل صاحب الأرض حق حيازة</w:t>
      </w:r>
      <w:r>
        <w:rPr>
          <w:rFonts w:cs="Traditional Arabic" w:hint="cs"/>
          <w:sz w:val="28"/>
          <w:szCs w:val="32"/>
          <w:rtl/>
        </w:rPr>
        <w:t xml:space="preserve"> .</w:t>
      </w:r>
      <w:r w:rsidRPr="00EC737F">
        <w:rPr>
          <w:rFonts w:cs="Traditional Arabic" w:hint="cs"/>
          <w:sz w:val="28"/>
          <w:szCs w:val="32"/>
          <w:rtl/>
        </w:rPr>
        <w:t xml:space="preserve"> فالمباني إذن تكون عقاراً مملوكاً لشخص غي رمالك الأرض</w:t>
      </w:r>
      <w:r>
        <w:rPr>
          <w:rFonts w:cs="Traditional Arabic" w:hint="cs"/>
          <w:sz w:val="28"/>
          <w:szCs w:val="32"/>
          <w:rtl/>
        </w:rPr>
        <w:t xml:space="preserve"> ،</w:t>
      </w:r>
      <w:r w:rsidRPr="00EC737F">
        <w:rPr>
          <w:rFonts w:cs="Traditional Arabic" w:hint="cs"/>
          <w:sz w:val="28"/>
          <w:szCs w:val="32"/>
          <w:rtl/>
        </w:rPr>
        <w:t xml:space="preserve"> وعلى ذلك يجوز لصاحب المباني أن يتصرف فيها كعقار</w:t>
      </w:r>
      <w:r>
        <w:rPr>
          <w:rFonts w:cs="Traditional Arabic" w:hint="cs"/>
          <w:sz w:val="28"/>
          <w:szCs w:val="32"/>
          <w:rtl/>
        </w:rPr>
        <w:t xml:space="preserve"> ،</w:t>
      </w:r>
      <w:r w:rsidRPr="00EC737F">
        <w:rPr>
          <w:rFonts w:cs="Traditional Arabic" w:hint="cs"/>
          <w:sz w:val="28"/>
          <w:szCs w:val="32"/>
          <w:rtl/>
        </w:rPr>
        <w:t xml:space="preserve"> وأن يرهنا رهناً رسمياً</w:t>
      </w:r>
      <w:r>
        <w:rPr>
          <w:rFonts w:cs="Traditional Arabic" w:hint="cs"/>
          <w:sz w:val="28"/>
          <w:szCs w:val="32"/>
          <w:rtl/>
        </w:rPr>
        <w:t xml:space="preserve"> .</w:t>
      </w:r>
      <w:r w:rsidRPr="00EC737F">
        <w:rPr>
          <w:rFonts w:cs="Traditional Arabic" w:hint="cs"/>
          <w:sz w:val="28"/>
          <w:szCs w:val="32"/>
          <w:rtl/>
        </w:rPr>
        <w:t xml:space="preserve"> وفي هذا تقول العبارة الأولى من المادة 1038 مدني سالفة الذكر</w:t>
      </w:r>
      <w:r>
        <w:rPr>
          <w:rFonts w:cs="Traditional Arabic" w:hint="cs"/>
          <w:sz w:val="28"/>
          <w:szCs w:val="32"/>
          <w:rtl/>
        </w:rPr>
        <w:t xml:space="preserve"> :</w:t>
      </w:r>
      <w:r w:rsidRPr="00EC737F">
        <w:rPr>
          <w:rFonts w:cs="Traditional Arabic" w:hint="cs"/>
          <w:sz w:val="28"/>
          <w:szCs w:val="32"/>
          <w:rtl/>
        </w:rPr>
        <w:t xml:space="preserve"> $367 "يجوز لمالك المباني القائمة على أرض الغير أن يرهنها </w:t>
      </w:r>
      <w:r>
        <w:rPr>
          <w:rFonts w:cs="Traditional Arabic" w:hint="cs"/>
          <w:sz w:val="28"/>
          <w:szCs w:val="32"/>
          <w:rtl/>
        </w:rPr>
        <w:t xml:space="preserve"> . . .</w:t>
      </w:r>
      <w:r w:rsidRPr="00EC737F">
        <w:rPr>
          <w:rFonts w:cs="Traditional Arabic" w:hint="cs"/>
          <w:sz w:val="28"/>
          <w:szCs w:val="32"/>
          <w:rtl/>
        </w:rPr>
        <w:t>"</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80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فإذا رهن المباني صحابها رهناً رسمياً</w:t>
      </w:r>
      <w:r>
        <w:rPr>
          <w:rFonts w:cs="Traditional Arabic" w:hint="cs"/>
          <w:sz w:val="28"/>
          <w:szCs w:val="32"/>
          <w:rtl/>
        </w:rPr>
        <w:t xml:space="preserve"> ،</w:t>
      </w:r>
      <w:r w:rsidRPr="00EC737F">
        <w:rPr>
          <w:rFonts w:cs="Traditional Arabic" w:hint="cs"/>
          <w:sz w:val="28"/>
          <w:szCs w:val="32"/>
          <w:rtl/>
        </w:rPr>
        <w:t xml:space="preserve"> وحل الدين المضمون بالرهن قبل أن يستعمل صاحب الأرض خياره</w:t>
      </w:r>
      <w:r>
        <w:rPr>
          <w:rFonts w:cs="Traditional Arabic" w:hint="cs"/>
          <w:sz w:val="28"/>
          <w:szCs w:val="32"/>
          <w:rtl/>
        </w:rPr>
        <w:t xml:space="preserve"> ،</w:t>
      </w:r>
      <w:r w:rsidRPr="00EC737F">
        <w:rPr>
          <w:rFonts w:cs="Traditional Arabic" w:hint="cs"/>
          <w:sz w:val="28"/>
          <w:szCs w:val="32"/>
          <w:rtl/>
        </w:rPr>
        <w:t xml:space="preserve"> كان لصاحب المباني أن يفي بالدين</w:t>
      </w:r>
      <w:r>
        <w:rPr>
          <w:rFonts w:cs="Traditional Arabic" w:hint="cs"/>
          <w:sz w:val="28"/>
          <w:szCs w:val="32"/>
          <w:rtl/>
        </w:rPr>
        <w:t xml:space="preserve"> ،</w:t>
      </w:r>
      <w:r w:rsidRPr="00EC737F">
        <w:rPr>
          <w:rFonts w:cs="Traditional Arabic" w:hint="cs"/>
          <w:sz w:val="28"/>
          <w:szCs w:val="32"/>
          <w:rtl/>
        </w:rPr>
        <w:t xml:space="preserve"> وإلا نزع الدائن المرتهن ملكيته المباني المرهونة لاستيفاء دينه من ثمنها</w:t>
      </w:r>
      <w:r>
        <w:rPr>
          <w:rFonts w:cs="Traditional Arabic" w:hint="cs"/>
          <w:sz w:val="28"/>
          <w:szCs w:val="32"/>
          <w:vertAlign w:val="superscript"/>
          <w:rtl/>
        </w:rPr>
        <w:t xml:space="preserve">( </w:t>
      </w:r>
      <w:r w:rsidRPr="00EC737F">
        <w:rPr>
          <w:rStyle w:val="ab"/>
          <w:rFonts w:cs="Traditional Arabic"/>
          <w:sz w:val="28"/>
          <w:szCs w:val="32"/>
          <w:rtl/>
        </w:rPr>
        <w:footnoteReference w:id="80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وقد يبيع صاحب المباني مبانيه وهي مرهونة</w:t>
      </w:r>
      <w:r>
        <w:rPr>
          <w:rFonts w:cs="Traditional Arabic" w:hint="cs"/>
          <w:sz w:val="28"/>
          <w:szCs w:val="32"/>
          <w:rtl/>
        </w:rPr>
        <w:t xml:space="preserve"> ،</w:t>
      </w:r>
      <w:r w:rsidRPr="00EC737F">
        <w:rPr>
          <w:rFonts w:cs="Traditional Arabic" w:hint="cs"/>
          <w:sz w:val="28"/>
          <w:szCs w:val="32"/>
          <w:rtl/>
        </w:rPr>
        <w:t xml:space="preserve"> فيجوز للدائن المرتهن أن يتتبع المباني وهي في يد الحائز</w:t>
      </w:r>
      <w:r>
        <w:rPr>
          <w:rFonts w:cs="Traditional Arabic" w:hint="cs"/>
          <w:sz w:val="28"/>
          <w:szCs w:val="32"/>
          <w:rtl/>
        </w:rPr>
        <w:t xml:space="preserve"> ،</w:t>
      </w:r>
      <w:r w:rsidRPr="00EC737F">
        <w:rPr>
          <w:rFonts w:cs="Traditional Arabic" w:hint="cs"/>
          <w:sz w:val="28"/>
          <w:szCs w:val="32"/>
          <w:rtl/>
        </w:rPr>
        <w:t xml:space="preserve"> وينفذ عليها بدينه كما يفعل أي دائن مرتهن بالنسبة إلى العقار المرهون إذا باعه صاحبه إلى جائز</w:t>
      </w:r>
      <w:r>
        <w:rPr>
          <w:rFonts w:cs="Traditional Arabic" w:hint="cs"/>
          <w:sz w:val="28"/>
          <w:szCs w:val="32"/>
          <w:vertAlign w:val="superscript"/>
          <w:rtl/>
        </w:rPr>
        <w:t xml:space="preserve">( </w:t>
      </w:r>
      <w:r w:rsidRPr="00EC737F">
        <w:rPr>
          <w:rStyle w:val="ab"/>
          <w:rFonts w:cs="Traditional Arabic"/>
          <w:sz w:val="28"/>
          <w:szCs w:val="32"/>
          <w:rtl/>
        </w:rPr>
        <w:footnoteReference w:id="803"/>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lastRenderedPageBreak/>
        <w:t>أما إذا استعمل صاحب الأرض حق خياره قبل حاول أجل الدين المضمون بالرهن</w:t>
      </w:r>
      <w:r>
        <w:rPr>
          <w:rFonts w:cs="Traditional Arabic" w:hint="cs"/>
          <w:sz w:val="28"/>
          <w:szCs w:val="32"/>
          <w:rtl/>
        </w:rPr>
        <w:t xml:space="preserve"> ،</w:t>
      </w:r>
      <w:r w:rsidRPr="00EC737F">
        <w:rPr>
          <w:rFonts w:cs="Traditional Arabic" w:hint="cs"/>
          <w:sz w:val="28"/>
          <w:szCs w:val="32"/>
          <w:rtl/>
        </w:rPr>
        <w:t xml:space="preserve"> فإن استبقى المباني وجب عليه دفع التعويض المتفق عليه أو الذي حدده القانون وفقاً للأحكام الخاصة بالالتصاق </w:t>
      </w:r>
      <w:r>
        <w:rPr>
          <w:rFonts w:cs="Traditional Arabic" w:hint="cs"/>
          <w:sz w:val="28"/>
          <w:szCs w:val="32"/>
          <w:rtl/>
        </w:rPr>
        <w:t xml:space="preserve">( </w:t>
      </w:r>
      <w:r w:rsidRPr="00EC737F">
        <w:rPr>
          <w:rFonts w:cs="Traditional Arabic" w:hint="cs"/>
          <w:sz w:val="28"/>
          <w:szCs w:val="32"/>
          <w:rtl/>
        </w:rPr>
        <w:t xml:space="preserve">م 925 </w:t>
      </w:r>
      <w:r w:rsidRPr="00EC737F">
        <w:rPr>
          <w:rFonts w:cs="Traditional Arabic"/>
          <w:sz w:val="28"/>
          <w:szCs w:val="32"/>
          <w:rtl/>
        </w:rPr>
        <w:t>–</w:t>
      </w:r>
      <w:r w:rsidRPr="00EC737F">
        <w:rPr>
          <w:rFonts w:cs="Traditional Arabic" w:hint="cs"/>
          <w:sz w:val="28"/>
          <w:szCs w:val="32"/>
          <w:rtl/>
        </w:rPr>
        <w:t xml:space="preserve"> 926 مدني و م 592 للمستأجر</w:t>
      </w:r>
      <w:r>
        <w:rPr>
          <w:rFonts w:cs="Traditional Arabic" w:hint="cs"/>
          <w:sz w:val="28"/>
          <w:szCs w:val="32"/>
          <w:rtl/>
        </w:rPr>
        <w:t xml:space="preserve"> ) .</w:t>
      </w:r>
      <w:r w:rsidRPr="00EC737F">
        <w:rPr>
          <w:rFonts w:cs="Traditional Arabic" w:hint="cs"/>
          <w:sz w:val="28"/>
          <w:szCs w:val="32"/>
          <w:rtl/>
        </w:rPr>
        <w:t xml:space="preserve"> وفي هذه الحالة يكون للدائن المرتهن على هذا التعويض حق التقدم</w:t>
      </w:r>
      <w:r>
        <w:rPr>
          <w:rFonts w:cs="Traditional Arabic" w:hint="cs"/>
          <w:sz w:val="28"/>
          <w:szCs w:val="32"/>
          <w:rtl/>
        </w:rPr>
        <w:t xml:space="preserve"> ،</w:t>
      </w:r>
      <w:r w:rsidRPr="00EC737F">
        <w:rPr>
          <w:rFonts w:cs="Traditional Arabic" w:hint="cs"/>
          <w:sz w:val="28"/>
          <w:szCs w:val="32"/>
          <w:rtl/>
        </w:rPr>
        <w:t xml:space="preserve"> بما له من حق الرهن على المباني ولحلول تعويض كل المباني حلولا عينياً</w:t>
      </w:r>
      <w:r>
        <w:rPr>
          <w:rFonts w:cs="Traditional Arabic" w:hint="cs"/>
          <w:sz w:val="28"/>
          <w:szCs w:val="32"/>
          <w:rtl/>
        </w:rPr>
        <w:t xml:space="preserve"> .</w:t>
      </w:r>
      <w:r w:rsidRPr="00EC737F">
        <w:rPr>
          <w:rFonts w:cs="Traditional Arabic" w:hint="cs"/>
          <w:sz w:val="28"/>
          <w:szCs w:val="32"/>
          <w:rtl/>
        </w:rPr>
        <w:t xml:space="preserve"> أما إذا طلب صاحب الأرض إزالة المباني</w:t>
      </w:r>
      <w:r>
        <w:rPr>
          <w:rFonts w:cs="Traditional Arabic" w:hint="cs"/>
          <w:sz w:val="28"/>
          <w:szCs w:val="32"/>
          <w:rtl/>
        </w:rPr>
        <w:t xml:space="preserve"> ،</w:t>
      </w:r>
      <w:r w:rsidRPr="00EC737F">
        <w:rPr>
          <w:rFonts w:cs="Traditional Arabic" w:hint="cs"/>
          <w:sz w:val="28"/>
          <w:szCs w:val="32"/>
          <w:rtl/>
        </w:rPr>
        <w:t xml:space="preserve"> فأزالها من بناها وباع الأنقاض</w:t>
      </w:r>
      <w:r>
        <w:rPr>
          <w:rFonts w:cs="Traditional Arabic" w:hint="cs"/>
          <w:sz w:val="28"/>
          <w:szCs w:val="32"/>
          <w:rtl/>
        </w:rPr>
        <w:t xml:space="preserve"> ،</w:t>
      </w:r>
      <w:r w:rsidRPr="00EC737F">
        <w:rPr>
          <w:rFonts w:cs="Traditional Arabic" w:hint="cs"/>
          <w:sz w:val="28"/>
          <w:szCs w:val="32"/>
          <w:rtl/>
        </w:rPr>
        <w:t xml:space="preserve"> فإن الدائن المرتهن يكون له حق $368 التقدم على ثمن الأنقاض إذ حلت محل المباني حلولا عينياً</w:t>
      </w:r>
      <w:r>
        <w:rPr>
          <w:rFonts w:cs="Traditional Arabic" w:hint="cs"/>
          <w:sz w:val="28"/>
          <w:szCs w:val="32"/>
          <w:rtl/>
        </w:rPr>
        <w:t xml:space="preserve"> ،</w:t>
      </w:r>
      <w:r w:rsidRPr="00EC737F">
        <w:rPr>
          <w:rFonts w:cs="Traditional Arabic" w:hint="cs"/>
          <w:sz w:val="28"/>
          <w:szCs w:val="32"/>
          <w:rtl/>
        </w:rPr>
        <w:t xml:space="preserve"> فكان للدائن المرتهن حق التقدم في ثمنها</w:t>
      </w:r>
      <w:r>
        <w:rPr>
          <w:rFonts w:cs="Traditional Arabic" w:hint="cs"/>
          <w:sz w:val="28"/>
          <w:szCs w:val="32"/>
          <w:vertAlign w:val="superscript"/>
          <w:rtl/>
        </w:rPr>
        <w:t xml:space="preserve">( </w:t>
      </w:r>
      <w:r w:rsidRPr="00EC737F">
        <w:rPr>
          <w:rStyle w:val="ab"/>
          <w:rFonts w:cs="Traditional Arabic"/>
          <w:sz w:val="28"/>
          <w:szCs w:val="32"/>
          <w:rtl/>
        </w:rPr>
        <w:footnoteReference w:id="80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وليس فيما قدمناه إلا تطبيق للقواعد العامة في رهن صاحب العقار عقاره وفي التملك بموجب حق الالتصاق</w:t>
      </w:r>
      <w:r>
        <w:rPr>
          <w:rFonts w:cs="Traditional Arabic" w:hint="cs"/>
          <w:sz w:val="28"/>
          <w:szCs w:val="32"/>
          <w:rtl/>
        </w:rPr>
        <w:t xml:space="preserve"> ،</w:t>
      </w:r>
      <w:r w:rsidRPr="00EC737F">
        <w:rPr>
          <w:rFonts w:cs="Traditional Arabic" w:hint="cs"/>
          <w:sz w:val="28"/>
          <w:szCs w:val="32"/>
          <w:rtl/>
        </w:rPr>
        <w:t xml:space="preserve"> وعلى ذلك يجوز لصاحب المباني رهنها على الوجه الذي قدمناه</w:t>
      </w:r>
      <w:r>
        <w:rPr>
          <w:rFonts w:cs="Traditional Arabic" w:hint="cs"/>
          <w:sz w:val="28"/>
          <w:szCs w:val="32"/>
          <w:rtl/>
        </w:rPr>
        <w:t xml:space="preserve"> ،</w:t>
      </w:r>
      <w:r w:rsidRPr="00EC737F">
        <w:rPr>
          <w:rFonts w:cs="Traditional Arabic" w:hint="cs"/>
          <w:sz w:val="28"/>
          <w:szCs w:val="32"/>
          <w:rtl/>
        </w:rPr>
        <w:t xml:space="preserve"> ومتى عينها تعييناً دقيقاً كان هذا تخصيصاً للرهن من ناحية العقار المرهون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وقد نصت المذكرة الإيضاحية للمشروع التمهيدي على الأحكام التي تقدم ذكرها</w:t>
      </w:r>
      <w:r>
        <w:rPr>
          <w:rFonts w:cs="Traditional Arabic" w:hint="cs"/>
          <w:sz w:val="28"/>
          <w:szCs w:val="32"/>
          <w:rtl/>
        </w:rPr>
        <w:t xml:space="preserve"> ،</w:t>
      </w:r>
      <w:r w:rsidRPr="00EC737F">
        <w:rPr>
          <w:rFonts w:cs="Traditional Arabic" w:hint="cs"/>
          <w:sz w:val="28"/>
          <w:szCs w:val="32"/>
          <w:rtl/>
        </w:rPr>
        <w:t xml:space="preserve"> فهي تقول</w:t>
      </w:r>
      <w:r>
        <w:rPr>
          <w:rFonts w:cs="Traditional Arabic" w:hint="cs"/>
          <w:sz w:val="28"/>
          <w:szCs w:val="32"/>
          <w:rtl/>
        </w:rPr>
        <w:t xml:space="preserve"> :</w:t>
      </w:r>
      <w:r w:rsidRPr="00EC737F">
        <w:rPr>
          <w:rFonts w:cs="Traditional Arabic" w:hint="cs"/>
          <w:sz w:val="28"/>
          <w:szCs w:val="32"/>
          <w:rtl/>
        </w:rPr>
        <w:t xml:space="preserve"> "إذا رهن المباني صاحبها يقع الرهن عليها محدداً بحقوقه</w:t>
      </w:r>
      <w:r>
        <w:rPr>
          <w:rFonts w:cs="Traditional Arabic" w:hint="cs"/>
          <w:sz w:val="28"/>
          <w:szCs w:val="32"/>
          <w:rtl/>
        </w:rPr>
        <w:t xml:space="preserve"> ،</w:t>
      </w:r>
      <w:r w:rsidRPr="00EC737F">
        <w:rPr>
          <w:rFonts w:cs="Traditional Arabic" w:hint="cs"/>
          <w:sz w:val="28"/>
          <w:szCs w:val="32"/>
          <w:rtl/>
        </w:rPr>
        <w:t xml:space="preserve"> ليبقى الرهن ما بقيت المباني قائمة ولم تنتقل ملكيتها بالالتصاق إلى صاحب الأرض</w:t>
      </w:r>
      <w:r>
        <w:rPr>
          <w:rFonts w:cs="Traditional Arabic" w:hint="cs"/>
          <w:sz w:val="28"/>
          <w:szCs w:val="32"/>
          <w:rtl/>
        </w:rPr>
        <w:t xml:space="preserve"> .</w:t>
      </w:r>
      <w:r w:rsidRPr="00EC737F">
        <w:rPr>
          <w:rFonts w:cs="Traditional Arabic" w:hint="cs"/>
          <w:sz w:val="28"/>
          <w:szCs w:val="32"/>
          <w:rtl/>
        </w:rPr>
        <w:t xml:space="preserve"> فإذا انتقلت الملكية بالالتصاق</w:t>
      </w:r>
      <w:r>
        <w:rPr>
          <w:rFonts w:cs="Traditional Arabic" w:hint="cs"/>
          <w:sz w:val="28"/>
          <w:szCs w:val="32"/>
          <w:rtl/>
        </w:rPr>
        <w:t xml:space="preserve"> ،</w:t>
      </w:r>
      <w:r w:rsidRPr="00EC737F">
        <w:rPr>
          <w:rFonts w:cs="Traditional Arabic" w:hint="cs"/>
          <w:sz w:val="28"/>
          <w:szCs w:val="32"/>
          <w:rtl/>
        </w:rPr>
        <w:t xml:space="preserve"> انتقل الرهن إلى التعويض المستحق لصاحب المباني</w:t>
      </w:r>
      <w:r>
        <w:rPr>
          <w:rFonts w:cs="Traditional Arabic" w:hint="cs"/>
          <w:sz w:val="28"/>
          <w:szCs w:val="32"/>
          <w:rtl/>
        </w:rPr>
        <w:t xml:space="preserve"> .</w:t>
      </w:r>
      <w:r w:rsidRPr="00EC737F">
        <w:rPr>
          <w:rFonts w:cs="Traditional Arabic" w:hint="cs"/>
          <w:sz w:val="28"/>
          <w:szCs w:val="32"/>
          <w:rtl/>
        </w:rPr>
        <w:t xml:space="preserve"> وإذا نزعت المباني في الحالات التي يجوز فيها ذلك</w:t>
      </w:r>
      <w:r>
        <w:rPr>
          <w:rFonts w:cs="Traditional Arabic" w:hint="cs"/>
          <w:sz w:val="28"/>
          <w:szCs w:val="32"/>
          <w:rtl/>
        </w:rPr>
        <w:t xml:space="preserve"> ،</w:t>
      </w:r>
      <w:r w:rsidRPr="00EC737F">
        <w:rPr>
          <w:rFonts w:cs="Traditional Arabic" w:hint="cs"/>
          <w:sz w:val="28"/>
          <w:szCs w:val="32"/>
          <w:rtl/>
        </w:rPr>
        <w:t xml:space="preserve"> كان للمرتهن حق على ثمن الأنقاض</w:t>
      </w:r>
      <w:r>
        <w:rPr>
          <w:rFonts w:cs="Traditional Arabic" w:hint="cs"/>
          <w:sz w:val="28"/>
          <w:szCs w:val="32"/>
          <w:rtl/>
        </w:rPr>
        <w:t xml:space="preserve"> .</w:t>
      </w:r>
      <w:r w:rsidRPr="00EC737F">
        <w:rPr>
          <w:rFonts w:cs="Traditional Arabic" w:hint="cs"/>
          <w:sz w:val="28"/>
          <w:szCs w:val="32"/>
          <w:rtl/>
        </w:rPr>
        <w:t xml:space="preserve"> وهذه حالة من حالات الحلول العيني نص عليها المشروع</w:t>
      </w:r>
      <w:r>
        <w:rPr>
          <w:rFonts w:cs="Traditional Arabic" w:hint="cs"/>
          <w:sz w:val="28"/>
          <w:szCs w:val="32"/>
          <w:vertAlign w:val="superscript"/>
          <w:rtl/>
        </w:rPr>
        <w:t xml:space="preserve">( </w:t>
      </w:r>
      <w:r w:rsidRPr="00EC737F">
        <w:rPr>
          <w:rStyle w:val="ab"/>
          <w:rFonts w:cs="Traditional Arabic"/>
          <w:sz w:val="28"/>
          <w:szCs w:val="32"/>
          <w:rtl/>
        </w:rPr>
        <w:footnoteReference w:id="805"/>
      </w:r>
      <w:r>
        <w:rPr>
          <w:rFonts w:cs="Traditional Arabic" w:hint="cs"/>
          <w:sz w:val="28"/>
          <w:szCs w:val="32"/>
          <w:vertAlign w:val="superscript"/>
          <w:rtl/>
        </w:rPr>
        <w:t xml:space="preserve"> )</w:t>
      </w:r>
      <w:r w:rsidRPr="00EC737F">
        <w:rPr>
          <w:rFonts w:cs="Traditional Arabic" w:hint="cs"/>
          <w:sz w:val="28"/>
          <w:szCs w:val="32"/>
          <w:rtl/>
        </w:rPr>
        <w:t>"</w:t>
      </w:r>
      <w:r>
        <w:rPr>
          <w:rFonts w:cs="Traditional Arabic" w:hint="cs"/>
          <w:sz w:val="28"/>
          <w:szCs w:val="32"/>
          <w:rtl/>
        </w:rPr>
        <w:t xml:space="preserve"> .</w:t>
      </w:r>
    </w:p>
    <w:p w:rsidR="00F72742" w:rsidRPr="00EC737F" w:rsidRDefault="00F72742" w:rsidP="00F72742">
      <w:pPr>
        <w:widowControl w:val="0"/>
        <w:spacing w:after="120"/>
        <w:jc w:val="center"/>
        <w:rPr>
          <w:rFonts w:cs="Traditional Arabic" w:hint="cs"/>
          <w:b/>
          <w:bCs/>
          <w:sz w:val="28"/>
          <w:szCs w:val="32"/>
          <w:rtl/>
        </w:rPr>
      </w:pPr>
      <w:r w:rsidRPr="00EC737F">
        <w:rPr>
          <w:b/>
          <w:bCs/>
          <w:sz w:val="28"/>
          <w:szCs w:val="32"/>
          <w:rtl/>
        </w:rPr>
        <w:t>§</w:t>
      </w:r>
      <w:r w:rsidRPr="00EC737F">
        <w:rPr>
          <w:rFonts w:cs="Traditional Arabic" w:hint="cs"/>
          <w:b/>
          <w:bCs/>
          <w:sz w:val="28"/>
          <w:szCs w:val="32"/>
          <w:rtl/>
        </w:rPr>
        <w:t xml:space="preserve"> 2- تخصيص الرهن من حيث الدين المضمون</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162- وجوب تحديد الدين المضمون تحديدا دقيقا</w:t>
      </w:r>
      <w:r>
        <w:rPr>
          <w:rFonts w:cs="Traditional Arabic" w:hint="cs"/>
          <w:sz w:val="28"/>
          <w:szCs w:val="32"/>
          <w:rtl/>
        </w:rPr>
        <w:t xml:space="preserve"> :</w:t>
      </w:r>
      <w:r w:rsidRPr="00EC737F">
        <w:rPr>
          <w:rFonts w:cs="Traditional Arabic" w:hint="cs"/>
          <w:sz w:val="28"/>
          <w:szCs w:val="32"/>
          <w:rtl/>
        </w:rPr>
        <w:t xml:space="preserve"> تقول المذكرة الإيضاحية للمشروع </w:t>
      </w:r>
      <w:r w:rsidRPr="00EC737F">
        <w:rPr>
          <w:rFonts w:cs="Traditional Arabic" w:hint="cs"/>
          <w:sz w:val="28"/>
          <w:szCs w:val="32"/>
          <w:rtl/>
        </w:rPr>
        <w:lastRenderedPageBreak/>
        <w:t xml:space="preserve">التمهيدي </w:t>
      </w:r>
      <w:r>
        <w:rPr>
          <w:rFonts w:cs="Traditional Arabic" w:hint="cs"/>
          <w:sz w:val="28"/>
          <w:szCs w:val="32"/>
          <w:rtl/>
        </w:rPr>
        <w:t xml:space="preserve"> :</w:t>
      </w:r>
      <w:r w:rsidRPr="00EC737F">
        <w:rPr>
          <w:rFonts w:cs="Traditional Arabic" w:hint="cs"/>
          <w:sz w:val="28"/>
          <w:szCs w:val="32"/>
          <w:rtl/>
        </w:rPr>
        <w:t xml:space="preserve"> "يجب أن يكون الدين المضمون محدداً تحديداً دقيقاً</w:t>
      </w:r>
      <w:r>
        <w:rPr>
          <w:rFonts w:cs="Traditional Arabic" w:hint="cs"/>
          <w:sz w:val="28"/>
          <w:szCs w:val="32"/>
          <w:rtl/>
        </w:rPr>
        <w:t xml:space="preserve"> ،</w:t>
      </w:r>
      <w:r w:rsidRPr="00EC737F">
        <w:rPr>
          <w:rFonts w:cs="Traditional Arabic" w:hint="cs"/>
          <w:sz w:val="28"/>
          <w:szCs w:val="32"/>
          <w:rtl/>
        </w:rPr>
        <w:t xml:space="preserve"> وهذا هو الشطر الثاني من مبدأ تخصيص الرهن"</w:t>
      </w:r>
      <w:r>
        <w:rPr>
          <w:rFonts w:cs="Traditional Arabic" w:hint="cs"/>
          <w:sz w:val="28"/>
          <w:szCs w:val="32"/>
          <w:vertAlign w:val="superscript"/>
          <w:rtl/>
        </w:rPr>
        <w:t xml:space="preserve">( </w:t>
      </w:r>
      <w:r w:rsidRPr="00EC737F">
        <w:rPr>
          <w:rStyle w:val="ab"/>
          <w:rFonts w:cs="Traditional Arabic"/>
          <w:sz w:val="28"/>
          <w:szCs w:val="32"/>
          <w:rtl/>
        </w:rPr>
        <w:footnoteReference w:id="806"/>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فلا يكفي إذن</w:t>
      </w:r>
      <w:r>
        <w:rPr>
          <w:rFonts w:cs="Traditional Arabic" w:hint="cs"/>
          <w:sz w:val="28"/>
          <w:szCs w:val="32"/>
          <w:rtl/>
        </w:rPr>
        <w:t xml:space="preserve"> ،</w:t>
      </w:r>
      <w:r w:rsidRPr="00EC737F">
        <w:rPr>
          <w:rFonts w:cs="Traditional Arabic" w:hint="cs"/>
          <w:sz w:val="28"/>
          <w:szCs w:val="32"/>
          <w:rtl/>
        </w:rPr>
        <w:t xml:space="preserve"> $369 حتى يكون الرهن الرسمي مخصصاً</w:t>
      </w:r>
      <w:r>
        <w:rPr>
          <w:rFonts w:cs="Traditional Arabic" w:hint="cs"/>
          <w:sz w:val="28"/>
          <w:szCs w:val="32"/>
          <w:rtl/>
        </w:rPr>
        <w:t xml:space="preserve"> ،</w:t>
      </w:r>
      <w:r w:rsidRPr="00EC737F">
        <w:rPr>
          <w:rFonts w:cs="Traditional Arabic" w:hint="cs"/>
          <w:sz w:val="28"/>
          <w:szCs w:val="32"/>
          <w:rtl/>
        </w:rPr>
        <w:t xml:space="preserve"> تخصيصه من ناحية العقار المرهون</w:t>
      </w:r>
      <w:r>
        <w:rPr>
          <w:rFonts w:cs="Traditional Arabic" w:hint="cs"/>
          <w:sz w:val="28"/>
          <w:szCs w:val="32"/>
          <w:rtl/>
        </w:rPr>
        <w:t xml:space="preserve"> ،</w:t>
      </w:r>
      <w:r w:rsidRPr="00EC737F">
        <w:rPr>
          <w:rFonts w:cs="Traditional Arabic" w:hint="cs"/>
          <w:sz w:val="28"/>
          <w:szCs w:val="32"/>
          <w:rtl/>
        </w:rPr>
        <w:t xml:space="preserve"> بل يجب أيضاً تخصيصه من ناحية الدين المضمون</w:t>
      </w:r>
      <w:r>
        <w:rPr>
          <w:rFonts w:cs="Traditional Arabic" w:hint="cs"/>
          <w:sz w:val="28"/>
          <w:szCs w:val="32"/>
          <w:rtl/>
        </w:rPr>
        <w:t xml:space="preserve"> .</w:t>
      </w:r>
      <w:r w:rsidRPr="00EC737F">
        <w:rPr>
          <w:rFonts w:cs="Traditional Arabic" w:hint="cs"/>
          <w:sz w:val="28"/>
          <w:szCs w:val="32"/>
          <w:rtl/>
        </w:rPr>
        <w:t xml:space="preserve"> ذلك لأن الدين المضمون هو الأصل</w:t>
      </w:r>
      <w:r>
        <w:rPr>
          <w:rFonts w:cs="Traditional Arabic" w:hint="cs"/>
          <w:sz w:val="28"/>
          <w:szCs w:val="32"/>
          <w:rtl/>
        </w:rPr>
        <w:t xml:space="preserve"> ،</w:t>
      </w:r>
      <w:r w:rsidRPr="00EC737F">
        <w:rPr>
          <w:rFonts w:cs="Traditional Arabic" w:hint="cs"/>
          <w:sz w:val="28"/>
          <w:szCs w:val="32"/>
          <w:rtl/>
        </w:rPr>
        <w:t xml:space="preserve"> والرهن ليس إلا تأميناً لهذا الدين</w:t>
      </w:r>
      <w:r>
        <w:rPr>
          <w:rFonts w:cs="Traditional Arabic" w:hint="cs"/>
          <w:sz w:val="28"/>
          <w:szCs w:val="32"/>
          <w:rtl/>
        </w:rPr>
        <w:t xml:space="preserve"> ،</w:t>
      </w:r>
      <w:r w:rsidRPr="00EC737F">
        <w:rPr>
          <w:rFonts w:cs="Traditional Arabic" w:hint="cs"/>
          <w:sz w:val="28"/>
          <w:szCs w:val="32"/>
          <w:rtl/>
        </w:rPr>
        <w:t xml:space="preserve"> فوجب إذن تحديد الأصل وهو الدين المضمون</w:t>
      </w:r>
      <w:r>
        <w:rPr>
          <w:rFonts w:cs="Traditional Arabic" w:hint="cs"/>
          <w:sz w:val="28"/>
          <w:szCs w:val="32"/>
          <w:rtl/>
        </w:rPr>
        <w:t xml:space="preserve"> ،</w:t>
      </w:r>
      <w:r w:rsidRPr="00EC737F">
        <w:rPr>
          <w:rFonts w:cs="Traditional Arabic" w:hint="cs"/>
          <w:sz w:val="28"/>
          <w:szCs w:val="32"/>
          <w:rtl/>
        </w:rPr>
        <w:t xml:space="preserve"> كما حددنا التابع وهو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807"/>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والرهن لا يتجزأ</w:t>
      </w:r>
      <w:r>
        <w:rPr>
          <w:rFonts w:cs="Traditional Arabic" w:hint="cs"/>
          <w:sz w:val="28"/>
          <w:szCs w:val="32"/>
          <w:rtl/>
        </w:rPr>
        <w:t xml:space="preserve"> ،</w:t>
      </w:r>
      <w:r w:rsidRPr="00EC737F">
        <w:rPr>
          <w:rFonts w:cs="Traditional Arabic" w:hint="cs"/>
          <w:sz w:val="28"/>
          <w:szCs w:val="32"/>
          <w:rtl/>
        </w:rPr>
        <w:t xml:space="preserve"> ومبنى عدم قابلية الرهن للتجزئة كما قدمنا</w:t>
      </w:r>
      <w:r>
        <w:rPr>
          <w:rFonts w:cs="Traditional Arabic" w:hint="cs"/>
          <w:sz w:val="28"/>
          <w:szCs w:val="32"/>
          <w:vertAlign w:val="superscript"/>
          <w:rtl/>
        </w:rPr>
        <w:t xml:space="preserve">( </w:t>
      </w:r>
      <w:r w:rsidRPr="00EC737F">
        <w:rPr>
          <w:rStyle w:val="ab"/>
          <w:rFonts w:cs="Traditional Arabic"/>
          <w:sz w:val="28"/>
          <w:szCs w:val="32"/>
          <w:rtl/>
        </w:rPr>
        <w:footnoteReference w:id="808"/>
      </w:r>
      <w:r>
        <w:rPr>
          <w:rFonts w:cs="Traditional Arabic" w:hint="cs"/>
          <w:sz w:val="28"/>
          <w:szCs w:val="32"/>
          <w:vertAlign w:val="superscript"/>
          <w:rtl/>
        </w:rPr>
        <w:t xml:space="preserve"> )</w:t>
      </w:r>
      <w:r w:rsidRPr="00EC737F">
        <w:rPr>
          <w:rFonts w:cs="Traditional Arabic" w:hint="cs"/>
          <w:sz w:val="28"/>
          <w:szCs w:val="32"/>
          <w:rtl/>
        </w:rPr>
        <w:t xml:space="preserve"> هو أن كل جزء من الدين المضمون يكون مكفولا بل الرهن</w:t>
      </w:r>
      <w:r>
        <w:rPr>
          <w:rFonts w:cs="Traditional Arabic" w:hint="cs"/>
          <w:sz w:val="28"/>
          <w:szCs w:val="32"/>
          <w:rtl/>
        </w:rPr>
        <w:t xml:space="preserve"> ،</w:t>
      </w:r>
      <w:r w:rsidRPr="00EC737F">
        <w:rPr>
          <w:rFonts w:cs="Traditional Arabic" w:hint="cs"/>
          <w:sz w:val="28"/>
          <w:szCs w:val="32"/>
          <w:rtl/>
        </w:rPr>
        <w:t xml:space="preserve"> وأن كل جزء من العقار المرهون يكفل كمل الدين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ولا ينفصل الرهن عن الدين المضمون</w:t>
      </w:r>
      <w:r>
        <w:rPr>
          <w:rFonts w:cs="Traditional Arabic" w:hint="cs"/>
          <w:sz w:val="28"/>
          <w:szCs w:val="32"/>
          <w:rtl/>
        </w:rPr>
        <w:t xml:space="preserve"> ،</w:t>
      </w:r>
      <w:r w:rsidRPr="00EC737F">
        <w:rPr>
          <w:rFonts w:cs="Traditional Arabic" w:hint="cs"/>
          <w:sz w:val="28"/>
          <w:szCs w:val="32"/>
          <w:rtl/>
        </w:rPr>
        <w:t xml:space="preserve"> بل هو تابع له في صحته وانقضائه</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وعلى ذلك نبحث المسائل الآتية </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كيفية تحديد الدين المضمون</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عدم قابلية الرهن للتجزئة</w:t>
      </w:r>
      <w:r>
        <w:rPr>
          <w:rFonts w:cs="Traditional Arabic" w:hint="cs"/>
          <w:sz w:val="28"/>
          <w:szCs w:val="32"/>
          <w:rtl/>
        </w:rPr>
        <w:t xml:space="preserve"> .</w:t>
      </w:r>
      <w:r w:rsidRPr="00EC737F">
        <w:rPr>
          <w:rFonts w:cs="Traditional Arabic" w:hint="cs"/>
          <w:sz w:val="28"/>
          <w:szCs w:val="32"/>
          <w:rtl/>
        </w:rPr>
        <w:t xml:space="preserve"> </w:t>
      </w:r>
      <w:r>
        <w:rPr>
          <w:rFonts w:cs="Traditional Arabic" w:hint="cs"/>
          <w:sz w:val="28"/>
          <w:szCs w:val="32"/>
          <w:rtl/>
        </w:rPr>
        <w:t xml:space="preserve">( </w:t>
      </w:r>
      <w:r w:rsidRPr="00EC737F">
        <w:rPr>
          <w:rFonts w:cs="Traditional Arabic" w:hint="cs"/>
          <w:sz w:val="28"/>
          <w:szCs w:val="32"/>
          <w:rtl/>
        </w:rPr>
        <w:t>3</w:t>
      </w:r>
      <w:r>
        <w:rPr>
          <w:rFonts w:cs="Traditional Arabic" w:hint="cs"/>
          <w:sz w:val="28"/>
          <w:szCs w:val="32"/>
          <w:rtl/>
        </w:rPr>
        <w:t xml:space="preserve"> )</w:t>
      </w:r>
      <w:r w:rsidRPr="00EC737F">
        <w:rPr>
          <w:rFonts w:cs="Traditional Arabic" w:hint="cs"/>
          <w:sz w:val="28"/>
          <w:szCs w:val="32"/>
          <w:rtl/>
        </w:rPr>
        <w:t xml:space="preserve"> عدم انفصال الرهن عن الدين المضمون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b/>
          <w:bCs/>
          <w:sz w:val="28"/>
          <w:szCs w:val="32"/>
          <w:rtl/>
        </w:rPr>
        <w:t xml:space="preserve">163- كيفية تحديد الدين المضمون </w:t>
      </w:r>
      <w:r w:rsidRPr="00EC737F">
        <w:rPr>
          <w:rFonts w:cs="Traditional Arabic"/>
          <w:b/>
          <w:bCs/>
          <w:sz w:val="28"/>
          <w:szCs w:val="32"/>
          <w:rtl/>
        </w:rPr>
        <w:t>–</w:t>
      </w:r>
      <w:r w:rsidRPr="00EC737F">
        <w:rPr>
          <w:rFonts w:cs="Traditional Arabic" w:hint="cs"/>
          <w:b/>
          <w:bCs/>
          <w:sz w:val="28"/>
          <w:szCs w:val="32"/>
          <w:rtl/>
        </w:rPr>
        <w:t xml:space="preserve"> نص قانوني</w:t>
      </w:r>
      <w:r>
        <w:rPr>
          <w:rFonts w:cs="Traditional Arabic" w:hint="cs"/>
          <w:sz w:val="28"/>
          <w:szCs w:val="32"/>
          <w:rtl/>
        </w:rPr>
        <w:t xml:space="preserve"> :</w:t>
      </w:r>
      <w:r w:rsidRPr="00EC737F">
        <w:rPr>
          <w:rFonts w:cs="Traditional Arabic" w:hint="cs"/>
          <w:sz w:val="28"/>
          <w:szCs w:val="32"/>
          <w:rtl/>
        </w:rPr>
        <w:t xml:space="preserve"> تنص المادة 1040 مدني على ما يأتي</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"يجوز أن يترتب الرهن ضماناً لدين معلق على شرط أو دين مستقبل أو دين احتمالي</w:t>
      </w:r>
      <w:r>
        <w:rPr>
          <w:rFonts w:cs="Traditional Arabic" w:hint="cs"/>
          <w:sz w:val="28"/>
          <w:szCs w:val="32"/>
          <w:rtl/>
        </w:rPr>
        <w:t xml:space="preserve"> ،</w:t>
      </w:r>
      <w:r w:rsidRPr="00EC737F">
        <w:rPr>
          <w:rFonts w:cs="Traditional Arabic" w:hint="cs"/>
          <w:sz w:val="28"/>
          <w:szCs w:val="32"/>
          <w:rtl/>
        </w:rPr>
        <w:t xml:space="preserve"> كما يجوز أن يترتب ضماناً لاعتماد مفتوح أو لفتح حساب جار</w:t>
      </w:r>
      <w:r>
        <w:rPr>
          <w:rFonts w:cs="Traditional Arabic" w:hint="cs"/>
          <w:sz w:val="28"/>
          <w:szCs w:val="32"/>
          <w:rtl/>
        </w:rPr>
        <w:t xml:space="preserve"> ،</w:t>
      </w:r>
      <w:r w:rsidRPr="00EC737F">
        <w:rPr>
          <w:rFonts w:cs="Traditional Arabic" w:hint="cs"/>
          <w:sz w:val="28"/>
          <w:szCs w:val="32"/>
          <w:rtl/>
        </w:rPr>
        <w:t xml:space="preserve"> على أن يتحدد في عقد الرهن مبلغ الدين </w:t>
      </w:r>
      <w:r w:rsidRPr="00EC737F">
        <w:rPr>
          <w:rFonts w:cs="Traditional Arabic" w:hint="cs"/>
          <w:sz w:val="28"/>
          <w:szCs w:val="32"/>
          <w:rtl/>
        </w:rPr>
        <w:lastRenderedPageBreak/>
        <w:t>المضمون أو الحد الأقصى الذي ينتهي إليه هذا الدين"</w:t>
      </w:r>
      <w:r>
        <w:rPr>
          <w:rFonts w:cs="Traditional Arabic" w:hint="cs"/>
          <w:sz w:val="28"/>
          <w:szCs w:val="32"/>
          <w:vertAlign w:val="superscript"/>
          <w:rtl/>
        </w:rPr>
        <w:t xml:space="preserve">( </w:t>
      </w:r>
      <w:r w:rsidRPr="00EC737F">
        <w:rPr>
          <w:rStyle w:val="ab"/>
          <w:rFonts w:cs="Traditional Arabic"/>
          <w:sz w:val="28"/>
          <w:szCs w:val="32"/>
          <w:rtl/>
        </w:rPr>
        <w:footnoteReference w:id="809"/>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$370 وهذا النص إنما يتكلم عن ديون قد يظن أنها لا تحمل قدراً كافياً من التحديد</w:t>
      </w:r>
      <w:r>
        <w:rPr>
          <w:rFonts w:cs="Traditional Arabic" w:hint="cs"/>
          <w:sz w:val="28"/>
          <w:szCs w:val="32"/>
          <w:rtl/>
        </w:rPr>
        <w:t xml:space="preserve"> ،</w:t>
      </w:r>
      <w:r w:rsidRPr="00EC737F">
        <w:rPr>
          <w:rFonts w:cs="Traditional Arabic" w:hint="cs"/>
          <w:sz w:val="28"/>
          <w:szCs w:val="32"/>
          <w:rtl/>
        </w:rPr>
        <w:t xml:space="preserve"> كالديون المستقبلة والديون الاحتمالية</w:t>
      </w:r>
      <w:r>
        <w:rPr>
          <w:rFonts w:cs="Traditional Arabic" w:hint="cs"/>
          <w:sz w:val="28"/>
          <w:szCs w:val="32"/>
          <w:rtl/>
        </w:rPr>
        <w:t xml:space="preserve"> ،</w:t>
      </w:r>
      <w:r w:rsidRPr="00EC737F">
        <w:rPr>
          <w:rFonts w:cs="Traditional Arabic" w:hint="cs"/>
          <w:sz w:val="28"/>
          <w:szCs w:val="32"/>
          <w:rtl/>
        </w:rPr>
        <w:t xml:space="preserve"> ولكنه وضع قاعدة لتحديدها بتعيين الحد الأقصى الذي ينتهي إليه الدين</w:t>
      </w:r>
      <w:r>
        <w:rPr>
          <w:rFonts w:cs="Traditional Arabic" w:hint="cs"/>
          <w:sz w:val="28"/>
          <w:szCs w:val="32"/>
          <w:rtl/>
        </w:rPr>
        <w:t xml:space="preserve"> .</w:t>
      </w:r>
      <w:r w:rsidRPr="00EC737F">
        <w:rPr>
          <w:rFonts w:cs="Traditional Arabic" w:hint="cs"/>
          <w:sz w:val="28"/>
          <w:szCs w:val="32"/>
          <w:rtl/>
        </w:rPr>
        <w:t xml:space="preserve"> ونرى من ذلك أن الدين المضمون لا بد أن يكون محدداً كافياً حتى يكون الرهن مخصصاً من ناحيته</w:t>
      </w:r>
      <w:r>
        <w:rPr>
          <w:rFonts w:cs="Traditional Arabic" w:hint="cs"/>
          <w:sz w:val="28"/>
          <w:szCs w:val="32"/>
          <w:rtl/>
        </w:rPr>
        <w:t xml:space="preserve"> ،</w:t>
      </w:r>
      <w:r w:rsidRPr="00EC737F">
        <w:rPr>
          <w:rFonts w:cs="Traditional Arabic" w:hint="cs"/>
          <w:sz w:val="28"/>
          <w:szCs w:val="32"/>
          <w:rtl/>
        </w:rPr>
        <w:t xml:space="preserve"> وإلا كان عقد الرهن باطلا لعدم التخصيص</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فلا يجوز أن يعقد رهن رسمي لضمان كل الديون التي تثبت في ذمة المدين</w:t>
      </w:r>
      <w:r>
        <w:rPr>
          <w:rFonts w:cs="Traditional Arabic" w:hint="cs"/>
          <w:sz w:val="28"/>
          <w:szCs w:val="32"/>
          <w:rtl/>
        </w:rPr>
        <w:t xml:space="preserve"> ،</w:t>
      </w:r>
      <w:r w:rsidRPr="00EC737F">
        <w:rPr>
          <w:rFonts w:cs="Traditional Arabic" w:hint="cs"/>
          <w:sz w:val="28"/>
          <w:szCs w:val="32"/>
          <w:rtl/>
        </w:rPr>
        <w:t xml:space="preserve"> سواء في أية مدة أو في مدة معينة</w:t>
      </w:r>
      <w:r>
        <w:rPr>
          <w:rFonts w:cs="Traditional Arabic" w:hint="cs"/>
          <w:sz w:val="28"/>
          <w:szCs w:val="32"/>
          <w:rtl/>
        </w:rPr>
        <w:t xml:space="preserve"> ،</w:t>
      </w:r>
      <w:r w:rsidRPr="00EC737F">
        <w:rPr>
          <w:rFonts w:cs="Traditional Arabic" w:hint="cs"/>
          <w:sz w:val="28"/>
          <w:szCs w:val="32"/>
          <w:rtl/>
        </w:rPr>
        <w:t xml:space="preserve"> ما دامت الديون نفسها لم تعين كل دين على حدة من ناحية المقدار والمصدر</w:t>
      </w:r>
      <w:r>
        <w:rPr>
          <w:rFonts w:cs="Traditional Arabic" w:hint="cs"/>
          <w:sz w:val="28"/>
          <w:szCs w:val="32"/>
          <w:vertAlign w:val="superscript"/>
          <w:rtl/>
        </w:rPr>
        <w:t xml:space="preserve">( </w:t>
      </w:r>
      <w:r w:rsidRPr="00EC737F">
        <w:rPr>
          <w:rStyle w:val="ab"/>
          <w:rFonts w:cs="Traditional Arabic"/>
          <w:sz w:val="28"/>
          <w:szCs w:val="32"/>
          <w:rtl/>
        </w:rPr>
        <w:footnoteReference w:id="810"/>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كذلك لا يجوز أن يمتد الرهن الرسمي لضمان أي دين آخر لم يعين مقداره ولا مصدره يثبت في ذمة المدين بعد الدين المضمون بالرهن</w:t>
      </w:r>
      <w:r>
        <w:rPr>
          <w:rFonts w:cs="Traditional Arabic" w:hint="cs"/>
          <w:sz w:val="28"/>
          <w:szCs w:val="32"/>
          <w:vertAlign w:val="superscript"/>
          <w:rtl/>
        </w:rPr>
        <w:t xml:space="preserve">( </w:t>
      </w:r>
      <w:r w:rsidRPr="00EC737F">
        <w:rPr>
          <w:rStyle w:val="ab"/>
          <w:rFonts w:cs="Traditional Arabic"/>
          <w:sz w:val="28"/>
          <w:szCs w:val="32"/>
          <w:rtl/>
        </w:rPr>
        <w:footnoteReference w:id="811"/>
      </w:r>
      <w:r>
        <w:rPr>
          <w:rFonts w:cs="Traditional Arabic" w:hint="cs"/>
          <w:sz w:val="28"/>
          <w:szCs w:val="32"/>
          <w:vertAlign w:val="superscript"/>
          <w:rtl/>
        </w:rPr>
        <w:t xml:space="preserve"> )</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ويتحدد الدين المضمون بأمرين</w:t>
      </w:r>
      <w:r>
        <w:rPr>
          <w:rFonts w:cs="Traditional Arabic" w:hint="cs"/>
          <w:sz w:val="28"/>
          <w:szCs w:val="32"/>
          <w:rtl/>
        </w:rPr>
        <w:t xml:space="preserve"> :</w:t>
      </w:r>
    </w:p>
    <w:p w:rsidR="00F72742" w:rsidRPr="00EC737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sidRPr="00EC737F">
        <w:rPr>
          <w:rFonts w:cs="Traditional Arabic" w:hint="cs"/>
          <w:sz w:val="28"/>
          <w:szCs w:val="32"/>
          <w:rtl/>
        </w:rPr>
        <w:t>1</w:t>
      </w:r>
      <w:r>
        <w:rPr>
          <w:rFonts w:cs="Traditional Arabic" w:hint="cs"/>
          <w:sz w:val="28"/>
          <w:szCs w:val="32"/>
          <w:rtl/>
        </w:rPr>
        <w:t xml:space="preserve"> )</w:t>
      </w:r>
      <w:r w:rsidRPr="00EC737F">
        <w:rPr>
          <w:rFonts w:cs="Traditional Arabic" w:hint="cs"/>
          <w:sz w:val="28"/>
          <w:szCs w:val="32"/>
          <w:rtl/>
        </w:rPr>
        <w:t xml:space="preserve"> بمقداره</w:t>
      </w:r>
      <w:r>
        <w:rPr>
          <w:rFonts w:cs="Traditional Arabic" w:hint="cs"/>
          <w:sz w:val="28"/>
          <w:szCs w:val="32"/>
          <w:rtl/>
        </w:rPr>
        <w:t xml:space="preserve"> ،</w:t>
      </w:r>
      <w:r w:rsidRPr="00EC737F">
        <w:rPr>
          <w:rFonts w:cs="Traditional Arabic" w:hint="cs"/>
          <w:sz w:val="28"/>
          <w:szCs w:val="32"/>
          <w:rtl/>
        </w:rPr>
        <w:t xml:space="preserve"> فيحدد هذا المقدار إذا كان ديناً ميعناً</w:t>
      </w:r>
      <w:r>
        <w:rPr>
          <w:rFonts w:cs="Traditional Arabic" w:hint="cs"/>
          <w:sz w:val="28"/>
          <w:szCs w:val="32"/>
          <w:rtl/>
        </w:rPr>
        <w:t xml:space="preserve"> ،</w:t>
      </w:r>
      <w:r w:rsidRPr="00EC737F">
        <w:rPr>
          <w:rFonts w:cs="Traditional Arabic" w:hint="cs"/>
          <w:sz w:val="28"/>
          <w:szCs w:val="32"/>
          <w:rtl/>
        </w:rPr>
        <w:t xml:space="preserve"> من رأس مال وفوائد ومتى يبدأ سريان </w:t>
      </w:r>
      <w:r w:rsidRPr="00EC737F">
        <w:rPr>
          <w:rFonts w:cs="Traditional Arabic" w:hint="cs"/>
          <w:sz w:val="28"/>
          <w:szCs w:val="32"/>
          <w:rtl/>
        </w:rPr>
        <w:lastRenderedPageBreak/>
        <w:t>الفوائد</w:t>
      </w:r>
      <w:r>
        <w:rPr>
          <w:rFonts w:cs="Traditional Arabic" w:hint="cs"/>
          <w:sz w:val="28"/>
          <w:szCs w:val="32"/>
          <w:rtl/>
        </w:rPr>
        <w:t xml:space="preserve"> .</w:t>
      </w:r>
      <w:r w:rsidRPr="00EC737F">
        <w:rPr>
          <w:rFonts w:cs="Traditional Arabic" w:hint="cs"/>
          <w:sz w:val="28"/>
          <w:szCs w:val="32"/>
          <w:rtl/>
        </w:rPr>
        <w:t xml:space="preserve"> ويستوي في ذلك الدين المنجز والدين المؤجل والدين المعلق على شرط</w:t>
      </w:r>
      <w:r>
        <w:rPr>
          <w:rFonts w:cs="Traditional Arabic" w:hint="cs"/>
          <w:sz w:val="28"/>
          <w:szCs w:val="32"/>
          <w:rtl/>
        </w:rPr>
        <w:t xml:space="preserve"> ،</w:t>
      </w:r>
      <w:r w:rsidRPr="00EC737F">
        <w:rPr>
          <w:rFonts w:cs="Traditional Arabic" w:hint="cs"/>
          <w:sz w:val="28"/>
          <w:szCs w:val="32"/>
          <w:rtl/>
        </w:rPr>
        <w:t xml:space="preserve"> فهذه كلها ديون يمكن ضمانها بالرهن $371 الرسمي</w:t>
      </w:r>
      <w:r>
        <w:rPr>
          <w:rFonts w:cs="Traditional Arabic" w:hint="cs"/>
          <w:sz w:val="28"/>
          <w:szCs w:val="32"/>
          <w:vertAlign w:val="superscript"/>
          <w:rtl/>
        </w:rPr>
        <w:t xml:space="preserve">( </w:t>
      </w:r>
      <w:r w:rsidRPr="00EC737F">
        <w:rPr>
          <w:rStyle w:val="ab"/>
          <w:rFonts w:cs="Traditional Arabic"/>
          <w:sz w:val="28"/>
          <w:szCs w:val="32"/>
          <w:rtl/>
        </w:rPr>
        <w:footnoteReference w:id="812"/>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كان الدين مستقبلا كاعتماد مفتوح في مصرف لم يسحب منه المدين شيئاً</w:t>
      </w:r>
      <w:r>
        <w:rPr>
          <w:rFonts w:cs="Traditional Arabic" w:hint="cs"/>
          <w:sz w:val="28"/>
          <w:szCs w:val="32"/>
          <w:rtl/>
        </w:rPr>
        <w:t xml:space="preserve"> ،</w:t>
      </w:r>
      <w:r w:rsidRPr="00EC737F">
        <w:rPr>
          <w:rFonts w:cs="Traditional Arabic" w:hint="cs"/>
          <w:sz w:val="28"/>
          <w:szCs w:val="32"/>
          <w:rtl/>
        </w:rPr>
        <w:t xml:space="preserve"> أو كان دينا احتمالياً كفتح حساب جاري يحتمل أن يكون رصيده مديناً أو يكون دائناً فإذا كان الرصيد يما بعد رصيداً مديناً كان هذا الدين منذ البداية ديناً احتمالياً</w:t>
      </w:r>
      <w:r>
        <w:rPr>
          <w:rFonts w:cs="Traditional Arabic" w:hint="cs"/>
          <w:sz w:val="28"/>
          <w:szCs w:val="32"/>
          <w:rtl/>
        </w:rPr>
        <w:t xml:space="preserve"> ،</w:t>
      </w:r>
      <w:r w:rsidRPr="00EC737F">
        <w:rPr>
          <w:rFonts w:cs="Traditional Arabic" w:hint="cs"/>
          <w:sz w:val="28"/>
          <w:szCs w:val="32"/>
          <w:rtl/>
        </w:rPr>
        <w:t xml:space="preserve"> كان تحديد مقداره في عقد الرهن بتحديد حد أقصى ينتهي إليه الدين وفي هذا تقول المادة 1040 مدني سالفة الذكر بأن يتحدد في عقد الرهن "الحد الأقصى الذي ينتهي إليه هذا الدين"</w:t>
      </w:r>
      <w:r>
        <w:rPr>
          <w:rFonts w:cs="Traditional Arabic" w:hint="cs"/>
          <w:sz w:val="28"/>
          <w:szCs w:val="32"/>
          <w:vertAlign w:val="superscript"/>
          <w:rtl/>
        </w:rPr>
        <w:t xml:space="preserve">( </w:t>
      </w:r>
      <w:r w:rsidRPr="00EC737F">
        <w:rPr>
          <w:rStyle w:val="ab"/>
          <w:rFonts w:cs="Traditional Arabic"/>
          <w:sz w:val="28"/>
          <w:szCs w:val="32"/>
          <w:rtl/>
        </w:rPr>
        <w:footnoteReference w:id="813"/>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فإذا عني الحد الأقصى للدين والمدة التي ينعقد فيها الدين</w:t>
      </w:r>
      <w:r>
        <w:rPr>
          <w:rFonts w:cs="Traditional Arabic" w:hint="cs"/>
          <w:sz w:val="28"/>
          <w:szCs w:val="32"/>
          <w:rtl/>
        </w:rPr>
        <w:t xml:space="preserve"> ،</w:t>
      </w:r>
      <w:r w:rsidRPr="00EC737F">
        <w:rPr>
          <w:rFonts w:cs="Traditional Arabic" w:hint="cs"/>
          <w:sz w:val="28"/>
          <w:szCs w:val="32"/>
          <w:rtl/>
        </w:rPr>
        <w:t xml:space="preserve"> وجب التقيد بذلك</w:t>
      </w:r>
      <w:r>
        <w:rPr>
          <w:rFonts w:cs="Traditional Arabic" w:hint="cs"/>
          <w:sz w:val="28"/>
          <w:szCs w:val="32"/>
          <w:rtl/>
        </w:rPr>
        <w:t xml:space="preserve"> .</w:t>
      </w:r>
      <w:r w:rsidRPr="00EC737F">
        <w:rPr>
          <w:rFonts w:cs="Traditional Arabic" w:hint="cs"/>
          <w:sz w:val="28"/>
          <w:szCs w:val="32"/>
          <w:rtl/>
        </w:rPr>
        <w:t xml:space="preserve"> فما انعقد من الدين في المدة المتفق عليها يكون مضموناً بالرهن الرسمي</w:t>
      </w:r>
      <w:r>
        <w:rPr>
          <w:rFonts w:cs="Traditional Arabic" w:hint="cs"/>
          <w:sz w:val="28"/>
          <w:szCs w:val="32"/>
          <w:rtl/>
        </w:rPr>
        <w:t xml:space="preserve"> ،</w:t>
      </w:r>
      <w:r w:rsidRPr="00EC737F">
        <w:rPr>
          <w:rFonts w:cs="Traditional Arabic" w:hint="cs"/>
          <w:sz w:val="28"/>
          <w:szCs w:val="32"/>
          <w:rtl/>
        </w:rPr>
        <w:t xml:space="preserve"> بشرط ألا يجاوز الحد الأقصى المبين</w:t>
      </w:r>
      <w:r>
        <w:rPr>
          <w:rFonts w:cs="Traditional Arabic" w:hint="cs"/>
          <w:sz w:val="28"/>
          <w:szCs w:val="32"/>
          <w:vertAlign w:val="superscript"/>
          <w:rtl/>
        </w:rPr>
        <w:t xml:space="preserve">( </w:t>
      </w:r>
      <w:r w:rsidRPr="00EC737F">
        <w:rPr>
          <w:rStyle w:val="ab"/>
          <w:rFonts w:cs="Traditional Arabic"/>
          <w:sz w:val="28"/>
          <w:szCs w:val="32"/>
          <w:rtl/>
        </w:rPr>
        <w:footnoteReference w:id="814"/>
      </w:r>
      <w:r>
        <w:rPr>
          <w:rFonts w:cs="Traditional Arabic" w:hint="cs"/>
          <w:sz w:val="28"/>
          <w:szCs w:val="32"/>
          <w:vertAlign w:val="superscript"/>
          <w:rtl/>
        </w:rPr>
        <w:t xml:space="preserve"> )</w:t>
      </w:r>
      <w:r>
        <w:rPr>
          <w:rFonts w:cs="Traditional Arabic" w:hint="cs"/>
          <w:sz w:val="28"/>
          <w:szCs w:val="32"/>
          <w:rtl/>
        </w:rPr>
        <w:t xml:space="preserve"> .</w:t>
      </w:r>
      <w:r w:rsidRPr="00EC737F">
        <w:rPr>
          <w:rFonts w:cs="Traditional Arabic" w:hint="cs"/>
          <w:sz w:val="28"/>
          <w:szCs w:val="32"/>
          <w:rtl/>
        </w:rPr>
        <w:t xml:space="preserve"> وإذا كان الدين المضمون بالرهن هو تعويض عن عمل غير مشروع لم يتحدد مقداره</w:t>
      </w:r>
      <w:r>
        <w:rPr>
          <w:rFonts w:cs="Traditional Arabic" w:hint="cs"/>
          <w:sz w:val="28"/>
          <w:szCs w:val="32"/>
          <w:rtl/>
        </w:rPr>
        <w:t xml:space="preserve"> ،</w:t>
      </w:r>
      <w:r w:rsidRPr="00EC737F">
        <w:rPr>
          <w:rFonts w:cs="Traditional Arabic" w:hint="cs"/>
          <w:sz w:val="28"/>
          <w:szCs w:val="32"/>
          <w:rtl/>
        </w:rPr>
        <w:t xml:space="preserve"> وجب تعيين العناصر المعروفة لمقدار هذا التعويض حتى يصبح هذا المقدار معروفاً بقدر الإمكان</w:t>
      </w:r>
      <w:r>
        <w:rPr>
          <w:rFonts w:cs="Traditional Arabic" w:hint="cs"/>
          <w:sz w:val="28"/>
          <w:szCs w:val="32"/>
          <w:rtl/>
        </w:rPr>
        <w:t xml:space="preserve"> .</w:t>
      </w:r>
      <w:r w:rsidRPr="00EC737F">
        <w:rPr>
          <w:rFonts w:cs="Traditional Arabic" w:hint="cs"/>
          <w:sz w:val="28"/>
          <w:szCs w:val="32"/>
          <w:rtl/>
        </w:rPr>
        <w:t xml:space="preserve">  أما في القيد</w:t>
      </w:r>
      <w:r>
        <w:rPr>
          <w:rFonts w:cs="Traditional Arabic" w:hint="cs"/>
          <w:sz w:val="28"/>
          <w:szCs w:val="32"/>
          <w:rtl/>
        </w:rPr>
        <w:t xml:space="preserve"> ،</w:t>
      </w:r>
      <w:r w:rsidRPr="00EC737F">
        <w:rPr>
          <w:rFonts w:cs="Traditional Arabic" w:hint="cs"/>
          <w:sz w:val="28"/>
          <w:szCs w:val="32"/>
          <w:rtl/>
        </w:rPr>
        <w:t xml:space="preserve"> فيجب تحديد مبلغ تقريبي ينتهي إليه الدين</w:t>
      </w:r>
      <w:r>
        <w:rPr>
          <w:rFonts w:cs="Traditional Arabic" w:hint="cs"/>
          <w:sz w:val="28"/>
          <w:szCs w:val="32"/>
          <w:rtl/>
        </w:rPr>
        <w:t xml:space="preserve"> ،</w:t>
      </w:r>
      <w:r w:rsidRPr="00EC737F">
        <w:rPr>
          <w:rFonts w:cs="Traditional Arabic" w:hint="cs"/>
          <w:sz w:val="28"/>
          <w:szCs w:val="32"/>
          <w:rtl/>
        </w:rPr>
        <w:t xml:space="preserve"> وهذا المبلغ هو الذي </w:t>
      </w:r>
      <w:r w:rsidRPr="00EC737F">
        <w:rPr>
          <w:rFonts w:cs="Traditional Arabic" w:hint="cs"/>
          <w:sz w:val="28"/>
          <w:szCs w:val="32"/>
          <w:rtl/>
        </w:rPr>
        <w:lastRenderedPageBreak/>
        <w:t>يطلع عليه الغير ويحتج عليه به</w:t>
      </w:r>
      <w:r>
        <w:rPr>
          <w:rFonts w:cs="Traditional Arabic" w:hint="cs"/>
          <w:sz w:val="28"/>
          <w:szCs w:val="32"/>
          <w:vertAlign w:val="superscript"/>
          <w:rtl/>
        </w:rPr>
        <w:t xml:space="preserve">( </w:t>
      </w:r>
      <w:r w:rsidRPr="00EC737F">
        <w:rPr>
          <w:rStyle w:val="ab"/>
          <w:rFonts w:cs="Traditional Arabic"/>
          <w:sz w:val="28"/>
          <w:szCs w:val="32"/>
          <w:rtl/>
        </w:rPr>
        <w:footnoteReference w:id="8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sidRPr="00EC737F">
        <w:rPr>
          <w:rFonts w:cs="Traditional Arabic" w:hint="cs"/>
          <w:sz w:val="28"/>
          <w:szCs w:val="32"/>
          <w:rtl/>
        </w:rPr>
        <w:t xml:space="preserve">$372 </w:t>
      </w:r>
      <w:r>
        <w:rPr>
          <w:rFonts w:cs="Traditional Arabic" w:hint="cs"/>
          <w:sz w:val="28"/>
          <w:szCs w:val="32"/>
          <w:rtl/>
        </w:rPr>
        <w:t xml:space="preserve">( </w:t>
      </w:r>
      <w:r w:rsidRPr="00EC737F">
        <w:rPr>
          <w:rFonts w:cs="Traditional Arabic" w:hint="cs"/>
          <w:sz w:val="28"/>
          <w:szCs w:val="32"/>
          <w:rtl/>
        </w:rPr>
        <w:t>2</w:t>
      </w:r>
      <w:r>
        <w:rPr>
          <w:rFonts w:cs="Traditional Arabic" w:hint="cs"/>
          <w:sz w:val="28"/>
          <w:szCs w:val="32"/>
          <w:rtl/>
        </w:rPr>
        <w:t xml:space="preserve"> )</w:t>
      </w:r>
      <w:r w:rsidRPr="00EC737F">
        <w:rPr>
          <w:rFonts w:cs="Traditional Arabic" w:hint="cs"/>
          <w:sz w:val="28"/>
          <w:szCs w:val="32"/>
          <w:rtl/>
        </w:rPr>
        <w:t xml:space="preserve"> وبمصدر الدين</w:t>
      </w:r>
      <w:r>
        <w:rPr>
          <w:rFonts w:cs="Traditional Arabic" w:hint="cs"/>
          <w:sz w:val="28"/>
          <w:szCs w:val="32"/>
          <w:rtl/>
        </w:rPr>
        <w:t xml:space="preserve"> ،</w:t>
      </w:r>
      <w:r w:rsidRPr="00EC737F">
        <w:rPr>
          <w:rFonts w:cs="Traditional Arabic" w:hint="cs"/>
          <w:sz w:val="28"/>
          <w:szCs w:val="32"/>
          <w:rtl/>
        </w:rPr>
        <w:t xml:space="preserve"> فيجب إلى جانب تحديد مقدار الدين تحديد مصدره أيضاً</w:t>
      </w:r>
      <w:r>
        <w:rPr>
          <w:rFonts w:cs="Traditional Arabic" w:hint="cs"/>
          <w:sz w:val="28"/>
          <w:szCs w:val="32"/>
          <w:rtl/>
        </w:rPr>
        <w:t xml:space="preserve"> ،</w:t>
      </w:r>
      <w:r w:rsidRPr="00EC737F">
        <w:rPr>
          <w:rFonts w:cs="Traditional Arabic" w:hint="cs"/>
          <w:sz w:val="28"/>
          <w:szCs w:val="32"/>
          <w:rtl/>
        </w:rPr>
        <w:t xml:space="preserve"> هل هو عقد وأي عقد يكون أو هو عمل غير مشروع أو إثراء بلا سبب أو إرادة منفردة أو هو القانون</w:t>
      </w:r>
      <w:r>
        <w:rPr>
          <w:rFonts w:cs="Traditional Arabic" w:hint="cs"/>
          <w:sz w:val="28"/>
          <w:szCs w:val="32"/>
          <w:rtl/>
        </w:rPr>
        <w:t xml:space="preserve"> .</w:t>
      </w:r>
      <w:r w:rsidRPr="00EC737F">
        <w:rPr>
          <w:rFonts w:cs="Traditional Arabic" w:hint="cs"/>
          <w:sz w:val="28"/>
          <w:szCs w:val="32"/>
          <w:rtl/>
        </w:rPr>
        <w:t xml:space="preserve"> فقد يكون الدين المضمون ثمناً في عقد بيع أو قرضاً أو إيراداً مدى الحياة أو شرطاً </w:t>
      </w:r>
      <w:r>
        <w:rPr>
          <w:rFonts w:cs="Traditional Arabic"/>
          <w:sz w:val="28"/>
          <w:szCs w:val="32"/>
          <w:rtl/>
        </w:rPr>
        <w:t xml:space="preserve">( </w:t>
      </w:r>
      <w:r w:rsidRPr="00EC737F">
        <w:rPr>
          <w:rFonts w:cs="Traditional Arabic"/>
          <w:sz w:val="28"/>
          <w:szCs w:val="32"/>
        </w:rPr>
        <w:t>charge</w:t>
      </w:r>
      <w:r>
        <w:rPr>
          <w:rFonts w:cs="Traditional Arabic"/>
          <w:sz w:val="28"/>
          <w:szCs w:val="32"/>
          <w:rtl/>
        </w:rPr>
        <w:t xml:space="preserve"> )</w:t>
      </w:r>
      <w:r>
        <w:rPr>
          <w:rFonts w:cs="Traditional Arabic" w:hint="cs"/>
          <w:sz w:val="28"/>
          <w:szCs w:val="32"/>
          <w:rtl/>
        </w:rPr>
        <w:t xml:space="preserve"> في عقد هبة أو التزاماً بعمل أو تعويضاً عن عمل مشروع ، وقد يكون ديناً معلقاً على شرط و مضافاً إلى أجل أو منجزاً ، كما قد يكون ديناً مستقبلا أو ديناً احتمالياً ، وهكذا تتنوع الديون بتنوع مصادرها</w:t>
      </w:r>
      <w:r>
        <w:rPr>
          <w:rFonts w:cs="Traditional Arabic" w:hint="cs"/>
          <w:sz w:val="28"/>
          <w:szCs w:val="32"/>
          <w:vertAlign w:val="superscript"/>
          <w:rtl/>
        </w:rPr>
        <w:t xml:space="preserve">( </w:t>
      </w:r>
      <w:r w:rsidRPr="00EC737F">
        <w:rPr>
          <w:rStyle w:val="ab"/>
          <w:rFonts w:cs="Traditional Arabic"/>
          <w:sz w:val="28"/>
          <w:szCs w:val="32"/>
          <w:rtl/>
        </w:rPr>
        <w:footnoteReference w:id="8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وتحديد الدين المضمون على الوجه السالف الذكر يبرره مصلحة الغير ومصلحة المدين نفسه . فكل دين غير محدد بالنسبة إلى مقداره أو بالنسبة إلى مصدره قد يصل إلى مبلغ كبير ، فيرى الغير من دائن مرتهن تال أو مشتر للعقار المرهون في النهاية أن الدين الذي ضمنه العقار بلغ حداً كبيراً ، وهذا الدين يسبقه أو يلتزم بدفعه إذا لم يطهر العقار . وكذلك في الدين غير المحدد ، لا يتمكن المدين أن يعرف ما المقدار الذي يجب عليه دفعه ، وقد يصل إلى مبلغ كبير لا يستطيع الوفاء به ولا يكفيه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8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وجزاء عدم تحديد الدين المضمون بالرهن الرسمي هو بطلا عقد $373 الرهن الرسمي نفسهن لعدم تخصيص الرهن من ناحية الدين المضمون . وفي ذلك تقول المادة 2132 مدني فرنسي إن "الرهن الرضائي </w:t>
      </w:r>
      <w:r>
        <w:rPr>
          <w:rFonts w:cs="Traditional Arabic" w:hint="cs"/>
          <w:sz w:val="28"/>
          <w:szCs w:val="32"/>
          <w:rtl/>
        </w:rPr>
        <w:lastRenderedPageBreak/>
        <w:t>لا يكون صحيحاً إلا إذا كان  . . ." . والبطلان هنا بطلان مطلق ، ويستطيع أن يتمسك به كل ذلك مصلحة . فيتمسك به المدين والدائن المرتهن وورثة كل منهما أو الخلف الخاص ، والدائنون المرتهنون المتأخرون في المرتبة ، وحائز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8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164- عدم قابلية الرهن للتجزئة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"كل جزء من العقار أو العقارات المرهونة ضامنة لكل الدين ، وكل جزء من الدين مضمون بالعقار أو العقارات المرهونة كلها ، ما لم ينص القانون أو يقض الاتفاق بغير ذلك"</w:t>
      </w:r>
      <w:r>
        <w:rPr>
          <w:rFonts w:cs="Traditional Arabic" w:hint="cs"/>
          <w:sz w:val="28"/>
          <w:szCs w:val="32"/>
          <w:vertAlign w:val="superscript"/>
          <w:rtl/>
        </w:rPr>
        <w:t xml:space="preserve">( </w:t>
      </w:r>
      <w:r w:rsidRPr="00EC737F">
        <w:rPr>
          <w:rStyle w:val="ab"/>
          <w:rFonts w:cs="Traditional Arabic"/>
          <w:sz w:val="28"/>
          <w:szCs w:val="32"/>
          <w:rtl/>
        </w:rPr>
        <w:footnoteReference w:id="81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سبق</w:t>
      </w:r>
      <w:r>
        <w:rPr>
          <w:rFonts w:cs="Traditional Arabic" w:hint="cs"/>
          <w:sz w:val="28"/>
          <w:szCs w:val="32"/>
          <w:vertAlign w:val="superscript"/>
          <w:rtl/>
        </w:rPr>
        <w:t xml:space="preserve">( </w:t>
      </w:r>
      <w:r w:rsidRPr="00EC737F">
        <w:rPr>
          <w:rStyle w:val="ab"/>
          <w:rFonts w:cs="Traditional Arabic"/>
          <w:sz w:val="28"/>
          <w:szCs w:val="32"/>
          <w:rtl/>
        </w:rPr>
        <w:footnoteReference w:id="820"/>
      </w:r>
      <w:r>
        <w:rPr>
          <w:rFonts w:cs="Traditional Arabic" w:hint="cs"/>
          <w:sz w:val="28"/>
          <w:szCs w:val="32"/>
          <w:vertAlign w:val="superscript"/>
          <w:rtl/>
        </w:rPr>
        <w:t xml:space="preserve"> )</w:t>
      </w:r>
      <w:r>
        <w:rPr>
          <w:rFonts w:cs="Traditional Arabic" w:hint="cs"/>
          <w:sz w:val="28"/>
          <w:szCs w:val="32"/>
          <w:rtl/>
        </w:rPr>
        <w:t xml:space="preserve"> . أن أوجزنا أن الرهن الرسمي غير قابل للتجزئة بالنسبة إلى العقار المرهون ، وبالنسبة إلى الدين المضمون . ونعرض الآن لعدم قابلية الرهن للتجزئة ، في شيء من التفصيل . فالرهن الرسمي ، بطبيعته ، غير قابل للتجزئة</w:t>
      </w:r>
      <w:r>
        <w:rPr>
          <w:rFonts w:cs="Traditional Arabic" w:hint="cs"/>
          <w:sz w:val="28"/>
          <w:szCs w:val="32"/>
          <w:vertAlign w:val="superscript"/>
          <w:rtl/>
        </w:rPr>
        <w:t xml:space="preserve">( </w:t>
      </w:r>
      <w:r w:rsidRPr="00EC737F">
        <w:rPr>
          <w:rStyle w:val="ab"/>
          <w:rFonts w:cs="Traditional Arabic"/>
          <w:sz w:val="28"/>
          <w:szCs w:val="32"/>
          <w:rtl/>
        </w:rPr>
        <w:footnoteReference w:id="821"/>
      </w:r>
      <w:r>
        <w:rPr>
          <w:rFonts w:cs="Traditional Arabic" w:hint="cs"/>
          <w:sz w:val="28"/>
          <w:szCs w:val="32"/>
          <w:vertAlign w:val="superscript"/>
          <w:rtl/>
        </w:rPr>
        <w:t xml:space="preserve"> )</w:t>
      </w:r>
      <w:r>
        <w:rPr>
          <w:rFonts w:cs="Traditional Arabic" w:hint="cs"/>
          <w:sz w:val="28"/>
          <w:szCs w:val="32"/>
          <w:rtl/>
        </w:rPr>
        <w:t xml:space="preserve"> . ولكن ذلك لا يعني أنه يكون دائماً غير قابل للتجزئة ، $374 فإن العبارة الأخيرة من نص المادة 1041 مدني سالفة الذكر تقول : "ما لم ينص القانون أو يقض الاتفاق بغير </w:t>
      </w:r>
      <w:r>
        <w:rPr>
          <w:rFonts w:cs="Traditional Arabic" w:hint="cs"/>
          <w:sz w:val="28"/>
          <w:szCs w:val="32"/>
          <w:rtl/>
        </w:rPr>
        <w:lastRenderedPageBreak/>
        <w:t>ذلك" . وتقول المذكرة الإيضاحية للمشروع التمهيدي في هذا الصدد : "على أن قاعدة عدم تجزئة الرهن ليست من النظام العام ، فقد يتفق المتعاقدان على تجزئته في عقد الرهن نفسه أو بعد العقد ، وقد يقضي بتجزئته نص في القانون كما هو الأمر في تطهير العقار من الرهن"</w:t>
      </w:r>
      <w:r>
        <w:rPr>
          <w:rFonts w:cs="Traditional Arabic" w:hint="cs"/>
          <w:sz w:val="28"/>
          <w:szCs w:val="32"/>
          <w:vertAlign w:val="superscript"/>
          <w:rtl/>
        </w:rPr>
        <w:t xml:space="preserve">( </w:t>
      </w:r>
      <w:r w:rsidRPr="00EC737F">
        <w:rPr>
          <w:rStyle w:val="ab"/>
          <w:rFonts w:cs="Traditional Arabic"/>
          <w:sz w:val="28"/>
          <w:szCs w:val="32"/>
          <w:rtl/>
        </w:rPr>
        <w:footnoteReference w:id="822"/>
      </w:r>
      <w:r>
        <w:rPr>
          <w:rFonts w:cs="Traditional Arabic" w:hint="cs"/>
          <w:sz w:val="28"/>
          <w:szCs w:val="32"/>
          <w:vertAlign w:val="superscript"/>
          <w:rtl/>
        </w:rPr>
        <w:t xml:space="preserve"> )</w:t>
      </w:r>
      <w:r>
        <w:rPr>
          <w:rFonts w:cs="Traditional Arabic" w:hint="cs"/>
          <w:sz w:val="28"/>
          <w:szCs w:val="32"/>
          <w:rtl/>
        </w:rPr>
        <w:t xml:space="preserve"> . ففي تطهير العقار من الرهن ، يجوز للحائز أن يطهر العقار من الرهن فيوجه إلى الدائن المرتهن إعلاناً يشتمل على بيانات معينة منها المبلغ الذي يقدره الحائز قيمة للعقار ، ويذكر في الإعلان أنه مستعد أن يوفي الدين المضمون إلى القدر الذي قوم به العقار . ويجوز للدائن المرتهن أن يطلب بيع العقار ، فيتم البيع . وإذا لم يطلب بيع العقار ، استقرت ملكية العقار نهائياً للحائز خالصة من الرهن إذا هو دفع المبلغ الذي قوم به العقار للدائن المرتهن . وقد يكون المبلغ الذي يرسو به المزاد في العقار أو المبلغ الذي يدفعه الحائز لا يكفي لوفاء الدين المضمون الرهن ، ومع ذلك يطهر العقار من الرهن ، ويصبح الرهن قابلا للتجزئة على هذا النحو بنص في القانون ( انظر م 1064 </w:t>
      </w:r>
      <w:r>
        <w:rPr>
          <w:rFonts w:cs="Traditional Arabic"/>
          <w:sz w:val="28"/>
          <w:szCs w:val="32"/>
          <w:rtl/>
        </w:rPr>
        <w:t>–</w:t>
      </w:r>
      <w:r>
        <w:rPr>
          <w:rFonts w:cs="Traditional Arabic" w:hint="cs"/>
          <w:sz w:val="28"/>
          <w:szCs w:val="32"/>
          <w:rtl/>
        </w:rPr>
        <w:t xml:space="preserve"> 1070 مدني ) . ويجوز كذلك أن يتفق الراهن والدائن المرتهن ، عند عقد الرهن الرسمي أو بعدهن على أن يكون الرهن قابلا للتجزئة ، فيخصص جزء من الدين المضمون لجزء من العقار أو العقارات المرهونة ، ويصبح هذا الجزء من العقارات هو المرهون في هذا الجزء من الدين المضمون ، وبذلك يصبح الرهن قابلا للتجزئة بناء على هذا الاتفاق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وعدم قابلية الرهن للتجزئة إنما يرجع إلى مصلحة الدائن المرتهن ، وقد أقامه القانون رعاية لهذا المصلحة . وإلا فإن الرهن يمكن أن يتجزأ $375 لو لم توجد هذه المصلحة . فيمكن مثلا أن ينحل الرهن عن العقار أو العقارات المرهونة بقدر ما ينقضي من الدين ، فيتخلص نصف العقار المرهون من الرهن بانقضاء نصف الدين ، وهكذا . ولكن القانون جعل الرهن غير قابل للتجزئة ، بحيث إذا لم يتفق الراهن مع الدائن المرتهن على تجزئته أو لم يتنازل الدائن المرتهن عن عدم التجزئة ، أصبح الرهن غير قابل للتجزئة لأن هذا هو في مصلحة الدائن المرتهن ويفرض القانون أن هذا هو ما أراده المتعاقدان إلا إذا اتفقا على غير ذلك</w:t>
      </w:r>
      <w:r>
        <w:rPr>
          <w:rFonts w:cs="Traditional Arabic" w:hint="cs"/>
          <w:sz w:val="28"/>
          <w:szCs w:val="32"/>
          <w:vertAlign w:val="superscript"/>
          <w:rtl/>
        </w:rPr>
        <w:t xml:space="preserve">( </w:t>
      </w:r>
      <w:r w:rsidRPr="00EC737F">
        <w:rPr>
          <w:rStyle w:val="ab"/>
          <w:rFonts w:cs="Traditional Arabic"/>
          <w:sz w:val="28"/>
          <w:szCs w:val="32"/>
          <w:rtl/>
        </w:rPr>
        <w:footnoteReference w:id="823"/>
      </w:r>
      <w:r>
        <w:rPr>
          <w:rFonts w:cs="Traditional Arabic" w:hint="cs"/>
          <w:sz w:val="28"/>
          <w:szCs w:val="32"/>
          <w:vertAlign w:val="superscript"/>
          <w:rtl/>
        </w:rPr>
        <w:t xml:space="preserve"> )</w:t>
      </w:r>
      <w:r>
        <w:rPr>
          <w:rFonts w:cs="Traditional Arabic" w:hint="cs"/>
          <w:sz w:val="28"/>
          <w:szCs w:val="32"/>
          <w:rtl/>
        </w:rPr>
        <w:t xml:space="preserve"> . ولما كان عدم قابلية الرهن للتجزئة ليس من جوهر </w:t>
      </w:r>
      <w:r>
        <w:rPr>
          <w:rFonts w:cs="Traditional Arabic"/>
          <w:sz w:val="28"/>
          <w:szCs w:val="32"/>
          <w:rtl/>
        </w:rPr>
        <w:t xml:space="preserve">( </w:t>
      </w:r>
      <w:r>
        <w:rPr>
          <w:rFonts w:cs="Traditional Arabic"/>
          <w:sz w:val="28"/>
          <w:szCs w:val="32"/>
        </w:rPr>
        <w:t>essence</w:t>
      </w:r>
      <w:r>
        <w:rPr>
          <w:rFonts w:cs="Traditional Arabic"/>
          <w:sz w:val="28"/>
          <w:szCs w:val="32"/>
          <w:rtl/>
        </w:rPr>
        <w:t xml:space="preserve"> )</w:t>
      </w:r>
      <w:r>
        <w:rPr>
          <w:rFonts w:cs="Traditional Arabic" w:hint="cs"/>
          <w:sz w:val="28"/>
          <w:szCs w:val="32"/>
          <w:rtl/>
        </w:rPr>
        <w:t xml:space="preserve"> الرهن بل هو من طبيعته </w:t>
      </w:r>
      <w:r>
        <w:rPr>
          <w:rFonts w:cs="Traditional Arabic"/>
          <w:sz w:val="28"/>
          <w:szCs w:val="32"/>
          <w:rtl/>
        </w:rPr>
        <w:t xml:space="preserve">( </w:t>
      </w:r>
      <w:r>
        <w:rPr>
          <w:rFonts w:cs="Traditional Arabic"/>
          <w:sz w:val="28"/>
          <w:szCs w:val="32"/>
        </w:rPr>
        <w:lastRenderedPageBreak/>
        <w:t>nature</w:t>
      </w:r>
      <w:r>
        <w:rPr>
          <w:rFonts w:cs="Traditional Arabic"/>
          <w:sz w:val="28"/>
          <w:szCs w:val="32"/>
          <w:rtl/>
        </w:rPr>
        <w:t xml:space="preserve"> )</w:t>
      </w:r>
      <w:r>
        <w:rPr>
          <w:rFonts w:cs="Traditional Arabic" w:hint="cs"/>
          <w:sz w:val="28"/>
          <w:szCs w:val="32"/>
          <w:rtl/>
        </w:rPr>
        <w:t xml:space="preserve"> ، لذلك يجوز للدائن المرتهن بعد انقضاء الرهن أن ينزل عن عدم قابليته للتجزئة لأن عدم قابليته الرهن للتجزئة من حقه هو فيجوز له أن ينزل عنه . فإذا كان هناك مثلا عقاران مرهونان ضماناً لوفاء دين ، ووفى المدين نصف الدين ، جاز للدائن المرتهن أن ينزل عن الرهن في أحد العقارين المرهونين ويستبقى الرهن في العقار الآخر ضماناً لوفاء نصف الدين الباقي . ويجوز كذلك بعد انعقاد الرهن وقبل استيفاء الدائن المرتهن بشيء من حقه ، أن ينزل هذا الدائن عن حقه في عدم قابلية الرهن للتجزئة ، ويرضى بحل الرهن عن أحد العقارين إذا وفى المدين جزءاً من الدين بقابل هذا العقار</w:t>
      </w:r>
      <w:r>
        <w:rPr>
          <w:rFonts w:cs="Traditional Arabic" w:hint="cs"/>
          <w:sz w:val="28"/>
          <w:szCs w:val="32"/>
          <w:vertAlign w:val="superscript"/>
          <w:rtl/>
        </w:rPr>
        <w:t xml:space="preserve">( </w:t>
      </w:r>
      <w:r w:rsidRPr="00EC737F">
        <w:rPr>
          <w:rStyle w:val="ab"/>
          <w:rFonts w:cs="Traditional Arabic"/>
          <w:sz w:val="28"/>
          <w:szCs w:val="32"/>
          <w:rtl/>
        </w:rPr>
        <w:footnoteReference w:id="824"/>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والدين المضمون يبقى قابلا للتجزئة ، بالرغم من أنه مضمون برهن رسمي غير قابل للتجزئة . فإذا مات الدائن المرتهن عن ثلاثة من الورثة ، ورث كل منهم نصيبه في الدين فيتجزأ الدين عليهم ، ويبقى الرهن غير قابل للتجزئة . فيجوز لأي وارث أن يطالب الراهن بنصيبه من الدين ، وان يستعمل حقه في الرهن على جميع العقار أو العقارات المرهونة لأن الرهن $376 غير قابل للتجزئة . ولا يجوز للمدين ، بدعوى أن الرهن غير قابل للتجزئة ، أن يطلب اتفاق جميع ورثة الدائن المرتهن لقبض جميع الدين ، بل يجب أن يدفع للوارث نصيبه من الدين ، وأن يدفع الأنصبة الأخرى للورثة الآخرين</w:t>
      </w:r>
      <w:r>
        <w:rPr>
          <w:rFonts w:cs="Traditional Arabic" w:hint="cs"/>
          <w:sz w:val="28"/>
          <w:szCs w:val="32"/>
          <w:vertAlign w:val="superscript"/>
          <w:rtl/>
        </w:rPr>
        <w:t xml:space="preserve">( </w:t>
      </w:r>
      <w:r w:rsidRPr="00EC737F">
        <w:rPr>
          <w:rStyle w:val="ab"/>
          <w:rFonts w:cs="Traditional Arabic"/>
          <w:sz w:val="28"/>
          <w:szCs w:val="32"/>
          <w:rtl/>
        </w:rPr>
        <w:footnoteReference w:id="82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الارتباط ما بين العقار المرهون والدين المضمون ، المبني على عدم قابلية الرهن للتجزئة ، له معنيان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المعنى الأول ) أن أي جزء من الدين مضمون بكل العقار المرهون ، فلو وفى المدين ثلاثة أرباع الدين مثلا وبقى الربع ، فإن هذا الربع يبقى مضموناً بكل العقار المرهون ، ولا يتخلص ثلاثة أرباع هذا العقار من الرهن</w:t>
      </w:r>
      <w:r>
        <w:rPr>
          <w:rFonts w:cs="Traditional Arabic" w:hint="cs"/>
          <w:sz w:val="28"/>
          <w:szCs w:val="32"/>
          <w:vertAlign w:val="superscript"/>
          <w:rtl/>
        </w:rPr>
        <w:t xml:space="preserve">( </w:t>
      </w:r>
      <w:r w:rsidRPr="00EC737F">
        <w:rPr>
          <w:rStyle w:val="ab"/>
          <w:rFonts w:cs="Traditional Arabic"/>
          <w:sz w:val="28"/>
          <w:szCs w:val="32"/>
          <w:rtl/>
        </w:rPr>
        <w:footnoteReference w:id="826"/>
      </w:r>
      <w:r>
        <w:rPr>
          <w:rFonts w:cs="Traditional Arabic" w:hint="cs"/>
          <w:sz w:val="28"/>
          <w:szCs w:val="32"/>
          <w:vertAlign w:val="superscript"/>
          <w:rtl/>
        </w:rPr>
        <w:t xml:space="preserve"> )</w:t>
      </w:r>
      <w:r>
        <w:rPr>
          <w:rFonts w:cs="Traditional Arabic" w:hint="cs"/>
          <w:sz w:val="28"/>
          <w:szCs w:val="32"/>
          <w:rtl/>
        </w:rPr>
        <w:t xml:space="preserve"> . فلو باع المدين في هذه الحالة ل العقار المرهون ، انتقل العقار إلى المشتري مرهوناً </w:t>
      </w:r>
      <w:r>
        <w:rPr>
          <w:rFonts w:cs="Traditional Arabic" w:hint="cs"/>
          <w:sz w:val="28"/>
          <w:szCs w:val="32"/>
          <w:rtl/>
        </w:rPr>
        <w:lastRenderedPageBreak/>
        <w:t>كله في ربع الدين ، ويجوز للدائن المرتهن أن يتتبع العقار المرهون في يد المشتري وأن ينفذ عليه بربع الدين الباقي إلا إذا اختار المشتري تطهير العقار . وقد سبق</w:t>
      </w:r>
      <w:r>
        <w:rPr>
          <w:rFonts w:cs="Traditional Arabic" w:hint="cs"/>
          <w:sz w:val="28"/>
          <w:szCs w:val="32"/>
          <w:vertAlign w:val="superscript"/>
          <w:rtl/>
        </w:rPr>
        <w:t xml:space="preserve">( </w:t>
      </w:r>
      <w:r w:rsidRPr="00EC737F">
        <w:rPr>
          <w:rStyle w:val="ab"/>
          <w:rFonts w:cs="Traditional Arabic"/>
          <w:sz w:val="28"/>
          <w:szCs w:val="32"/>
          <w:rtl/>
        </w:rPr>
        <w:footnoteReference w:id="827"/>
      </w:r>
      <w:r>
        <w:rPr>
          <w:rFonts w:cs="Traditional Arabic" w:hint="cs"/>
          <w:sz w:val="28"/>
          <w:szCs w:val="32"/>
          <w:vertAlign w:val="superscript"/>
          <w:rtl/>
        </w:rPr>
        <w:t xml:space="preserve"> )</w:t>
      </w:r>
      <w:r>
        <w:rPr>
          <w:rFonts w:cs="Traditional Arabic" w:hint="cs"/>
          <w:sz w:val="28"/>
          <w:szCs w:val="32"/>
          <w:rtl/>
        </w:rPr>
        <w:t xml:space="preserve"> أن قررنا أن دعوى الرهن لا تتجزأ بالنسبة إلى الدين المضمون ، فإذا انقضى جزء من الدين المضمون فإن العقار الضامن يبقى كله ضامناً لما بقي من الدين . وإذا مات الدائن المرتهن وورثه ثلاثة أشخاص بأنصبة متساوية . فإن كل وارث يكون له ثلث الدين المضمون ولكنه يستطيع أن ينفذ بحقه كدائن مرتهن على كل العقار المرهون . وإذا مات المدين الراهن عن ثلاثة من الورثة بأنصبة متساوية ، ففي القانون الفرنسي حيث يورث الدين عن المدين يكون كل وارث مسئولا عن ثلث $377 الدين ، ولكن إذا انتقل إليه العقار المرهون كله جاز للدائن المرتهن أن ينفذ على العقار بكل الدين ، ويكون للوارث الرجوع على الوارثين الآخرين كل منهما بقدر نصيبه في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والمعنى الثاني ) أن أي جزء من العقار أو العقارات المرهونة ضامن لكل الدين ، فلو أن المرهون عقاران ، فإن الدائن المرتهن يستطيع باعتباره دائناً مرتهناً أن ينفذ بكل الدين على أي عقار منهما ، فإذا استوفى حقه من هذا العقار برئت ذمة المدين وتخلص العقار الآخر من الرهن . وإذا باع المدين الراهن أحد العقارين ، كان هذا العقار مرهوناً في كل الدين ، وجاز للدائن المرتهن أن يتتبع العقار في يد المشتري وينفذ عليه بكل الدين لا بجزء من الدين يتناسب مع العقار المبيع ، ما لم يختر المشتري أن يطهر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828"/>
      </w:r>
      <w:r>
        <w:rPr>
          <w:rFonts w:cs="Traditional Arabic" w:hint="cs"/>
          <w:sz w:val="28"/>
          <w:szCs w:val="32"/>
          <w:vertAlign w:val="superscript"/>
          <w:rtl/>
        </w:rPr>
        <w:t xml:space="preserve"> )</w:t>
      </w:r>
      <w:r>
        <w:rPr>
          <w:rFonts w:cs="Traditional Arabic" w:hint="cs"/>
          <w:sz w:val="28"/>
          <w:szCs w:val="32"/>
          <w:rtl/>
        </w:rPr>
        <w:t xml:space="preserve"> . وقد سبق</w:t>
      </w:r>
      <w:r>
        <w:rPr>
          <w:rFonts w:cs="Traditional Arabic" w:hint="cs"/>
          <w:sz w:val="28"/>
          <w:szCs w:val="32"/>
          <w:vertAlign w:val="superscript"/>
          <w:rtl/>
        </w:rPr>
        <w:t xml:space="preserve">( </w:t>
      </w:r>
      <w:r w:rsidRPr="00EC737F">
        <w:rPr>
          <w:rStyle w:val="ab"/>
          <w:rFonts w:cs="Traditional Arabic"/>
          <w:sz w:val="28"/>
          <w:szCs w:val="32"/>
          <w:rtl/>
        </w:rPr>
        <w:footnoteReference w:id="829"/>
      </w:r>
      <w:r>
        <w:rPr>
          <w:rFonts w:cs="Traditional Arabic" w:hint="cs"/>
          <w:sz w:val="28"/>
          <w:szCs w:val="32"/>
          <w:vertAlign w:val="superscript"/>
          <w:rtl/>
        </w:rPr>
        <w:t xml:space="preserve"> )</w:t>
      </w:r>
      <w:r>
        <w:rPr>
          <w:rFonts w:cs="Traditional Arabic" w:hint="cs"/>
          <w:sz w:val="28"/>
          <w:szCs w:val="32"/>
          <w:rtl/>
        </w:rPr>
        <w:t xml:space="preserve"> أن قررنا أنه إذا فرض أن العقار المرهون انتقل إلى ورثة مالكه ، فإن الجزء من العقار الذي يملكه </w:t>
      </w:r>
      <w:r>
        <w:rPr>
          <w:rFonts w:cs="Traditional Arabic" w:hint="cs"/>
          <w:sz w:val="28"/>
          <w:szCs w:val="32"/>
          <w:rtl/>
        </w:rPr>
        <w:lastRenderedPageBreak/>
        <w:t>كل وارث يبقى مرهوناً في كل الدين ، ولا يجو شطب الرهن عن هذا الجزء بعد سداد نصيب الوارث من الدين ، بل إن الرهن لا يشطب إلا بعد سداد الدين كله وإذا فرض أن عقارات متعددة قد رهنت في دين واحد ، فإن كل عقار منها يبقى مسئولا عن كل الدين ، ولا يكفي وفاء ما يقابل هذا العقار من الدين حتى يتخلص العقار من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مما تقدم أنه إذا رهن عقاران في دين واحد ، جاز للدائن المرتهن أن يختار عقاراً منهما فينفذ عليه بحقه كله . فلا يكون هذا الدائن المرتهن مجبراً $378 على أن يقسم الدين الذي له على العقارين ، وأن ينفذ على كل عقار بنصيبه في هذا الدين . ويجوز للدائن المرتهن أن يختار ، كما قدمنا ، أي عقار للتنفيذ عليه بالحق كله ، حتى لو أضر هذا الاختيار بالدائنين المرتهنين المتأخرين في المرتبة على هذا العقار . وذلك بشرط ألا يستعمل الدائن المرتهن حق الاختيار هذا بنية الإضرار بالدائنين المرتهنين المتأخرين ، أو دون أن تكون له مصلحة مشروعة في هذا الاختيار ، وإلا كان متعسفاً في استعمال حقه</w:t>
      </w:r>
      <w:r>
        <w:rPr>
          <w:rFonts w:cs="Traditional Arabic" w:hint="cs"/>
          <w:sz w:val="28"/>
          <w:szCs w:val="32"/>
          <w:vertAlign w:val="superscript"/>
          <w:rtl/>
        </w:rPr>
        <w:t xml:space="preserve">( </w:t>
      </w:r>
      <w:r w:rsidRPr="00EC737F">
        <w:rPr>
          <w:rStyle w:val="ab"/>
          <w:rFonts w:cs="Traditional Arabic"/>
          <w:sz w:val="28"/>
          <w:szCs w:val="32"/>
          <w:rtl/>
        </w:rPr>
        <w:footnoteReference w:id="8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165- عدم انفصال الرهن عن الدين المضمون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1042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لا ينفصل الرهن عن الدين المضمون ، بل يكون تابعاً له في صحته وفي انقضائه ، ما لم ينص القانون على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كان الراهن غير المدين ، كان له ، إلى جانب تمسكه بأوجه الدفع الخاص به ، أن يتمسك بما للمدين التمسك به من أوجه الدفع المتعلقة بالدين ، ويبقى له هذا الحق ولو نزل عنه المدين"</w:t>
      </w:r>
      <w:r>
        <w:rPr>
          <w:rFonts w:cs="Traditional Arabic" w:hint="cs"/>
          <w:sz w:val="28"/>
          <w:szCs w:val="32"/>
          <w:vertAlign w:val="superscript"/>
          <w:rtl/>
        </w:rPr>
        <w:t xml:space="preserve">( </w:t>
      </w:r>
      <w:r w:rsidRPr="00EC737F">
        <w:rPr>
          <w:rStyle w:val="ab"/>
          <w:rFonts w:cs="Traditional Arabic"/>
          <w:sz w:val="28"/>
          <w:szCs w:val="32"/>
          <w:rtl/>
        </w:rPr>
        <w:footnoteReference w:id="83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وهذا النص يجعل الرهن الرسمي حقاً تابعاً للدين المضمون ، فلا ينفصل $379 من هذا الدين ، بل يسير معه وجوداً وعدما . والنص في الوقت ذاته يجعل للكفيل العيني 0الراهن غير ) المدين الحق في أن يتمسك بأوجه الدفع المتعلقة بالدين ، إلى جانب الدفوع الخاصة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أن حق الرهن الرسمي حق تابع للدين المضمون ، فقد سبق</w:t>
      </w:r>
      <w:r>
        <w:rPr>
          <w:rFonts w:cs="Traditional Arabic" w:hint="cs"/>
          <w:sz w:val="28"/>
          <w:szCs w:val="32"/>
          <w:vertAlign w:val="superscript"/>
          <w:rtl/>
        </w:rPr>
        <w:t xml:space="preserve">( </w:t>
      </w:r>
      <w:r w:rsidRPr="00EC737F">
        <w:rPr>
          <w:rStyle w:val="ab"/>
          <w:rFonts w:cs="Traditional Arabic"/>
          <w:sz w:val="28"/>
          <w:szCs w:val="32"/>
          <w:rtl/>
        </w:rPr>
        <w:footnoteReference w:id="832"/>
      </w:r>
      <w:r>
        <w:rPr>
          <w:rFonts w:cs="Traditional Arabic" w:hint="cs"/>
          <w:sz w:val="28"/>
          <w:szCs w:val="32"/>
          <w:vertAlign w:val="superscript"/>
          <w:rtl/>
        </w:rPr>
        <w:t xml:space="preserve"> )</w:t>
      </w:r>
      <w:r>
        <w:rPr>
          <w:rFonts w:cs="Traditional Arabic" w:hint="cs"/>
          <w:sz w:val="28"/>
          <w:szCs w:val="32"/>
          <w:rtl/>
        </w:rPr>
        <w:t xml:space="preserve"> . أن قررنا أن الرهن الرسمي لا يقوم إلا بقيام الدين المضمون . فلا بد أن يكون هذا الدين التزاماً مدنياً صحيحاً ، حتى يكون الرهن الرسمي صحيحاً . أما إذا أن الدين المضمون باطلا أو قابلا للإبطال أو للنقض ، فإن الرهن الرسمي يخفي باختفاء الدين المضمون . وإذا انتهى الدين المضمون بالوفاء أو بأية طريقة أخرى من طرق الانقضاء ، فإن الرهن الرسمي ينتهي بانتهاء الدين . فالرهن الرسمي إذن تابع للدين المضمون ، فيبطل كلما بطل هذا الدين ، وينقضي بمجرد انقضاء الدين . وعلى ذلك إذا كان الدين المضمون باطلا لعيب في الشكل أو لانعدام الرضاء أو لعدم توافر شروط المحل أو لعدم مشروعية السبب ، كان الرهن الرسمي باطلا مثله . ولكل ذي مصلحة أن يتمسك بهذا البطلان ، فيتمسك به المدين الراهن وخلفه العام وخلفه الخاص ، وكل دائن مرتهن متأخر في المرتبة ، وكل حائز للعقار المرهون . وللمدين الراهن أن يتمسك بإبطال عقد الرهن ، إذا كان الدين المضمون قابلا للإبطال لعيب في الرضاء أو لنقص في الأهلية</w:t>
      </w:r>
      <w:r>
        <w:rPr>
          <w:rFonts w:cs="Traditional Arabic" w:hint="cs"/>
          <w:sz w:val="28"/>
          <w:szCs w:val="32"/>
          <w:vertAlign w:val="superscript"/>
          <w:rtl/>
        </w:rPr>
        <w:t xml:space="preserve">( </w:t>
      </w:r>
      <w:r w:rsidRPr="00EC737F">
        <w:rPr>
          <w:rStyle w:val="ab"/>
          <w:rFonts w:cs="Traditional Arabic"/>
          <w:sz w:val="28"/>
          <w:szCs w:val="32"/>
          <w:rtl/>
        </w:rPr>
        <w:footnoteReference w:id="833"/>
      </w:r>
      <w:r>
        <w:rPr>
          <w:rFonts w:cs="Traditional Arabic" w:hint="cs"/>
          <w:sz w:val="28"/>
          <w:szCs w:val="32"/>
          <w:vertAlign w:val="superscript"/>
          <w:rtl/>
        </w:rPr>
        <w:t xml:space="preserve"> )</w:t>
      </w:r>
      <w:r>
        <w:rPr>
          <w:rFonts w:cs="Traditional Arabic" w:hint="cs"/>
          <w:sz w:val="28"/>
          <w:szCs w:val="32"/>
          <w:rtl/>
        </w:rPr>
        <w:t xml:space="preserve"> . وكذلك يجوز للمدين الراهن أن يتمسك بانقضاء الدين المضمون ، فيكون الرهن قد انقضى كانقضاء الدين . فإذا انقضى الدين بالوفاء أو بالوفاء بمقابل أو بالتجديد أو بالمقاصة أو باتحاد الذمة أو بالإبراء أو باستحالة التنفيذ أو بالتقادم ، جاز للراهن أن يتمسك باقتضاء الرهن تبعاً لانقضاء الدين . وفي هذا تقول الفقرة الأولى من المادة 1042 </w:t>
      </w:r>
      <w:r>
        <w:rPr>
          <w:rFonts w:cs="Traditional Arabic" w:hint="cs"/>
          <w:sz w:val="28"/>
          <w:szCs w:val="32"/>
          <w:rtl/>
        </w:rPr>
        <w:lastRenderedPageBreak/>
        <w:t>مدني كما رأينا : "لا ينفصل الرهن عن $380 الدين المضمون ، بل يكون تابعاً له في صحته وفي انقضائه ، ما لم ينص القانون على غير ذلك"</w:t>
      </w:r>
      <w:r>
        <w:rPr>
          <w:rFonts w:cs="Traditional Arabic" w:hint="cs"/>
          <w:sz w:val="28"/>
          <w:szCs w:val="32"/>
          <w:vertAlign w:val="superscript"/>
          <w:rtl/>
        </w:rPr>
        <w:t xml:space="preserve">( </w:t>
      </w:r>
      <w:r w:rsidRPr="00EC737F">
        <w:rPr>
          <w:rStyle w:val="ab"/>
          <w:rFonts w:cs="Traditional Arabic"/>
          <w:sz w:val="28"/>
          <w:szCs w:val="32"/>
          <w:rtl/>
        </w:rPr>
        <w:footnoteReference w:id="834"/>
      </w:r>
      <w:r>
        <w:rPr>
          <w:rFonts w:cs="Traditional Arabic" w:hint="cs"/>
          <w:sz w:val="28"/>
          <w:szCs w:val="32"/>
          <w:vertAlign w:val="superscript"/>
          <w:rtl/>
        </w:rPr>
        <w:t xml:space="preserve"> )</w:t>
      </w:r>
      <w:r>
        <w:rPr>
          <w:rFonts w:cs="Traditional Arabic" w:hint="cs"/>
          <w:sz w:val="28"/>
          <w:szCs w:val="32"/>
          <w:rtl/>
        </w:rPr>
        <w:t xml:space="preserve"> . ومما نص القانون عليه من بقاء الرهن مع انقضاء الدين المضمون دعوى الحلول ، فيجوز للشخص أن يفي بالدين فينقضي ، ويحل محل الدائن المرتهن حلولا قانونياً أو اختياريا ، فيرجع على الراهن بدعوى الرهن التي حل فيها محل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83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أن للكفيل العيني الحق في أن يتمسك بأوجه الدفع المتعلقة بالدين إلى جانب الدفوع الخاصة به ، فذلك واضح . ذلك أنه ما دام المدين الراهن يستطيع أن يتمسك بأوجه الدفع المتعلقة بالدين ، كأن يكون الدين باطلا أو قابلا للإبطال أو منقضياً ، كذلك يجوز للراهن ولو لم يكن هو المدين أن يتمسك بأوجه الدفع هذه ، فإن الرهن الواقع على عقاره تابع للدين ، فيكون باطلا أو قابلا للإبطال أو منقضياً بحسب الدين نفسه . وللكفيل العيني أن يتمسك بأوجه الدفع هذه ، حتى لو نزل عنها المدين . فإذا كان الدين قابلا للإبطال للغلط مثلا ، ونزل المدين عن التمسك بإبطال الدين ، فإن النزول لا يمنع الكفيل العيني من التمسك بإبطال الدين حتى يستطيع أن يبطل الرهن المعقود على عقاره . وفي هذا الخصوص تقول المذكرة الإيضاحية للمشروع التمهيدي : "فللكفيل العيني أن يتمسك بأوجه الدفع المتعلقة بالدين من بطلان أو انقضاء ، حتى لو تناول المدين عنها ، وهذا إلى جانب تمسكه $381 بأوجه الدفع الخاص به"</w:t>
      </w:r>
      <w:r>
        <w:rPr>
          <w:rFonts w:cs="Traditional Arabic" w:hint="cs"/>
          <w:sz w:val="28"/>
          <w:szCs w:val="32"/>
          <w:vertAlign w:val="superscript"/>
          <w:rtl/>
        </w:rPr>
        <w:t xml:space="preserve">( </w:t>
      </w:r>
      <w:r w:rsidRPr="00EC737F">
        <w:rPr>
          <w:rStyle w:val="ab"/>
          <w:rFonts w:cs="Traditional Arabic"/>
          <w:sz w:val="28"/>
          <w:szCs w:val="32"/>
          <w:rtl/>
        </w:rPr>
        <w:footnoteReference w:id="836"/>
      </w:r>
      <w:r>
        <w:rPr>
          <w:rFonts w:cs="Traditional Arabic" w:hint="cs"/>
          <w:sz w:val="28"/>
          <w:szCs w:val="32"/>
          <w:vertAlign w:val="superscript"/>
          <w:rtl/>
        </w:rPr>
        <w:t xml:space="preserve"> )</w:t>
      </w:r>
      <w:r>
        <w:rPr>
          <w:rFonts w:cs="Traditional Arabic" w:hint="cs"/>
          <w:sz w:val="28"/>
          <w:szCs w:val="32"/>
          <w:rtl/>
        </w:rPr>
        <w:t xml:space="preserve"> . فيكون إذن للكفيل العيني أن يتمسك بأوجه الدفع الخاصة بالدين نفسه لأنه يكفله . وله أيضاً أن </w:t>
      </w:r>
      <w:r>
        <w:rPr>
          <w:rFonts w:cs="Traditional Arabic" w:hint="cs"/>
          <w:sz w:val="28"/>
          <w:szCs w:val="32"/>
          <w:rtl/>
        </w:rPr>
        <w:lastRenderedPageBreak/>
        <w:t>يتمسك بأوجه الدفع الخاص به . وقد رأينا مثل ذلك في الكفالة ، إذ يجوز للكفيل الشخصي أن يتمسك بالدفوع المتعلقة بالدين ، وله أيضاً أن يتمسك بالدفوع الخاصة به</w:t>
      </w:r>
      <w:r>
        <w:rPr>
          <w:rFonts w:cs="Traditional Arabic" w:hint="cs"/>
          <w:sz w:val="28"/>
          <w:szCs w:val="32"/>
          <w:vertAlign w:val="superscript"/>
          <w:rtl/>
        </w:rPr>
        <w:t xml:space="preserve">( </w:t>
      </w:r>
      <w:r w:rsidRPr="00EC737F">
        <w:rPr>
          <w:rStyle w:val="ab"/>
          <w:rFonts w:cs="Traditional Arabic"/>
          <w:sz w:val="28"/>
          <w:szCs w:val="32"/>
          <w:rtl/>
        </w:rPr>
        <w:footnoteReference w:id="837"/>
      </w:r>
      <w:r>
        <w:rPr>
          <w:rFonts w:cs="Traditional Arabic" w:hint="cs"/>
          <w:sz w:val="28"/>
          <w:szCs w:val="32"/>
          <w:vertAlign w:val="superscript"/>
          <w:rtl/>
        </w:rPr>
        <w:t xml:space="preserve"> )</w:t>
      </w:r>
      <w:r>
        <w:rPr>
          <w:rFonts w:cs="Traditional Arabic" w:hint="cs"/>
          <w:sz w:val="28"/>
          <w:szCs w:val="32"/>
          <w:rtl/>
        </w:rPr>
        <w:t xml:space="preserve"> . وهذا طبيعي ، لأن الكفيل العيني له أن يتمسك بالدفوع التي يتمسك بها الكفيل الشخصي ، فهو لم يخرج عن كونه كفيلا يضمن دين الغير ، فيستطيع أن يتمسك بالدفوع الخاصة بهذا الدين وبالدفوع الخاصة به هو . والدفوع المعلقة بالدين نفسه ، سبق أن ذكرنا أمثلة لها في تمسك المدين الراهن بها ، فيجوز للكفيل العنين أن يتمسك بهذا الدفوع ، كأن يتمسك بأن الدين باطل أو قابل للإبطال أو منقض . أما الدفوع المتعلقة بالكفيل العيني نفسه ، فهي ترجع إلى العقد المبرم ما بين الكفيل العينين والدائن المرتهن . فيجوز أن يكون هذا العقد باطلا أو قابلا للإبطال ، دون أن يكون الدين المضمون باطلا أو قابلا للإبطال ، ففي هذه الحالة يجوز  للكفيل العيني أن يدفع با ، عقده مع الدائن المرتهن باطل أو قابل للإبطال ، فيتخلص من الرهن الذي عقده مع بقاء المدين الأصلي ملزماً بالدين . وقد ترجع الدفوع الخاصة بالكفيل العيني إلى ما يرد على عقده من أوصاف ، كعدم تحقق الشرط الواقف أو تحقق الشرط الفاسخ فيتمسك الكفيل العيني بأن الرهن الذي عقده لم ينشأ ، لأنه كان معلقاً على شرط واقف ولم يتحقق هذا الشرط ، أو كان معلقاً على شرط فاسخ وتحقق هذا الشرط . كذلك قد ترجع الدفوع الخاصة بالكفيل العيني إلى أن الرهن قد انحل عن عقاره دون أن ينقضي الدين المضمون ، ويتحقق ذلك مثلا إذا نل الدائن المرتهن عن الرهن فينقضي دون أن ينقضي الدين المضمون ، فيجو للكفيل العيني في هذه الحالة أن يتمسك باقتضاء الرهن .</w:t>
      </w:r>
    </w:p>
    <w:p w:rsidR="00F72742" w:rsidRPr="00454D75"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$382 </w:t>
      </w:r>
      <w:r w:rsidRPr="001905AE">
        <w:rPr>
          <w:rFonts w:cs="Traditional Arabic" w:hint="cs"/>
          <w:b/>
          <w:bCs/>
          <w:sz w:val="52"/>
          <w:szCs w:val="52"/>
          <w:rtl/>
        </w:rPr>
        <w:t>الفصل الثاني</w:t>
      </w:r>
    </w:p>
    <w:p w:rsidR="00F72742" w:rsidRPr="00454D75" w:rsidRDefault="00F72742" w:rsidP="00F72742">
      <w:pPr>
        <w:widowControl w:val="0"/>
        <w:spacing w:after="120"/>
        <w:jc w:val="center"/>
        <w:rPr>
          <w:rFonts w:cs="Traditional Arabic" w:hint="cs"/>
          <w:b/>
          <w:bCs/>
          <w:sz w:val="28"/>
          <w:szCs w:val="32"/>
          <w:rtl/>
        </w:rPr>
      </w:pPr>
      <w:r w:rsidRPr="00454D75">
        <w:rPr>
          <w:rFonts w:cs="Traditional Arabic" w:hint="cs"/>
          <w:b/>
          <w:bCs/>
          <w:sz w:val="28"/>
          <w:szCs w:val="32"/>
          <w:rtl/>
        </w:rPr>
        <w:t>آثار الرهن الرسمي</w:t>
      </w:r>
    </w:p>
    <w:p w:rsidR="00F72742" w:rsidRDefault="00F72742" w:rsidP="00F72742">
      <w:pPr>
        <w:widowControl w:val="0"/>
        <w:spacing w:after="120"/>
        <w:ind w:firstLine="567"/>
        <w:jc w:val="lowKashida"/>
        <w:rPr>
          <w:rFonts w:cs="Traditional Arabic" w:hint="cs"/>
          <w:sz w:val="28"/>
          <w:szCs w:val="32"/>
          <w:rtl/>
        </w:rPr>
      </w:pPr>
      <w:r w:rsidRPr="00454D75">
        <w:rPr>
          <w:rFonts w:cs="Traditional Arabic" w:hint="cs"/>
          <w:b/>
          <w:bCs/>
          <w:sz w:val="28"/>
          <w:szCs w:val="32"/>
          <w:rtl/>
        </w:rPr>
        <w:t>166- آثار الرهن الرسمي فيما بين المتعاقدين وبالنسبة إلى الغير</w:t>
      </w:r>
      <w:r>
        <w:rPr>
          <w:rFonts w:cs="Traditional Arabic" w:hint="cs"/>
          <w:sz w:val="28"/>
          <w:szCs w:val="32"/>
          <w:rtl/>
        </w:rPr>
        <w:t xml:space="preserve"> : عقد الرهن الرسمي يكسب الدائن المرتهن حقاً على العقار المرهون هو حق الرهن ، وهذا الحق يقيم علاقة فيما بينه وبين الراهن . وبموجب هذا الحق يستطيع الدائن المرتهن ، إذا حل أجل دينه ، أن يستعمل دعوى الرهن على </w:t>
      </w:r>
      <w:r>
        <w:rPr>
          <w:rFonts w:cs="Traditional Arabic" w:hint="cs"/>
          <w:sz w:val="28"/>
          <w:szCs w:val="32"/>
          <w:rtl/>
        </w:rPr>
        <w:lastRenderedPageBreak/>
        <w:t>العقار المرهون ، فيكون له حق تقدم على جميع الدائنين العاديين لمدينه وكذلك على الدائنين المقيدين إذا كانوا متأخرين في المرتبة . ويكون له كذلك حق تتبع ، فيتتبع العقار المرهون ، فيما إذا انتقلت ملكيته من الراهن ، في يد من انتقلت إليه الملكية وهو الحائز للعقار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نقسم هذا الفصل الثاني إلى فرعين : ( 1 ) آثار الرهن الرسمي فيما بين المتعاقدين . ( 2 ) آثار الرهن الرسمي بالنسبة إلى الغير .</w:t>
      </w:r>
    </w:p>
    <w:p w:rsidR="00F72742" w:rsidRPr="001905AE" w:rsidRDefault="00F72742" w:rsidP="00F72742">
      <w:pPr>
        <w:widowControl w:val="0"/>
        <w:spacing w:after="120"/>
        <w:jc w:val="center"/>
        <w:rPr>
          <w:rFonts w:cs="Traditional Arabic" w:hint="cs"/>
          <w:b/>
          <w:bCs/>
          <w:sz w:val="44"/>
          <w:szCs w:val="44"/>
          <w:rtl/>
        </w:rPr>
      </w:pPr>
      <w:r w:rsidRPr="001905AE">
        <w:rPr>
          <w:rFonts w:cs="Traditional Arabic" w:hint="cs"/>
          <w:b/>
          <w:bCs/>
          <w:sz w:val="44"/>
          <w:szCs w:val="44"/>
          <w:rtl/>
        </w:rPr>
        <w:t>الفرع الأول</w:t>
      </w:r>
    </w:p>
    <w:p w:rsidR="00F72742" w:rsidRPr="001905AE" w:rsidRDefault="00F72742" w:rsidP="00F72742">
      <w:pPr>
        <w:widowControl w:val="0"/>
        <w:spacing w:after="120"/>
        <w:jc w:val="center"/>
        <w:rPr>
          <w:rFonts w:cs="Traditional Arabic" w:hint="cs"/>
          <w:b/>
          <w:bCs/>
          <w:sz w:val="28"/>
          <w:szCs w:val="32"/>
          <w:rtl/>
        </w:rPr>
      </w:pPr>
      <w:r w:rsidRPr="001905AE">
        <w:rPr>
          <w:rFonts w:cs="Traditional Arabic" w:hint="cs"/>
          <w:b/>
          <w:bCs/>
          <w:sz w:val="28"/>
          <w:szCs w:val="32"/>
          <w:rtl/>
        </w:rPr>
        <w:t>آثار الرهن الرسمي فيما بين المتعاقدين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167- آثار الرهن الرسمي فيما يتعلق بالراهن وفيما يتعلق بالدائن المرتهن</w:t>
      </w:r>
      <w:r>
        <w:rPr>
          <w:rFonts w:cs="Traditional Arabic" w:hint="cs"/>
          <w:sz w:val="28"/>
          <w:szCs w:val="32"/>
          <w:rtl/>
        </w:rPr>
        <w:t xml:space="preserve"> :  عقد الرهن الرسمي يلزم الراهن دون أن يلزم الدائن المرتهن ، وحق الرهن الرسمي لا يحرم الراهن من ملكيته للعقار المرهون إلا إذا نزعت ملكيته تنفيذاً عليه . ويرتب الرهن الرسمي للدائن المرتهن في مواجهة الراهن .</w:t>
      </w:r>
    </w:p>
    <w:p w:rsidR="00F72742" w:rsidRPr="00357C7A" w:rsidRDefault="00F72742" w:rsidP="00F72742">
      <w:pPr>
        <w:widowControl w:val="0"/>
        <w:spacing w:after="120"/>
        <w:jc w:val="center"/>
        <w:rPr>
          <w:rFonts w:cs="Traditional Arabic" w:hint="cs"/>
          <w:b/>
          <w:bCs/>
          <w:sz w:val="28"/>
          <w:szCs w:val="32"/>
          <w:rtl/>
        </w:rPr>
      </w:pPr>
      <w:r w:rsidRPr="00357C7A">
        <w:rPr>
          <w:rFonts w:cs="Traditional Arabic" w:hint="cs"/>
          <w:sz w:val="28"/>
          <w:szCs w:val="32"/>
          <w:rtl/>
        </w:rPr>
        <w:t>$383</w:t>
      </w:r>
      <w:r w:rsidRPr="00357C7A">
        <w:rPr>
          <w:rFonts w:cs="Traditional Arabic" w:hint="cs"/>
          <w:b/>
          <w:bCs/>
          <w:sz w:val="28"/>
          <w:szCs w:val="32"/>
          <w:rtl/>
        </w:rPr>
        <w:t xml:space="preserve"> </w:t>
      </w:r>
      <w:r w:rsidRPr="00357C7A">
        <w:rPr>
          <w:rFonts w:cs="Traditional Arabic" w:hint="cs"/>
          <w:b/>
          <w:bCs/>
          <w:sz w:val="40"/>
          <w:szCs w:val="40"/>
          <w:rtl/>
        </w:rPr>
        <w:t>المبحث الأول</w:t>
      </w:r>
    </w:p>
    <w:p w:rsidR="00F72742" w:rsidRPr="00357C7A" w:rsidRDefault="00F72742" w:rsidP="00F72742">
      <w:pPr>
        <w:widowControl w:val="0"/>
        <w:spacing w:after="120"/>
        <w:jc w:val="center"/>
        <w:rPr>
          <w:rFonts w:cs="Traditional Arabic" w:hint="cs"/>
          <w:b/>
          <w:bCs/>
          <w:sz w:val="28"/>
          <w:szCs w:val="32"/>
          <w:rtl/>
        </w:rPr>
      </w:pPr>
      <w:r w:rsidRPr="00357C7A">
        <w:rPr>
          <w:rFonts w:cs="Traditional Arabic" w:hint="cs"/>
          <w:b/>
          <w:bCs/>
          <w:sz w:val="28"/>
          <w:szCs w:val="32"/>
          <w:rtl/>
        </w:rPr>
        <w:t>آثار الرهن الرسمي فيما يتعلق بالراهن</w:t>
      </w:r>
    </w:p>
    <w:p w:rsidR="00F72742" w:rsidRPr="00357C7A"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357C7A">
        <w:rPr>
          <w:rFonts w:cs="Traditional Arabic" w:hint="cs"/>
          <w:b/>
          <w:bCs/>
          <w:sz w:val="28"/>
          <w:szCs w:val="32"/>
          <w:rtl/>
        </w:rPr>
        <w:t xml:space="preserve">1 </w:t>
      </w:r>
      <w:r w:rsidRPr="00357C7A">
        <w:rPr>
          <w:rFonts w:cs="Traditional Arabic"/>
          <w:b/>
          <w:bCs/>
          <w:sz w:val="28"/>
          <w:szCs w:val="32"/>
          <w:rtl/>
        </w:rPr>
        <w:t>–</w:t>
      </w:r>
      <w:r w:rsidRPr="00357C7A">
        <w:rPr>
          <w:rFonts w:cs="Traditional Arabic" w:hint="cs"/>
          <w:b/>
          <w:bCs/>
          <w:sz w:val="28"/>
          <w:szCs w:val="32"/>
          <w:rtl/>
        </w:rPr>
        <w:t xml:space="preserve"> التزام الراهن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168- التزامان</w:t>
      </w:r>
      <w:r>
        <w:rPr>
          <w:rFonts w:cs="Traditional Arabic" w:hint="cs"/>
          <w:sz w:val="28"/>
          <w:szCs w:val="32"/>
          <w:rtl/>
        </w:rPr>
        <w:t xml:space="preserve"> : يلزم عقد الرهن الرسمي الراهن ، سواء كان هو المدين أو كان كفيلا عينياً ، بالتزامين : ( 1 ) إنشاء الراهن لحق عيني على العقار المرهون هو حق الرهن . ( 2 ) ضمان الراهن لسلامة حق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169- إنشاء الراهن لحق الرهن</w:t>
      </w:r>
      <w:r>
        <w:rPr>
          <w:rFonts w:cs="Traditional Arabic" w:hint="cs"/>
          <w:sz w:val="28"/>
          <w:szCs w:val="32"/>
          <w:rtl/>
        </w:rPr>
        <w:t xml:space="preserve"> : يلتزم الراهن بإنشاء حق الرهن للدائن المرتهن على العقار المرهون ، كما يلتزم البائع بنقل ملكية العين المبيعة إلى المشتري</w:t>
      </w:r>
      <w:r>
        <w:rPr>
          <w:rFonts w:cs="Traditional Arabic" w:hint="cs"/>
          <w:sz w:val="28"/>
          <w:szCs w:val="32"/>
          <w:vertAlign w:val="superscript"/>
          <w:rtl/>
        </w:rPr>
        <w:t xml:space="preserve">( </w:t>
      </w:r>
      <w:r w:rsidRPr="00EC737F">
        <w:rPr>
          <w:rStyle w:val="ab"/>
          <w:rFonts w:cs="Traditional Arabic"/>
          <w:sz w:val="28"/>
          <w:szCs w:val="32"/>
          <w:rtl/>
        </w:rPr>
        <w:footnoteReference w:id="838"/>
      </w:r>
      <w:r>
        <w:rPr>
          <w:rFonts w:cs="Traditional Arabic" w:hint="cs"/>
          <w:sz w:val="28"/>
          <w:szCs w:val="32"/>
          <w:vertAlign w:val="superscript"/>
          <w:rtl/>
        </w:rPr>
        <w:t xml:space="preserve"> )</w:t>
      </w:r>
      <w:r>
        <w:rPr>
          <w:rFonts w:cs="Traditional Arabic" w:hint="cs"/>
          <w:sz w:val="28"/>
          <w:szCs w:val="32"/>
          <w:rtl/>
        </w:rPr>
        <w:t xml:space="preserve"> . فإذا كان الراهن مالكاً للعقار المرهون </w:t>
      </w:r>
      <w:r>
        <w:rPr>
          <w:rFonts w:cs="Traditional Arabic" w:hint="cs"/>
          <w:sz w:val="28"/>
          <w:szCs w:val="32"/>
          <w:rtl/>
        </w:rPr>
        <w:lastRenderedPageBreak/>
        <w:t>، أنشئ حق الرهن الرسمي من تلقاء نفسه . وفي هذا تقول المادة 204 مدني : "الالتزام ينقل الملكية أو أي حق عيني آخر ينقل من تلقاء نفسه هذا الحق ، إذا كان محل الالتزام شيئاً معيناً بالذات يملكه الملتزم ، وذلك دون إخلال بالقواعد المتعلقة بالتسجيل" . وهذا النصي شمل الالتزام بإنشاء حق عيني والالتزام بنقل حق عيني ، فينشأ الحق العيني إذا كان محل الالتزام شيئاً معيناً بالذات يملكه الملتزم . فإذا كان الراهن يملك العقار المرهون ، كان العقار شيئاً معيناً بالذات يملكه الملتزم ، فينشأ حق الرسمي من تلقاء نفسه بمجرد انعقاد عقد $384 الرهن الرسمي صحيحاً . ولا شأن لنا هنا بالقواعد المتعلقة بالتسجيل لأن قواعد التسجيل لا يخضع لها الرهن وإنما يخضع لقواعد القيد كما سنرى . وعلى ذل يتم تنفيذ هذا الالتزام الأول بإنشاء حق الرهن الرسمي بمجرد انعقاد البيع الصحيح قبل قانون التسجيل الصادر في سنة 1923 إذ كان عقد البيع نفسه دون تسجيل ينشئ التزاماً بنقل ملكية المبيع . وهذا هو الرأي السائد في هذا الخصوص ، وتقول المذكرة الإيضاحية للمشروع التمهيدي : "ويستخلص من مجموع هذا الأحكام أن عقد الرهن يرتب حقاً عينياً على العقار المرهون ، ويترتب هذا الحق دون حاجة إلى القيد فيما بين المتعاقدين ، ولا ينفذ في حق الغير إلا بالقيد"</w:t>
      </w:r>
      <w:r>
        <w:rPr>
          <w:rFonts w:cs="Traditional Arabic" w:hint="cs"/>
          <w:sz w:val="28"/>
          <w:szCs w:val="32"/>
          <w:vertAlign w:val="superscript"/>
          <w:rtl/>
        </w:rPr>
        <w:t xml:space="preserve">( </w:t>
      </w:r>
      <w:r w:rsidRPr="00EC737F">
        <w:rPr>
          <w:rStyle w:val="ab"/>
          <w:rFonts w:cs="Traditional Arabic"/>
          <w:sz w:val="28"/>
          <w:szCs w:val="32"/>
          <w:rtl/>
        </w:rPr>
        <w:footnoteReference w:id="8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وهناك رأي يذهب إلى أن "المصدر الحقيقي للرهن الرسمي هو واقعة القيد  . . . أما العقد فلا يمكن </w:t>
      </w:r>
      <w:r>
        <w:rPr>
          <w:rFonts w:cs="Traditional Arabic" w:hint="cs"/>
          <w:sz w:val="28"/>
          <w:szCs w:val="32"/>
          <w:rtl/>
        </w:rPr>
        <w:lastRenderedPageBreak/>
        <w:t>أن يتولد عنه التأمين العيني بما يستوجبه من حق التقدم وحق التتبع ، ذلك أن العقد يقتصر أثره في الأصل على المتعاقدين ولا يتعداهما ، في حين أن التأمين العيني يظهر أثره ابتداء في حق الغير . ولذلك فهو لا ينشأ إلا عن تلك الواقعة القانونية التي جعلها القانون مصدراً للتأمين العيني  . . . فالواقع أن حق الرهن لا وجود له فيما بين المتعاقدين ولا ينشأ عن عقد الرهن ، وهو إذا نشأ كان حتماً نافذاً في حق الغير ، وإلا لما كانت هناك فائدة من وجوده"</w:t>
      </w:r>
      <w:r>
        <w:rPr>
          <w:rFonts w:cs="Traditional Arabic" w:hint="cs"/>
          <w:sz w:val="28"/>
          <w:szCs w:val="32"/>
          <w:vertAlign w:val="superscript"/>
          <w:rtl/>
        </w:rPr>
        <w:t xml:space="preserve">( </w:t>
      </w:r>
      <w:r w:rsidRPr="00EC737F">
        <w:rPr>
          <w:rStyle w:val="ab"/>
          <w:rFonts w:cs="Traditional Arabic"/>
          <w:sz w:val="28"/>
          <w:szCs w:val="32"/>
          <w:rtl/>
        </w:rPr>
        <w:footnoteReference w:id="840"/>
      </w:r>
      <w:r>
        <w:rPr>
          <w:rFonts w:cs="Traditional Arabic" w:hint="cs"/>
          <w:sz w:val="28"/>
          <w:szCs w:val="32"/>
          <w:vertAlign w:val="superscript"/>
          <w:rtl/>
        </w:rPr>
        <w:t xml:space="preserve"> )</w:t>
      </w:r>
      <w:r>
        <w:rPr>
          <w:rFonts w:cs="Traditional Arabic" w:hint="cs"/>
          <w:sz w:val="28"/>
          <w:szCs w:val="32"/>
          <w:rtl/>
        </w:rPr>
        <w:t xml:space="preserve"> . وينضم إلى هذا الرأي $385 فقيه آخر أن حق الرهن لا ينشأ إلا ابتداء من وقت القيد ، ولكنه لا يرى لهذا الخلاف أثراً علمياً</w:t>
      </w:r>
      <w:r>
        <w:rPr>
          <w:rFonts w:cs="Traditional Arabic" w:hint="cs"/>
          <w:sz w:val="28"/>
          <w:szCs w:val="32"/>
          <w:vertAlign w:val="superscript"/>
          <w:rtl/>
        </w:rPr>
        <w:t xml:space="preserve">( </w:t>
      </w:r>
      <w:r w:rsidRPr="00EC737F">
        <w:rPr>
          <w:rStyle w:val="ab"/>
          <w:rFonts w:cs="Traditional Arabic"/>
          <w:sz w:val="28"/>
          <w:szCs w:val="32"/>
          <w:rtl/>
        </w:rPr>
        <w:footnoteReference w:id="84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والخلاف ليس له اثر عملي كبير ، وهو أقرب إلى الفقه منه إلى العمل . والذي يجعل المسألة قريبة من العمل هو ، كما يقول أحد الفقهاء ، هل إذا بيع العقار المرهون قبل القيد يباع بموجب حق الرهن أو بموجب الحق في الضمان العام؟ ويجيب الفقيه على ذلك بحق أن المرتهن يستطيع أن ينفذ على العقار المرهون قبل القيد باعتباره دائناً مرتهناً لا باعتباره دائناً عادياً ، "ويظهر هذا بصفة خاصة في الحالات التي لا يكون فيها للمرتهن أي حق في الضمان العام في مواجهة الراهن ، كما لو كان الراهن شخصاً آخر غير المدين وهو الكفل العيني ، وفي شأنه يقرر المشروع في المادة 1050 مدني أنه لا يجوز التنفيذ على ماله إلا ما رهن من هذا المال  . . ولا يعتبر هذا مباشرة للضمان العام للدائن إذا ليس للدائن ضمان عام أصلا على ذمة الكفيل العيني ، فحقه قاصر فقط على الرهن الوارد على عقار مملوك للراهن غير المدين"</w:t>
      </w:r>
      <w:r>
        <w:rPr>
          <w:rFonts w:cs="Traditional Arabic" w:hint="cs"/>
          <w:sz w:val="28"/>
          <w:szCs w:val="32"/>
          <w:vertAlign w:val="superscript"/>
          <w:rtl/>
        </w:rPr>
        <w:t xml:space="preserve">( </w:t>
      </w:r>
      <w:r w:rsidRPr="00EC737F">
        <w:rPr>
          <w:rStyle w:val="ab"/>
          <w:rFonts w:cs="Traditional Arabic"/>
          <w:sz w:val="28"/>
          <w:szCs w:val="32"/>
          <w:rtl/>
        </w:rPr>
        <w:footnoteReference w:id="8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$386 </w:t>
      </w:r>
      <w:r>
        <w:rPr>
          <w:rFonts w:cs="Traditional Arabic" w:hint="cs"/>
          <w:b/>
          <w:bCs/>
          <w:sz w:val="28"/>
          <w:szCs w:val="32"/>
          <w:rtl/>
        </w:rPr>
        <w:t xml:space="preserve">170- ضمان الراهن لسلامة حق الرهن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"يلتزم الراهن بضمان سلامة الرهن ، وللدائن المرتهن أن يعترض على كل  عمل أو تقصير يكون من شأنه إنقاص ضمانه إنقاصاً كبيراً ، وله في حالة الاستعجال أن يتخذ ما يلزم من الوسائل التحفظية وأن يرجع على الراهن بما ينفق في ذلك"</w:t>
      </w:r>
      <w:r>
        <w:rPr>
          <w:rFonts w:cs="Traditional Arabic" w:hint="cs"/>
          <w:sz w:val="28"/>
          <w:szCs w:val="32"/>
          <w:vertAlign w:val="superscript"/>
          <w:rtl/>
        </w:rPr>
        <w:t xml:space="preserve">( </w:t>
      </w:r>
      <w:r w:rsidRPr="00EC737F">
        <w:rPr>
          <w:rStyle w:val="ab"/>
          <w:rFonts w:cs="Traditional Arabic"/>
          <w:sz w:val="28"/>
          <w:szCs w:val="32"/>
          <w:rtl/>
        </w:rPr>
        <w:footnoteReference w:id="8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عرض المشرع في هذا النص لضمان الراهن لسلامة حق الرهن ، وعرض في النص التالي ( م 1048 مدني ) تطبيقاً لذلك لهلاك العقار المرهون أو تلفه ، وعرض في النص الذي بعده ( م 1049 مدني ) لحلول الحق الذي يترتب على هلاك العقار المرهون أو تلفه محل العقار المرهون حلولا عينياً . وتعالج هذه المسائل الثلاث بهذا الترتيب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ففيما يتعلق بضمان الراهن لسلامة حق الرهن ، يكون هذا الضمان في عقد الرهن الرسمي كضمان البائع للتعرض والاستحقاق في عقد البيع . فلا يجوز ، فيما يتعلق بضمان التعرض الشخصي ، أن يقوم </w:t>
      </w:r>
      <w:r>
        <w:rPr>
          <w:rFonts w:cs="Traditional Arabic" w:hint="cs"/>
          <w:sz w:val="28"/>
          <w:szCs w:val="32"/>
          <w:rtl/>
        </w:rPr>
        <w:lastRenderedPageBreak/>
        <w:t>الراهن بترتيب أي حق على $387 العقار المرهون يشهر قبل قيد الرهن ، أو أن يقوم بأي عمل يترتب عليه إنقاص  العقار المرهون إنقاصاً كبيراً أو تخريبه . وإذا نزع الراهن شيئاً من العقار المرهون أو من ملحقاته ، كأن يبيع المواشي التي تخدم الأرض أو يبيع الأنقاض بعد هدم جزء من المباني ، فتقع في يد مشتر حسن النية فيملكها بالحيازة خالصة من الرهن ، كان للدائن المرتهن الرجوع على الراهن بضمان التعرض الشخصي</w:t>
      </w:r>
      <w:r>
        <w:rPr>
          <w:rFonts w:cs="Traditional Arabic" w:hint="cs"/>
          <w:sz w:val="28"/>
          <w:szCs w:val="32"/>
          <w:vertAlign w:val="superscript"/>
          <w:rtl/>
        </w:rPr>
        <w:t xml:space="preserve">( </w:t>
      </w:r>
      <w:r w:rsidRPr="00EC737F">
        <w:rPr>
          <w:rStyle w:val="ab"/>
          <w:rFonts w:cs="Traditional Arabic"/>
          <w:sz w:val="28"/>
          <w:szCs w:val="32"/>
          <w:rtl/>
        </w:rPr>
        <w:footnoteReference w:id="844"/>
      </w:r>
      <w:r>
        <w:rPr>
          <w:rFonts w:cs="Traditional Arabic" w:hint="cs"/>
          <w:sz w:val="28"/>
          <w:szCs w:val="32"/>
          <w:vertAlign w:val="superscript"/>
          <w:rtl/>
        </w:rPr>
        <w:t xml:space="preserve"> )</w:t>
      </w:r>
      <w:r>
        <w:rPr>
          <w:rFonts w:cs="Traditional Arabic" w:hint="cs"/>
          <w:sz w:val="28"/>
          <w:szCs w:val="32"/>
          <w:rtl/>
        </w:rPr>
        <w:t xml:space="preserve"> . فيعيد الراهن إلى الأرض مواشي أخرى تساوي في القيمة المواشي التي بيعت ، أو يرمم المباني فيعيدها سيرتها الأولى . وإذا لم يتسلم المشتري المواشي أو الأنقاض ، أو تسلمها وهو سيء النية ، فإنها تبقى مثقلة بحق الرهن . ويجوز للدائن المرتهن أيضاً أن يتخذ ما يلزم من الوسائل التحفظية ، كأن يطلب إقامة حارس وقد يقيم الراهن نفسه حارساً ، وكأن يطلب ترميم ما تخرب من العقار المرهون ، وله أن يرجع على الراهن بما أنفق من المصروفات في كل ذلك</w:t>
      </w:r>
      <w:r>
        <w:rPr>
          <w:rFonts w:cs="Traditional Arabic" w:hint="cs"/>
          <w:sz w:val="28"/>
          <w:szCs w:val="32"/>
          <w:vertAlign w:val="superscript"/>
          <w:rtl/>
        </w:rPr>
        <w:t xml:space="preserve">( </w:t>
      </w:r>
      <w:r w:rsidRPr="00EC737F">
        <w:rPr>
          <w:rStyle w:val="ab"/>
          <w:rFonts w:cs="Traditional Arabic"/>
          <w:sz w:val="28"/>
          <w:szCs w:val="32"/>
          <w:rtl/>
        </w:rPr>
        <w:footnoteReference w:id="845"/>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$388 وفيما يتعلق بضمان الراهن لتعرض الغير ، يكون الراهن ملتزماً بدفع  كل ادعاء للغير بحق على العين المرهونة من شأنه أن يمس بحق الدائن المرتهن . فإذا ادعي الغير أنه هو المالك للعقار وأن الرهن </w:t>
      </w:r>
      <w:r>
        <w:rPr>
          <w:rFonts w:cs="Traditional Arabic" w:hint="cs"/>
          <w:sz w:val="28"/>
          <w:szCs w:val="32"/>
          <w:rtl/>
        </w:rPr>
        <w:lastRenderedPageBreak/>
        <w:t>الصادر من الراهن لم ينقل إلى المرتهن حق الرهن لأنه صادر من غير مالك ، أو ادعي الغير أنه دائن مرتهن قدي حق رهنه على العقار المرهون قبل أن يقيد الدائن المرتهن حقه ، أو ادعي أن له حق ارتفاق على العقار المرهون وكان الدائن المرتهن قد رتب حق رهنه على أن حق الارتفاق هذا لا يوجد ، فعلى الراهن أن يدفع هذا الادعاء من الغير . فإن لم يستطع ، كان للدائن المرتهن أن يطالب بتقديم تأمين كافٍ أو بتكملة التأمين المقدم ، أو بسقوط أجل الدين ودفعه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من ذلك أن ضمان الراهن لتعرضه الشخصي ولتعرض الغير هو في الواقع من الأمر الجزاء الكافي على التزام الراهن بضمان سلامة الرهن ، فالراهن ملتزم بأن يكون الرهن مستجيباً للأغراض التي عقده من أجلها ، فإن اختل غرض من هذه الأغراض ، سواء بخطأ الراهن أو بغير خطأه ، وجب على الراهن الضمان على النحو الذي أسلفناه فيما تقدم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171- هلاك العقار المرهون أو تلفه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إذا تسبب الراهن بخطأه في هلاك العقار أو تلفه ، كان الدائن المرتهن مخبراً بين أن يقتضي تأميناً كافياً أو يستوفي حقه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فإذا كان الهلاك أو التف قد نشأ عن سبب أجنبي ولم يقبل الدائن بقاء المدين بلا تأمين ، كان المدين مخيراً بين أن يقدم تأميناً كافياً أو أن يوفي الدين فوراً قبل حلول الأجل . وفي الحالة الأخيرة إذا لم يكن للدين فوائد ، فلا يكون للدائن حق إلا في استيفاء مبلغ يعادل قيمة الدين منقوصاً منها الفوائد بالسعر القانوني عن المدة ما بين تاريخ الوفاء وتاريخ حلول أجل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$389 "3- وفي جميع الأحوال إذا وقعت أعمال من شأنها أن تعرض العقار المرهون للهلاك أو التلف أو تجعله غير كافٍ للضمان كان للدائن أن يطلب إلى القاضي وقف هذه الأعمال واتخاذ الوسائل التي تمنع وقوع الضرر"</w:t>
      </w:r>
      <w:r>
        <w:rPr>
          <w:rFonts w:cs="Traditional Arabic" w:hint="cs"/>
          <w:sz w:val="28"/>
          <w:szCs w:val="32"/>
          <w:vertAlign w:val="superscript"/>
          <w:rtl/>
        </w:rPr>
        <w:t xml:space="preserve">( </w:t>
      </w:r>
      <w:r w:rsidRPr="00EC737F">
        <w:rPr>
          <w:rStyle w:val="ab"/>
          <w:rFonts w:cs="Traditional Arabic"/>
          <w:sz w:val="28"/>
          <w:szCs w:val="32"/>
          <w:rtl/>
        </w:rPr>
        <w:footnoteReference w:id="846"/>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وليس هذا النص إلا تطبقاً لما قدمناه من التزام الراهن بسلامة حق الرهن ، وهو في الوقت ذاته تطبيق خاص بعقد الرهن الرسمي لقاعدة عامة في الدين المؤجل إذا كان ضعف التأمين الخاص بهذا الدين راجعاً إلى خطأ المدين أو إلى سبب لا دخل لإرادة المدين فيه ذلك أن المادة 273/2 مدني تنص على ما يأتي : "يسقط حق المدين في الأجل" ( 1 )  . . . . . . . . . ( 2 ) إذا أضعف بفعله إلى حد كبير ما أعطي الدائن من تأمين خاص ، ولو كان هذا التأمين قد أعطي بعقد لاحق أو بمقتضى القانون ، هذا ما لم يؤثر الدائن أن يطالب بتكملة التأمين . أما إذا كان إضعاف التأمين يرجع إلى سبب لا دخل لإرادة المدين فيه . فإن الأجل يسقط ما لم يقدم المدين للدائن ضماناً كافياً . ( 3 )  . . . " . وعلى ذلك إذا هلك العقار المرهون أو تلف كأن احترق أو تهدم ، فقد يكون السبب في هلاك العقار أو تلفه خطأ المدين الراهن أو خطأ الدائن المرتهن ، أو سبباً أجنبياً لا دخل لإرادة الاثنين فيه كما لو وقع الهلاك أو التلف بفعل الغير أو قضاء وقدراً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$390 فإن كان الهلاك أو التلف بخطأ المدين الراهن ، كان للدائن المرتهن الخيار بين أن يقتضي تأميناً كافياً بدلا من التأمين الهالك أو التالف ، أو أن يسقط أجل الدين حالا فيتقاضاه فوراً . وهذه الرعاية لجانب الدائن المرتهن سببها أن الهلاك أو التلف قد قع بخطأ المدين الراهن ، فوجب أن يكون الخيار للدائن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847"/>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وإن كان الهلاك أو التلف بخطأ الدائن المرتهن ، وهذا نادر لأن حيازة العقار في الرهن الرسمي لا تنتقل إلى الدائن المرتهن فيبقى هذا بعيداً عنه ، لم يطلب الدائن المرتهن شيئاً لأن الهلاك بخطأه هو . بل يجب عليه أن يدفع تعويضاً عما أتلفه بخطأه بناء على قواعد المسئولية التقصيرية ، وهذا التعويض يحل محل ما هلك من العقار أو تلف ، ويصبح مرهوناً مثله في دين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848"/>
      </w:r>
      <w:r>
        <w:rPr>
          <w:rFonts w:cs="Traditional Arabic" w:hint="cs"/>
          <w:sz w:val="28"/>
          <w:szCs w:val="32"/>
          <w:vertAlign w:val="superscript"/>
          <w:rtl/>
        </w:rPr>
        <w:t xml:space="preserve"> )</w:t>
      </w:r>
      <w:r>
        <w:rPr>
          <w:rFonts w:cs="Traditional Arabic" w:hint="cs"/>
          <w:sz w:val="28"/>
          <w:szCs w:val="32"/>
          <w:rtl/>
        </w:rPr>
        <w:t xml:space="preserve"> . وهذا مثل من أمثلة الحلول العيني سيأتي بيانه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كان الهلاك أو التلف بسبب أجنبي ، كان المدين الراهن بالخيار بين إسقاط أجل الدين ودفع الدين فوراً للدائن المرتهن أو تقديم تأمين كافٍ بدلا من التأمين الهالك أو التالف . فإذا اختار المدين الراهن الأمر الأول وكان الدين بفوائد اتفاقية ، لم يدفع المدين الراهن من هذه الفوائد إلا ما سرى منها وقت إسقاط أجل الدين . أما إذا كان الدين بغير فوائد اتفاقية ، فإن المدين الراهن يستنزل م الدين قبل دفعه فوائد بالسعر القانوني ( 4% في المسائل المدنية و 5% في المسائل التجارية ) عن المدة ما بين وفاء الدين للدائن $391 المرتهن وحلول أجل الدين في ميعاده الأصلي ، لأن المدين الراهن لم يستفد من الدين في هذه المدة</w:t>
      </w:r>
      <w:r>
        <w:rPr>
          <w:rFonts w:cs="Traditional Arabic" w:hint="cs"/>
          <w:sz w:val="28"/>
          <w:szCs w:val="32"/>
          <w:vertAlign w:val="superscript"/>
          <w:rtl/>
        </w:rPr>
        <w:t xml:space="preserve">( </w:t>
      </w:r>
      <w:r w:rsidRPr="00EC737F">
        <w:rPr>
          <w:rStyle w:val="ab"/>
          <w:rFonts w:cs="Traditional Arabic"/>
          <w:sz w:val="28"/>
          <w:szCs w:val="32"/>
          <w:rtl/>
        </w:rPr>
        <w:footnoteReference w:id="849"/>
      </w:r>
      <w:r>
        <w:rPr>
          <w:rFonts w:cs="Traditional Arabic" w:hint="cs"/>
          <w:sz w:val="28"/>
          <w:szCs w:val="32"/>
          <w:vertAlign w:val="superscript"/>
          <w:rtl/>
        </w:rPr>
        <w:t xml:space="preserve"> )</w:t>
      </w:r>
      <w:r>
        <w:rPr>
          <w:rFonts w:cs="Traditional Arabic" w:hint="cs"/>
          <w:sz w:val="28"/>
          <w:szCs w:val="32"/>
          <w:rtl/>
        </w:rPr>
        <w:t xml:space="preserve"> . وهذه الرعاية لجانب المدين الراهن سببها أن الهلاك أو التلف لم يكن بخطأه بل كان بسبب أجنبي ، فوجب أن يون الخيار له</w:t>
      </w:r>
      <w:r>
        <w:rPr>
          <w:rFonts w:cs="Traditional Arabic" w:hint="cs"/>
          <w:sz w:val="28"/>
          <w:szCs w:val="32"/>
          <w:vertAlign w:val="superscript"/>
          <w:rtl/>
        </w:rPr>
        <w:t xml:space="preserve">( </w:t>
      </w:r>
      <w:r w:rsidRPr="00EC737F">
        <w:rPr>
          <w:rStyle w:val="ab"/>
          <w:rFonts w:cs="Traditional Arabic"/>
          <w:sz w:val="28"/>
          <w:szCs w:val="32"/>
          <w:rtl/>
        </w:rPr>
        <w:footnoteReference w:id="8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وإذا لم يهلك العقار أو يتلف ، ولكن وقعت أعمال من شأنها أن تعرض العقار المرهون للهلاك أو التلف ولو لم يكن للراهن يد في هذه الأعمال ، كما إذا سمح الراهن لشخص بسكنى العقار المرهون وأخذ الساكن ما تهيأ له من الوسائل للقيام بأعمال من شأنها أن تنقص قيمة العقار أو تجعله غير كاف لضمان الدين ، أو كما إذا أزمع الجار أن يقيم بناء لو تم كان فيه اعتداء على العقار المرهون أو على حقوق ارتفاق لهذا العقار ، جاز للدائن المرتهن $392 أن يتخذ من الوسائل ما يمنع ذلك . فيجوز له ، دون وساطة الراهن</w:t>
      </w:r>
      <w:r>
        <w:rPr>
          <w:rFonts w:cs="Traditional Arabic" w:hint="cs"/>
          <w:sz w:val="28"/>
          <w:szCs w:val="32"/>
          <w:vertAlign w:val="superscript"/>
          <w:rtl/>
        </w:rPr>
        <w:t xml:space="preserve">( </w:t>
      </w:r>
      <w:r w:rsidRPr="00EC737F">
        <w:rPr>
          <w:rStyle w:val="ab"/>
          <w:rFonts w:cs="Traditional Arabic"/>
          <w:sz w:val="28"/>
          <w:szCs w:val="32"/>
          <w:rtl/>
        </w:rPr>
        <w:footnoteReference w:id="851"/>
      </w:r>
      <w:r>
        <w:rPr>
          <w:rFonts w:cs="Traditional Arabic" w:hint="cs"/>
          <w:sz w:val="28"/>
          <w:szCs w:val="32"/>
          <w:vertAlign w:val="superscript"/>
          <w:rtl/>
        </w:rPr>
        <w:t xml:space="preserve"> )</w:t>
      </w:r>
      <w:r>
        <w:rPr>
          <w:rFonts w:cs="Traditional Arabic" w:hint="cs"/>
          <w:sz w:val="28"/>
          <w:szCs w:val="32"/>
          <w:rtl/>
        </w:rPr>
        <w:t xml:space="preserve"> ، أن يطلب من القاضي أن يحكم بوقف هذه الأعمال ، فيمنع الساكن من القيام بما كان في عزمه أن يقوم به ، أو يمنع الجار من أن يقيم البناء ، في وضع يكون فيه اعتداء على العقار المرهون . وللدائن المرتهن أن يتخذ من الوسائل التي تمنع وقوع الضرر ما يكفي لذلك ، ولو بوضع العقار المرهون تحت الحراسة . وتقول الفقرة الثالثة من المادة 1048 مدني سالفة الذكر في هذا الخصوص : "وفي جميع الأحوال إذا وقعت أ‘مال من شأنها أن تعرض العقار المرهون للهلاك أو التلف أو تجعله غير كافٍ للضمان ، كان للدائن أن يطلب إلى القاضي وقف هذه الأعمال واتخاذ الوسائل التي تمنع وقوع الضرر"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172- حول الحق الذي يترتب على هلاك العقار المرهون أو تلفه محل العقار المرهون حلولا عينيا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"إذا هلك العقار المرهون أو تلف لأي سبب كان ، انتقل الرهن بمرتبته إلى الحق الذي يترتب على ذلك ، كالتعويض أو مبلغ التأمين أو الثمن الذي يقرر مقابل نزع ملكيته للمنفعة العامة"</w:t>
      </w:r>
      <w:r>
        <w:rPr>
          <w:rFonts w:cs="Traditional Arabic" w:hint="cs"/>
          <w:sz w:val="28"/>
          <w:szCs w:val="32"/>
          <w:vertAlign w:val="superscript"/>
          <w:rtl/>
        </w:rPr>
        <w:t xml:space="preserve">( </w:t>
      </w:r>
      <w:r w:rsidRPr="00EC737F">
        <w:rPr>
          <w:rStyle w:val="ab"/>
          <w:rFonts w:cs="Traditional Arabic"/>
          <w:sz w:val="28"/>
          <w:szCs w:val="32"/>
          <w:rtl/>
        </w:rPr>
        <w:footnoteReference w:id="8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$393 وظاهر من هذا النص أن فيه تطبيقاً الحلول العيني ، فهو يفرض أن العقار المرهون قد هلك أو تلف لأي سبب كان ، سواء كان ذلك بخطأ الراهن أو بغير خطأه ، ولكن ترتب على الهلاك أو التلف أن استحق حق آخر ، فإن هذا الحق الآخر ينتقل الرهن إليه . والسبب في ذلك أن الحق قد حل محل العقار المرهون الهالك أو التالف حلولا عينياً ، فأصبح مرهوناً مثله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ويورد النص أمثلة ثلاثة لاستحقاق حق بسبب هلاك العقار المرهون أو تلفه . فقد يكون هذا الحق هو حق تعويض في ذمة الغير الذي تسبب بخطأه في هلاك العقار أو تلفه ، وقد يكون مبلغ تأمين يجب أن تدفعه شركة التأمين بسبب هلاك العقار المؤمن عليه أو تلفه ، وقد يكون ثمناً تقرر في مقابل نزع ملكية العقار المرهون للمنفعة العامة . وهناك أمثلة أخرى ، فقد ينزع الراهن بعض العقارات بالتخصيص ويبيعها منقولا لمشتر حسن النية فيتسلمها هذا المشتري ويبقى الثمن في ذمته ، فيحل الثمن حلولا عينياً محل هذه العقارات بالتخصيص . وقد يكون هلاك العقار المرهون نتيجة لحرب أو غارة جوية أو زلال وتقدم الدولة تعويضاً للمنكوبين على سبيل المساعدة ، فيحل هذا التعويض حلولا عينياً محل العقار المرهون .  وقد يهدم الراهن المبنى المرهون ويبيعه أنقاضاً للمشتري ، ويبقى الثمن في ذمة المشتري ، فيحل الثمن محل المبنى المرهون ( في بعض قيمته ) حلولا عينياً . هذه الأمثلة وغيرها تدل على أنه يحل محل العقار المرهون حق </w:t>
      </w:r>
      <w:r>
        <w:rPr>
          <w:rFonts w:cs="Traditional Arabic" w:hint="cs"/>
          <w:sz w:val="28"/>
          <w:szCs w:val="32"/>
          <w:rtl/>
        </w:rPr>
        <w:lastRenderedPageBreak/>
        <w:t>آخر يستحق بسبب هلاك العقار أو تلفه ، فيقرر النص أن هذا الحق يحل محل العقار المرهون حلولا عينياً ويصبح مرهوناً مثله . وتقول المذكرة الإيضاحية للمشروع التمهيدي في هذا الخصوص : "في جميع الأحوال التي يحل فيها محل العقار المرهون أو محل جزء منه شيء آخر ، كتعويض أو مبلغ تأمين أو ثمن يرسو به المواد أو ثمن $394 ملحقات يتم تسليمها ، فإن الرهن ينتقل إلى هذا الشيء الآخر ، وستوفي الدائن منه الدين بحسب مرتبته ، وهذا مثل آخر للحلول العيني"</w:t>
      </w:r>
      <w:r>
        <w:rPr>
          <w:rFonts w:cs="Traditional Arabic" w:hint="cs"/>
          <w:sz w:val="28"/>
          <w:szCs w:val="32"/>
          <w:vertAlign w:val="superscript"/>
          <w:rtl/>
        </w:rPr>
        <w:t xml:space="preserve">( </w:t>
      </w:r>
      <w:r w:rsidRPr="00EC737F">
        <w:rPr>
          <w:rStyle w:val="ab"/>
          <w:rFonts w:cs="Traditional Arabic"/>
          <w:sz w:val="28"/>
          <w:szCs w:val="32"/>
          <w:rtl/>
        </w:rPr>
        <w:footnoteReference w:id="8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هو الرأي السائد في الفقه المصري ، فما دام الحق قد استحق في مقابل هلاك العقار المرهون أو تلفه ، فإنه يحل حلولا عينياً محل هذا العقار .وينتقل حق الدائن المرتهن ، بحكم هذا الحلول العيني ، من العقار الهالك أو التالف إلى الحق الذي حل محله . فإذا كان الحق منقولا ، كما في التعويض ومبلغ التأمين ومقابل نزع الملكية ، فإن الدائن المرتهن يختص به ويستوفي دينه منه ، وينقلب الرهن في هذه الحالة إلى رهن حيازي للنقود . وهذا هو صريح النص ، فهو يقول كما رأينا : "إذا هلك العقار المرهون أو تلف لأي سبب كان ، انتقل الرهن برتبته إلى الحق الذي يترتب على ذلك ، كالتعويض أو مبلغ التأمين أو الثمن الذي يقرر مقابل نزع ملكيته للمنفعة العامة"</w:t>
      </w:r>
      <w:r>
        <w:rPr>
          <w:rFonts w:cs="Traditional Arabic" w:hint="cs"/>
          <w:sz w:val="28"/>
          <w:szCs w:val="32"/>
          <w:vertAlign w:val="superscript"/>
          <w:rtl/>
        </w:rPr>
        <w:t xml:space="preserve">( </w:t>
      </w:r>
      <w:r w:rsidRPr="00EC737F">
        <w:rPr>
          <w:rStyle w:val="ab"/>
          <w:rFonts w:cs="Traditional Arabic"/>
          <w:sz w:val="28"/>
          <w:szCs w:val="32"/>
          <w:rtl/>
        </w:rPr>
        <w:footnoteReference w:id="85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وعلى ذلك إذا تسبب الراهن بخطأه في هلاك العقار المرهون أو تلفه ، $395 وكان الدائن المرتهن مخيراً بين أن يقتضي تأميناً كافياً أو أن يستوفي حقه فوراً ( م 1048/1 مدني ) فقد يكون العقار المرهون مؤمناً عليه فتدفع شركة التأمين كل قيمته ، وفي هذه الحالة تحل هذه القيمة التي تدفعها شركة التأمين محل العقار حلولا عينياً ، ويكون الدائن المرتهن مخيراً بين استيفاء ما دفعته شركة التأمين مرهوناً في حقه أو استيفاء حقه فوراً بعد إسقاط الأجل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هلاك العقار المرهون أو تلفه قد نشأ من سبب أجنبي ولم يقبل الدائن بقاء المدين بلا تأمين ، كان المدين الراهن هو المخير بين أن يقدم تأميناً كافياً أو أن يوفي الدين قبل حلول الأجل بعد استنزال الفوائد بالسعر القانوني على النحو الذي قدمناه ( م 1048/2 مدني ) . وقد يكون هلاك العقار أو تلفه بفعل الغير وهذا سبب أجنبي ، فيدفع الغير تعويضاً يحل محل العقار المرهون ، ويستطيع المدين الراهن في هذه الحالة أن يقدم هذا التعويض تأميناً كافياً للدائن المرتهن بدلا م وفاء الدين قبل حلول الأجل . وقد يكون العقار المرهون مؤمناً عليه  ، فتدفع شركة التأمين مبلغ التأمين ، فيقدمه المدين الراهن تأميناً كافياً للدائن المرتهن . وقد يكون هلاك العقار المرهون هو عبارة عن نزع ملكيته للمنفعة العامة ، فالمبلغ الذي يدفع في مقابل ذلك يكون تأميناً كافياً يقدمه المدين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فيمكن إذن المواءمة بين أحكام المادتين 1048 و 1049 مدني على الوجه الذي قدمناه ، الاستفادة من حلول الحق محل العقار المرهون حلولا عينياً عندما يراد تقديم تأمين كافٍ يحل محل العقار المرهون ، وذلك بتقديم الحق الذي يحل محل العقار المرهون تأميناً كافاً لا يستطيع الدائن المرتهن الاعتراض عليه في شيء .</w:t>
      </w:r>
    </w:p>
    <w:p w:rsidR="00F72742"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E66086">
        <w:rPr>
          <w:rFonts w:cs="Traditional Arabic" w:hint="cs"/>
          <w:b/>
          <w:bCs/>
          <w:sz w:val="28"/>
          <w:szCs w:val="32"/>
          <w:rtl/>
        </w:rPr>
        <w:t xml:space="preserve">2- سلطة الراهن </w:t>
      </w:r>
      <w:r>
        <w:rPr>
          <w:rFonts w:cs="Traditional Arabic" w:hint="cs"/>
          <w:b/>
          <w:bCs/>
          <w:sz w:val="28"/>
          <w:szCs w:val="32"/>
          <w:rtl/>
        </w:rPr>
        <w:t>عن العقار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173- عدم تجديد الراهن لا من ملكية العقار المرهون ولا من حيازته في الرهن الرسمي</w:t>
      </w:r>
      <w:r>
        <w:rPr>
          <w:rFonts w:cs="Traditional Arabic" w:hint="cs"/>
          <w:sz w:val="28"/>
          <w:szCs w:val="32"/>
          <w:rtl/>
        </w:rPr>
        <w:t xml:space="preserve"> : يبقى الراهن مالكاً للعقار المرهون ، بل ويبقى حائزاً له ، $396 لأنه لا يتجرد لا من الملية ولا من الحيازة بالرهن الرسمي .بخلاف الرهن الحيازي ، فإنه إذا كان لا يجرد الراهن من الملكية فهو يجرده من الحيازة . وهذه هي ميزة الرهن الرسمي ، فهو يترك العقار المرهون في ملكية الراهن وفي حيازته ، وكأن شيئاً لم يتغير </w:t>
      </w:r>
      <w:r>
        <w:rPr>
          <w:rFonts w:cs="Traditional Arabic" w:hint="cs"/>
          <w:sz w:val="28"/>
          <w:szCs w:val="32"/>
          <w:rtl/>
        </w:rPr>
        <w:lastRenderedPageBreak/>
        <w:t>لولا ذلك الحق الخفي الذي شهدنا بعض آثاره وسنشهد بعضاً آخر فيما يلي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وما دام الراهن يبقى مالكاً للعقار المرهون وحائزاً له ، فإنه يحتفظ بسلطته عليه كمالك وكحائز . فيبقى له حق التصرف في العقار المرهون ، كما يبقى له حق استعماله وحق استغلاله . ولا تتقيد سلطته في كل ذلك إلا بما يجب أن تتقيد به من اعتبار حق الدائن المرتهن ، فإن هذا الحق يبقى قائماً لضمان الوفاء بالدين ، وقد ينتهي إذا لم يف المدين بالدين إلى التنفيذ على العقار المرهون واستيفاء الدين من ثمنه بحسب مرتبة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174- حق الراهن في التصرف في العقار المرهون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للراهن أن يتصرف في العقار المرهون ، وأي تصرف يصدر منه لا يؤثر في حق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85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وظاهر من هذا النص أن الراهن يحتفظ بحق تصرفه في العقار المرهون $397 كما كان قبل الرهن ، ولكن التصرف الذي يصدر منه بعد الرهن لا يمس بحق الدائن المرتهن ولا يؤثر فيه ، وذلك إذا قيد الدائن  المرتهن حق رهنه قبل أن يشهر المتصرف إليه التصرف الذي صدر من الرهن . فإذا رهن الراهن العقار مرة ثانية أو أخذ عليه فيه حق اختصاص أو رهنه رهناً حيازياً أو ثبت على العقار المرهون حق امتياز كحق امتياز المتقاسم فيما إذا كمان العقار المرهون شائعاً ، فإن الدائن المرتهن ، إذا قيد حق رهنه قبل قيد الرهن الثاني أو حق الاختصاص أو حق الرهن الحيازي أو حق الامتياز ، لا تسري في مواجهته هذه الحقوق . </w:t>
      </w:r>
      <w:r>
        <w:rPr>
          <w:rFonts w:cs="Traditional Arabic" w:hint="cs"/>
          <w:sz w:val="28"/>
          <w:szCs w:val="32"/>
          <w:rtl/>
        </w:rPr>
        <w:lastRenderedPageBreak/>
        <w:t>ويتقدم عليها جميعاً بحق رهنه الذي قيد قبل ذلك ، ويستوفي الدين الذي له من ثمن العقار المرهون مقدماً على جميع هؤلاء الدائنين</w:t>
      </w:r>
      <w:r>
        <w:rPr>
          <w:rFonts w:cs="Traditional Arabic" w:hint="cs"/>
          <w:sz w:val="28"/>
          <w:szCs w:val="32"/>
          <w:vertAlign w:val="superscript"/>
          <w:rtl/>
        </w:rPr>
        <w:t xml:space="preserve">( </w:t>
      </w:r>
      <w:r w:rsidRPr="00EC737F">
        <w:rPr>
          <w:rStyle w:val="ab"/>
          <w:rFonts w:cs="Traditional Arabic"/>
          <w:sz w:val="28"/>
          <w:szCs w:val="32"/>
          <w:rtl/>
        </w:rPr>
        <w:footnoteReference w:id="856"/>
      </w:r>
      <w:r>
        <w:rPr>
          <w:rFonts w:cs="Traditional Arabic" w:hint="cs"/>
          <w:sz w:val="28"/>
          <w:szCs w:val="32"/>
          <w:vertAlign w:val="superscript"/>
          <w:rtl/>
        </w:rPr>
        <w:t xml:space="preserve"> )</w:t>
      </w:r>
      <w:r>
        <w:rPr>
          <w:rFonts w:cs="Traditional Arabic" w:hint="cs"/>
          <w:sz w:val="28"/>
          <w:szCs w:val="32"/>
          <w:rtl/>
        </w:rPr>
        <w:t xml:space="preserve"> . وإذا قرر الراهن على العقار المرهون حق ارتفاق أو حق انتفاع أو حق حكر ، ولكن هذه الحقوق لم تسجل إلا بعد قيد حق الدائن المرتهن ، فإن الدائن المرتهن ينفذ على العقار المرهون خالياً من حق الارتفاق أو حق الانتفاع أو حق الحكر . بل إن الراهن إذا باع العقار المرهون ولم يسجل المشتري البيع إلا بعد قيد الدائن المرتهن لحقه ، فإن هذا الدائن المرتهن يسري حقه في مواجهة المشتري ، ولهذا الدائن أن يتتبع العقار في يد المشتري وينفذ عليه بدينه ، وليس للمشتري إلا أن يفي بالدين أو يخلي العقار أو يطهره</w:t>
      </w:r>
      <w:r>
        <w:rPr>
          <w:rFonts w:cs="Traditional Arabic" w:hint="cs"/>
          <w:sz w:val="28"/>
          <w:szCs w:val="32"/>
          <w:vertAlign w:val="superscript"/>
          <w:rtl/>
        </w:rPr>
        <w:t xml:space="preserve">( </w:t>
      </w:r>
      <w:r w:rsidRPr="00EC737F">
        <w:rPr>
          <w:rStyle w:val="ab"/>
          <w:rFonts w:cs="Traditional Arabic"/>
          <w:sz w:val="28"/>
          <w:szCs w:val="32"/>
          <w:rtl/>
        </w:rPr>
        <w:footnoteReference w:id="857"/>
      </w:r>
      <w:r>
        <w:rPr>
          <w:rFonts w:cs="Traditional Arabic" w:hint="cs"/>
          <w:sz w:val="28"/>
          <w:szCs w:val="32"/>
          <w:vertAlign w:val="superscript"/>
          <w:rtl/>
        </w:rPr>
        <w:t xml:space="preserve"> )</w:t>
      </w:r>
      <w:r>
        <w:rPr>
          <w:rFonts w:cs="Traditional Arabic" w:hint="cs"/>
          <w:sz w:val="28"/>
          <w:szCs w:val="32"/>
          <w:rtl/>
        </w:rPr>
        <w:t xml:space="preserve"> كما سيأتي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$398 فالراهن إذن يحتفظ بحقه في التصرف في العقار المرهون ، ولا يتقيد في ذلك إلا بعدم الإضرار بحق الدائن المرتهن على النحو الذي سبق بيانه . ويستوي في يذلك أن يتصرف الراهن في كل العقار المرهون أو في جزء منه فقط ، فإذا كان تصرفه في جزء من العقار المرهون لم يسر هذا التصرف في حق الدائن المرتهن إذا كان قد قيد حقه قبل شهر تصرف الراهن</w:t>
      </w:r>
      <w:r>
        <w:rPr>
          <w:rFonts w:cs="Traditional Arabic" w:hint="cs"/>
          <w:sz w:val="28"/>
          <w:szCs w:val="32"/>
          <w:vertAlign w:val="superscript"/>
          <w:rtl/>
        </w:rPr>
        <w:t xml:space="preserve">( </w:t>
      </w:r>
      <w:r w:rsidRPr="00EC737F">
        <w:rPr>
          <w:rStyle w:val="ab"/>
          <w:rFonts w:cs="Traditional Arabic"/>
          <w:sz w:val="28"/>
          <w:szCs w:val="32"/>
          <w:rtl/>
        </w:rPr>
        <w:footnoteReference w:id="8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كذلك إذا باع الراهن العقار المرهون أجزاء متفرقة إلى عدد من المشترين ، فإن الدائن المرتهن له أن </w:t>
      </w:r>
      <w:r>
        <w:rPr>
          <w:rFonts w:cs="Traditional Arabic" w:hint="cs"/>
          <w:sz w:val="28"/>
          <w:szCs w:val="32"/>
          <w:rtl/>
        </w:rPr>
        <w:lastRenderedPageBreak/>
        <w:t>يتتبع كل جزء من العقار في يد من اشتراه كما يتتبع كل العقار في يد المشتري قيما قدمناه . وهنا رأي  يذهب إلى أن بيع العقار المرهون أجزاء متفرقة إلى عدد من المشترين من شأنه أن يرهن الدائن المرتهن ، إذ يتتبع كل جزء في يد من اشتراه وفي هذا إعنات له ، فله أن يتمسك بإضعاف التأمين وبسقوط أجل الدين تبعاً لذلك ، وتقاضى الدين فوراً قبل حلول الأجل الأصلي</w:t>
      </w:r>
      <w:r>
        <w:rPr>
          <w:rFonts w:cs="Traditional Arabic" w:hint="cs"/>
          <w:sz w:val="28"/>
          <w:szCs w:val="32"/>
          <w:vertAlign w:val="superscript"/>
          <w:rtl/>
        </w:rPr>
        <w:t xml:space="preserve">( </w:t>
      </w:r>
      <w:r w:rsidRPr="00EC737F">
        <w:rPr>
          <w:rStyle w:val="ab"/>
          <w:rFonts w:cs="Traditional Arabic"/>
          <w:sz w:val="28"/>
          <w:szCs w:val="32"/>
          <w:rtl/>
        </w:rPr>
        <w:footnoteReference w:id="859"/>
      </w:r>
      <w:r>
        <w:rPr>
          <w:rFonts w:cs="Traditional Arabic" w:hint="cs"/>
          <w:sz w:val="28"/>
          <w:szCs w:val="32"/>
          <w:vertAlign w:val="superscript"/>
          <w:rtl/>
        </w:rPr>
        <w:t xml:space="preserve"> )</w:t>
      </w:r>
      <w:r>
        <w:rPr>
          <w:rFonts w:cs="Traditional Arabic" w:hint="cs"/>
          <w:sz w:val="28"/>
          <w:szCs w:val="32"/>
          <w:rtl/>
        </w:rPr>
        <w:t xml:space="preserve"> . ولكن هذا الرأي ليس هو الرأي السائد ، فالرأي السائد هو ما قدمناه من أن الدائن المرتهن يتتبع كل جزء من العقار في يد من اشتراه</w:t>
      </w:r>
      <w:r>
        <w:rPr>
          <w:rFonts w:cs="Traditional Arabic" w:hint="cs"/>
          <w:sz w:val="28"/>
          <w:szCs w:val="32"/>
          <w:vertAlign w:val="superscript"/>
          <w:rtl/>
        </w:rPr>
        <w:t xml:space="preserve">( </w:t>
      </w:r>
      <w:r w:rsidRPr="00EC737F">
        <w:rPr>
          <w:rStyle w:val="ab"/>
          <w:rFonts w:cs="Traditional Arabic"/>
          <w:sz w:val="28"/>
          <w:szCs w:val="32"/>
          <w:rtl/>
        </w:rPr>
        <w:footnoteReference w:id="8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ويبدو أنه لا يجوز للدائن المرتهن أن يشترط على الراهن عدم جواز التصرف في العقار المرهون ، وقد جاء في المذكرة الإيضاحية للمشروع التمهيدي في هذا الخصوص : "وحرية الراهن في أن يتصرف في العقار المرهون على النحو المتقدم لا يجوز أن يقيدها اتفاق مع الدائن المرتهن ، ويكون باطلا تعهد الراهن للدائن المرتهن بألا يتصرف في العقار المرهون : انظر م 1136 من التقنين الألماني"</w:t>
      </w:r>
      <w:r>
        <w:rPr>
          <w:rFonts w:cs="Traditional Arabic" w:hint="cs"/>
          <w:sz w:val="28"/>
          <w:szCs w:val="32"/>
          <w:vertAlign w:val="superscript"/>
          <w:rtl/>
        </w:rPr>
        <w:t xml:space="preserve">( </w:t>
      </w:r>
      <w:r w:rsidRPr="00EC737F">
        <w:rPr>
          <w:rStyle w:val="ab"/>
          <w:rFonts w:cs="Traditional Arabic"/>
          <w:sz w:val="28"/>
          <w:szCs w:val="32"/>
          <w:rtl/>
        </w:rPr>
        <w:footnoteReference w:id="8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$399 </w:t>
      </w:r>
      <w:r>
        <w:rPr>
          <w:rFonts w:cs="Traditional Arabic" w:hint="cs"/>
          <w:b/>
          <w:bCs/>
          <w:sz w:val="28"/>
          <w:szCs w:val="32"/>
          <w:rtl/>
        </w:rPr>
        <w:t>175- التصرف في العقار المرهون باعتباره منقولا بحسب المال</w:t>
      </w:r>
      <w:r>
        <w:rPr>
          <w:rFonts w:cs="Traditional Arabic" w:hint="cs"/>
          <w:sz w:val="28"/>
          <w:szCs w:val="32"/>
          <w:rtl/>
        </w:rPr>
        <w:t xml:space="preserve"> : وقد يتصرف الراهن في العقار المرهون باعتباره منقولا بحسب المآل ، كأن يبيع أشجاراً مغروسة في العقار بقصد قطعها ، أو يبيع العقار المرهون نفسه ويكون منزلا مثلا بقصد هدمه وتسليمه للمشتري أنقاضاً . ويذهب القضاء الفرنسي في هذا الصدد إلى أن بيع العقار باعتباره منقولا بحسب المآل يعتبر بيع منقول فيما بين البائع ( الراهن ) والمشتري ، أما بالنسبة إلى الغير في هذا البيع ويدخل في ذلك الدائن المرتهن فإنه يعتبر بيع عقار لا بيع منقول . وعلى ذلك يلزم لسريان هذا البيع في حق الدائن المرتهن أن يكن البيع مسجلا قبل قيد الرهن </w:t>
      </w:r>
      <w:r>
        <w:rPr>
          <w:rFonts w:cs="Traditional Arabic" w:hint="cs"/>
          <w:sz w:val="28"/>
          <w:szCs w:val="32"/>
          <w:rtl/>
        </w:rPr>
        <w:lastRenderedPageBreak/>
        <w:t>فيسري البيع في حق هذا الدائن ، أما إذا كان حق الرهن مقيداً قبل تسجيل البيع فإن البيع لا يسري في حق الدائن المرته</w:t>
      </w:r>
      <w:r>
        <w:rPr>
          <w:rFonts w:cs="Traditional Arabic" w:hint="cs"/>
          <w:sz w:val="28"/>
          <w:szCs w:val="32"/>
          <w:vertAlign w:val="superscript"/>
          <w:rtl/>
        </w:rPr>
        <w:t xml:space="preserve">ن( </w:t>
      </w:r>
      <w:r w:rsidRPr="00EC737F">
        <w:rPr>
          <w:rStyle w:val="ab"/>
          <w:rFonts w:cs="Traditional Arabic"/>
          <w:sz w:val="28"/>
          <w:szCs w:val="32"/>
          <w:rtl/>
        </w:rPr>
        <w:footnoteReference w:id="86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ورأي القضاء الفرنسي في هذا الخصوص رأي مقبول ، وإن كان بعض الفقهاء ينتقده لأنه يعطي للشيء الواحد وصفين مختلفين ، فيجعل المنزل مثلا منقولا فيما بين البائع والمشتري وعقاراً بالنسبة إلى الدائن المرتهن . ويمكن تأصيل رأي القضاء الفرنسي على الوجه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باع الراهن العقار المرهون باعتباره منقولا بحسب المآل ، فإن هذا التصرف يضر بحق الدائن المرتهن ، ومن حقه أن يمنعه وأن يقف من أعمال الهدم في العقار المرهون لأن حق الرهن قد تعلق به . وله أن يطلب تعيين حارس على العقار ، ويعتبر هذا المن الوسائل التحفظية التي لها أن $400 يتخذها للمحافظة على حقه . فإذا تمكن الراهن من هدم المنزل ، فإن هذا لا يفيد المشتري ، إذ كان واجباً عليه قبل الشراء أن يكشف عما يثقل المنزل من حقوق . ولو فعل ، ولجد أن المنزل مرهون ، وأن حق الدائن المرتهن قد تعلق به . فلو تسلم المشتري أنقاض المنزل لم يتملكها بالحيازة لأنه يمكن أن يعلم ما يقل المنزل من حق الرهن ، ويجوز للدائن المرتهن أن يسترد هذه الأنقاض منه . وإذا تمكن المشتري من بيع الأنقاض وسلمها لمن اشتراها وكان هذا حسن النية تملكها بالحيازة ، ولكن الدائن المرتهن يمكنه أن يحجز على الثمن تحت يد هذا الحائز ، ويكون له حق التقدم بما له من حق الرهن . ويستطيع الدائن المرتهن في جميع الأحوال أن يعتبر أن تأمينه قد ضعف بهدم المنزل ، وأن أجل الدين قد سقط فيطالب بالدين فوراً ، كما أن له أن يطلب تقديم تأمين آخر يضمن الوفاء بالدين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باع المرتهن النزل قبل رهنه باعتباره منقولا بحسب المآل ، ثم رهنه بعد ذلك ، فإن الدائن المرتهن يعتبر خلفاً خاصاً للراهن . وعلى ذلك إذا كان يجهل وقت الرهن بيع المنزل أنقاضاً ، فإن هذا البيع لا يسري في حقه ، وله أن يمنع المشتري من هدم المنزل على النحو الذي قررناه فيما تقدم . أما إذا كان يعلم بسبق بيع المنزل أنقاضاً ، فإن البيع يسري في حقه ، ويجوز للمشتري هدم المنزل وتسلم أنقاضه . ولكن </w:t>
      </w:r>
      <w:r>
        <w:rPr>
          <w:rFonts w:cs="Traditional Arabic" w:hint="cs"/>
          <w:sz w:val="28"/>
          <w:szCs w:val="32"/>
          <w:rtl/>
        </w:rPr>
        <w:lastRenderedPageBreak/>
        <w:t>يجوز للدائن المرتهن ، إذا كان الثمن لا يزال في ذمة المشتري ، أن يحجز عل الثمن تحت يد المشتري ، ويكون له عليه حق التقدم باعتباره دائناً مرتهناً</w:t>
      </w:r>
      <w:r>
        <w:rPr>
          <w:rFonts w:cs="Traditional Arabic" w:hint="cs"/>
          <w:sz w:val="28"/>
          <w:szCs w:val="32"/>
          <w:vertAlign w:val="superscript"/>
          <w:rtl/>
        </w:rPr>
        <w:t xml:space="preserve">( </w:t>
      </w:r>
      <w:r w:rsidRPr="00EC737F">
        <w:rPr>
          <w:rStyle w:val="ab"/>
          <w:rFonts w:cs="Traditional Arabic"/>
          <w:sz w:val="28"/>
          <w:szCs w:val="32"/>
          <w:rtl/>
        </w:rPr>
        <w:footnoteReference w:id="8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176- التصرف في العقارات بالتخصيص</w:t>
      </w:r>
      <w:r>
        <w:rPr>
          <w:rFonts w:cs="Traditional Arabic" w:hint="cs"/>
          <w:sz w:val="28"/>
          <w:szCs w:val="32"/>
          <w:rtl/>
        </w:rPr>
        <w:t xml:space="preserve"> : قدمنا</w:t>
      </w:r>
      <w:r>
        <w:rPr>
          <w:rFonts w:cs="Traditional Arabic" w:hint="cs"/>
          <w:sz w:val="28"/>
          <w:szCs w:val="32"/>
          <w:vertAlign w:val="superscript"/>
          <w:rtl/>
        </w:rPr>
        <w:t xml:space="preserve">( </w:t>
      </w:r>
      <w:r w:rsidRPr="00EC737F">
        <w:rPr>
          <w:rStyle w:val="ab"/>
          <w:rFonts w:cs="Traditional Arabic"/>
          <w:sz w:val="28"/>
          <w:szCs w:val="32"/>
          <w:rtl/>
        </w:rPr>
        <w:footnoteReference w:id="864"/>
      </w:r>
      <w:r>
        <w:rPr>
          <w:rFonts w:cs="Traditional Arabic" w:hint="cs"/>
          <w:sz w:val="28"/>
          <w:szCs w:val="32"/>
          <w:vertAlign w:val="superscript"/>
          <w:rtl/>
        </w:rPr>
        <w:t xml:space="preserve"> )</w:t>
      </w:r>
      <w:r>
        <w:rPr>
          <w:rFonts w:cs="Traditional Arabic" w:hint="cs"/>
          <w:sz w:val="28"/>
          <w:szCs w:val="32"/>
          <w:rtl/>
        </w:rPr>
        <w:t xml:space="preserve"> أنه إذا نزع الراهن شيئاً من ملحقات العقار ، كأن يبيع المواشي التي تخدم الأرض فتقع في يد مشتر حسن النية فيملكها بالحيازة خالصة من الرهن ، كان $401 الدائن المرتهن الرجوع على الراهن بضمان التعرض الشخصي . وظاهر أنه إذا تصرف الراهن في العقارات بالتخصيص الملحقة بالعقار المرهون والتي تعتبر مرهونة مثله ، كان هذا تصرفاً في بعض العقار المرهون يستوجب مسئولية الراهن ، لأن الراهن ضامن لسلامة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إذن التمييز بين فرضين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الفرض الأول ) أن يكون العقار بالتخصيص لا يزال في حيازة الراهن ، وقد باعه لمشتر ولكن هذا المشتري لم يتسلمه . ونفرض هنا أن الراهن قد انتقص من قيمة العقار المرهون ببيعه العقار بالتخصيص ، ولم يحل محل هذا العقار بالتخصيص شيئاً آخر أصلح أو مماثلا في الصلاحية . لأنه في هذه الحالة لا يكون قد انتقص من قيمة العقار المرهون ، ويكون البيع صحيحا ، ويستطيع الراهن أن يسلم العقار بالتخصيص الذي باعه للمشتري</w:t>
      </w:r>
      <w:r>
        <w:rPr>
          <w:rFonts w:cs="Traditional Arabic" w:hint="cs"/>
          <w:sz w:val="28"/>
          <w:szCs w:val="32"/>
          <w:vertAlign w:val="superscript"/>
          <w:rtl/>
        </w:rPr>
        <w:t xml:space="preserve">( </w:t>
      </w:r>
      <w:r w:rsidRPr="00EC737F">
        <w:rPr>
          <w:rStyle w:val="ab"/>
          <w:rFonts w:cs="Traditional Arabic"/>
          <w:sz w:val="28"/>
          <w:szCs w:val="32"/>
          <w:rtl/>
        </w:rPr>
        <w:footnoteReference w:id="865"/>
      </w:r>
      <w:r>
        <w:rPr>
          <w:rFonts w:cs="Traditional Arabic" w:hint="cs"/>
          <w:sz w:val="28"/>
          <w:szCs w:val="32"/>
          <w:vertAlign w:val="superscript"/>
          <w:rtl/>
        </w:rPr>
        <w:t xml:space="preserve"> )</w:t>
      </w:r>
      <w:r>
        <w:rPr>
          <w:rFonts w:cs="Traditional Arabic" w:hint="cs"/>
          <w:sz w:val="28"/>
          <w:szCs w:val="32"/>
          <w:rtl/>
        </w:rPr>
        <w:t xml:space="preserve"> . أما إذا لم يحل الراهن محل العقار بالتخصيص الذي باعه شيئاً آخر مماثلا له في الصلاحية ، فإنه يكون قد انتقص من قيمة العقار المرهون . وما دام المشتري لم يتسلم العقار بالتخصيص ، فإنه يبقى في العقار المرهون مرهوناً مثله ، ويستطيع الدائم المرتهن أن يمنع نقله ، وله أن يطلب تعيين حارس عند الاقتضاء لمنع هذا النقل . وكذلك إذا كان المتري سيء النية ، أي يعلم أن ما اشتراه هو عقار بالتخصيص مرهون ضمن العقار الأصلي ، فإن تسلم المشتري إياه لا يكسبه ملكيته ، ويستطيع الدائن المرتهن أن يسترده منه لأنه سيء النية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 الفرض الثاني ) أن ينتقل العقار بالتخصيص إلى حيازة شخص حن النية </w:t>
      </w:r>
      <w:r>
        <w:rPr>
          <w:rFonts w:cs="Traditional Arabic"/>
          <w:sz w:val="28"/>
          <w:szCs w:val="32"/>
          <w:rtl/>
        </w:rPr>
        <w:t>–</w:t>
      </w:r>
      <w:r>
        <w:rPr>
          <w:rFonts w:cs="Traditional Arabic" w:hint="cs"/>
          <w:sz w:val="28"/>
          <w:szCs w:val="32"/>
          <w:rtl/>
        </w:rPr>
        <w:t xml:space="preserve"> والمفروض هنا أن الراهن باع العقار بالتخصيص وسلمه لمشتر حسن النية ، فملكه هذا بالحيازة خالصاً من الرهن . وفي هذه الحالة لا يستطيع الدائن المرتهن أن يتمسك بحق الرهن في مواجهة المشتري حسن $402 النية</w:t>
      </w:r>
      <w:r>
        <w:rPr>
          <w:rFonts w:cs="Traditional Arabic" w:hint="cs"/>
          <w:sz w:val="28"/>
          <w:szCs w:val="32"/>
          <w:vertAlign w:val="superscript"/>
          <w:rtl/>
        </w:rPr>
        <w:t xml:space="preserve">( </w:t>
      </w:r>
      <w:r w:rsidRPr="00EC737F">
        <w:rPr>
          <w:rStyle w:val="ab"/>
          <w:rFonts w:cs="Traditional Arabic"/>
          <w:sz w:val="28"/>
          <w:szCs w:val="32"/>
          <w:rtl/>
        </w:rPr>
        <w:footnoteReference w:id="866"/>
      </w:r>
      <w:r>
        <w:rPr>
          <w:rFonts w:cs="Traditional Arabic" w:hint="cs"/>
          <w:sz w:val="28"/>
          <w:szCs w:val="32"/>
          <w:vertAlign w:val="superscript"/>
          <w:rtl/>
        </w:rPr>
        <w:t xml:space="preserve"> )</w:t>
      </w:r>
      <w:r>
        <w:rPr>
          <w:rFonts w:cs="Traditional Arabic" w:hint="cs"/>
          <w:sz w:val="28"/>
          <w:szCs w:val="32"/>
          <w:rtl/>
        </w:rPr>
        <w:t xml:space="preserve"> ، ولكنه يستطيع أن يحجز على الثمن في يد هذا المشتري ، ويستعمل حقه في التقدم باعتباره دائناً مرتهناً</w:t>
      </w:r>
      <w:r>
        <w:rPr>
          <w:rFonts w:cs="Traditional Arabic" w:hint="cs"/>
          <w:sz w:val="28"/>
          <w:szCs w:val="32"/>
          <w:vertAlign w:val="superscript"/>
          <w:rtl/>
        </w:rPr>
        <w:t xml:space="preserve">( </w:t>
      </w:r>
      <w:r w:rsidRPr="00EC737F">
        <w:rPr>
          <w:rStyle w:val="ab"/>
          <w:rFonts w:cs="Traditional Arabic"/>
          <w:sz w:val="28"/>
          <w:szCs w:val="32"/>
          <w:rtl/>
        </w:rPr>
        <w:footnoteReference w:id="867"/>
      </w:r>
      <w:r>
        <w:rPr>
          <w:rFonts w:cs="Traditional Arabic" w:hint="cs"/>
          <w:sz w:val="28"/>
          <w:szCs w:val="32"/>
          <w:vertAlign w:val="superscript"/>
          <w:rtl/>
        </w:rPr>
        <w:t xml:space="preserve"> )</w:t>
      </w:r>
      <w:r>
        <w:rPr>
          <w:rFonts w:cs="Traditional Arabic" w:hint="cs"/>
          <w:sz w:val="28"/>
          <w:szCs w:val="32"/>
          <w:rtl/>
        </w:rPr>
        <w:t xml:space="preserve"> . وله على كل حال ، إذا كان العقار المرهون قد نقصت قيمته بعد هذا البيع بحيث أصبح لا يكفي لضمان الدين ، أن يطلب تقديم تأمين آخر أو استكمال التأمين الأول حتى يفي بضمان الدين ، أو أن يطلب إسقاط أجل الدين وتقاضي الدين فوراً باعتباره ديناً حالا</w:t>
      </w:r>
      <w:r>
        <w:rPr>
          <w:rFonts w:cs="Traditional Arabic" w:hint="cs"/>
          <w:sz w:val="28"/>
          <w:szCs w:val="32"/>
          <w:vertAlign w:val="superscript"/>
          <w:rtl/>
        </w:rPr>
        <w:t xml:space="preserve">( </w:t>
      </w:r>
      <w:r w:rsidRPr="00EC737F">
        <w:rPr>
          <w:rStyle w:val="ab"/>
          <w:rFonts w:cs="Traditional Arabic"/>
          <w:sz w:val="28"/>
          <w:szCs w:val="32"/>
          <w:rtl/>
        </w:rPr>
        <w:footnoteReference w:id="8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177- حق الراهن في استغلال العقار المرهون </w:t>
      </w:r>
      <w:r>
        <w:rPr>
          <w:rFonts w:cs="Traditional Arabic"/>
          <w:b/>
          <w:bCs/>
          <w:sz w:val="28"/>
          <w:szCs w:val="32"/>
          <w:rtl/>
        </w:rPr>
        <w:t>–</w:t>
      </w:r>
      <w:r>
        <w:rPr>
          <w:rFonts w:cs="Traditional Arabic" w:hint="cs"/>
          <w:b/>
          <w:bCs/>
          <w:sz w:val="28"/>
          <w:szCs w:val="32"/>
          <w:rtl/>
        </w:rPr>
        <w:t xml:space="preserve"> نص قانون</w:t>
      </w:r>
      <w:r>
        <w:rPr>
          <w:rFonts w:cs="Traditional Arabic" w:hint="cs"/>
          <w:sz w:val="28"/>
          <w:szCs w:val="32"/>
          <w:rtl/>
        </w:rPr>
        <w:t xml:space="preserve"> : تنص المادة 1044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"للراهن الحق في إدارة العقار المرهون ، وفي قبض ثماره إلى وقت التحاقها بالعقار"</w:t>
      </w:r>
      <w:r>
        <w:rPr>
          <w:rFonts w:cs="Traditional Arabic" w:hint="cs"/>
          <w:sz w:val="28"/>
          <w:szCs w:val="32"/>
          <w:vertAlign w:val="superscript"/>
          <w:rtl/>
        </w:rPr>
        <w:t xml:space="preserve">( </w:t>
      </w:r>
      <w:r w:rsidRPr="00EC737F">
        <w:rPr>
          <w:rStyle w:val="ab"/>
          <w:rFonts w:cs="Traditional Arabic"/>
          <w:sz w:val="28"/>
          <w:szCs w:val="32"/>
          <w:rtl/>
        </w:rPr>
        <w:footnoteReference w:id="86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ويفهم من هذا النص أن للراهن الحق في إدارة العقار حتى يستطيع $403 أن يستغله وأن يقبض ثماره ، طبيعية كانت أو مستحدثة أو مدنية ، فالثمار إذن للرهن ، لأن له الحق في استغلال العقار المرهون . وهذا الحق يرجع إلى أن الراهن لا يزال مالكاً للعقار المرهون وحائزاً له ، حتى بعد الرهن ، فمن حقه إذن أن يستولي على ثماره إذ الثمار تكون أصلا للمالك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ويستطيع الراهن ، في إدارته للعقار المرهون ، أن يوجه استغلاله الوجهة التي يراها . فإذا كان العقار المرهون أرضاً زراعية ، وكانت المحصولات التي تنتجها الأرض محصولات عادية ، جاز للراهن أن يزرع في الأرض أشجاراً للفاكهة أو للورود والأزهار . فيحول الأرض بذلك إلى حدائق مثمرة ، سواء للفاكهة أو للأزهار . بل يجوز له أن يحول الأرض الزراعية إلى أرض للصناعة ، فيقيم عليها مصنعاً بما يحتاجه المصنع من أجهزة وأدوا وغيرها . وله أن يحول الأرض الزراعية إلى مبان للسكنى ، فيقيم فوق الأرض منازل ومنشآت سكنية وما إلى ذلك . ويجوز العكس ، فيحول المصنع إلى أرض زراعية ، والمبني إلى مصنع ، والمصنع إلى مبنى ، وما إلى ذلك . ولا يحد م سلطة الراهن ، سوا كان هو المدين أو كان كفيلا عينياً ، في ذلك إلا حق الدائن المرتهن . فلا يجوز للراهن مثلا ، في تحويله العقار المرهون إلى أغراض أخرى ، أن ينقص من تأمين الدائن المرتهن . فإن فعل ، جاز للدائن المرتهن أن يعارض في ذلك ، وأن يطلب وقف الأعمال الضارة بحقه . وله أن يتخذ في حالة الاستعجال وسائل تحفظية يرجع بمصروفاتها على الراهن ، بل له أن يطلب تعيين حارس يحرس العقار المرهون حتى لا تنقص قيمته . على أن الدائن المرتهن لا يجوز له أن يتخذ من المحافظة على حقه لكنه يستند إليها للحد من نشاط الراهن دون مبرر . فإذا كانت الأرض لا تجود لزراعة الفاكهة مثلا ، وأراد الراهن أن يحولها إلى ارض زراعية للمحصولات العادية ، لم يجز للدائن المرتهن أن يمنعه من ذلك . وإذا كانت العادة أن تزرع الأرض قطناً مرة كل ثلاث سنوات ، وأراد $404 الراهن أن يزرعها قطناً كل سنتين مرة دون أن يعود ذلك بضرر على الأرض ، لم يستطع الدائن المرتهن أن يحول دون ذلك ، وبخاصة إذا كانت قيم الأرض تغطي قيمة الدين إلى مدى بعيد</w:t>
      </w:r>
      <w:r>
        <w:rPr>
          <w:rFonts w:cs="Traditional Arabic" w:hint="cs"/>
          <w:sz w:val="28"/>
          <w:szCs w:val="32"/>
          <w:vertAlign w:val="superscript"/>
          <w:rtl/>
        </w:rPr>
        <w:t xml:space="preserve">( </w:t>
      </w:r>
      <w:r w:rsidRPr="00EC737F">
        <w:rPr>
          <w:rStyle w:val="ab"/>
          <w:rFonts w:cs="Traditional Arabic"/>
          <w:sz w:val="28"/>
          <w:szCs w:val="32"/>
          <w:rtl/>
        </w:rPr>
        <w:footnoteReference w:id="870"/>
      </w:r>
      <w:r>
        <w:rPr>
          <w:rFonts w:cs="Traditional Arabic" w:hint="cs"/>
          <w:sz w:val="28"/>
          <w:szCs w:val="32"/>
          <w:vertAlign w:val="superscript"/>
          <w:rtl/>
        </w:rPr>
        <w:t xml:space="preserve"> )</w:t>
      </w:r>
      <w:r>
        <w:rPr>
          <w:rFonts w:cs="Traditional Arabic" w:hint="cs"/>
          <w:sz w:val="28"/>
          <w:szCs w:val="32"/>
          <w:rtl/>
        </w:rPr>
        <w:t xml:space="preserve"> . والفيصل في كل </w:t>
      </w:r>
      <w:r>
        <w:rPr>
          <w:rFonts w:cs="Traditional Arabic" w:hint="cs"/>
          <w:sz w:val="28"/>
          <w:szCs w:val="32"/>
          <w:rtl/>
        </w:rPr>
        <w:lastRenderedPageBreak/>
        <w:t>ذلك هو قاضي الموضوع ، فهو الذي يبت دون معقب عليه من محكمة النقض فيما إذا كان استغلال الراهن للعقار المرهون يضر بهذا العقار ، فيمنعه من ذلك ، وإلا أباح له أن يسير فيما هو فيه</w:t>
      </w:r>
      <w:r>
        <w:rPr>
          <w:rFonts w:cs="Traditional Arabic" w:hint="cs"/>
          <w:sz w:val="28"/>
          <w:szCs w:val="32"/>
          <w:vertAlign w:val="superscript"/>
          <w:rtl/>
        </w:rPr>
        <w:t xml:space="preserve">( </w:t>
      </w:r>
      <w:r w:rsidRPr="00EC737F">
        <w:rPr>
          <w:rStyle w:val="ab"/>
          <w:rFonts w:cs="Traditional Arabic"/>
          <w:sz w:val="28"/>
          <w:szCs w:val="32"/>
          <w:rtl/>
        </w:rPr>
        <w:footnoteReference w:id="87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ويبقى للراهن الحق في قبض ثمار العقار المرهون ، فلا يتعلق بها حق الدائن المرتهن . ولكن ذلك يتقيد أيضاً بحق الدائن المرتهن ، فلا يجوز أن يعود عليه بضرر قبض الراهن للثمار . وقد حدد المشرع لذلك تاريخاً معيناً ، إذا أتى امتنع على الراهن قبض ثمار العقار المرهون ، لأن هذه الثمار تصبح ملحقة العقار المرهون ، ويكون للدائن المرتهن أن ينفذ عليها بما له من حق الرهن . وهذا التاريخ هو تسجيل تنبيه نزع الملكية ، فإذا حل الدين المضمون ولم يدفعه المدين ، وأراد الدائن المرتهن التنفيذ على العقار المرهون ، فإنه ينبه على المدين الراهن بنزع ملكية العقار ، ثم يسجل هذا التنبيه . وقد رأينا</w:t>
      </w:r>
      <w:r>
        <w:rPr>
          <w:rFonts w:cs="Traditional Arabic" w:hint="cs"/>
          <w:sz w:val="28"/>
          <w:szCs w:val="32"/>
          <w:vertAlign w:val="superscript"/>
          <w:rtl/>
        </w:rPr>
        <w:t xml:space="preserve">( </w:t>
      </w:r>
      <w:r w:rsidRPr="00EC737F">
        <w:rPr>
          <w:rStyle w:val="ab"/>
          <w:rFonts w:cs="Traditional Arabic"/>
          <w:sz w:val="28"/>
          <w:szCs w:val="32"/>
          <w:rtl/>
        </w:rPr>
        <w:footnoteReference w:id="872"/>
      </w:r>
      <w:r>
        <w:rPr>
          <w:rFonts w:cs="Traditional Arabic" w:hint="cs"/>
          <w:sz w:val="28"/>
          <w:szCs w:val="32"/>
          <w:vertAlign w:val="superscript"/>
          <w:rtl/>
        </w:rPr>
        <w:t xml:space="preserve"> )</w:t>
      </w:r>
      <w:r>
        <w:rPr>
          <w:rFonts w:cs="Traditional Arabic" w:hint="cs"/>
          <w:sz w:val="28"/>
          <w:szCs w:val="32"/>
          <w:rtl/>
        </w:rPr>
        <w:t xml:space="preserve"> أن المادة 1037 مدني تنص على أنه "يترتب على تسجيل تنبيه نزع الملكية أن يلحق بالعقار ما يغله من ثمار وإيراد عن المدة التي أعقبت التسجيل ، ويجري في توزيع هذه الغلة ما يجري في توزيع ثمن العقار" . وأعاد المشرع ذلك في المادة 1044 مدني ، إذ تنص كما رأينا على أن "للراهن الحق في إدارة العقار المرهون وفي قبض ثماره إلى وقت التحاقها بالعقار"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وأهم ما يعرض للراهن في إدارة العقار المرهون واستغلاله أمور ثلاثة : ( 1 ) إيجار العقار المرهون ، ونفاذ ذلك في حق الدائن المرتهن . ( 2 ) قبض $405 الأجرة مقدماً أو الحوالة بها ، ونفاذ ذلك في حق الدائن المرتهن . ( 3 ) بيع الراهن للثمار المستحدثة قبل حينها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178- إيجار العقار المرهون ونفاذ ذلك في حق الدائن المرتهن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الإيجار الصادر من الراهن لا ينفذ في حق الدائن المرتهن ، إلا إذا كان ثابت التاريخ قبل تسجيل تنبيه الملكية .  أما إذا لم يكن الإيجار ثابت التاريخ على هذا الوجه ، أو كان قد عقد بعد </w:t>
      </w:r>
      <w:r>
        <w:rPr>
          <w:rFonts w:cs="Traditional Arabic" w:hint="cs"/>
          <w:sz w:val="28"/>
          <w:szCs w:val="32"/>
          <w:rtl/>
        </w:rPr>
        <w:lastRenderedPageBreak/>
        <w:t>تسجيل التنبيه ولم تعجل فيه الأجرة فلا يكون نافذاً إلا إذا أمكن اعتباره داخلا في أعمال الإدارة الحسنة"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كان الإيجار السابق على تسجيل التنبيه تزيد مدته على تسع سنوات ، فلا يكون نافذاً في حق الدائن المرتهن إلا لمدة تسع سنوات ، ما لم يكن قد سجل قبل قيد الرهن"</w:t>
      </w:r>
      <w:r>
        <w:rPr>
          <w:rFonts w:cs="Traditional Arabic" w:hint="cs"/>
          <w:sz w:val="28"/>
          <w:szCs w:val="32"/>
          <w:vertAlign w:val="superscript"/>
          <w:rtl/>
        </w:rPr>
        <w:t xml:space="preserve">( </w:t>
      </w:r>
      <w:r w:rsidRPr="00EC737F">
        <w:rPr>
          <w:rStyle w:val="ab"/>
          <w:rFonts w:cs="Traditional Arabic"/>
          <w:sz w:val="28"/>
          <w:szCs w:val="32"/>
          <w:rtl/>
        </w:rPr>
        <w:footnoteReference w:id="8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$406 وفيما يتعلق بوجوب تسجيل عقد الإيجار إذا زادت مدته على تسع سنوات ، نصت المادة 11 من قانون الشهر العقاري على أنه "يجب تسجيل الإيجارات والسندات التي ترد على منفعة العقار إذا زادت مدتها على تسع سنوات والمخالصات والحوالات بأكثر من أجرة  ثلاث سنوات مقدماً ، وكلك الأحكام النهائي المثبتة لشيء من ذلك . ويترتب على عدم تسجيلها أنها لا تكون نافذة في حق الغير فيما زاد على مدة تسع سنوات بالنسبة إلى الإيجارات والسندات ، وفيما زاد على أجرة ثلاث سنوات بالنسبة إلى المخالصات والحوالة" . وقد رأى المشرع أن الإيجار الذي تزيد مدته على تسع سنوات يكون أقرب إلى أعمال التصرف ، فأوجب تسجيله كأعمال التصرف حتى يعلم به من يقدم على أخذ حق على العقار ، </w:t>
      </w:r>
      <w:r>
        <w:rPr>
          <w:rFonts w:cs="Traditional Arabic" w:hint="cs"/>
          <w:sz w:val="28"/>
          <w:szCs w:val="32"/>
          <w:rtl/>
        </w:rPr>
        <w:lastRenderedPageBreak/>
        <w:t>فإن لم يكن مسجلا أنقصت مدته إلى تسع سنوات</w:t>
      </w:r>
      <w:r>
        <w:rPr>
          <w:rFonts w:cs="Traditional Arabic" w:hint="cs"/>
          <w:sz w:val="28"/>
          <w:szCs w:val="32"/>
          <w:vertAlign w:val="superscript"/>
          <w:rtl/>
        </w:rPr>
        <w:t xml:space="preserve">( </w:t>
      </w:r>
      <w:r w:rsidRPr="00EC737F">
        <w:rPr>
          <w:rStyle w:val="ab"/>
          <w:rFonts w:cs="Traditional Arabic"/>
          <w:sz w:val="28"/>
          <w:szCs w:val="32"/>
          <w:rtl/>
        </w:rPr>
        <w:footnoteReference w:id="874"/>
      </w:r>
      <w:r>
        <w:rPr>
          <w:rFonts w:cs="Traditional Arabic" w:hint="cs"/>
          <w:sz w:val="28"/>
          <w:szCs w:val="32"/>
          <w:vertAlign w:val="superscript"/>
          <w:rtl/>
        </w:rPr>
        <w:t xml:space="preserve"> )</w:t>
      </w:r>
      <w:r>
        <w:rPr>
          <w:rFonts w:cs="Traditional Arabic" w:hint="cs"/>
          <w:sz w:val="28"/>
          <w:szCs w:val="32"/>
          <w:rtl/>
        </w:rPr>
        <w:t xml:space="preserve"> . فينبغي إذن التمييز بين إيجار تزيد مدته على تسع سنوات وإيجار لا تزيد مدته على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زادت مدة الإيجار الصادر من الراهن بالنسبة إلى العقار المرهون على تسع سنوات ، فإن هذا الإيجار لا يسري بكامل مدته على الدائن المرتهن إلا إذا كان مسجلا قبل قيد الرهن . فإذا أجر الراهن العقار المرهون لمدة اثنتي عشرة سنة مثلا ، وجب عليه أن يكون قد سجل هذا الإيجار قبل أن يقيد الدائن المرتهن حق الرهن . فإن فعل ، سري الإيجار بالنسبة إلى الدائن المرتهن لمدة اثنتي عشرة سنة تبدأ م وقت بدء سريان عقد الإيجار . أما إذا لم يكن الإيجار مسجلا ، ولكن له تاريخ ثابت سابق على تسجيل تنبيه نزع $407 الملكية أي التاريخ الذي تلتحق من وقته أجرة العقار المرهون بالعقار نفسه ، فإنه يسري لمدة تسع سنوات من وقت بدء سريانه . فإذا كان الرهن قد آجر العقار المرهون لمدة اثنتي عشرة سنة دون أن يسجل عقد الإيجار ، ولكن هذا العقد كان له تاريخ ثابت سابق على تسجيل تنبيه نزع ملكية العقار المرهون بخمس سنوات مثلا ، سري الإيجار في حق الدائن المرتهن لمدة تسع سنوات فقط . وتبدأ مدة تسع السنوات هذه من وقت بدء سريان عقد الإيجار ، فيسري ها العقد على الدائن المرتهن لمدة اربع سنوات من وقت تسجيل تنبيه نزع الملكية ، ويجب على الدائن المرتهن إذا نزع ملكية العقار المرهون أن ينزعها باعتباره مؤجراً لمدة أربع سنوات منذ تسجيل تنبيه نوع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875"/>
      </w:r>
      <w:r>
        <w:rPr>
          <w:rFonts w:cs="Traditional Arabic" w:hint="cs"/>
          <w:sz w:val="28"/>
          <w:szCs w:val="32"/>
          <w:vertAlign w:val="superscript"/>
          <w:rtl/>
        </w:rPr>
        <w:t xml:space="preserve"> )</w:t>
      </w:r>
      <w:r>
        <w:rPr>
          <w:rFonts w:cs="Traditional Arabic" w:hint="cs"/>
          <w:sz w:val="28"/>
          <w:szCs w:val="32"/>
          <w:rtl/>
        </w:rPr>
        <w:t xml:space="preserve"> . وإذا كان الإيجار غير ثابت التاريخ قبل تسجيل تنبيه نزع الملكية أو عقد بعد تسجيل هذا التنبيه ولم تعجل فيه الأجرة ، فإنه لا يسري في حق الدائن المرتهن إلا في حدود أعمال الإدارة الحسنة ، فيسري لمدة سنة واحدة أو أقل أو أكثر بحسب ما </w:t>
      </w:r>
      <w:r>
        <w:rPr>
          <w:rFonts w:cs="Traditional Arabic" w:hint="cs"/>
          <w:sz w:val="28"/>
          <w:szCs w:val="32"/>
          <w:rtl/>
        </w:rPr>
        <w:lastRenderedPageBreak/>
        <w:t>يقدره قاضي الموضوع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تزد مدة الإيجار على تسع سنوات ، فإن تسجيله لا يكون واجباً . ولكنه يجب ، حتى يسري لكامل مدته في حق الدائن المرتهن ، أن يكون ثابت التاريخ قبل تسجيل تنبيه نوع ملكية العقار المرهون . فإذا أجر الراهن العقار المرهون لمدة تسع سنوات ، وكان الإيجار ثابت التاريخ قبل تسجيل تنبيه نزع ملكية العقار المرهون بمدة ثلاث سنوات مثلا ، فإنه يسري في حق الدائن المرتهن لمدة تسع سنوات من وقت بدء سريان عقد الإيجار ، أي يسري لمدة ست سنوات بعد تسجيل تنبيه نزع الملكية ، وعلى الدائن المرتهن أن ينزع ملكية العقار المرهون باعتباره مؤجراً لهذه المدة ، أو عقد بعد تسجيل هذا $408 التنبيه ولم تعجل فيه الأجرة فإنه لا يسري في حق الدائن المرتهن إلا في حدود الإدارة الحسنة</w:t>
      </w:r>
      <w:r>
        <w:rPr>
          <w:rFonts w:cs="Traditional Arabic" w:hint="cs"/>
          <w:sz w:val="28"/>
          <w:szCs w:val="32"/>
          <w:vertAlign w:val="superscript"/>
          <w:rtl/>
        </w:rPr>
        <w:t xml:space="preserve">( </w:t>
      </w:r>
      <w:r w:rsidRPr="00EC737F">
        <w:rPr>
          <w:rStyle w:val="ab"/>
          <w:rFonts w:cs="Traditional Arabic"/>
          <w:sz w:val="28"/>
          <w:szCs w:val="32"/>
          <w:rtl/>
        </w:rPr>
        <w:footnoteReference w:id="876"/>
      </w:r>
      <w:r>
        <w:rPr>
          <w:rFonts w:cs="Traditional Arabic" w:hint="cs"/>
          <w:sz w:val="28"/>
          <w:szCs w:val="32"/>
          <w:vertAlign w:val="superscript"/>
          <w:rtl/>
        </w:rPr>
        <w:t xml:space="preserve"> )</w:t>
      </w:r>
      <w:r>
        <w:rPr>
          <w:rFonts w:cs="Traditional Arabic" w:hint="cs"/>
          <w:sz w:val="28"/>
          <w:szCs w:val="32"/>
          <w:rtl/>
        </w:rPr>
        <w:t xml:space="preserve"> . فيسري لمدة سنة واحدة أو اقل أو أكثر ، بحسب ما يراه قاضي الموضوع كما سبق القول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والإدارة الحسنة يتشرط فيها ألا تعجل الأجرة إلا في الحدود المألوفة ، وأن تكون مدة الإيجار سنة واحدة كما قدمنا ، أو كما يقدرها قاضي الموضوع . وتكون المدة عادة لا تزيد على سنة واحدة في المباني ، ولا تزيد على ثلاث سنوات في الأراضي الزراعية ، وهذا ما جري عليه القضاء المصري . وتجب ملاحظة ا الأراضي لا يجوز أيضاً أن تقل مدتها عن ثلاث سنوات كما جري بذل قانون الإصلاح الزراعي ، فتكون المدة المعقولة في الأراضي الزراعية هي ثلاث سنوات دائماً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ويلاحظ أخيراً أن الإيجار الصادر من الراهن والثابت التاريخ قبل تسجيل تنبيه نزع الملكية قد يكون </w:t>
      </w:r>
      <w:r>
        <w:rPr>
          <w:rFonts w:cs="Traditional Arabic" w:hint="cs"/>
          <w:sz w:val="28"/>
          <w:szCs w:val="32"/>
          <w:rtl/>
        </w:rPr>
        <w:lastRenderedPageBreak/>
        <w:t>نتيجة تواطؤ بين الراهن المؤجر وبين المستأجر ، فيتفقان ، بعد أن يرى الراهن أن الدائن المرتهن مزمع على اتخاذ إجراءات التنفيذ ، على كتابة أجرة بخسة إضراراً بالدائن المرتهن ، ويستكمل الراهن من المستأجر الأجرة أو الجزء الأكبر منها خفية . ففي هذه الحالة إذا استطاع الدائن المرتهن إثبات ذلك ، يجوز له الطعن في عقد الإيجار $409 بالغش ، ورفع الأجرة إلى أن تصل إلى الحد المناسب ، أو اعتبار الإيجار غير نافذ في حق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87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179- قبض الأجرة مقدما أو الحوالة بها ونفاذ ذلك في حق الدائن </w:t>
      </w:r>
      <w:r>
        <w:rPr>
          <w:rFonts w:cs="Traditional Arabic"/>
          <w:b/>
          <w:bCs/>
          <w:sz w:val="28"/>
          <w:szCs w:val="32"/>
          <w:rtl/>
        </w:rPr>
        <w:t>–</w:t>
      </w:r>
      <w:r>
        <w:rPr>
          <w:rFonts w:cs="Traditional Arabic" w:hint="cs"/>
          <w:b/>
          <w:bCs/>
          <w:sz w:val="28"/>
          <w:szCs w:val="32"/>
          <w:rtl/>
        </w:rPr>
        <w:t xml:space="preserve"> المرتهن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1046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لا تكون المخالصة بالأجرة مقدماً لمدة  تزيد على ثلاث سنوات ، ولا للحوالة بها كذلك ، نافذة في حق الدائن المرتهن ، إلا إذا كانت ثابتة التاريخ قبل تسجيل تنبيه نزع الملكية"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أما إذا كانت المخالصة أو الحوالة لمدة تزيد على ثلاث سنوات ، فإنها لا تكون نافذة في حق الدائن المرتهن ما لم تكن مسجلة قبل قيد الرهن ، وإلا خفضت المدة إلى ثلاث سنوات مع مراعاة الحكم الواردة في الفقرة السابقة"</w:t>
      </w:r>
      <w:r>
        <w:rPr>
          <w:rFonts w:cs="Traditional Arabic" w:hint="cs"/>
          <w:sz w:val="28"/>
          <w:szCs w:val="32"/>
          <w:vertAlign w:val="superscript"/>
          <w:rtl/>
        </w:rPr>
        <w:t xml:space="preserve">( </w:t>
      </w:r>
      <w:r w:rsidRPr="00EC737F">
        <w:rPr>
          <w:rStyle w:val="ab"/>
          <w:rFonts w:cs="Traditional Arabic"/>
          <w:sz w:val="28"/>
          <w:szCs w:val="32"/>
          <w:rtl/>
        </w:rPr>
        <w:footnoteReference w:id="8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$410 ويؤخذ من هذا النص أن الراهن من حقه أن يقبض ما استحق من الأجرة عن مدة سابقة على تسجيل تنبيه الملكية ، فإن الأجرة في هذه الحالة تعتبر ثماراً مدنية للعقار المرهون ، وهي من حق الراهن أي مالك هذا العقار ما دامت عن مدة تسبق إلحاق الثمار بالعقار أي تسبق تسجيل تنبيه 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قبض الراهن الأجرة مقدماً أو حول بها مقدماً ، وجب التمييز بين فرضين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الفرض الأول ) أن تكون المخالصة أو الحوالة بالأجرة مقدماً عن مدة تزيد على ثلاث سنوات . وهنا يعتبر القانون قبض الأجرة أو الحوالة بها مقدماً عن مدة تزيد على ثلاث سنوات أقرب إلى أعمال التصرف ، فيوجب تسجيل المخالصة أو الحوالة قبل قيد الرهن ، حتى تكون نافذة في حق الدائن المرتهن لكامل المدة المعجلة . وما دامت المخالصة أو الحوالة ق سجلت قبل قيد الرهن ، فقد علم بها الدائن المرتهن أو ينبغي أن يعلم بها ، وقد أقدم على ارتهان العقار مع تعجيل أجرته لمدة طويلة ، فيكون راضياً بذلك . أما إذا كانت المخالصة أو الحوالة غير مسجلة ، فلا تسري إلا لمدة ثلاث سنوات ، مع وجوب أن تكون المخالصة أو الحوالة ثابتة التاريخ قبل تسجيل تنبيه نزع الملكية ، أي قبل إلحاق الثمار بالعقار وعدم جواز تصرف الراهن في الثمار . فإذا قبض الراهن الأجرة معجلة لمدة خمس سنوات مثلا ، وسجل المخالصة قبل قيد الدائن المرتهن حق رهنه ، فقد علم هذا الدائن بما عجل من الأجرة أو ينبغي أن يكون عالماً بذلك ، فيكون راضياً بما تم ولا سبيل إلى الشكوى . وإذا لم يسجل الراهن المخالصة ، فإنها لا تسري في حق الدائن المرتهن إلا لمدة ثلاث سنوات فقط ، ولا تعتبر أجرة السنتين الأخريين من الخمس السنوات قد عجلتا ، ويشترط في ذلك أن تكون المخالصة ( أو الحوالة ) ثابتة $411 التاريخ قبل تسجيل تنبيه نزع الملكية ، وإلا فإنها لا تسري في حق الدائن إلا في حدود الإدارة الحسنة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الفرض الثاني ) أن تكون المخالصة أو الحوالة بالأجرة مقدماً عن مدة لا تزيد على ثلاث سنوات </w:t>
      </w:r>
      <w:r>
        <w:rPr>
          <w:rFonts w:cs="Traditional Arabic" w:hint="cs"/>
          <w:sz w:val="28"/>
          <w:szCs w:val="32"/>
          <w:rtl/>
        </w:rPr>
        <w:lastRenderedPageBreak/>
        <w:t>. وهنا يعتبر القانون أن هذا عمل ، فلا يوجب تسجيل المخالصة أو الحوالة . ولكنه يشترط أن تكون المخالصة أو الحوالة . ولكنه يشترط أن تكون المخالصة أو الحوالة ثابتة التاريخ قبل تسجيل تنبيه نزع الملكية ، أي قبل إلحاق الثمار بالعقار حيث لا يكون للراهن الحق في الثمار  من ذلك الوقت . فإذا قبض الراهن الأجرة مقدماً لمدة ثلاث سنوات أو حول بها مقدماً لمدة ثلاث سنوات ، وكانت المخالصة أو الحوالة ثابتة التاريخ قبل تسجيل تنبيه نزع الملكية ، فإنها تسري في حق الدائن المرتهن ، ويجب على هذا الدائن أن يعتبر العقار المرهون قد عجلت أجرته لمدة ثلاث سنوات . فإذا لم تكن المخالصة أو الحوالة ثابتة التاريخ قبل تسجيل تنبيه نزع الملكية ، فإنه لا يعتد بها إلا بالقدر الذي يتفق مع حسن الإدارة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هنا ، كما لوحظ في إيجار العقار المرهون ، أنه إذا كانت المخالصة أو الحوالة ثابتة التاريخ قبل تسجيل تنبيه نزع الملكية ، فإن هناك احتمالا أن يكون الراهن قد أدرك أن الدائن المرتهن معتزم على اتخاذ إجراءات التنفيذ ، فبادر بالتواطؤ مع المستأجر إلى قبض الأجرة أو الحوالة بها لمدة ثلاث سنوات حتى يخفف من آثار نزع ملكية العقار المرهون . فإذا استطاع الدائن المرتهن إثبات ذلك ، جاز له أن يطعن في تعجيل الأجرة بالغش والتواطؤ بين الراهن والمستأجر ، ويطلب اعتبار المخالصة أو الحوالة غير نافذة في حقه</w:t>
      </w:r>
      <w:r>
        <w:rPr>
          <w:rFonts w:cs="Traditional Arabic" w:hint="cs"/>
          <w:sz w:val="28"/>
          <w:szCs w:val="32"/>
          <w:vertAlign w:val="superscript"/>
          <w:rtl/>
        </w:rPr>
        <w:t xml:space="preserve">( </w:t>
      </w:r>
      <w:r w:rsidRPr="00EC737F">
        <w:rPr>
          <w:rStyle w:val="ab"/>
          <w:rFonts w:cs="Traditional Arabic"/>
          <w:sz w:val="28"/>
          <w:szCs w:val="32"/>
          <w:rtl/>
        </w:rPr>
        <w:footnoteReference w:id="8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180- بيع الثمار قبل جنيها</w:t>
      </w:r>
      <w:r>
        <w:rPr>
          <w:rFonts w:cs="Traditional Arabic" w:hint="cs"/>
          <w:sz w:val="28"/>
          <w:szCs w:val="32"/>
          <w:rtl/>
        </w:rPr>
        <w:t xml:space="preserve"> : وهنا تكون ثمار العقار ثماراً مستحدثة ، $412 فقد زرعها الراهن في العقار المرهون ونبتت ، فباعها وهي لا تزال في الأرض . ولما كانت المادة 1037</w:t>
      </w:r>
      <w:r>
        <w:rPr>
          <w:rFonts w:cs="Traditional Arabic" w:hint="cs"/>
          <w:sz w:val="28"/>
          <w:szCs w:val="32"/>
          <w:vertAlign w:val="superscript"/>
          <w:rtl/>
        </w:rPr>
        <w:t xml:space="preserve">( </w:t>
      </w:r>
      <w:r w:rsidRPr="00EC737F">
        <w:rPr>
          <w:rStyle w:val="ab"/>
          <w:rFonts w:cs="Traditional Arabic"/>
          <w:sz w:val="28"/>
          <w:szCs w:val="32"/>
          <w:rtl/>
        </w:rPr>
        <w:footnoteReference w:id="880"/>
      </w:r>
      <w:r>
        <w:rPr>
          <w:rFonts w:cs="Traditional Arabic" w:hint="cs"/>
          <w:sz w:val="28"/>
          <w:szCs w:val="32"/>
          <w:vertAlign w:val="superscript"/>
          <w:rtl/>
        </w:rPr>
        <w:t xml:space="preserve"> )</w:t>
      </w:r>
      <w:r>
        <w:rPr>
          <w:rFonts w:cs="Traditional Arabic" w:hint="cs"/>
          <w:sz w:val="28"/>
          <w:szCs w:val="32"/>
          <w:rtl/>
        </w:rPr>
        <w:t xml:space="preserve"> مدني قد نصت على أنه "يترتب على تسجيل تنبيه نزع الملكية أن يلحق بالعقار ما يغله من ثمار وإيراد عن المدة التي أعقبت التسجيل ، ويجري في توزيع هذه الغلة ما يجري في توزيع ثمن العقار" ، فإن الثمار المستحدثة إذا كانت الأرض قد أنتجتها أو ساهمت في إنتاجها في مدة تالية لتسجيل تنبيه نزع الملكية ، فإن ما أنتجتها أو ساهمت في إنتاجها في مدة تالية لتسجيل تنبيه نزع الملكية ، فإن ما أنتجته الأرض في هذه المدة يكون ملحقاً بالعقار ، ولا يجوز للراهن بيعه إلا إذا كان ذلك يعد من أعمال الإدارة الحسنة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أما إذا كانت الثمار قد بيعت وهي لا تزال في الأرض أي قبل جنيها ، وكان البيع قبل تسجيل تنبيه نزع الملكية ، فهناك رأي يذهب إلى أن البيع ، حتى في هذه الحالة ، لا يسري في حق الدائن المرتهن . ذلك أن الثمار لم تجن ، وهي لا تزال عقاراً ملتصقاً بالأرض1 ، فلا ينفذ بيعها باعتبارها منقولا في مواجهة الدائن المرتهن ، ويستطيع هذا اعتبارها عقاراً مرهوناً حتى يتم فصلها من الأرض</w:t>
      </w:r>
      <w:r>
        <w:rPr>
          <w:rFonts w:cs="Traditional Arabic" w:hint="cs"/>
          <w:sz w:val="28"/>
          <w:szCs w:val="32"/>
          <w:vertAlign w:val="superscript"/>
          <w:rtl/>
        </w:rPr>
        <w:t xml:space="preserve">( </w:t>
      </w:r>
      <w:r w:rsidRPr="00EC737F">
        <w:rPr>
          <w:rStyle w:val="ab"/>
          <w:rFonts w:cs="Traditional Arabic"/>
          <w:sz w:val="28"/>
          <w:szCs w:val="32"/>
          <w:rtl/>
        </w:rPr>
        <w:footnoteReference w:id="88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هذا الرأي لم يرجح ، والرأي الراجح هو عكس ذلك . فيستطيع الراهن أن يبيع الثمار قبل جنيها ، بشرط أن يكون البيع ثابت التاريخ قبل تسجيل نزع الملكية . ويعتبر ذلك بمثابة تعجيل الأجرة ، وهو جائز كما قدمنا</w:t>
      </w:r>
      <w:r>
        <w:rPr>
          <w:rFonts w:cs="Traditional Arabic" w:hint="cs"/>
          <w:sz w:val="28"/>
          <w:szCs w:val="32"/>
          <w:vertAlign w:val="superscript"/>
          <w:rtl/>
        </w:rPr>
        <w:t xml:space="preserve">( </w:t>
      </w:r>
      <w:r w:rsidRPr="00EC737F">
        <w:rPr>
          <w:rStyle w:val="ab"/>
          <w:rFonts w:cs="Traditional Arabic"/>
          <w:sz w:val="28"/>
          <w:szCs w:val="32"/>
          <w:rtl/>
        </w:rPr>
        <w:footnoteReference w:id="8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البيع غير ثابت التاريخ قبل تسجيل تنبيه نزع الملكية ، $413 فإنه لا يسري في حق الدائن المرتهن . ومن حق هذا الدائن أن يستبقي المحصولات في الأرض بعد تسجيل تنبه نزع الملكية ويجري توزيع ثمنها كما يجري توزيع ثمن العقار نفسه . وكذلك لو كان البيع ثابت التاريخ قبل تسجيل تنبيه نزع الملكية ولكن الدائن المرتهن أدعي أن هذا البيع كان عن تواطؤ بين الراهن البائع والمشتري للإضرار بحقه ، فإن له أن يطعن في هذا البيع بالغش ، ويعتبره غير نافذ في حقه</w:t>
      </w:r>
      <w:r>
        <w:rPr>
          <w:rFonts w:cs="Traditional Arabic" w:hint="cs"/>
          <w:sz w:val="28"/>
          <w:szCs w:val="32"/>
          <w:vertAlign w:val="superscript"/>
          <w:rtl/>
        </w:rPr>
        <w:t xml:space="preserve">( </w:t>
      </w:r>
      <w:r w:rsidRPr="00EC737F">
        <w:rPr>
          <w:rStyle w:val="ab"/>
          <w:rFonts w:cs="Traditional Arabic"/>
          <w:sz w:val="28"/>
          <w:szCs w:val="32"/>
          <w:rtl/>
        </w:rPr>
        <w:footnoteReference w:id="8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181- حق الراهن في استعمال العقار المرهون</w:t>
      </w:r>
      <w:r>
        <w:rPr>
          <w:rFonts w:cs="Traditional Arabic" w:hint="cs"/>
          <w:sz w:val="28"/>
          <w:szCs w:val="32"/>
          <w:rtl/>
        </w:rPr>
        <w:t xml:space="preserve"> : قدمنا أن الرهن الرسمي لا يجرد الراهن من ملكية العقار المرهون ، ولا من حيازته . فيبقى العقار المرهون في يده ، يستعمله كما كان يستعمله قبل الرهن</w:t>
      </w:r>
      <w:r>
        <w:rPr>
          <w:rFonts w:cs="Traditional Arabic" w:hint="cs"/>
          <w:sz w:val="28"/>
          <w:szCs w:val="32"/>
          <w:vertAlign w:val="superscript"/>
          <w:rtl/>
        </w:rPr>
        <w:t xml:space="preserve">( </w:t>
      </w:r>
      <w:r w:rsidRPr="00EC737F">
        <w:rPr>
          <w:rStyle w:val="ab"/>
          <w:rFonts w:cs="Traditional Arabic"/>
          <w:sz w:val="28"/>
          <w:szCs w:val="32"/>
          <w:rtl/>
        </w:rPr>
        <w:footnoteReference w:id="884"/>
      </w:r>
      <w:r>
        <w:rPr>
          <w:rFonts w:cs="Traditional Arabic" w:hint="cs"/>
          <w:sz w:val="28"/>
          <w:szCs w:val="32"/>
          <w:vertAlign w:val="superscript"/>
          <w:rtl/>
        </w:rPr>
        <w:t xml:space="preserve"> )</w:t>
      </w:r>
      <w:r>
        <w:rPr>
          <w:rFonts w:cs="Traditional Arabic" w:hint="cs"/>
          <w:sz w:val="28"/>
          <w:szCs w:val="32"/>
          <w:rtl/>
        </w:rPr>
        <w:t xml:space="preserve"> . فإذا كان العقار منزلا وكان يسكنه ، استمر ساكناً له بعد الرهن</w:t>
      </w:r>
      <w:r>
        <w:rPr>
          <w:rFonts w:cs="Traditional Arabic" w:hint="cs"/>
          <w:sz w:val="28"/>
          <w:szCs w:val="32"/>
          <w:vertAlign w:val="superscript"/>
          <w:rtl/>
        </w:rPr>
        <w:t xml:space="preserve">( </w:t>
      </w:r>
      <w:r w:rsidRPr="00EC737F">
        <w:rPr>
          <w:rStyle w:val="ab"/>
          <w:rFonts w:cs="Traditional Arabic"/>
          <w:sz w:val="28"/>
          <w:szCs w:val="32"/>
          <w:rtl/>
        </w:rPr>
        <w:footnoteReference w:id="885"/>
      </w:r>
      <w:r>
        <w:rPr>
          <w:rFonts w:cs="Traditional Arabic" w:hint="cs"/>
          <w:sz w:val="28"/>
          <w:szCs w:val="32"/>
          <w:vertAlign w:val="superscript"/>
          <w:rtl/>
        </w:rPr>
        <w:t xml:space="preserve"> )</w:t>
      </w:r>
      <w:r>
        <w:rPr>
          <w:rFonts w:cs="Traditional Arabic" w:hint="cs"/>
          <w:sz w:val="28"/>
          <w:szCs w:val="32"/>
          <w:rtl/>
        </w:rPr>
        <w:t xml:space="preserve"> . وإذا كان العقار أرضاً </w:t>
      </w:r>
      <w:r>
        <w:rPr>
          <w:rFonts w:cs="Traditional Arabic" w:hint="cs"/>
          <w:sz w:val="28"/>
          <w:szCs w:val="32"/>
          <w:rtl/>
        </w:rPr>
        <w:lastRenderedPageBreak/>
        <w:t>فضاء ، وكان يصطاد فيها أو يستعملها للإقامة اليوم كله ، كان له أن يبقى في هذه الأرض وأن يصطاد ، كما كان الأمر قبل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يقيد م سلطة الراهن في استعمال العقار المرهون إلا مراعاة حق الدائن المرتهن ، فليس له أن ينقص من قيمة العقار في استعماله إياه . وليس له أن يهدم العقار المرهون ، إلا إذا كان يريد من وراء هدمه أن يقيم على الأرض بناء آخر لا يقل عن البناء الأول . كذلك ليس له أن يترك البناء دون وقاية حتى يتخرب ، وللدائن المرتهن أن يعترض على هذا الموقف السلبي ، وأن يطلب عند الاقتضاء تعيين حارس يتعهد العقار المرهون بالحفظ $414 والعناية ، حتى  يتهدد بالهلاك</w:t>
      </w:r>
      <w:r>
        <w:rPr>
          <w:rFonts w:cs="Traditional Arabic" w:hint="cs"/>
          <w:sz w:val="28"/>
          <w:szCs w:val="32"/>
          <w:vertAlign w:val="superscript"/>
          <w:rtl/>
        </w:rPr>
        <w:t xml:space="preserve">( </w:t>
      </w:r>
      <w:r w:rsidRPr="00EC737F">
        <w:rPr>
          <w:rStyle w:val="ab"/>
          <w:rFonts w:cs="Traditional Arabic"/>
          <w:sz w:val="28"/>
          <w:szCs w:val="32"/>
          <w:rtl/>
        </w:rPr>
        <w:footnoteReference w:id="886"/>
      </w:r>
      <w:r>
        <w:rPr>
          <w:rFonts w:cs="Traditional Arabic" w:hint="cs"/>
          <w:sz w:val="28"/>
          <w:szCs w:val="32"/>
          <w:vertAlign w:val="superscript"/>
          <w:rtl/>
        </w:rPr>
        <w:t xml:space="preserve"> )</w:t>
      </w:r>
      <w:r>
        <w:rPr>
          <w:rFonts w:cs="Traditional Arabic" w:hint="cs"/>
          <w:sz w:val="28"/>
          <w:szCs w:val="32"/>
          <w:rtl/>
        </w:rPr>
        <w:t xml:space="preserve"> . وليس للراهن أن ينتزع من العقار المرهون العقارات بالتخصيص الملحقة به ، إلا إذا قصد من ذلك إحلال عقارات أخرى محلها . فإذا لم يفعل ، كان للدائن المرتهن أن يسترد العقارات بالتخصيص وأن يعيدها إلى ما كانت عليه ، إلا إذا حازها حائز حسن النية فتملكها بالحيازة . وعند ذلك يجوز للدائن المرتهن ، إذا كان العقار المرهون قد نقصت قيمته نقصاً كبيراً بانتزاع العقارات بالتخصص منه ، ا يطلب استكمال الرهن ، أو تقديم رهن آخر مكانه ، أو إسقاط أجل الدين والمطالبة بالدين فوراً قبل حلول ميعاده الأصلي .</w:t>
      </w:r>
    </w:p>
    <w:p w:rsidR="00F72742" w:rsidRPr="00193EF1" w:rsidRDefault="00F72742" w:rsidP="00F72742">
      <w:pPr>
        <w:widowControl w:val="0"/>
        <w:spacing w:after="120"/>
        <w:jc w:val="center"/>
        <w:rPr>
          <w:rFonts w:cs="Traditional Arabic" w:hint="cs"/>
          <w:b/>
          <w:bCs/>
          <w:sz w:val="44"/>
          <w:szCs w:val="44"/>
          <w:rtl/>
        </w:rPr>
      </w:pPr>
      <w:r w:rsidRPr="00193EF1">
        <w:rPr>
          <w:rFonts w:cs="Traditional Arabic" w:hint="cs"/>
          <w:b/>
          <w:bCs/>
          <w:sz w:val="44"/>
          <w:szCs w:val="44"/>
          <w:rtl/>
        </w:rPr>
        <w:t>المبحث الثاني</w:t>
      </w:r>
    </w:p>
    <w:p w:rsidR="00F72742" w:rsidRPr="00193EF1" w:rsidRDefault="00F72742" w:rsidP="00F72742">
      <w:pPr>
        <w:widowControl w:val="0"/>
        <w:spacing w:after="120"/>
        <w:jc w:val="center"/>
        <w:rPr>
          <w:rFonts w:cs="Traditional Arabic" w:hint="cs"/>
          <w:b/>
          <w:bCs/>
          <w:sz w:val="28"/>
          <w:szCs w:val="32"/>
          <w:rtl/>
        </w:rPr>
      </w:pPr>
      <w:r w:rsidRPr="00193EF1">
        <w:rPr>
          <w:rFonts w:cs="Traditional Arabic" w:hint="cs"/>
          <w:b/>
          <w:bCs/>
          <w:sz w:val="28"/>
          <w:szCs w:val="32"/>
          <w:rtl/>
        </w:rPr>
        <w:t>آثار الرهن الرسمي فيما يتعلق بالدائن المرتهن</w:t>
      </w:r>
    </w:p>
    <w:p w:rsidR="00F72742" w:rsidRDefault="00F72742" w:rsidP="00F72742">
      <w:pPr>
        <w:widowControl w:val="0"/>
        <w:spacing w:after="120"/>
        <w:ind w:firstLine="567"/>
        <w:jc w:val="lowKashida"/>
        <w:rPr>
          <w:rFonts w:cs="Traditional Arabic" w:hint="cs"/>
          <w:sz w:val="28"/>
          <w:szCs w:val="32"/>
          <w:rtl/>
        </w:rPr>
      </w:pPr>
      <w:r w:rsidRPr="00193EF1">
        <w:rPr>
          <w:rFonts w:cs="Traditional Arabic" w:hint="cs"/>
          <w:b/>
          <w:bCs/>
          <w:sz w:val="28"/>
          <w:szCs w:val="32"/>
          <w:rtl/>
        </w:rPr>
        <w:t>182- نصوص قانونية</w:t>
      </w:r>
      <w:r>
        <w:rPr>
          <w:rFonts w:cs="Traditional Arabic" w:hint="cs"/>
          <w:sz w:val="28"/>
          <w:szCs w:val="32"/>
          <w:rtl/>
        </w:rPr>
        <w:t xml:space="preserve"> : تنص المادة 1050 مدي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كان الراهن شخصاً آخر غير المدين ، فلا يجوز التنفيذ على ماله إلا ما رهن من هذا المال . ولا يكون له حق الدفع بتجريد المدين ، ما لم يوجد اتفاق يقضي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1051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"1- للدائن بعد التنبيه على المدين بالوفاء أن ينفذ بحقه على العقار المرهون ، ويطلب بيعه في المواعيد ووفقاً للأوضاع المقررة في قانون المرافعات"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كان الراهن شخصاً آخر غير المدين ، جاز له أن يتفادى أي إجراء موجه إليه ، إذا هو تخلى عن العقار المرهون وفقاً للأوضاع وطبقاً للأحكام التي يتبعها الحائز في تخلية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$415 وتنص المادة 1052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يقع باطلا كل اتفاق يجعل للدائن الحق ، عند عدم استيفاء الدين وقت حلول أجله ، في أن يتملك العقار المرهون في نظير ثمن معلوم أياً كان ، أو في أن يبيعه دون مراعاة للإجراءات التي فرضها القانون ، ولو كان هذا الاتفاق قد أبرم بعد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ولكن يجوز ، بعد حلول الدين أو قسط منه ، الاتفاق على أن ينزل المدن لدائنه عن العقار المرهون وفاء لدينه"</w:t>
      </w:r>
      <w:r>
        <w:rPr>
          <w:rFonts w:cs="Traditional Arabic" w:hint="cs"/>
          <w:sz w:val="28"/>
          <w:szCs w:val="32"/>
          <w:vertAlign w:val="superscript"/>
          <w:rtl/>
        </w:rPr>
        <w:t xml:space="preserve">( </w:t>
      </w:r>
      <w:r w:rsidRPr="00EC737F">
        <w:rPr>
          <w:rStyle w:val="ab"/>
          <w:rFonts w:cs="Traditional Arabic"/>
          <w:sz w:val="28"/>
          <w:szCs w:val="32"/>
          <w:rtl/>
        </w:rPr>
        <w:footnoteReference w:id="88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$416وهذه النصوص تنظم علاقة الدائن المرتهن بالراهن في تنفيذ الأول بدينه على العقار المرهون وهي تعرض للمسائل الآتية : ( 1 ) تنفيذ الدائن المرتهن بالحق الذي له . ( 2 ) التنفيذ على الكفيل العينين أي الراهن غير المدين . ( 3 ) بطن شرط تملك العقار المرهون عند عدم الوفاء . ( 4 ) بطلان شرط بيع العقار المرهون دون إجراءات أو شرط الطريق الممهد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183- تنفيذ الدائن المرتهن بالحق الذي له</w:t>
      </w:r>
      <w:r>
        <w:rPr>
          <w:rFonts w:cs="Traditional Arabic" w:hint="cs"/>
          <w:sz w:val="28"/>
          <w:szCs w:val="32"/>
          <w:rtl/>
        </w:rPr>
        <w:t xml:space="preserve"> : رأينا</w:t>
      </w:r>
      <w:r>
        <w:rPr>
          <w:rFonts w:cs="Traditional Arabic" w:hint="cs"/>
          <w:sz w:val="28"/>
          <w:szCs w:val="32"/>
          <w:vertAlign w:val="superscript"/>
          <w:rtl/>
        </w:rPr>
        <w:t xml:space="preserve">( </w:t>
      </w:r>
      <w:r w:rsidRPr="00EC737F">
        <w:rPr>
          <w:rStyle w:val="ab"/>
          <w:rFonts w:cs="Traditional Arabic"/>
          <w:sz w:val="28"/>
          <w:szCs w:val="32"/>
          <w:rtl/>
        </w:rPr>
        <w:footnoteReference w:id="888"/>
      </w:r>
      <w:r>
        <w:rPr>
          <w:rFonts w:cs="Traditional Arabic" w:hint="cs"/>
          <w:sz w:val="28"/>
          <w:szCs w:val="32"/>
          <w:vertAlign w:val="superscript"/>
          <w:rtl/>
        </w:rPr>
        <w:t xml:space="preserve"> )</w:t>
      </w:r>
      <w:r>
        <w:rPr>
          <w:rFonts w:cs="Traditional Arabic" w:hint="cs"/>
          <w:sz w:val="28"/>
          <w:szCs w:val="32"/>
          <w:rtl/>
        </w:rPr>
        <w:t xml:space="preserve"> أن الفقرة الأولى من المادة 1051 مدني تنص على أن "للدائن بعد التنبيه على المدين بالوفاء أن ينفذ بحقه على العقار المرهون ، ويطلب بيعه في المواعيد ووفقاً للأوضاع المقررة في قانون المرافعات" . وكانت المادة 1050 مدني في مشروعها التمهيدي تحتوي على فقرة أولى تنص على أنه "يجوز للدائن المرتهن أن ينفذ بحقه على أموال المدين غير المخصصة لضمان هذا الحق ، شأنه في ذلك شأن كل دائن عادي ، وذلك مع مراعاة المادتين 328 و 329" ، فحذفت لجنة المراجعة هذه الفقرة "لأن حكمها مستفاد من 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889"/>
      </w:r>
      <w:r>
        <w:rPr>
          <w:rFonts w:cs="Traditional Arabic" w:hint="cs"/>
          <w:sz w:val="28"/>
          <w:szCs w:val="32"/>
          <w:vertAlign w:val="superscript"/>
          <w:rtl/>
        </w:rPr>
        <w:t xml:space="preserve"> )</w:t>
      </w:r>
      <w:r>
        <w:rPr>
          <w:rFonts w:cs="Traditional Arabic" w:hint="cs"/>
          <w:sz w:val="28"/>
          <w:szCs w:val="32"/>
          <w:rtl/>
        </w:rPr>
        <w:t xml:space="preserve"> . ويتبين من هذه النصوص أن الدائن المرتهن يتقدم للتنفيذ بحقه ، عند حلول أجل هذا الحق ، بصفتين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أولا ) صفته باعتباره دائناً عادياً كسائر الدائنين ، وبهذه الصفة يكون له التنفيذ بحقه على جميع أموال المدين ، شأنه في ذلك شأن أي دائن عادي . فله أن ينفذ على عقارات المدين ومنقولاته دون أن يكون له فيها $417 حق التقدم ، لأنه إنما يتقدم كدائن عادي .ويجب أن يبدأ التنفيذ بإعلان التنبيه بنزع ملكية العقار أو العقارات التي ينفذ عليها ، والغالب أن يكون حقه مع الرهن الرسمي  في ورقة واحدة ، فتكون ورقة رسمية . ومن ثم لا يحتاج إلى حكم ، وله أن ينفذ بهذه الورقة الرسمية ، ويختار أي منقول أو عقار للمدين للتنفيذ عليه . فإذا اختار عقاراً أو عقارات وهو الغالب ، أعلن التنبيه بنزع ملكية العقار إلى المدين ،واستمر في التنفيذ حتى يستوفي حقه أو بعض حقه من هذا العقار أو العقارات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الدائن يتقيد في ذلك بقيدين : ( 1 ) ألا ينفذ على عقار أو عقارات تكون قيمتها أكبر بكثير من حقه ( م 329 من المشروع التمهيدي ) . ( 2 ) ألا ينفذ الدائن على أموال المدين غير المرهونة إلا إذا كان العقار المرهون لا يفي بالدين</w:t>
      </w:r>
      <w:r>
        <w:rPr>
          <w:rFonts w:cs="Traditional Arabic" w:hint="cs"/>
          <w:sz w:val="28"/>
          <w:szCs w:val="32"/>
          <w:vertAlign w:val="superscript"/>
          <w:rtl/>
        </w:rPr>
        <w:t xml:space="preserve">( </w:t>
      </w:r>
      <w:r w:rsidRPr="00EC737F">
        <w:rPr>
          <w:rStyle w:val="ab"/>
          <w:rFonts w:cs="Traditional Arabic"/>
          <w:sz w:val="28"/>
          <w:szCs w:val="32"/>
          <w:rtl/>
        </w:rPr>
        <w:footnoteReference w:id="8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ثانياً ) صفته باعتباره دائناً مرتهناً ، وحق رهنه هنا يتركز في العقار المرهون . فله ، بعد التنبيه على المدين بالوفاء ، أن ينفذ بحقه على العقار المرهون . وهنا يكون حقه في العقار المرهون ثابتاً في ورقة رسمية حتما ، لأن الراهن الرسمي يجب أن يكون في ورقة رسمية . ومن ثم لا يحتاج الدائن المرتهن إلى حكم ، بل ينفذ بموجب هذه الرقة الرسمية ، ويبدأ التنفيذ بإعلان التنبيه بنزع ملكية العقار إلى المدين . فإذا كان التنفيذ على عقار مرهون من غير المدين أي من كفيل عيني ، أعلن التنبيه إلى الراهن بعد تكليف المدين بالوفاء . فالدائن المرتهن يستوفي حقه من العقار المرهون طبقاً $418 للإجراءات القانونية ، فيطلب بيعه في المواعيد ووفقاً للأوضاع المقررة في تقنين المرافعات . وهو باعتباره دائناً مرتهناً ، بتقدم في استيفاء حقه من العقار المرهون بحسب مرتبته ، بل وله حق تتبع هذا العقار كما سيجيء . كل ها مع مراعاة ألا ينفذ الدائن على </w:t>
      </w:r>
      <w:r>
        <w:rPr>
          <w:rFonts w:cs="Traditional Arabic" w:hint="cs"/>
          <w:sz w:val="28"/>
          <w:szCs w:val="32"/>
          <w:rtl/>
        </w:rPr>
        <w:lastRenderedPageBreak/>
        <w:t>العقار ، إلا بالقدر الذي يفي بالحق ( م 329 من المشروع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وتنتهي الإجراءات إلى بيع لعقار المرهون جبراً في المزاد ، ويستوفي الدائن المرتهن حقه من ثمنه . وكل اتفاق على غير ذلك يكون باطلا ، لمخالفته للنظام العام . ذلك أن هذه الإجراءات قد رسمها القانون لضمان حق كل من الدائن المرتهن والراهن ، فالإخلال بشيء منها يكون باطلا ، إذ يخشى أن يكون الدائن المرتهن قد استغل حاجة الراهن . وسنرى فيما يلي بطلان الاتفاق على أن يتملك الدائن المرتهن العقار المرهون إذا لم يف المدين بالدين</w:t>
      </w:r>
      <w:r>
        <w:rPr>
          <w:rFonts w:cs="Traditional Arabic" w:hint="cs"/>
          <w:sz w:val="28"/>
          <w:szCs w:val="32"/>
          <w:vertAlign w:val="superscript"/>
          <w:rtl/>
        </w:rPr>
        <w:t xml:space="preserve">( </w:t>
      </w:r>
      <w:r w:rsidRPr="00EC737F">
        <w:rPr>
          <w:rStyle w:val="ab"/>
          <w:rFonts w:cs="Traditional Arabic"/>
          <w:sz w:val="28"/>
          <w:szCs w:val="32"/>
          <w:rtl/>
        </w:rPr>
        <w:footnoteReference w:id="891"/>
      </w:r>
      <w:r>
        <w:rPr>
          <w:rFonts w:cs="Traditional Arabic" w:hint="cs"/>
          <w:sz w:val="28"/>
          <w:szCs w:val="32"/>
          <w:vertAlign w:val="superscript"/>
          <w:rtl/>
        </w:rPr>
        <w:t xml:space="preserve"> )</w:t>
      </w:r>
      <w:r>
        <w:rPr>
          <w:rFonts w:cs="Traditional Arabic" w:hint="cs"/>
          <w:sz w:val="28"/>
          <w:szCs w:val="32"/>
          <w:rtl/>
        </w:rPr>
        <w:t xml:space="preserve"> ، وبطلان الاتفاق على بيع العقار المرهون دون إتباع الإجراءات التي فرضها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8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184- التنفيذ على الكفيل العيني</w:t>
      </w:r>
      <w:r>
        <w:rPr>
          <w:rFonts w:cs="Traditional Arabic" w:hint="cs"/>
          <w:sz w:val="28"/>
          <w:szCs w:val="32"/>
          <w:rtl/>
        </w:rPr>
        <w:t xml:space="preserve"> : وقد يتفق أن يكون الراهن هو غير المدين ، وهذا هو الكفيل العيني . وقد رأينا</w:t>
      </w:r>
      <w:r>
        <w:rPr>
          <w:rFonts w:cs="Traditional Arabic" w:hint="cs"/>
          <w:sz w:val="28"/>
          <w:szCs w:val="32"/>
          <w:vertAlign w:val="superscript"/>
          <w:rtl/>
        </w:rPr>
        <w:t xml:space="preserve">( </w:t>
      </w:r>
      <w:r w:rsidRPr="00EC737F">
        <w:rPr>
          <w:rStyle w:val="ab"/>
          <w:rFonts w:cs="Traditional Arabic"/>
          <w:sz w:val="28"/>
          <w:szCs w:val="32"/>
          <w:rtl/>
        </w:rPr>
        <w:footnoteReference w:id="893"/>
      </w:r>
      <w:r>
        <w:rPr>
          <w:rFonts w:cs="Traditional Arabic" w:hint="cs"/>
          <w:sz w:val="28"/>
          <w:szCs w:val="32"/>
          <w:vertAlign w:val="superscript"/>
          <w:rtl/>
        </w:rPr>
        <w:t xml:space="preserve"> )</w:t>
      </w:r>
      <w:r>
        <w:rPr>
          <w:rFonts w:cs="Traditional Arabic" w:hint="cs"/>
          <w:sz w:val="28"/>
          <w:szCs w:val="32"/>
          <w:rtl/>
        </w:rPr>
        <w:t xml:space="preserve"> أنه "إذا كان الراهن $419 شخصاً آخر غير المدين ، فلا يجوز التنفيذ على ماله إلا ما رهن من هذا المال . ولا يكون له حق الدفع بتجريد المدين ، ما لم يوجد اتفاق يقضي بغير ذلك" ( م 1050 مدني ) . ورأينا </w:t>
      </w:r>
      <w:r>
        <w:rPr>
          <w:rFonts w:cs="Traditional Arabic" w:hint="cs"/>
          <w:sz w:val="28"/>
          <w:szCs w:val="32"/>
          <w:vertAlign w:val="superscript"/>
          <w:rtl/>
        </w:rPr>
        <w:t xml:space="preserve">( </w:t>
      </w:r>
      <w:r w:rsidRPr="00EC737F">
        <w:rPr>
          <w:rStyle w:val="ab"/>
          <w:rFonts w:cs="Traditional Arabic"/>
          <w:sz w:val="28"/>
          <w:szCs w:val="32"/>
          <w:rtl/>
        </w:rPr>
        <w:footnoteReference w:id="894"/>
      </w:r>
      <w:r>
        <w:rPr>
          <w:rFonts w:cs="Traditional Arabic" w:hint="cs"/>
          <w:sz w:val="28"/>
          <w:szCs w:val="32"/>
          <w:vertAlign w:val="superscript"/>
          <w:rtl/>
        </w:rPr>
        <w:t xml:space="preserve"> )</w:t>
      </w:r>
      <w:r>
        <w:rPr>
          <w:rFonts w:cs="Traditional Arabic" w:hint="cs"/>
          <w:sz w:val="28"/>
          <w:szCs w:val="32"/>
          <w:rtl/>
        </w:rPr>
        <w:t xml:space="preserve"> أن الفقرة الثانية من المادة 1051 تنص على ما يأتي : "وإذا كان </w:t>
      </w:r>
      <w:r>
        <w:rPr>
          <w:rFonts w:cs="Traditional Arabic" w:hint="cs"/>
          <w:sz w:val="28"/>
          <w:szCs w:val="32"/>
          <w:rtl/>
        </w:rPr>
        <w:lastRenderedPageBreak/>
        <w:t xml:space="preserve">الراهن شخصاً آخر غير المدين ، جاز له أن يتفادى أي إجراء موجه إليه ، إذا هو تخلى عن العقار المرهون وفقاً للأوضاع وطبقاً للأحكام التي يتبعها الحائز في تخلية العقار"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هذه النصوص أن الكفيل العيني إنما التزم عينياً بوفاء الدين المضمون ، بأن رهن مالا له رهناً رسمياً أو رهناً حيازياً في هذا الدين . فإذا كان الكفيل العيني قد رهن عقاراً له في الدين رهناً رسمياً ، وحل الدين ، جاز للدائن المرتهن ، بعد إتباع الإجراءات المقررة ، أن يقوم بالتنفيذ على هذا العقار وحده دون سائر أموال الكفيل العيني ، فإن هذا الكفيل لا يجب عليه الضمان العام في جميع أمواله للوفاء بالدين ، بل هو غير مسئول عن الدين إلا في حدود العقار الذي رهنه رهناً رسمياً . فلا يجوز إذن للدائن المرتهن أن ينفذ على أي مال للكفيل العيني غير العقار المرهون ، وتقول المادة 1050 مدني في هذا الصدد : "إذا كان الراهن شخصاً آخر غير المدين ، فلا يجوز التنفيذ على ماله إلا ما رهن من هذا المال  . . ." . ولم يقل النص : فلا يجوز التنفيذ إلا على ما رهن الكفيل من المال ، لأن هذه العبارة قد توهم أن الدائن المرتهن لا يستطيع أن ينفذ إلا على العقار المرهون ، في حين أنه يستطيع أن ينفذ ، إلى جانب ذلك ، على مال المدين نفسه ، باعتبار الدائن دائناً عادياً ، بما له م ضمان عام على مال مدينه . بل قد يكون المدين رهن مالا آخر في الدين ، فيجوز للدائن المرتهن في هذه الحالة أن ينفذ على هذا المال الآخر كما ينفذ على عقار الكفيل العيني المرهون . وعلى ذلك يكون للدائن المرتهن أن يبدأ التنفيذ على عقار الكفيل العيني ، أو يبدأه على العين $420 المرهون المملوكة للمدين ، أو ينفذ على المالين معاً إذا لم يكن مال منهما كافياً للوفاء بالدين . وإذا لم يكن المدين قد رهن في الدين مالا له ، جاز للدائن كما قدمنا أن ينفذ على أي مال للمدين</w:t>
      </w:r>
      <w:r>
        <w:rPr>
          <w:rFonts w:cs="Traditional Arabic" w:hint="cs"/>
          <w:sz w:val="28"/>
          <w:szCs w:val="32"/>
          <w:vertAlign w:val="superscript"/>
          <w:rtl/>
        </w:rPr>
        <w:t xml:space="preserve">( </w:t>
      </w:r>
      <w:r w:rsidRPr="00EC737F">
        <w:rPr>
          <w:rStyle w:val="ab"/>
          <w:rFonts w:cs="Traditional Arabic"/>
          <w:sz w:val="28"/>
          <w:szCs w:val="32"/>
          <w:rtl/>
        </w:rPr>
        <w:footnoteReference w:id="895"/>
      </w:r>
      <w:r>
        <w:rPr>
          <w:rFonts w:cs="Traditional Arabic" w:hint="cs"/>
          <w:sz w:val="28"/>
          <w:szCs w:val="32"/>
          <w:vertAlign w:val="superscript"/>
          <w:rtl/>
        </w:rPr>
        <w:t xml:space="preserve"> )</w:t>
      </w:r>
      <w:r>
        <w:rPr>
          <w:rFonts w:cs="Traditional Arabic" w:hint="cs"/>
          <w:sz w:val="28"/>
          <w:szCs w:val="32"/>
          <w:rtl/>
        </w:rPr>
        <w:t xml:space="preserve"> كدائن عادي . ولكن لا يجوز للكفيل العيني أن يجبر الدائن على التنفيذ أولا على أموال المدين ، مرهونة في الدين أو غير مرهونة ، أي أنه ليس له حق تجريد المدين الأول قبل التنفيذ على عقاره المرهون ، إلا إذا وجد اتفاق على هذا الأمر . وتقول العبارة الأخيرة من المادة1050 مدني كما رأينا : "ولا </w:t>
      </w:r>
      <w:r>
        <w:rPr>
          <w:rFonts w:cs="Traditional Arabic" w:hint="cs"/>
          <w:sz w:val="28"/>
          <w:szCs w:val="32"/>
          <w:rtl/>
        </w:rPr>
        <w:lastRenderedPageBreak/>
        <w:t>يكون له ( للكفيل العيني ) حق الدفع بتجريد المدين ، ما لم يوجد اتفاق يقضي بغير ذلك"</w:t>
      </w:r>
      <w:r>
        <w:rPr>
          <w:rFonts w:cs="Traditional Arabic" w:hint="cs"/>
          <w:sz w:val="28"/>
          <w:szCs w:val="32"/>
          <w:vertAlign w:val="superscript"/>
          <w:rtl/>
        </w:rPr>
        <w:t xml:space="preserve">( </w:t>
      </w:r>
      <w:r w:rsidRPr="00EC737F">
        <w:rPr>
          <w:rStyle w:val="ab"/>
          <w:rFonts w:cs="Traditional Arabic"/>
          <w:sz w:val="28"/>
          <w:szCs w:val="32"/>
          <w:rtl/>
        </w:rPr>
        <w:footnoteReference w:id="8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كان الكفيل العيني غير مسئول عن الدين إلا في حدود العقار المرهون ، فإن له أن يتفادى أي إجراء موجه ضده من إجراءات التنفيذ المتقدم ذكرها إذا هو تخلي عن العقار المرهون وفقاً للأوضاع وطبقاً للأحكام التي يتبعها الحائز في تخلية العقار</w:t>
      </w:r>
      <w:r>
        <w:rPr>
          <w:rFonts w:cs="Traditional Arabic" w:hint="cs"/>
          <w:sz w:val="28"/>
          <w:szCs w:val="32"/>
          <w:vertAlign w:val="superscript"/>
          <w:rtl/>
        </w:rPr>
        <w:t xml:space="preserve">( </w:t>
      </w:r>
      <w:r w:rsidRPr="00EC737F">
        <w:rPr>
          <w:rStyle w:val="ab"/>
          <w:rFonts w:cs="Traditional Arabic"/>
          <w:sz w:val="28"/>
          <w:szCs w:val="32"/>
          <w:rtl/>
        </w:rPr>
        <w:footnoteReference w:id="897"/>
      </w:r>
      <w:r>
        <w:rPr>
          <w:rFonts w:cs="Traditional Arabic" w:hint="cs"/>
          <w:sz w:val="28"/>
          <w:szCs w:val="32"/>
          <w:vertAlign w:val="superscript"/>
          <w:rtl/>
        </w:rPr>
        <w:t xml:space="preserve"> )</w:t>
      </w:r>
      <w:r>
        <w:rPr>
          <w:rFonts w:cs="Traditional Arabic" w:hint="cs"/>
          <w:sz w:val="28"/>
          <w:szCs w:val="32"/>
          <w:rtl/>
        </w:rPr>
        <w:t xml:space="preserve"> . وعلى ذلك يستطيع الكفيل العيني ، إذا أراد توقي إجراءات التنفيذ ، أن يتخلى عن العقار الذي رهنه كما يتخلى $421 الحائز للعقار المرهون ، ويتبع في ذلك ما يتبعه الحائز من أوضاع ، ويسري عليه ما يسري على الحائز م أحكام . وتقول المادة 1071 مدني في تخلي الحائز عن العقار المرهون ما يأتي : "تكون تخلية العقار المرهون بتقرير يقدمه الحائز إلى قلم كتاب المحكمة الابتدائية المختصة ، ويجب عليه أن يطلب التأشير بذلك في هامش تسجيل التنبيه بنزع الملكية ، وأن يعلن الدائن المباشر للإجراءات بهذه التخلية في خلال خمسة أيام من وقت التقرير بها . 2- ويجوز لمن له مصلحة في التعجيل أن يطلب إلى قاضي الأمور المستعجلة تعيين حارس تتخذ في مواجهته إجراءات نزع الملكية . ويعين الحائز حارساً إذا طلب ذلك" . وعلى ذلك يتخلي الكفيل العيني عن العقار المرهون بتقرير يقدمه أمام قلم كتاب محكمة العقار الابتدائية ، ويؤشر به في هامش تسجيل تنبيه نزع الملكية . وعليه أن يعلن الدائن المرتهن بالتخلية في خمسة أيام من وقت التقرر بها . وعندئذ لا يستمر في اتخاذ إجراءات التنفيذ في مواجهة الكفيل العيني ، ولو أنه يبقى مالكاً للعقار . ويجوز لكل ذي مصلحة ، </w:t>
      </w:r>
      <w:r>
        <w:rPr>
          <w:rFonts w:cs="Traditional Arabic" w:hint="cs"/>
          <w:sz w:val="28"/>
          <w:szCs w:val="32"/>
          <w:rtl/>
        </w:rPr>
        <w:lastRenderedPageBreak/>
        <w:t>ويدخل في ذلك الدائن المرتهن والكفيل العيني نفسه ، أن يطلب إلى قاضي الأمور المستعجلة تعيين حارس يتخذ الإجراءات في مواجهته ، وإذا طلب الكفيل العيني تعيينه حارساً وجب تعيينه . وتتخذ إجراءات التنفيذ على العقار ضد الحارس ، وبعد بيع العقار واستيفاء الدائن المرتهن حقه من ثمنه ، إن بقي شي من هذا الثمن كان من حق الكفيل العيني ، لأنه يبقى مالكاً للعقار المرهون كما قدمنا</w:t>
      </w:r>
      <w:r>
        <w:rPr>
          <w:rFonts w:cs="Traditional Arabic" w:hint="cs"/>
          <w:sz w:val="28"/>
          <w:szCs w:val="32"/>
          <w:vertAlign w:val="superscript"/>
          <w:rtl/>
        </w:rPr>
        <w:t xml:space="preserve">( </w:t>
      </w:r>
      <w:r w:rsidRPr="00EC737F">
        <w:rPr>
          <w:rStyle w:val="ab"/>
          <w:rFonts w:cs="Traditional Arabic"/>
          <w:sz w:val="28"/>
          <w:szCs w:val="32"/>
          <w:rtl/>
        </w:rPr>
        <w:footnoteReference w:id="898"/>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185- بطلان شرط تملك العقار المرهون عند عدم الوفاء</w:t>
      </w:r>
      <w:r>
        <w:rPr>
          <w:rFonts w:cs="Traditional Arabic" w:hint="cs"/>
          <w:sz w:val="28"/>
          <w:szCs w:val="32"/>
          <w:rtl/>
        </w:rPr>
        <w:t xml:space="preserve"> : رأينا</w:t>
      </w:r>
      <w:r>
        <w:rPr>
          <w:rFonts w:cs="Traditional Arabic" w:hint="cs"/>
          <w:sz w:val="28"/>
          <w:szCs w:val="32"/>
          <w:vertAlign w:val="superscript"/>
          <w:rtl/>
        </w:rPr>
        <w:t xml:space="preserve">( </w:t>
      </w:r>
      <w:r w:rsidRPr="00EC737F">
        <w:rPr>
          <w:rStyle w:val="ab"/>
          <w:rFonts w:cs="Traditional Arabic"/>
          <w:sz w:val="28"/>
          <w:szCs w:val="32"/>
          <w:rtl/>
        </w:rPr>
        <w:footnoteReference w:id="899"/>
      </w:r>
      <w:r>
        <w:rPr>
          <w:rFonts w:cs="Traditional Arabic" w:hint="cs"/>
          <w:sz w:val="28"/>
          <w:szCs w:val="32"/>
          <w:vertAlign w:val="superscript"/>
          <w:rtl/>
        </w:rPr>
        <w:t xml:space="preserve"> )</w:t>
      </w:r>
      <w:r>
        <w:rPr>
          <w:rFonts w:cs="Traditional Arabic" w:hint="cs"/>
          <w:sz w:val="28"/>
          <w:szCs w:val="32"/>
          <w:rtl/>
        </w:rPr>
        <w:t xml:space="preserve"> أن الفقرة الأولى من المادة 1052 مدني تنص على أن "يقع باطلا كل اتفاق $422 يجعل للدائن الحق ، عند عدم استيفاء الدين وقت حلول أجله ، في أن يتملك العقار المرهون في نظير ثمن معلوم أياً كان  . . . . ولو كان هذا الاتفاق قد أبرم بعد الرهن" . فإذا اتفق الدائن المرتهن مع الراهن ، مديناً كان أو كفيلا عينياً ، على أنه عند حلول أجل الدين وعدم الوفاء به يكون للدائن المرتهن الحق في أن يتملك العقار المرهون بثمن هو الدين المستحق وهذا هو الغالب ، أو بأي ثمن آخر وقد يكون اكبر من الدين المستحق ، فإن هذا الاتفاق يكون باطلا لمخالفته للنظام العام . وهذا الاتفاق يعرف باسم </w:t>
      </w:r>
      <w:r>
        <w:rPr>
          <w:rFonts w:cs="Traditional Arabic"/>
          <w:sz w:val="28"/>
          <w:szCs w:val="32"/>
          <w:rtl/>
        </w:rPr>
        <w:t xml:space="preserve">( </w:t>
      </w:r>
      <w:r>
        <w:rPr>
          <w:rFonts w:cs="Traditional Arabic"/>
          <w:sz w:val="28"/>
          <w:szCs w:val="32"/>
        </w:rPr>
        <w:t>pacte commissoier</w:t>
      </w:r>
      <w:r>
        <w:rPr>
          <w:rFonts w:cs="Traditional Arabic"/>
          <w:sz w:val="28"/>
          <w:szCs w:val="32"/>
          <w:rtl/>
        </w:rPr>
        <w:t xml:space="preserve"> )</w:t>
      </w:r>
      <w:r>
        <w:rPr>
          <w:rFonts w:cs="Traditional Arabic" w:hint="cs"/>
          <w:sz w:val="28"/>
          <w:szCs w:val="32"/>
          <w:rtl/>
        </w:rPr>
        <w:t xml:space="preserve"> ، ويلجأ إليه الدائن المرتهن حتى يستغل موقف الراهن . وموقف الراهن يكون عادة ضعيفاً ، ويستطيع الدائن المرتهن أن يفرض عليه الشرط . وكثيراً ما يعتقد الراهن أن الدين سيوفي عند حلول أجله ، ونظراً لضعف مركزه يقبل هذا الشرط ، ويجعل الثمن هو نفس الدين المستحق ، أو إذا كانت قيمة العقار تزيد كثيراً عن هذا الدين يجعل الثمن أكبر من الدين المستحق ، ولكنه لا يصل عادة إلى قيمة العقار</w:t>
      </w:r>
      <w:r>
        <w:rPr>
          <w:rFonts w:cs="Traditional Arabic" w:hint="cs"/>
          <w:sz w:val="28"/>
          <w:szCs w:val="32"/>
          <w:vertAlign w:val="superscript"/>
          <w:rtl/>
        </w:rPr>
        <w:t xml:space="preserve">( </w:t>
      </w:r>
      <w:r w:rsidRPr="00EC737F">
        <w:rPr>
          <w:rStyle w:val="ab"/>
          <w:rFonts w:cs="Traditional Arabic"/>
          <w:sz w:val="28"/>
          <w:szCs w:val="32"/>
          <w:rtl/>
        </w:rPr>
        <w:footnoteReference w:id="900"/>
      </w:r>
      <w:r>
        <w:rPr>
          <w:rFonts w:cs="Traditional Arabic" w:hint="cs"/>
          <w:sz w:val="28"/>
          <w:szCs w:val="32"/>
          <w:vertAlign w:val="superscript"/>
          <w:rtl/>
        </w:rPr>
        <w:t xml:space="preserve"> )</w:t>
      </w:r>
      <w:r>
        <w:rPr>
          <w:rFonts w:cs="Traditional Arabic" w:hint="cs"/>
          <w:sz w:val="28"/>
          <w:szCs w:val="32"/>
          <w:rtl/>
        </w:rPr>
        <w:t xml:space="preserve"> . وقد أراد المشرع حماية الراهن من هذا الاستغلال المخالف للنظام العام ، فنص صراحة على أن هذا الاتفاق يكون باطلا ، أياً كان الثمن الذي اتفق عليه</w:t>
      </w:r>
      <w:r>
        <w:rPr>
          <w:rFonts w:cs="Traditional Arabic" w:hint="cs"/>
          <w:sz w:val="28"/>
          <w:szCs w:val="32"/>
          <w:vertAlign w:val="superscript"/>
          <w:rtl/>
        </w:rPr>
        <w:t xml:space="preserve">( </w:t>
      </w:r>
      <w:r w:rsidRPr="00EC737F">
        <w:rPr>
          <w:rStyle w:val="ab"/>
          <w:rFonts w:cs="Traditional Arabic"/>
          <w:sz w:val="28"/>
          <w:szCs w:val="32"/>
          <w:rtl/>
        </w:rPr>
        <w:footnoteReference w:id="901"/>
      </w:r>
      <w:r>
        <w:rPr>
          <w:rFonts w:cs="Traditional Arabic" w:hint="cs"/>
          <w:sz w:val="28"/>
          <w:szCs w:val="32"/>
          <w:vertAlign w:val="superscript"/>
          <w:rtl/>
        </w:rPr>
        <w:t xml:space="preserve"> )</w:t>
      </w:r>
      <w:r>
        <w:rPr>
          <w:rFonts w:cs="Traditional Arabic" w:hint="cs"/>
          <w:sz w:val="28"/>
          <w:szCs w:val="32"/>
          <w:rtl/>
        </w:rPr>
        <w:t xml:space="preserve"> ، وهو لا يكون عادة إلا أقل من القيمة الحقيقية للعقار لأن الفرق بين </w:t>
      </w:r>
      <w:r>
        <w:rPr>
          <w:rFonts w:cs="Traditional Arabic" w:hint="cs"/>
          <w:sz w:val="28"/>
          <w:szCs w:val="32"/>
          <w:rtl/>
        </w:rPr>
        <w:lastRenderedPageBreak/>
        <w:t>هذه القيمة الحقيقية والثمن هو الذي يستفيده الدائن من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902"/>
      </w:r>
      <w:r>
        <w:rPr>
          <w:rFonts w:cs="Traditional Arabic" w:hint="cs"/>
          <w:sz w:val="28"/>
          <w:szCs w:val="32"/>
          <w:vertAlign w:val="superscript"/>
          <w:rtl/>
        </w:rPr>
        <w:t xml:space="preserve"> )</w:t>
      </w:r>
      <w:r>
        <w:rPr>
          <w:rFonts w:cs="Traditional Arabic" w:hint="cs"/>
          <w:sz w:val="28"/>
          <w:szCs w:val="32"/>
          <w:rtl/>
        </w:rPr>
        <w:t xml:space="preserve"> . ويغلب $423 أن يوضع هذا الشرط الباطل في عقد الرهن الرسمي ذاته ، ولن لا شيء يمنع من أن يكون الاتفاق بعد عقد الرهن الرسمي ، فيبرم في اتفاق لاحق . والاتفاق اللاحق كالاتفاق المعاصر يكون باطلا لنفس الأسباب ، وقد نص المشرع صراحة على ذلك إذ قال كما رأينا : "ولو كان هذا الاتفاق قد أبرم بعد الرهن"</w:t>
      </w:r>
      <w:r>
        <w:rPr>
          <w:rFonts w:cs="Traditional Arabic" w:hint="cs"/>
          <w:sz w:val="28"/>
          <w:szCs w:val="32"/>
          <w:vertAlign w:val="superscript"/>
          <w:rtl/>
        </w:rPr>
        <w:t xml:space="preserve">( </w:t>
      </w:r>
      <w:r w:rsidRPr="00EC737F">
        <w:rPr>
          <w:rStyle w:val="ab"/>
          <w:rFonts w:cs="Traditional Arabic"/>
          <w:sz w:val="28"/>
          <w:szCs w:val="32"/>
          <w:rtl/>
        </w:rPr>
        <w:footnoteReference w:id="903"/>
      </w:r>
      <w:r>
        <w:rPr>
          <w:rFonts w:cs="Traditional Arabic" w:hint="cs"/>
          <w:sz w:val="28"/>
          <w:szCs w:val="32"/>
          <w:vertAlign w:val="superscript"/>
          <w:rtl/>
        </w:rPr>
        <w:t xml:space="preserve"> )</w:t>
      </w:r>
      <w:r>
        <w:rPr>
          <w:rFonts w:cs="Traditional Arabic" w:hint="cs"/>
          <w:sz w:val="28"/>
          <w:szCs w:val="32"/>
          <w:rtl/>
        </w:rPr>
        <w:t xml:space="preserve"> . وبطلان الاتفاق لا يمس عقد الرهن الرسمي نفسه ، فيبطل الاتفاق لمخالفته للنظام العام ، ولكن عقد الرهن الرسمي يبقى صحيحاً</w:t>
      </w:r>
      <w:r>
        <w:rPr>
          <w:rFonts w:cs="Traditional Arabic" w:hint="cs"/>
          <w:sz w:val="28"/>
          <w:szCs w:val="32"/>
          <w:vertAlign w:val="superscript"/>
          <w:rtl/>
        </w:rPr>
        <w:t xml:space="preserve">( </w:t>
      </w:r>
      <w:r w:rsidRPr="00EC737F">
        <w:rPr>
          <w:rStyle w:val="ab"/>
          <w:rFonts w:cs="Traditional Arabic"/>
          <w:sz w:val="28"/>
          <w:szCs w:val="32"/>
          <w:rtl/>
        </w:rPr>
        <w:footnoteReference w:id="904"/>
      </w:r>
      <w:r>
        <w:rPr>
          <w:rFonts w:cs="Traditional Arabic" w:hint="cs"/>
          <w:sz w:val="28"/>
          <w:szCs w:val="32"/>
          <w:vertAlign w:val="superscript"/>
          <w:rtl/>
        </w:rPr>
        <w:t xml:space="preserve"> )</w:t>
      </w:r>
      <w:r>
        <w:rPr>
          <w:rFonts w:cs="Traditional Arabic" w:hint="cs"/>
          <w:sz w:val="28"/>
          <w:szCs w:val="32"/>
          <w:rtl/>
        </w:rPr>
        <w:t xml:space="preserve"> . على أنه إذا أثبت الدائن المرتهن أن هذا الاتفاق كان هو الشرط الدافع الإبرام عقد الرهن ، فإن عقد الرهن يبطل أيضاً كبطلان الاتفاق .وقد نصت المادة 143 مدني في هذا الصدد على أنه "إذا كان العقد في شق منه باطلا أو قابلا للإبطال ، فهذا الشق وحده هو الذي يبطل ، إلا إذا تبين أن العقد ما كان ليتم بغير الشق الذي وقع باطلا أو قابلا للإبطال فيبطل العقد كله"</w:t>
      </w:r>
      <w:r>
        <w:rPr>
          <w:rFonts w:cs="Traditional Arabic" w:hint="cs"/>
          <w:sz w:val="28"/>
          <w:szCs w:val="32"/>
          <w:vertAlign w:val="superscript"/>
          <w:rtl/>
        </w:rPr>
        <w:t xml:space="preserve">( </w:t>
      </w:r>
      <w:r w:rsidRPr="00EC737F">
        <w:rPr>
          <w:rStyle w:val="ab"/>
          <w:rFonts w:cs="Traditional Arabic"/>
          <w:sz w:val="28"/>
          <w:szCs w:val="32"/>
          <w:rtl/>
        </w:rPr>
        <w:footnoteReference w:id="905"/>
      </w:r>
      <w:r>
        <w:rPr>
          <w:rFonts w:cs="Traditional Arabic" w:hint="cs"/>
          <w:sz w:val="28"/>
          <w:szCs w:val="32"/>
          <w:vertAlign w:val="superscript"/>
          <w:rtl/>
        </w:rPr>
        <w:t xml:space="preserve"> )</w:t>
      </w:r>
      <w:r>
        <w:rPr>
          <w:rFonts w:cs="Traditional Arabic" w:hint="cs"/>
          <w:sz w:val="28"/>
          <w:szCs w:val="32"/>
          <w:rtl/>
        </w:rPr>
        <w:t xml:space="preserve"> .</w:t>
      </w:r>
    </w:p>
    <w:p w:rsidR="00F72742" w:rsidRPr="00687C7B"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ولا يصح هذا الاتفاق إلا إذا أبرم بعد حلول الدين أو حلول قسط منه ، فإن مظنة ضعف الراهن تكون قد انتفت بحلول الدين كله أو بعضه . وقد نصت الفقرة الثانية من المادة 1052 مدني على ذلك ، </w:t>
      </w:r>
      <w:r>
        <w:rPr>
          <w:rFonts w:cs="Traditional Arabic" w:hint="cs"/>
          <w:sz w:val="28"/>
          <w:szCs w:val="32"/>
          <w:rtl/>
        </w:rPr>
        <w:lastRenderedPageBreak/>
        <w:t>إذ تقول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906"/>
      </w:r>
      <w:r>
        <w:rPr>
          <w:rFonts w:cs="Traditional Arabic" w:hint="cs"/>
          <w:sz w:val="28"/>
          <w:szCs w:val="32"/>
          <w:vertAlign w:val="superscript"/>
          <w:rtl/>
        </w:rPr>
        <w:t xml:space="preserve"> )</w:t>
      </w:r>
      <w:r>
        <w:rPr>
          <w:rFonts w:cs="Traditional Arabic" w:hint="cs"/>
          <w:sz w:val="28"/>
          <w:szCs w:val="32"/>
          <w:rtl/>
        </w:rPr>
        <w:t xml:space="preserve"> : "ولكن يجوز ، بعد حلول الدين أو قسط منهن الاتفاق على أن ينزل المدين لدائنه عن العقار المرهون وفاء لدينه" . فيجوز إذن ، بعد حلول الدين كله أو بعضه ، للراهن ، مديناً كان أو كفيلا عينياً ، أن يتفق مع الدائن المرتهن $424 على أن ينزل له عن العقار المرهون في نظير الدين ويكون هذا وفاء بمقابل بل يجوز للراهن أن يتفق مع الدائن المرتهن في هذه الحالة على أن يبيع له العقار المرهون بثمن أياً كان ، أكبر أو مساو أو أقل من الدين المستحق . فإن الراهن لا يكون في مثل هذه الظروف تحت ضغط الحاجة ، فقد استحق الدين ويستطيع أن يمتنع عن الاتفاق مع الدائن المرتهن إن شاء ، ويطلب بيع العقار المرهون طبقاً للإجراءات التي قررها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90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186- بطلان شرط بيع العقار المرهون دون إجراءات</w:t>
      </w:r>
      <w:r>
        <w:rPr>
          <w:rFonts w:cs="Traditional Arabic" w:hint="cs"/>
          <w:sz w:val="28"/>
          <w:szCs w:val="32"/>
          <w:rtl/>
        </w:rPr>
        <w:t xml:space="preserve"> : وهذا أيضاً شرط باطل إذ يقارب شرط تملك العقار المرهون عند عدم الوفاء ،ويسمى عادة بشرط الطريق الممهد </w:t>
      </w:r>
      <w:r>
        <w:rPr>
          <w:rFonts w:cs="Traditional Arabic"/>
          <w:sz w:val="28"/>
          <w:szCs w:val="32"/>
          <w:rtl/>
        </w:rPr>
        <w:t xml:space="preserve">( </w:t>
      </w:r>
      <w:r>
        <w:rPr>
          <w:rFonts w:cs="Traditional Arabic"/>
          <w:sz w:val="28"/>
          <w:szCs w:val="32"/>
        </w:rPr>
        <w:t>clause de voie paree</w:t>
      </w:r>
      <w:r>
        <w:rPr>
          <w:rFonts w:cs="Traditional Arabic"/>
          <w:sz w:val="28"/>
          <w:szCs w:val="32"/>
          <w:rtl/>
        </w:rPr>
        <w:t xml:space="preserve"> )</w:t>
      </w:r>
      <w:r>
        <w:rPr>
          <w:rFonts w:cs="Traditional Arabic" w:hint="cs"/>
          <w:sz w:val="28"/>
          <w:szCs w:val="32"/>
          <w:rtl/>
        </w:rPr>
        <w:t xml:space="preserve"> . وصورته أن يتفق الدائن المرتهن مع الراهن ، مديناً كان أو كفيلا عينياً ، على أنه عند حلول أجل الدين وعدم الوفاء به يجوز بيع العقار لمرهون بالممارسة أو بأية طريقة كانت دون إتباع الإجراءات التي فرضها تقنين المرافعات في البيوع الجبرية</w:t>
      </w:r>
      <w:r>
        <w:rPr>
          <w:rFonts w:cs="Traditional Arabic" w:hint="cs"/>
          <w:sz w:val="28"/>
          <w:szCs w:val="32"/>
          <w:vertAlign w:val="superscript"/>
          <w:rtl/>
        </w:rPr>
        <w:t xml:space="preserve">( </w:t>
      </w:r>
      <w:r w:rsidRPr="00EC737F">
        <w:rPr>
          <w:rStyle w:val="ab"/>
          <w:rFonts w:cs="Traditional Arabic"/>
          <w:sz w:val="28"/>
          <w:szCs w:val="32"/>
          <w:rtl/>
        </w:rPr>
        <w:footnoteReference w:id="908"/>
      </w:r>
      <w:r>
        <w:rPr>
          <w:rFonts w:cs="Traditional Arabic" w:hint="cs"/>
          <w:sz w:val="28"/>
          <w:szCs w:val="32"/>
          <w:vertAlign w:val="superscript"/>
          <w:rtl/>
        </w:rPr>
        <w:t xml:space="preserve"> )</w:t>
      </w:r>
      <w:r>
        <w:rPr>
          <w:rFonts w:cs="Traditional Arabic" w:hint="cs"/>
          <w:sz w:val="28"/>
          <w:szCs w:val="32"/>
          <w:rtl/>
        </w:rPr>
        <w:t xml:space="preserve"> . ويخشى هنا أيضاً من استغلال الدائن المرتهن $425 لضعف </w:t>
      </w:r>
      <w:r>
        <w:rPr>
          <w:rFonts w:cs="Traditional Arabic" w:hint="cs"/>
          <w:sz w:val="28"/>
          <w:szCs w:val="32"/>
          <w:rtl/>
        </w:rPr>
        <w:lastRenderedPageBreak/>
        <w:t>مركز الراهن ، فيفرض عليه هذا الشرط . وبذلك يحرم الراهن من الحماية التي كفلها له القانون في فرض إجراءات معينة في بيع العقار المرهون بيعاً جبرياً ، وما تتضمنه هذه الإجراءات من أحكام تؤدي عادة إلى بيع العقار بكبر قيمة ممكنة . وقد نصت الفقر الأولى من المادة 1052 مدني على ذلك الحكم ، إذ تقول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909"/>
      </w:r>
      <w:r>
        <w:rPr>
          <w:rFonts w:cs="Traditional Arabic" w:hint="cs"/>
          <w:sz w:val="28"/>
          <w:szCs w:val="32"/>
          <w:vertAlign w:val="superscript"/>
          <w:rtl/>
        </w:rPr>
        <w:t xml:space="preserve"> )</w:t>
      </w:r>
      <w:r>
        <w:rPr>
          <w:rFonts w:cs="Traditional Arabic" w:hint="cs"/>
          <w:sz w:val="28"/>
          <w:szCs w:val="32"/>
          <w:rtl/>
        </w:rPr>
        <w:t xml:space="preserve"> "يقع باطلا كل اتفاق يجعل للدائن الحق ، عند عدم استيفاء الدين وقت حلول أجله ، في أن  . . . . يبيعه ( العقار المرهون ) دون مراعاة للإجراءات التي فرضها القانون ، ولو كان هذا الاتفاق قد أبرم بعد الرهن" . فيكون إذن باطلا ، لمخالفته للنظام العام ، كل اتفاق بين الراهن والمرتهن على بيع العقار المرهون ، عند حلول أجل الدين وعدم الوفاء به ، دون إتباع الإجراءات التي فرضها القانون في البيوع الجبرية . وسواء عقد هذا الاتفاق عند عقد الرهن الرسمي أو عقد بعد إبرام الرهن ، فإنه يكون باطلا في الحالتين . ويقتصر اثر البطلان هنا أيضاً على الشرط نفسه ، ويبقى عقد الرهن الرسمي صحيحاً</w:t>
      </w:r>
      <w:r>
        <w:rPr>
          <w:rFonts w:cs="Traditional Arabic" w:hint="cs"/>
          <w:sz w:val="28"/>
          <w:szCs w:val="32"/>
          <w:vertAlign w:val="superscript"/>
          <w:rtl/>
        </w:rPr>
        <w:t xml:space="preserve">( </w:t>
      </w:r>
      <w:r w:rsidRPr="00EC737F">
        <w:rPr>
          <w:rStyle w:val="ab"/>
          <w:rFonts w:cs="Traditional Arabic"/>
          <w:sz w:val="28"/>
          <w:szCs w:val="32"/>
          <w:rtl/>
        </w:rPr>
        <w:footnoteReference w:id="910"/>
      </w:r>
      <w:r>
        <w:rPr>
          <w:rFonts w:cs="Traditional Arabic" w:hint="cs"/>
          <w:sz w:val="28"/>
          <w:szCs w:val="32"/>
          <w:vertAlign w:val="superscript"/>
          <w:rtl/>
        </w:rPr>
        <w:t xml:space="preserve"> )</w:t>
      </w:r>
      <w:r>
        <w:rPr>
          <w:rFonts w:cs="Traditional Arabic" w:hint="cs"/>
          <w:sz w:val="28"/>
          <w:szCs w:val="32"/>
          <w:rtl/>
        </w:rPr>
        <w:t xml:space="preserve"> ، ما لم يكن هذا الشرط هو الدافع للراهن المرتهن على التعاقد فيبطل الشرط والرهن معاً ، كما قدمنا في شرط تملك العقار المرهون عند عدم الوفاء</w:t>
      </w:r>
      <w:r>
        <w:rPr>
          <w:rFonts w:cs="Traditional Arabic" w:hint="cs"/>
          <w:sz w:val="28"/>
          <w:szCs w:val="32"/>
          <w:vertAlign w:val="superscript"/>
          <w:rtl/>
        </w:rPr>
        <w:t xml:space="preserve">( </w:t>
      </w:r>
      <w:r w:rsidRPr="00EC737F">
        <w:rPr>
          <w:rStyle w:val="ab"/>
          <w:rFonts w:cs="Traditional Arabic"/>
          <w:sz w:val="28"/>
          <w:szCs w:val="32"/>
          <w:rtl/>
        </w:rPr>
        <w:footnoteReference w:id="9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عقد الاتفاق بعد حلول أجل الدين كله أو حلول قسط منه ، فإن الاتفاق يصح ، لأن مظنة استقلال الراهن في هذه الحالة تكون قد $426 انتفت كما رأيناها قد انتفت في شرط تملك العقار المرهون عند عدم الوفاء . ولم نص الفقرة من المادة 1052 مدني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912"/>
      </w:r>
      <w:r>
        <w:rPr>
          <w:rFonts w:cs="Traditional Arabic" w:hint="cs"/>
          <w:sz w:val="28"/>
          <w:szCs w:val="32"/>
          <w:vertAlign w:val="superscript"/>
          <w:rtl/>
        </w:rPr>
        <w:t xml:space="preserve"> )</w:t>
      </w:r>
      <w:r>
        <w:rPr>
          <w:rFonts w:cs="Traditional Arabic" w:hint="cs"/>
          <w:sz w:val="28"/>
          <w:szCs w:val="32"/>
          <w:rtl/>
        </w:rPr>
        <w:t xml:space="preserve"> ، صراحة على جواز </w:t>
      </w:r>
      <w:r>
        <w:rPr>
          <w:rFonts w:cs="Traditional Arabic" w:hint="cs"/>
          <w:sz w:val="28"/>
          <w:szCs w:val="32"/>
          <w:rtl/>
        </w:rPr>
        <w:lastRenderedPageBreak/>
        <w:t>الاتفاق إذا عقد بعد حلول الدين كله أو بعضه ، كما نصت على جواز الاتفاق في هذه الحالة على تملك العقار المرهون عند عدم الوفاء . ولكن يمكن قياس الحالة الأولى على الحالة الثانية ، والقول بصحة الاتفاق في الحالتين</w:t>
      </w:r>
      <w:r>
        <w:rPr>
          <w:rFonts w:cs="Traditional Arabic" w:hint="cs"/>
          <w:sz w:val="28"/>
          <w:szCs w:val="32"/>
          <w:vertAlign w:val="superscript"/>
          <w:rtl/>
        </w:rPr>
        <w:t xml:space="preserve">( </w:t>
      </w:r>
      <w:r w:rsidRPr="00EC737F">
        <w:rPr>
          <w:rStyle w:val="ab"/>
          <w:rFonts w:cs="Traditional Arabic"/>
          <w:sz w:val="28"/>
          <w:szCs w:val="32"/>
          <w:rtl/>
        </w:rPr>
        <w:footnoteReference w:id="913"/>
      </w:r>
      <w:r>
        <w:rPr>
          <w:rFonts w:cs="Traditional Arabic" w:hint="cs"/>
          <w:sz w:val="28"/>
          <w:szCs w:val="32"/>
          <w:vertAlign w:val="superscript"/>
          <w:rtl/>
        </w:rPr>
        <w:t xml:space="preserve"> )</w:t>
      </w:r>
      <w:r>
        <w:rPr>
          <w:rFonts w:cs="Traditional Arabic" w:hint="cs"/>
          <w:sz w:val="28"/>
          <w:szCs w:val="32"/>
          <w:rtl/>
        </w:rPr>
        <w:t xml:space="preserve"> . ويؤيد ذلك ما ورد في المذكرة الإيضاحية للمروع التمهيدي في هذا الخصوص ، فهي تقول : "أما إذا حل الدين فقد انعدمت شبهة استغلال الدائن المرتهن لحاجة الرهن ، وأصبح هذا على بينه من الأمر . فيجوز الاتفاق حينذ . . . على أن يباع العقار بالممارسة لا بالمزاد العلني ، وقد يكون في هذه الاتفاقات مصلحة للراهن نفسه ، إذ يتجنب المصروفات التي تنجم عن بيع العقار بالزاد"</w:t>
      </w:r>
      <w:r>
        <w:rPr>
          <w:rFonts w:cs="Traditional Arabic" w:hint="cs"/>
          <w:sz w:val="28"/>
          <w:szCs w:val="32"/>
          <w:vertAlign w:val="superscript"/>
          <w:rtl/>
        </w:rPr>
        <w:t xml:space="preserve">( </w:t>
      </w:r>
      <w:r w:rsidRPr="00EC737F">
        <w:rPr>
          <w:rStyle w:val="ab"/>
          <w:rFonts w:cs="Traditional Arabic"/>
          <w:sz w:val="28"/>
          <w:szCs w:val="32"/>
          <w:rtl/>
        </w:rPr>
        <w:footnoteReference w:id="914"/>
      </w:r>
      <w:r>
        <w:rPr>
          <w:rFonts w:cs="Traditional Arabic" w:hint="cs"/>
          <w:sz w:val="28"/>
          <w:szCs w:val="32"/>
          <w:vertAlign w:val="superscript"/>
          <w:rtl/>
        </w:rPr>
        <w:t xml:space="preserve"> )</w:t>
      </w:r>
      <w:r>
        <w:rPr>
          <w:rFonts w:cs="Traditional Arabic" w:hint="cs"/>
          <w:sz w:val="28"/>
          <w:szCs w:val="32"/>
          <w:rtl/>
        </w:rPr>
        <w:t xml:space="preserve"> .</w:t>
      </w:r>
    </w:p>
    <w:p w:rsidR="00F72742" w:rsidRPr="008C159A" w:rsidRDefault="00F72742" w:rsidP="00F72742">
      <w:pPr>
        <w:widowControl w:val="0"/>
        <w:spacing w:after="120"/>
        <w:jc w:val="center"/>
        <w:rPr>
          <w:rFonts w:cs="Traditional Arabic" w:hint="cs"/>
          <w:b/>
          <w:bCs/>
          <w:sz w:val="40"/>
          <w:szCs w:val="40"/>
          <w:rtl/>
        </w:rPr>
      </w:pPr>
      <w:r w:rsidRPr="008C159A">
        <w:rPr>
          <w:rFonts w:cs="Traditional Arabic" w:hint="cs"/>
          <w:b/>
          <w:bCs/>
          <w:sz w:val="40"/>
          <w:szCs w:val="40"/>
          <w:rtl/>
        </w:rPr>
        <w:t>الفرع الثاني</w:t>
      </w:r>
    </w:p>
    <w:p w:rsidR="00F72742" w:rsidRPr="008C159A" w:rsidRDefault="00F72742" w:rsidP="00F72742">
      <w:pPr>
        <w:widowControl w:val="0"/>
        <w:spacing w:after="120"/>
        <w:jc w:val="center"/>
        <w:rPr>
          <w:rFonts w:cs="Traditional Arabic" w:hint="cs"/>
          <w:b/>
          <w:bCs/>
          <w:sz w:val="28"/>
          <w:szCs w:val="32"/>
          <w:rtl/>
        </w:rPr>
      </w:pPr>
      <w:r w:rsidRPr="008C159A">
        <w:rPr>
          <w:rFonts w:cs="Traditional Arabic" w:hint="cs"/>
          <w:b/>
          <w:bCs/>
          <w:sz w:val="28"/>
          <w:szCs w:val="32"/>
          <w:rtl/>
        </w:rPr>
        <w:t>أثر الرهن الرسمي بالنسبة إلى الغير</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187- ما هو المقصود بالغير هنا</w:t>
      </w:r>
      <w:r>
        <w:rPr>
          <w:rFonts w:cs="Traditional Arabic" w:hint="cs"/>
          <w:sz w:val="28"/>
          <w:szCs w:val="32"/>
          <w:rtl/>
        </w:rPr>
        <w:t xml:space="preserve"> : المقصود بالغير هنا ليس هو $427 للراهن ولا الدائن المرتهن ، فإن هذين هما المتعاقدان في عقد الرهن ، فلا يعتبران من الغير . وقد سبق الكلام في آثار الرهن الرسمي بالنسبة إليهما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وإنما المقصود بالغير هنا هو كل شخص له حق يضار من وجود الرهن الرسمي . وعلى ذلك يشمل الغير الفئات الثلاثة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( 1 ) كل شخص له حق عيني تبعي على العقار المرهون . وتتضمن هذه الفئة دائناً آخر مرتهناً رهناً رسمياً ، ودائنا له حق اختصاص على العقار المرهون ، ودائناً مرتهناً العقار المرهون رهن حيازة ودائناً له حق امتياز على العقار المرهون . فإن كلا من هؤلاء الدائنين له حق عيني تبعي على العقار المرهون ، ويضار من وجود الرهن الرسمي إذا تقدم عليه صاحب هذا الحق وتقاضى حقه قبله من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كل دائن عادي للراهن ليس له حق عيني على العقار المرهون ، لأن هؤلاء الدائنين العاديين من حقهم لتقاضي ديونهم أن ينفذوا على العقار المرهون ، ويكونون جميعاً على قدم المساواة . فهم إذن يضارون إذا كان هناك دائن مرتهن رهناً رسمياً للعقار ، وكان من حقه أن يتقدم عليهم جميعاً في تقاضي حقه م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كل شخص له حق عيني أصلي على العقار المرهون . مثل ذلك إذا انتقلت ملكية العقار المرهون إلى مالك آخر ، فإن هذا المالك الآخر يضار بوجود الرهن الرسمي على العقار إذا كان الدائن المرتهن يستطيع التنفيذ على العقار وهو في يد المالك الآخر . وكذلك الحال بالنسبة إلى صاحب حق الانتفاع ، وبالنسبة إلى صاحب حق الرقبة ، وبالنسبة إلى صاحب حق الحكر . فإن هؤلاء جميعاً يضارون بوجود حق الرهن الرسمي على العقار ، إذا تمكن الدائن المرتهن من التقدم لعيهم في استيفاء حقه من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فيكفينا هنا أن نقول ، كما قدمنا ، إن الغير هو كل شخص له حق $428 يضار من وجود الرهن الرسمي . ونقتصر على هذه الفئات الثلاثة المتقدمة ، فهم جميعاً كما رأينا يضارون بوجود حق الرهن الرسمي إذا كان لصاحب هذا الحق أن يتقدم عليهم في استيفاء حقه م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9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188- يجب قيد الرهن الرسمي أولا حتى يستطيع الدائن المرتهن استعمال حق التقدم وحق التتبع بالنسبة إلى الغير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ولما كان الغير لا يعلم ، أو يجوز أنه لا يعلم ، بوجود حق رهن </w:t>
      </w:r>
      <w:r>
        <w:rPr>
          <w:rFonts w:cs="Traditional Arabic" w:hint="cs"/>
          <w:sz w:val="28"/>
          <w:szCs w:val="32"/>
          <w:rtl/>
        </w:rPr>
        <w:lastRenderedPageBreak/>
        <w:t>رسمي على العقار المرهون قبل أن يتعامل فيه ، فقد حصر القانون طريقة إعلام الغير بوجود حق رهن رسمي على العقار يقيد هذا الرهن الرسمي ، فيصبح الرهن الرسمي المقيد معلوماً لدى الجميع ، أو يمكن للجميع العلم به إذا هم قصدوا مكتب الشهر وبحثوا عما يثقل العقار من حقوق عينية تكون نافذة في حقهم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1053 مدني في هذا الصدد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لا يكون الرهن نافذاً في حق الغير إلا إذا قيد العقد أو الحكم المثبت للرهن قبل أن يكسب هذا الغير حقاً عينياً على العقار ، وذلك دون إخلال بالأحكام المقررة في الإفلاس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ولا يصح التمسك قبل الغير بتحويل حق مضمون بقيد ، ولا التمسك بالحق الناشئ من حلول شخص محل الدائن في هذا الحق بحكم القانون أو الاتفاق ، ولا التمسك كذلك بالتنازل عن مرتبة الغير لمصلحة دائن آخر ، إلا إذا حصل التأثير بذلك في هامش القيد الأصلي"</w:t>
      </w:r>
      <w:r>
        <w:rPr>
          <w:rFonts w:cs="Traditional Arabic" w:hint="cs"/>
          <w:sz w:val="28"/>
          <w:szCs w:val="32"/>
          <w:vertAlign w:val="superscript"/>
          <w:rtl/>
        </w:rPr>
        <w:t xml:space="preserve">( </w:t>
      </w:r>
      <w:r w:rsidRPr="00EC737F">
        <w:rPr>
          <w:rStyle w:val="ab"/>
          <w:rFonts w:cs="Traditional Arabic"/>
          <w:sz w:val="28"/>
          <w:szCs w:val="32"/>
          <w:rtl/>
        </w:rPr>
        <w:footnoteReference w:id="916"/>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$430 ويفهم من هذا النص أن الرهن لا يكون نافذاً في حق الغير ، إلا إذا قيد عقد الرهن الرسمي ، أو قيد الحكم المثبت للرهن الرسمي إذا صدر حكم بإثبات الرهن ، قبل أن يكسب هذا الغير حقاً عينياً على العقار ، وذلك دون بالأحكام المقررة في الإفلاس وسيأتي ذكرها عند الكلام في القيد . ويراد بكسب الغير حقاً عينياً على العقار أن يكون هذا الحق شهر ، بأن قيدهو الآخر أو سجل قبل قيد حق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تنازع الدائن المرتهن رهناً رسمياً مع الغير ، نظر هل هذا الغير قد قيد حقه العيني التبعي ، أو سجل حقه العيني الأصلي ، فإذا كان القيد أو التسجيل قد تم قبل أن يقيد الدائن المرتهن رهناً رسمياً حقه ، فقد فات هذا الحق على الدائن المرتهن ، إذ يتقدم عليه الغير الذي قيد حقه أو سجله قبل قيد الرهن الرسمي . أما إذا كان قيد الرهن الرسمي قبل قيد الحق العيني التبعي ، أو قبل تسجيل الحق العيني الأصلي ، </w:t>
      </w:r>
      <w:r>
        <w:rPr>
          <w:rFonts w:cs="Traditional Arabic" w:hint="cs"/>
          <w:sz w:val="28"/>
          <w:szCs w:val="32"/>
          <w:rtl/>
        </w:rPr>
        <w:lastRenderedPageBreak/>
        <w:t>أو وقع قيد الرهن الرسمي مطلقاً وذلك بالنسبة إلى الدائنين العاديين ، فعند ذلك يتقدم الدائن المرتهن رهناً رسمياً على صاحب الحق العيني التبعي وعلى الدائن العادين العادي ، وكذلك يتتبع العقار المرهون في يد من انتقلت إليه ملكيته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وكل ذلك إذا أراد الدائن المرتهن رهناً رسمياً أن يتمسك بحق رهنه الثابت بالعقد أو الحكم . أما إذا تمسك بتحويل هذا الحق للغير ، فيجب أن يؤشر بهذا التحويل ( أو هذه الحوالة ) في هامش القيد الأصلي لرهنه . وكذلك يجب التأشير في هامش القيد الأصلي للرهن بحلول شخص آخر محل الدائن المرتهن رهناً رسمياً حلولا قانونياً أو حلولا اتفاقيا ، وكذلك بالتنازل عن مرتبة القيد الأصلي لمصلحة دائن آخر متأخر في المرتبة أو دائن عادي ( انظر م 19 من قانون تنظيم الشهر العقاري )</w:t>
      </w:r>
      <w:r w:rsidRPr="00856727">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$431 ويخلص من كل ذلك أن الدائن المرتهن رهناً رسمياً ، إذا كان قد قيد حق رهنه أولا ، يستطيع أن يستعمل حق التقدم بالنسبة إلى دائن ذي حق عيني تبعي ( دائن آخر مرتهن رهناً رسمياً ، أو دائن ذي حق اختصاص ، أو دائن ذي رهن حيازي ) أو بالنسبة إلى دائن عادي . وله كذلك أن يستعمل حق التتبع ، إذا كان قد قيد حق رهنه أولا ، بالنسبة إلى شخص انتقلت إليه ملكية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فهناك إذن أمران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قيد الرهن الرسمي أولا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استعمال الدائن المرتهن ، بناء على الأسبقية في القيد ، حق القدم وحق التتبع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وتعالج في مبحثين متتاليين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قيد الرهن الرسمي .</w:t>
      </w:r>
    </w:p>
    <w:p w:rsidR="00F72742" w:rsidRPr="00F2103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استعمال حق التقدم وحق التتبع .</w:t>
      </w:r>
    </w:p>
    <w:p w:rsidR="00F72742" w:rsidRPr="00AA6FA4" w:rsidRDefault="00F72742" w:rsidP="00F72742">
      <w:pPr>
        <w:widowControl w:val="0"/>
        <w:spacing w:after="120"/>
        <w:jc w:val="center"/>
        <w:rPr>
          <w:rFonts w:cs="Traditional Arabic" w:hint="cs"/>
          <w:b/>
          <w:bCs/>
          <w:sz w:val="44"/>
          <w:szCs w:val="44"/>
          <w:rtl/>
        </w:rPr>
      </w:pPr>
      <w:r w:rsidRPr="00AA6FA4">
        <w:rPr>
          <w:rFonts w:cs="Traditional Arabic" w:hint="cs"/>
          <w:b/>
          <w:bCs/>
          <w:sz w:val="44"/>
          <w:szCs w:val="44"/>
          <w:rtl/>
        </w:rPr>
        <w:lastRenderedPageBreak/>
        <w:t>المبحث الأول</w:t>
      </w:r>
    </w:p>
    <w:p w:rsidR="00F72742" w:rsidRPr="00AA6FA4" w:rsidRDefault="00F72742" w:rsidP="00F72742">
      <w:pPr>
        <w:widowControl w:val="0"/>
        <w:spacing w:after="120"/>
        <w:jc w:val="center"/>
        <w:rPr>
          <w:rFonts w:cs="Traditional Arabic" w:hint="cs"/>
          <w:b/>
          <w:bCs/>
          <w:sz w:val="28"/>
          <w:szCs w:val="32"/>
          <w:rtl/>
        </w:rPr>
      </w:pPr>
      <w:r w:rsidRPr="00AA6FA4">
        <w:rPr>
          <w:rFonts w:cs="Traditional Arabic" w:hint="cs"/>
          <w:b/>
          <w:bCs/>
          <w:sz w:val="28"/>
          <w:szCs w:val="32"/>
          <w:rtl/>
        </w:rPr>
        <w:t>قيد الرهن الرسمي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189- نص قانوني</w:t>
      </w:r>
      <w:r>
        <w:rPr>
          <w:rFonts w:cs="Traditional Arabic" w:hint="cs"/>
          <w:sz w:val="28"/>
          <w:szCs w:val="32"/>
          <w:rtl/>
        </w:rPr>
        <w:t xml:space="preserve"> : تنص المادة 1054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"تتبع في إجراء القيد وتجديده ومحوه وإلغاء المحو والآثار المترتبة على ذلك كله ، الأحكام الواردة بقانون تنظيم الشهر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9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color w:val="000000"/>
          <w:rtl/>
        </w:rPr>
        <w:lastRenderedPageBreak/>
        <w:br w:type="page"/>
      </w:r>
      <w:r>
        <w:rPr>
          <w:rFonts w:cs="Traditional Arabic" w:hint="cs"/>
          <w:sz w:val="28"/>
          <w:szCs w:val="32"/>
          <w:rtl/>
        </w:rPr>
        <w:lastRenderedPageBreak/>
        <w:t>$432 ويفهم من هذا النص أن جميع أحكام قيد الرهن الرسمي ، من إجراءات وتجديد ومحو وإلغاء المحو وغير ذلك ، تؤخذ من قانون تنظيم الشهر العقاري لسنة 1946 . وكان هذا القانون قد صدر قبل صدور التقنين المدني الجديد ، فحذف من التقنين المدني الجديد جميع النصوص الخاصة بأحكام قيد الرهن الرسمي ، واكتفى بالإحالة إلى قانون تنظيم الشهر العقاري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ونلاحظ بادئ ذي بدء أن قيد الرهن الرسمي ليس إلا طريقة لإعلان $433 الغير بأن هناك رهناً رسمياً يثقل العقار المراد التعامل فيه ، فيحترس الغير عند التعامل ويحسب حساب هذا الرهن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1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وننتقل إلى نظام قيد الرهن الرسمي كما هو وارد في قانون تنظيم الشهر العقاري ، فإن هذا القانون وهو الذي يحكم الآن نظام قيد الرهن الرسمي كما نصت المادة 1054 مدني فيما أسلفنا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وقبل ذلك نذكر ما نصت عليه المادة 1055 مدني ، فقد نصت هذه المادة على ما يأتي : "مصروفات القيد وتجديده ومحوه على الراهن ، ما لم يتفق على غير ذلك"</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0"/>
      </w:r>
      <w:r>
        <w:rPr>
          <w:rFonts w:cs="Traditional Arabic" w:hint="cs"/>
          <w:sz w:val="28"/>
          <w:szCs w:val="32"/>
          <w:vertAlign w:val="superscript"/>
          <w:rtl/>
        </w:rPr>
        <w:t xml:space="preserve"> )</w:t>
      </w:r>
      <w:r>
        <w:rPr>
          <w:rFonts w:cs="Traditional Arabic" w:hint="cs"/>
          <w:sz w:val="28"/>
          <w:szCs w:val="32"/>
          <w:rtl/>
        </w:rPr>
        <w:t xml:space="preserve"> . فالأصل إذن أن يتحمل الراهن ، سواء كان هو المدين نسفه أو غيره ، جميع مصروفات القيد ، من إجراء وتجديد ومحو . ومع ذلك يجوز أن يتفق الراهن مع الدائن المرتهن على أن تكون هذه المصروفات ، أو بعض منها ، على غير الراهن . فيجوز مثلا الاتفاق على أن تكون هذه المصروفات على الدائن المرتهن نفسه ، أو على المدين إذا لم يكن هو الراهن . ويجوز الاتفاق على أن تكون مصروفات محو القيد على الدائن المرتهن ، أو على المدين غير الراهن . ويلاحظ أنه إذا جعلت المصروفات أو بعضها على المدين غير الراهن ، وجب الحصول على رضاء المدين بذلك . وجعل المصروفات في الأصل على الراهن معقول ، لأن الدائن المرتهن لا يتحمل عادة شيئاً </w:t>
      </w:r>
      <w:r>
        <w:rPr>
          <w:rFonts w:cs="Traditional Arabic" w:hint="cs"/>
          <w:sz w:val="28"/>
          <w:szCs w:val="32"/>
          <w:rtl/>
        </w:rPr>
        <w:lastRenderedPageBreak/>
        <w:t>من المصروفات ، ولأن الراهن يكون في أغلب الأحوال هو المدين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$434 يبقى بعد ذلك أن نستعرض المسائل الأساسية في قيد الرهن الرسمي ، كما وردت في قانون تنظيم الشهر العقاري ، وهي مسائل ثلاثة : ( 1 ) إجراء القيد . ( 2 ) تجديد القيد . ( 3 ) محو القيد وإلغاء المحو .</w:t>
      </w:r>
    </w:p>
    <w:p w:rsidR="00F72742" w:rsidRPr="00CE7E0B"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CE7E0B">
        <w:rPr>
          <w:rFonts w:cs="Traditional Arabic" w:hint="cs"/>
          <w:b/>
          <w:bCs/>
          <w:sz w:val="28"/>
          <w:szCs w:val="32"/>
          <w:rtl/>
        </w:rPr>
        <w:t>1- إجراء القيد</w:t>
      </w:r>
    </w:p>
    <w:p w:rsidR="00F72742" w:rsidRPr="00CE7E0B" w:rsidRDefault="00F72742" w:rsidP="00F72742">
      <w:pPr>
        <w:widowControl w:val="0"/>
        <w:spacing w:after="120"/>
        <w:jc w:val="center"/>
        <w:rPr>
          <w:rFonts w:cs="Traditional Arabic" w:hint="cs"/>
          <w:b/>
          <w:bCs/>
          <w:sz w:val="28"/>
          <w:szCs w:val="32"/>
          <w:rtl/>
        </w:rPr>
      </w:pPr>
      <w:r>
        <w:rPr>
          <w:rFonts w:cs="Traditional Arabic"/>
          <w:b/>
          <w:bCs/>
          <w:sz w:val="28"/>
          <w:szCs w:val="32"/>
          <w:rtl/>
        </w:rPr>
        <w:t xml:space="preserve">( </w:t>
      </w:r>
      <w:r w:rsidRPr="00CE7E0B">
        <w:rPr>
          <w:rFonts w:cs="Traditional Arabic"/>
          <w:b/>
          <w:bCs/>
          <w:sz w:val="28"/>
          <w:szCs w:val="32"/>
        </w:rPr>
        <w:t>Insription</w:t>
      </w:r>
      <w:r>
        <w:rPr>
          <w:rFonts w:cs="Traditional Arabic"/>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190- وجوب قيد الرهن حتى يكن حجة على الغير</w:t>
      </w:r>
      <w:r>
        <w:rPr>
          <w:rFonts w:cs="Traditional Arabic" w:hint="cs"/>
          <w:sz w:val="28"/>
          <w:szCs w:val="32"/>
          <w:rtl/>
        </w:rPr>
        <w:t xml:space="preserve"> : تنص المادة 12 من قانون تنظيم الشهر العقاري على أن "جميع التصرفات المنشئة لحق من الحقوق العينية العقارية التبعية أو المقررة لها ، وكذلك الأحكام النهائية المثبتة لشيء من ذلك ، يجب شهرها بطريق القيد ، ويترتب على عدم القيد أن هذه الحقوق لا تكون حجة على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ويؤخذ من هذا النص أن الحقوق العينية العقارية التبعية ، - وتشمل حق الرهن الرسمي وحق الاختصاص وحق الرهن الحيازي العقاري وحق الامتياز العقاري الخاص </w:t>
      </w:r>
      <w:r>
        <w:rPr>
          <w:rFonts w:cs="Traditional Arabic"/>
          <w:sz w:val="28"/>
          <w:szCs w:val="32"/>
          <w:rtl/>
        </w:rPr>
        <w:t>–</w:t>
      </w:r>
      <w:r>
        <w:rPr>
          <w:rFonts w:cs="Traditional Arabic" w:hint="cs"/>
          <w:sz w:val="28"/>
          <w:szCs w:val="32"/>
          <w:rtl/>
        </w:rPr>
        <w:t xml:space="preserve"> يجب شهرها في مكاتب الشهر العقاري . فإذا لم تقيد ، لا يبطل الرهن ، وإنما لا يكون حجة على الغير . فإذا لم يقيد الدائن المرتهن رهناً رسمياً حق رهنه ، لم يكن هذا الرهن حجة على الغير ، لا من حيث التقدم بالنسبة إلى الدائنين ذوي الحقوق العينية العقارية التبعية على العقار المرهون وبالنسبة إلى الدائنين العاديين ، ولا من حيث التتبع </w:t>
      </w:r>
      <w:r>
        <w:rPr>
          <w:rFonts w:cs="Traditional Arabic" w:hint="cs"/>
          <w:sz w:val="28"/>
          <w:szCs w:val="32"/>
          <w:rtl/>
        </w:rPr>
        <w:lastRenderedPageBreak/>
        <w:t>بالنسبة إلى من انتقلت إليه ملكية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$435 فإذا فرض مثلا أن دائناً مرتهناً رسمياً لم يقيد رهنه ، أو قيده بعد أن شهر المتزاحمون معه حقوقهم ، لم يتقدم هذا الدائن المرتهن على أي من هؤلاء ، وكذلك لم يستطع استعمال حق التتبع</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قيد الدائن المرتهن رهناً رسمياً حقه قبل أن يشهر المتزاحمون معه حقوقهم ، فإنه يكون له حق التقدم على الدائن ذي الحق العيني العقاري التبعي ، وعلى الدائنين العاديين وهؤلاء لا يشهرون حقوقهم</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3"/>
      </w:r>
      <w:r>
        <w:rPr>
          <w:rFonts w:cs="Traditional Arabic" w:hint="cs"/>
          <w:sz w:val="28"/>
          <w:szCs w:val="32"/>
          <w:vertAlign w:val="superscript"/>
          <w:rtl/>
        </w:rPr>
        <w:t xml:space="preserve"> )</w:t>
      </w:r>
      <w:r>
        <w:rPr>
          <w:rFonts w:cs="Traditional Arabic" w:hint="cs"/>
          <w:sz w:val="28"/>
          <w:szCs w:val="32"/>
          <w:rtl/>
        </w:rPr>
        <w:t xml:space="preserve"> ، ويكون له حق التتبع بالنسبة إلى من انتقلت إليه ملكية العقار المرهون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ضرورة القيد في نفاذ الرهن على الغير لا في صحة الرهن ، أنه إذا وقع القد باطلا لم يؤثر ذلك في صحة الرهن . ويجوز إجراء قيد جديد بموجب الرهن ذاته الذي يظل صحيحاً ، ولكن لا يحتاج بهذا القيد على الغير إلا من تاريخ إجراء القيد الجديد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5"/>
      </w:r>
      <w:r>
        <w:rPr>
          <w:rFonts w:cs="Traditional Arabic" w:hint="cs"/>
          <w:sz w:val="28"/>
          <w:szCs w:val="32"/>
          <w:vertAlign w:val="superscript"/>
          <w:rtl/>
        </w:rPr>
        <w:t xml:space="preserve"> )</w:t>
      </w:r>
      <w:r>
        <w:rPr>
          <w:rFonts w:cs="Traditional Arabic" w:hint="cs"/>
          <w:sz w:val="28"/>
          <w:szCs w:val="32"/>
          <w:rtl/>
        </w:rPr>
        <w:t xml:space="preserve"> . ويترتب على عدم ضرورة القيد فيما </w:t>
      </w:r>
      <w:r>
        <w:rPr>
          <w:rFonts w:cs="Traditional Arabic" w:hint="cs"/>
          <w:sz w:val="28"/>
          <w:szCs w:val="32"/>
          <w:rtl/>
        </w:rPr>
        <w:lastRenderedPageBreak/>
        <w:t>$436 بين الراهن والدائن المرتهن ، أن الراهن لا يجوز له أن يتمسك ببطلان القيد ، أو بسقوطه لعدم التجديد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z w:val="28"/>
          <w:szCs w:val="32"/>
          <w:rtl/>
        </w:rPr>
        <w:t>191- اختلاف القيد عن التسجيل</w:t>
      </w:r>
      <w:r>
        <w:rPr>
          <w:rFonts w:cs="Traditional Arabic" w:hint="cs"/>
          <w:sz w:val="28"/>
          <w:szCs w:val="32"/>
          <w:rtl/>
        </w:rPr>
        <w:t xml:space="preserve"> : وقد رأينا أن التسجيل </w:t>
      </w:r>
      <w:r>
        <w:rPr>
          <w:rFonts w:cs="Traditional Arabic"/>
          <w:sz w:val="28"/>
          <w:szCs w:val="32"/>
          <w:rtl/>
        </w:rPr>
        <w:t xml:space="preserve">( </w:t>
      </w:r>
      <w:r>
        <w:rPr>
          <w:rFonts w:cs="Traditional Arabic"/>
          <w:sz w:val="28"/>
          <w:szCs w:val="32"/>
        </w:rPr>
        <w:t>transcription</w:t>
      </w:r>
      <w:r>
        <w:rPr>
          <w:rFonts w:cs="Traditional Arabic"/>
          <w:sz w:val="28"/>
          <w:szCs w:val="32"/>
          <w:rtl/>
        </w:rPr>
        <w:t xml:space="preserve"> )</w:t>
      </w:r>
      <w:r>
        <w:rPr>
          <w:rFonts w:cs="Traditional Arabic" w:hint="cs"/>
          <w:sz w:val="28"/>
          <w:szCs w:val="32"/>
          <w:rtl/>
        </w:rPr>
        <w:t xml:space="preserve"> يكون بنقل صورة كاملة من المحرر في سجل معد لذلك ، أو هو حفظ المحرر نفسه كما هو والاكتفاء بإعطاء صورة فوتوغرافية لأصحاب التأمين . أما القيد </w:t>
      </w:r>
      <w:r>
        <w:rPr>
          <w:rFonts w:cs="Traditional Arabic"/>
          <w:sz w:val="28"/>
          <w:szCs w:val="32"/>
          <w:rtl/>
        </w:rPr>
        <w:t xml:space="preserve">( </w:t>
      </w:r>
      <w:r>
        <w:rPr>
          <w:rFonts w:cs="Traditional Arabic"/>
          <w:sz w:val="28"/>
          <w:szCs w:val="32"/>
        </w:rPr>
        <w:t>inscription</w:t>
      </w:r>
      <w:r>
        <w:rPr>
          <w:rFonts w:cs="Traditional Arabic"/>
          <w:sz w:val="28"/>
          <w:szCs w:val="32"/>
          <w:rtl/>
        </w:rPr>
        <w:t xml:space="preserve"> )</w:t>
      </w:r>
      <w:r>
        <w:rPr>
          <w:rFonts w:cs="Traditional Arabic" w:hint="cs"/>
          <w:sz w:val="28"/>
          <w:szCs w:val="32"/>
          <w:rtl/>
        </w:rPr>
        <w:t xml:space="preserve"> فهو نقل بعض بيانات مستخرجة من المحرر الذي يتضمن عقد الرهن ، وتدوينها في سجل خاص</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7"/>
      </w:r>
      <w:r>
        <w:rPr>
          <w:rFonts w:cs="Traditional Arabic" w:hint="cs"/>
          <w:sz w:val="28"/>
          <w:szCs w:val="32"/>
          <w:vertAlign w:val="superscript"/>
          <w:rtl/>
        </w:rPr>
        <w:t xml:space="preserve"> )</w:t>
      </w:r>
      <w:r>
        <w:rPr>
          <w:rFonts w:cs="Traditional Arabic" w:hint="cs"/>
          <w:sz w:val="28"/>
          <w:szCs w:val="32"/>
          <w:rtl/>
        </w:rPr>
        <w:t xml:space="preserve"> . ولا تؤخذ بيانات القيد من المحرر مباشرة ، وإنما يقدمها طالب القيد في قائمة خاصة </w:t>
      </w:r>
      <w:r>
        <w:rPr>
          <w:rFonts w:cs="Traditional Arabic"/>
          <w:sz w:val="28"/>
          <w:szCs w:val="32"/>
          <w:rtl/>
        </w:rPr>
        <w:t xml:space="preserve">( </w:t>
      </w:r>
      <w:r>
        <w:rPr>
          <w:rFonts w:cs="Traditional Arabic"/>
          <w:sz w:val="28"/>
          <w:szCs w:val="32"/>
        </w:rPr>
        <w:t>bordereau</w:t>
      </w:r>
      <w:r>
        <w:rPr>
          <w:rFonts w:cs="Traditional Arabic"/>
          <w:sz w:val="28"/>
          <w:szCs w:val="32"/>
          <w:rtl/>
        </w:rPr>
        <w:t xml:space="preserve"> )</w:t>
      </w:r>
      <w:r>
        <w:rPr>
          <w:rFonts w:cs="Traditional Arabic" w:hint="cs"/>
          <w:sz w:val="28"/>
          <w:szCs w:val="32"/>
          <w:rtl/>
        </w:rPr>
        <w:t xml:space="preserve"> ، وسنعود إلى ذلك تفصيلا فيما يلي . ويكفي الآن أن نذكر أن القيد يتم ، طبقاً لقانون تنظيم  الشهر العقار</w:t>
      </w:r>
      <w:r>
        <w:rPr>
          <w:rFonts w:cs="Traditional Arabic" w:hint="cs"/>
          <w:smallCaps/>
          <w:sz w:val="28"/>
          <w:szCs w:val="32"/>
          <w:rtl/>
        </w:rPr>
        <w:t xml:space="preserve"> بذكر القائمة  </w:t>
      </w:r>
      <w:r>
        <w:rPr>
          <w:rFonts w:cs="Traditional Arabic"/>
          <w:sz w:val="28"/>
          <w:szCs w:val="32"/>
          <w:rtl/>
        </w:rPr>
        <w:t xml:space="preserve">( </w:t>
      </w:r>
      <w:r>
        <w:rPr>
          <w:rFonts w:cs="Traditional Arabic"/>
          <w:sz w:val="28"/>
          <w:szCs w:val="32"/>
        </w:rPr>
        <w:t>bordereau</w:t>
      </w:r>
      <w:r>
        <w:rPr>
          <w:rFonts w:cs="Traditional Arabic"/>
          <w:sz w:val="28"/>
          <w:szCs w:val="32"/>
          <w:rtl/>
        </w:rPr>
        <w:t xml:space="preserve"> )</w:t>
      </w:r>
      <w:r>
        <w:rPr>
          <w:rFonts w:cs="Traditional Arabic" w:hint="cs"/>
          <w:smallCaps/>
          <w:sz w:val="28"/>
          <w:szCs w:val="32"/>
          <w:rtl/>
        </w:rPr>
        <w:t xml:space="preserve"> المحتوية على البيانات في سجل خاص حسب تاريخ تقديمها ، ثم حفظها مع القوائم الأخرى في سجل بعد التأشير عليها بتاريخ قيدها ورقمه في هذا السجل الخاص ، وإعطاء مقدمها صورة فوتوغرافية منها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وقد أوجبت اللائحة التنفيذية من قانون الشهر العقاري على الدائن المرتهن تحرير قائمة القيد من نسخة أصلية بالمداد الأسود على ورق خاص مدموغ يطلب من مكتب الشهر العقاري ومأمورياته ( م 19 اللائحة التنفيذية ) ، ويضمنها البيانات المطلوبة . ويوقع هذه القائمة ويقدمها مع صورة عقد الرهن التنفيذية إلى مكتب الشهر الواقع في دائرته العقار المرهون . فتحقق المكتب من مطابقة بيانات القائمة لما ورد في عقد الرهن ، ثم يدرجها في دفتر معد لإثبات البيانات المعينة للمحررات أو القوائم المقدمة للشهر بأرقام متتابعة بحسب أسبقية تقديمها مع ذكر تاريخ اليوم والسعاة ( م 16 من اللائحة التنفيذية ) . ثم يضع على القائمة الرقم والتاريخ اللذين قيدت بهما في هذا $437 الدفتر ، ويصدرها ويستخرج منها صورتين فوتوغرافيتين ، يسلم إحداهما مع صورة العقد التنفيذية لطالب القيد بعد التأشيرة عليها بمطابقتها للأصل ، ويرسل الأخرى إلى دار المحفوظات بالمكتب الرئيسي ( م 19 من اللائحة التنفيذية ) . ويحفظ القائمة الأصلية في ضمن مجلدات تتكون من مجموع المحررات والقوائم التي تم شهرها ، بحسب أرقامها المتابعة ( م 21 من اللائحة </w:t>
      </w:r>
      <w:r>
        <w:rPr>
          <w:rFonts w:cs="Traditional Arabic" w:hint="cs"/>
          <w:smallCaps/>
          <w:sz w:val="28"/>
          <w:szCs w:val="32"/>
          <w:rtl/>
        </w:rPr>
        <w:lastRenderedPageBreak/>
        <w:t>التنفيذية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192- أين يجري القيد</w:t>
      </w:r>
      <w:r>
        <w:rPr>
          <w:rFonts w:cs="Traditional Arabic" w:hint="cs"/>
          <w:smallCaps/>
          <w:sz w:val="28"/>
          <w:szCs w:val="32"/>
          <w:rtl/>
        </w:rPr>
        <w:t xml:space="preserve"> : منذ صدور قانون تنظيم الشهر العقار ، يجب إجراء القيد في مكتب الشهر العقاري الذي يقع العقار المرهون في دائرة اختصاصه . وإذا كان العقار أو العقارات واقعة في دوائر اختصاص مكاتب متعددة ، وجب إجراء الشهر في كل مكتب منها . ولا يكون للشهر الذي يتم في أحد هذه المكاتب أثره إلا بالنسبة إلى العقار أو جزء العقار الذي يقع في دائرة اختصاصه ( م 5 قانون الشهر العقاري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فإذا أجرى القيد في مكتب  واحد بالنسبة إلى عقار يقع في دوائر اختصاص مكاتب متعددة ، لم يسر هذا القيد إلا بالنسبة إلى جزء العقار الواقع في اختصاص هذا المكتب . وإذا كانت العقارات متعددة وواقعة في دوائر اختصاص مكاتب متعددة ، ولم يجر الشهر إلا في مكتب واحد منهما ، لم يسر هذا القيد إلا بالنسبة إلى العقار أو جزء العقار الواقع في دائرة اختصاص المكتب الذي أجرى فيه القيد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193- طالب القيد</w:t>
      </w:r>
      <w:r>
        <w:rPr>
          <w:rFonts w:cs="Traditional Arabic" w:hint="cs"/>
          <w:smallCaps/>
          <w:sz w:val="28"/>
          <w:szCs w:val="32"/>
          <w:rtl/>
        </w:rPr>
        <w:t xml:space="preserve"> : تنص المادة 20 من قانون تنظيم الشهر العقاري على أن "تتم إجراءات الشهر في جميع الأحوال بناء على طلب ذوي الشأن أو من يقوم مقامهم",</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وذو الشأن في طلب قيد الرهن الرسمي هو الدائن المرتهن . فيجوز لهذا أن يطلب القيد ، سواء كان كامل الأهلية أو ناقص الأهلية . ولا يشترط $438 فيه إلا التمييز ، لأن القيد من الأعمال النافعة له نفعاً محضاً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الدائن المرتهن قاصراً أو محجوراً عليه ، جاز كذلك أن يباشر القيد الولي أو الوصي أو القيم ، بحسب الأحوال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الدائن المرتهن رشيداً غير محجور عليه ، جاز أن ينوب عنه في طلب القيد وكيله الخاص أو العام</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2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ويجوز ، فوق ذلك ، لفضولي أن يطلب القيد لحساب الدائن المرتهن ، متى توافرت فيه شروط الفضالة . فإذا أقر الدائن المرتهن هذا القيد نفذ ، وإلا حاز له وللراهن طلب محوه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ويجوز لدائني الدائن المرتهن أن يطلبوا القيد باسم هذا الدائن ونيابة عنه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1"/>
      </w:r>
      <w:r>
        <w:rPr>
          <w:rFonts w:cs="Traditional Arabic" w:hint="cs"/>
          <w:sz w:val="28"/>
          <w:szCs w:val="32"/>
          <w:vertAlign w:val="superscript"/>
          <w:rtl/>
        </w:rPr>
        <w:t xml:space="preserve"> )</w:t>
      </w:r>
      <w:r>
        <w:rPr>
          <w:rFonts w:cs="Traditional Arabic" w:hint="cs"/>
          <w:sz w:val="28"/>
          <w:szCs w:val="32"/>
          <w:rtl/>
        </w:rPr>
        <w:t xml:space="preserve"> . ويلاحظ أن دائني الدائن المرتهن يطلبون في هذه الحالة استعمال حق مدينهم الدائن المرتهن ، فيجب توافر شروط الدعوى غير المباشرة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وإذا حول الدين المضمون بالرهن ، جاز للمحال له طلب القيد باسمه . ولا يشترط في ذلك أن  تكون الحوالة بعقد رسمي ، فيجوز أن تكون بورقة عرفية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لورثة الدائن المرتهن أن يطلبوا إجراء القيد ، باسمهم أو باسم المتوفى</w:t>
      </w:r>
      <w:r>
        <w:rPr>
          <w:rFonts w:cs="Traditional Arabic" w:hint="cs"/>
          <w:sz w:val="28"/>
          <w:szCs w:val="32"/>
          <w:vertAlign w:val="superscript"/>
          <w:rtl/>
        </w:rPr>
        <w:t xml:space="preserve">( </w:t>
      </w:r>
      <w:r w:rsidRPr="00EC737F">
        <w:rPr>
          <w:rStyle w:val="ab"/>
          <w:rFonts w:cs="Traditional Arabic"/>
          <w:sz w:val="28"/>
          <w:szCs w:val="32"/>
          <w:rtl/>
        </w:rPr>
        <w:footnoteReference w:id="9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$439 ولكن لا يجوز لمكتب الشهر العقاري إجراء القيد من تلقاء نفسه ( م 20 من قانون الشهر العقاري )</w:t>
      </w:r>
      <w:r>
        <w:rPr>
          <w:rFonts w:cs="Traditional Arabic" w:hint="cs"/>
          <w:sz w:val="28"/>
          <w:szCs w:val="32"/>
          <w:vertAlign w:val="superscript"/>
          <w:rtl/>
        </w:rPr>
        <w:t xml:space="preserve">( </w:t>
      </w:r>
      <w:r w:rsidRPr="00EC737F">
        <w:rPr>
          <w:rStyle w:val="ab"/>
          <w:rFonts w:cs="Traditional Arabic"/>
          <w:sz w:val="28"/>
          <w:szCs w:val="32"/>
          <w:rtl/>
        </w:rPr>
        <w:footnoteReference w:id="9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194- ضد من يكون القيد</w:t>
      </w:r>
      <w:r>
        <w:rPr>
          <w:rFonts w:cs="Traditional Arabic" w:hint="cs"/>
          <w:sz w:val="28"/>
          <w:szCs w:val="32"/>
          <w:rtl/>
        </w:rPr>
        <w:t xml:space="preserve"> : يكون القيد ضد مالك العقار المرهون وقت الرهن ، سواء كان هذا المالك هو المدين نفسه أو كان كفيلا عينياً . فلو أن مالك العقار المرهون قد تغير في الفترة ما بين الرهن وقيده ، فالعبرة بوقت الرهن لا بوقت قيده ، ويقيد الرهن ضد مالك العقار وقت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يموت الراهن بعد الرهن وقبل القيد ، فيكون في هذه الحالة للدائن المرتهن الخيار بين طلب القيد </w:t>
      </w:r>
      <w:r>
        <w:rPr>
          <w:rFonts w:cs="Traditional Arabic" w:hint="cs"/>
          <w:sz w:val="28"/>
          <w:szCs w:val="32"/>
          <w:rtl/>
        </w:rPr>
        <w:lastRenderedPageBreak/>
        <w:t>ضد ورثته أو طلب القيد ضد الراهن الميت . وقد أجيز إجراء القيد ضد الراهن الميت بالرغم ن موته تيسيراً على الدائن المرتهن ، فقد يجهل هذا جميع ورثة الراهن الميت ، فأجيز له الاكتفاء بعيد الرهن ضد الراهن الميت ( م 2149 مدني فرنسي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اشترط المشرع المصري أن تشمل المحررات المقدمة للشهر ، فوق البيانات الخاصة بموضوعها ، جميع البيانات اللازمة أو المفيدة في الدلالة على شخص كل طرف وعلى الأخص اسمه ولقبه وسنه وجنسيته ومحل إقامته واسم أبيه وجده لأبيه ( م 22 من قانون الشهر العقاري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وأوجبت اللائحة التنفيذية لقانون الشهر العقار أن تعد بمكاتب الشهر دفاتر هجائية للفهارس ، وأن يخصص فهرس لكل ناحية أو مدينة تدرج فيه أسماء جميع الأطراف في المحررات أو جميع ذوي الشأن فيها ( م 25 لائحة تنفيذية ) ، وأن تعد سنوياً بكل مكتب من مكاتب الشهر دفاتر هجائية للفهارس تمسك عن كل محافظة ، وترسل في نهاية كل عام إلى مكتب الشهر الرئيسي لتحفظ بدار المحفوظات فيه ( م 26 لائحة تنفيذية ) . ويستدل بهذه الفهارس على التسجيلات والقيود التي قد تكون أجريت ضد شخص $440 معين في وقت معين . فمن أراد أن يتعامل مع شخص معين بأن يرتهن منه عقاراً مثلا ، كانت له مصلحة في الاطلاع على ما قد يكون صدر من ملك العقار المرهون من تسجيلات وقيود واردة بالفهارس . فيطلب بياناتها إن وجدت ، أو بياناً بعدم وجود شيء من ذلك ( م 28 لائحة تنفيذية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195- تقديم طلب القيد والتأشير على المحرر بصلاحيته للشهر</w:t>
      </w:r>
      <w:r>
        <w:rPr>
          <w:rFonts w:cs="Traditional Arabic" w:hint="cs"/>
          <w:sz w:val="28"/>
          <w:szCs w:val="32"/>
          <w:rtl/>
        </w:rPr>
        <w:t xml:space="preserve"> : ويقدم طلب القيد للمأمورية التي يقع العقار في دائرة اختصاصها ( من 21 </w:t>
      </w:r>
      <w:r>
        <w:rPr>
          <w:rFonts w:cs="Traditional Arabic"/>
          <w:sz w:val="28"/>
          <w:szCs w:val="32"/>
          <w:rtl/>
        </w:rPr>
        <w:t>–</w:t>
      </w:r>
      <w:r>
        <w:rPr>
          <w:rFonts w:cs="Traditional Arabic" w:hint="cs"/>
          <w:sz w:val="28"/>
          <w:szCs w:val="32"/>
          <w:rtl/>
        </w:rPr>
        <w:t xml:space="preserve"> 23 )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ويؤدي رسم قدره خمسون قرشاً عند تقديم الطلب ، ويعتبر الطلب كأن لم يكن إذا لم يتم شهر المحرر خلال سنة من تاريخ قيد الطلب ، وتمتد هذه المدة سنة ثانية إذا قدم الطالب قبل انتهاء السنة الأولى </w:t>
      </w:r>
      <w:r>
        <w:rPr>
          <w:rFonts w:cs="Traditional Arabic" w:hint="cs"/>
          <w:sz w:val="28"/>
          <w:szCs w:val="32"/>
          <w:rtl/>
        </w:rPr>
        <w:lastRenderedPageBreak/>
        <w:t>بأسبوعين طلباً بالامتداد وأدى عنه الرسم المطلوب ( قانون رقم 69 لسنة 1950 )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وتدون الطلبات ، على حسب تواريخ وساعات تقديمها ، بدفتر يعد لذلك بالمأمورية ( م 25 قانون الشهر العقاري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وتعيد المأمورية للطالب نسخة من الطل مؤشراً عليها برأيها في قبول إجراء الشهر أو ببيان ما يجب أن يستوفي فيه . فإذا لم يتقدم الطالب لتسلم هذه النسخة في خلال ثلاثة أيام من تاريخ التأشير عليها ، أرسلت إليه في محل إقامته المبين في الطلب بكتاب موصي عليه مصحوب بإخطار وصول ( م 26 شهر )ز وللمأمورية ، من تلقاء نفسها أو بناء على طلب صاحب الشأن أن تستوفي البيانات فيما يتعلق بوصف العقار وأصل الملكية أو الحق العيني مما يكون قد قدم إليها من طلبات أو مستندات متى كان لديها أصولها أو صورها ، وفي هذه الحالة يجب تصوير كل مستند يستعان به على نفقة صاحب الشأن ( م 27 شهر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 $441 ومتى أشهر على الطلب بقبول إجراء الشهر ، قدم صاحب الشأن مشروع المحرر المراد شهره للمأمورية المختصة ومعه الصورة المؤشر عليها من هذا الطلب ، ويعد بالمأمورية دفتر تدون فيه مشروعات المحررات على حسب تواريخ وساعات تقديمها . وتؤشر المأمورية على مشروع المحرر بصلاحيته للشهر بعد التثبت من مطابقة البيانات الواردة فيه لبيانات الطلب الخاص به ، فإذا لم يتقدم صاحب الشأن لتسلم مشروع المحرر في خلال ثلاثة أيام من تاريخ التأشير عليه ، أرسل إليه في محل إقامته المبين في الطلب بكتاب موصي عليه مصحوب بإخطار ووصل ( م 28 شهر ) . وتقدم لمكتب الشهر المختص المحررات التي تم التأشير على مشروعاتها بصلاحيتها للشهر ( م 29 شهر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ويتبين من كل ما تقدم أن إجراء القيد يتضمن مرحلتين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 أ ) المرحلة التمهيدية لقبول إجراء الشهر : يتقدم الدائن المرتهن أو م ينوب عنه بطلب إجراء القيد إلى المأمورية التي يقع العقار المرهون في دائرة اختصاصها . ويجب أن يتضمن الطلب بيانات معينة ، أخصها ما يتصل بطرفي عقد الرهن ، وبتعيين العقار المرهون من حيث موقعه ومساحته وحدوده ، وبصفة خاصة ما يتعلق بعقد الرهن ومقدار الدين الذي يضمنه . ويدون الطلب السالف الذكر حسب تاريخ التقديم وساعته في دفتر معد لذلك في كل مأمورية ، ويسمى دفتر أسبقية طلبات الشهر . وتتولى المأمورية فحص الطلب من </w:t>
      </w:r>
      <w:r>
        <w:rPr>
          <w:rFonts w:cs="Traditional Arabic" w:hint="cs"/>
          <w:smallCaps/>
          <w:sz w:val="28"/>
          <w:szCs w:val="32"/>
          <w:rtl/>
        </w:rPr>
        <w:lastRenderedPageBreak/>
        <w:t>الناحية القانونية ، ثم ترسله إلى الجهة المختصة للتثبت من مساحة العقار  وحدوده . وترسل نسخة من الطلب إلى من قدمه ، مؤشراً عليها بقبول إجراء القيد . وعند ذلك يجب على صاحب الشأن أو من ينوب عنه أن يرسل للمأمورية المختصة مشروع عقد الرهن الرسمي المراد قيده ، مرفقاً به النسخة المؤشرة عليها بقبول طلب القيد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ب ) المرحلة النهائية لقيد الرهن : وتبدأ هذه المرحلة بتقديم عقد الرهن الرسمي المراد قيده إلى مكتب الشهر المختص ، ويجب أن يرفق عقد الرهن عند $442 تقديمه بقائمة قيد تشتمل على بيانات سيأتي ذكرها . ويعد بالمكتب دفتر تثبت فيه قوائم القيد بأرقام متتابعة ، وفقاً لتاريخ وساعات تقديمها . ومنذ ذلك الوقت يعتبر الرهن مقيداً ، فيسري في حق الغير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وهذه الخطوات التي رسمت لإجراء قيد الرهن الرسمي هي نفس الخطوات التي تتبع في قيد الحقوق العينية العقارية التبعية غير الرهن الرسمي : حق الاختصاص وحق الرهن الحيازي العقاري وحقوق الامتياز الخاصة العقارية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196- البيانات القانونية الواجب ذكرها في قائمة القيد</w:t>
      </w:r>
      <w:r>
        <w:rPr>
          <w:rFonts w:cs="Traditional Arabic" w:hint="cs"/>
          <w:smallCaps/>
          <w:sz w:val="28"/>
          <w:szCs w:val="32"/>
          <w:rtl/>
        </w:rPr>
        <w:t xml:space="preserve"> : تنص المادة 30من قانون الشهر العقار على ما يأتي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"إذا كان شهر المحرر بطريق القيد ، وجب أن يقرن عند تقديمه لمكتب الشهر المختص بقائمة تشتمل على البيانات الآتية"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 أولاً ) اسم الدائن ولقبه وصناعته ومحل إقامته ومحله المختار في دائرة المحكمة فإن لم يختر له محلا صح إعلان الأوراق إليه في قلم كتاب المحكمة"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ثانياً ) اسم المدين أو المالك الذي ترتب الحق على ملكه إذا كان غير المدين ، ولقبه وصناعته ومحل إقامته"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ثالثاً ) تاريخ السند والجهة التي تم أمامها أو صدر مها"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رابعاً ) مصدر الدين المضمون ومقداره كاملا وميعاد استحقاقه"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lastRenderedPageBreak/>
        <w:t>"( خامساً ) بيان يتضمن تعيين العقار الذي رتب عليه الحق تعييناً دقيقاً"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سادساً ) في حالة رهن الحيازة العقاري ، بيان خاص بالتكليف وبالإيجار إلى الراهن إذا نص عليه في عقد الرهن"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ولما كان البيان السادس خاصاً بالرهن الحيازي العقاري ، فنقتصر على البيانات الخمسة الأولى ، ونقول كلمة موجزة في كل منها : الدائن والمدين وسند الدين والدين المضمون والعقار المرهون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$443 </w:t>
      </w:r>
      <w:r>
        <w:rPr>
          <w:rFonts w:cs="Traditional Arabic" w:hint="cs"/>
          <w:b/>
          <w:bCs/>
          <w:smallCaps/>
          <w:sz w:val="28"/>
          <w:szCs w:val="32"/>
          <w:rtl/>
        </w:rPr>
        <w:t>197- الدائن</w:t>
      </w:r>
      <w:r>
        <w:rPr>
          <w:rFonts w:cs="Traditional Arabic" w:hint="cs"/>
          <w:smallCaps/>
          <w:sz w:val="28"/>
          <w:szCs w:val="32"/>
          <w:rtl/>
        </w:rPr>
        <w:t xml:space="preserve"> : لا تقتصر قائمة القيد على ذكر اسم الدائن المرتهن ولقبه وصناعته ومحل إقامته ، بل تذكر أيضاًً المحل المختار الذي اختاره الدائن في دائرة المحكمة التي يكون فيها العقار المرهون ، حتى لو كان المحل الحقيقي لإقامة الدائن في دائرة هذه المحكمة ، فقد يغير الدائن هذا المحل الحقيقي فلا يصيب التغيير هذا المحل المختار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والغرض من أن يكون للدائن محل مختار في دائرة المحكمة أن يتسنى إعلانه في هذا المحل ، فيكون الإعلان صحيحاً . فمن أراد مثلا تطهير العقار يتسنى له إعلانه الدائن في المحل المختار ، ويكون الإعلان صحيحاً حتى لو غير الدائن محل إقامته الحقيقي</w:t>
      </w:r>
      <w:r>
        <w:rPr>
          <w:rFonts w:cs="Traditional Arabic" w:hint="cs"/>
          <w:sz w:val="28"/>
          <w:szCs w:val="32"/>
          <w:vertAlign w:val="superscript"/>
          <w:rtl/>
        </w:rPr>
        <w:t xml:space="preserve">( </w:t>
      </w:r>
      <w:r w:rsidRPr="00EC737F">
        <w:rPr>
          <w:rStyle w:val="ab"/>
          <w:rFonts w:cs="Traditional Arabic"/>
          <w:sz w:val="28"/>
          <w:szCs w:val="32"/>
          <w:rtl/>
        </w:rPr>
        <w:footnoteReference w:id="93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ويجوز للدائن المرتهن أن يغير محله المختار بآخر في دائرة العقار المرهون ، إذا أشهر بهذا التغيير في هامش القيد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8"/>
      </w:r>
      <w:r>
        <w:rPr>
          <w:rFonts w:cs="Traditional Arabic" w:hint="cs"/>
          <w:sz w:val="28"/>
          <w:szCs w:val="32"/>
          <w:vertAlign w:val="superscript"/>
          <w:rtl/>
        </w:rPr>
        <w:t xml:space="preserve"> )</w:t>
      </w:r>
      <w:r>
        <w:rPr>
          <w:rFonts w:cs="Traditional Arabic" w:hint="cs"/>
          <w:sz w:val="28"/>
          <w:szCs w:val="32"/>
          <w:rtl/>
        </w:rPr>
        <w:t xml:space="preserve"> . ويجوز ذلك أيضاً لمن حول إليه الدين المضمون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يختر الدائن المرتهن محلا مختاراً ، صح إعلان الأوراق إليه في قلم كتاب محكمة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198- المدين</w:t>
      </w:r>
      <w:r>
        <w:rPr>
          <w:rFonts w:cs="Traditional Arabic" w:hint="cs"/>
          <w:sz w:val="28"/>
          <w:szCs w:val="32"/>
          <w:rtl/>
        </w:rPr>
        <w:t xml:space="preserve"> : يجب أن يذكر في قائمة القيد اسم المدين ولقبه وصناعته ومحل إقامته . والمقصود بالمدين هنا مالك العقار المرهون ، سواء كان هو المدين كما هو الغالب أو كان غير المدين بأن كان كفيلا عينياً يملكم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$444 ولما كان نظام الشهر عندنا نظاماً شخصياً لا عينياً ، فإن ذكر اسم المدين أو مالك العقار المرهون وكل البيانات التي تدل عليه هام جداً . فإذا كان اللقب والنصاعة ومحل الإقامة لا تكفي للتعريف بالمدين أو مالك العقار المرهون ، فإنه يجب أيضاً ذكر سنه وجنسيته واسم أبيه وجده لأبيه ( م 22 شهر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والمهم أن يكون المدين أو مالك العقار المرهون معرفاً تعريفاً كافياً بحيث لا يقع لبس فيه ، فمعرفة مالك العقار هي وحدها التي تعين على الكشف عن الحالة القانونية للعقار في نظام شخصي للشهر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mallCaps/>
          <w:sz w:val="28"/>
          <w:szCs w:val="32"/>
          <w:rtl/>
        </w:rPr>
        <w:t>199- سند الدين</w:t>
      </w:r>
      <w:r>
        <w:rPr>
          <w:rFonts w:cs="Traditional Arabic" w:hint="cs"/>
          <w:smallCaps/>
          <w:sz w:val="28"/>
          <w:szCs w:val="32"/>
          <w:rtl/>
        </w:rPr>
        <w:t xml:space="preserve"> : وتذكر القائمة تاريخ هذا السند ، وذكر التاريخ يفيد في التحقق من توافر أهلية التصرف للرهن وقت الرهن ، إذ أن سند الدين يكون في العادة سابقاً في التاريخ على الرهن ذاته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4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ويجب أن تذكر القائمة أيضاً الجهة التي تم أمامها أو صدر منها السند ، لأن ذلك يفيد في التحقق من اختصاص تلك الجهة بتحرير عقد الرهن . وقد قضت محكمة الاستئناف المختلطة بأنه لا يشتر ذكر البيانات الكاملة عن بيعة الدين ، بل يكفي أن يذكر أن الدين نشأ بموجب عقد رسمي بعين تاريخه وقلم العقود الرسمية الذي حرر فيه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4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200- الدين المضمون</w:t>
      </w:r>
      <w:r>
        <w:rPr>
          <w:rFonts w:cs="Traditional Arabic" w:hint="cs"/>
          <w:smallCaps/>
          <w:sz w:val="28"/>
          <w:szCs w:val="32"/>
          <w:rtl/>
        </w:rPr>
        <w:t xml:space="preserve"> : وذكر القانون أن قائمة القيد تذكر عن الدين المضمون أموراً ثلاثة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( 1 ) مصدر الدين المضمون : فيتيسر التحقق من صحة هذا لدين وبقائه قائماً لم ينقص ، إذ يستطاع تعقب مصير الدين إذا ما انقضى ، فإنه يترتب $445 على انقضائه زوال الرهن بصفة تبعية واشتراط </w:t>
      </w:r>
      <w:r>
        <w:rPr>
          <w:rFonts w:cs="Traditional Arabic" w:hint="cs"/>
          <w:smallCaps/>
          <w:sz w:val="28"/>
          <w:szCs w:val="32"/>
          <w:rtl/>
        </w:rPr>
        <w:lastRenderedPageBreak/>
        <w:t>بيان مصدر الدين المضمون يفوت على المدين فرصة الإبقاء على مرتبة متقدمة لصالح أحد الدائنين إذ أنه يتيسر ذلك  إذا لم يحدد مصدر الدين المضمون . فقد يكون الشخص مديناً لآخر بعدة ديون مختلفة المصادر ، أحدهما مضمون برهن سدده المدين فيستخدم الرهن ضماناً لدين من الديون الأخرى ، مع أن القانون المصري قرر بنص صريح أن الرهن يتبع ديناً ميعناً دون غيره في صحته وانقضائه ( م 1042/1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( 2 ) تعيين مقدار الدين كاملا : فعلى ضوء هذا التعيين يتحدد موقف من يريد أن يتعامل مع المدين في العقار المرهون . فإن كان مشترياً ، فإنه يعنيه معرفة قدر الديون التي يضمنها العقار ، لأن القانون أجاز له أن يقضيها عن المدين ويحل محل الدائنين فيها . وإن كان دائناً مرتهناً آخر ، فإنه يعنيه معرفة صلاحية العقار لتديم ضمان فعال لدينه ، من معرفة الدين المضمون بالرهن والذي يسبق دينه</w:t>
      </w:r>
      <w:r>
        <w:rPr>
          <w:rFonts w:cs="Traditional Arabic" w:hint="cs"/>
          <w:sz w:val="28"/>
          <w:szCs w:val="32"/>
          <w:vertAlign w:val="superscript"/>
          <w:rtl/>
        </w:rPr>
        <w:t xml:space="preserve">( </w:t>
      </w:r>
      <w:r w:rsidRPr="00EC737F">
        <w:rPr>
          <w:rStyle w:val="ab"/>
          <w:rFonts w:cs="Traditional Arabic"/>
          <w:sz w:val="28"/>
          <w:szCs w:val="32"/>
          <w:rtl/>
        </w:rPr>
        <w:footnoteReference w:id="9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ذكر ميعاد استحقاق الدين : حتى يتيسر على المطلع معرفة مصير الدين ، والتحقق من أن المدين قد قام بالوفاء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هذا ويلاحظ أنه يجب أن يذكر في قائمة القيد ذكر الدين ولو كان احتمالياً أو مستقبلا ، وبيان مصدره ، وتعيين مقدار هذا الدين ( الحد الأقصى ) ، وميعاد الاستحقاق . وقد قضى بأن ميعاد الاستحقاق لا يتشرط أن يكون تاريخاً معيناً ، بل يجوز أن يكون تاريخاً ممتداً كما في عقد الإيجار ، حيث لا يعرف بالضبط أي قسط من الإيجار سيتأخر المستأجر عن الوفاء $446</w:t>
      </w:r>
      <w:r>
        <w:rPr>
          <w:rFonts w:cs="Traditional Arabic" w:hint="cs"/>
          <w:smallCaps/>
          <w:sz w:val="28"/>
          <w:szCs w:val="32"/>
          <w:rtl/>
        </w:rPr>
        <w:t xml:space="preserve"> به ، فيكفي أن يذكر أن الرهن ضامن للأجرة طوال مدة الإيجار</w:t>
      </w:r>
      <w:r>
        <w:rPr>
          <w:rFonts w:cs="Traditional Arabic" w:hint="cs"/>
          <w:sz w:val="28"/>
          <w:szCs w:val="32"/>
          <w:vertAlign w:val="superscript"/>
          <w:rtl/>
        </w:rPr>
        <w:t xml:space="preserve">( </w:t>
      </w:r>
      <w:r w:rsidRPr="00EC737F">
        <w:rPr>
          <w:rStyle w:val="ab"/>
          <w:rFonts w:cs="Traditional Arabic"/>
          <w:sz w:val="28"/>
          <w:szCs w:val="32"/>
          <w:rtl/>
        </w:rPr>
        <w:footnoteReference w:id="9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201- العقار المرهون</w:t>
      </w:r>
      <w:r>
        <w:rPr>
          <w:rFonts w:cs="Traditional Arabic" w:hint="cs"/>
          <w:sz w:val="28"/>
          <w:szCs w:val="32"/>
          <w:rtl/>
        </w:rPr>
        <w:t xml:space="preserve"> : وقد جاء في المادة 22 من قانون الشهر العقاري ما يجب أن يذكر في </w:t>
      </w:r>
      <w:r>
        <w:rPr>
          <w:rFonts w:cs="Traditional Arabic" w:hint="cs"/>
          <w:sz w:val="28"/>
          <w:szCs w:val="32"/>
          <w:rtl/>
        </w:rPr>
        <w:lastRenderedPageBreak/>
        <w:t>هذا الصدد ، إذ نصت هذه المادة على ما يأتي : "البيانات اللازمة والمفيدة في تعيين العقار ، وعلى الخاص بيان موقعه ومساحته وحدوده . فإن كان مت الأراضي الزراعية ، وجب ذكر اسم الناحية والحوض ورقم القطعة . وإن كان من أراضي البناء أو من العقارات المبنية فيها ، وجب ذكر اسم القسم والشارع والحارة والرقم إن وجد"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وجوب تطابق البيانات الواردة في عقد الرهن مع تلك التي جاءت في قائمة القيد ، وقد استلزم قانون الشهر العقاري عند تقديم طلب الشهر في المرحلة النهائية ، أن يقدم عقد الرهن الرسمي مقروناً بقائمة القيد</w:t>
      </w:r>
      <w:r>
        <w:rPr>
          <w:rFonts w:cs="Traditional Arabic" w:hint="cs"/>
          <w:sz w:val="28"/>
          <w:szCs w:val="32"/>
          <w:vertAlign w:val="superscript"/>
          <w:rtl/>
        </w:rPr>
        <w:t xml:space="preserve">( </w:t>
      </w:r>
      <w:r w:rsidRPr="00EC737F">
        <w:rPr>
          <w:rStyle w:val="ab"/>
          <w:rFonts w:cs="Traditional Arabic"/>
          <w:sz w:val="28"/>
          <w:szCs w:val="32"/>
          <w:rtl/>
        </w:rPr>
        <w:footnoteReference w:id="94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ما جاء خاصاً بالعقار المرهون والدين المضمون يعتبر لمبدأ تخصيص الرهن . على أن التخصيص الوارد في عقد الرهن لا يغني عن ذكر هذه البيانات في قائمة القيد . ففي عقد الرهن التخصيص شرط لازم لانعقاده ، أما في قائمة القيد فالبيانات واجبة لسريان الرهن على الغير</w:t>
      </w:r>
      <w:r>
        <w:rPr>
          <w:rFonts w:cs="Traditional Arabic" w:hint="cs"/>
          <w:sz w:val="28"/>
          <w:szCs w:val="32"/>
          <w:vertAlign w:val="superscript"/>
          <w:rtl/>
        </w:rPr>
        <w:t xml:space="preserve">( </w:t>
      </w:r>
      <w:r w:rsidRPr="00EC737F">
        <w:rPr>
          <w:rStyle w:val="ab"/>
          <w:rFonts w:cs="Traditional Arabic"/>
          <w:sz w:val="28"/>
          <w:szCs w:val="32"/>
          <w:rtl/>
        </w:rPr>
        <w:footnoteReference w:id="9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$447 </w:t>
      </w:r>
      <w:r>
        <w:rPr>
          <w:rFonts w:cs="Traditional Arabic" w:hint="cs"/>
          <w:b/>
          <w:bCs/>
          <w:sz w:val="28"/>
          <w:szCs w:val="32"/>
          <w:rtl/>
        </w:rPr>
        <w:t>202- جزاء عدم الدقة في ذكر مقدار الدين المذكور</w:t>
      </w:r>
      <w:r>
        <w:rPr>
          <w:rFonts w:cs="Traditional Arabic" w:hint="cs"/>
          <w:sz w:val="28"/>
          <w:szCs w:val="32"/>
          <w:rtl/>
        </w:rPr>
        <w:t xml:space="preserve"> : وقد عني المشرع في قانون تنظيم الشهر العقاري ببيان جزاء تختلف بعض البيانات المتقدمة أو الخطأ فيها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وعني بنوع خاص بعدم الدقة في ذكر مقدار الدين المضمون ، فخصص له نصاً هو المادة 42 من قانون تنظيم الشهر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42 من هذا القانون على أنه ( يقتصر أثر القيد على المبلغ المبين بالقائمة أو المبلغ المستحق أيهما أقل"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فإذا كان مبلغ الدين المضمون بالرهن هو مبلغ 4500 ، فإن ذكر هذا المبلغ على حقيقته في قائمة القيد ، تطابقت قائمة القيد مع الحقيقة ، ووجب الأخذ بمبلغ 4500 كما هو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ذر في قائمة القيد خطأ مبلغ أقل من 4500 ، بأن ذر مثلا مبلغ 4800 ، كانت العبرة هنا ، لا بما ذكر في قائمة القيد لأن المذكور في هذه القائمة أكثر من المستحق ولا يجوز أن يلزم المدين بأكثر مما هو مستحق عليه ، بل تكون العبرة بمقدار الدين الحقيقي المستحق على المدين ، أي بمبلغ 4500 لا أكثر</w:t>
      </w:r>
      <w:r>
        <w:rPr>
          <w:rFonts w:cs="Traditional Arabic" w:hint="cs"/>
          <w:sz w:val="28"/>
          <w:szCs w:val="32"/>
          <w:vertAlign w:val="superscript"/>
          <w:rtl/>
        </w:rPr>
        <w:t xml:space="preserve">( </w:t>
      </w:r>
      <w:r w:rsidRPr="00EC737F">
        <w:rPr>
          <w:rStyle w:val="ab"/>
          <w:rFonts w:cs="Traditional Arabic"/>
          <w:sz w:val="28"/>
          <w:szCs w:val="32"/>
          <w:rtl/>
        </w:rPr>
        <w:footnoteReference w:id="9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203- جزاء تخلف بعض البيانات الأخرى أو الخطأ فيها</w:t>
      </w:r>
      <w:r>
        <w:rPr>
          <w:rFonts w:cs="Traditional Arabic" w:hint="cs"/>
          <w:sz w:val="28"/>
          <w:szCs w:val="32"/>
          <w:rtl/>
        </w:rPr>
        <w:t xml:space="preserve"> : نستعرض أولا الحالة في فرنسا ، فقد كان لها تأثير كبير في مصر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$448 قبل أول مارس سنة 1918 لم يكن هناك تشريع ينظم هذه الحالة ، فكان القضاء الفرنسي يفرق بين البيانات الجوهرية </w:t>
      </w:r>
      <w:r>
        <w:rPr>
          <w:rFonts w:cs="Traditional Arabic"/>
          <w:sz w:val="28"/>
          <w:szCs w:val="32"/>
          <w:rtl/>
        </w:rPr>
        <w:t xml:space="preserve">( </w:t>
      </w:r>
      <w:r>
        <w:rPr>
          <w:rFonts w:cs="Traditional Arabic"/>
          <w:sz w:val="28"/>
          <w:szCs w:val="32"/>
        </w:rPr>
        <w:t>mentions substantielles</w:t>
      </w:r>
      <w:r>
        <w:rPr>
          <w:rFonts w:cs="Traditional Arabic"/>
          <w:sz w:val="28"/>
          <w:szCs w:val="32"/>
          <w:rtl/>
        </w:rPr>
        <w:t xml:space="preserve"> )</w:t>
      </w:r>
      <w:r>
        <w:rPr>
          <w:rFonts w:cs="Traditional Arabic" w:hint="cs"/>
          <w:sz w:val="28"/>
          <w:szCs w:val="32"/>
          <w:rtl/>
        </w:rPr>
        <w:t xml:space="preserve"> ، والبيانات الثانوية </w:t>
      </w:r>
      <w:r>
        <w:rPr>
          <w:rFonts w:cs="Traditional Arabic"/>
          <w:sz w:val="28"/>
          <w:szCs w:val="32"/>
          <w:rtl/>
        </w:rPr>
        <w:t xml:space="preserve">( </w:t>
      </w:r>
      <w:r>
        <w:rPr>
          <w:rFonts w:cs="Traditional Arabic"/>
          <w:sz w:val="28"/>
          <w:szCs w:val="32"/>
        </w:rPr>
        <w:t>mentions accessoires</w:t>
      </w:r>
      <w:r>
        <w:rPr>
          <w:rFonts w:cs="Traditional Arabic"/>
          <w:sz w:val="28"/>
          <w:szCs w:val="32"/>
          <w:rtl/>
        </w:rPr>
        <w:t xml:space="preserve"> )</w:t>
      </w:r>
      <w:r>
        <w:rPr>
          <w:rFonts w:cs="Traditional Arabic" w:hint="cs"/>
          <w:sz w:val="28"/>
          <w:szCs w:val="32"/>
          <w:rtl/>
        </w:rPr>
        <w:t xml:space="preserve"> ، فيجعل بطلان القيد جاء الخطأ في البيانات الجوهرية أو تخلفها ، ولا يرتب البطلان على التخلف أو الخطأ في البيانات الثانوية . ثم صدر قانون أول مارس سنة 1918 ، فعدل عن التقسيم إلى بيانات جوهرية وبيانات ثانوية . وجعل إغفال أي بيان أو الخطأ فيه يترتب عليه بطلان القيد بشرط أن ينتج عن ذلك ضرر للغير ، ولا يطلب البطلان إلا من أصابه الضرر ، وللمحاكم أن تبطل القيد أو تنقص من أثره تبعاً لماهية الضرر وجسامته . ولا يزال هذا القانون معمولا به في فرنسا إلى اليوم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أما في مصر ، فلم يكن هناك تشريع كذلك ينظم هذا الأمر ، وكان التقنين المدني السابق خلواً من أي نص على ذلك ، وترك الأمر للقضاء . فسار القضاء المصري على ما سار عليه القضاء الفرنسي قبل أول مارس سنة 1918 ، وميز في البيانات بين ما هو جوهري ، وما هو ثانوي . وتعتبر البيانات جوهرية إذا كان ذكرها يقتضيه مبدأ تخصيص الرهن ، وإغفالها يهدر هذا المبدأ . فإن تخلف بيان من هذه البيانات </w:t>
      </w:r>
      <w:r>
        <w:rPr>
          <w:rFonts w:cs="Traditional Arabic" w:hint="cs"/>
          <w:sz w:val="28"/>
          <w:szCs w:val="32"/>
          <w:rtl/>
        </w:rPr>
        <w:lastRenderedPageBreak/>
        <w:t>الجوهرية ا حصل خطأ فيه ، فإن التخلف أو الخطأ يترتب عليه بطلان القيد . مثل ذلك أن تخلو قائمة القيد من ذكر اسم الراهن ، أو تعيين مقدار الدين المضمون أو تحديد العقار المرهون ، فإن هذه البيانات جوهرية ويقتضيها مبدأ تخصيص الرهن ، فإغفالها أو الخطأ فيها يجعل القيد باطلا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47"/>
      </w:r>
      <w:r>
        <w:rPr>
          <w:rFonts w:cs="Traditional Arabic" w:hint="cs"/>
          <w:sz w:val="28"/>
          <w:szCs w:val="32"/>
          <w:vertAlign w:val="superscript"/>
          <w:rtl/>
        </w:rPr>
        <w:t xml:space="preserve"> )</w:t>
      </w:r>
      <w:r>
        <w:rPr>
          <w:rFonts w:cs="Traditional Arabic" w:hint="cs"/>
          <w:sz w:val="28"/>
          <w:szCs w:val="32"/>
          <w:rtl/>
        </w:rPr>
        <w:t xml:space="preserve"> . وتكون البيانات ثانوية $449 إذا لم يقتضها مبدأ تخصيص الرهن ، وإنما استلزمها المشرع لاعتبارات إدارية تتعلق بتنظيم أحكام الشهر وتيسير إجراءاته . مثل ذلك ما يتصل بذكر رقم العقار المرهون إذا كان منزلا ، أو يتعلق بتعيين محل مختار للدائن المرتهن ما دام إعلانه ميسوراً في محل إقامته أو في قلم كتاب المحكمة . فهذه البيانات ثانوية ، لا يستوجب إغفالها أو الخطأ فيها حتما إبطال القد . وقد اصطدمت هذه القاعدة بصعاب كثيرة ، فلم يكن هيناً على القضاء من غير نص تشريعي أن يضع حداً فاصلاً بين لابيانات الجوهرية والبيانات الثانوية</w:t>
      </w:r>
      <w:r>
        <w:rPr>
          <w:rFonts w:cs="Traditional Arabic" w:hint="cs"/>
          <w:sz w:val="28"/>
          <w:szCs w:val="32"/>
          <w:vertAlign w:val="superscript"/>
          <w:rtl/>
        </w:rPr>
        <w:t xml:space="preserve">( </w:t>
      </w:r>
      <w:r w:rsidRPr="00EC737F">
        <w:rPr>
          <w:rStyle w:val="ab"/>
          <w:rFonts w:cs="Traditional Arabic"/>
          <w:sz w:val="28"/>
          <w:szCs w:val="32"/>
          <w:rtl/>
        </w:rPr>
        <w:footnoteReference w:id="948"/>
      </w:r>
      <w:r>
        <w:rPr>
          <w:rFonts w:cs="Traditional Arabic" w:hint="cs"/>
          <w:sz w:val="28"/>
          <w:szCs w:val="32"/>
          <w:vertAlign w:val="superscript"/>
          <w:rtl/>
        </w:rPr>
        <w:t xml:space="preserve"> )</w:t>
      </w:r>
      <w:r>
        <w:rPr>
          <w:rFonts w:cs="Traditional Arabic" w:hint="cs"/>
          <w:sz w:val="28"/>
          <w:szCs w:val="32"/>
          <w:rtl/>
        </w:rPr>
        <w:t xml:space="preserve"> . فكان المرجع الأخير لمحكمة النقض أن تفرض رقابتها على قاضي الموضوع . وأثير التساؤل أيضاً فيما إذا كان القاضي يجب عليه أن يحكم ببطلان القيد ، حتى لو لم يترتب على إغفال البيان أو الخطأ فيه الإضرار بمصالح الغير</w:t>
      </w:r>
      <w:r>
        <w:rPr>
          <w:rFonts w:cs="Traditional Arabic" w:hint="cs"/>
          <w:sz w:val="28"/>
          <w:szCs w:val="32"/>
          <w:vertAlign w:val="superscript"/>
          <w:rtl/>
        </w:rPr>
        <w:t xml:space="preserve">( </w:t>
      </w:r>
      <w:r w:rsidRPr="00EC737F">
        <w:rPr>
          <w:rStyle w:val="ab"/>
          <w:rFonts w:cs="Traditional Arabic"/>
          <w:sz w:val="28"/>
          <w:szCs w:val="32"/>
          <w:rtl/>
        </w:rPr>
        <w:footnoteReference w:id="949"/>
      </w:r>
      <w:r>
        <w:rPr>
          <w:rFonts w:cs="Traditional Arabic" w:hint="cs"/>
          <w:sz w:val="28"/>
          <w:szCs w:val="32"/>
          <w:vertAlign w:val="superscript"/>
          <w:rtl/>
        </w:rPr>
        <w:t xml:space="preserve"> )</w:t>
      </w:r>
      <w:r>
        <w:rPr>
          <w:rFonts w:cs="Traditional Arabic" w:hint="cs"/>
          <w:sz w:val="28"/>
          <w:szCs w:val="32"/>
          <w:rtl/>
        </w:rPr>
        <w:t xml:space="preserve"> . فأراد المشرع المصري حسم هذا الأمر ، فوضع في قانون الشهر العقاري نصاً خاصاً يبين الجزاء المترتب على إغفال بعض بيانات القيد أو الخطأ فيها . فنص في المادة 41 من قانون الشهر العقاري على ما يأتي : "لا يترتب على إغفال بيان أو أكثر من البيانات المنصوص عليها في المادة 30 بطلان القيد ، إلا إذا نتج عن ذلك ضرر للغير . ولا يجوز أن يطلب البطلان إلا من وقع عليه الضرر بسبب إغفال البيانات أو بسبب عدم ضبطها ، وللمحكمة أن تبل اثر القيد أو أن تنقص من أثره تبعاً لطبيعة الضرر ومداه" . وهكذا حلت المادة 41 من قانون الشهر العقاري محل </w:t>
      </w:r>
      <w:r>
        <w:rPr>
          <w:rFonts w:cs="Traditional Arabic" w:hint="cs"/>
          <w:sz w:val="28"/>
          <w:szCs w:val="32"/>
          <w:rtl/>
        </w:rPr>
        <w:lastRenderedPageBreak/>
        <w:t>قانون أول مارس سنة 1918 الفرنسي</w:t>
      </w:r>
      <w:r>
        <w:rPr>
          <w:rFonts w:cs="Traditional Arabic" w:hint="cs"/>
          <w:sz w:val="28"/>
          <w:szCs w:val="32"/>
          <w:vertAlign w:val="superscript"/>
          <w:rtl/>
        </w:rPr>
        <w:t xml:space="preserve">( </w:t>
      </w:r>
      <w:r w:rsidRPr="00EC737F">
        <w:rPr>
          <w:rStyle w:val="ab"/>
          <w:rFonts w:cs="Traditional Arabic"/>
          <w:sz w:val="28"/>
          <w:szCs w:val="32"/>
          <w:rtl/>
        </w:rPr>
        <w:footnoteReference w:id="950"/>
      </w:r>
      <w:r>
        <w:rPr>
          <w:rFonts w:cs="Traditional Arabic" w:hint="cs"/>
          <w:sz w:val="28"/>
          <w:szCs w:val="32"/>
          <w:vertAlign w:val="superscript"/>
          <w:rtl/>
        </w:rPr>
        <w:t xml:space="preserve"> )</w:t>
      </w:r>
      <w:r>
        <w:rPr>
          <w:rFonts w:cs="Traditional Arabic" w:hint="cs"/>
          <w:sz w:val="28"/>
          <w:szCs w:val="32"/>
          <w:rtl/>
        </w:rPr>
        <w:t xml:space="preserve"> . فلا تقضي المحكمة ، لإغفال بيان أو الخطأ فيه ، ببطلان القيد من تلقاء نفسها ، بل يجب أن يتمسك $450 بالبطلان من لحقه ضرر من إغفال البيان أو الخطأ فيه . وعليه يقع إثبات الضرر ، وللقاضي أن يزن الجزاء الذي يحكم به ، فيحدده في نطاق الضرر ومداه</w:t>
      </w:r>
      <w:r>
        <w:rPr>
          <w:rFonts w:cs="Traditional Arabic" w:hint="cs"/>
          <w:sz w:val="28"/>
          <w:szCs w:val="32"/>
          <w:vertAlign w:val="superscript"/>
          <w:rtl/>
        </w:rPr>
        <w:t xml:space="preserve">( </w:t>
      </w:r>
      <w:r w:rsidRPr="00EC737F">
        <w:rPr>
          <w:rStyle w:val="ab"/>
          <w:rFonts w:cs="Traditional Arabic"/>
          <w:sz w:val="28"/>
          <w:szCs w:val="32"/>
          <w:rtl/>
        </w:rPr>
        <w:footnoteReference w:id="951"/>
      </w:r>
      <w:r>
        <w:rPr>
          <w:rFonts w:cs="Traditional Arabic" w:hint="cs"/>
          <w:sz w:val="28"/>
          <w:szCs w:val="32"/>
          <w:vertAlign w:val="superscript"/>
          <w:rtl/>
        </w:rPr>
        <w:t xml:space="preserve"> )</w:t>
      </w:r>
      <w:r>
        <w:rPr>
          <w:rFonts w:cs="Traditional Arabic" w:hint="cs"/>
          <w:sz w:val="28"/>
          <w:szCs w:val="32"/>
          <w:rtl/>
        </w:rPr>
        <w:t xml:space="preserve"> . ويستند في ذلك إلى القواعد العامة في المسئولية التقصيرية ، وتتحقق أركان المسئولية هنا بنسبة الخطأ إلى الدائن وهو مفترض من إغفال البيان أو الخطأ فيه ، وبوقوع الضرر ويقع على المضرور عبء إثباته ، وبتوافر صلة السببية بين الخطأ والضرر . ويتفاوت التعويض بحسب الأحوال ، فتارة يكون بعدم سريان القيد في مواجهة من أصابه الضرر ، وتارة بإهدار اثر القيد بالقدر اللازم لرفع الضرر ، كأن يرد في قائمة القيد مبلغ يجاوز حقيقة الدين فلا يكون القيد سارياً إلا في حدود المقدار الحقيقي للدين . فالتصوير الجديد للجزاء يختلف عن تصوير الجزاء الذي كان يطبقه القضاءان الفرنسي والمصري عند ما كانا يفرقان بين البيانات الجوهرية والبيانات الثانوية ، ففي هذه التفرقة القديمة كان الأمر يتعلق بحسم مسألة قانونية تخضع لرقابة محكمة النقض . أما الآن فالجزاء هو مجرد تعويض يحكم به القاضي لمن يثبت أنه أصيب بضرر ، فتارة يكون هذا الجزاء عدم نفاذ القيد ، وتارة يكون إهدار أثر القيد في حدود الضرر ومداه ، والقضاء به مسألة موضوعية ولست مسألة قانونية</w:t>
      </w:r>
      <w:r>
        <w:rPr>
          <w:rFonts w:cs="Traditional Arabic" w:hint="cs"/>
          <w:sz w:val="28"/>
          <w:szCs w:val="32"/>
          <w:vertAlign w:val="superscript"/>
          <w:rtl/>
        </w:rPr>
        <w:t xml:space="preserve">( </w:t>
      </w:r>
      <w:r w:rsidRPr="00EC737F">
        <w:rPr>
          <w:rStyle w:val="ab"/>
          <w:rFonts w:cs="Traditional Arabic"/>
          <w:sz w:val="28"/>
          <w:szCs w:val="32"/>
          <w:rtl/>
        </w:rPr>
        <w:footnoteReference w:id="9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$451 </w:t>
      </w:r>
      <w:r>
        <w:rPr>
          <w:rFonts w:cs="Traditional Arabic" w:hint="cs"/>
          <w:b/>
          <w:bCs/>
          <w:sz w:val="28"/>
          <w:szCs w:val="32"/>
          <w:rtl/>
        </w:rPr>
        <w:t>204- الحوادث التي تقف إجراء القيد أو تمنع نفاذه</w:t>
      </w:r>
      <w:r>
        <w:rPr>
          <w:rFonts w:cs="Traditional Arabic" w:hint="cs"/>
          <w:sz w:val="28"/>
          <w:szCs w:val="32"/>
          <w:rtl/>
        </w:rPr>
        <w:t xml:space="preserve"> : وليس هناك ميعاد حدده القانون لإجراء القيد ، فمتى انعقد الرهن صحيحاً جاز قيده في أي وقت بعد ذلك . غير أن مصلحة الدائن المرتهن توجب عليه المبادرة إلى إجراء القيد بعد انعقاد الرهن صحيحاً ، لأن التأخير في إجراء القيد يعرضه لخطر أن يسبقه غيره إلى إجراء القيد فيتقدم عليه . نفرض مثلا أنه يوجد بعد الدائن المرتهن دائن مرتهن آخر متأخر في تاريخ رهنه عن الدائن المرتهن الأول ، فإذا تأخر هذا الدائن المرتهن الأول عن إجراء قيد رهنه ، جاز أن يبادر الدائن المرتهن المتأخر إلى إجراء يد رهنه أولا فيجعله قيده في مرتبة متقدمة ويسبق الدائن المرتهن الأول ويتقاضى حقه قبله من العقار المرهون . ويجوز أيضاً أن يكون هناك مشتر اشترى العقار بعد الرهن ، ويبادر هذا المشتري إلى تسجيل عقد شرائه قبل قيد الرهن ، ففي هذه الحالة لا يستطيع الدائن المرتهن أن يتتبع العقار في يد المشتري ، ويضيع عليه حق رهنه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لذلك يجب على الدائن المرتهن ، بمجرد انعقاد رهنه صحيحاً ، أن يبادر إلى قيد رهنه ، حتى لا يتعرض لهذه المفاجآت . والى جانب ذلك ، فهنا حوادث معينة إذا وقعت قبل قيد الرهن ، ولو انعقد الرهن صحيحاً قبل وقوعها ،  منعت من القيد أو جعلته غير نافذ المفعول بالنسبة إلى دائنين ، $452 فيهم إذن الدائن المرتهن أن يبادر إلى قيد رهنه قبل وقوع هذه الحوادث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ونعرض هنا لهذه الحوادث التي تعطل من مفعول القيد ، وتجعله غير كامل الأثر . هناك حادثان لا شك في أنهما إذا وقعا قبل قيد الرهن ، يكون لهما هذا الأثر : ( 1 ) شهر إفلاس الراهن ، وقد أشارت إليه الفقرة الأولى من المادة 1053 مدني عند ما قالت "وذلك دون إخلال بالأحكام المقررة في الإفلاس" </w:t>
      </w:r>
      <w:r>
        <w:rPr>
          <w:rFonts w:cs="Traditional Arabic" w:hint="cs"/>
          <w:sz w:val="28"/>
          <w:szCs w:val="32"/>
          <w:rtl/>
        </w:rPr>
        <w:lastRenderedPageBreak/>
        <w:t>. ( 2 ) تسجيل دائن حاجز على العقار المرهون التنبيه بنزع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وهناك حادثان آخران مختلف في أن يكون لهما هذا الأثر . فقد أريد جعل الإعسار في منزلة الإفلاس ، وأريد أيضاً منع القيد بعد موت الراهن . وسنرى عند إيراد التفاصيل أن الإعسار لا يكون في منزلة الإفلاس ، وان موت الراهن بعد انعقاد الرهن صحيحاً لا يمنع من قيده قيداً صحيحاً بعد موت الراهن</w:t>
      </w:r>
      <w:r>
        <w:rPr>
          <w:rFonts w:cs="Traditional Arabic" w:hint="cs"/>
          <w:sz w:val="28"/>
          <w:szCs w:val="32"/>
          <w:vertAlign w:val="superscript"/>
          <w:rtl/>
        </w:rPr>
        <w:t xml:space="preserve">( </w:t>
      </w:r>
      <w:r w:rsidRPr="00EC737F">
        <w:rPr>
          <w:rStyle w:val="ab"/>
          <w:rFonts w:cs="Traditional Arabic"/>
          <w:sz w:val="28"/>
          <w:szCs w:val="32"/>
          <w:rtl/>
        </w:rPr>
        <w:footnoteReference w:id="9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 قبل التعرض للتفاصيل ، أن القيود التي يقف إجراؤها أو يمنع نفاذها بعد وقوع حوادث معينة هي القيود الجديدة التي يترتب عليها شهر حق لم يكن قد سبق شهره . وعلى ذلك لا يقف قيد التجديد ولا قيد الفوائد ، حتى لو وقعت هذه الحوادث قبل القيد . أما قيد التجديد $453 فيجوز إجراؤه حتى بعد وقوع الحوادث المعينة ، وذلك لأن التجديد لا يشهر حقاً جديداً ، بل يقتصر أثره على أن يحفظ للحق السابق قيده مرتبته التي سبها بالقيد الأول يشترط حصول التجديد قبل سقوط القيد الأول</w:t>
      </w:r>
      <w:r>
        <w:rPr>
          <w:rFonts w:cs="Traditional Arabic" w:hint="cs"/>
          <w:sz w:val="28"/>
          <w:szCs w:val="32"/>
          <w:vertAlign w:val="superscript"/>
          <w:rtl/>
        </w:rPr>
        <w:t xml:space="preserve">( </w:t>
      </w:r>
      <w:r w:rsidRPr="00EC737F">
        <w:rPr>
          <w:rStyle w:val="ab"/>
          <w:rFonts w:cs="Traditional Arabic"/>
          <w:sz w:val="28"/>
          <w:szCs w:val="32"/>
          <w:rtl/>
        </w:rPr>
        <w:footnoteReference w:id="954"/>
      </w:r>
      <w:r>
        <w:rPr>
          <w:rFonts w:cs="Traditional Arabic" w:hint="cs"/>
          <w:sz w:val="28"/>
          <w:szCs w:val="32"/>
          <w:vertAlign w:val="superscript"/>
          <w:rtl/>
        </w:rPr>
        <w:t xml:space="preserve"> )</w:t>
      </w:r>
      <w:r>
        <w:rPr>
          <w:rFonts w:cs="Traditional Arabic" w:hint="cs"/>
          <w:sz w:val="28"/>
          <w:szCs w:val="32"/>
          <w:rtl/>
        </w:rPr>
        <w:t xml:space="preserve"> . وأما قد الفوائد التي  تستحق بعد وقوع الحادث الذي يقف القيد ، فإنه لا يمتنع إلا في حالة تسجيل تصرف الراهن في العقار المرهون ، لأن انتقال ملكية العقار إلى المتصرف إليه يمنع تحميله بديون نشأت في </w:t>
      </w:r>
      <w:r>
        <w:rPr>
          <w:rFonts w:cs="Traditional Arabic" w:hint="cs"/>
          <w:sz w:val="28"/>
          <w:szCs w:val="32"/>
          <w:rtl/>
        </w:rPr>
        <w:lastRenderedPageBreak/>
        <w:t>ذمة الراهن ما دام لم يكن محملا بها وقت انتقال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95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في حالتي إفلاس الراهن وتسجيل تنبيه نزع الملكية على العقار المرهون ، فيجوز قيد الفوائد لأن العقار يكون باقياً على ملك الراهن ، ولأن هذين الحادثين لا يمنعان سريان الفوائد لمصلحة الدائنين ، ولأن الفوائد يكون منصوصاً عليها في القيد الأصلي فيكون قيدها تحديداً لاستحقاقها لا قيداً جديداً ، ولأن الدائن لا يمكن أن ينسب إليه الإهمال في عدم قيد الفوائد قبل ذلك لأنها لم تكن مستحقة</w:t>
      </w:r>
      <w:r>
        <w:rPr>
          <w:rFonts w:cs="Traditional Arabic" w:hint="cs"/>
          <w:sz w:val="28"/>
          <w:szCs w:val="32"/>
          <w:vertAlign w:val="superscript"/>
          <w:rtl/>
        </w:rPr>
        <w:t xml:space="preserve">( </w:t>
      </w:r>
      <w:r w:rsidRPr="00EC737F">
        <w:rPr>
          <w:rStyle w:val="ab"/>
          <w:rFonts w:cs="Traditional Arabic"/>
          <w:sz w:val="28"/>
          <w:szCs w:val="32"/>
          <w:rtl/>
        </w:rPr>
        <w:footnoteReference w:id="9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وبعد ذلك نعرض بالتفصيل للحوادث الأربعة التي سبق إيرادها وهي الإفلاس ، وتسجيل تنبيه نزع الملكية ، والإعسار ، وموت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205- الإفلاس</w:t>
      </w:r>
      <w:r>
        <w:rPr>
          <w:rFonts w:cs="Traditional Arabic" w:hint="cs"/>
          <w:sz w:val="28"/>
          <w:szCs w:val="32"/>
          <w:rtl/>
        </w:rPr>
        <w:t xml:space="preserve"> : هنا نعرض لحالة ما إذا صدر حكم بشهر إفلاس الراهن . فقد نصت المادة 231 تجاري على ما يأتي : "حقوق الامتياز والرهن العقاري المكتسبة من المفلس على الوجه المرعي قانوناً يجوز تسجيلها ( قيدها ) إلى يوم صدور الحكم بشهر إفلاسه . ومع ذلك يجوز الحكم ببطلان ما يحصل من التسجيلات ( القيود ) بعد وقت وقوفه عن دفع ديونه أو في $454 الأيام العشرة التي قبل هذا الوقت ، إذا مضت أزيد من خمسة عشر يوماً بين تاريخ عقد الرهن العقاري أو الامتيازي وتاريخ التسجيل ( القيد ) . ويزاد على المدة المذكورة الميعاد المحدد في القانون لمسافة الطريق بين الجهة التي اكتسب فيها هذا الحق والجهة التي حصل فيها التسجيل ( القيد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هذا النص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 أولا ) أنه لا يجوز قيد الرهن الرسمي بعد صدور الحكم بشهر إفلاس الراهن . فلو أن شخصاً رهن عقاراً مملوكاً له ، ولم يقيد الدائن المرتهن حقه وبقي كذلك إلى أن صدر حكم بشهر إفلاس الراهن ، لم يبق بعد صدور هذا الحكم من المحكمة أن يقيدالدائن المرتهن رهنه . فقد أراد القانون أن يساوي بين دائني المفلس ، ليدفع الغش الذي قد يرمي إليه المفلس من تمييز أحد دائنيه على الآخرين . فلا يجوز بعد </w:t>
      </w:r>
      <w:r>
        <w:rPr>
          <w:rFonts w:cs="Traditional Arabic" w:hint="cs"/>
          <w:sz w:val="28"/>
          <w:szCs w:val="32"/>
          <w:rtl/>
        </w:rPr>
        <w:lastRenderedPageBreak/>
        <w:t>الحكم بشهر إفلاس المفلس ، أن يحصل أي دائن من دائنيه على مزية لم يكن حاصلا عليها من قبل ، حتى لو كان هذا الدائن دائناً مرتهناً لم يقيد رهنه قبل صدور الحكم بشهر الإفلاس . وإذا حصل القيد بعد الحكم بشهر الإفلاس ، فإنه يكون باطلا ، أي غير نافذ في حق مجموعة الدائنين . ويمكن أن ينتج القيد أثره في حق غيرهم من الدائنين ، متى تم الصلح . فلو فرض أن الراهن المفلس استجد له دائنون آخرون بعد الحكم بشهر إفلاسه ، وتم الصلح في التفليسة ، فإن الدائن المرتهن الذي قيد رهنه بعد صدور الحكم بشهر الإفلاس ، يصبح قيده نافذاً في حق هؤلاء الدائنين لأنهم استجدوا بعد صدور الحكم بشهر الإفلاس ، حتى لو كان الدائن المرتهن قد علم باضطراب شؤون الراهن</w:t>
      </w:r>
      <w:r>
        <w:rPr>
          <w:rFonts w:cs="Traditional Arabic" w:hint="cs"/>
          <w:sz w:val="28"/>
          <w:szCs w:val="32"/>
          <w:vertAlign w:val="superscript"/>
          <w:rtl/>
        </w:rPr>
        <w:t xml:space="preserve">( </w:t>
      </w:r>
      <w:r w:rsidRPr="00EC737F">
        <w:rPr>
          <w:rStyle w:val="ab"/>
          <w:rFonts w:cs="Traditional Arabic"/>
          <w:sz w:val="28"/>
          <w:szCs w:val="32"/>
          <w:rtl/>
        </w:rPr>
        <w:footnoteReference w:id="9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ثانياً ) إذا كان قيد الرهن قبل صدور الحكم بشهر الإفلاس ، ولكن تم في فترة الريبة ، أي في المدة التي تسبق الحكم شهر الإعسار من عشرة $455 أيام سابقة على وقت وقوف الراهن عن الدفع إلى ما قبل الحكم بشهر الإفلاس ، يجوز للمحكمة الحكم ببطلان القيد ، إذا مضت مدة أزيد من 15 يوماً ( مع ميعاد المسافة ) بين تاريخ عقد الرهن الرسمي والقيد . وهنا لا يتحتم على المحكمة أن تحكم ببطلان القيد ، بل يكون لها ذلك كما أن لها ألا تحكم بالبطلان</w:t>
      </w:r>
      <w:r>
        <w:rPr>
          <w:rFonts w:cs="Traditional Arabic" w:hint="cs"/>
          <w:sz w:val="28"/>
          <w:szCs w:val="32"/>
          <w:vertAlign w:val="superscript"/>
          <w:rtl/>
        </w:rPr>
        <w:t xml:space="preserve">( </w:t>
      </w:r>
      <w:r w:rsidRPr="00EC737F">
        <w:rPr>
          <w:rStyle w:val="ab"/>
          <w:rFonts w:cs="Traditional Arabic"/>
          <w:sz w:val="28"/>
          <w:szCs w:val="32"/>
          <w:rtl/>
        </w:rPr>
        <w:footnoteReference w:id="958"/>
      </w:r>
      <w:r>
        <w:rPr>
          <w:rFonts w:cs="Traditional Arabic" w:hint="cs"/>
          <w:sz w:val="28"/>
          <w:szCs w:val="32"/>
          <w:vertAlign w:val="superscript"/>
          <w:rtl/>
        </w:rPr>
        <w:t xml:space="preserve"> )</w:t>
      </w:r>
      <w:r>
        <w:rPr>
          <w:rFonts w:cs="Traditional Arabic" w:hint="cs"/>
          <w:sz w:val="28"/>
          <w:szCs w:val="32"/>
          <w:rtl/>
        </w:rPr>
        <w:t xml:space="preserve"> . وقد خشي المشرع هنا من أن يحصل تواطؤ بين المفلس والدائن المرتهن ، فيبقى الدائن المرتهن دون شهر حتى إذا ما توقف المفلس عن الدفع بادر الدائن المرتهن إلى القيد . فإذا استخلصت المحكمة ذلك من وقائع الدعوى قضت بإبطال القيد ، وإلا حكمت بنفاذه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ثالثاً ) إذا كان قيد الرهن في فترة الريبة ، ولم يكن قد مضي على تاريخ عقد الرهن إلى تاريخ القيد أزيد من 15 يوماً ، فهنا ترجع فكرة التواطؤ ، وعلى القاضي أن يحكم ببطلان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رابعاً ) إذا صد عقد الرهن نفسه في فترة الريبة ولسداد ديون قبل هذه الفترة ، فإنه يكون باطلا طبقاً لنص الفقرة الثانية من المادة 227 تجاري ، وما دام الرهن نفسه باطلا ، فإنه لا يكون لقيده أي أثر </w:t>
      </w:r>
      <w:r>
        <w:rPr>
          <w:rFonts w:cs="Traditional Arabic" w:hint="cs"/>
          <w:sz w:val="28"/>
          <w:szCs w:val="32"/>
          <w:rtl/>
        </w:rPr>
        <w:lastRenderedPageBreak/>
        <w:t>. وقد نصت الفقرة الثانية من المادة 227 تجاري على ما يأتي : "ويكون أيضاً لاغياً ( باطلا ) ولا يعتد به كل رهن عقار من عقارات المدين أو منقول من منقولاته ، وكل ما يتحصل عليه المدين من الاختصاص بأموال مدينه لوفاء دينه ، إذا حصل ذلك في المواعيد المذكورة آنفاً ( فترة الريبة ) فوفاء ديون استدانها المدين قبل تلك المواعيد"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خامساً ) إذا كان قيد الرهن قد حصل قبل فترة الريبة ، فإنه يكون صحيحاً . ذلك أن الرهن ذاته يكون قد عقد قبل فترة الريبة ، وكذلك القيد ، فيكون كل منهما صحيحاً ويعتد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الراهن ، إذا عقد عقوداً بمقابل بعد وقوفه عن دفع $456 ديونه وقبل الحكم عليه ، بشهر إفلاسه ، يجوز الحكم ببطلانها إذا ثبت أن المعقود معه تلك العقود كان عالماً باختلال أحوال الراهن . وقد نصت المادة 228 تجاري في هذا المعنى على ما يأتي : "وكل ما أجراه المدين غير ما تقدم ذكره من وفاء ديون حل أجلها ، أو عقد عقود بمقابل ،بعد وقوفه عن دفع ديونه وقبل صدور الحكم عليه بإشهار إفلاسه ، يجوز الحكم ببطلانه ، إذا ثبت أن الذي حصل على وفاء دينه أو عقد معه ذلك العقد كان عالماً باختلال أشغال المدين المذكورة . وف كل الأحوال يجب أن يحكم ببطلان العقود ، إذا كان القصد منها إخفاء هبة أو حصول منفعة زائدة عن المقدار  لمن عقد مع المفلس المذكور"</w:t>
      </w:r>
      <w:r>
        <w:rPr>
          <w:rFonts w:cs="Traditional Arabic" w:hint="cs"/>
          <w:sz w:val="28"/>
          <w:szCs w:val="32"/>
          <w:vertAlign w:val="superscript"/>
          <w:rtl/>
        </w:rPr>
        <w:t xml:space="preserve">( </w:t>
      </w:r>
      <w:r w:rsidRPr="00EC737F">
        <w:rPr>
          <w:rStyle w:val="ab"/>
          <w:rFonts w:cs="Traditional Arabic"/>
          <w:sz w:val="28"/>
          <w:szCs w:val="32"/>
          <w:rtl/>
        </w:rPr>
        <w:footnoteReference w:id="9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206- تسجيل تنبيه نزع الملكية</w:t>
      </w:r>
      <w:r>
        <w:rPr>
          <w:rFonts w:cs="Traditional Arabic" w:hint="cs"/>
          <w:sz w:val="28"/>
          <w:szCs w:val="32"/>
          <w:rtl/>
        </w:rPr>
        <w:t xml:space="preserve"> : والمقصود أن الرهن ، سواء كان هو المدين أو كان كفيلا عينياً ، له دائن آخر غير الدائن المرتهن ، ولو كان هذا الدائن دائناً عادياً . وقبل أن يقيد الدائن المرتهن حقه ، تقدم هذا لدائن الآخر للتنفيذ بحقه على العقار المرهون ، ولو أنه دائن عادي ، ووصل هذا الدائن في التنفيذ إلى حد تسجيل التنبيه بنزع الملكية فعند ذلك لا يستطيع الدائن المرتهن الذي لم يقيد حقه أن يقيده ، وإلا كان القد باطلا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وتاريخ ذلك أن تقنين المرافعات الأسبق كان يصن في المادة 608 على منع المدين من التصرف في عقاره المرهون من وقت أن يسجل دائن ما ، ولو كان دائناً عادياً ، التنبيه بنزع ملكية هذا العقار . وكان </w:t>
      </w:r>
      <w:r>
        <w:rPr>
          <w:rFonts w:cs="Traditional Arabic" w:hint="cs"/>
          <w:sz w:val="28"/>
          <w:szCs w:val="32"/>
          <w:rtl/>
        </w:rPr>
        <w:lastRenderedPageBreak/>
        <w:t>يفهم من ذلك أن تصرف المدين في عقاره يكون صحيحاً قبل تسجيل تنبيه الملكية ، ولو لم يسجل هذا التصرف أو يقيد . فإذا صدر رهن من المدين قبل تسجيل تنبيه نزع الملكية ، فإن هذا الرهن يكون صحيحاً ولو لم يقيد قبل تسجيل تنبيه نزع الملكية ، وكان يمكن قيده بعد ذلك فيكون سارياً في حق الدائن نزع المكية . وكان معنى ذلك أن تسجيل تنبيه نزع الملكية كان لا يقف $457 قيد الرهن المعقود قبله ، وكان الرهن إذا قيد بعد تسجيل التنبيه ينفذ في حق الدائن نازع الملكية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ثم أتى تقنين المرافعات السابق ، فنص في المادة 616 على ألا ينفذ تصرف المدين أو الحائز في العقار ، ولا ما يترتب عليه من رهن أو اختصاص أو امتياز ، في حق الحاجزين ولو كانوا دائنين عاديين ولا في حق الدائنين المقيدة حقوقهم قبل تسجيل التنبيه وجميع الدائنين الذين سجلوا تنبيهاتهم ولا الراسي عليه المزاد ، إذا كان التصرف أو الرهن أو الاختصاص أو الامتياز قد سجل أو قيد بعد تسجيل تنبيه نزع الملكية . فهذا النص يجعل الرهن الذي تم قيده بعد تسجيل تنبيه نزع الملكية غير نافذ ولو كان ثابت التاريخ قبل هذا التسجيل . فإذا تراخى الدائن المرتهن في قيد رهنه ، وبقي متراخياً إلى أن أتي دائن آخر ، ولو كان دائناً عادياً ، ونفذ على العقار المرهون بأن نبه بنزع ملكيته وسجل التنبيه بنزع الملكية ، فإن الدائن المرتهن الذي لم يقيد رهنه إلى ذلك الوقت لا يستطيع أن يقيد حقه ، وإذا قيد كان القيد غير نافذ في حق الدائنين والغير الذين ذكرتهم المادة 616 مرافعات</w:t>
      </w:r>
      <w:r>
        <w:rPr>
          <w:rFonts w:cs="Traditional Arabic" w:hint="cs"/>
          <w:sz w:val="28"/>
          <w:szCs w:val="32"/>
          <w:vertAlign w:val="superscript"/>
          <w:rtl/>
        </w:rPr>
        <w:t xml:space="preserve">( </w:t>
      </w:r>
      <w:r w:rsidRPr="00EC737F">
        <w:rPr>
          <w:rStyle w:val="ab"/>
          <w:rFonts w:cs="Traditional Arabic"/>
          <w:sz w:val="28"/>
          <w:szCs w:val="32"/>
          <w:rtl/>
        </w:rPr>
        <w:footnoteReference w:id="960"/>
      </w:r>
      <w:r>
        <w:rPr>
          <w:rFonts w:cs="Traditional Arabic" w:hint="cs"/>
          <w:sz w:val="28"/>
          <w:szCs w:val="32"/>
          <w:vertAlign w:val="superscript"/>
          <w:rtl/>
        </w:rPr>
        <w:t xml:space="preserve"> )</w:t>
      </w:r>
      <w:r>
        <w:rPr>
          <w:rFonts w:cs="Traditional Arabic" w:hint="cs"/>
          <w:sz w:val="28"/>
          <w:szCs w:val="32"/>
          <w:rtl/>
        </w:rPr>
        <w:t xml:space="preserve"> ، وإنما ينفذ في حق غيرهم</w:t>
      </w:r>
      <w:r>
        <w:rPr>
          <w:rFonts w:cs="Traditional Arabic" w:hint="cs"/>
          <w:sz w:val="28"/>
          <w:szCs w:val="32"/>
          <w:vertAlign w:val="superscript"/>
          <w:rtl/>
        </w:rPr>
        <w:t xml:space="preserve">( </w:t>
      </w:r>
      <w:r w:rsidRPr="00EC737F">
        <w:rPr>
          <w:rStyle w:val="ab"/>
          <w:rFonts w:cs="Traditional Arabic"/>
          <w:sz w:val="28"/>
          <w:szCs w:val="32"/>
          <w:rtl/>
        </w:rPr>
        <w:footnoteReference w:id="9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ثم أتى أخيراً تقنين المرافعات الحالي ، فنص في المادة 415 على ما يأتي : لا ينفذ تصرف المدين أو الحائز أو الكفيل العيني في العقار ، ولا ينفذ كذلك ما يترتب عليه من رهن أو اختصاص أو امتياز ، في حق الحاجزين ولو كانوا دائنين عاديي ، ولا في حق الدائنين المشار إليهم في المادة 417 ولا من حكم بإيقاع البيع عليه ، إذا كان التصرف أو الرهن أو الاختصاص $458 أو الامتياز قد حصل شهره بعد </w:t>
      </w:r>
      <w:r>
        <w:rPr>
          <w:rFonts w:cs="Traditional Arabic" w:hint="cs"/>
          <w:sz w:val="28"/>
          <w:szCs w:val="32"/>
          <w:rtl/>
        </w:rPr>
        <w:lastRenderedPageBreak/>
        <w:t>تسجيل تنبيه نزع الملكية" . ويفهم من هذا النص المعمول به الآن أن الدائن المرتهن إذا قيد بعد تسجيل تنبيه نزع الملكية ، لم ينفذ قيده في حق الدائن الحاجز ودائنين آخرين ذكرتهم المادة 405 مرافعات فيما رأينا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ومعنى ذلك أنه لا شك هنا أيضاً أن الدائن المرتهن لا يستطيع أن يقيد رهنه بعد تسجيل تبنيه نزع الملكية ، وأنه إذا قيد الرهن متأخراً إلى ذلك الوقت ، لم ينفذ القيد في حق دائنين معينين ذكرتهم المادة 405 مرافعات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207- الإعسار :</w:t>
      </w:r>
      <w:r>
        <w:rPr>
          <w:rFonts w:cs="Traditional Arabic" w:hint="cs"/>
          <w:sz w:val="28"/>
          <w:szCs w:val="32"/>
          <w:rtl/>
        </w:rPr>
        <w:t xml:space="preserve"> ولم يكن التقنين المدني السابق ينظم إعسار غير التاجر ، فلم يكن ممكناً قياس الإعسار على الإفلاس ، لأن النصوص الواردة في الإفلاس نصوص استثنائية لا يجوز تطبيقها في غير الإفلاس . واستخلص من ذلك أن إعسار المدين غير التاجر يس كإفلاس المدين التاجر ، ويبني على ذلك أن شهر إعسار المدين غير التاجر لم يكن يمنع من قيد الرهن ضده حتى بعد الحكم بشهر الإعسار</w:t>
      </w:r>
      <w:r>
        <w:rPr>
          <w:rFonts w:cs="Traditional Arabic" w:hint="cs"/>
          <w:sz w:val="28"/>
          <w:szCs w:val="32"/>
          <w:vertAlign w:val="superscript"/>
          <w:rtl/>
        </w:rPr>
        <w:t xml:space="preserve">( </w:t>
      </w:r>
      <w:r w:rsidRPr="00EC737F">
        <w:rPr>
          <w:rStyle w:val="ab"/>
          <w:rFonts w:cs="Traditional Arabic"/>
          <w:sz w:val="28"/>
          <w:szCs w:val="32"/>
          <w:rtl/>
        </w:rPr>
        <w:footnoteReference w:id="96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صدر التقنين المدني الجديد ، كان الإعسار منظماً فيه تنظيماً وافياً ، فحمل ذلك كثيراً من الفقهاء على القول بأنه متى شهر إعسار الشخص ، فإنه يمتنع قيد الرهن ضده</w:t>
      </w:r>
      <w:r>
        <w:rPr>
          <w:rFonts w:cs="Traditional Arabic" w:hint="cs"/>
          <w:sz w:val="28"/>
          <w:szCs w:val="32"/>
          <w:vertAlign w:val="superscript"/>
          <w:rtl/>
        </w:rPr>
        <w:t xml:space="preserve">( </w:t>
      </w:r>
      <w:r w:rsidRPr="00EC737F">
        <w:rPr>
          <w:rStyle w:val="ab"/>
          <w:rFonts w:cs="Traditional Arabic"/>
          <w:sz w:val="28"/>
          <w:szCs w:val="32"/>
          <w:rtl/>
        </w:rPr>
        <w:footnoteReference w:id="9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$459 ولكن كثيراً من الفقهاء المصريين يرون غير ذلك ، ويذهبون إلى أن شهر الإعسار أو تسجيل صحيفة دعوى الإعسار لا يمنع من قيد الرهن المعقود قبل ذلك</w:t>
      </w:r>
      <w:r>
        <w:rPr>
          <w:rFonts w:cs="Traditional Arabic" w:hint="cs"/>
          <w:sz w:val="28"/>
          <w:szCs w:val="32"/>
          <w:vertAlign w:val="superscript"/>
          <w:rtl/>
        </w:rPr>
        <w:t xml:space="preserve">( </w:t>
      </w:r>
      <w:r w:rsidRPr="00EC737F">
        <w:rPr>
          <w:rStyle w:val="ab"/>
          <w:rFonts w:cs="Traditional Arabic"/>
          <w:sz w:val="28"/>
          <w:szCs w:val="32"/>
          <w:rtl/>
        </w:rPr>
        <w:footnoteReference w:id="964"/>
      </w:r>
      <w:r>
        <w:rPr>
          <w:rFonts w:cs="Traditional Arabic" w:hint="cs"/>
          <w:sz w:val="28"/>
          <w:szCs w:val="32"/>
          <w:vertAlign w:val="superscript"/>
          <w:rtl/>
        </w:rPr>
        <w:t xml:space="preserve"> )</w:t>
      </w:r>
      <w:r>
        <w:rPr>
          <w:rFonts w:cs="Traditional Arabic" w:hint="cs"/>
          <w:sz w:val="28"/>
          <w:szCs w:val="32"/>
          <w:rtl/>
        </w:rPr>
        <w:t xml:space="preserve"> . ويقول الأستاذ منصور في هذا الصدد : "ففيما يتعلق بحالة إعسار الراهن يلاحظ أولا أنه إذا عقد الرهن نفسه بعد تسجيل صحيفة دعوى الإعسار ، فلا يسري في حق الدائنين وفقاً لنص المادة 257 . أما الخلاف فقد ثار في الفقه بشأن أثر القيد الذي يتم بعد تسجيل صحيفة الدعوى ، إذا كان الرهن قد انعقد قبل ذلك ، بالنسبة للدائنين السابقة حقوقهم على هذا التسجيل ، ففي رأي أن  مثل هذا الرهن لا ينفذ في حق هؤلاء الدائنين قياساً على عدم نفاذ حق الاختصاص الذي قررته المادة 256/2 بقولها على أنه لا يجوز أن يحتج على الدائنين الذين يكون لهم حقوق سابقة على تسجيل صحيفة الإعسار بأي اختصاص يقع على عقارات المدين بعد هذا التسجيل ، إذ أن الرهن لا يختلف ، وفقاً لهذا الرأي ، عن حق الاختصاص في هذا الصدد . وفي رأي آخر ، وهو الذي نفصله ، أن الرهن الذي ينعقد قبل تسجيل صحيفة دعوى الإعسار ويقيد بعده ينفذ في حق الدائنين السابقة حقوقهم على تسجيل صحيفة الدعوى ، وأن القياس على المادة 256/2 غير سليم ، فعلة عدم نفاذ حق الاختصاص الذي يتقرر $460 على عقارات المدين بعد تسجيل صحيفة دعوى إعساره لا تتوفر بالنسبة للرهن الرسمي الذي ينعقد قبل تسجيل صحيفة الدعوى ويقيد بعده . فقد أراد المشرع بتقرير عدم نفاذ حق الاختصاص تحقيق المساواة بين دائني المعسر ، ذلك أن الدائنين يبادرون عادة ، بمجرد شهر إعسار مدينهم ، إلى أخذ حقوق اختصاص على عقاراته عن طريق الإجراءات الفردية التي لم ينقطع حقهم فيها لكي يتقدموا على غيرهم . فحتى تتحقق المساواة بين الدائنين قضي القانون بألا يحتج على الدائنين الذي يكون لهم حقوق سابقة على تسجيل صحيفة دعوى الإعسار بأي اختصص يقع على عقاراته بعد هذا التسجيل . أما بالنسبة للرهن الذي انعقد قبل تسجيل صحيفة الدعوى ، أي في </w:t>
      </w:r>
      <w:r>
        <w:rPr>
          <w:rFonts w:cs="Traditional Arabic" w:hint="cs"/>
          <w:sz w:val="28"/>
          <w:szCs w:val="32"/>
          <w:rtl/>
        </w:rPr>
        <w:lastRenderedPageBreak/>
        <w:t>الوقت الذي كان المدين فيه حرصا في نشاطه القانوني فلا يوجد ما يستدعي عدم نفاذه في حق الدائنين إذا ما قيد بعد التسجيل ، لأن القيد لا يعتبر تصرفاً م المدين حتى يقال بعدم نفاذه"</w:t>
      </w:r>
      <w:r>
        <w:rPr>
          <w:rFonts w:cs="Traditional Arabic" w:hint="cs"/>
          <w:sz w:val="28"/>
          <w:szCs w:val="32"/>
          <w:vertAlign w:val="superscript"/>
          <w:rtl/>
        </w:rPr>
        <w:t xml:space="preserve">( </w:t>
      </w:r>
      <w:r w:rsidRPr="00EC737F">
        <w:rPr>
          <w:rStyle w:val="ab"/>
          <w:rFonts w:cs="Traditional Arabic"/>
          <w:sz w:val="28"/>
          <w:szCs w:val="32"/>
          <w:rtl/>
        </w:rPr>
        <w:footnoteReference w:id="9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وحسبنا هذا القول الأخير ، ونكتفي به في الرد على الفقهاء الذين يقولون إن تسجيل صحيفة دعوى الإعسار يمنع القيد . ومن رأينا أن الإعسار غير الإفلاس وأنه لم يرد نص يمنع القيد ، وهو يس بتصرف بل هو إجراء تحفظي محض ، بعد شهر صحيفة الإعسار أو بعد الحكم بالإعسار . إذا أريد التشبيه بالاختصاص ، فإن أخذ حق الاختصاص لا يعدل القيد ، فأخذ حق الاختصاص هو بمثابة أخذ حق الرهن ، وقيد الاختصاص هو الذي يعدل قيد الرهن . وقد فرضنا فيما تقدم أن الرهن ذاته مأخوذ قبل تسجيل صحيفة دعوى الإعسار وأن القيد وحده هو الذي تم بعد ذلك ، فلا معنى لهذا التشبيه ولا يكون صحيحاً إلا إذا كان حق الاختصاص قد أخذ قبل تسجيل صحيفة دعوى الإعسار والقيد وحده لحق الاختصاص هو الذي تم بعد تسجيل صحيفة دعوى الإعسار . ولما كان حق الاختصاص $461 في العادة يؤخذ ويقيد في وقت واحد ، فالمفروض أن حق الاختصاص قد أخذ بعد تسجيل صحيفة دعوى الإعسار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من ذلك يكون تسجيل صحيفة دعوى الإعسار ، بل والحكم نفسه بشهر الإعسار ، لا أثر له في قيد الرهن ، ويكون الرهن متى انعقد صحيحاً قبل تسجيل صحيفة دعوى الإعسار من الجائز قيده بعد تسجيل صحيفة هذه الدعوى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208- موت الراهن</w:t>
      </w:r>
      <w:r>
        <w:rPr>
          <w:rFonts w:cs="Traditional Arabic" w:hint="cs"/>
          <w:sz w:val="28"/>
          <w:szCs w:val="32"/>
          <w:rtl/>
        </w:rPr>
        <w:t xml:space="preserve"> : والمفروض هنا أن الدائن المرتهن قد كسب حق الرهن في حياة الراهن ولم يقيده ، ومات الراهن . فكثير من الفقهاء المصريين يذهبون إلى أن موت الراهن يمنع من قيد الرهن</w:t>
      </w:r>
      <w:r>
        <w:rPr>
          <w:rFonts w:cs="Traditional Arabic" w:hint="cs"/>
          <w:sz w:val="28"/>
          <w:szCs w:val="32"/>
          <w:vertAlign w:val="superscript"/>
          <w:rtl/>
        </w:rPr>
        <w:t xml:space="preserve">( </w:t>
      </w:r>
      <w:r w:rsidRPr="00EC737F">
        <w:rPr>
          <w:rStyle w:val="ab"/>
          <w:rFonts w:cs="Traditional Arabic"/>
          <w:sz w:val="28"/>
          <w:szCs w:val="32"/>
          <w:rtl/>
        </w:rPr>
        <w:footnoteReference w:id="966"/>
      </w:r>
      <w:r>
        <w:rPr>
          <w:rFonts w:cs="Traditional Arabic" w:hint="cs"/>
          <w:sz w:val="28"/>
          <w:szCs w:val="32"/>
          <w:vertAlign w:val="superscript"/>
          <w:rtl/>
        </w:rPr>
        <w:t xml:space="preserve"> )</w:t>
      </w:r>
      <w:r>
        <w:rPr>
          <w:rFonts w:cs="Traditional Arabic" w:hint="cs"/>
          <w:sz w:val="28"/>
          <w:szCs w:val="32"/>
          <w:rtl/>
        </w:rPr>
        <w:t xml:space="preserve"> . </w:t>
      </w:r>
      <w:r>
        <w:rPr>
          <w:rFonts w:cs="Traditional Arabic" w:hint="cs"/>
          <w:sz w:val="28"/>
          <w:szCs w:val="32"/>
          <w:rtl/>
        </w:rPr>
        <w:lastRenderedPageBreak/>
        <w:t>غير أن كثيراً من الفقهاء المصريين لا يرون موت الراهن سبباً لمنع القيد ، وأنه يجوز $462 قيد الرهن الذي انعقد صحيحاً في حياة الراهن حتى بعد وفاته</w:t>
      </w:r>
      <w:r>
        <w:rPr>
          <w:rFonts w:cs="Traditional Arabic" w:hint="cs"/>
          <w:sz w:val="28"/>
          <w:szCs w:val="32"/>
          <w:vertAlign w:val="superscript"/>
          <w:rtl/>
        </w:rPr>
        <w:t xml:space="preserve">( </w:t>
      </w:r>
      <w:r w:rsidRPr="00EC737F">
        <w:rPr>
          <w:rStyle w:val="ab"/>
          <w:rFonts w:cs="Traditional Arabic"/>
          <w:sz w:val="28"/>
          <w:szCs w:val="32"/>
          <w:rtl/>
        </w:rPr>
        <w:footnoteReference w:id="967"/>
      </w:r>
      <w:r>
        <w:rPr>
          <w:rFonts w:cs="Traditional Arabic" w:hint="cs"/>
          <w:sz w:val="28"/>
          <w:szCs w:val="32"/>
          <w:vertAlign w:val="superscript"/>
          <w:rtl/>
        </w:rPr>
        <w:t xml:space="preserve"> )</w:t>
      </w:r>
      <w:r>
        <w:rPr>
          <w:rFonts w:cs="Traditional Arabic" w:hint="cs"/>
          <w:sz w:val="28"/>
          <w:szCs w:val="32"/>
          <w:rtl/>
        </w:rPr>
        <w:t xml:space="preserve"> . ويقول الأستاذ منصور مصطفى منصور في هذا الصدد : "كما ثار الخلاف أيضاً حلو أثر قيد الرهن إذا تم بعد وفاة الراهن : ففي رأي أنه لا ينفذ في حق الدائنين الآخرين للمتوفي ، فيكون الدائن المرتهن الذي لم يقيد رهنه قبل وفاة المورث في مركز الدائن العادي ، إذ لا يجوز أن يتميز دائن على غيره من الدائنين بسبب لاحق للوفاة . وفي رأي آخر ، وهو ما نفضله ، أن القيد لا يعدو أن يكون إجراء لشهر الرهن ، وما دام هذا الرهن قد نشأ صحيحاً فلا تحول الوفاة دون إجرائه ، فإذا تم نفذ الرهن في حق الدائنين"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68"/>
      </w:r>
      <w:r>
        <w:rPr>
          <w:rFonts w:cs="Traditional Arabic" w:hint="cs"/>
          <w:sz w:val="28"/>
          <w:szCs w:val="32"/>
          <w:vertAlign w:val="superscript"/>
          <w:rtl/>
        </w:rPr>
        <w:t xml:space="preserve"> )</w:t>
      </w:r>
      <w:r>
        <w:rPr>
          <w:rFonts w:cs="Traditional Arabic" w:hint="cs"/>
          <w:sz w:val="28"/>
          <w:szCs w:val="32"/>
          <w:rtl/>
        </w:rPr>
        <w:t xml:space="preserve"> . ويقول الاستذا شمس الدين الوكيل انتقاداً للرأي الأول : "ويؤخذ على هذا الرأي أنه ينكر الأثر القانوني العام الذي يترتب على عقد الرهن . إذ يتقرر للدائن بمقتضاه حق عيني على العقار ، ولا ينقص هذا الحق حتى يسري في مواجهة الغير إلا أن يتم قيده . والأصل أن الراهن يلتزم بتيسير إجراء هذا القيد . فإن امتنع عن ذلك ، جاز للدائن أن يباشر بنفسه إن أمكن ذلك ، وأن يستعين بالقضاء في الأحوال التي يلتزم فيها تدخل الراهن . هذا الالتزام ينتقل بأكمله </w:t>
      </w:r>
      <w:r>
        <w:rPr>
          <w:rFonts w:cs="Traditional Arabic" w:hint="cs"/>
          <w:sz w:val="28"/>
          <w:szCs w:val="32"/>
          <w:rtl/>
        </w:rPr>
        <w:lastRenderedPageBreak/>
        <w:t>إلى ورثة الراهن بعد وفاته ، ومن ثم يستمر حق الدائن المرتهن قائماً على العقار ، ويحق له أن يطالب بقيده . فإذا تم ذلك ، وجب القول بسريان هذا القيد في مواجهة جميع دائني المورث"</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6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ونكتفي بما تقدم ، ونقول إن موت الراهن لا يؤثر في هذا الإجراء التحفظي الذي هو القيد ، ولم يرد نص في القانون يجعل وفاة الراهن سبباً لحرمان الدائن المرتهن من قيد رهنه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$463 وعلى ذلك لا يكون إعسار الراهن ولا موته سبباً في منع القيد ، بل يجوز الرهن حتى بعد تسجيل صحيفة دعوى إعسار الراهن ، وحتى بعد وفاة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يمنع من قيد الرهن إلا إحدى الحادثين الاثنتين لورود نص صريح يمنع القيد : إفلاس الراهن ، وتسجيل تنبيه نزع الملكية الصادر من دائن حاجز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209- ما يضمنه القيد الأصلي من المصروفات</w:t>
      </w:r>
      <w:r>
        <w:rPr>
          <w:rFonts w:cs="Traditional Arabic" w:hint="cs"/>
          <w:sz w:val="28"/>
          <w:szCs w:val="32"/>
          <w:rtl/>
        </w:rPr>
        <w:t xml:space="preserve"> : الأصل أن قيد الرهن يضمن ، دون حاجة لذكر ذلك ، أصل الدين المضمون بالرهن ، ومصروفات عقد الرهن ومصروفات القد ومصروفات التجديد ، وكذل الفوائد وسيأتي ذكرها فيما يلي . ويأخذ ضمان أصل الدين وضمان المصروفات ( مصروفات العقد والقيد والتجديد ) المرتبة الأصلي للرهن ، دون حاجة لذكر ذلك أيضاً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الفقرة الأولى من المادة 1058 مدني ، في هذا المعنى ، ما يأتي : "يترتب على قيد الرهن إدخال مصروفات العقد والقيد والتجديد إدخالا ضمنياً في التوزيع ، وفي مرتبة الرهن نفسها"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وعلى ذلك تكون مصروفات عقد الرهن ومصروفات القيد والتجديد مضمونة بالرهن في مرتبة الأصلية ، دون حاجة لذر ذلك في قائم القيد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$464 وذلك لتفاهة هذه المصروفات بالنسبة إلى أصل الدين المضمون . ولا يدخل في المصروفات المضمونة بالقيد الأصلي مصروفات محو القيد ولا مصروفات إلغاء المحو ، فهذه سيأتي ذكرها فيما يلي . ولكن يدخل التعويض عن أصل الدين المضمون ، فإنه قد حل محل الدين المضمون ذاته ، فيأخذ حكمه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سائر الملحقان غير مصروفات العقد والقيد والتجديد ، فلا تكون مضمونة بالرهن دون ذكر خاص الشرط الجزائي المشترط في العقد ، أو التعويض المشترط دفعه في حالة الوفاء قبل الميعاد ، فلا بد لضمان ذلك بالرهن من النص عليها صراحة في القيد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والملحقات التي لا بد من النص عليها صراحة حتى تكون مضمونة بالرهن ، إذا لم ينص عليها ، جاز إجراء قيد خاص بها ، ويأخذ هذا القيد مرتبته من تاريخ إجرائه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ويبقى بعد ذلك الفوائد ، فهذه قد يضمن بعضها القيد الأصلي للرهن دون ذكر خاص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210- ما يضمنه القيد الأصلي من الفوائد</w:t>
      </w:r>
      <w:r>
        <w:rPr>
          <w:rFonts w:cs="Traditional Arabic" w:hint="cs"/>
          <w:sz w:val="28"/>
          <w:szCs w:val="32"/>
          <w:rtl/>
        </w:rPr>
        <w:t xml:space="preserve"> : نصت المادة 1058/2 مدني على ما يأتي :</w:t>
      </w:r>
    </w:p>
    <w:p w:rsidR="00F72742" w:rsidRPr="00C26E6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ذكر سعر الفائدة في العقد ، فإنه يترتب على قيد الرهن أن يدخل في التوزيع مع أصل الدين وفي نفس مرتبة الرهن فوائد السنتين السابقتين على تسجيل تنبيه نزع الملكية والفوائد التي تستحق من هذا التاريخ إلى يوم رسو المزاد ، دون مساس بالقيود الخاصة التي تؤخذ ضماناً لفوائد أخرى $465 قد استحقت والتي تحسب مرتبتها من وقت إجرائها . وإذا سجل أحد الدائنين تنبيه نزع الملكية ، انتفع سائر </w:t>
      </w:r>
      <w:r>
        <w:rPr>
          <w:rFonts w:cs="Traditional Arabic" w:hint="cs"/>
          <w:sz w:val="28"/>
          <w:szCs w:val="32"/>
          <w:rtl/>
        </w:rPr>
        <w:lastRenderedPageBreak/>
        <w:t>الدائنين  بهذا التسجيل"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هذا النص أنه يجب التمييز بين حالتين : ( 1 ) حالة ما إذا لم يذكر سعر الفائدة في العقد . ( 2 ) حال ما إذا ذكر هذا السعر . وقد لا يذكر سعر  الفائدة ، ولكن تذكر الفوائد المستحقة نفسها أي مقدارها ، فتكون مضمونة بالرهن وفي نفس مرتبته لأنها مذكورة في العقد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الحالة الأولى ) إذا لم يذكر سعر الفائدة في العقد . عند ذلك لا يضمن القيد الأصلي شيئاً من الفوائد ، بل يفرض أن الدين الأصلي لا فوائد له . وعلى ذلك إذا كان للدين فوائد ، سواء كانت مستحقة وقت القيد ، أو استحقت بعد ذلك إلى يوم تسجيل تنبيه نع الملكية ، أو استحقت من يوم تسجيل تنبيه نع الملكية إلى يوم رسو المزاد ، أو إلى يوم التوزيع ، فإن القيد لا يضمن شيئاً من ذلك . بل يجب ذكر هذه الفوائد في العقد ، أو إجراء قيد خاص بها ويأخذ مرتبته من تاريخ إجرائه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الحالة الثانية ) إذا ذكر سعر الفائدة في العقد . فذكر سعر الفائدة دليل على أن الدين ينتج فوائد . وعلى ذلك يضم القيد الأصلي ، دون حاجة $466 إلى ذكر ذلك ، فوائد السنتين السابقتين على تسجي تنبيه نزع الملكية ، وكذلك الفوائد التي تستحق بعد ذلك من يوم تسجيل تنبيه نع الملكية إلى يوم </w:t>
      </w:r>
      <w:r>
        <w:rPr>
          <w:rFonts w:cs="Traditional Arabic" w:hint="cs"/>
          <w:sz w:val="28"/>
          <w:szCs w:val="32"/>
          <w:rtl/>
        </w:rPr>
        <w:lastRenderedPageBreak/>
        <w:t>رسو المزاد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7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ما يأتي في هذه الحالة الثانية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بالنسبة إلى تسجيل تنبيه نزع الملكية إذا صدر تبنيه نزع الملكية وسجل من أحد الدائنين ، انتفع بذلك سائر الدائنين . وتقول المادة 1058/2 مدني في آخرها في هذا المعنى : "وإذا سجل أحد الدائنين تنبيه نزع الملكية ، انتفع سائر الدائنين بهذا التسجيل" . ومعنى ذلك أنه إذا وجد إلى جانب الدائن المرتهن دائنان عاديان ، وتولى أحد هذين الدائنين التنبيه بنزع الملكية وسجل التنبيه ، فإن الدائن المرتهن ينتفع بهذا التنبيه ، وتكونن الفوائد المضمونة بالنسبة إليه فوائد سنتين سابقتين على هذا التسجيل لتنبيه نع الملكية والفوائد المستحقة بعد ذلك إلى يوم رسو المزاد ، ولو أن هذا الدائن المرتهن نفسه لم يقم بتنبيه نزع الملكية ولم يسجل هذا التنبيه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لم يبين التقنين المدني السابق ( 568 ) أية سنتين سابقتين على تسجيل تنبيه نزع الملكية يكونان مضمونتين بالقيد الأصلي ، وقد ذهبت كثرة الشراح والمحاكم إلى أن القيد الأصلي يضمن فوائد أية سنتين</w:t>
      </w:r>
      <w:r>
        <w:rPr>
          <w:rFonts w:cs="Traditional Arabic" w:hint="cs"/>
          <w:sz w:val="28"/>
          <w:szCs w:val="32"/>
          <w:vertAlign w:val="superscript"/>
          <w:rtl/>
        </w:rPr>
        <w:t xml:space="preserve">( </w:t>
      </w:r>
      <w:r w:rsidRPr="00EC737F">
        <w:rPr>
          <w:rStyle w:val="ab"/>
          <w:rFonts w:cs="Traditional Arabic"/>
          <w:sz w:val="28"/>
          <w:szCs w:val="32"/>
          <w:rtl/>
        </w:rPr>
        <w:footnoteReference w:id="977"/>
      </w:r>
      <w:r>
        <w:rPr>
          <w:rFonts w:cs="Traditional Arabic" w:hint="cs"/>
          <w:sz w:val="28"/>
          <w:szCs w:val="32"/>
          <w:vertAlign w:val="superscript"/>
          <w:rtl/>
        </w:rPr>
        <w:t xml:space="preserve"> )</w:t>
      </w:r>
      <w:r>
        <w:rPr>
          <w:rFonts w:cs="Traditional Arabic" w:hint="cs"/>
          <w:sz w:val="28"/>
          <w:szCs w:val="32"/>
          <w:rtl/>
        </w:rPr>
        <w:t xml:space="preserve"> . ولكن التقنين المدني الجديد نص في المادة 1058/2 منه على "فوائد السنتين $467 السابقتين على تسجيل تنبيه نزع الملكية" ، فأصبح لا مجال لاختلاف الرأي في أن السنتين هما السنتان السابقتان مباشرة على تسجيل تنبيه نزع الملكية ، أما ما عدا هاتين السنتين ، أي السنين السابقة على ذلك ، فلا يضمنها القيد الأصلي ، بلا بد من إجراء قيد خاص بها ومن تاريخ هذا القيد . وعلى ذلك يحتاط الدائن المرتهن ، ولا يجعل الفوائد تتراكم أكثر من سنتين ، وإلا ما زاد على السنتين لا يكون مضموناً </w:t>
      </w:r>
      <w:r>
        <w:rPr>
          <w:rFonts w:cs="Traditional Arabic" w:hint="cs"/>
          <w:sz w:val="28"/>
          <w:szCs w:val="32"/>
          <w:rtl/>
        </w:rPr>
        <w:lastRenderedPageBreak/>
        <w:t>بالقيد الأصلي . فهو إما أن يتقاضى هذه الفوائد الزائدة على سنتين ، وإما أن يجري بها قيداً خاصاً يأخذ مرتبته من تاريخ هذا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يضمن القيد الأصلي الفوائد  مهما بلغت ، إذا كان سعرها مذكوراً في القيد ، ومن يوم تسجيل تنبيه نزع الملكية إلى يوم رسو المزاد . وكان التقنين المدني السابق يجعل القيد الأصلي يضمن الفوائد من وقت تسجيل تنبيه نزع الملكية إلى وقت توزيع ثمن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978"/>
      </w:r>
      <w:r>
        <w:rPr>
          <w:rFonts w:cs="Traditional Arabic" w:hint="cs"/>
          <w:sz w:val="28"/>
          <w:szCs w:val="32"/>
          <w:vertAlign w:val="superscript"/>
          <w:rtl/>
        </w:rPr>
        <w:t xml:space="preserve"> )</w:t>
      </w:r>
      <w:r>
        <w:rPr>
          <w:rFonts w:cs="Traditional Arabic" w:hint="cs"/>
          <w:sz w:val="28"/>
          <w:szCs w:val="32"/>
          <w:rtl/>
        </w:rPr>
        <w:t xml:space="preserve"> . ولم يخول التقنين المدني الجديد المقبولين في التوزيع حقاً في فوائد تأخيرية بعد رسو المزاد رأفة بالمدين أو الراهن ، فإذا كان الراسي عليه المزاد ملزماً بدفع فائدة الثمن ، أو كانت خزانة المحكمة ملزمة بهذه الفوائد بسبب إيداع الثمن فيها ، كان للدائنين المقبولين في التوزيع حق في هذه الفوائد على ألا يجاوز ما يتقاضونه من فوائد ما هو مستحق منها قبل الراسي عليه المزاد أو خزانة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979"/>
      </w:r>
      <w:r>
        <w:rPr>
          <w:rFonts w:cs="Traditional Arabic" w:hint="cs"/>
          <w:sz w:val="28"/>
          <w:szCs w:val="32"/>
          <w:vertAlign w:val="superscript"/>
          <w:rtl/>
        </w:rPr>
        <w:t xml:space="preserve"> )</w:t>
      </w:r>
      <w:r>
        <w:rPr>
          <w:rFonts w:cs="Traditional Arabic" w:hint="cs"/>
          <w:sz w:val="28"/>
          <w:szCs w:val="32"/>
          <w:rtl/>
        </w:rPr>
        <w:t xml:space="preserve"> .</w:t>
      </w:r>
    </w:p>
    <w:p w:rsidR="00F72742" w:rsidRPr="00E9396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( 4 ) ما عدا ذلك من فوائد لا يضمنه القيد الأصلي ، حتى لو ذكر في العقد سعر الفائدة . وإنما يجب في هذه الحالة إجراء قيد خاص بهذه $468  الفوائد ، يأخذ مرتبته من وقت إجراء القيد الخاص . وتقول المادة 1058/2 مدني في هذا المعنى : "دون مساس بالقيود الخاصة التي تؤخذ ضماناً لفوائد أخرى قد استحقت ، والتي تحسب مرتبتها من وقت إجرائها"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211- اليود المصححة</w:t>
      </w:r>
      <w:r>
        <w:rPr>
          <w:rFonts w:cs="Traditional Arabic" w:hint="cs"/>
          <w:sz w:val="28"/>
          <w:szCs w:val="32"/>
          <w:rtl/>
        </w:rPr>
        <w:t xml:space="preserve"> : وقد يقع أن يجري قيد ، ويكون غير صحيح أو غير منضبط . عند ذلك لا يقوم هذا القيد بمهمته ، ويجب تصحيحه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ولتصحيح القد يجب إجراء قيد جديد ، يكون صحيحاً من أول الأمر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ويلاحظ أن هذا القيد المصحح لا يكون له أثر إلا بالنسبة إلى المستقبل ، فلا يكون له أثر رجعي </w:t>
      </w:r>
      <w:r>
        <w:rPr>
          <w:rFonts w:cs="Traditional Arabic" w:hint="cs"/>
          <w:sz w:val="28"/>
          <w:szCs w:val="32"/>
          <w:rtl/>
        </w:rPr>
        <w:lastRenderedPageBreak/>
        <w:t>يرجع إلى تاريخ القيد الذي أجرى تصحيحه ، فإن هذا القيد القديم الخاطئ أصبح لا يعتد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حوي القيد المصحح الجديد كل البيانات المطلوبة للقيد ، وأصبح قيداً صحيحاً ، فإن قوته تكون مستقلة عن القيد الأول الخاطئ . فيحسب مثلا ميعاد العشرة السنوات التي يجب تجديد القيد قبل انقضائها ، اعتباراً بالقيد المصحح الجديد لا بالقيد القديم . فإذا كان قد مضي على القيد أكثر من عشر سنوات ، ولم يمض على القيد المصحح الجديد إلا تسع سنوات ، أمكن تجديد هذا القيد المصحح الجديد قبل انقضاء سنة ، ولا عبرة بانقضاء أكثر من عشر سنوات على القيد القديم غير المصحح</w:t>
      </w:r>
      <w:r>
        <w:rPr>
          <w:rFonts w:cs="Traditional Arabic" w:hint="cs"/>
          <w:sz w:val="28"/>
          <w:szCs w:val="32"/>
          <w:vertAlign w:val="superscript"/>
          <w:rtl/>
        </w:rPr>
        <w:t xml:space="preserve">( </w:t>
      </w:r>
      <w:r w:rsidRPr="00EC737F">
        <w:rPr>
          <w:rStyle w:val="ab"/>
          <w:rFonts w:cs="Traditional Arabic"/>
          <w:sz w:val="28"/>
          <w:szCs w:val="32"/>
          <w:rtl/>
        </w:rPr>
        <w:footnoteReference w:id="980"/>
      </w:r>
      <w:r>
        <w:rPr>
          <w:rFonts w:cs="Traditional Arabic" w:hint="cs"/>
          <w:sz w:val="28"/>
          <w:szCs w:val="32"/>
          <w:vertAlign w:val="superscript"/>
          <w:rtl/>
        </w:rPr>
        <w:t xml:space="preserve"> )</w:t>
      </w:r>
      <w:r>
        <w:rPr>
          <w:rFonts w:cs="Traditional Arabic" w:hint="cs"/>
          <w:sz w:val="28"/>
          <w:szCs w:val="32"/>
          <w:rtl/>
        </w:rPr>
        <w:t xml:space="preserve"> .</w:t>
      </w:r>
    </w:p>
    <w:p w:rsidR="00F72742" w:rsidRPr="00C56315"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C56315">
        <w:rPr>
          <w:rFonts w:cs="Traditional Arabic" w:hint="cs"/>
          <w:b/>
          <w:bCs/>
          <w:sz w:val="28"/>
          <w:szCs w:val="32"/>
          <w:rtl/>
        </w:rPr>
        <w:t>2- تجديد القيد</w:t>
      </w:r>
    </w:p>
    <w:p w:rsidR="00F72742" w:rsidRPr="00C56315" w:rsidRDefault="00F72742" w:rsidP="00F72742">
      <w:pPr>
        <w:widowControl w:val="0"/>
        <w:spacing w:after="120"/>
        <w:jc w:val="center"/>
        <w:rPr>
          <w:rFonts w:cs="Traditional Arabic" w:hint="cs"/>
          <w:b/>
          <w:bCs/>
          <w:sz w:val="28"/>
          <w:szCs w:val="32"/>
          <w:rtl/>
        </w:rPr>
      </w:pPr>
      <w:r>
        <w:rPr>
          <w:rFonts w:cs="Traditional Arabic"/>
          <w:b/>
          <w:bCs/>
          <w:sz w:val="28"/>
          <w:szCs w:val="32"/>
          <w:rtl/>
        </w:rPr>
        <w:t xml:space="preserve">( </w:t>
      </w:r>
      <w:r w:rsidRPr="00C56315">
        <w:rPr>
          <w:rFonts w:cs="Traditional Arabic"/>
          <w:b/>
          <w:bCs/>
          <w:sz w:val="28"/>
          <w:szCs w:val="32"/>
        </w:rPr>
        <w:t>Renovellement de l'inseription</w:t>
      </w:r>
      <w:r>
        <w:rPr>
          <w:rFonts w:cs="Traditional Arabic"/>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212- وجوب تجديد القيد كل عشر سنوات</w:t>
      </w:r>
      <w:r>
        <w:rPr>
          <w:rFonts w:cs="Traditional Arabic" w:hint="cs"/>
          <w:sz w:val="28"/>
          <w:szCs w:val="32"/>
          <w:rtl/>
        </w:rPr>
        <w:t xml:space="preserve"> : تنص المادة 43 من قانون تنظيم الشهر العقاري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$469 "ويسقط القيد إذا لم يجدد في خلال عشر سنوات من تاريخ إجرائه . على أن للدائن أن يجري قيداً جديداً إن أمكن ذلك قانوناً ، تكون مرتبته م وقت إجرائه . وكل تجديد لا يكون له أثر إلا لمدة عشر سنوات من التاريخ الذي أجرى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ويفهم من هذا النص أنه لا يكفي إجراء القد مرة واحدة ، بل إن الرهن إذا بقي أكثر من عشر سنوات فإنه يجب تجديده كل عشر سنوات . والتجديد واجب كما يقول النص خلال عشر سنوات من تاريخ إجراء القيد ، أو م تاريخ إجراء التجديد . ومعنى ذلك أنه ليس من المحتم أن ينتظر الدائن المرتهن قرب انتهاء العشر السنوات حتى يجري التجديد ، بل إنه يستطيع خلال عشر سنوات من تاريخ إجراء القيد تجديده . فلو فرض أن دائناً مرتهناً أجرى القيد في أول يناير سنة 1970 فإنه يستطيع التجديد في أول يناير سنة 1971 أي بعد سنة واحدة من إجراء القيد بل يستطيع التجديد في خلال المدة من أول </w:t>
      </w:r>
      <w:r>
        <w:rPr>
          <w:rFonts w:cs="Traditional Arabic" w:hint="cs"/>
          <w:sz w:val="28"/>
          <w:szCs w:val="32"/>
          <w:rtl/>
        </w:rPr>
        <w:lastRenderedPageBreak/>
        <w:t>يناير سنة 1970 إلى آخر ديسمبر سنة 1979 ، أي خلال العشر السنوات من وقت إجراء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والمدة هنا تحسب بالتاريخ الميلادي ، فقد نصت المادة 3 مدني على أن "تحسب المواعيد بالتقويم الميلادي ، ما لم ينص القانون على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213- حساب الميعاد في تجديد القيد</w:t>
      </w:r>
      <w:r>
        <w:rPr>
          <w:rFonts w:cs="Traditional Arabic" w:hint="cs"/>
          <w:sz w:val="28"/>
          <w:szCs w:val="32"/>
          <w:rtl/>
        </w:rPr>
        <w:t xml:space="preserve"> : وفي تجديد القيد يحسب ميعاد تجديد التجديد عشر سنوات من وقت التجديد ، لا من وقت القد الأصلي . فلو أن دائناً مرتهناً أجرى القيد لأول مرة في أول يناير سنة 1970 ، وجدد القيد في أول يناير سنة 1975 ، فإنه يلزمه تجديد التجديد لغاية أول يناير سنة 1985 ، لأن هذا اليوم هو آخر يوم في العشر السنوات التي يبقى فيها التجديد صحيحاً</w:t>
      </w:r>
      <w:r>
        <w:rPr>
          <w:rFonts w:cs="Traditional Arabic" w:hint="cs"/>
          <w:sz w:val="28"/>
          <w:szCs w:val="32"/>
          <w:vertAlign w:val="superscript"/>
          <w:rtl/>
        </w:rPr>
        <w:t xml:space="preserve">( </w:t>
      </w:r>
      <w:r w:rsidRPr="00EC737F">
        <w:rPr>
          <w:rStyle w:val="ab"/>
          <w:rFonts w:cs="Traditional Arabic"/>
          <w:sz w:val="28"/>
          <w:szCs w:val="32"/>
          <w:rtl/>
        </w:rPr>
        <w:footnoteReference w:id="981"/>
      </w:r>
      <w:r>
        <w:rPr>
          <w:rFonts w:cs="Traditional Arabic" w:hint="cs"/>
          <w:sz w:val="28"/>
          <w:szCs w:val="32"/>
          <w:vertAlign w:val="superscript"/>
          <w:rtl/>
        </w:rPr>
        <w:t xml:space="preserve"> )</w:t>
      </w:r>
      <w:r>
        <w:rPr>
          <w:rFonts w:cs="Traditional Arabic" w:hint="cs"/>
          <w:sz w:val="28"/>
          <w:szCs w:val="32"/>
          <w:rtl/>
        </w:rPr>
        <w:t xml:space="preserve"> . ولا يجوز القول بأنه كان له الحق في أن يجري التجديد $470 في أول يناير سنة 1980 ، لأننا نكون في هذه الحالة قد اعتددنا بوقت القيد والواجب الاعتداد بوقت التجديد وهو أول يناير سنة 1975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ويسري الميعاد ، في القيد الأول وفي تجديده ، ابتداء من اليوم التالي لإجراء القيد ، ويحسب اليوم الأخير ولو كان يوم عيد</w:t>
      </w:r>
      <w:r>
        <w:rPr>
          <w:rFonts w:cs="Traditional Arabic" w:hint="cs"/>
          <w:sz w:val="28"/>
          <w:szCs w:val="32"/>
          <w:vertAlign w:val="superscript"/>
          <w:rtl/>
        </w:rPr>
        <w:t xml:space="preserve">( </w:t>
      </w:r>
      <w:r w:rsidRPr="00EC737F">
        <w:rPr>
          <w:rStyle w:val="ab"/>
          <w:rFonts w:cs="Traditional Arabic"/>
          <w:sz w:val="28"/>
          <w:szCs w:val="32"/>
          <w:rtl/>
        </w:rPr>
        <w:footnoteReference w:id="9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Pr>
          <w:rFonts w:cs="Traditional Arabic" w:hint="cs"/>
          <w:b/>
          <w:bCs/>
          <w:sz w:val="28"/>
          <w:szCs w:val="32"/>
          <w:rtl/>
        </w:rPr>
        <w:t>214- الحكمة في التجديد</w:t>
      </w:r>
      <w:r>
        <w:rPr>
          <w:rFonts w:cs="Traditional Arabic" w:hint="cs"/>
          <w:sz w:val="28"/>
          <w:szCs w:val="32"/>
          <w:rtl/>
        </w:rPr>
        <w:t xml:space="preserve"> : وقد رأي المشرع ، تسهيلا لمهمة الباحث ، أن يوجبه تجديد القيد كل عشر سنوات . ذلك أنه ما دام القيد لا يصلح منتجاً لأثره إلا لمدة عشر سنوات ، فما على الباحث الذي يريد تحري مركز العقار من حيث القيود إلا أن بحث لمدة عش رسنوات فقط ، فإذا كان هناك قيد أجري منذ أكثر من عشر سنوات ولم يجدد فإنه يكون معدوم الأثر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وهذا الاعتبار لا يكفي وحده ، لأنه لا يتحقق في التسجيل . ولم يشترط المشرع وجوب تجديد التسجيل كل مدة معينة ، بل اوجب التسجيل مرة واحدة . فالباحث عن التسجيل لا يبحث لمدة عشر سنوات فحسب ، ولا لمدة عشرين سنة ، بل يجب أن يبحث كل تسجيل ولو أجرى منذ ثلاثين سنة أو أربعين أو أكثر ، ولا يقف بحثه إلا إذا كان العقار في يد حائز وخلفائه لمدة خمسة عشرة سنة ، فإنه يقف </w:t>
      </w:r>
      <w:r>
        <w:rPr>
          <w:rFonts w:cs="Traditional Arabic" w:hint="cs"/>
          <w:sz w:val="28"/>
          <w:szCs w:val="32"/>
          <w:rtl/>
        </w:rPr>
        <w:lastRenderedPageBreak/>
        <w:t>عند ذلك ويعتبر أن هذا الحائز قد تملك العقار بالتقادم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ولهذا تكون الحكمة في التجديد حماية الملكية العقارية ، فقد يحدث أن ينقضي الدين المضمون بالرهن ، ويهمل صاحب الشأن شطب القيد ، فقضي المشرع أنه إذا انقضى على هذا القيد عشر سنوات ولم يجدد ، فإن القيد بسقط . وبناء على ذلك يستطيع الدائن المرتهن ألا يشطب القيد ، معتمداً عل سقوطه بعد عشر سنوات</w:t>
      </w:r>
      <w:r>
        <w:rPr>
          <w:rFonts w:cs="Traditional Arabic" w:hint="cs"/>
          <w:sz w:val="28"/>
          <w:szCs w:val="32"/>
          <w:vertAlign w:val="superscript"/>
          <w:rtl/>
        </w:rPr>
        <w:t xml:space="preserve">( </w:t>
      </w:r>
      <w:r w:rsidRPr="00EC737F">
        <w:rPr>
          <w:rStyle w:val="ab"/>
          <w:rFonts w:cs="Traditional Arabic"/>
          <w:sz w:val="28"/>
          <w:szCs w:val="32"/>
          <w:rtl/>
        </w:rPr>
        <w:footnoteReference w:id="983"/>
      </w:r>
      <w:r>
        <w:rPr>
          <w:rFonts w:cs="Traditional Arabic" w:hint="cs"/>
          <w:sz w:val="28"/>
          <w:szCs w:val="32"/>
          <w:vertAlign w:val="superscript"/>
          <w:rtl/>
        </w:rPr>
        <w:t xml:space="preserve"> )</w:t>
      </w:r>
      <w:r>
        <w:rPr>
          <w:rFonts w:cs="Traditional Arabic" w:hint="cs"/>
          <w:sz w:val="28"/>
          <w:szCs w:val="32"/>
          <w:rtl/>
        </w:rPr>
        <w:t xml:space="preserve"> .</w:t>
      </w:r>
    </w:p>
    <w:p w:rsidR="00F72742" w:rsidRPr="000132E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$471 وفي البلاد التي تأخذ بنظام السجل العيني ، لا يوجد داع لتجديد مدة لسريان القيد ، فإن القيد يتسمر نافذاً ، ولو لمدة تزيد على عشر سنوات ، إلى أن يؤشر بمحوه . وقيد الرهن ( وغيره من الحقوق العينية التبعية ) يكون في السجل العقاري في صفحة خاصة بالعقار المرهون ، فيسهل بمجرد الاطلاع على هذه الصفحة معرفة حقيقة مركز العقار م حيث القيود والتسجيلات وغير ذلك ، فلا يوجد داع لإسقاط القيد إذا لم يجدد كل عشر سنوات وقد نص كل من القانون اللماني والقانون السويسري على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215- جزاء التجديد</w:t>
      </w:r>
      <w:r>
        <w:rPr>
          <w:rFonts w:cs="Traditional Arabic" w:hint="cs"/>
          <w:sz w:val="28"/>
          <w:szCs w:val="32"/>
          <w:rtl/>
        </w:rPr>
        <w:t xml:space="preserve"> : وإذا أجري قيد ، وجدد في خلال العشر النسوات من وقت إجرائه ، فإن القيد يبقى حافظاً لآثاره عن طريق التجديد ، وتكون مرتبة التجديد ، وكل تجديد آخر يتلوه في الميعاد القانوني ، هي نفس مرتبة القيد الأصلي ، وبذلك يستطيع الدائن المرتهن ، عن طريق التجديد ، أن يحتفظ بمرتبته الأصلية لا ينزل عنها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شك في أن هذه مزية كبرى ، إذ يستطيع الدائن المرتهن ، إذا كان أجل استحقاق حقه طويلا كما في الديون طويلة الأجل التي تلجأ بعض البنوك إلى التعامل بها ، أن يحتفظ بمرتبته الأصلية مدة عشرين سنة أو ثلاثين أو أربعين أو أكثر من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216- جزءا عدم التجديد</w:t>
      </w:r>
      <w:r>
        <w:rPr>
          <w:rFonts w:cs="Traditional Arabic" w:hint="cs"/>
          <w:sz w:val="28"/>
          <w:szCs w:val="32"/>
          <w:rtl/>
        </w:rPr>
        <w:t xml:space="preserve"> : وإذا لم يجدد القيد خلال العشر السنوات من وقت إجرائه ، ترتب على ذلك سقوط القد وانعدام أثره ، فتضيع مرتبة الدين التي يكون القيد قد حفظها . وقد قضت محكمة </w:t>
      </w:r>
      <w:r>
        <w:rPr>
          <w:rFonts w:cs="Traditional Arabic" w:hint="cs"/>
          <w:sz w:val="28"/>
          <w:szCs w:val="32"/>
          <w:rtl/>
        </w:rPr>
        <w:lastRenderedPageBreak/>
        <w:t>النقض بأن عدم تجديد الدين قيد الرهن في الميعاد المحدد يجعله معدوم الأثر . وليس يغني عن التجديد أن يكون الحق المضمون بالرهن ثابتاً بحكم ، فإن حجية الأحكام لا تتعدى أطرافها ، وهي في حد ذاتها من غير تسجيل لا تنشئ حقوقاً عينية يحتج بها على الكافة . كما لا يغني أن يكون الغير عالماً بحصول الرهن ، لأن $472 القانون اوجب بصفة مطلقة إجراء التجديد لكي يبقى للرهن اثر في حق الغير ، ولم يستثن إلا الحالة الواردة في المادة 570 مرافعات وهي الخاصة ببيع العقار امام المحكمة بعد مضي المواعيد التي تجوز فيها زيادة العشر . وإذن فلحائز العقار ، إذا لم يجدد القيد ، أن يتمسك بسقوط الرهن بالنسبة إليه ، ولو كان عالماً به</w:t>
      </w:r>
      <w:r>
        <w:rPr>
          <w:rFonts w:cs="Traditional Arabic" w:hint="cs"/>
          <w:sz w:val="28"/>
          <w:szCs w:val="32"/>
          <w:vertAlign w:val="superscript"/>
          <w:rtl/>
        </w:rPr>
        <w:t xml:space="preserve">( </w:t>
      </w:r>
      <w:r w:rsidRPr="00EC737F">
        <w:rPr>
          <w:rStyle w:val="ab"/>
          <w:rFonts w:cs="Traditional Arabic"/>
          <w:sz w:val="28"/>
          <w:szCs w:val="32"/>
          <w:rtl/>
        </w:rPr>
        <w:footnoteReference w:id="984"/>
      </w:r>
      <w:r>
        <w:rPr>
          <w:rFonts w:cs="Traditional Arabic" w:hint="cs"/>
          <w:sz w:val="28"/>
          <w:szCs w:val="32"/>
          <w:vertAlign w:val="superscript"/>
          <w:rtl/>
        </w:rPr>
        <w:t xml:space="preserve"> )</w:t>
      </w:r>
      <w:r>
        <w:rPr>
          <w:rFonts w:cs="Traditional Arabic" w:hint="cs"/>
          <w:sz w:val="28"/>
          <w:szCs w:val="32"/>
          <w:rtl/>
        </w:rPr>
        <w:t xml:space="preserve"> . فيتقدم الدائنون التالون في المرتبة والغير الذين كسبوا حقوقاً على العقار المرهون على الدائن الذي لم يجدد القيد ، فسقط قيده</w:t>
      </w:r>
      <w:r>
        <w:rPr>
          <w:rFonts w:cs="Traditional Arabic" w:hint="cs"/>
          <w:sz w:val="28"/>
          <w:szCs w:val="32"/>
          <w:vertAlign w:val="superscript"/>
          <w:rtl/>
        </w:rPr>
        <w:t xml:space="preserve">( </w:t>
      </w:r>
      <w:r w:rsidRPr="00EC737F">
        <w:rPr>
          <w:rStyle w:val="ab"/>
          <w:rFonts w:cs="Traditional Arabic"/>
          <w:sz w:val="28"/>
          <w:szCs w:val="32"/>
          <w:rtl/>
        </w:rPr>
        <w:footnoteReference w:id="9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الرهن يبقى صحيحاً ، ويجوز للدائن المرتهن أن يجري به قيداً جديداً</w:t>
      </w:r>
      <w:r>
        <w:rPr>
          <w:rFonts w:cs="Traditional Arabic" w:hint="cs"/>
          <w:sz w:val="28"/>
          <w:szCs w:val="32"/>
          <w:vertAlign w:val="superscript"/>
          <w:rtl/>
        </w:rPr>
        <w:t xml:space="preserve">( </w:t>
      </w:r>
      <w:r w:rsidRPr="00EC737F">
        <w:rPr>
          <w:rStyle w:val="ab"/>
          <w:rFonts w:cs="Traditional Arabic"/>
          <w:sz w:val="28"/>
          <w:szCs w:val="32"/>
          <w:rtl/>
        </w:rPr>
        <w:footnoteReference w:id="986"/>
      </w:r>
      <w:r>
        <w:rPr>
          <w:rFonts w:cs="Traditional Arabic" w:hint="cs"/>
          <w:sz w:val="28"/>
          <w:szCs w:val="32"/>
          <w:vertAlign w:val="superscript"/>
          <w:rtl/>
        </w:rPr>
        <w:t xml:space="preserve"> )</w:t>
      </w:r>
      <w:r>
        <w:rPr>
          <w:rFonts w:cs="Traditional Arabic" w:hint="cs"/>
          <w:sz w:val="28"/>
          <w:szCs w:val="32"/>
          <w:rtl/>
        </w:rPr>
        <w:t xml:space="preserve"> ، يأخذ مرتبة من وقت إجرائه ، وذلك إذا كان هذا ممكناً ولم يحل دونه حادث يمنع إجراء القيد كإفلاس الراهن مثلا</w:t>
      </w:r>
      <w:r>
        <w:rPr>
          <w:rFonts w:cs="Traditional Arabic" w:hint="cs"/>
          <w:sz w:val="28"/>
          <w:szCs w:val="32"/>
          <w:vertAlign w:val="superscript"/>
          <w:rtl/>
        </w:rPr>
        <w:t xml:space="preserve">( </w:t>
      </w:r>
      <w:r w:rsidRPr="00EC737F">
        <w:rPr>
          <w:rStyle w:val="ab"/>
          <w:rFonts w:cs="Traditional Arabic"/>
          <w:sz w:val="28"/>
          <w:szCs w:val="32"/>
          <w:rtl/>
        </w:rPr>
        <w:footnoteReference w:id="987"/>
      </w:r>
      <w:r>
        <w:rPr>
          <w:rFonts w:cs="Traditional Arabic" w:hint="cs"/>
          <w:sz w:val="28"/>
          <w:szCs w:val="32"/>
          <w:vertAlign w:val="superscript"/>
          <w:rtl/>
        </w:rPr>
        <w:t xml:space="preserve"> )</w:t>
      </w:r>
      <w:r>
        <w:rPr>
          <w:rFonts w:cs="Traditional Arabic" w:hint="cs"/>
          <w:sz w:val="28"/>
          <w:szCs w:val="32"/>
          <w:rtl/>
        </w:rPr>
        <w:t xml:space="preserve"> . وقد قضي بأن سقوط القيد يعيد مركز الدائن المرتهن إلى ما كان عليه قبل إجراء القيد</w:t>
      </w:r>
      <w:r>
        <w:rPr>
          <w:rFonts w:cs="Traditional Arabic" w:hint="cs"/>
          <w:sz w:val="28"/>
          <w:szCs w:val="32"/>
          <w:vertAlign w:val="superscript"/>
          <w:rtl/>
        </w:rPr>
        <w:t xml:space="preserve">( </w:t>
      </w:r>
      <w:r w:rsidRPr="00EC737F">
        <w:rPr>
          <w:rStyle w:val="ab"/>
          <w:rFonts w:cs="Traditional Arabic"/>
          <w:sz w:val="28"/>
          <w:szCs w:val="32"/>
          <w:rtl/>
        </w:rPr>
        <w:footnoteReference w:id="988"/>
      </w:r>
      <w:r>
        <w:rPr>
          <w:rFonts w:cs="Traditional Arabic" w:hint="cs"/>
          <w:sz w:val="28"/>
          <w:szCs w:val="32"/>
          <w:vertAlign w:val="superscript"/>
          <w:rtl/>
        </w:rPr>
        <w:t xml:space="preserve"> )</w:t>
      </w:r>
      <w:r>
        <w:rPr>
          <w:rFonts w:cs="Traditional Arabic" w:hint="cs"/>
          <w:sz w:val="28"/>
          <w:szCs w:val="32"/>
          <w:rtl/>
        </w:rPr>
        <w:t xml:space="preserve"> ، فإذا جدد </w:t>
      </w:r>
      <w:r>
        <w:rPr>
          <w:rFonts w:cs="Traditional Arabic" w:hint="cs"/>
          <w:sz w:val="28"/>
          <w:szCs w:val="32"/>
          <w:rtl/>
        </w:rPr>
        <w:lastRenderedPageBreak/>
        <w:t>القيد يد سقوطه ، وكان قد سبق هذا التجديد تسجيل تصرف صدر م الراهن في العقار في العقار المرهون ، فإن تجديد القيد لا يكون $473 له اثر بالنسبة إلى المتصرف إليه ، ولو كان تسجيل التصرف المذكور قد تم في أثناء نفاذ القيد الأول وقبل سقوطه</w:t>
      </w:r>
      <w:r>
        <w:rPr>
          <w:rFonts w:cs="Traditional Arabic" w:hint="cs"/>
          <w:sz w:val="28"/>
          <w:szCs w:val="32"/>
          <w:vertAlign w:val="superscript"/>
          <w:rtl/>
        </w:rPr>
        <w:t xml:space="preserve">( </w:t>
      </w:r>
      <w:r w:rsidRPr="00EC737F">
        <w:rPr>
          <w:rStyle w:val="ab"/>
          <w:rFonts w:cs="Traditional Arabic"/>
          <w:sz w:val="28"/>
          <w:szCs w:val="32"/>
          <w:rtl/>
        </w:rPr>
        <w:footnoteReference w:id="989"/>
      </w:r>
      <w:r>
        <w:rPr>
          <w:rFonts w:cs="Traditional Arabic" w:hint="cs"/>
          <w:sz w:val="28"/>
          <w:szCs w:val="32"/>
          <w:vertAlign w:val="superscript"/>
          <w:rtl/>
        </w:rPr>
        <w:t xml:space="preserve"> )</w:t>
      </w:r>
      <w:r>
        <w:rPr>
          <w:rFonts w:cs="Traditional Arabic" w:hint="cs"/>
          <w:sz w:val="28"/>
          <w:szCs w:val="32"/>
          <w:rtl/>
        </w:rPr>
        <w:t xml:space="preserve"> .</w:t>
      </w:r>
    </w:p>
    <w:p w:rsidR="00F72742" w:rsidRPr="007C54C4"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رهن شخص عقاره لدائن مرتهن أول ، ثم رهنه مرة ثانية لدائن مرتهن ثان في خلال العشر السنوات الأولى لقيد الرهن الأول ، وتأخر الدائن المرتهن الأول في تجديد قيده عن عشر سنوات ، ولم يتأخر الدائن المرتهن الثاني عن تجديد رهنه ، فإن الدائن المرتهن الثاني يصبح دائناً مرتهناً أولا ، ويتقدم على الدائن المرتهن الأول ، ولو أن  كان يعلم بوجود هذا الرهن عند ما ارتهن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9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217- إجراءات التجديد</w:t>
      </w:r>
      <w:r>
        <w:rPr>
          <w:rFonts w:cs="Traditional Arabic" w:hint="cs"/>
          <w:smallCaps/>
          <w:sz w:val="28"/>
          <w:szCs w:val="32"/>
          <w:rtl/>
        </w:rPr>
        <w:t xml:space="preserve"> : لم يذكر قانون الشهر العقاري شيئاً عن إجراءات التجديد ، ولكن يمكن استخلاصها بسهولة من إجراءات القيد نسها .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 xml:space="preserve">يتم التجديد بناء على طلب الدائن المرتهن أو من ينوب عنه أو خلفه ، $474 سواء كان الخلف عاماً </w:t>
      </w:r>
      <w:r>
        <w:rPr>
          <w:rFonts w:cs="Traditional Arabic" w:hint="cs"/>
          <w:smallCaps/>
          <w:sz w:val="28"/>
          <w:szCs w:val="32"/>
          <w:rtl/>
        </w:rPr>
        <w:lastRenderedPageBreak/>
        <w:t>كالوارث أو خاصاً كالمحال له إذا حول الدائن المرتهن الحق إلى الغير . فيجوز للمحال له ، ولو قبل أن تصير الحوالة نافذة في حق الغير ، أن يطلب تجديد القيد ، سواء باسمه أو باسم المحيل</w:t>
      </w:r>
      <w:r>
        <w:rPr>
          <w:rFonts w:cs="Traditional Arabic" w:hint="cs"/>
          <w:sz w:val="28"/>
          <w:szCs w:val="32"/>
          <w:vertAlign w:val="superscript"/>
          <w:rtl/>
        </w:rPr>
        <w:t xml:space="preserve">( </w:t>
      </w:r>
      <w:r w:rsidRPr="00EC737F">
        <w:rPr>
          <w:rStyle w:val="ab"/>
          <w:rFonts w:cs="Traditional Arabic"/>
          <w:sz w:val="28"/>
          <w:szCs w:val="32"/>
          <w:rtl/>
        </w:rPr>
        <w:footnoteReference w:id="991"/>
      </w:r>
      <w:r>
        <w:rPr>
          <w:rFonts w:cs="Traditional Arabic" w:hint="cs"/>
          <w:sz w:val="28"/>
          <w:szCs w:val="32"/>
          <w:vertAlign w:val="superscript"/>
          <w:rtl/>
        </w:rPr>
        <w:t xml:space="preserve"> )</w:t>
      </w:r>
      <w:r>
        <w:rPr>
          <w:rFonts w:cs="Traditional Arabic" w:hint="cs"/>
          <w:sz w:val="28"/>
          <w:szCs w:val="32"/>
          <w:rtl/>
        </w:rPr>
        <w:t xml:space="preserve"> ، وعلى كل حال توجب مصلحته هو إجراء التجديد في ميعاده</w:t>
      </w:r>
      <w:r>
        <w:rPr>
          <w:rFonts w:cs="Traditional Arabic" w:hint="cs"/>
          <w:sz w:val="28"/>
          <w:szCs w:val="32"/>
          <w:vertAlign w:val="superscript"/>
          <w:rtl/>
        </w:rPr>
        <w:t xml:space="preserve">( </w:t>
      </w:r>
      <w:r w:rsidRPr="00EC737F">
        <w:rPr>
          <w:rStyle w:val="ab"/>
          <w:rFonts w:cs="Traditional Arabic"/>
          <w:sz w:val="28"/>
          <w:szCs w:val="32"/>
          <w:rtl/>
        </w:rPr>
        <w:footnoteReference w:id="9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ويحصل التجديد ضد الراهن ، فإذا كان العقار المرهون قد انتقل وقت التجديد إلى ورثة الراهن أو إلى غيرهم من الخلف ، جاز عند تجديد القيد ضد الراهن تجديده أيضاً ضد هذا الخلف . ومن رأي بعض الفقهاء أنه يجب أن يكون التجديد ضد الخلف ، وقد  أوجبت المادة 460 من التقين الايطالي الجديد ذلك</w:t>
      </w:r>
      <w:r>
        <w:rPr>
          <w:rFonts w:cs="Traditional Arabic" w:hint="cs"/>
          <w:sz w:val="28"/>
          <w:szCs w:val="32"/>
          <w:vertAlign w:val="superscript"/>
          <w:rtl/>
        </w:rPr>
        <w:t xml:space="preserve">( </w:t>
      </w:r>
      <w:r w:rsidRPr="00EC737F">
        <w:rPr>
          <w:rStyle w:val="ab"/>
          <w:rFonts w:cs="Traditional Arabic"/>
          <w:sz w:val="28"/>
          <w:szCs w:val="32"/>
          <w:rtl/>
        </w:rPr>
        <w:footnoteReference w:id="99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ثم تحرر قائمة تجديد يذكر فيها أن التجديد حاصل تجديداً للقيد السابق ، فيستطيع الغير عند  ما يرجع إلى القيد السابق أن يعلم درجة الرهن ، لأن هذه الدرجة في القيد السابق تبقى للرهن متى أجري التجديد في ميعاده . فإذا لم يذكر هذا البيان ، اعتبر القيد قيداً جديداً  لا تجديداً ، فيأخذ مرتبته م نوقت إجرائه وتضيع مرتبة القيد الأول</w:t>
      </w:r>
      <w:r>
        <w:rPr>
          <w:rFonts w:cs="Traditional Arabic" w:hint="cs"/>
          <w:sz w:val="28"/>
          <w:szCs w:val="32"/>
          <w:vertAlign w:val="superscript"/>
          <w:rtl/>
        </w:rPr>
        <w:t xml:space="preserve">( </w:t>
      </w:r>
      <w:r w:rsidRPr="00EC737F">
        <w:rPr>
          <w:rStyle w:val="ab"/>
          <w:rFonts w:cs="Traditional Arabic"/>
          <w:sz w:val="28"/>
          <w:szCs w:val="32"/>
          <w:rtl/>
        </w:rPr>
        <w:footnoteReference w:id="994"/>
      </w:r>
      <w:r>
        <w:rPr>
          <w:rFonts w:cs="Traditional Arabic" w:hint="cs"/>
          <w:sz w:val="28"/>
          <w:szCs w:val="32"/>
          <w:vertAlign w:val="superscript"/>
          <w:rtl/>
        </w:rPr>
        <w:t xml:space="preserve"> )</w:t>
      </w:r>
      <w:r>
        <w:rPr>
          <w:rFonts w:cs="Traditional Arabic" w:hint="cs"/>
          <w:sz w:val="28"/>
          <w:szCs w:val="32"/>
          <w:rtl/>
        </w:rPr>
        <w:t xml:space="preserve"> . وإذا تكرر التجديد ، اكتفى بأن يشار في كل مرة إلى القيد السابق ، من غير حاجة إلى ذكر القيد الأصلي</w:t>
      </w:r>
      <w:r>
        <w:rPr>
          <w:rFonts w:cs="Traditional Arabic" w:hint="cs"/>
          <w:sz w:val="28"/>
          <w:szCs w:val="32"/>
          <w:vertAlign w:val="superscript"/>
          <w:rtl/>
        </w:rPr>
        <w:t xml:space="preserve">( </w:t>
      </w:r>
      <w:r w:rsidRPr="00EC737F">
        <w:rPr>
          <w:rStyle w:val="ab"/>
          <w:rFonts w:cs="Traditional Arabic"/>
          <w:sz w:val="28"/>
          <w:szCs w:val="32"/>
          <w:rtl/>
        </w:rPr>
        <w:footnoteReference w:id="9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ولا حاجة إلى أن ترفق قائمة التجديد بصورة عقد الرهن التنفيذية ، ولا إلى أن تذكر فيها كل البيانات الواجب ذكرها في قائمة القيد الأصلي ، $475 ما دامت قائمة التجديد تحيل بوضوح إلى ذلك القيد الأصلي ، سوء كانت تلك الإحالة إحالة مباشرة أو م طريق الإحالة إلى التجديد السابق</w:t>
      </w:r>
      <w:r>
        <w:rPr>
          <w:rFonts w:cs="Traditional Arabic" w:hint="cs"/>
          <w:sz w:val="28"/>
          <w:szCs w:val="32"/>
          <w:vertAlign w:val="superscript"/>
          <w:rtl/>
        </w:rPr>
        <w:t xml:space="preserve">( </w:t>
      </w:r>
      <w:r w:rsidRPr="00EC737F">
        <w:rPr>
          <w:rStyle w:val="ab"/>
          <w:rFonts w:cs="Traditional Arabic"/>
          <w:sz w:val="28"/>
          <w:szCs w:val="32"/>
          <w:rtl/>
        </w:rPr>
        <w:footnoteReference w:id="9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lastRenderedPageBreak/>
        <w:t>218- تجديد القيد واجب حتى في أثناء الإجراءات التي تتخذ لنزع ملكية العقار المرهون</w:t>
      </w:r>
      <w:r>
        <w:rPr>
          <w:rFonts w:cs="Traditional Arabic" w:hint="cs"/>
          <w:smallCaps/>
          <w:sz w:val="28"/>
          <w:szCs w:val="32"/>
          <w:rtl/>
        </w:rPr>
        <w:t xml:space="preserve"> : وقد نصت المادة 44 من قانون الشهر العقاري على ما يأتي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"تجديد القيد واجب حتى أثناء الإجراءات التي تتخذ لنزع ملكية العقار المثقل بالحق العيني ، ولكنه لا يكون واجباً إذا انقضى الحق أو طهر العقار ، وبوجه خاص إذا بيع العقار قضاء وانقضى ميعاد زيادة العشر"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ويفهم من ذلك أن تجديد القيد واجب ، ما دام الرهن قائماً . فإذا فرض أن دائناً آخر ، ولو كان دائناً عادياً ، اتخذ إجراءات التنفيذ ، وسار فيها شوطاً بعيداً ، فإن الدائن المرتهن يتعين عليهن في أثناء إجراءات التنفيذ هذه ، أن يجدد القيد قبل أن يفوت ميعاد التجديد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97"/>
      </w:r>
      <w:r>
        <w:rPr>
          <w:rFonts w:cs="Traditional Arabic" w:hint="cs"/>
          <w:sz w:val="28"/>
          <w:szCs w:val="32"/>
          <w:vertAlign w:val="superscript"/>
          <w:rtl/>
        </w:rPr>
        <w:t xml:space="preserve"> )</w:t>
      </w:r>
      <w:r>
        <w:rPr>
          <w:rFonts w:cs="Traditional Arabic" w:hint="cs"/>
          <w:sz w:val="28"/>
          <w:szCs w:val="32"/>
          <w:rtl/>
        </w:rPr>
        <w:t xml:space="preserve"> . ولا يعفى م وجوب تجديد القيد أن يكون الراهن قد تصرف في العقار المرهون ، ولو تم تسجيل هذا التصرف</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98"/>
      </w:r>
      <w:r>
        <w:rPr>
          <w:rFonts w:cs="Traditional Arabic" w:hint="cs"/>
          <w:sz w:val="28"/>
          <w:szCs w:val="32"/>
          <w:vertAlign w:val="superscript"/>
          <w:rtl/>
        </w:rPr>
        <w:t xml:space="preserve"> )</w:t>
      </w:r>
      <w:r>
        <w:rPr>
          <w:rFonts w:cs="Traditional Arabic" w:hint="cs"/>
          <w:sz w:val="28"/>
          <w:szCs w:val="32"/>
          <w:rtl/>
        </w:rPr>
        <w:t xml:space="preserve"> . أو أن يكون الراهن قد شهر إفلاسه ، أو أن يكون أحد الدائنين قد وجه تنبيه نزع الملكية وسجل هذا التنبيه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9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ومع ذلك لا يكون التجديد واجباً في حالتين : ( 1 ) إذا استمر التنفيذ حتى بيع العقار المرهون قضاء وانقضى ميعاد زيادة العشر ، فعند ذلك يكون العقار المرهون قد ترتب عليه حق الراسي عليه المزاد . ( 2 ) إذا انقضى $476</w:t>
      </w:r>
      <w:r>
        <w:rPr>
          <w:rFonts w:cs="Traditional Arabic" w:hint="cs"/>
          <w:smallCaps/>
          <w:sz w:val="28"/>
          <w:szCs w:val="32"/>
          <w:rtl/>
        </w:rPr>
        <w:t xml:space="preserve"> حق الرهن بأي سبب من أسباب الانقضاء ، أو طهر العقار من الرهن لأن التطهير يقضي الرهن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أعيدت إجراءات البيع على ذمة الراسي عليه المزاد بعد رسو المزاد وانقضا ميعاد </w:t>
      </w:r>
      <w:r>
        <w:rPr>
          <w:rFonts w:cs="Traditional Arabic" w:hint="cs"/>
          <w:smallCaps/>
          <w:sz w:val="28"/>
          <w:szCs w:val="32"/>
          <w:rtl/>
        </w:rPr>
        <w:t xml:space="preserve">زيادة العشر ، استردت القيود سيرتها الأولى . وقد قضت محكمة النقض بأن تطهير العقار معلق على قيام الراسي عليه المزاد بأداء الثمن في أجل استحقاقه ، ومتى أعيدت إجراءات البيع على ذمة المشتري المتخلف بعد رسو المزاد الأولى </w:t>
      </w:r>
      <w:r>
        <w:rPr>
          <w:rFonts w:cs="Traditional Arabic" w:hint="cs"/>
          <w:smallCaps/>
          <w:sz w:val="28"/>
          <w:szCs w:val="32"/>
          <w:rtl/>
        </w:rPr>
        <w:lastRenderedPageBreak/>
        <w:t>وانقضاء ميعاد زيادة العشر ، استردت القيود والتسجيلات سيرتها الأولى ، ولو كان قد مضى عليها أكثر من عشر سنوات</w:t>
      </w:r>
      <w:r>
        <w:rPr>
          <w:rFonts w:cs="Traditional Arabic" w:hint="cs"/>
          <w:sz w:val="28"/>
          <w:szCs w:val="32"/>
          <w:vertAlign w:val="superscript"/>
          <w:rtl/>
        </w:rPr>
        <w:t xml:space="preserve">( </w:t>
      </w:r>
      <w:r w:rsidRPr="00EC737F">
        <w:rPr>
          <w:rStyle w:val="ab"/>
          <w:rFonts w:cs="Traditional Arabic"/>
          <w:sz w:val="28"/>
          <w:szCs w:val="32"/>
          <w:rtl/>
        </w:rPr>
        <w:footnoteReference w:id="100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219- وجوب تجديد الحائز لقيد الرهن</w:t>
      </w:r>
      <w:r>
        <w:rPr>
          <w:rFonts w:cs="Traditional Arabic" w:hint="cs"/>
          <w:sz w:val="28"/>
          <w:szCs w:val="32"/>
          <w:rtl/>
        </w:rPr>
        <w:t xml:space="preserve"> : نص المادة 1062 على أنه "يجب على الحائز أن يحتفظ بقيد الرهن الذي حل فيه محل الدائن وأن يجدده عند الاقتضاء ، وذلك إلى أن تمحي القيود التي كانت موجودة على العقار وقت تسجيل سند الحائز"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وإذا حل الحائز محل الدائن المرتهن في رهنه ، فعليه ا ن يتعهد قيد الرهن بالحفظ ، وان يجدد القيد في الميعاد حتى يبقى الرهن محتفظاً برتبته الأولى . ولا ينقضي التزام الحائز بتجديد القيد ، إلا إذا انقضى حق الرهن أو إذا ظهر العقار منه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فإذا لجأ الحائز إلى التطهير ، فإن التطهير لا يتم إلا بعد أن يعرض الحائز مبلغاً ميعناً على الدائنين ، ويقبل الدائنون هذا المبلغ أو يتركوا الأجل المعين للقبول أو لارفض ينقضي دون أن يطلبوا بيع العقار ، وبعد أن يقوم الحائز بإيداع المبلغ أو يدفعه إلى الدائنين الذين يستحقونه</w:t>
      </w:r>
      <w:r>
        <w:rPr>
          <w:rFonts w:cs="Traditional Arabic" w:hint="cs"/>
          <w:sz w:val="28"/>
          <w:szCs w:val="32"/>
          <w:vertAlign w:val="superscript"/>
          <w:rtl/>
        </w:rPr>
        <w:t xml:space="preserve">( </w:t>
      </w:r>
      <w:r w:rsidRPr="00EC737F">
        <w:rPr>
          <w:rStyle w:val="ab"/>
          <w:rFonts w:cs="Traditional Arabic"/>
          <w:sz w:val="28"/>
          <w:szCs w:val="32"/>
          <w:rtl/>
        </w:rPr>
        <w:footnoteReference w:id="10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$477 وإذا وزعت ملكية العقار جبراً فإنه لا يجب تجديد القيد م الوقت الذي يتم فيه تطهير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10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والتطهير لا يتم إلا بتسجيل حكم مرسي المزاد ، وبإيداع الثمن خزانة المحكمة أو دفعه إلى الدائنين </w:t>
      </w:r>
      <w:r>
        <w:rPr>
          <w:rFonts w:cs="Traditional Arabic" w:hint="cs"/>
          <w:sz w:val="28"/>
          <w:szCs w:val="32"/>
          <w:rtl/>
        </w:rPr>
        <w:lastRenderedPageBreak/>
        <w:t>الذين يستحقونه</w:t>
      </w:r>
      <w:r>
        <w:rPr>
          <w:rFonts w:cs="Traditional Arabic" w:hint="cs"/>
          <w:sz w:val="28"/>
          <w:szCs w:val="32"/>
          <w:vertAlign w:val="superscript"/>
          <w:rtl/>
        </w:rPr>
        <w:t xml:space="preserve">( </w:t>
      </w:r>
      <w:r w:rsidRPr="00EC737F">
        <w:rPr>
          <w:rStyle w:val="ab"/>
          <w:rFonts w:cs="Traditional Arabic"/>
          <w:sz w:val="28"/>
          <w:szCs w:val="32"/>
          <w:rtl/>
        </w:rPr>
        <w:footnoteReference w:id="1004"/>
      </w:r>
      <w:r>
        <w:rPr>
          <w:rFonts w:cs="Traditional Arabic" w:hint="cs"/>
          <w:sz w:val="28"/>
          <w:szCs w:val="32"/>
          <w:vertAlign w:val="superscript"/>
          <w:rtl/>
        </w:rPr>
        <w:t xml:space="preserve"> )</w:t>
      </w:r>
      <w:r>
        <w:rPr>
          <w:rFonts w:cs="Traditional Arabic" w:hint="cs"/>
          <w:sz w:val="28"/>
          <w:szCs w:val="32"/>
          <w:rtl/>
        </w:rPr>
        <w:t xml:space="preserve"> . ولا بد من تسجيل حكم مرسي المزاد ، لحصول التطهير ولإمكان الاستغناء عن تجديد القيد</w:t>
      </w:r>
      <w:r>
        <w:rPr>
          <w:rFonts w:cs="Traditional Arabic" w:hint="cs"/>
          <w:sz w:val="28"/>
          <w:szCs w:val="32"/>
          <w:vertAlign w:val="superscript"/>
          <w:rtl/>
        </w:rPr>
        <w:t xml:space="preserve">( </w:t>
      </w:r>
      <w:r w:rsidRPr="00EC737F">
        <w:rPr>
          <w:rStyle w:val="ab"/>
          <w:rFonts w:cs="Traditional Arabic"/>
          <w:sz w:val="28"/>
          <w:szCs w:val="32"/>
          <w:rtl/>
        </w:rPr>
        <w:footnoteReference w:id="100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220- الفرق ين القيد الأصلي </w:t>
      </w:r>
      <w:r>
        <w:rPr>
          <w:rFonts w:cs="Traditional Arabic" w:hint="cs"/>
          <w:b/>
          <w:bCs/>
          <w:smallCaps/>
          <w:sz w:val="28"/>
          <w:szCs w:val="32"/>
          <w:rtl/>
        </w:rPr>
        <w:t>وتجديد القيد</w:t>
      </w:r>
      <w:r>
        <w:rPr>
          <w:rFonts w:cs="Traditional Arabic" w:hint="cs"/>
          <w:smallCaps/>
          <w:sz w:val="28"/>
          <w:szCs w:val="32"/>
          <w:rtl/>
        </w:rPr>
        <w:t xml:space="preserve"> : وهناك اختلاف أساسي بين القيد الأصلي وتجديده . فالقيد الأصلي يمنح للدائن المرتهن مرتبته ، أما التجديد فيقتصر على المحافظة على هذه المرتبة إذا أجري في الميعاد فإذا أجري بعد الميعاد كان قيداً جديداً له مرتبته من وقت إجرائه</w:t>
      </w:r>
      <w:r>
        <w:rPr>
          <w:rFonts w:cs="Traditional Arabic" w:hint="cs"/>
          <w:sz w:val="28"/>
          <w:szCs w:val="32"/>
          <w:vertAlign w:val="superscript"/>
          <w:rtl/>
        </w:rPr>
        <w:t xml:space="preserve">( </w:t>
      </w:r>
      <w:r w:rsidRPr="00EC737F">
        <w:rPr>
          <w:rStyle w:val="ab"/>
          <w:rFonts w:cs="Traditional Arabic"/>
          <w:sz w:val="28"/>
          <w:szCs w:val="32"/>
          <w:rtl/>
        </w:rPr>
        <w:footnoteReference w:id="100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فالتجديد في الميعاد القانوني هو استمرار للقي القديم ، أما التجديد بعد الميعاد فهو قيد جديد وليس استمراراً للقيد القديم ومن ثم يأخذ مرتبته م وقت حصوله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$478 </w:t>
      </w:r>
      <w:r>
        <w:rPr>
          <w:rFonts w:cs="Traditional Arabic" w:hint="cs"/>
          <w:b/>
          <w:bCs/>
          <w:smallCaps/>
          <w:sz w:val="28"/>
          <w:szCs w:val="32"/>
          <w:rtl/>
        </w:rPr>
        <w:t>221- مصروفات التجديد</w:t>
      </w:r>
      <w:r>
        <w:rPr>
          <w:rFonts w:cs="Traditional Arabic" w:hint="cs"/>
          <w:smallCaps/>
          <w:sz w:val="28"/>
          <w:szCs w:val="32"/>
          <w:rtl/>
        </w:rPr>
        <w:t xml:space="preserve"> : وقد سبق أن مصروفات التجديد  ، كمصروفات الرهن ومصروفات القيد الأول ، تكون على الراهن . فإذا دفعها الدائن لمرتهن أو أحد آخر ، رجع بها على الراهن . وهذه المصروفات كلها مضمونة بالرهن وفي مرتبته ، دون ذكر خاص بها . وذلك بخلاف مصروفات المحو وإلغاء المحو ، وسيأتي ذكرها فيما يلي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222- التأشير على هامش القيد</w:t>
      </w:r>
      <w:r>
        <w:rPr>
          <w:rFonts w:cs="Traditional Arabic" w:hint="cs"/>
          <w:smallCaps/>
          <w:sz w:val="28"/>
          <w:szCs w:val="32"/>
          <w:rtl/>
        </w:rPr>
        <w:t xml:space="preserve"> : والتأشير على هامش القيد براد به تمكين الباحث من العلم بما يطرأ على مصر القيد الأصلي م تغيير ، قد يصل إلى حد أن يصيبه في بقائه ، أو يمنح آثاره إلى دائن آخر غير الدائن الذي تقرر القيد أصلا لمصلحته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 xml:space="preserve">وتنص المادة 1053/2 مدني على أنه "لا يصح التمس قبل الغير بتحويل حق مضمون بقيد ، ولا </w:t>
      </w:r>
      <w:r>
        <w:rPr>
          <w:rFonts w:cs="Traditional Arabic" w:hint="cs"/>
          <w:smallCaps/>
          <w:sz w:val="28"/>
          <w:szCs w:val="32"/>
          <w:rtl/>
        </w:rPr>
        <w:lastRenderedPageBreak/>
        <w:t>التمسك بالحق الناشئ من حلول شخص محل الدائن في هذا الحق بحكم القانون أو الاتفاق ، ولا التمسك كذلك بالتنازل عن مرتبة القيد لمصلحة دائن آخر ، إلا إذا حصل التأشير بذل في هامش القيد الأصلي"</w:t>
      </w:r>
      <w:r>
        <w:rPr>
          <w:rFonts w:cs="Traditional Arabic" w:hint="cs"/>
          <w:sz w:val="28"/>
          <w:szCs w:val="32"/>
          <w:vertAlign w:val="superscript"/>
          <w:rtl/>
        </w:rPr>
        <w:t xml:space="preserve">( </w:t>
      </w:r>
      <w:r w:rsidRPr="00EC737F">
        <w:rPr>
          <w:rStyle w:val="ab"/>
          <w:rFonts w:cs="Traditional Arabic"/>
          <w:sz w:val="28"/>
          <w:szCs w:val="32"/>
          <w:rtl/>
        </w:rPr>
        <w:footnoteReference w:id="100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فإجراء التأشير في هامش القيد قد لا يقل أهمية عن إجراء القيد الأصلي ، لأن إغفاله يترتب عليه آثار هام مثل الآثار التي طالعناها في النص المتقدم الذكر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z w:val="28"/>
          <w:szCs w:val="32"/>
          <w:rtl/>
        </w:rPr>
        <w:t>ومن هذه الآثار نقل الدائن المرتهن الالتزام المضمون إلى دائن آخر عن طريق حوالة الحق ، فالحوالة تضمن هذا الالتزام بما كان يكفله من تأمينات كالرهن الرسمي ، فلا يجوز التمسك بالرهن في مواجهة الغير $479</w:t>
      </w:r>
      <w:r>
        <w:rPr>
          <w:rFonts w:cs="Traditional Arabic" w:hint="cs"/>
          <w:smallCaps/>
          <w:sz w:val="28"/>
          <w:szCs w:val="32"/>
          <w:rtl/>
        </w:rPr>
        <w:t xml:space="preserve"> إلا بالتأشير على هامش القيد الأصلي بهذه الحوالة . ويسري الحكم بالتقدم إذا كان الدائن المحيل قد رهن الدين ، فيجب على الدائن المحال له أن يؤشر بذلك على هامش قيد الرهن الرسمي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وإذا حل شخص حلولا قانونياً أو انفاقياً محل الدائن الأصلي ، امتد هذه الحلول إلى التأمينات وفيه الرهن الرسمي . فيتعين على الحال أن يؤشر على هامش القيد الأصلي بما يفيد حلوله محل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وللدائن المرتهن أن ينزل عن مرتبة رهنه في حدود الدين المضمون بهذا الرهن ، لمصلحة دائن آخر له رهن مقيد على نفس العقار . فالتنازل عن مرتبة الرهن لصالح دائن مرتهن آخر لنفس العقار لا يجوز الاحتجاج به على الغير ، إلا إذا أشر بذلك على هامش القيد الأصلي الذي أجرى لمصلحة الدائن المرتهن المتنازل عن مرتبته</w:t>
      </w:r>
      <w:r>
        <w:rPr>
          <w:rFonts w:cs="Traditional Arabic" w:hint="cs"/>
          <w:sz w:val="28"/>
          <w:szCs w:val="32"/>
          <w:vertAlign w:val="superscript"/>
          <w:rtl/>
        </w:rPr>
        <w:t xml:space="preserve">( </w:t>
      </w:r>
      <w:r w:rsidRPr="00EC737F">
        <w:rPr>
          <w:rStyle w:val="ab"/>
          <w:rFonts w:cs="Traditional Arabic"/>
          <w:sz w:val="28"/>
          <w:szCs w:val="32"/>
          <w:rtl/>
        </w:rPr>
        <w:footnoteReference w:id="10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lastRenderedPageBreak/>
        <w:t>ويقدم طالب التأشير سنداً يثبت توافر السبب القانوني لإجراء هذا التأشير ، كأن يقدم الدائن المحال إليه بحق مضمون برهن الورقة المثبتة لحوالة الحق ، أو يبرز الدائن الموفى مخالصة الوفاء وما يثبت أنه قد حل محل $480 الدائن . وإذا كان التأشير خاصاً بالتنازل عن مرتبة ، فعلى من تلقاها أن يرفق طلبه بسند هذا التنازل</w:t>
      </w:r>
      <w:r>
        <w:rPr>
          <w:rFonts w:cs="Traditional Arabic" w:hint="cs"/>
          <w:sz w:val="28"/>
          <w:szCs w:val="32"/>
          <w:vertAlign w:val="superscript"/>
          <w:rtl/>
        </w:rPr>
        <w:t xml:space="preserve">( </w:t>
      </w:r>
      <w:r w:rsidRPr="00EC737F">
        <w:rPr>
          <w:rStyle w:val="ab"/>
          <w:rFonts w:cs="Traditional Arabic"/>
          <w:sz w:val="28"/>
          <w:szCs w:val="32"/>
          <w:rtl/>
        </w:rPr>
        <w:footnoteReference w:id="10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ويتقدم الطلب إلى مكتب الشهر ( م 22 من اللائحة التنفيذية لقانون الشهر العقار ) ، ويدرج في دفتر معد لهذه الطلبات ، ويأخذ رقماً متتابعاً تقيد أسبقيته مع ذكر تاريخ اليوم والساعة وما تم بشأنه الطلب ( م 22 من اللائحة التنفيذية لقانون الشهر العقار )</w:t>
      </w:r>
      <w:r w:rsidRPr="00F210A8">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z w:val="28"/>
          <w:szCs w:val="32"/>
          <w:rtl/>
        </w:rPr>
        <w:t xml:space="preserve">وإذا تحقق المكتب من استيفاء الطلب للشروط القانونية ، أثبت التأشير في هامش قيد الرهن الرسمي </w:t>
      </w:r>
      <w:r>
        <w:rPr>
          <w:rFonts w:cs="Traditional Arabic" w:hint="cs"/>
          <w:sz w:val="28"/>
          <w:szCs w:val="32"/>
          <w:rtl/>
        </w:rPr>
        <w:lastRenderedPageBreak/>
        <w:t>أو في ورقة تلحق به . ويشتمل التأشير على جميع البيانات التي سيق ذكرها ، وعلى بيان تاريخه والساعة التي تم فيها</w:t>
      </w:r>
      <w:r>
        <w:rPr>
          <w:rFonts w:cs="Traditional Arabic" w:hint="cs"/>
          <w:sz w:val="28"/>
          <w:szCs w:val="32"/>
          <w:vertAlign w:val="superscript"/>
          <w:rtl/>
        </w:rPr>
        <w:t xml:space="preserve">( </w:t>
      </w:r>
      <w:r w:rsidRPr="00EC737F">
        <w:rPr>
          <w:rStyle w:val="ab"/>
          <w:rFonts w:cs="Traditional Arabic"/>
          <w:sz w:val="28"/>
          <w:szCs w:val="32"/>
          <w:rtl/>
        </w:rPr>
        <w:footnoteReference w:id="1011"/>
      </w:r>
      <w:r>
        <w:rPr>
          <w:rFonts w:cs="Traditional Arabic" w:hint="cs"/>
          <w:sz w:val="28"/>
          <w:szCs w:val="32"/>
          <w:vertAlign w:val="superscript"/>
          <w:rtl/>
        </w:rPr>
        <w:t xml:space="preserve"> )</w:t>
      </w:r>
      <w:r>
        <w:rPr>
          <w:rFonts w:cs="Traditional Arabic" w:hint="cs"/>
          <w:sz w:val="28"/>
          <w:szCs w:val="32"/>
          <w:rtl/>
        </w:rPr>
        <w:t xml:space="preserve"> .</w:t>
      </w:r>
    </w:p>
    <w:p w:rsidR="00F72742" w:rsidRPr="00AB1505" w:rsidRDefault="00F72742" w:rsidP="00F72742">
      <w:pPr>
        <w:widowControl w:val="0"/>
        <w:spacing w:after="120"/>
        <w:jc w:val="center"/>
        <w:rPr>
          <w:rFonts w:cs="Traditional Arabic" w:hint="cs"/>
          <w:b/>
          <w:bCs/>
          <w:smallCaps/>
          <w:sz w:val="28"/>
          <w:szCs w:val="32"/>
          <w:rtl/>
        </w:rPr>
      </w:pPr>
      <w:r>
        <w:rPr>
          <w:b/>
          <w:bCs/>
          <w:smallCaps/>
          <w:sz w:val="28"/>
          <w:szCs w:val="32"/>
          <w:rtl/>
        </w:rPr>
        <w:t>§</w:t>
      </w:r>
      <w:r>
        <w:rPr>
          <w:rFonts w:cs="Traditional Arabic" w:hint="cs"/>
          <w:b/>
          <w:bCs/>
          <w:smallCaps/>
          <w:sz w:val="28"/>
          <w:szCs w:val="32"/>
          <w:rtl/>
        </w:rPr>
        <w:t xml:space="preserve"> </w:t>
      </w:r>
      <w:r w:rsidRPr="00AB1505">
        <w:rPr>
          <w:rFonts w:cs="Traditional Arabic" w:hint="cs"/>
          <w:b/>
          <w:bCs/>
          <w:smallCaps/>
          <w:sz w:val="28"/>
          <w:szCs w:val="32"/>
          <w:rtl/>
        </w:rPr>
        <w:t>3- محو القيد وإلغاء المحو</w:t>
      </w:r>
    </w:p>
    <w:p w:rsidR="00F72742" w:rsidRPr="00AB1505" w:rsidRDefault="00F72742" w:rsidP="00F72742">
      <w:pPr>
        <w:widowControl w:val="0"/>
        <w:spacing w:after="120"/>
        <w:jc w:val="center"/>
        <w:rPr>
          <w:rFonts w:cs="Traditional Arabic" w:hint="cs"/>
          <w:b/>
          <w:bCs/>
          <w:sz w:val="28"/>
          <w:szCs w:val="32"/>
          <w:rtl/>
        </w:rPr>
      </w:pPr>
      <w:r w:rsidRPr="00AB1505">
        <w:rPr>
          <w:rFonts w:cs="Traditional Arabic"/>
          <w:b/>
          <w:bCs/>
          <w:smallCaps/>
          <w:sz w:val="28"/>
          <w:szCs w:val="32"/>
        </w:rPr>
        <w:t>R</w:t>
      </w:r>
      <w:r w:rsidRPr="00AB1505">
        <w:rPr>
          <w:rFonts w:cs="Traditional Arabic"/>
          <w:b/>
          <w:bCs/>
          <w:sz w:val="28"/>
          <w:szCs w:val="32"/>
        </w:rPr>
        <w:t>adiation de l'inscription et annuiation de la radiation</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223- محو القيد</w:t>
      </w:r>
      <w:r>
        <w:rPr>
          <w:rFonts w:cs="Traditional Arabic" w:hint="cs"/>
          <w:sz w:val="28"/>
          <w:szCs w:val="32"/>
          <w:rtl/>
        </w:rPr>
        <w:t xml:space="preserve"> : قد يوجد ما يستدعي محو قيد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يكون الدين المضمون بالرهن قد زال أو انقضى . ويزول الدين إذا كان مثلا باطلا شكلا ، أو كان باطلا موضوعاً أو قابلا للإبطال وقضى بإبطاله . وينقضي الدين بسبب من أسباب انقضاء الالتزام ، كالوفاء بالدين أو التجديد أو المقاصة أو الإبراء أو سقوط الدين بالتقادم . وفي جميع أحوال زوال الدينا أو انقضائه ، يسقط الرهن الذي هو ضمان للدين ، ويسقط تبعاً لذلك قيد الرهن ، فيجب أن يمحي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الدين صحيحاً قائماً ، ولكن الرهن يكون باطلا أو قابلا للإبطال وقضى بإبطاله ، أو انقضى بأي سبب لانقضاء الرهن مع بقاء الدين . ولما كان القيد إنما يتعلق برهن صحيح قائم ، فإن القيد في هذه الحالة يجب محوه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الدين صحيحاً قائماً ، وكذلك الرهن يكون صحيحاً قائماً ، ولكن القيد نفسه يكون غير صحيح ، فيجب في هذه الحالة أيضاً محو القد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فالقيد إذن يجب محوه ، إما لسبب يتعلق بالدين المضمون ، وإما لسبب يتعلق بالعقار المرهون ، وإما للسبب يتعلق بالقيد . وهذا هو المحو بوجه عام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224- طريقان للمحو</w:t>
      </w:r>
      <w:r>
        <w:rPr>
          <w:rFonts w:cs="Traditional Arabic" w:hint="cs"/>
          <w:sz w:val="28"/>
          <w:szCs w:val="32"/>
          <w:rtl/>
        </w:rPr>
        <w:t xml:space="preserve"> : وقد نصت المادة 45 من قانون تنظيم الشهر العقار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"ولا يجوز محو القيد إلا بمقتضى حكم نهائي ، أو برضاء الدائن بتقرير رسمي منه . ومع ذلك يكتفي </w:t>
      </w:r>
      <w:r>
        <w:rPr>
          <w:rFonts w:cs="Traditional Arabic" w:hint="cs"/>
          <w:sz w:val="28"/>
          <w:szCs w:val="32"/>
          <w:rtl/>
        </w:rPr>
        <w:lastRenderedPageBreak/>
        <w:t>في إجراء المحو في حالة رهن الحيازة العقاري وحقوق الامتياز العقارية بإقرار عرفي مصدق على التوقيع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$482 ويؤخذ من هذا النص أن هناك طريقين لمحو قيد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( 1 ) المحو الاختياري </w:t>
      </w:r>
      <w:r>
        <w:rPr>
          <w:rFonts w:cs="Traditional Arabic"/>
          <w:sz w:val="28"/>
          <w:szCs w:val="32"/>
          <w:rtl/>
        </w:rPr>
        <w:t xml:space="preserve">( </w:t>
      </w:r>
      <w:r>
        <w:rPr>
          <w:rFonts w:cs="Traditional Arabic"/>
          <w:sz w:val="28"/>
          <w:szCs w:val="32"/>
        </w:rPr>
        <w:t>radiation volontaire</w:t>
      </w:r>
      <w:r>
        <w:rPr>
          <w:rFonts w:cs="Traditional Arabic"/>
          <w:sz w:val="28"/>
          <w:szCs w:val="32"/>
          <w:rtl/>
        </w:rPr>
        <w:t xml:space="preserve"> )</w:t>
      </w:r>
      <w:r>
        <w:rPr>
          <w:rFonts w:cs="Traditional Arabic" w:hint="cs"/>
          <w:sz w:val="28"/>
          <w:szCs w:val="32"/>
          <w:rtl/>
        </w:rPr>
        <w:t xml:space="preserve"> ، ويكون ذلك برضاء الدائن ، فهو إذن تصرف مبني على إرادة واحدة هي إرادة الدائن ، بتقرير رسمي منه ، ولا يلزم رضاء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( 2 ) المحو القضائي </w:t>
      </w:r>
      <w:r>
        <w:rPr>
          <w:rFonts w:cs="Traditional Arabic"/>
          <w:sz w:val="28"/>
          <w:szCs w:val="32"/>
          <w:rtl/>
        </w:rPr>
        <w:t xml:space="preserve">( </w:t>
      </w:r>
      <w:r>
        <w:rPr>
          <w:rFonts w:cs="Traditional Arabic"/>
          <w:sz w:val="28"/>
          <w:szCs w:val="32"/>
        </w:rPr>
        <w:t>radiation judiciare</w:t>
      </w:r>
      <w:r>
        <w:rPr>
          <w:rFonts w:cs="Traditional Arabic"/>
          <w:sz w:val="28"/>
          <w:szCs w:val="32"/>
          <w:rtl/>
        </w:rPr>
        <w:t xml:space="preserve"> )</w:t>
      </w:r>
      <w:r>
        <w:rPr>
          <w:rFonts w:cs="Traditional Arabic" w:hint="cs"/>
          <w:sz w:val="28"/>
          <w:szCs w:val="32"/>
          <w:rtl/>
        </w:rPr>
        <w:t xml:space="preserve"> ، فإذا تعذر الحصول على رضاء الدائن ، كان لا بد من رفع الأمر إلى القضاء ، فيحكم بالمحو القضائي حكماً نهائياً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225- المحو الاختياري</w:t>
      </w:r>
      <w:r>
        <w:rPr>
          <w:rFonts w:cs="Traditional Arabic" w:hint="cs"/>
          <w:sz w:val="28"/>
          <w:szCs w:val="32"/>
          <w:rtl/>
        </w:rPr>
        <w:t xml:space="preserve"> : رأينا أن المادة 45 من قانون تنظيم الشهر العقاري تقضي بمحو القيد برضاء الدائن بتقرير رسمي منه ، فهو لا يكون بموجب عقد عرفي . ولما كان القيد يجري في ورقة رسمية ، فقد أراد المشرع ألا يكون محوه بورقة عرفية ، واستوجب أن يكون ذلك عن طريق ذهاب الدائن أو من ينوب عنه ( والتوكيل الصادر من الدائن هنا يجب أيضاً أن يكون رسمياً</w:t>
      </w:r>
      <w:r>
        <w:rPr>
          <w:rFonts w:cs="Traditional Arabic" w:hint="cs"/>
          <w:sz w:val="28"/>
          <w:szCs w:val="32"/>
          <w:vertAlign w:val="superscript"/>
          <w:rtl/>
        </w:rPr>
        <w:t xml:space="preserve">( </w:t>
      </w:r>
      <w:r w:rsidRPr="00EC737F">
        <w:rPr>
          <w:rStyle w:val="ab"/>
          <w:rFonts w:cs="Traditional Arabic"/>
          <w:sz w:val="28"/>
          <w:szCs w:val="32"/>
          <w:rtl/>
        </w:rPr>
        <w:footnoteReference w:id="1012"/>
      </w:r>
      <w:r>
        <w:rPr>
          <w:rFonts w:cs="Traditional Arabic" w:hint="cs"/>
          <w:sz w:val="28"/>
          <w:szCs w:val="32"/>
          <w:vertAlign w:val="superscript"/>
          <w:rtl/>
        </w:rPr>
        <w:t xml:space="preserve"> )</w:t>
      </w:r>
      <w:r>
        <w:rPr>
          <w:rFonts w:cs="Traditional Arabic" w:hint="cs"/>
          <w:sz w:val="28"/>
          <w:szCs w:val="32"/>
          <w:rtl/>
        </w:rPr>
        <w:t xml:space="preserve"> ) ، إلى قلم كتاب المحكمة وعمل تقرير رسمي بالمحو . ورضاء الدائن بمحو القيد صادر بإرادة الدائن المنفردة ، فهو عمل قانوني صادر من جانب واحد ، فلا يشترط لتمامه قبول الراهن</w:t>
      </w:r>
      <w:r>
        <w:rPr>
          <w:rFonts w:cs="Traditional Arabic" w:hint="cs"/>
          <w:sz w:val="28"/>
          <w:szCs w:val="32"/>
          <w:vertAlign w:val="superscript"/>
          <w:rtl/>
        </w:rPr>
        <w:t xml:space="preserve">( </w:t>
      </w:r>
      <w:r w:rsidRPr="00EC737F">
        <w:rPr>
          <w:rStyle w:val="ab"/>
          <w:rFonts w:cs="Traditional Arabic"/>
          <w:sz w:val="28"/>
          <w:szCs w:val="32"/>
          <w:rtl/>
        </w:rPr>
        <w:footnoteReference w:id="10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حول الدين ، كان المحو برضاء المحال له دون حاجة لرضاء الدائن الأصلي . وإذا توفى الدائن كان المحو برضاء الورثة ، وإذا $483 حصلت القسمة بينهم كمان المحو برضاء من وقع الدين المضمون </w:t>
      </w:r>
      <w:r>
        <w:rPr>
          <w:rFonts w:cs="Traditional Arabic" w:hint="cs"/>
          <w:sz w:val="28"/>
          <w:szCs w:val="32"/>
          <w:rtl/>
        </w:rPr>
        <w:lastRenderedPageBreak/>
        <w:t>بالرهن في حصته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في المحو الاختياري توافر أهلية خاصة في الدائن المرتهن . ومن رأي الفقهاء أن الأهلية الواجبة هي أهلية التصرف في الدين المضمون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5"/>
      </w:r>
      <w:r>
        <w:rPr>
          <w:rFonts w:cs="Traditional Arabic" w:hint="cs"/>
          <w:sz w:val="28"/>
          <w:szCs w:val="32"/>
          <w:vertAlign w:val="superscript"/>
          <w:rtl/>
        </w:rPr>
        <w:t xml:space="preserve"> )</w:t>
      </w:r>
      <w:r>
        <w:rPr>
          <w:rFonts w:cs="Traditional Arabic" w:hint="cs"/>
          <w:sz w:val="28"/>
          <w:szCs w:val="32"/>
          <w:rtl/>
        </w:rPr>
        <w:t xml:space="preserve"> ، وبموجب القانون المصري يشترط فيمن يقرر المحو ، ولو كان في مقابل قبض الدين ، أن يكون كامل الأهلية أي بالغاً سنة 121 سنة غير محجور عليه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صدر المحو من نائب عن للدائن ، فإذا كان النائب وكيلا ، فتكفي الوكالة العامة إذا كان محو القيد في مقابل قبض الدين ، لأن استيفاء الدين يدخل في أعمال الإدارة . أما إذا كان المحو دون مقابل ، فلا بد من وكالة خاصة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7"/>
      </w:r>
      <w:r>
        <w:rPr>
          <w:rFonts w:cs="Traditional Arabic" w:hint="cs"/>
          <w:sz w:val="28"/>
          <w:szCs w:val="32"/>
          <w:vertAlign w:val="superscript"/>
          <w:rtl/>
        </w:rPr>
        <w:t xml:space="preserve"> )</w:t>
      </w:r>
      <w:r>
        <w:rPr>
          <w:rFonts w:cs="Traditional Arabic" w:hint="cs"/>
          <w:sz w:val="28"/>
          <w:szCs w:val="32"/>
          <w:rtl/>
        </w:rPr>
        <w:t xml:space="preserve"> . إذا كان النائب وصياً ، فهو يملك قبض الدين الذي للقاصر ، فيملك أيضاً محو قيد الرهن إن كان في مقابل قبض الدين . وإلا فلا يد من إذن المحكمة طبقاً للمادة 39 ( 11 ) م قانون الولاية على المال ، وهي تقضي بوجوب الحصول على إذن المحكمة للتنازل عن التأمينات $484 أو إضعافها ، وإذا كان النائب ولياً ، جاز له محو القيد ، ولو دون قبض الدين ، ودون الحصول على إذن </w:t>
      </w:r>
      <w:r>
        <w:rPr>
          <w:rFonts w:cs="Traditional Arabic" w:hint="cs"/>
          <w:sz w:val="28"/>
          <w:szCs w:val="32"/>
          <w:rtl/>
        </w:rPr>
        <w:lastRenderedPageBreak/>
        <w:t>المحكمة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226- المحو القضائي</w:t>
      </w:r>
      <w:r>
        <w:rPr>
          <w:rFonts w:cs="Traditional Arabic" w:hint="cs"/>
          <w:sz w:val="28"/>
          <w:szCs w:val="32"/>
          <w:rtl/>
        </w:rPr>
        <w:t xml:space="preserve"> : فإذا تعذر المحو الاختياري ، بأن رفض الدائن محو القيد أو لم يكن في استطاعته إجراء المحو الاختياري . جاز لكل ذي مصلحة في زوال القيد أن يطلب محوه أمام القضاء . فيجوز أن يرفع دعوى المحو القضائي الراهن ، أو الغير الذي انتقل إليه العقار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19"/>
      </w:r>
      <w:r>
        <w:rPr>
          <w:rFonts w:cs="Traditional Arabic" w:hint="cs"/>
          <w:sz w:val="28"/>
          <w:szCs w:val="32"/>
          <w:vertAlign w:val="superscript"/>
          <w:rtl/>
        </w:rPr>
        <w:t xml:space="preserve"> )</w:t>
      </w:r>
      <w:r>
        <w:rPr>
          <w:rFonts w:cs="Traditional Arabic" w:hint="cs"/>
          <w:sz w:val="28"/>
          <w:szCs w:val="32"/>
          <w:rtl/>
        </w:rPr>
        <w:t xml:space="preserve"> ، أو دائن مرتهن متأخر ويكسب من المحو أن يزول من أمامه واحد من الدائنين الذين يتقدمون عليه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0"/>
      </w:r>
      <w:r>
        <w:rPr>
          <w:rFonts w:cs="Traditional Arabic" w:hint="cs"/>
          <w:sz w:val="28"/>
          <w:szCs w:val="32"/>
          <w:vertAlign w:val="superscript"/>
          <w:rtl/>
        </w:rPr>
        <w:t xml:space="preserve"> )</w:t>
      </w:r>
      <w:r>
        <w:rPr>
          <w:rFonts w:cs="Traditional Arabic" w:hint="cs"/>
          <w:sz w:val="28"/>
          <w:szCs w:val="32"/>
          <w:rtl/>
        </w:rPr>
        <w:t xml:space="preserve"> ، أو دائن عادي</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ويطلل المحو القضائي ضد الدائن المرتهن المراد محو قيده ، أو ضد خلفائه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2"/>
      </w:r>
      <w:r>
        <w:rPr>
          <w:rFonts w:cs="Traditional Arabic" w:hint="cs"/>
          <w:sz w:val="28"/>
          <w:szCs w:val="32"/>
          <w:vertAlign w:val="superscript"/>
          <w:rtl/>
        </w:rPr>
        <w:t xml:space="preserve"> )</w:t>
      </w:r>
      <w:r>
        <w:rPr>
          <w:rFonts w:cs="Traditional Arabic" w:hint="cs"/>
          <w:sz w:val="28"/>
          <w:szCs w:val="32"/>
          <w:rtl/>
        </w:rPr>
        <w:t xml:space="preserve"> ، ولا يطلب ضد المدين وحده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3"/>
      </w:r>
      <w:r>
        <w:rPr>
          <w:rFonts w:cs="Traditional Arabic" w:hint="cs"/>
          <w:sz w:val="28"/>
          <w:szCs w:val="32"/>
          <w:vertAlign w:val="superscript"/>
          <w:rtl/>
        </w:rPr>
        <w:t xml:space="preserve"> )</w:t>
      </w:r>
      <w:r>
        <w:rPr>
          <w:rFonts w:cs="Traditional Arabic" w:hint="cs"/>
          <w:sz w:val="28"/>
          <w:szCs w:val="32"/>
          <w:rtl/>
        </w:rPr>
        <w:t xml:space="preserve"> ، ولا ضد أمين الشهر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والدعوى عقارية ، فترفع إلى محكمة العقار المرهون ، لا إلى محكمة المدعي عليه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5"/>
      </w:r>
      <w:r>
        <w:rPr>
          <w:rFonts w:cs="Traditional Arabic" w:hint="cs"/>
          <w:sz w:val="28"/>
          <w:szCs w:val="32"/>
          <w:vertAlign w:val="superscript"/>
          <w:rtl/>
        </w:rPr>
        <w:t xml:space="preserve"> )</w:t>
      </w:r>
      <w:r>
        <w:rPr>
          <w:rFonts w:cs="Traditional Arabic" w:hint="cs"/>
          <w:sz w:val="28"/>
          <w:szCs w:val="32"/>
          <w:rtl/>
        </w:rPr>
        <w:t xml:space="preserve"> . وإذا تعددت </w:t>
      </w:r>
      <w:r>
        <w:rPr>
          <w:rFonts w:cs="Traditional Arabic" w:hint="cs"/>
          <w:sz w:val="28"/>
          <w:szCs w:val="32"/>
          <w:rtl/>
        </w:rPr>
        <w:lastRenderedPageBreak/>
        <w:t>العقارات ووقعت في دوائر محاكم مختلفة ، $485 رفعت دعوى المحو بالنسبة إلى كل عقار أمام المحكمة التي يقع في دارئتها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6"/>
      </w:r>
      <w:r>
        <w:rPr>
          <w:rFonts w:cs="Traditional Arabic" w:hint="cs"/>
          <w:sz w:val="28"/>
          <w:szCs w:val="32"/>
          <w:vertAlign w:val="superscript"/>
          <w:rtl/>
        </w:rPr>
        <w:t xml:space="preserve"> )</w:t>
      </w:r>
      <w:r>
        <w:rPr>
          <w:rFonts w:cs="Traditional Arabic" w:hint="cs"/>
          <w:sz w:val="28"/>
          <w:szCs w:val="32"/>
          <w:rtl/>
        </w:rPr>
        <w:t xml:space="preserve"> . ولا يجوز التأشير بالمحو قبل أن يصبح الحكم الصادر به نهائياً غير قابل للطعن فيه بالطريق العادي ، وإن كان يقبل الطعن فيه بالنقض أو بالتماس إعادة النظر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227- كيف يكون المحو</w:t>
      </w:r>
      <w:r>
        <w:rPr>
          <w:rFonts w:cs="Traditional Arabic" w:hint="cs"/>
          <w:sz w:val="28"/>
          <w:szCs w:val="32"/>
          <w:rtl/>
        </w:rPr>
        <w:t xml:space="preserve"> : ولا يكون المحو ، اختيارياً كان أو قضائياً ، بإزالة القيد مادياً ، أو بالضرب عليه . وإنما يكون بالتأشير على هامش قيد الرهن بما يدل على اعتبار أن القيد غير موجود ، ويون التأشير من مكتب الشهر ، ويشير إلى السند الذي بموجبه حصل المحو ، رضاء كان أو قضاء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والغرض من التأشير على هامش القيد ، جعل دفاتر الشهر مطابقة للواقع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وقع الاتفاق بين الدائن المرتهن والراهن على تخليص بعض العقار عند دفع جزء من الدين ، ودفع جزء من الدين بالفعل ، وجب محو الرهن جزئياً بالتأشير بذلك على هامش القيد ، وذلك لإزالة الآثار التي تترتب على وجود القيد كاملا دون التأشير بدفع جزء من الدين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228- ما يترتب على المحو</w:t>
      </w:r>
      <w:r>
        <w:rPr>
          <w:rFonts w:cs="Traditional Arabic" w:hint="cs"/>
          <w:sz w:val="28"/>
          <w:szCs w:val="32"/>
          <w:rtl/>
        </w:rPr>
        <w:t xml:space="preserve"> : إذا كان المحو قد حصل دون أن يحصل النزول صراحة عن الرهن ، لم يفقد الدائن حقه في الرهن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29"/>
      </w:r>
      <w:r>
        <w:rPr>
          <w:rFonts w:cs="Traditional Arabic" w:hint="cs"/>
          <w:sz w:val="28"/>
          <w:szCs w:val="32"/>
          <w:vertAlign w:val="superscript"/>
          <w:rtl/>
        </w:rPr>
        <w:t xml:space="preserve"> )</w:t>
      </w:r>
      <w:r>
        <w:rPr>
          <w:rFonts w:cs="Traditional Arabic" w:hint="cs"/>
          <w:sz w:val="28"/>
          <w:szCs w:val="32"/>
          <w:rtl/>
        </w:rPr>
        <w:t xml:space="preserve"> . فيجوز $486 للدائن المرتهن ، إذا لم يُؤدَّ الدين وبقي الرهن ، أن </w:t>
      </w:r>
      <w:r>
        <w:rPr>
          <w:rFonts w:cs="Traditional Arabic" w:hint="cs"/>
          <w:sz w:val="28"/>
          <w:szCs w:val="32"/>
          <w:rtl/>
        </w:rPr>
        <w:lastRenderedPageBreak/>
        <w:t>يجري قيداً جديداً للرهن يأخذ مرتبته من وقت إجرائه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المحو قد حصل بعد النزول عن الرهن ، فلا يكون للدائن المرتهن أن يجري قيداً جديدً للرهن ، لأن الرهن قد زال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وعند الشك يعتبر أنه لم يحصل نزول من الرهن ، وإنما حصل عن القيد فقط</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229- مصروفات المحو</w:t>
      </w:r>
      <w:r>
        <w:rPr>
          <w:rFonts w:cs="Traditional Arabic" w:hint="cs"/>
          <w:sz w:val="28"/>
          <w:szCs w:val="32"/>
          <w:rtl/>
        </w:rPr>
        <w:t xml:space="preserve"> : مصروفات المحو تكون في الأصل على الراهن . وقد نصت المادة 1055 مدني على أن "مصروفات القيد وتجديده ومحوه على الراهن ، ما لم يتفق على غير ذلك" . ويلاحظ أنه إذا كان القيد قد أجرى بخطأ أحد ، كالدائن المرتهن ، كان هو المسئول ويكون ملزماً بدفع مصروفات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بيع العقار المرهون ، ودفع المشتري الثمن إلى أرباب الديون المقيدة ، فإن مصروفات المحوتكون في هذه الحالة على البائع ، إلا إذا وجد اتفاق على خلاف ذلك</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$487 ويلاحظ أن مصروفات المحو ليست مضمونة بالرهن ، كما ضمن الرهن مصروفات العقد والقيد والتجديد فيما أسلفنا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230- إلغاء المحو بعد حصوله</w:t>
      </w:r>
      <w:r>
        <w:rPr>
          <w:rFonts w:cs="Traditional Arabic" w:hint="cs"/>
          <w:sz w:val="28"/>
          <w:szCs w:val="32"/>
          <w:rtl/>
        </w:rPr>
        <w:t xml:space="preserve"> : قد يجد ما يستوجب إلغاء المحو بعد حصوله . فالمحو يحصل كما قدمنا ، إما لسبب يرجع إلى الدين المضمون ، وإما لسبب يرجع للرهن وحده دون الدين ،وإما لسبب يرجع إلى القيد ذاته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وأياً كان سبب المحو ، فقد يكون هذا السبب غير صحيح ، فيقتضي الأمر رفع دعوى بإلغاء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يكون السبب أن الدين المضمون أو الرهن باطلا أو قابلا للإبطال وقد أبطل ، أو أنه قد انقضى . عند ذلك ترفع دعوى بإبطال الدين المضمون أو بإبطال الرهن ، أو ترفع دعوى بانقضاء الدين أو باقتضاء الرهن ، فيحكم بذلك حكماً نهائياً ، ولكن إذا رفع عن هذا الحكم نقض أو التماس إعادة النظر لا ينتظر حكم النقض أو حكم إعادة النظر ، ويبادر إلى محو القيد اختياراً أو قضاء .</w:t>
      </w:r>
    </w:p>
    <w:p w:rsidR="00F72742" w:rsidRPr="00D65AB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السبب أن تقرير المحو قد صدر من ناقص الأهلية أو قد شاب عيب من عيوب الرضاء تقريره ، فيجوز للدائن الذي صدر منه التقرير بالمحو أن يحصل على حكم بإلغاء المحو ، فيلغي بموجب هذا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ذلك نرى أن هناك أسباباً متعددة لإلغاء المحو كما أن هناك أسباباً متعددة للمحو ذاته ، فإذا وجد سبب من أسباب إلغاء المحو ، حم يصدر من محكمة النقض أو  من محكمة التماس إعادة النظر ، أو حكم يصدر بإبطال تقرير المحو لصدوره من غير ذي أهلية أو من شخص شاب رضاءه عيب من عيوب الرضاء ، أو غير ذلك من الأسباب ، فإنه لا بد من صدور حكم بإلغاء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$488 </w:t>
      </w:r>
      <w:r>
        <w:rPr>
          <w:rFonts w:cs="Traditional Arabic" w:hint="cs"/>
          <w:b/>
          <w:bCs/>
          <w:sz w:val="28"/>
          <w:szCs w:val="32"/>
          <w:rtl/>
        </w:rPr>
        <w:t>231- الدعوى القضائية بإلغاء المحو</w:t>
      </w:r>
      <w:r>
        <w:rPr>
          <w:rFonts w:cs="Traditional Arabic" w:hint="cs"/>
          <w:sz w:val="28"/>
          <w:szCs w:val="32"/>
          <w:rtl/>
        </w:rPr>
        <w:t xml:space="preserve"> : ومتى وجد سبب لإلغاء المحو ، رفعت دعوى قضائية بإلغاء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وترفع الدعوى ، أمام محكمة العقار ، ممن يهمه إلغاء المحو .  فقد يكون الدائن المرتهن الذي أرغم على محو قيده ، وبعد صدور حكم بإلغاء المحو . . وقد يكون المدين ، وقد صدر حكم من محكمة </w:t>
      </w:r>
      <w:r>
        <w:rPr>
          <w:rFonts w:cs="Traditional Arabic" w:hint="cs"/>
          <w:sz w:val="28"/>
          <w:szCs w:val="32"/>
          <w:rtl/>
        </w:rPr>
        <w:lastRenderedPageBreak/>
        <w:t>لانقض أو من محكمة التماس إعادة النظر بأن الدين لم ينقض أو أنه غير قابل للإبطال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رفع دعوى بإلغاء المحو على الراهن ، لأنه هو الخصم الطبيعي في دعوى يراد بها إبقاء قيد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تحقق القاضي من أن المحو كان على غير أساس ، حكم بإلغائه ، فيعود القيد إلى ما كان عليه منتجاً لآثاره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2320- الدعوى دائما ضرورية في إلغاء المحو </w:t>
      </w:r>
      <w:r>
        <w:rPr>
          <w:rFonts w:cs="Traditional Arabic"/>
          <w:b/>
          <w:bCs/>
          <w:sz w:val="28"/>
          <w:szCs w:val="32"/>
          <w:rtl/>
        </w:rPr>
        <w:t>–</w:t>
      </w:r>
      <w:r>
        <w:rPr>
          <w:rFonts w:cs="Traditional Arabic" w:hint="cs"/>
          <w:b/>
          <w:bCs/>
          <w:sz w:val="28"/>
          <w:szCs w:val="32"/>
          <w:rtl/>
        </w:rPr>
        <w:t xml:space="preserve"> مصروفات الدعوى</w:t>
      </w:r>
      <w:r>
        <w:rPr>
          <w:rFonts w:cs="Traditional Arabic" w:hint="cs"/>
          <w:sz w:val="28"/>
          <w:szCs w:val="32"/>
          <w:rtl/>
        </w:rPr>
        <w:t xml:space="preserve"> : ويلاحظ أن المحو قد يتم اختياراً أو قضاء ، أما إلغاء المحو فلا يتم إلا قضاء . ولا بد من رفع دعوى بالإلغاء ، ولا يجوز التراضي أو الرضاء بالإلغاء</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للدائن الذي محي قيده ألا يلجأ إلى حكم بإلغاء المحو ، ويعمد إلى إجراء قيد جديد ، ولكن هذا القيد الجديد لا تكون مرتبته إلا من وقت إجرائه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4"/>
      </w:r>
      <w:r>
        <w:rPr>
          <w:rFonts w:cs="Traditional Arabic" w:hint="cs"/>
          <w:sz w:val="28"/>
          <w:szCs w:val="32"/>
          <w:vertAlign w:val="superscript"/>
          <w:rtl/>
        </w:rPr>
        <w:t xml:space="preserve"> )</w:t>
      </w:r>
      <w:r>
        <w:rPr>
          <w:rFonts w:cs="Traditional Arabic" w:hint="cs"/>
          <w:sz w:val="28"/>
          <w:szCs w:val="32"/>
          <w:rtl/>
        </w:rPr>
        <w:t xml:space="preserve"> . كذلك قد يكون الراهن قد أفلس وقت عمل القيد الجديد ، أو يكون العقار المرهون قد اشتراه حائز وسجلن فلا يستطيع الدائن أن يجري القيد الجيد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أراد الدائن المرتهن أن يستبقي قيده بالرغم من إفلاس الراهن وبالرغم من بيع العقار المرهون وتسجيل الحائز ، وأن يستبقيه بمرتبته الأصلية ، فلا مناص من دعوى إلغاء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$489 وعندما ترفع الدعوى بإلغاء المحو ، بين الدائن المرتهن وبني الراهن ، فالقاضي يحكم بمصروفات للدعوى ، أي بمصروفات دعوى إلغاء المحو ، على من يراه من الخصمين . فقد يكون الدائن المرتهن قد ارتكب خطأ في محو القيد  فيحكم عليه بالمصروفات ، وقد لا يثبت أي خطأ في جانب الدائن المرتهن فيحكم القاضي بالمصروفات على الراهن . وسواء تحمل المصروفات الدائن المرتهن أو الراهن فإنها لا تكون مضمونة بالرهن ، مثلها في ذلك مثل مصروفات المحو ، أما المصروفات التي تضمن بالرهن وفي مرتبته </w:t>
      </w:r>
      <w:r>
        <w:rPr>
          <w:rFonts w:cs="Traditional Arabic" w:hint="cs"/>
          <w:sz w:val="28"/>
          <w:szCs w:val="32"/>
          <w:rtl/>
        </w:rPr>
        <w:lastRenderedPageBreak/>
        <w:t>فهي ، كما قدمنا ، مصروفات العقد والقيد والتجديد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233- إجراء إلغاء المحو </w:t>
      </w:r>
      <w:r>
        <w:rPr>
          <w:rFonts w:cs="Traditional Arabic"/>
          <w:b/>
          <w:bCs/>
          <w:sz w:val="28"/>
          <w:szCs w:val="32"/>
          <w:rtl/>
        </w:rPr>
        <w:t>–</w:t>
      </w:r>
      <w:r>
        <w:rPr>
          <w:rFonts w:cs="Traditional Arabic" w:hint="cs"/>
          <w:b/>
          <w:bCs/>
          <w:sz w:val="28"/>
          <w:szCs w:val="32"/>
          <w:rtl/>
        </w:rPr>
        <w:t xml:space="preserve"> التأشير الهامش</w:t>
      </w:r>
      <w:r>
        <w:rPr>
          <w:rFonts w:cs="Traditional Arabic" w:hint="cs"/>
          <w:sz w:val="28"/>
          <w:szCs w:val="32"/>
          <w:rtl/>
        </w:rPr>
        <w:t xml:space="preserve"> : وإذا صدر حكم نهائي بإلغاء المحو ، فإن إلغاء المحو لا يكون بالشطب على المحو لإزالته . وإنما يكون إلغاء المحو بالتأشير على هامش المحو ذاته بأن هذا المحو قد ألغي . فإذا ما ألغي المحو ، عادت للقيد مرتبته الأصلية ، ويجب تجديده في خلال عشر سنوات من وقت إلغاء المحو</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234- ما يترتب على الحكم بإلغاء المحو</w:t>
      </w:r>
      <w:r>
        <w:rPr>
          <w:rFonts w:cs="Traditional Arabic" w:hint="cs"/>
          <w:sz w:val="28"/>
          <w:szCs w:val="32"/>
          <w:rtl/>
        </w:rPr>
        <w:t xml:space="preserve"> : ويترتب على الحكم بإلغاء المحو أن يعتبر المحو كأن لم يكن ، ويعود القيد وتعود له مرتبته الأصلية ، ويجب تجديده في المواعيد القانونية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$490 فيكون إذن لعودة القيد بمرتبته الأصلية ، عقب الحكم بإلغاء المحو ، أثر رجعي . ولا يكون لهذا الأثر الرجعي إلا استثناء واحد ، سيأتي ذكره في الفقرة التالية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فرض مثلا أن العقار قد قيدت عليه ثلاث رهون ، الأول في أول يناير سنة 1970 ، والثاني في أول يناير سنة 1971 ، والثالث في أول يناير سنة 1972 ، ثم محي القيد الأول في أول يناير سنة 1973 ، وألغى المحو في أول يناير سنة 1974 ، عاد العقار كما كان ، عليه ثلاثة قيود بالترتيب المتقدم . ذلك أنه لما محي القيد الأول ثم الغي المحو ، لم يتخلل المحو وإلغاء المحو قيد ، فتبقى القيود الثلاثة كما هي بترتيبها كما قدمنا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فرض أن العقار المرهون كان عليه قدي في أول يناير سنة 1970 ، وقيد آخر في أول يناير </w:t>
      </w:r>
      <w:r>
        <w:rPr>
          <w:rFonts w:cs="Traditional Arabic" w:hint="cs"/>
          <w:sz w:val="28"/>
          <w:szCs w:val="32"/>
          <w:rtl/>
        </w:rPr>
        <w:lastRenderedPageBreak/>
        <w:t>سنة 1971 ، ثم محي القيد الأول في أول يناير سنة 1972 ، وألغي المحو في أول يناير سنة 1973 ، ووقع على العقار المرهون بعد ذلك قيد جديد في أول يناير سنة 1974 ، بقي العقار مثقلا بهذه القيود الثلاثة بترتيبها ، لأن القيد الثالث لم يجد بين المحو وإلغائه ، وإنما أجري بعد إلغاء محو القيد الأول ، فجاء والقيد الأول قائم يحتل المرتبة الأولى ، والقيد الثاني يحتل المرتبة الثانية ، فيحتل هو المرتبة الثالثة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انهه يجب على أصحاب القيود الثلاثة أن يراعوا مواعيد القيد ، فيجددوه في الميعاد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235- مرتبة الدائن الذي محي قيده ثم الغي المحو</w:t>
      </w:r>
      <w:r>
        <w:rPr>
          <w:rFonts w:cs="Traditional Arabic" w:hint="cs"/>
          <w:sz w:val="28"/>
          <w:szCs w:val="32"/>
          <w:rtl/>
        </w:rPr>
        <w:t xml:space="preserve"> :</w:t>
      </w:r>
      <w:r w:rsidRPr="0071645B">
        <w:rPr>
          <w:rFonts w:cs="Traditional Arabic" w:hint="cs"/>
          <w:sz w:val="28"/>
          <w:szCs w:val="32"/>
          <w:rtl/>
        </w:rPr>
        <w:t xml:space="preserve"> وإذا تخلل المحو وإلغاءه </w:t>
      </w:r>
      <w:r>
        <w:rPr>
          <w:rFonts w:cs="Traditional Arabic" w:hint="cs"/>
          <w:sz w:val="28"/>
          <w:szCs w:val="32"/>
          <w:rtl/>
        </w:rPr>
        <w:t xml:space="preserve"> دائن مقيد ، تغير الوضع . وهذا هو الاستثناء من قاعدة الأثر الرجعي لإلغاء المحو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فنفرض أن الدائن الأول قيد رهنه في أول يناير سنة 1970 ، والدائن الثاني قيد رهنه في أول يناير سنة 1971 ، ثم محي القيد الأول في أول يناير سنة 1972 ، وقيد دائن ثالث رهنه في أول يناير سنة 1973 والقيد الأولى $491 ممحو ، ثم ألغي المحو في أول يناير سنة 1974 ، فماذا يكون ترتيب الدائن المرتهن الأول الذي محي قيده ثم أعيد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يكون له ترتيبان : ترتيب بالنسبة إلى الدائن الثاني الذي قيد رهنه قبل المحو ، وترتيب بالنسبة إلى  الدائن الثالث الذي تخلل المحو وإلغاء المحو . فبالنسبة إلى الدائن الثاني يبقى هو الدائن الأول ، وبالنسبة إلى الدائن الثالث يتأخر عنه لأن الدائن الثالث قد قيد رهنه وقيد الدائن الأول ممحو دون أن يلغي المحو</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6"/>
      </w:r>
      <w:r>
        <w:rPr>
          <w:rFonts w:cs="Traditional Arabic" w:hint="cs"/>
          <w:sz w:val="28"/>
          <w:szCs w:val="32"/>
          <w:vertAlign w:val="superscript"/>
          <w:rtl/>
        </w:rPr>
        <w:t xml:space="preserve"> )</w:t>
      </w:r>
      <w:r>
        <w:rPr>
          <w:rFonts w:cs="Traditional Arabic" w:hint="cs"/>
          <w:sz w:val="28"/>
          <w:szCs w:val="32"/>
          <w:rtl/>
        </w:rPr>
        <w:t xml:space="preserve"> </w:t>
      </w:r>
      <w:r>
        <w:rPr>
          <w:rFonts w:cs="Traditional Arabic" w:hint="cs"/>
          <w:sz w:val="28"/>
          <w:szCs w:val="32"/>
          <w:rtl/>
        </w:rPr>
        <w:lastRenderedPageBreak/>
        <w:t>.</w:t>
      </w:r>
    </w:p>
    <w:p w:rsidR="00F72742" w:rsidRPr="0071645B"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$492 وقد نصت المادة 46 من قانون تنظيم الشهر العقار على أنه "إذا ألغي المحو ، عادت مرتبته الأصلية . ومع ذلك لا يكون لإلغائه اثر رجعي بالنسبة إلى القيود والتسجيلات التي أجريت في الفترة ما بين المحو والإلغاء"</w:t>
      </w:r>
      <w:r>
        <w:rPr>
          <w:rFonts w:cs="Traditional Arabic" w:hint="cs"/>
          <w:sz w:val="28"/>
          <w:szCs w:val="32"/>
          <w:vertAlign w:val="superscript"/>
          <w:rtl/>
        </w:rPr>
        <w:t xml:space="preserve">( </w:t>
      </w:r>
      <w:r w:rsidRPr="00EC737F">
        <w:rPr>
          <w:rStyle w:val="ab"/>
          <w:rFonts w:cs="Traditional Arabic"/>
          <w:sz w:val="28"/>
          <w:szCs w:val="32"/>
          <w:rtl/>
        </w:rPr>
        <w:footnoteReference w:id="1037"/>
      </w:r>
      <w:r>
        <w:rPr>
          <w:rFonts w:cs="Traditional Arabic" w:hint="cs"/>
          <w:sz w:val="28"/>
          <w:szCs w:val="32"/>
          <w:vertAlign w:val="superscript"/>
          <w:rtl/>
        </w:rPr>
        <w:t xml:space="preserve"> )</w:t>
      </w:r>
      <w:r>
        <w:rPr>
          <w:rFonts w:cs="Traditional Arabic" w:hint="cs"/>
          <w:sz w:val="28"/>
          <w:szCs w:val="32"/>
          <w:rtl/>
        </w:rPr>
        <w:t xml:space="preserve"> .</w:t>
      </w:r>
    </w:p>
    <w:p w:rsidR="00F72742" w:rsidRPr="00AE7334" w:rsidRDefault="00F72742" w:rsidP="00F72742">
      <w:pPr>
        <w:widowControl w:val="0"/>
        <w:spacing w:after="120"/>
        <w:jc w:val="center"/>
        <w:rPr>
          <w:rFonts w:cs="Traditional Arabic" w:hint="cs"/>
          <w:b/>
          <w:bCs/>
          <w:sz w:val="44"/>
          <w:szCs w:val="44"/>
          <w:rtl/>
        </w:rPr>
      </w:pPr>
      <w:r w:rsidRPr="00AE7334">
        <w:rPr>
          <w:rFonts w:cs="Traditional Arabic" w:hint="cs"/>
          <w:b/>
          <w:bCs/>
          <w:sz w:val="44"/>
          <w:szCs w:val="44"/>
          <w:rtl/>
        </w:rPr>
        <w:t>المبحث الثاني</w:t>
      </w:r>
    </w:p>
    <w:p w:rsidR="00F72742" w:rsidRPr="00AE7334" w:rsidRDefault="00F72742" w:rsidP="00F72742">
      <w:pPr>
        <w:widowControl w:val="0"/>
        <w:spacing w:after="120"/>
        <w:jc w:val="center"/>
        <w:rPr>
          <w:rFonts w:cs="Traditional Arabic" w:hint="cs"/>
          <w:b/>
          <w:bCs/>
          <w:sz w:val="28"/>
          <w:szCs w:val="32"/>
          <w:rtl/>
        </w:rPr>
      </w:pPr>
      <w:r w:rsidRPr="00AE7334">
        <w:rPr>
          <w:rFonts w:cs="Traditional Arabic" w:hint="cs"/>
          <w:b/>
          <w:bCs/>
          <w:sz w:val="28"/>
          <w:szCs w:val="32"/>
          <w:rtl/>
        </w:rPr>
        <w:lastRenderedPageBreak/>
        <w:t>استعمال التقدم وحق التتبع</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236- متى يستعمل حقا التقدم والتتبع</w:t>
      </w:r>
      <w:r>
        <w:rPr>
          <w:rFonts w:cs="Traditional Arabic" w:hint="cs"/>
          <w:sz w:val="28"/>
          <w:szCs w:val="32"/>
          <w:rtl/>
        </w:rPr>
        <w:t xml:space="preserve"> : متى قيد الدائن المرتهن رهنه ، كان له أن يواجه الغير بحقه ، فيستعمل حق التقدم وحق التتبع . فنبحث كلا من الحقين بالتتابع .</w:t>
      </w:r>
    </w:p>
    <w:p w:rsidR="00F72742" w:rsidRPr="000F1EB0" w:rsidRDefault="00F72742" w:rsidP="00F72742">
      <w:pPr>
        <w:widowControl w:val="0"/>
        <w:spacing w:after="120"/>
        <w:jc w:val="center"/>
        <w:rPr>
          <w:rFonts w:cs="Traditional Arabic" w:hint="cs"/>
          <w:b/>
          <w:bCs/>
          <w:sz w:val="40"/>
          <w:szCs w:val="40"/>
          <w:rtl/>
        </w:rPr>
      </w:pPr>
      <w:r w:rsidRPr="000F1EB0">
        <w:rPr>
          <w:rFonts w:cs="Traditional Arabic" w:hint="cs"/>
          <w:b/>
          <w:bCs/>
          <w:sz w:val="40"/>
          <w:szCs w:val="40"/>
          <w:rtl/>
        </w:rPr>
        <w:t>المطلب الأول</w:t>
      </w:r>
    </w:p>
    <w:p w:rsidR="00F72742" w:rsidRPr="000F1EB0" w:rsidRDefault="00F72742" w:rsidP="00F72742">
      <w:pPr>
        <w:widowControl w:val="0"/>
        <w:spacing w:after="120"/>
        <w:jc w:val="center"/>
        <w:rPr>
          <w:rFonts w:cs="Traditional Arabic" w:hint="cs"/>
          <w:b/>
          <w:bCs/>
          <w:sz w:val="28"/>
          <w:szCs w:val="32"/>
          <w:rtl/>
        </w:rPr>
      </w:pPr>
      <w:r w:rsidRPr="000F1EB0">
        <w:rPr>
          <w:rFonts w:cs="Traditional Arabic" w:hint="cs"/>
          <w:b/>
          <w:bCs/>
          <w:sz w:val="28"/>
          <w:szCs w:val="32"/>
          <w:rtl/>
        </w:rPr>
        <w:t>حق التقدم</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237- ترتيب الدائنين</w:t>
      </w:r>
      <w:r>
        <w:rPr>
          <w:rFonts w:cs="Traditional Arabic" w:hint="cs"/>
          <w:sz w:val="28"/>
          <w:szCs w:val="32"/>
          <w:rtl/>
        </w:rPr>
        <w:t xml:space="preserve"> : تنص المادة 1056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"يستوفي الدائنون المرتهنون حقوقهم قبل الدائنين العاديين من ثمن $493 العقار المرهون ، أو من المال الذي حل محل هذا العقار ، بحسب مرتبة كل منهم ولو كانوا قد أجروا القيد في يوم واحد"</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ويفهم من هذا النص أن الدائنين يرتبون على الوجه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وجد دائنون مرتهنون رهناً رسمياً ( أو أصحاب حق اختصاص أو مرتهنون رهناً حيازياً على العقار أو أصحاب حقوق امتياز خاصة على عقار ) ، تقدموا يحسب مرتبة كل منهم . والسابق في المرتبة هو السابق في القيد . فإذا استنفدنا هؤلاء الدائنين ، يأتي الدائنون العاديون وكلهم متساوون في المرتبة فيتزاحموا على ما يبقى من أموال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ويلاحظ أن مرتبة الدائن المرتهن ( والدائنين الملحقين به ) يحددها مرتبة القيد ( م 1057 مدني ) ، </w:t>
      </w:r>
      <w:r>
        <w:rPr>
          <w:rFonts w:cs="Traditional Arabic" w:hint="cs"/>
          <w:sz w:val="28"/>
          <w:szCs w:val="32"/>
          <w:rtl/>
        </w:rPr>
        <w:lastRenderedPageBreak/>
        <w:t>ولو كان قيد الدائنين في يوم واحد . وقد نصت المادة 31 من قانون تنظيم الشهر العقاري على أن "يعد بالمكتب دفتر للشهر تثبت فيه المحررات وقوائم القيد على حسب الأحوال ، بأرقام متتابعة وفقاً لتواريخ وساعات تقديمها"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ab/>
        <w:t>فالأسبقية في القيد تتحد إذن بساعة التقديم ، فمن كان أسبق في الساعة قدم على المتأخر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39"/>
      </w:r>
      <w:r>
        <w:rPr>
          <w:rFonts w:cs="Traditional Arabic" w:hint="cs"/>
          <w:sz w:val="28"/>
          <w:szCs w:val="32"/>
          <w:vertAlign w:val="superscript"/>
          <w:rtl/>
        </w:rPr>
        <w:t xml:space="preserve"> )</w:t>
      </w:r>
      <w:r>
        <w:rPr>
          <w:rFonts w:cs="Traditional Arabic" w:hint="cs"/>
          <w:sz w:val="28"/>
          <w:szCs w:val="32"/>
          <w:rtl/>
        </w:rPr>
        <w:t xml:space="preserve"> . ولو تقدم اثنان في ساعة واحدة ، تساويا ولو كان أحدهما متأخراً بدقائق عن الآخر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$494 وفي حق التقدم ، بعد أن بينا أن الدائن المرتهن الأسبق في الترتيب هو الذي يتقدم على الدائنين التاليين في المرتبة وعلى الدائنين العاديين ، نحصر كلامنا ، بالنسبة إلى هذا الدائن الأسبق في الترتيب في ثلاثة مسائل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الدين المضمون ، فيما يتعلق بهذا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المال المرهون ، فيما يتعلق بهذا الدائن أيضاً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نزول الدائن المرتهن عن مرتبة رهنه لدائن مرتهن آخر .</w:t>
      </w:r>
    </w:p>
    <w:p w:rsidR="00F72742" w:rsidRPr="00CF1152" w:rsidRDefault="00F72742" w:rsidP="00F72742">
      <w:pPr>
        <w:widowControl w:val="0"/>
        <w:spacing w:after="120"/>
        <w:jc w:val="center"/>
        <w:rPr>
          <w:rFonts w:cs="Traditional Arabic" w:hint="cs"/>
          <w:b/>
          <w:bCs/>
          <w:sz w:val="28"/>
          <w:szCs w:val="32"/>
          <w:rtl/>
        </w:rPr>
      </w:pPr>
      <w:r w:rsidRPr="00CF1152">
        <w:rPr>
          <w:b/>
          <w:bCs/>
          <w:sz w:val="28"/>
          <w:szCs w:val="32"/>
          <w:rtl/>
        </w:rPr>
        <w:t>§</w:t>
      </w:r>
      <w:r w:rsidRPr="00CF1152">
        <w:rPr>
          <w:rFonts w:cs="Traditional Arabic" w:hint="cs"/>
          <w:b/>
          <w:bCs/>
          <w:sz w:val="28"/>
          <w:szCs w:val="32"/>
          <w:rtl/>
        </w:rPr>
        <w:t xml:space="preserve"> 1- الدين المضمون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238- الدين المضمون بالرهن يشمل أولا أصل الدين</w:t>
      </w:r>
      <w:r>
        <w:rPr>
          <w:rFonts w:cs="Traditional Arabic" w:hint="cs"/>
          <w:sz w:val="28"/>
          <w:szCs w:val="32"/>
          <w:rtl/>
        </w:rPr>
        <w:t xml:space="preserve"> : نبدأ بأصل الدين . وقد قدمنا أن أصل الدين يذكر في القيد ، فإذا ذكر على حقيقته أخذ به كما ذكر .وقد يذكر أصل الدين في القيد أكثر أو أقل . فإن ذكر أكثر ، فالعبرة بأصل الدين الحقيقي ، ولا عبرة بالزيادة المذكورة في القيد . وإن ذكر أقل ، فيؤخذ بهذا الأقل المذكور في القيد ، ولا عبرة بزيادة أصل الدين في الحقيقة على المذكور في القيد ، لأن هذه الزيادة $495 لم تقيد فهي إذن لم تشهر ، والعبرة بالقيد ما لم يزد على الحقيقة . وقد سبق الكلام في كل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239- الديون الشرطية والاحتمالية والمستقبلة</w:t>
      </w:r>
      <w:r>
        <w:rPr>
          <w:rFonts w:cs="Traditional Arabic" w:hint="cs"/>
          <w:sz w:val="28"/>
          <w:szCs w:val="32"/>
          <w:rtl/>
        </w:rPr>
        <w:t xml:space="preserve"> : الديون الشرطية هي ما أعلقت على شرط فاسخ أو على شرط واقف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فإن علقت على شرط فاسخ ، فهي ديون موجودة حقاً ولكنها تزول إذا تحقق الشرط الفاسخ . فلا يحرم الدائن المعلق حقه على شرط فاسخ من الاشتراك في التوزيع بحسب مرتبة رهنه ، ومن الحصول على نصيبه في التوزيع . وقد استقر الفقه والقضاء في فرنسا على إلزام هذا الدائن بتقديم ضمان يكفل رد ما استوفاه ، إذ تحقق الشرط الفاسخ</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0"/>
      </w:r>
      <w:r>
        <w:rPr>
          <w:rFonts w:cs="Traditional Arabic" w:hint="cs"/>
          <w:sz w:val="28"/>
          <w:szCs w:val="32"/>
          <w:vertAlign w:val="superscript"/>
          <w:rtl/>
        </w:rPr>
        <w:t xml:space="preserve"> )</w:t>
      </w:r>
      <w:r>
        <w:rPr>
          <w:rFonts w:cs="Traditional Arabic" w:hint="cs"/>
          <w:sz w:val="28"/>
          <w:szCs w:val="32"/>
          <w:rtl/>
        </w:rPr>
        <w:t xml:space="preserve"> . وفي هذه الحالة ، يعاد توزيع ما رده الدائن تحت شرط فاسخ على سائر الدائنين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علق الدين على شرط واقف ، فهو دين محتمل الوجود ولكنه غير متأكد . وهذا يمنع الدائن من المطالبة بحصة عاجلة في التوزيع لأن حقه احتمالي ، فلا يجوز حرمان الدائنين التالين له في المرتبة من استيفاء حقوقهم من كل ثمن العقار . والرأي الراجح أن تقدر لهذا الدائن تحت شرط واقف حصة احتمالية هي مقدار دينه المعلق على شرط واقف ، ويتم التوزيع الفعلي لثمن العقار بأكمله على الدائنين التاليين في المرتبة ، ولكن يلتزم هؤلاء الدائنون بتقديم تأمين يضمن الوفاء بحصة الدائن تحت شرط واقف فيما إذا تحقق الشرط</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1"/>
      </w:r>
      <w:r>
        <w:rPr>
          <w:rFonts w:cs="Traditional Arabic" w:hint="cs"/>
          <w:sz w:val="28"/>
          <w:szCs w:val="32"/>
          <w:vertAlign w:val="superscript"/>
          <w:rtl/>
        </w:rPr>
        <w:t xml:space="preserve"> )</w:t>
      </w:r>
      <w:r>
        <w:rPr>
          <w:rFonts w:cs="Traditional Arabic" w:hint="cs"/>
          <w:sz w:val="28"/>
          <w:szCs w:val="32"/>
          <w:rtl/>
        </w:rPr>
        <w:t xml:space="preserve"> .</w:t>
      </w:r>
    </w:p>
    <w:p w:rsidR="00F72742" w:rsidRPr="00702FD4"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وإذا كان الدين ناشئاً عن فتح حساب جار ، فهذا دين احتمالي مستقبل . احتال لأنه لا يعرف من سيكون الدائن قبل إقفال الحساب الجاري ، ومستقبل لأنه أياً كان الدائن فحقه لما يوجد بعد ولكنه سيوجد في المستقبل . $496 ففي الفترة التي يستمر خلالها قيد الحقوق والالتزامات يكون الدين المضمون بالرهن احتمالياً ومستقبلا . ولا يتحقق وجوده ولا يتحدد مقداره إلا بقطع الرصيد وإقراره . لا بد م ذكره في العقد وفي قائمة القيد . وكثيراً ما يحدث في العمل أن يعلق المصرف فتح الحساب الجاري على تقديم ضمان من العميل يكفل الوفاء بما قد يترتب عليه  من ديون ، فإذا قدم رهناً رسمياً وأجرى قيد الرهن ، حسبت مرتبته من تاريخ قيده في نطاق المبلغ المحدد في قائمة القيد . وإذا كان الرهن يضمن الوفاء بالدين الناشئ عن الحساب الجاري خلال فترة معينة ، لمدة سنة مثلا ، فلا يستطيع المصرف أن يحتج برهنه إلا في حدود المبالغ التي قد تستحق له عند انقضاء هذه السنة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2"/>
      </w:r>
      <w:r>
        <w:rPr>
          <w:rFonts w:cs="Traditional Arabic" w:hint="cs"/>
          <w:sz w:val="28"/>
          <w:szCs w:val="32"/>
          <w:vertAlign w:val="superscript"/>
          <w:rtl/>
        </w:rPr>
        <w:t xml:space="preserve"> )</w:t>
      </w:r>
      <w:r>
        <w:rPr>
          <w:rFonts w:cs="Traditional Arabic" w:hint="cs"/>
          <w:sz w:val="28"/>
          <w:szCs w:val="32"/>
          <w:rtl/>
        </w:rPr>
        <w:t xml:space="preserve"> . وإذا بيع العقار  المرهون ، جاز للمصرف استيفاء حصته ، فإذا تبين فيما بعد أنه مستحق لها صرفت له ، وإلا وزعت على سائر الدائنين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1057 مدني على أن "تحسب مرتبة الرهن من وقت قيده ، ولو كان الدين المضمون بالرهن معلناً على شرط أو كان ديناً مستقبلا أو احتمالياً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$497 </w:t>
      </w:r>
      <w:r>
        <w:rPr>
          <w:rFonts w:cs="Traditional Arabic" w:hint="cs"/>
          <w:b/>
          <w:bCs/>
          <w:sz w:val="28"/>
          <w:szCs w:val="32"/>
          <w:rtl/>
        </w:rPr>
        <w:t>240- الإيراد المترب مدى الحياة</w:t>
      </w:r>
      <w:r>
        <w:rPr>
          <w:rFonts w:cs="Traditional Arabic" w:hint="cs"/>
          <w:sz w:val="28"/>
          <w:szCs w:val="32"/>
          <w:rtl/>
        </w:rPr>
        <w:t xml:space="preserve"> : وقد يكون الدين المضمون بالرهن إيراداً مرتباً مدى الحياة .</w:t>
      </w:r>
    </w:p>
    <w:p w:rsidR="00F72742" w:rsidRPr="0017783E"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استقر الفقه والقضاء الراجح في فرنسا على الدائن بهذا المرتب لا يستأثر بأس مال يعاد الأقساط العادية التي قد تستحق له ، لأن عدد هذه الأقساط غير معلوم ما دام المترب الإيراد مدى حياته لم يمت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ذهب رأي إلى وجوب حبس رأس مال معين يودع بتوجيه المحكمة ، ويستثمر استثماراً من شأنه تمكين الدائن من الحصول على مرتبه . ولكن يعاب على هذا الرأي انهه يصعب كثيراً تقدير رأس المال هذا لأن المرتب الإيراد على حياته لا يزال حياً ، ولا يعلم متى يموت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وذهب رأي آخر ، وهو أصح من الناحية العلمية ، إلى القول بأن ثمن العقار المرهون يوزع على سائر الدائنين بحسب مراتبهم ، ولكن يشترط أن الدائنين المتأخرين عن الإيراد المرتب يتعهدون متضامنين بأداء المرتب في مواعيد استحقاقه الدورية .وقد يضاف وجوب تقديم ضمان عيني يعوض الدائن بالمرتب ما فاته من زوال الرهن المقرر على العقار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$498 </w:t>
      </w:r>
      <w:r>
        <w:rPr>
          <w:rFonts w:cs="Traditional Arabic" w:hint="cs"/>
          <w:b/>
          <w:bCs/>
          <w:sz w:val="28"/>
          <w:szCs w:val="32"/>
          <w:rtl/>
        </w:rPr>
        <w:t xml:space="preserve">241- ملحقات الدين المضمونة بالرهن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1058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يترتب على قيد الرهن إدخال مصروفات العقد والقيد والتجديد إدخالا ضمنياً في التوزيع وفي </w:t>
      </w:r>
      <w:r>
        <w:rPr>
          <w:rFonts w:cs="Traditional Arabic" w:hint="cs"/>
          <w:sz w:val="28"/>
          <w:szCs w:val="32"/>
          <w:rtl/>
        </w:rPr>
        <w:lastRenderedPageBreak/>
        <w:t>مرتبة الرهن نفسها"آ</w:t>
      </w:r>
    </w:p>
    <w:p w:rsidR="00F72742" w:rsidRPr="00C10EE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ذكر سعر الفائدة في العقد ، فإنه يترتب على قيد الرهن أن يدخل في التوزيع مع أصل الدين وفي نفس مرتبة الرهن فوائد السنتين السابقتين على تسجيل تنبه نزع الملكية والفوائد التي تستحق من هذا التاريخ إلى يوم رسو المزاد ، دون مساس بالقيود الخاصة التي تؤخذ ضماناً لفوائد أخرى قد استحقت والتي تحسب مرتبتها من وقت إجرائها . وإذا سجل أحد للدائنين تنبيه نزع الملكية ، انتفع سائر الدائنين بهذا التسجيل"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سبق أن بنا أن هناك ديوناً تلحق بأصل الدين ، يضمنها الرهن دون أن تذكر ، وهذه هي : ( 1 ) مصروفات العقد ومصروفات القيد ومصروفات التجديد . ( 2 ) فوائد السنتين السابقتين على تسجيل تنبيه نزع الملكية والفوائد المستحقة بعد ذلك من يوم تسجيل تنبيه نزع الملكية إلى يوم رسو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الديون ( المصروفات والفوائد ) يضمنها الرهن بمرتبته دون ذكر خاص ، وما عداها من ملحقات الدين ، كالعقارات بالتخصيص والفوائد $499 قبل السنتين السابقتين على تسجيل التنبيه وكذل أي شيء آخر يراد إدخاله في ضمان الرهن ، لا بد من ذكره ذكراً خاصاً في عقد الرهن وكذلك في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وجاء في المذكرة الإيضاحية للمشروع التمهيدي : "وغني عن البيان أن هذا الحكم يعدل كل العدل </w:t>
      </w:r>
      <w:r>
        <w:rPr>
          <w:rFonts w:cs="Traditional Arabic" w:hint="cs"/>
          <w:sz w:val="28"/>
          <w:szCs w:val="32"/>
          <w:rtl/>
        </w:rPr>
        <w:lastRenderedPageBreak/>
        <w:t>بحقوق الدائن ، ويكفل من الحماية ما يؤمنه من بطء إجراءات التنفيذ . ثم يحفه بحمى الدائنين بعضهم من البعض الآخر ، من طريق تحقيق المساواة بينهم في توزيع الفوائد المستحقة قبل الراسي عليه المواد وقبل الخزانة ، إذ تقسم بينهم قسمة غرماء ، دون تمييز بين دائن مضمون حقه ودائن لا ضمان    له"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والمقصود بالفوائد التي توزع على الدائنين جميعاً قسمة غرماء ، دون تمييز بين دائن ودائن ولو كان الدائن الآخر دائناً عاديا ، هي الفوائد التي تستحق بعد يوم رسو المزاد ، والتي قد يدفعها الراسي عليه المزاد أو خزانة المحكمة ، فإنها تقسم بين الدائنين جميعاً قسمة غرماء ، دون تمييز بين دائن ودائن ، ولو كان الآخر دائنا عادياً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ونعرض بعد ذلك لصور من التزاحم مع الدائن المرتهن رهناً رسمياً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242- التزاحم بين دائن مرتهن رهنا رسميا ودائن آخر مرتهن رهنا رسميا</w:t>
      </w:r>
      <w:r>
        <w:rPr>
          <w:rFonts w:cs="Traditional Arabic" w:hint="cs"/>
          <w:sz w:val="28"/>
          <w:szCs w:val="32"/>
          <w:rtl/>
        </w:rPr>
        <w:t xml:space="preserve"> : إذا تزاحم دائنان مرتهنان رهناً رسمياً ، فالعبرة بالأسبقية في القيد . والموظف المختص يذكر يوم وساعة تقديم الطلب ، فمن كان طلبه أسبق ولو بساعة يتقدم على الطالب المتأخر . فإذا قدم الاثنان طلبهما في يوم واحد وفي ساعة واحدة ، تعادلا ولا يتقدم أحدهما على الآخر ، بل يكون الاثنان في مرتبة واحدة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أنه إذا رهن أحد الشركاء حصة شائعة أو جزءاً مفرزاً في عقار $500 مملوك على الشيوع ، ثم انتقل هذا الرهن إلى عقار وقع في نصيب الشريك الراهن ، فإن هذا الانتقال يتم وفقاً لإجراءات معينة ، ويقتضي إجراء قيد جديد للاحتفاظ بمرتبة الرهن السابق ( م 1039 مدني ) . ولكن الاحتفاظ بهذا المرتبة بموجب هذا الإجراء لا يجوز أن يضر برهن تقرر على العقار ، وكان صادراً من جميع الشركاء . ولذلك عند ما يتزاحم دائن مرتهن من شريك واحد استقر حقه على العقار الذي انتقل إليه الرهن ، والدائن المرتهن من جميع الشركاء فضل هذا الدائن المرتهن من جميع الشركاء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تقدم ذكر ذلك فيما 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243- التزاحم بين دائن مرتهن رهنا رسميا ودائن له حق امتياز عام :</w:t>
      </w:r>
      <w:r>
        <w:rPr>
          <w:rFonts w:cs="Traditional Arabic" w:hint="cs"/>
          <w:sz w:val="28"/>
          <w:szCs w:val="32"/>
          <w:rtl/>
        </w:rPr>
        <w:t xml:space="preserve"> المفروض هنا أنه يوجد </w:t>
      </w:r>
      <w:r>
        <w:rPr>
          <w:rFonts w:cs="Traditional Arabic" w:hint="cs"/>
          <w:sz w:val="28"/>
          <w:szCs w:val="32"/>
          <w:rtl/>
        </w:rPr>
        <w:lastRenderedPageBreak/>
        <w:t>دائن مرتهن رهناً رسمياً على عقار ، ويتزاحم معه دائن آخر غير مرتهن ولكن له امتياز عام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1134/2 مدني على أن "حقوق الامتياز العام ، ولو كان محلها عقاراص ، لا يجب فيها الشهر ، ولا يثبت فيها حق التتبع . ولا حاجة للشهر أيضاً في حقوق الامتياز العقارية لاضامنة لمبالغ مستحقة للخزانة العامة . وهذه الحقوق الممتازة جميعاً تكون اسبق في المرتبة على أي حق امتيازي آخر أو أي حق رهن رسمي ، مهما كان تاريخ قيده"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أيضاً في المادة 1138/2 مدنين بالنسبة إلى امتياز المصروفات القضائية أن "تستوفي هذه المبالغ قبل أي نحق آخر ، ولو كان ممتازاً أو مضموناً برهن 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أيضاً في المادة 1138/2 مدني ، بالنسبة إلى امتياز المصروفات القضائية ، أن "تستوفي هذه المبالغ قبل أي حق آخر ، ولو كان ممتازاً أو مضموناً برهن 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$501  وجاء في المادة 1139/2 مدني ، بالنسبة إلى المبالغ المستحقة للخزانة العامة ، "وتستوفي هذه المبالغ ن ثمن الأموال المثقلة بهذا الامتياز في أية يد كانت قبل أي حق آخر ، ولو كمان ممتازاً أو مضموناً برهن رسمي : عدا المصروفات القضائية"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ويستفاد من كل هذه النصوص أن الدائن المزود بحق امتياز عام ، وهو لا يشهر ، يفضل على الدائن المرتهن رهناً رسمياً أياً كان تاريخ قيده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244- التزاحم بين دائن مرتهن رهنا رسميا ودائن مزود بتأمين عقاري خاص</w:t>
      </w:r>
      <w:r>
        <w:rPr>
          <w:rFonts w:cs="Traditional Arabic" w:hint="cs"/>
          <w:sz w:val="28"/>
          <w:szCs w:val="32"/>
          <w:rtl/>
        </w:rPr>
        <w:t xml:space="preserve"> : والدائن المزود بتأمين عقاري خاص مثله دائن مرتهن رهناً حيازياً ، ودائن تقرر له حق اختصص ، ودائن مزود بامتياز عقاري خاص .</w:t>
      </w:r>
    </w:p>
    <w:p w:rsidR="00F72742" w:rsidRPr="006444B4"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تكون الأفضلية هنا للدائن الأسبق في القيد ، فإذا كان هو الدائن المرتهن رهناً رسمياً تقدم عليهم جميعاً ، وإلا قدم من الدائنين الآخرين من كان اسبق في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وهناك استثناءات ثلاثة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( 1 ) نصت المادة 1148 مدني على أن "1- المبالغ المستحقة للمقاولين والمهندسين المعماريين </w:t>
      </w:r>
      <w:r>
        <w:rPr>
          <w:rFonts w:cs="Traditional Arabic" w:hint="cs"/>
          <w:sz w:val="28"/>
          <w:szCs w:val="32"/>
          <w:rtl/>
        </w:rPr>
        <w:lastRenderedPageBreak/>
        <w:t>الذي عهد إليهم في تشييد أبنية أو منشآت أخرى أو في إعادة تشييدها أو في ترميمها أو صيانتها ، يكون لها امتياز على المنشآت ، ولكن بقدر ما يكون زائداً بسبب هذه الأعمال في قيمة العقار وقت بيعه . 2- ويجب أن يقيد هذا الامتياز ، وتكون مرتبته من وقت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نصت المادة 1136 مدني على أن "يشمل الرهن ملحقات العقار المرهون التي تعتبر عقاراً ، ويشمل بوجه خاص حقوق الارتفاق والعقارات بالتخصيص والتحسينات والإنشاءات التي تعود بمنفعة على المالك ، ما لم يتفق على غير ذلك . مع عدم الإخلال بامتياز المبالغ المستحقة للمقاولين أو المهندسين المعماريين المنصوص عليه في المادة 1148"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7$502 ( 2 ) نصت المادة 1049 مدني على أن "للشركاء الذين اقتسموا عقاراً حق امتياز عليه تأميناً لما تخوله القسمة من حق في رجوع كل منهم على الآخرين ، بما في ذلك حق المطالبة بمعدل القسمة . ويجب أن يقيد هذا الامتياز ، وتكون مرتبته من وقت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الامتياز يتقدم على حق الدائن المرتهن من شريك على الشيوع ، إذ انتقل الرهن بعد القسمة إلى أعيان أخرى غير التي رهنت أصلا"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8"/>
      </w:r>
      <w:r>
        <w:rPr>
          <w:rFonts w:cs="Traditional Arabic" w:hint="cs"/>
          <w:sz w:val="28"/>
          <w:szCs w:val="32"/>
          <w:vertAlign w:val="superscript"/>
          <w:rtl/>
        </w:rPr>
        <w:t xml:space="preserve"> )</w:t>
      </w:r>
      <w:r>
        <w:rPr>
          <w:rFonts w:cs="Traditional Arabic" w:hint="cs"/>
          <w:sz w:val="28"/>
          <w:szCs w:val="32"/>
          <w:rtl/>
        </w:rPr>
        <w:t xml:space="preserve"> . </w:t>
      </w:r>
    </w:p>
    <w:p w:rsidR="00F72742" w:rsidRPr="0064229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ويتعلق هذا الاستثناء بحق الاختصاص من دائن يعلم أن المدين رهن العقار ، المأخوذ عليه حق اختصاص ، من قبل لدائن آخر . هنا تثبت الأولوية للدائن المرتهن حتى لو كان الاختصاص مقيداً في تاريخ سابق على قيد الرهن ، ما دام صاحب الاختصاص كان على علم بسبق تقرير الرهن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49"/>
      </w:r>
      <w:r>
        <w:rPr>
          <w:rFonts w:cs="Traditional Arabic" w:hint="cs"/>
          <w:sz w:val="28"/>
          <w:szCs w:val="32"/>
          <w:vertAlign w:val="superscript"/>
          <w:rtl/>
        </w:rPr>
        <w:t xml:space="preserve"> )</w:t>
      </w:r>
      <w:r>
        <w:rPr>
          <w:rFonts w:cs="Traditional Arabic" w:hint="cs"/>
          <w:sz w:val="28"/>
          <w:szCs w:val="32"/>
          <w:rtl/>
        </w:rPr>
        <w:t xml:space="preserve"> .</w:t>
      </w:r>
    </w:p>
    <w:p w:rsidR="00F72742" w:rsidRPr="002F1756" w:rsidRDefault="00F72742" w:rsidP="00F72742">
      <w:pPr>
        <w:widowControl w:val="0"/>
        <w:spacing w:after="120"/>
        <w:jc w:val="center"/>
        <w:rPr>
          <w:rFonts w:cs="Traditional Arabic" w:hint="cs"/>
          <w:b/>
          <w:bCs/>
          <w:sz w:val="28"/>
          <w:szCs w:val="32"/>
          <w:rtl/>
        </w:rPr>
      </w:pPr>
      <w:r w:rsidRPr="002F1756">
        <w:rPr>
          <w:b/>
          <w:bCs/>
          <w:sz w:val="28"/>
          <w:szCs w:val="32"/>
          <w:rtl/>
        </w:rPr>
        <w:t>§</w:t>
      </w:r>
      <w:r w:rsidRPr="002F1756">
        <w:rPr>
          <w:rFonts w:cs="Traditional Arabic" w:hint="cs"/>
          <w:b/>
          <w:bCs/>
          <w:sz w:val="28"/>
          <w:szCs w:val="32"/>
          <w:rtl/>
        </w:rPr>
        <w:t xml:space="preserve"> 2- المال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245- المال الذي حل محل العقار المرهون</w:t>
      </w:r>
      <w:r>
        <w:rPr>
          <w:rFonts w:cs="Traditional Arabic" w:hint="cs"/>
          <w:sz w:val="28"/>
          <w:szCs w:val="32"/>
          <w:rtl/>
        </w:rPr>
        <w:t xml:space="preserve"> : رأينا أن المادة 1056 مدني تنص على أن "يستوفي الدائنون المرتهنون حقوقهم قبل الدائنين العاديين من ثمن العقار المرهون أو من المال الذي حل محل هذا العقار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ونصت المادة 1049 مدني على أنه "إذا هلك العقار المرهون أو تلف لأي سبب ، انتقل الرهن بمرتبته إلى الحق الذي يترتب على ذلك ، كالتعويض أو مبلغ التأمين أو الثمن الذي يقدر مقابل نزع ملكيته للمنفعة العامة",</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 المرتهن رهناً رسمياً لا يستوفي حقه من ثم العقار المرهون فسحب ، بل أيضاً يستوفيه من المال الذي حل محل العقار المرهون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0"/>
      </w:r>
      <w:r>
        <w:rPr>
          <w:rFonts w:cs="Traditional Arabic" w:hint="cs"/>
          <w:sz w:val="28"/>
          <w:szCs w:val="32"/>
          <w:vertAlign w:val="superscript"/>
          <w:rtl/>
        </w:rPr>
        <w:t xml:space="preserve"> )</w:t>
      </w:r>
      <w:r>
        <w:rPr>
          <w:rFonts w:cs="Traditional Arabic" w:hint="cs"/>
          <w:sz w:val="28"/>
          <w:szCs w:val="32"/>
          <w:rtl/>
        </w:rPr>
        <w:t xml:space="preserve"> . ذك أن هذا $503 الحق يتعلق بالقيمة الاقتصادية للعقار المرهون ، وهذه القيمة الاقتصادية تتمثل في قيمة المال الذي حل محل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والصورة المأمونة لتحويل العقار المرهون إلى مقابل نقدي هي بيعه بيعاً جبرياً ، واستيفاء الحق من الثمن الذي رسا به المزاد . والبيع طريقة لتقويم العقار بمبلغ من النقود ، وتوجد طرق أخرى كمبلغ التعويض وعوض التأمين وما يستحق عن نزع ملكية العقار المرهون للمنفعة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ونقتصر هنا على استعراض هذه الحالات الثلاث :مبلغ التعويض ، وعوض التأمين ، ومقابل نزع الملكية للمنفعة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246- مبلغ التعويض</w:t>
      </w:r>
      <w:r>
        <w:rPr>
          <w:rFonts w:cs="Traditional Arabic" w:hint="cs"/>
          <w:sz w:val="28"/>
          <w:szCs w:val="32"/>
          <w:rtl/>
        </w:rPr>
        <w:t xml:space="preserve"> : نفرض هنا أن العقار المرهون قد هلك أو تلف بخطأ الغير ، فيكون على الغير أن يدفع مبلغ التعويض . وقد حل مبلغ التعويض هذا محل العقار المرهون ، فينتقل إليه حق الرهن ، ويباشر عليه حق التقدم الدائن المرتهن رهناً رسمياً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ويجب على الدائن المرتهن الذي يرغب في المحافظة على حقه أن يبادر ، فور هلاك العقار المرهون أو </w:t>
      </w:r>
      <w:r>
        <w:rPr>
          <w:rFonts w:cs="Traditional Arabic" w:hint="cs"/>
          <w:sz w:val="28"/>
          <w:szCs w:val="32"/>
          <w:rtl/>
        </w:rPr>
        <w:lastRenderedPageBreak/>
        <w:t>تلفه ، إلى إخطار المسئول عن هذا الهلاك أو التلف بالامتناع عن أداء التعويض إلى الراهن ، لأن العقار الهالك أو التالف 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للدائن المرتهن أن يبادر إلى حجز ما للمدين لدى الغير ، والغير هنا هو المسئول عن الهلاك أو التلف ، والمدين هو صاحب العقار المرهون ، $504 ومن ثم يلجأ الدائن المرتهن إلى حجز ما لصاحب العقار المرهون وهو المدين ، لدى المسئول عن التلف أو الهلاك وهو الغير ، من تعويض مستحق بسبب التلف أو الهلاك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247- عوض التأمين</w:t>
      </w:r>
      <w:r>
        <w:rPr>
          <w:rFonts w:cs="Traditional Arabic" w:hint="cs"/>
          <w:sz w:val="28"/>
          <w:szCs w:val="32"/>
          <w:rtl/>
        </w:rPr>
        <w:t xml:space="preserve"> : والمفروض هنا أن العقار المرهون كان مؤمناً عليه ، فاحترق مثلا ، فاستحق عوض التأمين .</w:t>
      </w:r>
    </w:p>
    <w:p w:rsidR="00F72742" w:rsidRPr="00702457"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اتجه جانب من الفقه الفرنسي إلى أن شركة التأمين لا تؤدي عوض التأمين ، بل تحتفظ به لأن الرهن قد شهر بالقيد . وقد يقال هنا إن شهر الرهن لم يشرع لإخطار الناس كافة بوجود الرهن ، بل شرع لصالح من يتعاملون مع الراهن في العقار المرهون ، فيحكم التزاحم بينهم قاعدة الأسبقية في الشهر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واتجه الفقه الغالب في فرنسا إلى القول بأن على الدائن المرتهن ، إذا ما هلك العقا راو تلف ، أن يبادر إلى إخطار شركة التأمين بوجود رهنه . وإخطار الشركة في الوقت المناسب بمنعها من دفع عوض التأمين إلى صاحب العقار المرهون ، والتربص به حتى يسوي الخلاف بين الراهن والدائن المرتهن ، أو حتى يستوفي الدائن المرتهن مطلوبة من شركة التأمين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ولكن المادة 770/2 مدني مصري تنص ، كما رأينا ، على أنه "إذا شهرت هذه الحقوق ( التأمينات العينية التبعية ) أو أعلنت إلى المؤمن ولو بكتاب موصي عليه ، فلا يجوز له أن يدفع ما في ذمته له إلا برضاء الدائنين" . ومعنى ذلك أنه يكفي شهر حق الدائن المرتهن رهناً رسمياً ، وكل دائن آخر له حق عيني تبعي عقاري ، لوقف شركة التأمين عن دفع ما في ذمتها لصاحب العقار المرهون ، إلا برضاء الدائن المرتهن رهناً رسمياً أو غيره من الدائنين ذو الحقوق العينية التبعية العقارية . فيجب إذن الاكتفاء بشهر حق الرهن الرسمي ، وعلى شركة التأمين أن تعرف ذلك من الرجوع إلى دفاتر الشهر ، وهذا هو الرأي الأول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$505 </w:t>
      </w:r>
      <w:r>
        <w:rPr>
          <w:rFonts w:cs="Traditional Arabic" w:hint="cs"/>
          <w:b/>
          <w:bCs/>
          <w:smallCaps/>
          <w:sz w:val="28"/>
          <w:szCs w:val="32"/>
          <w:rtl/>
        </w:rPr>
        <w:t>248- مقابل نزاع الملكية للمنفعة العامة</w:t>
      </w:r>
      <w:r>
        <w:rPr>
          <w:rFonts w:cs="Traditional Arabic" w:hint="cs"/>
          <w:smallCaps/>
          <w:sz w:val="28"/>
          <w:szCs w:val="32"/>
          <w:rtl/>
        </w:rPr>
        <w:t xml:space="preserve"> : القانون 577 لسنة 1954 ببيان طرق حماية </w:t>
      </w:r>
      <w:r>
        <w:rPr>
          <w:rFonts w:cs="Traditional Arabic" w:hint="cs"/>
          <w:smallCaps/>
          <w:sz w:val="28"/>
          <w:szCs w:val="32"/>
          <w:rtl/>
        </w:rPr>
        <w:lastRenderedPageBreak/>
        <w:t>أصحاب الحقوق العينية التبعية . فنصت المادة 6 من هذا القانون على ما يأتي : "تعد المصلحة القائمة بإجراءات نزع الملكية كشوفاً من  واقع عملية الحصر سالفة الذكر ، تبين فيها العقارات والمنشآت التي تم حصرها ومساحتها ومواقفها وأسماء ملاكها وأصحاب الحقوق فيها ومحال إقامتهم والتعويضات التي تقدر لهم . وتعرض هذه الكشوف ، ومعها خرائط تبين مواقع هذه الممتلكات ، في المقر الرئيسي للمصلحة ، وفي المكتب التابع لها بعاصمة المديرية أو المحافظة ، وفي مقر العمدة أو مقر البوليس ، لمدة شهر . ويخطر الملاك وأصحاب الشأن بهذا العرض ، بخطاب موصي عليه بعلم الوصول . ويسبق هذا لعرض إعلان في الجريدة الرسمية ، وفي جريدتين يوميتين واسعتي الانتشار ، يشمل بيان المشروع ، والمواعيد المحددة لعرض الكشوف والخرائط في الأماكن المذكورة" . وتقول المادة 7 من القانون المذكور إن "لذوي الشأن من الملاك وأصحاب الحقوق ، خلال ثلاثين يوما؟ً من تاريخ انتهاء مدة عرض الكشوف ، الاعتراض على البيانات الواردة فيها  . . . وإذا كان الاعتراض متعلقاً بحق على العين الواردة في الكشوف المتقدمة الذكر ، وجب أن يرفق بكافة المستندات المؤدية له ، وتاريخ شهر الحقوق المقدم بشأنها الاعتراض ، وأرقامها" . وتقرر المادة 11 من القانون المتقدم الذكر أن "على المصلحة القائمة بإجراءات نزع الملكية أن تحقق في المعارضات التي يقدمها أصحاب الشأن طبقاً لما هو منصوص عليه في المادة 7 ، لتقرر دفع التعويض المستحق .ويكون قيام المصلحة بأداء التعويض في هذه الحالة على مسئوليتها . وإذا قام مانع يحول دون دفع التعويض المستحق ، وجب على المصلحة إخطار ذوي الشأن بكتاب موصي عليه بعلم الوصول ، وبالأسباب التي تحول دون دفع التعويض ، وبالشروط الواجب استيفاؤها بمعرفتهم . وتظل المبالغ التي يشملها النزاع بأمانات المصلحة ، لحين استيفاء شروط الدفع"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$506 ويستفاد مما تقدم أن القانون كفل للدائن المرتهن الوسيلة لمنع الراهن من استيفاء التعويض المستحق له ، بأن مكن الدائن من العلم بأمر نزع الملكية ، وذلك بالإعلان عن الكشف الذي يتضمن بيان العقار وتقدير التعويض . وعلى الدائن ، للمحافظة على حقه ، أن يتقدم بما يثبت وجود هذا الحق ، للجهة الحكومية التي تقوم بنزع الملكية . وعلى الجهة الحكومية المذكورة أن تمتنع عن أداء التعويض للراهن ، وتحتفظ به في خزانة مخصصة لذلك ، لحساب أصحاب الحقوق المقيدة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249- ثمن العقار وملحقاته</w:t>
      </w:r>
      <w:r>
        <w:rPr>
          <w:rFonts w:cs="Traditional Arabic" w:hint="cs"/>
          <w:smallCaps/>
          <w:sz w:val="28"/>
          <w:szCs w:val="32"/>
          <w:rtl/>
        </w:rPr>
        <w:t xml:space="preserve"> : فحق الدائن المرتهن رهناً رسمياً يمتد إلى ما على محل العقار م مال ، </w:t>
      </w:r>
      <w:r>
        <w:rPr>
          <w:rFonts w:cs="Traditional Arabic" w:hint="cs"/>
          <w:smallCaps/>
          <w:sz w:val="28"/>
          <w:szCs w:val="32"/>
          <w:rtl/>
        </w:rPr>
        <w:lastRenderedPageBreak/>
        <w:t>كما رأينا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وهو قبل كل شيء يتركز في ثمن العقار وملحقاته ، والملحقات تتناول بصفة خاصة حقوق الارتفاق والعقارات بالتخصيص والإنشاءات والتحسينات دون حاجة للنص على ذلك فيعقد الرهن . وإذا أراد الراهن إخراج هذه الملحقات ، وجب الاتفاق على ذلك صراحة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ويلحق بالعقار المرهون أيضاً ما يغله من ثمار عن المدة التي أعقبت تسجيل تنبيه نزع الملكية ، ويجري في توزيع هذه الغلة ما يجري في توزيع ثمن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يعترض حق الدائن ، وهو في سبيل التنفيذ على العقارات بالتخصيص باعتبارها من ملحقات العقار ، وجود امتياز بائع المنقول الذي كسب صفة العقار باعتباره عقاراً بالتخصيص ، وهو امتياز يضمن الوفاء بثمنه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250- التزاحم بين حق الدائن المرتهن وحق امتياز بائع المنقول الملحق بالعقار المرهون باعتباره عقارا بالتخصيص</w:t>
      </w:r>
      <w:r>
        <w:rPr>
          <w:rFonts w:cs="Traditional Arabic" w:hint="cs"/>
          <w:smallCaps/>
          <w:sz w:val="28"/>
          <w:szCs w:val="32"/>
          <w:rtl/>
        </w:rPr>
        <w:t xml:space="preserve"> : نفرض هنا أن شخصاً اشترى منقولا ولم يدفع ثمنه ، ثم خصص المنقول لخدمة عقار ، فأصبح عقاراً $507 بالتخصيص . ثم رهن العقار رهناً رسمياًن فأصبح المنقول مثقلا بحقين عينين ، حق امتياز بائعه بالثمن باعتبار أن مشتري المنقول لم يدفع ثمنه ، وحق الدائن المرتهن رهناً رسمياً وقد امتد إلى المنقول باعتباره قد أصبح عقاراً بالتخصيص وألحق بالعقار المرهون . فمن من الدائنين يسبق الآخر ، بائع المنقول بالثمن الذي لم يدفع ، أو المرتهن رهناً رسمياً باعتباره مرتهناً للمنقول على أساس أنه أصبح عقاراً بالتخصيص .؟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اتجه جانب من الفقه إلى أن بائع المنقول لا يتأثر امتيازه بحق الدائنين المرتهن ، لأن كسب المنقول لصفة العقار هو مجرد افتراض قانوني لا يصح أن يضر ببائع المنقول ، وليس في نصوص القانون ما يفيد تفضيل حق الدائن المرتهن عليه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lastRenderedPageBreak/>
        <w:t>ويذهب جمهور الشراح إلى تفضيل الدائن المرتهن للعقار على بائع المنقول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z w:val="28"/>
          <w:szCs w:val="32"/>
          <w:rtl/>
        </w:rPr>
        <w:t xml:space="preserve">وقد نصت المادة 1145 مدني على أن "ما يستحق لبائع المنقول من $508 </w:t>
      </w:r>
      <w:r>
        <w:rPr>
          <w:rFonts w:cs="Traditional Arabic" w:hint="cs"/>
          <w:smallCaps/>
          <w:sz w:val="28"/>
          <w:szCs w:val="32"/>
          <w:rtl/>
        </w:rPr>
        <w:t xml:space="preserve">الثمن وملحقاته يكون له امتياز على الشيء المبيع . ويبقى الالتزام قائماً ما دام المبيع محتفظا بذاتيته ، وهذا دون إخلال بالحقوق التي كسبها الغير بحسن نية ، مع مراعاة الأحكام الخاصة بالمواد التجارية"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فامتياز بائع المنقول يزول إذا اصطدم بحق كسبه الغير بحسن نية ، أي كسبه الغير دون أن يعلم باعتدائه على امتياز بائع المنقول ، وذلك دعماً للائتمان العقاري .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فإذا كان هناك دائن مرتهن رهناً رسمياً حسن النية زاحم شخصاً آخر قيد القانون حقه بألا يصطدم مع حسن نية شخص كسب حقه على نفس المال ، فلا شك في أن الدائن المرتهن رهناً رسمياً هو الذي يفضل ما دام حسن النية ، أي لا يعلم أنه يعتدي على امتياز البائع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لذلك تكون الأفضلية في الفرض الذي نحن بصدده  للدائن المرتهن رهناً رسمياً على بائع المنقول ، إلى أن يثبت بائع المنقول أن الدائن المرتهن رهناً رسمياً كان يعلم وقت أن ارتهن أن رهنه يهدر حق بائع المنقول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ويجب عدم الفريق ، في تخصيص المنقول لخدمة العقار ، بين ما إذا $509</w:t>
      </w:r>
      <w:r>
        <w:rPr>
          <w:rFonts w:cs="Traditional Arabic" w:hint="cs"/>
          <w:smallCaps/>
          <w:sz w:val="28"/>
          <w:szCs w:val="32"/>
          <w:rtl/>
        </w:rPr>
        <w:t xml:space="preserve"> كان هذا التخصيص قد تقرر قبل تقرير الرهن أو في تاريخ لاحق عليه ، فإن هذا التاريخ لا يمس حسن نية الدائن المرتهن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 xml:space="preserve">251- تنفيذ الدائن المرتهن رهنا رسميا على العقار المرهون المملوك للكفيل العيني : </w:t>
      </w:r>
      <w:r>
        <w:rPr>
          <w:rFonts w:cs="Traditional Arabic" w:hint="cs"/>
          <w:smallCaps/>
          <w:sz w:val="28"/>
          <w:szCs w:val="32"/>
          <w:rtl/>
        </w:rPr>
        <w:t>وفي كل ما قدمناه ، ينفذ الدائن المرتهن رهناً رسمياً على العقار المرهون المملوك للمدين ، وعلى المال الذي حل محل هذا العقار ، بقي أن الدائن المرتهن قد لا ينفذ على عقار المدين أو المال الذي حل محل هذا العقار ، ولكن ينفذ على العقار المرهون المملوك للكفيل العينين بفرض أن مالك العقار المرهون هو غير المدين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وقد نصت المادة 1050 مدني على أنه "إذا كان الراهن شخصاً آخر غير المدين ، فلا يجوز التنفيذ على ماله إلا ما رهن من هذا المال ، ولا يكون حق الدفع بتجريد المدين ما لم يوجد اتفاق يقضي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lastRenderedPageBreak/>
        <w:t>ويستفاد من هذا النص أن الكفيل العيني تتركز مسئوليته عن الدين المضمون في حدود العقار المرهون . وإذا شرع الدائن في إيرادات التنفيذ على العقار المرهون ، فلا يحق للكفيل العيني أن يرده عن ذلك حجة وجوب التنفيذ على أموال المدين أولا ، لأن الدفع بالتجريد غير جائز للكفيل العيني ، بخلاف الكفيل الشخصي غير المتضامن فله أن يدفع بالتجريد بإرشاد الدائن إلى وجود أموال لدى المدين لا بد من البدء بالتنفيذ عليها</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$510 فالواجب إذن اتخاذ إجراءات التنفيذ على العقار المرهون ، ضد الكفيل العيني لا ضد المدين ، واعتبار الكفيل العيني هو المدين في حدود عقاره المرهون كما هي حقيقة الأمر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في هذا الشأن أن الكفيل العيني ليس له أن يتخذ إجراءات التطهير ، لأنه مدين في حدود قيمة العقار المرهون ، أما الحائز للعقار فيتخذ إجراءات التطهير كما سنرى لأنه غير 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252- حق المرتهن يشمل عدة عقارات </w:t>
      </w:r>
      <w:r>
        <w:rPr>
          <w:rFonts w:cs="Traditional Arabic"/>
          <w:b/>
          <w:bCs/>
          <w:sz w:val="28"/>
          <w:szCs w:val="32"/>
          <w:rtl/>
        </w:rPr>
        <w:t>–</w:t>
      </w:r>
      <w:r>
        <w:rPr>
          <w:rFonts w:cs="Traditional Arabic" w:hint="cs"/>
          <w:b/>
          <w:bCs/>
          <w:sz w:val="28"/>
          <w:szCs w:val="32"/>
          <w:rtl/>
        </w:rPr>
        <w:t xml:space="preserve"> مبدأ عدم تجزئة الرهن : </w:t>
      </w:r>
      <w:r>
        <w:rPr>
          <w:rFonts w:cs="Traditional Arabic" w:hint="cs"/>
          <w:sz w:val="28"/>
          <w:szCs w:val="32"/>
          <w:rtl/>
        </w:rPr>
        <w:t xml:space="preserve">والمفروض هنا أن الدائن </w:t>
      </w:r>
      <w:r>
        <w:rPr>
          <w:rFonts w:cs="Traditional Arabic" w:hint="cs"/>
          <w:sz w:val="28"/>
          <w:szCs w:val="32"/>
          <w:rtl/>
        </w:rPr>
        <w:lastRenderedPageBreak/>
        <w:t>المرتهن رهناً رسمياً له رهن رسمي على عدة عقارات ، وعلى هذا العقارات رهون تالية لدائنين آخرين . وقد بيعت هذه العقارات ، ويراد توزيع ثمنها على الدائنين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ومبدأ عدم تجزئة الرهن يبيح للدائن المرتهن الأول أن يتقدم في التوزيع في ثمن عقار منها بكامل حقه المضمون ، ولا يجوز للدائنين الآخرين أن $511 يجبروه على استعمال حقه على عقار دون عقار ، ولا أن يقصر تقدمه في توزيع على جزء من حقه</w:t>
      </w:r>
      <w:r>
        <w:rPr>
          <w:rFonts w:cs="Traditional Arabic" w:hint="cs"/>
          <w:sz w:val="28"/>
          <w:szCs w:val="32"/>
          <w:vertAlign w:val="superscript"/>
          <w:rtl/>
        </w:rPr>
        <w:t xml:space="preserve">( </w:t>
      </w:r>
      <w:r w:rsidRPr="00EC737F">
        <w:rPr>
          <w:rStyle w:val="ab"/>
          <w:rFonts w:cs="Traditional Arabic"/>
          <w:sz w:val="28"/>
          <w:szCs w:val="32"/>
          <w:rtl/>
        </w:rPr>
        <w:footnoteReference w:id="10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هذا لا يمنع الدائن المرتهن أن يجزئ من تلقاء نفسه ، وأن يتقدم في التوزيع ببعض المستحق له إذا كان التوزيع وارد على ثمن بعض العقارات المرهونة ، مع حفظ ما يبقى مما يستحق له بالنسبة إلى ثمن الباقي من العقارات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 صاحب الرهن على العقارات المتعددة ، بما فيها العقار الجاري توزيع ثمنه ، يكون له الخيار ، إن شاء تقدم في التوزيع بكامل لحقه ، وإن شاء تقدم ببعض هذا الحق واحتفظ بالباقي على العقارات الأخرى ، وإن شاء نزل عن حقه في هذا التوزيع واكتفى باستعمال حقه على العقارات الأخرى</w:t>
      </w:r>
      <w:r>
        <w:rPr>
          <w:rFonts w:cs="Traditional Arabic" w:hint="cs"/>
          <w:sz w:val="28"/>
          <w:szCs w:val="32"/>
          <w:vertAlign w:val="superscript"/>
          <w:rtl/>
        </w:rPr>
        <w:t xml:space="preserve">( </w:t>
      </w:r>
      <w:r w:rsidRPr="00EC737F">
        <w:rPr>
          <w:rStyle w:val="ab"/>
          <w:rFonts w:cs="Traditional Arabic"/>
          <w:sz w:val="28"/>
          <w:szCs w:val="32"/>
          <w:rtl/>
        </w:rPr>
        <w:footnoteReference w:id="10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التوزيع وارداً على ثمن جميع العقارات ، فلا يحول مبدأ عدم تجزئة الرهن دون إجبار الدائن على تقسيم حقه بنسبة العقارات المختلفة ، فيدخل في قائمة توزيع ثمن كل عقار بجزء من دينه يساوي النسبة بين هذا العقار ومجموع العقارات الأخرى المرهونة له ، إذ أن الدائن سيستوفي حقه كاملا من جملة هذه التوزيعات ، وهو لن يضطر إلى اتخاذ إجراءات متعددة ما دامت الإجراءات قد تمت ولم يبق منها إلا توزيع الثمن ، فلا مصلحة له في أن يتمس بحقه كاملا على أحد العقارات دون الباقي</w:t>
      </w:r>
      <w:r>
        <w:rPr>
          <w:rFonts w:cs="Traditional Arabic" w:hint="cs"/>
          <w:sz w:val="28"/>
          <w:szCs w:val="32"/>
          <w:vertAlign w:val="superscript"/>
          <w:rtl/>
        </w:rPr>
        <w:t xml:space="preserve">( </w:t>
      </w:r>
      <w:r w:rsidRPr="00EC737F">
        <w:rPr>
          <w:rStyle w:val="ab"/>
          <w:rFonts w:cs="Traditional Arabic"/>
          <w:sz w:val="28"/>
          <w:szCs w:val="32"/>
          <w:rtl/>
        </w:rPr>
        <w:footnoteReference w:id="10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Pr>
          <w:rFonts w:cs="Traditional Arabic" w:hint="cs"/>
          <w:b/>
          <w:bCs/>
          <w:sz w:val="28"/>
          <w:szCs w:val="32"/>
          <w:rtl/>
        </w:rPr>
        <w:t>253- إساءة الدائن المرتهن رهنا رسميا لاستعمال حقه في التقدم</w:t>
      </w:r>
      <w:r>
        <w:rPr>
          <w:rFonts w:cs="Traditional Arabic" w:hint="cs"/>
          <w:sz w:val="28"/>
          <w:szCs w:val="32"/>
          <w:rtl/>
        </w:rPr>
        <w:t xml:space="preserve"> : وقد رأينا فيما تقدم أن الدائن المرتهن رهناً رسمياً الذي يشمل رهنه عدة $512 عقارات ، يكون له خيار التنفيذ بكامل حقه على </w:t>
      </w:r>
      <w:r>
        <w:rPr>
          <w:rFonts w:cs="Traditional Arabic" w:hint="cs"/>
          <w:sz w:val="28"/>
          <w:szCs w:val="32"/>
          <w:rtl/>
        </w:rPr>
        <w:lastRenderedPageBreak/>
        <w:t>عقار من هذه العقارات أو على بعضها أو عليها جميعاً . وقد يترتب على اختياره إلحاق ضرر ببضع الدائنين الآخرين ، فوجب ألا يتوخى في اختياره إلحاق ضرر بدائن معين إيثاراً لدائن آخر في الترتيب</w:t>
      </w:r>
      <w:r>
        <w:rPr>
          <w:rFonts w:cs="Traditional Arabic" w:hint="cs"/>
          <w:sz w:val="28"/>
          <w:szCs w:val="32"/>
          <w:vertAlign w:val="superscript"/>
          <w:rtl/>
        </w:rPr>
        <w:t xml:space="preserve">( </w:t>
      </w:r>
      <w:r w:rsidRPr="00EC737F">
        <w:rPr>
          <w:rStyle w:val="ab"/>
          <w:rFonts w:cs="Traditional Arabic"/>
          <w:sz w:val="28"/>
          <w:szCs w:val="32"/>
          <w:rtl/>
        </w:rPr>
        <w:footnoteReference w:id="10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أنه يجب التأني طويلا قبل القول بأن الدائن قد تعسف في استعمال حقه ، وقد قضت محكمة الاستئناف المختلطة بأنه لا يعتبر مسيئاً لاستعمال حقه الدائن المرتهن الذي يبدأ بالتنفيذ على ما هو باق في ذمة الراهن من الأموال المرهونة ، ويترك الأموال التي حصل التصرف فيها للتنفيذ عليها فيما بعد في يد حائزها إذا لم يف التنفيذ الأول بجميع حقوقه</w:t>
      </w:r>
      <w:r>
        <w:rPr>
          <w:rFonts w:cs="Traditional Arabic" w:hint="cs"/>
          <w:sz w:val="28"/>
          <w:szCs w:val="32"/>
          <w:vertAlign w:val="superscript"/>
          <w:rtl/>
        </w:rPr>
        <w:t xml:space="preserve">( </w:t>
      </w:r>
      <w:r w:rsidRPr="00EC737F">
        <w:rPr>
          <w:rStyle w:val="ab"/>
          <w:rFonts w:cs="Traditional Arabic"/>
          <w:sz w:val="28"/>
          <w:szCs w:val="32"/>
          <w:rtl/>
        </w:rPr>
        <w:footnoteReference w:id="10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ومع ذلك يظهر أن الدائن المرتهن رهناً رسمياً قد أساء استعمال حقه إذا كان له رهن بألف جنيه على العقارين ( أ ) و ( ب ) وقيمة كل منهما ألف جنيه . وارتهن دائن ثان بعد ذلك العقارين ( أ ) و ( ب ) على ألف جنيه وارتهن دائن ثالث العقار ( أ ) على ألف جنيه وهو في مرتبة واحدة مع الدائن الثاني . ثم نفذ الدائن الأول بدينه على العقار ( أ ) وحده ، فاستوفي منه حقه ولم يترك شيئاً للدائن الثالث . واستوفى الدائن الثاني كل حقه م العقار ( ب ) . فإذا أثبت الدائن الثالث أن الدائن الأولى لم تكن له أية مصلحة في اختيار العقار ( أ ) بل إنه عمد إلى ذلك بقصد الإضرار بالدائن الثالث لمصلحة الدائن الثاني ، جازت مطالبة الدائن الأول بتعويض هذا $513 الضرر . إذ كان يستطيع الدائن الأول أن ينفذ على العقارات ، فيصل إلى كل حقه ، ويبقى العقار ( أ ) للدائنين المرتهنين الثاني والثالث وهما في مرتبة واحدة ، فينال كل منهما من ثمن العقار ( أ ) 500 جنيه</w:t>
      </w:r>
      <w:r>
        <w:rPr>
          <w:rFonts w:cs="Traditional Arabic" w:hint="cs"/>
          <w:sz w:val="28"/>
          <w:szCs w:val="32"/>
          <w:vertAlign w:val="superscript"/>
          <w:rtl/>
        </w:rPr>
        <w:t xml:space="preserve">( </w:t>
      </w:r>
      <w:r w:rsidRPr="00EC737F">
        <w:rPr>
          <w:rStyle w:val="ab"/>
          <w:rFonts w:cs="Traditional Arabic"/>
          <w:sz w:val="28"/>
          <w:szCs w:val="32"/>
          <w:rtl/>
        </w:rPr>
        <w:footnoteReference w:id="1062"/>
      </w:r>
      <w:r>
        <w:rPr>
          <w:rFonts w:cs="Traditional Arabic" w:hint="cs"/>
          <w:sz w:val="28"/>
          <w:szCs w:val="32"/>
          <w:vertAlign w:val="superscript"/>
          <w:rtl/>
        </w:rPr>
        <w:t xml:space="preserve"> )</w:t>
      </w:r>
      <w:r>
        <w:rPr>
          <w:rFonts w:cs="Traditional Arabic" w:hint="cs"/>
          <w:sz w:val="28"/>
          <w:szCs w:val="32"/>
          <w:rtl/>
        </w:rPr>
        <w:t xml:space="preserve"> .</w:t>
      </w:r>
    </w:p>
    <w:p w:rsidR="00F72742" w:rsidRPr="0045361D" w:rsidRDefault="00F72742" w:rsidP="00F72742">
      <w:pPr>
        <w:widowControl w:val="0"/>
        <w:spacing w:after="120"/>
        <w:ind w:firstLine="567"/>
        <w:jc w:val="center"/>
        <w:rPr>
          <w:rFonts w:cs="Traditional Arabic" w:hint="cs"/>
          <w:b/>
          <w:bCs/>
          <w:sz w:val="28"/>
          <w:szCs w:val="32"/>
          <w:rtl/>
        </w:rPr>
      </w:pPr>
      <w:r>
        <w:rPr>
          <w:rFonts w:cs="Traditional Arabic" w:hint="cs"/>
          <w:sz w:val="28"/>
          <w:szCs w:val="32"/>
          <w:rtl/>
        </w:rPr>
        <w:lastRenderedPageBreak/>
        <w:t xml:space="preserve">$514 </w:t>
      </w:r>
      <w:r w:rsidRPr="0045361D">
        <w:rPr>
          <w:b/>
          <w:bCs/>
          <w:sz w:val="28"/>
          <w:szCs w:val="32"/>
          <w:rtl/>
        </w:rPr>
        <w:t>§</w:t>
      </w:r>
      <w:r w:rsidRPr="0045361D">
        <w:rPr>
          <w:rFonts w:cs="Traditional Arabic" w:hint="cs"/>
          <w:b/>
          <w:bCs/>
          <w:sz w:val="28"/>
          <w:szCs w:val="32"/>
          <w:rtl/>
        </w:rPr>
        <w:t xml:space="preserve">  3- نزول الدائن المرتهن عن مرتبة رهنه لدائن مرتهن آخر</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254- نص قانوني</w:t>
      </w:r>
      <w:r>
        <w:rPr>
          <w:rFonts w:cs="Traditional Arabic" w:hint="cs"/>
          <w:sz w:val="28"/>
          <w:szCs w:val="32"/>
          <w:rtl/>
        </w:rPr>
        <w:t xml:space="preserve"> : تنص المادة 1059 مدني على ما يأتي :</w:t>
      </w:r>
    </w:p>
    <w:p w:rsidR="00F72742" w:rsidRPr="0045361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"للدائن المرتهن أن ينزل عن مرتبة رهنه ، في حدود الدين المضمون بهذا الرهن ، لمصلحة دائن آخر له رهن مقيد على نفس العقار . ويجوز التمسك قبل هذا الدائن الآخر بجميع أوجه الدفع التي يجوز التمسك بها قبل الدائن الأول ، عدا ما كان منها متعلقاً باقتضاء حق هذا الدائن الأول إذا كان هذا الانقضاء لاحقاً للتنازل عن المرتبة"</w:t>
      </w:r>
      <w:r>
        <w:rPr>
          <w:rFonts w:cs="Traditional Arabic" w:hint="cs"/>
          <w:sz w:val="28"/>
          <w:szCs w:val="32"/>
          <w:vertAlign w:val="superscript"/>
          <w:rtl/>
        </w:rPr>
        <w:t xml:space="preserve">( </w:t>
      </w:r>
      <w:r w:rsidRPr="00EC737F">
        <w:rPr>
          <w:rStyle w:val="ab"/>
          <w:rFonts w:cs="Traditional Arabic"/>
          <w:sz w:val="28"/>
          <w:szCs w:val="32"/>
          <w:rtl/>
        </w:rPr>
        <w:footnoteReference w:id="10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التمهيدي ، في خصوص هذا النص ، ما يأتي : "أجاز هذا النص نزول الدائن المرتهن ، عن الرهن ذاته كما في الحلول الشخصي ، بل عن مرتبة الرهن إلى دائن آخر تال في المرتبة ، فيصبح كل منهما في مرتبة الآخر ، وذلك بقيدين  : ( 1 ) أن الدائن الذي يحل في المرتبة لا يحل في حق أكبر من الحق الذي كانت له $515 هذه المرتبة وهذا بديهي . ( 2 ) أن تقبل ضد الدائن الذي حل في المرتبة ل الدفوع التي كانت قبل الدائن الذي كانت له هذه المرتبة ، إلا إذا كان الدفع متعلقاً بانقضاء حق هذا الدائن في تاريخ لاحق للنزول عن المرتبة . وهذا أيضاً ظاهر"</w:t>
      </w:r>
      <w:r>
        <w:rPr>
          <w:rFonts w:cs="Traditional Arabic" w:hint="cs"/>
          <w:sz w:val="28"/>
          <w:szCs w:val="32"/>
          <w:vertAlign w:val="superscript"/>
          <w:rtl/>
        </w:rPr>
        <w:t xml:space="preserve">( </w:t>
      </w:r>
      <w:r w:rsidRPr="00EC737F">
        <w:rPr>
          <w:rStyle w:val="ab"/>
          <w:rFonts w:cs="Traditional Arabic"/>
          <w:sz w:val="28"/>
          <w:szCs w:val="32"/>
          <w:rtl/>
        </w:rPr>
        <w:footnoteReference w:id="106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ونبحث هنا : ( 1 ) الفرق بين النزول عن الرهن والنزول عن مرتبته . ( 2 ) لماذا ينزل الدائن المرتهن عن مرتبة رهنه . ( 3 ) شروط النزول عن مرتبة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255- </w:t>
      </w:r>
      <w:r w:rsidRPr="00096160">
        <w:rPr>
          <w:rFonts w:cs="Traditional Arabic" w:hint="cs"/>
          <w:b/>
          <w:bCs/>
          <w:sz w:val="28"/>
          <w:szCs w:val="32"/>
          <w:rtl/>
        </w:rPr>
        <w:t>الفرق بين النزول عن الرهن والنزول عن مرتبته</w:t>
      </w:r>
      <w:r>
        <w:rPr>
          <w:rFonts w:cs="Traditional Arabic" w:hint="cs"/>
          <w:sz w:val="28"/>
          <w:szCs w:val="32"/>
          <w:rtl/>
        </w:rPr>
        <w:t xml:space="preserve"> : هناك فرق بين النزول عن الرهن ذاته والنزول عن مرتبته فقط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والنزول عن الرهن ذاته هو الغالب في العمل . وينزل الدائن المرتهن رهناً رسمياً عن الرهن ذاته عادة عن طريق حوالة الحق المضمون بالرهن . فيترتب على حوالة هذا الحق أن ينتقل الحق إلى المحال له ، وينتقل معه الرهن ذاته الذي يضمن هذا الحق ، فيستفيد المحال له من الرهن بمرتبته ( م 307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كذلك يجوز النزول عن الرهن ذاته عن طريق الوفاء مع الحول ، فيحل الموفي محل الدائن المرتهن رهناً رسمياً فيما له من رهن بنفس المرتبة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وحتى يستفيد المحال له أو الموفي من مرتبة الرهن ، يجب أن يؤشر بالحوالة أو الحلول على هامش القيد الأصلي للرهن . وقد نصت المادة 1053/2 مدني ، في هذا الصدد على ما يأتي : "لا يصح التمسك قبل الغير بتحويل حق مضمون بقيد ، ولا التمسك بالحق الناشئ من حلول شخص محل الدائن في هذا الحق بحكم القانون أو بالاتفاق ، ولا التمسك كذلك بالتنازل عن مرتبة الرهن لمصلحة دائن آخر ، إلا إذا حصل التأشير بذلك في هامش القيد الأصلي"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$516 أما النزول عن مرتبة الرهن ، فهو دون ذلك . ذلك أن الدائنالمرتهن رهناً رسمياً لا ينزل عن الرهن ذاته ، بل ينزل عن مرتبته فقط . فإذا كان هو الدائن الأول ، ونزل عن مرتبة الرهن إلى الدائن المرتهن الثالث ، لم يحرم الدائن الأول من حق رهنه ، ولكنه يصبح الدائن الثالث بعد أن كان الدائن الأول ، ويصبح الدائن الثالث هو الدائن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ويصح النزول عن المرتبة ، لا في الرهن الرسمي فحسب ، بل في حق الاختصاص وفي حق الرهن الحيازي وفي حقوق الامتياز ، كما يشعر به نص المادة 1053/2 إذ تقول في آخرها "التنازل عن مرتبة </w:t>
      </w:r>
      <w:r>
        <w:rPr>
          <w:rFonts w:cs="Traditional Arabic" w:hint="cs"/>
          <w:sz w:val="28"/>
          <w:szCs w:val="32"/>
          <w:rtl/>
        </w:rPr>
        <w:lastRenderedPageBreak/>
        <w:t>الرهن لمصلحة دائن آخر ، وتقول في أولها "حق مضمون يتبين"</w:t>
      </w:r>
      <w:r>
        <w:rPr>
          <w:rFonts w:cs="Traditional Arabic" w:hint="cs"/>
          <w:sz w:val="28"/>
          <w:szCs w:val="32"/>
          <w:vertAlign w:val="superscript"/>
          <w:rtl/>
        </w:rPr>
        <w:t xml:space="preserve">( </w:t>
      </w:r>
      <w:r w:rsidRPr="00EC737F">
        <w:rPr>
          <w:rStyle w:val="ab"/>
          <w:rFonts w:cs="Traditional Arabic"/>
          <w:sz w:val="28"/>
          <w:szCs w:val="32"/>
          <w:rtl/>
        </w:rPr>
        <w:footnoteReference w:id="10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256- لماذا ينزل الدائن المرتهن عن مرتبة رهنه</w:t>
      </w:r>
      <w:r>
        <w:rPr>
          <w:rFonts w:cs="Traditional Arabic" w:hint="cs"/>
          <w:sz w:val="28"/>
          <w:szCs w:val="32"/>
          <w:rtl/>
        </w:rPr>
        <w:t xml:space="preserve"> : والدائن المرتهن رهناً رسمياً لا ينزل عادة عن مرتبة رهنه ، إلا إذا كان هناك سبب يدعوه للنزول عن هذه المرتبة والاكتفاء بمرتبة أقل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فهو لا ينزل عن مرتبته على سبيل التبرع ، دون أن يتقاضى عوضاً . ويتحقق ذلك في حالتين على الأقل . الحالة الأولى ، إذا كان له تأمين آخر غير العقار المرهون يعتمد عليه ، ويفي بحقه . فهو في هذه الحالة لا تعنيه مرتبة حقه على العقار المرهون ، بل ولا يعنيه الرهن الذي له على العقار المرهون ، إذ هو يعتمد على التأمين الآخر الذي يفي بحقه كاملا . والحالة الثانية ، إذا كان واثقاً بأن العقار المرهون يفي بجميع الديون المقيدة لغاية الرهن الذي نزل الدائن المرتهن إلى مرتبته ، ويكون هذا الوثوق غير كامل عند الدائن المتنازل لمصلحته ولذلك يعمد هذا الدائن إلى الحصول على مرتبة أعلى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وقد ينزل الدائن المرتهن رهناً رسمياً عن مرتبته معاوضة ، $517 فيتقاضى من الدائن المتنازل لمصلحته نظيراً لهذا التنازل . وقد يكون الدافع للدائن المتنازل وثوقه من كفاية العقار المرهون لجميع الديون المرتبة عليه . وقد يكون الدافع إمكان الدائن المتنازل الطعن في الديون التي تتخلل دينه ودين المتنازل له وإسقاطها جميعاً ، فإذا هو فعل لم يكد يخسر شيئاً بتنازله . وقد يكون الدافع له على التنازل كونه معتمداً على تأمين آخر ، كرهن آخر مقرر له على عقار ويفي بكل مطلوبه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257- شروط النزول عن مرتبة الرهن :</w:t>
      </w:r>
      <w:r>
        <w:rPr>
          <w:rFonts w:cs="Traditional Arabic" w:hint="cs"/>
          <w:sz w:val="28"/>
          <w:szCs w:val="32"/>
          <w:rtl/>
        </w:rPr>
        <w:t xml:space="preserve"> وهناك شرطان للنزول عن مرتبة الرهن ، ذكرتهما المادة 1049 مدني ، وهما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النزول عن مرتبة حق الرهن يكون في حدود حق المتنازل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جواز التمسك ضد المتنازل له بالدفوع التي كان يمكن التمسك بها ضد المتنازل . ، إلا الدفع باقتضاء حق المتنازل لسبب لاحق للنزول عن مرتبة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وهناك شرط ثالث يستخلص من نظرية التعسف في استعمال الحق ، وه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ألا يضر النزول عن مرتبة الرهن ضرراً غير مشروع بحق الدائن المتوسط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ومتى نزل الدائن المرتهن عن مرتبته نزولا قانونياً متوافرة فيه الشروط لاثلاثة ، أصبح الدائن المتنازل له في مرتبة الدائن المتنازل ، في حدود حق الدائن المتنازل . وأصبح الدائن المتنازل في مرتبة الدائن المتنازل له ، ويجري توزيع ثمن العقار على هذا الوجه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ونقول الآن كلمة عن كل من هذه الشروط الثلاثة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258- النزول عن مرتبة يكون في حدود حق المتنازل</w:t>
      </w:r>
      <w:r>
        <w:rPr>
          <w:rFonts w:cs="Traditional Arabic" w:hint="cs"/>
          <w:sz w:val="28"/>
          <w:szCs w:val="32"/>
          <w:rtl/>
        </w:rPr>
        <w:t xml:space="preserve"> : تقول المادة 1059 مدني كما رأينا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$518 "للدائن المرتهن أن ينزل عن مرتبة رهنه في حدود الدين المضمون بهذا الرهن  . . ." ويفترض هذا النص أن هناك فرقاً بين دين المتنازل ودين المتنازل له . فإذا كان الدين الأول أكبر من الدين الثاني ، ارتفع الدائن المتنازل له بكل دينه ، وهو أصغر من دين المتنازل ، إلى مرتبة الدائن المتنازل . أما إذا كان دين المتنازل هو أصغر من دين المتنازل له ، فحينئذ لا يرتفع المتنازل له إلى مرتبة المتنازل إلا في حدود دين المتنازل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ونفرض أن دين المتنازل 500 جنيه ، وأن دين المتنازل له 1200 جنيهاً ، فإن المتنازل له لا يرتفع إلى المرتبة الأولى التي هي مرتبة المتنازل إلا في حدود 500 جنيه . فيكون للمتنازل دينا ، أحدهما مقداره 500 جنيه في المرتبة الأولى ، والآخر مقداره 700 جنيه في مرتبته الأصلية ولا يرتفع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وغني عن البيان أنه لو كان دين المتنازل مساوياً لدين المتنازل له ، لم تود صعوبة في المسألة ، وارتفع المتنازل له بجميع دينه إلى مرتبة المتنازل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259- جواز التمسك ضد المتنازل له بالدفوع التي كان يمكن التمسك بها ضد المتنازل</w:t>
      </w:r>
      <w:r>
        <w:rPr>
          <w:rFonts w:cs="Traditional Arabic" w:hint="cs"/>
          <w:sz w:val="28"/>
          <w:szCs w:val="32"/>
          <w:rtl/>
        </w:rPr>
        <w:t xml:space="preserve"> : وغني عن البيان أنه إذا ارتفع المتنازل له إلى مرتبة المتنازل في حدود دين المتنازل ، فإن المتنازل له يقبل ضده من الدفوع ، فيما ارتفع به ما كان يقبل ضد المتنازل ، لأن المتنازل إنما تنازل مخضعاً تنازله لجميع الدفوع التي كانت تقبل ضده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فإذا تقدم المتنازل له بمبلغ 500 جنيه مثلا هي الدين الذي حصل على التنازل عن مرتبته ، جاز للدائن التالي له في القيد أن يدفع هذا الدين بجميع الدفوع التي كان يستطيع بها دفع الدين وهو لا يزال في ذمة المتنازل ، وذلك إلى وقت حصول التنازل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$519 فيجوز لهذا الدائن التالي في المرتبة أن يدفع هذا الدين المتنازل عن مرتبته بأنه دين باطل لعدم مشروعية السبب أو لانعدام الرضاء ، أو بأنه دين قابل للإبطال لنقص في الأهلية أو لعيب في الرضاء ، وقد أبطله ناقص الأهلية أو حق شابه رضاءه عيب . ويجوز الدفع بانقضاء الدين للوفاء به ، أو لتجديده ، أو للمقاصة ، أو للإبراء ، أو للتقادم ، أو لغير ذلك من أسباب نقضاء الالتزام</w:t>
      </w:r>
      <w:r>
        <w:rPr>
          <w:rFonts w:cs="Traditional Arabic" w:hint="cs"/>
          <w:sz w:val="28"/>
          <w:szCs w:val="32"/>
          <w:vertAlign w:val="superscript"/>
          <w:rtl/>
        </w:rPr>
        <w:t xml:space="preserve">( </w:t>
      </w:r>
      <w:r w:rsidRPr="00EC737F">
        <w:rPr>
          <w:rStyle w:val="ab"/>
          <w:rFonts w:cs="Traditional Arabic"/>
          <w:sz w:val="28"/>
          <w:szCs w:val="32"/>
          <w:rtl/>
        </w:rPr>
        <w:footnoteReference w:id="10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وهناك دفع واحد لا يدفع به ضد المتنازل له ، وهو أن يكون الدين قد انقضى بسبب لاحق للنزول عن مرتبة الرهن . فقد يقع أن يكون الدين قد انتهى بالمقاصة أو بالإبراء ، وقد وقع أي منهما قبل النزول عن مرتبة الرهن ، فيجوز التمسك بهذا الدفع . أما إذا كان قد وقع بعد النزول عن مرتبة الرهن ، أي في فترة لا يملك فيها التنازل لا المقاصة ولا الإبراء ، فلا يجوز دفع الدين وقد أصبح الآن للمتنازل له لا للمتنازل .</w:t>
      </w:r>
    </w:p>
    <w:p w:rsidR="00F72742" w:rsidRPr="00DF06CD"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260- عدم إضرار النزول عن مرتبة الرهن ضررا غير مشروع بالدائن المتوسط</w:t>
      </w:r>
      <w:r>
        <w:rPr>
          <w:rFonts w:cs="Traditional Arabic" w:hint="cs"/>
          <w:sz w:val="28"/>
          <w:szCs w:val="32"/>
          <w:rtl/>
        </w:rPr>
        <w:t xml:space="preserve"> : وهنا نفرض أن الدائن الأول بألف جنيه له رهن أول على كل من العقارين ( أ ) و ( ب )\ن وقيمة كل منهما ألف جنيه . وأن الدائن الثاني ، وهو دائن بألف جنيه ، له رهنان في المرتبة الثانية على كل من العقارين ( أ ) و ( ب ) . وأن الدائن الثالث ، وهو دائن أيضاً بألف جنيه ، له رهن واحد ، هو الرهن الثالث على العقار ( أ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$520 ظاهر من هذا المثل أن كلا من الدائن الأول والدائن الثاني يستطيع أن يستوفي حقه كاملا ، وأنهما لا يتركان شيئاً للدائن الثالث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فلو أن الدائن الأول احتال متواطئاً في ذلك مع الدائن الثالث الذي لا يأخذ شيئاً كما رأينا ، فإنه يستطيع أن يفعل ما يأتي : ينزل في العقار ( أ ) عن مرتبة رهنه الأول إلى الدائن الثالث ، فيصبح الدائن الثالث دائناً أول في العقار ( أ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ثم يجري التوزيع في ثمن العقارين ، وقد بلغ ألفي جنيه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فيأخذ الدائن الثالث ، وقد أصبح دائناً أولا في العقار ( أ ) كل قيمة هذا العقار وهي ألف جنيه ، فستوفي حقه كاملا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ويأخذ الدائن الأول حقه كاملا من قيمة العقار ( ب ) فيستنفذ هذه القيمة ، والدائن الأول هو دائن أول بالنسبة إلى العقار ( ب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الدائن الثاني فلا يبقى له شيء ، فلا يأخذ شيئاً .</w:t>
      </w:r>
    </w:p>
    <w:p w:rsidR="00F72742" w:rsidRPr="00A441D0"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هنا ظاهر أن الدائن الأولى قد تعسف في استعمال حقه . ولو لم ينزل عن مرتبة رهنه على العقار ( أ ) للدائن الثالث ، لأخذ حقه كاملا من العقار ( أ ) أو من العقار ( ب ) ، ولأخذ الدائن الثاني حقه كاملا مما يبقى له م العقارين ( أ ) أو ( ب ) ، ولما أخذ الدائن الثالث شيئا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فيجوز للدائن الثاني أن يطعن في تنازل الدائن الأول عن مرتبة رهنه على العقار ( أ ) للدائن الثالث ، لأن هذا التنازل قد وقع من الدائن الأول تعسفاً في استعماله حقه ، للإضرار بحق الدائن الثاني</w:t>
      </w:r>
      <w:r>
        <w:rPr>
          <w:rFonts w:cs="Traditional Arabic" w:hint="cs"/>
          <w:sz w:val="28"/>
          <w:szCs w:val="32"/>
          <w:vertAlign w:val="superscript"/>
          <w:rtl/>
        </w:rPr>
        <w:t xml:space="preserve">( </w:t>
      </w:r>
      <w:r w:rsidRPr="00EC737F">
        <w:rPr>
          <w:rStyle w:val="ab"/>
          <w:rFonts w:cs="Traditional Arabic"/>
          <w:sz w:val="28"/>
          <w:szCs w:val="32"/>
          <w:rtl/>
        </w:rPr>
        <w:footnoteReference w:id="1067"/>
      </w:r>
      <w:r>
        <w:rPr>
          <w:rFonts w:cs="Traditional Arabic" w:hint="cs"/>
          <w:sz w:val="28"/>
          <w:szCs w:val="32"/>
          <w:vertAlign w:val="superscript"/>
          <w:rtl/>
        </w:rPr>
        <w:t xml:space="preserve"> )</w:t>
      </w:r>
      <w:r>
        <w:rPr>
          <w:rFonts w:cs="Traditional Arabic" w:hint="cs"/>
          <w:sz w:val="28"/>
          <w:szCs w:val="32"/>
          <w:rtl/>
        </w:rPr>
        <w:t xml:space="preserve"> . فيلغي تنازل الدائن الأول عن مرتبة رهنه على العقار ( أ ) للدائن الثالث ، ويتقاسم الدائنون الثلاثة بعد هذا الإلغاء على الوجه الآتي : يأخذ الدائن الأول كل حقه من العقار ( أ ) أو من العقار ( ب ) . ثم يأخذ الدائن الثاني حقه كاملا من العقار $521 الذي يبقى له ، ( أ ) أو ( ب ) . ولا يأخذ الدائن الثالث </w:t>
      </w:r>
      <w:r>
        <w:rPr>
          <w:rFonts w:cs="Traditional Arabic" w:hint="cs"/>
          <w:sz w:val="28"/>
          <w:szCs w:val="32"/>
          <w:rtl/>
        </w:rPr>
        <w:lastRenderedPageBreak/>
        <w:t>شيئاً</w:t>
      </w:r>
      <w:r>
        <w:rPr>
          <w:rFonts w:cs="Traditional Arabic" w:hint="cs"/>
          <w:sz w:val="28"/>
          <w:szCs w:val="32"/>
          <w:vertAlign w:val="superscript"/>
          <w:rtl/>
        </w:rPr>
        <w:t xml:space="preserve">( </w:t>
      </w:r>
      <w:r w:rsidRPr="00EC737F">
        <w:rPr>
          <w:rStyle w:val="ab"/>
          <w:rFonts w:cs="Traditional Arabic"/>
          <w:sz w:val="28"/>
          <w:szCs w:val="32"/>
          <w:rtl/>
        </w:rPr>
        <w:footnoteReference w:id="10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لنفاذ النزول عن مرتبة الرهن ، التأشير به في هامش القيد الأصلي ( م 1053/2 مدني ) ، إلا إذا تم هذا النزول بعد البيع وإيداع الثمن</w:t>
      </w:r>
      <w:r>
        <w:rPr>
          <w:rFonts w:cs="Traditional Arabic" w:hint="cs"/>
          <w:sz w:val="28"/>
          <w:szCs w:val="32"/>
          <w:vertAlign w:val="superscript"/>
          <w:rtl/>
        </w:rPr>
        <w:t xml:space="preserve">( </w:t>
      </w:r>
      <w:r w:rsidRPr="00EC737F">
        <w:rPr>
          <w:rStyle w:val="ab"/>
          <w:rFonts w:cs="Traditional Arabic"/>
          <w:sz w:val="28"/>
          <w:szCs w:val="32"/>
          <w:rtl/>
        </w:rPr>
        <w:footnoteReference w:id="1069"/>
      </w:r>
      <w:r>
        <w:rPr>
          <w:rFonts w:cs="Traditional Arabic" w:hint="cs"/>
          <w:sz w:val="28"/>
          <w:szCs w:val="32"/>
          <w:vertAlign w:val="superscript"/>
          <w:rtl/>
        </w:rPr>
        <w:t xml:space="preserve"> )</w:t>
      </w:r>
      <w:r>
        <w:rPr>
          <w:rFonts w:cs="Traditional Arabic" w:hint="cs"/>
          <w:sz w:val="28"/>
          <w:szCs w:val="32"/>
          <w:rtl/>
        </w:rPr>
        <w:t xml:space="preserve"> .</w:t>
      </w:r>
    </w:p>
    <w:p w:rsidR="00F72742" w:rsidRPr="00EF6345" w:rsidRDefault="00F72742" w:rsidP="00F72742">
      <w:pPr>
        <w:widowControl w:val="0"/>
        <w:spacing w:after="120"/>
        <w:jc w:val="center"/>
        <w:rPr>
          <w:rFonts w:cs="Traditional Arabic" w:hint="cs"/>
          <w:b/>
          <w:bCs/>
          <w:sz w:val="40"/>
          <w:szCs w:val="40"/>
          <w:rtl/>
        </w:rPr>
      </w:pPr>
      <w:r w:rsidRPr="00EF6345">
        <w:rPr>
          <w:rFonts w:cs="Traditional Arabic" w:hint="cs"/>
          <w:b/>
          <w:bCs/>
          <w:sz w:val="40"/>
          <w:szCs w:val="40"/>
          <w:rtl/>
        </w:rPr>
        <w:t>المطلب الثاني</w:t>
      </w:r>
    </w:p>
    <w:p w:rsidR="00F72742" w:rsidRPr="00EF6345" w:rsidRDefault="00F72742" w:rsidP="00F72742">
      <w:pPr>
        <w:widowControl w:val="0"/>
        <w:spacing w:after="120"/>
        <w:jc w:val="center"/>
        <w:rPr>
          <w:rFonts w:cs="Traditional Arabic" w:hint="cs"/>
          <w:b/>
          <w:bCs/>
          <w:sz w:val="28"/>
          <w:szCs w:val="32"/>
          <w:rtl/>
        </w:rPr>
      </w:pPr>
      <w:r w:rsidRPr="00EF6345">
        <w:rPr>
          <w:rFonts w:cs="Traditional Arabic" w:hint="cs"/>
          <w:b/>
          <w:bCs/>
          <w:sz w:val="28"/>
          <w:szCs w:val="32"/>
          <w:rtl/>
        </w:rPr>
        <w:t>حق التتبع</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b/>
          <w:bCs/>
          <w:smallCaps/>
          <w:sz w:val="28"/>
          <w:szCs w:val="32"/>
          <w:rtl/>
        </w:rPr>
        <w:t>261- نص قانوني</w:t>
      </w:r>
      <w:r>
        <w:rPr>
          <w:rFonts w:cs="Traditional Arabic" w:hint="cs"/>
          <w:smallCaps/>
          <w:sz w:val="28"/>
          <w:szCs w:val="32"/>
          <w:rtl/>
        </w:rPr>
        <w:t xml:space="preserve"> : تنص المادة 1060 على ما يأتي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"1- يجوز للدائن المرتهن ، عند حلول أجل الدين ، أن ينزع ملكية العقار المرهون في يد الحائز لهذا العقار ، إلا إذا اختار الحائز أن يقضي الدين ، أو يطهر العقار من الرهن ، أو يتخلى عنه"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t>"2- ويعتبر حائزاً للعقار المرهون كل من انتقلت إليه ، بأي سبب من الأسباب ، ملكية هذا العقار ، أو أي حق عيني آخر عليه قابل للرهن ، دون أن يكون مسئولا مسئولية شخصية عن الدين المضمون بالرهن"</w:t>
      </w:r>
      <w:r>
        <w:rPr>
          <w:rFonts w:cs="Traditional Arabic" w:hint="cs"/>
          <w:sz w:val="28"/>
          <w:szCs w:val="32"/>
          <w:vertAlign w:val="superscript"/>
          <w:rtl/>
        </w:rPr>
        <w:t xml:space="preserve">( </w:t>
      </w:r>
      <w:r w:rsidRPr="00EC737F">
        <w:rPr>
          <w:rStyle w:val="ab"/>
          <w:rFonts w:cs="Traditional Arabic"/>
          <w:sz w:val="28"/>
          <w:szCs w:val="32"/>
          <w:rtl/>
        </w:rPr>
        <w:footnoteReference w:id="1070"/>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$522 وجاء في المذكرة الإيضاحية للمشروع التمهيدي : "1- إذا انتقلت ملكية العقار المرهون ( أو أي حق عيني على العقار قابل للرهن ) إلى شخص غير الراهن ، بأي سبب من أسباب كسب الملكية ، ولو كان من طريق التقادم ، وكان هذا الشخص غير مسئول شخصياً عن الدين ، فإنه يسمي الحائز للعقار ، ويتلقى العقار مثقلا بالرهن . وللراهن المرتهن حق تتبع العقار وهو في ملكيته ، ويستطيع أن ينفذ عليه ، فيتحمل الحائز إجراءات نزع الملكية ، إلا إذا اختار أن يدفع الدين ، أو أن يطهر العقار من الرهن ، أو أن يتخلى عن العقار المرهون . 2- ويلاحظ أن الوارث في القانون الفرنسي ، وهو مسئول شخصياً عن دين المورث ، لا يكون حائزاً للعقار المرهون . أما الوارث في الشريعة الإسلامية فلا يعتبر هو أيضاً حائزاً للعقار المرهون ، </w:t>
      </w:r>
      <w:r>
        <w:rPr>
          <w:rFonts w:cs="Traditional Arabic" w:hint="cs"/>
          <w:smallCaps/>
          <w:sz w:val="28"/>
          <w:szCs w:val="32"/>
          <w:rtl/>
        </w:rPr>
        <w:t>ولكن لسبب آخر . فهو وإن لم يكن مسئولا شخصياً عن دين المورث ، إلا أن المبدأ القاضي بألا تركة إلا بعد سداد الدين من شأنه ألا يجعل ملكية العقار تنتقل إليه من المورث إلا بعد سداد الدين المضمون بالرهن أي بعد زوال الرهن ، فلا محل إذن لأن يكون حائزاً لعقار مرهون . وإذا صفيت التركة وفقاً للإجراءات التي نظمها المشروع ، ووقع في نصيب الوارث عقار مرهون وتحمل ما عليه من الدين طبقاً للقواعد التي سبق ذكرها في تقسيم الديون المؤجلة على الورثة ، فإن الوارث يكون في هذه الحالة مسئولا شخصياً عن الدين ، فلا يجوز اعتباره حائزاً للعقار المرهون . "أما الوصي له والشفيع ومن ملك بالتقادم ، فإن هؤلاء جميعاً يعتبرون حائزين للعقار ، لهم حق الخيار المتقدم"</w:t>
      </w:r>
      <w:r>
        <w:rPr>
          <w:rFonts w:cs="Traditional Arabic" w:hint="cs"/>
          <w:sz w:val="28"/>
          <w:szCs w:val="32"/>
          <w:vertAlign w:val="superscript"/>
          <w:rtl/>
        </w:rPr>
        <w:t xml:space="preserve">( </w:t>
      </w:r>
      <w:r w:rsidRPr="00EC737F">
        <w:rPr>
          <w:rStyle w:val="ab"/>
          <w:rFonts w:cs="Traditional Arabic"/>
          <w:sz w:val="28"/>
          <w:szCs w:val="32"/>
          <w:rtl/>
        </w:rPr>
        <w:footnoteReference w:id="107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ونبدأ أولا ببيان الشروط الواجب توافرها في الحائز للعقار المرهون .</w:t>
      </w:r>
    </w:p>
    <w:p w:rsidR="00F72742" w:rsidRDefault="00F72742" w:rsidP="00F72742">
      <w:pPr>
        <w:widowControl w:val="0"/>
        <w:spacing w:after="120"/>
        <w:ind w:firstLine="567"/>
        <w:jc w:val="lowKashida"/>
        <w:rPr>
          <w:rFonts w:cs="Traditional Arabic" w:hint="cs"/>
          <w:smallCaps/>
          <w:sz w:val="28"/>
          <w:szCs w:val="32"/>
          <w:rtl/>
        </w:rPr>
      </w:pPr>
      <w:r>
        <w:rPr>
          <w:rFonts w:cs="Traditional Arabic" w:hint="cs"/>
          <w:smallCaps/>
          <w:sz w:val="28"/>
          <w:szCs w:val="32"/>
          <w:rtl/>
        </w:rPr>
        <w:t xml:space="preserve">$523 </w:t>
      </w:r>
      <w:r>
        <w:rPr>
          <w:rFonts w:cs="Traditional Arabic" w:hint="cs"/>
          <w:b/>
          <w:bCs/>
          <w:smallCaps/>
          <w:sz w:val="28"/>
          <w:szCs w:val="32"/>
          <w:rtl/>
        </w:rPr>
        <w:t>262- شروط الحائز للعقار المرهون</w:t>
      </w:r>
      <w:r>
        <w:rPr>
          <w:rFonts w:cs="Traditional Arabic" w:hint="cs"/>
          <w:smallCaps/>
          <w:sz w:val="28"/>
          <w:szCs w:val="32"/>
          <w:rtl/>
        </w:rPr>
        <w:t xml:space="preserve"> : هذه الشروط هي ، كما يتبين من نص المادة 1060/2 الذي سبق ذكره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mallCaps/>
          <w:sz w:val="28"/>
          <w:szCs w:val="32"/>
          <w:rtl/>
        </w:rPr>
        <w:lastRenderedPageBreak/>
        <w:t xml:space="preserve">( 1 ) انتقال ملكية العقار المرهون ( أو أي حق عيني قابل للرهن ) إلى الحائز </w:t>
      </w:r>
      <w:r>
        <w:rPr>
          <w:rFonts w:cs="Traditional Arabic"/>
          <w:smallCaps/>
          <w:sz w:val="28"/>
          <w:szCs w:val="32"/>
          <w:rtl/>
        </w:rPr>
        <w:t xml:space="preserve">( </w:t>
      </w:r>
      <w:r>
        <w:rPr>
          <w:rFonts w:cs="Traditional Arabic"/>
          <w:sz w:val="28"/>
          <w:szCs w:val="32"/>
        </w:rPr>
        <w:t>tiers – detenteur</w:t>
      </w:r>
      <w:r>
        <w:rPr>
          <w:rFonts w:cs="Traditional Arabic"/>
          <w:sz w:val="28"/>
          <w:szCs w:val="32"/>
          <w:rtl/>
        </w:rPr>
        <w:t xml:space="preserve"> )</w:t>
      </w:r>
      <w:r>
        <w:rPr>
          <w:rFonts w:cs="Traditional Arabic" w:hint="cs"/>
          <w:sz w:val="28"/>
          <w:szCs w:val="32"/>
          <w:rtl/>
        </w:rPr>
        <w:t xml:space="preserve"> . فلا يعتبر مستأجر العقار حائزاً ، لأنه لم تنتقل إليه ملكية . ولم تنتقل ملكية العقار أيضاً إلى واضع اليد إذا لم يكن كسب الملكية بالتقادم ، ولذلك لا يعتبر واضع اليد حائزاً . والدائن لا يتتبع العقار في هاتين الحالتين ، وإنما ينفذ على العقار في يد مالكه وهو الراهن . وإذا تصرف الراهن في عقارات بالتخصيص مرهونة تبعاً للعقار المرهون ، فالتصرف يرد إلى هذه العقارات بالتخصيص طبيعتها المنقولة ، وينفك عنها الرهن .</w:t>
      </w:r>
    </w:p>
    <w:p w:rsidR="00F72742" w:rsidRDefault="00F72742" w:rsidP="00F72742">
      <w:pPr>
        <w:widowControl w:val="0"/>
        <w:spacing w:after="120"/>
        <w:ind w:firstLine="567"/>
        <w:jc w:val="lowKashida"/>
        <w:rPr>
          <w:rFonts w:cs="Traditional Arabic" w:hint="cs"/>
          <w:sz w:val="28"/>
          <w:szCs w:val="32"/>
        </w:rPr>
      </w:pPr>
      <w:r>
        <w:rPr>
          <w:rFonts w:cs="Traditional Arabic" w:hint="cs"/>
          <w:sz w:val="28"/>
          <w:szCs w:val="32"/>
          <w:rtl/>
        </w:rPr>
        <w:t>وإذا كان للعقار المرهون دائن مرتهن آخر ، فلا يتبع الدائن المرتهن الأول العقار المرهون في مواجهة الدائن المرتهن الثاني ، بل في مواجهة الراهن ، ويتحكم في التزاحم ما بين الدائن المرتهن الأول والدائن المرتهن الثاني الأسبقية في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انتقال ملكية العقار المرهون بعد قيد الرهن وقبل تسجيل تنبيه نزع الملكية . فإذا سجل الحائز حقه قبل قيد الرهن ، لم يكن الرهن سارياً في مواجهته ، فلا يستطيع الدائن المرتهن تتبع العقار في هذه الحالة في مواجهة الحائز . وإذا سجل الحائز حقه بعد تسجيل تنبيه نزع الملكية ، لم ينفذ التصرف للحائز ، واستطاع الدائن المرتهن أن ينفذ على العقار المرهون وهو لا يزال في ملكية الراهن</w:t>
      </w:r>
      <w:r>
        <w:rPr>
          <w:rFonts w:cs="Traditional Arabic" w:hint="cs"/>
          <w:sz w:val="28"/>
          <w:szCs w:val="32"/>
          <w:vertAlign w:val="superscript"/>
          <w:rtl/>
        </w:rPr>
        <w:t xml:space="preserve">( </w:t>
      </w:r>
      <w:r w:rsidRPr="00EC737F">
        <w:rPr>
          <w:rStyle w:val="ab"/>
          <w:rFonts w:cs="Traditional Arabic"/>
          <w:sz w:val="28"/>
          <w:szCs w:val="32"/>
          <w:rtl/>
        </w:rPr>
        <w:footnoteReference w:id="10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تسجيل سند الحائز ، إذا كان قد تلقى ملكية العقار المرهون بتصرف قانوني . فإذا انتقلت ملكية العار المرهون إلى الحائز بسبب قانوني $524 غير قابل للتسجيل ، في هذه الحالة . وعلى ذلك إذا انتقلت ملكية العقار المرهون إلى الحائز بالتقادم ، كان حائزاً ، ولا يجب عليه التسجيل . ويقع التسجيل غالباً إذا انتقلت ملكية العقار المرهون إلى الحائز بعقد بيع ، عند ذلك يجب على الحائز تسجيل البيع . ولما كان قيد الرهن سابقاً على تسجيل البيع ، فإن الدائن المرتهن يستطيع تتبع العقار وهو في يد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( 4 ) عدم توافر صفة المديونية في الحائز ، فلا يكون مسئولا مسئولية شخصية عن الدين . وعلى </w:t>
      </w:r>
      <w:r>
        <w:rPr>
          <w:rFonts w:cs="Traditional Arabic" w:hint="cs"/>
          <w:sz w:val="28"/>
          <w:szCs w:val="32"/>
          <w:rtl/>
        </w:rPr>
        <w:lastRenderedPageBreak/>
        <w:t>ذلك لا يعتبر حائزاً المدين المتضامن أو غير المتضامن ، ولا الكفيل الشخصي ، ولا الكفيل العيني التخلية لأنه غير مسئول عن الدين إلا في حدود العقار المرهون فيمكنه أن يتخلى عنه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يعتبر الوارث للراهن حائزاً للعقار المرهون . أما في القانون الفرنسي فظاهر ، لأن الوارث يرث الدين عن المدين ، فيصبح مسئولا عنه . وأما في القانون المصري أو الشريعة الإسلامية ، فلا تركة إلا بعد سداد الديون ، فالوارث لا يرث العقار المرهون إلا بعد أن ينحل الرهن ، وعلى ذلك لا يملك وراث بالميراث عقاراً مرهوناً حتى يكون حائزاً</w:t>
      </w:r>
      <w:r>
        <w:rPr>
          <w:rFonts w:cs="Traditional Arabic" w:hint="cs"/>
          <w:sz w:val="28"/>
          <w:szCs w:val="32"/>
          <w:vertAlign w:val="superscript"/>
          <w:rtl/>
        </w:rPr>
        <w:t xml:space="preserve">( </w:t>
      </w:r>
      <w:r w:rsidRPr="00EC737F">
        <w:rPr>
          <w:rStyle w:val="ab"/>
          <w:rFonts w:cs="Traditional Arabic"/>
          <w:sz w:val="28"/>
          <w:szCs w:val="32"/>
          <w:rtl/>
        </w:rPr>
        <w:footnoteReference w:id="10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( 5 ) عدم ترتب زوال سلطة التتبع على سند الحائز . فإذا انتقلت الملكية إلى شخص مطهرة من كل رهن ، لم يكن هذا الشخص حائزاً لأن الرهن قد زال . مثل ذلك إذا نزعت ملكية العقار المرهون للمنفعة العامة ، فلا يجوز للدائن المرتهن أن يتتبع العقار تحت يد الجهة الحكومية نازعة الملكية ، وإنما ينصب حقه على التعويض المستحق . وإذا بيع العقار المرهون بيعاً جبرياً ، فإن تسجيل حكم مرسي المزاد يترتب عليه تطهير العقار ، وينصب حق الدائن المرتهن على الثمن الذي رسا به المزاد</w:t>
      </w:r>
      <w:r>
        <w:rPr>
          <w:rFonts w:cs="Traditional Arabic" w:hint="cs"/>
          <w:sz w:val="28"/>
          <w:szCs w:val="32"/>
          <w:vertAlign w:val="superscript"/>
          <w:rtl/>
        </w:rPr>
        <w:t xml:space="preserve">( </w:t>
      </w:r>
      <w:r w:rsidRPr="00EC737F">
        <w:rPr>
          <w:rStyle w:val="ab"/>
          <w:rFonts w:cs="Traditional Arabic"/>
          <w:sz w:val="28"/>
          <w:szCs w:val="32"/>
          <w:rtl/>
        </w:rPr>
        <w:footnoteReference w:id="10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$525 </w:t>
      </w:r>
      <w:r>
        <w:rPr>
          <w:rFonts w:cs="Traditional Arabic" w:hint="cs"/>
          <w:b/>
          <w:bCs/>
          <w:sz w:val="28"/>
          <w:szCs w:val="32"/>
          <w:rtl/>
        </w:rPr>
        <w:t>263- مباشرة التتبع في مواجهة الحائز للعقار المرهون</w:t>
      </w:r>
      <w:r>
        <w:rPr>
          <w:rFonts w:cs="Traditional Arabic" w:hint="cs"/>
          <w:sz w:val="28"/>
          <w:szCs w:val="32"/>
          <w:rtl/>
        </w:rPr>
        <w:t xml:space="preserve"> : وإذا توافر في الشخص صفة الحائز طبقاً للشروط المتقدم ذكرها ، فقد نصت المادة 1072 مدني على أنه "إذا لم يختر الحائز سداد بعض الديون المقيدة أو يطهره العقار م الرهن أو يتخلى عن هذا العقار ، فلا يجوز للدائن المرتهن أن يتخذ في مواجهته إجراءات نزع الملكية وفقاً لأحكام قانون المرافعات إلا بعد إنذاره بدفع الدين المستحق أو تخلية </w:t>
      </w:r>
      <w:r>
        <w:rPr>
          <w:rFonts w:cs="Traditional Arabic" w:hint="cs"/>
          <w:sz w:val="28"/>
          <w:szCs w:val="32"/>
          <w:rtl/>
        </w:rPr>
        <w:lastRenderedPageBreak/>
        <w:t>العقار ، ويكون الإنذار بعد التنبيه على المدين بنزع الملكية أو مع هذا التنبيه في وقت واحد"</w:t>
      </w:r>
      <w:r>
        <w:rPr>
          <w:rFonts w:cs="Traditional Arabic" w:hint="cs"/>
          <w:sz w:val="28"/>
          <w:szCs w:val="32"/>
          <w:vertAlign w:val="superscript"/>
          <w:rtl/>
        </w:rPr>
        <w:t xml:space="preserve">( </w:t>
      </w:r>
      <w:r w:rsidRPr="00EC737F">
        <w:rPr>
          <w:rStyle w:val="ab"/>
          <w:rFonts w:cs="Traditional Arabic"/>
          <w:sz w:val="28"/>
          <w:szCs w:val="32"/>
          <w:rtl/>
        </w:rPr>
        <w:footnoteReference w:id="107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ويستخلص من ذلك أن الدائن يجب عليه اتخاذ إجراءين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التنبيه على المدين بالدفع ، ويكون ذلك بالتنبيه بنزع ملكية العقار . والدين هو المسئول الأصلي عن الدين ، ومن الواجب إخطاره بالشروع في التنفيذ فقد يكون عنده دفوع توقف السير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$526 ( 2 ) إنذار الحائز ، وهو إنذار رسمي بالدفع أو التخلية . وليس لإنذار الحائز ميعاد في القانون ، فيجوز الإنذار بعد التنبيه أو مع التنبيه ، ولكن لا يجوز تقديم الإنذار على  التنبيه . ويكون الإنذار بدفع الدين أو تخلية العقار المرهون ، ويجب أن يكون مصحوباً بتبليغ التنبيه إلى الحائز وإلا كان باطلا . والمراد بذلك هو إعلان الحائز بصورة مطابقة لأصل التنبيه ، وبذلك يستطيع الحائز أن يتحقق من أن المدين قد علن فعلا ، وأن يعرف كل ما تعنيه معرفته ليتيسر له اتخاذ موقف في ضوء هذه المعلومات</w:t>
      </w:r>
      <w:r>
        <w:rPr>
          <w:rFonts w:cs="Traditional Arabic" w:hint="cs"/>
          <w:sz w:val="28"/>
          <w:szCs w:val="32"/>
          <w:vertAlign w:val="superscript"/>
          <w:rtl/>
        </w:rPr>
        <w:t xml:space="preserve">( </w:t>
      </w:r>
      <w:r w:rsidRPr="00EC737F">
        <w:rPr>
          <w:rStyle w:val="ab"/>
          <w:rFonts w:cs="Traditional Arabic"/>
          <w:sz w:val="28"/>
          <w:szCs w:val="32"/>
          <w:rtl/>
        </w:rPr>
        <w:footnoteReference w:id="1076"/>
      </w:r>
      <w:r>
        <w:rPr>
          <w:rFonts w:cs="Traditional Arabic" w:hint="cs"/>
          <w:sz w:val="28"/>
          <w:szCs w:val="32"/>
          <w:vertAlign w:val="superscript"/>
          <w:rtl/>
        </w:rPr>
        <w:t xml:space="preserve"> )</w:t>
      </w:r>
      <w:r>
        <w:rPr>
          <w:rFonts w:cs="Traditional Arabic" w:hint="cs"/>
          <w:sz w:val="28"/>
          <w:szCs w:val="32"/>
          <w:rtl/>
        </w:rPr>
        <w:t xml:space="preserve"> </w:t>
      </w:r>
      <w:r>
        <w:rPr>
          <w:rFonts w:cs="Traditional Arabic" w:hint="cs"/>
          <w:sz w:val="28"/>
          <w:szCs w:val="32"/>
          <w:rtl/>
        </w:rPr>
        <w:lastRenderedPageBreak/>
        <w:t>.</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264- ماذا يفعل الحائز </w:t>
      </w:r>
      <w:r>
        <w:rPr>
          <w:rFonts w:cs="Traditional Arabic"/>
          <w:b/>
          <w:bCs/>
          <w:sz w:val="28"/>
          <w:szCs w:val="32"/>
          <w:rtl/>
        </w:rPr>
        <w:t>–</w:t>
      </w:r>
      <w:r>
        <w:rPr>
          <w:rFonts w:cs="Traditional Arabic" w:hint="cs"/>
          <w:b/>
          <w:bCs/>
          <w:sz w:val="28"/>
          <w:szCs w:val="32"/>
          <w:rtl/>
        </w:rPr>
        <w:t xml:space="preserve"> سريان الرهن في مواجهة الحائز</w:t>
      </w:r>
      <w:r>
        <w:rPr>
          <w:rFonts w:cs="Traditional Arabic" w:hint="cs"/>
          <w:sz w:val="28"/>
          <w:szCs w:val="32"/>
          <w:rtl/>
        </w:rPr>
        <w:t xml:space="preserve"> : قد يتمسك الحائز بأن إجراءات القيد لم تستكمل إلا في تاريخ لاحق على تسجيل التصرف الصادر إليه ، أو أن الرهن سقطت عنه مرتبته لعدم تجديد القيد ، أو أن القيد قد زال أثر بالمحو . فإذا تمسك الحائز بمثل هذه الدفوع ، ترتب على نجاحه في ذلك حرمان الدائن المرتهن من مباشرة حق التتبع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265- وجود الدين وسلامته</w:t>
      </w:r>
      <w:r>
        <w:rPr>
          <w:rFonts w:cs="Traditional Arabic" w:hint="cs"/>
          <w:sz w:val="28"/>
          <w:szCs w:val="32"/>
          <w:rtl/>
        </w:rPr>
        <w:t xml:space="preserve"> : وإذا ثبت الدين بحكم صدر على المدين قبل تسجيل سند الحائز ، كان لهذا الحكم حجية الأمر المقضي في مواجهة حائز العقار . فالحائز هو خلف خاص للمدين ، فتسري على الحائز جميع الأحكام التي فصلت في التزامات بالعقار المرهون . ويجوز للحائز أن $527 يتمسك بالدفوع التي تستجد أسبابه بعد صدور الحكم ، كانقضاء الدين بالتقادم أو بالمقاصة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ثبت الدين بحكم صدر على المدين بعد تسجيل الحائز ، لم يكن الحكم حجة على الحائز ما لم يشترك في الدعوى ، ولا بد من اختصام الحائز مع المدين . فإذا لم يختصم في الدعوى ، جاز له أن يتمسك بجميع الدفوع التي كان في وسع المدين أن يحتج بها ، وإذا اختصم صار طرفا في الدعوى ، فيمتنع عليه الاحتجاج بأي دفع كان يجوز التمسك به قبل صدور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فإن أخفقت كل هذه المحاولات ، انتقل الحائز إلى جميع الوسائل القانونية التي يحق له أن يختار إحداها لاتخذا موقف في مواجهة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266- الوسائل القانونية المعطاة للحائز</w:t>
      </w:r>
      <w:r>
        <w:rPr>
          <w:rFonts w:cs="Traditional Arabic" w:hint="cs"/>
          <w:sz w:val="28"/>
          <w:szCs w:val="32"/>
          <w:rtl/>
        </w:rPr>
        <w:t xml:space="preserve"> : قد يكون الحائز حريصاً على الاحتفاظ بملكية العقار المرهون ، وفي هذه الحالة إما أن يقضي الديون المستحقة للدائنين المزودين بتأمينات خاصة على العقار المرهون ، أو يلجأ إلى تطهير العقار مما عليه من الديون المقيدة بشرط أن يفعل ذلك قبل أن يتخذ الدائن إجراءات التنفيذ على العقار بالتنبيه على المدين وإنذار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الحائز زاهداً في الإبقاء على ملكية العقار ، وعندئذ يستمر الدائن المرتهن في مباشرة إجراءات التنفيذ على العقار المرهون ، فإذا حرص الحائز على عدم ظهور اسمه في الإجراءات فعليه أن يلجأ إلى وسيلة تخلية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وعلى ذلك يستطيع الحائز أن يلجأ إلى إحدى الوسائل القانونية الأربعة الآتية ، وهي : ( 1 ) قضاء الديون . ( 2 ) تطهير العقار . ( 3 ) تخلية العقار . ( 4 ) تحمل إجراءات 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والى جانب هذه المسائل الأربع المتقدم ذكرها ، نتكلم في مسألة خامسة هي : موقف الحائز من بيع عقاره بالمزاد .</w:t>
      </w:r>
    </w:p>
    <w:p w:rsidR="00F72742" w:rsidRDefault="00F72742" w:rsidP="00F72742">
      <w:pPr>
        <w:widowControl w:val="0"/>
        <w:spacing w:after="120"/>
        <w:jc w:val="center"/>
        <w:rPr>
          <w:rFonts w:cs="Traditional Arabic" w:hint="cs"/>
          <w:sz w:val="28"/>
          <w:szCs w:val="32"/>
          <w:rtl/>
        </w:rPr>
      </w:pPr>
      <w:r>
        <w:rPr>
          <w:rFonts w:cs="Traditional Arabic" w:hint="cs"/>
          <w:sz w:val="28"/>
          <w:szCs w:val="32"/>
          <w:rtl/>
        </w:rPr>
        <w:t xml:space="preserve">$528 </w:t>
      </w:r>
      <w:r w:rsidRPr="00826EAF">
        <w:rPr>
          <w:b/>
          <w:bCs/>
          <w:sz w:val="28"/>
          <w:szCs w:val="32"/>
          <w:rtl/>
        </w:rPr>
        <w:t>§</w:t>
      </w:r>
      <w:r w:rsidRPr="00826EAF">
        <w:rPr>
          <w:rFonts w:cs="Traditional Arabic" w:hint="cs"/>
          <w:b/>
          <w:bCs/>
          <w:sz w:val="28"/>
          <w:szCs w:val="32"/>
          <w:rtl/>
        </w:rPr>
        <w:t xml:space="preserve"> 1 </w:t>
      </w:r>
      <w:r w:rsidRPr="00826EAF">
        <w:rPr>
          <w:rFonts w:cs="Traditional Arabic"/>
          <w:b/>
          <w:bCs/>
          <w:sz w:val="28"/>
          <w:szCs w:val="32"/>
          <w:rtl/>
        </w:rPr>
        <w:t>–</w:t>
      </w:r>
      <w:r w:rsidRPr="00826EAF">
        <w:rPr>
          <w:rFonts w:cs="Traditional Arabic" w:hint="cs"/>
          <w:b/>
          <w:bCs/>
          <w:sz w:val="28"/>
          <w:szCs w:val="32"/>
          <w:rtl/>
        </w:rPr>
        <w:t xml:space="preserve"> قضاء الديون</w:t>
      </w:r>
    </w:p>
    <w:p w:rsidR="00F72742" w:rsidRDefault="00F72742" w:rsidP="00F72742">
      <w:pPr>
        <w:widowControl w:val="0"/>
        <w:spacing w:after="120"/>
        <w:ind w:firstLine="567"/>
        <w:jc w:val="lowKashida"/>
        <w:rPr>
          <w:rFonts w:cs="Traditional Arabic" w:hint="cs"/>
          <w:sz w:val="28"/>
          <w:szCs w:val="32"/>
          <w:rtl/>
        </w:rPr>
      </w:pPr>
      <w:r w:rsidRPr="00826EAF">
        <w:rPr>
          <w:rFonts w:cs="Traditional Arabic" w:hint="cs"/>
          <w:b/>
          <w:bCs/>
          <w:sz w:val="28"/>
          <w:szCs w:val="32"/>
          <w:rtl/>
        </w:rPr>
        <w:t>267- نص قانوني</w:t>
      </w:r>
      <w:r>
        <w:rPr>
          <w:rFonts w:cs="Traditional Arabic" w:hint="cs"/>
          <w:sz w:val="28"/>
          <w:szCs w:val="32"/>
          <w:rtl/>
        </w:rPr>
        <w:t xml:space="preserve"> : تنص المادة 1061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للحائز ، عند حلول الدين المضمون بالرهن ، أن يقضيه هو ملحقاته بما في ذلك ما صرف في الإجراءات من وقت إنذاره ، ويبقى حقه هذا قائماً إلى يوم رسو المزاد .ويكون له في هذه الحالة أن يرجع بكل ما يوفيه على المدين وعلى المالك السابق للعقار المرهون ، كما يكون له أن يحل محل الدائن الذي استوفى الدين فيما له من حقوق ، إلا ما كان منها متعلقاً بتأمينات قدمها شخص آخر غير المدين"</w:t>
      </w:r>
      <w:r>
        <w:rPr>
          <w:rFonts w:cs="Traditional Arabic" w:hint="cs"/>
          <w:sz w:val="28"/>
          <w:szCs w:val="32"/>
          <w:vertAlign w:val="superscript"/>
          <w:rtl/>
        </w:rPr>
        <w:t xml:space="preserve">( </w:t>
      </w:r>
      <w:r w:rsidRPr="00EC737F">
        <w:rPr>
          <w:rStyle w:val="ab"/>
          <w:rFonts w:cs="Traditional Arabic"/>
          <w:sz w:val="28"/>
          <w:szCs w:val="32"/>
          <w:rtl/>
        </w:rPr>
        <w:footnoteReference w:id="107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ونتكلم هنا في المسائل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$529 ( 1 ) متى يكون قضاء الدين أفضل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ما يجب على الحائز دفعه لقضاء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متى يجب الدفع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( 4 ) حلول الحائز محل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( 5 ) رجوع الحائز على المدين وعل المالك السابق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( 6 ) متى يجبر الحائز على دفع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( 7 ) إجبار الحائز على دفع الدين إذا كان في ذمته مبلغ يكفي لوفاء جميع الدائنين المقيدين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( 8 ) اتفاق الدائنين على إجبار الحائز على الدفع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268- متى يكون قضاء الدين أفضل : </w:t>
      </w:r>
      <w:r>
        <w:rPr>
          <w:rFonts w:cs="Traditional Arabic" w:hint="cs"/>
          <w:sz w:val="28"/>
          <w:szCs w:val="32"/>
          <w:rtl/>
        </w:rPr>
        <w:t>يختار الحائز عادة قضاء الدين ، إذا كان الدين اقل بكثير م ثمن العقار ، أو من الجز الباقي من لثمن في ذمة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للدائن المرتهن رهن على عقار آخر ضامن لنفس الدين ، فإذا وفى الحائز هذا الدائن المرتهن فإنه يحل محله في هذا الرهن ، وقد يكون في ذلك ضمان كافٍ للحائز إذا ما وفى الدين للدائن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الحائز قد اشترى العقار المرهون بثمن مساو لقيمة الدين ولم يكن قد دفع الثمن ، فيتعين عليه ، بدلا من أن يدفع الثمن للبائع ، أن يدفعه للدائن ، فيفي بذلك في وقت واحد بالثمن وبالدين</w:t>
      </w:r>
      <w:r>
        <w:rPr>
          <w:rFonts w:cs="Traditional Arabic" w:hint="cs"/>
          <w:sz w:val="28"/>
          <w:szCs w:val="32"/>
          <w:vertAlign w:val="superscript"/>
          <w:rtl/>
        </w:rPr>
        <w:t xml:space="preserve">( </w:t>
      </w:r>
      <w:r w:rsidRPr="00EC737F">
        <w:rPr>
          <w:rStyle w:val="ab"/>
          <w:rFonts w:cs="Traditional Arabic"/>
          <w:sz w:val="28"/>
          <w:szCs w:val="32"/>
          <w:rtl/>
        </w:rPr>
        <w:footnoteReference w:id="1078"/>
      </w:r>
      <w:r>
        <w:rPr>
          <w:rFonts w:cs="Traditional Arabic" w:hint="cs"/>
          <w:sz w:val="28"/>
          <w:szCs w:val="32"/>
          <w:vertAlign w:val="superscript"/>
          <w:rtl/>
        </w:rPr>
        <w:t xml:space="preserve"> )</w:t>
      </w:r>
      <w:r>
        <w:rPr>
          <w:rFonts w:cs="Traditional Arabic" w:hint="cs"/>
          <w:sz w:val="28"/>
          <w:szCs w:val="32"/>
          <w:rtl/>
        </w:rPr>
        <w:t xml:space="preserve"> </w:t>
      </w:r>
      <w:r>
        <w:rPr>
          <w:rFonts w:cs="Traditional Arabic" w:hint="cs"/>
          <w:sz w:val="28"/>
          <w:szCs w:val="32"/>
          <w:rtl/>
        </w:rPr>
        <w:lastRenderedPageBreak/>
        <w:t>.</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$530 </w:t>
      </w:r>
      <w:r>
        <w:rPr>
          <w:rFonts w:cs="Traditional Arabic" w:hint="cs"/>
          <w:b/>
          <w:bCs/>
          <w:sz w:val="28"/>
          <w:szCs w:val="32"/>
          <w:rtl/>
        </w:rPr>
        <w:t>269- ما يجب على الحائز دفعه لقضاء الدين</w:t>
      </w:r>
      <w:r>
        <w:rPr>
          <w:rFonts w:cs="Traditional Arabic" w:hint="cs"/>
          <w:sz w:val="28"/>
          <w:szCs w:val="32"/>
          <w:rtl/>
        </w:rPr>
        <w:t xml:space="preserve"> : ويدفع الحائز للدائن المرتهن كل ما يجب دفعه له بموجب عقد الرهن</w:t>
      </w:r>
      <w:r>
        <w:rPr>
          <w:rFonts w:cs="Traditional Arabic" w:hint="cs"/>
          <w:sz w:val="28"/>
          <w:szCs w:val="32"/>
          <w:vertAlign w:val="superscript"/>
          <w:rtl/>
        </w:rPr>
        <w:t xml:space="preserve">( </w:t>
      </w:r>
      <w:r w:rsidRPr="00EC737F">
        <w:rPr>
          <w:rStyle w:val="ab"/>
          <w:rFonts w:cs="Traditional Arabic"/>
          <w:sz w:val="28"/>
          <w:szCs w:val="32"/>
          <w:rtl/>
        </w:rPr>
        <w:footnoteReference w:id="1079"/>
      </w:r>
      <w:r>
        <w:rPr>
          <w:rFonts w:cs="Traditional Arabic" w:hint="cs"/>
          <w:sz w:val="28"/>
          <w:szCs w:val="32"/>
          <w:vertAlign w:val="superscript"/>
          <w:rtl/>
        </w:rPr>
        <w:t xml:space="preserve"> )</w:t>
      </w:r>
      <w:r>
        <w:rPr>
          <w:rFonts w:cs="Traditional Arabic" w:hint="cs"/>
          <w:sz w:val="28"/>
          <w:szCs w:val="32"/>
          <w:rtl/>
        </w:rPr>
        <w:t xml:space="preserve"> . ويجب دفع كل ذلك لأن الرهن غير قابل للتجزئة ، فيكون للدائن المرتهن استيفاء كل حقه ، فلو بقي منه شيء لم يدفع جاز للدائن المرتهن أن ينزع من أجل هذا الباقي ملكية العقار المرهون . ومن ثم يجب على الحائز أن يدفع كل الدين</w:t>
      </w:r>
      <w:r>
        <w:rPr>
          <w:rFonts w:cs="Traditional Arabic" w:hint="cs"/>
          <w:sz w:val="28"/>
          <w:szCs w:val="32"/>
          <w:vertAlign w:val="superscript"/>
          <w:rtl/>
        </w:rPr>
        <w:t xml:space="preserve">( </w:t>
      </w:r>
      <w:r w:rsidRPr="00EC737F">
        <w:rPr>
          <w:rStyle w:val="ab"/>
          <w:rFonts w:cs="Traditional Arabic"/>
          <w:sz w:val="28"/>
          <w:szCs w:val="32"/>
          <w:rtl/>
        </w:rPr>
        <w:footnoteReference w:id="1080"/>
      </w:r>
      <w:r>
        <w:rPr>
          <w:rFonts w:cs="Traditional Arabic" w:hint="cs"/>
          <w:sz w:val="28"/>
          <w:szCs w:val="32"/>
          <w:vertAlign w:val="superscript"/>
          <w:rtl/>
        </w:rPr>
        <w:t xml:space="preserve"> )</w:t>
      </w:r>
      <w:r>
        <w:rPr>
          <w:rFonts w:cs="Traditional Arabic" w:hint="cs"/>
          <w:sz w:val="28"/>
          <w:szCs w:val="32"/>
          <w:rtl/>
        </w:rPr>
        <w:t xml:space="preserve"> ، ويدفع أيضاً الفوائد المضمونة ( سنتين قبل تسجيل تنبيه نزع الملكية ، والفوائد التي تستحق من تاريخ تسجيل تنبيه نزع الملكية إلى يوم رسو المزاد ، والقيود الخاصة بفوائد أخرى قد استحقت ) ، وكذلك المصروفات المضمونة بالقيد ، وما صرف في الإجراءات من وقت إنذار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270- متى يجب الدفع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والدفع يكون عند حلول الدين المضمون بالرهن إلى يوم رسو المزاد . وتقول المادة 1061 مدني كما رأينا : "يجوز للحائز عند حلول الدين المضمون بالرهن أن يقضيه هو وملحقاته ، بما في ذلك ما صرف في الإجراءات م وقت إنذاره ، ويبقى حقه هذا قائماً إلى يوم رسو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ويستفيد الحائز من مواعيد الأجل الممنوحة للمدين ، بما في ذلك أجل القاضي</w:t>
      </w:r>
      <w:r>
        <w:rPr>
          <w:rFonts w:cs="Traditional Arabic" w:hint="cs"/>
          <w:sz w:val="28"/>
          <w:szCs w:val="32"/>
          <w:vertAlign w:val="superscript"/>
          <w:rtl/>
        </w:rPr>
        <w:t xml:space="preserve">( </w:t>
      </w:r>
      <w:r w:rsidRPr="00EC737F">
        <w:rPr>
          <w:rStyle w:val="ab"/>
          <w:rFonts w:cs="Traditional Arabic"/>
          <w:sz w:val="28"/>
          <w:szCs w:val="32"/>
          <w:rtl/>
        </w:rPr>
        <w:footnoteReference w:id="1081"/>
      </w:r>
      <w:r>
        <w:rPr>
          <w:rFonts w:cs="Traditional Arabic" w:hint="cs"/>
          <w:sz w:val="28"/>
          <w:szCs w:val="32"/>
          <w:vertAlign w:val="superscript"/>
          <w:rtl/>
        </w:rPr>
        <w:t xml:space="preserve"> )</w:t>
      </w:r>
      <w:r>
        <w:rPr>
          <w:rFonts w:cs="Traditional Arabic" w:hint="cs"/>
          <w:sz w:val="28"/>
          <w:szCs w:val="32"/>
          <w:rtl/>
        </w:rPr>
        <w:t xml:space="preserve"> . فلا تتخذ ضد الحائز إجراءات حتى ينتهي الأجل ، ويحرم $531 الحائز الأجل الذي يحرمه المدين</w:t>
      </w:r>
      <w:r>
        <w:rPr>
          <w:rFonts w:cs="Traditional Arabic" w:hint="cs"/>
          <w:sz w:val="28"/>
          <w:szCs w:val="32"/>
          <w:vertAlign w:val="superscript"/>
          <w:rtl/>
        </w:rPr>
        <w:t xml:space="preserve">( </w:t>
      </w:r>
      <w:r w:rsidRPr="00EC737F">
        <w:rPr>
          <w:rStyle w:val="ab"/>
          <w:rFonts w:cs="Traditional Arabic"/>
          <w:sz w:val="28"/>
          <w:szCs w:val="32"/>
          <w:rtl/>
        </w:rPr>
        <w:footnoteReference w:id="10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وتستمر المادة 1061 مدني ، كما رأينا ، فتقول : "ويكون له ( للحائز ) في هذه الحالة أن يرجع بكل ما يوفيه على المدين وعلى المالك السابق للعقار المرهون ، كما له أن يحل محل الدائن الذي استوفى الدين فيما له من حقوق ، إلا ما كان منها معلقاً بتأمينات قدمها شخص آخر غير المدين" . فيحل الحائز الذي دفع الدين محل الدائن الذي استوفى الدين فيما له من حقوق ، إلا حقوقه المتعلقة بتأمينات قدمها شخص آخر غير المدين ، ككفيل عيني ، فلا يحل الحائز محل الدائن في الرجوع على الكفيل العيني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على الحائز ، وقد حل محل الدائن في الرهن على العقار المرهون ، أن يحتفظ بقيد الرهن وأن يجدده عند الاقتضاء ، وذلك إلى أن تمحي القيود التي كانت موجودة على العقار ، وقت تسجيل سند هذا الحائز . ذلك أن الحائز قد يفي بالدين الذي حلن ويكون هو الدين الأول في المرتبة ، معتمداً على أن ثمن العقار إذا بيع في المزاد لا يصل إلى أكثر من هذا الدين . فيجب عليه عندئذ أن يحتفظ بقيد الرهن الضامن لهذا الدين إلى أن تمحى القيود التالية ، لأنه يحل محل الدائن فيه ، وقد يحتج على الدائنين التالين في المرتبة إذا هموا بالتنفيذ استيفاء لحقوقهم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أجل ذلك نصت المادة 1062 مدني على أنه "يجب على الحائز أن يحتفظ بقيد الرهن الذي حل فيه محل الدائن ، وأن يجدده عند الاقتضاء ، وذلك إلى أن تمحي القيود التي كانت موجودة على العقار وقت تسجيل سند الحائز"</w:t>
      </w:r>
      <w:r>
        <w:rPr>
          <w:rFonts w:cs="Traditional Arabic" w:hint="cs"/>
          <w:sz w:val="28"/>
          <w:szCs w:val="32"/>
          <w:vertAlign w:val="superscript"/>
          <w:rtl/>
        </w:rPr>
        <w:t xml:space="preserve">( </w:t>
      </w:r>
      <w:r w:rsidRPr="00EC737F">
        <w:rPr>
          <w:rStyle w:val="ab"/>
          <w:rFonts w:cs="Traditional Arabic"/>
          <w:sz w:val="28"/>
          <w:szCs w:val="32"/>
          <w:rtl/>
        </w:rPr>
        <w:footnoteReference w:id="10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$532 </w:t>
      </w:r>
      <w:r>
        <w:rPr>
          <w:rFonts w:cs="Traditional Arabic" w:hint="cs"/>
          <w:b/>
          <w:bCs/>
          <w:sz w:val="28"/>
          <w:szCs w:val="32"/>
          <w:rtl/>
        </w:rPr>
        <w:t>271- حلول الحائز محل الدائن</w:t>
      </w:r>
      <w:r>
        <w:rPr>
          <w:rFonts w:cs="Traditional Arabic" w:hint="cs"/>
          <w:sz w:val="28"/>
          <w:szCs w:val="32"/>
          <w:rtl/>
        </w:rPr>
        <w:t xml:space="preserve"> : وإذا دفع الحائز الدين للدائن على الوجه الذي قدمناه ، حل محل هذا الدائن في جميع حقوقه قبل المدين</w:t>
      </w:r>
      <w:r>
        <w:rPr>
          <w:rFonts w:cs="Traditional Arabic" w:hint="cs"/>
          <w:sz w:val="28"/>
          <w:szCs w:val="32"/>
          <w:vertAlign w:val="superscript"/>
          <w:rtl/>
        </w:rPr>
        <w:t xml:space="preserve">( </w:t>
      </w:r>
      <w:r w:rsidRPr="00EC737F">
        <w:rPr>
          <w:rStyle w:val="ab"/>
          <w:rFonts w:cs="Traditional Arabic"/>
          <w:sz w:val="28"/>
          <w:szCs w:val="32"/>
          <w:rtl/>
        </w:rPr>
        <w:footnoteReference w:id="108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وبموجب هذا الحلول ، يحل الحائز محل الدائن في الرهن الذي له على العقار ، فيصبح الحائز مرتهناً لملكه ، وتظهر أهمية ذلك فيما إذا طلب بعض الدائنين المرتهنين الآخرين بيع العقار ، فيحتج عليهم الحائز بالرهن الذي حل فيه ، إذا كانت مرتبة الرهن تسمح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وينتقل الرهن إلى الحائز بمرتبته ، فيتقدم الحائز على من يكون متأخراً عنه ، ويتقدم عليه من يكون أسبق منه . ويجب عليه حفظ الرهن وتجديده ، كما قدمنا ( م 1062 مدني )</w:t>
      </w:r>
      <w:r w:rsidRPr="00A547A6">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0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272- رجوع الحائز على المدين وعلى المالك السابق</w:t>
      </w:r>
      <w:r>
        <w:rPr>
          <w:rFonts w:cs="Traditional Arabic" w:hint="cs"/>
          <w:sz w:val="28"/>
          <w:szCs w:val="32"/>
          <w:rtl/>
        </w:rPr>
        <w:t xml:space="preserve"> : ويستطيع الحائز الذي دفع الدين أن يرجع أولا على المدين ، بدعوى شخصية تقوم على قواعد الإثراء بلا سبب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وللحائز أن يرجع أيضاً على من تلقى الملكية منه . فإن كان قد تلقاها بعوض ، كان له حق </w:t>
      </w:r>
      <w:r>
        <w:rPr>
          <w:rFonts w:cs="Traditional Arabic" w:hint="cs"/>
          <w:sz w:val="28"/>
          <w:szCs w:val="32"/>
          <w:rtl/>
        </w:rPr>
        <w:lastRenderedPageBreak/>
        <w:t>الضمان ، فيرجع بهذا الحق عليه ، كما لو كان من تلقى الحائز الملكية منه بائعاً أو مقايضاً</w:t>
      </w:r>
      <w:r>
        <w:rPr>
          <w:rFonts w:cs="Traditional Arabic" w:hint="cs"/>
          <w:sz w:val="28"/>
          <w:szCs w:val="32"/>
          <w:vertAlign w:val="superscript"/>
          <w:rtl/>
        </w:rPr>
        <w:t xml:space="preserve">( </w:t>
      </w:r>
      <w:r w:rsidRPr="00EC737F">
        <w:rPr>
          <w:rStyle w:val="ab"/>
          <w:rFonts w:cs="Traditional Arabic"/>
          <w:sz w:val="28"/>
          <w:szCs w:val="32"/>
          <w:rtl/>
        </w:rPr>
        <w:footnoteReference w:id="108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$533 أما إذا كان من تلقى الملكية لا يضمن ، كما إذا كان واهباً أو موصياً ، فإنه لا رجوع للحائز في هذه الحالة ، ومن ثم إذا كان الحائز قد تلقى الملكية بهبة أو بوصية فإنه لا يرجع لا على الواهب ولا على الموصي</w:t>
      </w:r>
      <w:r>
        <w:rPr>
          <w:rFonts w:cs="Traditional Arabic" w:hint="cs"/>
          <w:sz w:val="28"/>
          <w:szCs w:val="32"/>
          <w:vertAlign w:val="superscript"/>
          <w:rtl/>
        </w:rPr>
        <w:t xml:space="preserve">( </w:t>
      </w:r>
      <w:r w:rsidRPr="00EC737F">
        <w:rPr>
          <w:rStyle w:val="ab"/>
          <w:rFonts w:cs="Traditional Arabic"/>
          <w:sz w:val="28"/>
          <w:szCs w:val="32"/>
          <w:rtl/>
        </w:rPr>
        <w:footnoteReference w:id="108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273- متى يجبر الحائز على دفع الدين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وفي كل ما قدمناه ، نفرض أن الحائز بدفع الدين مختاراً ، حتى يمنع الدائن من نزع ملكية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توجد حالتان يجبر فيهما الحائز على دفع الدين ، وقد نصت عليهما المادة 1063 مدني وهي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إذا كان في ذمة الحائز ، بسبب امتلاكه للعقار المرهون ، مبلغ مستحق الأداء حالا يكفي لوفاء جميع الدائنين المقيدة حقوقهم على العقار ، فكل من هؤلاء الدائنين ا يجبره على الوفاء بحقه ، بشرط أن يكون سند ملكيته قد سجل"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فإذا كان الدين الذي في ذمة الحائز غير مستحق الأداء حالا ، أو كان أقل من الديون المستحقة للدائنين ، أو مغايراً لها ، جاز للدائنين إذا اتفقوا جميعاً أن يطالبوا الحائز بدفع ما في ذمته بقدر ما هو مستحق لهم ، . ويكون الدفع طبقاً للشروط التي التزم الحائز في أصل تعهده أن يدفع بمقتضاها ، وفي الأجل المتفق على الدفع فيه" .</w:t>
      </w:r>
    </w:p>
    <w:p w:rsidR="00F72742" w:rsidRPr="00D177F5"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وف كلتا الحالتين لا يجوز أن يتخلص من التزامه بالوفاء للدائنين بتخلية عن العقار ، ولكنه إذا هو وفى لهم فإن العقار يعتبر خالصاً من كل رهن ، ويكون للحائز الحق في طلب محو ما على العقار من القيود"</w:t>
      </w:r>
      <w:r>
        <w:rPr>
          <w:rFonts w:cs="Traditional Arabic" w:hint="cs"/>
          <w:sz w:val="28"/>
          <w:szCs w:val="32"/>
          <w:vertAlign w:val="superscript"/>
          <w:rtl/>
        </w:rPr>
        <w:t xml:space="preserve">( </w:t>
      </w:r>
      <w:r w:rsidRPr="00EC737F">
        <w:rPr>
          <w:rStyle w:val="ab"/>
          <w:rFonts w:cs="Traditional Arabic"/>
          <w:sz w:val="28"/>
          <w:szCs w:val="32"/>
          <w:rtl/>
        </w:rPr>
        <w:footnoteReference w:id="10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$534 وقد جاء في المذكرة الإيضاحية للمشروع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"والأصل أن دفع الحائز للدين أمر اختياري ، ولكنه ينقلب إجباراياً ، ويصبح للدائن المرتهن الحق في استيفاء الدين من الحائز ، في حالتين"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إذا كان المستحق في ذمة الحائز ، بالسبب الناقل لملكية العقار ، مبلغاً واجب الأداء حالا ، ويكفي لوفاء الديون . ويتشرط أن يكون الحائز قد سجل سند ملكيته ، حتى لا يستجد دائنون ينفذ حقهم قبله . ففي هذه الحالة لا مصلحة للحائز في أن يدفع المستحق في ذمته للراهن ، ويجوز للدائن المرتهن أن يجبره على الوفاء له هو"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أما إذا كان المستحق في ذمة الحائز غير واجب الأداء حالا ، أو كان أقل من الدين المضمون ، أو مغياراً له ، فللدائنين المرتهنين ، إذا اتفقوا جميعاً ، إجباره على الدفع لهم ، ولكن في الميعاد المحدد ، وبقدر ما في ذمته . فإذا دفع تخلص من الرهون ، ولو كان ما دفعه أقل من الديون المضمونة"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يجوز للحائز في الحالتين أن يتخلص من الدفع للدائنين ، بالتخلي عن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108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الفقرة الثالثة من المادة 1063 مدني تنص على ما يأتي : "وفي كلتا الحالتين لا يجوز للحائز أن يتخلص من التزامه بالوفاء للدائنين بتخلية عن العقار ، ولكن إذا هو وفى لهم ، فإن العقار يعتبر خالصاً من كل رهن ، ويكون للحائز الحق في طلب محو ما على العقار من قيود"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$535 وما جاء في هذا النص معقول ، فالحالتان اللتان نصت عليهما المادة 1063 مدني ، الحالة الأولى منهما يستوفي فيها الدائنون المقيدون لغاية تسجيل سند الحائز جميع حقوقهم فلم يعد لدائن مقيد حق في العقار ، وفي الحالة الثانية اتفق جميع الدائنين المقيدين على الوجه السابق على أن يطالبوا الحائز </w:t>
      </w:r>
      <w:r>
        <w:rPr>
          <w:rFonts w:cs="Traditional Arabic" w:hint="cs"/>
          <w:sz w:val="28"/>
          <w:szCs w:val="32"/>
          <w:rtl/>
        </w:rPr>
        <w:lastRenderedPageBreak/>
        <w:t>بدفع ما في ذمته فيكونون قد رضوا بتخليص العقار من القيود . وعلى ذلك يصبح الحائز ملزماً بدفع ما في ذمته ، ولا يستطيع أن يتخلص من هذا الالتزام إلا بالدفع ، لا بالتخلي عن العقار الذي أصبح غير جائز له . ومتى دفع ما في ذمته ، ولو كان ما دفعه أقل من الديون المقيدة ، اعتبر العقار مطهراً م نكل الديون ، واعتبر خالصاً م كل رهن ، واستقر في ملكية الحائز مطهراً وخالصاً من الديون المقيدة ، ويكون للحائز الحق في طلب محو  ما على العقار من القيود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ونعالج في إيجار الحالتين اللتين وردتا في المادة 1063 مدني ، وهما : ( 1 ) إجبار الحائز على دفع الديون ، إذا كان في ذمته مبلغ يكفي لوفاء جميع الدائنين . ( 2 ) اتفاق الدائنين على إجبار الحائز على الدفع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274- إجبار الحائز على دفع الديون إذا كان في ذمته مبلغ يكفي لوفاء جميع الدائنين المقيدين</w:t>
      </w:r>
      <w:r>
        <w:rPr>
          <w:rFonts w:cs="Traditional Arabic" w:hint="cs"/>
          <w:sz w:val="28"/>
          <w:szCs w:val="32"/>
          <w:rtl/>
        </w:rPr>
        <w:t xml:space="preserve"> : وإذا كان الحائز انتقلت إليه ملكة العقار المرهون بعقد معاوضة ، كعقد بيع مثلا ، وكان الباقي في ذمته من الثمن مبلغاً يكفي لوفاء جميع الدائنين المقيدين حتى وقت تسجيل عقد البيع ، وجب على الحائز ألا يدفع شيئاً من الباقي في ذمته للبائع ، وأن يعرض هذا الباقي في ذمته على الدائنين المقيدين ، فيستوي كل منهم حقه كاملا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والمهم أن يكون الباقي في ذمة الحائز؛ ( 1 ) سبب امتلاكه للعقار المرهون . ( 2 ) وأن يكون مبلغاً مستحق الأداء حالا . ( 3 ) وأن يكون هذا المبلغ كافياً لوفاء جميع الدائنين المقيدين بكامل حقوقهم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$536 ففي هذه الحالة يتحقق الدائنون المقيدون من أن الحائز قد سجل سند ملكيته ، وذلك حتى لا يستجد دائنون مقيدون آخرون فيصبح ما في ذمة الحائز غير كاف للوفاء بكامل حقوقهم . فمتى تحققوا من ذلك ، وأيقنوا أن ما في ذمة الحائز يفي بكامل حقوق الدائنين المقيدين جميعاً ، أصبح لكل دائن من هؤلاء الدائنين المقيدين ، وفيهم الدائن المقيد الذي يباشر التنفيذ ، أن يطالب الحائز بالوفاء بكامل حقه . والحائز لا مصلحة له في التأخر ، ففي ذمته مبلغ يفي بكامل حقوق الدائنين المقيدين ، فما عليه إلا ألا يدفع شيئاً لمن انتقلت منه ملكية العقار ، وأن يدفع لكل دائن مقيد كامل حقوقه ، ويحل محله فيما دفع له ، وبذلك تخلص ذمته من الثمن ومن حقوق الدائنين المقيدين جميعاً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275- اتفاق الدائنين على إجبار الحائز على الدفع</w:t>
      </w:r>
      <w:r>
        <w:rPr>
          <w:rFonts w:cs="Traditional Arabic" w:hint="cs"/>
          <w:sz w:val="28"/>
          <w:szCs w:val="32"/>
          <w:rtl/>
        </w:rPr>
        <w:t xml:space="preserve"> : وفي هذه الحالة ، إذا كان ما في ذمة الحائز اقل م ديون الدائنين المقيدين ، أو مغايراً لجنس هذا الديون ، أو غير مستحق الأداء حالا ، ولكن اتفق جميع الدائنين المقيدين على مطالبة الحائز بالدفع ، فلا يستطيع الحائز رفض هذا الطلب ، ويجب أن يدفع للدائنين المقيدين ما في ذمته ، وهم يقتسمونه بينهم على الوجه الذي يختارونه .</w:t>
      </w:r>
    </w:p>
    <w:p w:rsidR="00F72742" w:rsidRPr="009255C8"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الحائز يدفع ما في ذمته طبقاً للشروط التي اتفق عليها ، ويوجه خاص إذا كان ما في ذمته غير واجب الدفع إلا بعد أجل ، لم يدفع للدائنين المقيدين إلا عند حلول هذا الأجل . ولا يستطيع الحائز التخلص من التزامه بالوفاء الدائنين المقيدين ، بالتخلي عن العقار المرهون . ويتخلص من كل ما عليه من القيود ، حتى لو كان ما دفعه الحائز لا يفي بجميع الديون المقيدة ، ويجوز للحائز بعد الدفع أن يطلب محو ما على العقار من القيود</w:t>
      </w:r>
      <w:r>
        <w:rPr>
          <w:rFonts w:cs="Traditional Arabic" w:hint="cs"/>
          <w:sz w:val="28"/>
          <w:szCs w:val="32"/>
          <w:vertAlign w:val="superscript"/>
          <w:rtl/>
        </w:rPr>
        <w:t xml:space="preserve">( </w:t>
      </w:r>
      <w:r w:rsidRPr="00EC737F">
        <w:rPr>
          <w:rStyle w:val="ab"/>
          <w:rFonts w:cs="Traditional Arabic"/>
          <w:sz w:val="28"/>
          <w:szCs w:val="32"/>
          <w:rtl/>
        </w:rPr>
        <w:footnoteReference w:id="10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$537 ويلاحظ أن الحائز لا يدفع في هذه الحالة للدائنين المقيدين ، إلا طبقاً للشروط وفي المواعيد التي ارتضاها . وهو إذا دفع على هذا الوجه لا يخسر شيئاً ، فهو قد أدى للدائنين حقوقهم كاملة ، وتخلص من ثمن العقار ( لأنه يحل محل الدائنين المقيدين ) ، إلا إذا بقي بعد الدفع للدائنين المقيدين بقية من الثمن ، فيدفعها للبائع .</w:t>
      </w:r>
    </w:p>
    <w:p w:rsidR="00F72742" w:rsidRPr="002D5DF3"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2</w:t>
      </w:r>
      <w:r w:rsidRPr="002D5DF3">
        <w:rPr>
          <w:rFonts w:cs="Traditional Arabic" w:hint="cs"/>
          <w:b/>
          <w:bCs/>
          <w:sz w:val="28"/>
          <w:szCs w:val="32"/>
          <w:rtl/>
        </w:rPr>
        <w:t>- تطهر العقار</w:t>
      </w:r>
    </w:p>
    <w:p w:rsidR="00F72742" w:rsidRPr="002D5DF3" w:rsidRDefault="00F72742" w:rsidP="00F72742">
      <w:pPr>
        <w:widowControl w:val="0"/>
        <w:spacing w:after="120"/>
        <w:jc w:val="center"/>
        <w:rPr>
          <w:rFonts w:cs="Traditional Arabic" w:hint="cs"/>
          <w:b/>
          <w:bCs/>
          <w:sz w:val="28"/>
          <w:szCs w:val="32"/>
          <w:rtl/>
        </w:rPr>
      </w:pPr>
      <w:r>
        <w:rPr>
          <w:rFonts w:cs="Traditional Arabic"/>
          <w:b/>
          <w:bCs/>
          <w:sz w:val="28"/>
          <w:szCs w:val="32"/>
          <w:rtl/>
        </w:rPr>
        <w:t xml:space="preserve">( </w:t>
      </w:r>
      <w:r w:rsidRPr="002D5DF3">
        <w:rPr>
          <w:rFonts w:cs="Traditional Arabic"/>
          <w:b/>
          <w:bCs/>
          <w:sz w:val="28"/>
          <w:szCs w:val="32"/>
        </w:rPr>
        <w:t>Purge</w:t>
      </w:r>
      <w:r>
        <w:rPr>
          <w:rFonts w:cs="Traditional Arabic"/>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276- نص قانوني</w:t>
      </w:r>
      <w:r>
        <w:rPr>
          <w:rFonts w:cs="Traditional Arabic" w:hint="cs"/>
          <w:sz w:val="28"/>
          <w:szCs w:val="32"/>
          <w:rtl/>
        </w:rPr>
        <w:t xml:space="preserve"> : تصت المادة 1064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يجوز للحائز ، إذ سجل سند ملكيته ، أن يطهر العقار من كل رهن تم قيده قبل تسجيل هذا السند"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"2- وللحائز أن يستعمل هذا الحق حتى قبل أن يوجه الدائنون التنبيه إلى المدين ، أو الإنذار إلى هذا الحائز ، ويبقى هذا الحق قائماً إلى يوم إيداع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09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$538 وقد جاء في المذكرة الإيضاحية للمشروع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تعرض هذه النصوص  . . . لتطهير العقار . والحائز يختار التطهير إذا رأى أن قيمة العقار أقل من الدين المضمون بالرهن . ويمر التطهير على المراحل الآتية : يسجل الحائز سند ملكيته إذا كان سنداً قابلا للتسجيل ، حتى لو لم يكن تسجيله واجباً . فالمشتري يسجل البيع ، والموهوب له يسجل الهبة ، والشفيع يسجل حكم الشفعة  . . . . والموصي له يسجل الوصية  . . . . والغرض من ذلك تحديد الرهون التي يجب تطهيرها ، فإنه متى سجل الحائز سند ملكيته فلا يمكن بعد هذا التسجيل أن يستجد دائن مرتهن يكون رهنه نافذاً في حق الحائز . أما إذا كان سند الملكية غير قابل للتسجيل بأن يكون عملا مادياً لا عملا قانونياً ، فلا سبيل للتسجيل في هذه الحالة . فالحائز الذي ملك بالتقادم عقاراً مرهوناً ولم يسقط الرهن  . . . يستطيع تطهير العقار دون أن يسجل شيئاً ، لأن التقادم واقعة مادية تستعصي على التسجيل . على أن التسجيل لا فائدة فيه هنا ، فإنه م وقت تملك الحائز للعقار بالتقادم ، لا يكون لأي </w:t>
      </w:r>
      <w:r>
        <w:rPr>
          <w:rFonts w:cs="Traditional Arabic" w:hint="cs"/>
          <w:sz w:val="28"/>
          <w:szCs w:val="32"/>
          <w:rtl/>
        </w:rPr>
        <w:lastRenderedPageBreak/>
        <w:t>رهن يعطي على العقار م غير الحائز قيمة في حق الحائز ،سواء كان التملك بالتقادم الطويل أو بالتقادم القصير . وإذا كان السبب الصحيح في التقادم والقصير واجب التسجيل ، وفقاً لأحكام المشروع ، فإن التسجيل واجب لكسب الملكية نفسها بالتقادم وليس واجباً للتطهير ، ذلك ا م يتملك بالتقادم القصير لا يتملك بالسبب الصحيح الناقل للملكية ، وإنما يتملك بواقعة مادية تستعصي على التسجيل ، هي الحيازة مقترنة بحسن النية وبهذا السبب الصحيح" .</w:t>
      </w:r>
    </w:p>
    <w:p w:rsidR="00F72742" w:rsidRPr="002D5DF3"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بعد أن يسجل الحائز سنده على النحو المتقدم ، يستطيع أن يبدأ إجراءات التطهير ، دون حاجة إلى انتظار حلول الدين المضمون بالرهن $539 وتوجيه الدائن المرتهن إليه إنذاراً بالدفع أو التخلية . ويبقى حقه في التطهير قائماً إلى يوم ( إيداع قائمة شروط البيع ) إذ  . . . لم يبق إلا طرح العقار في المزاد ، فإذا أراد الحائز عرض قيمته فما عليه إلا أن يتقدم مزايداً . وأول إجراء في التطهير هو أن يوجه للدائن المقيدة حقوقهم  . . . في مواطنهم المختار المذكورة في القيد ، إعلاناً يشتمل على البيانات المذكورة في المادة 1488  . . . ويلاحظ أن من بينها بياناً يذكر فيه القيمة التي يقدرها الحائز للعقار ، وهو لا يتقيد في تقدير هذه القيمة بثمن العقار لو انتقلت إليه ملكيته بالبيع ، فقد يقدر قيمة أقل م الثمن أو أكبر منه ، ولكنه يتقيد بألا تقل القيمة عن السعر الذي يتخذ لتقدير الثمن في حالة نزع الملكية ( وهذا الأساس هو الضريبة التي تدفع عن العقار ) ،ولا تقل في الوقت ذاته عن الباقي في ذمة الحائز من ثمن العقار لأنه يستطيع أن يدفع هذا الباقي كله للدائنين دون أن يصيبه ضرر من ذلك ، فإذا زاد عن الديون كانت الزيادة للراهن . ولا يلتزم الحائز بعرض القيمة عرضاً حقيقياً ، بل يكفي أن يظهر استعداده للدفع حالا ، أياً كان استحقاق الديون المقيدة . فإذا أظهر هذا الاستعداد ، أصبح ملتزماً بالبقاء على ما عرضه ، ومصدر إلزامه هو إرادته المنفردة"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"3- وإذا وافق الدائنون جميعاً بعد إعلانهم على العرض الذي تقدم به الحائز ، أو سكنوا ستين يوماً من آخر إعلان رسمي . . . اعتبر العرض مقبولا ، ووجب على الحائز أن يدفع المبلغ المعروض للدائنين حسب مرتبتهم ، أو يودعه خزينة المحكمة ، فيتطهر العقار من كل الرهون ويمحي ما عليه من القيود . أما إذا طلب أحد الدائنين أو كفيل له أو وكيل عنه وكالة خاصة في التطهير ، بيع العقار ، فيكون ذلك بإعلان يوجه إلى الحائز الراهن ، في مدى الستين يوماً المشار إليها ، يطلب فيه عرض العقار في المزاد ، ولا </w:t>
      </w:r>
      <w:r>
        <w:rPr>
          <w:rFonts w:cs="Traditional Arabic" w:hint="cs"/>
          <w:sz w:val="28"/>
          <w:szCs w:val="32"/>
          <w:rtl/>
        </w:rPr>
        <w:lastRenderedPageBreak/>
        <w:t>تشترط زيادة العشر وهذا هو التجديد الذي حققه المشروع حتى يتخفف $540 الدائن م بعض أعباء التطهير . ولكن يجب على الدائن أن يودع في خزينة المحكمة مبلغاً كافياً لتغطية مصروفات البيع بالمزاد ، ولا يسترد هذه المصروفات إذا وقع المزاد على الحائز لعدم تقدم مزايد بعطاء أكبر مما عرض . ومتى تقدم أحد الدائنين بطلب بيع العقار على النحو الذي تقدم ، وجب عرض العقار في المزاد ، ولا يجوز للدائن أن يتنازل عن طلبه إلا بموافقة جميع الدائنين والكفلاء"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يطرح العقار في المزاد ، وتتبع الإجراءات المقررة في البيوع الجبرية ، فإن عرض مزايد مبلغاً أكبر من القيمة التي عرضها الحائز ( وقد يكون الدائن الذي طلب البيع أو دائناً آخر أجنبياً أو الحائز نفسه زاد فيها سبق أن عرض ، ولكن لا يجوز أن يكون الراهن أو المدين ) ،رسا المزاد عليه .ووجب أن يدفع ، إلى جانب العطاء الذي تقدم به ، المصروفات التي أنفقها الحائز في سند ملكيته ونفقات الإعلانات والمصروفات التي اقتضتها إجراءات التطهير ، ويرد إلى طالب البيع ما سبق أن قدمه لذلك . وإذا ل يتقدم مزايد بعطاء أكبر ، خلصت للحائز ملكية العقار ، ولا يلتزم بدفع المبلغ نفسه الذي سبق ا عرضه ، والمبلغ الذي يرسو به المزاد يودع خزينة المحكمة ، أو يدفع للدائنين حسب مراتبهم ، فتنقضي الديون وتمحى القيود ويتم بذلك تطهير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10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277- متى يختار الحائز التطهير</w:t>
      </w:r>
      <w:r>
        <w:rPr>
          <w:rFonts w:cs="Traditional Arabic" w:hint="cs"/>
          <w:sz w:val="28"/>
          <w:szCs w:val="32"/>
          <w:rtl/>
        </w:rPr>
        <w:t xml:space="preserve"> : ويظهر مما تقدم أن الحائز يختار تطهير العقار المرهون إذا كانت الديون المقيدة أكبر من قيمة العقار ، فيؤثر هو أن يعرض على الدائنين المقيدين قيمة العقار ، ويطهر العقار بهذه القيمة ، أو يباع في المزاد . غير أن اختيار التطهير يكلف الحائز إجراءات ومشقات ، إلى أن يعرض العقار للبيع جبراً في المزاد العلني بناء $541 على طلب أحد ذوي الشأن ، ويحتمل خروج العقار من ملك الحائز نتيجة لذلك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كانت الديون المقيدة أقل من قيمة العقار ، فالحائز يؤثر أن يلجأ إلى قضاء الديون بدلا من التطهير ، فيقتضيها وهي أقل من قيمة العقار ، فيبقى العقار في يده ، ولا يخسر شيئاً لأنه يحل محل الدائنين في العقار وقيمة العقار أكبر من مجموع الديون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278- مزايا التطهير وعيوبه</w:t>
      </w:r>
      <w:r>
        <w:rPr>
          <w:rFonts w:cs="Traditional Arabic" w:hint="cs"/>
          <w:sz w:val="28"/>
          <w:szCs w:val="32"/>
          <w:rtl/>
        </w:rPr>
        <w:t xml:space="preserve"> : وللتطهير مزايا كثيرة ، وقد قرره كثير م القوانين كقوانين فرنسا وبلجيكا وإيطاليا والبرتغال وهولندا ، ولم تقرره بعض القوانين كقوانين ألمانيا وبولونيا وإسبانيا والسويد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فالتطهير مقرر لمصلحة الحائز ، لا سيما إذا كانت الديون المقيدة أكبر م قيمة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وهو مفيد للمدين ، إذ يسهل عليه ا يجد مشترياً لعقاره المثقل بالديون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وهو مفيد للدائن المرتهن ، لأنه يحصل على قيمة العقار ، من غير أن يخضع لإجراءات 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التطهير قد يضر بالدائنين المرتهنين ، إذ يلزمهم بقبول ديونهم قبل ميعاد حلولها . فيحرمهم من استغلال هذه الديون استغلالا طيباً ، وقد يباع العقار في وقت غير مناسب فتنزل قيمته</w:t>
      </w:r>
      <w:r>
        <w:rPr>
          <w:rFonts w:cs="Traditional Arabic" w:hint="cs"/>
          <w:sz w:val="28"/>
          <w:szCs w:val="32"/>
          <w:vertAlign w:val="superscript"/>
          <w:rtl/>
        </w:rPr>
        <w:t xml:space="preserve">( </w:t>
      </w:r>
      <w:r w:rsidRPr="00EC737F">
        <w:rPr>
          <w:rStyle w:val="ab"/>
          <w:rFonts w:cs="Traditional Arabic"/>
          <w:sz w:val="28"/>
          <w:szCs w:val="32"/>
          <w:rtl/>
        </w:rPr>
        <w:footnoteReference w:id="109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b/>
          <w:bCs/>
          <w:sz w:val="28"/>
          <w:szCs w:val="32"/>
          <w:rtl/>
        </w:rPr>
      </w:pPr>
      <w:r>
        <w:rPr>
          <w:rFonts w:cs="Traditional Arabic" w:hint="cs"/>
          <w:b/>
          <w:bCs/>
          <w:sz w:val="28"/>
          <w:szCs w:val="32"/>
          <w:rtl/>
        </w:rPr>
        <w:t>279- أرب مسائل رئيسية في التطهير</w:t>
      </w:r>
      <w:r>
        <w:rPr>
          <w:rFonts w:cs="Traditional Arabic" w:hint="cs"/>
          <w:sz w:val="28"/>
          <w:szCs w:val="32"/>
          <w:rtl/>
        </w:rPr>
        <w:t xml:space="preserve"> :</w:t>
      </w:r>
      <w:r w:rsidRPr="00D36A81">
        <w:rPr>
          <w:rFonts w:cs="Traditional Arabic" w:hint="cs"/>
          <w:sz w:val="28"/>
          <w:szCs w:val="32"/>
          <w:rtl/>
        </w:rPr>
        <w:t xml:space="preserve"> وهناك</w:t>
      </w:r>
      <w:r>
        <w:rPr>
          <w:rFonts w:cs="Traditional Arabic" w:hint="cs"/>
          <w:sz w:val="28"/>
          <w:szCs w:val="32"/>
          <w:rtl/>
        </w:rPr>
        <w:t xml:space="preserve"> ،</w:t>
      </w:r>
      <w:r w:rsidRPr="00D36A81">
        <w:rPr>
          <w:rFonts w:cs="Traditional Arabic" w:hint="cs"/>
          <w:sz w:val="28"/>
          <w:szCs w:val="32"/>
          <w:rtl/>
        </w:rPr>
        <w:t xml:space="preserve"> في التطهير</w:t>
      </w:r>
      <w:r>
        <w:rPr>
          <w:rFonts w:cs="Traditional Arabic" w:hint="cs"/>
          <w:sz w:val="28"/>
          <w:szCs w:val="32"/>
          <w:rtl/>
        </w:rPr>
        <w:t xml:space="preserve"> ،</w:t>
      </w:r>
      <w:r w:rsidRPr="00D36A81">
        <w:rPr>
          <w:rFonts w:cs="Traditional Arabic" w:hint="cs"/>
          <w:sz w:val="28"/>
          <w:szCs w:val="32"/>
          <w:rtl/>
        </w:rPr>
        <w:t xml:space="preserve"> أربع مسائل رئيسية</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من يجوز له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عرض الحائز وقبوله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$542 ( ج ) عرض الحائز ورفضه . بيع العقار في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د ) متى يمتنع التطهير </w:t>
      </w:r>
      <w:r>
        <w:rPr>
          <w:rFonts w:cs="Traditional Arabic"/>
          <w:sz w:val="28"/>
          <w:szCs w:val="32"/>
          <w:rtl/>
        </w:rPr>
        <w:t>–</w:t>
      </w:r>
      <w:r>
        <w:rPr>
          <w:rFonts w:cs="Traditional Arabic" w:hint="cs"/>
          <w:sz w:val="28"/>
          <w:szCs w:val="32"/>
          <w:rtl/>
        </w:rPr>
        <w:t xml:space="preserve"> مصروفاته .</w:t>
      </w:r>
    </w:p>
    <w:p w:rsidR="00F72742" w:rsidRPr="007C4E6A" w:rsidRDefault="00F72742" w:rsidP="00F72742">
      <w:pPr>
        <w:widowControl w:val="0"/>
        <w:spacing w:after="120"/>
        <w:jc w:val="center"/>
        <w:rPr>
          <w:rFonts w:cs="Traditional Arabic" w:hint="cs"/>
          <w:b/>
          <w:bCs/>
          <w:sz w:val="28"/>
          <w:szCs w:val="32"/>
          <w:rtl/>
        </w:rPr>
      </w:pPr>
      <w:r w:rsidRPr="007C4E6A">
        <w:rPr>
          <w:rFonts w:cs="Traditional Arabic" w:hint="cs"/>
          <w:b/>
          <w:bCs/>
          <w:sz w:val="28"/>
          <w:szCs w:val="32"/>
          <w:rtl/>
        </w:rPr>
        <w:t>أ - من يجوز له التطهير</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280- يجوز التطهير للحائز</w:t>
      </w:r>
      <w:r>
        <w:rPr>
          <w:rFonts w:cs="Traditional Arabic" w:hint="cs"/>
          <w:sz w:val="28"/>
          <w:szCs w:val="32"/>
          <w:rtl/>
        </w:rPr>
        <w:t xml:space="preserve"> : تقول الفقرة الأولى من المادة 1064 مدني كما رينا : "يجوز للحائز ، إذا سجل سند ملكيته ، أن يطهر العقار م كل رهن تم قيده قبل تسجيل هذا السند" . فحائز العقار المرهون هو الذي يتولى أمر التطهير ، وهو الذي يقدر ما إذا كان من المناسب أن يلجأ إلى هذه الطريقة .وهو يكون عادة ميالا للتطهير ، إذا ما وجد أن الديون المقيدة قبل تسجيل سنده قيمتها أكبر من قيمة العقار . فلا يكون ميالا لدفع هذه الديون لأن قيمتها أكبر من قيمة العقار ، فلا يستطيع استردادها كلها ، ثم هو لا يميل إلى التنفيذ مباشرة على العقار بترك الدائن المرتهن ينفذ عليه ، ولا يميل إلى التخلية ، </w:t>
      </w:r>
      <w:r>
        <w:rPr>
          <w:rFonts w:cs="Traditional Arabic" w:hint="cs"/>
          <w:sz w:val="28"/>
          <w:szCs w:val="32"/>
          <w:rtl/>
        </w:rPr>
        <w:lastRenderedPageBreak/>
        <w:t>فلا يجد أمامه غير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إذن التطهير لحائز العقار ، ولو كان هو أحد الدائنين المرتهنين</w:t>
      </w:r>
      <w:r>
        <w:rPr>
          <w:rFonts w:cs="Traditional Arabic" w:hint="cs"/>
          <w:sz w:val="28"/>
          <w:szCs w:val="32"/>
          <w:vertAlign w:val="superscript"/>
          <w:rtl/>
        </w:rPr>
        <w:t xml:space="preserve">( </w:t>
      </w:r>
      <w:r w:rsidRPr="00EC737F">
        <w:rPr>
          <w:rStyle w:val="ab"/>
          <w:rFonts w:cs="Traditional Arabic"/>
          <w:sz w:val="28"/>
          <w:szCs w:val="32"/>
          <w:rtl/>
        </w:rPr>
        <w:footnoteReference w:id="1094"/>
      </w:r>
      <w:r>
        <w:rPr>
          <w:rFonts w:cs="Traditional Arabic" w:hint="cs"/>
          <w:sz w:val="28"/>
          <w:szCs w:val="32"/>
          <w:vertAlign w:val="superscript"/>
          <w:rtl/>
        </w:rPr>
        <w:t xml:space="preserve"> )</w:t>
      </w:r>
      <w:r>
        <w:rPr>
          <w:rFonts w:cs="Traditional Arabic" w:hint="cs"/>
          <w:sz w:val="28"/>
          <w:szCs w:val="32"/>
          <w:rtl/>
        </w:rPr>
        <w:t xml:space="preserve"> بأن يشتري هذا الدائن المرتهن العقار المرهون من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ويشترط في حائز العقار ، كما رأينا ، ألا يكون ملتزماً شخصياً بالدين كالكفيل الشخصي ، ولو كان التزامه عن غيره كالكفيل العيني</w:t>
      </w:r>
      <w:r>
        <w:rPr>
          <w:rFonts w:cs="Traditional Arabic" w:hint="cs"/>
          <w:sz w:val="28"/>
          <w:szCs w:val="32"/>
          <w:vertAlign w:val="superscript"/>
          <w:rtl/>
        </w:rPr>
        <w:t xml:space="preserve">( </w:t>
      </w:r>
      <w:r w:rsidRPr="00EC737F">
        <w:rPr>
          <w:rStyle w:val="ab"/>
          <w:rFonts w:cs="Traditional Arabic"/>
          <w:sz w:val="28"/>
          <w:szCs w:val="32"/>
          <w:rtl/>
        </w:rPr>
        <w:footnoteReference w:id="10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التطهير إذن لمشتري العقار كله أو بعضه ، والمقايض ، والموهوب له ، والموصي له ، والشفيع ، ولمن تلقى حق الانتفاع بالعقار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0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يجوز لمن ترتب له حق ارتفاق أو حق استعمال أو حق سكنى ، لأن هذه الحقوق غير قابلة للبيع بالمزاد ، فهي غير قابلة للرهن</w:t>
      </w:r>
      <w:r>
        <w:rPr>
          <w:rFonts w:cs="Traditional Arabic" w:hint="cs"/>
          <w:sz w:val="28"/>
          <w:szCs w:val="32"/>
          <w:vertAlign w:val="superscript"/>
          <w:rtl/>
        </w:rPr>
        <w:t xml:space="preserve">( </w:t>
      </w:r>
      <w:r w:rsidRPr="00EC737F">
        <w:rPr>
          <w:rStyle w:val="ab"/>
          <w:rFonts w:cs="Traditional Arabic"/>
          <w:sz w:val="28"/>
          <w:szCs w:val="32"/>
          <w:rtl/>
        </w:rPr>
        <w:footnoteReference w:id="10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$543 </w:t>
      </w:r>
      <w:r>
        <w:rPr>
          <w:rFonts w:cs="Traditional Arabic" w:hint="cs"/>
          <w:b/>
          <w:bCs/>
          <w:sz w:val="28"/>
          <w:szCs w:val="32"/>
          <w:rtl/>
        </w:rPr>
        <w:t>281- المالك تحت شرط</w:t>
      </w:r>
      <w:r>
        <w:rPr>
          <w:rFonts w:cs="Traditional Arabic" w:hint="cs"/>
          <w:sz w:val="28"/>
          <w:szCs w:val="32"/>
          <w:rtl/>
        </w:rPr>
        <w:t xml:space="preserve"> : وقد يكون الحائز قد تملك العقار المرهون ، تحت شرط واقف أو فاسخ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قد تملكه تحت شرط واقف ، فهو لم يتملكه عبد ، لأن الشرط لم يتحقق ، ومن ثم لا يكون له حق التطهير إلا عند تحقق الشرط</w:t>
      </w:r>
      <w:r>
        <w:rPr>
          <w:rFonts w:cs="Traditional Arabic" w:hint="cs"/>
          <w:sz w:val="28"/>
          <w:szCs w:val="32"/>
          <w:vertAlign w:val="superscript"/>
          <w:rtl/>
        </w:rPr>
        <w:t xml:space="preserve">( </w:t>
      </w:r>
      <w:r w:rsidRPr="00EC737F">
        <w:rPr>
          <w:rStyle w:val="ab"/>
          <w:rFonts w:cs="Traditional Arabic"/>
          <w:sz w:val="28"/>
          <w:szCs w:val="32"/>
          <w:rtl/>
        </w:rPr>
        <w:footnoteReference w:id="10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وإن كان قد تملك العقار تحت شرط فاسخ ، فهو مالك للعقار حالا قبل تبين مصير الشرط ، فله </w:t>
      </w:r>
      <w:r>
        <w:rPr>
          <w:rFonts w:cs="Traditional Arabic" w:hint="cs"/>
          <w:sz w:val="28"/>
          <w:szCs w:val="32"/>
          <w:rtl/>
        </w:rPr>
        <w:lastRenderedPageBreak/>
        <w:t>أن يطهره . فإن لم يتحقق الشرط ، صار مالكاً بوجه بات ، وبقي تطهيره سليما . وإذا تحقق الشرط ، أصبح غير مالك بأثر رجعي ، وكان الواجب زوال التطهير لأن من قام بالتطهير أصبح غير مالك بأثر رجعي ، فلم يكن حائزاً وقت التطهير . ولكن هنا رأي آخر يذهب إلى بقاء التطهير نافذاً بالرم من تحقق الشرط الفاسخ ، على أساس أن التطهير عمل مادي لا يؤثر فيه الفسخ</w:t>
      </w:r>
      <w:r>
        <w:rPr>
          <w:rFonts w:cs="Traditional Arabic" w:hint="cs"/>
          <w:sz w:val="28"/>
          <w:szCs w:val="32"/>
          <w:vertAlign w:val="superscript"/>
          <w:rtl/>
        </w:rPr>
        <w:t xml:space="preserve">( </w:t>
      </w:r>
      <w:r w:rsidRPr="00EC737F">
        <w:rPr>
          <w:rStyle w:val="ab"/>
          <w:rFonts w:cs="Traditional Arabic"/>
          <w:sz w:val="28"/>
          <w:szCs w:val="32"/>
          <w:rtl/>
        </w:rPr>
        <w:footnoteReference w:id="1099"/>
      </w:r>
      <w:r>
        <w:rPr>
          <w:rFonts w:cs="Traditional Arabic" w:hint="cs"/>
          <w:sz w:val="28"/>
          <w:szCs w:val="32"/>
          <w:vertAlign w:val="superscript"/>
          <w:rtl/>
        </w:rPr>
        <w:t xml:space="preserve"> )</w:t>
      </w:r>
      <w:r>
        <w:rPr>
          <w:rFonts w:cs="Traditional Arabic" w:hint="cs"/>
          <w:sz w:val="28"/>
          <w:szCs w:val="32"/>
          <w:rtl/>
        </w:rPr>
        <w:t xml:space="preserve"> . وقد أخذ التقنين المدني الجديد بهذا الرأي ، فنص في المادة 1083 منه على أنه "إذا تمت إجراءات التطهير انقضى حق الرهن الرسمي نهائياً ، ولو زالت لأي سبب من الأسباب ملكية الحائز الذي طهر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إذا كان الحائز الذي أجرى التطهير متواطئاً مع الراهن الذي باع له العقار ، فإن الغش يبطل التطهير ، فإذا زالت ملكية الحائز زال التطهير . مثل ذلك أن يبيع الراهن العقار الذي رهنه ولو تحت شرط فاسخ ، فيعمد الحائز ( المشتري ) إلى تطهير العقار ، ثم يشتري الراهن ثانية العقار مطهراً م الحائز . فإذا ثبت التواطؤ بين الراهن والحائز ، وجب إبطال التطهير تبعاً لزوال ملكية من قام به</w:t>
      </w:r>
      <w:r>
        <w:rPr>
          <w:rFonts w:cs="Traditional Arabic" w:hint="cs"/>
          <w:sz w:val="28"/>
          <w:szCs w:val="32"/>
          <w:vertAlign w:val="superscript"/>
          <w:rtl/>
        </w:rPr>
        <w:t xml:space="preserve">( </w:t>
      </w:r>
      <w:r w:rsidRPr="00EC737F">
        <w:rPr>
          <w:rStyle w:val="ab"/>
          <w:rFonts w:cs="Traditional Arabic"/>
          <w:sz w:val="28"/>
          <w:szCs w:val="32"/>
          <w:rtl/>
        </w:rPr>
        <w:footnoteReference w:id="11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$544 </w:t>
      </w:r>
      <w:r>
        <w:rPr>
          <w:rFonts w:cs="Traditional Arabic" w:hint="cs"/>
          <w:b/>
          <w:bCs/>
          <w:sz w:val="28"/>
          <w:szCs w:val="32"/>
          <w:rtl/>
        </w:rPr>
        <w:t>282- الملتزم شخصيا بالدين</w:t>
      </w:r>
      <w:r>
        <w:rPr>
          <w:rFonts w:cs="Traditional Arabic" w:hint="cs"/>
          <w:sz w:val="28"/>
          <w:szCs w:val="32"/>
          <w:rtl/>
        </w:rPr>
        <w:t xml:space="preserve"> : ولا يجوز التطهير للملتزم شخصياً بالدين ، لأنه ليس بحائز . فلا يجوز التطهير من الكفيل شخصياً كان أو عينياً ، ولا من الشريك في الدين ، متضامناً كان أو غير متضامن ، ولا من وارث المدين ، لأن كل هؤلاء ملتزمون شخصياً بالدين فيجب عليهم وفاؤه كاملا ، ولا يسمح لهم بالتخلص منه لقاء دفع قيمة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فوارث المدين لا يجوز له التطهير ، ولو تلقى العقار المرهون ميراثاً عن المدين الراهن . فالتطهير قد يؤدي إلى وفاء الديون قبل آجالها والى قبول الوفاء الجزئي ، والى انقضاء بعض الرهون دون وفاء الديون المضمونة بها ، ولذلك قد شرع لغير الملتزم شخصياً بالدين . ولو أجيز للملتزم ، لرجع الدائن المرتهن ، بعد </w:t>
      </w:r>
      <w:r>
        <w:rPr>
          <w:rFonts w:cs="Traditional Arabic" w:hint="cs"/>
          <w:sz w:val="28"/>
          <w:szCs w:val="32"/>
          <w:rtl/>
        </w:rPr>
        <w:lastRenderedPageBreak/>
        <w:t>تمام إجراءات التطهير ، على أي مال من أموال هذا الملتزم بما فيها العقار الذي طهر من الرهن</w:t>
      </w:r>
      <w:r>
        <w:rPr>
          <w:rFonts w:cs="Traditional Arabic" w:hint="cs"/>
          <w:sz w:val="28"/>
          <w:szCs w:val="32"/>
          <w:vertAlign w:val="superscript"/>
          <w:rtl/>
        </w:rPr>
        <w:t xml:space="preserve">( </w:t>
      </w:r>
      <w:r w:rsidRPr="00EC737F">
        <w:rPr>
          <w:rStyle w:val="ab"/>
          <w:rFonts w:cs="Traditional Arabic"/>
          <w:sz w:val="28"/>
          <w:szCs w:val="32"/>
          <w:rtl/>
        </w:rPr>
        <w:footnoteReference w:id="110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قدمنا أن وارث المدين يلتزم بالدين في القانون الفرنسي ، أما في القانون المصري أو الشريعة الإسلامية فالوارث لا يرث الدين ، ولا يتلقى العقار المرهون إلا بعد انحلال الرهن وسداد جميع الديون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الحائز هو أحد الشركاء في الدين ، فإنه  يكون له أن يطهر العقار المرهون ا دام لم يدفع حصته في الدين . فإن دفع حصته أصبح غير مدين ، وبقي له صفة الحائز فقط ، فيجوز له أن يطهر العقار . وقبل دفع حصته في الدين ، يكون مديناً ، فلا يكون له أن يطهر العقار ، ويكون العقار ضامناً لما هو مدين به</w:t>
      </w:r>
      <w:r>
        <w:rPr>
          <w:rFonts w:cs="Traditional Arabic" w:hint="cs"/>
          <w:sz w:val="28"/>
          <w:szCs w:val="32"/>
          <w:vertAlign w:val="superscript"/>
          <w:rtl/>
        </w:rPr>
        <w:t xml:space="preserve">( </w:t>
      </w:r>
      <w:r w:rsidRPr="00EC737F">
        <w:rPr>
          <w:rStyle w:val="ab"/>
          <w:rFonts w:cs="Traditional Arabic"/>
          <w:sz w:val="28"/>
          <w:szCs w:val="32"/>
          <w:rtl/>
        </w:rPr>
        <w:footnoteReference w:id="11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$545 </w:t>
      </w:r>
      <w:r>
        <w:rPr>
          <w:rFonts w:cs="Traditional Arabic" w:hint="cs"/>
          <w:b/>
          <w:bCs/>
          <w:sz w:val="28"/>
          <w:szCs w:val="32"/>
          <w:rtl/>
        </w:rPr>
        <w:t>283- حق الرقبة وحق الانتفاع</w:t>
      </w:r>
      <w:r>
        <w:rPr>
          <w:rFonts w:cs="Traditional Arabic" w:hint="cs"/>
          <w:sz w:val="28"/>
          <w:szCs w:val="32"/>
          <w:rtl/>
        </w:rPr>
        <w:t xml:space="preserve"> : ويجوز التطهير لمن انتقل إليه حق الرقبة أو حق الانتفاع مرهوناً . فإذا عرض حائز حق الرقبة أو حق الانتفاع قيمة حقه ، فإنه يترتب على التطهير تخليص الحق المرهون . وعلى ذلك إذا كان حق الانتفاع هو الذي انتقل إلى الحائز وحصل تطهيره ، فإن حق أرباب الديون المقيدة يبقى على الرقبة ، وعند انتهاء الانتفاع يعتبر ملحقاً بالرقبة ، فتعود أصحاب الديون المقيدة على العقار كاملا ، رقة وانتفاعاً ، إذا أن الرهن يشمل ملحقات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ملك الرقبة هو الذي انقل إلى الحائز وطهر ، فإن الرقبة تتطهر من المرهون ، ويبقى الرهن على حق الانتفاع ، ويزول بزواله</w:t>
      </w:r>
      <w:r>
        <w:rPr>
          <w:rFonts w:cs="Traditional Arabic" w:hint="cs"/>
          <w:sz w:val="28"/>
          <w:szCs w:val="32"/>
          <w:vertAlign w:val="superscript"/>
          <w:rtl/>
        </w:rPr>
        <w:t xml:space="preserve">( </w:t>
      </w:r>
      <w:r w:rsidRPr="00EC737F">
        <w:rPr>
          <w:rStyle w:val="ab"/>
          <w:rFonts w:cs="Traditional Arabic"/>
          <w:sz w:val="28"/>
          <w:szCs w:val="32"/>
          <w:rtl/>
        </w:rPr>
        <w:footnoteReference w:id="11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284- تسجيل سند الحائز</w:t>
      </w:r>
      <w:r>
        <w:rPr>
          <w:rFonts w:cs="Traditional Arabic" w:hint="cs"/>
          <w:sz w:val="28"/>
          <w:szCs w:val="32"/>
          <w:rtl/>
        </w:rPr>
        <w:t xml:space="preserve"> : يجب ا يكون سند الحائز مسجلا إذا كان قابلا للتسجيل ، لمنع القيود الجديدة وتعيين الدائنين نهائياً ، لأنه بالتسجيل لا يكون للقيود الجديدة التي تلحق التسجيل أثر</w:t>
      </w:r>
      <w:r>
        <w:rPr>
          <w:rFonts w:cs="Traditional Arabic" w:hint="cs"/>
          <w:sz w:val="28"/>
          <w:szCs w:val="32"/>
          <w:vertAlign w:val="superscript"/>
          <w:rtl/>
        </w:rPr>
        <w:t xml:space="preserve">( </w:t>
      </w:r>
      <w:r w:rsidRPr="00EC737F">
        <w:rPr>
          <w:rStyle w:val="ab"/>
          <w:rFonts w:cs="Traditional Arabic"/>
          <w:sz w:val="28"/>
          <w:szCs w:val="32"/>
          <w:rtl/>
        </w:rPr>
        <w:footnoteReference w:id="1104"/>
      </w:r>
      <w:r>
        <w:rPr>
          <w:rFonts w:cs="Traditional Arabic" w:hint="cs"/>
          <w:sz w:val="28"/>
          <w:szCs w:val="32"/>
          <w:vertAlign w:val="superscript"/>
          <w:rtl/>
        </w:rPr>
        <w:t xml:space="preserve"> )</w:t>
      </w:r>
      <w:r>
        <w:rPr>
          <w:rFonts w:cs="Traditional Arabic" w:hint="cs"/>
          <w:sz w:val="28"/>
          <w:szCs w:val="32"/>
          <w:rtl/>
        </w:rPr>
        <w:t xml:space="preserve"> </w:t>
      </w:r>
      <w:r>
        <w:rPr>
          <w:rFonts w:cs="Traditional Arabic" w:hint="cs"/>
          <w:sz w:val="28"/>
          <w:szCs w:val="32"/>
          <w:rtl/>
        </w:rPr>
        <w:lastRenderedPageBreak/>
        <w:t>.</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فالمشتري يسجل البيع ، والمقايض يسجل المقايضة ، والموهوب له يسجل الهبة ، والموصي له يسجل الوصية ، والشفيع يسجل حكم الشفعة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سند الملكية عملا مادياً كالتقادم ، فهذا السند غير قابل للتسجيل . ومن ثم يستطيع الحائز ، الذي كسب الملكية بالتقادم ، أن يطهر العقار دون أن يسجل شيئاً ، "لأن التقادم واقعة مادية تستعصي على التسجيل"</w:t>
      </w:r>
      <w:r>
        <w:rPr>
          <w:rFonts w:cs="Traditional Arabic" w:hint="cs"/>
          <w:sz w:val="28"/>
          <w:szCs w:val="32"/>
          <w:vertAlign w:val="superscript"/>
          <w:rtl/>
        </w:rPr>
        <w:t xml:space="preserve">( </w:t>
      </w:r>
      <w:r w:rsidRPr="00EC737F">
        <w:rPr>
          <w:rStyle w:val="ab"/>
          <w:rFonts w:cs="Traditional Arabic"/>
          <w:sz w:val="28"/>
          <w:szCs w:val="32"/>
          <w:rtl/>
        </w:rPr>
        <w:footnoteReference w:id="110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$546 وإذا كان لمالك العقار بالتقادم سند يمكن تسجيله ، كما إذا حصل على حكم بالملكية بسبب التقادم ، فإنه يجب تسجيل هذا الحكم</w:t>
      </w:r>
      <w:r>
        <w:rPr>
          <w:rFonts w:cs="Traditional Arabic" w:hint="cs"/>
          <w:sz w:val="28"/>
          <w:szCs w:val="32"/>
          <w:vertAlign w:val="superscript"/>
          <w:rtl/>
        </w:rPr>
        <w:t xml:space="preserve">( </w:t>
      </w:r>
      <w:r w:rsidRPr="00EC737F">
        <w:rPr>
          <w:rStyle w:val="ab"/>
          <w:rFonts w:cs="Traditional Arabic"/>
          <w:sz w:val="28"/>
          <w:szCs w:val="32"/>
          <w:rtl/>
        </w:rPr>
        <w:footnoteReference w:id="110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285- ميعاد التطهير</w:t>
      </w:r>
      <w:r>
        <w:rPr>
          <w:rFonts w:cs="Traditional Arabic" w:hint="cs"/>
          <w:sz w:val="28"/>
          <w:szCs w:val="32"/>
          <w:rtl/>
        </w:rPr>
        <w:t xml:space="preserve"> : يجوز للحائر اتخاذ إجراءات التطهير من الوقت الذي يصبح فيه مالكاً ، وله ذلك دون حاجة إلى حلول الدين المضمون الرهن . ويكون للحائز مصلحة في أن يعرض القيمة بمجرد حيازته قبل أن يدفع الثمن ، حتى لا يضطر إلى الدفع مرتين أو تنزع ملكية العقار منه</w:t>
      </w:r>
      <w:r>
        <w:rPr>
          <w:rFonts w:cs="Traditional Arabic" w:hint="cs"/>
          <w:sz w:val="28"/>
          <w:szCs w:val="32"/>
          <w:vertAlign w:val="superscript"/>
          <w:rtl/>
        </w:rPr>
        <w:t xml:space="preserve">( </w:t>
      </w:r>
      <w:r w:rsidRPr="00EC737F">
        <w:rPr>
          <w:rStyle w:val="ab"/>
          <w:rFonts w:cs="Traditional Arabic"/>
          <w:sz w:val="28"/>
          <w:szCs w:val="32"/>
          <w:rtl/>
        </w:rPr>
        <w:footnoteReference w:id="110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$547 ويبقى حق الحائز قائماً في التطهير ، إلى يوم إيداع قائمة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108"/>
      </w:r>
      <w:r>
        <w:rPr>
          <w:rFonts w:cs="Traditional Arabic" w:hint="cs"/>
          <w:sz w:val="28"/>
          <w:szCs w:val="32"/>
          <w:vertAlign w:val="superscript"/>
          <w:rtl/>
        </w:rPr>
        <w:t xml:space="preserve"> )</w:t>
      </w:r>
      <w:r>
        <w:rPr>
          <w:rFonts w:cs="Traditional Arabic" w:hint="cs"/>
          <w:sz w:val="28"/>
          <w:szCs w:val="32"/>
          <w:rtl/>
        </w:rPr>
        <w:t xml:space="preserve"> .</w:t>
      </w:r>
    </w:p>
    <w:p w:rsidR="00F72742" w:rsidRPr="00D96EA2" w:rsidRDefault="00F72742" w:rsidP="00F72742">
      <w:pPr>
        <w:widowControl w:val="0"/>
        <w:spacing w:after="120"/>
        <w:jc w:val="center"/>
        <w:rPr>
          <w:rFonts w:cs="Traditional Arabic" w:hint="cs"/>
          <w:b/>
          <w:bCs/>
          <w:sz w:val="28"/>
          <w:szCs w:val="32"/>
          <w:rtl/>
        </w:rPr>
      </w:pPr>
      <w:r w:rsidRPr="00D96EA2">
        <w:rPr>
          <w:rFonts w:cs="Traditional Arabic" w:hint="cs"/>
          <w:b/>
          <w:bCs/>
          <w:sz w:val="28"/>
          <w:szCs w:val="32"/>
          <w:rtl/>
        </w:rPr>
        <w:t xml:space="preserve">ب </w:t>
      </w:r>
      <w:r w:rsidRPr="00D96EA2">
        <w:rPr>
          <w:rFonts w:cs="Traditional Arabic"/>
          <w:b/>
          <w:bCs/>
          <w:sz w:val="28"/>
          <w:szCs w:val="32"/>
          <w:rtl/>
        </w:rPr>
        <w:t>–</w:t>
      </w:r>
      <w:r w:rsidRPr="00D96EA2">
        <w:rPr>
          <w:rFonts w:cs="Traditional Arabic" w:hint="cs"/>
          <w:b/>
          <w:bCs/>
          <w:sz w:val="28"/>
          <w:szCs w:val="32"/>
          <w:rtl/>
        </w:rPr>
        <w:t xml:space="preserve"> عرض الحائز وقبوله</w:t>
      </w:r>
    </w:p>
    <w:p w:rsidR="00F72742" w:rsidRDefault="00F72742" w:rsidP="00F72742">
      <w:pPr>
        <w:widowControl w:val="0"/>
        <w:spacing w:after="120"/>
        <w:ind w:firstLine="567"/>
        <w:jc w:val="lowKashida"/>
        <w:rPr>
          <w:rFonts w:cs="Traditional Arabic" w:hint="cs"/>
          <w:sz w:val="28"/>
          <w:szCs w:val="32"/>
          <w:rtl/>
        </w:rPr>
      </w:pPr>
      <w:r w:rsidRPr="00D96EA2">
        <w:rPr>
          <w:rFonts w:cs="Traditional Arabic" w:hint="cs"/>
          <w:b/>
          <w:bCs/>
          <w:sz w:val="28"/>
          <w:szCs w:val="32"/>
          <w:rtl/>
        </w:rPr>
        <w:t xml:space="preserve">286- إعلان الدائنين المقيدين وعرض قيمة العقار عليهم </w:t>
      </w:r>
      <w:r w:rsidRPr="00D96EA2">
        <w:rPr>
          <w:rFonts w:cs="Traditional Arabic"/>
          <w:b/>
          <w:bCs/>
          <w:sz w:val="28"/>
          <w:szCs w:val="32"/>
          <w:rtl/>
        </w:rPr>
        <w:t>–</w:t>
      </w:r>
      <w:r w:rsidRPr="00D96EA2">
        <w:rPr>
          <w:rFonts w:cs="Traditional Arabic" w:hint="cs"/>
          <w:b/>
          <w:bCs/>
          <w:sz w:val="28"/>
          <w:szCs w:val="32"/>
          <w:rtl/>
        </w:rPr>
        <w:t xml:space="preserve"> نص قانوني</w:t>
      </w:r>
      <w:r>
        <w:rPr>
          <w:rFonts w:cs="Traditional Arabic" w:hint="cs"/>
          <w:sz w:val="28"/>
          <w:szCs w:val="32"/>
          <w:rtl/>
        </w:rPr>
        <w:t xml:space="preserve"> : نصت المادة 1065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أراد الحائز تطهير للعقار ، وجب عليه أن يوجه إلى الدائنين المقيدة حقوقهم ، في مواطنهم المختارة المذكورة في القيد ، إعلانات تشمل البيانات الآتية" :</w:t>
      </w:r>
    </w:p>
    <w:p w:rsidR="00F72742" w:rsidRPr="00DB7B8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أ ) خلاصة من سند ملكية الحائز ، تقتصر على بيان نوع التصرف ، وتاريخه ، واسم المالك السابق للعقار مع تعيين هذا المالك تعييناً دقيقاً ، ومحل العقار مع تعيينه وتحديده بالدقة ، وإذا كان </w:t>
      </w:r>
      <w:r>
        <w:rPr>
          <w:rFonts w:cs="Traditional Arabic" w:hint="cs"/>
          <w:sz w:val="28"/>
          <w:szCs w:val="32"/>
          <w:rtl/>
        </w:rPr>
        <w:lastRenderedPageBreak/>
        <w:t>التصرف بيعاً يذكر أيضاً الثمن ، وما عسى أن يوجد من تكاليف تعتبر جزءاً من هذا الثمن"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تاريخ تسجيل ملكية الحائز ، ورقم هذا التسجيل"</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جـ ) المبلغ الذي يقدره الحائز قيمة للعقار ، ولو كمان التصرف بيعاً . $548 ويجب ألا يقل هذا المبلغ عن السعر الذي يتخذ أساساً لتقدير الثمن في حالة نزع الملكية ، ولا أن يقل في أي حال عن الباقي في ذمة الحائز من الثمن إذا كان التصرف بيعاً . وإذا كانت أجزاء العقار مثقلة برهون مختلفة ، وجب تقدير قيمة كل جزء على حدة"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د ) قائمة بالحقوق التي تم قيدها على العقار قبل تسجيل سند الحائز تشتمل على بيان تاريخ هذه القيود ، ومقدار هذه الحقوق ، وأسماء الدائنين"</w:t>
      </w:r>
      <w:r>
        <w:rPr>
          <w:rFonts w:cs="Traditional Arabic" w:hint="cs"/>
          <w:sz w:val="28"/>
          <w:szCs w:val="32"/>
          <w:vertAlign w:val="superscript"/>
          <w:rtl/>
        </w:rPr>
        <w:t xml:space="preserve">( </w:t>
      </w:r>
      <w:r w:rsidRPr="00EC737F">
        <w:rPr>
          <w:rStyle w:val="ab"/>
          <w:rFonts w:cs="Traditional Arabic"/>
          <w:sz w:val="28"/>
          <w:szCs w:val="32"/>
          <w:rtl/>
        </w:rPr>
        <w:footnoteReference w:id="11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فأول ما يجب أن يذكره الحائز في الإعلان ، الذي يجب أن يكون رسمياً وعلى يد محضر وإلا كان الإعلان باطلا</w:t>
      </w:r>
      <w:r>
        <w:rPr>
          <w:rFonts w:cs="Traditional Arabic" w:hint="cs"/>
          <w:sz w:val="28"/>
          <w:szCs w:val="32"/>
          <w:vertAlign w:val="superscript"/>
          <w:rtl/>
        </w:rPr>
        <w:t xml:space="preserve">( </w:t>
      </w:r>
      <w:r w:rsidRPr="00EC737F">
        <w:rPr>
          <w:rStyle w:val="ab"/>
          <w:rFonts w:cs="Traditional Arabic"/>
          <w:sz w:val="28"/>
          <w:szCs w:val="32"/>
          <w:rtl/>
        </w:rPr>
        <w:footnoteReference w:id="1110"/>
      </w:r>
      <w:r>
        <w:rPr>
          <w:rFonts w:cs="Traditional Arabic" w:hint="cs"/>
          <w:sz w:val="28"/>
          <w:szCs w:val="32"/>
          <w:vertAlign w:val="superscript"/>
          <w:rtl/>
        </w:rPr>
        <w:t xml:space="preserve"> )</w:t>
      </w:r>
      <w:r>
        <w:rPr>
          <w:rFonts w:cs="Traditional Arabic" w:hint="cs"/>
          <w:sz w:val="28"/>
          <w:szCs w:val="32"/>
          <w:rtl/>
        </w:rPr>
        <w:t xml:space="preserve"> ، خلاصة سند الحائز ، فيذكر بيان نوع التصرف إن كان بيعاً أو غير ذل من أسباب كسب الملكية ، وتاريخه ، وتعيين المالك السابق تعييناً دقيقاً ، وتحديد العقار المرهون ، وثمن هذا العقار إذا انتقلت ملكيته إلى الحائز بالبيع ، والتكاليف الأخرى التي تعبر جزءاً من الثمن قبل المصروفات التي يتعهد </w:t>
      </w:r>
      <w:r>
        <w:rPr>
          <w:rFonts w:cs="Traditional Arabic" w:hint="cs"/>
          <w:sz w:val="28"/>
          <w:szCs w:val="32"/>
          <w:rtl/>
        </w:rPr>
        <w:lastRenderedPageBreak/>
        <w:t>المشتري بدفعها $549 كمصروفات التطهير والفوائد المستحقة وقت بدء الانتفاع</w:t>
      </w:r>
      <w:r>
        <w:rPr>
          <w:rFonts w:cs="Traditional Arabic" w:hint="cs"/>
          <w:sz w:val="28"/>
          <w:szCs w:val="32"/>
          <w:vertAlign w:val="superscript"/>
          <w:rtl/>
        </w:rPr>
        <w:t xml:space="preserve">( </w:t>
      </w:r>
      <w:r w:rsidRPr="00EC737F">
        <w:rPr>
          <w:rStyle w:val="ab"/>
          <w:rFonts w:cs="Traditional Arabic"/>
          <w:sz w:val="28"/>
          <w:szCs w:val="32"/>
          <w:rtl/>
        </w:rPr>
        <w:footnoteReference w:id="1111"/>
      </w:r>
      <w:r>
        <w:rPr>
          <w:rFonts w:cs="Traditional Arabic" w:hint="cs"/>
          <w:sz w:val="28"/>
          <w:szCs w:val="32"/>
          <w:vertAlign w:val="superscript"/>
          <w:rtl/>
        </w:rPr>
        <w:t xml:space="preserve"> )</w:t>
      </w:r>
      <w:r>
        <w:rPr>
          <w:rFonts w:cs="Traditional Arabic" w:hint="cs"/>
          <w:sz w:val="28"/>
          <w:szCs w:val="32"/>
          <w:rtl/>
        </w:rPr>
        <w:t xml:space="preserve"> ، والمبالغ التي يتعهد بدفعها من أجل مصروفات الزراعة والبذور والسماد</w:t>
      </w:r>
      <w:r>
        <w:rPr>
          <w:rFonts w:cs="Traditional Arabic" w:hint="cs"/>
          <w:sz w:val="28"/>
          <w:szCs w:val="32"/>
          <w:vertAlign w:val="superscript"/>
          <w:rtl/>
        </w:rPr>
        <w:t xml:space="preserve">( </w:t>
      </w:r>
      <w:r w:rsidRPr="00EC737F">
        <w:rPr>
          <w:rStyle w:val="ab"/>
          <w:rFonts w:cs="Traditional Arabic"/>
          <w:sz w:val="28"/>
          <w:szCs w:val="32"/>
          <w:rtl/>
        </w:rPr>
        <w:footnoteReference w:id="1112"/>
      </w:r>
      <w:r>
        <w:rPr>
          <w:rFonts w:cs="Traditional Arabic" w:hint="cs"/>
          <w:sz w:val="28"/>
          <w:szCs w:val="32"/>
          <w:vertAlign w:val="superscript"/>
          <w:rtl/>
        </w:rPr>
        <w:t xml:space="preserve"> )</w:t>
      </w:r>
      <w:r>
        <w:rPr>
          <w:rFonts w:cs="Traditional Arabic" w:hint="cs"/>
          <w:sz w:val="28"/>
          <w:szCs w:val="32"/>
          <w:rtl/>
        </w:rPr>
        <w:t xml:space="preserve"> ، والمبالغ التي يتعهد بدفعها الوسيط الذي يكلفه البائع المفاوضة في العقد</w:t>
      </w:r>
      <w:r>
        <w:rPr>
          <w:rFonts w:cs="Traditional Arabic" w:hint="cs"/>
          <w:sz w:val="28"/>
          <w:szCs w:val="32"/>
          <w:vertAlign w:val="superscript"/>
          <w:rtl/>
        </w:rPr>
        <w:t xml:space="preserve">( </w:t>
      </w:r>
      <w:r w:rsidRPr="00EC737F">
        <w:rPr>
          <w:rStyle w:val="ab"/>
          <w:rFonts w:cs="Traditional Arabic"/>
          <w:sz w:val="28"/>
          <w:szCs w:val="32"/>
          <w:rtl/>
        </w:rPr>
        <w:footnoteReference w:id="1113"/>
      </w:r>
      <w:r>
        <w:rPr>
          <w:rFonts w:cs="Traditional Arabic" w:hint="cs"/>
          <w:sz w:val="28"/>
          <w:szCs w:val="32"/>
          <w:vertAlign w:val="superscript"/>
          <w:rtl/>
        </w:rPr>
        <w:t xml:space="preserve"> )</w:t>
      </w:r>
      <w:r>
        <w:rPr>
          <w:rFonts w:cs="Traditional Arabic" w:hint="cs"/>
          <w:sz w:val="28"/>
          <w:szCs w:val="32"/>
          <w:rtl/>
        </w:rPr>
        <w:t xml:space="preserve"> . وفي حالة ما إذا كان عقد الحائز لا يتضمن ثمناً ، كما في المقايضة والهبة ، يجب ا يذكر في الإعلان قيمة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11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ويذكر الحائز بعد ذلك تاريخ تسجيل التصرف الصادر إليه ، ورقم هذا التسجيل ، فيجب أن يذكر تاريخ تسجيل أي تصرف صدر إليه ، بيعاً كان أو مقايضة أو هبة أو وصية أو غير ذلك</w:t>
      </w:r>
      <w:r>
        <w:rPr>
          <w:rFonts w:cs="Traditional Arabic" w:hint="cs"/>
          <w:sz w:val="28"/>
          <w:szCs w:val="32"/>
          <w:vertAlign w:val="superscript"/>
          <w:rtl/>
        </w:rPr>
        <w:t xml:space="preserve">( </w:t>
      </w:r>
      <w:r w:rsidRPr="00EC737F">
        <w:rPr>
          <w:rStyle w:val="ab"/>
          <w:rFonts w:cs="Traditional Arabic"/>
          <w:sz w:val="28"/>
          <w:szCs w:val="32"/>
          <w:rtl/>
        </w:rPr>
        <w:footnoteReference w:id="11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ويذكر الحائز قيمة العقار ، وهو الذي يقدر هذه القيمة ، وسنعرض لهذا البيان على حدة لأهميته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ويذكر أخيراً قائمة بالحقوق التي تم قيدها ويريد تطهير العقار منها ، وهذه الحقوق هي حق الرهن الرسمي وحق الاختصاص وحق الرهن الحيازي وحق الامتياز الخاص على العقار . ويذكر تاريخ هذه القيود ، ومقدار هذه الحقوق ، وأسماء الدائنين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وفائدة هذه البيانات هي أن يطلع الدائنون على حالة العقار وما يثقله من قيود ، ليروا ما إذا كان من مصلحتهم قبول العرض أو رفضه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287- المبلغ الذي يقدره الحائز قيمة للعقار المرهون</w:t>
      </w:r>
      <w:r>
        <w:rPr>
          <w:rFonts w:cs="Traditional Arabic" w:hint="cs"/>
          <w:sz w:val="28"/>
          <w:szCs w:val="32"/>
          <w:rtl/>
        </w:rPr>
        <w:t xml:space="preserve"> : ونأتي للبيان الذي تركناه لنعالجه على حدة لأهميته . وقد جاء في الفقرة ( ج ) من المادة $550 1065 مدني ، كما رأينا : "وإذا كانت أجزاء العقار مثقلة برهون مختلفة ، وجب تقدير قيمة ك لجزء على حده" . ذل أن التقدير يصح أن يرد على </w:t>
      </w:r>
      <w:r>
        <w:rPr>
          <w:rFonts w:cs="Traditional Arabic" w:hint="cs"/>
          <w:sz w:val="28"/>
          <w:szCs w:val="32"/>
          <w:rtl/>
        </w:rPr>
        <w:lastRenderedPageBreak/>
        <w:t>عقار شائع ، وعلى جزء مفرز من العقار . فإذا كان العقار مقسماً إلى أجزاء مفرزة ، كل جزء منها مرهون لشخص ، اعتبر كل جزء عقاراً على حدة مستقلا عن الأجزاء الأخرى ، وجرى تطهير كل جزء على حده ، ولذلك يجب على الحائز تقدير كل جزء منفرداً باعتباره عقاراً مستقلا . وقد يباع بعض هذه الأجزاء في المزاد ، ويقبل عرض الحائز في الأجزاء الأخرى فتبقى 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أن يقدر الحائز مبلغاً يعتبره قيمة للعقار الذي يطهره ، جزءاً من العقار كان أو كل العقار . وتقدير الحائز لهذا المبلغ متروك له ، فيقدر المبلغ الذي يعتقد أنه قيمة عادلة للعقار ، ولو كان هذا العقار قد آل إليه بطريق البيع ودفع فيه ثمناَ ، فقد يقدر قيمة العقار بما يعادل هذا الثمن ، وقد يقدرها بما يجاوز الثمن ، وقد يقرها بأقل من الثمن . فهو حر يقدر القيمة بالمبلغ الذي يراها مناسباً ، والدائنون هم أيضاً أحرار بعد ذلك كما سنرى ، لهم أن يقبلوا عرض الحائز ، ولهم أن يرفضوه ويعرضوا العقار المرهون للبيع جبراً في المزاد العلني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يحد من حرية الحائز في تقدير قيمة العقار المرهون إلا شرطان اشترطهما القانون :</w:t>
      </w:r>
    </w:p>
    <w:p w:rsidR="00F72742" w:rsidRPr="00ED51C1"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يجب ألا تقل هذه القيمة في أية حالة عن الباقي في ذمة الحائز من ثمن العقار إذا كان التصرف بيعاً . فإذا كان لم يدفع للبائع شيئاً من ثمن العقار ، وكان الثمن 4000 جنيهاً مثلا ، وجب أن يقدر قيمة العقار بما لا يقل عن 4000 جنيها ، وله أن يقدر القيمة بأكثر من ذلك . وإذا كان قد دفع من الثمن 1000 جنيه مثلا ، كان الباقي في ذمته من الثمن 3000 جنيها . فيجب ألا تقل قيمة العقار التي يقدرها عن 3000 جنيهاً ، وقد يقدر القيمة $551 بأكثر من ذلك . وهو على كل حال لا يخسر شيئاً ، فإن الباقي في ذمته واجب عليه دفعه ، ويحل فيه محل الدائن المرتهن ، فيستطيع أن يدفعه لهذا الدائن ويرجع به على العقار المرهون ، فيستوفي حقه كاملا دون أن يخسر أي 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ب ) يجب ألا تقل القيمة التي يقدرها للعقار المرهون عن السعر الذي يتخذ أساساً لتقدير الثمن في حالة نزع الملكية . وقد ورد في المذكرة الإيضاحية المشروع التمهيدي في هذا الخصوص ما يأتي : "وهو ( الحائز ) لا يتقيد في تقدير هذه القيمة بثمن العقار لو انتقلت إليه ملكيته بالبيع ، فقد يقدر قيمة أقل من الثمن أو أكبر منه ، ولكنه يتقدي بألا تقل القيمة عن السعر الذي يتخذ أساساً لتقدير الثمن في حالة نزع </w:t>
      </w:r>
      <w:r>
        <w:rPr>
          <w:rFonts w:cs="Traditional Arabic" w:hint="cs"/>
          <w:sz w:val="28"/>
          <w:szCs w:val="32"/>
          <w:rtl/>
        </w:rPr>
        <w:lastRenderedPageBreak/>
        <w:t>الملكية ، وهذا الأساس هو الضريبة عن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 يرد في قانون المرافعات أية قواعد لتعيين الثمن في حالة نزع الملكية . وقد اقتبس التقنين المدني الجديد القي الآنف الذكر من المشروع الإيطالي للتقنين المدني ، وقد جاء في المادة 500 من هذا المشروع :</w:t>
      </w:r>
    </w:p>
    <w:p w:rsidR="00F72742" w:rsidRPr="00E36C15" w:rsidRDefault="00F72742" w:rsidP="00F72742">
      <w:pPr>
        <w:widowControl w:val="0"/>
        <w:spacing w:after="120"/>
        <w:ind w:firstLine="567"/>
        <w:jc w:val="lowKashida"/>
        <w:rPr>
          <w:rFonts w:cs="Traditional Arabic"/>
          <w:noProof/>
          <w:sz w:val="28"/>
          <w:szCs w:val="32"/>
          <w:lang w:val="fr-FR"/>
        </w:rPr>
      </w:pPr>
      <w:r w:rsidRPr="00E36C15">
        <w:rPr>
          <w:rFonts w:cs="Traditional Arabic"/>
          <w:noProof/>
          <w:sz w:val="28"/>
          <w:szCs w:val="32"/>
          <w:lang w:val="fr-FR"/>
        </w:rPr>
        <w:t>Le prix ou la valeur declaree ne peut etre inferieur au taux etabli pour base des encheres par le cod de procedure civile en</w:t>
      </w:r>
      <w:r>
        <w:rPr>
          <w:rFonts w:cs="Traditional Arabic"/>
          <w:noProof/>
          <w:sz w:val="28"/>
          <w:szCs w:val="32"/>
          <w:lang w:val="fr-FR"/>
        </w:rPr>
        <w:t xml:space="preserve"> cas d'expropriation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قضي قانون المرافعات الإيطالي أن على الدائن أن يطلب تعيين خبير لتقدير قيمة العقار ، أو يقدر هو هذه القيمة بحيث لا تقل عن ستين ضعفاً للضريبة التي تدفع للدولة إذا كان العقار مملوكاً للمدين ملكية تامة ، ولا عن ثلاثين ضعفاً للضريبة إذا كان المدين لا يملك إلا الرقبة أو الانتفاع . وفي مصر ، جاء في المادة 85 من القانون رقم 90 لسنة 1944 الخاص بالرسوم القضائية ورسوم التوثيق في المواد المدنية : "يكون أساس تقدير الرسوم النسبية على الوجه الآتي :  . . . ( ثانياً ) على قيم العقارات أو المنقولات $552 المتنازع فيها ، فإذا لم توضح هذه القيمة أو توضحت وكانت في نظر قلم الكتاب أقل من قيمتها الحقيقية ، قدرها هذا الأخير مع مراعاة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( 1 )ألا تقل قيمة الأطيان الزراعية عن الضريبة السنوية مضروبة في ستين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( 2 ) ألا تقل قيمة الأملاك المبنية عن قيمتها الإيجارية السنوية المتخذة أساساً لربط العوائد مضروبة في 15</w:t>
      </w:r>
      <w:r>
        <w:rPr>
          <w:rFonts w:cs="Traditional Arabic" w:hint="cs"/>
          <w:sz w:val="28"/>
          <w:szCs w:val="32"/>
          <w:vertAlign w:val="superscript"/>
          <w:rtl/>
        </w:rPr>
        <w:t xml:space="preserve">( </w:t>
      </w:r>
      <w:r w:rsidRPr="00EC737F">
        <w:rPr>
          <w:rStyle w:val="ab"/>
          <w:rFonts w:cs="Traditional Arabic"/>
          <w:sz w:val="28"/>
          <w:szCs w:val="32"/>
          <w:rtl/>
        </w:rPr>
        <w:footnoteReference w:id="1117"/>
      </w:r>
      <w:r>
        <w:rPr>
          <w:rFonts w:cs="Traditional Arabic" w:hint="cs"/>
          <w:sz w:val="28"/>
          <w:szCs w:val="32"/>
          <w:vertAlign w:val="superscript"/>
          <w:rtl/>
        </w:rPr>
        <w:t xml:space="preserve"> )</w:t>
      </w:r>
      <w:r>
        <w:rPr>
          <w:rFonts w:cs="Traditional Arabic" w:hint="cs"/>
          <w:sz w:val="28"/>
          <w:szCs w:val="32"/>
          <w:rtl/>
        </w:rPr>
        <w:t xml:space="preserve"> . فيجوز إذن السير على هذا القانون على سبيل القياس ، إلى أن يصدر القانون المطلوب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288- العرض الحقيقي غير واجب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ونصت المادة 1066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"يجب على الحائز أن يذكر في الإعلان أنه مستعد أن يوفى الديون المقيدة ، إلى القدر الذي قوم به العقار . وليس عليه أن يصحب العرض بالمبلغ نقداً ، بل ينحصر العرض في إظهار استعداده للوفاء بمبلغ </w:t>
      </w:r>
      <w:r>
        <w:rPr>
          <w:rFonts w:cs="Traditional Arabic" w:hint="cs"/>
          <w:sz w:val="28"/>
          <w:szCs w:val="32"/>
          <w:rtl/>
        </w:rPr>
        <w:lastRenderedPageBreak/>
        <w:t>واجب الدفع في الحال ، أياً كان ميعاد الديون المقيدة"</w:t>
      </w:r>
      <w:r>
        <w:rPr>
          <w:rFonts w:cs="Traditional Arabic" w:hint="cs"/>
          <w:sz w:val="28"/>
          <w:szCs w:val="32"/>
          <w:vertAlign w:val="superscript"/>
          <w:rtl/>
        </w:rPr>
        <w:t xml:space="preserve">( </w:t>
      </w:r>
      <w:r w:rsidRPr="00EC737F">
        <w:rPr>
          <w:rStyle w:val="ab"/>
          <w:rFonts w:cs="Traditional Arabic"/>
          <w:sz w:val="28"/>
          <w:szCs w:val="32"/>
          <w:rtl/>
        </w:rPr>
        <w:footnoteReference w:id="11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"ولا يلتزم الحائز بعرض العقيمة عرضاً حقيقياً ، بل يكفي أن يظهر استعداده للدفع حالا ، أياً كان استحقاق الديون المقيدة . فإذا أظهر هذا الاستعداد ، أصبح ملتزماً بالبقاء على ما عرضه ، ومصدر التزامه هو إرادته المنفردة"</w:t>
      </w:r>
      <w:r>
        <w:rPr>
          <w:rFonts w:cs="Traditional Arabic" w:hint="cs"/>
          <w:sz w:val="28"/>
          <w:szCs w:val="32"/>
          <w:vertAlign w:val="superscript"/>
          <w:rtl/>
        </w:rPr>
        <w:t xml:space="preserve">( </w:t>
      </w:r>
      <w:r w:rsidRPr="00EC737F">
        <w:rPr>
          <w:rStyle w:val="ab"/>
          <w:rFonts w:cs="Traditional Arabic"/>
          <w:sz w:val="28"/>
          <w:szCs w:val="32"/>
          <w:rtl/>
        </w:rPr>
        <w:footnoteReference w:id="111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$553 ويفهم من ذلك أن الحائز لا يلتزم أن يعرض على الدائنين المقيدين ، عرضاَ حقيقياً ، المبلغ الذي قدره قيمة للعقار المرهون ، بل يكفيه أن يظهر استعداده لدفع هذا المبلغ حالا ، إذا قبل الدائنون عرضه ، أياً كان ميعاد دفع الديون المقيدة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وبمجرد أن يظهر الحائز هذا الاستعداد ، يصبح ملتزماً بما عرض ، بحيث إذا قبل الدائنون العرض ، وجب عليه أن يدفع حالا المبلغ الذي عرضه . ومصدر الالتزام هنا هو إرادة الحائز المنفردة ، ويظل ملتزماً إلى أن يقبل الدائنون العرض فيدفع المبلغ في الحال أي ينفذ التزامه ، أو إلى مدى ستين يوماً وهو الحد الأقصى للميعاد الذي أعطي للدائنين لقبول العرض أو رفضه ، كما سنرى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انقضت الستون يوماً ورفض الدائنون العرض ، تحلل الحائز من الالتزام ، وإذا دخل مزايداً في العقار المرهون كان ذلك طبقاً لمشيئته ، وكان يستطيع ألا يدخل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289- ما يترتب على ما يقع في الإعلان من نقص أو خطأ</w:t>
      </w:r>
      <w:r>
        <w:rPr>
          <w:rFonts w:cs="Traditional Arabic" w:hint="cs"/>
          <w:sz w:val="28"/>
          <w:szCs w:val="32"/>
          <w:rtl/>
        </w:rPr>
        <w:t xml:space="preserve"> : لم يذكر القانون ما يترتب على ما يقع في إعلان عرض الحائز من نقص أو خطأ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ذهب الفقه والقضاء إلى وجوب التفرقة بين البيانات الجوهرية</w:t>
      </w:r>
      <w:r>
        <w:rPr>
          <w:rFonts w:cs="Traditional Arabic" w:hint="cs"/>
          <w:sz w:val="28"/>
          <w:szCs w:val="32"/>
          <w:vertAlign w:val="superscript"/>
          <w:rtl/>
        </w:rPr>
        <w:t xml:space="preserve">( </w:t>
      </w:r>
      <w:r w:rsidRPr="00EC737F">
        <w:rPr>
          <w:rStyle w:val="ab"/>
          <w:rFonts w:cs="Traditional Arabic"/>
          <w:sz w:val="28"/>
          <w:szCs w:val="32"/>
          <w:rtl/>
        </w:rPr>
        <w:footnoteReference w:id="1120"/>
      </w:r>
      <w:r>
        <w:rPr>
          <w:rFonts w:cs="Traditional Arabic" w:hint="cs"/>
          <w:sz w:val="28"/>
          <w:szCs w:val="32"/>
          <w:vertAlign w:val="superscript"/>
          <w:rtl/>
        </w:rPr>
        <w:t xml:space="preserve"> )</w:t>
      </w:r>
      <w:r>
        <w:rPr>
          <w:rFonts w:cs="Traditional Arabic" w:hint="cs"/>
          <w:sz w:val="28"/>
          <w:szCs w:val="32"/>
          <w:rtl/>
        </w:rPr>
        <w:t xml:space="preserve"> والبيانات غير الجوهرية</w:t>
      </w:r>
      <w:r>
        <w:rPr>
          <w:rFonts w:cs="Traditional Arabic" w:hint="cs"/>
          <w:sz w:val="28"/>
          <w:szCs w:val="32"/>
          <w:vertAlign w:val="superscript"/>
          <w:rtl/>
        </w:rPr>
        <w:t xml:space="preserve">( </w:t>
      </w:r>
      <w:r w:rsidRPr="00EC737F">
        <w:rPr>
          <w:rStyle w:val="ab"/>
          <w:rFonts w:cs="Traditional Arabic"/>
          <w:sz w:val="28"/>
          <w:szCs w:val="32"/>
          <w:rtl/>
        </w:rPr>
        <w:footnoteReference w:id="1121"/>
      </w:r>
      <w:r>
        <w:rPr>
          <w:rFonts w:cs="Traditional Arabic" w:hint="cs"/>
          <w:sz w:val="28"/>
          <w:szCs w:val="32"/>
          <w:vertAlign w:val="superscript"/>
          <w:rtl/>
        </w:rPr>
        <w:t xml:space="preserve"> )</w:t>
      </w:r>
      <w:r>
        <w:rPr>
          <w:rFonts w:cs="Traditional Arabic" w:hint="cs"/>
          <w:sz w:val="28"/>
          <w:szCs w:val="32"/>
          <w:rtl/>
        </w:rPr>
        <w:t xml:space="preserve"> . فإذا كان البيان جوهرياً ، أي من البيانات التي يجب أن يعلم بها أرباب الديون ليقدروا ما إذا كانوا يطلبون بيع العقار المرهون أو لا يطلبونه ، فإذا كان النقص أو الخطأ يضر بالدائن كان له أن يطلب بطلان الإعلان .ومن البيانات الجوهرية ذكر ثمن العقار المرهون ، فإذا ذكر ثمن أعلى لم يترتب على ذلك البطلان ، ويلزم الحائز بهذا الثمن $554 للدائن الذي حصل الخطأ بالنسبة إليه . وإذا ذكر ثمن أقل ، ترتب البطلان على ذلك بالنسبة إلى من أصابه ضرر</w:t>
      </w:r>
      <w:r>
        <w:rPr>
          <w:rFonts w:cs="Traditional Arabic" w:hint="cs"/>
          <w:sz w:val="28"/>
          <w:szCs w:val="32"/>
          <w:vertAlign w:val="superscript"/>
          <w:rtl/>
        </w:rPr>
        <w:t xml:space="preserve">( </w:t>
      </w:r>
      <w:r w:rsidRPr="00EC737F">
        <w:rPr>
          <w:rStyle w:val="ab"/>
          <w:rFonts w:cs="Traditional Arabic"/>
          <w:sz w:val="28"/>
          <w:szCs w:val="32"/>
          <w:rtl/>
        </w:rPr>
        <w:footnoteReference w:id="112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ويقرر القاضي ما إذا كان البيان جوهرياً أو غير جوهري</w:t>
      </w:r>
      <w:r>
        <w:rPr>
          <w:rFonts w:cs="Traditional Arabic" w:hint="cs"/>
          <w:sz w:val="28"/>
          <w:szCs w:val="32"/>
          <w:vertAlign w:val="superscript"/>
          <w:rtl/>
        </w:rPr>
        <w:t xml:space="preserve">( </w:t>
      </w:r>
      <w:r w:rsidRPr="00EC737F">
        <w:rPr>
          <w:rStyle w:val="ab"/>
          <w:rFonts w:cs="Traditional Arabic"/>
          <w:sz w:val="28"/>
          <w:szCs w:val="32"/>
          <w:rtl/>
        </w:rPr>
        <w:footnoteReference w:id="112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وقائمة الحقوق التي تم قيدها على العقار يعتبر بياناً جوهرياً ، فإذا وقع خطأ فيها كان لمن أصابه ضرر أن يطلب البطلان . وعدم ذكر هذه القائمة بالدقة قد يسبب ضرراً لدائن متأخر ، إذ بسبب الغلط قد يمتنع عن طلب بيع العقار المرهون فيعرضه ذلك لضياع دينه ، ولذا يكون التطهير باطلا بالنسبة إليه</w:t>
      </w:r>
      <w:r>
        <w:rPr>
          <w:rFonts w:cs="Traditional Arabic" w:hint="cs"/>
          <w:sz w:val="28"/>
          <w:szCs w:val="32"/>
          <w:vertAlign w:val="superscript"/>
          <w:rtl/>
        </w:rPr>
        <w:t xml:space="preserve">( </w:t>
      </w:r>
      <w:r w:rsidRPr="00EC737F">
        <w:rPr>
          <w:rStyle w:val="ab"/>
          <w:rFonts w:cs="Traditional Arabic"/>
          <w:sz w:val="28"/>
          <w:szCs w:val="32"/>
          <w:rtl/>
        </w:rPr>
        <w:footnoteReference w:id="112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تصحيح البطلان بتنازل الدائن الذي له الحق في التمسك به ، وقد يكون التنازل صريحاً أو ضمنياً</w:t>
      </w:r>
      <w:r>
        <w:rPr>
          <w:rFonts w:cs="Traditional Arabic" w:hint="cs"/>
          <w:sz w:val="28"/>
          <w:szCs w:val="32"/>
          <w:vertAlign w:val="superscript"/>
          <w:rtl/>
        </w:rPr>
        <w:t xml:space="preserve">( </w:t>
      </w:r>
      <w:r w:rsidRPr="00EC737F">
        <w:rPr>
          <w:rStyle w:val="ab"/>
          <w:rFonts w:cs="Traditional Arabic"/>
          <w:sz w:val="28"/>
          <w:szCs w:val="32"/>
          <w:rtl/>
        </w:rPr>
        <w:footnoteReference w:id="112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ولأرباب الديون يكون لهم الحق في طلب البطلان الحق في اتخاذ إجراءات نزع الملكية ، ولكن </w:t>
      </w:r>
      <w:r>
        <w:rPr>
          <w:rFonts w:cs="Traditional Arabic" w:hint="cs"/>
          <w:sz w:val="28"/>
          <w:szCs w:val="32"/>
          <w:rtl/>
        </w:rPr>
        <w:lastRenderedPageBreak/>
        <w:t>للحائز إذا لم يكن ميعاد العرض قد انتهى أن يجدده</w:t>
      </w:r>
      <w:r>
        <w:rPr>
          <w:rFonts w:cs="Traditional Arabic" w:hint="cs"/>
          <w:sz w:val="28"/>
          <w:szCs w:val="32"/>
          <w:vertAlign w:val="superscript"/>
          <w:rtl/>
        </w:rPr>
        <w:t xml:space="preserve">( </w:t>
      </w:r>
      <w:r w:rsidRPr="00EC737F">
        <w:rPr>
          <w:rStyle w:val="ab"/>
          <w:rFonts w:cs="Traditional Arabic"/>
          <w:sz w:val="28"/>
          <w:szCs w:val="32"/>
          <w:rtl/>
        </w:rPr>
        <w:footnoteReference w:id="112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كانت البيانات أعلنت صحيحة إلى بعض الدائنين ، وحصل خطأ فيها إلى دائنين آخرين ، فإنه لا يترتب على ذلك بطلانها إلا بالنسبة إلى أرباب الديون الذين وصلت إليهم البيانات غير صحيحة</w:t>
      </w:r>
      <w:r>
        <w:rPr>
          <w:rFonts w:cs="Traditional Arabic" w:hint="cs"/>
          <w:sz w:val="28"/>
          <w:szCs w:val="32"/>
          <w:vertAlign w:val="superscript"/>
          <w:rtl/>
        </w:rPr>
        <w:t xml:space="preserve">( </w:t>
      </w:r>
      <w:r w:rsidRPr="00EC737F">
        <w:rPr>
          <w:rStyle w:val="ab"/>
          <w:rFonts w:cs="Traditional Arabic"/>
          <w:sz w:val="28"/>
          <w:szCs w:val="32"/>
          <w:rtl/>
        </w:rPr>
        <w:footnoteReference w:id="112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$555 </w:t>
      </w:r>
      <w:r>
        <w:rPr>
          <w:rFonts w:cs="Traditional Arabic" w:hint="cs"/>
          <w:b/>
          <w:bCs/>
          <w:sz w:val="28"/>
          <w:szCs w:val="32"/>
          <w:rtl/>
        </w:rPr>
        <w:t>290- إلى  من يوجه العرض</w:t>
      </w:r>
      <w:r>
        <w:rPr>
          <w:rFonts w:cs="Traditional Arabic" w:hint="cs"/>
          <w:sz w:val="28"/>
          <w:szCs w:val="32"/>
          <w:rtl/>
        </w:rPr>
        <w:t xml:space="preserve"> : ويكون العرض على جميع الدائنين المقيدة حقوقهم : المرتهنين رهناً رسمياً وأصحاب حقوق الاختصاص والمرتهنين رهناً حيازياً وأصحاب حقوق الامتياز الخاصة على عقار</w:t>
      </w:r>
      <w:r>
        <w:rPr>
          <w:rFonts w:cs="Traditional Arabic" w:hint="cs"/>
          <w:sz w:val="28"/>
          <w:szCs w:val="32"/>
          <w:vertAlign w:val="superscript"/>
          <w:rtl/>
        </w:rPr>
        <w:t xml:space="preserve">( </w:t>
      </w:r>
      <w:r w:rsidRPr="00EC737F">
        <w:rPr>
          <w:rStyle w:val="ab"/>
          <w:rFonts w:cs="Traditional Arabic"/>
          <w:sz w:val="28"/>
          <w:szCs w:val="32"/>
          <w:rtl/>
        </w:rPr>
        <w:footnoteReference w:id="11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والعرض يكون حتى على الدائنين الذين لم تحل حقوقهم ، فيترتب على التطهير الوفاء لدائنين حتى قبل الأجل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أهمل الحائز إعلان العرض إلى أحد الدائنين المقيدة حقوقهم الواجب عليه العرض عليهم ، فإن ذلك لا يترتب عليه البطلان بالنسبة إلى الدائنين المعلنين</w:t>
      </w:r>
      <w:r>
        <w:rPr>
          <w:rFonts w:cs="Traditional Arabic" w:hint="cs"/>
          <w:sz w:val="28"/>
          <w:szCs w:val="32"/>
          <w:vertAlign w:val="superscript"/>
          <w:rtl/>
        </w:rPr>
        <w:t xml:space="preserve">( </w:t>
      </w:r>
      <w:r w:rsidRPr="00EC737F">
        <w:rPr>
          <w:rStyle w:val="ab"/>
          <w:rFonts w:cs="Traditional Arabic"/>
          <w:sz w:val="28"/>
          <w:szCs w:val="32"/>
          <w:rtl/>
        </w:rPr>
        <w:footnoteReference w:id="1129"/>
      </w:r>
      <w:r>
        <w:rPr>
          <w:rFonts w:cs="Traditional Arabic" w:hint="cs"/>
          <w:sz w:val="28"/>
          <w:szCs w:val="32"/>
          <w:vertAlign w:val="superscript"/>
          <w:rtl/>
        </w:rPr>
        <w:t xml:space="preserve"> )</w:t>
      </w:r>
      <w:r>
        <w:rPr>
          <w:rFonts w:cs="Traditional Arabic" w:hint="cs"/>
          <w:sz w:val="28"/>
          <w:szCs w:val="32"/>
          <w:rtl/>
        </w:rPr>
        <w:t xml:space="preserve"> . أما الدائن الذي لم يعلن ، فيكون التطهير باطلا بالنسبة إليه ، ويحفظ حق تتبعه</w:t>
      </w:r>
      <w:r>
        <w:rPr>
          <w:rFonts w:cs="Traditional Arabic" w:hint="cs"/>
          <w:sz w:val="28"/>
          <w:szCs w:val="32"/>
          <w:vertAlign w:val="superscript"/>
          <w:rtl/>
        </w:rPr>
        <w:t xml:space="preserve">( </w:t>
      </w:r>
      <w:r w:rsidRPr="00EC737F">
        <w:rPr>
          <w:rStyle w:val="ab"/>
          <w:rFonts w:cs="Traditional Arabic"/>
          <w:sz w:val="28"/>
          <w:szCs w:val="32"/>
          <w:rtl/>
        </w:rPr>
        <w:footnoteReference w:id="1130"/>
      </w:r>
      <w:r>
        <w:rPr>
          <w:rFonts w:cs="Traditional Arabic" w:hint="cs"/>
          <w:sz w:val="28"/>
          <w:szCs w:val="32"/>
          <w:vertAlign w:val="superscript"/>
          <w:rtl/>
        </w:rPr>
        <w:t xml:space="preserve"> )</w:t>
      </w:r>
      <w:r>
        <w:rPr>
          <w:rFonts w:cs="Traditional Arabic" w:hint="cs"/>
          <w:sz w:val="28"/>
          <w:szCs w:val="32"/>
          <w:rtl/>
        </w:rPr>
        <w:t xml:space="preserve"> ، وله أن يستعمل حق التقدم على الثمن إذا لم يكن قد وزع</w:t>
      </w:r>
      <w:r>
        <w:rPr>
          <w:rFonts w:cs="Traditional Arabic" w:hint="cs"/>
          <w:sz w:val="28"/>
          <w:szCs w:val="32"/>
          <w:vertAlign w:val="superscript"/>
          <w:rtl/>
        </w:rPr>
        <w:t xml:space="preserve">( </w:t>
      </w:r>
      <w:r w:rsidRPr="00EC737F">
        <w:rPr>
          <w:rStyle w:val="ab"/>
          <w:rFonts w:cs="Traditional Arabic"/>
          <w:sz w:val="28"/>
          <w:szCs w:val="32"/>
          <w:rtl/>
        </w:rPr>
        <w:footnoteReference w:id="113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والدائنون المقيدون الذين يحصل العرض عليهم هم المقيدون قبل تسجيل سند الحائز إذا كان هذا السند قابلا للتسجيل ، وليس من الضروري العرض على الدائنين اللاحقين للتسجيل ، لأن هؤلاء لا تنفذ حقوقهم على الحائز فقد سجل سنده قبل أن يقيدوا حقوقهم</w:t>
      </w:r>
      <w:r>
        <w:rPr>
          <w:rFonts w:cs="Traditional Arabic" w:hint="cs"/>
          <w:sz w:val="28"/>
          <w:szCs w:val="32"/>
          <w:vertAlign w:val="superscript"/>
          <w:rtl/>
        </w:rPr>
        <w:t xml:space="preserve">( </w:t>
      </w:r>
      <w:r w:rsidRPr="00EC737F">
        <w:rPr>
          <w:rStyle w:val="ab"/>
          <w:rFonts w:cs="Traditional Arabic"/>
          <w:sz w:val="28"/>
          <w:szCs w:val="32"/>
          <w:rtl/>
        </w:rPr>
        <w:footnoteReference w:id="11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291- في أي مكان يكون العرض :</w:t>
      </w:r>
      <w:r>
        <w:rPr>
          <w:rFonts w:cs="Traditional Arabic" w:hint="cs"/>
          <w:sz w:val="28"/>
          <w:szCs w:val="32"/>
          <w:rtl/>
        </w:rPr>
        <w:t xml:space="preserve"> أوجبت المادة 30 من قانون تنظيم الشهر العقاري أن يكون للدائن محل مختار في دائرة المحكمة التي يتبعها العقار ، فإن لم يختر له محلا صح إعلان الأوراق إليه في قلم كتاب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$556 ونصت المادة 1065 مدني على أن يوجه الحائز إعلان العرض في موان الدائنين المختارة المذكورة في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فإذن يجوز إعلان العرض على الدائنين في مواطنهم المختارة في دائرة المحكمة التي يتبعها العقار المرهون ، ومن كان من الدائنين لم يعين محلا مختاراً ، جاز إعلانه في قلم كتاب المحكمة التي يتبعها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يجوز للحائز مع ذلك أن يوجه الإعلان إلى الدائنين ، لا في مواطنهم المختارة ، بل في محال إقامتهم الأصلية ، لأن الإعلان في الموطن المختار كان لمصلحة الحائز فيجوز له أن يتنازل عن ذلك ، ولأن الإعلان في محل الإقامة الأصلية يكون دائماً صحيحاً . وعلى ذلك يكون مكان الإعلان ، إما المحل المختار فإن لم يوجد فقلم كتاب المحكمة الابتدائية للعقار المرهون ، أو محل الإقامة الأصلي للدائنين</w:t>
      </w:r>
      <w:r>
        <w:rPr>
          <w:rFonts w:cs="Traditional Arabic" w:hint="cs"/>
          <w:sz w:val="28"/>
          <w:szCs w:val="32"/>
          <w:vertAlign w:val="superscript"/>
          <w:rtl/>
        </w:rPr>
        <w:t xml:space="preserve">( </w:t>
      </w:r>
      <w:r w:rsidRPr="00EC737F">
        <w:rPr>
          <w:rStyle w:val="ab"/>
          <w:rFonts w:cs="Traditional Arabic"/>
          <w:sz w:val="28"/>
          <w:szCs w:val="32"/>
          <w:rtl/>
        </w:rPr>
        <w:footnoteReference w:id="11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292- في أي وقت يكون العرض</w:t>
      </w:r>
      <w:r>
        <w:rPr>
          <w:rFonts w:cs="Traditional Arabic" w:hint="cs"/>
          <w:sz w:val="28"/>
          <w:szCs w:val="32"/>
          <w:rtl/>
        </w:rPr>
        <w:t xml:space="preserve"> : يعرض الحائز على الدائنين قيمة العقار المرهون من وقت تسجيل سند ملكيته ، دون أن ينتظر إنذاراً بالدفع أو التخلية ، ودون أن ينتظر آجال الديون المقيدة . </w:t>
      </w:r>
      <w:r>
        <w:rPr>
          <w:rFonts w:cs="Traditional Arabic" w:hint="cs"/>
          <w:sz w:val="28"/>
          <w:szCs w:val="32"/>
          <w:rtl/>
        </w:rPr>
        <w:lastRenderedPageBreak/>
        <w:t>ومصلحته إذا كان مشترياً أن يقوم بهذا الإجراء قبل أن يدفع الثمن إلى البائع ، حتى يستطيع عرض كل الثمن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الفقرة الثانية من المادة 1064 مدني على أن "للحائز أن يستعمل هذا الحق ( التطهير ) حتى قبل أن يوجه الدائنون المرتهنون التنبيه إلى المدين أو الإنذار إلى هذا الحائز ، ويبقى هذا الحق قائماً إلى يوم إيداع قائمة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1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التقنين المدني الجديد معدلا للتقنين المدني القديم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$557 ففي قانون المرافعات المختلط كان يجب أن يعقب التنبيه على المدين بالوفاء أو إنذار الحائز ، توقيع الحجز على العقار ، فنصت المادة 700 مدني مختلط على أن حق الحائز التطهير يبقى إلى وقت حجز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3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قانون المرافعات الوطني كان يلي التنبيه أو الإنذار رفع دعوى نزع الملكية وصدور الحكم فيها ، فنصت المادة 577 مدني وطني على أن حق الحائز في التطهير يبقى إلى حين صدور الحكم بنزع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113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ولأن تقنين المرافعات قد ألغي نظام الحجز العقاري ودعوى نزع الملكية ، واستعاض عنهما بإيداع قائمة شروط البيع ، نصت المادة 1064 مدني على حق الحائز في التطهير إلى وقت إيداع قائمة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13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293- قبول العرض</w:t>
      </w:r>
      <w:r>
        <w:rPr>
          <w:rFonts w:cs="Traditional Arabic" w:hint="cs"/>
          <w:sz w:val="28"/>
          <w:szCs w:val="32"/>
          <w:rtl/>
        </w:rPr>
        <w:t xml:space="preserve"> : وقبول عرض الحائز من الدائنين يكون إما صريحاً أو ضمنياً . والقبول الضمني يكون بانقضاء الميعاد المعطي للدائنين وهو ثلاثون يوماً غير مواعيد المسافة ( م 1067 مدني ) ، أن يطلب أحد منهم ، أو أحد الكفلاء لهؤلاء الدائنين ، بيع العقار المطلوب تطهيره ، كما سيأتي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والثلاثون يوماً تبدأ بالنسبة إلى جميع الدائنين في تاريخ واحد هو تاريخ آخر إعلان رسمي ، ويضاف إليها مواعيد المسافة ما بين الموطن الأصلي لهذا الدائن الذي أعلن آخر إعلان وموطنه المختار ، بشرط ألا تزيد مواعيد المسافة على ثلاثين يوماً أخرى . ولكن الميعاد ينتهي بالنسبة إلى بعض الدائنين باقتضاء ثلاثين يوماً ،وبالنسبة إلى بعض آخر بانقضاء ثلاثين يوماً مضافاً إليها مواعيد المسافة ، على ألا يجاوز كل ذلك ستين يوماً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$558 ويسري الميعاد مستقلا بالنسبة إلى كل دائن</w:t>
      </w:r>
      <w:r>
        <w:rPr>
          <w:rFonts w:cs="Traditional Arabic" w:hint="cs"/>
          <w:sz w:val="28"/>
          <w:szCs w:val="32"/>
          <w:vertAlign w:val="superscript"/>
          <w:rtl/>
        </w:rPr>
        <w:t xml:space="preserve">( </w:t>
      </w:r>
      <w:r w:rsidRPr="00EC737F">
        <w:rPr>
          <w:rStyle w:val="ab"/>
          <w:rFonts w:cs="Traditional Arabic"/>
          <w:sz w:val="28"/>
          <w:szCs w:val="32"/>
          <w:rtl/>
        </w:rPr>
        <w:footnoteReference w:id="1138"/>
      </w:r>
      <w:r>
        <w:rPr>
          <w:rFonts w:cs="Traditional Arabic" w:hint="cs"/>
          <w:sz w:val="28"/>
          <w:szCs w:val="32"/>
          <w:vertAlign w:val="superscript"/>
          <w:rtl/>
        </w:rPr>
        <w:t xml:space="preserve"> )</w:t>
      </w:r>
      <w:r>
        <w:rPr>
          <w:rFonts w:cs="Traditional Arabic" w:hint="cs"/>
          <w:sz w:val="28"/>
          <w:szCs w:val="32"/>
          <w:rtl/>
        </w:rPr>
        <w:t xml:space="preserve"> . فإذا مضي الميعاد بالنسبة إلى أحد الدائنين فإنه يحرم حق طلب البيع ، ولو كان الميعاد لم ينقض بالنسبة إلى بقي الدائنين</w:t>
      </w:r>
      <w:r>
        <w:rPr>
          <w:rFonts w:cs="Traditional Arabic" w:hint="cs"/>
          <w:sz w:val="28"/>
          <w:szCs w:val="32"/>
          <w:vertAlign w:val="superscript"/>
          <w:rtl/>
        </w:rPr>
        <w:t xml:space="preserve">( </w:t>
      </w:r>
      <w:r w:rsidRPr="00EC737F">
        <w:rPr>
          <w:rStyle w:val="ab"/>
          <w:rFonts w:cs="Traditional Arabic"/>
          <w:sz w:val="28"/>
          <w:szCs w:val="32"/>
          <w:rtl/>
        </w:rPr>
        <w:footnoteReference w:id="11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ولا يحسب اليوم الأول </w:t>
      </w:r>
      <w:r>
        <w:rPr>
          <w:rFonts w:cs="Traditional Arabic"/>
          <w:sz w:val="28"/>
          <w:szCs w:val="32"/>
          <w:rtl/>
        </w:rPr>
        <w:t xml:space="preserve">( </w:t>
      </w:r>
      <w:r>
        <w:rPr>
          <w:rFonts w:cs="Traditional Arabic"/>
          <w:sz w:val="28"/>
          <w:szCs w:val="32"/>
        </w:rPr>
        <w:t>dies q quo</w:t>
      </w:r>
      <w:r>
        <w:rPr>
          <w:rFonts w:cs="Traditional Arabic"/>
          <w:sz w:val="28"/>
          <w:szCs w:val="32"/>
          <w:rtl/>
        </w:rPr>
        <w:t xml:space="preserve"> )</w:t>
      </w:r>
      <w:r>
        <w:rPr>
          <w:rFonts w:cs="Traditional Arabic" w:hint="cs"/>
          <w:sz w:val="28"/>
          <w:szCs w:val="32"/>
          <w:rtl/>
        </w:rPr>
        <w:t xml:space="preserve"> ، ولكن يحسب اليوم الأخيرة </w:t>
      </w:r>
      <w:r>
        <w:rPr>
          <w:rFonts w:cs="Traditional Arabic"/>
          <w:sz w:val="28"/>
          <w:szCs w:val="32"/>
          <w:rtl/>
        </w:rPr>
        <w:t xml:space="preserve">( </w:t>
      </w:r>
      <w:r>
        <w:rPr>
          <w:rFonts w:cs="Traditional Arabic"/>
          <w:sz w:val="28"/>
          <w:szCs w:val="32"/>
        </w:rPr>
        <w:t>dies and quam</w:t>
      </w:r>
      <w:r>
        <w:rPr>
          <w:rFonts w:cs="Traditional Arabic"/>
          <w:sz w:val="28"/>
          <w:szCs w:val="32"/>
          <w:rtl/>
        </w:rPr>
        <w:t xml:space="preserve"> )</w:t>
      </w:r>
      <w:r>
        <w:rPr>
          <w:rFonts w:cs="Traditional Arabic" w:hint="cs"/>
          <w:sz w:val="28"/>
          <w:szCs w:val="32"/>
          <w:rtl/>
        </w:rPr>
        <w:t xml:space="preserve"> . وإذا كان هذا اليوم الأخير يوم عيد ، فإن الميعاد يمتد إلى اليوم الذي يليه لو لم يكن هو أيضاً يوم عيد</w:t>
      </w:r>
      <w:r>
        <w:rPr>
          <w:rFonts w:cs="Traditional Arabic" w:hint="cs"/>
          <w:sz w:val="28"/>
          <w:szCs w:val="32"/>
          <w:vertAlign w:val="superscript"/>
          <w:rtl/>
        </w:rPr>
        <w:t xml:space="preserve">( </w:t>
      </w:r>
      <w:r w:rsidRPr="00EC737F">
        <w:rPr>
          <w:rStyle w:val="ab"/>
          <w:rFonts w:cs="Traditional Arabic"/>
          <w:sz w:val="28"/>
          <w:szCs w:val="32"/>
          <w:rtl/>
        </w:rPr>
        <w:footnoteReference w:id="114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وقبول الدائنين ، صيحاً كان أو ضمنياً ، يرجع أثره إلى يوم حصول العرض</w:t>
      </w:r>
      <w:r>
        <w:rPr>
          <w:rFonts w:cs="Traditional Arabic" w:hint="cs"/>
          <w:sz w:val="28"/>
          <w:szCs w:val="32"/>
          <w:vertAlign w:val="superscript"/>
          <w:rtl/>
        </w:rPr>
        <w:t xml:space="preserve">( </w:t>
      </w:r>
      <w:r w:rsidRPr="00EC737F">
        <w:rPr>
          <w:rStyle w:val="ab"/>
          <w:rFonts w:cs="Traditional Arabic"/>
          <w:sz w:val="28"/>
          <w:szCs w:val="32"/>
          <w:rtl/>
        </w:rPr>
        <w:footnoteReference w:id="1141"/>
      </w:r>
      <w:r>
        <w:rPr>
          <w:rFonts w:cs="Traditional Arabic" w:hint="cs"/>
          <w:sz w:val="28"/>
          <w:szCs w:val="32"/>
          <w:vertAlign w:val="superscript"/>
          <w:rtl/>
        </w:rPr>
        <w:t xml:space="preserve"> )</w:t>
      </w:r>
      <w:r>
        <w:rPr>
          <w:rFonts w:cs="Traditional Arabic" w:hint="cs"/>
          <w:sz w:val="28"/>
          <w:szCs w:val="32"/>
          <w:rtl/>
        </w:rPr>
        <w:t xml:space="preserve"> ، فإذا بيع العقار بعد ذلك بالمزاد أو بيع بيعاً اختياراً بثمن أعلى من الثمن المعروض ، فليس للدائنين حق في الزيادة</w:t>
      </w:r>
      <w:r>
        <w:rPr>
          <w:rFonts w:cs="Traditional Arabic" w:hint="cs"/>
          <w:sz w:val="28"/>
          <w:szCs w:val="32"/>
          <w:vertAlign w:val="superscript"/>
          <w:rtl/>
        </w:rPr>
        <w:t xml:space="preserve">( </w:t>
      </w:r>
      <w:r w:rsidRPr="00EC737F">
        <w:rPr>
          <w:rStyle w:val="ab"/>
          <w:rFonts w:cs="Traditional Arabic"/>
          <w:sz w:val="28"/>
          <w:szCs w:val="32"/>
          <w:rtl/>
        </w:rPr>
        <w:footnoteReference w:id="11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294- التزام الحائز في حالة قبول العرض</w:t>
      </w:r>
      <w:r>
        <w:rPr>
          <w:rFonts w:cs="Traditional Arabic" w:hint="cs"/>
          <w:sz w:val="28"/>
          <w:szCs w:val="32"/>
          <w:rtl/>
        </w:rPr>
        <w:t xml:space="preserve"> : ومتى قبل العرض ، صار الحائز ملزماً شخصياً قبل الدائنين بأن يدفع المبلغ المعروض ، ويكون التزامه في يكل أمواله ، لا في العقار المرهون فقط</w:t>
      </w:r>
      <w:r>
        <w:rPr>
          <w:rFonts w:cs="Traditional Arabic" w:hint="cs"/>
          <w:sz w:val="28"/>
          <w:szCs w:val="32"/>
          <w:vertAlign w:val="superscript"/>
          <w:rtl/>
        </w:rPr>
        <w:t xml:space="preserve">( </w:t>
      </w:r>
      <w:r w:rsidRPr="00EC737F">
        <w:rPr>
          <w:rStyle w:val="ab"/>
          <w:rFonts w:cs="Traditional Arabic"/>
          <w:sz w:val="28"/>
          <w:szCs w:val="32"/>
          <w:rtl/>
        </w:rPr>
        <w:footnoteReference w:id="11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ولكنه يبقى ملتزماً بصفته حائزاً للعقار ، فيكون له الحق في أن ينازع في وجود الديون المقيدة وفي صحتها ، أو أن يحتج بسقوطها بالتقادم</w:t>
      </w:r>
      <w:r>
        <w:rPr>
          <w:rFonts w:cs="Traditional Arabic" w:hint="cs"/>
          <w:sz w:val="28"/>
          <w:szCs w:val="32"/>
          <w:vertAlign w:val="superscript"/>
          <w:rtl/>
        </w:rPr>
        <w:t xml:space="preserve">( </w:t>
      </w:r>
      <w:r w:rsidRPr="00EC737F">
        <w:rPr>
          <w:rStyle w:val="ab"/>
          <w:rFonts w:cs="Traditional Arabic"/>
          <w:sz w:val="28"/>
          <w:szCs w:val="32"/>
          <w:rtl/>
        </w:rPr>
        <w:footnoteReference w:id="1144"/>
      </w:r>
      <w:r>
        <w:rPr>
          <w:rFonts w:cs="Traditional Arabic" w:hint="cs"/>
          <w:sz w:val="28"/>
          <w:szCs w:val="32"/>
          <w:vertAlign w:val="superscript"/>
          <w:rtl/>
        </w:rPr>
        <w:t xml:space="preserve"> )</w:t>
      </w:r>
      <w:r>
        <w:rPr>
          <w:rFonts w:cs="Traditional Arabic" w:hint="cs"/>
          <w:sz w:val="28"/>
          <w:szCs w:val="32"/>
          <w:rtl/>
        </w:rPr>
        <w:t xml:space="preserve"> .</w:t>
      </w:r>
    </w:p>
    <w:p w:rsidR="00F72742" w:rsidRPr="00A505DC"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والرأي الراجح هو أن الدائنين ليس لهم الحق في الفوائد باعتبارها تابعة $559 للثمن ، لأن الفوائد تمثل الانتفاع بالعقار والدائنون ليس لهم حق الانتفاع . غير أن الحائز يكون ملزماً قبل الدائنين بالفوائد ابتداء من وقت إنذاره بالدفع أو التخلية ، أو من وقت العرض إذا أجري الحائز التطهير من تلقاء نفسه قبل أن ينذره الدائنون</w:t>
      </w:r>
      <w:r>
        <w:rPr>
          <w:rFonts w:cs="Traditional Arabic" w:hint="cs"/>
          <w:sz w:val="28"/>
          <w:szCs w:val="32"/>
          <w:vertAlign w:val="superscript"/>
          <w:rtl/>
        </w:rPr>
        <w:t xml:space="preserve">( </w:t>
      </w:r>
      <w:r w:rsidRPr="00EC737F">
        <w:rPr>
          <w:rStyle w:val="ab"/>
          <w:rFonts w:cs="Traditional Arabic"/>
          <w:sz w:val="28"/>
          <w:szCs w:val="32"/>
          <w:rtl/>
        </w:rPr>
        <w:footnoteReference w:id="1145"/>
      </w:r>
      <w:r>
        <w:rPr>
          <w:rFonts w:cs="Traditional Arabic" w:hint="cs"/>
          <w:sz w:val="28"/>
          <w:szCs w:val="32"/>
          <w:vertAlign w:val="superscript"/>
          <w:rtl/>
        </w:rPr>
        <w:t xml:space="preserve"> )</w:t>
      </w:r>
      <w:r>
        <w:rPr>
          <w:rFonts w:cs="Traditional Arabic" w:hint="cs"/>
          <w:sz w:val="28"/>
          <w:szCs w:val="32"/>
          <w:rtl/>
        </w:rPr>
        <w:t xml:space="preserve"> . ويلزم بالفوائد ولو كان العقار لا ينتج ثماراً</w:t>
      </w:r>
      <w:r>
        <w:rPr>
          <w:rFonts w:cs="Traditional Arabic" w:hint="cs"/>
          <w:sz w:val="28"/>
          <w:szCs w:val="32"/>
          <w:vertAlign w:val="superscript"/>
          <w:rtl/>
        </w:rPr>
        <w:t xml:space="preserve">( </w:t>
      </w:r>
      <w:r w:rsidRPr="00EC737F">
        <w:rPr>
          <w:rStyle w:val="ab"/>
          <w:rFonts w:cs="Traditional Arabic"/>
          <w:sz w:val="28"/>
          <w:szCs w:val="32"/>
          <w:rtl/>
        </w:rPr>
        <w:footnoteReference w:id="1146"/>
      </w:r>
      <w:r>
        <w:rPr>
          <w:rFonts w:cs="Traditional Arabic" w:hint="cs"/>
          <w:sz w:val="28"/>
          <w:szCs w:val="32"/>
          <w:vertAlign w:val="superscript"/>
          <w:rtl/>
        </w:rPr>
        <w:t xml:space="preserve"> )</w:t>
      </w:r>
      <w:r>
        <w:rPr>
          <w:rFonts w:cs="Traditional Arabic" w:hint="cs"/>
          <w:sz w:val="28"/>
          <w:szCs w:val="32"/>
          <w:rtl/>
        </w:rPr>
        <w:t xml:space="preserve"> ، ولو كانت الفوائد غير واجبة بموجب عقده كما لو كان العقد هبة</w:t>
      </w:r>
      <w:r>
        <w:rPr>
          <w:rFonts w:cs="Traditional Arabic" w:hint="cs"/>
          <w:sz w:val="28"/>
          <w:szCs w:val="32"/>
          <w:vertAlign w:val="superscript"/>
          <w:rtl/>
        </w:rPr>
        <w:t xml:space="preserve">( </w:t>
      </w:r>
      <w:r w:rsidRPr="00EC737F">
        <w:rPr>
          <w:rStyle w:val="ab"/>
          <w:rFonts w:cs="Traditional Arabic"/>
          <w:sz w:val="28"/>
          <w:szCs w:val="32"/>
          <w:rtl/>
        </w:rPr>
        <w:footnoteReference w:id="1147"/>
      </w:r>
      <w:r>
        <w:rPr>
          <w:rFonts w:cs="Traditional Arabic" w:hint="cs"/>
          <w:sz w:val="28"/>
          <w:szCs w:val="32"/>
          <w:vertAlign w:val="superscript"/>
          <w:rtl/>
        </w:rPr>
        <w:t xml:space="preserve"> )</w:t>
      </w:r>
      <w:r>
        <w:rPr>
          <w:rFonts w:cs="Traditional Arabic" w:hint="cs"/>
          <w:sz w:val="28"/>
          <w:szCs w:val="32"/>
          <w:rtl/>
        </w:rPr>
        <w:t xml:space="preserve"> ، وحتى لو كان عقد شرائه يقرر صراحة إعفاءه من الفوائد</w:t>
      </w:r>
      <w:r>
        <w:rPr>
          <w:rFonts w:cs="Traditional Arabic" w:hint="cs"/>
          <w:sz w:val="28"/>
          <w:szCs w:val="32"/>
          <w:vertAlign w:val="superscript"/>
          <w:rtl/>
        </w:rPr>
        <w:t xml:space="preserve">( </w:t>
      </w:r>
      <w:r w:rsidRPr="00EC737F">
        <w:rPr>
          <w:rStyle w:val="ab"/>
          <w:rFonts w:cs="Traditional Arabic"/>
          <w:sz w:val="28"/>
          <w:szCs w:val="32"/>
          <w:rtl/>
        </w:rPr>
        <w:footnoteReference w:id="114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295- توزيع قيمة العقار على الدائنين في حالة قبول العرض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والعقار المرهون لا يتخلص من القيود بمجرد قبول العرض ، بل يجب لتطهيره م هذه القيود دفع المبلغ المعروض أو إيداعه . وقد نصت المادة 1070 مدني على ما يأتي : "إذا لم يطلب بيع العقار في الميعاد وبالأوضاع المقررة ، </w:t>
      </w:r>
      <w:r>
        <w:rPr>
          <w:rFonts w:cs="Traditional Arabic" w:hint="cs"/>
          <w:sz w:val="28"/>
          <w:szCs w:val="32"/>
          <w:rtl/>
        </w:rPr>
        <w:lastRenderedPageBreak/>
        <w:t>استقرت ملكية العقار نهائياً للحائز خالصة من كل حق مقيد إذا هو دفع المبلغ الذي قوم به العقار للدائنين الذين تسمح مرتبتهم باستيفاء حقوقهم منه ، أو إذا هو أودع هذا المبلغ خزانة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114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$560 ويلاحظ أن المشروع التمهيدي لهذا النص كان يتضمن العبارة الآتية : "أو طلب البيع ولكن لم يعرض في المزاد ثمن أعلى من المبلغ الذي عرضه الحائز" ، ولكن لجنة المراجعة حذفت هذه العبارة مع أهميتها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فمن الجائز أن يرفض الدائنون عرض الحائز ، فيعرض العقار المرهون للبيع بالمزاد ، ولكن لا يعرض أحد من المزايدين ثمناً أعلى من المبلغ الذي عرضه الحائز ، حتى لو عرض مزايد ثمناً معادلا لما عرضه الحائز . عند ذلك يعتبر المزاد كأن لم يكن ، وتستقر ملكية العقار نهائياً للحائز ، مطهرة م كل حق مقيد ، إذا دفع الحائز المبلغ الذي قوم به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ومتى دفعت قيمة العقار لأن الدائنين قبلوا عرض الحائز ، أو رفضوه ولكن لم يتقدم مزايد بثمن أعلى من المبلغ الذي قدره به الحائز قيمة العقار ، فإن قيمة العقار المدفوعة تقسم بين الدائنين على حسب درجة قيودهم ، وتدفع إليهم مباشرة ، أو تودع خزانة المحكمة لتوزيعها عليهم قضاء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أعطي القانون الخيار للحائز بين الدفع أو الإيداع ، قبل الانتهاء من إجراءات التوزيع</w:t>
      </w:r>
      <w:r>
        <w:rPr>
          <w:rFonts w:cs="Traditional Arabic" w:hint="cs"/>
          <w:sz w:val="28"/>
          <w:szCs w:val="32"/>
          <w:vertAlign w:val="superscript"/>
          <w:rtl/>
        </w:rPr>
        <w:t xml:space="preserve">( </w:t>
      </w:r>
      <w:r w:rsidRPr="00EC737F">
        <w:rPr>
          <w:rStyle w:val="ab"/>
          <w:rFonts w:cs="Traditional Arabic"/>
          <w:sz w:val="28"/>
          <w:szCs w:val="32"/>
          <w:rtl/>
        </w:rPr>
        <w:footnoteReference w:id="11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ويجوز للدائنين أن يلزموا الحائز إيداع القيمة ، إذا كانت لديهم أسباب معقولة يخشون معها إعساره قبل الانتهاء من إجراءات التوزيع</w:t>
      </w:r>
      <w:r>
        <w:rPr>
          <w:rFonts w:cs="Traditional Arabic" w:hint="cs"/>
          <w:sz w:val="28"/>
          <w:szCs w:val="32"/>
          <w:vertAlign w:val="superscript"/>
          <w:rtl/>
        </w:rPr>
        <w:t xml:space="preserve">( </w:t>
      </w:r>
      <w:r w:rsidRPr="00EC737F">
        <w:rPr>
          <w:rStyle w:val="ab"/>
          <w:rFonts w:cs="Traditional Arabic"/>
          <w:sz w:val="28"/>
          <w:szCs w:val="32"/>
          <w:rtl/>
        </w:rPr>
        <w:footnoteReference w:id="1151"/>
      </w:r>
      <w:r>
        <w:rPr>
          <w:rFonts w:cs="Traditional Arabic" w:hint="cs"/>
          <w:sz w:val="28"/>
          <w:szCs w:val="32"/>
          <w:vertAlign w:val="superscript"/>
          <w:rtl/>
        </w:rPr>
        <w:t xml:space="preserve"> )</w:t>
      </w:r>
      <w:r>
        <w:rPr>
          <w:rFonts w:cs="Traditional Arabic" w:hint="cs"/>
          <w:sz w:val="28"/>
          <w:szCs w:val="32"/>
          <w:rtl/>
        </w:rPr>
        <w:t xml:space="preserve"> .</w:t>
      </w:r>
    </w:p>
    <w:p w:rsidR="00F72742" w:rsidRPr="00DE76A7" w:rsidRDefault="00F72742" w:rsidP="00F72742">
      <w:pPr>
        <w:widowControl w:val="0"/>
        <w:spacing w:after="120"/>
        <w:jc w:val="center"/>
        <w:rPr>
          <w:rFonts w:cs="Traditional Arabic" w:hint="cs"/>
          <w:b/>
          <w:bCs/>
          <w:sz w:val="28"/>
          <w:szCs w:val="32"/>
          <w:rtl/>
        </w:rPr>
      </w:pPr>
      <w:r w:rsidRPr="00DE76A7">
        <w:rPr>
          <w:rFonts w:cs="Traditional Arabic" w:hint="cs"/>
          <w:b/>
          <w:bCs/>
          <w:sz w:val="28"/>
          <w:szCs w:val="32"/>
          <w:rtl/>
        </w:rPr>
        <w:t xml:space="preserve">جـ - عرض الحائز ورفضه </w:t>
      </w:r>
      <w:r w:rsidRPr="00DE76A7">
        <w:rPr>
          <w:rFonts w:cs="Traditional Arabic"/>
          <w:b/>
          <w:bCs/>
          <w:sz w:val="28"/>
          <w:szCs w:val="32"/>
          <w:rtl/>
        </w:rPr>
        <w:t>–</w:t>
      </w:r>
      <w:r w:rsidRPr="00DE76A7">
        <w:rPr>
          <w:rFonts w:cs="Traditional Arabic" w:hint="cs"/>
          <w:b/>
          <w:bCs/>
          <w:sz w:val="28"/>
          <w:szCs w:val="32"/>
          <w:rtl/>
        </w:rPr>
        <w:t xml:space="preserve"> بيع العقار بالمزاد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296- خيار الدائن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1067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لكل دائن قيد حقه ، ولكن كفيل لحق مقيد ، أن يطلب بيع العقار المطلوب تطهيره ، ويكون ذلك في مدى ثلاثين يوماً من آخر إعلان $561 رسمي ، يضاف إليها مواعيد المسافة ما بين الموطن الأصلي للدائن وموطنه المختار ، على ألا تزيد مواعيد المسافة على ثلاثين يوماً أخرى</w:t>
      </w:r>
      <w:r>
        <w:rPr>
          <w:rFonts w:cs="Traditional Arabic" w:hint="cs"/>
          <w:sz w:val="28"/>
          <w:szCs w:val="32"/>
          <w:vertAlign w:val="superscript"/>
          <w:rtl/>
        </w:rPr>
        <w:t xml:space="preserve">( </w:t>
      </w:r>
      <w:r w:rsidRPr="00EC737F">
        <w:rPr>
          <w:rStyle w:val="ab"/>
          <w:rFonts w:cs="Traditional Arabic"/>
          <w:sz w:val="28"/>
          <w:szCs w:val="32"/>
          <w:rtl/>
        </w:rPr>
        <w:footnoteReference w:id="11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ويخلص من هذا النص أن الدائنين المقيدين ، الذي أعلن لهم الحائز عرضه ، يكونون بالخيار بين قبول هذا العرض أو رفضه ، وذلك في مدى ثلاثين يوماً من آخر إعلان رسمي ، يضاف إليها مواعيد المسافة ما بين الموطن الأصلي لآخر دائن مقيد ومونه المختار ، على ألا تزيد مواعيد المسافة على ثلاثين يوماً أخرى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انتهي الميعاد بالنسبة إلى أحد الدائنين المقيدين ولم يطلب بيع العقار المرهون ، عد هذا الدائن قابلا للعرض ، وامتنع عليه أن يطلب البيع . ولكن ذلك لا يمنع غيره من الدائنين المقيدين ، ومن الكفء لحقوق مقيدة وهم كل كفيل كفل لدائن مقيد حقه فيهم يعنيهم أن يكون العرض مرضياً حتى يطمئنوا على ما سبق أن كفلوه ، أن يطلبوا البيع . فإذا طلبه أي واحد منهم ، أو طلبوه جميعاً ، كان انتهاء الميعاد </w:t>
      </w:r>
      <w:r>
        <w:rPr>
          <w:rFonts w:cs="Traditional Arabic" w:hint="cs"/>
          <w:sz w:val="28"/>
          <w:szCs w:val="32"/>
          <w:rtl/>
        </w:rPr>
        <w:lastRenderedPageBreak/>
        <w:t xml:space="preserve">بالنسبة إلى الأولين عدمي الأثر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فالدائنون إذن بالخيار بين أن يقبلوا جميعاً العرض هم وكفلاؤهم ، وبين أن يرفض أحد م الدائنين أو الكفلاء ما عرضه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فإن قبلوا جميعاً العرض ، صراحة أو ضمناً بأن تركوا ميعاد الثلاثين يوماً ( وميعاد المسافة )  ينقضي دون أن يطلب أحد منهم البيع ، فقد رأينا فيما تقدم أن العقار المرهون يتطهر من القيود التي عليه إذا دفع الحائز ما عرضه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والآن ننظر الحالة الأخرى ، وهي كيف يكون الرفض من أحد الدائنين المقيدين أو أحد الكفلاء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$562 </w:t>
      </w:r>
      <w:r>
        <w:rPr>
          <w:rFonts w:cs="Traditional Arabic" w:hint="cs"/>
          <w:b/>
          <w:bCs/>
          <w:sz w:val="28"/>
          <w:szCs w:val="32"/>
          <w:rtl/>
        </w:rPr>
        <w:t>297- رفض العرض</w:t>
      </w:r>
      <w:r>
        <w:rPr>
          <w:rFonts w:cs="Traditional Arabic" w:hint="cs"/>
          <w:sz w:val="28"/>
          <w:szCs w:val="32"/>
          <w:rtl/>
        </w:rPr>
        <w:t xml:space="preserve"> : ولما كان الحائز هو الذي قدر قيمة العقار المرهون حسب ما يرى ، وكانت إجراءات التطهير تسمح بوفاء الدائن قبل حلول أجل الدين ، وتسمح بالوفاء له جزئياً ، ففي نظير ذلك خول القانون أحد الدائنين المرتهنين أو أحد الكفلاء رفض ما عرضه الحائز .</w:t>
      </w:r>
    </w:p>
    <w:p w:rsidR="00F72742" w:rsidRPr="007C31F6"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القانون فرض على الدائن المقيد أو الكفل الذي يرفض العرض التزاماً هو أن يودع خزانة المحكمة مبلغاً كافياً لتغطية مصروفات البيع بالمزاد ، ولا يجوز أن يسترد ما استغرق في المصروفات إذا لم يرس المزاد بثمن أعلى من الثمن الذي عرضه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كان التقنين المدني القديم ( م 583 / 706 ) يوجب على من يرفض عرض الحائز أن يزيد هاذ العرض بمقدار عشر المبلغ المعروض ، وأن يصحب تقرير الزيادة إيداع مقدار خمس الثمن ، ويترتب على ذلك وجوب طرح العقار في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لوحظ عند وضع التقنين المدني الجديد ا هذه الالتزامات شديدة ، قد تثني من يريد لارفض عن سلوك هذا السبيل . فاكتفى التقنين المدني الجديد ، في رفض عرض الحائز ، بطلب عرض العقار المرهون للبيع في المزاد ، وأعفى الدائن من وجوب زيادة العشر وإيداع خمس الثمن ، مكتفياً بإيداع خزانة المحكمة مبلغاً لتغطية مصروفات البيع بالمزاد ، على ألا يسترد ما استغرق من هذا المبلغ في المصروفات إذا لم يرس المزاد بثمن أعلى من المبلغ الذي قدره الحائز قيمة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 xml:space="preserve">298- كيف يكون رفض العرض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نصت المادة 1068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يكون الطلب ( طلب بيع العقار المطلوب تطهيره ) بإعلان يوجه إلى الحائز والى المالك السابق ، ويوقعه الطالب أو من يوكله في ذلك توكيلا $563 خاصاً . ويجب أن يودع الطالب خزانة المحكمة مبلغاً كافياً لتغطية مصروفات البيع بالمزاد ، ولا يجوز أن يسترد ما استغرق منه في المصروفات إذا لم يرس المزاد بثمن أعلى من المبلغ الذي عرضه الحائز ، ويكون الطلب باطلا إذا لم تستوفي هذه الشروط"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ولا يجوز للطالب أن يتنحى عن طلبه ، إلا بموافقة جميع الدائنين وجميع الكفلاء"</w:t>
      </w:r>
      <w:r>
        <w:rPr>
          <w:rFonts w:cs="Traditional Arabic" w:hint="cs"/>
          <w:sz w:val="28"/>
          <w:szCs w:val="32"/>
          <w:vertAlign w:val="superscript"/>
          <w:rtl/>
        </w:rPr>
        <w:t xml:space="preserve">( </w:t>
      </w:r>
      <w:r w:rsidRPr="00EC737F">
        <w:rPr>
          <w:rStyle w:val="ab"/>
          <w:rFonts w:cs="Traditional Arabic"/>
          <w:sz w:val="28"/>
          <w:szCs w:val="32"/>
          <w:rtl/>
        </w:rPr>
        <w:footnoteReference w:id="11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اكتفت المادة 1068 بأن أوجبت على طالب البيع ، أو وكيله ، والتوكيل في التطهير يجب أن يكون توكيلا خاصاً لأن التطهير من أعمال التصرف ، أن يودع خزانة المحكمة مبلغاً كافياً لتغطية مصروفات البيع بالمزاد . ولا يسترد طالب البيع ما استغرق من هذا المبلغ في المصروفات ، إلا إذا رسا المزاد بثمن أعلى مما عرضه الحائز . ويكون الطلب باطلا إذا لم تستوف هذه الشروط . ولا يجوز للطالب البيع ا يتنحى عن طلبه إلا إذا وافق جميع الدائنين وجميع الكفلاء ، لأن أحداً منهم يجوز أن يكون قد امتنع عن طلب البيع معتمداً على هذا الطلب . وطالب البيع ملتزما بالبقاء على طلب البيع بإرادته المنفردة ، ولا يستطيع الرجوع في ذلك إلا بموافقة جميع الدائنين وجميع الكفلاء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رفض عرض الحائز بطلب يقدمه طالب البيع وهو من رفض عرض الحائز ، بإعلان رسمي يوجه إلى الحائز وإلى المالك السباق ، يطلب $564 فيه بيع العقار المطلوب تطهيره ، ويوقعه طالب البيع أو من ويكله توكيلا خاصاً في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وإذا كان المالك السابق غير المدين ، فإنه يجب إعلان المدين أيضاً بذلك . والغرض من إعلان المالك والمدين إعطاؤهما الفرصة لأداء الدين ، تفادياً من رجوع الحائز عليهما</w:t>
      </w:r>
      <w:r>
        <w:rPr>
          <w:rFonts w:cs="Traditional Arabic" w:hint="cs"/>
          <w:sz w:val="28"/>
          <w:szCs w:val="32"/>
          <w:vertAlign w:val="superscript"/>
          <w:rtl/>
        </w:rPr>
        <w:t xml:space="preserve">( </w:t>
      </w:r>
      <w:r w:rsidRPr="00EC737F">
        <w:rPr>
          <w:rStyle w:val="ab"/>
          <w:rFonts w:cs="Traditional Arabic"/>
          <w:sz w:val="28"/>
          <w:szCs w:val="32"/>
          <w:rtl/>
        </w:rPr>
        <w:footnoteReference w:id="115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ويشترط في طالب البيع أن يكون أهلا للتصرفات الدائرة بين النفع والضرر</w:t>
      </w:r>
      <w:r>
        <w:rPr>
          <w:rFonts w:cs="Traditional Arabic" w:hint="cs"/>
          <w:sz w:val="28"/>
          <w:szCs w:val="32"/>
          <w:vertAlign w:val="superscript"/>
          <w:rtl/>
        </w:rPr>
        <w:t xml:space="preserve">( </w:t>
      </w:r>
      <w:r w:rsidRPr="00EC737F">
        <w:rPr>
          <w:rStyle w:val="ab"/>
          <w:rFonts w:cs="Traditional Arabic"/>
          <w:sz w:val="28"/>
          <w:szCs w:val="32"/>
          <w:rtl/>
        </w:rPr>
        <w:footnoteReference w:id="1155"/>
      </w:r>
      <w:r>
        <w:rPr>
          <w:rFonts w:cs="Traditional Arabic" w:hint="cs"/>
          <w:sz w:val="28"/>
          <w:szCs w:val="32"/>
          <w:vertAlign w:val="superscript"/>
          <w:rtl/>
        </w:rPr>
        <w:t xml:space="preserve"> )</w:t>
      </w:r>
      <w:r>
        <w:rPr>
          <w:rFonts w:cs="Traditional Arabic" w:hint="cs"/>
          <w:sz w:val="28"/>
          <w:szCs w:val="32"/>
          <w:rtl/>
        </w:rPr>
        <w:t xml:space="preserve"> .</w:t>
      </w:r>
    </w:p>
    <w:p w:rsidR="00F72742" w:rsidRPr="004C2054"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طلب أحد الدائنين أو أحد الكفلاء بيع العقار وجوب عرض العقار في المزاد ، حتى لو قبل القيمة المعروضة من الحائز كل الدائنين والكفلاء ما عدا هذا الدائن أو الكفيل . إذ يتعلق بطلب هذا الدائن أو الكفيل حق الدائنين والكفلاء الآخرين ، فقد يكونون اعتمدوا عليه واستغنوا به عن أن يطلبوا هم البيع</w:t>
      </w:r>
      <w:r>
        <w:rPr>
          <w:rFonts w:cs="Traditional Arabic" w:hint="cs"/>
          <w:sz w:val="28"/>
          <w:szCs w:val="32"/>
          <w:vertAlign w:val="superscript"/>
          <w:rtl/>
        </w:rPr>
        <w:t xml:space="preserve">( </w:t>
      </w:r>
      <w:r w:rsidRPr="00EC737F">
        <w:rPr>
          <w:rStyle w:val="ab"/>
          <w:rFonts w:cs="Traditional Arabic"/>
          <w:sz w:val="28"/>
          <w:szCs w:val="32"/>
          <w:rtl/>
        </w:rPr>
        <w:footnoteReference w:id="11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سوي القانون بين الدائنين والكفلاء ، لأن كفلاء الدين المضمون برهن يكون لهم ، مثل الدائنين ، مصلحة في وفاء الدين من قيمة العقار المرهون حتى لا يرجع عليهم بشيء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وكل دائن قيد حقه يجوز له طلب البيع ، ولو كان حقه معلقاً على شرط</w:t>
      </w:r>
      <w:r>
        <w:rPr>
          <w:rFonts w:cs="Traditional Arabic" w:hint="cs"/>
          <w:sz w:val="28"/>
          <w:szCs w:val="32"/>
          <w:vertAlign w:val="superscript"/>
          <w:rtl/>
        </w:rPr>
        <w:t xml:space="preserve">( </w:t>
      </w:r>
      <w:r w:rsidRPr="00EC737F">
        <w:rPr>
          <w:rStyle w:val="ab"/>
          <w:rFonts w:cs="Traditional Arabic"/>
          <w:sz w:val="28"/>
          <w:szCs w:val="32"/>
          <w:rtl/>
        </w:rPr>
        <w:footnoteReference w:id="1157"/>
      </w:r>
      <w:r>
        <w:rPr>
          <w:rFonts w:cs="Traditional Arabic" w:hint="cs"/>
          <w:sz w:val="28"/>
          <w:szCs w:val="32"/>
          <w:vertAlign w:val="superscript"/>
          <w:rtl/>
        </w:rPr>
        <w:t xml:space="preserve"> )</w:t>
      </w:r>
      <w:r>
        <w:rPr>
          <w:rFonts w:cs="Traditional Arabic" w:hint="cs"/>
          <w:sz w:val="28"/>
          <w:szCs w:val="32"/>
          <w:rtl/>
        </w:rPr>
        <w:t xml:space="preserve"> . وليس للدائنين العاديين أن يتدخلوا في إجراءات التطهير ، ولكن دائني الدائن المقيد يستطيعون أن يستعملوا حق مدينهم الدائن المقيد بطريق الدعوى غر المباشرة</w:t>
      </w:r>
      <w:r>
        <w:rPr>
          <w:rFonts w:cs="Traditional Arabic" w:hint="cs"/>
          <w:sz w:val="28"/>
          <w:szCs w:val="32"/>
          <w:vertAlign w:val="superscript"/>
          <w:rtl/>
        </w:rPr>
        <w:t xml:space="preserve">( </w:t>
      </w:r>
      <w:r w:rsidRPr="00EC737F">
        <w:rPr>
          <w:rStyle w:val="ab"/>
          <w:rFonts w:cs="Traditional Arabic"/>
          <w:sz w:val="28"/>
          <w:szCs w:val="32"/>
          <w:rtl/>
        </w:rPr>
        <w:footnoteReference w:id="11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$565 </w:t>
      </w:r>
      <w:r>
        <w:rPr>
          <w:rFonts w:cs="Traditional Arabic" w:hint="cs"/>
          <w:b/>
          <w:bCs/>
          <w:sz w:val="28"/>
          <w:szCs w:val="32"/>
          <w:rtl/>
        </w:rPr>
        <w:t xml:space="preserve">299- بيع العقار بالمزاد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نصت المادة 1069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إذا طلب بيع العقار ، وجب إتباع الإجراءات المقررة في البيوع الجبرية . ويتم البيع بناء على طلب صاحب المصلحة في التعجيل ، من طالب أو حائز ، وعلى من يباشر الإجراءات أن يذكر في </w:t>
      </w:r>
      <w:r>
        <w:rPr>
          <w:rFonts w:cs="Traditional Arabic" w:hint="cs"/>
          <w:sz w:val="28"/>
          <w:szCs w:val="32"/>
          <w:rtl/>
        </w:rPr>
        <w:lastRenderedPageBreak/>
        <w:t>إعلانات البيع المبلغ الذي قوم به العقار" .</w:t>
      </w:r>
    </w:p>
    <w:p w:rsidR="00F72742" w:rsidRPr="00EE2756"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ويلتزم الراسي عليه المزاد أن يرد إلى الحائز الذي نزعت ملكيته المصروفات التي أنفقها في سند ملكيته وفي تسجيل هذا السند وفيما قام به من الإعلانات ، وذلك إلى جانب التزاماته بالثمن الذي رسا به المزاد وبالمصروفات التي اقتضتها إجراءات التطهير"</w:t>
      </w:r>
      <w:r>
        <w:rPr>
          <w:rFonts w:cs="Traditional Arabic" w:hint="cs"/>
          <w:sz w:val="28"/>
          <w:szCs w:val="32"/>
          <w:vertAlign w:val="superscript"/>
          <w:rtl/>
        </w:rPr>
        <w:t xml:space="preserve">( </w:t>
      </w:r>
      <w:r w:rsidRPr="00EC737F">
        <w:rPr>
          <w:rStyle w:val="ab"/>
          <w:rFonts w:cs="Traditional Arabic"/>
          <w:sz w:val="28"/>
          <w:szCs w:val="32"/>
          <w:rtl/>
        </w:rPr>
        <w:footnoteReference w:id="11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ويرى من هذا النص أنه إذا رفض أحد الدائنين أو أحد الكفلاء عرض الحائز وطلب بيع العقار المرهون ، فإنه يجب بيع هذا العقار طبقا للإجراءات المقررة في البيوع الجبرية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ويتم البيع بناء على طلب طالب البيع أو الحائز ، وعلى من يباشر إجراءات البيع أن يذكر في إعلانات البيع المبلغ الذي قوم به الحائز العقار ، فإن هذا المبلغ إذا لم يجاوزه البيع في المزاد انعقد البيع نهائياً للحائز ، وخسر طالب البيع ما استغرق من المبلغ الذي قدمه في 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لكل شخص ، عدا الراهن والمدين إذا كان غير الراهن ، أن يدخل في المزاد . فيدخل الدائن طالب البيع وأي دائن آخر ولو كان دائناً $566 عادياً ، ويدخل الحائز نفسه إذا أراد أن يزيد فيما عرضه ، وأي شخص أجنبي عن الدين وعن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ويجز للحائز ، في أي وقت قبل رسو المزاد ، أن يقف الإجراءات باعتباره مالكاً للعقار ، وأن يمنع البيع في المزاد بدفع ديون الدائنين والمصروفات . ذلك أن البيع في المزاد الغرض منه استيفاء الدائنين لحقوقهم ، فما داموا قد استوفوها لم يعد هناك محل للبيع الجبري</w:t>
      </w:r>
      <w:r>
        <w:rPr>
          <w:rFonts w:cs="Traditional Arabic" w:hint="cs"/>
          <w:sz w:val="28"/>
          <w:szCs w:val="32"/>
          <w:vertAlign w:val="superscript"/>
          <w:rtl/>
        </w:rPr>
        <w:t xml:space="preserve">( </w:t>
      </w:r>
      <w:r w:rsidRPr="00EC737F">
        <w:rPr>
          <w:rStyle w:val="ab"/>
          <w:rFonts w:cs="Traditional Arabic"/>
          <w:sz w:val="28"/>
          <w:szCs w:val="32"/>
          <w:rtl/>
        </w:rPr>
        <w:footnoteReference w:id="11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لا يستعمل الحائز حقه في ذلك ، وعند هذا يجب الاستمرار في الإجراءات وبيع العقار المرهون </w:t>
      </w:r>
      <w:r>
        <w:rPr>
          <w:rFonts w:cs="Traditional Arabic" w:hint="cs"/>
          <w:sz w:val="28"/>
          <w:szCs w:val="32"/>
          <w:rtl/>
        </w:rPr>
        <w:lastRenderedPageBreak/>
        <w:t>في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فيرسو المزاد على الحائز أو على غير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300- رسو المزاد على الحائز</w:t>
      </w:r>
      <w:r>
        <w:rPr>
          <w:rFonts w:cs="Traditional Arabic" w:hint="cs"/>
          <w:sz w:val="28"/>
          <w:szCs w:val="32"/>
          <w:rtl/>
        </w:rPr>
        <w:t xml:space="preserve"> : ويرسو المزاد على الحائز في 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الحالة الأولى ) إذا لم يعرض أحد من المزايدين ، أو الحائز نفسه إذا تقدم في المزاد ، مبلغاً أكبر من المبلغ الذي قدره الحائز قيمة للعقار المرهون . فعند ذلك يرسو المزاد على الحائز بالمبلغ الذي سبق له أن قوم به العقار المرهون ، ويبقى مالكاً للعقار بموجب سند ملكيته الأصلي ، وتستقر الملكية له ، ولا يحتاج إلى تسجيل حكم مرسي المزاد . ويطهر العقار من كل حق مقيد عليه ، رهن رسمي أو حيازي أو اختصاص أو امتياز ، إذا دفع الحائز الثمن الذي سبق أن قوم به العقار . وتقع مصروفات البيع على الدائن طالب البيع</w:t>
      </w:r>
      <w:r>
        <w:rPr>
          <w:rFonts w:cs="Traditional Arabic" w:hint="cs"/>
          <w:sz w:val="28"/>
          <w:szCs w:val="32"/>
          <w:vertAlign w:val="superscript"/>
          <w:rtl/>
        </w:rPr>
        <w:t xml:space="preserve">( </w:t>
      </w:r>
      <w:r w:rsidRPr="00EC737F">
        <w:rPr>
          <w:rStyle w:val="ab"/>
          <w:rFonts w:cs="Traditional Arabic"/>
          <w:sz w:val="28"/>
          <w:szCs w:val="32"/>
          <w:rtl/>
        </w:rPr>
        <w:footnoteReference w:id="1161"/>
      </w:r>
      <w:r>
        <w:rPr>
          <w:rFonts w:cs="Traditional Arabic" w:hint="cs"/>
          <w:sz w:val="28"/>
          <w:szCs w:val="32"/>
          <w:vertAlign w:val="superscript"/>
          <w:rtl/>
        </w:rPr>
        <w:t xml:space="preserve"> )</w:t>
      </w:r>
      <w:r>
        <w:rPr>
          <w:rFonts w:cs="Traditional Arabic" w:hint="cs"/>
          <w:sz w:val="28"/>
          <w:szCs w:val="32"/>
          <w:rtl/>
        </w:rPr>
        <w:t xml:space="preserve"> ، لأنه ظهر أنه كمان متسرعاً عند ما طلب بيع العقار في المزاد ، ولم يتقدم مزايد حتى هو بثمن أعلى من الثمن الذي قوم به الحائز قيمة العقار . ويرد إلى طالب البيع من المبلغ الذي أودعه خزانة المحكمة ما زاد على ما انفق في البيع من مصروفات ، فإذا كان المبلغ الذي أودعه خزانة المحكمة معادلا $567 لما صرف لم يسترد شيئاً ، وإذا كان أقل مما صرف وهذا نادر كان مديناً بالفرق بين المبلغ الذي صرف والمبلغ الذي أودعه خزانة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الحالة الثانية ) إذا عرض أحد المزايدين مبلغاً أكبر من المبلغ الذي قوم به الحائز العقار المرهون ، فزاد الحائز عليه ورسا عليه المزاد . ففي هذه الحالة ، يلتزم الحائز بالزيادة التي رسا بها المزاد عليه ، وتدفع هي وما قوم به الحائز العقار عند العرض للدائنين المرتهنين ، فإن بقي شيء منها كان للحائز لأنه سيبقى مالكاً للعقار . ويلتزم الحائز أيضاً بمصروفات البيع ، ويرد إلى طالب البيع كل ما أودعه خزانة المحكمة على ذمة هذه المصروفات . ويبقى الحائز مالكاً للعقار المرهون بموجب سند ملكيته الأصلي ، فلا يحتاج إلى تسجيل حكم مرسي المزاد . وإذا سجل الحائز حكم مرسي المزاد ، فلا تحصل منه رسوم نسبية إلا بمقدار </w:t>
      </w:r>
      <w:r>
        <w:rPr>
          <w:rFonts w:cs="Traditional Arabic" w:hint="cs"/>
          <w:sz w:val="28"/>
          <w:szCs w:val="32"/>
          <w:rtl/>
        </w:rPr>
        <w:lastRenderedPageBreak/>
        <w:t>الفرق بين ثمن المزاد والثمن الأصلي</w:t>
      </w:r>
      <w:r>
        <w:rPr>
          <w:rFonts w:cs="Traditional Arabic" w:hint="cs"/>
          <w:sz w:val="28"/>
          <w:szCs w:val="32"/>
          <w:vertAlign w:val="superscript"/>
          <w:rtl/>
        </w:rPr>
        <w:t xml:space="preserve">( </w:t>
      </w:r>
      <w:r w:rsidRPr="00EC737F">
        <w:rPr>
          <w:rStyle w:val="ab"/>
          <w:rFonts w:cs="Traditional Arabic"/>
          <w:sz w:val="28"/>
          <w:szCs w:val="32"/>
          <w:rtl/>
        </w:rPr>
        <w:footnoteReference w:id="1162"/>
      </w:r>
      <w:r>
        <w:rPr>
          <w:rFonts w:cs="Traditional Arabic" w:hint="cs"/>
          <w:sz w:val="28"/>
          <w:szCs w:val="32"/>
          <w:vertAlign w:val="superscript"/>
          <w:rtl/>
        </w:rPr>
        <w:t xml:space="preserve"> )</w:t>
      </w:r>
      <w:r>
        <w:rPr>
          <w:rFonts w:cs="Traditional Arabic" w:hint="cs"/>
          <w:sz w:val="28"/>
          <w:szCs w:val="32"/>
          <w:rtl/>
        </w:rPr>
        <w:t xml:space="preserve"> . ويطهر العقار من كل حق مقيد ، إذا دفع الحائز الثمن الذي رسا به المزاد أو أودعه خزانة المحكمة . ويترتب على ذلك أن الكفيل الذي كفل وفاء الحائز بثمن الشراء الأصلي تبقى كفالته في حدود هذا الثمن فلا يضمن ما ترتب من الزيادة على البيع في المزاد ، وأنه إذا بقي شيء بعد وفاء الديون من ثمن المزاد فإن الزيادة للحائز</w:t>
      </w:r>
      <w:r>
        <w:rPr>
          <w:rFonts w:cs="Traditional Arabic" w:hint="cs"/>
          <w:sz w:val="28"/>
          <w:szCs w:val="32"/>
          <w:vertAlign w:val="superscript"/>
          <w:rtl/>
        </w:rPr>
        <w:t xml:space="preserve">( </w:t>
      </w:r>
      <w:r w:rsidRPr="00EC737F">
        <w:rPr>
          <w:rStyle w:val="ab"/>
          <w:rFonts w:cs="Traditional Arabic"/>
          <w:sz w:val="28"/>
          <w:szCs w:val="32"/>
          <w:rtl/>
        </w:rPr>
        <w:footnoteReference w:id="1163"/>
      </w:r>
      <w:r>
        <w:rPr>
          <w:rFonts w:cs="Traditional Arabic" w:hint="cs"/>
          <w:sz w:val="28"/>
          <w:szCs w:val="32"/>
          <w:vertAlign w:val="superscript"/>
          <w:rtl/>
        </w:rPr>
        <w:t xml:space="preserve"> )</w:t>
      </w:r>
      <w:r>
        <w:rPr>
          <w:rFonts w:cs="Traditional Arabic" w:hint="cs"/>
          <w:sz w:val="28"/>
          <w:szCs w:val="32"/>
          <w:rtl/>
        </w:rPr>
        <w:t xml:space="preserve"> ، وأن الحقوق العينية التي يكون الحائز قد قررها على العقار بعد أن تلقى ملكيته وقبل رسو المزاد تبقى نافذة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كلتا الحالتين يرجع الحائز ، إما على الراهن الذي تلقى منه حق ملكية العقار المرهون ، أو على المدين إذا كان غير الراهن . فيرجع على الراهن بدعوى الضمان ، وقد نصت على ذلك الفقرة الأولى من المادة 1080 مدني بقولها : "يرجع الحائز بدعوى الضمان على المالك السابق ، في الحدود التي يرجع بها الخلف على من تلقى منه الملكية معاوضة أو تبرعاً" . فيرجع $568 المشتري ( الحائز ) على البائع ( الراهن ) بما دفعه زيادة على الثمن الذي اشترى به ، ويرجع الموهوب له ( الحائز ) على الواهب ( الراهن ) إذا كانت الهبة بعوض وبالقدر الذي دفعه الموهوب له</w:t>
      </w:r>
      <w:r>
        <w:rPr>
          <w:rFonts w:cs="Traditional Arabic" w:hint="cs"/>
          <w:sz w:val="28"/>
          <w:szCs w:val="32"/>
          <w:vertAlign w:val="superscript"/>
          <w:rtl/>
        </w:rPr>
        <w:t xml:space="preserve">( </w:t>
      </w:r>
      <w:r w:rsidRPr="00EC737F">
        <w:rPr>
          <w:rStyle w:val="ab"/>
          <w:rFonts w:cs="Traditional Arabic"/>
          <w:sz w:val="28"/>
          <w:szCs w:val="32"/>
          <w:rtl/>
        </w:rPr>
        <w:footnoteReference w:id="1164"/>
      </w:r>
      <w:r>
        <w:rPr>
          <w:rFonts w:cs="Traditional Arabic" w:hint="cs"/>
          <w:sz w:val="28"/>
          <w:szCs w:val="32"/>
          <w:vertAlign w:val="superscript"/>
          <w:rtl/>
        </w:rPr>
        <w:t xml:space="preserve"> )</w:t>
      </w:r>
      <w:r>
        <w:rPr>
          <w:rFonts w:cs="Traditional Arabic" w:hint="cs"/>
          <w:sz w:val="28"/>
          <w:szCs w:val="32"/>
          <w:rtl/>
        </w:rPr>
        <w:t xml:space="preserve"> . ويرجع على المدين غير الراهن بدعوى الإثراء بلا سبب ، للحصول على مقدار الدين الذي دفعه عنه دون أن يكون ملتزماً بدفعه في سند ملكيته . وقد نصت المادة 1080/2 مدني على أن "يرجع الحائز أيضاً على المدين بما دفعه زيادة على ما هو مستحق في ذمته بمقتضى سند ملكيته أياً كان السبب في دفع هذه الزيادة ، ويحل محل الدائنين الذين وفاهم حقوقهم ، وبوجه خاص يحل محلهم فيما لهم من تأمينات قدمها المدين دون التأمينات التي قدمها شخص آخر غير المدين" . فإذا دفع الحائز عن المدين مبلغاً لم يكن قد التزم بدفعه في سند ملكيته ، جاز له الرجوع على المدين إما بدعوى الإثراء بلا سبب لكي يسترد ما دفعه عن المدين</w:t>
      </w:r>
      <w:r>
        <w:rPr>
          <w:rFonts w:cs="Traditional Arabic" w:hint="cs"/>
          <w:sz w:val="28"/>
          <w:szCs w:val="32"/>
          <w:vertAlign w:val="superscript"/>
          <w:rtl/>
        </w:rPr>
        <w:t xml:space="preserve">( </w:t>
      </w:r>
      <w:r w:rsidRPr="00EC737F">
        <w:rPr>
          <w:rStyle w:val="ab"/>
          <w:rFonts w:cs="Traditional Arabic"/>
          <w:sz w:val="28"/>
          <w:szCs w:val="32"/>
          <w:rtl/>
        </w:rPr>
        <w:footnoteReference w:id="1165"/>
      </w:r>
      <w:r>
        <w:rPr>
          <w:rFonts w:cs="Traditional Arabic" w:hint="cs"/>
          <w:sz w:val="28"/>
          <w:szCs w:val="32"/>
          <w:vertAlign w:val="superscript"/>
          <w:rtl/>
        </w:rPr>
        <w:t xml:space="preserve"> )</w:t>
      </w:r>
      <w:r>
        <w:rPr>
          <w:rFonts w:cs="Traditional Arabic" w:hint="cs"/>
          <w:sz w:val="28"/>
          <w:szCs w:val="32"/>
          <w:rtl/>
        </w:rPr>
        <w:t xml:space="preserve"> ، أو بدعوى الحلول </w:t>
      </w:r>
      <w:r>
        <w:rPr>
          <w:rFonts w:cs="Traditional Arabic" w:hint="cs"/>
          <w:sz w:val="28"/>
          <w:szCs w:val="32"/>
          <w:rtl/>
        </w:rPr>
        <w:lastRenderedPageBreak/>
        <w:t>إذا كان الدين مضموناً بتأمينات أخرى غير العقار المرهون بشرط أن تكون هذه التأمينات مقدمة من المدين نفسه ، أما التأمينات المقدمة من غير المدين ( كفيل عيني ) فلا يحل فيها الحائز ،لأن الكفيل العيني يكون قد اعتمد على وفاء الدين من العقار المرهون فلا يرجع عليه إلا إذا كان العقار المرهون لم يف بالدين</w:t>
      </w:r>
      <w:r>
        <w:rPr>
          <w:rFonts w:cs="Traditional Arabic" w:hint="cs"/>
          <w:sz w:val="28"/>
          <w:szCs w:val="32"/>
          <w:vertAlign w:val="superscript"/>
          <w:rtl/>
        </w:rPr>
        <w:t xml:space="preserve">( </w:t>
      </w:r>
      <w:r w:rsidRPr="00EC737F">
        <w:rPr>
          <w:rStyle w:val="ab"/>
          <w:rFonts w:cs="Traditional Arabic"/>
          <w:sz w:val="28"/>
          <w:szCs w:val="32"/>
          <w:rtl/>
        </w:rPr>
        <w:footnoteReference w:id="11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301- رسو المزاد على غير الحائز</w:t>
      </w:r>
      <w:r>
        <w:rPr>
          <w:rFonts w:cs="Traditional Arabic" w:hint="cs"/>
          <w:sz w:val="28"/>
          <w:szCs w:val="32"/>
          <w:rtl/>
        </w:rPr>
        <w:t xml:space="preserve"> : وإذا رسا المزاد على غير الحائز ، سواء كان الدائن طالب البيع أو أي دائن آخر ولو كان عادياً أو أي شخص أجنبي ، انتقلت ملكية العقار المرهون إلى الراسي عليه المزاد ، وطهر العقار م الحقوق المقيدة عليه ، ووجب تسجيل حكم مرسي المزاد وحصل على تسجيله رسوم نسبية كاملة</w:t>
      </w:r>
      <w:r>
        <w:rPr>
          <w:rFonts w:cs="Traditional Arabic" w:hint="cs"/>
          <w:sz w:val="28"/>
          <w:szCs w:val="32"/>
          <w:vertAlign w:val="superscript"/>
          <w:rtl/>
        </w:rPr>
        <w:t xml:space="preserve">( </w:t>
      </w:r>
      <w:r w:rsidRPr="00EC737F">
        <w:rPr>
          <w:rStyle w:val="ab"/>
          <w:rFonts w:cs="Traditional Arabic"/>
          <w:sz w:val="28"/>
          <w:szCs w:val="32"/>
          <w:rtl/>
        </w:rPr>
        <w:footnoteReference w:id="1167"/>
      </w:r>
      <w:r>
        <w:rPr>
          <w:rFonts w:cs="Traditional Arabic" w:hint="cs"/>
          <w:sz w:val="28"/>
          <w:szCs w:val="32"/>
          <w:vertAlign w:val="superscript"/>
          <w:rtl/>
        </w:rPr>
        <w:t xml:space="preserve"> )</w:t>
      </w:r>
      <w:r>
        <w:rPr>
          <w:rFonts w:cs="Traditional Arabic" w:hint="cs"/>
          <w:sz w:val="28"/>
          <w:szCs w:val="32"/>
          <w:rtl/>
        </w:rPr>
        <w:t xml:space="preserve"> . والتزم الراسي عليه $569 المزاد بأن يدفع ، فوق العطاء الذي تقدم به ، المصروفات التي أنفقها الحائز في سند ملكيته وفي تسجيل هذا السند ويما قام به من الإعلانات ، وكذلك المصروفات التي اقتضتها إجراءات التطهير ويغلبان يكون طالب البيع قد عجلها . وقد رأينا الفقرة الثانية من المادة 1069 مدني تنص على ما يأتي : "ويلتزم الراسي عليه المزاد أن يرد إلى الحائز الذي نزعت ملكيته المصروفات التي أنفقها في سند ملكيته وفي تسجيل هذا السند وفيما قام به من الإعلانات ، وذلك إلى جانب التزامات بالثمن الذي رسا به المزاد وبالمصروفات التي اقتضتها إجراءات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اختلف القضاء والفقه في فرنسا فيما إذا كان غير الحائز الذي رسا عليه المزاد يتلقى الملكية من الحائز ، أو يتلقاها ممن تلقى الحائز الملكية منه مع فسخ سند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فذهب القضاء إلى أنه يتلقاها ممن تلقى الحائز الملكية منه مع فسخ سند الجائز ، استناداً إلى نص المادة 2188 مدني فرنسي التي توجب على الراسي عليه المزاد أن يدفع إلى الحائز كل ما أنفقه في سند ملكيته وتسجيله وإعلانات العرض وإجراءات التطهير ، ويؤخذ من ذلك أن المشرع رغب في إخراج الحائز </w:t>
      </w:r>
      <w:r>
        <w:rPr>
          <w:rFonts w:cs="Traditional Arabic" w:hint="cs"/>
          <w:sz w:val="28"/>
          <w:szCs w:val="32"/>
          <w:rtl/>
        </w:rPr>
        <w:lastRenderedPageBreak/>
        <w:t>من هذه الصفقة كأنه لم يدخلها</w:t>
      </w:r>
      <w:r>
        <w:rPr>
          <w:rFonts w:cs="Traditional Arabic" w:hint="cs"/>
          <w:sz w:val="28"/>
          <w:szCs w:val="32"/>
          <w:vertAlign w:val="superscript"/>
          <w:rtl/>
        </w:rPr>
        <w:t xml:space="preserve">( </w:t>
      </w:r>
      <w:r w:rsidRPr="00EC737F">
        <w:rPr>
          <w:rStyle w:val="ab"/>
          <w:rFonts w:cs="Traditional Arabic"/>
          <w:sz w:val="28"/>
          <w:szCs w:val="32"/>
          <w:rtl/>
        </w:rPr>
        <w:footnoteReference w:id="11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ويذهب الفقه الفرنسي إلى أن ملكية الحائز تبقى له إلى حين رسو المزاد على الغير ، ويعتبر الغير الراسي عليه المزاد متلقياً الملكية من الحائز ، وأن سند الحائز لا ينفسخ . ولا فرق بين رسو المزاد بعد نزع الملكية نتيجة لاتخاذ إجراءات التطهير وبين رسو المزاد عبد نزع الملكية في الأحوال العادية ، أما حكم المادة 2188 مدني فرنسي فيضمن للحائز الحول على $570 ما أنفق من أقر طريق ممكن وهو طريق الراسي عليه المزاد ، لا من سلفه الذي يغلب أن يكون قد أصبح معسراً</w:t>
      </w:r>
      <w:r>
        <w:rPr>
          <w:rFonts w:cs="Traditional Arabic" w:hint="cs"/>
          <w:sz w:val="28"/>
          <w:szCs w:val="32"/>
          <w:vertAlign w:val="superscript"/>
          <w:rtl/>
        </w:rPr>
        <w:t xml:space="preserve">( </w:t>
      </w:r>
      <w:r w:rsidRPr="00EC737F">
        <w:rPr>
          <w:rStyle w:val="ab"/>
          <w:rFonts w:cs="Traditional Arabic"/>
          <w:sz w:val="28"/>
          <w:szCs w:val="32"/>
          <w:rtl/>
        </w:rPr>
        <w:footnoteReference w:id="1169"/>
      </w:r>
      <w:r>
        <w:rPr>
          <w:rFonts w:cs="Traditional Arabic" w:hint="cs"/>
          <w:sz w:val="28"/>
          <w:szCs w:val="32"/>
          <w:vertAlign w:val="superscript"/>
          <w:rtl/>
        </w:rPr>
        <w:t xml:space="preserve"> )</w:t>
      </w:r>
      <w:r>
        <w:rPr>
          <w:rFonts w:cs="Traditional Arabic" w:hint="cs"/>
          <w:sz w:val="28"/>
          <w:szCs w:val="32"/>
          <w:rtl/>
        </w:rPr>
        <w:t xml:space="preserve"> .</w:t>
      </w:r>
    </w:p>
    <w:p w:rsidR="00F72742" w:rsidRPr="009F4C23"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والخلاف بين الفقه والقضاء في فرنسا يقتضي ما يأتي : ( 1 ) فيما يتعلق بالضمان ، يرجع الراسي عليه المزاد بالضمان على الحائز في الفقه ، ويرجع به على المالك قبل الحائز في القضاء . ( 2 ) من حيث الثمار ، لا يلزم الفقه الحائز بردها ، ويلزم القضاء بذلك . ( 3 ) في الرهن المستجدة ، يعتبر الفقه الحائز هو المالك ورهونه نافذة ، ويعتبر القضاء المالك السابق هو المالك ورهونه هي النافذة . ( 4 ) فيما يتعلق بزيادة الثمن الراسي به المزاد على الديون والمصروفات ، يعتبرها الفقه من حق الحائز ، ويعتبرها القضاء من حق المالك السابق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أخذ التقنين المدني المصري الجديد برأي الفقه ، فنص في المادة 1076 مدني على أنه "إذا رسا المزاد في الأحوال المتقدمة على شخص آخر غير الحائز فإن هذا الشخص الآخر يتلقى حقه عن الحائز بمقتضى حكم مرسى المزاد" . وعلى ذلك يرجع الراسي عليه المزاد على الحائز بالضمان ، ولا يلتزم الحائز برد الثمار إلا من وقت إنذاره بالدفع أو التخلية فإذا تركت الإجراءات مدة ثلاث سنوات فلا يرد الثمار إلا من وقت أن يوجه إليه إنذار جديد ( م 1079 مدني ) ، وينفذ الرهن الذي قرره الحائز ولذلك يتعين إدخال الدائنين المرتهنين من الحائز في الإجراءات حتى يسري في حقهم حكم مرسي المزاد ويطهر العقار من رهونهم ، وزيادة الثمن تكون للحائز ( م 1077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ووقع خلاف في الوقت الذي يتم فيه تطهير العقار ، بمجرد تسجيل الحكم بمرسي المزاد ، أم يشترط قيام الراسي عليه المزاد بدفع الثمن؟ وقد أخذ التقنين المدني المصري الجديد بالرأي الثاني ، إذ جاء في المذكرة الإيضاحية للمشروع التمهيد : "والمبلغ الذي يرسو به المزاد يودع خزينة $571  المحكمة ، أو يدفع للدائن حسب مراتبهم ، فتقضي الرهون وتمحى القيود ، ويتم بذلك تطهير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70"/>
      </w:r>
      <w:r>
        <w:rPr>
          <w:rFonts w:cs="Traditional Arabic" w:hint="cs"/>
          <w:sz w:val="28"/>
          <w:szCs w:val="32"/>
          <w:vertAlign w:val="superscript"/>
          <w:rtl/>
        </w:rPr>
        <w:t xml:space="preserve"> )</w:t>
      </w:r>
      <w:r>
        <w:rPr>
          <w:rFonts w:cs="Traditional Arabic" w:hint="cs"/>
          <w:sz w:val="28"/>
          <w:szCs w:val="32"/>
          <w:rtl/>
        </w:rPr>
        <w:t xml:space="preserve"> .</w:t>
      </w:r>
    </w:p>
    <w:p w:rsidR="00F72742" w:rsidRPr="009A6334" w:rsidRDefault="00F72742" w:rsidP="00F72742">
      <w:pPr>
        <w:widowControl w:val="0"/>
        <w:spacing w:after="120"/>
        <w:jc w:val="center"/>
        <w:rPr>
          <w:rFonts w:cs="Traditional Arabic" w:hint="cs"/>
          <w:b/>
          <w:bCs/>
          <w:sz w:val="28"/>
          <w:szCs w:val="32"/>
          <w:rtl/>
        </w:rPr>
      </w:pPr>
      <w:r w:rsidRPr="009A6334">
        <w:rPr>
          <w:rFonts w:cs="Traditional Arabic" w:hint="cs"/>
          <w:b/>
          <w:bCs/>
          <w:sz w:val="28"/>
          <w:szCs w:val="32"/>
          <w:rtl/>
        </w:rPr>
        <w:t xml:space="preserve">د </w:t>
      </w:r>
      <w:r w:rsidRPr="009A6334">
        <w:rPr>
          <w:rFonts w:cs="Traditional Arabic"/>
          <w:b/>
          <w:bCs/>
          <w:sz w:val="28"/>
          <w:szCs w:val="32"/>
          <w:rtl/>
        </w:rPr>
        <w:t>–</w:t>
      </w:r>
      <w:r w:rsidRPr="009A6334">
        <w:rPr>
          <w:rFonts w:cs="Traditional Arabic" w:hint="cs"/>
          <w:b/>
          <w:bCs/>
          <w:sz w:val="28"/>
          <w:szCs w:val="32"/>
          <w:rtl/>
        </w:rPr>
        <w:t xml:space="preserve"> متى يمتنع التطهير </w:t>
      </w:r>
      <w:r w:rsidRPr="009A6334">
        <w:rPr>
          <w:rFonts w:cs="Traditional Arabic"/>
          <w:b/>
          <w:bCs/>
          <w:sz w:val="28"/>
          <w:szCs w:val="32"/>
          <w:rtl/>
        </w:rPr>
        <w:t>–</w:t>
      </w:r>
      <w:r w:rsidRPr="009A6334">
        <w:rPr>
          <w:rFonts w:cs="Traditional Arabic" w:hint="cs"/>
          <w:b/>
          <w:bCs/>
          <w:sz w:val="28"/>
          <w:szCs w:val="32"/>
          <w:rtl/>
        </w:rPr>
        <w:t xml:space="preserve"> مصروفاته</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302- متى يمتنع التطهير</w:t>
      </w:r>
      <w:r>
        <w:rPr>
          <w:rFonts w:cs="Traditional Arabic" w:hint="cs"/>
          <w:sz w:val="28"/>
          <w:szCs w:val="32"/>
          <w:rtl/>
        </w:rPr>
        <w:t xml:space="preserve"> : الغرض من التطهير هو الوصول إلى قيمة مناسبة للعقار المرهون فيما إذا قبل عرض الحائز ، أو الوصول إلى أعلى قيمة للعقار المرهون فيما إذا رفض عرض الحائز وبيع العقار بالمزاد الجبري ورسا مزاده بثمن أعلى مما قوم به الحائز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وهناك أحوال لا يكون التطهير فيها لازماً فيمتنع ، ويكتفي بالثمن الذي وضعه الحائز في العقار ، ويقوم التصرف مقام التطهير</w:t>
      </w:r>
      <w:r>
        <w:rPr>
          <w:rFonts w:cs="Traditional Arabic" w:hint="cs"/>
          <w:sz w:val="28"/>
          <w:szCs w:val="32"/>
          <w:vertAlign w:val="superscript"/>
          <w:rtl/>
        </w:rPr>
        <w:t xml:space="preserve">( </w:t>
      </w:r>
      <w:r w:rsidRPr="00EC737F">
        <w:rPr>
          <w:rStyle w:val="ab"/>
          <w:rFonts w:cs="Traditional Arabic"/>
          <w:sz w:val="28"/>
          <w:szCs w:val="32"/>
          <w:rtl/>
        </w:rPr>
        <w:footnoteReference w:id="117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من هذه الأحوال أن يكون الدائنون قد ساهموا في جعل العقار يرسو في المزاد . فنفرض مثلا أن الحائز قد رسا عليه مزاد العقار المرهون ، ودخل في المزاد أناس كثيرون منهم الدائنون المرتهنون وحاول الجميع الحصول على العقار ، ولكن الحائز أعطى فيه أكبر ثمن ممكن ، فرسا المزاد عليه . فهذا دليل على أن الثمن الذي رسا به مزاد العقار أوصله إلى أعلى قيمة ممكنة فلا يؤمل بعد ذلك الوصول إلى قيمة أعلى منها . في مثل هذه الحالة يمتنع التطهير ، ويكتفي بالثمن الذي دفعه الحائز للحصول على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يكون العقار عرض على الجمهور ، بحيث أصبح لا تؤمل زيادة ثمنه على الثمن الذي اشترى به الحائز للعقار . ويكون ذلك في حالة رسو المزاد ، في بيع العقار بالمزاد الجبري . لنفرض مثلا أن الحائز اشترى العقار في المزاد الجبري ، حيث زايد فيه الناس كافة ، ورسا المزاد أخيراً على الحائز . فهنا أيضاً يمكن افترضا أن الثمن الذي رسا به المزاد على الحائز $572 هو أعلى ثمن للعقار ، وانه لا فائدة من تطهيره . </w:t>
      </w:r>
      <w:r>
        <w:rPr>
          <w:rFonts w:cs="Traditional Arabic" w:hint="cs"/>
          <w:sz w:val="28"/>
          <w:szCs w:val="32"/>
          <w:rtl/>
        </w:rPr>
        <w:lastRenderedPageBreak/>
        <w:t>فيمتنع التطهير ، ويكتفي بالثمن الذي رسا به مزاد العقار على الحائز باعتبار أنه هو أنسب ثمن . وفي حالة رسو المزاد بعد التقرير بالزيادة ، يكون ما يرسو به العقار على المزايد الذي رفع أكبر ثمن هو الثمن المناسب للعقار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675 من قانون المرافعات المختلط الملغي على أن "حكم مرسي المزاد المسجل بحسب الأصول يطهر العقار من كل الرهون التأمينية ، ولا يكون للدائنين سوى الحق في الثمن" . ولم يأت قانون المرافعات الأهلي الملغي بنص يقابل المادة 675 مرافعات مختلط ، ولكن كان الرأي العمل بحكم هذه المادة ، لأن القانون الأهلي يوجب إدخال الدائنين في إجراءات البيع وفي إجراءات التوزيع ، وينص على انتهاء إجراءات التوزيع بشطب رهونهم ولو لم يبق لهم من ثمن البيع ما يستوفون منه حقوقهم . ولأنه نص في المادة 44 من قانون تنظيم الشهر العقاري على أن "تجديد القيد واجب حتى أثناء الإجراءات التي تتخذ لنزع ملكية العقار المثقل بالحق العيني ، ولكنه لا يكون واجباً إذا انقضى الحق أو طهر العقار ، وبوجه خاص إذا بيع العقار قضاء وانقضى ميعاد زيادة العشر"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ويعتبر التطهير أيضاً غير مجد وغير لازم في حالة نزع الملكية للمنافع العامة ، ولكن ذلك يرجع لأسباب أخرى غير الأسباب التي تقدم ذكرها ، إذ لا يمكن عرض العقار المنزوع ملكيته للمنافع العامة للبيع بالمزاد</w:t>
      </w:r>
      <w:r>
        <w:rPr>
          <w:rFonts w:cs="Traditional Arabic" w:hint="cs"/>
          <w:sz w:val="28"/>
          <w:szCs w:val="32"/>
          <w:vertAlign w:val="superscript"/>
          <w:rtl/>
        </w:rPr>
        <w:t xml:space="preserve">( </w:t>
      </w:r>
      <w:r w:rsidRPr="00EC737F">
        <w:rPr>
          <w:rStyle w:val="ab"/>
          <w:rFonts w:cs="Traditional Arabic"/>
          <w:sz w:val="28"/>
          <w:szCs w:val="32"/>
          <w:rtl/>
        </w:rPr>
        <w:footnoteReference w:id="11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ويوجه عام ، إجراء التطهير لا يكون إلا في الحالات التي ينتقل فيها العقار إلى الحائز وه محمل بالرهن . وعلى ذلك إذا كان من طبيعة التصرف الذي يرتب الملكية للحائز تحرير العقار من الرهن ، فلا يكون هناك داع لإجراء التطهير ، إذ يكون العقار قد انتقل إلى الحائز محرراً بالفعل مما يثقله من ديون . ويلاحظ أن التصرف ، وإن ترتب عليه تطهير العقار من الرهن ، $573 لا يؤدي إلى الإضرار بالدائن المرتهن . ففي حالة التنفيذ على العقار ، يكون البيع بالمزاد العلني وبإشراف القاضي ، ويشترك الدائن المرتهن في إجراءات التنفيذ ، وبذلك تعطي الفرصة لأن يأتي العقار بأكبر ثمن ممكن . وفي حالة نزع الملكية ، يقرر القانون من الأحكام ما يكفل بها الحصول على تعويض عادل . وعلى ذلك فالتصرف الذي يحرر </w:t>
      </w:r>
      <w:r>
        <w:rPr>
          <w:rFonts w:cs="Traditional Arabic" w:hint="cs"/>
          <w:sz w:val="28"/>
          <w:szCs w:val="32"/>
          <w:rtl/>
        </w:rPr>
        <w:lastRenderedPageBreak/>
        <w:t>العقار من الرهن يحرره مع ضمان الحصول على أكبر قيمة ممكنة للعقار ، وهذه هي نفس وظيفة التطهير .</w:t>
      </w:r>
      <w:r w:rsidRPr="00AA6A6D">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1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303- مصروفات التطهير</w:t>
      </w:r>
      <w:r>
        <w:rPr>
          <w:rFonts w:cs="Traditional Arabic" w:hint="cs"/>
          <w:sz w:val="28"/>
          <w:szCs w:val="32"/>
          <w:rtl/>
        </w:rPr>
        <w:t xml:space="preserve"> : لا يوجد نص عام يحدد من يتحمل مصروفات التطهير ، ولكن يوجد نصوص متفرقة ، وقواعد قانونية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قبل الدائنون المرتهنون عرض الحائز ، تحمل الحائز نفقات الإعلانات الموجهة لهؤلاء الدائنين . على أن للحائز أن يرجع بهذه النفقات على مملكه إذا كان له حق الرجوع عليه بالضمان ، كما إذا تملك العقار المرهون بمقابل ، ولم يتفق على تحمله مصروفات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بيع العقار بالمزاد ، بأن رفض الدائنون المقيدون عرض الحائز ، التزم الراسي عليه المزاد بدفع المصروفات التي اقتضتها إجراءات التطهير ، وذلك بجانب التزامه بدفع الثمن الذي رسا به المزاد عليه ( م 1069/2 مدني ) . ويكون للحائز ، إذا رسا المزاد عليه ، أن يرجع بها على مملكه بدعوى الضمان إذا توافرت شروط هذه الدعوى</w:t>
      </w:r>
      <w:r>
        <w:rPr>
          <w:rFonts w:cs="Traditional Arabic" w:hint="cs"/>
          <w:sz w:val="28"/>
          <w:szCs w:val="32"/>
          <w:vertAlign w:val="superscript"/>
          <w:rtl/>
        </w:rPr>
        <w:t xml:space="preserve">( </w:t>
      </w:r>
      <w:r w:rsidRPr="00EC737F">
        <w:rPr>
          <w:rStyle w:val="ab"/>
          <w:rFonts w:cs="Traditional Arabic"/>
          <w:sz w:val="28"/>
          <w:szCs w:val="32"/>
          <w:rtl/>
        </w:rPr>
        <w:footnoteReference w:id="11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التصرف الذي أعقبه التطهير عقد بع ، فالأصل أن البائع هو الذي يتحمل مصروفات التطهير ، لأنه ملزم بتسليم العقار خالياً من كل رهن . ولكن قد يشترك البائع غير ذلك ، فيلزم المشتري ( الحائز ) بدفع هذه المصروفات</w:t>
      </w:r>
      <w:r>
        <w:rPr>
          <w:rFonts w:cs="Traditional Arabic" w:hint="cs"/>
          <w:sz w:val="28"/>
          <w:szCs w:val="32"/>
          <w:vertAlign w:val="superscript"/>
          <w:rtl/>
        </w:rPr>
        <w:t xml:space="preserve">( </w:t>
      </w:r>
      <w:r w:rsidRPr="00EC737F">
        <w:rPr>
          <w:rStyle w:val="ab"/>
          <w:rFonts w:cs="Traditional Arabic"/>
          <w:sz w:val="28"/>
          <w:szCs w:val="32"/>
          <w:rtl/>
        </w:rPr>
        <w:footnoteReference w:id="117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$574 وإذا كان العقد من غير مقابل ، فالمصروفات على الحائز</w:t>
      </w:r>
      <w:r>
        <w:rPr>
          <w:rFonts w:cs="Traditional Arabic" w:hint="cs"/>
          <w:sz w:val="28"/>
          <w:szCs w:val="32"/>
          <w:vertAlign w:val="superscript"/>
          <w:rtl/>
        </w:rPr>
        <w:t xml:space="preserve">( </w:t>
      </w:r>
      <w:r w:rsidRPr="00EC737F">
        <w:rPr>
          <w:rStyle w:val="ab"/>
          <w:rFonts w:cs="Traditional Arabic"/>
          <w:sz w:val="28"/>
          <w:szCs w:val="32"/>
          <w:rtl/>
        </w:rPr>
        <w:footnoteReference w:id="1176"/>
      </w:r>
      <w:r>
        <w:rPr>
          <w:rFonts w:cs="Traditional Arabic" w:hint="cs"/>
          <w:sz w:val="28"/>
          <w:szCs w:val="32"/>
          <w:vertAlign w:val="superscript"/>
          <w:rtl/>
        </w:rPr>
        <w:t xml:space="preserve"> )</w:t>
      </w:r>
      <w:r>
        <w:rPr>
          <w:rFonts w:cs="Traditional Arabic" w:hint="cs"/>
          <w:sz w:val="28"/>
          <w:szCs w:val="32"/>
          <w:rtl/>
        </w:rPr>
        <w:t xml:space="preserve"> .</w:t>
      </w:r>
    </w:p>
    <w:p w:rsidR="00F72742" w:rsidRPr="000A52A6" w:rsidRDefault="00F72742" w:rsidP="00F72742">
      <w:pPr>
        <w:widowControl w:val="0"/>
        <w:spacing w:after="120"/>
        <w:jc w:val="center"/>
        <w:rPr>
          <w:rFonts w:cs="Traditional Arabic" w:hint="cs"/>
          <w:b/>
          <w:bCs/>
          <w:sz w:val="28"/>
          <w:szCs w:val="32"/>
          <w:rtl/>
        </w:rPr>
      </w:pPr>
      <w:r>
        <w:rPr>
          <w:b/>
          <w:bCs/>
          <w:sz w:val="28"/>
          <w:szCs w:val="32"/>
          <w:rtl/>
        </w:rPr>
        <w:lastRenderedPageBreak/>
        <w:t>§</w:t>
      </w:r>
      <w:r>
        <w:rPr>
          <w:rFonts w:cs="Traditional Arabic" w:hint="cs"/>
          <w:b/>
          <w:bCs/>
          <w:sz w:val="28"/>
          <w:szCs w:val="32"/>
          <w:rtl/>
        </w:rPr>
        <w:t xml:space="preserve"> </w:t>
      </w:r>
      <w:r w:rsidRPr="000A52A6">
        <w:rPr>
          <w:rFonts w:cs="Traditional Arabic" w:hint="cs"/>
          <w:b/>
          <w:bCs/>
          <w:sz w:val="28"/>
          <w:szCs w:val="32"/>
          <w:rtl/>
        </w:rPr>
        <w:t>3- تخلية العقار</w:t>
      </w:r>
    </w:p>
    <w:p w:rsidR="00F72742" w:rsidRPr="000A52A6" w:rsidRDefault="00F72742" w:rsidP="00F72742">
      <w:pPr>
        <w:widowControl w:val="0"/>
        <w:spacing w:after="120"/>
        <w:jc w:val="center"/>
        <w:rPr>
          <w:rFonts w:cs="Traditional Arabic" w:hint="cs"/>
          <w:b/>
          <w:bCs/>
          <w:sz w:val="28"/>
          <w:szCs w:val="32"/>
          <w:rtl/>
        </w:rPr>
      </w:pPr>
      <w:r>
        <w:rPr>
          <w:rFonts w:cs="Traditional Arabic"/>
          <w:b/>
          <w:bCs/>
          <w:sz w:val="28"/>
          <w:szCs w:val="32"/>
          <w:rtl/>
        </w:rPr>
        <w:t xml:space="preserve">( </w:t>
      </w:r>
      <w:r w:rsidRPr="000A52A6">
        <w:rPr>
          <w:rFonts w:cs="Traditional Arabic"/>
          <w:b/>
          <w:bCs/>
          <w:sz w:val="28"/>
          <w:szCs w:val="32"/>
        </w:rPr>
        <w:t>Delaissement hypothecaire</w:t>
      </w:r>
      <w:r>
        <w:rPr>
          <w:rFonts w:cs="Traditional Arabic"/>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304- الغرض من التخلية</w:t>
      </w:r>
      <w:r>
        <w:rPr>
          <w:rFonts w:cs="Traditional Arabic" w:hint="cs"/>
          <w:sz w:val="28"/>
          <w:szCs w:val="32"/>
          <w:rtl/>
        </w:rPr>
        <w:t xml:space="preserve"> : التخلية هي أن يترك الحائز العقار ، ويكون ذلك في يد حارس</w:t>
      </w:r>
      <w:r>
        <w:rPr>
          <w:rFonts w:cs="Traditional Arabic" w:hint="cs"/>
          <w:sz w:val="28"/>
          <w:szCs w:val="32"/>
          <w:vertAlign w:val="superscript"/>
          <w:rtl/>
        </w:rPr>
        <w:t xml:space="preserve">( </w:t>
      </w:r>
      <w:r w:rsidRPr="00EC737F">
        <w:rPr>
          <w:rStyle w:val="ab"/>
          <w:rFonts w:cs="Traditional Arabic"/>
          <w:sz w:val="28"/>
          <w:szCs w:val="32"/>
          <w:rtl/>
        </w:rPr>
        <w:footnoteReference w:id="1177"/>
      </w:r>
      <w:r>
        <w:rPr>
          <w:rFonts w:cs="Traditional Arabic" w:hint="cs"/>
          <w:sz w:val="28"/>
          <w:szCs w:val="32"/>
          <w:vertAlign w:val="superscript"/>
          <w:rtl/>
        </w:rPr>
        <w:t xml:space="preserve"> )</w:t>
      </w:r>
      <w:r>
        <w:rPr>
          <w:rFonts w:cs="Traditional Arabic" w:hint="cs"/>
          <w:sz w:val="28"/>
          <w:szCs w:val="32"/>
          <w:rtl/>
        </w:rPr>
        <w:t xml:space="preserve"> أو أمين للعقار</w:t>
      </w:r>
      <w:r>
        <w:rPr>
          <w:rFonts w:cs="Traditional Arabic" w:hint="cs"/>
          <w:sz w:val="28"/>
          <w:szCs w:val="32"/>
          <w:vertAlign w:val="superscript"/>
          <w:rtl/>
        </w:rPr>
        <w:t xml:space="preserve">( </w:t>
      </w:r>
      <w:r w:rsidRPr="00EC737F">
        <w:rPr>
          <w:rStyle w:val="ab"/>
          <w:rFonts w:cs="Traditional Arabic"/>
          <w:sz w:val="28"/>
          <w:szCs w:val="32"/>
          <w:rtl/>
        </w:rPr>
        <w:footnoteReference w:id="1178"/>
      </w:r>
      <w:r>
        <w:rPr>
          <w:rFonts w:cs="Traditional Arabic" w:hint="cs"/>
          <w:sz w:val="28"/>
          <w:szCs w:val="32"/>
          <w:vertAlign w:val="superscript"/>
          <w:rtl/>
        </w:rPr>
        <w:t xml:space="preserve"> )</w:t>
      </w:r>
      <w:r>
        <w:rPr>
          <w:rFonts w:cs="Traditional Arabic" w:hint="cs"/>
          <w:sz w:val="28"/>
          <w:szCs w:val="32"/>
          <w:rtl/>
        </w:rPr>
        <w:t xml:space="preserve"> تعينه المحكمة ، يتخذ الدائنون إجراءات نزع الملكية في مواجهة هذا الحارس ، بدلا من أن يكون ذلك في مواجهة الحائز نفسه . وذلك حتى لا تبدأ الإجراءات أو تستمر في مواجهة الحائز ، ولا يظهر اسم هذا في الإعلانات ، حتى لا تسوء سمعته المالية وتكون الإجراءات سبباً في أن يشتهر بالإعسار ، وحتى يتخلص من مسئولية إدارة العقار بعد أن ألحقت ثماره به من وقت الإنذار</w:t>
      </w:r>
      <w:r>
        <w:rPr>
          <w:rFonts w:cs="Traditional Arabic" w:hint="cs"/>
          <w:sz w:val="28"/>
          <w:szCs w:val="32"/>
          <w:vertAlign w:val="superscript"/>
          <w:rtl/>
        </w:rPr>
        <w:t xml:space="preserve">( </w:t>
      </w:r>
      <w:r w:rsidRPr="00EC737F">
        <w:rPr>
          <w:rStyle w:val="ab"/>
          <w:rFonts w:cs="Traditional Arabic"/>
          <w:sz w:val="28"/>
          <w:szCs w:val="32"/>
          <w:rtl/>
        </w:rPr>
        <w:footnoteReference w:id="11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ألا تقيد التخلية بأي شرط</w:t>
      </w:r>
      <w:r>
        <w:rPr>
          <w:rFonts w:cs="Traditional Arabic" w:hint="cs"/>
          <w:sz w:val="28"/>
          <w:szCs w:val="32"/>
          <w:vertAlign w:val="superscript"/>
          <w:rtl/>
        </w:rPr>
        <w:t xml:space="preserve">( </w:t>
      </w:r>
      <w:r w:rsidRPr="00EC737F">
        <w:rPr>
          <w:rStyle w:val="ab"/>
          <w:rFonts w:cs="Traditional Arabic"/>
          <w:sz w:val="28"/>
          <w:szCs w:val="32"/>
          <w:rtl/>
        </w:rPr>
        <w:footnoteReference w:id="1180"/>
      </w:r>
      <w:r>
        <w:rPr>
          <w:rFonts w:cs="Traditional Arabic" w:hint="cs"/>
          <w:sz w:val="28"/>
          <w:szCs w:val="32"/>
          <w:vertAlign w:val="superscript"/>
          <w:rtl/>
        </w:rPr>
        <w:t xml:space="preserve"> )</w:t>
      </w:r>
      <w:r>
        <w:rPr>
          <w:rFonts w:cs="Traditional Arabic" w:hint="cs"/>
          <w:sz w:val="28"/>
          <w:szCs w:val="32"/>
          <w:rtl/>
        </w:rPr>
        <w:t xml:space="preserve"> ، فتشمل كل العقارات المرهونة التي تكون في يد الحائز بصفته هذه ، فإذا كان الحائز قد تصرف قبل الإجراءات الموجهة إليه في جزء من العقارات ، وقعت التخلية في الباقي منها</w:t>
      </w:r>
      <w:r>
        <w:rPr>
          <w:rFonts w:cs="Traditional Arabic" w:hint="cs"/>
          <w:sz w:val="28"/>
          <w:szCs w:val="32"/>
          <w:vertAlign w:val="superscript"/>
          <w:rtl/>
        </w:rPr>
        <w:t xml:space="preserve">( </w:t>
      </w:r>
      <w:r w:rsidRPr="00EC737F">
        <w:rPr>
          <w:rStyle w:val="ab"/>
          <w:rFonts w:cs="Traditional Arabic"/>
          <w:sz w:val="28"/>
          <w:szCs w:val="32"/>
          <w:rtl/>
        </w:rPr>
        <w:footnoteReference w:id="118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والتخلية هي من النظم القانونية المتخلفة عن القانون الروماني ، وكان من أهم حقوق الدائن المرتهن في القانون الروماني عند حلول أجل حقه وعدم $575 الوفاء به ، أن يدخل في حيازة العقار المرهون ويستولي عليه من مالكه . وتطور الأمر فلم يعد من حق الدائن المرتهن أن يستولي على حيازة العقار المرهون ، بل أن يطلب بيعه في المزاد العلني ، ومع ذلك بقيت فكرة التخلية ، وأصبحت حقاً للحائز لا </w:t>
      </w:r>
      <w:r>
        <w:rPr>
          <w:rFonts w:cs="Traditional Arabic" w:hint="cs"/>
          <w:sz w:val="28"/>
          <w:szCs w:val="32"/>
          <w:rtl/>
        </w:rPr>
        <w:lastRenderedPageBreak/>
        <w:t>للدائن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1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التخلية ، لا وقف الإجراءات ، ولكن تحويل مجراها . فبعد أن كانت تتخذ في مواجهة الحائز ، أصبحت تتخذ في مواجهة الحارس أي أمين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305- من له الحق في التخلية</w:t>
      </w:r>
      <w:r>
        <w:rPr>
          <w:rFonts w:cs="Traditional Arabic" w:hint="cs"/>
          <w:sz w:val="28"/>
          <w:szCs w:val="32"/>
          <w:rtl/>
        </w:rPr>
        <w:t xml:space="preserve"> : والتخلية مقررة للحائز ، للأسباب التي تقدم ذكرها . والحائز غير مسئول عن الدين ، فيحق له أن يتفادى إجراءات البيع في مواجهته</w:t>
      </w:r>
      <w:r>
        <w:rPr>
          <w:rFonts w:cs="Traditional Arabic" w:hint="cs"/>
          <w:sz w:val="28"/>
          <w:szCs w:val="32"/>
          <w:vertAlign w:val="superscript"/>
          <w:rtl/>
        </w:rPr>
        <w:t xml:space="preserve">( </w:t>
      </w:r>
      <w:r w:rsidRPr="00EC737F">
        <w:rPr>
          <w:rStyle w:val="ab"/>
          <w:rFonts w:cs="Traditional Arabic"/>
          <w:sz w:val="28"/>
          <w:szCs w:val="32"/>
          <w:rtl/>
        </w:rPr>
        <w:footnoteReference w:id="118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غير أن الحائز قد يصبح مسئولا عن الدين لسبب لاحق ، فعندئذ لا تجوز له التخلية . مثل ذلك أن يجبر الحائز على قضاء الديون في حالة من الحالتين اللتين نصت عليهما المادة 1063 مدني ، "وفي كلتا الحالتين لا يجوز للحائز أن يتخلص من التزامه بالوفاء للدائنين بتخلية عن العقار ، ولكن إذا هو وفى لهم فإن العقار يعتبر خالصاً من كل رهن ، ويكون للحائز الحق في طلب محو ما على العقار من القيود" ( م 1063/3 مدني ) . وإذا عرض الحائز تطهير العقار فقبل العرض ، أصبح ملزماً بدفع المبلغ الذي قوم به العقار ، ولم يجز له أن يلجأ إلى التخلية . أما إذا رفض العرض وشرع الدائنون في إجراءات البيع ، فإن الحائز لم يصبح ملاماً بما عرض ، ومن ثم تجوز له تخلية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$576 ويجب أن تتوافر في الحائز ، حتى يستطيع تخلية العقار ، أهلية للتصرف ، لأن التخلية معناها الاعتراف بحقوق الدائنين المقيدين ، والنزول عن كل دفع يستطيع أن يدفع به إجراءاتهم ، وهذا كله م أعمال التصرف</w:t>
      </w:r>
      <w:r>
        <w:rPr>
          <w:rFonts w:cs="Traditional Arabic" w:hint="cs"/>
          <w:sz w:val="28"/>
          <w:szCs w:val="32"/>
          <w:vertAlign w:val="superscript"/>
          <w:rtl/>
        </w:rPr>
        <w:t xml:space="preserve">( </w:t>
      </w:r>
      <w:r w:rsidRPr="00EC737F">
        <w:rPr>
          <w:rStyle w:val="ab"/>
          <w:rFonts w:cs="Traditional Arabic"/>
          <w:sz w:val="28"/>
          <w:szCs w:val="32"/>
          <w:rtl/>
        </w:rPr>
        <w:footnoteReference w:id="1186"/>
      </w:r>
      <w:r>
        <w:rPr>
          <w:rFonts w:cs="Traditional Arabic" w:hint="cs"/>
          <w:sz w:val="28"/>
          <w:szCs w:val="32"/>
          <w:vertAlign w:val="superscript"/>
          <w:rtl/>
        </w:rPr>
        <w:t xml:space="preserve"> )</w:t>
      </w:r>
      <w:r>
        <w:rPr>
          <w:rFonts w:cs="Traditional Arabic" w:hint="cs"/>
          <w:sz w:val="28"/>
          <w:szCs w:val="32"/>
          <w:rtl/>
        </w:rPr>
        <w:t xml:space="preserve"> . وهناك من ينكر أن التخلية من أعمال التصرف لأن الحائز إنما يتخلى عن الحيازة </w:t>
      </w:r>
      <w:r>
        <w:rPr>
          <w:rFonts w:cs="Traditional Arabic" w:hint="cs"/>
          <w:sz w:val="28"/>
          <w:szCs w:val="32"/>
          <w:rtl/>
        </w:rPr>
        <w:lastRenderedPageBreak/>
        <w:t>المادة للشيء لا عن ملكيته ولا عن حيازته القانونية ، مع الاعتراف في الوقت نفسه بخطورة التخلية مما يجعلها في حكم أعمال التصرف</w:t>
      </w:r>
      <w:r>
        <w:rPr>
          <w:rFonts w:cs="Traditional Arabic" w:hint="cs"/>
          <w:sz w:val="28"/>
          <w:szCs w:val="32"/>
          <w:vertAlign w:val="superscript"/>
          <w:rtl/>
        </w:rPr>
        <w:t xml:space="preserve">( </w:t>
      </w:r>
      <w:r w:rsidRPr="00EC737F">
        <w:rPr>
          <w:rStyle w:val="ab"/>
          <w:rFonts w:cs="Traditional Arabic"/>
          <w:sz w:val="28"/>
          <w:szCs w:val="32"/>
          <w:rtl/>
        </w:rPr>
        <w:footnoteReference w:id="118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يكن المدين الشريك في الدين متضامناً ، ودفع حصته في الدين ، لم يعد مديناً وحازت له تخلية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88"/>
      </w:r>
      <w:r>
        <w:rPr>
          <w:rFonts w:cs="Traditional Arabic" w:hint="cs"/>
          <w:sz w:val="28"/>
          <w:szCs w:val="32"/>
          <w:vertAlign w:val="superscript"/>
          <w:rtl/>
        </w:rPr>
        <w:t xml:space="preserve"> )</w:t>
      </w:r>
      <w:r>
        <w:rPr>
          <w:rFonts w:cs="Traditional Arabic" w:hint="cs"/>
          <w:sz w:val="28"/>
          <w:szCs w:val="32"/>
          <w:rtl/>
        </w:rPr>
        <w:t xml:space="preserve"> . وليس للحائز طلب التخلية إذا تعهد للدائنين المقيدين ، سواء في عقد تملكه أو في اتفاق لاحق ، بأن يدفع لهم الثمن ، لأن هذا التعهد يجعله ملزماً شخصياً ويترتب عليه حرمانه من حق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189"/>
      </w:r>
      <w:r>
        <w:rPr>
          <w:rFonts w:cs="Traditional Arabic" w:hint="cs"/>
          <w:sz w:val="28"/>
          <w:szCs w:val="32"/>
          <w:vertAlign w:val="superscript"/>
          <w:rtl/>
        </w:rPr>
        <w:t xml:space="preserve"> )</w:t>
      </w:r>
      <w:r>
        <w:rPr>
          <w:rFonts w:cs="Traditional Arabic" w:hint="cs"/>
          <w:sz w:val="28"/>
          <w:szCs w:val="32"/>
          <w:rtl/>
        </w:rPr>
        <w:t xml:space="preserve"> . أما إذا كان الحائز قد تعهد للبائع ، فإن هذا التعهد يعتبر اشتراطاً لمصلحة الغير ، ويجوز للدائنين أن يقبلوا الشرط فيرجعوا على المشتري بالثمن ولا تجوز التخلية ، أو يرفضوه ويلجأوا إلى دعوى الرهن فيكون للحائز طلب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1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وليس لبعض الحائزين حق التخلية ، فليس لمن يرسو عليه المزاد $577 للحاصل بالمحكمة التخلي علن العقار ، بل يجبر على أن يدفع لأصحاب الديون المقيدة الثمن الذي رسا به المزاد عليه ، وليس عليه دفع شيء زيادة على ذلك</w:t>
      </w:r>
      <w:r>
        <w:rPr>
          <w:rFonts w:cs="Traditional Arabic" w:hint="cs"/>
          <w:sz w:val="28"/>
          <w:szCs w:val="32"/>
          <w:vertAlign w:val="superscript"/>
          <w:rtl/>
        </w:rPr>
        <w:t xml:space="preserve">( </w:t>
      </w:r>
      <w:r w:rsidRPr="00EC737F">
        <w:rPr>
          <w:rStyle w:val="ab"/>
          <w:rFonts w:cs="Traditional Arabic"/>
          <w:sz w:val="28"/>
          <w:szCs w:val="32"/>
          <w:rtl/>
        </w:rPr>
        <w:footnoteReference w:id="1191"/>
      </w:r>
      <w:r>
        <w:rPr>
          <w:rFonts w:cs="Traditional Arabic" w:hint="cs"/>
          <w:sz w:val="28"/>
          <w:szCs w:val="32"/>
          <w:vertAlign w:val="superscript"/>
          <w:rtl/>
        </w:rPr>
        <w:t xml:space="preserve"> )</w:t>
      </w:r>
      <w:r>
        <w:rPr>
          <w:rFonts w:cs="Traditional Arabic" w:hint="cs"/>
          <w:sz w:val="28"/>
          <w:szCs w:val="32"/>
          <w:rtl/>
        </w:rPr>
        <w:t xml:space="preserve"> . كذلك لا يكون للحائز الحق في التخلية إذا كان لم يدفع الثمن وكان </w:t>
      </w:r>
      <w:r>
        <w:rPr>
          <w:rFonts w:cs="Traditional Arabic" w:hint="cs"/>
          <w:sz w:val="28"/>
          <w:szCs w:val="32"/>
          <w:rtl/>
        </w:rPr>
        <w:lastRenderedPageBreak/>
        <w:t>يكفي لقضاء الديون المقيدة ، أو كان الباقي من الثمن يكفي لقائها ، وللبائع أن يعترض على التخلية ، حتى لو كان الدائنون قد بدأوا الإجراءات</w:t>
      </w:r>
      <w:r>
        <w:rPr>
          <w:rFonts w:cs="Traditional Arabic" w:hint="cs"/>
          <w:sz w:val="28"/>
          <w:szCs w:val="32"/>
          <w:vertAlign w:val="superscript"/>
          <w:rtl/>
        </w:rPr>
        <w:t xml:space="preserve">( </w:t>
      </w:r>
      <w:r w:rsidRPr="00EC737F">
        <w:rPr>
          <w:rStyle w:val="ab"/>
          <w:rFonts w:cs="Traditional Arabic"/>
          <w:sz w:val="28"/>
          <w:szCs w:val="32"/>
          <w:rtl/>
        </w:rPr>
        <w:footnoteReference w:id="1192"/>
      </w:r>
      <w:r>
        <w:rPr>
          <w:rFonts w:cs="Traditional Arabic" w:hint="cs"/>
          <w:sz w:val="28"/>
          <w:szCs w:val="32"/>
          <w:vertAlign w:val="superscript"/>
          <w:rtl/>
        </w:rPr>
        <w:t xml:space="preserve"> )</w:t>
      </w:r>
      <w:r>
        <w:rPr>
          <w:rFonts w:cs="Traditional Arabic" w:hint="cs"/>
          <w:sz w:val="28"/>
          <w:szCs w:val="32"/>
          <w:rtl/>
        </w:rPr>
        <w:t xml:space="preserve"> .  وإذا كانت الديون المقيدة أكثر من الثمن ، ولكن اكتفى جميع أرباب الديون بالثمن وقبلوا محو القيود مقابل دفع هذا الثمن ، فلا يجوز للحائز طلب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193"/>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والكفيل العيني يستطيع أيضاً أن يتخلى عن العقار ، وقد سوى المشرع بينه وبين الحائز فيما يتعلق بالتخلية ، فنصت المادة 1051/2 مدني على ما يأتي : "وإذا كان الراهن شخصاً آخر غير المدين ، جاز له أن يتفادى أي إجراء موجه إليه إذا هو تخلى عن العقار المرهون وفقاً للأوضاع وطبقاً للأحكام التي يتبعها الحائز في تخلية العقار"</w:t>
      </w:r>
      <w:r>
        <w:rPr>
          <w:rFonts w:cs="Traditional Arabic" w:hint="cs"/>
          <w:sz w:val="28"/>
          <w:szCs w:val="32"/>
          <w:vertAlign w:val="superscript"/>
          <w:rtl/>
        </w:rPr>
        <w:t xml:space="preserve">( </w:t>
      </w:r>
      <w:r w:rsidRPr="00EC737F">
        <w:rPr>
          <w:rStyle w:val="ab"/>
          <w:rFonts w:cs="Traditional Arabic"/>
          <w:sz w:val="28"/>
          <w:szCs w:val="32"/>
          <w:rtl/>
        </w:rPr>
        <w:footnoteReference w:id="119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من له حق التخلية ، من حائز أو كفيل عيني ، إنما يتخلى $578 عن العقار المرهون ، لا في ملكيته ، ولا في حيازته القانونية ، وإنما يتخلى عن الحيازة المادية للعقار المرهون ، وذلك للحارس أو أمين العقار ، حتى تتخذ الإجراءات في مواجهة هذا الحارس أو الأمين ، بدلا من اتخاذها في مواجهة الحائز أو الكفيل العيني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306- ميعاد التخلية :</w:t>
      </w:r>
      <w:r>
        <w:rPr>
          <w:rFonts w:cs="Traditional Arabic" w:hint="cs"/>
          <w:sz w:val="28"/>
          <w:szCs w:val="32"/>
          <w:rtl/>
        </w:rPr>
        <w:t xml:space="preserve"> يكون للحائز طلب التخلية من وقت إنذار الدائنين إياه بالفدع أو التخلية ، وذلك لأن قضاء الديون يجوز لكل شخص بمجرد حلول أجل الدين ، ولأن التطهير ورد في شأنه </w:t>
      </w:r>
      <w:r>
        <w:rPr>
          <w:rFonts w:cs="Traditional Arabic" w:hint="cs"/>
          <w:sz w:val="28"/>
          <w:szCs w:val="32"/>
          <w:rtl/>
        </w:rPr>
        <w:lastRenderedPageBreak/>
        <w:t>المادة 1064/2 تجيز الالتجاء إليه حتى قبل أن يوجه الدائنون المرتهنون التنبه إلى المدين أو لإنذار إلى الحائز ، ولم يرد بشأن التخلية نص مماثل ، فوجب أن تبدأ من وقت إنذار الدائنين للحائز بالدفع أو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1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ويبقى هذا الحق قائماً إلى تاريخ رسو مرسى المزاد ، إلا أنه لا يحدث عملا أن يتأخر الحائز إلى هذا الوقت ، لأن الإجراءات تكون قد اتخذت في مواجهته شخصياً وهو لا يريد ذلك</w:t>
      </w:r>
      <w:r>
        <w:rPr>
          <w:rFonts w:cs="Traditional Arabic" w:hint="cs"/>
          <w:sz w:val="28"/>
          <w:szCs w:val="32"/>
          <w:vertAlign w:val="superscript"/>
          <w:rtl/>
        </w:rPr>
        <w:t xml:space="preserve">( </w:t>
      </w:r>
      <w:r w:rsidRPr="00EC737F">
        <w:rPr>
          <w:rStyle w:val="ab"/>
          <w:rFonts w:cs="Traditional Arabic"/>
          <w:sz w:val="28"/>
          <w:szCs w:val="32"/>
          <w:rtl/>
        </w:rPr>
        <w:footnoteReference w:id="1196"/>
      </w:r>
      <w:r>
        <w:rPr>
          <w:rFonts w:cs="Traditional Arabic" w:hint="cs"/>
          <w:sz w:val="28"/>
          <w:szCs w:val="32"/>
          <w:vertAlign w:val="superscript"/>
          <w:rtl/>
        </w:rPr>
        <w:t xml:space="preserve"> )</w:t>
      </w:r>
      <w:r>
        <w:rPr>
          <w:rFonts w:cs="Traditional Arabic" w:hint="cs"/>
          <w:sz w:val="28"/>
          <w:szCs w:val="32"/>
          <w:rtl/>
        </w:rPr>
        <w:t xml:space="preserve"> . وقد كان التقنين المدني المختلط ينص صراحة على جواز ذلك ، إذ جاء في المادة 699 مدني مختلط أن "يبقى كل من الحق في عرض المبلغ الكافي لوفاء الدين وألحق في تخلية العقار لحين بيع العقار في المزاد بعد حجزه"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307- إجراءات التخلية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نصت المادة 1071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تكون تخلية العقار المرهون بتقرير يقدمه الحائز إلى قلم كتاب المحكمة الابتدائية المختصة ويجب عليه أن يطلب التأشير بذلك في هامش $579 تسجيل التنبيه بنزع الملكية ، وبأن يعلن الدائن المباشر للإجراءات بهذه التخلية في خلال خمسة أيام من وقت التقرير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ويجوز لمن له مصلحة في التعجيل أن يطلب إلى قاضي الأمور المستعجلة تعيين حارس تتخذ في مواجهته إجراءات نزع الملكية ، ويعين الحائز حارساً إذا طلب ذلك"</w:t>
      </w:r>
      <w:r>
        <w:rPr>
          <w:rFonts w:cs="Traditional Arabic" w:hint="cs"/>
          <w:sz w:val="28"/>
          <w:szCs w:val="32"/>
          <w:vertAlign w:val="superscript"/>
          <w:rtl/>
        </w:rPr>
        <w:t xml:space="preserve">( </w:t>
      </w:r>
      <w:r w:rsidRPr="00EC737F">
        <w:rPr>
          <w:rStyle w:val="ab"/>
          <w:rFonts w:cs="Traditional Arabic"/>
          <w:sz w:val="28"/>
          <w:szCs w:val="32"/>
          <w:rtl/>
        </w:rPr>
        <w:footnoteReference w:id="11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المذكرة الإيضاحية للمشروع التمهيدي ما يأتي : "1- إذا لم يدفع الحائز الدين ولم يلجأ إلى التطهير ، بقي أمامه أن يخلي العقار ، حتى يكف نفسه المؤونة في مواجهة إجراءات التنفيذ ، وحتى يتقي الظهور في هذه الإجراءات شخصا تنزع ملكيته بما ينطوي على ذلك من مساس بسمعته . وتكون التخلية بتقرير يقدمه أمام قلم كتاب محكمة العقار ، ويؤشر به في هامش تسجيل تنبيه نزع الملكية . ويعلن الدائن المباشر للإجراءات بالتخلية في مدى خمسة أيام من وقت التقرير بها ، وهذا إجراء ضروري لم يرد ذكره في التقنين الحالي ( السابق ) . 2- فإذا خلى الحائز العقار ، لم يعد من الممكن الاستمرار في اتخاذ إجراءات التنفيذ في مواجهته ، ولو أنه يبقى مالكا للعقار . ويجوز لكل ذي مصلحة ، كالدائن أو الراهن أو الحائز نفسه ، أن يطلب إلى قاضي الأمور المستعجلة تعيين حارس تتخذ الإجراءات في مواجهته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$580 ويجب تعيين الحائز حارساً ، لا باعتباره حائزاً فيتعرض المساس بالسمعة وإن كان لا يتفادى مواجهة إجراءات التنفيذ"</w:t>
      </w:r>
      <w:r>
        <w:rPr>
          <w:rFonts w:cs="Traditional Arabic" w:hint="cs"/>
          <w:sz w:val="28"/>
          <w:szCs w:val="32"/>
          <w:vertAlign w:val="superscript"/>
          <w:rtl/>
        </w:rPr>
        <w:t xml:space="preserve">( </w:t>
      </w:r>
      <w:r w:rsidRPr="00EC737F">
        <w:rPr>
          <w:rStyle w:val="ab"/>
          <w:rFonts w:cs="Traditional Arabic"/>
          <w:sz w:val="28"/>
          <w:szCs w:val="32"/>
          <w:rtl/>
        </w:rPr>
        <w:footnoteReference w:id="11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فتخلية العقار المرهون تكون بتقرير يقدمه الحائز إلى قلم كتاب محكمة العقار ، ويؤشر بهذا التقرير في هامش تسجيل التنبيه بنزع الملكية ، ويعلن الدائن المباشر للإجراءات بهذه التخلية في خلال خمسة أيام من يوم التقرير بها . ولم يكن التقنين المدين السابق يذكر وجوب إعلان التقرير إلى الدائن المباشر للإجراءات ، مع أن هذا إجراء لازم ليعلم هذا الدائن بالتخلية فيطلب تعيين حارس تتخذ في مواجهه الإجراءات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ويعلن التقرير أيضاً إلى المدين ، وينبه عليه كما ينبه على الدائن المباشر للإجراءات ، بالحضور للمحكمة لسماع الحكم بالتخلية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199"/>
      </w:r>
      <w:r>
        <w:rPr>
          <w:rFonts w:cs="Traditional Arabic" w:hint="cs"/>
          <w:sz w:val="28"/>
          <w:szCs w:val="32"/>
          <w:vertAlign w:val="superscript"/>
          <w:rtl/>
        </w:rPr>
        <w:t xml:space="preserve"> )</w:t>
      </w:r>
      <w:r>
        <w:rPr>
          <w:rFonts w:cs="Traditional Arabic" w:hint="cs"/>
          <w:sz w:val="28"/>
          <w:szCs w:val="32"/>
          <w:rtl/>
        </w:rPr>
        <w:t xml:space="preserve"> ، ويجوز عندئذ الاعتراض على التخلية إن كان محل . وإذا قبل كل </w:t>
      </w:r>
      <w:r>
        <w:rPr>
          <w:rFonts w:cs="Traditional Arabic" w:hint="cs"/>
          <w:sz w:val="28"/>
          <w:szCs w:val="32"/>
          <w:rtl/>
        </w:rPr>
        <w:lastRenderedPageBreak/>
        <w:t>من المدين والدائن التخلية ، فإن التنبيه عليهما بالحضور للمحكمة يكون غير لازم</w:t>
      </w:r>
      <w:r>
        <w:rPr>
          <w:rFonts w:cs="Traditional Arabic" w:hint="cs"/>
          <w:sz w:val="28"/>
          <w:szCs w:val="32"/>
          <w:vertAlign w:val="superscript"/>
          <w:rtl/>
        </w:rPr>
        <w:t xml:space="preserve">( </w:t>
      </w:r>
      <w:r w:rsidRPr="00EC737F">
        <w:rPr>
          <w:rStyle w:val="ab"/>
          <w:rFonts w:cs="Traditional Arabic"/>
          <w:sz w:val="28"/>
          <w:szCs w:val="32"/>
          <w:rtl/>
        </w:rPr>
        <w:footnoteReference w:id="12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وعند ذلك تتوقف الإجراءات ، إلى أن يطلب كل ذي مصلحة ، من دائن أو راهن أو الحائز نفسه ، تعيين الحارس . ويقدم طلب تعيين الحارس إلى قاضي الأمور المستعجلة ، فيعين حارساً أو أميناً للعقار تتخذ في مواجهته إجراءات نزع الملكية . ود يطلب الحائز تعيينه حارساً ، فيجب على قاضي الأمور المستعجلة تعيينه . على أن طلب الحائز تعيينه حارساً أمر نادر ، لأنه لو أراد أن تكون الإجراءات في مواجهته لما تخلى عن العقار . على أن الحائز قد يطلب تعيينه حارساً ، فيعين لا باعتباره حائزاً ، وبذلك يتوفى المساس بسمعته المالية ، وإن كان لا يتفاد مواجهة إجراءات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$581 وإذا لم يراع إجراء من هذه الإجراءات ، كانت التخلية باطلة ، وللدائن المباشر للإجراءات أن يستمر فيها في مواجهة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308- الرجوع عن التخلية بعد تقريرها</w:t>
      </w:r>
      <w:r>
        <w:rPr>
          <w:rFonts w:cs="Traditional Arabic" w:hint="cs"/>
          <w:sz w:val="28"/>
          <w:szCs w:val="32"/>
          <w:rtl/>
        </w:rPr>
        <w:t xml:space="preserve"> : ويجوز للحائز الذي قرر تخلية عن العقار المرهون أن يرجع في ذلك ، فإن له حتى وقت رسو المزاد أن يدفع الديون لأرباب الديون المقيدة ، وإذا فعل فإنه يخلص عقاره ( م 1061 مدني )</w:t>
      </w:r>
      <w:r w:rsidRPr="0018734E">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0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أن الحائز يعمد إلى دفع الديون للدائنين المقيدين أن التخلية لا تنتج آثارها ، إذ يدفع الديون لاتخاذ إجراءات نزع المكية . ولكن يجب ، لتخليص العقار ، أن يقوم الحائز بدفع الديون كلها بفوائدها ومصروفاتها حتى يتخلص العقار من قيود هذه الديون</w:t>
      </w:r>
      <w:r>
        <w:rPr>
          <w:rFonts w:cs="Traditional Arabic" w:hint="cs"/>
          <w:sz w:val="28"/>
          <w:szCs w:val="32"/>
          <w:vertAlign w:val="superscript"/>
          <w:rtl/>
        </w:rPr>
        <w:t xml:space="preserve">( </w:t>
      </w:r>
      <w:r w:rsidRPr="00EC737F">
        <w:rPr>
          <w:rStyle w:val="ab"/>
          <w:rFonts w:cs="Traditional Arabic"/>
          <w:sz w:val="28"/>
          <w:szCs w:val="32"/>
          <w:rtl/>
        </w:rPr>
        <w:footnoteReference w:id="12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309- ما يترتب على التخلية : </w:t>
      </w:r>
      <w:r>
        <w:rPr>
          <w:rFonts w:cs="Traditional Arabic" w:hint="cs"/>
          <w:sz w:val="28"/>
          <w:szCs w:val="32"/>
          <w:rtl/>
        </w:rPr>
        <w:t xml:space="preserve">لا يتخلى الحائز عن ملكية العقار ، ولا عن حيازته القانونية ، </w:t>
      </w:r>
      <w:r>
        <w:rPr>
          <w:rFonts w:cs="Traditional Arabic" w:hint="cs"/>
          <w:sz w:val="28"/>
          <w:szCs w:val="32"/>
          <w:rtl/>
        </w:rPr>
        <w:lastRenderedPageBreak/>
        <w:t>ولكن عن حيازته المادية فحسب</w:t>
      </w:r>
      <w:r>
        <w:rPr>
          <w:rFonts w:cs="Traditional Arabic" w:hint="cs"/>
          <w:sz w:val="28"/>
          <w:szCs w:val="32"/>
          <w:vertAlign w:val="superscript"/>
          <w:rtl/>
        </w:rPr>
        <w:t xml:space="preserve">( </w:t>
      </w:r>
      <w:r w:rsidRPr="00EC737F">
        <w:rPr>
          <w:rStyle w:val="ab"/>
          <w:rFonts w:cs="Traditional Arabic"/>
          <w:sz w:val="28"/>
          <w:szCs w:val="32"/>
          <w:rtl/>
        </w:rPr>
        <w:footnoteReference w:id="12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فيظل الحائز مالكاً ، ويجوز له أن يتصرف في العقار إلى وقت تسجيل تنبيه نزع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1204"/>
      </w:r>
      <w:r>
        <w:rPr>
          <w:rFonts w:cs="Traditional Arabic" w:hint="cs"/>
          <w:sz w:val="28"/>
          <w:szCs w:val="32"/>
          <w:vertAlign w:val="superscript"/>
          <w:rtl/>
        </w:rPr>
        <w:t xml:space="preserve"> )</w:t>
      </w:r>
      <w:r>
        <w:rPr>
          <w:rFonts w:cs="Traditional Arabic" w:hint="cs"/>
          <w:sz w:val="28"/>
          <w:szCs w:val="32"/>
          <w:rtl/>
        </w:rPr>
        <w:t xml:space="preserve"> . ويظل حائزاً ،ولذلك تستمر مدة التقادم التي بدأت لمصلحته في كسب حق ما</w:t>
      </w:r>
      <w:r>
        <w:rPr>
          <w:rFonts w:cs="Traditional Arabic" w:hint="cs"/>
          <w:sz w:val="28"/>
          <w:szCs w:val="32"/>
          <w:vertAlign w:val="superscript"/>
          <w:rtl/>
        </w:rPr>
        <w:t xml:space="preserve">( </w:t>
      </w:r>
      <w:r w:rsidRPr="00EC737F">
        <w:rPr>
          <w:rStyle w:val="ab"/>
          <w:rFonts w:cs="Traditional Arabic"/>
          <w:sz w:val="28"/>
          <w:szCs w:val="32"/>
          <w:rtl/>
        </w:rPr>
        <w:footnoteReference w:id="1205"/>
      </w:r>
      <w:r>
        <w:rPr>
          <w:rFonts w:cs="Traditional Arabic" w:hint="cs"/>
          <w:sz w:val="28"/>
          <w:szCs w:val="32"/>
          <w:vertAlign w:val="superscript"/>
          <w:rtl/>
        </w:rPr>
        <w:t xml:space="preserve"> )</w:t>
      </w:r>
      <w:r>
        <w:rPr>
          <w:rFonts w:cs="Traditional Arabic" w:hint="cs"/>
          <w:sz w:val="28"/>
          <w:szCs w:val="32"/>
          <w:rtl/>
        </w:rPr>
        <w:t xml:space="preserve"> . ولما كانت التخلية لا يترتب عليها نقل حق على العقار ، فإنه لا يجب في شأنها التسجيل</w:t>
      </w:r>
      <w:r>
        <w:rPr>
          <w:rFonts w:cs="Traditional Arabic" w:hint="cs"/>
          <w:sz w:val="28"/>
          <w:szCs w:val="32"/>
          <w:vertAlign w:val="superscript"/>
          <w:rtl/>
        </w:rPr>
        <w:t xml:space="preserve">( </w:t>
      </w:r>
      <w:r w:rsidRPr="00EC737F">
        <w:rPr>
          <w:rStyle w:val="ab"/>
          <w:rFonts w:cs="Traditional Arabic"/>
          <w:sz w:val="28"/>
          <w:szCs w:val="32"/>
          <w:rtl/>
        </w:rPr>
        <w:footnoteReference w:id="120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$582 وبمجرد التخلية تتوقف الإجراءات في مواجهة الحائز ، ولصاحب المصلحة أن يطلب إلى قاضي الأمور المستعجلة تعيين حارس تتخذ في مواجهته إجراءات بيع العقار في المزاد ، واجراءات بيع العقار في المزاد لا تختلف ، سواء اتخذت في مواجهة  الحارس أو اتجهت في مواجهة الحائز نفسه . ولذلك يرى بعض الفقهاء أن نظام التخلية لا يحقق نفعاً كبيراً</w:t>
      </w:r>
      <w:r>
        <w:rPr>
          <w:rFonts w:cs="Traditional Arabic" w:hint="cs"/>
          <w:sz w:val="28"/>
          <w:szCs w:val="32"/>
          <w:vertAlign w:val="superscript"/>
          <w:rtl/>
        </w:rPr>
        <w:t xml:space="preserve">( </w:t>
      </w:r>
      <w:r w:rsidRPr="00EC737F">
        <w:rPr>
          <w:rStyle w:val="ab"/>
          <w:rFonts w:cs="Traditional Arabic"/>
          <w:sz w:val="28"/>
          <w:szCs w:val="32"/>
          <w:rtl/>
        </w:rPr>
        <w:footnoteReference w:id="1207"/>
      </w:r>
      <w:r>
        <w:rPr>
          <w:rFonts w:cs="Traditional Arabic" w:hint="cs"/>
          <w:sz w:val="28"/>
          <w:szCs w:val="32"/>
          <w:vertAlign w:val="superscript"/>
          <w:rtl/>
        </w:rPr>
        <w:t xml:space="preserve"> )</w:t>
      </w:r>
      <w:r>
        <w:rPr>
          <w:rFonts w:cs="Traditional Arabic" w:hint="cs"/>
          <w:sz w:val="28"/>
          <w:szCs w:val="32"/>
          <w:rtl/>
        </w:rPr>
        <w:t xml:space="preserve"> ، ولكن هذا النظام يحقق للحائز تجنب ظهور اسمه في إجراءات نزع ملكية العقار المرهون ، ويجنبه مشقة إدارة العقار المرهون ، ويحقق للدائن المرتهن اعتراف الحائز بحقه ، ونزوله عن كل دفع يستطيع توجيهه إلى الدائن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310- آثار التخلية</w:t>
      </w:r>
      <w:r>
        <w:rPr>
          <w:rFonts w:cs="Traditional Arabic" w:hint="cs"/>
          <w:sz w:val="28"/>
          <w:szCs w:val="32"/>
          <w:rtl/>
        </w:rPr>
        <w:t xml:space="preserve"> : ومن آثار التخلية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إذا انقضى الرهن لأي سبب من الأسباب ، فإن للحائز أن يسترجع العقار</w:t>
      </w:r>
      <w:r>
        <w:rPr>
          <w:rFonts w:cs="Traditional Arabic" w:hint="cs"/>
          <w:sz w:val="28"/>
          <w:szCs w:val="32"/>
          <w:vertAlign w:val="superscript"/>
          <w:rtl/>
        </w:rPr>
        <w:t xml:space="preserve">( </w:t>
      </w:r>
      <w:r w:rsidRPr="00EC737F">
        <w:rPr>
          <w:rStyle w:val="ab"/>
          <w:rFonts w:cs="Traditional Arabic"/>
          <w:sz w:val="28"/>
          <w:szCs w:val="32"/>
          <w:rtl/>
        </w:rPr>
        <w:footnoteReference w:id="12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( 2 ) الرهون التي يقررها الحائز على العقار المخلي بعد التخلية تكون صحيحة ، ويدخل الدائنون </w:t>
      </w:r>
      <w:r>
        <w:rPr>
          <w:rFonts w:cs="Traditional Arabic" w:hint="cs"/>
          <w:sz w:val="28"/>
          <w:szCs w:val="32"/>
          <w:rtl/>
        </w:rPr>
        <w:lastRenderedPageBreak/>
        <w:t>المرتهنون بعد التخلية في الثمن الراسي به المزاد بحسب درجة رهونهم</w:t>
      </w:r>
      <w:r>
        <w:rPr>
          <w:rFonts w:cs="Traditional Arabic" w:hint="cs"/>
          <w:sz w:val="28"/>
          <w:szCs w:val="32"/>
          <w:vertAlign w:val="superscript"/>
          <w:rtl/>
        </w:rPr>
        <w:t xml:space="preserve">( </w:t>
      </w:r>
      <w:r w:rsidRPr="00EC737F">
        <w:rPr>
          <w:rStyle w:val="ab"/>
          <w:rFonts w:cs="Traditional Arabic"/>
          <w:sz w:val="28"/>
          <w:szCs w:val="32"/>
          <w:rtl/>
        </w:rPr>
        <w:footnoteReference w:id="12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إذا هلك العقار بحادث جبري قبل رسو المزاد ، فإن الهلاك يكون على الحائز ، ولا يبرأ من الثمن الذي يكون في ذمته</w:t>
      </w:r>
      <w:r>
        <w:rPr>
          <w:rFonts w:cs="Traditional Arabic" w:hint="cs"/>
          <w:sz w:val="28"/>
          <w:szCs w:val="32"/>
          <w:vertAlign w:val="superscript"/>
          <w:rtl/>
        </w:rPr>
        <w:t xml:space="preserve">( </w:t>
      </w:r>
      <w:r w:rsidRPr="00EC737F">
        <w:rPr>
          <w:rStyle w:val="ab"/>
          <w:rFonts w:cs="Traditional Arabic"/>
          <w:sz w:val="28"/>
          <w:szCs w:val="32"/>
          <w:rtl/>
        </w:rPr>
        <w:footnoteReference w:id="121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( 4 ) إذا رسا المزاد بثمن أعلى من الدين المضمون ، فإن الزائد يكون من حق الحائز</w:t>
      </w:r>
      <w:r>
        <w:rPr>
          <w:rFonts w:cs="Traditional Arabic" w:hint="cs"/>
          <w:sz w:val="28"/>
          <w:szCs w:val="32"/>
          <w:vertAlign w:val="superscript"/>
          <w:rtl/>
        </w:rPr>
        <w:t xml:space="preserve">( </w:t>
      </w:r>
      <w:r w:rsidRPr="00EC737F">
        <w:rPr>
          <w:rStyle w:val="ab"/>
          <w:rFonts w:cs="Traditional Arabic"/>
          <w:sz w:val="28"/>
          <w:szCs w:val="32"/>
          <w:rtl/>
        </w:rPr>
        <w:footnoteReference w:id="12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$583 ( 5 ) يكون للحائز ، حتى  رسو المزاد ، أن يسترجع العقار بقضاء الدين المضمون بالرهن ومصروفات الإجراءات</w:t>
      </w:r>
      <w:r>
        <w:rPr>
          <w:rFonts w:cs="Traditional Arabic" w:hint="cs"/>
          <w:sz w:val="28"/>
          <w:szCs w:val="32"/>
          <w:vertAlign w:val="superscript"/>
          <w:rtl/>
        </w:rPr>
        <w:t xml:space="preserve">( </w:t>
      </w:r>
      <w:r w:rsidRPr="00EC737F">
        <w:rPr>
          <w:rStyle w:val="ab"/>
          <w:rFonts w:cs="Traditional Arabic"/>
          <w:sz w:val="28"/>
          <w:szCs w:val="32"/>
          <w:rtl/>
        </w:rPr>
        <w:footnoteReference w:id="121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فالحائز للعقار الذي يتخلى عنه يكون في نفس المركز الذي يكون فيه الحائز للعقار الذي لا يتخلى عنه ويتحمل إجراءات نزع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12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311- بعد التخلية :</w:t>
      </w:r>
      <w:r>
        <w:rPr>
          <w:rFonts w:cs="Traditional Arabic" w:hint="cs"/>
          <w:sz w:val="28"/>
          <w:szCs w:val="32"/>
          <w:rtl/>
        </w:rPr>
        <w:t xml:space="preserve"> فإذا تمت التخلية وعين حارس للعقار ، اتخذت إجراءات بيع العقار المرهون في مواجهة الحارس ، لا في مواجهة الحائز . ولا تختلف الإجراءات عن تلك التي تكون موجهة إلى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للحائز أن يدخل في المزاد ، وأن يرسو المزاد عليه ، كما في حالة البيع نتيجة لاتخاذ إجراءات التطهير ، وكما في حالة نزع الملكية في مواجهة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رسا المزاد على غير الحائز ، انتقلت الملكية من الحائز إلى الراسي عليه المزاد ، وطبقت الأحكام </w:t>
      </w:r>
      <w:r>
        <w:rPr>
          <w:rFonts w:cs="Traditional Arabic" w:hint="cs"/>
          <w:sz w:val="28"/>
          <w:szCs w:val="32"/>
          <w:rtl/>
        </w:rPr>
        <w:lastRenderedPageBreak/>
        <w:t>التي تتعلق بنزع ملكية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رسا المزاد على الحائز ، تأيدت ملكيته ، وطبقت أحكام رسو المزاد على الحائز في حالة بيع العقار للحائز نتيجة لاتخاذ إجراءات التطهير</w:t>
      </w:r>
      <w:r>
        <w:rPr>
          <w:rFonts w:cs="Traditional Arabic" w:hint="cs"/>
          <w:sz w:val="28"/>
          <w:szCs w:val="32"/>
          <w:vertAlign w:val="superscript"/>
          <w:rtl/>
        </w:rPr>
        <w:t xml:space="preserve">( </w:t>
      </w:r>
      <w:r w:rsidRPr="00EC737F">
        <w:rPr>
          <w:rStyle w:val="ab"/>
          <w:rFonts w:cs="Traditional Arabic"/>
          <w:sz w:val="28"/>
          <w:szCs w:val="32"/>
          <w:rtl/>
        </w:rPr>
        <w:footnoteReference w:id="1214"/>
      </w:r>
      <w:r>
        <w:rPr>
          <w:rFonts w:cs="Traditional Arabic" w:hint="cs"/>
          <w:sz w:val="28"/>
          <w:szCs w:val="32"/>
          <w:vertAlign w:val="superscript"/>
          <w:rtl/>
        </w:rPr>
        <w:t xml:space="preserve"> )</w:t>
      </w:r>
      <w:r>
        <w:rPr>
          <w:rFonts w:cs="Traditional Arabic" w:hint="cs"/>
          <w:sz w:val="28"/>
          <w:szCs w:val="32"/>
          <w:rtl/>
        </w:rPr>
        <w:t xml:space="preserve"> .</w:t>
      </w:r>
    </w:p>
    <w:p w:rsidR="00F72742" w:rsidRPr="00E23E9F" w:rsidRDefault="00F72742" w:rsidP="00F72742">
      <w:pPr>
        <w:widowControl w:val="0"/>
        <w:spacing w:after="120"/>
        <w:jc w:val="center"/>
        <w:rPr>
          <w:rFonts w:cs="Traditional Arabic" w:hint="cs"/>
          <w:b/>
          <w:bCs/>
          <w:sz w:val="28"/>
          <w:szCs w:val="32"/>
          <w:rtl/>
        </w:rPr>
      </w:pPr>
      <w:r w:rsidRPr="00E23E9F">
        <w:rPr>
          <w:b/>
          <w:bCs/>
          <w:sz w:val="28"/>
          <w:szCs w:val="32"/>
          <w:rtl/>
        </w:rPr>
        <w:t>§</w:t>
      </w:r>
      <w:r w:rsidRPr="00E23E9F">
        <w:rPr>
          <w:rFonts w:cs="Traditional Arabic" w:hint="cs"/>
          <w:b/>
          <w:bCs/>
          <w:sz w:val="28"/>
          <w:szCs w:val="32"/>
          <w:rtl/>
        </w:rPr>
        <w:t xml:space="preserve"> 4- تحمل إجراءات نزع الملكية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312- نص قانوني</w:t>
      </w:r>
      <w:r>
        <w:rPr>
          <w:rFonts w:cs="Traditional Arabic" w:hint="cs"/>
          <w:sz w:val="28"/>
          <w:szCs w:val="32"/>
          <w:rtl/>
        </w:rPr>
        <w:t xml:space="preserve"> : نصت المادة 1072 مدني على ما يأتي :</w:t>
      </w:r>
    </w:p>
    <w:p w:rsidR="00F72742" w:rsidRPr="00E23E9F"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$584 وإذا لم يختر الحائز أن يقضي الديون المقيدة أو يطهر العقار من الرهن أو يتخلى عن العقار ، فلا يجوز للدائن المرتهن أن يتخذ في مواجهته إجراءات نزع الملكية وفقاً لأحكام قانون المرافعات إلا بعد إنذاره بدفع الدين المستحق أو تخلية العقار ، ويكون الإنذار بعد التنبيه على المدين بنزع الملكية أو مع هذا التنبيه في وقت واحد"</w:t>
      </w:r>
      <w:r>
        <w:rPr>
          <w:rFonts w:cs="Traditional Arabic" w:hint="cs"/>
          <w:sz w:val="28"/>
          <w:szCs w:val="32"/>
          <w:vertAlign w:val="superscript"/>
          <w:rtl/>
        </w:rPr>
        <w:t xml:space="preserve">( </w:t>
      </w:r>
      <w:r w:rsidRPr="00EC737F">
        <w:rPr>
          <w:rStyle w:val="ab"/>
          <w:rFonts w:cs="Traditional Arabic"/>
          <w:sz w:val="28"/>
          <w:szCs w:val="32"/>
          <w:rtl/>
        </w:rPr>
        <w:footnoteReference w:id="1215"/>
      </w:r>
      <w:r>
        <w:rPr>
          <w:rFonts w:cs="Traditional Arabic" w:hint="cs"/>
          <w:sz w:val="28"/>
          <w:szCs w:val="32"/>
          <w:vertAlign w:val="superscript"/>
          <w:rtl/>
        </w:rPr>
        <w:t xml:space="preserve"> )</w:t>
      </w:r>
      <w:r>
        <w:rPr>
          <w:rFonts w:cs="Traditional Arabic" w:hint="cs"/>
          <w:sz w:val="28"/>
          <w:szCs w:val="32"/>
          <w:rtl/>
        </w:rPr>
        <w:t xml:space="preserve"> .</w:t>
      </w:r>
    </w:p>
    <w:p w:rsidR="00F72742" w:rsidRPr="006A0AF8"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"إذا لم يختر الحائز دفع الديون المقيدة ولم يلجأ إلى التطهير أو التخلية ، اتخذت الإجراءات في مواجهته هو باعتباره حائزاً . ويجب لاتخاذ الإجراءات في مواجهته أن ينذر ، بعد التنبيه على المدين أو مع التنبيه ، ولا يجوز الإنذار قبل التنبيه ، وفي هذا تقنين للقضاء المصري في هذه المسألة . وعلة هذا الحكم أن </w:t>
      </w:r>
      <w:r>
        <w:rPr>
          <w:rFonts w:cs="Traditional Arabic" w:hint="cs"/>
          <w:sz w:val="28"/>
          <w:szCs w:val="32"/>
          <w:rtl/>
        </w:rPr>
        <w:lastRenderedPageBreak/>
        <w:t>المدين هو الذي يجب اتخاذ الإجراءات ضده أولا ، أما الحائز فهو تابع للمدين وتتخذ الإجراءات ضده بعد المدين أو معه"</w:t>
      </w:r>
      <w:r>
        <w:rPr>
          <w:rFonts w:cs="Traditional Arabic" w:hint="cs"/>
          <w:sz w:val="28"/>
          <w:szCs w:val="32"/>
          <w:vertAlign w:val="superscript"/>
          <w:rtl/>
        </w:rPr>
        <w:t xml:space="preserve">( </w:t>
      </w:r>
      <w:r w:rsidRPr="00EC737F">
        <w:rPr>
          <w:rStyle w:val="ab"/>
          <w:rFonts w:cs="Traditional Arabic"/>
          <w:sz w:val="28"/>
          <w:szCs w:val="32"/>
          <w:rtl/>
        </w:rPr>
        <w:footnoteReference w:id="12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ويرى من ذلك أنه إذا لم يؤد الحائز الديون ، ولم يطهر ولم يتخل ، فلا مناص من اتخاذ إجراءات بيع العقار في مواجهته . ويلزم لذلك التنبيه على المدين بنزع ملكية العقار ، وإنذار الحائز بدفع الدين أو تخلية العقار . $585 فلننظر في إيجاز كيف عالج تقنين المرافعات الجديد كلا من الأمرين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313- التنبيه على المدين بنزع ملكية العقار المرهون</w:t>
      </w:r>
      <w:r>
        <w:rPr>
          <w:rFonts w:cs="Traditional Arabic" w:hint="cs"/>
          <w:sz w:val="28"/>
          <w:szCs w:val="32"/>
          <w:rtl/>
        </w:rPr>
        <w:t xml:space="preserve"> : نصت المادة 401 من تقنين المرافعات الجديد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"يبدأ التنفيذ بإعلان التنبيه بنزع ملكية العقار إلى المدين ، لشخصه أو لموطنه ، مشتملا على البيانات الآتية :  . . . . فإذا كان التنفيذ على عقار مرهون من غير المدين ، أعلن التنبيه إلى الراهن بعد تكليف المدين بالوفاء وفقاً للمادة 281"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والحائز ، إذا لم يختر أداء الديون أو التطهير أو التخلية ، وجب التنفيذ في مواجهته هو ، ببيع العقار المرهون جبراً بالمزاد العلني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ويسبق ذلك أن يعلن الدائن المرتهن المدين الراهن بالتنبيه بنزع ملكية العقار المرهون ، ويشتمل التنبيه على بيانات معينة ذكرتها المادة 401 مرافعات ، ولا محل لذكرها هنا فهي من مباحث المرافعات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كان العقار المرهون مملوكاً لغير المدين ، أي مملوكاً لكفيل عيني ، أعلن التنبيه بنزع الملكية إلى الراهن أيضاً ، بعد تكليف المدين بالوفاء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أوجب المشرع التنبيه على المدين ، مع أن إجراءات البيع ستتخذ ضد الحائز ، لأن المدين هو المسئول الحقيقي عن الدين ، إذ أن الحائز إذا نزعت ملكيته للعقار المرهون سيكون له حق الرجوع على المدين ، فوجب توجيه المطالبة أولا إلى المدين حتى تتحقق مسئوليته عن عدم الوفاء</w:t>
      </w:r>
      <w:r>
        <w:rPr>
          <w:rFonts w:cs="Traditional Arabic" w:hint="cs"/>
          <w:sz w:val="28"/>
          <w:szCs w:val="32"/>
          <w:vertAlign w:val="superscript"/>
          <w:rtl/>
        </w:rPr>
        <w:t xml:space="preserve">( </w:t>
      </w:r>
      <w:r w:rsidRPr="00EC737F">
        <w:rPr>
          <w:rStyle w:val="ab"/>
          <w:rFonts w:cs="Traditional Arabic"/>
          <w:sz w:val="28"/>
          <w:szCs w:val="32"/>
          <w:rtl/>
        </w:rPr>
        <w:footnoteReference w:id="12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314- إنذار الحائزين بدفع الدين أو تخلية العقار</w:t>
      </w:r>
      <w:r>
        <w:rPr>
          <w:rFonts w:cs="Traditional Arabic" w:hint="cs"/>
          <w:sz w:val="28"/>
          <w:szCs w:val="32"/>
          <w:rtl/>
        </w:rPr>
        <w:t xml:space="preserve"> :</w:t>
      </w:r>
      <w:r w:rsidRPr="001166BB">
        <w:rPr>
          <w:rFonts w:cs="Traditional Arabic" w:hint="cs"/>
          <w:sz w:val="28"/>
          <w:szCs w:val="32"/>
          <w:rtl/>
        </w:rPr>
        <w:t xml:space="preserve"> وتنص المادة 411 من تقنين المراعفات الجديد على ما يأتي</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كان العقار مثقلا بتأمين عيني ، وآل إلى حائز بعقد سجل قبل $585 تسجيل التنبيه ، وجب إنذار بدفع الدين أو تخلية العقار ، وإلا جرى التنفيذ في مواجهته . ويجب أن يكون الإنذار مصحوباً بتبليغ التنبيه إليه ، وإلا كان باطلا . ويترتب على إعلان الإنذار في حق الحائز جميع الأحكام المنصوص عليها في المواد من 406 إلى 410"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412 مرافعات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"يجب أن يسجل الإنذار ، وأن يؤشر بتسجيله على هامش تسجيل التنبيه خلال خمسة عشر يوماً من تاريخ تسجيل التنبيه ، وإلا سقط تسجيل التنبيه"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413 مرافعات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تبين سبق تسجيل إنذار الحائز على العقار ذاته ، طبقت أحكام المادتين 403 و 403 ، وإذا سقط تسجيل التنبيه سقط تبعاً له تسجيل الإنذار"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يغني عن إنذار الحائز علمه باتخاذ إجراءات نزع المكية . وإذا توالى انتقال ملكية العقار المرهون من حائز إلى آخر ، كمان الإنذار للحائز الأخيرة</w:t>
      </w:r>
      <w:r>
        <w:rPr>
          <w:rFonts w:cs="Traditional Arabic" w:hint="cs"/>
          <w:sz w:val="28"/>
          <w:szCs w:val="32"/>
          <w:vertAlign w:val="superscript"/>
          <w:rtl/>
        </w:rPr>
        <w:t xml:space="preserve">( </w:t>
      </w:r>
      <w:r w:rsidRPr="00EC737F">
        <w:rPr>
          <w:rStyle w:val="ab"/>
          <w:rFonts w:cs="Traditional Arabic"/>
          <w:sz w:val="28"/>
          <w:szCs w:val="32"/>
          <w:rtl/>
        </w:rPr>
        <w:footnoteReference w:id="12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اشترط المشرع في إنذار الحائز شرطين : ( 1 ) أن يكون الإنذار تالياً للتنبيه أو حاصلا معه وقت واحد ( م 1072 مدني ) ، فلا يصح أن يكون الإنذار قبل التنبيه . ( 2 ) أن يكون الإنذار مصحوباً بتبليغ التنبيه إلى الحائز ( م 411 مرافعات ) . فإذا تخلف أحد هذين الشرطين ، وقع الإنذار </w:t>
      </w:r>
      <w:r>
        <w:rPr>
          <w:rFonts w:cs="Traditional Arabic" w:hint="cs"/>
          <w:sz w:val="28"/>
          <w:szCs w:val="32"/>
          <w:rtl/>
        </w:rPr>
        <w:lastRenderedPageBreak/>
        <w:t>باطلا ( م 411 مرافعات )</w:t>
      </w:r>
      <w:r w:rsidRPr="00474960">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1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sidRPr="00474960">
        <w:rPr>
          <w:rFonts w:cs="Traditional Arabic" w:hint="cs"/>
          <w:sz w:val="28"/>
          <w:szCs w:val="32"/>
          <w:rtl/>
        </w:rPr>
        <w:t>ويجب أن يتم الإنذار على يد محضر</w:t>
      </w:r>
      <w:r>
        <w:rPr>
          <w:rFonts w:cs="Traditional Arabic" w:hint="cs"/>
          <w:sz w:val="28"/>
          <w:szCs w:val="32"/>
          <w:rtl/>
        </w:rPr>
        <w:t xml:space="preserve"> ،</w:t>
      </w:r>
      <w:r w:rsidRPr="00474960">
        <w:rPr>
          <w:rFonts w:cs="Traditional Arabic" w:hint="cs"/>
          <w:sz w:val="28"/>
          <w:szCs w:val="32"/>
          <w:rtl/>
        </w:rPr>
        <w:t xml:space="preserve"> وأن يستوي </w:t>
      </w:r>
      <w:r>
        <w:rPr>
          <w:rFonts w:cs="Traditional Arabic" w:hint="cs"/>
          <w:sz w:val="28"/>
          <w:szCs w:val="32"/>
          <w:rtl/>
        </w:rPr>
        <w:t>البيانات المعتادة في أوراق المحضرين ، والبيانات اللازمة لإخبار الحائز بحقيقة مركزه وبما ينبغي له القيام به ، كبيان الدين المطلوب والعقار المراد نزع ملكيته وإعلان الحائز بوجوب الدفع أو تخليه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$587 ويترتب على عدم إنذار الحائز ، أو على بطلان الإنذار أن إجراءات البيع وحكم مرسى المزاد لا يجوز الاحتجاج بها على الحائز</w:t>
      </w:r>
      <w:r>
        <w:rPr>
          <w:rFonts w:cs="Traditional Arabic" w:hint="cs"/>
          <w:sz w:val="28"/>
          <w:szCs w:val="32"/>
          <w:vertAlign w:val="superscript"/>
          <w:rtl/>
        </w:rPr>
        <w:t xml:space="preserve">( </w:t>
      </w:r>
      <w:r w:rsidRPr="00EC737F">
        <w:rPr>
          <w:rStyle w:val="ab"/>
          <w:rFonts w:cs="Traditional Arabic"/>
          <w:sz w:val="28"/>
          <w:szCs w:val="32"/>
          <w:rtl/>
        </w:rPr>
        <w:footnoteReference w:id="1220"/>
      </w:r>
      <w:r>
        <w:rPr>
          <w:rFonts w:cs="Traditional Arabic" w:hint="cs"/>
          <w:sz w:val="28"/>
          <w:szCs w:val="32"/>
          <w:vertAlign w:val="superscript"/>
          <w:rtl/>
        </w:rPr>
        <w:t xml:space="preserve"> )</w:t>
      </w:r>
      <w:r>
        <w:rPr>
          <w:rFonts w:cs="Traditional Arabic" w:hint="cs"/>
          <w:sz w:val="28"/>
          <w:szCs w:val="32"/>
          <w:rtl/>
        </w:rPr>
        <w:t xml:space="preserve"> ، وأنه إذا رفعت يد الحائز عنوة جاز له أن يطلب إعادة يده على العقار . ويجب أن يحكم للحائز بذلك ، دون أن يثبت أنه كانت له مصلحة في توجيه الإنذار إليه لأن القانون افترض وجود هذه المصلحة دائماً</w:t>
      </w:r>
      <w:r>
        <w:rPr>
          <w:rFonts w:cs="Traditional Arabic" w:hint="cs"/>
          <w:sz w:val="28"/>
          <w:szCs w:val="32"/>
          <w:vertAlign w:val="superscript"/>
          <w:rtl/>
        </w:rPr>
        <w:t xml:space="preserve">( </w:t>
      </w:r>
      <w:r w:rsidRPr="00EC737F">
        <w:rPr>
          <w:rStyle w:val="ab"/>
          <w:rFonts w:cs="Traditional Arabic"/>
          <w:sz w:val="28"/>
          <w:szCs w:val="32"/>
          <w:rtl/>
        </w:rPr>
        <w:footnoteReference w:id="1221"/>
      </w:r>
      <w:r>
        <w:rPr>
          <w:rFonts w:cs="Traditional Arabic" w:hint="cs"/>
          <w:sz w:val="28"/>
          <w:szCs w:val="32"/>
          <w:vertAlign w:val="superscript"/>
          <w:rtl/>
        </w:rPr>
        <w:t xml:space="preserve"> )</w:t>
      </w:r>
      <w:r>
        <w:rPr>
          <w:rFonts w:cs="Traditional Arabic" w:hint="cs"/>
          <w:sz w:val="28"/>
          <w:szCs w:val="32"/>
          <w:rtl/>
        </w:rPr>
        <w:t xml:space="preserve"> . ولا يجوز لغير الحائز أن يتمسك بعدم الإنذار ، أو ببطلانه</w:t>
      </w:r>
      <w:r>
        <w:rPr>
          <w:rFonts w:cs="Traditional Arabic" w:hint="cs"/>
          <w:sz w:val="28"/>
          <w:szCs w:val="32"/>
          <w:vertAlign w:val="superscript"/>
          <w:rtl/>
        </w:rPr>
        <w:t xml:space="preserve">( </w:t>
      </w:r>
      <w:r w:rsidRPr="00EC737F">
        <w:rPr>
          <w:rStyle w:val="ab"/>
          <w:rFonts w:cs="Traditional Arabic"/>
          <w:sz w:val="28"/>
          <w:szCs w:val="32"/>
          <w:rtl/>
        </w:rPr>
        <w:footnoteReference w:id="1222"/>
      </w:r>
      <w:r>
        <w:rPr>
          <w:rFonts w:cs="Traditional Arabic" w:hint="cs"/>
          <w:sz w:val="28"/>
          <w:szCs w:val="32"/>
          <w:vertAlign w:val="superscript"/>
          <w:rtl/>
        </w:rPr>
        <w:t xml:space="preserve"> )</w:t>
      </w:r>
      <w:r>
        <w:rPr>
          <w:rFonts w:cs="Traditional Arabic" w:hint="cs"/>
          <w:sz w:val="28"/>
          <w:szCs w:val="32"/>
          <w:rtl/>
        </w:rPr>
        <w:t xml:space="preserve"> . وقد حكم بأن علم الحائز باتخاذ إجراءات نزع ملكية العقار الذي آل إليه لا يغني عن إنذاره ، لأن الإنذار إجراء أساسي أوجبه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122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315- اتخاذ إجراءات البيع ضد الحائز</w:t>
      </w:r>
      <w:r>
        <w:rPr>
          <w:rFonts w:cs="Traditional Arabic" w:hint="cs"/>
          <w:sz w:val="28"/>
          <w:szCs w:val="32"/>
          <w:rtl/>
        </w:rPr>
        <w:t xml:space="preserve"> : ويستمر الدائن المرتهن في اتخاذ إجراءات التنفيذ ضد </w:t>
      </w:r>
      <w:r>
        <w:rPr>
          <w:rFonts w:cs="Traditional Arabic" w:hint="cs"/>
          <w:sz w:val="28"/>
          <w:szCs w:val="32"/>
          <w:rtl/>
        </w:rPr>
        <w:lastRenderedPageBreak/>
        <w:t>الحائز ، إذا لم يلجأ هذا إلى قضاء الدين أو التطهير أو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224"/>
      </w:r>
      <w:r>
        <w:rPr>
          <w:rFonts w:cs="Traditional Arabic" w:hint="cs"/>
          <w:sz w:val="28"/>
          <w:szCs w:val="32"/>
          <w:vertAlign w:val="superscript"/>
          <w:rtl/>
        </w:rPr>
        <w:t xml:space="preserve"> )</w:t>
      </w:r>
      <w:r>
        <w:rPr>
          <w:rFonts w:cs="Traditional Arabic" w:hint="cs"/>
          <w:sz w:val="28"/>
          <w:szCs w:val="32"/>
          <w:rtl/>
        </w:rPr>
        <w:t xml:space="preserve"> . وهذه الإجراءات لا تختلف كثيراً عن الإجراءات عادة ضد المدين</w:t>
      </w:r>
      <w:r>
        <w:rPr>
          <w:rFonts w:cs="Traditional Arabic" w:hint="cs"/>
          <w:sz w:val="28"/>
          <w:szCs w:val="32"/>
          <w:vertAlign w:val="superscript"/>
          <w:rtl/>
        </w:rPr>
        <w:t xml:space="preserve">( </w:t>
      </w:r>
      <w:r w:rsidRPr="00EC737F">
        <w:rPr>
          <w:rStyle w:val="ab"/>
          <w:rFonts w:cs="Traditional Arabic"/>
          <w:sz w:val="28"/>
          <w:szCs w:val="32"/>
          <w:rtl/>
        </w:rPr>
        <w:footnoteReference w:id="122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616- ما يترتب على إنذار الحائز</w:t>
      </w:r>
      <w:r>
        <w:rPr>
          <w:rFonts w:cs="Traditional Arabic" w:hint="cs"/>
          <w:sz w:val="28"/>
          <w:szCs w:val="32"/>
          <w:rtl/>
        </w:rPr>
        <w:t xml:space="preserve"> : وقد نصت المادة 411 $588 مرافعات ، كما رأينا ، على أنه"يترتب على إعلان الإنذار في يحق الحائز جميع الأحكام المنصوص عليها في المواد م 406 إلى 401"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الأحكام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406 مرافعات : "تلحق بالعقار ثماره وإيراداته عن المدة التالية لتسجيل التنبيه ، وللمدين أن يبيع ثمار العقار الملحقة به متى كان ذلك من أعمال الإدارة الحسنة . ولكل دائن بيده سند تنفيذي أن يطلب بعريضة من قاضي التنفيذ أمراً بتكليف أحد المحضرين أو الدائنين أو غيرهم حصاد المحصولات وحتى الثمار وبيعها . وتباع الثمار والمحصولات في كلتا الحالتين بالمزاد أو بأية طريقة أخرى بإذن بها القاضي ، ويودع الثمن خزانة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407 مرافعات : "إذا لم يكن العقار مؤجراً ، اعتبر المدين حارساً إلى أن يتم البيع ، ما لم يحكم قاضي التنفيذ بعزله من الحراسة أو بتحديد سلطته ، وذلك بناء على طلب الدائن الحاجز أو أي دائن بيده سند تنفيذي . وللمدين الساكن في العقار أن يبقى ساكناً فيه بدون أجرة ، إلى أن يتم البيع . وإذا كان العقار مؤجراً ، اعتبرت الأجرة المستحقة عن المدة التالية لتسجيل التنبيه محجوزة تحت يد المستأجر ، وذلك بمجرد تكليفه من الحاجز أو أي دائن بيده سند تنفيذي بعدم دفعها للمدين . وإذا وفى المستأجر الأجرة قبل هذا التكليف ، صح وفاؤه ، وسئل عنها المدين بوصفه حارساً" .</w:t>
      </w:r>
    </w:p>
    <w:p w:rsidR="00F72742" w:rsidRPr="00927256"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م 408 مرافعات : "مع مراعاة أحكام القوانين الأخرى في شأن إيجار العقارات ، تنفذ عقود الإيجار الثابتة التاريخ قبل تسجيل التنبيه في حق الحاجزين والدائنين المشار إليهم في المادة 417 ومن حكم </w:t>
      </w:r>
      <w:r>
        <w:rPr>
          <w:rFonts w:cs="Traditional Arabic" w:hint="cs"/>
          <w:sz w:val="28"/>
          <w:szCs w:val="32"/>
          <w:rtl/>
        </w:rPr>
        <w:lastRenderedPageBreak/>
        <w:t>بإيقاع البيع عليه ، وذلك بغير  إخلال بأحكام القانون المتعلقة بعقود الإيجار الواجبة الشهر . أما عقود الإيجار غير ثابتة التاريخ قبل تسجيل التنبيه ، فلا تنفذ  في حق من ذكروا إلا إذا كانت من أعمال الإدارة الحسنة"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$589 م 409 مرافعات : "المخلصات عن الأجرة المعجلة والحوالة بها يحتج بها على الحاجزين والدائنين المشار إليهم في المادة 417 ومن حكم بإيقاع البيع عليه ، متى كانت ثابتة التاريخ قبل تسجيل التنبيه ، وذلك بغير إخلال بأحكام القانون المتعلقة بالمخالصات  واجبة الشهر ، فإذا لم تكن ثابتة التاريخ قبل تسجيل التنبيه فلا يحتج بها إلا لمدة 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410 مرافعات : "تطبق العقوبات المنصوص عليها في المواد 341 أوبري ورو 3 فقرة 342 و 361 من قانون العقوبات على المدين ، إذا اختلس الثمرات أو الإيرادات التي تلحق بالعقار المحجوز ، أو إذا أتلف هذا العقار أو أتلف الثمرات"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317- معارضة الحائز والدفوع التي يجوز له التمسك بها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نصت المادة 1073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يجوز للحائز الذي سجل سند ملكيته ولم يكن طرفاً في الدعوى التي حكم فيها على المدين بالدين ، أن يتمسك بأوجه الدفع التي كان للمدين أن يتمسك بها ، إذا كان الحكم بالدين لاحقاً لتسجيل سند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ويجوز للحائز ، في جميع الأحوال ، أن يتمسك بالدفوع التي لا يزال للمدين بعد الحكم بالدين حق التمسك بها"</w:t>
      </w:r>
      <w:r>
        <w:rPr>
          <w:rFonts w:cs="Traditional Arabic" w:hint="cs"/>
          <w:sz w:val="28"/>
          <w:szCs w:val="32"/>
          <w:vertAlign w:val="superscript"/>
          <w:rtl/>
        </w:rPr>
        <w:t xml:space="preserve">( </w:t>
      </w:r>
      <w:r w:rsidRPr="00EC737F">
        <w:rPr>
          <w:rStyle w:val="ab"/>
          <w:rFonts w:cs="Traditional Arabic"/>
          <w:sz w:val="28"/>
          <w:szCs w:val="32"/>
          <w:rtl/>
        </w:rPr>
        <w:footnoteReference w:id="122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جاء في المذكرة الإيضاحية للمشروع التمهيدي ، في خصوص هذا النص ، ما يأتي : "فإذا ما وجه الإنذار للحائز كان له حق المعارضة ، وله أن يتمسك بالدفوع التي لا يزال للمدين بعد الحكم بالدين حق التمسك بها ، $590 كانقضاء الدين بعد الحكم به بالوفاء أو بالمقاصة أو بغير ذلك . بل له أيضاً أن يتمسك بالدفوع التي كان للمدين أن يتمسك بها قبل الحكم ، بشرط أن يكون في موقف من شأنه ألا  يجعل لحكم حجية قبله ، ويتحقق ذلك إذا كان الحكم لاحقاً لتسجيل سنده ولم يكن طرفاً في الدعوى ، فإن الحكم في هذه الحالة لا يكون حجة عليه ما دام قد سجل سنده قبل صدوره ولم يدخله الدائن خصماً ثالثاً . فإن كان الحائز لم يعارض أو عارض فرفضت معارضته ، سير في إجراءات نزع الملكية وفقاً للأوضاع المقررة"</w:t>
      </w:r>
      <w:r>
        <w:rPr>
          <w:rFonts w:cs="Traditional Arabic" w:hint="cs"/>
          <w:sz w:val="28"/>
          <w:szCs w:val="32"/>
          <w:vertAlign w:val="superscript"/>
          <w:rtl/>
        </w:rPr>
        <w:t xml:space="preserve">( </w:t>
      </w:r>
      <w:r w:rsidRPr="00EC737F">
        <w:rPr>
          <w:rStyle w:val="ab"/>
          <w:rFonts w:cs="Traditional Arabic"/>
          <w:sz w:val="28"/>
          <w:szCs w:val="32"/>
          <w:rtl/>
        </w:rPr>
        <w:footnoteReference w:id="1227"/>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فللحائز إذن أن يعارض في الإنذار الموجه إليه ، في أي وقت في أثناء إجراءات نزع الملكية</w:t>
      </w:r>
      <w:r>
        <w:rPr>
          <w:rFonts w:cs="Traditional Arabic" w:hint="cs"/>
          <w:sz w:val="28"/>
          <w:szCs w:val="32"/>
          <w:vertAlign w:val="superscript"/>
          <w:rtl/>
        </w:rPr>
        <w:t xml:space="preserve">( </w:t>
      </w:r>
      <w:r w:rsidRPr="00EC737F">
        <w:rPr>
          <w:rStyle w:val="ab"/>
          <w:rFonts w:cs="Traditional Arabic"/>
          <w:sz w:val="28"/>
          <w:szCs w:val="32"/>
          <w:rtl/>
        </w:rPr>
        <w:footnoteReference w:id="1228"/>
      </w:r>
      <w:r>
        <w:rPr>
          <w:rFonts w:cs="Traditional Arabic" w:hint="cs"/>
          <w:sz w:val="28"/>
          <w:szCs w:val="32"/>
          <w:vertAlign w:val="superscript"/>
          <w:rtl/>
        </w:rPr>
        <w:t xml:space="preserve"> )</w:t>
      </w:r>
      <w:r>
        <w:rPr>
          <w:rFonts w:cs="Traditional Arabic" w:hint="cs"/>
          <w:sz w:val="28"/>
          <w:szCs w:val="32"/>
          <w:rtl/>
        </w:rPr>
        <w:t xml:space="preserve"> . فإذا لم يعارض حتى الحكم بنزع الملكية وانقضاء مواعيد الطعن ، فإن هذا الحكم يجوز قوة الشيء المحكوم فيه بالنسبة إليه</w:t>
      </w:r>
      <w:r>
        <w:rPr>
          <w:rFonts w:cs="Traditional Arabic" w:hint="cs"/>
          <w:sz w:val="28"/>
          <w:szCs w:val="32"/>
          <w:vertAlign w:val="superscript"/>
          <w:rtl/>
        </w:rPr>
        <w:t xml:space="preserve">( </w:t>
      </w:r>
      <w:r w:rsidRPr="00EC737F">
        <w:rPr>
          <w:rStyle w:val="ab"/>
          <w:rFonts w:cs="Traditional Arabic"/>
          <w:sz w:val="28"/>
          <w:szCs w:val="32"/>
          <w:rtl/>
        </w:rPr>
        <w:footnoteReference w:id="1229"/>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وله أن يتمسك بالدفوع الخاصة به ، والدفوع الخاصة بالرهن ، والدفوع الخاصة بالمدين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فالدفوع الخاصة به مثل الدفع ببطلان القيد</w:t>
      </w:r>
      <w:r>
        <w:rPr>
          <w:rFonts w:cs="Traditional Arabic" w:hint="cs"/>
          <w:sz w:val="28"/>
          <w:szCs w:val="32"/>
          <w:vertAlign w:val="superscript"/>
          <w:rtl/>
        </w:rPr>
        <w:t xml:space="preserve">( </w:t>
      </w:r>
      <w:r w:rsidRPr="00EC737F">
        <w:rPr>
          <w:rStyle w:val="ab"/>
          <w:rFonts w:cs="Traditional Arabic"/>
          <w:sz w:val="28"/>
          <w:szCs w:val="32"/>
          <w:rtl/>
        </w:rPr>
        <w:footnoteReference w:id="1230"/>
      </w:r>
      <w:r>
        <w:rPr>
          <w:rFonts w:cs="Traditional Arabic" w:hint="cs"/>
          <w:sz w:val="28"/>
          <w:szCs w:val="32"/>
          <w:vertAlign w:val="superscript"/>
          <w:rtl/>
        </w:rPr>
        <w:t xml:space="preserve"> )</w:t>
      </w:r>
      <w:r>
        <w:rPr>
          <w:rFonts w:cs="Traditional Arabic" w:hint="cs"/>
          <w:sz w:val="28"/>
          <w:szCs w:val="32"/>
          <w:rtl/>
        </w:rPr>
        <w:t xml:space="preserve"> . والدفع بالضمان إذا كان الدائن المرتهن ملزماً شخصياً قبله بضمان الاستحقاق كما لو كان الدائن كفيلا للبائع إلى الحائز . وليس للحائز أن يدفع بأنه صرف على العقار مصروفات ضرورية أو نافعة ، ولا أن يطلب من الدائن أن يعوضه من هذه المصروفات قبل السير في الإجراءات . ولكن له أن يمتنع عن تسليم العقار المرهون إلى من يرسو عليه المواد حتى يستوفي </w:t>
      </w:r>
      <w:r>
        <w:rPr>
          <w:rFonts w:cs="Traditional Arabic" w:hint="cs"/>
          <w:sz w:val="28"/>
          <w:szCs w:val="32"/>
          <w:rtl/>
        </w:rPr>
        <w:lastRenderedPageBreak/>
        <w:t>ما صرف ، فيكون له الحق في حبس العقار المرهون حتى يستوفي 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$591 ومن الدفوع الخاصة بالراهن الدفع ببطلان الرهن ، أو بانقضائه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الدفوع الخاصة بالمدين الدفع ببطلان الدين ، أو بانقضائه</w:t>
      </w:r>
      <w:r>
        <w:rPr>
          <w:rFonts w:cs="Traditional Arabic" w:hint="cs"/>
          <w:sz w:val="28"/>
          <w:szCs w:val="32"/>
          <w:vertAlign w:val="superscript"/>
          <w:rtl/>
        </w:rPr>
        <w:t xml:space="preserve">( </w:t>
      </w:r>
      <w:r w:rsidRPr="00EC737F">
        <w:rPr>
          <w:rStyle w:val="ab"/>
          <w:rFonts w:cs="Traditional Arabic"/>
          <w:sz w:val="28"/>
          <w:szCs w:val="32"/>
          <w:rtl/>
        </w:rPr>
        <w:footnoteReference w:id="1231"/>
      </w:r>
      <w:r>
        <w:rPr>
          <w:rFonts w:cs="Traditional Arabic" w:hint="cs"/>
          <w:sz w:val="28"/>
          <w:szCs w:val="32"/>
          <w:vertAlign w:val="superscript"/>
          <w:rtl/>
        </w:rPr>
        <w:t xml:space="preserve"> )</w:t>
      </w:r>
      <w:r>
        <w:rPr>
          <w:rFonts w:cs="Traditional Arabic" w:hint="cs"/>
          <w:sz w:val="28"/>
          <w:szCs w:val="32"/>
          <w:rtl/>
        </w:rPr>
        <w:t xml:space="preserve"> ، أو بالمبالغة في مقداره</w:t>
      </w:r>
      <w:r>
        <w:rPr>
          <w:rFonts w:cs="Traditional Arabic" w:hint="cs"/>
          <w:sz w:val="28"/>
          <w:szCs w:val="32"/>
          <w:vertAlign w:val="superscript"/>
          <w:rtl/>
        </w:rPr>
        <w:t xml:space="preserve">( </w:t>
      </w:r>
      <w:r w:rsidRPr="00EC737F">
        <w:rPr>
          <w:rStyle w:val="ab"/>
          <w:rFonts w:cs="Traditional Arabic"/>
          <w:sz w:val="28"/>
          <w:szCs w:val="32"/>
          <w:rtl/>
        </w:rPr>
        <w:footnoteReference w:id="1232"/>
      </w:r>
      <w:r>
        <w:rPr>
          <w:rFonts w:cs="Traditional Arabic" w:hint="cs"/>
          <w:sz w:val="28"/>
          <w:szCs w:val="32"/>
          <w:vertAlign w:val="superscript"/>
          <w:rtl/>
        </w:rPr>
        <w:t xml:space="preserve"> )</w:t>
      </w:r>
      <w:r>
        <w:rPr>
          <w:rFonts w:cs="Traditional Arabic" w:hint="cs"/>
          <w:sz w:val="28"/>
          <w:szCs w:val="32"/>
          <w:rtl/>
        </w:rPr>
        <w:t xml:space="preserve"> ، أو بعدم حلول أجله . وتجب التفرقة بين ما إذا كان الدين ثابتاً ومحدداً بالعقد الرسمي ( الرهن ) ، وبين ما إذا كان الدين قد ثبت أو تحدد بحكم لاحق لعقد الرهن . ففي الحالة الأولى ، يكون للحائز التمسك بجميع الدفوع التي يجوز للمدين أن يدفع بها المطالبة . أما في الحالة الثانية ، فالمفروض أن المدين قد تمسك في الدعوى بكل أوجه الدفع الجائزة له أو أنه نزل عن التمسك بها ، ويكون الحكم الذي صدر في الدعوى حجة عليه برفض الدفوع أو بنزوله عنها ، فيكون حجة أيضاً على خلفه الخاص . فإذا كان المدين هو الراهن وباع العين إلى الحائز بعد صدور الحكم عليه بالدين ، كانت للحكم حجية بالنسبة إلى الحائز ولم يجز لهذا أن يتمسك بالدفوع التي كانت للمدين قبل الحكم ، ولكن يجوز له أن يتمسك بعد ذلك بما استجد من دفع كالدفع بانقضاء الدين بالوفاء أو بغيره . أما إذا كان المدين الراهن قد تصرف في العقار المرهون إلى الحائز وسجل هذا عقده قبل صدور الحكم على المدين بإلزامه بالدين ، فإن الحكم الذي يصدر بعد تسجيل عقد الحائز لا يكون حجة عليه ما دام لم يكن طرفاً في الدعوى ، لأن الحائز يعتبر من الغير بالنسبة إلى المدين فيما يتعلق بهذا الحكم ، فيجوز له أن يتمسك بالدفوع التي كان  للمدين أن يتمسك بها في الدعوى</w:t>
      </w:r>
      <w:r>
        <w:rPr>
          <w:rFonts w:cs="Traditional Arabic" w:hint="cs"/>
          <w:sz w:val="28"/>
          <w:szCs w:val="32"/>
          <w:vertAlign w:val="superscript"/>
          <w:rtl/>
        </w:rPr>
        <w:t xml:space="preserve">( </w:t>
      </w:r>
      <w:r w:rsidRPr="00EC737F">
        <w:rPr>
          <w:rStyle w:val="ab"/>
          <w:rFonts w:cs="Traditional Arabic"/>
          <w:sz w:val="28"/>
          <w:szCs w:val="32"/>
          <w:rtl/>
        </w:rPr>
        <w:footnoteReference w:id="1233"/>
      </w:r>
      <w:r>
        <w:rPr>
          <w:rFonts w:cs="Traditional Arabic" w:hint="cs"/>
          <w:sz w:val="28"/>
          <w:szCs w:val="32"/>
          <w:vertAlign w:val="superscript"/>
          <w:rtl/>
        </w:rPr>
        <w:t xml:space="preserve"> )</w:t>
      </w:r>
      <w:r>
        <w:rPr>
          <w:rFonts w:cs="Traditional Arabic" w:hint="cs"/>
          <w:sz w:val="28"/>
          <w:szCs w:val="32"/>
          <w:rtl/>
        </w:rPr>
        <w:t xml:space="preserve"> .</w:t>
      </w:r>
    </w:p>
    <w:p w:rsidR="00F72742" w:rsidRPr="000F1510" w:rsidRDefault="00F72742" w:rsidP="00F72742">
      <w:pPr>
        <w:widowControl w:val="0"/>
        <w:spacing w:after="120"/>
        <w:jc w:val="center"/>
        <w:rPr>
          <w:rFonts w:cs="Traditional Arabic" w:hint="cs"/>
          <w:b/>
          <w:bCs/>
          <w:sz w:val="28"/>
          <w:szCs w:val="32"/>
          <w:rtl/>
        </w:rPr>
      </w:pPr>
      <w:r w:rsidRPr="000F1510">
        <w:rPr>
          <w:b/>
          <w:bCs/>
          <w:sz w:val="28"/>
          <w:szCs w:val="32"/>
          <w:rtl/>
        </w:rPr>
        <w:t>§</w:t>
      </w:r>
      <w:r>
        <w:rPr>
          <w:rFonts w:hint="cs"/>
          <w:b/>
          <w:bCs/>
          <w:sz w:val="28"/>
          <w:szCs w:val="32"/>
          <w:rtl/>
        </w:rPr>
        <w:t xml:space="preserve"> </w:t>
      </w:r>
      <w:r w:rsidRPr="000F1510">
        <w:rPr>
          <w:rFonts w:cs="Traditional Arabic" w:hint="cs"/>
          <w:b/>
          <w:bCs/>
          <w:sz w:val="28"/>
          <w:szCs w:val="32"/>
          <w:rtl/>
        </w:rPr>
        <w:t>5- موقف الحائز من البيع عقاره بالمزاد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318- وضع المسألة :</w:t>
      </w:r>
      <w:r>
        <w:rPr>
          <w:rFonts w:cs="Traditional Arabic" w:hint="cs"/>
          <w:sz w:val="28"/>
          <w:szCs w:val="32"/>
          <w:rtl/>
        </w:rPr>
        <w:t xml:space="preserve"> هنا يتجمع عدد من المسائل ، تدور كلها حول موقف الحائز من بيع عقاره بالمزاد ذلك أن القانون أورد بعد ذلك $592 عدداً من النصوص في هذه المسألة ، وهي لا تخص </w:t>
      </w:r>
      <w:r>
        <w:rPr>
          <w:rFonts w:cs="Traditional Arabic" w:hint="cs"/>
          <w:sz w:val="28"/>
          <w:szCs w:val="32"/>
          <w:rtl/>
        </w:rPr>
        <w:lastRenderedPageBreak/>
        <w:t>فقط الحائز وهو تنزع ملكيته باعتباره حائزاً . بل إن الحائز قد يباع عقاره المرهون بالمزاد في أوضاع ثلاثة : ( 1 ) عقب إجراءات التطهير ، عند ما يرفض الدائنون المقيدون عرض الحائز ، ويلجأون إلى بيع العقار المرهون وهو ملك للحائز . ( 2 ) عقب التخلية ، عند ما يعين قاضي الأمور المستعجلة حارساً للعقار أو اميناً له ، ويلجأ الدائنون المقيدون في مواجهة هذا الحارس إلى بيع العقار المرهون وهو ملك للحائز . ( 3 ) عند ما لا يطهر الحائز أو يتخلى أو يؤدي الديون ، فعندئذ يلجأ الدائنون المقيدون إلى اتخاذ الإجراءات في مواجهة الحائز نفسه ، ويبيعون العقار المرهون وهو ملك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فكيف يكون مركز الحائز في هذه الأوضاع الثلاثة ، وعند بيع الدائنين للعقار المرهون ايستطيع الحائز أن يدخل في المزاد؟</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شك في أن الحائز يستطيع أن يدخل في المزاد ، وأن يرسو المزاد عليه . ولا شك أيضاً في أنه يستطيع أن يدخل المزاد ، ولا يرسو المزاد عليه . ولا شك أخيراً في أنه يستطيع ألا يدخل في المزاد ، فلا يرسو المزاد عليه بطبيعة الحال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فهناك إذن موقفان : ( 1 ) يدخل الحائز في المزاد فيرسو المزاد عليه ، في الأوضاع الثلاثة المتقدم ذكرها . ( 2 ) لا يرسو المزاد على الحائز ، إما لأنه دخل المزاد فلم يرس المزاد عليه ، أو لأنه لم يدخل المزاد أصلا ، وذلك أيضاً في الأوضاع الثلاثة المتقدم ذكرها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وقبل أن نتدبر هذين الموقفين ، يجب أن نشير إلى أن القانون حدد للحائز عطاء ويجب أن يتقدم به إذا دخل المزاد ، سواء رسا المزاد عليه أو رسا على غريه . فيجب أن ننظر أولا ما هو العطاء الذي يجب أن يتقدم به الحائز ، إذ هو دخل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319- عطاء الحائز إذا دخل المزاد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1074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"يحق للحائز أن يدخل في المزاد ، على شرط ألا يعرض فيه ثمناً أقل من الباقي في ذمته من ثمن العقار الجاري بيعه"</w:t>
      </w:r>
      <w:r>
        <w:rPr>
          <w:rFonts w:cs="Traditional Arabic" w:hint="cs"/>
          <w:sz w:val="28"/>
          <w:szCs w:val="32"/>
          <w:vertAlign w:val="superscript"/>
          <w:rtl/>
        </w:rPr>
        <w:t xml:space="preserve">( </w:t>
      </w:r>
      <w:r w:rsidRPr="00EC737F">
        <w:rPr>
          <w:rStyle w:val="ab"/>
          <w:rFonts w:cs="Traditional Arabic"/>
          <w:sz w:val="28"/>
          <w:szCs w:val="32"/>
          <w:rtl/>
        </w:rPr>
        <w:footnoteReference w:id="12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والحائز ، سواء كان ذلك عقب إجراءات التطهير ورفض الدائنين لعرض الحائز وبيع العقار في المزاد ، أو عقب إجراءات التخلية عند ما يعين حارس للعقار ويباع العقار في المزاد في مواجهة هذا الحارس ، أو عند ما لا يطهر الحائز العقار ولا يتخلى ولا يؤدي الدين فيبيع الدائنون العقار في مواجهة الحائز نفسه ، يرى عقاره الذي حصل على ملكيته قد نزع منه وعرضه الدائنون للبيع بالمزاد الجبري . فيتقدم في المزاد مزايداً ، ويحاول أن يحصل على ملية العقار من طريق شرائه في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والقانون أباح له ذلك ، كما أباح ذلك للغير ممن لا صلة لهم بالعقار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وإنما اشترط القانون ، لأن الحائز له صلة بالعقار بالمرهون ، أن يكون عطاؤه في المزاد لا يقل عن الباقي في ذمته من ثمن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وهنا افترض القانون أن الحائز قد اشترى العقار فأصبح حائزاً ، وعجل شيئاً من الثمن ، وبقي في ذمته الباقي . كان الثمن مثلا ألفين ، وعجل الحائز ثلثمائة فبقي في ذمته ألف وسبعمائة ، فيجب عند ما يدخل المزاد ويقدم عطاء ، ألا يقل هذا العطاء عن ألف وسبعمائة ، لأن هذا المبلغ يجب على الحائز دفعه على أي حال ، فلأن يتقدم به عطاء في المزاد خير من أن يدفعه للبائع 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$594 وإذا كان الحائز لم يدفع شيئاً من الثمن عند ما تقدم في المزاد ، فيجب ألا يقل العطاء الذي يتقدم به في المزاد عن الثمن كله وهو ألفان ، لأن هذا المبلغ مستحق في ذمته ويجب أن يدفعه ، فلأن يتقدم به عطاء في المزاد خير من أن يدفعه للبائع . وهذا ما يقع عادة في العمل ، يحرص الحائز للعقار المرهون على ألا يدفع شيئاً من ثمنه ، ثم يدخل المزاد ويقدم عطاء فيه كل الثمن ، وهو مستحق في ذمته . وقد يقدم عطاء أكبر من كل الثمن ، إذا قدر أن العقار المرهون يستحق ذلك وكان حريصاً على أن يحصل على هذا العقار .</w:t>
      </w:r>
    </w:p>
    <w:p w:rsidR="00F72742" w:rsidRPr="00F35F92" w:rsidRDefault="00F72742" w:rsidP="00F72742">
      <w:pPr>
        <w:widowControl w:val="0"/>
        <w:spacing w:after="120"/>
        <w:jc w:val="center"/>
        <w:rPr>
          <w:rFonts w:cs="Traditional Arabic" w:hint="cs"/>
          <w:b/>
          <w:bCs/>
          <w:sz w:val="28"/>
          <w:szCs w:val="32"/>
          <w:rtl/>
        </w:rPr>
      </w:pPr>
      <w:r w:rsidRPr="00F35F92">
        <w:rPr>
          <w:rFonts w:cs="Traditional Arabic" w:hint="cs"/>
          <w:b/>
          <w:bCs/>
          <w:sz w:val="28"/>
          <w:szCs w:val="32"/>
          <w:rtl/>
        </w:rPr>
        <w:lastRenderedPageBreak/>
        <w:t xml:space="preserve">أ </w:t>
      </w:r>
      <w:r w:rsidRPr="00F35F92">
        <w:rPr>
          <w:rFonts w:cs="Traditional Arabic"/>
          <w:b/>
          <w:bCs/>
          <w:sz w:val="28"/>
          <w:szCs w:val="32"/>
          <w:rtl/>
        </w:rPr>
        <w:t>–</w:t>
      </w:r>
      <w:r w:rsidRPr="00F35F92">
        <w:rPr>
          <w:rFonts w:cs="Traditional Arabic" w:hint="cs"/>
          <w:b/>
          <w:bCs/>
          <w:sz w:val="28"/>
          <w:szCs w:val="32"/>
          <w:rtl/>
        </w:rPr>
        <w:t xml:space="preserve"> موقف الحائز إذا رسا عليه المزاد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320- رسو المزاد على الحائز بما لا يزيد على الثمن الذي دفعه في العقار</w:t>
      </w:r>
      <w:r>
        <w:rPr>
          <w:rFonts w:cs="Traditional Arabic" w:hint="cs"/>
          <w:sz w:val="28"/>
          <w:szCs w:val="32"/>
          <w:rtl/>
        </w:rPr>
        <w:t xml:space="preserve"> : قد يدخل الحائز المزاد ، فيرسو عليه مزاد لعقار المرهون ، ولكن بثمن لا يزيد على الثمن الذي سبق له دفعه في العقار . فنفر مثلا أن الحائز أصبح حائزاً لأنه اشترى العقار بألفين ، وعند ما تقدم في المزاد عقب إجراءات التطهير أو التخلية أو عند ما كان الدائنون المقيدون يبيعون العقار المرهون في مواجهة الحائز نفسه ، أعطى فيه ألفاً وخمسمائة أو ألفاً وثمانمائة أو ألفين ، فرسا عليه المزاد بما أعطي فيه . فكيف يملك الحائز العقار ، وما علاقة الحائز بسلفه؟</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رسا المزاد على الحائز نفسه ، اعتبر هذا مالكاً للعقار بموجب سند ملكيته الأصلي ، فالملكية تعتبر منتقلة إلى الحائز من وقت سند الملكية الأصلي لا من وقت رسو المزاد ، ولا يكون رسو المزاد إلا مؤكداً لانتقال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علاقة الحائز بسلفه أي بالبائع له الذي كان مالكاً للعقار المرهون ، فهناك رأيان في فرنسا : الرأي الأول الذي سارت عليه محكمة النقض الفرنسية $595 وبعض الفقهاء</w:t>
      </w:r>
      <w:r>
        <w:rPr>
          <w:rFonts w:cs="Traditional Arabic" w:hint="cs"/>
          <w:sz w:val="28"/>
          <w:szCs w:val="32"/>
          <w:vertAlign w:val="superscript"/>
          <w:rtl/>
        </w:rPr>
        <w:t xml:space="preserve">( </w:t>
      </w:r>
      <w:r w:rsidRPr="00EC737F">
        <w:rPr>
          <w:rStyle w:val="ab"/>
          <w:rFonts w:cs="Traditional Arabic"/>
          <w:sz w:val="28"/>
          <w:szCs w:val="32"/>
          <w:rtl/>
        </w:rPr>
        <w:footnoteReference w:id="1235"/>
      </w:r>
      <w:r>
        <w:rPr>
          <w:rFonts w:cs="Traditional Arabic" w:hint="cs"/>
          <w:sz w:val="28"/>
          <w:szCs w:val="32"/>
          <w:vertAlign w:val="superscript"/>
          <w:rtl/>
        </w:rPr>
        <w:t xml:space="preserve"> )</w:t>
      </w:r>
      <w:r>
        <w:rPr>
          <w:rFonts w:cs="Traditional Arabic" w:hint="cs"/>
          <w:sz w:val="28"/>
          <w:szCs w:val="32"/>
          <w:rtl/>
        </w:rPr>
        <w:t xml:space="preserve"> أن الحائز لا يكون ملزماً إلا بالثمن الذي رسا به المزاد عليه ، ألف وخمسمائة مثلا ، ويرجع بالباقي وهو خمسمائة على البائع له ، وهو مالك العقار المرهون قبل الحائز . ولكن الري الغالب هو أن الحائز يبقى ملزماً بالثمن  الذي اشترى به من مالك العقار المرهون ، فلا يرجع عليه بشيء إذا كان قد دفع له الثمن كله ، ويدفع له الثمن كله الذي اتفق معه عليه إذا كان لم يدفعه</w:t>
      </w:r>
      <w:r>
        <w:rPr>
          <w:rFonts w:cs="Traditional Arabic" w:hint="cs"/>
          <w:sz w:val="28"/>
          <w:szCs w:val="32"/>
          <w:vertAlign w:val="superscript"/>
          <w:rtl/>
        </w:rPr>
        <w:t xml:space="preserve">( </w:t>
      </w:r>
      <w:r w:rsidRPr="00EC737F">
        <w:rPr>
          <w:rStyle w:val="ab"/>
          <w:rFonts w:cs="Traditional Arabic"/>
          <w:sz w:val="28"/>
          <w:szCs w:val="32"/>
          <w:rtl/>
        </w:rPr>
        <w:footnoteReference w:id="1236"/>
      </w:r>
      <w:r>
        <w:rPr>
          <w:rFonts w:cs="Traditional Arabic" w:hint="cs"/>
          <w:sz w:val="28"/>
          <w:szCs w:val="32"/>
          <w:vertAlign w:val="superscript"/>
          <w:rtl/>
        </w:rPr>
        <w:t xml:space="preserve"> )</w:t>
      </w:r>
      <w:r>
        <w:rPr>
          <w:rFonts w:cs="Traditional Arabic" w:hint="cs"/>
          <w:sz w:val="28"/>
          <w:szCs w:val="32"/>
          <w:rtl/>
        </w:rPr>
        <w:t xml:space="preserve"> . ويعتبر الحائز مالكاً للعقار المرهون بموجب سند ملكيته الأصلي ( البيع الصادر من مالك العقار المرهون )* ، وإلا يكون حكم مرسي المزاد واجب التسجيل ، ولا </w:t>
      </w:r>
      <w:r>
        <w:rPr>
          <w:rFonts w:cs="Traditional Arabic" w:hint="cs"/>
          <w:sz w:val="28"/>
          <w:szCs w:val="32"/>
          <w:rtl/>
        </w:rPr>
        <w:lastRenderedPageBreak/>
        <w:t>يترتب على حكم مرسي المزاد فسخ سند ملكية الحائز أي سند ملكيته الأصلي</w:t>
      </w:r>
      <w:r>
        <w:rPr>
          <w:rFonts w:cs="Traditional Arabic" w:hint="cs"/>
          <w:sz w:val="28"/>
          <w:szCs w:val="32"/>
          <w:vertAlign w:val="superscript"/>
          <w:rtl/>
        </w:rPr>
        <w:t xml:space="preserve">( </w:t>
      </w:r>
      <w:r w:rsidRPr="00EC737F">
        <w:rPr>
          <w:rStyle w:val="ab"/>
          <w:rFonts w:cs="Traditional Arabic"/>
          <w:sz w:val="28"/>
          <w:szCs w:val="32"/>
          <w:rtl/>
        </w:rPr>
        <w:footnoteReference w:id="1237"/>
      </w:r>
      <w:r>
        <w:rPr>
          <w:rFonts w:cs="Traditional Arabic" w:hint="cs"/>
          <w:sz w:val="28"/>
          <w:szCs w:val="32"/>
          <w:vertAlign w:val="superscript"/>
          <w:rtl/>
        </w:rPr>
        <w:t xml:space="preserve"> )</w:t>
      </w:r>
      <w:r>
        <w:rPr>
          <w:rFonts w:cs="Traditional Arabic" w:hint="cs"/>
          <w:sz w:val="28"/>
          <w:szCs w:val="32"/>
          <w:rtl/>
        </w:rPr>
        <w:t xml:space="preserve"> .</w:t>
      </w:r>
    </w:p>
    <w:p w:rsidR="00F72742" w:rsidRPr="00F35F9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ويتفرع على ذلك ما يأتي : ( 1 ) الرهون التي قررها الحائز في الفترة ما بين كسبه الملكية من مالك العقار المرهون وتسجيل حكم مرسي المزاد تبقى صحيحة ، وتكون مرتبتها من وقت قيدها فلا يأخذ هؤلاء الدائنون شيئاً إلا بعد أن يستوفي الدائنون المقيدون المستمدون حقوقهم من غير الحائز حقوقهم . ( 2 ) الحائز ، في علاقته بسلفه مالك العقار المرهون ، يبقى ملتزماً بالمثمن المسمى في العقد مع أنه قد يزيد على الثمن الذي رسا به المزاد . ( 3 ) حقوق الارتفاق والاستعمال والسكنى التي قررها الحائز تكون صحيحة أيضاً ، ولكن الدائنين المقيدين الذي لا يجوز الاحتجاج ضدهم بهذه الحقوق يكون لهم أن يبيعوا العقار خالياً منها وأن ينصوا على ذلك في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2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$596 </w:t>
      </w:r>
      <w:r>
        <w:rPr>
          <w:rFonts w:cs="Traditional Arabic" w:hint="cs"/>
          <w:b/>
          <w:bCs/>
          <w:sz w:val="28"/>
          <w:szCs w:val="32"/>
          <w:rtl/>
        </w:rPr>
        <w:t>321- رسو المزاد على الحائز بما يزيد في الثمن الذي دفعه في العقار</w:t>
      </w:r>
      <w:r>
        <w:rPr>
          <w:rFonts w:cs="Traditional Arabic" w:hint="cs"/>
          <w:sz w:val="28"/>
          <w:szCs w:val="32"/>
          <w:rtl/>
        </w:rPr>
        <w:t xml:space="preserve"> : هنا أيضاً يعتبر الحائز مالكاً للعقار بموجب سند ملكيته ، كما في الحالة السابقة ( م 1075 مدني ) . ولا يكون حكم مرسى المزاد واجب التسجيل لأنه لم ينقل الملكية إلى الحائز ، وإنما الذي نقلها هو السند الأصلي لملكية الحائز . وتبقى العلاقة ما بين الحائز ومالك العقار المرهون كما حددها سند ملكيته ، أي أن حكم مرسى المزاد لا يترتب عليه فسخ ملكية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وكل ما يترتب على رسو المزاد على الحائز بثمن أعلى ، أن الحائز يصبح مديناً بهذا الثمن للدائنين المقيدين . وتبقى علاقته بمالك العقار المرهون على ما كانت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ويبقى الحائز مالكاً للعقار المرهون ، ولكن لا بحكم مرسى المزاد ولكن بحكم السند الأصلي كما قدمنا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ويتقاضى الدائنون المقيدون حقوقهم نم الثمن الذي رسا به المزاد على الحائز ، وهو أعلى من الثمن الأصلي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ولا يُفسخ السند الأصلي لملكية الحائز ، ويترتب على ذلك نفس النتائج التي قررناها فيما سبق : الرهون التي قررها الحائز تبقى صحيحة ، والحائز في علاقته بسلفه مالك العقار المرهون يبقى ملتزماً بالثمن المسمى في العقد مع أنه يقل عن الثمن الذي رسا به المزاد ، وحقوق الارتفاق والاستعمال والاستعمال والسكنى التي قررها الحائز تكون أيضاً صحيحة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322- تطهير اعلقا المرهون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1075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نزع ملكية العقار المرهون ، ولو كان ذلك بعد اتخاذ إجراءات التطهير أو التخلية ، ورسا المزاد على الحائز نفسه ، اعتبر هذا مالكاً للعقار بمقتضى سند ملكيته الأصلي ، ويتطهر العقار من كل حق مقيد إذا دفع $597 الحائز الثمن الذي رسا به المزاد أو أودعه خزانة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12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التمهيدي ، في خصوص هذا النص ، ما يأتي : "فإن رسا المزاد على الحائز ، فإن الملكية تعتبر منتقلة إليه من وقت سند الملكية الأصلي لا من وقت رسو المزاد ، ولا يكون رسو المزاد إلا مؤكداً لانتقال الملكية . ويتطهر العقار بدفع الثمن إلى الدائنين ، أو بإيداعه خزينة المحكمة"</w:t>
      </w:r>
      <w:r>
        <w:rPr>
          <w:rFonts w:cs="Traditional Arabic" w:hint="cs"/>
          <w:sz w:val="28"/>
          <w:szCs w:val="32"/>
          <w:vertAlign w:val="superscript"/>
          <w:rtl/>
        </w:rPr>
        <w:t xml:space="preserve">( </w:t>
      </w:r>
      <w:r w:rsidRPr="00EC737F">
        <w:rPr>
          <w:rStyle w:val="ab"/>
          <w:rFonts w:cs="Traditional Arabic"/>
          <w:sz w:val="28"/>
          <w:szCs w:val="32"/>
          <w:rtl/>
        </w:rPr>
        <w:footnoteReference w:id="124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ويرى من النص ، كما قدمنا في الحالتين السابقتين ، أن الحائز سواء رسا عليه المزاد بأقل أو بأكثر من الثمن الذي بذله للحصول على العقار من مالكه ، يعتبر مالكاً للعقار بموجب سند ملكيته الأصلي ، ولا يجب تسجيل الحكم بمرسى المزاد على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ويتطهر العقار من كل حق مقيد ، فتطهير العقار ، كما يتم بداهة من رسو المزاد على غير الحائز ، </w:t>
      </w:r>
      <w:r>
        <w:rPr>
          <w:rFonts w:cs="Traditional Arabic" w:hint="cs"/>
          <w:sz w:val="28"/>
          <w:szCs w:val="32"/>
          <w:rtl/>
        </w:rPr>
        <w:lastRenderedPageBreak/>
        <w:t>يتم أيضاً برسو المزاد على الحائز . ويتحول حق الدائنين المقيدين من العقار إلى ثمنه ، وتبقى للدائنين مزية التقدم في استيفاء حقوقهم ممن هذا الثمن كل منهم بحسب ترتيبه . فإذا لم يف المبلغ  بحقوق الدائنين المقيدين ، فإن المتأخرين منهم لا يحصلون على شيء م الثمن ، وتنقضي مع ذلك قيودهم ، ولكن لهم حقوقهم الشخصية قبل المدين الأصلي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يقتصر اثر الحكم مرسى المزاد على تطهير العقار المرهون من القيود التي صدرت من المالك الأصلي وحدهن بل يشمل أيضاً تطهيره من القيود $598 التي صدرت من الحائز نفسه ، لأن الملكية تنتقل إلى الراسي عليه المزاد خالية من جميع القيود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خصوص التطهير هناك رأيان : ( 1 ) رأي يذهب إلى أن التطهير يتم قبل دفع الثمن الذي رسا به المزاد أو إيداعه ، بمجرد تسجيل حكم مرسي المزاد</w:t>
      </w:r>
      <w:r>
        <w:rPr>
          <w:rFonts w:cs="Traditional Arabic" w:hint="cs"/>
          <w:sz w:val="28"/>
          <w:szCs w:val="32"/>
          <w:vertAlign w:val="superscript"/>
          <w:rtl/>
        </w:rPr>
        <w:t xml:space="preserve">( </w:t>
      </w:r>
      <w:r w:rsidRPr="00EC737F">
        <w:rPr>
          <w:rStyle w:val="ab"/>
          <w:rFonts w:cs="Traditional Arabic"/>
          <w:sz w:val="28"/>
          <w:szCs w:val="32"/>
          <w:rtl/>
        </w:rPr>
        <w:footnoteReference w:id="1241"/>
      </w:r>
      <w:r>
        <w:rPr>
          <w:rFonts w:cs="Traditional Arabic" w:hint="cs"/>
          <w:sz w:val="28"/>
          <w:szCs w:val="32"/>
          <w:vertAlign w:val="superscript"/>
          <w:rtl/>
        </w:rPr>
        <w:t xml:space="preserve"> )</w:t>
      </w:r>
      <w:r>
        <w:rPr>
          <w:rFonts w:cs="Traditional Arabic" w:hint="cs"/>
          <w:sz w:val="28"/>
          <w:szCs w:val="32"/>
          <w:rtl/>
        </w:rPr>
        <w:t xml:space="preserve"> . ( 2 ) ورأي آخر يذهب إلى أن التطهير لا يتم إلا إذا دفع الثمن الذي رسا به المزاد ، أو أودع خزانة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أخذ المشرع المصري بالرأي الثاني واشترط دفع الثمن الذي رسا به المزاد أو إيداعه خزانة المحكمة ، إذ نص في المادة 1075 مدني سالفة الذكر : "ويتطهر العقار من كل حق مقيد ، إذا دفع الحائز الثمن الذي رسا به المزاد ، أو أودعه خزانة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ويتم التطهير بقوة القانون ، متى توافرت شروطه . وتمحي القيود ، ويجوز المحو بناء على تقرير الدائن الذي استوفى حقه ، أو بناء على أمر القاضي فيما يتعلق بالقيود التي لم يدرك أصحابها التوزيع . وإذا امتنع الدائن الذي أدركه التوزيع عن التقرير بالمحو تعسفاً ، جاز للراسي عليه المزاد إيداع استحقاقه خزانة المحكمة ، واستصدار حكم بالمحو</w:t>
      </w:r>
      <w:r>
        <w:rPr>
          <w:rFonts w:cs="Traditional Arabic" w:hint="cs"/>
          <w:sz w:val="28"/>
          <w:szCs w:val="32"/>
          <w:vertAlign w:val="superscript"/>
          <w:rtl/>
        </w:rPr>
        <w:t xml:space="preserve">( </w:t>
      </w:r>
      <w:r w:rsidRPr="00EC737F">
        <w:rPr>
          <w:rStyle w:val="ab"/>
          <w:rFonts w:cs="Traditional Arabic"/>
          <w:sz w:val="28"/>
          <w:szCs w:val="32"/>
          <w:rtl/>
        </w:rPr>
        <w:footnoteReference w:id="1242"/>
      </w:r>
      <w:r>
        <w:rPr>
          <w:rFonts w:cs="Traditional Arabic" w:hint="cs"/>
          <w:sz w:val="28"/>
          <w:szCs w:val="32"/>
          <w:vertAlign w:val="superscript"/>
          <w:rtl/>
        </w:rPr>
        <w:t xml:space="preserve"> )</w:t>
      </w:r>
      <w:r>
        <w:rPr>
          <w:rFonts w:cs="Traditional Arabic" w:hint="cs"/>
          <w:sz w:val="28"/>
          <w:szCs w:val="32"/>
          <w:rtl/>
        </w:rPr>
        <w:t xml:space="preserve"> .</w:t>
      </w:r>
    </w:p>
    <w:p w:rsidR="00F72742" w:rsidRPr="0011367B" w:rsidRDefault="00F72742" w:rsidP="00F72742">
      <w:pPr>
        <w:widowControl w:val="0"/>
        <w:spacing w:after="120"/>
        <w:jc w:val="center"/>
        <w:rPr>
          <w:rFonts w:cs="Traditional Arabic" w:hint="cs"/>
          <w:b/>
          <w:bCs/>
          <w:sz w:val="28"/>
          <w:szCs w:val="32"/>
          <w:rtl/>
        </w:rPr>
      </w:pPr>
      <w:r w:rsidRPr="0011367B">
        <w:rPr>
          <w:rFonts w:cs="Traditional Arabic" w:hint="cs"/>
          <w:b/>
          <w:bCs/>
          <w:sz w:val="28"/>
          <w:szCs w:val="32"/>
          <w:rtl/>
        </w:rPr>
        <w:t xml:space="preserve">ب </w:t>
      </w:r>
      <w:r w:rsidRPr="0011367B">
        <w:rPr>
          <w:rFonts w:cs="Traditional Arabic"/>
          <w:b/>
          <w:bCs/>
          <w:sz w:val="28"/>
          <w:szCs w:val="32"/>
          <w:rtl/>
        </w:rPr>
        <w:t>–</w:t>
      </w:r>
      <w:r w:rsidRPr="0011367B">
        <w:rPr>
          <w:rFonts w:cs="Traditional Arabic" w:hint="cs"/>
          <w:b/>
          <w:bCs/>
          <w:sz w:val="28"/>
          <w:szCs w:val="32"/>
          <w:rtl/>
        </w:rPr>
        <w:t xml:space="preserve"> موقف الحائز إذا رسا على غيره المزاد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323- تلقي الراسي عليه المزاد حقه من الحائز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تنص المادة 1076 مدني </w:t>
      </w:r>
      <w:r>
        <w:rPr>
          <w:rFonts w:cs="Traditional Arabic" w:hint="cs"/>
          <w:sz w:val="28"/>
          <w:szCs w:val="32"/>
          <w:rtl/>
        </w:rPr>
        <w:lastRenderedPageBreak/>
        <w:t>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رسا المزاد في الأحوال المتقدمة على شخص آخر غير الحائز ، فإن هذا الشخص الآخر يتلقى حقه عن الحائز بمقتضى مرسى المزاد"</w:t>
      </w:r>
      <w:r>
        <w:rPr>
          <w:rFonts w:cs="Traditional Arabic" w:hint="cs"/>
          <w:sz w:val="28"/>
          <w:szCs w:val="32"/>
          <w:vertAlign w:val="superscript"/>
          <w:rtl/>
        </w:rPr>
        <w:t xml:space="preserve">( </w:t>
      </w:r>
      <w:r w:rsidRPr="00EC737F">
        <w:rPr>
          <w:rStyle w:val="ab"/>
          <w:rFonts w:cs="Traditional Arabic"/>
          <w:sz w:val="28"/>
          <w:szCs w:val="32"/>
          <w:rtl/>
        </w:rPr>
        <w:footnoteReference w:id="12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$599 وكما يرسو المزاد على الحائز ،  قد يرسو على غير الحائز ، من دائن مقيد أو دائن عادي أو أجنبي أو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رسا المزاد على غير الحائز ، انتقل حق الملكية إلى الراسي عليه المزاد من الحائز نفسه ، ما يقول النص . ولا يفسخ سند الحائز الأصلي ، بل يبقى قائماً إلى أن يرسو على غير الحائز ، وعندئذ تنتقل الملكية إلى هذا الأخير من الحائز ، بموجب حكم مرسي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يجب تسجيل حكم مرسي المزاد ، حتى تنتقل الملكية إلى غير الحائز ممن رسا عليه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الثمن الذي رسا به المزاد ملكاً للحائز ، يستوفي منه الدائنون المقيدون حقوقهم ، وما يبقى إذا بقي شيء يكون للحائز ولمن استمد حقه من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ويرجع الحائز بدعوى ضمان الاستحقاق على مالك العقار المرهون ، وهو الذي تلقى منه الحائز الملكية ، وفقاً لقواعد الضمان في البيع أو الهبة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وللحائز أن يرجع على المدين أيضاً بدعوى الإثراء بلا سبب لأنه وفى دينه ويرجع بما دفعه زيادة على ما في ذمته بموجب سند ملكيته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ويحل الحائز كذلك محل الدائنين الذين وفاهم حقوقهم ، طبقاً لقواعد الحلول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وإذا كانت له حقوق عينية على العقار المرهون ، رهن أو ارتفاق أو انتفاع أو استعمال أو سكنى ، قبل أن تنتقل إليه ملكية العقار كحائز ، فزالت باتحاد الذمة ، ثم رسا المزاد على غير الحائز ، فإن هذه الحقوق العينية تعود</w:t>
      </w:r>
      <w:r>
        <w:rPr>
          <w:rFonts w:cs="Traditional Arabic" w:hint="cs"/>
          <w:sz w:val="28"/>
          <w:szCs w:val="32"/>
          <w:vertAlign w:val="superscript"/>
          <w:rtl/>
        </w:rPr>
        <w:t xml:space="preserve">( </w:t>
      </w:r>
      <w:r w:rsidRPr="00EC737F">
        <w:rPr>
          <w:rStyle w:val="ab"/>
          <w:rFonts w:cs="Traditional Arabic"/>
          <w:sz w:val="28"/>
          <w:szCs w:val="32"/>
          <w:rtl/>
        </w:rPr>
        <w:footnoteReference w:id="124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$600 </w:t>
      </w:r>
      <w:r>
        <w:rPr>
          <w:rFonts w:cs="Traditional Arabic" w:hint="cs"/>
          <w:b/>
          <w:bCs/>
          <w:sz w:val="28"/>
          <w:szCs w:val="32"/>
          <w:rtl/>
        </w:rPr>
        <w:t>324- نزع ملكية الحائز ليس له أثر رجعي</w:t>
      </w:r>
      <w:r>
        <w:rPr>
          <w:rFonts w:cs="Traditional Arabic" w:hint="cs"/>
          <w:sz w:val="28"/>
          <w:szCs w:val="32"/>
          <w:rtl/>
        </w:rPr>
        <w:t xml:space="preserve"> : وإذا رسا المزاد على غير الحائز ، فنزعت بذلك ملكية الحائز ، ترتب على ذلك أن الحائز يحرم من ملكه ، ولكن لا يكون لذلك أثر 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فلا تفسخ ملكية الحائز ، بل تبقى لدى الحائز ، إلى أن يرسو المزاد على الغير ، فتنتقل الملكية إلى هذا الغير من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فالحائز لا يكون مالكاً في المستقبل من وقت تسجيل حكم مرسى المزاد ، أما قبل ذلك فإنه يعتبر هو المالك للعقار من وقت أن انتقلت إليه الملكية من مالك العقار المرهون ، ويتلقى الراسي عليه المزاد حقه من الحائز كما تقول المادة 1076 مدني سالفة الذكر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ذلك أنه إذا زاد الثمن الذي رسا به المزاد على ما هو مستحق للدائنين المقيد حقوقهم ، كانت الزيادة للحائز كما سيأتي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325- الزيادة في ثمن العقار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1077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زاد الثمن الذي رسا به المزاد على ما هو مستحق للدائنين المقيدة حقوقهم ، كانت الزيادة للحائز ، وكان للدائنين المرتهنين من الحائز أن يستوفوا حقوقهم من هذه الزيادة"</w:t>
      </w:r>
      <w:r>
        <w:rPr>
          <w:rFonts w:cs="Traditional Arabic" w:hint="cs"/>
          <w:sz w:val="28"/>
          <w:szCs w:val="32"/>
          <w:vertAlign w:val="superscript"/>
          <w:rtl/>
        </w:rPr>
        <w:t xml:space="preserve">( </w:t>
      </w:r>
      <w:r w:rsidRPr="00EC737F">
        <w:rPr>
          <w:rStyle w:val="ab"/>
          <w:rFonts w:cs="Traditional Arabic"/>
          <w:sz w:val="28"/>
          <w:szCs w:val="32"/>
          <w:rtl/>
        </w:rPr>
        <w:footnoteReference w:id="12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المذكرة الإيضاحية للمشروع التمهيدي ، في خصوص هذا $601 النص ، ما يأتي : "وإن رسا المزاد على غير الحائز ، فإن الحكم يرسو المزاد هو الذي ينقل الملكية إلى من رسا عليه ، ويكون الثمن الذي رسا به المزاد للحائز ، يستوفي منه الدائنون حقوقهم ، وما يبقى فهو له وللدائنين المرتهنين منه هو"</w:t>
      </w:r>
      <w:r>
        <w:rPr>
          <w:rFonts w:cs="Traditional Arabic" w:hint="cs"/>
          <w:sz w:val="28"/>
          <w:szCs w:val="32"/>
          <w:vertAlign w:val="superscript"/>
          <w:rtl/>
        </w:rPr>
        <w:t xml:space="preserve">( </w:t>
      </w:r>
      <w:r w:rsidRPr="00EC737F">
        <w:rPr>
          <w:rStyle w:val="ab"/>
          <w:rFonts w:cs="Traditional Arabic"/>
          <w:sz w:val="28"/>
          <w:szCs w:val="32"/>
          <w:rtl/>
        </w:rPr>
        <w:footnoteReference w:id="12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مما تقدم أنه إذا زاد الثمن الذي رسا به المزاد على غير الحائز عما هو متسحق للدائنين المقيدين ، كانت الزيادة للحائز وللدائنين المقيدة حقوقهم منه هو</w:t>
      </w:r>
      <w:r>
        <w:rPr>
          <w:rFonts w:cs="Traditional Arabic" w:hint="cs"/>
          <w:sz w:val="28"/>
          <w:szCs w:val="32"/>
          <w:vertAlign w:val="superscript"/>
          <w:rtl/>
        </w:rPr>
        <w:t xml:space="preserve">( </w:t>
      </w:r>
      <w:r w:rsidRPr="00EC737F">
        <w:rPr>
          <w:rStyle w:val="ab"/>
          <w:rFonts w:cs="Traditional Arabic"/>
          <w:sz w:val="28"/>
          <w:szCs w:val="32"/>
          <w:rtl/>
        </w:rPr>
        <w:footnoteReference w:id="124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وللدائنين المرتهنين من الحائز أن يستوفوا حقوقهم من هذه الزيادة ، فهي حق مدينهم الحائز ، فلهم أن ينفذوا عليها ، ويستوفوا منها حقوقهم بحسب مراتبهم</w:t>
      </w:r>
      <w:r>
        <w:rPr>
          <w:rFonts w:cs="Traditional Arabic" w:hint="cs"/>
          <w:sz w:val="28"/>
          <w:szCs w:val="32"/>
          <w:vertAlign w:val="superscript"/>
          <w:rtl/>
        </w:rPr>
        <w:t xml:space="preserve">( </w:t>
      </w:r>
      <w:r w:rsidRPr="00EC737F">
        <w:rPr>
          <w:rStyle w:val="ab"/>
          <w:rFonts w:cs="Traditional Arabic"/>
          <w:sz w:val="28"/>
          <w:szCs w:val="32"/>
          <w:rtl/>
        </w:rPr>
        <w:footnoteReference w:id="124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326- الرهون التي قررها الحائز :</w:t>
      </w:r>
      <w:r>
        <w:rPr>
          <w:rFonts w:cs="Traditional Arabic" w:hint="cs"/>
          <w:sz w:val="28"/>
          <w:szCs w:val="32"/>
          <w:rtl/>
        </w:rPr>
        <w:t xml:space="preserve"> وكل ما قرره الحائز من رهون رسمية أو حيازية ، وكل ما أخذ ضده من حقوق اختصاص وحقوق امتياز خاصة عقارية ، إلى وقت تسجيل الحكم بمرسى المزاد ، تكون صحيحة ، وتكون لها مرتبتها بعد استيفاء دائني الملاك السابقين المقيدين لحقوقهم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591 / 717 من التقنين المدني السابق على أنه "إذا زاد ثمن العقار المبيع بالمزاد على مقدار الديون المطلوبة لأرباب الديون المسجلة ( المقيدة ) تكون تلك الزيادة لدائني الحائز المرتهن له منه ، إنما لا يستولونها إلا بعد أرباب الحقوق على العقار المترتبة لهم على مالكيه السابقين على الحائز المذكور"</w:t>
      </w:r>
      <w:r>
        <w:rPr>
          <w:rFonts w:cs="Traditional Arabic" w:hint="cs"/>
          <w:sz w:val="28"/>
          <w:szCs w:val="32"/>
          <w:vertAlign w:val="superscript"/>
          <w:rtl/>
        </w:rPr>
        <w:t xml:space="preserve">( </w:t>
      </w:r>
      <w:r w:rsidRPr="00EC737F">
        <w:rPr>
          <w:rStyle w:val="ab"/>
          <w:rFonts w:cs="Traditional Arabic"/>
          <w:sz w:val="28"/>
          <w:szCs w:val="32"/>
          <w:rtl/>
        </w:rPr>
        <w:footnoteReference w:id="124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$602 </w:t>
      </w:r>
      <w:r>
        <w:rPr>
          <w:rFonts w:cs="Traditional Arabic" w:hint="cs"/>
          <w:b/>
          <w:bCs/>
          <w:sz w:val="28"/>
          <w:szCs w:val="32"/>
          <w:rtl/>
        </w:rPr>
        <w:t xml:space="preserve">327- حقوق الارتفاق والحقوق العينية الأخرى </w:t>
      </w:r>
      <w:r>
        <w:rPr>
          <w:rFonts w:cs="Traditional Arabic"/>
          <w:b/>
          <w:bCs/>
          <w:sz w:val="28"/>
          <w:szCs w:val="32"/>
          <w:rtl/>
        </w:rPr>
        <w:t>–</w:t>
      </w:r>
      <w:r>
        <w:rPr>
          <w:rFonts w:cs="Traditional Arabic" w:hint="cs"/>
          <w:b/>
          <w:bCs/>
          <w:sz w:val="28"/>
          <w:szCs w:val="32"/>
          <w:rtl/>
        </w:rPr>
        <w:t xml:space="preserve"> نص قانوني</w:t>
      </w:r>
      <w:r>
        <w:rPr>
          <w:rFonts w:cs="Traditional Arabic" w:hint="cs"/>
          <w:sz w:val="28"/>
          <w:szCs w:val="32"/>
          <w:rtl/>
        </w:rPr>
        <w:t xml:space="preserve"> : تنص المادة 1078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"يعود للحائز ما كان له ، قبل انتقال ملكية العقار إليه ، من حقوق ارتفاق وحقوق عينية أخرى"</w:t>
      </w:r>
      <w:r>
        <w:rPr>
          <w:rFonts w:cs="Traditional Arabic" w:hint="cs"/>
          <w:sz w:val="28"/>
          <w:szCs w:val="32"/>
          <w:vertAlign w:val="superscript"/>
          <w:rtl/>
        </w:rPr>
        <w:t xml:space="preserve">( </w:t>
      </w:r>
      <w:r w:rsidRPr="00EC737F">
        <w:rPr>
          <w:rStyle w:val="ab"/>
          <w:rFonts w:cs="Traditional Arabic"/>
          <w:sz w:val="28"/>
          <w:szCs w:val="32"/>
          <w:rtl/>
        </w:rPr>
        <w:footnoteReference w:id="12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في خصوص هذا النص ، ما يأتي : "وإذا كانت له ( للحائز ) حقوق عينية على العقار المرهون ( كرهن أو ارتفاق ) قبل أن تنتقل إليه ملكيته ، فزالت باتحاد الذمة ، ثم رسا المزاد على غيره ، فإن هذه الحقوق العينية تعود"</w:t>
      </w:r>
      <w:r>
        <w:rPr>
          <w:rFonts w:cs="Traditional Arabic" w:hint="cs"/>
          <w:sz w:val="28"/>
          <w:szCs w:val="32"/>
          <w:vertAlign w:val="superscript"/>
          <w:rtl/>
        </w:rPr>
        <w:t xml:space="preserve">( </w:t>
      </w:r>
      <w:r w:rsidRPr="00EC737F">
        <w:rPr>
          <w:rStyle w:val="ab"/>
          <w:rFonts w:cs="Traditional Arabic"/>
          <w:sz w:val="28"/>
          <w:szCs w:val="32"/>
          <w:rtl/>
        </w:rPr>
        <w:footnoteReference w:id="125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vertAlign w:val="superscript"/>
          <w:rtl/>
        </w:rPr>
      </w:pPr>
      <w:r>
        <w:rPr>
          <w:rFonts w:cs="Traditional Arabic" w:hint="cs"/>
          <w:sz w:val="28"/>
          <w:szCs w:val="32"/>
          <w:rtl/>
        </w:rPr>
        <w:t>ويلاحظ أنه من المحتمل أن يكون للحائز ، قبل أن يصبح حائزاً ، حقوق عينية على العقار المرهون ، كحق رهن أو حق انتفاع ، أو حق ارتفاق أو حق استعمال أو حق سكنى . فلما أصبح حائزاً وانتقلت إليه ملكية العقار ، زالت هذه الحقوق باتحاد الذمة .</w:t>
      </w:r>
    </w:p>
    <w:p w:rsidR="00F72742" w:rsidRDefault="00F72742" w:rsidP="00F72742">
      <w:pPr>
        <w:widowControl w:val="0"/>
        <w:spacing w:after="120"/>
        <w:ind w:firstLine="567"/>
        <w:jc w:val="lowKashida"/>
        <w:rPr>
          <w:rFonts w:cs="Traditional Arabic" w:hint="cs"/>
          <w:sz w:val="28"/>
          <w:szCs w:val="32"/>
          <w:rtl/>
        </w:rPr>
      </w:pPr>
      <w:r w:rsidRPr="009E69E2">
        <w:rPr>
          <w:rFonts w:cs="Traditional Arabic" w:hint="cs"/>
          <w:sz w:val="28"/>
          <w:szCs w:val="32"/>
          <w:rtl/>
        </w:rPr>
        <w:t xml:space="preserve">فإذا </w:t>
      </w:r>
      <w:r>
        <w:rPr>
          <w:rFonts w:cs="Traditional Arabic" w:hint="cs"/>
          <w:sz w:val="28"/>
          <w:szCs w:val="32"/>
          <w:rtl/>
        </w:rPr>
        <w:t xml:space="preserve">بيع العقار بعد ذلك ، ورسا مزاده على غير الحائز وانتزعت ملكية الحائز ، فإن من الطبيعي أن الحقوق العينية التي كانت له على العقار قبل أن يصبح حائزاً ، تعود إليه كما كانت ، بعد أن تجرد من </w:t>
      </w:r>
      <w:r>
        <w:rPr>
          <w:rFonts w:cs="Traditional Arabic" w:hint="cs"/>
          <w:sz w:val="28"/>
          <w:szCs w:val="32"/>
          <w:rtl/>
        </w:rPr>
        <w:lastRenderedPageBreak/>
        <w:t>ملكية العقار ورسا المزاد على غيره . فيعود للحائز حق الرهن ، أو حق الانتفاع ، $603 أو حق الارتفاق ، أو حق الاستعمال ، أو حق السكنى . فقد زال سبب زوالها وهو اتحاد الذمة ، وأصبح العقار مملوكا لغير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الدائنين المقيدين كان لا يجوز الاحتجاج ضدهم بهذه الحقوق ، لأنها تالية للحقوق التي كسبوها على العقار المرهون . فيكون له الحق في بيع العقار لهم خالياً من هذه الحقوق ، وقد يضعون شرطاً في هذا الخصوص في شروط البيع</w:t>
      </w:r>
      <w:r>
        <w:rPr>
          <w:rFonts w:cs="Traditional Arabic" w:hint="cs"/>
          <w:sz w:val="28"/>
          <w:szCs w:val="32"/>
          <w:vertAlign w:val="superscript"/>
          <w:rtl/>
        </w:rPr>
        <w:t xml:space="preserve">( </w:t>
      </w:r>
      <w:r w:rsidRPr="00EC737F">
        <w:rPr>
          <w:rStyle w:val="ab"/>
          <w:rFonts w:cs="Traditional Arabic"/>
          <w:sz w:val="28"/>
          <w:szCs w:val="32"/>
          <w:rtl/>
        </w:rPr>
        <w:footnoteReference w:id="12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وضعوا هذا الشرط ، بيع العقار خالياً من هذه الحقوق للراسي عليه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عند ما ينزع ملكية الحائز ببيع العقار في المزاد ورسو المزاد على غير الحائز لم يعد هناك مبرر لزوال هذه الحقوق من الحائز ، فتعود إليه ثانية كما كانت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328- الحقوق العينية للحائز السابقة على حقوق الدائنين المرتهنين : </w:t>
      </w:r>
      <w:r>
        <w:rPr>
          <w:rFonts w:cs="Traditional Arabic" w:hint="cs"/>
          <w:sz w:val="28"/>
          <w:szCs w:val="32"/>
          <w:rtl/>
        </w:rPr>
        <w:t>وفيما تقدم فرضنا أن الحقوق العينية التي للحائز على العقار المرهون إنما هي تالية لحقوق الدائنين المرتهنين ، والآن نفرض أن هذه الحقوق العينية التي للحائز هي سابقة على حقوق الدائنين المرتهنين ، وتسري عليهم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زالت هذه الحقوق باتحاد الذمة لما تملك الحائز العقار المرهون ، وأصبح بهذا التملك حائزاً . ثم زالت ملكية الحائز للعقار المرهون ، ونزعت ملكيته بناء على طلب الدائنين المقيدين ، وبيع العقار بالمزاد الجبري ، ورسا مزاده على غير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عند ذلك تعود الحقوق العينية التي كانت للحائز قبل أن يصبح حائزاً إليه ثانية ، لأن السبب في زوالها قد زال ، ولم يعد الحائز مالكاً للعقار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$604 والفرق بين هذه الحالة والحالة المتقدمة ، أن العقار يباع على الحائز بالمزاد العلني غير خال من هذه الحقوق العينية ، ولا يجوز للدائنين المرتهنين ، كما يجوز لهم في الحالة المتقدمة ، أن يبيعوا العقار </w:t>
      </w:r>
      <w:r>
        <w:rPr>
          <w:rFonts w:cs="Traditional Arabic" w:hint="cs"/>
          <w:sz w:val="28"/>
          <w:szCs w:val="32"/>
          <w:rtl/>
        </w:rPr>
        <w:lastRenderedPageBreak/>
        <w:t>خالياً من هذه الحقوق العينية ، ولا أن يضعوا شرطاً بخلو العقار من هذه الحقوق كما جاز لهم أن يضعوا هذا الشرط في الحالة المتقدمة . بل يجب أن يبيعوا العقار مثقلا بهذه الحقوق ، لأنها سابقة على حقوقهم وتسري عليهم . فإذا رسا العقار في المزاد على غير الحائز ، عادت للحائز حقوقه العينية كما كانت ، فيعود له حق الرهن أو حق الانتفاع أو حق الارتفاق أو حق الاستعمال أو حق السكنى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للحائز حق رهن ، فيجب عليه أن يجدد قيد رهنه حتى لو زال الرهن باتحاد الذمة ، وذلك إذا أراد الحائز عند عودته دائناً مرتهناً أن يتمسك بمرتبته الأصلية</w:t>
      </w:r>
      <w:r>
        <w:rPr>
          <w:rFonts w:cs="Traditional Arabic" w:hint="cs"/>
          <w:sz w:val="28"/>
          <w:szCs w:val="32"/>
          <w:vertAlign w:val="superscript"/>
          <w:rtl/>
        </w:rPr>
        <w:t xml:space="preserve">( </w:t>
      </w:r>
      <w:r w:rsidRPr="00EC737F">
        <w:rPr>
          <w:rStyle w:val="ab"/>
          <w:rFonts w:cs="Traditional Arabic"/>
          <w:sz w:val="28"/>
          <w:szCs w:val="32"/>
          <w:rtl/>
        </w:rPr>
        <w:footnoteReference w:id="1253"/>
      </w:r>
      <w:r>
        <w:rPr>
          <w:rFonts w:cs="Traditional Arabic" w:hint="cs"/>
          <w:sz w:val="28"/>
          <w:szCs w:val="32"/>
          <w:vertAlign w:val="superscript"/>
          <w:rtl/>
        </w:rPr>
        <w:t xml:space="preserve"> )</w:t>
      </w:r>
      <w:r>
        <w:rPr>
          <w:rFonts w:cs="Traditional Arabic" w:hint="cs"/>
          <w:sz w:val="28"/>
          <w:szCs w:val="32"/>
          <w:rtl/>
        </w:rPr>
        <w:t xml:space="preserve"> . فإذا لم يجدده ، أو إذا وافق على محو القيد ، فإن رهنه يعود ، ولكن لا يأخذ مرتبته إلا من وقت القيد الجديد</w:t>
      </w:r>
      <w:r>
        <w:rPr>
          <w:rFonts w:cs="Traditional Arabic" w:hint="cs"/>
          <w:sz w:val="28"/>
          <w:szCs w:val="32"/>
          <w:vertAlign w:val="superscript"/>
          <w:rtl/>
        </w:rPr>
        <w:t xml:space="preserve">( </w:t>
      </w:r>
      <w:r w:rsidRPr="00EC737F">
        <w:rPr>
          <w:rStyle w:val="ab"/>
          <w:rFonts w:cs="Traditional Arabic"/>
          <w:sz w:val="28"/>
          <w:szCs w:val="32"/>
          <w:rtl/>
        </w:rPr>
        <w:footnoteReference w:id="1254"/>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وتعود الحقوق العينية من وقت تسجيل رسو المزاد على الحائز ، لأنه حتى ذلك الوقت يبقى الحائز مالكاً للعقار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حق الارتفاق الذي كان لحائز يعود إليه كما قدمنا ، فإن حق الارتفاق الذي كان مقرراً لمنفعة العقار المرهون على عقار للحائز يعود كذلك ، وإلا أنبنى على ذلك نقص قيمة العقار المرهون والإضرار بالدائن المرتهن ، فيجب أن يشمله العقار المرهون عند طرحه في المزاد</w:t>
      </w:r>
      <w:r>
        <w:rPr>
          <w:rFonts w:cs="Traditional Arabic" w:hint="cs"/>
          <w:sz w:val="28"/>
          <w:szCs w:val="32"/>
          <w:vertAlign w:val="superscript"/>
          <w:rtl/>
        </w:rPr>
        <w:t xml:space="preserve">( </w:t>
      </w:r>
      <w:r w:rsidRPr="00EC737F">
        <w:rPr>
          <w:rStyle w:val="ab"/>
          <w:rFonts w:cs="Traditional Arabic"/>
          <w:sz w:val="28"/>
          <w:szCs w:val="32"/>
          <w:rtl/>
        </w:rPr>
        <w:footnoteReference w:id="125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329- رد الثمار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تنص المادة 1079 مدني على $605 "على الحائز أن يرد ثمار العقار من وقت إنذار بالدفع أو التخلية ، فإذا تركت الإجراءات لمدة ثلاثة سنوات فلا يرد الثمار إلا من وقت أن يوجه إليه إنذار جديد"</w:t>
      </w:r>
      <w:r>
        <w:rPr>
          <w:rFonts w:cs="Traditional Arabic" w:hint="cs"/>
          <w:sz w:val="28"/>
          <w:szCs w:val="32"/>
          <w:vertAlign w:val="superscript"/>
          <w:rtl/>
        </w:rPr>
        <w:t xml:space="preserve">( </w:t>
      </w:r>
      <w:r w:rsidRPr="00EC737F">
        <w:rPr>
          <w:rStyle w:val="ab"/>
          <w:rFonts w:cs="Traditional Arabic"/>
          <w:sz w:val="28"/>
          <w:szCs w:val="32"/>
          <w:rtl/>
        </w:rPr>
        <w:footnoteReference w:id="1256"/>
      </w:r>
      <w:r>
        <w:rPr>
          <w:rFonts w:cs="Traditional Arabic" w:hint="cs"/>
          <w:sz w:val="28"/>
          <w:szCs w:val="32"/>
          <w:vertAlign w:val="superscript"/>
          <w:rtl/>
        </w:rPr>
        <w:t xml:space="preserve"> )</w:t>
      </w:r>
      <w:r>
        <w:rPr>
          <w:rFonts w:cs="Traditional Arabic" w:hint="cs"/>
          <w:sz w:val="28"/>
          <w:szCs w:val="32"/>
          <w:rtl/>
        </w:rPr>
        <w:t xml:space="preserve"> . وجاء في المذكرة الإيضاحية للمشروع التمهيدي ، في خصوص </w:t>
      </w:r>
      <w:r>
        <w:rPr>
          <w:rFonts w:cs="Traditional Arabic" w:hint="cs"/>
          <w:sz w:val="28"/>
          <w:szCs w:val="32"/>
          <w:rtl/>
        </w:rPr>
        <w:lastRenderedPageBreak/>
        <w:t>هذا النص ، ما يأتي : "والحائز على كل حال مسئول عن الثمار من وقت الإنذار بالدفع أو التخلية ، إذ تلحق الثمار بالعقار قبله من ذلك الوقت . فإذا تركت الإجراءات ثلاث سنوات ، فلا يرد الثمار إلا من وقت أن يوجه إليه إنذار جديد ، لأن الإنذار القديم يكون قد سقط"</w:t>
      </w:r>
      <w:r>
        <w:rPr>
          <w:rFonts w:cs="Traditional Arabic" w:hint="cs"/>
          <w:sz w:val="28"/>
          <w:szCs w:val="32"/>
          <w:vertAlign w:val="superscript"/>
          <w:rtl/>
        </w:rPr>
        <w:t xml:space="preserve">( </w:t>
      </w:r>
      <w:r w:rsidRPr="00EC737F">
        <w:rPr>
          <w:rStyle w:val="ab"/>
          <w:rFonts w:cs="Traditional Arabic"/>
          <w:sz w:val="28"/>
          <w:szCs w:val="32"/>
          <w:rtl/>
        </w:rPr>
        <w:footnoteReference w:id="12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ويرى من ذلك أن الحائز ، عند ما يشرع الدائنون المقيدون في بيع عقاره المرهون بالمزاد ، يجب عليه أن يرد الثمار . ويردها مع العقار إلى من رسا عليه المزاد ،وذلك من وقت إنذاره بالدفع أو التخلية ، إذ من ذلك الوقت تلحق الثمار بالعقار . فإذا رسا المزاد على غير الحائز ، سلم الحائز له العقار المرهون ، مع ثماره من وقت الإنذار إذ تلحق الثمار بالعقار المرهون كما قدمنا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انذر الحائز بالدفع ا التخلية ، وترك الدائنون المقيدون الإجراءات إلى ثلاثة سنوات دون عمل ، سقط الحق في الثمار . ويبقى ساقطاً عقب انقضاء الثلاث السنوات ، إلى أن يوجه الدائنون المرتهنون إنذاراً جديداً للحائز بالدفع أو التخلية ، فيعود الحائز من وقت الإنذار الجديد مسئولا $606 عن الثمار وتلحق بالعقار ، وتبقى ملحقة بالعقار ثلاث سنوات أخرى إذا تركت الإجراءات فيها سقط الإنذار الثاني ، وهكذا ، حتى يتمكن الدائنون المقيدون من بيع العقار وتكون الثمار ملحقة به ، فيتسلم الراسي عليه المزاد الثمار مع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وقبل إنذار الحائز بالدفع أو التخلية ، تكون الثمار له باعتباره مالكاً للعقار المرهون . وتكون الثمار ضماناً عاماً لكل دائني الحائز ، عاديين وغير عاديين . ولكن من وقت الإنذار بالدفع أو التخلية ، تكون الثمار من حق الدائنين المقيدين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وفوائد الثمن تكون أيضاً من حق الدائنين المقيدين ، م وقت الإنذار بالدفع أو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2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وسقوط الإنذار بالدفع أو التخلية بمضي ثلاث سنوات يكون بقوة القانون فلا حاجة إلى طلب ، ولا يكفي الرهن الرسمي وحده لجعل الثمار ملحقة بالعقار</w:t>
      </w:r>
      <w:r>
        <w:rPr>
          <w:rFonts w:cs="Traditional Arabic" w:hint="cs"/>
          <w:sz w:val="28"/>
          <w:szCs w:val="32"/>
          <w:vertAlign w:val="superscript"/>
          <w:rtl/>
        </w:rPr>
        <w:t xml:space="preserve">( </w:t>
      </w:r>
      <w:r w:rsidRPr="00EC737F">
        <w:rPr>
          <w:rStyle w:val="ab"/>
          <w:rFonts w:cs="Traditional Arabic"/>
          <w:sz w:val="28"/>
          <w:szCs w:val="32"/>
          <w:rtl/>
        </w:rPr>
        <w:footnoteReference w:id="12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أنه بحسب قانون المرافعات القديم ( م 5459 تعتبر الثمار ملحقة بالعقار م وقت تسجيل التنبيه بنزع الملكية . وتفسير هذا الاختلاف أن القانون المدني نظر إلى الحالة التي يكون فيها العقار للحائز فتكون المطالبة له ، ونظر قانون المرافعات إلى الحالة التي تكون المطالبة فيها لنفس المدين . وبين الحالتين فرق ، فإذا كانت المطالبة موجهة إلى المدين لكونه مالكاً للعقار المرهون فإن الثمار تكون من حق دائنيه حتى العاديين فلا يستأثر بها الدائنون المقيدون إلا منن وقت تسجيل التنبيه ، أما إذا كانت المطالبة موجهة إلى الحائز فلا يصح أن يترتب على تسجيل التنبيه الذي يوجه إلى المدين $607 التزام على الحائز وإنما يترتب هذا الالتزام على الإنذار الذي يوجه إلى الحائز</w:t>
      </w:r>
      <w:r>
        <w:rPr>
          <w:rFonts w:cs="Traditional Arabic" w:hint="cs"/>
          <w:sz w:val="28"/>
          <w:szCs w:val="32"/>
          <w:vertAlign w:val="superscript"/>
          <w:rtl/>
        </w:rPr>
        <w:t xml:space="preserve">( </w:t>
      </w:r>
      <w:r w:rsidRPr="00EC737F">
        <w:rPr>
          <w:rStyle w:val="ab"/>
          <w:rFonts w:cs="Traditional Arabic"/>
          <w:sz w:val="28"/>
          <w:szCs w:val="32"/>
          <w:rtl/>
        </w:rPr>
        <w:footnoteReference w:id="12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والثمار التي يشملها الإلحاق هي كل الثمار ، طبيعية كانت أم صناعية أم مدنية</w:t>
      </w:r>
      <w:r>
        <w:rPr>
          <w:rFonts w:cs="Traditional Arabic" w:hint="cs"/>
          <w:sz w:val="28"/>
          <w:szCs w:val="32"/>
          <w:vertAlign w:val="superscript"/>
          <w:rtl/>
        </w:rPr>
        <w:t xml:space="preserve">( </w:t>
      </w:r>
      <w:r w:rsidRPr="00EC737F">
        <w:rPr>
          <w:rStyle w:val="ab"/>
          <w:rFonts w:cs="Traditional Arabic"/>
          <w:sz w:val="28"/>
          <w:szCs w:val="32"/>
          <w:rtl/>
        </w:rPr>
        <w:footnoteReference w:id="12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330- المصروفات</w:t>
      </w:r>
      <w:r>
        <w:rPr>
          <w:rFonts w:cs="Traditional Arabic" w:hint="cs"/>
          <w:sz w:val="28"/>
          <w:szCs w:val="32"/>
          <w:rtl/>
        </w:rPr>
        <w:t xml:space="preserve"> : ويجب أن ترد إلى الحائز جميع المصروفات الضرورية . أما المصروفات النافعة ، فلا يرد منها إلا اقل القيمتين : مبلغ المصروفات ، وما زاد في قيمة العقار المرهون بسبب هذه المصروفات</w:t>
      </w:r>
      <w:r>
        <w:rPr>
          <w:rFonts w:cs="Traditional Arabic" w:hint="cs"/>
          <w:sz w:val="28"/>
          <w:szCs w:val="32"/>
          <w:vertAlign w:val="superscript"/>
          <w:rtl/>
        </w:rPr>
        <w:t xml:space="preserve">( </w:t>
      </w:r>
      <w:r w:rsidRPr="00EC737F">
        <w:rPr>
          <w:rStyle w:val="ab"/>
          <w:rFonts w:cs="Traditional Arabic"/>
          <w:sz w:val="28"/>
          <w:szCs w:val="32"/>
          <w:rtl/>
        </w:rPr>
        <w:footnoteReference w:id="1262"/>
      </w:r>
      <w:r>
        <w:rPr>
          <w:rFonts w:cs="Traditional Arabic" w:hint="cs"/>
          <w:sz w:val="28"/>
          <w:szCs w:val="32"/>
          <w:vertAlign w:val="superscript"/>
          <w:rtl/>
        </w:rPr>
        <w:t xml:space="preserve"> )</w:t>
      </w:r>
      <w:r>
        <w:rPr>
          <w:rFonts w:cs="Traditional Arabic" w:hint="cs"/>
          <w:sz w:val="28"/>
          <w:szCs w:val="32"/>
          <w:rtl/>
        </w:rPr>
        <w:t xml:space="preserve"> ، وتقدر الزيادة وقت رسو المزاد</w:t>
      </w:r>
      <w:r>
        <w:rPr>
          <w:rFonts w:cs="Traditional Arabic" w:hint="cs"/>
          <w:sz w:val="28"/>
          <w:szCs w:val="32"/>
          <w:vertAlign w:val="superscript"/>
          <w:rtl/>
        </w:rPr>
        <w:t xml:space="preserve">( </w:t>
      </w:r>
      <w:r w:rsidRPr="00EC737F">
        <w:rPr>
          <w:rStyle w:val="ab"/>
          <w:rFonts w:cs="Traditional Arabic"/>
          <w:sz w:val="28"/>
          <w:szCs w:val="32"/>
          <w:rtl/>
        </w:rPr>
        <w:footnoteReference w:id="12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وللحائز أن يطالب بالمصروفات التي أنفقها هو ، والتي أنفقها الحائزون السابقون ودفع مقابلا عنها عند حيازته للعقار . أما إذا كانت الزيادة ناشئة عن الزيادة العامة في قيمة العقار ، فليس للحائز أن يطالب بشيء</w:t>
      </w:r>
      <w:r>
        <w:rPr>
          <w:rFonts w:cs="Traditional Arabic" w:hint="cs"/>
          <w:sz w:val="28"/>
          <w:szCs w:val="32"/>
          <w:vertAlign w:val="superscript"/>
          <w:rtl/>
        </w:rPr>
        <w:t xml:space="preserve">( </w:t>
      </w:r>
      <w:r w:rsidRPr="00EC737F">
        <w:rPr>
          <w:rStyle w:val="ab"/>
          <w:rFonts w:cs="Traditional Arabic"/>
          <w:sz w:val="28"/>
          <w:szCs w:val="32"/>
          <w:rtl/>
        </w:rPr>
        <w:footnoteReference w:id="1264"/>
      </w:r>
      <w:r>
        <w:rPr>
          <w:rFonts w:cs="Traditional Arabic" w:hint="cs"/>
          <w:sz w:val="28"/>
          <w:szCs w:val="32"/>
          <w:vertAlign w:val="superscript"/>
          <w:rtl/>
        </w:rPr>
        <w:t xml:space="preserve"> )</w:t>
      </w:r>
      <w:r>
        <w:rPr>
          <w:rFonts w:cs="Traditional Arabic" w:hint="cs"/>
          <w:sz w:val="28"/>
          <w:szCs w:val="32"/>
          <w:rtl/>
        </w:rPr>
        <w:t xml:space="preserve"> .</w:t>
      </w:r>
    </w:p>
    <w:p w:rsidR="00F72742" w:rsidRPr="00837D23"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المصروفات الكمالية ، فليس للحائز أن يطالب بمقابل عنها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331- التلف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تنص المادة 1081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"الحائز مسئول شخصياً قبل الدائنين عما يصيب العقار من تلف بخطأه"</w:t>
      </w:r>
      <w:r>
        <w:rPr>
          <w:rFonts w:cs="Traditional Arabic" w:hint="cs"/>
          <w:sz w:val="28"/>
          <w:szCs w:val="32"/>
          <w:vertAlign w:val="superscript"/>
          <w:rtl/>
        </w:rPr>
        <w:t xml:space="preserve">( </w:t>
      </w:r>
      <w:r w:rsidRPr="00EC737F">
        <w:rPr>
          <w:rStyle w:val="ab"/>
          <w:rFonts w:cs="Traditional Arabic"/>
          <w:sz w:val="28"/>
          <w:szCs w:val="32"/>
          <w:rtl/>
        </w:rPr>
        <w:footnoteReference w:id="12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$608 وجاء في المذكرة الإيضاحية للمشروع التمهيدي ، في خصوص هذا النص ، ما يأتي : "وهو ( الحائز ) مسئول أيضاً أمام الدائنين عما يصيب العقار المرهون من تلف بخطأه"</w:t>
      </w:r>
      <w:r>
        <w:rPr>
          <w:rFonts w:cs="Traditional Arabic" w:hint="cs"/>
          <w:sz w:val="28"/>
          <w:szCs w:val="32"/>
          <w:vertAlign w:val="superscript"/>
          <w:rtl/>
        </w:rPr>
        <w:t xml:space="preserve">( </w:t>
      </w:r>
      <w:r w:rsidRPr="00EC737F">
        <w:rPr>
          <w:rStyle w:val="ab"/>
          <w:rFonts w:cs="Traditional Arabic"/>
          <w:sz w:val="28"/>
          <w:szCs w:val="32"/>
          <w:rtl/>
        </w:rPr>
        <w:footnoteReference w:id="12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والمفروض هنا أن العقار المرهون قد أصابه تلف بخطأ الحائز ، فيكون الحائز هو المسئول عن هذا التلف متى ثبت أن التلف بخطأه ، وفقاً لقواعد المسئولية التقصيرية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ويكون ذلك غالباً عند ما يتسلم الحائز العقار المرهون ، بعد أن انتقلت إليه ملكيته وأصبح حائزاً ، فيقع خطأ من الحائز يتسبب عنه تلف العقار . ويقع الخطأ في أي وقت ، وليس من الضروري أن يقع بعد </w:t>
      </w:r>
      <w:r>
        <w:rPr>
          <w:rFonts w:cs="Traditional Arabic" w:hint="cs"/>
          <w:sz w:val="28"/>
          <w:szCs w:val="32"/>
          <w:rtl/>
        </w:rPr>
        <w:lastRenderedPageBreak/>
        <w:t>أن يقرر الدائنون المقيدون بيع العقار في المزاد ويرسو مزاده على غير الحائز . فمتى وقع خطأ من الحائز في أي وقت ولو قبل أن يقرر الدائنون المقيدون بيع العقار في المزاد ، وتسبب عن هذا الخطأ تلف العقار المرهون ، كان الحائز مسئولا عن هذا التلف .وتكون مسئوليته قبل الدائنين المرتهنين ، فلهم أن يقاضوا الحائز ويثبتوا خطأه وأن هذا الخطأ تسبب في تلف العقار ، حتى يتقاضوا تعويضاً من هذا التلف طبقاً لقواعد المسئولية التقصيرية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تفيد دعوى التعويض في الواقع إلا الدائنين الذين لا يكفي ثمن العقار بعد أن تلف لقضاء ديونهم ، فهم الذين يكون لهم الحق في طلب التعويضات ، إذ لولا التلف الذي أصاب العقار لبيع بثمن أعلى واستفادوا من فرق الثمن</w:t>
      </w:r>
      <w:r>
        <w:rPr>
          <w:rFonts w:cs="Traditional Arabic" w:hint="cs"/>
          <w:sz w:val="28"/>
          <w:szCs w:val="32"/>
          <w:vertAlign w:val="superscript"/>
          <w:rtl/>
        </w:rPr>
        <w:t xml:space="preserve">( </w:t>
      </w:r>
      <w:r w:rsidRPr="00EC737F">
        <w:rPr>
          <w:rStyle w:val="ab"/>
          <w:rFonts w:cs="Traditional Arabic"/>
          <w:sz w:val="28"/>
          <w:szCs w:val="32"/>
          <w:rtl/>
        </w:rPr>
        <w:footnoteReference w:id="126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ويقع عبء إثبات المسئولية على من يدعيها من الدائنين المتقدمين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$609 والتعويض الذي يدفعه الحائز هو نقص قيمة العقار بسبب التلف ، ويكون من حق الدائنين بحسب مراتبهم</w:t>
      </w:r>
      <w:r>
        <w:rPr>
          <w:rFonts w:cs="Traditional Arabic" w:hint="cs"/>
          <w:sz w:val="28"/>
          <w:szCs w:val="32"/>
          <w:vertAlign w:val="superscript"/>
          <w:rtl/>
        </w:rPr>
        <w:t xml:space="preserve">( </w:t>
      </w:r>
      <w:r w:rsidRPr="00EC737F">
        <w:rPr>
          <w:rStyle w:val="ab"/>
          <w:rFonts w:cs="Traditional Arabic"/>
          <w:sz w:val="28"/>
          <w:szCs w:val="32"/>
          <w:rtl/>
        </w:rPr>
        <w:footnoteReference w:id="12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للدائنين المقيدين أن يرفعوا دعوى التعويض حتى قبل إجراءات دعوى الرهن ، عقب وقوع التلف . ويجوز أن يرفعها من لم يحل حقه بعد ، ومن كان حقه شريطياً ولو معلقاً على شرط واقف . ولكن في هذه الأحوال يطلب الدائن إيداع المبلغ الذي يقضي به في مقابل التلف خزانة المحكمة ، فيودع بحسب درجة القيود في حالة عدم كفاية ثمن العقار</w:t>
      </w:r>
      <w:r>
        <w:rPr>
          <w:rFonts w:cs="Traditional Arabic" w:hint="cs"/>
          <w:sz w:val="28"/>
          <w:szCs w:val="32"/>
          <w:vertAlign w:val="superscript"/>
          <w:rtl/>
        </w:rPr>
        <w:t xml:space="preserve">( </w:t>
      </w:r>
      <w:r w:rsidRPr="00EC737F">
        <w:rPr>
          <w:rStyle w:val="ab"/>
          <w:rFonts w:cs="Traditional Arabic"/>
          <w:sz w:val="28"/>
          <w:szCs w:val="32"/>
          <w:rtl/>
        </w:rPr>
        <w:footnoteReference w:id="126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ويكن للحائز الذي يلزم بالتعويض الحق في الرجوع على البائع له ، إذ أن ملكية العقار انتقلت إليه </w:t>
      </w:r>
      <w:r>
        <w:rPr>
          <w:rFonts w:cs="Traditional Arabic" w:hint="cs"/>
          <w:sz w:val="28"/>
          <w:szCs w:val="32"/>
          <w:rtl/>
        </w:rPr>
        <w:lastRenderedPageBreak/>
        <w:t>بموجب البيع ، والملكية تشمل حق تصرف المالك في الشيء كما يريد ، ولو أتلف الشيء  ، من غير أن يلزم بأي تعويض . فإذا ألزم الحائز بالتعويض للدائنين المقيدين نظير التلف الحاصل ، كان له حق الرجوع على البائع له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7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يكون الحائز مسئولا قبل الدائنين المرتهنين عن التلف الحاصل بسبب أجنبي ، كحادث فجائي أو قوة قاهرة أو بسبب القدم أو بسبب الاستعمال العادي ، بل يتحمله الدائنون المقيدون</w:t>
      </w:r>
      <w:r>
        <w:rPr>
          <w:rFonts w:cs="Traditional Arabic" w:hint="cs"/>
          <w:sz w:val="28"/>
          <w:szCs w:val="32"/>
          <w:vertAlign w:val="superscript"/>
          <w:rtl/>
        </w:rPr>
        <w:t xml:space="preserve">( </w:t>
      </w:r>
      <w:r w:rsidRPr="00EC737F">
        <w:rPr>
          <w:rStyle w:val="ab"/>
          <w:rFonts w:cs="Traditional Arabic"/>
          <w:sz w:val="28"/>
          <w:szCs w:val="32"/>
          <w:rtl/>
        </w:rPr>
        <w:footnoteReference w:id="127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332- حق رجوع الحائز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تنص المادة 1080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$610 "1- يرجع الحائز بدعوى الضمان على المالك السابق في الحدود التي يرجع بها الخلف على من تلقى منه الملكية معاوضة أو تبرعاً"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ويرجع الحائز أيضاً على المدين بما دفعه زيادة على ما هو مستحق في ذمته بمقتضى سند ملكيته ، أياً كان السبب في دفع هذه الزيادة . ويحل محل الدائنين الذين وفاهم حقوقهم ، وبوجه خاص يحل محلهم فيما لهم ن تأمينات قدمها المدين ،دون التأمينات التي قدمها شخص آخر غير المدين"</w:t>
      </w:r>
      <w:r>
        <w:rPr>
          <w:rFonts w:cs="Traditional Arabic" w:hint="cs"/>
          <w:sz w:val="28"/>
          <w:szCs w:val="32"/>
          <w:vertAlign w:val="superscript"/>
          <w:rtl/>
        </w:rPr>
        <w:t xml:space="preserve">( </w:t>
      </w:r>
      <w:r w:rsidRPr="00EC737F">
        <w:rPr>
          <w:rStyle w:val="ab"/>
          <w:rFonts w:cs="Traditional Arabic"/>
          <w:sz w:val="28"/>
          <w:szCs w:val="32"/>
          <w:rtl/>
        </w:rPr>
        <w:footnoteReference w:id="12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المذكرة الإيضاحية للمشروع التمهيدي ، في خصوص هذا النص ، ما يأتي : "ويرجع ( الحائز ) بدعوى ضمان الاستحقاق على من تلقى الملك منه وفقاً لقواعد الضمان في البيع أو الهبة ، وله أيضاً أن يرجع على المدين بدعوى الإثراء بلا سبب بما دفعه زيادة عما في ذمته بمقتضى سند مليته . ويحل محل الدائنين الذي وفاهم حقوقهم ، طبقاً لقواعد الحلول"</w:t>
      </w:r>
      <w:r>
        <w:rPr>
          <w:rFonts w:cs="Traditional Arabic" w:hint="cs"/>
          <w:sz w:val="28"/>
          <w:szCs w:val="32"/>
          <w:vertAlign w:val="superscript"/>
          <w:rtl/>
        </w:rPr>
        <w:t xml:space="preserve">( </w:t>
      </w:r>
      <w:r w:rsidRPr="00EC737F">
        <w:rPr>
          <w:rStyle w:val="ab"/>
          <w:rFonts w:cs="Traditional Arabic"/>
          <w:sz w:val="28"/>
          <w:szCs w:val="32"/>
          <w:rtl/>
        </w:rPr>
        <w:footnoteReference w:id="12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من ذلك أن للحائز ، بعد أن يخرج العقار من ملكه بالمزاد العلني إلى يد من رسا عليه المزاد ، يكون له حقان في الرجوع طبقاً للقواعد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$611 ( الحق الأول ) ضد المالك السابق الذي تلقى عنه الملكية ، وهو مالك العقار المرهون . فللحائز أن يرجع على مالك العقار المرهون بدعوى الضمان ، إذا كان قد تلقى منه الملكية معاوضة</w:t>
      </w:r>
      <w:r>
        <w:rPr>
          <w:rFonts w:cs="Traditional Arabic" w:hint="cs"/>
          <w:sz w:val="28"/>
          <w:szCs w:val="32"/>
          <w:vertAlign w:val="superscript"/>
          <w:rtl/>
        </w:rPr>
        <w:t xml:space="preserve">( </w:t>
      </w:r>
      <w:r w:rsidRPr="00EC737F">
        <w:rPr>
          <w:rStyle w:val="ab"/>
          <w:rFonts w:cs="Traditional Arabic"/>
          <w:sz w:val="28"/>
          <w:szCs w:val="32"/>
          <w:rtl/>
        </w:rPr>
        <w:footnoteReference w:id="1274"/>
      </w:r>
      <w:r>
        <w:rPr>
          <w:rFonts w:cs="Traditional Arabic" w:hint="cs"/>
          <w:sz w:val="28"/>
          <w:szCs w:val="32"/>
          <w:vertAlign w:val="superscript"/>
          <w:rtl/>
        </w:rPr>
        <w:t xml:space="preserve"> )</w:t>
      </w:r>
      <w:r>
        <w:rPr>
          <w:rFonts w:cs="Traditional Arabic" w:hint="cs"/>
          <w:sz w:val="28"/>
          <w:szCs w:val="32"/>
          <w:rtl/>
        </w:rPr>
        <w:t xml:space="preserve"> . ونفرض أن مالك العقار المرهون قد باع هذا العقار للحائز ، فالحائز وهو المشتري يستطيع الرجوع على مالك العقار المرهون وهو البائع بضمان الاستحقاق . وللحائز أن يرفع دعوى الضمان بمجرد تسلم الإنذار بالدفع أو التخلية</w:t>
      </w:r>
      <w:r>
        <w:rPr>
          <w:rFonts w:cs="Traditional Arabic" w:hint="cs"/>
          <w:sz w:val="28"/>
          <w:szCs w:val="32"/>
          <w:vertAlign w:val="superscript"/>
          <w:rtl/>
        </w:rPr>
        <w:t xml:space="preserve">( </w:t>
      </w:r>
      <w:r w:rsidRPr="00EC737F">
        <w:rPr>
          <w:rStyle w:val="ab"/>
          <w:rFonts w:cs="Traditional Arabic"/>
          <w:sz w:val="28"/>
          <w:szCs w:val="32"/>
          <w:rtl/>
        </w:rPr>
        <w:footnoteReference w:id="1275"/>
      </w:r>
      <w:r>
        <w:rPr>
          <w:rFonts w:cs="Traditional Arabic" w:hint="cs"/>
          <w:sz w:val="28"/>
          <w:szCs w:val="32"/>
          <w:vertAlign w:val="superscript"/>
          <w:rtl/>
        </w:rPr>
        <w:t xml:space="preserve"> )</w:t>
      </w:r>
      <w:r>
        <w:rPr>
          <w:rFonts w:cs="Traditional Arabic" w:hint="cs"/>
          <w:sz w:val="28"/>
          <w:szCs w:val="32"/>
          <w:rtl/>
        </w:rPr>
        <w:t xml:space="preserve"> . غير أن للقاضي أن يؤجل الفصل في الطلبات والتعويضات حتى يتم نزع العقار</w:t>
      </w:r>
      <w:r>
        <w:rPr>
          <w:rFonts w:cs="Traditional Arabic" w:hint="cs"/>
          <w:sz w:val="28"/>
          <w:szCs w:val="32"/>
          <w:vertAlign w:val="superscript"/>
          <w:rtl/>
        </w:rPr>
        <w:t xml:space="preserve">( </w:t>
      </w:r>
      <w:r w:rsidRPr="00EC737F">
        <w:rPr>
          <w:rStyle w:val="ab"/>
          <w:rFonts w:cs="Traditional Arabic"/>
          <w:sz w:val="28"/>
          <w:szCs w:val="32"/>
          <w:rtl/>
        </w:rPr>
        <w:footnoteReference w:id="127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أما إذا كان العقار انتقل إلى الحائز تبرعاً بدن مقابل ، فلا يكون للحائز الرجوع على المتبرع إلا إذا </w:t>
      </w:r>
      <w:r>
        <w:rPr>
          <w:rFonts w:cs="Traditional Arabic" w:hint="cs"/>
          <w:sz w:val="28"/>
          <w:szCs w:val="32"/>
          <w:rtl/>
        </w:rPr>
        <w:lastRenderedPageBreak/>
        <w:t>اشترط ذلك وفقاً للقواعد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27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الرجوع لتعويض كل الضرر . فإذا رسا مزاد العقار على غير الحائز بثمن اقل من الثمن الذي اشترى به الحائز ، رجع الحائز بقيمة العقار . وإذا رسا مزاد العقار بثمن أزيد من الثمن الذي اشترى به الحائز ، رجع الحائز بثمن المزاد كله</w:t>
      </w:r>
      <w:r>
        <w:rPr>
          <w:rFonts w:cs="Traditional Arabic" w:hint="cs"/>
          <w:sz w:val="28"/>
          <w:szCs w:val="32"/>
          <w:vertAlign w:val="superscript"/>
          <w:rtl/>
        </w:rPr>
        <w:t xml:space="preserve">( </w:t>
      </w:r>
      <w:r w:rsidRPr="00EC737F">
        <w:rPr>
          <w:rStyle w:val="ab"/>
          <w:rFonts w:cs="Traditional Arabic"/>
          <w:sz w:val="28"/>
          <w:szCs w:val="32"/>
          <w:rtl/>
        </w:rPr>
        <w:footnoteReference w:id="12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الحق الثاني ) ضد المدين الذي دفع الحائز دينه ، ويكون غالباً هو صاحب العقار المرهون . ويرجع عليه بدعوى الإثراء بلا سبب ليتقاضى المبلغ الذي دفعه عنه بالفعل ، أي دينه ينقص منه الثمن الذي بيع به العقار في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$612 وللحائز ، فضلا عن الرجوع على المدين بدعوى الإثراء بلا سبب ، أن يرجع عليه أيضاً بدعوى الحلول محل الدائنين الذين وفاهم حقوقهم وسيأتي ذكر ذلك</w:t>
      </w:r>
      <w:r>
        <w:rPr>
          <w:rFonts w:cs="Traditional Arabic" w:hint="cs"/>
          <w:sz w:val="28"/>
          <w:szCs w:val="32"/>
          <w:vertAlign w:val="superscript"/>
          <w:rtl/>
        </w:rPr>
        <w:t xml:space="preserve">( </w:t>
      </w:r>
      <w:r w:rsidRPr="00EC737F">
        <w:rPr>
          <w:rStyle w:val="ab"/>
          <w:rFonts w:cs="Traditional Arabic"/>
          <w:sz w:val="28"/>
          <w:szCs w:val="32"/>
          <w:rtl/>
        </w:rPr>
        <w:footnoteReference w:id="12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المدين هو نفس مالك العقار المرهون ، كما إذا رهن المدين عقاره ثم باعه للحائز بعد ذلك ، كان للحائز حق الرجوع عليه بالضمان من استحقاق العقار ، ودعوى الإثراء بلا سبب باعتباره مديناً ، ودعوى الحلول محل الدائنين الذين وفاهم حقوقهم ، ويجب التمييز بين هذه الدعاوي الثلاث لاختلاف شروطها ونتائجها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الفقرة الثانية ن المادة 1080 مدني في آخرها ، كما رأينا ، ما يأتي : "ويحل ( الحائز )  محل الدائنين الذي وفاهم حقوقهم ، وبوجه خاص يحل محلهم فيما لهم نم تأمينات قدمها المدين دون التأمينات التي قدمها شخص آخر غير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ويفهم من ذلك أن للحائز حقاً ثالثاً غير الحقين السابقين ، وهو دعوى الحلول محل الدائن الذي وفاه حقوقه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فقد وفى الحائز حقوق كثير من الدائنين المقيدين ، نأخذ واحداً منهم على سبيل المثال . هذا الدائن كان له حق الرجوع على المدين لأنه دائن له ، فيحل الحائز الذي وفى هذا الدائن محله في الرجوع على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ونفرض أن هذا الدائن شخص آخر يغر المدين ، أي قدمه كفيل عيني ، فلا يحل الحائز محل الكفيل العيني في هذا الرهن طبقاً للقواعد المقرر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333- الحائز والكفيل</w:t>
      </w:r>
      <w:r>
        <w:rPr>
          <w:rFonts w:cs="Traditional Arabic" w:hint="cs"/>
          <w:sz w:val="28"/>
          <w:szCs w:val="32"/>
          <w:rtl/>
        </w:rPr>
        <w:t xml:space="preserve"> : فقد يكون الدائن مضموناً بكفالة ، $613 شخصية أو عينية ، فاختلف الفقهاء فيما إذا كان للحائز الذي نزعت ملكيته حق الرجوع على الكفيل . يرى القليل من الفقهاء أن للحائز حق الرجوع على الكفيل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0"/>
      </w:r>
      <w:r>
        <w:rPr>
          <w:rFonts w:cs="Traditional Arabic" w:hint="cs"/>
          <w:sz w:val="28"/>
          <w:szCs w:val="32"/>
          <w:vertAlign w:val="superscript"/>
          <w:rtl/>
        </w:rPr>
        <w:t xml:space="preserve"> )</w:t>
      </w:r>
      <w:r>
        <w:rPr>
          <w:rFonts w:cs="Traditional Arabic" w:hint="cs"/>
          <w:sz w:val="28"/>
          <w:szCs w:val="32"/>
          <w:rtl/>
        </w:rPr>
        <w:t xml:space="preserve"> . ولكن أكثر الفقهاء يرون أن مركز الكفيل مفضل على مركز الحائز ، لأنه كان بإمكان الحائز عند انتقال ملكية العقار إليه أن يخلص من الرهن عن طريق التطهير ، فيخلص نفسه والكفيل من الدين بمقدار الثمن المدفوع ، ولما لم يفعل وجب عدم الرجوع على الكفيل ، وعلى العكس من ذلك إذا دفع الكفيل يرجع على الحائز</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وقد أخذ التقنين المدني الجديد بهذا الرأي الثاني ، كما رأينا ، في الفقرة الثانية من المادة 1080 مدني</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334- الرجوع فيما بين الحائزين</w:t>
      </w:r>
      <w:r>
        <w:rPr>
          <w:rFonts w:cs="Traditional Arabic" w:hint="cs"/>
          <w:sz w:val="28"/>
          <w:szCs w:val="32"/>
          <w:rtl/>
        </w:rPr>
        <w:t xml:space="preserve"> : وقد تكون هناك جملة عقارات مرهونة كلها في دين واحد ، وانتقلت ملكية كل عقار منها إلى حائز ، فتعدد الحائزون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فالحائز الذي بيع عقاره ورسا المزاد على غيره ، ووفى الدائن المرتهن ، يحل محله في الرجوع على باقي الحائزين ، ويكون له حق الرهن الذي كان لهذا الدائن قبلهم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ومن رأي الفقهاء أنه يكون لهاذ الحائز الرجوع على باقي الحائزين ، كل بنسبة قيمته العقار الحائز له ، بعد أن يخصم الجزء الذي يمثله عقاره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$614 وقد أخذ التقنين المدني المصري الجديد بهذا الرأي ، فنص في المادة 331 منه على أنه : "إذا وفى حائز العقار المرهون كل الدين ، وحل محل الدائنين ، فلا يكون له بمقضتى هذا الحلول أن يرجع على حائز لعار آخر مرهون في ذات الدين ، إلا بقدر حصة هذا الحائز بحسب قيمة ما حازه من عقار"</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4"/>
      </w:r>
      <w:r>
        <w:rPr>
          <w:rFonts w:cs="Traditional Arabic" w:hint="cs"/>
          <w:sz w:val="28"/>
          <w:szCs w:val="32"/>
          <w:vertAlign w:val="superscript"/>
          <w:rtl/>
        </w:rPr>
        <w:t xml:space="preserve"> )</w:t>
      </w:r>
      <w:r>
        <w:rPr>
          <w:rFonts w:cs="Traditional Arabic" w:hint="cs"/>
          <w:sz w:val="28"/>
          <w:szCs w:val="32"/>
          <w:rtl/>
        </w:rPr>
        <w:t xml:space="preserve"> .</w:t>
      </w:r>
    </w:p>
    <w:p w:rsidR="00F72742" w:rsidRPr="00777F17" w:rsidRDefault="00F72742" w:rsidP="00F72742">
      <w:pPr>
        <w:widowControl w:val="0"/>
        <w:spacing w:after="120"/>
        <w:jc w:val="center"/>
        <w:rPr>
          <w:rFonts w:cs="Traditional Arabic" w:hint="cs"/>
          <w:b/>
          <w:bCs/>
          <w:sz w:val="52"/>
          <w:szCs w:val="52"/>
          <w:rtl/>
        </w:rPr>
      </w:pPr>
      <w:r w:rsidRPr="00777F17">
        <w:rPr>
          <w:rFonts w:cs="Traditional Arabic" w:hint="cs"/>
          <w:b/>
          <w:bCs/>
          <w:sz w:val="52"/>
          <w:szCs w:val="52"/>
          <w:rtl/>
        </w:rPr>
        <w:t>الفصل الثالث</w:t>
      </w:r>
    </w:p>
    <w:p w:rsidR="00F72742" w:rsidRPr="00777F17" w:rsidRDefault="00F72742" w:rsidP="00F72742">
      <w:pPr>
        <w:widowControl w:val="0"/>
        <w:spacing w:after="120"/>
        <w:jc w:val="center"/>
        <w:rPr>
          <w:rFonts w:cs="Traditional Arabic" w:hint="cs"/>
          <w:b/>
          <w:bCs/>
          <w:sz w:val="28"/>
          <w:szCs w:val="32"/>
          <w:rtl/>
        </w:rPr>
      </w:pPr>
      <w:r w:rsidRPr="00777F17">
        <w:rPr>
          <w:rFonts w:cs="Traditional Arabic" w:hint="cs"/>
          <w:b/>
          <w:bCs/>
          <w:sz w:val="28"/>
          <w:szCs w:val="32"/>
          <w:rtl/>
        </w:rPr>
        <w:t>انقضاء الرهن الرسمي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335- الانقضاء بصفة تبعية والانقضاء بصفة أصلية :</w:t>
      </w:r>
      <w:r>
        <w:rPr>
          <w:rFonts w:cs="Traditional Arabic" w:hint="cs"/>
          <w:sz w:val="28"/>
          <w:szCs w:val="32"/>
          <w:rtl/>
        </w:rPr>
        <w:t xml:space="preserve"> ينقضي الرهن الرسمي بصفة تبعية إذا انقضى الدين المضمون بالرهن ، فينقضي الرهن تبعاً لانقضاء الدين . ذلك أن الرهن كما قدمنا تابع الدين ،يبقى مع ويزول بزواله ، فإذا زال الدين زال معه الرهن ، ولا يعود إلا إذا عاد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وينقضي الرهن بصفة أصلية ، إذا زال وحده دون أن ينقضي الدين . فهناك حالات يزول فيها الرهن وحده دون الدين ، فيبقى الدائن ودينه عادي بعد أن كان مضموناً برهن . والحالات التي ينقضي فيها الرهن دون الدين حالات محدودة ، وهي أقل من الحالات التي ينقضي فيها الرهن والدين معاً ، ولكنها موجودة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فنعقد مبحثين : ( 1 ) المبحث الأول في انقضاء الرهن بصفة تبعية ، أي مع انقضاء الدين . ( 2 </w:t>
      </w:r>
      <w:r>
        <w:rPr>
          <w:rFonts w:cs="Traditional Arabic" w:hint="cs"/>
          <w:sz w:val="28"/>
          <w:szCs w:val="32"/>
          <w:rtl/>
        </w:rPr>
        <w:lastRenderedPageBreak/>
        <w:t>) المبحث الثاني في انقضاء الرهن بصفة أصلية ، أي دون انقضاء الدين .</w:t>
      </w:r>
    </w:p>
    <w:p w:rsidR="00F72742" w:rsidRPr="00F659BF" w:rsidRDefault="00F72742" w:rsidP="00F72742">
      <w:pPr>
        <w:widowControl w:val="0"/>
        <w:spacing w:after="120"/>
        <w:jc w:val="center"/>
        <w:rPr>
          <w:rFonts w:cs="Traditional Arabic" w:hint="cs"/>
          <w:b/>
          <w:bCs/>
          <w:sz w:val="28"/>
          <w:szCs w:val="32"/>
          <w:rtl/>
        </w:rPr>
      </w:pPr>
      <w:r w:rsidRPr="00F659BF">
        <w:rPr>
          <w:rFonts w:cs="Traditional Arabic" w:hint="cs"/>
          <w:b/>
          <w:bCs/>
          <w:sz w:val="28"/>
          <w:szCs w:val="32"/>
          <w:rtl/>
        </w:rPr>
        <w:t xml:space="preserve">$615 </w:t>
      </w:r>
      <w:r w:rsidRPr="00F659BF">
        <w:rPr>
          <w:rFonts w:cs="Traditional Arabic" w:hint="cs"/>
          <w:b/>
          <w:bCs/>
          <w:sz w:val="44"/>
          <w:szCs w:val="44"/>
          <w:rtl/>
        </w:rPr>
        <w:t>المبحث الأول</w:t>
      </w:r>
    </w:p>
    <w:p w:rsidR="00F72742" w:rsidRPr="00F659BF" w:rsidRDefault="00F72742" w:rsidP="00F72742">
      <w:pPr>
        <w:widowControl w:val="0"/>
        <w:spacing w:after="120"/>
        <w:jc w:val="center"/>
        <w:rPr>
          <w:rFonts w:cs="Traditional Arabic" w:hint="cs"/>
          <w:b/>
          <w:bCs/>
          <w:sz w:val="28"/>
          <w:szCs w:val="32"/>
          <w:rtl/>
        </w:rPr>
      </w:pPr>
      <w:r w:rsidRPr="00F659BF">
        <w:rPr>
          <w:rFonts w:cs="Traditional Arabic" w:hint="cs"/>
          <w:b/>
          <w:bCs/>
          <w:sz w:val="28"/>
          <w:szCs w:val="32"/>
          <w:rtl/>
        </w:rPr>
        <w:t>انقضاء الرهن بصفة تبعية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336- أسباب انقضاء الدين هي أسباب انقضاء الرهن بصفة تبعية :</w:t>
      </w:r>
      <w:r>
        <w:rPr>
          <w:rFonts w:cs="Traditional Arabic" w:hint="cs"/>
          <w:sz w:val="28"/>
          <w:szCs w:val="32"/>
          <w:rtl/>
        </w:rPr>
        <w:t xml:space="preserve"> ما دام الرهن ينقضي تبعاً لانقضاء الدين ، فينتج من ذلك أن كل سبب يقضي الدين ، يقضي الرهن أيضاً تبعاً لانقضاء الدين . فتكون أسباب انقضاء الدين هي نفسها أسباب انقضاء الرهن بصفة تبعية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وقبل أن نتكلم في هذه الأسباب ، نذكر أن الرهن يزول أيضاً بصفة تبعية إذا زال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337- متى يزول الدين : </w:t>
      </w:r>
      <w:r>
        <w:rPr>
          <w:rFonts w:cs="Traditional Arabic" w:hint="cs"/>
          <w:sz w:val="28"/>
          <w:szCs w:val="32"/>
          <w:rtl/>
        </w:rPr>
        <w:t>فقد يزول الدين لأنه لم يوجد صحيحاً ، أو وجد صحيحاً ولكنه زال بأثر رجعي واعتبر كأنه لم يوجد . والرهن مثل الدين في ذلك ، قد لا يوجد صحيحاً ، أو يوجد صحيحاً ولكنه يزول بأثر 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338- أسباب زوال الدين :</w:t>
      </w:r>
      <w:r>
        <w:rPr>
          <w:rFonts w:cs="Traditional Arabic" w:hint="cs"/>
          <w:sz w:val="28"/>
          <w:szCs w:val="32"/>
          <w:rtl/>
        </w:rPr>
        <w:t xml:space="preserve"> ومن أسباب زوال الدين أنه يوجد في عقد باطل ، لعدم الرضاء أو لعدم الأهلية أو لانعدام المحل أو لعدم مشروعية السبب أو لخلل في الشكل ، فيبطل العقد ،ويبطل معه الدين ، ويبطل معهما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أسباب زوال الدين أيضاً أنه يوجد في عقد قابل للإبطال ، لنقص في الأهلية أو لعيب في الرضاء أو لنص في القانون ، فيختار من له مصلحة في إبطال العقد إبطاله ، فيبطل ويبطل معه الدين ، فيبطل معهما الرهن . مثل ذلك أن يعقد العقد ناقص الأهلية أو من شاب رضاءه إكراه ، فيعمد ناقص الأهلية أو المكروه إلى إبطال العقد ، فإن أبطل وبطل معه الدين ، بطل معهما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$616 ومن أسباب زوال الدين كذلك أن ينشأ في عقد معلق على شرط فاسخ ، فيتحقق الشرط ويزول العقد بأثر رجعي ، فيزول الدين بأثر رجعي ، ويزول بزوال الدين الرهن بأثر رجعي كذلك .</w:t>
      </w:r>
    </w:p>
    <w:p w:rsidR="00F72742" w:rsidRPr="00B306D6"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339- انقضاء الدين :</w:t>
      </w:r>
      <w:r>
        <w:rPr>
          <w:rFonts w:cs="Traditional Arabic" w:hint="cs"/>
          <w:sz w:val="28"/>
          <w:szCs w:val="32"/>
          <w:rtl/>
        </w:rPr>
        <w:t xml:space="preserve"> وقد يوجد الدين صحيحاً ، ويبقى ، ولكنه ينقضي بسبب من أسباب انقضاء الالتزام . وبانقضاء الدين ينقضي الرهن معه ، ونستعرض هنا في إيجاز أسباب انقضاء الالتزام أو </w:t>
      </w:r>
      <w:r>
        <w:rPr>
          <w:rFonts w:cs="Traditional Arabic" w:hint="cs"/>
          <w:sz w:val="28"/>
          <w:szCs w:val="32"/>
          <w:rtl/>
        </w:rPr>
        <w:lastRenderedPageBreak/>
        <w:t>الدين ، لأنها هي بحثنا الأصلي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340- أسباب انقضاء الدين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ومعروف أن الدين ينقضي بالأسباب الآتية : الوفاء ، والوفاء بمقابل ، والتجديد ، والمقاصة ، واتحاد الذمة ، والإبراء ، واستحالة التنفيذ ، والتقادم . فنستعرضها في إيجاز سبباً سبباً ، ولكن قبل ذلك نستعرض نصاً تشريعياً ، هو المادة 1082 مدني ، وتنص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"ينقضي الرهن الرسمي بانقضاء الدين المضمون ، ويعود معه إذا زال السبب الذي انقضى به الدين ، دن إحلال بالحقوق التي يكون الغير حسن النية قد سكبها في الفترة ما بين انقضاء الحق وعودته"</w:t>
      </w:r>
      <w:r>
        <w:rPr>
          <w:rFonts w:cs="Traditional Arabic" w:hint="cs"/>
          <w:sz w:val="28"/>
          <w:szCs w:val="32"/>
          <w:vertAlign w:val="superscript"/>
          <w:rtl/>
        </w:rPr>
        <w:t xml:space="preserve">( </w:t>
      </w:r>
      <w:r w:rsidRPr="00EC737F">
        <w:rPr>
          <w:rStyle w:val="ab"/>
          <w:rFonts w:cs="Traditional Arabic"/>
          <w:sz w:val="28"/>
          <w:szCs w:val="32"/>
          <w:rtl/>
        </w:rPr>
        <w:footnoteReference w:id="12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التمهيدي ، في خصوص هذا النص ، ما يأتي : "ينقضي حق الرهن بطريقة تبعية مع الدين ، فإذا كان الدين قد انقضى ثم عاد بزوال سبب انقضائه ، كأن كان الوفاء باطلا أو الإبراء صادراً من غير ذي أهلية ، رجع الرهن برجوع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$617  ولكن إذا كان الغير حسن النية قد كسب على العقار المرهون حقاً عينياً ما بين انقضاء الرهن وعودتهن وجب احترام هذا الحق"</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من هذا الرهن الرسمي ينقضي باقتضاء الدين المضمون ، ويكون انقضاؤه بصفة تبعية ، فإنه تابع للدين المضمون ، فينقضي بانقضائه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ولكن الدين المضمون قد ينقضي ، ثم يرجع إلى الوجود . مثل ذلك إذا انقضى الدين المضمون بالوفاء باطلا كأن كان الموفى به غير مملوك للموفى وبطل الوفاء ، فإن الدين يعود إلى الوجود ، ويعود معه </w:t>
      </w:r>
      <w:r>
        <w:rPr>
          <w:rFonts w:cs="Traditional Arabic" w:hint="cs"/>
          <w:sz w:val="28"/>
          <w:szCs w:val="32"/>
          <w:rtl/>
        </w:rPr>
        <w:lastRenderedPageBreak/>
        <w:t>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أيضاً إذا انقضى الدين المضمون بالإبراء ، وكان الإبراء صادراً  من ناقص الأهلية فكان قابلا للإبطال وأبطل ، فإن الدين يعود كما كان ويعود معه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أخيراً إذا انقضى الدين المضمون باتحاد الذمة ، ثم زال اتحاد الذمة ، فإن الدين المضمون يعود إلى الوجود ويعود معه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عاد الرهن ، ولم يكسب أحد على العقار حقاً عينياً تبعياً ، عاد الرهن بمرتبته الأصلية وكأنه لم ينقض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كسب أحد حقاً عينياً تبعياً كرهن ثان مثلا ، في الفترة ما بين انقضاء الرهن الأول بوجود سبب الانقضاء وعودة هذا السبب ، فيجب أن نميز بين أمرين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الأمر الأول ) أن يكون صاحب الرهن الثاني عالماً بما يحيط رهنه من ملابسات ، وأن الرهن الأول قد يعود إلى الوجود بزوال سبب انقضاء الدين ، فإن رهنه الثاني يبقى ثانياً ، ويتقدمه الرهن الأول عند عودته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الأمر الثاني ) أن يكون صاحب الرهن الثاني جاهلا للملابسات ، ويعتقد بحسن نية أن الدين المضمون بالرهن قد زال وأنه لن يعود ، أو يعتقد أن الدين المضمون بالرهن لم يزل ولكن لم يكن هناك رهن أول ، $618 فإن الرهن الثاني يصح ويبقى رهناً أولا ، ويتقدم على الرهن الأول عند عودة هذا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والآن نعود إلى أسباب انقضاء الدين المضمون بالرهن .</w:t>
      </w:r>
    </w:p>
    <w:p w:rsidR="00F72742" w:rsidRPr="00E069CF" w:rsidRDefault="00F72742" w:rsidP="00F72742">
      <w:pPr>
        <w:widowControl w:val="0"/>
        <w:spacing w:after="120"/>
        <w:jc w:val="center"/>
        <w:rPr>
          <w:rFonts w:cs="Traditional Arabic" w:hint="cs"/>
          <w:b/>
          <w:bCs/>
          <w:sz w:val="28"/>
          <w:szCs w:val="32"/>
          <w:rtl/>
        </w:rPr>
      </w:pPr>
      <w:r w:rsidRPr="00E069CF">
        <w:rPr>
          <w:b/>
          <w:bCs/>
          <w:sz w:val="28"/>
          <w:szCs w:val="32"/>
          <w:rtl/>
        </w:rPr>
        <w:t>§</w:t>
      </w:r>
      <w:r w:rsidRPr="00E069CF">
        <w:rPr>
          <w:rFonts w:cs="Traditional Arabic" w:hint="cs"/>
          <w:b/>
          <w:bCs/>
          <w:sz w:val="28"/>
          <w:szCs w:val="32"/>
          <w:rtl/>
        </w:rPr>
        <w:t xml:space="preserve"> 2- الوفاء</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341- إتباع القواعد العامة في الوفاء والوقوف عند بعض المسائل :</w:t>
      </w:r>
      <w:r>
        <w:rPr>
          <w:rFonts w:cs="Traditional Arabic" w:hint="cs"/>
          <w:sz w:val="28"/>
          <w:szCs w:val="32"/>
          <w:rtl/>
        </w:rPr>
        <w:t xml:space="preserve"> إذ انقضى الدين المضمون ، انقضى الرهن تبعاً له . وانقضاء الدين المضمون بالرهن عن طريق الوفاء تتبع فيه القواعد العامة </w:t>
      </w:r>
      <w:r>
        <w:rPr>
          <w:rFonts w:cs="Traditional Arabic" w:hint="cs"/>
          <w:sz w:val="28"/>
          <w:szCs w:val="32"/>
          <w:rtl/>
        </w:rPr>
        <w:lastRenderedPageBreak/>
        <w:t>المقررة في وفاء الديون</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7"/>
      </w:r>
      <w:r>
        <w:rPr>
          <w:rFonts w:cs="Traditional Arabic" w:hint="cs"/>
          <w:sz w:val="28"/>
          <w:szCs w:val="32"/>
          <w:vertAlign w:val="superscript"/>
          <w:rtl/>
        </w:rPr>
        <w:t xml:space="preserve"> )</w:t>
      </w:r>
      <w:r>
        <w:rPr>
          <w:rFonts w:cs="Traditional Arabic" w:hint="cs"/>
          <w:sz w:val="28"/>
          <w:szCs w:val="32"/>
          <w:rtl/>
        </w:rPr>
        <w:t xml:space="preserve"> ، وقد تكون هناك بعض مسائل في الوفاء يحسن الوقوف عندها هنا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342- الوفاء مع الحلول يجعل الموفى يحل محل الدائن في الرهن الذي له :</w:t>
      </w:r>
      <w:r>
        <w:rPr>
          <w:rFonts w:cs="Traditional Arabic" w:hint="cs"/>
          <w:sz w:val="28"/>
          <w:szCs w:val="32"/>
          <w:rtl/>
        </w:rPr>
        <w:t xml:space="preserve"> فقد يكون الدين المضمون بالرهن قد وفاه شخص حل محل الدائن ، حلولا قانونياً أو حلولا اتفاقياً . فينتقل إلى الموفى مع الدين المضمون بالرهن ، ما يكفل هذا الدين من تأمينات ، ومنها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ثم يرجع الموفي لا على المدين وحده ، بل يرجع أيضاً على الراهن ، لأن الرهن لم يزل بالوفاء مع الحول . وإذا وفى حائز العقار المرهون كل الدين ، وحل محل الدائنين ، فلا يكون له بمقتضى هذا الحلول أن يرجع على حائز لعار آخر مرهون في ذات الدين إلا بقدر حصة هذا الحائز بحسب قيمة ما حازه من عقار ( م 331 مدني )</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2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الدين المضمون بالرهن كفيل ، ووفى الكفل بالدين فحل محل الدائن قانوناً ، رجع الكفيل على العقار المرهون واستوفى منه ما دفعه $619 وفاء للدين . أما العكس فغير صحيح ، فلو كان الموفى هو الحائز للعقار المرهون وحل محل الدائن حلولا قانونياً ، فإنه لا يستطيع الرجوع  على الكفيل ، إذ لو رجع عليه كان للكفيل أن يرجع هو أيضاً بدوره على الحائز بدعوى الحلول . فلا فائدة إذن من رجوع الحائز على الكفيل ، لأن هذا الحائز مسئول من الدين تجاه الكفيل بموج بالرهن ، أما الكفيل فقد رأينا أنه يرجع على الحائز لأنه غير مسئول عن الدين تجاه هذا الحائز</w:t>
      </w:r>
      <w:r>
        <w:rPr>
          <w:rFonts w:cs="Traditional Arabic" w:hint="cs"/>
          <w:sz w:val="28"/>
          <w:szCs w:val="32"/>
          <w:vertAlign w:val="superscript"/>
          <w:rtl/>
        </w:rPr>
        <w:t xml:space="preserve">( </w:t>
      </w:r>
      <w:r w:rsidRPr="00EC737F">
        <w:rPr>
          <w:rStyle w:val="ab"/>
          <w:rFonts w:cs="Traditional Arabic"/>
          <w:sz w:val="28"/>
          <w:szCs w:val="32"/>
          <w:rtl/>
        </w:rPr>
        <w:footnoteReference w:id="128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والوفاء مع الحلول هو وفاء للحق بالنسبة إلى الدائن ، وانتقال للحق بالنسبة إلى المدين ، إذ المدين ليم وف الحق بنفسه بل وفاه عنه غيره ، فلا ينقضي بالنسبة إلى المدين ، بل ينتقل إلى الموفى لأنه هو الذي وفى الحق</w:t>
      </w:r>
      <w:r>
        <w:rPr>
          <w:rFonts w:cs="Traditional Arabic" w:hint="cs"/>
          <w:sz w:val="28"/>
          <w:szCs w:val="32"/>
          <w:vertAlign w:val="superscript"/>
          <w:rtl/>
        </w:rPr>
        <w:t xml:space="preserve">( </w:t>
      </w:r>
      <w:r w:rsidRPr="00EC737F">
        <w:rPr>
          <w:rStyle w:val="ab"/>
          <w:rFonts w:cs="Traditional Arabic"/>
          <w:sz w:val="28"/>
          <w:szCs w:val="32"/>
          <w:rtl/>
        </w:rPr>
        <w:footnoteReference w:id="12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343- الموفى لم يوف إلا جزءا من الدين</w:t>
      </w:r>
      <w:r>
        <w:rPr>
          <w:rFonts w:cs="Traditional Arabic" w:hint="cs"/>
          <w:sz w:val="28"/>
          <w:szCs w:val="32"/>
          <w:rtl/>
        </w:rPr>
        <w:t xml:space="preserve"> : وقد نصت الفقرة الأولى من المادة 330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وفى الغير الدائن جزءاً من حقه ، وحل محله فيه ، فلا يضار الدائن بهذا الوفاء ، ويكون في باستيفاء ما بقى له من حق مقدماً على من وفاه ، ما لم يوحد اتفاق يقضي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والمفروض هنا أن الموفى وفى جزءاً من الدين ، فحل محل الدائن في هذا الجزء . فإذا تبين أن المدين قد رهن عقاراً في الدين ، وليس يفي العقار بكل الدين ، وليس للمدين أموال أخرى ، فإن الموفى وقد وفى جزءاً من الدين ، والدائن الأصلي ولا يزال دائناً بالجزء الباقي ، لا يجد أن أمامهما سوى هذا العقار فيستوفي كل منهما حصة منه ، ويتقدمان معاً على سائر الغرماء بما لهما من حق الرهن . ولكن فيما بينهما كان ينبغي أن يتعادلا ، فإن كلا منهما  دائن بجزء من دين واحد ، فلا محل لتفضيل أحدهما عن الآخر . ولكن النص ، وهو في ذلك يترجم عن النية المحتملة للطرفي - $620 يفترض أن الدائن لم يكن ليرضى باستيفاء جزء من حقه إلا وهو مشترط على الموفى أن يتقدم عليه في استيفاء الجزء الباقي . وعلى هذا الأساس قد قبل وفاء جزئياً ما  كان الموفي يستطيع أن يجيزه عليه ، ومن ثم يتقدم الدائن الأصلي على الموفى في القرض الذي نحن بصدده ، وستوفى أولا الجزء الباقي له من الدين ، وما بقي بعد ذلك من ثمن العقار يأخذ الموفى فلا يستوي به كل حقه . ونرى من ذلك أن الموفى ، وقد حل محل الدائن في جزء م حقه ، لم يعامل معاملة الدائن ، بل فضل الدائن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أن هذه القاعدة ليست إلا افتراضاً لما أراده الدائن والموفى ، فهي ليست قاعدة من النظام العام . ومن ثم يجوز للدائن والموفى أن يتفقا على غير ذلك ، فلهما أن يتفقا على أنهما يتعادلات ويتقاسمان مال المدين قسمة الغرماء ، بل لهما أن يتفقا على أن الموفى هو الذي يتقدم الدائن فيستوفي أولا الجزء من الدين الذي وفاه ، وما بقي بعد ذلك يأخذه الدائن . وهذا ما يقع غالباً ، فإن الموفى وهو يفي للدائن بجزء من حقه يكون عادة هو الجانب الأقوى الذي يملي شروط الوفاء ، فسرعان ما يشترط أن يتقدم الدائن في استيفاء حقه من المدين</w:t>
      </w:r>
      <w:r>
        <w:rPr>
          <w:rFonts w:cs="Traditional Arabic" w:hint="cs"/>
          <w:sz w:val="28"/>
          <w:szCs w:val="32"/>
          <w:vertAlign w:val="superscript"/>
          <w:rtl/>
        </w:rPr>
        <w:t xml:space="preserve">( </w:t>
      </w:r>
      <w:r w:rsidRPr="00EC737F">
        <w:rPr>
          <w:rStyle w:val="ab"/>
          <w:rFonts w:cs="Traditional Arabic"/>
          <w:sz w:val="28"/>
          <w:szCs w:val="32"/>
          <w:rtl/>
        </w:rPr>
        <w:footnoteReference w:id="129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343- تعذر الوفاء للدائن وإيداع الدين :</w:t>
      </w:r>
      <w:r>
        <w:rPr>
          <w:rFonts w:cs="Traditional Arabic" w:hint="cs"/>
          <w:sz w:val="28"/>
          <w:szCs w:val="32"/>
          <w:rtl/>
        </w:rPr>
        <w:t xml:space="preserve"> وقد يجد المدين نفسه في حالة تعذر أن يوفى دينه للدائن المرتهن مباشرة ، ويتحقق ذلك في الفروض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أولا </w:t>
      </w:r>
      <w:r>
        <w:rPr>
          <w:rFonts w:cs="Traditional Arabic"/>
          <w:sz w:val="28"/>
          <w:szCs w:val="32"/>
          <w:rtl/>
        </w:rPr>
        <w:t>–</w:t>
      </w:r>
      <w:r>
        <w:rPr>
          <w:rFonts w:cs="Traditional Arabic" w:hint="cs"/>
          <w:sz w:val="28"/>
          <w:szCs w:val="32"/>
          <w:rtl/>
        </w:rPr>
        <w:t xml:space="preserve"> إذا كان الدائن قد مات عن ورثة انتقل إليهم الدين في الحالات التي ينتقل فيها ، ولكن المدين يجهل م نهم هؤلاء الورثة ، عند ذلك لا يسعه إلا أن يودع الدين على ذمة صاحبه ، دون عوض حقيقي أو إعذار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ثانياً </w:t>
      </w:r>
      <w:r>
        <w:rPr>
          <w:rFonts w:cs="Traditional Arabic"/>
          <w:sz w:val="28"/>
          <w:szCs w:val="32"/>
          <w:rtl/>
        </w:rPr>
        <w:t>–</w:t>
      </w:r>
      <w:r>
        <w:rPr>
          <w:rFonts w:cs="Traditional Arabic" w:hint="cs"/>
          <w:sz w:val="28"/>
          <w:szCs w:val="32"/>
          <w:rtl/>
        </w:rPr>
        <w:t xml:space="preserve"> إذا كان الدائن عديم الأهلية أو ناقصها ، ولم يكن له نائب يقبل عنه الوفاء ، فلا يجد المدين بداً من إيداع الدين على ذمة هذا الدائن ، $621 دون أن يعرضه عرضاً حقيقياً . وقد يجد المدين نفسه ، بعد أن كان دائنه كامل الأهلية ثم مات عن وارث قاصر ، أمام هذا الوراث وليس له نائب يقبل عنه الوفاء ، فيضطر أيضاً في هذه الحالة إلى إيداع الدين على ذمته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ثالثاً </w:t>
      </w:r>
      <w:r>
        <w:rPr>
          <w:rFonts w:cs="Traditional Arabic"/>
          <w:sz w:val="28"/>
          <w:szCs w:val="32"/>
          <w:rtl/>
        </w:rPr>
        <w:t>–</w:t>
      </w:r>
      <w:r>
        <w:rPr>
          <w:rFonts w:cs="Traditional Arabic" w:hint="cs"/>
          <w:sz w:val="28"/>
          <w:szCs w:val="32"/>
          <w:rtl/>
        </w:rPr>
        <w:t xml:space="preserve"> إذا كانت هناك أسباب جدية تبرر هذا الإجراء . فمتى قام سبب جدي يمنع المدين من عرض الدين على الدائن وهو مع ذلك يردي الوفاء به ، فليس أمامه إلا أن يودعه على ذمة الدائن . مثل ذلك أن يريد المشتري الوفاء بالثمن للبائع ، ولكن البائع يمتنع عن القيام للتصديق على إمضائه في عقد البيع ، فلا يجد المشتري بداً من إيداع الثمن على ذمة البائع بشرط ألا يقبضه إلا بعد التصديق على الإمضاء ، ثم يعمد بعد ذلك إلى رفع دعوى بثبوت البيع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هذه الفروض المتقدمة ، ليس على المدين إلا أن يودع الدين دون حاجة إلى عرض حقيقي فتبرأ ذمته</w:t>
      </w:r>
      <w:r>
        <w:rPr>
          <w:rFonts w:cs="Traditional Arabic" w:hint="cs"/>
          <w:sz w:val="28"/>
          <w:szCs w:val="32"/>
          <w:vertAlign w:val="superscript"/>
          <w:rtl/>
        </w:rPr>
        <w:t xml:space="preserve">( </w:t>
      </w:r>
      <w:r w:rsidRPr="00EC737F">
        <w:rPr>
          <w:rStyle w:val="ab"/>
          <w:rFonts w:cs="Traditional Arabic"/>
          <w:sz w:val="28"/>
          <w:szCs w:val="32"/>
          <w:rtl/>
        </w:rPr>
        <w:footnoteReference w:id="12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ومتى برأت ذمة المدين من الدين ، يكون الدين قد انقضى ، فينقضي معه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وهكذا يستطيع المدين عادة أن يجد طريقاً للخلاص من الدين أو إبراء ذمته ، فمتى فعل وانقضى الدين انقضى الرهن تبعاً لانقضاء الدين .</w:t>
      </w:r>
    </w:p>
    <w:p w:rsidR="00F72742" w:rsidRPr="009B62C4" w:rsidRDefault="00F72742" w:rsidP="00F72742">
      <w:pPr>
        <w:widowControl w:val="0"/>
        <w:spacing w:after="120"/>
        <w:jc w:val="center"/>
        <w:rPr>
          <w:rFonts w:cs="Traditional Arabic" w:hint="cs"/>
          <w:b/>
          <w:bCs/>
          <w:sz w:val="28"/>
          <w:szCs w:val="32"/>
          <w:rtl/>
        </w:rPr>
      </w:pPr>
      <w:r w:rsidRPr="009B62C4">
        <w:rPr>
          <w:b/>
          <w:bCs/>
          <w:sz w:val="28"/>
          <w:szCs w:val="32"/>
          <w:rtl/>
        </w:rPr>
        <w:t>§</w:t>
      </w:r>
      <w:r w:rsidRPr="009B62C4">
        <w:rPr>
          <w:rFonts w:hint="cs"/>
          <w:b/>
          <w:bCs/>
          <w:sz w:val="28"/>
          <w:szCs w:val="32"/>
          <w:rtl/>
        </w:rPr>
        <w:t xml:space="preserve"> </w:t>
      </w:r>
      <w:r w:rsidRPr="009B62C4">
        <w:rPr>
          <w:rFonts w:cs="Traditional Arabic" w:hint="cs"/>
          <w:b/>
          <w:bCs/>
          <w:sz w:val="28"/>
          <w:szCs w:val="32"/>
          <w:rtl/>
        </w:rPr>
        <w:t>1- الوفاء بمقابل</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345- القواعد العامة للوفاء بمقابل</w:t>
      </w:r>
      <w:r>
        <w:rPr>
          <w:rFonts w:cs="Traditional Arabic" w:hint="cs"/>
          <w:sz w:val="28"/>
          <w:szCs w:val="32"/>
          <w:rtl/>
        </w:rPr>
        <w:t xml:space="preserve"> : وقد ينقضي الدين ، لا بالوفاء ، ولكن بالوفاء بمقابل . والقواعد العامة التي تنطبق على الوفاء بمقابل تنطبق هنا أيضاً</w:t>
      </w:r>
      <w:r>
        <w:rPr>
          <w:rFonts w:cs="Traditional Arabic" w:hint="cs"/>
          <w:sz w:val="28"/>
          <w:szCs w:val="32"/>
          <w:vertAlign w:val="superscript"/>
          <w:rtl/>
        </w:rPr>
        <w:t xml:space="preserve">( </w:t>
      </w:r>
      <w:r w:rsidRPr="00EC737F">
        <w:rPr>
          <w:rStyle w:val="ab"/>
          <w:rFonts w:cs="Traditional Arabic"/>
          <w:sz w:val="28"/>
          <w:szCs w:val="32"/>
          <w:rtl/>
        </w:rPr>
        <w:footnoteReference w:id="1293"/>
      </w:r>
      <w:r>
        <w:rPr>
          <w:rFonts w:cs="Traditional Arabic" w:hint="cs"/>
          <w:sz w:val="28"/>
          <w:szCs w:val="32"/>
          <w:vertAlign w:val="superscript"/>
          <w:rtl/>
        </w:rPr>
        <w:t xml:space="preserve"> )</w:t>
      </w:r>
      <w:r>
        <w:rPr>
          <w:rFonts w:cs="Traditional Arabic" w:hint="cs"/>
          <w:sz w:val="28"/>
          <w:szCs w:val="32"/>
          <w:rtl/>
        </w:rPr>
        <w:t xml:space="preserve"> ، ومتى انقضى الدين انقضى معه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346- التكييف القانوني للوفاء بمقابل :</w:t>
      </w:r>
      <w:r>
        <w:rPr>
          <w:rFonts w:cs="Traditional Arabic" w:hint="cs"/>
          <w:sz w:val="28"/>
          <w:szCs w:val="32"/>
          <w:rtl/>
        </w:rPr>
        <w:t xml:space="preserve"> والوفاء بمقابل عمل مركب ، $622 فهو تجديد ووفاء عن طريق نقل الملكية . فالوفاء بمقابل تجديد بتغيير محل الدين ، ومتى تغير محل الدين عمد المدين إلى الوفاء بالمحل الجديد</w:t>
      </w:r>
      <w:r>
        <w:rPr>
          <w:rFonts w:cs="Traditional Arabic" w:hint="cs"/>
          <w:sz w:val="28"/>
          <w:szCs w:val="32"/>
          <w:vertAlign w:val="superscript"/>
          <w:rtl/>
        </w:rPr>
        <w:t xml:space="preserve">( </w:t>
      </w:r>
      <w:r w:rsidRPr="00EC737F">
        <w:rPr>
          <w:rStyle w:val="ab"/>
          <w:rFonts w:cs="Traditional Arabic"/>
          <w:sz w:val="28"/>
          <w:szCs w:val="32"/>
          <w:rtl/>
        </w:rPr>
        <w:footnoteReference w:id="129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347- ضمان الاستحقاق في الوفاء بمقابل : </w:t>
      </w:r>
      <w:r w:rsidRPr="00760F65">
        <w:rPr>
          <w:rFonts w:cs="Traditional Arabic" w:hint="cs"/>
          <w:sz w:val="28"/>
          <w:szCs w:val="32"/>
          <w:rtl/>
        </w:rPr>
        <w:t>وإذا استحق المقابل في يد الدائن</w:t>
      </w:r>
      <w:r>
        <w:rPr>
          <w:rFonts w:cs="Traditional Arabic" w:hint="cs"/>
          <w:sz w:val="28"/>
          <w:szCs w:val="32"/>
          <w:rtl/>
        </w:rPr>
        <w:t xml:space="preserve"> ،</w:t>
      </w:r>
      <w:r w:rsidRPr="00760F65">
        <w:rPr>
          <w:rFonts w:cs="Traditional Arabic" w:hint="cs"/>
          <w:sz w:val="28"/>
          <w:szCs w:val="32"/>
          <w:rtl/>
        </w:rPr>
        <w:t xml:space="preserve"> رجع على المدين</w:t>
      </w:r>
      <w:r>
        <w:rPr>
          <w:rFonts w:cs="Traditional Arabic" w:hint="cs"/>
          <w:sz w:val="28"/>
          <w:szCs w:val="32"/>
          <w:rtl/>
        </w:rPr>
        <w:t xml:space="preserve"> .</w:t>
      </w:r>
      <w:r w:rsidRPr="00760F65">
        <w:rPr>
          <w:rFonts w:cs="Traditional Arabic" w:hint="cs"/>
          <w:sz w:val="28"/>
          <w:szCs w:val="32"/>
          <w:rtl/>
        </w:rPr>
        <w:t xml:space="preserve"> ولا يرجع بالدين الأصلي</w:t>
      </w:r>
      <w:r>
        <w:rPr>
          <w:rFonts w:cs="Traditional Arabic" w:hint="cs"/>
          <w:sz w:val="28"/>
          <w:szCs w:val="32"/>
          <w:rtl/>
        </w:rPr>
        <w:t xml:space="preserve"> ،</w:t>
      </w:r>
      <w:r w:rsidRPr="00760F65">
        <w:rPr>
          <w:rFonts w:cs="Traditional Arabic" w:hint="cs"/>
          <w:sz w:val="28"/>
          <w:szCs w:val="32"/>
          <w:rtl/>
        </w:rPr>
        <w:t xml:space="preserve"> </w:t>
      </w:r>
      <w:r>
        <w:rPr>
          <w:rFonts w:cs="Traditional Arabic" w:hint="cs"/>
          <w:sz w:val="28"/>
          <w:szCs w:val="32"/>
          <w:rtl/>
        </w:rPr>
        <w:t>فإن هذا الدين قد انقضى بالتجديد ، وانقضت تأميناته معه ومنها الرهن ، فلا يعود ولا تعود . وإنما يرجع بضمان الاستحقاق كما يرجع المشتري أعلى البائع ، لأنه إنما يطعن في التصرف الخاص بنقل الملكية لا التصرف الخاص بالتجديد . إذ التجديد قد أصبح باتاً لا رجوع فيه ، وهو الذي قضى الدين الأصلي بالرهن الذي يكفله وبتأميناته الأخرى ، وأقام مقامه الدين الجديد الذي يستوجب تنفيذه نقل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شك في أن الرجوع بضمان الاستحقاق أرجح للدائن من الرجوع بالدين الأصلي ، ولكن الرهن الكافل للدين الأصلي وبقية التأمينات تنقضي كما انقضى الدين الأصلي ، الذي انقضى بالتجديد ، فلا تكفل ضمان الاستحقاق</w:t>
      </w:r>
      <w:r>
        <w:rPr>
          <w:rFonts w:cs="Traditional Arabic" w:hint="cs"/>
          <w:sz w:val="28"/>
          <w:szCs w:val="32"/>
          <w:vertAlign w:val="superscript"/>
          <w:rtl/>
        </w:rPr>
        <w:t xml:space="preserve">( </w:t>
      </w:r>
      <w:r w:rsidRPr="00EC737F">
        <w:rPr>
          <w:rStyle w:val="ab"/>
          <w:rFonts w:cs="Traditional Arabic"/>
          <w:sz w:val="28"/>
          <w:szCs w:val="32"/>
          <w:rtl/>
        </w:rPr>
        <w:footnoteReference w:id="12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348- الوفاء بمقابل يقضي الدين الجديد :</w:t>
      </w:r>
      <w:r>
        <w:rPr>
          <w:rFonts w:cs="Traditional Arabic" w:hint="cs"/>
          <w:sz w:val="28"/>
          <w:szCs w:val="32"/>
          <w:rtl/>
        </w:rPr>
        <w:t xml:space="preserve"> ثم إن الوفاء بمقابل ، باعتباره وفاء ، يقضي الدين الجديد الذي حل محل الدين الأصلي ، أما الدين الأصلي فقد انقضى بالتجديد . ومن ثم تترتب النتائج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( 1 ) يزول الرهن الذي كان يكفل الدين الأصلي ومعه سائر التأمينات ، ولا تعود حتى لو استحق المقابل في يد الدائن ، وهذه النتيجة مترتبة على أن الدين الأصلي قد انقضى وانقضى معه الرهن وسائر التأمينات عن طريق التجديد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$623 ( 2 ) إذا تبين أن المدين قد دفع مقابلا لدين لا  وجود له ، اتبعت أحكام الوفاء لا أحكام نقل الملكية . ومن ثم لا يرجع المدين على الدائن بمقدار الدين ، ولكن يسترد منه المقابل الذي دفعه بدعوى استرداد غير المستحق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يجوز لدائني المدين أن يطعنوا بالدعوى البولصية في الوفاء بمقابل باعتبار أنه وفاء . فإذا وفى المدين المعسر ، وفاء بمقابل ، أحد دائنيه قبل انقضاء الأجل الذي عين أصلا للوفاء ، لم يسر هذا الوفاء بمقابل في حق باقي الدائنين . وكذلك لا يسري في حقهم الوفاء بمقابل ولو حصل بعد انقضاء هذا الأجل ، إذا كان قد تم نتيجة تواطؤ بين المدين والدائن الذي استوفى المقابل</w:t>
      </w:r>
      <w:r>
        <w:rPr>
          <w:rFonts w:cs="Traditional Arabic" w:hint="cs"/>
          <w:sz w:val="28"/>
          <w:szCs w:val="32"/>
          <w:vertAlign w:val="superscript"/>
          <w:rtl/>
        </w:rPr>
        <w:t xml:space="preserve">( </w:t>
      </w:r>
      <w:r w:rsidRPr="00EC737F">
        <w:rPr>
          <w:rStyle w:val="ab"/>
          <w:rFonts w:cs="Traditional Arabic"/>
          <w:sz w:val="28"/>
          <w:szCs w:val="32"/>
          <w:rtl/>
        </w:rPr>
        <w:footnoteReference w:id="1296"/>
      </w:r>
      <w:r>
        <w:rPr>
          <w:rFonts w:cs="Traditional Arabic" w:hint="cs"/>
          <w:sz w:val="28"/>
          <w:szCs w:val="32"/>
          <w:vertAlign w:val="superscript"/>
          <w:rtl/>
        </w:rPr>
        <w:t xml:space="preserve"> )</w:t>
      </w:r>
      <w:r>
        <w:rPr>
          <w:rFonts w:cs="Traditional Arabic" w:hint="cs"/>
          <w:sz w:val="28"/>
          <w:szCs w:val="32"/>
          <w:rtl/>
        </w:rPr>
        <w:t xml:space="preserve"> .</w:t>
      </w:r>
    </w:p>
    <w:p w:rsidR="00F72742" w:rsidRPr="00D41180"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D41180">
        <w:rPr>
          <w:rFonts w:cs="Traditional Arabic" w:hint="cs"/>
          <w:b/>
          <w:bCs/>
          <w:sz w:val="28"/>
          <w:szCs w:val="32"/>
          <w:rtl/>
        </w:rPr>
        <w:t>3- التجديد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349- القواعد العامة للتجديد تسري :</w:t>
      </w:r>
      <w:r>
        <w:rPr>
          <w:rFonts w:cs="Traditional Arabic" w:hint="cs"/>
          <w:sz w:val="28"/>
          <w:szCs w:val="32"/>
          <w:rtl/>
        </w:rPr>
        <w:t xml:space="preserve"> والقواعد العامة للتجديد</w:t>
      </w:r>
      <w:r>
        <w:rPr>
          <w:rFonts w:cs="Traditional Arabic" w:hint="cs"/>
          <w:sz w:val="28"/>
          <w:szCs w:val="32"/>
          <w:vertAlign w:val="superscript"/>
          <w:rtl/>
        </w:rPr>
        <w:t xml:space="preserve">( </w:t>
      </w:r>
      <w:r w:rsidRPr="00EC737F">
        <w:rPr>
          <w:rStyle w:val="ab"/>
          <w:rFonts w:cs="Traditional Arabic"/>
          <w:sz w:val="28"/>
          <w:szCs w:val="32"/>
          <w:rtl/>
        </w:rPr>
        <w:footnoteReference w:id="1297"/>
      </w:r>
      <w:r>
        <w:rPr>
          <w:rFonts w:cs="Traditional Arabic" w:hint="cs"/>
          <w:sz w:val="28"/>
          <w:szCs w:val="32"/>
          <w:vertAlign w:val="superscript"/>
          <w:rtl/>
        </w:rPr>
        <w:t xml:space="preserve"> )</w:t>
      </w:r>
      <w:r>
        <w:rPr>
          <w:rFonts w:cs="Traditional Arabic" w:hint="cs"/>
          <w:sz w:val="28"/>
          <w:szCs w:val="32"/>
          <w:rtl/>
        </w:rPr>
        <w:t xml:space="preserve"> تسري هنا أيضاً بوجه عام . والتجديد عمل مركب ، فهو قضاء دين قديم وإنشاء دين جديد يحل محله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كان الالتزام الجديد لا يغاير الالتزام القديم في عنصر هام ، في الدين أو في المدين أو في الدائن ، فلا يعدو الأمر أن يكون هذا إقراراً </w:t>
      </w:r>
      <w:r>
        <w:rPr>
          <w:rFonts w:cs="Traditional Arabic"/>
          <w:sz w:val="28"/>
          <w:szCs w:val="32"/>
          <w:rtl/>
        </w:rPr>
        <w:t xml:space="preserve">( </w:t>
      </w:r>
      <w:r>
        <w:rPr>
          <w:rFonts w:cs="Traditional Arabic"/>
          <w:sz w:val="28"/>
          <w:szCs w:val="32"/>
        </w:rPr>
        <w:t>reconnaissance</w:t>
      </w:r>
      <w:r>
        <w:rPr>
          <w:rFonts w:cs="Traditional Arabic"/>
          <w:sz w:val="28"/>
          <w:szCs w:val="32"/>
          <w:rtl/>
        </w:rPr>
        <w:t xml:space="preserve"> )</w:t>
      </w:r>
      <w:r>
        <w:rPr>
          <w:rFonts w:cs="Traditional Arabic" w:hint="cs"/>
          <w:sz w:val="28"/>
          <w:szCs w:val="32"/>
          <w:rtl/>
        </w:rPr>
        <w:t xml:space="preserve"> بالالتزام القديم كما هو دون تغيير ، أو قرراً </w:t>
      </w:r>
      <w:r>
        <w:rPr>
          <w:rFonts w:cs="Traditional Arabic"/>
          <w:sz w:val="28"/>
          <w:szCs w:val="32"/>
          <w:rtl/>
        </w:rPr>
        <w:t xml:space="preserve">( </w:t>
      </w:r>
      <w:r>
        <w:rPr>
          <w:rFonts w:cs="Traditional Arabic"/>
          <w:sz w:val="28"/>
          <w:szCs w:val="32"/>
        </w:rPr>
        <w:t>ratification</w:t>
      </w:r>
      <w:r>
        <w:rPr>
          <w:rFonts w:cs="Traditional Arabic"/>
          <w:sz w:val="28"/>
          <w:szCs w:val="32"/>
          <w:rtl/>
        </w:rPr>
        <w:t xml:space="preserve"> )</w:t>
      </w:r>
      <w:r>
        <w:rPr>
          <w:rFonts w:cs="Traditional Arabic" w:hint="cs"/>
          <w:sz w:val="28"/>
          <w:szCs w:val="32"/>
          <w:rtl/>
        </w:rPr>
        <w:t xml:space="preserve"> له حتى يسري في حق الغير ، أو إجازة </w:t>
      </w:r>
      <w:r>
        <w:rPr>
          <w:rFonts w:cs="Traditional Arabic"/>
          <w:sz w:val="28"/>
          <w:szCs w:val="32"/>
          <w:rtl/>
        </w:rPr>
        <w:t xml:space="preserve">( </w:t>
      </w:r>
      <w:r>
        <w:rPr>
          <w:rFonts w:cs="Traditional Arabic"/>
          <w:sz w:val="28"/>
          <w:szCs w:val="32"/>
        </w:rPr>
        <w:t>confirmation</w:t>
      </w:r>
      <w:r>
        <w:rPr>
          <w:rFonts w:cs="Traditional Arabic"/>
          <w:sz w:val="28"/>
          <w:szCs w:val="32"/>
          <w:rtl/>
        </w:rPr>
        <w:t xml:space="preserve"> )</w:t>
      </w:r>
      <w:r>
        <w:rPr>
          <w:rFonts w:cs="Traditional Arabic" w:hint="cs"/>
          <w:sz w:val="28"/>
          <w:szCs w:val="32"/>
          <w:rtl/>
        </w:rPr>
        <w:t xml:space="preserve"> له حتى يزول البطلان ، أو نحو ذلك ، ولكنه لا يكون على كل حال تجديداً . كذلك إدخال تعديل غير جوهري على الالتزام القديم لا يعد تجديداً ، فإضافة أجل إلى الالتزام القديم ، أو مد أجل قائم أو إلغاء أجل موجود ، $624 كل ذلك لا يعد تعديلا جوهرياً إلى حد أن يكون هناك تجديد . كذلك إضافة شرط جزائي ، أو </w:t>
      </w:r>
      <w:r>
        <w:rPr>
          <w:rFonts w:cs="Traditional Arabic" w:hint="cs"/>
          <w:sz w:val="28"/>
          <w:szCs w:val="32"/>
          <w:rtl/>
        </w:rPr>
        <w:lastRenderedPageBreak/>
        <w:t>تقديم تأمين شخصي أو عينين أو إلغاء هذا التأمين ، أو تعديل مكان الوفاء ، أو تعديل سعر الفائدة بخفضها أو برفعها ، أو تغيير مقدار الدين بزيادة أو بنقض ، كل ذلك لا يعد تعديلا جوهرياً يترتب عليه تجديد الالتزام . وهذا كله ما لم يصرح الطرفان أنهما أرادا تجديداً ، فيتم التجديد ، وتعتبر هذه التعديلات عندئذ تغييراً في محل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تعليق التزام منجز على شرط واقف أو شرط فاسخ ، أو إلغاء شرط واقف أو شرط فاسخ ، كان الالتزام معلقاً عليه فأصبح التزاماً منجزاً ، فإن هذا يعد تعديلا جوهرياً في الالتزام إلى حد أن يكون تجديداً له بتغيير محل الدين</w:t>
      </w:r>
      <w:r>
        <w:rPr>
          <w:rFonts w:cs="Traditional Arabic" w:hint="cs"/>
          <w:sz w:val="28"/>
          <w:szCs w:val="32"/>
          <w:vertAlign w:val="superscript"/>
          <w:rtl/>
        </w:rPr>
        <w:t xml:space="preserve">( </w:t>
      </w:r>
      <w:r w:rsidRPr="00EC737F">
        <w:rPr>
          <w:rStyle w:val="ab"/>
          <w:rFonts w:cs="Traditional Arabic"/>
          <w:sz w:val="28"/>
          <w:szCs w:val="32"/>
          <w:rtl/>
        </w:rPr>
        <w:footnoteReference w:id="12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350- تقييد الالتزام في حساب حار :</w:t>
      </w:r>
      <w:r>
        <w:rPr>
          <w:rFonts w:cs="Traditional Arabic" w:hint="cs"/>
          <w:sz w:val="28"/>
          <w:szCs w:val="32"/>
          <w:rtl/>
        </w:rPr>
        <w:t xml:space="preserve"> ومجرد تقييد الالتزام في حساب جار لا يكون تجديداً لهذا الالتزام ، لأن مجرد تقييد الالتزام في الحساب الجاري قبل قطع رصيد الحساب لا ينشئ التزاماً جديداً . لكن الالتزام الذي قيد في الحساب الجاري تفنى ذاتيته ويصير قلما من أقلام الحساب ، وينقضي الالتزام قبل أن يتم تجديده ، ويحل محله عنصر حسابي هو الدائنية أو المديونية التي يمثلها الالتزام في الحساب الجاري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ويترتب على أن الالتزام ينقضي حتى قبل أن يتم التجديد أن تزول عنه صفته المدينة إذا كان ديناً مديناً ، ولا يعود يخضع لسريان التقادم . وكان ينبغي ، إذا كان الالتزام مضموناً برهن ، أن ينقضي هذا الرهن باقتضاء الالتزام المضمون بالرهن ، لولا أن المادة 355 مدني تنص على ما يأتي : "1- لا يكون تجديداً مجرد تقييد الالتزام في حساب جار . 2- وإنما يتجدد الالتزام إذا قطع رصيد الحساب وتم إقراره ، على أنه $625 إذا كان الالتزام مكفولا بتأمين خاص ، فإن هذا التأمين يبقى ما لم يتفق على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الالتزام مضموناً برهن رسمي مثلا ، فبالرغم من أنه قد انقضى وإن كمان لم يتجدد ، فإن الرهن الرسمي لا ينقضي تبعاً للالتزام المضمون به ، ولكنه يبقى كما يقول النص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فإذا ما قطع رصيد الحساب الجاري وتم إقراره ، فإن الرصيد يكون حقاً لأحد طري الحساب وديناً في ذمة الآخر . وعند ذلك يتم تجديد جميع الالتزامات المقيدة في الحساب الجاري ، ويصبح هذا الرصيد هو الالتزام الجديد الذي حل محل الالتزامات المقيدة ، وينتقل إلى الرصيد التأمين الخاص الذي كان يكفل الالتزام المقيد ، والذي رأيناه يبقى بالرغم من انقضاء هذا الالتزام . ذلك أن القانون يفترض أن نية الطرفين قد انصرفت إلى استبقاء التأمين الخاص بعد تقييد الالتزام ، فإذا ما قطع الرصيد انتقل التأمين إليه فأصبح  مكفولا به . وغني عن البيان أن هذا مجرد افتراض يجوز إسقاط دلالته عن طريق اتفاق الطرفين على زوال التأمين بمجرد تقييد الالتزام في الحساب وانقضائه على هذا الوجه</w:t>
      </w:r>
      <w:r>
        <w:rPr>
          <w:rFonts w:cs="Traditional Arabic" w:hint="cs"/>
          <w:sz w:val="28"/>
          <w:szCs w:val="32"/>
          <w:vertAlign w:val="superscript"/>
          <w:rtl/>
        </w:rPr>
        <w:t xml:space="preserve">( </w:t>
      </w:r>
      <w:r w:rsidRPr="00EC737F">
        <w:rPr>
          <w:rStyle w:val="ab"/>
          <w:rFonts w:cs="Traditional Arabic"/>
          <w:sz w:val="28"/>
          <w:szCs w:val="32"/>
          <w:rtl/>
        </w:rPr>
        <w:footnoteReference w:id="12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351- نقل التأمين من الالتزام القديم إلى الالتزام الجديد :</w:t>
      </w:r>
      <w:r>
        <w:rPr>
          <w:rFonts w:cs="Traditional Arabic" w:hint="cs"/>
          <w:sz w:val="28"/>
          <w:szCs w:val="32"/>
          <w:rtl/>
        </w:rPr>
        <w:t xml:space="preserve"> تنص المادة 357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إذا كانت هناك تأمينات عينية قدمها المدين لكفالة الالتزام الأصلي ، فإن الاتفاق على نقل هذه التأمينات إلى الالتزام الجديد تراعى فيه الأحكام الآتية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إذا كان التجديد بتغيير الدين ، جاز للدائن والمدين أن يتفقا على انتقال التأمينات للالتزام الجديد في الحدود التي لا تحقق ضرراً للغير"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$626 "ب" إذا كان التجديد بتغيير المدين ، جاز للدائن والمدين الجديد أن يتفقا على استيفاء التأمينات العينية ، دون حاجة إلى رضاء المدين القديم"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جـ ) إذا كان التجديد بتغيير الدائن ، جاز للمتعاقدين ثلاثتهم أن يتفقوا على استيفاء التأمينات" .</w:t>
      </w:r>
    </w:p>
    <w:p w:rsidR="00F72742" w:rsidRPr="00F92DA8"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ولا يكون الاتفاق على نقل التأمينات العينية نافذاً في حق الغير إلا إذا تم مع التجديد في وقت واحد ، هذا مع مراعاة الأحكام المتعلقة بالتسجيل"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358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"لا ينتقل إلى الالتزام الجديد الكفالة ، عينية كانت أو شخصية ، ولا التضامن ، إلا إذا رضي بذلك الكفلاء والمدينون المتضامنون"</w:t>
      </w:r>
      <w:r>
        <w:rPr>
          <w:rFonts w:cs="Traditional Arabic" w:hint="cs"/>
          <w:sz w:val="28"/>
          <w:szCs w:val="32"/>
          <w:vertAlign w:val="superscript"/>
          <w:rtl/>
        </w:rPr>
        <w:t xml:space="preserve">( </w:t>
      </w:r>
      <w:r w:rsidRPr="00EC737F">
        <w:rPr>
          <w:rStyle w:val="ab"/>
          <w:rFonts w:cs="Traditional Arabic"/>
          <w:sz w:val="28"/>
          <w:szCs w:val="32"/>
          <w:rtl/>
        </w:rPr>
        <w:footnoteReference w:id="1300"/>
      </w:r>
      <w:r>
        <w:rPr>
          <w:rFonts w:cs="Traditional Arabic" w:hint="cs"/>
          <w:sz w:val="28"/>
          <w:szCs w:val="32"/>
          <w:vertAlign w:val="superscript"/>
          <w:rtl/>
        </w:rPr>
        <w:t xml:space="preserve"> )</w:t>
      </w:r>
      <w:r>
        <w:rPr>
          <w:rFonts w:cs="Traditional Arabic" w:hint="cs"/>
          <w:sz w:val="28"/>
          <w:szCs w:val="32"/>
          <w:rtl/>
        </w:rPr>
        <w:t xml:space="preserve"> .</w:t>
      </w:r>
    </w:p>
    <w:p w:rsidR="00F72742" w:rsidRPr="00CD5F9D" w:rsidRDefault="00F72742" w:rsidP="00F72742">
      <w:pPr>
        <w:widowControl w:val="0"/>
        <w:spacing w:after="120"/>
        <w:jc w:val="center"/>
        <w:rPr>
          <w:rFonts w:cs="Traditional Arabic" w:hint="cs"/>
          <w:b/>
          <w:bCs/>
          <w:sz w:val="28"/>
          <w:szCs w:val="32"/>
          <w:rtl/>
        </w:rPr>
      </w:pPr>
      <w:r w:rsidRPr="00CD5F9D">
        <w:rPr>
          <w:b/>
          <w:bCs/>
          <w:sz w:val="28"/>
          <w:szCs w:val="32"/>
          <w:rtl/>
        </w:rPr>
        <w:t>§</w:t>
      </w:r>
      <w:r w:rsidRPr="00CD5F9D">
        <w:rPr>
          <w:rFonts w:cs="Traditional Arabic" w:hint="cs"/>
          <w:b/>
          <w:bCs/>
          <w:sz w:val="28"/>
          <w:szCs w:val="32"/>
          <w:rtl/>
        </w:rPr>
        <w:t xml:space="preserve"> 4- المقاصة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352- القواعد العامة للمقاصة تسري :</w:t>
      </w:r>
      <w:r>
        <w:rPr>
          <w:rFonts w:cs="Traditional Arabic" w:hint="cs"/>
          <w:sz w:val="28"/>
          <w:szCs w:val="32"/>
          <w:rtl/>
        </w:rPr>
        <w:t xml:space="preserve"> وتسري هنا أيضاً القواعد العامة المقررة في شأن المقاصة</w:t>
      </w:r>
      <w:r>
        <w:rPr>
          <w:rFonts w:cs="Traditional Arabic" w:hint="cs"/>
          <w:sz w:val="28"/>
          <w:szCs w:val="32"/>
          <w:vertAlign w:val="superscript"/>
          <w:rtl/>
        </w:rPr>
        <w:t xml:space="preserve">( </w:t>
      </w:r>
      <w:r w:rsidRPr="00EC737F">
        <w:rPr>
          <w:rStyle w:val="ab"/>
          <w:rFonts w:cs="Traditional Arabic"/>
          <w:sz w:val="28"/>
          <w:szCs w:val="32"/>
          <w:rtl/>
        </w:rPr>
        <w:footnoteReference w:id="1301"/>
      </w:r>
      <w:r>
        <w:rPr>
          <w:rFonts w:cs="Traditional Arabic" w:hint="cs"/>
          <w:sz w:val="28"/>
          <w:szCs w:val="32"/>
          <w:vertAlign w:val="superscript"/>
          <w:rtl/>
        </w:rPr>
        <w:t xml:space="preserve"> )</w:t>
      </w:r>
      <w:r>
        <w:rPr>
          <w:rFonts w:cs="Traditional Arabic" w:hint="cs"/>
          <w:sz w:val="28"/>
          <w:szCs w:val="32"/>
          <w:rtl/>
        </w:rPr>
        <w:t xml:space="preserve"> . والمقاصة أداء وفاء ، وأداة ضمان . فأما أنها أداة وفاء ، فذلك يستخلص من انقضاء دينين متقابلين توافرت فيهما شروط معينة . وأما أن المقاصة أداة ضمان ، فذلك ظاهر أيضاً من أن الدائن الذي يستوفي حقه من الدين الذي في ذمته لمدينه إنما يختص بهذا الدين الذي في ذمته دون غيره من دائني المدين . فيستوفى حقه منه متقدماً عليهم جميعاً ، ومن ثم تكون المقاصة من شأنها أن تقدم للدائن تأميناً ، فهي من هذا الوجه أداة ضمان</w:t>
      </w:r>
      <w:r>
        <w:rPr>
          <w:rFonts w:cs="Traditional Arabic" w:hint="cs"/>
          <w:sz w:val="28"/>
          <w:szCs w:val="32"/>
          <w:vertAlign w:val="superscript"/>
          <w:rtl/>
        </w:rPr>
        <w:t xml:space="preserve">( </w:t>
      </w:r>
      <w:r w:rsidRPr="00EC737F">
        <w:rPr>
          <w:rStyle w:val="ab"/>
          <w:rFonts w:cs="Traditional Arabic"/>
          <w:sz w:val="28"/>
          <w:szCs w:val="32"/>
          <w:rtl/>
        </w:rPr>
        <w:footnoteReference w:id="13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أوجب التقنين المدني الجديد على ذي المصلحة في المقاصة أن $627 يتمسك بها ، والتمسك بالمقاصة يراد به تأكيد أن المقصاة ليست من النظام العام بل هي مقررة لمصلحة الطرفين ، وأن القاضي لا يجوز هل أن يقضي بها من تلقاء نفسه حتى لو علم بوقعها وإنما يجب على ذي المصلحة أن يتمسك بها . والتمسك بالمقاصة يصبح في أية حالة كانت عليها الدعوى ، ولو لأول مرة أمام محكمة الاستئناف . بل يصح التمسك بالمقاصة حتى بعد صدور حكم نهائي ، وفي أثناء إجراءات التنفيذ . ذلك أن المقاصة تقع بحكم القانون دون حاجة إلى إعلان عن الإرادة ، والتمسك بها ليس إلا إعلاناً للقاضي أن ذا المصلحة فيها يطلب الحكم بوقوعها ، وإغفال التمسك بها قد يؤول على أن ذا المصلحة قد نزل عنها بعد ثبوتها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بل ويمكن التمسك بالمقاصة خارج مجلس القضاء ، ولا يعتبر هذا التمسك تصرفاً قانونياً ، إنما هو إشعار للطرف الآخر بوقوع المقاصة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فالمقاصة ليست من النظام العام ، ويجوز إذن لمن تقررت لمصلحته أن ينزل عنها ، صراحة أو ضمناً</w:t>
      </w:r>
      <w:r>
        <w:rPr>
          <w:rFonts w:cs="Traditional Arabic" w:hint="cs"/>
          <w:sz w:val="28"/>
          <w:szCs w:val="32"/>
          <w:vertAlign w:val="superscript"/>
          <w:rtl/>
        </w:rPr>
        <w:t xml:space="preserve">( </w:t>
      </w:r>
      <w:r w:rsidRPr="00EC737F">
        <w:rPr>
          <w:rStyle w:val="ab"/>
          <w:rFonts w:cs="Traditional Arabic"/>
          <w:sz w:val="28"/>
          <w:szCs w:val="32"/>
          <w:rtl/>
        </w:rPr>
        <w:footnoteReference w:id="13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353- حالة من حالات النزول الضمني عن المقاصة :</w:t>
      </w:r>
      <w:r>
        <w:rPr>
          <w:rFonts w:cs="Traditional Arabic" w:hint="cs"/>
          <w:sz w:val="28"/>
          <w:szCs w:val="32"/>
          <w:rtl/>
        </w:rPr>
        <w:t xml:space="preserve"> وقد نصت المادة369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وفى المدين ديناً ، وكان له أن يطلب المقاصة فيه بحق له ، فلا يجوز أن يتمسك إضراراً بالغير بالتأمينات التي تكفل حقه ، إلا إذا كان يجهل وجود هذا الحق"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النص يفرض أن المدين وفي دينه للدائن ، بالرغم من وجود حق له في ذمة الدائن كان من الممكن أن يقاص به دينه فلم يفعل . وهنا يجب التمييز بين 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أولا </w:t>
      </w:r>
      <w:r>
        <w:rPr>
          <w:rFonts w:cs="Traditional Arabic"/>
          <w:sz w:val="28"/>
          <w:szCs w:val="32"/>
          <w:rtl/>
        </w:rPr>
        <w:t>–</w:t>
      </w:r>
      <w:r>
        <w:rPr>
          <w:rFonts w:cs="Traditional Arabic" w:hint="cs"/>
          <w:sz w:val="28"/>
          <w:szCs w:val="32"/>
          <w:rtl/>
        </w:rPr>
        <w:t xml:space="preserve"> حالة ما إذا كان المدين وهو يدفع دينه يعلم بوجود حق له يمكن أن يقاص به الدين ، فلم بتمسك مع ذلك بالمقاصة ودفع الدين . وهنا $628  يجب تأويل عدم تمسك المدين بالمقصاة مع علمه بجواز التمسك بها أن هذا نزول ضمني منه عن التمسك بحقه في المقاصة بعد ثبوتها . ومن ثم ينقضي الدين الذي كان في ذمة المدين بالوفاء ، ويعود للمدين حقه الذي كان انقضى بالمقاصة . ولكن لا يعود من التأمينات التي كانت تكفل هذا الحق ما تضر عودته بالغير ، فلا يضار دائن مرتهن متأخر في المرتبة عن مرتبة الرهن الذي كان يكفل الحق ، لأن هذا الرهن قد زال لأنه يكفل حقاً كان يجب أن يقتضي بالمقاصة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ثانياً </w:t>
      </w:r>
      <w:r>
        <w:rPr>
          <w:rFonts w:cs="Traditional Arabic"/>
          <w:sz w:val="28"/>
          <w:szCs w:val="32"/>
          <w:rtl/>
        </w:rPr>
        <w:t>–</w:t>
      </w:r>
      <w:r>
        <w:rPr>
          <w:rFonts w:cs="Traditional Arabic" w:hint="cs"/>
          <w:sz w:val="28"/>
          <w:szCs w:val="32"/>
          <w:rtl/>
        </w:rPr>
        <w:t xml:space="preserve"> حالة ما إذا كمان المدين وهو يدفع دينه يجهل وجود حق له بمكن أن يقاص به الدين ، فهنا لا يمكن القول بأن المدين قد نزل عن التمسك بالمقاصة في هذا الحق . وجعل القانون من جهل المدين بحقه المكفول برهن عذراً مقبولا ، فاعتد بالوفاء الصادر منه على أنه وفاء لدين قائم في ذمته ، لا على أنه وفاء لدين انقضى بالمقاصة . وما دامت المقاصة لم تقع ، فإن حق المدين يبقى مع الرهن الذي </w:t>
      </w:r>
      <w:r>
        <w:rPr>
          <w:rFonts w:cs="Traditional Arabic" w:hint="cs"/>
          <w:sz w:val="28"/>
          <w:szCs w:val="32"/>
          <w:rtl/>
        </w:rPr>
        <w:lastRenderedPageBreak/>
        <w:t>يكفله ، وذلك كله رعاية لحسن نية المدين"</w:t>
      </w:r>
      <w:r>
        <w:rPr>
          <w:rFonts w:cs="Traditional Arabic" w:hint="cs"/>
          <w:sz w:val="28"/>
          <w:szCs w:val="32"/>
          <w:vertAlign w:val="superscript"/>
          <w:rtl/>
        </w:rPr>
        <w:t xml:space="preserve">( </w:t>
      </w:r>
      <w:r w:rsidRPr="00EC737F">
        <w:rPr>
          <w:rStyle w:val="ab"/>
          <w:rFonts w:cs="Traditional Arabic"/>
          <w:sz w:val="28"/>
          <w:szCs w:val="32"/>
          <w:rtl/>
        </w:rPr>
        <w:footnoteReference w:id="1304"/>
      </w:r>
      <w:r>
        <w:rPr>
          <w:rFonts w:cs="Traditional Arabic" w:hint="cs"/>
          <w:sz w:val="28"/>
          <w:szCs w:val="32"/>
          <w:vertAlign w:val="superscript"/>
          <w:rtl/>
        </w:rPr>
        <w:t xml:space="preserve"> )</w:t>
      </w:r>
      <w:r>
        <w:rPr>
          <w:rFonts w:cs="Traditional Arabic" w:hint="cs"/>
          <w:sz w:val="28"/>
          <w:szCs w:val="32"/>
          <w:rtl/>
        </w:rPr>
        <w:t xml:space="preserve"> .</w:t>
      </w:r>
    </w:p>
    <w:p w:rsidR="00F72742" w:rsidRPr="0043370E" w:rsidRDefault="00F72742" w:rsidP="00F72742">
      <w:pPr>
        <w:widowControl w:val="0"/>
        <w:spacing w:after="120"/>
        <w:jc w:val="center"/>
        <w:rPr>
          <w:rFonts w:cs="Traditional Arabic" w:hint="cs"/>
          <w:b/>
          <w:bCs/>
          <w:sz w:val="28"/>
          <w:szCs w:val="32"/>
          <w:rtl/>
        </w:rPr>
      </w:pPr>
      <w:r w:rsidRPr="0043370E">
        <w:rPr>
          <w:b/>
          <w:bCs/>
          <w:sz w:val="28"/>
          <w:szCs w:val="32"/>
          <w:rtl/>
        </w:rPr>
        <w:t>§</w:t>
      </w:r>
      <w:r w:rsidRPr="0043370E">
        <w:rPr>
          <w:rFonts w:cs="Traditional Arabic" w:hint="cs"/>
          <w:b/>
          <w:bCs/>
          <w:sz w:val="28"/>
          <w:szCs w:val="32"/>
          <w:rtl/>
        </w:rPr>
        <w:t xml:space="preserve"> 5- اتحاد الذمة</w:t>
      </w:r>
    </w:p>
    <w:p w:rsidR="00F72742" w:rsidRDefault="00F72742" w:rsidP="00F72742">
      <w:pPr>
        <w:widowControl w:val="0"/>
        <w:spacing w:after="120"/>
        <w:ind w:firstLine="567"/>
        <w:jc w:val="lowKashida"/>
        <w:rPr>
          <w:rFonts w:cs="Traditional Arabic" w:hint="cs"/>
          <w:sz w:val="28"/>
          <w:szCs w:val="32"/>
          <w:rtl/>
        </w:rPr>
      </w:pPr>
      <w:r w:rsidRPr="0043370E">
        <w:rPr>
          <w:rFonts w:cs="Traditional Arabic" w:hint="cs"/>
          <w:b/>
          <w:bCs/>
          <w:sz w:val="28"/>
          <w:szCs w:val="32"/>
          <w:rtl/>
        </w:rPr>
        <w:t>354- القواعد العامة لاتحاد الذمة تسري</w:t>
      </w:r>
      <w:r>
        <w:rPr>
          <w:rFonts w:cs="Traditional Arabic" w:hint="cs"/>
          <w:sz w:val="28"/>
          <w:szCs w:val="32"/>
          <w:rtl/>
        </w:rPr>
        <w:t xml:space="preserve"> : وتسري هنا أيضاً القواعد العامة لاتحاد الذمة</w:t>
      </w:r>
      <w:r>
        <w:rPr>
          <w:rFonts w:cs="Traditional Arabic" w:hint="cs"/>
          <w:sz w:val="28"/>
          <w:szCs w:val="32"/>
          <w:vertAlign w:val="superscript"/>
          <w:rtl/>
        </w:rPr>
        <w:t xml:space="preserve">( </w:t>
      </w:r>
      <w:r w:rsidRPr="00EC737F">
        <w:rPr>
          <w:rStyle w:val="ab"/>
          <w:rFonts w:cs="Traditional Arabic"/>
          <w:sz w:val="28"/>
          <w:szCs w:val="32"/>
          <w:rtl/>
        </w:rPr>
        <w:footnoteReference w:id="1305"/>
      </w:r>
      <w:r>
        <w:rPr>
          <w:rFonts w:cs="Traditional Arabic" w:hint="cs"/>
          <w:sz w:val="28"/>
          <w:szCs w:val="32"/>
          <w:vertAlign w:val="superscript"/>
          <w:rtl/>
        </w:rPr>
        <w:t xml:space="preserve"> )</w:t>
      </w:r>
      <w:r>
        <w:rPr>
          <w:rFonts w:cs="Traditional Arabic" w:hint="cs"/>
          <w:sz w:val="28"/>
          <w:szCs w:val="32"/>
          <w:rtl/>
        </w:rPr>
        <w:t xml:space="preserve"> . واتحاد الذمة يتحقق ، أكثر ما يتحقق ، عن طريق الميراث . وله صورتان : ( الصورة الأولى ) حيث يرث المدين الدائن ، ويرث المدين حق الدين ، فتتحد الذمة في الدين ، وهذا صحيح في مصر ، لأن قواعد الفقه الإسلامي ، وهي التي تطبق في الميراث ، تقره وتنقل حقوق الدائن إلى ورثته ، ( الصورة الثانية ) حيث يرث الدائن المدين ، فتكون التركة هي المدينة للدائن ، والدائن هو الوارث . وهنا $629 تأبى قواعد الفقه الإسلامي أن تتحدد الذمة في الدين ، إذ أن الدائن لا يرث الدين الذي على التركة ، فالديون لا تورث ولا تركة إلا بعد سداد الدين . فتبقى التركة منفصلة عن مال الدائن حتى تسدد دينها لهذا الدائن ، ثم يرث الدائن بعد ذلك من التركة ما يبقى بعد سداد الديون ، فلا يكون هناك مجال لاتحاد الذمة في هذه الصورة . وتقول المذكرة الإيضاحية للمشروع التمهيدي في هذا المعنى : "ورغم أن نصيب هذا النظام من الأهمية جد ضئيل ، إذ أن الشريعة الإسلامية لا تقر أحد تطبيقية الرئيسيين ، فقد أفرد له المشروع مادتين ( أدمجتا بعد ذلك في مادة واحدة ) ، تناول في أولاهما تحديد نظامه ، واستظهر في الثانية الأثر المترتب عليه"</w:t>
      </w:r>
      <w:r>
        <w:rPr>
          <w:rFonts w:cs="Traditional Arabic" w:hint="cs"/>
          <w:sz w:val="28"/>
          <w:szCs w:val="32"/>
          <w:vertAlign w:val="superscript"/>
          <w:rtl/>
        </w:rPr>
        <w:t xml:space="preserve">( </w:t>
      </w:r>
      <w:r w:rsidRPr="00EC737F">
        <w:rPr>
          <w:rStyle w:val="ab"/>
          <w:rFonts w:cs="Traditional Arabic"/>
          <w:sz w:val="28"/>
          <w:szCs w:val="32"/>
          <w:rtl/>
        </w:rPr>
        <w:footnoteReference w:id="130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وقل أن تتحد الذمة عن طريق التصرف القانوني ما بين الاحياء . ومع ذلك فهناك مثل أورده المشرع ، إذ نص في الفقرة الأولى من المادة 469 مدني على ما يأتي : "إذا كان الحق المتنازع فيه قد نزل عنه صاحبه بمقابل إلى شخص آخر ، فالمتنازل ضده أن يتخلص من المطالبة إذا هو رد إلى المتنازل الثمن الحقيقي الذي دفعه مع المصروفات وفوائد الثمن من وقت الدفع" . فهذا دين متنازع فيه في ذمة المدين </w:t>
      </w:r>
      <w:r>
        <w:rPr>
          <w:rFonts w:cs="Traditional Arabic" w:hint="cs"/>
          <w:sz w:val="28"/>
          <w:szCs w:val="32"/>
          <w:rtl/>
        </w:rPr>
        <w:lastRenderedPageBreak/>
        <w:t>للدائن ، وقد حوله الدائن بمقابل إلى شخص آخ ، فيستطيع المدين أن يحول الصفقة إليه عن طريق رد الثمن والفوائد إلى المحال له ، فيصبح المدين ، بفضل هذا الاسترداد ، دائناً لنفسه ، وتتحد الذمة في الدين . والواقعة التي أدت إلى اتحاد الذمة هنا هي  تصرف قانوني ما بين الأحياء ، فإن استرداد الدين ينطوي على تصرف قانوني . والمثل الآخر الذي يورده الفقه عادة لتصرف قانوني ما بين الأحياء يكون سبباً لاتحاد الذمة هو مثل الكمبيالة قبلها المسحوب عليه ، فأصبح مديناً بقيمتها . وقبل حلول ميعاد استحقاها يشتريها المسحوب عليه فتصبح ملكه ، ومن ثم يصير دائناً لنفسه . فتجتمع صفتا المدين $630 والدائن ، وتتحد الذمة . وسبب اتحاد لاذمة هنا هو شراء المسحوب عليه للكمبياةل ، وهذا تصرف قانوني ما بين الأحياء</w:t>
      </w:r>
      <w:r>
        <w:rPr>
          <w:rFonts w:cs="Traditional Arabic" w:hint="cs"/>
          <w:sz w:val="28"/>
          <w:szCs w:val="32"/>
          <w:vertAlign w:val="superscript"/>
          <w:rtl/>
        </w:rPr>
        <w:t xml:space="preserve">( </w:t>
      </w:r>
      <w:r w:rsidRPr="00EC737F">
        <w:rPr>
          <w:rStyle w:val="ab"/>
          <w:rFonts w:cs="Traditional Arabic"/>
          <w:sz w:val="28"/>
          <w:szCs w:val="32"/>
          <w:rtl/>
        </w:rPr>
        <w:footnoteReference w:id="130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355- عودة الدين إلى الظهر :</w:t>
      </w:r>
      <w:r>
        <w:rPr>
          <w:rFonts w:cs="Traditional Arabic" w:hint="cs"/>
          <w:sz w:val="28"/>
          <w:szCs w:val="32"/>
          <w:rtl/>
        </w:rPr>
        <w:t xml:space="preserve"> فإذا زال بأثر رجعي السبب الذي أدى إلى اتحاد الذمة ، اعتبر اتحاد الذمة كأن لم يكن ، وعاد الدين إلى الظهور والنفاذ بعد أن كان موقوفاً من ناحية المطالبة</w:t>
      </w:r>
      <w:r>
        <w:rPr>
          <w:rFonts w:cs="Traditional Arabic" w:hint="cs"/>
          <w:sz w:val="28"/>
          <w:szCs w:val="32"/>
          <w:vertAlign w:val="superscript"/>
          <w:rtl/>
        </w:rPr>
        <w:t xml:space="preserve">( </w:t>
      </w:r>
      <w:r w:rsidRPr="00EC737F">
        <w:rPr>
          <w:rStyle w:val="ab"/>
          <w:rFonts w:cs="Traditional Arabic"/>
          <w:sz w:val="28"/>
          <w:szCs w:val="32"/>
          <w:rtl/>
        </w:rPr>
        <w:footnoteReference w:id="13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ويعود الدين بمقوماته الأصلية ، فيرجع ديناً مدنياً أو تجارياً منتجاً لفوائد أو غير منتج لها ، مشمولا بسند تنفيذي أو غير مشمول به ، بحسب الأحوال . ويعود أيضاً الرهن والتأمينات التي كانت تكلفه من كفيل شخصي وكفيل عيني ورهن وغير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مثل ذلك أن يكون السبب الذي أدى إلى اتحاد الذمة وصية ، فأوصى الدائن بالدين للمدين ، ومات الدائن فاتحدت الذمة في الدين . ثم تبين بعد ذلك أن الوصية قابلة للإبطال فأبطلت ، وزال بأثر رجعي هذا السبب الذي أدى إلى اتحاد الذمة . عند ذلك يعود الدين في ذمة المدين للتركة ، ويعود كما كان بصفاته ودفوعه وتأميناته . وتطالب التركة المدين بالدين ، بعد أن كانت كفت عن المطالبة بسبب اتحاد الذمة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ومثل ذلك أيضاً أن يقبل الكمبيالة المسحوب عليه ، ويشتريها بعقد قابل للإبطال ، ثم يبطل العقد </w:t>
      </w:r>
      <w:r>
        <w:rPr>
          <w:rFonts w:cs="Traditional Arabic" w:hint="cs"/>
          <w:sz w:val="28"/>
          <w:szCs w:val="32"/>
          <w:rtl/>
        </w:rPr>
        <w:lastRenderedPageBreak/>
        <w:t>.</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أخيراً أن يتخلص المدين من دين متنازع فيه بدفعه الثمن والقواعد ، ثم يتبين بعد ذلك أنه كان قصاراً وقت تخلصه ، فيبطل التصرف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في هذه الأحوال جميعاً يعتبر اتحاد الذمة كأن لم يكن بعد أن زال سببه $631 بأثر رجعي ، ويعود الدين إلى الظهور ، بما كان يكفله من رهن وتأمينات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الفقرة الثانية من المادة 370 مدني على هذه الأحكام ، إذ تقول : "وإذا زال السبب الذي أدى إلى اتحاد الذمة ، وكان لزواله أثر رجعي ، عاد الدين إلى الوجود وهو وملحقاته بالنسبة إلى ذوي الشأن جميعاً ، ويعتبر اتحاد الذمة كأن لم يكن"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356- زوال السبب الذي أدى إلى اتحاد الذمة بأثر غير رجعي :</w:t>
      </w:r>
      <w:r>
        <w:rPr>
          <w:rFonts w:cs="Traditional Arabic" w:hint="cs"/>
          <w:sz w:val="28"/>
          <w:szCs w:val="32"/>
          <w:rtl/>
        </w:rPr>
        <w:t xml:space="preserve"> وقد يزول بأثر غير رجعي السبب الذي أدى إلى اتحاد الذمة . ويمكن تصور ذلك إذا ورث المدين الدائن فاتحدت الذمة في الدين ، ثم اتفق الوارث باعتباره دائناً مع شخص آخر فحول الدين له . ففي هذه الحالة يعود الدين إلى الظهور في ذمة الوارث باعتباره مديناً ، ويصبح المحال له دائناً للوارث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لا يضار الغير بعود الدين على هذا الوجه . ففي المثل الذي نحن بصدده ، إذا كان للدين كفيل عيني أو شخصي ، وبرئت ذمة هذا الكفيل باتحاد الذمة ، ثم عاد الدين بأثر غير رجعي ، فإن الكفالة العينة ( الرهن ) أو الشخصية لا تعود . ولا يستطيع المحال له أن يرجع على الكفيل ، لأن الكفيل من الغير في الاتفاق الذي تم بين الوارث والمحا له ، وقد برئت ذمته من الكفالة ، فلا يضار بسبب اتفاق لم يكن هو طرفاً فيه</w:t>
      </w:r>
      <w:r>
        <w:rPr>
          <w:rFonts w:cs="Traditional Arabic" w:hint="cs"/>
          <w:sz w:val="28"/>
          <w:szCs w:val="32"/>
          <w:vertAlign w:val="superscript"/>
          <w:rtl/>
        </w:rPr>
        <w:t xml:space="preserve">( </w:t>
      </w:r>
      <w:r w:rsidRPr="00EC737F">
        <w:rPr>
          <w:rStyle w:val="ab"/>
          <w:rFonts w:cs="Traditional Arabic"/>
          <w:sz w:val="28"/>
          <w:szCs w:val="32"/>
          <w:rtl/>
        </w:rPr>
        <w:footnoteReference w:id="1309"/>
      </w:r>
      <w:r>
        <w:rPr>
          <w:rFonts w:cs="Traditional Arabic" w:hint="cs"/>
          <w:sz w:val="28"/>
          <w:szCs w:val="32"/>
          <w:vertAlign w:val="superscript"/>
          <w:rtl/>
        </w:rPr>
        <w:t xml:space="preserve"> )</w:t>
      </w:r>
      <w:r>
        <w:rPr>
          <w:rFonts w:cs="Traditional Arabic" w:hint="cs"/>
          <w:sz w:val="28"/>
          <w:szCs w:val="32"/>
          <w:rtl/>
        </w:rPr>
        <w:t xml:space="preserve"> .</w:t>
      </w:r>
    </w:p>
    <w:p w:rsidR="00F72742" w:rsidRPr="006A51D3"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6A51D3">
        <w:rPr>
          <w:rFonts w:cs="Traditional Arabic" w:hint="cs"/>
          <w:b/>
          <w:bCs/>
          <w:sz w:val="28"/>
          <w:szCs w:val="32"/>
          <w:rtl/>
        </w:rPr>
        <w:t>6- الإبراء من الدين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356- القواعد العامة للإبراء تسري :</w:t>
      </w:r>
      <w:r>
        <w:rPr>
          <w:rFonts w:cs="Traditional Arabic" w:hint="cs"/>
          <w:sz w:val="28"/>
          <w:szCs w:val="32"/>
          <w:rtl/>
        </w:rPr>
        <w:t xml:space="preserve"> وهنا أيضاً تنطبق القواعد العامة للإبراء</w:t>
      </w:r>
      <w:r>
        <w:rPr>
          <w:rFonts w:cs="Traditional Arabic" w:hint="cs"/>
          <w:sz w:val="28"/>
          <w:szCs w:val="32"/>
          <w:vertAlign w:val="superscript"/>
          <w:rtl/>
        </w:rPr>
        <w:t xml:space="preserve">( </w:t>
      </w:r>
      <w:r w:rsidRPr="00EC737F">
        <w:rPr>
          <w:rStyle w:val="ab"/>
          <w:rFonts w:cs="Traditional Arabic"/>
          <w:sz w:val="28"/>
          <w:szCs w:val="32"/>
          <w:rtl/>
        </w:rPr>
        <w:footnoteReference w:id="1310"/>
      </w:r>
      <w:r>
        <w:rPr>
          <w:rFonts w:cs="Traditional Arabic" w:hint="cs"/>
          <w:sz w:val="28"/>
          <w:szCs w:val="32"/>
          <w:vertAlign w:val="superscript"/>
          <w:rtl/>
        </w:rPr>
        <w:t xml:space="preserve"> )</w:t>
      </w:r>
      <w:r>
        <w:rPr>
          <w:rFonts w:cs="Traditional Arabic" w:hint="cs"/>
          <w:sz w:val="28"/>
          <w:szCs w:val="32"/>
          <w:rtl/>
        </w:rPr>
        <w:t xml:space="preserve"> . والإبراء </w:t>
      </w:r>
      <w:r>
        <w:rPr>
          <w:rFonts w:cs="Traditional Arabic" w:hint="cs"/>
          <w:sz w:val="28"/>
          <w:szCs w:val="32"/>
          <w:rtl/>
        </w:rPr>
        <w:lastRenderedPageBreak/>
        <w:t>تصرف تبرعي صادر من جانب واحد هو الدائم المبرئ ، وينقضي به الدين ، فيزول الرهن . وتنص المادة 372 مدني على ما يأتي : "1- يرسي على الإبراء الأحكام الموضوعية التي $632 تسري على كل تبرع . 2- ولا يشترط فيه شكل خاص ، ولو وقع على التزام يشترط لقيامه شكل فرضه القانون أو اتفق عليه المتعاقدان"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وكان الإبراء في التقنين المدني السابق اتفاقاً يتم بين الدائن والمدين على انقضاء الدين دون مقابل . وقد عدل التقنين المدني الجديد عن هذا التكييف التقليدي ، وصرح في المادة 371 مدني بأن الإبراء يتم "متى وصل إلى علم المدين ، ويرتد برده" . ومعنى ذلك أن الإبراء يتم بإرادة الدائن وحده ، لا باتفاق بين الدائن والمدين . وقد اقتبس التقنين المدني الجديد هذا التكييف المستحدث من الفقه الإسلامي ، ففيه يتم الإبراء بإرادة الدائن المنفردة ، ويرتد برد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358- الإبراء يقضي الدين : </w:t>
      </w:r>
      <w:r>
        <w:rPr>
          <w:rFonts w:cs="Traditional Arabic" w:hint="cs"/>
          <w:sz w:val="28"/>
          <w:szCs w:val="32"/>
          <w:rtl/>
        </w:rPr>
        <w:t xml:space="preserve"> والإبراء سبب من أسباب انقضاء الالتزام ، على أن الإبراء يرتد برد المدين إياه . فإذا وصل الإبراء إلى علم المدين ، ولم يرده في المجلس الذي علم فيه ، لمي يستطع أن يرده بعد ذلك . أما إذا رده  في المجلس ، فإنه يرتد وزوال أثره ، ويبقى الدين في ذمة المدين بجميع تأميناته ومنها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3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359- وينقضي مع الدين تأميناته ويدخل فيها الرهن الرسمي :</w:t>
      </w:r>
      <w:r>
        <w:rPr>
          <w:rFonts w:cs="Traditional Arabic" w:hint="cs"/>
          <w:sz w:val="28"/>
          <w:szCs w:val="32"/>
          <w:rtl/>
        </w:rPr>
        <w:t xml:space="preserve"> وإذ ينقضي الدين بالإبراء ، فإنه ينقضي ما كان يكفله من تأمينات ، ويدخل فيها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360- إبراء الدائن للمدين من الدين ونزوله عن الرهن الرسمي</w:t>
      </w:r>
      <w:r>
        <w:rPr>
          <w:rFonts w:cs="Traditional Arabic" w:hint="cs"/>
          <w:sz w:val="28"/>
          <w:szCs w:val="32"/>
          <w:rtl/>
        </w:rPr>
        <w:t xml:space="preserve"> : وقد يتفق أن الدائن يتلقى رهناً رسمياً من المدين يكفل له الوفاء بالدين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وهنا إذا أبرأ الدائن المدين من الدين ، برئت ذمة المدين وانقضى الدين ، وانتهى معه الرهن الذي يكفله . وقد يكتفي الدائن بالنزول عن الرهن الرسمي ، وفي هذه الحالة يزول الرهن الرسمي وحده بالنزول عنه $633 من الدائن المرتهن ، ولكن الدين يبقى إذ لم يوجد سبب لزواله . فالرهن يزول مع الدين كما </w:t>
      </w:r>
      <w:r>
        <w:rPr>
          <w:rFonts w:cs="Traditional Arabic" w:hint="cs"/>
          <w:sz w:val="28"/>
          <w:szCs w:val="32"/>
          <w:rtl/>
        </w:rPr>
        <w:lastRenderedPageBreak/>
        <w:t>قدمنا ، ولكن الدين لا يزول مع الرهن ، إذ أن الرهن تابع والدين أصيل .</w:t>
      </w:r>
    </w:p>
    <w:p w:rsidR="00F72742" w:rsidRPr="008D7FDF"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8D7FDF">
        <w:rPr>
          <w:rFonts w:cs="Traditional Arabic" w:hint="cs"/>
          <w:b/>
          <w:bCs/>
          <w:sz w:val="28"/>
          <w:szCs w:val="32"/>
          <w:rtl/>
        </w:rPr>
        <w:t>7- استحالة التنفيذ</w:t>
      </w:r>
    </w:p>
    <w:p w:rsidR="00F72742" w:rsidRDefault="00F72742" w:rsidP="00F72742">
      <w:pPr>
        <w:widowControl w:val="0"/>
        <w:spacing w:after="120"/>
        <w:ind w:firstLine="567"/>
        <w:rPr>
          <w:rFonts w:cs="Traditional Arabic" w:hint="cs"/>
          <w:sz w:val="28"/>
          <w:szCs w:val="32"/>
          <w:rtl/>
        </w:rPr>
      </w:pPr>
      <w:r>
        <w:rPr>
          <w:rFonts w:cs="Traditional Arabic" w:hint="cs"/>
          <w:b/>
          <w:bCs/>
          <w:sz w:val="28"/>
          <w:szCs w:val="32"/>
          <w:rtl/>
        </w:rPr>
        <w:t>361- القواعد العامة لاستحالة التنفيذ تسري :</w:t>
      </w:r>
      <w:r>
        <w:rPr>
          <w:rFonts w:cs="Traditional Arabic" w:hint="cs"/>
          <w:sz w:val="28"/>
          <w:szCs w:val="32"/>
          <w:rtl/>
        </w:rPr>
        <w:t xml:space="preserve"> وهنا أيضاً تسري القواعد العامة لاستحالة التنفيذ</w:t>
      </w:r>
      <w:r>
        <w:rPr>
          <w:rFonts w:cs="Traditional Arabic" w:hint="cs"/>
          <w:sz w:val="28"/>
          <w:szCs w:val="32"/>
          <w:vertAlign w:val="superscript"/>
          <w:rtl/>
        </w:rPr>
        <w:t xml:space="preserve">( </w:t>
      </w:r>
      <w:r w:rsidRPr="00EC737F">
        <w:rPr>
          <w:rStyle w:val="ab"/>
          <w:rFonts w:cs="Traditional Arabic"/>
          <w:sz w:val="28"/>
          <w:szCs w:val="32"/>
          <w:rtl/>
        </w:rPr>
        <w:footnoteReference w:id="1312"/>
      </w:r>
      <w:r>
        <w:rPr>
          <w:rFonts w:cs="Traditional Arabic" w:hint="cs"/>
          <w:sz w:val="28"/>
          <w:szCs w:val="32"/>
          <w:vertAlign w:val="superscript"/>
          <w:rtl/>
        </w:rPr>
        <w:t xml:space="preserve"> )</w:t>
      </w:r>
      <w:r>
        <w:rPr>
          <w:rFonts w:cs="Traditional Arabic" w:hint="cs"/>
          <w:sz w:val="28"/>
          <w:szCs w:val="32"/>
          <w:rtl/>
        </w:rPr>
        <w:t xml:space="preserve"> . ويلاحظ أن استحالة التنفيذ التي تقضي الدين يجب أن تكون استحالة ترجع إلى سبب أجنبي لا يد للمدين فيه ، فإن كانت الاستحالة راجعة إلى خطأ المدين لم ينقض الدين . وإذا كان الدين يبقى ، كان تنفيذه العيني أصبح مستحيلا على كل حال ، ومن ثم يؤول إلى تعويض في ذمة المدين جزاء خطأه . ولا يجوز القول بأن الالتزام الأصلي قد انقضي وحل محله التزام جديد محله التعويض ، بل إن الالتزام الأصلي باقي بعينه وإنما تحول محله من التنفيذ العينين إلى التعويض . ولو قلنا إن الالتزام الأصلي قد انقضي إذا استحال التنفيذ بخطأ المدين ، لترتب على ذلك انقضاء الرهن الرسمي وسائر التأمينات التي كانت تكفل الالتزام الأصلي ، مع أن الرهن والتأمينات تبقى متى كان خطأ المدين هو السبب في استحالة تنفيذ الالتزام الأصلي</w:t>
      </w:r>
      <w:r>
        <w:rPr>
          <w:rFonts w:cs="Traditional Arabic" w:hint="cs"/>
          <w:sz w:val="28"/>
          <w:szCs w:val="32"/>
          <w:vertAlign w:val="superscript"/>
          <w:rtl/>
        </w:rPr>
        <w:t xml:space="preserve">( </w:t>
      </w:r>
      <w:r w:rsidRPr="00EC737F">
        <w:rPr>
          <w:rStyle w:val="ab"/>
          <w:rFonts w:cs="Traditional Arabic"/>
          <w:sz w:val="28"/>
          <w:szCs w:val="32"/>
          <w:rtl/>
        </w:rPr>
        <w:footnoteReference w:id="13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rPr>
          <w:rFonts w:cs="Traditional Arabic" w:hint="cs"/>
          <w:sz w:val="28"/>
          <w:szCs w:val="32"/>
          <w:rtl/>
        </w:rPr>
      </w:pPr>
      <w:r>
        <w:rPr>
          <w:rFonts w:cs="Traditional Arabic" w:hint="cs"/>
          <w:b/>
          <w:bCs/>
          <w:sz w:val="28"/>
          <w:szCs w:val="32"/>
          <w:rtl/>
        </w:rPr>
        <w:t>362- انقضاء الالتزام وتوابعه باستحالة التنفيذ لسبب أجنبي</w:t>
      </w:r>
      <w:r>
        <w:rPr>
          <w:rFonts w:cs="Traditional Arabic" w:hint="cs"/>
          <w:sz w:val="28"/>
          <w:szCs w:val="32"/>
          <w:rtl/>
        </w:rPr>
        <w:t xml:space="preserve"> : ويترتب على استحالة تنفيذ الالتزام بسبب أجنبي ، أن ينقضي هذا الالتزام ، وينقضي معه الرهن الرسمي الذي كان يكفله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t>ولا ينقضي الرهن الرسمي فقط ، بل تنقضي جميع توابع الالتزام ، وبخاصة تنقضي جميع التأمينات العينية والشخصية التي كانت تكفله . فإذا $634 كان هناك رهن أو حق امتياز أو حق اختصاص يكفل الالتزام قبل استحالة تنفيذه ، فإن هذه الحقوق العينية تنقضي باقتضاء الالتزام ، ويجب على الدائن محوالقيد الذي كان يشهر هذه التأمينات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t>وإذا كان للالتزام كفيل ، عيني أو شخصي ، ثم استحال تنفيذ الالتزام بسبب أجنبي فانقضى وبرئت ذمة المدين منه ، فإن ذمة الكفيل العيني أو الشخصي تبرأ تبعاً لبراءة ذمة المدين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lastRenderedPageBreak/>
        <w:t>ومتى انقضى الالتزام وتوابعه ، فإن المدين يلتزم بأن ينزل للدائن عما قد يكون له من حق أو دعوى في التعويض عن الشيء الذي هلك . فإذا كان الشيء مؤمناً عليه فاستحق المدين مبلغ التأمين ، أو كان هلاك الشيء بفعل أجنبي فاستحق المدين التعويض ، وجب على المدين أن ينقل للدائن حقه في مبلغ التأمين أو حقه في التعويض"</w:t>
      </w:r>
      <w:r>
        <w:rPr>
          <w:rFonts w:cs="Traditional Arabic" w:hint="cs"/>
          <w:sz w:val="28"/>
          <w:szCs w:val="32"/>
          <w:vertAlign w:val="superscript"/>
          <w:rtl/>
        </w:rPr>
        <w:t xml:space="preserve">( </w:t>
      </w:r>
      <w:r w:rsidRPr="00EC737F">
        <w:rPr>
          <w:rStyle w:val="ab"/>
          <w:rFonts w:cs="Traditional Arabic"/>
          <w:sz w:val="28"/>
          <w:szCs w:val="32"/>
          <w:rtl/>
        </w:rPr>
        <w:footnoteReference w:id="1314"/>
      </w:r>
      <w:r>
        <w:rPr>
          <w:rFonts w:cs="Traditional Arabic" w:hint="cs"/>
          <w:sz w:val="28"/>
          <w:szCs w:val="32"/>
          <w:vertAlign w:val="superscript"/>
          <w:rtl/>
        </w:rPr>
        <w:t xml:space="preserve"> )</w:t>
      </w:r>
      <w:r>
        <w:rPr>
          <w:rFonts w:cs="Traditional Arabic" w:hint="cs"/>
          <w:sz w:val="28"/>
          <w:szCs w:val="32"/>
          <w:rtl/>
        </w:rPr>
        <w:t xml:space="preserve"> .</w:t>
      </w:r>
    </w:p>
    <w:p w:rsidR="00F72742" w:rsidRPr="00AD3501" w:rsidRDefault="00F72742" w:rsidP="00F72742">
      <w:pPr>
        <w:widowControl w:val="0"/>
        <w:spacing w:after="120"/>
        <w:jc w:val="center"/>
        <w:rPr>
          <w:rFonts w:cs="Traditional Arabic" w:hint="cs"/>
          <w:b/>
          <w:bCs/>
          <w:sz w:val="28"/>
          <w:szCs w:val="32"/>
          <w:rtl/>
        </w:rPr>
      </w:pPr>
      <w:r>
        <w:rPr>
          <w:b/>
          <w:bCs/>
          <w:sz w:val="28"/>
          <w:szCs w:val="32"/>
          <w:rtl/>
        </w:rPr>
        <w:t>§</w:t>
      </w:r>
      <w:r>
        <w:rPr>
          <w:rFonts w:hint="cs"/>
          <w:b/>
          <w:bCs/>
          <w:sz w:val="28"/>
          <w:szCs w:val="32"/>
          <w:rtl/>
        </w:rPr>
        <w:t xml:space="preserve"> </w:t>
      </w:r>
      <w:r w:rsidRPr="00AD3501">
        <w:rPr>
          <w:rFonts w:cs="Traditional Arabic" w:hint="cs"/>
          <w:b/>
          <w:bCs/>
          <w:sz w:val="28"/>
          <w:szCs w:val="32"/>
          <w:rtl/>
        </w:rPr>
        <w:t>8- التقادم المسقط</w:t>
      </w:r>
    </w:p>
    <w:p w:rsidR="00F72742" w:rsidRPr="00AD3501" w:rsidRDefault="00F72742" w:rsidP="00F72742">
      <w:pPr>
        <w:widowControl w:val="0"/>
        <w:spacing w:after="120"/>
        <w:ind w:firstLine="567"/>
        <w:rPr>
          <w:rFonts w:cs="Traditional Arabic" w:hint="cs"/>
          <w:sz w:val="28"/>
          <w:szCs w:val="32"/>
          <w:rtl/>
        </w:rPr>
      </w:pPr>
      <w:r>
        <w:rPr>
          <w:rFonts w:cs="Traditional Arabic" w:hint="cs"/>
          <w:b/>
          <w:bCs/>
          <w:sz w:val="28"/>
          <w:szCs w:val="32"/>
          <w:rtl/>
        </w:rPr>
        <w:t xml:space="preserve">363- القواعد العامة للتقادم المسقط تسري : </w:t>
      </w:r>
      <w:r>
        <w:rPr>
          <w:rFonts w:cs="Traditional Arabic" w:hint="cs"/>
          <w:sz w:val="28"/>
          <w:szCs w:val="32"/>
          <w:rtl/>
        </w:rPr>
        <w:t>وتنطبق هنا أخيراً القواعد العامة للتقادم المسقط</w:t>
      </w:r>
      <w:r>
        <w:rPr>
          <w:rFonts w:cs="Traditional Arabic" w:hint="cs"/>
          <w:sz w:val="28"/>
          <w:szCs w:val="32"/>
          <w:vertAlign w:val="superscript"/>
          <w:rtl/>
        </w:rPr>
        <w:t xml:space="preserve">( </w:t>
      </w:r>
      <w:r w:rsidRPr="00EC737F">
        <w:rPr>
          <w:rStyle w:val="ab"/>
          <w:rFonts w:cs="Traditional Arabic"/>
          <w:sz w:val="28"/>
          <w:szCs w:val="32"/>
          <w:rtl/>
        </w:rPr>
        <w:footnoteReference w:id="1315"/>
      </w:r>
      <w:r>
        <w:rPr>
          <w:rFonts w:cs="Traditional Arabic" w:hint="cs"/>
          <w:sz w:val="28"/>
          <w:szCs w:val="32"/>
          <w:vertAlign w:val="superscript"/>
          <w:rtl/>
        </w:rPr>
        <w:t xml:space="preserve"> )</w:t>
      </w:r>
      <w:r>
        <w:rPr>
          <w:rFonts w:cs="Traditional Arabic" w:hint="cs"/>
          <w:sz w:val="28"/>
          <w:szCs w:val="32"/>
          <w:rtl/>
        </w:rPr>
        <w:t xml:space="preserve"> . ويلاحظ أننا الآن في صدد انقضاء الدين ذاته وانقضاء الرهن بصفة تبعية ، لا في صدد انقضاء الرهن بصفة أصلية التي سيأتي الكلام فيه فيما يلي .</w:t>
      </w:r>
    </w:p>
    <w:p w:rsidR="00F72742" w:rsidRDefault="00F72742" w:rsidP="00F72742">
      <w:pPr>
        <w:widowControl w:val="0"/>
        <w:spacing w:after="120"/>
        <w:ind w:firstLine="567"/>
        <w:rPr>
          <w:rFonts w:cs="Traditional Arabic" w:hint="cs"/>
          <w:sz w:val="28"/>
          <w:szCs w:val="32"/>
          <w:rtl/>
        </w:rPr>
      </w:pPr>
      <w:r>
        <w:rPr>
          <w:rFonts w:cs="Traditional Arabic" w:hint="cs"/>
          <w:b/>
          <w:bCs/>
          <w:sz w:val="28"/>
          <w:szCs w:val="32"/>
          <w:rtl/>
        </w:rPr>
        <w:t>364- التمس بالتقادم من كل ذي مصلحة :</w:t>
      </w:r>
      <w:r>
        <w:rPr>
          <w:rFonts w:cs="Traditional Arabic" w:hint="cs"/>
          <w:sz w:val="28"/>
          <w:szCs w:val="32"/>
          <w:rtl/>
        </w:rPr>
        <w:t xml:space="preserve"> والى جانب المدين وخلفه لكل ذي مصلحة أن يتمسك بالتقادم ، ومن ذوي المصلحة الذين يحق لهم التمسك بالتقادم الحائز للعقار المرهون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t>فللحائز أن يدفع بتقادم الدين المضمون بالرهن . فلو فرض أن المدين رهن عقاراً ضماناً للوفاء بدينه ، ثم باع هذا العقار ومضت على الدين مدة $635 التقادم ، ورجع الدائن على حائز العقار يطالبه بالدين ، فللحائز أن يدفع الدين بالتقادم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t>فإن كان المدين يعلم أن الدين لا يزال في ذمته وتحرج من أن الحائز دفعه بالتقادم ، فما عليه إلا أن يوفيه للدائن ، فهو المدين الأصلي الذي يجب عليه الوفاء</w:t>
      </w:r>
      <w:r>
        <w:rPr>
          <w:rFonts w:cs="Traditional Arabic" w:hint="cs"/>
          <w:sz w:val="28"/>
          <w:szCs w:val="32"/>
          <w:vertAlign w:val="superscript"/>
          <w:rtl/>
        </w:rPr>
        <w:t xml:space="preserve">( </w:t>
      </w:r>
      <w:r w:rsidRPr="00EC737F">
        <w:rPr>
          <w:rStyle w:val="ab"/>
          <w:rFonts w:cs="Traditional Arabic"/>
          <w:sz w:val="28"/>
          <w:szCs w:val="32"/>
          <w:rtl/>
        </w:rPr>
        <w:footnoteReference w:id="13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rPr>
          <w:rFonts w:cs="Traditional Arabic" w:hint="cs"/>
          <w:sz w:val="28"/>
          <w:szCs w:val="32"/>
          <w:rtl/>
        </w:rPr>
      </w:pPr>
      <w:r>
        <w:rPr>
          <w:rFonts w:cs="Traditional Arabic" w:hint="cs"/>
          <w:b/>
          <w:bCs/>
          <w:sz w:val="28"/>
          <w:szCs w:val="32"/>
          <w:rtl/>
        </w:rPr>
        <w:t>365- سقوط الدين وتوابعه بالتقادم</w:t>
      </w:r>
      <w:r>
        <w:rPr>
          <w:rFonts w:cs="Traditional Arabic" w:hint="cs"/>
          <w:sz w:val="28"/>
          <w:szCs w:val="32"/>
          <w:rtl/>
        </w:rPr>
        <w:t xml:space="preserve"> : وإذا تمسك المدين بالتقادم في دين تم تقادمه ، فإن الدين يسقط ، ويسقط مع الدين توابعه من رهن رسمي وحق امتياز وحق اختصاص وكفالة وما إلى ذلك . </w:t>
      </w:r>
      <w:r>
        <w:rPr>
          <w:rFonts w:cs="Traditional Arabic" w:hint="cs"/>
          <w:sz w:val="28"/>
          <w:szCs w:val="32"/>
          <w:rtl/>
        </w:rPr>
        <w:lastRenderedPageBreak/>
        <w:t>فينقضي الرهن باقتضاء الدين بالتقادم ، فإن التابع يزول بزوال الأصل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كذلك يسقط مع الدين ما استحق من فوائد وملحقاته ، باعتبارها توابع الدين</w:t>
      </w:r>
      <w:r>
        <w:rPr>
          <w:rFonts w:cs="Traditional Arabic" w:hint="cs"/>
          <w:sz w:val="28"/>
          <w:szCs w:val="32"/>
          <w:vertAlign w:val="superscript"/>
          <w:rtl/>
        </w:rPr>
        <w:t xml:space="preserve">( </w:t>
      </w:r>
      <w:r w:rsidRPr="00EC737F">
        <w:rPr>
          <w:rStyle w:val="ab"/>
          <w:rFonts w:cs="Traditional Arabic"/>
          <w:sz w:val="28"/>
          <w:szCs w:val="32"/>
          <w:rtl/>
        </w:rPr>
        <w:footnoteReference w:id="13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366- التقادم يسقط الحق والدعوى معاً :</w:t>
      </w:r>
      <w:r>
        <w:rPr>
          <w:rFonts w:cs="Traditional Arabic" w:hint="cs"/>
          <w:sz w:val="28"/>
          <w:szCs w:val="32"/>
          <w:rtl/>
        </w:rPr>
        <w:t xml:space="preserve"> والتقادم لا يقتصر على إسقاط الدعوى ، بل يسقط الحق والدعوى جميعاً ، ومتى سقط الحق سقطت معه توابعه ، ومنها التأمينات التي تكفل الحق ويدخل فيها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ومما يقطع في أن الحق ذاته هو الذي يسقط أن المدين ، في غر الديون التي يقوم فيها التقادم على محض قرينة الوفاء ، لو أقر أمام القضاء بعد أن تمسك بالتقادم أن الدين باق في ذمته ، فإن إقراراه هذا لا يلزمه بالدين ، إذ الدين يكون قد سقط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بل إن من الفقهاء من ذهب إلى أن التقادم يقضي الحق والدعوى معاً كما تقتضيها الأسباب الأخرى لانقضاء الالتزام ، فلا يتخلف عن الالتزام المتقادم التزام طبيعي</w:t>
      </w:r>
      <w:r>
        <w:rPr>
          <w:rFonts w:cs="Traditional Arabic" w:hint="cs"/>
          <w:sz w:val="28"/>
          <w:szCs w:val="32"/>
          <w:vertAlign w:val="superscript"/>
          <w:rtl/>
        </w:rPr>
        <w:t xml:space="preserve">( </w:t>
      </w:r>
      <w:r w:rsidRPr="00EC737F">
        <w:rPr>
          <w:rStyle w:val="ab"/>
          <w:rFonts w:cs="Traditional Arabic"/>
          <w:sz w:val="28"/>
          <w:szCs w:val="32"/>
          <w:rtl/>
        </w:rPr>
        <w:footnoteReference w:id="13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$636 ولكن هذا الرأي لم يسد ، والرأي الصحيح هو أن يتخلف عن الالتزام المدني الذي سقط بالتقادم التزام طبعي . وقد نص على هذا الحكم صراحة التقنين المدني المصري الجديد ، في الفقرة الأولى من المادة 386 مدني ، فهي تقول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"يترتب على التقادم انقضاء الالتزام ، ومع ذلك يتخلف في ذمة المدين التزام طبيعي"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والنص صريح في أمرين : ( أولا ) في أن التقادم يقضي الالتزام ذاته ، ولا يقتصر على أن يقضي الدعوى . ( ثانياً ) في أن الالتزام الذي ينقضي بالتقادم ، يتخلف عنه في ذمة المدين التزام طبيعي</w:t>
      </w:r>
      <w:r>
        <w:rPr>
          <w:rFonts w:cs="Traditional Arabic" w:hint="cs"/>
          <w:sz w:val="28"/>
          <w:szCs w:val="32"/>
          <w:vertAlign w:val="superscript"/>
          <w:rtl/>
        </w:rPr>
        <w:t xml:space="preserve">( </w:t>
      </w:r>
      <w:r w:rsidRPr="00EC737F">
        <w:rPr>
          <w:rStyle w:val="ab"/>
          <w:rFonts w:cs="Traditional Arabic"/>
          <w:sz w:val="28"/>
          <w:szCs w:val="32"/>
          <w:rtl/>
        </w:rPr>
        <w:footnoteReference w:id="1319"/>
      </w:r>
      <w:r>
        <w:rPr>
          <w:rFonts w:cs="Traditional Arabic" w:hint="cs"/>
          <w:sz w:val="28"/>
          <w:szCs w:val="32"/>
          <w:vertAlign w:val="superscript"/>
          <w:rtl/>
        </w:rPr>
        <w:t xml:space="preserve"> )</w:t>
      </w:r>
      <w:r>
        <w:rPr>
          <w:rFonts w:cs="Traditional Arabic" w:hint="cs"/>
          <w:sz w:val="28"/>
          <w:szCs w:val="32"/>
          <w:rtl/>
        </w:rPr>
        <w:t xml:space="preserve"> .</w:t>
      </w:r>
    </w:p>
    <w:p w:rsidR="00F72742" w:rsidRPr="008D2F4D" w:rsidRDefault="00F72742" w:rsidP="00F72742">
      <w:pPr>
        <w:widowControl w:val="0"/>
        <w:spacing w:after="120"/>
        <w:jc w:val="center"/>
        <w:rPr>
          <w:rFonts w:cs="Traditional Arabic" w:hint="cs"/>
          <w:b/>
          <w:bCs/>
          <w:sz w:val="44"/>
          <w:szCs w:val="44"/>
          <w:rtl/>
        </w:rPr>
      </w:pPr>
      <w:r w:rsidRPr="008D2F4D">
        <w:rPr>
          <w:rFonts w:cs="Traditional Arabic" w:hint="cs"/>
          <w:b/>
          <w:bCs/>
          <w:sz w:val="44"/>
          <w:szCs w:val="44"/>
          <w:rtl/>
        </w:rPr>
        <w:t>المبحث الثاني</w:t>
      </w:r>
    </w:p>
    <w:p w:rsidR="00F72742" w:rsidRPr="008D2F4D" w:rsidRDefault="00F72742" w:rsidP="00F72742">
      <w:pPr>
        <w:widowControl w:val="0"/>
        <w:spacing w:after="120"/>
        <w:jc w:val="center"/>
        <w:rPr>
          <w:rFonts w:cs="Traditional Arabic" w:hint="cs"/>
          <w:b/>
          <w:bCs/>
          <w:sz w:val="28"/>
          <w:szCs w:val="32"/>
          <w:rtl/>
        </w:rPr>
      </w:pPr>
      <w:r w:rsidRPr="008D2F4D">
        <w:rPr>
          <w:rFonts w:cs="Traditional Arabic" w:hint="cs"/>
          <w:b/>
          <w:bCs/>
          <w:sz w:val="28"/>
          <w:szCs w:val="32"/>
          <w:rtl/>
        </w:rPr>
        <w:lastRenderedPageBreak/>
        <w:t>انقضاء الرهن بصفة أصلية</w:t>
      </w:r>
    </w:p>
    <w:p w:rsidR="00F72742" w:rsidRDefault="00F72742" w:rsidP="00F72742">
      <w:pPr>
        <w:widowControl w:val="0"/>
        <w:spacing w:after="120"/>
        <w:ind w:firstLine="567"/>
        <w:jc w:val="lowKashida"/>
        <w:rPr>
          <w:rFonts w:cs="Traditional Arabic" w:hint="cs"/>
          <w:sz w:val="28"/>
          <w:szCs w:val="32"/>
          <w:rtl/>
        </w:rPr>
      </w:pPr>
      <w:r w:rsidRPr="008D2F4D">
        <w:rPr>
          <w:rFonts w:cs="Traditional Arabic" w:hint="cs"/>
          <w:b/>
          <w:bCs/>
          <w:sz w:val="28"/>
          <w:szCs w:val="32"/>
          <w:rtl/>
        </w:rPr>
        <w:t>467- أسباب الانقضاء</w:t>
      </w:r>
      <w:r>
        <w:rPr>
          <w:rFonts w:cs="Traditional Arabic" w:hint="cs"/>
          <w:sz w:val="28"/>
          <w:szCs w:val="32"/>
          <w:rtl/>
        </w:rPr>
        <w:t xml:space="preserve"> : المقصود هنا من أن الرهن ينقضي بصفة أصلية ، هو أن ينقضي وحده استقلالا ، دون أن ينقضي بانقضاء الدين بصفة تبعية . فينقضي الرهن ، دون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يحصل أحياناً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 القانون على أسباب ثلاثة ينقضي بها الرهن دون أن ينقضي الدين ، وكان ينص على أربعة أسباب أخرى حذفت جميعاً . ومن هذه الأسباب الأربعة ، توجد أسباب ثلاثة تقضي بها القواعد العامة فحذفها لا يهم . أما السبب الرابع ، وهو انقضاء الرهن بصفة أصلية بالتقادم ، فقد كان من المفيد بقاؤه إذا أريد العمل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$637 فهناك إذن أسباب سبعة نعرض لها هنا ليحثها ، وهي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تمام إجراءات التطهير ( م 1083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( 2 ) بيع العقار المرهون بيعاً جبرياً بالمزاد العلني ( م 1084 مدني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( 3 ) عدم سماح مرتبة الدائن المرتهن باستيفاء حقه من العقار المرهون ( م 1084 مدني في آخرها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( 4 ) نزول الدائن المرتهن عن حق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( 5 ) اتحاد الذمة في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( 6 ) هلاك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( 7 ) التقادم .</w:t>
      </w:r>
    </w:p>
    <w:p w:rsidR="00F72742" w:rsidRPr="00A00052"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A00052">
        <w:rPr>
          <w:rFonts w:cs="Traditional Arabic" w:hint="cs"/>
          <w:b/>
          <w:bCs/>
          <w:sz w:val="28"/>
          <w:szCs w:val="32"/>
          <w:rtl/>
        </w:rPr>
        <w:t xml:space="preserve">1 </w:t>
      </w:r>
      <w:r w:rsidRPr="00A00052">
        <w:rPr>
          <w:rFonts w:cs="Traditional Arabic"/>
          <w:b/>
          <w:bCs/>
          <w:sz w:val="28"/>
          <w:szCs w:val="32"/>
          <w:rtl/>
        </w:rPr>
        <w:t>–</w:t>
      </w:r>
      <w:r w:rsidRPr="00A00052">
        <w:rPr>
          <w:rFonts w:cs="Traditional Arabic" w:hint="cs"/>
          <w:b/>
          <w:bCs/>
          <w:sz w:val="28"/>
          <w:szCs w:val="32"/>
          <w:rtl/>
        </w:rPr>
        <w:t xml:space="preserve"> تمام إجراءات التطهير</w:t>
      </w:r>
    </w:p>
    <w:p w:rsidR="00F72742" w:rsidRDefault="00F72742" w:rsidP="00F72742">
      <w:pPr>
        <w:widowControl w:val="0"/>
        <w:spacing w:after="120"/>
        <w:ind w:firstLine="567"/>
        <w:jc w:val="lowKashida"/>
        <w:rPr>
          <w:rFonts w:cs="Traditional Arabic" w:hint="cs"/>
          <w:sz w:val="28"/>
          <w:szCs w:val="32"/>
          <w:rtl/>
        </w:rPr>
      </w:pPr>
      <w:r w:rsidRPr="00A00052">
        <w:rPr>
          <w:rFonts w:cs="Traditional Arabic" w:hint="cs"/>
          <w:b/>
          <w:bCs/>
          <w:sz w:val="28"/>
          <w:szCs w:val="32"/>
          <w:rtl/>
        </w:rPr>
        <w:t xml:space="preserve">368 </w:t>
      </w:r>
      <w:r w:rsidRPr="00A00052">
        <w:rPr>
          <w:rFonts w:cs="Traditional Arabic"/>
          <w:b/>
          <w:bCs/>
          <w:sz w:val="28"/>
          <w:szCs w:val="32"/>
          <w:rtl/>
        </w:rPr>
        <w:t>–</w:t>
      </w:r>
      <w:r w:rsidRPr="00A00052">
        <w:rPr>
          <w:rFonts w:cs="Traditional Arabic" w:hint="cs"/>
          <w:b/>
          <w:bCs/>
          <w:sz w:val="28"/>
          <w:szCs w:val="32"/>
          <w:rtl/>
        </w:rPr>
        <w:t xml:space="preserve"> نص قانوني</w:t>
      </w:r>
      <w:r>
        <w:rPr>
          <w:rFonts w:cs="Traditional Arabic" w:hint="cs"/>
          <w:sz w:val="28"/>
          <w:szCs w:val="32"/>
          <w:rtl/>
        </w:rPr>
        <w:t xml:space="preserve">  :نصت المادة 1083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"إذا تمت إجراءات التطهير انقضى حق الرهن الرسمي نهائياً ، ولو زالت لأي سبب من الأسباب </w:t>
      </w:r>
      <w:r>
        <w:rPr>
          <w:rFonts w:cs="Traditional Arabic" w:hint="cs"/>
          <w:sz w:val="28"/>
          <w:szCs w:val="32"/>
          <w:rtl/>
        </w:rPr>
        <w:lastRenderedPageBreak/>
        <w:t>ملكية الحائز الذي طهر العقار"</w:t>
      </w:r>
      <w:r>
        <w:rPr>
          <w:rFonts w:cs="Traditional Arabic" w:hint="cs"/>
          <w:sz w:val="28"/>
          <w:szCs w:val="32"/>
          <w:vertAlign w:val="superscript"/>
          <w:rtl/>
        </w:rPr>
        <w:t xml:space="preserve">( </w:t>
      </w:r>
      <w:r w:rsidRPr="00EC737F">
        <w:rPr>
          <w:rStyle w:val="ab"/>
          <w:rFonts w:cs="Traditional Arabic"/>
          <w:sz w:val="28"/>
          <w:szCs w:val="32"/>
          <w:rtl/>
        </w:rPr>
        <w:footnoteReference w:id="132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جاء في المذكرة الإيضاحية للمشروع التمهيدي ، في خصوص هذا النص ، ما يأتي : "وينقضي حق الرهن بطريقة أصلية ، أي مستقلا عن الدين ، بأسباب مختلفة </w:t>
      </w:r>
      <w:r>
        <w:rPr>
          <w:rFonts w:cs="Traditional Arabic"/>
          <w:sz w:val="28"/>
          <w:szCs w:val="32"/>
          <w:rtl/>
        </w:rPr>
        <w:t>–</w:t>
      </w:r>
      <w:r>
        <w:rPr>
          <w:rFonts w:cs="Traditional Arabic" w:hint="cs"/>
          <w:sz w:val="28"/>
          <w:szCs w:val="32"/>
          <w:rtl/>
        </w:rPr>
        <w:t xml:space="preserve"> فهو ينقضي بالتطهير ، حتى ولو فسخت ملكية الحائز الذي أجرى التطهير ، كما إذا طهر المشتري وفاء العقار المرهون ثم استرده البائع ، فإنه يسترده مطهراً"</w:t>
      </w:r>
      <w:r>
        <w:rPr>
          <w:rFonts w:cs="Traditional Arabic" w:hint="cs"/>
          <w:sz w:val="28"/>
          <w:szCs w:val="32"/>
          <w:vertAlign w:val="superscript"/>
          <w:rtl/>
        </w:rPr>
        <w:t xml:space="preserve">( </w:t>
      </w:r>
      <w:r w:rsidRPr="00EC737F">
        <w:rPr>
          <w:rStyle w:val="ab"/>
          <w:rFonts w:cs="Traditional Arabic"/>
          <w:sz w:val="28"/>
          <w:szCs w:val="32"/>
          <w:rtl/>
        </w:rPr>
        <w:footnoteReference w:id="132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$638 ويفهم من هذا النص أن حق الرهن الرسمي ينقضي بالتطهير ، سواء تم التطهير والعقار لا يزال في ملكية الحائز ، أو تم بعد أن باع الدائنون العقار في المزاد العلني الجبري ورسا المزاد على غير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269- تمام التطهير ببيع العقار في المزاد العلني ورسو المزاد على غير الحائز</w:t>
      </w:r>
      <w:r>
        <w:rPr>
          <w:rFonts w:cs="Traditional Arabic" w:hint="cs"/>
          <w:sz w:val="28"/>
          <w:szCs w:val="32"/>
          <w:rtl/>
        </w:rPr>
        <w:t xml:space="preserve"> : وإذا تم التطهير ببيع العقار في المزاد العلني ورسو المزاد على غير الحائز ، ودفع من رسا عليه المزاد الثمن للدائنين المرتهنين أو أودعه خزانة المحكمة ، فقد تطهر العقار وانتهت الرهون ، حتى لو بقيت رهون لم تدفع لعدم كفاية الثمن الذي رسا به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هذه الرهون التي لم تدفع يصدق علها أنها انقضت دون أن تنقضي الديون ، ولكن من جهة أخرى هذا السبب ينطبق عليه الوجه الثاني لانقضاء الرهن بصفة أصلية وهو بيع العقار المرهون بيعاً جبرياً بالمزاد العلني ، وينطبق عليه أيضاً الوجه الثالث لانقضاء الرهن بصفة أصلية وهو عدم سماح مرتبة الدائن المرتهن باستيفاء حقه من العقار المرهون ، فلا نطيل القول فيه . ونقتصر هنا على استعراض الصورة الأخرى من التطهير ، وفيما يبقى العقار في ملكية الحائز ويتم التطهير فينقضي الرهن بصفة أصلية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 xml:space="preserve">370- تمام التطهير مع بقاء العقار المرهون في ملكية الحائز : </w:t>
      </w:r>
      <w:r>
        <w:rPr>
          <w:rFonts w:cs="Traditional Arabic" w:hint="cs"/>
          <w:sz w:val="28"/>
          <w:szCs w:val="32"/>
          <w:rtl/>
        </w:rPr>
        <w:t>في هذه الصورة يتطهر العقار مع بقائه في ملكية الحائز ، وينقضي الرهن بصفة أصلية إذا لم يستوف الدائن المرتهن حقه لعدم كفاية ما عرضه الحائز وتأخر مرتبة الدائن المرتهن ، إذ ينقضي الرهن دون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وانقضاء الرهن دون أن ينقضي الدين يجعل الرهن ينقضي بصفة أصلية ، إذ أنه قد انقضى لا تبعاً للدين بل مستقلا عنه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أتت المذكرة الإيضاحية بمثل على ذلك ، ففرضت أن المشتري $639 وفاء ، وهو مالك تحت شرط فاسخ ، قد طهر العقار وهو لا يزال في ملكيته بأن قبل الدائنون المرتهنون عرض الحائز . ثم استرد العقار البائع وفاء في الميعاد ، فإنه يسترده مطهراً ، ولا يفسخ التطهير بفسخ ملكية المشتري بل يبقى . وبذلك يتم تطهير العقار  بالرغم من فسخ ملكية المطهر ، وهو المشتري وفاء ، ومن لم يستوف من الدائنين المقيدين حقه لتأخر مرتبته ينقضي رهنه دون أن ينقضي ماله من دين . ويبقى الدين ديناً شخصياً ، وبذلك ينقضي الرهن بصفة أصلية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كان البيع الوفائي قد ألغى في التقنين المدين الجديد ، فنأتي بمثل 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نفرض أن الحائز ، بعد أن طهر العقار مع استبقاء ملكيته ، كشف أن عقده قابل للإبطال ، وأبطل من له الحق في الإبطال عقد الحائز ، واسترد العقار بأثر رجعي . عند ذلك يسترده مطهراً كما كان في يد الحائز ، ولا يبطل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مثل فيه عاد العقار بأثر رجعي ، ونأتي بمثل آخ لا يكون فيه الأثر الرجعي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بعد أن طهر الحائز العقار مع استبقاء ملكيته ، باعه لمشتر . فإنه يبيعه مطهراً كما كان في يده ، ويأخذ المشتري العقار وهو خال من القيود . فهنا بقي العقار مطهراً مع زوال ملكية الحائز ، ولم يكن زوال الحائز بأثر 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جميع هذه الأمثلة ، يجب حتى يتم التطهير وتنقضي الرهون ، أن يدفع الحائز ما قدره قيمة للعقار المرهون ، أو يودعه خزانة المحكمة .</w:t>
      </w:r>
    </w:p>
    <w:p w:rsidR="00F72742" w:rsidRPr="00AC77F8" w:rsidRDefault="00F72742" w:rsidP="00F72742">
      <w:pPr>
        <w:widowControl w:val="0"/>
        <w:spacing w:after="120"/>
        <w:jc w:val="center"/>
        <w:rPr>
          <w:rFonts w:cs="Traditional Arabic" w:hint="cs"/>
          <w:b/>
          <w:bCs/>
          <w:sz w:val="28"/>
          <w:szCs w:val="32"/>
          <w:rtl/>
        </w:rPr>
      </w:pPr>
      <w:r>
        <w:rPr>
          <w:b/>
          <w:bCs/>
          <w:sz w:val="28"/>
          <w:szCs w:val="32"/>
          <w:rtl/>
        </w:rPr>
        <w:lastRenderedPageBreak/>
        <w:t>§</w:t>
      </w:r>
      <w:r>
        <w:rPr>
          <w:rFonts w:cs="Traditional Arabic" w:hint="cs"/>
          <w:b/>
          <w:bCs/>
          <w:sz w:val="28"/>
          <w:szCs w:val="32"/>
          <w:rtl/>
        </w:rPr>
        <w:t xml:space="preserve"> </w:t>
      </w:r>
      <w:r w:rsidRPr="00AC77F8">
        <w:rPr>
          <w:rFonts w:cs="Traditional Arabic" w:hint="cs"/>
          <w:b/>
          <w:bCs/>
          <w:sz w:val="28"/>
          <w:szCs w:val="32"/>
          <w:rtl/>
        </w:rPr>
        <w:t>2- بيع العقار بيعا جبريا بالمزاد العلني</w:t>
      </w:r>
      <w:r>
        <w:rPr>
          <w:rFonts w:cs="Traditional Arabic" w:hint="cs"/>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371- نص قانوني</w:t>
      </w:r>
      <w:r>
        <w:rPr>
          <w:rFonts w:cs="Traditional Arabic" w:hint="cs"/>
          <w:sz w:val="28"/>
          <w:szCs w:val="32"/>
          <w:rtl/>
        </w:rPr>
        <w:t xml:space="preserve"> : تنص المادة 1084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$640 "إذا بيع العقار المرهون بيعاً جبرياً بالمزاد العلني ، سواء كان ذلك في مواجهة مالك العقار أو الحائز أو الحارس الذي سلم إليه العقار عند التخلية ، فإن حقوق الرهن على هذا العقار تنقضي بإيداع الثمن الذي رسا به المزاد ، أو بدفعه إلى الدائنين المقيدين الذين تسمح مرتبتهم باستيفاء حقوقهم من هذا الثمن"</w:t>
      </w:r>
      <w:r>
        <w:rPr>
          <w:rFonts w:cs="Traditional Arabic" w:hint="cs"/>
          <w:sz w:val="28"/>
          <w:szCs w:val="32"/>
          <w:vertAlign w:val="superscript"/>
          <w:rtl/>
        </w:rPr>
        <w:t xml:space="preserve">( </w:t>
      </w:r>
      <w:r w:rsidRPr="00EC737F">
        <w:rPr>
          <w:rStyle w:val="ab"/>
          <w:rFonts w:cs="Traditional Arabic"/>
          <w:sz w:val="28"/>
          <w:szCs w:val="32"/>
          <w:rtl/>
        </w:rPr>
        <w:footnoteReference w:id="132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في خصوص هذا النص ، ما يأتي : "وينقضي الرهن بطريقة أصلية  . . . . كذلك بالبيع الجبري ، ويتطهر العقار بإيداع الثمن خزينة المحكمة أو بدفعه للدائنين"</w:t>
      </w:r>
      <w:r>
        <w:rPr>
          <w:rFonts w:cs="Traditional Arabic" w:hint="cs"/>
          <w:sz w:val="28"/>
          <w:szCs w:val="32"/>
          <w:vertAlign w:val="superscript"/>
          <w:rtl/>
        </w:rPr>
        <w:t xml:space="preserve">( </w:t>
      </w:r>
      <w:r w:rsidRPr="00EC737F">
        <w:rPr>
          <w:rStyle w:val="ab"/>
          <w:rFonts w:cs="Traditional Arabic"/>
          <w:sz w:val="28"/>
          <w:szCs w:val="32"/>
          <w:rtl/>
        </w:rPr>
        <w:footnoteReference w:id="132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372- البيع في مواجهة مالك العقار :</w:t>
      </w:r>
      <w:r>
        <w:rPr>
          <w:rFonts w:cs="Traditional Arabic" w:hint="cs"/>
          <w:sz w:val="28"/>
          <w:szCs w:val="32"/>
          <w:rtl/>
        </w:rPr>
        <w:t xml:space="preserve"> وهنا يفترض القانون عقاراً مرهوناً لم ينتقل إلى حائز ، وعمد الدائن المرتهن إلى التنفيذ عليه بيعه بيعاً جبرياً في المزاد العلني . فإذا ما بيع ورسا مزاده على أحد ، فإن حقوق الرهن على هذا العقار تنقضي بإيداع الثمن الذي رسا به المزاد ، أو بدفعه أو بدفعه إلى الدائنين المقيدين الذين تسمح مرتبتهم باستيفاء حقوقهم من هذا الثمن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ومن رسا عليه المزاد يفضل طبعاً إيداع الثمن خزانة المحكمة ، بدلا م أن يقوم مقام القاضي ويوزع الثمن على من تسمح مرتبتهم بأخذ شيء من ه من الدائنين المقيدين . فقد يخطئ في التوزيع ، فيتحمل </w:t>
      </w:r>
      <w:r>
        <w:rPr>
          <w:rFonts w:cs="Traditional Arabic" w:hint="cs"/>
          <w:sz w:val="28"/>
          <w:szCs w:val="32"/>
          <w:rtl/>
        </w:rPr>
        <w:lastRenderedPageBreak/>
        <w:t>مغبة هذا الخطأ</w:t>
      </w:r>
      <w:r>
        <w:rPr>
          <w:rFonts w:cs="Traditional Arabic" w:hint="cs"/>
          <w:sz w:val="28"/>
          <w:szCs w:val="32"/>
          <w:vertAlign w:val="superscript"/>
          <w:rtl/>
        </w:rPr>
        <w:t xml:space="preserve">( </w:t>
      </w:r>
      <w:r w:rsidRPr="00EC737F">
        <w:rPr>
          <w:rStyle w:val="ab"/>
          <w:rFonts w:cs="Traditional Arabic"/>
          <w:sz w:val="28"/>
          <w:szCs w:val="32"/>
          <w:rtl/>
        </w:rPr>
        <w:footnoteReference w:id="132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$641 </w:t>
      </w:r>
      <w:r>
        <w:rPr>
          <w:rFonts w:cs="Traditional Arabic" w:hint="cs"/>
          <w:b/>
          <w:bCs/>
          <w:sz w:val="28"/>
          <w:szCs w:val="32"/>
          <w:rtl/>
        </w:rPr>
        <w:t xml:space="preserve">373- البيع في مواجهة الجائز : </w:t>
      </w:r>
      <w:r>
        <w:rPr>
          <w:rFonts w:cs="Traditional Arabic" w:hint="cs"/>
          <w:sz w:val="28"/>
          <w:szCs w:val="32"/>
          <w:rtl/>
        </w:rPr>
        <w:t>ويكون البيع في مواجهة الحائز ، إذا لم يختر هذا لا دفع الديون ولا تخلية العقار ولا تطهيره ، فعند ذلك لا مناص من بيع العقار في مواجهة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البيع في مواجهة الحائز أيضاً ، إذا عمد الحائز إلى تطهير العقار ، وعرض على الدائنين المقيدين ما قدره قيمة له . فرفض الدائنون المقيدون ما عرضه الحائز ، وباعوا العقار جبراً في المزاد العلني . عند ذلك يبيعونه في مواجهة الحائز لأنه هو المالك للعقار ، وذلك ما لم يختر الحائز تخلية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ما بيع العقار ورسا مزاده على أحد ، فإن حق الرهن على هذا العقار ينقضي بإيداع الثمن الذي رسا به المزاد ، أو بدفعه إلى الدائنين المقيدين الذي تسمح مرتبتهم باستيفاء حقوقهم من هذا الثمن ، ويفضل الراسي عليه المزاد الأمر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374- البيع في مواجهة الحارس</w:t>
      </w:r>
      <w:r>
        <w:rPr>
          <w:rFonts w:cs="Traditional Arabic" w:hint="cs"/>
          <w:sz w:val="28"/>
          <w:szCs w:val="32"/>
          <w:rtl/>
        </w:rPr>
        <w:t xml:space="preserve"> : هنا فرض القانون أن للعقار حائزاً ، وأن هذا الحائز لم يدفع الديون ولم يطهر العقار ولا يريد تحمل إجراءات بيع العقار ، يعمد إلى تخلية العقار وتعيين حارس عليه يباع العقار في مواجهته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بيع العقار في مواجهة الحارس ورسا مزاده على أحد ، فإن حق الرهن هنا أيضاً ينقضي بإيداع الثمن الذي رسا به المزاد خزانة المحكمة ، أو بدفعه إلى الدائنين المقيدين الذي تسمح مرتبتهم باستيفاء حقوقهم من هذا الثمن . ويفضل الراسي عليه المزاد الأمر الأول ، حتى لا يتحمل خطر التوزيع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وفي هذه الحالة والحالتين اللتين سبقتاها ، قد لا يأخذ أحد الدائنين $642 المرتهنين المتأخرين أي </w:t>
      </w:r>
      <w:r>
        <w:rPr>
          <w:rFonts w:cs="Traditional Arabic" w:hint="cs"/>
          <w:sz w:val="28"/>
          <w:szCs w:val="32"/>
          <w:rtl/>
        </w:rPr>
        <w:lastRenderedPageBreak/>
        <w:t>شيء من حقه لتأخره في المرتبة ، وينقضي رهنه مع ذلك ، ويبقى دينه دينا شخصياً دون رهن . وعلى ذلك ينقضي الرهن بصفة أصلية ، مع بقاء الدين الذي يبقى ديناً شخصياً .</w:t>
      </w:r>
    </w:p>
    <w:p w:rsidR="00F72742" w:rsidRPr="006044F8"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6044F8">
        <w:rPr>
          <w:rFonts w:cs="Traditional Arabic" w:hint="cs"/>
          <w:b/>
          <w:bCs/>
          <w:sz w:val="28"/>
          <w:szCs w:val="32"/>
          <w:rtl/>
        </w:rPr>
        <w:t>3- عدم سماح مرتبة الدائن المرتهن</w:t>
      </w:r>
    </w:p>
    <w:p w:rsidR="00F72742" w:rsidRPr="006044F8" w:rsidRDefault="00F72742" w:rsidP="00F72742">
      <w:pPr>
        <w:widowControl w:val="0"/>
        <w:spacing w:after="120"/>
        <w:jc w:val="center"/>
        <w:rPr>
          <w:rFonts w:cs="Traditional Arabic" w:hint="cs"/>
          <w:b/>
          <w:bCs/>
          <w:sz w:val="28"/>
          <w:szCs w:val="32"/>
          <w:rtl/>
        </w:rPr>
      </w:pPr>
      <w:r w:rsidRPr="006044F8">
        <w:rPr>
          <w:rFonts w:cs="Traditional Arabic" w:hint="cs"/>
          <w:b/>
          <w:bCs/>
          <w:sz w:val="28"/>
          <w:szCs w:val="32"/>
          <w:rtl/>
        </w:rPr>
        <w:t>باستيفاء حقه من العقار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375- كيف يتحقق ذلك : </w:t>
      </w:r>
      <w:r>
        <w:rPr>
          <w:rFonts w:cs="Traditional Arabic" w:hint="cs"/>
          <w:sz w:val="28"/>
          <w:szCs w:val="32"/>
          <w:rtl/>
        </w:rPr>
        <w:t>نفرض هنا أن عقاراً رهن لعدة دائنين مرتهنين متسلسلي المرتبة ، وأن العقار المرهون هبط ثمنه بعد رهنه فأصبح لا يكفي للوفاء بحقوق جميع الدائنين المرتهنين . ونفرض أن الدائن المرتهن الأخير مثلا لا ينال شيئاً من ثمن العقار ، فهنا ينقضي رهنه مستقلا عن الدين ، ويبقى الدين شخصياً . ويكون زوال الرهن بصفة أصلية ، لا بصفة تبعية تبعاً لانقضاء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376- نص قانوني في هذا المعنى :</w:t>
      </w:r>
      <w:r>
        <w:rPr>
          <w:rFonts w:cs="Traditional Arabic" w:hint="cs"/>
          <w:sz w:val="28"/>
          <w:szCs w:val="32"/>
          <w:rtl/>
        </w:rPr>
        <w:t xml:space="preserve"> والنصوص القانونية تؤد أن الدائنين المرتهنين يتقاضون حقوقهم بحسب مراتبهم ، من ثمن العقار المرهون ، فإذا لم يبق من ثمن العقار شيء لدائن مرتهن متأخر ، لم يأخذ الدائن المرتهن شيئاً من رهنه ، ومع ذلك يبقى دينه ديناً شخصياً ، ولا ينقضي كما انقضى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ونأتي بنص قانوني درسناه أخيراً ، هو نص المادة 1084 مدني . وتقول هذه المادة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325"/>
      </w:r>
      <w:r>
        <w:rPr>
          <w:rFonts w:cs="Traditional Arabic" w:hint="cs"/>
          <w:sz w:val="28"/>
          <w:szCs w:val="32"/>
          <w:vertAlign w:val="superscript"/>
          <w:rtl/>
        </w:rPr>
        <w:t xml:space="preserve"> )</w:t>
      </w:r>
      <w:r>
        <w:rPr>
          <w:rFonts w:cs="Traditional Arabic" w:hint="cs"/>
          <w:sz w:val="28"/>
          <w:szCs w:val="32"/>
          <w:rtl/>
        </w:rPr>
        <w:t xml:space="preserve"> ، إنه "إذا بيع العقار المرهون بيعاً جبرياً  . . . فإن حقوق الرهن على هذا العقار تنقضي بإيداع الثمن الذي رسا به المزاد ، أو بدفعه إلى الدائنين المقيدين الذين تسمح مرتبتهم باستيفاء حقوقهم من هذا الثمن" . فالنص يفرض أن هناك دائنين مرتهنين لا تسمح مرتبتهم باستيفاء حقوقهم من هذا الثمن ، فالدائن المرتهن الذي لا تسمح مرتبته $643 بأخذ شيء من ثمن العقار يكون قد انقضى رهنه بصفة أصلية ، ولا ينقضي الدين بل يبقى ديناً شخصياً ، ومن ثم يكون هذا سبباً في انقضاء الرهن بصفة أصلية دون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377- النصوص التي حفت من المشروع : </w:t>
      </w:r>
      <w:r>
        <w:rPr>
          <w:rFonts w:cs="Traditional Arabic" w:hint="cs"/>
          <w:sz w:val="28"/>
          <w:szCs w:val="32"/>
          <w:rtl/>
        </w:rPr>
        <w:t>ويأتي بعد ذلك أربعة نصوص حذفت كلها من المشروع ، ثلاثة منها لوضوحها ، والأخير لاختلاف الرأي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أما النصوص التي حذفت لوضوحها فهي تلك المتعلقة بنزول الدائن المرته عن حق الرهن الرسمي ، وباتحاد الذمة في العقار المرهون ، وبهلاك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النص الذي اختلف الرأي فيه فهو المتعلق بتقادم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ونتنازل هذه النصوص الأربعة ، مبتدئين بالنصوص الثلاثة الوضاحة .</w:t>
      </w:r>
    </w:p>
    <w:p w:rsidR="00F72742" w:rsidRPr="002965E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وننتهي بالنص الرابع المختلف فيه ، وهو النص المتعلق بتقادم الرهن ، فنبحث في إيجاز سبب الخلاف في هذا النص .</w:t>
      </w:r>
    </w:p>
    <w:p w:rsidR="00F72742" w:rsidRPr="00CD6482"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CD6482">
        <w:rPr>
          <w:rFonts w:cs="Traditional Arabic" w:hint="cs"/>
          <w:b/>
          <w:bCs/>
          <w:sz w:val="28"/>
          <w:szCs w:val="32"/>
          <w:rtl/>
        </w:rPr>
        <w:t>4- نزول الدائن المرتهن عن حق الرهن الرسمي</w:t>
      </w:r>
      <w:r>
        <w:rPr>
          <w:rFonts w:cs="Traditional Arabic" w:hint="cs"/>
          <w:b/>
          <w:b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378- النص المحذوف</w:t>
      </w:r>
      <w:r>
        <w:rPr>
          <w:rFonts w:cs="Traditional Arabic" w:hint="cs"/>
          <w:sz w:val="28"/>
          <w:szCs w:val="32"/>
          <w:rtl/>
        </w:rPr>
        <w:t xml:space="preserve"> : كان المشروع التمهيدي للتقنين المدني ينص في المادة 1507 منه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"يصح تنازل الدائن المرتهن عن حق الرهن الرسمي صراحة أو ضمناً ، وفي كل حال لا يجوز للدائن أن يتنازل عن الرهن إذا لم تتوافر فيه الأهلية في إبراء ذمة المدين من الدين"</w:t>
      </w:r>
      <w:r>
        <w:rPr>
          <w:rFonts w:cs="Traditional Arabic" w:hint="cs"/>
          <w:sz w:val="28"/>
          <w:szCs w:val="32"/>
          <w:vertAlign w:val="superscript"/>
          <w:rtl/>
        </w:rPr>
        <w:t xml:space="preserve">( </w:t>
      </w:r>
      <w:r w:rsidRPr="00EC737F">
        <w:rPr>
          <w:rStyle w:val="ab"/>
          <w:rFonts w:cs="Traditional Arabic"/>
          <w:sz w:val="28"/>
          <w:szCs w:val="32"/>
          <w:rtl/>
        </w:rPr>
        <w:footnoteReference w:id="132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عرض النص على لجنة المراجعة ، رأت اللجنة حذفه دون أن تبين سبباً لهاذ الحذف ، والظاهر أن الحذف كان لأن حكم النص واضح $644 ويمكن تطبيقه دون نص ، لأن حق الرهن  هو حق الدائن المرتهن وليس من النظام العام ، فمن الجائز أن ينزل عنه الدائن المرتهن ، وأهليته للنزول عن هذا الحق الذي يعرض الدين للخطر هي الأهلية في إبراء ذمة المدين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 ، في خصوص هذا النص ، ما يأتي : "ينقضي حق الرهن ، بطريقة أصلية أيضاً ، بالتنازل عن ممن تكون له أهلية التنازل عن الدين نفسه"</w:t>
      </w:r>
      <w:r>
        <w:rPr>
          <w:rFonts w:cs="Traditional Arabic" w:hint="cs"/>
          <w:sz w:val="28"/>
          <w:szCs w:val="32"/>
          <w:vertAlign w:val="superscript"/>
          <w:rtl/>
        </w:rPr>
        <w:t xml:space="preserve">( </w:t>
      </w:r>
      <w:r w:rsidRPr="00EC737F">
        <w:rPr>
          <w:rStyle w:val="ab"/>
          <w:rFonts w:cs="Traditional Arabic"/>
          <w:sz w:val="28"/>
          <w:szCs w:val="32"/>
          <w:rtl/>
        </w:rPr>
        <w:footnoteReference w:id="132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379- النزول الصريح أو الضمني :</w:t>
      </w:r>
      <w:r>
        <w:rPr>
          <w:rFonts w:cs="Traditional Arabic" w:hint="cs"/>
          <w:sz w:val="28"/>
          <w:szCs w:val="32"/>
          <w:rtl/>
        </w:rPr>
        <w:t xml:space="preserve"> ينقضي الرهن بصفة أصلية بنزول الدائن المرتهن عنه صراحة </w:t>
      </w:r>
      <w:r>
        <w:rPr>
          <w:rFonts w:cs="Traditional Arabic" w:hint="cs"/>
          <w:sz w:val="28"/>
          <w:szCs w:val="32"/>
          <w:rtl/>
        </w:rPr>
        <w:lastRenderedPageBreak/>
        <w:t>أو ضمناً ، دون مساس بالدين . فالدين يبقى ، لأنه لو انقضى لأن قضي الرهن معه بصفة تبعية لا بصفة أصلية . فيقصد بالنزول عن الرهن النزول عن الرهن وحده لا الدين ، فيبقى الدين ديناً شخصياً بعد أن انقضى الرهن ، ولذلك يكون انقضاء الرهن انقضاء بصفة أصلية لا بصفة تبعية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والنزول الصريح لا يشترط فيه شكل خاص ، وإن كان عملا من أعمال التبرع . ويصح أن يكون بكتابة عرفية ، كما يصح أن يكون من غير كتابة . فإن حصل من غير كتابة ، فلا يمكن إثباته بالبينة والقرائن إلا في الأحوال التي تقبل فيها الشهادة</w:t>
      </w:r>
      <w:r>
        <w:rPr>
          <w:rFonts w:cs="Traditional Arabic" w:hint="cs"/>
          <w:sz w:val="28"/>
          <w:szCs w:val="32"/>
          <w:vertAlign w:val="superscript"/>
          <w:rtl/>
        </w:rPr>
        <w:t xml:space="preserve">( </w:t>
      </w:r>
      <w:r w:rsidRPr="00EC737F">
        <w:rPr>
          <w:rStyle w:val="ab"/>
          <w:rFonts w:cs="Traditional Arabic"/>
          <w:sz w:val="28"/>
          <w:szCs w:val="32"/>
          <w:rtl/>
        </w:rPr>
        <w:footnoteReference w:id="13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والنزول الضمني يستنج من الأعمال التي تدل عليه ، كاشتراك الدائن المرتهن في الصلح بين المفلس والدائن . وقد نصت المادة 318 تجاري على أنه "لا يكون لأرباب الديون الحائزين لرهن عقار  . . . رأي في الأعمال المتعلقة بالصلح بسبب ما لهم من الديون المذكورة ، ولا تحسب ديونهم في مجموع الديون التي تعتبر في صحة الصلح ، إلا إذا تنازلوا عن رهونهم  . . . $645 وإذا شاركوا المداينين الآخرين في الرأي في الصلح ، فمجرد إعطائهم الرأي يعد تنازلا عن ذلك ، ولو لم يتم الصلح" . واشتراك الدائن المرتهن في بيع العقار المرهون أو هبته بمعرفة المدين يمكن اعتباره نزولا ضمنياً عن الرهن ، إذا لم يمكن تفسير الاشتراك بغير ذلك كما إذا حضر الدائن بصفته شاهداً</w:t>
      </w:r>
      <w:r>
        <w:rPr>
          <w:rFonts w:cs="Traditional Arabic" w:hint="cs"/>
          <w:sz w:val="28"/>
          <w:szCs w:val="32"/>
          <w:vertAlign w:val="superscript"/>
          <w:rtl/>
        </w:rPr>
        <w:t xml:space="preserve">( </w:t>
      </w:r>
      <w:r w:rsidRPr="00EC737F">
        <w:rPr>
          <w:rStyle w:val="ab"/>
          <w:rFonts w:cs="Traditional Arabic"/>
          <w:sz w:val="28"/>
          <w:szCs w:val="32"/>
          <w:rtl/>
        </w:rPr>
        <w:footnoteReference w:id="1329"/>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يفسر الاشتراك بأنه نزول عن حق التتبع ، لا عن حق التقدم</w:t>
      </w:r>
      <w:r>
        <w:rPr>
          <w:rFonts w:cs="Traditional Arabic" w:hint="cs"/>
          <w:sz w:val="28"/>
          <w:szCs w:val="32"/>
          <w:vertAlign w:val="superscript"/>
          <w:rtl/>
        </w:rPr>
        <w:t xml:space="preserve">( </w:t>
      </w:r>
      <w:r w:rsidRPr="00EC737F">
        <w:rPr>
          <w:rStyle w:val="ab"/>
          <w:rFonts w:cs="Traditional Arabic"/>
          <w:sz w:val="28"/>
          <w:szCs w:val="32"/>
          <w:rtl/>
        </w:rPr>
        <w:footnoteReference w:id="1330"/>
      </w:r>
      <w:r>
        <w:rPr>
          <w:rFonts w:cs="Traditional Arabic" w:hint="cs"/>
          <w:sz w:val="28"/>
          <w:szCs w:val="32"/>
          <w:vertAlign w:val="superscript"/>
          <w:rtl/>
        </w:rPr>
        <w:t xml:space="preserve"> )</w:t>
      </w:r>
      <w:r>
        <w:rPr>
          <w:rFonts w:cs="Traditional Arabic" w:hint="cs"/>
          <w:sz w:val="28"/>
          <w:szCs w:val="32"/>
          <w:rtl/>
        </w:rPr>
        <w:t xml:space="preserve"> . والمحكمة تقدر ذلك بحسب ظروف كل دعوى ، ولا يؤخذ النزول ضمناً بطريقة الظن</w:t>
      </w:r>
      <w:r>
        <w:rPr>
          <w:rFonts w:cs="Traditional Arabic" w:hint="cs"/>
          <w:sz w:val="28"/>
          <w:szCs w:val="32"/>
          <w:vertAlign w:val="superscript"/>
          <w:rtl/>
        </w:rPr>
        <w:t xml:space="preserve">( </w:t>
      </w:r>
      <w:r w:rsidRPr="00EC737F">
        <w:rPr>
          <w:rStyle w:val="ab"/>
          <w:rFonts w:cs="Traditional Arabic"/>
          <w:sz w:val="28"/>
          <w:szCs w:val="32"/>
          <w:rtl/>
        </w:rPr>
        <w:footnoteReference w:id="1331"/>
      </w:r>
      <w:r>
        <w:rPr>
          <w:rFonts w:cs="Traditional Arabic" w:hint="cs"/>
          <w:sz w:val="28"/>
          <w:szCs w:val="32"/>
          <w:vertAlign w:val="superscript"/>
          <w:rtl/>
        </w:rPr>
        <w:t xml:space="preserve"> )</w:t>
      </w:r>
      <w:r>
        <w:rPr>
          <w:rFonts w:cs="Traditional Arabic" w:hint="cs"/>
          <w:sz w:val="28"/>
          <w:szCs w:val="32"/>
          <w:rtl/>
        </w:rPr>
        <w:t xml:space="preserve"> . والنزول إما أن يكون مطلقاً </w:t>
      </w:r>
      <w:r>
        <w:rPr>
          <w:rFonts w:cs="Traditional Arabic" w:hint="cs"/>
          <w:sz w:val="28"/>
          <w:szCs w:val="32"/>
          <w:rtl/>
        </w:rPr>
        <w:lastRenderedPageBreak/>
        <w:t>بالنسبة إلى الجميع  ، أو نسبياً بترك الرهن لمصلحة شخص معين</w:t>
      </w:r>
      <w:r>
        <w:rPr>
          <w:rFonts w:cs="Traditional Arabic" w:hint="cs"/>
          <w:sz w:val="28"/>
          <w:szCs w:val="32"/>
          <w:vertAlign w:val="superscript"/>
          <w:rtl/>
        </w:rPr>
        <w:t xml:space="preserve">( </w:t>
      </w:r>
      <w:r w:rsidRPr="00EC737F">
        <w:rPr>
          <w:rStyle w:val="ab"/>
          <w:rFonts w:cs="Traditional Arabic"/>
          <w:sz w:val="28"/>
          <w:szCs w:val="32"/>
          <w:rtl/>
        </w:rPr>
        <w:footnoteReference w:id="13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380- النزول عن الرهن ومحو القيد</w:t>
      </w:r>
      <w:r>
        <w:rPr>
          <w:rFonts w:cs="Traditional Arabic" w:hint="cs"/>
          <w:sz w:val="28"/>
          <w:szCs w:val="32"/>
          <w:rtl/>
        </w:rPr>
        <w:t xml:space="preserve"> : ويجب التمييز بين النزول عن الرهن ومحو القيد ، وإن كان النزول عن الرهن يستوجب محو القيد . فالنزول عن الرهن لا يستوجب شكلا خاصاً كما قدمنا ، أما محو القيد فقد جاء في المادة 45 من قانون تنظيم الشهر العقاري ما يأتي : "لا يجوز محو القيد إلا بمقتضى حكم نهائي ، أو برضاء الدائن بتقرير رسمي منه ، ومع ذلك يكتفي في إجراء المحو في حالة رهن الحيازة العقاري وحقوق الامتياز العقارية بإقرار عرفي مصدق على التوقيع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فيكون المحو الاختياري لقيد الرهن الرسمي برضاء الدائن المرتهن بتقرير رسمي منه ، ولا يكون بعقد عرفي ولو كان مصدقاً على التوقيع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381- النزول عن قيد الرهن فقط : </w:t>
      </w:r>
      <w:r>
        <w:rPr>
          <w:rFonts w:cs="Traditional Arabic" w:hint="cs"/>
          <w:sz w:val="28"/>
          <w:szCs w:val="32"/>
          <w:rtl/>
        </w:rPr>
        <w:t>وقد يكون النزول ، لا عن الدين ، ولا عن الرهن ، ولكن عن قيد الرهن فقط . وعند ذلك يبقى $646 الدين ، ويبقى الرهن . ويجوز عمل قيد جديد ، ولكن هذا القيد الجديد لا يأخذ مرتبته إلا من وقت عمله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382- النزول عن مرتبة الرهن : </w:t>
      </w:r>
      <w:r>
        <w:rPr>
          <w:rFonts w:cs="Traditional Arabic" w:hint="cs"/>
          <w:sz w:val="28"/>
          <w:szCs w:val="32"/>
          <w:rtl/>
        </w:rPr>
        <w:t>وقد ينزل الدائن ، لا عن الدين ولا عن الرهن ، ولكن عن مرتبة الرهن وحدها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رأينا كيف أن الدائن المرتهن ينزل عن مرتبة رهنه إلى دائن مرتهن آخر على نفس العقار يكون متأخراً عنه ، فيأخذ كل منهما مرتبة الآخر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383- النزول عن الرهن إرادة منفردة : </w:t>
      </w:r>
      <w:r>
        <w:rPr>
          <w:rFonts w:cs="Traditional Arabic" w:hint="cs"/>
          <w:sz w:val="28"/>
          <w:szCs w:val="32"/>
          <w:rtl/>
        </w:rPr>
        <w:t>ونزول الدائن المرتهن عن الرهن ارداة منفردة من جانبه ، فلا يشتر فيه قبول الرهن</w:t>
      </w:r>
      <w:r>
        <w:rPr>
          <w:rFonts w:cs="Traditional Arabic" w:hint="cs"/>
          <w:sz w:val="28"/>
          <w:szCs w:val="32"/>
          <w:vertAlign w:val="superscript"/>
          <w:rtl/>
        </w:rPr>
        <w:t xml:space="preserve">( </w:t>
      </w:r>
      <w:r w:rsidRPr="00EC737F">
        <w:rPr>
          <w:rStyle w:val="ab"/>
          <w:rFonts w:cs="Traditional Arabic"/>
          <w:sz w:val="28"/>
          <w:szCs w:val="32"/>
          <w:rtl/>
        </w:rPr>
        <w:footnoteReference w:id="13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والدائن المرتهن الذي أبدى هذه الإرادة يزول رهنه وقت النزول عنه ، ولا يجوز له أن يسحب نزوله ، </w:t>
      </w:r>
      <w:r>
        <w:rPr>
          <w:rFonts w:cs="Traditional Arabic" w:hint="cs"/>
          <w:sz w:val="28"/>
          <w:szCs w:val="32"/>
          <w:rtl/>
        </w:rPr>
        <w:lastRenderedPageBreak/>
        <w:t>بل يلزم به بمجرد حصوله . وقد قضت محكمة لانقض بأنه إذا باع الراهن العقار المرهون بعقد لم يسجل ، واتفق المشتري مع الدائن المرتهن على أن ينزل عن رهنه على العقار المبيع وعن السير في إجراءات نزع الملكية التي كانت قد اتخذت عليه ، وقرر المرتهن أنه حرر هذا العقار من الرهن وتعهد بشطبه ، فإن هذا الاتفاق ، وإن لم يسجل هو الآخر ، ملزم للمرتهن ، فلا يجوز له أن ينقضه . فإذا هو سار في إجراءات نزع ملكية العقار حتى رسا مزاده عليه ، فلا يصح له أن يتمسك بملكيته إياه في مواجهة ذلك المشتري ، وإذا هو رفع عليه دعوى الملكية وقضى برفضها ، فهذا الحكم لا مخالفة فيه للقانون ، إذ المرتهن شأنه شأن البائع سواء بسواء . فكما أن البائع الذي يتعهد بنقل الملكية لغيره لا يصح أن يطلبها لنفسه اعتماداً على عدم تسجيل عقد البيع ، كذلك المرتهن الذي يتعهد بالتنازل عن رهنه وشطبه والتنازل نهائياً عن السير في إجراءات نزع الملكية لا يصح له أن يتمسك برهنه ولا أن يسير في تلك الإجراءات</w:t>
      </w:r>
      <w:r>
        <w:rPr>
          <w:rFonts w:cs="Traditional Arabic" w:hint="cs"/>
          <w:sz w:val="28"/>
          <w:szCs w:val="32"/>
          <w:vertAlign w:val="superscript"/>
          <w:rtl/>
        </w:rPr>
        <w:t xml:space="preserve">( </w:t>
      </w:r>
      <w:r w:rsidRPr="00EC737F">
        <w:rPr>
          <w:rStyle w:val="ab"/>
          <w:rFonts w:cs="Traditional Arabic"/>
          <w:sz w:val="28"/>
          <w:szCs w:val="32"/>
          <w:rtl/>
        </w:rPr>
        <w:footnoteReference w:id="13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$647  أما النزول عن المرتبة أو حاول آخر محل الدائن ، فإنه يلزم لتمامه توافق إرادتي المرتهن ومن حصل النزول له ، ويجوز للدائن المرتهن أن يسحب نزوله حتى يتم قبوله</w:t>
      </w:r>
      <w:r>
        <w:rPr>
          <w:rFonts w:cs="Traditional Arabic" w:hint="cs"/>
          <w:sz w:val="28"/>
          <w:szCs w:val="32"/>
          <w:vertAlign w:val="superscript"/>
          <w:rtl/>
        </w:rPr>
        <w:t xml:space="preserve">( </w:t>
      </w:r>
      <w:r w:rsidRPr="00EC737F">
        <w:rPr>
          <w:rStyle w:val="ab"/>
          <w:rFonts w:cs="Traditional Arabic"/>
          <w:sz w:val="28"/>
          <w:szCs w:val="32"/>
          <w:rtl/>
        </w:rPr>
        <w:footnoteReference w:id="1335"/>
      </w:r>
      <w:r>
        <w:rPr>
          <w:rFonts w:cs="Traditional Arabic" w:hint="cs"/>
          <w:sz w:val="28"/>
          <w:szCs w:val="32"/>
          <w:vertAlign w:val="superscript"/>
          <w:rtl/>
        </w:rPr>
        <w:t xml:space="preserve"> )</w:t>
      </w:r>
      <w:r>
        <w:rPr>
          <w:rFonts w:cs="Traditional Arabic" w:hint="cs"/>
          <w:sz w:val="28"/>
          <w:szCs w:val="32"/>
          <w:rtl/>
        </w:rPr>
        <w:t xml:space="preserve"> ، لأن النزول في هذه الحالة يكون اتفاقاً</w:t>
      </w:r>
      <w:r>
        <w:rPr>
          <w:rFonts w:cs="Traditional Arabic" w:hint="cs"/>
          <w:sz w:val="28"/>
          <w:szCs w:val="32"/>
          <w:vertAlign w:val="superscript"/>
          <w:rtl/>
        </w:rPr>
        <w:t xml:space="preserve">( </w:t>
      </w:r>
      <w:r w:rsidRPr="00EC737F">
        <w:rPr>
          <w:rStyle w:val="ab"/>
          <w:rFonts w:cs="Traditional Arabic"/>
          <w:sz w:val="28"/>
          <w:szCs w:val="32"/>
          <w:rtl/>
        </w:rPr>
        <w:footnoteReference w:id="133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384- الأهلية اللازمة للنزول عن الرهن : </w:t>
      </w:r>
      <w:r>
        <w:rPr>
          <w:rFonts w:cs="Traditional Arabic" w:hint="cs"/>
          <w:sz w:val="28"/>
          <w:szCs w:val="32"/>
          <w:rtl/>
        </w:rPr>
        <w:t>وتقول المادة 1057 المحذوفة كما رأينا إن الأهلية اللازمة للنزول عن الرهن هي الأهلية اللازمة لإبراء ذمة المدين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والنزل عن الدين ، والنزول عن الرهن ، كلاهما  علم من أعمال التبرع ، لأنه يتم تبرعاً دون مقابل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فيجب ، حتى يكون الدائن المرتهن أهلا للنزول عن الرهن ، أن تتوافر فيه أهلية التبرع ، أي أن يكون بالغاً سن الرشد غير محجور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فلا يصح للوصي أو القيم أن ينزل عن الرهن ، ولو بإذن القاضي ، ولا يملك النزول عن الرهن إلا </w:t>
      </w:r>
      <w:r>
        <w:rPr>
          <w:rFonts w:cs="Traditional Arabic" w:hint="cs"/>
          <w:sz w:val="28"/>
          <w:szCs w:val="32"/>
          <w:rtl/>
        </w:rPr>
        <w:lastRenderedPageBreak/>
        <w:t>الدائن المرتهن نفسه ، بشرط أن يكون بالغاً سن الرشد غير محجور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نصت المادة 113 مدني ، بالنسبة إلى الرهن الحيازي ، على أن الدائن المرتهن يصح أن ينزل عن حقه في الرهن "إذا كان ذا أهلية في إبراء ذمة المدين من الدين" .</w:t>
      </w:r>
    </w:p>
    <w:p w:rsidR="00F72742" w:rsidRPr="00BD33F3"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BD33F3">
        <w:rPr>
          <w:rFonts w:cs="Traditional Arabic" w:hint="cs"/>
          <w:b/>
          <w:bCs/>
          <w:sz w:val="28"/>
          <w:szCs w:val="32"/>
          <w:rtl/>
        </w:rPr>
        <w:t>5- اتحاد الذمة في العقار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385- النص المحذوف</w:t>
      </w:r>
      <w:r>
        <w:rPr>
          <w:rFonts w:cs="Traditional Arabic" w:hint="cs"/>
          <w:sz w:val="28"/>
          <w:szCs w:val="32"/>
          <w:rtl/>
        </w:rPr>
        <w:t xml:space="preserve"> : كان المشروع التمهيدي للتقنين المدني نص في المادة 1058 منه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ينقضي الرهن إذا انتقلت إلى الدائن المرتهن ملكية العقار المرهون ، أو انتقل إلى مالك العقار المرهون حق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$648 "2- ويعود الرهن الرسمي إذا زال سبب انتقال الحق ، وكان لزواله أثر رجعي"</w:t>
      </w:r>
      <w:r>
        <w:rPr>
          <w:rFonts w:cs="Traditional Arabic" w:hint="cs"/>
          <w:sz w:val="28"/>
          <w:szCs w:val="32"/>
          <w:vertAlign w:val="superscript"/>
          <w:rtl/>
        </w:rPr>
        <w:t xml:space="preserve">( </w:t>
      </w:r>
      <w:r w:rsidRPr="00EC737F">
        <w:rPr>
          <w:rStyle w:val="ab"/>
          <w:rFonts w:cs="Traditional Arabic"/>
          <w:sz w:val="28"/>
          <w:szCs w:val="32"/>
          <w:rtl/>
        </w:rPr>
        <w:footnoteReference w:id="133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عرض النص على لجنة المراجعة ، حذفته اللجنة ولم تذكر سبب الحذف . والظاهر أن سبب الحذف كان لوضوح الحكم ، فإن اتحاد الذمة مانع طبيعي لبقاء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التمهيدي ، في خصوص هذا النص ، ما يأتي : "وينقضي ( حق الرهن ) باتحاد الذمة ، إذا انتقلت ملكية العقار المرهون إلى الدائن المرتهن ، أو انتقل حق الرهن إلى مالك العقار المرهون . فإن زال السبب في اتحاد الذمة بأثر رجعي ، كفسخ البيع الذي ملك به الدائن المرتهن العقار المرهون ، عاد الرهن"</w:t>
      </w:r>
      <w:r>
        <w:rPr>
          <w:rFonts w:cs="Traditional Arabic" w:hint="cs"/>
          <w:sz w:val="28"/>
          <w:szCs w:val="32"/>
          <w:vertAlign w:val="superscript"/>
          <w:rtl/>
        </w:rPr>
        <w:t xml:space="preserve">( </w:t>
      </w:r>
      <w:r w:rsidRPr="00EC737F">
        <w:rPr>
          <w:rStyle w:val="ab"/>
          <w:rFonts w:cs="Traditional Arabic"/>
          <w:sz w:val="28"/>
          <w:szCs w:val="32"/>
          <w:rtl/>
        </w:rPr>
        <w:footnoteReference w:id="13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386- انتقال ملكية العقار المرهون إلى الدائن المرتهنة :</w:t>
      </w:r>
      <w:r>
        <w:rPr>
          <w:rFonts w:cs="Traditional Arabic" w:hint="cs"/>
          <w:sz w:val="28"/>
          <w:szCs w:val="32"/>
          <w:rtl/>
        </w:rPr>
        <w:t xml:space="preserve"> وهذا يقع كثيراً ، فقد يرسو المزاد ، في حالة بيع العقار المرهون بيعاً جيرياً ، على دائن مرتهن . فيملك الدائن المرتهن العقار المرهون ، ويصبح الرهن واقعاً على ملكه . وعند ذلك يزول الرهن باتحاد الذمة ، إذ أن الدائن المرتهن أصبح مالكاً للعقار </w:t>
      </w:r>
      <w:r>
        <w:rPr>
          <w:rFonts w:cs="Traditional Arabic" w:hint="cs"/>
          <w:sz w:val="28"/>
          <w:szCs w:val="32"/>
          <w:rtl/>
        </w:rPr>
        <w:lastRenderedPageBreak/>
        <w:t>المرهون ، فصار صاحب حق الرهن وفي الوقت ذاته صار صاحب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يتم ذلك أيضاً بأن يشتي الدائن المرتهن العقار المرهون شراء اختيارياً ، لا في المزاد الجبري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يتم ذلك أيضاً بأن يرث الدائن المرتهن العقار ، أو بأن يوصي له به ، فيصبح الدائن المرتهن مالكاً للعقار المرهون ، فتتحد الذمة ، وينقضي الرهن بطريق أصلي دون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$649 </w:t>
      </w:r>
      <w:r>
        <w:rPr>
          <w:rFonts w:cs="Traditional Arabic" w:hint="cs"/>
          <w:b/>
          <w:bCs/>
          <w:sz w:val="28"/>
          <w:szCs w:val="32"/>
          <w:rtl/>
        </w:rPr>
        <w:t xml:space="preserve">387- انتقال حق الرهن الرسمي إلى العقار المرهون : </w:t>
      </w:r>
      <w:r>
        <w:rPr>
          <w:rFonts w:cs="Traditional Arabic" w:hint="cs"/>
          <w:sz w:val="28"/>
          <w:szCs w:val="32"/>
          <w:rtl/>
        </w:rPr>
        <w:t>وقد ينعكس الوضع ، فيملك مالك العقار المرهون حق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مثل ذلك أن يرث مالك العقار المرهون الدائن المرتهن رهناً رسمياً ، فيصبح مالكاً للرهن الرسمي بطريق الميراث ، وهو في الوقت ذاته مالك للعقار المرهون . فينقضي الرهن الرسمي بطريق أصلي ، دون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أيضاً أن يوصي الدائن برهنه لمالك العقار المرهون ، فيصبح هذا المالك مالكاً للرهن كذلك . فينقضي الرهن باتحاد الذمة ، ويزول بطريق 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أيضاً أن يحيل الدائن المرتهن مالك العقار المرهون بالدين والرهن ، فيصبح مالك العقار المرهون صاحب الرهن ، وينقضي الرهن بطريقة أصلي باتحاد الذمة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388- زوال السبب في اتحاد المذمة : </w:t>
      </w:r>
      <w:r>
        <w:rPr>
          <w:rFonts w:cs="Traditional Arabic" w:hint="cs"/>
          <w:sz w:val="28"/>
          <w:szCs w:val="32"/>
          <w:rtl/>
        </w:rPr>
        <w:t>وقد يزول السبب في اتحاد الذمة بأثر رجعي ، ونتعقب ذلك في الفروض التي بسطناها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ملكية الدائن المرتهن للعقار المرهون ، عن طريق الرسو في المزاد ، قد يبطل . فإذا كان الرسو في المزاد باطلا ، وتقرر بطلانه ، خرج العقار المرهون من ملكية الدائن المرتهن ، فيعود الرهن بأثر رجعي كما كان ، ويعتبر انتقال ملكية العقار المرهون للدائن كأن لم يكن ، وتزول الآثار التي ترتبت على ذلك . فلا ينقضي الرهن بطريق أصلي ، لأنه عاد إلى الدائن المرتهن ، ولم يصبح هذا  مالكاً للعقار المرهون . أما إذا كانت ملكية العقار المرهون تزول عن الدائن المرتهن لا بأثر رجعي ، فإن ما تم من انقضاء الرهن بطريق أصلي يبقي . مثل ذلك بعد أن يصبح الدائن المرتهن مالكاً للعقار المرهون فينقضي الرهن ، يعمد الدائن المرتهن </w:t>
      </w:r>
      <w:r>
        <w:rPr>
          <w:rFonts w:cs="Traditional Arabic" w:hint="cs"/>
          <w:sz w:val="28"/>
          <w:szCs w:val="32"/>
          <w:rtl/>
        </w:rPr>
        <w:lastRenderedPageBreak/>
        <w:t>إلى بيع العقار المرهون . فينتقل العقار مطهراً من الرهن كما كان إلى المشتري ، وتبقى الآثار التي $650 ترتبت على ملكية الدائن المرتهن للعقار المرهون ، ومن أهمها زوال الرهن بطريق 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وملكية الدائن المرتهن للعقار المرهون بطريق الشراء الاختياري ، وانقضاء الرهن تبعاً لذلك بطريق أصلي ، قد تزول . ويتم ذلك مثلا بأن يفسخ شراء الدائن المرتهن للعقار المرهون أو يبطل ، فيزول الشراء ، ويعود الرهن الرسمي للدائن المرتهن . أما إذا كان شراء العقار المرهون لم يفسخ ولم يبطل ، بل عمد الدائن المرتهن بعد أن أصبح مالكاً للعقار المرهون إلى هبة العقار فلا يوجد أثر رجعي ، فإن ما تم من انقضاء الرهن بطرق أصلي يبقى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ووراثة الدائن المرتهن للعقار المرهون أو الوصية له بهذا العقار قد يزول بأثر رجعي ، فيتبين مثلا أن الدائن المرتهن ليس بوارث ، أو أن الوصية باطلة . فيتجرد الدائن المرتهن عن ملكية العقار المرهون ، ويعود الرهن كما كان ، وتزول الآثار التي ترتبت على انتقال ملكية العقار المرهون إلى الدائن المرتهن ، ويعتبر انتقال ملكية العقار المرهون كأن لم يكن . أما إذا بقي انتقال ملكية العقار المرهون إلى الدائن المرتهن ، بأن كان هذا وارثاً حقاً ، أو كانت الوصية صحيحة ، ولكن الدائن المرتهن بعد أن أصبح مالكاً للعقار المرهون ، وبعد أن انقضى الرهن بطريق أصلي ، عمد إلى العقار فباعه أو وهبه ، فإن العقار ينتقل إلى المشتري أو الموهوب له خالياً م الرهن ، لأنه لا يوجد أثر رجعي ، وما تم ن انقضاء الرهن بطريق أصلي يبقى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أن يرث مالك العقار المرهون الدائن المرتهن رهناً رسمياً ، فقد يزول ذلك بأثر رجعي ، بأن يتبين مثلا أن مالك العقار المرهون غير وارث . عند ذلك يتجرد مالك العقار المرهون من الرهن الرسمي ، فيعود هذا الرهن للوارث الحقيقي . وإذا بقي الرهن الرسمي لمالك العقار المرهون لأنه هو الوارث ، فقد يبيع العقار بعد أن زال عنه الرهن ، فيملكه المشتري خالياً من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$651 وإذا أوصى الدائن المرتهن برهنه لمالك العقار المرهون ، فقد يزول ذلك بأثر رجعي ، بأن تكون الوصية باطلة أو قابلة للطبال فتبطل . عند ذلك يتجرد مالك العقار المرهون من حق الرهن الرسمي ، ولا ينقضي الرهن بطريق أصلي بل يبقى . أما إذا كانت الوصية صحيحة ، وتجرد المالك للعقار لآخر من ملكية العقار الذي زال عنه حق  الرهن ، فإن العقار تنتقل ملكيته إلى هذا الآخر وقد زال عن العقار حق </w:t>
      </w:r>
      <w:r>
        <w:rPr>
          <w:rFonts w:cs="Traditional Arabic" w:hint="cs"/>
          <w:sz w:val="28"/>
          <w:szCs w:val="32"/>
          <w:rtl/>
        </w:rPr>
        <w:lastRenderedPageBreak/>
        <w:t>الرهن نهائياً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ملك مالك العقار المرهون الرهن عن طريق الحوالة ، فقد تكون هذه الحوالة باطلة أو قابلة للإبطال فتبطل . عند ذلك يتجرد مالك العقار المرهون من الرهن بأثر رجعي ، فلا ينقضي الرهن بطريق أصلي ، بل يبقى . أما إذا كانت الحوالة صحيحة ، وانقضى الرهن بطريق أصلي ، ثم عمد مالك العقار إلى بيعه ، فإن العقار ينتقل إلى المشتري دون أثر رجعي ، خالياً من الرهن .</w:t>
      </w:r>
    </w:p>
    <w:p w:rsidR="00F72742" w:rsidRPr="00ED24DB"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ED24DB">
        <w:rPr>
          <w:rFonts w:cs="Traditional Arabic" w:hint="cs"/>
          <w:b/>
          <w:bCs/>
          <w:sz w:val="28"/>
          <w:szCs w:val="32"/>
          <w:rtl/>
        </w:rPr>
        <w:t>6- هلاك العقار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389- النص المحذوف :</w:t>
      </w:r>
      <w:r>
        <w:rPr>
          <w:rFonts w:cs="Traditional Arabic" w:hint="cs"/>
          <w:sz w:val="28"/>
          <w:szCs w:val="32"/>
          <w:rtl/>
        </w:rPr>
        <w:t xml:space="preserve"> كان المشروع التمهيدي للتقنين المدني ينص في المادة 1059 منه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إذا هلك العقار أو انقضى الحق المرهون ، فإن الرهن الرسمي ينقضي ، وتراعى أحكام المادتين 1457 و 1458"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ومع ذلك  ، لا يجوز لصاحب حق الانتفاع أن يتنازل عن حقه إذا كان مثقلا برهن ، إضراراً بالدائن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3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عرض هذا النص على لجنة المراجعة ، حذفته اللجنة دون أن تبين السبب ، ولعل ذلك لوضوح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$652"وينقضي ( حق الرهن ) بهلاك العقار ، أو انقضاء الحق المرهون . على أنه إذا كان الحق المرهون حق انتفاع ، وانقضى بتنازل صاحبه ، فإنه يعود إلى صاحب الرقبة مثقلا بحق الرهن ، حتى لا يضر الراهن بحق المرتهن . وإذا هلك العقار المرهون ، انتقل الرهن إلى ما يحل محله من تأمين أو تعويض و غير </w:t>
      </w:r>
      <w:r>
        <w:rPr>
          <w:rFonts w:cs="Traditional Arabic" w:hint="cs"/>
          <w:sz w:val="28"/>
          <w:szCs w:val="32"/>
          <w:rtl/>
        </w:rPr>
        <w:lastRenderedPageBreak/>
        <w:t>ذلك . وخير الراهن أو المرتهن بين الوفاء أو استكمال التأمين ، وفقاً للقواعد التي سبق تقريرها"</w:t>
      </w:r>
      <w:r>
        <w:rPr>
          <w:rFonts w:cs="Traditional Arabic" w:hint="cs"/>
          <w:sz w:val="28"/>
          <w:szCs w:val="32"/>
          <w:vertAlign w:val="superscript"/>
          <w:rtl/>
        </w:rPr>
        <w:t xml:space="preserve">( </w:t>
      </w:r>
      <w:r w:rsidRPr="00EC737F">
        <w:rPr>
          <w:rStyle w:val="ab"/>
          <w:rFonts w:cs="Traditional Arabic"/>
          <w:sz w:val="28"/>
          <w:szCs w:val="32"/>
          <w:rtl/>
        </w:rPr>
        <w:footnoteReference w:id="134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390- هلاك العقار أو انقضاء الحق المرهون :</w:t>
      </w:r>
      <w:r>
        <w:rPr>
          <w:rFonts w:cs="Traditional Arabic" w:hint="cs"/>
          <w:sz w:val="28"/>
          <w:szCs w:val="32"/>
          <w:rtl/>
        </w:rPr>
        <w:t xml:space="preserve"> قد يهلك العقار المرهون ، بأن يحترق مثلا أو تنزع ملكيته للمنفعة العامة . عند ذلك ينقضي حق الرهن الرسمي لزوال محله ، ويكون زواله بأثر غير رجعي . وينقضي الرهن هنا بصفة أصلية ، لا بصفة تبعية تبعاً لانقضاء الدين المضمون ، لأن هذا الدين يبقى ديناً شخصياً بالرغم من زوال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هلاك العقار انقضاء الحق المرهون . فقد يرهن حق رهناً رسمياً ، ثم ينقضي هذا الحق . مثل ذلك حق الانتفاع أو حق الحكر ، الأول منهما ينقضي حتما بموت المنتفع ، والآخر لا يجوز أن تزيد مدته على ستين سنة ( م 999 مدني ) . فإذا انقضى حق مقرر عليه رهن رسمي ، انقضى الرهن الرسمي بانقضاء محله وهو الحق . ويكون انقضاء الرهن الرسمي بطريقة أصلية إذ أن الدين لا ينقضي ، بل يتحول إلى دين شخصي إذ أن الرهن الرسمي قد زال وبقي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391- وجوب مراعاة أحكام المادتين 1457 و 1458 أي أحكام هلاك العقار المرهون : </w:t>
      </w:r>
      <w:r>
        <w:rPr>
          <w:rFonts w:cs="Traditional Arabic" w:hint="cs"/>
          <w:sz w:val="28"/>
          <w:szCs w:val="32"/>
          <w:rtl/>
        </w:rPr>
        <w:t>وقد نصت المادة 1048 مدني ، كما رأينا ،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إذا تسبب الراهن بخطأه في هلاك العقار المرهون أو تلفه ، $653 كان الدائن المرتهن مخيراً بين أن يقتضي تأميناً كافياً أو يستوي حقه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فإذا كان الهلاك أو التلف قد نشأ عن سبب أجنبي ، ولم يقبل الدائن بقاء الدين بلا تأمين ، كان المدين مخيراً بين أن يقدم تأميناً كافياً أو أن يوفى الدين فوراً قبل حلول الأجل . وفي الحالة الأخيرة إذا لم يكن للدين فوائد ، فلا يكون للدائن حق إلا في استيفاء مبلغ يعادل قيم الدين منقوصاً منها الفوائد بالسعر القانوني عن المدة ما بين تاريخ الوفاء وتاريخ حلول الجدين"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وفي جميع الأحوال إذا وقعت أعمال من شأنها أن تعرض العقار المرهون للهلاك أو التلف أو تجعله غير كافٍ للضمان ، كان للدائن أن يطلب إلى القاضي وقف هذه الأعمال واتخاذ الوسائل التي تمنع </w:t>
      </w:r>
      <w:r>
        <w:rPr>
          <w:rFonts w:cs="Traditional Arabic" w:hint="cs"/>
          <w:sz w:val="28"/>
          <w:szCs w:val="32"/>
          <w:rtl/>
        </w:rPr>
        <w:lastRenderedPageBreak/>
        <w:t>وقوع الضرر"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النص ينطبق في حالة هلاك العقار أو تلفه . فإذا كان الراهن هو الذي تسبب بخطأه في الهلاك أو التلف ، كان هو المخطئ وخير الدائن المرتهن بين أن يستوفي حقه فوراً وبين أن يقضي تأميناً كافياً يحل محل العقار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الهلاك أو التلف قد نشأ عن سبب أجنبي لا يد للراهن فيه ، كان المدين لا الدائن هو المخير بين تقديم تأمين كافٍ وفاء الدين فوراً مع انتقاص الفوائد بالسعر القانوني في المدة ما بين وفاء الدين وحلول الأجل إذا كان الدين في الأصل لا ينتج فوائد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392- انتقال الرهن إلى ما يحل محل الشيء المرهون : </w:t>
      </w:r>
      <w:r>
        <w:rPr>
          <w:rFonts w:cs="Traditional Arabic" w:hint="cs"/>
          <w:sz w:val="28"/>
          <w:szCs w:val="32"/>
          <w:rtl/>
        </w:rPr>
        <w:t>وقد نصت المادة 1049 مدني ، كما رأينا ، على أنه "إذا هلك العقار المرهون أو تلف لأي سبب كان ، انتقل الرهن بمرتبته إلى الحق الذي يترتب على ذلك ، كالتعويض أو مبلغ التأمين أو الثمن الذي يقرر مقابل نزع ملكيته للمنفعة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$654 وهذا هو  الحول العيني . فقد يحل محل الشيء الهالك أو التالف بديل عنه ، كالتعويض إذا كان هناك مسئول عن التعويض ، أو مبلغ التأمين إذا كان الشيء مؤمناً عليه ، أو مقابل نزع الملكية إذا نزعت ملكية الشيء للمنفعة العامة . فينتقل الرهن بمرتبته إلى ما حل محل العقار المرهون حلولا عينياً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هلك بعض العقار المرهون ، ظل الرهن على ما يبقى من العقار من أجل كل الدين . فإذا احترق البناء بقي الرهن على الأرض التي كانت تحمل البناء</w:t>
      </w:r>
      <w:r>
        <w:rPr>
          <w:rFonts w:cs="Traditional Arabic" w:hint="cs"/>
          <w:sz w:val="28"/>
          <w:szCs w:val="32"/>
          <w:vertAlign w:val="superscript"/>
          <w:rtl/>
        </w:rPr>
        <w:t xml:space="preserve">( </w:t>
      </w:r>
      <w:r w:rsidRPr="00EC737F">
        <w:rPr>
          <w:rStyle w:val="ab"/>
          <w:rFonts w:cs="Traditional Arabic"/>
          <w:sz w:val="28"/>
          <w:szCs w:val="32"/>
          <w:rtl/>
        </w:rPr>
        <w:footnoteReference w:id="1341"/>
      </w:r>
      <w:r>
        <w:rPr>
          <w:rFonts w:cs="Traditional Arabic" w:hint="cs"/>
          <w:sz w:val="28"/>
          <w:szCs w:val="32"/>
          <w:vertAlign w:val="superscript"/>
          <w:rtl/>
        </w:rPr>
        <w:t xml:space="preserve"> )</w:t>
      </w:r>
      <w:r>
        <w:rPr>
          <w:rFonts w:cs="Traditional Arabic" w:hint="cs"/>
          <w:sz w:val="28"/>
          <w:szCs w:val="32"/>
          <w:rtl/>
        </w:rPr>
        <w:t xml:space="preserve"> ، ولكنه لا يرد على البناء الجديد الذي ينشأ محل البناء المحترق ، لأن البناء الجديد لم يكن محملا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393- حق الانتفاع هو المثقل بالرهن :</w:t>
      </w:r>
      <w:r>
        <w:rPr>
          <w:rFonts w:cs="Traditional Arabic" w:hint="cs"/>
          <w:sz w:val="28"/>
          <w:szCs w:val="32"/>
          <w:rtl/>
        </w:rPr>
        <w:t xml:space="preserve"> وتقول الفقرة الثانية من المادة 1059 المحذوفة ، كما رأينا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"ومع ذلك لا يجوز لصاحب حق الانتفاع أن يتناول عن حقه إذا كان مثقلا برهن ، إضراراً بالدائن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وهذا بديهي ، فإن حق الانتفاع إذا رهنه صاحبه ، يبقى قائماً على حق الانتفاع . ولا يجوز للمنتفع أن يتعجل ، ويتنازل عن حق الانتفاع فيقضيه ويقضي الرهن معه ، إضراراً بالدائن المرتهن . وإذا هو فعل ، فإن حق الانتفاع يعود إلى مالك الرقبة ، مثقلا الرهن ، إلى أن ينتهي الرهن بوجه من أوجه انقضائه"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وحق الانتفاع ينتهي حتماً يموت المنتفع . فإذا مات المنتفع ، وانتهى حق الانتفاع المرهون ، فإن الرهن يزول بزوال محله . ويزول بصفة أصلية $655 مع بقاء الدين المضمون بالرهن ، وينقلب الدين إلى دين شخصي . ولا يزول الرهن بصفة تبعية ، لأن الدين باقي لا يزول .</w:t>
      </w:r>
    </w:p>
    <w:p w:rsidR="00F72742" w:rsidRPr="00DB28B0"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DB28B0">
        <w:rPr>
          <w:rFonts w:cs="Traditional Arabic" w:hint="cs"/>
          <w:b/>
          <w:bCs/>
          <w:sz w:val="28"/>
          <w:szCs w:val="32"/>
          <w:rtl/>
        </w:rPr>
        <w:t>7- التقادم</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394- النص المحذوف :</w:t>
      </w:r>
      <w:r>
        <w:rPr>
          <w:rFonts w:cs="Traditional Arabic" w:hint="cs"/>
          <w:sz w:val="28"/>
          <w:szCs w:val="32"/>
          <w:rtl/>
        </w:rPr>
        <w:t xml:space="preserve"> كان المشروع التمهيدي للتقنين المدني ينص ، في المادة 1510 منه ،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لا ينقضي الرهن الرسمي بالتقادم ، مستقلا عن الدين المضمون"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ومع ذلك ، إذا انتقل العقار المرهون إلى حائز ، فإن حق الرهن بالنسبة له يسقط بالتقادم ، إذا لم يرفع الدائن المرتهن دعوى الرهن عليه في خمس عشرة سنة ، تبدأ من وقت تمكن الدائن من رفع هذه الدعوى . وينقطع التقادم بإنذار الحائز بالدفع أو بالتخلية"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ولما عرض النص على لجنة المراجعة ، أقرته تحت رقم 1187 في المشروع النهائي . ووافق عليه مجلس النواب تحت رقم 1173 ، ووافقت عليه لجنة مجلس الشيوخ تحت رقم 1087 . ثم أقترح بعض مستشاري محكمة النقض حذف الفقرة الثانية من المادة ، لما وجه من نقد إلى نظيرها في القانون الفرنسي ( م 2180 من القانون المدني الفرنسي ) . ورأت لجنة مجلس الشيوخ ا الأخذ بهذا الاقتراح يستتبع حذف الفقرة الأولى </w:t>
      </w:r>
      <w:r>
        <w:rPr>
          <w:rFonts w:cs="Traditional Arabic" w:hint="cs"/>
          <w:sz w:val="28"/>
          <w:szCs w:val="32"/>
          <w:rtl/>
        </w:rPr>
        <w:lastRenderedPageBreak/>
        <w:t>أيضاً ، ومن ثم حذفت لجنة مجلس الشيوخ المادة بفقرتيها اكتفاء بالقواعد العامة"</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4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 في خصوص هذه المادة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"ولا ينقضي حق الرهن بالتقادم مستقلا عن الدين المضمون ، ما دام $656 العقار المرهون في ملكية الرهن ، إذ الراهن لا يستطيع أن يتمسك بالتقادم المسقط للرهن إلا تبعاً للتقادم المسقط للدين . ولكن إذا انتقل العقار المرهون إلى حائز فإنه يمكن تصور انفصال الرهن عن الدين من حيث التقادم ، لأن الحائز ل يكفل الدين . وتسقط دعوى الرهن بالتقادم مستقلة عن دعوى الدين ، إذا لم يرفع الدائن المرتهن دعوى الرهن في مدة خمس عشر سنة م وقت حلول الدين أو من وقت تمكنه من رفع الدعوى إذا كان هناك سبب يقف سريان المدة . ويتقطع التقادم بإنذار الحائز بالدفع أو التخلية ، لأن هذا الإنذار بالنسبة للحائز له قوة التنبيه بالنسبة للمدين ، ولاكهما يقطع المدة . لذلك يمكن سقوط الرهن بالتقادم دون سقوط الدين ، ويكفي في ذلك أن ينبه الدائن على المدين فيقطع التقادم بالنسبة للدين ، ولا ينذر الحائز فيسري التقادم ( قارن محكمة الاستئناف المختلطة في دوائرها المجتمعة 17 مايو سنة </w:t>
      </w:r>
      <w:smartTag w:uri="urn:schemas-microsoft-com:office:smarttags" w:element="metricconverter">
        <w:smartTagPr>
          <w:attr w:name="ProductID" w:val="1927 م"/>
        </w:smartTagPr>
        <w:r>
          <w:rPr>
            <w:rFonts w:cs="Traditional Arabic" w:hint="cs"/>
            <w:sz w:val="28"/>
            <w:szCs w:val="32"/>
            <w:rtl/>
          </w:rPr>
          <w:t>1927 م</w:t>
        </w:r>
      </w:smartTag>
      <w:r>
        <w:rPr>
          <w:rFonts w:cs="Traditional Arabic" w:hint="cs"/>
          <w:sz w:val="28"/>
          <w:szCs w:val="32"/>
          <w:rtl/>
        </w:rPr>
        <w:t xml:space="preserve"> 39 ص 577 )ز ولا يعترض على هذا الحكم بأن الدائن المرتهن ، إذا رأي الرهن مهدداً بالضياع بعد أن انتقل العقار إلى الحائز ، يكون شديد الوطأة على المدين فلا يقبل أن يتفق معه على تسوية تستغرق مدة طويلة خوفاً من ضياع الرهن بالتقادم في يد الحائز ، فإن أمام الدائن المرتهن خمس عشرة سنة قبل أن يسقط الرهن ، وهي مدة طويلة يستطيع أيضاً أن يجددها إذا قطع التقادم بإنذار الحائز . هذا إلى أن للحائز حقاً في أن يسقط الرهن بالتقادم كما يسقط أي حق آخر ، فإذا كفل الحكم له ذلك دون أن يخل بمصلحة الدائن ، فإن هذا الحكم لا شيك عادل"</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395- أصل المسألة :</w:t>
      </w:r>
      <w:r>
        <w:rPr>
          <w:rFonts w:cs="Traditional Arabic" w:hint="cs"/>
          <w:sz w:val="28"/>
          <w:szCs w:val="32"/>
          <w:rtl/>
        </w:rPr>
        <w:t xml:space="preserve"> وأصل المسألة أن حكم زوال الرهن الرسمي في يد الحائز ورد في المادة 2180 ( 4 ) والفقرة الثانية من القانون المدني الفرنسي ، وطبقتها المحاكم الفرنسية كما تطبق أي نص </w:t>
      </w:r>
      <w:r>
        <w:rPr>
          <w:rFonts w:cs="Traditional Arabic" w:hint="cs"/>
          <w:sz w:val="28"/>
          <w:szCs w:val="32"/>
          <w:rtl/>
        </w:rPr>
        <w:lastRenderedPageBreak/>
        <w:t>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$657 وشرح الفقهاء الفرنسيون النص ، دون أن يبدوا اعتراضاً عليه</w:t>
      </w:r>
      <w:r w:rsidRPr="00EC737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396- الحالة في القانون المصري :</w:t>
      </w:r>
      <w:r>
        <w:rPr>
          <w:rFonts w:cs="Traditional Arabic" w:hint="cs"/>
          <w:sz w:val="28"/>
          <w:szCs w:val="32"/>
          <w:rtl/>
        </w:rPr>
        <w:t xml:space="preserve"> ولم ينقل التقنين المدني المصري القديم المادة 2180 من التقنين المدني الفرنسي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فاختلف القضاء في مصر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فقررت محكمة الاستئناف المختلط</w:t>
      </w:r>
      <w:r>
        <w:rPr>
          <w:rFonts w:cs="Traditional Arabic" w:hint="cs"/>
          <w:sz w:val="28"/>
          <w:szCs w:val="32"/>
          <w:vertAlign w:val="superscript"/>
          <w:rtl/>
        </w:rPr>
        <w:t xml:space="preserve">( </w:t>
      </w:r>
      <w:r w:rsidRPr="00EC737F">
        <w:rPr>
          <w:rStyle w:val="ab"/>
          <w:rFonts w:cs="Traditional Arabic"/>
          <w:sz w:val="28"/>
          <w:szCs w:val="32"/>
          <w:rtl/>
        </w:rPr>
        <w:footnoteReference w:id="1347"/>
      </w:r>
      <w:r>
        <w:rPr>
          <w:rFonts w:cs="Traditional Arabic" w:hint="cs"/>
          <w:sz w:val="28"/>
          <w:szCs w:val="32"/>
          <w:vertAlign w:val="superscript"/>
          <w:rtl/>
        </w:rPr>
        <w:t xml:space="preserve"> )</w:t>
      </w:r>
      <w:r>
        <w:rPr>
          <w:rFonts w:cs="Traditional Arabic" w:hint="cs"/>
          <w:sz w:val="28"/>
          <w:szCs w:val="32"/>
          <w:rtl/>
        </w:rPr>
        <w:t xml:space="preserve"> أن حق الرهن الرسمي ، ككل حق آخر ، ينقضي بالتقادم ، وأخذت المحكمة بكل أحكام المادة 2180 مدني فرنسي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وطرح الموضوع على دوائر محكمة الاستئناف المختلطة مجتمعة ، فقضت</w:t>
      </w:r>
      <w:r>
        <w:rPr>
          <w:rFonts w:cs="Traditional Arabic" w:hint="cs"/>
          <w:sz w:val="28"/>
          <w:szCs w:val="32"/>
          <w:vertAlign w:val="superscript"/>
          <w:rtl/>
        </w:rPr>
        <w:t xml:space="preserve">( </w:t>
      </w:r>
      <w:r w:rsidRPr="00EC737F">
        <w:rPr>
          <w:rStyle w:val="ab"/>
          <w:rFonts w:cs="Traditional Arabic"/>
          <w:sz w:val="28"/>
          <w:szCs w:val="32"/>
          <w:rtl/>
        </w:rPr>
        <w:footnoteReference w:id="1348"/>
      </w:r>
      <w:r>
        <w:rPr>
          <w:rFonts w:cs="Traditional Arabic" w:hint="cs"/>
          <w:sz w:val="28"/>
          <w:szCs w:val="32"/>
          <w:vertAlign w:val="superscript"/>
          <w:rtl/>
        </w:rPr>
        <w:t xml:space="preserve"> )</w:t>
      </w:r>
      <w:r>
        <w:rPr>
          <w:rFonts w:cs="Traditional Arabic" w:hint="cs"/>
          <w:sz w:val="28"/>
          <w:szCs w:val="32"/>
          <w:rtl/>
        </w:rPr>
        <w:t xml:space="preserve"> بأن الرهن الرسمي المقرر على عقار تحت يد الحائز لا ينقضي بالتقادم مستقلا عن الدين الذي يضمنه ، أي أنها أخذت بعكس المبدأ الذي قررته المادة 2180 مدني فرنسي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397- رأي أكثر الفقهاء في مصر عدم انقضاء الرهن الرسمي بالتقادم مستقلا عن الدين :</w:t>
      </w:r>
      <w:r>
        <w:rPr>
          <w:rFonts w:cs="Traditional Arabic" w:hint="cs"/>
          <w:sz w:val="28"/>
          <w:szCs w:val="32"/>
          <w:rtl/>
        </w:rPr>
        <w:t xml:space="preserve"> وأكثر فقهاء مصر يذهبون إلى أنه لا يجوز انقضاء الرهن الرسمي بالتقادم مستقلا عن الدين ، والى أن المادة 2180 من التقنين المدني الفرنسي لم تنقل إلى التقنين المدني المصري القديم . أما في التقنين المدني المصري الجديد ، فبعد أن حذف النص الذي كان يقضي بانقضاء الرهن $658 الرسمي بصفة أصلية مستقلا عن </w:t>
      </w:r>
      <w:r>
        <w:rPr>
          <w:rFonts w:cs="Traditional Arabic" w:hint="cs"/>
          <w:sz w:val="28"/>
          <w:szCs w:val="32"/>
          <w:rtl/>
        </w:rPr>
        <w:lastRenderedPageBreak/>
        <w:t>الدين ، فإنه لا محل للعمل ، به بعد حذفه</w:t>
      </w:r>
      <w:r>
        <w:rPr>
          <w:rFonts w:cs="Traditional Arabic" w:hint="cs"/>
          <w:sz w:val="28"/>
          <w:szCs w:val="32"/>
          <w:vertAlign w:val="superscript"/>
          <w:rtl/>
        </w:rPr>
        <w:t xml:space="preserve">( </w:t>
      </w:r>
      <w:r w:rsidRPr="00EC737F">
        <w:rPr>
          <w:rStyle w:val="ab"/>
          <w:rFonts w:cs="Traditional Arabic"/>
          <w:sz w:val="28"/>
          <w:szCs w:val="32"/>
          <w:rtl/>
        </w:rPr>
        <w:footnoteReference w:id="134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حكم محكمة الاستئناف المختلطة ( دوائر مجتمعة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"وبما أنه يؤخذ من الاعتبارات المتقدمة أن الشارع المختلط لي ينقل نص المادة 2180 من القانون المدني الفرنسي ، لأنه من جهة رأى عدم فائدة ذكر أسباب أخرى لانقضاء حقوق الامتياز والرهون الرسمية غير التقادم إذ أن هذه الأسباب ما هي إلا تطبيق للمبادئ القانونية العامة ، ورأى من الجهة الأخرى ألا يدخل في تشريعه التقادم المنصوص عليه في تلك المادة لسببين : أولهما ضرورة تأمين الثقة المالية العقارية في البلد تأميناً تاماً ، والثاني ما عليه مدد التقادم في القانون المختلط من القصر المتناهي . . ."</w:t>
      </w:r>
      <w:r>
        <w:rPr>
          <w:rFonts w:cs="Traditional Arabic" w:hint="cs"/>
          <w:sz w:val="28"/>
          <w:szCs w:val="32"/>
          <w:vertAlign w:val="superscript"/>
          <w:rtl/>
        </w:rPr>
        <w:t xml:space="preserve">( </w:t>
      </w:r>
      <w:r w:rsidRPr="00EC737F">
        <w:rPr>
          <w:rStyle w:val="ab"/>
          <w:rFonts w:cs="Traditional Arabic"/>
          <w:sz w:val="28"/>
          <w:szCs w:val="32"/>
          <w:rtl/>
        </w:rPr>
        <w:footnoteReference w:id="13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ويقول أحد الفقهاء المصريين</w:t>
      </w:r>
      <w:r>
        <w:rPr>
          <w:rFonts w:cs="Traditional Arabic" w:hint="cs"/>
          <w:sz w:val="28"/>
          <w:szCs w:val="32"/>
          <w:vertAlign w:val="superscript"/>
          <w:rtl/>
        </w:rPr>
        <w:t xml:space="preserve">( </w:t>
      </w:r>
      <w:r w:rsidRPr="00EC737F">
        <w:rPr>
          <w:rStyle w:val="ab"/>
          <w:rFonts w:cs="Traditional Arabic"/>
          <w:sz w:val="28"/>
          <w:szCs w:val="32"/>
          <w:rtl/>
        </w:rPr>
        <w:footnoteReference w:id="1351"/>
      </w:r>
      <w:r>
        <w:rPr>
          <w:rFonts w:cs="Traditional Arabic" w:hint="cs"/>
          <w:sz w:val="28"/>
          <w:szCs w:val="32"/>
          <w:vertAlign w:val="superscript"/>
          <w:rtl/>
        </w:rPr>
        <w:t xml:space="preserve"> )</w:t>
      </w:r>
      <w:r>
        <w:rPr>
          <w:rFonts w:cs="Traditional Arabic" w:hint="cs"/>
          <w:sz w:val="28"/>
          <w:szCs w:val="32"/>
          <w:rtl/>
        </w:rPr>
        <w:t xml:space="preserve"> : "تقدم أن الأمر عرض على القضاء ، بسبب اختلاف نص المادة 76 أهلي عن نص المادة 102 مختلط التي كانت تقابلها ، فقررت محكمة النقض أن الرهن الرسمي ، كما أنه لا يمكن أن ينقضي بعدم الاستعمال أي من طريق التقادم المسقط ، لا يمكن كذلك أن ينتقل من المرتهن إلى غيره من طريق التقادم المكسب ، لأنه باعتباره حقاً تبعياً لا يتصور له وجود إلا ضماناً لدين ، ولأن الديون لا تكسب بوضع اليد . وأكدت ( محكمة النقض ) أن الرهن المحفوظ وفقاً للقانون لا يمكن أن يسقط بمضي المدة استقلالا عن الدين المضمون</w:t>
      </w:r>
      <w:r>
        <w:rPr>
          <w:rFonts w:cs="Traditional Arabic" w:hint="cs"/>
          <w:sz w:val="28"/>
          <w:szCs w:val="32"/>
          <w:vertAlign w:val="superscript"/>
          <w:rtl/>
        </w:rPr>
        <w:t xml:space="preserve">( </w:t>
      </w:r>
      <w:r w:rsidRPr="00EC737F">
        <w:rPr>
          <w:rStyle w:val="ab"/>
          <w:rFonts w:cs="Traditional Arabic"/>
          <w:sz w:val="28"/>
          <w:szCs w:val="32"/>
          <w:rtl/>
        </w:rPr>
        <w:footnoteReference w:id="1352"/>
      </w:r>
      <w:r>
        <w:rPr>
          <w:rFonts w:cs="Traditional Arabic" w:hint="cs"/>
          <w:sz w:val="28"/>
          <w:szCs w:val="32"/>
          <w:vertAlign w:val="superscript"/>
          <w:rtl/>
        </w:rPr>
        <w:t xml:space="preserve"> )</w:t>
      </w:r>
      <w:r>
        <w:rPr>
          <w:rFonts w:cs="Traditional Arabic" w:hint="cs"/>
          <w:sz w:val="28"/>
          <w:szCs w:val="32"/>
          <w:rtl/>
        </w:rPr>
        <w:t xml:space="preserve"> . وقد أخذت بهذا الرأي محكمة النقض في حكم حديث لها بتاريخ 8 مارس سنة 1956 ، في قضية كان يسري عليها التقنين القديم"</w:t>
      </w:r>
      <w:r>
        <w:rPr>
          <w:rFonts w:cs="Traditional Arabic" w:hint="cs"/>
          <w:sz w:val="28"/>
          <w:szCs w:val="32"/>
          <w:vertAlign w:val="superscript"/>
          <w:rtl/>
        </w:rPr>
        <w:t xml:space="preserve">( </w:t>
      </w:r>
      <w:r w:rsidRPr="00EC737F">
        <w:rPr>
          <w:rStyle w:val="ab"/>
          <w:rFonts w:cs="Traditional Arabic"/>
          <w:sz w:val="28"/>
          <w:szCs w:val="32"/>
          <w:rtl/>
        </w:rPr>
        <w:footnoteReference w:id="13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$659 أما سائر الفقهاء في مصر ، فنراهم من رأي واحد ، ويذهبون إلى القول بأن الرهن لا يتقادم ، وهو في يد الحائز وحده ، دون الدين المضمون به .</w:t>
      </w:r>
    </w:p>
    <w:p w:rsidR="00F72742" w:rsidRPr="00EA1EA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وبحبنا هنا أن نشير ، في الحاشية ، إلى طائفة من هؤلاء الفقهاء ، وذلك غير الفقيهين اللذين سبق لنا أن أوردنا أقولاهما ، وغير ما أوردناه من قضاء محكمة الاستئناف المختلطة في دوائرها المجتمعة وقضاء محكمة النقض"</w:t>
      </w:r>
      <w:r>
        <w:rPr>
          <w:rFonts w:cs="Traditional Arabic" w:hint="cs"/>
          <w:sz w:val="28"/>
          <w:szCs w:val="32"/>
          <w:vertAlign w:val="superscript"/>
          <w:rtl/>
        </w:rPr>
        <w:t xml:space="preserve">( </w:t>
      </w:r>
      <w:r w:rsidRPr="00EC737F">
        <w:rPr>
          <w:rStyle w:val="ab"/>
          <w:rFonts w:cs="Traditional Arabic"/>
          <w:sz w:val="28"/>
          <w:szCs w:val="32"/>
          <w:rtl/>
        </w:rPr>
        <w:footnoteReference w:id="1354"/>
      </w:r>
      <w:r>
        <w:rPr>
          <w:rFonts w:cs="Traditional Arabic" w:hint="cs"/>
          <w:sz w:val="28"/>
          <w:szCs w:val="32"/>
          <w:vertAlign w:val="superscript"/>
          <w:rtl/>
        </w:rPr>
        <w:t xml:space="preserve"> )</w:t>
      </w:r>
      <w:r>
        <w:rPr>
          <w:rFonts w:cs="Traditional Arabic" w:hint="cs"/>
          <w:sz w:val="28"/>
          <w:szCs w:val="32"/>
          <w:rtl/>
        </w:rPr>
        <w:t xml:space="preserve"> .</w:t>
      </w:r>
    </w:p>
    <w:p w:rsidR="00F72742" w:rsidRPr="004A0E90"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398- لا يزال الباب مفتوحا : </w:t>
      </w:r>
      <w:r>
        <w:rPr>
          <w:rFonts w:cs="Traditional Arabic" w:hint="cs"/>
          <w:sz w:val="28"/>
          <w:szCs w:val="32"/>
          <w:rtl/>
        </w:rPr>
        <w:t>وبالرغم من أن المادة 1510 من المشروع التمهيدي قد أضعف حذفها الرأي الذي يقول بأن الرهن الرسمي في يد الحائز يزول بالتقادم ، إلا أن الباب لا زال مفتوحاً للمراجعة . ويؤد هذا الرأي الذي كان مكتوباً في مشروع التقنين المدني المصري ثم حذف ، ما جاء في الأعمال التحضيرية وفي المذكرة الإيضاحية للمشروع التمهيدي بشأنه ، وقد نقلنا ذلك كله فيما تقدم .</w:t>
      </w:r>
    </w:p>
    <w:p w:rsidR="00F72742" w:rsidRDefault="00F72742" w:rsidP="00F72742">
      <w:pPr>
        <w:spacing w:before="120"/>
        <w:ind w:firstLine="565"/>
        <w:jc w:val="lowKashida"/>
        <w:rPr>
          <w:color w:val="000000"/>
          <w:rtl/>
        </w:rPr>
      </w:pPr>
      <w:r>
        <w:rPr>
          <w:rFonts w:hint="cs"/>
          <w:color w:val="000000"/>
          <w:rtl/>
        </w:rPr>
        <w:tab/>
      </w:r>
    </w:p>
    <w:p w:rsidR="00F72742" w:rsidRDefault="00F72742" w:rsidP="00F72742">
      <w:pPr>
        <w:widowControl w:val="0"/>
        <w:spacing w:after="120"/>
        <w:ind w:firstLine="567"/>
        <w:jc w:val="lowKashida"/>
        <w:rPr>
          <w:rFonts w:cs="Traditional Arabic" w:hint="cs"/>
          <w:sz w:val="28"/>
          <w:szCs w:val="32"/>
          <w:vertAlign w:val="superscript"/>
          <w:rtl/>
        </w:rPr>
      </w:pPr>
      <w:r>
        <w:rPr>
          <w:color w:val="000000"/>
          <w:rtl/>
        </w:rPr>
        <w:br w:type="page"/>
      </w:r>
      <w:r w:rsidRPr="00614125">
        <w:rPr>
          <w:rFonts w:cs="Traditional Arabic" w:hint="cs"/>
          <w:sz w:val="28"/>
          <w:szCs w:val="32"/>
          <w:rtl/>
        </w:rPr>
        <w:lastRenderedPageBreak/>
        <w:t>$660</w:t>
      </w:r>
      <w:r>
        <w:rPr>
          <w:rFonts w:cs="Traditional Arabic" w:hint="cs"/>
          <w:sz w:val="28"/>
          <w:szCs w:val="32"/>
          <w:vertAlign w:val="superscript"/>
          <w:rtl/>
        </w:rPr>
        <w:t xml:space="preserve"> </w:t>
      </w:r>
    </w:p>
    <w:p w:rsidR="00F72742" w:rsidRPr="00C90133" w:rsidRDefault="00F72742" w:rsidP="00F72742">
      <w:pPr>
        <w:widowControl w:val="0"/>
        <w:spacing w:after="120"/>
        <w:ind w:firstLine="6"/>
        <w:jc w:val="center"/>
        <w:rPr>
          <w:rFonts w:cs="Traditional Arabic" w:hint="cs"/>
          <w:b/>
          <w:bCs/>
          <w:sz w:val="72"/>
          <w:szCs w:val="72"/>
          <w:rtl/>
        </w:rPr>
      </w:pPr>
      <w:r w:rsidRPr="00C90133">
        <w:rPr>
          <w:rFonts w:cs="Traditional Arabic" w:hint="cs"/>
          <w:b/>
          <w:bCs/>
          <w:sz w:val="72"/>
          <w:szCs w:val="72"/>
          <w:rtl/>
        </w:rPr>
        <w:t>الباب الثاني</w:t>
      </w:r>
    </w:p>
    <w:p w:rsidR="00F72742" w:rsidRPr="00C90133" w:rsidRDefault="00F72742" w:rsidP="00F72742">
      <w:pPr>
        <w:widowControl w:val="0"/>
        <w:spacing w:after="120"/>
        <w:ind w:firstLine="6"/>
        <w:jc w:val="center"/>
        <w:rPr>
          <w:rFonts w:cs="Traditional Arabic" w:hint="cs"/>
          <w:b/>
          <w:bCs/>
          <w:sz w:val="52"/>
          <w:szCs w:val="52"/>
          <w:rtl/>
        </w:rPr>
      </w:pPr>
      <w:r w:rsidRPr="00C90133">
        <w:rPr>
          <w:rFonts w:cs="Traditional Arabic" w:hint="cs"/>
          <w:b/>
          <w:bCs/>
          <w:sz w:val="52"/>
          <w:szCs w:val="52"/>
          <w:rtl/>
        </w:rPr>
        <w:t>حق الاختصاص</w:t>
      </w:r>
    </w:p>
    <w:p w:rsidR="00F72742" w:rsidRDefault="00F72742" w:rsidP="00F72742">
      <w:pPr>
        <w:widowControl w:val="0"/>
        <w:spacing w:after="120"/>
        <w:ind w:firstLine="6"/>
        <w:jc w:val="center"/>
        <w:rPr>
          <w:rFonts w:cs="Traditional Arabic" w:hint="cs"/>
          <w:sz w:val="28"/>
          <w:szCs w:val="32"/>
          <w:rtl/>
        </w:rPr>
      </w:pPr>
      <w:r>
        <w:rPr>
          <w:rFonts w:cs="Traditional Arabic" w:hint="cs"/>
          <w:sz w:val="28"/>
          <w:szCs w:val="32"/>
          <w:rtl/>
        </w:rPr>
        <w:t>ــــ</w:t>
      </w:r>
    </w:p>
    <w:p w:rsidR="00F72742" w:rsidRPr="00C90133" w:rsidRDefault="00F72742" w:rsidP="00F72742">
      <w:pPr>
        <w:widowControl w:val="0"/>
        <w:spacing w:after="120"/>
        <w:ind w:firstLine="6"/>
        <w:jc w:val="center"/>
        <w:rPr>
          <w:rFonts w:cs="Traditional Arabic" w:hint="cs"/>
          <w:b/>
          <w:bCs/>
          <w:sz w:val="52"/>
          <w:szCs w:val="52"/>
          <w:rtl/>
        </w:rPr>
      </w:pPr>
      <w:r w:rsidRPr="00C90133">
        <w:rPr>
          <w:rFonts w:cs="Traditional Arabic" w:hint="cs"/>
          <w:b/>
          <w:bCs/>
          <w:sz w:val="52"/>
          <w:szCs w:val="52"/>
          <w:rtl/>
        </w:rPr>
        <w:t>تمه</w:t>
      </w:r>
      <w:r>
        <w:rPr>
          <w:rFonts w:cs="Traditional Arabic" w:hint="cs"/>
          <w:b/>
          <w:bCs/>
          <w:sz w:val="52"/>
          <w:szCs w:val="52"/>
          <w:rtl/>
        </w:rPr>
        <w:t>ـــــ</w:t>
      </w:r>
      <w:r w:rsidRPr="00C90133">
        <w:rPr>
          <w:rFonts w:cs="Traditional Arabic" w:hint="cs"/>
          <w:b/>
          <w:bCs/>
          <w:sz w:val="52"/>
          <w:szCs w:val="52"/>
          <w:rtl/>
        </w:rPr>
        <w:t>يد</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w:t>
      </w:r>
      <w:r>
        <w:rPr>
          <w:rFonts w:cs="Traditional Arabic" w:hint="cs"/>
          <w:b/>
          <w:bCs/>
          <w:sz w:val="28"/>
          <w:szCs w:val="32"/>
          <w:rtl/>
        </w:rPr>
        <w:t xml:space="preserve">399- ما هو حق الاختصاص : </w:t>
      </w:r>
      <w:r>
        <w:rPr>
          <w:rFonts w:cs="Traditional Arabic" w:hint="cs"/>
          <w:sz w:val="28"/>
          <w:szCs w:val="32"/>
          <w:rtl/>
        </w:rPr>
        <w:t xml:space="preserve">حق الاختصاص </w:t>
      </w:r>
      <w:r>
        <w:rPr>
          <w:rFonts w:cs="Traditional Arabic"/>
          <w:sz w:val="28"/>
          <w:szCs w:val="32"/>
          <w:rtl/>
        </w:rPr>
        <w:t xml:space="preserve">( </w:t>
      </w:r>
      <w:r>
        <w:rPr>
          <w:rFonts w:cs="Traditional Arabic"/>
          <w:sz w:val="28"/>
          <w:szCs w:val="32"/>
        </w:rPr>
        <w:t>droit d'affectation</w:t>
      </w:r>
      <w:r>
        <w:rPr>
          <w:rFonts w:cs="Traditional Arabic"/>
          <w:sz w:val="28"/>
          <w:szCs w:val="32"/>
          <w:rtl/>
        </w:rPr>
        <w:t xml:space="preserve"> )</w:t>
      </w:r>
      <w:r>
        <w:rPr>
          <w:rFonts w:cs="Traditional Arabic" w:hint="cs"/>
          <w:sz w:val="28"/>
          <w:szCs w:val="32"/>
          <w:rtl/>
        </w:rPr>
        <w:t xml:space="preserve"> أو اختصاص الدائن بعقارات مدينة ، هو حق عيني تبعي يمنحه رئيس المحكمة للدائن ، بناء على حكم واجب التنفيذ صادر بإلزام المدين بالدين ، على عقار أو أكثر من عقارات المدين . ويستطيع الدائن بموجب هذا الحق أن يستوفي حقه في الدين ، متقدماً على الدائنين العاديين والدائنين التالين له في المرتبة ، من هذا العقار أو العقارات في أي يد تكون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فحق الاختصاص إذن يشبه حق الرهن الرسمي من حيث الآثار ، ويختلف عنه من حيث النشوء ، فحق الرهن الرسمي ينشأ من العقد ، أما حق الاختصاص فينشأ ، بناء على حكم قضائي واجب التنفيذ ، من إذن صادر من رئيس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400 حق الاختصاص من الإجراءات التحفظية : </w:t>
      </w:r>
      <w:r>
        <w:rPr>
          <w:rFonts w:cs="Traditional Arabic" w:hint="cs"/>
          <w:sz w:val="28"/>
          <w:szCs w:val="32"/>
          <w:rtl/>
        </w:rPr>
        <w:t>وحق الاختصاص من الإجراءات التحفظية ، يلجأ إليه الدائن لضمان تنفيذ الحكم الصادر 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قضت الدوائر المجتمعة لمحكمة الاستئناف المختلطة</w:t>
      </w:r>
      <w:r>
        <w:rPr>
          <w:rFonts w:cs="Traditional Arabic" w:hint="cs"/>
          <w:sz w:val="28"/>
          <w:szCs w:val="32"/>
          <w:vertAlign w:val="superscript"/>
          <w:rtl/>
        </w:rPr>
        <w:t xml:space="preserve">( </w:t>
      </w:r>
      <w:r w:rsidRPr="00EC737F">
        <w:rPr>
          <w:rStyle w:val="ab"/>
          <w:rFonts w:cs="Traditional Arabic"/>
          <w:sz w:val="28"/>
          <w:szCs w:val="32"/>
          <w:rtl/>
        </w:rPr>
        <w:footnoteReference w:id="1355"/>
      </w:r>
      <w:r>
        <w:rPr>
          <w:rFonts w:cs="Traditional Arabic" w:hint="cs"/>
          <w:sz w:val="28"/>
          <w:szCs w:val="32"/>
          <w:vertAlign w:val="superscript"/>
          <w:rtl/>
        </w:rPr>
        <w:t xml:space="preserve"> )</w:t>
      </w:r>
      <w:r>
        <w:rPr>
          <w:rFonts w:cs="Traditional Arabic" w:hint="cs"/>
          <w:sz w:val="28"/>
          <w:szCs w:val="32"/>
          <w:rtl/>
        </w:rPr>
        <w:t xml:space="preserve"> بأن السند المنشئ لحق الاختصاص هو </w:t>
      </w:r>
      <w:r>
        <w:rPr>
          <w:rFonts w:cs="Traditional Arabic" w:hint="cs"/>
          <w:sz w:val="28"/>
          <w:szCs w:val="32"/>
          <w:rtl/>
        </w:rPr>
        <w:lastRenderedPageBreak/>
        <w:t>الحكم الملزم بالمدين ، لا أمر من رئيس المحكمة ، وهذا الأمر ليس إلا استعمالا لهذا الحق تحت رقابة القاضي . والصحيح أن السند المنشئ لحق الاختصاص هو الأمر الصادر من رئيس المحكمة بتقرير حق الاختصاص ، إذ أن هذا الأمر هو الذي يقرر للدائن حق الاختصاص ويعين الأموال التي يرد عليها هذا الحق ، وهو الذي يجب أن يقيد لنفاذ الاختصاص في حق الغير</w:t>
      </w:r>
      <w:r>
        <w:rPr>
          <w:rFonts w:cs="Traditional Arabic" w:hint="cs"/>
          <w:sz w:val="28"/>
          <w:szCs w:val="32"/>
          <w:vertAlign w:val="superscript"/>
          <w:rtl/>
        </w:rPr>
        <w:t xml:space="preserve">( </w:t>
      </w:r>
      <w:r w:rsidRPr="00EC737F">
        <w:rPr>
          <w:rStyle w:val="ab"/>
          <w:rFonts w:cs="Traditional Arabic"/>
          <w:sz w:val="28"/>
          <w:szCs w:val="32"/>
          <w:rtl/>
        </w:rPr>
        <w:footnoteReference w:id="1356"/>
      </w:r>
      <w:r>
        <w:rPr>
          <w:rFonts w:cs="Traditional Arabic" w:hint="cs"/>
          <w:sz w:val="28"/>
          <w:szCs w:val="32"/>
          <w:vertAlign w:val="superscript"/>
          <w:rtl/>
        </w:rPr>
        <w:t xml:space="preserve"> )</w:t>
      </w:r>
      <w:r>
        <w:rPr>
          <w:rFonts w:cs="Traditional Arabic" w:hint="cs"/>
          <w:sz w:val="28"/>
          <w:szCs w:val="32"/>
          <w:rtl/>
        </w:rPr>
        <w:t xml:space="preserve"> . والمسلم به أنه لا يجوز قيد الاختصاص بموجب الحكم الملزم بالدين بل لا بد في ذلك من استصدار أمر القاضي بالاختصاص</w:t>
      </w:r>
      <w:r>
        <w:rPr>
          <w:rFonts w:cs="Traditional Arabic" w:hint="cs"/>
          <w:sz w:val="28"/>
          <w:szCs w:val="32"/>
          <w:vertAlign w:val="superscript"/>
          <w:rtl/>
        </w:rPr>
        <w:t xml:space="preserve">( </w:t>
      </w:r>
      <w:r w:rsidRPr="00EC737F">
        <w:rPr>
          <w:rStyle w:val="ab"/>
          <w:rFonts w:cs="Traditional Arabic"/>
          <w:sz w:val="28"/>
          <w:szCs w:val="32"/>
          <w:rtl/>
        </w:rPr>
        <w:footnoteReference w:id="13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401- تاريخ حق الاختصاص : </w:t>
      </w:r>
      <w:r>
        <w:rPr>
          <w:rFonts w:cs="Traditional Arabic" w:hint="cs"/>
          <w:sz w:val="28"/>
          <w:szCs w:val="32"/>
          <w:rtl/>
        </w:rPr>
        <w:t xml:space="preserve"> وجد حق الاختصاص أولا في القانون الوطني ، أما القانون المختلط فكان فيه حق الرهن القضائي ، ( م 2123 مدني فرنسي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 يكن القانون المدني المختلط عند صدوره ينص على حق الاختصاص ، بل كان ينص على حق الرهن القضائي على مثال القانون المدني الفرنسي . فكانت المادة 682 مدني مختلط تقضي بأن الرهن القضائي يترتب بقوة القانون على كل حكم صادر من المحاكم المصرية أو من محاكم القنصليات بالقطر المصري ، لصالح من صدر له الحكم المذكور . وكان هذا الرهن عاماً ، على جميع عقارات المدين الحالة والمستقبلة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صدر التقنين المدني الوطني في سنة 1883 ، استعاض من الرهن القضائي بحق الاختصاص . وعلق الحصول على حق الاختصاص على إذن $662 رئيس المحكمة ، وقصر على عقار أو عقارات معينة يعنيه رئيس المحكمة في إذنه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5 ديسمبر 1886 عدل التقنين المدني المختلط ، وحل فيه حق الاختصاص محل الرهن القضائي</w:t>
      </w:r>
      <w:r>
        <w:rPr>
          <w:rFonts w:cs="Traditional Arabic" w:hint="cs"/>
          <w:sz w:val="28"/>
          <w:szCs w:val="32"/>
          <w:vertAlign w:val="superscript"/>
          <w:rtl/>
        </w:rPr>
        <w:t xml:space="preserve">( </w:t>
      </w:r>
      <w:r w:rsidRPr="00EC737F">
        <w:rPr>
          <w:rStyle w:val="ab"/>
          <w:rFonts w:cs="Traditional Arabic"/>
          <w:sz w:val="28"/>
          <w:szCs w:val="32"/>
          <w:rtl/>
        </w:rPr>
        <w:footnoteReference w:id="13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402- حق الاختصاص وحق الرهن القضائي :</w:t>
      </w:r>
      <w:r>
        <w:rPr>
          <w:rFonts w:cs="Traditional Arabic" w:hint="cs"/>
          <w:sz w:val="28"/>
          <w:szCs w:val="32"/>
          <w:rtl/>
        </w:rPr>
        <w:t xml:space="preserve"> حق الرهن القضائي يترتب بقوة القانون عل كل حكم قضائي لمن صدر لمصلحته هذا الحكم ، ويرد على جميع عقارات المحكوم ضده الحالة المستقبلة . أما حق الاختصاص فإنه لا ينشأ بقوة القانون ، بلل لا بد من إذن رئيس المحكمة ، ويكون خاصاً بعقار أو عقارات معينة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403- مزايا حق الاختصاص وعيوبه : </w:t>
      </w:r>
      <w:r>
        <w:rPr>
          <w:rFonts w:cs="Traditional Arabic" w:hint="cs"/>
          <w:sz w:val="28"/>
          <w:szCs w:val="32"/>
          <w:rtl/>
        </w:rPr>
        <w:t>ومن مزايا حق الاختصاص ضمان تنفيذ الأحكام القضائية بحماية الدائن الذي حصل على هذه الأحكام ، أكثر مما تحميه الدعوى البولصية . فيكون له حق التقدم وحق التتبع ، ويعفى من إثبات غش المدين ، فيقنع الدائن بذلك ولا يسارع إلى تنفيذ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يترتب على حق الاختصاص تفضيل بعض الدائنين على بعض آخر ، ولا يترتب هذا التفضيل على إرادة المتعاقد كما في الرهن ، ولا على صفة في الدين كما في حق الامتياز ، بل على سرعة الحصول على حكم واجب التنفيذ . وحق الاختصاص قد يجحف بالمدين لأن عقاراته يتقرر عليها رهن قد لا يوافق عليه ، وقد يتسابق دائنوه للحصول على حق الاختصاص مما يزيد المصروفات عليه</w:t>
      </w:r>
      <w:r>
        <w:rPr>
          <w:rFonts w:cs="Traditional Arabic" w:hint="cs"/>
          <w:sz w:val="28"/>
          <w:szCs w:val="32"/>
          <w:vertAlign w:val="superscript"/>
          <w:rtl/>
        </w:rPr>
        <w:t xml:space="preserve">( </w:t>
      </w:r>
      <w:r w:rsidRPr="00EC737F">
        <w:rPr>
          <w:rStyle w:val="ab"/>
          <w:rFonts w:cs="Traditional Arabic"/>
          <w:sz w:val="28"/>
          <w:szCs w:val="32"/>
          <w:rtl/>
        </w:rPr>
        <w:footnoteReference w:id="13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$663 </w:t>
      </w:r>
      <w:r>
        <w:rPr>
          <w:rFonts w:cs="Traditional Arabic" w:hint="cs"/>
          <w:b/>
          <w:bCs/>
          <w:sz w:val="28"/>
          <w:szCs w:val="32"/>
          <w:rtl/>
        </w:rPr>
        <w:t xml:space="preserve">404- الاختصاص لا يكون إلا بحكم واجب التنفيذ : </w:t>
      </w:r>
      <w:r>
        <w:rPr>
          <w:rFonts w:cs="Traditional Arabic" w:hint="cs"/>
          <w:sz w:val="28"/>
          <w:szCs w:val="32"/>
          <w:rtl/>
        </w:rPr>
        <w:t>وأهم تعديل أدخل على حق الاختصاص هو جعله لا يكون إلا بحكم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كانت الفقرة الأولى من المادة 1511 من المشروع التمهيدي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يجوز لكل دائن بيده حكم موضوعي  . . . . أن يحصل على حق اختصاص  . . . . سواء كان الحكم حضورياً أو غيابياً ، ابتدائياً أو نهائياً"</w:t>
      </w:r>
      <w:r>
        <w:rPr>
          <w:rFonts w:cs="Traditional Arabic" w:hint="cs"/>
          <w:sz w:val="28"/>
          <w:szCs w:val="32"/>
          <w:vertAlign w:val="superscript"/>
          <w:rtl/>
        </w:rPr>
        <w:t xml:space="preserve">( </w:t>
      </w:r>
      <w:r w:rsidRPr="00EC737F">
        <w:rPr>
          <w:rStyle w:val="ab"/>
          <w:rFonts w:cs="Traditional Arabic"/>
          <w:sz w:val="28"/>
          <w:szCs w:val="32"/>
          <w:rtl/>
        </w:rPr>
        <w:footnoteReference w:id="13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فعدل هذا النص في لجنة مجلس الشيوخ ، وصار كالآتي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"يجوز لكل دائن بيده حكم واجب التنفيذ  . . . أن يحصل  . . . على حق اختصاص بعقارات </w:t>
      </w:r>
      <w:r>
        <w:rPr>
          <w:rFonts w:cs="Traditional Arabic" w:hint="cs"/>
          <w:sz w:val="28"/>
          <w:szCs w:val="32"/>
          <w:rtl/>
        </w:rPr>
        <w:lastRenderedPageBreak/>
        <w:t>مدينه  . . ." ( م 1085/1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وسنأتي فيما بعد لتفصيل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405- نظرة عامة من المذكرة الإيضاحية : </w:t>
      </w:r>
      <w:r>
        <w:rPr>
          <w:rFonts w:cs="Traditional Arabic" w:hint="cs"/>
          <w:sz w:val="28"/>
          <w:szCs w:val="32"/>
          <w:rtl/>
        </w:rPr>
        <w:t>وبعد هذا التعديل الهام ، نأتي بنظرة عامة في حق الاختصاص وردت في المذكرة الإيضاحية ، فقد ورد في هذه المذكرة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عيوب التقنين الحالي ( السابق ) في حق الاختصاص كثيرة ، أهمها ، من ناحية الشكل ، أن النصوص المتعلقة بحق الاختصاص مبعثرة بين التقنين المدني وتقنين المرافعات . ومن ناحية الموضع ، أن هذا التقنين ولو أنه تجنب عيوب الرهن القضائي المعروف في القانون الفرنسي ، فجعل حق الاختصاص لا يترتب من تلقاء نفسه بل لا بد فيه من أمر القاضي ، ولا يترتب على جميع عقارات المدين بل لا بد من تخصيص عقارات معينة بالذات ، إلا أنه لا يزال واقعاً في عيبين جوهريين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فلا يزال حق الاختصاص سبباً لإيثار دائن على دائن دون مبرر ، $663 بل قد يكون الأسبق من الدائنين إلى أخذ الاختصاص هو الدائن المتعنت ، وقد تكون الصدفة وحدها هي التي جعلت أحد الدائنين يحصل على حكم قبل الآخر فيسبق إلى أخذ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ولا يزال حق الاختصاص سبب عنت للمدين . فقد يؤخذ في غيبته على عقار قيمته أكبر بكثير من الدين ، ولا وسيلة للخلاص من هذا العنت إلا الطريق العتاد البطيء . ثم إذا كان هو في أول الأمر متناسباً مع الدين ، فقد يختل هذا التناسب في المستقبل ، إما بزيادة قيمة العقار أو بنقص مبلغ الدين ، فيبقى العقار مثقلا بحق لم يكن للمدين يد في ترتيبه ، فتنقضي قيمة العقار عند التعامل"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عالج المشروع كل هذه العيوب ، فلم يبق لحق الاختصاص بعد ذلك إلا مزاياه . فهو يعطي للدائن حسن النية ، الذي يخشى من تصرفات المدين ، ضماناً يطمئن إليه ويستطيع معه أن ينظر المدين إلى أجل في الوفاء ، بما يعود بالفائدة على كل منهما ولا ضرر على سائر الدائنين . وبذلك ينحسم النزاع الذي يقع كثيراً عندما يثار البحث فيما إذا كان الأولى إبقاء حق الاختصاص أو حذفه ، فمن الخير أن يبقى هذا الحق ، ولكن معدلا على الوجه الذي أتى به المشروع . وتتلخص هذه التعديلات فيما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"3- جمع المشروع كل النصوص المتعلقة بحق الاختصاص في مكان واحد ، سواء ما تعلق منها بأصل الحق أو ما كان منظماً لإجراءاته ، ورتب هذه النصوص ترتيباً منطقياً على غرار الرهن الرسمي . فذكر في الفصل الأول كيف ينشأ هذا الحق ، وعرض في ذلك للأحكام التي يؤخذ بمقتضاها ، وللأموال التي يترتب عليها ، وللإجراءات التي يجب إتباعها . وبسط في الفصل الثاني آثار الحق ، فبين ما يسري عليه من أحكام الرهن الرسمي وما لا يسري . وعرض في الفصل الثالث لإنقاص الحق وانقضائه ، $665 والإنقاص شيء جديد أتى به المشروع نقلا عن التقنين الإيطالي"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وعني المشروع من الناحية الموضوعية بأمرين : فقد أوضح مسائل هي الآن غامضة في التقنين الحالي ( السابق ) مقنناً في ذلك المبادئ التي استقر القضاء المصري عليها في هذه المسائل ، وعالج العيبين الجوهريين اللذين سبقت الإشارة إليهما من حيث أن حق الاختصاص سبب لإيثار دائن على آخر دون مبرر ومن حيث أنه سبب لعنت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فالمسائل التي أوضحها المشروع يمكن إجمال أهمها فيما يلي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بين أن الدائن الذي يريد الحصول على حق اختصاص يجب أن يكون حسن النية  . . . . وهذا ما استقر عليه القضاء المصري ( نقض 21 مايو سنة 1936 ملحق القانون والاقتصاد 6 ص 239 )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وضح أن الحكم الذي يؤخذ به حق الاختصاص يجب أن يكون حكماً موضوعياً يلزم المدين بشيء معين  . . . وذكر متى يمكن أخذ حق الاختصاص بمقتضى أحكام أجنبية وبمقتضى قرارات التحكيم  . . . وحسن النزاع الذي يثار عادة فيما يتعلق بالأحكام التي تثبت صلحاً وبالأحكام التي تصدر في دعوى تحقيق الخطوط بصحة التوقيع ، وبالأحكام التي تلزم بتقديم حساب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ج ) عالج عيباً في الإجراءات كان ضاراً بالدائن في التقنين الأهلي ، فإن هذا التقنين لا يزال يتطلب أن تكون العريضة التي يتقدم بها الدائن لأجل الاختصاص مصحوبة بصورة ن الحكم . وقد لا يحصل الدائن على هذه الصورة إلا بعد مدة طويلة ، فلا يمكن من أخذ الاختصاص في الوقت المناسب . وقد أخذ المشروع بما نص عليه التقنين المختلط  . . . . من أن تقديم صورة الحم ليس ضرورياً ، ويغني عنه </w:t>
      </w:r>
      <w:r>
        <w:rPr>
          <w:rFonts w:cs="Traditional Arabic" w:hint="cs"/>
          <w:sz w:val="28"/>
          <w:szCs w:val="32"/>
          <w:rtl/>
        </w:rPr>
        <w:lastRenderedPageBreak/>
        <w:t>تقديم شهادة من قلم الكتاب يذكر فيها منطوق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$667 "5- وعالج المشروع العيبين الجوهريين في حق الاختصاص على النحو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أولا </w:t>
      </w:r>
      <w:r>
        <w:rPr>
          <w:rFonts w:cs="Traditional Arabic"/>
          <w:sz w:val="28"/>
          <w:szCs w:val="32"/>
          <w:rtl/>
        </w:rPr>
        <w:t>–</w:t>
      </w:r>
      <w:r>
        <w:rPr>
          <w:rFonts w:cs="Traditional Arabic" w:hint="cs"/>
          <w:sz w:val="28"/>
          <w:szCs w:val="32"/>
          <w:rtl/>
        </w:rPr>
        <w:t xml:space="preserve"> منع حق الاختصاص من أن يكون سبباً لإيثار دائن على آخر دون مبرر ، سواء أكان ذلك بعد وفاة المدين ، أم كان قبل وفاته وبعد إعساره حال حياته . ففيما يتعلق بحالة الوفاة نص المشروع على أنه لا يجوز للدائن بعد موت المدين أخذ اختصاص بعقار في التركة ، وذلك تقنيناً ذهب إليه جمهور الفقهاء في هذا الشأن تفريعاً على مبدأ : لا تركة إلا بعد سداد الدين . أما فيما يتعلق بحالة إعسار المدين في حياته ، فقد اكتفى المشروع بما نص عليه في باب الإعسار من أنه لا يجوز أن يحتج على الدائنين الذين يكون لهم حقوق سابقة على تسجيل صحيفة دعوى الإعسار بأن اختصاصاً يقع على عقارات المدين بعد هذا التسجيل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ثانياً </w:t>
      </w:r>
      <w:r>
        <w:rPr>
          <w:rFonts w:cs="Traditional Arabic"/>
          <w:sz w:val="28"/>
          <w:szCs w:val="32"/>
          <w:rtl/>
        </w:rPr>
        <w:t>–</w:t>
      </w:r>
      <w:r>
        <w:rPr>
          <w:rFonts w:cs="Traditional Arabic" w:hint="cs"/>
          <w:sz w:val="28"/>
          <w:szCs w:val="32"/>
          <w:rtl/>
        </w:rPr>
        <w:t xml:space="preserve"> منع حق الاختصاص من أن يكون سبباً لعنت المدين بالوسيلتين الآتيتين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حال دون أن يأخذ المدين من مبدأ الأمر حق اختصاص على عقار قيمته أكبر بكثير من الدين ، بأن ألزم الدائن أن يقدم أوراقاً تثبت قيمة العقارات التي يريد أن يختص بها وأنها مملوكة للمدين  . . . . وأوجب على قلم الكتاب أن يؤشر بالاختصاص على صورة الحكم أو الشهادة التي تقوم مقامها ، وعلى كل صورة أو شهادة أخرى تسلم للدائن . . . حتى يتعذر على الدائن بذلك أن يحصل على اختصاصات متعددة من محاكم مختلفة على عقارات تقع في دوائر هذه المحاكم ، دون أن تعلم كل محكمة تعطي اختصاصات بما أعطته المحاكم الأخرى من ذلك . وفرض المشروع بعد كل هذا أن القاضي ، رغماً من هذه الاحتياطات ، قد يخطئ فيعطي اختصاصاً على عقار تزيد قيمته كثيراً على الدين ، فنظم طريقة لتظلم المدين $667 بأن أوجب على قلم الكتاب إعلانه في نفس اليوم الذي يقيد فيه حق الاختصاص حتى يتمكن من التظلم بطريقة مختصرة سريعة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ب ) حال دون أن يستبقي الدائن حق اختصاص كان في مبدأ الأمر متناسباً مع المدين ، ثم اختل التناسب بعد ذلك ، لنقص في مبلغ الدين أو لزيادة في قيمة العقار . فنظم إجراءات يستطيع المدين بمقتضاها أن يطالب بإنقاص حق الاختصاص ، إما بقصره على جزء من العقار أو العقارات التي رتب </w:t>
      </w:r>
      <w:r>
        <w:rPr>
          <w:rFonts w:cs="Traditional Arabic" w:hint="cs"/>
          <w:sz w:val="28"/>
          <w:szCs w:val="32"/>
          <w:rtl/>
        </w:rPr>
        <w:lastRenderedPageBreak/>
        <w:t>عليها ،  أو بنقله إلى عقار آخر تكون قيمته كافية لضمان المستحق من الدين"</w:t>
      </w:r>
      <w:r>
        <w:rPr>
          <w:rFonts w:cs="Traditional Arabic" w:hint="cs"/>
          <w:sz w:val="28"/>
          <w:szCs w:val="32"/>
          <w:vertAlign w:val="superscript"/>
          <w:rtl/>
        </w:rPr>
        <w:t xml:space="preserve">( </w:t>
      </w:r>
      <w:r w:rsidRPr="00EC737F">
        <w:rPr>
          <w:rStyle w:val="ab"/>
          <w:rFonts w:cs="Traditional Arabic"/>
          <w:sz w:val="28"/>
          <w:szCs w:val="32"/>
          <w:rtl/>
        </w:rPr>
        <w:footnoteReference w:id="13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406- تقسيم الموضوع</w:t>
      </w:r>
      <w:r>
        <w:rPr>
          <w:rFonts w:cs="Traditional Arabic" w:hint="cs"/>
          <w:sz w:val="28"/>
          <w:szCs w:val="32"/>
          <w:rtl/>
        </w:rPr>
        <w:t xml:space="preserve"> : ونعالج حق الاختصاص في فصول ثلاثة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الفصل الأولى ) إنشاء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الفصل الثاني ) آثار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الفصل الثالث ) إنقاص حق الاختصاص وانقضاؤه .</w:t>
      </w:r>
    </w:p>
    <w:p w:rsidR="00F72742" w:rsidRPr="00934871" w:rsidRDefault="00F72742" w:rsidP="00F72742">
      <w:pPr>
        <w:widowControl w:val="0"/>
        <w:spacing w:after="120"/>
        <w:jc w:val="center"/>
        <w:rPr>
          <w:rFonts w:cs="Traditional Arabic" w:hint="cs"/>
          <w:b/>
          <w:bCs/>
          <w:sz w:val="52"/>
          <w:szCs w:val="52"/>
          <w:rtl/>
        </w:rPr>
      </w:pPr>
      <w:r w:rsidRPr="00934871">
        <w:rPr>
          <w:rFonts w:cs="Traditional Arabic" w:hint="cs"/>
          <w:b/>
          <w:bCs/>
          <w:sz w:val="52"/>
          <w:szCs w:val="52"/>
          <w:rtl/>
        </w:rPr>
        <w:t>الفصل الأول</w:t>
      </w:r>
    </w:p>
    <w:p w:rsidR="00F72742" w:rsidRPr="00934871" w:rsidRDefault="00F72742" w:rsidP="00F72742">
      <w:pPr>
        <w:widowControl w:val="0"/>
        <w:spacing w:after="120"/>
        <w:jc w:val="center"/>
        <w:rPr>
          <w:rFonts w:cs="Traditional Arabic" w:hint="cs"/>
          <w:b/>
          <w:bCs/>
          <w:sz w:val="28"/>
          <w:szCs w:val="32"/>
          <w:rtl/>
        </w:rPr>
      </w:pPr>
      <w:r w:rsidRPr="00934871">
        <w:rPr>
          <w:rFonts w:cs="Traditional Arabic" w:hint="cs"/>
          <w:b/>
          <w:bCs/>
          <w:sz w:val="28"/>
          <w:szCs w:val="32"/>
          <w:rtl/>
        </w:rPr>
        <w:t>إنشاء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407- الأحكام الموضوعية والإجراءات : </w:t>
      </w:r>
      <w:r>
        <w:rPr>
          <w:rFonts w:cs="Traditional Arabic" w:hint="cs"/>
          <w:sz w:val="28"/>
          <w:szCs w:val="32"/>
          <w:rtl/>
        </w:rPr>
        <w:t>في هذا الفصل الأول ، تورد أهم أحكام حق الاختصاص ، ولذلك يعتبر هذا الفصل أهم فصول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ونقسمه إلى فرعين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$668 ( الفرع الأول ) الأحكام الموضوعية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الفرع الثاني ) الإجراءات .</w:t>
      </w:r>
    </w:p>
    <w:p w:rsidR="00F72742" w:rsidRPr="00244637" w:rsidRDefault="00F72742" w:rsidP="00F72742">
      <w:pPr>
        <w:widowControl w:val="0"/>
        <w:spacing w:after="120"/>
        <w:jc w:val="center"/>
        <w:rPr>
          <w:rFonts w:cs="Traditional Arabic" w:hint="cs"/>
          <w:b/>
          <w:bCs/>
          <w:sz w:val="44"/>
          <w:szCs w:val="44"/>
          <w:rtl/>
        </w:rPr>
      </w:pPr>
      <w:r w:rsidRPr="00244637">
        <w:rPr>
          <w:rFonts w:cs="Traditional Arabic" w:hint="cs"/>
          <w:b/>
          <w:bCs/>
          <w:sz w:val="44"/>
          <w:szCs w:val="44"/>
          <w:rtl/>
        </w:rPr>
        <w:t>الفرع الأول</w:t>
      </w:r>
    </w:p>
    <w:p w:rsidR="00F72742" w:rsidRPr="00244637" w:rsidRDefault="00F72742" w:rsidP="00F72742">
      <w:pPr>
        <w:widowControl w:val="0"/>
        <w:spacing w:after="120"/>
        <w:jc w:val="center"/>
        <w:rPr>
          <w:rFonts w:cs="Traditional Arabic" w:hint="cs"/>
          <w:b/>
          <w:bCs/>
          <w:sz w:val="28"/>
          <w:szCs w:val="32"/>
          <w:rtl/>
        </w:rPr>
      </w:pPr>
      <w:r w:rsidRPr="00244637">
        <w:rPr>
          <w:rFonts w:cs="Traditional Arabic" w:hint="cs"/>
          <w:b/>
          <w:bCs/>
          <w:sz w:val="28"/>
          <w:szCs w:val="32"/>
          <w:rtl/>
        </w:rPr>
        <w:t>الأحكام الموضوعية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408- المحكوم له أو الدائن حسن النية هو الذي يتقرر له حق الاختصاص :</w:t>
      </w:r>
      <w:r>
        <w:rPr>
          <w:rFonts w:cs="Traditional Arabic" w:hint="cs"/>
          <w:sz w:val="28"/>
          <w:szCs w:val="32"/>
          <w:rtl/>
        </w:rPr>
        <w:t xml:space="preserve"> ولما كان حق الاختصاص حقاً عينياً تبعياً ، كالرهن وحق الامتياز ، فلا بد له من صاحب . ولما كان حق الاختصاص لا يؤخذ إلا بحكم كما سنرى ، فالخصم المحكوم له في هذا الحكم هو الذي يتقرر في صالحه حق </w:t>
      </w:r>
      <w:r>
        <w:rPr>
          <w:rFonts w:cs="Traditional Arabic" w:hint="cs"/>
          <w:sz w:val="28"/>
          <w:szCs w:val="32"/>
          <w:rtl/>
        </w:rPr>
        <w:lastRenderedPageBreak/>
        <w:t>الاختصاص ضماناً لتنفيذ الحكم ، ويتقرر ضد الخصم الذي حكم عليه ، وهذا واضح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حق الاختصاص ضماناً للمحكوم به ، وهو أصل الدين والفوائد والمصروفات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الفقرة الأولى من المادة 1085 مدني إنه "يجوز لكل دائن  . . . . أن يحصل متى كان حسن النية ، على حق اختصاص بعقارات مدينة ضماناً لأصل الدين والفوائد والمصروفات"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فيشترط إذن في المحكوم له ، أو الدائن ،أن يكون حسن النية</w:t>
      </w:r>
      <w:r>
        <w:rPr>
          <w:rFonts w:cs="Traditional Arabic" w:hint="cs"/>
          <w:sz w:val="28"/>
          <w:szCs w:val="32"/>
          <w:vertAlign w:val="superscript"/>
          <w:rtl/>
        </w:rPr>
        <w:t xml:space="preserve">( </w:t>
      </w:r>
      <w:r w:rsidRPr="00EC737F">
        <w:rPr>
          <w:rStyle w:val="ab"/>
          <w:rFonts w:cs="Traditional Arabic"/>
          <w:sz w:val="28"/>
          <w:szCs w:val="32"/>
          <w:rtl/>
        </w:rPr>
        <w:footnoteReference w:id="1362"/>
      </w:r>
      <w:r>
        <w:rPr>
          <w:rFonts w:cs="Traditional Arabic" w:hint="cs"/>
          <w:sz w:val="28"/>
          <w:szCs w:val="32"/>
          <w:vertAlign w:val="superscript"/>
          <w:rtl/>
        </w:rPr>
        <w:t xml:space="preserve"> )</w:t>
      </w:r>
      <w:r>
        <w:rPr>
          <w:rFonts w:cs="Traditional Arabic" w:hint="cs"/>
          <w:sz w:val="28"/>
          <w:szCs w:val="32"/>
          <w:rtl/>
        </w:rPr>
        <w:t xml:space="preserve"> . وقد جاء في المذكرة الإيضاحية للمشروع التمهيدي ، في هذا الخصوص ، ما يأتي : "ويشترط لأخذ حق الاختصاص أن يكون الدائن حسن النية ، $669 فلو باع المدين عقاراً له ، ثم أخذ الدائن حق اختصاص وهو عالم ببيعه ، وقيد حق الاختصاص قبل تسجيل البيع ، فإن هذا الحق لا ينقذ في حق المشتري"</w:t>
      </w:r>
      <w:r>
        <w:rPr>
          <w:rFonts w:cs="Traditional Arabic" w:hint="cs"/>
          <w:sz w:val="28"/>
          <w:szCs w:val="32"/>
          <w:vertAlign w:val="superscript"/>
          <w:rtl/>
        </w:rPr>
        <w:t xml:space="preserve">( </w:t>
      </w:r>
      <w:r w:rsidRPr="00EC737F">
        <w:rPr>
          <w:rStyle w:val="ab"/>
          <w:rFonts w:cs="Traditional Arabic"/>
          <w:sz w:val="28"/>
          <w:szCs w:val="32"/>
          <w:rtl/>
        </w:rPr>
        <w:footnoteReference w:id="1363"/>
      </w:r>
      <w:r>
        <w:rPr>
          <w:rFonts w:cs="Traditional Arabic" w:hint="cs"/>
          <w:sz w:val="28"/>
          <w:szCs w:val="32"/>
          <w:vertAlign w:val="superscript"/>
          <w:rtl/>
        </w:rPr>
        <w:t xml:space="preserve"> )</w:t>
      </w:r>
      <w:r>
        <w:rPr>
          <w:rFonts w:cs="Traditional Arabic" w:hint="cs"/>
          <w:sz w:val="28"/>
          <w:szCs w:val="32"/>
          <w:rtl/>
        </w:rPr>
        <w:t xml:space="preserve"> .</w:t>
      </w:r>
    </w:p>
    <w:p w:rsidR="00F72742" w:rsidRPr="0090226A"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حكم لمحكمة النقض</w:t>
      </w:r>
      <w:r>
        <w:rPr>
          <w:rFonts w:cs="Traditional Arabic" w:hint="cs"/>
          <w:sz w:val="28"/>
          <w:szCs w:val="32"/>
          <w:vertAlign w:val="superscript"/>
          <w:rtl/>
        </w:rPr>
        <w:t xml:space="preserve">( </w:t>
      </w:r>
      <w:r w:rsidRPr="00EC737F">
        <w:rPr>
          <w:rStyle w:val="ab"/>
          <w:rFonts w:cs="Traditional Arabic"/>
          <w:sz w:val="28"/>
          <w:szCs w:val="32"/>
          <w:rtl/>
        </w:rPr>
        <w:footnoteReference w:id="1364"/>
      </w:r>
      <w:r>
        <w:rPr>
          <w:rFonts w:cs="Traditional Arabic" w:hint="cs"/>
          <w:sz w:val="28"/>
          <w:szCs w:val="32"/>
          <w:vertAlign w:val="superscript"/>
          <w:rtl/>
        </w:rPr>
        <w:t xml:space="preserve"> )</w:t>
      </w:r>
      <w:r>
        <w:rPr>
          <w:rFonts w:cs="Traditional Arabic" w:hint="cs"/>
          <w:sz w:val="28"/>
          <w:szCs w:val="32"/>
          <w:rtl/>
        </w:rPr>
        <w:t xml:space="preserve"> ما يأتي : "الدائن الذي أخفى عن رئيس المحكمة أن العقار الذي أراد الاختصاص به قد باعه مدينه بعقد عرفي ثابت التاريخ قبل قانون التسجيل وقبل نشوء حقه في الدين ، وذكر في عريضته أن هذا العقار هو ملك مدينه ولا يزال على ملكه ، قصد ر له الأمر بالاختصاص ، وما كان لصدر لو صدق وذكر عن أوصاف العقار ما يجب عليه ذكه صدقاً ، هذا الدائن يعتبر أنه قد عمل عملا إيجابياً منطوياً على سوء النية يجعل الاختصاص الصادر له منطوياً على سوء النية ، فلا يمكن اعتبار تسجيله سارياً في مواجهة المشتري من المدين" . </w:t>
      </w:r>
    </w:p>
    <w:p w:rsidR="00F72742" w:rsidRPr="00AF219A"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وهناك مثل آخر لدائن حصل على حق اختصاص بسوء نية : مدين حكم عليه بالدين وله عقار واحد . وقبل الحكم بالدين رهن العقار رهناً رسمياً إلى دائن مرتهن حسن النية . وقبل أن يقيد هذا الدائن رهنه وقد الحكم بالدين ، تواطأ المحكوم عليه بالدين مع المحكوم له ودفع الأول الثاني إلى الحصول على حق </w:t>
      </w:r>
      <w:r>
        <w:rPr>
          <w:rFonts w:cs="Traditional Arabic" w:hint="cs"/>
          <w:sz w:val="28"/>
          <w:szCs w:val="32"/>
          <w:rtl/>
        </w:rPr>
        <w:lastRenderedPageBreak/>
        <w:t>اختصاص وقيد هذا الحق قبل الرهن الرسمي ، والدائن صاحب الاختصاص يعلم بحقيقة الأمر وبأن العقار مرهون . هنا يكون الدائن صاحب حق الاختصاص سيء النية ، ولا يكون حق اختصاصه نافذا في مواجهة الدائن المرتهن رهناً رسمياً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فيمكن القول إذن بأن الدائن صاحب حق الاختصاص ينتفي حسن نيته إذا طلب اختصاصاً على عقار مملوك للمدين وهو يعلم تعلق حق الغير $670 به ، حتى لو كان هذا الحق لم تتوافر فيه الشروط اللازمة للاحتجاج به على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والأصل هو حسن النية ، وعلى من يدعي العكس أن يثبت ما يدعيه . ويكفي أن يثبت أن الدائن صاحب الاختصاص كان يعلم بسبق تصرف المدين في العقار ببيع أو رهن . فيكفي في المثل السابق أن يثبت الدائن المرتهن رهناً رسمياً أن الدائن صاحب الاختصاص ، كان يعلم ، قبل أخذه حق الاختصاص ، أن مدينه رهن العقار رهناً رسمياً</w:t>
      </w:r>
      <w:r>
        <w:rPr>
          <w:rFonts w:cs="Traditional Arabic" w:hint="cs"/>
          <w:sz w:val="28"/>
          <w:szCs w:val="32"/>
          <w:vertAlign w:val="superscript"/>
          <w:rtl/>
        </w:rPr>
        <w:t xml:space="preserve">( </w:t>
      </w:r>
      <w:r w:rsidRPr="00EC737F">
        <w:rPr>
          <w:rStyle w:val="ab"/>
          <w:rFonts w:cs="Traditional Arabic"/>
          <w:sz w:val="28"/>
          <w:szCs w:val="32"/>
          <w:rtl/>
        </w:rPr>
        <w:footnoteReference w:id="13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وننظر بعد ذلك في : ( 1 ) الأحكام التي يؤخذ بها حق الاختصاص . ( 2 ) والأموال التي يؤخذ عليها حق الاختصاص .</w:t>
      </w:r>
    </w:p>
    <w:p w:rsidR="00F72742" w:rsidRPr="005F0672" w:rsidRDefault="00F72742" w:rsidP="00F72742">
      <w:pPr>
        <w:widowControl w:val="0"/>
        <w:spacing w:after="120"/>
        <w:jc w:val="center"/>
        <w:rPr>
          <w:rFonts w:cs="Traditional Arabic" w:hint="cs"/>
          <w:b/>
          <w:bCs/>
          <w:sz w:val="44"/>
          <w:szCs w:val="44"/>
          <w:rtl/>
        </w:rPr>
      </w:pPr>
      <w:r w:rsidRPr="005F0672">
        <w:rPr>
          <w:rFonts w:cs="Traditional Arabic" w:hint="cs"/>
          <w:b/>
          <w:bCs/>
          <w:sz w:val="44"/>
          <w:szCs w:val="44"/>
          <w:rtl/>
        </w:rPr>
        <w:t>المبحث الأول</w:t>
      </w:r>
    </w:p>
    <w:p w:rsidR="00F72742" w:rsidRPr="005F0672" w:rsidRDefault="00F72742" w:rsidP="00F72742">
      <w:pPr>
        <w:widowControl w:val="0"/>
        <w:spacing w:after="120"/>
        <w:jc w:val="center"/>
        <w:rPr>
          <w:rFonts w:cs="Traditional Arabic" w:hint="cs"/>
          <w:b/>
          <w:bCs/>
          <w:sz w:val="28"/>
          <w:szCs w:val="32"/>
          <w:rtl/>
        </w:rPr>
      </w:pPr>
      <w:r w:rsidRPr="005F0672">
        <w:rPr>
          <w:rFonts w:cs="Traditional Arabic" w:hint="cs"/>
          <w:b/>
          <w:bCs/>
          <w:sz w:val="28"/>
          <w:szCs w:val="32"/>
          <w:rtl/>
        </w:rPr>
        <w:t>الأحكام التي يؤخذ بها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 xml:space="preserve">409- نصوص قانونية : </w:t>
      </w:r>
      <w:r>
        <w:rPr>
          <w:rFonts w:cs="Traditional Arabic" w:hint="cs"/>
          <w:sz w:val="28"/>
          <w:szCs w:val="32"/>
          <w:rtl/>
        </w:rPr>
        <w:t>تنص المادة 1085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يجوز لكل دائن بيده حكم واجب التنفيذ صادر في موضوع $671 الدعوى يلزم المدين بشيء معين أن يحصل ، متى كان حسن النية ، على حق اختصاص بعقارات مدينة ، ضماناً لأصل الدين والفوائد والمصروفات"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ولا يجوز للدائن ، بعد موت المدين ، أخذ اختصاص على عقار في التركة"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1086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يجوز الحصول على حق اختصاص بناء على حكم صادر من محكمة أجنبية ، أو على قرار صادر من محكمين ، إلا إذا أصبح الحكم أو القرار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1087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الحصول على حق اختصاص بناء على حكم يثبت صلحاً أو اتفاقاً ثم بين الخصوم ، ولكن لا يجوز الحصول على حق اختصاص بناء على حكم صادر بصحة التوقيع"</w:t>
      </w:r>
      <w:r>
        <w:rPr>
          <w:rFonts w:cs="Traditional Arabic" w:hint="cs"/>
          <w:sz w:val="28"/>
          <w:szCs w:val="32"/>
          <w:vertAlign w:val="superscript"/>
          <w:rtl/>
        </w:rPr>
        <w:t xml:space="preserve">( </w:t>
      </w:r>
      <w:r w:rsidRPr="00EC737F">
        <w:rPr>
          <w:rStyle w:val="ab"/>
          <w:rFonts w:cs="Traditional Arabic"/>
          <w:sz w:val="28"/>
          <w:szCs w:val="32"/>
          <w:rtl/>
        </w:rPr>
        <w:footnoteReference w:id="13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$673 وجاء في المذكرة الإيضاحية للمشروع التمهيدي ، في شأن هذه النصوص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يؤخذ حق الاختصاص بمقتضى حكم موضعي ملزم بشيء معين ، فخرجت الأحكام التحضيرية ، والتمهيدية ، والأحكام الموضوعية غير الملزمة بشيء معين كالحكم برفض الدعوى  . . . ويجوز أخذ حق اختصاص بمقتضى حكم صادر من محكمة أجنبية إذا وضع عليه أمر التنفيذ </w:t>
      </w:r>
      <w:r>
        <w:rPr>
          <w:rFonts w:cs="Traditional Arabic"/>
          <w:sz w:val="28"/>
          <w:szCs w:val="32"/>
          <w:rtl/>
        </w:rPr>
        <w:t xml:space="preserve">( </w:t>
      </w:r>
      <w:r>
        <w:rPr>
          <w:rFonts w:cs="Traditional Arabic"/>
          <w:sz w:val="28"/>
          <w:szCs w:val="32"/>
        </w:rPr>
        <w:t>exequatur</w:t>
      </w:r>
      <w:r>
        <w:rPr>
          <w:rFonts w:cs="Traditional Arabic"/>
          <w:sz w:val="28"/>
          <w:szCs w:val="32"/>
          <w:rtl/>
        </w:rPr>
        <w:t xml:space="preserve"> )</w:t>
      </w:r>
      <w:r>
        <w:rPr>
          <w:rFonts w:cs="Traditional Arabic" w:hint="cs"/>
          <w:sz w:val="28"/>
          <w:szCs w:val="32"/>
          <w:rtl/>
        </w:rPr>
        <w:t xml:space="preserve"> ، كما يجوز أخذه بمقتضى قرار صادر من المحكمين متى وضع على القرار أمر التنفيذ من المحكمة . والاختصاص المأخوذ بناء على حكم بتقديم حساب يضمن التعويض المستحق بسبب تنفيذ الحكم ، لا ما عسى أن يظهر في ذمة المدين من رصيد الحساب"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ولا يؤخذ حق الاختصاص بناء على سند ، ولو كان رسمياً . أما الحكم الذي يثثبت صلحاً فهو يتراوح بين الحكم والسند الرسمي ، ولذلك كان الحق في أخذ اختصاص بمقتضاه محلا للنظر ، فقطع المشروع الشك في هذه المسألة وقرر جواز أخذ اختصاص بمقتضاه ، مجارياً في ذلك القضاء المصري . ولا يجوز أخذ اختصاص بناء على حكم يثبت إقراراً بصحة التوقيع ، أو على حكم صادر في دعوى تحقيق الخطوط الأصلية ، وإلا استطاع كل دائن أن يحصل على اختصاص قبل حلول الدين ، بأن يرفع دعوى أصلية بصحة التوقيع أو الختم"</w:t>
      </w:r>
      <w:r>
        <w:rPr>
          <w:rFonts w:cs="Traditional Arabic" w:hint="cs"/>
          <w:sz w:val="28"/>
          <w:szCs w:val="32"/>
          <w:vertAlign w:val="superscript"/>
          <w:rtl/>
        </w:rPr>
        <w:t xml:space="preserve">( </w:t>
      </w:r>
      <w:r w:rsidRPr="00EC737F">
        <w:rPr>
          <w:rStyle w:val="ab"/>
          <w:rFonts w:cs="Traditional Arabic"/>
          <w:sz w:val="28"/>
          <w:szCs w:val="32"/>
          <w:rtl/>
        </w:rPr>
        <w:footnoteReference w:id="136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ذلك أن الدائن ، حتى يحصل على اختصاص ، يجب أن يكون بيده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حكم قضائي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حكم صادر من محكمة أجنبية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قرار صادر من محكمين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$674 4- حكم يثبت صلحاً أو اتفاقاً تم بين الخصوم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لا حكم صادر بصحة التوقيع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 أن يكون الحكم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 صادراً في موضوع الدعوى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 ملزماً المدين بشيء معين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 لا اختصاص بعد وفاة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10- عدم نفاذ الاختصاص في حق الدائن السابق دينه على تسجيل صحيفة دعوى الإعسار .</w:t>
      </w:r>
    </w:p>
    <w:p w:rsidR="00F72742" w:rsidRPr="002725AB" w:rsidRDefault="00F72742" w:rsidP="00F72742">
      <w:pPr>
        <w:widowControl w:val="0"/>
        <w:spacing w:after="120"/>
        <w:jc w:val="center"/>
        <w:rPr>
          <w:rFonts w:cs="Traditional Arabic" w:hint="cs"/>
          <w:b/>
          <w:bCs/>
          <w:sz w:val="28"/>
          <w:szCs w:val="32"/>
          <w:rtl/>
        </w:rPr>
      </w:pPr>
      <w:r w:rsidRPr="002725AB">
        <w:rPr>
          <w:b/>
          <w:bCs/>
          <w:sz w:val="28"/>
          <w:szCs w:val="32"/>
          <w:rtl/>
        </w:rPr>
        <w:t>§</w:t>
      </w:r>
      <w:r w:rsidRPr="002725AB">
        <w:rPr>
          <w:rFonts w:cs="Traditional Arabic" w:hint="cs"/>
          <w:b/>
          <w:bCs/>
          <w:sz w:val="28"/>
          <w:szCs w:val="32"/>
          <w:rtl/>
        </w:rPr>
        <w:t xml:space="preserve"> 1- حكم قضائي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410- لا يؤخذ حق الاختصاص بسند ولو رسمي :</w:t>
      </w:r>
      <w:r>
        <w:rPr>
          <w:rFonts w:cs="Traditional Arabic" w:hint="cs"/>
          <w:sz w:val="28"/>
          <w:szCs w:val="32"/>
          <w:rtl/>
        </w:rPr>
        <w:t xml:space="preserve"> فلا بد ، لأخذ حق اختصاص ، من حكم قضائي . فالسند ، ولو كان سنداً رسمياً ، لا يخذ به حق اختصاص . ذلك أن السند ، ولو كان سنداً رسمياً ، لم يكن محلا للبحث أمام القضاء ، هو غير متوافرة فيه الضمانات المتوافرة في المسائل التي يبت فيها القضاء ويقرها</w:t>
      </w:r>
      <w:r>
        <w:rPr>
          <w:rFonts w:cs="Traditional Arabic" w:hint="cs"/>
          <w:sz w:val="28"/>
          <w:szCs w:val="32"/>
          <w:vertAlign w:val="superscript"/>
          <w:rtl/>
        </w:rPr>
        <w:t xml:space="preserve">( </w:t>
      </w:r>
      <w:r w:rsidRPr="00EC737F">
        <w:rPr>
          <w:rStyle w:val="ab"/>
          <w:rFonts w:cs="Traditional Arabic"/>
          <w:sz w:val="28"/>
          <w:szCs w:val="32"/>
          <w:rtl/>
        </w:rPr>
        <w:footnoteReference w:id="13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والسند ، ولو كان رسمياً ، يصلح كوثيقة للتنفيذ على المدين ، ولكن لا يجوز تقرير حق اختصاص بموجبه ، والقول بغير ذلك يهيئ لكل دائن حصل على تعهد المدين أمام الموثق أن يحصل على حق اختصاص دون مبرر</w:t>
      </w:r>
      <w:r>
        <w:rPr>
          <w:rFonts w:cs="Traditional Arabic" w:hint="cs"/>
          <w:sz w:val="28"/>
          <w:szCs w:val="32"/>
          <w:vertAlign w:val="superscript"/>
          <w:rtl/>
        </w:rPr>
        <w:t xml:space="preserve">( </w:t>
      </w:r>
      <w:r w:rsidRPr="00EC737F">
        <w:rPr>
          <w:rStyle w:val="ab"/>
          <w:rFonts w:cs="Traditional Arabic"/>
          <w:sz w:val="28"/>
          <w:szCs w:val="32"/>
          <w:rtl/>
        </w:rPr>
        <w:footnoteReference w:id="136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$675 </w:t>
      </w:r>
      <w:r>
        <w:rPr>
          <w:rFonts w:cs="Traditional Arabic" w:hint="cs"/>
          <w:b/>
          <w:bCs/>
          <w:sz w:val="28"/>
          <w:szCs w:val="32"/>
          <w:rtl/>
        </w:rPr>
        <w:t>411- لا يؤخذ حق الاختصاص بناء على أمر ولائي من محكمة :</w:t>
      </w:r>
      <w:r>
        <w:rPr>
          <w:rFonts w:cs="Traditional Arabic" w:hint="cs"/>
          <w:sz w:val="28"/>
          <w:szCs w:val="32"/>
          <w:rtl/>
        </w:rPr>
        <w:t xml:space="preserve"> كذلك لا يجوز أخذ حق اختصاص بناء على أمر ولائي ، أصدرته المحكمة بموجب سلطتها الولائية </w:t>
      </w:r>
      <w:r>
        <w:rPr>
          <w:rFonts w:cs="Traditional Arabic"/>
          <w:sz w:val="28"/>
          <w:szCs w:val="32"/>
          <w:rtl/>
        </w:rPr>
        <w:t xml:space="preserve">( </w:t>
      </w:r>
      <w:r>
        <w:rPr>
          <w:rFonts w:cs="Traditional Arabic"/>
          <w:sz w:val="28"/>
          <w:szCs w:val="32"/>
        </w:rPr>
        <w:t>juridistion grascicuse )</w:t>
      </w:r>
      <w:r w:rsidRPr="007836EB">
        <w:rPr>
          <w:rFonts w:cs="Traditional Arabic"/>
          <w:sz w:val="28"/>
          <w:szCs w:val="32"/>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370"/>
      </w:r>
      <w:r>
        <w:rPr>
          <w:rFonts w:cs="Traditional Arabic" w:hint="cs"/>
          <w:sz w:val="28"/>
          <w:szCs w:val="32"/>
          <w:vertAlign w:val="superscript"/>
          <w:rtl/>
        </w:rPr>
        <w:t xml:space="preserve"> )</w:t>
      </w:r>
      <w:r>
        <w:rPr>
          <w:rFonts w:cs="Traditional Arabic" w:hint="cs"/>
          <w:sz w:val="28"/>
          <w:szCs w:val="32"/>
          <w:rtl/>
        </w:rPr>
        <w:t xml:space="preserve"> .</w:t>
      </w:r>
    </w:p>
    <w:p w:rsidR="00F72742" w:rsidRPr="007836EB"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412- يؤخذ حق الاختصاص بموجب حكم صادر من جهة قضائية :</w:t>
      </w:r>
      <w:r>
        <w:rPr>
          <w:rFonts w:cs="Traditional Arabic" w:hint="cs"/>
          <w:sz w:val="28"/>
          <w:szCs w:val="32"/>
          <w:rtl/>
        </w:rPr>
        <w:t xml:space="preserve"> وإنما يؤخذ حق الاختصاص بناء على حكم صادر من جهة قضائية ، بموجب سلطتها القضائية </w:t>
      </w:r>
      <w:r>
        <w:rPr>
          <w:rFonts w:cs="Traditional Arabic"/>
          <w:sz w:val="28"/>
          <w:szCs w:val="32"/>
          <w:rtl/>
        </w:rPr>
        <w:t xml:space="preserve">( </w:t>
      </w:r>
      <w:r>
        <w:rPr>
          <w:rFonts w:cs="Traditional Arabic"/>
          <w:sz w:val="28"/>
          <w:szCs w:val="32"/>
        </w:rPr>
        <w:t>juridiction contenticuse</w:t>
      </w:r>
      <w:r>
        <w:rPr>
          <w:rFonts w:cs="Traditional Arabic"/>
          <w:sz w:val="28"/>
          <w:szCs w:val="32"/>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sidRPr="00AA669F">
        <w:rPr>
          <w:rFonts w:cs="Traditional Arabic" w:hint="cs"/>
          <w:sz w:val="28"/>
          <w:szCs w:val="32"/>
          <w:rtl/>
        </w:rPr>
        <w:t xml:space="preserve">فيجب </w:t>
      </w:r>
      <w:r>
        <w:rPr>
          <w:rFonts w:cs="Traditional Arabic" w:hint="cs"/>
          <w:sz w:val="28"/>
          <w:szCs w:val="32"/>
          <w:rtl/>
        </w:rPr>
        <w:t>أن يكون هناك نزاع مطروح أمام المحكمة ، تفصل فيه بموجب سلطتها القضائية . فتصدر حكماً هو الذي يؤخذ بموجبه حق الاختصاص ، وهذا هو الحكم القضائي</w:t>
      </w:r>
      <w:r>
        <w:rPr>
          <w:rFonts w:cs="Traditional Arabic" w:hint="cs"/>
          <w:sz w:val="28"/>
          <w:szCs w:val="32"/>
          <w:vertAlign w:val="superscript"/>
          <w:rtl/>
        </w:rPr>
        <w:t xml:space="preserve">( </w:t>
      </w:r>
      <w:r w:rsidRPr="00EC737F">
        <w:rPr>
          <w:rStyle w:val="ab"/>
          <w:rFonts w:cs="Traditional Arabic"/>
          <w:sz w:val="28"/>
          <w:szCs w:val="32"/>
          <w:rtl/>
        </w:rPr>
        <w:footnoteReference w:id="1371"/>
      </w:r>
      <w:r>
        <w:rPr>
          <w:rFonts w:cs="Traditional Arabic" w:hint="cs"/>
          <w:sz w:val="28"/>
          <w:szCs w:val="32"/>
          <w:vertAlign w:val="superscript"/>
          <w:rtl/>
        </w:rPr>
        <w:t xml:space="preserve"> )</w:t>
      </w:r>
      <w:r>
        <w:rPr>
          <w:rFonts w:cs="Traditional Arabic" w:hint="cs"/>
          <w:sz w:val="28"/>
          <w:szCs w:val="32"/>
          <w:rtl/>
        </w:rPr>
        <w:t xml:space="preserve"> .</w:t>
      </w:r>
      <w:r w:rsidRPr="00AA669F">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يهم بعد ذلك نوع المحكمة التي أصدرت الحكم ، فقد تكون محكمة مدنية أو تجارية أو جنائية</w:t>
      </w:r>
      <w:r>
        <w:rPr>
          <w:rFonts w:cs="Traditional Arabic" w:hint="cs"/>
          <w:sz w:val="28"/>
          <w:szCs w:val="32"/>
          <w:vertAlign w:val="superscript"/>
          <w:rtl/>
        </w:rPr>
        <w:t xml:space="preserve">( </w:t>
      </w:r>
      <w:r w:rsidRPr="00EC737F">
        <w:rPr>
          <w:rStyle w:val="ab"/>
          <w:rFonts w:cs="Traditional Arabic"/>
          <w:sz w:val="28"/>
          <w:szCs w:val="32"/>
          <w:rtl/>
        </w:rPr>
        <w:footnoteReference w:id="1372"/>
      </w:r>
      <w:r>
        <w:rPr>
          <w:rFonts w:cs="Traditional Arabic" w:hint="cs"/>
          <w:sz w:val="28"/>
          <w:szCs w:val="32"/>
          <w:vertAlign w:val="superscript"/>
          <w:rtl/>
        </w:rPr>
        <w:t xml:space="preserve"> )</w:t>
      </w:r>
      <w:r>
        <w:rPr>
          <w:rFonts w:cs="Traditional Arabic" w:hint="cs"/>
          <w:sz w:val="28"/>
          <w:szCs w:val="32"/>
          <w:rtl/>
        </w:rPr>
        <w:t xml:space="preserve"> ، وقد تكون محكمة شرعية أو ملية عند ما كانت هذه المحاكم موجودة ، بل قد تكون محكمة قنصلية عند وجود المحاكم القنصلية . وقد قضت محكمة الاستئناف المختلطة بأنه يجوز الحصول على $676 حق اختصاص بموجب حكم صادر في مصر من محكمة قنصلية في حدود اختصاصها ، كالحكم بالنفقة ، لأن المشرع المصري هو الذي وزع الاختصاص على هذه المحاكم ، ولأن النصوص المتعلقة بحق الاختصاص </w:t>
      </w:r>
      <w:r>
        <w:rPr>
          <w:rFonts w:cs="Traditional Arabic" w:hint="cs"/>
          <w:sz w:val="28"/>
          <w:szCs w:val="32"/>
          <w:rtl/>
        </w:rPr>
        <w:lastRenderedPageBreak/>
        <w:t>جاءت مطلقة دون تفرقة</w:t>
      </w:r>
      <w:r>
        <w:rPr>
          <w:rFonts w:cs="Traditional Arabic" w:hint="cs"/>
          <w:sz w:val="28"/>
          <w:szCs w:val="32"/>
          <w:vertAlign w:val="superscript"/>
          <w:rtl/>
        </w:rPr>
        <w:t xml:space="preserve">( </w:t>
      </w:r>
      <w:r w:rsidRPr="00EC737F">
        <w:rPr>
          <w:rStyle w:val="ab"/>
          <w:rFonts w:cs="Traditional Arabic"/>
          <w:sz w:val="28"/>
          <w:szCs w:val="32"/>
          <w:rtl/>
        </w:rPr>
        <w:footnoteReference w:id="13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jc w:val="center"/>
        <w:rPr>
          <w:rFonts w:cs="Traditional Arabic" w:hint="cs"/>
          <w:b/>
          <w:bCs/>
          <w:sz w:val="28"/>
          <w:szCs w:val="32"/>
          <w:rtl/>
        </w:rPr>
      </w:pPr>
    </w:p>
    <w:p w:rsidR="00F72742" w:rsidRPr="00D326D3"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D326D3">
        <w:rPr>
          <w:rFonts w:cs="Traditional Arabic" w:hint="cs"/>
          <w:b/>
          <w:bCs/>
          <w:sz w:val="28"/>
          <w:szCs w:val="32"/>
          <w:rtl/>
        </w:rPr>
        <w:t>2- حكم صادر من محكمة أجنبية</w:t>
      </w:r>
    </w:p>
    <w:p w:rsidR="00F72742" w:rsidRDefault="00F72742" w:rsidP="00F72742">
      <w:pPr>
        <w:widowControl w:val="0"/>
        <w:spacing w:after="120"/>
        <w:ind w:firstLine="567"/>
        <w:jc w:val="lowKashida"/>
        <w:rPr>
          <w:rFonts w:cs="Traditional Arabic" w:hint="cs"/>
          <w:sz w:val="28"/>
          <w:szCs w:val="32"/>
          <w:rtl/>
        </w:rPr>
      </w:pPr>
      <w:r w:rsidRPr="00101CF6">
        <w:rPr>
          <w:rFonts w:cs="Traditional Arabic" w:hint="cs"/>
          <w:b/>
          <w:bCs/>
          <w:sz w:val="28"/>
          <w:szCs w:val="32"/>
          <w:rtl/>
        </w:rPr>
        <w:t xml:space="preserve">413- يجوز أخذ </w:t>
      </w:r>
      <w:r>
        <w:rPr>
          <w:rFonts w:cs="Traditional Arabic" w:hint="cs"/>
          <w:b/>
          <w:bCs/>
          <w:sz w:val="28"/>
          <w:szCs w:val="32"/>
          <w:rtl/>
        </w:rPr>
        <w:t xml:space="preserve">حق الاختصاص بناء على حكم صادر من محكمة أجنبية : </w:t>
      </w:r>
      <w:r>
        <w:rPr>
          <w:rFonts w:cs="Traditional Arabic" w:hint="cs"/>
          <w:sz w:val="28"/>
          <w:szCs w:val="32"/>
          <w:rtl/>
        </w:rPr>
        <w:t>رأينا</w:t>
      </w:r>
      <w:r>
        <w:rPr>
          <w:rFonts w:cs="Traditional Arabic" w:hint="cs"/>
          <w:sz w:val="28"/>
          <w:szCs w:val="32"/>
          <w:vertAlign w:val="superscript"/>
          <w:rtl/>
        </w:rPr>
        <w:t xml:space="preserve">( </w:t>
      </w:r>
      <w:r w:rsidRPr="00EC737F">
        <w:rPr>
          <w:rStyle w:val="ab"/>
          <w:rFonts w:cs="Traditional Arabic"/>
          <w:sz w:val="28"/>
          <w:szCs w:val="32"/>
          <w:rtl/>
        </w:rPr>
        <w:footnoteReference w:id="1374"/>
      </w:r>
      <w:r>
        <w:rPr>
          <w:rFonts w:cs="Traditional Arabic" w:hint="cs"/>
          <w:sz w:val="28"/>
          <w:szCs w:val="32"/>
          <w:vertAlign w:val="superscript"/>
          <w:rtl/>
        </w:rPr>
        <w:t xml:space="preserve"> )</w:t>
      </w:r>
      <w:r>
        <w:rPr>
          <w:rFonts w:cs="Traditional Arabic" w:hint="cs"/>
          <w:sz w:val="28"/>
          <w:szCs w:val="32"/>
          <w:rtl/>
        </w:rPr>
        <w:t xml:space="preserve"> أن المادة 1086 مدني تنص على أنه "لا يجوز الحصول على حق اختصاص بناء على حكم صادر من محكمة أجنبية  . . . . إلا إذا أصبح الحكم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إذن يجوز الحصول على حق اختصاص بناء على حكم صادر من محكمة أجنبية ، بموجب سلطتها الفضائية لا سلطتها الولائية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ويشترط في الحكم أن يكون واجب التنفيذ ، وصادراً في موضوع الدعوى ، وملزماً المدين بشيء معين ، وذلك كالأحكام المصرية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فالحكم الصادر من محاكم السودان أو محاكم أي بلد عربي آخر ، حكم يجوز أخذ اختصاص بموجبه إذا توافرت الشروط المطلوبة ، وبوجه خاص إذا تم الحصول على أمر بالتنفيذ كما سيأتي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414- لابد للحكم الأجنبي من الحصول على أمر بالتنفيذ : </w:t>
      </w:r>
      <w:r w:rsidRPr="00EB209A">
        <w:rPr>
          <w:rFonts w:cs="Traditional Arabic" w:hint="cs"/>
          <w:sz w:val="28"/>
          <w:szCs w:val="32"/>
          <w:rtl/>
        </w:rPr>
        <w:t>والذي يميز الأحكام الصادرة من محاكم أجنبية عن الأحكام المصرية</w:t>
      </w:r>
      <w:r>
        <w:rPr>
          <w:rFonts w:cs="Traditional Arabic" w:hint="cs"/>
          <w:sz w:val="28"/>
          <w:szCs w:val="32"/>
          <w:rtl/>
        </w:rPr>
        <w:t xml:space="preserve"> ،</w:t>
      </w:r>
      <w:r w:rsidRPr="00EB209A">
        <w:rPr>
          <w:rFonts w:cs="Traditional Arabic" w:hint="cs"/>
          <w:sz w:val="28"/>
          <w:szCs w:val="32"/>
          <w:rtl/>
        </w:rPr>
        <w:t xml:space="preserve"> هو أن الأحكام الأجنبية لا بد</w:t>
      </w:r>
      <w:r>
        <w:rPr>
          <w:rFonts w:cs="Traditional Arabic" w:hint="cs"/>
          <w:sz w:val="28"/>
          <w:szCs w:val="32"/>
          <w:rtl/>
        </w:rPr>
        <w:t xml:space="preserve"> ،</w:t>
      </w:r>
      <w:r w:rsidRPr="00EB209A">
        <w:rPr>
          <w:rFonts w:cs="Traditional Arabic" w:hint="cs"/>
          <w:sz w:val="28"/>
          <w:szCs w:val="32"/>
          <w:rtl/>
        </w:rPr>
        <w:t xml:space="preserve"> قبل أن تكون صالحة لأني يطلب بموجبها الحصول $677</w:t>
      </w:r>
      <w:r>
        <w:rPr>
          <w:rFonts w:cs="Traditional Arabic" w:hint="cs"/>
          <w:sz w:val="28"/>
          <w:szCs w:val="32"/>
          <w:rtl/>
        </w:rPr>
        <w:t xml:space="preserve"> على حق اختصاص ، من أن تحصل على أمر بالتنفيذ </w:t>
      </w:r>
      <w:r>
        <w:rPr>
          <w:rFonts w:cs="Traditional Arabic"/>
          <w:sz w:val="28"/>
          <w:szCs w:val="32"/>
          <w:rtl/>
        </w:rPr>
        <w:t xml:space="preserve">( </w:t>
      </w:r>
      <w:r>
        <w:rPr>
          <w:rFonts w:cs="Traditional Arabic"/>
          <w:sz w:val="28"/>
          <w:szCs w:val="32"/>
        </w:rPr>
        <w:t>exequatur</w:t>
      </w:r>
      <w:r>
        <w:rPr>
          <w:rFonts w:cs="Traditional Arabic"/>
          <w:sz w:val="28"/>
          <w:szCs w:val="32"/>
          <w:rtl/>
        </w:rPr>
        <w:t xml:space="preserve"> )</w:t>
      </w:r>
      <w:r>
        <w:rPr>
          <w:rFonts w:cs="Traditional Arabic" w:hint="cs"/>
          <w:sz w:val="28"/>
          <w:szCs w:val="32"/>
          <w:rtl/>
        </w:rPr>
        <w:t xml:space="preserve"> ، وهذا الأمر هو ما يجب أن يحصل الحكم الأجنبي عليه حتى يكون نافذاً وسارياً في مصر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والرأي الراجح في القانون الدولي الخاص أنه لا يجوز ترتيب حق اختصاص بناء على حكم أجنبي لا يجيز قانون القاضي الذي أصدره أخذ حق اختصاص بموجبه . فيشترط ، تطبيقاً لذلك ، لتقرير حق </w:t>
      </w:r>
      <w:r>
        <w:rPr>
          <w:rFonts w:cs="Traditional Arabic" w:hint="cs"/>
          <w:sz w:val="28"/>
          <w:szCs w:val="32"/>
          <w:rtl/>
        </w:rPr>
        <w:lastRenderedPageBreak/>
        <w:t>اختصاص على عقار في مصر بموجب حكم أجنبي ، أن يكون قانون القاضي الذي أصدرت الحكم يعترف بنظام حق الاختصاص</w:t>
      </w:r>
      <w:r>
        <w:rPr>
          <w:rFonts w:cs="Traditional Arabic" w:hint="cs"/>
          <w:sz w:val="28"/>
          <w:szCs w:val="32"/>
          <w:vertAlign w:val="superscript"/>
          <w:rtl/>
        </w:rPr>
        <w:t xml:space="preserve">( </w:t>
      </w:r>
      <w:r w:rsidRPr="00EC737F">
        <w:rPr>
          <w:rStyle w:val="ab"/>
          <w:rFonts w:cs="Traditional Arabic"/>
          <w:sz w:val="28"/>
          <w:szCs w:val="32"/>
          <w:rtl/>
        </w:rPr>
        <w:footnoteReference w:id="1375"/>
      </w:r>
      <w:r>
        <w:rPr>
          <w:rFonts w:cs="Traditional Arabic" w:hint="cs"/>
          <w:sz w:val="28"/>
          <w:szCs w:val="32"/>
          <w:vertAlign w:val="superscript"/>
          <w:rtl/>
        </w:rPr>
        <w:t xml:space="preserve"> )</w:t>
      </w:r>
      <w:r>
        <w:rPr>
          <w:rFonts w:cs="Traditional Arabic" w:hint="cs"/>
          <w:sz w:val="28"/>
          <w:szCs w:val="32"/>
          <w:rtl/>
        </w:rPr>
        <w:t xml:space="preserve"> .</w:t>
      </w:r>
    </w:p>
    <w:p w:rsidR="00F72742" w:rsidRPr="00984B1F"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984B1F">
        <w:rPr>
          <w:rFonts w:cs="Traditional Arabic" w:hint="cs"/>
          <w:b/>
          <w:bCs/>
          <w:sz w:val="28"/>
          <w:szCs w:val="32"/>
          <w:rtl/>
        </w:rPr>
        <w:t>3- قرارات المحكمين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415- يجوز اخذ حق اختصاص بناء على قرار صادر من محكمين :</w:t>
      </w:r>
      <w:r>
        <w:rPr>
          <w:rFonts w:cs="Traditional Arabic" w:hint="cs"/>
          <w:sz w:val="28"/>
          <w:szCs w:val="32"/>
          <w:rtl/>
        </w:rPr>
        <w:t xml:space="preserve"> رأينا أيضاً</w:t>
      </w:r>
      <w:r>
        <w:rPr>
          <w:rFonts w:cs="Traditional Arabic" w:hint="cs"/>
          <w:sz w:val="28"/>
          <w:szCs w:val="32"/>
          <w:vertAlign w:val="superscript"/>
          <w:rtl/>
        </w:rPr>
        <w:t xml:space="preserve">( </w:t>
      </w:r>
      <w:r w:rsidRPr="00EC737F">
        <w:rPr>
          <w:rStyle w:val="ab"/>
          <w:rFonts w:cs="Traditional Arabic"/>
          <w:sz w:val="28"/>
          <w:szCs w:val="32"/>
          <w:rtl/>
        </w:rPr>
        <w:footnoteReference w:id="1376"/>
      </w:r>
      <w:r>
        <w:rPr>
          <w:rFonts w:cs="Traditional Arabic" w:hint="cs"/>
          <w:sz w:val="28"/>
          <w:szCs w:val="32"/>
          <w:vertAlign w:val="superscript"/>
          <w:rtl/>
        </w:rPr>
        <w:t xml:space="preserve"> )</w:t>
      </w:r>
      <w:r>
        <w:rPr>
          <w:rFonts w:cs="Traditional Arabic" w:hint="cs"/>
          <w:sz w:val="28"/>
          <w:szCs w:val="32"/>
          <w:rtl/>
        </w:rPr>
        <w:t xml:space="preserve"> . أن المادة 1086 مدني تنص على أنه "لا يجوز الحصول على حق اختصاص بناء على  . . . قرر صادر من محكمين ، إلا إذا أصبح  . . . . القرار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فالقرار الصادر من المحكمين ، كالحكم الصادر من محكمة أجنبية ، يمكن الحصول بموجبه على حق 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416- لابد في قرار المحكمين أن يصبح القرار واجب التنفيذ : </w:t>
      </w:r>
      <w:r>
        <w:rPr>
          <w:rFonts w:cs="Traditional Arabic" w:hint="cs"/>
          <w:sz w:val="28"/>
          <w:szCs w:val="32"/>
          <w:rtl/>
        </w:rPr>
        <w:t>وحتى يمكن الحصول على حق اختصاص بموجب قرار صادر من محكمين ، لا بد أن يكون القرار ، كما تقول المادة 1086 مدنين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$678 فلا بد إذن أن يكون قرار المحكمين قابلا للتنفيذ في مصر ، طبقاً لنصوص تقنين المرافعات وأحكامه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عالج تقنين المرافعات الجديد التحكيم في المواد 501 </w:t>
      </w:r>
      <w:r>
        <w:rPr>
          <w:rFonts w:cs="Traditional Arabic"/>
          <w:sz w:val="28"/>
          <w:szCs w:val="32"/>
          <w:rtl/>
        </w:rPr>
        <w:t>–</w:t>
      </w:r>
      <w:r>
        <w:rPr>
          <w:rFonts w:cs="Traditional Arabic" w:hint="cs"/>
          <w:sz w:val="28"/>
          <w:szCs w:val="32"/>
          <w:rtl/>
        </w:rPr>
        <w:t xml:space="preserve"> 512 ، فنص في المادة 509 منه على ما يأتي : </w:t>
      </w:r>
    </w:p>
    <w:p w:rsidR="00F72742" w:rsidRPr="00A102DE"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"لا يكون حكم المحكمين قابلا للتنفيذ إلا بأمر يصدره قاضي التنفيذ بالمحكمة التي أودع أصل الحكم قلم كتابها بناء على طلب أي من ذوي الشأن ، وذلك بعد الاطلاع على الحكم ووثيقة التحكيم ، </w:t>
      </w:r>
      <w:r>
        <w:rPr>
          <w:rFonts w:cs="Traditional Arabic" w:hint="cs"/>
          <w:sz w:val="28"/>
          <w:szCs w:val="32"/>
          <w:rtl/>
        </w:rPr>
        <w:lastRenderedPageBreak/>
        <w:t>وبعد التثبت من أنه لا يوجد ما يمنع من تنفيذه . ويختص القاضي المذكور بكل ما يتعلق بتنفيذ حكم المحكمين" .</w:t>
      </w:r>
    </w:p>
    <w:p w:rsidR="00F72742" w:rsidRPr="008C5BF3"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8C5BF3">
        <w:rPr>
          <w:rFonts w:cs="Traditional Arabic" w:hint="cs"/>
          <w:b/>
          <w:bCs/>
          <w:sz w:val="28"/>
          <w:szCs w:val="32"/>
          <w:rtl/>
        </w:rPr>
        <w:t>4- حكم يثبت صلحا أو اتفاقا تم بين الخصوم</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417- الحكم الذي يثبت الصلح أو الاتفاق يجوز بموجبه أخذ حق اختصاص :</w:t>
      </w:r>
      <w:r>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1377"/>
      </w:r>
      <w:r>
        <w:rPr>
          <w:rFonts w:cs="Traditional Arabic" w:hint="cs"/>
          <w:sz w:val="28"/>
          <w:szCs w:val="32"/>
          <w:vertAlign w:val="superscript"/>
          <w:rtl/>
        </w:rPr>
        <w:t xml:space="preserve"> )</w:t>
      </w:r>
      <w:r>
        <w:rPr>
          <w:rFonts w:cs="Traditional Arabic" w:hint="cs"/>
          <w:sz w:val="28"/>
          <w:szCs w:val="32"/>
          <w:rtl/>
        </w:rPr>
        <w:t xml:space="preserve"> أن المادة 1087 مدن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الحصول على حق اختصاص بناء على حكم يثبت صلحاً أو اتفاقاً تم بين الخصوم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418- حكم يثبت صلحا تم بين الخصوم :</w:t>
      </w:r>
      <w:r>
        <w:rPr>
          <w:rFonts w:cs="Traditional Arabic" w:hint="cs"/>
          <w:sz w:val="28"/>
          <w:szCs w:val="32"/>
          <w:rtl/>
        </w:rPr>
        <w:t xml:space="preserve"> والحكم الذي يثبت صلحاً تم بين الخصوم ، أي محاضرة الصلح </w:t>
      </w:r>
      <w:r>
        <w:rPr>
          <w:rFonts w:cs="Traditional Arabic"/>
          <w:sz w:val="28"/>
          <w:szCs w:val="32"/>
          <w:rtl/>
        </w:rPr>
        <w:t xml:space="preserve">( </w:t>
      </w:r>
      <w:r>
        <w:rPr>
          <w:rFonts w:cs="Traditional Arabic"/>
          <w:sz w:val="28"/>
          <w:szCs w:val="32"/>
        </w:rPr>
        <w:t>jugements convenus ou d'expedient ou d'accord</w:t>
      </w:r>
      <w:r>
        <w:rPr>
          <w:rFonts w:cs="Traditional Arabic"/>
          <w:sz w:val="28"/>
          <w:szCs w:val="32"/>
          <w:rtl/>
        </w:rPr>
        <w:t xml:space="preserve"> )</w:t>
      </w:r>
      <w:r>
        <w:rPr>
          <w:rFonts w:cs="Traditional Arabic" w:hint="cs"/>
          <w:sz w:val="28"/>
          <w:szCs w:val="32"/>
          <w:rtl/>
        </w:rPr>
        <w:t xml:space="preserve"> ، اختلف الرأي فيه ، والرأي الراجح هو أن هذا الحكم يعطي الحق في الحصول على حق اختصاص</w:t>
      </w:r>
      <w:r>
        <w:rPr>
          <w:rFonts w:cs="Traditional Arabic" w:hint="cs"/>
          <w:sz w:val="28"/>
          <w:szCs w:val="32"/>
          <w:vertAlign w:val="superscript"/>
          <w:rtl/>
        </w:rPr>
        <w:t xml:space="preserve">( </w:t>
      </w:r>
      <w:r w:rsidRPr="00EC737F">
        <w:rPr>
          <w:rStyle w:val="ab"/>
          <w:rFonts w:cs="Traditional Arabic"/>
          <w:sz w:val="28"/>
          <w:szCs w:val="32"/>
          <w:rtl/>
        </w:rPr>
        <w:footnoteReference w:id="13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$679 وقد نص التقنين المدني الجديد ( م 1087 مدني ) على جواز الحصول على حق اختصاص بموجب حكم يثبت صلحاً تم بين الخصوم ، ما رأينا . وقالت المذكرة الإيضاحية للمشروع التمهيدي في </w:t>
      </w:r>
      <w:r>
        <w:rPr>
          <w:rFonts w:cs="Traditional Arabic" w:hint="cs"/>
          <w:sz w:val="28"/>
          <w:szCs w:val="32"/>
          <w:rtl/>
        </w:rPr>
        <w:lastRenderedPageBreak/>
        <w:t>هذا الخصوص : "أما الحكم الذي يثبت صلحاً فهو يتراوح بين الحكم والسند الرسمي ، ولذلك كان الحق في أخذ اختصاص بمقتضاه محلا للنظر ، فقطع المشروع الشك في هذه ، وقرر جواز أخذ اختصص بمقتضاه ، مجارياً في ذلك القضاء المصري"</w:t>
      </w:r>
      <w:r>
        <w:rPr>
          <w:rFonts w:cs="Traditional Arabic" w:hint="cs"/>
          <w:sz w:val="28"/>
          <w:szCs w:val="32"/>
          <w:vertAlign w:val="superscript"/>
          <w:rtl/>
        </w:rPr>
        <w:t xml:space="preserve">( </w:t>
      </w:r>
      <w:r w:rsidRPr="00EC737F">
        <w:rPr>
          <w:rStyle w:val="ab"/>
          <w:rFonts w:cs="Traditional Arabic"/>
          <w:sz w:val="28"/>
          <w:szCs w:val="32"/>
          <w:rtl/>
        </w:rPr>
        <w:footnoteReference w:id="13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419- حكم يثبت اتفاقا تم بين الخصوم : </w:t>
      </w:r>
      <w:r>
        <w:rPr>
          <w:rFonts w:cs="Traditional Arabic" w:hint="cs"/>
          <w:sz w:val="28"/>
          <w:szCs w:val="32"/>
          <w:rtl/>
        </w:rPr>
        <w:t>والحكم الذي يثبت اتفاقاً تم بين الخصوم ، كالحكم الذي يثبت صلحاً ، يجوز الحصول على أمر اختصاص بموجبه . وقد نصت المادة 1087 مدني على أنه "يجوز الحصول على حق اختصاص بناء على حكم يثبت  . . . اتفاقاً بين الخصوم"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فالإعلام الشرعي الشامل لتعهد المدين بدفع مبلغ معين لدائنه ، هو عقد قضائي يعتبر حكماً حقيقياً نافذاً ، ويكفي للحصول على حق اختصاص</w:t>
      </w:r>
      <w:r>
        <w:rPr>
          <w:rFonts w:cs="Traditional Arabic" w:hint="cs"/>
          <w:sz w:val="28"/>
          <w:szCs w:val="32"/>
          <w:vertAlign w:val="superscript"/>
          <w:rtl/>
        </w:rPr>
        <w:t xml:space="preserve">( </w:t>
      </w:r>
      <w:r w:rsidRPr="00EC737F">
        <w:rPr>
          <w:rStyle w:val="ab"/>
          <w:rFonts w:cs="Traditional Arabic"/>
          <w:sz w:val="28"/>
          <w:szCs w:val="32"/>
          <w:rtl/>
        </w:rPr>
        <w:footnoteReference w:id="138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$680 وقد قضت محكمة الاستئناف المختلطة بأن اختصاص الدائن بعقارات مدينة يجوز طلبه بناء على كشف بالمصروفات محرر من المحكمة الشرعية بشكل تنفيذي عقب إعلان شرعي صادر منها ، وكل معارضة في تقرير هذه المصروفات يكون النظر فيها من اختصاص القاضي الشرعي لا من اختصاص المحكمة ، التي ليس لها سوى أن تبحث ما إذا كان طالب الاختصاص بيده حكم أم لا</w:t>
      </w:r>
      <w:r>
        <w:rPr>
          <w:rFonts w:cs="Traditional Arabic" w:hint="cs"/>
          <w:sz w:val="28"/>
          <w:szCs w:val="32"/>
          <w:vertAlign w:val="superscript"/>
          <w:rtl/>
        </w:rPr>
        <w:t xml:space="preserve">( </w:t>
      </w:r>
      <w:r w:rsidRPr="00EC737F">
        <w:rPr>
          <w:rStyle w:val="ab"/>
          <w:rFonts w:cs="Traditional Arabic"/>
          <w:sz w:val="28"/>
          <w:szCs w:val="32"/>
          <w:rtl/>
        </w:rPr>
        <w:footnoteReference w:id="138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وبوجه عام ، الحكم الذي يصدق على أي اتفاق يتم بين الخصوم ، كإثبات قسمة ودية اتفق عليها </w:t>
      </w:r>
      <w:r>
        <w:rPr>
          <w:rFonts w:cs="Traditional Arabic" w:hint="cs"/>
          <w:sz w:val="28"/>
          <w:szCs w:val="32"/>
          <w:rtl/>
        </w:rPr>
        <w:lastRenderedPageBreak/>
        <w:t>الشركاء ، يجوز بموجبه الحصول على حق اختصاص</w:t>
      </w:r>
      <w:r>
        <w:rPr>
          <w:rFonts w:cs="Traditional Arabic" w:hint="cs"/>
          <w:sz w:val="28"/>
          <w:szCs w:val="32"/>
          <w:vertAlign w:val="superscript"/>
          <w:rtl/>
        </w:rPr>
        <w:t xml:space="preserve">( </w:t>
      </w:r>
      <w:r w:rsidRPr="00EC737F">
        <w:rPr>
          <w:rStyle w:val="ab"/>
          <w:rFonts w:cs="Traditional Arabic"/>
          <w:sz w:val="28"/>
          <w:szCs w:val="32"/>
          <w:rtl/>
        </w:rPr>
        <w:footnoteReference w:id="1382"/>
      </w:r>
      <w:r>
        <w:rPr>
          <w:rFonts w:cs="Traditional Arabic" w:hint="cs"/>
          <w:sz w:val="28"/>
          <w:szCs w:val="32"/>
          <w:vertAlign w:val="superscript"/>
          <w:rtl/>
        </w:rPr>
        <w:t xml:space="preserve"> )</w:t>
      </w:r>
      <w:r>
        <w:rPr>
          <w:rFonts w:cs="Traditional Arabic" w:hint="cs"/>
          <w:sz w:val="28"/>
          <w:szCs w:val="32"/>
          <w:rtl/>
        </w:rPr>
        <w:t xml:space="preserve"> .</w:t>
      </w:r>
    </w:p>
    <w:p w:rsidR="00F72742" w:rsidRPr="00AC3D0B"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AC3D0B">
        <w:rPr>
          <w:rFonts w:cs="Traditional Arabic" w:hint="cs"/>
          <w:b/>
          <w:bCs/>
          <w:sz w:val="28"/>
          <w:szCs w:val="32"/>
          <w:rtl/>
        </w:rPr>
        <w:t>5- الحكم الصادر بصحة التوقيع</w:t>
      </w:r>
    </w:p>
    <w:p w:rsidR="00F72742" w:rsidRPr="00AC3D0B" w:rsidRDefault="00F72742" w:rsidP="00F72742">
      <w:pPr>
        <w:widowControl w:val="0"/>
        <w:spacing w:after="120"/>
        <w:jc w:val="center"/>
        <w:rPr>
          <w:rFonts w:cs="Traditional Arabic" w:hint="cs"/>
          <w:b/>
          <w:bCs/>
          <w:sz w:val="28"/>
          <w:szCs w:val="32"/>
          <w:rtl/>
        </w:rPr>
      </w:pPr>
      <w:r w:rsidRPr="00AC3D0B">
        <w:rPr>
          <w:rFonts w:cs="Traditional Arabic" w:hint="cs"/>
          <w:b/>
          <w:bCs/>
          <w:sz w:val="28"/>
          <w:szCs w:val="32"/>
          <w:rtl/>
        </w:rPr>
        <w:t>يؤخذ به حق 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420- النص القانوني والمذكرة الإيضاحية : </w:t>
      </w:r>
      <w:r>
        <w:rPr>
          <w:rFonts w:cs="Traditional Arabic" w:hint="cs"/>
          <w:sz w:val="28"/>
          <w:szCs w:val="32"/>
          <w:rtl/>
        </w:rPr>
        <w:t>رأينا</w:t>
      </w:r>
      <w:r>
        <w:rPr>
          <w:rFonts w:cs="Traditional Arabic" w:hint="cs"/>
          <w:sz w:val="28"/>
          <w:szCs w:val="32"/>
          <w:vertAlign w:val="superscript"/>
          <w:rtl/>
        </w:rPr>
        <w:t xml:space="preserve">( </w:t>
      </w:r>
      <w:r w:rsidRPr="00EC737F">
        <w:rPr>
          <w:rStyle w:val="ab"/>
          <w:rFonts w:cs="Traditional Arabic"/>
          <w:sz w:val="28"/>
          <w:szCs w:val="32"/>
          <w:rtl/>
        </w:rPr>
        <w:footnoteReference w:id="1383"/>
      </w:r>
      <w:r>
        <w:rPr>
          <w:rFonts w:cs="Traditional Arabic" w:hint="cs"/>
          <w:sz w:val="28"/>
          <w:szCs w:val="32"/>
          <w:vertAlign w:val="superscript"/>
          <w:rtl/>
        </w:rPr>
        <w:t xml:space="preserve"> )</w:t>
      </w:r>
      <w:r>
        <w:rPr>
          <w:rFonts w:cs="Traditional Arabic" w:hint="cs"/>
          <w:sz w:val="28"/>
          <w:szCs w:val="32"/>
          <w:rtl/>
        </w:rPr>
        <w:t xml:space="preserve"> أن المادة 1087 مدني تنص على ما يأتي : " . . . ولكن لا يجوز الحصول على حق اختصاص بناء على حكم صادر بصحة التوقيع"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w:t>
      </w:r>
      <w:r>
        <w:rPr>
          <w:rFonts w:cs="Traditional Arabic" w:hint="cs"/>
          <w:sz w:val="28"/>
          <w:szCs w:val="32"/>
          <w:vertAlign w:val="superscript"/>
          <w:rtl/>
        </w:rPr>
        <w:t xml:space="preserve">( </w:t>
      </w:r>
      <w:r w:rsidRPr="00EC737F">
        <w:rPr>
          <w:rStyle w:val="ab"/>
          <w:rFonts w:cs="Traditional Arabic"/>
          <w:sz w:val="28"/>
          <w:szCs w:val="32"/>
          <w:rtl/>
        </w:rPr>
        <w:footnoteReference w:id="1384"/>
      </w:r>
      <w:r>
        <w:rPr>
          <w:rFonts w:cs="Traditional Arabic" w:hint="cs"/>
          <w:sz w:val="28"/>
          <w:szCs w:val="32"/>
          <w:vertAlign w:val="superscript"/>
          <w:rtl/>
        </w:rPr>
        <w:t xml:space="preserve"> )</w:t>
      </w:r>
      <w:r>
        <w:rPr>
          <w:rFonts w:cs="Traditional Arabic" w:hint="cs"/>
          <w:sz w:val="28"/>
          <w:szCs w:val="32"/>
          <w:rtl/>
        </w:rPr>
        <w:t xml:space="preserve"> : "ولا يجوز أخذ اختصاص بناء على حكم يثبت إقراراً بصحة التوقيع ، أو على حكم صادر في دعوى تحقيق الخطوط الأصلية ، وإلا استطاع كل دائن أن $681 يحصل على اختصاص قبل حلول الدين بأن يرفع دعوى أصلية بصحة التوقيع أو الختم"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421- الحالة في عهد التقنين المدني القديم : </w:t>
      </w:r>
      <w:r>
        <w:rPr>
          <w:rFonts w:cs="Traditional Arabic" w:hint="cs"/>
          <w:sz w:val="28"/>
          <w:szCs w:val="32"/>
          <w:rtl/>
        </w:rPr>
        <w:t>وقد اختلف ، في عهد التقنين المدني القديم ، فيما إذا كانت الأحكام الصادرة بصحة التوقيع أو الختم ، سواء كانت صادرة بناء إقرار من الخصم أو بعد اتخاذ إجراءات التحقيق في الدعوى الأصلية لتحقيق الخطوط ، يجوز الحصول بموجبها على حق 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قضي القانون الفرنسي ( م 2123 مدني فرنسي ) بترتيب الرهن القضائي على هذه الأحكام ، وكانت المادة 682 مدني مختلط تنص على مثل ذلك فيما يتعلق بالرهن لاقضائي قبل إلغائه . ولكن الرأي الذي رجح ، في عهد التقنين المدني القديم ، أنه لا يجوز الحصول على حق اختصاص بموجب هذه الأحكام ، لأنه لم يأت نص خاص بذلك ، ولأن هذه الأحكام لا تلزم أحد الخصوم بشيء معين ، ولا بد </w:t>
      </w:r>
      <w:r>
        <w:rPr>
          <w:rFonts w:cs="Traditional Arabic" w:hint="cs"/>
          <w:sz w:val="28"/>
          <w:szCs w:val="32"/>
          <w:rtl/>
        </w:rPr>
        <w:lastRenderedPageBreak/>
        <w:t>من استصدار حكم آخر بالدين</w:t>
      </w:r>
      <w:r>
        <w:rPr>
          <w:rFonts w:cs="Traditional Arabic" w:hint="cs"/>
          <w:sz w:val="28"/>
          <w:szCs w:val="32"/>
          <w:vertAlign w:val="superscript"/>
          <w:rtl/>
        </w:rPr>
        <w:t xml:space="preserve">( </w:t>
      </w:r>
      <w:r w:rsidRPr="00EC737F">
        <w:rPr>
          <w:rStyle w:val="ab"/>
          <w:rFonts w:cs="Traditional Arabic"/>
          <w:sz w:val="28"/>
          <w:szCs w:val="32"/>
          <w:rtl/>
        </w:rPr>
        <w:footnoteReference w:id="13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422- الحالة في عهد التقنين المدني الجديد : </w:t>
      </w:r>
      <w:r>
        <w:rPr>
          <w:rFonts w:cs="Traditional Arabic" w:hint="cs"/>
          <w:sz w:val="28"/>
          <w:szCs w:val="32"/>
          <w:rtl/>
        </w:rPr>
        <w:t>وقد أخذ التقنين المدني الجديد بهذا الرأي الراجح ، كما رأينا ، في المادة 1087 مدني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فلا يجوز الحصول على حق اختصاص بناء على حكم صادر بصحة التوقيع ، سواء باعتراف الخصم أو عقب إجراء التحقيقات في دعوى أصلية لتحقيق الخطوط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$682 ولو أمكن الحصول على حق اختصاص بموجب هذا الحكم ، لأمكن ، كما تقول المذكرة الإيضاحية للمشروع التمهيدي فيما وأقرته لجنة المراجعة ، لكل دائن عادي الحصول على حق اختصاص قبل حلول الدين ، بأن يرفع دعوى أصلية بصحة التوقيع أو الختم</w:t>
      </w:r>
      <w:r>
        <w:rPr>
          <w:rFonts w:cs="Traditional Arabic" w:hint="cs"/>
          <w:sz w:val="28"/>
          <w:szCs w:val="32"/>
          <w:vertAlign w:val="superscript"/>
          <w:rtl/>
        </w:rPr>
        <w:t xml:space="preserve">( </w:t>
      </w:r>
      <w:r w:rsidRPr="00EC737F">
        <w:rPr>
          <w:rStyle w:val="ab"/>
          <w:rFonts w:cs="Traditional Arabic"/>
          <w:sz w:val="28"/>
          <w:szCs w:val="32"/>
          <w:rtl/>
        </w:rPr>
        <w:footnoteReference w:id="1386"/>
      </w:r>
      <w:r>
        <w:rPr>
          <w:rFonts w:cs="Traditional Arabic" w:hint="cs"/>
          <w:sz w:val="28"/>
          <w:szCs w:val="32"/>
          <w:vertAlign w:val="superscript"/>
          <w:rtl/>
        </w:rPr>
        <w:t xml:space="preserve"> )</w:t>
      </w:r>
      <w:r>
        <w:rPr>
          <w:rFonts w:cs="Traditional Arabic" w:hint="cs"/>
          <w:sz w:val="28"/>
          <w:szCs w:val="32"/>
          <w:rtl/>
        </w:rPr>
        <w:t xml:space="preserve"> .</w:t>
      </w:r>
    </w:p>
    <w:p w:rsidR="00F72742" w:rsidRPr="00507E19"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507E19">
        <w:rPr>
          <w:rFonts w:cs="Traditional Arabic" w:hint="cs"/>
          <w:b/>
          <w:bCs/>
          <w:sz w:val="28"/>
          <w:szCs w:val="32"/>
          <w:rtl/>
        </w:rPr>
        <w:t>6- لابد أن يكون الحكم واجب التنفيذ</w:t>
      </w:r>
    </w:p>
    <w:p w:rsidR="00F72742" w:rsidRPr="00507E19" w:rsidRDefault="00F72742" w:rsidP="00F72742">
      <w:pPr>
        <w:widowControl w:val="0"/>
        <w:spacing w:after="120"/>
        <w:jc w:val="center"/>
        <w:rPr>
          <w:rFonts w:cs="Traditional Arabic" w:hint="cs"/>
          <w:b/>
          <w:bCs/>
          <w:sz w:val="28"/>
          <w:szCs w:val="32"/>
          <w:rtl/>
        </w:rPr>
      </w:pPr>
      <w:r w:rsidRPr="00507E19">
        <w:rPr>
          <w:rFonts w:cs="Traditional Arabic" w:hint="cs"/>
          <w:b/>
          <w:bCs/>
          <w:sz w:val="28"/>
          <w:szCs w:val="32"/>
          <w:rtl/>
        </w:rPr>
        <w:t>حتى يؤخذ به حق 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423- تاريخ المسألة : </w:t>
      </w:r>
      <w:r>
        <w:rPr>
          <w:rFonts w:cs="Traditional Arabic" w:hint="cs"/>
          <w:sz w:val="28"/>
          <w:szCs w:val="32"/>
          <w:rtl/>
        </w:rPr>
        <w:t>كمان التقنين المدني السابق لا يشترط في أخذ حق الاختصاص إلا بعد صدور حكم ، ولو كان الحكم ابتدائياً ، بل لو كان غيابياً . وكان الاختصاص يزول إذا ألغت المحكمة الاستئنافية الحكم الابتدائي</w:t>
      </w:r>
      <w:r>
        <w:rPr>
          <w:rFonts w:cs="Traditional Arabic" w:hint="cs"/>
          <w:sz w:val="28"/>
          <w:szCs w:val="32"/>
          <w:vertAlign w:val="superscript"/>
          <w:rtl/>
        </w:rPr>
        <w:t xml:space="preserve">( </w:t>
      </w:r>
      <w:r w:rsidRPr="00EC737F">
        <w:rPr>
          <w:rStyle w:val="ab"/>
          <w:rFonts w:cs="Traditional Arabic"/>
          <w:sz w:val="28"/>
          <w:szCs w:val="32"/>
          <w:rtl/>
        </w:rPr>
        <w:footnoteReference w:id="1387"/>
      </w:r>
      <w:r>
        <w:rPr>
          <w:rFonts w:cs="Traditional Arabic" w:hint="cs"/>
          <w:sz w:val="28"/>
          <w:szCs w:val="32"/>
          <w:vertAlign w:val="superscript"/>
          <w:rtl/>
        </w:rPr>
        <w:t xml:space="preserve"> )</w:t>
      </w:r>
      <w:r>
        <w:rPr>
          <w:rFonts w:cs="Traditional Arabic" w:hint="cs"/>
          <w:sz w:val="28"/>
          <w:szCs w:val="32"/>
          <w:rtl/>
        </w:rPr>
        <w:t xml:space="preserve"> ، أو إذا ألغي الحكم الغيابي في المعارضة أو سقط بمضي ستة أشهر م </w:t>
      </w:r>
      <w:r>
        <w:rPr>
          <w:rFonts w:cs="Traditional Arabic" w:hint="cs"/>
          <w:sz w:val="28"/>
          <w:szCs w:val="32"/>
          <w:rtl/>
        </w:rPr>
        <w:lastRenderedPageBreak/>
        <w:t>تاريخ صدوره دون أن ينفذ</w:t>
      </w:r>
      <w:r>
        <w:rPr>
          <w:rFonts w:cs="Traditional Arabic" w:hint="cs"/>
          <w:sz w:val="28"/>
          <w:szCs w:val="32"/>
          <w:vertAlign w:val="superscript"/>
          <w:rtl/>
        </w:rPr>
        <w:t xml:space="preserve">( </w:t>
      </w:r>
      <w:r w:rsidRPr="00EC737F">
        <w:rPr>
          <w:rStyle w:val="ab"/>
          <w:rFonts w:cs="Traditional Arabic"/>
          <w:sz w:val="28"/>
          <w:szCs w:val="32"/>
          <w:rtl/>
        </w:rPr>
        <w:footnoteReference w:id="13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وتقدم مشروع التقنين المدني الجديد ، محافظاً على هذا المبدأ ، لأن الاختصاص إجراء تحفظي يفيد الدائن ، ولا يضر المدين ما دام مصيره يتبع مصير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لجنة مجلس الشيوخ رأت ، بعد عدة جلسات وبعد أن تم الاعتراض على حق الاختصاص ذاته وأريد إلغاؤه ، أن تشترط في الحكم أن يكون واجب التنفيذ ، وقالت في تبرير ذلك : "إن الغرض منه ألا يكون هناك مجال لتفضيل الدائنين فيها بينهم بمجرد المبادرة إلى رفع الدعوى ، بل $683 تكون الأفضلية للدائن الذي يملك التنفيذ ، ويكون حق الاختصاص بمثابة ضمان للدائن في استياء دينه ، وأداة تيسير بالنسبة إلى المدين لأن من يحصل على حق اختصاص قد يرتضي إرجاء التنفيذ ما دام قد أمن بالاختصاص على حقه"</w:t>
      </w:r>
      <w:r>
        <w:rPr>
          <w:rFonts w:cs="Traditional Arabic" w:hint="cs"/>
          <w:sz w:val="28"/>
          <w:szCs w:val="32"/>
          <w:vertAlign w:val="superscript"/>
          <w:rtl/>
        </w:rPr>
        <w:t xml:space="preserve">( </w:t>
      </w:r>
      <w:r w:rsidRPr="00EC737F">
        <w:rPr>
          <w:rStyle w:val="ab"/>
          <w:rFonts w:cs="Traditional Arabic"/>
          <w:sz w:val="28"/>
          <w:szCs w:val="32"/>
          <w:rtl/>
        </w:rPr>
        <w:footnoteReference w:id="138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424- التقنين الحالي </w:t>
      </w:r>
      <w:r>
        <w:rPr>
          <w:rFonts w:cs="Traditional Arabic"/>
          <w:b/>
          <w:bCs/>
          <w:sz w:val="28"/>
          <w:szCs w:val="32"/>
          <w:rtl/>
        </w:rPr>
        <w:t>–</w:t>
      </w:r>
      <w:r>
        <w:rPr>
          <w:rFonts w:cs="Traditional Arabic" w:hint="cs"/>
          <w:b/>
          <w:bCs/>
          <w:sz w:val="28"/>
          <w:szCs w:val="32"/>
          <w:rtl/>
        </w:rPr>
        <w:t xml:space="preserve"> يجب أن يكون الحكم واجب التنفيذ : </w:t>
      </w:r>
      <w:r>
        <w:rPr>
          <w:rFonts w:cs="Traditional Arabic" w:hint="cs"/>
          <w:sz w:val="28"/>
          <w:szCs w:val="32"/>
          <w:rtl/>
        </w:rPr>
        <w:t>وعلى ذلك يجب ، في التقنين الحالي ، أن يكون الحكم ، للحصول على حق اختصاص بموجبه ،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ذلك في 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الحالة الأولى ) إذا كان الحكم انتهائياً ، بأن استنفدت فيه مواعيد الطعن العادية ، أو كان غير قابل للطعن بطريق عادي . فيجوز الحصول على حق اختصاص بموجب حكم استؤنف فأصبح نهائياً ، أو سقط حق الطعن فيه بالاستئناف . ولا يمنع الحصول على حق اختصاص جواز الطعن في الحكم بالنقض أو بالتماس إعادة النظر ، ولكن يزول حق الاختصاص إذا طعن في الحكم بأحد هذين الطريقين وقضي بقبول الطعن . ويمتنع الحصول على حق اختصاص بموجب حكم ، قضت فيه محكمة النقض بوقف التنفيذ</w:t>
      </w:r>
      <w:r>
        <w:rPr>
          <w:rFonts w:cs="Traditional Arabic" w:hint="cs"/>
          <w:sz w:val="28"/>
          <w:szCs w:val="32"/>
          <w:vertAlign w:val="superscript"/>
          <w:rtl/>
        </w:rPr>
        <w:t xml:space="preserve">( </w:t>
      </w:r>
      <w:r w:rsidRPr="00EC737F">
        <w:rPr>
          <w:rStyle w:val="ab"/>
          <w:rFonts w:cs="Traditional Arabic"/>
          <w:sz w:val="28"/>
          <w:szCs w:val="32"/>
          <w:rtl/>
        </w:rPr>
        <w:footnoteReference w:id="13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الحالة الثانية ) إذا كان الحكم ليس انتهائياً ، ولكنه مشمول بالنفاذ المعجل . على أنه إذا ألغي هذا الحكم ، سقط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425- تضارب آراء الفقهاء في هذا التجديد : </w:t>
      </w:r>
      <w:r>
        <w:rPr>
          <w:rFonts w:cs="Traditional Arabic" w:hint="cs"/>
          <w:sz w:val="28"/>
          <w:szCs w:val="32"/>
          <w:rtl/>
        </w:rPr>
        <w:t>وقد تضاربت آراء الفقهاء المصريين في التجديد الذي يقضي بوجوب أن يكون الحكم واجب التنفيذ حتى يمكن الحصول بموجبه على حق اختصاص ، وننقل هنا بعضاً من هذه الآراء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$684 قالا الأستاذ سليمان مرقس</w:t>
      </w:r>
      <w:r>
        <w:rPr>
          <w:rFonts w:cs="Traditional Arabic" w:hint="cs"/>
          <w:sz w:val="28"/>
          <w:szCs w:val="32"/>
          <w:vertAlign w:val="superscript"/>
          <w:rtl/>
        </w:rPr>
        <w:t xml:space="preserve">( </w:t>
      </w:r>
      <w:r w:rsidRPr="00EC737F">
        <w:rPr>
          <w:rStyle w:val="ab"/>
          <w:rFonts w:cs="Traditional Arabic"/>
          <w:sz w:val="28"/>
          <w:szCs w:val="32"/>
          <w:rtl/>
        </w:rPr>
        <w:footnoteReference w:id="1391"/>
      </w:r>
      <w:r>
        <w:rPr>
          <w:rFonts w:cs="Traditional Arabic" w:hint="cs"/>
          <w:sz w:val="28"/>
          <w:szCs w:val="32"/>
          <w:vertAlign w:val="superscript"/>
          <w:rtl/>
        </w:rPr>
        <w:t xml:space="preserve"> )</w:t>
      </w:r>
      <w:r>
        <w:rPr>
          <w:rFonts w:cs="Traditional Arabic" w:hint="cs"/>
          <w:sz w:val="28"/>
          <w:szCs w:val="32"/>
          <w:rtl/>
        </w:rPr>
        <w:t xml:space="preserve"> : "وفي رأي أن هذا التعديل قضي على أهم مزية لحق الاختصاص ، ذلك أنه بعد أن نظم التقنين الجديد حماية دائني الشخص الذي شهر إعساره بأن جعل تصرفات هذا الشخص في أمواله  . . . غير نافذة في حق دائنيه السابقين على شهر الإعسار ، اقتصرت فائدة الاختصاص على الحالة التي لا يكون فيها المدين معسراً . وفي هذه الحالة لا تكون لمزية التقدم الت تترتب على حق الاختصاص فائدة تذكر  . . . فإذا اشترط لأخذ الاختصاص والانتفاع بمزية التتبع أن يكون الحكم الذي حصل عليه الدائن واجب التنفيذ ، لم تعد للاختصاص أية مزية عملية ، لأن الدائن الذي يملك التنفيذ يستطيع أن يستغني عن حق الاختصاص بالتنبيه على المدين بالوفاء وبتسجيل هذا التنبيه ، فيمنع نفاذ تصرفات المدين في حقه . . . . وإنما كان الدائن يستطيع أن يجد في حق الاختصاص فائدة لا يغنيه عنها شيء آخر ، لو أنه أجيز له أخذ الاختصاص بمجرد حصوله على الحكم ، وقبل أن يصبح الحكم واجب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وقال الأستاذ شمس الدين الوكيل</w:t>
      </w:r>
      <w:r>
        <w:rPr>
          <w:rFonts w:cs="Traditional Arabic" w:hint="cs"/>
          <w:sz w:val="28"/>
          <w:szCs w:val="32"/>
          <w:vertAlign w:val="superscript"/>
          <w:rtl/>
        </w:rPr>
        <w:t xml:space="preserve">( </w:t>
      </w:r>
      <w:r w:rsidRPr="00EC737F">
        <w:rPr>
          <w:rStyle w:val="ab"/>
          <w:rFonts w:cs="Traditional Arabic"/>
          <w:sz w:val="28"/>
          <w:szCs w:val="32"/>
          <w:rtl/>
        </w:rPr>
        <w:footnoteReference w:id="1392"/>
      </w:r>
      <w:r>
        <w:rPr>
          <w:rFonts w:cs="Traditional Arabic" w:hint="cs"/>
          <w:sz w:val="28"/>
          <w:szCs w:val="32"/>
          <w:vertAlign w:val="superscript"/>
          <w:rtl/>
        </w:rPr>
        <w:t xml:space="preserve"> )</w:t>
      </w:r>
      <w:r>
        <w:rPr>
          <w:rFonts w:cs="Traditional Arabic" w:hint="cs"/>
          <w:sz w:val="28"/>
          <w:szCs w:val="32"/>
          <w:rtl/>
        </w:rPr>
        <w:t xml:space="preserve"> : "اتجه جانب من الفقه إلى أن هذا الشرط الذي أضيف  . . . قد أفقد الاختصاص مزاياه  . . . ويبدو لنا أن إضافة هذا الشرط  . . . تستجيب إلى الاتجاه السائد في الفقه المعاصر بوجوب الحد م نظم التأمينات القضائية في أضيق نطاق . ونظام الاختصاص في ذاته تعرض في آخر مراحل إعداد مشروع القانون المدني لنقد كاد يفضي إلى حذفه . والواقع أن تقرير الأفضلية </w:t>
      </w:r>
      <w:r>
        <w:rPr>
          <w:rFonts w:cs="Traditional Arabic" w:hint="cs"/>
          <w:sz w:val="28"/>
          <w:szCs w:val="32"/>
          <w:rtl/>
        </w:rPr>
        <w:lastRenderedPageBreak/>
        <w:t>للدائن لمجرد السبق في الحصول على حكم ، لا ينهض وحده سنداً معقولا للإخلال بقاعدة المساواة بين الدائنين . وعلى هذا النحو نعتقد أن إضافة هذا الشرط قصد به بصفة خاصة الحد من أهمية الاختصاص ، فلا يحصل عليه إلا الدائن المزود بحكم واجب النفاذ ، $685 وهو عن نفع بهذا الضمان ربما كان في ذلك إغراء له على التراخي في التنفيذ على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وقال الأستاذ منصور مصطفى منصور</w:t>
      </w:r>
      <w:r>
        <w:rPr>
          <w:rFonts w:cs="Traditional Arabic" w:hint="cs"/>
          <w:sz w:val="28"/>
          <w:szCs w:val="32"/>
          <w:vertAlign w:val="superscript"/>
          <w:rtl/>
        </w:rPr>
        <w:t xml:space="preserve">( </w:t>
      </w:r>
      <w:r w:rsidRPr="00EC737F">
        <w:rPr>
          <w:rStyle w:val="ab"/>
          <w:rFonts w:cs="Traditional Arabic"/>
          <w:sz w:val="28"/>
          <w:szCs w:val="32"/>
          <w:rtl/>
        </w:rPr>
        <w:footnoteReference w:id="1393"/>
      </w:r>
      <w:r>
        <w:rPr>
          <w:rFonts w:cs="Traditional Arabic" w:hint="cs"/>
          <w:sz w:val="28"/>
          <w:szCs w:val="32"/>
          <w:vertAlign w:val="superscript"/>
          <w:rtl/>
        </w:rPr>
        <w:t xml:space="preserve"> )</w:t>
      </w:r>
      <w:r>
        <w:rPr>
          <w:rFonts w:cs="Traditional Arabic" w:hint="cs"/>
          <w:sz w:val="28"/>
          <w:szCs w:val="32"/>
          <w:rtl/>
        </w:rPr>
        <w:t xml:space="preserve"> . "ونرى مع البعض أن اللجنة قد وفقت في وضع هذا الشرط ، فالواقع أن حق الاختصاص إذا نظر إليه كأداة لتأمين الدائن دون نظر إلى مصلحة المدين لا يكون له محل ، فيس هناك ما يدعو إلى تفضيل دائن عادي على غيره لمجرد أنه استصدر حكماً بالدين . ويبدو لنا أن البقاء على حق الاختصاص لا محل له إلا إذا كمان المقصود من وراء ذلك حماية المدين عن طريق تأجيل التنفيذ حتى يتيسر له الوفاء ، ويكون منح الدائن الحق في أخذ الاختصاص وسيلة قد تشجعه على إرجاء التنفيذ"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وقال الأستاذ سمير تناغر</w:t>
      </w:r>
      <w:r>
        <w:rPr>
          <w:rFonts w:cs="Traditional Arabic" w:hint="cs"/>
          <w:sz w:val="28"/>
          <w:szCs w:val="32"/>
          <w:vertAlign w:val="superscript"/>
          <w:rtl/>
        </w:rPr>
        <w:t xml:space="preserve">( </w:t>
      </w:r>
      <w:r w:rsidRPr="00EC737F">
        <w:rPr>
          <w:rStyle w:val="ab"/>
          <w:rFonts w:cs="Traditional Arabic"/>
          <w:sz w:val="28"/>
          <w:szCs w:val="32"/>
          <w:rtl/>
        </w:rPr>
        <w:footnoteReference w:id="1394"/>
      </w:r>
      <w:r>
        <w:rPr>
          <w:rFonts w:cs="Traditional Arabic" w:hint="cs"/>
          <w:sz w:val="28"/>
          <w:szCs w:val="32"/>
          <w:vertAlign w:val="superscript"/>
          <w:rtl/>
        </w:rPr>
        <w:t xml:space="preserve"> )</w:t>
      </w:r>
      <w:r>
        <w:rPr>
          <w:rFonts w:cs="Traditional Arabic" w:hint="cs"/>
          <w:sz w:val="28"/>
          <w:szCs w:val="32"/>
          <w:rtl/>
        </w:rPr>
        <w:t xml:space="preserve"> : "إن الاختصاص لم يكن الغرض منه تحقيق فائدة محضة للدائن الذي يحصل على حكم  . . . ولكن الغرض الأساسي منه هو تحقيق مصلحة المدين المحكوم عليه ، بتأخير التنفيذ على ماله ، وذلك بما يرضى الدائن أيضاً عن طريق إعطائه تأميناً خاصاً . فلا الاختصاص مصلحة محضة للدائن ، ولا هو عديم الفائدة . ولكنه ائتمان جديد للمدين في مرحلة حرجة تسبق التنفيذ مباشرة ، وتأمين خاص للدائن يضمن له التنفيذ مستقبلا" .</w:t>
      </w:r>
    </w:p>
    <w:p w:rsidR="00F72742" w:rsidRPr="002F15BC"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2F15BC">
        <w:rPr>
          <w:rFonts w:cs="Traditional Arabic" w:hint="cs"/>
          <w:b/>
          <w:bCs/>
          <w:sz w:val="28"/>
          <w:szCs w:val="32"/>
          <w:rtl/>
        </w:rPr>
        <w:t>7- يجب أن يكون الحكم صادراً في موضوع الدعوى</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426- لا يؤخذ اختصاص بحكم صادر قبل الفصل في الموضوع : </w:t>
      </w:r>
      <w:r>
        <w:rPr>
          <w:rFonts w:cs="Traditional Arabic" w:hint="cs"/>
          <w:sz w:val="28"/>
          <w:szCs w:val="32"/>
          <w:rtl/>
        </w:rPr>
        <w:t xml:space="preserve">ولا يجوز أخذ حق اختصاص بحكم صادر قبل الفصل في الموضوع ، وذلك كالأحكام التحضيرية ، والأحكام التمهيدية الصادرة بالإحالة على التحقيق $686 أو بندب خيبر أو بإجراء معاينة ، والأحكام الوقتية ، لأن كل هذه </w:t>
      </w:r>
      <w:r>
        <w:rPr>
          <w:rFonts w:cs="Traditional Arabic" w:hint="cs"/>
          <w:sz w:val="28"/>
          <w:szCs w:val="32"/>
          <w:rtl/>
        </w:rPr>
        <w:lastRenderedPageBreak/>
        <w:t>الأحكام لا تكون صادرة في موضوع الدعوى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ويستثنى من ذلك الأحكام الوقتية إذا تضمنت إلزام المدين بدفع مبلغ معين ، أو بالقيام بعمل ، أو فرض نفقة مؤقتة ، فإنه يجوز اخذ حق اختصاص بموجب هذه الأحكام</w:t>
      </w:r>
      <w:r>
        <w:rPr>
          <w:rFonts w:cs="Traditional Arabic" w:hint="cs"/>
          <w:sz w:val="28"/>
          <w:szCs w:val="32"/>
          <w:vertAlign w:val="superscript"/>
          <w:rtl/>
        </w:rPr>
        <w:t xml:space="preserve">( </w:t>
      </w:r>
      <w:r w:rsidRPr="00EC737F">
        <w:rPr>
          <w:rStyle w:val="ab"/>
          <w:rFonts w:cs="Traditional Arabic"/>
          <w:sz w:val="28"/>
          <w:szCs w:val="32"/>
          <w:rtl/>
        </w:rPr>
        <w:footnoteReference w:id="13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427- لا يؤخذ الاختصاص إلا بناء على حكم قطعي صادر في الموضوع الدعوي :</w:t>
      </w:r>
      <w:r>
        <w:rPr>
          <w:rFonts w:cs="Traditional Arabic" w:hint="cs"/>
          <w:sz w:val="28"/>
          <w:szCs w:val="32"/>
          <w:rtl/>
        </w:rPr>
        <w:t xml:space="preserve"> فلا بد ا يكون الحكم حكماً قطعياً صادراً في موضوع الدعوى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ذلك لأن الأحكام القطعية وحدها هي التي تبت في موضوع الدعوى ، وهي وحدها الصالحة للحصول على حق اختصاص بموجبها ، إلا إذا كان هناك حكم وقتي تضمن فرض نفقة أو القيام بعمل كما وأقرته لجنة المراجعة فيما سبق .</w:t>
      </w:r>
    </w:p>
    <w:p w:rsidR="00F72742" w:rsidRPr="005203DE"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5203DE">
        <w:rPr>
          <w:rFonts w:cs="Traditional Arabic" w:hint="cs"/>
          <w:b/>
          <w:bCs/>
          <w:sz w:val="28"/>
          <w:szCs w:val="32"/>
          <w:rtl/>
        </w:rPr>
        <w:t>8- يجب أن يكون الحكم ملزماً المدين بشيء معين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428- أحكام قطعية لا يجوز أخذ اختصاص بموجبها :</w:t>
      </w:r>
      <w:r>
        <w:rPr>
          <w:rFonts w:cs="Traditional Arabic" w:hint="cs"/>
          <w:sz w:val="28"/>
          <w:szCs w:val="32"/>
          <w:rtl/>
        </w:rPr>
        <w:t xml:space="preserve"> وهناك أحكام قطعية لا يجوز أخ اختصاص بموجبها ، لأنها لا تلزم المدين بشيء معين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مثل ذلك الأحكام الصادرة في الاختصاص : اختصاص المحكمة أو عدم اختصاصها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أيضاً الأحكام الصادرة برفض الدعوى ، لأنها لا تلزم بشيء معين ، والأحكام الصادرة برفض طلب أو دفع فرعي ، وكذلك الأحكام الصادرة في دعوى عينية بإثبات ملكية المدعي للعقار محل النزاع</w:t>
      </w:r>
      <w:r>
        <w:rPr>
          <w:rFonts w:cs="Traditional Arabic" w:hint="cs"/>
          <w:sz w:val="28"/>
          <w:szCs w:val="32"/>
          <w:vertAlign w:val="superscript"/>
          <w:rtl/>
        </w:rPr>
        <w:t xml:space="preserve">( </w:t>
      </w:r>
      <w:r w:rsidRPr="00EC737F">
        <w:rPr>
          <w:rStyle w:val="ab"/>
          <w:rFonts w:cs="Traditional Arabic"/>
          <w:sz w:val="28"/>
          <w:szCs w:val="32"/>
          <w:rtl/>
        </w:rPr>
        <w:footnoteReference w:id="13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$687 كل هذا ما لم تلزم هذه الأحكام من رفض طلبه بالمصروفات ، فيجوز أخذ اختصاص بها </w:t>
      </w:r>
      <w:r>
        <w:rPr>
          <w:rFonts w:cs="Traditional Arabic" w:hint="cs"/>
          <w:sz w:val="28"/>
          <w:szCs w:val="32"/>
          <w:rtl/>
        </w:rPr>
        <w:lastRenderedPageBreak/>
        <w:t>تأميناً للمصروفات ، إذ هي أحكام تلزم المدين بشيء معين</w:t>
      </w:r>
      <w:r>
        <w:rPr>
          <w:rFonts w:cs="Traditional Arabic" w:hint="cs"/>
          <w:sz w:val="28"/>
          <w:szCs w:val="32"/>
          <w:vertAlign w:val="superscript"/>
          <w:rtl/>
        </w:rPr>
        <w:t xml:space="preserve">( </w:t>
      </w:r>
      <w:r w:rsidRPr="00EC737F">
        <w:rPr>
          <w:rStyle w:val="ab"/>
          <w:rFonts w:cs="Traditional Arabic"/>
          <w:sz w:val="28"/>
          <w:szCs w:val="32"/>
          <w:rtl/>
        </w:rPr>
        <w:footnoteReference w:id="13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429- الأحكام القطعية الملزمة للمدين بشيء معين يجوز أخذ اختصاص بموجبها : </w:t>
      </w:r>
      <w:r>
        <w:rPr>
          <w:rFonts w:cs="Traditional Arabic" w:hint="cs"/>
          <w:sz w:val="28"/>
          <w:szCs w:val="32"/>
          <w:rtl/>
        </w:rPr>
        <w:t>ولاصورة المألوفة لذلك أن يكون صادراً بإلزام المدين بدفع مبلغ من النقود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يوجد ما يمنع من أخذ اختصاص بموجب حكم يلزم المدين بعمل أو بالامتناع عن عمل ، وفي هذه الحالة يقدر القاضي مؤقتاً المبلغ الذي يؤخذ به الاختصاص إذا كان هذا المبلغ غير محدد المقدار في الحكم . وقد جاء في المادة 1089 مدني أنه "إذا كان الدين المذكور في الحكم غير محدد المقدار ، تولى رئيس المحكمة تحدده مؤقتاً ، وعين المبلغ الذي يؤخذ به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430- الحكم بإلزام شخص بتقديم حساب : </w:t>
      </w:r>
      <w:r>
        <w:rPr>
          <w:rFonts w:cs="Traditional Arabic" w:hint="cs"/>
          <w:sz w:val="28"/>
          <w:szCs w:val="32"/>
          <w:rtl/>
        </w:rPr>
        <w:t>كان المشروع التمهيدي يتضمن فقرة ثانية للمادة 1087 مدني ، وكانت تجري على الوجه الآتي : "حق الاختصاص المأخوذ بناء على  حكم ملزما بتقديم حساب يضمن التعويض المستحق بسبب عدم التنفيذ هذا الحكم ، ولا يضمن ما عسى أن يظهر في ذمة المدين من رصيد لهذا الحساب" . وفي لجنة مجلس الشيوخ حذفت هذه الفقرة الثانية ، وترك أمر ما يضمنه حق الاختصاص للقضاء ، يفصل فيه وفقا لظروف كل حالة بخصوصها"</w:t>
      </w:r>
      <w:r>
        <w:rPr>
          <w:rFonts w:cs="Traditional Arabic" w:hint="cs"/>
          <w:sz w:val="28"/>
          <w:szCs w:val="32"/>
          <w:vertAlign w:val="superscript"/>
          <w:rtl/>
        </w:rPr>
        <w:t xml:space="preserve">( </w:t>
      </w:r>
      <w:r w:rsidRPr="00EC737F">
        <w:rPr>
          <w:rStyle w:val="ab"/>
          <w:rFonts w:cs="Traditional Arabic"/>
          <w:sz w:val="28"/>
          <w:szCs w:val="32"/>
          <w:rtl/>
        </w:rPr>
        <w:footnoteReference w:id="13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ذهب بعض الفقهاء إلى أن الحكم بإلزام شخص بتقديم حساب ، $688 إذا أخذ به حق اختصاص ، فإن حق الاختصاص يضمن ما عسى أن يظهر في ذمة المدين من رصيد لهذا الحساب</w:t>
      </w:r>
      <w:r>
        <w:rPr>
          <w:rFonts w:cs="Traditional Arabic" w:hint="cs"/>
          <w:sz w:val="28"/>
          <w:szCs w:val="32"/>
          <w:vertAlign w:val="superscript"/>
          <w:rtl/>
        </w:rPr>
        <w:t xml:space="preserve">( </w:t>
      </w:r>
      <w:r w:rsidRPr="00EC737F">
        <w:rPr>
          <w:rStyle w:val="ab"/>
          <w:rFonts w:cs="Traditional Arabic"/>
          <w:sz w:val="28"/>
          <w:szCs w:val="32"/>
          <w:rtl/>
        </w:rPr>
        <w:footnoteReference w:id="13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وذهب فقهاء آخرون إلى أن الاختصاص لا يضمن ذلك ، وإنما يضمن التعويض بسبب عدم تنفيذ الحكم ( عدم تقديم الحساب )</w:t>
      </w:r>
      <w:r w:rsidRPr="003A211F">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400"/>
      </w:r>
      <w:r>
        <w:rPr>
          <w:rFonts w:cs="Traditional Arabic" w:hint="cs"/>
          <w:sz w:val="28"/>
          <w:szCs w:val="32"/>
          <w:vertAlign w:val="superscript"/>
          <w:rtl/>
        </w:rPr>
        <w:t xml:space="preserve"> )</w:t>
      </w:r>
      <w:r>
        <w:rPr>
          <w:rFonts w:cs="Traditional Arabic" w:hint="cs"/>
          <w:sz w:val="28"/>
          <w:szCs w:val="32"/>
          <w:rtl/>
        </w:rPr>
        <w:t xml:space="preserve"> ، وهذا هو الرأي الراجح ، وبه أخذ التقنين المدني الجديد في الفقرة </w:t>
      </w:r>
      <w:r>
        <w:rPr>
          <w:rFonts w:cs="Traditional Arabic" w:hint="cs"/>
          <w:sz w:val="28"/>
          <w:szCs w:val="32"/>
          <w:rtl/>
        </w:rPr>
        <w:lastRenderedPageBreak/>
        <w:t>الثانية من المادة 1087 مدني قبل حذفها كما 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والصحيح أن الاختصاص لا يضمن إلا محل الالتزام ذاته ، أو التعويض عن عدم الوفاء بالالتزام</w:t>
      </w:r>
      <w:r>
        <w:rPr>
          <w:rFonts w:cs="Traditional Arabic" w:hint="cs"/>
          <w:sz w:val="28"/>
          <w:szCs w:val="32"/>
          <w:vertAlign w:val="superscript"/>
          <w:rtl/>
        </w:rPr>
        <w:t xml:space="preserve">( </w:t>
      </w:r>
      <w:r w:rsidRPr="00EC737F">
        <w:rPr>
          <w:rStyle w:val="ab"/>
          <w:rFonts w:cs="Traditional Arabic"/>
          <w:sz w:val="28"/>
          <w:szCs w:val="32"/>
          <w:rtl/>
        </w:rPr>
        <w:footnoteReference w:id="1401"/>
      </w:r>
      <w:r>
        <w:rPr>
          <w:rFonts w:cs="Traditional Arabic" w:hint="cs"/>
          <w:sz w:val="28"/>
          <w:szCs w:val="32"/>
          <w:vertAlign w:val="superscript"/>
          <w:rtl/>
        </w:rPr>
        <w:t xml:space="preserve"> )</w:t>
      </w:r>
      <w:r>
        <w:rPr>
          <w:rFonts w:cs="Traditional Arabic" w:hint="cs"/>
          <w:sz w:val="28"/>
          <w:szCs w:val="32"/>
          <w:rtl/>
        </w:rPr>
        <w:t xml:space="preserve"> .</w:t>
      </w:r>
    </w:p>
    <w:p w:rsidR="00F72742" w:rsidRPr="00832554" w:rsidRDefault="00F72742" w:rsidP="00F72742">
      <w:pPr>
        <w:widowControl w:val="0"/>
        <w:spacing w:after="120"/>
        <w:jc w:val="center"/>
        <w:rPr>
          <w:rFonts w:cs="Traditional Arabic" w:hint="cs"/>
          <w:b/>
          <w:bCs/>
          <w:sz w:val="28"/>
          <w:szCs w:val="32"/>
          <w:rtl/>
        </w:rPr>
      </w:pPr>
      <w:r>
        <w:rPr>
          <w:b/>
          <w:bCs/>
          <w:sz w:val="28"/>
          <w:szCs w:val="32"/>
          <w:rtl/>
        </w:rPr>
        <w:t>§</w:t>
      </w:r>
      <w:r>
        <w:rPr>
          <w:rFonts w:hint="cs"/>
          <w:b/>
          <w:bCs/>
          <w:sz w:val="28"/>
          <w:szCs w:val="32"/>
          <w:rtl/>
        </w:rPr>
        <w:t xml:space="preserve"> </w:t>
      </w:r>
      <w:r w:rsidRPr="00832554">
        <w:rPr>
          <w:rFonts w:cs="Traditional Arabic" w:hint="cs"/>
          <w:b/>
          <w:bCs/>
          <w:sz w:val="28"/>
          <w:szCs w:val="32"/>
          <w:rtl/>
        </w:rPr>
        <w:t>9- لا اختصاص بعد وفاة المدين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431- النص على ذلك في التقنين المدني الجديد : </w:t>
      </w:r>
      <w:r>
        <w:rPr>
          <w:rFonts w:cs="Traditional Arabic" w:hint="cs"/>
          <w:sz w:val="28"/>
          <w:szCs w:val="32"/>
          <w:rtl/>
        </w:rPr>
        <w:t>رأينا</w:t>
      </w:r>
      <w:r>
        <w:rPr>
          <w:rFonts w:cs="Traditional Arabic" w:hint="cs"/>
          <w:sz w:val="28"/>
          <w:szCs w:val="32"/>
          <w:vertAlign w:val="superscript"/>
          <w:rtl/>
        </w:rPr>
        <w:t xml:space="preserve">( </w:t>
      </w:r>
      <w:r w:rsidRPr="00EC737F">
        <w:rPr>
          <w:rStyle w:val="ab"/>
          <w:rFonts w:cs="Traditional Arabic"/>
          <w:sz w:val="28"/>
          <w:szCs w:val="32"/>
          <w:rtl/>
        </w:rPr>
        <w:footnoteReference w:id="1402"/>
      </w:r>
      <w:r>
        <w:rPr>
          <w:rFonts w:cs="Traditional Arabic" w:hint="cs"/>
          <w:sz w:val="28"/>
          <w:szCs w:val="32"/>
          <w:vertAlign w:val="superscript"/>
          <w:rtl/>
        </w:rPr>
        <w:t xml:space="preserve"> )</w:t>
      </w:r>
      <w:r>
        <w:rPr>
          <w:rFonts w:cs="Traditional Arabic" w:hint="cs"/>
          <w:sz w:val="28"/>
          <w:szCs w:val="32"/>
          <w:rtl/>
        </w:rPr>
        <w:t xml:space="preserve"> أن الفقرة الثانية من المادة 1085 مدني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يجوز للدائن ، بعد موت المدين ، أخذ اختصاص على عقار في التركة"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 إذن ممنوع ، بموجب هذا النص ، من أن يأخذ حق اختصاص بعد موت مدينه على عقار في تركته . والتركة يحكمها مبدأ "لا تركة إلا بعد سداد الدين" ، وقد نظم هذا المبدأ كل من قانون الشهر العقاري والتقنين المدني الجديد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$689 </w:t>
      </w:r>
      <w:r>
        <w:rPr>
          <w:rFonts w:cs="Traditional Arabic" w:hint="cs"/>
          <w:b/>
          <w:bCs/>
          <w:sz w:val="28"/>
          <w:szCs w:val="32"/>
          <w:rtl/>
        </w:rPr>
        <w:t>432- قانون الشهر العقاري :</w:t>
      </w:r>
      <w:r>
        <w:rPr>
          <w:rFonts w:cs="Traditional Arabic" w:hint="cs"/>
          <w:sz w:val="28"/>
          <w:szCs w:val="32"/>
          <w:rtl/>
        </w:rPr>
        <w:t xml:space="preserve"> من المتفق عليه أنه بعد موت المدين يتساوى جميع الدائنين العاديين ، وتكون تركة مدينهم الميت ضماناً للوفاء بحقوقهم جميعاً بالتساوي فيما بينهم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قضت محكمة استئناف مصر بأن الفقه الإسلامي اعتبر الموت عارضاً تخرب به الذمة ويبطل الولاية في المال ، ولهذا نقل حقوق الغرماء الثابتة في ذمة المتوفى إلى تركته ، واستبقاها على حكم ملكه ، لتتم التصفية بدفع الديون وتنفيذ الوصايا وقسمة ما يبقى بين الورثة . وهذا النظر ينتهي بوجوب استبقاء حالة الغرماء على ما كانت عليه منذ الوفاة ، فمن لم يكن وقتئذ صاحب دين ممتاز بقي غريماً يقاسم غيره قسمة غرماء</w:t>
      </w:r>
      <w:r>
        <w:rPr>
          <w:rFonts w:cs="Traditional Arabic" w:hint="cs"/>
          <w:sz w:val="28"/>
          <w:szCs w:val="32"/>
          <w:vertAlign w:val="superscript"/>
          <w:rtl/>
        </w:rPr>
        <w:t xml:space="preserve">( </w:t>
      </w:r>
      <w:r w:rsidRPr="00EC737F">
        <w:rPr>
          <w:rStyle w:val="ab"/>
          <w:rFonts w:cs="Traditional Arabic"/>
          <w:sz w:val="28"/>
          <w:szCs w:val="32"/>
          <w:rtl/>
        </w:rPr>
        <w:footnoteReference w:id="14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وذهبت محكمة الاستئناف المختلطة إلى أن أموال الميت تؤول إلى جميع دائنيه ، فيصبح لهؤلاء حق مباشرة على هذه الأموال . ولا يجوز لأي منهم أن يحصل بعد وفاة المدين على أي حق في التقدم على الآخر بأي سبب كان ، فإذا اخذ أحدهم اختصاصاً على بعض عقارات المتوفى كان هذا الاختصاص غير نافذ في حق الآخرين</w:t>
      </w:r>
      <w:r>
        <w:rPr>
          <w:rFonts w:cs="Traditional Arabic" w:hint="cs"/>
          <w:sz w:val="28"/>
          <w:szCs w:val="32"/>
          <w:vertAlign w:val="superscript"/>
          <w:rtl/>
        </w:rPr>
        <w:t xml:space="preserve">( </w:t>
      </w:r>
      <w:r w:rsidRPr="00EC737F">
        <w:rPr>
          <w:rStyle w:val="ab"/>
          <w:rFonts w:cs="Traditional Arabic"/>
          <w:sz w:val="28"/>
          <w:szCs w:val="32"/>
          <w:rtl/>
        </w:rPr>
        <w:footnoteReference w:id="140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ونظم قانون الشهر العقاري طريقة لشهر حقوق دائني المورث ، إذا اشترط شهر حق الإرث لإمكان شهر التصرفات التي تصدر من الوارث ، وأجاز لدائني المورث التأشير بحقوقهم في هامش شهر حق الإرث ، ورتب على هذا التأشير عدم نفاذ تصرفات الوارث في أموال التركة قبل دائني المورث الذين أشروا بديونهم في هامش شهر حق الإرث في خلال سنة من $690 إجراء هذا الشهر أو بعد السنة وقبل شهر التصرف .</w:t>
      </w:r>
    </w:p>
    <w:p w:rsidR="00F72742" w:rsidRPr="00510949"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433- التقنين المدني الجديد :</w:t>
      </w:r>
      <w:r>
        <w:rPr>
          <w:rFonts w:cs="Traditional Arabic" w:hint="cs"/>
          <w:sz w:val="28"/>
          <w:szCs w:val="32"/>
          <w:rtl/>
        </w:rPr>
        <w:t xml:space="preserve"> ووضع التقنين المدني الجديد نظاماً اختياريا لتصفية التركات ، ثم نصت المادة 914 مدني على أنه "إذا لم تكن التركة قد صفي وفقاً لأحكام النصوص السابقة ، جاز لدائني التركة العاديين أن ينفذوا بحقوقهم أو بما أوصى به لهم على عقارات التركة التي حصل التصرف فيها ، أو التي رتبت عليها حقوق عينية لصالح الغير ، إذا أشروا بديونهم وفقاً لأحكام القانون"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منع التقنين المدني الجديد دائن المتوفى من أخذ اختصاص على مال مدينه الميت ، لأنه فيما يتعلق بالتقدم قصد المشرع عدم تمييز أحد من الدائنين على غيره بسبب لاحق لوفاة المدين ، وفيما يتعلق بالتتبع فإن هذا الخطر من جانب المدين ذاته قد انعدم بوفاته ، ومن جانب وارثه قد ارتفع بمنع الوارث من التصرف قبل تسلمه شهادة التوريث وهي لا تسلم إلا بعد وفاة جميع الديون ، وبنص قانون الشهر العقار الذي يمنع شهر أي تصرف من الوارث قبل شهر حق الإرث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434- شهر الاختصاص المكسوب قبل وفاة المدين :</w:t>
      </w:r>
      <w:r>
        <w:rPr>
          <w:rFonts w:cs="Traditional Arabic" w:hint="cs"/>
          <w:sz w:val="28"/>
          <w:szCs w:val="32"/>
          <w:rtl/>
        </w:rPr>
        <w:t xml:space="preserve"> ويجوز شهر حق الاختصاص الذي </w:t>
      </w:r>
      <w:r>
        <w:rPr>
          <w:rFonts w:cs="Traditional Arabic" w:hint="cs"/>
          <w:sz w:val="28"/>
          <w:szCs w:val="32"/>
          <w:rtl/>
        </w:rPr>
        <w:lastRenderedPageBreak/>
        <w:t>كسبه الدائن قبل وفاة مدينه ، حتى لو كان الشهر يحصل بعد وفاة المدين</w:t>
      </w:r>
      <w:r>
        <w:rPr>
          <w:rFonts w:cs="Traditional Arabic" w:hint="cs"/>
          <w:sz w:val="28"/>
          <w:szCs w:val="32"/>
          <w:vertAlign w:val="superscript"/>
          <w:rtl/>
        </w:rPr>
        <w:t xml:space="preserve">( </w:t>
      </w:r>
      <w:r w:rsidRPr="00EC737F">
        <w:rPr>
          <w:rStyle w:val="ab"/>
          <w:rFonts w:cs="Traditional Arabic"/>
          <w:sz w:val="28"/>
          <w:szCs w:val="32"/>
          <w:rtl/>
        </w:rPr>
        <w:footnoteReference w:id="1405"/>
      </w:r>
      <w:r>
        <w:rPr>
          <w:rFonts w:cs="Traditional Arabic" w:hint="cs"/>
          <w:sz w:val="28"/>
          <w:szCs w:val="32"/>
          <w:vertAlign w:val="superscript"/>
          <w:rtl/>
        </w:rPr>
        <w:t xml:space="preserve"> )</w:t>
      </w:r>
      <w:r>
        <w:rPr>
          <w:rFonts w:cs="Traditional Arabic" w:hint="cs"/>
          <w:sz w:val="28"/>
          <w:szCs w:val="32"/>
          <w:rtl/>
        </w:rPr>
        <w:t xml:space="preserve"> . وذلك لأن الغرض هو منع إنشاء سبب جديد للتقدم بعد وفاة المدين ، أما هنا فقد صدر الأمر بالاختصاص قبل وفاة المدين . وليس القيد إلا طريقة لشهره وجعله نافذاً في حق الغير</w:t>
      </w:r>
      <w:r>
        <w:rPr>
          <w:rFonts w:cs="Traditional Arabic" w:hint="cs"/>
          <w:sz w:val="28"/>
          <w:szCs w:val="32"/>
          <w:vertAlign w:val="superscript"/>
          <w:rtl/>
        </w:rPr>
        <w:t xml:space="preserve">( </w:t>
      </w:r>
      <w:r w:rsidRPr="00EC737F">
        <w:rPr>
          <w:rStyle w:val="ab"/>
          <w:rFonts w:cs="Traditional Arabic"/>
          <w:sz w:val="28"/>
          <w:szCs w:val="32"/>
          <w:rtl/>
        </w:rPr>
        <w:footnoteReference w:id="1406"/>
      </w:r>
      <w:r>
        <w:rPr>
          <w:rFonts w:cs="Traditional Arabic" w:hint="cs"/>
          <w:sz w:val="28"/>
          <w:szCs w:val="32"/>
          <w:vertAlign w:val="superscript"/>
          <w:rtl/>
        </w:rPr>
        <w:t xml:space="preserve"> )</w:t>
      </w:r>
      <w:r>
        <w:rPr>
          <w:rFonts w:cs="Traditional Arabic" w:hint="cs"/>
          <w:sz w:val="28"/>
          <w:szCs w:val="32"/>
          <w:rtl/>
        </w:rPr>
        <w:t xml:space="preserve"> .</w:t>
      </w:r>
    </w:p>
    <w:p w:rsidR="00F72742" w:rsidRPr="00641688"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$691 </w:t>
      </w:r>
      <w:r w:rsidRPr="00641688">
        <w:rPr>
          <w:b/>
          <w:bCs/>
          <w:sz w:val="28"/>
          <w:szCs w:val="32"/>
          <w:rtl/>
        </w:rPr>
        <w:t>§</w:t>
      </w:r>
      <w:r w:rsidRPr="00641688">
        <w:rPr>
          <w:rFonts w:cs="Traditional Arabic" w:hint="cs"/>
          <w:b/>
          <w:bCs/>
          <w:sz w:val="28"/>
          <w:szCs w:val="32"/>
          <w:rtl/>
        </w:rPr>
        <w:t xml:space="preserve"> 1- حالة شهر إعسار المدين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435- الدائنون الذين يكون لهم حقوق سابقة على تسجيل صحيفة دعوى الإعسار : </w:t>
      </w:r>
      <w:r>
        <w:rPr>
          <w:rFonts w:cs="Traditional Arabic" w:hint="cs"/>
          <w:sz w:val="28"/>
          <w:szCs w:val="32"/>
          <w:rtl/>
        </w:rPr>
        <w:t>نصت الفقرة الثانية من المادة 256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أنه لا يجوز أن يحتج على الدائنين الذين يكون لهم حقوق سابقة على تسجيل صحيفة دعوى الإعسار بأي اختصاص يقع على عقارات المدين بعد هذا التسجيل"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فكل دائن حقه سابق على تسجيل صحيفة دعوى الإعسار يجب أن يحمي ، ولا تجوز التفرقة بين هؤلاء الدائنين . ومن ثم فلا يجوز الاحتجاج على هؤلاء الدائنين بأي حق اختصاص يقع على عقارات المدين بعد تسجيل صحيفة دعوى الإعسار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ثم يكون ممنوعاً ، بالنسبة إلى هؤلاء الدائنين ، أخذ حق اختصاص بعد تسجيل صحيفة دعوى الإعسار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يبقى بعد ذلك وجوب حماية هؤلاء الدائنين من حق التتبع ، وهذا مكفول لهم بموج بالمادة 257 مدني ، وقد نصت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"متى سجلت صحيفة دعوى الإعسار ، فلا يسري في حق الدائنين أي تصرف للمدين يكون من شأنه أن ينقص من حقوقه أو يزيد في التزاماته ، كما لا يسري في حقهم أي وفاء يقوم به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وعلى ذلك إذا منع أخذ حق اختصاص بعد تسجيل صحيفة دعوى الإعسار ، ومنع كذلك بعد هذا التسجيل التصرف في مال المدين المعسر ، لم يعد ينقص الدائنين الذين يكون لهم حقوق سابقة على صحيفة الإعسار شيء من الحماية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436- أخذ اختصاص على عقار المدين المعسر بعد تسجيل صحيفة دعوى الإعسار</w:t>
      </w:r>
      <w:r>
        <w:rPr>
          <w:rFonts w:cs="Traditional Arabic" w:hint="cs"/>
          <w:sz w:val="28"/>
          <w:szCs w:val="32"/>
          <w:rtl/>
        </w:rPr>
        <w:t xml:space="preserve"> : وهناك فرق بين حالة المدين الذي شهر إعساره والمدين المتوفى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$692 فالمدين المتوفى قد انقضت شخصيته ، وتحدد نهائياً وقت وفاته مركز دائنيه وتحددت أمواله ، فلن تستجد له ديون ولا أموال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المدين الذي شهر إعساره فإنه يحتفظ بشخصيته ، ويمكن أن يوضع حد لإعساره ، فيعود له حق التصرف في أمواله ، وحق الالتزام بديون جديدة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فيكون لدائنيه الذين لم يستوفوا حقوقهم قبل انتهاء حالة الإعسار مصلحة في الاستناد إلى حقوق اختصاص حصلوا عليها ولو بعد تسجيل صحيفة دعوى الإعسار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ويستطيعون أن يتقدموا ، بموج بحقوق الاختصاص هذه ، على الدائنين التاليين ، وأن يتتبعوا عقارات المدين في أية يد كانت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ولذلك لم يمنع المشرع أخذ الاختصاص على عقار المدين العسر بعد تسجيل صحيفة دعوى الإعسار ، ولا قيد الاختصاصات التي سبق صدور الأمر بها قبل ذلك ، اكتفاء بتقرير عدم نفاذ هذه الاختصاصات في حق الدائنين السابقين حقوقهم على هذا التسجيل</w:t>
      </w:r>
      <w:r>
        <w:rPr>
          <w:rFonts w:cs="Traditional Arabic" w:hint="cs"/>
          <w:sz w:val="28"/>
          <w:szCs w:val="32"/>
          <w:vertAlign w:val="superscript"/>
          <w:rtl/>
        </w:rPr>
        <w:t xml:space="preserve">( </w:t>
      </w:r>
      <w:r w:rsidRPr="00EC737F">
        <w:rPr>
          <w:rStyle w:val="ab"/>
          <w:rFonts w:cs="Traditional Arabic"/>
          <w:sz w:val="28"/>
          <w:szCs w:val="32"/>
          <w:rtl/>
        </w:rPr>
        <w:footnoteReference w:id="1407"/>
      </w:r>
      <w:r>
        <w:rPr>
          <w:rFonts w:cs="Traditional Arabic" w:hint="cs"/>
          <w:sz w:val="28"/>
          <w:szCs w:val="32"/>
          <w:vertAlign w:val="superscript"/>
          <w:rtl/>
        </w:rPr>
        <w:t xml:space="preserve"> )</w:t>
      </w:r>
      <w:r>
        <w:rPr>
          <w:rFonts w:cs="Traditional Arabic" w:hint="cs"/>
          <w:sz w:val="28"/>
          <w:szCs w:val="32"/>
          <w:rtl/>
        </w:rPr>
        <w:t xml:space="preserve"> .</w:t>
      </w:r>
    </w:p>
    <w:p w:rsidR="00F72742" w:rsidRPr="00996402" w:rsidRDefault="00F72742" w:rsidP="00F72742">
      <w:pPr>
        <w:widowControl w:val="0"/>
        <w:spacing w:after="120"/>
        <w:jc w:val="center"/>
        <w:rPr>
          <w:rFonts w:cs="Traditional Arabic" w:hint="cs"/>
          <w:b/>
          <w:bCs/>
          <w:sz w:val="52"/>
          <w:szCs w:val="52"/>
          <w:rtl/>
        </w:rPr>
      </w:pPr>
      <w:r w:rsidRPr="00996402">
        <w:rPr>
          <w:rFonts w:cs="Traditional Arabic" w:hint="cs"/>
          <w:b/>
          <w:bCs/>
          <w:sz w:val="52"/>
          <w:szCs w:val="52"/>
          <w:rtl/>
        </w:rPr>
        <w:t>المبحث الثاني</w:t>
      </w:r>
    </w:p>
    <w:p w:rsidR="00F72742" w:rsidRPr="00996402" w:rsidRDefault="00F72742" w:rsidP="00F72742">
      <w:pPr>
        <w:widowControl w:val="0"/>
        <w:spacing w:after="120"/>
        <w:jc w:val="center"/>
        <w:rPr>
          <w:rFonts w:cs="Traditional Arabic" w:hint="cs"/>
          <w:b/>
          <w:bCs/>
          <w:sz w:val="28"/>
          <w:szCs w:val="32"/>
          <w:rtl/>
        </w:rPr>
      </w:pPr>
      <w:r w:rsidRPr="00996402">
        <w:rPr>
          <w:rFonts w:cs="Traditional Arabic" w:hint="cs"/>
          <w:b/>
          <w:bCs/>
          <w:sz w:val="28"/>
          <w:szCs w:val="32"/>
          <w:rtl/>
        </w:rPr>
        <w:t>الأموال التي يؤخذ عليها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 xml:space="preserve">437- نص قانوني : </w:t>
      </w:r>
      <w:r>
        <w:rPr>
          <w:rFonts w:cs="Traditional Arabic" w:hint="cs"/>
          <w:sz w:val="28"/>
          <w:szCs w:val="32"/>
          <w:rtl/>
        </w:rPr>
        <w:t>تنص المادة 1088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يجوز أخذ حق اختصاص إلا على عقار أو عقارات معينة ، مملوكة وقت قيد هذا الحق ، وجائز بيعها بالمزاد العلني"</w:t>
      </w:r>
      <w:r>
        <w:rPr>
          <w:rFonts w:cs="Traditional Arabic" w:hint="cs"/>
          <w:sz w:val="28"/>
          <w:szCs w:val="32"/>
          <w:vertAlign w:val="superscript"/>
          <w:rtl/>
        </w:rPr>
        <w:t xml:space="preserve">( </w:t>
      </w:r>
      <w:r w:rsidRPr="00EC737F">
        <w:rPr>
          <w:rStyle w:val="ab"/>
          <w:rFonts w:cs="Traditional Arabic"/>
          <w:sz w:val="28"/>
          <w:szCs w:val="32"/>
          <w:rtl/>
        </w:rPr>
        <w:footnoteReference w:id="14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$693  وجاء في المذكرة الإيضاحية للمشروع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"يؤخذ حق الاختصاص على عقار مملوك للمدين وقت قيد هذا الحق ، بشرط أن يكون هذا العقار مما يجوز التعامل فيه . على أنه يجوز أخذ اختصاص على خسة أفدنة ، وتظهر فائدته في حالتين : إذا انتقلت ملكية الأرض من المدين إلى حائز فيتتبعها الدائن ، وإذا زاد مال المدين على خمسة أفدنه فيجوز عندئذ التنفيذ على الأرض"</w:t>
      </w:r>
      <w:r>
        <w:rPr>
          <w:rFonts w:cs="Traditional Arabic" w:hint="cs"/>
          <w:sz w:val="28"/>
          <w:szCs w:val="32"/>
          <w:vertAlign w:val="superscript"/>
          <w:rtl/>
        </w:rPr>
        <w:t xml:space="preserve">( </w:t>
      </w:r>
      <w:r w:rsidRPr="00EC737F">
        <w:rPr>
          <w:rStyle w:val="ab"/>
          <w:rFonts w:cs="Traditional Arabic"/>
          <w:sz w:val="28"/>
          <w:szCs w:val="32"/>
          <w:rtl/>
        </w:rPr>
        <w:footnoteReference w:id="14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هذا النص أن هناك شروطاً ثلاثة ، يجب توافرها في الأموال التي يؤخذ عليها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أن تكون هذه الأموال عقاراً أو عقارات معينة ، معينة تعييناً دقيقاً بحيث يمكن التصرف عليها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2- أن يكون هذا العقار أو العقارات مملوكة للمدين ، وقت الحصول على حق الاختصاص ووقت قيد هذا الحق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أن يكون هذا العقار أو العقارات مما يجوز التعامل فيها ، أي أن يكون جائزاً بيعها بالمزاد العلني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وهذه الشروط الثلاثة واضحة من نص المادة 1088 مدني سالفة الذكر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$694 فنعالجها هنا في إيجار . ويلاحظ أن الشرط الأول منها قد أخضع حق الاختصاص لمبدأ التخصيص الذي خضع له الرهن الرسمي ، إذا أوجب أن يكون العقار أو العقارات معينة تعييناً دقيقاً</w:t>
      </w:r>
      <w:r>
        <w:rPr>
          <w:rFonts w:cs="Traditional Arabic" w:hint="cs"/>
          <w:sz w:val="28"/>
          <w:szCs w:val="32"/>
          <w:vertAlign w:val="superscript"/>
          <w:rtl/>
        </w:rPr>
        <w:t xml:space="preserve">( </w:t>
      </w:r>
      <w:r w:rsidRPr="00EC737F">
        <w:rPr>
          <w:rStyle w:val="ab"/>
          <w:rFonts w:cs="Traditional Arabic"/>
          <w:sz w:val="28"/>
          <w:szCs w:val="32"/>
          <w:rtl/>
        </w:rPr>
        <w:footnoteReference w:id="1410"/>
      </w:r>
      <w:r>
        <w:rPr>
          <w:rFonts w:cs="Traditional Arabic" w:hint="cs"/>
          <w:sz w:val="28"/>
          <w:szCs w:val="32"/>
          <w:vertAlign w:val="superscript"/>
          <w:rtl/>
        </w:rPr>
        <w:t xml:space="preserve"> )</w:t>
      </w:r>
      <w:r>
        <w:rPr>
          <w:rFonts w:cs="Traditional Arabic" w:hint="cs"/>
          <w:sz w:val="28"/>
          <w:szCs w:val="32"/>
          <w:rtl/>
        </w:rPr>
        <w:t xml:space="preserve"> .</w:t>
      </w:r>
    </w:p>
    <w:p w:rsidR="00F72742" w:rsidRPr="00183D9B"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183D9B">
        <w:rPr>
          <w:rFonts w:cs="Traditional Arabic" w:hint="cs"/>
          <w:b/>
          <w:bCs/>
          <w:sz w:val="28"/>
          <w:szCs w:val="32"/>
          <w:rtl/>
        </w:rPr>
        <w:t>1- المال عقار معين تعييناً دقيقا</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438- يجب أن يكون المال عقاراً :</w:t>
      </w:r>
      <w:r>
        <w:rPr>
          <w:rFonts w:cs="Traditional Arabic" w:hint="cs"/>
          <w:sz w:val="28"/>
          <w:szCs w:val="32"/>
          <w:rtl/>
        </w:rPr>
        <w:t xml:space="preserve"> فلا يؤخذ حق الاختصاص إلا على عقار ، فيكون حق الاختصاص كحق الرهن الرسمي ، إذ يكون محله دائماً عقاراً أو عقارات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وصل الأمر إلى حد أن قضت محكمة الاستئناف الوطنية بأنه لا يجوز قانوناً منح الدائن حق الاختصاص على نخيل مملوك لمدينه ، إذا كان هذا الأخير لا يملك الأرض القائم عليها النخيل</w:t>
      </w:r>
      <w:r>
        <w:rPr>
          <w:rFonts w:cs="Traditional Arabic" w:hint="cs"/>
          <w:sz w:val="28"/>
          <w:szCs w:val="32"/>
          <w:vertAlign w:val="superscript"/>
          <w:rtl/>
        </w:rPr>
        <w:t xml:space="preserve">( </w:t>
      </w:r>
      <w:r w:rsidRPr="00EC737F">
        <w:rPr>
          <w:rStyle w:val="ab"/>
          <w:rFonts w:cs="Traditional Arabic"/>
          <w:sz w:val="28"/>
          <w:szCs w:val="32"/>
          <w:rtl/>
        </w:rPr>
        <w:footnoteReference w:id="14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والنخيل ، المملوك لشخص لا يملك الأرض الذي أقيم عليها النخيل ، يعتبر عقاراً ، شأنه في يذلك شأن الأبنية المقامة على ارض لا يملكها صاحب الأبنية ، فكان يجب الحصول على اختصاص بهذا النخيل من حيث كونه عقاراً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439- اختلاف حق الاختصاص عن حق الرهن القضائي :</w:t>
      </w:r>
      <w:r>
        <w:rPr>
          <w:rFonts w:cs="Traditional Arabic" w:hint="cs"/>
          <w:sz w:val="28"/>
          <w:szCs w:val="32"/>
          <w:rtl/>
        </w:rPr>
        <w:t xml:space="preserve"> يختلف حق الاختصاص عن حق الرهن القضائي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فالرهن القضائي يرد ، دون حاجة إلى أمر القاضي ، على جميع عقارات المحكوم عليه ، الحالة والمستقلة . فلا يشترط إذن أن يكون العقار معيناً تعييناً دقيقاً ، فكل عقار مملوك للمحكوم عليه ، ولو كان عقاراً مستقبلا ، يقع عليه الرهن القضائي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$695 أما حق الاختصاص فلا يقع على عقار مستقبل ، وكذلك لا يقع على عقار حال إلا إذا كان معيناً تعييناً دقيقاً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440- العقار معين تعيينا دقيقا : </w:t>
      </w:r>
      <w:r>
        <w:rPr>
          <w:rFonts w:cs="Traditional Arabic" w:hint="cs"/>
          <w:sz w:val="28"/>
          <w:szCs w:val="32"/>
          <w:rtl/>
        </w:rPr>
        <w:t>فيجب إذن أن يكون العقار الذي يؤخذ عليه حق الاختصاص معيناً تعييناً دقيقاً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هو مبدأ التخصيص الذي رأيناه في الرهن الرسمي . وقد قدما في هذا الرهن الرسمي وجوب أن يكون محله عقاراً معيناً تعييناً دقيقاً ، وأن يذكر هذا التعيين في عقد الرهن الرسمي وفي قائمة القيد . فهنا أيضاً يجب أن يكون العقار معيناً تعييناً دقيقاً ، وأن تذكر البيانات المعينة له في عريضة طلب الاختصاص وفي قائمة قيد حق الاختصاص ( م 1095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وتعيين العقار الذي يؤخذ عليه حق الاختصاص يكون عادة ببيان نوعه 0منزلا أو أرضاً مثلا ) ، وموقعه ( المدينة والشارع أو الحارة ورقم المنزل أو ما يعين موقعه تعييناً دقيقاً في حالة المنزل ، والحوض ورقمه أو موقع الأرض فه إذا كان أرضاً ) ، وحدود المنزل أو الأرض ، ومساحة المنزل أو الأرض ، وما يتكون منه المنزل من طوابق ، وغير ذلك من البيانات المفيدة في التعرف على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هذا التعيين مشترطاً في الرهن الرسمي حماية للراهن وللغير ، فهو كذلك أيضاً في حق الاختصاص . فالتعيين في حق الاختصاص يسمح للقاضي بألا يمنح حق اختصاص بعقارات المدين إلا بالقدر اللازم لتأمين حقوق الدائن ، كما أن تعيين العقار الوارد عليه حق الاختصاص في قائمة القيد يسمح للغير أن يتبين حقيقة مركز المدين ومركز العقار المحمل بحق الاختصاص</w:t>
      </w:r>
      <w:r>
        <w:rPr>
          <w:rFonts w:cs="Traditional Arabic" w:hint="cs"/>
          <w:sz w:val="28"/>
          <w:szCs w:val="32"/>
          <w:vertAlign w:val="superscript"/>
          <w:rtl/>
        </w:rPr>
        <w:t xml:space="preserve">( </w:t>
      </w:r>
      <w:r w:rsidRPr="00EC737F">
        <w:rPr>
          <w:rStyle w:val="ab"/>
          <w:rFonts w:cs="Traditional Arabic"/>
          <w:sz w:val="28"/>
          <w:szCs w:val="32"/>
          <w:rtl/>
        </w:rPr>
        <w:footnoteReference w:id="1412"/>
      </w:r>
      <w:r>
        <w:rPr>
          <w:rFonts w:cs="Traditional Arabic" w:hint="cs"/>
          <w:sz w:val="28"/>
          <w:szCs w:val="32"/>
          <w:vertAlign w:val="superscript"/>
          <w:rtl/>
        </w:rPr>
        <w:t xml:space="preserve"> )</w:t>
      </w:r>
      <w:r>
        <w:rPr>
          <w:rFonts w:cs="Traditional Arabic" w:hint="cs"/>
          <w:sz w:val="28"/>
          <w:szCs w:val="32"/>
          <w:rtl/>
        </w:rPr>
        <w:t xml:space="preserve"> .</w:t>
      </w:r>
    </w:p>
    <w:p w:rsidR="00F72742" w:rsidRPr="0066776A"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ويترتب على نقص هذه البيانات أو الخطأ فيها بطلان الاختصاص $696 هو وقيده ، إذا أدى </w:t>
      </w:r>
      <w:r>
        <w:rPr>
          <w:rFonts w:cs="Traditional Arabic" w:hint="cs"/>
          <w:sz w:val="28"/>
          <w:szCs w:val="32"/>
          <w:rtl/>
        </w:rPr>
        <w:lastRenderedPageBreak/>
        <w:t>النقص أو الخطأ إلى إيقاع الغير في الغلط</w:t>
      </w:r>
      <w:r>
        <w:rPr>
          <w:rFonts w:cs="Traditional Arabic" w:hint="cs"/>
          <w:sz w:val="28"/>
          <w:szCs w:val="32"/>
          <w:vertAlign w:val="superscript"/>
          <w:rtl/>
        </w:rPr>
        <w:t xml:space="preserve">( </w:t>
      </w:r>
      <w:r w:rsidRPr="00EC737F">
        <w:rPr>
          <w:rStyle w:val="ab"/>
          <w:rFonts w:cs="Traditional Arabic"/>
          <w:sz w:val="28"/>
          <w:szCs w:val="32"/>
          <w:rtl/>
        </w:rPr>
        <w:footnoteReference w:id="14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قضت محكمة الاستئناف المختلطة بأنه يخلص من مقارنة نص المادة 769/5 مرافعات مختلط بنص المادة 690/5 مدني مختلط أن المشرع قصد أن يتشدد في البيانات التي تعين العقار الذي يؤخذ عليه حق الاختصاص أكثر م تشدده في ذلك بالنسبة إلى العقار محل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1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وقضت أيضاً بأن تعيين المنزل المأخوذ عليه حق الاختصاص بالحي الموجود فيه دون ذكر الشارع يعتبر تعييناً كافياً ، فلا يجوز لدائن مرتهن لاحق أن يطلب إبطال هذا الاختصاص استناداً إلى وجود نقص في تعيين محله</w:t>
      </w:r>
      <w:r>
        <w:rPr>
          <w:rFonts w:cs="Traditional Arabic" w:hint="cs"/>
          <w:sz w:val="28"/>
          <w:szCs w:val="32"/>
          <w:vertAlign w:val="superscript"/>
          <w:rtl/>
        </w:rPr>
        <w:t xml:space="preserve">( </w:t>
      </w:r>
      <w:r w:rsidRPr="00EC737F">
        <w:rPr>
          <w:rStyle w:val="ab"/>
          <w:rFonts w:cs="Traditional Arabic"/>
          <w:sz w:val="28"/>
          <w:szCs w:val="32"/>
          <w:rtl/>
        </w:rPr>
        <w:footnoteReference w:id="1415"/>
      </w:r>
      <w:r>
        <w:rPr>
          <w:rFonts w:cs="Traditional Arabic" w:hint="cs"/>
          <w:sz w:val="28"/>
          <w:szCs w:val="32"/>
          <w:vertAlign w:val="superscript"/>
          <w:rtl/>
        </w:rPr>
        <w:t xml:space="preserve"> )</w:t>
      </w:r>
      <w:r>
        <w:rPr>
          <w:rFonts w:cs="Traditional Arabic" w:hint="cs"/>
          <w:sz w:val="28"/>
          <w:szCs w:val="32"/>
          <w:rtl/>
        </w:rPr>
        <w:t xml:space="preserve"> .</w:t>
      </w:r>
    </w:p>
    <w:p w:rsidR="00F72742" w:rsidRPr="00F83185"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F83185">
        <w:rPr>
          <w:rFonts w:cs="Traditional Arabic" w:hint="cs"/>
          <w:b/>
          <w:bCs/>
          <w:sz w:val="28"/>
          <w:szCs w:val="32"/>
          <w:rtl/>
        </w:rPr>
        <w:t>2- العقار مملوك للمدين وقت الحصول</w:t>
      </w:r>
    </w:p>
    <w:p w:rsidR="00F72742" w:rsidRPr="00F83185" w:rsidRDefault="00F72742" w:rsidP="00F72742">
      <w:pPr>
        <w:widowControl w:val="0"/>
        <w:spacing w:after="120"/>
        <w:jc w:val="center"/>
        <w:rPr>
          <w:rFonts w:cs="Traditional Arabic" w:hint="cs"/>
          <w:b/>
          <w:bCs/>
          <w:sz w:val="28"/>
          <w:szCs w:val="32"/>
          <w:rtl/>
        </w:rPr>
      </w:pPr>
      <w:r w:rsidRPr="00F83185">
        <w:rPr>
          <w:rFonts w:cs="Traditional Arabic" w:hint="cs"/>
          <w:b/>
          <w:bCs/>
          <w:sz w:val="28"/>
          <w:szCs w:val="32"/>
          <w:rtl/>
        </w:rPr>
        <w:t>على الاختصاص ووقت القيد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441- النص يصرح بوجوب ملكية المدين للعقار وقت القيد :</w:t>
      </w:r>
      <w:r>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1416"/>
      </w:r>
      <w:r>
        <w:rPr>
          <w:rFonts w:cs="Traditional Arabic" w:hint="cs"/>
          <w:sz w:val="28"/>
          <w:szCs w:val="32"/>
          <w:vertAlign w:val="superscript"/>
          <w:rtl/>
        </w:rPr>
        <w:t xml:space="preserve"> )</w:t>
      </w:r>
      <w:r>
        <w:rPr>
          <w:rFonts w:cs="Traditional Arabic" w:hint="cs"/>
          <w:sz w:val="28"/>
          <w:szCs w:val="32"/>
          <w:rtl/>
        </w:rPr>
        <w:t xml:space="preserve"> أن المادة 1088 مدني تصرح بأن العقار أو العقارات المعينة يجب أن تكون "مملوكة للمدين وقت قيد هذا الحق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فالعقار يجب إذن أن يكون مملوكاً للمدين وقت قيد حق الاختصاص ، فإذا لم يكن مملوكاً للمدين وقت القيد ، كان الاختصاص باطلا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فرض أن العقار كان مملوكاً للمدين وقت الحصول على أمر $697 بالاختصاص كما سنرى ، ثم تجرد المدين من ملكيته قبل قيد حق الاختصاص فلما جاء الدائن يقيد حق الاختصاص كان العقار غير </w:t>
      </w:r>
      <w:r>
        <w:rPr>
          <w:rFonts w:cs="Traditional Arabic" w:hint="cs"/>
          <w:sz w:val="28"/>
          <w:szCs w:val="32"/>
          <w:rtl/>
        </w:rPr>
        <w:lastRenderedPageBreak/>
        <w:t>مملوك للمدين ، فإنه لا يستطيع قدي الاختصاص على عقار غير مملوك للمدين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442- ويجب ا يكون العقار مملوكا للمدين أيضاً وقت الحصول على الاختصاص :</w:t>
      </w:r>
      <w:r>
        <w:rPr>
          <w:rFonts w:cs="Traditional Arabic" w:hint="cs"/>
          <w:sz w:val="28"/>
          <w:szCs w:val="32"/>
          <w:rtl/>
        </w:rPr>
        <w:t xml:space="preserve"> ويجب ، فوق ذلك ، أن يكون العقار مملوكاً للمدين وقت الحصول على أمر بالاختصاص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صرح المشرع بوجوب ملكية المدين للعقار وقت القيد ، لأن القيد والحصول على الاختصاص كانا يتمان في التقنين المدني القديم في يوم واحد . فكان هذا التقنين يوجب على كاتب المحكمة التي يصدر رئسها الأمر بالاختصاص أن يقوم من تلقاء نفسه بقيد الاختصاص دون تأيخر وفي ذات يوم صدوره ( م 596/722 ) . فكان من غير المحتمل أن يكون العقار مملوكاً للمدين وقت قيد الاختصاص وغير مملوك له وقت صدور الأمر بالاختصاص . فألف الفقهاء أن يشترطوا ملكية المدين للعقار وقت قيد الاختصاص ، قاصدين بذلك أن تكون ملكية المدين للعقار وقت الحصول على الاختصاص ووقت قيد الاختصاص</w:t>
      </w:r>
      <w:r>
        <w:rPr>
          <w:rFonts w:cs="Traditional Arabic" w:hint="cs"/>
          <w:sz w:val="28"/>
          <w:szCs w:val="32"/>
          <w:vertAlign w:val="superscript"/>
          <w:rtl/>
        </w:rPr>
        <w:t xml:space="preserve">( </w:t>
      </w:r>
      <w:r w:rsidRPr="00EC737F">
        <w:rPr>
          <w:rStyle w:val="ab"/>
          <w:rFonts w:cs="Traditional Arabic"/>
          <w:sz w:val="28"/>
          <w:szCs w:val="32"/>
          <w:rtl/>
        </w:rPr>
        <w:footnoteReference w:id="14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فأخذ التقنين المدني الجديد بما جرى بما جرى عليه الفقهاء في ظل التقنين المدين القديم ، فاشترط في المادة 1088 مدني أن يكون العقار مملوكاً للمدين وقت قيد الاختصاص ، قاصداً بذلك أن يكون مملوكاً أيضاً للمدين وقت الحصول على أمر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كانت المادة 20 من قانون الشهر العقاري تنص على أن "تتم إجراءات الشهر في جميع الأحوال بناء على طلب ذوي الشأن أو من يقوم $698 مقامهم" ، فقد أصبح الآن من المحتمل أن يؤخذ الأمر بالاختصاص في يوم وبطئ الدائن في قيده أياماً أو أسابيع . ولذلك جاز أن يكون المدين مالكاً للعقار وقت الحصول على أمر الاختصاص ، ثم يتجرد عن ملكيته بعد ذلك وقبل القيد . فكان الأولى اشتراط ملكية المدين للعقار وقت الحصول على أمر الاختصاص ، ووقت قيد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تعدد الأحكام القضائية في الماضي تشترط ملكية المدين للعقار وقت الحصول على أمر الاختصاص ، وبأنه إذا أخذ اختصاص على عقار غير مملوك للمدين فإنه يكون باطلا ولا ينتج أي اثر ولو </w:t>
      </w:r>
      <w:r>
        <w:rPr>
          <w:rFonts w:cs="Traditional Arabic" w:hint="cs"/>
          <w:sz w:val="28"/>
          <w:szCs w:val="32"/>
          <w:rtl/>
        </w:rPr>
        <w:lastRenderedPageBreak/>
        <w:t>صار المدين مالكاً بعد ذلك . فقضت محكمة النقض في قضية كان يسري عليها التقنين القديم بأن مناط صحة حق الاختصاص أن يكون العقار مملوكاً للمدين وقت صدوره ، ولا يغير من هذا النظر أن تكون ملكية العقار قد آلت إلى المدين وقت تحديد القيد</w:t>
      </w:r>
      <w:r>
        <w:rPr>
          <w:rFonts w:cs="Traditional Arabic" w:hint="cs"/>
          <w:sz w:val="28"/>
          <w:szCs w:val="32"/>
          <w:vertAlign w:val="superscript"/>
          <w:rtl/>
        </w:rPr>
        <w:t xml:space="preserve">( </w:t>
      </w:r>
      <w:r w:rsidRPr="00EC737F">
        <w:rPr>
          <w:rStyle w:val="ab"/>
          <w:rFonts w:cs="Traditional Arabic"/>
          <w:sz w:val="28"/>
          <w:szCs w:val="32"/>
          <w:rtl/>
        </w:rPr>
        <w:footnoteReference w:id="1418"/>
      </w:r>
      <w:r>
        <w:rPr>
          <w:rFonts w:cs="Traditional Arabic" w:hint="cs"/>
          <w:sz w:val="28"/>
          <w:szCs w:val="32"/>
          <w:vertAlign w:val="superscript"/>
          <w:rtl/>
        </w:rPr>
        <w:t xml:space="preserve"> )</w:t>
      </w:r>
      <w:r>
        <w:rPr>
          <w:rFonts w:cs="Traditional Arabic" w:hint="cs"/>
          <w:sz w:val="28"/>
          <w:szCs w:val="32"/>
          <w:rtl/>
        </w:rPr>
        <w:t xml:space="preserve"> .  وقضت محكمة الاستئناف المختلطة بأن على الدائن طالب الاختصاص أن يتحقق م ملكية المدين ، وبأن من واجباته الأولية أن يدقق في فحص سندات الملكية المسجلة ، لأن تقديمه العريضة التي يطلب بها الاختصاص $699 يعتب تأكيداً رسمياً لاعتباره العقار المطلوب أخذ الاختصاص عليه مملوكاً للمدين</w:t>
      </w:r>
      <w:r>
        <w:rPr>
          <w:rFonts w:cs="Traditional Arabic" w:hint="cs"/>
          <w:sz w:val="28"/>
          <w:szCs w:val="32"/>
          <w:vertAlign w:val="superscript"/>
          <w:rtl/>
        </w:rPr>
        <w:t xml:space="preserve">( </w:t>
      </w:r>
      <w:r w:rsidRPr="00EC737F">
        <w:rPr>
          <w:rStyle w:val="ab"/>
          <w:rFonts w:cs="Traditional Arabic"/>
          <w:sz w:val="28"/>
          <w:szCs w:val="32"/>
          <w:rtl/>
        </w:rPr>
        <w:footnoteReference w:id="1419"/>
      </w:r>
      <w:r>
        <w:rPr>
          <w:rFonts w:cs="Traditional Arabic" w:hint="cs"/>
          <w:sz w:val="28"/>
          <w:szCs w:val="32"/>
          <w:vertAlign w:val="superscript"/>
          <w:rtl/>
        </w:rPr>
        <w:t xml:space="preserve"> )</w:t>
      </w:r>
      <w:r>
        <w:rPr>
          <w:rFonts w:cs="Traditional Arabic" w:hint="cs"/>
          <w:sz w:val="28"/>
          <w:szCs w:val="32"/>
          <w:rtl/>
        </w:rPr>
        <w:t xml:space="preserve"> . وقضت أيضاً بأنه يجب لكي ينتج الاختصاص أثره أن يكون مأخوذاً على عقار مملوك للمدين ، ويقع على الدائن إثبات ملكية العقار للمدين</w:t>
      </w:r>
      <w:r>
        <w:rPr>
          <w:rFonts w:cs="Traditional Arabic" w:hint="cs"/>
          <w:sz w:val="28"/>
          <w:szCs w:val="32"/>
          <w:vertAlign w:val="superscript"/>
          <w:rtl/>
        </w:rPr>
        <w:t xml:space="preserve">( </w:t>
      </w:r>
      <w:r w:rsidRPr="00EC737F">
        <w:rPr>
          <w:rStyle w:val="ab"/>
          <w:rFonts w:cs="Traditional Arabic"/>
          <w:sz w:val="28"/>
          <w:szCs w:val="32"/>
          <w:rtl/>
        </w:rPr>
        <w:footnoteReference w:id="1420"/>
      </w:r>
      <w:r>
        <w:rPr>
          <w:rFonts w:cs="Traditional Arabic" w:hint="cs"/>
          <w:sz w:val="28"/>
          <w:szCs w:val="32"/>
          <w:vertAlign w:val="superscript"/>
          <w:rtl/>
        </w:rPr>
        <w:t xml:space="preserve"> )</w:t>
      </w:r>
      <w:r>
        <w:rPr>
          <w:rFonts w:cs="Traditional Arabic" w:hint="cs"/>
          <w:sz w:val="28"/>
          <w:szCs w:val="32"/>
          <w:rtl/>
        </w:rPr>
        <w:t xml:space="preserve"> . وقضت أيضاً بأنه إذا كان المدين قد اشترى عقاراً ، فلا يجوز لدائنه أن يأخذ اختصاصاً على هذا العقار ما دام المدين لم يسجل عقد شرائه</w:t>
      </w:r>
      <w:r>
        <w:rPr>
          <w:rFonts w:cs="Traditional Arabic" w:hint="cs"/>
          <w:sz w:val="28"/>
          <w:szCs w:val="32"/>
          <w:vertAlign w:val="superscript"/>
          <w:rtl/>
        </w:rPr>
        <w:t xml:space="preserve">( </w:t>
      </w:r>
      <w:r w:rsidRPr="00EC737F">
        <w:rPr>
          <w:rStyle w:val="ab"/>
          <w:rFonts w:cs="Traditional Arabic"/>
          <w:sz w:val="28"/>
          <w:szCs w:val="32"/>
          <w:rtl/>
        </w:rPr>
        <w:footnoteReference w:id="142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$700 </w:t>
      </w:r>
      <w:r>
        <w:rPr>
          <w:rFonts w:cs="Traditional Arabic" w:hint="cs"/>
          <w:b/>
          <w:bCs/>
          <w:sz w:val="28"/>
          <w:szCs w:val="32"/>
          <w:rtl/>
        </w:rPr>
        <w:t>443- على الدائن عبء إثبات ملكية المدين للعقار :</w:t>
      </w:r>
      <w:r>
        <w:rPr>
          <w:rFonts w:cs="Traditional Arabic" w:hint="cs"/>
          <w:sz w:val="28"/>
          <w:szCs w:val="32"/>
          <w:rtl/>
        </w:rPr>
        <w:t xml:space="preserve"> وإذا ادعى غير الدائن ملكية العقار المأخوذ عليه حق الاختصاص ، وقع على الدائن عبء إثبات ملكية المدين للعقار . وقد قضت محكمة الاستئناف المختلطة بأنه في حالة صدور أمر باختصاص الدائن بالعقار ، يقع على الدائن إثبات ملكية المدين للعقار أو ملكية مدعي الاستحقاق للعقار</w:t>
      </w:r>
      <w:r>
        <w:rPr>
          <w:rFonts w:cs="Traditional Arabic" w:hint="cs"/>
          <w:sz w:val="28"/>
          <w:szCs w:val="32"/>
          <w:vertAlign w:val="superscript"/>
          <w:rtl/>
        </w:rPr>
        <w:t xml:space="preserve">( </w:t>
      </w:r>
      <w:r w:rsidRPr="00EC737F">
        <w:rPr>
          <w:rStyle w:val="ab"/>
          <w:rFonts w:cs="Traditional Arabic"/>
          <w:sz w:val="28"/>
          <w:szCs w:val="32"/>
          <w:rtl/>
        </w:rPr>
        <w:footnoteReference w:id="1422"/>
      </w:r>
      <w:r>
        <w:rPr>
          <w:rFonts w:cs="Traditional Arabic" w:hint="cs"/>
          <w:sz w:val="28"/>
          <w:szCs w:val="32"/>
          <w:vertAlign w:val="superscript"/>
          <w:rtl/>
        </w:rPr>
        <w:t xml:space="preserve"> )</w:t>
      </w:r>
      <w:r>
        <w:rPr>
          <w:rFonts w:cs="Traditional Arabic" w:hint="cs"/>
          <w:sz w:val="28"/>
          <w:szCs w:val="32"/>
          <w:rtl/>
        </w:rPr>
        <w:t xml:space="preserve"> . ولكن لا يحكم لمدعي الاستحقاق بملكية العقار ، لمجرد عجز الدائن عن إقامة الدليل على ملكية مدينه</w:t>
      </w:r>
      <w:r>
        <w:rPr>
          <w:rFonts w:cs="Traditional Arabic" w:hint="cs"/>
          <w:sz w:val="28"/>
          <w:szCs w:val="32"/>
          <w:vertAlign w:val="superscript"/>
          <w:rtl/>
        </w:rPr>
        <w:t xml:space="preserve">( </w:t>
      </w:r>
      <w:r w:rsidRPr="00EC737F">
        <w:rPr>
          <w:rStyle w:val="ab"/>
          <w:rFonts w:cs="Traditional Arabic"/>
          <w:sz w:val="28"/>
          <w:szCs w:val="32"/>
          <w:rtl/>
        </w:rPr>
        <w:footnoteReference w:id="142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اكتفت المحاكم من الدائن بأن يثبت حيازة المدين للعقار ، فيعتبر ذلك قرينة على الملكية لنقل عبء الإثبات إلى مدعي الاستحقاق</w:t>
      </w:r>
      <w:r>
        <w:rPr>
          <w:rFonts w:cs="Traditional Arabic" w:hint="cs"/>
          <w:sz w:val="28"/>
          <w:szCs w:val="32"/>
          <w:vertAlign w:val="superscript"/>
          <w:rtl/>
        </w:rPr>
        <w:t xml:space="preserve">( </w:t>
      </w:r>
      <w:r w:rsidRPr="00EC737F">
        <w:rPr>
          <w:rStyle w:val="ab"/>
          <w:rFonts w:cs="Traditional Arabic"/>
          <w:sz w:val="28"/>
          <w:szCs w:val="32"/>
          <w:rtl/>
        </w:rPr>
        <w:footnoteReference w:id="1424"/>
      </w:r>
      <w:r>
        <w:rPr>
          <w:rFonts w:cs="Traditional Arabic" w:hint="cs"/>
          <w:sz w:val="28"/>
          <w:szCs w:val="32"/>
          <w:vertAlign w:val="superscript"/>
          <w:rtl/>
        </w:rPr>
        <w:t xml:space="preserve"> )</w:t>
      </w:r>
      <w:r>
        <w:rPr>
          <w:rFonts w:cs="Traditional Arabic" w:hint="cs"/>
          <w:sz w:val="28"/>
          <w:szCs w:val="32"/>
          <w:rtl/>
        </w:rPr>
        <w:t xml:space="preserve"> . على ألا تكون هذه الحيازة غامضة ، وإلا بقي عبء الإثبات على الدائن</w:t>
      </w:r>
      <w:r>
        <w:rPr>
          <w:rFonts w:cs="Traditional Arabic" w:hint="cs"/>
          <w:sz w:val="28"/>
          <w:szCs w:val="32"/>
          <w:vertAlign w:val="superscript"/>
          <w:rtl/>
        </w:rPr>
        <w:t xml:space="preserve">( </w:t>
      </w:r>
      <w:r w:rsidRPr="00EC737F">
        <w:rPr>
          <w:rStyle w:val="ab"/>
          <w:rFonts w:cs="Traditional Arabic"/>
          <w:sz w:val="28"/>
          <w:szCs w:val="32"/>
          <w:rtl/>
        </w:rPr>
        <w:footnoteReference w:id="1425"/>
      </w:r>
      <w:r>
        <w:rPr>
          <w:rFonts w:cs="Traditional Arabic" w:hint="cs"/>
          <w:sz w:val="28"/>
          <w:szCs w:val="32"/>
          <w:vertAlign w:val="superscript"/>
          <w:rtl/>
        </w:rPr>
        <w:t xml:space="preserve"> )</w:t>
      </w:r>
      <w:r>
        <w:rPr>
          <w:rFonts w:cs="Traditional Arabic" w:hint="cs"/>
          <w:sz w:val="28"/>
          <w:szCs w:val="32"/>
          <w:rtl/>
        </w:rPr>
        <w:t xml:space="preserve"> .</w:t>
      </w:r>
    </w:p>
    <w:p w:rsidR="00F72742" w:rsidRPr="0085365D"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85365D">
        <w:rPr>
          <w:rFonts w:cs="Traditional Arabic" w:hint="cs"/>
          <w:b/>
          <w:bCs/>
          <w:sz w:val="28"/>
          <w:szCs w:val="32"/>
          <w:rtl/>
        </w:rPr>
        <w:t>3- العقار جائز بيعه بالمزاد العلني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444- مالا يجوز بيعه بالمزاد العلني :</w:t>
      </w:r>
      <w:r>
        <w:rPr>
          <w:rFonts w:cs="Traditional Arabic" w:hint="cs"/>
          <w:sz w:val="28"/>
          <w:szCs w:val="32"/>
          <w:rtl/>
        </w:rPr>
        <w:t xml:space="preserve"> لما كان حق الاختصاص قد يؤدي إلى بيع العقار بالمزاد العلني إذا نفذ الدائن صاحب حق الاختصاص حق اختصاصه استيفاء لحقه ، لذلك اشترط القانون أن يكون العقار المأخوذ عليه حق الاختصاص مما يجوز بعيه بالمزاد العلني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فنصت المادة 1088 مدني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426"/>
      </w:r>
      <w:r>
        <w:rPr>
          <w:rFonts w:cs="Traditional Arabic" w:hint="cs"/>
          <w:sz w:val="28"/>
          <w:szCs w:val="32"/>
          <w:vertAlign w:val="superscript"/>
          <w:rtl/>
        </w:rPr>
        <w:t xml:space="preserve"> )</w:t>
      </w:r>
      <w:r>
        <w:rPr>
          <w:rFonts w:cs="Traditional Arabic" w:hint="cs"/>
          <w:sz w:val="28"/>
          <w:szCs w:val="32"/>
          <w:rtl/>
        </w:rPr>
        <w:t xml:space="preserve"> ، على أنه " لا يجوز أخذ حق $701 الاختصاص إلا على عقار أو عقارات  . . . . جائز بيعها بالمزاد العلني"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فلا يجوز أخذ اختصاص على عقار موقوف وقفاً خيرياً ، لأن العقار الموقوف لا يجوز بيعه . وحتى بالنسبة إلى العقار الذي كان موقوفاً وقفاً أهلياً ، نصت المادة 5 مكررة ، التي أضيفت بالمرسوم بقانون رقم 342 لسنة 1952 إلى الرسوم بقانون رقم 180 لسنة 1952 ٍالذي حل الأوقاف الأهلية ، على ما يأتي : "لا يجوز اتخاذ إجراءات التنفيذ على ما ينتهي فيه الوقف ضد الأشخاص الذين تؤول إليهم مكية أعيانه طبقاً للمواد السابقة ، وذلك عن الديون السابقة على تاريخ العمل بهذا المرسوم بقانون . . ." ، وقد بنت محكمة النقض على ذلك أنه لا يجوز أخذ حق اختصاص على هذه الأعيان ليدون سابقة على تاريخ العمل بالمرسوم بقانون رقم 180 لسنة 1952 ، وقالت في أسباب حكمها : "أن الشارع قصد استمرار الحماية التي أسبقها القانون فيما مضى على المستحقين في الأوقاف بالنسبة إلى أعيان الوقف ، فحظر </w:t>
      </w:r>
      <w:r>
        <w:rPr>
          <w:rFonts w:cs="Traditional Arabic" w:hint="cs"/>
          <w:sz w:val="28"/>
          <w:szCs w:val="32"/>
          <w:rtl/>
        </w:rPr>
        <w:lastRenderedPageBreak/>
        <w:t>على الدائنين السابقة ديونهم على إلغاء الوقف . . . اتخاذ إجراءات التنفيذ على هذه الأعيان  . . . . وإنه وإن كان حق اختصاص الدائن بعقار مدينه ليس من إجراءات التنفيذ ، إلا أن هذا الحق ، وقد شرع ضماناً لأصل الدين والفوائد والمصروفات ، وخول به صاحبه أن ينفذ على العقار ويطلب بيعه وفقاً للأوضاع المقررة في قانون المرافعات للبيوع الجبرية وأن يتتبع العقار في يد حائزه وأن يستوفي حقوقه متقدماً على الدائنين العاديين من ثمن هذا العقار أو من المال الذي حل محله ، فإن حق الاختصاص يصبح وثيق الصلة بإجراءات التنفيذ ، فلا تقوم لهذا الحق قائمة إلا حيث يجوز اتخاذ هذه الإجراءات بالنسبة للعقار الذي يراد الاختصاص به ، ومن ثم فإن ما لا يجوز التنفيذ عليه من العقارات لا يجوز بالتالي أن يكون محلا لحق الاختصاص . وهذا هو ما قصدت إليه المادة 1088 مدني فيما نصت عليه ، من ا ،ه لا يجوز أخذ حق الاختصاص إلا على عقار أو عقارات مملوكة للمدين $702 وقت قيد الحق وجائز بعها بالمزاد العلني"</w:t>
      </w:r>
      <w:r>
        <w:rPr>
          <w:rFonts w:cs="Traditional Arabic" w:hint="cs"/>
          <w:sz w:val="28"/>
          <w:szCs w:val="32"/>
          <w:vertAlign w:val="superscript"/>
          <w:rtl/>
        </w:rPr>
        <w:t xml:space="preserve">( </w:t>
      </w:r>
      <w:r w:rsidRPr="00EC737F">
        <w:rPr>
          <w:rStyle w:val="ab"/>
          <w:rFonts w:cs="Traditional Arabic"/>
          <w:sz w:val="28"/>
          <w:szCs w:val="32"/>
          <w:rtl/>
        </w:rPr>
        <w:footnoteReference w:id="142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يجوز أخذ حق اختصاص على حق استعمال أو على حق سكنى . في غير الحالات الاستثنائية التي يجوز فيها التصرف في هذا الحق</w:t>
      </w:r>
      <w:r>
        <w:rPr>
          <w:rFonts w:cs="Traditional Arabic" w:hint="cs"/>
          <w:sz w:val="28"/>
          <w:szCs w:val="32"/>
          <w:vertAlign w:val="superscript"/>
          <w:rtl/>
        </w:rPr>
        <w:t xml:space="preserve">( </w:t>
      </w:r>
      <w:r w:rsidRPr="00EC737F">
        <w:rPr>
          <w:rStyle w:val="ab"/>
          <w:rFonts w:cs="Traditional Arabic"/>
          <w:sz w:val="28"/>
          <w:szCs w:val="32"/>
          <w:rtl/>
        </w:rPr>
        <w:footnoteReference w:id="14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445- جواز أخذ اختصاص على خمسة الأفدنة التي لا يجوز التنفيذ عليها : </w:t>
      </w:r>
      <w:r>
        <w:rPr>
          <w:rFonts w:cs="Traditional Arabic" w:hint="cs"/>
          <w:sz w:val="28"/>
          <w:szCs w:val="32"/>
          <w:rtl/>
        </w:rPr>
        <w:t xml:space="preserve">وقد كانت </w:t>
      </w:r>
      <w:r>
        <w:rPr>
          <w:rFonts w:cs="Traditional Arabic" w:hint="cs"/>
          <w:sz w:val="28"/>
          <w:szCs w:val="32"/>
          <w:rtl/>
        </w:rPr>
        <w:lastRenderedPageBreak/>
        <w:t>المادة 1088 مدني تتضمن في المشروع التمهيدي فقرة ثانية ، كانت تجري على الوجه الآتي : "ومع ذلك يجوز الحصول على حق اختصاص على أرض المدين ، حتى لو لم تزد على خمسة أفدنه ، على أن يراعى في التنفيذ الشروط في القانون" . وفي لجنة مجلس الشيوخ حذفت هذه الفقرة "لأن ملكية المدين لخمسة أفدنة فأقل لا تمنع من رهنها ، فحق الاختصاص يأخذ هذا الحكم دون حاجة إلى نص"</w:t>
      </w:r>
      <w:r>
        <w:rPr>
          <w:rFonts w:cs="Traditional Arabic" w:hint="cs"/>
          <w:sz w:val="28"/>
          <w:szCs w:val="32"/>
          <w:vertAlign w:val="superscript"/>
          <w:rtl/>
        </w:rPr>
        <w:t xml:space="preserve">( </w:t>
      </w:r>
      <w:r w:rsidRPr="00EC737F">
        <w:rPr>
          <w:rStyle w:val="ab"/>
          <w:rFonts w:cs="Traditional Arabic"/>
          <w:sz w:val="28"/>
          <w:szCs w:val="32"/>
          <w:rtl/>
        </w:rPr>
        <w:footnoteReference w:id="142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لم تحذف هذه الفقرة لعدم الأخذ بها ، بل حذفت لأن حكمها معروف ومقرر دون حاجة إلى نص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والقانون رقم 513 لسنة 1953 بعدم جواز التنفيذ على الملكية الزراعية $703 في حدود خمسة أفدنة ، الذي استبدل بالقانون رقم 4 لسنة 1913 ، لا ينع الدائن من أخذ اختصاص على أطيان مدينه الذي لا يملك أكثر من خمسة أفدنه ، وإنما يحول دو الحجز عليها ومباشرة نوع ملكيتها طالما بقي المدين محتفظاً بها لويس ليده غيرها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مع ذلك يجوز أخذ اختصاص على خمسة الأفدنة هذه ، ويعمل حق الاختصاص هذا من وجهين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الوجه الأول ) : إذا انتقلت ملكية خمسة الأفدنة هذه إلى شخص آخر أصبح يملك أكثر من خمسة أفدنة ، فإنه يجوز في هذه الحالة لصاحب الاختصاص أن يبيع بيعاً جبرياً خمسة الأفدنة ، بشرط أن يبقى عند المالك خمسة أفدنة على الأقل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الوجه الثاني ) : إذا بقين خمسة الأفدنة في ملكية صاحبها الأول ، ثم زادت ملكية إلى أكثر من خمسة أفدنة ، إلى عشرة مثلا . فإنه يجوز في هذه الحالة أن يبيع صاحب الاختصاص خمسة الأفدنة هذه ، بشرط أن يبقى لمالكها خمسة أفدنة على الأقل . فإذا زادت ملكية المالك إلى ثمانية أفدنة مثلا ، كان لصاحب حق الاختصاص أن ينزع من ملكيته خمسة الأفدنة المأخوذ عليها حق الاختصاص ملكية ثلاثة أفدنة فقط .</w:t>
      </w:r>
    </w:p>
    <w:p w:rsidR="00F72742" w:rsidRPr="00742FAB" w:rsidRDefault="00F72742" w:rsidP="00F72742">
      <w:pPr>
        <w:widowControl w:val="0"/>
        <w:spacing w:after="120"/>
        <w:jc w:val="center"/>
        <w:rPr>
          <w:rFonts w:cs="Traditional Arabic" w:hint="cs"/>
          <w:b/>
          <w:bCs/>
          <w:sz w:val="44"/>
          <w:szCs w:val="44"/>
          <w:rtl/>
        </w:rPr>
      </w:pPr>
      <w:r>
        <w:rPr>
          <w:rFonts w:cs="Traditional Arabic"/>
          <w:sz w:val="28"/>
          <w:szCs w:val="32"/>
          <w:rtl/>
        </w:rPr>
        <w:br w:type="page"/>
      </w:r>
      <w:r w:rsidRPr="00742FAB">
        <w:rPr>
          <w:rFonts w:cs="Traditional Arabic" w:hint="cs"/>
          <w:b/>
          <w:bCs/>
          <w:sz w:val="44"/>
          <w:szCs w:val="44"/>
          <w:rtl/>
        </w:rPr>
        <w:lastRenderedPageBreak/>
        <w:t>الفرع الثاني</w:t>
      </w:r>
    </w:p>
    <w:p w:rsidR="00F72742" w:rsidRPr="00742FAB" w:rsidRDefault="00F72742" w:rsidP="00F72742">
      <w:pPr>
        <w:widowControl w:val="0"/>
        <w:spacing w:after="120"/>
        <w:jc w:val="center"/>
        <w:rPr>
          <w:rFonts w:cs="Traditional Arabic" w:hint="cs"/>
          <w:b/>
          <w:bCs/>
          <w:sz w:val="28"/>
          <w:szCs w:val="32"/>
          <w:rtl/>
        </w:rPr>
      </w:pPr>
      <w:r w:rsidRPr="00742FAB">
        <w:rPr>
          <w:rFonts w:cs="Traditional Arabic" w:hint="cs"/>
          <w:b/>
          <w:bCs/>
          <w:sz w:val="28"/>
          <w:szCs w:val="32"/>
          <w:rtl/>
        </w:rPr>
        <w:t>الإجراءات</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446- نصوص قانونية : </w:t>
      </w:r>
      <w:r>
        <w:rPr>
          <w:rFonts w:cs="Traditional Arabic" w:hint="cs"/>
          <w:sz w:val="28"/>
          <w:szCs w:val="32"/>
          <w:rtl/>
        </w:rPr>
        <w:t>نصت المادة 1089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على الدائن الذي يريد أخذ اختصاص على عقارات مدينه ، أن يقدم بذلك عريضة إلى رئيس المحكمة الابتدائية التي تقع في دائرتها العقارات التي يريد الاختصاص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وهذه العريضة يجب أن تكون مصحوبة بصورة رسمية من الحكم $704 أو بشهادة من قلم الكتاب مدون فيها منطوق الحكم ، وأن تشتمل على البيانات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اسم الدائن ولقبه وصناعته وموطنه الأصلي والموطن المختار الذي يعينه في البلدة التي يقع فيها مقر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ب ) اسم المدين ولقبه وصناعته وموطنه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ج ) تاريخ الحكم وبيان المحكمة التي أصدرته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د ) مقدار الدين ، فإذا كان الدين المذكور في الحكم غير محدد المقدار ، تولى رئيس المحكمة تقديره مؤقتاً وعين المبلغ الذي يؤخذ به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هـ ) تعيين العقارات تعيناً دقيقاً ، وبيان موقعها ، مع تقديم الأوراق الدالة على قيمتها"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1090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بدون رئيس المحكمة في ذيل العريضة أمره بالاختصاص"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وإنما يجب عليه ، عند الترخيص به ، أن يراعى مقدار الدين وقيمة العقارات المبينة بالعريضة بوجه التقريب ، وعند الاقتضاء يجعل الاختصاص مقصوراً على بعض هذه العقارات أو على واحد منها فقط أو على جزء من أحدها ، إذا رأي أن ذلك كافٍ لتأمين دفع أصل الدين والفوائد والمصروفات المستحقة للدائنين"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ونصت المادة 1091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قلم الكتاب إعلان المدين بالأمر الصادر بالاختصاص في نفس اليوم الذي يصدر فيه هذا الأمر ، وعليه أيضاً أن يؤشر بهذا الأمر على صورة الحكم أو على الشهادة المرفقة بالطلب المقدم لأخذ الاختصاص ، وأن يخطر قلم كتاب المحكمة الصادر منها الحكم للتأشير بذلك على كل صورة أو شهادة أخرى يسلمها للدائن"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$705 ونصت المادة 1902 مدني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يجوز للمدين أن يتظلم من الأمر الصادر بالاختصاص أمام الآمر ، كما يجوز له أن يرفع هذا التظلم أمام المحكمة الابتدائية"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ويجب أن يؤشر على هامش القيد بكل أمر أو حكم قضى بإلغاء الأمر الصادر بالاختصاص"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1093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رفض رئيس المحكمة طلب الاختصاص المقدم من الدائن ، سواء كان الرفض من بادئ الأمر أو بعد تظلم المدين ، جاز للدائن أن يتظلم من أمر الرفض إلى المحكمة الابتدائية"</w:t>
      </w:r>
      <w:r>
        <w:rPr>
          <w:rFonts w:cs="Traditional Arabic" w:hint="cs"/>
          <w:sz w:val="28"/>
          <w:szCs w:val="32"/>
          <w:vertAlign w:val="superscript"/>
          <w:rtl/>
        </w:rPr>
        <w:t xml:space="preserve">( </w:t>
      </w:r>
      <w:r w:rsidRPr="00EC737F">
        <w:rPr>
          <w:rStyle w:val="ab"/>
          <w:rFonts w:cs="Traditional Arabic"/>
          <w:sz w:val="28"/>
          <w:szCs w:val="32"/>
          <w:rtl/>
        </w:rPr>
        <w:footnoteReference w:id="14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$706 وقد جاء في المذكرة الإيضاحية للمشروع التمهيدي لهذه النصوص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تمر إجراءات الحصول على حق الاختصاص على المراحل الآتية : يقدم الدائن عريضة لرئيس محكمة العقار ، مصحوبة بصورة الحكم أو الشهادة من قلم الكتاب يدون فيها منطوق الحكم ، ويمكن الحصول على هذه الشهادة في نفس اليوم الذي صدر فيه الحكم . وتشمل العريضة البيانات التي تدون عادة في قائمة الرهن الرسمي المقدمة للقيد . ويلاحظ أنه اشترط أن يقدم الدائن أوراقاً تثبت قيمة العقارات وأنها مملوكة للمدين ، حتى يتبين للقاضي قيمة العقارات وملكيتها قبل أن يثقلها بحق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ويدون رئيس المحكمة الأمر بالاختصاص بعد أن يراعى مقدار الدين وقيمة العقار ، ويجوز أن </w:t>
      </w:r>
      <w:r>
        <w:rPr>
          <w:rFonts w:cs="Traditional Arabic" w:hint="cs"/>
          <w:sz w:val="28"/>
          <w:szCs w:val="32"/>
          <w:rtl/>
        </w:rPr>
        <w:lastRenderedPageBreak/>
        <w:t>يقصر الأمر على جزء من العقار . فإن رفض $707 رئيس المحكمة الأمر بالاختصاص ( أو قبل فتظلم المدين إليه فرفض ) ، جاز للدائن أن يتظلم من أمر الرفض إلى المحكمة الابتدائية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وعند صدور الأمر بالاختصاص ، يجب على قلم كتاب المحكمة إعلانه للمدين في موطنه المبين بالعريضة في نفس اليوم الذي صدر فيه ، وهذا تجديد أريد به إخطار المدين بما تم ، حتى يتظلم إن كان هناك وجه للتظلم . ويؤشر بالأمر على صورة الحم وعلى كل شهادة به أو صورة أخرى . وهذا أيضاً تجديد أريد به منع الحصول على اختصاصات متعددة من محاكم مختلفة  . . . . وللمدين أن يتظلم للقاضي الذي أصدر أمر الاختصاص أو للمحكمة الابتدائية  . . . ولما كان الأمر بالاختصاص يقيد في نفس اليوم الذي يصدر فيه كما سيأتي ، وجب إذا صدر أمر بإلغائه أن يؤشر على هامش القيد بذلك"</w:t>
      </w:r>
      <w:r>
        <w:rPr>
          <w:rFonts w:cs="Traditional Arabic" w:hint="cs"/>
          <w:sz w:val="28"/>
          <w:szCs w:val="32"/>
          <w:vertAlign w:val="superscript"/>
          <w:rtl/>
        </w:rPr>
        <w:t xml:space="preserve">( </w:t>
      </w:r>
      <w:r w:rsidRPr="00EC737F">
        <w:rPr>
          <w:rStyle w:val="ab"/>
          <w:rFonts w:cs="Traditional Arabic"/>
          <w:sz w:val="28"/>
          <w:szCs w:val="32"/>
          <w:rtl/>
        </w:rPr>
        <w:footnoteReference w:id="143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فنتكلم هنا في أمين : ( 1 ) الحصول على أمر اختصاص . ( 2 ) تظلم المدين من أمر الاختصاص .</w:t>
      </w:r>
    </w:p>
    <w:p w:rsidR="00F72742" w:rsidRPr="003A0A19" w:rsidRDefault="00F72742" w:rsidP="00F72742">
      <w:pPr>
        <w:widowControl w:val="0"/>
        <w:spacing w:after="120"/>
        <w:jc w:val="center"/>
        <w:rPr>
          <w:rFonts w:cs="Traditional Arabic" w:hint="cs"/>
          <w:b/>
          <w:bCs/>
          <w:sz w:val="44"/>
          <w:szCs w:val="44"/>
          <w:rtl/>
        </w:rPr>
      </w:pPr>
      <w:r w:rsidRPr="003A0A19">
        <w:rPr>
          <w:rFonts w:cs="Traditional Arabic" w:hint="cs"/>
          <w:b/>
          <w:bCs/>
          <w:sz w:val="44"/>
          <w:szCs w:val="44"/>
          <w:rtl/>
        </w:rPr>
        <w:t>المبحث الأول</w:t>
      </w:r>
    </w:p>
    <w:p w:rsidR="00F72742" w:rsidRPr="003A0A19" w:rsidRDefault="00F72742" w:rsidP="00F72742">
      <w:pPr>
        <w:widowControl w:val="0"/>
        <w:spacing w:after="120"/>
        <w:jc w:val="center"/>
        <w:rPr>
          <w:rFonts w:cs="Traditional Arabic" w:hint="cs"/>
          <w:b/>
          <w:bCs/>
          <w:sz w:val="28"/>
          <w:szCs w:val="32"/>
          <w:rtl/>
        </w:rPr>
      </w:pPr>
      <w:r w:rsidRPr="003A0A19">
        <w:rPr>
          <w:rFonts w:cs="Traditional Arabic" w:hint="cs"/>
          <w:b/>
          <w:bCs/>
          <w:sz w:val="28"/>
          <w:szCs w:val="32"/>
          <w:rtl/>
        </w:rPr>
        <w:t>الحصول على أمر اختصا</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447- عريضة طلب الاختصاص :</w:t>
      </w:r>
      <w:r>
        <w:rPr>
          <w:rFonts w:cs="Traditional Arabic" w:hint="cs"/>
          <w:sz w:val="28"/>
          <w:szCs w:val="32"/>
          <w:rtl/>
        </w:rPr>
        <w:t xml:space="preserve"> نصت المادة 1089 مدني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432"/>
      </w:r>
      <w:r>
        <w:rPr>
          <w:rFonts w:cs="Traditional Arabic" w:hint="cs"/>
          <w:sz w:val="28"/>
          <w:szCs w:val="32"/>
          <w:vertAlign w:val="superscript"/>
          <w:rtl/>
        </w:rPr>
        <w:t xml:space="preserve"> )</w:t>
      </w:r>
      <w:r>
        <w:rPr>
          <w:rFonts w:cs="Traditional Arabic" w:hint="cs"/>
          <w:sz w:val="28"/>
          <w:szCs w:val="32"/>
          <w:rtl/>
        </w:rPr>
        <w:t xml:space="preserve"> ، على أن الدائن الذي يريد الحصول على أمر بالاختصاص عليه أن يقدم عريضة طلب الاختصاص إلى رئيس المحكمة الابتدائية التي تقع في دائرتها العقارات التي يريد الاختصاص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وتشمل هذه العريضة اسم الدائن ولقبه وصناعته وموطنه الأصلي والموطن $708 المختار ، واسم المدين ولقبه وصناعته وموطنه ، وتاريخ الحكم وبيان المحكمة التي أصدرته ، ومقدار الدين ويتولى رئيس </w:t>
      </w:r>
      <w:r>
        <w:rPr>
          <w:rFonts w:cs="Traditional Arabic" w:hint="cs"/>
          <w:sz w:val="28"/>
          <w:szCs w:val="32"/>
          <w:rtl/>
        </w:rPr>
        <w:lastRenderedPageBreak/>
        <w:t>المحكمة تقديره موقتاً إذا كان الدين غير محدد المقدار فيعن المبلغ الذي يؤخذ به حق الاختصاص ، وتعيين العقارات تعييناً دقيقاً وبيان موقعها مع تقديم أوراق تدل على قيمتها دون أن تقطع هذه القيمة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وتصحب العريضة بصورة رسمية من الحكم ، أو بشهادة من قلم الكتاب يدون فيها منطوق الحكم ، وكان التقنين الأهلي السابق يوجب أن تكون العريضة مصحوبة بصورة الحكم ، فكان ذلك يؤخر تقديم الدائن لعريضة الاختصاص إلى أن تتم المحكمة كتابة الحكم وتوقيعه ، وقد تنقضي مدة طويلة قبل أن يتم ذلك . فينتهز المدين هذه الفرصة ، ليتصرف في عقاراته . أما التقنين المختلط فكان ينص على أن تقديم شهادة من قلم الكتاب بصدور الحكم ومضمونه يغني عن تقديم صورة الحكم ، ويمكن أخذ هذه الشهادة من قلم الكتاب في اليوم ذاته الذي يصدر فيه الحكم . فأخذ التقين المدني الجديد بما ورد في التقنين المدني المختلط ، فنص على أن العريضة تكون مصحوبة بصورة رسمية من الحكم أو بشهادة م قلم الكتاب مدون فيها منطوق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تقنين المرافعات الجديد ينص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194 مرافعات : في الأحوال التي يكون فيها للخصم وجه استصدار أمر ، يقدم عريضة بطلب إلى قاضي الأمور الوقتية بالمحكمة المختصة  . . . . وتكون هذه العريضة من نسختين متطابقتين ، ومشتملة على وقائع الطلب وأسانيده وتعيين موطن مختار للطالب في البلدة التي بها مقر المحكمة ، وتشفع بها المستندات المؤيدة لها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195 مرافعات : يجب على القاضي أن يصدر أمره بالكتابة على إحدى نسختي العريضة ، في اليوم التالي لتقديمها على الأكثر . ولا يلزم $709 ذكر الأسباب التي بني عليها ، إلا إذا كان مخالفاً لأمر سبق صدوره ، فعندئذ يجب ذكر الأسباب التي اقتضت إصدار الأمر الجديد وإلا كان باطلا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196 مرافعات : يجب على قلم الكتاب تسلم الطالب النسخة الثانية من عريضته مكتوباً عليها صورة الأمر ، وذلك في اليوم التالي لصدور على الأكثر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448- التدوين في ذيل العريضة بالأمر بالاختصاص :</w:t>
      </w:r>
      <w:r>
        <w:rPr>
          <w:rFonts w:cs="Traditional Arabic" w:hint="cs"/>
          <w:sz w:val="28"/>
          <w:szCs w:val="32"/>
          <w:rtl/>
        </w:rPr>
        <w:t xml:space="preserve"> ويدون رئيس المحكمة في ذيل العريضة أمره بالاختصاص . ويجب على الرئيس ، عند إصدار الأمر بالاختصاص ، أن يراعى مقدار الدين وقيمة </w:t>
      </w:r>
      <w:r>
        <w:rPr>
          <w:rFonts w:cs="Traditional Arabic" w:hint="cs"/>
          <w:sz w:val="28"/>
          <w:szCs w:val="32"/>
          <w:rtl/>
        </w:rPr>
        <w:lastRenderedPageBreak/>
        <w:t>العقار أو العقارات . فقد يجعل الاختصاص مقصوراً على بعض هذه العقارات أو على عقار واحد منها أو جزء من عقار ، إذا رأى أن ذلك كافٍ لتأمين دفع أصل الدين والفوائد والمصروفات ( م 1090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449- الإجراءات التي تتبع في الأمر الصادر بالاختصاص : </w:t>
      </w:r>
      <w:r>
        <w:rPr>
          <w:rFonts w:cs="Traditional Arabic" w:hint="cs"/>
          <w:sz w:val="28"/>
          <w:szCs w:val="32"/>
          <w:rtl/>
        </w:rPr>
        <w:t>في نفس اليوم الذي يصدر فيه الأمر بالاختصاص ، يجب على قلم كتاب المحكمة إعلان المدين بهذا الأمر . ذلك أن المدين لم يكن حاضراً وقت صدور الأمر بالاختصاص ، ولم يكن حاضراً غير الدائن . فيستطيع المدين أن يتظلم من الأمر الصادر بالاختصاص ، ويتبع في ذلك إجراءات معينة سيأتي ذكرها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وحتى لا يلجأ الدائن إلى محاكم مختلفة ، للحصول منها على أوامر بالاختصاص تزيد على ما يحتاج إليه ، اوجب القانون على قلم كتاب المحكمة أن يتخذ أيضاً الإجرائين الآتين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يؤشر بأمر الاختصاص على صورة الحكم ، أو على الشهادة المرفقة بالعريضة والمحرر فيها منطوق الحكم إذا لم يمكن الحصول على صورة الحكم ذاته . فيتعذر إذن على الدائن استعمال صورة الحكم أو الشهادة هذه ، $710 للحصول على أمر آخر بالاختصاص دون أن يكون الآمر مطلعاً على أمر الاختصاص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يخطر قلم كتاب المحكمة الصادر منها الحكم بالدين ، ليؤشر بأمر الاختصاص على كل صورة أو شهادة أخرى يسلمها للدائن . وبذلك إذا لم يستعمل الدائن الصورة أو الشهادة التي سبق له استعمالها للحصول على أمر الاختصاص الأول ، وطلب من قلم كتاب المحكمة التي أصدرت الحكم بالدين صورة أو شهادة أخرى ، كانت هذه الصورة أو الشهادة مؤشراً عليها بأمر الاختصاص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450- رفض رئيس المحكمة طلب الدائن وعدم صدور أمر بالاختصاص : </w:t>
      </w:r>
      <w:r>
        <w:rPr>
          <w:rFonts w:cs="Traditional Arabic" w:hint="cs"/>
          <w:sz w:val="28"/>
          <w:szCs w:val="32"/>
          <w:rtl/>
        </w:rPr>
        <w:t>وليس من الضروري أن يستجيب رئيس المحكمة لطلب الدائن ، فقد يجد أنه لا محل لإعطاء أمر بالاختصاص . ويكون ذلك من بادئ الأمر ، أو يكون بعد تظلم المدين وسماع أقواله ولم تكن أقواله قد سمعت عند صدور الأمر الأول بالاختصاص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عند ذلك يجوز للدائن أن يتظلم من رفض رئيس المحكمة لاعطائه أمر بالاختصاص ، ويكون تظلمه أمام المحكمة الابتدائية التابع لها رئيس المحكمة دون غيرها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وتقول المادة 1093 مدني في هذا الصدد : "إذا رفض رئيس المحكمة طلب الاختصاص المقدم من الدائن ، سواء كان الرفض من بادئ الأمر أو بعد تظلم المدين ، جاز للدائن أن يتظلم من أمر الرفض إلى  المحكمة الابتدائية"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المادة 197 من تقنين المرافعات الجديد : "للطالب إذا صدر الأمر برفض طلبه  . . . الحق في التظلم إلى المحكمة المختصة ، إلا إذا نص القانون على خلاف ذلك . ويكون التظلم بالإجراءات المعتادة لرفع الدعوى $711 أمام المحكمة ، وتحكم فيه بتأييد الأمر أو بتعديله أو بإلغائه . ويجب أن يكون التظلم مسبباً ، وإلا كان باطلا"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ويبدو أن حكم المحكمة الابتدائية في التظلم يقبل الطعن فيه بالطرق المقررة ، فقد نصت المادة 199/2 مرافعات على أنه "ويحكم القاضي فقي التظلم بتأييد الأمر أو بتعديله أو بإلغائه ، ويكون حكمه قابلا لطرق الطعن المقررة للأحكام" .</w:t>
      </w:r>
    </w:p>
    <w:p w:rsidR="00F72742" w:rsidRPr="004B5557" w:rsidRDefault="00F72742" w:rsidP="00F72742">
      <w:pPr>
        <w:widowControl w:val="0"/>
        <w:spacing w:after="120"/>
        <w:jc w:val="center"/>
        <w:rPr>
          <w:rFonts w:cs="Traditional Arabic" w:hint="cs"/>
          <w:b/>
          <w:bCs/>
          <w:sz w:val="44"/>
          <w:szCs w:val="44"/>
          <w:rtl/>
        </w:rPr>
      </w:pPr>
      <w:r w:rsidRPr="004B5557">
        <w:rPr>
          <w:rFonts w:cs="Traditional Arabic" w:hint="cs"/>
          <w:b/>
          <w:bCs/>
          <w:sz w:val="44"/>
          <w:szCs w:val="44"/>
          <w:rtl/>
        </w:rPr>
        <w:t>المبحث الثاني</w:t>
      </w:r>
    </w:p>
    <w:p w:rsidR="00F72742" w:rsidRPr="004B5557" w:rsidRDefault="00F72742" w:rsidP="00F72742">
      <w:pPr>
        <w:widowControl w:val="0"/>
        <w:spacing w:after="120"/>
        <w:jc w:val="center"/>
        <w:rPr>
          <w:rFonts w:cs="Traditional Arabic" w:hint="cs"/>
          <w:b/>
          <w:bCs/>
          <w:sz w:val="28"/>
          <w:szCs w:val="32"/>
          <w:rtl/>
        </w:rPr>
      </w:pPr>
      <w:r w:rsidRPr="004B5557">
        <w:rPr>
          <w:rFonts w:cs="Traditional Arabic" w:hint="cs"/>
          <w:b/>
          <w:bCs/>
          <w:sz w:val="28"/>
          <w:szCs w:val="32"/>
          <w:rtl/>
        </w:rPr>
        <w:t>تظلم المدين من أمر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451- جواز تظلم المدين من الأمر بالاختصاص :</w:t>
      </w:r>
      <w:r>
        <w:rPr>
          <w:rFonts w:cs="Traditional Arabic" w:hint="cs"/>
          <w:sz w:val="28"/>
          <w:szCs w:val="32"/>
          <w:rtl/>
        </w:rPr>
        <w:t xml:space="preserve"> وإذا صدر أمر الاختصاص من رئيس المحكمة ، جاز للمدين ، الذي لم تسمع أقواله والذي أعلن بصدور الأمر بالاختصاص في يوم صدوره أن يتظلم من هذا الأمر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المادة 1092/1 مدني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للمدين أن يتظلم من الأمر الصادر بالاختصاص أمام الآمر ، كما يجوز له أن يرفع هذا التظلم أمام  المحكمة الابتدائية"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والتظلم لا يكون إلا مرة واحدة ، إما إلى الآمر أو إلى المحكمة الابتدائية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452- التظلم إلى الآمر :</w:t>
      </w:r>
      <w:r>
        <w:rPr>
          <w:rFonts w:cs="Traditional Arabic" w:hint="cs"/>
          <w:sz w:val="28"/>
          <w:szCs w:val="32"/>
          <w:rtl/>
        </w:rPr>
        <w:t xml:space="preserve"> فإذا تظلم إلى الآمر ، أي إلى رئيس المحكمة الذي أصدر أمراً بالاختصاص ، نظر الرئيس في هذا الأمر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فإما أن يثبت عليه ولا يرى داعياً لإلغائه ، فيقضي في هذه الحالة بالتأييد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أو ، بعد سماع المدين المتظلم ، يرى أن هناك ما يستوجب العدول عن $712 أمر الاختصاص ، فيقضي بالإلغاء ، وعند ذلك يبطل الأمر بالاختصاص الذي صدر من قبل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453- جواز استئناف قضاء الآمر :</w:t>
      </w:r>
      <w:r>
        <w:rPr>
          <w:rFonts w:cs="Traditional Arabic" w:hint="cs"/>
          <w:sz w:val="28"/>
          <w:szCs w:val="32"/>
          <w:rtl/>
        </w:rPr>
        <w:t xml:space="preserve"> وهذا القضاء بالتأييد أو بالإلغاء يعتبر حكماً صادراً من محكمة 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لكل من المدين في حالة التأييد ، والدائن في حالة الإلغاء ، أن يستأنف هذا الحكم أمام محكمة الاستئناف المختصة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454- التظلم إلى المحكمة الابتدائية :</w:t>
      </w:r>
      <w:r>
        <w:rPr>
          <w:rFonts w:cs="Traditional Arabic" w:hint="cs"/>
          <w:sz w:val="28"/>
          <w:szCs w:val="32"/>
          <w:rtl/>
        </w:rPr>
        <w:t xml:space="preserve"> وقد يرفع المدين تظلمه ، لا إلى الآمر ، بل إلى المحكمة الابتدائية التي يتبعها الآمر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وتقضي المحكمة الابتدائية ، كما كان يقضي الآمر ، إما بالتأييد واستبقاء الأمر بالاختصاص ، أو بإلغاء الأمر بالاختصاص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455- جواز استئناف حكم المحكمة الابتدائية :</w:t>
      </w:r>
      <w:r>
        <w:rPr>
          <w:rFonts w:cs="Traditional Arabic" w:hint="cs"/>
          <w:sz w:val="28"/>
          <w:szCs w:val="32"/>
          <w:rtl/>
        </w:rPr>
        <w:t xml:space="preserve"> وفي الحالتين ، يجوز استئناف الحكم الصادر من المحكمة الابتدائية أمام محكمة الاستئناف المختصة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يستأنف المدين ، إذا صدر الحكم بتأييد الأمر بالاختصاص ، طالباً الإلغاء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ويستأنف الدائن ، إذا صدر الحكم بإلغاء الأمر بالاختصاص ، إلغاء هذا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456- التأشير على هامش القيد بإلغاء الأمر الصادر بالاختصاص :</w:t>
      </w:r>
      <w:r>
        <w:rPr>
          <w:rFonts w:cs="Traditional Arabic" w:hint="cs"/>
          <w:sz w:val="28"/>
          <w:szCs w:val="32"/>
          <w:rtl/>
        </w:rPr>
        <w:t xml:space="preserve"> وإذا قيد الدائن الأمر الصادر بالاختصاص ، ثم صدر أمر أو حكم بإلغاء الأمر الصادر بالاختصاص ، وجب التأشير على هامش القيد بهذا الأمر أو الحكم ، ويكون ذلك بمثابة إلغاء للقيد ، وإلغاء للأمر الصادر بالاختصاص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الفقرة الثانية من المادة 1092 مدني في هذا المعنى ما يأتي : "ويجب أن يؤشر على هامش القيد بكل أمر أو حكم قضى بإلغاء الأمر الصادر بالاختصاص" .</w:t>
      </w:r>
    </w:p>
    <w:p w:rsidR="00F72742" w:rsidRPr="00A74D0A" w:rsidRDefault="00F72742" w:rsidP="00F72742">
      <w:pPr>
        <w:widowControl w:val="0"/>
        <w:spacing w:after="120"/>
        <w:jc w:val="center"/>
        <w:rPr>
          <w:rFonts w:cs="Traditional Arabic" w:hint="cs"/>
          <w:b/>
          <w:bCs/>
          <w:sz w:val="52"/>
          <w:szCs w:val="52"/>
          <w:rtl/>
        </w:rPr>
      </w:pPr>
      <w:r w:rsidRPr="00A74D0A">
        <w:rPr>
          <w:rFonts w:cs="Traditional Arabic" w:hint="cs"/>
          <w:b/>
          <w:bCs/>
          <w:sz w:val="52"/>
          <w:szCs w:val="52"/>
          <w:rtl/>
        </w:rPr>
        <w:lastRenderedPageBreak/>
        <w:t>الفصل الثاني</w:t>
      </w:r>
    </w:p>
    <w:p w:rsidR="00F72742" w:rsidRPr="00A74D0A" w:rsidRDefault="00F72742" w:rsidP="00F72742">
      <w:pPr>
        <w:widowControl w:val="0"/>
        <w:spacing w:after="120"/>
        <w:jc w:val="center"/>
        <w:rPr>
          <w:rFonts w:cs="Traditional Arabic" w:hint="cs"/>
          <w:b/>
          <w:bCs/>
          <w:sz w:val="28"/>
          <w:szCs w:val="32"/>
          <w:rtl/>
        </w:rPr>
      </w:pPr>
      <w:r w:rsidRPr="00A74D0A">
        <w:rPr>
          <w:rFonts w:cs="Traditional Arabic" w:hint="cs"/>
          <w:b/>
          <w:bCs/>
          <w:sz w:val="28"/>
          <w:szCs w:val="32"/>
          <w:rtl/>
        </w:rPr>
        <w:t>آثار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457- نص قانوني :</w:t>
      </w:r>
      <w:r>
        <w:rPr>
          <w:rFonts w:cs="Traditional Arabic" w:hint="cs"/>
          <w:sz w:val="28"/>
          <w:szCs w:val="32"/>
          <w:rtl/>
        </w:rPr>
        <w:t xml:space="preserve"> نصت المادة 1095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"يكون للدائن الذي حصل على حق الاختصاص نفس الحقوق التي للدائن الذي حصل على رهن رسمي ، ويسري على الاختصاص ما يسري على الرهن الرسمي من أحكام ، وبخاصة ما يتصل بالقيد وتجديده ومحوه وعدم تجزئة الحق وأثر وانقضائه ، وذلك كله مع عدم الإخلال بما ورد من أحكام خاصة"</w:t>
      </w:r>
      <w:r>
        <w:rPr>
          <w:rFonts w:cs="Traditional Arabic" w:hint="cs"/>
          <w:sz w:val="28"/>
          <w:szCs w:val="32"/>
          <w:vertAlign w:val="superscript"/>
          <w:rtl/>
        </w:rPr>
        <w:t xml:space="preserve">( </w:t>
      </w:r>
      <w:r w:rsidRPr="00EC737F">
        <w:rPr>
          <w:rStyle w:val="ab"/>
          <w:rFonts w:cs="Traditional Arabic"/>
          <w:sz w:val="28"/>
          <w:szCs w:val="32"/>
          <w:rtl/>
        </w:rPr>
        <w:footnoteReference w:id="14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المذكرة الإيضاحية للمشروع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 . . . وقد يقيد قلم الكتاب حكماً صادراً بالاختصاص بدلا من أمر ، ويكون ذلك في حالة ما إذا رفض طلب الاختصاص ، فتظلم الدائن أمام المحكمة ، فحكم بقبول تظلمه وبإعطائه حق الاختصاص . أما إذا تظلم المدين من المر الصادر بالاختصاص ، فحكم بتأييد الأمر ، فإن الحكم يؤشر به على هامش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$714 "2-  . . . . . . . . . . . . . . . . . . . . . . . . . . . . . . . .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وفيما عدا ذلك يكون للاختصاص أحكام الرهن الرسمي ، وبخاصة فيما يتعلق بتجديد القيد </w:t>
      </w:r>
      <w:r>
        <w:rPr>
          <w:rFonts w:cs="Traditional Arabic" w:hint="cs"/>
          <w:sz w:val="28"/>
          <w:szCs w:val="32"/>
          <w:rtl/>
        </w:rPr>
        <w:lastRenderedPageBreak/>
        <w:t>ومحوه وعدم التجزئة وأثر الحق فيما بين المتعاقدين وبالنسبة للغير من تقديم وتتبع ، وقد تقدم ذكر ذلك"</w:t>
      </w:r>
      <w:r>
        <w:rPr>
          <w:rFonts w:cs="Traditional Arabic" w:hint="cs"/>
          <w:sz w:val="28"/>
          <w:szCs w:val="32"/>
          <w:vertAlign w:val="superscript"/>
          <w:rtl/>
        </w:rPr>
        <w:t xml:space="preserve">( </w:t>
      </w:r>
      <w:r w:rsidRPr="00EC737F">
        <w:rPr>
          <w:rStyle w:val="ab"/>
          <w:rFonts w:cs="Traditional Arabic"/>
          <w:sz w:val="28"/>
          <w:szCs w:val="32"/>
          <w:rtl/>
        </w:rPr>
        <w:footnoteReference w:id="14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نستعرض ، مجرد استعراض ، أهم أحكام الرهن الرسمي التي تنطبق على الاختصاص فيما يتعلق بالآثار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458- دائن له حق الاختصاص :</w:t>
      </w:r>
      <w:r>
        <w:rPr>
          <w:rFonts w:cs="Traditional Arabic" w:hint="cs"/>
          <w:sz w:val="28"/>
          <w:szCs w:val="32"/>
          <w:rtl/>
        </w:rPr>
        <w:t xml:space="preserve"> ونفرض الآن أن دائناً حصل على حق اختصاص بعقار مدينه ، فإن هذا الدائن ، من حيث آثار حق الاختصاص ، يعتبر كدائن مرتهن رهناً رسمياً ، ويكون حق الاختصاص بمثابة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459- الرهن الرسمي غير قابل للتجزئة وكذلك حق الاختصاص</w:t>
      </w:r>
      <w:r>
        <w:rPr>
          <w:rFonts w:cs="Traditional Arabic" w:hint="cs"/>
          <w:sz w:val="28"/>
          <w:szCs w:val="32"/>
          <w:rtl/>
        </w:rPr>
        <w:t xml:space="preserve"> : والرهن الرسمي حق غير قابل للتجزئة ، بالنسبة إلى العقار المرهون ، وبالنسبة إلى الدين المضمون</w:t>
      </w:r>
      <w:r>
        <w:rPr>
          <w:rFonts w:cs="Traditional Arabic" w:hint="cs"/>
          <w:sz w:val="28"/>
          <w:szCs w:val="32"/>
          <w:vertAlign w:val="superscript"/>
          <w:rtl/>
        </w:rPr>
        <w:t xml:space="preserve">( </w:t>
      </w:r>
      <w:r w:rsidRPr="00EC737F">
        <w:rPr>
          <w:rStyle w:val="ab"/>
          <w:rFonts w:cs="Traditional Arabic"/>
          <w:sz w:val="28"/>
          <w:szCs w:val="32"/>
          <w:rtl/>
        </w:rPr>
        <w:footnoteReference w:id="143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فبالنسبة إلى العقار المرهون ، إذا فرض أن الدين انقسم على عدة أشخاص ، وأدى واحد منهم الجزء من الدين الذي هو مسئول عنه ، لم يجز شطب الرهن عن الجزء من العقار الذي اختص به إلا بعد سداد الدين كله ، لأن كل جزء من العقار المرهون مسئول عن كل الدين . وكذلك حق الاختصاص ، كل جزء من العقار المحمل به مسئول عن كل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وبالنسبة إلى الدين المضمون ، إذا انقضى جزء منه ، فإن العقار المرهون كله يبقى ضامناً لما بقي من الدين . وكذلك العقار المحمل بحق الاختصاص ، فإنه يبقى كله ضامناً لأي جزء من الدين لم يسدد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$715 </w:t>
      </w:r>
      <w:r>
        <w:rPr>
          <w:rFonts w:cs="Traditional Arabic" w:hint="cs"/>
          <w:b/>
          <w:bCs/>
          <w:sz w:val="28"/>
          <w:szCs w:val="32"/>
          <w:rtl/>
        </w:rPr>
        <w:t xml:space="preserve">460 آثار الرهن الرسمي يما بين المتعاقدين وآثار الاختصاص فيما بين الدائن والمدين : </w:t>
      </w:r>
      <w:r>
        <w:rPr>
          <w:rFonts w:cs="Traditional Arabic" w:hint="cs"/>
          <w:sz w:val="28"/>
          <w:szCs w:val="32"/>
          <w:rtl/>
        </w:rPr>
        <w:t>وقد سبقت لنا دراسة آثار الرهن الرسمي فيما بين المتعاقدين ، الراهن والمرتهن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436"/>
      </w:r>
      <w:r>
        <w:rPr>
          <w:rFonts w:cs="Traditional Arabic" w:hint="cs"/>
          <w:sz w:val="28"/>
          <w:szCs w:val="32"/>
          <w:vertAlign w:val="superscript"/>
          <w:rtl/>
        </w:rPr>
        <w:t xml:space="preserve"> )</w:t>
      </w:r>
      <w:r>
        <w:rPr>
          <w:rFonts w:cs="Traditional Arabic" w:hint="cs"/>
          <w:sz w:val="28"/>
          <w:szCs w:val="32"/>
          <w:rtl/>
        </w:rPr>
        <w:t xml:space="preserve"> ، فنستعرض </w:t>
      </w:r>
      <w:r>
        <w:rPr>
          <w:rFonts w:cs="Traditional Arabic" w:hint="cs"/>
          <w:sz w:val="28"/>
          <w:szCs w:val="32"/>
          <w:rtl/>
        </w:rPr>
        <w:lastRenderedPageBreak/>
        <w:t>أهم المسائل في هذا الموضوع ، ونطبق الأحكام فيها على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461- إنشاء الراهن لحق الرهن :</w:t>
      </w:r>
      <w:r>
        <w:rPr>
          <w:rFonts w:cs="Traditional Arabic" w:hint="cs"/>
          <w:sz w:val="28"/>
          <w:szCs w:val="32"/>
          <w:rtl/>
        </w:rPr>
        <w:t xml:space="preserve"> يلتزم الراهن بإنشاء حق الرهن للدائن المرتهن ، فإذا كان الراهن مالكاً للعقار المرهون ، أنشئ حق الرهن الرسمي عليه من تلقاء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كان حق الاختصاص يعطي على عقار مملوك للمدين ، فإن حق الاختصاص ينشأ على هذا العقار من تلقاء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462- ضمان الرهن لسلامة حق الرهن :</w:t>
      </w:r>
      <w:r>
        <w:rPr>
          <w:rFonts w:cs="Traditional Arabic" w:hint="cs"/>
          <w:sz w:val="28"/>
          <w:szCs w:val="32"/>
          <w:rtl/>
        </w:rPr>
        <w:t xml:space="preserve"> يضمن الراهن سلامة حق الرهن ، فلا يجوز أن يقوم الراهن بترتيب أي حق على العقار المرهون بشهر قبل قيد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كذلك في حق الاختصاص ، لا يجوز للمدين ، بعد أن أخذ حق الاختصاص على عقاره ، أن يرتب على هذا العقار أي حق يشهر قبل قيد حق الاختصاص .</w:t>
      </w:r>
    </w:p>
    <w:p w:rsidR="00F72742" w:rsidRPr="00BD0F5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وكذلك ليس له أن ينزع شيئاً من هذا العقار ، كأن يبيع المواشي التي تخدم الأرض ، أو يبيع الأنقاض بعد هم جزء من المباني ، فتقع في يد مشتر حسن النية فيملكها خالصة م نحق الاختصاص ، فيكون عندئذ للدائن الرجوع على المدين بضمان التعرض الشخصي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وفيما يتعلق بضمان المدين لحق الاختصاص م تعرض الغير ، إذا أدعي شخص أنه قد نشأ له حق ارتفاق على العقار المأخوذ عليه حق الاختصاص ، $716 فعلى المدين أن يدفع هذا الادعاء من الغير . فإن لم يستطع ، كان للدائن أن يطالب بتقديم تأمين كافٍ أو يطالب بدفع الدين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من ذلك أن ضمان المدين لتعرضه الشخصي ولتعرض الغير ، هو في الواقع م الأمر الجزاء الكافي على التزام المدين بضمان سلامة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463- هلاك العقار أو تلفه :</w:t>
      </w:r>
      <w:r>
        <w:rPr>
          <w:rFonts w:cs="Traditional Arabic" w:hint="cs"/>
          <w:sz w:val="28"/>
          <w:szCs w:val="32"/>
          <w:rtl/>
        </w:rPr>
        <w:t xml:space="preserve"> وقد قضت المادة 1048 مدني ، فيما يتعلق بالرهن الرسمي ، بأنه إذا كان الهلاك أو التلف بخطأ الراهن ، كان الدائن المرتهن مخيراً بني أن يقتضي تأميناً كافياً أو أن يستوفي حقه فوراً ، وبأنه إذا كان الهلاك أو التلف قد نشأ من سبب أجنبي ، كان المدين خيراً بين أن يقدم تأميناً كافياً أو أن يوفي الدين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وكذلك في حق الاختصاص ، إذا كان الهلاك أو التلف بخطأ المدين كان الدائن مخيراً بين أن يقتضي تأميناً كافياً أن يستوفي حقه فوراً ، وإذا كان الهلاك أو التلف قد نشأ عن سبب أجنبي ، كان المدين خيراً بين أن يقدم تأميناً كافياً أو أن يوفي الدين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هلك العقار أو تلف لأي سبب كان ، انتقل الاختصاص بمرتبته إلى الحق الذي حل محل العقار حلولا عينياً ، كالتعويض أو مبلغ التأمين أو الثمن الذي يقرر مقابل نزع الملكية للمنفعة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464- عدم تجريد الرهن لا من ملكية العقار ولا م حيازته وكذلك المدين في حق الاختصاص :</w:t>
      </w:r>
      <w:r>
        <w:rPr>
          <w:rFonts w:cs="Traditional Arabic" w:hint="cs"/>
          <w:sz w:val="28"/>
          <w:szCs w:val="32"/>
          <w:rtl/>
        </w:rPr>
        <w:t xml:space="preserve"> يبقى الراهن مالكاً للعقار المرهون وحائزاً له ، وكذلك المدين في حق الاختصاص يبقى مالكاً للعقار وحائزاً 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فيبقى للمدين في حق الاختصاص حق الترف في العقار كما يبقى له حق استعماله وحق استغلاله ، ولا تتقيد سلطته في كل ذلك إلا بحق الدائن في يحق الاختصاص ، فإن هذا الحق يبقى قائماً لضمان الوفاء بالدين ، وقد ينتهي إلى التنفيذ على العقار واستيفاء الدين من ثمنه بحسب مرتبة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$717 </w:t>
      </w:r>
      <w:r>
        <w:rPr>
          <w:rFonts w:cs="Traditional Arabic" w:hint="cs"/>
          <w:b/>
          <w:bCs/>
          <w:sz w:val="28"/>
          <w:szCs w:val="32"/>
          <w:rtl/>
        </w:rPr>
        <w:t>465- حق الراهن في استغلال العقار وكذلك حق المدين في الاختصاص :</w:t>
      </w:r>
      <w:r>
        <w:rPr>
          <w:rFonts w:cs="Traditional Arabic" w:hint="cs"/>
          <w:sz w:val="28"/>
          <w:szCs w:val="32"/>
          <w:rtl/>
        </w:rPr>
        <w:t xml:space="preserve"> قضت المادة 1044 مدني ، في حق الرهن الرسمي ، بأن للراهن الحق في إدارة العقار المرهون وفي قبض ثماره إلى وقت التحاقها بالعقار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وكذلك المدين في حق الاختصاص له الحق في إدارة العقار ، وفي قبض ثماره إلى وقت التحاقها بالعقار . ويبقى للمدين الحق في قبض ثمار العقار إلى وقت التحاقها بالعقار ، وهذا الوقت هو وقت تسجيل تنبيه نزع المكية ، إذا نفذ الدائن على العقار ونزع ملكيته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466- إيجار العقار :</w:t>
      </w:r>
      <w:r>
        <w:rPr>
          <w:rFonts w:cs="Traditional Arabic" w:hint="cs"/>
          <w:sz w:val="28"/>
          <w:szCs w:val="32"/>
          <w:rtl/>
        </w:rPr>
        <w:t xml:space="preserve"> هنا يجب التمييز ين إيجار تزيد مدته على تسع سنوات ، وإيجار لا تزيد مدته على ذلك . والقاعدة في هذا هي نفس قاعدة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زادت مدة الإيجار الصاد من المدين على تسع سنوات ، فإن هذا الإيجار لا يسري إلا لمدة </w:t>
      </w:r>
      <w:r>
        <w:rPr>
          <w:rFonts w:cs="Traditional Arabic" w:hint="cs"/>
          <w:sz w:val="28"/>
          <w:szCs w:val="32"/>
          <w:rtl/>
        </w:rPr>
        <w:lastRenderedPageBreak/>
        <w:t>تسع سنوات</w:t>
      </w:r>
      <w:r>
        <w:rPr>
          <w:rFonts w:cs="Traditional Arabic" w:hint="cs"/>
          <w:sz w:val="28"/>
          <w:szCs w:val="32"/>
          <w:vertAlign w:val="superscript"/>
          <w:rtl/>
        </w:rPr>
        <w:t xml:space="preserve">( </w:t>
      </w:r>
      <w:r w:rsidRPr="00EC737F">
        <w:rPr>
          <w:rStyle w:val="ab"/>
          <w:rFonts w:cs="Traditional Arabic"/>
          <w:sz w:val="28"/>
          <w:szCs w:val="32"/>
          <w:rtl/>
        </w:rPr>
        <w:footnoteReference w:id="1437"/>
      </w:r>
      <w:r>
        <w:rPr>
          <w:rFonts w:cs="Traditional Arabic" w:hint="cs"/>
          <w:sz w:val="28"/>
          <w:szCs w:val="32"/>
          <w:vertAlign w:val="superscript"/>
          <w:rtl/>
        </w:rPr>
        <w:t xml:space="preserve"> )</w:t>
      </w:r>
      <w:r>
        <w:rPr>
          <w:rFonts w:cs="Traditional Arabic" w:hint="cs"/>
          <w:sz w:val="28"/>
          <w:szCs w:val="32"/>
          <w:rtl/>
        </w:rPr>
        <w:t xml:space="preserve"> ، إلا إذا كان مسجلا قبل الاختصاص فيسري لكامل مدته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تزد مدة الإيجار على تسع سنوات ، فإنه يجب ، حتى يسري لكامل مدته في حق الدائن ، أن يكون ثابت التاريخ قبل تسجيل تنبيه 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الإيجار غير ثابت التاريخ قبل تسجيل تنبيه نزع الملكية ، فإنه لا يسري في حق الدائن إلا فقي حدود الإدارة الحسنة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467- قبض الأجرة مقدما أو الحوالة بها : </w:t>
      </w:r>
      <w:r>
        <w:rPr>
          <w:rFonts w:cs="Traditional Arabic" w:hint="cs"/>
          <w:sz w:val="28"/>
          <w:szCs w:val="32"/>
          <w:rtl/>
        </w:rPr>
        <w:t>المدين في حق الاختصاص كالراهن ، من حقه أن يقبض ما استحق من الأجرة عن مدة سابقة على $718 تسجيل تنبيه نزع الملكية ، فإن الأجرة في هذه الحالة تعتبر ثماراً مدنية لم تلحق بالعقار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قبض المدين الأجرة مقدماً ، أو حول بها مقدماً ، فيجب التمييز بين فرضين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الفرض الأول ) أن تكون المخالصة أو الحوالة بالأجرة مقدماً عن مدة تزيد على ثلاث سنوات . فيجب تسجيل المخالصة أو الحوالة قبل قيد الاختصاص ، حتى تنفذ في حق الدائن لكامل المدة . فإذا لم تسجل قبل قيد الاختصاص ، فلا تسري إلا لمدة ثلاث سنوات ، مع وجوب أن تكون المخالصة أو الحوالة ثابتة التاريخ قبل تسجيل تنبيه نزع الملكية ، وإلا فإنها لا تسري في حق الدائن إلا لمدة سنة واحدة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الفرض الثاني ) أن تكون المخالصة أو الحوالة بالأجرة مقدماً عن مدة لا تزيد على ثلاث سنوات . فيتشرط أن تكون المخالصة أو الحوالة ثابتة التاريخ قبل تسجيل تنبيه نزع الملكية ، وإلا فإنها لا تسري في حق الدائن إلا لمدة سنة واحدة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468- بيع المثار قبل جنيها : </w:t>
      </w:r>
      <w:r>
        <w:rPr>
          <w:rFonts w:cs="Traditional Arabic" w:hint="cs"/>
          <w:sz w:val="28"/>
          <w:szCs w:val="32"/>
          <w:rtl/>
        </w:rPr>
        <w:t xml:space="preserve">الرأي الراجح أن المدين في الاختصاص ، كالرهن ، له أن يبيع المثار قبل جنيها ، بشرط أن يكون البيع ثابت التاريخ قبل تسجيل تنبيه نزع الملكية ، وإلا فإن البيع لا يسري في حق الدائن ، ومن حق هذا الدائن أن يستبقى المحصولات في الأرض بعد تسجيل تنبيه نزع </w:t>
      </w:r>
      <w:r>
        <w:rPr>
          <w:rFonts w:cs="Traditional Arabic" w:hint="cs"/>
          <w:sz w:val="28"/>
          <w:szCs w:val="32"/>
          <w:rtl/>
        </w:rPr>
        <w:lastRenderedPageBreak/>
        <w:t>الملكية ويجري في توزيع ثمنها كما يجري في توزيع ثمن العقار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469- بطلان شرطي تملك العقار عند عدم الوفاء وبيع العقار دون إجراءات :</w:t>
      </w:r>
      <w:r>
        <w:rPr>
          <w:rFonts w:cs="Traditional Arabic" w:hint="cs"/>
          <w:sz w:val="28"/>
          <w:szCs w:val="32"/>
          <w:rtl/>
        </w:rPr>
        <w:t xml:space="preserve"> والدائن إذا اتفق مع المدين ، في الاختصاص ، على أن يتملك العقار المأخوذ عليه حق الاختصاص عند عدم وفاء المدين بما عليه ، كان هذا الاتفاق باطلا ، كما في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$719 وإذا اتفق الدائن مع المدين على أن يباع العقار المأخوذ عليه الاختصاص دون إجراءات ، إذا لم يوف المدين بما عليه ، كان هذا الاتفاق باطلا أيضاً كما في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470- آثار الرهن الرسمي بالنسبة إلى الغير </w:t>
      </w:r>
      <w:r>
        <w:rPr>
          <w:rFonts w:cs="Traditional Arabic"/>
          <w:b/>
          <w:bCs/>
          <w:sz w:val="28"/>
          <w:szCs w:val="32"/>
          <w:rtl/>
        </w:rPr>
        <w:t>–</w:t>
      </w:r>
      <w:r>
        <w:rPr>
          <w:rFonts w:cs="Traditional Arabic" w:hint="cs"/>
          <w:b/>
          <w:bCs/>
          <w:sz w:val="28"/>
          <w:szCs w:val="32"/>
          <w:rtl/>
        </w:rPr>
        <w:t xml:space="preserve"> وآثار حق الاختصاص بالنسبة إلى الغير :</w:t>
      </w:r>
      <w:r>
        <w:rPr>
          <w:rFonts w:cs="Traditional Arabic" w:hint="cs"/>
          <w:sz w:val="28"/>
          <w:szCs w:val="32"/>
          <w:rtl/>
        </w:rPr>
        <w:t xml:space="preserve"> يجب أن يقيد الدائن حق الاختصاص ، كما يجب أن يقيد الدائن المرتهن حق الرهن الرسمي ، حتى يكون الحق نافذاً في حق الغير ، بما يستتبعه من حق تقدم وحق تتبع . ويجب أولا أن يقيد الدائن صاحب الاختصاص حقه ، كما يقيد الدائن  المرتهن حقه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471- شهر حق الاختصاص :</w:t>
      </w:r>
      <w:r>
        <w:rPr>
          <w:rFonts w:cs="Traditional Arabic" w:hint="cs"/>
          <w:sz w:val="28"/>
          <w:szCs w:val="32"/>
          <w:rtl/>
        </w:rPr>
        <w:t xml:space="preserve"> ويخضع حق الاختصاص للقيد كما يخضع حق الرهن الرسمي . فإذا صدر أمر رئيس المحكمة أو حكم المحكمة بالاختصاص ، استخرج الدائن صورة رسمية محررة على الورق الأزرق الخاص ، وقدمها مع قائمة القيد إلى مكتب الشهر المختص لإجراء قيدها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جرى العمل على أن الصورة الرسمية المحررة على الورق الأزرق هي القائمة التي تشهر ، لأن هذه الصورة تتضمن جميع البيانات التي يجب أن تدرج في القائمة ، وهذا بشرط ألا ينقص بيان من بيانات الشهر ، وإلا كلف صاحب الشأن بتقديم قائمة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472- إجراءات شهر حق الاختصاص :</w:t>
      </w:r>
      <w:r>
        <w:rPr>
          <w:rFonts w:cs="Traditional Arabic" w:hint="cs"/>
          <w:sz w:val="28"/>
          <w:szCs w:val="32"/>
          <w:rtl/>
        </w:rPr>
        <w:t xml:space="preserve"> بعد صدور أمر الاختصاص ، تنسخ منه صورة طبق الأصل على الورق الأزرق ، متضمنة جميع البيانات الدالة على استيفائه مراحل الشهر التمهيدية ، وتقدم للمكتب المختص لشهرها بطريق القيد وتصويرها وإرسال الصور للجهات المختص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وتقوم المأمورية بمراجعة ملكية المدين ، للتأكد من أن أمر الاختصاص المطلوب يقع على عقار أو عقارات مملوكة للمدين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$720 ويقدم الدائن الذي يريد أخذ اختصاص عريضة بذلك ، متضمنة البيانات التي تتطلبها المادة 30 من قانون تنظيم الشهر العقاري بخصوص قائمة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ويستحق على قيد أمر الاختصاص رسم نسبة قدره 1/4% من المبلغ الأصلي وملحقاته . أما عند تجديد هذا القيد ، فلا يحصل الرسم النسب إلا على قيمة الزيادة فقط ، بخلاف رسوم التصوير ورسوم الحفظ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473- شهر أمر إنقاص الاختصاص :</w:t>
      </w:r>
      <w:r>
        <w:rPr>
          <w:rFonts w:cs="Traditional Arabic" w:hint="cs"/>
          <w:sz w:val="28"/>
          <w:szCs w:val="32"/>
          <w:rtl/>
        </w:rPr>
        <w:t xml:space="preserve"> ويترتب على أمر إنقاص حق الاختصاص تعديل في الأمر ذاته ، يقتضي شهر أمر الإنقاص ليسري في مواجهة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ويختلف شهر أمر الإنقاص ، باختلاف موضوعه . فإذا كمان الأمر يقضي بقصر حق الاختصاص على جزء من العقار ، فإن هذا الأمر يخضع للشهر بطريق التأشير الهامشي على هامش قيد حق الاختصاص نفسه . أما إذا كان أمر الإنقاص قد قضي بإحلال عقار محل العقار الذي رتب عليه الحق الأصلي ، فإن هذا الأمر الجديد واجب الشهر بطريق القيد ، ثم التأشير بمضمونه على هامش حق الاختصاص الأصلي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أن أمر الإنقاص في هذه الحالة الأخيرة بمراحل الشهر التمهيدية ، للتأشير عليه بالصلاحية للشهر قبل استصداره من رئيس المحكمة المختصة . ويكون للقيد الجديد مع التأشير بمضمونه ، نفس مرتبة حق الاختصاص الأصلي</w:t>
      </w:r>
      <w:r>
        <w:rPr>
          <w:rFonts w:cs="Traditional Arabic" w:hint="cs"/>
          <w:sz w:val="28"/>
          <w:szCs w:val="32"/>
          <w:vertAlign w:val="superscript"/>
          <w:rtl/>
        </w:rPr>
        <w:t xml:space="preserve">( </w:t>
      </w:r>
      <w:r w:rsidRPr="00EC737F">
        <w:rPr>
          <w:rStyle w:val="ab"/>
          <w:rFonts w:cs="Traditional Arabic"/>
          <w:sz w:val="28"/>
          <w:szCs w:val="32"/>
          <w:rtl/>
        </w:rPr>
        <w:footnoteReference w:id="14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474- أثر شهر حق الاختصاص :</w:t>
      </w:r>
      <w:r>
        <w:rPr>
          <w:rFonts w:cs="Traditional Arabic" w:hint="cs"/>
          <w:sz w:val="28"/>
          <w:szCs w:val="32"/>
          <w:rtl/>
        </w:rPr>
        <w:t xml:space="preserve"> ويترتب على قيد أمر الاختصاص أن يسري هذا الأمر في مواجهة الغير ، ويكون للدائن حق التقدم وحق التتبع على العقار الذي يتضمنه هذا الأمر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$721 والعبرة هي بأسبقية الشهر ، فإذا تم شهر اختصاصين في يوم واحد ، كانت الأسبقية لمن قام بشهر اختصاصه قبل الآخر بحسب الساعة التي تم فيها ، وفقاً لترتيب تقديمها لمكتب الشهر المختص</w:t>
      </w:r>
      <w:r>
        <w:rPr>
          <w:rFonts w:cs="Traditional Arabic" w:hint="cs"/>
          <w:sz w:val="28"/>
          <w:szCs w:val="32"/>
          <w:vertAlign w:val="superscript"/>
          <w:rtl/>
        </w:rPr>
        <w:t xml:space="preserve">( </w:t>
      </w:r>
      <w:r w:rsidRPr="00EC737F">
        <w:rPr>
          <w:rStyle w:val="ab"/>
          <w:rFonts w:cs="Traditional Arabic"/>
          <w:sz w:val="28"/>
          <w:szCs w:val="32"/>
          <w:rtl/>
        </w:rPr>
        <w:lastRenderedPageBreak/>
        <w:footnoteReference w:id="14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475- القيد وتجديده ومحوه وإلغاء المحو : </w:t>
      </w:r>
      <w:r>
        <w:rPr>
          <w:rFonts w:cs="Traditional Arabic" w:hint="cs"/>
          <w:sz w:val="28"/>
          <w:szCs w:val="32"/>
          <w:rtl/>
        </w:rPr>
        <w:t>وكل ما قدمناه في قيد الرهن الرسمي ، وتجدي القيد ومحوه وإلغاء المحو</w:t>
      </w:r>
      <w:r>
        <w:rPr>
          <w:rFonts w:cs="Traditional Arabic" w:hint="cs"/>
          <w:sz w:val="28"/>
          <w:szCs w:val="32"/>
          <w:vertAlign w:val="superscript"/>
          <w:rtl/>
        </w:rPr>
        <w:t xml:space="preserve">( </w:t>
      </w:r>
      <w:r w:rsidRPr="00EC737F">
        <w:rPr>
          <w:rStyle w:val="ab"/>
          <w:rFonts w:cs="Traditional Arabic"/>
          <w:sz w:val="28"/>
          <w:szCs w:val="32"/>
          <w:rtl/>
        </w:rPr>
        <w:footnoteReference w:id="1440"/>
      </w:r>
      <w:r>
        <w:rPr>
          <w:rFonts w:cs="Traditional Arabic" w:hint="cs"/>
          <w:sz w:val="28"/>
          <w:szCs w:val="32"/>
          <w:vertAlign w:val="superscript"/>
          <w:rtl/>
        </w:rPr>
        <w:t xml:space="preserve"> )</w:t>
      </w:r>
      <w:r>
        <w:rPr>
          <w:rFonts w:cs="Traditional Arabic" w:hint="cs"/>
          <w:sz w:val="28"/>
          <w:szCs w:val="32"/>
          <w:rtl/>
        </w:rPr>
        <w:t xml:space="preserve"> ، ينطبق على قيد الاختصاص وتجديده</w:t>
      </w:r>
      <w:r>
        <w:rPr>
          <w:rFonts w:cs="Traditional Arabic" w:hint="cs"/>
          <w:sz w:val="28"/>
          <w:szCs w:val="32"/>
          <w:vertAlign w:val="superscript"/>
          <w:rtl/>
        </w:rPr>
        <w:t xml:space="preserve">( </w:t>
      </w:r>
      <w:r w:rsidRPr="00EC737F">
        <w:rPr>
          <w:rStyle w:val="ab"/>
          <w:rFonts w:cs="Traditional Arabic"/>
          <w:sz w:val="28"/>
          <w:szCs w:val="32"/>
          <w:rtl/>
        </w:rPr>
        <w:footnoteReference w:id="1441"/>
      </w:r>
      <w:r>
        <w:rPr>
          <w:rFonts w:cs="Traditional Arabic" w:hint="cs"/>
          <w:sz w:val="28"/>
          <w:szCs w:val="32"/>
          <w:vertAlign w:val="superscript"/>
          <w:rtl/>
        </w:rPr>
        <w:t xml:space="preserve"> )</w:t>
      </w:r>
      <w:r>
        <w:rPr>
          <w:rFonts w:cs="Traditional Arabic" w:hint="cs"/>
          <w:sz w:val="28"/>
          <w:szCs w:val="32"/>
          <w:rtl/>
        </w:rPr>
        <w:t xml:space="preserve"> ومحوه وإلغاء المحو ، فلا حاجة لتكرار ما قدمناه في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476- حق التقدم :</w:t>
      </w:r>
      <w:r>
        <w:rPr>
          <w:rFonts w:cs="Traditional Arabic" w:hint="cs"/>
          <w:sz w:val="28"/>
          <w:szCs w:val="32"/>
          <w:rtl/>
        </w:rPr>
        <w:t xml:space="preserve"> ويستعمل حق التقدم في الاختصاص ، كما يستعمل حق التقدم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فيما يتعلق بالدين المضمون ، يشمل الدين أصل الدين ، وملحقاته وهذه تتضمن مصروفات القيد والتجديد وفوائد السنتين السابقتين على تسجيل تنبيه نزع الملكية والفوائد التي تستحق من هذا التاريخ إلى يوم رسو المزاد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وفيما يتعلق بالمال ، فهو العقار المأخوذ عليه حق الاختصاص . فإذا هلك هذا العقار أو تلف ، انتقل الاختصاص بمرتبته إلى ما حل حلولا عينياً محل هذا العقار ، من تعويض أو مبلغ تأمين أو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477- حق التتبع : </w:t>
      </w:r>
      <w:r>
        <w:rPr>
          <w:rFonts w:cs="Traditional Arabic" w:hint="cs"/>
          <w:sz w:val="28"/>
          <w:szCs w:val="32"/>
          <w:rtl/>
        </w:rPr>
        <w:t>ويستطيع الدائن صاحب حق الاختصاص أن يستعمل ، بمقتضى حقه ، حق التتبع في يد الحائز للعقار المفروض عليه حق التتبع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$722 وللحائز أن يقضي الدين ، أو يطهر العقار ، أو يخليه ، أو يتحمل إجراءات نزع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478- قضاء الدين : </w:t>
      </w:r>
      <w:r>
        <w:rPr>
          <w:rFonts w:cs="Traditional Arabic" w:hint="cs"/>
          <w:sz w:val="28"/>
          <w:szCs w:val="32"/>
          <w:rtl/>
        </w:rPr>
        <w:t xml:space="preserve">ويختار الحائز عادة قضاء الدين ، إذا كان الدين أقل من ثمن العقار . </w:t>
      </w:r>
      <w:r>
        <w:rPr>
          <w:rFonts w:cs="Traditional Arabic" w:hint="cs"/>
          <w:sz w:val="28"/>
          <w:szCs w:val="32"/>
          <w:rtl/>
        </w:rPr>
        <w:lastRenderedPageBreak/>
        <w:t>ويدفع للدائن صاحب الاختصاص كل ما يجب دفعه لهم دين وملحقات وفوائد ، ويجب دفع كل ذلك لأن الاختصاص غير قابل للتجزئة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ويرجع الحائز ، بكل ما يوفيه للدائن صاحب حق الاختصاص ، على المدين وعلى المالك السابق للعقار ، كما له أن يحل الدائن الذي استوفى الدين فيما له من حقوق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ويجبر الحائز على دفع الدين في حالتين : ( 1 ) إذا كان في ذمة الحائز ، بسبب امتلاكه للعقار ، مبلغ مستحق الأداء حالا يكفي لوفاء جميع الدائنين المقيدة حقوقهم على العقار ، فلكل من هؤلاء الدائنين أن يجبر الحائز على الوفاء بحقه . ( 2 ) إذا اتفق الدائنون المقيدون جميعاً على أن يطالبوا الحائز بدفع ما في ذمته ، بقدر ما هو مستحق لهم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479- تطهير العقار :</w:t>
      </w:r>
      <w:r>
        <w:rPr>
          <w:rFonts w:cs="Traditional Arabic" w:hint="cs"/>
          <w:sz w:val="28"/>
          <w:szCs w:val="32"/>
          <w:rtl/>
        </w:rPr>
        <w:t xml:space="preserve"> ويجوز للحائز تطهير العقار ، ويختار عادة هذا الطريق إذا رأي أن قيمة العقار هي أقل من الديون المضمونة بالقيود . وقواعد التطهير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43"/>
      </w:r>
      <w:r>
        <w:rPr>
          <w:rFonts w:cs="Traditional Arabic" w:hint="cs"/>
          <w:sz w:val="28"/>
          <w:szCs w:val="32"/>
          <w:vertAlign w:val="superscript"/>
          <w:rtl/>
        </w:rPr>
        <w:t xml:space="preserve"> )</w:t>
      </w:r>
      <w:r>
        <w:rPr>
          <w:rFonts w:cs="Traditional Arabic" w:hint="cs"/>
          <w:sz w:val="28"/>
          <w:szCs w:val="32"/>
          <w:rtl/>
        </w:rPr>
        <w:t xml:space="preserve"> بتطبيق هذا في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ونذكر هنا للتذكرة ، نقلا عن المذكرة الإيضاحية للمشروع التمهيدي</w:t>
      </w:r>
      <w:r>
        <w:rPr>
          <w:rFonts w:cs="Traditional Arabic" w:hint="cs"/>
          <w:sz w:val="28"/>
          <w:szCs w:val="32"/>
          <w:vertAlign w:val="superscript"/>
          <w:rtl/>
        </w:rPr>
        <w:t xml:space="preserve">( </w:t>
      </w:r>
      <w:r w:rsidRPr="00EC737F">
        <w:rPr>
          <w:rStyle w:val="ab"/>
          <w:rFonts w:cs="Traditional Arabic"/>
          <w:sz w:val="28"/>
          <w:szCs w:val="32"/>
          <w:rtl/>
        </w:rPr>
        <w:footnoteReference w:id="1444"/>
      </w:r>
      <w:r>
        <w:rPr>
          <w:rFonts w:cs="Traditional Arabic" w:hint="cs"/>
          <w:sz w:val="28"/>
          <w:szCs w:val="32"/>
          <w:vertAlign w:val="superscript"/>
          <w:rtl/>
        </w:rPr>
        <w:t xml:space="preserve"> )</w:t>
      </w:r>
      <w:r>
        <w:rPr>
          <w:rFonts w:cs="Traditional Arabic" w:hint="cs"/>
          <w:sz w:val="28"/>
          <w:szCs w:val="32"/>
          <w:rtl/>
        </w:rPr>
        <w:t xml:space="preserve"> ، أن التطهير يمر على المراحل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يسجل الحائز سند ملكيته إذا كان سنداً قابلا للتسجيل  . . . . كالمشتري يسجل البيع ، والموهوب له يسجل الهبة ، والشفيع يسجل حكم $723 الشفعة ، والموصي له يسجل الوصية . والغرض من ذلك تحديد الحقوق المقيدة على العقار ، بما في ذلك حق الاختصاص ، لأنه متى سجل الحائز سند ملكيته فلا يمكن بعد هذا التسجيل أن يستجد دائن مقيد يكون قيده نافذاً في حق الحائز . أما إذا كان سند الملكية غير قابل للتسجيل ، بأن كان عملا مادياً لا عملا قانونياً ، فلا سبيل للتسجيل في هذه الحالة . فالحائز الذي ملك بالتقادم عقاراً يستطيع أن يطهر هذا العقار دون أن يسجل شيئاً ، لأن التقادم واقعة </w:t>
      </w:r>
      <w:r>
        <w:rPr>
          <w:rFonts w:cs="Traditional Arabic" w:hint="cs"/>
          <w:sz w:val="28"/>
          <w:szCs w:val="32"/>
          <w:rtl/>
        </w:rPr>
        <w:lastRenderedPageBreak/>
        <w:t>مادية تستعصى على التسجيل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بعد أن يسجل الحائز سنده على النحو المتقدم ، يستطيع أن يبدأ إجراءات التطهير ، دون حاجة إلى انتظار توجيه دائن مقيد إنذاراً له بالدفع أو التخلية ، ويبقى حقه قائماً في التطهير إلى يوم إيداع قائمة شروط البيع . وأول إجراء في التطهير هو أن يوجه للدائنين المقيدة حقوقهم إعلاناً يشتمل على البيانات المذكورة في المادة 1488 ، ومن بينها بيان يذكر فيه قيمة العقار التي يقدرها ، فقد يقدر قيمة أقل من الثمن أو أكبر منه ، ولكنه يتقيد بألا يقدر قيمة أقل من السعر الذي يتخذ في تقدير الثمن في حالة نزع الملكية ، ولا تقل في الوقت ذاته عن الباقي في ذمته من ثمن العقار . ولا يعرض الحائز ما يقدره عرضاً حقيقياً ، بل يكفي أن يظهر استعداده للدفع فوراً متى قبل عرضه ، أياً كان ميعاد استحقاق الديون المقيدة . فإذا أظهر هذا الاستعداد ، أصبح ملتزماً بالبقاء على ما عرضه ، ومصدر التزامه رادته المنفردة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وإذا وافق الدائنون المقيدون جميعاً على العرض الذي تقدم به الحائز ، أو سكتوا ستين يوماً من آخر إعلان رسمي ، اعتبر العرض مقبولا ، ووجب على الحائز أن يدفع المبلغ المعروض للدائنين بحسب مراتبهم ، أو يودعه خزانة المحكمة ، فيتطهر العقار من كل قيد ويمحي ما عليه من القيود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$724 أما إذا طلب أحد الدائنين المقيدين ، ويدخل فيهم الدائن صاحب الاختصاص ، أو كفيل له أو وكيل عنه وكالة خاصة ، بيع العقار ، فإن ذلك يكون بإعلان يوجه إلى الحائز في مدى الستين يوماً المشار إليها يطلب فيه عرض العقار للبيع في المزاد ، ولا تشترط زيادة العشر . ولكن يجب على الدائن أن يودع في خزانة المحكمة مبلغاً كافياً لتغطية مصروفات البيع في المزاد ، ولا يسترد هذه المصروفات إذا وقع المزاد على الحائز لعدم تقدم مزايد بعطاه أكبر مما عرض . ومتى تقدم أحد الدائنين يطلب بيع العقار على النحو الذي تقدم ، وجب عرض العقار ، في المزاد ، ولا يجوز للدائن أن يتنازل عن طلبه إلا بموافقة جميع الدائنين والكفلاء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 يطرح العقار في المزاد ، وتتبع الإجراءات المقررة في البيوع الجبرية . فإن عرض مزايد مبلغاً أكبر من القيمة التي عرضها الحائز ، وقد يكون المزايد هو الدائن الذي طلب البيع أو دائناً آخر أو أجنبياً أو الحائز زاد فيما كان قد عرض ولكن لا يجوز أن يكون المدين ، رسا المزاد عليه . ووجب أن يدفع ، إلى </w:t>
      </w:r>
      <w:r>
        <w:rPr>
          <w:rFonts w:cs="Traditional Arabic" w:hint="cs"/>
          <w:sz w:val="28"/>
          <w:szCs w:val="32"/>
          <w:rtl/>
        </w:rPr>
        <w:lastRenderedPageBreak/>
        <w:t>جانب العطاء الذي تقدم به ، المصروفات التي أنفقها الحائز في سند ملكيته ونفقات الإعلانات التي اقتضتها إجراءات التطهير ، ويرد إلى طالب البيع ما سبق أن قدمه لذلك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يتقدم مزايد بعطاء أكبر ، خلصت للحائز ملكية العقار ، ولا يلتزم بدفع المبلغ الذي سبق أن عرضه . والمبلغ الذي يرسو به المزاد يودع خزانة المحكمة ، أو يدفع للدائنين بحسب مراتبهم ، فتنقضي الديون وتمحي القيود ، ويتم بذلك تطهير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480- تخلية العقار :</w:t>
      </w:r>
      <w:r>
        <w:rPr>
          <w:rFonts w:cs="Traditional Arabic" w:hint="cs"/>
          <w:sz w:val="28"/>
          <w:szCs w:val="32"/>
          <w:rtl/>
        </w:rPr>
        <w:t xml:space="preserve"> وقد يختار الحائز قضاء الدين أو التطهير ، ولكن يختار تخلية العقار حتى لا تتخذ الإجراءات في مواجهته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ويتخلى الحائز ، لا عن ملكية العقار ولا عن حيازته القانونية ، وإنما عن حيازته المادية وحدها ، للحارس أو أمين العقار ، حتى تتخذ في $725 مواجهته إجراءات نزع ملكية العقار ، بدلا م اتخاذها في مواجهة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للحائز طلب التخلية من وقت إنذار الدائنين إياه بالدفع أو التخلية ، ويبقى هذا الحق قائماً إلى تاريخ رسو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وتكون تخلية العقار بتقرير يقدمه الحائز إلى قلم كتاب المحكمة الابتدائية المختصة ، ويجب عليه أن يطلب التأشير بذلك في هامش تسجيل التنبيه بنزع الملكية ، وأن يعلن الدائن المباشر للإجراءات بهذه التخلية في خلال خمسة أيام من وقت التقرير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لمن له مصلحة في التعجيل أن يطلب إلى قاضي الأمور المستعجلة تعيين حارس ، تتخذ في مواجهته إجراءات نزع الملكية ، ويعين الحائز حارساً إذا طلب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خلى الحائز العقار ، لم يعد من الممكن الاستمرار في اتخاذ إجراءات التنفيذ في مواجهته ، ولو أنه يبقى مالكاً للعقار وحائزاً له حيازة قانونية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تمت التخلية وعين حارس للعقار اتخذت إجراءات بيع العقار في مواجهة هذا الحارس ، ولا تختلف الإجراءات عن تلك التي تكون موجهة إلى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ويجوز للحائز أن يدخل في المزاد ، وأن يرسو المزاد عليه ، كما في حالة البيع نتيجة لاتخاذ إجراءات التطهير ، وكما في حالة نزع الملكية في مواجهة الحائز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رسا المزاد على غير الحائز ، انتقلت الملكية من الحائز إلى الراسي عليه المزاد ، وطبقت الأحكام التي تتعلق بنزع ملكية الحائز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رسا المزاد على الحائز ، تأيدت ملكيته ، وطبقت أحكام رسو المزاد على الحائز في حالة بيع العقار نتيجة لاتخاذ إجراءات التطهير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481- تحمل إجراءات نزع المكية :</w:t>
      </w:r>
      <w:r>
        <w:rPr>
          <w:rFonts w:cs="Traditional Arabic" w:hint="cs"/>
          <w:sz w:val="28"/>
          <w:szCs w:val="32"/>
          <w:rtl/>
        </w:rPr>
        <w:t xml:space="preserve"> وإذا لم يختر الحائز تطهير $726 العقار ، ولم يقض الدين ، ولم يتخل عن العقار ، فلا مناص من اتخاذ إجراءات نزع الملكية فيم مواجهته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لاتخذا الإجراءات في مواجهة الحائز أن ينذر بالدفع أو التخلية ، بعد التنبيه على المدين أو مع هذا التنبيه ، ولا يجوز الإنذار قبل التنبيه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أوجب المشرع التنبيه على المدين ، مع أن إجراءات البيع ستتخذ ضد الحائز ، لأن المدين هو المسئول الحقيقي عن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أن يسجل الإنذار بالدفع أو التخلية ، وأن يؤشر بتسجيله على هامش تسجيل التنبيه خلال 15 يوماً من تاريخ تسجيل التنبيه ، وإلا سقط تسجيل التنبيه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ويتسمر الدائن في اتخاذ إجراءات التنفيذ ضد الحائز ، ونزع ملكية العقار ، وهذه الإجراءات لا تختلف كثيراً عن تلك التي تتخذ ضد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482- نصوص حذفت :</w:t>
      </w:r>
      <w:r>
        <w:rPr>
          <w:rFonts w:cs="Traditional Arabic" w:hint="cs"/>
          <w:sz w:val="28"/>
          <w:szCs w:val="32"/>
          <w:rtl/>
        </w:rPr>
        <w:t xml:space="preserve"> وقد كان المشروع التمهيدي يتضمن ، في موضوع آثار الاختصاص ، عدداً من النصوص نذكرها هنا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كانت المادة 1521 من المشروع التمهيدي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قلم الكتاب أن يبادر إلى قيد الأمر أو الحكم الصادر بالاختصاص ، وفي كل حال يجب أن يتم في نفس اليوم الذي صدر فيه الأمر أو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حذف هذا النص في لجنة المراجعة إذا لا محل له ، لأن القيد موكول ، في قانون تنظيم الشهر العقاري ، إلى ذوي الشأن يجرونه في الوقت الذي يختارونه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1522 من المشروع التمهيدي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يتم القيد بأن يدون في السجل طلب الاختصاص ، والأمر الصادر به من رئيس المحكمة أو الحم الصادر من المحكمة الابتدائية"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ويبدأ القيد ببيان تاريخه ، ويذكر في هامش رقمه المتتابع"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$727 ورأى مجلس النواب حذف هذه المادة ، لأنها أدخل في أعمال القائمين بالشهر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المادة1523 من المشروع التمهيدي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تأخر كاتب المحكمة عن قيد الأمر أو الحكم الصادر بالاختصاص في نفس اليوم الذي صدر فيه ، كان مسئولا عن تعويض الضرر الذي يترتب على تأخره"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ورأت لجنة المراجعة حذف هذه المادة ، تبعاً لحذف المادة 1521 من المشروع التمهيدي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1524 من المشروع التمهيدي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الاختصاصات المقيدة في يوم واحد على عقار واحد تكون لها نفس المرتبة ، ولا يترتب على الرقم المتتابع ، ولا على الساعة التي تم فيها القيد إذا ذكرت في السجل ، أثر في تفصيل اختصاص على 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قيد رهن واختصاص في يوم واحد ، قدم الرهن ، إلا إذا كان المدين قد رتب الرهن إضراراً بحقوق الدائن صاحب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حذف هذا النص في لجنة المراجعة ، إذ قد عدل عن مبدأ تقديم الرهن على الاختصاص ، وجعل الاختصاص كالرهن مرتبته تتحدد بالسعة التي قيد فيها ، فيتقدم على الرهن إذا قيد في نفس اليوم ولكن في ساعة أسبق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وصنت المادة 1525 من المشروع التمهيد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كمان المدين معسراً وقت قيد الاختصاص ، فلا يجوز للدائن الذي حصل على هذا الحق أن يتمسك به ، حتى لو كان حسن النية ، قبل أي دائن آخر يكون حقه ثابت التاريخ وسابقاً على قيد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حذف هذا النص في لجنة المراجعة ، اكتفاء بالحكم الوارد في باب الإعسار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$728 وقد ورد في الإعسار المادة 256/2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أنه لا يجوز أن يحتج على الدائنين الذين يكون لهم حقوق سابقة على تسجيل صحيفة دعوى الإعسار ، بأي اختصاص يقع على عقارات المدين بعد هذا التسجيل" .</w:t>
      </w:r>
    </w:p>
    <w:p w:rsidR="00F72742" w:rsidRPr="005A491B" w:rsidRDefault="00F72742" w:rsidP="00F72742">
      <w:pPr>
        <w:widowControl w:val="0"/>
        <w:spacing w:after="120"/>
        <w:jc w:val="center"/>
        <w:rPr>
          <w:rFonts w:cs="Traditional Arabic" w:hint="cs"/>
          <w:b/>
          <w:bCs/>
          <w:sz w:val="52"/>
          <w:szCs w:val="52"/>
          <w:rtl/>
        </w:rPr>
      </w:pPr>
      <w:r w:rsidRPr="005A491B">
        <w:rPr>
          <w:rFonts w:cs="Traditional Arabic" w:hint="cs"/>
          <w:b/>
          <w:bCs/>
          <w:sz w:val="52"/>
          <w:szCs w:val="52"/>
          <w:rtl/>
        </w:rPr>
        <w:t>الفصل الثالث</w:t>
      </w:r>
    </w:p>
    <w:p w:rsidR="00F72742" w:rsidRPr="005A491B" w:rsidRDefault="00F72742" w:rsidP="00F72742">
      <w:pPr>
        <w:widowControl w:val="0"/>
        <w:spacing w:after="120"/>
        <w:jc w:val="center"/>
        <w:rPr>
          <w:rFonts w:cs="Traditional Arabic" w:hint="cs"/>
          <w:b/>
          <w:bCs/>
          <w:sz w:val="28"/>
          <w:szCs w:val="32"/>
          <w:rtl/>
        </w:rPr>
      </w:pPr>
      <w:r w:rsidRPr="005A491B">
        <w:rPr>
          <w:rFonts w:cs="Traditional Arabic" w:hint="cs"/>
          <w:b/>
          <w:bCs/>
          <w:sz w:val="28"/>
          <w:szCs w:val="32"/>
          <w:rtl/>
        </w:rPr>
        <w:t>إنقاص حق الاختصاص وانقضاؤه</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483- الإنقاص والانقضاء :</w:t>
      </w:r>
      <w:r>
        <w:rPr>
          <w:rFonts w:cs="Traditional Arabic" w:hint="cs"/>
          <w:sz w:val="28"/>
          <w:szCs w:val="32"/>
          <w:rtl/>
        </w:rPr>
        <w:t xml:space="preserve"> حق الاختصاص ، لأنه صادر بأمر القاضي أو بحكم المحكمة ، لا يبقى ثابتاً على حاله طول مدة بقائه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يطلب إنقاصه ، إذا كان مبالغاً فيه من أول الأمر ، أو ظهر بعد ذلك أنه مبالغ فيه . وتكون المبالغة فيه حق أو الأمر آتية في الغالب من أن الحكم الذي أخذ الاختصاص على مقتضاه غير محدد القيمة ، وحددها رئيس المحكمة بما يزيد كثيراً على القيمة التي ظهرت فيما بعد وتكون المبالغة فيه بعد ذلك آتية في الغالب من ارتفاع قيمة العقارات ، فترتفع قيمة العقار المأخوذ عليه حق الاختصاص . وقد تأتي من أن المدين يدفع جزءاً من الدين ، فتصبح قيمة العقار المأخوذ عليه حق الاختصاص أكبر بكثير من الجزء الباقي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وينقضي حق الاختصاص ، كما ينقضي حق الرهن الرسمي فيما مر إما بصورة تبعية ، أو بصورة أصلية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فنعقد مبحثين ، أولهما لإنقاص حق الاختصاص ، والثاني لانقضائه .</w:t>
      </w:r>
    </w:p>
    <w:p w:rsidR="00F72742" w:rsidRPr="0028518B" w:rsidRDefault="00F72742" w:rsidP="00F72742">
      <w:pPr>
        <w:widowControl w:val="0"/>
        <w:spacing w:after="120"/>
        <w:jc w:val="center"/>
        <w:rPr>
          <w:rFonts w:cs="Traditional Arabic" w:hint="cs"/>
          <w:b/>
          <w:bCs/>
          <w:sz w:val="44"/>
          <w:szCs w:val="44"/>
          <w:rtl/>
        </w:rPr>
      </w:pPr>
      <w:r>
        <w:rPr>
          <w:rFonts w:cs="Traditional Arabic" w:hint="cs"/>
          <w:sz w:val="28"/>
          <w:szCs w:val="32"/>
          <w:rtl/>
        </w:rPr>
        <w:t xml:space="preserve">$729 </w:t>
      </w:r>
      <w:r w:rsidRPr="0028518B">
        <w:rPr>
          <w:rFonts w:cs="Traditional Arabic" w:hint="cs"/>
          <w:b/>
          <w:bCs/>
          <w:sz w:val="44"/>
          <w:szCs w:val="44"/>
          <w:rtl/>
        </w:rPr>
        <w:t>المبحث الأول</w:t>
      </w:r>
    </w:p>
    <w:p w:rsidR="00F72742" w:rsidRDefault="00F72742" w:rsidP="00F72742">
      <w:pPr>
        <w:widowControl w:val="0"/>
        <w:spacing w:after="120"/>
        <w:jc w:val="center"/>
        <w:rPr>
          <w:rFonts w:cs="Traditional Arabic" w:hint="cs"/>
          <w:sz w:val="28"/>
          <w:szCs w:val="32"/>
          <w:rtl/>
        </w:rPr>
      </w:pPr>
      <w:r w:rsidRPr="0028518B">
        <w:rPr>
          <w:rFonts w:cs="Traditional Arabic" w:hint="cs"/>
          <w:b/>
          <w:bCs/>
          <w:sz w:val="28"/>
          <w:szCs w:val="32"/>
          <w:rtl/>
        </w:rPr>
        <w:t>إنقاص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484- نص قانون : </w:t>
      </w:r>
      <w:r>
        <w:rPr>
          <w:rFonts w:cs="Traditional Arabic" w:hint="cs"/>
          <w:sz w:val="28"/>
          <w:szCs w:val="32"/>
          <w:rtl/>
        </w:rPr>
        <w:t>تنص المادة 1094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يجوز لكل ذي مصلحة أن يطلب إنقاص حق الاختصاص إلى الحد المناسب ، إذا كان الأعيان التي رتب عليها هذا الحق تريد قيمتها على ما يكفي لضمان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ويكون إنقاص الاختصاص إما بقصره على جزء من العقار أو العقارات التي رتب عليها ، أو بنقله إلى عقار آخر تكون قيمته كافية لضمان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والمصروفات اللازمة لإجراء الإنقاص ، ولو تم بموافقة الدائن ، تكون على من طلب الإنقاص"</w:t>
      </w:r>
      <w:r>
        <w:rPr>
          <w:rFonts w:cs="Traditional Arabic" w:hint="cs"/>
          <w:sz w:val="28"/>
          <w:szCs w:val="32"/>
          <w:vertAlign w:val="superscript"/>
          <w:rtl/>
        </w:rPr>
        <w:t xml:space="preserve">( </w:t>
      </w:r>
      <w:r w:rsidRPr="00EC737F">
        <w:rPr>
          <w:rStyle w:val="ab"/>
          <w:rFonts w:cs="Traditional Arabic"/>
          <w:sz w:val="28"/>
          <w:szCs w:val="32"/>
          <w:rtl/>
        </w:rPr>
        <w:footnoteReference w:id="14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المذكرة الإيضاحية للمشروع التمهيدي ، في خصوص هذه المادة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$730 "ولا يجوز إنقاص حق الاختصاص إذا كانت قيمة العقار تزيد كثيراً على الدين . ويكون ذلك إما من طريق تظلم المدين من الأمر الصادر من القاضي بإعطاء حق الاختصاص ، أو من طريق رفع </w:t>
      </w:r>
      <w:r>
        <w:rPr>
          <w:rFonts w:cs="Traditional Arabic" w:hint="cs"/>
          <w:sz w:val="28"/>
          <w:szCs w:val="32"/>
          <w:rtl/>
        </w:rPr>
        <w:lastRenderedPageBreak/>
        <w:t>دعوى أصلية بالإنقاص إذا نقضى ميعاد التظلم . كما يجوز رفع هذه الدعوى الأصلية بالإنقاص ، إذا اختل فيما بعد التناسب بين قيمة العقار ومبلغ الدين ، لزيادة قيمة العقار أو لنقص مبلغ الدين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وكما يجوز للمدين أن يرفع دعوى الإنقاص ، يجوز كذلك لكل ذي مصلحة أن يرفع هذه الدعوى ، مثل ذلك دائن نال في المرتبة للدائن صاحب الاختصاص أو دان عادي أو حائز للعقار . ومصروفات الدعوى على من خسرها ، أو يقضي بالمقاصة حسب الأحوال . ويجوز أيضاً أن يتم الإنقاص دون حاجة إلى رفع دعوى ، بالاتفاق بين الدائن وطالب الإنقاص . والمصروفات اللازمة لإجراء الإنقاص ، سواء أجرى باتفاق أو بحكم ، تكون على من طلب الإنقاص ، ما لم يكن هناك خطأ من الدائن ، بأن يكون هو الذي بالغ دون مبرر في أخذ اختصاص على عقار زيد قيمته كثيراً على الدين ، فتكون المصروفات عليه في هذه الحالة . ويكون إنقاص حق الاختصاص إما بقصره على جزء من العقار أو العقارات التي رتب عليها ، ا بنقله إلى عقار آخر مملوك للمدين وتكفي قيمته لضمان الدين"</w:t>
      </w:r>
      <w:r>
        <w:rPr>
          <w:rFonts w:cs="Traditional Arabic" w:hint="cs"/>
          <w:sz w:val="28"/>
          <w:szCs w:val="32"/>
          <w:vertAlign w:val="superscript"/>
          <w:rtl/>
        </w:rPr>
        <w:t xml:space="preserve">( </w:t>
      </w:r>
      <w:r w:rsidRPr="00EC737F">
        <w:rPr>
          <w:rStyle w:val="ab"/>
          <w:rFonts w:cs="Traditional Arabic"/>
          <w:sz w:val="28"/>
          <w:szCs w:val="32"/>
          <w:rtl/>
        </w:rPr>
        <w:footnoteReference w:id="14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ونتكلم ، فيما يلي ، في المسائل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الأسباب التي تدعو إلى إنقاص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الوسائل التي لدى المدين أو غيره للإنقاص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المدعي في الدعوى الأصلية للإنقاص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كيف يكون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مصروفات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$731 6- الاتفاق بين المدين والدائن على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 نصوص حذفت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485- الأسباب التي تدعو إلى إنقاص حق الاختصاص :</w:t>
      </w:r>
      <w:r>
        <w:rPr>
          <w:rFonts w:cs="Traditional Arabic" w:hint="cs"/>
          <w:sz w:val="28"/>
          <w:szCs w:val="32"/>
          <w:rtl/>
        </w:rPr>
        <w:t xml:space="preserve"> توجد أسباب متعددة تدعو إلى طلب إنقاص حق الاختصاص ، نذكر منها الأسباب الأكثر وقوعاً في العمل وهي ثلاثة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إذا بالغ الدائن في تقدير دينه بالأكثر ، أو في تقدير عقارات المدين بالأقل ، وذلك حتى يطمئن إلى صحة تقديراته . وقد وضع المشروع التمهيدي رقماً يوقف عنده لتقدير ما إذا كانت قيمة العقارات تزيد كثيراً على الدين ، فتكون كذلك إذا زادت وقت القيد أو بعده بقدر الثلث على مبلغ الدين أو على ما يتبقى منه . وقد أخذ هذا الرقم عن المشروع الإيطالي ، ولكن النص حذف ، وترك ذلك للتقدير الحر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إذا ارتفعت قيمة العقارات ، فبعد أن كان العقار متناسباً مع قيمة الدين ، أصبح أعلى من هذه القيمة بكثير ، ووجب في هذه الحالة إنقاصه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إذا دفع المدين فيما بعد جزءاً كبيراً من الدين ، بحيث إذا استنزل هذا الجزء أصبح الباقي من الدين يقل كثيراً عن قيمة العقارات . ففي هذه الحالة يتعين إنقاص العقارات المحملة بحق الاختصاص ، حتى تتناسب مع الباقي من الدين . ويجب إنقاص العقار دائماً كلما دفع المدين جزءاً كبيراً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486- الوسائل التي لدى المدين أو غيره للإنقاص :</w:t>
      </w:r>
      <w:r>
        <w:rPr>
          <w:rFonts w:cs="Traditional Arabic" w:hint="cs"/>
          <w:sz w:val="28"/>
          <w:szCs w:val="32"/>
          <w:rtl/>
        </w:rPr>
        <w:t xml:space="preserve"> وسنرى فيما يلي المدعي في دعوى الاختصاص ، أي من له مصلحة في طلب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وإنما يكفينا هنا أن نحدد الوسائل التي يملكها صاحب المصلحة في يطلب الإنقاص ، حتى يطلبه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$732 وهذه الوسائل هي : ( 1 ) تظلم المدين . ( 2 ) ودوى أصلية بطلب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وجد تفاوت كبير بين قيمة العقار وقيمة الدين منذ البداية ، كان لدى المدين في هذه الحالة وسيلتان لطلب الإنقاص : ( 1 ) تظلم المدين ، ما دمنا في المرحلة الأولى في طلب الاختصاص ، فيستطيع المدين جعل إنقاص الاختصاص سبباً أساسياً لتظلمه ، وقد فتح له باب التظلم في مبدأ الأمر كما رأينا . ( 2 ) دعوى بالإنقاص : فإن فاته التظلم ، رجع إلى دعوى أصلية يرفعها بطلب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وجد التفاوت بين قيمة العقار والدين بعد ذلك ، لم يكن أمام الإنقاص إلا الدعوى الأصلية </w:t>
      </w:r>
      <w:r>
        <w:rPr>
          <w:rFonts w:cs="Traditional Arabic" w:hint="cs"/>
          <w:sz w:val="28"/>
          <w:szCs w:val="32"/>
          <w:rtl/>
        </w:rPr>
        <w:lastRenderedPageBreak/>
        <w:t>بالإنقاص دون غيرها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أيضاً أن يتم الإنقاص باتفاق ودي بين الدائن وطالب الإنقاص ، في جميع الأحوال . فإذا تم ذلك ، يجب أن يثبت هذا الاتفاق في ورقة رسمية ، حتى يمكن التأشير بها في هامش ، قيد حق الاختصاص .</w:t>
      </w:r>
    </w:p>
    <w:p w:rsidR="00F72742" w:rsidRPr="009C077C"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487- المدعي في الدعوى الأصلية بالإنقاص :</w:t>
      </w:r>
      <w:r>
        <w:rPr>
          <w:rFonts w:cs="Traditional Arabic" w:hint="cs"/>
          <w:sz w:val="28"/>
          <w:szCs w:val="32"/>
          <w:rtl/>
        </w:rPr>
        <w:t xml:space="preserve"> وأغلب ما يتم الإنقاص ، أن يكون بدعوى أصلية يرفعها المدعي . فمن هو المدعي؟</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أكثر ما يكون هو المدين نفسه ، الذي له المصلحة الأولى في إنقاص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دائناً تالياً للدائن صاحب الاختصاص ، وتكون مصلحته أنه متى ما تم إنقاص حق الاختصاص ، نقص ما يأخذه الدائن صاحب الاختصاص ، واتسع تبعاً لذلك ما يأخذه الدائن التالي للدائن صاحب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ومثل ذلك يقال في الدائن العادي ، فإنه دون شك بعد الدائن صاحب الاختصاص ، فإذا انقص حق الاختصاص ، اتسع لهذا الدائن العادي بقد ما ضاق في نصيب الدائن صاحب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$733 وكذلك الحائز للعقار ، فقد حل محل المدين الذي كان يملك العقار قبله ، وكما أن للمدين مصلحة في الإنقاص تكون هذه المصلحة أيضاً للحائز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488- كيف يكون الإنقاص : </w:t>
      </w:r>
      <w:r>
        <w:rPr>
          <w:rFonts w:cs="Traditional Arabic" w:hint="cs"/>
          <w:sz w:val="28"/>
          <w:szCs w:val="32"/>
          <w:rtl/>
        </w:rPr>
        <w:t>تقول الفقرة الثانية من المادة 1094 مدني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447"/>
      </w:r>
      <w:r>
        <w:rPr>
          <w:rFonts w:cs="Traditional Arabic" w:hint="cs"/>
          <w:sz w:val="28"/>
          <w:szCs w:val="32"/>
          <w:vertAlign w:val="superscript"/>
          <w:rtl/>
        </w:rPr>
        <w:t xml:space="preserve"> )</w:t>
      </w:r>
      <w:r>
        <w:rPr>
          <w:rFonts w:cs="Traditional Arabic" w:hint="cs"/>
          <w:sz w:val="28"/>
          <w:szCs w:val="32"/>
          <w:rtl/>
        </w:rPr>
        <w:t xml:space="preserve">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إنقاص الاختصاص إما بقصره على جزء من العقار أو العقارات التي رتب عليها ، أو بنقله إلى عقار آخر تكون قيمته كافية لضمان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فهناك إذن طريقتان لإرجاء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1</w:t>
      </w:r>
      <w:r>
        <w:rPr>
          <w:rFonts w:cs="Traditional Arabic"/>
          <w:sz w:val="28"/>
          <w:szCs w:val="32"/>
          <w:rtl/>
        </w:rPr>
        <w:t>–</w:t>
      </w:r>
      <w:r>
        <w:rPr>
          <w:rFonts w:cs="Traditional Arabic" w:hint="cs"/>
          <w:sz w:val="28"/>
          <w:szCs w:val="32"/>
          <w:rtl/>
        </w:rPr>
        <w:t xml:space="preserve"> قصر حق الاختصاص على بعض العقارات ، أو على عقار واحد ، أو على جزء من عقار ، بحسب الأحوال . ويؤشر بالإنقاص في هامش القيد السابق ، فيصبح الاختصاص بمرتبته مأخوذاً على العقارات أو العقار أو جزء من العقار الذي انقص إليه حق الاختصاص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نقل الاختصاص إلى عقار جديد تكون قيمته متناسبة مع قيمة الدين . ويجب أن تكون قيمة هذا العقار ، بعد استنزال ما عليه من قيود سابقة إن كانت ، كفاية لضمان الدين . ويمحي القيد السابق الذي كان ضامناً قبل الإنقاص للدين ، ويجري قيد جديد على هذا العقار الجديد ، يأخذ مرتبته من وقت قيده هو ، لا من وقت قيد الاختصاص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489- مصروفات الإنقاص : </w:t>
      </w:r>
      <w:r>
        <w:rPr>
          <w:rFonts w:cs="Traditional Arabic" w:hint="cs"/>
          <w:sz w:val="28"/>
          <w:szCs w:val="32"/>
          <w:rtl/>
        </w:rPr>
        <w:t>وتنص الفقرة الثالثة من المادة 1094 مدني ، كما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448"/>
      </w:r>
      <w:r>
        <w:rPr>
          <w:rFonts w:cs="Traditional Arabic" w:hint="cs"/>
          <w:sz w:val="28"/>
          <w:szCs w:val="32"/>
          <w:vertAlign w:val="superscript"/>
          <w:rtl/>
        </w:rPr>
        <w:t xml:space="preserve"> )</w:t>
      </w:r>
      <w:r>
        <w:rPr>
          <w:rFonts w:cs="Traditional Arabic" w:hint="cs"/>
          <w:sz w:val="28"/>
          <w:szCs w:val="32"/>
          <w:rtl/>
        </w:rPr>
        <w:t xml:space="preserve"> ،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"المصروفات اللازمة لإجراء الإنقاص ، ولو تم بموافقة الدائن ، تكون على من طلب الإنقاص"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$734 وقد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1449"/>
      </w:r>
      <w:r>
        <w:rPr>
          <w:rFonts w:cs="Traditional Arabic" w:hint="cs"/>
          <w:sz w:val="28"/>
          <w:szCs w:val="32"/>
          <w:vertAlign w:val="superscript"/>
          <w:rtl/>
        </w:rPr>
        <w:t xml:space="preserve"> )</w:t>
      </w:r>
      <w:r>
        <w:rPr>
          <w:rFonts w:cs="Traditional Arabic" w:hint="cs"/>
          <w:sz w:val="28"/>
          <w:szCs w:val="32"/>
          <w:rtl/>
        </w:rPr>
        <w:t xml:space="preserve"> أن هذا النص هو مصدر المادة 1528 من المشروع التمهيدي ، وبقية النص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 . . ما لم يكن الإنقاص قد ترتب على خطأ الدائن ، فتكون المصروفات عليه في هذه الحالة . 2- وإذا تقرر الاختصاص بمقتضى حكم ، تكون مصروفات الدعوى على حق خسرها ، أو يقضي بالمقاصة حسب الأحوال"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ويبدو أن نص المادة 1528 من المشروع التمهيدي حكمها معقول ، فيمكن العمل بهذا الحكم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 إذا كان الإنقاص بموجب حكم ، كانت مصروفات الدعوى على من خسرها . وقد يقضي القاضي بالمقاصة في المصروفات ، بحسب الأحوال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وإن كان الإنقاص ليس بموجب حكم ، بل كان بالاتفاق أو بناء على تظلم المدين ، تكون المصروفات على من طلب الإنقاص ، المدين أو الدائن التالي أو الدائن العادي أو الحائز . وذلك ما لم يكن هناك خطأ من الدائن ، بأن بالغ في التقدير من أول الأمر دون مبرر ، فتكون المصروفات على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طالب الإنقاص غير المدين ، جاز له الرجوع بالمصروفات على المدين</w:t>
      </w:r>
      <w:r>
        <w:rPr>
          <w:rFonts w:cs="Traditional Arabic" w:hint="cs"/>
          <w:sz w:val="28"/>
          <w:szCs w:val="32"/>
          <w:vertAlign w:val="superscript"/>
          <w:rtl/>
        </w:rPr>
        <w:t xml:space="preserve">( </w:t>
      </w:r>
      <w:r w:rsidRPr="00EC737F">
        <w:rPr>
          <w:rStyle w:val="ab"/>
          <w:rFonts w:cs="Traditional Arabic"/>
          <w:sz w:val="28"/>
          <w:szCs w:val="32"/>
          <w:rtl/>
        </w:rPr>
        <w:footnoteReference w:id="14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490- الاتفاق مع الدائن على الإنقاص :</w:t>
      </w:r>
      <w:r>
        <w:rPr>
          <w:rFonts w:cs="Traditional Arabic" w:hint="cs"/>
          <w:sz w:val="28"/>
          <w:szCs w:val="32"/>
          <w:rtl/>
        </w:rPr>
        <w:t xml:space="preserve"> وقد يجري الإنقاص ، لا بحكم ولا نتيجة لتظلم المدين ، ولكن باتفاق ودي بين طالب الإنقاص والدائن . فينقص الدائن طوعاً م نحق الاختصاص ، لا سيما إذا كان هذا $735 الإنقاص نتيجة لارتفاع قيمة العقار ، أو لأن المدين قد دفع جزءاً كبيراً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قدمنا</w:t>
      </w:r>
      <w:r>
        <w:rPr>
          <w:rFonts w:cs="Traditional Arabic" w:hint="cs"/>
          <w:sz w:val="28"/>
          <w:szCs w:val="32"/>
          <w:vertAlign w:val="superscript"/>
          <w:rtl/>
        </w:rPr>
        <w:t xml:space="preserve">( </w:t>
      </w:r>
      <w:r w:rsidRPr="00EC737F">
        <w:rPr>
          <w:rStyle w:val="ab"/>
          <w:rFonts w:cs="Traditional Arabic"/>
          <w:sz w:val="28"/>
          <w:szCs w:val="32"/>
          <w:rtl/>
        </w:rPr>
        <w:footnoteReference w:id="1451"/>
      </w:r>
      <w:r>
        <w:rPr>
          <w:rFonts w:cs="Traditional Arabic" w:hint="cs"/>
          <w:sz w:val="28"/>
          <w:szCs w:val="32"/>
          <w:vertAlign w:val="superscript"/>
          <w:rtl/>
        </w:rPr>
        <w:t xml:space="preserve"> )</w:t>
      </w:r>
      <w:r>
        <w:rPr>
          <w:rFonts w:cs="Traditional Arabic" w:hint="cs"/>
          <w:sz w:val="28"/>
          <w:szCs w:val="32"/>
          <w:rtl/>
        </w:rPr>
        <w:t xml:space="preserve"> أنه يجب أن يتم هذا الإنقاص في ورقة رسمية ، حتى يمكن التأشير بها في هامش قيد حق الاختصاص الأصلي . وهذا ما لم تكن نتيجة الإنقاص أخذ اختصاص على عقار جديد ، فعند ذلك يجب إجراء قيد جديد ، وقد تقدم بيان ذلك</w:t>
      </w:r>
      <w:r>
        <w:rPr>
          <w:rFonts w:cs="Traditional Arabic" w:hint="cs"/>
          <w:sz w:val="28"/>
          <w:szCs w:val="32"/>
          <w:vertAlign w:val="superscript"/>
          <w:rtl/>
        </w:rPr>
        <w:t xml:space="preserve">( </w:t>
      </w:r>
      <w:r w:rsidRPr="00EC737F">
        <w:rPr>
          <w:rStyle w:val="ab"/>
          <w:rFonts w:cs="Traditional Arabic"/>
          <w:sz w:val="28"/>
          <w:szCs w:val="32"/>
          <w:rtl/>
        </w:rPr>
        <w:footnoteReference w:id="145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491- نصوص حذفت : </w:t>
      </w:r>
      <w:r>
        <w:rPr>
          <w:rFonts w:cs="Traditional Arabic" w:hint="cs"/>
          <w:sz w:val="28"/>
          <w:szCs w:val="32"/>
          <w:rtl/>
        </w:rPr>
        <w:t>وقد كان المشروع التمهيدي يتضمن عدة نصوص حذفت ، وهذه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كانت المادة 1527 من المشروع التمهيدي تنص على ما يأتي : "تعتبر قيمة الأعيان التي رتب عليها الاختصاص زائدة عما يكفي لضمان الدين إذا كانت ، وقت القيد أو بعده ، تزيد بقدر الثلث عن قيمة الحقوق المقيدة مع ملحقاتها ، أو تزيد على ما يتبقى من هذه الحقوق" . وقد حذفت لجن ة المراجعة هذا النص ، لأنها لم ترد أن تأخذ كالمشروع الإيطالي بقية تقديرية هي الثلث ، بل تركت الأمر للظروف .</w:t>
      </w:r>
    </w:p>
    <w:p w:rsidR="00F72742" w:rsidRPr="00B1284A"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2- كانت المادة 1528 من المشروع التمهيدي تنص على ما يأتي : "1- المصروفات اللازمة لإجراء الإنقاص ، حتى لو تم بموافقة الدائن ، تكون على من طلب الإنقاص . ما لم يكن الإنقاص قد ترتب على خطأ الدائن ، فتكون المصروفات عليه في هذه الحالة . 2- وإذا تقرر الإنقاص بمقتضى حكم ، فتكون مصروفات الدعوى على من خسرها ، أو يقضي بالمقاصة فيها حسب الأحوال", وقد نقلت لجنة المراجعة صدر الفقرة الأولى من هذه المادة إلى الفقرة الثالثة من المادة 1904 مدني ، وحذفت بقية المادة اكتفاء بالقواعد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4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$736 3- كانت المادة 1529 من المشرع التمهيدي تنص على ما يأتي : "ينقضي حق الاختصاص بنفس الطرق التي ينقضي بها حق الرهن الرسمي" . وقد حذفتها لجنة المراجعة ، اكتفاء بتعدي المادة 1520 من المشروع التمهيدي</w:t>
      </w:r>
      <w:r>
        <w:rPr>
          <w:rFonts w:cs="Traditional Arabic" w:hint="cs"/>
          <w:sz w:val="28"/>
          <w:szCs w:val="32"/>
          <w:vertAlign w:val="superscript"/>
          <w:rtl/>
        </w:rPr>
        <w:t xml:space="preserve">( </w:t>
      </w:r>
      <w:r w:rsidRPr="00EC737F">
        <w:rPr>
          <w:rStyle w:val="ab"/>
          <w:rFonts w:cs="Traditional Arabic"/>
          <w:sz w:val="28"/>
          <w:szCs w:val="32"/>
          <w:rtl/>
        </w:rPr>
        <w:footnoteReference w:id="1454"/>
      </w:r>
      <w:r>
        <w:rPr>
          <w:rFonts w:cs="Traditional Arabic" w:hint="cs"/>
          <w:sz w:val="28"/>
          <w:szCs w:val="32"/>
          <w:vertAlign w:val="superscript"/>
          <w:rtl/>
        </w:rPr>
        <w:t xml:space="preserve"> )</w:t>
      </w:r>
      <w:r>
        <w:rPr>
          <w:rFonts w:cs="Traditional Arabic" w:hint="cs"/>
          <w:sz w:val="28"/>
          <w:szCs w:val="32"/>
          <w:rtl/>
        </w:rPr>
        <w:t xml:space="preserve"> تعديلا يغني عن حكم المادة 1529 .</w:t>
      </w:r>
    </w:p>
    <w:p w:rsidR="00F72742" w:rsidRPr="000E47FB" w:rsidRDefault="00F72742" w:rsidP="00F72742">
      <w:pPr>
        <w:widowControl w:val="0"/>
        <w:spacing w:after="120"/>
        <w:jc w:val="center"/>
        <w:rPr>
          <w:rFonts w:cs="Traditional Arabic" w:hint="cs"/>
          <w:b/>
          <w:bCs/>
          <w:sz w:val="44"/>
          <w:szCs w:val="44"/>
          <w:rtl/>
        </w:rPr>
      </w:pPr>
      <w:r w:rsidRPr="000E47FB">
        <w:rPr>
          <w:rFonts w:cs="Traditional Arabic" w:hint="cs"/>
          <w:b/>
          <w:bCs/>
          <w:sz w:val="44"/>
          <w:szCs w:val="44"/>
          <w:rtl/>
        </w:rPr>
        <w:t>المبحث الثاني</w:t>
      </w:r>
    </w:p>
    <w:p w:rsidR="00F72742" w:rsidRPr="000E47FB" w:rsidRDefault="00F72742" w:rsidP="00F72742">
      <w:pPr>
        <w:widowControl w:val="0"/>
        <w:spacing w:after="120"/>
        <w:jc w:val="center"/>
        <w:rPr>
          <w:rFonts w:cs="Traditional Arabic" w:hint="cs"/>
          <w:b/>
          <w:bCs/>
          <w:sz w:val="28"/>
          <w:szCs w:val="32"/>
          <w:rtl/>
        </w:rPr>
      </w:pPr>
      <w:r w:rsidRPr="000E47FB">
        <w:rPr>
          <w:rFonts w:cs="Traditional Arabic" w:hint="cs"/>
          <w:b/>
          <w:bCs/>
          <w:sz w:val="28"/>
          <w:szCs w:val="32"/>
          <w:rtl/>
        </w:rPr>
        <w:t>انقضاء حق الاختصاص</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492- انقضاء حق الاختصاص كانقضاء الرهن الرسمي :</w:t>
      </w:r>
      <w:r>
        <w:rPr>
          <w:rFonts w:cs="Traditional Arabic" w:hint="cs"/>
          <w:sz w:val="28"/>
          <w:szCs w:val="32"/>
          <w:rtl/>
        </w:rPr>
        <w:t xml:space="preserve"> ينقضي حق الاختصاص بنفس الطرق التي ينقضي بها حق الرهن الرسمي .</w:t>
      </w:r>
    </w:p>
    <w:p w:rsidR="00F72742" w:rsidRPr="00B95357" w:rsidRDefault="00F72742" w:rsidP="00F72742">
      <w:pPr>
        <w:widowControl w:val="0"/>
        <w:spacing w:after="120"/>
        <w:ind w:firstLine="567"/>
        <w:jc w:val="lowKashida"/>
        <w:rPr>
          <w:rFonts w:hint="cs"/>
          <w:rtl/>
        </w:rPr>
      </w:pPr>
      <w:r>
        <w:rPr>
          <w:rFonts w:cs="Traditional Arabic" w:hint="cs"/>
          <w:sz w:val="28"/>
          <w:szCs w:val="32"/>
          <w:rtl/>
        </w:rPr>
        <w:t>وقد ورد ذلك صراحة في آخر المادة 1095 مدني ، فقد رأيناها</w:t>
      </w:r>
      <w:r>
        <w:rPr>
          <w:rFonts w:cs="Traditional Arabic" w:hint="cs"/>
          <w:sz w:val="28"/>
          <w:szCs w:val="32"/>
          <w:vertAlign w:val="superscript"/>
          <w:rtl/>
        </w:rPr>
        <w:t xml:space="preserve">( </w:t>
      </w:r>
      <w:r w:rsidRPr="00EC737F">
        <w:rPr>
          <w:rStyle w:val="ab"/>
          <w:rFonts w:cs="Traditional Arabic"/>
          <w:sz w:val="28"/>
          <w:szCs w:val="32"/>
          <w:rtl/>
        </w:rPr>
        <w:footnoteReference w:id="1455"/>
      </w:r>
      <w:r>
        <w:rPr>
          <w:rFonts w:cs="Traditional Arabic" w:hint="cs"/>
          <w:sz w:val="28"/>
          <w:szCs w:val="32"/>
          <w:vertAlign w:val="superscript"/>
          <w:rtl/>
        </w:rPr>
        <w:t xml:space="preserve"> )</w:t>
      </w:r>
      <w:r>
        <w:rPr>
          <w:rFonts w:cs="Traditional Arabic" w:hint="cs"/>
          <w:sz w:val="28"/>
          <w:szCs w:val="32"/>
          <w:rtl/>
        </w:rPr>
        <w:t xml:space="preserve"> تقول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 . . . ويسري على الاختصاص ما يسري على الرهن الرسمي من أحكام ، وبخاصة ما يتعلق  . . . . وانقضائه  . . . . . . ." .</w:t>
      </w:r>
    </w:p>
    <w:p w:rsidR="00F72742" w:rsidRDefault="00F72742" w:rsidP="00F72742">
      <w:pPr>
        <w:widowControl w:val="0"/>
        <w:spacing w:after="120"/>
        <w:ind w:firstLine="567"/>
        <w:jc w:val="lowKashida"/>
        <w:rPr>
          <w:rFonts w:cs="Traditional Arabic" w:hint="cs"/>
          <w:sz w:val="28"/>
          <w:szCs w:val="32"/>
          <w:rtl/>
        </w:rPr>
      </w:pPr>
      <w:r w:rsidRPr="00E4178D">
        <w:rPr>
          <w:rFonts w:cs="Traditional Arabic" w:hint="cs"/>
          <w:b/>
          <w:bCs/>
          <w:sz w:val="28"/>
          <w:szCs w:val="32"/>
          <w:rtl/>
        </w:rPr>
        <w:t>493- الانقضاء يتم بالاتفاق</w:t>
      </w:r>
      <w:r>
        <w:rPr>
          <w:rFonts w:cs="Traditional Arabic" w:hint="cs"/>
          <w:sz w:val="28"/>
          <w:szCs w:val="32"/>
          <w:rtl/>
        </w:rPr>
        <w:t xml:space="preserve"> : فقد يتم انقضاء حق الاختصاص بالاتفاق ، فيتفق الدائن مع </w:t>
      </w:r>
      <w:r>
        <w:rPr>
          <w:rFonts w:cs="Traditional Arabic" w:hint="cs"/>
          <w:sz w:val="28"/>
          <w:szCs w:val="32"/>
          <w:rtl/>
        </w:rPr>
        <w:lastRenderedPageBreak/>
        <w:t>المدين مثلا على انقضاء حق الاختصاص بالاتفاق ، فيتفق الدائن مع المدين مثلا على انقضاء حق الاختصاص ، ومحو القيد المترتب على وجوده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494- الانقضاء يتم بطريق تبعي : </w:t>
      </w:r>
      <w:r>
        <w:rPr>
          <w:rFonts w:cs="Traditional Arabic" w:hint="cs"/>
          <w:sz w:val="28"/>
          <w:szCs w:val="32"/>
          <w:rtl/>
        </w:rPr>
        <w:t>وقد يتم الانقضاء بطريق تبعي كالرهن ، فإذا انقضى الدين المضمون بالاختصاص يوجه من أوجه انقضاء الديون ، انقضى الاختصاص تبعاً لانقضاء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$737 </w:t>
      </w:r>
      <w:r>
        <w:rPr>
          <w:rFonts w:cs="Traditional Arabic" w:hint="cs"/>
          <w:b/>
          <w:bCs/>
          <w:sz w:val="28"/>
          <w:szCs w:val="32"/>
          <w:rtl/>
        </w:rPr>
        <w:t>495- الانقضاء يتم بطريق أصلي :</w:t>
      </w:r>
      <w:r>
        <w:rPr>
          <w:rFonts w:cs="Traditional Arabic" w:hint="cs"/>
          <w:sz w:val="28"/>
          <w:szCs w:val="32"/>
          <w:rtl/>
        </w:rPr>
        <w:t xml:space="preserve"> وقد ينقضي الاختصاص بطريق أصلي ، فينقضي هو وحده دون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ويتم ذلك ، كالرهن الرسمي ، بتمام إجراءات التطهير ، وببيع العقار بيعاً جبرياً بالمزاد العلني ، وبعدم سماح مرتبة الدائن صاحب الاختصاص باستيفاء حقه من العقار .</w:t>
      </w:r>
    </w:p>
    <w:p w:rsidR="00F72742" w:rsidRPr="004A206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ويتم كذلك ، كالرهن الرسمي ، بنزول الدائن عن حق الاختصاص ، وباتحاد الذمة في العقار ، وبهلاك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sz w:val="28"/>
          <w:szCs w:val="32"/>
          <w:rtl/>
        </w:rPr>
        <w:br w:type="page"/>
      </w:r>
      <w:r>
        <w:rPr>
          <w:rFonts w:cs="Traditional Arabic" w:hint="cs"/>
          <w:sz w:val="28"/>
          <w:szCs w:val="32"/>
          <w:rtl/>
        </w:rPr>
        <w:lastRenderedPageBreak/>
        <w:t>$738</w:t>
      </w:r>
    </w:p>
    <w:p w:rsidR="00F72742" w:rsidRPr="005A4303" w:rsidRDefault="00F72742" w:rsidP="00F72742">
      <w:pPr>
        <w:widowControl w:val="0"/>
        <w:spacing w:after="120"/>
        <w:ind w:firstLine="7"/>
        <w:jc w:val="center"/>
        <w:rPr>
          <w:rFonts w:cs="Traditional Arabic" w:hint="cs"/>
          <w:b/>
          <w:bCs/>
          <w:sz w:val="72"/>
          <w:szCs w:val="72"/>
          <w:rtl/>
        </w:rPr>
      </w:pPr>
      <w:r w:rsidRPr="005A4303">
        <w:rPr>
          <w:rFonts w:cs="Traditional Arabic" w:hint="cs"/>
          <w:b/>
          <w:bCs/>
          <w:sz w:val="72"/>
          <w:szCs w:val="72"/>
          <w:rtl/>
        </w:rPr>
        <w:t>الباب الثالث</w:t>
      </w:r>
    </w:p>
    <w:p w:rsidR="00F72742" w:rsidRPr="009D194D" w:rsidRDefault="00F72742" w:rsidP="00F72742">
      <w:pPr>
        <w:widowControl w:val="0"/>
        <w:spacing w:after="120"/>
        <w:ind w:firstLine="7"/>
        <w:jc w:val="center"/>
        <w:rPr>
          <w:rFonts w:cs="Traditional Arabic" w:hint="cs"/>
          <w:b/>
          <w:bCs/>
          <w:sz w:val="44"/>
          <w:szCs w:val="44"/>
          <w:rtl/>
        </w:rPr>
      </w:pPr>
      <w:r w:rsidRPr="009D194D">
        <w:rPr>
          <w:rFonts w:cs="Traditional Arabic" w:hint="cs"/>
          <w:b/>
          <w:bCs/>
          <w:sz w:val="44"/>
          <w:szCs w:val="44"/>
          <w:rtl/>
        </w:rPr>
        <w:t>الرهن الحيازي</w:t>
      </w:r>
    </w:p>
    <w:p w:rsidR="00F72742" w:rsidRPr="008514D3" w:rsidRDefault="00F72742" w:rsidP="00F72742">
      <w:pPr>
        <w:widowControl w:val="0"/>
        <w:spacing w:after="120"/>
        <w:ind w:firstLine="7"/>
        <w:jc w:val="center"/>
        <w:rPr>
          <w:rFonts w:cs="Traditional Arabic" w:hint="cs"/>
          <w:b/>
          <w:bCs/>
          <w:sz w:val="28"/>
          <w:szCs w:val="32"/>
          <w:rtl/>
        </w:rPr>
      </w:pPr>
      <w:r w:rsidRPr="008514D3">
        <w:rPr>
          <w:rFonts w:cs="Traditional Arabic" w:hint="cs"/>
          <w:b/>
          <w:bCs/>
          <w:sz w:val="28"/>
          <w:szCs w:val="32"/>
          <w:rtl/>
        </w:rPr>
        <w:t>ــــ</w:t>
      </w:r>
    </w:p>
    <w:p w:rsidR="00F72742" w:rsidRPr="008514D3" w:rsidRDefault="00F72742" w:rsidP="00F72742">
      <w:pPr>
        <w:widowControl w:val="0"/>
        <w:spacing w:after="120"/>
        <w:ind w:firstLine="7"/>
        <w:jc w:val="center"/>
        <w:rPr>
          <w:rFonts w:cs="Traditional Arabic" w:hint="cs"/>
          <w:b/>
          <w:bCs/>
          <w:sz w:val="52"/>
          <w:szCs w:val="52"/>
          <w:rtl/>
        </w:rPr>
      </w:pPr>
      <w:r w:rsidRPr="008514D3">
        <w:rPr>
          <w:rFonts w:cs="Traditional Arabic" w:hint="cs"/>
          <w:b/>
          <w:bCs/>
          <w:sz w:val="52"/>
          <w:szCs w:val="52"/>
          <w:rtl/>
        </w:rPr>
        <w:t>تمه</w:t>
      </w:r>
      <w:r>
        <w:rPr>
          <w:rFonts w:cs="Traditional Arabic" w:hint="cs"/>
          <w:b/>
          <w:bCs/>
          <w:sz w:val="52"/>
          <w:szCs w:val="52"/>
          <w:rtl/>
        </w:rPr>
        <w:t>ــــ</w:t>
      </w:r>
      <w:r w:rsidRPr="008514D3">
        <w:rPr>
          <w:rFonts w:cs="Traditional Arabic" w:hint="cs"/>
          <w:b/>
          <w:bCs/>
          <w:sz w:val="52"/>
          <w:szCs w:val="52"/>
          <w:rtl/>
        </w:rPr>
        <w:t>يد</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496- تعريف الرهن الحيازي : </w:t>
      </w:r>
      <w:r>
        <w:rPr>
          <w:rFonts w:cs="Traditional Arabic" w:hint="cs"/>
          <w:sz w:val="28"/>
          <w:szCs w:val="32"/>
          <w:rtl/>
        </w:rPr>
        <w:t>نصت المادة 1096 مدني على أن "الرهن الحيازي عقد به يلتزم شخص ، ضماناً لدين عليه أو على غيره ، أن يسلم إلى الدائن أو إلى أجنبي يعينه المتعاقدان ، شيئاً يرتب عليه الرهن حقاً عينياً يخلوه حبس الشيء ليحن استيفاء الدين ، وأن يتقدم على الدائنين العاديين والدائنين التالين له في المرتبة في اقتضاء حقه من ثمن هذا الشيء في أي يدي يكون"</w:t>
      </w:r>
      <w:r>
        <w:rPr>
          <w:rFonts w:cs="Traditional Arabic" w:hint="cs"/>
          <w:sz w:val="28"/>
          <w:szCs w:val="32"/>
          <w:vertAlign w:val="superscript"/>
          <w:rtl/>
        </w:rPr>
        <w:t xml:space="preserve">( </w:t>
      </w:r>
      <w:r w:rsidRPr="00EC737F">
        <w:rPr>
          <w:rStyle w:val="ab"/>
          <w:rFonts w:cs="Traditional Arabic"/>
          <w:sz w:val="28"/>
          <w:szCs w:val="32"/>
          <w:rtl/>
        </w:rPr>
        <w:footnoteReference w:id="14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sz w:val="28"/>
          <w:szCs w:val="32"/>
        </w:rPr>
      </w:pPr>
      <w:r>
        <w:rPr>
          <w:rFonts w:cs="Traditional Arabic" w:hint="cs"/>
          <w:sz w:val="28"/>
          <w:szCs w:val="32"/>
          <w:rtl/>
        </w:rPr>
        <w:lastRenderedPageBreak/>
        <w:t xml:space="preserve">$740 ويؤخذ من هذا النص أن الرهن الحيازي تغير عما كان عليه في التقنين المدني القديم . ففي التقنين المدني القديم ، كان الرهن الحيازي عقداً عينياً "به يضع المدين شيئاً في حيازة دائنه أو في حيازة من </w:t>
      </w:r>
      <w:r>
        <w:rPr>
          <w:rFonts w:cs="Traditional Arabic" w:hint="cs"/>
          <w:sz w:val="28"/>
          <w:szCs w:val="32"/>
          <w:rtl/>
        </w:rPr>
        <w:lastRenderedPageBreak/>
        <w:t>اتفق عليه العاقدان تأميناً للدين" ( م 540 فقرة أولى / 662 فقرة أولى مدني قديم ) . فكا لا يتم الرهن الحيازي ، إلا إذا وضع المدين الشيء المرهون في حيازة الدائن ( أو في حيازة أجنبي يتفق عليه المتعاقدان ) . أما في التقنين المدني الجديد ، فتسليم الشيء المرهون لم يعد ركناً في العقد ، بل صار مجرد التزام يتولد من العقد بعد تمامه في ذمة المدين ، أي أن الرهن الحيازي أصبح عقداً رضائياً ينعقد بمجرد  تبادل الإيجاب والقبول المتطابقين دون حاجة إلى التسليم ، بعد أن كان في التقنين المدني القديم لا ينعقد إلا بالإيجاب والقبول والتسليم . وفي هذا تقول المادة 1096 مدني جددي ، كما رأينا ، "الرهن الحيازي عقد به يلتزم شخص  . . . أن  يسلم إلى الدائن  . . . شيئاً  . . . " . فوضح من ذلك أن التسليم أصبح الآن مجرد التزام ، ولم يعد ركناً كما في الماضي ، وقد جاء في المذكرة الإيضاحية للمشروع التمهيدي : "يلاحظ من تعريف الرهن الحيازي أن رهن الحيازة يختلف عن الرهن الرسمي في أنه عقد رضائي ، وقد أصبح التسليم فيه التزاماً لا ركناً  . . ."</w:t>
      </w:r>
      <w:r w:rsidRPr="00FE2677">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4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والى جانب الحيازة وأنها ضرورية فقط لنفاذ الرهن الحيازي في حق الغير لا لانعقاد الرهن ، يوجد أيضاً الحبس . فالرهن الحيازي ، كما يؤخذ من التعريف المتقدم ، يستلزم أن حبس الشيء المرهون يثبت للدائن المرتهن حتى يستوفي الدين . أما بقية التعريف ، وان الدائن المرتهن رهن حيازة </w:t>
      </w:r>
      <w:r w:rsidRPr="00FE2677">
        <w:rPr>
          <w:rFonts w:cs="Traditional Arabic" w:hint="cs"/>
          <w:sz w:val="28"/>
          <w:szCs w:val="32"/>
        </w:rPr>
        <w:t xml:space="preserve"> </w:t>
      </w:r>
      <w:r>
        <w:rPr>
          <w:rFonts w:cs="Traditional Arabic" w:hint="cs"/>
          <w:sz w:val="28"/>
          <w:szCs w:val="32"/>
          <w:rtl/>
        </w:rPr>
        <w:t>يستوفي دينه متقدماً ومتتبعاً ، فهذه المعاني مشتركة بين الرهن الحيازي والرهن الرسمي . وتقول المذكرة الإيضاحية للمشروع التمهيدي في هذا الصدد "رهن الحيازة يختلف عن الرهن الرسمي  . . . في أن العين المرهونة $741 قد تكون عقاراً أو منقولا ، وفي أن الحيازة ضرورية لنفاذ الرهن في حق الغير ، وفي أن الحس ثابت للدائن حتى يستوفي الدين . أما ترتيب حق عيني على الشيء المرهون يستوفي بمقتضاه الدائن الدين متقدماً ومتتبعاً ، فهذه المعاني مشتركة بن الرهن الحيازي والرهن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ونرى من ذلك أن التعريف جعل فرقاً بين الرهن الحيازي والرهن الرسمي في الحيازة وأنها التزام في الرهن الحيازي ، وفي الحبس وأنه يبقى لحين استيفاء المرتهن رهن حيازة دينه ، وفي أن الشيء المرهون يصح </w:t>
      </w:r>
      <w:r>
        <w:rPr>
          <w:rFonts w:cs="Traditional Arabic" w:hint="cs"/>
          <w:sz w:val="28"/>
          <w:szCs w:val="32"/>
          <w:rtl/>
        </w:rPr>
        <w:lastRenderedPageBreak/>
        <w:t>أن يكون في رهن الحيازة منقولا أو عقاراً . وفيما عدا ذلك ، من حيث التقدم والتتبع ، حكم الرهن الحيازي هو حكم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497- خصائص عقد الرهن الحيازي : </w:t>
      </w:r>
      <w:r>
        <w:rPr>
          <w:rFonts w:cs="Traditional Arabic" w:hint="cs"/>
          <w:sz w:val="28"/>
          <w:szCs w:val="32"/>
          <w:rtl/>
        </w:rPr>
        <w:t xml:space="preserve"> ومن خصائص عقد الرهن الحيازي أنه : ( 1 ) عقد رضائي يلزم للجانبين </w:t>
      </w:r>
      <w:r>
        <w:rPr>
          <w:rFonts w:cs="Traditional Arabic"/>
          <w:sz w:val="28"/>
          <w:szCs w:val="32"/>
          <w:rtl/>
        </w:rPr>
        <w:t xml:space="preserve">( </w:t>
      </w:r>
      <w:r>
        <w:rPr>
          <w:rFonts w:cs="Traditional Arabic"/>
          <w:sz w:val="28"/>
          <w:szCs w:val="32"/>
        </w:rPr>
        <w:t>consensuel et synallegnatique</w:t>
      </w:r>
      <w:r>
        <w:rPr>
          <w:rFonts w:cs="Traditional Arabic"/>
          <w:sz w:val="28"/>
          <w:szCs w:val="32"/>
          <w:rtl/>
        </w:rPr>
        <w:t xml:space="preserve"> )</w:t>
      </w:r>
      <w:r>
        <w:rPr>
          <w:rFonts w:cs="Traditional Arabic" w:hint="cs"/>
          <w:sz w:val="28"/>
          <w:szCs w:val="32"/>
          <w:rtl/>
        </w:rPr>
        <w:t xml:space="preserve"> ( 2 ) عقد تابع </w:t>
      </w:r>
      <w:r>
        <w:rPr>
          <w:rFonts w:cs="Traditional Arabic"/>
          <w:sz w:val="28"/>
          <w:szCs w:val="32"/>
          <w:rtl/>
        </w:rPr>
        <w:t xml:space="preserve">( </w:t>
      </w:r>
      <w:r>
        <w:rPr>
          <w:rFonts w:cs="Traditional Arabic"/>
          <w:sz w:val="28"/>
          <w:szCs w:val="32"/>
        </w:rPr>
        <w:t>accessoire</w:t>
      </w:r>
      <w:r>
        <w:rPr>
          <w:rFonts w:cs="Traditional Arabic"/>
          <w:sz w:val="28"/>
          <w:szCs w:val="32"/>
          <w:rtl/>
        </w:rPr>
        <w:t xml:space="preserve"> )</w:t>
      </w:r>
      <w:r>
        <w:rPr>
          <w:rFonts w:cs="Traditional Arabic" w:hint="cs"/>
          <w:sz w:val="28"/>
          <w:szCs w:val="32"/>
          <w:rtl/>
        </w:rPr>
        <w:t xml:space="preserve"> . ( 3 ) عقد غير قابل للتجزئة </w:t>
      </w:r>
      <w:r>
        <w:rPr>
          <w:rFonts w:cs="Traditional Arabic"/>
          <w:sz w:val="28"/>
          <w:szCs w:val="32"/>
          <w:rtl/>
        </w:rPr>
        <w:t xml:space="preserve">( </w:t>
      </w:r>
      <w:r>
        <w:rPr>
          <w:rFonts w:cs="Traditional Arabic"/>
          <w:sz w:val="28"/>
          <w:szCs w:val="32"/>
        </w:rPr>
        <w:t>indivisible</w:t>
      </w:r>
      <w:r>
        <w:rPr>
          <w:rFonts w:cs="Traditional Arabic"/>
          <w:sz w:val="28"/>
          <w:szCs w:val="32"/>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498- الرهن الحيازي عقد رضائي ملزم للجانبين</w:t>
      </w:r>
      <w:r>
        <w:rPr>
          <w:rFonts w:cs="Traditional Arabic" w:hint="cs"/>
          <w:sz w:val="28"/>
          <w:szCs w:val="32"/>
          <w:rtl/>
        </w:rPr>
        <w:t xml:space="preserve"> : لم يكن الرهن الحيازي عقداً رضائياً في التقنين المدني القديم ، بل كان عقداً عينياً كما قدمنا . فكان لا ينعقد ، إلا إذا تم تسليم الشيء المرهون تسليماً فعالياً إلى الدائن</w:t>
      </w:r>
      <w:r>
        <w:rPr>
          <w:rFonts w:cs="Traditional Arabic" w:hint="cs"/>
          <w:sz w:val="28"/>
          <w:szCs w:val="32"/>
          <w:vertAlign w:val="superscript"/>
          <w:rtl/>
        </w:rPr>
        <w:t xml:space="preserve">( </w:t>
      </w:r>
      <w:r w:rsidRPr="00EC737F">
        <w:rPr>
          <w:rStyle w:val="ab"/>
          <w:rFonts w:cs="Traditional Arabic"/>
          <w:sz w:val="28"/>
          <w:szCs w:val="32"/>
          <w:rtl/>
        </w:rPr>
        <w:footnoteReference w:id="1459"/>
      </w:r>
      <w:r>
        <w:rPr>
          <w:rFonts w:cs="Traditional Arabic" w:hint="cs"/>
          <w:sz w:val="28"/>
          <w:szCs w:val="32"/>
          <w:vertAlign w:val="superscript"/>
          <w:rtl/>
        </w:rPr>
        <w:t xml:space="preserve"> )</w:t>
      </w:r>
      <w:r>
        <w:rPr>
          <w:rFonts w:cs="Traditional Arabic" w:hint="cs"/>
          <w:sz w:val="28"/>
          <w:szCs w:val="32"/>
          <w:rtl/>
        </w:rPr>
        <w:t xml:space="preserve"> أما في التقنين المدني الجديد ، فقد أصبح الرهن الحيازي عقداً $742 رضائياً ، ينعقد بمجرد تبادل إيجاب وقبول متطابقين ، ولا ضرورة لتسليم الشيء المرهون إذ التسليم التزام لا ركن</w:t>
      </w:r>
      <w:r>
        <w:rPr>
          <w:rFonts w:cs="Traditional Arabic" w:hint="cs"/>
          <w:sz w:val="28"/>
          <w:szCs w:val="32"/>
          <w:vertAlign w:val="superscript"/>
          <w:rtl/>
        </w:rPr>
        <w:t xml:space="preserve">( </w:t>
      </w:r>
      <w:r w:rsidRPr="00EC737F">
        <w:rPr>
          <w:rStyle w:val="ab"/>
          <w:rFonts w:cs="Traditional Arabic"/>
          <w:sz w:val="28"/>
          <w:szCs w:val="32"/>
          <w:rtl/>
        </w:rPr>
        <w:footnoteReference w:id="14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وكان الرهن الحيازي ، عند ما كان عقداً عينياً في التقنين المدني القديم وكان تسليم الشيء المرهون ركناً لا التزاماً ، يعتبر في الغالب عقداً ملزماً لجانب واحد ، هو جانب الدائن المرتهن . فإن هذا الدائن يلتزم بالمحافظة على الشيء المرهون واستثماره ورده عند انقضاء الرهن وتقديم حساب عن ذلك ، أما المدين </w:t>
      </w:r>
      <w:r>
        <w:rPr>
          <w:rFonts w:cs="Traditional Arabic" w:hint="cs"/>
          <w:sz w:val="28"/>
          <w:szCs w:val="32"/>
          <w:rtl/>
        </w:rPr>
        <w:lastRenderedPageBreak/>
        <w:t>فكان لا يلتزم حتى بالتسليم لأن التسليم كان ركناً لا التزاماً</w:t>
      </w:r>
      <w:r>
        <w:rPr>
          <w:rFonts w:cs="Traditional Arabic" w:hint="cs"/>
          <w:sz w:val="28"/>
          <w:szCs w:val="32"/>
          <w:vertAlign w:val="superscript"/>
          <w:rtl/>
        </w:rPr>
        <w:t xml:space="preserve">( </w:t>
      </w:r>
      <w:r w:rsidRPr="00EC737F">
        <w:rPr>
          <w:rStyle w:val="ab"/>
          <w:rFonts w:cs="Traditional Arabic"/>
          <w:sz w:val="28"/>
          <w:szCs w:val="32"/>
          <w:rtl/>
        </w:rPr>
        <w:footnoteReference w:id="1461"/>
      </w:r>
      <w:r>
        <w:rPr>
          <w:rFonts w:cs="Traditional Arabic" w:hint="cs"/>
          <w:sz w:val="28"/>
          <w:szCs w:val="32"/>
          <w:vertAlign w:val="superscript"/>
          <w:rtl/>
        </w:rPr>
        <w:t xml:space="preserve"> )</w:t>
      </w:r>
      <w:r>
        <w:rPr>
          <w:rFonts w:cs="Traditional Arabic" w:hint="cs"/>
          <w:sz w:val="28"/>
          <w:szCs w:val="32"/>
          <w:rtl/>
        </w:rPr>
        <w:t xml:space="preserve"> . أما في التقنين المدني الجديد ، فلا شك في أن الرهن الحيازي عقد ملزم للجانبين ، إذا إلى جانب التزامات الدائن المرتهن التي سبق ذكرها يلتزم المدين الراهن بتسليم العين المرهونة ، منقولا كانت أو عقاراً ، إلى الدائن المرتهن ، فقد أصبح التسليم التزاماً في ذمة المدين لا ركناً في العقد . فيختلف الرهن الحيازي عن الرهن الرسمي في ذلك ، فإن الرهن الرسمي هو عقد ملزم لجانب واحد ، هو جانب الراهن ، أما الدائن المرتهن فلا يلتزم بشيء</w:t>
      </w:r>
      <w:r>
        <w:rPr>
          <w:rFonts w:cs="Traditional Arabic" w:hint="cs"/>
          <w:sz w:val="28"/>
          <w:szCs w:val="32"/>
          <w:vertAlign w:val="superscript"/>
          <w:rtl/>
        </w:rPr>
        <w:t xml:space="preserve">( </w:t>
      </w:r>
      <w:r w:rsidRPr="00EC737F">
        <w:rPr>
          <w:rStyle w:val="ab"/>
          <w:rFonts w:cs="Traditional Arabic"/>
          <w:sz w:val="28"/>
          <w:szCs w:val="32"/>
          <w:rtl/>
        </w:rPr>
        <w:footnoteReference w:id="146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499- الرهن الحيازي عقد تابع :</w:t>
      </w:r>
      <w:r>
        <w:rPr>
          <w:rFonts w:cs="Traditional Arabic" w:hint="cs"/>
          <w:sz w:val="28"/>
          <w:szCs w:val="32"/>
          <w:rtl/>
        </w:rPr>
        <w:t xml:space="preserve"> فهو يستلزم وجود التزام أصلي يضمنه ، شأنه في ذلك شأن الكفالة والرهن الرسمي وحق الاختصاص . وهذا الالتزام الأصلي ، إذا كان باطلا أو قابلا للإبطال أو انقضى ، يتبعه الرهن الحيازي في ذلك فيكون باطلا أو قابلا للإبطال أو منقضياً</w:t>
      </w:r>
      <w:r>
        <w:rPr>
          <w:rFonts w:cs="Traditional Arabic" w:hint="cs"/>
          <w:sz w:val="28"/>
          <w:szCs w:val="32"/>
          <w:vertAlign w:val="superscript"/>
          <w:rtl/>
        </w:rPr>
        <w:t xml:space="preserve">( </w:t>
      </w:r>
      <w:r w:rsidRPr="00EC737F">
        <w:rPr>
          <w:rStyle w:val="ab"/>
          <w:rFonts w:cs="Traditional Arabic"/>
          <w:sz w:val="28"/>
          <w:szCs w:val="32"/>
          <w:rtl/>
        </w:rPr>
        <w:footnoteReference w:id="14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$743 وإذا كان الالتزام الأصلي تجارياً ، كانت المنازعات الخاصة بانعقاد الرهن وتنفيذه من </w:t>
      </w:r>
      <w:r>
        <w:rPr>
          <w:rFonts w:cs="Traditional Arabic" w:hint="cs"/>
          <w:sz w:val="28"/>
          <w:szCs w:val="32"/>
          <w:rtl/>
        </w:rPr>
        <w:lastRenderedPageBreak/>
        <w:t>اختصاص المحكمة التجارية ، ولو كان من قرر الرهن ليس بتاجر</w:t>
      </w:r>
      <w:r>
        <w:rPr>
          <w:rFonts w:cs="Traditional Arabic" w:hint="cs"/>
          <w:sz w:val="28"/>
          <w:szCs w:val="32"/>
          <w:vertAlign w:val="superscript"/>
          <w:rtl/>
        </w:rPr>
        <w:t xml:space="preserve">( </w:t>
      </w:r>
      <w:r w:rsidRPr="00EC737F">
        <w:rPr>
          <w:rStyle w:val="ab"/>
          <w:rFonts w:cs="Traditional Arabic"/>
          <w:sz w:val="28"/>
          <w:szCs w:val="32"/>
          <w:rtl/>
        </w:rPr>
        <w:footnoteReference w:id="1464"/>
      </w:r>
      <w:r>
        <w:rPr>
          <w:rFonts w:cs="Traditional Arabic" w:hint="cs"/>
          <w:sz w:val="28"/>
          <w:szCs w:val="32"/>
          <w:vertAlign w:val="superscript"/>
          <w:rtl/>
        </w:rPr>
        <w:t xml:space="preserve"> )</w:t>
      </w:r>
      <w:r>
        <w:rPr>
          <w:rFonts w:cs="Traditional Arabic" w:hint="cs"/>
          <w:sz w:val="28"/>
          <w:szCs w:val="32"/>
          <w:rtl/>
        </w:rPr>
        <w:t xml:space="preserve"> . ولا يشترط في الرهن التجاري شكل خاص ، ويجوز إثباته بجميع طرق الإثبات</w:t>
      </w:r>
      <w:r>
        <w:rPr>
          <w:rFonts w:cs="Traditional Arabic" w:hint="cs"/>
          <w:sz w:val="28"/>
          <w:szCs w:val="32"/>
          <w:vertAlign w:val="superscript"/>
          <w:rtl/>
        </w:rPr>
        <w:t xml:space="preserve">( </w:t>
      </w:r>
      <w:r w:rsidRPr="00EC737F">
        <w:rPr>
          <w:rStyle w:val="ab"/>
          <w:rFonts w:cs="Traditional Arabic"/>
          <w:sz w:val="28"/>
          <w:szCs w:val="32"/>
          <w:rtl/>
        </w:rPr>
        <w:footnoteReference w:id="14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والالتزام الأصلي الذي يضمنه الرهن الحيازي يصح أن يكون محله ، كما هو الغالب ، مبلغاً من النقود . ولكن يصح أيضاً أن يكون محله التزاماً بعمل ، أو بالامتناع عن عمل ، أو بنقل حق عيني</w:t>
      </w:r>
      <w:r>
        <w:rPr>
          <w:rFonts w:cs="Traditional Arabic" w:hint="cs"/>
          <w:sz w:val="28"/>
          <w:szCs w:val="32"/>
          <w:vertAlign w:val="superscript"/>
          <w:rtl/>
        </w:rPr>
        <w:t xml:space="preserve">( </w:t>
      </w:r>
      <w:r w:rsidRPr="00EC737F">
        <w:rPr>
          <w:rStyle w:val="ab"/>
          <w:rFonts w:cs="Traditional Arabic"/>
          <w:sz w:val="28"/>
          <w:szCs w:val="32"/>
          <w:rtl/>
        </w:rPr>
        <w:footnoteReference w:id="14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ويصح أن يكون الالتزام الأصلي مقروناً بأجل ، أو معلقاً على شرط . وعند ذلك يكون الرهن الحيازي ذاته مقررناً بنفس الأجل ، أو معلقاً على نفس الشرط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$744 وفي أكثر الأحوال ، يضمن الرهن الحيازي قرضاً كالتزام أصلي ، ولكن قد يعقد الرهن الحيازي لضمان التزامات ناشئة عن بيع أو إجازة أو شركة أو أي عقد آخر</w:t>
      </w:r>
      <w:r>
        <w:rPr>
          <w:rFonts w:cs="Traditional Arabic" w:hint="cs"/>
          <w:sz w:val="28"/>
          <w:szCs w:val="32"/>
          <w:vertAlign w:val="superscript"/>
          <w:rtl/>
        </w:rPr>
        <w:t xml:space="preserve">( </w:t>
      </w:r>
      <w:r w:rsidRPr="00EC737F">
        <w:rPr>
          <w:rStyle w:val="ab"/>
          <w:rFonts w:cs="Traditional Arabic"/>
          <w:sz w:val="28"/>
          <w:szCs w:val="32"/>
          <w:rtl/>
        </w:rPr>
        <w:footnoteReference w:id="146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يضمن الرهن الحيازي التزاماً أصلياً هو التزام مستقبل أو احتمالي</w:t>
      </w:r>
      <w:r>
        <w:rPr>
          <w:rFonts w:cs="Traditional Arabic" w:hint="cs"/>
          <w:sz w:val="28"/>
          <w:szCs w:val="32"/>
          <w:vertAlign w:val="superscript"/>
          <w:rtl/>
        </w:rPr>
        <w:t xml:space="preserve">( </w:t>
      </w:r>
      <w:r w:rsidRPr="00EC737F">
        <w:rPr>
          <w:rStyle w:val="ab"/>
          <w:rFonts w:cs="Traditional Arabic"/>
          <w:sz w:val="28"/>
          <w:szCs w:val="32"/>
          <w:rtl/>
        </w:rPr>
        <w:footnoteReference w:id="1468"/>
      </w:r>
      <w:r>
        <w:rPr>
          <w:rFonts w:cs="Traditional Arabic" w:hint="cs"/>
          <w:sz w:val="28"/>
          <w:szCs w:val="32"/>
          <w:vertAlign w:val="superscript"/>
          <w:rtl/>
        </w:rPr>
        <w:t xml:space="preserve"> )</w:t>
      </w:r>
      <w:r>
        <w:rPr>
          <w:rFonts w:cs="Traditional Arabic" w:hint="cs"/>
          <w:sz w:val="28"/>
          <w:szCs w:val="32"/>
          <w:rtl/>
        </w:rPr>
        <w:t xml:space="preserve"> ، كالتزام الناتج من فتح اعتماد</w:t>
      </w:r>
      <w:r>
        <w:rPr>
          <w:rFonts w:cs="Traditional Arabic" w:hint="cs"/>
          <w:sz w:val="28"/>
          <w:szCs w:val="32"/>
          <w:vertAlign w:val="superscript"/>
          <w:rtl/>
        </w:rPr>
        <w:t xml:space="preserve">( </w:t>
      </w:r>
      <w:r w:rsidRPr="00EC737F">
        <w:rPr>
          <w:rStyle w:val="ab"/>
          <w:rFonts w:cs="Traditional Arabic"/>
          <w:sz w:val="28"/>
          <w:szCs w:val="32"/>
          <w:rtl/>
        </w:rPr>
        <w:footnoteReference w:id="1469"/>
      </w:r>
      <w:r>
        <w:rPr>
          <w:rFonts w:cs="Traditional Arabic" w:hint="cs"/>
          <w:sz w:val="28"/>
          <w:szCs w:val="32"/>
          <w:vertAlign w:val="superscript"/>
          <w:rtl/>
        </w:rPr>
        <w:t xml:space="preserve"> )</w:t>
      </w:r>
      <w:r>
        <w:rPr>
          <w:rFonts w:cs="Traditional Arabic" w:hint="cs"/>
          <w:sz w:val="28"/>
          <w:szCs w:val="32"/>
          <w:rtl/>
        </w:rPr>
        <w:t xml:space="preserve"> ، ويسقط الرهن إذا كان الالتزام الأصلي لا يتولد</w:t>
      </w:r>
      <w:r>
        <w:rPr>
          <w:rFonts w:cs="Traditional Arabic" w:hint="cs"/>
          <w:sz w:val="28"/>
          <w:szCs w:val="32"/>
          <w:vertAlign w:val="superscript"/>
          <w:rtl/>
        </w:rPr>
        <w:t xml:space="preserve">( </w:t>
      </w:r>
      <w:r w:rsidRPr="00EC737F">
        <w:rPr>
          <w:rStyle w:val="ab"/>
          <w:rFonts w:cs="Traditional Arabic"/>
          <w:sz w:val="28"/>
          <w:szCs w:val="32"/>
          <w:rtl/>
        </w:rPr>
        <w:footnoteReference w:id="1470"/>
      </w:r>
      <w:r>
        <w:rPr>
          <w:rFonts w:cs="Traditional Arabic" w:hint="cs"/>
          <w:sz w:val="28"/>
          <w:szCs w:val="32"/>
          <w:vertAlign w:val="superscript"/>
          <w:rtl/>
        </w:rPr>
        <w:t xml:space="preserve"> )</w:t>
      </w:r>
      <w:r>
        <w:rPr>
          <w:rFonts w:cs="Traditional Arabic" w:hint="cs"/>
          <w:sz w:val="28"/>
          <w:szCs w:val="32"/>
          <w:rtl/>
        </w:rPr>
        <w:t xml:space="preserve"> . وقد نصت المادة 1040 مدني</w:t>
      </w:r>
      <w:r>
        <w:rPr>
          <w:rFonts w:cs="Traditional Arabic" w:hint="cs"/>
          <w:sz w:val="28"/>
          <w:szCs w:val="32"/>
          <w:vertAlign w:val="superscript"/>
          <w:rtl/>
        </w:rPr>
        <w:t xml:space="preserve">( </w:t>
      </w:r>
      <w:r w:rsidRPr="00EC737F">
        <w:rPr>
          <w:rStyle w:val="ab"/>
          <w:rFonts w:cs="Traditional Arabic"/>
          <w:sz w:val="28"/>
          <w:szCs w:val="32"/>
          <w:rtl/>
        </w:rPr>
        <w:footnoteReference w:id="1471"/>
      </w:r>
      <w:r>
        <w:rPr>
          <w:rFonts w:cs="Traditional Arabic" w:hint="cs"/>
          <w:sz w:val="28"/>
          <w:szCs w:val="32"/>
          <w:vertAlign w:val="superscript"/>
          <w:rtl/>
        </w:rPr>
        <w:t xml:space="preserve"> )</w:t>
      </w:r>
      <w:r>
        <w:rPr>
          <w:rFonts w:cs="Traditional Arabic" w:hint="cs"/>
          <w:sz w:val="28"/>
          <w:szCs w:val="32"/>
          <w:rtl/>
        </w:rPr>
        <w:t xml:space="preserve"> </w:t>
      </w:r>
      <w:r>
        <w:rPr>
          <w:rFonts w:cs="Traditional Arabic" w:hint="cs"/>
          <w:sz w:val="28"/>
          <w:szCs w:val="32"/>
          <w:rtl/>
        </w:rPr>
        <w:lastRenderedPageBreak/>
        <w:t>على ما يأتي : "يجوز أن يترتب ضماناً لدين معلق على شرط أو دين مستقبل أو دين احتمالي كما يجوز أن يترتب ضماناً لاعتماد مفتوح أو لفتح حساب جار ، على أن يتحدد في عقد الرهن مبلغ الدين المضمون أو الحد الأقصى الذي ينتهي إليه هذا الدين"</w:t>
      </w:r>
      <w:r>
        <w:rPr>
          <w:rFonts w:cs="Traditional Arabic" w:hint="cs"/>
          <w:sz w:val="28"/>
          <w:szCs w:val="32"/>
          <w:vertAlign w:val="superscript"/>
          <w:rtl/>
        </w:rPr>
        <w:t xml:space="preserve">( </w:t>
      </w:r>
      <w:r w:rsidRPr="00EC737F">
        <w:rPr>
          <w:rStyle w:val="ab"/>
          <w:rFonts w:cs="Traditional Arabic"/>
          <w:sz w:val="28"/>
          <w:szCs w:val="32"/>
          <w:rtl/>
        </w:rPr>
        <w:footnoteReference w:id="14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500- الرهن الحيازي عقد غير قابل للتجزئة : </w:t>
      </w:r>
      <w:r>
        <w:rPr>
          <w:rFonts w:cs="Traditional Arabic" w:hint="cs"/>
          <w:sz w:val="28"/>
          <w:szCs w:val="32"/>
          <w:rtl/>
        </w:rPr>
        <w:t>وتنص المادة 1041 مدني</w:t>
      </w:r>
      <w:r>
        <w:rPr>
          <w:rFonts w:cs="Traditional Arabic" w:hint="cs"/>
          <w:sz w:val="28"/>
          <w:szCs w:val="32"/>
          <w:vertAlign w:val="superscript"/>
          <w:rtl/>
        </w:rPr>
        <w:t xml:space="preserve">( </w:t>
      </w:r>
      <w:r w:rsidRPr="00EC737F">
        <w:rPr>
          <w:rStyle w:val="ab"/>
          <w:rFonts w:cs="Traditional Arabic"/>
          <w:sz w:val="28"/>
          <w:szCs w:val="32"/>
          <w:rtl/>
        </w:rPr>
        <w:footnoteReference w:id="1473"/>
      </w:r>
      <w:r>
        <w:rPr>
          <w:rFonts w:cs="Traditional Arabic" w:hint="cs"/>
          <w:sz w:val="28"/>
          <w:szCs w:val="32"/>
          <w:vertAlign w:val="superscript"/>
          <w:rtl/>
        </w:rPr>
        <w:t xml:space="preserve"> )</w:t>
      </w:r>
      <w:r>
        <w:rPr>
          <w:rFonts w:cs="Traditional Arabic" w:hint="cs"/>
          <w:sz w:val="28"/>
          <w:szCs w:val="32"/>
          <w:rtl/>
        </w:rPr>
        <w:t xml:space="preserve">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"كل جزء من العقار أو العقارات المرهونة ضامن لكل الدين ، وكل $745 جزء من الدين مضمون العقار أو العقارات المرهونة كملها ، ما لم ينص القانون أو يقض الاتفاق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الدين المضمون بالرهن الحيازي جزءين متساويي ، وكان الشيء المرهون عقاراً أو منقولا متساوي القيمة ، كان كل جزء من الدين مضموناً بكل الرهن ، وكان كل جزء من الرهن ضامناً لكل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فلو قسم الدين المضمون إلى جزئية المتساويين وحول كل جزء منهما إلى شخص ، لم يجز لأي شخص من الشخصين المحال لهما أن يدفع نصف الدين ليخلص جزءه ، بل إن جزءه مضمون بكل الرهن لا بنصفه فقط ، وما لم يدفع كل الدين وبقي منه نصفه مثلا ، فإن الرهن كله يبقى ضامناً لهذا النصف الذي لم يدفع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ولو قسم الشيء المرهون ، فأعطي العقار لشخص والمنقول لآخر ، ودفع م أخذ المنقول نصف الدين ، لم يخلص منقوله بذلك ، بل يبقى مرهوناً على نصف الدين الذي لم يدفع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وهكذا يصدق القول بأن كل جزء من الدين مضمون بكل الرهن ، وبأن كل جزء من الرهن ضامن </w:t>
      </w:r>
      <w:r>
        <w:rPr>
          <w:rFonts w:cs="Traditional Arabic" w:hint="cs"/>
          <w:sz w:val="28"/>
          <w:szCs w:val="32"/>
          <w:rtl/>
        </w:rPr>
        <w:lastRenderedPageBreak/>
        <w:t>لكل الدين ، وهذا هو المعنى المقصود من القول بأن الرهن الحيازي عقد غير قابل للتجزئة</w:t>
      </w:r>
      <w:r>
        <w:rPr>
          <w:rFonts w:cs="Traditional Arabic" w:hint="cs"/>
          <w:sz w:val="28"/>
          <w:szCs w:val="32"/>
          <w:vertAlign w:val="superscript"/>
          <w:rtl/>
        </w:rPr>
        <w:t xml:space="preserve">( </w:t>
      </w:r>
      <w:r w:rsidRPr="00EC737F">
        <w:rPr>
          <w:rStyle w:val="ab"/>
          <w:rFonts w:cs="Traditional Arabic"/>
          <w:sz w:val="28"/>
          <w:szCs w:val="32"/>
          <w:rtl/>
        </w:rPr>
        <w:footnoteReference w:id="14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وعدم تجزئة الرهن الحيازي من طبيعة الرهن </w:t>
      </w:r>
      <w:r>
        <w:rPr>
          <w:rFonts w:cs="Traditional Arabic"/>
          <w:sz w:val="28"/>
          <w:szCs w:val="32"/>
          <w:rtl/>
        </w:rPr>
        <w:t xml:space="preserve">( </w:t>
      </w:r>
      <w:r>
        <w:rPr>
          <w:rFonts w:cs="Traditional Arabic"/>
          <w:sz w:val="28"/>
          <w:szCs w:val="32"/>
        </w:rPr>
        <w:t>sa nature</w:t>
      </w:r>
      <w:r>
        <w:rPr>
          <w:rFonts w:cs="Traditional Arabic"/>
          <w:sz w:val="28"/>
          <w:szCs w:val="32"/>
          <w:rtl/>
        </w:rPr>
        <w:t xml:space="preserve"> )</w:t>
      </w:r>
      <w:r>
        <w:rPr>
          <w:rFonts w:cs="Traditional Arabic" w:hint="cs"/>
          <w:sz w:val="28"/>
          <w:szCs w:val="32"/>
          <w:rtl/>
        </w:rPr>
        <w:t xml:space="preserve"> لا من مستلزماته </w:t>
      </w:r>
      <w:r>
        <w:rPr>
          <w:rFonts w:cs="Traditional Arabic"/>
          <w:sz w:val="28"/>
          <w:szCs w:val="32"/>
          <w:rtl/>
        </w:rPr>
        <w:t xml:space="preserve">( </w:t>
      </w:r>
      <w:r>
        <w:rPr>
          <w:rFonts w:cs="Traditional Arabic"/>
          <w:sz w:val="28"/>
          <w:szCs w:val="32"/>
        </w:rPr>
        <w:t>non de l'essence</w:t>
      </w:r>
      <w:r>
        <w:rPr>
          <w:rFonts w:cs="Traditional Arabic"/>
          <w:sz w:val="28"/>
          <w:szCs w:val="32"/>
          <w:rtl/>
        </w:rPr>
        <w:t xml:space="preserve"> )</w:t>
      </w:r>
      <w:r>
        <w:rPr>
          <w:rFonts w:cs="Traditional Arabic" w:hint="cs"/>
          <w:sz w:val="28"/>
          <w:szCs w:val="32"/>
          <w:rtl/>
        </w:rPr>
        <w:t xml:space="preserve"> ، فيجوز الاتفاق على عكس ذلك وعلى أن بعض المرهون يتخلص بوفاء بعض الدين</w:t>
      </w:r>
      <w:r>
        <w:rPr>
          <w:rFonts w:cs="Traditional Arabic" w:hint="cs"/>
          <w:sz w:val="28"/>
          <w:szCs w:val="32"/>
          <w:vertAlign w:val="superscript"/>
          <w:rtl/>
        </w:rPr>
        <w:t xml:space="preserve">( </w:t>
      </w:r>
      <w:r w:rsidRPr="00EC737F">
        <w:rPr>
          <w:rStyle w:val="ab"/>
          <w:rFonts w:cs="Traditional Arabic"/>
          <w:sz w:val="28"/>
          <w:szCs w:val="32"/>
          <w:rtl/>
        </w:rPr>
        <w:footnoteReference w:id="147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$746 </w:t>
      </w:r>
      <w:r>
        <w:rPr>
          <w:rFonts w:cs="Traditional Arabic" w:hint="cs"/>
          <w:b/>
          <w:bCs/>
          <w:sz w:val="28"/>
          <w:szCs w:val="32"/>
          <w:rtl/>
        </w:rPr>
        <w:t>501- الرهن الحيازي والرهن الرسمي :</w:t>
      </w:r>
      <w:r>
        <w:rPr>
          <w:rFonts w:cs="Traditional Arabic" w:hint="cs"/>
          <w:sz w:val="28"/>
          <w:szCs w:val="32"/>
          <w:rtl/>
        </w:rPr>
        <w:t xml:space="preserve"> يختلف الرهن الحيازي عن الرهن الرسمي فيما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من حيث العقد : الرهن الحيازي عقد رضائي فلا تشترط فيه الرسمية ، فأي إيجاب وقبول متطابقين على رهن حيازي يكفيان في عقد الرهن الحيازي . أما الرهن الرسمي ، فقد رأينا أنه يشترط فيه أن يكون العقد رسمياً ، فلا ينعقد بعقد عرفي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من حيث المحل : محل الرهن الحيازي يصح أن يكون عقاراً وأن يكون منقولا ، وليس القيد ضرورياً لسريان الرهن الحيازي في مواجهة الغير إلا إذا كان محل الرهن الحيازي عقاراً . أما الرهن الرسمي ، فلا يكون محله إلا عقاراً ، ولا يقع على منقول ، ولذلك يكون القيد ضرورياً في الرهن الرسمي ليكون الرهن نافذاً في حق الغير ، ولا يرهن منقول رهناً رسمياً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من حيث المضمون : يخول الرهن الحيازي حبس الشيء المرهون ، منقولا كان أو عقاراً ، حتى يستوفي الدائن دينه . أما الرهن الرسمي ، فلا يخول الدائن حق الحبس ، وكل ما للدائن إذا حل دينه هو أن ينفذ على العقار المرهون رهناً رسمياً ، متقدماً ومتتبعاً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4- من حيث الحيازة : في الرهن الحيازي يوجد التزام على الراهن هو أن يسلم الشيء المرهون ، منقولا مكان أو عقاراً ، للدائن المرتهن ( أو أجنبي ) يحافظ عليه ويديره ويستغله . أما في الرهن الرسمي ، فيبقى العقار المرهون في حيازة الراهن ، ولا ينتقل منه إلى أحد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ويشترك الرهن الحيازي مع الرهن الرسمي فيما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كل من الرهن الحيازي والرهن الرسمي لا ينشأ إلا من عقد ، فلا ينشأ بحكم كما في الاختصاص ، ولا ينص في القانون كما في حقوق الامتياز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$747 2- كل من الرهن الحيازي والرهن الرسمي يتضمن حقاً عينياً ، أي سلطة مباشرة على مال معين ، فينفذ قبل الكافة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كل من الرهن الحيازي والرهن الرسمي يتضمن حقاً تبعياً ، فيتبع الحق المضمون وجوداً وعدماً . ويجوز للراهن أن يتمسك قبل المرتهن بكل الدفوع التي تؤثر في الحق المضمون</w:t>
      </w:r>
      <w:r>
        <w:rPr>
          <w:rFonts w:cs="Traditional Arabic" w:hint="cs"/>
          <w:sz w:val="28"/>
          <w:szCs w:val="32"/>
          <w:vertAlign w:val="superscript"/>
          <w:rtl/>
        </w:rPr>
        <w:t xml:space="preserve">( </w:t>
      </w:r>
      <w:r w:rsidRPr="00EC737F">
        <w:rPr>
          <w:rStyle w:val="ab"/>
          <w:rFonts w:cs="Traditional Arabic"/>
          <w:sz w:val="28"/>
          <w:szCs w:val="32"/>
          <w:rtl/>
        </w:rPr>
        <w:footnoteReference w:id="147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كل من الرهن الحيازي والرهن الرسمي يتضمن حقاً لا يتجزأ ، فتبقى سلطة الدائن المرتهن على المال المرهون كله ، حتى يستوفي كل الدين المضمون</w:t>
      </w:r>
      <w:r>
        <w:rPr>
          <w:rFonts w:cs="Traditional Arabic" w:hint="cs"/>
          <w:sz w:val="28"/>
          <w:szCs w:val="32"/>
          <w:vertAlign w:val="superscript"/>
          <w:rtl/>
        </w:rPr>
        <w:t xml:space="preserve">( </w:t>
      </w:r>
      <w:r w:rsidRPr="00EC737F">
        <w:rPr>
          <w:rStyle w:val="ab"/>
          <w:rFonts w:cs="Traditional Arabic"/>
          <w:sz w:val="28"/>
          <w:szCs w:val="32"/>
          <w:rtl/>
        </w:rPr>
        <w:footnoteReference w:id="147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كل من الرهن الحيازي والرهن الرسمي يخول الدائن المرتهن أن ينفذ على العين المرهونة ، مستعملا في ذلك حقي التقدم والتتبع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وواضح أن عقد الرهن الحيازي سبق عقد الرهن الرسمي في الوجود . فعقد الرهن الحيازي موجود في الشرائع القديمة ، وكان بعض هذه الشرائع لا يعرف الرهن الرسمي . وقد عرفت الشريعة الإسلامية رهن الحيازة ، وكانت الحيازة تنتقل فيه بدلا من انتقال الملكية التي كانت تنتقل في أول الأمر ، ولا تكاد الشريعة </w:t>
      </w:r>
      <w:r>
        <w:rPr>
          <w:rFonts w:cs="Traditional Arabic" w:hint="cs"/>
          <w:sz w:val="28"/>
          <w:szCs w:val="32"/>
          <w:rtl/>
        </w:rPr>
        <w:lastRenderedPageBreak/>
        <w:t>الإسلامية تعرف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502- الرهن الحيازي في مصر :</w:t>
      </w:r>
      <w:r>
        <w:rPr>
          <w:rFonts w:cs="Traditional Arabic" w:hint="cs"/>
          <w:sz w:val="28"/>
          <w:szCs w:val="32"/>
          <w:rtl/>
        </w:rPr>
        <w:t xml:space="preserve"> وبالرغم من تفوق الرهن الرسمي على الرهن الحيازي ، إلا أن الرهن الحيازي لا يزال محتفظاً ببعض المزايا . فالرهن  الحيازي لا يحتاج إلى رسمية في عقده ، ويحتاجها الرهن الرسمي . والرهن الحيازي يرد على العقار وعلى المنقول ، في حين أن الرهن الرسمي لا يرد إلا على عقار فلا يرد على 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$748 هذه المزايا ، والى جانب بل أهم منها ألفة الناس ، وبخاصة في الريف ، التعامل بالرهن الحيازي أكثر من التعامل بالرهن الرسمي ، جعلت رهن الحيازة لا يزال في ازدهار إلى اليوم ، لا سيما بين الفلاحين حيث يعتبر رهن الحيازة من أهم وسائل الائتمان . فحيازة المال المرهون واستثماره والاحتفاظ بغلته خصما من الفوائد واصل الدين ، يعلق عليها الدائنون في الريف أهمية كبيرة . فينتقل إلى الدائن تكليف العقار المرهون ، ويوفر ذلك عند مزيداً من الطمأنينة . ويستغل المال المرهون ، حتى يستوفي من غلته دينه ، ثم يرده بعد استيفاء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شك في أن رهن الحيازة لا يزال له مكان مرموق ، ولن يزول هذا المكان إلا إذا توافر لدى الفلاح من الإدارة المنظمة ومن التخصص في المطالبة والتنفيذ ما يجعله في غير حاجة إلى حيازة المال المرهون . وعند ذلك يرجح الفلاح الرهن الرسمي على رهن الحيازة ، أسوة بالمصاريف والبيوت المالية الكبيرة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أخذ الرهن الرسمي في الانتشار ، بعد أن أنشئت مأموريات كثيرة لتوثيق العقود الرسمية في جميع البلاد ، وبعد أن أصبح الرهن الحيازي العقاري خاضعاً للقيد كالرهن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503- نظرة عامة من المذكرة الإيضاحية :</w:t>
      </w:r>
      <w:r>
        <w:rPr>
          <w:rFonts w:cs="Traditional Arabic" w:hint="cs"/>
          <w:sz w:val="28"/>
          <w:szCs w:val="32"/>
          <w:rtl/>
        </w:rPr>
        <w:t xml:space="preserve"> وقد جاء في المذكرة الإيضاحية للمشروع التمهيدي ، في النظرة العامة بشأن رهن الحيازة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"لم يلتزم التقنين الحالي ( السابق ) في ترتيب نصوص رهن الحيازة منطقاً ظاهراً ، أما المشروع فقد </w:t>
      </w:r>
      <w:r>
        <w:rPr>
          <w:rFonts w:cs="Traditional Arabic" w:hint="cs"/>
          <w:sz w:val="28"/>
          <w:szCs w:val="32"/>
          <w:rtl/>
        </w:rPr>
        <w:lastRenderedPageBreak/>
        <w:t>رتب هذه النصوص ترتيباً منطقياً ، فبسط القواعد العامة لرهن الحيازة متوخياً نفس الترتيب الذي اتبعه في الرهن الرسمي ، وفي حق الاختصاص ، بأن ذكر أركان الرهن ، وخص بالذكر $749 الراهن والمال المرهون والدين المضمون . وأحال في كثير من هذه المسائل على أحكام الرهن الرسمي . ثم بسط آثار الرهن فيما بين المتعاقدين وبالنسبة للغير . فذكر في آثار الرهن فيما بين المتعاقدين التزامات الراهن والتزامات المرتهن ، ويتبين من ذلك أن رهن الحيازة عقد ملزم للجانبين في حين أن الرهن الرسمي عقد ملزم لجانب واحد . أما في آثار الرهن بالنسبة للغير ، فقد عرض المشروع كما يترتب على رهن الحيازة من الحق في الحبس وفي التقدم والتتبع . وانتهى بالأسباب التي ينقضي بها الرهن ، بصفة تبعية أو بصفة أصلية . ثم عرض المشروع بعد ذلك للقواعد الخاصة بالرهن إذا وقع على عقار أو على منقول أو على 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استحدث المشروع نصوصاً أدخل بها كثيراً من التعديلات على أحكام التقنين الحالي ( السابق ) وتدارك بها وجوه النقص والاقتضاب في هذه الأحكام ، ويتلخص أهمها فيما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جعل المشروع رهن الحيازة عقداً رضائياً ، وهو عقد عيني في التقنين الحالي ( السابق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أخضع المشروع رهن الحيازة لنظام القيد ، وهو خاضع في التقنين الحالي ( السابق ) لنظام التسجيل . ونظام  القيد لرهن الحيازة خير بكثير من نظام التسجيل ، لأن القيد يجدد كل عشر سنوات كما تقدم . فيمكن عند البحث عما يثقل العقار من رهون الحيازة ، أن يقتصر البحث على عشر سنوات كما هو الأمر في الرهن الرسمي وحق الاختصاص وحقوق الامتياز ، وكلها خاضعة لنظام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بين المشروع بعض أحكام الكفيل العيني الذي قدم رهناً حيازياً ، فقرر أنه لا يجوز التنفيذ على ماله إلا ما رهن ، ويكون له حق الدفع بالتجريد ، ويجوز له التمسك بما للمدين من الدفوع"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بين المشروع بوضوح ما هي التزامات الراهن ، فهو يضمن $750 الرهن ، ولا يجوز أن يأتي عملا ينقص من قيمته ، ويضمن هلاك الشيء المرهون على النحو المقرر في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"5- يسر المشروع كثيراً ن إجراءات بيع الشيء المرهون إذا كان منقولا ، فأجاز بيعه بسعره في البورصة أو السوق حتى قبل حلول الدين إذا كان مهدداً بالهلاك أو عرضت فررصة ملائمة للبيع . بل يجوز للدائن أن يطلب من القاضي أن يأمر بتمليكه المنقول وفاء للدين ، على أن يحسب عليه بقيمته حسب </w:t>
      </w:r>
      <w:r>
        <w:rPr>
          <w:rFonts w:cs="Traditional Arabic" w:hint="cs"/>
          <w:sz w:val="28"/>
          <w:szCs w:val="32"/>
          <w:rtl/>
        </w:rPr>
        <w:lastRenderedPageBreak/>
        <w:t>تقدير الخبراء"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 طبق المشروع أحكام الرهن في حالة ما إذا كان الشيء المرهون ديناً ، فعرض لتفصيلات هامة لا نجدها في التقنين الحالي ( السابق )"</w:t>
      </w:r>
      <w:r w:rsidRPr="009232FC">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4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504- خطة البحث :</w:t>
      </w:r>
      <w:r>
        <w:rPr>
          <w:rFonts w:cs="Traditional Arabic" w:hint="cs"/>
          <w:sz w:val="28"/>
          <w:szCs w:val="32"/>
          <w:rtl/>
        </w:rPr>
        <w:t xml:space="preserve"> وسنبحث الرهن الحيازي ، على النحو الذي اتبعناه في الرهن الرسمي ، في فصول ثلاثة ، ونزيد فصلا رابعاً كما فعل التقنين الجديد نتكلم فيه في بعض انواع الرهن الحيازي إذا وقع على عقار أو منقول أو 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نعقد فصولا أربعة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الفصل الأول </w:t>
      </w:r>
      <w:r>
        <w:rPr>
          <w:rFonts w:cs="Traditional Arabic"/>
          <w:sz w:val="28"/>
          <w:szCs w:val="32"/>
          <w:rtl/>
        </w:rPr>
        <w:t>–</w:t>
      </w:r>
      <w:r>
        <w:rPr>
          <w:rFonts w:cs="Traditional Arabic" w:hint="cs"/>
          <w:sz w:val="28"/>
          <w:szCs w:val="32"/>
          <w:rtl/>
        </w:rPr>
        <w:t xml:space="preserve"> إنشاء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الفصل الثاني </w:t>
      </w:r>
      <w:r>
        <w:rPr>
          <w:rFonts w:cs="Traditional Arabic"/>
          <w:sz w:val="28"/>
          <w:szCs w:val="32"/>
          <w:rtl/>
        </w:rPr>
        <w:t>–</w:t>
      </w:r>
      <w:r>
        <w:rPr>
          <w:rFonts w:cs="Traditional Arabic" w:hint="cs"/>
          <w:sz w:val="28"/>
          <w:szCs w:val="32"/>
          <w:rtl/>
        </w:rPr>
        <w:t xml:space="preserve"> آثار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الفصل الثالث </w:t>
      </w:r>
      <w:r>
        <w:rPr>
          <w:rFonts w:cs="Traditional Arabic"/>
          <w:sz w:val="28"/>
          <w:szCs w:val="32"/>
          <w:rtl/>
        </w:rPr>
        <w:t>–</w:t>
      </w:r>
      <w:r>
        <w:rPr>
          <w:rFonts w:cs="Traditional Arabic" w:hint="cs"/>
          <w:sz w:val="28"/>
          <w:szCs w:val="32"/>
          <w:rtl/>
        </w:rPr>
        <w:t xml:space="preserve"> انقضاء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4- الفصل الرابع </w:t>
      </w:r>
      <w:r>
        <w:rPr>
          <w:rFonts w:cs="Traditional Arabic"/>
          <w:sz w:val="28"/>
          <w:szCs w:val="32"/>
          <w:rtl/>
        </w:rPr>
        <w:t>–</w:t>
      </w:r>
      <w:r>
        <w:rPr>
          <w:rFonts w:cs="Traditional Arabic" w:hint="cs"/>
          <w:sz w:val="28"/>
          <w:szCs w:val="32"/>
          <w:rtl/>
        </w:rPr>
        <w:t xml:space="preserve"> بعض أنواع الرهن الحيازي ( العقار والمنقول والدين ) .</w:t>
      </w:r>
    </w:p>
    <w:p w:rsidR="00F72742" w:rsidRDefault="00F72742" w:rsidP="00F72742">
      <w:pPr>
        <w:widowControl w:val="0"/>
        <w:spacing w:after="120"/>
        <w:ind w:firstLine="567"/>
        <w:jc w:val="lowKashida"/>
        <w:rPr>
          <w:rFonts w:cs="Traditional Arabic" w:hint="cs"/>
          <w:sz w:val="28"/>
          <w:szCs w:val="32"/>
          <w:rtl/>
        </w:rPr>
      </w:pPr>
      <w:r>
        <w:rPr>
          <w:rFonts w:cs="Traditional Arabic"/>
          <w:sz w:val="28"/>
          <w:szCs w:val="32"/>
          <w:rtl/>
        </w:rPr>
        <w:br w:type="page"/>
      </w:r>
      <w:r>
        <w:rPr>
          <w:rFonts w:cs="Traditional Arabic" w:hint="cs"/>
          <w:sz w:val="28"/>
          <w:szCs w:val="32"/>
          <w:rtl/>
        </w:rPr>
        <w:lastRenderedPageBreak/>
        <w:t>$751</w:t>
      </w:r>
    </w:p>
    <w:p w:rsidR="00F72742" w:rsidRPr="00AD6A39" w:rsidRDefault="00F72742" w:rsidP="00F72742">
      <w:pPr>
        <w:widowControl w:val="0"/>
        <w:spacing w:after="120"/>
        <w:jc w:val="center"/>
        <w:rPr>
          <w:rFonts w:cs="Traditional Arabic" w:hint="cs"/>
          <w:b/>
          <w:bCs/>
          <w:sz w:val="52"/>
          <w:szCs w:val="52"/>
          <w:rtl/>
        </w:rPr>
      </w:pPr>
      <w:r w:rsidRPr="00AD6A39">
        <w:rPr>
          <w:rFonts w:cs="Traditional Arabic" w:hint="cs"/>
          <w:b/>
          <w:bCs/>
          <w:sz w:val="52"/>
          <w:szCs w:val="52"/>
          <w:rtl/>
        </w:rPr>
        <w:t>الفصل الأول</w:t>
      </w:r>
    </w:p>
    <w:p w:rsidR="00F72742" w:rsidRPr="00AD6A39" w:rsidRDefault="00F72742" w:rsidP="00F72742">
      <w:pPr>
        <w:widowControl w:val="0"/>
        <w:spacing w:after="120"/>
        <w:jc w:val="center"/>
        <w:rPr>
          <w:rFonts w:cs="Traditional Arabic" w:hint="cs"/>
          <w:b/>
          <w:bCs/>
          <w:sz w:val="44"/>
          <w:szCs w:val="44"/>
          <w:rtl/>
        </w:rPr>
      </w:pPr>
      <w:r w:rsidRPr="00AD6A39">
        <w:rPr>
          <w:rFonts w:cs="Traditional Arabic" w:hint="cs"/>
          <w:b/>
          <w:bCs/>
          <w:sz w:val="44"/>
          <w:szCs w:val="44"/>
          <w:rtl/>
        </w:rPr>
        <w:t>إنشاء الرهن الحيازي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505- عقد الرهن الحيازي عقد رضائي </w:t>
      </w:r>
      <w:r>
        <w:rPr>
          <w:rFonts w:cs="Traditional Arabic"/>
          <w:b/>
          <w:bCs/>
          <w:sz w:val="28"/>
          <w:szCs w:val="32"/>
          <w:rtl/>
        </w:rPr>
        <w:t>–</w:t>
      </w:r>
      <w:r>
        <w:rPr>
          <w:rFonts w:cs="Traditional Arabic" w:hint="cs"/>
          <w:b/>
          <w:bCs/>
          <w:sz w:val="28"/>
          <w:szCs w:val="32"/>
          <w:rtl/>
        </w:rPr>
        <w:t xml:space="preserve"> أركانه : </w:t>
      </w:r>
      <w:r>
        <w:rPr>
          <w:rFonts w:cs="Traditional Arabic" w:hint="cs"/>
          <w:sz w:val="28"/>
          <w:szCs w:val="32"/>
          <w:rtl/>
        </w:rPr>
        <w:t>رأينا أن عقد الرهن الحيازي ، بعد أن كان في التقنين المدني السابق عقداً عينياً أصبح الآن في التقنين المدني الجديد عقداً رضائياً ، ينعقد بمجرد تبادل إيجاب وقبول متطابقين على رهن حيازي ، دون حاجة إلى رسمية في الرهن الرسمي ، ودون حاجة إلى نقل الحيازة كما في التقنين المدني السابق وقد أصبح نقل الحيازة في التقنين المدني الجديد التزاماص في العقد لا ركناً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ويلفت النظر في رهن الحيازة أركانه ، وهي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المتعاقدان ، وهما الراهن والدائن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المال المرهون ، وقد يكن عقاراً أو منقولا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الدين المضمون ، وهو كالدين المضمون في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فنتكلم في إيجاز في كل من هذه الأركان الثلاثة ، ونعقد لكل منها مبحثاً .</w:t>
      </w:r>
    </w:p>
    <w:p w:rsidR="00F72742" w:rsidRPr="004A3B92" w:rsidRDefault="00F72742" w:rsidP="00F72742">
      <w:pPr>
        <w:widowControl w:val="0"/>
        <w:spacing w:after="120"/>
        <w:jc w:val="center"/>
        <w:rPr>
          <w:rFonts w:cs="Traditional Arabic" w:hint="cs"/>
          <w:b/>
          <w:bCs/>
          <w:sz w:val="44"/>
          <w:szCs w:val="44"/>
          <w:rtl/>
        </w:rPr>
      </w:pPr>
      <w:r w:rsidRPr="004A3B92">
        <w:rPr>
          <w:rFonts w:cs="Traditional Arabic" w:hint="cs"/>
          <w:b/>
          <w:bCs/>
          <w:sz w:val="44"/>
          <w:szCs w:val="44"/>
          <w:rtl/>
        </w:rPr>
        <w:t>المبحث الأول</w:t>
      </w:r>
    </w:p>
    <w:p w:rsidR="00F72742" w:rsidRPr="004A3B92" w:rsidRDefault="00F72742" w:rsidP="00F72742">
      <w:pPr>
        <w:widowControl w:val="0"/>
        <w:spacing w:after="120"/>
        <w:jc w:val="center"/>
        <w:rPr>
          <w:rFonts w:cs="Traditional Arabic" w:hint="cs"/>
          <w:b/>
          <w:bCs/>
          <w:sz w:val="28"/>
          <w:szCs w:val="32"/>
          <w:rtl/>
        </w:rPr>
      </w:pPr>
      <w:r w:rsidRPr="004A3B92">
        <w:rPr>
          <w:rFonts w:cs="Traditional Arabic" w:hint="cs"/>
          <w:b/>
          <w:bCs/>
          <w:sz w:val="28"/>
          <w:szCs w:val="32"/>
          <w:rtl/>
        </w:rPr>
        <w:t>المتعاقدان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506- الراهن قد يكون المدين أو كفيلا عينيا :</w:t>
      </w:r>
      <w:r>
        <w:rPr>
          <w:rFonts w:cs="Traditional Arabic" w:hint="cs"/>
          <w:sz w:val="28"/>
          <w:szCs w:val="32"/>
          <w:rtl/>
        </w:rPr>
        <w:t xml:space="preserve"> في أغلب الأحوال يكون الراهن هو نفس المدين ، يرهن شيئاً من ماله رهن حيازة تأميناً لقرض حصل عليه أو تأميناً لأي التزام آخر ثبت في ذمته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$752 وقد يكون الراهن غير المدين ، فيكون كفيلا عينياً يرهن مالا له ضماناً لالتزام ليس في ذمته هو ، بل في ذمة أجنبي يكون هو المدين . وفي هذه الحالة ينعقد رهن الحيازة بين الدائن المرتهن والراهن </w:t>
      </w:r>
      <w:r>
        <w:rPr>
          <w:rFonts w:cs="Traditional Arabic" w:hint="cs"/>
          <w:sz w:val="28"/>
          <w:szCs w:val="32"/>
          <w:rtl/>
        </w:rPr>
        <w:lastRenderedPageBreak/>
        <w:t>الذي هو كفيل عيني ، ويوجد إلى جانبها المدين . والمدين هنا ليس طرفاً في عقد رهن الحيازة ، فطرفاه هما الدائن المرتهن والراهن أي الكفيل العيني ، وإنما هو شخص أجنبي عن رهن الحيازة وقد ثبت في ذمته الدين الأصلي الذي يضمنه رهن الحيازة ولذلك سمي بالمدين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507- تطبيق القواعد العامة بالنسبة إلى الدائن المرتهن :</w:t>
      </w:r>
      <w:r w:rsidRPr="008E61C7">
        <w:rPr>
          <w:rFonts w:cs="Traditional Arabic" w:hint="cs"/>
          <w:sz w:val="28"/>
          <w:szCs w:val="32"/>
          <w:rtl/>
        </w:rPr>
        <w:t xml:space="preserve"> والدائن</w:t>
      </w:r>
      <w:r>
        <w:rPr>
          <w:rFonts w:cs="Traditional Arabic" w:hint="cs"/>
          <w:sz w:val="28"/>
          <w:szCs w:val="32"/>
          <w:rtl/>
        </w:rPr>
        <w:t xml:space="preserve"> المرتهن في رهن الحيازة متروك للقواعد العامة . ولما كان رهن الحيازة عقداً ملزماً للجانبين ، فالدائن المرتهن وهو أحد جانبي العقد يكون ملتزماً . ومن ثم يكون رهن الحيازة بالنسبة إلى الدائن المرتهن عقداً يدور بين النفع والضرر ، بخلاف الرهن الرسمي فالدائن المرتهن فيه لا يلتزم ولذلك يكون الرهن الرسمي نافعاً له نفعاً محضاً</w:t>
      </w:r>
      <w:r>
        <w:rPr>
          <w:rFonts w:cs="Traditional Arabic" w:hint="cs"/>
          <w:sz w:val="28"/>
          <w:szCs w:val="32"/>
          <w:vertAlign w:val="superscript"/>
          <w:rtl/>
        </w:rPr>
        <w:t xml:space="preserve">( </w:t>
      </w:r>
      <w:r w:rsidRPr="00EC737F">
        <w:rPr>
          <w:rStyle w:val="ab"/>
          <w:rFonts w:cs="Traditional Arabic"/>
          <w:sz w:val="28"/>
          <w:szCs w:val="32"/>
          <w:rtl/>
        </w:rPr>
        <w:footnoteReference w:id="148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يجب أن يكون الدائن المرتهن في رهن الحيازة كامل الأهلية ، لأن الارتهان حيازة فيها معنى استيفاء الدين . وإذا كان الدائن المرتهن حيازة صبياً مميزاً أو كان في حكمه ، كان العقد قابلا للإبطال . فيجب إذن أن يكون الدائن المرتهن حيازة بالغاً سن الرشد ، غير محجور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ويستوي في ذلك أن يكون الدائن المرتهن قد تعاهد مع المدين الراهن ، أو تعاقد مع راهن غير المدين أي تعاقد مع كفيل عيني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508- الراهن يجب أيضاً أن يكون كامل الأهلية : </w:t>
      </w:r>
      <w:r>
        <w:rPr>
          <w:rFonts w:cs="Traditional Arabic" w:hint="cs"/>
          <w:sz w:val="28"/>
          <w:szCs w:val="32"/>
          <w:rtl/>
        </w:rPr>
        <w:t>والراهن حياة يجب أيضاً أن يكون كامل الأهلية ، أي بالغاً سن الرشد غير محجور عليه . ذلك لأنه يلتزم إذ رهن الحيازة ملزماً للجانبين ، فرهن الحيازة $753 بالنسبة إلى الراهن ، مديناً كان أو كفيلا عينياً ، عقد يدور بين النفع والضرر</w:t>
      </w:r>
      <w:r>
        <w:rPr>
          <w:rFonts w:cs="Traditional Arabic" w:hint="cs"/>
          <w:sz w:val="28"/>
          <w:szCs w:val="32"/>
          <w:vertAlign w:val="superscript"/>
          <w:rtl/>
        </w:rPr>
        <w:t xml:space="preserve">( </w:t>
      </w:r>
      <w:r w:rsidRPr="00EC737F">
        <w:rPr>
          <w:rStyle w:val="ab"/>
          <w:rFonts w:cs="Traditional Arabic"/>
          <w:sz w:val="28"/>
          <w:szCs w:val="32"/>
          <w:rtl/>
        </w:rPr>
        <w:footnoteReference w:id="148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509- الراهن يجب أن يكون مالكا للشيء المرهون وأهلا للتصرف فيه :</w:t>
      </w:r>
      <w:r>
        <w:rPr>
          <w:rFonts w:cs="Traditional Arabic" w:hint="cs"/>
          <w:sz w:val="28"/>
          <w:szCs w:val="32"/>
          <w:rtl/>
        </w:rPr>
        <w:t xml:space="preserve"> وقد كانت المادة 1531 من المشروع التمهيدي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يشترط فيمن يرهن شيئاًن ضماناً لدين عليه أو لدين على غيره ، أن يكون مالكاً للشيء المرهون وأهلا للتصرف فيه . 2- الرهن الحيازي لمال الغير تسري عليه الأحكام الخاصة بالرهن الرسمي لمالي </w:t>
      </w:r>
      <w:r>
        <w:rPr>
          <w:rFonts w:cs="Traditional Arabic" w:hint="cs"/>
          <w:sz w:val="28"/>
          <w:szCs w:val="32"/>
          <w:rtl/>
        </w:rPr>
        <w:lastRenderedPageBreak/>
        <w:t>الغير ، دون إخلال بالقواعد المتعلقة برهن المنقول"</w:t>
      </w:r>
      <w:r>
        <w:rPr>
          <w:rFonts w:cs="Traditional Arabic" w:hint="cs"/>
          <w:sz w:val="28"/>
          <w:szCs w:val="32"/>
          <w:vertAlign w:val="superscript"/>
          <w:rtl/>
        </w:rPr>
        <w:t xml:space="preserve">( </w:t>
      </w:r>
      <w:r w:rsidRPr="00EC737F">
        <w:rPr>
          <w:rStyle w:val="ab"/>
          <w:rFonts w:cs="Traditional Arabic"/>
          <w:sz w:val="28"/>
          <w:szCs w:val="32"/>
          <w:rtl/>
        </w:rPr>
        <w:footnoteReference w:id="14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وتنص المادة 1098 مدني على ما يأتي : "تسري على الرهن الحيازي أحكام المادة 1033  . . . المتعلقة بالرهن الرسمي" . وتنص المادة 1033 مدني على ما يأتي : "1- إذا كان الراهن غير مالك للعقار المرهون ، فإن عقد الرهن يصبح صحيحاً إذا أقره المالك الحقيقي  . . . ، وإذا لم يصدر هذا الإقرار ، فإن حق الرهن لا يترتب على العقار إلا من الوقت الذي يصبح فيه هذا العقار مملوكاً للراهن . 2- ويقع باطلا رهن المال المستقبل"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فنتكلم إذن ، في إيجاز ، في المسائل الآتية : ( 1 ) وجوب أن يكون الراهن حيازة مالكاً للمال المرهون . ( 2 ) رهن ملك الغير رهن حيازة . ( 3 ) رهن المال المستقبل رهن حيازة . ( 4 ) رهن المالك الظاهر رهن حيازة . ( 5 ) أهلية الراهن حيازة للتصرف في المال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510 وجوب أن يكون الراهن حيازة مالكا للمال المرهون :</w:t>
      </w:r>
      <w:r>
        <w:rPr>
          <w:rFonts w:cs="Traditional Arabic" w:hint="cs"/>
          <w:sz w:val="28"/>
          <w:szCs w:val="32"/>
          <w:rtl/>
        </w:rPr>
        <w:t xml:space="preserve"> لما $754 كان رهن المال حيازة هو بمثابة التصرف فيه ، ولما كان المتصرف يجب أن يكون مالكاً للمال المتصرف فيه ، لذلك يجب أن يكون الراهن حيازة لمال معين مالكاً لهذا المال</w:t>
      </w:r>
      <w:r>
        <w:rPr>
          <w:rFonts w:cs="Traditional Arabic" w:hint="cs"/>
          <w:sz w:val="28"/>
          <w:szCs w:val="32"/>
          <w:vertAlign w:val="superscript"/>
          <w:rtl/>
        </w:rPr>
        <w:t xml:space="preserve">( </w:t>
      </w:r>
      <w:r w:rsidRPr="00EC737F">
        <w:rPr>
          <w:rStyle w:val="ab"/>
          <w:rFonts w:cs="Traditional Arabic"/>
          <w:sz w:val="28"/>
          <w:szCs w:val="32"/>
          <w:rtl/>
        </w:rPr>
        <w:footnoteReference w:id="14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يكون الراهن حيازة مالكاً تحت شرط ، فاسخ أو واقف . فإذا كان مالكاً تحت شرط فاسخ ، ولم يتحقق الشرط ، فإن الراهن يصبح مالكاً بشكل بات لعدم تحقق الشرط ، وكذلك رهنه يصبح باتاً هو أيضاً . أما إذا تحقق الشرط ، فإن الراهن يزول ملكه بأثر رجعي ، ويعتبر غير مالك للمال من أول الأمر ، فيزول رهنه بأثر رجعي لتحقق الشرط الفاسخ . وإذا كان الراهن مالكاً تحت شرط واقف ، ولم يتحقق الشرط ، فإن الراهن يعتبر غير مالك أصلا لعدم تحقق الشرط ، فيزول رهنه بأثر رجعي ، أما إذا تحقق </w:t>
      </w:r>
      <w:r>
        <w:rPr>
          <w:rFonts w:cs="Traditional Arabic" w:hint="cs"/>
          <w:sz w:val="28"/>
          <w:szCs w:val="32"/>
          <w:rtl/>
        </w:rPr>
        <w:lastRenderedPageBreak/>
        <w:t>الشرط الواقف ، فإن الراهن يعتبر مالكاً بأثر رجعي من أول الأمر ، ويعتبر رهنه صحيحاً كذلك من أول الأمر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ومتى كمان الراهن هو المالك للمال المرهون ، فإنه يستطيع أن يرهنه بنفسه إذا كان كامل الأهلية . فإذا لم يكن كامل الأهلية ، جاز لوليه أو لوصيه أو للقيم أن يرهن المال نيابة عن مالكه بالشروط التي قررها القانون لذلك</w:t>
      </w:r>
      <w:r>
        <w:rPr>
          <w:rFonts w:cs="Traditional Arabic" w:hint="cs"/>
          <w:sz w:val="28"/>
          <w:szCs w:val="32"/>
          <w:vertAlign w:val="superscript"/>
          <w:rtl/>
        </w:rPr>
        <w:t xml:space="preserve">( </w:t>
      </w:r>
      <w:r w:rsidRPr="00EC737F">
        <w:rPr>
          <w:rStyle w:val="ab"/>
          <w:rFonts w:cs="Traditional Arabic"/>
          <w:sz w:val="28"/>
          <w:szCs w:val="32"/>
          <w:rtl/>
        </w:rPr>
        <w:footnoteReference w:id="148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لكامل الأهلية أن يوكل عنه من يرهن مالا معيناً له رهن حيازة ، ويجب لذلك توكيل خاص فإن رهن الحيازة من أعمال التصرف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$755 وقد يكون الراهن غير مالك للمال المرهون حيازة ، فيكون رهنه إياه قابلا للإبطال ، وسنرى ذلك في رهن ملك الغير رهن 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511- رهن ملك الغير رهن حيازة : </w:t>
      </w:r>
      <w:r>
        <w:rPr>
          <w:rFonts w:cs="Traditional Arabic" w:hint="cs"/>
          <w:sz w:val="28"/>
          <w:szCs w:val="32"/>
          <w:rtl/>
        </w:rPr>
        <w:t>قررنا فيما تقدم</w:t>
      </w:r>
      <w:r>
        <w:rPr>
          <w:rFonts w:cs="Traditional Arabic" w:hint="cs"/>
          <w:sz w:val="28"/>
          <w:szCs w:val="32"/>
          <w:vertAlign w:val="superscript"/>
          <w:rtl/>
        </w:rPr>
        <w:t xml:space="preserve">( </w:t>
      </w:r>
      <w:r w:rsidRPr="00EC737F">
        <w:rPr>
          <w:rStyle w:val="ab"/>
          <w:rFonts w:cs="Traditional Arabic"/>
          <w:sz w:val="28"/>
          <w:szCs w:val="32"/>
          <w:rtl/>
        </w:rPr>
        <w:footnoteReference w:id="1485"/>
      </w:r>
      <w:r>
        <w:rPr>
          <w:rFonts w:cs="Traditional Arabic" w:hint="cs"/>
          <w:sz w:val="28"/>
          <w:szCs w:val="32"/>
          <w:vertAlign w:val="superscript"/>
          <w:rtl/>
        </w:rPr>
        <w:t xml:space="preserve"> )</w:t>
      </w:r>
      <w:r>
        <w:rPr>
          <w:rFonts w:cs="Traditional Arabic" w:hint="cs"/>
          <w:sz w:val="28"/>
          <w:szCs w:val="32"/>
          <w:rtl/>
        </w:rPr>
        <w:t xml:space="preserve"> أن المادة 1033 مدني التي تنطبق على الرهن الرسمي تنطبق أيضاً على رهن الحيازة ، وأن الفقرة الأولى منها تنص على ما يأتي : "إذا كان الراهن غير مالك للعقار المرهون ، فإن عقد الرهن يصبح صحيحاً إذا أقره المالك الحقيقي . . . ، وإذا لم يصدر هذا الإقرار ، فإن حق الرهن لا يترتب على العقار إلا من الوقت الذي يصبح فيه هذا العقار مملوكاً للراهن"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ويفهم من هذا النص أن رهن ملك الغير رهن حيازة لا يكون باطلا ، بل إنه يكون قابلا للإبطال . إذ يصبح صحيحاً إذا أقره المالك الحقيقي ، ويصبح صحيحاً كذلك من الوقت الذي يصبح فيه هذا المال </w:t>
      </w:r>
      <w:r>
        <w:rPr>
          <w:rFonts w:cs="Traditional Arabic" w:hint="cs"/>
          <w:sz w:val="28"/>
          <w:szCs w:val="32"/>
          <w:rtl/>
        </w:rPr>
        <w:lastRenderedPageBreak/>
        <w:t>مملوكاً للراهن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ورهن مال الغير هو غير رهن المال المستقبل . فرهن مال الغير هو رهن لمال لا يملكه الراهن حيازة ، وهو مال معين بالذات رهنه غير مالكه لاعتقاده أن المالك سيقر الرهن ، أو لأن الراهن سيسعى حتى يصبح المال مملوكاً له وعلى هذا يستقر رهنه من ذلك الوقت . أما رهن المال المستقبل فهو رهن مال غير معين بالذات ، بل هو رهن لما عسى أن يملكه الراهن في المستقبل ، فيكون باطلا لا قابلا للإبطال . وقد أراد المشرع يجعل رهن مال معين غير مملوك لراهن قابلا للإبطال لا باطلا ، أن يوحد في الحكم بين بيع مال الغير ورهن مال الغير ، كلاهما قابل للإبطال ، لوحدة العلة ولا تساق التشريع</w:t>
      </w:r>
      <w:r>
        <w:rPr>
          <w:rFonts w:cs="Traditional Arabic" w:hint="cs"/>
          <w:sz w:val="28"/>
          <w:szCs w:val="32"/>
          <w:vertAlign w:val="superscript"/>
          <w:rtl/>
        </w:rPr>
        <w:t xml:space="preserve">( </w:t>
      </w:r>
      <w:r w:rsidRPr="00EC737F">
        <w:rPr>
          <w:rStyle w:val="ab"/>
          <w:rFonts w:cs="Traditional Arabic"/>
          <w:sz w:val="28"/>
          <w:szCs w:val="32"/>
          <w:rtl/>
        </w:rPr>
        <w:footnoteReference w:id="148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فحكم رهن عقار الغير رهناً رسمياً ، وحكم رهن مال الغير رهن حيازة ، وحكم بيع مال الغير ، واحد في كل من هذه المعاملات ، وهو القابلية للإبطال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$756 والقابلية للإبطال في رهن مال الغير رهن حيازة هي لمصلحة الدائن المرتهن ، لا لمصلحة الراهن . ومن ثم يجوز للدائن المرتهن أن يطلب إبطال الرهن فيبطل ، ويجوز له أن يجيز الرهن فيصبح الرهن صحيحاً . ومتى أصبح الرهن صحيحاً بإجازة الدائن المرتهن ، فإنه لا يسري في حق مالك المال الذي يبقى أجنبياً عن العقد ، ولا ينشأ رهن الحيازة إلا إذا أقر المالك بعقد الرهن أو إذا أصبح الراهن مالكاً للمال المرهون من وقت ملكيته له لا قبل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فرهن ملك الغير رهن حيازة ينشأ أولا قابلا للإبطال</w:t>
      </w:r>
      <w:r>
        <w:rPr>
          <w:rFonts w:cs="Traditional Arabic" w:hint="cs"/>
          <w:sz w:val="28"/>
          <w:szCs w:val="32"/>
          <w:vertAlign w:val="superscript"/>
          <w:rtl/>
        </w:rPr>
        <w:t xml:space="preserve">( </w:t>
      </w:r>
      <w:r w:rsidRPr="00EC737F">
        <w:rPr>
          <w:rStyle w:val="ab"/>
          <w:rFonts w:cs="Traditional Arabic"/>
          <w:sz w:val="28"/>
          <w:szCs w:val="32"/>
          <w:rtl/>
        </w:rPr>
        <w:footnoteReference w:id="1487"/>
      </w:r>
      <w:r>
        <w:rPr>
          <w:rFonts w:cs="Traditional Arabic" w:hint="cs"/>
          <w:sz w:val="28"/>
          <w:szCs w:val="32"/>
          <w:vertAlign w:val="superscript"/>
          <w:rtl/>
        </w:rPr>
        <w:t xml:space="preserve"> )</w:t>
      </w:r>
      <w:r>
        <w:rPr>
          <w:rFonts w:cs="Traditional Arabic" w:hint="cs"/>
          <w:sz w:val="28"/>
          <w:szCs w:val="32"/>
          <w:rtl/>
        </w:rPr>
        <w:t xml:space="preserve"> . ويبقى عقد الرهن قائماً فيما بين الراهن والدائن المرتهن ، ولكنه لا ينفذ في حق المالك الحقيقي . فإذا أبطله الدائن المرتهن ، زال واعتبر كأن لم يكن . أما إذا أجازه ، فإنه ينقلب صحيحاً ولا يعود للدائن المرتهن حق إبطاله ، ولكنه لا ينشئ حق رهن حيازة </w:t>
      </w:r>
      <w:r>
        <w:rPr>
          <w:rFonts w:cs="Traditional Arabic" w:hint="cs"/>
          <w:sz w:val="28"/>
          <w:szCs w:val="32"/>
          <w:rtl/>
        </w:rPr>
        <w:lastRenderedPageBreak/>
        <w:t>لمصلحة الدائن المرتهن . ويجوز عند ذلك للدائن المرتهن أن يطلب فسخ عقد رهن الحيازة ضد الراهن ، فإذا فسخ الرهن زال بأثر رجعي . ويجوز كذلك أن يقر المالك الحقيقي الرهن الحيازي ، وعندئذ لا يصبح فحسب الرهن الحيازي صحيحاً ، بل أيضاً ينشئ حق رهن حيازة من وقت وجوده لمصلحة الدائن المرتهن . ويجوز أخيراً أن تنتقل ملكية المال المرهون إلى الراهن ، وعند ذلك يصبح العقد صحيحاً من وقت انتقال الملكية إلى الراهن ، ومن ذلك الوقت أيضاً ينشأ على المال المرهون حقرهن حيازة لمصلحة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4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$757 والعلة في قابلية رهن ملك الغير رهن حيازة للإبطال هي منافاة العقد لطبيعة الرهن . ولكن العلة وحدها لا تكفي ، وكما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89"/>
      </w:r>
      <w:r>
        <w:rPr>
          <w:rFonts w:cs="Traditional Arabic" w:hint="cs"/>
          <w:sz w:val="28"/>
          <w:szCs w:val="32"/>
          <w:vertAlign w:val="superscript"/>
          <w:rtl/>
        </w:rPr>
        <w:t xml:space="preserve"> )</w:t>
      </w:r>
      <w:r>
        <w:rPr>
          <w:rFonts w:cs="Traditional Arabic" w:hint="cs"/>
          <w:sz w:val="28"/>
          <w:szCs w:val="32"/>
          <w:rtl/>
        </w:rPr>
        <w:t xml:space="preserve"> لا بد من نص خاص ينشئ جواز إبطال رهن الحيازة . وقد وجد هذا النص في المادة 1033 التي تنطبق على الرهن الرسمي وعلى الرهن الحيازي ، فلا بد إذن من القول بأن رهن ملك الغير رهن حيازة قابل للإبطال ، وهذه القابلية للإبطال لا يستمد من القواعد العامة بل أنشأها نص تشريعي صريح واستند في إنشائها إلى علة معقولة</w:t>
      </w:r>
      <w:r>
        <w:rPr>
          <w:rFonts w:cs="Traditional Arabic" w:hint="cs"/>
          <w:sz w:val="28"/>
          <w:szCs w:val="32"/>
          <w:vertAlign w:val="superscript"/>
          <w:rtl/>
        </w:rPr>
        <w:t xml:space="preserve">( </w:t>
      </w:r>
      <w:r w:rsidRPr="00EC737F">
        <w:rPr>
          <w:rStyle w:val="ab"/>
          <w:rFonts w:cs="Traditional Arabic"/>
          <w:sz w:val="28"/>
          <w:szCs w:val="32"/>
          <w:rtl/>
        </w:rPr>
        <w:footnoteReference w:id="14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512- رهن المال المستقل رهن حيازة : </w:t>
      </w:r>
      <w:r>
        <w:rPr>
          <w:rFonts w:cs="Traditional Arabic" w:hint="cs"/>
          <w:sz w:val="28"/>
          <w:szCs w:val="32"/>
          <w:rtl/>
        </w:rPr>
        <w:t>وتنص الفقرة الثانية من المادة 1033 مدني ، التي تنطبق على رهن الحيازة انطباقها على الرهن الرسمي كما سبق أن قدمنا</w:t>
      </w:r>
      <w:r>
        <w:rPr>
          <w:rFonts w:cs="Traditional Arabic" w:hint="cs"/>
          <w:sz w:val="28"/>
          <w:szCs w:val="32"/>
          <w:vertAlign w:val="superscript"/>
          <w:rtl/>
        </w:rPr>
        <w:t xml:space="preserve">( </w:t>
      </w:r>
      <w:r w:rsidRPr="00EC737F">
        <w:rPr>
          <w:rStyle w:val="ab"/>
          <w:rFonts w:cs="Traditional Arabic"/>
          <w:sz w:val="28"/>
          <w:szCs w:val="32"/>
          <w:rtl/>
        </w:rPr>
        <w:footnoteReference w:id="1491"/>
      </w:r>
      <w:r>
        <w:rPr>
          <w:rFonts w:cs="Traditional Arabic" w:hint="cs"/>
          <w:sz w:val="28"/>
          <w:szCs w:val="32"/>
          <w:vertAlign w:val="superscript"/>
          <w:rtl/>
        </w:rPr>
        <w:t xml:space="preserve"> )</w:t>
      </w:r>
      <w:r>
        <w:rPr>
          <w:rFonts w:cs="Traditional Arabic" w:hint="cs"/>
          <w:sz w:val="28"/>
          <w:szCs w:val="32"/>
          <w:rtl/>
        </w:rPr>
        <w:t xml:space="preserve"> ،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"ويقع باطلا رهن المال المستقبل"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سبق أن بينا الفرق بين رهن ملك الغير ورهن المال المستقبل ، فإذا كان الرهن واقعاً على مال غير معين بالذات فهذا هو رهن المال المستقبل . كمما إذا رهن شخص ما يؤول إليه من مال غير معين </w:t>
      </w:r>
      <w:r>
        <w:rPr>
          <w:rFonts w:cs="Traditional Arabic" w:hint="cs"/>
          <w:sz w:val="28"/>
          <w:szCs w:val="32"/>
          <w:rtl/>
        </w:rPr>
        <w:lastRenderedPageBreak/>
        <w:t>بالذات عن طريق الميراث أو عن طريق الوصية</w:t>
      </w:r>
      <w:r>
        <w:rPr>
          <w:rFonts w:cs="Traditional Arabic" w:hint="cs"/>
          <w:sz w:val="28"/>
          <w:szCs w:val="32"/>
          <w:vertAlign w:val="superscript"/>
          <w:rtl/>
        </w:rPr>
        <w:t xml:space="preserve">( </w:t>
      </w:r>
      <w:r w:rsidRPr="00EC737F">
        <w:rPr>
          <w:rStyle w:val="ab"/>
          <w:rFonts w:cs="Traditional Arabic"/>
          <w:sz w:val="28"/>
          <w:szCs w:val="32"/>
          <w:rtl/>
        </w:rPr>
        <w:footnoteReference w:id="14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ورهن المال المستقبل رهن حيازة ، كرهنه رهناً رسمياً ، باطل لا قابل للإبطال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وعلة بطلان رهن المال المستقبل بطلاناً مطلقاً ليست هي عدم ملكية الراهن للمال المرهون ، فقد رأينا أن رهن ملك الغير يكون قابلا للإبطال ، ولكن العلة هي عدم تعيين المال المرهون تعييناً كافياً . وقد أراد المشرع $758 حماية الراهن من أن يقدم على رهن ما يستجد له من مال مستقبل ، فإذا كان المال معيناً تعييناً كافياً ولكنه غير مملوك للراهن فإن الرهن يكون رهن ملك الغير ويكون قابلا للإبطال فقط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فرهن المال المستقبل إنما يكون باطلا بطلاناً مطلقاً لأن المال غير معين بالذات ، لا لأنه غير مملوك للراهن . وعلى ذلك إذا رهن شخص ما سيؤول إليه من تركة أبيه ، كان هذا رهناً لمال مستقبل وباطلا بطلاناً مطلقاً . أما إذا رهن مالا معيناً بالذات وكان لا يملك المال المرهون ، كان هذا رهناً لملك الغير ومن ثم يكون قابلا للإبطال</w:t>
      </w:r>
      <w:r>
        <w:rPr>
          <w:rFonts w:cs="Traditional Arabic" w:hint="cs"/>
          <w:sz w:val="28"/>
          <w:szCs w:val="32"/>
          <w:vertAlign w:val="superscript"/>
          <w:rtl/>
        </w:rPr>
        <w:t xml:space="preserve">( </w:t>
      </w:r>
      <w:r w:rsidRPr="00EC737F">
        <w:rPr>
          <w:rStyle w:val="ab"/>
          <w:rFonts w:cs="Traditional Arabic"/>
          <w:sz w:val="28"/>
          <w:szCs w:val="32"/>
          <w:rtl/>
        </w:rPr>
        <w:footnoteReference w:id="149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513- رهن المالك الظاهر رهن حيازة : </w:t>
      </w:r>
      <w:r>
        <w:rPr>
          <w:rFonts w:cs="Traditional Arabic" w:hint="cs"/>
          <w:sz w:val="28"/>
          <w:szCs w:val="32"/>
          <w:rtl/>
        </w:rPr>
        <w:t>قدمنا في الرهن الرسمي أن المالك الظاهر للمالك ليس بمالك حقيقي له ، فيكون الرهن الصادر منه صادراً من غير مالك . وكان مقتضى ذلك اعتباراً الرهن الصادر من المالك الظاهر قابلا للإبطال وغير سار في حق المالك الحقيقي ، وما لم يقر المالك الحقيق عد الرهن أو ما لم تنتقل ملكية المال المرهون للراهن لا ينشأ حق رهن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هذه القواعد لا تنطبق هنا ، كما رأيناها لا تنطبق في عقد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494"/>
      </w:r>
      <w:r>
        <w:rPr>
          <w:rFonts w:cs="Traditional Arabic" w:hint="cs"/>
          <w:sz w:val="28"/>
          <w:szCs w:val="32"/>
          <w:vertAlign w:val="superscript"/>
          <w:rtl/>
        </w:rPr>
        <w:t xml:space="preserve"> )</w:t>
      </w:r>
      <w:r>
        <w:rPr>
          <w:rFonts w:cs="Traditional Arabic" w:hint="cs"/>
          <w:sz w:val="28"/>
          <w:szCs w:val="32"/>
          <w:rtl/>
        </w:rPr>
        <w:t xml:space="preserve"> . وذلك لأن المالك الظاهر ، وإن كان غير مالك حقيقي ، يظهر أمام الناس كافة أنه هو المالك الحقيقي . فإذا ما تعامل معه الغير ، معتقداً بحسن نية أنه هو المالك الحقيقي ، أجاز القانون هذه المعاملة وسمح للغير حسن النية أن يتمسك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قررنا في الرهن الرسمي أن هناك فئات ثلاثاً للمالك الظاهر ، الوارث الظاهر والمالك الظاهر بسند صوري والمالك الظاهر كاسم مستعار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الوارث الظاهر : ورهن الحيازة الذي يرتبه الوارث الظاهر يكون رهناً صحيحاً ، لا رهناً قابلا للإبطال . ويجوز للدائن المرتهن أن يتمسك $759 بهذا الرهن ما دام أنه كان وقت أن ارتهن حسن النية ، أي يعتقد أن الوارث الظاهر غنما هو الوارث الحقيقي . وله في هذه الحالة أن يتمسك بالرهن ، لا فحسب ضد الوارث الظاهر ، بل أيضاً ضد الوارث الحقيق</w:t>
      </w:r>
      <w:r>
        <w:rPr>
          <w:rFonts w:cs="Traditional Arabic" w:hint="cs"/>
          <w:sz w:val="28"/>
          <w:szCs w:val="32"/>
          <w:vertAlign w:val="superscript"/>
          <w:rtl/>
        </w:rPr>
        <w:t xml:space="preserve">( </w:t>
      </w:r>
      <w:r w:rsidRPr="00EC737F">
        <w:rPr>
          <w:rStyle w:val="ab"/>
          <w:rFonts w:cs="Traditional Arabic"/>
          <w:sz w:val="28"/>
          <w:szCs w:val="32"/>
          <w:rtl/>
        </w:rPr>
        <w:footnoteReference w:id="14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المالك الظاهر بسند صوري : وسند ملكية هذا الملك الظاهر هو عقد صوري ، كبيع أو هبة ، فإذا باع شخص لآخر مالا بعقد صوري متخذاً ورقة ضد هي العقد الحقيقي ، فإن المشتري بعقد صوري يظهر أمام الناس كافة أنه اشترى بعقد حقيقي وأن المال المبيع أصبح ملكاً له ما دام قد سجل العقد إذا كان المال عقاراً . فإذا رهن ما اشتراه والناس تعتبره مالكاً له ، كان رهنه صحيحاً إذا كان الدائن المرتهن حسن النية ، أي يعتقد أن الراهن هو المالك الحقيقي . فالمالك الظاهر بسند صوري من حق الناس حسني النية أن يعتبروا أنه هو المالك الحقيقي ، وأن يتعاملوا معه على هذا الأساس . فرهنه الحيازي صحيح والدائن المرتهن حسن النية له أن يتمسك بهذا الرهن ، لا فسحب ضد هذا المالك الظاهر ، بل أيضاً ضد المالك الحقيقي حامل ورقة الضد . وإذا رهن المالك الحقيقي المال ، فإن الدائن المرتهن من المالك الصوري هو الذي يفضل</w:t>
      </w:r>
      <w:r>
        <w:rPr>
          <w:rFonts w:cs="Traditional Arabic" w:hint="cs"/>
          <w:sz w:val="28"/>
          <w:szCs w:val="32"/>
          <w:vertAlign w:val="superscript"/>
          <w:rtl/>
        </w:rPr>
        <w:t xml:space="preserve">( </w:t>
      </w:r>
      <w:r w:rsidRPr="00EC737F">
        <w:rPr>
          <w:rStyle w:val="ab"/>
          <w:rFonts w:cs="Traditional Arabic"/>
          <w:sz w:val="28"/>
          <w:szCs w:val="32"/>
          <w:rtl/>
        </w:rPr>
        <w:footnoteReference w:id="14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المالك الظاهر كاسم مستعار : وهذا أيضاً مالك ظاهر ، كما إذا اشتري الوكيل ، باسمه هو لا باسم موكله ، مالا متفقاً مع موكله على ذلك . فالوكيل يصبح مالكاً للمال أمام الناس كافة ، وهو اسم مستعار </w:t>
      </w:r>
      <w:r>
        <w:rPr>
          <w:rFonts w:cs="Traditional Arabic"/>
          <w:sz w:val="28"/>
          <w:szCs w:val="32"/>
          <w:rtl/>
        </w:rPr>
        <w:t xml:space="preserve">( </w:t>
      </w:r>
      <w:r>
        <w:rPr>
          <w:rFonts w:cs="Traditional Arabic"/>
          <w:sz w:val="28"/>
          <w:szCs w:val="32"/>
        </w:rPr>
        <w:t>prete nom</w:t>
      </w:r>
      <w:r>
        <w:rPr>
          <w:rFonts w:cs="Traditional Arabic"/>
          <w:sz w:val="28"/>
          <w:szCs w:val="32"/>
          <w:rtl/>
        </w:rPr>
        <w:t xml:space="preserve"> )</w:t>
      </w:r>
      <w:r>
        <w:rPr>
          <w:rFonts w:cs="Traditional Arabic" w:hint="cs"/>
          <w:sz w:val="28"/>
          <w:szCs w:val="32"/>
          <w:rtl/>
        </w:rPr>
        <w:t xml:space="preserve"> لا مالك حقيقي . فإذا ارتهن شخص حسن النية المال ، معتقداً أنه يرتهنه من مالكه الحقيق ، كان رهن الحيازة صحيحاً ، ويستطيع أن يتمسك به الدائن المرتهن قبل الاسم المستعار </w:t>
      </w:r>
      <w:r>
        <w:rPr>
          <w:rFonts w:cs="Traditional Arabic" w:hint="cs"/>
          <w:sz w:val="28"/>
          <w:szCs w:val="32"/>
          <w:rtl/>
        </w:rPr>
        <w:lastRenderedPageBreak/>
        <w:t>وقبل المالك الحقيقي</w:t>
      </w:r>
      <w:r>
        <w:rPr>
          <w:rFonts w:cs="Traditional Arabic" w:hint="cs"/>
          <w:sz w:val="28"/>
          <w:szCs w:val="32"/>
          <w:vertAlign w:val="superscript"/>
          <w:rtl/>
        </w:rPr>
        <w:t xml:space="preserve">( </w:t>
      </w:r>
      <w:r w:rsidRPr="00EC737F">
        <w:rPr>
          <w:rStyle w:val="ab"/>
          <w:rFonts w:cs="Traditional Arabic"/>
          <w:sz w:val="28"/>
          <w:szCs w:val="32"/>
          <w:rtl/>
        </w:rPr>
        <w:footnoteReference w:id="14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$760 </w:t>
      </w:r>
      <w:r>
        <w:rPr>
          <w:rFonts w:cs="Traditional Arabic" w:hint="cs"/>
          <w:b/>
          <w:bCs/>
          <w:sz w:val="28"/>
          <w:szCs w:val="32"/>
          <w:rtl/>
        </w:rPr>
        <w:t xml:space="preserve">514- أهلية الراهن حياة للتصرف في المال المرهون : </w:t>
      </w:r>
      <w:r>
        <w:rPr>
          <w:rFonts w:cs="Traditional Arabic" w:hint="cs"/>
          <w:sz w:val="28"/>
          <w:szCs w:val="32"/>
          <w:rtl/>
        </w:rPr>
        <w:t>ولا يكفي أن يكون الراهن حيازة مالكاً للمال المرهون ، بل يجب أيضاً أن يكون أهلا للتصرف فيه ، فالرهن الحيازي عمل من أعمال التصرف ، فيجب أن يكون الراهن أهلا للتصرف في المال المرهون . ويشترط في الكفيل العيني ، كما يشترط في المدين الراهن ، أن يكون هو أيضاً أهلا للتصرف في المال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الراهن هو المدين ، اعتبر رهن الحيازة تصرفاً دائراً بين النفع والضرر ، إذ أن المدين الراهن لا يتبرع برهن ماله بل هو يبغي من وراء رهنه الحصول على قرض أو مد أجل الدين أو بوجه عام ضمان التزامه . وعلى ذلك يجب أن يتوافر في المدين الراهن أهلية التصرف ، فيجب كما تقدم القول أن يكون بالغاً سن الرشد غير محجور عليه . فإذا لم يبلغ سن الرشد أو كان محجوراً عليه ، جاز لوليه أو لوصيه أو للقيم عليه عقد رهن الحيازة نيابة عنه بعد أخذ إذن المحكمة ، فيما عدا الولي الأب فيما لا تجاوز قيمته 300 جنيه من عقار أو أوراق مالية أو محل تجاري فلا ضرورة لأخذ إذن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ويسقط حق إبطال رهن الحيازة بالتقادم ، بمضي ثلاث سنوات من اليوم الذي يزول فيه نقص الأهلية ( م 140 مدني ) ، فيصبح الرهن صحيحاً بأثر رجعي من وقت نشئوه ، ويحتج به على من كسب حقاً عينياً على المال المرهون كدائن مرتهن آخر كسب حقه بعد نفاذ الرهن الأول ولو كان ذلك قبل تمام التقادم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أما إذا كمان الراهن كفيلا عينياً ، فيجب ، كما في المدين الراهن ، أن يكون مالكاً للمال المرهون وأهلا للتصرف فيه . ولكن التصرف هنا لا يكون عادة بمقابل ، لأن الكفيل العيني لا ينتفع عادة بالرهن الذي يقدمه ضماناً للوفاء بدين في ذمة غيره ، فيكون عمله في العادة من أعمال التبرع . $761 ولذلك يجب أن يتوافر في الكفيل العيني أهلية التبرع ، لا أهلية التصرف فحسب . ومن ثم يجب أن يكون بالغاً سن الرشد ، غير محجر عليه . . فإذا كان قاصراً  ، مميزاً أو غير مميز ، أو كان محجوراً عليه ، ولو لسفه أو </w:t>
      </w:r>
      <w:r>
        <w:rPr>
          <w:rFonts w:cs="Traditional Arabic" w:hint="cs"/>
          <w:sz w:val="28"/>
          <w:szCs w:val="32"/>
          <w:rtl/>
        </w:rPr>
        <w:lastRenderedPageBreak/>
        <w:t>غفلة ، ورهن ماله ككفيل عيني ، كان الرهن باطلا لا قابلا للإبطال ، لأنه يقوم بعمل من أعمال التبرع وهو لا يملكه . كذلك لا يجوز ، وهو قاصر أو محجور عليه ، أن يرهن وليه ( ولو كان الأب ) أو وصيه أو القيم عليه ماله رهن حيازة ضماناً لالتزام في ذمة غيره . وإن فعل كان الرهن باطلا بطلاناً مطلقاً ، ولو كان ذلك بإذن المحكمة ، لأن النائب لا يستطيع التبرع بمال محجوره ولو بإذن المحكمة . وإذا لم يباشر الكفيل العيني رهن الحيازة بنفسه ، بل باشره وكيل عنه ، وجب أن تكون الوكالة وكالة خاصة لعلم من أعمال التبرع . فلا تكفي الوكالة العامة للإدارة ولا الوكالة الخاصة لعمل من أعمال التصرف . ولذلك يجب أن يكون التوكيل الخاص الصادر من الكفيل العيني مذكوراً فيه المال المراد رهنه والدين الذي يرهن المال ضماناً للوفاء به ، وإلا كان التوكيل باطلا لأن الوكيل يقوم بعمل من أعمال التبرع</w:t>
      </w:r>
      <w:r>
        <w:rPr>
          <w:rFonts w:cs="Traditional Arabic" w:hint="cs"/>
          <w:sz w:val="28"/>
          <w:szCs w:val="32"/>
          <w:vertAlign w:val="superscript"/>
          <w:rtl/>
        </w:rPr>
        <w:t xml:space="preserve">( </w:t>
      </w:r>
      <w:r w:rsidRPr="00EC737F">
        <w:rPr>
          <w:rStyle w:val="ab"/>
          <w:rFonts w:cs="Traditional Arabic"/>
          <w:sz w:val="28"/>
          <w:szCs w:val="32"/>
          <w:rtl/>
        </w:rPr>
        <w:footnoteReference w:id="14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jc w:val="lowKashida"/>
        <w:rPr>
          <w:rFonts w:cs="Traditional Arabic" w:hint="cs"/>
          <w:sz w:val="28"/>
          <w:szCs w:val="32"/>
          <w:rtl/>
        </w:rPr>
      </w:pPr>
    </w:p>
    <w:p w:rsidR="00F72742" w:rsidRPr="00237225" w:rsidRDefault="00F72742" w:rsidP="00F72742">
      <w:pPr>
        <w:widowControl w:val="0"/>
        <w:spacing w:after="120"/>
        <w:jc w:val="center"/>
        <w:rPr>
          <w:rFonts w:cs="Traditional Arabic" w:hint="cs"/>
          <w:b/>
          <w:bCs/>
          <w:sz w:val="44"/>
          <w:szCs w:val="44"/>
          <w:rtl/>
        </w:rPr>
      </w:pPr>
      <w:r w:rsidRPr="00237225">
        <w:rPr>
          <w:rFonts w:cs="Traditional Arabic" w:hint="cs"/>
          <w:b/>
          <w:bCs/>
          <w:sz w:val="44"/>
          <w:szCs w:val="44"/>
          <w:rtl/>
        </w:rPr>
        <w:t>المبحث الثاني</w:t>
      </w:r>
    </w:p>
    <w:p w:rsidR="00F72742" w:rsidRPr="00237225" w:rsidRDefault="00F72742" w:rsidP="00F72742">
      <w:pPr>
        <w:widowControl w:val="0"/>
        <w:spacing w:after="120"/>
        <w:jc w:val="center"/>
        <w:rPr>
          <w:rFonts w:cs="Traditional Arabic" w:hint="cs"/>
          <w:b/>
          <w:bCs/>
          <w:sz w:val="28"/>
          <w:szCs w:val="32"/>
          <w:rtl/>
        </w:rPr>
      </w:pPr>
      <w:r w:rsidRPr="00237225">
        <w:rPr>
          <w:rFonts w:cs="Traditional Arabic" w:hint="cs"/>
          <w:b/>
          <w:bCs/>
          <w:sz w:val="28"/>
          <w:szCs w:val="32"/>
          <w:rtl/>
        </w:rPr>
        <w:t>المال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515- المال المرهون رهن حيازة قد يكون عقارا ا منقولا أو دينا : </w:t>
      </w:r>
      <w:r>
        <w:rPr>
          <w:rFonts w:cs="Traditional Arabic" w:hint="cs"/>
          <w:sz w:val="28"/>
          <w:szCs w:val="32"/>
          <w:rtl/>
        </w:rPr>
        <w:t>رهن الحيازة يختلف في محله عن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فالرهن الرسمي ، كالاختصاص ، لا يرد إلا على عقار . فرهن المنقول $762 رهناً رسمياً غير جائز . ومن أجل ذلك كان الرهن الرسمي ، في جميع أنواعه وحالاته ، خاضعاً لنظام القيد ، لأن القيد لا يرد إلا على 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رهن الحيازة فمحله إما أن يكون عقاراً ، و منقولا . فهو لا يخضع لنظام القيد دائماً ، ولا يخضع له إلا إذا كان محله عقاراً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ورهن الحيازة الذي يرد على المنقول ، وبخاصة المنقولات الثمينة كالحلي والجواهر والمفروشات الثمينة </w:t>
      </w:r>
      <w:r>
        <w:rPr>
          <w:rFonts w:cs="Traditional Arabic" w:hint="cs"/>
          <w:sz w:val="28"/>
          <w:szCs w:val="32"/>
          <w:rtl/>
        </w:rPr>
        <w:lastRenderedPageBreak/>
        <w:t>، كثير . ولا يقل عن رهن الحيازة الذي يقع على عقار ، وبخاصة إذا أدخلنا الديون في الاعتبار . والديون نوع خاص من المنقول ، يرد عليه رهن الحيازة . وسنرى في آخر فصل من فصول هذا الباب ، وهو الفصل الرابع ، أنواعاً مختلفة من رهن الحيازة ، وقد قسمت إلى أنواع ثلاثة . النوع الأول منها يرد رهن الحيازة فيه على العقار ، والنوع الثاني يرد على المنقول ، والنوع الثالث يرد على الديون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كاد رهن الحيازة على العقار ، في آخر مرحلة من مراحل التشريع ، يلغي . ولكنه بقي مع ذلك ، لأسباب سيأتي ذكرها</w:t>
      </w:r>
      <w:r>
        <w:rPr>
          <w:rFonts w:cs="Traditional Arabic" w:hint="cs"/>
          <w:sz w:val="28"/>
          <w:szCs w:val="32"/>
          <w:vertAlign w:val="superscript"/>
          <w:rtl/>
        </w:rPr>
        <w:t xml:space="preserve">( </w:t>
      </w:r>
      <w:r w:rsidRPr="00EC737F">
        <w:rPr>
          <w:rStyle w:val="ab"/>
          <w:rFonts w:cs="Traditional Arabic"/>
          <w:sz w:val="28"/>
          <w:szCs w:val="32"/>
          <w:rtl/>
        </w:rPr>
        <w:footnoteReference w:id="14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والخلاصة أن رهن الحيازة ، من حيث المحل ، عام شامل . فهو يرد على العقار ، وعلى المنقول ، وعلى الديون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516- محل رهن الحيازة يمكن بيعه استقلالا بالمزاد العلني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وتنص المادة 1097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يكون محلا لرهن الحيازة إلا ما يمكن بيعه استقلالا بالمزاد العلني من منقول وعقار"</w:t>
      </w:r>
      <w:r>
        <w:rPr>
          <w:rFonts w:cs="Traditional Arabic" w:hint="cs"/>
          <w:sz w:val="28"/>
          <w:szCs w:val="32"/>
          <w:vertAlign w:val="superscript"/>
          <w:rtl/>
        </w:rPr>
        <w:t xml:space="preserve">( </w:t>
      </w:r>
      <w:r w:rsidRPr="00EC737F">
        <w:rPr>
          <w:rStyle w:val="ab"/>
          <w:rFonts w:cs="Traditional Arabic"/>
          <w:sz w:val="28"/>
          <w:szCs w:val="32"/>
          <w:rtl/>
        </w:rPr>
        <w:footnoteReference w:id="15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$763 وقد جاء في المذكرة الإيضاحية للمشروع التمهيدي ما يأتي : "يشترك الرهن الحيازي مع الرهن الرسمي أيضاً في أن الراهن يجب أن يكون مالكاً للشيء المرهون وأهلا للتصرف فيه ، وأنه قد يكون المدين ، وفي حكم رهن ملك الغير والأموال المستقبلة ، وفي أن محل الرهن يجب أن يكون مما يمكن التعامل فيه وبيعه في المزاد ، وفي أن الرهن يشمل الملحقات والثمار وفي الدين المضمون ، وعدم تجزئة الرهن ، وقيام علاقة التبعية بين الدين والشيء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50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النص سالف الذكر أنه يشترط في المحل المرهون ، وهو محل رهن الحيازة ، أن يكون مما يمكن بيعه استقلالا في المزاد العلني من منقول وعقار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فجميع العقارات التي يمكن رهنا رهناً رسمياً ، يجوز كذلك رنها رهن حيازة . وفي القانون الفرنسي ، لا يجوز رهن العقارات رهناً حيازياً $764 </w:t>
      </w:r>
      <w:r>
        <w:rPr>
          <w:rFonts w:cs="Traditional Arabic"/>
          <w:sz w:val="28"/>
          <w:szCs w:val="32"/>
          <w:rtl/>
        </w:rPr>
        <w:t xml:space="preserve">( </w:t>
      </w:r>
      <w:r>
        <w:rPr>
          <w:rFonts w:cs="Traditional Arabic"/>
          <w:sz w:val="28"/>
          <w:szCs w:val="32"/>
        </w:rPr>
        <w:t>gage</w:t>
      </w:r>
      <w:r>
        <w:rPr>
          <w:rFonts w:cs="Traditional Arabic"/>
          <w:sz w:val="28"/>
          <w:szCs w:val="32"/>
          <w:rtl/>
        </w:rPr>
        <w:t xml:space="preserve"> )</w:t>
      </w:r>
      <w:r>
        <w:rPr>
          <w:rFonts w:cs="Traditional Arabic" w:hint="cs"/>
          <w:sz w:val="28"/>
          <w:szCs w:val="32"/>
          <w:rtl/>
        </w:rPr>
        <w:t xml:space="preserve"> ، وإنما يجوز وضع العقارات في حيازة الدائن تأميناً لدينه حتى يستوفي حقه من ثمارها دون أن يكون له حق التقدم في ثمنها ويسمى العقد </w:t>
      </w:r>
      <w:r>
        <w:rPr>
          <w:rFonts w:cs="Traditional Arabic"/>
          <w:sz w:val="28"/>
          <w:szCs w:val="32"/>
          <w:rtl/>
        </w:rPr>
        <w:t xml:space="preserve">( </w:t>
      </w:r>
      <w:r>
        <w:rPr>
          <w:rFonts w:cs="Traditional Arabic"/>
          <w:sz w:val="28"/>
          <w:szCs w:val="32"/>
        </w:rPr>
        <w:t>antichrese</w:t>
      </w:r>
      <w:r>
        <w:rPr>
          <w:rFonts w:cs="Traditional Arabic"/>
          <w:sz w:val="28"/>
          <w:szCs w:val="32"/>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ويجز كذلك رهن المنقول رهن حيازة ، فيجوز رهن المفروشات والحلي والمجوهرات والسيارات والمركبات والمواشي والدواب وغير ذلك من المنقولات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ويجوز رهن النقود ( الكفالة النقدية ) ، ويتملك الدائن المرتهن النقود المرهونة المسلمة إليه ، على أن </w:t>
      </w:r>
      <w:r>
        <w:rPr>
          <w:rFonts w:cs="Traditional Arabic" w:hint="cs"/>
          <w:sz w:val="28"/>
          <w:szCs w:val="32"/>
          <w:rtl/>
        </w:rPr>
        <w:lastRenderedPageBreak/>
        <w:t xml:space="preserve">يرد مثلها عند تنفيذ المدين لالتزامه ، ويوصف الرهن بأنه رهن ناقص </w:t>
      </w:r>
      <w:r>
        <w:rPr>
          <w:rFonts w:cs="Traditional Arabic"/>
          <w:sz w:val="28"/>
          <w:szCs w:val="32"/>
          <w:rtl/>
        </w:rPr>
        <w:t xml:space="preserve">( </w:t>
      </w:r>
      <w:r>
        <w:rPr>
          <w:rFonts w:cs="Traditional Arabic"/>
          <w:sz w:val="28"/>
          <w:szCs w:val="32"/>
        </w:rPr>
        <w:t>gage irregulier</w:t>
      </w:r>
      <w:r>
        <w:rPr>
          <w:rFonts w:cs="Traditional Arabic"/>
          <w:sz w:val="28"/>
          <w:szCs w:val="32"/>
          <w:rtl/>
        </w:rPr>
        <w:t xml:space="preserve"> )</w:t>
      </w:r>
      <w:r>
        <w:rPr>
          <w:rFonts w:cs="Traditional Arabic" w:hint="cs"/>
          <w:sz w:val="28"/>
          <w:szCs w:val="32"/>
          <w:rtl/>
        </w:rPr>
        <w:t xml:space="preserve"> كالوديعة الناقصة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رهن الأموال المعنوية القابلة للبيع بالمزاد العلني ، كحق المؤلف وبراءة الاختراع والمحال التجارية العلامات والبيانات والأسماء التجارية وحق الإيجار وبوالص التأمين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رهن الديون والسندات لحاملها والسندات والأسهم الاسمية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لا يجوز رهن الماهيات والمعاشات والديون والسندات غير القابلة للتحويل ، لأن هذه كلها لا تقبل التحويل . كذلك لا يجوز رهن الحقوق العينية ، كحق الرهن الرسمي وحق الرهن الحيازي وحق الاختصاص وحقوق الامتياز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وبالجملة لا يجوز رهن ما  لا يمكن بيعه استقلالا بالمزاد العين ، كالعقارات بالتخصيص فإنه لا يجوز رهنها مستقلة عن العقار الذي خصصت له . فإذا كان هذا العقار غير مرهون ، جاز للمالك أن يفصل العقارات بالتخصيص ويرهنا مستقلة رهن حيازة</w:t>
      </w:r>
      <w:r>
        <w:rPr>
          <w:rFonts w:cs="Traditional Arabic" w:hint="cs"/>
          <w:sz w:val="28"/>
          <w:szCs w:val="32"/>
          <w:vertAlign w:val="superscript"/>
          <w:rtl/>
        </w:rPr>
        <w:t xml:space="preserve">( </w:t>
      </w:r>
      <w:r w:rsidRPr="00EC737F">
        <w:rPr>
          <w:rStyle w:val="ab"/>
          <w:rFonts w:cs="Traditional Arabic"/>
          <w:sz w:val="28"/>
          <w:szCs w:val="32"/>
          <w:rtl/>
        </w:rPr>
        <w:footnoteReference w:id="15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$765 </w:t>
      </w:r>
      <w:r>
        <w:rPr>
          <w:rFonts w:cs="Traditional Arabic" w:hint="cs"/>
          <w:b/>
          <w:bCs/>
          <w:sz w:val="28"/>
          <w:szCs w:val="32"/>
          <w:rtl/>
        </w:rPr>
        <w:t xml:space="preserve">517- قاعدة التخصيص في الرهن الحيازي : </w:t>
      </w:r>
      <w:r>
        <w:rPr>
          <w:rFonts w:cs="Traditional Arabic" w:hint="cs"/>
          <w:sz w:val="28"/>
          <w:szCs w:val="32"/>
          <w:rtl/>
        </w:rPr>
        <w:t xml:space="preserve"> ويجب أن يكون محل الرهن الحيازي معيناً أو قابلا للتعيين ، طبقاً للقواعد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لا يشترط تعيينه تعييناً دقيقاً كما في الرهن الرسمي ، فلم يرد في نصوص الرهن الحيازي نص يوجب تعيين محل الرهن الحيازي تعييناً دقيقاً كنص المادة 1035 مدني في الرهن الرسمي .</w:t>
      </w:r>
    </w:p>
    <w:p w:rsidR="00F72742" w:rsidRPr="00C66ED0"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ويقول الأستاذ منصور مصطفى منصور ، وهو ممن يقولون بعدم إعمال مبدأ تخصيص الرهن على رهن الحايزة ، ما يأتي : "ولبيان ما رناه في هذه المسألة نذكر بما قلناه من أنه إذا كانت علة بطلان رهن </w:t>
      </w:r>
      <w:r>
        <w:rPr>
          <w:rFonts w:cs="Traditional Arabic" w:hint="cs"/>
          <w:sz w:val="28"/>
          <w:szCs w:val="32"/>
          <w:rtl/>
        </w:rPr>
        <w:lastRenderedPageBreak/>
        <w:t>المال المستقبل هي عدم تعيين العقار باذته ، ، إلا أن هذا لا يمنع من القول إن هذا الحكم أي بطلا رهن المال المستقبل قائم بذاته . وعلى ضوء هذا نرى أن إحالة المشروع على نص المادة 1033 لا تفيد أكثر من بطلا رهن المال المستقبل رهناً حيازياً ، ويبقى شرط تعيين الشيء للرهن محكوماً بالقواعد العامة  . . . أما وجوب تعيين الشيء تعييناً دقيقاً ، فهذا لا يؤدي بالضرورة إلى القول ببطلان رهن المال المستقبل إذ ليس هناك ما يمنع من أن يكن الشيء المستقبل معيناً تعييناً دقيقاً ، كما لو رهن شخص المباني التي سيقيمها مع ذكر أوصافها ومشتملاتها بدقة . ولما كان الشراح الذين يقولون بإعمال مبدأ تخصيص الرهن حتى بالنسبة للرهن الحيازي يسلمون بصحة الرهن إذا كان الشيء معيناً بنوعه ، فهذا يعني فيما نرى أن استفاءهم إلى مقتضى إحالة المشرع على المادة 1033 غير صحيح . وقبل أن ننتهي من هذا الموضوع نشير إلى أن أستاذنا الدكتور شفيق شحاته يرى أن الرهن الحيازي لا يخضع لمبدأ تخصيص الرهن ، وذلك على أساس أنه لا علاقة لقاعدة التخصيص بحكم المادة 1033/2 وأن التخصيص من شروط العقد الشكلية التي لا تلزم بالنسبة للرهن الحيازي"</w:t>
      </w:r>
      <w:r>
        <w:rPr>
          <w:rFonts w:cs="Traditional Arabic" w:hint="cs"/>
          <w:sz w:val="28"/>
          <w:szCs w:val="32"/>
          <w:vertAlign w:val="superscript"/>
          <w:rtl/>
        </w:rPr>
        <w:t xml:space="preserve">( </w:t>
      </w:r>
      <w:r w:rsidRPr="00EC737F">
        <w:rPr>
          <w:rStyle w:val="ab"/>
          <w:rFonts w:cs="Traditional Arabic"/>
          <w:sz w:val="28"/>
          <w:szCs w:val="32"/>
          <w:rtl/>
        </w:rPr>
        <w:footnoteReference w:id="15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$766 </w:t>
      </w:r>
      <w:r>
        <w:rPr>
          <w:rFonts w:cs="Traditional Arabic" w:hint="cs"/>
          <w:b/>
          <w:bCs/>
          <w:sz w:val="28"/>
          <w:szCs w:val="32"/>
          <w:rtl/>
        </w:rPr>
        <w:t>518- رهن المال الشائع رهن حيازة :</w:t>
      </w:r>
      <w:r>
        <w:rPr>
          <w:rFonts w:cs="Traditional Arabic" w:hint="cs"/>
          <w:sz w:val="28"/>
          <w:szCs w:val="32"/>
          <w:rtl/>
        </w:rPr>
        <w:t xml:space="preserve"> وقد جاء في المذكرة الإيضاحية للمشروع التمهيدي ، في خصوص رهن المال الشائع رهن حيازة ، ما يأتي : "أما رهن المشاع رهن حيازة فيخضع للقواعد العامة ، إذ لم يرد فيه نص خاص . فيجوز رهن الحصة المشاعة رهن حيازة ، كما يجوز أن يرهن الشريك في الشيوع نصياً مفرزاً ، والعبرة بنتيجة القسمة ، ويحسن تنظيم رهن المشاع بنص خاص ، وينتقل عن التقنين الألماني . وتنص المادة 1258 من هذا التقنين على أنه إذا وقع الرهن الحيازي على حصة شائعة ، كان للدائن المرتهن أن يستعمل في إدارة العين وطريقة استغلالها ما للراهن من حقوق ترتبت على حالة الشيوع . ولا يجوز ، قبل ثبوت حق المرتهن في بيع المرهون ، طلب القسمة إلا باتفاق بين الراهن والمرتهن . أما بعد ثبوت الحق في البيع ، فيجوز للمرتهن أن يطلب القسمة ولا بغير رضاء الراهن . وإذا تمت القسمة ، فإن الرهن من الحصة الشائعة إلى المال المفرز الذي وقع في نصيب الراهن ، ويبقى دائماً للمرتهن </w:t>
      </w:r>
      <w:r>
        <w:rPr>
          <w:rFonts w:cs="Traditional Arabic" w:hint="cs"/>
          <w:sz w:val="28"/>
          <w:szCs w:val="32"/>
          <w:rtl/>
        </w:rPr>
        <w:lastRenderedPageBreak/>
        <w:t>حقه في بيع الحصة الشائعة التي ارتهنها"</w:t>
      </w:r>
      <w:r>
        <w:rPr>
          <w:rFonts w:cs="Traditional Arabic" w:hint="cs"/>
          <w:sz w:val="28"/>
          <w:szCs w:val="32"/>
          <w:vertAlign w:val="superscript"/>
          <w:rtl/>
        </w:rPr>
        <w:t xml:space="preserve">( </w:t>
      </w:r>
      <w:r w:rsidRPr="00EC737F">
        <w:rPr>
          <w:rStyle w:val="ab"/>
          <w:rFonts w:cs="Traditional Arabic"/>
          <w:sz w:val="28"/>
          <w:szCs w:val="32"/>
          <w:rtl/>
        </w:rPr>
        <w:footnoteReference w:id="150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كان نص التقنين المدني الألماني ( م 1258 ) لم ينقل إلى التقنين المدني الجديد ، فلا شأن لنا به هنا ، ووجب تطبيق القواعد العامة كما تقول المذكرة الإيضاحية إذ لم يرد نص خاص في رهن المال الشائع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التقنين المدني السابق لم يكن هناك نص خاص برهن المال الشائع ، فكان القضاء يجري على أن الحصة الشائعة رهناً حيازياً باطل ، لأنه لا يمكن حيازة المال المرهون وحبسه عن الكافة</w:t>
      </w:r>
      <w:r>
        <w:rPr>
          <w:rFonts w:cs="Traditional Arabic" w:hint="cs"/>
          <w:sz w:val="28"/>
          <w:szCs w:val="32"/>
          <w:vertAlign w:val="superscript"/>
          <w:rtl/>
        </w:rPr>
        <w:t xml:space="preserve">( </w:t>
      </w:r>
      <w:r w:rsidRPr="00EC737F">
        <w:rPr>
          <w:rStyle w:val="ab"/>
          <w:rFonts w:cs="Traditional Arabic"/>
          <w:sz w:val="28"/>
          <w:szCs w:val="32"/>
          <w:rtl/>
        </w:rPr>
        <w:footnoteReference w:id="1505"/>
      </w:r>
      <w:r>
        <w:rPr>
          <w:rFonts w:cs="Traditional Arabic" w:hint="cs"/>
          <w:sz w:val="28"/>
          <w:szCs w:val="32"/>
          <w:vertAlign w:val="superscript"/>
          <w:rtl/>
        </w:rPr>
        <w:t xml:space="preserve"> )</w:t>
      </w:r>
      <w:r>
        <w:rPr>
          <w:rFonts w:cs="Traditional Arabic" w:hint="cs"/>
          <w:sz w:val="28"/>
          <w:szCs w:val="32"/>
          <w:rtl/>
        </w:rPr>
        <w:t xml:space="preserve"> ، وهو باطل ولو كان الشركاء $767 في الملك قد اقتسموا المال الشائع قسمة مهايأة</w:t>
      </w:r>
      <w:r>
        <w:rPr>
          <w:rFonts w:cs="Traditional Arabic" w:hint="cs"/>
          <w:sz w:val="28"/>
          <w:szCs w:val="32"/>
          <w:vertAlign w:val="superscript"/>
          <w:rtl/>
        </w:rPr>
        <w:t xml:space="preserve">( </w:t>
      </w:r>
      <w:r w:rsidRPr="00EC737F">
        <w:rPr>
          <w:rStyle w:val="ab"/>
          <w:rFonts w:cs="Traditional Arabic"/>
          <w:sz w:val="28"/>
          <w:szCs w:val="32"/>
          <w:rtl/>
        </w:rPr>
        <w:footnoteReference w:id="1506"/>
      </w:r>
      <w:r>
        <w:rPr>
          <w:rFonts w:cs="Traditional Arabic" w:hint="cs"/>
          <w:sz w:val="28"/>
          <w:szCs w:val="32"/>
          <w:vertAlign w:val="superscript"/>
          <w:rtl/>
        </w:rPr>
        <w:t xml:space="preserve"> )</w:t>
      </w:r>
      <w:r>
        <w:rPr>
          <w:rFonts w:cs="Traditional Arabic" w:hint="cs"/>
          <w:sz w:val="28"/>
          <w:szCs w:val="32"/>
          <w:rtl/>
        </w:rPr>
        <w:t xml:space="preserve"> . وقضى بأن الرهن يكون صحيحاً إذا أمكنت حيازة الحصة الشائعة ، كما لو اتفق الدائن المرتهن مع شريك مدينه الراهن على أن يستمر هذا الشريك حائزاً العين نيابة عنه وأن يدفع له حصة المدين الراهن في الربيع</w:t>
      </w:r>
      <w:r>
        <w:rPr>
          <w:rFonts w:cs="Traditional Arabic" w:hint="cs"/>
          <w:sz w:val="28"/>
          <w:szCs w:val="32"/>
          <w:vertAlign w:val="superscript"/>
          <w:rtl/>
        </w:rPr>
        <w:t xml:space="preserve">( </w:t>
      </w:r>
      <w:r w:rsidRPr="00EC737F">
        <w:rPr>
          <w:rStyle w:val="ab"/>
          <w:rFonts w:cs="Traditional Arabic"/>
          <w:sz w:val="28"/>
          <w:szCs w:val="32"/>
          <w:rtl/>
        </w:rPr>
        <w:footnoteReference w:id="1507"/>
      </w:r>
      <w:r>
        <w:rPr>
          <w:rFonts w:cs="Traditional Arabic" w:hint="cs"/>
          <w:sz w:val="28"/>
          <w:szCs w:val="32"/>
          <w:vertAlign w:val="superscript"/>
          <w:rtl/>
        </w:rPr>
        <w:t xml:space="preserve"> )</w:t>
      </w:r>
      <w:r>
        <w:rPr>
          <w:rFonts w:cs="Traditional Arabic" w:hint="cs"/>
          <w:sz w:val="28"/>
          <w:szCs w:val="32"/>
          <w:rtl/>
        </w:rPr>
        <w:t xml:space="preserve"> . وبأنه يكون صحيحاً أيضاً إذا صدر من جميع الملاك على الشيوع بالتضامن يما بينهم ، ونقلت حيازة المال المرهون كله إلى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5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أما في التقنين المدني الجديد ، فقد أصبح رهن الحيازة عقداً رضائياً ينفذ دون تسليم المال الرهون ، وقد أصبح التسليم التزاماً لا ركناً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 يكون في التقنين المدني الجديد للمالك المشتاع أن يرهن حصته الشائعة بمجرد تبادل الإيجاب والقبول ، ويكون رهنه صحيحاً ، ولكنه لا ينفذ في حق الغير إلا إذا أمكن الدائن المرتهن أن يجوز الحصة الشائعة . ويجوز أيضاً للمالك المشتاع أن يرهن جزءاً مفرزاً من المال الشائع بإيجاب وقبول ، ويكون الرهن صحيحاً ولكنه لا ينفذ في حق الغير إلا إذا حاز الدائن المرتهن الجزء المفرز وتمت القسمة فوقع الجزء المفرز في نصيب الراهن . أما الرهن الصادر من جميع الشركاء قبل القسمة ، فإن مصيره يتوقف على نتيجة السمة ، فإذا وقع المرهون كله في نصيب أحد الشركاء $768 أو بعضهم نفذ الرهن بنسبة حصصهم الأصلية واعتبر بالنسبة إلى حصص باقي الشركاء واردا على ملك الغير</w:t>
      </w:r>
      <w:r>
        <w:rPr>
          <w:rFonts w:cs="Traditional Arabic" w:hint="cs"/>
          <w:sz w:val="28"/>
          <w:szCs w:val="32"/>
          <w:vertAlign w:val="superscript"/>
          <w:rtl/>
        </w:rPr>
        <w:t xml:space="preserve">( </w:t>
      </w:r>
      <w:r w:rsidRPr="00EC737F">
        <w:rPr>
          <w:rStyle w:val="ab"/>
          <w:rFonts w:cs="Traditional Arabic"/>
          <w:sz w:val="28"/>
          <w:szCs w:val="32"/>
          <w:rtl/>
        </w:rPr>
        <w:footnoteReference w:id="1509"/>
      </w:r>
      <w:r>
        <w:rPr>
          <w:rFonts w:cs="Traditional Arabic" w:hint="cs"/>
          <w:sz w:val="28"/>
          <w:szCs w:val="32"/>
          <w:vertAlign w:val="superscript"/>
          <w:rtl/>
        </w:rPr>
        <w:t xml:space="preserve"> )</w:t>
      </w:r>
      <w:r>
        <w:rPr>
          <w:rFonts w:cs="Traditional Arabic" w:hint="cs"/>
          <w:sz w:val="28"/>
          <w:szCs w:val="32"/>
          <w:rtl/>
        </w:rPr>
        <w:t xml:space="preserve"> .</w:t>
      </w:r>
    </w:p>
    <w:p w:rsidR="00F72742" w:rsidRPr="003D71F5"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ويذهب كثير </w:t>
      </w:r>
      <w:r w:rsidRPr="003D71F5">
        <w:rPr>
          <w:rFonts w:cs="Traditional Arabic" w:hint="cs"/>
          <w:sz w:val="28"/>
          <w:szCs w:val="32"/>
          <w:rtl/>
        </w:rPr>
        <w:t>من شراح القانون المصري إلى أن الحلول العيني أصبح هو القاعدة العامة</w:t>
      </w:r>
      <w:r>
        <w:rPr>
          <w:rFonts w:cs="Traditional Arabic" w:hint="cs"/>
          <w:sz w:val="28"/>
          <w:szCs w:val="32"/>
          <w:rtl/>
        </w:rPr>
        <w:t xml:space="preserve"> في التقنين المصري الجديد ، وأصبح الحكم الوارد في المادة 1039/2 تطبيقاً لهذه القاعدة الواردة في المادة 826 مدني ، ويسري الحلو العيني في رهن الحيازة تطبيقاً للقواعد العامة . ويقول الأستاذ محمد كامل مرسي</w:t>
      </w:r>
      <w:r>
        <w:rPr>
          <w:rFonts w:cs="Traditional Arabic" w:hint="cs"/>
          <w:sz w:val="28"/>
          <w:szCs w:val="32"/>
          <w:vertAlign w:val="superscript"/>
          <w:rtl/>
        </w:rPr>
        <w:t xml:space="preserve">( </w:t>
      </w:r>
      <w:r w:rsidRPr="00EC737F">
        <w:rPr>
          <w:rStyle w:val="ab"/>
          <w:rFonts w:cs="Traditional Arabic"/>
          <w:sz w:val="28"/>
          <w:szCs w:val="32"/>
          <w:rtl/>
        </w:rPr>
        <w:footnoteReference w:id="1510"/>
      </w:r>
      <w:r>
        <w:rPr>
          <w:rFonts w:cs="Traditional Arabic" w:hint="cs"/>
          <w:sz w:val="28"/>
          <w:szCs w:val="32"/>
          <w:vertAlign w:val="superscript"/>
          <w:rtl/>
        </w:rPr>
        <w:t xml:space="preserve"> )</w:t>
      </w:r>
      <w:r>
        <w:rPr>
          <w:rFonts w:cs="Traditional Arabic" w:hint="cs"/>
          <w:sz w:val="28"/>
          <w:szCs w:val="32"/>
          <w:rtl/>
        </w:rPr>
        <w:t xml:space="preserve"> ، في هذا الصدد ، ما يأتي : "ونرى الأخذ بالأحكام المقررة في الرهن الرسمي في المادة 1039 لاستعمال حق الحلول العيني ، في رهن الحيازة وهي : ( أولا ) أن يستصدر الدائن المرتهن أمراً على عريضة يعين به القاضي القدر الذي يقع عليه الرهن ، و ( ثانياً ) أن يقوم الدائن المرتهن بإجراء قيد جديد يبين فيه القدر الذي انتقل إليه الرهن خلال تسعين يوماً من الوقت الذي يخبره فيه أي ذي شأن بتسجيل القسمة . بل إننا نرى بطريق القياس الأخذ بهذه الأحكام في صدد التصرفات على العموم ، فيكون على المشتري أن يستصدر </w:t>
      </w:r>
      <w:r>
        <w:rPr>
          <w:rFonts w:cs="Traditional Arabic" w:hint="cs"/>
          <w:sz w:val="28"/>
          <w:szCs w:val="32"/>
          <w:rtl/>
        </w:rPr>
        <w:lastRenderedPageBreak/>
        <w:t>أمراً على عريضة بتعيين قدر من الأموال التي آلت إلى البائع يعادل قيمة ما باعه له ، ثم يجري المشتري تسجيلا جديداً على هذا القدر يسري أثره من تاريخ التسجيل السابق"</w:t>
      </w:r>
      <w:r>
        <w:rPr>
          <w:rFonts w:cs="Traditional Arabic" w:hint="cs"/>
          <w:sz w:val="28"/>
          <w:szCs w:val="32"/>
          <w:vertAlign w:val="superscript"/>
          <w:rtl/>
        </w:rPr>
        <w:t xml:space="preserve">( </w:t>
      </w:r>
      <w:r w:rsidRPr="00EC737F">
        <w:rPr>
          <w:rStyle w:val="ab"/>
          <w:rFonts w:cs="Traditional Arabic"/>
          <w:sz w:val="28"/>
          <w:szCs w:val="32"/>
          <w:rtl/>
        </w:rPr>
        <w:footnoteReference w:id="1511"/>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519- زوال ملكية الراهن بأثر رجعي : </w:t>
      </w:r>
      <w:r>
        <w:rPr>
          <w:rFonts w:cs="Traditional Arabic" w:hint="cs"/>
          <w:sz w:val="28"/>
          <w:szCs w:val="32"/>
          <w:rtl/>
        </w:rPr>
        <w:t>رأينا أن المادة 1034 $769 مدني تنص على ما يأتي : "يبقى قائماً لمصلحة الدائن المرتهن الرهن الصادر من المالك الذي تقرر إبطال سند ملكيته أو فسخه أو إلغاؤه أو زواله لأي سبب آخر ، إذا كان هذا الدائن حسن النية في الوقت الذي أبرم فيه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وهذا النص خاص بالرهن الرسمي . وقد جاء في المذكرة الإيضاحية للمشروع التمهيد ، في خصوص هذا النص ، ما يأتي : "الرهن يبقى صحيحاً إذا صدر من مالك تقرر بعد ذلك بطلان سند ملكيته  . . . أو فسخه  . . . أو إلغاؤه أو زواله لأي سبب آخر ( رهن ما باعه المريض مرض الموت ورهن ما يجاوز نصاب الوصية ) ، يكون الدائن المرتهن حسن النية وقت الرهن  . . . ."</w:t>
      </w:r>
      <w:r w:rsidRPr="00D306B0">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51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يوجد نص يجعل هذا النص يطبق أيضاً في حالة رهن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رهن شخص مالا له رهن حيازة ، أيكون رهن الحيازة صحيحاً إذا تبين فيما بعد أن سند ملكية الراهن باطل ، أو قابل للفسخ وقد فسخ بأثر رجعي؟</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شك في أن المادة 1034 مدني سالفة الذكر تخالف القواعد العامة ، إذ هي تصحح رهناً صدر من غير مالك ، فالراهن قد أبطل سند ملكيته أو فسخ بأثر 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لذلك يجب قصر المادة 1034 مدني على ما جاءت فيه ، وهو الرهن الرسمي ، ولا يجوز تطبقها على رهن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ولكن إذا لم يمكن تطبيق المادة 1034 مدني على رهن الحيازة ، فإن هناك في قانون تنظيم الشهر </w:t>
      </w:r>
      <w:r>
        <w:rPr>
          <w:rFonts w:cs="Traditional Arabic" w:hint="cs"/>
          <w:sz w:val="28"/>
          <w:szCs w:val="32"/>
          <w:rtl/>
        </w:rPr>
        <w:lastRenderedPageBreak/>
        <w:t>العقاري نصوصاً في هذا الموضوع تنطبق على رهن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فالمادة 17/2 من قانون تنظيم الشهر العقار في تحمي حسن النية في ذاته ، $770 وتشمل كل من يعتبر من الغير ما دام قد كسب حقه بحسن نية ، سواء كان ذلك الغير مرتهناً رهناً رسمياً أو مرتهناً رهناً حيازياً أو مشترياً أو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المرتهن رهن حيازة قد كسب بحسن نية حق رهن الحيازة من مالك سند ملكيته باطل ، قبل تسجيل عريضة دعوى البطلان ، فإن رهن حيازته يبقى قائماً . ولا يؤثر زوال ملكية المالك بأثر رجعي في بقاء رهن الحيازة ، ما دام رهن الحيازة قد كسب قبل تسجيل عريضة دعوى البطلان ، وما دام الدائن المرتهن رهن حيازة كمان حسن النية وقت أن أرم رهن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15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520- ملحقات الشيء المرهون وثماره :</w:t>
      </w:r>
      <w:r>
        <w:rPr>
          <w:rFonts w:cs="Traditional Arabic" w:hint="cs"/>
          <w:sz w:val="28"/>
          <w:szCs w:val="32"/>
          <w:rtl/>
        </w:rPr>
        <w:t xml:space="preserve"> كان المشروع التمهيدي يتضمن نصاً ، هو المادة 1533 من هذا المشروع ، يجري على الوجه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"ويشمل الرهن الحيازي ملحقات الشيء المرهون وثماره ، ما لم يوجد اتفاق يقضي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ولما تليت هذه المادة في لجنة المراجعة ، حذفها اللجنة "اكتفاء بالقواعد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514"/>
      </w:r>
      <w:r>
        <w:rPr>
          <w:rFonts w:cs="Traditional Arabic" w:hint="cs"/>
          <w:sz w:val="28"/>
          <w:szCs w:val="32"/>
          <w:vertAlign w:val="superscript"/>
          <w:rtl/>
        </w:rPr>
        <w:t xml:space="preserve"> )</w:t>
      </w:r>
      <w:r>
        <w:rPr>
          <w:rFonts w:cs="Traditional Arabic" w:hint="cs"/>
          <w:sz w:val="28"/>
          <w:szCs w:val="32"/>
          <w:rtl/>
        </w:rPr>
        <w:t xml:space="preserve"> . فحذف النص إذن لم يكن لأن لجنة المراجعة ترضه ، بل لأن في القواعد العامة ما يغني عنه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اشتملت نصوص الرهن السمي ، في هذا المعنى ، على نصين في الملحقات والثمار . فنصت المادة 1036 مدني ، فيما يتعلق بالملحقات ، على ما يأتي : "يشمل الرهن ملحقات العقار المرهون التي تعتبر عقاراً ، ويشمل بوجه خاص حقوق الارتفاق والعقارات بالتخصيص والتحسينات والإنشاءات التي تعود بمنفعة على المالك ، ما لم يتفق على غير ذلك ، مع عدم الإخلال بامتياز المبالغ المستحقة للمقاولين أو المهندسين المعماريين $771 المنصوص عليه في المادة 1148" . ونصت المادة 1037 مدني ، فيما يتعلق بالمثار ، على ما يأتي : "يترتب على تسجيل تنبيه نزع الملكية أن يلحق بالعقار ما يغله من ثمار </w:t>
      </w:r>
      <w:r>
        <w:rPr>
          <w:rFonts w:cs="Traditional Arabic" w:hint="cs"/>
          <w:sz w:val="28"/>
          <w:szCs w:val="32"/>
          <w:rtl/>
        </w:rPr>
        <w:lastRenderedPageBreak/>
        <w:t>وإيراد عن المدة التي أعقبت التسجيل ، ويجري في توزيع هذه الغلة ما يجري في توزيع ثمن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النصوص تنطبق على رهن الحيازة انطباقها على الرهن الرسمي ، وبخاصة إذا كان محل رهن الحياة عقاراً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ففيما يتعلق بالملحقات ، يشملها رهن الحيازة وتكون مرهونة رهناً حيازياً كالشيء الأصلي ، ويجب تسليمها إلى الدائن المرتهن رهن حيازة على هذا الأساس . وقد ذر النص أمثلة واضحة لهذه الملتحقات ، هذه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حقوق الارتفاق : والمفروض أن الشيء الأصلي المرهون هو عقار ، فيسلم مع هذا العقار حقوق الارتفاق الايجابية التي يتمتع بها هذا العقار . فحق الارتفاق يتبع العقار الذي يخدمه ، ولا ينفصل عنه . فتكون حقوق الارتفاق مرهونة رهن حيازة مع العقار الأصلية ، حتى لو لم توجد حقوق الارتفاق إلا بعد رهن الحيازة ، باعتبارها توابع للعقار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العقارات بالتخصيص : وهي منقولات بطبيعتها ، قد خصصها صاحبها لخدمة عقار يملكه ، فتصبح مرهونة رهن حيازة مع هذا العقار . فتدخل العقارات بالتخصيص ، كالماشية والآلات الزراعية والسماد والبذور وأدوات النقل والمفروشات المخصصة للفنادق والمصانع ونحو ذلك ، مع الشيء الأصلي المرهون رهن حيازة فتصبح مرهونة مثله ، دن حاجة إلى ذكر ذلك . ويستوي أن يكون العقار بالتخصيص موجوداً وقت رهن الحيازة ، أو وجد بعد ذلك . وإذا دخل العقار بالتخصيص في رهن الحيازة ، ثم فصله الراهن وباعه وسلمه إلى المشتري ، فإن المشتري إذا كان حسن النية يملك العقار بالتخصيص الذي أصبح منقولا . ولكن يجوز للدائن المرتهن رهن حيازة أن يحجز على الثمن وهو في يد المشتري ، إذا كان هذا $772 لم يدفعه بعد . ويستطيع الدائن المرتهن رهن حيازة أن يعارض في تسليم العقار بالتخصيص للمشتري ، إذا كان هذا لم يتسلمه بعد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التحسينات والإنشاءات : ويدخل في التحسينات والإنشاءات ما أن أنتجته الطبيعة من تحسينات في الأرض كتراكم الطمي الذي يزيد في مساحة الأرض ، وما يصنعه مالك العقار بنفسه كتوسيع غرف المنزل وإعادة حديقة له وتيسير سبيل المرور إليه من الطريق العام . وبناء طابق جديد ، وإضافة </w:t>
      </w:r>
      <w:r>
        <w:rPr>
          <w:rFonts w:cs="Traditional Arabic" w:hint="cs"/>
          <w:sz w:val="28"/>
          <w:szCs w:val="32"/>
          <w:rtl/>
        </w:rPr>
        <w:lastRenderedPageBreak/>
        <w:t>ملاحق للبناء الموجود ، كل هذه تعتبر إنشاءات تتبع الشيء المرهون وتدخل معه في الرهن الحيازي . وتدخل التحسينات والإنشاءات ضمن الرهن الحيازي ، أيا كانت قيمتها ولو زادت هذه القيمة على الشيء الأصلي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وكل ما قدمنا ليس من النظام العام ، فيجوز للراهن والمرتهن أن يتفقا على إخراج شيء مما تقدم من رهن الحيازة فلا يصبح مرهوناً مع الشيء الأصلي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وفيما يتعلق بالثمار ، فإن الدائن المرتهن رهن حيازة يستولي عادة على الشيء المرهون ، ومتى استولى عليه فإنه يستولي أيضاً على ثماره ، طبيعية أو مستحدثة أو مدنية . وتدخل هذه  الثمار ضمن ما قبضه المرتهن رهن حيازة ، ويحاسب الراهن عليها . فهي دائماً ملحقة بالشيء الأصلي ، منذ أن يستولي الدائن المرتهن حيازة على هذا الشيء . ولكن قد يحدث أن المرهون يكن عقاراً ، وقبل أن يستولي الدائن المرتهن يحل الدين المضمون . عند ذلك ، يترتب على تسجيل تنبيه نزع ملكية العقار الأصلي المرهون ، أن يلحق بالعقار ما يغله من ثمار وإيراد عن المدة التي أعقبت التسجيل ، ويجري في توزيع هذه الغلة ما يجري في توزيع ثمن العقار فإذا كانت الثمار مدنية ، فما يستحق منها عن المدة اللاحقة لتسجيل التنبيه إلى وقت رسو مزاد العقار المرهون يلحق بالعقار ويوزع كما يوزع ثمن العقار المرهون $773 نفسه .  أما إذا كانت الثمار مستحدثة أو طبيعية ، فلا تلحق بالعقار إلا بنسبة المدة التي أعقبت التسجيل إلى كل المدة التي بقيت فيها هذه الثمار في الأرض . ذلك أنه لا مبرر للتفرقة بين الثمار المدنية وبين الثمار المستحدثة أو الطبيعية ، وما دامت هذه الثمار المستحدثة أو الطبيعية بقيت في الأرض مدة  قبل التسجيل ، فإن ما يقابل هذه المدة يكون من حق الراهن .</w:t>
      </w:r>
    </w:p>
    <w:p w:rsidR="00F72742" w:rsidRPr="00361458" w:rsidRDefault="00F72742" w:rsidP="00F72742">
      <w:pPr>
        <w:widowControl w:val="0"/>
        <w:spacing w:after="120"/>
        <w:jc w:val="center"/>
        <w:rPr>
          <w:rFonts w:cs="Traditional Arabic" w:hint="cs"/>
          <w:b/>
          <w:bCs/>
          <w:sz w:val="44"/>
          <w:szCs w:val="44"/>
          <w:rtl/>
        </w:rPr>
      </w:pPr>
      <w:r w:rsidRPr="00361458">
        <w:rPr>
          <w:rFonts w:cs="Traditional Arabic" w:hint="cs"/>
          <w:b/>
          <w:bCs/>
          <w:sz w:val="44"/>
          <w:szCs w:val="44"/>
          <w:rtl/>
        </w:rPr>
        <w:t>المبحث الثالث</w:t>
      </w:r>
    </w:p>
    <w:p w:rsidR="00F72742" w:rsidRPr="00361458" w:rsidRDefault="00F72742" w:rsidP="00F72742">
      <w:pPr>
        <w:widowControl w:val="0"/>
        <w:spacing w:after="120"/>
        <w:jc w:val="center"/>
        <w:rPr>
          <w:rFonts w:cs="Traditional Arabic" w:hint="cs"/>
          <w:b/>
          <w:bCs/>
          <w:sz w:val="28"/>
          <w:szCs w:val="32"/>
          <w:rtl/>
        </w:rPr>
      </w:pPr>
      <w:r w:rsidRPr="00361458">
        <w:rPr>
          <w:rFonts w:cs="Traditional Arabic" w:hint="cs"/>
          <w:b/>
          <w:bCs/>
          <w:sz w:val="28"/>
          <w:szCs w:val="32"/>
          <w:rtl/>
        </w:rPr>
        <w:t>الدين المضمون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521- نص قانوني : </w:t>
      </w:r>
      <w:r>
        <w:rPr>
          <w:rFonts w:cs="Traditional Arabic" w:hint="cs"/>
          <w:sz w:val="28"/>
          <w:szCs w:val="32"/>
          <w:rtl/>
        </w:rPr>
        <w:t>تنص المادة 1089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"تسري على الرهن الحيازي أحكام المادة 1033 وأحكام المواد من 1040 إلى 1042 المتعلقة </w:t>
      </w:r>
      <w:r>
        <w:rPr>
          <w:rFonts w:cs="Traditional Arabic" w:hint="cs"/>
          <w:sz w:val="28"/>
          <w:szCs w:val="32"/>
          <w:rtl/>
        </w:rPr>
        <w:lastRenderedPageBreak/>
        <w:t>بالرهن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5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المادة 1033 فقد رأيناها تنص على أنه "1- إذا كان الراهن غير مالك للعقار المرهون فإن عقد الرهن يصبح صحيحاً إذا أقره المالك الحقيقي  . . . ، وإذا لم يصدر هذا الإقرار فإن حق الرهن لا يترتب على العقار إلا من الوقت الذي يصبح فيه هذا العقار مملوكاً للرهن . 2- ويقع باطلا رهن المالك المستقبل" . وقد سبق أن عالجنا هذا النص في رهن ملك الغير وفي رهن المال المستقبل ، فلا محل للعودة إلى ذلك</w:t>
      </w:r>
      <w:r>
        <w:rPr>
          <w:rFonts w:cs="Traditional Arabic" w:hint="cs"/>
          <w:sz w:val="28"/>
          <w:szCs w:val="32"/>
          <w:vertAlign w:val="superscript"/>
          <w:rtl/>
        </w:rPr>
        <w:t xml:space="preserve">( </w:t>
      </w:r>
      <w:r w:rsidRPr="00EC737F">
        <w:rPr>
          <w:rStyle w:val="ab"/>
          <w:rFonts w:cs="Traditional Arabic"/>
          <w:sz w:val="28"/>
          <w:szCs w:val="32"/>
          <w:rtl/>
        </w:rPr>
        <w:footnoteReference w:id="15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$774 بقيت المواد من 1040 إلى 1042 ، وهذه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1040 : "يجوز أن يترتب الرهن ضماناً لدين معلق على شرط أو دين مستقبل أو دين احتمالي كما يجوز أن يترتب ضماناً لاعتماد مفتوح أو لفتح حساب جار ، على أن يتحدد في يعقد الرهن مبلغ الدين المضمون أو الحد الأقصى الذي ينتهي إليه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1041 : "كل جزء من العقارات المرهونة ضامن لكل الدين ، وكل جزء من الدين مضمون بالعقار أو العقارات المرهونة كلها ، ما لم ينص القانون أو يقض الاتفاق بغير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من 1042 : "1- لا ينفصل الرهن عن الدين المضمون ، بل يكون تابعاً له في صحته وفي انقضائه ، ما لم ينص القانون على غير ذلك . 2- وإذا كان الراهن غير المدين ، كان إلى جانب تمسكه بأوجه </w:t>
      </w:r>
      <w:r>
        <w:rPr>
          <w:rFonts w:cs="Traditional Arabic" w:hint="cs"/>
          <w:sz w:val="28"/>
          <w:szCs w:val="32"/>
          <w:rtl/>
        </w:rPr>
        <w:lastRenderedPageBreak/>
        <w:t>الدفع الخاصة به ، أن يتمسك بما للمدين التمسك به من أوجه الدفع المتعلقة بالدين وبقى له هذا الحق ولو نزل عنه المدين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522- قاعدة التخصيص لا تنطبق أيضاً على المدين المضمون في رهن الحيازة</w:t>
      </w:r>
      <w:r>
        <w:rPr>
          <w:rFonts w:cs="Traditional Arabic" w:hint="cs"/>
          <w:sz w:val="28"/>
          <w:szCs w:val="32"/>
          <w:rtl/>
        </w:rPr>
        <w:t xml:space="preserve"> : وكما لا تنطبق قاعدة التخصيص على رهن الحيازة من حيث العقار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517"/>
      </w:r>
      <w:r>
        <w:rPr>
          <w:rFonts w:cs="Traditional Arabic" w:hint="cs"/>
          <w:sz w:val="28"/>
          <w:szCs w:val="32"/>
          <w:vertAlign w:val="superscript"/>
          <w:rtl/>
        </w:rPr>
        <w:t xml:space="preserve"> )</w:t>
      </w:r>
      <w:r>
        <w:rPr>
          <w:rFonts w:cs="Traditional Arabic" w:hint="cs"/>
          <w:sz w:val="28"/>
          <w:szCs w:val="32"/>
          <w:rtl/>
        </w:rPr>
        <w:t xml:space="preserve"> ، كذلك لا تنطبق هذه القاعدة على رهن الحيازة من حيث الدين المضمون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فلم يرد في النصوص نص يوجه أن يكن الدين المضمون في رهن الحيازة معيناً تعييناً دقيقاًن كنص المادة 1035 في 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وكل ما يجب هو تطبيق القواعد العامة ، فيما يتعلق بتعيين الدين المضمون في رهن الحيازة ، فيجب إذن أن يكون الدين المضمون في يرهن الحيازة معيناً أو قابلا للتعين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$775 بل إن في النصوص التي قدمناها</w:t>
      </w:r>
      <w:r>
        <w:rPr>
          <w:rFonts w:cs="Traditional Arabic" w:hint="cs"/>
          <w:sz w:val="28"/>
          <w:szCs w:val="32"/>
          <w:vertAlign w:val="superscript"/>
          <w:rtl/>
        </w:rPr>
        <w:t xml:space="preserve">( </w:t>
      </w:r>
      <w:r w:rsidRPr="00EC737F">
        <w:rPr>
          <w:rStyle w:val="ab"/>
          <w:rFonts w:cs="Traditional Arabic"/>
          <w:sz w:val="28"/>
          <w:szCs w:val="32"/>
          <w:rtl/>
        </w:rPr>
        <w:footnoteReference w:id="1518"/>
      </w:r>
      <w:r>
        <w:rPr>
          <w:rFonts w:cs="Traditional Arabic" w:hint="cs"/>
          <w:sz w:val="28"/>
          <w:szCs w:val="32"/>
          <w:vertAlign w:val="superscript"/>
          <w:rtl/>
        </w:rPr>
        <w:t xml:space="preserve"> )</w:t>
      </w:r>
      <w:r>
        <w:rPr>
          <w:rFonts w:cs="Traditional Arabic" w:hint="cs"/>
          <w:sz w:val="28"/>
          <w:szCs w:val="32"/>
          <w:rtl/>
        </w:rPr>
        <w:t xml:space="preserve"> . وهي تنطبق على رهن الحيازة ، ما يفهم منه جواز أن يكون الدين المضمون في رهن الحيازة ديناً مستقبلا ، وديناً احتمالياً ، واعتماداً مفتوحاً ، وفتح حساب جار ، على أن يتحدد في عقد الرهن الحد الأقصى الذي ينتهي إليه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كل هذا لا يفهم منه إلا أن الدين المضمون في رهن الحيازة يصح أن يكون قابلا للتعيين ، وليس من الضروري أن يكون معيناً تعييناً دقيقاً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ونقتصر هنا على الكلام بإيجاز في المواد 1040 إلى 1042 مطبقة على رهن الحيازة ، فنتكلم في تحديد الدين المضمون ، ( م 1040 مدني ) ، وفي أن كل جزء من الشيء المرهون ضامن لكل الدين وكل جزء من الدين مضمون بكل المرهون رهن حيازة ( م 1041 مدني ) ، وفي أن الرهن لا ينفصل عنه ( م 1042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523- تحديد الدين المضمون :</w:t>
      </w:r>
      <w:r>
        <w:rPr>
          <w:rFonts w:cs="Traditional Arabic" w:hint="cs"/>
          <w:sz w:val="28"/>
          <w:szCs w:val="32"/>
          <w:rtl/>
        </w:rPr>
        <w:t xml:space="preserve"> رأينا</w:t>
      </w:r>
      <w:r>
        <w:rPr>
          <w:rFonts w:cs="Traditional Arabic" w:hint="cs"/>
          <w:sz w:val="28"/>
          <w:szCs w:val="32"/>
          <w:vertAlign w:val="superscript"/>
          <w:rtl/>
        </w:rPr>
        <w:t xml:space="preserve">( </w:t>
      </w:r>
      <w:r w:rsidRPr="00EC737F">
        <w:rPr>
          <w:rStyle w:val="ab"/>
          <w:rFonts w:cs="Traditional Arabic"/>
          <w:sz w:val="28"/>
          <w:szCs w:val="32"/>
          <w:rtl/>
        </w:rPr>
        <w:footnoteReference w:id="1519"/>
      </w:r>
      <w:r>
        <w:rPr>
          <w:rFonts w:cs="Traditional Arabic" w:hint="cs"/>
          <w:sz w:val="28"/>
          <w:szCs w:val="32"/>
          <w:vertAlign w:val="superscript"/>
          <w:rtl/>
        </w:rPr>
        <w:t xml:space="preserve"> )</w:t>
      </w:r>
      <w:r>
        <w:rPr>
          <w:rFonts w:cs="Traditional Arabic" w:hint="cs"/>
          <w:sz w:val="28"/>
          <w:szCs w:val="32"/>
          <w:rtl/>
        </w:rPr>
        <w:t xml:space="preserve"> أن المادة 1040 تنص على أنه "يجوز أن يترتب الرهن ضماناً لدين معلق على شرط أو دين مستقبل أو دين احتمالي كما يجوز أن يترتب ضماناً لاعتماد مفتوح أو لفتح حساب جار ، على أن يتحدد في عقد الرهن مبلغ الدين المضمون أو الحد الأقصى الذي ينتهي إليه هذا الدين" . والديون المذكورة في النص لا تحمل في ذاتها قدراً كافياً من التحديدِ ، كالديون المستقبلة والديون الاحتمالية ، ولكن في النص وضع قاعدة لتحديدها بتعيين الحد الأقصى الذي ينتهي إليه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فلا يجوز أن يعقد رهن حيازة لضمان كل الديون التي تثبت في ذمة المدين ، سواء في أية مدة ، أو في مدة معينة ، ما دامت الديون نفسها لم تعين كل دين على حدة من ناحية المقدار والمصدر . كذلك لا يجوز أن $776 يمتد الرهن الحيازي لضمان أي دين آخر لم يعين مقداره ومصدره ، يثبت في ذمة المدين بعد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ويتحدد الدين المضمون بأمرين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بمقدار : فيتحدد هذا المقدار من رأس مال وفوائد ومتى يبدأ سريان الفوائد . ويستوي في ذلك الدين المنجز والدين المعلق على شرط ، فهذه كلها ديون يمكن ضمانها بالرهن الحيازي . وإذا كمان الدين مستقبلا كاعتماد مفتوح في مصرف لم يسحب منه المدين شيئاً ، أو كان ديناً احتمالياً كفتح حساب جاري يحتمل أن يكون رصيده دائناً أو مديناً ، كان تحديد مقداره في عقد الرهن بتحديد حد أقصى ينتهي إليه الدين . وإذا كان الدين المضمون بالرهن الحيازي هو تعويض عن عمل غير مشروع لم يتحدد مقداره ، وجب تعيين العناصر المعروفة لمقدار هذا التعويض حتى يصبح هذا المقدار معروفاً بقدر الإمكان . أما في القيد ، إذا كان الشيء المرهون عقاراً ، فيجب تحديد مبلغ تقريبي ينتهي إليه الدين ، وهذا المبلغ هو الذي يطلع عليه الغير ويحتج عليه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وبمصدر الدين : فيجب أيضاً تحديد المصدر ، هل هو عقد أو هو عمل غير مشروع أو إثراء </w:t>
      </w:r>
      <w:r>
        <w:rPr>
          <w:rFonts w:cs="Traditional Arabic" w:hint="cs"/>
          <w:sz w:val="28"/>
          <w:szCs w:val="32"/>
          <w:rtl/>
        </w:rPr>
        <w:lastRenderedPageBreak/>
        <w:t>بلا سبب أو إرادة منفردة أو هو القانون . فقد يكون الدين المضمون ثمناً في عقد بيع أو قرضاً أو إيراداً مدى الحياة أو شرطاً في عقد هبة أو التزاماً بعمل أو تعويضاً عن عمل غير مشروع . وقد يكون ديناً معلقاً على شرط أو مضافاً إلى أجل أو منجزاً ، كما قد  يون ديناً مستقبلا أو ديناً احتمالياً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وجزاء عدم تحديد الدين المضمون بالرهن الحيازي على الوجه سالف الذكر ، هو بطلان عقد الرهن الحيازي . والبطلان هنا هو بطلان مطلق ، ويستطيع أن يتمسك به كل ذي مصلحة . فيتمسك به المدين والدائن المرتهن $777 وورثة كل منها والخلف الخاص ، والدائنون المرتهنون المتأخرون في المرتبة ، وحائز الشيء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524- كل جزء من الشيء المرهون ضامن لكل الدين وكل جزء من الدين مضمون بكل المرهون رهن حيازة :</w:t>
      </w:r>
      <w:r>
        <w:rPr>
          <w:rFonts w:cs="Traditional Arabic" w:hint="cs"/>
          <w:sz w:val="28"/>
          <w:szCs w:val="32"/>
          <w:rtl/>
        </w:rPr>
        <w:t xml:space="preserve"> وقد رأينا</w:t>
      </w:r>
      <w:r>
        <w:rPr>
          <w:rFonts w:cs="Traditional Arabic" w:hint="cs"/>
          <w:sz w:val="28"/>
          <w:szCs w:val="32"/>
          <w:vertAlign w:val="superscript"/>
          <w:rtl/>
        </w:rPr>
        <w:t xml:space="preserve">( </w:t>
      </w:r>
      <w:r w:rsidRPr="00EC737F">
        <w:rPr>
          <w:rStyle w:val="ab"/>
          <w:rFonts w:cs="Traditional Arabic"/>
          <w:sz w:val="28"/>
          <w:szCs w:val="32"/>
          <w:rtl/>
        </w:rPr>
        <w:footnoteReference w:id="1520"/>
      </w:r>
      <w:r>
        <w:rPr>
          <w:rFonts w:cs="Traditional Arabic" w:hint="cs"/>
          <w:sz w:val="28"/>
          <w:szCs w:val="32"/>
          <w:vertAlign w:val="superscript"/>
          <w:rtl/>
        </w:rPr>
        <w:t xml:space="preserve"> )</w:t>
      </w:r>
      <w:r>
        <w:rPr>
          <w:rFonts w:cs="Traditional Arabic" w:hint="cs"/>
          <w:sz w:val="28"/>
          <w:szCs w:val="32"/>
          <w:rtl/>
        </w:rPr>
        <w:t xml:space="preserve"> أن المادة 1041 مدني تنص على أن "كل جزء من العقار أو العقارات المرهونة ضامن لكل الدين ، وكل جزء من الدين مضمون بالعقار أو العقارات المرهونة لها ، ما لم ينص القانون أو يقض الاتفاق بغير ذلك" . فالرهن الحيازي ، كما قدمنا</w:t>
      </w:r>
      <w:r>
        <w:rPr>
          <w:rFonts w:cs="Traditional Arabic" w:hint="cs"/>
          <w:sz w:val="28"/>
          <w:szCs w:val="32"/>
          <w:vertAlign w:val="superscript"/>
          <w:rtl/>
        </w:rPr>
        <w:t xml:space="preserve">( </w:t>
      </w:r>
      <w:r w:rsidRPr="00EC737F">
        <w:rPr>
          <w:rStyle w:val="ab"/>
          <w:rFonts w:cs="Traditional Arabic"/>
          <w:sz w:val="28"/>
          <w:szCs w:val="32"/>
          <w:rtl/>
        </w:rPr>
        <w:footnoteReference w:id="1521"/>
      </w:r>
      <w:r>
        <w:rPr>
          <w:rFonts w:cs="Traditional Arabic" w:hint="cs"/>
          <w:sz w:val="28"/>
          <w:szCs w:val="32"/>
          <w:vertAlign w:val="superscript"/>
          <w:rtl/>
        </w:rPr>
        <w:t xml:space="preserve"> )</w:t>
      </w:r>
      <w:r>
        <w:rPr>
          <w:rFonts w:cs="Traditional Arabic" w:hint="cs"/>
          <w:sz w:val="28"/>
          <w:szCs w:val="32"/>
          <w:rtl/>
        </w:rPr>
        <w:t xml:space="preserve"> ، غير قابل للتجزئة ، "ما لم ينص القانون أو يقض الاتفاق بغير ذلك" . فيجوز أن يتفق الراهن والمرتهن حيازة على أن يكون الرهن الحيازي قابلا للتجزئة ، فيخصص جزء من الدين المضمون لجزء من الأشياء المرهونة حيازة ، وبذلك يصبح رهن الحيازة قابلا للتجزئة بناء على هذا الاتفاق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جعل القانون رهن الحيازة غير قابل للتجزئة ، بحيث إذا لم يتفق الراهن مع الدائن المرتهن على تجزئته أو لم يتنازل الدائن المرتهن عن عدم التجزئة أصبح الرهن غير قابل للتجزئة ، لأن هذا هو في مصلحة الدائن المرتهن ، ويفرض القانون أن هذا هو ما أراده المتعاقدان إلا إذا اتفقا على غير ذلك . لذلك يجوز للدائن المرتهن ، بعد انعقاد رهن الحيازة ، أن ينزل عن عدم قابليته للتجزئة . فإذا كان هناك مثلا عقار ومنقول متساوياً القيمة ومرهونان رهن حيازة ضماناً لوفاء دين ، ووفى المدين نصف الدين ، جاز للدائن </w:t>
      </w:r>
      <w:r>
        <w:rPr>
          <w:rFonts w:cs="Traditional Arabic" w:hint="cs"/>
          <w:sz w:val="28"/>
          <w:szCs w:val="32"/>
          <w:rtl/>
        </w:rPr>
        <w:lastRenderedPageBreak/>
        <w:t>المرتهن أن ينزل عن رهن المنقول ويستبقي الرهن على العقار ضماناً لوفاء نصف الدين الباقي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وهذا الارتباط ما بين الشيء المرهون والدين المضمون ، المبني على عدم قابليته رهن الحيازة للتجزئة ، له معنيان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$778 ( المعنى الأول ) أن أي جزء من الشيء المرهون رهن حيازة ضامن لكل الدين . فلو كان المرهون عقاراً ومنقولا ، فإن الدائن المرتهن يستطيع باعتباره دائناً مرتهناً أن ينفذ بكل الدين على المنقول وحده دون العقار ، فإذا استوفى كل حقه من هذا المنقول برئت ذمة المدين وتخلص العقار من الرهن . وإذا باع المدين الراهن العقار ، كان هذا العقار مرهوناً في كل الدين ، وجاز للدائن المرتهن أن يتتبع العقار في يد المشتري وينفذ عليه بكل الدين لا يجزء من الدين يتناسب مع العقار المبيع . وإذا فرض أن العقار المرهون انتقل إلى ورثة مالكه ، فإن الجزء من العقار الذي يملكه كل وارث يبقى مرهوناً في كل الدين ، ولا يجوز شطب الرهن عن هذا الجزء بعد سداد نصيب الوارث من الدين ، بل إن الرهن لا يشطب إلا بعد سداد الدين كله . ويتبين مما تقدم أنه إذا رهن عقار ومنقول في دين واحد ،جاز للدائن المرتهن أن يختار العقار لينفذ عليه بحقه كله . فلا يكون هذا الدائن المرتهن مجبراً على أن يقسم الدين بين العقار والمنقول ، وأن ينفذ على العقار بنصيبه في الدين . ويجوز للدائن المرتهن أن يختار العقار ، كما قدمنا ، للتنفيذ عليه بالحق كله ، حتى لو اضر هذا الاختيار بالدائنين المرتهنين المتأخرين في المرتبة على هذا العقار ، وذلك بشرط ألا يستعمل الدائن المرتهن حق الاختيار هذا بنية الإضرار بالدائنين المرتهنين المتأخرين ، أي دن أن تكون له مصلحة مشروعة في هذا الاختيار ، وإلا كان متعسفا ، في استعمال حقه</w:t>
      </w:r>
      <w:r>
        <w:rPr>
          <w:rFonts w:cs="Traditional Arabic" w:hint="cs"/>
          <w:sz w:val="28"/>
          <w:szCs w:val="32"/>
          <w:vertAlign w:val="superscript"/>
          <w:rtl/>
        </w:rPr>
        <w:t xml:space="preserve">( </w:t>
      </w:r>
      <w:r w:rsidRPr="00EC737F">
        <w:rPr>
          <w:rStyle w:val="ab"/>
          <w:rFonts w:cs="Traditional Arabic"/>
          <w:sz w:val="28"/>
          <w:szCs w:val="32"/>
          <w:rtl/>
        </w:rPr>
        <w:footnoteReference w:id="1522"/>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المعنى الثاني ) أن أي جزء من الدين مضمون بكل الشيء المرهون . فلو وفى المدين ثلثي الدين مثلا وبقي الثلث ، فإن هذا الثلث يبقى مضموناً بكل الشيء المرهون حيازة ، ولا يتخلص ثلثا هذا الشيء من الرهن . فلو $779 باع المدين في هذه الحالة كل الشيء المرهون ، انتقل الشيء إلى المشتري مرهوناً كله في ثلث الدين ، ويجوز للدائن المرتهن أن يتتبع الشيء المرهون في يد المشتري وأن ينفذ عليه بثلث </w:t>
      </w:r>
      <w:r>
        <w:rPr>
          <w:rFonts w:cs="Traditional Arabic" w:hint="cs"/>
          <w:sz w:val="28"/>
          <w:szCs w:val="32"/>
          <w:rtl/>
        </w:rPr>
        <w:lastRenderedPageBreak/>
        <w:t>الدين الباقي . إذا مات الدائن المرتهن وورثه ثلاثة أشخاص بأنصبة متساوية ، فإن كل وارث يكون له ثلث الدين المضمون ولكنه يستطيع ا ينفذ بحقه هذا على كل الشيء المرهون ، وإذا مات المدين الراهن عن ثلاثة من الورثة بأنصبة متساوية ، ففي القانون الفرنسي حيث يورث الدين عن المدين يكون كل وارث مسئولا عن ثلث الدين ، ولكن إذا انتقل إليه الشيء المرهون كله ، جاز للدائن المرتهن أن ينفذ الشيء بكل الدين ، ويكون للوارث الرجوع على الوارثين الآخرين كل منهما بقدر نصيبه في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525- عدم انفصال الرهن عن الدين المضمون :</w:t>
      </w:r>
      <w:r>
        <w:rPr>
          <w:rFonts w:cs="Traditional Arabic" w:hint="cs"/>
          <w:sz w:val="28"/>
          <w:szCs w:val="32"/>
          <w:rtl/>
        </w:rPr>
        <w:t xml:space="preserve"> وقد رأينا</w:t>
      </w:r>
      <w:r>
        <w:rPr>
          <w:rFonts w:cs="Traditional Arabic" w:hint="cs"/>
          <w:sz w:val="28"/>
          <w:szCs w:val="32"/>
          <w:vertAlign w:val="superscript"/>
          <w:rtl/>
        </w:rPr>
        <w:t xml:space="preserve">( </w:t>
      </w:r>
      <w:r w:rsidRPr="00EC737F">
        <w:rPr>
          <w:rStyle w:val="ab"/>
          <w:rFonts w:cs="Traditional Arabic"/>
          <w:sz w:val="28"/>
          <w:szCs w:val="32"/>
          <w:rtl/>
        </w:rPr>
        <w:footnoteReference w:id="1523"/>
      </w:r>
      <w:r>
        <w:rPr>
          <w:rFonts w:cs="Traditional Arabic" w:hint="cs"/>
          <w:sz w:val="28"/>
          <w:szCs w:val="32"/>
          <w:vertAlign w:val="superscript"/>
          <w:rtl/>
        </w:rPr>
        <w:t xml:space="preserve"> )</w:t>
      </w:r>
      <w:r>
        <w:rPr>
          <w:rFonts w:cs="Traditional Arabic" w:hint="cs"/>
          <w:sz w:val="28"/>
          <w:szCs w:val="32"/>
          <w:rtl/>
        </w:rPr>
        <w:t xml:space="preserve"> أن المادة 1042 مدني تنص على أنه "1- لا ينفصل الرهن عن الدين المضمون ، بل يكون تابعاً له في صحته وفي انقضائه ، ما لم ينص القانون على غير ذلك . 2- وإذا كان الراهن غير المدين ، كان له إلى جانب تمسكه بأوجه الدفع الخاصة به ، أن يتمسك بما للمدين التمسك به من أوجه الدفع المتعلقة بالدين ، ويبقى له هذا الحق لو نزل عنه المدين" . فرهن الحيازة تابع للدين المضمون ، فلا ينفصل عنه بل يسير معه وجوداً عدماً . وللكفيل العيني ( الراهن غير المدين ) الحق في أن يتمسك بأوجه الدفع الخاصة بالدين ، وذلك إلى جانب الدفوع الخاصة به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أما أن رهن الحيازة تابع للدين المضمون ، فذلك لأن رهن الحيازة لا يقوم إلا بقيام الدين المضمون . فلا بد أن يكن الدين المضمون التزاماً مدنياً صحيحاً ، حتى يكون رهن الحيازة صحيحاً . أما إذا كان الدين المضمون $780 باطلا أو قابلا للإبطال أو للنقض ، فإن رهن الحيازة يكون كالدين المضمون باطلا أو قابلا للإبطال أو للنقض . ويختفي رهن الحيازة باختفاء الدين المضمون . فإذا انقضى الدين المضمون بأية طريقة من طرق الانقضاء ، فإن رهن الحيازة ينقضي بانقضاء الدين المشمون . فرهن الحيازة تابع ، والدين المضمون متبوع . يبطل رهن الحيازة كلما بطل الدين المضمون ، وينقضي كلما انقضى . وعلى ذلك إذا كان الدين المضمون باطلا لعيب في الشكل أو لانعدام الرضاء أو لعدم توافر شروط المحل أو لعدم مشروعية السبب ، كان رهن الحيازة باطلا مثله . وكل ذي مصلحة أن يتمسك بهذا البطلان ، فيتمسك به المدين الراهن وخلفه العام وخلفه الخاص ، وكل دائن مرتهن متأخر في المرتبة ، وكل حائز للشيء المرهون </w:t>
      </w:r>
      <w:r>
        <w:rPr>
          <w:rFonts w:cs="Traditional Arabic" w:hint="cs"/>
          <w:sz w:val="28"/>
          <w:szCs w:val="32"/>
          <w:rtl/>
        </w:rPr>
        <w:lastRenderedPageBreak/>
        <w:t>. وللمدين الراهن أن يتمسك بإبطال عقد الرهن ، إذا كان الدين المضمون قابلا للإبطال لعيب في الرضاء أو لنقص في الأهلية . وكذلك يجوز للمدين الراهن أن يتمسك بانقضاء الدين المضمون ، إذ أن الرهن قد انقضى كانقضاء الدين . فإذا انقضى الدين المضمون بالوفاء أو بالوفاء بمقابل أو بالتجديد أو بالمقاصة أو باتحاد الذمة أو بالإبراء أو باستحالة التنفيذ أو بالتقادم ، جاز للراهن أن يتمسك بانقضاء الرهن تبعاً لانقضاء الدين المضمون . وفي هذا تقول الفقرة الأولى من المادة 1042 ، كما رأينا ، "لا ينفصل الرهن عن الدين المضمون ، بل يكون تابعاً له في صحته وفي انقضائه ، ما لم ينص القانون على غير ذلك" . ومما نص القانون فيه على غير ذلك ، فيبقى الرهن مع انقضاء الدين المضمون ، دعوى الحلول . فيجوز لشخص أن يفي بالدين فنقضي ، ويحل محل الدائن المرتهن حلولا قانونياً أو حلولا اختيارياً فيرجع على الراهن التي حل فيها محل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وأما أن للكفيل العيني في أن يتمسك بأوجه الدفع المتعلقة بالدين إلى جانب الدفوع الخاصة به ، فذلك واضح . ذلك أنه ما دام المدين الراهن . $781 يستطيع أن يتمسك بأوجه الدفع المتعلقة بالدين ، كأن يكون الدين باطلا أو قابلا للإبطال أو منقضياً ، كذلك يجوز للراهن ولو لم يكن مديناً أن يتمسك بأوجه الدفع هذه ، فإن الرهن الحيازي الواقع على ملكه تابع للدين ، فيكون باطلا أو قابلا للإبطال أو منقضياً بحسب الدين نفسه . وللكفيل العيني أن يتمسك بأوجه الدفع هنا ، حتى لو نزل عنها المدين . فإذا كان الدين قابلا للإبطال للإكراه مثلا ، ونزل المدين عن التمسك بإبطال الدين ، فإن هذا النزول لا يمنع الكفيل العيني من التمسك بإبطال الدين حتى يستطيع أن يبطل الرهن المعقود على ملكه . فيكون إذن للكفيل العيني أن يتمسك بأوجه الدفع الخاصة بالدين نفسه لأن يكفله ، وله أيضاً أن يتمسك بأوجه الدفع الخاصة به . وهذا طبيعي ، لأن الكفيل العيني له أن يتمسك بالدفوع التي يتمسك بها الكفيل الشخصي ، فهو لم يخرج ع كونه كفيلا يضمن دين الغير ، فيستطيع أن يتمسك بالدفوع الخاصة بهذا الدين ، وبالدفوع الخاصة به هو . فيجوز للكفيل العين أن يتمسك بأن الدين المضمون باطل ، أو قابل للإبطال ، أو منقض أما الدفوع المتعلقة بالكفيل العيني نفسه ، فهي ترجع إلى العقد المبرم ما بين الكفيل العيني الدائن المرتهن . فيجوز أن يكون هذا العقد باطلا أو قابلا للإبطال ، دون أن يكون الدين المضمون باطلا  أو قابلا للإبطال ، ففي هذه الحالة يجوز للكفيل العيني أن يدفع بأن عقده مع الدائن المرتهن باطل </w:t>
      </w:r>
      <w:r>
        <w:rPr>
          <w:rFonts w:cs="Traditional Arabic" w:hint="cs"/>
          <w:sz w:val="28"/>
          <w:szCs w:val="32"/>
          <w:rtl/>
        </w:rPr>
        <w:lastRenderedPageBreak/>
        <w:t>أو قابل للإبطال ، فيتخلص من الرهن الذي عقده مع بقاء المدين الأصلي ملزماً بالدين . وقد ترجع الدفوع الخاصة بالكفيل العيني إلى ما يرد على عقده من أوصاف ، كعدم تحقق الشروط الواقف أو تحقق الشرط الفاسخ . فيتمسك الكفيل العين بأن الرهن الذي عقده لم ينشأ لأنه كان معلقاً على شرط واقف لم يتحقق ، أو على شرط فاسخ تحقق . كذلك قد ترجع الدفوع الخاصة بالكفيل العيني إلى أن الرهن قد انحل دون أن ينقضي الدين المضمون ، ويتحقق ذلك مثلا $782 إذا نزل الدائن المرتهن عن الرهن فينقضي دون أن ينقضي الدين المضمون ، فيجوز للكفيل العيني في هذه الحالة أن يتمسك بانقضاء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526- الرهن التجاري</w:t>
      </w:r>
      <w:r>
        <w:rPr>
          <w:rFonts w:cs="Traditional Arabic" w:hint="cs"/>
          <w:sz w:val="28"/>
          <w:szCs w:val="32"/>
          <w:rtl/>
        </w:rPr>
        <w:t xml:space="preserve"> : ولا يراعى القضاء في الرهن التجاري ما يراعيه في الرهن المدني . فيجوز ا قعد الرهن التجاري ضماناً لدين غير معين</w:t>
      </w:r>
      <w:r>
        <w:rPr>
          <w:rFonts w:cs="Traditional Arabic" w:hint="cs"/>
          <w:sz w:val="28"/>
          <w:szCs w:val="32"/>
          <w:vertAlign w:val="superscript"/>
          <w:rtl/>
        </w:rPr>
        <w:t xml:space="preserve">( </w:t>
      </w:r>
      <w:r w:rsidRPr="00EC737F">
        <w:rPr>
          <w:rStyle w:val="ab"/>
          <w:rFonts w:cs="Traditional Arabic"/>
          <w:sz w:val="28"/>
          <w:szCs w:val="32"/>
          <w:rtl/>
        </w:rPr>
        <w:footnoteReference w:id="1524"/>
      </w:r>
      <w:r>
        <w:rPr>
          <w:rFonts w:cs="Traditional Arabic" w:hint="cs"/>
          <w:sz w:val="28"/>
          <w:szCs w:val="32"/>
          <w:vertAlign w:val="superscript"/>
          <w:rtl/>
        </w:rPr>
        <w:t xml:space="preserve"> )</w:t>
      </w:r>
      <w:r>
        <w:rPr>
          <w:rFonts w:cs="Traditional Arabic" w:hint="cs"/>
          <w:sz w:val="28"/>
          <w:szCs w:val="32"/>
          <w:rtl/>
        </w:rPr>
        <w:t xml:space="preserve"> ، وقضت محكمة الاستئناف  المختلطة بأن النص في عقد الرهن التجاري الذي يرهن بموجبه العميل إلى المصرف أوراقاً تجارية معينة ومهره من تأميناً لكل ما عسى أن ينشأ في ذمته من دين لذلك المصرف يقع صحيحاً ، ولو تضمنه نموذج مطبوع اقتصر على توقيعه</w:t>
      </w:r>
      <w:r>
        <w:rPr>
          <w:rFonts w:cs="Traditional Arabic" w:hint="cs"/>
          <w:sz w:val="28"/>
          <w:szCs w:val="32"/>
          <w:vertAlign w:val="superscript"/>
          <w:rtl/>
        </w:rPr>
        <w:t xml:space="preserve">( </w:t>
      </w:r>
      <w:r w:rsidRPr="00EC737F">
        <w:rPr>
          <w:rStyle w:val="ab"/>
          <w:rFonts w:cs="Traditional Arabic"/>
          <w:sz w:val="28"/>
          <w:szCs w:val="32"/>
          <w:rtl/>
        </w:rPr>
        <w:footnoteReference w:id="1525"/>
      </w:r>
      <w:r>
        <w:rPr>
          <w:rFonts w:cs="Traditional Arabic" w:hint="cs"/>
          <w:sz w:val="28"/>
          <w:szCs w:val="32"/>
          <w:vertAlign w:val="superscript"/>
          <w:rtl/>
        </w:rPr>
        <w:t xml:space="preserve"> )</w:t>
      </w:r>
      <w:r>
        <w:rPr>
          <w:rFonts w:cs="Traditional Arabic" w:hint="cs"/>
          <w:sz w:val="28"/>
          <w:szCs w:val="32"/>
          <w:rtl/>
        </w:rPr>
        <w:t xml:space="preserve"> . وقضت أيضاً بأنه لا يمنع من صحة الرهن أن يكون المرهون سلعاً سيصير تسليمها ، وأن يكون الدين المضمون هو المصروفات التي تتكلفها هذا السلع إذ أن هذه المصروفات لا يمكن تعيينها إلا بعد وصول كل السلع</w:t>
      </w:r>
      <w:r>
        <w:rPr>
          <w:rFonts w:cs="Traditional Arabic" w:hint="cs"/>
          <w:sz w:val="28"/>
          <w:szCs w:val="32"/>
          <w:vertAlign w:val="superscript"/>
          <w:rtl/>
        </w:rPr>
        <w:t xml:space="preserve">( </w:t>
      </w:r>
      <w:r w:rsidRPr="00EC737F">
        <w:rPr>
          <w:rStyle w:val="ab"/>
          <w:rFonts w:cs="Traditional Arabic"/>
          <w:sz w:val="28"/>
          <w:szCs w:val="32"/>
          <w:rtl/>
        </w:rPr>
        <w:footnoteReference w:id="1526"/>
      </w:r>
      <w:r>
        <w:rPr>
          <w:rFonts w:cs="Traditional Arabic" w:hint="cs"/>
          <w:sz w:val="28"/>
          <w:szCs w:val="32"/>
          <w:vertAlign w:val="superscript"/>
          <w:rtl/>
        </w:rPr>
        <w:t xml:space="preserve"> )</w:t>
      </w:r>
      <w:r>
        <w:rPr>
          <w:rFonts w:cs="Traditional Arabic" w:hint="cs"/>
          <w:sz w:val="28"/>
          <w:szCs w:val="32"/>
          <w:rtl/>
        </w:rPr>
        <w:t xml:space="preserve"> .</w:t>
      </w:r>
    </w:p>
    <w:p w:rsidR="00F72742" w:rsidRPr="0076175E" w:rsidRDefault="00F72742" w:rsidP="00F72742">
      <w:pPr>
        <w:widowControl w:val="0"/>
        <w:spacing w:after="120"/>
        <w:jc w:val="center"/>
        <w:rPr>
          <w:rFonts w:cs="Traditional Arabic" w:hint="cs"/>
          <w:b/>
          <w:bCs/>
          <w:sz w:val="52"/>
          <w:szCs w:val="52"/>
          <w:rtl/>
        </w:rPr>
      </w:pPr>
      <w:r w:rsidRPr="0076175E">
        <w:rPr>
          <w:rFonts w:cs="Traditional Arabic" w:hint="cs"/>
          <w:b/>
          <w:bCs/>
          <w:sz w:val="52"/>
          <w:szCs w:val="52"/>
          <w:rtl/>
        </w:rPr>
        <w:t>الفصل الثاني</w:t>
      </w:r>
    </w:p>
    <w:p w:rsidR="00F72742" w:rsidRPr="0076175E" w:rsidRDefault="00F72742" w:rsidP="00F72742">
      <w:pPr>
        <w:widowControl w:val="0"/>
        <w:spacing w:after="120"/>
        <w:jc w:val="center"/>
        <w:rPr>
          <w:rFonts w:cs="Traditional Arabic" w:hint="cs"/>
          <w:b/>
          <w:bCs/>
          <w:sz w:val="28"/>
          <w:szCs w:val="32"/>
          <w:rtl/>
        </w:rPr>
      </w:pPr>
      <w:r w:rsidRPr="0076175E">
        <w:rPr>
          <w:rFonts w:cs="Traditional Arabic" w:hint="cs"/>
          <w:b/>
          <w:bCs/>
          <w:sz w:val="28"/>
          <w:szCs w:val="32"/>
          <w:rtl/>
        </w:rPr>
        <w:t>آثار الرهن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527- فيما ين المتعاقدين وبالنسب إلى الغير :</w:t>
      </w:r>
      <w:r>
        <w:rPr>
          <w:rFonts w:cs="Traditional Arabic" w:hint="cs"/>
          <w:sz w:val="28"/>
          <w:szCs w:val="32"/>
          <w:rtl/>
        </w:rPr>
        <w:t xml:space="preserve"> الرهن الحيازي ، إذا انعقد صحيحاً ، ينتج آثاراً معينة فيما بين المتعاقدين إذ يوجد التزامات في جانب كل منهما ، وكذلك ينتج آثاراً معينة بالنسبة إلى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$783 ونعالج كل من الموضوعين في فرع .</w:t>
      </w:r>
    </w:p>
    <w:p w:rsidR="00F72742" w:rsidRPr="0076175E" w:rsidRDefault="00F72742" w:rsidP="00F72742">
      <w:pPr>
        <w:widowControl w:val="0"/>
        <w:spacing w:after="120"/>
        <w:jc w:val="center"/>
        <w:rPr>
          <w:rFonts w:cs="Traditional Arabic" w:hint="cs"/>
          <w:b/>
          <w:bCs/>
          <w:sz w:val="44"/>
          <w:szCs w:val="44"/>
          <w:rtl/>
        </w:rPr>
      </w:pPr>
      <w:r w:rsidRPr="0076175E">
        <w:rPr>
          <w:rFonts w:cs="Traditional Arabic" w:hint="cs"/>
          <w:b/>
          <w:bCs/>
          <w:sz w:val="44"/>
          <w:szCs w:val="44"/>
          <w:rtl/>
        </w:rPr>
        <w:t>الفرع الأول</w:t>
      </w:r>
    </w:p>
    <w:p w:rsidR="00F72742" w:rsidRDefault="00F72742" w:rsidP="00F72742">
      <w:pPr>
        <w:widowControl w:val="0"/>
        <w:spacing w:after="120"/>
        <w:jc w:val="center"/>
        <w:rPr>
          <w:rFonts w:cs="Traditional Arabic" w:hint="cs"/>
          <w:sz w:val="28"/>
          <w:szCs w:val="32"/>
          <w:rtl/>
        </w:rPr>
      </w:pPr>
      <w:r w:rsidRPr="0076175E">
        <w:rPr>
          <w:rFonts w:cs="Traditional Arabic" w:hint="cs"/>
          <w:b/>
          <w:bCs/>
          <w:sz w:val="28"/>
          <w:szCs w:val="32"/>
          <w:rtl/>
        </w:rPr>
        <w:t>آثار الرهن الحيازي يما بين المتعاقدين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528- الرهن الحيازي عقد ملزم للجانبين : </w:t>
      </w:r>
      <w:r>
        <w:rPr>
          <w:rFonts w:cs="Traditional Arabic" w:hint="cs"/>
          <w:sz w:val="28"/>
          <w:szCs w:val="32"/>
          <w:rtl/>
        </w:rPr>
        <w:t>رأينا أن الرهن الحيازي انقلب ، من عقد عيني يغلب أن يغلب أن يكون ملزماً لجانب واحد في التقنين المدني الأسبق ، إلى عقد رضائي لا شك في أنه ملزم للجانبين في التقنين المدني الجديد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وما دام عقد الرهن الحيازي عقداً ملزما؟ً للجانبين في الوقت الحاضر ، فنعقد لالتزامات كل من الجانبين ، الراهن والدائن المرتهن ، نحو الآخر مبحثاً مستقلاً .</w:t>
      </w:r>
    </w:p>
    <w:p w:rsidR="00F72742" w:rsidRPr="00E2031F" w:rsidRDefault="00F72742" w:rsidP="00F72742">
      <w:pPr>
        <w:widowControl w:val="0"/>
        <w:spacing w:after="120"/>
        <w:jc w:val="center"/>
        <w:rPr>
          <w:rFonts w:cs="Traditional Arabic" w:hint="cs"/>
          <w:b/>
          <w:bCs/>
          <w:sz w:val="40"/>
          <w:szCs w:val="40"/>
          <w:rtl/>
        </w:rPr>
      </w:pPr>
      <w:r w:rsidRPr="00E2031F">
        <w:rPr>
          <w:rFonts w:cs="Traditional Arabic" w:hint="cs"/>
          <w:b/>
          <w:bCs/>
          <w:sz w:val="40"/>
          <w:szCs w:val="40"/>
          <w:rtl/>
        </w:rPr>
        <w:t>المبحث الأول</w:t>
      </w:r>
    </w:p>
    <w:p w:rsidR="00F72742" w:rsidRPr="00E2031F" w:rsidRDefault="00F72742" w:rsidP="00F72742">
      <w:pPr>
        <w:widowControl w:val="0"/>
        <w:spacing w:after="120"/>
        <w:jc w:val="center"/>
        <w:rPr>
          <w:rFonts w:cs="Traditional Arabic" w:hint="cs"/>
          <w:b/>
          <w:bCs/>
          <w:sz w:val="28"/>
          <w:szCs w:val="32"/>
          <w:rtl/>
        </w:rPr>
      </w:pPr>
      <w:r w:rsidRPr="00E2031F">
        <w:rPr>
          <w:rFonts w:cs="Traditional Arabic" w:hint="cs"/>
          <w:b/>
          <w:bCs/>
          <w:sz w:val="28"/>
          <w:szCs w:val="32"/>
          <w:rtl/>
        </w:rPr>
        <w:t>التزامات الراهن حيازة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529- التزامات أربعة : </w:t>
      </w:r>
      <w:r>
        <w:rPr>
          <w:rFonts w:cs="Traditional Arabic" w:hint="cs"/>
          <w:sz w:val="28"/>
          <w:szCs w:val="32"/>
          <w:rtl/>
        </w:rPr>
        <w:t>يلتزم الراهن حيازة نح الدائن المرتهن بالتزامات أربعة هي : ( 1 ) إيجاد حق عيني على العيني على العين المرهونة لمصلحة الدائن المرتهن ، هو حق رهن الحيازة . ( 2 ) تسليم الشيء المرهون ونقل حيازته إلى الدائن المرتهن . ( 3 ) ضمان الراهن لسلامة الرهن ونفاذه . ( 4 ) ضمان الراهن هلاك الشيء المرهون أو تلفه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ونعقد لكل من الالتزامات الأربعة مطلباً .</w:t>
      </w:r>
    </w:p>
    <w:p w:rsidR="00F72742" w:rsidRPr="00A12FF1" w:rsidRDefault="00F72742" w:rsidP="00F72742">
      <w:pPr>
        <w:widowControl w:val="0"/>
        <w:spacing w:after="120"/>
        <w:ind w:firstLine="567"/>
        <w:jc w:val="center"/>
        <w:rPr>
          <w:rFonts w:cs="Traditional Arabic" w:hint="cs"/>
          <w:b/>
          <w:bCs/>
          <w:sz w:val="28"/>
          <w:szCs w:val="32"/>
          <w:rtl/>
        </w:rPr>
      </w:pPr>
      <w:r>
        <w:rPr>
          <w:rFonts w:cs="Traditional Arabic" w:hint="cs"/>
          <w:sz w:val="28"/>
          <w:szCs w:val="32"/>
          <w:rtl/>
        </w:rPr>
        <w:t xml:space="preserve">$784 </w:t>
      </w:r>
      <w:r w:rsidRPr="00A12FF1">
        <w:rPr>
          <w:rFonts w:cs="Traditional Arabic" w:hint="cs"/>
          <w:b/>
          <w:bCs/>
          <w:sz w:val="28"/>
          <w:szCs w:val="32"/>
          <w:rtl/>
        </w:rPr>
        <w:t>المطلب الأول</w:t>
      </w:r>
    </w:p>
    <w:p w:rsidR="00F72742" w:rsidRPr="00A12FF1" w:rsidRDefault="00F72742" w:rsidP="00F72742">
      <w:pPr>
        <w:widowControl w:val="0"/>
        <w:spacing w:after="120"/>
        <w:ind w:firstLine="567"/>
        <w:jc w:val="center"/>
        <w:rPr>
          <w:rFonts w:cs="Traditional Arabic" w:hint="cs"/>
          <w:b/>
          <w:bCs/>
          <w:sz w:val="28"/>
          <w:szCs w:val="32"/>
          <w:rtl/>
        </w:rPr>
      </w:pPr>
      <w:r w:rsidRPr="00A12FF1">
        <w:rPr>
          <w:rFonts w:cs="Traditional Arabic" w:hint="cs"/>
          <w:b/>
          <w:bCs/>
          <w:sz w:val="28"/>
          <w:szCs w:val="32"/>
          <w:rtl/>
        </w:rPr>
        <w:t>إيجاد حق رهن الحيازة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530- نص قانوني :</w:t>
      </w:r>
      <w:r>
        <w:rPr>
          <w:rFonts w:cs="Traditional Arabic" w:hint="cs"/>
          <w:sz w:val="28"/>
          <w:szCs w:val="32"/>
          <w:rtl/>
        </w:rPr>
        <w:t xml:space="preserve"> سبق أن أوردنا نص المادة 1096 مدني ، ونثبت الآن ما ورد في هذه المادة خاصاً بإيجاد حق رهن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تقول المادة 1096 مدني فيما قالته : "الرهن الحيازي عقد به يلتزم شخص  . . . أن يسلم إلى الدائن  . . . . شيئاً يرتب عليه للدائن حقاً عينياً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فهذا الحق العيني هو رهن الحيازة ، يخول الدائن حبس الشيء لحين استيفاء الدين ، وأن يتقدم الدائنين العاديين والدائنين التالين له في المرتبة في انقضاء حقه من ثمن هذا الشيء في أي يد يكون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531- رهن ملك الغير ورهن المال المستقبل : </w:t>
      </w:r>
      <w:r>
        <w:rPr>
          <w:rFonts w:cs="Traditional Arabic" w:hint="cs"/>
          <w:sz w:val="28"/>
          <w:szCs w:val="32"/>
          <w:rtl/>
        </w:rPr>
        <w:t>ومن أجل ذلك كان رهن ملك الغير قابلا للإبطال ، وكان رهن الشيء المستقبل باطلا ، فيما قدمنا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 يكن الراهن بمستطيع أن يوجد رهن الحيازة على ملك الغير إذا كان الغير لا يقر هذا الرهن ، ومن ثم كان رهن ملك الغير رهن حيازة قابلا للإبطال ، ولا ينقلب صحيحاً إلا إذا أقر الرهن فيكون الغير هو الراهن ، أو إذا انتقلت ملكية الشيء المرهون إلى الراهن ومن نوقت انتقال الملكية ، فيكون الراهن مالكاً للشيء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وكذلك لا يستطيع الراهن أن يوجد رهن الحيازة على شيء مستقبل لم يعين ، ومن ثم كان رهن المال المستقبل رهن حيازة باطلا لعدم تعيين المال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532- إيجار رهن الحيازة إذا كان الراهن مالكا للشيء المرهون : </w:t>
      </w:r>
      <w:r>
        <w:rPr>
          <w:rFonts w:cs="Traditional Arabic" w:hint="cs"/>
          <w:sz w:val="28"/>
          <w:szCs w:val="32"/>
          <w:rtl/>
        </w:rPr>
        <w:t>فإذا كان الراهن مالكاً للشيء المرهون وتوافر في هذا الشيء شروط رهن $785 الحيازة ، فإنه بمجرد انعقاد رهن الحيازة صحيحاً وجد حتى رهن الحيازة على الشيء المرهون من تلقاء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وفي هذا تقول المادة 204 مدني : "الالتزام بنقل الملكية أو أي حق عيني آخر ينقل من تلقاء نفسه هذا الحقن إذا كان محل الالتزام شيئاً معيناً بالذات يملكه الملتزم" . وهذا النص يشمل الالتزام بإيجاد حق عيني ، فيوجد هذا الحق إذا كان محل الالتزام شيئاً معيناً بالذات يملكه الملتزم . فإذا كان الراهن يملك الشيء المرهون حيازة كان هذا الشيء معيناً بالذات يملكه الملتزم ، فيوجد حق رهن الحيازة من تلقاء نفسه بمجرد </w:t>
      </w:r>
      <w:r>
        <w:rPr>
          <w:rFonts w:cs="Traditional Arabic" w:hint="cs"/>
          <w:sz w:val="28"/>
          <w:szCs w:val="32"/>
          <w:rtl/>
        </w:rPr>
        <w:lastRenderedPageBreak/>
        <w:t>انعقاد رهن الحيازة صحيحاً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الراهن لا يملك الشيء المرهون حيازة ، بقي ملتزماً بإيجاد حق الرهن الحيازي ، وجاز للدائن المرتهن أن يطالبه بتعويض وأن يطلب سقوط أجل الدين</w:t>
      </w:r>
      <w:r>
        <w:rPr>
          <w:rFonts w:cs="Traditional Arabic" w:hint="cs"/>
          <w:sz w:val="28"/>
          <w:szCs w:val="32"/>
          <w:vertAlign w:val="superscript"/>
          <w:rtl/>
        </w:rPr>
        <w:t xml:space="preserve">( </w:t>
      </w:r>
      <w:r w:rsidRPr="00EC737F">
        <w:rPr>
          <w:rStyle w:val="ab"/>
          <w:rFonts w:cs="Traditional Arabic"/>
          <w:sz w:val="28"/>
          <w:szCs w:val="32"/>
          <w:rtl/>
        </w:rPr>
        <w:footnoteReference w:id="1527"/>
      </w:r>
      <w:r>
        <w:rPr>
          <w:rFonts w:cs="Traditional Arabic" w:hint="cs"/>
          <w:sz w:val="28"/>
          <w:szCs w:val="32"/>
          <w:vertAlign w:val="superscript"/>
          <w:rtl/>
        </w:rPr>
        <w:t xml:space="preserve"> )</w:t>
      </w:r>
      <w:r>
        <w:rPr>
          <w:rFonts w:cs="Traditional Arabic" w:hint="cs"/>
          <w:sz w:val="28"/>
          <w:szCs w:val="32"/>
          <w:rtl/>
        </w:rPr>
        <w:t xml:space="preserve"> .</w:t>
      </w:r>
    </w:p>
    <w:p w:rsidR="00F72742" w:rsidRPr="00877EF8" w:rsidRDefault="00F72742" w:rsidP="00F72742">
      <w:pPr>
        <w:widowControl w:val="0"/>
        <w:spacing w:after="120"/>
        <w:jc w:val="center"/>
        <w:rPr>
          <w:rFonts w:cs="Traditional Arabic" w:hint="cs"/>
          <w:b/>
          <w:bCs/>
          <w:sz w:val="28"/>
          <w:szCs w:val="32"/>
          <w:rtl/>
        </w:rPr>
      </w:pPr>
      <w:r w:rsidRPr="00877EF8">
        <w:rPr>
          <w:rFonts w:cs="Traditional Arabic" w:hint="cs"/>
          <w:b/>
          <w:bCs/>
          <w:sz w:val="28"/>
          <w:szCs w:val="32"/>
          <w:rtl/>
        </w:rPr>
        <w:t>المطلب الثاني</w:t>
      </w:r>
    </w:p>
    <w:p w:rsidR="00F72742" w:rsidRDefault="00F72742" w:rsidP="00F72742">
      <w:pPr>
        <w:widowControl w:val="0"/>
        <w:spacing w:after="120"/>
        <w:jc w:val="center"/>
        <w:rPr>
          <w:rFonts w:cs="Traditional Arabic" w:hint="cs"/>
          <w:sz w:val="28"/>
          <w:szCs w:val="32"/>
          <w:rtl/>
        </w:rPr>
      </w:pPr>
      <w:r w:rsidRPr="00877EF8">
        <w:rPr>
          <w:rFonts w:cs="Traditional Arabic" w:hint="cs"/>
          <w:b/>
          <w:bCs/>
          <w:sz w:val="28"/>
          <w:szCs w:val="32"/>
          <w:rtl/>
        </w:rPr>
        <w:t>تسليم الشيء المرهون ونقل حيازته إلى الدائن المرتهن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533- نص قانوني :</w:t>
      </w:r>
      <w:r>
        <w:rPr>
          <w:rFonts w:cs="Traditional Arabic" w:hint="cs"/>
          <w:sz w:val="28"/>
          <w:szCs w:val="32"/>
          <w:rtl/>
        </w:rPr>
        <w:t xml:space="preserve"> تنص المادة 1099 مدني على ما يأتي :</w:t>
      </w:r>
    </w:p>
    <w:p w:rsidR="00F72742" w:rsidRPr="00877EF8"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على الراهن تسليم الشيء المرهون إلى الدائن أو إلى الشخص الذي عينه المتعاقدان لتسلمه"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ويسري على الالتزام بتسليم الشيء المرهون أحكام الالتزام بتسليم الشيء المبيع"</w:t>
      </w:r>
      <w:r>
        <w:rPr>
          <w:rFonts w:cs="Traditional Arabic" w:hint="cs"/>
          <w:sz w:val="28"/>
          <w:szCs w:val="32"/>
          <w:vertAlign w:val="superscript"/>
          <w:rtl/>
        </w:rPr>
        <w:t xml:space="preserve">( </w:t>
      </w:r>
      <w:r w:rsidRPr="00EC737F">
        <w:rPr>
          <w:rStyle w:val="ab"/>
          <w:rFonts w:cs="Traditional Arabic"/>
          <w:sz w:val="28"/>
          <w:szCs w:val="32"/>
          <w:rtl/>
        </w:rPr>
        <w:footnoteReference w:id="15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$786 وقد 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أول التزام في ذمة الراهن هو أن يسلم العين المرهونة إلى الدائن المرتهن ، أو إلى عدل يعينه المتعاقدان ، وقد أصبح التسليم التزاماً لا ركناً في العقد كما تقدم . وقبل التسليم يتم الرهن ، ويترتب الحق العيني ، ويبقى هذا الحق نافذاً يما ين المتعاقدين ، ويستطيع الدائن عند حلول الدين أن ينفذ على العين المرهونة بحقه باعتباره دائناً مرتهناً لا باعتباره دائناً عادياً . ولكن لا يكون له أن يتقدم أو يتتبع ، لأن الرهن لا ينفذ في حق الغير قبل التسليم"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وتتبع في تسليم العين المرهونة الأحكام التي تنطبق على تسليم العين المبيعة ، من حيث كيفية التسليم ومكانه وزمانه وما إلى ذلك . وحيازة الدائن المرتهن للعين هي حيازة لحق عيني ، هو حق الرهن"</w:t>
      </w:r>
      <w:r>
        <w:rPr>
          <w:rFonts w:cs="Traditional Arabic" w:hint="cs"/>
          <w:sz w:val="28"/>
          <w:szCs w:val="32"/>
          <w:vertAlign w:val="superscript"/>
          <w:rtl/>
        </w:rPr>
        <w:t xml:space="preserve">( </w:t>
      </w:r>
      <w:r w:rsidRPr="00EC737F">
        <w:rPr>
          <w:rStyle w:val="ab"/>
          <w:rFonts w:cs="Traditional Arabic"/>
          <w:sz w:val="28"/>
          <w:szCs w:val="32"/>
          <w:rtl/>
        </w:rPr>
        <w:footnoteReference w:id="152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شك في أن تسليم العين ونقل حيازتها إلى الدائن المرتهن رهن حيازة ، هو من أهم موضوعات رهن الحيازة ، هو الذي يميز رهن الحيازة عن الرهن الرسمي وعن غيره من العقود . لذلك يكون طبيعياً أن يستوقفنا هذا المطلب طويلا ، فهو يقتضي كثيراً من العناية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$787 وبسط قبل كل شيء المسائل التي يتناولها في هذا المطلب ، مع ترتيبها ترتيباً منطقياً ملائماً . فنتكلم أولا في نقل الحيازة في التقنين المدني السابق وفي التقنين المدني الجديد ، ثم في الغرض من انتقال الحيازة ، ولمن تنتقل ، وفي عودة الشيء المرهون إلى راهنه عن طريق الإيجار أو بسبب لا يقصد به إنهاء الرهن ، وفي تخلي المرتهن عن الحيازة لغير الرهن . ثم نتكلم في انتقال الحيازة كانتقال الشيء المبيع ، فنتكلم في الزمان وفي المكان وفي كيفية التسليم وفيما يترتب على عدم التسليم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534- نقل الحيازة في التقنين المدني السابق : </w:t>
      </w:r>
      <w:r>
        <w:rPr>
          <w:rFonts w:cs="Traditional Arabic" w:hint="cs"/>
          <w:sz w:val="28"/>
          <w:szCs w:val="32"/>
          <w:rtl/>
        </w:rPr>
        <w:t>قدمنا أن رهن الحيازة كان في التقنين المدني السابق عقداً عينياً ، فكان لا ينعقد إلا إذا سلم الراهن الشيء المرهون إلى الدائن المرتهن ( أو عدل ) ونقل إليه حيازته على سبيل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فإذا لم يسلم الشيء المرهون ، فلا ينعقد الرهن ، ولا يكون هناك إلا مجرد وعد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صدرت أحكام كثيرة ، في ظل التقنين المدني السابق ، في هذا المعنى</w:t>
      </w:r>
      <w:r>
        <w:rPr>
          <w:rFonts w:cs="Traditional Arabic" w:hint="cs"/>
          <w:sz w:val="28"/>
          <w:szCs w:val="32"/>
          <w:vertAlign w:val="superscript"/>
          <w:rtl/>
        </w:rPr>
        <w:t xml:space="preserve">( </w:t>
      </w:r>
      <w:r w:rsidRPr="00EC737F">
        <w:rPr>
          <w:rStyle w:val="ab"/>
          <w:rFonts w:cs="Traditional Arabic"/>
          <w:sz w:val="28"/>
          <w:szCs w:val="32"/>
          <w:rtl/>
        </w:rPr>
        <w:footnoteReference w:id="15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$788 ولما كان عدم تسليم الشيء إلى الدائن المرتهن من نتائجه أن يكون هناك مجرد وعد بالرهن ، فإن هذا الوعد بالرهن كان يرتب على الواعد التزاماً هو تسليم العين إلى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53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535- نقل الحيازة في التقنين المدني الجديد :</w:t>
      </w:r>
      <w:r>
        <w:rPr>
          <w:rFonts w:cs="Traditional Arabic" w:hint="cs"/>
          <w:sz w:val="28"/>
          <w:szCs w:val="32"/>
          <w:rtl/>
        </w:rPr>
        <w:t xml:space="preserve"> أما في التقنين المدني الجديد ، فقد أصبح رهن </w:t>
      </w:r>
      <w:r>
        <w:rPr>
          <w:rFonts w:cs="Traditional Arabic" w:hint="cs"/>
          <w:sz w:val="28"/>
          <w:szCs w:val="32"/>
          <w:rtl/>
        </w:rPr>
        <w:lastRenderedPageBreak/>
        <w:t>الحيازة عقداً رضائياً لا عقداً عينياً . فينعقد بمجرد تبادل إيجاب وقبول متطابقين ، ولا يشترط في انعقاده نقل الحيازة من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نقل الحيازة أصبح في التقنين المدني الجديد التزاماً على الراهن ، لا ركناً في العقد ، له غرض ، وكيفية ، وزمان ، ومكان ، وما إلى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536- الغرض من انتقال الحيازة :</w:t>
      </w:r>
      <w:r w:rsidRPr="00D32B63">
        <w:rPr>
          <w:rFonts w:cs="Traditional Arabic" w:hint="cs"/>
          <w:sz w:val="28"/>
          <w:szCs w:val="32"/>
          <w:rtl/>
        </w:rPr>
        <w:t xml:space="preserve"> ولا</w:t>
      </w:r>
      <w:r>
        <w:rPr>
          <w:rFonts w:cs="Traditional Arabic" w:hint="cs"/>
          <w:sz w:val="28"/>
          <w:szCs w:val="32"/>
          <w:rtl/>
        </w:rPr>
        <w:t>نتقال الحيازة كالتزام ، في التقنين المدني الجديد ، سببان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السبب الأول ) متى انتقلت الحيازة إلى الدائن المرتهن ، تمكن هذا من حبس العين المرهونة إلى حين استيفاء حقه . وتمكن أيضاً من مباشرة $789</w:t>
      </w:r>
      <w:r>
        <w:rPr>
          <w:rFonts w:cs="Traditional Arabic" w:hint="cs"/>
          <w:b/>
          <w:bCs/>
          <w:sz w:val="28"/>
          <w:szCs w:val="32"/>
          <w:rtl/>
        </w:rPr>
        <w:t xml:space="preserve"> </w:t>
      </w:r>
      <w:r>
        <w:rPr>
          <w:rFonts w:cs="Traditional Arabic" w:hint="cs"/>
          <w:sz w:val="28"/>
          <w:szCs w:val="32"/>
          <w:rtl/>
        </w:rPr>
        <w:t>دوره كدائن مترهن ، فيستطيع أن يحافظ على العين المرهونة ، وأن يديرها ، وأن يستقلها ، وأن يحاسب الراهن على كل ذلك إلى أن ينتهي الرهن ، فيردها إلى مالكها . وسيأتي بيان ذلك تفصيلا فيما يلي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السبب الثاني ) وهو سبب يرجع إلى شهر الرهن بالنسبة إلى الغير ، فيعلم الغير ، ما دامت الحيازة قد انتقلت من الراهن ، أن الشيء المرهون لم يعد من أملاك الراهن الحرة الخالية من حقوق الغير عليها . وهذا إعلان للغير بوجود حق رهن حيازة على العين المرهونة ، فلا يطمئن إلى التعامل في هذه العين مع الراهن ، طالما أن العين قد خرجت من حيازته وأن للدائن ، المرتهن حق رهن عليها</w:t>
      </w:r>
      <w:r>
        <w:rPr>
          <w:rFonts w:cs="Traditional Arabic" w:hint="cs"/>
          <w:sz w:val="28"/>
          <w:szCs w:val="32"/>
          <w:vertAlign w:val="superscript"/>
          <w:rtl/>
        </w:rPr>
        <w:t xml:space="preserve">( </w:t>
      </w:r>
      <w:r w:rsidRPr="00EC737F">
        <w:rPr>
          <w:rStyle w:val="ab"/>
          <w:rFonts w:cs="Traditional Arabic"/>
          <w:sz w:val="28"/>
          <w:szCs w:val="32"/>
          <w:rtl/>
        </w:rPr>
        <w:footnoteReference w:id="15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فانتقال الحيازة إذن يقوم بمهمتين : أحدهما فيما بين المتعاقدين إذ يتمكن الدائن المرتهن من أن يقوم بالتزاماته نحو الراهن ومن أن يستعمل حقوقه كحق الحبس ، والثاني بالنسبة إلى الغير إذ يعلن انتقال الحيازة الغير بوجود رهن 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537- لمن تنتقل الحيازة </w:t>
      </w:r>
      <w:r>
        <w:rPr>
          <w:rFonts w:cs="Traditional Arabic"/>
          <w:b/>
          <w:bCs/>
          <w:sz w:val="28"/>
          <w:szCs w:val="32"/>
          <w:rtl/>
        </w:rPr>
        <w:t>–</w:t>
      </w:r>
      <w:r>
        <w:rPr>
          <w:rFonts w:cs="Traditional Arabic" w:hint="cs"/>
          <w:b/>
          <w:bCs/>
          <w:sz w:val="28"/>
          <w:szCs w:val="32"/>
          <w:rtl/>
        </w:rPr>
        <w:t xml:space="preserve"> الحيازة بواسطة أجنبي أو عدل :</w:t>
      </w:r>
      <w:r>
        <w:rPr>
          <w:rFonts w:cs="Traditional Arabic" w:hint="cs"/>
          <w:sz w:val="28"/>
          <w:szCs w:val="32"/>
          <w:rtl/>
        </w:rPr>
        <w:t xml:space="preserve"> والأصل هو أن تنتقل الحيازة إلى </w:t>
      </w:r>
      <w:r>
        <w:rPr>
          <w:rFonts w:cs="Traditional Arabic" w:hint="cs"/>
          <w:sz w:val="28"/>
          <w:szCs w:val="32"/>
          <w:rtl/>
        </w:rPr>
        <w:lastRenderedPageBreak/>
        <w:t>الدائن المرتهن ، فهو أحد طرفي العقد ، وهو الطرف الذي جعل انتقال الحيازة لحمايته ولضمان مصالحه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لا يوجد ما يمنع من أن يتفق المتعاقدان ، الراهن والدائن المرتهن ، على أجنبي ، يسمى عدلا في الفقه الإسلامي ، يتسلم الشيء المرهون ويحتفظ به نيابة عن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53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$790 والى ذلك تشير المادة 1096 مدني حين تقول : "ارهن الحيازي عقد به يلتزم شخص  . . . أن يسلم إلى الدائن أو إلى أجنبي يعينه المتعاقدان ، شيئاً  . ." ، والمادة 1099/1 حين تقول : "على الراهن تسليم الشيء المرهون إلى الدائن أو إلى الشخص الذي عينه المتعاقدان لتسلمه" ، والمادة 1109/1 حين تقول : "يجب لنفاذ الرهن في حق الغير أن يكون الشيء المرهون في يد الدائن أو الأجنبي الذي ارتضاه المتعاقدان"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ذلك أن "العدل" يجب إلا أن يتفق عليه المتعاقدان ، الراهن والدائن المرتهن ، ولا ضرورة لأن يدخل "العدل" في هذا الاتفاق</w:t>
      </w:r>
      <w:r>
        <w:rPr>
          <w:rFonts w:cs="Traditional Arabic" w:hint="cs"/>
          <w:sz w:val="28"/>
          <w:szCs w:val="32"/>
          <w:vertAlign w:val="superscript"/>
          <w:rtl/>
        </w:rPr>
        <w:t xml:space="preserve">( </w:t>
      </w:r>
      <w:r w:rsidRPr="00EC737F">
        <w:rPr>
          <w:rStyle w:val="ab"/>
          <w:rFonts w:cs="Traditional Arabic"/>
          <w:sz w:val="28"/>
          <w:szCs w:val="32"/>
          <w:rtl/>
        </w:rPr>
        <w:footnoteReference w:id="1534"/>
      </w:r>
      <w:r>
        <w:rPr>
          <w:rFonts w:cs="Traditional Arabic" w:hint="cs"/>
          <w:sz w:val="28"/>
          <w:szCs w:val="32"/>
          <w:vertAlign w:val="superscript"/>
          <w:rtl/>
        </w:rPr>
        <w:t xml:space="preserve"> )</w:t>
      </w:r>
      <w:r>
        <w:rPr>
          <w:rFonts w:cs="Traditional Arabic" w:hint="cs"/>
          <w:sz w:val="28"/>
          <w:szCs w:val="32"/>
          <w:rtl/>
        </w:rPr>
        <w:t xml:space="preserve"> ولكن يجب أن يقبل "العدل" مهمته ، ولو برضاء سابق أو لاحق ، وأن يكون أهلا للتعهد</w:t>
      </w:r>
      <w:r>
        <w:rPr>
          <w:rFonts w:cs="Traditional Arabic" w:hint="cs"/>
          <w:sz w:val="28"/>
          <w:szCs w:val="32"/>
          <w:vertAlign w:val="superscript"/>
          <w:rtl/>
        </w:rPr>
        <w:t xml:space="preserve">( </w:t>
      </w:r>
      <w:r w:rsidRPr="00EC737F">
        <w:rPr>
          <w:rStyle w:val="ab"/>
          <w:rFonts w:cs="Traditional Arabic"/>
          <w:sz w:val="28"/>
          <w:szCs w:val="32"/>
          <w:rtl/>
        </w:rPr>
        <w:footnoteReference w:id="1535"/>
      </w:r>
      <w:r>
        <w:rPr>
          <w:rFonts w:cs="Traditional Arabic" w:hint="cs"/>
          <w:sz w:val="28"/>
          <w:szCs w:val="32"/>
          <w:vertAlign w:val="superscript"/>
          <w:rtl/>
        </w:rPr>
        <w:t xml:space="preserve"> )</w:t>
      </w:r>
      <w:r>
        <w:rPr>
          <w:rFonts w:cs="Traditional Arabic" w:hint="cs"/>
          <w:sz w:val="28"/>
          <w:szCs w:val="32"/>
          <w:rtl/>
        </w:rPr>
        <w:t xml:space="preserve"> . ولا يشترط في الاتفاق على العدل أي شرط خاص ، ويكون إثباته خاضعاً للقاعد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53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ويصح أن يكون العدل دائناً مرتهناً سابقاً ، فيحوز الشيء بصفته دائنا مرتهناً وبصفته عدلا نائباً عن </w:t>
      </w:r>
      <w:r>
        <w:rPr>
          <w:rFonts w:cs="Traditional Arabic" w:hint="cs"/>
          <w:sz w:val="28"/>
          <w:szCs w:val="32"/>
          <w:rtl/>
        </w:rPr>
        <w:lastRenderedPageBreak/>
        <w:t>دائن مرتهن آخر ، ولكن لا يصح أن يكون هو الراهن إذ لا يوجد ما يستدل منه على وجود الرهن</w:t>
      </w:r>
      <w:r>
        <w:rPr>
          <w:rFonts w:cs="Traditional Arabic" w:hint="cs"/>
          <w:sz w:val="28"/>
          <w:szCs w:val="32"/>
          <w:vertAlign w:val="superscript"/>
          <w:rtl/>
        </w:rPr>
        <w:t xml:space="preserve">( </w:t>
      </w:r>
      <w:r w:rsidRPr="00EC737F">
        <w:rPr>
          <w:rStyle w:val="ab"/>
          <w:rFonts w:cs="Traditional Arabic"/>
          <w:sz w:val="28"/>
          <w:szCs w:val="32"/>
          <w:rtl/>
        </w:rPr>
        <w:footnoteReference w:id="153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الشيء المرهون في يد العدل قبل تقرير الرهن ، بصفة أخرى كمودع عنده ، ثم تقرر الرهن واتفق برضاه على أن يكون هو $ 791 العدل ، فلا يكف أن يعلنه الدائن المرتهن بعقد رهنه ، بل يجب إقرار من العدل أن أصبح يحوز الشيء كعدل نيابة عن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5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والاتفاق على بقاء الشيء في يد العدل يخلي الدائن من التزاماته بالمحافظة على الشيء وإدارته واستثماره ، ويسهل للراهن رهن الشيء لأكثر من دائن . وليس للعدل أن يعطي الرهن للراهن أو للدائن المرتهن إلا برضاء الاثنين معاً ، وإذا أعطاه لأحدهما دون رضاء الآخر كان له استرداده</w:t>
      </w:r>
      <w:r>
        <w:rPr>
          <w:rFonts w:cs="Traditional Arabic" w:hint="cs"/>
          <w:sz w:val="28"/>
          <w:szCs w:val="32"/>
          <w:vertAlign w:val="superscript"/>
          <w:rtl/>
        </w:rPr>
        <w:t xml:space="preserve">( </w:t>
      </w:r>
      <w:r w:rsidRPr="00EC737F">
        <w:rPr>
          <w:rStyle w:val="ab"/>
          <w:rFonts w:cs="Traditional Arabic"/>
          <w:sz w:val="28"/>
          <w:szCs w:val="32"/>
          <w:rtl/>
        </w:rPr>
        <w:footnoteReference w:id="15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538- عودة الشيء المرهون إلى راهنه : </w:t>
      </w:r>
      <w:r>
        <w:rPr>
          <w:rFonts w:cs="Traditional Arabic" w:hint="cs"/>
          <w:sz w:val="28"/>
          <w:szCs w:val="32"/>
          <w:rtl/>
        </w:rPr>
        <w:t>يترتب على عودة الشيء المرهون إلى الراهن انقضاء الرهن في الأصل ، إذ يستخلص من إرجاع المرهون إلى الراهن أن الدائن المرتهن نزل عن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القرينة يدحضها الدائن المرتهن بإثبات أنه لم يقصد بإرجاع المرهون إلى الراهن انقضاء الراهن ، بل إنه سلم الشيء المرهون إلى الراهن على سبيل الإيجار أو الوديعة أو العارية . فيبقى الرهن قائماً في مواجهة الراهن ، ولكنه لا يكون سارياً في مواجهة الغير . ولكن للمرتهن أن يلزم الراهن بإعادة الشيء إليه ، وإذا تسلم المرتهن المرهون من جديد عاد الرهن سارياً في مواجهة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أخذ الراهن الشيء المرهون من الدائن المرتهن بدون رضاه ، خلسة أو غصباً ، فلا ينقطع سريان الرهن على الغير</w:t>
      </w:r>
      <w:r>
        <w:rPr>
          <w:rFonts w:cs="Traditional Arabic" w:hint="cs"/>
          <w:sz w:val="28"/>
          <w:szCs w:val="32"/>
          <w:vertAlign w:val="superscript"/>
          <w:rtl/>
        </w:rPr>
        <w:t xml:space="preserve">( </w:t>
      </w:r>
      <w:r w:rsidRPr="00EC737F">
        <w:rPr>
          <w:rStyle w:val="ab"/>
          <w:rFonts w:cs="Traditional Arabic"/>
          <w:sz w:val="28"/>
          <w:szCs w:val="32"/>
          <w:rtl/>
        </w:rPr>
        <w:footnoteReference w:id="1540"/>
      </w:r>
      <w:r>
        <w:rPr>
          <w:rFonts w:cs="Traditional Arabic" w:hint="cs"/>
          <w:sz w:val="28"/>
          <w:szCs w:val="32"/>
          <w:vertAlign w:val="superscript"/>
          <w:rtl/>
        </w:rPr>
        <w:t xml:space="preserve"> )</w:t>
      </w:r>
      <w:r>
        <w:rPr>
          <w:rFonts w:cs="Traditional Arabic" w:hint="cs"/>
          <w:sz w:val="28"/>
          <w:szCs w:val="32"/>
          <w:rtl/>
        </w:rPr>
        <w:t xml:space="preserve"> . وكان للدائن المرتهن أن يتمسك بحق الرهن ، حتى في مواجهة من يحوزه بحسن نية بشرط أن يطلب استرداده منه خلال فترة الثلاث السنوات التالية لسرقة الرهن .</w:t>
      </w:r>
    </w:p>
    <w:p w:rsidR="00F72742" w:rsidRPr="001C79EB"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$792 </w:t>
      </w:r>
      <w:r>
        <w:rPr>
          <w:rFonts w:cs="Traditional Arabic" w:hint="cs"/>
          <w:b/>
          <w:bCs/>
          <w:sz w:val="28"/>
          <w:szCs w:val="32"/>
          <w:rtl/>
        </w:rPr>
        <w:t>539- إيجار العقار المرهون حيازة للراهن :</w:t>
      </w:r>
      <w:r>
        <w:rPr>
          <w:rFonts w:cs="Traditional Arabic" w:hint="cs"/>
          <w:sz w:val="28"/>
          <w:szCs w:val="32"/>
          <w:rtl/>
        </w:rPr>
        <w:t xml:space="preserve"> وإذا كان الشيء المرهون منقولا ، فخروج العين من يد الدائن المرتهن إلى الراهن بإيجار لا يبطل الرهن ، ولكنه يجعله غير نافذ في حق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المرهون عقاراً وأجره الدائن المرتهن للراهن ، وشهر هذا الإيجار بالقيد ، بقي الرهن نافذاً في مواجهة الغير ( م 115 مدني في رهن العقار ) . ويحصل شهر الإيجار بذكره في قائمة قيد الرهن ، إذا ما اتفق على الإيجار عند الرهن ، أما إذا اتفق على الإيجار بعد الرهن ، كان شهر الإيجار عن طريق التأشير به في هامش قيد الرهن</w:t>
      </w:r>
      <w:r>
        <w:rPr>
          <w:rFonts w:cs="Traditional Arabic" w:hint="cs"/>
          <w:sz w:val="28"/>
          <w:szCs w:val="32"/>
          <w:vertAlign w:val="superscript"/>
          <w:rtl/>
        </w:rPr>
        <w:t xml:space="preserve">( </w:t>
      </w:r>
      <w:r w:rsidRPr="00EC737F">
        <w:rPr>
          <w:rStyle w:val="ab"/>
          <w:rFonts w:cs="Traditional Arabic"/>
          <w:sz w:val="28"/>
          <w:szCs w:val="32"/>
          <w:rtl/>
        </w:rPr>
        <w:footnoteReference w:id="154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450- رجوع المرهون إلى حيازة الراهن بسبب لا يقصد به انقضاء الرهن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تنص المادة 1100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رجع المرهون إلى حيازة الراهن انقضى الرهن ، إلا إذا أثبت الدائن المرتهن أن الرجوع كان بسبب لا يقصد به انقضاء الرهن . كل هذا دون إخلال بحقوق الغير"</w:t>
      </w:r>
      <w:r>
        <w:rPr>
          <w:rFonts w:cs="Traditional Arabic" w:hint="cs"/>
          <w:sz w:val="28"/>
          <w:szCs w:val="32"/>
          <w:vertAlign w:val="superscript"/>
          <w:rtl/>
        </w:rPr>
        <w:t xml:space="preserve">( </w:t>
      </w:r>
      <w:r w:rsidRPr="00EC737F">
        <w:rPr>
          <w:rStyle w:val="ab"/>
          <w:rFonts w:cs="Traditional Arabic"/>
          <w:sz w:val="28"/>
          <w:szCs w:val="32"/>
          <w:rtl/>
        </w:rPr>
        <w:footnoteReference w:id="15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$793 وقد جاء في المذكرة الإيضاحية للمشروع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"إذا عاد الشيء المرهون إلى الراهن لأي سبب كان ، كأن يختلسه الراهن أو يغتصبه أو يستأجره ، فإن للدائن أن يسترده ما دام عقد الرهن قائماً ، مع احترام ما يكون للراهن أو للغير من حقوق . فلا يسترد الدائن العين المرهونة إلا بعد نهاية عقد الإيجار المعقود مع الراهن ، ويستردها مثقلة بما ترتب عليها من حقوق للغير كحق امتياز المؤجر حسن النية أو رهن حيازة آخر لمترهن حسن النية . أما إذا كان الدائن المرتهن قد تنازل $794 طوعاً عن الحيازة ، وفهم من ذلك أنه تنازل عن الرهن ذاته ، فإنه لا يستطيع </w:t>
      </w:r>
      <w:r>
        <w:rPr>
          <w:rFonts w:cs="Traditional Arabic" w:hint="cs"/>
          <w:sz w:val="28"/>
          <w:szCs w:val="32"/>
          <w:rtl/>
        </w:rPr>
        <w:lastRenderedPageBreak/>
        <w:t>استرداد العين إذ الرهن أصبح غير قائم"</w:t>
      </w:r>
      <w:r>
        <w:rPr>
          <w:rFonts w:cs="Traditional Arabic" w:hint="cs"/>
          <w:sz w:val="28"/>
          <w:szCs w:val="32"/>
          <w:vertAlign w:val="superscript"/>
          <w:rtl/>
        </w:rPr>
        <w:t xml:space="preserve">( </w:t>
      </w:r>
      <w:r w:rsidRPr="00EC737F">
        <w:rPr>
          <w:rStyle w:val="ab"/>
          <w:rFonts w:cs="Traditional Arabic"/>
          <w:sz w:val="28"/>
          <w:szCs w:val="32"/>
          <w:rtl/>
        </w:rPr>
        <w:footnoteReference w:id="154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ويخلص من النص سالف الذكر أن الشيء المرهون ، لا يجب فحسب أن ينتقل حيازته إلى الدائن المرتهن ، بل يجب أيضاً أن يبقى في هذه الحيازة طول مدة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خرج الشيء المرهون من حيازة الدائن المرتهن ، وعاد إلى الراهن ، قام ذلك قرينة على أن الرهن قد انقضى ولذلك عاد المرهون إلى حيازة الراهن . فعودة الشيء المرهون إلى الراهن يقضي الرهن في الأصل ، لقيام هذه القرينة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أنه يمكن للدائن المرتهن أن يدحض هذه القرينة ، ويلاحظ أن الدائن المرتهن هو الذي عليه ا يدحض القرينة . أما إذا لم يدحضها ، وسكت الراهن ولم يفعل شيئاً ، حكم لمصلحته بانقضاء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ويستطيع الدائن المرتهن أن يدحض القرينة ، بأن يثبت مثلا أن الراهن قد اختلس الشيء المرهون أو اغتصبه ، عند ذلك يجب على الراهن أن يرد الشيء المرهون إلى الدائن المرتهن,</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ويستطيع الدائن المرتهن أن يدحض القرينة أيضاً ، بأن يثبت أنه سلم الشيء المرهون للراهن على سبيل الإيجار أو العارية أو الوديعة ، وعند ذلك لا ينقضي الرهن ، ولكن الشيء يبقى في حيازة الراهن حتى ينقضي الإيجار أو العارية أو الوديعة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وبوجه عام ، يستطيع الدائن المرتهن أن يدحض القرينة ، إذا هو اثبت أن رجوع الشيء إلى حيازة الراهن كان بسبب لا يقصد به انقضاء الرهن ، فعند ذلك يبقى الرهن صحيحاً قائماً ين المتعاقدين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احترام حقوق الغير ، فقد يتصرف الراهن في الشيء عند رجوع $795 حيازته إليه ، بأن يرهنه مثلا مرة ثانية لدائن مرتهن حسن النية ، أو يؤجره لمستأجر حسن النية ، فيجب عدم الإخلال "بحقوق الغير" ومراعاة حق المرتهن الثاني وحق المستأجر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وتقول لجنة مجل الشيوخ في تقريرها في هذا الصدد : "وقد رأت اللجنة أن تقرر أن الأصل هو انقضاء الرهن متى رجع الشيء المرهون إلى حيازة الراهن على غرار ما هو مقرر في القانون الحالي ( السابق </w:t>
      </w:r>
      <w:r>
        <w:rPr>
          <w:rFonts w:cs="Traditional Arabic" w:hint="cs"/>
          <w:sz w:val="28"/>
          <w:szCs w:val="32"/>
          <w:rtl/>
        </w:rPr>
        <w:lastRenderedPageBreak/>
        <w:t>) استناداً إلى قرينة تنازل الدائن أو استيفائه لحقه وهي قرينة تستخلص من خروج الحيازة من يده ، ولكنها لم تجر هذا الأصل على إطلاقه ، بل جعلت للدائن أن يبقى هذه القرينة إذا أقام الدليل على أن الحيازة خرجت من يده بسبب لا يقصد به انقضاء الرهن . وبديهي أن الحكم قاصر على صلة الراهن بالمرتهن ، فهو بهذا التحديد لا يؤثر في حقوق الغير"</w:t>
      </w:r>
      <w:r>
        <w:rPr>
          <w:rFonts w:cs="Traditional Arabic" w:hint="cs"/>
          <w:sz w:val="28"/>
          <w:szCs w:val="32"/>
          <w:vertAlign w:val="superscript"/>
          <w:rtl/>
        </w:rPr>
        <w:t xml:space="preserve">( </w:t>
      </w:r>
      <w:r w:rsidRPr="00EC737F">
        <w:rPr>
          <w:rStyle w:val="ab"/>
          <w:rFonts w:cs="Traditional Arabic"/>
          <w:sz w:val="28"/>
          <w:szCs w:val="32"/>
          <w:rtl/>
        </w:rPr>
        <w:footnoteReference w:id="154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541- تخليى المرتهن عن الحيازة لغير الراهن :</w:t>
      </w:r>
      <w:r>
        <w:rPr>
          <w:rFonts w:cs="Traditional Arabic" w:hint="cs"/>
          <w:sz w:val="28"/>
          <w:szCs w:val="32"/>
          <w:rtl/>
        </w:rPr>
        <w:t xml:space="preserve"> وقد يتحلى الدائن المرتهن عن حيازة الشيء المرهون إلى غير الراهن ، فيجوز ذلك ، ولا يبطل الرهن ويبقى صحيحاً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للدائن المرتهن أن يؤجر العين المرهونة لمستأجر غير الراهن سواء كان الشيء عقاراً أو منقولا</w:t>
      </w:r>
      <w:r>
        <w:rPr>
          <w:rFonts w:cs="Traditional Arabic" w:hint="cs"/>
          <w:sz w:val="28"/>
          <w:szCs w:val="32"/>
          <w:vertAlign w:val="superscript"/>
          <w:rtl/>
        </w:rPr>
        <w:t xml:space="preserve">( </w:t>
      </w:r>
      <w:r w:rsidRPr="00EC737F">
        <w:rPr>
          <w:rStyle w:val="ab"/>
          <w:rFonts w:cs="Traditional Arabic"/>
          <w:sz w:val="28"/>
          <w:szCs w:val="32"/>
          <w:rtl/>
        </w:rPr>
        <w:footnoteReference w:id="154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أيضاً للدائن المرتهن أن يودع الشيء المرهون أو أن يعبره لشخص غير الراهن ، فيضع المودع عنده أو المستعير يده على الشيء المرهون نيابة عن الدائن المرتهن ، ويبقى الرهن قائماً صحصحاً</w:t>
      </w:r>
      <w:r>
        <w:rPr>
          <w:rFonts w:cs="Traditional Arabic" w:hint="cs"/>
          <w:sz w:val="28"/>
          <w:szCs w:val="32"/>
          <w:vertAlign w:val="superscript"/>
          <w:rtl/>
        </w:rPr>
        <w:t xml:space="preserve">( </w:t>
      </w:r>
      <w:r w:rsidRPr="00EC737F">
        <w:rPr>
          <w:rStyle w:val="ab"/>
          <w:rFonts w:cs="Traditional Arabic"/>
          <w:sz w:val="28"/>
          <w:szCs w:val="32"/>
          <w:rtl/>
        </w:rPr>
        <w:footnoteReference w:id="15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542- سريان أحكام الالتزام بتسيلم الشيء المبيع : </w:t>
      </w:r>
      <w:r>
        <w:rPr>
          <w:rFonts w:cs="Traditional Arabic" w:hint="cs"/>
          <w:sz w:val="28"/>
          <w:szCs w:val="32"/>
          <w:rtl/>
        </w:rPr>
        <w:t>وتقول الفقرة الثانية من المادة 1099 مدني ، فيما رأينا</w:t>
      </w:r>
      <w:r>
        <w:rPr>
          <w:rFonts w:cs="Traditional Arabic" w:hint="cs"/>
          <w:sz w:val="28"/>
          <w:szCs w:val="32"/>
          <w:vertAlign w:val="superscript"/>
          <w:rtl/>
        </w:rPr>
        <w:t xml:space="preserve">( </w:t>
      </w:r>
      <w:r w:rsidRPr="00EC737F">
        <w:rPr>
          <w:rStyle w:val="ab"/>
          <w:rFonts w:cs="Traditional Arabic"/>
          <w:sz w:val="28"/>
          <w:szCs w:val="32"/>
          <w:rtl/>
        </w:rPr>
        <w:footnoteReference w:id="1547"/>
      </w:r>
      <w:r>
        <w:rPr>
          <w:rFonts w:cs="Traditional Arabic" w:hint="cs"/>
          <w:sz w:val="28"/>
          <w:szCs w:val="32"/>
          <w:vertAlign w:val="superscript"/>
          <w:rtl/>
        </w:rPr>
        <w:t xml:space="preserve"> )</w:t>
      </w:r>
      <w:r>
        <w:rPr>
          <w:rFonts w:cs="Traditional Arabic" w:hint="cs"/>
          <w:sz w:val="28"/>
          <w:szCs w:val="32"/>
          <w:rtl/>
        </w:rPr>
        <w:t xml:space="preserve"> ، ما يأتي : "ويسري على الالتزام $796 بتسليم الشيء المرهون أحكام الالتزام بتسليم الشيء المبيع" . وتقول المذكرة الإيضاحية للمشروع التمهيدي : "وتتبع في تسليم العين المرهونة الأحكام التي تنطبق على تسليم العين المبعية ، من حيث كيفية التسليم ومكانه وزمانه وما إلى ذلك"</w:t>
      </w:r>
      <w:r>
        <w:rPr>
          <w:rFonts w:cs="Traditional Arabic" w:hint="cs"/>
          <w:sz w:val="28"/>
          <w:szCs w:val="32"/>
          <w:vertAlign w:val="superscript"/>
          <w:rtl/>
        </w:rPr>
        <w:t xml:space="preserve">( </w:t>
      </w:r>
      <w:r w:rsidRPr="00EC737F">
        <w:rPr>
          <w:rStyle w:val="ab"/>
          <w:rFonts w:cs="Traditional Arabic"/>
          <w:sz w:val="28"/>
          <w:szCs w:val="32"/>
          <w:rtl/>
        </w:rPr>
        <w:footnoteReference w:id="154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سبق أن تكلمنا في كل ذلك عند الكلام في البيع ، فلا حاجة إلى التكرار . وإنما يكفينا أن </w:t>
      </w:r>
      <w:r>
        <w:rPr>
          <w:rFonts w:cs="Traditional Arabic" w:hint="cs"/>
          <w:sz w:val="28"/>
          <w:szCs w:val="32"/>
          <w:rtl/>
        </w:rPr>
        <w:lastRenderedPageBreak/>
        <w:t>نذكر بالمسائل الأساسية ، في زمان التسليم ، وفي مكان التسليم ، وفي كيفية التسليم ، ثم تنتهي بكلمة موجزة فيما يترتب على عدم التسليم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543- زمان التسليم :</w:t>
      </w:r>
      <w:r>
        <w:rPr>
          <w:rFonts w:cs="Traditional Arabic" w:hint="cs"/>
          <w:sz w:val="28"/>
          <w:szCs w:val="32"/>
          <w:rtl/>
        </w:rPr>
        <w:t xml:space="preserve"> يجب أن يسلم الراهن الشيء المرهون حيازة إلى الدائن المرتهن ( أو إلى عدل ) بعد إبرام عقد الحيازة ، لأن التسليم التزام ينشأ من ذلك العقد . ويكون التسليم عادة فور إبرام العقد ، ولكن لا شيء يمنع من أن يكون التسليم بعد ذلك بمدة قد تطول ما دام عقد الرهن قائماً . والمهم أن يتم التسليم قبل أن يتخلى الراهن عن إدارة أمواله ، بناء على كم مثلا يقرر إفلاس الراهن</w:t>
      </w:r>
      <w:r>
        <w:rPr>
          <w:rFonts w:cs="Traditional Arabic" w:hint="cs"/>
          <w:sz w:val="28"/>
          <w:szCs w:val="32"/>
          <w:vertAlign w:val="superscript"/>
          <w:rtl/>
        </w:rPr>
        <w:t xml:space="preserve">( </w:t>
      </w:r>
      <w:r w:rsidRPr="00EC737F">
        <w:rPr>
          <w:rStyle w:val="ab"/>
          <w:rFonts w:cs="Traditional Arabic"/>
          <w:sz w:val="28"/>
          <w:szCs w:val="32"/>
          <w:rtl/>
        </w:rPr>
        <w:footnoteReference w:id="154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ويمكن أن يتم التسليم بعد عقد الرهن بزمن ، ويحتج به على الغير ، إلا إذا حصل الغير قبل التسليم على حقوق متعارضة مع الرهن على الشيء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544- مكان التسليم :</w:t>
      </w:r>
      <w:r>
        <w:rPr>
          <w:rFonts w:cs="Traditional Arabic" w:hint="cs"/>
          <w:sz w:val="28"/>
          <w:szCs w:val="32"/>
          <w:rtl/>
        </w:rPr>
        <w:t xml:space="preserve"> ويتم التسليم في المكان الذي يوجد فيه الشيء المرهون وقت تمام عقد الرهن ، ما لم يتفق على غير ذلك</w:t>
      </w:r>
      <w:r>
        <w:rPr>
          <w:rFonts w:cs="Traditional Arabic" w:hint="cs"/>
          <w:sz w:val="28"/>
          <w:szCs w:val="32"/>
          <w:vertAlign w:val="superscript"/>
          <w:rtl/>
        </w:rPr>
        <w:t xml:space="preserve">( </w:t>
      </w:r>
      <w:r w:rsidRPr="00EC737F">
        <w:rPr>
          <w:rStyle w:val="ab"/>
          <w:rFonts w:cs="Traditional Arabic"/>
          <w:sz w:val="28"/>
          <w:szCs w:val="32"/>
          <w:rtl/>
        </w:rPr>
        <w:footnoteReference w:id="15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$797 </w:t>
      </w:r>
      <w:r>
        <w:rPr>
          <w:rFonts w:cs="Traditional Arabic" w:hint="cs"/>
          <w:b/>
          <w:bCs/>
          <w:sz w:val="28"/>
          <w:szCs w:val="32"/>
          <w:rtl/>
        </w:rPr>
        <w:t>545- كيفية التسليم :</w:t>
      </w:r>
      <w:r>
        <w:rPr>
          <w:rFonts w:cs="Traditional Arabic" w:hint="cs"/>
          <w:sz w:val="28"/>
          <w:szCs w:val="32"/>
          <w:rtl/>
        </w:rPr>
        <w:t xml:space="preserve"> يكون التسليم بوضع الشيء المرهون تحت تصرف الدائن المرتهن ( أو العدل ) بحيث يتمكن من حيازته والانتفاع به دون عائق ، ما دام الدائن المرتهن يعلم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ويتم التسليم على النحو الذي يتفق مع طبيعة الشيء المرهون . ففي الأشياء المادية ، يكون التسليم إما حقيقياً ، أو رمزياً كوضع علامة الدائن المرتهن على المكنة التي توجد فيها الأشياء المرهونة على أن يكون تخلي الراهن عن هذه الأشياء ظاهراً ظهرواً كافياً</w:t>
      </w:r>
      <w:r>
        <w:rPr>
          <w:rFonts w:cs="Traditional Arabic" w:hint="cs"/>
          <w:sz w:val="28"/>
          <w:szCs w:val="32"/>
          <w:vertAlign w:val="superscript"/>
          <w:rtl/>
        </w:rPr>
        <w:t xml:space="preserve">( </w:t>
      </w:r>
      <w:r w:rsidRPr="00EC737F">
        <w:rPr>
          <w:rStyle w:val="ab"/>
          <w:rFonts w:cs="Traditional Arabic"/>
          <w:sz w:val="28"/>
          <w:szCs w:val="32"/>
          <w:rtl/>
        </w:rPr>
        <w:footnoteReference w:id="155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يكون نقل الحيازة بمجرد رغبة المتعاقدين ، إذا كان الشيء المرهون قبل الرهن في حيازة الدائن </w:t>
      </w:r>
      <w:r>
        <w:rPr>
          <w:rFonts w:cs="Traditional Arabic" w:hint="cs"/>
          <w:sz w:val="28"/>
          <w:szCs w:val="32"/>
          <w:rtl/>
        </w:rPr>
        <w:lastRenderedPageBreak/>
        <w:t>المرتهن بصفة أخرى كمود عنده أو مستعير</w:t>
      </w:r>
      <w:r>
        <w:rPr>
          <w:rFonts w:cs="Traditional Arabic" w:hint="cs"/>
          <w:sz w:val="28"/>
          <w:szCs w:val="32"/>
          <w:vertAlign w:val="superscript"/>
          <w:rtl/>
        </w:rPr>
        <w:t xml:space="preserve">( </w:t>
      </w:r>
      <w:r w:rsidRPr="00EC737F">
        <w:rPr>
          <w:rStyle w:val="ab"/>
          <w:rFonts w:cs="Traditional Arabic"/>
          <w:sz w:val="28"/>
          <w:szCs w:val="32"/>
          <w:rtl/>
        </w:rPr>
        <w:footnoteReference w:id="1552"/>
      </w:r>
      <w:r>
        <w:rPr>
          <w:rFonts w:cs="Traditional Arabic" w:hint="cs"/>
          <w:sz w:val="28"/>
          <w:szCs w:val="32"/>
          <w:vertAlign w:val="superscript"/>
          <w:rtl/>
        </w:rPr>
        <w:t xml:space="preserve"> )</w:t>
      </w:r>
      <w:r>
        <w:rPr>
          <w:rFonts w:cs="Traditional Arabic" w:hint="cs"/>
          <w:sz w:val="28"/>
          <w:szCs w:val="32"/>
          <w:rtl/>
        </w:rPr>
        <w:t xml:space="preserve"> . وإذا كان الشيء المرهون مودعاً في مخزن ، فإن تسليم السند الذي يمكن بموجبه تسلم الشيء من المخزن يعتبر تسليماً صحيحاً</w:t>
      </w:r>
      <w:r>
        <w:rPr>
          <w:rFonts w:cs="Traditional Arabic" w:hint="cs"/>
          <w:sz w:val="28"/>
          <w:szCs w:val="32"/>
          <w:vertAlign w:val="superscript"/>
          <w:rtl/>
        </w:rPr>
        <w:t xml:space="preserve">( </w:t>
      </w:r>
      <w:r w:rsidRPr="00EC737F">
        <w:rPr>
          <w:rStyle w:val="ab"/>
          <w:rFonts w:cs="Traditional Arabic"/>
          <w:sz w:val="28"/>
          <w:szCs w:val="32"/>
          <w:rtl/>
        </w:rPr>
        <w:footnoteReference w:id="15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محل الرهن شيئاً غير مادي ، اختلفت الحيازة باختلاف الحق المسلم . فالديون يعتبر تسلمها بتسليم سنداتها</w:t>
      </w:r>
      <w:r>
        <w:rPr>
          <w:rFonts w:cs="Traditional Arabic" w:hint="cs"/>
          <w:sz w:val="28"/>
          <w:szCs w:val="32"/>
          <w:vertAlign w:val="superscript"/>
          <w:rtl/>
        </w:rPr>
        <w:t xml:space="preserve">( </w:t>
      </w:r>
      <w:r w:rsidRPr="00EC737F">
        <w:rPr>
          <w:rStyle w:val="ab"/>
          <w:rFonts w:cs="Traditional Arabic"/>
          <w:sz w:val="28"/>
          <w:szCs w:val="32"/>
          <w:rtl/>
        </w:rPr>
        <w:footnoteReference w:id="1554"/>
      </w:r>
      <w:r>
        <w:rPr>
          <w:rFonts w:cs="Traditional Arabic" w:hint="cs"/>
          <w:sz w:val="28"/>
          <w:szCs w:val="32"/>
          <w:vertAlign w:val="superscript"/>
          <w:rtl/>
        </w:rPr>
        <w:t xml:space="preserve"> )</w:t>
      </w:r>
      <w:r>
        <w:rPr>
          <w:rFonts w:cs="Traditional Arabic" w:hint="cs"/>
          <w:sz w:val="28"/>
          <w:szCs w:val="32"/>
          <w:rtl/>
        </w:rPr>
        <w:t xml:space="preserve"> ، فإذا لم يكن الدين ثابتاً في سند مكتوب لم يمكن رهنه</w:t>
      </w:r>
      <w:r>
        <w:rPr>
          <w:rFonts w:cs="Traditional Arabic" w:hint="cs"/>
          <w:sz w:val="28"/>
          <w:szCs w:val="32"/>
          <w:vertAlign w:val="superscript"/>
          <w:rtl/>
        </w:rPr>
        <w:t xml:space="preserve">( </w:t>
      </w:r>
      <w:r w:rsidRPr="00EC737F">
        <w:rPr>
          <w:rStyle w:val="ab"/>
          <w:rFonts w:cs="Traditional Arabic"/>
          <w:sz w:val="28"/>
          <w:szCs w:val="32"/>
          <w:rtl/>
        </w:rPr>
        <w:footnoteReference w:id="1555"/>
      </w:r>
      <w:r>
        <w:rPr>
          <w:rFonts w:cs="Traditional Arabic" w:hint="cs"/>
          <w:sz w:val="28"/>
          <w:szCs w:val="32"/>
          <w:vertAlign w:val="superscript"/>
          <w:rtl/>
        </w:rPr>
        <w:t xml:space="preserve"> )</w:t>
      </w:r>
      <w:r>
        <w:rPr>
          <w:rFonts w:cs="Traditional Arabic" w:hint="cs"/>
          <w:sz w:val="28"/>
          <w:szCs w:val="32"/>
          <w:rtl/>
        </w:rPr>
        <w:t xml:space="preserve"> . وحيازة السندات لحاملها تنتقل بتسليم السند ، وإذا كان مودعه في مصرف انتقلت بتسليم الإيصال . وشهادة الاختراع تنتقل بتسليم الشهادة ، وحق الإيجار بتسليم سند الإيجار</w:t>
      </w:r>
      <w:r>
        <w:rPr>
          <w:rFonts w:cs="Traditional Arabic" w:hint="cs"/>
          <w:sz w:val="28"/>
          <w:szCs w:val="32"/>
          <w:vertAlign w:val="superscript"/>
          <w:rtl/>
        </w:rPr>
        <w:t xml:space="preserve">( </w:t>
      </w:r>
      <w:r w:rsidRPr="00EC737F">
        <w:rPr>
          <w:rStyle w:val="ab"/>
          <w:rFonts w:cs="Traditional Arabic"/>
          <w:sz w:val="28"/>
          <w:szCs w:val="32"/>
          <w:rtl/>
        </w:rPr>
        <w:footnoteReference w:id="15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$798 </w:t>
      </w:r>
      <w:r>
        <w:rPr>
          <w:rFonts w:cs="Traditional Arabic" w:hint="cs"/>
          <w:b/>
          <w:bCs/>
          <w:sz w:val="28"/>
          <w:szCs w:val="32"/>
          <w:rtl/>
        </w:rPr>
        <w:t>546- ما يترتب على عدم التسليم :</w:t>
      </w:r>
      <w:r>
        <w:rPr>
          <w:rFonts w:cs="Traditional Arabic" w:hint="cs"/>
          <w:sz w:val="28"/>
          <w:szCs w:val="32"/>
          <w:rtl/>
        </w:rPr>
        <w:t xml:space="preserve"> في التقنين السابق ، كان رهن الحياة لا ينعقد دون تسليم ، لأن رهن الحيازة كان عقدً عينياً لا يتم دون أن تسلم العين المرهونة . وقبل التسليم ، كان اعتبار العقد وعداً برهن ، يمكن بموجبه إجبار الواعد على التسليم ، فينعقد الرهن الحيازي</w:t>
      </w:r>
      <w:r>
        <w:rPr>
          <w:rFonts w:cs="Traditional Arabic" w:hint="cs"/>
          <w:sz w:val="28"/>
          <w:szCs w:val="32"/>
          <w:vertAlign w:val="superscript"/>
          <w:rtl/>
        </w:rPr>
        <w:t xml:space="preserve">( </w:t>
      </w:r>
      <w:r w:rsidRPr="00EC737F">
        <w:rPr>
          <w:rStyle w:val="ab"/>
          <w:rFonts w:cs="Traditional Arabic"/>
          <w:sz w:val="28"/>
          <w:szCs w:val="32"/>
          <w:rtl/>
        </w:rPr>
        <w:footnoteReference w:id="1557"/>
      </w:r>
      <w:r>
        <w:rPr>
          <w:rFonts w:cs="Traditional Arabic" w:hint="cs"/>
          <w:sz w:val="28"/>
          <w:szCs w:val="32"/>
          <w:vertAlign w:val="superscript"/>
          <w:rtl/>
        </w:rPr>
        <w:t xml:space="preserve"> )</w:t>
      </w:r>
      <w:r>
        <w:rPr>
          <w:rFonts w:cs="Traditional Arabic" w:hint="cs"/>
          <w:sz w:val="28"/>
          <w:szCs w:val="32"/>
          <w:rtl/>
        </w:rPr>
        <w:t xml:space="preserve"> . وقد قضت محكمة النقض بأنه إذا امتنع الراهن ، في عقد الرهن الحيازي ، عن تسليم الشيء المرهون ، أمكن المرتهن أن يجبره على ذلك قضاء ، ويبطل الرهن إذا بقي المرهون باختيار المرتهن في حيازة الراهن ، أو رجع إليه باختياره أيضاً . فإذا رفضت المحكمة طلب حبس العين على أساس ما استبانته من وقائع الدعوى من عدم وضع يد المرتهن على العين المطلوب حبسها وتركها باختياره تحت يد الراهن فقضاؤها بذلك سليم ، ولا رقابة علها لمحكمة النقض فيما تثبته في شأن مسألة وضع اليد . أما إذا ثبت أن عدم وضع يد المرتهن على </w:t>
      </w:r>
      <w:r>
        <w:rPr>
          <w:rFonts w:cs="Traditional Arabic" w:hint="cs"/>
          <w:sz w:val="28"/>
          <w:szCs w:val="32"/>
          <w:rtl/>
        </w:rPr>
        <w:lastRenderedPageBreak/>
        <w:t>العين المطلوب حبسها قد كان غصباً فلا يبطل الرهن ، بل يبقى صحيحاً ، ويكون للمرتهن حق المطالبة بالحبس</w:t>
      </w:r>
      <w:r>
        <w:rPr>
          <w:rFonts w:cs="Traditional Arabic" w:hint="cs"/>
          <w:sz w:val="28"/>
          <w:szCs w:val="32"/>
          <w:vertAlign w:val="superscript"/>
          <w:rtl/>
        </w:rPr>
        <w:t xml:space="preserve">( </w:t>
      </w:r>
      <w:r w:rsidRPr="00EC737F">
        <w:rPr>
          <w:rStyle w:val="ab"/>
          <w:rFonts w:cs="Traditional Arabic"/>
          <w:sz w:val="28"/>
          <w:szCs w:val="32"/>
          <w:rtl/>
        </w:rPr>
        <w:footnoteReference w:id="15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في التقنين المدني الجديد ، فالتسليم أصبح التزاماً لا ركناً ، وقبل التسليم يتم رهن الحيازة . ويستطيع الدائن ، عند حلول الدين ، أن ينفذ على العين المرهونة قبل تسلمها باعتباره دائناً مرتهناً ، ولكن لا يكون له أن يتقدم أو يتتبع لأن الرهن لا ينفذ في حق الغير قبل التسليم</w:t>
      </w:r>
      <w:r>
        <w:rPr>
          <w:rFonts w:cs="Traditional Arabic" w:hint="cs"/>
          <w:sz w:val="28"/>
          <w:szCs w:val="32"/>
          <w:vertAlign w:val="superscript"/>
          <w:rtl/>
        </w:rPr>
        <w:t xml:space="preserve">( </w:t>
      </w:r>
      <w:r w:rsidRPr="00EC737F">
        <w:rPr>
          <w:rStyle w:val="ab"/>
          <w:rFonts w:cs="Traditional Arabic"/>
          <w:sz w:val="28"/>
          <w:szCs w:val="32"/>
          <w:rtl/>
        </w:rPr>
        <w:footnoteReference w:id="1559"/>
      </w:r>
      <w:r>
        <w:rPr>
          <w:rFonts w:cs="Traditional Arabic" w:hint="cs"/>
          <w:sz w:val="28"/>
          <w:szCs w:val="32"/>
          <w:vertAlign w:val="superscript"/>
          <w:rtl/>
        </w:rPr>
        <w:t xml:space="preserve"> )</w:t>
      </w:r>
      <w:r>
        <w:rPr>
          <w:rFonts w:cs="Traditional Arabic" w:hint="cs"/>
          <w:sz w:val="28"/>
          <w:szCs w:val="32"/>
          <w:rtl/>
        </w:rPr>
        <w:t xml:space="preserve"> .</w:t>
      </w:r>
    </w:p>
    <w:p w:rsidR="00F72742" w:rsidRPr="00B64C2A" w:rsidRDefault="00F72742" w:rsidP="00F72742">
      <w:pPr>
        <w:widowControl w:val="0"/>
        <w:spacing w:after="120"/>
        <w:jc w:val="center"/>
        <w:rPr>
          <w:rFonts w:cs="Traditional Arabic" w:hint="cs"/>
          <w:b/>
          <w:bCs/>
          <w:sz w:val="28"/>
          <w:szCs w:val="32"/>
          <w:rtl/>
        </w:rPr>
      </w:pPr>
      <w:r>
        <w:rPr>
          <w:rFonts w:cs="Traditional Arabic"/>
          <w:sz w:val="28"/>
          <w:szCs w:val="32"/>
          <w:rtl/>
        </w:rPr>
        <w:br w:type="page"/>
      </w:r>
      <w:r>
        <w:rPr>
          <w:rFonts w:cs="Traditional Arabic" w:hint="cs"/>
          <w:sz w:val="28"/>
          <w:szCs w:val="32"/>
          <w:rtl/>
        </w:rPr>
        <w:lastRenderedPageBreak/>
        <w:t xml:space="preserve">$799 </w:t>
      </w:r>
      <w:r w:rsidRPr="00B64C2A">
        <w:rPr>
          <w:rFonts w:cs="Traditional Arabic" w:hint="cs"/>
          <w:b/>
          <w:bCs/>
          <w:sz w:val="28"/>
          <w:szCs w:val="32"/>
          <w:rtl/>
        </w:rPr>
        <w:t>المطلب الثالث</w:t>
      </w:r>
    </w:p>
    <w:p w:rsidR="00F72742" w:rsidRPr="00B64C2A" w:rsidRDefault="00F72742" w:rsidP="00F72742">
      <w:pPr>
        <w:widowControl w:val="0"/>
        <w:spacing w:after="120"/>
        <w:jc w:val="center"/>
        <w:rPr>
          <w:rFonts w:cs="Traditional Arabic" w:hint="cs"/>
          <w:b/>
          <w:bCs/>
          <w:sz w:val="28"/>
          <w:szCs w:val="32"/>
          <w:rtl/>
        </w:rPr>
      </w:pPr>
      <w:r w:rsidRPr="00B64C2A">
        <w:rPr>
          <w:rFonts w:cs="Traditional Arabic" w:hint="cs"/>
          <w:b/>
          <w:bCs/>
          <w:sz w:val="28"/>
          <w:szCs w:val="32"/>
          <w:rtl/>
        </w:rPr>
        <w:t>ضمان الراهن لسلامة الرهن ونفاذه</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547- نص قانوني : </w:t>
      </w:r>
      <w:r>
        <w:rPr>
          <w:rFonts w:cs="Traditional Arabic" w:hint="cs"/>
          <w:sz w:val="28"/>
          <w:szCs w:val="32"/>
          <w:rtl/>
        </w:rPr>
        <w:t>تنص المادة 1101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"يضمن الراهن سلامة الرهن ونفاذه ، وليس له أن يأتي عملا ينقص من قيمة الشيء المرهون أو يحول دون استعمال الدائن لحقوقه المستمدة من العقد . وللدائن المرتهن ، في حالة الاستعجال ، أن يتخذ على نفقته الراهن كل الوسائل التي تلزم للمحافظة على الشيء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5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"يلتزم الراهن أيضاً بضمان الرهن . فليس له ا يأتي عملا ينقص من $800 قيمة الشيء المرهون ، أو يحول دون استعمال الدائن لحقوقه المستمدة من عقد الرهن . كأن يخرب العين قبل تسليمها ، أو يعطي عيها للغير حقاً عينياً يكون نافذاً في حق الدائن المرتهن . وللدائن أن يتخذ على نفقة الراهن كل الوسائل التي تلزم للمحافظة على الشيء المرهون ، كما لو كان المرهون مضموناً برهن ، فيقيده الدائن المرتهن أو يجدد قيده ، ويرجع بالمصاريف على الراهن وهذا يرجع بها على من رهن له"</w:t>
      </w:r>
      <w:r>
        <w:rPr>
          <w:rFonts w:cs="Traditional Arabic" w:hint="cs"/>
          <w:sz w:val="28"/>
          <w:szCs w:val="32"/>
          <w:vertAlign w:val="superscript"/>
          <w:rtl/>
        </w:rPr>
        <w:t xml:space="preserve">( </w:t>
      </w:r>
      <w:r w:rsidRPr="00EC737F">
        <w:rPr>
          <w:rStyle w:val="ab"/>
          <w:rFonts w:cs="Traditional Arabic"/>
          <w:sz w:val="28"/>
          <w:szCs w:val="32"/>
          <w:rtl/>
        </w:rPr>
        <w:footnoteReference w:id="15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ضمان الراهن لسلامة الرهن ونفاذه هو شبيه بضمان البائع للتعرض ، تعرض اشخص وتعرض الغير . فنتكلم هنا في ضمان الراهن لتعرضه الشخصي ، وضمان لتعرض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548- ضمان الراهن لتعرضه الشخصي : </w:t>
      </w:r>
      <w:r>
        <w:rPr>
          <w:rFonts w:cs="Traditional Arabic" w:hint="cs"/>
          <w:sz w:val="28"/>
          <w:szCs w:val="32"/>
          <w:rtl/>
        </w:rPr>
        <w:t>فلا يجوز أن يقوم الراهن لمصلحة شخص آخر بترتيب أي حق على الشيء المرهون يشهر قبل قيد الراهن ، أو أن يقوم بأي عمل يترتب عليه تخريب الشيء المرهون أو إنقاصه إنقاصاً كبيراً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نزع الراهن شيئاً من المال المرهون أو من ملحقاته ، كأن يبيع الأنقاض بعد هدم جزء من المباني فتقع في يد مشتر حسن النية فيملكها خالصة من الرهن ، كأن للدائن المرتهن الرجوع إلى الراهن بالضمان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يتسلم المشتري الأنقاض أو تسلمها وهو سيء النية ، فإنها تبقى مثقلة بحق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وللدائن المرتهن ، في حالة الاستعجال ، أن يتخذ على نفقة الراهن كل الوسائل التي تلزم للمحافظة على الشيء المرهون . وقد أتت مذكرة المشروع التمهيدي بمثل على ذلك ، أن يكون المرهون ديناً مضموناً برهن ، والرهن يجب قيده أو يجب تجديد قيده ، فيقوم الدائن المرتهن ارتهان حيازة بهذا القيد أو بهذا التجديد . عند ذلك يرجع الدائن المرتهن على الراهن حيازة $801 بما صرفه في القيد أو في التجديد ، ثم يرجع الراهن حيازة بما دفعه في ذلك على الراهن للرهن الضامن للدين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549- ضمان الراهن لتعرض الغير : </w:t>
      </w:r>
      <w:r>
        <w:rPr>
          <w:rFonts w:cs="Traditional Arabic" w:hint="cs"/>
          <w:sz w:val="28"/>
          <w:szCs w:val="32"/>
          <w:rtl/>
        </w:rPr>
        <w:t xml:space="preserve">وفيما يتعلق بتعرض الغير ، يكون الراهن ملتزماً بدفع كل </w:t>
      </w:r>
      <w:r>
        <w:rPr>
          <w:rFonts w:cs="Traditional Arabic" w:hint="cs"/>
          <w:sz w:val="28"/>
          <w:szCs w:val="32"/>
          <w:rtl/>
        </w:rPr>
        <w:lastRenderedPageBreak/>
        <w:t>ادعاء للغير بحق على العين المرهونة من شأنه أن يمس بحق الدائن المرتهن . فإذا ادعى الغير أن دائن مرتهن قيد حق رهنه أولا ، أو ادعى أن له حق ارتفاق على العقار المرهون حيازة وكان الدائن المرتهن قد رتب حق رهنه على أن حق الارتفاق هذا إلا يوجد ، فعلى الراهن أن يدفع هذا الادعاء من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فإن لم يستطع ، كان للدائن المرتهن حيازة أن يطالب بتقديم تأمين كافٍ ، أو بتكملة التأمين المقدم ، أو بسقوط أجل الدين ودفعه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ونرى من ذلك أن ضمان الراهن لتعرض الغير ( ولتعرضه الشخصي ) هو في الواقع من الأمر الجزاء الكافي على التزام الراهن بضمان سلامة الرهن ونفاذه ، فالراهن ملزم بأن يكون الرهن مستجيباً للأغراض التي عقده من أجلها ، فإن اختل غرض ، سواء بخطأ الراهن أو بغيره خطأه ، وجب على الراهن الضمان .</w:t>
      </w:r>
    </w:p>
    <w:p w:rsidR="00F72742" w:rsidRPr="004133D3" w:rsidRDefault="00F72742" w:rsidP="00F72742">
      <w:pPr>
        <w:widowControl w:val="0"/>
        <w:spacing w:after="120"/>
        <w:jc w:val="center"/>
        <w:rPr>
          <w:rFonts w:cs="Traditional Arabic" w:hint="cs"/>
          <w:b/>
          <w:bCs/>
          <w:sz w:val="28"/>
          <w:szCs w:val="32"/>
          <w:rtl/>
        </w:rPr>
      </w:pPr>
      <w:r w:rsidRPr="004133D3">
        <w:rPr>
          <w:rFonts w:cs="Traditional Arabic" w:hint="cs"/>
          <w:b/>
          <w:bCs/>
          <w:sz w:val="28"/>
          <w:szCs w:val="32"/>
          <w:rtl/>
        </w:rPr>
        <w:t>المطلب الرابع</w:t>
      </w:r>
    </w:p>
    <w:p w:rsidR="00F72742" w:rsidRPr="004133D3" w:rsidRDefault="00F72742" w:rsidP="00F72742">
      <w:pPr>
        <w:widowControl w:val="0"/>
        <w:spacing w:after="120"/>
        <w:jc w:val="center"/>
        <w:rPr>
          <w:rFonts w:cs="Traditional Arabic" w:hint="cs"/>
          <w:b/>
          <w:bCs/>
          <w:sz w:val="28"/>
          <w:szCs w:val="32"/>
          <w:rtl/>
        </w:rPr>
      </w:pPr>
      <w:r w:rsidRPr="004133D3">
        <w:rPr>
          <w:rFonts w:cs="Traditional Arabic" w:hint="cs"/>
          <w:b/>
          <w:bCs/>
          <w:sz w:val="28"/>
          <w:szCs w:val="32"/>
          <w:rtl/>
        </w:rPr>
        <w:t>ضمان الراهن هلاك الشيء المرهون أو تلفه</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550- نص قانوني : </w:t>
      </w:r>
      <w:r>
        <w:rPr>
          <w:rFonts w:cs="Traditional Arabic" w:hint="cs"/>
          <w:sz w:val="28"/>
          <w:szCs w:val="32"/>
          <w:rtl/>
        </w:rPr>
        <w:t xml:space="preserve">تنص المادة 1102 مدني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يضمن الراهن هلاك الشيء المرهون أو تلفه ، إذا كان الهلاك أو التلف راجعاً لخطأه أو ناشئاً عن قوة قاهرة"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وتسري على الرهن الحيازي أحكام المادتين 1048 و 1049 المتعلقة بهلاك الشيء المرهون رهناً رسمياً أو تلفه ، وبانتقال حق الدائن من $802 الشيء المرهون إلى ما حل محله ن حقوق"</w:t>
      </w:r>
      <w:r>
        <w:rPr>
          <w:rFonts w:cs="Traditional Arabic" w:hint="cs"/>
          <w:sz w:val="28"/>
          <w:szCs w:val="32"/>
          <w:vertAlign w:val="superscript"/>
          <w:rtl/>
        </w:rPr>
        <w:t xml:space="preserve">( </w:t>
      </w:r>
      <w:r w:rsidRPr="00EC737F">
        <w:rPr>
          <w:rStyle w:val="ab"/>
          <w:rFonts w:cs="Traditional Arabic"/>
          <w:sz w:val="28"/>
          <w:szCs w:val="32"/>
          <w:rtl/>
        </w:rPr>
        <w:footnoteReference w:id="156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"يضمن الراهن أيضاً هلاك المرهون أو تلفه إذا كان هذا راجعاً إلى خطأه أو إلى قوة قاهرة ، ويكون للدائن المرتهن في الحالة الأولى الخيار بين انقضاء الدين فوراً أو المطالبة بتأمين آخر ، وفي الحالة الأخرى يكون الخيار للمدين ، وهذه هي نفس قواعد الرهن الرسمي . وتتبع أيضاً هذه القواعد في انتقال الرهن من الشيء المرهون إلى ما يحل محله من حقوق ، كتعويض $803 أو مبلغ تأمين . أما إذا كان الهلاك بخطأ الدائن المرتهن فنسه ، فإنه يكون مسئولا عن التعويض ، وينتقل حق الرهن إلى هذا التعويض"</w:t>
      </w:r>
      <w:r>
        <w:rPr>
          <w:rFonts w:cs="Traditional Arabic" w:hint="cs"/>
          <w:sz w:val="28"/>
          <w:szCs w:val="32"/>
          <w:vertAlign w:val="superscript"/>
          <w:rtl/>
        </w:rPr>
        <w:t xml:space="preserve">( </w:t>
      </w:r>
      <w:r w:rsidRPr="00EC737F">
        <w:rPr>
          <w:rStyle w:val="ab"/>
          <w:rFonts w:cs="Traditional Arabic"/>
          <w:sz w:val="28"/>
          <w:szCs w:val="32"/>
          <w:rtl/>
        </w:rPr>
        <w:footnoteReference w:id="15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والمادة 1102 مدني تجعل المادتين 1048 و 1049 تنطبقان على رهن الحيازة ، وهذا هو نص المادتين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م 1048 : "1- إذا تسبب الراهن بخطأه في هلاك العقار المرهون أو تلفه ، كان الدائن المرتهن مخيراً بين أن يقتضي تأميناً كافياً أو أن يستوفي حقه فوراً . 2- فإذا كان الهلاك أو التلف قد نشأ عن سبب </w:t>
      </w:r>
      <w:r>
        <w:rPr>
          <w:rFonts w:cs="Traditional Arabic" w:hint="cs"/>
          <w:sz w:val="28"/>
          <w:szCs w:val="32"/>
          <w:rtl/>
        </w:rPr>
        <w:lastRenderedPageBreak/>
        <w:t>أجنبي ولم يقبل الدائن بقاء الدين بلا تأمين ، كان المدين مخيراً بين أن يقدم تأميناً كافياً أو أن يوفي الدين فوراً قبل حلول الأجل . وفي الحالة الأخيرة إذا لم يكن للدين فوائد ، فلا يكون للدائن حق إلا في استيفاء مبلغ يعادل قيمة الدين منقوصاً منها الفوائد بالسعر القانوني عن المدة ما بين تاريخ الوفاء وتاريخ حلول الدين . 3- وفي جميع الأحوال إذا وقعت أعمال من شأنها أن تعرض العقار المرهون للهلاك أو التلف أو تجعله غير كافٍ للضمان ، كان للدائن أن يطلب إلى القاضي وقف هذه الأعمال واتخاذ الوسائل التي تمنع وقوع الضرر",</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 1049 : "إذا هلك العقار المرهون أو تلف لأي سبب كان ، انتقل الرهن بمرتبته إلى الحق الذي يترتب على ذلك ، كالتعويض أو مبلغ التأمين أو الثمن الذي يقرر مقابل نزع ملكيته للمنفعة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نتكلم في إيجاز في المسائل الآتية ؛ ( 1 ) هلاك الشيء أو تلفه بخطأه الراهن . ( 2 ) هلاك الشيء أو تلفه بخطأ الدائن المرتهن . ( 3 ) هلاك الشيء ا تلفه بسبب أجنبي . ( 4 ) تعرض الشيء للهلاك أو التلف . ( 5 ) انتقال الرهن إلى الحق الذي حل محل الشيء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$804 ويورد نص المادة 1049 مدني</w:t>
      </w:r>
      <w:r>
        <w:rPr>
          <w:rFonts w:cs="Traditional Arabic" w:hint="cs"/>
          <w:sz w:val="28"/>
          <w:szCs w:val="32"/>
          <w:vertAlign w:val="superscript"/>
          <w:rtl/>
        </w:rPr>
        <w:t xml:space="preserve">( </w:t>
      </w:r>
      <w:r w:rsidRPr="00EC737F">
        <w:rPr>
          <w:rStyle w:val="ab"/>
          <w:rFonts w:cs="Traditional Arabic"/>
          <w:sz w:val="28"/>
          <w:szCs w:val="32"/>
          <w:rtl/>
        </w:rPr>
        <w:footnoteReference w:id="1564"/>
      </w:r>
      <w:r>
        <w:rPr>
          <w:rFonts w:cs="Traditional Arabic" w:hint="cs"/>
          <w:sz w:val="28"/>
          <w:szCs w:val="32"/>
          <w:vertAlign w:val="superscript"/>
          <w:rtl/>
        </w:rPr>
        <w:t xml:space="preserve"> )</w:t>
      </w:r>
      <w:r>
        <w:rPr>
          <w:rFonts w:cs="Traditional Arabic" w:hint="cs"/>
          <w:sz w:val="28"/>
          <w:szCs w:val="32"/>
          <w:rtl/>
        </w:rPr>
        <w:t xml:space="preserve"> أمثلة ثلاثة : حق التعويض في ذمة الغير ، ومبلغ التأمين ، والثمن الذي تقرر مقابل نزع الملكية للمنفعة العامة . وهناك أمثلة أخرى . فقد يكون هلاك الشيء المرهون نتيجة  لغارة جوية أو زلزال ، وتقدم الدولة تعويضاً للمنكوبين فيحل التعويض محل الشيء . وقد يهدم الراهن المبنى المرهون ويبيعه أنقاضاً للمشتري ، فيحل الثمن في ذمة المشتري محل المبنى جزئياً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فما دام الحق قد استحق في مقابل هلاك الشيء المرهون أو تلفه ، فإنه حل محل الشيء حلولا عينياً . وينتقل حق الدائن المرتهن ، بحكم هذا الحلول العيني ، من الشيء الهالك أو التالف إلى الحق الذي حل محله"</w:t>
      </w:r>
      <w:r>
        <w:rPr>
          <w:rFonts w:cs="Traditional Arabic" w:hint="cs"/>
          <w:sz w:val="28"/>
          <w:szCs w:val="32"/>
          <w:vertAlign w:val="superscript"/>
          <w:rtl/>
        </w:rPr>
        <w:t xml:space="preserve">( </w:t>
      </w:r>
      <w:r w:rsidRPr="00EC737F">
        <w:rPr>
          <w:rStyle w:val="ab"/>
          <w:rFonts w:cs="Traditional Arabic"/>
          <w:sz w:val="28"/>
          <w:szCs w:val="32"/>
          <w:rtl/>
        </w:rPr>
        <w:footnoteReference w:id="15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وعلى ذلك إذا تسبب الراهن بخطأه في هلاك الشيء المرهون أو تلفه ، كان الدائن المرتهن مخيراً بين أن يقتضي تأميناً كافياً أو أن يستوفي حقه فوراً .  وإذا كان الشيء المرهون مؤمناً عليه فدفعت شركة التأمين كل قيمته ، حلت هذه القيمة محل الشيء المرهون ، وكان الدائن مخيراً بين استبقائها مرهونة في حقه أو استيفاء حقه فوراً بعد إسقاط الأجل . وقد يكون هلاك الشيء المرهون أو تلفه بفعل الغير ، وهذا سبب أجنب ، فيدفع الغير تعويضاً يحل محل الشيء المرهون ، ويستطيع المدين الراهن أن يقدم هذا التعويض تأميناً كافياً للدائن المرتهن بدلا من وفاء الدين قبل حلول الأجل .</w:t>
      </w:r>
    </w:p>
    <w:p w:rsidR="00F72742" w:rsidRPr="000567F6" w:rsidRDefault="00F72742" w:rsidP="00F72742">
      <w:pPr>
        <w:widowControl w:val="0"/>
        <w:spacing w:after="120"/>
        <w:ind w:firstLine="567"/>
        <w:jc w:val="center"/>
        <w:rPr>
          <w:rFonts w:cs="Traditional Arabic" w:hint="cs"/>
          <w:b/>
          <w:bCs/>
          <w:sz w:val="28"/>
          <w:szCs w:val="32"/>
          <w:rtl/>
        </w:rPr>
      </w:pPr>
      <w:r>
        <w:rPr>
          <w:rFonts w:cs="Traditional Arabic" w:hint="cs"/>
          <w:sz w:val="28"/>
          <w:szCs w:val="32"/>
          <w:rtl/>
        </w:rPr>
        <w:t xml:space="preserve">$807 </w:t>
      </w:r>
      <w:r w:rsidRPr="000567F6">
        <w:rPr>
          <w:rFonts w:cs="Traditional Arabic" w:hint="cs"/>
          <w:b/>
          <w:bCs/>
          <w:sz w:val="44"/>
          <w:szCs w:val="44"/>
          <w:rtl/>
        </w:rPr>
        <w:t>المبحث الثاني</w:t>
      </w:r>
    </w:p>
    <w:p w:rsidR="00F72742" w:rsidRDefault="00F72742" w:rsidP="00F72742">
      <w:pPr>
        <w:widowControl w:val="0"/>
        <w:spacing w:after="120"/>
        <w:ind w:firstLine="567"/>
        <w:jc w:val="center"/>
        <w:rPr>
          <w:rFonts w:cs="Traditional Arabic" w:hint="cs"/>
          <w:sz w:val="28"/>
          <w:szCs w:val="32"/>
          <w:rtl/>
        </w:rPr>
      </w:pPr>
      <w:r w:rsidRPr="000567F6">
        <w:rPr>
          <w:rFonts w:cs="Traditional Arabic" w:hint="cs"/>
          <w:b/>
          <w:bCs/>
          <w:sz w:val="28"/>
          <w:szCs w:val="32"/>
          <w:rtl/>
        </w:rPr>
        <w:t>التزامات الدائن المرتهن حيازة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556- التزامات أربعة : </w:t>
      </w:r>
      <w:r>
        <w:rPr>
          <w:rFonts w:cs="Traditional Arabic" w:hint="cs"/>
          <w:sz w:val="28"/>
          <w:szCs w:val="32"/>
          <w:rtl/>
        </w:rPr>
        <w:t>ويلتزم الدائن المرتهن حيازة بالتزامات أربعة :</w:t>
      </w:r>
    </w:p>
    <w:p w:rsidR="00F72742" w:rsidRPr="000567F6"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( 1 ) المحافظة على الشيء المرهون . ( 2 ) واستثماره ( 3 ) وإدارته . ( 4 ) ورده إلى الرهن بعد استيفاء كامل حقه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ويسري على رهن الحيازة ما يسري على الرهن الرسمي : ( 1 ) إذا كان الراهن غير المدين ، فلا يجوز التنفيذ على ماله إلا ما رهن من هذا المال ( م 1050 مدني . ( 2 ) أحكام المادة 1052 مدني المتعلقة بشرط التملك عند عدم الوفاء وشروط البيع دون إجراءات .</w:t>
      </w:r>
    </w:p>
    <w:p w:rsidR="00F72742" w:rsidRPr="00A41071" w:rsidRDefault="00F72742" w:rsidP="00F72742">
      <w:pPr>
        <w:widowControl w:val="0"/>
        <w:spacing w:after="120"/>
        <w:jc w:val="center"/>
        <w:rPr>
          <w:rFonts w:cs="Traditional Arabic" w:hint="cs"/>
          <w:b/>
          <w:bCs/>
          <w:sz w:val="40"/>
          <w:szCs w:val="40"/>
          <w:rtl/>
        </w:rPr>
      </w:pPr>
      <w:r>
        <w:rPr>
          <w:rFonts w:cs="Traditional Arabic"/>
          <w:b/>
          <w:bCs/>
          <w:sz w:val="40"/>
          <w:szCs w:val="40"/>
          <w:rtl/>
        </w:rPr>
        <w:br w:type="page"/>
      </w:r>
      <w:r w:rsidRPr="00A41071">
        <w:rPr>
          <w:rFonts w:cs="Traditional Arabic" w:hint="cs"/>
          <w:b/>
          <w:bCs/>
          <w:sz w:val="40"/>
          <w:szCs w:val="40"/>
          <w:rtl/>
        </w:rPr>
        <w:lastRenderedPageBreak/>
        <w:t>المطلب الثاني</w:t>
      </w:r>
    </w:p>
    <w:p w:rsidR="00F72742" w:rsidRDefault="00F72742" w:rsidP="00F72742">
      <w:pPr>
        <w:widowControl w:val="0"/>
        <w:spacing w:after="120"/>
        <w:jc w:val="center"/>
        <w:rPr>
          <w:rFonts w:cs="Traditional Arabic" w:hint="cs"/>
          <w:b/>
          <w:bCs/>
          <w:sz w:val="28"/>
          <w:szCs w:val="32"/>
          <w:rtl/>
        </w:rPr>
      </w:pPr>
      <w:r w:rsidRPr="00A41071">
        <w:rPr>
          <w:rFonts w:cs="Traditional Arabic" w:hint="cs"/>
          <w:b/>
          <w:bCs/>
          <w:sz w:val="28"/>
          <w:szCs w:val="32"/>
          <w:rtl/>
        </w:rPr>
        <w:t>المحافظة على الشيء المرهون</w:t>
      </w:r>
    </w:p>
    <w:p w:rsidR="00F72742" w:rsidRPr="00B13D65"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557- نص قانوني : </w:t>
      </w:r>
      <w:r>
        <w:rPr>
          <w:rFonts w:cs="Traditional Arabic" w:hint="cs"/>
          <w:sz w:val="28"/>
          <w:szCs w:val="32"/>
          <w:rtl/>
        </w:rPr>
        <w:t>نصت المادة 1103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تسلم الدائن المرتهن الشيء المرهون ، فعليه أن يبذل في حفظه وصيانته من العناية ما يبذله الشخص المعتاد ، وهو مسئول عن هلاك الشيء أو تلفه ما لم يثبت أن ذلك يرجع إلى سبب أجنبي لا يد له فيه"</w:t>
      </w:r>
      <w:r>
        <w:rPr>
          <w:rFonts w:cs="Traditional Arabic" w:hint="cs"/>
          <w:sz w:val="28"/>
          <w:szCs w:val="32"/>
          <w:vertAlign w:val="superscript"/>
          <w:rtl/>
        </w:rPr>
        <w:t xml:space="preserve">( </w:t>
      </w:r>
      <w:r w:rsidRPr="00EC737F">
        <w:rPr>
          <w:rStyle w:val="ab"/>
          <w:rFonts w:cs="Traditional Arabic"/>
          <w:sz w:val="28"/>
          <w:szCs w:val="32"/>
          <w:rtl/>
        </w:rPr>
        <w:footnoteReference w:id="156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$808 وقد 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فالدائن المرتهن ، إذا تسلم الشيء ، يكون مسئولا عن حفظه وصيانته ، ويلتزم أن يبذل في المحافظة عليه عناية الرجل المعتاد . وهذه المسئولية تعاقدي ، فهو مسئول عن هلاك الشيء إلا إذا أثبت أن الهلاك يرجع إلى سبب أجنبي لا يد له فيه . ومما يدخل في العناية المطلوبة من الدائن المرتهن أن يبادر ، وهو الحائز للشيء المرهون ، إلى إخطار الراهن بما عسى أن يهدد الشيء من هلاك أو تلف أو نقص في القيمة . ويجوز للراهن في هذه الحالة أن يسترد الشيء المعرض للتلف ، على أن يقدم للدائن تأميناً  آخر يكون كافياً"</w:t>
      </w:r>
      <w:r>
        <w:rPr>
          <w:rFonts w:cs="Traditional Arabic" w:hint="cs"/>
          <w:sz w:val="28"/>
          <w:szCs w:val="32"/>
          <w:vertAlign w:val="superscript"/>
          <w:rtl/>
        </w:rPr>
        <w:t xml:space="preserve">( </w:t>
      </w:r>
      <w:r w:rsidRPr="00EC737F">
        <w:rPr>
          <w:rStyle w:val="ab"/>
          <w:rFonts w:cs="Traditional Arabic"/>
          <w:sz w:val="28"/>
          <w:szCs w:val="32"/>
          <w:rtl/>
        </w:rPr>
        <w:footnoteReference w:id="156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هذا الالتزام في ذمة الدائن المرتهن ( المحافظة على الشيء $809 المرهون ) ، وما يليه من التزامات ثلاثة أخرى في ذمة الدائن المرتهن ( استثمار الشيء المرهون وإدارته ورده ) ، إنما تترتب جميعاً بتسلم الدائن المرتهن للشيء المرهون إذ أن تسليم الدائن المرتهن الشيء المرهون هو التزام في ذمة الراهن أطلنا القول فيه فيما تقدم . وقبل أن يتسلم الدائن المرتهن الشيء المرهون ،  لا يكون عليه شيء من هذه الالتزامات الأربعة ، فهي التزامات لا توجد إلا بعد أن ينفذ الرهن التزامه من تسليم الشيء المرهون ونقل حيازته إلى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ونتكلم ، في صدد هذا الالتزام ( المحافظة على الشيء المرهون ) فيما يأتي : ( 1 ) الالتزام تعاقدي وما يستتبع ذلك ( مقدار العناية </w:t>
      </w:r>
      <w:r>
        <w:rPr>
          <w:rFonts w:cs="Traditional Arabic"/>
          <w:sz w:val="28"/>
          <w:szCs w:val="32"/>
          <w:rtl/>
        </w:rPr>
        <w:t>–</w:t>
      </w:r>
      <w:r>
        <w:rPr>
          <w:rFonts w:cs="Traditional Arabic" w:hint="cs"/>
          <w:sz w:val="28"/>
          <w:szCs w:val="32"/>
          <w:rtl/>
        </w:rPr>
        <w:t xml:space="preserve"> إثبات السبب الأجنبي ) . ( 2 ) ما يدخل في العناية المطلوبة . ( 3 ) المصروفات اللازمة للمحافظة على الشيء . ( 4 ) جزاء الالتزام بالمحافظة على الشيء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558- التزام المحافظة على الشيء التزام تعاقدي : </w:t>
      </w:r>
      <w:r>
        <w:rPr>
          <w:rFonts w:cs="Traditional Arabic" w:hint="cs"/>
          <w:sz w:val="28"/>
          <w:szCs w:val="32"/>
          <w:rtl/>
        </w:rPr>
        <w:t>فإذا تسلم الدائن المرتهن الشيء المرهون ، فإنه يلتزم بالمحافظة عليه وبصيانته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فيجب عليه أن يقوم بما يلزم لحفظ الشيء ، ولجعله يقوم بعمله ويؤدي مهمته . فإذا كان الشيء </w:t>
      </w:r>
      <w:r>
        <w:rPr>
          <w:rFonts w:cs="Traditional Arabic" w:hint="cs"/>
          <w:sz w:val="28"/>
          <w:szCs w:val="32"/>
          <w:rtl/>
        </w:rPr>
        <w:lastRenderedPageBreak/>
        <w:t>ديناً مضموناً برهن رسمي ، وجب عليه أن يجدد قيد الرهن في الوقت المناسب</w:t>
      </w:r>
      <w:r>
        <w:rPr>
          <w:rFonts w:cs="Traditional Arabic" w:hint="cs"/>
          <w:sz w:val="28"/>
          <w:szCs w:val="32"/>
          <w:vertAlign w:val="superscript"/>
          <w:rtl/>
        </w:rPr>
        <w:t xml:space="preserve">( </w:t>
      </w:r>
      <w:r w:rsidRPr="00EC737F">
        <w:rPr>
          <w:rStyle w:val="ab"/>
          <w:rFonts w:cs="Traditional Arabic"/>
          <w:sz w:val="28"/>
          <w:szCs w:val="32"/>
          <w:rtl/>
        </w:rPr>
        <w:footnoteReference w:id="1568"/>
      </w:r>
      <w:r>
        <w:rPr>
          <w:rFonts w:cs="Traditional Arabic" w:hint="cs"/>
          <w:sz w:val="28"/>
          <w:szCs w:val="32"/>
          <w:vertAlign w:val="superscript"/>
          <w:rtl/>
        </w:rPr>
        <w:t xml:space="preserve"> )</w:t>
      </w:r>
      <w:r>
        <w:rPr>
          <w:rFonts w:cs="Traditional Arabic" w:hint="cs"/>
          <w:sz w:val="28"/>
          <w:szCs w:val="32"/>
          <w:rtl/>
        </w:rPr>
        <w:t xml:space="preserve"> . إذا كان الدين مهدداً بالسقوط بالتقادم ، وجب عليه أن يقطع المدة</w:t>
      </w:r>
      <w:r>
        <w:rPr>
          <w:rFonts w:cs="Traditional Arabic" w:hint="cs"/>
          <w:sz w:val="28"/>
          <w:szCs w:val="32"/>
          <w:vertAlign w:val="superscript"/>
          <w:rtl/>
        </w:rPr>
        <w:t xml:space="preserve">( </w:t>
      </w:r>
      <w:r w:rsidRPr="00EC737F">
        <w:rPr>
          <w:rStyle w:val="ab"/>
          <w:rFonts w:cs="Traditional Arabic"/>
          <w:sz w:val="28"/>
          <w:szCs w:val="32"/>
          <w:rtl/>
        </w:rPr>
        <w:footnoteReference w:id="1569"/>
      </w:r>
      <w:r>
        <w:rPr>
          <w:rFonts w:cs="Traditional Arabic" w:hint="cs"/>
          <w:sz w:val="28"/>
          <w:szCs w:val="32"/>
          <w:vertAlign w:val="superscript"/>
          <w:rtl/>
        </w:rPr>
        <w:t xml:space="preserve"> )</w:t>
      </w:r>
      <w:r>
        <w:rPr>
          <w:rFonts w:cs="Traditional Arabic" w:hint="cs"/>
          <w:sz w:val="28"/>
          <w:szCs w:val="32"/>
          <w:rtl/>
        </w:rPr>
        <w:t xml:space="preserve"> . وإذا كان المرهون كمبيالة ، وجب عليه أن يطالب بالوفاء بها عند الاستحقاق</w:t>
      </w:r>
      <w:r>
        <w:rPr>
          <w:rFonts w:cs="Traditional Arabic" w:hint="cs"/>
          <w:sz w:val="28"/>
          <w:szCs w:val="32"/>
          <w:vertAlign w:val="superscript"/>
          <w:rtl/>
        </w:rPr>
        <w:t xml:space="preserve">( </w:t>
      </w:r>
      <w:r w:rsidRPr="00EC737F">
        <w:rPr>
          <w:rStyle w:val="ab"/>
          <w:rFonts w:cs="Traditional Arabic"/>
          <w:sz w:val="28"/>
          <w:szCs w:val="32"/>
          <w:rtl/>
        </w:rPr>
        <w:footnoteReference w:id="1570"/>
      </w:r>
      <w:r>
        <w:rPr>
          <w:rFonts w:cs="Traditional Arabic" w:hint="cs"/>
          <w:sz w:val="28"/>
          <w:szCs w:val="32"/>
          <w:vertAlign w:val="superscript"/>
          <w:rtl/>
        </w:rPr>
        <w:t xml:space="preserve"> )</w:t>
      </w:r>
      <w:r>
        <w:rPr>
          <w:rFonts w:cs="Traditional Arabic" w:hint="cs"/>
          <w:sz w:val="28"/>
          <w:szCs w:val="32"/>
          <w:rtl/>
        </w:rPr>
        <w:t xml:space="preserve"> ، وأن يقوم بعمل البروتستو عند عدم الدفع</w:t>
      </w:r>
      <w:r>
        <w:rPr>
          <w:rFonts w:cs="Traditional Arabic" w:hint="cs"/>
          <w:sz w:val="28"/>
          <w:szCs w:val="32"/>
          <w:vertAlign w:val="superscript"/>
          <w:rtl/>
        </w:rPr>
        <w:t xml:space="preserve">( </w:t>
      </w:r>
      <w:r w:rsidRPr="00EC737F">
        <w:rPr>
          <w:rStyle w:val="ab"/>
          <w:rFonts w:cs="Traditional Arabic"/>
          <w:sz w:val="28"/>
          <w:szCs w:val="32"/>
          <w:rtl/>
        </w:rPr>
        <w:footnoteReference w:id="1571"/>
      </w:r>
      <w:r>
        <w:rPr>
          <w:rFonts w:cs="Traditional Arabic" w:hint="cs"/>
          <w:sz w:val="28"/>
          <w:szCs w:val="32"/>
          <w:vertAlign w:val="superscript"/>
          <w:rtl/>
        </w:rPr>
        <w:t xml:space="preserve"> )</w:t>
      </w:r>
      <w:r>
        <w:rPr>
          <w:rFonts w:cs="Traditional Arabic" w:hint="cs"/>
          <w:sz w:val="28"/>
          <w:szCs w:val="32"/>
          <w:rtl/>
        </w:rPr>
        <w:t xml:space="preserve"> . وإذا كانت المحافظة على الشيء في حاجة إلى $810 خبرة خاصة غير متوافرة في الدائن المرتهن ، وجب عليه الاستعانة بمن تتوافر فيه هذه الخبرة الخاصة</w:t>
      </w:r>
      <w:r>
        <w:rPr>
          <w:rFonts w:cs="Traditional Arabic" w:hint="cs"/>
          <w:sz w:val="28"/>
          <w:szCs w:val="32"/>
          <w:vertAlign w:val="superscript"/>
          <w:rtl/>
        </w:rPr>
        <w:t xml:space="preserve">( </w:t>
      </w:r>
      <w:r w:rsidRPr="00EC737F">
        <w:rPr>
          <w:rStyle w:val="ab"/>
          <w:rFonts w:cs="Traditional Arabic"/>
          <w:sz w:val="28"/>
          <w:szCs w:val="32"/>
          <w:rtl/>
        </w:rPr>
        <w:footnoteReference w:id="1572"/>
      </w:r>
      <w:r>
        <w:rPr>
          <w:rFonts w:cs="Traditional Arabic" w:hint="cs"/>
          <w:sz w:val="28"/>
          <w:szCs w:val="32"/>
          <w:vertAlign w:val="superscript"/>
          <w:rtl/>
        </w:rPr>
        <w:t xml:space="preserve"> )</w:t>
      </w:r>
      <w:r>
        <w:rPr>
          <w:rFonts w:cs="Traditional Arabic" w:hint="cs"/>
          <w:sz w:val="28"/>
          <w:szCs w:val="32"/>
          <w:rtl/>
        </w:rPr>
        <w:t xml:space="preserve"> .</w:t>
      </w:r>
    </w:p>
    <w:p w:rsidR="00F72742" w:rsidRPr="00621543"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والعناية المطلوبة في المحافظة على الشيء المرهون هي عناية الشخص المعتاد ، لا أزيد ولا أقل . فلو أن الدائن المرتهن كان معروفاً بالحيطة والتدبر في أموره ، ويزيد على الشخص المعتاد في عنايته بشؤونه ، لم يطلب منه كل هذه العناية في المحافظة على الشيء المرهون ، وإلا فإنها عناية تزيد على عناية الشخص المعتاد . كذلك إذا كان الدائن المرتهن معروفاً بالإهمال وعدم التحوط ، لم يكتف منه بهذه العناية ، وإلا فإنها عناية تقل عن عناية الشخص المعتاد . والمطلوب هو عناية الشخص المعتاد ، لا أقل ولو كانت عناية الدائن المرتهن في شؤونه الخاصة أقل من عناية الرج المعتاد ، ولا أكثر ولو كانت عناية الدائن المرتهن في شؤونه الخاصة أزيد من عناية الرجل المعتاد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ثم إن هذا الالتزام التزام تعاقدي ، لأنه ينشأ من عقد الرهن فيما بين الدائن والمرتهن والراهن . ومعنى أنه التزام تعاقدي أنه يفرض أن الدائن المرتهن قائم به ، فلا حاجة لتحمل الراهن أي عبء في الإثبات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فما دام الشيء لم يصبه أي مكروه ، ولم يهلك ولم يتلف ، فالمفروض أن الدائن المرتهن قائم بالتزامه من المحافظة على الشيء بعناية الشخص المعتاد . وقد سبق أن بحثنا الحكم فيما إذا هلك الشيء أو تلف ، بتقصير الراهن ، أو بتقصير الدائن المرتهن ، أو بسبب أجنبي ، ولم نعرض في ذلك لمسألة الإثبات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هنا فنقول إن عبء الإثبات يتحمله الدائن المرتهن ، لأن الالتزام $811 تعاقدي . فما دام الشيء المرهون سليما ، فهذا دليل على أن الدائن المرتهن قائم بالتزامه من المحافظة على الشيء بعناية الشخص المعتاد . أما إذ هلك الشيء أو تلف أو أصابه خلل ، فإن الراهن لا يكلف بأي إثبات . ومن حقه أن يعتبر أن الدائن المرتهن لم يقم بالتزامه من المحافظة على الشيء بعناية الشخص المعتاد ، وأنه مسئول عن هذا الخلل . وعبء الإثبات يتحمله الدائن المرتهن ، فهو مسئول عن الخلل إلا إذا أثبت أن الهلاك أو التلف أو الخلل يرجع إلى سبب أجنبي لا يد له فيه . وتقول مذكرة المشروع التمهيدي في هذا الصدد : "وهذه المسئولية تعاقدية ، فهو مسئول عن هلاك الشيء ، إلا إذا أثبت أن الهلاك يرجع إلى سبب أجنبي لا يد له فيه"</w:t>
      </w:r>
      <w:r>
        <w:rPr>
          <w:rFonts w:cs="Traditional Arabic" w:hint="cs"/>
          <w:sz w:val="28"/>
          <w:szCs w:val="32"/>
          <w:vertAlign w:val="superscript"/>
          <w:rtl/>
        </w:rPr>
        <w:t xml:space="preserve">( </w:t>
      </w:r>
      <w:r w:rsidRPr="00EC737F">
        <w:rPr>
          <w:rStyle w:val="ab"/>
          <w:rFonts w:cs="Traditional Arabic"/>
          <w:sz w:val="28"/>
          <w:szCs w:val="32"/>
          <w:rtl/>
        </w:rPr>
        <w:footnoteReference w:id="157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وخلاصة القول هنا أن أي هلاك ا تلف أو خلل في الشيء المرهون ، بعد أن تسلمه الدائن ، يفرض أنه حصل بخطأه ، ما لم يثبت هو أنه حصل بخطأ الراهن أو بخطأ الغير أو قضاء وقدراً ، أي ما لم يثبت هو أنه حصل بسبب أجنبي لا يد له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559- ما يدخل في الغلة المطلوبة </w:t>
      </w:r>
      <w:r>
        <w:rPr>
          <w:rFonts w:cs="Traditional Arabic"/>
          <w:b/>
          <w:bCs/>
          <w:sz w:val="28"/>
          <w:szCs w:val="32"/>
          <w:rtl/>
        </w:rPr>
        <w:t>–</w:t>
      </w:r>
      <w:r>
        <w:rPr>
          <w:rFonts w:cs="Traditional Arabic" w:hint="cs"/>
          <w:b/>
          <w:bCs/>
          <w:sz w:val="28"/>
          <w:szCs w:val="32"/>
          <w:rtl/>
        </w:rPr>
        <w:t xml:space="preserve"> نص محذوف :</w:t>
      </w:r>
      <w:r>
        <w:rPr>
          <w:rFonts w:cs="Traditional Arabic" w:hint="cs"/>
          <w:sz w:val="28"/>
          <w:szCs w:val="32"/>
          <w:rtl/>
        </w:rPr>
        <w:t xml:space="preserve"> وكان المشروع التمهيدي يتضمن نصاً هو المادة 1540 ، وكانت تجري على الوجه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"إذا كان الشيء الموهون مهدداً أن يصيب هلاك أو تلف أو نقص في القيمة ، وجب على الدائن أن يبادر بإخطار الراهن بذلك . وفي هذه الحالة يجوز للراهن أن يسترد الشيء ، إذا قدم للدائن تأميناً آخر يراه القاضي كافياً"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تليت هذه المادة في لجنة المراجعة ، فرأت اللجنة حذفها اكتفاء بالقواعد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5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والقول العامة تكفي ، في الواقع من الأمر ، للوصل إلى حكم هذه $812 المادة دون حاجة إلى نص خاص بذلك . فالدائن المرتهن هو الذي انتقلت إليه حيازة الشيء المرهون ، فيعلم بطبيعة الحال حالة هذا الشيء ، وما إذا كان مهدداً أن يصيبه هلاك أو تلف أو نقص في القيمة . فإذا كان مهدداً بذلك ، كان الأمر خطيراً ولم يستطع السكوت على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فعليه أن يبادر إلى إخطار الراهن بحالة الشيء المرهون . فإذا رأى الراهن أن بقاء الشيء بحالته عند الدائن المرتهن يهدد هذا الشيء ، وأن الشيء قد يهلك أو يتلف ا يصيبه نقص في القيمة ، فله أن يسترد الشيء من الدائن المرتهن ، على أن يقدم له تأميناً آخر يراه القاضي كافيا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فيدخل إذن في العناية المطلوبة من الدائن المرتهن ، أن يخطر الراهن بما يهدد الشيء المرهون من هلاك أو تلف أو نقص في القيمة ، حتى يستطيع الراهن أن يكون ملماً بحالة الشيء ، فيكون على بصيرة من أمره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مذكرة المشروع التمهيدي ، في هذا الصدد ، ما يأتي : "ومما يدخل في العناية المطلوبة من الدائن المرتهن أن يبادر ، وهو الحائز للشيء المرهون ، إلى إخطار الراهن بما عسى أن يهدد الشيء من هلاك أو تلف أو نقص في القيمة . ويجوز للراهن في هذه الحالة أن يسترد الشيء المعرض للتلف ، على أن يقدم للدائن تأميناً آخر يكون كافياً ( م 1540 من المشروع التمهيدي"</w:t>
      </w:r>
      <w:r>
        <w:rPr>
          <w:rFonts w:cs="Traditional Arabic" w:hint="cs"/>
          <w:sz w:val="28"/>
          <w:szCs w:val="32"/>
          <w:vertAlign w:val="superscript"/>
          <w:rtl/>
        </w:rPr>
        <w:t xml:space="preserve">( </w:t>
      </w:r>
      <w:r w:rsidRPr="00EC737F">
        <w:rPr>
          <w:rStyle w:val="ab"/>
          <w:rFonts w:cs="Traditional Arabic"/>
          <w:sz w:val="28"/>
          <w:szCs w:val="32"/>
          <w:rtl/>
        </w:rPr>
        <w:footnoteReference w:id="1575"/>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560 المصروفات اللازمة للمحافظة على الشيء :</w:t>
      </w:r>
      <w:r>
        <w:rPr>
          <w:rFonts w:cs="Traditional Arabic" w:hint="cs"/>
          <w:sz w:val="28"/>
          <w:szCs w:val="32"/>
          <w:rtl/>
        </w:rPr>
        <w:t xml:space="preserve"> وقد يتفق الدائن المرتهن ، في المحافظة على الشيء المرهون وصيانته ، مصروفات تقتضيها أعمال المحافظة والصيانة . مثل ذلك مصروفات تجديد القيد ، وقطع المدة في التقادم ، والوفاء بالكمبيالة ، وعمل البروتستو ، ونحو ذلك</w:t>
      </w:r>
      <w:r>
        <w:rPr>
          <w:rFonts w:cs="Traditional Arabic" w:hint="cs"/>
          <w:sz w:val="28"/>
          <w:szCs w:val="32"/>
          <w:vertAlign w:val="superscript"/>
          <w:rtl/>
        </w:rPr>
        <w:t xml:space="preserve">( </w:t>
      </w:r>
      <w:r w:rsidRPr="00EC737F">
        <w:rPr>
          <w:rStyle w:val="ab"/>
          <w:rFonts w:cs="Traditional Arabic"/>
          <w:sz w:val="28"/>
          <w:szCs w:val="32"/>
          <w:rtl/>
        </w:rPr>
        <w:footnoteReference w:id="157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$813 وهذه المصروفات ينفقها الدائن المرتهن ، ولكن يكون له حق الرجوع بها على المستفيد الحقيقي منها ، وغالباً يكون الراهن ، أو المدين ، أو المدين الراهن إذا كان شخصاً واحداً</w:t>
      </w:r>
      <w:r>
        <w:rPr>
          <w:rFonts w:cs="Traditional Arabic" w:hint="cs"/>
          <w:sz w:val="28"/>
          <w:szCs w:val="32"/>
          <w:vertAlign w:val="superscript"/>
          <w:rtl/>
        </w:rPr>
        <w:t xml:space="preserve">( </w:t>
      </w:r>
      <w:r w:rsidRPr="00EC737F">
        <w:rPr>
          <w:rStyle w:val="ab"/>
          <w:rFonts w:cs="Traditional Arabic"/>
          <w:sz w:val="28"/>
          <w:szCs w:val="32"/>
          <w:rtl/>
        </w:rPr>
        <w:footnoteReference w:id="157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561- جزاء الالتزام بالمحافظة على الشيء المرهون :</w:t>
      </w:r>
      <w:r>
        <w:rPr>
          <w:rFonts w:cs="Traditional Arabic" w:hint="cs"/>
          <w:sz w:val="28"/>
          <w:szCs w:val="32"/>
          <w:rtl/>
        </w:rPr>
        <w:t xml:space="preserve"> وقد لا يقوم الدائن المرتهن بالتزامه بالمحافظة على الشيء المرهون ، أو يخل بهذا الالتزام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وزهنا يجب تطبيق القواعد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هذه تعني بأهمية المخالفة ، وما أصاب الراهن أو غيره من ضرر بسببها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الضرر غير جسيم ، فقد يكفي الحكم بالتعويض للمضرور جزاء للدائن المرتهن لعدم القيام بالتزامه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كان الضرر جسيماً ، ولا يؤمن بقاء الشيء المرهون في يد الدائن المرتهن ، فقد يصل الأمر ، فوق الحكم بالتعويض ، إلى وضع الشيء المرهون تحت الحراسة .</w:t>
      </w:r>
    </w:p>
    <w:p w:rsidR="00F72742" w:rsidRPr="00A2116D" w:rsidRDefault="00F72742" w:rsidP="00F72742">
      <w:pPr>
        <w:widowControl w:val="0"/>
        <w:spacing w:after="120"/>
        <w:jc w:val="center"/>
        <w:rPr>
          <w:rFonts w:cs="Traditional Arabic" w:hint="cs"/>
          <w:b/>
          <w:bCs/>
          <w:sz w:val="40"/>
          <w:szCs w:val="40"/>
          <w:rtl/>
        </w:rPr>
      </w:pPr>
      <w:r w:rsidRPr="00A2116D">
        <w:rPr>
          <w:rFonts w:cs="Traditional Arabic" w:hint="cs"/>
          <w:b/>
          <w:bCs/>
          <w:sz w:val="40"/>
          <w:szCs w:val="40"/>
          <w:rtl/>
        </w:rPr>
        <w:t>المطلب الثاني</w:t>
      </w:r>
    </w:p>
    <w:p w:rsidR="00F72742" w:rsidRPr="00A2116D" w:rsidRDefault="00F72742" w:rsidP="00F72742">
      <w:pPr>
        <w:widowControl w:val="0"/>
        <w:spacing w:after="120"/>
        <w:jc w:val="center"/>
        <w:rPr>
          <w:rFonts w:cs="Traditional Arabic" w:hint="cs"/>
          <w:b/>
          <w:bCs/>
          <w:sz w:val="28"/>
          <w:szCs w:val="32"/>
          <w:rtl/>
        </w:rPr>
      </w:pPr>
      <w:r w:rsidRPr="00A2116D">
        <w:rPr>
          <w:rFonts w:cs="Traditional Arabic" w:hint="cs"/>
          <w:b/>
          <w:bCs/>
          <w:sz w:val="28"/>
          <w:szCs w:val="32"/>
          <w:rtl/>
        </w:rPr>
        <w:t>استثمار الشيء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562- نص قانوني :</w:t>
      </w:r>
      <w:r>
        <w:rPr>
          <w:rFonts w:cs="Traditional Arabic" w:hint="cs"/>
          <w:sz w:val="28"/>
          <w:szCs w:val="32"/>
          <w:rtl/>
        </w:rPr>
        <w:t xml:space="preserve"> تنص المادة 1140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ليس للدائن أن ينتفع بالشيء المرهون دون مقابل"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ولعيه أن يستثمره استثماراً كاملا ، ما لم يتفق على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وما حصل عليه الدائن من صافي الريع وما استفادة من استعمال $814 الشيء يخصم من المبلغ المضمون بالرهن ولو لم يكن قد حل أجله ، على أن يكون الخصم أولا م قيمة ما أنفقه في المحافظة </w:t>
      </w:r>
      <w:r>
        <w:rPr>
          <w:rFonts w:cs="Traditional Arabic" w:hint="cs"/>
          <w:sz w:val="28"/>
          <w:szCs w:val="32"/>
          <w:rtl/>
        </w:rPr>
        <w:lastRenderedPageBreak/>
        <w:t>على الشيء وفي الإصلاحات ثم من المصروفات والفوائد ثم م أصل الدين"</w:t>
      </w:r>
      <w:r>
        <w:rPr>
          <w:rFonts w:cs="Traditional Arabic" w:hint="cs"/>
          <w:sz w:val="28"/>
          <w:szCs w:val="32"/>
          <w:vertAlign w:val="superscript"/>
          <w:rtl/>
        </w:rPr>
        <w:t xml:space="preserve">( </w:t>
      </w:r>
      <w:r w:rsidRPr="00EC737F">
        <w:rPr>
          <w:rStyle w:val="ab"/>
          <w:rFonts w:cs="Traditional Arabic"/>
          <w:sz w:val="28"/>
          <w:szCs w:val="32"/>
          <w:rtl/>
        </w:rPr>
        <w:footnoteReference w:id="15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$815 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يلتزم الدائن باستثمار الشيء المرهون الاستثمار الذي يصلح له ، وأن يبذل في استثماره وإدارته عناية الرجل المعتاد ، ولا يغير من الطريقة المألوفة لاستغلاله إلا برضاء الراهن ، ويبادر إلى إخطار الراهن بكل ما يقتضيه أن يتدخل . فإن أخل الدائن المرتهن بهذا الواجب من العناية ، كان للراهن أن يطلب وضع الشيء تحت الحراسة ، كما يجوز له أن يرد الدين فيسرد الرهن . فإذا لم يكن للدين فوائد . رده بعد خصم الفائدة بسعرها القانوني عن المدة ما بين يوم الوفاء ويوم الحلول"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وما ينتج من الغلة يخصم من الدين ولو لم يكن قد حل أجله ، على أن يحتسب الخصم من قيمة ما أنفقه الدائن المرتهن في المحافظة على الشيء وما عسى أن يستحقه من تعويض ، ثم من المصروفات والفوائد ، ثم من أصل الدين . والحق في أخذ الغلة وخصمها على النحو المتقدم هو عنصر من عناصر حق الرهن ، فالدائن المرتهن يستولي على الغلة أصيلا عن نفسه لا نائباً عن الراهن"</w:t>
      </w:r>
      <w:r>
        <w:rPr>
          <w:rFonts w:cs="Traditional Arabic" w:hint="cs"/>
          <w:sz w:val="28"/>
          <w:szCs w:val="32"/>
          <w:vertAlign w:val="superscript"/>
          <w:rtl/>
        </w:rPr>
        <w:t xml:space="preserve">( </w:t>
      </w:r>
      <w:r w:rsidRPr="00EC737F">
        <w:rPr>
          <w:rStyle w:val="ab"/>
          <w:rFonts w:cs="Traditional Arabic"/>
          <w:sz w:val="28"/>
          <w:szCs w:val="32"/>
          <w:rtl/>
        </w:rPr>
        <w:footnoteReference w:id="15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ونتكلم هنا في المسائل الآتية : ( 19 وجوب استثمار الشيء المرهون بمقابل . ( 2 ) كيفية الاستثمار . ( 3 ) العناية الواجب بذلها في الاستثمار ( 4 ) توزيع ما ينتج من الاستثمار . ( 5 ) جزاء إخلال الدائن المرتهن بهذا الواجب من العناية . ( 6 ) الاتفاق على جعل الثمار في مقابل الفوائد ( م 1105/1 مدني ) . ( 7 ) عدم تعيين ميعاد لحلول الدين المضمون ( م 1105/2 مدني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563- وجوب استثمار الشيء المرهون بمقابل : </w:t>
      </w:r>
      <w:r>
        <w:rPr>
          <w:rFonts w:cs="Traditional Arabic" w:hint="cs"/>
          <w:sz w:val="28"/>
          <w:szCs w:val="32"/>
          <w:rtl/>
        </w:rPr>
        <w:t>ولا يجوز للدائن المرتهن أن ينتفع بالشيء المرهون دون مقابل 0م 1104/1 ) ، بل إن $816 انتفاعه به يجب أن يكون له مقابل</w:t>
      </w:r>
      <w:r>
        <w:rPr>
          <w:rFonts w:cs="Traditional Arabic" w:hint="cs"/>
          <w:sz w:val="28"/>
          <w:szCs w:val="32"/>
          <w:vertAlign w:val="superscript"/>
          <w:rtl/>
        </w:rPr>
        <w:t xml:space="preserve">( </w:t>
      </w:r>
      <w:r w:rsidRPr="00EC737F">
        <w:rPr>
          <w:rStyle w:val="ab"/>
          <w:rFonts w:cs="Traditional Arabic"/>
          <w:sz w:val="28"/>
          <w:szCs w:val="32"/>
          <w:rtl/>
        </w:rPr>
        <w:footnoteReference w:id="1580"/>
      </w:r>
      <w:r>
        <w:rPr>
          <w:rFonts w:cs="Traditional Arabic" w:hint="cs"/>
          <w:sz w:val="28"/>
          <w:szCs w:val="32"/>
          <w:vertAlign w:val="superscript"/>
          <w:rtl/>
        </w:rPr>
        <w:t xml:space="preserve"> )</w:t>
      </w:r>
      <w:r>
        <w:rPr>
          <w:rFonts w:cs="Traditional Arabic" w:hint="cs"/>
          <w:sz w:val="28"/>
          <w:szCs w:val="32"/>
          <w:rtl/>
        </w:rPr>
        <w:t xml:space="preserve"> يخصم من الدين على الوجه الذي سنبينه فيما يلي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ويجب على الدائن المرتهن ، ما دام الشيء المرهون صالحاً للاستثمار ، ا يستثمره استثماراً كاملا ، </w:t>
      </w:r>
      <w:r>
        <w:rPr>
          <w:rFonts w:cs="Traditional Arabic" w:hint="cs"/>
          <w:sz w:val="28"/>
          <w:szCs w:val="32"/>
          <w:rtl/>
        </w:rPr>
        <w:lastRenderedPageBreak/>
        <w:t>ولهذا أوجب القانون نقل حيازة الشيء المرهون إلى الدائن المرتهن حتى يستثمره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اتفاق الدائن المرتهن مع الراهن على أن يستثمر الدائن المرتهن الشيء المرهون ويستبقيه عنده ضماناً لحقه ، ولكن لا بد من اتفاق على ذلك ، وبدون هذا الاتفاق يتعين على الدائن المرتهن بمجرد تسلمه الشيء المرهون أن يستثمره استثماراً كاملا ، وأن يخصم حاصل هذا الاستثمار على نحو معين</w:t>
      </w:r>
      <w:r>
        <w:rPr>
          <w:rFonts w:cs="Traditional Arabic" w:hint="cs"/>
          <w:sz w:val="28"/>
          <w:szCs w:val="32"/>
          <w:vertAlign w:val="superscript"/>
          <w:rtl/>
        </w:rPr>
        <w:t xml:space="preserve">( </w:t>
      </w:r>
      <w:r w:rsidRPr="00EC737F">
        <w:rPr>
          <w:rStyle w:val="ab"/>
          <w:rFonts w:cs="Traditional Arabic"/>
          <w:sz w:val="28"/>
          <w:szCs w:val="32"/>
          <w:rtl/>
        </w:rPr>
        <w:footnoteReference w:id="1581"/>
      </w:r>
      <w:r>
        <w:rPr>
          <w:rFonts w:cs="Traditional Arabic" w:hint="cs"/>
          <w:sz w:val="28"/>
          <w:szCs w:val="32"/>
          <w:vertAlign w:val="superscript"/>
          <w:rtl/>
        </w:rPr>
        <w:t xml:space="preserve"> )</w:t>
      </w:r>
      <w:r>
        <w:rPr>
          <w:rFonts w:cs="Traditional Arabic" w:hint="cs"/>
          <w:sz w:val="28"/>
          <w:szCs w:val="32"/>
          <w:rtl/>
        </w:rPr>
        <w:t xml:space="preserve"> نبينه فيما بعد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564- كيفية الاستثمار :</w:t>
      </w:r>
      <w:r>
        <w:rPr>
          <w:rFonts w:cs="Traditional Arabic" w:hint="cs"/>
          <w:sz w:val="28"/>
          <w:szCs w:val="32"/>
          <w:rtl/>
        </w:rPr>
        <w:t xml:space="preserve"> يكون استثمار الشيء المرهون استثماراً كاملا في الوجه الذي يصلح له ، وبالطريقة المألوفة لاستثمار الشيء . فلا يجوز للدائن المرتهن تغيير هذه الطريقة المألوفة ، إلا إذا رضي الراهن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فاستغلال الأراضي الزراعية استغلالا معتاداً يكون بزرعها بالمحصولات $817 العادية كالفطن والقمح والأذرة والرز والبرسيم وما إلى ذلك ، أو بتأجيرها إلى من يقوم بزراعتها على هذا النحو . واستغلال حدائق الفاكهة أو الورد يكون بزراعها فاكهة أو ورداً ا بتأجيرها لهذا الغرض ، ولكن لا تجوز زراعة هذه الأرض بالمحصولات العادية كالقطن والقمح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واستغلال المنازل والبيوت يكون بسكناها ، أو بتأجيرها للسكنى</w:t>
      </w:r>
      <w:r>
        <w:rPr>
          <w:rFonts w:cs="Traditional Arabic" w:hint="cs"/>
          <w:sz w:val="28"/>
          <w:szCs w:val="32"/>
          <w:vertAlign w:val="superscript"/>
          <w:rtl/>
        </w:rPr>
        <w:t xml:space="preserve">( </w:t>
      </w:r>
      <w:r w:rsidRPr="00EC737F">
        <w:rPr>
          <w:rStyle w:val="ab"/>
          <w:rFonts w:cs="Traditional Arabic"/>
          <w:sz w:val="28"/>
          <w:szCs w:val="32"/>
          <w:rtl/>
        </w:rPr>
        <w:footnoteReference w:id="1582"/>
      </w:r>
      <w:r>
        <w:rPr>
          <w:rFonts w:cs="Traditional Arabic" w:hint="cs"/>
          <w:sz w:val="28"/>
          <w:szCs w:val="32"/>
          <w:vertAlign w:val="superscript"/>
          <w:rtl/>
        </w:rPr>
        <w:t xml:space="preserve"> )</w:t>
      </w:r>
      <w:r>
        <w:rPr>
          <w:rFonts w:cs="Traditional Arabic" w:hint="cs"/>
          <w:sz w:val="28"/>
          <w:szCs w:val="32"/>
          <w:rtl/>
        </w:rPr>
        <w:t xml:space="preserve"> ، ولا يجوز تحويلها إلى فندق أو مصنع إلا برضاء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وكذلك الأمر في الأرض الفضاء ، وفي الفنادق وفي المصانع ، وفي الأشياء المنقولة</w:t>
      </w:r>
      <w:r>
        <w:rPr>
          <w:rFonts w:cs="Traditional Arabic" w:hint="cs"/>
          <w:sz w:val="28"/>
          <w:szCs w:val="32"/>
          <w:vertAlign w:val="superscript"/>
          <w:rtl/>
        </w:rPr>
        <w:t xml:space="preserve">( </w:t>
      </w:r>
      <w:r w:rsidRPr="00EC737F">
        <w:rPr>
          <w:rStyle w:val="ab"/>
          <w:rFonts w:cs="Traditional Arabic"/>
          <w:sz w:val="28"/>
          <w:szCs w:val="32"/>
          <w:rtl/>
        </w:rPr>
        <w:footnoteReference w:id="1583"/>
      </w:r>
      <w:r>
        <w:rPr>
          <w:rFonts w:cs="Traditional Arabic" w:hint="cs"/>
          <w:sz w:val="28"/>
          <w:szCs w:val="32"/>
          <w:vertAlign w:val="superscript"/>
          <w:rtl/>
        </w:rPr>
        <w:t xml:space="preserve"> )</w:t>
      </w:r>
      <w:r>
        <w:rPr>
          <w:rFonts w:cs="Traditional Arabic" w:hint="cs"/>
          <w:sz w:val="28"/>
          <w:szCs w:val="32"/>
          <w:rtl/>
        </w:rPr>
        <w:t xml:space="preserve"> ، وفي الديون ، وفي الأشياء المعنوية ، وفي غير ذلك</w:t>
      </w:r>
      <w:r>
        <w:rPr>
          <w:rFonts w:cs="Traditional Arabic" w:hint="cs"/>
          <w:sz w:val="28"/>
          <w:szCs w:val="32"/>
          <w:vertAlign w:val="superscript"/>
          <w:rtl/>
        </w:rPr>
        <w:t xml:space="preserve">( </w:t>
      </w:r>
      <w:r w:rsidRPr="00EC737F">
        <w:rPr>
          <w:rStyle w:val="ab"/>
          <w:rFonts w:cs="Traditional Arabic"/>
          <w:sz w:val="28"/>
          <w:szCs w:val="32"/>
          <w:rtl/>
        </w:rPr>
        <w:footnoteReference w:id="158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الدائن المرتهن أن يبادر إلى إخطار الراهن بكل ما يقتضيه أن يتدخل ، كإصلاح الشيء وترميمه ، وكعدم صلاحية الشيء للاستثمار ، وكهلاك الشيء أو تلفه أو نقص قيمته ، وغير ذلك مما يحدث للشيء</w:t>
      </w:r>
      <w:r>
        <w:rPr>
          <w:rFonts w:cs="Traditional Arabic" w:hint="cs"/>
          <w:sz w:val="28"/>
          <w:szCs w:val="32"/>
          <w:vertAlign w:val="superscript"/>
          <w:rtl/>
        </w:rPr>
        <w:t xml:space="preserve">( </w:t>
      </w:r>
      <w:r w:rsidRPr="00EC737F">
        <w:rPr>
          <w:rStyle w:val="ab"/>
          <w:rFonts w:cs="Traditional Arabic"/>
          <w:sz w:val="28"/>
          <w:szCs w:val="32"/>
          <w:rtl/>
        </w:rPr>
        <w:footnoteReference w:id="15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$818 </w:t>
      </w:r>
      <w:r>
        <w:rPr>
          <w:rFonts w:cs="Traditional Arabic" w:hint="cs"/>
          <w:b/>
          <w:bCs/>
          <w:sz w:val="28"/>
          <w:szCs w:val="32"/>
          <w:rtl/>
        </w:rPr>
        <w:t xml:space="preserve">565- العناية الواجب بذلها في الاستثمار : </w:t>
      </w:r>
      <w:r>
        <w:rPr>
          <w:rFonts w:cs="Traditional Arabic" w:hint="cs"/>
          <w:sz w:val="28"/>
          <w:szCs w:val="32"/>
          <w:rtl/>
        </w:rPr>
        <w:t>ويجب ا يكون الدائن المرتهن معيناً باستثمار الشيء المرهون ، وأن يبذل في ذلك عناية الرجل المعتاد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فالعناية المطلوبة منه هي عناية الرجل المعتاد ، لا أكثر من ذلك ولو كان يبذل عناية فائقة تزيد على عناية الرجل المعتاد ، في شؤونه الخاصة ، ولا أقل ولو كان معروفاً بالإهمال في شؤونه الخاصة ويبذل فيها عناية أقل من عناية الرجل المعتاد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وتقول مذكرة المشروع التمهيدي في هذا المعنى ما يأتي : "يلتزم الدائن باستثمار الشيء المرهون بالاستثمار الذي يصلح له ، وأن يبذل في استثماره وإدارته عناية الرجل المعتاد"</w:t>
      </w:r>
      <w:r>
        <w:rPr>
          <w:rFonts w:cs="Traditional Arabic" w:hint="cs"/>
          <w:sz w:val="28"/>
          <w:szCs w:val="32"/>
          <w:vertAlign w:val="superscript"/>
          <w:rtl/>
        </w:rPr>
        <w:t xml:space="preserve">( </w:t>
      </w:r>
      <w:r w:rsidRPr="00EC737F">
        <w:rPr>
          <w:rStyle w:val="ab"/>
          <w:rFonts w:cs="Traditional Arabic"/>
          <w:sz w:val="28"/>
          <w:szCs w:val="32"/>
          <w:rtl/>
        </w:rPr>
        <w:footnoteReference w:id="158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566- توزيع ما ينتج من الاستثمار : </w:t>
      </w:r>
      <w:r>
        <w:rPr>
          <w:rFonts w:cs="Traditional Arabic" w:hint="cs"/>
          <w:sz w:val="28"/>
          <w:szCs w:val="32"/>
          <w:rtl/>
        </w:rPr>
        <w:t>وتقول الفقرة الثالثة من المادة 1104 مدن ما يأتي : "وما حصل عليه الدائن من صافي الريع وما استفاده من استعمال الشيء يخصم من المبلغ المضمون بالرهن ولو لم يكن قد حل أجله ، على أن يكون الخصم أولا من قيمة ما أنفقه في المحافظة على الشيء وفي الإصلاحات ، ثم من المصروفات والفوائد ، ثم من أصل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والذي ينتج من الاستثمار ، أي ما حصل عليه الدائن من صافي الريع بعد خصم مصروفات الاستثمار ، وما استفاده من استعمال الشيء كسكناه أو جني ثماره وغلته ، يخصم من المبلغ المضمون بالرهن ولو قبل حلول أجله ، لأن الدائن المرتهن قد استوفاه أو استفاد به . فهذا يعتبر ، إلى جانب ما يسدده الراهن أو المدين نقداً ، مصدراً آخر لسداد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ويوزع على النحو التالي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$819 أولا  : سداد ما للدائن ، مما أنفقه في المحافظة على الشيء وفي الإصلاحات . فما أنفقه الدائن في المحافظة على الشيء ، ويجوز الرجوع به على الراهن ، يستوفيه الدائن المرتهن من هذه الغلة ، لأن الغلة للراهن ومصروفات المحافظة على الشيء على الراهن ، فيقاص هذا في ذاك . . ويستوفي الدائن المرتهن أيضاً من الغلة ما صرفه في إصلاح الشيء المرهون ، لأن ما صرفه في ذلك يرجع به على الراهن ، والغلة ملك الراهن فيستطيع الدائن المرتهن الرجوع على الغلة في هذه المصروفات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ثانياً </w:t>
      </w:r>
      <w:r>
        <w:rPr>
          <w:rFonts w:cs="Traditional Arabic"/>
          <w:sz w:val="28"/>
          <w:szCs w:val="32"/>
          <w:rtl/>
        </w:rPr>
        <w:t>–</w:t>
      </w:r>
      <w:r>
        <w:rPr>
          <w:rFonts w:cs="Traditional Arabic" w:hint="cs"/>
          <w:sz w:val="28"/>
          <w:szCs w:val="32"/>
          <w:rtl/>
        </w:rPr>
        <w:t xml:space="preserve"> سداد ملحقات الدين من مصروفات وفوائد . ويبدأ بالمصروفات ، فما صرفه الدائن المرتهن في الدين من سمسرة وأتعاب محاماة وقيد وتجديد القيد وغير ذلك ، يستوفيه الدائن المرتهن من الغلة ، لأن له الرجوع به على المدين وهو مضمون بالرهن ، فيرجع به على الغلة . ثم بعد المصروفات تأتي فوائد الدين ، ما ضمن منها بالرهن من تلقاء نفسه وما اشترط أن يضمنه الرهن ، وهذه الفائد يستوفيها الدائن المرتهن </w:t>
      </w:r>
      <w:r>
        <w:rPr>
          <w:rFonts w:cs="Traditional Arabic" w:hint="cs"/>
          <w:sz w:val="28"/>
          <w:szCs w:val="32"/>
          <w:rtl/>
        </w:rPr>
        <w:lastRenderedPageBreak/>
        <w:t>أيضاً من الغلة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ثالثاً </w:t>
      </w:r>
      <w:r>
        <w:rPr>
          <w:rFonts w:cs="Traditional Arabic"/>
          <w:sz w:val="28"/>
          <w:szCs w:val="32"/>
          <w:rtl/>
        </w:rPr>
        <w:t>–</w:t>
      </w:r>
      <w:r>
        <w:rPr>
          <w:rFonts w:cs="Traditional Arabic" w:hint="cs"/>
          <w:sz w:val="28"/>
          <w:szCs w:val="32"/>
          <w:rtl/>
        </w:rPr>
        <w:t xml:space="preserve"> سداد أصل الدين . فإن بقى من الغلة شيء بعد كل ما تقدم ، فإنه يذهب لسداد أصل الدين كله أو بعضه ، بعد أن يستوفي الدائن المرتهن من الغلة ما أنفقه في المحافظة على الشيء وفي الإصلاحات ، ثم بعد أن استوفى من الغلة ملحقات الدين من مصروفات وفوائد</w:t>
      </w:r>
      <w:r>
        <w:rPr>
          <w:rFonts w:cs="Traditional Arabic" w:hint="cs"/>
          <w:sz w:val="28"/>
          <w:szCs w:val="32"/>
          <w:vertAlign w:val="superscript"/>
          <w:rtl/>
        </w:rPr>
        <w:t xml:space="preserve">( </w:t>
      </w:r>
      <w:r w:rsidRPr="00EC737F">
        <w:rPr>
          <w:rStyle w:val="ab"/>
          <w:rFonts w:cs="Traditional Arabic"/>
          <w:sz w:val="28"/>
          <w:szCs w:val="32"/>
          <w:rtl/>
        </w:rPr>
        <w:footnoteReference w:id="158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567- جزاء إخلال الدائن المرتهن بهذا الواجب من العناية : </w:t>
      </w:r>
      <w:r>
        <w:rPr>
          <w:rFonts w:cs="Traditional Arabic" w:hint="cs"/>
          <w:sz w:val="28"/>
          <w:szCs w:val="32"/>
          <w:rtl/>
        </w:rPr>
        <w:t>وقد جاء في مذكرة المشروع التمهيدي ما يأتي  : "فإن أخل الدائن المرتهن بهذا الواجب من العناية ، أن للراهن أن يطلب وضع الشيء تحت الحراسة ، $820 كما يجوز له أن يرد الدين فيسترد الرهن . فإذا لم يكن للدين فوائد ، رده بعد خصم الفائدة بسعرها القانوني عن المدة ما بين يوم الوفاء ويوم الحلول"</w:t>
      </w:r>
      <w:r>
        <w:rPr>
          <w:rFonts w:cs="Traditional Arabic" w:hint="cs"/>
          <w:sz w:val="28"/>
          <w:szCs w:val="32"/>
          <w:vertAlign w:val="superscript"/>
          <w:rtl/>
        </w:rPr>
        <w:t xml:space="preserve">( </w:t>
      </w:r>
      <w:r w:rsidRPr="00EC737F">
        <w:rPr>
          <w:rStyle w:val="ab"/>
          <w:rFonts w:cs="Traditional Arabic"/>
          <w:sz w:val="28"/>
          <w:szCs w:val="32"/>
          <w:rtl/>
        </w:rPr>
        <w:footnoteReference w:id="15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 المرتهن عليه واجب هو أن يبذل في استثمار الشيء المرهون عناية الرجل المعتاد كما قدمنا ، وعليه توزيع ما ينتج من الاستثمار على نحو معين ، فإن قصر في شيء من ذلك فإن مذكرة المشروع التمهيدي تقرر للراهن حقين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الحق الأول ) له أن يطلب وضع الشيء تحت الحراسة . فالرهن لا يزال قائماً ، والشيء لا يزال مرهوناً ، ولكن الدائن المرتهن لا يوليه العناية الواجبة وهي عناية الشخص المعتاد . فيوضع الشيء المرهون تحت الحراسة ، والحارس هو الذي يعني به ، فيوليه عناية الشخص المعتاد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 الحق الثاني ) وللمدين الراهن أيضاً أن يرد الدين المضمون بالرهن قبل حلول اجله الأصلية ، ومتى رد الدين استرد الشيء المرهون بعد أن انقضى الرهن على هذا النحو . ويلاحظ ، عند رد الدين ، أن </w:t>
      </w:r>
      <w:r>
        <w:rPr>
          <w:rFonts w:cs="Traditional Arabic" w:hint="cs"/>
          <w:sz w:val="28"/>
          <w:szCs w:val="32"/>
          <w:rtl/>
        </w:rPr>
        <w:lastRenderedPageBreak/>
        <w:t xml:space="preserve">الدين إذا كانت له فوائد ، فقد وقف سريان هذه الفوائد قبل ميعاد الحلول الأصلي ، وعند دفع الدين . أما إذا لم يكن للدين فوائد ، فإن الراهن له أن يخصم من الدين عند رده فوائد بالسعر القانوني ( 4$ في المسائل المدنية و 5% في المسائل التجارية ) ، عن المدة ما بين وقت دفع الدين ووقت حلول ميعاده الأصلي . </w:t>
      </w:r>
    </w:p>
    <w:p w:rsidR="00F72742" w:rsidRPr="000F65FB"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568- الاتفاق على جعل الثمار في مقابل الفوائد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 xml:space="preserve"> وقد نصت الفقرة الأولى من المادة 1105 مدني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كان الشيء المرهون ينتج ثماراً أو إيراداً واتفق الطرفان على أن يجعل ذلك كله أو بعضه في مقابل الفوائد ، كان هذا الاتفاق نافذاً في حدود $ 821 أقصى ما يسمح به القانون من الفوائد الاتفاقية"</w:t>
      </w:r>
      <w:r>
        <w:rPr>
          <w:rFonts w:cs="Traditional Arabic" w:hint="cs"/>
          <w:sz w:val="28"/>
          <w:szCs w:val="32"/>
          <w:vertAlign w:val="superscript"/>
          <w:rtl/>
        </w:rPr>
        <w:t xml:space="preserve">( </w:t>
      </w:r>
      <w:r w:rsidRPr="00EC737F">
        <w:rPr>
          <w:rStyle w:val="ab"/>
          <w:rFonts w:cs="Traditional Arabic"/>
          <w:sz w:val="28"/>
          <w:szCs w:val="32"/>
          <w:rtl/>
        </w:rPr>
        <w:footnoteReference w:id="158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ويؤخذ من هذا النص أنه إذا اتفق الطرفان ، المدين الراهن والدائن المرتهن ، على أن تكون ثمار </w:t>
      </w:r>
      <w:r>
        <w:rPr>
          <w:rFonts w:cs="Traditional Arabic" w:hint="cs"/>
          <w:sz w:val="28"/>
          <w:szCs w:val="32"/>
          <w:rtl/>
        </w:rPr>
        <w:lastRenderedPageBreak/>
        <w:t>الشيء المرهون أو إيراده ( ثمار المدينة ) أو بعضها في مقابل الفوائد ، لم يسر هذا الاتفاق في جميع الأحوال على علاته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كانت مثار الشيء المرهون ( أو بضعها ) لا تجاوز 7% من الدين المضمون بالرهن ، سرى الاتفاق ، واعتبرت الفائدة هي الثمار ( أو بعضها ) وهي لا تجاوز 7% من الدين ، فتكون الفائدة لا تزيد على الحد الأقصى الذي يسمح به القانون للفوائد الاتفاقية ، فقد تكون مثلا 4% أو 5% أو 6% أو 7% ، هذا كله جائز . وبعد أن يستولي الدائن المرتهن على الثمار ، يبقى أصل الدين ، يسدده الدين الراهن للدائن المرتهن على الوجه الذي يتفقان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كانت ثمار الشيء المرهون ( أو بعضها ) تجاوز 7% من الدين ، $822 أو 5% . فيستولي الدائن المرتهن على الثمار ، ويجعل منها 4% أو 5% فوائد للدين ، وما بقي من الثمار بعد ذلك يسدد به أصل الدين . فإذا كانت الثمار تبلغ مثلا 12% من الدين وكانت المسألة مدنية ، استولى الدائن من الثمار على 4% من الدين في مقابل الفوائد . وما بقي من الثمار بعد ذلك ، وهو 8% من الدين كل سنة ، يستولي عليه الدائن ليسدد منه أصل الدين ، فيسدد أصل الدين في 12 .5 سنة( 12 .5 × 8 = 100 ) . ويتحتم على الدائن أن يستوفي أصل الدين على هذا النحو ، أي من فائض الثمار . وإذا أراد المدين الراهن أن يتعجل ، فله أن يدفع ما بقي من أصل الدين في أي وقت أراد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فرض أن الثمار لا يبقى منها شيء لسداد أي جزء من أصل الدين ، بل كانت مثلا 4% من الدين ( والمسألة مدنية ) أو أقل من ذلك ، استولى عليها الدائن المرتهن في مقابل الفوائد ، ولو كانت أقل من 4% من الدين . ويبقى أصل الدين لم يسدد منه شيء حتى يتفق الطرفان على تسديده . فإن لم يتفقا ، اعتبر الدين غير محدد الأجل ، ويحدد القاضي أجلا لحلوله ، مراعياً في ذلك موارد المدين الحالية والمستقبلة ، ومقتضياً من المدين عناية الرجل الحريص على الوفاء بالتزامه . ويستطيع المدين أن يوفي الدين في أي وقت يشاء ، متى استطاع ذلك ، فيسترد العين المرهونة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ورد ذلك في مذكرة المشروع التمهيدي ، على الوجه الآتي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"والذي يقع كثيراً أن يسلم الراهن العين للدائن ، ويسكت عن تحديد سعر الفائدة وميعاد حلول </w:t>
      </w:r>
      <w:r>
        <w:rPr>
          <w:rFonts w:cs="Traditional Arabic" w:hint="cs"/>
          <w:sz w:val="28"/>
          <w:szCs w:val="32"/>
          <w:rtl/>
        </w:rPr>
        <w:lastRenderedPageBreak/>
        <w:t>الدين ، وهذه هي صورة للغاروقة التي أبطلت . فيجب تطبيق القواعد العامة في هذه الحالة ، على أن تحسب الفائدة على أساس السعر القانوني دون أن تجاوز الثمار . فإذا بقي شيء من الثمار خصم من أصل الدين ، ولا يستطيع الدائن أن يطالب بالدين إلا من طريق خصمه من فائض الثمار . فإذا لم يكن للثمار فائض كان الدين غير محدد الأجل ، فيحدد $825 القاضي أجلا  للحلول ، مراعهياً في ذلك موارد المدين الحالة والمستقبلة ، ومقتضياً عناية الرجل الحريص على الوفاء بالتزامه ( انظر م 395 من المشروع ) . وغني عن البيان أن المدين يستطيع أن يوفي الدين في أي وقت شاء ، فيسترد العين المرهونة"</w:t>
      </w:r>
      <w:r>
        <w:rPr>
          <w:rFonts w:cs="Traditional Arabic" w:hint="cs"/>
          <w:sz w:val="28"/>
          <w:szCs w:val="32"/>
          <w:vertAlign w:val="superscript"/>
          <w:rtl/>
        </w:rPr>
        <w:t xml:space="preserve">( </w:t>
      </w:r>
      <w:r w:rsidRPr="00EC737F">
        <w:rPr>
          <w:rStyle w:val="ab"/>
          <w:rFonts w:cs="Traditional Arabic"/>
          <w:sz w:val="28"/>
          <w:szCs w:val="32"/>
          <w:rtl/>
        </w:rPr>
        <w:footnoteReference w:id="1590"/>
      </w:r>
      <w:r>
        <w:rPr>
          <w:rFonts w:cs="Traditional Arabic" w:hint="cs"/>
          <w:sz w:val="28"/>
          <w:szCs w:val="32"/>
          <w:vertAlign w:val="superscript"/>
          <w:rtl/>
        </w:rPr>
        <w:t xml:space="preserve"> )</w:t>
      </w:r>
      <w:r>
        <w:rPr>
          <w:rFonts w:cs="Traditional Arabic" w:hint="cs"/>
          <w:sz w:val="28"/>
          <w:szCs w:val="32"/>
          <w:rtl/>
        </w:rPr>
        <w:t xml:space="preserve"> .</w:t>
      </w:r>
    </w:p>
    <w:p w:rsidR="00F72742" w:rsidRPr="00D77B59" w:rsidRDefault="00F72742" w:rsidP="00F72742">
      <w:pPr>
        <w:widowControl w:val="0"/>
        <w:spacing w:after="120"/>
        <w:jc w:val="center"/>
        <w:rPr>
          <w:rFonts w:cs="Traditional Arabic" w:hint="cs"/>
          <w:b/>
          <w:bCs/>
          <w:sz w:val="28"/>
          <w:szCs w:val="32"/>
          <w:rtl/>
        </w:rPr>
      </w:pPr>
      <w:r w:rsidRPr="00D77B59">
        <w:rPr>
          <w:rFonts w:cs="Traditional Arabic" w:hint="cs"/>
          <w:b/>
          <w:bCs/>
          <w:sz w:val="28"/>
          <w:szCs w:val="32"/>
          <w:rtl/>
        </w:rPr>
        <w:t>المطلب الثالث</w:t>
      </w:r>
    </w:p>
    <w:p w:rsidR="00F72742" w:rsidRPr="00D77B59" w:rsidRDefault="00F72742" w:rsidP="00F72742">
      <w:pPr>
        <w:widowControl w:val="0"/>
        <w:spacing w:after="120"/>
        <w:jc w:val="center"/>
        <w:rPr>
          <w:rFonts w:cs="Traditional Arabic" w:hint="cs"/>
          <w:b/>
          <w:bCs/>
          <w:sz w:val="28"/>
          <w:szCs w:val="32"/>
          <w:rtl/>
        </w:rPr>
      </w:pPr>
      <w:r w:rsidRPr="00D77B59">
        <w:rPr>
          <w:rFonts w:cs="Traditional Arabic" w:hint="cs"/>
          <w:b/>
          <w:bCs/>
          <w:sz w:val="28"/>
          <w:szCs w:val="32"/>
          <w:rtl/>
        </w:rPr>
        <w:t>إدارة الشيء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570- نص قانوني : </w:t>
      </w:r>
      <w:r>
        <w:rPr>
          <w:rFonts w:cs="Traditional Arabic" w:hint="cs"/>
          <w:sz w:val="28"/>
          <w:szCs w:val="32"/>
          <w:rtl/>
        </w:rPr>
        <w:t>نصت المادة 1106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يتولى الدائن المرتهن إدارة الشيء المرهون ، وعليه أن يبذلك في ذلك من العناية ما يبذله الرجل المعتاد ، وليس له أن يغير من طريقة استغلال الشيء المرهون إلا برضاء الراهن ، ويجب عليه أن يبادر بإخطار الراهن عن كل أمر يقتضي تدخله"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فإذا أساء الدائن استعمال هذا الحق أو إدار الشيء أدارة سيئة أو ارتكب في ذلك اهمالا جسيما ، كان للراهن الحق في أن يطلب وضع الشيء تحت الحراسة ، أو أن يسترده مقابل دفع ما عليه ، وفي الحالة الأخيرة إذا كان المبلغ المضمون بالرهن لا تسري عليه فائدة ولم يكن قد حل أجله ، فلا يكون للدائن إلا ما يبقى من هذا المبلغ بعد خصم قيمة الفائدة منه بسعرها القانون عن المدة ما بين يوم الوفاء ويوم حلول الدين"</w:t>
      </w:r>
      <w:r>
        <w:rPr>
          <w:rFonts w:cs="Traditional Arabic" w:hint="cs"/>
          <w:sz w:val="28"/>
          <w:szCs w:val="32"/>
          <w:vertAlign w:val="superscript"/>
          <w:rtl/>
        </w:rPr>
        <w:t xml:space="preserve">( </w:t>
      </w:r>
      <w:r w:rsidRPr="00EC737F">
        <w:rPr>
          <w:rStyle w:val="ab"/>
          <w:rFonts w:cs="Traditional Arabic"/>
          <w:sz w:val="28"/>
          <w:szCs w:val="32"/>
          <w:rtl/>
        </w:rPr>
        <w:footnoteReference w:id="159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$826 ونتكلم فيما يأتي : ( 1 ) كيفية إدارة الشيء المرهون وما يرد على ذلك من قيود . ( 2 ) العناية الواجب بذلها في إدارة الشيء المرهون . ( 3 ) المصروفات التي ينفقها الدائن المرتهن في الإدارة . ( 4 ) الجزاء على سوء الإدارة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571- كيفية إدارة الشيء المرهون وما يرد على ذلك من قيود : </w:t>
      </w:r>
      <w:r>
        <w:rPr>
          <w:rFonts w:cs="Traditional Arabic" w:hint="cs"/>
          <w:sz w:val="28"/>
          <w:szCs w:val="32"/>
          <w:rtl/>
        </w:rPr>
        <w:t xml:space="preserve">وبمجرد أن يتسلم الدائن </w:t>
      </w:r>
      <w:r>
        <w:rPr>
          <w:rFonts w:cs="Traditional Arabic" w:hint="cs"/>
          <w:sz w:val="28"/>
          <w:szCs w:val="32"/>
          <w:rtl/>
        </w:rPr>
        <w:lastRenderedPageBreak/>
        <w:t>المرتهن الشيء المرهون ويصير في حيازته ، عليه أن يتولى إدارته . فهو الذي يحوزه ، فلا يوجد غيره يصلح لهذه الإدارة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ويديره الإدارة المعتادة المألوفة ، وكما كان يديره الراهن قبل أن $827 يسلمه للدائن المرتهن . فإن إحداث تغيير في هذه الإدارة ، وجب أن يتفق على ذلك مع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ويتقيد الدائن المرتهن ، في إدارته للشيء المرهون ، بقيدين سبق أن تكلما فيهما . وهما : ( 1 ) ليس له أن يغير من طريقة استغلال الشيء المرهون إلا برضاء الراهن . ( 2 ) عليه أن يبادر بإخطار الراهن عن كل أمر يقتضي تدخله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572- العناية الواجب بذلها في أدارة الشيء المرهون : </w:t>
      </w:r>
      <w:r>
        <w:rPr>
          <w:rFonts w:cs="Traditional Arabic" w:hint="cs"/>
          <w:sz w:val="28"/>
          <w:szCs w:val="32"/>
          <w:rtl/>
        </w:rPr>
        <w:t>وتقول الفقرة الأولى من المادة 1106 مدني عن الدائن المرتهن ، كما رأينا ، ما يأتي : "وعليه أن يبذل في ذلك من العناية ما يبذله الرجل المعتاد"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فعناية الرجل المعتاد هي المطلوبة دائماً من الدائن المرتهن ، في المحافظة على الشيء المرهون ، وفي استثماره ، وفي إدارته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فلا يطلب منه عناية أكبر من ذلك ، ولا أقل ، مهما كمانت عنايته بشؤونه الخاصة . قد سبق أن ينا ذلك فيما تقدم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573- المصروفات التي ينفقها الدائن المرتهن في الإدارة :</w:t>
      </w:r>
      <w:r>
        <w:rPr>
          <w:rFonts w:cs="Traditional Arabic" w:hint="cs"/>
          <w:sz w:val="28"/>
          <w:szCs w:val="32"/>
          <w:rtl/>
        </w:rPr>
        <w:t xml:space="preserve"> والدائن المرتهن يبذل مصروفات في إدارة الشيء المرهون ، فهذه كلها يستوفيها من غلة الشيء المرهون ، أو يستوفيها من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ونذكر هنا بعضاً من المصروفات التي ينفقها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المصروفات الضرورية والنافعة والكمالية : أما المصروفات الضرورية فيستوفيها كلها من الراهن ، لأن الراهن كان يصرفها هو لو كان الشيء في حيازته</w:t>
      </w:r>
      <w:r>
        <w:rPr>
          <w:rFonts w:cs="Traditional Arabic" w:hint="cs"/>
          <w:sz w:val="28"/>
          <w:szCs w:val="32"/>
          <w:vertAlign w:val="superscript"/>
          <w:rtl/>
        </w:rPr>
        <w:t xml:space="preserve">( </w:t>
      </w:r>
      <w:r w:rsidRPr="00EC737F">
        <w:rPr>
          <w:rStyle w:val="ab"/>
          <w:rFonts w:cs="Traditional Arabic"/>
          <w:sz w:val="28"/>
          <w:szCs w:val="32"/>
          <w:rtl/>
        </w:rPr>
        <w:footnoteReference w:id="1592"/>
      </w:r>
      <w:r>
        <w:rPr>
          <w:rFonts w:cs="Traditional Arabic" w:hint="cs"/>
          <w:sz w:val="28"/>
          <w:szCs w:val="32"/>
          <w:vertAlign w:val="superscript"/>
          <w:rtl/>
        </w:rPr>
        <w:t xml:space="preserve"> )</w:t>
      </w:r>
      <w:r>
        <w:rPr>
          <w:rFonts w:cs="Traditional Arabic" w:hint="cs"/>
          <w:sz w:val="28"/>
          <w:szCs w:val="32"/>
          <w:rtl/>
        </w:rPr>
        <w:t xml:space="preserve"> . وأما المصروفات النافعة ، فيستوفي فيها الدائن المرتهن من الراهن أقل القيمتين : ما صرف فعلا وما زاد في قيمة الشيء المرهون $828 بسبب ما صرف</w:t>
      </w:r>
      <w:r>
        <w:rPr>
          <w:rFonts w:cs="Traditional Arabic" w:hint="cs"/>
          <w:sz w:val="28"/>
          <w:szCs w:val="32"/>
          <w:vertAlign w:val="superscript"/>
          <w:rtl/>
        </w:rPr>
        <w:t xml:space="preserve">( </w:t>
      </w:r>
      <w:r w:rsidRPr="00EC737F">
        <w:rPr>
          <w:rStyle w:val="ab"/>
          <w:rFonts w:cs="Traditional Arabic"/>
          <w:sz w:val="28"/>
          <w:szCs w:val="32"/>
          <w:rtl/>
        </w:rPr>
        <w:lastRenderedPageBreak/>
        <w:footnoteReference w:id="1593"/>
      </w:r>
      <w:r>
        <w:rPr>
          <w:rFonts w:cs="Traditional Arabic" w:hint="cs"/>
          <w:sz w:val="28"/>
          <w:szCs w:val="32"/>
          <w:vertAlign w:val="superscript"/>
          <w:rtl/>
        </w:rPr>
        <w:t xml:space="preserve"> )</w:t>
      </w:r>
      <w:r>
        <w:rPr>
          <w:rFonts w:cs="Traditional Arabic" w:hint="cs"/>
          <w:sz w:val="28"/>
          <w:szCs w:val="32"/>
          <w:rtl/>
        </w:rPr>
        <w:t xml:space="preserve"> . وليس للدائن المرتهن حق امتياز بسبب المصروفات النافعة</w:t>
      </w:r>
      <w:r>
        <w:rPr>
          <w:rFonts w:cs="Traditional Arabic" w:hint="cs"/>
          <w:sz w:val="28"/>
          <w:szCs w:val="32"/>
          <w:vertAlign w:val="superscript"/>
          <w:rtl/>
        </w:rPr>
        <w:t xml:space="preserve">( </w:t>
      </w:r>
      <w:r w:rsidRPr="00EC737F">
        <w:rPr>
          <w:rStyle w:val="ab"/>
          <w:rFonts w:cs="Traditional Arabic"/>
          <w:sz w:val="28"/>
          <w:szCs w:val="32"/>
          <w:rtl/>
        </w:rPr>
        <w:footnoteReference w:id="1594"/>
      </w:r>
      <w:r>
        <w:rPr>
          <w:rFonts w:cs="Traditional Arabic" w:hint="cs"/>
          <w:sz w:val="28"/>
          <w:szCs w:val="32"/>
          <w:vertAlign w:val="superscript"/>
          <w:rtl/>
        </w:rPr>
        <w:t xml:space="preserve"> )</w:t>
      </w:r>
      <w:r>
        <w:rPr>
          <w:rFonts w:cs="Traditional Arabic" w:hint="cs"/>
          <w:sz w:val="28"/>
          <w:szCs w:val="32"/>
          <w:rtl/>
        </w:rPr>
        <w:t xml:space="preserve"> ، ولكن له الحق في الحبس . وأما المصروفات الكمالية ، فلا يسترد منها شيئاً</w:t>
      </w:r>
      <w:r>
        <w:rPr>
          <w:rFonts w:cs="Traditional Arabic" w:hint="cs"/>
          <w:sz w:val="28"/>
          <w:szCs w:val="32"/>
          <w:vertAlign w:val="superscript"/>
          <w:rtl/>
        </w:rPr>
        <w:t xml:space="preserve">( </w:t>
      </w:r>
      <w:r w:rsidRPr="00EC737F">
        <w:rPr>
          <w:rStyle w:val="ab"/>
          <w:rFonts w:cs="Traditional Arabic"/>
          <w:sz w:val="28"/>
          <w:szCs w:val="32"/>
          <w:rtl/>
        </w:rPr>
        <w:footnoteReference w:id="15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العوايد والرائب : وإذا دفع الدائن المرتهن عوايد أو ضرائب على الشيء المرهون ، فله أن يستوفيها من ريع الشيء المرهون ، أو يستوفيها بالتقدم من ثمن الشيء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5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الضرر الذي يصيب الدائن المرتهن من حيازة الشيء المرهون : وما يصيب الدائن المرتهن من حيازة الشيء المرهون من ضرر ، كما إذا كان الشيء المرهون حيواناً مصاباً بمرض معد فانتقل المرض إلى حيوانات الدائن المرتهن ، يدفع تعويضاً عنه الراهن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5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574- الجزاء على سوء الإدارة</w:t>
      </w:r>
      <w:r>
        <w:rPr>
          <w:rFonts w:cs="Traditional Arabic" w:hint="cs"/>
          <w:sz w:val="28"/>
          <w:szCs w:val="32"/>
          <w:rtl/>
        </w:rPr>
        <w:t xml:space="preserve"> : وتقول الفقرة الثانية من المادة 1106 مدني ما يأتي : "فإذا أساء الدائن استعمال هذا الحق أو أدار الشيء إدارة سيئة أو ارتكب في ذلك إهمالا جسيما ، كان للراهن الحق في أن يطلب وضع الشيء تحت الحراسة ، أو أن يسترده مقابل دفع ما عليه . وفي الحالة الأخيرة إذا كان المبلغ المضمون بالرهن لا تسري علي فائدة ولم يكن قد حل أجله ، فلا يكون للدائن إلا ما يبقى من هذا المبلغ بعد خصم قيمة الفائدة منه بسعرها القانون يعن المدة ما بين يوم الوفاء ويوم حلول الدين"</w:t>
      </w:r>
      <w:r>
        <w:rPr>
          <w:rFonts w:cs="Traditional Arabic" w:hint="cs"/>
          <w:sz w:val="28"/>
          <w:szCs w:val="32"/>
          <w:vertAlign w:val="superscript"/>
          <w:rtl/>
        </w:rPr>
        <w:t xml:space="preserve">( </w:t>
      </w:r>
      <w:r w:rsidRPr="00EC737F">
        <w:rPr>
          <w:rStyle w:val="ab"/>
          <w:rFonts w:cs="Traditional Arabic"/>
          <w:sz w:val="28"/>
          <w:szCs w:val="32"/>
          <w:rtl/>
        </w:rPr>
        <w:footnoteReference w:id="15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$829 ويبين هذا النص أن الدائن المرتهن ، إذا أدار الشيء إدارة سيئة أو ارتكب في إدارته إهمالا جسيماً ، كان له أحد جزائين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الجزاء الأول ) أن يطلب الراهن وضع الشيء المرهون تحت الحراسة ، فينزع الشيء المرهون من إدارة الدائن المرتهن السيئة ، ويوضع في يد حارس يعني به العناية اللائقة ، وقد يستمر ذلك إلى ا ينقضي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الجزاء الثاني ) فإذا كان الجزاء الأول غير كافٍ ، وكان الراهن مستعداً أن يدفع ما عليه من الدين ، فله أن يدفع الدين فينقضي الرهن ، ومن ثم يسترد الراهن الشيء المرهون . وفي هذه الحالة ، إذا كان الدين لا فائدة عليه ولم يحل اجله ، خصم الراهن ، عند دفعه الدين ، من هذا الدين فائدة بالسعر القانوني ( 4% في المسائل المدنية و 5% في المسائل التجارية ) من يوم الوفاء إلى يوم حلول الدين في ميعاده الأصلي . وقد سبق مثل ذلك ، فيما مضى .</w:t>
      </w:r>
    </w:p>
    <w:p w:rsidR="00F72742" w:rsidRPr="00A7117B" w:rsidRDefault="00F72742" w:rsidP="00F72742">
      <w:pPr>
        <w:widowControl w:val="0"/>
        <w:spacing w:after="120"/>
        <w:jc w:val="center"/>
        <w:rPr>
          <w:rFonts w:cs="Traditional Arabic" w:hint="cs"/>
          <w:b/>
          <w:bCs/>
          <w:sz w:val="28"/>
          <w:szCs w:val="32"/>
          <w:rtl/>
        </w:rPr>
      </w:pPr>
      <w:r w:rsidRPr="00A7117B">
        <w:rPr>
          <w:rFonts w:cs="Traditional Arabic" w:hint="cs"/>
          <w:b/>
          <w:bCs/>
          <w:sz w:val="28"/>
          <w:szCs w:val="32"/>
          <w:rtl/>
        </w:rPr>
        <w:t>المطلب الرابع</w:t>
      </w:r>
    </w:p>
    <w:p w:rsidR="00F72742" w:rsidRPr="00A7117B" w:rsidRDefault="00F72742" w:rsidP="00F72742">
      <w:pPr>
        <w:widowControl w:val="0"/>
        <w:spacing w:after="120"/>
        <w:jc w:val="center"/>
        <w:rPr>
          <w:rFonts w:cs="Traditional Arabic" w:hint="cs"/>
          <w:b/>
          <w:bCs/>
          <w:sz w:val="28"/>
          <w:szCs w:val="32"/>
          <w:rtl/>
        </w:rPr>
      </w:pPr>
      <w:r w:rsidRPr="00A7117B">
        <w:rPr>
          <w:rFonts w:cs="Traditional Arabic" w:hint="cs"/>
          <w:b/>
          <w:bCs/>
          <w:sz w:val="28"/>
          <w:szCs w:val="32"/>
          <w:rtl/>
        </w:rPr>
        <w:t>رد الشيء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575- نص قانوني : </w:t>
      </w:r>
      <w:r>
        <w:rPr>
          <w:rFonts w:cs="Traditional Arabic" w:hint="cs"/>
          <w:sz w:val="28"/>
          <w:szCs w:val="32"/>
          <w:rtl/>
        </w:rPr>
        <w:t xml:space="preserve"> تنص المادة 1107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"يرد الدائن الشيء المرهون إلى الراهن ، بعد أن يستوفي كامل حقه وما يتصل بالحق من ملحقات ومصروفات وتعويضات"</w:t>
      </w:r>
      <w:r>
        <w:rPr>
          <w:rFonts w:cs="Traditional Arabic" w:hint="cs"/>
          <w:sz w:val="28"/>
          <w:szCs w:val="32"/>
          <w:vertAlign w:val="superscript"/>
          <w:rtl/>
        </w:rPr>
        <w:t xml:space="preserve">( </w:t>
      </w:r>
      <w:r w:rsidRPr="00EC737F">
        <w:rPr>
          <w:rStyle w:val="ab"/>
          <w:rFonts w:cs="Traditional Arabic"/>
          <w:sz w:val="28"/>
          <w:szCs w:val="32"/>
          <w:rtl/>
        </w:rPr>
        <w:footnoteReference w:id="15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rPr>
          <w:rFonts w:cs="Traditional Arabic" w:hint="cs"/>
          <w:sz w:val="28"/>
          <w:szCs w:val="32"/>
          <w:rtl/>
        </w:rPr>
      </w:pPr>
      <w:r>
        <w:rPr>
          <w:rFonts w:cs="Traditional Arabic" w:hint="cs"/>
          <w:sz w:val="28"/>
          <w:szCs w:val="32"/>
          <w:rtl/>
        </w:rPr>
        <w:lastRenderedPageBreak/>
        <w:t>$830 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يبقى الحق في حبس المرهون ما دام الدين وملحقاته من فوائد ومصروفات وتعويضات لم يدفع . فإذا بقي شيء من ذلك ، ولو قليلا ، بقي الحق في الحبس . أما إذا تم الوفاء به كله انقضى الرهن والحبس ، والتزم المرتهن برد المرهون . ونفقات الرد على الراهن ، إلا إذا قضي الاتفاق بغير ذلك . وقد جعلت على الراهن مع أنه هو الدائن بالرد ، لا المدين به ، تغليباً للمبدأ الذي يجعل الراهن هو الذي يتحمل نفقات الرهن جميعاً"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ويلتزم الدائن المرتهن في حالات خاصة برد الشيء المرهون قبل وفاء الدين ، كمما إذا وجد خطر يهدد الشيء فللراهن أن يسترده إذا $831 قدم تأميناً آخر ، وكما إذا أساء الدائن المرتهن استعمال الشيء المرهون فللراهن أن يطلب وضعه تحت الحراسة ، وكما إذا وقع الرهن على عدة أشياء منفصلة وكان كل منها ضامناً لجزء من الدين فإن الرهن في هذه الحالة يتجزأ وإذا وفى جزء من الدين استرد الراهن ما </w:t>
      </w:r>
      <w:r>
        <w:rPr>
          <w:rFonts w:cs="Traditional Arabic" w:hint="cs"/>
          <w:sz w:val="28"/>
          <w:szCs w:val="32"/>
          <w:rtl/>
        </w:rPr>
        <w:lastRenderedPageBreak/>
        <w:t>يقابل هذا الجزء من الأشياء المرهونة"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"3- فإذا لم يستوف الدائن المرتهن عند حلوله ، كان له أن يحبس العين كما تقدم . وله كذلك أن ينفذ عليها بحقه باعتباره دائناً مرتهناً ، بل وعلى جميع أموال المدين غير المرهونة له باعتباره دائناً عادياً . ويراعى التنفيذ على المرهون قبل غير المرهون ، وأن يجتزئ بالتنفيذ على مال يفي بالدين ولا يزيد عليه كثيراً ( انظر م 328 </w:t>
      </w:r>
      <w:r>
        <w:rPr>
          <w:rFonts w:cs="Traditional Arabic"/>
          <w:sz w:val="28"/>
          <w:szCs w:val="32"/>
          <w:rtl/>
        </w:rPr>
        <w:t>–</w:t>
      </w:r>
      <w:r>
        <w:rPr>
          <w:rFonts w:cs="Traditional Arabic" w:hint="cs"/>
          <w:sz w:val="28"/>
          <w:szCs w:val="32"/>
          <w:rtl/>
        </w:rPr>
        <w:t xml:space="preserve"> 329 من المشروع ) . وإذا كان الراهن كفيلا عينياً أي غير المدين ، فلا ينفذ الدائن من ماله إلا على العين المرهونة . وليس للكفيل العيني بغير اتفاق الدفع بالتجريد ، كما هو الأمر في الرهن الرسمي . ويتمسك بما له من دفوع قبل الدائن ، وكذلك بما للمدين من دفوع حتى لو تنازل هذا عنها أو عارض في التمسك بها ، كما هو الشأن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6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ونتكلم في المسائل الآتية : ( 1 ) متى يرد الدائن المرتهن الشيء المرهون ( حق الحبس في مواجهة الراهن ) . ( 2 ) الالتزام بالرد قبل وفاء الدين . ( 3 ) هلاك الشيء المرهون أو تلفه . ( 4 ) نفقات رد الشيء المرهون . ( 5 ) تنفيذ الدائن المرتهن بحقه ( نص محذوف ) . ( 6 ) الراهن كفيل عيني ( نص محذوف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576- متى يرد الدائن المرتهن الشيء المرهون </w:t>
      </w:r>
      <w:r>
        <w:rPr>
          <w:rFonts w:cs="Traditional Arabic"/>
          <w:b/>
          <w:bCs/>
          <w:sz w:val="28"/>
          <w:szCs w:val="32"/>
          <w:rtl/>
        </w:rPr>
        <w:t>–</w:t>
      </w:r>
      <w:r>
        <w:rPr>
          <w:rFonts w:cs="Traditional Arabic" w:hint="cs"/>
          <w:b/>
          <w:bCs/>
          <w:sz w:val="28"/>
          <w:szCs w:val="32"/>
          <w:rtl/>
        </w:rPr>
        <w:t xml:space="preserve"> حق الحبس في مواجهة الراهن :</w:t>
      </w:r>
      <w:r>
        <w:rPr>
          <w:rFonts w:cs="Traditional Arabic" w:hint="cs"/>
          <w:sz w:val="28"/>
          <w:szCs w:val="32"/>
          <w:rtl/>
        </w:rPr>
        <w:t xml:space="preserve"> إذا دفع الراهن للدائن المرتهن الدين المضمون والمصروفات والتعويضات والملحقات من فوائد وغير ذلك ، أو برئت ذمته من كل $832 ذلك بسبب من أسباب انقضاء الديون ، فإنه يجب على الدائن المرتهن أن يرد الشيء المرهون وملحقاته إلى الراهن ، إذ يكون قد انقضى الرهن فوجب رد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01"/>
      </w:r>
      <w:r>
        <w:rPr>
          <w:rFonts w:cs="Traditional Arabic" w:hint="cs"/>
          <w:sz w:val="28"/>
          <w:szCs w:val="32"/>
          <w:vertAlign w:val="superscript"/>
          <w:rtl/>
        </w:rPr>
        <w:t xml:space="preserve"> )</w:t>
      </w:r>
      <w:r>
        <w:rPr>
          <w:rFonts w:cs="Traditional Arabic" w:hint="cs"/>
          <w:sz w:val="28"/>
          <w:szCs w:val="32"/>
          <w:rtl/>
        </w:rPr>
        <w:t xml:space="preserve"> . وتقول مذكرة المشروع التمهيدي في هذا المعنى : "يبقى الحق في حبس المرهون ما دام الدين وملحقاته من فوائد ومصروفات والتزم </w:t>
      </w:r>
      <w:r>
        <w:rPr>
          <w:rFonts w:cs="Traditional Arabic" w:hint="cs"/>
          <w:sz w:val="28"/>
          <w:szCs w:val="32"/>
          <w:rtl/>
        </w:rPr>
        <w:lastRenderedPageBreak/>
        <w:t>المرتهن برد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بقي شيء من ذلك ، مهما قل لأن الرهن لا يتجزأ ، بقي الرهن قائماً حتى يوفى ما بقي . ويكون للدائن المرتهن في هذه الحالة التنفيذ بما بقي من حقه ، وله على كل حال إبقاء الشيء المرهون  في يده محبوساً في مواجهة الراهن حتى يستوفى كل حقه . وتقول مذكرة المشروع التمهيدي في هذا المعنى : "فإذا بقي شيء م نذلك ، ولو قليلا بقي الحق في الحبس"</w:t>
      </w:r>
      <w:r>
        <w:rPr>
          <w:rFonts w:cs="Traditional Arabic" w:hint="cs"/>
          <w:sz w:val="28"/>
          <w:szCs w:val="32"/>
          <w:vertAlign w:val="superscript"/>
          <w:rtl/>
        </w:rPr>
        <w:t xml:space="preserve">( </w:t>
      </w:r>
      <w:r w:rsidRPr="00EC737F">
        <w:rPr>
          <w:rStyle w:val="ab"/>
          <w:rFonts w:cs="Traditional Arabic"/>
          <w:sz w:val="28"/>
          <w:szCs w:val="32"/>
          <w:rtl/>
        </w:rPr>
        <w:footnoteReference w:id="160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وستوفي الدائن المرتهن حقه بملحقاته جميعاً من غلة الشيء المرهون وهي في يده ، أو مما يدفعه له الراهن والمدين في الميعاد المحدد ، أو من الغلة $833 وما يدفعه الراهن والمدين جميعاً . والمهم هو أن يستوفي الدائن المرتهن حقه المضمون بالرهن ، بالطريقة التي يكون قد اتفق عليها مع الراهن ، أو بالطريقة التي يتفق عليها مع الراهن فيما بعد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وإذا لم يستوف الدائن المرتهن حقه ، كان له حق التنفيذ به كما سنرى ، وكان له كذلك حق حبس </w:t>
      </w:r>
      <w:r>
        <w:rPr>
          <w:rFonts w:cs="Traditional Arabic" w:hint="cs"/>
          <w:sz w:val="28"/>
          <w:szCs w:val="32"/>
          <w:rtl/>
        </w:rPr>
        <w:lastRenderedPageBreak/>
        <w:t>الشيء المرهون عن الراهن . واستطاع أن يبقى حابساً للشيء المرهون دون أن ينفذ بحقه ، وبقي كذلك حابساً للشيء المرهون دائماً حتى يستوفي الحق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وسنتكلم ، عند بحث آثار الرهن بالنسبة إلى الغير ، في حق الحبس بالتفصيل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577- الالتزام بالرد قبل وفاء الدين :</w:t>
      </w:r>
      <w:r>
        <w:rPr>
          <w:rFonts w:cs="Traditional Arabic" w:hint="cs"/>
          <w:sz w:val="28"/>
          <w:szCs w:val="32"/>
          <w:rtl/>
        </w:rPr>
        <w:t xml:space="preserve"> وقد يلتزم الدائن المرتهن ، قبل أن يستوفي حقه بأن يرد الشيء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من ذلك إذا  أساء الدائن المرتهن استعمال الشيء المرهون ، فللراهن أن يطلب وضعه تحت الحراسة . ومن ذلك أيضاً إذا وجد خطر جدي يهدد الشيء المرهون ، فللراهن أن ينتزعه من يد الدائن المرتهن ، قبل أن يوفيه حقه ، إذا هو قدم لهذا الدائن تأميناً آخر</w:t>
      </w:r>
      <w:r>
        <w:rPr>
          <w:rFonts w:cs="Traditional Arabic" w:hint="cs"/>
          <w:sz w:val="28"/>
          <w:szCs w:val="32"/>
          <w:vertAlign w:val="superscript"/>
          <w:rtl/>
        </w:rPr>
        <w:t xml:space="preserve">( </w:t>
      </w:r>
      <w:r w:rsidRPr="00EC737F">
        <w:rPr>
          <w:rStyle w:val="ab"/>
          <w:rFonts w:cs="Traditional Arabic"/>
          <w:sz w:val="28"/>
          <w:szCs w:val="32"/>
          <w:rtl/>
        </w:rPr>
        <w:footnoteReference w:id="160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587- هلاك الشيء المرهون أو تلفه : </w:t>
      </w:r>
      <w:r>
        <w:rPr>
          <w:rFonts w:cs="Traditional Arabic" w:hint="cs"/>
          <w:sz w:val="28"/>
          <w:szCs w:val="32"/>
          <w:rtl/>
        </w:rPr>
        <w:t>وقد قدمنا أنه إذا هلك الشيء المرهون أو تلف ، يفرض أن ذلك قد وقع بتقصير من الدائن المرتهن الذي يحوز الشيء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الدائن المرتهن أن يثبت أن الهلاك أو التلف لا يد له فيه ، وانه وقع بسبب أجنبي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$834 وسواء وقع بسبب أجنبي أو وقع بخطأ الدائن المرتهن ، فإن الدائن المرتهن لا يستطيع رد الشيء المرهون ، عند ما يجب رده ، هالكاً أو تالفاً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استطاع الدائن المرتهن أن يثبت أن الشيء هلك أو تلف بسبب أجنبي ، لم يكن مسئولا عن ذلك ، وتحمل الهلاك أو التلف مالك الشيء ، والمالك هنا هو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لم يستطع الدائن المرتهن أن يثبت ذلك ، افترض أن الهلاك أو التلف قد وقع بخطأه ، وعند ذلك يجب عليه دفع تعويض للراهن عن الهلاك والتلف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579- نفقات رد الشيء المرهون :</w:t>
      </w:r>
      <w:r>
        <w:rPr>
          <w:rFonts w:cs="Traditional Arabic" w:hint="cs"/>
          <w:sz w:val="28"/>
          <w:szCs w:val="32"/>
          <w:rtl/>
        </w:rPr>
        <w:t xml:space="preserve"> وكانت الفقرة الثالثة من المادة 1544 من المشروع </w:t>
      </w:r>
      <w:r>
        <w:rPr>
          <w:rFonts w:cs="Traditional Arabic" w:hint="cs"/>
          <w:sz w:val="28"/>
          <w:szCs w:val="32"/>
          <w:rtl/>
        </w:rPr>
        <w:lastRenderedPageBreak/>
        <w:t>التمهيدي تنص على ما يأتي : "وعلى الراهن نفقات رد الشيء المرهون ، ما لم يقض الاتفاق بغير ذلك" . وقد حذفت لجنة  المراجعة الفقرة اكتفاء بالقواعد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605"/>
      </w:r>
      <w:r>
        <w:rPr>
          <w:rFonts w:cs="Traditional Arabic" w:hint="cs"/>
          <w:sz w:val="28"/>
          <w:szCs w:val="32"/>
          <w:vertAlign w:val="superscript"/>
          <w:rtl/>
        </w:rPr>
        <w:t xml:space="preserve"> )</w:t>
      </w:r>
      <w:r>
        <w:rPr>
          <w:rFonts w:cs="Traditional Arabic" w:hint="cs"/>
          <w:sz w:val="28"/>
          <w:szCs w:val="32"/>
          <w:rtl/>
        </w:rPr>
        <w:t xml:space="preserve"> ، ورد في مذكرة المشروع التمهيدي في هذا الصدد ما يأتي : "ونفقات الرد على الراهن ، إلا إذا قضي الاتفاق بغير ذلك . وقد جعلت على الراهن مع أنه هو الدائن بالرد ، لا الدين به ، تغليباً للمبدأ الذي يجعل الراهن هو الذي يتحمل نفقات الرهن جميعاً"</w:t>
      </w:r>
      <w:r>
        <w:rPr>
          <w:rFonts w:cs="Traditional Arabic" w:hint="cs"/>
          <w:sz w:val="28"/>
          <w:szCs w:val="32"/>
          <w:vertAlign w:val="superscript"/>
          <w:rtl/>
        </w:rPr>
        <w:t xml:space="preserve">( </w:t>
      </w:r>
      <w:r w:rsidRPr="00EC737F">
        <w:rPr>
          <w:rStyle w:val="ab"/>
          <w:rFonts w:cs="Traditional Arabic"/>
          <w:sz w:val="28"/>
          <w:szCs w:val="32"/>
          <w:rtl/>
        </w:rPr>
        <w:footnoteReference w:id="1606"/>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تكون نفقات رد الشيء المرهون على الراهن ، إلا إذا اتفق هذا مع الدائن المرتهن على شيء آخر ، كأن تكون نفقات الرد عليهما مناصفة ، أو أن تكون نفقات الرد على المدين إذا كان غير الراهن ورضي المدين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580- تنفيذ الدائن المرتهن بحقه : </w:t>
      </w:r>
      <w:r>
        <w:rPr>
          <w:rFonts w:cs="Traditional Arabic" w:hint="cs"/>
          <w:sz w:val="28"/>
          <w:szCs w:val="32"/>
          <w:rtl/>
        </w:rPr>
        <w:t>وتقول مذكرة المشروع التمهيدي ، في هذا الصدد ، ما يأتي : "فإذا لم يستوف الدائن المرتهن الدين عند حلوله ، كان له أن يحبس العين كما تقدم . وله كذلك أن ينفذ عليها $835 بحقه باعتباره دائناً مرتهناً ، بل وعلى جميع أموال المدين غير المرهونة له باعتباره دائناً عادياً . ويراعى التنفيذ على المرهون قبل غير المرهون ، وان يجتزئ بالتنفيذ على مال يفي بالدين ولا يزيد عليه كثيراً"</w:t>
      </w:r>
      <w:r>
        <w:rPr>
          <w:rFonts w:cs="Traditional Arabic" w:hint="cs"/>
          <w:sz w:val="28"/>
          <w:szCs w:val="32"/>
          <w:vertAlign w:val="superscript"/>
          <w:rtl/>
        </w:rPr>
        <w:t xml:space="preserve">( </w:t>
      </w:r>
      <w:r w:rsidRPr="00EC737F">
        <w:rPr>
          <w:rStyle w:val="ab"/>
          <w:rFonts w:cs="Traditional Arabic"/>
          <w:sz w:val="28"/>
          <w:szCs w:val="32"/>
          <w:rtl/>
        </w:rPr>
        <w:footnoteReference w:id="160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1545 من المشروع التمهيدي على أنه "إذا حل الأجل ولم يستوف الدائن حقه ، جاز له أن ينفذ بهذا الحق ، لا على الشيء المرهون وحده ، بل عليه وعلى جميع أموال المدين الأخرى ، مع مراعاة أحكام المادتين 328 و 329" . ولما عرضت هذه المادة على لجنة المراجعة ، حذفتها للجنة اكتفاء بنص المادة 312 والمادتين 463 و 464 من المشروع</w:t>
      </w:r>
      <w:r>
        <w:rPr>
          <w:rFonts w:cs="Traditional Arabic" w:hint="cs"/>
          <w:sz w:val="28"/>
          <w:szCs w:val="32"/>
          <w:vertAlign w:val="superscript"/>
          <w:rtl/>
        </w:rPr>
        <w:t xml:space="preserve">( </w:t>
      </w:r>
      <w:r w:rsidRPr="00EC737F">
        <w:rPr>
          <w:rStyle w:val="ab"/>
          <w:rFonts w:cs="Traditional Arabic"/>
          <w:sz w:val="28"/>
          <w:szCs w:val="32"/>
          <w:rtl/>
        </w:rPr>
        <w:footnoteReference w:id="16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ويخلص من كل ذلك أن الدائن المرتهن ، عند ما يحل حقه ولا يستوفيه ، يكون له أمران يستعملهما معاً أو يستعمل أحدهما : ( 1 ) يحبس العين المرهونة حتى يستوفي حقه كله . ( 2 ) ينفذ بحقه على العين المرهونة أولا ، ثم على جميع أموال المدين غير المرهونة باعتباره دائناً عادياً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حق الحبس ، فهذا له لا ينازعه فيه أحد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وأما حق التنفيذ ، فيبدأ بالتنفيذ على الشيء المرهون أولا باعتباره دائناً مرتهناً ، فإذا لم يكف نفذ على جميع أموال المدين الأخرى باعتباره دائناً عادياً . وعليه أن يستصدر الأحكام اللازمة لذلك ، لأنه كدائن مرتهن حيازة قد لا يكون مزوداً بورقة رسمية . ويراعى التنفيذ على المال المرهون قبل التنفيذ على المال غير المرهون ، وينفذ على مال يفي بالدين ولا يزيد عليه كثيراً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581- الراهن كفيل عيني : </w:t>
      </w:r>
      <w:r>
        <w:rPr>
          <w:rFonts w:cs="Traditional Arabic" w:hint="cs"/>
          <w:sz w:val="28"/>
          <w:szCs w:val="32"/>
          <w:rtl/>
        </w:rPr>
        <w:t>وتقول مذكرة المشروع التمهيدي ، في هذا الصدد ، ما يأتي : "وإذا كان الراهن كفيلا عينياً أي غير المدين $836 ينفذ من ماله إلا على الين المرهونة . وليس للكفيل العيني ، بغير اتفاق ، الدفع بالتجريد ، كما هو الأمر في الراهن الرسمي . ويتمسك بما له من دفوع قبل الدائن ، وكذلك بما للمدين من دفوع حتى لو تنازل هذا عنها أو عارض في التمسك بها ، كما هو الشأن أيضاً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6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ونصت المادة 1546 من المشروع التمهيدي على أنه "1- إذا كان الراهن غير ملتزم شخصياً بالدين ، فلا يجوز التنفيذ على ماله إلا ما رهن من هذا المال ، ولا يكون له حق الدفع بتجريد المدين ما لم يوجد اتفاق بغير ذلك . 2- ويجوز له ، فضلا عن التمسك بالدفوع الخاصة به قبل الدائن ، أن يتمسك بما للمدين من دفوع حتى لو عارض المدين في التمسك ، بها أو تنازل عنها" . عرضت المادة على لجنة المراجعة ، حذفتها اللجنة اكتفاء بالقواعد العامة</w:t>
      </w:r>
      <w:r>
        <w:rPr>
          <w:rFonts w:cs="Traditional Arabic" w:hint="cs"/>
          <w:sz w:val="28"/>
          <w:szCs w:val="32"/>
          <w:vertAlign w:val="superscript"/>
          <w:rtl/>
        </w:rPr>
        <w:t xml:space="preserve">( </w:t>
      </w:r>
      <w:r w:rsidRPr="00EC737F">
        <w:rPr>
          <w:rStyle w:val="ab"/>
          <w:rFonts w:cs="Traditional Arabic"/>
          <w:sz w:val="28"/>
          <w:szCs w:val="32"/>
          <w:rtl/>
        </w:rPr>
        <w:footnoteReference w:id="161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ويخلص من ذلك أنه إذا كان المدين غير الراهن ، وكان الراهن كفيلا عينيا قدم مالا رهن حيازة في </w:t>
      </w:r>
      <w:r>
        <w:rPr>
          <w:rFonts w:cs="Traditional Arabic" w:hint="cs"/>
          <w:sz w:val="28"/>
          <w:szCs w:val="32"/>
          <w:rtl/>
        </w:rPr>
        <w:lastRenderedPageBreak/>
        <w:t>الدين دون أن يكون مديناً ، فلا يجوز للدائن المرتهن ، إذا أراد التنفيذ بحقه على مال الكفيل العيني ، إلا أن ينفذ على المال المرهون دون غيره من الأموال الأخرى غير المرهونة للكفيل العيني . ولا يجوز للكفيل العيني ، حين التنفيذ على ماله المرهون ، أن يدفع بتجريد المدين ما لم يوجد اتفاق بينه وبين الراهن والدائن المرتهن على ذلك . فينفذ الدائن المرتهن على المال المرهون والموجود تحت يده ، فإذا استوفى حقه منه انقضى الرهن ، وإلا استمر الدائن كدائن عادي في التنفيذ على مال المدين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وللكفيل العيني أن يتمسك بما له خاصة من الدفوع قبل الدائن ، الذي تعاقد معه على الرهن الحيازي . وله أن يتمسك كذلك بما للمدين من دفوع حتى لو نزل عنها المدين أو عارض في التمسك بها .</w:t>
      </w:r>
    </w:p>
    <w:p w:rsidR="00F72742" w:rsidRPr="00D30F2B"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$838 </w:t>
      </w:r>
      <w:r w:rsidRPr="00D30F2B">
        <w:rPr>
          <w:rFonts w:cs="Traditional Arabic" w:hint="cs"/>
          <w:b/>
          <w:bCs/>
          <w:sz w:val="28"/>
          <w:szCs w:val="32"/>
          <w:rtl/>
        </w:rPr>
        <w:t>المطلب الخامس</w:t>
      </w:r>
    </w:p>
    <w:p w:rsidR="00F72742" w:rsidRPr="00D30F2B" w:rsidRDefault="00F72742" w:rsidP="00F72742">
      <w:pPr>
        <w:widowControl w:val="0"/>
        <w:spacing w:after="120"/>
        <w:jc w:val="center"/>
        <w:rPr>
          <w:rFonts w:cs="Traditional Arabic" w:hint="cs"/>
          <w:b/>
          <w:bCs/>
          <w:sz w:val="28"/>
          <w:szCs w:val="32"/>
          <w:rtl/>
        </w:rPr>
      </w:pPr>
      <w:r w:rsidRPr="00D30F2B">
        <w:rPr>
          <w:rFonts w:cs="Traditional Arabic" w:hint="cs"/>
          <w:b/>
          <w:bCs/>
          <w:sz w:val="28"/>
          <w:szCs w:val="32"/>
          <w:rtl/>
        </w:rPr>
        <w:t>بطلان شرط التملك عند عدم الوفاء</w:t>
      </w:r>
    </w:p>
    <w:p w:rsidR="00F72742" w:rsidRDefault="00F72742" w:rsidP="00F72742">
      <w:pPr>
        <w:widowControl w:val="0"/>
        <w:spacing w:after="120"/>
        <w:jc w:val="center"/>
        <w:rPr>
          <w:rFonts w:cs="Traditional Arabic" w:hint="cs"/>
          <w:sz w:val="28"/>
          <w:szCs w:val="32"/>
          <w:rtl/>
        </w:rPr>
      </w:pPr>
      <w:r w:rsidRPr="00D30F2B">
        <w:rPr>
          <w:rFonts w:cs="Traditional Arabic" w:hint="cs"/>
          <w:b/>
          <w:bCs/>
          <w:sz w:val="28"/>
          <w:szCs w:val="32"/>
          <w:rtl/>
        </w:rPr>
        <w:t>وشرط البيع دون إجراءات</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582- نص قانوني : </w:t>
      </w:r>
      <w:r>
        <w:rPr>
          <w:rFonts w:cs="Traditional Arabic" w:hint="cs"/>
          <w:sz w:val="28"/>
          <w:szCs w:val="32"/>
          <w:rtl/>
        </w:rPr>
        <w:t>نصت المادة 1108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"يسري على رهن الحيازة أحكام المادة 1050 المتعلقة بمسئولية الراهن غير المدين ، وأحكام المادة 1052 المتعلقة بشرط التملك عند عدم الوفاء وشروط البيع دون إجراءات"</w:t>
      </w:r>
      <w:r>
        <w:rPr>
          <w:rFonts w:cs="Traditional Arabic" w:hint="cs"/>
          <w:sz w:val="28"/>
          <w:szCs w:val="32"/>
          <w:vertAlign w:val="superscript"/>
          <w:rtl/>
        </w:rPr>
        <w:t xml:space="preserve">( </w:t>
      </w:r>
      <w:r w:rsidRPr="00EC737F">
        <w:rPr>
          <w:rStyle w:val="ab"/>
          <w:rFonts w:cs="Traditional Arabic"/>
          <w:sz w:val="28"/>
          <w:szCs w:val="32"/>
          <w:rtl/>
        </w:rPr>
        <w:footnoteReference w:id="16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$838 وقد في مذكرة المشروع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"ليس للدائن المرتهن حيازياً أن يتملك المال المرهون بمجرد عدم الوفاء بالدين عند حلول اجله ، ولا أن يبيع ذلك المال دون مراعاة للإجراءات المقررة"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"شروط التملك عند عدم الوفاء وكذلك شرط البيع دون إجراءات </w:t>
      </w:r>
      <w:r>
        <w:rPr>
          <w:rFonts w:cs="Traditional Arabic"/>
          <w:sz w:val="28"/>
          <w:szCs w:val="32"/>
          <w:rtl/>
        </w:rPr>
        <w:t>–</w:t>
      </w:r>
      <w:r>
        <w:rPr>
          <w:rFonts w:cs="Traditional Arabic" w:hint="cs"/>
          <w:sz w:val="28"/>
          <w:szCs w:val="32"/>
          <w:rtl/>
        </w:rPr>
        <w:t xml:space="preserve"> يغلب وقوعها في الرهن الحيازي </w:t>
      </w:r>
      <w:r>
        <w:rPr>
          <w:rFonts w:cs="Traditional Arabic"/>
          <w:sz w:val="28"/>
          <w:szCs w:val="32"/>
          <w:rtl/>
        </w:rPr>
        <w:t>–</w:t>
      </w:r>
      <w:r>
        <w:rPr>
          <w:rFonts w:cs="Traditional Arabic" w:hint="cs"/>
          <w:sz w:val="28"/>
          <w:szCs w:val="32"/>
          <w:rtl/>
        </w:rPr>
        <w:t xml:space="preserve"> حكمهما فيه هو حكمهما في الرهن الرسمي وقد تقدم ذكر ذلك"</w:t>
      </w:r>
      <w:r>
        <w:rPr>
          <w:rFonts w:cs="Traditional Arabic" w:hint="cs"/>
          <w:sz w:val="28"/>
          <w:szCs w:val="32"/>
          <w:vertAlign w:val="superscript"/>
          <w:rtl/>
        </w:rPr>
        <w:t xml:space="preserve">( </w:t>
      </w:r>
      <w:r w:rsidRPr="00EC737F">
        <w:rPr>
          <w:rStyle w:val="ab"/>
          <w:rFonts w:cs="Traditional Arabic"/>
          <w:sz w:val="28"/>
          <w:szCs w:val="32"/>
          <w:rtl/>
        </w:rPr>
        <w:footnoteReference w:id="161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ويرى من نص المادة 1108 أنها تحيل ، للتطبيق على رهن الحيازة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المادة 1050 مدني ، وتنص على ما يأتي : "إذا كان الراهن شخصاً غير المدين ، فلا يجوز التنفيذ على ماله إلا ما رهن من هذا المال . ولا يكن له حق الدفع بتجردي المدين ، ما لم يوجد اتفاق يقضي بغير ذلك" . وقد سبق أن قررنا أن مثل هذا النص حذفته لجنة المراجعة ، وشرحناه بالرغم ن حذفه </w:t>
      </w:r>
      <w:r>
        <w:rPr>
          <w:rFonts w:cs="Traditional Arabic" w:hint="cs"/>
          <w:sz w:val="28"/>
          <w:szCs w:val="32"/>
          <w:rtl/>
        </w:rPr>
        <w:lastRenderedPageBreak/>
        <w:t>على أساس أنه ينطبق على رهن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1613"/>
      </w:r>
      <w:r>
        <w:rPr>
          <w:rFonts w:cs="Traditional Arabic" w:hint="cs"/>
          <w:sz w:val="28"/>
          <w:szCs w:val="32"/>
          <w:vertAlign w:val="superscript"/>
          <w:rtl/>
        </w:rPr>
        <w:t xml:space="preserve"> )</w:t>
      </w:r>
      <w:r>
        <w:rPr>
          <w:rFonts w:cs="Traditional Arabic" w:hint="cs"/>
          <w:sz w:val="28"/>
          <w:szCs w:val="32"/>
          <w:rtl/>
        </w:rPr>
        <w:t xml:space="preserve"> . والسبب في إعادة ذكره هنا أن لجنة المراجعة رجعت إلى إضافته في المادة 1108 كما نرى باعتبار أنه ينطبق على رهن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1614"/>
      </w:r>
      <w:r>
        <w:rPr>
          <w:rFonts w:cs="Traditional Arabic" w:hint="cs"/>
          <w:sz w:val="28"/>
          <w:szCs w:val="32"/>
          <w:vertAlign w:val="superscript"/>
          <w:rtl/>
        </w:rPr>
        <w:t xml:space="preserve"> )</w:t>
      </w:r>
      <w:r>
        <w:rPr>
          <w:rFonts w:cs="Traditional Arabic" w:hint="cs"/>
          <w:sz w:val="28"/>
          <w:szCs w:val="32"/>
          <w:rtl/>
        </w:rPr>
        <w:t xml:space="preserve"> ، فلا حاجة إلى إعادة ذلك منعاً للتكرار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$839 2- المادة 1052 مدني ، وتنص على ما يأتي : "1- يقع باطلا كل اتفاق يكفل للدائن الحق ، عند عدم استيفاء الدين وقت حلول اجله ، في أن يتملك العقار المرهون في نظير ثمن معلوم أياً كان ، أوفى أن يبيعه دون مراعاة للإجراءات التي فرضها القانون ، ولو كان هذا الاتفاق قد ابرم بعد الرهن . 2- ولكن يجوز ، بعد حلول الدين أو قسط منه ، الاتفاق على أن ينزل المدين لدائنه عن العقار المرهون وفاء لدينه" . وهذا النص سبق أن شرحناه في الرهن الرسمي ، وهو ينطبق أيضاً على الرهن الحيازي ، فتكتفي هنا بتقرير المسائل الأساسية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583- بطلان شرط تملك المال المرهون عند عدم الوفاء : </w:t>
      </w:r>
      <w:r>
        <w:rPr>
          <w:rFonts w:cs="Traditional Arabic" w:hint="cs"/>
          <w:sz w:val="28"/>
          <w:szCs w:val="32"/>
          <w:rtl/>
        </w:rPr>
        <w:t>إذا اتفق الدائن المرتهن حيازة مع الراهن حيازة ، مديناً كان الراهن أو كفيلا عينياً ، على أنه عند حلول أجل الدين وعدم الوفاء به يكون للدائن المرتهن الحق في أن يتملك المال المرهون بثمن هو الدين المستحق هذا هو الغالب ، أو بأي ثمن آخر أكبر أو أقل من الدين المستحق ، فإن هذا الاتفاق يكون باطلا لمخالفته للنظام العام . ذلك أن موقف الراهن يكون عادة ضعيفاً ، ويستطيع الدائن المرتهن أن يفرض عليه هذا الشرط . وكثيراً ما يعتقد الراهن أن الدين سوفي عند حلول أجله ، ونظراً لضعف مركزه يقبل الشرط . وقد أراد المشرع حماية الراهن من هذا الاستغلال المخالف للنظام العام ، فنص على أن هذا الاتفاق يكون باطلا أياً كان الثمن الذي اتفق عليه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ويغلب أن يوضع هذا الشرط الباطل في عقد رهن الحيازة نفسه ، ولكن لا شيء يمنع من أن يكون الاتفاق بعد رهن الحيازة فيبرم في اتفاق لاحق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وبطلان الاتفاق لا يمسك عقد رهن الحيازة ، فيبطل الاتفاق لمخالفته للنظام العام ولكن عقد رهن الحيازة يبقى صحيحاً . على أنه إذا اثبت الدائن المرتهن أن هذا الاتفاق كان هو الدفع لإبرام عقد رهن الحيازة ، فإن عقد رهن الحياة يبطل بطلان الاتفاق .</w:t>
      </w:r>
    </w:p>
    <w:p w:rsidR="00F72742" w:rsidRPr="00B60064"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584- متى يصح هذا الاتفاق :</w:t>
      </w:r>
      <w:r w:rsidRPr="00B60064">
        <w:rPr>
          <w:rFonts w:cs="Traditional Arabic" w:hint="cs"/>
          <w:sz w:val="28"/>
          <w:szCs w:val="32"/>
          <w:rtl/>
        </w:rPr>
        <w:t xml:space="preserve"> ولكن هذا الاتفاق يصح إذا </w:t>
      </w:r>
      <w:r>
        <w:rPr>
          <w:rFonts w:cs="Traditional Arabic" w:hint="cs"/>
          <w:sz w:val="28"/>
          <w:szCs w:val="32"/>
          <w:rtl/>
        </w:rPr>
        <w:t>ابرم بعد حلول الدين أو بعد حلول قسط منه ، فإن مظنة ضعف الراهن تكون قد انتفت بحلول الدين كله أو بعضه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إذن ، بعد حلول الدين كله أو بعضه ، للراهن ، مديناً كان أو كفيلا عينياً ، أن يتفق مع الدائن المرتهن على أن ينزل له عن المال المرهون في نظير الدين ، ويكون هذا وفاء بمقابل . بل يجوز للراهن أن يتفق مع الدائن المرتهن في هذه الحالة على أن يبيع له المال المرهون بثمن أياً كان ، أكبر أو مساو أو أقل من الدين المستحق . فإن الراهن لا يكون في مثل هذه الظروف تحت ضغط الحاجة ، فقد استحق الدين ويستطيع أن يمتنع عن الاتفاق مع الدائن المرتهن إن شاء ويطلب بيع المال المرهون طبقاً للإجراءات التي قررها القانون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585- بطلان شرط بيع المال المرهون دون إجراءات :</w:t>
      </w:r>
      <w:r>
        <w:rPr>
          <w:rFonts w:cs="Traditional Arabic" w:hint="cs"/>
          <w:sz w:val="28"/>
          <w:szCs w:val="32"/>
          <w:rtl/>
        </w:rPr>
        <w:t xml:space="preserve"> ويسمى عادة شرط الطريق الممهد </w:t>
      </w:r>
      <w:r>
        <w:rPr>
          <w:rFonts w:cs="Traditional Arabic"/>
          <w:sz w:val="28"/>
          <w:szCs w:val="32"/>
          <w:rtl/>
        </w:rPr>
        <w:t xml:space="preserve">( </w:t>
      </w:r>
      <w:r>
        <w:rPr>
          <w:rFonts w:cs="Traditional Arabic"/>
          <w:sz w:val="28"/>
          <w:szCs w:val="32"/>
        </w:rPr>
        <w:t>clause de voie paree</w:t>
      </w:r>
      <w:r>
        <w:rPr>
          <w:rFonts w:cs="Traditional Arabic"/>
          <w:sz w:val="28"/>
          <w:szCs w:val="32"/>
          <w:rtl/>
        </w:rPr>
        <w:t xml:space="preserve"> )</w:t>
      </w:r>
      <w:r>
        <w:rPr>
          <w:rFonts w:cs="Traditional Arabic" w:hint="cs"/>
          <w:sz w:val="28"/>
          <w:szCs w:val="32"/>
          <w:rtl/>
        </w:rPr>
        <w:t xml:space="preserve"> ، وصورته أن يتفق الدائن المرتهن مع الراهن ، مديناً كان أو كفيلا عينياً ، على أنه عند حلول أجل الدين وعدم الوفاء به يجو بيع المال المرهون بالممارسة أو بأية طريقة كانت دون إتباع الإجراءات التي فرضها تقنين المرافعات في البيوع الجبرية . ويخشى هنا أيضاً من استغلال الدائن المرتهن لضعف مركز الراهن ، فيفرض عليه هذا الشرط . وبذلك يحرم الراهن من الحماية التي كفلها له القانون في فرض إجراءات معينة في بيع المال المرهون بيعاً جبرياً ، وما تتمنه هذه الإجراءات من أحكام تؤدي عادة إلى بيع المال المرهون بأكبر قيمة ممكنة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فيكون إذن باطلا لمخالفته للنظام العام كل اتفاق بين الراهن والمرتهن على بيع المال المرهون عند حلول أجل الدين وعدم الوفاء به ، دون إتباع الإجراءات التي فرضها القانون في البيوع الجبرية . وسواء عقد هذا الاتفاق $841 عند عقد رهن الحيازة أو عقد في اتفاق لاحق ، فإنه يكون باطلان في الحالتين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ويقتصر اثر البطلان هنا على الشرط نفسه دون رهن الحيازة ، ما لم يكن الشرط هو الدافع إلى </w:t>
      </w:r>
      <w:r>
        <w:rPr>
          <w:rFonts w:cs="Traditional Arabic" w:hint="cs"/>
          <w:sz w:val="28"/>
          <w:szCs w:val="32"/>
          <w:rtl/>
        </w:rPr>
        <w:lastRenderedPageBreak/>
        <w:t>التعاقد فيبطل الشرط والرهن معاً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586- متى يصح هذا الاتفاق : </w:t>
      </w:r>
      <w:r>
        <w:rPr>
          <w:rFonts w:cs="Traditional Arabic" w:hint="cs"/>
          <w:sz w:val="28"/>
          <w:szCs w:val="32"/>
          <w:rtl/>
        </w:rPr>
        <w:t>أما عقد الاتفاق بعد حلول الدين كله أو بعضه ، فإن الاتفاق يصح لانتفاء مظنة استغلال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 تنص الفقرة الثانية من المادة 1052 مدني صراحة على جاوز الاتفاق إذا عقد بعد حلول الدين كله أو بعضه كما نصت على جواز الاتفاق على تملك المال المرهون عند عدم الوفاء ، ولكن يمكن قياس الحالة الأولى على الحالة الثانية والقول بصحة الاتفاق في الحالتين .</w:t>
      </w:r>
    </w:p>
    <w:p w:rsidR="00F72742" w:rsidRPr="00C16A0C" w:rsidRDefault="00F72742" w:rsidP="00F72742">
      <w:pPr>
        <w:widowControl w:val="0"/>
        <w:spacing w:after="120"/>
        <w:jc w:val="center"/>
        <w:rPr>
          <w:rFonts w:cs="Traditional Arabic" w:hint="cs"/>
          <w:b/>
          <w:bCs/>
          <w:sz w:val="44"/>
          <w:szCs w:val="44"/>
          <w:rtl/>
        </w:rPr>
      </w:pPr>
      <w:r w:rsidRPr="00C16A0C">
        <w:rPr>
          <w:rFonts w:cs="Traditional Arabic" w:hint="cs"/>
          <w:b/>
          <w:bCs/>
          <w:sz w:val="44"/>
          <w:szCs w:val="44"/>
          <w:rtl/>
        </w:rPr>
        <w:t>الفرع الثاني</w:t>
      </w:r>
    </w:p>
    <w:p w:rsidR="00F72742" w:rsidRPr="00C16A0C" w:rsidRDefault="00F72742" w:rsidP="00F72742">
      <w:pPr>
        <w:widowControl w:val="0"/>
        <w:spacing w:after="120"/>
        <w:jc w:val="center"/>
        <w:rPr>
          <w:rFonts w:cs="Traditional Arabic" w:hint="cs"/>
          <w:b/>
          <w:bCs/>
          <w:sz w:val="28"/>
          <w:szCs w:val="32"/>
          <w:rtl/>
        </w:rPr>
      </w:pPr>
      <w:r w:rsidRPr="00C16A0C">
        <w:rPr>
          <w:rFonts w:cs="Traditional Arabic" w:hint="cs"/>
          <w:b/>
          <w:bCs/>
          <w:sz w:val="28"/>
          <w:szCs w:val="32"/>
          <w:rtl/>
        </w:rPr>
        <w:t>آثار الرهن الحيازي بالنسبة إلى الغير</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587- المقصود بالغير هنا :</w:t>
      </w:r>
      <w:r>
        <w:rPr>
          <w:rFonts w:cs="Traditional Arabic" w:hint="cs"/>
          <w:sz w:val="28"/>
          <w:szCs w:val="32"/>
          <w:rtl/>
        </w:rPr>
        <w:t xml:space="preserve"> يقصد بالغير هنا ما قصد به في حالة الرهن الرسمي : كل شخص له حق يضار من وجود رهن الحيازة . فيشمل : ( 1 ) كل شخص له حق عيني تبعي على المال المرهون ، دائن له حق رهن رسمي ، أو حق اختصاص ، أو حق رهن حيازة ، أو حق امتياز . ( 2 ) الدائن العادي . ( 3 ) كل شخص له حق عيني أصلي على المال المرهون ، كما إذا انتقلت ملكية المال المرهون إلى مالك آخر فإن هذا المالك الآخر يعتبر غيراً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588- قيد رهن الحيازة : </w:t>
      </w:r>
      <w:r>
        <w:rPr>
          <w:rFonts w:cs="Traditional Arabic" w:hint="cs"/>
          <w:sz w:val="28"/>
          <w:szCs w:val="32"/>
          <w:rtl/>
        </w:rPr>
        <w:t>والرهن الحيازي ، إذا وقع على عقار ، يجب قيده حتى يكون سارياً في حق الغير</w:t>
      </w:r>
      <w:r>
        <w:rPr>
          <w:rFonts w:cs="Traditional Arabic" w:hint="cs"/>
          <w:sz w:val="28"/>
          <w:szCs w:val="32"/>
          <w:vertAlign w:val="superscript"/>
          <w:rtl/>
        </w:rPr>
        <w:t xml:space="preserve">( </w:t>
      </w:r>
      <w:r w:rsidRPr="00EC737F">
        <w:rPr>
          <w:rStyle w:val="ab"/>
          <w:rFonts w:cs="Traditional Arabic"/>
          <w:sz w:val="28"/>
          <w:szCs w:val="32"/>
          <w:rtl/>
        </w:rPr>
        <w:footnoteReference w:id="16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$842 والقيد هنا كالقيد في الرهن الرسمي ، وقد سبق أن بينا ذلك بالتفصيل</w:t>
      </w:r>
      <w:r>
        <w:rPr>
          <w:rFonts w:cs="Traditional Arabic" w:hint="cs"/>
          <w:sz w:val="28"/>
          <w:szCs w:val="32"/>
          <w:vertAlign w:val="superscript"/>
          <w:rtl/>
        </w:rPr>
        <w:t xml:space="preserve">( </w:t>
      </w:r>
      <w:r w:rsidRPr="00EC737F">
        <w:rPr>
          <w:rStyle w:val="ab"/>
          <w:rFonts w:cs="Traditional Arabic"/>
          <w:sz w:val="28"/>
          <w:szCs w:val="32"/>
          <w:rtl/>
        </w:rPr>
        <w:footnoteReference w:id="1616"/>
      </w:r>
      <w:r>
        <w:rPr>
          <w:rFonts w:cs="Traditional Arabic" w:hint="cs"/>
          <w:sz w:val="28"/>
          <w:szCs w:val="32"/>
          <w:vertAlign w:val="superscript"/>
          <w:rtl/>
        </w:rPr>
        <w:t xml:space="preserve"> )</w:t>
      </w:r>
      <w:r>
        <w:rPr>
          <w:rFonts w:cs="Traditional Arabic" w:hint="cs"/>
          <w:sz w:val="28"/>
          <w:szCs w:val="32"/>
          <w:rtl/>
        </w:rPr>
        <w:t xml:space="preserve"> ، فلا تعود إليه هنا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من بين البيانات القانونية الواجب ذكرها في قائمة القيد بياناً خاصاً برهن الحيازة ، هو بيان خاص بالتكليف وبالإيجار إلى الراهن إذا نص عليه في عقد الرهن</w:t>
      </w:r>
      <w:r>
        <w:rPr>
          <w:rFonts w:cs="Traditional Arabic" w:hint="cs"/>
          <w:sz w:val="28"/>
          <w:szCs w:val="32"/>
          <w:vertAlign w:val="superscript"/>
          <w:rtl/>
        </w:rPr>
        <w:t xml:space="preserve">( </w:t>
      </w:r>
      <w:r w:rsidRPr="00EC737F">
        <w:rPr>
          <w:rStyle w:val="ab"/>
          <w:rFonts w:cs="Traditional Arabic"/>
          <w:sz w:val="28"/>
          <w:szCs w:val="32"/>
          <w:rtl/>
        </w:rPr>
        <w:footnoteReference w:id="16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589- ما يضمنه الرهن الحيازي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وقد نصت المادة 1111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"لا يقتصر الرهن الحيازي على ضمان أصل الحق ، وغنما يضمن أيضاً وفي نفس المرتبة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المصروفات الضرورية التي أنفقت للمحافظة على الشيء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التعويضات عن الأضرار الناشئة عن عيوب الشيء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ج ) مصروفات العقد الذي أنشأ الدين ومصروفات عقد الرهن الحيازي وقيده عند الاقتضاء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د ) المصروفات التي اقتضاها تنفيذ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هـ ) جميع الفوائد المستحقة مع مراعاة ما جاء في المادة 230"</w:t>
      </w:r>
      <w:r>
        <w:rPr>
          <w:rFonts w:cs="Traditional Arabic" w:hint="cs"/>
          <w:sz w:val="28"/>
          <w:szCs w:val="32"/>
          <w:vertAlign w:val="superscript"/>
          <w:rtl/>
        </w:rPr>
        <w:t xml:space="preserve">( </w:t>
      </w:r>
      <w:r w:rsidRPr="00EC737F">
        <w:rPr>
          <w:rStyle w:val="ab"/>
          <w:rFonts w:cs="Traditional Arabic"/>
          <w:sz w:val="28"/>
          <w:szCs w:val="32"/>
          <w:rtl/>
        </w:rPr>
        <w:footnoteReference w:id="161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$843 فالرهن الحيازي يضمن بطيعة الحال أصل الدين المضمون بالرهن . ثم هو يضمن ، وفي نفس مرتبة أصل الدين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المصروفات الضرورية التي أنفقت للمحافظة على الشيء . والدائن المرتهن الذي أنفقها أن يرجع بها على الراهن ، بناء على قاعدة الإثراء بلا سبب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التعويضات عن الأضرار الناشئة عن عيوب الشيء . وهذه مصدرها العيوب الموجودة في الشيء المرهون ، أي العمل غير المشروعات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مصروفات العقد الذي أنشأ الدين ومصروفات عقد الرهن الحيازي وقيده عند الاقتضاء . فهذه كلها ، إذا كان الدائن المرتهن قد دفعها ، فإنه يرجع بها على المدين الراهن ، أو على المدين والراهن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المصروفات التي اقتضاها تنفيذ الرهن الحيازي . وهذه يرجع بها الدائن المرتهن على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$8443 5- جميع الفوائد المستحقة مع مراعاة ما جاء في المادة 230 . والفوائد تلحق بالدين ، ويرجع بها الدائن المرتهن على المدين الراهن ، كما يرجع بالدين نفسه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ما جاء في المادة 230 ، فالمادة 230 تنص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"عند توزيع ثمن الشيء الذي بيع جبراً ، لا يكون الدائنون المقبولون في التوزيع مستحقين بعد رسو المزاد لفوائد تأخير عن الاصبة التي تقررت لهم في هذا التوزيع إلا إذا كان الراسي عليه المزاد ملزماً بدفع فوائد الثمن ، أو كانت خزانة المحكمة ملمة بهذه الفوائد بسبب إيداع الثمن فيها ، على أ ليتجاوز ما يتقاضاه الدائنون من فوائد في هذه الحالة ما هو مستحق منها قبل الراسي عليه المزاد أو خزانة . وهذه الفوائد تقسم بين الدائنين جميعاً قسمة غرماء"</w:t>
      </w:r>
      <w:r>
        <w:rPr>
          <w:rFonts w:cs="Traditional Arabic" w:hint="cs"/>
          <w:sz w:val="28"/>
          <w:szCs w:val="32"/>
          <w:vertAlign w:val="superscript"/>
          <w:rtl/>
        </w:rPr>
        <w:t xml:space="preserve">( </w:t>
      </w:r>
      <w:r w:rsidRPr="00EC737F">
        <w:rPr>
          <w:rStyle w:val="ab"/>
          <w:rFonts w:cs="Traditional Arabic"/>
          <w:sz w:val="28"/>
          <w:szCs w:val="32"/>
          <w:rtl/>
        </w:rPr>
        <w:footnoteReference w:id="161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590- نفاذ الرهن في حق الغير </w:t>
      </w:r>
      <w:r>
        <w:rPr>
          <w:rFonts w:cs="Traditional Arabic"/>
          <w:b/>
          <w:bCs/>
          <w:sz w:val="28"/>
          <w:szCs w:val="32"/>
          <w:rtl/>
        </w:rPr>
        <w:t>–</w:t>
      </w:r>
      <w:r>
        <w:rPr>
          <w:rFonts w:cs="Traditional Arabic" w:hint="cs"/>
          <w:b/>
          <w:bCs/>
          <w:sz w:val="28"/>
          <w:szCs w:val="32"/>
          <w:rtl/>
        </w:rPr>
        <w:t xml:space="preserve"> وجوب تسليم المرهون للدائن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وقد نصت المادة1109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يجب لنفاذ الرهن في حق الغير أن يكون الشيء المرهون في يد الدائن أو الأجنبي الذي ارتضاه المتعاقدان"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$845 "2- ويجوز أن يكون الشيء المرهون ضامناً لعدة ديون"</w:t>
      </w:r>
      <w:r>
        <w:rPr>
          <w:rFonts w:cs="Traditional Arabic" w:hint="cs"/>
          <w:sz w:val="28"/>
          <w:szCs w:val="32"/>
          <w:vertAlign w:val="superscript"/>
          <w:rtl/>
        </w:rPr>
        <w:t xml:space="preserve">( </w:t>
      </w:r>
      <w:r w:rsidRPr="00EC737F">
        <w:rPr>
          <w:rStyle w:val="ab"/>
          <w:rFonts w:cs="Traditional Arabic"/>
          <w:sz w:val="28"/>
          <w:szCs w:val="32"/>
          <w:rtl/>
        </w:rPr>
        <w:footnoteReference w:id="162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جاء في مذكرة المشروع التمهيدي :</w:t>
      </w:r>
    </w:p>
    <w:p w:rsidR="00F72742" w:rsidRPr="009E1ADA"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ويكون التسليم عادة لدائن المرتهن . ولكن قد يبقى الشيء في الحيازة المشتركة لكل من الراهن والمرتهن ، أو يسلم لأجنبي يكون نائباً في الحيازة ويسمى عدلا . ويستطيع العدل أن ينوب عن مرتهنين متعددين لنفس $846 الشيء ، بل يستطيع أحد الدائنين المرتهنين أن يحوز الشيء أصلا عن نفسه بصفته مرتهناً ، ونائباً عن غيره بصفته عدلا . فوجود الشيء المرهون في حيازة العدل ، يمكن الراهن إذن من أن يرهن الشيء رهن حيازة أكثر مرة"</w:t>
      </w:r>
      <w:r>
        <w:rPr>
          <w:rFonts w:cs="Traditional Arabic" w:hint="cs"/>
          <w:sz w:val="28"/>
          <w:szCs w:val="32"/>
          <w:vertAlign w:val="superscript"/>
          <w:rtl/>
        </w:rPr>
        <w:t xml:space="preserve">( </w:t>
      </w:r>
      <w:r w:rsidRPr="00EC737F">
        <w:rPr>
          <w:rStyle w:val="ab"/>
          <w:rFonts w:cs="Traditional Arabic"/>
          <w:sz w:val="28"/>
          <w:szCs w:val="32"/>
          <w:rtl/>
        </w:rPr>
        <w:footnoteReference w:id="162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ويرى من النص سالف الذكر أنه حتى ينفذ الرهن في حق الغير ، يجب تسليم الشيء المرهون إلى الدائن المرتهن . ويجوز أيضاً تسليمه إلى أجنبي ( عدل ) يحوزه ، ويجب أن يرتضي المتعاقدان ( الراهن والمرتهن ) هذا الأجنبي ، وأن يقبل الأجنبي هذه المهمة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 على هذا الوجه ، أن يكون الشيء الواحد ضامناً لعدة ديون . ويصح أن تكون هذه الديون المتعددة في مرتبة واحدة ، كما يصح أن تكون في مراتب مختلفة ، كل دين له مرتبة بالنسبة إلى الديون الأخرى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الشيء المرهون ضامناً لعدة ديون ، فإنه يصح أن يتم ذك على أحد وجهين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الوجه الأول ) يسلم الشيء المرهون إلى "عدل" واحد ، ينوب عن جميع الدائنين المرتهنين في حيازته للشيء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الوجه الثاني ) يسلم الشيء إلى أحد الدائنين المرتهنين ، يحوزه باعتباره أصيلا عن نفسه وباعتباره "عدلا" بالنسبة إلى سائر الدائنين المرتهنين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الدائن المرتهن حيازة له : ( 1 ) حق التقدم وحق التتبع بحسب مرتبته . ( 2 ) حق حبس الشيء المرهون حتى بالنسبة إلى الغير إلى أن يستوي كل حقه ، وذلك إلى جانب حقه في التنفيذ بالدين الذي 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ونحن ، في معالجتنا لآثار الرهن بالنسبة إلى الغير ، نتكلم في كل من هاتين المسألتين : ( 1 ) حق التقدم وحق التتبع . ( 2 ) حق الحبس .</w:t>
      </w:r>
    </w:p>
    <w:p w:rsidR="00F72742" w:rsidRPr="005C4819"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$847 </w:t>
      </w:r>
      <w:r w:rsidRPr="005C4819">
        <w:rPr>
          <w:rFonts w:cs="Traditional Arabic" w:hint="cs"/>
          <w:b/>
          <w:bCs/>
          <w:sz w:val="44"/>
          <w:szCs w:val="44"/>
          <w:rtl/>
        </w:rPr>
        <w:t>المبحث الأول</w:t>
      </w:r>
    </w:p>
    <w:p w:rsidR="00F72742" w:rsidRPr="005C4819" w:rsidRDefault="00F72742" w:rsidP="00F72742">
      <w:pPr>
        <w:widowControl w:val="0"/>
        <w:spacing w:after="120"/>
        <w:jc w:val="center"/>
        <w:rPr>
          <w:rFonts w:cs="Traditional Arabic" w:hint="cs"/>
          <w:b/>
          <w:bCs/>
          <w:sz w:val="28"/>
          <w:szCs w:val="32"/>
          <w:rtl/>
        </w:rPr>
      </w:pPr>
      <w:r w:rsidRPr="005C4819">
        <w:rPr>
          <w:rFonts w:cs="Traditional Arabic" w:hint="cs"/>
          <w:b/>
          <w:bCs/>
          <w:sz w:val="28"/>
          <w:szCs w:val="32"/>
          <w:rtl/>
        </w:rPr>
        <w:t>حق التقدم وحق التتبع</w:t>
      </w:r>
    </w:p>
    <w:p w:rsidR="00F72742" w:rsidRPr="005C4819" w:rsidRDefault="00F72742" w:rsidP="00F72742">
      <w:pPr>
        <w:widowControl w:val="0"/>
        <w:spacing w:after="120"/>
        <w:jc w:val="center"/>
        <w:rPr>
          <w:rFonts w:cs="Traditional Arabic" w:hint="cs"/>
          <w:b/>
          <w:bCs/>
          <w:sz w:val="40"/>
          <w:szCs w:val="40"/>
          <w:rtl/>
        </w:rPr>
      </w:pPr>
      <w:r w:rsidRPr="005C4819">
        <w:rPr>
          <w:rFonts w:cs="Traditional Arabic" w:hint="cs"/>
          <w:b/>
          <w:bCs/>
          <w:sz w:val="40"/>
          <w:szCs w:val="40"/>
          <w:rtl/>
        </w:rPr>
        <w:t>المطلب الأول</w:t>
      </w:r>
    </w:p>
    <w:p w:rsidR="00F72742" w:rsidRPr="005C4819" w:rsidRDefault="00F72742" w:rsidP="00F72742">
      <w:pPr>
        <w:widowControl w:val="0"/>
        <w:spacing w:after="120"/>
        <w:jc w:val="center"/>
        <w:rPr>
          <w:rFonts w:cs="Traditional Arabic" w:hint="cs"/>
          <w:b/>
          <w:bCs/>
          <w:sz w:val="28"/>
          <w:szCs w:val="32"/>
          <w:rtl/>
        </w:rPr>
      </w:pPr>
      <w:r w:rsidRPr="005C4819">
        <w:rPr>
          <w:rFonts w:cs="Traditional Arabic" w:hint="cs"/>
          <w:b/>
          <w:bCs/>
          <w:sz w:val="28"/>
          <w:szCs w:val="32"/>
          <w:rtl/>
        </w:rPr>
        <w:t>حق التقدم</w:t>
      </w:r>
    </w:p>
    <w:p w:rsidR="00F72742" w:rsidRDefault="00F72742" w:rsidP="00F72742">
      <w:pPr>
        <w:widowControl w:val="0"/>
        <w:spacing w:after="120"/>
        <w:ind w:firstLine="567"/>
        <w:jc w:val="lowKashida"/>
        <w:rPr>
          <w:rFonts w:cs="Traditional Arabic" w:hint="cs"/>
          <w:sz w:val="28"/>
          <w:szCs w:val="32"/>
          <w:rtl/>
        </w:rPr>
      </w:pPr>
      <w:r w:rsidRPr="005C4819">
        <w:rPr>
          <w:rFonts w:cs="Traditional Arabic" w:hint="cs"/>
          <w:b/>
          <w:bCs/>
          <w:sz w:val="28"/>
          <w:szCs w:val="32"/>
          <w:rtl/>
        </w:rPr>
        <w:lastRenderedPageBreak/>
        <w:t>591- نص محذوف</w:t>
      </w:r>
      <w:r>
        <w:rPr>
          <w:rFonts w:cs="Traditional Arabic" w:hint="cs"/>
          <w:sz w:val="28"/>
          <w:szCs w:val="32"/>
          <w:rtl/>
        </w:rPr>
        <w:t xml:space="preserve"> : ورد نص في المشروع التمهيدي ، هو نص المادة 1550 من هذا المشروع ، يتكلم في حق التقدم على الوجه الآتي : "الرهن الحيازي يخول الدائن المرتهن أن يتقاضى حقه من ثمن الشيء المرهون قبل أي دائن ، سواء كان دائناً عادياً أو دائناً متأخراً في الترتيب"</w:t>
      </w:r>
      <w:r>
        <w:rPr>
          <w:rFonts w:cs="Traditional Arabic" w:hint="cs"/>
          <w:sz w:val="28"/>
          <w:szCs w:val="32"/>
          <w:vertAlign w:val="superscript"/>
          <w:rtl/>
        </w:rPr>
        <w:t xml:space="preserve">( </w:t>
      </w:r>
      <w:r w:rsidRPr="00EC737F">
        <w:rPr>
          <w:rStyle w:val="ab"/>
          <w:rFonts w:cs="Traditional Arabic"/>
          <w:sz w:val="28"/>
          <w:szCs w:val="32"/>
          <w:rtl/>
        </w:rPr>
        <w:footnoteReference w:id="1622"/>
      </w:r>
      <w:r>
        <w:rPr>
          <w:rFonts w:cs="Traditional Arabic" w:hint="cs"/>
          <w:sz w:val="28"/>
          <w:szCs w:val="32"/>
          <w:vertAlign w:val="superscript"/>
          <w:rtl/>
        </w:rPr>
        <w:t xml:space="preserve"> )</w:t>
      </w:r>
      <w:r>
        <w:rPr>
          <w:rFonts w:cs="Traditional Arabic" w:hint="cs"/>
          <w:sz w:val="28"/>
          <w:szCs w:val="32"/>
          <w:rtl/>
        </w:rPr>
        <w:t xml:space="preserve"> . ولما عرض هذا النص على لجنة المراجعة ، حذفته اللجنة اكتفاء بنص المادة 1530 من المشروع</w:t>
      </w:r>
      <w:r>
        <w:rPr>
          <w:rFonts w:cs="Traditional Arabic" w:hint="cs"/>
          <w:sz w:val="28"/>
          <w:szCs w:val="32"/>
          <w:vertAlign w:val="superscript"/>
          <w:rtl/>
        </w:rPr>
        <w:t xml:space="preserve">( </w:t>
      </w:r>
      <w:r w:rsidRPr="00EC737F">
        <w:rPr>
          <w:rStyle w:val="ab"/>
          <w:rFonts w:cs="Traditional Arabic"/>
          <w:sz w:val="28"/>
          <w:szCs w:val="32"/>
          <w:rtl/>
        </w:rPr>
        <w:footnoteReference w:id="1623"/>
      </w:r>
      <w:r>
        <w:rPr>
          <w:rFonts w:cs="Traditional Arabic" w:hint="cs"/>
          <w:sz w:val="28"/>
          <w:szCs w:val="32"/>
          <w:vertAlign w:val="superscript"/>
          <w:rtl/>
        </w:rPr>
        <w:t xml:space="preserve"> )</w:t>
      </w:r>
      <w:r>
        <w:rPr>
          <w:rFonts w:cs="Traditional Arabic" w:hint="cs"/>
          <w:sz w:val="28"/>
          <w:szCs w:val="32"/>
          <w:rtl/>
        </w:rPr>
        <w:t xml:space="preserve"> .</w:t>
      </w:r>
    </w:p>
    <w:p w:rsidR="00F72742" w:rsidRPr="005C4819"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والمادة 1530 من المشروع تنص على ما يأتي : "الرهن الحيازي عقد بمقتضاه يلتزم الشخص ، ضماناً لدين عليه أو على غيره ، أن يسلم إلى الدائن ، أو إلى شخص آخر يعينه المتعاقدان ، شيئاً يرتب عليه حقاً عينياً يخول الدائن أن يحبس هذا الشيء حتى استيفاء الدين ، وأن يتقدم على الدائنين العاديين والدائنين التاليين له في المرتبة في اقتضاء حقه من ثمن الشيء المرهون ، ولو انتقل هذا الشيء إلى شخص 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$848 ويفهم من ذلك أن الدائن المرتهن في رهن الحيازة يتقدم على جميع الدائنين العاديين ، وعلى جميع الدائنين التالين له في المرتبة ، ويتأخر عن الدائنين المتقدمين عليه في المرتبة</w:t>
      </w:r>
      <w:r>
        <w:rPr>
          <w:rFonts w:cs="Traditional Arabic" w:hint="cs"/>
          <w:sz w:val="28"/>
          <w:szCs w:val="32"/>
          <w:vertAlign w:val="superscript"/>
          <w:rtl/>
        </w:rPr>
        <w:t xml:space="preserve">( </w:t>
      </w:r>
      <w:r w:rsidRPr="00EC737F">
        <w:rPr>
          <w:rStyle w:val="ab"/>
          <w:rFonts w:cs="Traditional Arabic"/>
          <w:sz w:val="28"/>
          <w:szCs w:val="32"/>
          <w:rtl/>
        </w:rPr>
        <w:footnoteReference w:id="162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ويتقاضى حقه على هذا الوجه ، إذا حل الحق ، في أي وقت أراد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قضت محكمة الاستئناف المختلطة بأن الشروط الواردة بعقد رهن بضائع أو سندات رهن حيازة ، والتي ترخص في بيع الشيء المرهون في أي وقت ، هي مكنة موضوعة لمصلحة الدائن وحده ، فله أن </w:t>
      </w:r>
      <w:r>
        <w:rPr>
          <w:rFonts w:cs="Traditional Arabic" w:hint="cs"/>
          <w:sz w:val="28"/>
          <w:szCs w:val="32"/>
          <w:rtl/>
        </w:rPr>
        <w:lastRenderedPageBreak/>
        <w:t>ينزل عنها دون أن يوجه إليه أي لوم ممن قررت هذه الشروط ضده</w:t>
      </w:r>
      <w:r>
        <w:rPr>
          <w:rFonts w:cs="Traditional Arabic" w:hint="cs"/>
          <w:sz w:val="28"/>
          <w:szCs w:val="32"/>
          <w:vertAlign w:val="superscript"/>
          <w:rtl/>
        </w:rPr>
        <w:t xml:space="preserve">( </w:t>
      </w:r>
      <w:r w:rsidRPr="00EC737F">
        <w:rPr>
          <w:rStyle w:val="ab"/>
          <w:rFonts w:cs="Traditional Arabic"/>
          <w:sz w:val="28"/>
          <w:szCs w:val="32"/>
          <w:rtl/>
        </w:rPr>
        <w:footnoteReference w:id="1625"/>
      </w:r>
      <w:r>
        <w:rPr>
          <w:rFonts w:cs="Traditional Arabic" w:hint="cs"/>
          <w:sz w:val="28"/>
          <w:szCs w:val="32"/>
          <w:vertAlign w:val="superscript"/>
          <w:rtl/>
        </w:rPr>
        <w:t xml:space="preserve"> )</w:t>
      </w:r>
      <w:r>
        <w:rPr>
          <w:rFonts w:cs="Traditional Arabic" w:hint="cs"/>
          <w:sz w:val="28"/>
          <w:szCs w:val="32"/>
          <w:rtl/>
        </w:rPr>
        <w:t xml:space="preserve"> . وقضت أيضاً بأن استيفاء الدائن المرتهن حيازة حقه من البضاعة المسلمة إليه لضمان الدين ، مكنة له ، ولا تتحول إلى الالتزام إلا إذا كان المدين أعذره ببيعها</w:t>
      </w:r>
      <w:r>
        <w:rPr>
          <w:rFonts w:cs="Traditional Arabic" w:hint="cs"/>
          <w:sz w:val="28"/>
          <w:szCs w:val="32"/>
          <w:vertAlign w:val="superscript"/>
          <w:rtl/>
        </w:rPr>
        <w:t xml:space="preserve">( </w:t>
      </w:r>
      <w:r w:rsidRPr="00EC737F">
        <w:rPr>
          <w:rStyle w:val="ab"/>
          <w:rFonts w:cs="Traditional Arabic"/>
          <w:sz w:val="28"/>
          <w:szCs w:val="32"/>
          <w:rtl/>
        </w:rPr>
        <w:footnoteReference w:id="162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592- الحلول العيني :</w:t>
      </w:r>
      <w:r>
        <w:rPr>
          <w:rFonts w:cs="Traditional Arabic" w:hint="cs"/>
          <w:sz w:val="28"/>
          <w:szCs w:val="32"/>
          <w:rtl/>
        </w:rPr>
        <w:t xml:space="preserve"> وإذا هلك الشيء المرهون بفعل الغير ، فإن الغي يكون مسئولا عن التعويض ، ويحل التعويض حلولا عينياً محل الشيء المرهون ، ويكون مرهوناً مثله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وكذلك إذا كان الشيء المرهون مؤمناً عليه ضد الحريق مثلا واحتراق ، كان مبلغ التأمين يحل حلولا عينياً محل الشيء المرهون ، ويصبح مرهوناً مثله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$849 وإذا بيع الشيء المرهون للمنفعة العامة ، فإن ثمنه يحل محل حلولا عينيا ويصبح مرهوناً . وهكذا</w:t>
      </w:r>
      <w:r>
        <w:rPr>
          <w:rFonts w:cs="Traditional Arabic" w:hint="cs"/>
          <w:sz w:val="28"/>
          <w:szCs w:val="32"/>
          <w:vertAlign w:val="superscript"/>
          <w:rtl/>
        </w:rPr>
        <w:t xml:space="preserve">( </w:t>
      </w:r>
      <w:r w:rsidRPr="00EC737F">
        <w:rPr>
          <w:rStyle w:val="ab"/>
          <w:rFonts w:cs="Traditional Arabic"/>
          <w:sz w:val="28"/>
          <w:szCs w:val="32"/>
          <w:rtl/>
        </w:rPr>
        <w:footnoteReference w:id="162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593- التزاحم ما بين الدائنين المرتهنين : </w:t>
      </w:r>
      <w:r>
        <w:rPr>
          <w:rFonts w:cs="Traditional Arabic" w:hint="cs"/>
          <w:sz w:val="28"/>
          <w:szCs w:val="32"/>
          <w:rtl/>
        </w:rPr>
        <w:t xml:space="preserve">إذا كان المرهون عقاراً ، وتزاحم عادة دائنين مرتهنين كسب كل منهم رهناً حيازياً على هذا العقار ، كانت الأسبقية للدائن المرتهن الذي سبق الدائنين المرتهنين الآخرين في قيد حقه وحيازة العقار ، فيفضل على الدائن الذي كان سابقاً عليه في القيد ولكن لم تنتقل إليه الحيازة . وإذا كان التزاحم بن دائن مرتهن حيازة وآخر له حق عيني على العقار غير رهن الحيازة ( رهن رسمي أو حق اختصاص أو حق امتياز عقاري خاص ) ، فالأسبقية تكون للدائن الأسبق في القيد ، فإذا </w:t>
      </w:r>
      <w:r>
        <w:rPr>
          <w:rFonts w:cs="Traditional Arabic" w:hint="cs"/>
          <w:sz w:val="28"/>
          <w:szCs w:val="32"/>
          <w:rtl/>
        </w:rPr>
        <w:lastRenderedPageBreak/>
        <w:t>كان هو الدائن المرتهن حيازة وجب أيضاً أن تكون حيازة العقار قد انتقلت إليه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المرهون منقولا ، فالأسبقية بين الدائنين المرتهنين حيازة تكون لمن انتقلت إليه حيازة المنقول وكان رهنه مدوناً في ورقة ثابتة التاريخ . وفي حالة توافر الحيازة لشخص أجنبي ( العدل ) يحوز المنقول لصال عدة دائنين مرتهنين ، فإن الأسبقية تثبت لأول دائن مرتهن حاز الشخص الأجنبي المنقول لصالحه بشرط أن يكون حقه مدوناً في ورقة مكتوبة ثابتة التاريخ</w:t>
      </w:r>
      <w:r>
        <w:rPr>
          <w:rFonts w:cs="Traditional Arabic" w:hint="cs"/>
          <w:sz w:val="28"/>
          <w:szCs w:val="32"/>
          <w:vertAlign w:val="superscript"/>
          <w:rtl/>
        </w:rPr>
        <w:t xml:space="preserve">( </w:t>
      </w:r>
      <w:r w:rsidRPr="00EC737F">
        <w:rPr>
          <w:rStyle w:val="ab"/>
          <w:rFonts w:cs="Traditional Arabic"/>
          <w:sz w:val="28"/>
          <w:szCs w:val="32"/>
          <w:rtl/>
        </w:rPr>
        <w:footnoteReference w:id="162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594- مرتبة الدائن المرتهن حيازة :</w:t>
      </w:r>
      <w:r>
        <w:rPr>
          <w:rFonts w:cs="Traditional Arabic" w:hint="cs"/>
          <w:sz w:val="28"/>
          <w:szCs w:val="32"/>
          <w:rtl/>
        </w:rPr>
        <w:t xml:space="preserve"> تتحدد مرتبة الدائن المرتهن حيازة ، إذا كان الرهن وارداً على العقار ، بالقيد مع انتقال الحيازة . وإذا كان الرهن وارداً على منقول ، فإن مرتبة الدائن المرتهن حيازة تتحدد بإثبات الرهن في ورقة مكتوبة ثابتة التاريخ مع انتقال الحيازة دائماً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لم يكن هناك مع الدائن المرتهن حيازة إلا الدائنون العاديون ، تقدم الدائن المرتهن عليهم جميعاً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$850 وإذا كان الرهن وارداً على عقار ، وتزاحم مع الدائن المرتهن حيازة دان مرتهن حيازة آخر أو دائن مرتهن رهناً رسمياً أو صاحب حق اختصاص فإن المتقدم في المرتبة هو الذي يفضل ، مع ملاحظة أن مرتبة الرهن الحيازي تتحدد بالقيد مع انتقال الحيازة . وإذا كان الرهن وارداً على منقول ، فضل الدائن المرتهن حيازة على غيره من الدائنين المرتهنين حيازة إذا كانت مرتبته قبل مرتبهم</w:t>
      </w:r>
      <w:r>
        <w:rPr>
          <w:rFonts w:cs="Traditional Arabic" w:hint="cs"/>
          <w:sz w:val="28"/>
          <w:szCs w:val="32"/>
          <w:vertAlign w:val="superscript"/>
          <w:rtl/>
        </w:rPr>
        <w:t xml:space="preserve">( </w:t>
      </w:r>
      <w:r w:rsidRPr="00EC737F">
        <w:rPr>
          <w:rStyle w:val="ab"/>
          <w:rFonts w:cs="Traditional Arabic"/>
          <w:sz w:val="28"/>
          <w:szCs w:val="32"/>
          <w:rtl/>
        </w:rPr>
        <w:footnoteReference w:id="1629"/>
      </w:r>
      <w:r>
        <w:rPr>
          <w:rFonts w:cs="Traditional Arabic" w:hint="cs"/>
          <w:sz w:val="28"/>
          <w:szCs w:val="32"/>
          <w:vertAlign w:val="superscript"/>
          <w:rtl/>
        </w:rPr>
        <w:t xml:space="preserve"> )</w:t>
      </w:r>
      <w:r>
        <w:rPr>
          <w:rFonts w:cs="Traditional Arabic" w:hint="cs"/>
          <w:sz w:val="28"/>
          <w:szCs w:val="32"/>
          <w:rtl/>
        </w:rPr>
        <w:t xml:space="preserve"> .</w:t>
      </w:r>
    </w:p>
    <w:p w:rsidR="00F72742" w:rsidRPr="00AC2D8B" w:rsidRDefault="00F72742" w:rsidP="00F72742">
      <w:pPr>
        <w:widowControl w:val="0"/>
        <w:spacing w:after="120"/>
        <w:jc w:val="center"/>
        <w:rPr>
          <w:rFonts w:cs="Traditional Arabic" w:hint="cs"/>
          <w:b/>
          <w:bCs/>
          <w:sz w:val="40"/>
          <w:szCs w:val="40"/>
          <w:rtl/>
        </w:rPr>
      </w:pPr>
      <w:r>
        <w:rPr>
          <w:rFonts w:cs="Traditional Arabic"/>
          <w:b/>
          <w:bCs/>
          <w:sz w:val="40"/>
          <w:szCs w:val="40"/>
          <w:rtl/>
        </w:rPr>
        <w:br w:type="page"/>
      </w:r>
      <w:r w:rsidRPr="00AC2D8B">
        <w:rPr>
          <w:rFonts w:cs="Traditional Arabic" w:hint="cs"/>
          <w:b/>
          <w:bCs/>
          <w:sz w:val="40"/>
          <w:szCs w:val="40"/>
          <w:rtl/>
        </w:rPr>
        <w:lastRenderedPageBreak/>
        <w:t>المطلب الثاني</w:t>
      </w:r>
    </w:p>
    <w:p w:rsidR="00F72742" w:rsidRPr="00AC2D8B" w:rsidRDefault="00F72742" w:rsidP="00F72742">
      <w:pPr>
        <w:widowControl w:val="0"/>
        <w:spacing w:after="120"/>
        <w:jc w:val="center"/>
        <w:rPr>
          <w:rFonts w:cs="Traditional Arabic" w:hint="cs"/>
          <w:b/>
          <w:bCs/>
          <w:sz w:val="28"/>
          <w:szCs w:val="32"/>
          <w:rtl/>
        </w:rPr>
      </w:pPr>
      <w:r w:rsidRPr="00AC2D8B">
        <w:rPr>
          <w:rFonts w:cs="Traditional Arabic" w:hint="cs"/>
          <w:b/>
          <w:bCs/>
          <w:sz w:val="28"/>
          <w:szCs w:val="32"/>
          <w:rtl/>
        </w:rPr>
        <w:t>حق التتبع</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595- متى يستعمل حق التتبع : </w:t>
      </w:r>
      <w:r>
        <w:rPr>
          <w:rFonts w:cs="Traditional Arabic" w:hint="cs"/>
          <w:sz w:val="28"/>
          <w:szCs w:val="32"/>
          <w:rtl/>
        </w:rPr>
        <w:t>يستعمل الدائن المرتهن حق التتبع ، إذا انتقلت ملكية العين المرهونة إلى شخص آخر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فعند التنفيذ ، يستعمل الدائن المرتهن حق التتبع للعين المرهونة وهي في يد من انتقلت إليه ملكيتها ، ويسمى هذا بحق التتبع ، ثم على العين المرهونة وهي في يد مالكها ، مستعملا في ذلك حقه في التقدم على الدائنين العاديين وعلى الدائنين التالين له في المرتبة .</w:t>
      </w:r>
    </w:p>
    <w:p w:rsidR="00F72742" w:rsidRPr="008057BE"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596- تتبع الدائن المرتهن حيازة مع أن الحيازة في يده :</w:t>
      </w:r>
      <w:r>
        <w:rPr>
          <w:rFonts w:cs="Traditional Arabic" w:hint="cs"/>
          <w:sz w:val="28"/>
          <w:szCs w:val="32"/>
          <w:rtl/>
        </w:rPr>
        <w:t xml:space="preserve"> ويلاحظ أن الدائن المرتهن حيازة يتتبع العين ، مع أن حيازتها في يده . ذلك لأن التتبع هنا ليس تتبعاً مادياً للحيازة ، وإلا لما احتاج الدائن المرتهن تتبع العين فحيازتها في يده ، وإنما هو تتبع معنوي للملكية .</w:t>
      </w:r>
    </w:p>
    <w:p w:rsidR="00F72742" w:rsidRPr="00F45FA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$851 ونأتي بمثل تطبق على ذلك : العين المرهونة في حيازة الدائن المرتهن ، ثم باعها مالكها إلى مشتر مع بقاء العين في حيازة الدائن المرتهن . هنا ، وبغير حق التتبع ، لا يستطيع الدائن المرتهن أن ينفذ على العين مع أنها في حيازته . ذلك لأن ملكيتها قد انتقلت إلى المشتري ، فلا يستطيع الدئان المرتهن أن يبيعها في مواجهة المشتري ، ما لم يكن له حق تتبع العين وهي في يد المشتري بعد أن انتقلت ملكيتها إلى هذا المشتري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مذكرة المشروع التمهيدي في هذا الخصوص : "ويلاحظ أن المرتهن حيازة يتتبع العين في يد الغير مع أن حيازتها في يده ، ذلك لأن التتبع ليس تتبعاً مادياً للحيازة" بل هو تتبع معنوي للملكية ، يستطيع الدائن بمقتضاه أن ينفذ على العين بعد أن تنتقل ملكيتها من الراهن"</w:t>
      </w:r>
      <w:r>
        <w:rPr>
          <w:rFonts w:cs="Traditional Arabic" w:hint="cs"/>
          <w:sz w:val="28"/>
          <w:szCs w:val="32"/>
          <w:vertAlign w:val="superscript"/>
          <w:rtl/>
        </w:rPr>
        <w:t xml:space="preserve">( </w:t>
      </w:r>
      <w:r w:rsidRPr="00EC737F">
        <w:rPr>
          <w:rStyle w:val="ab"/>
          <w:rFonts w:cs="Traditional Arabic"/>
          <w:sz w:val="28"/>
          <w:szCs w:val="32"/>
          <w:rtl/>
        </w:rPr>
        <w:footnoteReference w:id="163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597- المالك الجديد لا يطهر العقار ولا  يخليه : </w:t>
      </w:r>
      <w:r>
        <w:rPr>
          <w:rFonts w:cs="Traditional Arabic" w:hint="cs"/>
          <w:sz w:val="28"/>
          <w:szCs w:val="32"/>
          <w:rtl/>
        </w:rPr>
        <w:t xml:space="preserve"> وقد رأينا في الرهن الرسمي أن الحائز ، وهو </w:t>
      </w:r>
      <w:r>
        <w:rPr>
          <w:rFonts w:cs="Traditional Arabic" w:hint="cs"/>
          <w:sz w:val="28"/>
          <w:szCs w:val="32"/>
          <w:rtl/>
        </w:rPr>
        <w:lastRenderedPageBreak/>
        <w:t>الذي يقابل المالك الجديد هنا ، له ، إذا لم يدفع الدين ولم يرد أن يتحمل شخصياً إجراءات نزع الملكية ، أن يطلب تطهير العقار أو يتخلى عنه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هنا ، فالمالك الجديد لا يملك إلا أن يدفع الدين فيحل محل الدائن في رهن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1631"/>
      </w:r>
      <w:r>
        <w:rPr>
          <w:rFonts w:cs="Traditional Arabic" w:hint="cs"/>
          <w:sz w:val="28"/>
          <w:szCs w:val="32"/>
          <w:vertAlign w:val="superscript"/>
          <w:rtl/>
        </w:rPr>
        <w:t xml:space="preserve"> )</w:t>
      </w:r>
      <w:r>
        <w:rPr>
          <w:rFonts w:cs="Traditional Arabic" w:hint="cs"/>
          <w:sz w:val="28"/>
          <w:szCs w:val="32"/>
          <w:rtl/>
        </w:rPr>
        <w:t xml:space="preserve"> ، أو يتحمل شخصياً إجراءات التنفيذ . وليس له أن يطهر العقار ، أو أن يتخلى عنه .</w:t>
      </w:r>
    </w:p>
    <w:p w:rsidR="00F72742" w:rsidRDefault="00F72742" w:rsidP="00F72742">
      <w:pPr>
        <w:widowControl w:val="0"/>
        <w:spacing w:after="120"/>
        <w:ind w:firstLine="567"/>
        <w:jc w:val="lowKashida"/>
        <w:rPr>
          <w:rFonts w:cs="Traditional Arabic" w:hint="cs"/>
          <w:sz w:val="28"/>
          <w:szCs w:val="32"/>
          <w:rtl/>
        </w:rPr>
      </w:pP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مذكرة المشروع التمهيدي ، في هذا الخصوص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$852 "وللدائن المرتهن أخيراً أن ينفذ على العين المرهونة ، في بيد من انتقلت إليه ملكيتها . ويجوز لهذا المالك ، وهو الذي يقابل الحائز للعقار في الرهن الرسمي ، أن يدفع الدين ، فيحل محل الدائن في رهن الحيازة . فإن لم يفعل ، وجب ا يتحمل إجراءات التنفيذ . وليس له أن يخلي العقار ، أو أن يطهره"</w:t>
      </w:r>
      <w:r>
        <w:rPr>
          <w:rFonts w:cs="Traditional Arabic" w:hint="cs"/>
          <w:sz w:val="28"/>
          <w:szCs w:val="32"/>
          <w:vertAlign w:val="superscript"/>
          <w:rtl/>
        </w:rPr>
        <w:t xml:space="preserve">( </w:t>
      </w:r>
      <w:r w:rsidRPr="00EC737F">
        <w:rPr>
          <w:rStyle w:val="ab"/>
          <w:rFonts w:cs="Traditional Arabic"/>
          <w:sz w:val="28"/>
          <w:szCs w:val="32"/>
          <w:rtl/>
        </w:rPr>
        <w:footnoteReference w:id="163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598- قد يتطهر العقار من الرهن الحيازي تبعاً لتطهيره من الرهن الرسمي : </w:t>
      </w:r>
      <w:r>
        <w:rPr>
          <w:rFonts w:cs="Traditional Arabic" w:hint="cs"/>
          <w:sz w:val="28"/>
          <w:szCs w:val="32"/>
          <w:rtl/>
        </w:rPr>
        <w:t>ويلاحظ أن العقار قد يتطهر من الرهن الحيازي ، إذا كان مثقلا أيضاً برهن رسمي . فإذا انتقلت ملكية هذا العقار إلى حائز ، أراد الحائز تطهير العقار لأنه مثقل برهن رسمي ، وجه العرض إلى أصحاب الحقوق المقيدة على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إذا لاقى العرض قبولا ، ودفع الحائز ما قدره قيمة للعقار ، أو أودعه خزانة المحكمة ، تطهر العقار </w:t>
      </w:r>
      <w:r>
        <w:rPr>
          <w:rFonts w:cs="Traditional Arabic" w:hint="cs"/>
          <w:sz w:val="28"/>
          <w:szCs w:val="32"/>
          <w:rtl/>
        </w:rPr>
        <w:lastRenderedPageBreak/>
        <w:t>من كل الحقوق المقيدة ، بما فيها حق الدائن المرتهن رهناً رسمياً وحق الدائن المرتهن حيازة"</w:t>
      </w:r>
      <w:r>
        <w:rPr>
          <w:rFonts w:cs="Traditional Arabic" w:hint="cs"/>
          <w:sz w:val="28"/>
          <w:szCs w:val="32"/>
          <w:vertAlign w:val="superscript"/>
          <w:rtl/>
        </w:rPr>
        <w:t xml:space="preserve">( </w:t>
      </w:r>
      <w:r w:rsidRPr="00EC737F">
        <w:rPr>
          <w:rStyle w:val="ab"/>
          <w:rFonts w:cs="Traditional Arabic"/>
          <w:sz w:val="28"/>
          <w:szCs w:val="32"/>
          <w:rtl/>
        </w:rPr>
        <w:footnoteReference w:id="1633"/>
      </w:r>
      <w:r>
        <w:rPr>
          <w:rFonts w:cs="Traditional Arabic" w:hint="cs"/>
          <w:sz w:val="28"/>
          <w:szCs w:val="32"/>
          <w:vertAlign w:val="superscript"/>
          <w:rtl/>
        </w:rPr>
        <w:t xml:space="preserve"> )</w:t>
      </w:r>
      <w:r>
        <w:rPr>
          <w:rFonts w:cs="Traditional Arabic" w:hint="cs"/>
          <w:sz w:val="28"/>
          <w:szCs w:val="32"/>
          <w:rtl/>
        </w:rPr>
        <w:t xml:space="preserve"> .</w:t>
      </w:r>
    </w:p>
    <w:p w:rsidR="00F72742" w:rsidRPr="003B7F50" w:rsidRDefault="00F72742" w:rsidP="00F72742">
      <w:pPr>
        <w:widowControl w:val="0"/>
        <w:spacing w:after="120"/>
        <w:jc w:val="center"/>
        <w:rPr>
          <w:rFonts w:cs="Traditional Arabic" w:hint="cs"/>
          <w:b/>
          <w:bCs/>
          <w:sz w:val="44"/>
          <w:szCs w:val="44"/>
          <w:rtl/>
        </w:rPr>
      </w:pPr>
      <w:r w:rsidRPr="003B7F50">
        <w:rPr>
          <w:rFonts w:cs="Traditional Arabic" w:hint="cs"/>
          <w:b/>
          <w:bCs/>
          <w:sz w:val="44"/>
          <w:szCs w:val="44"/>
          <w:rtl/>
        </w:rPr>
        <w:t>المبحث الثاني</w:t>
      </w:r>
    </w:p>
    <w:p w:rsidR="00F72742" w:rsidRPr="003B7F50" w:rsidRDefault="00F72742" w:rsidP="00F72742">
      <w:pPr>
        <w:widowControl w:val="0"/>
        <w:spacing w:after="120"/>
        <w:jc w:val="center"/>
        <w:rPr>
          <w:rFonts w:cs="Traditional Arabic" w:hint="cs"/>
          <w:b/>
          <w:bCs/>
          <w:sz w:val="28"/>
          <w:szCs w:val="32"/>
          <w:rtl/>
        </w:rPr>
      </w:pPr>
      <w:r w:rsidRPr="003B7F50">
        <w:rPr>
          <w:rFonts w:cs="Traditional Arabic" w:hint="cs"/>
          <w:b/>
          <w:bCs/>
          <w:sz w:val="28"/>
          <w:szCs w:val="32"/>
          <w:rtl/>
        </w:rPr>
        <w:t>حق الحبس</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599- نص قانوني :</w:t>
      </w:r>
      <w:r>
        <w:rPr>
          <w:rFonts w:cs="Traditional Arabic" w:hint="cs"/>
          <w:sz w:val="28"/>
          <w:szCs w:val="32"/>
          <w:rtl/>
        </w:rPr>
        <w:t xml:space="preserve"> تنص المادة 1110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يخول الرهن الدائن المرتهن الحق في حبس الشيء المرهون عن الناس كافة دون إخلال بما للغير من حقوق ثم حفظها وفقاً للقانون"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وإذا خرج الشيء من يد الدائن دون إرادته أو دون علمه ، كان له الحق في استرداد حيازته من الغير وفقاً لأحكام الحيازة"</w:t>
      </w:r>
      <w:r>
        <w:rPr>
          <w:rFonts w:cs="Traditional Arabic" w:hint="cs"/>
          <w:sz w:val="28"/>
          <w:szCs w:val="32"/>
          <w:vertAlign w:val="superscript"/>
          <w:rtl/>
        </w:rPr>
        <w:t xml:space="preserve">( </w:t>
      </w:r>
      <w:r w:rsidRPr="00EC737F">
        <w:rPr>
          <w:rStyle w:val="ab"/>
          <w:rFonts w:cs="Traditional Arabic"/>
          <w:sz w:val="28"/>
          <w:szCs w:val="32"/>
          <w:rtl/>
        </w:rPr>
        <w:footnoteReference w:id="163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$853 وقد جاء في مذكرة المشروع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والرهن ، إذا ترتب على الشيء وأصبح نافذاً في حق الغير ، يعطي الدائن المرتهن سلطة على الشيء ، هي أن يحبسه في مواجهة الراهن والغير ، وأن ينفذ عليه بالبيع فيستوي حقه من الثمن متقدماً على من يتلوه من الدائنين ومتتبعاً العين في يد من انتقلت إليه ملكيتها"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فللدائن المرتهن أن يحبس الشيء في مواجهة الراهن ، وقد سبق $854 ذكر ذلك . وله أن يحبسه في مواجهة الغير ، كمشتر لعقار مرهون سجل البيع بعد قيد الرهن ، أو مشتر لمنقول مرهون وتاريخ الرهن الثابت أسبق من تاريخ البيع . وبحبسه كذلك في مواجهة الغير ، من الدائنين المتأخرين عنه في المرتبة . فإذا رهن الراهن الشيء مرة ثانية ، رهن حيازة أو رهناً رسمياً في العقار ، فإن للمرتهن الأول أن يحبس العين عن المرتهن الثاني . ولكن إذا نفذ الثاني على العين وباعها في المزاد ، فقد كان مقتضى حق المرتهن الأول أن يحبس العين عن الراسي عليه المزاد . وهذا هو الحكم في التقنين الحالي ( السابق ) ، فعدل المشروع من هذا الحكم الذي يشل من حقوق الدائنين . وقرر أن رهن الحيازة ينقضي إذا بيعت العين المرهونة بالمزاد العلني بيعاً جبرياً ( م 1554 من المشروع ) ، وبانقضاء الرهن ينقضي الحبس . ويلتزم المرتهن الأول أن يسلم العين للراسي عليه المزاد ، على أن يستوفي حقه من الثمن قبل المرتهن الثاني طبعاً . أما إذا كان الذي باع العين في المزاد ه المرتهن الأول ، فبديهي أن المرتهن الثاني إذا كان رهنه حيازياً لا يستطيع الاحتجاج بحق الحبس ، ويجب أن يسلم العين للراسي عليه المزاد ، ثم هو يستوفي حقه من الثمن بعد المرتهن الأول . وكما أن للدائن المرتهن إذا لم يستوفي الدين أن يسترد الشيء من الراهن إذا هو عاد إليه ، فإنه يستطيع كذلك أن سترده من الغير  إذا خرج الشيء من يده غصباً دون إرادته ، أو خلسة بغير علمه </w:t>
      </w:r>
      <w:r>
        <w:rPr>
          <w:rFonts w:cs="Traditional Arabic" w:hint="cs"/>
          <w:sz w:val="28"/>
          <w:szCs w:val="32"/>
          <w:rtl/>
        </w:rPr>
        <w:lastRenderedPageBreak/>
        <w:t>، دون إخلال بما يكون الغير قد كسب من حقوق عينية على الشيء إذا كانت هذه الحقوق نافذة في حق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35"/>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ونتكلم ، في الحق في الحبس ، في المسائل الآتية : ( 1 ) من له حق الحبس . ( 2 ) المال الذي يحبس . ( 3 ) الحبس والتنفيذ . ( 4 ) ضد من يكون حق الحبس </w:t>
      </w:r>
      <w:r>
        <w:rPr>
          <w:rFonts w:cs="Traditional Arabic"/>
          <w:sz w:val="28"/>
          <w:szCs w:val="32"/>
          <w:rtl/>
        </w:rPr>
        <w:t>–</w:t>
      </w:r>
      <w:r>
        <w:rPr>
          <w:rFonts w:cs="Traditional Arabic" w:hint="cs"/>
          <w:sz w:val="28"/>
          <w:szCs w:val="32"/>
          <w:rtl/>
        </w:rPr>
        <w:t xml:space="preserve"> الراهن والغير . ( 5 ) التطهير لا يشمل الرهن الحيازي في القانون المدني . ( 6 ) التطهير يشمل الرهن الحيازي في قانون $855 المرافعات . ( 7 ) متى ينعدم التعارض بين القانون المدني وقانون المرافعات . ( 8 ) الحبس للدين المضمون بالرهن . ( 9 ) الرهن المضمون . ( 10 ) استرداد الشيء المرهون . ( 11 ) حق الحبس والحق في الحبس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600- من له حق الحبس : </w:t>
      </w:r>
      <w:r>
        <w:rPr>
          <w:rFonts w:cs="Traditional Arabic" w:hint="cs"/>
          <w:sz w:val="28"/>
          <w:szCs w:val="32"/>
          <w:rtl/>
        </w:rPr>
        <w:t>للدائن المرتهن حيازة حق حبس العين المرهونة عن الناس كافة من راهن وغير راهن ، حتى ستوفي كل حقه من مصروفات وتعويضات وفوائد وملحقات أخرى وأصل ، ويصبح خالصاً بكل ما يستحقه من ذلك</w:t>
      </w:r>
      <w:r>
        <w:rPr>
          <w:rFonts w:cs="Traditional Arabic" w:hint="cs"/>
          <w:sz w:val="28"/>
          <w:szCs w:val="32"/>
          <w:vertAlign w:val="superscript"/>
          <w:rtl/>
        </w:rPr>
        <w:t xml:space="preserve">( </w:t>
      </w:r>
      <w:r w:rsidRPr="00EC737F">
        <w:rPr>
          <w:rStyle w:val="ab"/>
          <w:rFonts w:cs="Traditional Arabic"/>
          <w:sz w:val="28"/>
          <w:szCs w:val="32"/>
          <w:rtl/>
        </w:rPr>
        <w:footnoteReference w:id="163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ويكون للدائن المرتهن حق الحبس ما دام الدين لم يؤد بتمامه</w:t>
      </w:r>
      <w:r>
        <w:rPr>
          <w:rFonts w:cs="Traditional Arabic" w:hint="cs"/>
          <w:sz w:val="28"/>
          <w:szCs w:val="32"/>
          <w:vertAlign w:val="superscript"/>
          <w:rtl/>
        </w:rPr>
        <w:t xml:space="preserve">( </w:t>
      </w:r>
      <w:r w:rsidRPr="00EC737F">
        <w:rPr>
          <w:rStyle w:val="ab"/>
          <w:rFonts w:cs="Traditional Arabic"/>
          <w:sz w:val="28"/>
          <w:szCs w:val="32"/>
          <w:rtl/>
        </w:rPr>
        <w:footnoteReference w:id="1637"/>
      </w:r>
      <w:r>
        <w:rPr>
          <w:rFonts w:cs="Traditional Arabic" w:hint="cs"/>
          <w:sz w:val="28"/>
          <w:szCs w:val="32"/>
          <w:vertAlign w:val="superscript"/>
          <w:rtl/>
        </w:rPr>
        <w:t xml:space="preserve"> )</w:t>
      </w:r>
      <w:r>
        <w:rPr>
          <w:rFonts w:cs="Traditional Arabic" w:hint="cs"/>
          <w:sz w:val="28"/>
          <w:szCs w:val="32"/>
          <w:rtl/>
        </w:rPr>
        <w:t xml:space="preserve"> ، سواء كان هذا الدين قابلا للتجزئة أو لم يكن ، وسواء كان الشيء المرهون قابلا للانقسام أو غير قابل له . ذلك لأن الرهن يبقى حتى يوفي الدين كله ، لأن الرهن نفسه غير قابل للتجزئة ، فأي شيء يبقى من الدين يكون مضموناً بكل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وقاعدة عدم تجزئة الرهن قائمة على ما قصده المتعاقدان ، فقد أرادا أن يبقى الرهن قائماً حتى يؤدي كل الدين . وهذا هو المفروض ، ولهما أن يتفقا صراحة على خلاف ذلك ، كأن يتفقا على أنه كلما سدد جزء معين من الدين ، الربع أو الثلث مثلا ، حر م الشيء المرهون ما يقابل ما سدد من الدين وأعيد </w:t>
      </w:r>
      <w:r>
        <w:rPr>
          <w:rFonts w:cs="Traditional Arabic" w:hint="cs"/>
          <w:sz w:val="28"/>
          <w:szCs w:val="32"/>
          <w:rtl/>
        </w:rPr>
        <w:lastRenderedPageBreak/>
        <w:t>إلى الراهن ما حرر من الشيء المرهون . فعدم تجزئة الرهن من طبيعة الرهن ، لا من مستلزماته</w:t>
      </w:r>
      <w:r>
        <w:rPr>
          <w:rFonts w:cs="Traditional Arabic" w:hint="cs"/>
          <w:sz w:val="28"/>
          <w:szCs w:val="32"/>
          <w:vertAlign w:val="superscript"/>
          <w:rtl/>
        </w:rPr>
        <w:t xml:space="preserve">( </w:t>
      </w:r>
      <w:r w:rsidRPr="00EC737F">
        <w:rPr>
          <w:rStyle w:val="ab"/>
          <w:rFonts w:cs="Traditional Arabic"/>
          <w:sz w:val="28"/>
          <w:szCs w:val="32"/>
          <w:rtl/>
        </w:rPr>
        <w:footnoteReference w:id="163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حق الحبس هنا أعطي للدائن المرتهن لأنه صاحب حق $856 عيني ، وهو حق رهن الحيازة . فحق الحبس متفرع عن حق عيني ، ومن ثم يكون هو نفسه حقاً عينياً ، أو هو من مستلزمات الحق العين وهذا بخلاف الحق في الحبس العام ، لأن هذا هو دفع بعدم التنفيذ ، وليس بحق عيني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601- المال الذي يحبس :</w:t>
      </w:r>
      <w:r>
        <w:rPr>
          <w:rFonts w:cs="Traditional Arabic" w:hint="cs"/>
          <w:sz w:val="28"/>
          <w:szCs w:val="32"/>
          <w:rtl/>
        </w:rPr>
        <w:t xml:space="preserve"> والمال الذي يحبس هو المال المرهون . وقد يكون هذا المال عقاراً أو منقولا ، ويكون المنقول مادياً أو غير مادي</w:t>
      </w:r>
      <w:r>
        <w:rPr>
          <w:rFonts w:cs="Traditional Arabic" w:hint="cs"/>
          <w:sz w:val="28"/>
          <w:szCs w:val="32"/>
          <w:vertAlign w:val="superscript"/>
          <w:rtl/>
        </w:rPr>
        <w:t xml:space="preserve">( </w:t>
      </w:r>
      <w:r w:rsidRPr="00EC737F">
        <w:rPr>
          <w:rStyle w:val="ab"/>
          <w:rFonts w:cs="Traditional Arabic"/>
          <w:sz w:val="28"/>
          <w:szCs w:val="32"/>
          <w:rtl/>
        </w:rPr>
        <w:footnoteReference w:id="163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فكل الشيء المرهون ، من أصل وملحقات كعقار بالتخصيص وحقوق ارتفاق توابع وغير ذلك ، يحبس حتى يؤدي الدين المطلوب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يكون للغير على الشيء المرهون حقوق تم حفظها وفقاً للقانون ، كحقوق ارتفاق سجلها المرتفق قبل أن يقيد الدائن المرتهن رهنه ، أو حق رهن أو اختصاص قيده صحاب الحق قبل أن يقيد الدائن المرتهن رهنه ، فهذه الحقوق التي تم حفظها وفقاً للقانون تبقى خارجة عن حق الحبس . وتقول في ذلك الفقرة الأولى من المادة 1110 مدني : "يخول الرهن الدائن المرتهن الحق في حبس الشيء المرهون عن الناس كافة ، دون إخلال بما للغير من حقوق ثم حفظها وفقاً للقانون"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602- الحس والتنفيذ : </w:t>
      </w:r>
      <w:r>
        <w:rPr>
          <w:rFonts w:cs="Traditional Arabic" w:hint="cs"/>
          <w:sz w:val="28"/>
          <w:szCs w:val="32"/>
          <w:rtl/>
        </w:rPr>
        <w:t>والحبس يثبت للدائن المرتهن من وقت أن ينتقل الشيء المرهون إلى حيازته ، ويبقى حتى يؤدي له الدين بتمامه كما قدمنا ، ولو بقي بعدم حلول الدين بمدة طويلة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التنفيذ ، فلا يثبت للدائن المرتهن إلا عند حلول أجل الدين ، ويبقى إلى أن ينقضي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$857 فهناك وقت يكون فيه للدائن المرتهن الحق في الحبس وفي التنفيذ ، وذلك من وقت حلول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فإذا ما حل الدين ، ولم يكن هناك ما يدعو الدائن المرتهن إلى التنفيذ ، بقي حابساً للعني وله حق التنفيذ ، يختار أيهما شاء . وقد يبقى حابساً للعين ، ويستوفي دينه من غلتها إلى أن ينقضي الدين . وعند ذلك ينقضي الرهن بانقضاء الدين ، وينتهي حق الحبس ، فيعيد الدائن المرتهن العين إلى صحابها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لا يعجل الدائن المرتهن بالتنفيذ عند حلول الدين ، يبقى حابساً للعين ، دون أن يستوفي من الدين شيئاً لأن غلة العين المرهونة لا تفي بأكثر من الفوائد . وهكذا يبقى الدائن المرتهن لا يستوفي من أصل الدين شيئاً ، ولكنه يبقى حابساً للعين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603- ضد من يكون حق الحبس- الراهن : </w:t>
      </w:r>
      <w:r w:rsidRPr="0080499C">
        <w:rPr>
          <w:rFonts w:cs="Traditional Arabic" w:hint="cs"/>
          <w:sz w:val="28"/>
          <w:szCs w:val="32"/>
          <w:rtl/>
        </w:rPr>
        <w:t xml:space="preserve">ويستطيع الدائن المرتهن أن يستعمل </w:t>
      </w:r>
      <w:r>
        <w:rPr>
          <w:rFonts w:cs="Traditional Arabic" w:hint="cs"/>
          <w:sz w:val="28"/>
          <w:szCs w:val="32"/>
          <w:rtl/>
        </w:rPr>
        <w:t>حق الحبس ضد الراهن نفسه الذي تعاقد معه على الرهن ، سواء كان الراهن هو المدين نفسه أو كان غير المدين أي كفيلا عينياً ، ما دام الدائن المرتهن م يستوف حقه كله ، وحتى لو ادعي الراهن أن الشيء المرهون مملوكاً لغيره</w:t>
      </w:r>
      <w:r>
        <w:rPr>
          <w:rFonts w:cs="Traditional Arabic" w:hint="cs"/>
          <w:sz w:val="28"/>
          <w:szCs w:val="32"/>
          <w:vertAlign w:val="superscript"/>
          <w:rtl/>
        </w:rPr>
        <w:t xml:space="preserve">( </w:t>
      </w:r>
      <w:r w:rsidRPr="00EC737F">
        <w:rPr>
          <w:rStyle w:val="ab"/>
          <w:rFonts w:cs="Traditional Arabic"/>
          <w:sz w:val="28"/>
          <w:szCs w:val="32"/>
          <w:rtl/>
        </w:rPr>
        <w:footnoteReference w:id="164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الشيء المرهون مملوكاً حقيقة لغير الراهن ، فإن الدائن المرتهن يستطيع أن يستعمل حقه في الحبس ضد المالك الحقيقي ، فلا يرد إليه الشيء المرهون حتى يستوفي حقه ، ما دام أنه  كان يعتقد وقت أن ارتهن أنه تعاقد مع المالك الحقيقي للشيء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4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604- الغير : </w:t>
      </w:r>
      <w:r>
        <w:rPr>
          <w:rFonts w:cs="Traditional Arabic" w:hint="cs"/>
          <w:sz w:val="28"/>
          <w:szCs w:val="32"/>
          <w:rtl/>
        </w:rPr>
        <w:t>ويستطيع الدائن المرتهن أن يستعمل حق الحبس $857 ذد الغير أيضاً ، فحق الحبس يستعمل ضد الراهن وضد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وأمثلة الغير الذي يستعمل الدائن المرتهن حق الحبس ضده المشتري للعقار المرهون الذي سجل البيع بعد قيد الرهن ، والمشتري للمنقول المرهون إذا كان تاريخ النقل الثابت اسبق من تاريخ البيع ، والدائن العادي ، والدائن المتأخر في المرتبة عن الدائن المرتهن فإذا رهن الراهن العقار مرة ثانية رهناً رسمياً فإن للمرتهن </w:t>
      </w:r>
      <w:r>
        <w:rPr>
          <w:rFonts w:cs="Traditional Arabic" w:hint="cs"/>
          <w:sz w:val="28"/>
          <w:szCs w:val="32"/>
          <w:rtl/>
        </w:rPr>
        <w:lastRenderedPageBreak/>
        <w:t>الأول حيازة أن يحبس العقا رعن المرتهن الثاني رسمياً"</w:t>
      </w:r>
      <w:r>
        <w:rPr>
          <w:rFonts w:cs="Traditional Arabic" w:hint="cs"/>
          <w:sz w:val="28"/>
          <w:szCs w:val="32"/>
          <w:vertAlign w:val="superscript"/>
          <w:rtl/>
        </w:rPr>
        <w:t xml:space="preserve">( </w:t>
      </w:r>
      <w:r w:rsidRPr="00EC737F">
        <w:rPr>
          <w:rStyle w:val="ab"/>
          <w:rFonts w:cs="Traditional Arabic"/>
          <w:sz w:val="28"/>
          <w:szCs w:val="32"/>
          <w:rtl/>
        </w:rPr>
        <w:footnoteReference w:id="164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605 التطهير لا يشمل الرهن الحيازي في القانون المدني :</w:t>
      </w:r>
      <w:r>
        <w:rPr>
          <w:rFonts w:cs="Traditional Arabic" w:hint="cs"/>
          <w:sz w:val="28"/>
          <w:szCs w:val="32"/>
          <w:rtl/>
        </w:rPr>
        <w:t xml:space="preserve"> والرأي الغالب أن حق الدائن المرتهن حيازة في الحبس لا يجوز الاحتجاج به على الدائن قبل قيده ، ولا على من يرسو عليه المزاد بناء على طلب أحدهم</w:t>
      </w:r>
      <w:r>
        <w:rPr>
          <w:rFonts w:cs="Traditional Arabic" w:hint="cs"/>
          <w:sz w:val="28"/>
          <w:szCs w:val="32"/>
          <w:vertAlign w:val="superscript"/>
          <w:rtl/>
        </w:rPr>
        <w:t xml:space="preserve">( </w:t>
      </w:r>
      <w:r w:rsidRPr="00EC737F">
        <w:rPr>
          <w:rStyle w:val="ab"/>
          <w:rFonts w:cs="Traditional Arabic"/>
          <w:sz w:val="28"/>
          <w:szCs w:val="32"/>
          <w:rtl/>
        </w:rPr>
        <w:footnoteReference w:id="1643"/>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وكانت المادة 1554 من المشروع التمهيدي ( م 1113 من القانون المدني الجديد ) تنص على أن الرهن الحيازي ينقضي "إذا بيعت العين المرهونة بالمزاد العلني بيعاً جبرياً" . وجاء في مذكرة المشروع التمهيدي عن المادة 1549 ( التي أصبحت المادة 1110 من القانون المدني الجديد ) أن للدائن المرتهن أن يحبس الشيء "في مواجهة الغير من الدائنين المتأخرين عنه في المرتبة . فإذا للمرتهن الأول أن يحبس للعين من المرتهن الثاني . ولكن إذا نفذ الثاني على العين وباعها في المزاد ، فقد كان مقتضى حق المرتهن الأول أن يحبس العين عن الراسي عليه المزاد . وهذا هو الحكم في التقنين الحالي ( السابق ) ، فعدل القانون الجديد من هذا الحكم الذي يشل من حقوق الدائنين ، وقرر أن رهن الحيازة ينقضي إذا بيعت العين المرهونة بالمزاد العلني بيعاً جبرياً ( م 1554 )"</w:t>
      </w:r>
      <w:r>
        <w:rPr>
          <w:rFonts w:cs="Traditional Arabic" w:hint="cs"/>
          <w:sz w:val="28"/>
          <w:szCs w:val="32"/>
          <w:vertAlign w:val="superscript"/>
          <w:rtl/>
        </w:rPr>
        <w:t xml:space="preserve">( </w:t>
      </w:r>
      <w:r w:rsidRPr="00EC737F">
        <w:rPr>
          <w:rStyle w:val="ab"/>
          <w:rFonts w:cs="Traditional Arabic"/>
          <w:sz w:val="28"/>
          <w:szCs w:val="32"/>
          <w:rtl/>
        </w:rPr>
        <w:footnoteReference w:id="1644"/>
      </w:r>
      <w:r>
        <w:rPr>
          <w:rFonts w:cs="Traditional Arabic" w:hint="cs"/>
          <w:sz w:val="28"/>
          <w:szCs w:val="32"/>
          <w:vertAlign w:val="superscript"/>
          <w:rtl/>
        </w:rPr>
        <w:t xml:space="preserve"> )</w:t>
      </w:r>
      <w:r>
        <w:rPr>
          <w:rFonts w:cs="Traditional Arabic" w:hint="cs"/>
          <w:sz w:val="28"/>
          <w:szCs w:val="32"/>
          <w:rtl/>
        </w:rPr>
        <w:t xml:space="preserve"> .</w:t>
      </w:r>
    </w:p>
    <w:p w:rsidR="00F72742" w:rsidRPr="00F0361C"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$859 ولكن لجنة المراجعة حذفت النص القائل "إذا بيعت العين المرهونة بالمزاد العلني بيعاً جبرياً" ، استبقاء لحكم القانون السابق فيما يقضي به من أن البيع الجبري لا يطهر العين من الرهن الحيازي ، فالتطهير إذن لا يشمل رهن الحيازة في التقنين المدني الجديد</w:t>
      </w:r>
      <w:r>
        <w:rPr>
          <w:rFonts w:cs="Traditional Arabic" w:hint="cs"/>
          <w:sz w:val="28"/>
          <w:szCs w:val="32"/>
          <w:vertAlign w:val="superscript"/>
          <w:rtl/>
        </w:rPr>
        <w:t xml:space="preserve">( </w:t>
      </w:r>
      <w:r w:rsidRPr="00EC737F">
        <w:rPr>
          <w:rStyle w:val="ab"/>
          <w:rFonts w:cs="Traditional Arabic"/>
          <w:sz w:val="28"/>
          <w:szCs w:val="32"/>
          <w:rtl/>
        </w:rPr>
        <w:footnoteReference w:id="1645"/>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606- التطهير يشمل الرهن الحيازي في قانون المرافعات الجديد :</w:t>
      </w:r>
      <w:r>
        <w:rPr>
          <w:rFonts w:cs="Traditional Arabic" w:hint="cs"/>
          <w:sz w:val="28"/>
          <w:szCs w:val="32"/>
          <w:rtl/>
        </w:rPr>
        <w:t xml:space="preserve"> غير أن قانون المرافعات الجديد نص في المادة 690 منه على أنه "يترتب على تسجيل حكم مرسي المزاد أو التأشيرة به وفقا لحكم </w:t>
      </w:r>
      <w:r>
        <w:rPr>
          <w:rFonts w:cs="Traditional Arabic" w:hint="cs"/>
          <w:sz w:val="28"/>
          <w:szCs w:val="32"/>
          <w:rtl/>
        </w:rPr>
        <w:lastRenderedPageBreak/>
        <w:t>المادة 688 تطهير العقار المبيع من حقوق الامتياز والاختصاص والرهون الرسمية والحيازة التي أعلن أصحابها بإيداع قائمة شروط البيع وأخيراً بتاريخ جلسته طبقاً للمادتين 632 و 657 فلا يبقى إلا حقهم في الثمن" . ومن هذا النص يتبن أن قانون المرافعات الجديد أوجب ا يكون التطهير شاملا للرهن الحيازية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وقل لفت نظر لجنة قانون المرافعات بمجلس الشيوخ أن قانون المرافعات الجديد يتعارض مع القانون المدني الجديد ، ورأت الأخذ بقانون المرافعات الجديد ، وأن البيع الجبري يطهر العقار من الرهن الحيازي ، وأن نصوص قانون المرافعات تعدل نصوص القانون المدني . وبررت اللجنة رأيها بأنه "لا محل للتفرقة بين الرهن الحيازي وغيره من الرهون ، ولا معنى لأن يضفي المشروع على الرهن الحيازي ميزة خاصة تجعله أولى بالرعاية حتى من البائع الذي لم يقبض ثمن العقار" . وقالت في تبرير النص الوارد في قانون المرافعات بأنه يقوم على "الرغبة في تصفية الموقف بالنسبة إلى الدائنين جميعاً ، وتخليص العقار من كل قيد أو عبء ، ورد حقوق الدائنين للثمن بعد أن يباع العقار جبراً ويصل بالإجراءات التي وضعت له إلى أقصى ثمن مستطاع . ولا وجه لأن يقطع السبيل على الراسي عليه المزاد في الحصول على العقار $860 واستغلاله بعد أن أدى الثمن الذي وصل إليه البيع وحتى بعد زيادة العشر ، وذلك لا لسبب إلا لأن هناك مرتهناً لم يقبض كل دينه ، والطبيعي أن الثمن يعتبر ممثلا للعقار . وفي الأخذ بالقاعدة المستفادة من القانون المدني تدعيم الرهن الحيازي دون مبرر وتمييز له دون ميزة</w:t>
      </w:r>
      <w:r>
        <w:rPr>
          <w:rFonts w:cs="Traditional Arabic"/>
          <w:sz w:val="28"/>
          <w:szCs w:val="32"/>
        </w:rPr>
        <w:t xml:space="preserve"> </w:t>
      </w:r>
      <w:r>
        <w:rPr>
          <w:rFonts w:cs="Traditional Arabic" w:hint="cs"/>
          <w:sz w:val="28"/>
          <w:szCs w:val="32"/>
          <w:rtl/>
        </w:rPr>
        <w:t xml:space="preserve"> ، وإذا كان الرهن الحيازي وسيلة لاستيفاء الدين ، فالبيع بالمزاد وسيلة لاستيفائه كذلك"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607- متى ينعدم التعارض بين القانون المدني وقانون المرافعات :</w:t>
      </w:r>
      <w:r>
        <w:rPr>
          <w:rFonts w:cs="Traditional Arabic" w:hint="cs"/>
          <w:sz w:val="28"/>
          <w:szCs w:val="32"/>
          <w:rtl/>
        </w:rPr>
        <w:t xml:space="preserve"> والتعارض بين القانون المدني وقانون المرافعات لا يقع في الحالة التي يكون فيها الدائن الحاجز صاحب رهن رسمي أو اختصاص أو امتياز سابق في المرتبة على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فوفقاً لأحكام القانون المدني ، لا يحتاج بحق الحبس المترتب على الرهن الحيازي في مواجهة أصحاب هذه الحقوق السابقة على الرهن الحيازي . ولما كان المشتري بالمزاد يعتبر خلفاً للدائن المنفذ ، والدائن المنفذ اسبق من الدائن المرتهن حيازة ، فلا يسري حق الحبس على مشتري العقار بالمزاد بناء على طلب هذا </w:t>
      </w:r>
      <w:r>
        <w:rPr>
          <w:rFonts w:cs="Traditional Arabic" w:hint="cs"/>
          <w:sz w:val="28"/>
          <w:szCs w:val="32"/>
          <w:rtl/>
        </w:rPr>
        <w:lastRenderedPageBreak/>
        <w:t>الدائن المنفذ</w:t>
      </w:r>
      <w:r>
        <w:rPr>
          <w:rFonts w:cs="Traditional Arabic" w:hint="cs"/>
          <w:sz w:val="28"/>
          <w:szCs w:val="32"/>
          <w:vertAlign w:val="superscript"/>
          <w:rtl/>
        </w:rPr>
        <w:t xml:space="preserve">( </w:t>
      </w:r>
      <w:r w:rsidRPr="00EC737F">
        <w:rPr>
          <w:rStyle w:val="ab"/>
          <w:rFonts w:cs="Traditional Arabic"/>
          <w:sz w:val="28"/>
          <w:szCs w:val="32"/>
          <w:rtl/>
        </w:rPr>
        <w:footnoteReference w:id="164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608- الحبس للدين المضمون بالرهن :</w:t>
      </w:r>
      <w:r>
        <w:rPr>
          <w:rFonts w:cs="Traditional Arabic" w:hint="cs"/>
          <w:sz w:val="28"/>
          <w:szCs w:val="32"/>
          <w:rtl/>
        </w:rPr>
        <w:t xml:space="preserve"> وحق الحبس الثابت للدائن المرتهن لا يكن إلا بضمان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ولا يكون بالنسبة إلى الديون الأخرى التي قد يكون المدين الراهن ملزماً بها للدائن المرتهن ، قبل الرهن أو بعده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فيجب على الدائن المرتهن رد الشيء المرهون للمدين الراهن ، إذا استوفى الدائن المرتهن كل حقه المضمون بالرهن كاملا ، ولو كانت له ديون أخرى على المدين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$861 </w:t>
      </w:r>
      <w:r>
        <w:rPr>
          <w:rFonts w:cs="Traditional Arabic" w:hint="cs"/>
          <w:b/>
          <w:bCs/>
          <w:sz w:val="28"/>
          <w:szCs w:val="32"/>
          <w:rtl/>
        </w:rPr>
        <w:t>609- الرهن الضمني :</w:t>
      </w:r>
      <w:r>
        <w:rPr>
          <w:rFonts w:cs="Traditional Arabic" w:hint="cs"/>
          <w:sz w:val="28"/>
          <w:szCs w:val="32"/>
          <w:rtl/>
        </w:rPr>
        <w:t xml:space="preserve"> وفي الفقرة الثانية من المادة 2082 مدني فرنسي ، إذا وجد على نفس المدين لنفس الدائن دين آخر ، اتفق عليه بعد الرهن صار مستحقاً قبل الدين المضمون بالرهن ، فلا يتخلى الدائن عن الرهن قبل أن يدفع له الدينان الأول والثاني بأكملهما ، حتى لو لم يحصل اتفقا بتخصيص الرهن لأداء الدين الثاني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وهذه هي حالة الرهن الضمني </w:t>
      </w:r>
      <w:r>
        <w:rPr>
          <w:rFonts w:cs="Traditional Arabic"/>
          <w:sz w:val="28"/>
          <w:szCs w:val="32"/>
          <w:rtl/>
        </w:rPr>
        <w:t xml:space="preserve">( </w:t>
      </w:r>
      <w:r>
        <w:rPr>
          <w:rFonts w:cs="Traditional Arabic"/>
          <w:sz w:val="28"/>
          <w:szCs w:val="32"/>
        </w:rPr>
        <w:t>gage tacite</w:t>
      </w:r>
      <w:r>
        <w:rPr>
          <w:rFonts w:cs="Traditional Arabic"/>
          <w:sz w:val="28"/>
          <w:szCs w:val="32"/>
          <w:rtl/>
        </w:rPr>
        <w:t xml:space="preserve"> )</w:t>
      </w:r>
      <w:r>
        <w:rPr>
          <w:rFonts w:cs="Traditional Arabic" w:hint="cs"/>
          <w:sz w:val="28"/>
          <w:szCs w:val="32"/>
          <w:rtl/>
        </w:rPr>
        <w:t xml:space="preserve"> ، ويتشرط فيها : ( 1 ) أن يكون الدين الثاني متفقاً عليه بين نفس المدين ونفس الدائن . ( 2 ) وان يكون هذا الاتفاق قد عقد بعد الرهن . ( 3 ) وان يحل الدين الثاني قبل حلول الدين الأول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وربط الدين الثاني بالرهن مبني على الإرادة الضمنية للمتعاقدين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وهناك قولا في القانون المدني الفرنسي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للدائن ، في الدين الثاني ، ماله في الدين الأول ، حق الحبس وحق الامتياز</w:t>
      </w:r>
      <w:r>
        <w:rPr>
          <w:rFonts w:cs="Traditional Arabic" w:hint="cs"/>
          <w:sz w:val="28"/>
          <w:szCs w:val="32"/>
          <w:vertAlign w:val="superscript"/>
          <w:rtl/>
        </w:rPr>
        <w:t xml:space="preserve">( </w:t>
      </w:r>
      <w:r w:rsidRPr="00EC737F">
        <w:rPr>
          <w:rStyle w:val="ab"/>
          <w:rFonts w:cs="Traditional Arabic"/>
          <w:sz w:val="28"/>
          <w:szCs w:val="32"/>
          <w:rtl/>
        </w:rPr>
        <w:footnoteReference w:id="164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ليس للدائن في الدين الثاني حق الامتياز ، ولكن له حق الحبس"</w:t>
      </w:r>
      <w:r>
        <w:rPr>
          <w:rFonts w:cs="Traditional Arabic" w:hint="cs"/>
          <w:sz w:val="28"/>
          <w:szCs w:val="32"/>
          <w:vertAlign w:val="superscript"/>
          <w:rtl/>
        </w:rPr>
        <w:t xml:space="preserve">( </w:t>
      </w:r>
      <w:r w:rsidRPr="00EC737F">
        <w:rPr>
          <w:rStyle w:val="ab"/>
          <w:rFonts w:cs="Traditional Arabic"/>
          <w:sz w:val="28"/>
          <w:szCs w:val="32"/>
          <w:rtl/>
        </w:rPr>
        <w:footnoteReference w:id="164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ويرى بعض الفقهاء الفرنسيين أنه كان الأولى بالشارع الفرنسي عدم النص على هذا الرهن الضمني</w:t>
      </w:r>
      <w:r>
        <w:rPr>
          <w:rFonts w:cs="Traditional Arabic" w:hint="cs"/>
          <w:sz w:val="28"/>
          <w:szCs w:val="32"/>
          <w:vertAlign w:val="superscript"/>
          <w:rtl/>
        </w:rPr>
        <w:t xml:space="preserve">( </w:t>
      </w:r>
      <w:r w:rsidRPr="00EC737F">
        <w:rPr>
          <w:rStyle w:val="ab"/>
          <w:rFonts w:cs="Traditional Arabic"/>
          <w:sz w:val="28"/>
          <w:szCs w:val="32"/>
          <w:rtl/>
        </w:rPr>
        <w:footnoteReference w:id="164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ولم يأت القانون المصري بهذا الرهن الضمني ، فلا يعمل به في هذا القانون</w:t>
      </w:r>
      <w:r>
        <w:rPr>
          <w:rFonts w:cs="Traditional Arabic" w:hint="cs"/>
          <w:sz w:val="28"/>
          <w:szCs w:val="32"/>
          <w:vertAlign w:val="superscript"/>
          <w:rtl/>
        </w:rPr>
        <w:t xml:space="preserve">( </w:t>
      </w:r>
      <w:r w:rsidRPr="00EC737F">
        <w:rPr>
          <w:rStyle w:val="ab"/>
          <w:rFonts w:cs="Traditional Arabic"/>
          <w:sz w:val="28"/>
          <w:szCs w:val="32"/>
          <w:rtl/>
        </w:rPr>
        <w:footnoteReference w:id="165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$862 </w:t>
      </w:r>
      <w:r>
        <w:rPr>
          <w:rFonts w:cs="Traditional Arabic" w:hint="cs"/>
          <w:b/>
          <w:bCs/>
          <w:sz w:val="28"/>
          <w:szCs w:val="32"/>
          <w:rtl/>
        </w:rPr>
        <w:t xml:space="preserve">610 استرداد الشيء المرهون : </w:t>
      </w:r>
      <w:r>
        <w:rPr>
          <w:rFonts w:cs="Traditional Arabic" w:hint="cs"/>
          <w:sz w:val="28"/>
          <w:szCs w:val="32"/>
          <w:rtl/>
        </w:rPr>
        <w:t>وإذا عاد الشيء المرهون إلى الراهن ، بغير رضاء الدائن المرتهن ، ولم يستوف الدائن المرتهن حقه كاملا . كان له أن يستعيد الشيء المرهون من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وله أيضاً أن يسترده من الغير ، إذا خرج الشيء من يده غصباً دون إرادته أو خلسة دون علمه . وإنما يجب على الدائن المرتهن أن يحترم ما قد يكون الغير قد كسب بحسن نية على الشيء من حقوق عينية كحق ارتفاق أو حق رهن ، إذا كانت هذه الحقوق نافذة في حق الدائن المرتهن . وفي ذلك تقول الفقرة الثانية من المادة 1110 : "وإذا خرج الشيء من يد الدائن دون إرادته أو دون علمه ، كان له الحق في استرداد حياته من الغير وفقاً لأحكام 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611- حق الحبس والحق في الحبس : </w:t>
      </w:r>
      <w:r>
        <w:rPr>
          <w:rFonts w:cs="Traditional Arabic" w:hint="cs"/>
          <w:sz w:val="28"/>
          <w:szCs w:val="32"/>
          <w:rtl/>
        </w:rPr>
        <w:t>ويجب عدم الخلط بني حق الحبس والحق في الحبس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فحق الحبس هو ما شرحناه فيما مر ، وهو حق عيني ، أو هو أحدى مزايا الحق العيني وهذا الحق العيني هو رهن الحيازة . ويثبت للدائن المرتهن ما بقي له حق رهن الحيازة ، حتى يستوفي المبالغ التي ضمنها الرهن بأكملها .</w:t>
      </w:r>
    </w:p>
    <w:p w:rsidR="00F72742" w:rsidRPr="00627E5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أما الحق في الحبس ، فهو الذي يثبت للدائن بموجب المادة 246 مدني ، وهو حق شخصي لا يحق عيني ، يثبت للدائن إذا توافرت فيه الشروط التي يستلزمها القانون . وقد سبق أن شرحنا مفصلا الحق في الحبس ، فلا نعود إلى ذلك منعاً للتكرار .</w:t>
      </w:r>
    </w:p>
    <w:p w:rsidR="00F72742" w:rsidRPr="00E95F6F"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$863 </w:t>
      </w:r>
      <w:r w:rsidRPr="00E95F6F">
        <w:rPr>
          <w:rFonts w:cs="Traditional Arabic" w:hint="cs"/>
          <w:b/>
          <w:bCs/>
          <w:sz w:val="52"/>
          <w:szCs w:val="52"/>
          <w:rtl/>
        </w:rPr>
        <w:t>الفصل الثالث</w:t>
      </w:r>
    </w:p>
    <w:p w:rsidR="00F72742" w:rsidRPr="00E95F6F" w:rsidRDefault="00F72742" w:rsidP="00F72742">
      <w:pPr>
        <w:widowControl w:val="0"/>
        <w:spacing w:after="120"/>
        <w:jc w:val="center"/>
        <w:rPr>
          <w:rFonts w:cs="Traditional Arabic" w:hint="cs"/>
          <w:b/>
          <w:bCs/>
          <w:sz w:val="28"/>
          <w:szCs w:val="32"/>
          <w:rtl/>
        </w:rPr>
      </w:pPr>
      <w:r w:rsidRPr="00E95F6F">
        <w:rPr>
          <w:rFonts w:cs="Traditional Arabic" w:hint="cs"/>
          <w:b/>
          <w:bCs/>
          <w:sz w:val="28"/>
          <w:szCs w:val="32"/>
          <w:rtl/>
        </w:rPr>
        <w:t>انقضاء الرهن الحيازي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612- الانقضاء بصفة تبعية والانقضاء بصفة أصلية : </w:t>
      </w:r>
      <w:r>
        <w:rPr>
          <w:rFonts w:cs="Traditional Arabic" w:hint="cs"/>
          <w:sz w:val="28"/>
          <w:szCs w:val="32"/>
          <w:rtl/>
        </w:rPr>
        <w:t>ينقضي الرهن الحيازي إما بصفة تبعية ، أو بصفة أصلية ، وهو في ذلك كالرهن الرسمي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فينقضي بصفة تبعية ، إذا انقضى الدين المضمون بالرهن ، فينقضي الرهن تبعاً لانقضاء الدين . فالرهن تابع للدين ، يزول بزواله ، ويبقى ببقائه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وينقضي الرهن بصفة أصلية ، إذا زال وحده دون أن ينقضي الدين . فمتى زال الرهن الحيازي دون أن يزول الدين ، فزوال الرهن الحيازي يكون بصفة أصلية ، غير تابعة لزوال شيء آخر . وهناك حالات محدودة يزول فيها رهن الحيازة بصفة أصلية ، أي يزول وحده دون أن ينقضي تبعاً لانقضاء الدين ، لأن الدين يبقى كدين عادي مع زوال حق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فنعقد لانقضاء الرهن الحيازي مبحثين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المبحث الأول  : انقضاء الرهن الحيازي بصفة تبعية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المبحث الثاني  : انقضاء الرهن الحيازي بصفة أصلية .</w:t>
      </w:r>
    </w:p>
    <w:p w:rsidR="00F72742" w:rsidRPr="00533FEC" w:rsidRDefault="00F72742" w:rsidP="00F72742">
      <w:pPr>
        <w:widowControl w:val="0"/>
        <w:spacing w:after="120"/>
        <w:jc w:val="center"/>
        <w:rPr>
          <w:rFonts w:cs="Traditional Arabic" w:hint="cs"/>
          <w:b/>
          <w:bCs/>
          <w:sz w:val="44"/>
          <w:szCs w:val="44"/>
          <w:rtl/>
        </w:rPr>
      </w:pPr>
      <w:r w:rsidRPr="00533FEC">
        <w:rPr>
          <w:rFonts w:cs="Traditional Arabic" w:hint="cs"/>
          <w:b/>
          <w:bCs/>
          <w:sz w:val="44"/>
          <w:szCs w:val="44"/>
          <w:rtl/>
        </w:rPr>
        <w:t>المبحث الأول</w:t>
      </w:r>
    </w:p>
    <w:p w:rsidR="00F72742" w:rsidRPr="00533FEC" w:rsidRDefault="00F72742" w:rsidP="00F72742">
      <w:pPr>
        <w:widowControl w:val="0"/>
        <w:spacing w:after="120"/>
        <w:jc w:val="center"/>
        <w:rPr>
          <w:rFonts w:cs="Traditional Arabic" w:hint="cs"/>
          <w:b/>
          <w:bCs/>
          <w:sz w:val="28"/>
          <w:szCs w:val="32"/>
          <w:rtl/>
        </w:rPr>
      </w:pPr>
      <w:r w:rsidRPr="00533FEC">
        <w:rPr>
          <w:rFonts w:cs="Traditional Arabic" w:hint="cs"/>
          <w:b/>
          <w:bCs/>
          <w:sz w:val="28"/>
          <w:szCs w:val="32"/>
          <w:rtl/>
        </w:rPr>
        <w:t>انقضاء الرهن الحيازي بصفة تبعية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613- انقضاء الدين وزواله : </w:t>
      </w:r>
      <w:r>
        <w:rPr>
          <w:rFonts w:cs="Traditional Arabic" w:hint="cs"/>
          <w:sz w:val="28"/>
          <w:szCs w:val="32"/>
          <w:rtl/>
        </w:rPr>
        <w:t xml:space="preserve">الدين المضمون بالرهن الحيازي قد يزول لأنه لم يوجد صحيحاً ، </w:t>
      </w:r>
      <w:r>
        <w:rPr>
          <w:rFonts w:cs="Traditional Arabic" w:hint="cs"/>
          <w:sz w:val="28"/>
          <w:szCs w:val="32"/>
          <w:rtl/>
        </w:rPr>
        <w:lastRenderedPageBreak/>
        <w:t>وقد ينقضي لأنه بعد أن وجد صحيحاً انقضى بسبب من أسباب انقضاء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614- أسباب زوال الدين : </w:t>
      </w:r>
      <w:r>
        <w:rPr>
          <w:rFonts w:cs="Traditional Arabic" w:hint="cs"/>
          <w:sz w:val="28"/>
          <w:szCs w:val="32"/>
          <w:rtl/>
        </w:rPr>
        <w:t>ومن أسباب زوال الدين أنه يوجد في عقد باطل ، فيبطل العقد ، ويبطل معه الدين ، ويبطل معهما الرهن الحيازي بصفة تبعية أي تبعاً لزوال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أسباب زوال الدين أيضاً أنه يوجد في عقد قابل للإبطال ، فيختار من له مصلحة في إبطال العقد إبطاله . فيبطل العقد ، ويبطل معه الدين ، ويبطل معهما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ومن أسباب زوال الدين كذلك أن ينشأ في عقد معلق على شرط فاسخ ، فيتحقق الشرط ، ويزول العقد بأثر رجعي ، فيزول الدين بأثر رجعي ، ويزول بزوال الدين الرهن بأثر رجعي كذلك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615- أسباب انقضاء الدين :</w:t>
      </w:r>
      <w:r>
        <w:rPr>
          <w:rFonts w:cs="Traditional Arabic" w:hint="cs"/>
          <w:sz w:val="28"/>
          <w:szCs w:val="32"/>
          <w:rtl/>
        </w:rPr>
        <w:t xml:space="preserve"> وقد يوجد الدين صحيحاً ، ويبقى ولكنه ينقضي بسبب من أسباب انقضاء الدين . وبانقضاء الدين ينقضي الرهن بصفة تبعية ، تبعاً لانقضاء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616- تعداد لأسباب انقضاء الدين :</w:t>
      </w:r>
      <w:r>
        <w:rPr>
          <w:rFonts w:cs="Traditional Arabic" w:hint="cs"/>
          <w:sz w:val="28"/>
          <w:szCs w:val="32"/>
          <w:rtl/>
        </w:rPr>
        <w:t xml:space="preserve"> والدين ينقضي بأحد الأسباب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الوفاء : وانقضاء الدين المضمون برهن الحيازة عن طريق الوفاء تتبع فيه القواعد العامة المقررة في وفاء الديون . والوفاء مع الحلول يجعل الموفي يحل محل الدائن في رهن الحيازة الذي له ، وقد يتعذر الوفاء للدائن مباشرة في فروض معينة فليس على المدين إلا أن يودع الدين دون حاجة إلى عرض حقيق فتبرأ ذمته</w:t>
      </w:r>
      <w:r>
        <w:rPr>
          <w:rFonts w:cs="Traditional Arabic" w:hint="cs"/>
          <w:sz w:val="28"/>
          <w:szCs w:val="32"/>
          <w:vertAlign w:val="superscript"/>
          <w:rtl/>
        </w:rPr>
        <w:t xml:space="preserve">( </w:t>
      </w:r>
      <w:r w:rsidRPr="00EC737F">
        <w:rPr>
          <w:rStyle w:val="ab"/>
          <w:rFonts w:cs="Traditional Arabic"/>
          <w:sz w:val="28"/>
          <w:szCs w:val="32"/>
          <w:rtl/>
        </w:rPr>
        <w:footnoteReference w:id="165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$865 2- الوفاء بمقابل : وإذا استحق المقابل في يد الدائن ، فإن الدائن يرجع إلى المدين بضمان الاستحقاق . والوفاء بمقابل يقضي الدين الأصلي بالتجديد ، ثم يقضي الدين الجديد ، الذي حل محل الدين الأصلي ، بالوفاء</w:t>
      </w:r>
      <w:r>
        <w:rPr>
          <w:rFonts w:cs="Traditional Arabic" w:hint="cs"/>
          <w:sz w:val="28"/>
          <w:szCs w:val="32"/>
          <w:vertAlign w:val="superscript"/>
          <w:rtl/>
        </w:rPr>
        <w:t xml:space="preserve">( </w:t>
      </w:r>
      <w:r w:rsidRPr="00EC737F">
        <w:rPr>
          <w:rStyle w:val="ab"/>
          <w:rFonts w:cs="Traditional Arabic"/>
          <w:sz w:val="28"/>
          <w:szCs w:val="32"/>
          <w:rtl/>
        </w:rPr>
        <w:footnoteReference w:id="1652"/>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3- التجديد : والتجديد عمل مركب ، فهو قضاء دين قديم ، وإنشاء دين جديد يحل محله</w:t>
      </w:r>
      <w:r>
        <w:rPr>
          <w:rFonts w:cs="Traditional Arabic" w:hint="cs"/>
          <w:sz w:val="28"/>
          <w:szCs w:val="32"/>
          <w:vertAlign w:val="superscript"/>
          <w:rtl/>
        </w:rPr>
        <w:t xml:space="preserve">( </w:t>
      </w:r>
      <w:r w:rsidRPr="00EC737F">
        <w:rPr>
          <w:rStyle w:val="ab"/>
          <w:rFonts w:cs="Traditional Arabic"/>
          <w:sz w:val="28"/>
          <w:szCs w:val="32"/>
          <w:rtl/>
        </w:rPr>
        <w:footnoteReference w:id="165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المقاصة : والمقاصة أداة وفاء ، وأداة ضمان</w:t>
      </w:r>
      <w:r>
        <w:rPr>
          <w:rFonts w:cs="Traditional Arabic" w:hint="cs"/>
          <w:sz w:val="28"/>
          <w:szCs w:val="32"/>
          <w:vertAlign w:val="superscript"/>
          <w:rtl/>
        </w:rPr>
        <w:t xml:space="preserve">( </w:t>
      </w:r>
      <w:r w:rsidRPr="00EC737F">
        <w:rPr>
          <w:rStyle w:val="ab"/>
          <w:rFonts w:cs="Traditional Arabic"/>
          <w:sz w:val="28"/>
          <w:szCs w:val="32"/>
          <w:rtl/>
        </w:rPr>
        <w:footnoteReference w:id="165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اتحاد الذمة : وقد يزول السبب الذي أدى إلى اتحاد الذمة بأثر رجعي فيعتبر اتحاد الذمة كأن لم يكن ويعود الدين إلى الظهور ، وقد يزول السبب بأثر غير رجعي فلا يضار الغير بعودة الدين إلى الظهور</w:t>
      </w:r>
      <w:r>
        <w:rPr>
          <w:rFonts w:cs="Traditional Arabic" w:hint="cs"/>
          <w:sz w:val="28"/>
          <w:szCs w:val="32"/>
          <w:vertAlign w:val="superscript"/>
          <w:rtl/>
        </w:rPr>
        <w:t xml:space="preserve">( </w:t>
      </w:r>
      <w:r w:rsidRPr="00EC737F">
        <w:rPr>
          <w:rStyle w:val="ab"/>
          <w:rFonts w:cs="Traditional Arabic"/>
          <w:sz w:val="28"/>
          <w:szCs w:val="32"/>
          <w:rtl/>
        </w:rPr>
        <w:footnoteReference w:id="1655"/>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 الإبراء من الدين : والإبراء تصرف تبرعي من جانب واحد ، هو الدائن المبرئ ، وينقضي به الدين</w:t>
      </w:r>
      <w:r>
        <w:rPr>
          <w:rFonts w:cs="Traditional Arabic" w:hint="cs"/>
          <w:sz w:val="28"/>
          <w:szCs w:val="32"/>
          <w:vertAlign w:val="superscript"/>
          <w:rtl/>
        </w:rPr>
        <w:t xml:space="preserve">( </w:t>
      </w:r>
      <w:r w:rsidRPr="00EC737F">
        <w:rPr>
          <w:rStyle w:val="ab"/>
          <w:rFonts w:cs="Traditional Arabic"/>
          <w:sz w:val="28"/>
          <w:szCs w:val="32"/>
          <w:rtl/>
        </w:rPr>
        <w:footnoteReference w:id="165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 استحالة التنفيذ : ويجب أن تكون الاستحالة راجعة إلى سبب أجنبي لا يد للمدين فيه ، فإن كانت الاستحالة راجعة إلى خطأ المدين لم ينقض الدين</w:t>
      </w:r>
      <w:r>
        <w:rPr>
          <w:rFonts w:cs="Traditional Arabic" w:hint="cs"/>
          <w:sz w:val="28"/>
          <w:szCs w:val="32"/>
          <w:vertAlign w:val="superscript"/>
          <w:rtl/>
        </w:rPr>
        <w:t xml:space="preserve">( </w:t>
      </w:r>
      <w:r w:rsidRPr="00EC737F">
        <w:rPr>
          <w:rStyle w:val="ab"/>
          <w:rFonts w:cs="Traditional Arabic"/>
          <w:sz w:val="28"/>
          <w:szCs w:val="32"/>
          <w:rtl/>
        </w:rPr>
        <w:footnoteReference w:id="165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 التقادم المسقط : ويلاحظ هنا أن الدين الأصلي لا يسقط بالتقادم ما دامت العين المرهونة حيازيا تحت يد الدائن بصفة رهن حيازة ، لأن وجود رهن الحيازة يقطع المدة إذ أنه اعتراف مستمر من جانب المدين بوجود الدين</w:t>
      </w:r>
      <w:r>
        <w:rPr>
          <w:rFonts w:cs="Traditional Arabic" w:hint="cs"/>
          <w:sz w:val="28"/>
          <w:szCs w:val="32"/>
          <w:vertAlign w:val="superscript"/>
          <w:rtl/>
        </w:rPr>
        <w:t xml:space="preserve">( </w:t>
      </w:r>
      <w:r w:rsidRPr="00EC737F">
        <w:rPr>
          <w:rStyle w:val="ab"/>
          <w:rFonts w:cs="Traditional Arabic"/>
          <w:sz w:val="28"/>
          <w:szCs w:val="32"/>
          <w:rtl/>
        </w:rPr>
        <w:footnoteReference w:id="165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$866 وقد جاء في المادة 384 مدني : "1- ينقطع التقادم إذا أقر المدين بحق الدائن إقراراً  صريحاً أو ضمنيا . 2- ويعتبر إقراراً ضمنياً أن يترك المدين تحت يد الدائن مالا له مرهوناً رهناً حيازياً تأميناً لوفاء الدين" . وجاء في المذكرة الإيضاحية للمشروع التمهيدي عن هذا النص : "يراعى أن ترتيب رهن الحيازة ينفرد بأن أثره لا يقتصر على قطع التقادم ، بل يجاوز ذلك إلى استدامة هذا الأثر ما بقي الشيء المرهون في يد المرتهن . فبمجرد ترك الدائن الشيء المرهون في يد المرتهن ، وترخيصه لهذا الدائن في اقتضاء حقه من إيراده ، يعتبر إقراراً ضمنياً دائماً أو متجدداً"</w:t>
      </w:r>
      <w:r>
        <w:rPr>
          <w:rFonts w:cs="Traditional Arabic" w:hint="cs"/>
          <w:sz w:val="28"/>
          <w:szCs w:val="32"/>
          <w:vertAlign w:val="superscript"/>
          <w:rtl/>
        </w:rPr>
        <w:t xml:space="preserve">( </w:t>
      </w:r>
      <w:r w:rsidRPr="00EC737F">
        <w:rPr>
          <w:rStyle w:val="ab"/>
          <w:rFonts w:cs="Traditional Arabic"/>
          <w:sz w:val="28"/>
          <w:szCs w:val="32"/>
          <w:rtl/>
        </w:rPr>
        <w:footnoteReference w:id="165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617- عودة الرهن الحيازي بزوال السب الذي انقضى به الدين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نصت المادة 1112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"ينقضي حق الرهن الحيازي بانقضاء الدين المضمون ، ويعود معه إذا زال السبب الذي انقضى به الدين ، دون إخلال بالحقوق التي يكون الغير حسن النية قد كسبها قانوناً في الفترة ما بين انقضاء الحق وعودته"</w:t>
      </w:r>
      <w:r>
        <w:rPr>
          <w:rFonts w:cs="Traditional Arabic" w:hint="cs"/>
          <w:sz w:val="28"/>
          <w:szCs w:val="32"/>
          <w:vertAlign w:val="superscript"/>
          <w:rtl/>
        </w:rPr>
        <w:t xml:space="preserve">( </w:t>
      </w:r>
      <w:r w:rsidRPr="00EC737F">
        <w:rPr>
          <w:rStyle w:val="ab"/>
          <w:rFonts w:cs="Traditional Arabic"/>
          <w:sz w:val="28"/>
          <w:szCs w:val="32"/>
          <w:rtl/>
        </w:rPr>
        <w:footnoteReference w:id="166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$867 وقد 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"ينقضي رهن الحيازة بطريقة تبعية بانقضاء الدين المضمون ، على النحو المبين في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66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هذا النص أن حق الرهن الحيازي ينقي ، كما في الرهن الرسمي ، بانقضاء الدين المضمون بالرهن . وقد حددنا فيما تقدم أسباب انقضاء الدين ، وكل منها إذا توافر ينقضي به الدين المضمون بالرهن الحيازي ، فينقضي هذا الرهن تبعاً لانقضاء الدين . ذلك لأن رهن الحيازة تابع لالتزام أصلي ، فإذا انقضى هذا الالتزام الأصلي انقضى الرهن الحيازي معه ، لأن التابع يزول مع الأصل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زال السبب الذي انقضى به الدين ، فعاد الدين كما كان ، عاد معه الرهن الحيازي الذي كان قد زال ، والذي يرجع لضمان الدين مرة ثانية . فإذا كان السبب الذي انقضى به الدين هو الوفاء ، ثم تبين أن الوفاء باطل ، فإن الدين وهو مضمون برهن حيازي يعود ، ويعود معه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$868 وذلك "دون إخلال بالحقوق التي يكون الغير حسن النية قد كسبها قانوناً في الفترة ما بين انقضاء الحق وعودته" . فإذا فرضنا أن الدين انقضى بالوفاء وزال بانقضائه الرهن الحيازي ، فرتب المدين على محل الرهن الحيازي رهناً رسمياً لشخص حسن النية اعتقد أن الرهن الحيازي قد انقضى باقتضاء الدين بالوفاء ، ثم تبين أن الوفاء باطل فعاد الدين كما كان ، فإن الرهن الرسمي الذي كسبه الغير حسن النية </w:t>
      </w:r>
      <w:r>
        <w:rPr>
          <w:rFonts w:cs="Traditional Arabic" w:hint="cs"/>
          <w:sz w:val="28"/>
          <w:szCs w:val="32"/>
          <w:rtl/>
        </w:rPr>
        <w:lastRenderedPageBreak/>
        <w:t>يبقى سابقاً للرهن الحيازي عندما يعود هذا الرهن .</w:t>
      </w:r>
    </w:p>
    <w:p w:rsidR="00F72742" w:rsidRPr="00BF6DE6" w:rsidRDefault="00F72742" w:rsidP="00F72742">
      <w:pPr>
        <w:widowControl w:val="0"/>
        <w:spacing w:after="120"/>
        <w:jc w:val="center"/>
        <w:rPr>
          <w:rFonts w:cs="Traditional Arabic" w:hint="cs"/>
          <w:b/>
          <w:bCs/>
          <w:sz w:val="44"/>
          <w:szCs w:val="44"/>
          <w:rtl/>
        </w:rPr>
      </w:pPr>
      <w:r w:rsidRPr="00BF6DE6">
        <w:rPr>
          <w:rFonts w:cs="Traditional Arabic" w:hint="cs"/>
          <w:b/>
          <w:bCs/>
          <w:sz w:val="44"/>
          <w:szCs w:val="44"/>
          <w:rtl/>
        </w:rPr>
        <w:t>المبحث الثاني</w:t>
      </w:r>
    </w:p>
    <w:p w:rsidR="00F72742" w:rsidRPr="00BF6DE6" w:rsidRDefault="00F72742" w:rsidP="00F72742">
      <w:pPr>
        <w:widowControl w:val="0"/>
        <w:spacing w:after="120"/>
        <w:jc w:val="center"/>
        <w:rPr>
          <w:rFonts w:cs="Traditional Arabic" w:hint="cs"/>
          <w:b/>
          <w:bCs/>
          <w:sz w:val="28"/>
          <w:szCs w:val="32"/>
          <w:rtl/>
        </w:rPr>
      </w:pPr>
      <w:r w:rsidRPr="00BF6DE6">
        <w:rPr>
          <w:rFonts w:cs="Traditional Arabic" w:hint="cs"/>
          <w:b/>
          <w:bCs/>
          <w:sz w:val="28"/>
          <w:szCs w:val="32"/>
          <w:rtl/>
        </w:rPr>
        <w:t>انقضاء الرهن الحيازي بصفة أصلية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618- أسباب الانقضاء : </w:t>
      </w:r>
      <w:r>
        <w:rPr>
          <w:rFonts w:cs="Traditional Arabic" w:hint="cs"/>
          <w:sz w:val="28"/>
          <w:szCs w:val="32"/>
          <w:rtl/>
        </w:rPr>
        <w:t>المفروض هنا أن الرهن الحيازي ينقضي بصفة أصلية ، أي ينقضي وحده دون أن ينقضي الدين المضمون بالرهن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نص القانون على أسباب ثلاثة ، ينقضي بها الرهن الحيازي بصفة أصلية . يضاف إلى هذه الأسباب الثلاثة سببان آخران :البيع الجبري بموجب قانون المرافعات الجديد ، وفسخ الرهن الحيازي بموجب المادتين 1101 و 1106 مدني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619- أسباب ثلاثة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وقد نصت المادة 1113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"ينقضي أيضاً حق الرهن الحيازي بأحد الأسباب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إذا نزل الدائن المرتهن عن هذا الحق ، وكان ذا أهلية في إبراء ذمة المدين من الدين . ويجوز أن يستفاد التنازل ضمناً من تخلى الدائن $869 باختياره عن الشيء المرهون ، أو من موافقته على التصرف فيه دون تحفظ . على أنه إذا كان الرهن مثقلا بحق تقرر لمصلحة الغير ، فإن تنازل الدائن لا ينفذ في حق هذا الغير إلا إذا أقره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إذا اجتمع حق رهن الحيازة مع حق الملكية في يد شخص واحد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جـ ) إذا هلك الشيء أو انقضى الحق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6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$870 وقد ورد في مذكرة المشروع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"ينقضي الرهن الحيازي أيضاً بطريقة أصلية ، أي مستقلا عن الدين ، ببيع العين في المزاد الجبري وهذا الحكم هام ، فقد تقدم أنه هو الذي ستند إليه الراسي عليه المزاد في تسلم العين من المرتهن الأول ، </w:t>
      </w:r>
      <w:r>
        <w:rPr>
          <w:rFonts w:cs="Traditional Arabic" w:hint="cs"/>
          <w:sz w:val="28"/>
          <w:szCs w:val="32"/>
          <w:rtl/>
        </w:rPr>
        <w:lastRenderedPageBreak/>
        <w:t>إذا بيعت العين بناء على طلب دائن تال له في المرتبة . وكذلك ينقضي الرهن بتنازل الدائن عنه إذا توافرت فيه الأهلية اللازمة ، ويستفاد التنازل ضمناً بالتخلي عن الشيء اختياراً أو الموافقة دن تحفظ على التصرف فيه ، ولكن إذا كان الرهن مثقلا بحق لأجنبي كما إذا كان المضمون بالرهن قد رهن الدائن بدوره لدائن له فإن هذا الدائن الثاني يمتد حقه إلى الرهن ، ولا يترتب على تنازل الدائن الأول عن الرهن أن يضر ذلك بحق الدائن الثاني . وينقضي الرهن كذلك باتحاد الذمة بأن يجتمع الرهن وملكية العين المرهونة في يد واجدة ، كما إذا اشترى الدائن المرتهن العين المرهونة . ولا يخل اتحاد الذمة بحق الأجنبي على الرهن ، كما إذا كان الدين المضمون بالرهن قد رهنه الدائن بدوره لدائن له كما تقدم في المثل السابق ، فإن الدائن الأول إذا اشترى العين المرهونة واتحدت الذمة بذلك ، فإن اتحادها على هذا الوجه لا يضر بحق الدائن الثاني . كذلك لا يعد الرهن منقضياً باتحاد الذمة إذا كانت للمالك مصلحة قانونية في استبقائه ، كما إذا اشترى الكفيل العيني الدين المضمون بالرهن ، وباع هذا الدين بعد ذلك مستبقياً الرهن لضمانه . وكذلك لا ينقضي الرهن إذا زال اتحاد الذمة وكان لزواله أثر رجعي ، كما إذا فسخ العقد الذي اشترى به المرتهن العين . ويزول الرهن $871 أخيراً بصفة أصلية إذا هلك الشيء أو الحق المرهون . فإن كان الحق المرهون حق انتفاع مثلا ، وتنازل المنتفع عنه ، فلا يخل هذا التنازل بحقوق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6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فيوجد إذن أسباب خمسة لانقضاء الرهن الحيازي بصفة أصلية ، نبحثها على التعاقب ، وهي : ( 1 ) نزول الدائن المرتهن عن الرهن . ( 2 ) اتحاد الذمة . ( 3 ) هلاك الشيء أو انقضاء الحق المرهون . ( 4 ) البيع الجبري . ( 5 ) فسخ الرهن الحيازي</w:t>
      </w:r>
      <w:r>
        <w:rPr>
          <w:rFonts w:cs="Traditional Arabic" w:hint="cs"/>
          <w:sz w:val="28"/>
          <w:szCs w:val="32"/>
          <w:vertAlign w:val="superscript"/>
          <w:rtl/>
        </w:rPr>
        <w:t xml:space="preserve">( </w:t>
      </w:r>
      <w:r w:rsidRPr="00EC737F">
        <w:rPr>
          <w:rStyle w:val="ab"/>
          <w:rFonts w:cs="Traditional Arabic"/>
          <w:sz w:val="28"/>
          <w:szCs w:val="32"/>
          <w:rtl/>
        </w:rPr>
        <w:footnoteReference w:id="1664"/>
      </w:r>
      <w:r>
        <w:rPr>
          <w:rFonts w:cs="Traditional Arabic" w:hint="cs"/>
          <w:sz w:val="28"/>
          <w:szCs w:val="32"/>
          <w:vertAlign w:val="superscript"/>
          <w:rtl/>
        </w:rPr>
        <w:t xml:space="preserve"> )</w:t>
      </w:r>
      <w:r>
        <w:rPr>
          <w:rFonts w:cs="Traditional Arabic" w:hint="cs"/>
          <w:sz w:val="28"/>
          <w:szCs w:val="32"/>
          <w:rtl/>
        </w:rPr>
        <w:t xml:space="preserve"> .</w:t>
      </w:r>
    </w:p>
    <w:p w:rsidR="00F72742" w:rsidRPr="00C246FA" w:rsidRDefault="00F72742" w:rsidP="00F72742">
      <w:pPr>
        <w:widowControl w:val="0"/>
        <w:spacing w:after="120"/>
        <w:jc w:val="center"/>
        <w:rPr>
          <w:rFonts w:cs="Traditional Arabic" w:hint="cs"/>
          <w:b/>
          <w:bCs/>
          <w:sz w:val="28"/>
          <w:szCs w:val="32"/>
          <w:rtl/>
        </w:rPr>
      </w:pPr>
      <w:r>
        <w:rPr>
          <w:b/>
          <w:bCs/>
          <w:sz w:val="28"/>
          <w:szCs w:val="32"/>
          <w:rtl/>
        </w:rPr>
        <w:lastRenderedPageBreak/>
        <w:t>§</w:t>
      </w:r>
      <w:r>
        <w:rPr>
          <w:rFonts w:cs="Traditional Arabic" w:hint="cs"/>
          <w:b/>
          <w:bCs/>
          <w:sz w:val="28"/>
          <w:szCs w:val="32"/>
          <w:rtl/>
        </w:rPr>
        <w:t xml:space="preserve"> </w:t>
      </w:r>
      <w:r w:rsidRPr="00C246FA">
        <w:rPr>
          <w:rFonts w:cs="Traditional Arabic" w:hint="cs"/>
          <w:b/>
          <w:bCs/>
          <w:sz w:val="28"/>
          <w:szCs w:val="32"/>
          <w:rtl/>
        </w:rPr>
        <w:t>1- نزول الدائن المرتهن عن الرهن الحيازي</w:t>
      </w:r>
    </w:p>
    <w:p w:rsidR="00F72742" w:rsidRPr="00C246FA"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620- نص قانوني : </w:t>
      </w:r>
      <w:r>
        <w:rPr>
          <w:rFonts w:cs="Traditional Arabic" w:hint="cs"/>
          <w:sz w:val="28"/>
          <w:szCs w:val="32"/>
          <w:rtl/>
        </w:rPr>
        <w:t xml:space="preserve">نصت المادة 11132 ( أ ) مدني على ما يأتي : "ينقضي أيضاً حق الرهن الحيازي بأحد الأسباب الآتية : ( أ ) إذا نزل الدائن المرتهن عن هذا الحق ، وكان ذا أهلية في إبراء ذمة المدين من الدين </w:t>
      </w:r>
      <w:r>
        <w:rPr>
          <w:rFonts w:cs="Traditional Arabic"/>
          <w:sz w:val="28"/>
          <w:szCs w:val="32"/>
          <w:rtl/>
        </w:rPr>
        <w:t>–</w:t>
      </w:r>
      <w:r>
        <w:rPr>
          <w:rFonts w:cs="Traditional Arabic" w:hint="cs"/>
          <w:sz w:val="28"/>
          <w:szCs w:val="32"/>
          <w:rtl/>
        </w:rPr>
        <w:t xml:space="preserve"> ويجوز أن يستفاد التنازل ضمناً من تخليل الدائن باختياره عن الشيء المرهون ، أو من موافقته على التصرف فيه دون تحفظ . على أنه إذا كان الرهن مثقلا بحق تقرر لمصلحة الغير ، فإن تنازل الدائن لا ينفذ في حق هذا الغير إلا إذا أقره . ( ب )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$872 فالرهن ينقضي مستقلا عن الدين ، أي ينقضي بصفة أصلية ، إذا نزل الدائن المرتهن عنه ، وهو صاحب حق الرهن الحيازي</w:t>
      </w:r>
      <w:r>
        <w:rPr>
          <w:rFonts w:cs="Traditional Arabic" w:hint="cs"/>
          <w:sz w:val="28"/>
          <w:szCs w:val="32"/>
          <w:vertAlign w:val="superscript"/>
          <w:rtl/>
        </w:rPr>
        <w:t xml:space="preserve">( </w:t>
      </w:r>
      <w:r w:rsidRPr="00EC737F">
        <w:rPr>
          <w:rStyle w:val="ab"/>
          <w:rFonts w:cs="Traditional Arabic"/>
          <w:sz w:val="28"/>
          <w:szCs w:val="32"/>
          <w:rtl/>
        </w:rPr>
        <w:footnoteReference w:id="166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621- الأهلية اللازمة لنزول الدائن المرتهن عن رهن الحيازة : </w:t>
      </w:r>
      <w:r>
        <w:rPr>
          <w:rFonts w:cs="Traditional Arabic" w:hint="cs"/>
          <w:sz w:val="28"/>
          <w:szCs w:val="32"/>
          <w:rtl/>
        </w:rPr>
        <w:t xml:space="preserve">ولما كان الرهن الحيازي ه الضمان للدين ، فقد جعله المشرع بمثابة الدين نفسه ، فالنزول عن الرهن الحيازي يكون بمثابة النزول عن الدين نفسه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لذلك اشترط القانون ، في أهلية النزول عن ارهن الحيازي ، أهلية إبراء ذمة المدين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الأهلية هي أهلية التبرع ، فيجب أن يكون الدائن المرتهن بالغاً سن الرشد غير محجور عليه ولو لسفه أو غفلة . فإن كان صغيراً أو محجوراً عليه ، فلا يملك النزول عن رهن الحيازة تبرعاً . ولا يملك أحد غيره ذلك ، قيماً كان أو وصياً أو ولياً ، ولو بإذن المحكمة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وينص القانون ، كما رأينا ، على أن ينقضي رهن الحيازة "إذا نزل الدائن المرتهن عن هذا الحق ، وكن ذا أهلية في إبراء ذمة المدين من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622- النزول الصريح والنزول الضمني :</w:t>
      </w:r>
      <w:r>
        <w:rPr>
          <w:rFonts w:cs="Traditional Arabic" w:hint="cs"/>
          <w:sz w:val="28"/>
          <w:szCs w:val="32"/>
          <w:rtl/>
        </w:rPr>
        <w:t xml:space="preserve"> والنزول عن رهن الحيازة إما أن يكون نزولا صريحاً ، </w:t>
      </w:r>
      <w:r>
        <w:rPr>
          <w:rFonts w:cs="Traditional Arabic" w:hint="cs"/>
          <w:sz w:val="28"/>
          <w:szCs w:val="32"/>
          <w:rtl/>
        </w:rPr>
        <w:lastRenderedPageBreak/>
        <w:t>أو نزولا ضمنياً . ولا يشترط فيه شكل خاص ، فأي نزول صريح أو ضمني يكفي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والنزول ، الصريح أو الضمني ، عن رهن الحيازة يقضي هذا الرهن تبرعاً ، ويزول رهن الحيازة من وقت النزول ، لا قبل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623- استفادة النزول الضمني : </w:t>
      </w:r>
      <w:r>
        <w:rPr>
          <w:rFonts w:cs="Traditional Arabic" w:hint="cs"/>
          <w:sz w:val="28"/>
          <w:szCs w:val="32"/>
          <w:rtl/>
        </w:rPr>
        <w:t xml:space="preserve"> وقد أورد المشرع ، في المادة 1113 مدني ، مثلين على النزول الضمني . فيجوز أن يستفاد النزول الضمني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$873 1- من تخلى الدائن باختياره عن الشيء المرهون . ذلك لأن الدائن باختياره عن الشيء المرهون . ذلك لأن الدائن المرتهن حيازة يلتزم الراهن بتسليمه الشيء المرهون ، كما أسلفنا ، ولا يجوز للدائن المرتهن ، بعد أن ستلم الشيء المرهون ، أن يتخلى عن حيازته طوعاً . فإن سلب منه غصباً ، أو أخذ خلسة ، وأثبت الدائن المرتهن ذلك ، فله أن يسترده . وللدائن المرتهن كذلك أن يؤجر الشيء المرهون ، أو يعيره ، أو يودعه عند أحد ، فإن فعل استرد الشيء عند نهاية الإيجار أو العارية أو الوديعة . أما أن يتخلى عن الشيء المرهون طوعاً ، لا لإيجار أو لسبب آخر لا يقيد نزوله عن الرهن ، فهذا نزول ضمني عن الرهن الحيازي ، وينقضي الرهن بهذا النزول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ومن موافقة الدائن المرتهن حيازة على التصرف في الشيء المرهون دن تحفظ . فإذا كان الراهن الذي يملك الشيء المرهون باع هذا الشيء لآخر على أنه غير مرهون ، وانتزعه من حيازة الدائن المرتهن وسلمه للمشتري ؛ ورضي الدائن المرتهن بذلك دون أن يتحفظ بأن يسلم الشيء مع حفظ حقه في باعتباره دائناً مرتهناً ، فإن الدائن المرتهن يكون بذلك قد نزل ضمناً عن حقه في الرهن الحيازي باختباره ، فيزول الرهن بهذا النزول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مذكرة المشروع التمهيدي : "ولكن إذا كان الرهن مثقلا بحق لأجنبي ، كما إذا كان المضمون بالرهن قد رهنه الدائن بدوره لدائن له ، فإن الدائن الثاني يمتد حقه إلى الرهن ، ولا يترتب على تنازل الدائن الأول عن الرهن أن يضر ذلك بحق الدائن الثاني"</w:t>
      </w:r>
      <w:r>
        <w:rPr>
          <w:rFonts w:cs="Traditional Arabic" w:hint="cs"/>
          <w:sz w:val="28"/>
          <w:szCs w:val="32"/>
          <w:vertAlign w:val="superscript"/>
          <w:rtl/>
        </w:rPr>
        <w:t xml:space="preserve">( </w:t>
      </w:r>
      <w:r w:rsidRPr="00EC737F">
        <w:rPr>
          <w:rStyle w:val="ab"/>
          <w:rFonts w:cs="Traditional Arabic"/>
          <w:sz w:val="28"/>
          <w:szCs w:val="32"/>
          <w:rtl/>
        </w:rPr>
        <w:footnoteReference w:id="1666"/>
      </w:r>
      <w:r>
        <w:rPr>
          <w:rFonts w:cs="Traditional Arabic" w:hint="cs"/>
          <w:sz w:val="28"/>
          <w:szCs w:val="32"/>
          <w:vertAlign w:val="superscript"/>
          <w:rtl/>
        </w:rPr>
        <w:t xml:space="preserve"> )</w:t>
      </w:r>
      <w:r>
        <w:rPr>
          <w:rFonts w:cs="Traditional Arabic" w:hint="cs"/>
          <w:sz w:val="28"/>
          <w:szCs w:val="32"/>
          <w:rtl/>
        </w:rPr>
        <w:t xml:space="preserve"> . وتقول العبارة الأخيرة من المادة 1113 ( أ </w:t>
      </w:r>
      <w:r>
        <w:rPr>
          <w:rFonts w:cs="Traditional Arabic" w:hint="cs"/>
          <w:sz w:val="28"/>
          <w:szCs w:val="32"/>
          <w:rtl/>
        </w:rPr>
        <w:lastRenderedPageBreak/>
        <w:t>) مدني ، كما رأينا ما يأتي : "على أنه إذا كان الرهن مثقلا بحق تقرر لمصلحة الغير ، فإن تنازل الدائن لا ينفذ $874 في حق هذا الغير إلا إذا أقره" . وتفرض مذكرة المشروع التمهيدي أن الدائن المرتهن حيازة قد رتب على حقه في الرهن رهناً له ، ثم نزل عن رهنه نزولا صريحاً أو ضمنياً . فإذا قلنا بعبارة مطلقة إن نزول الدائن المرتهن الأول عن رهنه يزيل الرهن ، تأذى من ذلك الدائن المرتهن الثاني لأنه مرتهن لحق رهن الدائن المرتهن الأول ، فزوال حق رهن الدائن المرتهن الأول يزيل حق الدائن الثاني . فلا يبقى إذن إلا القول بأن زوال حق رهن الدائن الأول لا ينفذ في حق الدائن الثاني ، فيبقى حق رهن هذا الدائن الثاني قائماً ، إلا إذا أقر الدائن الثاني نزل الدائن الأول عن حقه في الرهن .</w:t>
      </w:r>
    </w:p>
    <w:p w:rsidR="00F72742" w:rsidRPr="00C217BE"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C217BE">
        <w:rPr>
          <w:rFonts w:cs="Traditional Arabic" w:hint="cs"/>
          <w:b/>
          <w:bCs/>
          <w:sz w:val="28"/>
          <w:szCs w:val="32"/>
          <w:rtl/>
        </w:rPr>
        <w:t>2- اتحاد الذمة</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624- نص قانوني :</w:t>
      </w:r>
      <w:r>
        <w:rPr>
          <w:rFonts w:cs="Traditional Arabic" w:hint="cs"/>
          <w:sz w:val="28"/>
          <w:szCs w:val="32"/>
          <w:rtl/>
        </w:rPr>
        <w:t xml:space="preserve"> ونصت المادة 1113 ( ب )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"ينقضي أيضاً حق الرهن الحيازي بأحد الأسباب الآتية ( أ )  . . . . ( ب ) إذا اجتمع حق الرهن الحيازي مع حق الملكية في يدي شخص واحد . ( جـ )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وكان النص في أصله ، وهو النص الواجب العمل به ، يجري على الوجه الآتي : "( ب ) إذا اجتمع حق الرهن الحيازي مع حق الملكية في يد شخص واحد . على أنه إذا كان الرهن مثقلا بحق تقرر لمصلحة أجنبي ، فإن انقضاء الرهن باتحاد الذمة لا ينفذ في حق هذا الأجنبي . ولا يعتبر الرهن منقضياً إذا كان للمالك مصلحة قانونية في استبقائه ، وكذلك إذا زال سبب اتحاد الذمة وكان لزواله أثر رجعي"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وقد قررت مذكرة المشروع التمهيدي ، في خصوص هذا النص ، ما يأتي : "وينقضي الرهن كذلك باتحاد الذمة ، بأن يجتمع الرهن وملكية العين المرهونة في يد واحدة ، كما إذا اشترى الدائن المرتهن العين المرهونة . $875 ولا يخل اتحاد الذمة بحق الأجنبي على الرهن ، كما إذا كان الدين المضمون بالرهن قد رهنه الدائن بدوره لدائن له كما تقدم في المثل السابق ، فا الدائن الأول إذا اشترى العين المرهونة واتحدت الذمة بذلك ، فاتحادها على هذا الوجه لا يضر بحق الدائن الثاني . كذلك لا يعد الرهن منقضياً باتحاد الذمة إذا كانت للمالك مصلحة قانونية في استبقائه ، كما إذا اشترى الكفيل العيني الدين المضمون بالرهن ، وباع هذا الدين بعد ذلك مستبقياً الرهن لضمانه . وكذلك لا ينقضي إذا زال اتحاد الذمة وكان لزواله أثر </w:t>
      </w:r>
      <w:r>
        <w:rPr>
          <w:rFonts w:cs="Traditional Arabic" w:hint="cs"/>
          <w:sz w:val="28"/>
          <w:szCs w:val="32"/>
          <w:rtl/>
        </w:rPr>
        <w:lastRenderedPageBreak/>
        <w:t>رجعي ، كما إذا فسخ العقد الذي اشترى به المرتهن العين</w:t>
      </w:r>
      <w:r>
        <w:rPr>
          <w:rFonts w:cs="Traditional Arabic" w:hint="cs"/>
          <w:sz w:val="28"/>
          <w:szCs w:val="32"/>
          <w:vertAlign w:val="superscript"/>
          <w:rtl/>
        </w:rPr>
        <w:t xml:space="preserve">( </w:t>
      </w:r>
      <w:r w:rsidRPr="00EC737F">
        <w:rPr>
          <w:rStyle w:val="ab"/>
          <w:rFonts w:cs="Traditional Arabic"/>
          <w:sz w:val="28"/>
          <w:szCs w:val="32"/>
          <w:rtl/>
        </w:rPr>
        <w:footnoteReference w:id="166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625- كيف ينقضي الرهن باتحاد الذمة : </w:t>
      </w:r>
      <w:r>
        <w:rPr>
          <w:rFonts w:cs="Traditional Arabic" w:hint="cs"/>
          <w:sz w:val="28"/>
          <w:szCs w:val="32"/>
          <w:rtl/>
        </w:rPr>
        <w:t>ينقضي الرهن باتحاد الذمة ، إذا اجتمع حق الرهن الحيازي مع حق الملكية في يد شخص واحد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ويجتمع هذان الحقان في يد المرتهن حيازة ، إذا اشترى هذا المرتهن العين المرهونة ، فيصبح مالكاً لحق الرهن الحيازي وللعين نفسها ، فتتحد الذمة ، وينقضي حق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ويجتمع هذان الحقان في يد المالك للعين ، إذا اشترى المالك الدين المضمون بحق رهن الحيازة ، فيصبح مع ملكيته للعين مالكاً لحق رهن الحيازة ، فتتحد الذمة ، وينقضي حق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ويجتمع هذان الحقان في يد أجنبي ، إذا اشترى هذا الأجنبي ملكية العين المرهونة من مالكها واشترى الدين المضمون بالرهن الحيازي ، فيصح الأجنبي مالكاً للحقين ، فتتحد الذمة ، وينقضي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ولا يخل اتحاد الذمة : ( 1 ) بحق أجنبي ارتهن حيازة . ( 2 ) ولا باستبقاء المالك لحق الرهن . ( 3 ) ولا بزوال اتحاد الذمة بأثر رجعي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$876 </w:t>
      </w:r>
      <w:r>
        <w:rPr>
          <w:rFonts w:cs="Traditional Arabic" w:hint="cs"/>
          <w:b/>
          <w:bCs/>
          <w:sz w:val="28"/>
          <w:szCs w:val="32"/>
          <w:rtl/>
        </w:rPr>
        <w:t xml:space="preserve">616- </w:t>
      </w:r>
      <w:r w:rsidRPr="00C74D6C">
        <w:rPr>
          <w:rFonts w:cs="Traditional Arabic" w:hint="cs"/>
          <w:b/>
          <w:bCs/>
          <w:sz w:val="28"/>
          <w:szCs w:val="32"/>
          <w:rtl/>
        </w:rPr>
        <w:t>حق أجنبي ارتهن حيازة</w:t>
      </w:r>
      <w:r>
        <w:rPr>
          <w:rFonts w:cs="Traditional Arabic" w:hint="cs"/>
          <w:sz w:val="28"/>
          <w:szCs w:val="32"/>
          <w:rtl/>
        </w:rPr>
        <w:t xml:space="preserve"> : إذا كان المرتهن حيازة قد رتب على حقه في رهن الحيازة حق رهن لأجنبي ، فأصبح هذا الأجنبي الدائن المرتهن الثاني ، فإن المرتهن الأولى لا يستطيع أن يمس بحق الأجنبي المرتهن الثاني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فرضنا أن المرتهن الأولى اشترى ملكية العين المرهونة من مالكها ، فأصبح مالكا لرهن الحيازة وللملكية معاً ، واتحدت الذمة بذلك ، فإن اتحاد الذمة هذا لا يخل بحق المرتهن الثاني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وتقول مذكرة المشروع التمهيدي في هذا المعنى : "</w:t>
      </w:r>
      <w:r w:rsidRPr="0021118B">
        <w:rPr>
          <w:rFonts w:cs="Traditional Arabic" w:hint="cs"/>
          <w:sz w:val="28"/>
          <w:szCs w:val="32"/>
          <w:rtl/>
        </w:rPr>
        <w:t xml:space="preserve">ولا يخل اتحاد </w:t>
      </w:r>
      <w:r>
        <w:rPr>
          <w:rFonts w:cs="Traditional Arabic" w:hint="cs"/>
          <w:sz w:val="28"/>
          <w:szCs w:val="32"/>
          <w:rtl/>
        </w:rPr>
        <w:t>الذمة بحق الأجنبي على الرهن ، كما إذا كان الدين المضمون بالرهن قد رهنه الدائن بدوره لدائن له كما تقدم في المثل السابق ، فإن الدائن الأولى إذا اشترى العين المرهونة واتحدت الذمة بذلك ، فاتحادها على هذا الوجه لا يضر بحق الدائن التالي</w:t>
      </w:r>
      <w:r>
        <w:rPr>
          <w:rFonts w:cs="Traditional Arabic" w:hint="cs"/>
          <w:sz w:val="28"/>
          <w:szCs w:val="32"/>
          <w:vertAlign w:val="superscript"/>
          <w:rtl/>
        </w:rPr>
        <w:t xml:space="preserve">( </w:t>
      </w:r>
      <w:r w:rsidRPr="00EC737F">
        <w:rPr>
          <w:rStyle w:val="ab"/>
          <w:rFonts w:cs="Traditional Arabic"/>
          <w:sz w:val="28"/>
          <w:szCs w:val="32"/>
          <w:rtl/>
        </w:rPr>
        <w:lastRenderedPageBreak/>
        <w:footnoteReference w:id="166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فالدائن الثاني إما أنه لا يسري في حقه اتحاد الذمة ويبقى حق رهنه قائماً على حق رهن الحيازة ، أو يقر اتحاد الذمة فيضيع عليه حق رهنه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627- استقاء المالك لحق الرهن :</w:t>
      </w:r>
      <w:r>
        <w:rPr>
          <w:rFonts w:cs="Traditional Arabic" w:hint="cs"/>
          <w:sz w:val="28"/>
          <w:szCs w:val="32"/>
          <w:rtl/>
        </w:rPr>
        <w:t xml:space="preserve"> وتقول مذكرة المشروع التمهيدي ، في هذا الصدد ، ما يأتي : "كذلك لا يعد الرهن منقضياً باتحاد الذمة إذا كانت للمالك مصلحة قانونية في استبقائه ، كما إذا اشترى الكفيل العيني الدين المضمون بالرهن ، وباع هذا الدين بعد ذك مستبقياً الرهون لضمانه"</w:t>
      </w:r>
      <w:r>
        <w:rPr>
          <w:rFonts w:cs="Traditional Arabic" w:hint="cs"/>
          <w:sz w:val="28"/>
          <w:szCs w:val="32"/>
          <w:vertAlign w:val="superscript"/>
          <w:rtl/>
        </w:rPr>
        <w:t xml:space="preserve">( </w:t>
      </w:r>
      <w:r w:rsidRPr="00EC737F">
        <w:rPr>
          <w:rStyle w:val="ab"/>
          <w:rFonts w:cs="Traditional Arabic"/>
          <w:sz w:val="28"/>
          <w:szCs w:val="32"/>
          <w:rtl/>
        </w:rPr>
        <w:footnoteReference w:id="1669"/>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فهنا كان يوجد ، لا مدين راهن ، بل كفل عيني راهن ، ورأى الكفيل العيني أن يشتري الدين المضمون بالرهن ، حتى يخلص العين المملوكة له من هذا الرهن . فاشترى الدين ، حاسباً بذلك أنه يملك العين $877 وأصبح الآن يملك الرهن ، فيزول الرهن باتحاد الذمة . ولكنه وجد= نفسه في حاجة إلى بيع الدين الذي اشتراه ، وأن يستبقى الرهن ضامناً للدين . ففعل ذلك ، فلا شك أنه لما باع الدين مضموناً بالرهن ، لم يزل الرهن باتحاد الذمة لأنه لا زال باقياً . ويرجع الكفيل كفيلا عينياً كما كان ، له عين مرهونة في الدين ، ولكن صاحب هذا الدين شخص آخر هو الذي اشترى الدين مضموناً بالهرن فيما قد قدمناه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628- زوال اتحاد الذمة بأثر رجعي :</w:t>
      </w:r>
      <w:r w:rsidRPr="00A72EC5">
        <w:rPr>
          <w:rFonts w:cs="Traditional Arabic" w:hint="cs"/>
          <w:sz w:val="28"/>
          <w:szCs w:val="32"/>
          <w:rtl/>
        </w:rPr>
        <w:t xml:space="preserve"> وجاء </w:t>
      </w:r>
      <w:r>
        <w:rPr>
          <w:rFonts w:cs="Traditional Arabic" w:hint="cs"/>
          <w:sz w:val="28"/>
          <w:szCs w:val="32"/>
          <w:rtl/>
        </w:rPr>
        <w:t>في مذكرة المشروع التمهيدي ما يأتي : "وكذلك لا ينقضي الرهن إذا زال اتحاد الذمة وكان لزواله أثر رجعي ، كما إذا فسخ العقد الذي اشترى به المرتهن العين"</w:t>
      </w:r>
      <w:r>
        <w:rPr>
          <w:rFonts w:cs="Traditional Arabic" w:hint="cs"/>
          <w:sz w:val="28"/>
          <w:szCs w:val="32"/>
          <w:vertAlign w:val="superscript"/>
          <w:rtl/>
        </w:rPr>
        <w:t xml:space="preserve">( </w:t>
      </w:r>
      <w:r w:rsidRPr="00EC737F">
        <w:rPr>
          <w:rStyle w:val="ab"/>
          <w:rFonts w:cs="Traditional Arabic"/>
          <w:sz w:val="28"/>
          <w:szCs w:val="32"/>
          <w:rtl/>
        </w:rPr>
        <w:footnoteReference w:id="167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فهنا اشترى المرتهن حيازة ملكية العين المرهونة ، فصار صاحب رهن حيازي وصاحب ملكية العين المرهونة ، فاتحدت الذمة وانقضى الرهن باتحاد الذمة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ولكن تبين بعد ذلك أن البيع الذي اشترى به الدائن المرتهن ملكية العين المرهونة قابل للفسخ ، وفسخ بأثر رجعي . وعند ذلك لا يعود الدائن المرتهن مالكاً للعين المرهونة ، ويزول اتحاد الذمة بأثر رجعي ، ويعود الدائن المرتهن دائناً مرتهناً بحسب ، لا مالكاً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وتعود الأمور كما كانت قبل اتحاد الذمة الذي زال بأثر  رجعي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ويعود الرهن حافظاً قوته الأصلية ، بعد أن كان قد زال باتحاد الذمة</w:t>
      </w:r>
      <w:r>
        <w:rPr>
          <w:rFonts w:cs="Traditional Arabic" w:hint="cs"/>
          <w:sz w:val="28"/>
          <w:szCs w:val="32"/>
          <w:vertAlign w:val="superscript"/>
          <w:rtl/>
        </w:rPr>
        <w:t xml:space="preserve">( </w:t>
      </w:r>
      <w:r w:rsidRPr="00EC737F">
        <w:rPr>
          <w:rStyle w:val="ab"/>
          <w:rFonts w:cs="Traditional Arabic"/>
          <w:sz w:val="28"/>
          <w:szCs w:val="32"/>
          <w:rtl/>
        </w:rPr>
        <w:footnoteReference w:id="1671"/>
      </w:r>
      <w:r>
        <w:rPr>
          <w:rFonts w:cs="Traditional Arabic" w:hint="cs"/>
          <w:sz w:val="28"/>
          <w:szCs w:val="32"/>
          <w:vertAlign w:val="superscript"/>
          <w:rtl/>
        </w:rPr>
        <w:t xml:space="preserve"> )</w:t>
      </w:r>
      <w:r>
        <w:rPr>
          <w:rFonts w:cs="Traditional Arabic" w:hint="cs"/>
          <w:sz w:val="28"/>
          <w:szCs w:val="32"/>
          <w:rtl/>
        </w:rPr>
        <w:t xml:space="preserve"> .</w:t>
      </w:r>
    </w:p>
    <w:p w:rsidR="00F72742" w:rsidRPr="00026FCB"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026FCB">
        <w:rPr>
          <w:rFonts w:cs="Traditional Arabic" w:hint="cs"/>
          <w:b/>
          <w:bCs/>
          <w:sz w:val="28"/>
          <w:szCs w:val="32"/>
          <w:rtl/>
        </w:rPr>
        <w:t>3- هلاك الشيء أو انقضاء الحق المرهون</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629- نص قانوني :</w:t>
      </w:r>
      <w:r>
        <w:rPr>
          <w:rFonts w:cs="Traditional Arabic" w:hint="cs"/>
          <w:sz w:val="28"/>
          <w:szCs w:val="32"/>
          <w:rtl/>
        </w:rPr>
        <w:t xml:space="preserve"> ونصت المادة 1113 ( جـ )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$878 "ينقضي أيضاً حق الرهن الحيازي بأحد الأسباب الآتية : ( أ )  . . . ( ب )  . . . . ( جـ ) إذا هلك الشيء أو انقضى الحق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جاء في مذكرة المشروع التمهيدي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"ويزول الرهن أخيراً بصفة أصلية إذا هلك الشيء أو الحق المرهون . فإن كان الحق المرهون حق انتفاع مثلا ، وتنازل المنتفع عنه ، فلا يخل هذا التنازل بحق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7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630- انقضاء الرهن الحيازي بهلاك الشيء :</w:t>
      </w:r>
      <w:r>
        <w:rPr>
          <w:rFonts w:cs="Traditional Arabic" w:hint="cs"/>
          <w:sz w:val="28"/>
          <w:szCs w:val="32"/>
          <w:rtl/>
        </w:rPr>
        <w:t xml:space="preserve"> وينقضي الرهن الحيازي بهلاك الشيء المرهون . وهذا طبيعي ، لأن الشيء المرهون لم يعد له وجود ، فيزول الرهن بزوال محله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والشيء المرهون قد يهلك بخطأ الراهن ، أو بخطأ المرتهن ، أو بسبب أجنبي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فإن هلك بخطأ الراهن ، كان هذا مسئولا عن الهلاك ، ودفع تعويضاً عنه يحل محل الشيء المرهون </w:t>
      </w:r>
      <w:r>
        <w:rPr>
          <w:rFonts w:cs="Traditional Arabic" w:hint="cs"/>
          <w:sz w:val="28"/>
          <w:szCs w:val="32"/>
          <w:rtl/>
        </w:rPr>
        <w:lastRenderedPageBreak/>
        <w:t>الهالك . وينتقل الرهن بذلك ، من الشيء المرهون ، إلى التعويض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هلك بخطأ المرتهن ، كان هذا مسئولا عن الهلاك كذلك ، ويحل التعويض محل الشيء المرهون ، وينتقل إليه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هلك بسبب أجنبي ، فإن كان هذا السبب هو خطأ الغير ، حل التعويض محل الشيء وانتقل إليه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وإن كان السبب هو القوة القاهرة أو القضاء والقدر ، لم يكن أحد مسئولا عن التعويض . فلا يدفع تعوض ، ويزول الشيء فيزول الرهن بزواله ، وعلى هذا الوجه ينقضي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631- انقضاء الرهن باقتضاء الحق المرهون </w:t>
      </w:r>
      <w:r>
        <w:rPr>
          <w:rFonts w:cs="Traditional Arabic"/>
          <w:b/>
          <w:bCs/>
          <w:sz w:val="28"/>
          <w:szCs w:val="32"/>
          <w:rtl/>
        </w:rPr>
        <w:t>–</w:t>
      </w:r>
      <w:r>
        <w:rPr>
          <w:rFonts w:cs="Traditional Arabic" w:hint="cs"/>
          <w:b/>
          <w:bCs/>
          <w:sz w:val="28"/>
          <w:szCs w:val="32"/>
          <w:rtl/>
        </w:rPr>
        <w:t xml:space="preserve"> حق الانتفاع : </w:t>
      </w:r>
      <w:r>
        <w:rPr>
          <w:rFonts w:cs="Traditional Arabic" w:hint="cs"/>
          <w:sz w:val="28"/>
          <w:szCs w:val="32"/>
          <w:rtl/>
        </w:rPr>
        <w:t>وقد يكون الشيء المرهون حقاً انقضى ، فيزول الرهن بانقضائه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$879 فإن كان الحق المرهون حق انتفاع ، وانقضى بانقضاء مدته أو بموت المنتفع ، فلا مناص من انقضاء الرهن الحيازي بانقضاء حق الانتفاع على هذا الوجه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إذا نزل المنتفع عن حق الانتفاع ، فإن نزوله لا يؤثر في الرهن ، ولا ينقضي الرهن بنزول المنتفع . ذلك لأن النزول عن حق الانتفاع سبب إرادي من جانب المنتفع ، ولا يجوز للمنتفع أن يضر بإرادته المرتهن على هذا الوجه . على ذلك يبقى حق الانتفاع مثقلا بالرهن ، بالرغم ن نزول المنتفع . ولا يزول حق الانتفاع بالنسبة إلى المرتهن إلا بسبب طبيعي ، كانقضاء المدة أو موت المنتفع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 ذلك تقول مذكرة المروع التمهيدي : "فإن كان الحق المرهون حق انتفاع مثلان وتنازل المنتفع عنه ، فلا يخل هذا التنازل بحقوق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73"/>
      </w:r>
      <w:r>
        <w:rPr>
          <w:rFonts w:cs="Traditional Arabic" w:hint="cs"/>
          <w:sz w:val="28"/>
          <w:szCs w:val="32"/>
          <w:vertAlign w:val="superscript"/>
          <w:rtl/>
        </w:rPr>
        <w:t xml:space="preserve"> )</w:t>
      </w:r>
      <w:r>
        <w:rPr>
          <w:rFonts w:cs="Traditional Arabic" w:hint="cs"/>
          <w:sz w:val="28"/>
          <w:szCs w:val="32"/>
          <w:rtl/>
        </w:rPr>
        <w:t xml:space="preserve"> .</w:t>
      </w:r>
    </w:p>
    <w:p w:rsidR="00F72742" w:rsidRPr="001B2E1E" w:rsidRDefault="00F72742" w:rsidP="00F72742">
      <w:pPr>
        <w:widowControl w:val="0"/>
        <w:spacing w:after="120"/>
        <w:jc w:val="center"/>
        <w:rPr>
          <w:rFonts w:cs="Traditional Arabic" w:hint="cs"/>
          <w:b/>
          <w:bCs/>
          <w:sz w:val="28"/>
          <w:szCs w:val="32"/>
          <w:rtl/>
        </w:rPr>
      </w:pPr>
      <w:r>
        <w:rPr>
          <w:b/>
          <w:bCs/>
          <w:sz w:val="28"/>
          <w:szCs w:val="32"/>
          <w:rtl/>
        </w:rPr>
        <w:t>§</w:t>
      </w:r>
      <w:r>
        <w:rPr>
          <w:rFonts w:cs="Traditional Arabic" w:hint="cs"/>
          <w:b/>
          <w:bCs/>
          <w:sz w:val="28"/>
          <w:szCs w:val="32"/>
          <w:rtl/>
        </w:rPr>
        <w:t xml:space="preserve"> </w:t>
      </w:r>
      <w:r w:rsidRPr="001B2E1E">
        <w:rPr>
          <w:rFonts w:cs="Traditional Arabic" w:hint="cs"/>
          <w:b/>
          <w:bCs/>
          <w:sz w:val="28"/>
          <w:szCs w:val="32"/>
          <w:rtl/>
        </w:rPr>
        <w:t>4- البيع الجبري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632- تاريخ المسألة</w:t>
      </w:r>
      <w:r>
        <w:rPr>
          <w:rFonts w:cs="Traditional Arabic" w:hint="cs"/>
          <w:sz w:val="28"/>
          <w:szCs w:val="32"/>
          <w:rtl/>
        </w:rPr>
        <w:t xml:space="preserve"> : ذكرنا فيما تقدم أن الرهن الحيازي لم يكن ينقضي ، في التقنين المدني </w:t>
      </w:r>
      <w:r>
        <w:rPr>
          <w:rFonts w:cs="Traditional Arabic" w:hint="cs"/>
          <w:sz w:val="28"/>
          <w:szCs w:val="32"/>
          <w:rtl/>
        </w:rPr>
        <w:lastRenderedPageBreak/>
        <w:t>السابق ، بالبيع الجبري . بل كان للدائن المرتهن ، في حالة بيع الشيء المرهون بيعاً جبرياً ، الحق في حبسه عن الراسي عليه المزاد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وكانت المادة 1554 من المشروع التمهيدي ( م 1113 من التقنين المدني ) تنتهي رهن الحيازة "إذا بيعت العين المرهونة بيعاً جبرياً"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ولكن لجنة المراجعة حذفت هذا النص ، استبقاء لحكم التقنين السابق فيما قضي به من أن البيع الجبري لا يطهر العين من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غير أن قانون المرافعات الجديد نص في المادة 690 منه على أنه يترتب $880 على تسجيل حكم مرسي المزاد تطهير العقار المبيع من حقوق الامتياز والاختصاص والرهون الرسمية والحيازة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فأصبح بموج بالقانون المدني لا ينقضي حق الرهن الحيازي بالبيع الجبري ، أما بموجب قانون المرافعات فينقضي بالبيع الجبري ، لا حقوق الرهن الرسمي والاختصاص فحسب ، بل ينقضي أيضاً حق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633- لا تعارض بين القانون المدني وقانون المرافعات في حالة معينة :</w:t>
      </w:r>
      <w:r>
        <w:rPr>
          <w:rFonts w:cs="Traditional Arabic" w:hint="cs"/>
          <w:sz w:val="28"/>
          <w:szCs w:val="32"/>
          <w:rtl/>
        </w:rPr>
        <w:t xml:space="preserve"> ولا يقع تعارض بين قانون المرافعات والقانون المدني في حالة معينة ، بل يكون الحكم فيها واحداً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هي الحالة التي يكون فيها الدائن الحاجز صاحب حق رهن رسمي أو اختصاصي أو امتياز سباق في المرتبة على مرتبة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ففي القانون المدني لا يحتج بحق الحبس المترتب على الرهن الحيازي في مواجهة أصحاب هذه الحقوق السابقة على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هذا هو أيضاً حكم قانون المرافعات الجديد</w:t>
      </w:r>
      <w:r>
        <w:rPr>
          <w:rFonts w:cs="Traditional Arabic" w:hint="cs"/>
          <w:sz w:val="28"/>
          <w:szCs w:val="32"/>
          <w:vertAlign w:val="superscript"/>
          <w:rtl/>
        </w:rPr>
        <w:t xml:space="preserve">( </w:t>
      </w:r>
      <w:r w:rsidRPr="00EC737F">
        <w:rPr>
          <w:rStyle w:val="ab"/>
          <w:rFonts w:cs="Traditional Arabic"/>
          <w:sz w:val="28"/>
          <w:szCs w:val="32"/>
          <w:rtl/>
        </w:rPr>
        <w:footnoteReference w:id="167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634- قانون المرافعات عدل القانون المدني في بقية الحالات :</w:t>
      </w:r>
      <w:r>
        <w:rPr>
          <w:rFonts w:cs="Traditional Arabic" w:hint="cs"/>
          <w:sz w:val="28"/>
          <w:szCs w:val="32"/>
          <w:rtl/>
        </w:rPr>
        <w:t xml:space="preserve"> أما بقية الحالات ، فيجب </w:t>
      </w:r>
      <w:r>
        <w:rPr>
          <w:rFonts w:cs="Traditional Arabic" w:hint="cs"/>
          <w:sz w:val="28"/>
          <w:szCs w:val="32"/>
          <w:rtl/>
        </w:rPr>
        <w:lastRenderedPageBreak/>
        <w:t>القول بأن قانون المرافعات الجديد ، وهو قانون متأخر في التاريخ عن القانون المدني ، قد عدل القانون المدني في هذه المسألة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ذلك يكون البيع الجبري ، وفقاً لقانون المرافعات ، مطهراً للعقار من جميع الحقوق العينية التبعية ، ويدخل في ذلك حق الرهن الرسمي وحق الرهن الحيازي .</w:t>
      </w:r>
    </w:p>
    <w:p w:rsidR="00F72742" w:rsidRPr="00387A4D" w:rsidRDefault="00F72742" w:rsidP="00F72742">
      <w:pPr>
        <w:widowControl w:val="0"/>
        <w:spacing w:after="120"/>
        <w:jc w:val="center"/>
        <w:rPr>
          <w:rFonts w:cs="Traditional Arabic" w:hint="cs"/>
          <w:b/>
          <w:bCs/>
          <w:sz w:val="28"/>
          <w:szCs w:val="32"/>
          <w:rtl/>
        </w:rPr>
      </w:pPr>
      <w:r>
        <w:rPr>
          <w:rFonts w:cs="Traditional Arabic" w:hint="cs"/>
          <w:sz w:val="28"/>
          <w:szCs w:val="32"/>
          <w:rtl/>
        </w:rPr>
        <w:t xml:space="preserve">$881 </w:t>
      </w:r>
      <w:r>
        <w:rPr>
          <w:sz w:val="28"/>
          <w:szCs w:val="32"/>
          <w:rtl/>
        </w:rPr>
        <w:t>§</w:t>
      </w:r>
      <w:r>
        <w:rPr>
          <w:rFonts w:cs="Traditional Arabic" w:hint="cs"/>
          <w:sz w:val="28"/>
          <w:szCs w:val="32"/>
          <w:rtl/>
        </w:rPr>
        <w:t xml:space="preserve"> </w:t>
      </w:r>
      <w:r w:rsidRPr="00387A4D">
        <w:rPr>
          <w:rFonts w:cs="Traditional Arabic" w:hint="cs"/>
          <w:b/>
          <w:bCs/>
          <w:sz w:val="28"/>
          <w:szCs w:val="32"/>
          <w:rtl/>
        </w:rPr>
        <w:t>5- فسخ الرهن الحيازي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635- ضمان الراهن لسلامة الرهن ونفاذه :</w:t>
      </w:r>
      <w:r>
        <w:rPr>
          <w:rFonts w:cs="Traditional Arabic" w:hint="cs"/>
          <w:sz w:val="28"/>
          <w:szCs w:val="32"/>
          <w:rtl/>
        </w:rPr>
        <w:t xml:space="preserve"> رأينا أن المادة 1101 مدني تنص على ما يأتي : "يضمن الراهن سلامة الرهن ونفاذه ، وليس له أن يأتي عملا ينقص من قيمة الشيء المرهون أو يحول دون استعماله لحقوقه المستمدة من العقد . وللدائن المرتهن ، في حالة الاستعجال ، أن يتخذ على نفقة الراهن كل الوسائل التي تلزم للمحافظة على الشيء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7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سبق أن قررنا ، في هذه المناسبة ، أنه إذا "أدعي الغير أنه دائن مرتهن قيد حق رهنه أولا ، أو ادعى أن له حق ارتفاق على العقار المرهون حيازة وكان الدائن المرتهن قد رتب حق رهنه على أن حق الارتفاق هذا لا يوجد ، فعلى الراهن أن يدفع هذا الادعاء من الغير . فإن لم يستطع ، كان للدائن المرتهن حيازة أن يطالب بتقديم تأمين كافٍ ، أو بتكملة التقديم المقدم ، أو بسوط أجل الدين ودفعه فوراً"</w:t>
      </w:r>
      <w:r>
        <w:rPr>
          <w:rFonts w:cs="Traditional Arabic" w:hint="cs"/>
          <w:sz w:val="28"/>
          <w:szCs w:val="32"/>
          <w:vertAlign w:val="superscript"/>
          <w:rtl/>
        </w:rPr>
        <w:t xml:space="preserve">( </w:t>
      </w:r>
      <w:r w:rsidRPr="00EC737F">
        <w:rPr>
          <w:rStyle w:val="ab"/>
          <w:rFonts w:cs="Traditional Arabic"/>
          <w:sz w:val="28"/>
          <w:szCs w:val="32"/>
          <w:rtl/>
        </w:rPr>
        <w:footnoteReference w:id="167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ومعنى المطالبة بسقوط أجل الدين ودفع الدين فوراً ، أن الدائن المرتهن قد فسخ الرهن فانقضى بصفة أصلية ، وهو الآن يطالب بسقوط أجل الدين ودفع الدين فوراً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636- إدارة الشيء المرهون : </w:t>
      </w:r>
      <w:r>
        <w:rPr>
          <w:rFonts w:cs="Traditional Arabic" w:hint="cs"/>
          <w:sz w:val="28"/>
          <w:szCs w:val="32"/>
          <w:rtl/>
        </w:rPr>
        <w:t>ورأينا أن الفقرة الثانية من المادة 1106 مدني تنص على ما يأتي : "فإذا  أساء الدائن استعمال لهذا الحق أو أدار الشيء إدارة سيئة أو ارتكب في ذلك إهمالا جسيماً ، كان للراهن الحق في أن يطلب وضع الشيء تحت الحراسة أو أن يسترده مقابل دفع ما عليه  . . . ."</w:t>
      </w:r>
      <w:r w:rsidRPr="00F64B71">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677"/>
      </w:r>
      <w:r>
        <w:rPr>
          <w:rFonts w:cs="Traditional Arabic" w:hint="cs"/>
          <w:sz w:val="28"/>
          <w:szCs w:val="32"/>
          <w:vertAlign w:val="superscript"/>
          <w:rtl/>
        </w:rPr>
        <w:t xml:space="preserve"> </w:t>
      </w:r>
      <w:r>
        <w:rPr>
          <w:rFonts w:cs="Traditional Arabic" w:hint="cs"/>
          <w:sz w:val="28"/>
          <w:szCs w:val="32"/>
          <w:vertAlign w:val="superscript"/>
          <w:rtl/>
        </w:rPr>
        <w:lastRenderedPageBreak/>
        <w:t>)</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$882 ومعنى طلب استرداد الشيء مقابل دفع ما عليه أن الراهن قد فسخ الرهن فزال بصفة أصلية ، وهو الآن يطلب استرداد الشيء مقابل دفع ما عليه .</w:t>
      </w:r>
    </w:p>
    <w:p w:rsidR="00F72742" w:rsidRPr="00DF209B" w:rsidRDefault="00F72742" w:rsidP="00F72742">
      <w:pPr>
        <w:widowControl w:val="0"/>
        <w:spacing w:after="120"/>
        <w:jc w:val="center"/>
        <w:rPr>
          <w:rFonts w:cs="Traditional Arabic" w:hint="cs"/>
          <w:b/>
          <w:bCs/>
          <w:sz w:val="52"/>
          <w:szCs w:val="52"/>
          <w:rtl/>
        </w:rPr>
      </w:pPr>
      <w:r w:rsidRPr="00DF209B">
        <w:rPr>
          <w:rFonts w:cs="Traditional Arabic" w:hint="cs"/>
          <w:b/>
          <w:bCs/>
          <w:sz w:val="52"/>
          <w:szCs w:val="52"/>
          <w:rtl/>
        </w:rPr>
        <w:t>الفصل الرابع</w:t>
      </w:r>
    </w:p>
    <w:p w:rsidR="00F72742" w:rsidRPr="00DF209B" w:rsidRDefault="00F72742" w:rsidP="00F72742">
      <w:pPr>
        <w:widowControl w:val="0"/>
        <w:spacing w:after="120"/>
        <w:jc w:val="center"/>
        <w:rPr>
          <w:rFonts w:cs="Traditional Arabic" w:hint="cs"/>
          <w:b/>
          <w:bCs/>
          <w:sz w:val="40"/>
          <w:szCs w:val="40"/>
          <w:rtl/>
        </w:rPr>
      </w:pPr>
      <w:r w:rsidRPr="00DF209B">
        <w:rPr>
          <w:rFonts w:cs="Traditional Arabic" w:hint="cs"/>
          <w:b/>
          <w:bCs/>
          <w:sz w:val="40"/>
          <w:szCs w:val="40"/>
          <w:rtl/>
        </w:rPr>
        <w:t>بعض أنواع الرهن الحيازي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637- أنواع ثلاثة : </w:t>
      </w:r>
      <w:r>
        <w:rPr>
          <w:rFonts w:cs="Traditional Arabic" w:hint="cs"/>
          <w:sz w:val="28"/>
          <w:szCs w:val="32"/>
          <w:rtl/>
        </w:rPr>
        <w:t xml:space="preserve">تعرض القانون في هذا الفصل لأنواع ثلاثة من الرهن الحيازي : الرهن العقاري ، ورهن المنقول ، ورهن الدين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فنعقد لكل منها مبحثاً .</w:t>
      </w:r>
    </w:p>
    <w:p w:rsidR="00F72742" w:rsidRPr="00EC7D6A" w:rsidRDefault="00F72742" w:rsidP="00F72742">
      <w:pPr>
        <w:widowControl w:val="0"/>
        <w:spacing w:after="120"/>
        <w:jc w:val="center"/>
        <w:rPr>
          <w:rFonts w:cs="Traditional Arabic" w:hint="cs"/>
          <w:b/>
          <w:bCs/>
          <w:sz w:val="44"/>
          <w:szCs w:val="44"/>
          <w:rtl/>
        </w:rPr>
      </w:pPr>
      <w:r w:rsidRPr="00EC7D6A">
        <w:rPr>
          <w:rFonts w:cs="Traditional Arabic" w:hint="cs"/>
          <w:b/>
          <w:bCs/>
          <w:sz w:val="44"/>
          <w:szCs w:val="44"/>
          <w:rtl/>
        </w:rPr>
        <w:t>المبحث الأول</w:t>
      </w:r>
    </w:p>
    <w:p w:rsidR="00F72742" w:rsidRPr="00EC7D6A" w:rsidRDefault="00F72742" w:rsidP="00F72742">
      <w:pPr>
        <w:widowControl w:val="0"/>
        <w:spacing w:after="120"/>
        <w:jc w:val="center"/>
        <w:rPr>
          <w:rFonts w:cs="Traditional Arabic" w:hint="cs"/>
          <w:b/>
          <w:bCs/>
          <w:sz w:val="32"/>
          <w:szCs w:val="32"/>
          <w:rtl/>
        </w:rPr>
      </w:pPr>
      <w:r w:rsidRPr="00EC7D6A">
        <w:rPr>
          <w:rFonts w:cs="Traditional Arabic" w:hint="cs"/>
          <w:b/>
          <w:bCs/>
          <w:sz w:val="32"/>
          <w:szCs w:val="32"/>
          <w:rtl/>
        </w:rPr>
        <w:t>الرهن العقاري</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638- مواد ثلاثة خاصة بالرهن العقاري : </w:t>
      </w:r>
      <w:r>
        <w:rPr>
          <w:rFonts w:cs="Traditional Arabic" w:hint="cs"/>
          <w:sz w:val="28"/>
          <w:szCs w:val="32"/>
          <w:rtl/>
        </w:rPr>
        <w:t>أورد المشرع مواد ثلاثاً خاصة بالرهن العقاري ،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مادة أولى ( م 1114 مدني ) خاصة بنفاذ الرهن العقاري في حق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مادة ثانية ( م 1115 مدني ) خاصة بجواز أن يؤجر الدائن المرتهن العقار المرهون إلى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مادة ثالثة ( م 1116 مدني ) خاصة بحفظ الدائن المرتهن للعقار المرهون ودفع ما على العقار من ضرائب وتكاليف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فتعالج كل مسألة من هذه المسائل الثلاث في فقرة مستقلة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$883 </w:t>
      </w:r>
      <w:r>
        <w:rPr>
          <w:rFonts w:cs="Traditional Arabic" w:hint="cs"/>
          <w:b/>
          <w:bCs/>
          <w:sz w:val="28"/>
          <w:szCs w:val="32"/>
          <w:rtl/>
        </w:rPr>
        <w:t xml:space="preserve">639- نفاد الرهن العقاري في حق الغير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نصت المادة 1114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"يشترط لنفاذ الرهن العقاري في حق الغير إلى جانب انتقال الحيازة أن يقيد الرهن ، وتسري على </w:t>
      </w:r>
      <w:r>
        <w:rPr>
          <w:rFonts w:cs="Traditional Arabic" w:hint="cs"/>
          <w:sz w:val="28"/>
          <w:szCs w:val="32"/>
          <w:rtl/>
        </w:rPr>
        <w:lastRenderedPageBreak/>
        <w:t>هذا القيد الأحكام الخاصة بقيد الرهن الرسمي"</w:t>
      </w:r>
      <w:r>
        <w:rPr>
          <w:rFonts w:cs="Traditional Arabic" w:hint="cs"/>
          <w:sz w:val="28"/>
          <w:szCs w:val="32"/>
          <w:vertAlign w:val="superscript"/>
          <w:rtl/>
        </w:rPr>
        <w:t xml:space="preserve">( </w:t>
      </w:r>
      <w:r w:rsidRPr="00EC737F">
        <w:rPr>
          <w:rStyle w:val="ab"/>
          <w:rFonts w:cs="Traditional Arabic"/>
          <w:sz w:val="28"/>
          <w:szCs w:val="32"/>
          <w:rtl/>
        </w:rPr>
        <w:footnoteReference w:id="167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$884 ومعروف أن الرهن الحيازي لا ينفذ في حق الغير إلا إذا انتقلت حيازة الشيء المرهون إلى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كان الرهن الحيازي واقعاً على عقار ، وجب أيضاً لنفاذه في حق الغير ، إلى جانب انتقال الحيازة إلى الدائن المرتهن ، أن يقيد عقد الرهن الحيازي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وعقد الرهن الحيازي العقار يقيد على الوجه الذي يقيد به عقد الرهن الرسمي وتتبع نفس الأحكام ، وقد تقدم بيان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ويلاحظ أن المادة 30 من قانون تنظيم الشهر العقاري نصت على بأن خاص بالرهن الحيازي العقاري يجب أن تشمله قائمة قيد هذا الرهن ، $885 وهو بأن خاص بالتكليف وبالإيجار إلى الراهن إذا نص عليه في عقد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وفيما يتعلق يمحو القيد ، أضافت المادة 45 من قانون تنظيم الشهر العقاري حكماً خاصاً بحالة محو القيد الخاص بالرهن الحيازي العقار في وبحقوق الامتياز العقارية ، فقررت أنه يكتفي لمحو قيد هذه الحقوق بإقرارات عرفية مصدق على التوقيع فيها ، إذ أن هذه الحقوق يجوز إنشاؤها بمحررات عرفية فلم تكن هناك حاجة إلى إيجاب التقرير الرسمي لمحو القيد الخاص بها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والقيد لا يغني عن انتقال الحيازة إلى الدائن المرتهن ، كما أن انتقال الحيازة إلى الدائن المرتهن لا يغني عن القيد</w:t>
      </w:r>
      <w:r>
        <w:rPr>
          <w:rFonts w:cs="Traditional Arabic" w:hint="cs"/>
          <w:sz w:val="28"/>
          <w:szCs w:val="32"/>
          <w:vertAlign w:val="superscript"/>
          <w:rtl/>
        </w:rPr>
        <w:t xml:space="preserve">( </w:t>
      </w:r>
      <w:r w:rsidRPr="00EC737F">
        <w:rPr>
          <w:rStyle w:val="ab"/>
          <w:rFonts w:cs="Traditional Arabic"/>
          <w:sz w:val="28"/>
          <w:szCs w:val="32"/>
          <w:rtl/>
        </w:rPr>
        <w:footnoteReference w:id="167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640- جوار إيجار الدائن المرتهن العقار المرهون إلى الراهن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نصت المادة 1615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للدائن المرتهن للعقار أن يؤجر العقار إلى الراهن ، دون أن يمنع ذلك من نفاذ الرهن في حق الغير . فإذا اتفق على الإيجار في عقد الرهن ، وجب ذكر ذلك في القيد ذاته . أما إذا اتفق عليه بعد الرهن ، وجب أن يؤشر به في هامش القيد ، إلا أن هذا التأشير لا يكون ضرورياً إذا جدد الإيجار تجديداً ضمنياً"</w:t>
      </w:r>
      <w:r>
        <w:rPr>
          <w:rFonts w:cs="Traditional Arabic" w:hint="cs"/>
          <w:sz w:val="28"/>
          <w:szCs w:val="32"/>
          <w:vertAlign w:val="superscript"/>
          <w:rtl/>
        </w:rPr>
        <w:t xml:space="preserve">( </w:t>
      </w:r>
      <w:r w:rsidRPr="00EC737F">
        <w:rPr>
          <w:rStyle w:val="ab"/>
          <w:rFonts w:cs="Traditional Arabic"/>
          <w:sz w:val="28"/>
          <w:szCs w:val="32"/>
          <w:rtl/>
        </w:rPr>
        <w:footnoteReference w:id="168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$886 وجاء في مذكرة المروع التمهيدي ، في خصوص هذا النص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للمرتهن أن يؤجر العقار إلى الراهن دون أن يمنع ذلك من نفاذ الرهن في حق الغير ، على أن يشهر الإيجار إما بذكره في القيد نسه إذا اتفق عليه عند الرهن ، أو بالتأشير به على هامش القيد إذا اتفق عليه بعد ذلك . ولا يكون تجديد التأشير ضرورياً ، إذا جدد الإيجار تجديداً ضمنياً . أما في رهنالمنقول ، فخروج العين من يد المرتهن إلى الراهن ، بإيجار أو بغيره ، لا يبطل الرهن ، ولكن يجعله غير نافذ في حق الغير كما تقدم"</w:t>
      </w:r>
      <w:r>
        <w:rPr>
          <w:rFonts w:cs="Traditional Arabic" w:hint="cs"/>
          <w:sz w:val="28"/>
          <w:szCs w:val="32"/>
          <w:vertAlign w:val="superscript"/>
          <w:rtl/>
        </w:rPr>
        <w:t xml:space="preserve">( </w:t>
      </w:r>
      <w:r w:rsidRPr="00EC737F">
        <w:rPr>
          <w:rStyle w:val="ab"/>
          <w:rFonts w:cs="Traditional Arabic"/>
          <w:sz w:val="28"/>
          <w:szCs w:val="32"/>
          <w:rtl/>
        </w:rPr>
        <w:footnoteReference w:id="1681"/>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إذن للدائن المرتهن أن يؤجر العقار المرهون لغير الراهن ، وللراهن نفسه . فإذا ما أجره وسلمه للمستأجر ، اعتبر هو الحائز القانوني ، ولا يخل الإيجار بنفاذ الرهن في حق الغير ما دام الدائن المرتهن هو الحائز القانوني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أجر الدائن المرتهن العقار المرهون للراهن ، فإنه يجب شهر الإيجار في القيد . فإن تم الإيجار عند الراهن ، وجب ذكر ذلك في القيد ذاته . وأن تم الإيجار بعد الرهن ، وجب أن يؤشر بالإيجار  في هامش القيد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$887 وتجديد الإيجار تجديداً ضمنياً إيجار جديد ، وكان الواجب التأشير به في هامش القيد ، لأنه </w:t>
      </w:r>
      <w:r>
        <w:rPr>
          <w:rFonts w:cs="Traditional Arabic" w:hint="cs"/>
          <w:sz w:val="28"/>
          <w:szCs w:val="32"/>
          <w:rtl/>
        </w:rPr>
        <w:lastRenderedPageBreak/>
        <w:t>لا يكون إلا بعد الرهن . ولكن القانون أعفى الدائن المرتهن والراهن من شهر التجديد الضمني بالتأشير به في هامش القيد . فإذا جدد الإيجار تجديداً ضمنياً ، فإنه يكتفي بشهر الإيجار الأصلي نفسه في القيد أو في هامش القيد ، ولا حاجة إلى التأشير بالتجديد الضمني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641- حفظ الدائن المرتهن للعقار المرهون ودفع ما على العقار من ضرائب وتكاليف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 xml:space="preserve">نصت المادة 1116 مدني على ما يأتي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على الدائن المرتهن لعقار أن يتعهد العقار بالصيانة وأن يقوم بالنفقات اللازمة لحفظه ، وأن يدفع ما يستحق سنوياً على العقار من ضرائب وتكاليف ، على أن يستنزل من الثمار التي يحصلها قيمة ما أنفق أو يستوفي هذه القيمة من ثمن العقار في المرتبة التي يخولها له القانون"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ويجوز للدائن أن يتحلل من هذه الالتزامات إذا هو تخلى عن حق الرهن"</w:t>
      </w:r>
      <w:r>
        <w:rPr>
          <w:rFonts w:cs="Traditional Arabic" w:hint="cs"/>
          <w:sz w:val="28"/>
          <w:szCs w:val="32"/>
          <w:vertAlign w:val="superscript"/>
          <w:rtl/>
        </w:rPr>
        <w:t xml:space="preserve">( </w:t>
      </w:r>
      <w:r w:rsidRPr="00EC737F">
        <w:rPr>
          <w:rStyle w:val="ab"/>
          <w:rFonts w:cs="Traditional Arabic"/>
          <w:sz w:val="28"/>
          <w:szCs w:val="32"/>
          <w:rtl/>
        </w:rPr>
        <w:footnoteReference w:id="168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$888 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"تزيد التزامات مرتهن العقار بأن يدفع ما يستحق سنوياً على العقار من ضرائب وتكاليف ، على أن يستنزل ذلك من الثمار أو من العقار ، ويستطيع الراهن أن يتحلل من الالتزامات كلها بالتخلي عن حق الرهن ، وهذا صحيح في العقار والمنقول"</w:t>
      </w:r>
      <w:r>
        <w:rPr>
          <w:rFonts w:cs="Traditional Arabic" w:hint="cs"/>
          <w:sz w:val="28"/>
          <w:szCs w:val="32"/>
          <w:vertAlign w:val="superscript"/>
          <w:rtl/>
        </w:rPr>
        <w:t xml:space="preserve">( </w:t>
      </w:r>
      <w:r w:rsidRPr="00EC737F">
        <w:rPr>
          <w:rStyle w:val="ab"/>
          <w:rFonts w:cs="Traditional Arabic"/>
          <w:sz w:val="28"/>
          <w:szCs w:val="32"/>
          <w:rtl/>
        </w:rPr>
        <w:footnoteReference w:id="168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مما تقدم أن الدائن المرتهن لعقار ، يلتزم بحفظ هذا العقار وصيانته ودفع المصروفات اللازمة لذلك . وهذا التزام عام ، يلتزم به كل دائن مرتهن ، سواء لعقار أو لغير عقار ، وقد تقدم بيان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ويلتزم الدائن المرتهن للعقار أيضاً بأن يدفع ما يستحق سنوياً على العقار من ضرائب وتكاليف ، فإن كان العقار أرضاً زراعية دفع المال ، وإن كان بناء دفع العوايد ، ويدفع التكاليف أيضاً كأجر الخفر والرائب المؤقتة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وله أن يرجع بكل ذلك إما على غلة العقار إن كانت تفي ، فإن كانت $889  لا تفي رجع على ثمن العقار نفسه ، واعتبر ذلك مضموناً بالرهن وفي نفس المرتبة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على أن الدائن المرتهن عليه التزامات أخرى غير ما تقدم ، وقد أحصيناها وتكلمنا فيها تفصيلا عند الكلام في التزامات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8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 xml:space="preserve">فيستطيع أن يتخلص من كل هذه الالتزامات ، بما في ذلك الضرائب والتكاليف على العقار ، إذا هو تخلى </w:t>
      </w:r>
      <w:r>
        <w:rPr>
          <w:rFonts w:cs="Traditional Arabic"/>
          <w:sz w:val="28"/>
          <w:szCs w:val="32"/>
          <w:rtl/>
        </w:rPr>
        <w:t xml:space="preserve">( </w:t>
      </w:r>
      <w:r>
        <w:rPr>
          <w:rFonts w:cs="Traditional Arabic"/>
          <w:sz w:val="28"/>
          <w:szCs w:val="32"/>
        </w:rPr>
        <w:t>abandonner</w:t>
      </w:r>
      <w:r>
        <w:rPr>
          <w:rFonts w:cs="Traditional Arabic"/>
          <w:sz w:val="28"/>
          <w:szCs w:val="32"/>
          <w:rtl/>
        </w:rPr>
        <w:t xml:space="preserve"> )</w:t>
      </w:r>
      <w:r>
        <w:rPr>
          <w:rFonts w:cs="Traditional Arabic" w:hint="cs"/>
          <w:sz w:val="28"/>
          <w:szCs w:val="32"/>
          <w:rtl/>
        </w:rPr>
        <w:t xml:space="preserve"> عن حق ارهن وتركه دون مقابل ، فيتخلص المال ، عقاراً مكان أو منقولا ، مما يثقله من حق الرهن . وهذه قاعدة عامة ، تنطبق سواء كان المال المرهون عقاراً أو منقولا أو ديناً .</w:t>
      </w:r>
    </w:p>
    <w:p w:rsidR="00F72742" w:rsidRPr="009E16EB" w:rsidRDefault="00F72742" w:rsidP="00F72742">
      <w:pPr>
        <w:widowControl w:val="0"/>
        <w:spacing w:after="120"/>
        <w:jc w:val="center"/>
        <w:rPr>
          <w:rFonts w:cs="Traditional Arabic" w:hint="cs"/>
          <w:b/>
          <w:bCs/>
          <w:sz w:val="44"/>
          <w:szCs w:val="44"/>
          <w:rtl/>
        </w:rPr>
      </w:pPr>
      <w:r w:rsidRPr="009E16EB">
        <w:rPr>
          <w:rFonts w:cs="Traditional Arabic" w:hint="cs"/>
          <w:b/>
          <w:bCs/>
          <w:sz w:val="44"/>
          <w:szCs w:val="44"/>
          <w:rtl/>
        </w:rPr>
        <w:t>المبحث الثاني</w:t>
      </w:r>
    </w:p>
    <w:p w:rsidR="00F72742" w:rsidRPr="009E16EB" w:rsidRDefault="00F72742" w:rsidP="00F72742">
      <w:pPr>
        <w:widowControl w:val="0"/>
        <w:spacing w:after="120"/>
        <w:jc w:val="center"/>
        <w:rPr>
          <w:rFonts w:cs="Traditional Arabic" w:hint="cs"/>
          <w:b/>
          <w:bCs/>
          <w:sz w:val="28"/>
          <w:szCs w:val="32"/>
          <w:rtl/>
        </w:rPr>
      </w:pPr>
      <w:r w:rsidRPr="009E16EB">
        <w:rPr>
          <w:rFonts w:cs="Traditional Arabic" w:hint="cs"/>
          <w:b/>
          <w:bCs/>
          <w:sz w:val="28"/>
          <w:szCs w:val="32"/>
          <w:rtl/>
        </w:rPr>
        <w:t>رهن المنقول</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642- المواد الخاصة برهن المنقول : </w:t>
      </w:r>
      <w:r>
        <w:rPr>
          <w:rFonts w:cs="Traditional Arabic" w:hint="cs"/>
          <w:sz w:val="28"/>
          <w:szCs w:val="32"/>
          <w:rtl/>
        </w:rPr>
        <w:t>أورد المشرع ست مواد خاصة برهن المنقول ، نخصص لكل منها فقرة ، وهذه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م 1117 وهي خاصة بنفاذ رهن المنقول في حق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م 1118 وهي خاصة بسريان الآثار التي تترتب على حيازة المنقولات المادية والندات لحاملها على رهن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م 1119 وهي خاصة بطلب المرتهن أو الراهن الترخيص له في بيع المنقول المهدد بالهلاك أو التلف أو انتقاص القيمة ، ونقل الرهن من المنقول إلى ثمنه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$890 4- م 1120 وهي خاصة بطلب الراهن الترخيص له في بيع المنقول كصفقة رابحة قبل حلول أجل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م 1121 وهي خاصة بطلب الدائن المرتهن ، عند حلول أجل الدين ، الترخيص في بيع المنقول أو الأمر بتمليكه إياه بثمنه بحسب تقدير الخبراء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 م 1122 وهي خاصة بوجوب عدم العارض مع الأحكام الخاصة بالرهن التجاري وبيوت التسليف وأحوال خاصة في رهن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643- نفاذ رهن المنقول في حق الغير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نصت المادة 1117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"يشترط لنفاذ رهن المنقول في حق الغير إلى جانب انتقال الحيازة ، أن يدور العقد في ورقة ثابتة التاريخ يبين فيها المبلغ المضمون بالرهن والعين المرهونة بياناً كافياً . وهذا التاريخ الثابت يحدد مرتبة الدائن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8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$891 وقد قدمنا أن انتقال حيازة الشيء المرهون إلى الدائن المرتهن حيازة ضرورية ، حتى يكون رهن الحيازة سارياً في حق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وإلى جانب انتقال الحيازة ، يجب أيضاً ، حتى يكون رهن المنقول سارياً في حق الغير أن يدون عقد الرهن في ورقة ثابتة التاريخ . وهذا التاريخ الثابت هو الذي يحدد في أي وقت بحسب سريان الرهن بالنسبة إلى الغير ، أي يحدد مرتبة الدائن المرتهن . فإذا كان هناك دائنان مرتهنان لمنقول واحد ولكل منهما تاريخ ثابت ، فالأسبق في هذا التاريخ هو الذي يتقدم على المتأخر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ويبين في الورقة ثابتة التاريخ التي دون فيها عقد الرهن ، المبلغ المضمون بالهرن والعين المرهونة ، بياناً كافياً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أوجب القانون ، لنفاذ رهن المنقول في حق الغير ، تدوين عقد الرهن في ورقة ثابتة التاريخ ، أي أن يكون العقد مكتوباً ورقة عرفية ثابتة التاريخ ، وليس من الضروري أن تكون ورقة رسمية</w:t>
      </w:r>
      <w:r>
        <w:rPr>
          <w:rFonts w:cs="Traditional Arabic" w:hint="cs"/>
          <w:sz w:val="28"/>
          <w:szCs w:val="32"/>
          <w:vertAlign w:val="superscript"/>
          <w:rtl/>
        </w:rPr>
        <w:t xml:space="preserve">( </w:t>
      </w:r>
      <w:r w:rsidRPr="00EC737F">
        <w:rPr>
          <w:rStyle w:val="ab"/>
          <w:rFonts w:cs="Traditional Arabic"/>
          <w:sz w:val="28"/>
          <w:szCs w:val="32"/>
          <w:rtl/>
        </w:rPr>
        <w:footnoteReference w:id="1686"/>
      </w:r>
      <w:r>
        <w:rPr>
          <w:rFonts w:cs="Traditional Arabic" w:hint="cs"/>
          <w:sz w:val="28"/>
          <w:szCs w:val="32"/>
          <w:vertAlign w:val="superscript"/>
          <w:rtl/>
        </w:rPr>
        <w:t xml:space="preserve"> )</w:t>
      </w:r>
      <w:r>
        <w:rPr>
          <w:rFonts w:cs="Traditional Arabic" w:hint="cs"/>
          <w:sz w:val="28"/>
          <w:szCs w:val="32"/>
          <w:rtl/>
        </w:rPr>
        <w:t xml:space="preserve"> . ولكن من الضروري أن تكون هناك ورقة عرفية حتى في المسائل التي يجوز فيها الإثبات بالبينة ، وأن تكون هذه الورقة العرفية ذات تاريخ ثابت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والغرض من ذلك حماية الغير من الغش ، الذي قد يرتكب إضراراً به $892 بتقديم تاريخ الرهن أو زيادة قيمة الدين أو إبدال الشيء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68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ويصح أن يكون الاتفاق على الرهن محرراً في السند العرفي المقرر للالتزام المضمون بالرهن</w:t>
      </w:r>
      <w:r>
        <w:rPr>
          <w:rFonts w:cs="Traditional Arabic" w:hint="cs"/>
          <w:sz w:val="28"/>
          <w:szCs w:val="32"/>
          <w:vertAlign w:val="superscript"/>
          <w:rtl/>
        </w:rPr>
        <w:t xml:space="preserve">( </w:t>
      </w:r>
      <w:r w:rsidRPr="00EC737F">
        <w:rPr>
          <w:rStyle w:val="ab"/>
          <w:rFonts w:cs="Traditional Arabic"/>
          <w:sz w:val="28"/>
          <w:szCs w:val="32"/>
          <w:rtl/>
        </w:rPr>
        <w:footnoteReference w:id="168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 الالتزام غير محدد القيمة ، يجب على الأقل بيان حده الأقصى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والواجب بيان المبلغ المضمون ، فلا داعي لذكر تاريخ حلول الدين أو تاريخ عقد الدين أو جنس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وإذا شمل الرهن جملة أشياء ، وبين بعضها دون بعض ، فالعقد يكون نافذاً في حق الغير فيما يختص بما بين من هذه الأشياء دون ما لم يبين</w:t>
      </w:r>
      <w:r>
        <w:rPr>
          <w:rFonts w:cs="Traditional Arabic" w:hint="cs"/>
          <w:sz w:val="28"/>
          <w:szCs w:val="32"/>
          <w:vertAlign w:val="superscript"/>
          <w:rtl/>
        </w:rPr>
        <w:t xml:space="preserve">( </w:t>
      </w:r>
      <w:r w:rsidRPr="00EC737F">
        <w:rPr>
          <w:rStyle w:val="ab"/>
          <w:rFonts w:cs="Traditional Arabic"/>
          <w:sz w:val="28"/>
          <w:szCs w:val="32"/>
          <w:rtl/>
        </w:rPr>
        <w:footnoteReference w:id="168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والمحاكم هي التي تقدر ما إذا كان البيان كافياً أو غير كاف</w:t>
      </w:r>
      <w:r>
        <w:rPr>
          <w:rFonts w:cs="Traditional Arabic" w:hint="cs"/>
          <w:sz w:val="28"/>
          <w:szCs w:val="32"/>
          <w:vertAlign w:val="superscript"/>
          <w:rtl/>
        </w:rPr>
        <w:t xml:space="preserve">( </w:t>
      </w:r>
      <w:r w:rsidRPr="00EC737F">
        <w:rPr>
          <w:rStyle w:val="ab"/>
          <w:rFonts w:cs="Traditional Arabic"/>
          <w:sz w:val="28"/>
          <w:szCs w:val="32"/>
          <w:rtl/>
        </w:rPr>
        <w:footnoteReference w:id="169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644- سريان الآثار التي تترتب على حيازة المنقولات المادية والسندات لحاملها على رهن المنقول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نصت المادة 1118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الأحكام المتعلقة بالآثار التي تترتب على حيازة المنقولات المادية والسندات التي لحاملها تسري على رهن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وبوجه خاص يكون للمرتهن ، إذا كان حسن النية ، أن يتمسك $893 بحقه في الرهن ولو كان الراهن لا يملك التصرف في الشيء المرهون ، كما يجوز من جهة أخرى لكل حائز حسن النية أن يتمسك بالحق الذي كسبه على الشيء المرهون ولو كان ذلك لاحقاً لتاريخ الرهن"</w:t>
      </w:r>
      <w:r>
        <w:rPr>
          <w:rFonts w:cs="Traditional Arabic" w:hint="cs"/>
          <w:sz w:val="28"/>
          <w:szCs w:val="32"/>
          <w:vertAlign w:val="superscript"/>
          <w:rtl/>
        </w:rPr>
        <w:t xml:space="preserve">( </w:t>
      </w:r>
      <w:r w:rsidRPr="00EC737F">
        <w:rPr>
          <w:rStyle w:val="ab"/>
          <w:rFonts w:cs="Traditional Arabic"/>
          <w:sz w:val="28"/>
          <w:szCs w:val="32"/>
          <w:rtl/>
        </w:rPr>
        <w:footnoteReference w:id="169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"حيازة منقول بحسن نية تعدل كثيراً من أحكام الرهن ، ويظهر ذلك بنوع خاص في أمرين : أولهما أن الدائن قد يرتهن المنقول م غير المالك وهو حسن النية ، فيترتب له حق الرهن ، لا بمقتضى العقد ، بل بمقتضى الحيازة . والأمر الثاني أن المنقول المرهون حيازة قد يترتب عليه حق عيني آخر لحائز حسن النية ، فيقدم هذا الحق على حق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69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النص سالف الذكر أن رهن الحيازة في المنقول قد تتعارض $894  أحكامه مع أحكام قاعدة قانونية أخرى ، وهي "الحياة في المنقول سند الملكية" . ويظهر هذا التعارض من وجهين ، إذ تقول الفقرة الثانية من المادة 1118 مدني ما يأتي : "وبوجه خاص يكون للمرتهن ، إذا كان حسن النية ، أن يتمسك بحقه في الرهن ولو كان الراهن لا يملك التصرف في الشيء المرهون ، كما يجوز من جهة أخرى لكل حائز حسن النية أن يتمسك بالحق الذي كسبه على الشيء المرهون ولو كان ذلك لاحقاً لتاريخ 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ذلك أن هذين الوجهين هما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w:t>
      </w:r>
      <w:r>
        <w:rPr>
          <w:rFonts w:cs="Traditional Arabic"/>
          <w:sz w:val="28"/>
          <w:szCs w:val="32"/>
          <w:rtl/>
        </w:rPr>
        <w:t>–</w:t>
      </w:r>
      <w:r>
        <w:rPr>
          <w:rFonts w:cs="Traditional Arabic" w:hint="cs"/>
          <w:sz w:val="28"/>
          <w:szCs w:val="32"/>
          <w:rtl/>
        </w:rPr>
        <w:t xml:space="preserve"> إذا كان الراهن لا يملك التصرف في الشيء المرهون بأن كان لا يملك المنقول ورهنه على أنه هو المالك له ، أو كان الراهن لا أهلية له أنه بالغ سن الرشد يغر محجر عليه . فإذا كان المرهون له حسن النية </w:t>
      </w:r>
      <w:r>
        <w:rPr>
          <w:rFonts w:cs="Traditional Arabic" w:hint="cs"/>
          <w:sz w:val="28"/>
          <w:szCs w:val="32"/>
          <w:rtl/>
        </w:rPr>
        <w:lastRenderedPageBreak/>
        <w:t>، واعتقد أن الراهن مالك للمنقول المرهون أو أنه يملك رهنه لأنه بالغ غير محجور عليه ، أن حق الرهن يترتب مع ذلك ، بالرغم من أن الراهن لا يستطيع أن يرتبه . وهو يترتب ، لا بعقد الرهن لأن هذا العقد صادر ممن لا يملك الرهن ، بل بقاعدة الحياة في المنقول فإن المرهون له حسن النية فملك الرهن في المنقول بالحيازة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إذا كان الراهن يملك رهن المنقول ورهنه ، وزعم المرهون له وهو حائز للمنقول أن هذا المنقول ملكه وباعه لشخص حسن النية ، فإن المنقول المرهون تنتقل ملكيته للمشتري ، لا بعقد البيع لأن المرهون له غير مالك فلا يستطيع أن ينقل الملكية بالبيع ، لكن بالحيازة لأن المشتري وقت أن اشترى وحاز كان حسن النية والحيازة في المنقول سند الملكية . ويجوز أيضاً أن المرهون له لا يبيع المنقول ولكن يؤجره ، فيعمد المستأجر إلى الظهور أمام الناس بأنه مالك للمنقول لا مستأجر إياه ، ويبيع المنقول باعتباره مالكاً إياه إلى مشتر حسن النية اعتقد أن المستأجر مالك وحائز المنقول $895 عند ذلك تنتقل ملكية هذا المنقول إلى المشتري ، ولكن لا بعقد البيع لأن البيع صادر من مستأجر ، بل بالقاعدة التي تقضي بأن الحيازة في المنقول سند الملكية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645- طلب المرتهن أو الراهن الترخيص له في بيع المنقول المدد بالهلاك أو التلف وانتقال الرهن من المنقول إلى ثمنه </w:t>
      </w:r>
      <w:r>
        <w:rPr>
          <w:rFonts w:cs="Traditional Arabic"/>
          <w:b/>
          <w:bCs/>
          <w:sz w:val="28"/>
          <w:szCs w:val="32"/>
          <w:rtl/>
        </w:rPr>
        <w:t>–</w:t>
      </w:r>
      <w:r>
        <w:rPr>
          <w:rFonts w:cs="Traditional Arabic" w:hint="cs"/>
          <w:b/>
          <w:bCs/>
          <w:sz w:val="28"/>
          <w:szCs w:val="32"/>
          <w:rtl/>
        </w:rPr>
        <w:t xml:space="preserve"> نص قانون : </w:t>
      </w:r>
      <w:r>
        <w:rPr>
          <w:rFonts w:cs="Traditional Arabic" w:hint="cs"/>
          <w:sz w:val="28"/>
          <w:szCs w:val="32"/>
          <w:rtl/>
        </w:rPr>
        <w:t>المادة 1119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"1- إذا كان الشيء المرهون مهدداً بالهلاك أو التلف أو نقص القيمة بحيث يخشى أن يصبح غير كاف لضمان حق الدائن ، ولم يطلب الراهن رده إليه مقابل شيء آخر يقدم بدله ، جاز للدائن أو الراهن أن يطلب من القاضي الترخيص له في بيعه بالمزاد العلني أو بسعره في البورصة أو السوق", </w:t>
      </w:r>
    </w:p>
    <w:p w:rsidR="00F72742" w:rsidRPr="009C488D"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وفصل القاضي في أمر إيداع الثمن عند الترخيص في البيع ، وينتقل حق الدائن في هذه الحالة من الشيء إلى ثمنه"</w:t>
      </w:r>
      <w:r>
        <w:rPr>
          <w:rFonts w:cs="Traditional Arabic" w:hint="cs"/>
          <w:sz w:val="28"/>
          <w:szCs w:val="32"/>
          <w:vertAlign w:val="superscript"/>
          <w:rtl/>
        </w:rPr>
        <w:t xml:space="preserve">( </w:t>
      </w:r>
      <w:r w:rsidRPr="00EC737F">
        <w:rPr>
          <w:rStyle w:val="ab"/>
          <w:rFonts w:cs="Traditional Arabic"/>
          <w:sz w:val="28"/>
          <w:szCs w:val="32"/>
          <w:rtl/>
        </w:rPr>
        <w:footnoteReference w:id="169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$896 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"ويصل اليسر في بيع المنقول أن يباع قبل حلول الدين . وهذا جائز في 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إذا دعت الضرورة إلى ذلك بأن كان المنقول مهدداً أن يصيبه هلاك أو تلف أو نقص في القيمة ، ولم يطلب الراهن أن يستبدل به شيئاً آخر ، فيجوز للمرتهن أن يطلب الترخيص في بيعه بالمزاد أو بسعره في البورصة أو السوق ، وينتقل حق الرهن إلى الثمن ، وينظر القاضي في إيداعه فقد يودع في مصرف أو عند الدائن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 . . . ."</w:t>
      </w:r>
      <w:r w:rsidRPr="00F765BB">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69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ويتبين من ذلك أنه قد توجد حاجة إلى بيع الشيء المرهون قبل حلول أجل الدين ، وقبل انقضاء الرهن . ويكون ذلك مثلا بأن يكون الشيء المرهون مهدداً بالهلاك أو التلف أو بأن تنقص قيمته نقصاً </w:t>
      </w:r>
      <w:r>
        <w:rPr>
          <w:rFonts w:cs="Traditional Arabic" w:hint="cs"/>
          <w:sz w:val="28"/>
          <w:szCs w:val="32"/>
          <w:rtl/>
        </w:rPr>
        <w:lastRenderedPageBreak/>
        <w:t>كبيراً بحيث يصبح بعد نقص قيمته غير كافٍ لضان الدين كما كان يضمنه من قبل . وكان الراهن يستطيع في هذه الحالة أن يطلب رد المنقول على أن يقدم بدلا منه تأميناً آخر ، فلم يفعل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عند ذلك لا يجوز ترك المنقول المرهون عرضاً للهلاك أو التلف ا نقص القيمة ، وقد يهلك أو يتلف ا تنقص قيمته نقصاً كبيراً قبل أن يحل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فأعطي القانون للدائن المرتهن ، وللراهن ، أن يطلب أي منهما الترخيص له في بيع المنقول ، قبل حلول أجل الدين ، إما بالمزاد العلني ، أو بسعره في البورصة إن كان ورقاً مالياً ، أو بسعره في السوق إن كان سلعة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فإذا رخص القاضي في بيع المنقول على هذا الوجه ، بعد التحقق من $897  الخطر الذي يتعرض له المنقول من عدم بيعه ، نظر القاضي عند الترخيص في بيع المنقول أين يودع ثمنه حتى يحل أجل الدين ، فيتقاضى الدائن المرتهن الدين الذي له من الثمن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أيودع الثمن في أحد المصارف لحساب المرتهن والرهن؟</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 يودع الثمن عند الدائن المرتهن ، حتى يتقاضى حقه منه عند حلول أجل الدين؟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 يودع الثمن خزانة المحكمة ، حتى توزعه بين المرتهن والراهن عند حلول أجل الدين؟</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 يودع الثمن مكاناً آخر؟</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جميع الأحوال ، متى بيع المنقول المرهون وتحول إلى ثمن ، حل الثمن حلولا عينياص محل المنقول ، ومن ثم يتحول الرهن من المنقول إلى ثمنه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646- طلب الراهن الترخيص له في بيع المنقول كصفقة رابحة قبل حلول أجل الدين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نصت المادة 1120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"يجوز للراهن إذا عرضت فرصة لبيع الشيء المرهون وكان البيع فرصة رابحة ، أن يطلب من القاضي الترخيص له في بيع هذا الشيء ، ولو كان ذلك قبل حلول أجل الدين ، ويحدد القاضي عند الترخيص </w:t>
      </w:r>
      <w:r>
        <w:rPr>
          <w:rFonts w:cs="Traditional Arabic" w:hint="cs"/>
          <w:sz w:val="28"/>
          <w:szCs w:val="32"/>
          <w:rtl/>
        </w:rPr>
        <w:lastRenderedPageBreak/>
        <w:t>شروط البيع ويفصل في أمر إيداع الثمن"</w:t>
      </w:r>
      <w:r>
        <w:rPr>
          <w:rFonts w:cs="Traditional Arabic" w:hint="cs"/>
          <w:sz w:val="28"/>
          <w:szCs w:val="32"/>
          <w:vertAlign w:val="superscript"/>
          <w:rtl/>
        </w:rPr>
        <w:t xml:space="preserve">( </w:t>
      </w:r>
      <w:r w:rsidRPr="00EC737F">
        <w:rPr>
          <w:rStyle w:val="ab"/>
          <w:rFonts w:cs="Traditional Arabic"/>
          <w:sz w:val="28"/>
          <w:szCs w:val="32"/>
          <w:rtl/>
        </w:rPr>
        <w:footnoteReference w:id="169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$898 وقد 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"ويصل اليسر في بيع المنقول أن يباع قبل حلول الدين ،وهذا جائز في حالتين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أ )  . . . .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ب ) إذا تحقق نفع من بيع المنقول ، بأن وجدت فرصة ملائمة فيرخص القاضي في البيع ، ويضع الشروط ، ويفصل في إيداع الثمن"</w:t>
      </w:r>
      <w:r>
        <w:rPr>
          <w:rFonts w:cs="Traditional Arabic" w:hint="cs"/>
          <w:sz w:val="28"/>
          <w:szCs w:val="32"/>
          <w:vertAlign w:val="superscript"/>
          <w:rtl/>
        </w:rPr>
        <w:t xml:space="preserve">( </w:t>
      </w:r>
      <w:r w:rsidRPr="00EC737F">
        <w:rPr>
          <w:rStyle w:val="ab"/>
          <w:rFonts w:cs="Traditional Arabic"/>
          <w:sz w:val="28"/>
          <w:szCs w:val="32"/>
          <w:rtl/>
        </w:rPr>
        <w:footnoteReference w:id="169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ويتبين من النص سالف الذكر أنه يجوز بيع المنقول المرهون ، ولو قبل حلول أجل الدين ، لا دفعاً </w:t>
      </w:r>
      <w:r>
        <w:rPr>
          <w:rFonts w:cs="Traditional Arabic" w:hint="cs"/>
          <w:sz w:val="28"/>
          <w:szCs w:val="32"/>
          <w:rtl/>
        </w:rPr>
        <w:lastRenderedPageBreak/>
        <w:t>لضرر كان في الحالة السابقة ( م 1119 مدني ) ، بل جلباً لنفع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فقد تعرض فرصة طيبة لبيع المنقول المرهون يخشى أن تضيع ، كأن يظهر راغب في شراء المنقول بثمن عال ، وقد يكون ذلك قبل حلول  أجل الدين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تراخى في يع المنقول ، فقد تضيع هذه الفرصة ، وقد لا تتجدد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لذلك أعطي القانون للراهن وحده ، دون المرتهن ، الحق في أن يطلب من القاضي أن يرخص له في بيع المنقول الرهون ، الحق في أن يطلب من القاضي أن يرخص له في بيع المنقول المرهون ، ولو كان ذلك قبل حلول أجل الدين المضمون بالرهن ، حتى يستطيع الراهن أن ينتفع بهذه الفرصة الطيبة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$899 وعند ذلك ينظر القاضي في هذا الطلب ، فإذا تحقق من أن هذه فرصة طبية لبيع المنقول المرهون ، رخص للراهن في البيع ، وفصل مع الترخيص في البيع في أمرين : ( 1 ) تحديد شروط البيع ، فقد يحدد شروطاً للبيع تجعله مجزياً ومحققاً للفرصة الطيبة . ( 29 الفصل في أمر إيداع الثمن ، وبخاصة إذا كمان البيع قبل حلول أجل الدين المضمون بالرهن ، فقد يجعل إيداعه عند الدائن المرتهن أو في خزانة المحكمة أو في أحد المصارف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وبديهي أنه عند بيع المنقول وقبض الثمن ، يتحول الرهن من المنقول إلى ثمنه الذي حل محله حلولا عينياً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647- طلب الدائن المرتهن عند حلول أجل الدين الترخيص له في بيع المنقول أو الأمر بتمليكه إياه بثمنه بحسب تقدير الخبراء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نصت المادة 1121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للدائن المرتهن ، إذا لم يستوف حقه ، أن يطلب من القاضي الترخيص له في بيع الشيء المرهون بالمزاد العلني أو بسعره في البورصة أو السوق"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ويجوز له أيضاً أن يطلب من القاضي أن يأمر بتمليكه الشيء وفاء للدين ، على أن يحسب عليه بقيمته بحسب تقدير الخبراء"</w:t>
      </w:r>
      <w:r>
        <w:rPr>
          <w:rFonts w:cs="Traditional Arabic" w:hint="cs"/>
          <w:sz w:val="28"/>
          <w:szCs w:val="32"/>
          <w:vertAlign w:val="superscript"/>
          <w:rtl/>
        </w:rPr>
        <w:t xml:space="preserve">( </w:t>
      </w:r>
      <w:r w:rsidRPr="00EC737F">
        <w:rPr>
          <w:rStyle w:val="ab"/>
          <w:rFonts w:cs="Traditional Arabic"/>
          <w:sz w:val="28"/>
          <w:szCs w:val="32"/>
          <w:rtl/>
        </w:rPr>
        <w:footnoteReference w:id="169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$900 وقد ورد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"المنقول المرهون حيازة بيعه في الدين أيسر من بيع العقار . إذ يجوز للمرتهن أن يطلب بيع المنقول بسعره في البورصة أو في السوق ، فيتجنب بذلك إجراءات البيع الجبري . بل يجوز له دون رضاء الراهن أن يطلب من القاضي تمليكه المنقول وفاء للدين ، على أن تحسب قيمته حسب تقدير القضاء . هذا هو شرط التمليك عند عدم الوفاء ، وقد تقدم أنه يجوز بعد حلول الدين بشرط رضاء الراهن ، أما في المنقول فرضاء الراهن غير ضروري وللقاضي أن يأمر بالتمليك"</w:t>
      </w:r>
      <w:r>
        <w:rPr>
          <w:rFonts w:cs="Traditional Arabic" w:hint="cs"/>
          <w:sz w:val="28"/>
          <w:szCs w:val="32"/>
          <w:vertAlign w:val="superscript"/>
          <w:rtl/>
        </w:rPr>
        <w:t xml:space="preserve">( </w:t>
      </w:r>
      <w:r w:rsidRPr="00EC737F">
        <w:rPr>
          <w:rStyle w:val="ab"/>
          <w:rFonts w:cs="Traditional Arabic"/>
          <w:sz w:val="28"/>
          <w:szCs w:val="32"/>
          <w:rtl/>
        </w:rPr>
        <w:footnoteReference w:id="169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وظاهر من النص سالف الذكر أننا قد وصلنا إلى آخر الشرط ، وأن الدين المضمون بالرهن قد حل </w:t>
      </w:r>
      <w:r>
        <w:rPr>
          <w:rFonts w:cs="Traditional Arabic" w:hint="cs"/>
          <w:sz w:val="28"/>
          <w:szCs w:val="32"/>
          <w:rtl/>
        </w:rPr>
        <w:lastRenderedPageBreak/>
        <w:t>أجله ، وأن الدائن المرتهن لم يستوفه ، وأنه يسعى الآن لاستيفاء الدين الذي له ولو ببيع المنقول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فإذا وصلنا إلى هذا الحد ، فإنه يجوز للدائن المرتهن أن يطلب من القاضي الترخيص له في بيع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وهذه إجراءات تختلف بعض الشيء عن إجراءات التنفيذ الجبري ، $ 901 لأن المنقول المرهون قد تتبع فيه إجراءات أخف من الإجراءات التي تتبع في التنفيذ الجبري على العقار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فيجوز للدائن المرتهن أولا أن يطلب من القاضي الترخيص له في بيع المنقول المرهون بالمزاد العلني . فإذا أذن له في ذلك ، باعه بالمزاد العلني ، وتقاضى الدين الذي له من الثمن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للدائن المرتهن ثانياً أن يطلب من القاضي الترخيص له في بيع المنقول المرهون ، لا بالمزاد العلني ، بل بيعاً ودياً بسعر المنقول في البورصة أو في السوق ، إن كان الشيء المرهون ورقاً مالياً أو سلعاً . فإذا رخص له القاضي في البيع على هذا النحو ، تقاضى الدائن المرتهن الدين الذي له من الثمن الذي قبضه ، ورد الباقي إلى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ويجوز للدائن المرتهن ثالثاً أن يطلب من القاضي تمليك المنقول المرهون وفاء للدين ، على أن يحسب ثمن المنقول بحسب تقدير الخبراء وقت البيع ، فإن بقي في ذمته شيء من الثمن بعد استيفائه الدين الذي له دفعه إلى الراهن . ويلاحظ أن هذا هو شرط التملك عند عدم الوفاء في صورته المحللة ، وهي بعد حلول الدين المضمون بالرهن ، ولا يشترط في المنقول رضاء الراهن ، ويكفي ترخيص القاضي في تمليك المنقول للدائن المرتهن وهذا الترخيص من القاضي يقوم مقام رضاء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وفي أية طريقة من هذه الطرق الثلاث ، يحصل الدائن المرتهن على ثمن المنقول ، فإن بقي من هذا الثمن شيء يزيد على حق الدائن المرتهن ، دفعه الدائن المرتهن إلى الراهن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648- وجوب عدم التعارض مع الأحكام الخاصة بالرهن التجاري وبيوت التسليف وأحوال خاصة في رهن المنقول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نصت المادة 1122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$902 "وتسري الأحكام المتقدمة بالدر الذي لا تتعارض فيه مع أحكام القوانين التجارية ، </w:t>
      </w:r>
      <w:r>
        <w:rPr>
          <w:rFonts w:cs="Traditional Arabic" w:hint="cs"/>
          <w:sz w:val="28"/>
          <w:szCs w:val="32"/>
          <w:rtl/>
        </w:rPr>
        <w:lastRenderedPageBreak/>
        <w:t>والأحكام الخاصة ببيوت التسليف المرخص لها في الرهن ، وأحكام القوانين واللوائح المتعلقة بأحوال خاصة في رهن المنقول"</w:t>
      </w:r>
      <w:r>
        <w:rPr>
          <w:rFonts w:cs="Traditional Arabic" w:hint="cs"/>
          <w:sz w:val="28"/>
          <w:szCs w:val="32"/>
          <w:vertAlign w:val="superscript"/>
          <w:rtl/>
        </w:rPr>
        <w:t xml:space="preserve">( </w:t>
      </w:r>
      <w:r w:rsidRPr="00EC737F">
        <w:rPr>
          <w:rStyle w:val="ab"/>
          <w:rFonts w:cs="Traditional Arabic"/>
          <w:sz w:val="28"/>
          <w:szCs w:val="32"/>
          <w:rtl/>
        </w:rPr>
        <w:footnoteReference w:id="169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مذكرة المشروع التمهيدي ، في خصوص هذا النص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"هناك أحكام خاصة برهن المنقول في حالات معينة ، أهمها الأحكام المتعلقة ببيوت التسليف المرخص لها في الرهن والأحكام المتعلقة بالرهن التجاري"</w:t>
      </w:r>
      <w:r>
        <w:rPr>
          <w:rFonts w:cs="Traditional Arabic" w:hint="cs"/>
          <w:sz w:val="28"/>
          <w:szCs w:val="32"/>
          <w:vertAlign w:val="superscript"/>
          <w:rtl/>
        </w:rPr>
        <w:t xml:space="preserve">( </w:t>
      </w:r>
      <w:r w:rsidRPr="00EC737F">
        <w:rPr>
          <w:rStyle w:val="ab"/>
          <w:rFonts w:cs="Traditional Arabic"/>
          <w:sz w:val="28"/>
          <w:szCs w:val="32"/>
          <w:rtl/>
        </w:rPr>
        <w:footnoteReference w:id="170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والنص السالف الذكر يلفت النظر إلى أن الأحكام المتقدمة في رهن المنقول يجب عدم العمل بها إذ تعارضت مع أحكام الرهن التجارية أو مع أحكام بيوت التسليف المرخص لها في الرهن ، والأحكام المتعلقة بأحوال خاصة في رهن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$903 وهذه هي إما قوانين تجارية لا شأن لنا بها هنا ، أو أحكام خاصة برهن المنقول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ونذكر على سبيل المثال الأمر العالي بشأن البيوت المالية المشتغلة بتسليف النقود على رهونات والصادر في 23 مارس 1901 ، والقانون رقم 28 لسنة 1940 الخاص بالرهن الحيازي الذي يعقد لبنك التسليف الزراعي المصري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قانون 23 مارس سنة 1901 ، فتقضي المادة الأولى منه بأنه لا يجوز إنشاء بيت مالي لتسليف النقود على رهونات إلا بإذن الحكومة ، إلا ما استثناه هذا القانون . وتقضي المادة 2 بأن تصدر الرخصة نم نظارة الداخلية ، وتقضي المادة 4 بأنه عند تسليم النقود إلى المستلف يعطي له وصل يشتمل على بيانات معينة ، وتقضي المادة 6 أن تكون السلفيات لمدة ثلاث شهور أو ستة شهور ويجوز تجديدها باتفاق المسالف والمستلف ، وتقضي المادة 7 بأنه في حالة عدم الدفع عند  حلول الميعاد تباع الأشياء المرهونة طبقاً للقواعد المقررة في القانون بخصوص الرهن التجاري ، وتقضي المادة 8 بأنه إذا زاد المبلغ المتحصل من البيع على المستحق على المستلف من رأس مال وفوائد وعوائد حف ومصاريف بيع فتحفظ الزيادة تحت طلبه مدة ثلاث سنوات بدون فائدة فإذا لم يطلبها في الميعاد المذكور صارت حقاً للمسلف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وأما قانون رقم 28 لسنة1940 ، فتقضي المادة الأولى منه بأن يكون الرهن الزراعي </w:t>
      </w:r>
      <w:r>
        <w:rPr>
          <w:rFonts w:cs="Traditional Arabic"/>
          <w:sz w:val="28"/>
          <w:szCs w:val="32"/>
          <w:rtl/>
        </w:rPr>
        <w:t xml:space="preserve">( </w:t>
      </w:r>
      <w:r>
        <w:rPr>
          <w:rFonts w:cs="Traditional Arabic"/>
          <w:sz w:val="28"/>
          <w:szCs w:val="32"/>
        </w:rPr>
        <w:t>gage agricol</w:t>
      </w:r>
      <w:r>
        <w:rPr>
          <w:rFonts w:cs="Traditional Arabic"/>
          <w:sz w:val="28"/>
          <w:szCs w:val="32"/>
          <w:rtl/>
        </w:rPr>
        <w:t xml:space="preserve"> )</w:t>
      </w:r>
      <w:r>
        <w:rPr>
          <w:rFonts w:cs="Traditional Arabic" w:hint="cs"/>
          <w:sz w:val="28"/>
          <w:szCs w:val="32"/>
          <w:rtl/>
        </w:rPr>
        <w:t xml:space="preserve"> الذي يعقد لبنك التسليف الزراعي المصري صحيحاً ولو لم يكن للمكتوب الذي يدون فيه العقد تاريخ ثابت ، ويكون الرهن صحيحاً ولو بقيت الحاصلات الزراعية المرتهنة لصالح البنك في مخازن مدينه الخاص ، وإنما يشترط أن تختم أبواب تلك المخازن بالشمع وان تعلق عليها بطريقة ظاهرة ألواح يثبت فيها اسم البنك .</w:t>
      </w:r>
    </w:p>
    <w:p w:rsidR="00F72742" w:rsidRDefault="00F72742" w:rsidP="00F72742">
      <w:pPr>
        <w:widowControl w:val="0"/>
        <w:spacing w:after="120"/>
        <w:ind w:firstLine="567"/>
        <w:jc w:val="lowKashida"/>
        <w:rPr>
          <w:rFonts w:cs="Traditional Arabic" w:hint="cs"/>
          <w:sz w:val="28"/>
          <w:szCs w:val="32"/>
          <w:rtl/>
        </w:rPr>
      </w:pP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$904</w:t>
      </w:r>
    </w:p>
    <w:p w:rsidR="00F72742" w:rsidRPr="00197340" w:rsidRDefault="00F72742" w:rsidP="00F72742">
      <w:pPr>
        <w:widowControl w:val="0"/>
        <w:spacing w:after="120"/>
        <w:jc w:val="center"/>
        <w:rPr>
          <w:rFonts w:cs="Traditional Arabic" w:hint="cs"/>
          <w:b/>
          <w:bCs/>
          <w:sz w:val="44"/>
          <w:szCs w:val="44"/>
          <w:rtl/>
        </w:rPr>
      </w:pPr>
      <w:r w:rsidRPr="00197340">
        <w:rPr>
          <w:rFonts w:cs="Traditional Arabic" w:hint="cs"/>
          <w:b/>
          <w:bCs/>
          <w:sz w:val="44"/>
          <w:szCs w:val="44"/>
          <w:rtl/>
        </w:rPr>
        <w:t>المبحث الثالث</w:t>
      </w:r>
    </w:p>
    <w:p w:rsidR="00F72742" w:rsidRPr="00197340" w:rsidRDefault="00F72742" w:rsidP="00F72742">
      <w:pPr>
        <w:widowControl w:val="0"/>
        <w:spacing w:after="120"/>
        <w:jc w:val="center"/>
        <w:rPr>
          <w:rFonts w:cs="Traditional Arabic" w:hint="cs"/>
          <w:b/>
          <w:bCs/>
          <w:sz w:val="28"/>
          <w:szCs w:val="32"/>
          <w:rtl/>
        </w:rPr>
      </w:pPr>
      <w:r w:rsidRPr="00197340">
        <w:rPr>
          <w:rFonts w:cs="Traditional Arabic" w:hint="cs"/>
          <w:b/>
          <w:bCs/>
          <w:sz w:val="28"/>
          <w:szCs w:val="32"/>
          <w:rtl/>
        </w:rPr>
        <w:t>رهن الدين</w:t>
      </w:r>
    </w:p>
    <w:p w:rsidR="00F72742" w:rsidRPr="00A815D6"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649- المواد الخاصة برهن الدين : </w:t>
      </w:r>
      <w:r>
        <w:rPr>
          <w:rFonts w:cs="Traditional Arabic" w:hint="cs"/>
          <w:sz w:val="28"/>
          <w:szCs w:val="32"/>
          <w:rtl/>
        </w:rPr>
        <w:t xml:space="preserve">أورد المشرع سبع مواد خاصة برهن الدين ، نخصص لكل </w:t>
      </w:r>
      <w:r>
        <w:rPr>
          <w:rFonts w:cs="Traditional Arabic" w:hint="cs"/>
          <w:sz w:val="28"/>
          <w:szCs w:val="32"/>
          <w:rtl/>
        </w:rPr>
        <w:lastRenderedPageBreak/>
        <w:t>منها فقرة ، وهذه هي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م 1123 وهي خاصة بنفاذ رهن الدين في حق المدين وفي حق الغير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م 1124 وهي خاصة برن السندات الاسمية والسندات الاذنية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م 1125 وهي خاصة بعدم جواز رهن الدين غير القابل للحوالة أو للحجز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4- م 1126 وهي خاصة بحقوق والتزامات الدائن المرتهن للدين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5- م 1127 وهي خاصة بدفوع المدين في الدين المرهون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6- م 1128 وهي خاصة بحلول الدين المرهون قبل حول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7- م 1129 وهي خاصة بحلول الدين المرهون وحلول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650 نفاذ رهن الدين في حق المدين وفي حق الغير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وقد نصت المادة 1123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لا يكون رهن الدين نافذاً في حق المدين إلا بإعلان هذا الرهن إليه ، أو بقبوله له ، وفقاً للمادة 305"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ولا يكون نافذاً في حق الغير إلا بحيازة المرتهن لسند الدين $905 المرهون ، وتحسب للرهن </w:t>
      </w:r>
      <w:r>
        <w:rPr>
          <w:rFonts w:cs="Traditional Arabic" w:hint="cs"/>
          <w:sz w:val="28"/>
          <w:szCs w:val="32"/>
          <w:rtl/>
        </w:rPr>
        <w:lastRenderedPageBreak/>
        <w:t>مرتبته من التاريخ الثابت للإعلان أو القبول"</w:t>
      </w:r>
      <w:r>
        <w:rPr>
          <w:rFonts w:cs="Traditional Arabic" w:hint="cs"/>
          <w:sz w:val="28"/>
          <w:szCs w:val="32"/>
          <w:vertAlign w:val="superscript"/>
          <w:rtl/>
        </w:rPr>
        <w:t xml:space="preserve">( </w:t>
      </w:r>
      <w:r w:rsidRPr="00EC737F">
        <w:rPr>
          <w:rStyle w:val="ab"/>
          <w:rFonts w:cs="Traditional Arabic"/>
          <w:sz w:val="28"/>
          <w:szCs w:val="32"/>
          <w:rtl/>
        </w:rPr>
        <w:footnoteReference w:id="1701"/>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مذكرة المروع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"يقع الرهن الحيازي على الدين باعتباره منقولا ، غير أن الرهن في هذه الحالة تتحور بعض أحكامه بما يتفق مع طبيعة الدين . فمن ناحية انعقاد الرهن ونفاذه يكون رهن الدين بإيجاب وقبول من الراهن والمرتهن ، ولكنه لا ينفذ في حق المدين للراهن إلا بإعلانه أو قبوله كما هو الأمر في حوالة $906 الدين . </w:t>
      </w:r>
      <w:r>
        <w:rPr>
          <w:rFonts w:cs="Traditional Arabic" w:hint="cs"/>
          <w:sz w:val="28"/>
          <w:szCs w:val="32"/>
          <w:rtl/>
        </w:rPr>
        <w:lastRenderedPageBreak/>
        <w:t>ولا يكون الرهن نافذاً في حق الغير إلا بحيازة المرتهن للدين ، ويكون ذلك بحيازة سند الدين . وتحسب مرتبة الرهن بالتاريخ الثابت للإعلان أو القبول . . . وتعتبر السندات لحاملها كالمنقولات المادية ، وتجري عليها أحكام هذه المنقولات"</w:t>
      </w:r>
      <w:r>
        <w:rPr>
          <w:rFonts w:cs="Traditional Arabic" w:hint="cs"/>
          <w:sz w:val="28"/>
          <w:szCs w:val="32"/>
          <w:vertAlign w:val="superscript"/>
          <w:rtl/>
        </w:rPr>
        <w:t xml:space="preserve">( </w:t>
      </w:r>
      <w:r w:rsidRPr="00EC737F">
        <w:rPr>
          <w:rStyle w:val="ab"/>
          <w:rFonts w:cs="Traditional Arabic"/>
          <w:sz w:val="28"/>
          <w:szCs w:val="32"/>
          <w:rtl/>
        </w:rPr>
        <w:footnoteReference w:id="170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ويتبن من النص سالف الذكر أن رهن الدين يجب أن يكون نافذاً في حق المدين في الدين المرهون ، ويكون ذلك بإعلان الرهن إليه أو بقبوله إياه كما في حوالة الدين . ويكون للإعلان أو للقبول تاريخ ثابت ، إذ هذا التاريخ الثابت يحدد للرهن مرتبته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ويجب أيضاً أن يكون نافذاً في حق الغير ، ويكون ذلك بحيازة الدائن المرتهن لسند الدين ، فالدين غير المكتوب في سند لا يجوز رهنه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وتعتبر السندات لحاملها بمثابة المنقولات المادية ، فتداولها يحصل بتسليمها فلا يشترط في رهنها شرط غير تسليم السند</w:t>
      </w:r>
      <w:r>
        <w:rPr>
          <w:rFonts w:cs="Traditional Arabic" w:hint="cs"/>
          <w:sz w:val="28"/>
          <w:szCs w:val="32"/>
          <w:vertAlign w:val="superscript"/>
          <w:rtl/>
        </w:rPr>
        <w:t xml:space="preserve">( </w:t>
      </w:r>
      <w:r w:rsidRPr="00EC737F">
        <w:rPr>
          <w:rStyle w:val="ab"/>
          <w:rFonts w:cs="Traditional Arabic"/>
          <w:sz w:val="28"/>
          <w:szCs w:val="32"/>
          <w:rtl/>
        </w:rPr>
        <w:footnoteReference w:id="1703"/>
      </w:r>
      <w:r>
        <w:rPr>
          <w:rFonts w:cs="Traditional Arabic" w:hint="cs"/>
          <w:sz w:val="28"/>
          <w:szCs w:val="32"/>
          <w:vertAlign w:val="superscript"/>
          <w:rtl/>
        </w:rPr>
        <w:t xml:space="preserve"> )</w:t>
      </w:r>
      <w:r>
        <w:rPr>
          <w:rFonts w:cs="Traditional Arabic" w:hint="cs"/>
          <w:sz w:val="28"/>
          <w:szCs w:val="32"/>
          <w:rtl/>
        </w:rPr>
        <w:t xml:space="preserve"> . وعلى ذلك يجب ، لنفاذ رهنا في حق الغير ، إلى جانب انتقال الحيازة ، أن يدون الرهن في ورقة ثابتة التاريخ يبين فيها الحق المضمون بالرهن والمال المرهون بياناً كافياً ( م 1117 )</w:t>
      </w:r>
      <w:r>
        <w:rPr>
          <w:rFonts w:cs="Traditional Arabic" w:hint="cs"/>
          <w:sz w:val="28"/>
          <w:szCs w:val="32"/>
          <w:vertAlign w:val="superscript"/>
          <w:rtl/>
        </w:rPr>
        <w:t xml:space="preserve">( </w:t>
      </w:r>
      <w:r w:rsidRPr="00EC737F">
        <w:rPr>
          <w:rStyle w:val="ab"/>
          <w:rFonts w:cs="Traditional Arabic"/>
          <w:sz w:val="28"/>
          <w:szCs w:val="32"/>
          <w:rtl/>
        </w:rPr>
        <w:footnoteReference w:id="170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651- رهن السندات الاسمية والسندات الإذنية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وقد نصت المادة 1124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"السندات الاسمية والسندات الاذنية يتم رهنها بالطريقة الخاصة التي رسمها القانون لحوالة هذه السندات ، على أن يذكر أن الحوالة قد تمت على $907 سبيل الرهن ويتم الرهن دون حاجة إلى إعلان"</w:t>
      </w:r>
      <w:r>
        <w:rPr>
          <w:rFonts w:cs="Traditional Arabic" w:hint="cs"/>
          <w:sz w:val="28"/>
          <w:szCs w:val="32"/>
          <w:vertAlign w:val="superscript"/>
          <w:rtl/>
        </w:rPr>
        <w:t xml:space="preserve">( </w:t>
      </w:r>
      <w:r w:rsidRPr="00EC737F">
        <w:rPr>
          <w:rStyle w:val="ab"/>
          <w:rFonts w:cs="Traditional Arabic"/>
          <w:sz w:val="28"/>
          <w:szCs w:val="32"/>
          <w:rtl/>
        </w:rPr>
        <w:footnoteReference w:id="170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مذكرة المشروع التمهيد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"أما في السندات الاسمية والسندات الاذنية ، فإن الرهن يتم بالطريقة الخاصة لحوالة هذه السندات ، أي بالقيد في سجلات الشركة للسندات الاسمية والتظهير للسندات الاذنية ، على أن يذكر أن الحوالة تمت على سبيل الرهن"</w:t>
      </w:r>
      <w:r>
        <w:rPr>
          <w:rFonts w:cs="Traditional Arabic" w:hint="cs"/>
          <w:sz w:val="28"/>
          <w:szCs w:val="32"/>
          <w:vertAlign w:val="superscript"/>
          <w:rtl/>
        </w:rPr>
        <w:t xml:space="preserve">( </w:t>
      </w:r>
      <w:r w:rsidRPr="00EC737F">
        <w:rPr>
          <w:rStyle w:val="ab"/>
          <w:rFonts w:cs="Traditional Arabic"/>
          <w:sz w:val="28"/>
          <w:szCs w:val="32"/>
          <w:rtl/>
        </w:rPr>
        <w:footnoteReference w:id="170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والنص السالف الذكر يتكلم في رهن السندات الاسمية والسندات الاذنية ، فيجعل رهنها كحوالتها بالقيد في سجلات الشركة في السندات الاسمية وبالتظهير في السندات الاذنية ، على أن يذكر في الحالتين أن الحالة قد تمت على $908 سبيل الرهن . فيتم الرهن بذلك ، دون حاجة إلى إعلان المدين في هذه السندات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lastRenderedPageBreak/>
        <w:t xml:space="preserve">652- عدم جواز رهن الدين غير القابل للحوالة أو للحجز </w:t>
      </w:r>
      <w:r>
        <w:rPr>
          <w:rFonts w:cs="Traditional Arabic"/>
          <w:b/>
          <w:bCs/>
          <w:sz w:val="28"/>
          <w:szCs w:val="32"/>
          <w:rtl/>
        </w:rPr>
        <w:t>–</w:t>
      </w:r>
      <w:r>
        <w:rPr>
          <w:rFonts w:cs="Traditional Arabic" w:hint="cs"/>
          <w:b/>
          <w:bCs/>
          <w:sz w:val="28"/>
          <w:szCs w:val="32"/>
          <w:rtl/>
        </w:rPr>
        <w:t xml:space="preserve"> نص قانوني :</w:t>
      </w:r>
      <w:r>
        <w:rPr>
          <w:rFonts w:cs="Traditional Arabic" w:hint="cs"/>
          <w:sz w:val="28"/>
          <w:szCs w:val="32"/>
          <w:rtl/>
        </w:rPr>
        <w:t xml:space="preserve"> وقد نصت المادة 1125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كان الدين غير قابل للحوالة أو للحجز ، فلا يجوز رهنه"</w:t>
      </w:r>
      <w:r>
        <w:rPr>
          <w:rFonts w:cs="Traditional Arabic" w:hint="cs"/>
          <w:sz w:val="28"/>
          <w:szCs w:val="32"/>
          <w:vertAlign w:val="superscript"/>
          <w:rtl/>
        </w:rPr>
        <w:t xml:space="preserve">( </w:t>
      </w:r>
      <w:r w:rsidRPr="00EC737F">
        <w:rPr>
          <w:rStyle w:val="ab"/>
          <w:rFonts w:cs="Traditional Arabic"/>
          <w:sz w:val="28"/>
          <w:szCs w:val="32"/>
          <w:rtl/>
        </w:rPr>
        <w:footnoteReference w:id="1707"/>
      </w:r>
      <w:r>
        <w:rPr>
          <w:rFonts w:cs="Traditional Arabic" w:hint="cs"/>
          <w:sz w:val="28"/>
          <w:szCs w:val="32"/>
          <w:vertAlign w:val="superscript"/>
          <w:rtl/>
        </w:rPr>
        <w:t xml:space="preserve"> )</w:t>
      </w:r>
      <w:r>
        <w:rPr>
          <w:rFonts w:cs="Traditional Arabic" w:hint="cs"/>
          <w:sz w:val="28"/>
          <w:szCs w:val="32"/>
          <w:rtl/>
        </w:rPr>
        <w:t xml:space="preserve">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"ويشترط في الدين حتى يمكن رهنه أن يكون قابلا للحوالة وللحجز ، فلا يجوز الرهن في دين النفقة ولا المعاش ولا الديون الأخرى التي لا يجوز للحجز عيها"</w:t>
      </w:r>
      <w:r>
        <w:rPr>
          <w:rFonts w:cs="Traditional Arabic" w:hint="cs"/>
          <w:sz w:val="28"/>
          <w:szCs w:val="32"/>
          <w:vertAlign w:val="superscript"/>
          <w:rtl/>
        </w:rPr>
        <w:t xml:space="preserve">( </w:t>
      </w:r>
      <w:r w:rsidRPr="00EC737F">
        <w:rPr>
          <w:rStyle w:val="ab"/>
          <w:rFonts w:cs="Traditional Arabic"/>
          <w:sz w:val="28"/>
          <w:szCs w:val="32"/>
          <w:rtl/>
        </w:rPr>
        <w:footnoteReference w:id="1708"/>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ويتبين من النص سالف الذكر أن الدين حتى يجوز رهنه يجب أن يكون قابلا للحج عليه ولحوالته ، حتى يمكن التنفيذ عليه إذا ما 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$909 فادين غير القابل للحز عليه ، أو غير القابل للحوالة ، لا يجو رهنه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وعلى ذلك لا يكون جائزاً رهنه دين النفقة ولا يدن المعاش ، لأن هذين الدينين لا يجوز الحجز </w:t>
      </w:r>
      <w:r>
        <w:rPr>
          <w:rFonts w:cs="Traditional Arabic" w:hint="cs"/>
          <w:sz w:val="28"/>
          <w:szCs w:val="32"/>
          <w:rtl/>
        </w:rPr>
        <w:lastRenderedPageBreak/>
        <w:t>عليهما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وقد كان المشروع التمهيدي يتضمن نص المادة 1567 ، وكانت تجري على الوجه الآتي : "الدين المرهون لا يجوز أن ينقضي بالاتفاق إلا إذا قبل الدائن المرتهن ، وكذلك الأمر في كل تعديل يتناول هذا الدين ويكون من شأنه أن يضر بحق الرهن" . فالاتفاق على انقضاء الدين المرهون ، والنزول عنه ، وتخفيض قيمته بحيث يصبح أقل من الدين المضمون بالرهن ، كل هذا لا يجوز إلا بقبول الدائن المرتهن . وهذا الحكم واضح وتمليه القواعد العامة ، لذلك لما عرض هذا النص على لجنة المراجعة ، حذفته اللجنة اكتفاء بالقواعد العامة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ومما جاء في مذكرة المشروع التمهيدي ، في خصوص هذا النص المحذوف ، ما يأتي : "ويخالف الضمان 0ضمان الرهن للدين ) أن ينهي الراهن الدين المرهون بدون موافقة المرتهن ، كأن يبرئ المدين أو يجدد الدين أو يدخل أي تعديل فيه من شأنه أن يضر بحقوق المرتهن كأن يتنازل عن الفوائد أو ينقص منها أو يمد الأجل أو يتنازل عن رهن يضمن الدين المرهون"</w:t>
      </w:r>
      <w:r>
        <w:rPr>
          <w:rFonts w:cs="Traditional Arabic" w:hint="cs"/>
          <w:sz w:val="28"/>
          <w:szCs w:val="32"/>
          <w:vertAlign w:val="superscript"/>
          <w:rtl/>
        </w:rPr>
        <w:t xml:space="preserve">( </w:t>
      </w:r>
      <w:r w:rsidRPr="00EC737F">
        <w:rPr>
          <w:rStyle w:val="ab"/>
          <w:rFonts w:cs="Traditional Arabic"/>
          <w:sz w:val="28"/>
          <w:szCs w:val="32"/>
          <w:rtl/>
        </w:rPr>
        <w:footnoteReference w:id="1709"/>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653- حقوق والتزامات الدائن المرتهن للدين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وقد نصت المادة 1126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للدائن المرتهن أن يستولي على الفوائد المستحقة عن الدين المرهون والتي تحل بعد الرهن ، وكذلك له أن يستولي على كل الاستحقاقات الدورية التي لهذا الدين ، على أن يخصم ما يستولي عليه من المصروفات ثم من الفوائد ثم من أصل الدين المضمون بالرهن ، كل هذا ما لم يتفق علي غيره"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$910 "2- ويلتزم الدائن المرتهن بالمحافظة على الدين المرهون ، فإذا كان له أن يقتضي شيئاً من هذا الدين دون تدخل من الراهن ، كان عليه أن يقتضيه في الزمان والمكان المعينين للاستيفاء وأن يبادر بإخطار الراهن بذلك"</w:t>
      </w:r>
      <w:r>
        <w:rPr>
          <w:rFonts w:cs="Traditional Arabic" w:hint="cs"/>
          <w:sz w:val="28"/>
          <w:szCs w:val="32"/>
          <w:vertAlign w:val="superscript"/>
          <w:rtl/>
        </w:rPr>
        <w:t xml:space="preserve">( </w:t>
      </w:r>
      <w:r w:rsidRPr="00EC737F">
        <w:rPr>
          <w:rStyle w:val="ab"/>
          <w:rFonts w:cs="Traditional Arabic"/>
          <w:sz w:val="28"/>
          <w:szCs w:val="32"/>
          <w:rtl/>
        </w:rPr>
        <w:footnoteReference w:id="1710"/>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sidRPr="003D73D1">
        <w:rPr>
          <w:rFonts w:cs="Traditional Arabic" w:hint="cs"/>
          <w:sz w:val="28"/>
          <w:szCs w:val="32"/>
          <w:rtl/>
        </w:rPr>
        <w:lastRenderedPageBreak/>
        <w:t xml:space="preserve">$911 وقد جاء في مذكرة </w:t>
      </w:r>
      <w:r>
        <w:rPr>
          <w:rFonts w:cs="Traditional Arabic" w:hint="cs"/>
          <w:sz w:val="28"/>
          <w:szCs w:val="32"/>
          <w:rtl/>
        </w:rPr>
        <w:t>المروع التمهيدين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"التزامات الراهن والمرتهن في رهن الدين هي نفس التزاماتهما في رهن الأشياء الأخرى . فيجب على الراهن أن يسلم سند الدين ، وأن يرتب حق الرهن ، وأن يضمنه  . . . ويلزم المرتهن أن يحافظ على الدين ، فيقطع التقادم ، ويقيد رهناً يضمن الدين المرهون ويجدد القيد ، ويقتضي الدين في الزمان والمكان المحددين ويبادر بإخطار الراهن بذلك . وللمرتهن أن يقبض غلة الدين ، فستولي على الفوائد التي تحل بعد </w:t>
      </w:r>
      <w:r>
        <w:rPr>
          <w:rFonts w:cs="Traditional Arabic" w:hint="cs"/>
          <w:sz w:val="28"/>
          <w:szCs w:val="32"/>
          <w:rtl/>
        </w:rPr>
        <w:lastRenderedPageBreak/>
        <w:t>الرهن وعلى كل الاستحقاقات الدورية الأخرى ، ويخصم ذلك مما هو مستحق له بالترتيب الذي تقدم ذكره . ويلزم المرتهن أيضاً برد الدين ( أو سنده إذا كان لم يحل بعد استياء حقه )</w:t>
      </w:r>
      <w:r w:rsidRPr="00297590">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711"/>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النص سالف الذكر أن على الراهن والمرتهن ، في رهن الدين ، نفس الالتزامات التي على الراهن والمرتهن في الأشياء الأخرى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فعلى الراهن أن يسلم سند الدين ، وأن يرتب حق الراهن وأن يضمنه . وعلى المرتهن أن يحافظ على الدين ، فيقطع تقادمه ، وأن يقتضي الدين في الزمان والمكان المحددين وأن يبادر إلى إخطار الراهن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كانت هناك فوائد أو استحقاقات دورية مستحقة على الدين ، بادر الدائن المرتهن إلى الاستيلاء عليها ، وخصمها من المصروفات ، ثم من الفوائد ، ثم من أصل الدين الذي له ، ما لم يتفق على غير 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ثم على الدائن المرتهن أن يحافظ على الدين المرهون ، وإذا كان له أن يقتضي منه شيئاً اقتضاه في الزمان والمكان المحددين ، وبادر إلى إخطار الراهن بذلك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$912 </w:t>
      </w:r>
      <w:r>
        <w:rPr>
          <w:rFonts w:cs="Traditional Arabic" w:hint="cs"/>
          <w:b/>
          <w:bCs/>
          <w:sz w:val="28"/>
          <w:szCs w:val="32"/>
          <w:rtl/>
        </w:rPr>
        <w:t xml:space="preserve">654- دفوع المدين في الدين المرهون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ونصت المادة 1127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"يجوز للمدين في الدين المرهون أن يتمسك قبل الدائن المرتهن بأوجه الدفع المتعلقة بصحة الحق المضمون بالرهن ، وكذلك بأوجه الدفع التي كون له قبل دائنه الأصلي ، كل ذلك بقادر الذي يجوز فيه للمدين في حالة الحوالة أن يتمسك بهذه الدفوع قبل المحال إليه"</w:t>
      </w:r>
      <w:r>
        <w:rPr>
          <w:rFonts w:cs="Traditional Arabic" w:hint="cs"/>
          <w:sz w:val="28"/>
          <w:szCs w:val="32"/>
          <w:vertAlign w:val="superscript"/>
          <w:rtl/>
        </w:rPr>
        <w:t xml:space="preserve">( </w:t>
      </w:r>
      <w:r w:rsidRPr="00EC737F">
        <w:rPr>
          <w:rStyle w:val="ab"/>
          <w:rFonts w:cs="Traditional Arabic"/>
          <w:sz w:val="28"/>
          <w:szCs w:val="32"/>
          <w:rtl/>
        </w:rPr>
        <w:footnoteReference w:id="1712"/>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وقد 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للمدين في الدين المرهون أن يتمسك قبل الدائن المرتهن بأوجه الدفع المتعلقة بصحة لاحق المضمون بالرهن . فلو كمان العقد الذي نشأ عنه $913 هذا الحق باطلا كان الرهن باطلا كذلك ، وللمدين أن يتمسك بالبطلان قبل الدائن المرتهن . وكذلك لو كان هذا لاحق قد انقضى بأي سبب من أسباب انقضاء الحقوق ، فللمدين أن يتمسك قبل الدائن المرتهن بأن الحق المضمون بالرهن نفسه قد انقضى تبعاً لانقضاء الحق . وهذا تطبيق للقاعدة التي تقضي بأن المدين في الحوالة يجوز له أن يحتج بالدفوع الخاصة بالمحال إليه وحده ( م 439 من المشروع )"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وللمدين في الدين المرهون كذلك أن يتمسك قبل الدائن المرتهن بأوجه الدفع التي ليه قبل الدائن الأصلي . فلو كان العقد الذي نشأ عنه الدين المرهون باطلا ، كان للمدين أن يتمسك بهذا البطلان قبل الدائن المرتهن بالقدر الذي يجوز له قبل الدائن الأصلي . وكذلك لو كان الدين المرهون قد </w:t>
      </w:r>
      <w:r>
        <w:rPr>
          <w:rFonts w:cs="Traditional Arabic" w:hint="cs"/>
          <w:sz w:val="28"/>
          <w:szCs w:val="32"/>
          <w:rtl/>
        </w:rPr>
        <w:lastRenderedPageBreak/>
        <w:t xml:space="preserve">انقضى ، فللمدين أن يتمسك بالانقضاء قبل الدائن المرتهن بالقدر الذي يجوز له قبل الدائن الأصلي . وهذا أيضاً تطبيق للقاعدة التي تقضي بأن المدين في الحوالة يجوز أن يحتج على المحال إليه بالدفوع التي له </w:t>
      </w:r>
      <w:r>
        <w:rPr>
          <w:rFonts w:cs="Traditional Arabic"/>
          <w:sz w:val="28"/>
          <w:szCs w:val="32"/>
          <w:rtl/>
        </w:rPr>
        <w:t>–</w:t>
      </w:r>
      <w:r>
        <w:rPr>
          <w:rFonts w:cs="Traditional Arabic" w:hint="cs"/>
          <w:sz w:val="28"/>
          <w:szCs w:val="32"/>
          <w:rtl/>
        </w:rPr>
        <w:t xml:space="preserve"> وقت نفاذ الحوالة في حقه </w:t>
      </w:r>
      <w:r>
        <w:rPr>
          <w:rFonts w:cs="Traditional Arabic"/>
          <w:sz w:val="28"/>
          <w:szCs w:val="32"/>
          <w:rtl/>
        </w:rPr>
        <w:t>–</w:t>
      </w:r>
      <w:r>
        <w:rPr>
          <w:rFonts w:cs="Traditional Arabic" w:hint="cs"/>
          <w:sz w:val="28"/>
          <w:szCs w:val="32"/>
          <w:rtl/>
        </w:rPr>
        <w:t xml:space="preserve"> أن يحتج بها على المحيل ( م 439 من المشروع )"</w:t>
      </w:r>
      <w:r w:rsidRPr="000E279E">
        <w:rPr>
          <w:rFonts w:cs="Traditional Arabic" w:hint="cs"/>
          <w:sz w:val="28"/>
          <w:szCs w:val="32"/>
          <w:vertAlign w:val="superscript"/>
          <w:rtl/>
        </w:rPr>
        <w:t xml:space="preserve"> </w:t>
      </w:r>
      <w:r>
        <w:rPr>
          <w:rFonts w:cs="Traditional Arabic" w:hint="cs"/>
          <w:sz w:val="28"/>
          <w:szCs w:val="32"/>
          <w:vertAlign w:val="superscript"/>
          <w:rtl/>
        </w:rPr>
        <w:t xml:space="preserve">( </w:t>
      </w:r>
      <w:r w:rsidRPr="00EC737F">
        <w:rPr>
          <w:rStyle w:val="ab"/>
          <w:rFonts w:cs="Traditional Arabic"/>
          <w:sz w:val="28"/>
          <w:szCs w:val="32"/>
          <w:rtl/>
        </w:rPr>
        <w:footnoteReference w:id="1713"/>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ويؤخذ من كل ذلك أن المدين في الدين المرهون له أن يتمسك بنوعين من الدفوع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الدفوع المتعلقة بالحق المضمنون بالرهن ، فلو كان هذا الحق قد نشأ من عقد باطل ، أو كان قد انقضىن فللمدين أن يتمسك بكل ذلك قبل الدائن المرتهن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الدفوع المتعلقة بالدين المرهون نفسه ، فلو كان هذا الدين قد نشأ من عقد باطل ، أو كان قد انقضى ، فللمدين أن يتمسك بكل ذلك قبل الدائن المرتهن .</w:t>
      </w:r>
    </w:p>
    <w:p w:rsidR="00F72742" w:rsidRDefault="00F72742" w:rsidP="00F72742">
      <w:pPr>
        <w:widowControl w:val="0"/>
        <w:spacing w:after="120"/>
        <w:ind w:firstLine="567"/>
        <w:jc w:val="lowKashida"/>
        <w:rPr>
          <w:rFonts w:cs="Traditional Arabic" w:hint="cs"/>
          <w:b/>
          <w:bCs/>
          <w:sz w:val="28"/>
          <w:szCs w:val="32"/>
          <w:rtl/>
        </w:rPr>
      </w:pPr>
      <w:r>
        <w:rPr>
          <w:rFonts w:cs="Traditional Arabic" w:hint="cs"/>
          <w:b/>
          <w:bCs/>
          <w:sz w:val="28"/>
          <w:szCs w:val="32"/>
          <w:rtl/>
        </w:rPr>
        <w:t xml:space="preserve">655- حلول الدين المرهون قبل حلول الدين المضمون بالرهن </w:t>
      </w:r>
      <w:r>
        <w:rPr>
          <w:rFonts w:cs="Traditional Arabic"/>
          <w:b/>
          <w:bCs/>
          <w:sz w:val="28"/>
          <w:szCs w:val="32"/>
          <w:rtl/>
        </w:rPr>
        <w:t>–</w:t>
      </w:r>
      <w:r>
        <w:rPr>
          <w:rFonts w:cs="Traditional Arabic" w:hint="cs"/>
          <w:b/>
          <w:bCs/>
          <w:sz w:val="28"/>
          <w:szCs w:val="32"/>
          <w:rtl/>
        </w:rPr>
        <w:t xml:space="preserve"> نص قانوني : </w:t>
      </w:r>
      <w:r w:rsidRPr="002779BB">
        <w:rPr>
          <w:rFonts w:cs="Traditional Arabic" w:hint="cs"/>
          <w:sz w:val="28"/>
          <w:szCs w:val="32"/>
          <w:rtl/>
        </w:rPr>
        <w:t>وقد نص المادة 1128 مدني على ما يأتي</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$914 "1- إذا حل الدين المرهون قبل حلول الدين المضمون بالرهن ، فلا يجوز للمدين أن يوفي الدين إلا للمرتهن والراهن معاً ، ولكن من هذين أن يطلب إلى المدين إيداع ما يؤديه ، وينتقل حق الرهن إلى ما تم إيداعه"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"2- وعلى المرتهن والراهن أن يعاونا على استغلال ما أداه المدين ، وأن يكون ذلك على انفع الوجوه للراهن دن أن يكن فيه ضرر للدائن المرتهن ، مع المبادرة إلى إنشاء رهن جديد لمصلحة هذا الدائن"</w:t>
      </w:r>
      <w:r>
        <w:rPr>
          <w:rFonts w:cs="Traditional Arabic" w:hint="cs"/>
          <w:sz w:val="28"/>
          <w:szCs w:val="32"/>
          <w:vertAlign w:val="superscript"/>
          <w:rtl/>
        </w:rPr>
        <w:t xml:space="preserve">( </w:t>
      </w:r>
      <w:r w:rsidRPr="00EC737F">
        <w:rPr>
          <w:rStyle w:val="ab"/>
          <w:rFonts w:cs="Traditional Arabic"/>
          <w:sz w:val="28"/>
          <w:szCs w:val="32"/>
          <w:rtl/>
        </w:rPr>
        <w:footnoteReference w:id="1714"/>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حل الدين المرهون قبل حلول الحق المضمون ، فلا يقبض إلا الراهن والمرتهن معاً ، ولا يجوز للمرتهن أن يستغل بقبضة الحيازة لأن الحيازة لا تثبت إلا على دين في الذمة . ويجوز لأي منهما أن يطلب من المدين أن يودع $915 ما يؤديه عند أمين يتفقان عليه ويصح أن يكون أحدهما ، وينتقل حق الرهن إلى ما أداه المدين . فإن كان المودع مبلغاً من النقود ، وجب أن يتعاون الراهن والمرتهن في استغلاله على خير وجه ، دون أن يكون في ذلك ضرر بالدائن المرتهن كأن يستغل لآجال طويلة يصعب معها أن يصفي في الوقت الملائم لهذا الدائن . فإذا رؤى أن يكون الاستغلال بشراء عين ، وجب على الراهن أن ينشئ رهناً جديداً على هذا العين لمصلحة المرتهن"</w:t>
      </w:r>
      <w:r>
        <w:rPr>
          <w:rFonts w:cs="Traditional Arabic" w:hint="cs"/>
          <w:sz w:val="28"/>
          <w:szCs w:val="32"/>
          <w:vertAlign w:val="superscript"/>
          <w:rtl/>
        </w:rPr>
        <w:t xml:space="preserve">( </w:t>
      </w:r>
      <w:r w:rsidRPr="00EC737F">
        <w:rPr>
          <w:rStyle w:val="ab"/>
          <w:rFonts w:cs="Traditional Arabic"/>
          <w:sz w:val="28"/>
          <w:szCs w:val="32"/>
          <w:rtl/>
        </w:rPr>
        <w:footnoteReference w:id="1715"/>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ويتبين من النص سالف الذكر أنه إذا حل الدين المرهون ولم يحل الدين المضمون بالرهن ، فإن وفاء الدين المرهون يجب أن يكون للراهن والمرتهن معاً ، لأن الراهن هو صاحب الدين والمرتهن له حق رهن حيازة فيه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ولكل من الراهن والمرتهن أن يطلب من المدين إيداع الدين ، إما في خزانة المحكمة أو في مصرف أو عند أمين يتفق عليه الراهن والمرتهن ويصح أن يكون أحدهما ، وينتقل حق الرهن إلى ما تم إيداعه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وعلى الراهن والمرتهن أن يتعاونا على استغلال المبلغ الذي أداه المدين ، على خير وجه نافع للراهن ، دون أن يكون في ذلك ضرر بالمرتهن . فإذا رؤى أن يكون الاستغلال بشراء عين ، اشتريت العين ملكاً للراهن ، وبادر الراهن إلى رهن هذه العين إلى الدائن المرتهن رهن حيازة ، ويبقيان هكذا ، أحدها يملك عيناً ، والآخر يرتهنها ، إلى أن يصفيا مركزيهما عند حلول أجل الدين المضمون بالرهن .</w:t>
      </w:r>
    </w:p>
    <w:p w:rsidR="00F72742" w:rsidRDefault="00F72742" w:rsidP="00F72742">
      <w:pPr>
        <w:widowControl w:val="0"/>
        <w:spacing w:after="120"/>
        <w:ind w:firstLine="567"/>
        <w:jc w:val="lowKashida"/>
        <w:rPr>
          <w:rFonts w:cs="Traditional Arabic" w:hint="cs"/>
          <w:sz w:val="28"/>
          <w:szCs w:val="32"/>
          <w:rtl/>
        </w:rPr>
      </w:pPr>
      <w:r>
        <w:rPr>
          <w:rFonts w:cs="Traditional Arabic" w:hint="cs"/>
          <w:b/>
          <w:bCs/>
          <w:sz w:val="28"/>
          <w:szCs w:val="32"/>
          <w:rtl/>
        </w:rPr>
        <w:t xml:space="preserve">656- حلول الدين المرهون وحلول الدين المضمون بالرهن </w:t>
      </w:r>
      <w:r>
        <w:rPr>
          <w:rFonts w:cs="Traditional Arabic"/>
          <w:b/>
          <w:bCs/>
          <w:sz w:val="28"/>
          <w:szCs w:val="32"/>
          <w:rtl/>
        </w:rPr>
        <w:t>–</w:t>
      </w:r>
      <w:r>
        <w:rPr>
          <w:rFonts w:cs="Traditional Arabic" w:hint="cs"/>
          <w:b/>
          <w:bCs/>
          <w:sz w:val="28"/>
          <w:szCs w:val="32"/>
          <w:rtl/>
        </w:rPr>
        <w:t xml:space="preserve"> نص قانوني : </w:t>
      </w:r>
      <w:r>
        <w:rPr>
          <w:rFonts w:cs="Traditional Arabic" w:hint="cs"/>
          <w:sz w:val="28"/>
          <w:szCs w:val="32"/>
          <w:rtl/>
        </w:rPr>
        <w:t>وقد نصت 1129 مدني على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"إذا أصبح كل من الدين المرهون والدين المضمون بالرهن مستحق الأداء ، جاز للدائن المرتهن ، إذا لم يستوف حقه ، أن يقبض من الدين $916 المرهون ما يكون مستحقاً له ، أو أن يطلب مع بيع هذا الدين أو تملكه وفقاً للمادة 1121 الفقرة الثانية"</w:t>
      </w:r>
      <w:r>
        <w:rPr>
          <w:rFonts w:cs="Traditional Arabic" w:hint="cs"/>
          <w:sz w:val="28"/>
          <w:szCs w:val="32"/>
          <w:vertAlign w:val="superscript"/>
          <w:rtl/>
        </w:rPr>
        <w:t xml:space="preserve">( </w:t>
      </w:r>
      <w:r w:rsidRPr="00EC737F">
        <w:rPr>
          <w:rStyle w:val="ab"/>
          <w:rFonts w:cs="Traditional Arabic"/>
          <w:sz w:val="28"/>
          <w:szCs w:val="32"/>
          <w:rtl/>
        </w:rPr>
        <w:footnoteReference w:id="1716"/>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lastRenderedPageBreak/>
        <w:t>جاء في مذكرة المشروع التمهيدي ، في خصوص هذا النص ، ما يأتي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"وإذا حل الدين المرهون بعد حلول الحق المضمون ، فللمرتهن إذا لم يكن قد تقاضى حقه أن يتولى قبض الدين ، أو أن يبيعه ، أو أن يتملكه طبقاً للمادة 1562"</w:t>
      </w:r>
      <w:r>
        <w:rPr>
          <w:rFonts w:cs="Traditional Arabic" w:hint="cs"/>
          <w:sz w:val="28"/>
          <w:szCs w:val="32"/>
          <w:vertAlign w:val="superscript"/>
          <w:rtl/>
        </w:rPr>
        <w:t xml:space="preserve">( </w:t>
      </w:r>
      <w:r w:rsidRPr="00EC737F">
        <w:rPr>
          <w:rStyle w:val="ab"/>
          <w:rFonts w:cs="Traditional Arabic"/>
          <w:sz w:val="28"/>
          <w:szCs w:val="32"/>
          <w:rtl/>
        </w:rPr>
        <w:footnoteReference w:id="1717"/>
      </w:r>
      <w:r>
        <w:rPr>
          <w:rFonts w:cs="Traditional Arabic" w:hint="cs"/>
          <w:sz w:val="28"/>
          <w:szCs w:val="32"/>
          <w:vertAlign w:val="superscript"/>
          <w:rtl/>
        </w:rPr>
        <w:t xml:space="preserve"> )</w:t>
      </w:r>
      <w:r>
        <w:rPr>
          <w:rFonts w:cs="Traditional Arabic" w:hint="cs"/>
          <w:sz w:val="28"/>
          <w:szCs w:val="32"/>
          <w:rtl/>
        </w:rPr>
        <w:t xml:space="preserve">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$917 ويتبين من النص سالف الذكر أنه إذا أصبح كل من الدين المرهون والدين المضمون بالرهن مستحق الأداء ، ولم يستوف الدائن المرتهن حقه من الراهن ، فقد أصبح حقه والدين المرهون ، كل مهما ، مستحق الأداء ، فيستطيع الدائن المرتهن أن يستوي حقه بأحد الوجه الثلاثة الآتية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1- يقبض من الدين المرهون ما يكن مستحقاً له ، هذا إذا كان المستحق له والدين المرهون من جنس واحد .</w:t>
      </w:r>
    </w:p>
    <w:p w:rsidR="00F72742"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 xml:space="preserve">2- فإن لم يكون من جنس واحد ، فللدائن المرتهن أن يطلب بيع الدين المرهون ، حتى يستوفي </w:t>
      </w:r>
      <w:r>
        <w:rPr>
          <w:rFonts w:cs="Traditional Arabic" w:hint="cs"/>
          <w:sz w:val="28"/>
          <w:szCs w:val="32"/>
          <w:rtl/>
        </w:rPr>
        <w:lastRenderedPageBreak/>
        <w:t>حقه من ثمنه .</w:t>
      </w:r>
    </w:p>
    <w:p w:rsidR="00F72742" w:rsidRPr="00C24746" w:rsidRDefault="00F72742" w:rsidP="00F72742">
      <w:pPr>
        <w:widowControl w:val="0"/>
        <w:spacing w:after="120"/>
        <w:ind w:firstLine="567"/>
        <w:jc w:val="lowKashida"/>
        <w:rPr>
          <w:rFonts w:cs="Traditional Arabic" w:hint="cs"/>
          <w:sz w:val="28"/>
          <w:szCs w:val="32"/>
          <w:rtl/>
        </w:rPr>
      </w:pPr>
      <w:r>
        <w:rPr>
          <w:rFonts w:cs="Traditional Arabic" w:hint="cs"/>
          <w:sz w:val="28"/>
          <w:szCs w:val="32"/>
          <w:rtl/>
        </w:rPr>
        <w:t>3- أو يطلب تملك الدين المرهون وفقا للمادة 1121/2 ، على أن يحسب عليه بحسب تقدير الخبراء . وقد نصت المادة 1121/2 على ما يأتي : "ويجوز له أيضاً أن يطلب من القاضي أن يأمر بتمليكه الشيء وفاء للدين ، على أن يحسب عليه بقيمته بحسب تقدير الخبراء" .</w:t>
      </w:r>
    </w:p>
    <w:p w:rsidR="00F72742" w:rsidRPr="007C3EC7" w:rsidRDefault="00F72742" w:rsidP="00F72742">
      <w:pPr>
        <w:widowControl w:val="0"/>
        <w:spacing w:after="120"/>
        <w:ind w:firstLine="567"/>
        <w:jc w:val="lowKashida"/>
        <w:rPr>
          <w:rFonts w:cs="Traditional Arabic" w:hint="cs"/>
          <w:color w:val="000000"/>
          <w:sz w:val="28"/>
          <w:szCs w:val="32"/>
          <w:rtl/>
        </w:rPr>
      </w:pPr>
      <w:r>
        <w:rPr>
          <w:color w:val="000000"/>
          <w:rtl/>
        </w:rPr>
        <w:br w:type="page"/>
      </w:r>
      <w:r w:rsidRPr="007C3EC7">
        <w:rPr>
          <w:rFonts w:cs="Traditional Arabic" w:hint="cs"/>
          <w:color w:val="000000"/>
          <w:sz w:val="28"/>
          <w:szCs w:val="32"/>
          <w:rtl/>
        </w:rPr>
        <w:lastRenderedPageBreak/>
        <w:t>$918</w:t>
      </w:r>
    </w:p>
    <w:p w:rsidR="00F72742" w:rsidRPr="007C3EC7" w:rsidRDefault="00F72742" w:rsidP="00F72742">
      <w:pPr>
        <w:widowControl w:val="0"/>
        <w:spacing w:after="120"/>
        <w:ind w:firstLine="567"/>
        <w:jc w:val="center"/>
        <w:rPr>
          <w:rFonts w:cs="Traditional Arabic" w:hint="cs"/>
          <w:b/>
          <w:bCs/>
          <w:color w:val="000000"/>
          <w:sz w:val="72"/>
          <w:szCs w:val="72"/>
          <w:rtl/>
        </w:rPr>
      </w:pPr>
      <w:r w:rsidRPr="007C3EC7">
        <w:rPr>
          <w:rFonts w:cs="Traditional Arabic" w:hint="cs"/>
          <w:b/>
          <w:bCs/>
          <w:color w:val="000000"/>
          <w:sz w:val="72"/>
          <w:szCs w:val="72"/>
          <w:rtl/>
        </w:rPr>
        <w:t>الباب الرابع</w:t>
      </w:r>
    </w:p>
    <w:p w:rsidR="00F72742" w:rsidRPr="007C3EC7" w:rsidRDefault="00F72742" w:rsidP="00F72742">
      <w:pPr>
        <w:widowControl w:val="0"/>
        <w:spacing w:after="120"/>
        <w:ind w:firstLine="567"/>
        <w:jc w:val="center"/>
        <w:rPr>
          <w:rFonts w:cs="Traditional Arabic" w:hint="cs"/>
          <w:b/>
          <w:bCs/>
          <w:color w:val="000000"/>
          <w:sz w:val="52"/>
          <w:szCs w:val="52"/>
          <w:rtl/>
        </w:rPr>
      </w:pPr>
      <w:r w:rsidRPr="007C3EC7">
        <w:rPr>
          <w:rFonts w:cs="Traditional Arabic" w:hint="cs"/>
          <w:b/>
          <w:bCs/>
          <w:color w:val="000000"/>
          <w:sz w:val="52"/>
          <w:szCs w:val="52"/>
          <w:rtl/>
        </w:rPr>
        <w:t>حقوق الامتياز</w:t>
      </w:r>
    </w:p>
    <w:p w:rsidR="00F72742" w:rsidRPr="007C3EC7" w:rsidRDefault="00F72742" w:rsidP="00F72742">
      <w:pPr>
        <w:widowControl w:val="0"/>
        <w:spacing w:after="120"/>
        <w:ind w:firstLine="567"/>
        <w:jc w:val="center"/>
        <w:rPr>
          <w:rFonts w:cs="Traditional Arabic" w:hint="cs"/>
          <w:b/>
          <w:bCs/>
          <w:color w:val="000000"/>
          <w:sz w:val="28"/>
          <w:szCs w:val="32"/>
          <w:rtl/>
        </w:rPr>
      </w:pPr>
      <w:r w:rsidRPr="007C3EC7">
        <w:rPr>
          <w:rFonts w:cs="Traditional Arabic" w:hint="cs"/>
          <w:b/>
          <w:bCs/>
          <w:color w:val="000000"/>
          <w:sz w:val="28"/>
          <w:szCs w:val="32"/>
          <w:rtl/>
        </w:rPr>
        <w:t>ــــ</w:t>
      </w:r>
    </w:p>
    <w:p w:rsidR="00F72742" w:rsidRPr="007C3EC7" w:rsidRDefault="00F72742" w:rsidP="00F72742">
      <w:pPr>
        <w:widowControl w:val="0"/>
        <w:spacing w:after="120"/>
        <w:ind w:firstLine="567"/>
        <w:jc w:val="center"/>
        <w:rPr>
          <w:rFonts w:cs="Traditional Arabic" w:hint="cs"/>
          <w:b/>
          <w:bCs/>
          <w:color w:val="000000"/>
          <w:sz w:val="52"/>
          <w:szCs w:val="52"/>
          <w:rtl/>
        </w:rPr>
      </w:pPr>
      <w:r w:rsidRPr="007C3EC7">
        <w:rPr>
          <w:rFonts w:cs="Traditional Arabic" w:hint="cs"/>
          <w:b/>
          <w:bCs/>
          <w:color w:val="000000"/>
          <w:sz w:val="52"/>
          <w:szCs w:val="52"/>
          <w:rtl/>
        </w:rPr>
        <w:t>تمهـــيد</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657- تعريف حق الامتياز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المادة1130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الامتياز أولوية يقررها القانون لحق معين مراعاة منه لصفته"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ولا يكون للحق امتياز إلا بمقتضى نص في القانون"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1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$919 وقد ورد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"يؤخذ من تعرف حق الامتياز ا الحق هو الممتاز لا الدائن</w:t>
      </w:r>
      <w:r>
        <w:rPr>
          <w:rFonts w:cs="Traditional Arabic" w:hint="cs"/>
          <w:color w:val="000000"/>
          <w:sz w:val="28"/>
          <w:szCs w:val="32"/>
          <w:rtl/>
        </w:rPr>
        <w:t xml:space="preserve"> ،</w:t>
      </w:r>
      <w:r w:rsidRPr="007C3EC7">
        <w:rPr>
          <w:rFonts w:cs="Traditional Arabic" w:hint="cs"/>
          <w:color w:val="000000"/>
          <w:sz w:val="28"/>
          <w:szCs w:val="32"/>
          <w:rtl/>
        </w:rPr>
        <w:t xml:space="preserve"> وذلك لأن الامتياز يرجع إلى طبيعة الحق</w:t>
      </w:r>
      <w:r>
        <w:rPr>
          <w:rFonts w:cs="Traditional Arabic" w:hint="cs"/>
          <w:color w:val="000000"/>
          <w:sz w:val="28"/>
          <w:szCs w:val="32"/>
          <w:rtl/>
        </w:rPr>
        <w:t xml:space="preserve"> ،</w:t>
      </w:r>
      <w:r w:rsidRPr="007C3EC7">
        <w:rPr>
          <w:rFonts w:cs="Traditional Arabic" w:hint="cs"/>
          <w:color w:val="000000"/>
          <w:sz w:val="28"/>
          <w:szCs w:val="32"/>
          <w:rtl/>
        </w:rPr>
        <w:t xml:space="preserve"> والقانون هو الذي يتولى تعيين الحقوق التي تقتضي طبيعتها أن تكون ممتازة</w:t>
      </w:r>
      <w:r>
        <w:rPr>
          <w:rFonts w:cs="Traditional Arabic" w:hint="cs"/>
          <w:color w:val="000000"/>
          <w:sz w:val="28"/>
          <w:szCs w:val="32"/>
          <w:rtl/>
        </w:rPr>
        <w:t xml:space="preserve"> ،</w:t>
      </w:r>
      <w:r w:rsidRPr="007C3EC7">
        <w:rPr>
          <w:rFonts w:cs="Traditional Arabic" w:hint="cs"/>
          <w:color w:val="000000"/>
          <w:sz w:val="28"/>
          <w:szCs w:val="32"/>
          <w:rtl/>
        </w:rPr>
        <w:t xml:space="preserve"> كما يعين مرتبة هذا الامتياز"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1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النص سالف الذكر أن الامتياز هو تقديم الحق الممتاز على سائر الحقوق الأخرى التي يتقدمها هذا الحق</w:t>
      </w:r>
      <w:r>
        <w:rPr>
          <w:rFonts w:cs="Traditional Arabic" w:hint="cs"/>
          <w:color w:val="000000"/>
          <w:sz w:val="28"/>
          <w:szCs w:val="32"/>
          <w:rtl/>
        </w:rPr>
        <w:t xml:space="preserve"> ،</w:t>
      </w:r>
      <w:r w:rsidRPr="007C3EC7">
        <w:rPr>
          <w:rFonts w:cs="Traditional Arabic" w:hint="cs"/>
          <w:color w:val="000000"/>
          <w:sz w:val="28"/>
          <w:szCs w:val="32"/>
          <w:rtl/>
        </w:rPr>
        <w:t xml:space="preserve"> ويقرر هذا التقدم نص في القانون مراعياً في ذلك صفة الحق المتقدم</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فالقانون اختار بعض الحقوق</w:t>
      </w:r>
      <w:r>
        <w:rPr>
          <w:rFonts w:cs="Traditional Arabic" w:hint="cs"/>
          <w:color w:val="000000"/>
          <w:sz w:val="28"/>
          <w:szCs w:val="32"/>
          <w:rtl/>
        </w:rPr>
        <w:t xml:space="preserve"> ،</w:t>
      </w:r>
      <w:r w:rsidRPr="007C3EC7">
        <w:rPr>
          <w:rFonts w:cs="Traditional Arabic" w:hint="cs"/>
          <w:color w:val="000000"/>
          <w:sz w:val="28"/>
          <w:szCs w:val="32"/>
          <w:rtl/>
        </w:rPr>
        <w:t xml:space="preserve"> مراعياً في ذلك صفتها</w:t>
      </w:r>
      <w:r>
        <w:rPr>
          <w:rFonts w:cs="Traditional Arabic" w:hint="cs"/>
          <w:color w:val="000000"/>
          <w:sz w:val="28"/>
          <w:szCs w:val="32"/>
          <w:rtl/>
        </w:rPr>
        <w:t xml:space="preserve"> ،</w:t>
      </w:r>
      <w:r w:rsidRPr="007C3EC7">
        <w:rPr>
          <w:rFonts w:cs="Traditional Arabic" w:hint="cs"/>
          <w:color w:val="000000"/>
          <w:sz w:val="28"/>
          <w:szCs w:val="32"/>
          <w:rtl/>
        </w:rPr>
        <w:t xml:space="preserve"> وجعلها حقوقاً ممتازة</w:t>
      </w:r>
      <w:r>
        <w:rPr>
          <w:rFonts w:cs="Traditional Arabic" w:hint="cs"/>
          <w:color w:val="000000"/>
          <w:sz w:val="28"/>
          <w:szCs w:val="32"/>
          <w:rtl/>
        </w:rPr>
        <w:t xml:space="preserve"> ،</w:t>
      </w:r>
      <w:r w:rsidRPr="007C3EC7">
        <w:rPr>
          <w:rFonts w:cs="Traditional Arabic" w:hint="cs"/>
          <w:color w:val="000000"/>
          <w:sz w:val="28"/>
          <w:szCs w:val="32"/>
          <w:rtl/>
        </w:rPr>
        <w:t xml:space="preserve"> ونص على ذلك</w:t>
      </w:r>
      <w:r>
        <w:rPr>
          <w:rFonts w:cs="Traditional Arabic" w:hint="cs"/>
          <w:color w:val="000000"/>
          <w:sz w:val="28"/>
          <w:szCs w:val="32"/>
          <w:rtl/>
        </w:rPr>
        <w:t xml:space="preserve"> .</w:t>
      </w:r>
      <w:r w:rsidRPr="007C3EC7">
        <w:rPr>
          <w:rFonts w:cs="Traditional Arabic" w:hint="cs"/>
          <w:color w:val="000000"/>
          <w:sz w:val="28"/>
          <w:szCs w:val="32"/>
          <w:rtl/>
        </w:rPr>
        <w:t xml:space="preserve"> وسبب امتياز هذه الحقوق يختلف باختلاف الحق</w:t>
      </w:r>
      <w:r>
        <w:rPr>
          <w:rFonts w:cs="Traditional Arabic" w:hint="cs"/>
          <w:color w:val="000000"/>
          <w:sz w:val="28"/>
          <w:szCs w:val="32"/>
          <w:rtl/>
        </w:rPr>
        <w:t xml:space="preserve"> ،</w:t>
      </w:r>
      <w:r w:rsidRPr="007C3EC7">
        <w:rPr>
          <w:rFonts w:cs="Traditional Arabic" w:hint="cs"/>
          <w:color w:val="000000"/>
          <w:sz w:val="28"/>
          <w:szCs w:val="32"/>
          <w:rtl/>
        </w:rPr>
        <w:t xml:space="preserve"> فمنها ما يقدمه هذا الحق من خدم أداها من عجل الحق لمصلحة الدائنين الآخرين كما في المصروفات القضائية</w:t>
      </w:r>
      <w:r>
        <w:rPr>
          <w:rFonts w:cs="Traditional Arabic" w:hint="cs"/>
          <w:color w:val="000000"/>
          <w:sz w:val="28"/>
          <w:szCs w:val="32"/>
          <w:rtl/>
        </w:rPr>
        <w:t xml:space="preserve"> ،</w:t>
      </w:r>
      <w:r w:rsidRPr="007C3EC7">
        <w:rPr>
          <w:rFonts w:cs="Traditional Arabic" w:hint="cs"/>
          <w:color w:val="000000"/>
          <w:sz w:val="28"/>
          <w:szCs w:val="32"/>
          <w:rtl/>
        </w:rPr>
        <w:t xml:space="preserve"> ومنها ما هو مبني على اعتبارات إنسانية كامتياز أجور الخدم والعمال والكتبة لأن هذه الأجور ضرورية لمعيشة الدائنين بها</w:t>
      </w:r>
      <w:r>
        <w:rPr>
          <w:rFonts w:cs="Traditional Arabic" w:hint="cs"/>
          <w:color w:val="000000"/>
          <w:sz w:val="28"/>
          <w:szCs w:val="32"/>
          <w:rtl/>
        </w:rPr>
        <w:t xml:space="preserve"> ،</w:t>
      </w:r>
      <w:r w:rsidRPr="007C3EC7">
        <w:rPr>
          <w:rFonts w:cs="Traditional Arabic" w:hint="cs"/>
          <w:color w:val="000000"/>
          <w:sz w:val="28"/>
          <w:szCs w:val="32"/>
          <w:rtl/>
        </w:rPr>
        <w:t xml:space="preserve"> ومنها ما هو مبني على فكرة الرهن الضمني كما في امتياز المؤجر وصاحب الفندق على أمتعة المستأجر ونزيل الفندق</w:t>
      </w:r>
      <w:r>
        <w:rPr>
          <w:rFonts w:cs="Traditional Arabic" w:hint="cs"/>
          <w:color w:val="000000"/>
          <w:sz w:val="28"/>
          <w:szCs w:val="32"/>
          <w:rtl/>
        </w:rPr>
        <w:t xml:space="preserve"> ،</w:t>
      </w:r>
      <w:r w:rsidRPr="007C3EC7">
        <w:rPr>
          <w:rFonts w:cs="Traditional Arabic" w:hint="cs"/>
          <w:color w:val="000000"/>
          <w:sz w:val="28"/>
          <w:szCs w:val="32"/>
          <w:rtl/>
        </w:rPr>
        <w:t xml:space="preserve"> ومنها ما هو مبني على فكرة أن الدائن هو الذي أدخل الشيء في ملك المدين كبائع العقار والمنقول وأجر المقاولين والمهندسين المعماريين</w:t>
      </w:r>
      <w:r>
        <w:rPr>
          <w:rFonts w:cs="Traditional Arabic" w:hint="cs"/>
          <w:color w:val="000000"/>
          <w:sz w:val="28"/>
          <w:szCs w:val="32"/>
          <w:rtl/>
        </w:rPr>
        <w:t xml:space="preserve"> ،</w:t>
      </w:r>
      <w:r w:rsidRPr="007C3EC7">
        <w:rPr>
          <w:rFonts w:cs="Traditional Arabic" w:hint="cs"/>
          <w:color w:val="000000"/>
          <w:sz w:val="28"/>
          <w:szCs w:val="32"/>
          <w:rtl/>
        </w:rPr>
        <w:t xml:space="preserve"> ومنها ما هو مبين على اعتبارات أخرى غير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والقانون وحده الذي يتولى تعيين هذه الحقوق الممتازة ويعين 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فلا يكون للحق امتياز إلا بمقتضى نص في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ومن ثم $920 لا يجوز للطرفين أن ينشئا امتيازاً بإرادتهما في غير الحالات التي يقررها القانون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يجوز للقاضي أن يجعل الدين ممتازاً إذا كان القانون لا يجعله  كذلك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وقد قضي بأن الامتياز حق استثنائي لا يقاس عليه</w:t>
      </w:r>
      <w:r>
        <w:rPr>
          <w:rFonts w:cs="Traditional Arabic" w:hint="cs"/>
          <w:color w:val="000000"/>
          <w:sz w:val="28"/>
          <w:szCs w:val="32"/>
          <w:rtl/>
        </w:rPr>
        <w:t xml:space="preserve"> ،</w:t>
      </w:r>
      <w:r w:rsidRPr="007C3EC7">
        <w:rPr>
          <w:rFonts w:cs="Traditional Arabic" w:hint="cs"/>
          <w:color w:val="000000"/>
          <w:sz w:val="28"/>
          <w:szCs w:val="32"/>
          <w:rtl/>
        </w:rPr>
        <w:t xml:space="preserve"> ولم ينص القانون على امتياز في عقد المقايضة كما نص على الامتياز في عقدي البيع والقسمة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وقضي بأن حقوق الامتياز مستمدة من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فلا يجوز التوسع في تأويلها ولا القياس عليها ولا خلق امتياز لم يقرره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إذ لا امتياز إلا بنص</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والقانون يقرر الامتياز مراعاة لصفة الحق</w:t>
      </w:r>
      <w:r>
        <w:rPr>
          <w:rFonts w:cs="Traditional Arabic" w:hint="cs"/>
          <w:color w:val="000000"/>
          <w:sz w:val="28"/>
          <w:szCs w:val="32"/>
          <w:rtl/>
        </w:rPr>
        <w:t xml:space="preserve"> ،</w:t>
      </w:r>
      <w:r w:rsidRPr="007C3EC7">
        <w:rPr>
          <w:rFonts w:cs="Traditional Arabic" w:hint="cs"/>
          <w:color w:val="000000"/>
          <w:sz w:val="28"/>
          <w:szCs w:val="32"/>
          <w:rtl/>
        </w:rPr>
        <w:t xml:space="preserve"> لا لأن صفة في الدائن</w:t>
      </w:r>
      <w:r>
        <w:rPr>
          <w:rFonts w:cs="Traditional Arabic" w:hint="cs"/>
          <w:color w:val="000000"/>
          <w:sz w:val="28"/>
          <w:szCs w:val="32"/>
          <w:rtl/>
        </w:rPr>
        <w:t xml:space="preserve"> .</w:t>
      </w:r>
      <w:r w:rsidRPr="007C3EC7">
        <w:rPr>
          <w:rFonts w:cs="Traditional Arabic" w:hint="cs"/>
          <w:color w:val="000000"/>
          <w:sz w:val="28"/>
          <w:szCs w:val="32"/>
          <w:rtl/>
        </w:rPr>
        <w:t xml:space="preserve"> وينبني على ذلك أن الدين يظل ممتازاً</w:t>
      </w:r>
      <w:r>
        <w:rPr>
          <w:rFonts w:cs="Traditional Arabic" w:hint="cs"/>
          <w:color w:val="000000"/>
          <w:sz w:val="28"/>
          <w:szCs w:val="32"/>
          <w:rtl/>
        </w:rPr>
        <w:t xml:space="preserve"> ،</w:t>
      </w:r>
      <w:r w:rsidRPr="007C3EC7">
        <w:rPr>
          <w:rFonts w:cs="Traditional Arabic" w:hint="cs"/>
          <w:color w:val="000000"/>
          <w:sz w:val="28"/>
          <w:szCs w:val="32"/>
          <w:rtl/>
        </w:rPr>
        <w:t xml:space="preserve"> ول حل فيه دائن آخر محل الدائن الأصلي بناء على حوالة أو وفاء مع الحلول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وقد قرر القانون أكثر حقوق الامتياز في الباب الذي نحن فيه </w:t>
      </w:r>
      <w:r>
        <w:rPr>
          <w:rFonts w:cs="Traditional Arabic" w:hint="cs"/>
          <w:color w:val="000000"/>
          <w:sz w:val="28"/>
          <w:szCs w:val="32"/>
          <w:rtl/>
        </w:rPr>
        <w:t xml:space="preserve">( </w:t>
      </w:r>
      <w:r w:rsidRPr="007C3EC7">
        <w:rPr>
          <w:rFonts w:cs="Traditional Arabic" w:hint="cs"/>
          <w:color w:val="000000"/>
          <w:sz w:val="28"/>
          <w:szCs w:val="32"/>
          <w:rtl/>
        </w:rPr>
        <w:t>الباب الرابع من الكتاب الرابع</w:t>
      </w:r>
      <w:r>
        <w:rPr>
          <w:rFonts w:cs="Traditional Arabic" w:hint="cs"/>
          <w:color w:val="000000"/>
          <w:sz w:val="28"/>
          <w:szCs w:val="32"/>
          <w:rtl/>
        </w:rPr>
        <w:t xml:space="preserve"> ) .</w:t>
      </w:r>
      <w:r w:rsidRPr="007C3EC7">
        <w:rPr>
          <w:rFonts w:cs="Traditional Arabic" w:hint="cs"/>
          <w:color w:val="000000"/>
          <w:sz w:val="28"/>
          <w:szCs w:val="32"/>
          <w:rtl/>
        </w:rPr>
        <w:t xml:space="preserve"> ولكن توجد حقوق امتياز أخرى قررها القانون في أماكن أخرى والى ذلك تشير المادة 1137 مدني حين </w:t>
      </w:r>
      <w:r w:rsidRPr="007C3EC7">
        <w:rPr>
          <w:rFonts w:cs="Traditional Arabic" w:hint="cs"/>
          <w:color w:val="000000"/>
          <w:sz w:val="28"/>
          <w:szCs w:val="32"/>
          <w:rtl/>
        </w:rPr>
        <w:lastRenderedPageBreak/>
        <w:t>تقول</w:t>
      </w:r>
      <w:r>
        <w:rPr>
          <w:rFonts w:cs="Traditional Arabic" w:hint="cs"/>
          <w:color w:val="000000"/>
          <w:sz w:val="28"/>
          <w:szCs w:val="32"/>
          <w:rtl/>
        </w:rPr>
        <w:t xml:space="preserve"> :</w:t>
      </w:r>
      <w:r w:rsidRPr="007C3EC7">
        <w:rPr>
          <w:rFonts w:cs="Traditional Arabic" w:hint="cs"/>
          <w:color w:val="000000"/>
          <w:sz w:val="28"/>
          <w:szCs w:val="32"/>
          <w:rtl/>
        </w:rPr>
        <w:t xml:space="preserve"> "الحقوق المبينة في المواد الآتية تكون ممتازة</w:t>
      </w:r>
      <w:r>
        <w:rPr>
          <w:rFonts w:cs="Traditional Arabic" w:hint="cs"/>
          <w:color w:val="000000"/>
          <w:sz w:val="28"/>
          <w:szCs w:val="32"/>
          <w:rtl/>
        </w:rPr>
        <w:t xml:space="preserve"> ،</w:t>
      </w:r>
      <w:r w:rsidRPr="007C3EC7">
        <w:rPr>
          <w:rFonts w:cs="Traditional Arabic" w:hint="cs"/>
          <w:color w:val="000000"/>
          <w:sz w:val="28"/>
          <w:szCs w:val="32"/>
          <w:rtl/>
        </w:rPr>
        <w:t xml:space="preserve"> إلى جانب حقوق الامتياز المقررة $921 بنصوص خاصة"</w:t>
      </w:r>
      <w:r>
        <w:rPr>
          <w:rFonts w:cs="Traditional Arabic" w:hint="cs"/>
          <w:color w:val="000000"/>
          <w:sz w:val="28"/>
          <w:szCs w:val="32"/>
          <w:rtl/>
        </w:rPr>
        <w:t xml:space="preserve"> .</w:t>
      </w:r>
      <w:r w:rsidRPr="007C3EC7">
        <w:rPr>
          <w:rFonts w:cs="Traditional Arabic" w:hint="cs"/>
          <w:color w:val="000000"/>
          <w:sz w:val="28"/>
          <w:szCs w:val="32"/>
          <w:rtl/>
        </w:rPr>
        <w:t xml:space="preserve"> من ذلك امتياز المقاول من الباطن والعمال على المبالغ المستحقة للمقاول الأصلي في ذمة رب العمل </w:t>
      </w:r>
      <w:r>
        <w:rPr>
          <w:rFonts w:cs="Traditional Arabic" w:hint="cs"/>
          <w:color w:val="000000"/>
          <w:sz w:val="28"/>
          <w:szCs w:val="32"/>
          <w:rtl/>
        </w:rPr>
        <w:t xml:space="preserve">( </w:t>
      </w:r>
      <w:r w:rsidRPr="007C3EC7">
        <w:rPr>
          <w:rFonts w:cs="Traditional Arabic" w:hint="cs"/>
          <w:color w:val="000000"/>
          <w:sz w:val="28"/>
          <w:szCs w:val="32"/>
          <w:rtl/>
        </w:rPr>
        <w:t>م 662 مدني</w:t>
      </w:r>
      <w:r>
        <w:rPr>
          <w:rFonts w:cs="Traditional Arabic" w:hint="cs"/>
          <w:color w:val="000000"/>
          <w:sz w:val="28"/>
          <w:szCs w:val="32"/>
          <w:rtl/>
        </w:rPr>
        <w:t xml:space="preserve"> ) ،</w:t>
      </w:r>
      <w:r w:rsidRPr="007C3EC7">
        <w:rPr>
          <w:rFonts w:cs="Traditional Arabic" w:hint="cs"/>
          <w:color w:val="000000"/>
          <w:sz w:val="28"/>
          <w:szCs w:val="32"/>
          <w:rtl/>
        </w:rPr>
        <w:t xml:space="preserve"> وامتياز القروض التي يمنحها اتحاد ملاك طبقات البناء الواحد أحد الشركاء لتمكينه من القيام بالتزاماته </w:t>
      </w:r>
      <w:r>
        <w:rPr>
          <w:rFonts w:cs="Traditional Arabic" w:hint="cs"/>
          <w:color w:val="000000"/>
          <w:sz w:val="28"/>
          <w:szCs w:val="32"/>
          <w:rtl/>
        </w:rPr>
        <w:t xml:space="preserve">( </w:t>
      </w:r>
      <w:r w:rsidRPr="007C3EC7">
        <w:rPr>
          <w:rFonts w:cs="Traditional Arabic" w:hint="cs"/>
          <w:color w:val="000000"/>
          <w:sz w:val="28"/>
          <w:szCs w:val="32"/>
          <w:rtl/>
        </w:rPr>
        <w:t>م 869/1 مدين</w:t>
      </w:r>
      <w:r>
        <w:rPr>
          <w:rFonts w:cs="Traditional Arabic" w:hint="cs"/>
          <w:color w:val="000000"/>
          <w:sz w:val="28"/>
          <w:szCs w:val="32"/>
          <w:rtl/>
        </w:rPr>
        <w:t xml:space="preserve"> ) ،</w:t>
      </w:r>
      <w:r w:rsidRPr="007C3EC7">
        <w:rPr>
          <w:rFonts w:cs="Traditional Arabic" w:hint="cs"/>
          <w:color w:val="000000"/>
          <w:sz w:val="28"/>
          <w:szCs w:val="32"/>
          <w:rtl/>
        </w:rPr>
        <w:t xml:space="preserve"> وامتياز نفقات تسوية التركة </w:t>
      </w:r>
      <w:r>
        <w:rPr>
          <w:rFonts w:cs="Traditional Arabic" w:hint="cs"/>
          <w:color w:val="000000"/>
          <w:sz w:val="28"/>
          <w:szCs w:val="32"/>
          <w:rtl/>
        </w:rPr>
        <w:t xml:space="preserve">( </w:t>
      </w:r>
      <w:r w:rsidRPr="007C3EC7">
        <w:rPr>
          <w:rFonts w:cs="Traditional Arabic" w:hint="cs"/>
          <w:color w:val="000000"/>
          <w:sz w:val="28"/>
          <w:szCs w:val="32"/>
          <w:rtl/>
        </w:rPr>
        <w:t>م 880م2 مدني9</w:t>
      </w:r>
      <w:r>
        <w:rPr>
          <w:rFonts w:cs="Traditional Arabic" w:hint="cs"/>
          <w:color w:val="000000"/>
          <w:sz w:val="28"/>
          <w:szCs w:val="32"/>
          <w:rtl/>
        </w:rPr>
        <w:t xml:space="preserve"> ،</w:t>
      </w:r>
      <w:r w:rsidRPr="007C3EC7">
        <w:rPr>
          <w:rFonts w:cs="Traditional Arabic" w:hint="cs"/>
          <w:color w:val="000000"/>
          <w:sz w:val="28"/>
          <w:szCs w:val="32"/>
          <w:rtl/>
        </w:rPr>
        <w:t xml:space="preserve"> وامتياز الوكيل بالعمولة على البضائع المرسلة أو المسلمة إليه أو المودعة عنده من أجل المبالغ المطلوبة له من عميله </w:t>
      </w:r>
      <w:r>
        <w:rPr>
          <w:rFonts w:cs="Traditional Arabic" w:hint="cs"/>
          <w:color w:val="000000"/>
          <w:sz w:val="28"/>
          <w:szCs w:val="32"/>
          <w:rtl/>
        </w:rPr>
        <w:t xml:space="preserve">( </w:t>
      </w:r>
      <w:r w:rsidRPr="007C3EC7">
        <w:rPr>
          <w:rFonts w:cs="Traditional Arabic" w:hint="cs"/>
          <w:color w:val="000000"/>
          <w:sz w:val="28"/>
          <w:szCs w:val="32"/>
          <w:rtl/>
        </w:rPr>
        <w:t>م 85 تجاري</w:t>
      </w:r>
      <w:r>
        <w:rPr>
          <w:rFonts w:cs="Traditional Arabic" w:hint="cs"/>
          <w:color w:val="000000"/>
          <w:sz w:val="28"/>
          <w:szCs w:val="32"/>
          <w:rtl/>
        </w:rPr>
        <w:t xml:space="preserve"> ) ،</w:t>
      </w:r>
      <w:r w:rsidRPr="007C3EC7">
        <w:rPr>
          <w:rFonts w:cs="Traditional Arabic" w:hint="cs"/>
          <w:color w:val="000000"/>
          <w:sz w:val="28"/>
          <w:szCs w:val="32"/>
          <w:rtl/>
        </w:rPr>
        <w:t xml:space="preserve"> امتياز أتعاب المحامي </w:t>
      </w:r>
      <w:r>
        <w:rPr>
          <w:rFonts w:cs="Traditional Arabic" w:hint="cs"/>
          <w:color w:val="000000"/>
          <w:sz w:val="28"/>
          <w:szCs w:val="32"/>
          <w:rtl/>
        </w:rPr>
        <w:t xml:space="preserve">( </w:t>
      </w:r>
      <w:r w:rsidRPr="007C3EC7">
        <w:rPr>
          <w:rFonts w:cs="Traditional Arabic" w:hint="cs"/>
          <w:color w:val="000000"/>
          <w:sz w:val="28"/>
          <w:szCs w:val="32"/>
          <w:rtl/>
        </w:rPr>
        <w:t>م 50 من قانون المحاماة رقم 967 سنة 1957</w:t>
      </w:r>
      <w:r>
        <w:rPr>
          <w:rFonts w:cs="Traditional Arabic" w:hint="cs"/>
          <w:color w:val="000000"/>
          <w:sz w:val="28"/>
          <w:szCs w:val="32"/>
          <w:rtl/>
        </w:rPr>
        <w:t xml:space="preserve"> ) ،</w:t>
      </w:r>
      <w:r w:rsidRPr="007C3EC7">
        <w:rPr>
          <w:rFonts w:cs="Traditional Arabic" w:hint="cs"/>
          <w:color w:val="000000"/>
          <w:sz w:val="28"/>
          <w:szCs w:val="32"/>
          <w:rtl/>
        </w:rPr>
        <w:t xml:space="preserve"> وامتياز نفقات تجهيز الميت </w:t>
      </w:r>
      <w:r>
        <w:rPr>
          <w:rFonts w:cs="Traditional Arabic" w:hint="cs"/>
          <w:color w:val="000000"/>
          <w:sz w:val="28"/>
          <w:szCs w:val="32"/>
          <w:rtl/>
        </w:rPr>
        <w:t xml:space="preserve">( </w:t>
      </w:r>
      <w:r w:rsidRPr="007C3EC7">
        <w:rPr>
          <w:rFonts w:cs="Traditional Arabic" w:hint="cs"/>
          <w:color w:val="000000"/>
          <w:sz w:val="28"/>
          <w:szCs w:val="32"/>
          <w:rtl/>
        </w:rPr>
        <w:t>م 4 من القانون رقم 77 لسنة 1943 الخاص بالمواريث</w:t>
      </w:r>
      <w:r>
        <w:rPr>
          <w:rFonts w:cs="Traditional Arabic" w:hint="cs"/>
          <w:color w:val="000000"/>
          <w:sz w:val="28"/>
          <w:szCs w:val="32"/>
          <w:rtl/>
        </w:rPr>
        <w:t xml:space="preserve"> ) ،</w:t>
      </w:r>
      <w:r w:rsidRPr="007C3EC7">
        <w:rPr>
          <w:rFonts w:cs="Traditional Arabic" w:hint="cs"/>
          <w:color w:val="000000"/>
          <w:sz w:val="28"/>
          <w:szCs w:val="32"/>
          <w:rtl/>
        </w:rPr>
        <w:t xml:space="preserve"> وامتياز التعويض عن إصابات العمل </w:t>
      </w:r>
      <w:r>
        <w:rPr>
          <w:rFonts w:cs="Traditional Arabic" w:hint="cs"/>
          <w:color w:val="000000"/>
          <w:sz w:val="28"/>
          <w:szCs w:val="32"/>
          <w:rtl/>
        </w:rPr>
        <w:t xml:space="preserve">( </w:t>
      </w:r>
      <w:r w:rsidRPr="007C3EC7">
        <w:rPr>
          <w:rFonts w:cs="Traditional Arabic" w:hint="cs"/>
          <w:color w:val="000000"/>
          <w:sz w:val="28"/>
          <w:szCs w:val="32"/>
          <w:rtl/>
        </w:rPr>
        <w:t>م 8 من القانون رقم 89 لسنة 1950 الخاص بإصابات العمل</w:t>
      </w:r>
      <w:r>
        <w:rPr>
          <w:rFonts w:cs="Traditional Arabic" w:hint="cs"/>
          <w:color w:val="000000"/>
          <w:sz w:val="28"/>
          <w:szCs w:val="32"/>
          <w:rtl/>
        </w:rPr>
        <w:t xml:space="preserve"> ) ،</w:t>
      </w:r>
      <w:r w:rsidRPr="007C3EC7">
        <w:rPr>
          <w:rFonts w:cs="Traditional Arabic" w:hint="cs"/>
          <w:color w:val="000000"/>
          <w:sz w:val="28"/>
          <w:szCs w:val="32"/>
          <w:rtl/>
        </w:rPr>
        <w:t xml:space="preserve"> وامتياز الجمعيات التعاونية بالمبالغ المستحقة لها قبل أعضائها نتيجة لتعاملهم معها في حدود الأغراض المبينة في القانون رقم 317 لسنة 1956 أو في نظامها </w:t>
      </w:r>
      <w:r>
        <w:rPr>
          <w:rFonts w:cs="Traditional Arabic" w:hint="cs"/>
          <w:color w:val="000000"/>
          <w:sz w:val="28"/>
          <w:szCs w:val="32"/>
          <w:rtl/>
        </w:rPr>
        <w:t xml:space="preserve">( </w:t>
      </w:r>
      <w:r w:rsidRPr="007C3EC7">
        <w:rPr>
          <w:rFonts w:cs="Traditional Arabic" w:hint="cs"/>
          <w:color w:val="000000"/>
          <w:sz w:val="28"/>
          <w:szCs w:val="32"/>
          <w:rtl/>
        </w:rPr>
        <w:t>م 25 من القانون رقم 317 لسنة 1956</w:t>
      </w:r>
      <w:r>
        <w:rPr>
          <w:rFonts w:cs="Traditional Arabic" w:hint="cs"/>
          <w:color w:val="000000"/>
          <w:sz w:val="28"/>
          <w:szCs w:val="32"/>
          <w:rtl/>
        </w:rPr>
        <w:t xml:space="preserve"> :</w:t>
      </w:r>
      <w:r w:rsidRPr="007C3EC7">
        <w:rPr>
          <w:rFonts w:cs="Traditional Arabic" w:hint="cs"/>
          <w:color w:val="000000"/>
          <w:sz w:val="28"/>
          <w:szCs w:val="32"/>
          <w:rtl/>
        </w:rPr>
        <w:t xml:space="preserve"> حق امتياز عام على أموال الأعضاء يجيء في الترتيب مع امتياز المبالغ المنصرفة في البذور والسماد وآلات الزراعة</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658- اختلاف حق الامتياز عن سائر الحقوق العينية التبعية</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 xml:space="preserve">ويختلف حق الامتياز عن سائر الحقوق العينية التبعية </w:t>
      </w:r>
      <w:r>
        <w:rPr>
          <w:rFonts w:cs="Traditional Arabic" w:hint="cs"/>
          <w:color w:val="000000"/>
          <w:sz w:val="28"/>
          <w:szCs w:val="32"/>
          <w:rtl/>
        </w:rPr>
        <w:t xml:space="preserve">( </w:t>
      </w:r>
      <w:r w:rsidRPr="007C3EC7">
        <w:rPr>
          <w:rFonts w:cs="Traditional Arabic" w:hint="cs"/>
          <w:color w:val="000000"/>
          <w:sz w:val="28"/>
          <w:szCs w:val="32"/>
          <w:rtl/>
        </w:rPr>
        <w:t>الرهن الرسمي والاختصاص والرهن الحيازي</w:t>
      </w:r>
      <w:r>
        <w:rPr>
          <w:rFonts w:cs="Traditional Arabic" w:hint="cs"/>
          <w:color w:val="000000"/>
          <w:sz w:val="28"/>
          <w:szCs w:val="32"/>
          <w:rtl/>
        </w:rPr>
        <w:t xml:space="preserve"> )</w:t>
      </w:r>
      <w:r w:rsidRPr="007C3EC7">
        <w:rPr>
          <w:rFonts w:cs="Traditional Arabic" w:hint="cs"/>
          <w:color w:val="000000"/>
          <w:sz w:val="28"/>
          <w:szCs w:val="32"/>
          <w:rtl/>
        </w:rPr>
        <w:t xml:space="preserve"> في أمرين جوهريين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حق الامتياز لا يتقرر إلا بنص في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فما لم يوجد نص لا يوجد 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فلا يتقرر لا باتفاق</w:t>
      </w:r>
      <w:r>
        <w:rPr>
          <w:rFonts w:cs="Traditional Arabic" w:hint="cs"/>
          <w:color w:val="000000"/>
          <w:sz w:val="28"/>
          <w:szCs w:val="32"/>
          <w:rtl/>
        </w:rPr>
        <w:t xml:space="preserve"> ،</w:t>
      </w:r>
      <w:r w:rsidRPr="007C3EC7">
        <w:rPr>
          <w:rFonts w:cs="Traditional Arabic" w:hint="cs"/>
          <w:color w:val="000000"/>
          <w:sz w:val="28"/>
          <w:szCs w:val="32"/>
          <w:rtl/>
        </w:rPr>
        <w:t xml:space="preserve"> ولا بحكم القاضي</w:t>
      </w:r>
      <w:r>
        <w:rPr>
          <w:rFonts w:cs="Traditional Arabic" w:hint="cs"/>
          <w:color w:val="000000"/>
          <w:sz w:val="28"/>
          <w:szCs w:val="32"/>
          <w:rtl/>
        </w:rPr>
        <w:t xml:space="preserve"> ،</w:t>
      </w:r>
      <w:r w:rsidRPr="007C3EC7">
        <w:rPr>
          <w:rFonts w:cs="Traditional Arabic" w:hint="cs"/>
          <w:color w:val="000000"/>
          <w:sz w:val="28"/>
          <w:szCs w:val="32"/>
          <w:rtl/>
        </w:rPr>
        <w:t xml:space="preserve"> كما سبق أن قررنا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الحقوق التبعية الأخرى</w:t>
      </w:r>
      <w:r>
        <w:rPr>
          <w:rFonts w:cs="Traditional Arabic" w:hint="cs"/>
          <w:color w:val="000000"/>
          <w:sz w:val="28"/>
          <w:szCs w:val="32"/>
          <w:rtl/>
        </w:rPr>
        <w:t xml:space="preserve"> ،</w:t>
      </w:r>
      <w:r w:rsidRPr="007C3EC7">
        <w:rPr>
          <w:rFonts w:cs="Traditional Arabic" w:hint="cs"/>
          <w:color w:val="000000"/>
          <w:sz w:val="28"/>
          <w:szCs w:val="32"/>
          <w:rtl/>
        </w:rPr>
        <w:t xml:space="preserve"> فمنها ما يتقرر بالاتفاق أي بالعقد كالرهن الرسمي يتقرر بالعقد الرسمي للرهن وكالرهن الحيازي يتقرر بعقد رهن الحيازة</w:t>
      </w:r>
      <w:r>
        <w:rPr>
          <w:rFonts w:cs="Traditional Arabic" w:hint="cs"/>
          <w:color w:val="000000"/>
          <w:sz w:val="28"/>
          <w:szCs w:val="32"/>
          <w:rtl/>
        </w:rPr>
        <w:t xml:space="preserve"> ،</w:t>
      </w:r>
      <w:r w:rsidRPr="007C3EC7">
        <w:rPr>
          <w:rFonts w:cs="Traditional Arabic" w:hint="cs"/>
          <w:color w:val="000000"/>
          <w:sz w:val="28"/>
          <w:szCs w:val="32"/>
          <w:rtl/>
        </w:rPr>
        <w:t xml:space="preserve"> ومنها ما يتقرر بأمر القاضي كالاختصاص ولا يوجد حق عيني تعبي</w:t>
      </w:r>
      <w:r>
        <w:rPr>
          <w:rFonts w:cs="Traditional Arabic" w:hint="cs"/>
          <w:color w:val="000000"/>
          <w:sz w:val="28"/>
          <w:szCs w:val="32"/>
          <w:rtl/>
        </w:rPr>
        <w:t xml:space="preserve"> ،</w:t>
      </w:r>
      <w:r w:rsidRPr="007C3EC7">
        <w:rPr>
          <w:rFonts w:cs="Traditional Arabic" w:hint="cs"/>
          <w:color w:val="000000"/>
          <w:sz w:val="28"/>
          <w:szCs w:val="32"/>
          <w:rtl/>
        </w:rPr>
        <w:t xml:space="preserve"> غير حق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يتقرر وتتقرر مرتبته بنص في القانون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$922 2- وحق الامتياز يختلف أيضاً عن الحقوق العينية الأخرى في أن الممتاز في حق الامتياز هو الحق لا الدائن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في الحقوق العينية التبعية الأخرى</w:t>
      </w:r>
      <w:r>
        <w:rPr>
          <w:rFonts w:cs="Traditional Arabic" w:hint="cs"/>
          <w:color w:val="000000"/>
          <w:sz w:val="28"/>
          <w:szCs w:val="32"/>
          <w:rtl/>
        </w:rPr>
        <w:t xml:space="preserve"> ،</w:t>
      </w:r>
      <w:r w:rsidRPr="007C3EC7">
        <w:rPr>
          <w:rFonts w:cs="Traditional Arabic" w:hint="cs"/>
          <w:color w:val="000000"/>
          <w:sz w:val="28"/>
          <w:szCs w:val="32"/>
          <w:rtl/>
        </w:rPr>
        <w:t xml:space="preserve"> فالممتاز هو الدائن لا الحق</w:t>
      </w:r>
      <w:r>
        <w:rPr>
          <w:rFonts w:cs="Traditional Arabic" w:hint="cs"/>
          <w:color w:val="000000"/>
          <w:sz w:val="28"/>
          <w:szCs w:val="32"/>
          <w:rtl/>
        </w:rPr>
        <w:t xml:space="preserve"> ،</w:t>
      </w:r>
      <w:r w:rsidRPr="007C3EC7">
        <w:rPr>
          <w:rFonts w:cs="Traditional Arabic" w:hint="cs"/>
          <w:color w:val="000000"/>
          <w:sz w:val="28"/>
          <w:szCs w:val="32"/>
          <w:rtl/>
        </w:rPr>
        <w:t xml:space="preserve"> ففي الرهن الرسمي والرهن الحيازي</w:t>
      </w:r>
      <w:r>
        <w:rPr>
          <w:rFonts w:cs="Traditional Arabic" w:hint="cs"/>
          <w:color w:val="000000"/>
          <w:sz w:val="28"/>
          <w:szCs w:val="32"/>
          <w:rtl/>
        </w:rPr>
        <w:t xml:space="preserve"> ،</w:t>
      </w:r>
      <w:r w:rsidRPr="007C3EC7">
        <w:rPr>
          <w:rFonts w:cs="Traditional Arabic" w:hint="cs"/>
          <w:color w:val="000000"/>
          <w:sz w:val="28"/>
          <w:szCs w:val="32"/>
          <w:rtl/>
        </w:rPr>
        <w:t xml:space="preserve"> الدائن الذي يتفق مع مدينة على رهن رسمي أو رهن حيازي هو الذي يمتاز</w:t>
      </w:r>
      <w:r>
        <w:rPr>
          <w:rFonts w:cs="Traditional Arabic" w:hint="cs"/>
          <w:color w:val="000000"/>
          <w:sz w:val="28"/>
          <w:szCs w:val="32"/>
          <w:rtl/>
        </w:rPr>
        <w:t xml:space="preserve"> ،</w:t>
      </w:r>
      <w:r w:rsidRPr="007C3EC7">
        <w:rPr>
          <w:rFonts w:cs="Traditional Arabic" w:hint="cs"/>
          <w:color w:val="000000"/>
          <w:sz w:val="28"/>
          <w:szCs w:val="32"/>
          <w:rtl/>
        </w:rPr>
        <w:t xml:space="preserve"> لا لصفة في الدين </w:t>
      </w:r>
      <w:r w:rsidRPr="007C3EC7">
        <w:rPr>
          <w:rFonts w:cs="Traditional Arabic" w:hint="cs"/>
          <w:color w:val="000000"/>
          <w:sz w:val="28"/>
          <w:szCs w:val="32"/>
          <w:rtl/>
        </w:rPr>
        <w:lastRenderedPageBreak/>
        <w:t>فأي دين يمكن ضمانه برهن رسمي أو رهن حيازي</w:t>
      </w:r>
      <w:r>
        <w:rPr>
          <w:rFonts w:cs="Traditional Arabic" w:hint="cs"/>
          <w:color w:val="000000"/>
          <w:sz w:val="28"/>
          <w:szCs w:val="32"/>
          <w:rtl/>
        </w:rPr>
        <w:t xml:space="preserve"> ،</w:t>
      </w:r>
      <w:r w:rsidRPr="007C3EC7">
        <w:rPr>
          <w:rFonts w:cs="Traditional Arabic" w:hint="cs"/>
          <w:color w:val="000000"/>
          <w:sz w:val="28"/>
          <w:szCs w:val="32"/>
          <w:rtl/>
        </w:rPr>
        <w:t xml:space="preserve"> بل لأن الدائن اتفق مع مدينه على الرهن</w:t>
      </w:r>
      <w:r>
        <w:rPr>
          <w:rFonts w:cs="Traditional Arabic" w:hint="cs"/>
          <w:color w:val="000000"/>
          <w:sz w:val="28"/>
          <w:szCs w:val="32"/>
          <w:rtl/>
        </w:rPr>
        <w:t xml:space="preserve"> .</w:t>
      </w:r>
      <w:r w:rsidRPr="007C3EC7">
        <w:rPr>
          <w:rFonts w:cs="Traditional Arabic" w:hint="cs"/>
          <w:color w:val="000000"/>
          <w:sz w:val="28"/>
          <w:szCs w:val="32"/>
          <w:rtl/>
        </w:rPr>
        <w:t xml:space="preserve"> وفي الاختصاص أيضاً</w:t>
      </w:r>
      <w:r>
        <w:rPr>
          <w:rFonts w:cs="Traditional Arabic" w:hint="cs"/>
          <w:color w:val="000000"/>
          <w:sz w:val="28"/>
          <w:szCs w:val="32"/>
          <w:rtl/>
        </w:rPr>
        <w:t xml:space="preserve"> ،</w:t>
      </w:r>
      <w:r w:rsidRPr="007C3EC7">
        <w:rPr>
          <w:rFonts w:cs="Traditional Arabic" w:hint="cs"/>
          <w:color w:val="000000"/>
          <w:sz w:val="28"/>
          <w:szCs w:val="32"/>
          <w:rtl/>
        </w:rPr>
        <w:t xml:space="preserve"> الممتاز هو الدائن لا الحق</w:t>
      </w:r>
      <w:r>
        <w:rPr>
          <w:rFonts w:cs="Traditional Arabic" w:hint="cs"/>
          <w:color w:val="000000"/>
          <w:sz w:val="28"/>
          <w:szCs w:val="32"/>
          <w:rtl/>
        </w:rPr>
        <w:t xml:space="preserve"> .</w:t>
      </w:r>
      <w:r w:rsidRPr="007C3EC7">
        <w:rPr>
          <w:rFonts w:cs="Traditional Arabic" w:hint="cs"/>
          <w:color w:val="000000"/>
          <w:sz w:val="28"/>
          <w:szCs w:val="32"/>
          <w:rtl/>
        </w:rPr>
        <w:t xml:space="preserve"> فأي حق يمكن ضمانه باختصاص</w:t>
      </w:r>
      <w:r>
        <w:rPr>
          <w:rFonts w:cs="Traditional Arabic" w:hint="cs"/>
          <w:color w:val="000000"/>
          <w:sz w:val="28"/>
          <w:szCs w:val="32"/>
          <w:rtl/>
        </w:rPr>
        <w:t xml:space="preserve"> ،</w:t>
      </w:r>
      <w:r w:rsidRPr="007C3EC7">
        <w:rPr>
          <w:rFonts w:cs="Traditional Arabic" w:hint="cs"/>
          <w:color w:val="000000"/>
          <w:sz w:val="28"/>
          <w:szCs w:val="32"/>
          <w:rtl/>
        </w:rPr>
        <w:t xml:space="preserve"> ولكن الدائن في الاختصاص هو الذي تقدم على الدائنين المتأخرين عنه لشخصه ولأنه حصل على حق اختصاص</w:t>
      </w:r>
      <w:r>
        <w:rPr>
          <w:rFonts w:cs="Traditional Arabic" w:hint="cs"/>
          <w:color w:val="000000"/>
          <w:sz w:val="28"/>
          <w:szCs w:val="32"/>
          <w:rtl/>
        </w:rPr>
        <w:t xml:space="preserve"> ،</w:t>
      </w:r>
      <w:r w:rsidRPr="007C3EC7">
        <w:rPr>
          <w:rFonts w:cs="Traditional Arabic" w:hint="cs"/>
          <w:color w:val="000000"/>
          <w:sz w:val="28"/>
          <w:szCs w:val="32"/>
          <w:rtl/>
        </w:rPr>
        <w:t xml:space="preserve"> لا لصفة في الدين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وذلك بخلاف حق الامتياز كما قدمنا</w:t>
      </w:r>
      <w:r>
        <w:rPr>
          <w:rFonts w:cs="Traditional Arabic" w:hint="cs"/>
          <w:color w:val="000000"/>
          <w:sz w:val="28"/>
          <w:szCs w:val="32"/>
          <w:rtl/>
        </w:rPr>
        <w:t xml:space="preserve"> ،</w:t>
      </w:r>
      <w:r w:rsidRPr="007C3EC7">
        <w:rPr>
          <w:rFonts w:cs="Traditional Arabic" w:hint="cs"/>
          <w:color w:val="000000"/>
          <w:sz w:val="28"/>
          <w:szCs w:val="32"/>
          <w:rtl/>
        </w:rPr>
        <w:t xml:space="preserve"> فالممتاز فيه هو الحق لصفة لاصقة له</w:t>
      </w:r>
      <w:r>
        <w:rPr>
          <w:rFonts w:cs="Traditional Arabic" w:hint="cs"/>
          <w:color w:val="000000"/>
          <w:sz w:val="28"/>
          <w:szCs w:val="32"/>
          <w:rtl/>
        </w:rPr>
        <w:t xml:space="preserve"> ،</w:t>
      </w:r>
      <w:r w:rsidRPr="007C3EC7">
        <w:rPr>
          <w:rFonts w:cs="Traditional Arabic" w:hint="cs"/>
          <w:color w:val="000000"/>
          <w:sz w:val="28"/>
          <w:szCs w:val="32"/>
          <w:rtl/>
        </w:rPr>
        <w:t xml:space="preserve"> لا الدائن</w:t>
      </w:r>
      <w:r>
        <w:rPr>
          <w:rFonts w:cs="Traditional Arabic" w:hint="cs"/>
          <w:color w:val="000000"/>
          <w:sz w:val="28"/>
          <w:szCs w:val="32"/>
          <w:rtl/>
        </w:rPr>
        <w:t xml:space="preserve"> .</w:t>
      </w:r>
      <w:r w:rsidRPr="007C3EC7">
        <w:rPr>
          <w:rFonts w:cs="Traditional Arabic" w:hint="cs"/>
          <w:color w:val="000000"/>
          <w:sz w:val="28"/>
          <w:szCs w:val="32"/>
          <w:rtl/>
        </w:rPr>
        <w:t xml:space="preserve"> فأي حق توافرت فيه صفة يرعاها القانون وينص على أنها ممتازة يكون حقاً ممتازاً بموجب هذه الصفة التي راعاها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أياً كان الدائن لهذا الحق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659- اقتراب حق الامتياز من سائر الحقوق العينية التبعية</w:t>
      </w:r>
      <w:r>
        <w:rPr>
          <w:rFonts w:cs="Traditional Arabic" w:hint="cs"/>
          <w:b/>
          <w:bCs/>
          <w:color w:val="000000"/>
          <w:sz w:val="28"/>
          <w:szCs w:val="32"/>
          <w:rtl/>
        </w:rPr>
        <w:t xml:space="preserve"> :</w:t>
      </w:r>
      <w:r w:rsidRPr="007C3EC7">
        <w:rPr>
          <w:rFonts w:cs="Traditional Arabic" w:hint="cs"/>
          <w:color w:val="000000"/>
          <w:sz w:val="28"/>
          <w:szCs w:val="32"/>
          <w:rtl/>
        </w:rPr>
        <w:t xml:space="preserve"> ولكن من جهة أخرى</w:t>
      </w:r>
      <w:r>
        <w:rPr>
          <w:rFonts w:cs="Traditional Arabic" w:hint="cs"/>
          <w:color w:val="000000"/>
          <w:sz w:val="28"/>
          <w:szCs w:val="32"/>
          <w:rtl/>
        </w:rPr>
        <w:t xml:space="preserve"> ،</w:t>
      </w:r>
      <w:r w:rsidRPr="007C3EC7">
        <w:rPr>
          <w:rFonts w:cs="Traditional Arabic" w:hint="cs"/>
          <w:color w:val="000000"/>
          <w:sz w:val="28"/>
          <w:szCs w:val="32"/>
          <w:rtl/>
        </w:rPr>
        <w:t xml:space="preserve"> يقترب حق الامتياز من سائر الحقوق العينية التبعية</w:t>
      </w:r>
      <w:r>
        <w:rPr>
          <w:rFonts w:cs="Traditional Arabic" w:hint="cs"/>
          <w:color w:val="000000"/>
          <w:sz w:val="28"/>
          <w:szCs w:val="32"/>
          <w:rtl/>
        </w:rPr>
        <w:t xml:space="preserve"> ،</w:t>
      </w:r>
      <w:r w:rsidRPr="007C3EC7">
        <w:rPr>
          <w:rFonts w:cs="Traditional Arabic" w:hint="cs"/>
          <w:color w:val="000000"/>
          <w:sz w:val="28"/>
          <w:szCs w:val="32"/>
          <w:rtl/>
        </w:rPr>
        <w:t xml:space="preserve"> في أنه مثلها حق عيني تابع غير قابل للتجزئة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أنه حق عينين</w:t>
      </w:r>
      <w:r>
        <w:rPr>
          <w:rFonts w:cs="Traditional Arabic" w:hint="cs"/>
          <w:color w:val="000000"/>
          <w:sz w:val="28"/>
          <w:szCs w:val="32"/>
          <w:rtl/>
        </w:rPr>
        <w:t xml:space="preserve"> ،</w:t>
      </w:r>
      <w:r w:rsidRPr="007C3EC7">
        <w:rPr>
          <w:rFonts w:cs="Traditional Arabic" w:hint="cs"/>
          <w:color w:val="000000"/>
          <w:sz w:val="28"/>
          <w:szCs w:val="32"/>
          <w:rtl/>
        </w:rPr>
        <w:t xml:space="preserve"> فقد ثار خلاف في الفقه الفرنسي حول عينية 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وبخاصة فيما يتعلق بحقوق الامتياز العامة لأنها لا ترد على مال معين بالذات</w:t>
      </w:r>
      <w:r>
        <w:rPr>
          <w:rFonts w:cs="Traditional Arabic" w:hint="cs"/>
          <w:color w:val="000000"/>
          <w:sz w:val="28"/>
          <w:szCs w:val="32"/>
          <w:rtl/>
        </w:rPr>
        <w:t xml:space="preserve"> ،</w:t>
      </w:r>
      <w:r w:rsidRPr="007C3EC7">
        <w:rPr>
          <w:rFonts w:cs="Traditional Arabic" w:hint="cs"/>
          <w:color w:val="000000"/>
          <w:sz w:val="28"/>
          <w:szCs w:val="32"/>
          <w:rtl/>
        </w:rPr>
        <w:t xml:space="preserve"> وفيما يتعلق بالامتياز على الديون لأنه يرد على حقوق شخصية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$923 لكن أكثر الفقهاء الفرنسيين يقررون أن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ولو </w:t>
      </w:r>
      <w:r w:rsidRPr="007C3EC7">
        <w:rPr>
          <w:rFonts w:cs="Traditional Arabic" w:hint="cs"/>
          <w:color w:val="000000"/>
          <w:sz w:val="28"/>
          <w:szCs w:val="32"/>
          <w:rtl/>
        </w:rPr>
        <w:lastRenderedPageBreak/>
        <w:t>وقعت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تكون حقوقاً عينية</w:t>
      </w:r>
      <w:r>
        <w:rPr>
          <w:rFonts w:cs="Traditional Arabic" w:hint="cs"/>
          <w:color w:val="000000"/>
          <w:sz w:val="28"/>
          <w:szCs w:val="32"/>
          <w:rtl/>
        </w:rPr>
        <w:t xml:space="preserve"> .</w:t>
      </w:r>
      <w:r w:rsidRPr="007C3EC7">
        <w:rPr>
          <w:rFonts w:cs="Traditional Arabic" w:hint="cs"/>
          <w:color w:val="000000"/>
          <w:sz w:val="28"/>
          <w:szCs w:val="32"/>
          <w:rtl/>
        </w:rPr>
        <w:t xml:space="preserve"> ولو وقعت حقوق الامتياز على عين معينة</w:t>
      </w:r>
      <w:r>
        <w:rPr>
          <w:rFonts w:cs="Traditional Arabic" w:hint="cs"/>
          <w:color w:val="000000"/>
          <w:sz w:val="28"/>
          <w:szCs w:val="32"/>
          <w:rtl/>
        </w:rPr>
        <w:t xml:space="preserve"> ،</w:t>
      </w:r>
      <w:r w:rsidRPr="007C3EC7">
        <w:rPr>
          <w:rFonts w:cs="Traditional Arabic" w:hint="cs"/>
          <w:color w:val="000000"/>
          <w:sz w:val="28"/>
          <w:szCs w:val="32"/>
          <w:rtl/>
        </w:rPr>
        <w:t xml:space="preserve"> سواء كانت عقاراً أو منقولا</w:t>
      </w:r>
      <w:r>
        <w:rPr>
          <w:rFonts w:cs="Traditional Arabic" w:hint="cs"/>
          <w:color w:val="000000"/>
          <w:sz w:val="28"/>
          <w:szCs w:val="32"/>
          <w:rtl/>
        </w:rPr>
        <w:t xml:space="preserve"> ،</w:t>
      </w:r>
      <w:r w:rsidRPr="007C3EC7">
        <w:rPr>
          <w:rFonts w:cs="Traditional Arabic" w:hint="cs"/>
          <w:color w:val="000000"/>
          <w:sz w:val="28"/>
          <w:szCs w:val="32"/>
          <w:rtl/>
        </w:rPr>
        <w:t xml:space="preserve"> أي أصبحت حقوق امتياز خاصة</w:t>
      </w:r>
      <w:r>
        <w:rPr>
          <w:rFonts w:cs="Traditional Arabic" w:hint="cs"/>
          <w:color w:val="000000"/>
          <w:sz w:val="28"/>
          <w:szCs w:val="32"/>
          <w:rtl/>
        </w:rPr>
        <w:t xml:space="preserve"> ،</w:t>
      </w:r>
      <w:r w:rsidRPr="007C3EC7">
        <w:rPr>
          <w:rFonts w:cs="Traditional Arabic" w:hint="cs"/>
          <w:color w:val="000000"/>
          <w:sz w:val="28"/>
          <w:szCs w:val="32"/>
          <w:rtl/>
        </w:rPr>
        <w:t xml:space="preserve"> فإنها تكون بطبيعة الحال حقوقاً عينية</w:t>
      </w:r>
      <w:r>
        <w:rPr>
          <w:rFonts w:cs="Traditional Arabic" w:hint="cs"/>
          <w:color w:val="000000"/>
          <w:sz w:val="28"/>
          <w:szCs w:val="32"/>
          <w:rtl/>
        </w:rPr>
        <w:t xml:space="preserve"> ،</w:t>
      </w:r>
      <w:r w:rsidRPr="007C3EC7">
        <w:rPr>
          <w:rFonts w:cs="Traditional Arabic" w:hint="cs"/>
          <w:color w:val="000000"/>
          <w:sz w:val="28"/>
          <w:szCs w:val="32"/>
          <w:rtl/>
        </w:rPr>
        <w:t xml:space="preserve"> وتخول حق التقدم وحق التتبع</w:t>
      </w:r>
      <w:r>
        <w:rPr>
          <w:rFonts w:cs="Traditional Arabic" w:hint="cs"/>
          <w:color w:val="000000"/>
          <w:sz w:val="28"/>
          <w:szCs w:val="32"/>
          <w:rtl/>
        </w:rPr>
        <w:t xml:space="preserve"> ،</w:t>
      </w:r>
      <w:r w:rsidRPr="007C3EC7">
        <w:rPr>
          <w:rFonts w:cs="Traditional Arabic" w:hint="cs"/>
          <w:color w:val="000000"/>
          <w:sz w:val="28"/>
          <w:szCs w:val="32"/>
          <w:rtl/>
        </w:rPr>
        <w:t xml:space="preserve"> غير أن حق الدائنين فيها يتأثر بقاعدة "الحيازة في المنقول سند الملكية"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وفي مصر يذهب أغلب الفقهاء المصريين إلى أن حقوق الامتياز كلها</w:t>
      </w:r>
      <w:r>
        <w:rPr>
          <w:rFonts w:cs="Traditional Arabic" w:hint="cs"/>
          <w:color w:val="000000"/>
          <w:sz w:val="28"/>
          <w:szCs w:val="32"/>
          <w:rtl/>
        </w:rPr>
        <w:t xml:space="preserve"> ،</w:t>
      </w:r>
      <w:r w:rsidRPr="007C3EC7">
        <w:rPr>
          <w:rFonts w:cs="Traditional Arabic" w:hint="cs"/>
          <w:color w:val="000000"/>
          <w:sz w:val="28"/>
          <w:szCs w:val="32"/>
          <w:rtl/>
        </w:rPr>
        <w:t xml:space="preserve"> عامة وخاصة</w:t>
      </w:r>
      <w:r>
        <w:rPr>
          <w:rFonts w:cs="Traditional Arabic" w:hint="cs"/>
          <w:color w:val="000000"/>
          <w:sz w:val="28"/>
          <w:szCs w:val="32"/>
          <w:rtl/>
        </w:rPr>
        <w:t xml:space="preserve"> ،</w:t>
      </w:r>
      <w:r w:rsidRPr="007C3EC7">
        <w:rPr>
          <w:rFonts w:cs="Traditional Arabic" w:hint="cs"/>
          <w:color w:val="000000"/>
          <w:sz w:val="28"/>
          <w:szCs w:val="32"/>
          <w:rtl/>
        </w:rPr>
        <w:t xml:space="preserve"> على عقار وعلى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حقوق عينية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ويقول الأستاذ سليمان مرقس في هذا المعنى</w:t>
      </w:r>
      <w:r>
        <w:rPr>
          <w:rFonts w:cs="Traditional Arabic" w:hint="cs"/>
          <w:color w:val="000000"/>
          <w:sz w:val="28"/>
          <w:szCs w:val="32"/>
          <w:rtl/>
        </w:rPr>
        <w:t xml:space="preserve"> :</w:t>
      </w:r>
      <w:r w:rsidRPr="007C3EC7">
        <w:rPr>
          <w:rFonts w:cs="Traditional Arabic" w:hint="cs"/>
          <w:color w:val="000000"/>
          <w:sz w:val="28"/>
          <w:szCs w:val="32"/>
          <w:rtl/>
        </w:rPr>
        <w:t xml:space="preserve"> "لا محل في القانون المصري للمنازعة في أن الامتياز حق عيني</w:t>
      </w:r>
      <w:r>
        <w:rPr>
          <w:rFonts w:cs="Traditional Arabic" w:hint="cs"/>
          <w:color w:val="000000"/>
          <w:sz w:val="28"/>
          <w:szCs w:val="32"/>
          <w:rtl/>
        </w:rPr>
        <w:t xml:space="preserve"> ،</w:t>
      </w:r>
      <w:r w:rsidRPr="007C3EC7">
        <w:rPr>
          <w:rFonts w:cs="Traditional Arabic" w:hint="cs"/>
          <w:color w:val="000000"/>
          <w:sz w:val="28"/>
          <w:szCs w:val="32"/>
          <w:rtl/>
        </w:rPr>
        <w:t xml:space="preserve"> حيث قد نص عليه المشرع في الباب الرابع من الكتاب الرابع الذي نظم فيه الحقوق العينية التبعية</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وفي فرنسا</w:t>
      </w:r>
      <w:r>
        <w:rPr>
          <w:rFonts w:cs="Traditional Arabic" w:hint="cs"/>
          <w:color w:val="000000"/>
          <w:sz w:val="28"/>
          <w:szCs w:val="32"/>
          <w:rtl/>
        </w:rPr>
        <w:t xml:space="preserve"> )</w:t>
      </w:r>
      <w:r w:rsidRPr="007C3EC7">
        <w:rPr>
          <w:rFonts w:cs="Traditional Arabic" w:hint="cs"/>
          <w:color w:val="000000"/>
          <w:sz w:val="28"/>
          <w:szCs w:val="32"/>
          <w:rtl/>
        </w:rPr>
        <w:t xml:space="preserve"> الراجح أن الامتياز حق عيني يخول صاحبه ما تخوله إياه سائر الحقوق العينية من مزيتي التقدم والتتبع"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2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وأما أن الامتياز حق تابع</w:t>
      </w:r>
      <w:r>
        <w:rPr>
          <w:rFonts w:cs="Traditional Arabic" w:hint="cs"/>
          <w:color w:val="000000"/>
          <w:sz w:val="28"/>
          <w:szCs w:val="32"/>
          <w:rtl/>
        </w:rPr>
        <w:t xml:space="preserve"> ،</w:t>
      </w:r>
      <w:r w:rsidRPr="007C3EC7">
        <w:rPr>
          <w:rFonts w:cs="Traditional Arabic" w:hint="cs"/>
          <w:color w:val="000000"/>
          <w:sz w:val="28"/>
          <w:szCs w:val="32"/>
          <w:rtl/>
        </w:rPr>
        <w:t xml:space="preserve"> فلأنه يستلزم وجود التزام أصلي يضمنه</w:t>
      </w:r>
      <w:r>
        <w:rPr>
          <w:rFonts w:cs="Traditional Arabic" w:hint="cs"/>
          <w:color w:val="000000"/>
          <w:sz w:val="28"/>
          <w:szCs w:val="32"/>
          <w:rtl/>
        </w:rPr>
        <w:t xml:space="preserve"> ،</w:t>
      </w:r>
      <w:r w:rsidRPr="007C3EC7">
        <w:rPr>
          <w:rFonts w:cs="Traditional Arabic" w:hint="cs"/>
          <w:color w:val="000000"/>
          <w:sz w:val="28"/>
          <w:szCs w:val="32"/>
          <w:rtl/>
        </w:rPr>
        <w:t xml:space="preserve"> $924 شأنه في ذلك شأن الكفالة وارهن الرسمي والاختصاص والرهن الحيازي</w:t>
      </w:r>
      <w:r>
        <w:rPr>
          <w:rFonts w:cs="Traditional Arabic" w:hint="cs"/>
          <w:color w:val="000000"/>
          <w:sz w:val="28"/>
          <w:szCs w:val="32"/>
          <w:rtl/>
        </w:rPr>
        <w:t xml:space="preserve"> .</w:t>
      </w:r>
      <w:r w:rsidRPr="007C3EC7">
        <w:rPr>
          <w:rFonts w:cs="Traditional Arabic" w:hint="cs"/>
          <w:color w:val="000000"/>
          <w:sz w:val="28"/>
          <w:szCs w:val="32"/>
          <w:rtl/>
        </w:rPr>
        <w:t xml:space="preserve"> وهذا الالتزام الأصلي</w:t>
      </w:r>
      <w:r>
        <w:rPr>
          <w:rFonts w:cs="Traditional Arabic" w:hint="cs"/>
          <w:color w:val="000000"/>
          <w:sz w:val="28"/>
          <w:szCs w:val="32"/>
          <w:rtl/>
        </w:rPr>
        <w:t xml:space="preserve"> ،</w:t>
      </w:r>
      <w:r w:rsidRPr="007C3EC7">
        <w:rPr>
          <w:rFonts w:cs="Traditional Arabic" w:hint="cs"/>
          <w:color w:val="000000"/>
          <w:sz w:val="28"/>
          <w:szCs w:val="32"/>
          <w:rtl/>
        </w:rPr>
        <w:t xml:space="preserve"> إذا كان باطلا أو قابلا للإبطال أو انقضى</w:t>
      </w:r>
      <w:r>
        <w:rPr>
          <w:rFonts w:cs="Traditional Arabic" w:hint="cs"/>
          <w:color w:val="000000"/>
          <w:sz w:val="28"/>
          <w:szCs w:val="32"/>
          <w:rtl/>
        </w:rPr>
        <w:t xml:space="preserve"> ،</w:t>
      </w:r>
      <w:r w:rsidRPr="007C3EC7">
        <w:rPr>
          <w:rFonts w:cs="Traditional Arabic" w:hint="cs"/>
          <w:color w:val="000000"/>
          <w:sz w:val="28"/>
          <w:szCs w:val="32"/>
          <w:rtl/>
        </w:rPr>
        <w:t xml:space="preserve"> يتبعه الامتياز في كل ذلك</w:t>
      </w:r>
      <w:r>
        <w:rPr>
          <w:rFonts w:cs="Traditional Arabic" w:hint="cs"/>
          <w:color w:val="000000"/>
          <w:sz w:val="28"/>
          <w:szCs w:val="32"/>
          <w:rtl/>
        </w:rPr>
        <w:t xml:space="preserve"> .</w:t>
      </w:r>
      <w:r w:rsidRPr="007C3EC7">
        <w:rPr>
          <w:rFonts w:cs="Traditional Arabic" w:hint="cs"/>
          <w:color w:val="000000"/>
          <w:sz w:val="28"/>
          <w:szCs w:val="32"/>
          <w:rtl/>
        </w:rPr>
        <w:t xml:space="preserve"> والالتزام الأصلي الذي يضمنه الامتياز يصح أن يكون محله مبلغا من النقود</w:t>
      </w:r>
      <w:r>
        <w:rPr>
          <w:rFonts w:cs="Traditional Arabic" w:hint="cs"/>
          <w:color w:val="000000"/>
          <w:sz w:val="28"/>
          <w:szCs w:val="32"/>
          <w:rtl/>
        </w:rPr>
        <w:t xml:space="preserve"> ،</w:t>
      </w:r>
      <w:r w:rsidRPr="007C3EC7">
        <w:rPr>
          <w:rFonts w:cs="Traditional Arabic" w:hint="cs"/>
          <w:color w:val="000000"/>
          <w:sz w:val="28"/>
          <w:szCs w:val="32"/>
          <w:rtl/>
        </w:rPr>
        <w:t xml:space="preserve"> ولكن يصح أيضاً أن يكون محله التزاماً بعمل أو بامتناع عن عمل أو نقل حق عينين</w:t>
      </w:r>
      <w:r>
        <w:rPr>
          <w:rFonts w:cs="Traditional Arabic" w:hint="cs"/>
          <w:color w:val="000000"/>
          <w:sz w:val="28"/>
          <w:szCs w:val="32"/>
          <w:rtl/>
        </w:rPr>
        <w:t xml:space="preserve"> .</w:t>
      </w:r>
      <w:r w:rsidRPr="007C3EC7">
        <w:rPr>
          <w:rFonts w:cs="Traditional Arabic" w:hint="cs"/>
          <w:color w:val="000000"/>
          <w:sz w:val="28"/>
          <w:szCs w:val="32"/>
          <w:rtl/>
        </w:rPr>
        <w:t xml:space="preserve"> ويصح أن يكون الالتزام الأصلي مقروناً بأجل</w:t>
      </w:r>
      <w:r>
        <w:rPr>
          <w:rFonts w:cs="Traditional Arabic" w:hint="cs"/>
          <w:color w:val="000000"/>
          <w:sz w:val="28"/>
          <w:szCs w:val="32"/>
          <w:rtl/>
        </w:rPr>
        <w:t xml:space="preserve"> ،</w:t>
      </w:r>
      <w:r w:rsidRPr="007C3EC7">
        <w:rPr>
          <w:rFonts w:cs="Traditional Arabic" w:hint="cs"/>
          <w:color w:val="000000"/>
          <w:sz w:val="28"/>
          <w:szCs w:val="32"/>
          <w:rtl/>
        </w:rPr>
        <w:t xml:space="preserve"> أو معلقاً على شرط</w:t>
      </w:r>
      <w:r>
        <w:rPr>
          <w:rFonts w:cs="Traditional Arabic" w:hint="cs"/>
          <w:color w:val="000000"/>
          <w:sz w:val="28"/>
          <w:szCs w:val="32"/>
          <w:rtl/>
        </w:rPr>
        <w:t xml:space="preserve"> .</w:t>
      </w:r>
      <w:r w:rsidRPr="007C3EC7">
        <w:rPr>
          <w:rFonts w:cs="Traditional Arabic" w:hint="cs"/>
          <w:color w:val="000000"/>
          <w:sz w:val="28"/>
          <w:szCs w:val="32"/>
          <w:rtl/>
        </w:rPr>
        <w:t xml:space="preserve"> وينبني على ذلكانه لا يوجد </w:t>
      </w:r>
      <w:r w:rsidRPr="007C3EC7">
        <w:rPr>
          <w:rFonts w:cs="Traditional Arabic" w:hint="cs"/>
          <w:color w:val="000000"/>
          <w:sz w:val="28"/>
          <w:szCs w:val="32"/>
          <w:rtl/>
        </w:rPr>
        <w:lastRenderedPageBreak/>
        <w:t>إلا إذا وجد التزام أصلي</w:t>
      </w:r>
      <w:r>
        <w:rPr>
          <w:rFonts w:cs="Traditional Arabic" w:hint="cs"/>
          <w:color w:val="000000"/>
          <w:sz w:val="28"/>
          <w:szCs w:val="32"/>
          <w:rtl/>
        </w:rPr>
        <w:t xml:space="preserve"> ،</w:t>
      </w:r>
      <w:r w:rsidRPr="007C3EC7">
        <w:rPr>
          <w:rFonts w:cs="Traditional Arabic" w:hint="cs"/>
          <w:color w:val="000000"/>
          <w:sz w:val="28"/>
          <w:szCs w:val="32"/>
          <w:rtl/>
        </w:rPr>
        <w:t xml:space="preserve"> وينقضي بانقضائه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وأما أن الامتياز غير قابل للتجزئة</w:t>
      </w:r>
      <w:r>
        <w:rPr>
          <w:rFonts w:cs="Traditional Arabic" w:hint="cs"/>
          <w:color w:val="000000"/>
          <w:sz w:val="28"/>
          <w:szCs w:val="32"/>
          <w:rtl/>
        </w:rPr>
        <w:t xml:space="preserve"> ،</w:t>
      </w:r>
      <w:r w:rsidRPr="007C3EC7">
        <w:rPr>
          <w:rFonts w:cs="Traditional Arabic" w:hint="cs"/>
          <w:color w:val="000000"/>
          <w:sz w:val="28"/>
          <w:szCs w:val="32"/>
          <w:rtl/>
        </w:rPr>
        <w:t xml:space="preserve"> فهو كسائر الحقوق العينية التبعية يبقى على كل الشيء ما بقي جزء من الدين الممتاز لم يدفع</w:t>
      </w:r>
      <w:r>
        <w:rPr>
          <w:rFonts w:cs="Traditional Arabic" w:hint="cs"/>
          <w:color w:val="000000"/>
          <w:sz w:val="28"/>
          <w:szCs w:val="32"/>
          <w:rtl/>
        </w:rPr>
        <w:t xml:space="preserve"> ،</w:t>
      </w:r>
      <w:r w:rsidRPr="007C3EC7">
        <w:rPr>
          <w:rFonts w:cs="Traditional Arabic" w:hint="cs"/>
          <w:color w:val="000000"/>
          <w:sz w:val="28"/>
          <w:szCs w:val="32"/>
          <w:rtl/>
        </w:rPr>
        <w:t xml:space="preserve"> وكذلك أي جزء من الشيء يبقى ضامناً لكل الدين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فكل جزء من الشيء ضامن لكل الدين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وكل جزء من الدين الممتاز مضمون بكل الشيء</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وعدم تجزئة حق الامتياز من طبيعة </w:t>
      </w:r>
      <w:r>
        <w:rPr>
          <w:rFonts w:cs="Traditional Arabic"/>
          <w:color w:val="000000"/>
          <w:sz w:val="28"/>
          <w:szCs w:val="32"/>
          <w:rtl/>
        </w:rPr>
        <w:t xml:space="preserve">( </w:t>
      </w:r>
      <w:r w:rsidRPr="007C3EC7">
        <w:rPr>
          <w:rFonts w:cs="Traditional Arabic"/>
          <w:color w:val="000000"/>
          <w:sz w:val="28"/>
          <w:szCs w:val="32"/>
        </w:rPr>
        <w:t>nature</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الحق</w:t>
      </w:r>
      <w:r>
        <w:rPr>
          <w:rFonts w:cs="Traditional Arabic" w:hint="cs"/>
          <w:color w:val="000000"/>
          <w:sz w:val="28"/>
          <w:szCs w:val="32"/>
          <w:rtl/>
        </w:rPr>
        <w:t xml:space="preserve"> ،</w:t>
      </w:r>
      <w:r w:rsidRPr="007C3EC7">
        <w:rPr>
          <w:rFonts w:cs="Traditional Arabic" w:hint="cs"/>
          <w:color w:val="000000"/>
          <w:sz w:val="28"/>
          <w:szCs w:val="32"/>
          <w:rtl/>
        </w:rPr>
        <w:t xml:space="preserve"> لا من مستلزماته </w:t>
      </w:r>
      <w:r>
        <w:rPr>
          <w:rFonts w:cs="Traditional Arabic"/>
          <w:color w:val="000000"/>
          <w:sz w:val="28"/>
          <w:szCs w:val="32"/>
          <w:rtl/>
        </w:rPr>
        <w:t xml:space="preserve">( </w:t>
      </w:r>
      <w:r w:rsidRPr="007C3EC7">
        <w:rPr>
          <w:rFonts w:cs="Traditional Arabic"/>
          <w:color w:val="000000"/>
          <w:sz w:val="28"/>
          <w:szCs w:val="32"/>
        </w:rPr>
        <w:t>non de son sessence</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فيجوز الاتفاق على عكس ذلك</w:t>
      </w:r>
      <w:r>
        <w:rPr>
          <w:rFonts w:cs="Traditional Arabic" w:hint="cs"/>
          <w:color w:val="000000"/>
          <w:sz w:val="28"/>
          <w:szCs w:val="32"/>
          <w:rtl/>
        </w:rPr>
        <w:t xml:space="preserve"> ،</w:t>
      </w:r>
      <w:r w:rsidRPr="007C3EC7">
        <w:rPr>
          <w:rFonts w:cs="Traditional Arabic" w:hint="cs"/>
          <w:color w:val="000000"/>
          <w:sz w:val="28"/>
          <w:szCs w:val="32"/>
          <w:rtl/>
        </w:rPr>
        <w:t xml:space="preserve"> وأن يخصص جزء من الشيء لوفاء بعض الدين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660- أقسام حق الامتياز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وقد نصت المادة 1132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vertAlign w:val="superscript"/>
          <w:rtl/>
        </w:rPr>
      </w:pPr>
      <w:r w:rsidRPr="007C3EC7">
        <w:rPr>
          <w:rFonts w:cs="Traditional Arabic" w:hint="cs"/>
          <w:color w:val="000000"/>
          <w:sz w:val="28"/>
          <w:szCs w:val="32"/>
          <w:rtl/>
        </w:rPr>
        <w:t>"ترد حقوق الامتياز العامة على جميع أموال المدين من منقول وعقار</w:t>
      </w:r>
      <w:r>
        <w:rPr>
          <w:rFonts w:cs="Traditional Arabic" w:hint="cs"/>
          <w:color w:val="000000"/>
          <w:sz w:val="28"/>
          <w:szCs w:val="32"/>
          <w:rtl/>
        </w:rPr>
        <w:t xml:space="preserve"> ،</w:t>
      </w:r>
      <w:r w:rsidRPr="007C3EC7">
        <w:rPr>
          <w:rFonts w:cs="Traditional Arabic" w:hint="cs"/>
          <w:color w:val="000000"/>
          <w:sz w:val="28"/>
          <w:szCs w:val="32"/>
          <w:rtl/>
        </w:rPr>
        <w:t xml:space="preserve"> $925 أما حقوق الامتياز الخاصة فتكون مقصورة على منقول أو عقار معين"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2"/>
      </w:r>
      <w:r>
        <w:rPr>
          <w:rFonts w:cs="Traditional Arabic" w:hint="cs"/>
          <w:color w:val="000000"/>
          <w:sz w:val="28"/>
          <w:szCs w:val="32"/>
          <w:vertAlign w:val="superscript"/>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ورد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"وتنقسم حقوق الامتياز إلى</w:t>
      </w:r>
      <w:r>
        <w:rPr>
          <w:rFonts w:cs="Traditional Arabic" w:hint="cs"/>
          <w:color w:val="000000"/>
          <w:sz w:val="28"/>
          <w:szCs w:val="32"/>
          <w:rtl/>
        </w:rPr>
        <w:t xml:space="preserve"> :</w:t>
      </w:r>
      <w:r w:rsidRPr="007C3EC7">
        <w:rPr>
          <w:rFonts w:cs="Traditional Arabic" w:hint="cs"/>
          <w:color w:val="000000"/>
          <w:sz w:val="28"/>
          <w:szCs w:val="32"/>
          <w:rtl/>
        </w:rPr>
        <w:t xml:space="preserve"> 1- حقوق امتياز عامة على جميع أموال المدين</w:t>
      </w:r>
      <w:r>
        <w:rPr>
          <w:rFonts w:cs="Traditional Arabic" w:hint="cs"/>
          <w:color w:val="000000"/>
          <w:sz w:val="28"/>
          <w:szCs w:val="32"/>
          <w:rtl/>
        </w:rPr>
        <w:t xml:space="preserve"> ،</w:t>
      </w:r>
      <w:r w:rsidRPr="007C3EC7">
        <w:rPr>
          <w:rFonts w:cs="Traditional Arabic" w:hint="cs"/>
          <w:color w:val="000000"/>
          <w:sz w:val="28"/>
          <w:szCs w:val="32"/>
          <w:rtl/>
        </w:rPr>
        <w:t xml:space="preserve"> كامتياز النفقة وامتياز المبالغ المستحق للأجراء</w:t>
      </w:r>
      <w:r>
        <w:rPr>
          <w:rFonts w:cs="Traditional Arabic" w:hint="cs"/>
          <w:color w:val="000000"/>
          <w:sz w:val="28"/>
          <w:szCs w:val="32"/>
          <w:rtl/>
        </w:rPr>
        <w:t xml:space="preserve"> .</w:t>
      </w:r>
      <w:r w:rsidRPr="007C3EC7">
        <w:rPr>
          <w:rFonts w:cs="Traditional Arabic" w:hint="cs"/>
          <w:color w:val="000000"/>
          <w:sz w:val="28"/>
          <w:szCs w:val="32"/>
          <w:rtl/>
        </w:rPr>
        <w:t xml:space="preserve"> 2- حقوق امتياز خاصة على منقول معين</w:t>
      </w:r>
      <w:r>
        <w:rPr>
          <w:rFonts w:cs="Traditional Arabic" w:hint="cs"/>
          <w:color w:val="000000"/>
          <w:sz w:val="28"/>
          <w:szCs w:val="32"/>
          <w:rtl/>
        </w:rPr>
        <w:t xml:space="preserve"> ،</w:t>
      </w:r>
      <w:r w:rsidRPr="007C3EC7">
        <w:rPr>
          <w:rFonts w:cs="Traditional Arabic" w:hint="cs"/>
          <w:color w:val="000000"/>
          <w:sz w:val="28"/>
          <w:szCs w:val="32"/>
          <w:rtl/>
        </w:rPr>
        <w:t xml:space="preserve"> كامتياز المؤجر وامتياز بائع المنقول </w:t>
      </w:r>
      <w:r>
        <w:rPr>
          <w:rFonts w:cs="Traditional Arabic" w:hint="cs"/>
          <w:color w:val="000000"/>
          <w:sz w:val="28"/>
          <w:szCs w:val="32"/>
          <w:rtl/>
        </w:rPr>
        <w:t xml:space="preserve"> . . .</w:t>
      </w:r>
      <w:r w:rsidRPr="007C3EC7">
        <w:rPr>
          <w:rFonts w:cs="Traditional Arabic" w:hint="cs"/>
          <w:color w:val="000000"/>
          <w:sz w:val="28"/>
          <w:szCs w:val="32"/>
          <w:rtl/>
        </w:rPr>
        <w:t xml:space="preserve"> 3- حقوق امتياز خاصة على عقار معين</w:t>
      </w:r>
      <w:r>
        <w:rPr>
          <w:rFonts w:cs="Traditional Arabic" w:hint="cs"/>
          <w:color w:val="000000"/>
          <w:sz w:val="28"/>
          <w:szCs w:val="32"/>
          <w:rtl/>
        </w:rPr>
        <w:t xml:space="preserve"> ،</w:t>
      </w:r>
      <w:r w:rsidRPr="007C3EC7">
        <w:rPr>
          <w:rFonts w:cs="Traditional Arabic" w:hint="cs"/>
          <w:color w:val="000000"/>
          <w:sz w:val="28"/>
          <w:szCs w:val="32"/>
          <w:rtl/>
        </w:rPr>
        <w:t xml:space="preserve"> كامتياز بائع العقار وامتياز المتقاسم في العقار </w:t>
      </w:r>
      <w:r>
        <w:rPr>
          <w:rFonts w:cs="Traditional Arabic" w:hint="cs"/>
          <w:color w:val="000000"/>
          <w:sz w:val="28"/>
          <w:szCs w:val="32"/>
          <w:rtl/>
        </w:rPr>
        <w:t xml:space="preserve"> . . .</w:t>
      </w:r>
      <w:r w:rsidRPr="007C3EC7">
        <w:rPr>
          <w:rFonts w:cs="Traditional Arabic" w:hint="cs"/>
          <w:color w:val="000000"/>
          <w:sz w:val="28"/>
          <w:szCs w:val="32"/>
          <w:rtl/>
        </w:rPr>
        <w:t>"</w:t>
      </w:r>
      <w:r w:rsidRPr="007C3EC7">
        <w:rPr>
          <w:rFonts w:cs="Traditional Arabic" w:hint="cs"/>
          <w:color w:val="000000"/>
          <w:sz w:val="28"/>
          <w:szCs w:val="32"/>
          <w:vertAlign w:val="superscript"/>
          <w:rtl/>
        </w:rPr>
        <w:t xml:space="preserve"> </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والنص سالف الذكر يميز بين أقسام ثلاثة من حقق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حقوق امتياز عامة </w:t>
      </w:r>
      <w:r>
        <w:rPr>
          <w:rFonts w:cs="Traditional Arabic"/>
          <w:color w:val="000000"/>
          <w:sz w:val="28"/>
          <w:szCs w:val="32"/>
          <w:rtl/>
        </w:rPr>
        <w:t xml:space="preserve">( </w:t>
      </w:r>
      <w:r w:rsidRPr="007C3EC7">
        <w:rPr>
          <w:rFonts w:cs="Traditional Arabic"/>
          <w:color w:val="000000"/>
          <w:sz w:val="28"/>
          <w:szCs w:val="32"/>
        </w:rPr>
        <w:t>privileges generaux</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وتقع على جميع أموال المدين من منقولات وعقارات</w:t>
      </w:r>
      <w:r>
        <w:rPr>
          <w:rFonts w:cs="Traditional Arabic" w:hint="cs"/>
          <w:color w:val="000000"/>
          <w:sz w:val="28"/>
          <w:szCs w:val="32"/>
          <w:rtl/>
        </w:rPr>
        <w:t xml:space="preserve"> ،</w:t>
      </w:r>
      <w:r w:rsidRPr="007C3EC7">
        <w:rPr>
          <w:rFonts w:cs="Traditional Arabic" w:hint="cs"/>
          <w:color w:val="000000"/>
          <w:sz w:val="28"/>
          <w:szCs w:val="32"/>
          <w:rtl/>
        </w:rPr>
        <w:t xml:space="preserve"> فهي عامة بهذا المعنى</w:t>
      </w:r>
      <w:r>
        <w:rPr>
          <w:rFonts w:cs="Traditional Arabic" w:hint="cs"/>
          <w:color w:val="000000"/>
          <w:sz w:val="28"/>
          <w:szCs w:val="32"/>
          <w:rtl/>
        </w:rPr>
        <w:t xml:space="preserve"> ،</w:t>
      </w:r>
      <w:r w:rsidRPr="007C3EC7">
        <w:rPr>
          <w:rFonts w:cs="Traditional Arabic" w:hint="cs"/>
          <w:color w:val="000000"/>
          <w:sz w:val="28"/>
          <w:szCs w:val="32"/>
          <w:rtl/>
        </w:rPr>
        <w:t xml:space="preserve"> وقد بينها المشرع في المادة 1141 مدني</w:t>
      </w:r>
      <w:r>
        <w:rPr>
          <w:rFonts w:cs="Traditional Arabic" w:hint="cs"/>
          <w:color w:val="000000"/>
          <w:sz w:val="28"/>
          <w:szCs w:val="32"/>
          <w:rtl/>
        </w:rPr>
        <w:t xml:space="preserve"> ،</w:t>
      </w:r>
      <w:r w:rsidRPr="007C3EC7">
        <w:rPr>
          <w:rFonts w:cs="Traditional Arabic" w:hint="cs"/>
          <w:color w:val="000000"/>
          <w:sz w:val="28"/>
          <w:szCs w:val="32"/>
          <w:rtl/>
        </w:rPr>
        <w:t xml:space="preserve"> وهي ثلاثة أنواع</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أ</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المستحقة للخدم والكتبة والعمال وكل أجير آخر عن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ب</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$926 المستحقة عما تم توريده للمدين ومن يعوله من مأكل وملبس في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ج</w:t>
      </w:r>
      <w:r>
        <w:rPr>
          <w:rFonts w:cs="Traditional Arabic" w:hint="cs"/>
          <w:color w:val="000000"/>
          <w:sz w:val="28"/>
          <w:szCs w:val="32"/>
          <w:rtl/>
        </w:rPr>
        <w:t xml:space="preserve"> )</w:t>
      </w:r>
      <w:r w:rsidRPr="007C3EC7">
        <w:rPr>
          <w:rFonts w:cs="Traditional Arabic" w:hint="cs"/>
          <w:color w:val="000000"/>
          <w:sz w:val="28"/>
          <w:szCs w:val="32"/>
          <w:rtl/>
        </w:rPr>
        <w:t xml:space="preserve"> النفقة المستحقة في ذمة المدين لأقاربه عن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فهذه الحقوق الممتازة تقع كلها على جميع أموال المدين من منقول وعقار</w:t>
      </w:r>
      <w:r>
        <w:rPr>
          <w:rFonts w:cs="Traditional Arabic" w:hint="cs"/>
          <w:color w:val="000000"/>
          <w:sz w:val="28"/>
          <w:szCs w:val="32"/>
          <w:rtl/>
        </w:rPr>
        <w:t xml:space="preserve"> ،</w:t>
      </w:r>
      <w:r w:rsidRPr="007C3EC7">
        <w:rPr>
          <w:rFonts w:cs="Traditional Arabic" w:hint="cs"/>
          <w:color w:val="000000"/>
          <w:sz w:val="28"/>
          <w:szCs w:val="32"/>
          <w:rtl/>
        </w:rPr>
        <w:t xml:space="preserve"> ولا تتخصص في مال معين</w:t>
      </w:r>
      <w:r>
        <w:rPr>
          <w:rFonts w:cs="Traditional Arabic" w:hint="cs"/>
          <w:color w:val="000000"/>
          <w:sz w:val="28"/>
          <w:szCs w:val="32"/>
          <w:rtl/>
        </w:rPr>
        <w:t xml:space="preserve"> .</w:t>
      </w:r>
      <w:r w:rsidRPr="007C3EC7">
        <w:rPr>
          <w:rFonts w:cs="Traditional Arabic" w:hint="cs"/>
          <w:color w:val="000000"/>
          <w:sz w:val="28"/>
          <w:szCs w:val="32"/>
          <w:rtl/>
        </w:rPr>
        <w:t xml:space="preserve"> وهي لا تشهر</w:t>
      </w:r>
      <w:r>
        <w:rPr>
          <w:rFonts w:cs="Traditional Arabic" w:hint="cs"/>
          <w:color w:val="000000"/>
          <w:sz w:val="28"/>
          <w:szCs w:val="32"/>
          <w:rtl/>
        </w:rPr>
        <w:t xml:space="preserve"> ،</w:t>
      </w:r>
      <w:r w:rsidRPr="007C3EC7">
        <w:rPr>
          <w:rFonts w:cs="Traditional Arabic" w:hint="cs"/>
          <w:color w:val="000000"/>
          <w:sz w:val="28"/>
          <w:szCs w:val="32"/>
          <w:rtl/>
        </w:rPr>
        <w:t xml:space="preserve"> فلا تقيد عندما تقع على عقار المدين</w:t>
      </w:r>
      <w:r>
        <w:rPr>
          <w:rFonts w:cs="Traditional Arabic" w:hint="cs"/>
          <w:color w:val="000000"/>
          <w:sz w:val="28"/>
          <w:szCs w:val="32"/>
          <w:rtl/>
        </w:rPr>
        <w:t xml:space="preserve"> ،</w:t>
      </w:r>
      <w:r w:rsidRPr="007C3EC7">
        <w:rPr>
          <w:rFonts w:cs="Traditional Arabic" w:hint="cs"/>
          <w:color w:val="000000"/>
          <w:sz w:val="28"/>
          <w:szCs w:val="32"/>
          <w:rtl/>
        </w:rPr>
        <w:t xml:space="preserve"> لأنها مبالغ تافهة</w:t>
      </w:r>
      <w:r>
        <w:rPr>
          <w:rFonts w:cs="Traditional Arabic" w:hint="cs"/>
          <w:color w:val="000000"/>
          <w:sz w:val="28"/>
          <w:szCs w:val="32"/>
          <w:rtl/>
        </w:rPr>
        <w:t xml:space="preserve"> ،</w:t>
      </w:r>
      <w:r w:rsidRPr="007C3EC7">
        <w:rPr>
          <w:rFonts w:cs="Traditional Arabic" w:hint="cs"/>
          <w:color w:val="000000"/>
          <w:sz w:val="28"/>
          <w:szCs w:val="32"/>
          <w:rtl/>
        </w:rPr>
        <w:t xml:space="preserve"> فيسعها جميع أموال الدين</w:t>
      </w:r>
      <w:r>
        <w:rPr>
          <w:rFonts w:cs="Traditional Arabic" w:hint="cs"/>
          <w:color w:val="000000"/>
          <w:sz w:val="28"/>
          <w:szCs w:val="32"/>
          <w:rtl/>
        </w:rPr>
        <w:t xml:space="preserve"> .</w:t>
      </w:r>
      <w:r w:rsidRPr="007C3EC7">
        <w:rPr>
          <w:rFonts w:cs="Traditional Arabic" w:hint="cs"/>
          <w:color w:val="000000"/>
          <w:sz w:val="28"/>
          <w:szCs w:val="32"/>
          <w:rtl/>
        </w:rPr>
        <w:t xml:space="preserve"> لذلك لا يأتي فيها حق تتبع</w:t>
      </w:r>
      <w:r>
        <w:rPr>
          <w:rFonts w:cs="Traditional Arabic" w:hint="cs"/>
          <w:color w:val="000000"/>
          <w:sz w:val="28"/>
          <w:szCs w:val="32"/>
          <w:rtl/>
        </w:rPr>
        <w:t xml:space="preserve"> ،</w:t>
      </w:r>
      <w:r w:rsidRPr="007C3EC7">
        <w:rPr>
          <w:rFonts w:cs="Traditional Arabic" w:hint="cs"/>
          <w:color w:val="000000"/>
          <w:sz w:val="28"/>
          <w:szCs w:val="32"/>
          <w:rtl/>
        </w:rPr>
        <w:t xml:space="preserve"> وتعتمد أساساً على حق التقدم</w:t>
      </w:r>
      <w:r>
        <w:rPr>
          <w:rFonts w:cs="Traditional Arabic" w:hint="cs"/>
          <w:color w:val="000000"/>
          <w:sz w:val="28"/>
          <w:szCs w:val="32"/>
          <w:rtl/>
        </w:rPr>
        <w:t xml:space="preserve"> .</w:t>
      </w:r>
      <w:r w:rsidRPr="007C3EC7">
        <w:rPr>
          <w:rFonts w:cs="Traditional Arabic" w:hint="cs"/>
          <w:color w:val="000000"/>
          <w:sz w:val="28"/>
          <w:szCs w:val="32"/>
          <w:rtl/>
        </w:rPr>
        <w:t xml:space="preserve"> فإذا تقدم دائن له امتياز عام</w:t>
      </w:r>
      <w:r>
        <w:rPr>
          <w:rFonts w:cs="Traditional Arabic" w:hint="cs"/>
          <w:color w:val="000000"/>
          <w:sz w:val="28"/>
          <w:szCs w:val="32"/>
          <w:rtl/>
        </w:rPr>
        <w:t xml:space="preserve"> ،</w:t>
      </w:r>
      <w:r w:rsidRPr="007C3EC7">
        <w:rPr>
          <w:rFonts w:cs="Traditional Arabic" w:hint="cs"/>
          <w:color w:val="000000"/>
          <w:sz w:val="28"/>
          <w:szCs w:val="32"/>
          <w:rtl/>
        </w:rPr>
        <w:t xml:space="preserve"> نفذ على مال المدين الذي لا يزال ملكاً له من مقول وعقار</w:t>
      </w:r>
      <w:r>
        <w:rPr>
          <w:rFonts w:cs="Traditional Arabic" w:hint="cs"/>
          <w:color w:val="000000"/>
          <w:sz w:val="28"/>
          <w:szCs w:val="32"/>
          <w:rtl/>
        </w:rPr>
        <w:t xml:space="preserve"> ،</w:t>
      </w:r>
      <w:r w:rsidRPr="007C3EC7">
        <w:rPr>
          <w:rFonts w:cs="Traditional Arabic" w:hint="cs"/>
          <w:color w:val="000000"/>
          <w:sz w:val="28"/>
          <w:szCs w:val="32"/>
          <w:rtl/>
        </w:rPr>
        <w:t xml:space="preserve"> وترك الأموال التي خرجت من ملكية المدين</w:t>
      </w:r>
      <w:r>
        <w:rPr>
          <w:rFonts w:cs="Traditional Arabic" w:hint="cs"/>
          <w:color w:val="000000"/>
          <w:sz w:val="28"/>
          <w:szCs w:val="32"/>
          <w:rtl/>
        </w:rPr>
        <w:t xml:space="preserve"> ،</w:t>
      </w:r>
      <w:r w:rsidRPr="007C3EC7">
        <w:rPr>
          <w:rFonts w:cs="Traditional Arabic" w:hint="cs"/>
          <w:color w:val="000000"/>
          <w:sz w:val="28"/>
          <w:szCs w:val="32"/>
          <w:rtl/>
        </w:rPr>
        <w:t xml:space="preserve"> فهذه تستلزم حق تتبع وهو لا يوجد</w:t>
      </w:r>
      <w:r>
        <w:rPr>
          <w:rFonts w:cs="Traditional Arabic" w:hint="cs"/>
          <w:color w:val="000000"/>
          <w:sz w:val="28"/>
          <w:szCs w:val="32"/>
          <w:rtl/>
        </w:rPr>
        <w:t xml:space="preserve"> .</w:t>
      </w:r>
      <w:r w:rsidRPr="007C3EC7">
        <w:rPr>
          <w:rFonts w:cs="Traditional Arabic" w:hint="cs"/>
          <w:color w:val="000000"/>
          <w:sz w:val="28"/>
          <w:szCs w:val="32"/>
          <w:rtl/>
        </w:rPr>
        <w:t xml:space="preserve"> ومتى نفذ الدائن على مال مملوك للمدين</w:t>
      </w:r>
      <w:r>
        <w:rPr>
          <w:rFonts w:cs="Traditional Arabic" w:hint="cs"/>
          <w:color w:val="000000"/>
          <w:sz w:val="28"/>
          <w:szCs w:val="32"/>
          <w:rtl/>
        </w:rPr>
        <w:t xml:space="preserve"> ،</w:t>
      </w:r>
      <w:r w:rsidRPr="007C3EC7">
        <w:rPr>
          <w:rFonts w:cs="Traditional Arabic" w:hint="cs"/>
          <w:color w:val="000000"/>
          <w:sz w:val="28"/>
          <w:szCs w:val="32"/>
          <w:rtl/>
        </w:rPr>
        <w:t xml:space="preserve"> لم يتقدم عليه إلا المصروفات القضائية والمبالغ المستحقة للخزانة </w:t>
      </w:r>
      <w:r w:rsidRPr="007C3EC7">
        <w:rPr>
          <w:rFonts w:cs="Traditional Arabic" w:hint="cs"/>
          <w:color w:val="000000"/>
          <w:sz w:val="28"/>
          <w:szCs w:val="32"/>
          <w:rtl/>
        </w:rPr>
        <w:lastRenderedPageBreak/>
        <w:t>العامة ومصروفات الحفظ والترميم وهذه كلها حقوق امتياز خاصة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ثم يأتي صاحب الامتياز العام</w:t>
      </w:r>
      <w:r>
        <w:rPr>
          <w:rFonts w:cs="Traditional Arabic" w:hint="cs"/>
          <w:color w:val="000000"/>
          <w:sz w:val="28"/>
          <w:szCs w:val="32"/>
          <w:rtl/>
        </w:rPr>
        <w:t xml:space="preserve"> ،</w:t>
      </w:r>
      <w:r w:rsidRPr="007C3EC7">
        <w:rPr>
          <w:rFonts w:cs="Traditional Arabic" w:hint="cs"/>
          <w:color w:val="000000"/>
          <w:sz w:val="28"/>
          <w:szCs w:val="32"/>
          <w:rtl/>
        </w:rPr>
        <w:t xml:space="preserve"> فينفذ على أي مال للمدين فيستوي حقه من هذا المال</w:t>
      </w:r>
      <w:r>
        <w:rPr>
          <w:rFonts w:cs="Traditional Arabic" w:hint="cs"/>
          <w:color w:val="000000"/>
          <w:sz w:val="28"/>
          <w:szCs w:val="32"/>
          <w:rtl/>
        </w:rPr>
        <w:t xml:space="preserve"> ،</w:t>
      </w:r>
      <w:r w:rsidRPr="007C3EC7">
        <w:rPr>
          <w:rFonts w:cs="Traditional Arabic" w:hint="cs"/>
          <w:color w:val="000000"/>
          <w:sz w:val="28"/>
          <w:szCs w:val="32"/>
          <w:rtl/>
        </w:rPr>
        <w:t xml:space="preserve"> متقدماً على جميع الدائنين فيما عدا الدائنين الذين مر ذكرهم وهم أصحاب المصروفات القضائية والمبالغ المستحقة للخزانة العامة ومصروفات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وإذا تعدد الدائنون أصحاب الامتياز العام</w:t>
      </w:r>
      <w:r>
        <w:rPr>
          <w:rFonts w:cs="Traditional Arabic" w:hint="cs"/>
          <w:color w:val="000000"/>
          <w:sz w:val="28"/>
          <w:szCs w:val="32"/>
          <w:rtl/>
        </w:rPr>
        <w:t xml:space="preserve"> ،</w:t>
      </w:r>
      <w:r w:rsidRPr="007C3EC7">
        <w:rPr>
          <w:rFonts w:cs="Traditional Arabic" w:hint="cs"/>
          <w:color w:val="000000"/>
          <w:sz w:val="28"/>
          <w:szCs w:val="32"/>
          <w:rtl/>
        </w:rPr>
        <w:t xml:space="preserve"> فتقدم مثلا خادم ومورد مأكل ودائن بالنفقة</w:t>
      </w:r>
      <w:r>
        <w:rPr>
          <w:rFonts w:cs="Traditional Arabic" w:hint="cs"/>
          <w:color w:val="000000"/>
          <w:sz w:val="28"/>
          <w:szCs w:val="32"/>
          <w:rtl/>
        </w:rPr>
        <w:t xml:space="preserve"> ،</w:t>
      </w:r>
      <w:r w:rsidRPr="007C3EC7">
        <w:rPr>
          <w:rFonts w:cs="Traditional Arabic" w:hint="cs"/>
          <w:color w:val="000000"/>
          <w:sz w:val="28"/>
          <w:szCs w:val="32"/>
          <w:rtl/>
        </w:rPr>
        <w:t xml:space="preserve"> تساووا جميعاً ولم يتقدم واحد منهم على الاثنين الآخرين</w:t>
      </w:r>
      <w:r>
        <w:rPr>
          <w:rFonts w:cs="Traditional Arabic" w:hint="cs"/>
          <w:color w:val="000000"/>
          <w:sz w:val="28"/>
          <w:szCs w:val="32"/>
          <w:rtl/>
        </w:rPr>
        <w:t xml:space="preserve"> .</w:t>
      </w:r>
      <w:r w:rsidRPr="007C3EC7">
        <w:rPr>
          <w:rFonts w:cs="Traditional Arabic" w:hint="cs"/>
          <w:color w:val="000000"/>
          <w:sz w:val="28"/>
          <w:szCs w:val="32"/>
          <w:rtl/>
        </w:rPr>
        <w:t xml:space="preserve"> وإذا حجز الثلاثة على مال للمدين</w:t>
      </w:r>
      <w:r>
        <w:rPr>
          <w:rFonts w:cs="Traditional Arabic" w:hint="cs"/>
          <w:color w:val="000000"/>
          <w:sz w:val="28"/>
          <w:szCs w:val="32"/>
          <w:rtl/>
        </w:rPr>
        <w:t xml:space="preserve"> ،</w:t>
      </w:r>
      <w:r w:rsidRPr="007C3EC7">
        <w:rPr>
          <w:rFonts w:cs="Traditional Arabic" w:hint="cs"/>
          <w:color w:val="000000"/>
          <w:sz w:val="28"/>
          <w:szCs w:val="32"/>
          <w:rtl/>
        </w:rPr>
        <w:t xml:space="preserve"> اقتسموا ثمن هذا المال كل بنسبة ماله</w:t>
      </w:r>
      <w:r>
        <w:rPr>
          <w:rFonts w:cs="Traditional Arabic" w:hint="cs"/>
          <w:color w:val="000000"/>
          <w:sz w:val="28"/>
          <w:szCs w:val="32"/>
          <w:rtl/>
        </w:rPr>
        <w:t xml:space="preserve"> ،</w:t>
      </w:r>
      <w:r w:rsidRPr="007C3EC7">
        <w:rPr>
          <w:rFonts w:cs="Traditional Arabic" w:hint="cs"/>
          <w:color w:val="000000"/>
          <w:sz w:val="28"/>
          <w:szCs w:val="32"/>
          <w:rtl/>
        </w:rPr>
        <w:t xml:space="preserve"> فأصحاب الامتياز العام فيما بينهم متساوون</w:t>
      </w:r>
      <w:r>
        <w:rPr>
          <w:rFonts w:cs="Traditional Arabic" w:hint="cs"/>
          <w:color w:val="000000"/>
          <w:sz w:val="28"/>
          <w:szCs w:val="32"/>
          <w:rtl/>
        </w:rPr>
        <w:t xml:space="preserve"> ،</w:t>
      </w:r>
      <w:r w:rsidRPr="007C3EC7">
        <w:rPr>
          <w:rFonts w:cs="Traditional Arabic" w:hint="cs"/>
          <w:color w:val="000000"/>
          <w:sz w:val="28"/>
          <w:szCs w:val="32"/>
          <w:rtl/>
        </w:rPr>
        <w:t xml:space="preserve"> وبالنسبة إلى الدائنين الآخرين لا يتقدمهم إلا ثلاثة من اصحبا الامتياز الخاص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ويتأخر عنهم بقية أصحاب الامتياز الخاص على منقول وكل أصحاب الامتياز الخاص على 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2- حقوق امتياز خاصة على منقول معين </w:t>
      </w:r>
      <w:r>
        <w:rPr>
          <w:rFonts w:cs="Traditional Arabic"/>
          <w:color w:val="000000"/>
          <w:sz w:val="28"/>
          <w:szCs w:val="32"/>
          <w:rtl/>
        </w:rPr>
        <w:t xml:space="preserve">( </w:t>
      </w:r>
      <w:r w:rsidRPr="007C3EC7">
        <w:rPr>
          <w:rFonts w:cs="Traditional Arabic"/>
          <w:color w:val="000000"/>
          <w:sz w:val="28"/>
          <w:szCs w:val="32"/>
        </w:rPr>
        <w:t>priveleges speciaux sur les meubles</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وهؤلاء لهم حق امتياز خاص على منقول معين من منقولات المدين</w:t>
      </w:r>
      <w:r>
        <w:rPr>
          <w:rFonts w:cs="Traditional Arabic" w:hint="cs"/>
          <w:color w:val="000000"/>
          <w:sz w:val="28"/>
          <w:szCs w:val="32"/>
          <w:rtl/>
        </w:rPr>
        <w:t xml:space="preserve"> .</w:t>
      </w:r>
      <w:r w:rsidRPr="007C3EC7">
        <w:rPr>
          <w:rFonts w:cs="Traditional Arabic" w:hint="cs"/>
          <w:color w:val="000000"/>
          <w:sz w:val="28"/>
          <w:szCs w:val="32"/>
          <w:rtl/>
        </w:rPr>
        <w:t xml:space="preserve"> وقد ذكرهم المشرع مرتين حسب مراتبهم</w:t>
      </w:r>
      <w:r>
        <w:rPr>
          <w:rFonts w:cs="Traditional Arabic" w:hint="cs"/>
          <w:color w:val="000000"/>
          <w:sz w:val="28"/>
          <w:szCs w:val="32"/>
          <w:rtl/>
        </w:rPr>
        <w:t xml:space="preserve"> ،</w:t>
      </w:r>
      <w:r w:rsidRPr="007C3EC7">
        <w:rPr>
          <w:rFonts w:cs="Traditional Arabic" w:hint="cs"/>
          <w:color w:val="000000"/>
          <w:sz w:val="28"/>
          <w:szCs w:val="32"/>
          <w:rtl/>
        </w:rPr>
        <w:t xml:space="preserve"> $927 ثلاثة منهم يسبقون أصحاب الامتياز العام وهم أصحاب المصروفات القضائية فالمبالغ المستحقة للخزانة العامة فأصحاب المبالغ التي صرفت في حفظ المنقول وترميمه</w:t>
      </w:r>
      <w:r>
        <w:rPr>
          <w:rFonts w:cs="Traditional Arabic" w:hint="cs"/>
          <w:color w:val="000000"/>
          <w:sz w:val="28"/>
          <w:szCs w:val="32"/>
          <w:rtl/>
        </w:rPr>
        <w:t xml:space="preserve"> ،</w:t>
      </w:r>
      <w:r w:rsidRPr="007C3EC7">
        <w:rPr>
          <w:rFonts w:cs="Traditional Arabic" w:hint="cs"/>
          <w:color w:val="000000"/>
          <w:sz w:val="28"/>
          <w:szCs w:val="32"/>
          <w:rtl/>
        </w:rPr>
        <w:t xml:space="preserve"> والباقي يتأخرون عن أصحاب الامتياز العام وهم أصحاب المبالغ المنصرفة في البذر والسماد وأعمال الزراعة والحصاد وفي مقابل آلات الزراعة ثم أجرة المباني والأراضي الزراعية والمبالغ المستحقة لصاحب الفندق في ذمة النزيل ثم ما يستحق لبائع المنقول من الثمن وملحقاته ما للشركاء الذين اقتسموا منقولا وهو ما يسمى بامتياز المتقاسم</w:t>
      </w:r>
      <w:r>
        <w:rPr>
          <w:rFonts w:cs="Traditional Arabic" w:hint="cs"/>
          <w:color w:val="000000"/>
          <w:sz w:val="28"/>
          <w:szCs w:val="32"/>
          <w:rtl/>
        </w:rPr>
        <w:t xml:space="preserve"> .</w:t>
      </w:r>
      <w:r w:rsidRPr="007C3EC7">
        <w:rPr>
          <w:rFonts w:cs="Traditional Arabic" w:hint="cs"/>
          <w:color w:val="000000"/>
          <w:sz w:val="28"/>
          <w:szCs w:val="32"/>
          <w:rtl/>
        </w:rPr>
        <w:t xml:space="preserve"> وسنوضح فيما يلين عند الكلام في حقوق الامتياز هذه</w:t>
      </w:r>
      <w:r>
        <w:rPr>
          <w:rFonts w:cs="Traditional Arabic" w:hint="cs"/>
          <w:color w:val="000000"/>
          <w:sz w:val="28"/>
          <w:szCs w:val="32"/>
          <w:rtl/>
        </w:rPr>
        <w:t xml:space="preserve"> ،</w:t>
      </w:r>
      <w:r w:rsidRPr="007C3EC7">
        <w:rPr>
          <w:rFonts w:cs="Traditional Arabic" w:hint="cs"/>
          <w:color w:val="000000"/>
          <w:sz w:val="28"/>
          <w:szCs w:val="32"/>
          <w:rtl/>
        </w:rPr>
        <w:t xml:space="preserve"> كيف يكون لصاحب الامتياز من هؤلاء امتياز على منقول معين بالذات من منقولات مدينه</w:t>
      </w:r>
      <w:r>
        <w:rPr>
          <w:rFonts w:cs="Traditional Arabic" w:hint="cs"/>
          <w:color w:val="000000"/>
          <w:sz w:val="28"/>
          <w:szCs w:val="32"/>
          <w:rtl/>
        </w:rPr>
        <w:t xml:space="preserve"> .</w:t>
      </w:r>
      <w:r w:rsidRPr="007C3EC7">
        <w:rPr>
          <w:rFonts w:cs="Traditional Arabic" w:hint="cs"/>
          <w:color w:val="000000"/>
          <w:sz w:val="28"/>
          <w:szCs w:val="32"/>
          <w:rtl/>
        </w:rPr>
        <w:t xml:space="preserve"> وإذا لم يكف المنقول الدائن</w:t>
      </w:r>
      <w:r>
        <w:rPr>
          <w:rFonts w:cs="Traditional Arabic" w:hint="cs"/>
          <w:color w:val="000000"/>
          <w:sz w:val="28"/>
          <w:szCs w:val="32"/>
          <w:rtl/>
        </w:rPr>
        <w:t xml:space="preserve"> ،</w:t>
      </w:r>
      <w:r w:rsidRPr="007C3EC7">
        <w:rPr>
          <w:rFonts w:cs="Traditional Arabic" w:hint="cs"/>
          <w:color w:val="000000"/>
          <w:sz w:val="28"/>
          <w:szCs w:val="32"/>
          <w:rtl/>
        </w:rPr>
        <w:t xml:space="preserve"> كان لهذا كدائن عادي أن يشترك مع باقي الدائنين في التنفيذ على سائر أموال المدين لاستياء الباقي من حقه</w:t>
      </w:r>
      <w:r>
        <w:rPr>
          <w:rFonts w:cs="Traditional Arabic" w:hint="cs"/>
          <w:color w:val="000000"/>
          <w:sz w:val="28"/>
          <w:szCs w:val="32"/>
          <w:rtl/>
        </w:rPr>
        <w:t xml:space="preserve"> .</w:t>
      </w:r>
      <w:r w:rsidRPr="007C3EC7">
        <w:rPr>
          <w:rFonts w:cs="Traditional Arabic" w:hint="cs"/>
          <w:color w:val="000000"/>
          <w:sz w:val="28"/>
          <w:szCs w:val="32"/>
          <w:rtl/>
        </w:rPr>
        <w:t xml:space="preserve"> وحق الامتياز الخاص على منقول عرضة للضياع</w:t>
      </w:r>
      <w:r>
        <w:rPr>
          <w:rFonts w:cs="Traditional Arabic" w:hint="cs"/>
          <w:color w:val="000000"/>
          <w:sz w:val="28"/>
          <w:szCs w:val="32"/>
          <w:rtl/>
        </w:rPr>
        <w:t xml:space="preserve"> ،</w:t>
      </w:r>
      <w:r w:rsidRPr="007C3EC7">
        <w:rPr>
          <w:rFonts w:cs="Traditional Arabic" w:hint="cs"/>
          <w:color w:val="000000"/>
          <w:sz w:val="28"/>
          <w:szCs w:val="32"/>
          <w:rtl/>
        </w:rPr>
        <w:t xml:space="preserve"> لا سيما إذا تعارض مع قاعدة الحيازة في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لذلك أجاز القانون للدائن إذا خشي لأسباب معقولة تبديد المنقول أن يطلب وضعه تحت الحراسة </w:t>
      </w:r>
      <w:r>
        <w:rPr>
          <w:rFonts w:cs="Traditional Arabic" w:hint="cs"/>
          <w:color w:val="000000"/>
          <w:sz w:val="28"/>
          <w:szCs w:val="32"/>
          <w:rtl/>
        </w:rPr>
        <w:t xml:space="preserve">( </w:t>
      </w:r>
      <w:r w:rsidRPr="007C3EC7">
        <w:rPr>
          <w:rFonts w:cs="Traditional Arabic" w:hint="cs"/>
          <w:color w:val="000000"/>
          <w:sz w:val="28"/>
          <w:szCs w:val="32"/>
          <w:rtl/>
        </w:rPr>
        <w:t>م 1133 مدني</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3- حقوق امتياز خاصة على عقار معين </w:t>
      </w:r>
      <w:r>
        <w:rPr>
          <w:rFonts w:cs="Traditional Arabic"/>
          <w:color w:val="000000"/>
          <w:sz w:val="28"/>
          <w:szCs w:val="32"/>
          <w:rtl/>
        </w:rPr>
        <w:t xml:space="preserve">( </w:t>
      </w:r>
      <w:r w:rsidRPr="007C3EC7">
        <w:rPr>
          <w:rFonts w:cs="Traditional Arabic"/>
          <w:color w:val="000000"/>
          <w:sz w:val="28"/>
          <w:szCs w:val="32"/>
        </w:rPr>
        <w:t>privileges spesiaux sur les immeubles</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وأصحاب هذه الحقوق لهم امتياز خاص على عقار معين بالذات من عقارات المدين</w:t>
      </w:r>
      <w:r>
        <w:rPr>
          <w:rFonts w:cs="Traditional Arabic" w:hint="cs"/>
          <w:color w:val="000000"/>
          <w:sz w:val="28"/>
          <w:szCs w:val="32"/>
          <w:rtl/>
        </w:rPr>
        <w:t xml:space="preserve"> .</w:t>
      </w:r>
      <w:r w:rsidRPr="007C3EC7">
        <w:rPr>
          <w:rFonts w:cs="Traditional Arabic" w:hint="cs"/>
          <w:color w:val="000000"/>
          <w:sz w:val="28"/>
          <w:szCs w:val="32"/>
          <w:rtl/>
        </w:rPr>
        <w:t xml:space="preserve"> ووجد ثلاثة حقوق امتياز خاصة على عقار معين</w:t>
      </w:r>
      <w:r>
        <w:rPr>
          <w:rFonts w:cs="Traditional Arabic" w:hint="cs"/>
          <w:color w:val="000000"/>
          <w:sz w:val="28"/>
          <w:szCs w:val="32"/>
          <w:rtl/>
        </w:rPr>
        <w:t xml:space="preserve"> ،</w:t>
      </w:r>
      <w:r w:rsidRPr="007C3EC7">
        <w:rPr>
          <w:rFonts w:cs="Traditional Arabic" w:hint="cs"/>
          <w:color w:val="000000"/>
          <w:sz w:val="28"/>
          <w:szCs w:val="32"/>
          <w:rtl/>
        </w:rPr>
        <w:t xml:space="preserve"> هي ما يستحق لبائع العقار من الثمن وملحقاته والمبالغ المستحقة </w:t>
      </w:r>
      <w:r w:rsidRPr="007C3EC7">
        <w:rPr>
          <w:rFonts w:cs="Traditional Arabic" w:hint="cs"/>
          <w:color w:val="000000"/>
          <w:sz w:val="28"/>
          <w:szCs w:val="32"/>
          <w:rtl/>
        </w:rPr>
        <w:lastRenderedPageBreak/>
        <w:t>للمقاولين والمهندسين المعماريين على المنشآت والشركاء الذين اقتسموا عقاراً تأميناً لما تخوله القسمة من حقوق</w:t>
      </w:r>
      <w:r>
        <w:rPr>
          <w:rFonts w:cs="Traditional Arabic" w:hint="cs"/>
          <w:color w:val="000000"/>
          <w:sz w:val="28"/>
          <w:szCs w:val="32"/>
          <w:rtl/>
        </w:rPr>
        <w:t xml:space="preserve"> .</w:t>
      </w:r>
      <w:r w:rsidRPr="007C3EC7">
        <w:rPr>
          <w:rFonts w:cs="Traditional Arabic" w:hint="cs"/>
          <w:color w:val="000000"/>
          <w:sz w:val="28"/>
          <w:szCs w:val="32"/>
          <w:rtl/>
        </w:rPr>
        <w:t xml:space="preserve"> وأصحاب الامتياز الخاص على عقار يجب أن يقيدوا حق امتيازهم</w:t>
      </w:r>
      <w:r>
        <w:rPr>
          <w:rFonts w:cs="Traditional Arabic" w:hint="cs"/>
          <w:color w:val="000000"/>
          <w:sz w:val="28"/>
          <w:szCs w:val="32"/>
          <w:rtl/>
        </w:rPr>
        <w:t xml:space="preserve"> ،</w:t>
      </w:r>
      <w:r w:rsidRPr="007C3EC7">
        <w:rPr>
          <w:rFonts w:cs="Traditional Arabic" w:hint="cs"/>
          <w:color w:val="000000"/>
          <w:sz w:val="28"/>
          <w:szCs w:val="32"/>
          <w:rtl/>
        </w:rPr>
        <w:t xml:space="preserve"> وتتحدد مرتبتهم بتاريخ القيد</w:t>
      </w:r>
      <w:r>
        <w:rPr>
          <w:rFonts w:cs="Traditional Arabic" w:hint="cs"/>
          <w:color w:val="000000"/>
          <w:sz w:val="28"/>
          <w:szCs w:val="32"/>
          <w:rtl/>
        </w:rPr>
        <w:t xml:space="preserve"> .</w:t>
      </w:r>
      <w:r w:rsidRPr="007C3EC7">
        <w:rPr>
          <w:rFonts w:cs="Traditional Arabic" w:hint="cs"/>
          <w:color w:val="000000"/>
          <w:sz w:val="28"/>
          <w:szCs w:val="32"/>
          <w:rtl/>
        </w:rPr>
        <w:t xml:space="preserve"> وتنتج حقوق الامتياز هذه نفس الآثار التي تنتجها الرهون الرسمية</w:t>
      </w:r>
      <w:r>
        <w:rPr>
          <w:rFonts w:cs="Traditional Arabic" w:hint="cs"/>
          <w:color w:val="000000"/>
          <w:sz w:val="28"/>
          <w:szCs w:val="32"/>
          <w:rtl/>
        </w:rPr>
        <w:t xml:space="preserve"> ،</w:t>
      </w:r>
      <w:r w:rsidRPr="007C3EC7">
        <w:rPr>
          <w:rFonts w:cs="Traditional Arabic" w:hint="cs"/>
          <w:color w:val="000000"/>
          <w:sz w:val="28"/>
          <w:szCs w:val="32"/>
          <w:rtl/>
        </w:rPr>
        <w:t xml:space="preserve"> بما في ذلك قاعدة عدم التجزئة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وإذا لم يكف العقار لأداء حق الدائن</w:t>
      </w:r>
      <w:r>
        <w:rPr>
          <w:rFonts w:cs="Traditional Arabic" w:hint="cs"/>
          <w:color w:val="000000"/>
          <w:sz w:val="28"/>
          <w:szCs w:val="32"/>
          <w:rtl/>
        </w:rPr>
        <w:t xml:space="preserve"> ،</w:t>
      </w:r>
      <w:r w:rsidRPr="007C3EC7">
        <w:rPr>
          <w:rFonts w:cs="Traditional Arabic" w:hint="cs"/>
          <w:color w:val="000000"/>
          <w:sz w:val="28"/>
          <w:szCs w:val="32"/>
          <w:rtl/>
        </w:rPr>
        <w:t xml:space="preserve"> نفذ الدائن كدائن $928 عادي  على جميع أموال المدين الأخرى</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يوجد في القانون المصري امتياز عام على كل عقارات المدين دون منقولاته</w:t>
      </w:r>
      <w:r>
        <w:rPr>
          <w:rFonts w:cs="Traditional Arabic" w:hint="cs"/>
          <w:color w:val="000000"/>
          <w:sz w:val="28"/>
          <w:szCs w:val="32"/>
          <w:rtl/>
        </w:rPr>
        <w:t xml:space="preserve"> ،</w:t>
      </w:r>
      <w:r w:rsidRPr="007C3EC7">
        <w:rPr>
          <w:rFonts w:cs="Traditional Arabic" w:hint="cs"/>
          <w:color w:val="000000"/>
          <w:sz w:val="28"/>
          <w:szCs w:val="32"/>
          <w:rtl/>
        </w:rPr>
        <w:t xml:space="preserve"> ولا على كل منقولات المدين دون عقاراته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661- أحكام أقسام حق الامتياز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ونصت المادة 1134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تسري على حقوق الامتياز الواقعة على عقار على أحكام الرهن الرسمي بالقدر الذي لا تتعارض فيه مع طبيعة هذه الحقوق</w:t>
      </w:r>
      <w:r>
        <w:rPr>
          <w:rFonts w:cs="Traditional Arabic" w:hint="cs"/>
          <w:color w:val="000000"/>
          <w:sz w:val="28"/>
          <w:szCs w:val="32"/>
          <w:rtl/>
        </w:rPr>
        <w:t xml:space="preserve"> ،</w:t>
      </w:r>
      <w:r w:rsidRPr="007C3EC7">
        <w:rPr>
          <w:rFonts w:cs="Traditional Arabic" w:hint="cs"/>
          <w:color w:val="000000"/>
          <w:sz w:val="28"/>
          <w:szCs w:val="32"/>
          <w:rtl/>
        </w:rPr>
        <w:t xml:space="preserve"> وتسري بنوع خاص أحكام التطهير والقيد ما يترتب على القيد من آثار وما يتصل به من تجديد ومحو"</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ومع ذلك فإن حقوق الامتياز العامة ولو كان محلها عقاراً لا يجب فيها الشهر ولا يثبت فيها حق التتبع</w:t>
      </w:r>
      <w:r>
        <w:rPr>
          <w:rFonts w:cs="Traditional Arabic" w:hint="cs"/>
          <w:color w:val="000000"/>
          <w:sz w:val="28"/>
          <w:szCs w:val="32"/>
          <w:rtl/>
        </w:rPr>
        <w:t xml:space="preserve"> ،</w:t>
      </w:r>
      <w:r w:rsidRPr="007C3EC7">
        <w:rPr>
          <w:rFonts w:cs="Traditional Arabic" w:hint="cs"/>
          <w:color w:val="000000"/>
          <w:sz w:val="28"/>
          <w:szCs w:val="32"/>
          <w:rtl/>
        </w:rPr>
        <w:t xml:space="preserve"> ولا حاجة للشهر أيضاً في حقوق الامتياز العقارية الضامن لمبالغ مستحقة للخزانة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وهذه الحقوق الممتازة جميعاً تكون اسبق في المرتبة على أي حق امتياز عقاري أو أي حق رهن رسمي مهما كان تاريخ قيده</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 فالامتياز الضامن للمبالغ المستحقة للخزانة يتقدم على حقوق الامتياز </w:t>
      </w:r>
      <w:r w:rsidRPr="007C3EC7">
        <w:rPr>
          <w:rFonts w:cs="Traditional Arabic" w:hint="cs"/>
          <w:color w:val="000000"/>
          <w:sz w:val="28"/>
          <w:szCs w:val="32"/>
          <w:rtl/>
        </w:rPr>
        <w:lastRenderedPageBreak/>
        <w:t>العامة"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$929 وجاء في مذكرة المشرع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"تنقسم حقوق الامتياز إلى</w:t>
      </w:r>
      <w:r>
        <w:rPr>
          <w:rFonts w:cs="Traditional Arabic" w:hint="cs"/>
          <w:color w:val="000000"/>
          <w:sz w:val="28"/>
          <w:szCs w:val="32"/>
          <w:rtl/>
        </w:rPr>
        <w:t xml:space="preserve"> :</w:t>
      </w:r>
      <w:r w:rsidRPr="007C3EC7">
        <w:rPr>
          <w:rFonts w:cs="Traditional Arabic" w:hint="cs"/>
          <w:color w:val="000000"/>
          <w:sz w:val="28"/>
          <w:szCs w:val="32"/>
          <w:rtl/>
        </w:rPr>
        <w:t xml:space="preserve"> 1- حقوق امتياز عامة على جميع أموال المدين </w:t>
      </w:r>
      <w:r>
        <w:rPr>
          <w:rFonts w:cs="Traditional Arabic" w:hint="cs"/>
          <w:color w:val="000000"/>
          <w:sz w:val="28"/>
          <w:szCs w:val="32"/>
          <w:rtl/>
        </w:rPr>
        <w:t xml:space="preserve"> . . .</w:t>
      </w:r>
      <w:r w:rsidRPr="007C3EC7">
        <w:rPr>
          <w:rFonts w:cs="Traditional Arabic" w:hint="cs"/>
          <w:color w:val="000000"/>
          <w:sz w:val="28"/>
          <w:szCs w:val="32"/>
          <w:rtl/>
        </w:rPr>
        <w:t xml:space="preserve"> 2- حقوق </w:t>
      </w:r>
      <w:r w:rsidRPr="007C3EC7">
        <w:rPr>
          <w:rFonts w:cs="Traditional Arabic" w:hint="cs"/>
          <w:color w:val="000000"/>
          <w:sz w:val="28"/>
          <w:szCs w:val="32"/>
          <w:rtl/>
        </w:rPr>
        <w:lastRenderedPageBreak/>
        <w:t xml:space="preserve">امتياز خاصة على منقول ميعن </w:t>
      </w:r>
      <w:r>
        <w:rPr>
          <w:rFonts w:cs="Traditional Arabic" w:hint="cs"/>
          <w:color w:val="000000"/>
          <w:sz w:val="28"/>
          <w:szCs w:val="32"/>
          <w:rtl/>
        </w:rPr>
        <w:t xml:space="preserve"> . . .</w:t>
      </w:r>
      <w:r w:rsidRPr="007C3EC7">
        <w:rPr>
          <w:rFonts w:cs="Traditional Arabic" w:hint="cs"/>
          <w:color w:val="000000"/>
          <w:sz w:val="28"/>
          <w:szCs w:val="32"/>
          <w:rtl/>
        </w:rPr>
        <w:t xml:space="preserve"> 3- حقوق امتياز خاصة على عقار معين </w:t>
      </w:r>
      <w:r>
        <w:rPr>
          <w:rFonts w:cs="Traditional Arabic" w:hint="cs"/>
          <w:color w:val="000000"/>
          <w:sz w:val="28"/>
          <w:szCs w:val="32"/>
          <w:rtl/>
        </w:rPr>
        <w:t xml:space="preserve"> . . .</w:t>
      </w:r>
      <w:r w:rsidRPr="007C3EC7">
        <w:rPr>
          <w:rFonts w:cs="Traditional Arabic" w:hint="cs"/>
          <w:color w:val="000000"/>
          <w:sz w:val="28"/>
          <w:szCs w:val="32"/>
          <w:rtl/>
        </w:rPr>
        <w:t xml:space="preserve"> وحقوق الامتياز هذه تنطبق عليها أحكام الرهن الرسمي وإن كان مصدرها نص القانون </w:t>
      </w:r>
      <w:r w:rsidRPr="007C3EC7">
        <w:rPr>
          <w:rFonts w:cs="Traditional Arabic"/>
          <w:color w:val="000000"/>
          <w:sz w:val="28"/>
          <w:szCs w:val="32"/>
          <w:rtl/>
        </w:rPr>
        <w:t>–</w:t>
      </w:r>
      <w:r w:rsidRPr="007C3EC7">
        <w:rPr>
          <w:rFonts w:cs="Traditional Arabic" w:hint="cs"/>
          <w:color w:val="000000"/>
          <w:sz w:val="28"/>
          <w:szCs w:val="32"/>
          <w:rtl/>
        </w:rPr>
        <w:t xml:space="preserve"> فيجب قيدها</w:t>
      </w:r>
      <w:r>
        <w:rPr>
          <w:rFonts w:cs="Traditional Arabic" w:hint="cs"/>
          <w:color w:val="000000"/>
          <w:sz w:val="28"/>
          <w:szCs w:val="32"/>
          <w:rtl/>
        </w:rPr>
        <w:t xml:space="preserve"> ،</w:t>
      </w:r>
      <w:r w:rsidRPr="007C3EC7">
        <w:rPr>
          <w:rFonts w:cs="Traditional Arabic" w:hint="cs"/>
          <w:color w:val="000000"/>
          <w:sz w:val="28"/>
          <w:szCs w:val="32"/>
          <w:rtl/>
        </w:rPr>
        <w:t xml:space="preserve"> وتأخذ مرتبتها من وقت القيد وتسري أحكام القيد من آثار وتجديد ومحو</w:t>
      </w:r>
      <w:r>
        <w:rPr>
          <w:rFonts w:cs="Traditional Arabic" w:hint="cs"/>
          <w:color w:val="000000"/>
          <w:sz w:val="28"/>
          <w:szCs w:val="32"/>
          <w:rtl/>
        </w:rPr>
        <w:t xml:space="preserve"> ،</w:t>
      </w:r>
      <w:r w:rsidRPr="007C3EC7">
        <w:rPr>
          <w:rFonts w:cs="Traditional Arabic" w:hint="cs"/>
          <w:color w:val="000000"/>
          <w:sz w:val="28"/>
          <w:szCs w:val="32"/>
          <w:rtl/>
        </w:rPr>
        <w:t xml:space="preserve"> ويجوز تطهيرها</w:t>
      </w:r>
      <w:r>
        <w:rPr>
          <w:rFonts w:cs="Traditional Arabic" w:hint="cs"/>
          <w:color w:val="000000"/>
          <w:sz w:val="28"/>
          <w:szCs w:val="32"/>
          <w:rtl/>
        </w:rPr>
        <w:t xml:space="preserve"> .</w:t>
      </w:r>
      <w:r w:rsidRPr="007C3EC7">
        <w:rPr>
          <w:rFonts w:cs="Traditional Arabic" w:hint="cs"/>
          <w:color w:val="000000"/>
          <w:sz w:val="28"/>
          <w:szCs w:val="32"/>
          <w:rtl/>
        </w:rPr>
        <w:t xml:space="preserve"> إلا أن هناك حقوق امتياز تقع على عقار ولا تشهر</w:t>
      </w:r>
      <w:r>
        <w:rPr>
          <w:rFonts w:cs="Traditional Arabic" w:hint="cs"/>
          <w:color w:val="000000"/>
          <w:sz w:val="28"/>
          <w:szCs w:val="32"/>
          <w:rtl/>
        </w:rPr>
        <w:t xml:space="preserve"> ،</w:t>
      </w:r>
      <w:r w:rsidRPr="007C3EC7">
        <w:rPr>
          <w:rFonts w:cs="Traditional Arabic" w:hint="cs"/>
          <w:color w:val="000000"/>
          <w:sz w:val="28"/>
          <w:szCs w:val="32"/>
          <w:rtl/>
        </w:rPr>
        <w:t xml:space="preserve"> وهي حقوق الامتياز العامة فيما يقع منها على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ولذلك لا يتثبت فيها حق التتبع</w:t>
      </w:r>
      <w:r>
        <w:rPr>
          <w:rFonts w:cs="Traditional Arabic" w:hint="cs"/>
          <w:color w:val="000000"/>
          <w:sz w:val="28"/>
          <w:szCs w:val="32"/>
          <w:rtl/>
        </w:rPr>
        <w:t xml:space="preserve"> .</w:t>
      </w:r>
      <w:r w:rsidRPr="007C3EC7">
        <w:rPr>
          <w:rFonts w:cs="Traditional Arabic" w:hint="cs"/>
          <w:color w:val="000000"/>
          <w:sz w:val="28"/>
          <w:szCs w:val="32"/>
          <w:rtl/>
        </w:rPr>
        <w:t xml:space="preserve"> وكذلك حق امتياز المبالغ المستحقة للخزانة العامة إذا وقع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وهو حق يقترن بالتتبع</w:t>
      </w:r>
      <w:r>
        <w:rPr>
          <w:rFonts w:cs="Traditional Arabic" w:hint="cs"/>
          <w:color w:val="000000"/>
          <w:sz w:val="28"/>
          <w:szCs w:val="32"/>
          <w:rtl/>
        </w:rPr>
        <w:t xml:space="preserve"> ،</w:t>
      </w:r>
      <w:r w:rsidRPr="007C3EC7">
        <w:rPr>
          <w:rFonts w:cs="Traditional Arabic" w:hint="cs"/>
          <w:color w:val="000000"/>
          <w:sz w:val="28"/>
          <w:szCs w:val="32"/>
          <w:rtl/>
        </w:rPr>
        <w:t xml:space="preserve"> ومع ذلك لا يشهر لتفاهته</w:t>
      </w:r>
      <w:r>
        <w:rPr>
          <w:rFonts w:cs="Traditional Arabic" w:hint="cs"/>
          <w:color w:val="000000"/>
          <w:sz w:val="28"/>
          <w:szCs w:val="32"/>
          <w:rtl/>
        </w:rPr>
        <w:t xml:space="preserve"> .</w:t>
      </w:r>
      <w:r w:rsidRPr="007C3EC7">
        <w:rPr>
          <w:rFonts w:cs="Traditional Arabic" w:hint="cs"/>
          <w:color w:val="000000"/>
          <w:sz w:val="28"/>
          <w:szCs w:val="32"/>
          <w:rtl/>
        </w:rPr>
        <w:t xml:space="preserve"> وحقوق الامتياز العقارية التي لا تشهر تسبق في المرتبة كل امتياز عقاري آخر</w:t>
      </w:r>
      <w:r>
        <w:rPr>
          <w:rFonts w:cs="Traditional Arabic" w:hint="cs"/>
          <w:color w:val="000000"/>
          <w:sz w:val="28"/>
          <w:szCs w:val="32"/>
          <w:rtl/>
        </w:rPr>
        <w:t xml:space="preserve"> ،</w:t>
      </w:r>
      <w:r w:rsidRPr="007C3EC7">
        <w:rPr>
          <w:rFonts w:cs="Traditional Arabic" w:hint="cs"/>
          <w:color w:val="000000"/>
          <w:sz w:val="28"/>
          <w:szCs w:val="32"/>
          <w:rtl/>
        </w:rPr>
        <w:t xml:space="preserve"> ول حق مقيد مهما $930 كان تاريخ قيده</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فامتياز المبالغ المستحقة للخزانة تسبق في المرتبة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تستوفي حقوق الامتياز العامة فيما فبينها بنسبة كل منها"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ويتبين من النص سالف الذكر ا حقوق الامتياز الخاصة على منقول لا كلام فيها</w:t>
      </w:r>
      <w:r>
        <w:rPr>
          <w:rFonts w:cs="Traditional Arabic" w:hint="cs"/>
          <w:color w:val="000000"/>
          <w:sz w:val="28"/>
          <w:szCs w:val="32"/>
          <w:rtl/>
        </w:rPr>
        <w:t xml:space="preserve"> ،</w:t>
      </w:r>
      <w:r w:rsidRPr="007C3EC7">
        <w:rPr>
          <w:rFonts w:cs="Traditional Arabic" w:hint="cs"/>
          <w:color w:val="000000"/>
          <w:sz w:val="28"/>
          <w:szCs w:val="32"/>
          <w:rtl/>
        </w:rPr>
        <w:t xml:space="preserve"> فهي حقوق امتياز تقع على منقول معين</w:t>
      </w:r>
      <w:r>
        <w:rPr>
          <w:rFonts w:cs="Traditional Arabic" w:hint="cs"/>
          <w:color w:val="000000"/>
          <w:sz w:val="28"/>
          <w:szCs w:val="32"/>
          <w:rtl/>
        </w:rPr>
        <w:t xml:space="preserve"> ،</w:t>
      </w:r>
      <w:r w:rsidRPr="007C3EC7">
        <w:rPr>
          <w:rFonts w:cs="Traditional Arabic" w:hint="cs"/>
          <w:color w:val="000000"/>
          <w:sz w:val="28"/>
          <w:szCs w:val="32"/>
          <w:rtl/>
        </w:rPr>
        <w:t xml:space="preserve"> وقد بين القانون أحكامها ومرتبتها </w:t>
      </w:r>
      <w:r>
        <w:rPr>
          <w:rFonts w:cs="Traditional Arabic" w:hint="cs"/>
          <w:color w:val="000000"/>
          <w:sz w:val="28"/>
          <w:szCs w:val="32"/>
          <w:rtl/>
        </w:rPr>
        <w:t xml:space="preserve">( </w:t>
      </w:r>
      <w:r w:rsidRPr="007C3EC7">
        <w:rPr>
          <w:rFonts w:cs="Traditional Arabic" w:hint="cs"/>
          <w:color w:val="000000"/>
          <w:sz w:val="28"/>
          <w:szCs w:val="32"/>
          <w:rtl/>
        </w:rPr>
        <w:t>انظر أيضاً م 1133 مدني</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وباقي حقوق الامتياز هي</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1</w:t>
      </w:r>
      <w:r>
        <w:rPr>
          <w:rFonts w:cs="Traditional Arabic" w:hint="cs"/>
          <w:color w:val="000000"/>
          <w:sz w:val="28"/>
          <w:szCs w:val="32"/>
          <w:rtl/>
        </w:rPr>
        <w:t xml:space="preserve"> )</w:t>
      </w:r>
      <w:r w:rsidRPr="007C3EC7">
        <w:rPr>
          <w:rFonts w:cs="Traditional Arabic" w:hint="cs"/>
          <w:color w:val="000000"/>
          <w:sz w:val="28"/>
          <w:szCs w:val="32"/>
          <w:rtl/>
        </w:rPr>
        <w:t xml:space="preserve"> حقوق الامتياز الخاصة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2</w:t>
      </w:r>
      <w:r>
        <w:rPr>
          <w:rFonts w:cs="Traditional Arabic" w:hint="cs"/>
          <w:color w:val="000000"/>
          <w:sz w:val="28"/>
          <w:szCs w:val="32"/>
          <w:rtl/>
        </w:rPr>
        <w:t xml:space="preserve"> )</w:t>
      </w:r>
      <w:r w:rsidRPr="007C3EC7">
        <w:rPr>
          <w:rFonts w:cs="Traditional Arabic" w:hint="cs"/>
          <w:color w:val="000000"/>
          <w:sz w:val="28"/>
          <w:szCs w:val="32"/>
          <w:rtl/>
        </w:rPr>
        <w:t xml:space="preserve">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3</w:t>
      </w:r>
      <w:r>
        <w:rPr>
          <w:rFonts w:cs="Traditional Arabic" w:hint="cs"/>
          <w:color w:val="000000"/>
          <w:sz w:val="28"/>
          <w:szCs w:val="32"/>
          <w:rtl/>
        </w:rPr>
        <w:t xml:space="preserve"> )</w:t>
      </w:r>
      <w:r w:rsidRPr="007C3EC7">
        <w:rPr>
          <w:rFonts w:cs="Traditional Arabic" w:hint="cs"/>
          <w:color w:val="000000"/>
          <w:sz w:val="28"/>
          <w:szCs w:val="32"/>
          <w:rtl/>
        </w:rPr>
        <w:t xml:space="preserve"> حق امتياز المبالغ المستحقة للخزانة العامة إذا وقع على 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ففيما يتعلق بحقوق الامتياز الخاصة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وهي ثلاثة </w:t>
      </w:r>
      <w:r>
        <w:rPr>
          <w:rFonts w:cs="Traditional Arabic" w:hint="cs"/>
          <w:color w:val="000000"/>
          <w:sz w:val="28"/>
          <w:szCs w:val="32"/>
          <w:rtl/>
        </w:rPr>
        <w:t xml:space="preserve">( </w:t>
      </w:r>
      <w:r w:rsidRPr="007C3EC7">
        <w:rPr>
          <w:rFonts w:cs="Traditional Arabic" w:hint="cs"/>
          <w:color w:val="000000"/>
          <w:sz w:val="28"/>
          <w:szCs w:val="32"/>
          <w:rtl/>
        </w:rPr>
        <w:t>بائع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والمقاولون</w:t>
      </w:r>
      <w:r>
        <w:rPr>
          <w:rFonts w:cs="Traditional Arabic" w:hint="cs"/>
          <w:color w:val="000000"/>
          <w:sz w:val="28"/>
          <w:szCs w:val="32"/>
          <w:rtl/>
        </w:rPr>
        <w:t xml:space="preserve"> ،</w:t>
      </w:r>
      <w:r w:rsidRPr="007C3EC7">
        <w:rPr>
          <w:rFonts w:cs="Traditional Arabic" w:hint="cs"/>
          <w:color w:val="000000"/>
          <w:sz w:val="28"/>
          <w:szCs w:val="32"/>
          <w:rtl/>
        </w:rPr>
        <w:t xml:space="preserve"> والمهندسون المعماريون</w:t>
      </w:r>
      <w:r>
        <w:rPr>
          <w:rFonts w:cs="Traditional Arabic" w:hint="cs"/>
          <w:color w:val="000000"/>
          <w:sz w:val="28"/>
          <w:szCs w:val="32"/>
          <w:rtl/>
        </w:rPr>
        <w:t xml:space="preserve"> ،</w:t>
      </w:r>
      <w:r w:rsidRPr="007C3EC7">
        <w:rPr>
          <w:rFonts w:cs="Traditional Arabic" w:hint="cs"/>
          <w:color w:val="000000"/>
          <w:sz w:val="28"/>
          <w:szCs w:val="32"/>
          <w:rtl/>
        </w:rPr>
        <w:t xml:space="preserve"> والشركاء المتقاسمون لعقار</w:t>
      </w:r>
      <w:r>
        <w:rPr>
          <w:rFonts w:cs="Traditional Arabic" w:hint="cs"/>
          <w:color w:val="000000"/>
          <w:sz w:val="28"/>
          <w:szCs w:val="32"/>
          <w:rtl/>
        </w:rPr>
        <w:t xml:space="preserve"> ) ،</w:t>
      </w:r>
      <w:r w:rsidRPr="007C3EC7">
        <w:rPr>
          <w:rFonts w:cs="Traditional Arabic" w:hint="cs"/>
          <w:color w:val="000000"/>
          <w:sz w:val="28"/>
          <w:szCs w:val="32"/>
          <w:rtl/>
        </w:rPr>
        <w:t xml:space="preserve"> تسري عليها أحكام الرهن الرسمي لأن الرهن الرسمي يرد أيضاً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بما في ذلك أحكام التطهير والقيد وما يتصل بالقيد من تجديد ومحو وما يترتب عليه من آثار</w:t>
      </w:r>
      <w:r>
        <w:rPr>
          <w:rFonts w:cs="Traditional Arabic" w:hint="cs"/>
          <w:color w:val="000000"/>
          <w:sz w:val="28"/>
          <w:szCs w:val="32"/>
          <w:rtl/>
        </w:rPr>
        <w:t xml:space="preserve"> .</w:t>
      </w:r>
      <w:r w:rsidRPr="007C3EC7">
        <w:rPr>
          <w:rFonts w:cs="Traditional Arabic" w:hint="cs"/>
          <w:color w:val="000000"/>
          <w:sz w:val="28"/>
          <w:szCs w:val="32"/>
          <w:rtl/>
        </w:rPr>
        <w:t xml:space="preserve"> وحقوق الامتياز هذه يجب إذن قيدها</w:t>
      </w:r>
      <w:r>
        <w:rPr>
          <w:rFonts w:cs="Traditional Arabic" w:hint="cs"/>
          <w:color w:val="000000"/>
          <w:sz w:val="28"/>
          <w:szCs w:val="32"/>
          <w:rtl/>
        </w:rPr>
        <w:t xml:space="preserve"> ،</w:t>
      </w:r>
      <w:r w:rsidRPr="007C3EC7">
        <w:rPr>
          <w:rFonts w:cs="Traditional Arabic" w:hint="cs"/>
          <w:color w:val="000000"/>
          <w:sz w:val="28"/>
          <w:szCs w:val="32"/>
          <w:rtl/>
        </w:rPr>
        <w:t xml:space="preserve"> ومتى قيدت فتاريخ القيد هو الذي يحدد مرتبتها وحق امتياز خاص متى قيد</w:t>
      </w:r>
      <w:r>
        <w:rPr>
          <w:rFonts w:cs="Traditional Arabic" w:hint="cs"/>
          <w:color w:val="000000"/>
          <w:sz w:val="28"/>
          <w:szCs w:val="32"/>
          <w:rtl/>
        </w:rPr>
        <w:t xml:space="preserve"> ،</w:t>
      </w:r>
      <w:r w:rsidRPr="007C3EC7">
        <w:rPr>
          <w:rFonts w:cs="Traditional Arabic" w:hint="cs"/>
          <w:color w:val="000000"/>
          <w:sz w:val="28"/>
          <w:szCs w:val="32"/>
          <w:rtl/>
        </w:rPr>
        <w:t xml:space="preserve"> يصبح كحق رهن رسمي مقيد</w:t>
      </w:r>
      <w:r>
        <w:rPr>
          <w:rFonts w:cs="Traditional Arabic" w:hint="cs"/>
          <w:color w:val="000000"/>
          <w:sz w:val="28"/>
          <w:szCs w:val="32"/>
          <w:rtl/>
        </w:rPr>
        <w:t xml:space="preserve"> ،</w:t>
      </w:r>
      <w:r w:rsidRPr="007C3EC7">
        <w:rPr>
          <w:rFonts w:cs="Traditional Arabic" w:hint="cs"/>
          <w:color w:val="000000"/>
          <w:sz w:val="28"/>
          <w:szCs w:val="32"/>
          <w:rtl/>
        </w:rPr>
        <w:t xml:space="preserve"> يحكمه القيد ويحدد القيد ويحدد مرتبته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وفيما يتعلق بحقوق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فهذه لا تشهر ولو كان محلها عقاراً</w:t>
      </w:r>
      <w:r>
        <w:rPr>
          <w:rFonts w:cs="Traditional Arabic" w:hint="cs"/>
          <w:color w:val="000000"/>
          <w:sz w:val="28"/>
          <w:szCs w:val="32"/>
          <w:rtl/>
        </w:rPr>
        <w:t xml:space="preserve"> .</w:t>
      </w:r>
      <w:r w:rsidRPr="007C3EC7">
        <w:rPr>
          <w:rFonts w:cs="Traditional Arabic" w:hint="cs"/>
          <w:color w:val="000000"/>
          <w:sz w:val="28"/>
          <w:szCs w:val="32"/>
          <w:rtl/>
        </w:rPr>
        <w:t xml:space="preserve"> ولذلك لا يثبت فيها حق التتبع</w:t>
      </w:r>
      <w:r>
        <w:rPr>
          <w:rFonts w:cs="Traditional Arabic" w:hint="cs"/>
          <w:color w:val="000000"/>
          <w:sz w:val="28"/>
          <w:szCs w:val="32"/>
          <w:rtl/>
        </w:rPr>
        <w:t xml:space="preserve"> ،</w:t>
      </w:r>
      <w:r w:rsidRPr="007C3EC7">
        <w:rPr>
          <w:rFonts w:cs="Traditional Arabic" w:hint="cs"/>
          <w:color w:val="000000"/>
          <w:sz w:val="28"/>
          <w:szCs w:val="32"/>
          <w:rtl/>
        </w:rPr>
        <w:t xml:space="preserve"> وتقتصر على حق التقدم</w:t>
      </w:r>
      <w:r>
        <w:rPr>
          <w:rFonts w:cs="Traditional Arabic" w:hint="cs"/>
          <w:color w:val="000000"/>
          <w:sz w:val="28"/>
          <w:szCs w:val="32"/>
          <w:rtl/>
        </w:rPr>
        <w:t xml:space="preserve"> .</w:t>
      </w:r>
      <w:r w:rsidRPr="007C3EC7">
        <w:rPr>
          <w:rFonts w:cs="Traditional Arabic" w:hint="cs"/>
          <w:color w:val="000000"/>
          <w:sz w:val="28"/>
          <w:szCs w:val="32"/>
          <w:rtl/>
        </w:rPr>
        <w:t xml:space="preserve"> فمتى نفذ الدائن علها وهي مملوكة للمدين</w:t>
      </w:r>
      <w:r>
        <w:rPr>
          <w:rFonts w:cs="Traditional Arabic" w:hint="cs"/>
          <w:color w:val="000000"/>
          <w:sz w:val="28"/>
          <w:szCs w:val="32"/>
          <w:rtl/>
        </w:rPr>
        <w:t xml:space="preserve"> ،</w:t>
      </w:r>
      <w:r w:rsidRPr="007C3EC7">
        <w:rPr>
          <w:rFonts w:cs="Traditional Arabic" w:hint="cs"/>
          <w:color w:val="000000"/>
          <w:sz w:val="28"/>
          <w:szCs w:val="32"/>
          <w:rtl/>
        </w:rPr>
        <w:t xml:space="preserve"> تقدم في مرتبته على سائر الدائنين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وفيما يتعلق بحق امتياز المبالغ المستحقة للخزانة العامة إذا وقع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فهذا فيه حق تقدم وحق تتبع</w:t>
      </w:r>
      <w:r>
        <w:rPr>
          <w:rFonts w:cs="Traditional Arabic" w:hint="cs"/>
          <w:color w:val="000000"/>
          <w:sz w:val="28"/>
          <w:szCs w:val="32"/>
          <w:rtl/>
        </w:rPr>
        <w:t xml:space="preserve"> ،</w:t>
      </w:r>
      <w:r w:rsidRPr="007C3EC7">
        <w:rPr>
          <w:rFonts w:cs="Traditional Arabic" w:hint="cs"/>
          <w:color w:val="000000"/>
          <w:sz w:val="28"/>
          <w:szCs w:val="32"/>
          <w:rtl/>
        </w:rPr>
        <w:t xml:space="preserve"> وإن كان لا يشهر لتفاهته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وحقوق الامتياز التي لا تشهر وإن وقعت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وهي حق $ 931 الخزانة وحقوق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تسبق في المرتبة حقوق الامتياز الخاصة على عقار مهما كان تاريخ قيدها</w:t>
      </w:r>
      <w:r>
        <w:rPr>
          <w:rFonts w:cs="Traditional Arabic" w:hint="cs"/>
          <w:color w:val="000000"/>
          <w:sz w:val="28"/>
          <w:szCs w:val="32"/>
          <w:rtl/>
        </w:rPr>
        <w:t xml:space="preserve"> .</w:t>
      </w:r>
      <w:r w:rsidRPr="007C3EC7">
        <w:rPr>
          <w:rFonts w:cs="Traditional Arabic" w:hint="cs"/>
          <w:color w:val="000000"/>
          <w:sz w:val="28"/>
          <w:szCs w:val="32"/>
          <w:rtl/>
        </w:rPr>
        <w:t>وفيما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يسبق حق الخزانة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وحقوق الامتياز العامة متساوية في الترتيب</w:t>
      </w:r>
      <w:r>
        <w:rPr>
          <w:rFonts w:cs="Traditional Arabic" w:hint="cs"/>
          <w:color w:val="000000"/>
          <w:sz w:val="28"/>
          <w:szCs w:val="32"/>
          <w:rtl/>
        </w:rPr>
        <w:t xml:space="preserve"> ،</w:t>
      </w:r>
      <w:r w:rsidRPr="007C3EC7">
        <w:rPr>
          <w:rFonts w:cs="Traditional Arabic" w:hint="cs"/>
          <w:color w:val="000000"/>
          <w:sz w:val="28"/>
          <w:szCs w:val="32"/>
          <w:rtl/>
        </w:rPr>
        <w:t xml:space="preserve"> فتستوفي بنسبة كل منها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662- حق الامتياز وحيازة المنقول بحسن نية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1133 مني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لا يحتج بحق الامتياز من حاز المنقول بحسن نية"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ويعتبر حائزاً في حكم هذه المادة مؤجر العقار بالنسبة إلى المنقولات الموجودة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وصاحب الفندق بالنسبة ألأمتعة التي يودعها النزلاء في فندقه"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وإذا خشي الدائن</w:t>
      </w:r>
      <w:r>
        <w:rPr>
          <w:rFonts w:cs="Traditional Arabic" w:hint="cs"/>
          <w:color w:val="000000"/>
          <w:sz w:val="28"/>
          <w:szCs w:val="32"/>
          <w:rtl/>
        </w:rPr>
        <w:t xml:space="preserve"> ،</w:t>
      </w:r>
      <w:r w:rsidRPr="007C3EC7">
        <w:rPr>
          <w:rFonts w:cs="Traditional Arabic" w:hint="cs"/>
          <w:color w:val="000000"/>
          <w:sz w:val="28"/>
          <w:szCs w:val="32"/>
          <w:rtl/>
        </w:rPr>
        <w:t xml:space="preserve"> لأسباب معقولة</w:t>
      </w:r>
      <w:r>
        <w:rPr>
          <w:rFonts w:cs="Traditional Arabic" w:hint="cs"/>
          <w:color w:val="000000"/>
          <w:sz w:val="28"/>
          <w:szCs w:val="32"/>
          <w:rtl/>
        </w:rPr>
        <w:t xml:space="preserve"> ،</w:t>
      </w:r>
      <w:r w:rsidRPr="007C3EC7">
        <w:rPr>
          <w:rFonts w:cs="Traditional Arabic" w:hint="cs"/>
          <w:color w:val="000000"/>
          <w:sz w:val="28"/>
          <w:szCs w:val="32"/>
          <w:rtl/>
        </w:rPr>
        <w:t xml:space="preserve"> تبديد المنقول المثقل بحق امتياز لمصلحته</w:t>
      </w:r>
      <w:r>
        <w:rPr>
          <w:rFonts w:cs="Traditional Arabic" w:hint="cs"/>
          <w:color w:val="000000"/>
          <w:sz w:val="28"/>
          <w:szCs w:val="32"/>
          <w:rtl/>
        </w:rPr>
        <w:t xml:space="preserve"> ،</w:t>
      </w:r>
      <w:r w:rsidRPr="007C3EC7">
        <w:rPr>
          <w:rFonts w:cs="Traditional Arabic" w:hint="cs"/>
          <w:color w:val="000000"/>
          <w:sz w:val="28"/>
          <w:szCs w:val="32"/>
          <w:rtl/>
        </w:rPr>
        <w:t xml:space="preserve"> جاز له أن يطلب وضعه تحت الحراسة"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$932 وودر في مذكرة المشروع التمهيد</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"تنقسم حقوق الامتياز إلى</w:t>
      </w:r>
      <w:r>
        <w:rPr>
          <w:rFonts w:cs="Traditional Arabic" w:hint="cs"/>
          <w:color w:val="000000"/>
          <w:sz w:val="28"/>
          <w:szCs w:val="32"/>
          <w:rtl/>
        </w:rPr>
        <w:t xml:space="preserve"> :</w:t>
      </w:r>
      <w:r w:rsidRPr="007C3EC7">
        <w:rPr>
          <w:rFonts w:cs="Traditional Arabic" w:hint="cs"/>
          <w:color w:val="000000"/>
          <w:sz w:val="28"/>
          <w:szCs w:val="32"/>
          <w:rtl/>
        </w:rPr>
        <w:t xml:space="preserve"> 1- حقوق امتياز عامة في جميع أموال المدين </w:t>
      </w:r>
      <w:r>
        <w:rPr>
          <w:rFonts w:cs="Traditional Arabic" w:hint="cs"/>
          <w:color w:val="000000"/>
          <w:sz w:val="28"/>
          <w:szCs w:val="32"/>
          <w:rtl/>
        </w:rPr>
        <w:t xml:space="preserve"> . . . .</w:t>
      </w:r>
      <w:r w:rsidRPr="007C3EC7">
        <w:rPr>
          <w:rFonts w:cs="Traditional Arabic" w:hint="cs"/>
          <w:color w:val="000000"/>
          <w:sz w:val="28"/>
          <w:szCs w:val="32"/>
          <w:rtl/>
        </w:rPr>
        <w:t xml:space="preserve"> 2- حقوق امتياز خاصة على منقول معين </w:t>
      </w:r>
      <w:r>
        <w:rPr>
          <w:rFonts w:cs="Traditional Arabic" w:hint="cs"/>
          <w:color w:val="000000"/>
          <w:sz w:val="28"/>
          <w:szCs w:val="32"/>
          <w:rtl/>
        </w:rPr>
        <w:t xml:space="preserve"> . . .</w:t>
      </w:r>
      <w:r w:rsidRPr="007C3EC7">
        <w:rPr>
          <w:rFonts w:cs="Traditional Arabic" w:hint="cs"/>
          <w:color w:val="000000"/>
          <w:sz w:val="28"/>
          <w:szCs w:val="32"/>
          <w:rtl/>
        </w:rPr>
        <w:t xml:space="preserve"> ولا يحتج بهذه الحقوق على حائز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فإذا اشترى المستأجر منقولا لم يدفع ثمنه</w:t>
      </w:r>
      <w:r>
        <w:rPr>
          <w:rFonts w:cs="Traditional Arabic" w:hint="cs"/>
          <w:color w:val="000000"/>
          <w:sz w:val="28"/>
          <w:szCs w:val="32"/>
          <w:rtl/>
        </w:rPr>
        <w:t xml:space="preserve"> ،</w:t>
      </w:r>
      <w:r w:rsidRPr="007C3EC7">
        <w:rPr>
          <w:rFonts w:cs="Traditional Arabic" w:hint="cs"/>
          <w:color w:val="000000"/>
          <w:sz w:val="28"/>
          <w:szCs w:val="32"/>
          <w:rtl/>
        </w:rPr>
        <w:t xml:space="preserve"> وأدخله في العين المؤجرة وكان المؤجر حس النية أي لا يعلم بامتياز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فإن هذا الامتياز الأخيرة لا يحتج به على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وكذلك الأمر لو كان المنقول لم يدفع ثمنه ودخل في أمتعة نزيل الفندق</w:t>
      </w:r>
      <w:r>
        <w:rPr>
          <w:rFonts w:cs="Traditional Arabic" w:hint="cs"/>
          <w:color w:val="000000"/>
          <w:sz w:val="28"/>
          <w:szCs w:val="32"/>
          <w:rtl/>
        </w:rPr>
        <w:t xml:space="preserve"> ،</w:t>
      </w:r>
      <w:r w:rsidRPr="007C3EC7">
        <w:rPr>
          <w:rFonts w:cs="Traditional Arabic" w:hint="cs"/>
          <w:color w:val="000000"/>
          <w:sz w:val="28"/>
          <w:szCs w:val="32"/>
          <w:rtl/>
        </w:rPr>
        <w:t xml:space="preserve"> فلا يحتج بامتياز البائع على 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ويتبين من ذلك أن حق الامتياز الخاص على منقول عرضة للضياع</w:t>
      </w:r>
      <w:r>
        <w:rPr>
          <w:rFonts w:cs="Traditional Arabic" w:hint="cs"/>
          <w:color w:val="000000"/>
          <w:sz w:val="28"/>
          <w:szCs w:val="32"/>
          <w:rtl/>
        </w:rPr>
        <w:t xml:space="preserve"> ،</w:t>
      </w:r>
      <w:r w:rsidRPr="007C3EC7">
        <w:rPr>
          <w:rFonts w:cs="Traditional Arabic" w:hint="cs"/>
          <w:color w:val="000000"/>
          <w:sz w:val="28"/>
          <w:szCs w:val="32"/>
          <w:rtl/>
        </w:rPr>
        <w:t xml:space="preserve"> لذلك أجاز المشروع</w:t>
      </w:r>
      <w:r>
        <w:rPr>
          <w:rFonts w:cs="Traditional Arabic" w:hint="cs"/>
          <w:color w:val="000000"/>
          <w:sz w:val="28"/>
          <w:szCs w:val="32"/>
          <w:rtl/>
        </w:rPr>
        <w:t xml:space="preserve"> ،</w:t>
      </w:r>
      <w:r w:rsidRPr="007C3EC7">
        <w:rPr>
          <w:rFonts w:cs="Traditional Arabic" w:hint="cs"/>
          <w:color w:val="000000"/>
          <w:sz w:val="28"/>
          <w:szCs w:val="32"/>
          <w:rtl/>
        </w:rPr>
        <w:t xml:space="preserve"> إذا خشي الدائن لأسباب معقولة تبديد المنقول المثقل بحق الامتياز أن يطلب وضعه تحت الحراسة</w:t>
      </w:r>
      <w:r>
        <w:rPr>
          <w:rFonts w:cs="Traditional Arabic" w:hint="cs"/>
          <w:color w:val="000000"/>
          <w:sz w:val="28"/>
          <w:szCs w:val="32"/>
          <w:rtl/>
        </w:rPr>
        <w:t xml:space="preserve"> .</w:t>
      </w:r>
      <w:r w:rsidRPr="007C3EC7">
        <w:rPr>
          <w:rFonts w:cs="Traditional Arabic" w:hint="cs"/>
          <w:color w:val="000000"/>
          <w:sz w:val="28"/>
          <w:szCs w:val="32"/>
          <w:rtl/>
        </w:rPr>
        <w:t xml:space="preserve"> 3- حقوق امتياز خاصة على عقار معين </w:t>
      </w:r>
      <w:r>
        <w:rPr>
          <w:rFonts w:cs="Traditional Arabic" w:hint="cs"/>
          <w:color w:val="000000"/>
          <w:sz w:val="28"/>
          <w:szCs w:val="32"/>
          <w:rtl/>
        </w:rPr>
        <w:t xml:space="preserve"> . . . .</w:t>
      </w:r>
      <w:r w:rsidRPr="007C3EC7">
        <w:rPr>
          <w:rFonts w:cs="Traditional Arabic" w:hint="cs"/>
          <w:color w:val="000000"/>
          <w:sz w:val="28"/>
          <w:szCs w:val="32"/>
          <w:rtl/>
        </w:rPr>
        <w:t>"</w:t>
      </w:r>
      <w:r w:rsidRPr="007C3EC7">
        <w:rPr>
          <w:rFonts w:cs="Traditional Arabic" w:hint="cs"/>
          <w:color w:val="000000"/>
          <w:sz w:val="28"/>
          <w:szCs w:val="32"/>
          <w:vertAlign w:val="superscript"/>
          <w:rtl/>
        </w:rPr>
        <w:t xml:space="preserve"> </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3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النص سالف الذكر أن المنقول إذا كمان مثقلا بحق امتياز</w:t>
      </w:r>
      <w:r>
        <w:rPr>
          <w:rFonts w:cs="Traditional Arabic" w:hint="cs"/>
          <w:color w:val="000000"/>
          <w:sz w:val="28"/>
          <w:szCs w:val="32"/>
          <w:rtl/>
        </w:rPr>
        <w:t xml:space="preserve"> ،</w:t>
      </w:r>
      <w:r w:rsidRPr="007C3EC7">
        <w:rPr>
          <w:rFonts w:cs="Traditional Arabic" w:hint="cs"/>
          <w:color w:val="000000"/>
          <w:sz w:val="28"/>
          <w:szCs w:val="32"/>
          <w:rtl/>
        </w:rPr>
        <w:t xml:space="preserve"> قد تعترضه قاعدة أخرى هي قاعدة الحيازة في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فتتغلب قاعدة الحيازة على حق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وقد أورد النص مثلين لذلك</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إذا اشترى شخص منقولا ولم يدفع ثمنه</w:t>
      </w:r>
      <w:r>
        <w:rPr>
          <w:rFonts w:cs="Traditional Arabic" w:hint="cs"/>
          <w:color w:val="000000"/>
          <w:sz w:val="28"/>
          <w:szCs w:val="32"/>
          <w:rtl/>
        </w:rPr>
        <w:t xml:space="preserve"> ،</w:t>
      </w:r>
      <w:r w:rsidRPr="007C3EC7">
        <w:rPr>
          <w:rFonts w:cs="Traditional Arabic" w:hint="cs"/>
          <w:color w:val="000000"/>
          <w:sz w:val="28"/>
          <w:szCs w:val="32"/>
          <w:rtl/>
        </w:rPr>
        <w:t xml:space="preserve"> فإن المنقول يبقى مثقلا بحق امتياز الثمن</w:t>
      </w:r>
      <w:r>
        <w:rPr>
          <w:rFonts w:cs="Traditional Arabic" w:hint="cs"/>
          <w:color w:val="000000"/>
          <w:sz w:val="28"/>
          <w:szCs w:val="32"/>
          <w:rtl/>
        </w:rPr>
        <w:t xml:space="preserve"> .</w:t>
      </w:r>
      <w:r w:rsidRPr="007C3EC7">
        <w:rPr>
          <w:rFonts w:cs="Traditional Arabic" w:hint="cs"/>
          <w:color w:val="000000"/>
          <w:sz w:val="28"/>
          <w:szCs w:val="32"/>
          <w:rtl/>
        </w:rPr>
        <w:t xml:space="preserve"> فإذا نقل </w:t>
      </w:r>
      <w:r w:rsidRPr="007C3EC7">
        <w:rPr>
          <w:rFonts w:cs="Traditional Arabic" w:hint="cs"/>
          <w:color w:val="000000"/>
          <w:sz w:val="28"/>
          <w:szCs w:val="32"/>
          <w:rtl/>
        </w:rPr>
        <w:lastRenderedPageBreak/>
        <w:t>المشتري هذا المنقول إلى منزل استأجره</w:t>
      </w:r>
      <w:r>
        <w:rPr>
          <w:rFonts w:cs="Traditional Arabic" w:hint="cs"/>
          <w:color w:val="000000"/>
          <w:sz w:val="28"/>
          <w:szCs w:val="32"/>
          <w:rtl/>
        </w:rPr>
        <w:t xml:space="preserve"> ،</w:t>
      </w:r>
      <w:r w:rsidRPr="007C3EC7">
        <w:rPr>
          <w:rFonts w:cs="Traditional Arabic" w:hint="cs"/>
          <w:color w:val="000000"/>
          <w:sz w:val="28"/>
          <w:szCs w:val="32"/>
          <w:rtl/>
        </w:rPr>
        <w:t xml:space="preserve"> وكان المؤجر حسن النية لا يعلم أن المنقول مثقل بحق امتياز</w:t>
      </w:r>
      <w:r>
        <w:rPr>
          <w:rFonts w:cs="Traditional Arabic" w:hint="cs"/>
          <w:color w:val="000000"/>
          <w:sz w:val="28"/>
          <w:szCs w:val="32"/>
          <w:rtl/>
        </w:rPr>
        <w:t xml:space="preserve"> ،</w:t>
      </w:r>
      <w:r w:rsidRPr="007C3EC7">
        <w:rPr>
          <w:rFonts w:cs="Traditional Arabic" w:hint="cs"/>
          <w:color w:val="000000"/>
          <w:sz w:val="28"/>
          <w:szCs w:val="32"/>
          <w:rtl/>
        </w:rPr>
        <w:t xml:space="preserve"> فإن المنقول متى نقل $933 إلى العين المؤجرة يحوزه المؤجر بحسن نية</w:t>
      </w:r>
      <w:r>
        <w:rPr>
          <w:rFonts w:cs="Traditional Arabic" w:hint="cs"/>
          <w:color w:val="000000"/>
          <w:sz w:val="28"/>
          <w:szCs w:val="32"/>
          <w:rtl/>
        </w:rPr>
        <w:t xml:space="preserve"> ،</w:t>
      </w:r>
      <w:r w:rsidRPr="007C3EC7">
        <w:rPr>
          <w:rFonts w:cs="Traditional Arabic" w:hint="cs"/>
          <w:color w:val="000000"/>
          <w:sz w:val="28"/>
          <w:szCs w:val="32"/>
          <w:rtl/>
        </w:rPr>
        <w:t xml:space="preserve"> فتتغلب هذه الحيازة بحسن النية على حق 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ويفضل في هذه الحالة مؤجر العقار على 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أي أن امتياز المؤجر يتغلب على امتياز البائع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ونفرض أن مشتري المنقول في المثل السابق</w:t>
      </w:r>
      <w:r>
        <w:rPr>
          <w:rFonts w:cs="Traditional Arabic" w:hint="cs"/>
          <w:color w:val="000000"/>
          <w:sz w:val="28"/>
          <w:szCs w:val="32"/>
          <w:rtl/>
        </w:rPr>
        <w:t xml:space="preserve"> ،</w:t>
      </w:r>
      <w:r w:rsidRPr="007C3EC7">
        <w:rPr>
          <w:rFonts w:cs="Traditional Arabic" w:hint="cs"/>
          <w:color w:val="000000"/>
          <w:sz w:val="28"/>
          <w:szCs w:val="32"/>
          <w:rtl/>
        </w:rPr>
        <w:t xml:space="preserve"> بدلا منان ينقل المنقول إلى منزل استأجره</w:t>
      </w:r>
      <w:r>
        <w:rPr>
          <w:rFonts w:cs="Traditional Arabic" w:hint="cs"/>
          <w:color w:val="000000"/>
          <w:sz w:val="28"/>
          <w:szCs w:val="32"/>
          <w:rtl/>
        </w:rPr>
        <w:t xml:space="preserve"> ،</w:t>
      </w:r>
      <w:r w:rsidRPr="007C3EC7">
        <w:rPr>
          <w:rFonts w:cs="Traditional Arabic" w:hint="cs"/>
          <w:color w:val="000000"/>
          <w:sz w:val="28"/>
          <w:szCs w:val="32"/>
          <w:rtl/>
        </w:rPr>
        <w:t xml:space="preserve"> نقله إلى فندق نزل فيه</w:t>
      </w:r>
      <w:r>
        <w:rPr>
          <w:rFonts w:cs="Traditional Arabic" w:hint="cs"/>
          <w:color w:val="000000"/>
          <w:sz w:val="28"/>
          <w:szCs w:val="32"/>
          <w:rtl/>
        </w:rPr>
        <w:t xml:space="preserve"> ،</w:t>
      </w:r>
      <w:r w:rsidRPr="007C3EC7">
        <w:rPr>
          <w:rFonts w:cs="Traditional Arabic" w:hint="cs"/>
          <w:color w:val="000000"/>
          <w:sz w:val="28"/>
          <w:szCs w:val="32"/>
          <w:rtl/>
        </w:rPr>
        <w:t xml:space="preserve"> واختلط المنقول بأمتعته</w:t>
      </w:r>
      <w:r>
        <w:rPr>
          <w:rFonts w:cs="Traditional Arabic" w:hint="cs"/>
          <w:color w:val="000000"/>
          <w:sz w:val="28"/>
          <w:szCs w:val="32"/>
          <w:rtl/>
        </w:rPr>
        <w:t xml:space="preserve"> ،</w:t>
      </w:r>
      <w:r w:rsidRPr="007C3EC7">
        <w:rPr>
          <w:rFonts w:cs="Traditional Arabic" w:hint="cs"/>
          <w:color w:val="000000"/>
          <w:sz w:val="28"/>
          <w:szCs w:val="32"/>
          <w:rtl/>
        </w:rPr>
        <w:t xml:space="preserve"> كان صاحب الفندق يعتقد بحسن نية أن المنقول ملك النزيل وأنه غير مثقل بحق 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ففي هذه الحالة أيضاً يفضل صاحب الفندق حسن النية على 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ويتقدم امتياز صاحب الفندق على امتياز بائع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من أجل ذلك</w:t>
      </w:r>
      <w:r>
        <w:rPr>
          <w:rFonts w:cs="Traditional Arabic" w:hint="cs"/>
          <w:color w:val="000000"/>
          <w:sz w:val="28"/>
          <w:szCs w:val="32"/>
          <w:rtl/>
        </w:rPr>
        <w:t xml:space="preserve"> ،</w:t>
      </w:r>
      <w:r w:rsidRPr="007C3EC7">
        <w:rPr>
          <w:rFonts w:cs="Traditional Arabic" w:hint="cs"/>
          <w:color w:val="000000"/>
          <w:sz w:val="28"/>
          <w:szCs w:val="32"/>
          <w:rtl/>
        </w:rPr>
        <w:t xml:space="preserve"> ولأن امتياز بائع المنقول معرض للضياع وللتبديد كثيراً</w:t>
      </w:r>
      <w:r>
        <w:rPr>
          <w:rFonts w:cs="Traditional Arabic" w:hint="cs"/>
          <w:color w:val="000000"/>
          <w:sz w:val="28"/>
          <w:szCs w:val="32"/>
          <w:rtl/>
        </w:rPr>
        <w:t xml:space="preserve"> ،</w:t>
      </w:r>
      <w:r w:rsidRPr="007C3EC7">
        <w:rPr>
          <w:rFonts w:cs="Traditional Arabic" w:hint="cs"/>
          <w:color w:val="000000"/>
          <w:sz w:val="28"/>
          <w:szCs w:val="32"/>
          <w:rtl/>
        </w:rPr>
        <w:t xml:space="preserve"> نص القانون في الفقرة الثالثة والأخيرة من المادة 1133 مدني سالفة الذكر على أنه إذا خشي الدائن </w:t>
      </w:r>
      <w:r>
        <w:rPr>
          <w:rFonts w:cs="Traditional Arabic" w:hint="cs"/>
          <w:color w:val="000000"/>
          <w:sz w:val="28"/>
          <w:szCs w:val="32"/>
          <w:rtl/>
        </w:rPr>
        <w:t xml:space="preserve">( </w:t>
      </w:r>
      <w:r w:rsidRPr="007C3EC7">
        <w:rPr>
          <w:rFonts w:cs="Traditional Arabic" w:hint="cs"/>
          <w:color w:val="000000"/>
          <w:sz w:val="28"/>
          <w:szCs w:val="32"/>
          <w:rtl/>
        </w:rPr>
        <w:t>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لأسباب معقولة تبديد المنقول المثقل بحق امتياز لمصلحته</w:t>
      </w:r>
      <w:r>
        <w:rPr>
          <w:rFonts w:cs="Traditional Arabic" w:hint="cs"/>
          <w:color w:val="000000"/>
          <w:sz w:val="28"/>
          <w:szCs w:val="32"/>
          <w:rtl/>
        </w:rPr>
        <w:t xml:space="preserve"> ،</w:t>
      </w:r>
      <w:r w:rsidRPr="007C3EC7">
        <w:rPr>
          <w:rFonts w:cs="Traditional Arabic" w:hint="cs"/>
          <w:color w:val="000000"/>
          <w:sz w:val="28"/>
          <w:szCs w:val="32"/>
          <w:rtl/>
        </w:rPr>
        <w:t xml:space="preserve"> كنقله إلى مكان مستأجر أو إلى فندق</w:t>
      </w:r>
      <w:r>
        <w:rPr>
          <w:rFonts w:cs="Traditional Arabic" w:hint="cs"/>
          <w:color w:val="000000"/>
          <w:sz w:val="28"/>
          <w:szCs w:val="32"/>
          <w:rtl/>
        </w:rPr>
        <w:t xml:space="preserve"> ،</w:t>
      </w:r>
      <w:r w:rsidRPr="007C3EC7">
        <w:rPr>
          <w:rFonts w:cs="Traditional Arabic" w:hint="cs"/>
          <w:color w:val="000000"/>
          <w:sz w:val="28"/>
          <w:szCs w:val="32"/>
          <w:rtl/>
        </w:rPr>
        <w:t xml:space="preserve"> جاز له أن يطلب وضع هذا المنقول تحت الحراسة</w:t>
      </w:r>
      <w:r>
        <w:rPr>
          <w:rFonts w:cs="Traditional Arabic" w:hint="cs"/>
          <w:color w:val="000000"/>
          <w:sz w:val="28"/>
          <w:szCs w:val="32"/>
          <w:rtl/>
        </w:rPr>
        <w:t xml:space="preserve"> .</w:t>
      </w:r>
      <w:r w:rsidRPr="007C3EC7">
        <w:rPr>
          <w:rFonts w:cs="Traditional Arabic" w:hint="cs"/>
          <w:color w:val="000000"/>
          <w:sz w:val="28"/>
          <w:szCs w:val="32"/>
          <w:rtl/>
        </w:rPr>
        <w:t xml:space="preserve"> فيؤمنه الحارس بوضعه تحت حراسته</w:t>
      </w:r>
      <w:r>
        <w:rPr>
          <w:rFonts w:cs="Traditional Arabic" w:hint="cs"/>
          <w:color w:val="000000"/>
          <w:sz w:val="28"/>
          <w:szCs w:val="32"/>
          <w:rtl/>
        </w:rPr>
        <w:t xml:space="preserve"> ،</w:t>
      </w:r>
      <w:r w:rsidRPr="007C3EC7">
        <w:rPr>
          <w:rFonts w:cs="Traditional Arabic" w:hint="cs"/>
          <w:color w:val="000000"/>
          <w:sz w:val="28"/>
          <w:szCs w:val="32"/>
          <w:rtl/>
        </w:rPr>
        <w:t xml:space="preserve"> أو على الأقل يخطر صاحب المكان المؤجر أو 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قبل نقل المنقول إلى المكان المؤجر أو إلى الفندق</w:t>
      </w:r>
      <w:r>
        <w:rPr>
          <w:rFonts w:cs="Traditional Arabic" w:hint="cs"/>
          <w:color w:val="000000"/>
          <w:sz w:val="28"/>
          <w:szCs w:val="32"/>
          <w:rtl/>
        </w:rPr>
        <w:t xml:space="preserve"> ،</w:t>
      </w:r>
      <w:r w:rsidRPr="007C3EC7">
        <w:rPr>
          <w:rFonts w:cs="Traditional Arabic" w:hint="cs"/>
          <w:color w:val="000000"/>
          <w:sz w:val="28"/>
          <w:szCs w:val="32"/>
          <w:rtl/>
        </w:rPr>
        <w:t xml:space="preserve"> بأن المنقول مثقل بحق 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فيبقى هذا الامتياز مفضلا على امتياز المؤجر أو امتياز صاحب الفندق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663- مرتبة الامتياز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وقد نصت المادة 1131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مرتبة الامتياز يحددها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فإذا لم ينص صراحة في حق ممتاز على مرتبة امتيازه</w:t>
      </w:r>
      <w:r>
        <w:rPr>
          <w:rFonts w:cs="Traditional Arabic" w:hint="cs"/>
          <w:color w:val="000000"/>
          <w:sz w:val="28"/>
          <w:szCs w:val="32"/>
          <w:rtl/>
        </w:rPr>
        <w:t xml:space="preserve"> ،</w:t>
      </w:r>
      <w:r w:rsidRPr="007C3EC7">
        <w:rPr>
          <w:rFonts w:cs="Traditional Arabic" w:hint="cs"/>
          <w:color w:val="000000"/>
          <w:sz w:val="28"/>
          <w:szCs w:val="32"/>
          <w:rtl/>
        </w:rPr>
        <w:t xml:space="preserve"> كان هذا الحق متأخراً في المرتبة عن كل امتياز ورد في هذا الباب"</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$934 "2- وإذا كانت الحقوق الممتازة في مرتبة واحدة</w:t>
      </w:r>
      <w:r>
        <w:rPr>
          <w:rFonts w:cs="Traditional Arabic" w:hint="cs"/>
          <w:color w:val="000000"/>
          <w:sz w:val="28"/>
          <w:szCs w:val="32"/>
          <w:rtl/>
        </w:rPr>
        <w:t xml:space="preserve"> ،</w:t>
      </w:r>
      <w:r w:rsidRPr="007C3EC7">
        <w:rPr>
          <w:rFonts w:cs="Traditional Arabic" w:hint="cs"/>
          <w:color w:val="000000"/>
          <w:sz w:val="28"/>
          <w:szCs w:val="32"/>
          <w:rtl/>
        </w:rPr>
        <w:t xml:space="preserve"> فإنها تستوفي بنسبة قيمة كل منها</w:t>
      </w:r>
      <w:r>
        <w:rPr>
          <w:rFonts w:cs="Traditional Arabic" w:hint="cs"/>
          <w:color w:val="000000"/>
          <w:sz w:val="28"/>
          <w:szCs w:val="32"/>
          <w:rtl/>
        </w:rPr>
        <w:t xml:space="preserve"> ،</w:t>
      </w:r>
      <w:r w:rsidRPr="007C3EC7">
        <w:rPr>
          <w:rFonts w:cs="Traditional Arabic" w:hint="cs"/>
          <w:color w:val="000000"/>
          <w:sz w:val="28"/>
          <w:szCs w:val="32"/>
          <w:rtl/>
        </w:rPr>
        <w:t xml:space="preserve"> ما لم </w:t>
      </w:r>
      <w:r w:rsidRPr="007C3EC7">
        <w:rPr>
          <w:rFonts w:cs="Traditional Arabic" w:hint="cs"/>
          <w:color w:val="000000"/>
          <w:sz w:val="28"/>
          <w:szCs w:val="32"/>
          <w:rtl/>
        </w:rPr>
        <w:lastRenderedPageBreak/>
        <w:t>يوجد نص يقضي بغير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"وكل حق ممتاز</w:t>
      </w:r>
      <w:r>
        <w:rPr>
          <w:rFonts w:cs="Traditional Arabic" w:hint="cs"/>
          <w:color w:val="000000"/>
          <w:sz w:val="28"/>
          <w:szCs w:val="32"/>
          <w:rtl/>
        </w:rPr>
        <w:t xml:space="preserve"> ،</w:t>
      </w:r>
      <w:r w:rsidRPr="007C3EC7">
        <w:rPr>
          <w:rFonts w:cs="Traditional Arabic" w:hint="cs"/>
          <w:color w:val="000000"/>
          <w:sz w:val="28"/>
          <w:szCs w:val="32"/>
          <w:rtl/>
        </w:rPr>
        <w:t xml:space="preserve"> لم ينص القانون على مرتبة امتيازه</w:t>
      </w:r>
      <w:r>
        <w:rPr>
          <w:rFonts w:cs="Traditional Arabic" w:hint="cs"/>
          <w:color w:val="000000"/>
          <w:sz w:val="28"/>
          <w:szCs w:val="32"/>
          <w:rtl/>
        </w:rPr>
        <w:t xml:space="preserve"> ،</w:t>
      </w:r>
      <w:r w:rsidRPr="007C3EC7">
        <w:rPr>
          <w:rFonts w:cs="Traditional Arabic" w:hint="cs"/>
          <w:color w:val="000000"/>
          <w:sz w:val="28"/>
          <w:szCs w:val="32"/>
          <w:rtl/>
        </w:rPr>
        <w:t xml:space="preserve"> يتأخر في المرتبة على الحقوق الممتازة التي نص عليها المشروع في هذا الباب</w:t>
      </w:r>
      <w:r>
        <w:rPr>
          <w:rFonts w:cs="Traditional Arabic" w:hint="cs"/>
          <w:color w:val="000000"/>
          <w:sz w:val="28"/>
          <w:szCs w:val="32"/>
          <w:rtl/>
        </w:rPr>
        <w:t xml:space="preserve"> .</w:t>
      </w:r>
      <w:r w:rsidRPr="007C3EC7">
        <w:rPr>
          <w:rFonts w:cs="Traditional Arabic" w:hint="cs"/>
          <w:color w:val="000000"/>
          <w:sz w:val="28"/>
          <w:szCs w:val="32"/>
          <w:rtl/>
        </w:rPr>
        <w:t xml:space="preserve"> إذا اتحدت مرتبة الامتياز في حقين</w:t>
      </w:r>
      <w:r>
        <w:rPr>
          <w:rFonts w:cs="Traditional Arabic" w:hint="cs"/>
          <w:color w:val="000000"/>
          <w:sz w:val="28"/>
          <w:szCs w:val="32"/>
          <w:rtl/>
        </w:rPr>
        <w:t xml:space="preserve"> ،</w:t>
      </w:r>
      <w:r w:rsidRPr="007C3EC7">
        <w:rPr>
          <w:rFonts w:cs="Traditional Arabic" w:hint="cs"/>
          <w:color w:val="000000"/>
          <w:sz w:val="28"/>
          <w:szCs w:val="32"/>
          <w:rtl/>
        </w:rPr>
        <w:t xml:space="preserve"> فإنهما يستوفيان بنسبة قيمة كل منهما"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ن النص سالف الذكر أن القانون هو وحده الذي يحدد مرتبة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$935 وقد مع القانون أكثر حقوق الامتياز في الباب الرابع من الكتاب الرابع الذي نحن فيه</w:t>
      </w:r>
      <w:r>
        <w:rPr>
          <w:rFonts w:cs="Traditional Arabic" w:hint="cs"/>
          <w:color w:val="000000"/>
          <w:sz w:val="28"/>
          <w:szCs w:val="32"/>
          <w:rtl/>
        </w:rPr>
        <w:t xml:space="preserve"> ،</w:t>
      </w:r>
      <w:r w:rsidRPr="007C3EC7">
        <w:rPr>
          <w:rFonts w:cs="Traditional Arabic" w:hint="cs"/>
          <w:color w:val="000000"/>
          <w:sz w:val="28"/>
          <w:szCs w:val="32"/>
          <w:rtl/>
        </w:rPr>
        <w:t xml:space="preserve"> وحدد مرتبة كل حق امتياز فيها</w:t>
      </w:r>
      <w:r>
        <w:rPr>
          <w:rFonts w:cs="Traditional Arabic" w:hint="cs"/>
          <w:color w:val="000000"/>
          <w:sz w:val="28"/>
          <w:szCs w:val="32"/>
          <w:rtl/>
        </w:rPr>
        <w:t xml:space="preserve"> ،</w:t>
      </w:r>
      <w:r w:rsidRPr="007C3EC7">
        <w:rPr>
          <w:rFonts w:cs="Traditional Arabic" w:hint="cs"/>
          <w:color w:val="000000"/>
          <w:sz w:val="28"/>
          <w:szCs w:val="32"/>
          <w:rtl/>
        </w:rPr>
        <w:t xml:space="preserve"> كما سنرى عند الكلام تفصيلا في حقوق الامتياز هذه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ولما كان يوجد حقوق امتياز أخرى غير هذه مبعثرة في أماكن متفرقة</w:t>
      </w:r>
      <w:r>
        <w:rPr>
          <w:rFonts w:cs="Traditional Arabic" w:hint="cs"/>
          <w:color w:val="000000"/>
          <w:sz w:val="28"/>
          <w:szCs w:val="32"/>
          <w:rtl/>
        </w:rPr>
        <w:t xml:space="preserve"> ،</w:t>
      </w:r>
      <w:r w:rsidRPr="007C3EC7">
        <w:rPr>
          <w:rFonts w:cs="Traditional Arabic" w:hint="cs"/>
          <w:color w:val="000000"/>
          <w:sz w:val="28"/>
          <w:szCs w:val="32"/>
          <w:rtl/>
        </w:rPr>
        <w:t xml:space="preserve"> فإن المادة سالفة الذكر وضعت قاعدة لتحديد مرتبة امتيازها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وأول شق في هذه القاعدة هو أن يضع القانون مرتبة الامتياز عند ذكر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فيؤخذ بهذه المرتبة متقدمة كانت أو متأخرة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فإذا لم يضع القانون مرتبة لحق ممتاز</w:t>
      </w:r>
      <w:r>
        <w:rPr>
          <w:rFonts w:cs="Traditional Arabic" w:hint="cs"/>
          <w:color w:val="000000"/>
          <w:sz w:val="28"/>
          <w:szCs w:val="32"/>
          <w:rtl/>
        </w:rPr>
        <w:t xml:space="preserve"> ،</w:t>
      </w:r>
      <w:r w:rsidRPr="007C3EC7">
        <w:rPr>
          <w:rFonts w:cs="Traditional Arabic" w:hint="cs"/>
          <w:color w:val="000000"/>
          <w:sz w:val="28"/>
          <w:szCs w:val="32"/>
          <w:rtl/>
        </w:rPr>
        <w:t xml:space="preserve"> تأخر هذا الحق في مرتبته عن كل الحقوق الممتازة المذكورة في الباب الرابع هذا</w:t>
      </w:r>
      <w:r>
        <w:rPr>
          <w:rFonts w:cs="Traditional Arabic" w:hint="cs"/>
          <w:color w:val="000000"/>
          <w:sz w:val="28"/>
          <w:szCs w:val="32"/>
          <w:rtl/>
        </w:rPr>
        <w:t xml:space="preserve"> .</w:t>
      </w:r>
      <w:r w:rsidRPr="007C3EC7">
        <w:rPr>
          <w:rFonts w:cs="Traditional Arabic" w:hint="cs"/>
          <w:color w:val="000000"/>
          <w:sz w:val="28"/>
          <w:szCs w:val="32"/>
          <w:rtl/>
        </w:rPr>
        <w:t xml:space="preserve"> ولما لم يكن لهذا الحق مرتبة محددة</w:t>
      </w:r>
      <w:r>
        <w:rPr>
          <w:rFonts w:cs="Traditional Arabic" w:hint="cs"/>
          <w:color w:val="000000"/>
          <w:sz w:val="28"/>
          <w:szCs w:val="32"/>
          <w:rtl/>
        </w:rPr>
        <w:t xml:space="preserve"> ،</w:t>
      </w:r>
      <w:r w:rsidRPr="007C3EC7">
        <w:rPr>
          <w:rFonts w:cs="Traditional Arabic" w:hint="cs"/>
          <w:color w:val="000000"/>
          <w:sz w:val="28"/>
          <w:szCs w:val="32"/>
          <w:rtl/>
        </w:rPr>
        <w:t xml:space="preserve"> فإنه يأتي مباشرة عقب حقوق الباب الرابع</w:t>
      </w:r>
      <w:r>
        <w:rPr>
          <w:rFonts w:cs="Traditional Arabic" w:hint="cs"/>
          <w:color w:val="000000"/>
          <w:sz w:val="28"/>
          <w:szCs w:val="32"/>
          <w:rtl/>
        </w:rPr>
        <w:t xml:space="preserve"> ،</w:t>
      </w:r>
      <w:r w:rsidRPr="007C3EC7">
        <w:rPr>
          <w:rFonts w:cs="Traditional Arabic" w:hint="cs"/>
          <w:color w:val="000000"/>
          <w:sz w:val="28"/>
          <w:szCs w:val="32"/>
          <w:rtl/>
        </w:rPr>
        <w:t xml:space="preserve"> ويتساوى في مرتبته مع الحقوق التي لم يحدد القانون مرتبة لها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ويتفق أن حقوق امتياز متعددة</w:t>
      </w:r>
      <w:r>
        <w:rPr>
          <w:rFonts w:cs="Traditional Arabic" w:hint="cs"/>
          <w:color w:val="000000"/>
          <w:sz w:val="28"/>
          <w:szCs w:val="32"/>
          <w:rtl/>
        </w:rPr>
        <w:t xml:space="preserve"> ،</w:t>
      </w:r>
      <w:r w:rsidRPr="007C3EC7">
        <w:rPr>
          <w:rFonts w:cs="Traditional Arabic" w:hint="cs"/>
          <w:color w:val="000000"/>
          <w:sz w:val="28"/>
          <w:szCs w:val="32"/>
          <w:rtl/>
        </w:rPr>
        <w:t xml:space="preserve"> كحقوق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تكون كلها في مرتبة واحدة</w:t>
      </w:r>
      <w:r>
        <w:rPr>
          <w:rFonts w:cs="Traditional Arabic" w:hint="cs"/>
          <w:color w:val="000000"/>
          <w:sz w:val="28"/>
          <w:szCs w:val="32"/>
          <w:rtl/>
        </w:rPr>
        <w:t xml:space="preserve"> ،</w:t>
      </w:r>
      <w:r w:rsidRPr="007C3EC7">
        <w:rPr>
          <w:rFonts w:cs="Traditional Arabic" w:hint="cs"/>
          <w:color w:val="000000"/>
          <w:sz w:val="28"/>
          <w:szCs w:val="32"/>
          <w:rtl/>
        </w:rPr>
        <w:t xml:space="preserve"> فتستوفي بنسبة قيمة كل منها</w:t>
      </w:r>
      <w:r>
        <w:rPr>
          <w:rFonts w:cs="Traditional Arabic" w:hint="cs"/>
          <w:color w:val="000000"/>
          <w:sz w:val="28"/>
          <w:szCs w:val="32"/>
          <w:rtl/>
        </w:rPr>
        <w:t xml:space="preserve"> ،</w:t>
      </w:r>
      <w:r w:rsidRPr="007C3EC7">
        <w:rPr>
          <w:rFonts w:cs="Traditional Arabic" w:hint="cs"/>
          <w:color w:val="000000"/>
          <w:sz w:val="28"/>
          <w:szCs w:val="32"/>
          <w:rtl/>
        </w:rPr>
        <w:t xml:space="preserve"> ما لم يوجد نص بقضي بغير ذلك</w:t>
      </w:r>
      <w:r>
        <w:rPr>
          <w:rFonts w:cs="Traditional Arabic" w:hint="cs"/>
          <w:color w:val="000000"/>
          <w:sz w:val="28"/>
          <w:szCs w:val="32"/>
          <w:rtl/>
        </w:rPr>
        <w:t xml:space="preserve"> .</w:t>
      </w:r>
      <w:r w:rsidRPr="007C3EC7">
        <w:rPr>
          <w:rFonts w:cs="Traditional Arabic" w:hint="cs"/>
          <w:color w:val="000000"/>
          <w:sz w:val="28"/>
          <w:szCs w:val="32"/>
          <w:rtl/>
        </w:rPr>
        <w:t xml:space="preserve"> فإذا تزاحم عامل ومورد الملابس وصاحب النفقة</w:t>
      </w:r>
      <w:r>
        <w:rPr>
          <w:rFonts w:cs="Traditional Arabic" w:hint="cs"/>
          <w:color w:val="000000"/>
          <w:sz w:val="28"/>
          <w:szCs w:val="32"/>
          <w:rtl/>
        </w:rPr>
        <w:t xml:space="preserve"> ،</w:t>
      </w:r>
      <w:r w:rsidRPr="007C3EC7">
        <w:rPr>
          <w:rFonts w:cs="Traditional Arabic" w:hint="cs"/>
          <w:color w:val="000000"/>
          <w:sz w:val="28"/>
          <w:szCs w:val="32"/>
          <w:rtl/>
        </w:rPr>
        <w:t xml:space="preserve"> وهؤلاء جميعاً أصحاب حق امتياز عام ومتساوون في المرتبة</w:t>
      </w:r>
      <w:r>
        <w:rPr>
          <w:rFonts w:cs="Traditional Arabic" w:hint="cs"/>
          <w:color w:val="000000"/>
          <w:sz w:val="28"/>
          <w:szCs w:val="32"/>
          <w:rtl/>
        </w:rPr>
        <w:t xml:space="preserve"> ،</w:t>
      </w:r>
      <w:r w:rsidRPr="007C3EC7">
        <w:rPr>
          <w:rFonts w:cs="Traditional Arabic" w:hint="cs"/>
          <w:color w:val="000000"/>
          <w:sz w:val="28"/>
          <w:szCs w:val="32"/>
          <w:rtl/>
        </w:rPr>
        <w:t xml:space="preserve"> فإنهم يستوفون حقوقهم كلها من المال الذي نفذوا عليه</w:t>
      </w:r>
      <w:r>
        <w:rPr>
          <w:rFonts w:cs="Traditional Arabic" w:hint="cs"/>
          <w:color w:val="000000"/>
          <w:sz w:val="28"/>
          <w:szCs w:val="32"/>
          <w:rtl/>
        </w:rPr>
        <w:t xml:space="preserve"> .</w:t>
      </w:r>
      <w:r w:rsidRPr="007C3EC7">
        <w:rPr>
          <w:rFonts w:cs="Traditional Arabic" w:hint="cs"/>
          <w:color w:val="000000"/>
          <w:sz w:val="28"/>
          <w:szCs w:val="32"/>
          <w:rtl/>
        </w:rPr>
        <w:t xml:space="preserve"> فإذا لم يكف هذا المال لتأدية جميع حقوقهم</w:t>
      </w:r>
      <w:r>
        <w:rPr>
          <w:rFonts w:cs="Traditional Arabic" w:hint="cs"/>
          <w:color w:val="000000"/>
          <w:sz w:val="28"/>
          <w:szCs w:val="32"/>
          <w:rtl/>
        </w:rPr>
        <w:t xml:space="preserve"> ،</w:t>
      </w:r>
      <w:r w:rsidRPr="007C3EC7">
        <w:rPr>
          <w:rFonts w:cs="Traditional Arabic" w:hint="cs"/>
          <w:color w:val="000000"/>
          <w:sz w:val="28"/>
          <w:szCs w:val="32"/>
          <w:rtl/>
        </w:rPr>
        <w:t xml:space="preserve"> فإنهم يتقاسمون ما حصلوا عليه بنسبة قيمة الحقوق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ثم ينفذون على مال آخر بعد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 xml:space="preserve">664- هلاك الشيء المثقل بالامتياز أو تلفه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نصت المادة 1135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"يسري على الامتياز ما يسري على الرهن الرسمي من أحكام متعلقة بهلاك الشيء أو تلفه"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$936 وجاء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"إذا هلك 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فإن كان الهلاك بخطأ المدين كان الدائن بالخيار بين استيفاء الدين أو طلب تأمين آخر</w:t>
      </w:r>
      <w:r>
        <w:rPr>
          <w:rFonts w:cs="Traditional Arabic" w:hint="cs"/>
          <w:color w:val="000000"/>
          <w:sz w:val="28"/>
          <w:szCs w:val="32"/>
          <w:rtl/>
        </w:rPr>
        <w:t xml:space="preserve"> ،</w:t>
      </w:r>
      <w:r w:rsidRPr="007C3EC7">
        <w:rPr>
          <w:rFonts w:cs="Traditional Arabic" w:hint="cs"/>
          <w:color w:val="000000"/>
          <w:sz w:val="28"/>
          <w:szCs w:val="32"/>
          <w:rtl/>
        </w:rPr>
        <w:t xml:space="preserve"> والخيار للمدين إذا كان الهلاك بسبب أجنب </w:t>
      </w:r>
      <w:r w:rsidRPr="007C3EC7">
        <w:rPr>
          <w:rFonts w:cs="Traditional Arabic"/>
          <w:color w:val="000000"/>
          <w:sz w:val="28"/>
          <w:szCs w:val="32"/>
          <w:rtl/>
        </w:rPr>
        <w:t>–</w:t>
      </w:r>
      <w:r w:rsidRPr="007C3EC7">
        <w:rPr>
          <w:rFonts w:cs="Traditional Arabic" w:hint="cs"/>
          <w:color w:val="000000"/>
          <w:sz w:val="28"/>
          <w:szCs w:val="32"/>
          <w:rtl/>
        </w:rPr>
        <w:t xml:space="preserve"> وينتقل الامتياز إلى الحق الذي حل محل الشيء الذي هلك</w:t>
      </w:r>
      <w:r>
        <w:rPr>
          <w:rFonts w:cs="Traditional Arabic" w:hint="cs"/>
          <w:color w:val="000000"/>
          <w:sz w:val="28"/>
          <w:szCs w:val="32"/>
          <w:rtl/>
        </w:rPr>
        <w:t xml:space="preserve"> ،</w:t>
      </w:r>
      <w:r w:rsidRPr="007C3EC7">
        <w:rPr>
          <w:rFonts w:cs="Traditional Arabic" w:hint="cs"/>
          <w:color w:val="000000"/>
          <w:sz w:val="28"/>
          <w:szCs w:val="32"/>
          <w:rtl/>
        </w:rPr>
        <w:t xml:space="preserve"> كالتعويض أو مبلغ التأمين</w:t>
      </w:r>
      <w:r>
        <w:rPr>
          <w:rFonts w:cs="Traditional Arabic" w:hint="cs"/>
          <w:color w:val="000000"/>
          <w:sz w:val="28"/>
          <w:szCs w:val="32"/>
          <w:rtl/>
        </w:rPr>
        <w:t xml:space="preserve"> .</w:t>
      </w:r>
      <w:r w:rsidRPr="007C3EC7">
        <w:rPr>
          <w:rFonts w:cs="Traditional Arabic" w:hint="cs"/>
          <w:color w:val="000000"/>
          <w:sz w:val="28"/>
          <w:szCs w:val="32"/>
          <w:rtl/>
        </w:rPr>
        <w:t xml:space="preserve"> وهذه هي أحكام الرهن الرسمي"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النص سالف الذكر أنه إذا هلك الشيء أو تلف</w:t>
      </w:r>
      <w:r>
        <w:rPr>
          <w:rFonts w:cs="Traditional Arabic" w:hint="cs"/>
          <w:color w:val="000000"/>
          <w:sz w:val="28"/>
          <w:szCs w:val="32"/>
          <w:rtl/>
        </w:rPr>
        <w:t xml:space="preserve"> ،</w:t>
      </w:r>
      <w:r w:rsidRPr="007C3EC7">
        <w:rPr>
          <w:rFonts w:cs="Traditional Arabic" w:hint="cs"/>
          <w:color w:val="000000"/>
          <w:sz w:val="28"/>
          <w:szCs w:val="32"/>
          <w:rtl/>
        </w:rPr>
        <w:t xml:space="preserve"> فإن كان ذلك بخطأ المدين</w:t>
      </w:r>
      <w:r>
        <w:rPr>
          <w:rFonts w:cs="Traditional Arabic" w:hint="cs"/>
          <w:color w:val="000000"/>
          <w:sz w:val="28"/>
          <w:szCs w:val="32"/>
          <w:rtl/>
        </w:rPr>
        <w:t xml:space="preserve"> ،</w:t>
      </w:r>
      <w:r w:rsidRPr="007C3EC7">
        <w:rPr>
          <w:rFonts w:cs="Traditional Arabic" w:hint="cs"/>
          <w:color w:val="000000"/>
          <w:sz w:val="28"/>
          <w:szCs w:val="32"/>
          <w:rtl/>
        </w:rPr>
        <w:t xml:space="preserve"> كان الدائن مخيراً بين طلب تأمين آخر وينتقل إليه حق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وبين استيفاء الدين قبل حلول ميعاده</w:t>
      </w:r>
      <w:r>
        <w:rPr>
          <w:rFonts w:cs="Traditional Arabic" w:hint="cs"/>
          <w:color w:val="000000"/>
          <w:sz w:val="28"/>
          <w:szCs w:val="32"/>
          <w:rtl/>
        </w:rPr>
        <w:t xml:space="preserve"> .</w:t>
      </w:r>
      <w:r w:rsidRPr="007C3EC7">
        <w:rPr>
          <w:rFonts w:cs="Traditional Arabic" w:hint="cs"/>
          <w:color w:val="000000"/>
          <w:sz w:val="28"/>
          <w:szCs w:val="32"/>
          <w:rtl/>
        </w:rPr>
        <w:t xml:space="preserve"> وهذا هو حكم الرهن الرسمي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وإن أن كان ذلك قضاء وقدراً</w:t>
      </w:r>
      <w:r>
        <w:rPr>
          <w:rFonts w:cs="Traditional Arabic" w:hint="cs"/>
          <w:color w:val="000000"/>
          <w:sz w:val="28"/>
          <w:szCs w:val="32"/>
          <w:rtl/>
        </w:rPr>
        <w:t xml:space="preserve"> ،</w:t>
      </w:r>
      <w:r w:rsidRPr="007C3EC7">
        <w:rPr>
          <w:rFonts w:cs="Traditional Arabic" w:hint="cs"/>
          <w:color w:val="000000"/>
          <w:sz w:val="28"/>
          <w:szCs w:val="32"/>
          <w:rtl/>
        </w:rPr>
        <w:t xml:space="preserve"> كان الخيار للمدين</w:t>
      </w:r>
      <w:r>
        <w:rPr>
          <w:rFonts w:cs="Traditional Arabic" w:hint="cs"/>
          <w:color w:val="000000"/>
          <w:sz w:val="28"/>
          <w:szCs w:val="32"/>
          <w:rtl/>
        </w:rPr>
        <w:t xml:space="preserve"> ،</w:t>
      </w:r>
      <w:r w:rsidRPr="007C3EC7">
        <w:rPr>
          <w:rFonts w:cs="Traditional Arabic" w:hint="cs"/>
          <w:color w:val="000000"/>
          <w:sz w:val="28"/>
          <w:szCs w:val="32"/>
          <w:rtl/>
        </w:rPr>
        <w:t xml:space="preserve"> فيوف الدين قبل ميعاده</w:t>
      </w:r>
      <w:r>
        <w:rPr>
          <w:rFonts w:cs="Traditional Arabic" w:hint="cs"/>
          <w:color w:val="000000"/>
          <w:sz w:val="28"/>
          <w:szCs w:val="32"/>
          <w:rtl/>
        </w:rPr>
        <w:t xml:space="preserve"> ،</w:t>
      </w:r>
      <w:r w:rsidRPr="007C3EC7">
        <w:rPr>
          <w:rFonts w:cs="Traditional Arabic" w:hint="cs"/>
          <w:color w:val="000000"/>
          <w:sz w:val="28"/>
          <w:szCs w:val="32"/>
          <w:rtl/>
        </w:rPr>
        <w:t xml:space="preserve"> أو يقدم تأميناً آخر ينتقل إليه حق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وهذا هو أيضاً حكم الرهن ارسمي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$937 </w:t>
      </w:r>
      <w:r w:rsidRPr="007C3EC7">
        <w:rPr>
          <w:rFonts w:cs="Traditional Arabic" w:hint="cs"/>
          <w:b/>
          <w:bCs/>
          <w:color w:val="000000"/>
          <w:sz w:val="28"/>
          <w:szCs w:val="32"/>
          <w:rtl/>
        </w:rPr>
        <w:t xml:space="preserve">665- انقضاء حق الامتياز </w:t>
      </w:r>
      <w:r w:rsidRPr="007C3EC7">
        <w:rPr>
          <w:rFonts w:cs="Traditional Arabic"/>
          <w:b/>
          <w:bCs/>
          <w:color w:val="000000"/>
          <w:sz w:val="28"/>
          <w:szCs w:val="32"/>
          <w:rtl/>
        </w:rPr>
        <w:t>–</w:t>
      </w:r>
      <w:r w:rsidRPr="007C3EC7">
        <w:rPr>
          <w:rFonts w:cs="Traditional Arabic" w:hint="cs"/>
          <w:b/>
          <w:bCs/>
          <w:color w:val="000000"/>
          <w:sz w:val="28"/>
          <w:szCs w:val="32"/>
          <w:rtl/>
        </w:rPr>
        <w:t xml:space="preserve"> نص قانوني</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وقد نصت المادة 1136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"ينقضي حق الامتياز بنفس الطرق التي ينقضي بها حق الرهن الرسمي وحق رهن الحيازة ووفقاً لأحكام انقضاء هذين الحقين</w:t>
      </w:r>
      <w:r>
        <w:rPr>
          <w:rFonts w:cs="Traditional Arabic" w:hint="cs"/>
          <w:color w:val="000000"/>
          <w:sz w:val="28"/>
          <w:szCs w:val="32"/>
          <w:rtl/>
        </w:rPr>
        <w:t xml:space="preserve"> ،</w:t>
      </w:r>
      <w:r w:rsidRPr="007C3EC7">
        <w:rPr>
          <w:rFonts w:cs="Traditional Arabic" w:hint="cs"/>
          <w:color w:val="000000"/>
          <w:sz w:val="28"/>
          <w:szCs w:val="32"/>
          <w:rtl/>
        </w:rPr>
        <w:t xml:space="preserve"> ما لم يوجد نص خاص يقضي بغير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"وينقضي حق الامتياز في العقار بما ينقضي به حق الرهن الرسمي وحق الاختصاص</w:t>
      </w:r>
      <w:r>
        <w:rPr>
          <w:rFonts w:cs="Traditional Arabic" w:hint="cs"/>
          <w:color w:val="000000"/>
          <w:sz w:val="28"/>
          <w:szCs w:val="32"/>
          <w:rtl/>
        </w:rPr>
        <w:t xml:space="preserve"> ،</w:t>
      </w:r>
      <w:r w:rsidRPr="007C3EC7">
        <w:rPr>
          <w:rFonts w:cs="Traditional Arabic" w:hint="cs"/>
          <w:color w:val="000000"/>
          <w:sz w:val="28"/>
          <w:szCs w:val="32"/>
          <w:rtl/>
        </w:rPr>
        <w:t xml:space="preserve"> كما ينقضي حق الامتياز في المنقول بما ينقضي به حق الرهن الحيازي</w:t>
      </w:r>
      <w:r>
        <w:rPr>
          <w:rFonts w:cs="Traditional Arabic" w:hint="cs"/>
          <w:color w:val="000000"/>
          <w:sz w:val="28"/>
          <w:szCs w:val="32"/>
          <w:rtl/>
        </w:rPr>
        <w:t xml:space="preserve"> ،</w:t>
      </w:r>
      <w:r w:rsidRPr="007C3EC7">
        <w:rPr>
          <w:rFonts w:cs="Traditional Arabic" w:hint="cs"/>
          <w:color w:val="000000"/>
          <w:sz w:val="28"/>
          <w:szCs w:val="32"/>
          <w:rtl/>
        </w:rPr>
        <w:t xml:space="preserve"> وذلك ما لم يوجد نص خاص يقضي بغيره"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النص سالف الذكر أن حق الامتياز ينقضي بما ينقضي به الرهن الرسمي في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وبما ينقضي به الرهن الحيازي في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$938 فحق الامتياز ينقضي إذن</w:t>
      </w:r>
      <w:r>
        <w:rPr>
          <w:rFonts w:cs="Traditional Arabic" w:hint="cs"/>
          <w:color w:val="000000"/>
          <w:sz w:val="28"/>
          <w:szCs w:val="32"/>
          <w:rtl/>
        </w:rPr>
        <w:t xml:space="preserve"> ،</w:t>
      </w:r>
      <w:r w:rsidRPr="007C3EC7">
        <w:rPr>
          <w:rFonts w:cs="Traditional Arabic" w:hint="cs"/>
          <w:color w:val="000000"/>
          <w:sz w:val="28"/>
          <w:szCs w:val="32"/>
          <w:rtl/>
        </w:rPr>
        <w:t xml:space="preserve"> في العقار والمنقول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بطريقة تبعية</w:t>
      </w:r>
      <w:r>
        <w:rPr>
          <w:rFonts w:cs="Traditional Arabic" w:hint="cs"/>
          <w:color w:val="000000"/>
          <w:sz w:val="28"/>
          <w:szCs w:val="32"/>
          <w:rtl/>
        </w:rPr>
        <w:t xml:space="preserve"> ،</w:t>
      </w:r>
      <w:r w:rsidRPr="007C3EC7">
        <w:rPr>
          <w:rFonts w:cs="Traditional Arabic" w:hint="cs"/>
          <w:color w:val="000000"/>
          <w:sz w:val="28"/>
          <w:szCs w:val="32"/>
          <w:rtl/>
        </w:rPr>
        <w:t xml:space="preserve"> إذا انقضى الالتزام الأصلي </w:t>
      </w:r>
      <w:r w:rsidRPr="007C3EC7">
        <w:rPr>
          <w:rFonts w:cs="Traditional Arabic" w:hint="cs"/>
          <w:color w:val="000000"/>
          <w:sz w:val="28"/>
          <w:szCs w:val="32"/>
          <w:rtl/>
        </w:rPr>
        <w:lastRenderedPageBreak/>
        <w:t>بسبب من الأسباب التي تنقضي بها الالتزامات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وحق الامتياز في العقار ينقضي</w:t>
      </w:r>
      <w:r>
        <w:rPr>
          <w:rFonts w:cs="Traditional Arabic" w:hint="cs"/>
          <w:color w:val="000000"/>
          <w:sz w:val="28"/>
          <w:szCs w:val="32"/>
          <w:rtl/>
        </w:rPr>
        <w:t xml:space="preserve"> ،</w:t>
      </w:r>
      <w:r w:rsidRPr="007C3EC7">
        <w:rPr>
          <w:rFonts w:cs="Traditional Arabic" w:hint="cs"/>
          <w:color w:val="000000"/>
          <w:sz w:val="28"/>
          <w:szCs w:val="32"/>
          <w:rtl/>
        </w:rPr>
        <w:t xml:space="preserve"> بطريقة أصلية</w:t>
      </w:r>
      <w:r>
        <w:rPr>
          <w:rFonts w:cs="Traditional Arabic" w:hint="cs"/>
          <w:color w:val="000000"/>
          <w:sz w:val="28"/>
          <w:szCs w:val="32"/>
          <w:rtl/>
        </w:rPr>
        <w:t xml:space="preserve"> ،</w:t>
      </w:r>
      <w:r w:rsidRPr="007C3EC7">
        <w:rPr>
          <w:rFonts w:cs="Traditional Arabic" w:hint="cs"/>
          <w:color w:val="000000"/>
          <w:sz w:val="28"/>
          <w:szCs w:val="32"/>
          <w:rtl/>
        </w:rPr>
        <w:t xml:space="preserve"> بنزول الدائن عن حق امتيازه</w:t>
      </w:r>
      <w:r>
        <w:rPr>
          <w:rFonts w:cs="Traditional Arabic" w:hint="cs"/>
          <w:color w:val="000000"/>
          <w:sz w:val="28"/>
          <w:szCs w:val="32"/>
          <w:rtl/>
        </w:rPr>
        <w:t xml:space="preserve"> ،</w:t>
      </w:r>
      <w:r w:rsidRPr="007C3EC7">
        <w:rPr>
          <w:rFonts w:cs="Traditional Arabic" w:hint="cs"/>
          <w:color w:val="000000"/>
          <w:sz w:val="28"/>
          <w:szCs w:val="32"/>
          <w:rtl/>
        </w:rPr>
        <w:t xml:space="preserve"> أو باتحاد الذمة</w:t>
      </w:r>
      <w:r>
        <w:rPr>
          <w:rFonts w:cs="Traditional Arabic" w:hint="cs"/>
          <w:color w:val="000000"/>
          <w:sz w:val="28"/>
          <w:szCs w:val="32"/>
          <w:rtl/>
        </w:rPr>
        <w:t xml:space="preserve"> ،</w:t>
      </w:r>
      <w:r w:rsidRPr="007C3EC7">
        <w:rPr>
          <w:rFonts w:cs="Traditional Arabic" w:hint="cs"/>
          <w:color w:val="000000"/>
          <w:sz w:val="28"/>
          <w:szCs w:val="32"/>
          <w:rtl/>
        </w:rPr>
        <w:t xml:space="preserve"> أو بهلاك الشيء محل الامتياز </w:t>
      </w:r>
      <w:r>
        <w:rPr>
          <w:rFonts w:cs="Traditional Arabic" w:hint="cs"/>
          <w:color w:val="000000"/>
          <w:sz w:val="28"/>
          <w:szCs w:val="32"/>
          <w:rtl/>
        </w:rPr>
        <w:t xml:space="preserve">( </w:t>
      </w:r>
      <w:r w:rsidRPr="007C3EC7">
        <w:rPr>
          <w:rFonts w:cs="Traditional Arabic" w:hint="cs"/>
          <w:color w:val="000000"/>
          <w:sz w:val="28"/>
          <w:szCs w:val="32"/>
          <w:rtl/>
        </w:rPr>
        <w:t>والبيع الجبري في قانون المرافعات</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666- نظرة عامة من المذكرة الإيضاحية على حقوق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وننقل عن المذكرة الإيضاحية نظرة عامة في 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في الكلمة الآتية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"جمع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w:t>
      </w:r>
      <w:r w:rsidRPr="007C3EC7">
        <w:rPr>
          <w:rFonts w:cs="Traditional Arabic" w:hint="cs"/>
          <w:color w:val="000000"/>
          <w:sz w:val="28"/>
          <w:szCs w:val="32"/>
          <w:rtl/>
        </w:rPr>
        <w:t xml:space="preserve"> أكثر الحقوق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سواء كان الامتياز عاماً و خاصاً وسواء وقع الخاص منه على عقار أو منقول</w:t>
      </w:r>
      <w:r>
        <w:rPr>
          <w:rFonts w:cs="Traditional Arabic" w:hint="cs"/>
          <w:color w:val="000000"/>
          <w:sz w:val="28"/>
          <w:szCs w:val="32"/>
          <w:rtl/>
        </w:rPr>
        <w:t xml:space="preserve"> ،</w:t>
      </w:r>
      <w:r w:rsidRPr="007C3EC7">
        <w:rPr>
          <w:rFonts w:cs="Traditional Arabic" w:hint="cs"/>
          <w:color w:val="000000"/>
          <w:sz w:val="28"/>
          <w:szCs w:val="32"/>
          <w:rtl/>
        </w:rPr>
        <w:t xml:space="preserve"> في نص رئيسي واحدة </w:t>
      </w:r>
      <w:r>
        <w:rPr>
          <w:rFonts w:cs="Traditional Arabic" w:hint="cs"/>
          <w:color w:val="000000"/>
          <w:sz w:val="28"/>
          <w:szCs w:val="32"/>
          <w:rtl/>
        </w:rPr>
        <w:t xml:space="preserve">( </w:t>
      </w:r>
      <w:r w:rsidRPr="007C3EC7">
        <w:rPr>
          <w:rFonts w:cs="Traditional Arabic" w:hint="cs"/>
          <w:color w:val="000000"/>
          <w:sz w:val="28"/>
          <w:szCs w:val="32"/>
          <w:rtl/>
        </w:rPr>
        <w:t>م 601/727</w:t>
      </w:r>
      <w:r>
        <w:rPr>
          <w:rFonts w:cs="Traditional Arabic" w:hint="cs"/>
          <w:color w:val="000000"/>
          <w:sz w:val="28"/>
          <w:szCs w:val="32"/>
          <w:rtl/>
        </w:rPr>
        <w:t xml:space="preserve"> ) .</w:t>
      </w:r>
      <w:r w:rsidRPr="007C3EC7">
        <w:rPr>
          <w:rFonts w:cs="Traditional Arabic" w:hint="cs"/>
          <w:color w:val="000000"/>
          <w:sz w:val="28"/>
          <w:szCs w:val="32"/>
          <w:rtl/>
        </w:rPr>
        <w:t xml:space="preserve"> ثم عقب هذا النص بنصين</w:t>
      </w:r>
      <w:r>
        <w:rPr>
          <w:rFonts w:cs="Traditional Arabic" w:hint="cs"/>
          <w:color w:val="000000"/>
          <w:sz w:val="28"/>
          <w:szCs w:val="32"/>
          <w:rtl/>
        </w:rPr>
        <w:t xml:space="preserve"> ،</w:t>
      </w:r>
      <w:r w:rsidRPr="007C3EC7">
        <w:rPr>
          <w:rFonts w:cs="Traditional Arabic" w:hint="cs"/>
          <w:color w:val="000000"/>
          <w:sz w:val="28"/>
          <w:szCs w:val="32"/>
          <w:rtl/>
        </w:rPr>
        <w:t xml:space="preserve"> أحدهما في امتياز متقاسم العقار والآخر في امتياز مصروفات الصيانة في العقار والمنقول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ثم أورد نصاً ثالثاً</w:t>
      </w:r>
      <w:r>
        <w:rPr>
          <w:rFonts w:cs="Traditional Arabic" w:hint="cs"/>
          <w:color w:val="000000"/>
          <w:sz w:val="28"/>
          <w:szCs w:val="32"/>
          <w:rtl/>
        </w:rPr>
        <w:t xml:space="preserve"> ،</w:t>
      </w:r>
      <w:r w:rsidRPr="007C3EC7">
        <w:rPr>
          <w:rFonts w:cs="Traditional Arabic" w:hint="cs"/>
          <w:color w:val="000000"/>
          <w:sz w:val="28"/>
          <w:szCs w:val="32"/>
          <w:rtl/>
        </w:rPr>
        <w:t xml:space="preserve"> يشير فيه إلى حقوق الامتياز التي قررتها القوانين الخاصة"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المشروع فقد وضع في فصل الأحكام العامة لحقوق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ثم أورد في فصل آخر أنواع الحقوق الممتازة مرتبة حسب درجتها</w:t>
      </w:r>
      <w:r>
        <w:rPr>
          <w:rFonts w:cs="Traditional Arabic" w:hint="cs"/>
          <w:color w:val="000000"/>
          <w:sz w:val="28"/>
          <w:szCs w:val="32"/>
          <w:rtl/>
        </w:rPr>
        <w:t xml:space="preserve"> .</w:t>
      </w:r>
      <w:r w:rsidRPr="007C3EC7">
        <w:rPr>
          <w:rFonts w:cs="Traditional Arabic" w:hint="cs"/>
          <w:color w:val="000000"/>
          <w:sz w:val="28"/>
          <w:szCs w:val="32"/>
          <w:rtl/>
        </w:rPr>
        <w:t xml:space="preserve"> وأهمية وضع أحكام عامة لحقوق الامتياز لا تخفي</w:t>
      </w:r>
      <w:r>
        <w:rPr>
          <w:rFonts w:cs="Traditional Arabic" w:hint="cs"/>
          <w:color w:val="000000"/>
          <w:sz w:val="28"/>
          <w:szCs w:val="32"/>
          <w:rtl/>
        </w:rPr>
        <w:t xml:space="preserve"> ،</w:t>
      </w:r>
      <w:r w:rsidRPr="007C3EC7">
        <w:rPr>
          <w:rFonts w:cs="Traditional Arabic" w:hint="cs"/>
          <w:color w:val="000000"/>
          <w:sz w:val="28"/>
          <w:szCs w:val="32"/>
          <w:rtl/>
        </w:rPr>
        <w:t xml:space="preserve"> فهذه الأحكام هي التي تجعل من حقوق الامتياز موضوعاً متماسكاً تنظمه فكرة منسجمة متناسقة</w:t>
      </w:r>
      <w:r>
        <w:rPr>
          <w:rFonts w:cs="Traditional Arabic" w:hint="cs"/>
          <w:color w:val="000000"/>
          <w:sz w:val="28"/>
          <w:szCs w:val="32"/>
          <w:rtl/>
        </w:rPr>
        <w:t xml:space="preserve"> .</w:t>
      </w:r>
      <w:r w:rsidRPr="007C3EC7">
        <w:rPr>
          <w:rFonts w:cs="Traditional Arabic" w:hint="cs"/>
          <w:color w:val="000000"/>
          <w:sz w:val="28"/>
          <w:szCs w:val="32"/>
          <w:rtl/>
        </w:rPr>
        <w:t xml:space="preserve"> وقد أورد المروع في هذه الأحكام تعريفاً لحق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وقسم حقوق الامتياز إلى عامة وخاصة</w:t>
      </w:r>
      <w:r>
        <w:rPr>
          <w:rFonts w:cs="Traditional Arabic" w:hint="cs"/>
          <w:color w:val="000000"/>
          <w:sz w:val="28"/>
          <w:szCs w:val="32"/>
          <w:rtl/>
        </w:rPr>
        <w:t xml:space="preserve"> ،</w:t>
      </w:r>
      <w:r w:rsidRPr="007C3EC7">
        <w:rPr>
          <w:rFonts w:cs="Traditional Arabic" w:hint="cs"/>
          <w:color w:val="000000"/>
          <w:sz w:val="28"/>
          <w:szCs w:val="32"/>
          <w:rtl/>
        </w:rPr>
        <w:t xml:space="preserve"> وميز في الخاصة منها بين حق امتياز يقع على المنقول وآخر $939 يعق على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وبين أحكام كل من النوعين</w:t>
      </w:r>
      <w:r>
        <w:rPr>
          <w:rFonts w:cs="Traditional Arabic" w:hint="cs"/>
          <w:color w:val="000000"/>
          <w:sz w:val="28"/>
          <w:szCs w:val="32"/>
          <w:rtl/>
        </w:rPr>
        <w:t xml:space="preserve"> ،</w:t>
      </w:r>
      <w:r w:rsidRPr="007C3EC7">
        <w:rPr>
          <w:rFonts w:cs="Traditional Arabic" w:hint="cs"/>
          <w:color w:val="000000"/>
          <w:sz w:val="28"/>
          <w:szCs w:val="32"/>
          <w:rtl/>
        </w:rPr>
        <w:t xml:space="preserve"> ثم ذكر كيف ينهي حق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"وانتقل المشرع بعد ذلك إلى الحقوق الممتازة ذاتها</w:t>
      </w:r>
      <w:r>
        <w:rPr>
          <w:rFonts w:cs="Traditional Arabic" w:hint="cs"/>
          <w:color w:val="000000"/>
          <w:sz w:val="28"/>
          <w:szCs w:val="32"/>
          <w:rtl/>
        </w:rPr>
        <w:t xml:space="preserve"> ،</w:t>
      </w:r>
      <w:r w:rsidRPr="007C3EC7">
        <w:rPr>
          <w:rFonts w:cs="Traditional Arabic" w:hint="cs"/>
          <w:color w:val="000000"/>
          <w:sz w:val="28"/>
          <w:szCs w:val="32"/>
          <w:rtl/>
        </w:rPr>
        <w:t xml:space="preserve"> وبدأ بحقوق الامتياز العامة وحقوق الامتياز الخاصة الواقعة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وأوردها جميعاً مرتبة فيما بينها بسحب درجة امتيازها</w:t>
      </w:r>
      <w:r>
        <w:rPr>
          <w:rFonts w:cs="Traditional Arabic" w:hint="cs"/>
          <w:color w:val="000000"/>
          <w:sz w:val="28"/>
          <w:szCs w:val="32"/>
          <w:rtl/>
        </w:rPr>
        <w:t xml:space="preserve"> .</w:t>
      </w:r>
      <w:r w:rsidRPr="007C3EC7">
        <w:rPr>
          <w:rFonts w:cs="Traditional Arabic" w:hint="cs"/>
          <w:color w:val="000000"/>
          <w:sz w:val="28"/>
          <w:szCs w:val="32"/>
          <w:rtl/>
        </w:rPr>
        <w:t xml:space="preserve"> فحسم بذلك مسائل خلافية كثيرة</w:t>
      </w:r>
      <w:r>
        <w:rPr>
          <w:rFonts w:cs="Traditional Arabic" w:hint="cs"/>
          <w:color w:val="000000"/>
          <w:sz w:val="28"/>
          <w:szCs w:val="32"/>
          <w:rtl/>
        </w:rPr>
        <w:t xml:space="preserve"> ،</w:t>
      </w:r>
      <w:r w:rsidRPr="007C3EC7">
        <w:rPr>
          <w:rFonts w:cs="Traditional Arabic" w:hint="cs"/>
          <w:color w:val="000000"/>
          <w:sz w:val="28"/>
          <w:szCs w:val="32"/>
          <w:rtl/>
        </w:rPr>
        <w:t xml:space="preserve"> وأوضح ما وقع فيه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w:t>
      </w:r>
      <w:r w:rsidRPr="007C3EC7">
        <w:rPr>
          <w:rFonts w:cs="Traditional Arabic" w:hint="cs"/>
          <w:color w:val="000000"/>
          <w:sz w:val="28"/>
          <w:szCs w:val="32"/>
          <w:rtl/>
        </w:rPr>
        <w:t xml:space="preserve"> من الغموض في بعض هذه المسائل</w:t>
      </w:r>
      <w:r>
        <w:rPr>
          <w:rFonts w:cs="Traditional Arabic" w:hint="cs"/>
          <w:color w:val="000000"/>
          <w:sz w:val="28"/>
          <w:szCs w:val="32"/>
          <w:rtl/>
        </w:rPr>
        <w:t xml:space="preserve"> .</w:t>
      </w:r>
      <w:r w:rsidRPr="007C3EC7">
        <w:rPr>
          <w:rFonts w:cs="Traditional Arabic" w:hint="cs"/>
          <w:color w:val="000000"/>
          <w:sz w:val="28"/>
          <w:szCs w:val="32"/>
          <w:rtl/>
        </w:rPr>
        <w:t xml:space="preserve"> وقد بدأ بامتياز المصروفات القضائية</w:t>
      </w:r>
      <w:r>
        <w:rPr>
          <w:rFonts w:cs="Traditional Arabic" w:hint="cs"/>
          <w:color w:val="000000"/>
          <w:sz w:val="28"/>
          <w:szCs w:val="32"/>
          <w:rtl/>
        </w:rPr>
        <w:t xml:space="preserve"> ،</w:t>
      </w:r>
      <w:r w:rsidRPr="007C3EC7">
        <w:rPr>
          <w:rFonts w:cs="Traditional Arabic" w:hint="cs"/>
          <w:color w:val="000000"/>
          <w:sz w:val="28"/>
          <w:szCs w:val="32"/>
          <w:rtl/>
        </w:rPr>
        <w:t xml:space="preserve"> وهو أول حق امتياز ويليه امتياز المبالغ المستحقة للخزانة العامة</w:t>
      </w:r>
      <w:r>
        <w:rPr>
          <w:rFonts w:cs="Traditional Arabic" w:hint="cs"/>
          <w:color w:val="000000"/>
          <w:sz w:val="28"/>
          <w:szCs w:val="32"/>
          <w:rtl/>
        </w:rPr>
        <w:t xml:space="preserve"> ،</w:t>
      </w:r>
      <w:r w:rsidRPr="007C3EC7">
        <w:rPr>
          <w:rFonts w:cs="Traditional Arabic" w:hint="cs"/>
          <w:color w:val="000000"/>
          <w:sz w:val="28"/>
          <w:szCs w:val="32"/>
          <w:rtl/>
        </w:rPr>
        <w:t xml:space="preserve"> ثم امتياز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وكل هذه حقوق امتياز خاص تقع على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ويأتي بعدها في الترتيب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ثم امتياز مصروفات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ثم امتياز المبالغ المستحقة في مقابل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ثم 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فامتياز 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فامتياز 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فامتياز المتقاسم في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أما حقوق الامتياز الخاصة </w:t>
      </w:r>
      <w:r w:rsidRPr="007C3EC7">
        <w:rPr>
          <w:rFonts w:cs="Traditional Arabic" w:hint="cs"/>
          <w:color w:val="000000"/>
          <w:sz w:val="28"/>
          <w:szCs w:val="32"/>
          <w:rtl/>
        </w:rPr>
        <w:lastRenderedPageBreak/>
        <w:t>على العقار فقد أوردها المشروع بعد ذلك في نصوص ثلاثة</w:t>
      </w:r>
      <w:r>
        <w:rPr>
          <w:rFonts w:cs="Traditional Arabic" w:hint="cs"/>
          <w:color w:val="000000"/>
          <w:sz w:val="28"/>
          <w:szCs w:val="32"/>
          <w:rtl/>
        </w:rPr>
        <w:t xml:space="preserve"> ،</w:t>
      </w:r>
      <w:r w:rsidRPr="007C3EC7">
        <w:rPr>
          <w:rFonts w:cs="Traditional Arabic" w:hint="cs"/>
          <w:color w:val="000000"/>
          <w:sz w:val="28"/>
          <w:szCs w:val="32"/>
          <w:rtl/>
        </w:rPr>
        <w:t xml:space="preserve"> تناول النص الأول منعا امتياز بائع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والثاني امتياز المقاولين والمهندسين</w:t>
      </w:r>
      <w:r>
        <w:rPr>
          <w:rFonts w:cs="Traditional Arabic" w:hint="cs"/>
          <w:color w:val="000000"/>
          <w:sz w:val="28"/>
          <w:szCs w:val="32"/>
          <w:rtl/>
        </w:rPr>
        <w:t xml:space="preserve"> ،</w:t>
      </w:r>
      <w:r w:rsidRPr="007C3EC7">
        <w:rPr>
          <w:rFonts w:cs="Traditional Arabic" w:hint="cs"/>
          <w:color w:val="000000"/>
          <w:sz w:val="28"/>
          <w:szCs w:val="32"/>
          <w:rtl/>
        </w:rPr>
        <w:t xml:space="preserve"> والأخير امتياز المتقاسم في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وحقوق الامتياز على العقار تتحدد مرتبتها بالقيد</w:t>
      </w:r>
      <w:r>
        <w:rPr>
          <w:rFonts w:cs="Traditional Arabic" w:hint="cs"/>
          <w:color w:val="000000"/>
          <w:sz w:val="28"/>
          <w:szCs w:val="32"/>
          <w:rtl/>
        </w:rPr>
        <w:t xml:space="preserve"> ،</w:t>
      </w:r>
      <w:r w:rsidRPr="007C3EC7">
        <w:rPr>
          <w:rFonts w:cs="Traditional Arabic" w:hint="cs"/>
          <w:color w:val="000000"/>
          <w:sz w:val="28"/>
          <w:szCs w:val="32"/>
          <w:rtl/>
        </w:rPr>
        <w:t xml:space="preserve"> كما هو الأمر في الرهن الرسمي"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"وهذا بيان مجمل لأهم ما استحدثه المشروع من النصوص في هذا الموضوع"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استحدث المشروع كل النصوص المتعلقة بالأحكام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وهي النصوص التي سبقت الإشارة إليها"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جعل المشروع امتياز النفقة والديون الملحقة بها"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نص المشروع على امتياز المبالغ المنصرفة في السماد وغيره من مواد التخصيب والمواد المقاومة للحشرات"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$940 "4- جعل المشروع امتيازاً في قسمة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حتى لا يفرق بين العقار والمنقول تفرقة لا مبرر لها"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"5- وسع المشروع في امتياز مصروفات الصيانة في العقار</w:t>
      </w:r>
      <w:r>
        <w:rPr>
          <w:rFonts w:cs="Traditional Arabic" w:hint="cs"/>
          <w:color w:val="000000"/>
          <w:sz w:val="28"/>
          <w:szCs w:val="32"/>
          <w:rtl/>
        </w:rPr>
        <w:t xml:space="preserve"> ،</w:t>
      </w:r>
      <w:r w:rsidRPr="007C3EC7">
        <w:rPr>
          <w:rFonts w:cs="Traditional Arabic" w:hint="cs"/>
          <w:color w:val="000000"/>
          <w:sz w:val="28"/>
          <w:szCs w:val="32"/>
          <w:rtl/>
        </w:rPr>
        <w:t xml:space="preserve"> فجعلها تشمل أيضاً مصروفات البناء"</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667- خطة البحث</w:t>
      </w:r>
      <w:r>
        <w:rPr>
          <w:rFonts w:cs="Traditional Arabic" w:hint="cs"/>
          <w:b/>
          <w:bCs/>
          <w:color w:val="000000"/>
          <w:sz w:val="28"/>
          <w:szCs w:val="32"/>
          <w:rtl/>
        </w:rPr>
        <w:t xml:space="preserve"> :</w:t>
      </w:r>
      <w:r w:rsidRPr="007C3EC7">
        <w:rPr>
          <w:rFonts w:cs="Traditional Arabic" w:hint="cs"/>
          <w:color w:val="000000"/>
          <w:sz w:val="28"/>
          <w:szCs w:val="32"/>
          <w:rtl/>
        </w:rPr>
        <w:t xml:space="preserve"> ونجعل بحثنا في فصلين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الفصل الأول </w:t>
      </w:r>
      <w:r w:rsidRPr="007C3EC7">
        <w:rPr>
          <w:rFonts w:cs="Traditional Arabic"/>
          <w:color w:val="000000"/>
          <w:sz w:val="28"/>
          <w:szCs w:val="32"/>
          <w:rtl/>
        </w:rPr>
        <w:t>–</w:t>
      </w:r>
      <w:r w:rsidRPr="007C3EC7">
        <w:rPr>
          <w:rFonts w:cs="Traditional Arabic" w:hint="cs"/>
          <w:color w:val="000000"/>
          <w:sz w:val="28"/>
          <w:szCs w:val="32"/>
          <w:rtl/>
        </w:rPr>
        <w:t xml:space="preserve"> حقوق الامتياز العامة وحقوق الامتياز لخاصة الواقعة على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الفصل الثاني </w:t>
      </w:r>
      <w:r w:rsidRPr="007C3EC7">
        <w:rPr>
          <w:rFonts w:cs="Traditional Arabic"/>
          <w:color w:val="000000"/>
          <w:sz w:val="28"/>
          <w:szCs w:val="32"/>
          <w:rtl/>
        </w:rPr>
        <w:t>–</w:t>
      </w:r>
      <w:r w:rsidRPr="007C3EC7">
        <w:rPr>
          <w:rFonts w:cs="Traditional Arabic" w:hint="cs"/>
          <w:color w:val="000000"/>
          <w:sz w:val="28"/>
          <w:szCs w:val="32"/>
          <w:rtl/>
        </w:rPr>
        <w:t xml:space="preserve"> حقوق الامتياز الخاصة الواقعة على العقار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وقبل أن ندخل في هذه التفصيلات</w:t>
      </w:r>
      <w:r>
        <w:rPr>
          <w:rFonts w:cs="Traditional Arabic" w:hint="cs"/>
          <w:color w:val="000000"/>
          <w:sz w:val="28"/>
          <w:szCs w:val="32"/>
          <w:rtl/>
        </w:rPr>
        <w:t xml:space="preserve"> ،</w:t>
      </w:r>
      <w:r w:rsidRPr="007C3EC7">
        <w:rPr>
          <w:rFonts w:cs="Traditional Arabic" w:hint="cs"/>
          <w:color w:val="000000"/>
          <w:sz w:val="28"/>
          <w:szCs w:val="32"/>
          <w:rtl/>
        </w:rPr>
        <w:t xml:space="preserve"> نذكر أن المروع صدرها جميعاً بالمادة 1137 مدني</w:t>
      </w:r>
      <w:r>
        <w:rPr>
          <w:rFonts w:cs="Traditional Arabic" w:hint="cs"/>
          <w:color w:val="000000"/>
          <w:sz w:val="28"/>
          <w:szCs w:val="32"/>
          <w:rtl/>
        </w:rPr>
        <w:t xml:space="preserve"> ،</w:t>
      </w:r>
      <w:r w:rsidRPr="007C3EC7">
        <w:rPr>
          <w:rFonts w:cs="Traditional Arabic" w:hint="cs"/>
          <w:color w:val="000000"/>
          <w:sz w:val="28"/>
          <w:szCs w:val="32"/>
          <w:rtl/>
        </w:rPr>
        <w:t xml:space="preserve"> وهي تنص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"الحقوق المبينة في المواد الآتية تكون ممتازة إلى جانب حقوق الامتياز المقررة بنصوص خاصة"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$941 وجاء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"يقر هذا النص أن هناك حقوقاً ممتازة أخرى غر التي ذكرت في هذا الباب تقررها نصوص خاصة</w:t>
      </w:r>
      <w:r>
        <w:rPr>
          <w:rFonts w:cs="Traditional Arabic" w:hint="cs"/>
          <w:color w:val="000000"/>
          <w:sz w:val="28"/>
          <w:szCs w:val="32"/>
          <w:rtl/>
        </w:rPr>
        <w:t xml:space="preserve"> ،</w:t>
      </w:r>
      <w:r w:rsidRPr="007C3EC7">
        <w:rPr>
          <w:rFonts w:cs="Traditional Arabic" w:hint="cs"/>
          <w:color w:val="000000"/>
          <w:sz w:val="28"/>
          <w:szCs w:val="32"/>
          <w:rtl/>
        </w:rPr>
        <w:t xml:space="preserve"> مثل ذلك حق امتياز النقابة في ملكية النقابات </w:t>
      </w:r>
      <w:r>
        <w:rPr>
          <w:rFonts w:cs="Traditional Arabic" w:hint="cs"/>
          <w:color w:val="000000"/>
          <w:sz w:val="28"/>
          <w:szCs w:val="32"/>
          <w:rtl/>
        </w:rPr>
        <w:t xml:space="preserve">( </w:t>
      </w:r>
      <w:r w:rsidRPr="007C3EC7">
        <w:rPr>
          <w:rFonts w:cs="Traditional Arabic" w:hint="cs"/>
          <w:color w:val="000000"/>
          <w:sz w:val="28"/>
          <w:szCs w:val="32"/>
          <w:rtl/>
        </w:rPr>
        <w:t>م 1238 من المشروع</w:t>
      </w:r>
      <w:r>
        <w:rPr>
          <w:rFonts w:cs="Traditional Arabic" w:hint="cs"/>
          <w:color w:val="000000"/>
          <w:sz w:val="28"/>
          <w:szCs w:val="32"/>
          <w:rtl/>
        </w:rPr>
        <w:t xml:space="preserve"> )</w:t>
      </w:r>
      <w:r w:rsidRPr="007C3EC7">
        <w:rPr>
          <w:rFonts w:cs="Traditional Arabic" w:hint="cs"/>
          <w:color w:val="000000"/>
          <w:sz w:val="28"/>
          <w:szCs w:val="32"/>
          <w:rtl/>
        </w:rPr>
        <w:t xml:space="preserve"> وحق امتياز أتعاب المحامي وقد تقرر في قانون خاصة"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4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وقد سبق أن بينا أمثلة من حقوق الامتياز الأخرى</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0"/>
      </w:r>
      <w:r>
        <w:rPr>
          <w:rFonts w:cs="Traditional Arabic" w:hint="cs"/>
          <w:color w:val="000000"/>
          <w:sz w:val="28"/>
          <w:szCs w:val="32"/>
          <w:vertAlign w:val="superscript"/>
          <w:rtl/>
        </w:rPr>
        <w:t xml:space="preserve"> )</w:t>
      </w:r>
      <w:r>
        <w:rPr>
          <w:rFonts w:cs="Traditional Arabic" w:hint="cs"/>
          <w:color w:val="000000"/>
          <w:sz w:val="28"/>
          <w:szCs w:val="32"/>
          <w:rtl/>
        </w:rPr>
        <w:t xml:space="preserve"> . ،</w:t>
      </w:r>
      <w:r w:rsidRPr="007C3EC7">
        <w:rPr>
          <w:rFonts w:cs="Traditional Arabic" w:hint="cs"/>
          <w:color w:val="000000"/>
          <w:sz w:val="28"/>
          <w:szCs w:val="32"/>
          <w:rtl/>
        </w:rPr>
        <w:t xml:space="preserve"> فلا نعود إلى ذلك</w:t>
      </w:r>
      <w:r>
        <w:rPr>
          <w:rFonts w:cs="Traditional Arabic" w:hint="cs"/>
          <w:color w:val="000000"/>
          <w:sz w:val="28"/>
          <w:szCs w:val="32"/>
          <w:rtl/>
        </w:rPr>
        <w:t xml:space="preserve"> .</w:t>
      </w:r>
      <w:r w:rsidRPr="007C3EC7">
        <w:rPr>
          <w:rFonts w:cs="Traditional Arabic" w:hint="cs"/>
          <w:color w:val="000000"/>
          <w:sz w:val="28"/>
          <w:szCs w:val="32"/>
          <w:rtl/>
        </w:rPr>
        <w:t xml:space="preserve"> ويكفي</w:t>
      </w:r>
      <w:r>
        <w:rPr>
          <w:rFonts w:cs="Traditional Arabic" w:hint="cs"/>
          <w:color w:val="000000"/>
          <w:sz w:val="28"/>
          <w:szCs w:val="32"/>
          <w:rtl/>
        </w:rPr>
        <w:t xml:space="preserve"> ،</w:t>
      </w:r>
      <w:r w:rsidRPr="007C3EC7">
        <w:rPr>
          <w:rFonts w:cs="Traditional Arabic" w:hint="cs"/>
          <w:color w:val="000000"/>
          <w:sz w:val="28"/>
          <w:szCs w:val="32"/>
          <w:rtl/>
        </w:rPr>
        <w:t xml:space="preserve"> فيما يلي</w:t>
      </w:r>
      <w:r>
        <w:rPr>
          <w:rFonts w:cs="Traditional Arabic" w:hint="cs"/>
          <w:color w:val="000000"/>
          <w:sz w:val="28"/>
          <w:szCs w:val="32"/>
          <w:rtl/>
        </w:rPr>
        <w:t xml:space="preserve"> ،</w:t>
      </w:r>
      <w:r w:rsidRPr="007C3EC7">
        <w:rPr>
          <w:rFonts w:cs="Traditional Arabic" w:hint="cs"/>
          <w:color w:val="000000"/>
          <w:sz w:val="28"/>
          <w:szCs w:val="32"/>
          <w:rtl/>
        </w:rPr>
        <w:t xml:space="preserve"> أن نبين أنواع الحقوق الممتازة المذكرة في الباب الرابع من الكتاب الرابع</w:t>
      </w:r>
      <w:r>
        <w:rPr>
          <w:rFonts w:cs="Traditional Arabic" w:hint="cs"/>
          <w:color w:val="000000"/>
          <w:sz w:val="28"/>
          <w:szCs w:val="32"/>
          <w:rtl/>
        </w:rPr>
        <w:t xml:space="preserve"> ،</w:t>
      </w:r>
      <w:r w:rsidRPr="007C3EC7">
        <w:rPr>
          <w:rFonts w:cs="Traditional Arabic" w:hint="cs"/>
          <w:color w:val="000000"/>
          <w:sz w:val="28"/>
          <w:szCs w:val="32"/>
          <w:rtl/>
        </w:rPr>
        <w:t xml:space="preserve"> وهي أغلب الحقوق الممتازة في </w:t>
      </w:r>
      <w:r w:rsidRPr="007C3EC7">
        <w:rPr>
          <w:rFonts w:cs="Traditional Arabic" w:hint="cs"/>
          <w:color w:val="000000"/>
          <w:sz w:val="28"/>
          <w:szCs w:val="32"/>
          <w:rtl/>
        </w:rPr>
        <w:lastRenderedPageBreak/>
        <w:t>القانون المدني</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44"/>
          <w:szCs w:val="44"/>
          <w:rtl/>
        </w:rPr>
      </w:pPr>
      <w:r w:rsidRPr="007C3EC7">
        <w:rPr>
          <w:rFonts w:cs="Traditional Arabic" w:hint="cs"/>
          <w:b/>
          <w:bCs/>
          <w:color w:val="000000"/>
          <w:sz w:val="44"/>
          <w:szCs w:val="44"/>
          <w:rtl/>
        </w:rPr>
        <w:t>الفصل الأول</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حقوق الامتياز العامة</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وحقوق الامتياز الخاصة الواقعة على منقول</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668- مبحثان</w:t>
      </w:r>
      <w:r>
        <w:rPr>
          <w:rFonts w:cs="Traditional Arabic" w:hint="cs"/>
          <w:color w:val="000000"/>
          <w:sz w:val="28"/>
          <w:szCs w:val="32"/>
          <w:rtl/>
        </w:rPr>
        <w:t xml:space="preserve"> :</w:t>
      </w:r>
      <w:r w:rsidRPr="007C3EC7">
        <w:rPr>
          <w:rFonts w:cs="Traditional Arabic" w:hint="cs"/>
          <w:color w:val="000000"/>
          <w:sz w:val="28"/>
          <w:szCs w:val="32"/>
          <w:rtl/>
        </w:rPr>
        <w:t xml:space="preserve"> لما كان هذا الموضوع هو أكبر موضوع في باب 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فقد جعلناه في مبحثين</w:t>
      </w:r>
      <w:r>
        <w:rPr>
          <w:rFonts w:cs="Traditional Arabic" w:hint="cs"/>
          <w:color w:val="000000"/>
          <w:sz w:val="28"/>
          <w:szCs w:val="32"/>
          <w:rtl/>
        </w:rPr>
        <w:t xml:space="preserve"> ،</w:t>
      </w:r>
      <w:r w:rsidRPr="007C3EC7">
        <w:rPr>
          <w:rFonts w:cs="Traditional Arabic" w:hint="cs"/>
          <w:color w:val="000000"/>
          <w:sz w:val="28"/>
          <w:szCs w:val="32"/>
          <w:rtl/>
        </w:rPr>
        <w:t xml:space="preserve"> متخذين من حقوق الامتياز العامة الأساس الذي نعتمد عليه</w:t>
      </w:r>
      <w:r>
        <w:rPr>
          <w:rFonts w:cs="Traditional Arabic" w:hint="cs"/>
          <w:color w:val="000000"/>
          <w:sz w:val="28"/>
          <w:szCs w:val="32"/>
          <w:rtl/>
        </w:rPr>
        <w:t xml:space="preserve"> .</w:t>
      </w:r>
      <w:r w:rsidRPr="007C3EC7">
        <w:rPr>
          <w:rFonts w:cs="Traditional Arabic" w:hint="cs"/>
          <w:color w:val="000000"/>
          <w:sz w:val="28"/>
          <w:szCs w:val="32"/>
          <w:rtl/>
        </w:rPr>
        <w:t xml:space="preserve"> فحقوق الامتياز العامة يتقدمها حقوق امتياز خاصة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هي المصروفات القضائية والمبالغ المستحقة للخزانة العامة مبحثاً أولا بعنوان "حقوق الامتياز العامة وحقوق الامتياز الخاصة على منقول التي يتقدمها"</w:t>
      </w:r>
      <w:r>
        <w:rPr>
          <w:rFonts w:cs="Traditional Arabic" w:hint="cs"/>
          <w:color w:val="000000"/>
          <w:sz w:val="28"/>
          <w:szCs w:val="32"/>
          <w:rtl/>
        </w:rPr>
        <w:t xml:space="preserve"> .</w:t>
      </w:r>
      <w:r w:rsidRPr="007C3EC7">
        <w:rPr>
          <w:rFonts w:cs="Traditional Arabic" w:hint="cs"/>
          <w:color w:val="000000"/>
          <w:sz w:val="28"/>
          <w:szCs w:val="32"/>
          <w:rtl/>
        </w:rPr>
        <w:t xml:space="preserve"> ثم أعبنا ذلك بالمبحث الثاني</w:t>
      </w:r>
      <w:r>
        <w:rPr>
          <w:rFonts w:cs="Traditional Arabic" w:hint="cs"/>
          <w:color w:val="000000"/>
          <w:sz w:val="28"/>
          <w:szCs w:val="32"/>
          <w:rtl/>
        </w:rPr>
        <w:t xml:space="preserve"> ،</w:t>
      </w:r>
      <w:r w:rsidRPr="007C3EC7">
        <w:rPr>
          <w:rFonts w:cs="Traditional Arabic" w:hint="cs"/>
          <w:color w:val="000000"/>
          <w:sz w:val="28"/>
          <w:szCs w:val="32"/>
          <w:rtl/>
        </w:rPr>
        <w:t xml:space="preserve"> وهو "حقوق الامتياز الخاصة على منقول المتأخرة عن حقوق الامتياز العامة"</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color w:val="000000"/>
          <w:sz w:val="28"/>
          <w:szCs w:val="32"/>
          <w:rtl/>
        </w:rPr>
        <w:t xml:space="preserve">$942 </w:t>
      </w:r>
      <w:r w:rsidRPr="007C3EC7">
        <w:rPr>
          <w:rFonts w:cs="Traditional Arabic" w:hint="cs"/>
          <w:b/>
          <w:bCs/>
          <w:color w:val="000000"/>
          <w:sz w:val="40"/>
          <w:szCs w:val="40"/>
          <w:rtl/>
        </w:rPr>
        <w:t>المبحث الأول</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حقوق الامتياز العامة</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وحقوق الامتياز الخاصة على منقول التي تتقدمها</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669- تناول حقوق الامتياز وفاق لترتيبها</w:t>
      </w:r>
      <w:r>
        <w:rPr>
          <w:rFonts w:cs="Traditional Arabic" w:hint="cs"/>
          <w:b/>
          <w:bCs/>
          <w:color w:val="000000"/>
          <w:sz w:val="28"/>
          <w:szCs w:val="32"/>
          <w:rtl/>
        </w:rPr>
        <w:t xml:space="preserve"> :</w:t>
      </w:r>
      <w:r w:rsidRPr="007C3EC7">
        <w:rPr>
          <w:rFonts w:cs="Traditional Arabic" w:hint="cs"/>
          <w:color w:val="000000"/>
          <w:sz w:val="28"/>
          <w:szCs w:val="32"/>
          <w:rtl/>
        </w:rPr>
        <w:t xml:space="preserve"> ويتناول حقوق الامتياز بحسب ترتيبها</w:t>
      </w:r>
      <w:r>
        <w:rPr>
          <w:rFonts w:cs="Traditional Arabic" w:hint="cs"/>
          <w:color w:val="000000"/>
          <w:sz w:val="28"/>
          <w:szCs w:val="32"/>
          <w:rtl/>
        </w:rPr>
        <w:t xml:space="preserve"> ،</w:t>
      </w:r>
      <w:r w:rsidRPr="007C3EC7">
        <w:rPr>
          <w:rFonts w:cs="Traditional Arabic" w:hint="cs"/>
          <w:color w:val="000000"/>
          <w:sz w:val="28"/>
          <w:szCs w:val="32"/>
          <w:rtl/>
        </w:rPr>
        <w:t xml:space="preserve"> على الوجه الوارد في التشريع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670- حقوق امتياز أربعة</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ونبحث هنا حقوق امتياز أربعة</w:t>
      </w:r>
      <w:r>
        <w:rPr>
          <w:rFonts w:cs="Traditional Arabic" w:hint="cs"/>
          <w:color w:val="000000"/>
          <w:sz w:val="28"/>
          <w:szCs w:val="32"/>
          <w:rtl/>
        </w:rPr>
        <w:t xml:space="preserve"> ،</w:t>
      </w:r>
      <w:r w:rsidRPr="007C3EC7">
        <w:rPr>
          <w:rFonts w:cs="Traditional Arabic" w:hint="cs"/>
          <w:color w:val="000000"/>
          <w:sz w:val="28"/>
          <w:szCs w:val="32"/>
          <w:rtl/>
        </w:rPr>
        <w:t xml:space="preserve"> على الترتيب الآتي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المصروفات القضائية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المبالغ المستحقة للخزانة العامة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مصروفات الحفظ والترميم</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4- حقوق الامتياز العامة</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lastRenderedPageBreak/>
        <w:t>§</w:t>
      </w:r>
      <w:r w:rsidRPr="007C3EC7">
        <w:rPr>
          <w:rFonts w:cs="Traditional Arabic" w:hint="cs"/>
          <w:b/>
          <w:bCs/>
          <w:color w:val="000000"/>
          <w:sz w:val="28"/>
          <w:szCs w:val="32"/>
          <w:rtl/>
        </w:rPr>
        <w:t xml:space="preserve"> 1- المصروفات القضائية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671-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1138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المصروفات القضائية التي أنفقت لمصلحة جميع الدائنين في حفظ أموال المدين وبيعها لها امتياز على ثمن هذه الأموال"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وتستوفي هذه المصروفات قبل أي حق آخر ولو كان ممتازاً أو مضموناً برهن رسمي</w:t>
      </w:r>
      <w:r>
        <w:rPr>
          <w:rFonts w:cs="Traditional Arabic" w:hint="cs"/>
          <w:color w:val="000000"/>
          <w:sz w:val="28"/>
          <w:szCs w:val="32"/>
          <w:rtl/>
        </w:rPr>
        <w:t xml:space="preserve"> ،</w:t>
      </w:r>
      <w:r w:rsidRPr="007C3EC7">
        <w:rPr>
          <w:rFonts w:cs="Traditional Arabic" w:hint="cs"/>
          <w:color w:val="000000"/>
          <w:sz w:val="28"/>
          <w:szCs w:val="32"/>
          <w:rtl/>
        </w:rPr>
        <w:t xml:space="preserve"> بما في ذلك حقوق الدائنين الذين أنفقت المصروفات في مصلحتهم</w:t>
      </w:r>
      <w:r>
        <w:rPr>
          <w:rFonts w:cs="Traditional Arabic" w:hint="cs"/>
          <w:color w:val="000000"/>
          <w:sz w:val="28"/>
          <w:szCs w:val="32"/>
          <w:rtl/>
        </w:rPr>
        <w:t xml:space="preserve"> ،</w:t>
      </w:r>
      <w:r w:rsidRPr="007C3EC7">
        <w:rPr>
          <w:rFonts w:cs="Traditional Arabic" w:hint="cs"/>
          <w:color w:val="000000"/>
          <w:sz w:val="28"/>
          <w:szCs w:val="32"/>
          <w:rtl/>
        </w:rPr>
        <w:t xml:space="preserve"> وتتقدم المصروفات التي أنفقت في بيع الأموال على تلك التي أنفقت في إجراءات التوزيع"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$943 وجاء في مذكرة المشروع التمهيد</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ه المصروفات القضائية التي أنفقت لمصلحة الدائنين المشتركة في حفظ أموال المدين وبيعها</w:t>
      </w:r>
      <w:r>
        <w:rPr>
          <w:rFonts w:cs="Traditional Arabic" w:hint="cs"/>
          <w:color w:val="000000"/>
          <w:sz w:val="28"/>
          <w:szCs w:val="32"/>
          <w:rtl/>
        </w:rPr>
        <w:t xml:space="preserve"> .</w:t>
      </w:r>
      <w:r w:rsidRPr="007C3EC7">
        <w:rPr>
          <w:rFonts w:cs="Traditional Arabic" w:hint="cs"/>
          <w:color w:val="000000"/>
          <w:sz w:val="28"/>
          <w:szCs w:val="32"/>
          <w:rtl/>
        </w:rPr>
        <w:t xml:space="preserve"> فنفقا الحجوز التحفظية</w:t>
      </w:r>
      <w:r>
        <w:rPr>
          <w:rFonts w:cs="Traditional Arabic" w:hint="cs"/>
          <w:color w:val="000000"/>
          <w:sz w:val="28"/>
          <w:szCs w:val="32"/>
          <w:rtl/>
        </w:rPr>
        <w:t xml:space="preserve"> ،</w:t>
      </w:r>
      <w:r w:rsidRPr="007C3EC7">
        <w:rPr>
          <w:rFonts w:cs="Traditional Arabic" w:hint="cs"/>
          <w:color w:val="000000"/>
          <w:sz w:val="28"/>
          <w:szCs w:val="32"/>
          <w:rtl/>
        </w:rPr>
        <w:t xml:space="preserve"> الحراسة</w:t>
      </w:r>
      <w:r>
        <w:rPr>
          <w:rFonts w:cs="Traditional Arabic" w:hint="cs"/>
          <w:color w:val="000000"/>
          <w:sz w:val="28"/>
          <w:szCs w:val="32"/>
          <w:rtl/>
        </w:rPr>
        <w:t xml:space="preserve"> ،</w:t>
      </w:r>
      <w:r w:rsidRPr="007C3EC7">
        <w:rPr>
          <w:rFonts w:cs="Traditional Arabic" w:hint="cs"/>
          <w:color w:val="000000"/>
          <w:sz w:val="28"/>
          <w:szCs w:val="32"/>
          <w:rtl/>
        </w:rPr>
        <w:t xml:space="preserve"> والحجز التنفيذي</w:t>
      </w:r>
      <w:r>
        <w:rPr>
          <w:rFonts w:cs="Traditional Arabic" w:hint="cs"/>
          <w:color w:val="000000"/>
          <w:sz w:val="28"/>
          <w:szCs w:val="32"/>
          <w:rtl/>
        </w:rPr>
        <w:t xml:space="preserve"> ،</w:t>
      </w:r>
      <w:r w:rsidRPr="007C3EC7">
        <w:rPr>
          <w:rFonts w:cs="Traditional Arabic" w:hint="cs"/>
          <w:color w:val="000000"/>
          <w:sz w:val="28"/>
          <w:szCs w:val="32"/>
          <w:rtl/>
        </w:rPr>
        <w:t xml:space="preserve"> وإجراءات نزع الملكية</w:t>
      </w:r>
      <w:r>
        <w:rPr>
          <w:rFonts w:cs="Traditional Arabic" w:hint="cs"/>
          <w:color w:val="000000"/>
          <w:sz w:val="28"/>
          <w:szCs w:val="32"/>
          <w:rtl/>
        </w:rPr>
        <w:t xml:space="preserve"> ،</w:t>
      </w:r>
      <w:r w:rsidRPr="007C3EC7">
        <w:rPr>
          <w:rFonts w:cs="Traditional Arabic" w:hint="cs"/>
          <w:color w:val="000000"/>
          <w:sz w:val="28"/>
          <w:szCs w:val="32"/>
          <w:rtl/>
        </w:rPr>
        <w:t xml:space="preserve"> والتوزيع</w:t>
      </w:r>
      <w:r>
        <w:rPr>
          <w:rFonts w:cs="Traditional Arabic" w:hint="cs"/>
          <w:color w:val="000000"/>
          <w:sz w:val="28"/>
          <w:szCs w:val="32"/>
          <w:rtl/>
        </w:rPr>
        <w:t xml:space="preserve"> ،</w:t>
      </w:r>
      <w:r w:rsidRPr="007C3EC7">
        <w:rPr>
          <w:rFonts w:cs="Traditional Arabic" w:hint="cs"/>
          <w:color w:val="000000"/>
          <w:sz w:val="28"/>
          <w:szCs w:val="32"/>
          <w:rtl/>
        </w:rPr>
        <w:t xml:space="preserve"> كلها ممتازة على أن تكون لمصلحة الدائنين المشتركة</w:t>
      </w:r>
      <w:r>
        <w:rPr>
          <w:rFonts w:cs="Traditional Arabic" w:hint="cs"/>
          <w:color w:val="000000"/>
          <w:sz w:val="28"/>
          <w:szCs w:val="32"/>
          <w:rtl/>
        </w:rPr>
        <w:t xml:space="preserve"> .</w:t>
      </w:r>
      <w:r w:rsidRPr="007C3EC7">
        <w:rPr>
          <w:rFonts w:cs="Traditional Arabic" w:hint="cs"/>
          <w:color w:val="000000"/>
          <w:sz w:val="28"/>
          <w:szCs w:val="32"/>
          <w:rtl/>
        </w:rPr>
        <w:t xml:space="preserve"> فما كان منها لمصلحة خاصة لدائن معين</w:t>
      </w:r>
      <w:r>
        <w:rPr>
          <w:rFonts w:cs="Traditional Arabic" w:hint="cs"/>
          <w:color w:val="000000"/>
          <w:sz w:val="28"/>
          <w:szCs w:val="32"/>
          <w:rtl/>
        </w:rPr>
        <w:t xml:space="preserve"> ،</w:t>
      </w:r>
      <w:r w:rsidRPr="007C3EC7">
        <w:rPr>
          <w:rFonts w:cs="Traditional Arabic" w:hint="cs"/>
          <w:color w:val="000000"/>
          <w:sz w:val="28"/>
          <w:szCs w:val="32"/>
          <w:rtl/>
        </w:rPr>
        <w:t xml:space="preserve"> كما في </w:t>
      </w:r>
      <w:r>
        <w:rPr>
          <w:rFonts w:cs="Traditional Arabic" w:hint="cs"/>
          <w:color w:val="000000"/>
          <w:sz w:val="28"/>
          <w:szCs w:val="32"/>
          <w:rtl/>
        </w:rPr>
        <w:t xml:space="preserve"> . . . .</w:t>
      </w:r>
      <w:r w:rsidRPr="007C3EC7">
        <w:rPr>
          <w:rFonts w:cs="Traditional Arabic" w:hint="cs"/>
          <w:color w:val="000000"/>
          <w:sz w:val="28"/>
          <w:szCs w:val="32"/>
          <w:rtl/>
        </w:rPr>
        <w:t xml:space="preserve"> إجراءات تحقيق الدين لأحد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فلا يدخل في هذا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$944 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هو الثمن الذي رسا به المزاد عند بيع أموال المدين</w:t>
      </w:r>
      <w:r>
        <w:rPr>
          <w:rFonts w:cs="Traditional Arabic" w:hint="cs"/>
          <w:color w:val="000000"/>
          <w:sz w:val="28"/>
          <w:szCs w:val="32"/>
          <w:rtl/>
        </w:rPr>
        <w:t xml:space="preserve"> .</w:t>
      </w:r>
      <w:r w:rsidRPr="007C3EC7">
        <w:rPr>
          <w:rFonts w:cs="Traditional Arabic" w:hint="cs"/>
          <w:color w:val="000000"/>
          <w:sz w:val="28"/>
          <w:szCs w:val="32"/>
          <w:rtl/>
        </w:rPr>
        <w:t xml:space="preserve"> فالامتياز إذن يقع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وقد يكون خاصاً إذا كان التنفيذ على أعيان محددة عقاراً كانت أو منقولا</w:t>
      </w:r>
      <w:r>
        <w:rPr>
          <w:rFonts w:cs="Traditional Arabic" w:hint="cs"/>
          <w:color w:val="000000"/>
          <w:sz w:val="28"/>
          <w:szCs w:val="32"/>
          <w:rtl/>
        </w:rPr>
        <w:t xml:space="preserve"> ،</w:t>
      </w:r>
      <w:r w:rsidRPr="007C3EC7">
        <w:rPr>
          <w:rFonts w:cs="Traditional Arabic" w:hint="cs"/>
          <w:color w:val="000000"/>
          <w:sz w:val="28"/>
          <w:szCs w:val="32"/>
          <w:rtl/>
        </w:rPr>
        <w:t xml:space="preserve"> وقد يكون عاماً إذا بيعت كل أموال المدين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المرتبة الأولى</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 هذه الديون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فتقدم مصروفات الحفظ والبيع </w:t>
      </w:r>
      <w:r>
        <w:rPr>
          <w:rFonts w:cs="Traditional Arabic" w:hint="cs"/>
          <w:color w:val="000000"/>
          <w:sz w:val="28"/>
          <w:szCs w:val="32"/>
          <w:rtl/>
        </w:rPr>
        <w:t xml:space="preserve">( </w:t>
      </w:r>
      <w:r w:rsidRPr="007C3EC7">
        <w:rPr>
          <w:rFonts w:cs="Traditional Arabic" w:hint="cs"/>
          <w:color w:val="000000"/>
          <w:sz w:val="28"/>
          <w:szCs w:val="32"/>
          <w:rtl/>
        </w:rPr>
        <w:t>وهي متساوية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على مصروفات التوزيع"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672-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قد يستدعي الأمر اتخاذ إجراءات قضائية لحفظ بعض أموال المدين وبيعها وتوزيعها لمصلحة الدائنين المشتركة</w:t>
      </w:r>
      <w:r>
        <w:rPr>
          <w:rFonts w:cs="Traditional Arabic" w:hint="cs"/>
          <w:color w:val="000000"/>
          <w:sz w:val="28"/>
          <w:szCs w:val="32"/>
          <w:rtl/>
        </w:rPr>
        <w:t xml:space="preserve"> .</w:t>
      </w:r>
      <w:r w:rsidRPr="007C3EC7">
        <w:rPr>
          <w:rFonts w:cs="Traditional Arabic" w:hint="cs"/>
          <w:color w:val="000000"/>
          <w:sz w:val="28"/>
          <w:szCs w:val="32"/>
          <w:rtl/>
        </w:rPr>
        <w:t xml:space="preserve"> وقد تكون هذه المصروفات القضائية مستحقة للمحكمة</w:t>
      </w:r>
      <w:r>
        <w:rPr>
          <w:rFonts w:cs="Traditional Arabic" w:hint="cs"/>
          <w:color w:val="000000"/>
          <w:sz w:val="28"/>
          <w:szCs w:val="32"/>
          <w:rtl/>
        </w:rPr>
        <w:t xml:space="preserve"> .</w:t>
      </w:r>
      <w:r w:rsidRPr="007C3EC7">
        <w:rPr>
          <w:rFonts w:cs="Traditional Arabic" w:hint="cs"/>
          <w:color w:val="000000"/>
          <w:sz w:val="28"/>
          <w:szCs w:val="32"/>
          <w:rtl/>
        </w:rPr>
        <w:t xml:space="preserve"> ولكن قد يكون أحد المأمورين القضائيين هو الذي أنفقها ويريد الرجوع بها</w:t>
      </w:r>
      <w:r>
        <w:rPr>
          <w:rFonts w:cs="Traditional Arabic" w:hint="cs"/>
          <w:color w:val="000000"/>
          <w:sz w:val="28"/>
          <w:szCs w:val="32"/>
          <w:rtl/>
        </w:rPr>
        <w:t xml:space="preserve"> ،</w:t>
      </w:r>
      <w:r w:rsidRPr="007C3EC7">
        <w:rPr>
          <w:rFonts w:cs="Traditional Arabic" w:hint="cs"/>
          <w:color w:val="000000"/>
          <w:sz w:val="28"/>
          <w:szCs w:val="32"/>
          <w:rtl/>
        </w:rPr>
        <w:t xml:space="preserve"> الحارس</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والسنديك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Pr>
          <w:rFonts w:cs="Traditional Arabic" w:hint="cs"/>
          <w:color w:val="000000"/>
          <w:sz w:val="28"/>
          <w:szCs w:val="32"/>
          <w:rtl/>
        </w:rPr>
        <w:lastRenderedPageBreak/>
        <w:t>،</w:t>
      </w:r>
      <w:r w:rsidRPr="007C3EC7">
        <w:rPr>
          <w:rFonts w:cs="Traditional Arabic" w:hint="cs"/>
          <w:color w:val="000000"/>
          <w:sz w:val="28"/>
          <w:szCs w:val="32"/>
          <w:rtl/>
        </w:rPr>
        <w:t xml:space="preserve"> ومصفي التركة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والخبير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والمحامي قبل مدين $945 موكله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وقد يكون أحد الدائنين هو الذي أنفقها</w:t>
      </w:r>
      <w:r>
        <w:rPr>
          <w:rFonts w:cs="Traditional Arabic" w:hint="cs"/>
          <w:color w:val="000000"/>
          <w:sz w:val="28"/>
          <w:szCs w:val="32"/>
          <w:rtl/>
        </w:rPr>
        <w:t xml:space="preserve"> ،</w:t>
      </w:r>
      <w:r w:rsidRPr="007C3EC7">
        <w:rPr>
          <w:rFonts w:cs="Traditional Arabic" w:hint="cs"/>
          <w:color w:val="000000"/>
          <w:sz w:val="28"/>
          <w:szCs w:val="32"/>
          <w:rtl/>
        </w:rPr>
        <w:t xml:space="preserve"> ويريد الرجوع بها</w:t>
      </w:r>
      <w:r>
        <w:rPr>
          <w:rFonts w:cs="Traditional Arabic" w:hint="cs"/>
          <w:color w:val="000000"/>
          <w:sz w:val="28"/>
          <w:szCs w:val="32"/>
          <w:rtl/>
        </w:rPr>
        <w:t xml:space="preserve"> .</w:t>
      </w:r>
      <w:r w:rsidRPr="007C3EC7">
        <w:rPr>
          <w:rFonts w:cs="Traditional Arabic" w:hint="cs"/>
          <w:color w:val="000000"/>
          <w:sz w:val="28"/>
          <w:szCs w:val="32"/>
          <w:vertAlign w:val="superscript"/>
          <w:rtl/>
        </w:rPr>
        <w:t xml:space="preserve"> </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ويشترط في المصروفات القضائية شروط ثلاثة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1 </w:t>
      </w:r>
      <w:r w:rsidRPr="007C3EC7">
        <w:rPr>
          <w:rFonts w:cs="Traditional Arabic"/>
          <w:color w:val="000000"/>
          <w:sz w:val="28"/>
          <w:szCs w:val="32"/>
          <w:rtl/>
        </w:rPr>
        <w:t>–</w:t>
      </w:r>
      <w:r w:rsidRPr="007C3EC7">
        <w:rPr>
          <w:rFonts w:cs="Traditional Arabic" w:hint="cs"/>
          <w:color w:val="000000"/>
          <w:sz w:val="28"/>
          <w:szCs w:val="32"/>
          <w:rtl/>
        </w:rPr>
        <w:t xml:space="preserve"> أن تكون قد أنفقت في إجراءات قضائية لازمة لحفظ أموال المدين وبيعها وتوزيع ثمنها</w:t>
      </w:r>
      <w:r>
        <w:rPr>
          <w:rFonts w:cs="Traditional Arabic" w:hint="cs"/>
          <w:color w:val="000000"/>
          <w:sz w:val="28"/>
          <w:szCs w:val="32"/>
          <w:rtl/>
        </w:rPr>
        <w:t xml:space="preserve"> .</w:t>
      </w:r>
      <w:r w:rsidRPr="007C3EC7">
        <w:rPr>
          <w:rFonts w:cs="Traditional Arabic" w:hint="cs"/>
          <w:color w:val="000000"/>
          <w:sz w:val="28"/>
          <w:szCs w:val="32"/>
          <w:rtl/>
        </w:rPr>
        <w:t xml:space="preserve"> والمقصود بحفظ الأموال المحافظة القانونية عليها</w:t>
      </w:r>
      <w:r>
        <w:rPr>
          <w:rFonts w:cs="Traditional Arabic" w:hint="cs"/>
          <w:color w:val="000000"/>
          <w:sz w:val="28"/>
          <w:szCs w:val="32"/>
          <w:rtl/>
        </w:rPr>
        <w:t xml:space="preserve"> ،</w:t>
      </w:r>
      <w:r w:rsidRPr="007C3EC7">
        <w:rPr>
          <w:rFonts w:cs="Traditional Arabic" w:hint="cs"/>
          <w:color w:val="000000"/>
          <w:sz w:val="28"/>
          <w:szCs w:val="32"/>
          <w:rtl/>
        </w:rPr>
        <w:t xml:space="preserve"> تمهيداً لبيعها وتوزيع ثمنها على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لا حفظها من التلف المادي فمصروفات الحفظ من التلف يضمنها امتياز مصروفات الحفظ والترميم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5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مثل ذلك نفقات الحجوز التحفظية</w:t>
      </w:r>
      <w:r>
        <w:rPr>
          <w:rFonts w:cs="Traditional Arabic" w:hint="cs"/>
          <w:color w:val="000000"/>
          <w:sz w:val="28"/>
          <w:szCs w:val="32"/>
          <w:rtl/>
        </w:rPr>
        <w:t xml:space="preserve"> ،</w:t>
      </w:r>
      <w:r w:rsidRPr="007C3EC7">
        <w:rPr>
          <w:rFonts w:cs="Traditional Arabic" w:hint="cs"/>
          <w:color w:val="000000"/>
          <w:sz w:val="28"/>
          <w:szCs w:val="32"/>
          <w:rtl/>
        </w:rPr>
        <w:t xml:space="preserve"> والحجوز التنفيذية</w:t>
      </w:r>
      <w:r>
        <w:rPr>
          <w:rFonts w:cs="Traditional Arabic" w:hint="cs"/>
          <w:color w:val="000000"/>
          <w:sz w:val="28"/>
          <w:szCs w:val="32"/>
          <w:rtl/>
        </w:rPr>
        <w:t xml:space="preserve"> ،</w:t>
      </w:r>
      <w:r w:rsidRPr="007C3EC7">
        <w:rPr>
          <w:rFonts w:cs="Traditional Arabic" w:hint="cs"/>
          <w:color w:val="000000"/>
          <w:sz w:val="28"/>
          <w:szCs w:val="32"/>
          <w:rtl/>
        </w:rPr>
        <w:t xml:space="preserve"> وإجراءات نزع الملكية</w:t>
      </w:r>
      <w:r>
        <w:rPr>
          <w:rFonts w:cs="Traditional Arabic" w:hint="cs"/>
          <w:color w:val="000000"/>
          <w:sz w:val="28"/>
          <w:szCs w:val="32"/>
          <w:rtl/>
        </w:rPr>
        <w:t xml:space="preserve"> ،</w:t>
      </w:r>
      <w:r w:rsidRPr="007C3EC7">
        <w:rPr>
          <w:rFonts w:cs="Traditional Arabic" w:hint="cs"/>
          <w:color w:val="000000"/>
          <w:sz w:val="28"/>
          <w:szCs w:val="32"/>
          <w:rtl/>
        </w:rPr>
        <w:t xml:space="preserve"> ودعوى الحراسة</w:t>
      </w:r>
      <w:r>
        <w:rPr>
          <w:rFonts w:cs="Traditional Arabic" w:hint="cs"/>
          <w:color w:val="000000"/>
          <w:sz w:val="28"/>
          <w:szCs w:val="32"/>
          <w:rtl/>
        </w:rPr>
        <w:t xml:space="preserve"> </w:t>
      </w:r>
      <w:r>
        <w:rPr>
          <w:rFonts w:cs="Traditional Arabic" w:hint="cs"/>
          <w:color w:val="000000"/>
          <w:sz w:val="28"/>
          <w:szCs w:val="32"/>
          <w:rtl/>
        </w:rPr>
        <w:lastRenderedPageBreak/>
        <w:t>،</w:t>
      </w:r>
      <w:r w:rsidRPr="007C3EC7">
        <w:rPr>
          <w:rFonts w:cs="Traditional Arabic" w:hint="cs"/>
          <w:color w:val="000000"/>
          <w:sz w:val="28"/>
          <w:szCs w:val="32"/>
          <w:rtl/>
        </w:rPr>
        <w:t xml:space="preserve"> والتوزيع</w:t>
      </w:r>
      <w:r>
        <w:rPr>
          <w:rFonts w:cs="Traditional Arabic" w:hint="cs"/>
          <w:color w:val="000000"/>
          <w:sz w:val="28"/>
          <w:szCs w:val="32"/>
          <w:rtl/>
        </w:rPr>
        <w:t xml:space="preserve"> ،</w:t>
      </w:r>
      <w:r w:rsidRPr="007C3EC7">
        <w:rPr>
          <w:rFonts w:cs="Traditional Arabic" w:hint="cs"/>
          <w:color w:val="000000"/>
          <w:sz w:val="28"/>
          <w:szCs w:val="32"/>
          <w:rtl/>
        </w:rPr>
        <w:t xml:space="preserve"> ونفقات الدعوى غير المباشرة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والدعوى البولصية</w:t>
      </w:r>
      <w:r>
        <w:rPr>
          <w:rFonts w:cs="Traditional Arabic" w:hint="cs"/>
          <w:color w:val="000000"/>
          <w:sz w:val="28"/>
          <w:szCs w:val="32"/>
          <w:rtl/>
        </w:rPr>
        <w:t xml:space="preserve"> ،</w:t>
      </w:r>
      <w:r w:rsidRPr="007C3EC7">
        <w:rPr>
          <w:rFonts w:cs="Traditional Arabic" w:hint="cs"/>
          <w:color w:val="000000"/>
          <w:sz w:val="28"/>
          <w:szCs w:val="32"/>
          <w:rtl/>
        </w:rPr>
        <w:t xml:space="preserve"> شهر إفلاس التاجر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ويمتد الامتياز إلى نفقات علميات غير قضائية تقتضيها الإجراءات القضائية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كنفقات وضع الأختام</w:t>
      </w:r>
      <w:r>
        <w:rPr>
          <w:rFonts w:cs="Traditional Arabic" w:hint="cs"/>
          <w:color w:val="000000"/>
          <w:sz w:val="28"/>
          <w:szCs w:val="32"/>
          <w:rtl/>
        </w:rPr>
        <w:t xml:space="preserve"> ،</w:t>
      </w:r>
      <w:r w:rsidRPr="007C3EC7">
        <w:rPr>
          <w:rFonts w:cs="Traditional Arabic" w:hint="cs"/>
          <w:color w:val="000000"/>
          <w:sz w:val="28"/>
          <w:szCs w:val="32"/>
          <w:rtl/>
        </w:rPr>
        <w:t xml:space="preserve"> وتحرير محاضر حصر التركة</w:t>
      </w:r>
      <w:r>
        <w:rPr>
          <w:rFonts w:cs="Traditional Arabic" w:hint="cs"/>
          <w:color w:val="000000"/>
          <w:sz w:val="28"/>
          <w:szCs w:val="32"/>
          <w:rtl/>
        </w:rPr>
        <w:t xml:space="preserve"> ،</w:t>
      </w:r>
      <w:r w:rsidRPr="007C3EC7">
        <w:rPr>
          <w:rFonts w:cs="Traditional Arabic" w:hint="cs"/>
          <w:color w:val="000000"/>
          <w:sz w:val="28"/>
          <w:szCs w:val="32"/>
          <w:rtl/>
        </w:rPr>
        <w:t xml:space="preserve"> إجراءات القسمة</w:t>
      </w:r>
      <w:r>
        <w:rPr>
          <w:rFonts w:cs="Traditional Arabic" w:hint="cs"/>
          <w:color w:val="000000"/>
          <w:sz w:val="28"/>
          <w:szCs w:val="32"/>
          <w:rtl/>
        </w:rPr>
        <w:t xml:space="preserve"> ،</w:t>
      </w:r>
      <w:r w:rsidRPr="007C3EC7">
        <w:rPr>
          <w:rFonts w:cs="Traditional Arabic" w:hint="cs"/>
          <w:color w:val="000000"/>
          <w:sz w:val="28"/>
          <w:szCs w:val="32"/>
          <w:rtl/>
        </w:rPr>
        <w:t xml:space="preserve"> وإدارة المال الموضوع تحت الحراسة</w:t>
      </w:r>
      <w:r>
        <w:rPr>
          <w:rFonts w:cs="Traditional Arabic" w:hint="cs"/>
          <w:color w:val="000000"/>
          <w:sz w:val="28"/>
          <w:szCs w:val="32"/>
          <w:rtl/>
        </w:rPr>
        <w:t xml:space="preserve"> .</w:t>
      </w:r>
      <w:r w:rsidRPr="007C3EC7">
        <w:rPr>
          <w:rFonts w:cs="Traditional Arabic" w:hint="cs"/>
          <w:color w:val="000000"/>
          <w:sz w:val="28"/>
          <w:szCs w:val="32"/>
          <w:rtl/>
        </w:rPr>
        <w:t xml:space="preserve"> وتصفية التركة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يشترط أن تكون $946 الإجراءات قد اتخذت بناء على طلب أحد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فيجوز أن تكون قد اتخذت بناء على طلب أحد شركاء المدين ما دام أنها قد عادت بالفائدة على الدائنين"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2- أن تكون الإجراءات قد اتخذت وفقاً للقانون </w:t>
      </w:r>
      <w:r w:rsidRPr="007C3EC7">
        <w:rPr>
          <w:rFonts w:cs="Traditional Arabic"/>
          <w:color w:val="000000"/>
          <w:sz w:val="28"/>
          <w:szCs w:val="32"/>
          <w:rtl/>
        </w:rPr>
        <w:t>–</w:t>
      </w:r>
      <w:r w:rsidRPr="007C3EC7">
        <w:rPr>
          <w:rFonts w:cs="Traditional Arabic" w:hint="cs"/>
          <w:color w:val="000000"/>
          <w:sz w:val="28"/>
          <w:szCs w:val="32"/>
          <w:rtl/>
        </w:rPr>
        <w:t xml:space="preserve"> فتكون ممتازة مصروفات من يكون اشتراكهم في الإجراءات لازماً كالمأموريين القضائيين والخبراء</w:t>
      </w:r>
      <w:r>
        <w:rPr>
          <w:rFonts w:cs="Traditional Arabic" w:hint="cs"/>
          <w:color w:val="000000"/>
          <w:sz w:val="28"/>
          <w:szCs w:val="32"/>
          <w:rtl/>
        </w:rPr>
        <w:t xml:space="preserve"> ،</w:t>
      </w:r>
      <w:r w:rsidRPr="007C3EC7">
        <w:rPr>
          <w:rFonts w:cs="Traditional Arabic" w:hint="cs"/>
          <w:color w:val="000000"/>
          <w:sz w:val="28"/>
          <w:szCs w:val="32"/>
          <w:rtl/>
        </w:rPr>
        <w:t xml:space="preserve"> ولا تكون ممتازة مصروفات من يقوم بعمل تصفية ودية لأموال المدين من غير أن يحصل على توكيل من كل أصحاب الشأن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أن تكون المصروفات قد أنفقت لمصلحة الدائنين المشتركة</w:t>
      </w:r>
      <w:r>
        <w:rPr>
          <w:rFonts w:cs="Traditional Arabic" w:hint="cs"/>
          <w:color w:val="000000"/>
          <w:sz w:val="28"/>
          <w:szCs w:val="32"/>
          <w:rtl/>
        </w:rPr>
        <w:t xml:space="preserve"> .</w:t>
      </w:r>
      <w:r w:rsidRPr="007C3EC7">
        <w:rPr>
          <w:rFonts w:cs="Traditional Arabic" w:hint="cs"/>
          <w:color w:val="000000"/>
          <w:sz w:val="28"/>
          <w:szCs w:val="32"/>
          <w:rtl/>
        </w:rPr>
        <w:t xml:space="preserve"> فما صرف منها لمصلحة أحد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كمصروفات إجراءات تحيق الدين لأحد الدائنين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لا يدخل في الامتياز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وقد قضي </w:t>
      </w:r>
      <w:r w:rsidRPr="007C3EC7">
        <w:rPr>
          <w:rFonts w:cs="Traditional Arabic" w:hint="cs"/>
          <w:color w:val="000000"/>
          <w:sz w:val="28"/>
          <w:szCs w:val="32"/>
          <w:rtl/>
        </w:rPr>
        <w:lastRenderedPageBreak/>
        <w:t>بأن مصروفات الإجراءات التي قام بها أحد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والتي أدت إلى حفظ الضمان العام الذي للدائنين</w:t>
      </w:r>
      <w:r>
        <w:rPr>
          <w:rFonts w:cs="Traditional Arabic" w:hint="cs"/>
          <w:color w:val="000000"/>
          <w:sz w:val="28"/>
          <w:szCs w:val="32"/>
          <w:rtl/>
        </w:rPr>
        <w:t xml:space="preserve"> ،</w:t>
      </w:r>
      <w:r w:rsidRPr="007C3EC7">
        <w:rPr>
          <w:rFonts w:cs="Traditional Arabic" w:hint="cs"/>
          <w:color w:val="000000"/>
          <w:sz w:val="28"/>
          <w:szCs w:val="32"/>
          <w:rtl/>
        </w:rPr>
        <w:t xml:space="preserve"> كدين المدين على آخر</w:t>
      </w:r>
      <w:r>
        <w:rPr>
          <w:rFonts w:cs="Traditional Arabic" w:hint="cs"/>
          <w:color w:val="000000"/>
          <w:sz w:val="28"/>
          <w:szCs w:val="32"/>
          <w:rtl/>
        </w:rPr>
        <w:t xml:space="preserve"> ،</w:t>
      </w:r>
      <w:r w:rsidRPr="007C3EC7">
        <w:rPr>
          <w:rFonts w:cs="Traditional Arabic" w:hint="cs"/>
          <w:color w:val="000000"/>
          <w:sz w:val="28"/>
          <w:szCs w:val="32"/>
          <w:rtl/>
        </w:rPr>
        <w:t xml:space="preserve"> هي دوين ممتازة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ويقدر القاضي ما إذا كانت المصروفات القضائية قد أنفقت في حفظ أموال المدين وبيعها</w:t>
      </w:r>
      <w:r>
        <w:rPr>
          <w:rFonts w:cs="Traditional Arabic" w:hint="cs"/>
          <w:color w:val="000000"/>
          <w:sz w:val="28"/>
          <w:szCs w:val="32"/>
          <w:rtl/>
        </w:rPr>
        <w:t xml:space="preserve"> ،</w:t>
      </w:r>
      <w:r w:rsidRPr="007C3EC7">
        <w:rPr>
          <w:rFonts w:cs="Traditional Arabic" w:hint="cs"/>
          <w:color w:val="000000"/>
          <w:sz w:val="28"/>
          <w:szCs w:val="32"/>
          <w:rtl/>
        </w:rPr>
        <w:t xml:space="preserve"> وفي مصلحة مشتركة للدائنين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6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673-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والامتياز يقع على الثمن الذي رسا به المزاد</w:t>
      </w:r>
      <w:r>
        <w:rPr>
          <w:rFonts w:cs="Traditional Arabic" w:hint="cs"/>
          <w:color w:val="000000"/>
          <w:sz w:val="28"/>
          <w:szCs w:val="32"/>
          <w:rtl/>
        </w:rPr>
        <w:t xml:space="preserve"> ،</w:t>
      </w:r>
      <w:r w:rsidRPr="007C3EC7">
        <w:rPr>
          <w:rFonts w:cs="Traditional Arabic" w:hint="cs"/>
          <w:color w:val="000000"/>
          <w:sz w:val="28"/>
          <w:szCs w:val="32"/>
          <w:rtl/>
        </w:rPr>
        <w:t xml:space="preserve"> عند بيع أموال المدين التي حفظت على النحو المتقدم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فإذن يكون محل $947 الامتياز ثمناً</w:t>
      </w:r>
      <w:r>
        <w:rPr>
          <w:rFonts w:cs="Traditional Arabic" w:hint="cs"/>
          <w:color w:val="000000"/>
          <w:sz w:val="28"/>
          <w:szCs w:val="32"/>
          <w:rtl/>
        </w:rPr>
        <w:t xml:space="preserve"> ،</w:t>
      </w:r>
      <w:r w:rsidRPr="007C3EC7">
        <w:rPr>
          <w:rFonts w:cs="Traditional Arabic" w:hint="cs"/>
          <w:color w:val="000000"/>
          <w:sz w:val="28"/>
          <w:szCs w:val="32"/>
          <w:rtl/>
        </w:rPr>
        <w:t xml:space="preserve"> وهو منقول خاص</w:t>
      </w:r>
      <w:r>
        <w:rPr>
          <w:rFonts w:cs="Traditional Arabic" w:hint="cs"/>
          <w:color w:val="000000"/>
          <w:sz w:val="28"/>
          <w:szCs w:val="32"/>
          <w:rtl/>
        </w:rPr>
        <w:t xml:space="preserve"> ،</w:t>
      </w:r>
      <w:r w:rsidRPr="007C3EC7">
        <w:rPr>
          <w:rFonts w:cs="Traditional Arabic" w:hint="cs"/>
          <w:color w:val="000000"/>
          <w:sz w:val="28"/>
          <w:szCs w:val="32"/>
          <w:rtl/>
        </w:rPr>
        <w:t xml:space="preserve"> ومن هنا كان الامتياز امتيازاً خاصاً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ولو كان الذي بيع من أموال المدين كله عقاراً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وتقع المصروفات القضائية على أعيان معينة</w:t>
      </w:r>
      <w:r>
        <w:rPr>
          <w:rFonts w:cs="Traditional Arabic" w:hint="cs"/>
          <w:color w:val="000000"/>
          <w:sz w:val="28"/>
          <w:szCs w:val="32"/>
          <w:rtl/>
        </w:rPr>
        <w:t xml:space="preserve"> ،</w:t>
      </w:r>
      <w:r w:rsidRPr="007C3EC7">
        <w:rPr>
          <w:rFonts w:cs="Traditional Arabic" w:hint="cs"/>
          <w:color w:val="000000"/>
          <w:sz w:val="28"/>
          <w:szCs w:val="32"/>
          <w:rtl/>
        </w:rPr>
        <w:t xml:space="preserve"> عقارات كانت أو منقولات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فمتى بيعت</w:t>
      </w:r>
      <w:r>
        <w:rPr>
          <w:rFonts w:cs="Traditional Arabic" w:hint="cs"/>
          <w:color w:val="000000"/>
          <w:sz w:val="28"/>
          <w:szCs w:val="32"/>
          <w:rtl/>
        </w:rPr>
        <w:t xml:space="preserve"> ،</w:t>
      </w:r>
      <w:r w:rsidRPr="007C3EC7">
        <w:rPr>
          <w:rFonts w:cs="Traditional Arabic" w:hint="cs"/>
          <w:color w:val="000000"/>
          <w:sz w:val="28"/>
          <w:szCs w:val="32"/>
          <w:rtl/>
        </w:rPr>
        <w:t xml:space="preserve"> تحولت كلها إلى أثمان وهي منقولات</w:t>
      </w:r>
      <w:r>
        <w:rPr>
          <w:rFonts w:cs="Traditional Arabic" w:hint="cs"/>
          <w:color w:val="000000"/>
          <w:sz w:val="28"/>
          <w:szCs w:val="32"/>
          <w:rtl/>
        </w:rPr>
        <w:t xml:space="preserve"> ،</w:t>
      </w:r>
      <w:r w:rsidRPr="007C3EC7">
        <w:rPr>
          <w:rFonts w:cs="Traditional Arabic" w:hint="cs"/>
          <w:color w:val="000000"/>
          <w:sz w:val="28"/>
          <w:szCs w:val="32"/>
          <w:rtl/>
        </w:rPr>
        <w:t xml:space="preserve"> فيقع الامتياز على هذه المنقولات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وقبل أن تقع المصروفات القضائية على جميع أموال المدين</w:t>
      </w:r>
      <w:r>
        <w:rPr>
          <w:rFonts w:cs="Traditional Arabic" w:hint="cs"/>
          <w:color w:val="000000"/>
          <w:sz w:val="28"/>
          <w:szCs w:val="32"/>
          <w:rtl/>
        </w:rPr>
        <w:t xml:space="preserve"> ،</w:t>
      </w:r>
      <w:r w:rsidRPr="007C3EC7">
        <w:rPr>
          <w:rFonts w:cs="Traditional Arabic" w:hint="cs"/>
          <w:color w:val="000000"/>
          <w:sz w:val="28"/>
          <w:szCs w:val="32"/>
          <w:rtl/>
        </w:rPr>
        <w:t xml:space="preserve"> فإن وقعت كان الامتياز عاماً</w:t>
      </w:r>
      <w:r>
        <w:rPr>
          <w:rFonts w:cs="Traditional Arabic" w:hint="cs"/>
          <w:color w:val="000000"/>
          <w:sz w:val="28"/>
          <w:szCs w:val="32"/>
          <w:rtl/>
        </w:rPr>
        <w:t xml:space="preserve"> ،</w:t>
      </w:r>
      <w:r w:rsidRPr="007C3EC7">
        <w:rPr>
          <w:rFonts w:cs="Traditional Arabic" w:hint="cs"/>
          <w:color w:val="000000"/>
          <w:sz w:val="28"/>
          <w:szCs w:val="32"/>
          <w:rtl/>
        </w:rPr>
        <w:t xml:space="preserve"> لأن ثمن جميع أموال المدين هو كل ما يملك المدين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674- مرتبة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ومرتبة الامتياز هي الأولى بين جميع 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فلا يتقدم امتياز آخر هذا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ولا يعادله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ويتسوي في ذلك أن يكون الدائن هو خزانة المحكمة نفسها</w:t>
      </w:r>
      <w:r>
        <w:rPr>
          <w:rFonts w:cs="Traditional Arabic" w:hint="cs"/>
          <w:color w:val="000000"/>
          <w:sz w:val="28"/>
          <w:szCs w:val="32"/>
          <w:rtl/>
        </w:rPr>
        <w:t xml:space="preserve"> ،</w:t>
      </w:r>
      <w:r w:rsidRPr="007C3EC7">
        <w:rPr>
          <w:rFonts w:cs="Traditional Arabic" w:hint="cs"/>
          <w:color w:val="000000"/>
          <w:sz w:val="28"/>
          <w:szCs w:val="32"/>
          <w:rtl/>
        </w:rPr>
        <w:t xml:space="preserve"> أو أحد المأموريين القضائيين</w:t>
      </w:r>
      <w:r>
        <w:rPr>
          <w:rFonts w:cs="Traditional Arabic" w:hint="cs"/>
          <w:color w:val="000000"/>
          <w:sz w:val="28"/>
          <w:szCs w:val="32"/>
          <w:rtl/>
        </w:rPr>
        <w:t xml:space="preserve"> ،</w:t>
      </w:r>
      <w:r w:rsidRPr="007C3EC7">
        <w:rPr>
          <w:rFonts w:cs="Traditional Arabic" w:hint="cs"/>
          <w:color w:val="000000"/>
          <w:sz w:val="28"/>
          <w:szCs w:val="32"/>
          <w:rtl/>
        </w:rPr>
        <w:t xml:space="preserve"> أو </w:t>
      </w:r>
      <w:r w:rsidRPr="007C3EC7">
        <w:rPr>
          <w:rFonts w:cs="Traditional Arabic" w:hint="cs"/>
          <w:color w:val="000000"/>
          <w:sz w:val="28"/>
          <w:szCs w:val="32"/>
          <w:rtl/>
        </w:rPr>
        <w:lastRenderedPageBreak/>
        <w:t>أحد الدائنين</w:t>
      </w:r>
      <w:r>
        <w:rPr>
          <w:rFonts w:cs="Traditional Arabic" w:hint="cs"/>
          <w:color w:val="000000"/>
          <w:sz w:val="28"/>
          <w:szCs w:val="32"/>
          <w:rtl/>
        </w:rPr>
        <w:t xml:space="preserve"> ،</w:t>
      </w:r>
      <w:r w:rsidRPr="007C3EC7">
        <w:rPr>
          <w:rFonts w:cs="Traditional Arabic" w:hint="cs"/>
          <w:color w:val="000000"/>
          <w:sz w:val="28"/>
          <w:szCs w:val="32"/>
          <w:rtl/>
        </w:rPr>
        <w:t xml:space="preserve"> أو غير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وتستوفي هذه المصروفات قبل أي  حق آخر</w:t>
      </w:r>
      <w:r>
        <w:rPr>
          <w:rFonts w:cs="Traditional Arabic" w:hint="cs"/>
          <w:color w:val="000000"/>
          <w:sz w:val="28"/>
          <w:szCs w:val="32"/>
          <w:rtl/>
        </w:rPr>
        <w:t xml:space="preserve"> ،</w:t>
      </w:r>
      <w:r w:rsidRPr="007C3EC7">
        <w:rPr>
          <w:rFonts w:cs="Traditional Arabic" w:hint="cs"/>
          <w:color w:val="000000"/>
          <w:sz w:val="28"/>
          <w:szCs w:val="32"/>
          <w:rtl/>
        </w:rPr>
        <w:t xml:space="preserve"> ولو كان ممتازً أو مضموناً برهن</w:t>
      </w:r>
      <w:r>
        <w:rPr>
          <w:rFonts w:cs="Traditional Arabic" w:hint="cs"/>
          <w:color w:val="000000"/>
          <w:sz w:val="28"/>
          <w:szCs w:val="32"/>
          <w:rtl/>
        </w:rPr>
        <w:t xml:space="preserve"> ،</w:t>
      </w:r>
      <w:r w:rsidRPr="007C3EC7">
        <w:rPr>
          <w:rFonts w:cs="Traditional Arabic" w:hint="cs"/>
          <w:color w:val="000000"/>
          <w:sz w:val="28"/>
          <w:szCs w:val="32"/>
          <w:rtl/>
        </w:rPr>
        <w:t xml:space="preserve"> حتى لو كان هذا الحق الآخر هو  حق أحد الدائنين الذين أنفقت المصروفات القضائية في مصلحتهم </w:t>
      </w:r>
      <w:r>
        <w:rPr>
          <w:rFonts w:cs="Traditional Arabic" w:hint="cs"/>
          <w:color w:val="000000"/>
          <w:sz w:val="28"/>
          <w:szCs w:val="32"/>
          <w:rtl/>
        </w:rPr>
        <w:t xml:space="preserve">( </w:t>
      </w:r>
      <w:r w:rsidRPr="007C3EC7">
        <w:rPr>
          <w:rFonts w:cs="Traditional Arabic" w:hint="cs"/>
          <w:color w:val="000000"/>
          <w:sz w:val="28"/>
          <w:szCs w:val="32"/>
          <w:rtl/>
        </w:rPr>
        <w:t>م 1138/2 مدني</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تزاحمت المصروفات القضائية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تقدمت المصروفات التي أنفقت في حفظ أموال المدين أو في بيعها</w:t>
      </w:r>
      <w:r>
        <w:rPr>
          <w:rFonts w:cs="Traditional Arabic" w:hint="cs"/>
          <w:color w:val="000000"/>
          <w:sz w:val="28"/>
          <w:szCs w:val="32"/>
          <w:rtl/>
        </w:rPr>
        <w:t xml:space="preserve"> ،</w:t>
      </w:r>
      <w:r w:rsidRPr="007C3EC7">
        <w:rPr>
          <w:rFonts w:cs="Traditional Arabic" w:hint="cs"/>
          <w:color w:val="000000"/>
          <w:sz w:val="28"/>
          <w:szCs w:val="32"/>
          <w:rtl/>
        </w:rPr>
        <w:t xml:space="preserve"> ثم تأتي بعد ذلك مصروفات إجراءات التوزيع </w:t>
      </w:r>
      <w:r>
        <w:rPr>
          <w:rFonts w:cs="Traditional Arabic" w:hint="cs"/>
          <w:color w:val="000000"/>
          <w:sz w:val="28"/>
          <w:szCs w:val="32"/>
          <w:rtl/>
        </w:rPr>
        <w:t xml:space="preserve">( </w:t>
      </w:r>
      <w:r w:rsidRPr="007C3EC7">
        <w:rPr>
          <w:rFonts w:cs="Traditional Arabic" w:hint="cs"/>
          <w:color w:val="000000"/>
          <w:sz w:val="28"/>
          <w:szCs w:val="32"/>
          <w:rtl/>
        </w:rPr>
        <w:t>م 1138/2 مدني</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ويتساوى الدائنون بمصروفات الحفظ والبيع فيما بينهم</w:t>
      </w:r>
      <w:r>
        <w:rPr>
          <w:rFonts w:cs="Traditional Arabic" w:hint="cs"/>
          <w:color w:val="000000"/>
          <w:sz w:val="28"/>
          <w:szCs w:val="32"/>
          <w:rtl/>
        </w:rPr>
        <w:t xml:space="preserve"> ،</w:t>
      </w:r>
      <w:r w:rsidRPr="007C3EC7">
        <w:rPr>
          <w:rFonts w:cs="Traditional Arabic" w:hint="cs"/>
          <w:color w:val="000000"/>
          <w:sz w:val="28"/>
          <w:szCs w:val="32"/>
          <w:rtl/>
        </w:rPr>
        <w:t xml:space="preserve"> ثم يتساوى</w:t>
      </w:r>
      <w:r>
        <w:rPr>
          <w:rFonts w:cs="Traditional Arabic" w:hint="cs"/>
          <w:color w:val="000000"/>
          <w:sz w:val="28"/>
          <w:szCs w:val="32"/>
          <w:rtl/>
        </w:rPr>
        <w:t xml:space="preserve"> ،</w:t>
      </w:r>
      <w:r w:rsidRPr="007C3EC7">
        <w:rPr>
          <w:rFonts w:cs="Traditional Arabic" w:hint="cs"/>
          <w:color w:val="000000"/>
          <w:sz w:val="28"/>
          <w:szCs w:val="32"/>
          <w:rtl/>
        </w:rPr>
        <w:t xml:space="preserve"> الدائنون بنفقات التوزيع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2- المبالغ المستحقة للخزانة العامة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675-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وقد نصت المادة1139 مدني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المبالغ المستحقة للخزانة العامة من ضرائب ورسوم وحقوق أخرى من أي نوع كان</w:t>
      </w:r>
      <w:r>
        <w:rPr>
          <w:rFonts w:cs="Traditional Arabic" w:hint="cs"/>
          <w:color w:val="000000"/>
          <w:sz w:val="28"/>
          <w:szCs w:val="32"/>
          <w:rtl/>
        </w:rPr>
        <w:t xml:space="preserve"> ،</w:t>
      </w:r>
      <w:r w:rsidRPr="007C3EC7">
        <w:rPr>
          <w:rFonts w:cs="Traditional Arabic" w:hint="cs"/>
          <w:color w:val="000000"/>
          <w:sz w:val="28"/>
          <w:szCs w:val="32"/>
          <w:rtl/>
        </w:rPr>
        <w:t xml:space="preserve"> يكون لها امتياز بالشروط المقررة في القوانين والأوامر الصادرة في هذا الشأن"</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وتسوفي هذه المبالغ من ثمن الأموال المثقلة بهذا الامتياز في أية يد كانت قبل أي حق آخر</w:t>
      </w:r>
      <w:r>
        <w:rPr>
          <w:rFonts w:cs="Traditional Arabic" w:hint="cs"/>
          <w:color w:val="000000"/>
          <w:sz w:val="28"/>
          <w:szCs w:val="32"/>
          <w:rtl/>
        </w:rPr>
        <w:t xml:space="preserve"> ،</w:t>
      </w:r>
      <w:r w:rsidRPr="007C3EC7">
        <w:rPr>
          <w:rFonts w:cs="Traditional Arabic" w:hint="cs"/>
          <w:color w:val="000000"/>
          <w:sz w:val="28"/>
          <w:szCs w:val="32"/>
          <w:rtl/>
        </w:rPr>
        <w:t xml:space="preserve"> ولو كان ممتازاً أو مضموناً برهن رسمي</w:t>
      </w:r>
      <w:r>
        <w:rPr>
          <w:rFonts w:cs="Traditional Arabic" w:hint="cs"/>
          <w:color w:val="000000"/>
          <w:sz w:val="28"/>
          <w:szCs w:val="32"/>
          <w:rtl/>
        </w:rPr>
        <w:t xml:space="preserve"> ،</w:t>
      </w:r>
      <w:r w:rsidRPr="007C3EC7">
        <w:rPr>
          <w:rFonts w:cs="Traditional Arabic" w:hint="cs"/>
          <w:color w:val="000000"/>
          <w:sz w:val="28"/>
          <w:szCs w:val="32"/>
          <w:rtl/>
        </w:rPr>
        <w:t xml:space="preserve"> عدا المصروفات القضائية"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$949 وقد ورد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هو الضرائب والرسوم وكل المبالغ المستحقة للخزانة العامة </w:t>
      </w:r>
      <w:r>
        <w:rPr>
          <w:rFonts w:cs="Traditional Arabic" w:hint="cs"/>
          <w:color w:val="000000"/>
          <w:sz w:val="28"/>
          <w:szCs w:val="32"/>
          <w:rtl/>
        </w:rPr>
        <w:t xml:space="preserve">( </w:t>
      </w:r>
      <w:r w:rsidRPr="007C3EC7">
        <w:rPr>
          <w:rFonts w:cs="Traditional Arabic" w:hint="cs"/>
          <w:color w:val="000000"/>
          <w:sz w:val="28"/>
          <w:szCs w:val="32"/>
          <w:rtl/>
        </w:rPr>
        <w:t>انظر الأمر العالي الصادر في 10 سبتمبر سنة 1872 والأمر العالي الصادر في 13 مارس سنة 1884</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هو ثمن الأموال المثقلة بهذا الامتياز طبقاً للقوانين الخاصة</w:t>
      </w:r>
      <w:r>
        <w:rPr>
          <w:rFonts w:cs="Traditional Arabic" w:hint="cs"/>
          <w:color w:val="000000"/>
          <w:sz w:val="28"/>
          <w:szCs w:val="32"/>
          <w:rtl/>
        </w:rPr>
        <w:t xml:space="preserve"> .</w:t>
      </w:r>
      <w:r w:rsidRPr="007C3EC7">
        <w:rPr>
          <w:rFonts w:cs="Traditional Arabic" w:hint="cs"/>
          <w:color w:val="000000"/>
          <w:sz w:val="28"/>
          <w:szCs w:val="32"/>
          <w:rtl/>
        </w:rPr>
        <w:t xml:space="preserve"> تكون هذه الأموال عادة منقولا </w:t>
      </w:r>
      <w:r>
        <w:rPr>
          <w:rFonts w:cs="Traditional Arabic" w:hint="cs"/>
          <w:color w:val="000000"/>
          <w:sz w:val="28"/>
          <w:szCs w:val="32"/>
          <w:rtl/>
        </w:rPr>
        <w:t xml:space="preserve">( </w:t>
      </w:r>
      <w:r w:rsidRPr="007C3EC7">
        <w:rPr>
          <w:rFonts w:cs="Traditional Arabic" w:hint="cs"/>
          <w:color w:val="000000"/>
          <w:sz w:val="28"/>
          <w:szCs w:val="32"/>
          <w:rtl/>
        </w:rPr>
        <w:t>محصولات وأمتعة</w:t>
      </w:r>
      <w:r>
        <w:rPr>
          <w:rFonts w:cs="Traditional Arabic" w:hint="cs"/>
          <w:color w:val="000000"/>
          <w:sz w:val="28"/>
          <w:szCs w:val="32"/>
          <w:rtl/>
        </w:rPr>
        <w:t xml:space="preserve"> ) .</w:t>
      </w:r>
      <w:r w:rsidRPr="007C3EC7">
        <w:rPr>
          <w:rFonts w:cs="Traditional Arabic" w:hint="cs"/>
          <w:color w:val="000000"/>
          <w:sz w:val="28"/>
          <w:szCs w:val="32"/>
          <w:rtl/>
        </w:rPr>
        <w:t xml:space="preserve"> وقد يمتد الامتياز إلى عقار إذا لم يكف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فيصبح الامتياز عقارياً </w:t>
      </w:r>
      <w:r w:rsidRPr="007C3EC7">
        <w:rPr>
          <w:rFonts w:cs="Traditional Arabic" w:hint="cs"/>
          <w:color w:val="000000"/>
          <w:sz w:val="28"/>
          <w:szCs w:val="32"/>
          <w:rtl/>
        </w:rPr>
        <w:lastRenderedPageBreak/>
        <w:t>بطريقة عرضية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المرتبة الثانية</w:t>
      </w:r>
      <w:r>
        <w:rPr>
          <w:rFonts w:cs="Traditional Arabic" w:hint="cs"/>
          <w:color w:val="000000"/>
          <w:sz w:val="28"/>
          <w:szCs w:val="32"/>
          <w:rtl/>
        </w:rPr>
        <w:t xml:space="preserve"> ،</w:t>
      </w:r>
      <w:r w:rsidRPr="007C3EC7">
        <w:rPr>
          <w:rFonts w:cs="Traditional Arabic" w:hint="cs"/>
          <w:color w:val="000000"/>
          <w:sz w:val="28"/>
          <w:szCs w:val="32"/>
          <w:rtl/>
        </w:rPr>
        <w:t xml:space="preserve"> بعد امتياز المصروفات القضائية </w:t>
      </w:r>
      <w:r w:rsidRPr="007C3EC7">
        <w:rPr>
          <w:rFonts w:cs="Traditional Arabic"/>
          <w:color w:val="000000"/>
          <w:sz w:val="28"/>
          <w:szCs w:val="32"/>
          <w:rtl/>
        </w:rPr>
        <w:t>–</w:t>
      </w:r>
      <w:r w:rsidRPr="007C3EC7">
        <w:rPr>
          <w:rFonts w:cs="Traditional Arabic" w:hint="cs"/>
          <w:color w:val="000000"/>
          <w:sz w:val="28"/>
          <w:szCs w:val="32"/>
          <w:rtl/>
        </w:rPr>
        <w:t xml:space="preserve"> ولا يشهر الامتياز إذا وقع على عقار كما تقدم"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676- الحق الممتاز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لا بد في ذلك من الرجوع إلى القوانين الخاصة المتعلقة بالأموال والعوايد والضرائب والرسوم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وأهم هذه القوانين هي</w:t>
      </w:r>
      <w:r>
        <w:rPr>
          <w:rFonts w:cs="Traditional Arabic" w:hint="cs"/>
          <w:color w:val="000000"/>
          <w:sz w:val="28"/>
          <w:szCs w:val="32"/>
          <w:rtl/>
        </w:rPr>
        <w:t xml:space="preserve"> :</w:t>
      </w:r>
      <w:r w:rsidRPr="007C3EC7">
        <w:rPr>
          <w:rFonts w:cs="Traditional Arabic" w:hint="cs"/>
          <w:color w:val="000000"/>
          <w:sz w:val="28"/>
          <w:szCs w:val="32"/>
          <w:rtl/>
        </w:rPr>
        <w:t xml:space="preserve"> القانون رقم 14 لسنة 1939 بفرض ضريبة على إيرادات رؤوس الأموال</w:t>
      </w:r>
      <w:r>
        <w:rPr>
          <w:rFonts w:cs="Traditional Arabic" w:hint="cs"/>
          <w:color w:val="000000"/>
          <w:sz w:val="28"/>
          <w:szCs w:val="32"/>
          <w:rtl/>
        </w:rPr>
        <w:t xml:space="preserve"> .</w:t>
      </w:r>
      <w:r w:rsidRPr="007C3EC7">
        <w:rPr>
          <w:rFonts w:cs="Traditional Arabic" w:hint="cs"/>
          <w:color w:val="000000"/>
          <w:sz w:val="28"/>
          <w:szCs w:val="32"/>
          <w:rtl/>
        </w:rPr>
        <w:t>$ 950 المنقولة وعلى الأرباح الصناعية والتجارية وعلى أرباح المهن الحرة وعلى كسب العمل</w:t>
      </w:r>
      <w:r>
        <w:rPr>
          <w:rFonts w:cs="Traditional Arabic" w:hint="cs"/>
          <w:color w:val="000000"/>
          <w:sz w:val="28"/>
          <w:szCs w:val="32"/>
          <w:rtl/>
        </w:rPr>
        <w:t xml:space="preserve"> ،</w:t>
      </w:r>
      <w:r w:rsidRPr="007C3EC7">
        <w:rPr>
          <w:rFonts w:cs="Traditional Arabic" w:hint="cs"/>
          <w:color w:val="000000"/>
          <w:sz w:val="28"/>
          <w:szCs w:val="32"/>
          <w:rtl/>
        </w:rPr>
        <w:t xml:space="preserve"> والقانون رقم 44 لسنة 1939 بتقرير رسم دمعة</w:t>
      </w:r>
      <w:r>
        <w:rPr>
          <w:rFonts w:cs="Traditional Arabic" w:hint="cs"/>
          <w:color w:val="000000"/>
          <w:sz w:val="28"/>
          <w:szCs w:val="32"/>
          <w:rtl/>
        </w:rPr>
        <w:t xml:space="preserve"> ،</w:t>
      </w:r>
      <w:r w:rsidRPr="007C3EC7">
        <w:rPr>
          <w:rFonts w:cs="Traditional Arabic" w:hint="cs"/>
          <w:color w:val="000000"/>
          <w:sz w:val="28"/>
          <w:szCs w:val="32"/>
          <w:rtl/>
        </w:rPr>
        <w:t xml:space="preserve"> والقانون رم 113 لسنة 1939 بضريبة الأطيان</w:t>
      </w:r>
      <w:r>
        <w:rPr>
          <w:rFonts w:cs="Traditional Arabic" w:hint="cs"/>
          <w:color w:val="000000"/>
          <w:sz w:val="28"/>
          <w:szCs w:val="32"/>
          <w:rtl/>
        </w:rPr>
        <w:t xml:space="preserve"> ،</w:t>
      </w:r>
      <w:r w:rsidRPr="007C3EC7">
        <w:rPr>
          <w:rFonts w:cs="Traditional Arabic" w:hint="cs"/>
          <w:color w:val="000000"/>
          <w:sz w:val="28"/>
          <w:szCs w:val="32"/>
          <w:rtl/>
        </w:rPr>
        <w:t xml:space="preserve"> والقانون رقم 99 لسنة 1949 بتقرير ضريبة تصاعدية على الإيراد العام</w:t>
      </w:r>
      <w:r>
        <w:rPr>
          <w:rFonts w:cs="Traditional Arabic" w:hint="cs"/>
          <w:color w:val="000000"/>
          <w:sz w:val="28"/>
          <w:szCs w:val="32"/>
          <w:rtl/>
        </w:rPr>
        <w:t xml:space="preserve"> ،</w:t>
      </w:r>
      <w:r w:rsidRPr="007C3EC7">
        <w:rPr>
          <w:rFonts w:cs="Traditional Arabic" w:hint="cs"/>
          <w:color w:val="000000"/>
          <w:sz w:val="28"/>
          <w:szCs w:val="32"/>
          <w:rtl/>
        </w:rPr>
        <w:t xml:space="preserve"> والقانون رقم 56 سنة 1954 بشأن الضريبة على العقارات المبنية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وقد نص القانون رقم 113 لسنة 1939 في المادة 16 منه على أن "للخزانة فيما يختص بتحصيل الضريبة حق امتياز على الأراضي المستحقة عليها الضريبة</w:t>
      </w:r>
      <w:r>
        <w:rPr>
          <w:rFonts w:cs="Traditional Arabic" w:hint="cs"/>
          <w:color w:val="000000"/>
          <w:sz w:val="28"/>
          <w:szCs w:val="32"/>
          <w:rtl/>
        </w:rPr>
        <w:t xml:space="preserve"> ،</w:t>
      </w:r>
      <w:r w:rsidRPr="007C3EC7">
        <w:rPr>
          <w:rFonts w:cs="Traditional Arabic" w:hint="cs"/>
          <w:color w:val="000000"/>
          <w:sz w:val="28"/>
          <w:szCs w:val="32"/>
          <w:rtl/>
        </w:rPr>
        <w:t xml:space="preserve"> وكذلك ثمارها ومحصولاتها على المنقولات والمواشي التابعة لهذه الأراضي"</w:t>
      </w:r>
      <w:r>
        <w:rPr>
          <w:rFonts w:cs="Traditional Arabic" w:hint="cs"/>
          <w:color w:val="000000"/>
          <w:sz w:val="28"/>
          <w:szCs w:val="32"/>
          <w:rtl/>
        </w:rPr>
        <w:t xml:space="preserve"> .</w:t>
      </w:r>
      <w:r w:rsidRPr="007C3EC7">
        <w:rPr>
          <w:rFonts w:cs="Traditional Arabic" w:hint="cs"/>
          <w:color w:val="000000"/>
          <w:sz w:val="28"/>
          <w:szCs w:val="32"/>
          <w:rtl/>
        </w:rPr>
        <w:t xml:space="preserve"> ونص القانون رقم 14 لسنة 1939 على أن تكون الضرائب والمبالغ الأخرى المستحقة للحكومة بمقتضى هذا القانون ديناً ممتازاً على جميع ا/وال المدينين بها أو الملتزمين بتوريدها للخزانة بحكم القانون</w:t>
      </w:r>
      <w:r>
        <w:rPr>
          <w:rFonts w:cs="Traditional Arabic" w:hint="cs"/>
          <w:color w:val="000000"/>
          <w:sz w:val="28"/>
          <w:szCs w:val="32"/>
          <w:rtl/>
        </w:rPr>
        <w:t xml:space="preserve"> .</w:t>
      </w:r>
      <w:r w:rsidRPr="007C3EC7">
        <w:rPr>
          <w:rFonts w:cs="Traditional Arabic" w:hint="cs"/>
          <w:color w:val="000000"/>
          <w:sz w:val="28"/>
          <w:szCs w:val="32"/>
          <w:rtl/>
        </w:rPr>
        <w:t xml:space="preserve"> ونص القانون رقم 44 لسنة 1939 على أن تحصل الرسوم </w:t>
      </w:r>
      <w:r>
        <w:rPr>
          <w:rFonts w:cs="Traditional Arabic" w:hint="cs"/>
          <w:color w:val="000000"/>
          <w:sz w:val="28"/>
          <w:szCs w:val="32"/>
          <w:rtl/>
        </w:rPr>
        <w:t xml:space="preserve"> . . . .</w:t>
      </w:r>
      <w:r w:rsidRPr="007C3EC7">
        <w:rPr>
          <w:rFonts w:cs="Traditional Arabic" w:hint="cs"/>
          <w:color w:val="000000"/>
          <w:sz w:val="28"/>
          <w:szCs w:val="32"/>
          <w:rtl/>
        </w:rPr>
        <w:t xml:space="preserve"> بالطريقة الإدارية  إلخ إلخ</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فتعتبر من الديون الممتازة أموال الأطيان الزراعية وعوايد الأملاك المبنية وضريبة إيرادات رؤوس الأموال المنقولة وضريبة الإرباح الصناعة والتجارية وضريبية أرباح المهن الحرة وضريبة كسب العمل وضريبة </w:t>
      </w:r>
      <w:r w:rsidRPr="007C3EC7">
        <w:rPr>
          <w:rFonts w:cs="Traditional Arabic" w:hint="cs"/>
          <w:color w:val="000000"/>
          <w:sz w:val="28"/>
          <w:szCs w:val="32"/>
          <w:rtl/>
        </w:rPr>
        <w:lastRenderedPageBreak/>
        <w:t>الإيراد العام ورسم الدمعة وضريبة التركات</w:t>
      </w:r>
      <w:r>
        <w:rPr>
          <w:rFonts w:cs="Traditional Arabic" w:hint="cs"/>
          <w:color w:val="000000"/>
          <w:sz w:val="28"/>
          <w:szCs w:val="32"/>
          <w:rtl/>
        </w:rPr>
        <w:t xml:space="preserve"> ،</w:t>
      </w:r>
      <w:r w:rsidRPr="007C3EC7">
        <w:rPr>
          <w:rFonts w:cs="Traditional Arabic" w:hint="cs"/>
          <w:color w:val="000000"/>
          <w:sz w:val="28"/>
          <w:szCs w:val="32"/>
          <w:rtl/>
        </w:rPr>
        <w:t xml:space="preserve"> ويغر ذلك من الضرائب والرسوم التي نصت عليها القوانين المختلفة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677-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ومحل الامتياز منصوص عليه في هذه القوانين المختلفة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مثل ذلك المادة 27 من القانون رقم 56 لسنة 1954 </w:t>
      </w:r>
      <w:r>
        <w:rPr>
          <w:rFonts w:cs="Traditional Arabic" w:hint="cs"/>
          <w:color w:val="000000"/>
          <w:sz w:val="28"/>
          <w:szCs w:val="32"/>
          <w:rtl/>
        </w:rPr>
        <w:t xml:space="preserve">( </w:t>
      </w:r>
      <w:r w:rsidRPr="007C3EC7">
        <w:rPr>
          <w:rFonts w:cs="Traditional Arabic" w:hint="cs"/>
          <w:color w:val="000000"/>
          <w:sz w:val="28"/>
          <w:szCs w:val="32"/>
          <w:rtl/>
        </w:rPr>
        <w:t>ضريبة العقارات المبنية</w:t>
      </w:r>
      <w:r>
        <w:rPr>
          <w:rFonts w:cs="Traditional Arabic" w:hint="cs"/>
          <w:color w:val="000000"/>
          <w:sz w:val="28"/>
          <w:szCs w:val="32"/>
          <w:rtl/>
        </w:rPr>
        <w:t xml:space="preserve"> )</w:t>
      </w:r>
      <w:r w:rsidRPr="007C3EC7">
        <w:rPr>
          <w:rFonts w:cs="Traditional Arabic" w:hint="cs"/>
          <w:color w:val="000000"/>
          <w:sz w:val="28"/>
          <w:szCs w:val="32"/>
          <w:rtl/>
        </w:rPr>
        <w:t xml:space="preserve"> تنص على أن للحكومة فيما يختص بتحصيل الضريبة حق الامتياز على الإيجار والإيراد الخاص بالعقارات المبنية وعلى المباني والأراضي المقامة عليها</w:t>
      </w:r>
      <w:r>
        <w:rPr>
          <w:rFonts w:cs="Traditional Arabic" w:hint="cs"/>
          <w:color w:val="000000"/>
          <w:sz w:val="28"/>
          <w:szCs w:val="32"/>
          <w:rtl/>
        </w:rPr>
        <w:t xml:space="preserve"> ،</w:t>
      </w:r>
      <w:r w:rsidRPr="007C3EC7">
        <w:rPr>
          <w:rFonts w:cs="Traditional Arabic" w:hint="cs"/>
          <w:color w:val="000000"/>
          <w:sz w:val="28"/>
          <w:szCs w:val="32"/>
          <w:rtl/>
        </w:rPr>
        <w:t xml:space="preserve"> والمادة 16 من القانون رقم 113 لسنة 1939 </w:t>
      </w:r>
      <w:r>
        <w:rPr>
          <w:rFonts w:cs="Traditional Arabic" w:hint="cs"/>
          <w:color w:val="000000"/>
          <w:sz w:val="28"/>
          <w:szCs w:val="32"/>
          <w:rtl/>
        </w:rPr>
        <w:t xml:space="preserve">( </w:t>
      </w:r>
      <w:r w:rsidRPr="007C3EC7">
        <w:rPr>
          <w:rFonts w:cs="Traditional Arabic" w:hint="cs"/>
          <w:color w:val="000000"/>
          <w:sz w:val="28"/>
          <w:szCs w:val="32"/>
          <w:rtl/>
        </w:rPr>
        <w:t>ضريبة الأطيان</w:t>
      </w:r>
      <w:r>
        <w:rPr>
          <w:rFonts w:cs="Traditional Arabic" w:hint="cs"/>
          <w:color w:val="000000"/>
          <w:sz w:val="28"/>
          <w:szCs w:val="32"/>
          <w:rtl/>
        </w:rPr>
        <w:t xml:space="preserve"> )</w:t>
      </w:r>
      <w:r w:rsidRPr="007C3EC7">
        <w:rPr>
          <w:rFonts w:cs="Traditional Arabic" w:hint="cs"/>
          <w:color w:val="000000"/>
          <w:sz w:val="28"/>
          <w:szCs w:val="32"/>
          <w:rtl/>
        </w:rPr>
        <w:t xml:space="preserve"> $951 تنص على أن للخزانة فيما يختص بتحصيل الضريبة حق امتياز على الأراضي المستحقة عليها الضريبة وكذلك ثمارها ومحصولاتها وعلى المنقولات والمواشي التابعة لهذه الأراضي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والمادة 90 </w:t>
      </w:r>
      <w:r>
        <w:rPr>
          <w:rFonts w:cs="Traditional Arabic" w:hint="cs"/>
          <w:color w:val="000000"/>
          <w:sz w:val="28"/>
          <w:szCs w:val="32"/>
          <w:rtl/>
        </w:rPr>
        <w:t xml:space="preserve">( </w:t>
      </w:r>
      <w:r w:rsidRPr="007C3EC7">
        <w:rPr>
          <w:rFonts w:cs="Traditional Arabic" w:hint="cs"/>
          <w:color w:val="000000"/>
          <w:sz w:val="28"/>
          <w:szCs w:val="32"/>
          <w:rtl/>
        </w:rPr>
        <w:t>معدلة بالقانون رقم 146 لسنة 1950</w:t>
      </w:r>
      <w:r>
        <w:rPr>
          <w:rFonts w:cs="Traditional Arabic" w:hint="cs"/>
          <w:color w:val="000000"/>
          <w:sz w:val="28"/>
          <w:szCs w:val="32"/>
          <w:rtl/>
        </w:rPr>
        <w:t xml:space="preserve"> )</w:t>
      </w:r>
      <w:r w:rsidRPr="007C3EC7">
        <w:rPr>
          <w:rFonts w:cs="Traditional Arabic" w:hint="cs"/>
          <w:color w:val="000000"/>
          <w:sz w:val="28"/>
          <w:szCs w:val="32"/>
          <w:rtl/>
        </w:rPr>
        <w:t xml:space="preserve"> من القانون رقم 14 لسنة 1939 </w:t>
      </w:r>
      <w:r>
        <w:rPr>
          <w:rFonts w:cs="Traditional Arabic" w:hint="cs"/>
          <w:color w:val="000000"/>
          <w:sz w:val="28"/>
          <w:szCs w:val="32"/>
          <w:rtl/>
        </w:rPr>
        <w:t xml:space="preserve">( </w:t>
      </w:r>
      <w:r w:rsidRPr="007C3EC7">
        <w:rPr>
          <w:rFonts w:cs="Traditional Arabic" w:hint="cs"/>
          <w:color w:val="000000"/>
          <w:sz w:val="28"/>
          <w:szCs w:val="32"/>
          <w:rtl/>
        </w:rPr>
        <w:t>ضريبة الإيراد النوعي</w:t>
      </w:r>
      <w:r>
        <w:rPr>
          <w:rFonts w:cs="Traditional Arabic" w:hint="cs"/>
          <w:color w:val="000000"/>
          <w:sz w:val="28"/>
          <w:szCs w:val="32"/>
          <w:rtl/>
        </w:rPr>
        <w:t xml:space="preserve"> )</w:t>
      </w:r>
      <w:r w:rsidRPr="007C3EC7">
        <w:rPr>
          <w:rFonts w:cs="Traditional Arabic" w:hint="cs"/>
          <w:color w:val="000000"/>
          <w:sz w:val="28"/>
          <w:szCs w:val="32"/>
          <w:rtl/>
        </w:rPr>
        <w:t xml:space="preserve"> تنص على أن تكون الضرائب والمبالغ الأخرى المستحقة للحكومة ديناً ممتازاً على جميع أموال المدينين بها</w:t>
      </w:r>
      <w:r>
        <w:rPr>
          <w:rFonts w:cs="Traditional Arabic" w:hint="cs"/>
          <w:color w:val="000000"/>
          <w:sz w:val="28"/>
          <w:szCs w:val="32"/>
          <w:rtl/>
        </w:rPr>
        <w:t xml:space="preserve"> ،</w:t>
      </w:r>
      <w:r w:rsidRPr="007C3EC7">
        <w:rPr>
          <w:rFonts w:cs="Traditional Arabic" w:hint="cs"/>
          <w:color w:val="000000"/>
          <w:sz w:val="28"/>
          <w:szCs w:val="32"/>
          <w:rtl/>
        </w:rPr>
        <w:t xml:space="preserve"> والمادة 43 من القانون 142 لسنة 1944 </w:t>
      </w:r>
      <w:r>
        <w:rPr>
          <w:rFonts w:cs="Traditional Arabic" w:hint="cs"/>
          <w:color w:val="000000"/>
          <w:sz w:val="28"/>
          <w:szCs w:val="32"/>
          <w:rtl/>
        </w:rPr>
        <w:t xml:space="preserve">( </w:t>
      </w:r>
      <w:r w:rsidRPr="007C3EC7">
        <w:rPr>
          <w:rFonts w:cs="Traditional Arabic" w:hint="cs"/>
          <w:color w:val="000000"/>
          <w:sz w:val="28"/>
          <w:szCs w:val="32"/>
          <w:rtl/>
        </w:rPr>
        <w:t>رسم أيلولة على التركات</w:t>
      </w:r>
      <w:r>
        <w:rPr>
          <w:rFonts w:cs="Traditional Arabic" w:hint="cs"/>
          <w:color w:val="000000"/>
          <w:sz w:val="28"/>
          <w:szCs w:val="32"/>
          <w:rtl/>
        </w:rPr>
        <w:t xml:space="preserve"> )</w:t>
      </w:r>
      <w:r w:rsidRPr="007C3EC7">
        <w:rPr>
          <w:rFonts w:cs="Traditional Arabic" w:hint="cs"/>
          <w:color w:val="000000"/>
          <w:sz w:val="28"/>
          <w:szCs w:val="32"/>
          <w:rtl/>
        </w:rPr>
        <w:t xml:space="preserve"> تنص على أنه يكون للحكومة لأجل تحصيل رسم الأيلولة حق امتياز على نصيب كل وارث إلخ إلخ</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678- مرتبة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وامتياز الحكومة بما لها من ضرائب ورسوم يأتي في المرتبة الثانية بعد المصروفات القضائية التي يحتل امتيازها المرتبة الأولى كما قدمنا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دفع هذه الضرائب والرسوم شخص غير مدين بها</w:t>
      </w:r>
      <w:r>
        <w:rPr>
          <w:rFonts w:cs="Traditional Arabic" w:hint="cs"/>
          <w:color w:val="000000"/>
          <w:sz w:val="28"/>
          <w:szCs w:val="32"/>
          <w:rtl/>
        </w:rPr>
        <w:t xml:space="preserve"> ،</w:t>
      </w:r>
      <w:r w:rsidRPr="007C3EC7">
        <w:rPr>
          <w:rFonts w:cs="Traditional Arabic" w:hint="cs"/>
          <w:color w:val="000000"/>
          <w:sz w:val="28"/>
          <w:szCs w:val="32"/>
          <w:rtl/>
        </w:rPr>
        <w:t xml:space="preserve"> فإنه يحل محل الخزانة العامة في امتيازها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7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lastRenderedPageBreak/>
        <w:t>679- حق التتبع</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 xml:space="preserve">وامتياز الحكومة في الضرائب والرسوم يخول الحكومة حق التتبع </w:t>
      </w:r>
      <w:r>
        <w:rPr>
          <w:rFonts w:cs="Traditional Arabic" w:hint="cs"/>
          <w:color w:val="000000"/>
          <w:sz w:val="28"/>
          <w:szCs w:val="32"/>
          <w:rtl/>
        </w:rPr>
        <w:t xml:space="preserve">( </w:t>
      </w:r>
      <w:r w:rsidRPr="007C3EC7">
        <w:rPr>
          <w:rFonts w:cs="Traditional Arabic" w:hint="cs"/>
          <w:color w:val="000000"/>
          <w:sz w:val="28"/>
          <w:szCs w:val="32"/>
          <w:rtl/>
        </w:rPr>
        <w:t>الفقرة الثانية من المادة 1139 مدني</w:t>
      </w:r>
      <w:r>
        <w:rPr>
          <w:rFonts w:cs="Traditional Arabic" w:hint="cs"/>
          <w:color w:val="000000"/>
          <w:sz w:val="28"/>
          <w:szCs w:val="32"/>
          <w:rtl/>
        </w:rPr>
        <w:t xml:space="preserve"> ) .</w:t>
      </w:r>
      <w:r w:rsidRPr="007C3EC7">
        <w:rPr>
          <w:rFonts w:cs="Traditional Arabic" w:hint="cs"/>
          <w:color w:val="000000"/>
          <w:sz w:val="28"/>
          <w:szCs w:val="32"/>
          <w:rtl/>
        </w:rPr>
        <w:t xml:space="preserve"> ولكن إذا وقع الامتياز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فإنه لا يحتج بحق الامتياز على من حاز المنقول بحسن نية</w:t>
      </w:r>
      <w:r>
        <w:rPr>
          <w:rFonts w:cs="Traditional Arabic" w:hint="cs"/>
          <w:color w:val="000000"/>
          <w:sz w:val="28"/>
          <w:szCs w:val="32"/>
          <w:rtl/>
        </w:rPr>
        <w:t xml:space="preserve"> .</w:t>
      </w:r>
      <w:r w:rsidRPr="007C3EC7">
        <w:rPr>
          <w:rFonts w:cs="Traditional Arabic" w:hint="cs"/>
          <w:color w:val="000000"/>
          <w:sz w:val="28"/>
          <w:szCs w:val="32"/>
          <w:rtl/>
        </w:rPr>
        <w:t xml:space="preserve"> وإذا وقع على عقار</w:t>
      </w:r>
      <w:r>
        <w:rPr>
          <w:rFonts w:cs="Traditional Arabic" w:hint="cs"/>
          <w:color w:val="000000"/>
          <w:sz w:val="28"/>
          <w:szCs w:val="32"/>
          <w:rtl/>
        </w:rPr>
        <w:t xml:space="preserve"> ،</w:t>
      </w:r>
      <w:r w:rsidRPr="007C3EC7">
        <w:rPr>
          <w:rFonts w:cs="Traditional Arabic" w:hint="cs"/>
          <w:color w:val="000000"/>
          <w:sz w:val="28"/>
          <w:szCs w:val="32"/>
          <w:rtl/>
        </w:rPr>
        <w:t xml:space="preserve"> فإنه لا يجب الشهر ويثبت حق التتبع دون شهر</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color w:val="000000"/>
          <w:sz w:val="28"/>
          <w:szCs w:val="32"/>
          <w:rtl/>
        </w:rPr>
      </w:pPr>
      <w:r w:rsidRPr="007C3EC7">
        <w:rPr>
          <w:rFonts w:cs="Traditional Arabic" w:hint="cs"/>
          <w:color w:val="000000"/>
          <w:sz w:val="28"/>
          <w:szCs w:val="32"/>
          <w:rtl/>
        </w:rPr>
        <w:t xml:space="preserve">$952 </w:t>
      </w:r>
      <w:r w:rsidRPr="007C3EC7">
        <w:rPr>
          <w:color w:val="000000"/>
          <w:sz w:val="28"/>
          <w:szCs w:val="32"/>
          <w:rtl/>
        </w:rPr>
        <w:t>§</w:t>
      </w:r>
      <w:r w:rsidRPr="007C3EC7">
        <w:rPr>
          <w:rFonts w:cs="Traditional Arabic" w:hint="cs"/>
          <w:color w:val="000000"/>
          <w:sz w:val="28"/>
          <w:szCs w:val="32"/>
          <w:rtl/>
        </w:rPr>
        <w:t xml:space="preserve"> </w:t>
      </w:r>
      <w:r w:rsidRPr="007C3EC7">
        <w:rPr>
          <w:rFonts w:cs="Traditional Arabic" w:hint="cs"/>
          <w:b/>
          <w:bCs/>
          <w:color w:val="000000"/>
          <w:sz w:val="28"/>
          <w:szCs w:val="32"/>
          <w:rtl/>
        </w:rPr>
        <w:t>3- مصروفات الحفظ والترميم</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680-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وقد نصت المادة 1140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المبالغ التي صرفت في حفظ المنقول وفيما يلزم له من ترميم</w:t>
      </w:r>
      <w:r>
        <w:rPr>
          <w:rFonts w:cs="Traditional Arabic" w:hint="cs"/>
          <w:color w:val="000000"/>
          <w:sz w:val="28"/>
          <w:szCs w:val="32"/>
          <w:rtl/>
        </w:rPr>
        <w:t xml:space="preserve"> ،</w:t>
      </w:r>
      <w:r w:rsidRPr="007C3EC7">
        <w:rPr>
          <w:rFonts w:cs="Traditional Arabic" w:hint="cs"/>
          <w:color w:val="000000"/>
          <w:sz w:val="28"/>
          <w:szCs w:val="32"/>
          <w:rtl/>
        </w:rPr>
        <w:t xml:space="preserve"> يكون لها امتياز عليه كله"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وتسوفي هذه المبالغ من ثمن هذا المنقول المثقل بحق الامتياز بعد المصروفات القضائية والمبالغ المستحقة للخزانة العامة مباشرة</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 فيقدم بعضها على بعض بحسب الترتيب العكسي لتواريخ </w:t>
      </w:r>
      <w:r w:rsidRPr="007C3EC7">
        <w:rPr>
          <w:rFonts w:cs="Traditional Arabic" w:hint="cs"/>
          <w:color w:val="000000"/>
          <w:sz w:val="28"/>
          <w:szCs w:val="32"/>
          <w:rtl/>
        </w:rPr>
        <w:lastRenderedPageBreak/>
        <w:t>صرفها"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$953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هو المبالغ التي صرفت في حفظ المنقول وترميمه</w:t>
      </w:r>
      <w:r>
        <w:rPr>
          <w:rFonts w:cs="Traditional Arabic" w:hint="cs"/>
          <w:color w:val="000000"/>
          <w:sz w:val="28"/>
          <w:szCs w:val="32"/>
          <w:rtl/>
        </w:rPr>
        <w:t xml:space="preserve"> ،</w:t>
      </w:r>
      <w:r w:rsidRPr="007C3EC7">
        <w:rPr>
          <w:rFonts w:cs="Traditional Arabic" w:hint="cs"/>
          <w:color w:val="000000"/>
          <w:sz w:val="28"/>
          <w:szCs w:val="32"/>
          <w:rtl/>
        </w:rPr>
        <w:t xml:space="preserve"> كأجرة الساعاتي ومصلح السيارة والسنديك والحارس</w:t>
      </w:r>
      <w:r>
        <w:rPr>
          <w:rFonts w:cs="Traditional Arabic" w:hint="cs"/>
          <w:color w:val="000000"/>
          <w:sz w:val="28"/>
          <w:szCs w:val="32"/>
          <w:rtl/>
        </w:rPr>
        <w:t xml:space="preserve"> ،</w:t>
      </w:r>
      <w:r w:rsidRPr="007C3EC7">
        <w:rPr>
          <w:rFonts w:cs="Traditional Arabic" w:hint="cs"/>
          <w:color w:val="000000"/>
          <w:sz w:val="28"/>
          <w:szCs w:val="32"/>
          <w:rtl/>
        </w:rPr>
        <w:t xml:space="preserve"> ولا يدخل مبلغ التأمين ولا الرسوم الجمركية ولا أجرة النقل من مكان إلى مكان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هو كل المنقول الذي حفظ أو رمم</w:t>
      </w:r>
      <w:r>
        <w:rPr>
          <w:rFonts w:cs="Traditional Arabic" w:hint="cs"/>
          <w:color w:val="000000"/>
          <w:sz w:val="28"/>
          <w:szCs w:val="32"/>
          <w:rtl/>
        </w:rPr>
        <w:t xml:space="preserve"> ،</w:t>
      </w:r>
      <w:r w:rsidRPr="007C3EC7">
        <w:rPr>
          <w:rFonts w:cs="Traditional Arabic" w:hint="cs"/>
          <w:color w:val="000000"/>
          <w:sz w:val="28"/>
          <w:szCs w:val="32"/>
          <w:rtl/>
        </w:rPr>
        <w:t xml:space="preserve"> لا ما زاد فيه بسبب الحفظ والترميم فحسب</w:t>
      </w:r>
      <w:r>
        <w:rPr>
          <w:rFonts w:cs="Traditional Arabic" w:hint="cs"/>
          <w:color w:val="000000"/>
          <w:sz w:val="28"/>
          <w:szCs w:val="32"/>
          <w:rtl/>
        </w:rPr>
        <w:t xml:space="preserve"> ،</w:t>
      </w:r>
      <w:r w:rsidRPr="007C3EC7">
        <w:rPr>
          <w:rFonts w:cs="Traditional Arabic" w:hint="cs"/>
          <w:color w:val="000000"/>
          <w:sz w:val="28"/>
          <w:szCs w:val="32"/>
          <w:rtl/>
        </w:rPr>
        <w:t xml:space="preserve"> ولذلك ينص المشروع </w:t>
      </w:r>
      <w:r>
        <w:rPr>
          <w:rFonts w:cs="Traditional Arabic" w:hint="cs"/>
          <w:color w:val="000000"/>
          <w:sz w:val="28"/>
          <w:szCs w:val="32"/>
          <w:rtl/>
        </w:rPr>
        <w:t xml:space="preserve">( </w:t>
      </w:r>
      <w:r w:rsidRPr="007C3EC7">
        <w:rPr>
          <w:rFonts w:cs="Traditional Arabic" w:hint="cs"/>
          <w:color w:val="000000"/>
          <w:sz w:val="28"/>
          <w:szCs w:val="32"/>
          <w:rtl/>
        </w:rPr>
        <w:t>م 1582 فقرة أولى</w:t>
      </w:r>
      <w:r>
        <w:rPr>
          <w:rFonts w:cs="Traditional Arabic" w:hint="cs"/>
          <w:color w:val="000000"/>
          <w:sz w:val="28"/>
          <w:szCs w:val="32"/>
          <w:rtl/>
        </w:rPr>
        <w:t xml:space="preserve"> )</w:t>
      </w:r>
      <w:r w:rsidRPr="007C3EC7">
        <w:rPr>
          <w:rFonts w:cs="Traditional Arabic" w:hint="cs"/>
          <w:color w:val="000000"/>
          <w:sz w:val="28"/>
          <w:szCs w:val="32"/>
          <w:rtl/>
        </w:rPr>
        <w:t xml:space="preserve"> على أن الامتياز يقع على كل هذا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الثالثة</w:t>
      </w:r>
      <w:r>
        <w:rPr>
          <w:rFonts w:cs="Traditional Arabic" w:hint="cs"/>
          <w:color w:val="000000"/>
          <w:sz w:val="28"/>
          <w:szCs w:val="32"/>
          <w:rtl/>
        </w:rPr>
        <w:t xml:space="preserve"> ،</w:t>
      </w:r>
      <w:r w:rsidRPr="007C3EC7">
        <w:rPr>
          <w:rFonts w:cs="Traditional Arabic" w:hint="cs"/>
          <w:color w:val="000000"/>
          <w:sz w:val="28"/>
          <w:szCs w:val="32"/>
          <w:rtl/>
        </w:rPr>
        <w:t xml:space="preserve"> بعد المصروفات القضائية ومبالغ الخزانة العامة</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فيقدم ما صرف آخراً"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681-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أي المبالغ التي صرفت في حفظ المنقول وفما له من ترميم</w:t>
      </w:r>
      <w:r>
        <w:rPr>
          <w:rFonts w:cs="Traditional Arabic" w:hint="cs"/>
          <w:color w:val="000000"/>
          <w:sz w:val="28"/>
          <w:szCs w:val="32"/>
          <w:rtl/>
        </w:rPr>
        <w:t xml:space="preserve"> .</w:t>
      </w:r>
      <w:r w:rsidRPr="007C3EC7">
        <w:rPr>
          <w:rFonts w:cs="Traditional Arabic" w:hint="cs"/>
          <w:color w:val="000000"/>
          <w:sz w:val="28"/>
          <w:szCs w:val="32"/>
          <w:rtl/>
        </w:rPr>
        <w:t xml:space="preserve"> فلا بد أن يكون المحفوظ أو المرمم منقولا لا عقاراً</w:t>
      </w:r>
      <w:r>
        <w:rPr>
          <w:rFonts w:cs="Traditional Arabic" w:hint="cs"/>
          <w:color w:val="000000"/>
          <w:sz w:val="28"/>
          <w:szCs w:val="32"/>
          <w:rtl/>
        </w:rPr>
        <w:t xml:space="preserve"> .</w:t>
      </w:r>
      <w:r w:rsidRPr="007C3EC7">
        <w:rPr>
          <w:rFonts w:cs="Traditional Arabic" w:hint="cs"/>
          <w:color w:val="000000"/>
          <w:sz w:val="28"/>
          <w:szCs w:val="32"/>
          <w:rtl/>
        </w:rPr>
        <w:t xml:space="preserve"> كسيارة أو آلة أو سعاة أو أثاث أو غر ذلك من المنقولات</w:t>
      </w:r>
      <w:r>
        <w:rPr>
          <w:rFonts w:cs="Traditional Arabic" w:hint="cs"/>
          <w:color w:val="000000"/>
          <w:sz w:val="28"/>
          <w:szCs w:val="32"/>
          <w:rtl/>
        </w:rPr>
        <w:t xml:space="preserve"> .</w:t>
      </w:r>
      <w:r w:rsidRPr="007C3EC7">
        <w:rPr>
          <w:rFonts w:cs="Traditional Arabic" w:hint="cs"/>
          <w:color w:val="000000"/>
          <w:sz w:val="28"/>
          <w:szCs w:val="32"/>
          <w:rtl/>
        </w:rPr>
        <w:t xml:space="preserve"> أما العقار فلا يدخل</w:t>
      </w:r>
      <w:r>
        <w:rPr>
          <w:rFonts w:cs="Traditional Arabic" w:hint="cs"/>
          <w:color w:val="000000"/>
          <w:sz w:val="28"/>
          <w:szCs w:val="32"/>
          <w:rtl/>
        </w:rPr>
        <w:t xml:space="preserve"> ،</w:t>
      </w:r>
      <w:r w:rsidRPr="007C3EC7">
        <w:rPr>
          <w:rFonts w:cs="Traditional Arabic" w:hint="cs"/>
          <w:color w:val="000000"/>
          <w:sz w:val="28"/>
          <w:szCs w:val="32"/>
          <w:rtl/>
        </w:rPr>
        <w:t xml:space="preserve"> وكان يدخل في التقنين المدني السابق</w:t>
      </w:r>
      <w:r>
        <w:rPr>
          <w:rFonts w:cs="Traditional Arabic" w:hint="cs"/>
          <w:color w:val="000000"/>
          <w:sz w:val="28"/>
          <w:szCs w:val="32"/>
          <w:rtl/>
        </w:rPr>
        <w:t xml:space="preserve"> ،</w:t>
      </w:r>
      <w:r w:rsidRPr="007C3EC7">
        <w:rPr>
          <w:rFonts w:cs="Traditional Arabic" w:hint="cs"/>
          <w:color w:val="000000"/>
          <w:sz w:val="28"/>
          <w:szCs w:val="32"/>
          <w:rtl/>
        </w:rPr>
        <w:t xml:space="preserve"> واستعيض عنه في التقنين الجديد بامتياز المهندسين والمقاولين إذا رمموا مبنى أو صانوه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فجميع المصروفات التي أنفقت في حفظ المنقول ووقايته م أن يهلك أو يتلف كله أو بعضه</w:t>
      </w:r>
      <w:r>
        <w:rPr>
          <w:rFonts w:cs="Traditional Arabic" w:hint="cs"/>
          <w:color w:val="000000"/>
          <w:sz w:val="28"/>
          <w:szCs w:val="32"/>
          <w:rtl/>
        </w:rPr>
        <w:t xml:space="preserve"> ،</w:t>
      </w:r>
      <w:r w:rsidRPr="007C3EC7">
        <w:rPr>
          <w:rFonts w:cs="Traditional Arabic" w:hint="cs"/>
          <w:color w:val="000000"/>
          <w:sz w:val="28"/>
          <w:szCs w:val="32"/>
          <w:rtl/>
        </w:rPr>
        <w:t xml:space="preserve"> وجميع المصروفات التي لولاها لأصبح المنقول غير صالح للاستعمال الذي كان معداً له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وجميع المصروفات التي أنفقت لمنع المنقول من الضياع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كل هذه تعتبر ديوناً ممتازة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$954 وأمثلة ذلك أجرة الميكانيكي الذي يصلح سيارة أو آلة</w:t>
      </w:r>
      <w:r>
        <w:rPr>
          <w:rFonts w:cs="Traditional Arabic" w:hint="cs"/>
          <w:color w:val="000000"/>
          <w:sz w:val="28"/>
          <w:szCs w:val="32"/>
          <w:rtl/>
        </w:rPr>
        <w:t xml:space="preserve"> ،</w:t>
      </w:r>
      <w:r w:rsidRPr="007C3EC7">
        <w:rPr>
          <w:rFonts w:cs="Traditional Arabic" w:hint="cs"/>
          <w:color w:val="000000"/>
          <w:sz w:val="28"/>
          <w:szCs w:val="32"/>
          <w:rtl/>
        </w:rPr>
        <w:t xml:space="preserve"> وأجرة الساعاتي الذي يصلح ساعة</w:t>
      </w:r>
      <w:r>
        <w:rPr>
          <w:rFonts w:cs="Traditional Arabic" w:hint="cs"/>
          <w:color w:val="000000"/>
          <w:sz w:val="28"/>
          <w:szCs w:val="32"/>
          <w:rtl/>
        </w:rPr>
        <w:t xml:space="preserve"> ،</w:t>
      </w:r>
      <w:r w:rsidRPr="007C3EC7">
        <w:rPr>
          <w:rFonts w:cs="Traditional Arabic" w:hint="cs"/>
          <w:color w:val="000000"/>
          <w:sz w:val="28"/>
          <w:szCs w:val="32"/>
          <w:rtl/>
        </w:rPr>
        <w:t xml:space="preserve"> وأجرة النجار الذي يصلح أثاث منزل</w:t>
      </w:r>
      <w:r>
        <w:rPr>
          <w:rFonts w:cs="Traditional Arabic" w:hint="cs"/>
          <w:color w:val="000000"/>
          <w:sz w:val="28"/>
          <w:szCs w:val="32"/>
          <w:rtl/>
        </w:rPr>
        <w:t xml:space="preserve"> ،</w:t>
      </w:r>
      <w:r w:rsidRPr="007C3EC7">
        <w:rPr>
          <w:rFonts w:cs="Traditional Arabic" w:hint="cs"/>
          <w:color w:val="000000"/>
          <w:sz w:val="28"/>
          <w:szCs w:val="32"/>
          <w:rtl/>
        </w:rPr>
        <w:t xml:space="preserve"> والمصروفات التي ينفقها شخص لإنقاذ منقول لغيره من الحريق أو من الغرق</w:t>
      </w:r>
      <w:r>
        <w:rPr>
          <w:rFonts w:cs="Traditional Arabic" w:hint="cs"/>
          <w:color w:val="000000"/>
          <w:sz w:val="28"/>
          <w:szCs w:val="32"/>
          <w:rtl/>
        </w:rPr>
        <w:t xml:space="preserve"> ،</w:t>
      </w:r>
      <w:r w:rsidRPr="007C3EC7">
        <w:rPr>
          <w:rFonts w:cs="Traditional Arabic" w:hint="cs"/>
          <w:color w:val="000000"/>
          <w:sz w:val="28"/>
          <w:szCs w:val="32"/>
          <w:rtl/>
        </w:rPr>
        <w:t xml:space="preserve"> والمصروفات التي ينفقها الوكيل لتحصيل دين من الديون أو لحفظه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وأعتاب </w:t>
      </w:r>
      <w:r w:rsidRPr="007C3EC7">
        <w:rPr>
          <w:rFonts w:cs="Traditional Arabic" w:hint="cs"/>
          <w:color w:val="000000"/>
          <w:sz w:val="28"/>
          <w:szCs w:val="32"/>
          <w:rtl/>
        </w:rPr>
        <w:lastRenderedPageBreak/>
        <w:t>السنديك ومصلى التركة</w:t>
      </w:r>
      <w:r>
        <w:rPr>
          <w:rFonts w:cs="Traditional Arabic" w:hint="cs"/>
          <w:color w:val="000000"/>
          <w:sz w:val="28"/>
          <w:szCs w:val="32"/>
          <w:rtl/>
        </w:rPr>
        <w:t xml:space="preserve"> ،</w:t>
      </w:r>
      <w:r w:rsidRPr="007C3EC7">
        <w:rPr>
          <w:rFonts w:cs="Traditional Arabic" w:hint="cs"/>
          <w:color w:val="000000"/>
          <w:sz w:val="28"/>
          <w:szCs w:val="32"/>
          <w:rtl/>
        </w:rPr>
        <w:t xml:space="preserve"> ومصروفات الحارس مقابل إدارته الأموال المسلمة إليه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ويثبت هذا الامتياز لمن انفق المصروفات بنفسه</w:t>
      </w:r>
      <w:r>
        <w:rPr>
          <w:rFonts w:cs="Traditional Arabic" w:hint="cs"/>
          <w:color w:val="000000"/>
          <w:sz w:val="28"/>
          <w:szCs w:val="32"/>
          <w:rtl/>
        </w:rPr>
        <w:t xml:space="preserve"> ،</w:t>
      </w:r>
      <w:r w:rsidRPr="007C3EC7">
        <w:rPr>
          <w:rFonts w:cs="Traditional Arabic" w:hint="cs"/>
          <w:color w:val="000000"/>
          <w:sz w:val="28"/>
          <w:szCs w:val="32"/>
          <w:rtl/>
        </w:rPr>
        <w:t xml:space="preserve"> أو لمن قدمها لينفقها غيره سواء كان مالك المنقول أو شخصاً آخر</w:t>
      </w:r>
      <w:r>
        <w:rPr>
          <w:rFonts w:cs="Traditional Arabic" w:hint="cs"/>
          <w:color w:val="000000"/>
          <w:sz w:val="28"/>
          <w:szCs w:val="32"/>
          <w:rtl/>
        </w:rPr>
        <w:t xml:space="preserve"> .</w:t>
      </w:r>
      <w:r w:rsidRPr="007C3EC7">
        <w:rPr>
          <w:rFonts w:cs="Traditional Arabic" w:hint="cs"/>
          <w:color w:val="000000"/>
          <w:sz w:val="28"/>
          <w:szCs w:val="32"/>
          <w:rtl/>
        </w:rPr>
        <w:t xml:space="preserve"> ولقاضي الموضوع التقدير فيما إذا كانت هذه المصروفات قد أدت بالفعل إلى حفظ الشيء</w:t>
      </w:r>
      <w:r>
        <w:rPr>
          <w:rFonts w:cs="Traditional Arabic" w:hint="cs"/>
          <w:color w:val="000000"/>
          <w:sz w:val="28"/>
          <w:szCs w:val="32"/>
          <w:rtl/>
        </w:rPr>
        <w:t xml:space="preserve"> ،</w:t>
      </w:r>
      <w:r w:rsidRPr="007C3EC7">
        <w:rPr>
          <w:rFonts w:cs="Traditional Arabic" w:hint="cs"/>
          <w:color w:val="000000"/>
          <w:sz w:val="28"/>
          <w:szCs w:val="32"/>
          <w:rtl/>
        </w:rPr>
        <w:t xml:space="preserve"> أو إلى ترميمه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يشترط أن تكون المصروفات قد أنفقت بقصد حفظ المنقول أو ترميمه</w:t>
      </w:r>
      <w:r>
        <w:rPr>
          <w:rFonts w:cs="Traditional Arabic" w:hint="cs"/>
          <w:color w:val="000000"/>
          <w:sz w:val="28"/>
          <w:szCs w:val="32"/>
          <w:rtl/>
        </w:rPr>
        <w:t xml:space="preserve"> ،</w:t>
      </w:r>
      <w:r w:rsidRPr="007C3EC7">
        <w:rPr>
          <w:rFonts w:cs="Traditional Arabic" w:hint="cs"/>
          <w:color w:val="000000"/>
          <w:sz w:val="28"/>
          <w:szCs w:val="32"/>
          <w:rtl/>
        </w:rPr>
        <w:t xml:space="preserve"> بل يكفي أن تكون قد أدت فعلا إلى الحفظ والترميم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يدخل مبلغ التأمين</w:t>
      </w:r>
      <w:r>
        <w:rPr>
          <w:rFonts w:cs="Traditional Arabic" w:hint="cs"/>
          <w:color w:val="000000"/>
          <w:sz w:val="28"/>
          <w:szCs w:val="32"/>
          <w:rtl/>
        </w:rPr>
        <w:t xml:space="preserve"> ،</w:t>
      </w:r>
      <w:r w:rsidRPr="007C3EC7">
        <w:rPr>
          <w:rFonts w:cs="Traditional Arabic" w:hint="cs"/>
          <w:color w:val="000000"/>
          <w:sz w:val="28"/>
          <w:szCs w:val="32"/>
          <w:rtl/>
        </w:rPr>
        <w:t xml:space="preserve"> ولا الرسوم الجمركية</w:t>
      </w:r>
      <w:r>
        <w:rPr>
          <w:rFonts w:cs="Traditional Arabic" w:hint="cs"/>
          <w:color w:val="000000"/>
          <w:sz w:val="28"/>
          <w:szCs w:val="32"/>
          <w:rtl/>
        </w:rPr>
        <w:t xml:space="preserve"> ،</w:t>
      </w:r>
      <w:r w:rsidRPr="007C3EC7">
        <w:rPr>
          <w:rFonts w:cs="Traditional Arabic" w:hint="cs"/>
          <w:color w:val="000000"/>
          <w:sz w:val="28"/>
          <w:szCs w:val="32"/>
          <w:rtl/>
        </w:rPr>
        <w:t xml:space="preserve"> ولا أجر النقل من مكان إلى آخر</w:t>
      </w:r>
      <w:r>
        <w:rPr>
          <w:rFonts w:cs="Traditional Arabic" w:hint="cs"/>
          <w:color w:val="000000"/>
          <w:sz w:val="28"/>
          <w:szCs w:val="32"/>
          <w:rtl/>
        </w:rPr>
        <w:t xml:space="preserve"> ،</w:t>
      </w:r>
      <w:r w:rsidRPr="007C3EC7">
        <w:rPr>
          <w:rFonts w:cs="Traditional Arabic" w:hint="cs"/>
          <w:color w:val="000000"/>
          <w:sz w:val="28"/>
          <w:szCs w:val="32"/>
          <w:rtl/>
        </w:rPr>
        <w:t xml:space="preserve"> ولا مصروفات "الجراج</w:t>
      </w:r>
      <w:r>
        <w:rPr>
          <w:rFonts w:cs="Traditional Arabic" w:hint="cs"/>
          <w:color w:val="000000"/>
          <w:sz w:val="28"/>
          <w:szCs w:val="32"/>
          <w:rtl/>
        </w:rPr>
        <w:t xml:space="preserve"> ،</w:t>
      </w:r>
      <w:r w:rsidRPr="007C3EC7">
        <w:rPr>
          <w:rFonts w:cs="Traditional Arabic" w:hint="cs"/>
          <w:color w:val="000000"/>
          <w:sz w:val="28"/>
          <w:szCs w:val="32"/>
          <w:rtl/>
        </w:rPr>
        <w:t xml:space="preserve"> ولا ثمن الزيت والبنزين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8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تدخل كذلك المصروفات النافعة</w:t>
      </w:r>
      <w:r>
        <w:rPr>
          <w:rFonts w:cs="Traditional Arabic" w:hint="cs"/>
          <w:color w:val="000000"/>
          <w:sz w:val="28"/>
          <w:szCs w:val="32"/>
          <w:rtl/>
        </w:rPr>
        <w:t xml:space="preserve"> ،</w:t>
      </w:r>
      <w:r w:rsidRPr="007C3EC7">
        <w:rPr>
          <w:rFonts w:cs="Traditional Arabic" w:hint="cs"/>
          <w:color w:val="000000"/>
          <w:sz w:val="28"/>
          <w:szCs w:val="32"/>
          <w:rtl/>
        </w:rPr>
        <w:t xml:space="preserve"> كمصروفات صباغ الصوف ومصروفات تغيير السيارة</w:t>
      </w:r>
      <w:r>
        <w:rPr>
          <w:rFonts w:cs="Traditional Arabic" w:hint="cs"/>
          <w:color w:val="000000"/>
          <w:sz w:val="28"/>
          <w:szCs w:val="32"/>
          <w:rtl/>
        </w:rPr>
        <w:t xml:space="preserve"> ،</w:t>
      </w:r>
      <w:r w:rsidRPr="007C3EC7">
        <w:rPr>
          <w:rFonts w:cs="Traditional Arabic" w:hint="cs"/>
          <w:color w:val="000000"/>
          <w:sz w:val="28"/>
          <w:szCs w:val="32"/>
          <w:rtl/>
        </w:rPr>
        <w:t xml:space="preserve"> وكذلك لا امتياز لقرض النقود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$955 </w:t>
      </w:r>
      <w:r w:rsidRPr="007C3EC7">
        <w:rPr>
          <w:rFonts w:cs="Traditional Arabic" w:hint="cs"/>
          <w:b/>
          <w:bCs/>
          <w:color w:val="000000"/>
          <w:sz w:val="28"/>
          <w:szCs w:val="32"/>
          <w:rtl/>
        </w:rPr>
        <w:t>682-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يقع الامتياز على كل المنقول المحفوظ أو المرمم</w:t>
      </w:r>
      <w:r>
        <w:rPr>
          <w:rFonts w:cs="Traditional Arabic" w:hint="cs"/>
          <w:color w:val="000000"/>
          <w:sz w:val="28"/>
          <w:szCs w:val="32"/>
          <w:rtl/>
        </w:rPr>
        <w:t xml:space="preserve"> ،</w:t>
      </w:r>
      <w:r w:rsidRPr="007C3EC7">
        <w:rPr>
          <w:rFonts w:cs="Traditional Arabic" w:hint="cs"/>
          <w:color w:val="000000"/>
          <w:sz w:val="28"/>
          <w:szCs w:val="32"/>
          <w:rtl/>
        </w:rPr>
        <w:t xml:space="preserve"> لا على ما زاد فيه بسبب الترميم والحفظ فحسب</w:t>
      </w:r>
      <w:r>
        <w:rPr>
          <w:rFonts w:cs="Traditional Arabic" w:hint="cs"/>
          <w:color w:val="000000"/>
          <w:sz w:val="28"/>
          <w:szCs w:val="32"/>
          <w:rtl/>
        </w:rPr>
        <w:t xml:space="preserve"> .</w:t>
      </w:r>
      <w:r w:rsidRPr="007C3EC7">
        <w:rPr>
          <w:rFonts w:cs="Traditional Arabic" w:hint="cs"/>
          <w:color w:val="000000"/>
          <w:sz w:val="28"/>
          <w:szCs w:val="32"/>
          <w:rtl/>
        </w:rPr>
        <w:t xml:space="preserve"> وهذا ما تنص عليه صراحة الفقرة الأولى من المادة 1140 مدني</w:t>
      </w:r>
      <w:r>
        <w:rPr>
          <w:rFonts w:cs="Traditional Arabic" w:hint="cs"/>
          <w:color w:val="000000"/>
          <w:sz w:val="28"/>
          <w:szCs w:val="32"/>
          <w:rtl/>
        </w:rPr>
        <w:t xml:space="preserve"> ،</w:t>
      </w:r>
      <w:r w:rsidRPr="007C3EC7">
        <w:rPr>
          <w:rFonts w:cs="Traditional Arabic" w:hint="cs"/>
          <w:color w:val="000000"/>
          <w:sz w:val="28"/>
          <w:szCs w:val="32"/>
          <w:rtl/>
        </w:rPr>
        <w:t xml:space="preserve"> فيما رأينا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يشترط أن يكون المنقول في حيازة الدائن</w:t>
      </w:r>
      <w:r>
        <w:rPr>
          <w:rFonts w:cs="Traditional Arabic" w:hint="cs"/>
          <w:color w:val="000000"/>
          <w:sz w:val="28"/>
          <w:szCs w:val="32"/>
          <w:rtl/>
        </w:rPr>
        <w:t xml:space="preserve"> ،</w:t>
      </w:r>
      <w:r w:rsidRPr="007C3EC7">
        <w:rPr>
          <w:rFonts w:cs="Traditional Arabic" w:hint="cs"/>
          <w:color w:val="000000"/>
          <w:sz w:val="28"/>
          <w:szCs w:val="32"/>
          <w:rtl/>
        </w:rPr>
        <w:t xml:space="preserve"> لأن الامتياز ليس مبنياً على فكرة الرهن الضمني</w:t>
      </w:r>
      <w:r>
        <w:rPr>
          <w:rFonts w:cs="Traditional Arabic" w:hint="cs"/>
          <w:color w:val="000000"/>
          <w:sz w:val="28"/>
          <w:szCs w:val="32"/>
          <w:rtl/>
        </w:rPr>
        <w:t xml:space="preserve"> ،</w:t>
      </w:r>
      <w:r w:rsidRPr="007C3EC7">
        <w:rPr>
          <w:rFonts w:cs="Traditional Arabic" w:hint="cs"/>
          <w:color w:val="000000"/>
          <w:sz w:val="28"/>
          <w:szCs w:val="32"/>
          <w:rtl/>
        </w:rPr>
        <w:t xml:space="preserve"> </w:t>
      </w:r>
      <w:r w:rsidRPr="007C3EC7">
        <w:rPr>
          <w:rFonts w:cs="Traditional Arabic" w:hint="cs"/>
          <w:color w:val="000000"/>
          <w:sz w:val="28"/>
          <w:szCs w:val="32"/>
          <w:rtl/>
        </w:rPr>
        <w:lastRenderedPageBreak/>
        <w:t>بل على حفظ المنقول وترميمه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ويشترط في بقاء الامتياز أن يظل المنقول محتفظاً بذاتيته</w:t>
      </w:r>
      <w:r>
        <w:rPr>
          <w:rFonts w:cs="Traditional Arabic" w:hint="cs"/>
          <w:color w:val="000000"/>
          <w:sz w:val="28"/>
          <w:szCs w:val="32"/>
          <w:rtl/>
        </w:rPr>
        <w:t xml:space="preserve"> ،</w:t>
      </w:r>
      <w:r w:rsidRPr="007C3EC7">
        <w:rPr>
          <w:rFonts w:cs="Traditional Arabic" w:hint="cs"/>
          <w:color w:val="000000"/>
          <w:sz w:val="28"/>
          <w:szCs w:val="32"/>
          <w:rtl/>
        </w:rPr>
        <w:t xml:space="preserve"> فإذا تغير المنقول تغيراً مادياً أضاع معالمه الأصلية</w:t>
      </w:r>
      <w:r>
        <w:rPr>
          <w:rFonts w:cs="Traditional Arabic" w:hint="cs"/>
          <w:color w:val="000000"/>
          <w:sz w:val="28"/>
          <w:szCs w:val="32"/>
          <w:rtl/>
        </w:rPr>
        <w:t xml:space="preserve"> ،</w:t>
      </w:r>
      <w:r w:rsidRPr="007C3EC7">
        <w:rPr>
          <w:rFonts w:cs="Traditional Arabic" w:hint="cs"/>
          <w:color w:val="000000"/>
          <w:sz w:val="28"/>
          <w:szCs w:val="32"/>
          <w:rtl/>
        </w:rPr>
        <w:t xml:space="preserve"> أو اندمج في عقار فصار عقاراً بطبيعته</w:t>
      </w:r>
      <w:r>
        <w:rPr>
          <w:rFonts w:cs="Traditional Arabic" w:hint="cs"/>
          <w:color w:val="000000"/>
          <w:sz w:val="28"/>
          <w:szCs w:val="32"/>
          <w:rtl/>
        </w:rPr>
        <w:t xml:space="preserve"> ،</w:t>
      </w:r>
      <w:r w:rsidRPr="007C3EC7">
        <w:rPr>
          <w:rFonts w:cs="Traditional Arabic" w:hint="cs"/>
          <w:color w:val="000000"/>
          <w:sz w:val="28"/>
          <w:szCs w:val="32"/>
          <w:rtl/>
        </w:rPr>
        <w:t xml:space="preserve"> فإن الامتياز يزول</w:t>
      </w:r>
      <w:r>
        <w:rPr>
          <w:rFonts w:cs="Traditional Arabic" w:hint="cs"/>
          <w:color w:val="000000"/>
          <w:sz w:val="28"/>
          <w:szCs w:val="32"/>
          <w:rtl/>
        </w:rPr>
        <w:t xml:space="preserve"> .</w:t>
      </w:r>
      <w:r w:rsidRPr="007C3EC7">
        <w:rPr>
          <w:rFonts w:cs="Traditional Arabic" w:hint="cs"/>
          <w:color w:val="000000"/>
          <w:sz w:val="28"/>
          <w:szCs w:val="32"/>
          <w:rtl/>
        </w:rPr>
        <w:t xml:space="preserve"> ولكن لا يزول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إذا تغيرت حالة المنقول ولكنه لم يفقد ذاتيته</w:t>
      </w:r>
      <w:r>
        <w:rPr>
          <w:rFonts w:cs="Traditional Arabic" w:hint="cs"/>
          <w:color w:val="000000"/>
          <w:sz w:val="28"/>
          <w:szCs w:val="32"/>
          <w:rtl/>
        </w:rPr>
        <w:t xml:space="preserve"> ،</w:t>
      </w:r>
      <w:r w:rsidRPr="007C3EC7">
        <w:rPr>
          <w:rFonts w:cs="Traditional Arabic" w:hint="cs"/>
          <w:color w:val="000000"/>
          <w:sz w:val="28"/>
          <w:szCs w:val="32"/>
          <w:rtl/>
        </w:rPr>
        <w:t xml:space="preserve"> أو أصبح عقاراً بالتخصيص</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683- مرتبة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مرتبة هذا الامتياز هي المرتبة الثالثة</w:t>
      </w:r>
      <w:r>
        <w:rPr>
          <w:rFonts w:cs="Traditional Arabic" w:hint="cs"/>
          <w:color w:val="000000"/>
          <w:sz w:val="28"/>
          <w:szCs w:val="32"/>
          <w:rtl/>
        </w:rPr>
        <w:t xml:space="preserve"> ،</w:t>
      </w:r>
      <w:r w:rsidRPr="007C3EC7">
        <w:rPr>
          <w:rFonts w:cs="Traditional Arabic" w:hint="cs"/>
          <w:color w:val="000000"/>
          <w:sz w:val="28"/>
          <w:szCs w:val="32"/>
          <w:rtl/>
        </w:rPr>
        <w:t xml:space="preserve"> فيأتي بعد المصروفات القضائية والمبالغ المستحقة للخزانة العامة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فيباع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ومن ثمنه تستوفي مصاريف حفظه وترميمه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تعددت مصروفات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قدم منها ما كان متأخراً على المتقدم</w:t>
      </w:r>
      <w:r>
        <w:rPr>
          <w:rFonts w:cs="Traditional Arabic" w:hint="cs"/>
          <w:color w:val="000000"/>
          <w:sz w:val="28"/>
          <w:szCs w:val="32"/>
          <w:rtl/>
        </w:rPr>
        <w:t xml:space="preserve"> ،</w:t>
      </w:r>
      <w:r w:rsidRPr="007C3EC7">
        <w:rPr>
          <w:rFonts w:cs="Traditional Arabic" w:hint="cs"/>
          <w:color w:val="000000"/>
          <w:sz w:val="28"/>
          <w:szCs w:val="32"/>
          <w:rtl/>
        </w:rPr>
        <w:t xml:space="preserve"> فإذا أنفقت مصروفات للحفظ والترميم في يناير</w:t>
      </w:r>
      <w:r>
        <w:rPr>
          <w:rFonts w:cs="Traditional Arabic" w:hint="cs"/>
          <w:color w:val="000000"/>
          <w:sz w:val="28"/>
          <w:szCs w:val="32"/>
          <w:rtl/>
        </w:rPr>
        <w:t xml:space="preserve"> ،</w:t>
      </w:r>
      <w:r w:rsidRPr="007C3EC7">
        <w:rPr>
          <w:rFonts w:cs="Traditional Arabic" w:hint="cs"/>
          <w:color w:val="000000"/>
          <w:sz w:val="28"/>
          <w:szCs w:val="32"/>
          <w:rtl/>
        </w:rPr>
        <w:t xml:space="preserve"> وأخرى في فبراير من نفس السنة</w:t>
      </w:r>
      <w:r>
        <w:rPr>
          <w:rFonts w:cs="Traditional Arabic" w:hint="cs"/>
          <w:color w:val="000000"/>
          <w:sz w:val="28"/>
          <w:szCs w:val="32"/>
          <w:rtl/>
        </w:rPr>
        <w:t xml:space="preserve"> ،</w:t>
      </w:r>
      <w:r w:rsidRPr="007C3EC7">
        <w:rPr>
          <w:rFonts w:cs="Traditional Arabic" w:hint="cs"/>
          <w:color w:val="000000"/>
          <w:sz w:val="28"/>
          <w:szCs w:val="32"/>
          <w:rtl/>
        </w:rPr>
        <w:t xml:space="preserve"> وثالثة في مارس من نفس السنة</w:t>
      </w:r>
      <w:r>
        <w:rPr>
          <w:rFonts w:cs="Traditional Arabic" w:hint="cs"/>
          <w:color w:val="000000"/>
          <w:sz w:val="28"/>
          <w:szCs w:val="32"/>
          <w:rtl/>
        </w:rPr>
        <w:t xml:space="preserve"> ،</w:t>
      </w:r>
      <w:r w:rsidRPr="007C3EC7">
        <w:rPr>
          <w:rFonts w:cs="Traditional Arabic" w:hint="cs"/>
          <w:color w:val="000000"/>
          <w:sz w:val="28"/>
          <w:szCs w:val="32"/>
          <w:rtl/>
        </w:rPr>
        <w:t xml:space="preserve"> استوفيت أولا مصروفات مارس ثم مصروفات فبراير ثم مصروفات يناير</w:t>
      </w:r>
      <w:r>
        <w:rPr>
          <w:rFonts w:cs="Traditional Arabic" w:hint="cs"/>
          <w:color w:val="000000"/>
          <w:sz w:val="28"/>
          <w:szCs w:val="32"/>
          <w:rtl/>
        </w:rPr>
        <w:t xml:space="preserve"> ،</w:t>
      </w:r>
      <w:r w:rsidRPr="007C3EC7">
        <w:rPr>
          <w:rFonts w:cs="Traditional Arabic" w:hint="cs"/>
          <w:color w:val="000000"/>
          <w:sz w:val="28"/>
          <w:szCs w:val="32"/>
          <w:rtl/>
        </w:rPr>
        <w:t xml:space="preserve"> لأن المفروض أن مصروفات مارس هي التي كانت السبب في حفظ مصروفات فبراير ومصروفات فبراير هي التي كانت السبب في حفظ مصروفات يناير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$956 </w:t>
      </w:r>
      <w:r w:rsidRPr="007C3EC7">
        <w:rPr>
          <w:rFonts w:cs="Traditional Arabic" w:hint="cs"/>
          <w:b/>
          <w:bCs/>
          <w:color w:val="000000"/>
          <w:sz w:val="28"/>
          <w:szCs w:val="32"/>
          <w:rtl/>
        </w:rPr>
        <w:t>684- حق الحبس وحق التتبع</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وإذا كان المنقول في حيازة من حفظه ورممه</w:t>
      </w:r>
      <w:r>
        <w:rPr>
          <w:rFonts w:cs="Traditional Arabic" w:hint="cs"/>
          <w:color w:val="000000"/>
          <w:sz w:val="28"/>
          <w:szCs w:val="32"/>
          <w:rtl/>
        </w:rPr>
        <w:t xml:space="preserve"> ،</w:t>
      </w:r>
      <w:r w:rsidRPr="007C3EC7">
        <w:rPr>
          <w:rFonts w:cs="Traditional Arabic" w:hint="cs"/>
          <w:color w:val="000000"/>
          <w:sz w:val="28"/>
          <w:szCs w:val="32"/>
          <w:rtl/>
        </w:rPr>
        <w:t xml:space="preserve"> كان له أن يحبسه حتى يستوفي حقه </w:t>
      </w:r>
      <w:r>
        <w:rPr>
          <w:rFonts w:cs="Traditional Arabic" w:hint="cs"/>
          <w:color w:val="000000"/>
          <w:sz w:val="28"/>
          <w:szCs w:val="32"/>
          <w:rtl/>
        </w:rPr>
        <w:t xml:space="preserve">( </w:t>
      </w:r>
      <w:r w:rsidRPr="007C3EC7">
        <w:rPr>
          <w:rFonts w:cs="Traditional Arabic" w:hint="cs"/>
          <w:color w:val="000000"/>
          <w:sz w:val="28"/>
          <w:szCs w:val="32"/>
          <w:rtl/>
        </w:rPr>
        <w:t>م 246 مدني</w:t>
      </w:r>
      <w:r>
        <w:rPr>
          <w:rFonts w:cs="Traditional Arabic" w:hint="cs"/>
          <w:color w:val="000000"/>
          <w:sz w:val="28"/>
          <w:szCs w:val="32"/>
          <w:rtl/>
        </w:rPr>
        <w:t xml:space="preserve"> ) .</w:t>
      </w:r>
      <w:r w:rsidRPr="007C3EC7">
        <w:rPr>
          <w:rFonts w:cs="Traditional Arabic" w:hint="cs"/>
          <w:color w:val="000000"/>
          <w:sz w:val="28"/>
          <w:szCs w:val="32"/>
          <w:rtl/>
        </w:rPr>
        <w:t xml:space="preserve"> فإذا خرج من حيازته برضاه</w:t>
      </w:r>
      <w:r>
        <w:rPr>
          <w:rFonts w:cs="Traditional Arabic" w:hint="cs"/>
          <w:color w:val="000000"/>
          <w:sz w:val="28"/>
          <w:szCs w:val="32"/>
          <w:rtl/>
        </w:rPr>
        <w:t xml:space="preserve"> ،</w:t>
      </w:r>
      <w:r w:rsidRPr="007C3EC7">
        <w:rPr>
          <w:rFonts w:cs="Traditional Arabic" w:hint="cs"/>
          <w:color w:val="000000"/>
          <w:sz w:val="28"/>
          <w:szCs w:val="32"/>
          <w:rtl/>
        </w:rPr>
        <w:t xml:space="preserve"> فقد حق الحبس</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ويكون لمن حفظ المنقول ورممه حق تتبع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لأن حق التتبع من مستلزمات هذا الحق</w:t>
      </w:r>
      <w:r>
        <w:rPr>
          <w:rFonts w:cs="Traditional Arabic" w:hint="cs"/>
          <w:color w:val="000000"/>
          <w:sz w:val="28"/>
          <w:szCs w:val="32"/>
          <w:rtl/>
        </w:rPr>
        <w:t xml:space="preserve"> ،</w:t>
      </w:r>
      <w:r w:rsidRPr="007C3EC7">
        <w:rPr>
          <w:rFonts w:cs="Traditional Arabic" w:hint="cs"/>
          <w:color w:val="000000"/>
          <w:sz w:val="28"/>
          <w:szCs w:val="32"/>
          <w:rtl/>
        </w:rPr>
        <w:t xml:space="preserve"> ما لم يقع الشيء في حيازة حائز حسن النية فيكون حق الحائز حسن النية مقدماً على حق حافظ المنقول ورممه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lastRenderedPageBreak/>
        <w:footnoteReference w:id="179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br w:type="page"/>
      </w:r>
      <w:r w:rsidRPr="007C3EC7">
        <w:rPr>
          <w:b/>
          <w:bCs/>
          <w:color w:val="000000"/>
          <w:sz w:val="28"/>
          <w:szCs w:val="32"/>
          <w:rtl/>
        </w:rPr>
        <w:lastRenderedPageBreak/>
        <w:t>§</w:t>
      </w:r>
      <w:r w:rsidRPr="007C3EC7">
        <w:rPr>
          <w:rFonts w:cs="Traditional Arabic" w:hint="cs"/>
          <w:b/>
          <w:bCs/>
          <w:color w:val="000000"/>
          <w:sz w:val="28"/>
          <w:szCs w:val="32"/>
          <w:rtl/>
        </w:rPr>
        <w:t xml:space="preserve"> 4- حقوق الامتياز العامة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685-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1141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يكون للحقوق الآتية امتياز على جميع أموال المدين من منقول وعقار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Pr>
          <w:rFonts w:cs="Traditional Arabic" w:hint="cs"/>
          <w:color w:val="000000"/>
          <w:sz w:val="28"/>
          <w:szCs w:val="32"/>
          <w:rtl/>
        </w:rPr>
        <w:t xml:space="preserve">( </w:t>
      </w:r>
      <w:r w:rsidRPr="007C3EC7">
        <w:rPr>
          <w:rFonts w:cs="Traditional Arabic" w:hint="cs"/>
          <w:color w:val="000000"/>
          <w:sz w:val="28"/>
          <w:szCs w:val="32"/>
          <w:rtl/>
        </w:rPr>
        <w:t>أ</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المستحقة للخدم والكتبة والعمال وكل أجير آخر</w:t>
      </w:r>
      <w:r>
        <w:rPr>
          <w:rFonts w:cs="Traditional Arabic" w:hint="cs"/>
          <w:color w:val="000000"/>
          <w:sz w:val="28"/>
          <w:szCs w:val="32"/>
          <w:rtl/>
        </w:rPr>
        <w:t xml:space="preserve"> ،</w:t>
      </w:r>
      <w:r w:rsidRPr="007C3EC7">
        <w:rPr>
          <w:rFonts w:cs="Traditional Arabic" w:hint="cs"/>
          <w:color w:val="000000"/>
          <w:sz w:val="28"/>
          <w:szCs w:val="32"/>
          <w:rtl/>
        </w:rPr>
        <w:t xml:space="preserve"> من أجرهم ورواتبهم من أي نوع كل عن الستة الأشهر الأخيرة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Pr>
          <w:rFonts w:cs="Traditional Arabic" w:hint="cs"/>
          <w:color w:val="000000"/>
          <w:sz w:val="28"/>
          <w:szCs w:val="32"/>
          <w:rtl/>
        </w:rPr>
        <w:t xml:space="preserve">( </w:t>
      </w:r>
      <w:r w:rsidRPr="007C3EC7">
        <w:rPr>
          <w:rFonts w:cs="Traditional Arabic" w:hint="cs"/>
          <w:color w:val="000000"/>
          <w:sz w:val="28"/>
          <w:szCs w:val="32"/>
          <w:rtl/>
        </w:rPr>
        <w:t>ب</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المستحقة عما تم توريده للمدين ومن يعوله من مأكل وملبس في الستة الأشهر الأخيرة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Pr>
          <w:rFonts w:cs="Traditional Arabic" w:hint="cs"/>
          <w:color w:val="000000"/>
          <w:sz w:val="28"/>
          <w:szCs w:val="32"/>
          <w:rtl/>
        </w:rPr>
        <w:t xml:space="preserve">( </w:t>
      </w:r>
      <w:r w:rsidRPr="007C3EC7">
        <w:rPr>
          <w:rFonts w:cs="Traditional Arabic" w:hint="cs"/>
          <w:color w:val="000000"/>
          <w:sz w:val="28"/>
          <w:szCs w:val="32"/>
          <w:rtl/>
        </w:rPr>
        <w:t>ج</w:t>
      </w:r>
      <w:r>
        <w:rPr>
          <w:rFonts w:cs="Traditional Arabic" w:hint="cs"/>
          <w:color w:val="000000"/>
          <w:sz w:val="28"/>
          <w:szCs w:val="32"/>
          <w:rtl/>
        </w:rPr>
        <w:t xml:space="preserve"> )</w:t>
      </w:r>
      <w:r w:rsidRPr="007C3EC7">
        <w:rPr>
          <w:rFonts w:cs="Traditional Arabic" w:hint="cs"/>
          <w:color w:val="000000"/>
          <w:sz w:val="28"/>
          <w:szCs w:val="32"/>
          <w:rtl/>
        </w:rPr>
        <w:t xml:space="preserve"> النفقة المستحقة في ذمة المدين لأقاربه عن ستة الأشهر الأخيرة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وستوفي هذه المبالغ مباشرة بعد المصروفات القضائية والمبالغ المستحقة للخزانة العامة ومصروفات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أو يما بينها فتستوي بنسبة كل منها"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$957 وجاء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"الحقوق الممتاز" هي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1 </w:t>
      </w:r>
      <w:r w:rsidRPr="007C3EC7">
        <w:rPr>
          <w:rFonts w:cs="Traditional Arabic"/>
          <w:color w:val="000000"/>
          <w:sz w:val="28"/>
          <w:szCs w:val="32"/>
          <w:rtl/>
        </w:rPr>
        <w:t>–</w:t>
      </w:r>
      <w:r w:rsidRPr="007C3EC7">
        <w:rPr>
          <w:rFonts w:cs="Traditional Arabic" w:hint="cs"/>
          <w:color w:val="000000"/>
          <w:sz w:val="28"/>
          <w:szCs w:val="32"/>
          <w:rtl/>
        </w:rPr>
        <w:t xml:space="preserve"> المبالغ المستحقة للخدمة والكتبة والعمال وكل أجير آخر عن أجرهم $958 ومرتباتهم من أي نوع مكان في الستة الشهور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فيتشرط أن يكون الدائن أجيراً</w:t>
      </w:r>
      <w:r>
        <w:rPr>
          <w:rFonts w:cs="Traditional Arabic" w:hint="cs"/>
          <w:color w:val="000000"/>
          <w:sz w:val="28"/>
          <w:szCs w:val="32"/>
          <w:rtl/>
        </w:rPr>
        <w:t xml:space="preserve"> ،</w:t>
      </w:r>
      <w:r w:rsidRPr="007C3EC7">
        <w:rPr>
          <w:rFonts w:cs="Traditional Arabic" w:hint="cs"/>
          <w:color w:val="000000"/>
          <w:sz w:val="28"/>
          <w:szCs w:val="32"/>
          <w:rtl/>
        </w:rPr>
        <w:t xml:space="preserve"> فيدخل الخادم والطاهي والبواب وسائق السيارة وخادم المزرعة والسكرتير الخاص والموظف ومربي الأطفال والوكيل المأجور والكاتب والعامل</w:t>
      </w:r>
      <w:r>
        <w:rPr>
          <w:rFonts w:cs="Traditional Arabic" w:hint="cs"/>
          <w:color w:val="000000"/>
          <w:sz w:val="28"/>
          <w:szCs w:val="32"/>
          <w:rtl/>
        </w:rPr>
        <w:t xml:space="preserve"> .</w:t>
      </w:r>
      <w:r w:rsidRPr="007C3EC7">
        <w:rPr>
          <w:rFonts w:cs="Traditional Arabic" w:hint="cs"/>
          <w:color w:val="000000"/>
          <w:sz w:val="28"/>
          <w:szCs w:val="32"/>
          <w:rtl/>
        </w:rPr>
        <w:t xml:space="preserve"> ويلاحظ أن عبارة المشروع أوسع من عبارة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r w:rsidRPr="007C3EC7">
        <w:rPr>
          <w:rFonts w:cs="Traditional Arabic" w:hint="cs"/>
          <w:color w:val="000000"/>
          <w:sz w:val="28"/>
          <w:szCs w:val="32"/>
          <w:rtl/>
        </w:rPr>
        <w:t xml:space="preserve"> وقد قصرت الأجرة للجميع على ستة أشهر</w:t>
      </w:r>
      <w:r>
        <w:rPr>
          <w:rFonts w:cs="Traditional Arabic" w:hint="cs"/>
          <w:color w:val="000000"/>
          <w:sz w:val="28"/>
          <w:szCs w:val="32"/>
          <w:rtl/>
        </w:rPr>
        <w:t xml:space="preserve"> ،</w:t>
      </w:r>
      <w:r w:rsidRPr="007C3EC7">
        <w:rPr>
          <w:rFonts w:cs="Traditional Arabic" w:hint="cs"/>
          <w:color w:val="000000"/>
          <w:sz w:val="28"/>
          <w:szCs w:val="32"/>
          <w:rtl/>
        </w:rPr>
        <w:t xml:space="preserve"> بدلا من سنة للبعض وستة أشهر للبعض الآخر كما هو الأمر في التقنين الحالية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r w:rsidRPr="007C3EC7">
        <w:rPr>
          <w:rFonts w:cs="Traditional Arabic" w:hint="cs"/>
          <w:color w:val="000000"/>
          <w:sz w:val="28"/>
          <w:szCs w:val="32"/>
          <w:rtl/>
        </w:rPr>
        <w:t xml:space="preserve"> وقد زال بذلك التناقض الموجود بين من 601 فقرة 3/727 فقرة 2 و م 209/273 في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المبالغ المستحقة عما ورد للمدين ولمن يعوله من مأكل وملبس في الستة الشهور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فإذا </w:t>
      </w:r>
      <w:r w:rsidRPr="007C3EC7">
        <w:rPr>
          <w:rFonts w:cs="Traditional Arabic" w:hint="cs"/>
          <w:color w:val="000000"/>
          <w:sz w:val="28"/>
          <w:szCs w:val="32"/>
          <w:rtl/>
        </w:rPr>
        <w:lastRenderedPageBreak/>
        <w:t>استورد المدين مأكولات وملابس من التجار</w:t>
      </w:r>
      <w:r>
        <w:rPr>
          <w:rFonts w:cs="Traditional Arabic" w:hint="cs"/>
          <w:color w:val="000000"/>
          <w:sz w:val="28"/>
          <w:szCs w:val="32"/>
          <w:rtl/>
        </w:rPr>
        <w:t xml:space="preserve"> ،</w:t>
      </w:r>
      <w:r w:rsidRPr="007C3EC7">
        <w:rPr>
          <w:rFonts w:cs="Traditional Arabic" w:hint="cs"/>
          <w:color w:val="000000"/>
          <w:sz w:val="28"/>
          <w:szCs w:val="32"/>
          <w:rtl/>
        </w:rPr>
        <w:t xml:space="preserve"> فما يبقى من ثمنها ديناً في ذمته عن مدة لا تزيد عن الستة الشهور الأخيرة يكون ممتازاً</w:t>
      </w:r>
      <w:r>
        <w:rPr>
          <w:rFonts w:cs="Traditional Arabic" w:hint="cs"/>
          <w:color w:val="000000"/>
          <w:sz w:val="28"/>
          <w:szCs w:val="32"/>
          <w:rtl/>
        </w:rPr>
        <w:t xml:space="preserve"> .</w:t>
      </w:r>
      <w:r w:rsidRPr="007C3EC7">
        <w:rPr>
          <w:rFonts w:cs="Traditional Arabic" w:hint="cs"/>
          <w:color w:val="000000"/>
          <w:sz w:val="28"/>
          <w:szCs w:val="32"/>
          <w:rtl/>
        </w:rPr>
        <w:t xml:space="preserve"> وقد تقدم أن هذا الدين يسقط بمضي سنة</w:t>
      </w:r>
      <w:r>
        <w:rPr>
          <w:rFonts w:cs="Traditional Arabic" w:hint="cs"/>
          <w:color w:val="000000"/>
          <w:sz w:val="28"/>
          <w:szCs w:val="32"/>
          <w:rtl/>
        </w:rPr>
        <w:t xml:space="preserve"> ،</w:t>
      </w:r>
      <w:r w:rsidRPr="007C3EC7">
        <w:rPr>
          <w:rFonts w:cs="Traditional Arabic" w:hint="cs"/>
          <w:color w:val="000000"/>
          <w:sz w:val="28"/>
          <w:szCs w:val="32"/>
          <w:rtl/>
        </w:rPr>
        <w:t xml:space="preserve"> فالمستحق من أكثر من سنة يسقط منه ما زاد عن السنة</w:t>
      </w:r>
      <w:r>
        <w:rPr>
          <w:rFonts w:cs="Traditional Arabic" w:hint="cs"/>
          <w:color w:val="000000"/>
          <w:sz w:val="28"/>
          <w:szCs w:val="32"/>
          <w:rtl/>
        </w:rPr>
        <w:t xml:space="preserve"> ،</w:t>
      </w:r>
      <w:r w:rsidRPr="007C3EC7">
        <w:rPr>
          <w:rFonts w:cs="Traditional Arabic" w:hint="cs"/>
          <w:color w:val="000000"/>
          <w:sz w:val="28"/>
          <w:szCs w:val="32"/>
          <w:rtl/>
        </w:rPr>
        <w:t xml:space="preserve"> وما كان في حدود السنة نصفه غير ممتاز ونصفه ممتاز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وكذلك الأمر بالنسبة للمبالغ المستحقة للأقارب</w:t>
      </w:r>
      <w:r>
        <w:rPr>
          <w:rFonts w:cs="Traditional Arabic" w:hint="cs"/>
          <w:color w:val="000000"/>
          <w:sz w:val="28"/>
          <w:szCs w:val="32"/>
          <w:rtl/>
        </w:rPr>
        <w:t xml:space="preserve"> ،</w:t>
      </w:r>
      <w:r w:rsidRPr="007C3EC7">
        <w:rPr>
          <w:rFonts w:cs="Traditional Arabic" w:hint="cs"/>
          <w:color w:val="000000"/>
          <w:sz w:val="28"/>
          <w:szCs w:val="32"/>
          <w:rtl/>
        </w:rPr>
        <w:t xml:space="preserve"> أي النفقة المستحقة في ذمة المدين لأقاربه عن الستة الشهور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ويدخل في ذلك نفقة الزوجة</w:t>
      </w:r>
      <w:r>
        <w:rPr>
          <w:rFonts w:cs="Traditional Arabic" w:hint="cs"/>
          <w:color w:val="000000"/>
          <w:sz w:val="28"/>
          <w:szCs w:val="32"/>
          <w:rtl/>
        </w:rPr>
        <w:t xml:space="preserve"> ،</w:t>
      </w:r>
      <w:r w:rsidRPr="007C3EC7">
        <w:rPr>
          <w:rFonts w:cs="Traditional Arabic" w:hint="cs"/>
          <w:color w:val="000000"/>
          <w:sz w:val="28"/>
          <w:szCs w:val="32"/>
          <w:rtl/>
        </w:rPr>
        <w:t xml:space="preserve"> ودين النفقة ممتاز وغير قابل للحجز عليه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جميع أموال المدين من عقار ومنقول</w:t>
      </w:r>
      <w:r>
        <w:rPr>
          <w:rFonts w:cs="Traditional Arabic" w:hint="cs"/>
          <w:color w:val="000000"/>
          <w:sz w:val="28"/>
          <w:szCs w:val="32"/>
          <w:rtl/>
        </w:rPr>
        <w:t xml:space="preserve"> ،</w:t>
      </w:r>
      <w:r w:rsidRPr="007C3EC7">
        <w:rPr>
          <w:rFonts w:cs="Traditional Arabic" w:hint="cs"/>
          <w:color w:val="000000"/>
          <w:sz w:val="28"/>
          <w:szCs w:val="32"/>
          <w:rtl/>
        </w:rPr>
        <w:t xml:space="preserve"> ولا يشهر الامتياز في العقار ولا تتبع فيه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الرابعة</w:t>
      </w:r>
      <w:r>
        <w:rPr>
          <w:rFonts w:cs="Traditional Arabic" w:hint="cs"/>
          <w:color w:val="000000"/>
          <w:sz w:val="28"/>
          <w:szCs w:val="32"/>
          <w:rtl/>
        </w:rPr>
        <w:t xml:space="preserve"> ،</w:t>
      </w:r>
      <w:r w:rsidRPr="007C3EC7">
        <w:rPr>
          <w:rFonts w:cs="Traditional Arabic" w:hint="cs"/>
          <w:color w:val="000000"/>
          <w:sz w:val="28"/>
          <w:szCs w:val="32"/>
          <w:rtl/>
        </w:rPr>
        <w:t xml:space="preserve"> بعد المصروفات القضائية ومبالغ الخزانة العامة ومصروفات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فتستوفي بنسبة كل منها"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$959 </w:t>
      </w:r>
      <w:r w:rsidRPr="007C3EC7">
        <w:rPr>
          <w:rFonts w:cs="Traditional Arabic" w:hint="cs"/>
          <w:b/>
          <w:bCs/>
          <w:color w:val="000000"/>
          <w:sz w:val="28"/>
          <w:szCs w:val="32"/>
          <w:rtl/>
        </w:rPr>
        <w:t>686- الحق الممتاز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الحق الممتاز هنا ديون متفرقة</w:t>
      </w:r>
      <w:r>
        <w:rPr>
          <w:rFonts w:cs="Traditional Arabic" w:hint="cs"/>
          <w:color w:val="000000"/>
          <w:sz w:val="28"/>
          <w:szCs w:val="32"/>
          <w:rtl/>
        </w:rPr>
        <w:t xml:space="preserve"> ،</w:t>
      </w:r>
      <w:r w:rsidRPr="007C3EC7">
        <w:rPr>
          <w:rFonts w:cs="Traditional Arabic" w:hint="cs"/>
          <w:color w:val="000000"/>
          <w:sz w:val="28"/>
          <w:szCs w:val="32"/>
          <w:rtl/>
        </w:rPr>
        <w:t xml:space="preserve"> وهي أنواع ثلاثة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أجر الخدم والكتبة والعمال وكل أجير آخر</w:t>
      </w:r>
      <w:r>
        <w:rPr>
          <w:rFonts w:cs="Traditional Arabic" w:hint="cs"/>
          <w:color w:val="000000"/>
          <w:sz w:val="28"/>
          <w:szCs w:val="32"/>
          <w:rtl/>
        </w:rPr>
        <w:t xml:space="preserve"> ،</w:t>
      </w:r>
      <w:r w:rsidRPr="007C3EC7">
        <w:rPr>
          <w:rFonts w:cs="Traditional Arabic" w:hint="cs"/>
          <w:color w:val="000000"/>
          <w:sz w:val="28"/>
          <w:szCs w:val="32"/>
          <w:rtl/>
        </w:rPr>
        <w:t xml:space="preserve"> عن الشهور الستة الأخيرة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المبالغ المستحقة لموردي المأكل والملبس</w:t>
      </w:r>
      <w:r>
        <w:rPr>
          <w:rFonts w:cs="Traditional Arabic" w:hint="cs"/>
          <w:color w:val="000000"/>
          <w:sz w:val="28"/>
          <w:szCs w:val="32"/>
          <w:rtl/>
        </w:rPr>
        <w:t xml:space="preserve"> ،</w:t>
      </w:r>
      <w:r w:rsidRPr="007C3EC7">
        <w:rPr>
          <w:rFonts w:cs="Traditional Arabic" w:hint="cs"/>
          <w:color w:val="000000"/>
          <w:sz w:val="28"/>
          <w:szCs w:val="32"/>
          <w:rtl/>
        </w:rPr>
        <w:t xml:space="preserve"> عن الشهور الستة الأخيرة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نفقة الزوجة والأقارب</w:t>
      </w:r>
      <w:r>
        <w:rPr>
          <w:rFonts w:cs="Traditional Arabic" w:hint="cs"/>
          <w:color w:val="000000"/>
          <w:sz w:val="28"/>
          <w:szCs w:val="32"/>
          <w:rtl/>
        </w:rPr>
        <w:t xml:space="preserve"> ،</w:t>
      </w:r>
      <w:r w:rsidRPr="007C3EC7">
        <w:rPr>
          <w:rFonts w:cs="Traditional Arabic" w:hint="cs"/>
          <w:color w:val="000000"/>
          <w:sz w:val="28"/>
          <w:szCs w:val="32"/>
          <w:rtl/>
        </w:rPr>
        <w:t xml:space="preserve"> عن الشهور الستة الأخيرة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687- أجر الخدم والكتبة والعمال وكل أجير آخر</w:t>
      </w:r>
      <w:r>
        <w:rPr>
          <w:rFonts w:cs="Traditional Arabic" w:hint="cs"/>
          <w:b/>
          <w:bCs/>
          <w:color w:val="000000"/>
          <w:sz w:val="28"/>
          <w:szCs w:val="32"/>
          <w:rtl/>
        </w:rPr>
        <w:t xml:space="preserve"> :</w:t>
      </w:r>
      <w:r w:rsidRPr="007C3EC7">
        <w:rPr>
          <w:rFonts w:cs="Traditional Arabic" w:hint="cs"/>
          <w:color w:val="000000"/>
          <w:sz w:val="28"/>
          <w:szCs w:val="32"/>
          <w:rtl/>
        </w:rPr>
        <w:t xml:space="preserve"> المبالغة المستحقة أجوراً لجميع الخدم والكتبة والعمال لوكل أجير آخر</w:t>
      </w:r>
      <w:r>
        <w:rPr>
          <w:rFonts w:cs="Traditional Arabic" w:hint="cs"/>
          <w:color w:val="000000"/>
          <w:sz w:val="28"/>
          <w:szCs w:val="32"/>
          <w:rtl/>
        </w:rPr>
        <w:t xml:space="preserve"> ،</w:t>
      </w:r>
      <w:r w:rsidRPr="007C3EC7">
        <w:rPr>
          <w:rFonts w:cs="Traditional Arabic" w:hint="cs"/>
          <w:color w:val="000000"/>
          <w:sz w:val="28"/>
          <w:szCs w:val="32"/>
          <w:rtl/>
        </w:rPr>
        <w:t xml:space="preserve"> عن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هي حقوق ممتازة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ويدخل في هؤلاء الأجراء</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كل من يؤجر عمله لخدمة شخص المخدوم وأسرته</w:t>
      </w:r>
      <w:r>
        <w:rPr>
          <w:rFonts w:cs="Traditional Arabic" w:hint="cs"/>
          <w:color w:val="000000"/>
          <w:sz w:val="28"/>
          <w:szCs w:val="32"/>
          <w:rtl/>
        </w:rPr>
        <w:t xml:space="preserve"> ،</w:t>
      </w:r>
      <w:r w:rsidRPr="007C3EC7">
        <w:rPr>
          <w:rFonts w:cs="Traditional Arabic" w:hint="cs"/>
          <w:color w:val="000000"/>
          <w:sz w:val="28"/>
          <w:szCs w:val="32"/>
          <w:rtl/>
        </w:rPr>
        <w:t xml:space="preserve"> فيدخل الخادم</w:t>
      </w:r>
      <w:r>
        <w:rPr>
          <w:rFonts w:cs="Traditional Arabic" w:hint="cs"/>
          <w:color w:val="000000"/>
          <w:sz w:val="28"/>
          <w:szCs w:val="32"/>
          <w:rtl/>
        </w:rPr>
        <w:t xml:space="preserve"> ،</w:t>
      </w:r>
      <w:r w:rsidRPr="007C3EC7">
        <w:rPr>
          <w:rFonts w:cs="Traditional Arabic" w:hint="cs"/>
          <w:color w:val="000000"/>
          <w:sz w:val="28"/>
          <w:szCs w:val="32"/>
          <w:rtl/>
        </w:rPr>
        <w:t xml:space="preserve"> والطاهي</w:t>
      </w:r>
      <w:r>
        <w:rPr>
          <w:rFonts w:cs="Traditional Arabic" w:hint="cs"/>
          <w:color w:val="000000"/>
          <w:sz w:val="28"/>
          <w:szCs w:val="32"/>
          <w:rtl/>
        </w:rPr>
        <w:t xml:space="preserve"> ،</w:t>
      </w:r>
      <w:r w:rsidRPr="007C3EC7">
        <w:rPr>
          <w:rFonts w:cs="Traditional Arabic" w:hint="cs"/>
          <w:color w:val="000000"/>
          <w:sz w:val="28"/>
          <w:szCs w:val="32"/>
          <w:rtl/>
        </w:rPr>
        <w:t xml:space="preserve"> وسائق السيارة</w:t>
      </w:r>
      <w:r>
        <w:rPr>
          <w:rFonts w:cs="Traditional Arabic" w:hint="cs"/>
          <w:color w:val="000000"/>
          <w:sz w:val="28"/>
          <w:szCs w:val="32"/>
          <w:rtl/>
        </w:rPr>
        <w:t xml:space="preserve"> ،</w:t>
      </w:r>
      <w:r w:rsidRPr="007C3EC7">
        <w:rPr>
          <w:rFonts w:cs="Traditional Arabic" w:hint="cs"/>
          <w:color w:val="000000"/>
          <w:sz w:val="28"/>
          <w:szCs w:val="32"/>
          <w:rtl/>
        </w:rPr>
        <w:t xml:space="preserve"> والبواب</w:t>
      </w:r>
      <w:r>
        <w:rPr>
          <w:rFonts w:cs="Traditional Arabic" w:hint="cs"/>
          <w:color w:val="000000"/>
          <w:sz w:val="28"/>
          <w:szCs w:val="32"/>
          <w:rtl/>
        </w:rPr>
        <w:t xml:space="preserve"> ،</w:t>
      </w:r>
      <w:r w:rsidRPr="007C3EC7">
        <w:rPr>
          <w:rFonts w:cs="Traditional Arabic" w:hint="cs"/>
          <w:color w:val="000000"/>
          <w:sz w:val="28"/>
          <w:szCs w:val="32"/>
          <w:rtl/>
        </w:rPr>
        <w:t xml:space="preserve"> ومربي الأطفال</w:t>
      </w:r>
      <w:r>
        <w:rPr>
          <w:rFonts w:cs="Traditional Arabic" w:hint="cs"/>
          <w:color w:val="000000"/>
          <w:sz w:val="28"/>
          <w:szCs w:val="32"/>
          <w:rtl/>
        </w:rPr>
        <w:t xml:space="preserve"> ،</w:t>
      </w:r>
      <w:r w:rsidRPr="007C3EC7">
        <w:rPr>
          <w:rFonts w:cs="Traditional Arabic" w:hint="cs"/>
          <w:color w:val="000000"/>
          <w:sz w:val="28"/>
          <w:szCs w:val="32"/>
          <w:rtl/>
        </w:rPr>
        <w:t xml:space="preserve"> والفراش</w:t>
      </w:r>
      <w:r>
        <w:rPr>
          <w:rFonts w:cs="Traditional Arabic" w:hint="cs"/>
          <w:color w:val="000000"/>
          <w:sz w:val="28"/>
          <w:szCs w:val="32"/>
          <w:rtl/>
        </w:rPr>
        <w:t xml:space="preserve"> ،</w:t>
      </w:r>
      <w:r w:rsidRPr="007C3EC7">
        <w:rPr>
          <w:rFonts w:cs="Traditional Arabic" w:hint="cs"/>
          <w:color w:val="000000"/>
          <w:sz w:val="28"/>
          <w:szCs w:val="32"/>
          <w:rtl/>
        </w:rPr>
        <w:t xml:space="preserve"> والمرضع</w:t>
      </w:r>
      <w:r>
        <w:rPr>
          <w:rFonts w:cs="Traditional Arabic" w:hint="cs"/>
          <w:color w:val="000000"/>
          <w:sz w:val="28"/>
          <w:szCs w:val="32"/>
          <w:rtl/>
        </w:rPr>
        <w:t xml:space="preserve"> ،</w:t>
      </w:r>
      <w:r w:rsidRPr="007C3EC7">
        <w:rPr>
          <w:rFonts w:cs="Traditional Arabic" w:hint="cs"/>
          <w:color w:val="000000"/>
          <w:sz w:val="28"/>
          <w:szCs w:val="32"/>
          <w:rtl/>
        </w:rPr>
        <w:t xml:space="preserve"> والبستاني</w:t>
      </w:r>
      <w:r>
        <w:rPr>
          <w:rFonts w:cs="Traditional Arabic" w:hint="cs"/>
          <w:color w:val="000000"/>
          <w:sz w:val="28"/>
          <w:szCs w:val="32"/>
          <w:rtl/>
        </w:rPr>
        <w:t xml:space="preserve"> ،</w:t>
      </w:r>
      <w:r w:rsidRPr="007C3EC7">
        <w:rPr>
          <w:rFonts w:cs="Traditional Arabic" w:hint="cs"/>
          <w:color w:val="000000"/>
          <w:sz w:val="28"/>
          <w:szCs w:val="32"/>
          <w:rtl/>
        </w:rPr>
        <w:t xml:space="preserve"> وكل أجير آخر يعمل في خدمة شخص المخدوم وأسرته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كل من يؤجر عمله كعامل أو كاتب</w:t>
      </w:r>
      <w:r>
        <w:rPr>
          <w:rFonts w:cs="Traditional Arabic" w:hint="cs"/>
          <w:color w:val="000000"/>
          <w:sz w:val="28"/>
          <w:szCs w:val="32"/>
          <w:rtl/>
        </w:rPr>
        <w:t xml:space="preserve"> ،</w:t>
      </w:r>
      <w:r w:rsidRPr="007C3EC7">
        <w:rPr>
          <w:rFonts w:cs="Traditional Arabic" w:hint="cs"/>
          <w:color w:val="000000"/>
          <w:sz w:val="28"/>
          <w:szCs w:val="32"/>
          <w:rtl/>
        </w:rPr>
        <w:t xml:space="preserve"> فيدخل العامل</w:t>
      </w:r>
      <w:r>
        <w:rPr>
          <w:rFonts w:cs="Traditional Arabic" w:hint="cs"/>
          <w:color w:val="000000"/>
          <w:sz w:val="28"/>
          <w:szCs w:val="32"/>
          <w:rtl/>
        </w:rPr>
        <w:t xml:space="preserve"> ،</w:t>
      </w:r>
      <w:r w:rsidRPr="007C3EC7">
        <w:rPr>
          <w:rFonts w:cs="Traditional Arabic" w:hint="cs"/>
          <w:color w:val="000000"/>
          <w:sz w:val="28"/>
          <w:szCs w:val="32"/>
          <w:rtl/>
        </w:rPr>
        <w:t xml:space="preserve"> والراعي</w:t>
      </w:r>
      <w:r>
        <w:rPr>
          <w:rFonts w:cs="Traditional Arabic" w:hint="cs"/>
          <w:color w:val="000000"/>
          <w:sz w:val="28"/>
          <w:szCs w:val="32"/>
          <w:rtl/>
        </w:rPr>
        <w:t xml:space="preserve"> ،</w:t>
      </w:r>
      <w:r w:rsidRPr="007C3EC7">
        <w:rPr>
          <w:rFonts w:cs="Traditional Arabic" w:hint="cs"/>
          <w:color w:val="000000"/>
          <w:sz w:val="28"/>
          <w:szCs w:val="32"/>
          <w:rtl/>
        </w:rPr>
        <w:t xml:space="preserve"> وخادم المزرعة</w:t>
      </w:r>
      <w:r>
        <w:rPr>
          <w:rFonts w:cs="Traditional Arabic" w:hint="cs"/>
          <w:color w:val="000000"/>
          <w:sz w:val="28"/>
          <w:szCs w:val="32"/>
          <w:rtl/>
        </w:rPr>
        <w:t xml:space="preserve"> ،</w:t>
      </w:r>
      <w:r w:rsidRPr="007C3EC7">
        <w:rPr>
          <w:rFonts w:cs="Traditional Arabic" w:hint="cs"/>
          <w:color w:val="000000"/>
          <w:sz w:val="28"/>
          <w:szCs w:val="32"/>
          <w:rtl/>
        </w:rPr>
        <w:t xml:space="preserve"> والكاتب</w:t>
      </w:r>
      <w:r>
        <w:rPr>
          <w:rFonts w:cs="Traditional Arabic" w:hint="cs"/>
          <w:color w:val="000000"/>
          <w:sz w:val="28"/>
          <w:szCs w:val="32"/>
          <w:rtl/>
        </w:rPr>
        <w:t xml:space="preserve"> ،</w:t>
      </w:r>
      <w:r w:rsidRPr="007C3EC7">
        <w:rPr>
          <w:rFonts w:cs="Traditional Arabic" w:hint="cs"/>
          <w:color w:val="000000"/>
          <w:sz w:val="28"/>
          <w:szCs w:val="32"/>
          <w:rtl/>
        </w:rPr>
        <w:t xml:space="preserve"> وجميع المستخدمين الذين يشتغلون في عمل مدني أو صناعي أو تجار أو زراعي</w:t>
      </w:r>
      <w:r>
        <w:rPr>
          <w:rFonts w:cs="Traditional Arabic" w:hint="cs"/>
          <w:color w:val="000000"/>
          <w:sz w:val="28"/>
          <w:szCs w:val="32"/>
          <w:rtl/>
        </w:rPr>
        <w:t xml:space="preserve"> .</w:t>
      </w:r>
      <w:r w:rsidRPr="007C3EC7">
        <w:rPr>
          <w:rFonts w:cs="Traditional Arabic" w:hint="cs"/>
          <w:color w:val="000000"/>
          <w:sz w:val="28"/>
          <w:szCs w:val="32"/>
          <w:rtl/>
        </w:rPr>
        <w:t xml:space="preserve"> فيدخل عمال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والخولى</w:t>
      </w:r>
      <w:r>
        <w:rPr>
          <w:rFonts w:cs="Traditional Arabic" w:hint="cs"/>
          <w:color w:val="000000"/>
          <w:sz w:val="28"/>
          <w:szCs w:val="32"/>
          <w:rtl/>
        </w:rPr>
        <w:t xml:space="preserve"> ،</w:t>
      </w:r>
      <w:r w:rsidRPr="007C3EC7">
        <w:rPr>
          <w:rFonts w:cs="Traditional Arabic" w:hint="cs"/>
          <w:color w:val="000000"/>
          <w:sz w:val="28"/>
          <w:szCs w:val="32"/>
          <w:rtl/>
        </w:rPr>
        <w:t xml:space="preserve"> والسكرتير</w:t>
      </w:r>
      <w:r>
        <w:rPr>
          <w:rFonts w:cs="Traditional Arabic" w:hint="cs"/>
          <w:color w:val="000000"/>
          <w:sz w:val="28"/>
          <w:szCs w:val="32"/>
          <w:rtl/>
        </w:rPr>
        <w:t xml:space="preserve"> ،</w:t>
      </w:r>
      <w:r w:rsidRPr="007C3EC7">
        <w:rPr>
          <w:rFonts w:cs="Traditional Arabic" w:hint="cs"/>
          <w:color w:val="000000"/>
          <w:sz w:val="28"/>
          <w:szCs w:val="32"/>
          <w:rtl/>
        </w:rPr>
        <w:t xml:space="preserve"> والوكلاء المأجورون</w:t>
      </w:r>
      <w:r>
        <w:rPr>
          <w:rFonts w:cs="Traditional Arabic" w:hint="cs"/>
          <w:color w:val="000000"/>
          <w:sz w:val="28"/>
          <w:szCs w:val="32"/>
          <w:rtl/>
        </w:rPr>
        <w:t xml:space="preserve"> ،</w:t>
      </w:r>
      <w:r w:rsidRPr="007C3EC7">
        <w:rPr>
          <w:rFonts w:cs="Traditional Arabic" w:hint="cs"/>
          <w:color w:val="000000"/>
          <w:sz w:val="28"/>
          <w:szCs w:val="32"/>
          <w:rtl/>
        </w:rPr>
        <w:t xml:space="preserve"> وغير هؤلاء ممن يؤجرون عملهم بالسعة أو باليوم أو بالأسبوع أو بالشهر أو بغير ذلك</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$960 ولا يدخل الممثلون</w:t>
      </w:r>
      <w:r>
        <w:rPr>
          <w:rFonts w:cs="Traditional Arabic" w:hint="cs"/>
          <w:color w:val="000000"/>
          <w:sz w:val="28"/>
          <w:szCs w:val="32"/>
          <w:rtl/>
        </w:rPr>
        <w:t xml:space="preserve"> ،</w:t>
      </w:r>
      <w:r w:rsidRPr="007C3EC7">
        <w:rPr>
          <w:rFonts w:cs="Traditional Arabic" w:hint="cs"/>
          <w:color w:val="000000"/>
          <w:sz w:val="28"/>
          <w:szCs w:val="32"/>
          <w:rtl/>
        </w:rPr>
        <w:t xml:space="preserve"> ولا العازفون على آلات الموسيقى</w:t>
      </w:r>
      <w:r>
        <w:rPr>
          <w:rFonts w:cs="Traditional Arabic" w:hint="cs"/>
          <w:color w:val="000000"/>
          <w:sz w:val="28"/>
          <w:szCs w:val="32"/>
          <w:rtl/>
        </w:rPr>
        <w:t xml:space="preserve"> ،</w:t>
      </w:r>
      <w:r w:rsidRPr="007C3EC7">
        <w:rPr>
          <w:rFonts w:cs="Traditional Arabic" w:hint="cs"/>
          <w:color w:val="000000"/>
          <w:sz w:val="28"/>
          <w:szCs w:val="32"/>
          <w:rtl/>
        </w:rPr>
        <w:t xml:space="preserve"> ولا المقاولون</w:t>
      </w:r>
      <w:r>
        <w:rPr>
          <w:rFonts w:cs="Traditional Arabic" w:hint="cs"/>
          <w:color w:val="000000"/>
          <w:sz w:val="28"/>
          <w:szCs w:val="32"/>
          <w:rtl/>
        </w:rPr>
        <w:t xml:space="preserve"> ،</w:t>
      </w:r>
      <w:r w:rsidRPr="007C3EC7">
        <w:rPr>
          <w:rFonts w:cs="Traditional Arabic" w:hint="cs"/>
          <w:color w:val="000000"/>
          <w:sz w:val="28"/>
          <w:szCs w:val="32"/>
          <w:rtl/>
        </w:rPr>
        <w:t xml:space="preserve"> ولا الموظفون العامون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ويدخل في حساب الأجر الذي يضمنه الامتياز كل ما يتقاضاه الأجير في مقابل عمله من راتب أو أجر</w:t>
      </w:r>
      <w:r>
        <w:rPr>
          <w:rFonts w:cs="Traditional Arabic" w:hint="cs"/>
          <w:color w:val="000000"/>
          <w:sz w:val="28"/>
          <w:szCs w:val="32"/>
          <w:rtl/>
        </w:rPr>
        <w:t xml:space="preserve"> ،</w:t>
      </w:r>
      <w:r w:rsidRPr="007C3EC7">
        <w:rPr>
          <w:rFonts w:cs="Traditional Arabic" w:hint="cs"/>
          <w:color w:val="000000"/>
          <w:sz w:val="28"/>
          <w:szCs w:val="32"/>
          <w:rtl/>
        </w:rPr>
        <w:t xml:space="preserve"> ومكافآت</w:t>
      </w:r>
      <w:r>
        <w:rPr>
          <w:rFonts w:cs="Traditional Arabic" w:hint="cs"/>
          <w:color w:val="000000"/>
          <w:sz w:val="28"/>
          <w:szCs w:val="32"/>
          <w:rtl/>
        </w:rPr>
        <w:t xml:space="preserve"> ،</w:t>
      </w:r>
      <w:r w:rsidRPr="007C3EC7">
        <w:rPr>
          <w:rFonts w:cs="Traditional Arabic" w:hint="cs"/>
          <w:color w:val="000000"/>
          <w:sz w:val="28"/>
          <w:szCs w:val="32"/>
          <w:rtl/>
        </w:rPr>
        <w:t xml:space="preserve"> وعلاوات غلاء</w:t>
      </w:r>
      <w:r>
        <w:rPr>
          <w:rFonts w:cs="Traditional Arabic" w:hint="cs"/>
          <w:color w:val="000000"/>
          <w:sz w:val="28"/>
          <w:szCs w:val="32"/>
          <w:rtl/>
        </w:rPr>
        <w:t xml:space="preserve"> ،</w:t>
      </w:r>
      <w:r w:rsidRPr="007C3EC7">
        <w:rPr>
          <w:rFonts w:cs="Traditional Arabic" w:hint="cs"/>
          <w:color w:val="000000"/>
          <w:sz w:val="28"/>
          <w:szCs w:val="32"/>
          <w:rtl/>
        </w:rPr>
        <w:t xml:space="preserve"> ونسب مئوية من ثمن المبيعات</w:t>
      </w:r>
      <w:r>
        <w:rPr>
          <w:rFonts w:cs="Traditional Arabic" w:hint="cs"/>
          <w:color w:val="000000"/>
          <w:sz w:val="28"/>
          <w:szCs w:val="32"/>
          <w:rtl/>
        </w:rPr>
        <w:t xml:space="preserve"> ،</w:t>
      </w:r>
      <w:r w:rsidRPr="007C3EC7">
        <w:rPr>
          <w:rFonts w:cs="Traditional Arabic" w:hint="cs"/>
          <w:color w:val="000000"/>
          <w:sz w:val="28"/>
          <w:szCs w:val="32"/>
          <w:rtl/>
        </w:rPr>
        <w:t xml:space="preserve"> وبدل انتقال وبدل سفر وبدل اغتراب</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 ولا تدخل التعويضات التي تستحق للأجير بسب فصله في وقت غي لائق</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المكافأة التي تستحق له عند انتهاء مدة خدمته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المصروفات القضائية التي أنفقها الأجير للحصول على حكم بأجرته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79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ما أنفقه الأجير في مصلحة رب العمل ولا ما قدمه له على سبل القرض</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ولا يضمن الامتياز من الأجر إلا ما يقابل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أي الستة الأشهر السابقة مباشرة لتاريخ الحادث الذي أدى إلى تصفية أموال المدين كالوفاة والإعسار وشهر الإفلاس</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فإذا لم يقع حادث من هذا النوع</w:t>
      </w:r>
      <w:r>
        <w:rPr>
          <w:rFonts w:cs="Traditional Arabic" w:hint="cs"/>
          <w:color w:val="000000"/>
          <w:sz w:val="28"/>
          <w:szCs w:val="32"/>
          <w:rtl/>
        </w:rPr>
        <w:t xml:space="preserve"> ،</w:t>
      </w:r>
      <w:r w:rsidRPr="007C3EC7">
        <w:rPr>
          <w:rFonts w:cs="Traditional Arabic" w:hint="cs"/>
          <w:color w:val="000000"/>
          <w:sz w:val="28"/>
          <w:szCs w:val="32"/>
          <w:rtl/>
        </w:rPr>
        <w:t xml:space="preserve"> وأريد استعمال حق الامتياز على ما لمعين من أموال المدين</w:t>
      </w:r>
      <w:r>
        <w:rPr>
          <w:rFonts w:cs="Traditional Arabic" w:hint="cs"/>
          <w:color w:val="000000"/>
          <w:sz w:val="28"/>
          <w:szCs w:val="32"/>
          <w:rtl/>
        </w:rPr>
        <w:t xml:space="preserve"> ،</w:t>
      </w:r>
      <w:r w:rsidRPr="007C3EC7">
        <w:rPr>
          <w:rFonts w:cs="Traditional Arabic" w:hint="cs"/>
          <w:color w:val="000000"/>
          <w:sz w:val="28"/>
          <w:szCs w:val="32"/>
          <w:rtl/>
        </w:rPr>
        <w:t xml:space="preserve"> $961 كانت الأجرة المضمونة بالامتياز هي أجرة الستة الأشهر السابقة على الحجز أو السابقة على البيع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أما ما يستحق للأجير بعد ذلك</w:t>
      </w:r>
      <w:r>
        <w:rPr>
          <w:rFonts w:cs="Traditional Arabic" w:hint="cs"/>
          <w:color w:val="000000"/>
          <w:sz w:val="28"/>
          <w:szCs w:val="32"/>
          <w:rtl/>
        </w:rPr>
        <w:t xml:space="preserve"> ،</w:t>
      </w:r>
      <w:r w:rsidRPr="007C3EC7">
        <w:rPr>
          <w:rFonts w:cs="Traditional Arabic" w:hint="cs"/>
          <w:color w:val="000000"/>
          <w:sz w:val="28"/>
          <w:szCs w:val="32"/>
          <w:rtl/>
        </w:rPr>
        <w:t xml:space="preserve"> فلا يكون له 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688- المبالغ المستحقة لموردي المأكل والملبس</w:t>
      </w:r>
      <w:r>
        <w:rPr>
          <w:rFonts w:cs="Traditional Arabic" w:hint="cs"/>
          <w:b/>
          <w:bCs/>
          <w:color w:val="000000"/>
          <w:sz w:val="28"/>
          <w:szCs w:val="32"/>
          <w:rtl/>
        </w:rPr>
        <w:t xml:space="preserve"> :</w:t>
      </w:r>
      <w:r w:rsidRPr="007C3EC7">
        <w:rPr>
          <w:rFonts w:cs="Traditional Arabic" w:hint="cs"/>
          <w:color w:val="000000"/>
          <w:sz w:val="28"/>
          <w:szCs w:val="32"/>
          <w:rtl/>
        </w:rPr>
        <w:t xml:space="preserve"> اختار القانون من الحاجات الضرورية المأكل والملبس وحدهما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فلا يشمل ذلك الحاجات الضرورية الأخرى</w:t>
      </w:r>
      <w:r>
        <w:rPr>
          <w:rFonts w:cs="Traditional Arabic" w:hint="cs"/>
          <w:color w:val="000000"/>
          <w:sz w:val="28"/>
          <w:szCs w:val="32"/>
          <w:rtl/>
        </w:rPr>
        <w:t xml:space="preserve"> ،</w:t>
      </w:r>
      <w:r w:rsidRPr="007C3EC7">
        <w:rPr>
          <w:rFonts w:cs="Traditional Arabic" w:hint="cs"/>
          <w:color w:val="000000"/>
          <w:sz w:val="28"/>
          <w:szCs w:val="32"/>
          <w:rtl/>
        </w:rPr>
        <w:t xml:space="preserve"> كالتدفئة وكالتهوية وكالأدوية وكأي نوع من الخدمات التي يحتاج إليها الإنسان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يضمن الامتياز المأكل والملبس</w:t>
      </w:r>
      <w:r>
        <w:rPr>
          <w:rFonts w:cs="Traditional Arabic" w:hint="cs"/>
          <w:color w:val="000000"/>
          <w:sz w:val="28"/>
          <w:szCs w:val="32"/>
          <w:rtl/>
        </w:rPr>
        <w:t xml:space="preserve"> ،</w:t>
      </w:r>
      <w:r w:rsidRPr="007C3EC7">
        <w:rPr>
          <w:rFonts w:cs="Traditional Arabic" w:hint="cs"/>
          <w:color w:val="000000"/>
          <w:sz w:val="28"/>
          <w:szCs w:val="32"/>
          <w:rtl/>
        </w:rPr>
        <w:t xml:space="preserve"> إلا إذا كان التوريد ممن يتجرون في ذلك</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ورد المأكل والملبس صديق أو جار لا يتجر</w:t>
      </w:r>
      <w:r>
        <w:rPr>
          <w:rFonts w:cs="Traditional Arabic" w:hint="cs"/>
          <w:color w:val="000000"/>
          <w:sz w:val="28"/>
          <w:szCs w:val="32"/>
          <w:rtl/>
        </w:rPr>
        <w:t xml:space="preserve"> ،</w:t>
      </w:r>
      <w:r w:rsidRPr="007C3EC7">
        <w:rPr>
          <w:rFonts w:cs="Traditional Arabic" w:hint="cs"/>
          <w:color w:val="000000"/>
          <w:sz w:val="28"/>
          <w:szCs w:val="32"/>
          <w:rtl/>
        </w:rPr>
        <w:t xml:space="preserve"> فلا يكون الثمن مضموناً بالامتياز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ومتى ورد المأكل والملبس تاجراً كان الثمن ممتازاً</w:t>
      </w:r>
      <w:r>
        <w:rPr>
          <w:rFonts w:cs="Traditional Arabic" w:hint="cs"/>
          <w:color w:val="000000"/>
          <w:sz w:val="28"/>
          <w:szCs w:val="32"/>
          <w:rtl/>
        </w:rPr>
        <w:t xml:space="preserve"> ،</w:t>
      </w:r>
      <w:r w:rsidRPr="007C3EC7">
        <w:rPr>
          <w:rFonts w:cs="Traditional Arabic" w:hint="cs"/>
          <w:color w:val="000000"/>
          <w:sz w:val="28"/>
          <w:szCs w:val="32"/>
          <w:rtl/>
        </w:rPr>
        <w:t xml:space="preserve"> ولو كان هذا التجار غير مقيد في السجل التجاري ولا يؤدي ضريبة الدخل على الأرباح التجارية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ويشترط أن يكون توريد المأكل والملبس لاستهلاكهما</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كان توريدهما للاتجار فيهما فلا يكون ثمنهما ممتازاً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وكذلك يشترط أن يكون التورد لاستعمال المدين شخصياً أو استعمال $962 من يعولهم المدين</w:t>
      </w:r>
      <w:r>
        <w:rPr>
          <w:rFonts w:cs="Traditional Arabic" w:hint="cs"/>
          <w:color w:val="000000"/>
          <w:sz w:val="28"/>
          <w:szCs w:val="32"/>
          <w:rtl/>
        </w:rPr>
        <w:t xml:space="preserve"> ،</w:t>
      </w:r>
      <w:r w:rsidRPr="007C3EC7">
        <w:rPr>
          <w:rFonts w:cs="Traditional Arabic" w:hint="cs"/>
          <w:color w:val="000000"/>
          <w:sz w:val="28"/>
          <w:szCs w:val="32"/>
          <w:rtl/>
        </w:rPr>
        <w:t xml:space="preserve"> كزوج المدين وأولاده ولو كانوا بالغين وأقاربه الذين يعولهم وخدمه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أما أولاده البالغون الذين يعولون أنفسهم وزوجته وأقاربه الذين يستحقون نفقة منه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فدين النفقة هو الممتاز كما سنرى</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والمأكل والملبس اللذان تم توريدهما في الستة الأشهر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يكون ثمنهما هو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والستة الأشهر هي السابقة مباشرة على الوفاة أو الإعسار أو الإفلاس</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أو السابقة مباشرة على الحجز أو البيع</w:t>
      </w:r>
      <w:r>
        <w:rPr>
          <w:rFonts w:cs="Traditional Arabic" w:hint="cs"/>
          <w:color w:val="000000"/>
          <w:sz w:val="28"/>
          <w:szCs w:val="32"/>
          <w:rtl/>
        </w:rPr>
        <w:t xml:space="preserve"> ،</w:t>
      </w:r>
      <w:r w:rsidRPr="007C3EC7">
        <w:rPr>
          <w:rFonts w:cs="Traditional Arabic" w:hint="cs"/>
          <w:color w:val="000000"/>
          <w:sz w:val="28"/>
          <w:szCs w:val="32"/>
          <w:rtl/>
        </w:rPr>
        <w:t xml:space="preserve"> أما بعد ذلك فلا تكون الأثمان ممتازة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0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689- نفقة الزوجة والأقارب</w:t>
      </w:r>
      <w:r>
        <w:rPr>
          <w:rFonts w:cs="Traditional Arabic" w:hint="cs"/>
          <w:b/>
          <w:bCs/>
          <w:color w:val="000000"/>
          <w:sz w:val="28"/>
          <w:szCs w:val="32"/>
          <w:rtl/>
        </w:rPr>
        <w:t xml:space="preserve"> :</w:t>
      </w:r>
      <w:r w:rsidRPr="007C3EC7">
        <w:rPr>
          <w:rFonts w:cs="Traditional Arabic" w:hint="cs"/>
          <w:color w:val="000000"/>
          <w:sz w:val="28"/>
          <w:szCs w:val="32"/>
          <w:rtl/>
        </w:rPr>
        <w:t xml:space="preserve"> ويجب أن تكون النفقة مستحقة في ذمة المدين</w:t>
      </w:r>
      <w:r>
        <w:rPr>
          <w:rFonts w:cs="Traditional Arabic" w:hint="cs"/>
          <w:color w:val="000000"/>
          <w:sz w:val="28"/>
          <w:szCs w:val="32"/>
          <w:rtl/>
        </w:rPr>
        <w:t xml:space="preserve"> ،</w:t>
      </w:r>
      <w:r w:rsidRPr="007C3EC7">
        <w:rPr>
          <w:rFonts w:cs="Traditional Arabic" w:hint="cs"/>
          <w:color w:val="000000"/>
          <w:sz w:val="28"/>
          <w:szCs w:val="32"/>
          <w:rtl/>
        </w:rPr>
        <w:t xml:space="preserve"> وهي لا تكون مستحقة إلا إذا كانت مقضياً بها أو كانت متفقاً عليها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ونفقة الأقارب مذكورة في النص صراحة</w:t>
      </w:r>
      <w:r>
        <w:rPr>
          <w:rFonts w:cs="Traditional Arabic" w:hint="cs"/>
          <w:color w:val="000000"/>
          <w:sz w:val="28"/>
          <w:szCs w:val="32"/>
          <w:rtl/>
        </w:rPr>
        <w:t xml:space="preserve"> ،</w:t>
      </w:r>
      <w:r w:rsidRPr="007C3EC7">
        <w:rPr>
          <w:rFonts w:cs="Traditional Arabic" w:hint="cs"/>
          <w:color w:val="000000"/>
          <w:sz w:val="28"/>
          <w:szCs w:val="32"/>
          <w:rtl/>
        </w:rPr>
        <w:t xml:space="preserve"> ولكن الامتياز يشمل أيضاً ومن باب أولى نفقة الزوجة</w:t>
      </w:r>
      <w:r>
        <w:rPr>
          <w:rFonts w:cs="Traditional Arabic" w:hint="cs"/>
          <w:color w:val="000000"/>
          <w:sz w:val="28"/>
          <w:szCs w:val="32"/>
          <w:rtl/>
        </w:rPr>
        <w:t xml:space="preserve"> .</w:t>
      </w:r>
      <w:r w:rsidRPr="007C3EC7">
        <w:rPr>
          <w:rFonts w:cs="Traditional Arabic" w:hint="cs"/>
          <w:color w:val="000000"/>
          <w:sz w:val="28"/>
          <w:szCs w:val="32"/>
          <w:rtl/>
        </w:rPr>
        <w:t xml:space="preserve"> فيؤخذ لفظ "الأقارب" بمعناه العام</w:t>
      </w:r>
      <w:r>
        <w:rPr>
          <w:rFonts w:cs="Traditional Arabic" w:hint="cs"/>
          <w:color w:val="000000"/>
          <w:sz w:val="28"/>
          <w:szCs w:val="32"/>
          <w:rtl/>
        </w:rPr>
        <w:t xml:space="preserve"> ،</w:t>
      </w:r>
      <w:r w:rsidRPr="007C3EC7">
        <w:rPr>
          <w:rFonts w:cs="Traditional Arabic" w:hint="cs"/>
          <w:color w:val="000000"/>
          <w:sz w:val="28"/>
          <w:szCs w:val="32"/>
          <w:rtl/>
        </w:rPr>
        <w:t xml:space="preserve"> بحيث تدخل الزوجة ضمن الأقارب</w:t>
      </w:r>
      <w:r>
        <w:rPr>
          <w:rFonts w:cs="Traditional Arabic" w:hint="cs"/>
          <w:color w:val="000000"/>
          <w:sz w:val="28"/>
          <w:szCs w:val="32"/>
          <w:rtl/>
        </w:rPr>
        <w:t xml:space="preserve"> .</w:t>
      </w:r>
      <w:r w:rsidRPr="007C3EC7">
        <w:rPr>
          <w:rFonts w:cs="Traditional Arabic" w:hint="cs"/>
          <w:color w:val="000000"/>
          <w:sz w:val="28"/>
          <w:szCs w:val="32"/>
          <w:rtl/>
        </w:rPr>
        <w:t xml:space="preserve"> وقد جاء في مذكرة المروع </w:t>
      </w:r>
      <w:r w:rsidRPr="007C3EC7">
        <w:rPr>
          <w:rFonts w:cs="Traditional Arabic" w:hint="cs"/>
          <w:color w:val="000000"/>
          <w:sz w:val="28"/>
          <w:szCs w:val="32"/>
          <w:rtl/>
        </w:rPr>
        <w:lastRenderedPageBreak/>
        <w:t>التمهيدي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"النفقة المستحقة في ذمة المدين لأقاربه عن الستة الشهور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ويدخل في ذلك نفقة الزوجة </w:t>
      </w:r>
      <w:r>
        <w:rPr>
          <w:rFonts w:cs="Traditional Arabic" w:hint="cs"/>
          <w:color w:val="000000"/>
          <w:sz w:val="28"/>
          <w:szCs w:val="32"/>
          <w:rtl/>
        </w:rPr>
        <w:t xml:space="preserve"> . . . .</w:t>
      </w:r>
      <w:r w:rsidRPr="007C3EC7">
        <w:rPr>
          <w:rFonts w:cs="Traditional Arabic" w:hint="cs"/>
          <w:color w:val="000000"/>
          <w:sz w:val="28"/>
          <w:szCs w:val="32"/>
          <w:rtl/>
        </w:rPr>
        <w:t>"</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ويجب</w:t>
      </w:r>
      <w:r>
        <w:rPr>
          <w:rFonts w:cs="Traditional Arabic" w:hint="cs"/>
          <w:color w:val="000000"/>
          <w:sz w:val="28"/>
          <w:szCs w:val="32"/>
          <w:rtl/>
        </w:rPr>
        <w:t xml:space="preserve"> ،</w:t>
      </w:r>
      <w:r w:rsidRPr="007C3EC7">
        <w:rPr>
          <w:rFonts w:cs="Traditional Arabic" w:hint="cs"/>
          <w:color w:val="000000"/>
          <w:sz w:val="28"/>
          <w:szCs w:val="32"/>
          <w:rtl/>
        </w:rPr>
        <w:t xml:space="preserve"> حتى تكون النفقة ممتازة</w:t>
      </w:r>
      <w:r>
        <w:rPr>
          <w:rFonts w:cs="Traditional Arabic" w:hint="cs"/>
          <w:color w:val="000000"/>
          <w:sz w:val="28"/>
          <w:szCs w:val="32"/>
          <w:rtl/>
        </w:rPr>
        <w:t xml:space="preserve"> ،</w:t>
      </w:r>
      <w:r w:rsidRPr="007C3EC7">
        <w:rPr>
          <w:rFonts w:cs="Traditional Arabic" w:hint="cs"/>
          <w:color w:val="000000"/>
          <w:sz w:val="28"/>
          <w:szCs w:val="32"/>
          <w:rtl/>
        </w:rPr>
        <w:t xml:space="preserve"> أن تكون مستحقة عن الستة الشهور الأخيرة</w:t>
      </w:r>
      <w:r>
        <w:rPr>
          <w:rFonts w:cs="Traditional Arabic" w:hint="cs"/>
          <w:color w:val="000000"/>
          <w:sz w:val="28"/>
          <w:szCs w:val="32"/>
          <w:rtl/>
        </w:rPr>
        <w:t xml:space="preserve"> ،</w:t>
      </w:r>
      <w:r w:rsidRPr="007C3EC7">
        <w:rPr>
          <w:rFonts w:cs="Traditional Arabic" w:hint="cs"/>
          <w:color w:val="000000"/>
          <w:sz w:val="28"/>
          <w:szCs w:val="32"/>
          <w:rtl/>
        </w:rPr>
        <w:t xml:space="preserve"> أي السابقة مباشرة على الوفاة أو الإعسار أو الإفلاس أو الحجز أو البيع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$963 </w:t>
      </w:r>
      <w:r w:rsidRPr="007C3EC7">
        <w:rPr>
          <w:rFonts w:cs="Traditional Arabic" w:hint="cs"/>
          <w:b/>
          <w:bCs/>
          <w:color w:val="000000"/>
          <w:sz w:val="28"/>
          <w:szCs w:val="32"/>
          <w:rtl/>
        </w:rPr>
        <w:t>690- محل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يرد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بجميع أنواعه الثلاثة </w:t>
      </w:r>
      <w:r>
        <w:rPr>
          <w:rFonts w:cs="Traditional Arabic" w:hint="cs"/>
          <w:color w:val="000000"/>
          <w:sz w:val="28"/>
          <w:szCs w:val="32"/>
          <w:rtl/>
        </w:rPr>
        <w:t xml:space="preserve">( </w:t>
      </w:r>
      <w:r w:rsidRPr="007C3EC7">
        <w:rPr>
          <w:rFonts w:cs="Traditional Arabic" w:hint="cs"/>
          <w:color w:val="000000"/>
          <w:sz w:val="28"/>
          <w:szCs w:val="32"/>
          <w:rtl/>
        </w:rPr>
        <w:t>الأجراء</w:t>
      </w:r>
      <w:r>
        <w:rPr>
          <w:rFonts w:cs="Traditional Arabic" w:hint="cs"/>
          <w:color w:val="000000"/>
          <w:sz w:val="28"/>
          <w:szCs w:val="32"/>
          <w:rtl/>
        </w:rPr>
        <w:t xml:space="preserve"> ،</w:t>
      </w:r>
      <w:r w:rsidRPr="007C3EC7">
        <w:rPr>
          <w:rFonts w:cs="Traditional Arabic" w:hint="cs"/>
          <w:color w:val="000000"/>
          <w:sz w:val="28"/>
          <w:szCs w:val="32"/>
          <w:rtl/>
        </w:rPr>
        <w:t xml:space="preserve"> والمأكل والملبس</w:t>
      </w:r>
      <w:r>
        <w:rPr>
          <w:rFonts w:cs="Traditional Arabic" w:hint="cs"/>
          <w:color w:val="000000"/>
          <w:sz w:val="28"/>
          <w:szCs w:val="32"/>
          <w:rtl/>
        </w:rPr>
        <w:t xml:space="preserve"> ،</w:t>
      </w:r>
      <w:r w:rsidRPr="007C3EC7">
        <w:rPr>
          <w:rFonts w:cs="Traditional Arabic" w:hint="cs"/>
          <w:color w:val="000000"/>
          <w:sz w:val="28"/>
          <w:szCs w:val="32"/>
          <w:rtl/>
        </w:rPr>
        <w:t xml:space="preserve"> والنفقة</w:t>
      </w:r>
      <w:r>
        <w:rPr>
          <w:rFonts w:cs="Traditional Arabic" w:hint="cs"/>
          <w:color w:val="000000"/>
          <w:sz w:val="28"/>
          <w:szCs w:val="32"/>
          <w:rtl/>
        </w:rPr>
        <w:t xml:space="preserve"> ) ،</w:t>
      </w:r>
      <w:r w:rsidRPr="007C3EC7">
        <w:rPr>
          <w:rFonts w:cs="Traditional Arabic" w:hint="cs"/>
          <w:color w:val="000000"/>
          <w:sz w:val="28"/>
          <w:szCs w:val="32"/>
          <w:rtl/>
        </w:rPr>
        <w:t xml:space="preserve"> على جميع أموال المدين من عقار منقول</w:t>
      </w:r>
      <w:r>
        <w:rPr>
          <w:rFonts w:cs="Traditional Arabic" w:hint="cs"/>
          <w:color w:val="000000"/>
          <w:sz w:val="28"/>
          <w:szCs w:val="32"/>
          <w:rtl/>
        </w:rPr>
        <w:t xml:space="preserve"> ،</w:t>
      </w:r>
      <w:r w:rsidRPr="007C3EC7">
        <w:rPr>
          <w:rFonts w:cs="Traditional Arabic" w:hint="cs"/>
          <w:color w:val="000000"/>
          <w:sz w:val="28"/>
          <w:szCs w:val="32"/>
          <w:rtl/>
        </w:rPr>
        <w:t xml:space="preserve"> ولذلك كان الامتياز عاماً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ويجوز استعمال الامتياز على مجموعة أموال المدين كلها إذا حدث ما يستدعي تصفيتها</w:t>
      </w:r>
      <w:r>
        <w:rPr>
          <w:rFonts w:cs="Traditional Arabic" w:hint="cs"/>
          <w:color w:val="000000"/>
          <w:sz w:val="28"/>
          <w:szCs w:val="32"/>
          <w:rtl/>
        </w:rPr>
        <w:t xml:space="preserve"> ،</w:t>
      </w:r>
      <w:r w:rsidRPr="007C3EC7">
        <w:rPr>
          <w:rFonts w:cs="Traditional Arabic" w:hint="cs"/>
          <w:color w:val="000000"/>
          <w:sz w:val="28"/>
          <w:szCs w:val="32"/>
          <w:rtl/>
        </w:rPr>
        <w:t xml:space="preserve"> أو على مال معين من أموال المدين منقولا كان أو عقاراً عند بيعه منفرداً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وللدائن أن يباشر هذا الامتياز حتى على أموال المدين المعنوية</w:t>
      </w:r>
      <w:r>
        <w:rPr>
          <w:rFonts w:cs="Traditional Arabic" w:hint="cs"/>
          <w:color w:val="000000"/>
          <w:sz w:val="28"/>
          <w:szCs w:val="32"/>
          <w:rtl/>
        </w:rPr>
        <w:t xml:space="preserve"> ،</w:t>
      </w:r>
      <w:r w:rsidRPr="007C3EC7">
        <w:rPr>
          <w:rFonts w:cs="Traditional Arabic" w:hint="cs"/>
          <w:color w:val="000000"/>
          <w:sz w:val="28"/>
          <w:szCs w:val="32"/>
          <w:rtl/>
        </w:rPr>
        <w:t xml:space="preserve"> كحقوق التأليف والاختراع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691- مرتبة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هي الرابعة</w:t>
      </w:r>
      <w:r>
        <w:rPr>
          <w:rFonts w:cs="Traditional Arabic" w:hint="cs"/>
          <w:color w:val="000000"/>
          <w:sz w:val="28"/>
          <w:szCs w:val="32"/>
          <w:rtl/>
        </w:rPr>
        <w:t xml:space="preserve"> ،</w:t>
      </w:r>
      <w:r w:rsidRPr="007C3EC7">
        <w:rPr>
          <w:rFonts w:cs="Traditional Arabic" w:hint="cs"/>
          <w:color w:val="000000"/>
          <w:sz w:val="28"/>
          <w:szCs w:val="32"/>
          <w:rtl/>
        </w:rPr>
        <w:t xml:space="preserve"> وتأتي بعد المصروفات القضائية والمبالغ المستحقة للخزانة العامة ومصروفات الحفظ والترميم</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وإذا تزاحمت الديون المضمونة بامتياز عام </w:t>
      </w:r>
      <w:r>
        <w:rPr>
          <w:rFonts w:cs="Traditional Arabic" w:hint="cs"/>
          <w:color w:val="000000"/>
          <w:sz w:val="28"/>
          <w:szCs w:val="32"/>
          <w:rtl/>
        </w:rPr>
        <w:t xml:space="preserve">( </w:t>
      </w:r>
      <w:r w:rsidRPr="007C3EC7">
        <w:rPr>
          <w:rFonts w:cs="Traditional Arabic" w:hint="cs"/>
          <w:color w:val="000000"/>
          <w:sz w:val="28"/>
          <w:szCs w:val="32"/>
          <w:rtl/>
        </w:rPr>
        <w:t>المستحقة للأجراء مع المستحق للمأكل والملبس مع المستحق للنفقة</w:t>
      </w:r>
      <w:r>
        <w:rPr>
          <w:rFonts w:cs="Traditional Arabic" w:hint="cs"/>
          <w:color w:val="000000"/>
          <w:sz w:val="28"/>
          <w:szCs w:val="32"/>
          <w:rtl/>
        </w:rPr>
        <w:t xml:space="preserve"> ،</w:t>
      </w:r>
      <w:r w:rsidRPr="007C3EC7">
        <w:rPr>
          <w:rFonts w:cs="Traditional Arabic" w:hint="cs"/>
          <w:color w:val="000000"/>
          <w:sz w:val="28"/>
          <w:szCs w:val="32"/>
          <w:rtl/>
        </w:rPr>
        <w:t xml:space="preserve"> ا المستحق لأجير مع المستحق لأجير أخير</w:t>
      </w:r>
      <w:r>
        <w:rPr>
          <w:rFonts w:cs="Traditional Arabic" w:hint="cs"/>
          <w:color w:val="000000"/>
          <w:sz w:val="28"/>
          <w:szCs w:val="32"/>
          <w:rtl/>
        </w:rPr>
        <w:t xml:space="preserve"> ،</w:t>
      </w:r>
      <w:r w:rsidRPr="007C3EC7">
        <w:rPr>
          <w:rFonts w:cs="Traditional Arabic" w:hint="cs"/>
          <w:color w:val="000000"/>
          <w:sz w:val="28"/>
          <w:szCs w:val="32"/>
          <w:rtl/>
        </w:rPr>
        <w:t xml:space="preserve"> أو المستحق للمأكل مع المستحق للملبس</w:t>
      </w:r>
      <w:r>
        <w:rPr>
          <w:rFonts w:cs="Traditional Arabic" w:hint="cs"/>
          <w:color w:val="000000"/>
          <w:sz w:val="28"/>
          <w:szCs w:val="32"/>
          <w:rtl/>
        </w:rPr>
        <w:t xml:space="preserve"> ،</w:t>
      </w:r>
      <w:r w:rsidRPr="007C3EC7">
        <w:rPr>
          <w:rFonts w:cs="Traditional Arabic" w:hint="cs"/>
          <w:color w:val="000000"/>
          <w:sz w:val="28"/>
          <w:szCs w:val="32"/>
          <w:rtl/>
        </w:rPr>
        <w:t xml:space="preserve"> أو المستحق لنفقة الزوجة مع المستحق لنفقة أحد الأقارب</w:t>
      </w:r>
      <w:r>
        <w:rPr>
          <w:rFonts w:cs="Traditional Arabic" w:hint="cs"/>
          <w:color w:val="000000"/>
          <w:sz w:val="28"/>
          <w:szCs w:val="32"/>
          <w:rtl/>
        </w:rPr>
        <w:t xml:space="preserve"> ،</w:t>
      </w:r>
      <w:r w:rsidRPr="007C3EC7">
        <w:rPr>
          <w:rFonts w:cs="Traditional Arabic" w:hint="cs"/>
          <w:color w:val="000000"/>
          <w:sz w:val="28"/>
          <w:szCs w:val="32"/>
          <w:rtl/>
        </w:rPr>
        <w:t xml:space="preserve"> إلخ إلخ</w:t>
      </w:r>
      <w:r>
        <w:rPr>
          <w:rFonts w:cs="Traditional Arabic" w:hint="cs"/>
          <w:color w:val="000000"/>
          <w:sz w:val="28"/>
          <w:szCs w:val="32"/>
          <w:rtl/>
        </w:rPr>
        <w:t xml:space="preserve"> ) ،</w:t>
      </w:r>
      <w:r w:rsidRPr="007C3EC7">
        <w:rPr>
          <w:rFonts w:cs="Traditional Arabic" w:hint="cs"/>
          <w:color w:val="000000"/>
          <w:sz w:val="28"/>
          <w:szCs w:val="32"/>
          <w:rtl/>
        </w:rPr>
        <w:t xml:space="preserve"> تساوت في المرتبة</w:t>
      </w:r>
      <w:r>
        <w:rPr>
          <w:rFonts w:cs="Traditional Arabic" w:hint="cs"/>
          <w:color w:val="000000"/>
          <w:sz w:val="28"/>
          <w:szCs w:val="32"/>
          <w:rtl/>
        </w:rPr>
        <w:t xml:space="preserve"> ،</w:t>
      </w:r>
      <w:r w:rsidRPr="007C3EC7">
        <w:rPr>
          <w:rFonts w:cs="Traditional Arabic" w:hint="cs"/>
          <w:color w:val="000000"/>
          <w:sz w:val="28"/>
          <w:szCs w:val="32"/>
          <w:rtl/>
        </w:rPr>
        <w:t xml:space="preserve"> ووجب وفاؤها بنسبة كل منها </w:t>
      </w:r>
      <w:r>
        <w:rPr>
          <w:rFonts w:cs="Traditional Arabic" w:hint="cs"/>
          <w:color w:val="000000"/>
          <w:sz w:val="28"/>
          <w:szCs w:val="32"/>
          <w:rtl/>
        </w:rPr>
        <w:t xml:space="preserve">( </w:t>
      </w:r>
      <w:r w:rsidRPr="007C3EC7">
        <w:rPr>
          <w:rFonts w:cs="Traditional Arabic" w:hint="cs"/>
          <w:color w:val="000000"/>
          <w:sz w:val="28"/>
          <w:szCs w:val="32"/>
          <w:rtl/>
        </w:rPr>
        <w:t>م 1141/2</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692- عدم الشهر وعدم التتبع</w:t>
      </w:r>
      <w:r>
        <w:rPr>
          <w:rFonts w:cs="Traditional Arabic" w:hint="cs"/>
          <w:b/>
          <w:bCs/>
          <w:color w:val="000000"/>
          <w:sz w:val="28"/>
          <w:szCs w:val="32"/>
          <w:rtl/>
        </w:rPr>
        <w:t xml:space="preserve"> :</w:t>
      </w:r>
      <w:r w:rsidRPr="007C3EC7">
        <w:rPr>
          <w:rFonts w:cs="Traditional Arabic" w:hint="cs"/>
          <w:color w:val="000000"/>
          <w:sz w:val="28"/>
          <w:szCs w:val="32"/>
          <w:rtl/>
        </w:rPr>
        <w:t xml:space="preserve"> وحقوق الامتياز العام ليس فيها شهر ولا تتبع</w:t>
      </w:r>
      <w:r>
        <w:rPr>
          <w:rFonts w:cs="Traditional Arabic" w:hint="cs"/>
          <w:color w:val="000000"/>
          <w:sz w:val="28"/>
          <w:szCs w:val="32"/>
          <w:rtl/>
        </w:rPr>
        <w:t xml:space="preserve"> .</w:t>
      </w:r>
      <w:r w:rsidRPr="007C3EC7">
        <w:rPr>
          <w:rFonts w:cs="Traditional Arabic" w:hint="cs"/>
          <w:color w:val="000000"/>
          <w:sz w:val="28"/>
          <w:szCs w:val="32"/>
          <w:rtl/>
        </w:rPr>
        <w:t xml:space="preserve"> وقد نصت المادة 1134/2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"مع ذلك فإن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ولو كان محلها عقاراً</w:t>
      </w:r>
      <w:r>
        <w:rPr>
          <w:rFonts w:cs="Traditional Arabic" w:hint="cs"/>
          <w:color w:val="000000"/>
          <w:sz w:val="28"/>
          <w:szCs w:val="32"/>
          <w:rtl/>
        </w:rPr>
        <w:t xml:space="preserve"> ،</w:t>
      </w:r>
      <w:r w:rsidRPr="007C3EC7">
        <w:rPr>
          <w:rFonts w:cs="Traditional Arabic" w:hint="cs"/>
          <w:color w:val="000000"/>
          <w:sz w:val="28"/>
          <w:szCs w:val="32"/>
          <w:rtl/>
        </w:rPr>
        <w:t xml:space="preserve"> لا يجب فيها الشهر ولا يثبت فيها حق التتبع </w:t>
      </w:r>
      <w:r>
        <w:rPr>
          <w:rFonts w:cs="Traditional Arabic" w:hint="cs"/>
          <w:color w:val="000000"/>
          <w:sz w:val="28"/>
          <w:szCs w:val="32"/>
          <w:rtl/>
        </w:rPr>
        <w:t xml:space="preserve"> . . . .</w:t>
      </w:r>
      <w:r w:rsidRPr="007C3EC7">
        <w:rPr>
          <w:rFonts w:cs="Traditional Arabic" w:hint="cs"/>
          <w:color w:val="000000"/>
          <w:sz w:val="28"/>
          <w:szCs w:val="32"/>
          <w:rtl/>
        </w:rPr>
        <w:t>"</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فما ورد من هذه الحقوق على عقار لا يستدعي شهر الحق عن طريق قيد العقار</w:t>
      </w:r>
      <w:r>
        <w:rPr>
          <w:rFonts w:cs="Traditional Arabic" w:hint="cs"/>
          <w:color w:val="000000"/>
          <w:sz w:val="28"/>
          <w:szCs w:val="32"/>
          <w:rtl/>
        </w:rPr>
        <w:t xml:space="preserve"> ،</w:t>
      </w:r>
      <w:r w:rsidRPr="007C3EC7">
        <w:rPr>
          <w:rFonts w:cs="Traditional Arabic" w:hint="cs"/>
          <w:color w:val="000000"/>
          <w:sz w:val="28"/>
          <w:szCs w:val="32"/>
          <w:rtl/>
        </w:rPr>
        <w:t xml:space="preserve"> بل يستعمل حق الامتياز العام على العقار دون حاجة إلى القيد</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$964 كذلك لا يكون لحقوق الامتياز العام حق تتبع</w:t>
      </w:r>
      <w:r>
        <w:rPr>
          <w:rFonts w:cs="Traditional Arabic" w:hint="cs"/>
          <w:color w:val="000000"/>
          <w:sz w:val="28"/>
          <w:szCs w:val="32"/>
          <w:rtl/>
        </w:rPr>
        <w:t xml:space="preserve"> ،</w:t>
      </w:r>
      <w:r w:rsidRPr="007C3EC7">
        <w:rPr>
          <w:rFonts w:cs="Traditional Arabic" w:hint="cs"/>
          <w:color w:val="000000"/>
          <w:sz w:val="28"/>
          <w:szCs w:val="32"/>
          <w:rtl/>
        </w:rPr>
        <w:t xml:space="preserve"> بل يقتصر الأمر فيها على حق التقدم</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44"/>
          <w:szCs w:val="44"/>
          <w:rtl/>
        </w:rPr>
      </w:pPr>
      <w:r w:rsidRPr="007C3EC7">
        <w:rPr>
          <w:rFonts w:cs="Traditional Arabic" w:hint="cs"/>
          <w:b/>
          <w:bCs/>
          <w:color w:val="000000"/>
          <w:sz w:val="44"/>
          <w:szCs w:val="44"/>
          <w:rtl/>
        </w:rPr>
        <w:t>المبحث الثاني</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حقوق الامتياز الخاصة على منقول</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المتأخر عن حقوق الامتياز العامة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693- حقوق امتياز خمسة</w:t>
      </w:r>
      <w:r>
        <w:rPr>
          <w:rFonts w:cs="Traditional Arabic" w:hint="cs"/>
          <w:b/>
          <w:bCs/>
          <w:color w:val="000000"/>
          <w:sz w:val="28"/>
          <w:szCs w:val="32"/>
          <w:rtl/>
        </w:rPr>
        <w:t xml:space="preserve"> :</w:t>
      </w:r>
      <w:r w:rsidRPr="007C3EC7">
        <w:rPr>
          <w:rFonts w:cs="Traditional Arabic" w:hint="cs"/>
          <w:color w:val="000000"/>
          <w:sz w:val="28"/>
          <w:szCs w:val="32"/>
          <w:rtl/>
        </w:rPr>
        <w:t xml:space="preserve"> وتوجد حقوق امتياز خمسة على منقول</w:t>
      </w:r>
      <w:r>
        <w:rPr>
          <w:rFonts w:cs="Traditional Arabic" w:hint="cs"/>
          <w:color w:val="000000"/>
          <w:sz w:val="28"/>
          <w:szCs w:val="32"/>
          <w:rtl/>
        </w:rPr>
        <w:t xml:space="preserve"> ،</w:t>
      </w:r>
      <w:r w:rsidRPr="007C3EC7">
        <w:rPr>
          <w:rFonts w:cs="Traditional Arabic" w:hint="cs"/>
          <w:color w:val="000000"/>
          <w:sz w:val="28"/>
          <w:szCs w:val="32"/>
          <w:rtl/>
        </w:rPr>
        <w:t xml:space="preserve"> متدرجة في الترتيب</w:t>
      </w:r>
      <w:r>
        <w:rPr>
          <w:rFonts w:cs="Traditional Arabic" w:hint="cs"/>
          <w:color w:val="000000"/>
          <w:sz w:val="28"/>
          <w:szCs w:val="32"/>
          <w:rtl/>
        </w:rPr>
        <w:t xml:space="preserve"> ،</w:t>
      </w:r>
      <w:r w:rsidRPr="007C3EC7">
        <w:rPr>
          <w:rFonts w:cs="Traditional Arabic" w:hint="cs"/>
          <w:color w:val="000000"/>
          <w:sz w:val="28"/>
          <w:szCs w:val="32"/>
          <w:rtl/>
        </w:rPr>
        <w:t xml:space="preserve"> وكلها متأخرة عن حقوق الامتياز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وهذه هي</w:t>
      </w:r>
      <w:r>
        <w:rPr>
          <w:rFonts w:cs="Traditional Arabic" w:hint="cs"/>
          <w:color w:val="000000"/>
          <w:sz w:val="28"/>
          <w:szCs w:val="32"/>
          <w:rtl/>
        </w:rPr>
        <w:t xml:space="preserve"> ،</w:t>
      </w:r>
      <w:r w:rsidRPr="007C3EC7">
        <w:rPr>
          <w:rFonts w:cs="Traditional Arabic" w:hint="cs"/>
          <w:color w:val="000000"/>
          <w:sz w:val="28"/>
          <w:szCs w:val="32"/>
          <w:rtl/>
        </w:rPr>
        <w:t xml:space="preserve"> نبحثها على التعاقب</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امتياز مصروفات الزراعة والمبالغ المستحقة في مقابل آلات الزراعة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امتياز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امتياز صاحب الفندق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4- امتياز بائع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5- امتياز المتقاسم في المنقول</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1- امتياز مصروفات الزراعة والمبالغ المستحقة في</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 xml:space="preserve"> مقابل آلات الزراعة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694-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1142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المبالغ المنصفة في البذر والسماد وغير ذلك من مواد التخصيب والمواد المقاومة لحرات</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المنصرفة في أعمال الزراعة والحصاد</w:t>
      </w:r>
      <w:r>
        <w:rPr>
          <w:rFonts w:cs="Traditional Arabic" w:hint="cs"/>
          <w:color w:val="000000"/>
          <w:sz w:val="28"/>
          <w:szCs w:val="32"/>
          <w:rtl/>
        </w:rPr>
        <w:t xml:space="preserve"> ،</w:t>
      </w:r>
      <w:r w:rsidRPr="007C3EC7">
        <w:rPr>
          <w:rFonts w:cs="Traditional Arabic" w:hint="cs"/>
          <w:color w:val="000000"/>
          <w:sz w:val="28"/>
          <w:szCs w:val="32"/>
          <w:rtl/>
        </w:rPr>
        <w:t xml:space="preserve"> $965 يكون لها امتياز على المحصول الذي صرفت في إنتاجه</w:t>
      </w:r>
      <w:r>
        <w:rPr>
          <w:rFonts w:cs="Traditional Arabic" w:hint="cs"/>
          <w:color w:val="000000"/>
          <w:sz w:val="28"/>
          <w:szCs w:val="32"/>
          <w:rtl/>
        </w:rPr>
        <w:t xml:space="preserve"> ،</w:t>
      </w:r>
      <w:r w:rsidRPr="007C3EC7">
        <w:rPr>
          <w:rFonts w:cs="Traditional Arabic" w:hint="cs"/>
          <w:color w:val="000000"/>
          <w:sz w:val="28"/>
          <w:szCs w:val="32"/>
          <w:rtl/>
        </w:rPr>
        <w:t xml:space="preserve"> ويكون لها جميعاً مرتبة واحدة"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"2- وتستوفي هذه المبالغ من ثمن المحصول مباشرة</w:t>
      </w:r>
      <w:r>
        <w:rPr>
          <w:rFonts w:cs="Traditional Arabic" w:hint="cs"/>
          <w:color w:val="000000"/>
          <w:sz w:val="28"/>
          <w:szCs w:val="32"/>
          <w:rtl/>
        </w:rPr>
        <w:t xml:space="preserve"> ،</w:t>
      </w:r>
      <w:r w:rsidRPr="007C3EC7">
        <w:rPr>
          <w:rFonts w:cs="Traditional Arabic" w:hint="cs"/>
          <w:color w:val="000000"/>
          <w:sz w:val="28"/>
          <w:szCs w:val="32"/>
          <w:rtl/>
        </w:rPr>
        <w:t xml:space="preserve"> بعد الحقوق المتقدمة الذكر"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وكذلك يكون للمبالغ المستحقة في مقابل آلات الزراعة حق امتياز في نفس المرتبة على هذه الآلات"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$966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"الحقوق الممتازة ومحل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المبالغ المنصرفة في البذر والسماد وغره من مواد التخصيب</w:t>
      </w:r>
      <w:r>
        <w:rPr>
          <w:rFonts w:cs="Traditional Arabic" w:hint="cs"/>
          <w:color w:val="000000"/>
          <w:sz w:val="28"/>
          <w:szCs w:val="32"/>
          <w:rtl/>
        </w:rPr>
        <w:t xml:space="preserve"> .</w:t>
      </w:r>
      <w:r w:rsidRPr="007C3EC7">
        <w:rPr>
          <w:rFonts w:cs="Traditional Arabic" w:hint="cs"/>
          <w:color w:val="000000"/>
          <w:sz w:val="28"/>
          <w:szCs w:val="32"/>
          <w:rtl/>
        </w:rPr>
        <w:t xml:space="preserve"> وقد دخل السماد صراحة</w:t>
      </w:r>
      <w:r>
        <w:rPr>
          <w:rFonts w:cs="Traditional Arabic" w:hint="cs"/>
          <w:color w:val="000000"/>
          <w:sz w:val="28"/>
          <w:szCs w:val="32"/>
          <w:rtl/>
        </w:rPr>
        <w:t xml:space="preserve"> ،</w:t>
      </w:r>
      <w:r w:rsidRPr="007C3EC7">
        <w:rPr>
          <w:rFonts w:cs="Traditional Arabic" w:hint="cs"/>
          <w:color w:val="000000"/>
          <w:sz w:val="28"/>
          <w:szCs w:val="32"/>
          <w:rtl/>
        </w:rPr>
        <w:t xml:space="preserve"> وهو محل خلاف في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r w:rsidRPr="007C3EC7">
        <w:rPr>
          <w:rFonts w:cs="Traditional Arabic" w:hint="cs"/>
          <w:color w:val="000000"/>
          <w:sz w:val="28"/>
          <w:szCs w:val="32"/>
          <w:rtl/>
        </w:rPr>
        <w:t xml:space="preserve"> والمواد المقاومة للحشرات</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الأخرى المنصرفة في أعمال الزراعة والحصاد</w:t>
      </w:r>
      <w:r>
        <w:rPr>
          <w:rFonts w:cs="Traditional Arabic" w:hint="cs"/>
          <w:color w:val="000000"/>
          <w:sz w:val="28"/>
          <w:szCs w:val="32"/>
          <w:rtl/>
        </w:rPr>
        <w:t xml:space="preserve"> ،</w:t>
      </w:r>
      <w:r w:rsidRPr="007C3EC7">
        <w:rPr>
          <w:rFonts w:cs="Traditional Arabic" w:hint="cs"/>
          <w:color w:val="000000"/>
          <w:sz w:val="28"/>
          <w:szCs w:val="32"/>
          <w:rtl/>
        </w:rPr>
        <w:t xml:space="preserve"> ومحل الامتياز هو المحصول الذي أنتجته أو حفظته هذه الأشياء</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المبالغ المستحقة في مقابل آلات الزراعة من ثمن ومصروفات إصلاح وتحسين</w:t>
      </w:r>
      <w:r>
        <w:rPr>
          <w:rFonts w:cs="Traditional Arabic" w:hint="cs"/>
          <w:color w:val="000000"/>
          <w:sz w:val="28"/>
          <w:szCs w:val="32"/>
          <w:rtl/>
        </w:rPr>
        <w:t xml:space="preserve"> ،</w:t>
      </w:r>
      <w:r w:rsidRPr="007C3EC7">
        <w:rPr>
          <w:rFonts w:cs="Traditional Arabic" w:hint="cs"/>
          <w:color w:val="000000"/>
          <w:sz w:val="28"/>
          <w:szCs w:val="32"/>
          <w:rtl/>
        </w:rPr>
        <w:t xml:space="preserve"> ومحل الامتياز هو هذه الآلات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يأتي كل امتياز من هذين في المرتبة الخامسة بعد الامتيازات السابقة الذكر</w:t>
      </w:r>
      <w:r>
        <w:rPr>
          <w:rFonts w:cs="Traditional Arabic" w:hint="cs"/>
          <w:color w:val="000000"/>
          <w:sz w:val="28"/>
          <w:szCs w:val="32"/>
          <w:rtl/>
        </w:rPr>
        <w:t xml:space="preserve"> ،</w:t>
      </w:r>
      <w:r w:rsidRPr="007C3EC7">
        <w:rPr>
          <w:rFonts w:cs="Traditional Arabic" w:hint="cs"/>
          <w:color w:val="000000"/>
          <w:sz w:val="28"/>
          <w:szCs w:val="32"/>
          <w:rtl/>
        </w:rPr>
        <w:t xml:space="preserve"> أما فيما بينها فتستوفي بنسبة كل منها"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695-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الحق الممتاز هنا حقان لا حق واحد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المبالغ المنصرف في أعمال الزراعة والحصاد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المبالغ المستحقة في مقابل آلات الزراعة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695- المبالغ المنصرفة في أعمال الزراعة والحصاد</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وهي المبالغ المنصرفة في البذر والسماد ومواد التخصيب الأخرى والمواد المقاومة للحشرات $967 وجميع المبالغ المنصرفة في أعمال الزراعة والحصاد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والمبالغ المنصرفة في أعمال الزراعة والحصاد يدخل فيها مصروفات الري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وتطهير الترع</w:t>
      </w:r>
      <w:r>
        <w:rPr>
          <w:rFonts w:cs="Traditional Arabic" w:hint="cs"/>
          <w:color w:val="000000"/>
          <w:sz w:val="28"/>
          <w:szCs w:val="32"/>
          <w:rtl/>
        </w:rPr>
        <w:t xml:space="preserve"> ،</w:t>
      </w:r>
      <w:r w:rsidRPr="007C3EC7">
        <w:rPr>
          <w:rFonts w:cs="Traditional Arabic" w:hint="cs"/>
          <w:color w:val="000000"/>
          <w:sz w:val="28"/>
          <w:szCs w:val="32"/>
          <w:rtl/>
        </w:rPr>
        <w:t xml:space="preserve"> وإصلاح آلات الري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وأجرة المواشي والحيوانات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وأجرة الآلات التي استعملت</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المستحقة لدرس الغلال</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المستحقة للشغالة والعمال والفعلة الذين اشتركوا في حرث الأرض وبذرها وفي حصاد المحصول ودرسه وإدخاله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والثمن المستحق لبائع المبذورات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19"/>
      </w:r>
      <w:r>
        <w:rPr>
          <w:rFonts w:cs="Traditional Arabic" w:hint="cs"/>
          <w:color w:val="000000"/>
          <w:sz w:val="28"/>
          <w:szCs w:val="32"/>
          <w:vertAlign w:val="superscript"/>
          <w:rtl/>
        </w:rPr>
        <w:t xml:space="preserve"> )</w:t>
      </w:r>
      <w:r w:rsidRPr="007C3EC7">
        <w:rPr>
          <w:rFonts w:cs="Traditional Arabic" w:hint="cs"/>
          <w:color w:val="000000"/>
          <w:sz w:val="28"/>
          <w:szCs w:val="32"/>
          <w:rtl/>
        </w:rPr>
        <w:t xml:space="preserve"> ومصروفات البذور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المنصرفة في السماد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1"/>
      </w:r>
      <w:r>
        <w:rPr>
          <w:rFonts w:cs="Traditional Arabic" w:hint="cs"/>
          <w:color w:val="000000"/>
          <w:sz w:val="28"/>
          <w:szCs w:val="32"/>
          <w:vertAlign w:val="superscript"/>
          <w:rtl/>
        </w:rPr>
        <w:t xml:space="preserve"> )</w:t>
      </w:r>
      <w:r w:rsidRPr="007C3EC7">
        <w:rPr>
          <w:rFonts w:cs="Traditional Arabic" w:hint="cs"/>
          <w:color w:val="000000"/>
          <w:sz w:val="28"/>
          <w:szCs w:val="32"/>
          <w:rtl/>
        </w:rPr>
        <w:t xml:space="preserve"> وغيره من مواد التخصيب والمواد المقاومة للحشرات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ويوجد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سواء كان الذي ستغل الأرض لحسابه هو مالك الأرض نفسه</w:t>
      </w:r>
      <w:r>
        <w:rPr>
          <w:rFonts w:cs="Traditional Arabic" w:hint="cs"/>
          <w:color w:val="000000"/>
          <w:sz w:val="28"/>
          <w:szCs w:val="32"/>
          <w:rtl/>
        </w:rPr>
        <w:t xml:space="preserve"> ،</w:t>
      </w:r>
      <w:r w:rsidRPr="007C3EC7">
        <w:rPr>
          <w:rFonts w:cs="Traditional Arabic" w:hint="cs"/>
          <w:color w:val="000000"/>
          <w:sz w:val="28"/>
          <w:szCs w:val="32"/>
          <w:rtl/>
        </w:rPr>
        <w:t xml:space="preserve"> أو كان مستأجراً أو صاحب حق</w:t>
      </w:r>
      <w:r>
        <w:rPr>
          <w:rFonts w:cs="Traditional Arabic" w:hint="cs"/>
          <w:color w:val="000000"/>
          <w:sz w:val="28"/>
          <w:szCs w:val="32"/>
          <w:rtl/>
        </w:rPr>
        <w:t xml:space="preserve"> ،</w:t>
      </w:r>
      <w:r w:rsidRPr="007C3EC7">
        <w:rPr>
          <w:rFonts w:cs="Traditional Arabic" w:hint="cs"/>
          <w:color w:val="000000"/>
          <w:sz w:val="28"/>
          <w:szCs w:val="32"/>
          <w:rtl/>
        </w:rPr>
        <w:t xml:space="preserve"> انتفاع أو مغتصباً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ويلحق بالديون التي يضمنها الامتياز المبالغ التي يقرضها بنك التسليف $968 الزراعي المصري لنفقات الزراعة والحصاد</w:t>
      </w:r>
      <w:r>
        <w:rPr>
          <w:rFonts w:cs="Traditional Arabic" w:hint="cs"/>
          <w:color w:val="000000"/>
          <w:sz w:val="28"/>
          <w:szCs w:val="32"/>
          <w:rtl/>
        </w:rPr>
        <w:t xml:space="preserve"> ،</w:t>
      </w:r>
      <w:r w:rsidRPr="007C3EC7">
        <w:rPr>
          <w:rFonts w:cs="Traditional Arabic" w:hint="cs"/>
          <w:color w:val="000000"/>
          <w:sz w:val="28"/>
          <w:szCs w:val="32"/>
          <w:rtl/>
        </w:rPr>
        <w:t xml:space="preserve"> والمبالغ المستحقة له ثمناً لشراء سماد </w:t>
      </w:r>
      <w:r>
        <w:rPr>
          <w:rFonts w:cs="Traditional Arabic" w:hint="cs"/>
          <w:color w:val="000000"/>
          <w:sz w:val="28"/>
          <w:szCs w:val="32"/>
          <w:rtl/>
        </w:rPr>
        <w:t xml:space="preserve">( </w:t>
      </w:r>
      <w:r w:rsidRPr="007C3EC7">
        <w:rPr>
          <w:rFonts w:cs="Traditional Arabic" w:hint="cs"/>
          <w:color w:val="000000"/>
          <w:sz w:val="28"/>
          <w:szCs w:val="32"/>
          <w:rtl/>
        </w:rPr>
        <w:t>م 6 من المرسوم بقانون رقم 50 لسنة 1931</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ويثبت امتياز مصروفات للدائن الذي أقرض المزارع النفقات اللازمة لإنتاج المحصول</w:t>
      </w:r>
      <w:r>
        <w:rPr>
          <w:rFonts w:cs="Traditional Arabic" w:hint="cs"/>
          <w:color w:val="000000"/>
          <w:sz w:val="28"/>
          <w:szCs w:val="32"/>
          <w:rtl/>
        </w:rPr>
        <w:t xml:space="preserve"> ،</w:t>
      </w:r>
      <w:r w:rsidRPr="007C3EC7">
        <w:rPr>
          <w:rFonts w:cs="Traditional Arabic" w:hint="cs"/>
          <w:color w:val="000000"/>
          <w:sz w:val="28"/>
          <w:szCs w:val="32"/>
          <w:rtl/>
        </w:rPr>
        <w:t xml:space="preserve"> بشرط أن يثبت أن النقود قد استخدمت فعلا في إنتاج المحصول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697- المبالغ المستحقة في مقابل آلات الزراعة</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يضمن الامتياز ثمن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ويضمن كذلك مصروفات إصلاحها</w:t>
      </w:r>
      <w:r>
        <w:rPr>
          <w:rFonts w:cs="Traditional Arabic" w:hint="cs"/>
          <w:color w:val="000000"/>
          <w:sz w:val="28"/>
          <w:szCs w:val="32"/>
          <w:rtl/>
        </w:rPr>
        <w:t xml:space="preserve"> ،</w:t>
      </w:r>
      <w:r w:rsidRPr="007C3EC7">
        <w:rPr>
          <w:rFonts w:cs="Traditional Arabic" w:hint="cs"/>
          <w:color w:val="000000"/>
          <w:sz w:val="28"/>
          <w:szCs w:val="32"/>
          <w:rtl/>
        </w:rPr>
        <w:t xml:space="preserve"> ومصروفات تحسينها</w:t>
      </w:r>
      <w:r>
        <w:rPr>
          <w:rFonts w:cs="Traditional Arabic" w:hint="cs"/>
          <w:color w:val="000000"/>
          <w:sz w:val="28"/>
          <w:szCs w:val="32"/>
          <w:rtl/>
        </w:rPr>
        <w:t xml:space="preserve"> ،</w:t>
      </w:r>
      <w:r w:rsidRPr="007C3EC7">
        <w:rPr>
          <w:rFonts w:cs="Traditional Arabic" w:hint="cs"/>
          <w:color w:val="000000"/>
          <w:sz w:val="28"/>
          <w:szCs w:val="32"/>
          <w:rtl/>
        </w:rPr>
        <w:t xml:space="preserve"> فالنص عام ويقول "المبالغ المستحقة في مقابل آلات الزراعة"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وتشمل آلات الزراعة كل الآلات التي تستعمل في حرث الأرض وتحضيرها للزراعة وريها وجني المحصول ودرس الغلال وحفظ الثمار ونقلها في داخل المزرعة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وبالنسبة إلى ثمن الآلات الزراعية</w:t>
      </w:r>
      <w:r>
        <w:rPr>
          <w:rFonts w:cs="Traditional Arabic" w:hint="cs"/>
          <w:color w:val="000000"/>
          <w:sz w:val="28"/>
          <w:szCs w:val="32"/>
          <w:rtl/>
        </w:rPr>
        <w:t xml:space="preserve"> ،</w:t>
      </w:r>
      <w:r w:rsidRPr="007C3EC7">
        <w:rPr>
          <w:rFonts w:cs="Traditional Arabic" w:hint="cs"/>
          <w:color w:val="000000"/>
          <w:sz w:val="28"/>
          <w:szCs w:val="32"/>
          <w:rtl/>
        </w:rPr>
        <w:t xml:space="preserve"> فهي تتمتع أيضاً بامتياز 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ولكن هذا الامتياز الأخير يتأخر في المرتبة كما سيأتي</w:t>
      </w:r>
      <w:r>
        <w:rPr>
          <w:rFonts w:cs="Traditional Arabic" w:hint="cs"/>
          <w:color w:val="000000"/>
          <w:sz w:val="28"/>
          <w:szCs w:val="32"/>
          <w:rtl/>
        </w:rPr>
        <w:t xml:space="preserve"> ،</w:t>
      </w:r>
      <w:r w:rsidRPr="007C3EC7">
        <w:rPr>
          <w:rFonts w:cs="Traditional Arabic" w:hint="cs"/>
          <w:color w:val="000000"/>
          <w:sz w:val="28"/>
          <w:szCs w:val="32"/>
          <w:rtl/>
        </w:rPr>
        <w:t xml:space="preserve"> فيكون الأفضل التمسك بامتياز الآلات الزراعية لا التمسك بامتياز بائع المنقول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ولكن بالنسبة إلى نفقات إصلاح الآلات الزراعية</w:t>
      </w:r>
      <w:r>
        <w:rPr>
          <w:rFonts w:cs="Traditional Arabic" w:hint="cs"/>
          <w:color w:val="000000"/>
          <w:sz w:val="28"/>
          <w:szCs w:val="32"/>
          <w:rtl/>
        </w:rPr>
        <w:t xml:space="preserve"> ،</w:t>
      </w:r>
      <w:r w:rsidRPr="007C3EC7">
        <w:rPr>
          <w:rFonts w:cs="Traditional Arabic" w:hint="cs"/>
          <w:color w:val="000000"/>
          <w:sz w:val="28"/>
          <w:szCs w:val="32"/>
          <w:rtl/>
        </w:rPr>
        <w:t xml:space="preserve"> فإنها مضمونة بامتياز نفقات الحفظ والترميم</w:t>
      </w:r>
      <w:r>
        <w:rPr>
          <w:rFonts w:cs="Traditional Arabic" w:hint="cs"/>
          <w:color w:val="000000"/>
          <w:sz w:val="28"/>
          <w:szCs w:val="32"/>
          <w:rtl/>
        </w:rPr>
        <w:t xml:space="preserve"> ،</w:t>
      </w:r>
      <w:r w:rsidRPr="007C3EC7">
        <w:rPr>
          <w:rFonts w:cs="Traditional Arabic" w:hint="cs"/>
          <w:color w:val="000000"/>
          <w:sz w:val="28"/>
          <w:szCs w:val="32"/>
          <w:rtl/>
        </w:rPr>
        <w:t xml:space="preserve"> ويأتي في المرتبة الثالثة أي قبل امتياز آلات الزراعة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 أما مصروفات الآلات الزراعية</w:t>
      </w:r>
      <w:r>
        <w:rPr>
          <w:rFonts w:cs="Traditional Arabic" w:hint="cs"/>
          <w:color w:val="000000"/>
          <w:sz w:val="28"/>
          <w:szCs w:val="32"/>
          <w:rtl/>
        </w:rPr>
        <w:t xml:space="preserve"> ،</w:t>
      </w:r>
      <w:r w:rsidRPr="007C3EC7">
        <w:rPr>
          <w:rFonts w:cs="Traditional Arabic" w:hint="cs"/>
          <w:color w:val="000000"/>
          <w:sz w:val="28"/>
          <w:szCs w:val="32"/>
          <w:rtl/>
        </w:rPr>
        <w:t xml:space="preserve"> فلا يضمنها إلا هذا الامتياز الذي نحن بصدده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698-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وهنا أيضاً يكون 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$969 1- إما بالنسبة إلى المبالغ المنصرفة في أعمال الزراعة والحصاد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أو بالنسبة إلى المبالغ المستحقة في مقابل آلات الزراعة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699- محل الامتياز بالنسبة إلى المبالغ المنصرفة في أعمال الزراعة والحصاد</w:t>
      </w:r>
      <w:r>
        <w:rPr>
          <w:rFonts w:cs="Traditional Arabic" w:hint="cs"/>
          <w:b/>
          <w:bCs/>
          <w:color w:val="000000"/>
          <w:sz w:val="28"/>
          <w:szCs w:val="32"/>
          <w:rtl/>
        </w:rPr>
        <w:t xml:space="preserve"> :</w:t>
      </w:r>
      <w:r w:rsidRPr="007C3EC7">
        <w:rPr>
          <w:rFonts w:cs="Traditional Arabic" w:hint="cs"/>
          <w:color w:val="000000"/>
          <w:sz w:val="28"/>
          <w:szCs w:val="32"/>
          <w:rtl/>
        </w:rPr>
        <w:t xml:space="preserve"> محل </w:t>
      </w:r>
      <w:r w:rsidRPr="007C3EC7">
        <w:rPr>
          <w:rFonts w:cs="Traditional Arabic" w:hint="cs"/>
          <w:color w:val="000000"/>
          <w:sz w:val="28"/>
          <w:szCs w:val="32"/>
          <w:rtl/>
        </w:rPr>
        <w:lastRenderedPageBreak/>
        <w:t>الامتياز هنا هو المحصول الذي ساهمت هذه الأعمال في إنتاجه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يقع الامتياز على ثمن الأرض إذا نزعت ملكيتها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على ثمن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بل ولا على المحصول الذي يصبح عقاراً بتسجيل التنبيه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يقع الامتياز على المحصول إلا بعد جنيه</w:t>
      </w:r>
      <w:r>
        <w:rPr>
          <w:rFonts w:cs="Traditional Arabic" w:hint="cs"/>
          <w:color w:val="000000"/>
          <w:sz w:val="28"/>
          <w:szCs w:val="32"/>
          <w:rtl/>
        </w:rPr>
        <w:t xml:space="preserve"> ،</w:t>
      </w:r>
      <w:r w:rsidRPr="007C3EC7">
        <w:rPr>
          <w:rFonts w:cs="Traditional Arabic" w:hint="cs"/>
          <w:color w:val="000000"/>
          <w:sz w:val="28"/>
          <w:szCs w:val="32"/>
          <w:rtl/>
        </w:rPr>
        <w:t xml:space="preserve"> لأن المحصول قبل الجني يعتبر عقاراً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كانت المبذورات تنتج محصولات متكررة في سنين متعاقبة</w:t>
      </w:r>
      <w:r>
        <w:rPr>
          <w:rFonts w:cs="Traditional Arabic" w:hint="cs"/>
          <w:color w:val="000000"/>
          <w:sz w:val="28"/>
          <w:szCs w:val="32"/>
          <w:rtl/>
        </w:rPr>
        <w:t xml:space="preserve"> ،</w:t>
      </w:r>
      <w:r w:rsidRPr="007C3EC7">
        <w:rPr>
          <w:rFonts w:cs="Traditional Arabic" w:hint="cs"/>
          <w:color w:val="000000"/>
          <w:sz w:val="28"/>
          <w:szCs w:val="32"/>
          <w:rtl/>
        </w:rPr>
        <w:t xml:space="preserve"> كما في زراعة القصب</w:t>
      </w:r>
      <w:r>
        <w:rPr>
          <w:rFonts w:cs="Traditional Arabic" w:hint="cs"/>
          <w:color w:val="000000"/>
          <w:sz w:val="28"/>
          <w:szCs w:val="32"/>
          <w:rtl/>
        </w:rPr>
        <w:t xml:space="preserve"> ،</w:t>
      </w:r>
      <w:r w:rsidRPr="007C3EC7">
        <w:rPr>
          <w:rFonts w:cs="Traditional Arabic" w:hint="cs"/>
          <w:color w:val="000000"/>
          <w:sz w:val="28"/>
          <w:szCs w:val="32"/>
          <w:rtl/>
        </w:rPr>
        <w:t xml:space="preserve"> فالامتياز يقع على كل المحصولات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يشترط في ورود الامتياز على المحصول بقاء المحصول في ملك المدين أو في حوزته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2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700- محل الامتياز بالنسبة إلى المبالغ المستحقة في مقابل آلات الزراعة</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محل الامتياز هنا هو آلات الزراعة نفسها</w:t>
      </w:r>
      <w:r>
        <w:rPr>
          <w:rFonts w:cs="Traditional Arabic" w:hint="cs"/>
          <w:color w:val="000000"/>
          <w:sz w:val="28"/>
          <w:szCs w:val="32"/>
          <w:rtl/>
        </w:rPr>
        <w:t xml:space="preserve"> ،</w:t>
      </w:r>
      <w:r w:rsidRPr="007C3EC7">
        <w:rPr>
          <w:rFonts w:cs="Traditional Arabic" w:hint="cs"/>
          <w:color w:val="000000"/>
          <w:sz w:val="28"/>
          <w:szCs w:val="32"/>
          <w:rtl/>
        </w:rPr>
        <w:t xml:space="preserve"> وليس المحصول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خصصت آلات الزراعة لخدمة الأرض فصارت عقاراً بالتخصيص فإن ذلك لا يزيل عنها الامتياز الواقع عليها</w:t>
      </w:r>
      <w:r>
        <w:rPr>
          <w:rFonts w:cs="Traditional Arabic" w:hint="cs"/>
          <w:color w:val="000000"/>
          <w:sz w:val="28"/>
          <w:szCs w:val="32"/>
          <w:rtl/>
        </w:rPr>
        <w:t xml:space="preserve"> .</w:t>
      </w:r>
      <w:r w:rsidRPr="007C3EC7">
        <w:rPr>
          <w:rFonts w:cs="Traditional Arabic" w:hint="cs"/>
          <w:color w:val="000000"/>
          <w:sz w:val="28"/>
          <w:szCs w:val="32"/>
          <w:rtl/>
        </w:rPr>
        <w:t xml:space="preserve"> ولكن إذا ارتهنت الأرض ومعها $970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فإن الدائن المرتهن إذا كان حسن النية يتقدم حق رهنه على امتياز المبالغ المستحقة في مقابل آلات الزراعة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701- مرتبة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والامتياز هنا</w:t>
      </w:r>
      <w:r>
        <w:rPr>
          <w:rFonts w:cs="Traditional Arabic" w:hint="cs"/>
          <w:color w:val="000000"/>
          <w:sz w:val="28"/>
          <w:szCs w:val="32"/>
          <w:rtl/>
        </w:rPr>
        <w:t xml:space="preserve"> ،</w:t>
      </w:r>
      <w:r w:rsidRPr="007C3EC7">
        <w:rPr>
          <w:rFonts w:cs="Traditional Arabic" w:hint="cs"/>
          <w:color w:val="000000"/>
          <w:sz w:val="28"/>
          <w:szCs w:val="32"/>
          <w:rtl/>
        </w:rPr>
        <w:t xml:space="preserve"> سواء بالنسبة إلى أعمال الزراعة والحصاد أو بالنسبة إلى </w:t>
      </w:r>
      <w:r w:rsidRPr="007C3EC7">
        <w:rPr>
          <w:rFonts w:cs="Traditional Arabic" w:hint="cs"/>
          <w:color w:val="000000"/>
          <w:sz w:val="28"/>
          <w:szCs w:val="32"/>
          <w:rtl/>
        </w:rPr>
        <w:lastRenderedPageBreak/>
        <w:t>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يأتي في المرتبة الخامسة</w:t>
      </w:r>
      <w:r>
        <w:rPr>
          <w:rFonts w:cs="Traditional Arabic" w:hint="cs"/>
          <w:color w:val="000000"/>
          <w:sz w:val="28"/>
          <w:szCs w:val="32"/>
          <w:rtl/>
        </w:rPr>
        <w:t xml:space="preserve"> ،</w:t>
      </w:r>
      <w:r w:rsidRPr="007C3EC7">
        <w:rPr>
          <w:rFonts w:cs="Traditional Arabic" w:hint="cs"/>
          <w:color w:val="000000"/>
          <w:sz w:val="28"/>
          <w:szCs w:val="32"/>
          <w:rtl/>
        </w:rPr>
        <w:t xml:space="preserve"> بعد المصروفات القضائية والمبالغة المستحقة للخزانة العامة ومصروفات الحف والترميم وحقوق الامتياز العامة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تزاحمت مصروفات الزراعة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بالنسبة إلى المحصول</w:t>
      </w:r>
      <w:r>
        <w:rPr>
          <w:rFonts w:cs="Traditional Arabic" w:hint="cs"/>
          <w:color w:val="000000"/>
          <w:sz w:val="28"/>
          <w:szCs w:val="32"/>
          <w:rtl/>
        </w:rPr>
        <w:t xml:space="preserve"> ،</w:t>
      </w:r>
      <w:r w:rsidRPr="007C3EC7">
        <w:rPr>
          <w:rFonts w:cs="Traditional Arabic" w:hint="cs"/>
          <w:color w:val="000000"/>
          <w:sz w:val="28"/>
          <w:szCs w:val="32"/>
          <w:rtl/>
        </w:rPr>
        <w:t xml:space="preserve"> فإنها تستوفي بنسبة كل منها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كذلك إذا تزاحمت مصروفات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كالثمن ومصروفات الإصلاح ومصروفات التحسين</w:t>
      </w:r>
      <w:r>
        <w:rPr>
          <w:rFonts w:cs="Traditional Arabic" w:hint="cs"/>
          <w:color w:val="000000"/>
          <w:sz w:val="28"/>
          <w:szCs w:val="32"/>
          <w:rtl/>
        </w:rPr>
        <w:t xml:space="preserve"> ،</w:t>
      </w:r>
      <w:r w:rsidRPr="007C3EC7">
        <w:rPr>
          <w:rFonts w:cs="Traditional Arabic" w:hint="cs"/>
          <w:color w:val="000000"/>
          <w:sz w:val="28"/>
          <w:szCs w:val="32"/>
          <w:rtl/>
        </w:rPr>
        <w:t xml:space="preserve"> فيما بينها</w:t>
      </w:r>
      <w:r>
        <w:rPr>
          <w:rFonts w:cs="Traditional Arabic" w:hint="cs"/>
          <w:color w:val="000000"/>
          <w:sz w:val="28"/>
          <w:szCs w:val="32"/>
          <w:rtl/>
        </w:rPr>
        <w:t xml:space="preserve"> ،</w:t>
      </w:r>
      <w:r w:rsidRPr="007C3EC7">
        <w:rPr>
          <w:rFonts w:cs="Traditional Arabic" w:hint="cs"/>
          <w:color w:val="000000"/>
          <w:sz w:val="28"/>
          <w:szCs w:val="32"/>
          <w:rtl/>
        </w:rPr>
        <w:t xml:space="preserve"> بالنسبة إلى آلات الزراعة</w:t>
      </w:r>
      <w:r>
        <w:rPr>
          <w:rFonts w:cs="Traditional Arabic" w:hint="cs"/>
          <w:color w:val="000000"/>
          <w:sz w:val="28"/>
          <w:szCs w:val="32"/>
          <w:rtl/>
        </w:rPr>
        <w:t xml:space="preserve"> ،</w:t>
      </w:r>
      <w:r w:rsidRPr="007C3EC7">
        <w:rPr>
          <w:rFonts w:cs="Traditional Arabic" w:hint="cs"/>
          <w:color w:val="000000"/>
          <w:sz w:val="28"/>
          <w:szCs w:val="32"/>
          <w:rtl/>
        </w:rPr>
        <w:t xml:space="preserve"> فإنها أيضاً تستوفي بنسبة كل منها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يمكنان تتزاحم مصروفات الزراعة مع مصروفات الآلات الزراعية لأن محل الأولى هو المحصول</w:t>
      </w:r>
      <w:r>
        <w:rPr>
          <w:rFonts w:cs="Traditional Arabic" w:hint="cs"/>
          <w:color w:val="000000"/>
          <w:sz w:val="28"/>
          <w:szCs w:val="32"/>
          <w:rtl/>
        </w:rPr>
        <w:t xml:space="preserve"> ،</w:t>
      </w:r>
      <w:r w:rsidRPr="007C3EC7">
        <w:rPr>
          <w:rFonts w:cs="Traditional Arabic" w:hint="cs"/>
          <w:color w:val="000000"/>
          <w:sz w:val="28"/>
          <w:szCs w:val="32"/>
          <w:rtl/>
        </w:rPr>
        <w:t xml:space="preserve"> ومحل الثانية هو الآلات الزراعية</w:t>
      </w:r>
      <w:r>
        <w:rPr>
          <w:rFonts w:cs="Traditional Arabic" w:hint="cs"/>
          <w:color w:val="000000"/>
          <w:sz w:val="28"/>
          <w:szCs w:val="32"/>
          <w:rtl/>
        </w:rPr>
        <w:t xml:space="preserve"> ،</w:t>
      </w:r>
      <w:r w:rsidRPr="007C3EC7">
        <w:rPr>
          <w:rFonts w:cs="Traditional Arabic" w:hint="cs"/>
          <w:color w:val="000000"/>
          <w:sz w:val="28"/>
          <w:szCs w:val="32"/>
          <w:rtl/>
        </w:rPr>
        <w:t xml:space="preserve"> كما سبق القول</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2- امتياز المؤجر</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702-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1143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أجرة المباني الأراضي الزراعية لسنتين أو لمدة الإيجار إن قلت عن ذلك</w:t>
      </w:r>
      <w:r>
        <w:rPr>
          <w:rFonts w:cs="Traditional Arabic" w:hint="cs"/>
          <w:color w:val="000000"/>
          <w:sz w:val="28"/>
          <w:szCs w:val="32"/>
          <w:rtl/>
        </w:rPr>
        <w:t xml:space="preserve"> ،</w:t>
      </w:r>
      <w:r w:rsidRPr="007C3EC7">
        <w:rPr>
          <w:rFonts w:cs="Traditional Arabic" w:hint="cs"/>
          <w:color w:val="000000"/>
          <w:sz w:val="28"/>
          <w:szCs w:val="32"/>
          <w:rtl/>
        </w:rPr>
        <w:t xml:space="preserve"> وكل حق آخر للمؤجر بمقتضى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يكون لها جميعاً امتياز على ما يكون موجوداً بالعين المؤجرة ومملوكاً للمستأجر من منقول قابل للحجز ومن محصول زراعي"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ويثبت الامتياز ولو كانت المنقولات مملوكة لزوجة المستأجر $971 أو كانت مملوكة للغير</w:t>
      </w:r>
      <w:r>
        <w:rPr>
          <w:rFonts w:cs="Traditional Arabic" w:hint="cs"/>
          <w:color w:val="000000"/>
          <w:sz w:val="28"/>
          <w:szCs w:val="32"/>
          <w:rtl/>
        </w:rPr>
        <w:t xml:space="preserve"> ،</w:t>
      </w:r>
      <w:r w:rsidRPr="007C3EC7">
        <w:rPr>
          <w:rFonts w:cs="Traditional Arabic" w:hint="cs"/>
          <w:color w:val="000000"/>
          <w:sz w:val="28"/>
          <w:szCs w:val="32"/>
          <w:rtl/>
        </w:rPr>
        <w:t xml:space="preserve"> ولم يثبت أن المؤجر كان يعلم وقت وضعها في العين المؤجرة بوجود حق للغير عليها</w:t>
      </w:r>
      <w:r>
        <w:rPr>
          <w:rFonts w:cs="Traditional Arabic" w:hint="cs"/>
          <w:color w:val="000000"/>
          <w:sz w:val="28"/>
          <w:szCs w:val="32"/>
          <w:rtl/>
        </w:rPr>
        <w:t xml:space="preserve"> ،</w:t>
      </w:r>
      <w:r w:rsidRPr="007C3EC7">
        <w:rPr>
          <w:rFonts w:cs="Traditional Arabic" w:hint="cs"/>
          <w:color w:val="000000"/>
          <w:sz w:val="28"/>
          <w:szCs w:val="32"/>
          <w:rtl/>
        </w:rPr>
        <w:t xml:space="preserve"> وذلك دون إخلال بالأحكام المتعلقة بالمنقولات المسروقة أو الضائعة"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ويقع الامتياز أيضاً على المنقولات والمحصولات المملوكة للمستأجر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إذا كان المؤجر قد اشترط صراحة عدم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فإذا لم يشترط ذلك</w:t>
      </w:r>
      <w:r>
        <w:rPr>
          <w:rFonts w:cs="Traditional Arabic" w:hint="cs"/>
          <w:color w:val="000000"/>
          <w:sz w:val="28"/>
          <w:szCs w:val="32"/>
          <w:rtl/>
        </w:rPr>
        <w:t xml:space="preserve"> ،</w:t>
      </w:r>
      <w:r w:rsidRPr="007C3EC7">
        <w:rPr>
          <w:rFonts w:cs="Traditional Arabic" w:hint="cs"/>
          <w:color w:val="000000"/>
          <w:sz w:val="28"/>
          <w:szCs w:val="32"/>
          <w:rtl/>
        </w:rPr>
        <w:t xml:space="preserve"> فلا يثبت الامتياز إلا للمبالغ التي تكون مستحقة للمستـأجر الأصلي في ذمة المستأجر من الباطن في الوقت الذي ينذره فيه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"4- وتستوفي هذه المبالغ الممتازة من ثمن الأموال المثقلة بالامتياز بعد الحقوق المتقدمة الذكر</w:t>
      </w:r>
      <w:r>
        <w:rPr>
          <w:rFonts w:cs="Traditional Arabic" w:hint="cs"/>
          <w:color w:val="000000"/>
          <w:sz w:val="28"/>
          <w:szCs w:val="32"/>
          <w:rtl/>
        </w:rPr>
        <w:t xml:space="preserve"> ،</w:t>
      </w:r>
      <w:r w:rsidRPr="007C3EC7">
        <w:rPr>
          <w:rFonts w:cs="Traditional Arabic" w:hint="cs"/>
          <w:color w:val="000000"/>
          <w:sz w:val="28"/>
          <w:szCs w:val="32"/>
          <w:rtl/>
        </w:rPr>
        <w:t xml:space="preserve"> إلا ما كان من هذه الحقوق غير نافذة في حق المؤجر باعتباره حائزاً حسن النية"</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"5- وإذا نقلت الأموال المثقلة بالامتياز من العين المؤجرة على الرغم من معارضة المؤجر أو على </w:t>
      </w:r>
      <w:r w:rsidRPr="007C3EC7">
        <w:rPr>
          <w:rFonts w:cs="Traditional Arabic" w:hint="cs"/>
          <w:color w:val="000000"/>
          <w:sz w:val="28"/>
          <w:szCs w:val="32"/>
          <w:rtl/>
        </w:rPr>
        <w:lastRenderedPageBreak/>
        <w:t>غير علم منه</w:t>
      </w:r>
      <w:r>
        <w:rPr>
          <w:rFonts w:cs="Traditional Arabic" w:hint="cs"/>
          <w:color w:val="000000"/>
          <w:sz w:val="28"/>
          <w:szCs w:val="32"/>
          <w:rtl/>
        </w:rPr>
        <w:t xml:space="preserve"> ،</w:t>
      </w:r>
      <w:r w:rsidRPr="007C3EC7">
        <w:rPr>
          <w:rFonts w:cs="Traditional Arabic" w:hint="cs"/>
          <w:color w:val="000000"/>
          <w:sz w:val="28"/>
          <w:szCs w:val="32"/>
          <w:rtl/>
        </w:rPr>
        <w:t xml:space="preserve"> ولم يبقى في العين أموال كافية لضمان الحقوق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بقي الامتياز قائماً على الأموال التي نقلت دون أن يضر ذلك بالحق الذي كسبه الغير حسن النية على هذه الأموال</w:t>
      </w:r>
      <w:r>
        <w:rPr>
          <w:rFonts w:cs="Traditional Arabic" w:hint="cs"/>
          <w:color w:val="000000"/>
          <w:sz w:val="28"/>
          <w:szCs w:val="32"/>
          <w:rtl/>
        </w:rPr>
        <w:t xml:space="preserve"> ،</w:t>
      </w:r>
      <w:r w:rsidRPr="007C3EC7">
        <w:rPr>
          <w:rFonts w:cs="Traditional Arabic" w:hint="cs"/>
          <w:color w:val="000000"/>
          <w:sz w:val="28"/>
          <w:szCs w:val="32"/>
          <w:rtl/>
        </w:rPr>
        <w:t xml:space="preserve"> ويبقى الامتياز قائماً ولو أضر بحق الغير مدة ثلاث سنوات من يوم نقلها إذا أوقع المؤجر عليها حجزاً استحقاقياً في الميعاد القانوني</w:t>
      </w:r>
      <w:r>
        <w:rPr>
          <w:rFonts w:cs="Traditional Arabic" w:hint="cs"/>
          <w:color w:val="000000"/>
          <w:sz w:val="28"/>
          <w:szCs w:val="32"/>
          <w:rtl/>
        </w:rPr>
        <w:t xml:space="preserve"> .</w:t>
      </w:r>
      <w:r w:rsidRPr="007C3EC7">
        <w:rPr>
          <w:rFonts w:cs="Traditional Arabic" w:hint="cs"/>
          <w:color w:val="000000"/>
          <w:sz w:val="28"/>
          <w:szCs w:val="32"/>
          <w:rtl/>
        </w:rPr>
        <w:t xml:space="preserve"> ومع ذلك إذا بيعت هذه الأموال إلى مشتر حسن النية في سوق عام أو في مزاد علني أو ممن يتجر في مثلها</w:t>
      </w:r>
      <w:r>
        <w:rPr>
          <w:rFonts w:cs="Traditional Arabic" w:hint="cs"/>
          <w:color w:val="000000"/>
          <w:sz w:val="28"/>
          <w:szCs w:val="32"/>
          <w:rtl/>
        </w:rPr>
        <w:t xml:space="preserve"> ،</w:t>
      </w:r>
      <w:r w:rsidRPr="007C3EC7">
        <w:rPr>
          <w:rFonts w:cs="Traditional Arabic" w:hint="cs"/>
          <w:color w:val="000000"/>
          <w:sz w:val="28"/>
          <w:szCs w:val="32"/>
          <w:rtl/>
        </w:rPr>
        <w:t xml:space="preserve"> وجب على المؤجر أن يرد المثمن إلى هذا المشتري"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$973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كل ما هو مستحق للمؤجر بمقتضى عقد الإيجار من أجرة لا تزيد على سنتين وتعويض</w:t>
      </w:r>
      <w:r>
        <w:rPr>
          <w:rFonts w:cs="Traditional Arabic" w:hint="cs"/>
          <w:color w:val="000000"/>
          <w:sz w:val="28"/>
          <w:szCs w:val="32"/>
          <w:rtl/>
        </w:rPr>
        <w:t xml:space="preserve"> ،</w:t>
      </w:r>
      <w:r w:rsidRPr="007C3EC7">
        <w:rPr>
          <w:rFonts w:cs="Traditional Arabic" w:hint="cs"/>
          <w:color w:val="000000"/>
          <w:sz w:val="28"/>
          <w:szCs w:val="32"/>
          <w:rtl/>
        </w:rPr>
        <w:t xml:space="preserve"> وغير ذلك</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المنقولات الموجودة بالعين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إذا اعتقد المؤجر بحسن نية أنها مملوكة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وتدخل أيضاً منقولات الزوجة</w:t>
      </w:r>
      <w:r>
        <w:rPr>
          <w:rFonts w:cs="Traditional Arabic" w:hint="cs"/>
          <w:color w:val="000000"/>
          <w:sz w:val="28"/>
          <w:szCs w:val="32"/>
          <w:rtl/>
        </w:rPr>
        <w:t xml:space="preserve"> ،</w:t>
      </w:r>
      <w:r w:rsidRPr="007C3EC7">
        <w:rPr>
          <w:rFonts w:cs="Traditional Arabic" w:hint="cs"/>
          <w:color w:val="000000"/>
          <w:sz w:val="28"/>
          <w:szCs w:val="32"/>
          <w:rtl/>
        </w:rPr>
        <w:t xml:space="preserve"> ومنقولات المستأجر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هذا إذا اشترط المؤجر عدم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فإن لم يشترط فلا يثبت الامتياز إلا للمبالغ التي تكون مستحقة للمستأجر الأصلي في ذمة المستأجر من الباطن في الوقت الذي ينذره فيه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وهذا أيضاً عدا $974 المنقولات المسروقة أو الضائعة</w:t>
      </w:r>
      <w:r>
        <w:rPr>
          <w:rFonts w:cs="Traditional Arabic" w:hint="cs"/>
          <w:color w:val="000000"/>
          <w:sz w:val="28"/>
          <w:szCs w:val="32"/>
          <w:rtl/>
        </w:rPr>
        <w:t xml:space="preserve"> ،</w:t>
      </w:r>
      <w:r w:rsidRPr="007C3EC7">
        <w:rPr>
          <w:rFonts w:cs="Traditional Arabic" w:hint="cs"/>
          <w:color w:val="000000"/>
          <w:sz w:val="28"/>
          <w:szCs w:val="32"/>
          <w:rtl/>
        </w:rPr>
        <w:t xml:space="preserve"> فلأصحابها استرداد في ثلاثة سنوات وإذا نقلت هذه المنقولات من العين المؤجرة بغير رضاء المؤجر ولم يبق بالعين ما يفي بالمستحق</w:t>
      </w:r>
      <w:r>
        <w:rPr>
          <w:rFonts w:cs="Traditional Arabic" w:hint="cs"/>
          <w:color w:val="000000"/>
          <w:sz w:val="28"/>
          <w:szCs w:val="32"/>
          <w:rtl/>
        </w:rPr>
        <w:t xml:space="preserve"> ،</w:t>
      </w:r>
      <w:r w:rsidRPr="007C3EC7">
        <w:rPr>
          <w:rFonts w:cs="Traditional Arabic" w:hint="cs"/>
          <w:color w:val="000000"/>
          <w:sz w:val="28"/>
          <w:szCs w:val="32"/>
          <w:rtl/>
        </w:rPr>
        <w:t xml:space="preserve"> بقي الامتياز قائماً عيها إلى ثلاث سنوات من نقلها</w:t>
      </w:r>
      <w:r>
        <w:rPr>
          <w:rFonts w:cs="Traditional Arabic" w:hint="cs"/>
          <w:color w:val="000000"/>
          <w:sz w:val="28"/>
          <w:szCs w:val="32"/>
          <w:rtl/>
        </w:rPr>
        <w:t xml:space="preserve"> ،</w:t>
      </w:r>
      <w:r w:rsidRPr="007C3EC7">
        <w:rPr>
          <w:rFonts w:cs="Traditional Arabic" w:hint="cs"/>
          <w:color w:val="000000"/>
          <w:sz w:val="28"/>
          <w:szCs w:val="32"/>
          <w:rtl/>
        </w:rPr>
        <w:t xml:space="preserve"> فإذا كسب الغير عليها حقاً فإنه لا ينفذ في حق المؤجر إذا كان هذا قد أوقع حجزاً استحقاقياً في مدة ثلاثين يوماً م ننقلها</w:t>
      </w:r>
      <w:r>
        <w:rPr>
          <w:rFonts w:cs="Traditional Arabic" w:hint="cs"/>
          <w:color w:val="000000"/>
          <w:sz w:val="28"/>
          <w:szCs w:val="32"/>
          <w:rtl/>
        </w:rPr>
        <w:t xml:space="preserve"> .</w:t>
      </w:r>
      <w:r w:rsidRPr="007C3EC7">
        <w:rPr>
          <w:rFonts w:cs="Traditional Arabic" w:hint="cs"/>
          <w:color w:val="000000"/>
          <w:sz w:val="28"/>
          <w:szCs w:val="32"/>
          <w:rtl/>
        </w:rPr>
        <w:t xml:space="preserve"> لكن إذا بيعت في سوق عمومي أو في مزاد علني أو ممن يتجر في مثلها</w:t>
      </w:r>
      <w:r>
        <w:rPr>
          <w:rFonts w:cs="Traditional Arabic" w:hint="cs"/>
          <w:color w:val="000000"/>
          <w:sz w:val="28"/>
          <w:szCs w:val="32"/>
          <w:rtl/>
        </w:rPr>
        <w:t xml:space="preserve"> ،</w:t>
      </w:r>
      <w:r w:rsidRPr="007C3EC7">
        <w:rPr>
          <w:rFonts w:cs="Traditional Arabic" w:hint="cs"/>
          <w:color w:val="000000"/>
          <w:sz w:val="28"/>
          <w:szCs w:val="32"/>
          <w:rtl/>
        </w:rPr>
        <w:t xml:space="preserve"> وجب على المؤجر أن يرد الثمن</w:t>
      </w:r>
      <w:r>
        <w:rPr>
          <w:rFonts w:cs="Traditional Arabic" w:hint="cs"/>
          <w:color w:val="000000"/>
          <w:sz w:val="28"/>
          <w:szCs w:val="32"/>
          <w:rtl/>
        </w:rPr>
        <w:t xml:space="preserve"> .</w:t>
      </w:r>
      <w:r w:rsidRPr="007C3EC7">
        <w:rPr>
          <w:rFonts w:cs="Traditional Arabic" w:hint="cs"/>
          <w:color w:val="000000"/>
          <w:sz w:val="28"/>
          <w:szCs w:val="32"/>
          <w:rtl/>
        </w:rPr>
        <w:t xml:space="preserve"> والأصل أن نقل هذه المنقولات بدون رضاء المؤجر يعتبر سرقة للمرهون</w:t>
      </w:r>
      <w:r>
        <w:rPr>
          <w:rFonts w:cs="Traditional Arabic" w:hint="cs"/>
          <w:color w:val="000000"/>
          <w:sz w:val="28"/>
          <w:szCs w:val="32"/>
          <w:rtl/>
        </w:rPr>
        <w:t xml:space="preserve"> ،</w:t>
      </w:r>
      <w:r w:rsidRPr="007C3EC7">
        <w:rPr>
          <w:rFonts w:cs="Traditional Arabic" w:hint="cs"/>
          <w:color w:val="000000"/>
          <w:sz w:val="28"/>
          <w:szCs w:val="32"/>
          <w:rtl/>
        </w:rPr>
        <w:t xml:space="preserve"> ولذلك تطبق قواعد الحيازة في المنقولات المسروقة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السادسة بعد حقوق الامتياز السابقة الذكر</w:t>
      </w:r>
      <w:r>
        <w:rPr>
          <w:rFonts w:cs="Traditional Arabic" w:hint="cs"/>
          <w:color w:val="000000"/>
          <w:sz w:val="28"/>
          <w:szCs w:val="32"/>
          <w:rtl/>
        </w:rPr>
        <w:t xml:space="preserve"> ،</w:t>
      </w:r>
      <w:r w:rsidRPr="007C3EC7">
        <w:rPr>
          <w:rFonts w:cs="Traditional Arabic" w:hint="cs"/>
          <w:color w:val="000000"/>
          <w:sz w:val="28"/>
          <w:szCs w:val="32"/>
          <w:rtl/>
        </w:rPr>
        <w:t xml:space="preserve"> إلا ما كان منها لا ينفذ في حق المؤجر لحسن نيته</w:t>
      </w:r>
      <w:r>
        <w:rPr>
          <w:rFonts w:cs="Traditional Arabic" w:hint="cs"/>
          <w:color w:val="000000"/>
          <w:sz w:val="28"/>
          <w:szCs w:val="32"/>
          <w:rtl/>
        </w:rPr>
        <w:t xml:space="preserve"> ،</w:t>
      </w:r>
      <w:r w:rsidRPr="007C3EC7">
        <w:rPr>
          <w:rFonts w:cs="Traditional Arabic" w:hint="cs"/>
          <w:color w:val="000000"/>
          <w:sz w:val="28"/>
          <w:szCs w:val="32"/>
          <w:rtl/>
        </w:rPr>
        <w:t xml:space="preserve"> كما إذ اشترى آلة زراعة ولم يدفع ثمنها وأدخلها في الأرض المؤجرة دون أن يعلم المؤجر أن ثمنها لم يدفع"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وسنشرح 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وقد سبق أن بحثنا هذا الموضوع في عقد الإيجار </w:t>
      </w:r>
      <w:r>
        <w:rPr>
          <w:rFonts w:cs="Traditional Arabic" w:hint="cs"/>
          <w:color w:val="000000"/>
          <w:sz w:val="28"/>
          <w:szCs w:val="32"/>
          <w:rtl/>
        </w:rPr>
        <w:t xml:space="preserve">( </w:t>
      </w:r>
      <w:r w:rsidRPr="007C3EC7">
        <w:rPr>
          <w:rFonts w:cs="Traditional Arabic" w:hint="cs"/>
          <w:color w:val="000000"/>
          <w:sz w:val="28"/>
          <w:szCs w:val="32"/>
          <w:rtl/>
        </w:rPr>
        <w:t>الجزء السادس من الوسيط المجلد الأول</w:t>
      </w:r>
      <w:r>
        <w:rPr>
          <w:rFonts w:cs="Traditional Arabic" w:hint="cs"/>
          <w:color w:val="000000"/>
          <w:sz w:val="28"/>
          <w:szCs w:val="32"/>
          <w:rtl/>
        </w:rPr>
        <w:t xml:space="preserve"> ) .</w:t>
      </w:r>
      <w:r w:rsidRPr="007C3EC7">
        <w:rPr>
          <w:rFonts w:cs="Traditional Arabic" w:hint="cs"/>
          <w:color w:val="000000"/>
          <w:sz w:val="28"/>
          <w:szCs w:val="32"/>
          <w:rtl/>
        </w:rPr>
        <w:t>لذلك سنجعل شرحنا هنا متمشياً مع ما سبق أن قدمناه في 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لكننا سنتتبع هذا نفس الترتيب الذي سرنا عليه في سائر حقوق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فنتكلم في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ثم في 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ثم في مرتبة الامتياز</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lastRenderedPageBreak/>
        <w:t>أ - الحق الممتاز</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703- حق المؤجر الناشئ من عقد إيجار صحيح</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الحق الممتاز هو كل حق للمؤجر</w:t>
      </w:r>
      <w:r>
        <w:rPr>
          <w:rFonts w:cs="Traditional Arabic" w:hint="cs"/>
          <w:color w:val="000000"/>
          <w:sz w:val="28"/>
          <w:szCs w:val="32"/>
          <w:rtl/>
        </w:rPr>
        <w:t xml:space="preserve"> ،</w:t>
      </w:r>
      <w:r w:rsidRPr="007C3EC7">
        <w:rPr>
          <w:rFonts w:cs="Traditional Arabic" w:hint="cs"/>
          <w:color w:val="000000"/>
          <w:sz w:val="28"/>
          <w:szCs w:val="32"/>
          <w:rtl/>
        </w:rPr>
        <w:t xml:space="preserve"> ينشأ من عقد إيجار صحيح</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فيجب أولا أن يوجد عقد إيجار صحيح</w:t>
      </w:r>
      <w:r>
        <w:rPr>
          <w:rFonts w:cs="Traditional Arabic" w:hint="cs"/>
          <w:color w:val="000000"/>
          <w:sz w:val="28"/>
          <w:szCs w:val="32"/>
          <w:rtl/>
        </w:rPr>
        <w:t xml:space="preserve"> .</w:t>
      </w:r>
      <w:r w:rsidRPr="007C3EC7">
        <w:rPr>
          <w:rFonts w:cs="Traditional Arabic" w:hint="cs"/>
          <w:color w:val="000000"/>
          <w:sz w:val="28"/>
          <w:szCs w:val="32"/>
          <w:rtl/>
        </w:rPr>
        <w:t xml:space="preserve"> فإذا كان عقد الإيجار باطلا</w:t>
      </w:r>
      <w:r>
        <w:rPr>
          <w:rFonts w:cs="Traditional Arabic" w:hint="cs"/>
          <w:color w:val="000000"/>
          <w:sz w:val="28"/>
          <w:szCs w:val="32"/>
          <w:rtl/>
        </w:rPr>
        <w:t xml:space="preserve"> ،</w:t>
      </w:r>
      <w:r w:rsidRPr="007C3EC7">
        <w:rPr>
          <w:rFonts w:cs="Traditional Arabic" w:hint="cs"/>
          <w:color w:val="000000"/>
          <w:sz w:val="28"/>
          <w:szCs w:val="32"/>
          <w:rtl/>
        </w:rPr>
        <w:t xml:space="preserve"> $975 أو قابلا للإبطال وأبطل</w:t>
      </w:r>
      <w:r>
        <w:rPr>
          <w:rFonts w:cs="Traditional Arabic" w:hint="cs"/>
          <w:color w:val="000000"/>
          <w:sz w:val="28"/>
          <w:szCs w:val="32"/>
          <w:rtl/>
        </w:rPr>
        <w:t xml:space="preserve"> ،</w:t>
      </w:r>
      <w:r w:rsidRPr="007C3EC7">
        <w:rPr>
          <w:rFonts w:cs="Traditional Arabic" w:hint="cs"/>
          <w:color w:val="000000"/>
          <w:sz w:val="28"/>
          <w:szCs w:val="32"/>
          <w:rtl/>
        </w:rPr>
        <w:t xml:space="preserve"> أو صورياً</w:t>
      </w:r>
      <w:r>
        <w:rPr>
          <w:rFonts w:cs="Traditional Arabic" w:hint="cs"/>
          <w:color w:val="000000"/>
          <w:sz w:val="28"/>
          <w:szCs w:val="32"/>
          <w:rtl/>
        </w:rPr>
        <w:t xml:space="preserve"> ،</w:t>
      </w:r>
      <w:r w:rsidRPr="007C3EC7">
        <w:rPr>
          <w:rFonts w:cs="Traditional Arabic" w:hint="cs"/>
          <w:color w:val="000000"/>
          <w:sz w:val="28"/>
          <w:szCs w:val="32"/>
          <w:rtl/>
        </w:rPr>
        <w:t xml:space="preserve"> فإنه لا يكون إيجاراً صحيحاً</w:t>
      </w:r>
      <w:r>
        <w:rPr>
          <w:rFonts w:cs="Traditional Arabic" w:hint="cs"/>
          <w:color w:val="000000"/>
          <w:sz w:val="28"/>
          <w:szCs w:val="32"/>
          <w:rtl/>
        </w:rPr>
        <w:t xml:space="preserve"> ،</w:t>
      </w:r>
      <w:r w:rsidRPr="007C3EC7">
        <w:rPr>
          <w:rFonts w:cs="Traditional Arabic" w:hint="cs"/>
          <w:color w:val="000000"/>
          <w:sz w:val="28"/>
          <w:szCs w:val="32"/>
          <w:rtl/>
        </w:rPr>
        <w:t xml:space="preserve"> ولا يترتب عليه أي أثر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كذلك إذا لم يوجد عقد إيجار أصلا</w:t>
      </w:r>
      <w:r>
        <w:rPr>
          <w:rFonts w:cs="Traditional Arabic" w:hint="cs"/>
          <w:color w:val="000000"/>
          <w:sz w:val="28"/>
          <w:szCs w:val="32"/>
          <w:rtl/>
        </w:rPr>
        <w:t xml:space="preserve"> ،</w:t>
      </w:r>
      <w:r w:rsidRPr="007C3EC7">
        <w:rPr>
          <w:rFonts w:cs="Traditional Arabic" w:hint="cs"/>
          <w:color w:val="000000"/>
          <w:sz w:val="28"/>
          <w:szCs w:val="32"/>
          <w:rtl/>
        </w:rPr>
        <w:t xml:space="preserve"> كما إذا كان شاغل العقار مغتصباً إياه</w:t>
      </w:r>
      <w:r>
        <w:rPr>
          <w:rFonts w:cs="Traditional Arabic" w:hint="cs"/>
          <w:color w:val="000000"/>
          <w:sz w:val="28"/>
          <w:szCs w:val="32"/>
          <w:rtl/>
        </w:rPr>
        <w:t xml:space="preserve"> ،</w:t>
      </w:r>
      <w:r w:rsidRPr="007C3EC7">
        <w:rPr>
          <w:rFonts w:cs="Traditional Arabic" w:hint="cs"/>
          <w:color w:val="000000"/>
          <w:sz w:val="28"/>
          <w:szCs w:val="32"/>
          <w:rtl/>
        </w:rPr>
        <w:t xml:space="preserve"> فإنه لا يوجد حق ممتاز لأنه لا يوجد عقد إيجار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يشترط</w:t>
      </w:r>
      <w:r>
        <w:rPr>
          <w:rFonts w:cs="Traditional Arabic" w:hint="cs"/>
          <w:color w:val="000000"/>
          <w:sz w:val="28"/>
          <w:szCs w:val="32"/>
          <w:rtl/>
        </w:rPr>
        <w:t xml:space="preserve"> ،</w:t>
      </w:r>
      <w:r w:rsidRPr="007C3EC7">
        <w:rPr>
          <w:rFonts w:cs="Traditional Arabic" w:hint="cs"/>
          <w:color w:val="000000"/>
          <w:sz w:val="28"/>
          <w:szCs w:val="32"/>
          <w:rtl/>
        </w:rPr>
        <w:t xml:space="preserve"> في احتجاج المؤجر بامتيازه على دائني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أن يكون الإيجار ثابت التاريخ</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704- يجب أن يكون محل الإيجار عقاراً</w:t>
      </w:r>
      <w:r>
        <w:rPr>
          <w:rFonts w:cs="Traditional Arabic" w:hint="cs"/>
          <w:b/>
          <w:bCs/>
          <w:color w:val="000000"/>
          <w:sz w:val="28"/>
          <w:szCs w:val="32"/>
          <w:rtl/>
        </w:rPr>
        <w:t xml:space="preserve"> :</w:t>
      </w:r>
      <w:r w:rsidRPr="007C3EC7">
        <w:rPr>
          <w:rFonts w:cs="Traditional Arabic" w:hint="cs"/>
          <w:color w:val="000000"/>
          <w:sz w:val="28"/>
          <w:szCs w:val="32"/>
          <w:rtl/>
        </w:rPr>
        <w:t xml:space="preserve"> فمؤجر الآلات وغيرها من المنقولات لا يكون له 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وإذا وضع مالك المبني في مبناه آلات وأجر المبني مع الآلات</w:t>
      </w:r>
      <w:r>
        <w:rPr>
          <w:rFonts w:cs="Traditional Arabic" w:hint="cs"/>
          <w:color w:val="000000"/>
          <w:sz w:val="28"/>
          <w:szCs w:val="32"/>
          <w:rtl/>
        </w:rPr>
        <w:t xml:space="preserve"> ،</w:t>
      </w:r>
      <w:r w:rsidRPr="007C3EC7">
        <w:rPr>
          <w:rFonts w:cs="Traditional Arabic" w:hint="cs"/>
          <w:color w:val="000000"/>
          <w:sz w:val="28"/>
          <w:szCs w:val="32"/>
          <w:rtl/>
        </w:rPr>
        <w:t xml:space="preserve"> فإنه لا يكون له امتياز إلا لضمان الجزء من الأجرة الخاص بالمبني دون الآلات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وكذلك مؤجر الدور المفروشة لا يكون له امتياز إلا لضمان الجزء من الأجر الذي يقابل إيجار الدور خالية غير مروشة</w:t>
      </w:r>
      <w:r>
        <w:rPr>
          <w:rFonts w:cs="Traditional Arabic" w:hint="cs"/>
          <w:color w:val="000000"/>
          <w:sz w:val="28"/>
          <w:szCs w:val="32"/>
          <w:rtl/>
        </w:rPr>
        <w:t xml:space="preserve"> ،</w:t>
      </w:r>
      <w:r w:rsidRPr="007C3EC7">
        <w:rPr>
          <w:rFonts w:cs="Traditional Arabic" w:hint="cs"/>
          <w:color w:val="000000"/>
          <w:sz w:val="28"/>
          <w:szCs w:val="32"/>
          <w:rtl/>
        </w:rPr>
        <w:t xml:space="preserve"> وما يقابل أجرة الفرش يكون ديناً عادياً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إيجار المباني والأراضي الزراعية فيعتبر إيجارً لعقار</w:t>
      </w:r>
      <w:r>
        <w:rPr>
          <w:rFonts w:cs="Traditional Arabic" w:hint="cs"/>
          <w:color w:val="000000"/>
          <w:sz w:val="28"/>
          <w:szCs w:val="32"/>
          <w:rtl/>
        </w:rPr>
        <w:t xml:space="preserve"> ،</w:t>
      </w:r>
      <w:r w:rsidRPr="007C3EC7">
        <w:rPr>
          <w:rFonts w:cs="Traditional Arabic" w:hint="cs"/>
          <w:color w:val="000000"/>
          <w:sz w:val="28"/>
          <w:szCs w:val="32"/>
          <w:rtl/>
        </w:rPr>
        <w:t xml:space="preserve"> والمباني والأراضي الزراعية مذكورة صراحة في النص </w:t>
      </w:r>
      <w:r>
        <w:rPr>
          <w:rFonts w:cs="Traditional Arabic" w:hint="cs"/>
          <w:color w:val="000000"/>
          <w:sz w:val="28"/>
          <w:szCs w:val="32"/>
          <w:rtl/>
        </w:rPr>
        <w:t xml:space="preserve">( </w:t>
      </w:r>
      <w:r w:rsidRPr="007C3EC7">
        <w:rPr>
          <w:rFonts w:cs="Traditional Arabic" w:hint="cs"/>
          <w:color w:val="000000"/>
          <w:sz w:val="28"/>
          <w:szCs w:val="32"/>
          <w:rtl/>
        </w:rPr>
        <w:t>م 1143</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بقيت الأرض الفضاء</w:t>
      </w:r>
      <w:r>
        <w:rPr>
          <w:rFonts w:cs="Traditional Arabic" w:hint="cs"/>
          <w:color w:val="000000"/>
          <w:sz w:val="28"/>
          <w:szCs w:val="32"/>
          <w:rtl/>
        </w:rPr>
        <w:t xml:space="preserve"> ،</w:t>
      </w:r>
      <w:r w:rsidRPr="007C3EC7">
        <w:rPr>
          <w:rFonts w:cs="Traditional Arabic" w:hint="cs"/>
          <w:color w:val="000000"/>
          <w:sz w:val="28"/>
          <w:szCs w:val="32"/>
          <w:rtl/>
        </w:rPr>
        <w:t xml:space="preserve"> كإيجار ارض فضاء لإقامة معرض أو مخيم أو ملعب</w:t>
      </w:r>
      <w:r>
        <w:rPr>
          <w:rFonts w:cs="Traditional Arabic" w:hint="cs"/>
          <w:color w:val="000000"/>
          <w:sz w:val="28"/>
          <w:szCs w:val="32"/>
          <w:rtl/>
        </w:rPr>
        <w:t xml:space="preserve"> ،</w:t>
      </w:r>
      <w:r w:rsidRPr="007C3EC7">
        <w:rPr>
          <w:rFonts w:cs="Traditional Arabic" w:hint="cs"/>
          <w:color w:val="000000"/>
          <w:sz w:val="28"/>
          <w:szCs w:val="32"/>
          <w:rtl/>
        </w:rPr>
        <w:t xml:space="preserve"> وقد ترجمت كلمة </w:t>
      </w:r>
      <w:r>
        <w:rPr>
          <w:rFonts w:cs="Traditional Arabic"/>
          <w:color w:val="000000"/>
          <w:sz w:val="28"/>
          <w:szCs w:val="32"/>
          <w:rtl/>
        </w:rPr>
        <w:t xml:space="preserve">( </w:t>
      </w:r>
      <w:r w:rsidRPr="007C3EC7">
        <w:rPr>
          <w:rFonts w:cs="Traditional Arabic"/>
          <w:color w:val="000000"/>
          <w:sz w:val="28"/>
          <w:szCs w:val="32"/>
        </w:rPr>
        <w:t>loyers</w:t>
      </w:r>
      <w:r>
        <w:rPr>
          <w:rFonts w:cs="Traditional Arabic"/>
          <w:color w:val="000000"/>
          <w:sz w:val="28"/>
          <w:szCs w:val="32"/>
          <w:rtl/>
        </w:rPr>
        <w:t xml:space="preserve"> )</w:t>
      </w:r>
      <w:r w:rsidRPr="007C3EC7">
        <w:rPr>
          <w:rFonts w:cs="Traditional Arabic" w:hint="cs"/>
          <w:color w:val="000000"/>
          <w:sz w:val="28"/>
          <w:szCs w:val="32"/>
          <w:rtl/>
        </w:rPr>
        <w:t xml:space="preserve"> بأجرة المباني</w:t>
      </w:r>
      <w:r>
        <w:rPr>
          <w:rFonts w:cs="Traditional Arabic" w:hint="cs"/>
          <w:color w:val="000000"/>
          <w:sz w:val="28"/>
          <w:szCs w:val="32"/>
          <w:rtl/>
        </w:rPr>
        <w:t xml:space="preserve"> ،</w:t>
      </w:r>
      <w:r w:rsidRPr="007C3EC7">
        <w:rPr>
          <w:rFonts w:cs="Traditional Arabic" w:hint="cs"/>
          <w:color w:val="000000"/>
          <w:sz w:val="28"/>
          <w:szCs w:val="32"/>
          <w:rtl/>
        </w:rPr>
        <w:t xml:space="preserve"> والصحيح أنها أجرة كل عقار غير الأراضي الزراعية</w:t>
      </w:r>
      <w:r>
        <w:rPr>
          <w:rFonts w:cs="Traditional Arabic" w:hint="cs"/>
          <w:color w:val="000000"/>
          <w:sz w:val="28"/>
          <w:szCs w:val="32"/>
          <w:rtl/>
        </w:rPr>
        <w:t xml:space="preserve"> ،</w:t>
      </w:r>
      <w:r w:rsidRPr="007C3EC7">
        <w:rPr>
          <w:rFonts w:cs="Traditional Arabic" w:hint="cs"/>
          <w:color w:val="000000"/>
          <w:sz w:val="28"/>
          <w:szCs w:val="32"/>
          <w:rtl/>
        </w:rPr>
        <w:t xml:space="preserve"> بما في ذلك أجرة الأرض الفضاء</w:t>
      </w:r>
      <w:r>
        <w:rPr>
          <w:rFonts w:cs="Traditional Arabic" w:hint="cs"/>
          <w:color w:val="000000"/>
          <w:sz w:val="28"/>
          <w:szCs w:val="32"/>
          <w:rtl/>
        </w:rPr>
        <w:t xml:space="preserve"> .</w:t>
      </w:r>
      <w:r w:rsidRPr="007C3EC7">
        <w:rPr>
          <w:rFonts w:cs="Traditional Arabic" w:hint="cs"/>
          <w:color w:val="000000"/>
          <w:sz w:val="28"/>
          <w:szCs w:val="32"/>
          <w:rtl/>
        </w:rPr>
        <w:t xml:space="preserve"> فيحسن الرجوع إلى الأصل</w:t>
      </w:r>
      <w:r>
        <w:rPr>
          <w:rFonts w:cs="Traditional Arabic" w:hint="cs"/>
          <w:color w:val="000000"/>
          <w:sz w:val="28"/>
          <w:szCs w:val="32"/>
          <w:rtl/>
        </w:rPr>
        <w:t xml:space="preserve"> ،</w:t>
      </w:r>
      <w:r w:rsidRPr="007C3EC7">
        <w:rPr>
          <w:rFonts w:cs="Traditional Arabic" w:hint="cs"/>
          <w:color w:val="000000"/>
          <w:sz w:val="28"/>
          <w:szCs w:val="32"/>
          <w:rtl/>
        </w:rPr>
        <w:t xml:space="preserve"> واعتبار الأرض الفضاء كالمباني</w:t>
      </w:r>
      <w:r>
        <w:rPr>
          <w:rFonts w:cs="Traditional Arabic" w:hint="cs"/>
          <w:color w:val="000000"/>
          <w:sz w:val="28"/>
          <w:szCs w:val="32"/>
          <w:rtl/>
        </w:rPr>
        <w:t xml:space="preserve"> ،</w:t>
      </w:r>
      <w:r w:rsidRPr="007C3EC7">
        <w:rPr>
          <w:rFonts w:cs="Traditional Arabic" w:hint="cs"/>
          <w:color w:val="000000"/>
          <w:sz w:val="28"/>
          <w:szCs w:val="32"/>
          <w:rtl/>
        </w:rPr>
        <w:t xml:space="preserve"> ولمؤجر $976 الأرض الفضاء امتياز مؤجر المباني</w:t>
      </w:r>
      <w:r>
        <w:rPr>
          <w:rFonts w:cs="Traditional Arabic" w:hint="cs"/>
          <w:color w:val="000000"/>
          <w:sz w:val="28"/>
          <w:szCs w:val="32"/>
          <w:rtl/>
        </w:rPr>
        <w:t xml:space="preserve"> ،</w:t>
      </w:r>
      <w:r w:rsidRPr="007C3EC7">
        <w:rPr>
          <w:rFonts w:cs="Traditional Arabic" w:hint="cs"/>
          <w:color w:val="000000"/>
          <w:sz w:val="28"/>
          <w:szCs w:val="32"/>
          <w:rtl/>
        </w:rPr>
        <w:t xml:space="preserve"> وهذا هو الرأي الراجح</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705- الأجرة لا تزيد على أجرة سنتين</w:t>
      </w:r>
      <w:r>
        <w:rPr>
          <w:rFonts w:cs="Traditional Arabic" w:hint="cs"/>
          <w:b/>
          <w:bCs/>
          <w:color w:val="000000"/>
          <w:sz w:val="28"/>
          <w:szCs w:val="32"/>
          <w:rtl/>
        </w:rPr>
        <w:t xml:space="preserve"> :</w:t>
      </w:r>
      <w:r w:rsidRPr="007C3EC7">
        <w:rPr>
          <w:rFonts w:cs="Traditional Arabic" w:hint="cs"/>
          <w:color w:val="000000"/>
          <w:sz w:val="28"/>
          <w:szCs w:val="32"/>
          <w:rtl/>
        </w:rPr>
        <w:t xml:space="preserve"> وفيما يتعلق بالأجرة</w:t>
      </w:r>
      <w:r>
        <w:rPr>
          <w:rFonts w:cs="Traditional Arabic" w:hint="cs"/>
          <w:color w:val="000000"/>
          <w:sz w:val="28"/>
          <w:szCs w:val="32"/>
          <w:rtl/>
        </w:rPr>
        <w:t xml:space="preserve"> ،</w:t>
      </w:r>
      <w:r w:rsidRPr="007C3EC7">
        <w:rPr>
          <w:rFonts w:cs="Traditional Arabic" w:hint="cs"/>
          <w:color w:val="000000"/>
          <w:sz w:val="28"/>
          <w:szCs w:val="32"/>
          <w:rtl/>
        </w:rPr>
        <w:t xml:space="preserve"> الممتاز هو أجرة سنتين لا أكثر</w:t>
      </w:r>
      <w:r>
        <w:rPr>
          <w:rFonts w:cs="Traditional Arabic" w:hint="cs"/>
          <w:color w:val="000000"/>
          <w:sz w:val="28"/>
          <w:szCs w:val="32"/>
          <w:rtl/>
        </w:rPr>
        <w:t xml:space="preserve"> .</w:t>
      </w:r>
      <w:r w:rsidRPr="007C3EC7">
        <w:rPr>
          <w:rFonts w:cs="Traditional Arabic" w:hint="cs"/>
          <w:color w:val="000000"/>
          <w:sz w:val="28"/>
          <w:szCs w:val="32"/>
          <w:rtl/>
        </w:rPr>
        <w:t xml:space="preserve"> فإذا كانت مدة عقد الإيجار أكثر من سنتين كان الممتاز هو أجرة السنتين</w:t>
      </w:r>
      <w:r>
        <w:rPr>
          <w:rFonts w:cs="Traditional Arabic" w:hint="cs"/>
          <w:color w:val="000000"/>
          <w:sz w:val="28"/>
          <w:szCs w:val="32"/>
          <w:rtl/>
        </w:rPr>
        <w:t xml:space="preserve"> .</w:t>
      </w:r>
      <w:r w:rsidRPr="007C3EC7">
        <w:rPr>
          <w:rFonts w:cs="Traditional Arabic" w:hint="cs"/>
          <w:color w:val="000000"/>
          <w:sz w:val="28"/>
          <w:szCs w:val="32"/>
          <w:rtl/>
        </w:rPr>
        <w:t xml:space="preserve"> وإذا كانت مدة الإيجار أقل من سنتين</w:t>
      </w:r>
      <w:r>
        <w:rPr>
          <w:rFonts w:cs="Traditional Arabic" w:hint="cs"/>
          <w:color w:val="000000"/>
          <w:sz w:val="28"/>
          <w:szCs w:val="32"/>
          <w:rtl/>
        </w:rPr>
        <w:t xml:space="preserve"> ،</w:t>
      </w:r>
      <w:r w:rsidRPr="007C3EC7">
        <w:rPr>
          <w:rFonts w:cs="Traditional Arabic" w:hint="cs"/>
          <w:color w:val="000000"/>
          <w:sz w:val="28"/>
          <w:szCs w:val="32"/>
          <w:rtl/>
        </w:rPr>
        <w:t xml:space="preserve"> كان الممتاز هو كل الأجرة</w:t>
      </w:r>
      <w:r>
        <w:rPr>
          <w:rFonts w:cs="Traditional Arabic" w:hint="cs"/>
          <w:color w:val="000000"/>
          <w:sz w:val="28"/>
          <w:szCs w:val="32"/>
          <w:rtl/>
        </w:rPr>
        <w:t xml:space="preserve"> ،</w:t>
      </w:r>
      <w:r w:rsidRPr="007C3EC7">
        <w:rPr>
          <w:rFonts w:cs="Traditional Arabic" w:hint="cs"/>
          <w:color w:val="000000"/>
          <w:sz w:val="28"/>
          <w:szCs w:val="32"/>
          <w:rtl/>
        </w:rPr>
        <w:t xml:space="preserve"> كأن تكون المدة سنة واحدة فيكون الممتاز هو أجرة السنة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كانت مدة الإيجار خمس سنوات مثلا</w:t>
      </w:r>
      <w:r>
        <w:rPr>
          <w:rFonts w:cs="Traditional Arabic" w:hint="cs"/>
          <w:color w:val="000000"/>
          <w:sz w:val="28"/>
          <w:szCs w:val="32"/>
          <w:rtl/>
        </w:rPr>
        <w:t xml:space="preserve"> ،</w:t>
      </w:r>
      <w:r w:rsidRPr="007C3EC7">
        <w:rPr>
          <w:rFonts w:cs="Traditional Arabic" w:hint="cs"/>
          <w:color w:val="000000"/>
          <w:sz w:val="28"/>
          <w:szCs w:val="32"/>
          <w:rtl/>
        </w:rPr>
        <w:t xml:space="preserve"> كان الحق الممتاز هو أجرة سنتين كما قدمنا</w:t>
      </w:r>
      <w:r>
        <w:rPr>
          <w:rFonts w:cs="Traditional Arabic" w:hint="cs"/>
          <w:color w:val="000000"/>
          <w:sz w:val="28"/>
          <w:szCs w:val="32"/>
          <w:rtl/>
        </w:rPr>
        <w:t xml:space="preserve"> .</w:t>
      </w:r>
      <w:r w:rsidRPr="007C3EC7">
        <w:rPr>
          <w:rFonts w:cs="Traditional Arabic" w:hint="cs"/>
          <w:color w:val="000000"/>
          <w:sz w:val="28"/>
          <w:szCs w:val="32"/>
          <w:rtl/>
        </w:rPr>
        <w:t xml:space="preserve"> ولكن القانون لم يذكر أية سنتين</w:t>
      </w:r>
      <w:r>
        <w:rPr>
          <w:rFonts w:cs="Traditional Arabic" w:hint="cs"/>
          <w:color w:val="000000"/>
          <w:sz w:val="28"/>
          <w:szCs w:val="32"/>
          <w:rtl/>
        </w:rPr>
        <w:t xml:space="preserve"> ،</w:t>
      </w:r>
      <w:r w:rsidRPr="007C3EC7">
        <w:rPr>
          <w:rFonts w:cs="Traditional Arabic" w:hint="cs"/>
          <w:color w:val="000000"/>
          <w:sz w:val="28"/>
          <w:szCs w:val="32"/>
          <w:rtl/>
        </w:rPr>
        <w:t xml:space="preserve"> هل هما السنتان السابقتان مباشرة على توزيع ثمن المنقولات التي يرد عليها الامتياز؟</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والرأي الراجح أنهما هما السنتان الأخيرتان من الأجرة الباقية في ذمة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سواء كانتا هما السنتان السابقتان مباشرة على التوزيع</w:t>
      </w:r>
      <w:r>
        <w:rPr>
          <w:rFonts w:cs="Traditional Arabic" w:hint="cs"/>
          <w:color w:val="000000"/>
          <w:sz w:val="28"/>
          <w:szCs w:val="32"/>
          <w:rtl/>
        </w:rPr>
        <w:t xml:space="preserve"> ،</w:t>
      </w:r>
      <w:r w:rsidRPr="007C3EC7">
        <w:rPr>
          <w:rFonts w:cs="Traditional Arabic" w:hint="cs"/>
          <w:color w:val="000000"/>
          <w:sz w:val="28"/>
          <w:szCs w:val="32"/>
          <w:rtl/>
        </w:rPr>
        <w:t xml:space="preserve"> أو كانتا غيرهما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706- الحقوق الممتازة الناشئة عن عقد الإيجار</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ولا يقتصر الأمر على الأجرة كحق ممتاز</w:t>
      </w:r>
      <w:r>
        <w:rPr>
          <w:rFonts w:cs="Traditional Arabic" w:hint="cs"/>
          <w:color w:val="000000"/>
          <w:sz w:val="28"/>
          <w:szCs w:val="32"/>
          <w:rtl/>
        </w:rPr>
        <w:t xml:space="preserve"> ،</w:t>
      </w:r>
      <w:r w:rsidRPr="007C3EC7">
        <w:rPr>
          <w:rFonts w:cs="Traditional Arabic" w:hint="cs"/>
          <w:color w:val="000000"/>
          <w:sz w:val="28"/>
          <w:szCs w:val="32"/>
          <w:rtl/>
        </w:rPr>
        <w:t xml:space="preserve"> بل كل حق آخر للمؤجر نشأ عن عقد الإيجار يكون حقاً ممتازاً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فيكون حقاً ممتازً</w:t>
      </w:r>
      <w:r>
        <w:rPr>
          <w:rFonts w:cs="Traditional Arabic" w:hint="cs"/>
          <w:color w:val="000000"/>
          <w:sz w:val="28"/>
          <w:szCs w:val="32"/>
          <w:rtl/>
        </w:rPr>
        <w:t xml:space="preserve"> ،</w:t>
      </w:r>
      <w:r w:rsidRPr="007C3EC7">
        <w:rPr>
          <w:rFonts w:cs="Traditional Arabic" w:hint="cs"/>
          <w:color w:val="000000"/>
          <w:sz w:val="28"/>
          <w:szCs w:val="32"/>
          <w:rtl/>
        </w:rPr>
        <w:t xml:space="preserve"> عدا الأجرة</w:t>
      </w:r>
      <w:r>
        <w:rPr>
          <w:rFonts w:cs="Traditional Arabic" w:hint="cs"/>
          <w:color w:val="000000"/>
          <w:sz w:val="28"/>
          <w:szCs w:val="32"/>
          <w:rtl/>
        </w:rPr>
        <w:t xml:space="preserve"> ،</w:t>
      </w:r>
      <w:r w:rsidRPr="007C3EC7">
        <w:rPr>
          <w:rFonts w:cs="Traditional Arabic" w:hint="cs"/>
          <w:color w:val="000000"/>
          <w:sz w:val="28"/>
          <w:szCs w:val="32"/>
          <w:rtl/>
        </w:rPr>
        <w:t xml:space="preserve"> التعويضات المستحقة عن تلف العين المؤجرة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3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أو المستحقة لاستعمال العين المؤجرة في غير ما أعدت له</w:t>
      </w:r>
      <w:r>
        <w:rPr>
          <w:rFonts w:cs="Traditional Arabic" w:hint="cs"/>
          <w:color w:val="000000"/>
          <w:sz w:val="28"/>
          <w:szCs w:val="32"/>
          <w:rtl/>
        </w:rPr>
        <w:t xml:space="preserve"> ،</w:t>
      </w:r>
      <w:r w:rsidRPr="007C3EC7">
        <w:rPr>
          <w:rFonts w:cs="Traditional Arabic" w:hint="cs"/>
          <w:color w:val="000000"/>
          <w:sz w:val="28"/>
          <w:szCs w:val="32"/>
          <w:rtl/>
        </w:rPr>
        <w:t xml:space="preserve"> أو المستحقة عن فسخ العقد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أو المستحقة عن عدم </w:t>
      </w:r>
      <w:r w:rsidRPr="007C3EC7">
        <w:rPr>
          <w:rFonts w:cs="Traditional Arabic" w:hint="cs"/>
          <w:color w:val="000000"/>
          <w:sz w:val="28"/>
          <w:szCs w:val="32"/>
          <w:rtl/>
        </w:rPr>
        <w:lastRenderedPageBreak/>
        <w:t>الوفاء بأي التزام آخر كالتزام المستأجر بتعمير حديقة المنزل أو تغيير أرضية المنزل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أو $977 المستحقة بموجب شرط جزائي</w:t>
      </w:r>
      <w:r>
        <w:rPr>
          <w:rFonts w:cs="Traditional Arabic" w:hint="cs"/>
          <w:color w:val="000000"/>
          <w:sz w:val="28"/>
          <w:szCs w:val="32"/>
          <w:rtl/>
        </w:rPr>
        <w:t xml:space="preserve"> .</w:t>
      </w:r>
      <w:r w:rsidRPr="007C3EC7">
        <w:rPr>
          <w:rFonts w:cs="Traditional Arabic" w:hint="cs"/>
          <w:color w:val="000000"/>
          <w:sz w:val="28"/>
          <w:szCs w:val="32"/>
          <w:rtl/>
        </w:rPr>
        <w:t xml:space="preserve"> كذلك يكون ممتازاً كل حق آخر أبته عقد الإيجار للمؤجر</w:t>
      </w:r>
      <w:r>
        <w:rPr>
          <w:rFonts w:cs="Traditional Arabic" w:hint="cs"/>
          <w:color w:val="000000"/>
          <w:sz w:val="28"/>
          <w:szCs w:val="32"/>
          <w:rtl/>
        </w:rPr>
        <w:t xml:space="preserve"> ،</w:t>
      </w:r>
      <w:r w:rsidRPr="007C3EC7">
        <w:rPr>
          <w:rFonts w:cs="Traditional Arabic" w:hint="cs"/>
          <w:color w:val="000000"/>
          <w:sz w:val="28"/>
          <w:szCs w:val="32"/>
          <w:rtl/>
        </w:rPr>
        <w:t xml:space="preserve"> كمصروفات المطالبة بالأجرة</w:t>
      </w:r>
      <w:r>
        <w:rPr>
          <w:rFonts w:cs="Traditional Arabic" w:hint="cs"/>
          <w:color w:val="000000"/>
          <w:sz w:val="28"/>
          <w:szCs w:val="32"/>
          <w:rtl/>
        </w:rPr>
        <w:t xml:space="preserve"> ،</w:t>
      </w:r>
      <w:r w:rsidRPr="007C3EC7">
        <w:rPr>
          <w:rFonts w:cs="Traditional Arabic" w:hint="cs"/>
          <w:color w:val="000000"/>
          <w:sz w:val="28"/>
          <w:szCs w:val="32"/>
          <w:rtl/>
        </w:rPr>
        <w:t xml:space="preserve"> وكالتعويض عند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وكالتعويض إذا أتلف المستأجر حاجت أودعها المؤجر العين المؤجرة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الديون التي لم تنشأ ع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كالتعويض الذي يستحقه المؤجر في مقابل انتفاع المستأجر بالعين المؤجرة مدة أطول من مدة العقد</w:t>
      </w:r>
      <w:r>
        <w:rPr>
          <w:rFonts w:cs="Traditional Arabic" w:hint="cs"/>
          <w:color w:val="000000"/>
          <w:sz w:val="28"/>
          <w:szCs w:val="32"/>
          <w:rtl/>
        </w:rPr>
        <w:t xml:space="preserve"> ،</w:t>
      </w:r>
      <w:r w:rsidRPr="007C3EC7">
        <w:rPr>
          <w:rFonts w:cs="Traditional Arabic" w:hint="cs"/>
          <w:color w:val="000000"/>
          <w:sz w:val="28"/>
          <w:szCs w:val="32"/>
          <w:rtl/>
        </w:rPr>
        <w:t xml:space="preserve"> أو في مقابل انتفاعه بالعين المؤجرة عند فسخ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أو القروض التي يعطيها المؤجر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فهذه لا تكون حقوقاً ممتازة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rFonts w:cs="Traditional Arabic" w:hint="cs"/>
          <w:b/>
          <w:bCs/>
          <w:color w:val="000000"/>
          <w:sz w:val="28"/>
          <w:szCs w:val="32"/>
          <w:rtl/>
        </w:rPr>
        <w:t xml:space="preserve">ب </w:t>
      </w:r>
      <w:r w:rsidRPr="007C3EC7">
        <w:rPr>
          <w:rFonts w:cs="Traditional Arabic"/>
          <w:b/>
          <w:bCs/>
          <w:color w:val="000000"/>
          <w:sz w:val="28"/>
          <w:szCs w:val="32"/>
          <w:rtl/>
        </w:rPr>
        <w:t>–</w:t>
      </w:r>
      <w:r w:rsidRPr="007C3EC7">
        <w:rPr>
          <w:rFonts w:cs="Traditional Arabic" w:hint="cs"/>
          <w:b/>
          <w:bCs/>
          <w:color w:val="000000"/>
          <w:sz w:val="28"/>
          <w:szCs w:val="32"/>
          <w:rtl/>
        </w:rPr>
        <w:t xml:space="preserve"> محل الامتياز</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707- المنقولات التي تجهز بها العين المؤجرة</w:t>
      </w:r>
      <w:r>
        <w:rPr>
          <w:rFonts w:cs="Traditional Arabic" w:hint="cs"/>
          <w:b/>
          <w:bCs/>
          <w:color w:val="000000"/>
          <w:sz w:val="28"/>
          <w:szCs w:val="32"/>
          <w:rtl/>
        </w:rPr>
        <w:t xml:space="preserve"> :</w:t>
      </w:r>
      <w:r w:rsidRPr="007C3EC7">
        <w:rPr>
          <w:rFonts w:cs="Traditional Arabic" w:hint="cs"/>
          <w:color w:val="000000"/>
          <w:sz w:val="28"/>
          <w:szCs w:val="32"/>
          <w:rtl/>
        </w:rPr>
        <w:t xml:space="preserve"> مثل هذه المنقولات أثاث المنزل</w:t>
      </w:r>
      <w:r>
        <w:rPr>
          <w:rFonts w:cs="Traditional Arabic" w:hint="cs"/>
          <w:color w:val="000000"/>
          <w:sz w:val="28"/>
          <w:szCs w:val="32"/>
          <w:rtl/>
        </w:rPr>
        <w:t xml:space="preserve"> ،</w:t>
      </w:r>
      <w:r w:rsidRPr="007C3EC7">
        <w:rPr>
          <w:rFonts w:cs="Traditional Arabic" w:hint="cs"/>
          <w:color w:val="000000"/>
          <w:sz w:val="28"/>
          <w:szCs w:val="32"/>
          <w:rtl/>
        </w:rPr>
        <w:t xml:space="preserve"> والكتب والملابس والأواني</w:t>
      </w:r>
      <w:r>
        <w:rPr>
          <w:rFonts w:cs="Traditional Arabic" w:hint="cs"/>
          <w:color w:val="000000"/>
          <w:sz w:val="28"/>
          <w:szCs w:val="32"/>
          <w:rtl/>
        </w:rPr>
        <w:t xml:space="preserve"> ،</w:t>
      </w:r>
      <w:r w:rsidRPr="007C3EC7">
        <w:rPr>
          <w:rFonts w:cs="Traditional Arabic" w:hint="cs"/>
          <w:color w:val="000000"/>
          <w:sz w:val="28"/>
          <w:szCs w:val="32"/>
          <w:rtl/>
        </w:rPr>
        <w:t xml:space="preserve"> والعربات السيارات</w:t>
      </w:r>
      <w:r>
        <w:rPr>
          <w:rFonts w:cs="Traditional Arabic" w:hint="cs"/>
          <w:color w:val="000000"/>
          <w:sz w:val="28"/>
          <w:szCs w:val="32"/>
          <w:rtl/>
        </w:rPr>
        <w:t xml:space="preserve"> ،</w:t>
      </w:r>
      <w:r w:rsidRPr="007C3EC7">
        <w:rPr>
          <w:rFonts w:cs="Traditional Arabic" w:hint="cs"/>
          <w:color w:val="000000"/>
          <w:sz w:val="28"/>
          <w:szCs w:val="32"/>
          <w:rtl/>
        </w:rPr>
        <w:t xml:space="preserve"> وأدوات الحرفة</w:t>
      </w:r>
      <w:r>
        <w:rPr>
          <w:rFonts w:cs="Traditional Arabic" w:hint="cs"/>
          <w:color w:val="000000"/>
          <w:sz w:val="28"/>
          <w:szCs w:val="32"/>
          <w:rtl/>
        </w:rPr>
        <w:t xml:space="preserve"> ،</w:t>
      </w:r>
      <w:r w:rsidRPr="007C3EC7">
        <w:rPr>
          <w:rFonts w:cs="Traditional Arabic" w:hint="cs"/>
          <w:color w:val="000000"/>
          <w:sz w:val="28"/>
          <w:szCs w:val="32"/>
          <w:rtl/>
        </w:rPr>
        <w:t xml:space="preserve"> والصور والتماثيل والمحصولات الزراعية سواء كانت محصولات السنة أو غيرها وسواء كانت ناتجة من العين المؤجرة أو من غيرها</w:t>
      </w:r>
      <w:r>
        <w:rPr>
          <w:rFonts w:cs="Traditional Arabic" w:hint="cs"/>
          <w:color w:val="000000"/>
          <w:sz w:val="28"/>
          <w:szCs w:val="32"/>
          <w:rtl/>
        </w:rPr>
        <w:t xml:space="preserve"> .</w:t>
      </w:r>
      <w:r w:rsidRPr="007C3EC7">
        <w:rPr>
          <w:rFonts w:cs="Traditional Arabic" w:hint="cs"/>
          <w:color w:val="000000"/>
          <w:sz w:val="28"/>
          <w:szCs w:val="32"/>
          <w:rtl/>
        </w:rPr>
        <w:t xml:space="preserve"> وذلك كله ما دامت هذه المنقولات موجودة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وقابلة للحجز عليها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ولكن امتياز المؤجر لا يشمل المنقولات المعنوية</w:t>
      </w:r>
      <w:r>
        <w:rPr>
          <w:rFonts w:cs="Traditional Arabic" w:hint="cs"/>
          <w:color w:val="000000"/>
          <w:sz w:val="28"/>
          <w:szCs w:val="32"/>
          <w:rtl/>
        </w:rPr>
        <w:t xml:space="preserve"> ،</w:t>
      </w:r>
      <w:r w:rsidRPr="007C3EC7">
        <w:rPr>
          <w:rFonts w:cs="Traditional Arabic" w:hint="cs"/>
          <w:color w:val="000000"/>
          <w:sz w:val="28"/>
          <w:szCs w:val="32"/>
          <w:rtl/>
        </w:rPr>
        <w:t xml:space="preserve"> ولا يشمل كذلك المنقولات المادية التي لا تعتبر العين المؤجرة مجهزة بها كالعقود والمصوغات والمجوهرات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ويرد الامتياز على المنقولات التي توجد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سواء $978 وضعت عند بدء الإيجار أو وضعت بعد ذلك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ولكن يشترط ألا يكون وجودها عرضياً</w:t>
      </w:r>
      <w:r>
        <w:rPr>
          <w:rFonts w:cs="Traditional Arabic" w:hint="cs"/>
          <w:color w:val="000000"/>
          <w:sz w:val="28"/>
          <w:szCs w:val="32"/>
          <w:rtl/>
        </w:rPr>
        <w:t xml:space="preserve"> ،</w:t>
      </w:r>
      <w:r w:rsidRPr="007C3EC7">
        <w:rPr>
          <w:rFonts w:cs="Traditional Arabic" w:hint="cs"/>
          <w:color w:val="000000"/>
          <w:sz w:val="28"/>
          <w:szCs w:val="32"/>
          <w:rtl/>
        </w:rPr>
        <w:t xml:space="preserve"> لأن الوجود العرضي ليس تجهيزاً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وقد نصت المادة 588 مدني على أنه "يجب على كل من استأجر منزلا أو مخزناً أو مكاناً مماثلا لذلك أو أرضا زراعية أن يضع في العين المؤجرة أثاثاً أو بضائع أو محصولات أو مواشي أو أدوات تكون قيمتها كافية لضمان الأجرة عن سنتين</w:t>
      </w:r>
      <w:r>
        <w:rPr>
          <w:rFonts w:cs="Traditional Arabic" w:hint="cs"/>
          <w:color w:val="000000"/>
          <w:sz w:val="28"/>
          <w:szCs w:val="32"/>
          <w:rtl/>
        </w:rPr>
        <w:t xml:space="preserve"> ،</w:t>
      </w:r>
      <w:r w:rsidRPr="007C3EC7">
        <w:rPr>
          <w:rFonts w:cs="Traditional Arabic" w:hint="cs"/>
          <w:color w:val="000000"/>
          <w:sz w:val="28"/>
          <w:szCs w:val="32"/>
          <w:rtl/>
        </w:rPr>
        <w:t xml:space="preserve"> أو عن كل مدة الإيجار إذا قلت عن سنتين</w:t>
      </w:r>
      <w:r>
        <w:rPr>
          <w:rFonts w:cs="Traditional Arabic" w:hint="cs"/>
          <w:color w:val="000000"/>
          <w:sz w:val="28"/>
          <w:szCs w:val="32"/>
          <w:rtl/>
        </w:rPr>
        <w:t xml:space="preserve"> ،</w:t>
      </w:r>
      <w:r w:rsidRPr="007C3EC7">
        <w:rPr>
          <w:rFonts w:cs="Traditional Arabic" w:hint="cs"/>
          <w:color w:val="000000"/>
          <w:sz w:val="28"/>
          <w:szCs w:val="32"/>
          <w:rtl/>
        </w:rPr>
        <w:t xml:space="preserve"> هذا ما لم تكن الأجرة قد عجلت</w:t>
      </w:r>
      <w:r>
        <w:rPr>
          <w:rFonts w:cs="Traditional Arabic" w:hint="cs"/>
          <w:color w:val="000000"/>
          <w:sz w:val="28"/>
          <w:szCs w:val="32"/>
          <w:rtl/>
        </w:rPr>
        <w:t xml:space="preserve"> .</w:t>
      </w:r>
      <w:r w:rsidRPr="007C3EC7">
        <w:rPr>
          <w:rFonts w:cs="Traditional Arabic" w:hint="cs"/>
          <w:color w:val="000000"/>
          <w:sz w:val="28"/>
          <w:szCs w:val="32"/>
          <w:rtl/>
        </w:rPr>
        <w:t xml:space="preserve"> ويعفى المستأجر من هذا الالتزام إذا تم الاتفاق على هذا الإعفاء</w:t>
      </w:r>
      <w:r>
        <w:rPr>
          <w:rFonts w:cs="Traditional Arabic" w:hint="cs"/>
          <w:color w:val="000000"/>
          <w:sz w:val="28"/>
          <w:szCs w:val="32"/>
          <w:rtl/>
        </w:rPr>
        <w:t xml:space="preserve"> ،</w:t>
      </w:r>
      <w:r w:rsidRPr="007C3EC7">
        <w:rPr>
          <w:rFonts w:cs="Traditional Arabic" w:hint="cs"/>
          <w:color w:val="000000"/>
          <w:sz w:val="28"/>
          <w:szCs w:val="32"/>
          <w:rtl/>
        </w:rPr>
        <w:t xml:space="preserve"> أو إذا قدم المستأجر تأميناً آخر"</w:t>
      </w:r>
      <w:r>
        <w:rPr>
          <w:rFonts w:cs="Traditional Arabic" w:hint="cs"/>
          <w:color w:val="000000"/>
          <w:sz w:val="28"/>
          <w:szCs w:val="32"/>
          <w:rtl/>
        </w:rPr>
        <w:t xml:space="preserve"> .</w:t>
      </w:r>
      <w:r w:rsidRPr="007C3EC7">
        <w:rPr>
          <w:rFonts w:cs="Traditional Arabic" w:hint="cs"/>
          <w:color w:val="000000"/>
          <w:sz w:val="28"/>
          <w:szCs w:val="32"/>
          <w:rtl/>
        </w:rPr>
        <w:t xml:space="preserve"> ويسوغ للمؤجر طلب تنفيذ هذا الالتزام عيناً</w:t>
      </w:r>
      <w:r>
        <w:rPr>
          <w:rFonts w:cs="Traditional Arabic" w:hint="cs"/>
          <w:color w:val="000000"/>
          <w:sz w:val="28"/>
          <w:szCs w:val="32"/>
          <w:rtl/>
        </w:rPr>
        <w:t xml:space="preserve"> ،</w:t>
      </w:r>
      <w:r w:rsidRPr="007C3EC7">
        <w:rPr>
          <w:rFonts w:cs="Traditional Arabic" w:hint="cs"/>
          <w:color w:val="000000"/>
          <w:sz w:val="28"/>
          <w:szCs w:val="32"/>
          <w:rtl/>
        </w:rPr>
        <w:t xml:space="preserve"> أو سخ الإيجار مع التعويض</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ويشترط في ثبوت امتياز المؤجر على هذه المنقولات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بقاء المنقولات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لأن امتياز المؤجر قام على فكرة الرهن الضمني</w:t>
      </w:r>
      <w:r>
        <w:rPr>
          <w:rFonts w:cs="Traditional Arabic" w:hint="cs"/>
          <w:color w:val="000000"/>
          <w:sz w:val="28"/>
          <w:szCs w:val="32"/>
          <w:rtl/>
        </w:rPr>
        <w:t xml:space="preserve"> ،</w:t>
      </w:r>
      <w:r w:rsidRPr="007C3EC7">
        <w:rPr>
          <w:rFonts w:cs="Traditional Arabic" w:hint="cs"/>
          <w:color w:val="000000"/>
          <w:sz w:val="28"/>
          <w:szCs w:val="32"/>
          <w:rtl/>
        </w:rPr>
        <w:t xml:space="preserve"> فإذا نقل المستأجر المنقولات برضاء المؤجر أو بعلمه ودون اعتراض منه</w:t>
      </w:r>
      <w:r>
        <w:rPr>
          <w:rFonts w:cs="Traditional Arabic" w:hint="cs"/>
          <w:color w:val="000000"/>
          <w:sz w:val="28"/>
          <w:szCs w:val="32"/>
          <w:rtl/>
        </w:rPr>
        <w:t xml:space="preserve"> ،</w:t>
      </w:r>
      <w:r w:rsidRPr="007C3EC7">
        <w:rPr>
          <w:rFonts w:cs="Traditional Arabic" w:hint="cs"/>
          <w:color w:val="000000"/>
          <w:sz w:val="28"/>
          <w:szCs w:val="32"/>
          <w:rtl/>
        </w:rPr>
        <w:t xml:space="preserve"> اعتبر المؤجر متنازلا عن حق امتيازه عليها</w:t>
      </w:r>
      <w:r>
        <w:rPr>
          <w:rFonts w:cs="Traditional Arabic" w:hint="cs"/>
          <w:color w:val="000000"/>
          <w:sz w:val="28"/>
          <w:szCs w:val="32"/>
          <w:rtl/>
        </w:rPr>
        <w:t xml:space="preserve"> .</w:t>
      </w:r>
      <w:r w:rsidRPr="007C3EC7">
        <w:rPr>
          <w:rFonts w:cs="Traditional Arabic" w:hint="cs"/>
          <w:color w:val="000000"/>
          <w:sz w:val="28"/>
          <w:szCs w:val="32"/>
          <w:rtl/>
        </w:rPr>
        <w:t xml:space="preserve"> ويبقى الامتياز قائماً إذا باع المستأجر أمتعته دون أن ينقلها من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ولو علم المؤجر بالبيع ما دام لم يرض عنه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ملكية المنقولات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ويجب أن تكون المنقولات مملوكة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فإذا كان منها منقول مملوك لغير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فإن ذلك لا يمنع المؤجر من استعمال حق امتيازه على هذا المنقول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لأنه يتمسك بقاعدة $979 الحيازة في المنقول إذا كان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فإذا كان المنقول ضائعاً أو مسروقاً</w:t>
      </w:r>
      <w:r>
        <w:rPr>
          <w:rFonts w:cs="Traditional Arabic" w:hint="cs"/>
          <w:color w:val="000000"/>
          <w:sz w:val="28"/>
          <w:szCs w:val="32"/>
          <w:rtl/>
        </w:rPr>
        <w:t xml:space="preserve"> ،</w:t>
      </w:r>
      <w:r w:rsidRPr="007C3EC7">
        <w:rPr>
          <w:rFonts w:cs="Traditional Arabic" w:hint="cs"/>
          <w:color w:val="000000"/>
          <w:sz w:val="28"/>
          <w:szCs w:val="32"/>
          <w:rtl/>
        </w:rPr>
        <w:t xml:space="preserve"> جاز لمالكه أن يسترده في خلال ثلاث سنوات تالية لوقت الضياع أو السرقة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708- المنقولات المملوكة لزوجة المستأجر</w:t>
      </w:r>
      <w:r>
        <w:rPr>
          <w:rFonts w:cs="Traditional Arabic" w:hint="cs"/>
          <w:b/>
          <w:bCs/>
          <w:color w:val="000000"/>
          <w:sz w:val="28"/>
          <w:szCs w:val="32"/>
          <w:rtl/>
        </w:rPr>
        <w:t xml:space="preserve"> :</w:t>
      </w:r>
      <w:r w:rsidRPr="007C3EC7">
        <w:rPr>
          <w:rFonts w:cs="Traditional Arabic" w:hint="cs"/>
          <w:color w:val="000000"/>
          <w:sz w:val="28"/>
          <w:szCs w:val="32"/>
          <w:rtl/>
        </w:rPr>
        <w:t xml:space="preserve"> وتنص الفقرة الثانية من المادة 1143 مدنين كما رأينا</w:t>
      </w:r>
      <w:r>
        <w:rPr>
          <w:rFonts w:cs="Traditional Arabic" w:hint="cs"/>
          <w:color w:val="000000"/>
          <w:sz w:val="28"/>
          <w:szCs w:val="32"/>
          <w:rtl/>
        </w:rPr>
        <w:t xml:space="preserve"> ،</w:t>
      </w:r>
      <w:r w:rsidRPr="007C3EC7">
        <w:rPr>
          <w:rFonts w:cs="Traditional Arabic" w:hint="cs"/>
          <w:color w:val="000000"/>
          <w:sz w:val="28"/>
          <w:szCs w:val="32"/>
          <w:rtl/>
        </w:rPr>
        <w:t xml:space="preserve">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"ويثبت الامتياز ولو كانت المنقولات مملوكة لزوجة المستأجر أو كانت مملوكة للغير</w:t>
      </w:r>
      <w:r>
        <w:rPr>
          <w:rFonts w:cs="Traditional Arabic" w:hint="cs"/>
          <w:color w:val="000000"/>
          <w:sz w:val="28"/>
          <w:szCs w:val="32"/>
          <w:rtl/>
        </w:rPr>
        <w:t xml:space="preserve"> ،</w:t>
      </w:r>
      <w:r w:rsidRPr="007C3EC7">
        <w:rPr>
          <w:rFonts w:cs="Traditional Arabic" w:hint="cs"/>
          <w:color w:val="000000"/>
          <w:sz w:val="28"/>
          <w:szCs w:val="32"/>
          <w:rtl/>
        </w:rPr>
        <w:t xml:space="preserve"> ولم يثبت أن المؤجر كان يعلم وقت وضعها في العين المؤجرة بوجود حق للغير عليها</w:t>
      </w:r>
      <w:r>
        <w:rPr>
          <w:rFonts w:cs="Traditional Arabic" w:hint="cs"/>
          <w:color w:val="000000"/>
          <w:sz w:val="28"/>
          <w:szCs w:val="32"/>
          <w:rtl/>
        </w:rPr>
        <w:t xml:space="preserve"> ،</w:t>
      </w:r>
      <w:r w:rsidRPr="007C3EC7">
        <w:rPr>
          <w:rFonts w:cs="Traditional Arabic" w:hint="cs"/>
          <w:color w:val="000000"/>
          <w:sz w:val="28"/>
          <w:szCs w:val="32"/>
          <w:rtl/>
        </w:rPr>
        <w:t xml:space="preserve"> وذلك دون </w:t>
      </w:r>
      <w:r w:rsidRPr="007C3EC7">
        <w:rPr>
          <w:rFonts w:cs="Traditional Arabic" w:hint="cs"/>
          <w:color w:val="000000"/>
          <w:sz w:val="28"/>
          <w:szCs w:val="32"/>
          <w:rtl/>
        </w:rPr>
        <w:lastRenderedPageBreak/>
        <w:t>إخلال بالأحكام المتعلقة بالمنقولات المسروقة أو الضائعة"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وطاهر أن المنقولات المملوكة لغير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غير المنقولات المملوكة لزوجة المستأجر والمنقولات المملوكة للمستأجر من الباطن وسيأتي بيان حكمها تباعاً</w:t>
      </w:r>
      <w:r>
        <w:rPr>
          <w:rFonts w:cs="Traditional Arabic" w:hint="cs"/>
          <w:color w:val="000000"/>
          <w:sz w:val="28"/>
          <w:szCs w:val="32"/>
          <w:rtl/>
        </w:rPr>
        <w:t xml:space="preserve"> ،</w:t>
      </w:r>
      <w:r w:rsidRPr="007C3EC7">
        <w:rPr>
          <w:rFonts w:cs="Traditional Arabic" w:hint="cs"/>
          <w:color w:val="000000"/>
          <w:sz w:val="28"/>
          <w:szCs w:val="32"/>
          <w:rtl/>
        </w:rPr>
        <w:t xml:space="preserve"> يفرض أن المؤجر حسن النية بالنسبة إليها</w:t>
      </w:r>
      <w:r>
        <w:rPr>
          <w:rFonts w:cs="Traditional Arabic" w:hint="cs"/>
          <w:color w:val="000000"/>
          <w:sz w:val="28"/>
          <w:szCs w:val="32"/>
          <w:rtl/>
        </w:rPr>
        <w:t xml:space="preserve"> ،</w:t>
      </w:r>
      <w:r w:rsidRPr="007C3EC7">
        <w:rPr>
          <w:rFonts w:cs="Traditional Arabic" w:hint="cs"/>
          <w:color w:val="000000"/>
          <w:sz w:val="28"/>
          <w:szCs w:val="32"/>
          <w:rtl/>
        </w:rPr>
        <w:t xml:space="preserve"> وأنه كان يعتقد وقت وضعها في العين المؤجرة أنها مملوكة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لذلك ستعمل المؤجر حق امتيازه عليها</w:t>
      </w:r>
      <w:r>
        <w:rPr>
          <w:rFonts w:cs="Traditional Arabic" w:hint="cs"/>
          <w:color w:val="000000"/>
          <w:sz w:val="28"/>
          <w:szCs w:val="32"/>
          <w:rtl/>
        </w:rPr>
        <w:t xml:space="preserve"> ،</w:t>
      </w:r>
      <w:r w:rsidRPr="007C3EC7">
        <w:rPr>
          <w:rFonts w:cs="Traditional Arabic" w:hint="cs"/>
          <w:color w:val="000000"/>
          <w:sz w:val="28"/>
          <w:szCs w:val="32"/>
          <w:rtl/>
        </w:rPr>
        <w:t xml:space="preserve"> ما عدا المنقولات المسروقة أو الضائعة التي يستردها مالكها في خلال ثلاث سنين كما قدمنا</w:t>
      </w:r>
      <w:r>
        <w:rPr>
          <w:rFonts w:cs="Traditional Arabic" w:hint="cs"/>
          <w:color w:val="000000"/>
          <w:sz w:val="28"/>
          <w:szCs w:val="32"/>
          <w:rtl/>
        </w:rPr>
        <w:t xml:space="preserve"> ،</w:t>
      </w:r>
      <w:r w:rsidRPr="007C3EC7">
        <w:rPr>
          <w:rFonts w:cs="Traditional Arabic" w:hint="cs"/>
          <w:color w:val="000000"/>
          <w:sz w:val="28"/>
          <w:szCs w:val="32"/>
          <w:rtl/>
        </w:rPr>
        <w:t xml:space="preserve"> وذلك ما لم يثبت مالك هذه المنقولات أن المؤجر كان يعلم بملكه لها وقت وضعها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وقد كتبنا في هذا الصدد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"وإن كانت المنقولات مملوكة للغير</w:t>
      </w:r>
      <w:r>
        <w:rPr>
          <w:rFonts w:cs="Traditional Arabic" w:hint="cs"/>
          <w:color w:val="000000"/>
          <w:sz w:val="28"/>
          <w:szCs w:val="32"/>
          <w:rtl/>
        </w:rPr>
        <w:t xml:space="preserve"> ،</w:t>
      </w:r>
      <w:r w:rsidRPr="007C3EC7">
        <w:rPr>
          <w:rFonts w:cs="Traditional Arabic" w:hint="cs"/>
          <w:color w:val="000000"/>
          <w:sz w:val="28"/>
          <w:szCs w:val="32"/>
          <w:rtl/>
        </w:rPr>
        <w:t xml:space="preserve"> فهنا يجب التمييز بين فرضين</w:t>
      </w:r>
      <w:r>
        <w:rPr>
          <w:rFonts w:cs="Traditional Arabic" w:hint="cs"/>
          <w:color w:val="000000"/>
          <w:sz w:val="28"/>
          <w:szCs w:val="32"/>
          <w:rtl/>
        </w:rPr>
        <w:t xml:space="preserve"> :</w:t>
      </w:r>
      <w:r w:rsidRPr="007C3EC7">
        <w:rPr>
          <w:rFonts w:cs="Traditional Arabic" w:hint="cs"/>
          <w:color w:val="000000"/>
          <w:sz w:val="28"/>
          <w:szCs w:val="32"/>
          <w:rtl/>
        </w:rPr>
        <w:t xml:space="preserve"> إما أن يعتقد المؤجر بحسن نية وقت وضع المنقولات في العين المؤجرة إنها مملوكة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وفي هذه الحالة يثبت له عليها حق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بشرط أ لا تكون مسروقة أو ضائعة وإلا ثبت للمالك الحقيقي الحق في استردادها في مدى ثلاث سنوات من وقت السرقة أو الضياع</w:t>
      </w:r>
      <w:r>
        <w:rPr>
          <w:rFonts w:cs="Traditional Arabic" w:hint="cs"/>
          <w:color w:val="000000"/>
          <w:sz w:val="28"/>
          <w:szCs w:val="32"/>
          <w:rtl/>
        </w:rPr>
        <w:t xml:space="preserve"> .</w:t>
      </w:r>
      <w:r w:rsidRPr="007C3EC7">
        <w:rPr>
          <w:rFonts w:cs="Traditional Arabic" w:hint="cs"/>
          <w:color w:val="000000"/>
          <w:sz w:val="28"/>
          <w:szCs w:val="32"/>
          <w:rtl/>
        </w:rPr>
        <w:t xml:space="preserve"> وحسن النية مفترض حتى يقوم الدليل على العكس</w:t>
      </w:r>
      <w:r>
        <w:rPr>
          <w:rFonts w:cs="Traditional Arabic" w:hint="cs"/>
          <w:color w:val="000000"/>
          <w:sz w:val="28"/>
          <w:szCs w:val="32"/>
          <w:rtl/>
        </w:rPr>
        <w:t xml:space="preserve"> ،</w:t>
      </w:r>
      <w:r w:rsidRPr="007C3EC7">
        <w:rPr>
          <w:rFonts w:cs="Traditional Arabic" w:hint="cs"/>
          <w:color w:val="000000"/>
          <w:sz w:val="28"/>
          <w:szCs w:val="32"/>
          <w:rtl/>
        </w:rPr>
        <w:t xml:space="preserve"> ويكفي أن يتوافر حسن النية وقت دخول المنقولات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وإما أن يثبت الغير أن المؤجر كمان يعلم وقت وضع المنقولات في العين المؤجرة أنها غير مملوكة للمستأجر وفي هذه الحالة لا يكون للمؤجر حق امتياز عليها </w:t>
      </w:r>
      <w:r>
        <w:rPr>
          <w:rFonts w:cs="Traditional Arabic" w:hint="cs"/>
          <w:color w:val="000000"/>
          <w:sz w:val="28"/>
          <w:szCs w:val="32"/>
          <w:rtl/>
        </w:rPr>
        <w:t xml:space="preserve"> . . .</w:t>
      </w:r>
      <w:r w:rsidRPr="007C3EC7">
        <w:rPr>
          <w:rFonts w:cs="Traditional Arabic" w:hint="cs"/>
          <w:color w:val="000000"/>
          <w:sz w:val="28"/>
          <w:szCs w:val="32"/>
          <w:rtl/>
        </w:rPr>
        <w:t>"</w:t>
      </w:r>
      <w:r w:rsidRPr="007C3EC7">
        <w:rPr>
          <w:rFonts w:cs="Traditional Arabic" w:hint="cs"/>
          <w:color w:val="000000"/>
          <w:sz w:val="28"/>
          <w:szCs w:val="32"/>
          <w:vertAlign w:val="superscript"/>
          <w:rtl/>
        </w:rPr>
        <w:t xml:space="preserve"> </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$ٍ980 أما عن المنقولات المملوكة لزوجة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فقد سبق أن كتبنا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"فإن كانت المنقولات مملوكة لزوجة المستأجر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فهناك قرينة على أن الزوجة عند ما رضيت بوضع منقولات مملوكة لها في عين استأجرها زوجها قد قبلت ضمناً أن تكون هذه المنقولات ضانة للأجرة</w:t>
      </w:r>
      <w:r>
        <w:rPr>
          <w:rFonts w:cs="Traditional Arabic" w:hint="cs"/>
          <w:color w:val="000000"/>
          <w:sz w:val="28"/>
          <w:szCs w:val="32"/>
          <w:rtl/>
        </w:rPr>
        <w:t xml:space="preserve"> ،</w:t>
      </w:r>
      <w:r w:rsidRPr="007C3EC7">
        <w:rPr>
          <w:rFonts w:cs="Traditional Arabic" w:hint="cs"/>
          <w:color w:val="000000"/>
          <w:sz w:val="28"/>
          <w:szCs w:val="32"/>
          <w:rtl/>
        </w:rPr>
        <w:t xml:space="preserve"> فيكون للمؤجر حق امتياز عيها</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لم ترد الزوجة ذلك</w:t>
      </w:r>
      <w:r>
        <w:rPr>
          <w:rFonts w:cs="Traditional Arabic" w:hint="cs"/>
          <w:color w:val="000000"/>
          <w:sz w:val="28"/>
          <w:szCs w:val="32"/>
          <w:rtl/>
        </w:rPr>
        <w:t xml:space="preserve"> ،</w:t>
      </w:r>
      <w:r w:rsidRPr="007C3EC7">
        <w:rPr>
          <w:rFonts w:cs="Traditional Arabic" w:hint="cs"/>
          <w:color w:val="000000"/>
          <w:sz w:val="28"/>
          <w:szCs w:val="32"/>
          <w:rtl/>
        </w:rPr>
        <w:t xml:space="preserve"> فعليها أن تنفي هذه القرينة بإعلانها للمؤجر أن المنقولات الموجودة بالعين المؤجرة ملكها وأنما لا تريد بوضعها في العين أن تكون ضامنة للأجرة</w:t>
      </w:r>
      <w:r>
        <w:rPr>
          <w:rFonts w:cs="Traditional Arabic" w:hint="cs"/>
          <w:color w:val="000000"/>
          <w:sz w:val="28"/>
          <w:szCs w:val="32"/>
          <w:rtl/>
        </w:rPr>
        <w:t xml:space="preserve"> ،</w:t>
      </w:r>
      <w:r w:rsidRPr="007C3EC7">
        <w:rPr>
          <w:rFonts w:cs="Traditional Arabic" w:hint="cs"/>
          <w:color w:val="000000"/>
          <w:sz w:val="28"/>
          <w:szCs w:val="32"/>
          <w:rtl/>
        </w:rPr>
        <w:t xml:space="preserve"> حتى لا يعول المؤجر عليها وحتى يطالب المستأجر </w:t>
      </w:r>
      <w:r>
        <w:rPr>
          <w:rFonts w:cs="Traditional Arabic" w:hint="cs"/>
          <w:color w:val="000000"/>
          <w:sz w:val="28"/>
          <w:szCs w:val="32"/>
          <w:rtl/>
        </w:rPr>
        <w:t xml:space="preserve">( </w:t>
      </w:r>
      <w:r w:rsidRPr="007C3EC7">
        <w:rPr>
          <w:rFonts w:cs="Traditional Arabic" w:hint="cs"/>
          <w:color w:val="000000"/>
          <w:sz w:val="28"/>
          <w:szCs w:val="32"/>
          <w:rtl/>
        </w:rPr>
        <w:t>الزوج</w:t>
      </w:r>
      <w:r>
        <w:rPr>
          <w:rFonts w:cs="Traditional Arabic" w:hint="cs"/>
          <w:color w:val="000000"/>
          <w:sz w:val="28"/>
          <w:szCs w:val="32"/>
          <w:rtl/>
        </w:rPr>
        <w:t xml:space="preserve"> )</w:t>
      </w:r>
      <w:r w:rsidRPr="007C3EC7">
        <w:rPr>
          <w:rFonts w:cs="Traditional Arabic" w:hint="cs"/>
          <w:color w:val="000000"/>
          <w:sz w:val="28"/>
          <w:szCs w:val="32"/>
          <w:rtl/>
        </w:rPr>
        <w:t xml:space="preserve"> بوضع منقولات أخرى ضماناً للأجرة</w:t>
      </w:r>
      <w:r>
        <w:rPr>
          <w:rFonts w:cs="Traditional Arabic" w:hint="cs"/>
          <w:color w:val="000000"/>
          <w:sz w:val="28"/>
          <w:szCs w:val="32"/>
          <w:rtl/>
        </w:rPr>
        <w:t xml:space="preserve"> .</w:t>
      </w:r>
      <w:r w:rsidRPr="007C3EC7">
        <w:rPr>
          <w:rFonts w:cs="Traditional Arabic" w:hint="cs"/>
          <w:color w:val="000000"/>
          <w:sz w:val="28"/>
          <w:szCs w:val="32"/>
          <w:rtl/>
        </w:rPr>
        <w:t xml:space="preserve"> وهذا كله على فرض الأخذ بقرينة أن الجهاز ملك المرأة المسلمة</w:t>
      </w:r>
      <w:r>
        <w:rPr>
          <w:rFonts w:cs="Traditional Arabic" w:hint="cs"/>
          <w:color w:val="000000"/>
          <w:sz w:val="28"/>
          <w:szCs w:val="32"/>
          <w:rtl/>
        </w:rPr>
        <w:t xml:space="preserve"> ،</w:t>
      </w:r>
      <w:r w:rsidRPr="007C3EC7">
        <w:rPr>
          <w:rFonts w:cs="Traditional Arabic" w:hint="cs"/>
          <w:color w:val="000000"/>
          <w:sz w:val="28"/>
          <w:szCs w:val="32"/>
          <w:rtl/>
        </w:rPr>
        <w:t xml:space="preserve"> فإذا استطاعت أن تسترد أثاث المنزل بفضل هذه القرينة تجد نفسها أمام قرينة أخرى هي رضاؤها الضمني بأن يكون الأثاث ضامناً للأجرة</w:t>
      </w:r>
      <w:r>
        <w:rPr>
          <w:rFonts w:cs="Traditional Arabic" w:hint="cs"/>
          <w:color w:val="000000"/>
          <w:sz w:val="28"/>
          <w:szCs w:val="32"/>
          <w:rtl/>
        </w:rPr>
        <w:t xml:space="preserve"> ،</w:t>
      </w:r>
      <w:r w:rsidRPr="007C3EC7">
        <w:rPr>
          <w:rFonts w:cs="Traditional Arabic" w:hint="cs"/>
          <w:color w:val="000000"/>
          <w:sz w:val="28"/>
          <w:szCs w:val="32"/>
          <w:rtl/>
        </w:rPr>
        <w:t xml:space="preserve"> فتبقى المنقولات مثقلة بحق امتياز </w:t>
      </w:r>
      <w:r w:rsidRPr="007C3EC7">
        <w:rPr>
          <w:rFonts w:cs="Traditional Arabic" w:hint="cs"/>
          <w:color w:val="000000"/>
          <w:sz w:val="28"/>
          <w:szCs w:val="32"/>
          <w:rtl/>
        </w:rPr>
        <w:lastRenderedPageBreak/>
        <w:t>المؤجر</w:t>
      </w:r>
      <w:r>
        <w:rPr>
          <w:rFonts w:cs="Traditional Arabic" w:hint="cs"/>
          <w:color w:val="000000"/>
          <w:sz w:val="28"/>
          <w:szCs w:val="32"/>
          <w:rtl/>
        </w:rPr>
        <w:t xml:space="preserve"> .</w:t>
      </w:r>
      <w:r w:rsidRPr="007C3EC7">
        <w:rPr>
          <w:rFonts w:cs="Traditional Arabic" w:hint="cs"/>
          <w:color w:val="000000"/>
          <w:sz w:val="28"/>
          <w:szCs w:val="32"/>
          <w:rtl/>
        </w:rPr>
        <w:t xml:space="preserve"> أما عند غير المسلمين فليست هناك قرينة على الجهاز ملك الزوجة</w:t>
      </w:r>
      <w:r>
        <w:rPr>
          <w:rFonts w:cs="Traditional Arabic" w:hint="cs"/>
          <w:color w:val="000000"/>
          <w:sz w:val="28"/>
          <w:szCs w:val="32"/>
          <w:rtl/>
        </w:rPr>
        <w:t xml:space="preserve"> ،</w:t>
      </w:r>
      <w:r w:rsidRPr="007C3EC7">
        <w:rPr>
          <w:rFonts w:cs="Traditional Arabic" w:hint="cs"/>
          <w:color w:val="000000"/>
          <w:sz w:val="28"/>
          <w:szCs w:val="32"/>
          <w:rtl/>
        </w:rPr>
        <w:t xml:space="preserve"> ولذلك يستعمل المؤجر حق امتيازه على المنقولات باعتبارها ملكاً للمستأجر نفسه"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4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ذلك أنه عند غير المسلمين</w:t>
      </w:r>
      <w:r>
        <w:rPr>
          <w:rFonts w:cs="Traditional Arabic" w:hint="cs"/>
          <w:color w:val="000000"/>
          <w:sz w:val="28"/>
          <w:szCs w:val="32"/>
          <w:rtl/>
        </w:rPr>
        <w:t xml:space="preserve"> ،</w:t>
      </w:r>
      <w:r w:rsidRPr="007C3EC7">
        <w:rPr>
          <w:rFonts w:cs="Traditional Arabic" w:hint="cs"/>
          <w:color w:val="000000"/>
          <w:sz w:val="28"/>
          <w:szCs w:val="32"/>
          <w:rtl/>
        </w:rPr>
        <w:t xml:space="preserve"> يفرض أن الجهاز ملك للزوج لا للزوجة</w:t>
      </w:r>
      <w:r>
        <w:rPr>
          <w:rFonts w:cs="Traditional Arabic" w:hint="cs"/>
          <w:color w:val="000000"/>
          <w:sz w:val="28"/>
          <w:szCs w:val="32"/>
          <w:rtl/>
        </w:rPr>
        <w:t xml:space="preserve"> ،</w:t>
      </w:r>
      <w:r w:rsidRPr="007C3EC7">
        <w:rPr>
          <w:rFonts w:cs="Traditional Arabic" w:hint="cs"/>
          <w:color w:val="000000"/>
          <w:sz w:val="28"/>
          <w:szCs w:val="32"/>
          <w:rtl/>
        </w:rPr>
        <w:t xml:space="preserve"> وعلى ذلك يستطيع المؤجر أن يستعمل حق امتيازه على المفروشات حتى تثبت الزوجة أن الجهاز ملكها وأنها لم ترض بأن يكون ضامناً للأجرة وأن المؤجر كان يعلم كل ذلك وق وضع الجهاز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وعندئذ لا يكون للمؤجر حق امتياز على الجهاز</w:t>
      </w:r>
      <w:r>
        <w:rPr>
          <w:rFonts w:cs="Traditional Arabic" w:hint="cs"/>
          <w:color w:val="000000"/>
          <w:sz w:val="28"/>
          <w:szCs w:val="32"/>
          <w:rtl/>
        </w:rPr>
        <w:t xml:space="preserve"> .</w:t>
      </w:r>
      <w:r w:rsidRPr="007C3EC7">
        <w:rPr>
          <w:rFonts w:cs="Traditional Arabic" w:hint="cs"/>
          <w:color w:val="000000"/>
          <w:sz w:val="28"/>
          <w:szCs w:val="32"/>
          <w:rtl/>
        </w:rPr>
        <w:t xml:space="preserve"> وقد قضي بأن المتعارف عادة لذي الطوائف المسيحية هو أن تكون منقولات المنزل ملكاً للزوج لا لزوجته</w:t>
      </w:r>
      <w:r>
        <w:rPr>
          <w:rFonts w:cs="Traditional Arabic" w:hint="cs"/>
          <w:color w:val="000000"/>
          <w:sz w:val="28"/>
          <w:szCs w:val="32"/>
          <w:rtl/>
        </w:rPr>
        <w:t xml:space="preserve"> ،</w:t>
      </w:r>
      <w:r w:rsidRPr="007C3EC7">
        <w:rPr>
          <w:rFonts w:cs="Traditional Arabic" w:hint="cs"/>
          <w:color w:val="000000"/>
          <w:sz w:val="28"/>
          <w:szCs w:val="32"/>
          <w:rtl/>
        </w:rPr>
        <w:t xml:space="preserve"> وعلى من يدعي شيئاً خلاف ذلك أن يثبته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أما عند المسلمين</w:t>
      </w:r>
      <w:r>
        <w:rPr>
          <w:rFonts w:cs="Traditional Arabic" w:hint="cs"/>
          <w:color w:val="000000"/>
          <w:sz w:val="28"/>
          <w:szCs w:val="32"/>
          <w:rtl/>
        </w:rPr>
        <w:t xml:space="preserve"> ،</w:t>
      </w:r>
      <w:r w:rsidRPr="007C3EC7">
        <w:rPr>
          <w:rFonts w:cs="Traditional Arabic" w:hint="cs"/>
          <w:color w:val="000000"/>
          <w:sz w:val="28"/>
          <w:szCs w:val="32"/>
          <w:rtl/>
        </w:rPr>
        <w:t xml:space="preserve"> فالمرأة المسلمة لها أن تتمسك بقرينة أن الجهاز ملكها</w:t>
      </w:r>
      <w:r>
        <w:rPr>
          <w:rFonts w:cs="Traditional Arabic" w:hint="cs"/>
          <w:color w:val="000000"/>
          <w:sz w:val="28"/>
          <w:szCs w:val="32"/>
          <w:rtl/>
        </w:rPr>
        <w:t xml:space="preserve"> ،</w:t>
      </w:r>
      <w:r w:rsidRPr="007C3EC7">
        <w:rPr>
          <w:rFonts w:cs="Traditional Arabic" w:hint="cs"/>
          <w:color w:val="000000"/>
          <w:sz w:val="28"/>
          <w:szCs w:val="32"/>
          <w:rtl/>
        </w:rPr>
        <w:t xml:space="preserve"> $981 وللمؤجر أن يتمسك بأن الزوجة قد رضيت رضاء ضنياً بأن يكون جهازها ضامناًللجرة عندما رضيت دون تحفظ بوضعه في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والقاضي يقضي للمؤجر بصحة امتيازه أخذاً بالقرينة التي تجعل الزوجة راضية بأن يكون جهازها ضامناً للأجرة</w:t>
      </w:r>
      <w:r>
        <w:rPr>
          <w:rFonts w:cs="Traditional Arabic" w:hint="cs"/>
          <w:color w:val="000000"/>
          <w:sz w:val="28"/>
          <w:szCs w:val="32"/>
          <w:rtl/>
        </w:rPr>
        <w:t xml:space="preserve"> ،</w:t>
      </w:r>
      <w:r w:rsidRPr="007C3EC7">
        <w:rPr>
          <w:rFonts w:cs="Traditional Arabic" w:hint="cs"/>
          <w:color w:val="000000"/>
          <w:sz w:val="28"/>
          <w:szCs w:val="32"/>
          <w:rtl/>
        </w:rPr>
        <w:t xml:space="preserve"> ما لم تثبت الزوجة أنها لم ترض فعلا بذلك وأنها كانت تعتقد أن ذلك كاف وتجهل كل الجهل القرينة التي تجعلها راضية بأن يكون جهازها ضامناً للأجرة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709- المنقولات المملوكة للمستأجر من الباطن</w:t>
      </w:r>
      <w:r>
        <w:rPr>
          <w:rFonts w:cs="Traditional Arabic" w:hint="cs"/>
          <w:b/>
          <w:bCs/>
          <w:color w:val="000000"/>
          <w:sz w:val="28"/>
          <w:szCs w:val="32"/>
          <w:rtl/>
        </w:rPr>
        <w:t xml:space="preserve"> :</w:t>
      </w:r>
      <w:r w:rsidRPr="007C3EC7">
        <w:rPr>
          <w:rFonts w:cs="Traditional Arabic" w:hint="cs"/>
          <w:color w:val="000000"/>
          <w:sz w:val="28"/>
          <w:szCs w:val="32"/>
          <w:rtl/>
        </w:rPr>
        <w:t xml:space="preserve"> وتنص الفقرة الثالثة من المادة 1143 مدني</w:t>
      </w:r>
      <w:r>
        <w:rPr>
          <w:rFonts w:cs="Traditional Arabic" w:hint="cs"/>
          <w:color w:val="000000"/>
          <w:sz w:val="28"/>
          <w:szCs w:val="32"/>
          <w:rtl/>
        </w:rPr>
        <w:t xml:space="preserve"> ،</w:t>
      </w:r>
      <w:r w:rsidRPr="007C3EC7">
        <w:rPr>
          <w:rFonts w:cs="Traditional Arabic" w:hint="cs"/>
          <w:color w:val="000000"/>
          <w:sz w:val="28"/>
          <w:szCs w:val="32"/>
          <w:rtl/>
        </w:rPr>
        <w:t xml:space="preserve"> كما رأينا</w:t>
      </w:r>
      <w:r>
        <w:rPr>
          <w:rFonts w:cs="Traditional Arabic" w:hint="cs"/>
          <w:color w:val="000000"/>
          <w:sz w:val="28"/>
          <w:szCs w:val="32"/>
          <w:rtl/>
        </w:rPr>
        <w:t xml:space="preserve"> ،</w:t>
      </w:r>
      <w:r w:rsidRPr="007C3EC7">
        <w:rPr>
          <w:rFonts w:cs="Traditional Arabic" w:hint="cs"/>
          <w:color w:val="000000"/>
          <w:sz w:val="28"/>
          <w:szCs w:val="32"/>
          <w:rtl/>
        </w:rPr>
        <w:t xml:space="preserve">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"ويقع الامتياز أيضاً على المنقولات والمحصولات المملوكة للمستأجر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إذا كان المؤجر قد اشترط صراحة عدم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فإذا لم يشترط ذلك</w:t>
      </w:r>
      <w:r>
        <w:rPr>
          <w:rFonts w:cs="Traditional Arabic" w:hint="cs"/>
          <w:color w:val="000000"/>
          <w:sz w:val="28"/>
          <w:szCs w:val="32"/>
          <w:rtl/>
        </w:rPr>
        <w:t xml:space="preserve"> ،</w:t>
      </w:r>
      <w:r w:rsidRPr="007C3EC7">
        <w:rPr>
          <w:rFonts w:cs="Traditional Arabic" w:hint="cs"/>
          <w:color w:val="000000"/>
          <w:sz w:val="28"/>
          <w:szCs w:val="32"/>
          <w:rtl/>
        </w:rPr>
        <w:t xml:space="preserve"> فلا يثبت الامتياز إلا للمبالغ التي تكون مستحقة للمستأجر الأصلي في ذمة المستأجر م الباطن في الوقت الذي ينذره فيه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ويخذ من هذا النص أنه يجب التمييز بين فرضين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Pr>
          <w:rFonts w:cs="Traditional Arabic" w:hint="cs"/>
          <w:color w:val="000000"/>
          <w:sz w:val="28"/>
          <w:szCs w:val="32"/>
          <w:rtl/>
        </w:rPr>
        <w:t xml:space="preserve">( </w:t>
      </w:r>
      <w:r w:rsidRPr="007C3EC7">
        <w:rPr>
          <w:rFonts w:cs="Traditional Arabic" w:hint="cs"/>
          <w:color w:val="000000"/>
          <w:sz w:val="28"/>
          <w:szCs w:val="32"/>
          <w:rtl/>
        </w:rPr>
        <w:t>الفرض الأول</w:t>
      </w:r>
      <w:r>
        <w:rPr>
          <w:rFonts w:cs="Traditional Arabic" w:hint="cs"/>
          <w:color w:val="000000"/>
          <w:sz w:val="28"/>
          <w:szCs w:val="32"/>
          <w:rtl/>
        </w:rPr>
        <w:t xml:space="preserve"> )</w:t>
      </w:r>
      <w:r w:rsidRPr="007C3EC7">
        <w:rPr>
          <w:rFonts w:cs="Traditional Arabic" w:hint="cs"/>
          <w:color w:val="000000"/>
          <w:sz w:val="28"/>
          <w:szCs w:val="32"/>
          <w:rtl/>
        </w:rPr>
        <w:t xml:space="preserve"> المؤجر اشترط صراحة عدم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بالرغم من هذا الشرط</w:t>
      </w:r>
      <w:r>
        <w:rPr>
          <w:rFonts w:cs="Traditional Arabic" w:hint="cs"/>
          <w:color w:val="000000"/>
          <w:sz w:val="28"/>
          <w:szCs w:val="32"/>
          <w:rtl/>
        </w:rPr>
        <w:t xml:space="preserve"> ،</w:t>
      </w:r>
      <w:r w:rsidRPr="007C3EC7">
        <w:rPr>
          <w:rFonts w:cs="Traditional Arabic" w:hint="cs"/>
          <w:color w:val="000000"/>
          <w:sz w:val="28"/>
          <w:szCs w:val="32"/>
          <w:rtl/>
        </w:rPr>
        <w:t xml:space="preserve"> حصل </w:t>
      </w:r>
      <w:r w:rsidRPr="007C3EC7">
        <w:rPr>
          <w:rFonts w:cs="Traditional Arabic" w:hint="cs"/>
          <w:color w:val="000000"/>
          <w:sz w:val="28"/>
          <w:szCs w:val="32"/>
          <w:rtl/>
        </w:rPr>
        <w:lastRenderedPageBreak/>
        <w:t>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ولم يقر المؤجر</w:t>
      </w:r>
      <w:r>
        <w:rPr>
          <w:rFonts w:cs="Traditional Arabic" w:hint="cs"/>
          <w:color w:val="000000"/>
          <w:sz w:val="28"/>
          <w:szCs w:val="32"/>
          <w:rtl/>
        </w:rPr>
        <w:t xml:space="preserve"> ،</w:t>
      </w:r>
      <w:r w:rsidRPr="007C3EC7">
        <w:rPr>
          <w:rFonts w:cs="Traditional Arabic" w:hint="cs"/>
          <w:color w:val="000000"/>
          <w:sz w:val="28"/>
          <w:szCs w:val="32"/>
          <w:rtl/>
        </w:rPr>
        <w:t xml:space="preserve"> فلا يجوز الاحتجاج على المؤجر بهذا الإيجار من الباطن الممنوع</w:t>
      </w:r>
      <w:r>
        <w:rPr>
          <w:rFonts w:cs="Traditional Arabic" w:hint="cs"/>
          <w:color w:val="000000"/>
          <w:sz w:val="28"/>
          <w:szCs w:val="32"/>
          <w:rtl/>
        </w:rPr>
        <w:t xml:space="preserve"> ،</w:t>
      </w:r>
      <w:r w:rsidRPr="007C3EC7">
        <w:rPr>
          <w:rFonts w:cs="Traditional Arabic" w:hint="cs"/>
          <w:color w:val="000000"/>
          <w:sz w:val="28"/>
          <w:szCs w:val="32"/>
          <w:rtl/>
        </w:rPr>
        <w:t xml:space="preserve"> ويقع امتياز المؤجر على منقولات المستأجر من الباطن وقوعه على منقولات المستأجر الأصلي كما لو لم يكن هناك إيجار من الباطن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ولكن إذا ثبت أن المؤجر كان يعرف وقت دخول المنقولات العين المؤجرة أنها ليست مملوكا للمستأجر الأصلي</w:t>
      </w:r>
      <w:r>
        <w:rPr>
          <w:rFonts w:cs="Traditional Arabic" w:hint="cs"/>
          <w:color w:val="000000"/>
          <w:sz w:val="28"/>
          <w:szCs w:val="32"/>
          <w:rtl/>
        </w:rPr>
        <w:t xml:space="preserve"> ،</w:t>
      </w:r>
      <w:r w:rsidRPr="007C3EC7">
        <w:rPr>
          <w:rFonts w:cs="Traditional Arabic" w:hint="cs"/>
          <w:color w:val="000000"/>
          <w:sz w:val="28"/>
          <w:szCs w:val="32"/>
          <w:rtl/>
        </w:rPr>
        <w:t xml:space="preserve"> كان له من الحقوق عليها نفس الحقوق التي تكون على المنقولات من الغير والتي توضع في الأماكن المؤجرة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$982 </w:t>
      </w:r>
      <w:r>
        <w:rPr>
          <w:rFonts w:cs="Traditional Arabic" w:hint="cs"/>
          <w:color w:val="000000"/>
          <w:sz w:val="28"/>
          <w:szCs w:val="32"/>
          <w:rtl/>
        </w:rPr>
        <w:t xml:space="preserve">( </w:t>
      </w:r>
      <w:r w:rsidRPr="007C3EC7">
        <w:rPr>
          <w:rFonts w:cs="Traditional Arabic" w:hint="cs"/>
          <w:color w:val="000000"/>
          <w:sz w:val="28"/>
          <w:szCs w:val="32"/>
          <w:rtl/>
        </w:rPr>
        <w:t>الفرض الثاني</w:t>
      </w:r>
      <w:r>
        <w:rPr>
          <w:rFonts w:cs="Traditional Arabic" w:hint="cs"/>
          <w:color w:val="000000"/>
          <w:sz w:val="28"/>
          <w:szCs w:val="32"/>
          <w:rtl/>
        </w:rPr>
        <w:t xml:space="preserve"> )</w:t>
      </w:r>
      <w:r w:rsidRPr="007C3EC7">
        <w:rPr>
          <w:rFonts w:cs="Traditional Arabic" w:hint="cs"/>
          <w:color w:val="000000"/>
          <w:sz w:val="28"/>
          <w:szCs w:val="32"/>
          <w:rtl/>
        </w:rPr>
        <w:t xml:space="preserve"> المؤجر لم يشترط صراحة عدم الإيجار من الباطن</w:t>
      </w:r>
      <w:r>
        <w:rPr>
          <w:rFonts w:cs="Traditional Arabic" w:hint="cs"/>
          <w:color w:val="000000"/>
          <w:sz w:val="28"/>
          <w:szCs w:val="32"/>
          <w:rtl/>
        </w:rPr>
        <w:t xml:space="preserve"> :</w:t>
      </w:r>
      <w:r w:rsidRPr="007C3EC7">
        <w:rPr>
          <w:rFonts w:cs="Traditional Arabic" w:hint="cs"/>
          <w:color w:val="000000"/>
          <w:sz w:val="28"/>
          <w:szCs w:val="32"/>
          <w:rtl/>
        </w:rPr>
        <w:t xml:space="preserve"> فيكون للمؤجر امتياز على منقولات المستأجر من الباطن ومحصولاته بقدر ما يكون المستأجر من الباطن ملزماً به قبل المستأجر الأصلي في الوقت الذي ينذر فيه المؤجر المستأجر من الباطن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710- نقل الأموال المقلة بالامتياز من العين المؤجرة</w:t>
      </w:r>
      <w:r>
        <w:rPr>
          <w:rFonts w:cs="Traditional Arabic" w:hint="cs"/>
          <w:b/>
          <w:bCs/>
          <w:color w:val="000000"/>
          <w:sz w:val="28"/>
          <w:szCs w:val="32"/>
          <w:rtl/>
        </w:rPr>
        <w:t xml:space="preserve"> :</w:t>
      </w:r>
      <w:r w:rsidRPr="007C3EC7">
        <w:rPr>
          <w:rFonts w:cs="Traditional Arabic" w:hint="cs"/>
          <w:color w:val="000000"/>
          <w:sz w:val="28"/>
          <w:szCs w:val="32"/>
          <w:rtl/>
        </w:rPr>
        <w:t xml:space="preserve"> وتنص الفقرة الخامسة من المادة 1143 مدني</w:t>
      </w:r>
      <w:r>
        <w:rPr>
          <w:rFonts w:cs="Traditional Arabic" w:hint="cs"/>
          <w:color w:val="000000"/>
          <w:sz w:val="28"/>
          <w:szCs w:val="32"/>
          <w:rtl/>
        </w:rPr>
        <w:t xml:space="preserve"> ،</w:t>
      </w:r>
      <w:r w:rsidRPr="007C3EC7">
        <w:rPr>
          <w:rFonts w:cs="Traditional Arabic" w:hint="cs"/>
          <w:color w:val="000000"/>
          <w:sz w:val="28"/>
          <w:szCs w:val="32"/>
          <w:rtl/>
        </w:rPr>
        <w:t xml:space="preserve"> كما رأينا</w:t>
      </w:r>
      <w:r>
        <w:rPr>
          <w:rFonts w:cs="Traditional Arabic" w:hint="cs"/>
          <w:color w:val="000000"/>
          <w:sz w:val="28"/>
          <w:szCs w:val="32"/>
          <w:rtl/>
        </w:rPr>
        <w:t xml:space="preserve"> ،</w:t>
      </w:r>
      <w:r w:rsidRPr="007C3EC7">
        <w:rPr>
          <w:rFonts w:cs="Traditional Arabic" w:hint="cs"/>
          <w:color w:val="000000"/>
          <w:sz w:val="28"/>
          <w:szCs w:val="32"/>
          <w:rtl/>
        </w:rPr>
        <w:t xml:space="preserve">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"وإذا نقلت الأموال المثقلة بالامتياز من العين المؤجرة على الرغم من معارضة المؤجر ا على غير علم منه</w:t>
      </w:r>
      <w:r>
        <w:rPr>
          <w:rFonts w:cs="Traditional Arabic" w:hint="cs"/>
          <w:color w:val="000000"/>
          <w:sz w:val="28"/>
          <w:szCs w:val="32"/>
          <w:rtl/>
        </w:rPr>
        <w:t xml:space="preserve"> ،</w:t>
      </w:r>
      <w:r w:rsidRPr="007C3EC7">
        <w:rPr>
          <w:rFonts w:cs="Traditional Arabic" w:hint="cs"/>
          <w:color w:val="000000"/>
          <w:sz w:val="28"/>
          <w:szCs w:val="32"/>
          <w:rtl/>
        </w:rPr>
        <w:t xml:space="preserve"> ولم يبق في العين أموال كافية لضمان الحقوق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بقي الامتياز قائماً على الأموال التي نقلت دون أن يضر ذلك بالحق الذي كسبه الغير حسن النية على هذه الأموال</w:t>
      </w:r>
      <w:r>
        <w:rPr>
          <w:rFonts w:cs="Traditional Arabic" w:hint="cs"/>
          <w:color w:val="000000"/>
          <w:sz w:val="28"/>
          <w:szCs w:val="32"/>
          <w:rtl/>
        </w:rPr>
        <w:t xml:space="preserve"> ،</w:t>
      </w:r>
      <w:r w:rsidRPr="007C3EC7">
        <w:rPr>
          <w:rFonts w:cs="Traditional Arabic" w:hint="cs"/>
          <w:color w:val="000000"/>
          <w:sz w:val="28"/>
          <w:szCs w:val="32"/>
          <w:rtl/>
        </w:rPr>
        <w:t xml:space="preserve"> ويبقى الامتياز قائماً ولو أضر بحق الغير لمدة ثلاث سنوات من يوم نقلها إذا أوقع المؤجر عليها حجزاً استحقاقياً في الميعاد القانوني</w:t>
      </w:r>
      <w:r>
        <w:rPr>
          <w:rFonts w:cs="Traditional Arabic" w:hint="cs"/>
          <w:color w:val="000000"/>
          <w:sz w:val="28"/>
          <w:szCs w:val="32"/>
          <w:rtl/>
        </w:rPr>
        <w:t xml:space="preserve"> .</w:t>
      </w:r>
      <w:r w:rsidRPr="007C3EC7">
        <w:rPr>
          <w:rFonts w:cs="Traditional Arabic" w:hint="cs"/>
          <w:color w:val="000000"/>
          <w:sz w:val="28"/>
          <w:szCs w:val="32"/>
          <w:rtl/>
        </w:rPr>
        <w:t xml:space="preserve"> ومع ذلك إذا بيعت هذه الأموال إلى مشتر حسن النية في سوق عام أو في مزاد علني أو ممن يتجر في مثلها</w:t>
      </w:r>
      <w:r>
        <w:rPr>
          <w:rFonts w:cs="Traditional Arabic" w:hint="cs"/>
          <w:color w:val="000000"/>
          <w:sz w:val="28"/>
          <w:szCs w:val="32"/>
          <w:rtl/>
        </w:rPr>
        <w:t xml:space="preserve"> ،</w:t>
      </w:r>
      <w:r w:rsidRPr="007C3EC7">
        <w:rPr>
          <w:rFonts w:cs="Traditional Arabic" w:hint="cs"/>
          <w:color w:val="000000"/>
          <w:sz w:val="28"/>
          <w:szCs w:val="32"/>
          <w:rtl/>
        </w:rPr>
        <w:t xml:space="preserve"> وجب على المؤجر أن يرد الثمن إلى هذا المشتري"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ويؤخذ من هذا النص أنه إذا أخرج المستأجر المنقولات المثقلة بالامتياز من العين المؤجرة</w:t>
      </w:r>
      <w:r>
        <w:rPr>
          <w:rFonts w:cs="Traditional Arabic" w:hint="cs"/>
          <w:color w:val="000000"/>
          <w:sz w:val="28"/>
          <w:szCs w:val="32"/>
          <w:rtl/>
        </w:rPr>
        <w:t xml:space="preserve"> ،</w:t>
      </w:r>
      <w:r w:rsidRPr="007C3EC7">
        <w:rPr>
          <w:rFonts w:cs="Traditional Arabic" w:hint="cs"/>
          <w:color w:val="000000"/>
          <w:sz w:val="28"/>
          <w:szCs w:val="32"/>
          <w:rtl/>
        </w:rPr>
        <w:t xml:space="preserve"> على غير علم من المؤجر أو بالرغم من معارضته</w:t>
      </w:r>
      <w:r>
        <w:rPr>
          <w:rFonts w:cs="Traditional Arabic" w:hint="cs"/>
          <w:color w:val="000000"/>
          <w:sz w:val="28"/>
          <w:szCs w:val="32"/>
          <w:rtl/>
        </w:rPr>
        <w:t xml:space="preserve"> ،</w:t>
      </w:r>
      <w:r w:rsidRPr="007C3EC7">
        <w:rPr>
          <w:rFonts w:cs="Traditional Arabic" w:hint="cs"/>
          <w:color w:val="000000"/>
          <w:sz w:val="28"/>
          <w:szCs w:val="32"/>
          <w:rtl/>
        </w:rPr>
        <w:t xml:space="preserve"> بحيث لا يبقى في العين ما يكفي لضمان الحقوق الممتازة</w:t>
      </w:r>
      <w:r>
        <w:rPr>
          <w:rFonts w:cs="Traditional Arabic" w:hint="cs"/>
          <w:color w:val="000000"/>
          <w:sz w:val="28"/>
          <w:szCs w:val="32"/>
          <w:rtl/>
        </w:rPr>
        <w:t xml:space="preserve"> ،</w:t>
      </w:r>
      <w:r w:rsidRPr="007C3EC7">
        <w:rPr>
          <w:rFonts w:cs="Traditional Arabic" w:hint="cs"/>
          <w:color w:val="000000"/>
          <w:sz w:val="28"/>
          <w:szCs w:val="32"/>
          <w:rtl/>
        </w:rPr>
        <w:t xml:space="preserve"> فإن حق الامتياز يبقى قائماً على الأموال التي نقلت لضمان هذه الحقوق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فإذا ثبت للغير حسن النية حق على هذه المنقولات</w:t>
      </w:r>
      <w:r>
        <w:rPr>
          <w:rFonts w:cs="Traditional Arabic" w:hint="cs"/>
          <w:color w:val="000000"/>
          <w:sz w:val="28"/>
          <w:szCs w:val="32"/>
          <w:rtl/>
        </w:rPr>
        <w:t xml:space="preserve"> ،</w:t>
      </w:r>
      <w:r w:rsidRPr="007C3EC7">
        <w:rPr>
          <w:rFonts w:cs="Traditional Arabic" w:hint="cs"/>
          <w:color w:val="000000"/>
          <w:sz w:val="28"/>
          <w:szCs w:val="32"/>
          <w:rtl/>
        </w:rPr>
        <w:t xml:space="preserve"> كأن اشتراها مشتر حسن النية لا يعلم بحق الامتياز الذي يثقلها</w:t>
      </w:r>
      <w:r>
        <w:rPr>
          <w:rFonts w:cs="Traditional Arabic" w:hint="cs"/>
          <w:color w:val="000000"/>
          <w:sz w:val="28"/>
          <w:szCs w:val="32"/>
          <w:rtl/>
        </w:rPr>
        <w:t xml:space="preserve"> ،</w:t>
      </w:r>
      <w:r w:rsidRPr="007C3EC7">
        <w:rPr>
          <w:rFonts w:cs="Traditional Arabic" w:hint="cs"/>
          <w:color w:val="000000"/>
          <w:sz w:val="28"/>
          <w:szCs w:val="32"/>
          <w:rtl/>
        </w:rPr>
        <w:t xml:space="preserve"> فلا تخلو الحال م أحد فرضين</w:t>
      </w:r>
      <w:r>
        <w:rPr>
          <w:rFonts w:cs="Traditional Arabic" w:hint="cs"/>
          <w:color w:val="000000"/>
          <w:sz w:val="28"/>
          <w:szCs w:val="32"/>
          <w:rtl/>
        </w:rPr>
        <w:t xml:space="preserve"> :</w:t>
      </w:r>
      <w:r w:rsidRPr="007C3EC7">
        <w:rPr>
          <w:rFonts w:cs="Traditional Arabic" w:hint="cs"/>
          <w:color w:val="000000"/>
          <w:sz w:val="28"/>
          <w:szCs w:val="32"/>
          <w:rtl/>
        </w:rPr>
        <w:t xml:space="preserve"> إما أن يكون المؤجر قد أوقع على هذه المنقولات حجزاً استحقاقياً في خلال ثلاثين يوماً من يوم نقلها</w:t>
      </w:r>
      <w:r>
        <w:rPr>
          <w:rFonts w:cs="Traditional Arabic" w:hint="cs"/>
          <w:color w:val="000000"/>
          <w:sz w:val="28"/>
          <w:szCs w:val="32"/>
          <w:rtl/>
        </w:rPr>
        <w:t xml:space="preserve"> ،</w:t>
      </w:r>
      <w:r w:rsidRPr="007C3EC7">
        <w:rPr>
          <w:rFonts w:cs="Traditional Arabic" w:hint="cs"/>
          <w:color w:val="000000"/>
          <w:sz w:val="28"/>
          <w:szCs w:val="32"/>
          <w:rtl/>
        </w:rPr>
        <w:t xml:space="preserve"> وفي هذا الفرض يبقى حق الامتياز قائماً لمدة ثلاث سنوات من يوم النقل</w:t>
      </w:r>
      <w:r>
        <w:rPr>
          <w:rFonts w:cs="Traditional Arabic" w:hint="cs"/>
          <w:color w:val="000000"/>
          <w:sz w:val="28"/>
          <w:szCs w:val="32"/>
          <w:rtl/>
        </w:rPr>
        <w:t xml:space="preserve"> ،</w:t>
      </w:r>
      <w:r w:rsidRPr="007C3EC7">
        <w:rPr>
          <w:rFonts w:cs="Traditional Arabic" w:hint="cs"/>
          <w:color w:val="000000"/>
          <w:sz w:val="28"/>
          <w:szCs w:val="32"/>
          <w:rtl/>
        </w:rPr>
        <w:t xml:space="preserve"> وتنتقل ملكية المنقولات إلى المشتري مثقلة بهذا الحق</w:t>
      </w:r>
      <w:r>
        <w:rPr>
          <w:rFonts w:cs="Traditional Arabic" w:hint="cs"/>
          <w:color w:val="000000"/>
          <w:sz w:val="28"/>
          <w:szCs w:val="32"/>
          <w:rtl/>
        </w:rPr>
        <w:t xml:space="preserve"> .</w:t>
      </w:r>
      <w:r w:rsidRPr="007C3EC7">
        <w:rPr>
          <w:rFonts w:cs="Traditional Arabic" w:hint="cs"/>
          <w:color w:val="000000"/>
          <w:sz w:val="28"/>
          <w:szCs w:val="32"/>
          <w:rtl/>
        </w:rPr>
        <w:t xml:space="preserve"> ويعلل ذلك بأن المنقولات التي أخرجت من العين المؤجرة $983 خسة أو بالرغم من معارضة المؤجر تكون في حكم المنقولات المسروقة</w:t>
      </w:r>
      <w:r>
        <w:rPr>
          <w:rFonts w:cs="Traditional Arabic" w:hint="cs"/>
          <w:color w:val="000000"/>
          <w:sz w:val="28"/>
          <w:szCs w:val="32"/>
          <w:rtl/>
        </w:rPr>
        <w:t xml:space="preserve"> ،</w:t>
      </w:r>
      <w:r w:rsidRPr="007C3EC7">
        <w:rPr>
          <w:rFonts w:cs="Traditional Arabic" w:hint="cs"/>
          <w:color w:val="000000"/>
          <w:sz w:val="28"/>
          <w:szCs w:val="32"/>
          <w:rtl/>
        </w:rPr>
        <w:t xml:space="preserve"> وهذا ما يسمى بسرقة الرهن </w:t>
      </w:r>
      <w:r>
        <w:rPr>
          <w:rFonts w:cs="Traditional Arabic"/>
          <w:color w:val="000000"/>
          <w:sz w:val="28"/>
          <w:szCs w:val="32"/>
          <w:rtl/>
        </w:rPr>
        <w:t xml:space="preserve">( </w:t>
      </w:r>
      <w:r w:rsidRPr="007C3EC7">
        <w:rPr>
          <w:rFonts w:cs="Traditional Arabic"/>
          <w:color w:val="000000"/>
          <w:sz w:val="28"/>
          <w:szCs w:val="32"/>
        </w:rPr>
        <w:t>vol de gage</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ومن المعروف أن قاعدة "الحياة في المنقول سند الملكية" لا محل للتمسك بها في حالة المنقولات المسروقة</w:t>
      </w:r>
      <w:r>
        <w:rPr>
          <w:rFonts w:cs="Traditional Arabic" w:hint="cs"/>
          <w:color w:val="000000"/>
          <w:sz w:val="28"/>
          <w:szCs w:val="32"/>
          <w:rtl/>
        </w:rPr>
        <w:t xml:space="preserve"> .</w:t>
      </w:r>
      <w:r w:rsidRPr="007C3EC7">
        <w:rPr>
          <w:rFonts w:cs="Traditional Arabic" w:hint="cs"/>
          <w:color w:val="000000"/>
          <w:sz w:val="28"/>
          <w:szCs w:val="32"/>
          <w:rtl/>
        </w:rPr>
        <w:t xml:space="preserve"> وذلك ما لم يكن المشتري قد اشترى المنقولات في سوق عام أو في مزاد علني أو ممن يتجر في مثلها</w:t>
      </w:r>
      <w:r>
        <w:rPr>
          <w:rFonts w:cs="Traditional Arabic" w:hint="cs"/>
          <w:color w:val="000000"/>
          <w:sz w:val="28"/>
          <w:szCs w:val="32"/>
          <w:rtl/>
        </w:rPr>
        <w:t xml:space="preserve"> ،</w:t>
      </w:r>
      <w:r w:rsidRPr="007C3EC7">
        <w:rPr>
          <w:rFonts w:cs="Traditional Arabic" w:hint="cs"/>
          <w:color w:val="000000"/>
          <w:sz w:val="28"/>
          <w:szCs w:val="32"/>
          <w:rtl/>
        </w:rPr>
        <w:t xml:space="preserve"> فعندئذ يجب على المؤجر أن يرد الثمن إلى المشتري</w:t>
      </w:r>
      <w:r>
        <w:rPr>
          <w:rFonts w:cs="Traditional Arabic" w:hint="cs"/>
          <w:color w:val="000000"/>
          <w:sz w:val="28"/>
          <w:szCs w:val="32"/>
          <w:rtl/>
        </w:rPr>
        <w:t xml:space="preserve"> .</w:t>
      </w:r>
      <w:r w:rsidRPr="007C3EC7">
        <w:rPr>
          <w:rFonts w:cs="Traditional Arabic" w:hint="cs"/>
          <w:color w:val="000000"/>
          <w:sz w:val="28"/>
          <w:szCs w:val="32"/>
          <w:rtl/>
        </w:rPr>
        <w:t xml:space="preserve"> أو أن يكون المؤجر لم يوقع على المناولات حجزاً استحقاقياً أو وقعه بعد انقضاء ميعاد الثلاثين يوماً</w:t>
      </w:r>
      <w:r>
        <w:rPr>
          <w:rFonts w:cs="Traditional Arabic" w:hint="cs"/>
          <w:color w:val="000000"/>
          <w:sz w:val="28"/>
          <w:szCs w:val="32"/>
          <w:rtl/>
        </w:rPr>
        <w:t xml:space="preserve"> ،</w:t>
      </w:r>
      <w:r w:rsidRPr="007C3EC7">
        <w:rPr>
          <w:rFonts w:cs="Traditional Arabic" w:hint="cs"/>
          <w:color w:val="000000"/>
          <w:sz w:val="28"/>
          <w:szCs w:val="32"/>
          <w:rtl/>
        </w:rPr>
        <w:t xml:space="preserve"> وفي هذا الفرض تخلص للمشتري ملكية المنقولات خالية من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وقياساً على ما تقدم</w:t>
      </w:r>
      <w:r>
        <w:rPr>
          <w:rFonts w:cs="Traditional Arabic" w:hint="cs"/>
          <w:color w:val="000000"/>
          <w:sz w:val="28"/>
          <w:szCs w:val="32"/>
          <w:rtl/>
        </w:rPr>
        <w:t xml:space="preserve"> ،</w:t>
      </w:r>
      <w:r w:rsidRPr="007C3EC7">
        <w:rPr>
          <w:rFonts w:cs="Traditional Arabic" w:hint="cs"/>
          <w:color w:val="000000"/>
          <w:sz w:val="28"/>
          <w:szCs w:val="32"/>
          <w:rtl/>
        </w:rPr>
        <w:t xml:space="preserve"> إذا أخرج المستأجر منقولاته من العين المؤجرة خلسة أو بالرغم من معارضة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ووضعها في عين أخرى استأجرها كذلك</w:t>
      </w:r>
      <w:r>
        <w:rPr>
          <w:rFonts w:cs="Traditional Arabic" w:hint="cs"/>
          <w:color w:val="000000"/>
          <w:sz w:val="28"/>
          <w:szCs w:val="32"/>
          <w:rtl/>
        </w:rPr>
        <w:t xml:space="preserve"> ،</w:t>
      </w:r>
      <w:r w:rsidRPr="007C3EC7">
        <w:rPr>
          <w:rFonts w:cs="Traditional Arabic" w:hint="cs"/>
          <w:color w:val="000000"/>
          <w:sz w:val="28"/>
          <w:szCs w:val="32"/>
          <w:rtl/>
        </w:rPr>
        <w:t xml:space="preserve"> وأوقع المؤجر الأول الحجز الاستحقاقي على المنقولات في خلال ثلاثين يوماً من نقلها</w:t>
      </w:r>
      <w:r>
        <w:rPr>
          <w:rFonts w:cs="Traditional Arabic" w:hint="cs"/>
          <w:color w:val="000000"/>
          <w:sz w:val="28"/>
          <w:szCs w:val="32"/>
          <w:rtl/>
        </w:rPr>
        <w:t xml:space="preserve"> ،</w:t>
      </w:r>
      <w:r w:rsidRPr="007C3EC7">
        <w:rPr>
          <w:rFonts w:cs="Traditional Arabic" w:hint="cs"/>
          <w:color w:val="000000"/>
          <w:sz w:val="28"/>
          <w:szCs w:val="32"/>
          <w:rtl/>
        </w:rPr>
        <w:t xml:space="preserve"> فإن حق امتيازه يتقدم على حق امتياز المؤجر الثاني ولو كان هذا الأخير حسن النية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711- حق حبس المنقولات</w:t>
      </w:r>
      <w:r>
        <w:rPr>
          <w:rFonts w:cs="Traditional Arabic" w:hint="cs"/>
          <w:b/>
          <w:bCs/>
          <w:color w:val="000000"/>
          <w:sz w:val="28"/>
          <w:szCs w:val="32"/>
          <w:rtl/>
        </w:rPr>
        <w:t xml:space="preserve"> :</w:t>
      </w:r>
      <w:r w:rsidRPr="007C3EC7">
        <w:rPr>
          <w:rFonts w:cs="Traditional Arabic" w:hint="cs"/>
          <w:color w:val="000000"/>
          <w:sz w:val="28"/>
          <w:szCs w:val="32"/>
          <w:rtl/>
        </w:rPr>
        <w:t xml:space="preserve"> وتنص المادة 589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يكون للمؤجر</w:t>
      </w:r>
      <w:r>
        <w:rPr>
          <w:rFonts w:cs="Traditional Arabic" w:hint="cs"/>
          <w:color w:val="000000"/>
          <w:sz w:val="28"/>
          <w:szCs w:val="32"/>
          <w:rtl/>
        </w:rPr>
        <w:t xml:space="preserve"> ،</w:t>
      </w:r>
      <w:r w:rsidRPr="007C3EC7">
        <w:rPr>
          <w:rFonts w:cs="Traditional Arabic" w:hint="cs"/>
          <w:color w:val="000000"/>
          <w:sz w:val="28"/>
          <w:szCs w:val="32"/>
          <w:rtl/>
        </w:rPr>
        <w:t xml:space="preserve"> ضماناً لكل حق يثبت له بمقتضى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أن يحبس جميع المنقولات القابلة للحجز الموجودة في العين المؤجرة ما دامت مثقلة بامتياز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ولو لم تكن مملوكة للمستأجر</w:t>
      </w:r>
      <w:r>
        <w:rPr>
          <w:rFonts w:cs="Traditional Arabic" w:hint="cs"/>
          <w:color w:val="000000"/>
          <w:sz w:val="28"/>
          <w:szCs w:val="32"/>
          <w:rtl/>
        </w:rPr>
        <w:t xml:space="preserve"> .</w:t>
      </w:r>
      <w:r w:rsidRPr="007C3EC7">
        <w:rPr>
          <w:rFonts w:cs="Traditional Arabic" w:hint="cs"/>
          <w:color w:val="000000"/>
          <w:sz w:val="28"/>
          <w:szCs w:val="32"/>
          <w:rtl/>
        </w:rPr>
        <w:t xml:space="preserve"> وللمؤجر الحق في أن يمانع في نقلها</w:t>
      </w:r>
      <w:r>
        <w:rPr>
          <w:rFonts w:cs="Traditional Arabic" w:hint="cs"/>
          <w:color w:val="000000"/>
          <w:sz w:val="28"/>
          <w:szCs w:val="32"/>
          <w:rtl/>
        </w:rPr>
        <w:t xml:space="preserve"> ،</w:t>
      </w:r>
      <w:r w:rsidRPr="007C3EC7">
        <w:rPr>
          <w:rFonts w:cs="Traditional Arabic" w:hint="cs"/>
          <w:color w:val="000000"/>
          <w:sz w:val="28"/>
          <w:szCs w:val="32"/>
          <w:rtl/>
        </w:rPr>
        <w:t xml:space="preserve"> فإذا نقلت رغم معارضته أو دون علمه</w:t>
      </w:r>
      <w:r>
        <w:rPr>
          <w:rFonts w:cs="Traditional Arabic" w:hint="cs"/>
          <w:color w:val="000000"/>
          <w:sz w:val="28"/>
          <w:szCs w:val="32"/>
          <w:rtl/>
        </w:rPr>
        <w:t xml:space="preserve"> ،</w:t>
      </w:r>
      <w:r w:rsidRPr="007C3EC7">
        <w:rPr>
          <w:rFonts w:cs="Traditional Arabic" w:hint="cs"/>
          <w:color w:val="000000"/>
          <w:sz w:val="28"/>
          <w:szCs w:val="32"/>
          <w:rtl/>
        </w:rPr>
        <w:t xml:space="preserve"> كان له الحق في استردادها من الحائز لها ولو كان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مع عدم الإخلال بما يكون لهذا الحائز من حقوق"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"2- وليس للمؤجر أن يستعمل حقه في الحبس أو في الاسترداد إذا كان نقل هذه الأشياء أمراً </w:t>
      </w:r>
      <w:r w:rsidRPr="007C3EC7">
        <w:rPr>
          <w:rFonts w:cs="Traditional Arabic" w:hint="cs"/>
          <w:color w:val="000000"/>
          <w:sz w:val="28"/>
          <w:szCs w:val="32"/>
          <w:rtl/>
        </w:rPr>
        <w:lastRenderedPageBreak/>
        <w:t>اقتضته حرفة المستأجر أو المألوف من شؤون $984 الحياة</w:t>
      </w:r>
      <w:r>
        <w:rPr>
          <w:rFonts w:cs="Traditional Arabic" w:hint="cs"/>
          <w:color w:val="000000"/>
          <w:sz w:val="28"/>
          <w:szCs w:val="32"/>
          <w:rtl/>
        </w:rPr>
        <w:t xml:space="preserve"> ،</w:t>
      </w:r>
      <w:r w:rsidRPr="007C3EC7">
        <w:rPr>
          <w:rFonts w:cs="Traditional Arabic" w:hint="cs"/>
          <w:color w:val="000000"/>
          <w:sz w:val="28"/>
          <w:szCs w:val="32"/>
          <w:rtl/>
        </w:rPr>
        <w:t xml:space="preserve"> أو كانت المنقولات التي تركت في العين المؤجرة أو التي تم استردادها تفي بضمان الأجرة وفاء تاماً"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ويتمشى حق المؤجر في الحبس مع حق الامتياز المقرر له</w:t>
      </w:r>
      <w:r>
        <w:rPr>
          <w:rFonts w:cs="Traditional Arabic" w:hint="cs"/>
          <w:color w:val="000000"/>
          <w:sz w:val="28"/>
          <w:szCs w:val="32"/>
          <w:rtl/>
        </w:rPr>
        <w:t xml:space="preserve"> ،</w:t>
      </w:r>
      <w:r w:rsidRPr="007C3EC7">
        <w:rPr>
          <w:rFonts w:cs="Traditional Arabic" w:hint="cs"/>
          <w:color w:val="000000"/>
          <w:sz w:val="28"/>
          <w:szCs w:val="32"/>
          <w:rtl/>
        </w:rPr>
        <w:t xml:space="preserve"> من حيث الحق الممتاز ومن حيث 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ولما كان الحبس م موضوعات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فتكتفي بالإحالة فيه إلى الجزء السادس من الوسيط</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712- توقيع الحجز التحفظي</w:t>
      </w:r>
      <w:r>
        <w:rPr>
          <w:rFonts w:cs="Traditional Arabic" w:hint="cs"/>
          <w:b/>
          <w:bCs/>
          <w:color w:val="000000"/>
          <w:sz w:val="28"/>
          <w:szCs w:val="32"/>
          <w:rtl/>
        </w:rPr>
        <w:t xml:space="preserve"> :</w:t>
      </w:r>
      <w:r w:rsidRPr="007C3EC7">
        <w:rPr>
          <w:rFonts w:cs="Traditional Arabic" w:hint="cs"/>
          <w:color w:val="000000"/>
          <w:sz w:val="28"/>
          <w:szCs w:val="32"/>
          <w:rtl/>
        </w:rPr>
        <w:t xml:space="preserve"> ولم يكتف المشرع بإعطاء المؤجر حق امتياز على منقولات المستأجر وحقاً في حبس هذه المنقولات</w:t>
      </w:r>
      <w:r>
        <w:rPr>
          <w:rFonts w:cs="Traditional Arabic" w:hint="cs"/>
          <w:color w:val="000000"/>
          <w:sz w:val="28"/>
          <w:szCs w:val="32"/>
          <w:rtl/>
        </w:rPr>
        <w:t xml:space="preserve"> ،</w:t>
      </w:r>
      <w:r w:rsidRPr="007C3EC7">
        <w:rPr>
          <w:rFonts w:cs="Traditional Arabic" w:hint="cs"/>
          <w:color w:val="000000"/>
          <w:sz w:val="28"/>
          <w:szCs w:val="32"/>
          <w:rtl/>
        </w:rPr>
        <w:t xml:space="preserve"> بل دعم هذين الحالين بحق ثالث هو حق توقيع الحجز التحفظي على هذه المنقولات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ويفضل هذا الحجز التحفظي يستطيع المؤجر أن يجعل حقه في الحبس منتجاً</w:t>
      </w:r>
      <w:r>
        <w:rPr>
          <w:rFonts w:cs="Traditional Arabic" w:hint="cs"/>
          <w:color w:val="000000"/>
          <w:sz w:val="28"/>
          <w:szCs w:val="32"/>
          <w:rtl/>
        </w:rPr>
        <w:t xml:space="preserve"> ،</w:t>
      </w:r>
      <w:r w:rsidRPr="007C3EC7">
        <w:rPr>
          <w:rFonts w:cs="Traditional Arabic" w:hint="cs"/>
          <w:color w:val="000000"/>
          <w:sz w:val="28"/>
          <w:szCs w:val="32"/>
          <w:rtl/>
        </w:rPr>
        <w:t xml:space="preserve"> إذ يمنع به المستأجر من إخراج منقولات من العين المؤجرة أو يستردها إذا أخرجت</w:t>
      </w:r>
      <w:r>
        <w:rPr>
          <w:rFonts w:cs="Traditional Arabic" w:hint="cs"/>
          <w:color w:val="000000"/>
          <w:sz w:val="28"/>
          <w:szCs w:val="32"/>
          <w:rtl/>
        </w:rPr>
        <w:t xml:space="preserve"> .</w:t>
      </w:r>
      <w:r w:rsidRPr="007C3EC7">
        <w:rPr>
          <w:rFonts w:cs="Traditional Arabic" w:hint="cs"/>
          <w:color w:val="000000"/>
          <w:sz w:val="28"/>
          <w:szCs w:val="32"/>
          <w:rtl/>
        </w:rPr>
        <w:t xml:space="preserve"> وبفضله أيضاً يستطيع المؤجر أن يجعل حق الامتياز منتجاً</w:t>
      </w:r>
      <w:r>
        <w:rPr>
          <w:rFonts w:cs="Traditional Arabic" w:hint="cs"/>
          <w:color w:val="000000"/>
          <w:sz w:val="28"/>
          <w:szCs w:val="32"/>
          <w:rtl/>
        </w:rPr>
        <w:t xml:space="preserve"> ،</w:t>
      </w:r>
      <w:r w:rsidRPr="007C3EC7">
        <w:rPr>
          <w:rFonts w:cs="Traditional Arabic" w:hint="cs"/>
          <w:color w:val="000000"/>
          <w:sz w:val="28"/>
          <w:szCs w:val="32"/>
          <w:rtl/>
        </w:rPr>
        <w:t xml:space="preserve"> إذ لولاه لاستطاع المستأجر أن يتصرف في المنقولات لحائز حسن النية فيتملكها ويضع بذلك على المؤجر حق امتيازه</w:t>
      </w:r>
      <w:r>
        <w:rPr>
          <w:rFonts w:cs="Traditional Arabic" w:hint="cs"/>
          <w:color w:val="000000"/>
          <w:sz w:val="28"/>
          <w:szCs w:val="32"/>
          <w:rtl/>
        </w:rPr>
        <w:t xml:space="preserve"> ،</w:t>
      </w:r>
      <w:r w:rsidRPr="007C3EC7">
        <w:rPr>
          <w:rFonts w:cs="Traditional Arabic" w:hint="cs"/>
          <w:color w:val="000000"/>
          <w:sz w:val="28"/>
          <w:szCs w:val="32"/>
          <w:rtl/>
        </w:rPr>
        <w:t xml:space="preserve"> أما بعد الحجز فلا يجوز للحائز حسن النية أن يحتج بحقه على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وهذا أيضاً من موضوعات عقد الإيجار</w:t>
      </w:r>
      <w:r>
        <w:rPr>
          <w:rFonts w:cs="Traditional Arabic" w:hint="cs"/>
          <w:color w:val="000000"/>
          <w:sz w:val="28"/>
          <w:szCs w:val="32"/>
          <w:rtl/>
        </w:rPr>
        <w:t xml:space="preserve"> ،</w:t>
      </w:r>
      <w:r w:rsidRPr="007C3EC7">
        <w:rPr>
          <w:rFonts w:cs="Traditional Arabic" w:hint="cs"/>
          <w:color w:val="000000"/>
          <w:sz w:val="28"/>
          <w:szCs w:val="32"/>
          <w:rtl/>
        </w:rPr>
        <w:t xml:space="preserve"> فنكتفي بالإحالة على الجزء السادس من الوسيط</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714- استثناء الحقوق غير النافذة في حق المؤجر</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ويجب استبعاد الحقوق غير النافذة في حق المؤجر باعتباره حائزاً حسن النية من بين الحقوق الخمسة التي تقدم ذكرها</w:t>
      </w:r>
      <w:r>
        <w:rPr>
          <w:rFonts w:cs="Traditional Arabic" w:hint="cs"/>
          <w:color w:val="000000"/>
          <w:sz w:val="28"/>
          <w:szCs w:val="32"/>
          <w:rtl/>
        </w:rPr>
        <w:t xml:space="preserve"> ،</w:t>
      </w:r>
      <w:r w:rsidRPr="007C3EC7">
        <w:rPr>
          <w:rFonts w:cs="Traditional Arabic" w:hint="cs"/>
          <w:color w:val="000000"/>
          <w:sz w:val="28"/>
          <w:szCs w:val="32"/>
          <w:rtl/>
        </w:rPr>
        <w:t xml:space="preserve"> وهي التي تتقدم امتياز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فامتياز الحفظ والترميم مثلا</w:t>
      </w:r>
      <w:r>
        <w:rPr>
          <w:rFonts w:cs="Traditional Arabic" w:hint="cs"/>
          <w:color w:val="000000"/>
          <w:sz w:val="28"/>
          <w:szCs w:val="32"/>
          <w:rtl/>
        </w:rPr>
        <w:t xml:space="preserve"> ،</w:t>
      </w:r>
      <w:r w:rsidRPr="007C3EC7">
        <w:rPr>
          <w:rFonts w:cs="Traditional Arabic" w:hint="cs"/>
          <w:color w:val="000000"/>
          <w:sz w:val="28"/>
          <w:szCs w:val="32"/>
          <w:rtl/>
        </w:rPr>
        <w:t xml:space="preserve"> وإن كان يتقدم 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إلا أن امتياز المؤجر يتقدمه إذا دخلت العين التي حفظت أو رممت المكان المؤجر دون أن يعلم المؤجر أن هذه العين يثقلها حق امتياز الحفظ والترميم</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lastRenderedPageBreak/>
        <w:t>§</w:t>
      </w:r>
      <w:r w:rsidRPr="007C3EC7">
        <w:rPr>
          <w:rFonts w:cs="Traditional Arabic" w:hint="cs"/>
          <w:b/>
          <w:bCs/>
          <w:color w:val="000000"/>
          <w:sz w:val="28"/>
          <w:szCs w:val="32"/>
          <w:rtl/>
        </w:rPr>
        <w:t xml:space="preserve"> 3- امتياز صاحب الفندق</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715-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1144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المبالغ المستحقة لصاحب الفندق في ذمة النزيل عن أجرة الإقامة والمؤونة وما صرف لحسابه</w:t>
      </w:r>
      <w:r>
        <w:rPr>
          <w:rFonts w:cs="Traditional Arabic" w:hint="cs"/>
          <w:color w:val="000000"/>
          <w:sz w:val="28"/>
          <w:szCs w:val="32"/>
          <w:rtl/>
        </w:rPr>
        <w:t xml:space="preserve"> ،</w:t>
      </w:r>
      <w:r w:rsidRPr="007C3EC7">
        <w:rPr>
          <w:rFonts w:cs="Traditional Arabic" w:hint="cs"/>
          <w:color w:val="000000"/>
          <w:sz w:val="28"/>
          <w:szCs w:val="32"/>
          <w:rtl/>
        </w:rPr>
        <w:t xml:space="preserve"> يكون لها امتياز على الأمتعة التي أحضرها النزيل في الفندق أو ملحقاته"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ويقع الامتياز على الأمتعة ولو كانت غير مملوكة للنزيل إذا لم يثبت أن صاحب الفندق كان يعلم وقت إدخالها عنده بحق الغير عليها بشرط ألا يكون تلك الأمتعة مسروقة أو ضائعة</w:t>
      </w:r>
      <w:r>
        <w:rPr>
          <w:rFonts w:cs="Traditional Arabic" w:hint="cs"/>
          <w:color w:val="000000"/>
          <w:sz w:val="28"/>
          <w:szCs w:val="32"/>
          <w:rtl/>
        </w:rPr>
        <w:t xml:space="preserve"> ،</w:t>
      </w:r>
      <w:r w:rsidRPr="007C3EC7">
        <w:rPr>
          <w:rFonts w:cs="Traditional Arabic" w:hint="cs"/>
          <w:color w:val="000000"/>
          <w:sz w:val="28"/>
          <w:szCs w:val="32"/>
          <w:rtl/>
        </w:rPr>
        <w:t xml:space="preserve"> ولصاحب الفندق أن يعارض في نقل الأمتعة من فند ما دام لم يستوفي حقه كاملا</w:t>
      </w:r>
      <w:r>
        <w:rPr>
          <w:rFonts w:cs="Traditional Arabic" w:hint="cs"/>
          <w:color w:val="000000"/>
          <w:sz w:val="28"/>
          <w:szCs w:val="32"/>
          <w:rtl/>
        </w:rPr>
        <w:t xml:space="preserve"> .</w:t>
      </w:r>
      <w:r w:rsidRPr="007C3EC7">
        <w:rPr>
          <w:rFonts w:cs="Traditional Arabic" w:hint="cs"/>
          <w:color w:val="000000"/>
          <w:sz w:val="28"/>
          <w:szCs w:val="32"/>
          <w:rtl/>
        </w:rPr>
        <w:t xml:space="preserve"> فإذا نقلت الأمتعة رقم معارضته أو دون علمه</w:t>
      </w:r>
      <w:r>
        <w:rPr>
          <w:rFonts w:cs="Traditional Arabic" w:hint="cs"/>
          <w:color w:val="000000"/>
          <w:sz w:val="28"/>
          <w:szCs w:val="32"/>
          <w:rtl/>
        </w:rPr>
        <w:t xml:space="preserve"> ،</w:t>
      </w:r>
      <w:r w:rsidRPr="007C3EC7">
        <w:rPr>
          <w:rFonts w:cs="Traditional Arabic" w:hint="cs"/>
          <w:color w:val="000000"/>
          <w:sz w:val="28"/>
          <w:szCs w:val="32"/>
          <w:rtl/>
        </w:rPr>
        <w:t xml:space="preserve"> فإن حق الامتياز يبقى قائماً عليها دون إخلال بالحقوق التي كسبها الغير بحسن نية"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ولامتياز صاحب الفندق نفس المرتبة التي لامتياز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فذا تزاحم الحقان قدم الأسبق في التاريخ</w:t>
      </w:r>
      <w:r>
        <w:rPr>
          <w:rFonts w:cs="Traditional Arabic" w:hint="cs"/>
          <w:color w:val="000000"/>
          <w:sz w:val="28"/>
          <w:szCs w:val="32"/>
          <w:rtl/>
        </w:rPr>
        <w:t xml:space="preserve"> ،</w:t>
      </w:r>
      <w:r w:rsidRPr="007C3EC7">
        <w:rPr>
          <w:rFonts w:cs="Traditional Arabic" w:hint="cs"/>
          <w:color w:val="000000"/>
          <w:sz w:val="28"/>
          <w:szCs w:val="32"/>
          <w:rtl/>
        </w:rPr>
        <w:t xml:space="preserve"> ما لم يكن غير نافذ بالنسبة إلى الآخر"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$987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المستحقة لصاحب الفندق في ذمة النزيل عن الإقامة المؤونة وما يصرف لحسابه</w:t>
      </w:r>
      <w:r>
        <w:rPr>
          <w:rFonts w:cs="Traditional Arabic" w:hint="cs"/>
          <w:color w:val="000000"/>
          <w:sz w:val="28"/>
          <w:szCs w:val="32"/>
          <w:rtl/>
        </w:rPr>
        <w:t xml:space="preserve"> . ،</w:t>
      </w:r>
      <w:r w:rsidRPr="007C3EC7">
        <w:rPr>
          <w:rFonts w:cs="Traditional Arabic" w:hint="cs"/>
          <w:color w:val="000000"/>
          <w:sz w:val="28"/>
          <w:szCs w:val="32"/>
          <w:rtl/>
        </w:rPr>
        <w:t xml:space="preserve"> فيدخل النوم والطعام والشراب للنزيل ومن معه وكذلك ما أعطي ما أعطي هل قرضاً</w:t>
      </w:r>
      <w:r>
        <w:rPr>
          <w:rFonts w:cs="Traditional Arabic" w:hint="cs"/>
          <w:color w:val="000000"/>
          <w:sz w:val="28"/>
          <w:szCs w:val="32"/>
          <w:rtl/>
        </w:rPr>
        <w:t xml:space="preserve"> ،</w:t>
      </w:r>
      <w:r w:rsidRPr="007C3EC7">
        <w:rPr>
          <w:rFonts w:cs="Traditional Arabic" w:hint="cs"/>
          <w:color w:val="000000"/>
          <w:sz w:val="28"/>
          <w:szCs w:val="32"/>
          <w:rtl/>
        </w:rPr>
        <w:t xml:space="preserve"> وذلك عن آخر مرة نزل فيها لا عن المرات السابقة</w:t>
      </w:r>
      <w:r>
        <w:rPr>
          <w:rFonts w:cs="Traditional Arabic" w:hint="cs"/>
          <w:color w:val="000000"/>
          <w:sz w:val="28"/>
          <w:szCs w:val="32"/>
          <w:rtl/>
        </w:rPr>
        <w:t xml:space="preserve"> .</w:t>
      </w:r>
      <w:r w:rsidRPr="007C3EC7">
        <w:rPr>
          <w:rFonts w:cs="Traditional Arabic" w:hint="cs"/>
          <w:color w:val="000000"/>
          <w:sz w:val="28"/>
          <w:szCs w:val="32"/>
          <w:rtl/>
        </w:rPr>
        <w:t xml:space="preserve"> وقد يكون النزيل من نفس البلد</w:t>
      </w:r>
      <w:r>
        <w:rPr>
          <w:rFonts w:cs="Traditional Arabic" w:hint="cs"/>
          <w:color w:val="000000"/>
          <w:sz w:val="28"/>
          <w:szCs w:val="32"/>
          <w:rtl/>
        </w:rPr>
        <w:t xml:space="preserve"> ،</w:t>
      </w:r>
      <w:r w:rsidRPr="007C3EC7">
        <w:rPr>
          <w:rFonts w:cs="Traditional Arabic" w:hint="cs"/>
          <w:color w:val="000000"/>
          <w:sz w:val="28"/>
          <w:szCs w:val="32"/>
          <w:rtl/>
        </w:rPr>
        <w:t xml:space="preserve"> ولذلك تجنب المشروع كلمة سائح</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الأمتعة التي أحضرها النزيل في الفندق أو في مكان ملحق</w:t>
      </w:r>
      <w:r>
        <w:rPr>
          <w:rFonts w:cs="Traditional Arabic" w:hint="cs"/>
          <w:color w:val="000000"/>
          <w:sz w:val="28"/>
          <w:szCs w:val="32"/>
          <w:rtl/>
        </w:rPr>
        <w:t xml:space="preserve"> ،</w:t>
      </w:r>
      <w:r w:rsidRPr="007C3EC7">
        <w:rPr>
          <w:rFonts w:cs="Traditional Arabic" w:hint="cs"/>
          <w:color w:val="000000"/>
          <w:sz w:val="28"/>
          <w:szCs w:val="32"/>
          <w:rtl/>
        </w:rPr>
        <w:t>ويدخل في الأمتعة المجوهرات</w:t>
      </w:r>
      <w:r>
        <w:rPr>
          <w:rFonts w:cs="Traditional Arabic" w:hint="cs"/>
          <w:color w:val="000000"/>
          <w:sz w:val="28"/>
          <w:szCs w:val="32"/>
          <w:rtl/>
        </w:rPr>
        <w:t xml:space="preserve"> .</w:t>
      </w:r>
      <w:r w:rsidRPr="007C3EC7">
        <w:rPr>
          <w:rFonts w:cs="Traditional Arabic" w:hint="cs"/>
          <w:color w:val="000000"/>
          <w:sz w:val="28"/>
          <w:szCs w:val="32"/>
          <w:rtl/>
        </w:rPr>
        <w:t xml:space="preserve"> ويثقل الامتياز الأمتعة ولو كانت غير مملوكة للنزيل</w:t>
      </w:r>
      <w:r>
        <w:rPr>
          <w:rFonts w:cs="Traditional Arabic" w:hint="cs"/>
          <w:color w:val="000000"/>
          <w:sz w:val="28"/>
          <w:szCs w:val="32"/>
          <w:rtl/>
        </w:rPr>
        <w:t xml:space="preserve"> ،</w:t>
      </w:r>
      <w:r w:rsidRPr="007C3EC7">
        <w:rPr>
          <w:rFonts w:cs="Traditional Arabic" w:hint="cs"/>
          <w:color w:val="000000"/>
          <w:sz w:val="28"/>
          <w:szCs w:val="32"/>
          <w:rtl/>
        </w:rPr>
        <w:t xml:space="preserve"> ما دام صاحب الفندق لا يعلم أنها مملوكة لغيره</w:t>
      </w:r>
      <w:r>
        <w:rPr>
          <w:rFonts w:cs="Traditional Arabic" w:hint="cs"/>
          <w:color w:val="000000"/>
          <w:sz w:val="28"/>
          <w:szCs w:val="32"/>
          <w:rtl/>
        </w:rPr>
        <w:t xml:space="preserve"> ،</w:t>
      </w:r>
      <w:r w:rsidRPr="007C3EC7">
        <w:rPr>
          <w:rFonts w:cs="Traditional Arabic" w:hint="cs"/>
          <w:color w:val="000000"/>
          <w:sz w:val="28"/>
          <w:szCs w:val="32"/>
          <w:rtl/>
        </w:rPr>
        <w:t xml:space="preserve"> هذا ما لم تكن مسروقة أو ضائعة فلصحابها أن يستردها في ثلاث سنوات</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وإذا نقلت المنقولات بغير رضاء صاحب الفندق كان له أن يستردها</w:t>
      </w:r>
      <w:r>
        <w:rPr>
          <w:rFonts w:cs="Traditional Arabic" w:hint="cs"/>
          <w:color w:val="000000"/>
          <w:sz w:val="28"/>
          <w:szCs w:val="32"/>
          <w:rtl/>
        </w:rPr>
        <w:t xml:space="preserve"> ،</w:t>
      </w:r>
      <w:r w:rsidRPr="007C3EC7">
        <w:rPr>
          <w:rFonts w:cs="Traditional Arabic" w:hint="cs"/>
          <w:color w:val="000000"/>
          <w:sz w:val="28"/>
          <w:szCs w:val="32"/>
          <w:rtl/>
        </w:rPr>
        <w:t xml:space="preserve"> إلا إذا كسب الغير حقاً يكون نافذاً قبله</w:t>
      </w:r>
      <w:r>
        <w:rPr>
          <w:rFonts w:cs="Traditional Arabic" w:hint="cs"/>
          <w:color w:val="000000"/>
          <w:sz w:val="28"/>
          <w:szCs w:val="32"/>
          <w:rtl/>
        </w:rPr>
        <w:t xml:space="preserve"> .</w:t>
      </w:r>
      <w:r w:rsidRPr="007C3EC7">
        <w:rPr>
          <w:rFonts w:cs="Traditional Arabic" w:hint="cs"/>
          <w:color w:val="000000"/>
          <w:sz w:val="28"/>
          <w:szCs w:val="32"/>
          <w:rtl/>
        </w:rPr>
        <w:t xml:space="preserve"> وليس لصاحب الفندق توقيع حجز استحقاقي كالمؤجر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نفس مرتبة المؤجر</w:t>
      </w:r>
      <w:r>
        <w:rPr>
          <w:rFonts w:cs="Traditional Arabic" w:hint="cs"/>
          <w:color w:val="000000"/>
          <w:sz w:val="28"/>
          <w:szCs w:val="32"/>
          <w:rtl/>
        </w:rPr>
        <w:t xml:space="preserve"> ،</w:t>
      </w:r>
      <w:r w:rsidRPr="007C3EC7">
        <w:rPr>
          <w:rFonts w:cs="Traditional Arabic" w:hint="cs"/>
          <w:color w:val="000000"/>
          <w:sz w:val="28"/>
          <w:szCs w:val="32"/>
          <w:rtl/>
        </w:rPr>
        <w:t xml:space="preserve"> فإذا تزاحم الحقان قدم الأسبق في التاريخ ما لم يكن غير نافذ بالنسبة للآخر</w:t>
      </w:r>
      <w:r>
        <w:rPr>
          <w:rFonts w:cs="Traditional Arabic" w:hint="cs"/>
          <w:color w:val="000000"/>
          <w:sz w:val="28"/>
          <w:szCs w:val="32"/>
          <w:rtl/>
        </w:rPr>
        <w:t xml:space="preserve"> .</w:t>
      </w:r>
      <w:r w:rsidRPr="007C3EC7">
        <w:rPr>
          <w:rFonts w:cs="Traditional Arabic" w:hint="cs"/>
          <w:color w:val="000000"/>
          <w:sz w:val="28"/>
          <w:szCs w:val="32"/>
          <w:rtl/>
        </w:rPr>
        <w:t xml:space="preserve"> فإذا أخرج المستأجر بعض الأمتعة من العين المؤجرة دون علم المؤجر ونزل بها في فندق صاحبه لا يعلم أن للمؤجر امتيازاً على هذه الأمتعة</w:t>
      </w:r>
      <w:r>
        <w:rPr>
          <w:rFonts w:cs="Traditional Arabic" w:hint="cs"/>
          <w:color w:val="000000"/>
          <w:sz w:val="28"/>
          <w:szCs w:val="32"/>
          <w:rtl/>
        </w:rPr>
        <w:t xml:space="preserve"> ،</w:t>
      </w:r>
      <w:r w:rsidRPr="007C3EC7">
        <w:rPr>
          <w:rFonts w:cs="Traditional Arabic" w:hint="cs"/>
          <w:color w:val="000000"/>
          <w:sz w:val="28"/>
          <w:szCs w:val="32"/>
          <w:rtl/>
        </w:rPr>
        <w:t xml:space="preserve"> وحجز المؤجر حجزاً استحقاقياً في الميعاد</w:t>
      </w:r>
      <w:r>
        <w:rPr>
          <w:rFonts w:cs="Traditional Arabic" w:hint="cs"/>
          <w:color w:val="000000"/>
          <w:sz w:val="28"/>
          <w:szCs w:val="32"/>
          <w:rtl/>
        </w:rPr>
        <w:t xml:space="preserve"> ،</w:t>
      </w:r>
      <w:r w:rsidRPr="007C3EC7">
        <w:rPr>
          <w:rFonts w:cs="Traditional Arabic" w:hint="cs"/>
          <w:color w:val="000000"/>
          <w:sz w:val="28"/>
          <w:szCs w:val="32"/>
          <w:rtl/>
        </w:rPr>
        <w:t xml:space="preserve"> فإن امتياز المؤجر وهو الأسبق في التاريخ هو الذي يقدم</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لم يحجز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فإن امتيازه لا يكون نافذاً بالنسبة لصاحب الفندق فيقدم امتياز هذا الأخير</w:t>
      </w:r>
      <w:r>
        <w:rPr>
          <w:rFonts w:cs="Traditional Arabic" w:hint="cs"/>
          <w:color w:val="000000"/>
          <w:sz w:val="28"/>
          <w:szCs w:val="32"/>
          <w:rtl/>
        </w:rPr>
        <w:t xml:space="preserve"> .</w:t>
      </w:r>
      <w:r w:rsidRPr="007C3EC7">
        <w:rPr>
          <w:rFonts w:cs="Traditional Arabic" w:hint="cs"/>
          <w:color w:val="000000"/>
          <w:sz w:val="28"/>
          <w:szCs w:val="32"/>
          <w:rtl/>
        </w:rPr>
        <w:t xml:space="preserve"> كذلك إذا اخرج النزيل أمتعته ووضعها في عين مؤجرة</w:t>
      </w:r>
      <w:r>
        <w:rPr>
          <w:rFonts w:cs="Traditional Arabic" w:hint="cs"/>
          <w:color w:val="000000"/>
          <w:sz w:val="28"/>
          <w:szCs w:val="32"/>
          <w:rtl/>
        </w:rPr>
        <w:t xml:space="preserve"> ،</w:t>
      </w:r>
      <w:r w:rsidRPr="007C3EC7">
        <w:rPr>
          <w:rFonts w:cs="Traditional Arabic" w:hint="cs"/>
          <w:color w:val="000000"/>
          <w:sz w:val="28"/>
          <w:szCs w:val="32"/>
          <w:rtl/>
        </w:rPr>
        <w:t xml:space="preserve"> وكان المؤجر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كان امتيازه مقدماً</w:t>
      </w:r>
      <w:r>
        <w:rPr>
          <w:rFonts w:cs="Traditional Arabic" w:hint="cs"/>
          <w:color w:val="000000"/>
          <w:sz w:val="28"/>
          <w:szCs w:val="32"/>
          <w:rtl/>
        </w:rPr>
        <w:t xml:space="preserve"> ،</w:t>
      </w:r>
      <w:r w:rsidRPr="007C3EC7">
        <w:rPr>
          <w:rFonts w:cs="Traditional Arabic" w:hint="cs"/>
          <w:color w:val="000000"/>
          <w:sz w:val="28"/>
          <w:szCs w:val="32"/>
          <w:rtl/>
        </w:rPr>
        <w:t xml:space="preserve"> لأن امتياز 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وهو الأسبق في التاريخ</w:t>
      </w:r>
      <w:r>
        <w:rPr>
          <w:rFonts w:cs="Traditional Arabic" w:hint="cs"/>
          <w:color w:val="000000"/>
          <w:sz w:val="28"/>
          <w:szCs w:val="32"/>
          <w:rtl/>
        </w:rPr>
        <w:t xml:space="preserve"> ،</w:t>
      </w:r>
      <w:r w:rsidRPr="007C3EC7">
        <w:rPr>
          <w:rFonts w:cs="Traditional Arabic" w:hint="cs"/>
          <w:color w:val="000000"/>
          <w:sz w:val="28"/>
          <w:szCs w:val="32"/>
          <w:rtl/>
        </w:rPr>
        <w:t xml:space="preserve"> لا ينفذ في حقه"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$988 </w:t>
      </w:r>
      <w:r w:rsidRPr="007C3EC7">
        <w:rPr>
          <w:rFonts w:cs="Traditional Arabic" w:hint="cs"/>
          <w:b/>
          <w:bCs/>
          <w:color w:val="000000"/>
          <w:sz w:val="28"/>
          <w:szCs w:val="32"/>
          <w:rtl/>
        </w:rPr>
        <w:t>716- الحق الممتاز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وهذا الامتياز خاص بأصحاب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فلا ينطبق على أصحاب المقاهي</w:t>
      </w:r>
      <w:r>
        <w:rPr>
          <w:rFonts w:cs="Traditional Arabic" w:hint="cs"/>
          <w:color w:val="000000"/>
          <w:sz w:val="28"/>
          <w:szCs w:val="32"/>
          <w:rtl/>
        </w:rPr>
        <w:t xml:space="preserve"> ،</w:t>
      </w:r>
      <w:r w:rsidRPr="007C3EC7">
        <w:rPr>
          <w:rFonts w:cs="Traditional Arabic" w:hint="cs"/>
          <w:color w:val="000000"/>
          <w:sz w:val="28"/>
          <w:szCs w:val="32"/>
          <w:rtl/>
        </w:rPr>
        <w:t xml:space="preserve"> ولا على أصحاب المطاعم</w:t>
      </w:r>
      <w:r>
        <w:rPr>
          <w:rFonts w:cs="Traditional Arabic" w:hint="cs"/>
          <w:color w:val="000000"/>
          <w:sz w:val="28"/>
          <w:szCs w:val="32"/>
          <w:rtl/>
        </w:rPr>
        <w:t xml:space="preserve"> ،</w:t>
      </w:r>
      <w:r w:rsidRPr="007C3EC7">
        <w:rPr>
          <w:rFonts w:cs="Traditional Arabic" w:hint="cs"/>
          <w:color w:val="000000"/>
          <w:sz w:val="28"/>
          <w:szCs w:val="32"/>
          <w:rtl/>
        </w:rPr>
        <w:t xml:space="preserve"> ولا على أصحاب الحانات</w:t>
      </w:r>
      <w:r>
        <w:rPr>
          <w:rFonts w:cs="Traditional Arabic" w:hint="cs"/>
          <w:color w:val="000000"/>
          <w:sz w:val="28"/>
          <w:szCs w:val="32"/>
          <w:rtl/>
        </w:rPr>
        <w:t xml:space="preserve"> .</w:t>
      </w:r>
      <w:r w:rsidRPr="007C3EC7">
        <w:rPr>
          <w:rFonts w:cs="Traditional Arabic" w:hint="cs"/>
          <w:color w:val="000000"/>
          <w:sz w:val="28"/>
          <w:szCs w:val="32"/>
          <w:rtl/>
        </w:rPr>
        <w:t xml:space="preserve"> والمهم أن يقدم صاحب الفندق مأوى للنوم</w:t>
      </w:r>
      <w:r>
        <w:rPr>
          <w:rFonts w:cs="Traditional Arabic" w:hint="cs"/>
          <w:color w:val="000000"/>
          <w:sz w:val="28"/>
          <w:szCs w:val="32"/>
          <w:rtl/>
        </w:rPr>
        <w:t xml:space="preserve"> ،</w:t>
      </w:r>
      <w:r w:rsidRPr="007C3EC7">
        <w:rPr>
          <w:rFonts w:cs="Traditional Arabic" w:hint="cs"/>
          <w:color w:val="000000"/>
          <w:sz w:val="28"/>
          <w:szCs w:val="32"/>
          <w:rtl/>
        </w:rPr>
        <w:t xml:space="preserve"> سواء قدم طعاماً أو غير ذلك أو لم يقدم</w:t>
      </w:r>
      <w:r>
        <w:rPr>
          <w:rFonts w:cs="Traditional Arabic" w:hint="cs"/>
          <w:color w:val="000000"/>
          <w:sz w:val="28"/>
          <w:szCs w:val="32"/>
          <w:rtl/>
        </w:rPr>
        <w:t xml:space="preserve"> .</w:t>
      </w:r>
      <w:r w:rsidRPr="007C3EC7">
        <w:rPr>
          <w:rFonts w:cs="Traditional Arabic" w:hint="cs"/>
          <w:color w:val="000000"/>
          <w:sz w:val="28"/>
          <w:szCs w:val="32"/>
          <w:rtl/>
        </w:rPr>
        <w:t xml:space="preserve"> والذين يقدمون الطعام</w:t>
      </w:r>
      <w:r>
        <w:rPr>
          <w:rFonts w:cs="Traditional Arabic" w:hint="cs"/>
          <w:color w:val="000000"/>
          <w:sz w:val="28"/>
          <w:szCs w:val="32"/>
          <w:rtl/>
        </w:rPr>
        <w:t xml:space="preserve"> ،</w:t>
      </w:r>
      <w:r w:rsidRPr="007C3EC7">
        <w:rPr>
          <w:rFonts w:cs="Traditional Arabic" w:hint="cs"/>
          <w:color w:val="000000"/>
          <w:sz w:val="28"/>
          <w:szCs w:val="32"/>
          <w:rtl/>
        </w:rPr>
        <w:t xml:space="preserve"> أو الشراب</w:t>
      </w:r>
      <w:r>
        <w:rPr>
          <w:rFonts w:cs="Traditional Arabic" w:hint="cs"/>
          <w:color w:val="000000"/>
          <w:sz w:val="28"/>
          <w:szCs w:val="32"/>
          <w:rtl/>
        </w:rPr>
        <w:t xml:space="preserve"> ،</w:t>
      </w:r>
      <w:r w:rsidRPr="007C3EC7">
        <w:rPr>
          <w:rFonts w:cs="Traditional Arabic" w:hint="cs"/>
          <w:color w:val="000000"/>
          <w:sz w:val="28"/>
          <w:szCs w:val="32"/>
          <w:rtl/>
        </w:rPr>
        <w:t xml:space="preserve"> دون المأوى</w:t>
      </w:r>
      <w:r>
        <w:rPr>
          <w:rFonts w:cs="Traditional Arabic" w:hint="cs"/>
          <w:color w:val="000000"/>
          <w:sz w:val="28"/>
          <w:szCs w:val="32"/>
          <w:rtl/>
        </w:rPr>
        <w:t xml:space="preserve"> ،</w:t>
      </w:r>
      <w:r w:rsidRPr="007C3EC7">
        <w:rPr>
          <w:rFonts w:cs="Traditional Arabic" w:hint="cs"/>
          <w:color w:val="000000"/>
          <w:sz w:val="28"/>
          <w:szCs w:val="32"/>
          <w:rtl/>
        </w:rPr>
        <w:t xml:space="preserve"> غير المأوى</w:t>
      </w:r>
      <w:r>
        <w:rPr>
          <w:rFonts w:cs="Traditional Arabic" w:hint="cs"/>
          <w:color w:val="000000"/>
          <w:sz w:val="28"/>
          <w:szCs w:val="32"/>
          <w:rtl/>
        </w:rPr>
        <w:t xml:space="preserve"> ،</w:t>
      </w:r>
      <w:r w:rsidRPr="007C3EC7">
        <w:rPr>
          <w:rFonts w:cs="Traditional Arabic" w:hint="cs"/>
          <w:color w:val="000000"/>
          <w:sz w:val="28"/>
          <w:szCs w:val="32"/>
          <w:rtl/>
        </w:rPr>
        <w:t xml:space="preserve"> غير ممتازين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أما أصحاب المنازل المفروشة فقد اختلف في شأنهم</w:t>
      </w:r>
      <w:r>
        <w:rPr>
          <w:rFonts w:cs="Traditional Arabic" w:hint="cs"/>
          <w:color w:val="000000"/>
          <w:sz w:val="28"/>
          <w:szCs w:val="32"/>
          <w:rtl/>
        </w:rPr>
        <w:t xml:space="preserve"> ،</w:t>
      </w:r>
      <w:r w:rsidRPr="007C3EC7">
        <w:rPr>
          <w:rFonts w:cs="Traditional Arabic" w:hint="cs"/>
          <w:color w:val="000000"/>
          <w:sz w:val="28"/>
          <w:szCs w:val="32"/>
          <w:rtl/>
        </w:rPr>
        <w:t xml:space="preserve"> فبعض يرى أن لهم امتيازاً وإن لم يقوموا بتقديم الطعام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5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وبعض يرى أنه لا يكون لهم الامتياز المؤجر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0"/>
      </w:r>
      <w:r>
        <w:rPr>
          <w:rFonts w:cs="Traditional Arabic" w:hint="cs"/>
          <w:color w:val="000000"/>
          <w:sz w:val="28"/>
          <w:szCs w:val="32"/>
          <w:vertAlign w:val="superscript"/>
          <w:rtl/>
        </w:rPr>
        <w:t xml:space="preserve"> )</w:t>
      </w:r>
      <w:r w:rsidRPr="007C3EC7">
        <w:rPr>
          <w:rFonts w:cs="Traditional Arabic" w:hint="cs"/>
          <w:color w:val="000000"/>
          <w:sz w:val="28"/>
          <w:szCs w:val="32"/>
          <w:rtl/>
        </w:rPr>
        <w:t xml:space="preserve"> ولا </w:t>
      </w:r>
      <w:r w:rsidRPr="007C3EC7">
        <w:rPr>
          <w:rFonts w:cs="Traditional Arabic" w:hint="cs"/>
          <w:color w:val="000000"/>
          <w:sz w:val="28"/>
          <w:szCs w:val="32"/>
          <w:rtl/>
        </w:rPr>
        <w:lastRenderedPageBreak/>
        <w:t>يكون لهم امتياز صاحب الطعام لأن المنزل المفروش يعتبر عندئذ فندقاً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والحق الممتاز هو ما يستحق لصاحب الفندق أجرة للمأوى</w:t>
      </w:r>
      <w:r>
        <w:rPr>
          <w:rFonts w:cs="Traditional Arabic" w:hint="cs"/>
          <w:color w:val="000000"/>
          <w:sz w:val="28"/>
          <w:szCs w:val="32"/>
          <w:rtl/>
        </w:rPr>
        <w:t xml:space="preserve"> ،</w:t>
      </w:r>
      <w:r w:rsidRPr="007C3EC7">
        <w:rPr>
          <w:rFonts w:cs="Traditional Arabic" w:hint="cs"/>
          <w:color w:val="000000"/>
          <w:sz w:val="28"/>
          <w:szCs w:val="32"/>
          <w:rtl/>
        </w:rPr>
        <w:t xml:space="preserve"> وثمن الطعام والشراب وسائر المؤن التي تقدم للنزيل ولتوابعه الذين يحضرون معه والحيوانات التي يحضرها</w:t>
      </w:r>
      <w:r>
        <w:rPr>
          <w:rFonts w:cs="Traditional Arabic" w:hint="cs"/>
          <w:color w:val="000000"/>
          <w:sz w:val="28"/>
          <w:szCs w:val="32"/>
          <w:rtl/>
        </w:rPr>
        <w:t xml:space="preserve"> ،</w:t>
      </w:r>
      <w:r w:rsidRPr="007C3EC7">
        <w:rPr>
          <w:rFonts w:cs="Traditional Arabic" w:hint="cs"/>
          <w:color w:val="000000"/>
          <w:sz w:val="28"/>
          <w:szCs w:val="32"/>
          <w:rtl/>
        </w:rPr>
        <w:t xml:space="preserve"> وما أعطي للنزيل قرضاً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والنزيل هو السائح والمسافر وكل من ينزل الفندق ولو كان من نفس البلد</w:t>
      </w:r>
      <w:r>
        <w:rPr>
          <w:rFonts w:cs="Traditional Arabic" w:hint="cs"/>
          <w:color w:val="000000"/>
          <w:sz w:val="28"/>
          <w:szCs w:val="32"/>
          <w:rtl/>
        </w:rPr>
        <w:t xml:space="preserve"> ،</w:t>
      </w:r>
      <w:r w:rsidRPr="007C3EC7">
        <w:rPr>
          <w:rFonts w:cs="Traditional Arabic" w:hint="cs"/>
          <w:color w:val="000000"/>
          <w:sz w:val="28"/>
          <w:szCs w:val="32"/>
          <w:rtl/>
        </w:rPr>
        <w:t xml:space="preserve"> ولذلك تجنب القانون كلمة سائح</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يضمن الامتياز إلا المبالغ المستحقة من النزيل في أثناء إقامته الحالية</w:t>
      </w:r>
      <w:r>
        <w:rPr>
          <w:rFonts w:cs="Traditional Arabic" w:hint="cs"/>
          <w:color w:val="000000"/>
          <w:sz w:val="28"/>
          <w:szCs w:val="32"/>
          <w:rtl/>
        </w:rPr>
        <w:t xml:space="preserve"> ،</w:t>
      </w:r>
      <w:r w:rsidRPr="007C3EC7">
        <w:rPr>
          <w:rFonts w:cs="Traditional Arabic" w:hint="cs"/>
          <w:color w:val="000000"/>
          <w:sz w:val="28"/>
          <w:szCs w:val="32"/>
          <w:rtl/>
        </w:rPr>
        <w:t xml:space="preserve"> لا في المرات السابقة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تهم المدة</w:t>
      </w:r>
      <w:r>
        <w:rPr>
          <w:rFonts w:cs="Traditional Arabic" w:hint="cs"/>
          <w:color w:val="000000"/>
          <w:sz w:val="28"/>
          <w:szCs w:val="32"/>
          <w:rtl/>
        </w:rPr>
        <w:t xml:space="preserve"> ،</w:t>
      </w:r>
      <w:r w:rsidRPr="007C3EC7">
        <w:rPr>
          <w:rFonts w:cs="Traditional Arabic" w:hint="cs"/>
          <w:color w:val="000000"/>
          <w:sz w:val="28"/>
          <w:szCs w:val="32"/>
          <w:rtl/>
        </w:rPr>
        <w:t xml:space="preserve"> ولو كانت طويلة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b/>
          <w:bCs/>
          <w:color w:val="000000"/>
          <w:sz w:val="28"/>
          <w:szCs w:val="32"/>
          <w:rtl/>
        </w:rPr>
      </w:pPr>
      <w:r w:rsidRPr="007C3EC7">
        <w:rPr>
          <w:rFonts w:cs="Traditional Arabic" w:hint="cs"/>
          <w:color w:val="000000"/>
          <w:sz w:val="28"/>
          <w:szCs w:val="32"/>
          <w:rtl/>
        </w:rPr>
        <w:t xml:space="preserve">$989 </w:t>
      </w:r>
      <w:r w:rsidRPr="007C3EC7">
        <w:rPr>
          <w:rFonts w:cs="Traditional Arabic" w:hint="cs"/>
          <w:b/>
          <w:bCs/>
          <w:color w:val="000000"/>
          <w:sz w:val="28"/>
          <w:szCs w:val="32"/>
          <w:rtl/>
        </w:rPr>
        <w:t>717- محل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ويقع الامتياز على الأمتعة والأشياء التي يحضرها النزيل معه</w:t>
      </w:r>
      <w:r>
        <w:rPr>
          <w:rFonts w:cs="Traditional Arabic" w:hint="cs"/>
          <w:color w:val="000000"/>
          <w:sz w:val="28"/>
          <w:szCs w:val="32"/>
          <w:rtl/>
        </w:rPr>
        <w:t xml:space="preserve"> ،</w:t>
      </w:r>
      <w:r w:rsidRPr="007C3EC7">
        <w:rPr>
          <w:rFonts w:cs="Traditional Arabic" w:hint="cs"/>
          <w:color w:val="000000"/>
          <w:sz w:val="28"/>
          <w:szCs w:val="32"/>
          <w:rtl/>
        </w:rPr>
        <w:t xml:space="preserve"> وما يحضره توابع النزيل من زوجة وأولاد وخدم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وقد يكون هذه الأشياء مملوكة لآخرين</w:t>
      </w:r>
      <w:r>
        <w:rPr>
          <w:rFonts w:cs="Traditional Arabic" w:hint="cs"/>
          <w:color w:val="000000"/>
          <w:sz w:val="28"/>
          <w:szCs w:val="32"/>
          <w:rtl/>
        </w:rPr>
        <w:t xml:space="preserve"> ،</w:t>
      </w:r>
      <w:r w:rsidRPr="007C3EC7">
        <w:rPr>
          <w:rFonts w:cs="Traditional Arabic" w:hint="cs"/>
          <w:color w:val="000000"/>
          <w:sz w:val="28"/>
          <w:szCs w:val="32"/>
          <w:rtl/>
        </w:rPr>
        <w:t xml:space="preserve"> فيقع عليها الامتياز مع ذلك ما دام صحاب الفندق يعتقد بحسن نية أنها مملوكة للنزيل ولأتباعه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كان يعرف الحقيقة</w:t>
      </w:r>
      <w:r>
        <w:rPr>
          <w:rFonts w:cs="Traditional Arabic" w:hint="cs"/>
          <w:color w:val="000000"/>
          <w:sz w:val="28"/>
          <w:szCs w:val="32"/>
          <w:rtl/>
        </w:rPr>
        <w:t xml:space="preserve"> ،</w:t>
      </w:r>
      <w:r w:rsidRPr="007C3EC7">
        <w:rPr>
          <w:rFonts w:cs="Traditional Arabic" w:hint="cs"/>
          <w:color w:val="000000"/>
          <w:sz w:val="28"/>
          <w:szCs w:val="32"/>
          <w:rtl/>
        </w:rPr>
        <w:t xml:space="preserve"> أو كانت الأشياء مسروقة أو ضائعة حيث يستردها مالكها في ثلاث سنوات فلا امتياز </w:t>
      </w:r>
      <w:r w:rsidRPr="007C3EC7">
        <w:rPr>
          <w:rFonts w:cs="Traditional Arabic" w:hint="cs"/>
          <w:color w:val="000000"/>
          <w:sz w:val="28"/>
          <w:szCs w:val="32"/>
          <w:rtl/>
        </w:rPr>
        <w:lastRenderedPageBreak/>
        <w:t>عليها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وأمثلة الأمتعة التي يحضرها النزيل وتوابعه في الفندق أو ملحقاته الملابس </w:t>
      </w:r>
      <w:r>
        <w:rPr>
          <w:rFonts w:cs="Traditional Arabic" w:hint="cs"/>
          <w:color w:val="000000"/>
          <w:sz w:val="28"/>
          <w:szCs w:val="32"/>
          <w:rtl/>
        </w:rPr>
        <w:t xml:space="preserve">( </w:t>
      </w:r>
      <w:r w:rsidRPr="007C3EC7">
        <w:rPr>
          <w:rFonts w:cs="Traditional Arabic" w:hint="cs"/>
          <w:color w:val="000000"/>
          <w:sz w:val="28"/>
          <w:szCs w:val="32"/>
          <w:rtl/>
        </w:rPr>
        <w:t>عدا ما يكون عليه</w:t>
      </w:r>
      <w:r>
        <w:rPr>
          <w:rFonts w:cs="Traditional Arabic" w:hint="cs"/>
          <w:color w:val="000000"/>
          <w:sz w:val="28"/>
          <w:szCs w:val="32"/>
          <w:rtl/>
        </w:rPr>
        <w:t xml:space="preserve"> )</w:t>
      </w:r>
      <w:r w:rsidRPr="007C3EC7">
        <w:rPr>
          <w:rFonts w:cs="Traditional Arabic" w:hint="cs"/>
          <w:color w:val="000000"/>
          <w:sz w:val="28"/>
          <w:szCs w:val="32"/>
          <w:rtl/>
        </w:rPr>
        <w:t xml:space="preserve"> والبضائع والمجوهرات والعربات والسيارات والخيل والحيوانات الأخرى والنقود وما يأتي به النزيل في أثناء إقامته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6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ولكن لا يقع الامتياز على السندات وسائر المنقولات غير المادية لأنها لا يعتبر أمتعة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وليس لصاحب الفندق توقيع حجز استحقاقي كالمؤجر</w:t>
      </w:r>
      <w:r>
        <w:rPr>
          <w:rFonts w:cs="Traditional Arabic" w:hint="cs"/>
          <w:color w:val="000000"/>
          <w:sz w:val="28"/>
          <w:szCs w:val="32"/>
          <w:rtl/>
        </w:rPr>
        <w:t xml:space="preserve"> ،</w:t>
      </w:r>
      <w:r w:rsidRPr="007C3EC7">
        <w:rPr>
          <w:rFonts w:cs="Traditional Arabic" w:hint="cs"/>
          <w:color w:val="000000"/>
          <w:sz w:val="28"/>
          <w:szCs w:val="32"/>
          <w:rtl/>
        </w:rPr>
        <w:t xml:space="preserve"> وإذا نقلت المنقولات بغير رضائه كان له أن يستردها إلا إذا كسب الغير حقاً يكون نافذاً قبله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ويفقد صاحب الفندق امتيازه على الأشياء التي ينقلها النزيل من الفندق</w:t>
      </w:r>
      <w:r>
        <w:rPr>
          <w:rFonts w:cs="Traditional Arabic" w:hint="cs"/>
          <w:color w:val="000000"/>
          <w:sz w:val="28"/>
          <w:szCs w:val="32"/>
          <w:rtl/>
        </w:rPr>
        <w:t xml:space="preserve"> ،</w:t>
      </w:r>
      <w:r w:rsidRPr="007C3EC7">
        <w:rPr>
          <w:rFonts w:cs="Traditional Arabic" w:hint="cs"/>
          <w:color w:val="000000"/>
          <w:sz w:val="28"/>
          <w:szCs w:val="32"/>
          <w:rtl/>
        </w:rPr>
        <w:t xml:space="preserve"> ولو خفية</w:t>
      </w:r>
      <w:r>
        <w:rPr>
          <w:rFonts w:cs="Traditional Arabic" w:hint="cs"/>
          <w:color w:val="000000"/>
          <w:sz w:val="28"/>
          <w:szCs w:val="32"/>
          <w:rtl/>
        </w:rPr>
        <w:t xml:space="preserve"> ،</w:t>
      </w:r>
      <w:r w:rsidRPr="007C3EC7">
        <w:rPr>
          <w:rFonts w:cs="Traditional Arabic" w:hint="cs"/>
          <w:color w:val="000000"/>
          <w:sz w:val="28"/>
          <w:szCs w:val="32"/>
          <w:rtl/>
        </w:rPr>
        <w:t xml:space="preserve"> ولكن إذا سرقت الأمتعة من الفندق كان لصحاب الفندق أن يستردها ولو كان الذي انتقلت إليه حسن النية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ول2صاحب الفندق الحق في حبس أمتعته النزيل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$990- 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نفي مرتبة 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أي المرتبة السادسة</w:t>
      </w:r>
      <w:r>
        <w:rPr>
          <w:rFonts w:cs="Traditional Arabic" w:hint="cs"/>
          <w:color w:val="000000"/>
          <w:sz w:val="28"/>
          <w:szCs w:val="32"/>
          <w:rtl/>
        </w:rPr>
        <w:t xml:space="preserve"> .</w:t>
      </w:r>
      <w:r w:rsidRPr="007C3EC7">
        <w:rPr>
          <w:rFonts w:cs="Traditional Arabic" w:hint="cs"/>
          <w:color w:val="000000"/>
          <w:sz w:val="28"/>
          <w:szCs w:val="32"/>
          <w:rtl/>
        </w:rPr>
        <w:t xml:space="preserve"> وإذا تزاحم الحقان</w:t>
      </w:r>
      <w:r>
        <w:rPr>
          <w:rFonts w:cs="Traditional Arabic" w:hint="cs"/>
          <w:color w:val="000000"/>
          <w:sz w:val="28"/>
          <w:szCs w:val="32"/>
          <w:rtl/>
        </w:rPr>
        <w:t xml:space="preserve"> ،</w:t>
      </w:r>
      <w:r w:rsidRPr="007C3EC7">
        <w:rPr>
          <w:rFonts w:cs="Traditional Arabic" w:hint="cs"/>
          <w:color w:val="000000"/>
          <w:sz w:val="28"/>
          <w:szCs w:val="32"/>
          <w:rtl/>
        </w:rPr>
        <w:t xml:space="preserve"> قدم الأسبق في التاريخ</w:t>
      </w:r>
      <w:r>
        <w:rPr>
          <w:rFonts w:cs="Traditional Arabic" w:hint="cs"/>
          <w:color w:val="000000"/>
          <w:sz w:val="28"/>
          <w:szCs w:val="32"/>
          <w:rtl/>
        </w:rPr>
        <w:t xml:space="preserve"> ،</w:t>
      </w:r>
      <w:r w:rsidRPr="007C3EC7">
        <w:rPr>
          <w:rFonts w:cs="Traditional Arabic" w:hint="cs"/>
          <w:color w:val="000000"/>
          <w:sz w:val="28"/>
          <w:szCs w:val="32"/>
          <w:rtl/>
        </w:rPr>
        <w:t xml:space="preserve"> ما لم يكن غير نافذ بالنسبة إلى الآخر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فإذا أخرج المستأجر بعض الأمتعة من العين المؤجرة دون علم المؤجر ونزل بها في فندق صاحبه حسن النية لا يعلم أن هذه الأمتعة مثقلة بامتياز المؤجر</w:t>
      </w:r>
      <w:r>
        <w:rPr>
          <w:rFonts w:cs="Traditional Arabic" w:hint="cs"/>
          <w:color w:val="000000"/>
          <w:sz w:val="28"/>
          <w:szCs w:val="32"/>
          <w:rtl/>
        </w:rPr>
        <w:t xml:space="preserve"> ،</w:t>
      </w:r>
      <w:r w:rsidRPr="007C3EC7">
        <w:rPr>
          <w:rFonts w:cs="Traditional Arabic" w:hint="cs"/>
          <w:color w:val="000000"/>
          <w:sz w:val="28"/>
          <w:szCs w:val="32"/>
          <w:rtl/>
        </w:rPr>
        <w:t xml:space="preserve"> ولم يحجز المؤجر حجزا استحقاقياً في الميعاد</w:t>
      </w:r>
      <w:r>
        <w:rPr>
          <w:rFonts w:cs="Traditional Arabic" w:hint="cs"/>
          <w:color w:val="000000"/>
          <w:sz w:val="28"/>
          <w:szCs w:val="32"/>
          <w:rtl/>
        </w:rPr>
        <w:t xml:space="preserve"> ،</w:t>
      </w:r>
      <w:r w:rsidRPr="007C3EC7">
        <w:rPr>
          <w:rFonts w:cs="Traditional Arabic" w:hint="cs"/>
          <w:color w:val="000000"/>
          <w:sz w:val="28"/>
          <w:szCs w:val="32"/>
          <w:rtl/>
        </w:rPr>
        <w:t xml:space="preserve"> قدم امتياز صاحب الفندق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كذلك إذا أخرج النزيل أمتعته من الفندق ووضعها في عين مؤجرة</w:t>
      </w:r>
      <w:r>
        <w:rPr>
          <w:rFonts w:cs="Traditional Arabic" w:hint="cs"/>
          <w:color w:val="000000"/>
          <w:sz w:val="28"/>
          <w:szCs w:val="32"/>
          <w:rtl/>
        </w:rPr>
        <w:t xml:space="preserve"> ،</w:t>
      </w:r>
      <w:r w:rsidRPr="007C3EC7">
        <w:rPr>
          <w:rFonts w:cs="Traditional Arabic" w:hint="cs"/>
          <w:color w:val="000000"/>
          <w:sz w:val="28"/>
          <w:szCs w:val="32"/>
          <w:rtl/>
        </w:rPr>
        <w:t xml:space="preserve"> وكان المؤجر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كان </w:t>
      </w:r>
      <w:r w:rsidRPr="007C3EC7">
        <w:rPr>
          <w:rFonts w:cs="Traditional Arabic" w:hint="cs"/>
          <w:color w:val="000000"/>
          <w:sz w:val="28"/>
          <w:szCs w:val="32"/>
          <w:rtl/>
        </w:rPr>
        <w:lastRenderedPageBreak/>
        <w:t>امتياز المؤجر هو المقدم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719- حق التتبع</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وإذا خرجت الأمتعة من الفندق برضاء صاحب أو بعلمه</w:t>
      </w:r>
      <w:r>
        <w:rPr>
          <w:rFonts w:cs="Traditional Arabic" w:hint="cs"/>
          <w:color w:val="000000"/>
          <w:sz w:val="28"/>
          <w:szCs w:val="32"/>
          <w:rtl/>
        </w:rPr>
        <w:t xml:space="preserve"> ،</w:t>
      </w:r>
      <w:r w:rsidRPr="007C3EC7">
        <w:rPr>
          <w:rFonts w:cs="Traditional Arabic" w:hint="cs"/>
          <w:color w:val="000000"/>
          <w:sz w:val="28"/>
          <w:szCs w:val="32"/>
          <w:rtl/>
        </w:rPr>
        <w:t xml:space="preserve"> انقضى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أما إذا خرجت دون علم 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أو بالرغم م معارضته</w:t>
      </w:r>
      <w:r>
        <w:rPr>
          <w:rFonts w:cs="Traditional Arabic" w:hint="cs"/>
          <w:color w:val="000000"/>
          <w:sz w:val="28"/>
          <w:szCs w:val="32"/>
          <w:rtl/>
        </w:rPr>
        <w:t xml:space="preserve"> ،</w:t>
      </w:r>
      <w:r w:rsidRPr="007C3EC7">
        <w:rPr>
          <w:rFonts w:cs="Traditional Arabic" w:hint="cs"/>
          <w:color w:val="000000"/>
          <w:sz w:val="28"/>
          <w:szCs w:val="32"/>
          <w:rtl/>
        </w:rPr>
        <w:t xml:space="preserve"> فإن حق الامتياز يبقى قائماً عليها</w:t>
      </w:r>
      <w:r>
        <w:rPr>
          <w:rFonts w:cs="Traditional Arabic" w:hint="cs"/>
          <w:color w:val="000000"/>
          <w:sz w:val="28"/>
          <w:szCs w:val="32"/>
          <w:rtl/>
        </w:rPr>
        <w:t xml:space="preserve"> ،</w:t>
      </w:r>
      <w:r w:rsidRPr="007C3EC7">
        <w:rPr>
          <w:rFonts w:cs="Traditional Arabic" w:hint="cs"/>
          <w:color w:val="000000"/>
          <w:sz w:val="28"/>
          <w:szCs w:val="32"/>
          <w:rtl/>
        </w:rPr>
        <w:t xml:space="preserve"> ويجوز لصاحب الفندق تتبعها دون إخلال بالحقوق التي كسبها الغير بحسن نية</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4- امتياز بائع المنقول</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720- نص قانوني</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نصت المادة 1145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ما يستحق لبائع المنقول من الثمن وملحقاته</w:t>
      </w:r>
      <w:r>
        <w:rPr>
          <w:rFonts w:cs="Traditional Arabic" w:hint="cs"/>
          <w:color w:val="000000"/>
          <w:sz w:val="28"/>
          <w:szCs w:val="32"/>
          <w:rtl/>
        </w:rPr>
        <w:t xml:space="preserve"> ،</w:t>
      </w:r>
      <w:r w:rsidRPr="007C3EC7">
        <w:rPr>
          <w:rFonts w:cs="Traditional Arabic" w:hint="cs"/>
          <w:color w:val="000000"/>
          <w:sz w:val="28"/>
          <w:szCs w:val="32"/>
          <w:rtl/>
        </w:rPr>
        <w:t xml:space="preserve"> يكون له امتياز على الشيء المبيع</w:t>
      </w:r>
      <w:r>
        <w:rPr>
          <w:rFonts w:cs="Traditional Arabic" w:hint="cs"/>
          <w:color w:val="000000"/>
          <w:sz w:val="28"/>
          <w:szCs w:val="32"/>
          <w:rtl/>
        </w:rPr>
        <w:t xml:space="preserve"> ،</w:t>
      </w:r>
      <w:r w:rsidRPr="007C3EC7">
        <w:rPr>
          <w:rFonts w:cs="Traditional Arabic" w:hint="cs"/>
          <w:color w:val="000000"/>
          <w:sz w:val="28"/>
          <w:szCs w:val="32"/>
          <w:rtl/>
        </w:rPr>
        <w:t xml:space="preserve"> ويبقى الامتياز قائماً ما دام المبيع محتفظاً بذاتيته</w:t>
      </w:r>
      <w:r>
        <w:rPr>
          <w:rFonts w:cs="Traditional Arabic" w:hint="cs"/>
          <w:color w:val="000000"/>
          <w:sz w:val="28"/>
          <w:szCs w:val="32"/>
          <w:rtl/>
        </w:rPr>
        <w:t xml:space="preserve"> ،</w:t>
      </w:r>
      <w:r w:rsidRPr="007C3EC7">
        <w:rPr>
          <w:rFonts w:cs="Traditional Arabic" w:hint="cs"/>
          <w:color w:val="000000"/>
          <w:sz w:val="28"/>
          <w:szCs w:val="32"/>
          <w:rtl/>
        </w:rPr>
        <w:t xml:space="preserve"> وهذا دون إخلال بالحقوق التي كسبها الغير بحسن نية</w:t>
      </w:r>
      <w:r>
        <w:rPr>
          <w:rFonts w:cs="Traditional Arabic" w:hint="cs"/>
          <w:color w:val="000000"/>
          <w:sz w:val="28"/>
          <w:szCs w:val="32"/>
          <w:rtl/>
        </w:rPr>
        <w:t xml:space="preserve"> ،</w:t>
      </w:r>
      <w:r w:rsidRPr="007C3EC7">
        <w:rPr>
          <w:rFonts w:cs="Traditional Arabic" w:hint="cs"/>
          <w:color w:val="000000"/>
          <w:sz w:val="28"/>
          <w:szCs w:val="32"/>
          <w:rtl/>
        </w:rPr>
        <w:t xml:space="preserve"> مع مراعاة الأحكام الخاصة بالمواد التجارية"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ويكون هذا الامتياز تالياً في المرتبة لما تقدم ذكره من حقوق الامتياز الواقعة على منقوله</w:t>
      </w:r>
      <w:r>
        <w:rPr>
          <w:rFonts w:cs="Traditional Arabic" w:hint="cs"/>
          <w:color w:val="000000"/>
          <w:sz w:val="28"/>
          <w:szCs w:val="32"/>
          <w:rtl/>
        </w:rPr>
        <w:t xml:space="preserve"> ،</w:t>
      </w:r>
      <w:r w:rsidRPr="007C3EC7">
        <w:rPr>
          <w:rFonts w:cs="Traditional Arabic" w:hint="cs"/>
          <w:color w:val="000000"/>
          <w:sz w:val="28"/>
          <w:szCs w:val="32"/>
          <w:rtl/>
        </w:rPr>
        <w:t xml:space="preserve"> إلا أنه يسري في حق المؤجر وصاحب $991 الفندق إذا ثبت أنهما كانا يعلمان به وقت وضع المبيع في العين المؤجرة أو الفندق"</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$992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ثمن المبيع وملحقاته من فوائد ومصروفات</w:t>
      </w:r>
      <w:r>
        <w:rPr>
          <w:rFonts w:cs="Traditional Arabic" w:hint="cs"/>
          <w:color w:val="000000"/>
          <w:sz w:val="28"/>
          <w:szCs w:val="32"/>
          <w:rtl/>
        </w:rPr>
        <w:t xml:space="preserve"> ،</w:t>
      </w:r>
      <w:r w:rsidRPr="007C3EC7">
        <w:rPr>
          <w:rFonts w:cs="Traditional Arabic" w:hint="cs"/>
          <w:color w:val="000000"/>
          <w:sz w:val="28"/>
          <w:szCs w:val="32"/>
          <w:rtl/>
        </w:rPr>
        <w:t xml:space="preserve"> وكذلك ما أقرض للمشتري وحل المقرض محل البائع باتفاق معه</w:t>
      </w:r>
      <w:r>
        <w:rPr>
          <w:rFonts w:cs="Traditional Arabic" w:hint="cs"/>
          <w:color w:val="000000"/>
          <w:sz w:val="28"/>
          <w:szCs w:val="32"/>
          <w:rtl/>
        </w:rPr>
        <w:t xml:space="preserve"> ،</w:t>
      </w:r>
      <w:r w:rsidRPr="007C3EC7">
        <w:rPr>
          <w:rFonts w:cs="Traditional Arabic" w:hint="cs"/>
          <w:color w:val="000000"/>
          <w:sz w:val="28"/>
          <w:szCs w:val="32"/>
          <w:rtl/>
        </w:rPr>
        <w:t xml:space="preserve"> ولم ينص المشروع على هذه الحالة اكتفاء بالقواعد العامة</w:t>
      </w:r>
      <w:r>
        <w:rPr>
          <w:rFonts w:cs="Traditional Arabic" w:hint="cs"/>
          <w:color w:val="000000"/>
          <w:sz w:val="28"/>
          <w:szCs w:val="32"/>
          <w:rtl/>
        </w:rPr>
        <w:t xml:space="preserve"> .</w:t>
      </w:r>
      <w:r w:rsidRPr="007C3EC7">
        <w:rPr>
          <w:rFonts w:cs="Traditional Arabic" w:hint="cs"/>
          <w:color w:val="000000"/>
          <w:sz w:val="28"/>
          <w:szCs w:val="32"/>
          <w:rtl/>
        </w:rPr>
        <w:t xml:space="preserve"> ولا يدخل في نطاق الامتياز التعويض</w:t>
      </w:r>
      <w:r>
        <w:rPr>
          <w:rFonts w:cs="Traditional Arabic" w:hint="cs"/>
          <w:color w:val="000000"/>
          <w:sz w:val="28"/>
          <w:szCs w:val="32"/>
          <w:rtl/>
        </w:rPr>
        <w:t xml:space="preserve"> ،</w:t>
      </w:r>
      <w:r w:rsidRPr="007C3EC7">
        <w:rPr>
          <w:rFonts w:cs="Traditional Arabic" w:hint="cs"/>
          <w:color w:val="000000"/>
          <w:sz w:val="28"/>
          <w:szCs w:val="32"/>
          <w:rtl/>
        </w:rPr>
        <w:t xml:space="preserve"> أو أي دين آخر مستحق بعقد البيع غير ما تقدم </w:t>
      </w:r>
      <w:r>
        <w:rPr>
          <w:rFonts w:cs="Traditional Arabic" w:hint="cs"/>
          <w:color w:val="000000"/>
          <w:sz w:val="28"/>
          <w:szCs w:val="32"/>
          <w:rtl/>
        </w:rPr>
        <w:t xml:space="preserve">( </w:t>
      </w:r>
      <w:r w:rsidRPr="007C3EC7">
        <w:rPr>
          <w:rFonts w:cs="Traditional Arabic" w:hint="cs"/>
          <w:color w:val="000000"/>
          <w:sz w:val="28"/>
          <w:szCs w:val="32"/>
          <w:rtl/>
        </w:rPr>
        <w:t>وهذا بخلاف ما ذكر بالنسبة لعقد الإيجار في امتياز المؤجر</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المنقول المبيع ما دام محتفظاً بذاتيته</w:t>
      </w:r>
      <w:r>
        <w:rPr>
          <w:rFonts w:cs="Traditional Arabic" w:hint="cs"/>
          <w:color w:val="000000"/>
          <w:sz w:val="28"/>
          <w:szCs w:val="32"/>
          <w:rtl/>
        </w:rPr>
        <w:t xml:space="preserve"> ،</w:t>
      </w:r>
      <w:r w:rsidRPr="007C3EC7">
        <w:rPr>
          <w:rFonts w:cs="Traditional Arabic" w:hint="cs"/>
          <w:color w:val="000000"/>
          <w:sz w:val="28"/>
          <w:szCs w:val="32"/>
          <w:rtl/>
        </w:rPr>
        <w:t xml:space="preserve"> ولم يكسب عليه الغير حقاً ينفذ قبل البائع</w:t>
      </w:r>
      <w:r>
        <w:rPr>
          <w:rFonts w:cs="Traditional Arabic" w:hint="cs"/>
          <w:color w:val="000000"/>
          <w:sz w:val="28"/>
          <w:szCs w:val="32"/>
          <w:rtl/>
        </w:rPr>
        <w:t xml:space="preserve"> ،</w:t>
      </w:r>
      <w:r w:rsidRPr="007C3EC7">
        <w:rPr>
          <w:rFonts w:cs="Traditional Arabic" w:hint="cs"/>
          <w:color w:val="000000"/>
          <w:sz w:val="28"/>
          <w:szCs w:val="32"/>
          <w:rtl/>
        </w:rPr>
        <w:t xml:space="preserve"> وما دام المشتري لم يفلس وإلا حرم البائع الامتياز والفسخ طبقاً لقواعد القانون التجاري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يأتي هذا الامتياز بعد الامتيازات السابقة</w:t>
      </w:r>
      <w:r>
        <w:rPr>
          <w:rFonts w:cs="Traditional Arabic" w:hint="cs"/>
          <w:color w:val="000000"/>
          <w:sz w:val="28"/>
          <w:szCs w:val="32"/>
          <w:rtl/>
        </w:rPr>
        <w:t xml:space="preserve"> ،</w:t>
      </w:r>
      <w:r w:rsidRPr="007C3EC7">
        <w:rPr>
          <w:rFonts w:cs="Traditional Arabic" w:hint="cs"/>
          <w:color w:val="000000"/>
          <w:sz w:val="28"/>
          <w:szCs w:val="32"/>
          <w:rtl/>
        </w:rPr>
        <w:t xml:space="preserve"> ويسري في حق المؤجر وصاحب الفندق </w:t>
      </w:r>
      <w:r w:rsidRPr="007C3EC7">
        <w:rPr>
          <w:rFonts w:cs="Traditional Arabic" w:hint="cs"/>
          <w:color w:val="000000"/>
          <w:sz w:val="28"/>
          <w:szCs w:val="32"/>
          <w:rtl/>
        </w:rPr>
        <w:lastRenderedPageBreak/>
        <w:t>إذا كان هذان يعلمان به"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721- الحق الممتاز</w:t>
      </w:r>
      <w:r>
        <w:rPr>
          <w:rFonts w:cs="Traditional Arabic" w:hint="cs"/>
          <w:b/>
          <w:bCs/>
          <w:color w:val="000000"/>
          <w:sz w:val="28"/>
          <w:szCs w:val="32"/>
          <w:rtl/>
        </w:rPr>
        <w:t xml:space="preserve"> :</w:t>
      </w:r>
      <w:r w:rsidRPr="007C3EC7">
        <w:rPr>
          <w:rFonts w:cs="Traditional Arabic" w:hint="cs"/>
          <w:color w:val="000000"/>
          <w:sz w:val="28"/>
          <w:szCs w:val="32"/>
          <w:rtl/>
        </w:rPr>
        <w:t xml:space="preserve"> في جيمع أحوال بيع المنقول التي لم يدفع فيها اثمن كله أو بعضه</w:t>
      </w:r>
      <w:r>
        <w:rPr>
          <w:rFonts w:cs="Traditional Arabic" w:hint="cs"/>
          <w:color w:val="000000"/>
          <w:sz w:val="28"/>
          <w:szCs w:val="32"/>
          <w:rtl/>
        </w:rPr>
        <w:t xml:space="preserve"> ،</w:t>
      </w:r>
      <w:r w:rsidRPr="007C3EC7">
        <w:rPr>
          <w:rFonts w:cs="Traditional Arabic" w:hint="cs"/>
          <w:color w:val="000000"/>
          <w:sz w:val="28"/>
          <w:szCs w:val="32"/>
          <w:rtl/>
        </w:rPr>
        <w:t xml:space="preserve"> سواء كان المنقول المبيع مادايً أو معنوياً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وينشأ بمجرد نقل المبيع إلى المشتري</w:t>
      </w:r>
      <w:r>
        <w:rPr>
          <w:rFonts w:cs="Traditional Arabic" w:hint="cs"/>
          <w:color w:val="000000"/>
          <w:sz w:val="28"/>
          <w:szCs w:val="32"/>
          <w:rtl/>
        </w:rPr>
        <w:t xml:space="preserve"> ،</w:t>
      </w:r>
      <w:r w:rsidRPr="007C3EC7">
        <w:rPr>
          <w:rFonts w:cs="Traditional Arabic" w:hint="cs"/>
          <w:color w:val="000000"/>
          <w:sz w:val="28"/>
          <w:szCs w:val="32"/>
          <w:rtl/>
        </w:rPr>
        <w:t xml:space="preserve"> وبقاء جزء من الثمن في ذمة المشتري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ويضمن الامتياز ثمن المبيع أو الباقي منه</w:t>
      </w:r>
      <w:r>
        <w:rPr>
          <w:rFonts w:cs="Traditional Arabic" w:hint="cs"/>
          <w:color w:val="000000"/>
          <w:sz w:val="28"/>
          <w:szCs w:val="32"/>
          <w:rtl/>
        </w:rPr>
        <w:t xml:space="preserve"> ،</w:t>
      </w:r>
      <w:r w:rsidRPr="007C3EC7">
        <w:rPr>
          <w:rFonts w:cs="Traditional Arabic" w:hint="cs"/>
          <w:color w:val="000000"/>
          <w:sz w:val="28"/>
          <w:szCs w:val="32"/>
          <w:rtl/>
        </w:rPr>
        <w:t xml:space="preserve"> وملحقاته كنفقات المطالبة بالثمن والفوائد والمصروفات التي يكون البائع قد عجلها لحساب المشتري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يضم غير الثمن والملحقات المستحقة بعقد البيع</w:t>
      </w:r>
      <w:r>
        <w:rPr>
          <w:rFonts w:cs="Traditional Arabic" w:hint="cs"/>
          <w:color w:val="000000"/>
          <w:sz w:val="28"/>
          <w:szCs w:val="32"/>
          <w:rtl/>
        </w:rPr>
        <w:t xml:space="preserve"> ،</w:t>
      </w:r>
      <w:r w:rsidRPr="007C3EC7">
        <w:rPr>
          <w:rFonts w:cs="Traditional Arabic" w:hint="cs"/>
          <w:color w:val="000000"/>
          <w:sz w:val="28"/>
          <w:szCs w:val="32"/>
          <w:rtl/>
        </w:rPr>
        <w:t xml:space="preserve"> فلا يضمن التعويضات كما في امتياز المؤجر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يثبت الامتياز لبائع ملك الغير</w:t>
      </w:r>
      <w:r>
        <w:rPr>
          <w:rFonts w:cs="Traditional Arabic" w:hint="cs"/>
          <w:color w:val="000000"/>
          <w:sz w:val="28"/>
          <w:szCs w:val="32"/>
          <w:rtl/>
        </w:rPr>
        <w:t xml:space="preserve"> ،</w:t>
      </w:r>
      <w:r w:rsidRPr="007C3EC7">
        <w:rPr>
          <w:rFonts w:cs="Traditional Arabic" w:hint="cs"/>
          <w:color w:val="000000"/>
          <w:sz w:val="28"/>
          <w:szCs w:val="32"/>
          <w:rtl/>
        </w:rPr>
        <w:t xml:space="preserve"> ولا لبائع الأشياء المثلية قبل نقل ملكيتها بفرزها</w:t>
      </w:r>
      <w:r>
        <w:rPr>
          <w:rFonts w:cs="Traditional Arabic" w:hint="cs"/>
          <w:color w:val="000000"/>
          <w:sz w:val="28"/>
          <w:szCs w:val="32"/>
          <w:rtl/>
        </w:rPr>
        <w:t xml:space="preserve"> ،</w:t>
      </w:r>
      <w:r w:rsidRPr="007C3EC7">
        <w:rPr>
          <w:rFonts w:cs="Traditional Arabic" w:hint="cs"/>
          <w:color w:val="000000"/>
          <w:sz w:val="28"/>
          <w:szCs w:val="32"/>
          <w:rtl/>
        </w:rPr>
        <w:t xml:space="preserve"> ولا لبائع المنقول المفرز الذي احتفظ البائع بملكيته إلى سداد جميع ثمنه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$993 وتعتبر حوالة الحق في حكم البيع</w:t>
      </w:r>
      <w:r>
        <w:rPr>
          <w:rFonts w:cs="Traditional Arabic" w:hint="cs"/>
          <w:color w:val="000000"/>
          <w:sz w:val="28"/>
          <w:szCs w:val="32"/>
          <w:rtl/>
        </w:rPr>
        <w:t xml:space="preserve"> ،</w:t>
      </w:r>
      <w:r w:rsidRPr="007C3EC7">
        <w:rPr>
          <w:rFonts w:cs="Traditional Arabic" w:hint="cs"/>
          <w:color w:val="000000"/>
          <w:sz w:val="28"/>
          <w:szCs w:val="32"/>
          <w:rtl/>
        </w:rPr>
        <w:t xml:space="preserve"> وكذلك الوفاء بمقابل إذا وجب على الدائن أن يدفع للمدين فرقاً</w:t>
      </w:r>
      <w:r>
        <w:rPr>
          <w:rFonts w:cs="Traditional Arabic" w:hint="cs"/>
          <w:color w:val="000000"/>
          <w:sz w:val="28"/>
          <w:szCs w:val="32"/>
          <w:rtl/>
        </w:rPr>
        <w:t xml:space="preserve"> ،</w:t>
      </w:r>
      <w:r w:rsidRPr="007C3EC7">
        <w:rPr>
          <w:rFonts w:cs="Traditional Arabic" w:hint="cs"/>
          <w:color w:val="000000"/>
          <w:sz w:val="28"/>
          <w:szCs w:val="32"/>
          <w:rtl/>
        </w:rPr>
        <w:t xml:space="preserve"> وكذلك المقايضة بالنسبة إلى فرق القيمة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722- محل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ويقع الامتياز على المنقول المبيع</w:t>
      </w:r>
      <w:r>
        <w:rPr>
          <w:rFonts w:cs="Traditional Arabic" w:hint="cs"/>
          <w:color w:val="000000"/>
          <w:sz w:val="28"/>
          <w:szCs w:val="32"/>
          <w:rtl/>
        </w:rPr>
        <w:t xml:space="preserve"> ،</w:t>
      </w:r>
      <w:r w:rsidRPr="007C3EC7">
        <w:rPr>
          <w:rFonts w:cs="Traditional Arabic" w:hint="cs"/>
          <w:color w:val="000000"/>
          <w:sz w:val="28"/>
          <w:szCs w:val="32"/>
          <w:rtl/>
        </w:rPr>
        <w:t xml:space="preserve"> ساء كان مادياً أو معنوياً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ويبقى المنقول المبيع محلا للامتياز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ما دام محتفظاً بذاتيته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فإذا أضاع المنقول معالمه الأصلية</w:t>
      </w:r>
      <w:r>
        <w:rPr>
          <w:rFonts w:cs="Traditional Arabic" w:hint="cs"/>
          <w:color w:val="000000"/>
          <w:sz w:val="28"/>
          <w:szCs w:val="32"/>
          <w:rtl/>
        </w:rPr>
        <w:t xml:space="preserve"> ،</w:t>
      </w:r>
      <w:r w:rsidRPr="007C3EC7">
        <w:rPr>
          <w:rFonts w:cs="Traditional Arabic" w:hint="cs"/>
          <w:color w:val="000000"/>
          <w:sz w:val="28"/>
          <w:szCs w:val="32"/>
          <w:rtl/>
        </w:rPr>
        <w:t xml:space="preserve"> كأن يصنع الدقيق خبزاً أو تصنع الحنطة دقيقاً أو أدمج المنقول في عقار فصار عقاراً بطبيعته</w:t>
      </w:r>
      <w:r>
        <w:rPr>
          <w:rFonts w:cs="Traditional Arabic" w:hint="cs"/>
          <w:color w:val="000000"/>
          <w:sz w:val="28"/>
          <w:szCs w:val="32"/>
          <w:rtl/>
        </w:rPr>
        <w:t xml:space="preserve"> ،</w:t>
      </w:r>
      <w:r w:rsidRPr="007C3EC7">
        <w:rPr>
          <w:rFonts w:cs="Traditional Arabic" w:hint="cs"/>
          <w:color w:val="000000"/>
          <w:sz w:val="28"/>
          <w:szCs w:val="32"/>
          <w:rtl/>
        </w:rPr>
        <w:t xml:space="preserve"> فإن الامتياز يزول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أما إذا تغيرت حالة المنقول دون أن يفقد ذاتيته</w:t>
      </w:r>
      <w:r>
        <w:rPr>
          <w:rFonts w:cs="Traditional Arabic" w:hint="cs"/>
          <w:color w:val="000000"/>
          <w:sz w:val="28"/>
          <w:szCs w:val="32"/>
          <w:rtl/>
        </w:rPr>
        <w:t xml:space="preserve"> ،</w:t>
      </w:r>
      <w:r w:rsidRPr="007C3EC7">
        <w:rPr>
          <w:rFonts w:cs="Traditional Arabic" w:hint="cs"/>
          <w:color w:val="000000"/>
          <w:sz w:val="28"/>
          <w:szCs w:val="32"/>
          <w:rtl/>
        </w:rPr>
        <w:t xml:space="preserve"> كما إذا صنع الخشب أثاثاً أو حيك القماش  </w:t>
      </w:r>
      <w:r w:rsidRPr="007C3EC7">
        <w:rPr>
          <w:rFonts w:cs="Traditional Arabic" w:hint="cs"/>
          <w:color w:val="000000"/>
          <w:sz w:val="28"/>
          <w:szCs w:val="32"/>
          <w:rtl/>
        </w:rPr>
        <w:lastRenderedPageBreak/>
        <w:t>ثوباً أو صار المنقول عقاراً بالتخصيص</w:t>
      </w:r>
      <w:r>
        <w:rPr>
          <w:rFonts w:cs="Traditional Arabic" w:hint="cs"/>
          <w:color w:val="000000"/>
          <w:sz w:val="28"/>
          <w:szCs w:val="32"/>
          <w:rtl/>
        </w:rPr>
        <w:t xml:space="preserve"> ،</w:t>
      </w:r>
      <w:r w:rsidRPr="007C3EC7">
        <w:rPr>
          <w:rFonts w:cs="Traditional Arabic" w:hint="cs"/>
          <w:color w:val="000000"/>
          <w:sz w:val="28"/>
          <w:szCs w:val="32"/>
          <w:rtl/>
        </w:rPr>
        <w:t xml:space="preserve"> فإن ذلك لا يمنع بقاء الامتياز عليه</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7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723- مرتبة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وللامتياز مرتبته السابقة</w:t>
      </w:r>
      <w:r>
        <w:rPr>
          <w:rFonts w:cs="Traditional Arabic" w:hint="cs"/>
          <w:color w:val="000000"/>
          <w:sz w:val="28"/>
          <w:szCs w:val="32"/>
          <w:rtl/>
        </w:rPr>
        <w:t xml:space="preserve"> ،</w:t>
      </w:r>
      <w:r w:rsidRPr="007C3EC7">
        <w:rPr>
          <w:rFonts w:cs="Traditional Arabic" w:hint="cs"/>
          <w:color w:val="000000"/>
          <w:sz w:val="28"/>
          <w:szCs w:val="32"/>
          <w:rtl/>
        </w:rPr>
        <w:t xml:space="preserve"> بعد امتياز المؤجر وصاحب الفندق</w:t>
      </w:r>
      <w:r>
        <w:rPr>
          <w:rFonts w:cs="Traditional Arabic" w:hint="cs"/>
          <w:color w:val="000000"/>
          <w:sz w:val="28"/>
          <w:szCs w:val="32"/>
          <w:rtl/>
        </w:rPr>
        <w:t xml:space="preserve"> .</w:t>
      </w:r>
      <w:r w:rsidRPr="007C3EC7">
        <w:rPr>
          <w:rFonts w:cs="Traditional Arabic" w:hint="cs"/>
          <w:color w:val="000000"/>
          <w:sz w:val="28"/>
          <w:szCs w:val="32"/>
          <w:rtl/>
        </w:rPr>
        <w:t xml:space="preserve"> فإذا كان المؤجر أو صاحب الفندق يعلم بامتياز بائع المنقول وقت وضع المنقول عنده</w:t>
      </w:r>
      <w:r>
        <w:rPr>
          <w:rFonts w:cs="Traditional Arabic" w:hint="cs"/>
          <w:color w:val="000000"/>
          <w:sz w:val="28"/>
          <w:szCs w:val="32"/>
          <w:rtl/>
        </w:rPr>
        <w:t xml:space="preserve"> ،</w:t>
      </w:r>
      <w:r w:rsidRPr="007C3EC7">
        <w:rPr>
          <w:rFonts w:cs="Traditional Arabic" w:hint="cs"/>
          <w:color w:val="000000"/>
          <w:sz w:val="28"/>
          <w:szCs w:val="32"/>
          <w:rtl/>
        </w:rPr>
        <w:t xml:space="preserve"> فإن امتياز بائع المنقول يتقدم على امتياز المؤجر أو صاحب الفندق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724- حق التتبع</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ويتتبع البائع المنقول في أي يد يكون</w:t>
      </w:r>
      <w:r>
        <w:rPr>
          <w:rFonts w:cs="Traditional Arabic" w:hint="cs"/>
          <w:color w:val="000000"/>
          <w:sz w:val="28"/>
          <w:szCs w:val="32"/>
          <w:rtl/>
        </w:rPr>
        <w:t xml:space="preserve"> ،</w:t>
      </w:r>
      <w:r w:rsidRPr="007C3EC7">
        <w:rPr>
          <w:rFonts w:cs="Traditional Arabic" w:hint="cs"/>
          <w:color w:val="000000"/>
          <w:sz w:val="28"/>
          <w:szCs w:val="32"/>
          <w:rtl/>
        </w:rPr>
        <w:t xml:space="preserve"> بعد احترام الحقوق التي كسبها الغير عليه بحسن نية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وقد يكسب الغير حقوقاً على المنقول بصفة مستقلة</w:t>
      </w:r>
      <w:r>
        <w:rPr>
          <w:rFonts w:cs="Traditional Arabic" w:hint="cs"/>
          <w:color w:val="000000"/>
          <w:sz w:val="28"/>
          <w:szCs w:val="32"/>
          <w:rtl/>
        </w:rPr>
        <w:t xml:space="preserve"> ،</w:t>
      </w:r>
      <w:r w:rsidRPr="007C3EC7">
        <w:rPr>
          <w:rFonts w:cs="Traditional Arabic" w:hint="cs"/>
          <w:color w:val="000000"/>
          <w:sz w:val="28"/>
          <w:szCs w:val="32"/>
          <w:rtl/>
        </w:rPr>
        <w:t xml:space="preserve"> كما إذا باع مشتري المنقول إلى مشتر ثان وتسلم المشتري الثاني المنقول وهو حسن النية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$994 وقد يكسب الغير حقوقاً على المنقول بصفة تبعية</w:t>
      </w:r>
      <w:r>
        <w:rPr>
          <w:rFonts w:cs="Traditional Arabic" w:hint="cs"/>
          <w:color w:val="000000"/>
          <w:sz w:val="28"/>
          <w:szCs w:val="32"/>
          <w:rtl/>
        </w:rPr>
        <w:t xml:space="preserve"> ،</w:t>
      </w:r>
      <w:r w:rsidRPr="007C3EC7">
        <w:rPr>
          <w:rFonts w:cs="Traditional Arabic" w:hint="cs"/>
          <w:color w:val="000000"/>
          <w:sz w:val="28"/>
          <w:szCs w:val="32"/>
          <w:rtl/>
        </w:rPr>
        <w:t xml:space="preserve"> كما إذا أصبح المنقول عقاراً بالتخصيص ورهن مع العقار الأصلي فإن حق الدائن المرتهن</w:t>
      </w:r>
      <w:r>
        <w:rPr>
          <w:rFonts w:cs="Traditional Arabic" w:hint="cs"/>
          <w:color w:val="000000"/>
          <w:sz w:val="28"/>
          <w:szCs w:val="32"/>
          <w:rtl/>
        </w:rPr>
        <w:t xml:space="preserve"> ،</w:t>
      </w:r>
      <w:r w:rsidRPr="007C3EC7">
        <w:rPr>
          <w:rFonts w:cs="Traditional Arabic" w:hint="cs"/>
          <w:color w:val="000000"/>
          <w:sz w:val="28"/>
          <w:szCs w:val="32"/>
          <w:rtl/>
        </w:rPr>
        <w:t xml:space="preserve"> إذا كان هذا حسن النية</w:t>
      </w:r>
      <w:r>
        <w:rPr>
          <w:rFonts w:cs="Traditional Arabic" w:hint="cs"/>
          <w:color w:val="000000"/>
          <w:sz w:val="28"/>
          <w:szCs w:val="32"/>
          <w:rtl/>
        </w:rPr>
        <w:t xml:space="preserve"> ،</w:t>
      </w:r>
      <w:r w:rsidRPr="007C3EC7">
        <w:rPr>
          <w:rFonts w:cs="Traditional Arabic" w:hint="cs"/>
          <w:color w:val="000000"/>
          <w:sz w:val="28"/>
          <w:szCs w:val="32"/>
          <w:rtl/>
        </w:rPr>
        <w:t xml:space="preserve"> يتقدم على امتياز بائع المنقول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5- امتياز المتقاسم في المنقول</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725-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نصت المادة 1146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للشركاء الذين اقتسموا منقولا حق امتياز عليه</w:t>
      </w:r>
      <w:r>
        <w:rPr>
          <w:rFonts w:cs="Traditional Arabic" w:hint="cs"/>
          <w:color w:val="000000"/>
          <w:sz w:val="28"/>
          <w:szCs w:val="32"/>
          <w:rtl/>
        </w:rPr>
        <w:t xml:space="preserve"> ،</w:t>
      </w:r>
      <w:r w:rsidRPr="007C3EC7">
        <w:rPr>
          <w:rFonts w:cs="Traditional Arabic" w:hint="cs"/>
          <w:color w:val="000000"/>
          <w:sz w:val="28"/>
          <w:szCs w:val="32"/>
          <w:rtl/>
        </w:rPr>
        <w:t xml:space="preserve"> تأميناً لحق كل منهم في الرجوع على الآخرين بسبب القسمة</w:t>
      </w:r>
      <w:r>
        <w:rPr>
          <w:rFonts w:cs="Traditional Arabic" w:hint="cs"/>
          <w:color w:val="000000"/>
          <w:sz w:val="28"/>
          <w:szCs w:val="32"/>
          <w:rtl/>
        </w:rPr>
        <w:t xml:space="preserve"> ،</w:t>
      </w:r>
      <w:r w:rsidRPr="007C3EC7">
        <w:rPr>
          <w:rFonts w:cs="Traditional Arabic" w:hint="cs"/>
          <w:color w:val="000000"/>
          <w:sz w:val="28"/>
          <w:szCs w:val="32"/>
          <w:rtl/>
        </w:rPr>
        <w:t xml:space="preserve"> وفي استيفاء ما تقرر لهم فيها من معدل"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"2- وتكون لامتياز المتقاسم نفس المرتبة التي لامتياز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فإذا تزاحم الحقان قدم الأسبق في التاريخ"</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$995 وجاء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الالتزامات التي تنشأ من عقد القسمة هي ثلاثة</w:t>
      </w:r>
      <w:r>
        <w:rPr>
          <w:rFonts w:cs="Traditional Arabic" w:hint="cs"/>
          <w:color w:val="000000"/>
          <w:sz w:val="28"/>
          <w:szCs w:val="32"/>
          <w:rtl/>
        </w:rPr>
        <w:t xml:space="preserve"> :</w:t>
      </w:r>
      <w:r w:rsidRPr="007C3EC7">
        <w:rPr>
          <w:rFonts w:cs="Traditional Arabic" w:hint="cs"/>
          <w:color w:val="000000"/>
          <w:sz w:val="28"/>
          <w:szCs w:val="32"/>
          <w:rtl/>
        </w:rPr>
        <w:t xml:space="preserve"> ضمان الاستحقاق والالتزام بدفع المعدل والالتزام بدفع ثمن التصفية</w:t>
      </w:r>
      <w:r>
        <w:rPr>
          <w:rFonts w:cs="Traditional Arabic" w:hint="cs"/>
          <w:color w:val="000000"/>
          <w:sz w:val="28"/>
          <w:szCs w:val="32"/>
          <w:rtl/>
        </w:rPr>
        <w:t xml:space="preserve"> .</w:t>
      </w:r>
      <w:r w:rsidRPr="007C3EC7">
        <w:rPr>
          <w:rFonts w:cs="Traditional Arabic" w:hint="cs"/>
          <w:color w:val="000000"/>
          <w:sz w:val="28"/>
          <w:szCs w:val="32"/>
          <w:rtl/>
        </w:rPr>
        <w:t xml:space="preserve"> وامتياز المتقاسم في المنقول استحدثه المشروع</w:t>
      </w:r>
      <w:r>
        <w:rPr>
          <w:rFonts w:cs="Traditional Arabic" w:hint="cs"/>
          <w:color w:val="000000"/>
          <w:sz w:val="28"/>
          <w:szCs w:val="32"/>
          <w:rtl/>
        </w:rPr>
        <w:t xml:space="preserve"> ،</w:t>
      </w:r>
      <w:r w:rsidRPr="007C3EC7">
        <w:rPr>
          <w:rFonts w:cs="Traditional Arabic" w:hint="cs"/>
          <w:color w:val="000000"/>
          <w:sz w:val="28"/>
          <w:szCs w:val="32"/>
          <w:rtl/>
        </w:rPr>
        <w:t xml:space="preserve"> ولا يوجد في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هي مرتبة 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فإذا تزاحما قدم الأسبق فإذا كانت القسمة بعد البيع قدم امتياز البائع</w:t>
      </w:r>
      <w:r>
        <w:rPr>
          <w:rFonts w:cs="Traditional Arabic" w:hint="cs"/>
          <w:color w:val="000000"/>
          <w:sz w:val="28"/>
          <w:szCs w:val="32"/>
          <w:rtl/>
        </w:rPr>
        <w:t xml:space="preserve"> ،</w:t>
      </w:r>
      <w:r w:rsidRPr="007C3EC7">
        <w:rPr>
          <w:rFonts w:cs="Traditional Arabic" w:hint="cs"/>
          <w:color w:val="000000"/>
          <w:sz w:val="28"/>
          <w:szCs w:val="32"/>
          <w:rtl/>
        </w:rPr>
        <w:t xml:space="preserve"> وإذا كان البيع بعد القسمة قدم امتياز المتقاسم"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726- الحق الممتاز</w:t>
      </w:r>
      <w:r>
        <w:rPr>
          <w:rFonts w:cs="Traditional Arabic" w:hint="cs"/>
          <w:b/>
          <w:bCs/>
          <w:color w:val="000000"/>
          <w:sz w:val="28"/>
          <w:szCs w:val="32"/>
          <w:rtl/>
        </w:rPr>
        <w:t xml:space="preserve"> :</w:t>
      </w:r>
      <w:r w:rsidRPr="007C3EC7">
        <w:rPr>
          <w:rFonts w:cs="Traditional Arabic" w:hint="cs"/>
          <w:color w:val="000000"/>
          <w:sz w:val="28"/>
          <w:szCs w:val="32"/>
          <w:rtl/>
        </w:rPr>
        <w:t xml:space="preserve"> يسري هذا الامتياز في كل قسمة</w:t>
      </w:r>
      <w:r>
        <w:rPr>
          <w:rFonts w:cs="Traditional Arabic" w:hint="cs"/>
          <w:color w:val="000000"/>
          <w:sz w:val="28"/>
          <w:szCs w:val="32"/>
          <w:rtl/>
        </w:rPr>
        <w:t xml:space="preserve"> ،</w:t>
      </w:r>
      <w:r w:rsidRPr="007C3EC7">
        <w:rPr>
          <w:rFonts w:cs="Traditional Arabic" w:hint="cs"/>
          <w:color w:val="000000"/>
          <w:sz w:val="28"/>
          <w:szCs w:val="32"/>
          <w:rtl/>
        </w:rPr>
        <w:t xml:space="preserve"> ودية أو قضائية</w:t>
      </w:r>
      <w:r>
        <w:rPr>
          <w:rFonts w:cs="Traditional Arabic" w:hint="cs"/>
          <w:color w:val="000000"/>
          <w:sz w:val="28"/>
          <w:szCs w:val="32"/>
          <w:rtl/>
        </w:rPr>
        <w:t xml:space="preserve"> ،</w:t>
      </w:r>
      <w:r w:rsidRPr="007C3EC7">
        <w:rPr>
          <w:rFonts w:cs="Traditional Arabic" w:hint="cs"/>
          <w:color w:val="000000"/>
          <w:sz w:val="28"/>
          <w:szCs w:val="32"/>
          <w:rtl/>
        </w:rPr>
        <w:t xml:space="preserve"> كلية أو جزئية</w:t>
      </w:r>
      <w:r>
        <w:rPr>
          <w:rFonts w:cs="Traditional Arabic" w:hint="cs"/>
          <w:color w:val="000000"/>
          <w:sz w:val="28"/>
          <w:szCs w:val="32"/>
          <w:rtl/>
        </w:rPr>
        <w:t xml:space="preserve"> ،</w:t>
      </w:r>
      <w:r w:rsidRPr="007C3EC7">
        <w:rPr>
          <w:rFonts w:cs="Traditional Arabic" w:hint="cs"/>
          <w:color w:val="000000"/>
          <w:sz w:val="28"/>
          <w:szCs w:val="32"/>
          <w:rtl/>
        </w:rPr>
        <w:t xml:space="preserve"> وأياً كان مصدر الشيوع الإرث أو غيره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وضمن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معدل القسمة </w:t>
      </w:r>
      <w:r>
        <w:rPr>
          <w:rFonts w:cs="Traditional Arabic"/>
          <w:color w:val="000000"/>
          <w:sz w:val="28"/>
          <w:szCs w:val="32"/>
          <w:rtl/>
        </w:rPr>
        <w:t xml:space="preserve">( </w:t>
      </w:r>
      <w:r w:rsidRPr="007C3EC7">
        <w:rPr>
          <w:rFonts w:cs="Traditional Arabic"/>
          <w:color w:val="000000"/>
          <w:sz w:val="28"/>
          <w:szCs w:val="32"/>
        </w:rPr>
        <w:t>soulte</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فهو الفرق ما بين الحصص وجب بعقد القسمة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2- ثمن التصفية </w:t>
      </w:r>
      <w:r>
        <w:rPr>
          <w:rFonts w:cs="Traditional Arabic"/>
          <w:color w:val="000000"/>
          <w:sz w:val="28"/>
          <w:szCs w:val="32"/>
          <w:rtl/>
        </w:rPr>
        <w:t xml:space="preserve">( </w:t>
      </w:r>
      <w:r w:rsidRPr="007C3EC7">
        <w:rPr>
          <w:rFonts w:cs="Traditional Arabic"/>
          <w:color w:val="000000"/>
          <w:sz w:val="28"/>
          <w:szCs w:val="32"/>
        </w:rPr>
        <w:t>licitation</w:t>
      </w:r>
      <w:r>
        <w:rPr>
          <w:rFonts w:cs="Traditional Arabic"/>
          <w:color w:val="000000"/>
          <w:sz w:val="28"/>
          <w:szCs w:val="32"/>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إذا بيع المنقول بالمزاد بين الشركاء</w:t>
      </w:r>
      <w:r>
        <w:rPr>
          <w:rFonts w:cs="Traditional Arabic" w:hint="cs"/>
          <w:color w:val="000000"/>
          <w:sz w:val="28"/>
          <w:szCs w:val="32"/>
          <w:rtl/>
        </w:rPr>
        <w:t xml:space="preserve"> .</w:t>
      </w:r>
      <w:r w:rsidRPr="007C3EC7">
        <w:rPr>
          <w:rFonts w:cs="Traditional Arabic" w:hint="cs"/>
          <w:color w:val="000000"/>
          <w:sz w:val="28"/>
          <w:szCs w:val="32"/>
          <w:rtl/>
        </w:rPr>
        <w:t xml:space="preserve"> فالراسي عليه المزاد يصبح مديناً لكل شريك آخر بقد نصيب هذا في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ويضمن نصيبه امتياز المتقاسم</w:t>
      </w:r>
      <w:r>
        <w:rPr>
          <w:rFonts w:cs="Traditional Arabic" w:hint="cs"/>
          <w:color w:val="000000"/>
          <w:sz w:val="28"/>
          <w:szCs w:val="32"/>
          <w:rtl/>
        </w:rPr>
        <w:t xml:space="preserve"> .</w:t>
      </w:r>
      <w:r w:rsidRPr="007C3EC7">
        <w:rPr>
          <w:rFonts w:cs="Traditional Arabic" w:hint="cs"/>
          <w:color w:val="000000"/>
          <w:sz w:val="28"/>
          <w:szCs w:val="32"/>
          <w:rtl/>
        </w:rPr>
        <w:t xml:space="preserve"> أما إذا يع المنقول لأجنبي غير شريك</w:t>
      </w:r>
      <w:r>
        <w:rPr>
          <w:rFonts w:cs="Traditional Arabic" w:hint="cs"/>
          <w:color w:val="000000"/>
          <w:sz w:val="28"/>
          <w:szCs w:val="32"/>
          <w:rtl/>
        </w:rPr>
        <w:t xml:space="preserve"> ،</w:t>
      </w:r>
      <w:r w:rsidRPr="007C3EC7">
        <w:rPr>
          <w:rFonts w:cs="Traditional Arabic" w:hint="cs"/>
          <w:color w:val="000000"/>
          <w:sz w:val="28"/>
          <w:szCs w:val="32"/>
          <w:rtl/>
        </w:rPr>
        <w:t xml:space="preserve"> فإن هذا يكون بيعاً</w:t>
      </w:r>
      <w:r>
        <w:rPr>
          <w:rFonts w:cs="Traditional Arabic" w:hint="cs"/>
          <w:color w:val="000000"/>
          <w:sz w:val="28"/>
          <w:szCs w:val="32"/>
          <w:rtl/>
        </w:rPr>
        <w:t xml:space="preserve"> ،</w:t>
      </w:r>
      <w:r w:rsidRPr="007C3EC7">
        <w:rPr>
          <w:rFonts w:cs="Traditional Arabic" w:hint="cs"/>
          <w:color w:val="000000"/>
          <w:sz w:val="28"/>
          <w:szCs w:val="32"/>
          <w:rtl/>
        </w:rPr>
        <w:t xml:space="preserve"> فيه امتياز البائع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 xml:space="preserve">$996 3- التعويض الذي يثبت للمتقاسم الذي استحقت حصته للغير بسبب سابق على القسمة </w:t>
      </w:r>
      <w:r>
        <w:rPr>
          <w:rFonts w:cs="Traditional Arabic" w:hint="cs"/>
          <w:color w:val="000000"/>
          <w:sz w:val="28"/>
          <w:szCs w:val="32"/>
          <w:rtl/>
        </w:rPr>
        <w:t xml:space="preserve">( </w:t>
      </w:r>
      <w:r w:rsidRPr="007C3EC7">
        <w:rPr>
          <w:rFonts w:cs="Traditional Arabic" w:hint="cs"/>
          <w:color w:val="000000"/>
          <w:sz w:val="28"/>
          <w:szCs w:val="32"/>
          <w:rtl/>
        </w:rPr>
        <w:t>م 844/1 مدني</w:t>
      </w:r>
      <w:r>
        <w:rPr>
          <w:rFonts w:cs="Traditional Arabic" w:hint="cs"/>
          <w:color w:val="000000"/>
          <w:sz w:val="28"/>
          <w:szCs w:val="32"/>
          <w:rtl/>
        </w:rPr>
        <w:t xml:space="preserve"> )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4- الفوائد التي يستحقها المتقاسم عن أي مبلغ من المبالغ المتقدمة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727-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الحصص المفرزة التي وقعت في نصيب كل متقاسم</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728- مرتبة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ويأتي هذا الامتياز في المتربة السابقة مع امتياز البائع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فإذا بيع منقول ثم اقتسم بني المشترين</w:t>
      </w:r>
      <w:r>
        <w:rPr>
          <w:rFonts w:cs="Traditional Arabic" w:hint="cs"/>
          <w:color w:val="000000"/>
          <w:sz w:val="28"/>
          <w:szCs w:val="32"/>
          <w:rtl/>
        </w:rPr>
        <w:t xml:space="preserve"> ،</w:t>
      </w:r>
      <w:r w:rsidRPr="007C3EC7">
        <w:rPr>
          <w:rFonts w:cs="Traditional Arabic" w:hint="cs"/>
          <w:color w:val="000000"/>
          <w:sz w:val="28"/>
          <w:szCs w:val="32"/>
          <w:rtl/>
        </w:rPr>
        <w:t xml:space="preserve"> قدم امتياز بائع المنقول علىامتياز المتقاسم</w:t>
      </w:r>
      <w:r>
        <w:rPr>
          <w:rFonts w:cs="Traditional Arabic" w:hint="cs"/>
          <w:color w:val="000000"/>
          <w:sz w:val="28"/>
          <w:szCs w:val="32"/>
          <w:rtl/>
        </w:rPr>
        <w:t xml:space="preserve"> ،</w:t>
      </w:r>
      <w:r w:rsidRPr="007C3EC7">
        <w:rPr>
          <w:rFonts w:cs="Traditional Arabic" w:hint="cs"/>
          <w:color w:val="000000"/>
          <w:sz w:val="28"/>
          <w:szCs w:val="32"/>
          <w:rtl/>
        </w:rPr>
        <w:t xml:space="preserve"> لأن امتياز بائع المنقول أسبق</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اقتسم منقول ثم باع المتقاسمون حصصهم المفرزة</w:t>
      </w:r>
      <w:r>
        <w:rPr>
          <w:rFonts w:cs="Traditional Arabic" w:hint="cs"/>
          <w:color w:val="000000"/>
          <w:sz w:val="28"/>
          <w:szCs w:val="32"/>
          <w:rtl/>
        </w:rPr>
        <w:t xml:space="preserve"> ،</w:t>
      </w:r>
      <w:r w:rsidRPr="007C3EC7">
        <w:rPr>
          <w:rFonts w:cs="Traditional Arabic" w:hint="cs"/>
          <w:color w:val="000000"/>
          <w:sz w:val="28"/>
          <w:szCs w:val="32"/>
          <w:rtl/>
        </w:rPr>
        <w:t xml:space="preserve"> قدم امتياز المتقاسم على امتياز بائع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لأن امتياز المتقاسم أسبق</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52"/>
          <w:szCs w:val="52"/>
          <w:rtl/>
        </w:rPr>
      </w:pPr>
      <w:r w:rsidRPr="007C3EC7">
        <w:rPr>
          <w:rFonts w:cs="Traditional Arabic" w:hint="cs"/>
          <w:b/>
          <w:bCs/>
          <w:color w:val="000000"/>
          <w:sz w:val="52"/>
          <w:szCs w:val="52"/>
          <w:rtl/>
        </w:rPr>
        <w:lastRenderedPageBreak/>
        <w:t>الفصل الثاني</w:t>
      </w:r>
    </w:p>
    <w:p w:rsidR="00F72742" w:rsidRPr="007C3EC7" w:rsidRDefault="00F72742" w:rsidP="00F72742">
      <w:pPr>
        <w:widowControl w:val="0"/>
        <w:spacing w:after="120"/>
        <w:jc w:val="center"/>
        <w:rPr>
          <w:rFonts w:cs="Traditional Arabic" w:hint="cs"/>
          <w:b/>
          <w:bCs/>
          <w:color w:val="000000"/>
          <w:sz w:val="40"/>
          <w:szCs w:val="40"/>
          <w:rtl/>
        </w:rPr>
      </w:pPr>
      <w:r w:rsidRPr="007C3EC7">
        <w:rPr>
          <w:rFonts w:cs="Traditional Arabic" w:hint="cs"/>
          <w:b/>
          <w:bCs/>
          <w:color w:val="000000"/>
          <w:sz w:val="40"/>
          <w:szCs w:val="40"/>
          <w:rtl/>
        </w:rPr>
        <w:t>حقوق الامتياز الخاصة</w:t>
      </w:r>
    </w:p>
    <w:p w:rsidR="00F72742" w:rsidRPr="007C3EC7" w:rsidRDefault="00F72742" w:rsidP="00F72742">
      <w:pPr>
        <w:widowControl w:val="0"/>
        <w:spacing w:after="120"/>
        <w:jc w:val="center"/>
        <w:rPr>
          <w:rFonts w:cs="Traditional Arabic" w:hint="cs"/>
          <w:b/>
          <w:bCs/>
          <w:color w:val="000000"/>
          <w:sz w:val="40"/>
          <w:szCs w:val="40"/>
          <w:rtl/>
        </w:rPr>
      </w:pPr>
      <w:r w:rsidRPr="007C3EC7">
        <w:rPr>
          <w:rFonts w:cs="Traditional Arabic" w:hint="cs"/>
          <w:b/>
          <w:bCs/>
          <w:color w:val="000000"/>
          <w:sz w:val="40"/>
          <w:szCs w:val="40"/>
          <w:rtl/>
        </w:rPr>
        <w:t>الواقعة على عقار</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729- حقوق الامتياز الخاصة العقارية</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هذه ثلاثة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امتياز بائع العقار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امتياز المهندسين والمقاولين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امتياز المتقاسم في العقار</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وقد نصت المادة 1134/1 مدني على ما يأتي</w:t>
      </w:r>
      <w:r>
        <w:rPr>
          <w:rFonts w:cs="Traditional Arabic" w:hint="cs"/>
          <w:color w:val="000000"/>
          <w:sz w:val="28"/>
          <w:szCs w:val="32"/>
          <w:rtl/>
        </w:rPr>
        <w:t xml:space="preserve"> :</w:t>
      </w:r>
      <w:r w:rsidRPr="007C3EC7">
        <w:rPr>
          <w:rFonts w:cs="Traditional Arabic" w:hint="cs"/>
          <w:color w:val="000000"/>
          <w:sz w:val="28"/>
          <w:szCs w:val="32"/>
          <w:rtl/>
        </w:rPr>
        <w:t xml:space="preserve"> "تسري على حقوق الامتياز الواقعة على عقار أحكام الرهن الرسمي بالقدر الذي لا تتعارض فيه $997 طبيعة هذه الحقوق</w:t>
      </w:r>
      <w:r>
        <w:rPr>
          <w:rFonts w:cs="Traditional Arabic" w:hint="cs"/>
          <w:color w:val="000000"/>
          <w:sz w:val="28"/>
          <w:szCs w:val="32"/>
          <w:rtl/>
        </w:rPr>
        <w:t xml:space="preserve"> ،</w:t>
      </w:r>
      <w:r w:rsidRPr="007C3EC7">
        <w:rPr>
          <w:rFonts w:cs="Traditional Arabic" w:hint="cs"/>
          <w:color w:val="000000"/>
          <w:sz w:val="28"/>
          <w:szCs w:val="32"/>
          <w:rtl/>
        </w:rPr>
        <w:t xml:space="preserve"> وتسري بنوع خاص أحكام التطهير والقيد وما يترتب على القيد من آثار وما يتصل به من تجديد ومحور"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ونتابع دراسة حقوق الامتياز الخاصة العقارية متعاقبة</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1- امتياز بائع العقار</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730- نص قانوني</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تنص المادة 1147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ما يستحق لبائع العقار من الثمن وملحقاته</w:t>
      </w:r>
      <w:r>
        <w:rPr>
          <w:rFonts w:cs="Traditional Arabic" w:hint="cs"/>
          <w:color w:val="000000"/>
          <w:sz w:val="28"/>
          <w:szCs w:val="32"/>
          <w:rtl/>
        </w:rPr>
        <w:t xml:space="preserve"> ،</w:t>
      </w:r>
      <w:r w:rsidRPr="007C3EC7">
        <w:rPr>
          <w:rFonts w:cs="Traditional Arabic" w:hint="cs"/>
          <w:color w:val="000000"/>
          <w:sz w:val="28"/>
          <w:szCs w:val="32"/>
          <w:rtl/>
        </w:rPr>
        <w:t xml:space="preserve"> يكون له امتياز على العقار المبيع"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"2- ويجب أن قيد الامتياز ولو كان البيع مسجلا</w:t>
      </w:r>
      <w:r>
        <w:rPr>
          <w:rFonts w:cs="Traditional Arabic" w:hint="cs"/>
          <w:color w:val="000000"/>
          <w:sz w:val="28"/>
          <w:szCs w:val="32"/>
          <w:rtl/>
        </w:rPr>
        <w:t xml:space="preserve"> ،</w:t>
      </w:r>
      <w:r w:rsidRPr="007C3EC7">
        <w:rPr>
          <w:rFonts w:cs="Traditional Arabic" w:hint="cs"/>
          <w:color w:val="000000"/>
          <w:sz w:val="28"/>
          <w:szCs w:val="32"/>
          <w:rtl/>
        </w:rPr>
        <w:t xml:space="preserve"> وتكون مرتبه من وقت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$998 وقد ورد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سبق بيانه في امتياز بائع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العقار المبيع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يجب القيد ولو كان المبيع مسجلا</w:t>
      </w:r>
      <w:r>
        <w:rPr>
          <w:rFonts w:cs="Traditional Arabic" w:hint="cs"/>
          <w:color w:val="000000"/>
          <w:sz w:val="28"/>
          <w:szCs w:val="32"/>
          <w:rtl/>
        </w:rPr>
        <w:t xml:space="preserve"> ،</w:t>
      </w:r>
      <w:r w:rsidRPr="007C3EC7">
        <w:rPr>
          <w:rFonts w:cs="Traditional Arabic" w:hint="cs"/>
          <w:color w:val="000000"/>
          <w:sz w:val="28"/>
          <w:szCs w:val="32"/>
          <w:rtl/>
        </w:rPr>
        <w:t xml:space="preserve"> وقد تلا في المشروع بإيجاب القيد نقصاً معروفاً </w:t>
      </w:r>
      <w:r w:rsidRPr="007C3EC7">
        <w:rPr>
          <w:rFonts w:cs="Traditional Arabic" w:hint="cs"/>
          <w:color w:val="000000"/>
          <w:sz w:val="28"/>
          <w:szCs w:val="32"/>
          <w:rtl/>
        </w:rPr>
        <w:lastRenderedPageBreak/>
        <w:t xml:space="preserve">في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 .</w:t>
      </w:r>
      <w:r w:rsidRPr="007C3EC7">
        <w:rPr>
          <w:rFonts w:cs="Traditional Arabic" w:hint="cs"/>
          <w:color w:val="000000"/>
          <w:sz w:val="28"/>
          <w:szCs w:val="32"/>
          <w:rtl/>
        </w:rPr>
        <w:t xml:space="preserve"> ومرتبة الامتياز يحددها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731-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يكون هذا الامتياز لبائع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ويترتب على كل بيع حاصل بمحرر رسمي أو عرفي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بالمزاد أو بصفة ودية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ويضمن الامتياز ثمن العقار المبيع أو الباقي منه</w:t>
      </w:r>
      <w:r>
        <w:rPr>
          <w:rFonts w:cs="Traditional Arabic" w:hint="cs"/>
          <w:color w:val="000000"/>
          <w:sz w:val="28"/>
          <w:szCs w:val="32"/>
          <w:rtl/>
        </w:rPr>
        <w:t xml:space="preserve"> ،</w:t>
      </w:r>
      <w:r w:rsidRPr="007C3EC7">
        <w:rPr>
          <w:rFonts w:cs="Traditional Arabic" w:hint="cs"/>
          <w:color w:val="000000"/>
          <w:sz w:val="28"/>
          <w:szCs w:val="32"/>
          <w:rtl/>
        </w:rPr>
        <w:t xml:space="preserve"> وملحقاته من فوائد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8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ومن مصروفات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ولو حرر بها المشتري سندات تحت إذن البائع بشطر أن يذكر في عقد البيع تحرير هذه السندات</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ولا يعتبر تحرير السند  $999 تجديد للدين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ويضمن الامتياز الثمن ولو كان إيراداً مؤبداً</w:t>
      </w:r>
      <w:r>
        <w:rPr>
          <w:rFonts w:cs="Traditional Arabic" w:hint="cs"/>
          <w:color w:val="000000"/>
          <w:sz w:val="28"/>
          <w:szCs w:val="32"/>
          <w:rtl/>
        </w:rPr>
        <w:t xml:space="preserve"> ،</w:t>
      </w:r>
      <w:r w:rsidRPr="007C3EC7">
        <w:rPr>
          <w:rFonts w:cs="Traditional Arabic" w:hint="cs"/>
          <w:color w:val="000000"/>
          <w:sz w:val="28"/>
          <w:szCs w:val="32"/>
          <w:rtl/>
        </w:rPr>
        <w:t xml:space="preserve"> أو لمدى الحياة</w:t>
      </w:r>
      <w:r>
        <w:rPr>
          <w:rFonts w:cs="Traditional Arabic" w:hint="cs"/>
          <w:color w:val="000000"/>
          <w:sz w:val="28"/>
          <w:szCs w:val="32"/>
          <w:rtl/>
        </w:rPr>
        <w:t xml:space="preserve"> .</w:t>
      </w:r>
      <w:r w:rsidRPr="007C3EC7">
        <w:rPr>
          <w:rFonts w:cs="Traditional Arabic" w:hint="cs"/>
          <w:color w:val="000000"/>
          <w:sz w:val="28"/>
          <w:szCs w:val="32"/>
          <w:rtl/>
        </w:rPr>
        <w:t xml:space="preserve"> وينشا الامتياز بقوة القانون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فإذا احتفظ البائع بالملكية إلى حين استيفائه فلا يكون له حق الامتياز</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أخذ الشيع المبيع بالشفعة</w:t>
      </w:r>
      <w:r>
        <w:rPr>
          <w:rFonts w:cs="Traditional Arabic" w:hint="cs"/>
          <w:color w:val="000000"/>
          <w:sz w:val="28"/>
          <w:szCs w:val="32"/>
          <w:rtl/>
        </w:rPr>
        <w:t xml:space="preserve"> ،</w:t>
      </w:r>
      <w:r w:rsidRPr="007C3EC7">
        <w:rPr>
          <w:rFonts w:cs="Traditional Arabic" w:hint="cs"/>
          <w:color w:val="000000"/>
          <w:sz w:val="28"/>
          <w:szCs w:val="32"/>
          <w:rtl/>
        </w:rPr>
        <w:t xml:space="preserve"> حل محل المشتري</w:t>
      </w:r>
      <w:r>
        <w:rPr>
          <w:rFonts w:cs="Traditional Arabic" w:hint="cs"/>
          <w:color w:val="000000"/>
          <w:sz w:val="28"/>
          <w:szCs w:val="32"/>
          <w:rtl/>
        </w:rPr>
        <w:t xml:space="preserve"> ،</w:t>
      </w:r>
      <w:r w:rsidRPr="007C3EC7">
        <w:rPr>
          <w:rFonts w:cs="Traditional Arabic" w:hint="cs"/>
          <w:color w:val="000000"/>
          <w:sz w:val="28"/>
          <w:szCs w:val="32"/>
          <w:rtl/>
        </w:rPr>
        <w:t xml:space="preserve"> ويكون للبائع في هذه الحالة حق امتياز البائع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ومتى كان المبيع عقاراً</w:t>
      </w:r>
      <w:r>
        <w:rPr>
          <w:rFonts w:cs="Traditional Arabic" w:hint="cs"/>
          <w:color w:val="000000"/>
          <w:sz w:val="28"/>
          <w:szCs w:val="32"/>
          <w:rtl/>
        </w:rPr>
        <w:t xml:space="preserve"> ،</w:t>
      </w:r>
      <w:r w:rsidRPr="007C3EC7">
        <w:rPr>
          <w:rFonts w:cs="Traditional Arabic" w:hint="cs"/>
          <w:color w:val="000000"/>
          <w:sz w:val="28"/>
          <w:szCs w:val="32"/>
          <w:rtl/>
        </w:rPr>
        <w:t xml:space="preserve"> فيستوي أن يكون مادياً أو معنوياً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ولا يكون ممتازاً إلا ثمن العقار الذي يجز بيعه بالمزاد</w:t>
      </w:r>
      <w:r>
        <w:rPr>
          <w:rFonts w:cs="Traditional Arabic" w:hint="cs"/>
          <w:color w:val="000000"/>
          <w:sz w:val="28"/>
          <w:szCs w:val="32"/>
          <w:rtl/>
        </w:rPr>
        <w:t xml:space="preserve"> ،</w:t>
      </w:r>
      <w:r w:rsidRPr="007C3EC7">
        <w:rPr>
          <w:rFonts w:cs="Traditional Arabic" w:hint="cs"/>
          <w:color w:val="000000"/>
          <w:sz w:val="28"/>
          <w:szCs w:val="32"/>
          <w:rtl/>
        </w:rPr>
        <w:t xml:space="preserve"> كالعقار نفسه أو حق الانتفاع به</w:t>
      </w:r>
      <w:r>
        <w:rPr>
          <w:rFonts w:cs="Traditional Arabic" w:hint="cs"/>
          <w:color w:val="000000"/>
          <w:sz w:val="28"/>
          <w:szCs w:val="32"/>
          <w:rtl/>
        </w:rPr>
        <w:t xml:space="preserve"> ،</w:t>
      </w:r>
      <w:r w:rsidRPr="007C3EC7">
        <w:rPr>
          <w:rFonts w:cs="Traditional Arabic" w:hint="cs"/>
          <w:color w:val="000000"/>
          <w:sz w:val="28"/>
          <w:szCs w:val="32"/>
          <w:rtl/>
        </w:rPr>
        <w:t xml:space="preserve"> ولس حق الارتفاق لأنه لا يجوز بيعه بالمزاد استقلالا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استحق البائع قبل المشترين غير الثمن والفوائد والمصروفات</w:t>
      </w:r>
      <w:r>
        <w:rPr>
          <w:rFonts w:cs="Traditional Arabic" w:hint="cs"/>
          <w:color w:val="000000"/>
          <w:sz w:val="28"/>
          <w:szCs w:val="32"/>
          <w:rtl/>
        </w:rPr>
        <w:t xml:space="preserve"> ،</w:t>
      </w:r>
      <w:r w:rsidRPr="007C3EC7">
        <w:rPr>
          <w:rFonts w:cs="Traditional Arabic" w:hint="cs"/>
          <w:color w:val="000000"/>
          <w:sz w:val="28"/>
          <w:szCs w:val="32"/>
          <w:rtl/>
        </w:rPr>
        <w:t xml:space="preserve"> فإن ما ستحقه من ذلك لا يكون ممتازاً</w:t>
      </w:r>
      <w:r>
        <w:rPr>
          <w:rFonts w:cs="Traditional Arabic" w:hint="cs"/>
          <w:color w:val="000000"/>
          <w:sz w:val="28"/>
          <w:szCs w:val="32"/>
          <w:rtl/>
        </w:rPr>
        <w:t xml:space="preserve"> ،</w:t>
      </w:r>
      <w:r w:rsidRPr="007C3EC7">
        <w:rPr>
          <w:rFonts w:cs="Traditional Arabic" w:hint="cs"/>
          <w:color w:val="000000"/>
          <w:sz w:val="28"/>
          <w:szCs w:val="32"/>
          <w:rtl/>
        </w:rPr>
        <w:t xml:space="preserve"> كالتعويض عن فسخ البيع والتعويض الذي حكم به للمقايض في مقابل العقار الذي تسلمه في المقايضة إذا استحق لشخص آخر</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ولكن الامتياز يضمن زيادة الثمن التي يحكم بها للقاصر</w:t>
      </w:r>
      <w:r>
        <w:rPr>
          <w:rFonts w:cs="Traditional Arabic" w:hint="cs"/>
          <w:color w:val="000000"/>
          <w:sz w:val="28"/>
          <w:szCs w:val="32"/>
          <w:rtl/>
        </w:rPr>
        <w:t xml:space="preserve"> ،</w:t>
      </w:r>
      <w:r w:rsidRPr="007C3EC7">
        <w:rPr>
          <w:rFonts w:cs="Traditional Arabic" w:hint="cs"/>
          <w:color w:val="000000"/>
          <w:sz w:val="28"/>
          <w:szCs w:val="32"/>
          <w:rtl/>
        </w:rPr>
        <w:t xml:space="preserve"> في حالة بيع عقاره بغبن فاحش</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ويضمن أيضاً الذي قرض المشتري مبلغاً ليدع به ثمن العقار</w:t>
      </w:r>
      <w:r>
        <w:rPr>
          <w:rFonts w:cs="Traditional Arabic" w:hint="cs"/>
          <w:color w:val="000000"/>
          <w:sz w:val="28"/>
          <w:szCs w:val="32"/>
          <w:rtl/>
        </w:rPr>
        <w:t xml:space="preserve"> ،</w:t>
      </w:r>
      <w:r w:rsidRPr="007C3EC7">
        <w:rPr>
          <w:rFonts w:cs="Traditional Arabic" w:hint="cs"/>
          <w:color w:val="000000"/>
          <w:sz w:val="28"/>
          <w:szCs w:val="32"/>
          <w:rtl/>
        </w:rPr>
        <w:t xml:space="preserve"> إذا ذكر ذلك في عقد القرض وفي عقد البيع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89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$1000 ويعتبر في حكم البيع الوفاء بمقابل والمقايضة إذا كان الموفي له أو أحد المتقايضين ملزماً بدفع فرق</w:t>
      </w:r>
      <w:r>
        <w:rPr>
          <w:rFonts w:cs="Traditional Arabic" w:hint="cs"/>
          <w:color w:val="000000"/>
          <w:sz w:val="28"/>
          <w:szCs w:val="32"/>
          <w:rtl/>
        </w:rPr>
        <w:t xml:space="preserve"> ،</w:t>
      </w:r>
      <w:r w:rsidRPr="007C3EC7">
        <w:rPr>
          <w:rFonts w:cs="Traditional Arabic" w:hint="cs"/>
          <w:color w:val="000000"/>
          <w:sz w:val="28"/>
          <w:szCs w:val="32"/>
          <w:rtl/>
        </w:rPr>
        <w:t xml:space="preserve"> فيعتبر هذا الفرق في حكم ثمن البيع ويكون مضمنوناً بالامتياز</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وكذلك بيع العقار على الشيوع بالمزاد لعدم إمكان قسمته إذا رسا المزاد على أجبني</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732- محل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يقع الامتياز على العقار المبيع</w:t>
      </w:r>
      <w:r>
        <w:rPr>
          <w:rFonts w:cs="Traditional Arabic" w:hint="cs"/>
          <w:color w:val="000000"/>
          <w:sz w:val="28"/>
          <w:szCs w:val="32"/>
          <w:rtl/>
        </w:rPr>
        <w:t xml:space="preserve"> ،</w:t>
      </w:r>
      <w:r w:rsidRPr="007C3EC7">
        <w:rPr>
          <w:rFonts w:cs="Traditional Arabic" w:hint="cs"/>
          <w:color w:val="000000"/>
          <w:sz w:val="28"/>
          <w:szCs w:val="32"/>
          <w:rtl/>
        </w:rPr>
        <w:t xml:space="preserve"> سوءا كان ملكية أو حق انتفاع</w:t>
      </w:r>
      <w:r>
        <w:rPr>
          <w:rFonts w:cs="Traditional Arabic" w:hint="cs"/>
          <w:color w:val="000000"/>
          <w:sz w:val="28"/>
          <w:szCs w:val="32"/>
          <w:rtl/>
        </w:rPr>
        <w:t xml:space="preserve"> ،</w:t>
      </w:r>
      <w:r w:rsidRPr="007C3EC7">
        <w:rPr>
          <w:rFonts w:cs="Traditional Arabic" w:hint="cs"/>
          <w:color w:val="000000"/>
          <w:sz w:val="28"/>
          <w:szCs w:val="32"/>
          <w:rtl/>
        </w:rPr>
        <w:t xml:space="preserve"> وسواء </w:t>
      </w:r>
      <w:r w:rsidRPr="007C3EC7">
        <w:rPr>
          <w:rFonts w:cs="Traditional Arabic" w:hint="cs"/>
          <w:color w:val="000000"/>
          <w:sz w:val="28"/>
          <w:szCs w:val="32"/>
          <w:rtl/>
        </w:rPr>
        <w:lastRenderedPageBreak/>
        <w:t>كان المبيع مالا مفرزاً أو حصة شائعة</w:t>
      </w:r>
      <w:r>
        <w:rPr>
          <w:rFonts w:cs="Traditional Arabic" w:hint="cs"/>
          <w:color w:val="000000"/>
          <w:sz w:val="28"/>
          <w:szCs w:val="32"/>
          <w:rtl/>
        </w:rPr>
        <w:t xml:space="preserve"> ،</w:t>
      </w:r>
      <w:r w:rsidRPr="007C3EC7">
        <w:rPr>
          <w:rFonts w:cs="Traditional Arabic" w:hint="cs"/>
          <w:color w:val="000000"/>
          <w:sz w:val="28"/>
          <w:szCs w:val="32"/>
          <w:rtl/>
        </w:rPr>
        <w:t xml:space="preserve"> وسواء كان بناء أو أرضاً فضاء أو أرضاً زراعية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ويشمل الامتياز الملحقات</w:t>
      </w:r>
      <w:r>
        <w:rPr>
          <w:rFonts w:cs="Traditional Arabic" w:hint="cs"/>
          <w:color w:val="000000"/>
          <w:sz w:val="28"/>
          <w:szCs w:val="32"/>
          <w:rtl/>
        </w:rPr>
        <w:t xml:space="preserve"> ،</w:t>
      </w:r>
      <w:r w:rsidRPr="007C3EC7">
        <w:rPr>
          <w:rFonts w:cs="Traditional Arabic" w:hint="cs"/>
          <w:color w:val="000000"/>
          <w:sz w:val="28"/>
          <w:szCs w:val="32"/>
          <w:rtl/>
        </w:rPr>
        <w:t xml:space="preserve"> كالعقارات بالتخصيص والمنشآت والتحسينات والثمار من وقت تسجيل نزع الملكية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sidRPr="007C3EC7">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ويرد الامتياز على كل العقار</w:t>
      </w:r>
      <w:r>
        <w:rPr>
          <w:rFonts w:cs="Traditional Arabic" w:hint="cs"/>
          <w:color w:val="000000"/>
          <w:sz w:val="28"/>
          <w:szCs w:val="32"/>
          <w:rtl/>
        </w:rPr>
        <w:t xml:space="preserve"> ،</w:t>
      </w:r>
      <w:r w:rsidRPr="007C3EC7">
        <w:rPr>
          <w:rFonts w:cs="Traditional Arabic" w:hint="cs"/>
          <w:color w:val="000000"/>
          <w:sz w:val="28"/>
          <w:szCs w:val="32"/>
          <w:rtl/>
        </w:rPr>
        <w:t xml:space="preserve"> ولو كان أكثر من الثمن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باع المنتفع حق الانتفاع وباع المالك الرقبة</w:t>
      </w:r>
      <w:r>
        <w:rPr>
          <w:rFonts w:cs="Traditional Arabic" w:hint="cs"/>
          <w:color w:val="000000"/>
          <w:sz w:val="28"/>
          <w:szCs w:val="32"/>
          <w:rtl/>
        </w:rPr>
        <w:t xml:space="preserve"> ،</w:t>
      </w:r>
      <w:r w:rsidRPr="007C3EC7">
        <w:rPr>
          <w:rFonts w:cs="Traditional Arabic" w:hint="cs"/>
          <w:color w:val="000000"/>
          <w:sz w:val="28"/>
          <w:szCs w:val="32"/>
          <w:rtl/>
        </w:rPr>
        <w:t xml:space="preserve"> فبائع حق الانتفاع لا يكون له امتياز إلا على هذا الحق ولو آلت الرقبة إلى مشتري حق الانتفاع</w:t>
      </w:r>
      <w:r>
        <w:rPr>
          <w:rFonts w:cs="Traditional Arabic" w:hint="cs"/>
          <w:color w:val="000000"/>
          <w:sz w:val="28"/>
          <w:szCs w:val="32"/>
          <w:rtl/>
        </w:rPr>
        <w:t xml:space="preserve"> .</w:t>
      </w:r>
      <w:r w:rsidRPr="007C3EC7">
        <w:rPr>
          <w:rFonts w:cs="Traditional Arabic" w:hint="cs"/>
          <w:color w:val="000000"/>
          <w:sz w:val="28"/>
          <w:szCs w:val="32"/>
          <w:rtl/>
        </w:rPr>
        <w:t xml:space="preserve"> أما بائع الرقبة فيرد امتيازه على الملكية كاملة</w:t>
      </w:r>
      <w:r>
        <w:rPr>
          <w:rFonts w:cs="Traditional Arabic" w:hint="cs"/>
          <w:color w:val="000000"/>
          <w:sz w:val="28"/>
          <w:szCs w:val="32"/>
          <w:rtl/>
        </w:rPr>
        <w:t xml:space="preserve"> ،</w:t>
      </w:r>
      <w:r w:rsidRPr="007C3EC7">
        <w:rPr>
          <w:rFonts w:cs="Traditional Arabic" w:hint="cs"/>
          <w:color w:val="000000"/>
          <w:sz w:val="28"/>
          <w:szCs w:val="32"/>
          <w:rtl/>
        </w:rPr>
        <w:t xml:space="preserve"> لو آل حق الانتفاع إلى الرقبة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733- 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ويجب قيد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ولو كان عقد البيع مسجلا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$1001 ويعين مرتبة الامتياز تاريخ قيد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بيع العقار مرات متوالية وبقي لكل من البائعين جزء من الثمن</w:t>
      </w:r>
      <w:r>
        <w:rPr>
          <w:rFonts w:cs="Traditional Arabic" w:hint="cs"/>
          <w:color w:val="000000"/>
          <w:sz w:val="28"/>
          <w:szCs w:val="32"/>
          <w:rtl/>
        </w:rPr>
        <w:t xml:space="preserve"> ،</w:t>
      </w:r>
      <w:r w:rsidRPr="007C3EC7">
        <w:rPr>
          <w:rFonts w:cs="Traditional Arabic" w:hint="cs"/>
          <w:color w:val="000000"/>
          <w:sz w:val="28"/>
          <w:szCs w:val="32"/>
          <w:rtl/>
        </w:rPr>
        <w:t xml:space="preserve"> فإن البائع الأول يتقدم عمن يتلو</w:t>
      </w:r>
      <w:r>
        <w:rPr>
          <w:rFonts w:cs="Traditional Arabic" w:hint="cs"/>
          <w:color w:val="000000"/>
          <w:sz w:val="28"/>
          <w:szCs w:val="32"/>
          <w:rtl/>
        </w:rPr>
        <w:t xml:space="preserve"> ،</w:t>
      </w:r>
      <w:r w:rsidRPr="007C3EC7">
        <w:rPr>
          <w:rFonts w:cs="Traditional Arabic" w:hint="cs"/>
          <w:color w:val="000000"/>
          <w:sz w:val="28"/>
          <w:szCs w:val="32"/>
          <w:rtl/>
        </w:rPr>
        <w:t xml:space="preserve"> بشرط أن يكون قد شهر امتيازه قبلهم</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jc w:val="center"/>
        <w:rPr>
          <w:rFonts w:cs="Traditional Arabic" w:hint="cs"/>
          <w:b/>
          <w:bCs/>
          <w:color w:val="000000"/>
          <w:sz w:val="28"/>
          <w:szCs w:val="32"/>
          <w:rtl/>
        </w:rPr>
      </w:pPr>
      <w:r w:rsidRPr="007C3EC7">
        <w:rPr>
          <w:b/>
          <w:bCs/>
          <w:color w:val="000000"/>
          <w:sz w:val="28"/>
          <w:szCs w:val="32"/>
          <w:rtl/>
        </w:rPr>
        <w:t>§</w:t>
      </w:r>
      <w:r w:rsidRPr="007C3EC7">
        <w:rPr>
          <w:rFonts w:cs="Traditional Arabic" w:hint="cs"/>
          <w:b/>
          <w:bCs/>
          <w:color w:val="000000"/>
          <w:sz w:val="28"/>
          <w:szCs w:val="32"/>
          <w:rtl/>
        </w:rPr>
        <w:t xml:space="preserve"> 2- امتياز المهندسين والمقاولين</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734- نص قانوني</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تنص المادة 1148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المبالغ المستحقة للمقاولين والمهندسين المعماريين الذي عهد إليهم في تشييد أبنية أو منشآت أخرى أو في إعادة تشييدها أو في ترميمها أو صيانتها</w:t>
      </w:r>
      <w:r>
        <w:rPr>
          <w:rFonts w:cs="Traditional Arabic" w:hint="cs"/>
          <w:color w:val="000000"/>
          <w:sz w:val="28"/>
          <w:szCs w:val="32"/>
          <w:rtl/>
        </w:rPr>
        <w:t xml:space="preserve"> ،</w:t>
      </w:r>
      <w:r w:rsidRPr="007C3EC7">
        <w:rPr>
          <w:rFonts w:cs="Traditional Arabic" w:hint="cs"/>
          <w:color w:val="000000"/>
          <w:sz w:val="28"/>
          <w:szCs w:val="32"/>
          <w:rtl/>
        </w:rPr>
        <w:t xml:space="preserve"> يكون لها امتياز على هذه المنشآت</w:t>
      </w:r>
      <w:r>
        <w:rPr>
          <w:rFonts w:cs="Traditional Arabic" w:hint="cs"/>
          <w:color w:val="000000"/>
          <w:sz w:val="28"/>
          <w:szCs w:val="32"/>
          <w:rtl/>
        </w:rPr>
        <w:t xml:space="preserve"> ،</w:t>
      </w:r>
      <w:r w:rsidRPr="007C3EC7">
        <w:rPr>
          <w:rFonts w:cs="Traditional Arabic" w:hint="cs"/>
          <w:color w:val="000000"/>
          <w:sz w:val="28"/>
          <w:szCs w:val="32"/>
          <w:rtl/>
        </w:rPr>
        <w:t xml:space="preserve"> ولكن بقد ما يكون زائداً بسبب هذه الأعمال في قيمة العقار وقت بيعه"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"2- ويجب أن يقيد هذا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وتكون مرتبته من وقت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$1002 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المبالغ المستحقة للمقاولين والمهندسين المعماريين لتشييد أبنية أو منشآت أخرى أو ترميمها أو صيانتها فيزيد المشروع على التقنين الحالي </w:t>
      </w:r>
      <w:r>
        <w:rPr>
          <w:rFonts w:cs="Traditional Arabic" w:hint="cs"/>
          <w:color w:val="000000"/>
          <w:sz w:val="28"/>
          <w:szCs w:val="32"/>
          <w:rtl/>
        </w:rPr>
        <w:t xml:space="preserve">( </w:t>
      </w:r>
      <w:r w:rsidRPr="007C3EC7">
        <w:rPr>
          <w:rFonts w:cs="Traditional Arabic" w:hint="cs"/>
          <w:color w:val="000000"/>
          <w:sz w:val="28"/>
          <w:szCs w:val="32"/>
          <w:rtl/>
        </w:rPr>
        <w:t>السابق</w:t>
      </w:r>
      <w:r>
        <w:rPr>
          <w:rFonts w:cs="Traditional Arabic" w:hint="cs"/>
          <w:color w:val="000000"/>
          <w:sz w:val="28"/>
          <w:szCs w:val="32"/>
          <w:rtl/>
        </w:rPr>
        <w:t xml:space="preserve"> )</w:t>
      </w:r>
      <w:r w:rsidRPr="007C3EC7">
        <w:rPr>
          <w:rFonts w:cs="Traditional Arabic" w:hint="cs"/>
          <w:color w:val="000000"/>
          <w:sz w:val="28"/>
          <w:szCs w:val="32"/>
          <w:rtl/>
        </w:rPr>
        <w:t xml:space="preserve"> مصروفات البناء</w:t>
      </w:r>
      <w:r>
        <w:rPr>
          <w:rFonts w:cs="Traditional Arabic" w:hint="cs"/>
          <w:color w:val="000000"/>
          <w:sz w:val="28"/>
          <w:szCs w:val="32"/>
          <w:rtl/>
        </w:rPr>
        <w:t xml:space="preserve"> .</w:t>
      </w:r>
      <w:r w:rsidRPr="007C3EC7">
        <w:rPr>
          <w:rFonts w:cs="Traditional Arabic" w:hint="cs"/>
          <w:color w:val="000000"/>
          <w:sz w:val="28"/>
          <w:szCs w:val="32"/>
          <w:rtl/>
        </w:rPr>
        <w:t xml:space="preserve"> ويتلافى بذلك نقصاً معروفا في التقين الحالي "السابق",</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ما زاد في قيمة العقار بسبب هذه الأعمال وبقي قائما إلى وقت بيع العقار</w:t>
      </w:r>
      <w:r>
        <w:rPr>
          <w:rFonts w:cs="Traditional Arabic" w:hint="cs"/>
          <w:color w:val="000000"/>
          <w:sz w:val="28"/>
          <w:szCs w:val="32"/>
          <w:rtl/>
        </w:rPr>
        <w:t xml:space="preserve"> .</w:t>
      </w:r>
      <w:r w:rsidRPr="007C3EC7">
        <w:rPr>
          <w:rFonts w:cs="Traditional Arabic" w:hint="cs"/>
          <w:color w:val="000000"/>
          <w:sz w:val="28"/>
          <w:szCs w:val="32"/>
          <w:rtl/>
        </w:rPr>
        <w:t xml:space="preserve"> بخلاف مصروفات الصيانة في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فالامتياز يقع على كل المنقول لا على ما زاد فيه بسبب هذه المصروفات</w:t>
      </w:r>
      <w:r>
        <w:rPr>
          <w:rFonts w:cs="Traditional Arabic" w:hint="cs"/>
          <w:color w:val="000000"/>
          <w:sz w:val="28"/>
          <w:szCs w:val="32"/>
          <w:rtl/>
        </w:rPr>
        <w:t xml:space="preserve"> ،</w:t>
      </w:r>
      <w:r w:rsidRPr="007C3EC7">
        <w:rPr>
          <w:rFonts w:cs="Traditional Arabic" w:hint="cs"/>
          <w:color w:val="000000"/>
          <w:sz w:val="28"/>
          <w:szCs w:val="32"/>
          <w:rtl/>
        </w:rPr>
        <w:t xml:space="preserve"> وقد تقدم ذكر ذلك</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يجب قيد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وتتحدد المرتبة من وقت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735- 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يشمل الحق الممتاز مصروفات البناء وإعادة البناء</w:t>
      </w:r>
      <w:r>
        <w:rPr>
          <w:rFonts w:cs="Traditional Arabic" w:hint="cs"/>
          <w:color w:val="000000"/>
          <w:sz w:val="28"/>
          <w:szCs w:val="32"/>
          <w:rtl/>
        </w:rPr>
        <w:t xml:space="preserve"> ،</w:t>
      </w:r>
      <w:r w:rsidRPr="007C3EC7">
        <w:rPr>
          <w:rFonts w:cs="Traditional Arabic" w:hint="cs"/>
          <w:color w:val="000000"/>
          <w:sz w:val="28"/>
          <w:szCs w:val="32"/>
          <w:rtl/>
        </w:rPr>
        <w:t xml:space="preserve"> كما يشمل مصروفات الترميم والصيانة</w:t>
      </w:r>
      <w:r>
        <w:rPr>
          <w:rFonts w:cs="Traditional Arabic" w:hint="cs"/>
          <w:color w:val="000000"/>
          <w:sz w:val="28"/>
          <w:szCs w:val="32"/>
          <w:rtl/>
        </w:rPr>
        <w:t xml:space="preserve"> ،</w:t>
      </w:r>
      <w:r w:rsidRPr="007C3EC7">
        <w:rPr>
          <w:rFonts w:cs="Traditional Arabic" w:hint="cs"/>
          <w:color w:val="000000"/>
          <w:sz w:val="28"/>
          <w:szCs w:val="32"/>
          <w:rtl/>
        </w:rPr>
        <w:t xml:space="preserve"> في حين أن التقنين السابق كمان يشمل مصروفات الترميم والصيانة دون مصروفات البناء وإعادة البناء</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$1003 والنص مقصور على المقاولين والمهندسين المعماريين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فلا يستفيد منه مستأجر العقار أو حائزه أو الفضولي إذا قام أي منهم بالبناء أو بالترميم أو بالصيانة</w:t>
      </w:r>
      <w:r>
        <w:rPr>
          <w:rFonts w:cs="Traditional Arabic" w:hint="cs"/>
          <w:color w:val="000000"/>
          <w:sz w:val="28"/>
          <w:szCs w:val="32"/>
          <w:rtl/>
        </w:rPr>
        <w:t xml:space="preserve"> .</w:t>
      </w:r>
      <w:r w:rsidRPr="007C3EC7">
        <w:rPr>
          <w:rFonts w:cs="Traditional Arabic" w:hint="cs"/>
          <w:color w:val="000000"/>
          <w:sz w:val="28"/>
          <w:szCs w:val="32"/>
          <w:rtl/>
        </w:rPr>
        <w:t xml:space="preserve"> كما لا يستفيد منه العامل الأجير إذا لم يكن مهندساً معمارياً أو مقاولا</w:t>
      </w:r>
      <w:r>
        <w:rPr>
          <w:rFonts w:cs="Traditional Arabic" w:hint="cs"/>
          <w:color w:val="000000"/>
          <w:sz w:val="28"/>
          <w:szCs w:val="32"/>
          <w:rtl/>
        </w:rPr>
        <w:t xml:space="preserve"> ،</w:t>
      </w:r>
      <w:r w:rsidRPr="007C3EC7">
        <w:rPr>
          <w:rFonts w:cs="Traditional Arabic" w:hint="cs"/>
          <w:color w:val="000000"/>
          <w:sz w:val="28"/>
          <w:szCs w:val="32"/>
          <w:rtl/>
        </w:rPr>
        <w:t xml:space="preserve"> ولكن العامل له امتياز عام هو امتياز الإجراء</w:t>
      </w:r>
      <w:r>
        <w:rPr>
          <w:rFonts w:cs="Traditional Arabic" w:hint="cs"/>
          <w:color w:val="000000"/>
          <w:sz w:val="28"/>
          <w:szCs w:val="32"/>
          <w:rtl/>
        </w:rPr>
        <w:t xml:space="preserve"> .</w:t>
      </w:r>
      <w:r w:rsidRPr="007C3EC7">
        <w:rPr>
          <w:rFonts w:cs="Traditional Arabic" w:hint="cs"/>
          <w:color w:val="000000"/>
          <w:sz w:val="28"/>
          <w:szCs w:val="32"/>
          <w:rtl/>
        </w:rPr>
        <w:t xml:space="preserve"> ولا يثبت الامتياز للمقاول أو المهندس المعماري الذي يقوم من تلقاء نفسه بأعمال البناء أو الترميم أو الصيانة</w:t>
      </w:r>
      <w:r>
        <w:rPr>
          <w:rFonts w:cs="Traditional Arabic" w:hint="cs"/>
          <w:color w:val="000000"/>
          <w:sz w:val="28"/>
          <w:szCs w:val="32"/>
          <w:rtl/>
        </w:rPr>
        <w:t xml:space="preserve"> ،</w:t>
      </w:r>
      <w:r w:rsidRPr="007C3EC7">
        <w:rPr>
          <w:rFonts w:cs="Traditional Arabic" w:hint="cs"/>
          <w:color w:val="000000"/>
          <w:sz w:val="28"/>
          <w:szCs w:val="32"/>
          <w:rtl/>
        </w:rPr>
        <w:t xml:space="preserve"> بل يجب أن يعهد إليه صاحب العمل بذلك</w:t>
      </w:r>
      <w:r>
        <w:rPr>
          <w:rFonts w:cs="Traditional Arabic" w:hint="cs"/>
          <w:color w:val="000000"/>
          <w:sz w:val="28"/>
          <w:szCs w:val="32"/>
          <w:rtl/>
        </w:rPr>
        <w:t xml:space="preserve"> .</w:t>
      </w:r>
      <w:r w:rsidRPr="007C3EC7">
        <w:rPr>
          <w:rFonts w:cs="Traditional Arabic" w:hint="cs"/>
          <w:color w:val="000000"/>
          <w:sz w:val="28"/>
          <w:szCs w:val="32"/>
          <w:rtl/>
        </w:rPr>
        <w:t xml:space="preserve"> وصاحب العمل يكون عادة هو المالك</w:t>
      </w:r>
      <w:r>
        <w:rPr>
          <w:rFonts w:cs="Traditional Arabic" w:hint="cs"/>
          <w:color w:val="000000"/>
          <w:sz w:val="28"/>
          <w:szCs w:val="32"/>
          <w:rtl/>
        </w:rPr>
        <w:t xml:space="preserve"> ،</w:t>
      </w:r>
      <w:r w:rsidRPr="007C3EC7">
        <w:rPr>
          <w:rFonts w:cs="Traditional Arabic" w:hint="cs"/>
          <w:color w:val="000000"/>
          <w:sz w:val="28"/>
          <w:szCs w:val="32"/>
          <w:rtl/>
        </w:rPr>
        <w:t xml:space="preserve"> ولكن يصح أن يكون مستأجراً</w:t>
      </w:r>
      <w:r>
        <w:rPr>
          <w:rFonts w:cs="Traditional Arabic" w:hint="cs"/>
          <w:color w:val="000000"/>
          <w:sz w:val="28"/>
          <w:szCs w:val="32"/>
          <w:rtl/>
        </w:rPr>
        <w:t xml:space="preserve"> ،</w:t>
      </w:r>
      <w:r w:rsidRPr="007C3EC7">
        <w:rPr>
          <w:rFonts w:cs="Traditional Arabic" w:hint="cs"/>
          <w:color w:val="000000"/>
          <w:sz w:val="28"/>
          <w:szCs w:val="32"/>
          <w:rtl/>
        </w:rPr>
        <w:t xml:space="preserve"> أو صاحب حق انتفاع</w:t>
      </w:r>
      <w:r>
        <w:rPr>
          <w:rFonts w:cs="Traditional Arabic" w:hint="cs"/>
          <w:color w:val="000000"/>
          <w:sz w:val="28"/>
          <w:szCs w:val="32"/>
          <w:rtl/>
        </w:rPr>
        <w:t xml:space="preserve"> ،</w:t>
      </w:r>
      <w:r w:rsidRPr="007C3EC7">
        <w:rPr>
          <w:rFonts w:cs="Traditional Arabic" w:hint="cs"/>
          <w:color w:val="000000"/>
          <w:sz w:val="28"/>
          <w:szCs w:val="32"/>
          <w:rtl/>
        </w:rPr>
        <w:t xml:space="preserve"> أو دائناً مرتهناً رهن حيازة</w:t>
      </w:r>
      <w:r>
        <w:rPr>
          <w:rFonts w:cs="Traditional Arabic" w:hint="cs"/>
          <w:color w:val="000000"/>
          <w:sz w:val="28"/>
          <w:szCs w:val="32"/>
          <w:rtl/>
        </w:rPr>
        <w:t xml:space="preserve"> ،</w:t>
      </w:r>
      <w:r w:rsidRPr="007C3EC7">
        <w:rPr>
          <w:rFonts w:cs="Traditional Arabic" w:hint="cs"/>
          <w:color w:val="000000"/>
          <w:sz w:val="28"/>
          <w:szCs w:val="32"/>
          <w:rtl/>
        </w:rPr>
        <w:t xml:space="preserve"> أو واضع اليد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والامتياز مقصور على المبالغ المستحقة للبناء</w:t>
      </w:r>
      <w:r>
        <w:rPr>
          <w:rFonts w:cs="Traditional Arabic" w:hint="cs"/>
          <w:color w:val="000000"/>
          <w:sz w:val="28"/>
          <w:szCs w:val="32"/>
          <w:rtl/>
        </w:rPr>
        <w:t xml:space="preserve"> ،</w:t>
      </w:r>
      <w:r w:rsidRPr="007C3EC7">
        <w:rPr>
          <w:rFonts w:cs="Traditional Arabic" w:hint="cs"/>
          <w:color w:val="000000"/>
          <w:sz w:val="28"/>
          <w:szCs w:val="32"/>
          <w:rtl/>
        </w:rPr>
        <w:t xml:space="preserve"> أو إعادة البناء</w:t>
      </w:r>
      <w:r>
        <w:rPr>
          <w:rFonts w:cs="Traditional Arabic" w:hint="cs"/>
          <w:color w:val="000000"/>
          <w:sz w:val="28"/>
          <w:szCs w:val="32"/>
          <w:rtl/>
        </w:rPr>
        <w:t xml:space="preserve"> ،</w:t>
      </w:r>
      <w:r w:rsidRPr="007C3EC7">
        <w:rPr>
          <w:rFonts w:cs="Traditional Arabic" w:hint="cs"/>
          <w:color w:val="000000"/>
          <w:sz w:val="28"/>
          <w:szCs w:val="32"/>
          <w:rtl/>
        </w:rPr>
        <w:t xml:space="preserve"> أو الترميم</w:t>
      </w:r>
      <w:r>
        <w:rPr>
          <w:rFonts w:cs="Traditional Arabic" w:hint="cs"/>
          <w:color w:val="000000"/>
          <w:sz w:val="28"/>
          <w:szCs w:val="32"/>
          <w:rtl/>
        </w:rPr>
        <w:t xml:space="preserve"> ،</w:t>
      </w:r>
      <w:r w:rsidRPr="007C3EC7">
        <w:rPr>
          <w:rFonts w:cs="Traditional Arabic" w:hint="cs"/>
          <w:color w:val="000000"/>
          <w:sz w:val="28"/>
          <w:szCs w:val="32"/>
          <w:rtl/>
        </w:rPr>
        <w:t xml:space="preserve"> أو الصيانة</w:t>
      </w:r>
      <w:r>
        <w:rPr>
          <w:rFonts w:cs="Traditional Arabic" w:hint="cs"/>
          <w:color w:val="000000"/>
          <w:sz w:val="28"/>
          <w:szCs w:val="32"/>
          <w:rtl/>
        </w:rPr>
        <w:t xml:space="preserve"> .</w:t>
      </w:r>
      <w:r w:rsidRPr="007C3EC7">
        <w:rPr>
          <w:rFonts w:cs="Traditional Arabic" w:hint="cs"/>
          <w:color w:val="000000"/>
          <w:sz w:val="28"/>
          <w:szCs w:val="32"/>
          <w:rtl/>
        </w:rPr>
        <w:t xml:space="preserve"> ويرد ذلك على الأبنية</w:t>
      </w:r>
      <w:r>
        <w:rPr>
          <w:rFonts w:cs="Traditional Arabic" w:hint="cs"/>
          <w:color w:val="000000"/>
          <w:sz w:val="28"/>
          <w:szCs w:val="32"/>
          <w:rtl/>
        </w:rPr>
        <w:t xml:space="preserve"> ،</w:t>
      </w:r>
      <w:r w:rsidRPr="007C3EC7">
        <w:rPr>
          <w:rFonts w:cs="Traditional Arabic" w:hint="cs"/>
          <w:color w:val="000000"/>
          <w:sz w:val="28"/>
          <w:szCs w:val="32"/>
          <w:rtl/>
        </w:rPr>
        <w:t xml:space="preserve"> والطرق</w:t>
      </w:r>
      <w:r>
        <w:rPr>
          <w:rFonts w:cs="Traditional Arabic" w:hint="cs"/>
          <w:color w:val="000000"/>
          <w:sz w:val="28"/>
          <w:szCs w:val="32"/>
          <w:rtl/>
        </w:rPr>
        <w:t xml:space="preserve"> ،</w:t>
      </w:r>
      <w:r w:rsidRPr="007C3EC7">
        <w:rPr>
          <w:rFonts w:cs="Traditional Arabic" w:hint="cs"/>
          <w:color w:val="000000"/>
          <w:sz w:val="28"/>
          <w:szCs w:val="32"/>
          <w:rtl/>
        </w:rPr>
        <w:t xml:space="preserve"> والآبار</w:t>
      </w:r>
      <w:r>
        <w:rPr>
          <w:rFonts w:cs="Traditional Arabic" w:hint="cs"/>
          <w:color w:val="000000"/>
          <w:sz w:val="28"/>
          <w:szCs w:val="32"/>
          <w:rtl/>
        </w:rPr>
        <w:t xml:space="preserve"> ،</w:t>
      </w:r>
      <w:r w:rsidRPr="007C3EC7">
        <w:rPr>
          <w:rFonts w:cs="Traditional Arabic" w:hint="cs"/>
          <w:color w:val="000000"/>
          <w:sz w:val="28"/>
          <w:szCs w:val="32"/>
          <w:rtl/>
        </w:rPr>
        <w:t xml:space="preserve"> والقناطر</w:t>
      </w:r>
      <w:r>
        <w:rPr>
          <w:rFonts w:cs="Traditional Arabic" w:hint="cs"/>
          <w:color w:val="000000"/>
          <w:sz w:val="28"/>
          <w:szCs w:val="32"/>
          <w:rtl/>
        </w:rPr>
        <w:t xml:space="preserve"> ،</w:t>
      </w:r>
      <w:r w:rsidRPr="007C3EC7">
        <w:rPr>
          <w:rFonts w:cs="Traditional Arabic" w:hint="cs"/>
          <w:color w:val="000000"/>
          <w:sz w:val="28"/>
          <w:szCs w:val="32"/>
          <w:rtl/>
        </w:rPr>
        <w:t xml:space="preserve"> وغير ذلك من أعمال التشييد</w:t>
      </w:r>
      <w:r>
        <w:rPr>
          <w:rFonts w:cs="Traditional Arabic" w:hint="cs"/>
          <w:color w:val="000000"/>
          <w:sz w:val="28"/>
          <w:szCs w:val="32"/>
          <w:rtl/>
        </w:rPr>
        <w:t xml:space="preserve"> .</w:t>
      </w:r>
      <w:r w:rsidRPr="007C3EC7">
        <w:rPr>
          <w:rFonts w:cs="Traditional Arabic" w:hint="cs"/>
          <w:color w:val="000000"/>
          <w:sz w:val="28"/>
          <w:szCs w:val="32"/>
          <w:rtl/>
        </w:rPr>
        <w:t xml:space="preserve"> ولا ينحصر في أصل المبالغ</w:t>
      </w:r>
      <w:r>
        <w:rPr>
          <w:rFonts w:cs="Traditional Arabic" w:hint="cs"/>
          <w:color w:val="000000"/>
          <w:sz w:val="28"/>
          <w:szCs w:val="32"/>
          <w:rtl/>
        </w:rPr>
        <w:t xml:space="preserve"> ،</w:t>
      </w:r>
      <w:r w:rsidRPr="007C3EC7">
        <w:rPr>
          <w:rFonts w:cs="Traditional Arabic" w:hint="cs"/>
          <w:color w:val="000000"/>
          <w:sz w:val="28"/>
          <w:szCs w:val="32"/>
          <w:rtl/>
        </w:rPr>
        <w:t xml:space="preserve"> </w:t>
      </w:r>
      <w:r w:rsidRPr="007C3EC7">
        <w:rPr>
          <w:rFonts w:cs="Traditional Arabic" w:hint="cs"/>
          <w:color w:val="000000"/>
          <w:sz w:val="28"/>
          <w:szCs w:val="32"/>
          <w:rtl/>
        </w:rPr>
        <w:lastRenderedPageBreak/>
        <w:t>بل يمتد أيضاً إلى الفوائد المستحقة عن هذه المبالغ</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ولكن الامتياز لا يضمن إلا التشييد وما يلحق به كالترميمي والصيانة</w:t>
      </w:r>
      <w:r>
        <w:rPr>
          <w:rFonts w:cs="Traditional Arabic" w:hint="cs"/>
          <w:color w:val="000000"/>
          <w:sz w:val="28"/>
          <w:szCs w:val="32"/>
          <w:rtl/>
        </w:rPr>
        <w:t xml:space="preserve"> ،</w:t>
      </w:r>
      <w:r w:rsidRPr="007C3EC7">
        <w:rPr>
          <w:rFonts w:cs="Traditional Arabic" w:hint="cs"/>
          <w:color w:val="000000"/>
          <w:sz w:val="28"/>
          <w:szCs w:val="32"/>
          <w:rtl/>
        </w:rPr>
        <w:t xml:space="preserve"> فهو لا يضمن إصلاح الأراضي الزراعية والمراوي والمصارف وتجفيف البرك</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0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b/>
          <w:bCs/>
          <w:color w:val="000000"/>
          <w:sz w:val="28"/>
          <w:szCs w:val="32"/>
          <w:rtl/>
        </w:rPr>
      </w:pPr>
      <w:r w:rsidRPr="007C3EC7">
        <w:rPr>
          <w:rFonts w:cs="Traditional Arabic" w:hint="cs"/>
          <w:b/>
          <w:bCs/>
          <w:color w:val="000000"/>
          <w:sz w:val="28"/>
          <w:szCs w:val="32"/>
          <w:rtl/>
        </w:rPr>
        <w:t>336- محل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ويرد الامتياز لا على المال كله كما في ترميم المنقول</w:t>
      </w:r>
      <w:r>
        <w:rPr>
          <w:rFonts w:cs="Traditional Arabic" w:hint="cs"/>
          <w:color w:val="000000"/>
          <w:sz w:val="28"/>
          <w:szCs w:val="32"/>
          <w:rtl/>
        </w:rPr>
        <w:t xml:space="preserve"> ،</w:t>
      </w:r>
      <w:r w:rsidRPr="007C3EC7">
        <w:rPr>
          <w:rFonts w:cs="Traditional Arabic" w:hint="cs"/>
          <w:color w:val="000000"/>
          <w:sz w:val="28"/>
          <w:szCs w:val="32"/>
          <w:rtl/>
        </w:rPr>
        <w:t xml:space="preserve"> بل على ما زاد في قيمة العقار بسبب الأعمال وبقي قائماً إلى وقت البيع</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0"/>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w:t>
      </w:r>
      <w:r w:rsidRPr="007C3EC7">
        <w:rPr>
          <w:rFonts w:cs="Traditional Arabic" w:hint="cs"/>
          <w:color w:val="000000"/>
          <w:sz w:val="28"/>
          <w:szCs w:val="32"/>
          <w:rtl/>
        </w:rPr>
        <w:t>1004 ويقدر القاضي مقدار الزيادة التي يباشر عليها الامتياز وقت اليعن وله أن يستعين في ذلك بخبراء</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ويقتصر الامتياز على جزء من ثمن العقار يقابل ما هو باق وقت بيعه من قيمة الزيادة التي حصلت بسبب الأعمال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ومتى عين قدر الزيادة على هذا الوجه</w:t>
      </w:r>
      <w:r>
        <w:rPr>
          <w:rFonts w:cs="Traditional Arabic" w:hint="cs"/>
          <w:color w:val="000000"/>
          <w:sz w:val="28"/>
          <w:szCs w:val="32"/>
          <w:rtl/>
        </w:rPr>
        <w:t xml:space="preserve"> ،</w:t>
      </w:r>
      <w:r w:rsidRPr="007C3EC7">
        <w:rPr>
          <w:rFonts w:cs="Traditional Arabic" w:hint="cs"/>
          <w:color w:val="000000"/>
          <w:sz w:val="28"/>
          <w:szCs w:val="32"/>
          <w:rtl/>
        </w:rPr>
        <w:t xml:space="preserve"> فهذه الزيادة تضمن كل جزء من استحقاق المهندس أو المقاول</w:t>
      </w:r>
      <w:r>
        <w:rPr>
          <w:rFonts w:cs="Traditional Arabic" w:hint="cs"/>
          <w:color w:val="000000"/>
          <w:sz w:val="28"/>
          <w:szCs w:val="32"/>
          <w:rtl/>
        </w:rPr>
        <w:t xml:space="preserve"> ،</w:t>
      </w:r>
      <w:r w:rsidRPr="007C3EC7">
        <w:rPr>
          <w:rFonts w:cs="Traditional Arabic" w:hint="cs"/>
          <w:color w:val="000000"/>
          <w:sz w:val="28"/>
          <w:szCs w:val="32"/>
          <w:rtl/>
        </w:rPr>
        <w:t xml:space="preserve"> وكذلك كل استحقاق المهندس أو المقاول مضمون بكل جزء من هذه الزيادة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737- شهر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وقيد هذا الامتياز ويكون القيد بموجب قائمة كقائمة الرهن أو الاختصاص</w:t>
      </w:r>
      <w:r>
        <w:rPr>
          <w:rFonts w:cs="Traditional Arabic" w:hint="cs"/>
          <w:color w:val="000000"/>
          <w:sz w:val="28"/>
          <w:szCs w:val="32"/>
          <w:rtl/>
        </w:rPr>
        <w:t xml:space="preserve"> ،</w:t>
      </w:r>
      <w:r w:rsidRPr="007C3EC7">
        <w:rPr>
          <w:rFonts w:cs="Traditional Arabic" w:hint="cs"/>
          <w:color w:val="000000"/>
          <w:sz w:val="28"/>
          <w:szCs w:val="32"/>
          <w:rtl/>
        </w:rPr>
        <w:t xml:space="preserve"> يبين فيها مقدار الدين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ويرفق بها ما يؤديه من مستندات كعقد محاسبة أو إقرار من المدين أو حكم قضائي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ويجب أن تكون هذه المستندات مصدقا فيها على توقيع المدين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lastRenderedPageBreak/>
        <w:t>738- مرتبة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وإذا أجرى القيد</w:t>
      </w:r>
      <w:r>
        <w:rPr>
          <w:rFonts w:cs="Traditional Arabic" w:hint="cs"/>
          <w:color w:val="000000"/>
          <w:sz w:val="28"/>
          <w:szCs w:val="32"/>
          <w:rtl/>
        </w:rPr>
        <w:t xml:space="preserve"> ،</w:t>
      </w:r>
      <w:r w:rsidRPr="007C3EC7">
        <w:rPr>
          <w:rFonts w:cs="Traditional Arabic" w:hint="cs"/>
          <w:color w:val="000000"/>
          <w:sz w:val="28"/>
          <w:szCs w:val="32"/>
          <w:rtl/>
        </w:rPr>
        <w:t xml:space="preserve"> كانت مرتبة الامتياز من وقت إجرائه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تزاحم الامتياز مع أي حق عيني آخر على العقار</w:t>
      </w:r>
      <w:r>
        <w:rPr>
          <w:rFonts w:cs="Traditional Arabic" w:hint="cs"/>
          <w:color w:val="000000"/>
          <w:sz w:val="28"/>
          <w:szCs w:val="32"/>
          <w:rtl/>
        </w:rPr>
        <w:t xml:space="preserve"> ،</w:t>
      </w:r>
      <w:r w:rsidRPr="007C3EC7">
        <w:rPr>
          <w:rFonts w:cs="Traditional Arabic" w:hint="cs"/>
          <w:color w:val="000000"/>
          <w:sz w:val="28"/>
          <w:szCs w:val="32"/>
          <w:rtl/>
        </w:rPr>
        <w:t xml:space="preserve"> قدم الأسبق منهما في تاريخ شهره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وإذا نشأ الامتياز بسبب أعمال أجريت في عقار مرهون</w:t>
      </w:r>
      <w:r>
        <w:rPr>
          <w:rFonts w:cs="Traditional Arabic" w:hint="cs"/>
          <w:color w:val="000000"/>
          <w:sz w:val="28"/>
          <w:szCs w:val="32"/>
          <w:rtl/>
        </w:rPr>
        <w:t xml:space="preserve"> ،</w:t>
      </w:r>
      <w:r w:rsidRPr="007C3EC7">
        <w:rPr>
          <w:rFonts w:cs="Traditional Arabic" w:hint="cs"/>
          <w:color w:val="000000"/>
          <w:sz w:val="28"/>
          <w:szCs w:val="32"/>
          <w:rtl/>
        </w:rPr>
        <w:t xml:space="preserve"> فإن المادة 1036 مدني تقضي بأن امتداد الرهن إلى ما يلحق العقار المرهون من تحسينات وإنشاءات تعود بمنفعة على المالك مقيد بعدم الإخلال بامتياز المبالغ المستحقة للمهندسين والمقاولين</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وعلى ذلك تكون الأولوية للامتياز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ولو أن الرهن أسبق في تاريخ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1"/>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center"/>
        <w:rPr>
          <w:rFonts w:cs="Traditional Arabic" w:hint="cs"/>
          <w:color w:val="000000"/>
          <w:sz w:val="28"/>
          <w:szCs w:val="32"/>
          <w:rtl/>
        </w:rPr>
      </w:pPr>
      <w:r w:rsidRPr="007C3EC7">
        <w:rPr>
          <w:rFonts w:cs="Traditional Arabic" w:hint="cs"/>
          <w:color w:val="000000"/>
          <w:sz w:val="28"/>
          <w:szCs w:val="32"/>
          <w:rtl/>
        </w:rPr>
        <w:t xml:space="preserve">$1005 </w:t>
      </w:r>
      <w:r w:rsidRPr="007C3EC7">
        <w:rPr>
          <w:color w:val="000000"/>
          <w:sz w:val="28"/>
          <w:szCs w:val="32"/>
          <w:rtl/>
        </w:rPr>
        <w:t>§</w:t>
      </w:r>
      <w:r w:rsidRPr="007C3EC7">
        <w:rPr>
          <w:rFonts w:cs="Traditional Arabic" w:hint="cs"/>
          <w:color w:val="000000"/>
          <w:sz w:val="28"/>
          <w:szCs w:val="32"/>
          <w:rtl/>
        </w:rPr>
        <w:t xml:space="preserve"> </w:t>
      </w:r>
      <w:r w:rsidRPr="007C3EC7">
        <w:rPr>
          <w:rFonts w:cs="Traditional Arabic" w:hint="cs"/>
          <w:b/>
          <w:bCs/>
          <w:color w:val="000000"/>
          <w:sz w:val="28"/>
          <w:szCs w:val="32"/>
          <w:rtl/>
        </w:rPr>
        <w:t>3- امتياز المتقاسم في العقار</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739- نص قانوني</w:t>
      </w:r>
      <w:r>
        <w:rPr>
          <w:rFonts w:cs="Traditional Arabic" w:hint="cs"/>
          <w:b/>
          <w:bCs/>
          <w:color w:val="000000"/>
          <w:sz w:val="28"/>
          <w:szCs w:val="32"/>
          <w:rtl/>
        </w:rPr>
        <w:t xml:space="preserve"> :</w:t>
      </w:r>
      <w:r w:rsidRPr="007C3EC7">
        <w:rPr>
          <w:rFonts w:cs="Traditional Arabic" w:hint="cs"/>
          <w:color w:val="000000"/>
          <w:sz w:val="28"/>
          <w:szCs w:val="32"/>
          <w:rtl/>
        </w:rPr>
        <w:t xml:space="preserve"> تنص المادة 1149 مدني على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"للشركاء الذين اقتسموا عقاراً حق امتياز عليه</w:t>
      </w:r>
      <w:r>
        <w:rPr>
          <w:rFonts w:cs="Traditional Arabic" w:hint="cs"/>
          <w:color w:val="000000"/>
          <w:sz w:val="28"/>
          <w:szCs w:val="32"/>
          <w:rtl/>
        </w:rPr>
        <w:t xml:space="preserve"> ،</w:t>
      </w:r>
      <w:r w:rsidRPr="007C3EC7">
        <w:rPr>
          <w:rFonts w:cs="Traditional Arabic" w:hint="cs"/>
          <w:color w:val="000000"/>
          <w:sz w:val="28"/>
          <w:szCs w:val="32"/>
          <w:rtl/>
        </w:rPr>
        <w:t xml:space="preserve"> تأميناً لما تخوله القسمة من حق في رجوع كل منهم على الآخرين</w:t>
      </w:r>
      <w:r>
        <w:rPr>
          <w:rFonts w:cs="Traditional Arabic" w:hint="cs"/>
          <w:color w:val="000000"/>
          <w:sz w:val="28"/>
          <w:szCs w:val="32"/>
          <w:rtl/>
        </w:rPr>
        <w:t xml:space="preserve"> ،</w:t>
      </w:r>
      <w:r w:rsidRPr="007C3EC7">
        <w:rPr>
          <w:rFonts w:cs="Traditional Arabic" w:hint="cs"/>
          <w:color w:val="000000"/>
          <w:sz w:val="28"/>
          <w:szCs w:val="32"/>
          <w:rtl/>
        </w:rPr>
        <w:t xml:space="preserve"> بما في ذلك المطالبة بمعدل القسمة</w:t>
      </w:r>
      <w:r>
        <w:rPr>
          <w:rFonts w:cs="Traditional Arabic" w:hint="cs"/>
          <w:color w:val="000000"/>
          <w:sz w:val="28"/>
          <w:szCs w:val="32"/>
          <w:rtl/>
        </w:rPr>
        <w:t xml:space="preserve"> .</w:t>
      </w:r>
      <w:r w:rsidRPr="007C3EC7">
        <w:rPr>
          <w:rFonts w:cs="Traditional Arabic" w:hint="cs"/>
          <w:color w:val="000000"/>
          <w:sz w:val="28"/>
          <w:szCs w:val="32"/>
          <w:rtl/>
        </w:rPr>
        <w:t xml:space="preserve"> ويجب أن يشهر هذا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وتكون مرتبته من وقت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2"/>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lastRenderedPageBreak/>
        <w:t>وقد جاء في مذكرة المشروع التمهيدي</w:t>
      </w:r>
      <w:r>
        <w:rPr>
          <w:rFonts w:cs="Traditional Arabic" w:hint="cs"/>
          <w:color w:val="000000"/>
          <w:sz w:val="28"/>
          <w:szCs w:val="32"/>
          <w:rtl/>
        </w:rPr>
        <w:t xml:space="preserve"> ،</w:t>
      </w:r>
      <w:r w:rsidRPr="007C3EC7">
        <w:rPr>
          <w:rFonts w:cs="Traditional Arabic" w:hint="cs"/>
          <w:color w:val="000000"/>
          <w:sz w:val="28"/>
          <w:szCs w:val="32"/>
          <w:rtl/>
        </w:rPr>
        <w:t xml:space="preserve"> في خصوص هذا النص</w:t>
      </w:r>
      <w:r>
        <w:rPr>
          <w:rFonts w:cs="Traditional Arabic" w:hint="cs"/>
          <w:color w:val="000000"/>
          <w:sz w:val="28"/>
          <w:szCs w:val="32"/>
          <w:rtl/>
        </w:rPr>
        <w:t xml:space="preserve"> ،</w:t>
      </w:r>
      <w:r w:rsidRPr="007C3EC7">
        <w:rPr>
          <w:rFonts w:cs="Traditional Arabic" w:hint="cs"/>
          <w:color w:val="000000"/>
          <w:sz w:val="28"/>
          <w:szCs w:val="32"/>
          <w:rtl/>
        </w:rPr>
        <w:t xml:space="preserve"> ما يأتي</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"الحق الممتاز</w:t>
      </w:r>
      <w:r>
        <w:rPr>
          <w:rFonts w:cs="Traditional Arabic" w:hint="cs"/>
          <w:color w:val="000000"/>
          <w:sz w:val="28"/>
          <w:szCs w:val="32"/>
          <w:rtl/>
        </w:rPr>
        <w:t xml:space="preserve"> :</w:t>
      </w:r>
      <w:r w:rsidRPr="007C3EC7">
        <w:rPr>
          <w:rFonts w:cs="Traditional Arabic" w:hint="cs"/>
          <w:color w:val="000000"/>
          <w:sz w:val="28"/>
          <w:szCs w:val="32"/>
          <w:rtl/>
        </w:rPr>
        <w:t xml:space="preserve"> سبق بيانه في امتياز المتقاسم في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محل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الحصة المفرزة التي وقعت في نصيب كل متقاسم</w:t>
      </w:r>
      <w:r>
        <w:rPr>
          <w:rFonts w:cs="Traditional Arabic" w:hint="cs"/>
          <w:color w:val="000000"/>
          <w:sz w:val="28"/>
          <w:szCs w:val="32"/>
          <w:rtl/>
        </w:rPr>
        <w:t xml:space="preserve"> ،</w:t>
      </w:r>
      <w:r w:rsidRPr="007C3EC7">
        <w:rPr>
          <w:rFonts w:cs="Traditional Arabic" w:hint="cs"/>
          <w:color w:val="000000"/>
          <w:sz w:val="28"/>
          <w:szCs w:val="32"/>
          <w:rtl/>
        </w:rPr>
        <w:t xml:space="preserve"> كما في المنقول</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$1006 مرتبة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يجب قيد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وتتحدد المرتبة من وقت القيد"</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3"/>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740- الحق الممتاز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يضمن الامتياز حقوق كل من المتقاسمين في الرجوع على الآخرين بسبب القسمة</w:t>
      </w:r>
      <w:r>
        <w:rPr>
          <w:rFonts w:cs="Traditional Arabic" w:hint="cs"/>
          <w:color w:val="000000"/>
          <w:sz w:val="28"/>
          <w:szCs w:val="32"/>
          <w:rtl/>
        </w:rPr>
        <w:t xml:space="preserve"> ،</w:t>
      </w:r>
      <w:r w:rsidRPr="007C3EC7">
        <w:rPr>
          <w:rFonts w:cs="Traditional Arabic" w:hint="cs"/>
          <w:color w:val="000000"/>
          <w:sz w:val="28"/>
          <w:szCs w:val="32"/>
          <w:rtl/>
        </w:rPr>
        <w:t xml:space="preserve"> ويستوي في ذلك أن تكون القسمة كلية أو جزئية</w:t>
      </w:r>
      <w:r>
        <w:rPr>
          <w:rFonts w:cs="Traditional Arabic" w:hint="cs"/>
          <w:color w:val="000000"/>
          <w:sz w:val="28"/>
          <w:szCs w:val="32"/>
          <w:rtl/>
        </w:rPr>
        <w:t xml:space="preserve"> ،</w:t>
      </w:r>
      <w:r w:rsidRPr="007C3EC7">
        <w:rPr>
          <w:rFonts w:cs="Traditional Arabic" w:hint="cs"/>
          <w:color w:val="000000"/>
          <w:sz w:val="28"/>
          <w:szCs w:val="32"/>
          <w:rtl/>
        </w:rPr>
        <w:t xml:space="preserve"> ودية أو قضائية</w:t>
      </w:r>
      <w:r>
        <w:rPr>
          <w:rFonts w:cs="Traditional Arabic" w:hint="cs"/>
          <w:color w:val="000000"/>
          <w:sz w:val="28"/>
          <w:szCs w:val="32"/>
          <w:rtl/>
        </w:rPr>
        <w:t xml:space="preserve"> ،</w:t>
      </w:r>
      <w:r w:rsidRPr="007C3EC7">
        <w:rPr>
          <w:rFonts w:cs="Traditional Arabic" w:hint="cs"/>
          <w:color w:val="000000"/>
          <w:sz w:val="28"/>
          <w:szCs w:val="32"/>
          <w:rtl/>
        </w:rPr>
        <w:t xml:space="preserve"> عيناً أو بطريق التصفية</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ويشمل ذلك</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 معدل القسمة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4"/>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2- ثمن التصفية</w:t>
      </w:r>
      <w:r>
        <w:rPr>
          <w:rFonts w:cs="Traditional Arabic" w:hint="cs"/>
          <w:color w:val="000000"/>
          <w:sz w:val="28"/>
          <w:szCs w:val="32"/>
          <w:rtl/>
        </w:rPr>
        <w:t xml:space="preserve"> ،</w:t>
      </w:r>
      <w:r w:rsidRPr="007C3EC7">
        <w:rPr>
          <w:rFonts w:cs="Traditional Arabic" w:hint="cs"/>
          <w:color w:val="000000"/>
          <w:sz w:val="28"/>
          <w:szCs w:val="32"/>
          <w:rtl/>
        </w:rPr>
        <w:t xml:space="preserve"> أي الثمن الذي يرسو به المزاد على أحد المتقاسمين لعدم إمكان القسمة عيناً</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5"/>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3- التعويض الذي يستحقه أحد المتقاسمين لدى المتقاسمين الآخرين بموجب ضمان الاستحقاق</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6"/>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r>
        <w:rPr>
          <w:rFonts w:cs="Traditional Arabic" w:hint="cs"/>
          <w:color w:val="000000"/>
          <w:sz w:val="28"/>
          <w:szCs w:val="32"/>
          <w:rtl/>
        </w:rPr>
        <w:lastRenderedPageBreak/>
        <w:t>.</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4- الفوائد عن أي مبلغ من المبالغ المتقدمة</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7"/>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b/>
          <w:bCs/>
          <w:color w:val="000000"/>
          <w:sz w:val="28"/>
          <w:szCs w:val="32"/>
          <w:rtl/>
        </w:rPr>
      </w:pPr>
      <w:r w:rsidRPr="007C3EC7">
        <w:rPr>
          <w:rFonts w:cs="Traditional Arabic" w:hint="cs"/>
          <w:b/>
          <w:bCs/>
          <w:color w:val="000000"/>
          <w:sz w:val="28"/>
          <w:szCs w:val="32"/>
          <w:rtl/>
        </w:rPr>
        <w:t>741- محل الامتياز</w:t>
      </w:r>
      <w:r>
        <w:rPr>
          <w:rFonts w:cs="Traditional Arabic" w:hint="cs"/>
          <w:b/>
          <w:bCs/>
          <w:color w:val="000000"/>
          <w:sz w:val="28"/>
          <w:szCs w:val="32"/>
          <w:rtl/>
        </w:rPr>
        <w:t xml:space="preserve"> :</w:t>
      </w:r>
      <w:r w:rsidRPr="007C3EC7">
        <w:rPr>
          <w:rFonts w:cs="Traditional Arabic" w:hint="cs"/>
          <w:b/>
          <w:bCs/>
          <w:color w:val="000000"/>
          <w:sz w:val="28"/>
          <w:szCs w:val="32"/>
          <w:rtl/>
        </w:rPr>
        <w:t xml:space="preserve"> </w:t>
      </w:r>
      <w:r w:rsidRPr="007C3EC7">
        <w:rPr>
          <w:rFonts w:cs="Traditional Arabic" w:hint="cs"/>
          <w:color w:val="000000"/>
          <w:sz w:val="28"/>
          <w:szCs w:val="32"/>
          <w:rtl/>
        </w:rPr>
        <w:t>فيما يتعلق بمعدل القسمة</w:t>
      </w:r>
      <w:r>
        <w:rPr>
          <w:rFonts w:cs="Traditional Arabic" w:hint="cs"/>
          <w:color w:val="000000"/>
          <w:sz w:val="28"/>
          <w:szCs w:val="32"/>
          <w:rtl/>
        </w:rPr>
        <w:t xml:space="preserve"> ،</w:t>
      </w:r>
      <w:r w:rsidRPr="007C3EC7">
        <w:rPr>
          <w:rFonts w:cs="Traditional Arabic" w:hint="cs"/>
          <w:color w:val="000000"/>
          <w:sz w:val="28"/>
          <w:szCs w:val="32"/>
          <w:rtl/>
        </w:rPr>
        <w:t xml:space="preserve"> على العقار الذي دفع في نسب المتقاسم الملزم بدفع المعدل</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8"/>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وفيما يتعلق بثمن التصفية</w:t>
      </w:r>
      <w:r>
        <w:rPr>
          <w:rFonts w:cs="Traditional Arabic" w:hint="cs"/>
          <w:color w:val="000000"/>
          <w:sz w:val="28"/>
          <w:szCs w:val="32"/>
          <w:rtl/>
        </w:rPr>
        <w:t xml:space="preserve"> ،</w:t>
      </w:r>
      <w:r w:rsidRPr="007C3EC7">
        <w:rPr>
          <w:rFonts w:cs="Traditional Arabic" w:hint="cs"/>
          <w:color w:val="000000"/>
          <w:sz w:val="28"/>
          <w:szCs w:val="32"/>
          <w:rtl/>
        </w:rPr>
        <w:t xml:space="preserve"> على العقار الذي بيع بالمزاد إلى أحد المتقاسمين</w:t>
      </w:r>
      <w:r>
        <w:rPr>
          <w:rFonts w:cs="Traditional Arabic" w:hint="cs"/>
          <w:color w:val="000000"/>
          <w:sz w:val="28"/>
          <w:szCs w:val="32"/>
          <w:vertAlign w:val="superscript"/>
          <w:rtl/>
        </w:rPr>
        <w:t xml:space="preserve">( </w:t>
      </w:r>
      <w:r w:rsidRPr="007C3EC7">
        <w:rPr>
          <w:rStyle w:val="ab"/>
          <w:rFonts w:cs="Traditional Arabic"/>
          <w:color w:val="000000"/>
          <w:sz w:val="28"/>
          <w:szCs w:val="32"/>
          <w:rtl/>
        </w:rPr>
        <w:footnoteReference w:id="1919"/>
      </w:r>
      <w:r>
        <w:rPr>
          <w:rFonts w:cs="Traditional Arabic" w:hint="cs"/>
          <w:color w:val="000000"/>
          <w:sz w:val="28"/>
          <w:szCs w:val="32"/>
          <w:vertAlign w:val="superscript"/>
          <w:rtl/>
        </w:rPr>
        <w:t xml:space="preserve"> )</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$1007 ويما يتعلق بضمان الاستحقاق</w:t>
      </w:r>
      <w:r>
        <w:rPr>
          <w:rFonts w:cs="Traditional Arabic" w:hint="cs"/>
          <w:color w:val="000000"/>
          <w:sz w:val="28"/>
          <w:szCs w:val="32"/>
          <w:rtl/>
        </w:rPr>
        <w:t xml:space="preserve"> ،</w:t>
      </w:r>
      <w:r w:rsidRPr="007C3EC7">
        <w:rPr>
          <w:rFonts w:cs="Traditional Arabic" w:hint="cs"/>
          <w:color w:val="000000"/>
          <w:sz w:val="28"/>
          <w:szCs w:val="32"/>
          <w:rtl/>
        </w:rPr>
        <w:t xml:space="preserve"> على جميع العقارات التي حصلت قسمتها بمقدار حصة المتقاسم الأصلية في الشيوع</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742- شهر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يجب قيد هذا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ولو كان عقد القسمة مسجلا</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color w:val="000000"/>
          <w:sz w:val="28"/>
          <w:szCs w:val="32"/>
          <w:rtl/>
        </w:rPr>
        <w:t>ويكون القيد بموجب قائمة فيبين فيها مقدار معدل القسمة أو ثمن مقدار معدل القسمة ا وثمن التصفية</w:t>
      </w:r>
      <w:r>
        <w:rPr>
          <w:rFonts w:cs="Traditional Arabic" w:hint="cs"/>
          <w:color w:val="000000"/>
          <w:sz w:val="28"/>
          <w:szCs w:val="32"/>
          <w:rtl/>
        </w:rPr>
        <w:t xml:space="preserve"> ،</w:t>
      </w:r>
      <w:r w:rsidRPr="007C3EC7">
        <w:rPr>
          <w:rFonts w:cs="Traditional Arabic" w:hint="cs"/>
          <w:color w:val="000000"/>
          <w:sz w:val="28"/>
          <w:szCs w:val="32"/>
          <w:rtl/>
        </w:rPr>
        <w:t xml:space="preserve"> ويرفق بها عقد القسمة أو محضر مرسى المزاد</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r w:rsidRPr="007C3EC7">
        <w:rPr>
          <w:rFonts w:cs="Traditional Arabic" w:hint="cs"/>
          <w:b/>
          <w:bCs/>
          <w:color w:val="000000"/>
          <w:sz w:val="28"/>
          <w:szCs w:val="32"/>
          <w:rtl/>
        </w:rPr>
        <w:t>743- مرتبة الامتياز</w:t>
      </w:r>
      <w:r>
        <w:rPr>
          <w:rFonts w:cs="Traditional Arabic" w:hint="cs"/>
          <w:b/>
          <w:bCs/>
          <w:color w:val="000000"/>
          <w:sz w:val="28"/>
          <w:szCs w:val="32"/>
          <w:rtl/>
        </w:rPr>
        <w:t xml:space="preserve"> :</w:t>
      </w:r>
      <w:r w:rsidRPr="007C3EC7">
        <w:rPr>
          <w:rFonts w:cs="Traditional Arabic" w:hint="cs"/>
          <w:color w:val="000000"/>
          <w:sz w:val="28"/>
          <w:szCs w:val="32"/>
          <w:rtl/>
        </w:rPr>
        <w:t xml:space="preserve"> ومتى قيد الامتياز</w:t>
      </w:r>
      <w:r>
        <w:rPr>
          <w:rFonts w:cs="Traditional Arabic" w:hint="cs"/>
          <w:color w:val="000000"/>
          <w:sz w:val="28"/>
          <w:szCs w:val="32"/>
          <w:rtl/>
        </w:rPr>
        <w:t xml:space="preserve"> ،</w:t>
      </w:r>
      <w:r w:rsidRPr="007C3EC7">
        <w:rPr>
          <w:rFonts w:cs="Traditional Arabic" w:hint="cs"/>
          <w:color w:val="000000"/>
          <w:sz w:val="28"/>
          <w:szCs w:val="32"/>
          <w:rtl/>
        </w:rPr>
        <w:t xml:space="preserve"> كانت مرتبته بحسب تاريخ قيده</w:t>
      </w:r>
      <w:r>
        <w:rPr>
          <w:rFonts w:cs="Traditional Arabic" w:hint="cs"/>
          <w:color w:val="000000"/>
          <w:sz w:val="28"/>
          <w:szCs w:val="32"/>
          <w:rtl/>
        </w:rPr>
        <w:t xml:space="preserve"> .</w:t>
      </w:r>
    </w:p>
    <w:p w:rsidR="00F72742" w:rsidRPr="007C3EC7" w:rsidRDefault="00F72742" w:rsidP="00F72742">
      <w:pPr>
        <w:widowControl w:val="0"/>
        <w:spacing w:after="120"/>
        <w:ind w:firstLine="567"/>
        <w:jc w:val="lowKashida"/>
        <w:rPr>
          <w:rFonts w:cs="Traditional Arabic" w:hint="cs"/>
          <w:color w:val="000000"/>
          <w:sz w:val="28"/>
          <w:szCs w:val="32"/>
          <w:rtl/>
        </w:rPr>
      </w:pPr>
    </w:p>
    <w:p w:rsidR="00F72742" w:rsidRPr="007C3EC7" w:rsidRDefault="00F72742" w:rsidP="00F72742">
      <w:pPr>
        <w:widowControl w:val="0"/>
        <w:spacing w:after="120"/>
        <w:ind w:firstLine="567"/>
        <w:jc w:val="center"/>
        <w:rPr>
          <w:rFonts w:hint="cs"/>
          <w:rtl/>
        </w:rPr>
      </w:pPr>
      <w:r w:rsidRPr="007C3EC7">
        <w:rPr>
          <w:rFonts w:hint="cs"/>
          <w:rtl/>
        </w:rPr>
        <w:t>تم بعون الله تعـــال</w:t>
      </w:r>
    </w:p>
    <w:p w:rsidR="00F72742" w:rsidRPr="007C3EC7" w:rsidRDefault="00F72742" w:rsidP="00F72742">
      <w:pPr>
        <w:widowControl w:val="0"/>
        <w:spacing w:after="120"/>
        <w:jc w:val="center"/>
        <w:rPr>
          <w:rFonts w:cs="Traditional Arabic" w:hint="cs"/>
          <w:b/>
          <w:bCs/>
          <w:color w:val="000000"/>
          <w:sz w:val="72"/>
          <w:szCs w:val="72"/>
          <w:rtl/>
        </w:rPr>
      </w:pPr>
      <w:r>
        <w:rPr>
          <w:color w:val="000000"/>
          <w:rtl/>
        </w:rPr>
        <w:br w:type="page"/>
      </w:r>
      <w:r w:rsidRPr="007C3EC7">
        <w:rPr>
          <w:rFonts w:cs="Traditional Arabic" w:hint="cs"/>
          <w:b/>
          <w:bCs/>
          <w:color w:val="000000"/>
          <w:sz w:val="72"/>
          <w:szCs w:val="72"/>
          <w:rtl/>
        </w:rPr>
        <w:lastRenderedPageBreak/>
        <w:t>فهرس</w:t>
      </w:r>
    </w:p>
    <w:p w:rsidR="00F72742" w:rsidRPr="007C3EC7" w:rsidRDefault="00F72742" w:rsidP="00F72742">
      <w:pPr>
        <w:widowControl w:val="0"/>
        <w:tabs>
          <w:tab w:val="left" w:pos="404"/>
          <w:tab w:val="left" w:pos="764"/>
          <w:tab w:val="left" w:pos="944"/>
          <w:tab w:val="left" w:leader="dot" w:pos="7604"/>
          <w:tab w:val="left" w:pos="7964"/>
        </w:tabs>
        <w:spacing w:after="120"/>
        <w:jc w:val="right"/>
        <w:rPr>
          <w:rFonts w:cs="Traditional Arabic" w:hint="cs"/>
          <w:color w:val="000000"/>
          <w:sz w:val="28"/>
          <w:szCs w:val="32"/>
          <w:rtl/>
        </w:rPr>
      </w:pPr>
      <w:r w:rsidRPr="007C3EC7">
        <w:rPr>
          <w:rFonts w:cs="Traditional Arabic" w:hint="cs"/>
          <w:color w:val="000000"/>
          <w:sz w:val="28"/>
          <w:szCs w:val="32"/>
          <w:rtl/>
        </w:rPr>
        <w:t>صفحة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بيــان</w:t>
      </w: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التأمينات الشخصية والتأمينات العينية</w:t>
      </w:r>
      <w:r w:rsidRPr="007C3EC7">
        <w:rPr>
          <w:rFonts w:cs="Traditional Arabic" w:hint="cs"/>
          <w:color w:val="000000"/>
          <w:sz w:val="28"/>
          <w:szCs w:val="32"/>
          <w:rtl/>
        </w:rPr>
        <w:tab/>
      </w:r>
      <w:r w:rsidRPr="007C3EC7">
        <w:rPr>
          <w:rFonts w:cs="Traditional Arabic" w:hint="cs"/>
          <w:color w:val="000000"/>
          <w:sz w:val="28"/>
          <w:szCs w:val="32"/>
          <w:rtl/>
        </w:rPr>
        <w:tab/>
        <w:t>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كلمة تمهيدية</w:t>
      </w:r>
      <w:r w:rsidRPr="007C3EC7">
        <w:rPr>
          <w:rFonts w:cs="Traditional Arabic" w:hint="cs"/>
          <w:color w:val="000000"/>
          <w:sz w:val="28"/>
          <w:szCs w:val="32"/>
          <w:rtl/>
        </w:rPr>
        <w:tab/>
      </w:r>
      <w:r w:rsidRPr="007C3EC7">
        <w:rPr>
          <w:rFonts w:cs="Traditional Arabic" w:hint="cs"/>
          <w:color w:val="000000"/>
          <w:sz w:val="28"/>
          <w:szCs w:val="32"/>
          <w:rtl/>
        </w:rPr>
        <w:tab/>
        <w:t>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الدائن العادي له ضمان عام على جميع أموال المدين</w:t>
      </w:r>
      <w:r w:rsidRPr="007C3EC7">
        <w:rPr>
          <w:rFonts w:cs="Traditional Arabic" w:hint="cs"/>
          <w:color w:val="000000"/>
          <w:sz w:val="28"/>
          <w:szCs w:val="32"/>
          <w:rtl/>
        </w:rPr>
        <w:tab/>
      </w:r>
      <w:r w:rsidRPr="007C3EC7">
        <w:rPr>
          <w:rFonts w:cs="Traditional Arabic" w:hint="cs"/>
          <w:color w:val="000000"/>
          <w:sz w:val="28"/>
          <w:szCs w:val="32"/>
          <w:rtl/>
        </w:rPr>
        <w:tab/>
        <w:t>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الضمان العام للدائن لا يكفي</w:t>
      </w:r>
      <w:r w:rsidRPr="007C3EC7">
        <w:rPr>
          <w:rFonts w:cs="Traditional Arabic" w:hint="cs"/>
          <w:color w:val="000000"/>
          <w:sz w:val="28"/>
          <w:szCs w:val="32"/>
          <w:rtl/>
        </w:rPr>
        <w:tab/>
      </w:r>
      <w:r w:rsidRPr="007C3EC7">
        <w:rPr>
          <w:rFonts w:cs="Traditional Arabic" w:hint="cs"/>
          <w:color w:val="000000"/>
          <w:sz w:val="28"/>
          <w:szCs w:val="32"/>
          <w:rtl/>
        </w:rPr>
        <w:tab/>
        <w:t>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التأمينات الخاصة - ـأمينات شخصية وتأمينات عينية</w:t>
      </w:r>
      <w:r w:rsidRPr="007C3EC7">
        <w:rPr>
          <w:rFonts w:cs="Traditional Arabic" w:hint="cs"/>
          <w:color w:val="000000"/>
          <w:sz w:val="28"/>
          <w:szCs w:val="32"/>
          <w:rtl/>
        </w:rPr>
        <w:tab/>
      </w:r>
      <w:r w:rsidRPr="007C3EC7">
        <w:rPr>
          <w:rFonts w:cs="Traditional Arabic" w:hint="cs"/>
          <w:color w:val="000000"/>
          <w:sz w:val="28"/>
          <w:szCs w:val="32"/>
          <w:rtl/>
        </w:rPr>
        <w:tab/>
        <w:t>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مقومات التأمينات الخاصة</w:t>
      </w:r>
      <w:r w:rsidRPr="007C3EC7">
        <w:rPr>
          <w:rFonts w:cs="Traditional Arabic" w:hint="cs"/>
          <w:color w:val="000000"/>
          <w:sz w:val="28"/>
          <w:szCs w:val="32"/>
          <w:rtl/>
        </w:rPr>
        <w:tab/>
      </w:r>
      <w:r w:rsidRPr="007C3EC7">
        <w:rPr>
          <w:rFonts w:cs="Traditional Arabic" w:hint="cs"/>
          <w:color w:val="000000"/>
          <w:sz w:val="28"/>
          <w:szCs w:val="32"/>
          <w:rtl/>
        </w:rPr>
        <w:tab/>
        <w:t>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قسمان لهذا الجزء العاشر</w:t>
      </w:r>
      <w:r w:rsidRPr="007C3EC7">
        <w:rPr>
          <w:rFonts w:cs="Traditional Arabic" w:hint="cs"/>
          <w:color w:val="000000"/>
          <w:sz w:val="28"/>
          <w:szCs w:val="32"/>
          <w:rtl/>
        </w:rPr>
        <w:tab/>
      </w:r>
      <w:r w:rsidRPr="007C3EC7">
        <w:rPr>
          <w:rFonts w:cs="Traditional Arabic" w:hint="cs"/>
          <w:color w:val="000000"/>
          <w:sz w:val="28"/>
          <w:szCs w:val="32"/>
          <w:rtl/>
        </w:rPr>
        <w:tab/>
        <w:t>9</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القسم الأول</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التأمينات الشخصية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تمهيــــد</w:t>
      </w:r>
      <w:r w:rsidRPr="007C3EC7">
        <w:rPr>
          <w:rFonts w:cs="Traditional Arabic" w:hint="cs"/>
          <w:color w:val="000000"/>
          <w:sz w:val="28"/>
          <w:szCs w:val="32"/>
          <w:rtl/>
        </w:rPr>
        <w:tab/>
      </w:r>
      <w:r w:rsidRPr="007C3EC7">
        <w:rPr>
          <w:rFonts w:cs="Traditional Arabic" w:hint="cs"/>
          <w:color w:val="000000"/>
          <w:sz w:val="28"/>
          <w:szCs w:val="32"/>
          <w:rtl/>
        </w:rPr>
        <w:tab/>
        <w:t>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ظهور التأمينات الشخصية قبل ظهور التأمينات العينية</w:t>
      </w:r>
      <w:r w:rsidRPr="007C3EC7">
        <w:rPr>
          <w:rFonts w:cs="Traditional Arabic" w:hint="cs"/>
          <w:color w:val="000000"/>
          <w:sz w:val="28"/>
          <w:szCs w:val="32"/>
          <w:rtl/>
        </w:rPr>
        <w:tab/>
      </w:r>
      <w:r w:rsidRPr="007C3EC7">
        <w:rPr>
          <w:rFonts w:cs="Traditional Arabic" w:hint="cs"/>
          <w:color w:val="000000"/>
          <w:sz w:val="28"/>
          <w:szCs w:val="32"/>
          <w:rtl/>
        </w:rPr>
        <w:tab/>
        <w:t>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تفوق التأمينات العينية على التأمينات الشخصية</w:t>
      </w:r>
      <w:r w:rsidRPr="007C3EC7">
        <w:rPr>
          <w:rFonts w:cs="Traditional Arabic" w:hint="cs"/>
          <w:color w:val="000000"/>
          <w:sz w:val="28"/>
          <w:szCs w:val="32"/>
          <w:rtl/>
        </w:rPr>
        <w:tab/>
      </w:r>
      <w:r w:rsidRPr="007C3EC7">
        <w:rPr>
          <w:rFonts w:cs="Traditional Arabic" w:hint="cs"/>
          <w:color w:val="000000"/>
          <w:sz w:val="28"/>
          <w:szCs w:val="32"/>
          <w:rtl/>
        </w:rPr>
        <w:tab/>
        <w:t>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رجوع التأمينات الشخصية إلى الظهور في القانون التجاري</w:t>
      </w:r>
      <w:r w:rsidRPr="007C3EC7">
        <w:rPr>
          <w:rFonts w:cs="Traditional Arabic" w:hint="cs"/>
          <w:color w:val="000000"/>
          <w:sz w:val="28"/>
          <w:szCs w:val="32"/>
          <w:rtl/>
        </w:rPr>
        <w:tab/>
      </w:r>
      <w:r w:rsidRPr="007C3EC7">
        <w:rPr>
          <w:rFonts w:cs="Traditional Arabic" w:hint="cs"/>
          <w:color w:val="000000"/>
          <w:sz w:val="28"/>
          <w:szCs w:val="32"/>
          <w:rtl/>
        </w:rPr>
        <w:tab/>
        <w:t>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t>أنواع التأمينات الشخصية</w:t>
      </w:r>
      <w:r w:rsidRPr="007C3EC7">
        <w:rPr>
          <w:rFonts w:cs="Traditional Arabic" w:hint="cs"/>
          <w:color w:val="000000"/>
          <w:sz w:val="28"/>
          <w:szCs w:val="32"/>
          <w:rtl/>
        </w:rPr>
        <w:tab/>
      </w:r>
      <w:r w:rsidRPr="007C3EC7">
        <w:rPr>
          <w:rFonts w:cs="Traditional Arabic" w:hint="cs"/>
          <w:color w:val="000000"/>
          <w:sz w:val="28"/>
          <w:szCs w:val="32"/>
          <w:rtl/>
        </w:rPr>
        <w:tab/>
        <w:t>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خطة البحث في الكفالة</w:t>
      </w:r>
      <w:r w:rsidRPr="007C3EC7">
        <w:rPr>
          <w:rFonts w:cs="Traditional Arabic" w:hint="cs"/>
          <w:color w:val="000000"/>
          <w:sz w:val="28"/>
          <w:szCs w:val="32"/>
          <w:rtl/>
        </w:rPr>
        <w:tab/>
      </w:r>
      <w:r w:rsidRPr="007C3EC7">
        <w:rPr>
          <w:rFonts w:cs="Traditional Arabic" w:hint="cs"/>
          <w:color w:val="000000"/>
          <w:sz w:val="28"/>
          <w:szCs w:val="32"/>
          <w:rtl/>
        </w:rPr>
        <w:tab/>
        <w:t>17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مقدمـــة</w:t>
      </w:r>
      <w:r w:rsidRPr="007C3EC7">
        <w:rPr>
          <w:rFonts w:cs="Traditional Arabic" w:hint="cs"/>
          <w:color w:val="000000"/>
          <w:sz w:val="28"/>
          <w:szCs w:val="32"/>
          <w:rtl/>
        </w:rPr>
        <w:tab/>
      </w:r>
      <w:r w:rsidRPr="007C3EC7">
        <w:rPr>
          <w:rFonts w:cs="Traditional Arabic" w:hint="cs"/>
          <w:color w:val="000000"/>
          <w:sz w:val="28"/>
          <w:szCs w:val="32"/>
          <w:rtl/>
        </w:rPr>
        <w:tab/>
        <w:t>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التعريف بالكفالة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$1010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التطور التاريخي للكفالة</w:t>
      </w:r>
      <w:r w:rsidRPr="007C3EC7">
        <w:rPr>
          <w:rFonts w:cs="Traditional Arabic" w:hint="cs"/>
          <w:color w:val="000000"/>
          <w:sz w:val="28"/>
          <w:szCs w:val="32"/>
          <w:rtl/>
        </w:rPr>
        <w:tab/>
      </w:r>
      <w:r w:rsidRPr="007C3EC7">
        <w:rPr>
          <w:rFonts w:cs="Traditional Arabic" w:hint="cs"/>
          <w:color w:val="000000"/>
          <w:sz w:val="28"/>
          <w:szCs w:val="32"/>
          <w:rtl/>
        </w:rPr>
        <w:tab/>
        <w:t>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خصائص عقد الكفالة</w:t>
      </w:r>
      <w:r w:rsidRPr="007C3EC7">
        <w:rPr>
          <w:rFonts w:cs="Traditional Arabic" w:hint="cs"/>
          <w:color w:val="000000"/>
          <w:sz w:val="28"/>
          <w:szCs w:val="32"/>
          <w:rtl/>
        </w:rPr>
        <w:tab/>
      </w:r>
      <w:r w:rsidRPr="007C3EC7">
        <w:rPr>
          <w:rFonts w:cs="Traditional Arabic" w:hint="cs"/>
          <w:color w:val="000000"/>
          <w:sz w:val="28"/>
          <w:szCs w:val="32"/>
          <w:rtl/>
        </w:rPr>
        <w:tab/>
        <w:t>24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الالتزام بتقديم كفيل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ما استحدث التقنين الجديد في خصوص الكفالة</w:t>
      </w:r>
      <w:r w:rsidRPr="007C3EC7">
        <w:rPr>
          <w:rFonts w:cs="Traditional Arabic" w:hint="cs"/>
          <w:color w:val="000000"/>
          <w:sz w:val="28"/>
          <w:szCs w:val="32"/>
          <w:rtl/>
        </w:rPr>
        <w:tab/>
      </w:r>
      <w:r w:rsidRPr="007C3EC7">
        <w:rPr>
          <w:rFonts w:cs="Traditional Arabic" w:hint="cs"/>
          <w:color w:val="000000"/>
          <w:sz w:val="28"/>
          <w:szCs w:val="32"/>
          <w:rtl/>
        </w:rPr>
        <w:tab/>
        <w:t>36</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الأول </w:t>
      </w:r>
      <w:r w:rsidRPr="007C3EC7">
        <w:rPr>
          <w:rFonts w:cs="Traditional Arabic"/>
          <w:b/>
          <w:bCs/>
          <w:color w:val="000000"/>
          <w:sz w:val="28"/>
          <w:szCs w:val="32"/>
          <w:rtl/>
        </w:rPr>
        <w:t>–</w:t>
      </w:r>
      <w:r w:rsidRPr="007C3EC7">
        <w:rPr>
          <w:rFonts w:cs="Traditional Arabic" w:hint="cs"/>
          <w:b/>
          <w:bCs/>
          <w:color w:val="000000"/>
          <w:sz w:val="28"/>
          <w:szCs w:val="32"/>
          <w:rtl/>
        </w:rPr>
        <w:t xml:space="preserve"> أركان الكفالة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الالتزام الأصلي المكفول</w:t>
      </w:r>
      <w:r w:rsidRPr="007C3EC7">
        <w:rPr>
          <w:rFonts w:cs="Traditional Arabic" w:hint="cs"/>
          <w:color w:val="000000"/>
          <w:sz w:val="28"/>
          <w:szCs w:val="32"/>
          <w:rtl/>
        </w:rPr>
        <w:tab/>
      </w:r>
      <w:r w:rsidRPr="007C3EC7">
        <w:rPr>
          <w:rFonts w:cs="Traditional Arabic" w:hint="cs"/>
          <w:color w:val="000000"/>
          <w:sz w:val="28"/>
          <w:szCs w:val="32"/>
          <w:rtl/>
        </w:rPr>
        <w:tab/>
        <w:t>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 w:val="28"/>
          <w:szCs w:val="32"/>
          <w:rtl/>
        </w:rPr>
        <w:t xml:space="preserve"> </w:t>
      </w:r>
      <w:r w:rsidRPr="007C3EC7">
        <w:rPr>
          <w:rFonts w:cs="Traditional Arabic" w:hint="cs"/>
          <w:color w:val="000000"/>
          <w:sz w:val="28"/>
          <w:szCs w:val="32"/>
          <w:rtl/>
        </w:rPr>
        <w:t>1- الالتزام الأصلي المكفول في ذاته</w:t>
      </w:r>
      <w:r w:rsidRPr="007C3EC7">
        <w:rPr>
          <w:rFonts w:cs="Traditional Arabic" w:hint="cs"/>
          <w:color w:val="000000"/>
          <w:sz w:val="28"/>
          <w:szCs w:val="32"/>
          <w:rtl/>
        </w:rPr>
        <w:tab/>
      </w:r>
      <w:r w:rsidRPr="007C3EC7">
        <w:rPr>
          <w:rFonts w:cs="Traditional Arabic" w:hint="cs"/>
          <w:color w:val="000000"/>
          <w:sz w:val="28"/>
          <w:szCs w:val="32"/>
          <w:rtl/>
        </w:rPr>
        <w:tab/>
        <w:t>38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مصدر الالتزام المكفول ومحله</w:t>
      </w:r>
      <w:r w:rsidRPr="007C3EC7">
        <w:rPr>
          <w:rFonts w:cs="Traditional Arabic" w:hint="cs"/>
          <w:color w:val="000000"/>
          <w:sz w:val="28"/>
          <w:szCs w:val="32"/>
          <w:rtl/>
        </w:rPr>
        <w:tab/>
      </w:r>
      <w:r w:rsidRPr="007C3EC7">
        <w:rPr>
          <w:rFonts w:cs="Traditional Arabic" w:hint="cs"/>
          <w:color w:val="000000"/>
          <w:sz w:val="28"/>
          <w:szCs w:val="32"/>
          <w:rtl/>
        </w:rPr>
        <w:tab/>
        <w:t>38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كفالة الالتزام الصحيح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كفالة الالتزام الباطل</w:t>
      </w:r>
      <w:r w:rsidRPr="007C3EC7">
        <w:rPr>
          <w:rFonts w:cs="Traditional Arabic" w:hint="cs"/>
          <w:color w:val="000000"/>
          <w:sz w:val="28"/>
          <w:szCs w:val="32"/>
          <w:rtl/>
        </w:rPr>
        <w:tab/>
      </w:r>
      <w:r w:rsidRPr="007C3EC7">
        <w:rPr>
          <w:rFonts w:cs="Traditional Arabic" w:hint="cs"/>
          <w:color w:val="000000"/>
          <w:sz w:val="28"/>
          <w:szCs w:val="32"/>
          <w:rtl/>
        </w:rPr>
        <w:tab/>
        <w:t>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كفالة الالتزام القابل للإبطال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كفالة الالتزام الشرطي والالتزام المستقبل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كفالة الالتزام الطبيعي</w:t>
      </w:r>
      <w:r w:rsidRPr="007C3EC7">
        <w:rPr>
          <w:rFonts w:cs="Traditional Arabic" w:hint="cs"/>
          <w:color w:val="000000"/>
          <w:sz w:val="28"/>
          <w:szCs w:val="32"/>
          <w:rtl/>
        </w:rPr>
        <w:tab/>
      </w:r>
      <w:r w:rsidRPr="007C3EC7">
        <w:rPr>
          <w:rFonts w:cs="Traditional Arabic" w:hint="cs"/>
          <w:color w:val="000000"/>
          <w:sz w:val="28"/>
          <w:szCs w:val="32"/>
          <w:rtl/>
        </w:rPr>
        <w:tab/>
        <w:t>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 xml:space="preserve">2- الالتزام الأصلي المكفول هو الذي يحدد مدى التزام الكفيل </w:t>
      </w:r>
      <w:r w:rsidRPr="007C3EC7">
        <w:rPr>
          <w:rFonts w:cs="Traditional Arabic" w:hint="cs"/>
          <w:color w:val="000000"/>
          <w:sz w:val="28"/>
          <w:szCs w:val="32"/>
          <w:rtl/>
        </w:rPr>
        <w:tab/>
      </w:r>
      <w:r w:rsidRPr="007C3EC7">
        <w:rPr>
          <w:rFonts w:cs="Traditional Arabic" w:hint="cs"/>
          <w:color w:val="000000"/>
          <w:sz w:val="28"/>
          <w:szCs w:val="32"/>
          <w:rtl/>
        </w:rPr>
        <w:tab/>
        <w:t>58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تبعية التزام الكفيل للالتزام الأصلي المكفول</w:t>
      </w:r>
      <w:r w:rsidRPr="007C3EC7">
        <w:rPr>
          <w:rFonts w:cs="Traditional Arabic" w:hint="cs"/>
          <w:color w:val="000000"/>
          <w:sz w:val="28"/>
          <w:szCs w:val="32"/>
          <w:rtl/>
        </w:rPr>
        <w:tab/>
      </w:r>
      <w:r w:rsidRPr="007C3EC7">
        <w:rPr>
          <w:rFonts w:cs="Traditional Arabic" w:hint="cs"/>
          <w:color w:val="000000"/>
          <w:sz w:val="28"/>
          <w:szCs w:val="32"/>
          <w:rtl/>
        </w:rPr>
        <w:tab/>
        <w:t>58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التزام الكفيل لا يجوز أن يكون أشد عبئا من الالتزام المكفول ولكن يجوز أن يكون</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أهون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شمول الكفالة لملحقات الالتزام المكفول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كفالة الدين التجاري تعتبر عملا مدنيا فيما عدا استثناءات معينة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الاتفاق بين الكفيل والدائن </w:t>
      </w:r>
      <w:r>
        <w:rPr>
          <w:rFonts w:cs="Traditional Arabic" w:hint="cs"/>
          <w:color w:val="000000"/>
          <w:sz w:val="28"/>
          <w:szCs w:val="32"/>
          <w:rtl/>
        </w:rPr>
        <w:t xml:space="preserve">( </w:t>
      </w:r>
      <w:r w:rsidRPr="007C3EC7">
        <w:rPr>
          <w:rFonts w:cs="Traditional Arabic" w:hint="cs"/>
          <w:color w:val="000000"/>
          <w:sz w:val="28"/>
          <w:szCs w:val="32"/>
          <w:rtl/>
        </w:rPr>
        <w:t>عقد الكفالة</w:t>
      </w:r>
      <w:r>
        <w:rPr>
          <w:rFonts w:cs="Traditional Arabic" w:hint="cs"/>
          <w:color w:val="000000"/>
          <w:sz w:val="28"/>
          <w:szCs w:val="32"/>
          <w:rtl/>
        </w:rPr>
        <w:t xml:space="preserve"> )</w:t>
      </w:r>
      <w:r w:rsidRPr="007C3EC7">
        <w:rPr>
          <w:rFonts w:cs="Traditional Arabic" w:hint="cs"/>
          <w:color w:val="000000"/>
          <w:sz w:val="28"/>
          <w:szCs w:val="32"/>
          <w:rtl/>
        </w:rPr>
        <w:tab/>
      </w:r>
      <w:r w:rsidRPr="007C3EC7">
        <w:rPr>
          <w:rFonts w:cs="Traditional Arabic" w:hint="cs"/>
          <w:color w:val="000000"/>
          <w:sz w:val="28"/>
          <w:szCs w:val="32"/>
          <w:rtl/>
        </w:rPr>
        <w:tab/>
        <w:t>70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طرفا الكفالة والدائن دون المدين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70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التراضي بين الكفيل والدائن</w:t>
      </w:r>
      <w:r w:rsidRPr="007C3EC7">
        <w:rPr>
          <w:rFonts w:cs="Traditional Arabic" w:hint="cs"/>
          <w:color w:val="000000"/>
          <w:sz w:val="28"/>
          <w:szCs w:val="32"/>
          <w:rtl/>
        </w:rPr>
        <w:tab/>
      </w:r>
      <w:r w:rsidRPr="007C3EC7">
        <w:rPr>
          <w:rFonts w:cs="Traditional Arabic" w:hint="cs"/>
          <w:color w:val="000000"/>
          <w:sz w:val="28"/>
          <w:szCs w:val="32"/>
          <w:rtl/>
        </w:rPr>
        <w:tab/>
        <w:t>73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شكل الكفالة</w:t>
      </w:r>
      <w:r w:rsidRPr="007C3EC7">
        <w:rPr>
          <w:rFonts w:cs="Traditional Arabic" w:hint="cs"/>
          <w:color w:val="000000"/>
          <w:sz w:val="28"/>
          <w:szCs w:val="32"/>
          <w:rtl/>
        </w:rPr>
        <w:tab/>
      </w:r>
      <w:r w:rsidRPr="007C3EC7">
        <w:rPr>
          <w:rFonts w:cs="Traditional Arabic" w:hint="cs"/>
          <w:color w:val="000000"/>
          <w:sz w:val="28"/>
          <w:szCs w:val="32"/>
          <w:rtl/>
        </w:rPr>
        <w:tab/>
        <w:t>75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إثبات الكفالة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عيوب الرضاء في الكفالة</w:t>
      </w:r>
      <w:r w:rsidRPr="007C3EC7">
        <w:rPr>
          <w:rFonts w:cs="Traditional Arabic" w:hint="cs"/>
          <w:color w:val="000000"/>
          <w:sz w:val="28"/>
          <w:szCs w:val="32"/>
          <w:rtl/>
        </w:rPr>
        <w:tab/>
      </w:r>
      <w:r w:rsidRPr="007C3EC7">
        <w:rPr>
          <w:rFonts w:cs="Traditional Arabic" w:hint="cs"/>
          <w:color w:val="000000"/>
          <w:sz w:val="28"/>
          <w:szCs w:val="32"/>
          <w:rtl/>
        </w:rPr>
        <w:tab/>
        <w:t>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الكفالة المعلقة على شرط أو المقترنة بأجل</w:t>
      </w:r>
      <w:r w:rsidRPr="007C3EC7">
        <w:rPr>
          <w:rFonts w:cs="Traditional Arabic" w:hint="cs"/>
          <w:color w:val="000000"/>
          <w:sz w:val="28"/>
          <w:szCs w:val="32"/>
          <w:rtl/>
        </w:rPr>
        <w:tab/>
      </w:r>
      <w:r w:rsidRPr="007C3EC7">
        <w:rPr>
          <w:rFonts w:cs="Traditional Arabic" w:hint="cs"/>
          <w:color w:val="000000"/>
          <w:sz w:val="28"/>
          <w:szCs w:val="32"/>
          <w:rtl/>
        </w:rPr>
        <w:tab/>
        <w:t>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لا يجوز للمدين أن يسوئ مركز الكفيل بعد الكفالة</w:t>
      </w:r>
      <w:r w:rsidRPr="007C3EC7">
        <w:rPr>
          <w:rFonts w:cs="Traditional Arabic" w:hint="cs"/>
          <w:color w:val="000000"/>
          <w:sz w:val="28"/>
          <w:szCs w:val="32"/>
          <w:rtl/>
        </w:rPr>
        <w:tab/>
      </w:r>
      <w:r w:rsidRPr="007C3EC7">
        <w:rPr>
          <w:rFonts w:cs="Traditional Arabic" w:hint="cs"/>
          <w:color w:val="000000"/>
          <w:sz w:val="28"/>
          <w:szCs w:val="32"/>
          <w:rtl/>
        </w:rPr>
        <w:tab/>
        <w:t>84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مدى التزام الكفيل وتفسير الكفالة </w:t>
      </w:r>
      <w:r w:rsidRPr="007C3EC7">
        <w:rPr>
          <w:rFonts w:cs="Traditional Arabic" w:hint="cs"/>
          <w:color w:val="000000"/>
          <w:sz w:val="28"/>
          <w:szCs w:val="32"/>
          <w:rtl/>
        </w:rPr>
        <w:tab/>
      </w:r>
      <w:r w:rsidRPr="007C3EC7">
        <w:rPr>
          <w:rFonts w:cs="Traditional Arabic" w:hint="cs"/>
          <w:color w:val="000000"/>
          <w:sz w:val="28"/>
          <w:szCs w:val="32"/>
          <w:rtl/>
        </w:rPr>
        <w:tab/>
        <w:t>85</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lastRenderedPageBreak/>
        <w:t xml:space="preserve">الفصل الثاني </w:t>
      </w:r>
      <w:r w:rsidRPr="007C3EC7">
        <w:rPr>
          <w:rFonts w:cs="Traditional Arabic"/>
          <w:b/>
          <w:bCs/>
          <w:color w:val="000000"/>
          <w:sz w:val="28"/>
          <w:szCs w:val="32"/>
          <w:rtl/>
        </w:rPr>
        <w:t>–</w:t>
      </w:r>
      <w:r w:rsidRPr="007C3EC7">
        <w:rPr>
          <w:rFonts w:cs="Traditional Arabic" w:hint="cs"/>
          <w:b/>
          <w:bCs/>
          <w:color w:val="000000"/>
          <w:sz w:val="28"/>
          <w:szCs w:val="32"/>
          <w:rtl/>
        </w:rPr>
        <w:t xml:space="preserve"> آثار الكفالة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العلاقة فيما بين الكفيل والدائن والعلاقة فيما بين الكفيل والمدين وبينه وين الملتزمين بالدين</w:t>
      </w:r>
      <w:r w:rsidRPr="007C3EC7">
        <w:rPr>
          <w:rFonts w:cs="Traditional Arabic" w:hint="cs"/>
          <w:color w:val="000000"/>
          <w:sz w:val="28"/>
          <w:szCs w:val="32"/>
          <w:rtl/>
        </w:rPr>
        <w:tab/>
        <w:t>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العلاقة فيما بين الكفيل والدائن</w:t>
      </w:r>
      <w:r w:rsidRPr="007C3EC7">
        <w:rPr>
          <w:rFonts w:cs="Traditional Arabic" w:hint="cs"/>
          <w:color w:val="000000"/>
          <w:sz w:val="28"/>
          <w:szCs w:val="32"/>
          <w:rtl/>
        </w:rPr>
        <w:tab/>
      </w:r>
      <w:r w:rsidRPr="007C3EC7">
        <w:rPr>
          <w:rFonts w:cs="Traditional Arabic" w:hint="cs"/>
          <w:color w:val="000000"/>
          <w:sz w:val="28"/>
          <w:szCs w:val="32"/>
          <w:rtl/>
        </w:rPr>
        <w:tab/>
        <w:t>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الكفيل غير المتضامن والكفل المتضامن</w:t>
      </w:r>
      <w:r w:rsidRPr="007C3EC7">
        <w:rPr>
          <w:rFonts w:cs="Traditional Arabic" w:hint="cs"/>
          <w:color w:val="000000"/>
          <w:sz w:val="28"/>
          <w:szCs w:val="32"/>
          <w:rtl/>
        </w:rPr>
        <w:tab/>
      </w:r>
      <w:r w:rsidRPr="007C3EC7">
        <w:rPr>
          <w:rFonts w:cs="Traditional Arabic" w:hint="cs"/>
          <w:color w:val="000000"/>
          <w:sz w:val="28"/>
          <w:szCs w:val="32"/>
          <w:rtl/>
        </w:rPr>
        <w:tab/>
        <w:t>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المطلب الأول </w:t>
      </w:r>
      <w:r w:rsidRPr="007C3EC7">
        <w:rPr>
          <w:rFonts w:cs="Traditional Arabic"/>
          <w:color w:val="000000"/>
          <w:sz w:val="28"/>
          <w:szCs w:val="32"/>
          <w:rtl/>
        </w:rPr>
        <w:t>–</w:t>
      </w:r>
      <w:r w:rsidRPr="007C3EC7">
        <w:rPr>
          <w:rFonts w:cs="Traditional Arabic" w:hint="cs"/>
          <w:color w:val="000000"/>
          <w:sz w:val="28"/>
          <w:szCs w:val="32"/>
          <w:rtl/>
        </w:rPr>
        <w:t xml:space="preserve"> الكفيل غير متضامن مع المدين أو مع كفلاء آخرين</w:t>
      </w:r>
      <w:r w:rsidRPr="007C3EC7">
        <w:rPr>
          <w:rFonts w:cs="Traditional Arabic" w:hint="cs"/>
          <w:color w:val="000000"/>
          <w:sz w:val="28"/>
          <w:szCs w:val="32"/>
          <w:rtl/>
        </w:rPr>
        <w:tab/>
      </w:r>
      <w:r w:rsidRPr="007C3EC7">
        <w:rPr>
          <w:rFonts w:cs="Traditional Arabic" w:hint="cs"/>
          <w:color w:val="000000"/>
          <w:sz w:val="28"/>
          <w:szCs w:val="32"/>
          <w:rtl/>
        </w:rPr>
        <w:tab/>
        <w:t>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متى يطالب الدائن الكفيل</w:t>
      </w:r>
      <w:r w:rsidRPr="007C3EC7">
        <w:rPr>
          <w:rFonts w:cs="Traditional Arabic" w:hint="cs"/>
          <w:color w:val="000000"/>
          <w:sz w:val="28"/>
          <w:szCs w:val="32"/>
          <w:rtl/>
        </w:rPr>
        <w:tab/>
      </w:r>
      <w:r w:rsidRPr="007C3EC7">
        <w:rPr>
          <w:rFonts w:cs="Traditional Arabic" w:hint="cs"/>
          <w:color w:val="000000"/>
          <w:sz w:val="28"/>
          <w:szCs w:val="32"/>
          <w:rtl/>
        </w:rPr>
        <w:tab/>
        <w:t>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بماذا يطالب الدائن الكفيل </w:t>
      </w:r>
      <w:r w:rsidRPr="007C3EC7">
        <w:rPr>
          <w:rFonts w:cs="Traditional Arabic"/>
          <w:color w:val="000000"/>
          <w:sz w:val="28"/>
          <w:szCs w:val="32"/>
          <w:rtl/>
        </w:rPr>
        <w:t>–</w:t>
      </w:r>
      <w:r w:rsidRPr="007C3EC7">
        <w:rPr>
          <w:rFonts w:cs="Traditional Arabic" w:hint="cs"/>
          <w:color w:val="000000"/>
          <w:sz w:val="28"/>
          <w:szCs w:val="32"/>
          <w:rtl/>
        </w:rPr>
        <w:t xml:space="preserve"> التقسيم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تعدد الكفلاء بعقد واحد</w:t>
      </w:r>
      <w:r w:rsidRPr="007C3EC7">
        <w:rPr>
          <w:rFonts w:cs="Traditional Arabic" w:hint="cs"/>
          <w:color w:val="000000"/>
          <w:sz w:val="28"/>
          <w:szCs w:val="32"/>
          <w:rtl/>
        </w:rPr>
        <w:tab/>
      </w:r>
      <w:r w:rsidRPr="007C3EC7">
        <w:rPr>
          <w:rFonts w:cs="Traditional Arabic" w:hint="cs"/>
          <w:color w:val="000000"/>
          <w:sz w:val="28"/>
          <w:szCs w:val="32"/>
          <w:rtl/>
        </w:rPr>
        <w:tab/>
        <w:t>93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تعدد الكفلاء بعقود متوالية</w:t>
      </w:r>
      <w:r w:rsidRPr="007C3EC7">
        <w:rPr>
          <w:rFonts w:cs="Traditional Arabic" w:hint="cs"/>
          <w:color w:val="000000"/>
          <w:sz w:val="28"/>
          <w:szCs w:val="32"/>
          <w:rtl/>
        </w:rPr>
        <w:tab/>
      </w:r>
      <w:r w:rsidRPr="007C3EC7">
        <w:rPr>
          <w:rFonts w:cs="Traditional Arabic" w:hint="cs"/>
          <w:color w:val="000000"/>
          <w:sz w:val="28"/>
          <w:szCs w:val="32"/>
          <w:rtl/>
        </w:rPr>
        <w:tab/>
        <w:t>96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الدفوع التي يدفع بها الكفيل رجوع الدائن عليه </w:t>
      </w:r>
      <w:r w:rsidRPr="007C3EC7">
        <w:rPr>
          <w:rFonts w:cs="Traditional Arabic" w:hint="cs"/>
          <w:color w:val="000000"/>
          <w:sz w:val="28"/>
          <w:szCs w:val="32"/>
          <w:rtl/>
        </w:rPr>
        <w:tab/>
      </w:r>
      <w:r w:rsidRPr="007C3EC7">
        <w:rPr>
          <w:rFonts w:cs="Traditional Arabic" w:hint="cs"/>
          <w:color w:val="000000"/>
          <w:sz w:val="28"/>
          <w:szCs w:val="32"/>
          <w:rtl/>
        </w:rPr>
        <w:tab/>
        <w:t>97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الدفع بوجوب رجوع الدائن على المدين أولا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97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تمسك الكفيل بالدفوع التي يحتاج بها المدين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106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الدفوع الخاصة بالكفيل</w:t>
      </w:r>
      <w:r w:rsidRPr="007C3EC7">
        <w:rPr>
          <w:rFonts w:cs="Traditional Arabic" w:hint="cs"/>
          <w:color w:val="000000"/>
          <w:sz w:val="28"/>
          <w:szCs w:val="32"/>
          <w:rtl/>
        </w:rPr>
        <w:tab/>
      </w:r>
      <w:r w:rsidRPr="007C3EC7">
        <w:rPr>
          <w:rFonts w:cs="Traditional Arabic" w:hint="cs"/>
          <w:color w:val="000000"/>
          <w:sz w:val="28"/>
          <w:szCs w:val="32"/>
          <w:rtl/>
        </w:rPr>
        <w:tab/>
        <w:t>111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الدفع بالتجريد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112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شروط الدفع بالتجريد</w:t>
      </w:r>
      <w:r w:rsidRPr="007C3EC7">
        <w:rPr>
          <w:rFonts w:cs="Traditional Arabic" w:hint="cs"/>
          <w:color w:val="000000"/>
          <w:sz w:val="28"/>
          <w:szCs w:val="32"/>
          <w:rtl/>
        </w:rPr>
        <w:tab/>
      </w:r>
      <w:r w:rsidRPr="007C3EC7">
        <w:rPr>
          <w:rFonts w:cs="Traditional Arabic" w:hint="cs"/>
          <w:color w:val="000000"/>
          <w:sz w:val="28"/>
          <w:szCs w:val="32"/>
          <w:rtl/>
        </w:rPr>
        <w:tab/>
        <w:t>115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الآثار التي تترتب على الدفع بالتجريد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125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صورة خاصة للدفع بالتجريد</w:t>
      </w:r>
      <w:r>
        <w:rPr>
          <w:rFonts w:cs="Traditional Arabic" w:hint="cs"/>
          <w:color w:val="000000"/>
          <w:sz w:val="28"/>
          <w:szCs w:val="32"/>
          <w:rtl/>
        </w:rPr>
        <w:t xml:space="preserve"> :</w:t>
      </w:r>
      <w:r w:rsidRPr="007C3EC7">
        <w:rPr>
          <w:rFonts w:cs="Traditional Arabic" w:hint="cs"/>
          <w:color w:val="000000"/>
          <w:sz w:val="28"/>
          <w:szCs w:val="32"/>
          <w:rtl/>
        </w:rPr>
        <w:t xml:space="preserve"> دفع بتجريد التأمين العيني قبل التنفيذ على أموال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الكفيل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129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ما يلتزم به الدائن عند استيفائه الدين من الكفيل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كفيل الكفيل- نص قانوني</w:t>
      </w:r>
      <w:r w:rsidRPr="007C3EC7">
        <w:rPr>
          <w:rFonts w:cs="Traditional Arabic" w:hint="cs"/>
          <w:color w:val="000000"/>
          <w:sz w:val="28"/>
          <w:szCs w:val="32"/>
          <w:rtl/>
        </w:rPr>
        <w:tab/>
      </w:r>
      <w:r w:rsidRPr="007C3EC7">
        <w:rPr>
          <w:rFonts w:cs="Traditional Arabic" w:hint="cs"/>
          <w:color w:val="000000"/>
          <w:sz w:val="28"/>
          <w:szCs w:val="32"/>
          <w:rtl/>
        </w:rPr>
        <w:tab/>
        <w:t>136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المطلب الثاني</w:t>
      </w:r>
      <w:r>
        <w:rPr>
          <w:rFonts w:cs="Traditional Arabic" w:hint="cs"/>
          <w:color w:val="000000"/>
          <w:sz w:val="28"/>
          <w:szCs w:val="32"/>
          <w:rtl/>
        </w:rPr>
        <w:t xml:space="preserve"> :</w:t>
      </w:r>
      <w:r w:rsidRPr="007C3EC7">
        <w:rPr>
          <w:rFonts w:cs="Traditional Arabic" w:hint="cs"/>
          <w:color w:val="000000"/>
          <w:sz w:val="28"/>
          <w:szCs w:val="32"/>
          <w:rtl/>
        </w:rPr>
        <w:t xml:space="preserve"> الكفيل متضامن مع أو مع كفلاء آخرين </w:t>
      </w:r>
      <w:r w:rsidRPr="007C3EC7">
        <w:rPr>
          <w:rFonts w:cs="Traditional Arabic" w:hint="cs"/>
          <w:color w:val="000000"/>
          <w:sz w:val="28"/>
          <w:szCs w:val="32"/>
          <w:rtl/>
        </w:rPr>
        <w:tab/>
      </w:r>
      <w:r w:rsidRPr="007C3EC7">
        <w:rPr>
          <w:rFonts w:cs="Traditional Arabic" w:hint="cs"/>
          <w:color w:val="000000"/>
          <w:sz w:val="28"/>
          <w:szCs w:val="32"/>
          <w:rtl/>
        </w:rPr>
        <w:tab/>
        <w:t>139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تضامن الكفيل مع المدين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تضامن الكفلاء فيما بينهم</w:t>
      </w:r>
      <w:r w:rsidRPr="007C3EC7">
        <w:rPr>
          <w:rFonts w:cs="Traditional Arabic" w:hint="cs"/>
          <w:color w:val="000000"/>
          <w:sz w:val="28"/>
          <w:szCs w:val="32"/>
          <w:rtl/>
        </w:rPr>
        <w:tab/>
      </w:r>
      <w:r w:rsidRPr="007C3EC7">
        <w:rPr>
          <w:rFonts w:cs="Traditional Arabic" w:hint="cs"/>
          <w:color w:val="000000"/>
          <w:sz w:val="28"/>
          <w:szCs w:val="32"/>
          <w:rtl/>
        </w:rPr>
        <w:tab/>
        <w:t>145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الكفيل المتضامن والكيل العادي </w:t>
      </w:r>
      <w:r w:rsidRPr="007C3EC7">
        <w:rPr>
          <w:rFonts w:cs="Traditional Arabic"/>
          <w:color w:val="000000"/>
          <w:sz w:val="28"/>
          <w:szCs w:val="32"/>
          <w:rtl/>
        </w:rPr>
        <w:t>–</w:t>
      </w:r>
      <w:r w:rsidRPr="007C3EC7">
        <w:rPr>
          <w:rFonts w:cs="Traditional Arabic" w:hint="cs"/>
          <w:color w:val="000000"/>
          <w:sz w:val="28"/>
          <w:szCs w:val="32"/>
          <w:rtl/>
        </w:rPr>
        <w:t xml:space="preserve"> حرمان الكفيل المتضامن من حق التجريد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146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الكفيل المتضامن والمدين المتضامن </w:t>
      </w:r>
      <w:r w:rsidRPr="007C3EC7">
        <w:rPr>
          <w:rFonts w:cs="Traditional Arabic"/>
          <w:color w:val="000000"/>
          <w:sz w:val="28"/>
          <w:szCs w:val="32"/>
          <w:rtl/>
        </w:rPr>
        <w:t>–</w:t>
      </w:r>
      <w:r w:rsidRPr="007C3EC7">
        <w:rPr>
          <w:rFonts w:cs="Traditional Arabic" w:hint="cs"/>
          <w:color w:val="000000"/>
          <w:sz w:val="28"/>
          <w:szCs w:val="32"/>
          <w:rtl/>
        </w:rPr>
        <w:t xml:space="preserve"> اوجه الدفع التي يستطيع أن يحتج بها كل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منها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148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العلاقة فيما بين الكفيل والمدين وفيما بينه وبين الملتزمين بالدين </w:t>
      </w:r>
      <w:r w:rsidRPr="007C3EC7">
        <w:rPr>
          <w:rFonts w:cs="Traditional Arabic" w:hint="cs"/>
          <w:color w:val="000000"/>
          <w:sz w:val="28"/>
          <w:szCs w:val="32"/>
          <w:rtl/>
        </w:rPr>
        <w:tab/>
      </w:r>
      <w:r w:rsidRPr="007C3EC7">
        <w:rPr>
          <w:rFonts w:cs="Traditional Arabic" w:hint="cs"/>
          <w:color w:val="000000"/>
          <w:sz w:val="28"/>
          <w:szCs w:val="32"/>
          <w:rtl/>
        </w:rPr>
        <w:tab/>
        <w:t>155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المطلب الأول</w:t>
      </w:r>
      <w:r>
        <w:rPr>
          <w:rFonts w:cs="Traditional Arabic" w:hint="cs"/>
          <w:color w:val="000000"/>
          <w:sz w:val="28"/>
          <w:szCs w:val="32"/>
          <w:rtl/>
        </w:rPr>
        <w:t xml:space="preserve"> :</w:t>
      </w:r>
      <w:r w:rsidRPr="007C3EC7">
        <w:rPr>
          <w:rFonts w:cs="Traditional Arabic" w:hint="cs"/>
          <w:color w:val="000000"/>
          <w:sz w:val="28"/>
          <w:szCs w:val="32"/>
          <w:rtl/>
        </w:rPr>
        <w:t xml:space="preserve"> العلاقة فيما بين الكفيل والمدين</w:t>
      </w:r>
      <w:r w:rsidRPr="007C3EC7">
        <w:rPr>
          <w:rFonts w:cs="Traditional Arabic" w:hint="cs"/>
          <w:color w:val="000000"/>
          <w:sz w:val="28"/>
          <w:szCs w:val="32"/>
          <w:rtl/>
        </w:rPr>
        <w:tab/>
      </w:r>
      <w:r w:rsidRPr="007C3EC7">
        <w:rPr>
          <w:rFonts w:cs="Traditional Arabic" w:hint="cs"/>
          <w:color w:val="000000"/>
          <w:sz w:val="28"/>
          <w:szCs w:val="32"/>
          <w:rtl/>
        </w:rPr>
        <w:tab/>
        <w:t>155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الرجوع بالدعوى الشخصية أو بدعوى الحلول</w:t>
      </w:r>
      <w:r w:rsidRPr="007C3EC7">
        <w:rPr>
          <w:rFonts w:cs="Traditional Arabic" w:hint="cs"/>
          <w:color w:val="000000"/>
          <w:sz w:val="28"/>
          <w:szCs w:val="32"/>
          <w:rtl/>
        </w:rPr>
        <w:tab/>
      </w:r>
      <w:r w:rsidRPr="007C3EC7">
        <w:rPr>
          <w:rFonts w:cs="Traditional Arabic" w:hint="cs"/>
          <w:color w:val="000000"/>
          <w:sz w:val="28"/>
          <w:szCs w:val="32"/>
          <w:rtl/>
        </w:rPr>
        <w:tab/>
        <w:t>155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1- رجوع الكفيل على المدين بالدعوى الشخصية</w:t>
      </w:r>
      <w:r w:rsidRPr="007C3EC7">
        <w:rPr>
          <w:rFonts w:cs="Traditional Arabic" w:hint="cs"/>
          <w:color w:val="000000"/>
          <w:sz w:val="28"/>
          <w:szCs w:val="32"/>
          <w:rtl/>
        </w:rPr>
        <w:tab/>
      </w:r>
      <w:r w:rsidRPr="007C3EC7">
        <w:rPr>
          <w:rFonts w:cs="Traditional Arabic" w:hint="cs"/>
          <w:color w:val="000000"/>
          <w:sz w:val="28"/>
          <w:szCs w:val="32"/>
          <w:rtl/>
        </w:rPr>
        <w:tab/>
        <w:t>156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نصوص قانونية</w:t>
      </w:r>
      <w:r w:rsidRPr="007C3EC7">
        <w:rPr>
          <w:rFonts w:cs="Traditional Arabic" w:hint="cs"/>
          <w:color w:val="000000"/>
          <w:sz w:val="28"/>
          <w:szCs w:val="32"/>
          <w:rtl/>
        </w:rPr>
        <w:tab/>
      </w:r>
      <w:r w:rsidRPr="007C3EC7">
        <w:rPr>
          <w:rFonts w:cs="Traditional Arabic" w:hint="cs"/>
          <w:color w:val="000000"/>
          <w:sz w:val="28"/>
          <w:szCs w:val="32"/>
          <w:rtl/>
        </w:rPr>
        <w:tab/>
        <w:t>156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أي كفيل يرجع على المدين بالدعوى الشخصية</w:t>
      </w:r>
      <w:r w:rsidRPr="007C3EC7">
        <w:rPr>
          <w:rFonts w:cs="Traditional Arabic" w:hint="cs"/>
          <w:color w:val="000000"/>
          <w:sz w:val="28"/>
          <w:szCs w:val="32"/>
          <w:rtl/>
        </w:rPr>
        <w:tab/>
      </w:r>
      <w:r w:rsidRPr="007C3EC7">
        <w:rPr>
          <w:rFonts w:cs="Traditional Arabic" w:hint="cs"/>
          <w:color w:val="000000"/>
          <w:sz w:val="28"/>
          <w:szCs w:val="32"/>
          <w:rtl/>
        </w:rPr>
        <w:tab/>
        <w:t>159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 xml:space="preserve">الأساس القانوني الذي تقوم عليه الدعوى الشخصية </w:t>
      </w:r>
      <w:r w:rsidRPr="007C3EC7">
        <w:rPr>
          <w:rFonts w:cs="Traditional Arabic" w:hint="cs"/>
          <w:color w:val="000000"/>
          <w:sz w:val="28"/>
          <w:szCs w:val="32"/>
          <w:rtl/>
        </w:rPr>
        <w:tab/>
      </w:r>
      <w:r w:rsidRPr="007C3EC7">
        <w:rPr>
          <w:rFonts w:cs="Traditional Arabic" w:hint="cs"/>
          <w:color w:val="000000"/>
          <w:sz w:val="28"/>
          <w:szCs w:val="32"/>
          <w:rtl/>
        </w:rPr>
        <w:tab/>
        <w:t>161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الشروط الواجب توافرها لرجوع الكفيل على المدين بالدعوى الشخصية</w:t>
      </w:r>
      <w:r w:rsidRPr="007C3EC7">
        <w:rPr>
          <w:rFonts w:cs="Traditional Arabic" w:hint="cs"/>
          <w:color w:val="000000"/>
          <w:sz w:val="28"/>
          <w:szCs w:val="32"/>
          <w:rtl/>
        </w:rPr>
        <w:tab/>
      </w:r>
      <w:r w:rsidRPr="007C3EC7">
        <w:rPr>
          <w:rFonts w:cs="Traditional Arabic" w:hint="cs"/>
          <w:color w:val="000000"/>
          <w:sz w:val="28"/>
          <w:szCs w:val="32"/>
          <w:rtl/>
        </w:rPr>
        <w:tab/>
        <w:t>167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الذي يرجع به الكفيل على المدين في الدعوى الشخصية إذا وفى الكفيل المدين كاملا</w:t>
      </w:r>
      <w:r w:rsidRPr="007C3EC7">
        <w:rPr>
          <w:rFonts w:cs="Traditional Arabic" w:hint="cs"/>
          <w:color w:val="000000"/>
          <w:sz w:val="28"/>
          <w:szCs w:val="32"/>
          <w:rtl/>
        </w:rPr>
        <w:tab/>
        <w:t>172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الذي يرجع به الكفيل على المدين في الدعوى الشخصية إذا وفى الكفيل جزءا</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من الدين</w:t>
      </w:r>
      <w:r w:rsidRPr="007C3EC7">
        <w:rPr>
          <w:rFonts w:cs="Traditional Arabic" w:hint="cs"/>
          <w:color w:val="000000"/>
          <w:sz w:val="28"/>
          <w:szCs w:val="32"/>
          <w:rtl/>
        </w:rPr>
        <w:tab/>
      </w:r>
      <w:r w:rsidRPr="007C3EC7">
        <w:rPr>
          <w:rFonts w:cs="Traditional Arabic" w:hint="cs"/>
          <w:color w:val="000000"/>
          <w:sz w:val="28"/>
          <w:szCs w:val="32"/>
          <w:rtl/>
        </w:rPr>
        <w:tab/>
        <w:t>178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رجوع الكفيل على المدين بدعوى الحلول</w:t>
      </w:r>
      <w:r w:rsidRPr="007C3EC7">
        <w:rPr>
          <w:rFonts w:cs="Traditional Arabic" w:hint="cs"/>
          <w:color w:val="000000"/>
          <w:sz w:val="28"/>
          <w:szCs w:val="32"/>
          <w:rtl/>
        </w:rPr>
        <w:tab/>
      </w:r>
      <w:r w:rsidRPr="007C3EC7">
        <w:rPr>
          <w:rFonts w:cs="Traditional Arabic" w:hint="cs"/>
          <w:color w:val="000000"/>
          <w:sz w:val="28"/>
          <w:szCs w:val="32"/>
          <w:rtl/>
        </w:rPr>
        <w:tab/>
        <w:t>180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180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أي كفيل يرجع بدعوى الحلول على المدين </w:t>
      </w:r>
      <w:r w:rsidRPr="007C3EC7">
        <w:rPr>
          <w:rFonts w:cs="Traditional Arabic" w:hint="cs"/>
          <w:color w:val="000000"/>
          <w:sz w:val="28"/>
          <w:szCs w:val="32"/>
          <w:rtl/>
        </w:rPr>
        <w:tab/>
      </w:r>
      <w:r w:rsidRPr="007C3EC7">
        <w:rPr>
          <w:rFonts w:cs="Traditional Arabic" w:hint="cs"/>
          <w:color w:val="000000"/>
          <w:sz w:val="28"/>
          <w:szCs w:val="32"/>
          <w:rtl/>
        </w:rPr>
        <w:tab/>
        <w:t>181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الشروط الواجب توافرها لرجوع الكفيل على المدين بدعوى الحلول</w:t>
      </w:r>
      <w:r w:rsidRPr="007C3EC7">
        <w:rPr>
          <w:rFonts w:cs="Traditional Arabic" w:hint="cs"/>
          <w:color w:val="000000"/>
          <w:sz w:val="28"/>
          <w:szCs w:val="32"/>
          <w:rtl/>
        </w:rPr>
        <w:tab/>
      </w:r>
      <w:r w:rsidRPr="007C3EC7">
        <w:rPr>
          <w:rFonts w:cs="Traditional Arabic" w:hint="cs"/>
          <w:color w:val="000000"/>
          <w:sz w:val="28"/>
          <w:szCs w:val="32"/>
          <w:rtl/>
        </w:rPr>
        <w:tab/>
        <w:t>182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الذي يرجع به الكفيل على المدين في دعوى الحلول إذا وفي الدين كاملا</w:t>
      </w:r>
      <w:r w:rsidRPr="007C3EC7">
        <w:rPr>
          <w:rFonts w:cs="Traditional Arabic" w:hint="cs"/>
          <w:color w:val="000000"/>
          <w:sz w:val="28"/>
          <w:szCs w:val="32"/>
          <w:rtl/>
        </w:rPr>
        <w:tab/>
      </w:r>
      <w:r w:rsidRPr="007C3EC7">
        <w:rPr>
          <w:rFonts w:cs="Traditional Arabic" w:hint="cs"/>
          <w:color w:val="000000"/>
          <w:sz w:val="28"/>
          <w:szCs w:val="32"/>
          <w:rtl/>
        </w:rPr>
        <w:tab/>
        <w:t>185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الذي يرجع به الكفيل على المدين في دعوى الحلول إذا وفى الكفيل جزءا من الدين</w:t>
      </w:r>
      <w:r w:rsidRPr="007C3EC7">
        <w:rPr>
          <w:rFonts w:cs="Traditional Arabic" w:hint="cs"/>
          <w:color w:val="000000"/>
          <w:sz w:val="28"/>
          <w:szCs w:val="32"/>
          <w:rtl/>
        </w:rPr>
        <w:tab/>
        <w:t>190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موازنة ين دعوى الحلول والدعوى الشخصية</w:t>
      </w:r>
      <w:r w:rsidRPr="007C3EC7">
        <w:rPr>
          <w:rFonts w:cs="Traditional Arabic" w:hint="cs"/>
          <w:color w:val="000000"/>
          <w:sz w:val="28"/>
          <w:szCs w:val="32"/>
          <w:rtl/>
        </w:rPr>
        <w:tab/>
      </w:r>
      <w:r w:rsidRPr="007C3EC7">
        <w:rPr>
          <w:rFonts w:cs="Traditional Arabic" w:hint="cs"/>
          <w:color w:val="000000"/>
          <w:sz w:val="28"/>
          <w:szCs w:val="32"/>
          <w:rtl/>
        </w:rPr>
        <w:tab/>
        <w:t>192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3- رجوع الكفيل على المدينين المتضامنين</w:t>
      </w:r>
      <w:r w:rsidRPr="007C3EC7">
        <w:rPr>
          <w:rFonts w:cs="Traditional Arabic" w:hint="cs"/>
          <w:color w:val="000000"/>
          <w:sz w:val="28"/>
          <w:szCs w:val="32"/>
          <w:rtl/>
        </w:rPr>
        <w:tab/>
      </w:r>
      <w:r w:rsidRPr="007C3EC7">
        <w:rPr>
          <w:rFonts w:cs="Traditional Arabic" w:hint="cs"/>
          <w:color w:val="000000"/>
          <w:sz w:val="28"/>
          <w:szCs w:val="32"/>
          <w:rtl/>
        </w:rPr>
        <w:tab/>
        <w:t>193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193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مدينون  متضامنون ضمنهم الكفيل جميعاً</w:t>
      </w:r>
      <w:r w:rsidRPr="007C3EC7">
        <w:rPr>
          <w:rFonts w:cs="Traditional Arabic" w:hint="cs"/>
          <w:color w:val="000000"/>
          <w:sz w:val="28"/>
          <w:szCs w:val="32"/>
          <w:rtl/>
        </w:rPr>
        <w:tab/>
      </w:r>
      <w:r w:rsidRPr="007C3EC7">
        <w:rPr>
          <w:rFonts w:cs="Traditional Arabic" w:hint="cs"/>
          <w:color w:val="000000"/>
          <w:sz w:val="28"/>
          <w:szCs w:val="32"/>
          <w:rtl/>
        </w:rPr>
        <w:tab/>
        <w:t>194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مدينون متضامنون ضمن الكفيل بعضهم</w:t>
      </w:r>
      <w:r w:rsidRPr="007C3EC7">
        <w:rPr>
          <w:rFonts w:cs="Traditional Arabic" w:hint="cs"/>
          <w:color w:val="000000"/>
          <w:sz w:val="28"/>
          <w:szCs w:val="32"/>
          <w:rtl/>
        </w:rPr>
        <w:tab/>
      </w:r>
      <w:r w:rsidRPr="007C3EC7">
        <w:rPr>
          <w:rFonts w:cs="Traditional Arabic" w:hint="cs"/>
          <w:color w:val="000000"/>
          <w:sz w:val="28"/>
          <w:szCs w:val="32"/>
          <w:rtl/>
        </w:rPr>
        <w:tab/>
        <w:t>195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t>المطلب الثاني</w:t>
      </w:r>
      <w:r>
        <w:rPr>
          <w:rFonts w:cs="Traditional Arabic" w:hint="cs"/>
          <w:color w:val="000000"/>
          <w:sz w:val="28"/>
          <w:szCs w:val="32"/>
          <w:rtl/>
        </w:rPr>
        <w:t xml:space="preserve"> :</w:t>
      </w:r>
      <w:r w:rsidRPr="007C3EC7">
        <w:rPr>
          <w:rFonts w:cs="Traditional Arabic" w:hint="cs"/>
          <w:color w:val="000000"/>
          <w:sz w:val="28"/>
          <w:szCs w:val="32"/>
          <w:rtl/>
        </w:rPr>
        <w:t xml:space="preserve"> العلاقة فيما بين الكفيل والملتزمين بالدين </w:t>
      </w:r>
      <w:r w:rsidRPr="007C3EC7">
        <w:rPr>
          <w:rFonts w:cs="Traditional Arabic" w:hint="cs"/>
          <w:color w:val="000000"/>
          <w:sz w:val="28"/>
          <w:szCs w:val="32"/>
          <w:rtl/>
        </w:rPr>
        <w:tab/>
      </w:r>
      <w:r w:rsidRPr="007C3EC7">
        <w:rPr>
          <w:rFonts w:cs="Traditional Arabic" w:hint="cs"/>
          <w:color w:val="000000"/>
          <w:sz w:val="28"/>
          <w:szCs w:val="32"/>
          <w:rtl/>
        </w:rPr>
        <w:tab/>
        <w:t>199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المقصود الملتزمين بالدين</w:t>
      </w:r>
      <w:r w:rsidRPr="007C3EC7">
        <w:rPr>
          <w:rFonts w:cs="Traditional Arabic" w:hint="cs"/>
          <w:color w:val="000000"/>
          <w:sz w:val="28"/>
          <w:szCs w:val="32"/>
          <w:rtl/>
        </w:rPr>
        <w:tab/>
      </w:r>
      <w:r w:rsidRPr="007C3EC7">
        <w:rPr>
          <w:rFonts w:cs="Traditional Arabic" w:hint="cs"/>
          <w:color w:val="000000"/>
          <w:sz w:val="28"/>
          <w:szCs w:val="32"/>
          <w:rtl/>
        </w:rPr>
        <w:tab/>
        <w:t>199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1- رجوع الكفيل الذي وفى الدين على الكفلاء الشخصيين الذين كفلوا الدين معه</w:t>
      </w:r>
      <w:r w:rsidRPr="007C3EC7">
        <w:rPr>
          <w:rFonts w:cs="Traditional Arabic" w:hint="cs"/>
          <w:color w:val="000000"/>
          <w:sz w:val="28"/>
          <w:szCs w:val="32"/>
          <w:rtl/>
        </w:rPr>
        <w:tab/>
        <w:t xml:space="preserve"> </w:t>
      </w:r>
      <w:r w:rsidRPr="007C3EC7">
        <w:rPr>
          <w:rFonts w:cs="Traditional Arabic" w:hint="cs"/>
          <w:color w:val="000000"/>
          <w:sz w:val="28"/>
          <w:szCs w:val="32"/>
          <w:rtl/>
        </w:rPr>
        <w:tab/>
        <w:t>200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200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الحالة الأولى </w:t>
      </w:r>
      <w:r w:rsidRPr="007C3EC7">
        <w:rPr>
          <w:rFonts w:cs="Traditional Arabic"/>
          <w:color w:val="000000"/>
          <w:sz w:val="28"/>
          <w:szCs w:val="32"/>
          <w:rtl/>
        </w:rPr>
        <w:t>–</w:t>
      </w:r>
      <w:r w:rsidRPr="007C3EC7">
        <w:rPr>
          <w:rFonts w:cs="Traditional Arabic" w:hint="cs"/>
          <w:color w:val="000000"/>
          <w:sz w:val="28"/>
          <w:szCs w:val="32"/>
          <w:rtl/>
        </w:rPr>
        <w:t xml:space="preserve"> تعدد الكفلاء وانقسام الدين بينهم </w:t>
      </w:r>
      <w:r w:rsidRPr="007C3EC7">
        <w:rPr>
          <w:rFonts w:cs="Traditional Arabic" w:hint="cs"/>
          <w:color w:val="000000"/>
          <w:sz w:val="28"/>
          <w:szCs w:val="32"/>
          <w:rtl/>
        </w:rPr>
        <w:tab/>
      </w:r>
      <w:r w:rsidRPr="007C3EC7">
        <w:rPr>
          <w:rFonts w:cs="Traditional Arabic" w:hint="cs"/>
          <w:color w:val="000000"/>
          <w:sz w:val="28"/>
          <w:szCs w:val="32"/>
          <w:rtl/>
        </w:rPr>
        <w:tab/>
        <w:t>201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الحالة الثانية </w:t>
      </w:r>
      <w:r w:rsidRPr="007C3EC7">
        <w:rPr>
          <w:rFonts w:cs="Traditional Arabic"/>
          <w:color w:val="000000"/>
          <w:sz w:val="28"/>
          <w:szCs w:val="32"/>
          <w:rtl/>
        </w:rPr>
        <w:t>–</w:t>
      </w:r>
      <w:r w:rsidRPr="007C3EC7">
        <w:rPr>
          <w:rFonts w:cs="Traditional Arabic" w:hint="cs"/>
          <w:color w:val="000000"/>
          <w:sz w:val="28"/>
          <w:szCs w:val="32"/>
          <w:rtl/>
        </w:rPr>
        <w:t xml:space="preserve"> تعدد الكفلاء مع التضامن أو التضامن فيما بينهم </w:t>
      </w:r>
      <w:r w:rsidRPr="007C3EC7">
        <w:rPr>
          <w:rFonts w:cs="Traditional Arabic" w:hint="cs"/>
          <w:color w:val="000000"/>
          <w:sz w:val="28"/>
          <w:szCs w:val="32"/>
          <w:rtl/>
        </w:rPr>
        <w:tab/>
      </w:r>
      <w:r w:rsidRPr="007C3EC7">
        <w:rPr>
          <w:rFonts w:cs="Traditional Arabic" w:hint="cs"/>
          <w:color w:val="000000"/>
          <w:sz w:val="28"/>
          <w:szCs w:val="32"/>
          <w:rtl/>
        </w:rPr>
        <w:tab/>
        <w:t>202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رجوع الكفيل الذي وفى الدين على كل من الكفلاء الآخرين </w:t>
      </w:r>
      <w:r w:rsidRPr="007C3EC7">
        <w:rPr>
          <w:rFonts w:cs="Traditional Arabic"/>
          <w:color w:val="000000"/>
          <w:sz w:val="28"/>
          <w:szCs w:val="32"/>
          <w:rtl/>
        </w:rPr>
        <w:t>–</w:t>
      </w:r>
      <w:r w:rsidRPr="007C3EC7">
        <w:rPr>
          <w:rFonts w:cs="Traditional Arabic" w:hint="cs"/>
          <w:color w:val="000000"/>
          <w:sz w:val="28"/>
          <w:szCs w:val="32"/>
          <w:rtl/>
        </w:rPr>
        <w:t xml:space="preserve"> أساس هذا الرجوع</w:t>
      </w:r>
      <w:r w:rsidRPr="007C3EC7">
        <w:rPr>
          <w:rFonts w:cs="Traditional Arabic" w:hint="cs"/>
          <w:color w:val="000000"/>
          <w:sz w:val="28"/>
          <w:szCs w:val="32"/>
          <w:rtl/>
        </w:rPr>
        <w:tab/>
        <w:t>203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شروط هذا الرجوع</w:t>
      </w:r>
      <w:r w:rsidRPr="007C3EC7">
        <w:rPr>
          <w:rFonts w:cs="Traditional Arabic" w:hint="cs"/>
          <w:color w:val="000000"/>
          <w:sz w:val="28"/>
          <w:szCs w:val="32"/>
          <w:rtl/>
        </w:rPr>
        <w:tab/>
      </w:r>
      <w:r w:rsidRPr="007C3EC7">
        <w:rPr>
          <w:rFonts w:cs="Traditional Arabic" w:hint="cs"/>
          <w:color w:val="000000"/>
          <w:sz w:val="28"/>
          <w:szCs w:val="32"/>
          <w:rtl/>
        </w:rPr>
        <w:tab/>
        <w:t>205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مقدار ما يرجع الكفيل به</w:t>
      </w:r>
      <w:r w:rsidRPr="007C3EC7">
        <w:rPr>
          <w:rFonts w:cs="Traditional Arabic" w:hint="cs"/>
          <w:color w:val="000000"/>
          <w:sz w:val="28"/>
          <w:szCs w:val="32"/>
          <w:rtl/>
        </w:rPr>
        <w:tab/>
      </w:r>
      <w:r w:rsidRPr="007C3EC7">
        <w:rPr>
          <w:rFonts w:cs="Traditional Arabic" w:hint="cs"/>
          <w:color w:val="000000"/>
          <w:sz w:val="28"/>
          <w:szCs w:val="32"/>
          <w:rtl/>
        </w:rPr>
        <w:tab/>
        <w:t>206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cs="Traditional Arabic" w:hint="cs"/>
          <w:color w:val="000000"/>
          <w:sz w:val="28"/>
          <w:szCs w:val="32"/>
          <w:rtl/>
        </w:rPr>
        <w:t xml:space="preserve"> 2- رجوع الكفيل الذي وفى الدين على الكفيل العيني وعلى الحائز للعقار</w:t>
      </w:r>
      <w:r w:rsidRPr="007C3EC7">
        <w:rPr>
          <w:rFonts w:cs="Traditional Arabic" w:hint="cs"/>
          <w:color w:val="000000"/>
          <w:sz w:val="28"/>
          <w:szCs w:val="32"/>
          <w:rtl/>
        </w:rPr>
        <w:tab/>
      </w:r>
      <w:r w:rsidRPr="007C3EC7">
        <w:rPr>
          <w:rFonts w:cs="Traditional Arabic" w:hint="cs"/>
          <w:color w:val="000000"/>
          <w:sz w:val="28"/>
          <w:szCs w:val="32"/>
          <w:rtl/>
        </w:rPr>
        <w:tab/>
        <w:t>209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رجوع الكفيل الذي وفى الدين على الكفيل العيني</w:t>
      </w:r>
      <w:r w:rsidRPr="007C3EC7">
        <w:rPr>
          <w:rFonts w:cs="Traditional Arabic" w:hint="cs"/>
          <w:color w:val="000000"/>
          <w:sz w:val="28"/>
          <w:szCs w:val="32"/>
          <w:rtl/>
        </w:rPr>
        <w:tab/>
      </w:r>
      <w:r w:rsidRPr="007C3EC7">
        <w:rPr>
          <w:rFonts w:cs="Traditional Arabic" w:hint="cs"/>
          <w:color w:val="000000"/>
          <w:sz w:val="28"/>
          <w:szCs w:val="32"/>
          <w:rtl/>
        </w:rPr>
        <w:tab/>
        <w:t>209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رجوع الكفيل الذي وفى الدين على الحائز للعقار</w:t>
      </w:r>
      <w:r w:rsidRPr="007C3EC7">
        <w:rPr>
          <w:rFonts w:cs="Traditional Arabic" w:hint="cs"/>
          <w:color w:val="000000"/>
          <w:sz w:val="28"/>
          <w:szCs w:val="32"/>
          <w:rtl/>
        </w:rPr>
        <w:tab/>
      </w:r>
      <w:r w:rsidRPr="007C3EC7">
        <w:rPr>
          <w:rFonts w:cs="Traditional Arabic" w:hint="cs"/>
          <w:color w:val="000000"/>
          <w:sz w:val="28"/>
          <w:szCs w:val="32"/>
          <w:rtl/>
        </w:rPr>
        <w:tab/>
        <w:t>211</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الثالث </w:t>
      </w:r>
      <w:r w:rsidRPr="007C3EC7">
        <w:rPr>
          <w:rFonts w:cs="Traditional Arabic"/>
          <w:b/>
          <w:bCs/>
          <w:color w:val="000000"/>
          <w:sz w:val="28"/>
          <w:szCs w:val="32"/>
          <w:rtl/>
        </w:rPr>
        <w:t>–</w:t>
      </w:r>
      <w:r w:rsidRPr="007C3EC7">
        <w:rPr>
          <w:rFonts w:cs="Traditional Arabic" w:hint="cs"/>
          <w:b/>
          <w:bCs/>
          <w:color w:val="000000"/>
          <w:sz w:val="28"/>
          <w:szCs w:val="32"/>
          <w:rtl/>
        </w:rPr>
        <w:t xml:space="preserve"> انقضاء الكفالة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الكفالة بطريق تبعي وانقضاؤها بطريق أصلي</w:t>
      </w:r>
      <w:r w:rsidRPr="007C3EC7">
        <w:rPr>
          <w:rFonts w:cs="Traditional Arabic" w:hint="cs"/>
          <w:color w:val="000000"/>
          <w:sz w:val="28"/>
          <w:szCs w:val="32"/>
          <w:rtl/>
        </w:rPr>
        <w:tab/>
      </w:r>
      <w:r w:rsidRPr="007C3EC7">
        <w:rPr>
          <w:rFonts w:cs="Traditional Arabic" w:hint="cs"/>
          <w:color w:val="000000"/>
          <w:sz w:val="28"/>
          <w:szCs w:val="32"/>
          <w:rtl/>
        </w:rPr>
        <w:tab/>
        <w:t>213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انقضاء الكفالة بطريق تبعي</w:t>
      </w:r>
      <w:r w:rsidRPr="007C3EC7">
        <w:rPr>
          <w:rFonts w:cs="Traditional Arabic" w:hint="cs"/>
          <w:color w:val="000000"/>
          <w:sz w:val="28"/>
          <w:szCs w:val="32"/>
          <w:rtl/>
        </w:rPr>
        <w:tab/>
      </w:r>
      <w:r w:rsidRPr="007C3EC7">
        <w:rPr>
          <w:rFonts w:cs="Traditional Arabic" w:hint="cs"/>
          <w:color w:val="000000"/>
          <w:sz w:val="28"/>
          <w:szCs w:val="32"/>
          <w:rtl/>
        </w:rPr>
        <w:tab/>
        <w:t>213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كيف ينقضي الدين المكفول</w:t>
      </w:r>
      <w:r w:rsidRPr="007C3EC7">
        <w:rPr>
          <w:rFonts w:cs="Traditional Arabic" w:hint="cs"/>
          <w:color w:val="000000"/>
          <w:sz w:val="28"/>
          <w:szCs w:val="32"/>
          <w:rtl/>
        </w:rPr>
        <w:tab/>
      </w:r>
      <w:r w:rsidRPr="007C3EC7">
        <w:rPr>
          <w:rFonts w:cs="Traditional Arabic" w:hint="cs"/>
          <w:color w:val="000000"/>
          <w:sz w:val="28"/>
          <w:szCs w:val="32"/>
          <w:rtl/>
        </w:rPr>
        <w:tab/>
        <w:t>213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 xml:space="preserve">انقضاء الدين المكفول بالوفاء </w:t>
      </w:r>
      <w:r w:rsidRPr="007C3EC7">
        <w:rPr>
          <w:rFonts w:cs="Traditional Arabic" w:hint="cs"/>
          <w:color w:val="000000"/>
          <w:sz w:val="28"/>
          <w:szCs w:val="32"/>
          <w:rtl/>
        </w:rPr>
        <w:tab/>
      </w:r>
      <w:r w:rsidRPr="007C3EC7">
        <w:rPr>
          <w:rFonts w:cs="Traditional Arabic" w:hint="cs"/>
          <w:color w:val="000000"/>
          <w:sz w:val="28"/>
          <w:szCs w:val="32"/>
          <w:rtl/>
        </w:rPr>
        <w:tab/>
        <w:t>214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انقضاء الدين المكفول بالوفاء بمقابل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215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الدين المكفول بالتجديد</w:t>
      </w:r>
      <w:r w:rsidRPr="007C3EC7">
        <w:rPr>
          <w:rFonts w:cs="Traditional Arabic" w:hint="cs"/>
          <w:color w:val="000000"/>
          <w:sz w:val="28"/>
          <w:szCs w:val="32"/>
          <w:rtl/>
        </w:rPr>
        <w:tab/>
      </w:r>
      <w:r w:rsidRPr="007C3EC7">
        <w:rPr>
          <w:rFonts w:cs="Traditional Arabic" w:hint="cs"/>
          <w:color w:val="000000"/>
          <w:sz w:val="28"/>
          <w:szCs w:val="32"/>
          <w:rtl/>
        </w:rPr>
        <w:tab/>
        <w:t>219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انقضاء الدين المكفول بالمقاصة </w:t>
      </w:r>
      <w:r w:rsidRPr="007C3EC7">
        <w:rPr>
          <w:rFonts w:cs="Traditional Arabic" w:hint="cs"/>
          <w:color w:val="000000"/>
          <w:sz w:val="28"/>
          <w:szCs w:val="32"/>
          <w:rtl/>
        </w:rPr>
        <w:tab/>
      </w:r>
      <w:r w:rsidRPr="007C3EC7">
        <w:rPr>
          <w:rFonts w:cs="Traditional Arabic" w:hint="cs"/>
          <w:color w:val="000000"/>
          <w:sz w:val="28"/>
          <w:szCs w:val="32"/>
          <w:rtl/>
        </w:rPr>
        <w:tab/>
        <w:t>222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الدين المكفول باتحاد الذمة</w:t>
      </w:r>
      <w:r w:rsidRPr="007C3EC7">
        <w:rPr>
          <w:rFonts w:cs="Traditional Arabic" w:hint="cs"/>
          <w:color w:val="000000"/>
          <w:sz w:val="28"/>
          <w:szCs w:val="32"/>
          <w:rtl/>
        </w:rPr>
        <w:tab/>
      </w:r>
      <w:r w:rsidRPr="007C3EC7">
        <w:rPr>
          <w:rFonts w:cs="Traditional Arabic" w:hint="cs"/>
          <w:color w:val="000000"/>
          <w:sz w:val="28"/>
          <w:szCs w:val="32"/>
          <w:rtl/>
        </w:rPr>
        <w:tab/>
        <w:t>225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الدين المكفول بالإبراء</w:t>
      </w:r>
      <w:r w:rsidRPr="007C3EC7">
        <w:rPr>
          <w:rFonts w:cs="Traditional Arabic" w:hint="cs"/>
          <w:color w:val="000000"/>
          <w:sz w:val="28"/>
          <w:szCs w:val="32"/>
          <w:rtl/>
        </w:rPr>
        <w:tab/>
      </w:r>
      <w:r w:rsidRPr="007C3EC7">
        <w:rPr>
          <w:rFonts w:cs="Traditional Arabic" w:hint="cs"/>
          <w:color w:val="000000"/>
          <w:sz w:val="28"/>
          <w:szCs w:val="32"/>
          <w:rtl/>
        </w:rPr>
        <w:tab/>
        <w:t>227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الدين المكفول باستحالة التنفيذ</w:t>
      </w:r>
      <w:r w:rsidRPr="007C3EC7">
        <w:rPr>
          <w:rFonts w:cs="Traditional Arabic" w:hint="cs"/>
          <w:color w:val="000000"/>
          <w:sz w:val="28"/>
          <w:szCs w:val="32"/>
          <w:rtl/>
        </w:rPr>
        <w:tab/>
      </w:r>
      <w:r w:rsidRPr="007C3EC7">
        <w:rPr>
          <w:rFonts w:cs="Traditional Arabic" w:hint="cs"/>
          <w:color w:val="000000"/>
          <w:sz w:val="28"/>
          <w:szCs w:val="32"/>
          <w:rtl/>
        </w:rPr>
        <w:tab/>
        <w:t>230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الدين المكفول بالتقادم</w:t>
      </w:r>
      <w:r w:rsidRPr="007C3EC7">
        <w:rPr>
          <w:rFonts w:cs="Traditional Arabic" w:hint="cs"/>
          <w:color w:val="000000"/>
          <w:sz w:val="28"/>
          <w:szCs w:val="32"/>
          <w:rtl/>
        </w:rPr>
        <w:tab/>
      </w:r>
      <w:r w:rsidRPr="007C3EC7">
        <w:rPr>
          <w:rFonts w:cs="Traditional Arabic" w:hint="cs"/>
          <w:color w:val="000000"/>
          <w:sz w:val="28"/>
          <w:szCs w:val="32"/>
          <w:rtl/>
        </w:rPr>
        <w:tab/>
        <w:t>231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الفالة بفسخ الدين المكفول أو بإبطاله</w:t>
      </w:r>
      <w:r w:rsidRPr="007C3EC7">
        <w:rPr>
          <w:rFonts w:cs="Traditional Arabic" w:hint="cs"/>
          <w:color w:val="000000"/>
          <w:sz w:val="28"/>
          <w:szCs w:val="32"/>
          <w:rtl/>
        </w:rPr>
        <w:tab/>
      </w:r>
      <w:r w:rsidRPr="007C3EC7">
        <w:rPr>
          <w:rFonts w:cs="Traditional Arabic" w:hint="cs"/>
          <w:color w:val="000000"/>
          <w:sz w:val="28"/>
          <w:szCs w:val="32"/>
          <w:rtl/>
        </w:rPr>
        <w:tab/>
        <w:t>233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انقضاء الكفالة بطريق أصلي</w:t>
      </w:r>
      <w:r w:rsidRPr="007C3EC7">
        <w:rPr>
          <w:rFonts w:cs="Traditional Arabic" w:hint="cs"/>
          <w:color w:val="000000"/>
          <w:sz w:val="28"/>
          <w:szCs w:val="32"/>
          <w:rtl/>
        </w:rPr>
        <w:tab/>
      </w:r>
      <w:r w:rsidRPr="007C3EC7">
        <w:rPr>
          <w:rFonts w:cs="Traditional Arabic" w:hint="cs"/>
          <w:color w:val="000000"/>
          <w:sz w:val="28"/>
          <w:szCs w:val="32"/>
          <w:rtl/>
        </w:rPr>
        <w:tab/>
        <w:t>234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كيف تنقضي الكفالة بطريق أصلي</w:t>
      </w:r>
      <w:r w:rsidRPr="007C3EC7">
        <w:rPr>
          <w:rFonts w:cs="Traditional Arabic" w:hint="cs"/>
          <w:color w:val="000000"/>
          <w:sz w:val="28"/>
          <w:szCs w:val="32"/>
          <w:rtl/>
        </w:rPr>
        <w:tab/>
      </w:r>
      <w:r w:rsidRPr="007C3EC7">
        <w:rPr>
          <w:rFonts w:cs="Traditional Arabic" w:hint="cs"/>
          <w:color w:val="000000"/>
          <w:sz w:val="28"/>
          <w:szCs w:val="32"/>
          <w:rtl/>
        </w:rPr>
        <w:tab/>
        <w:t>234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المطلب الأول </w:t>
      </w:r>
      <w:r w:rsidRPr="007C3EC7">
        <w:rPr>
          <w:rFonts w:cs="Traditional Arabic"/>
          <w:color w:val="000000"/>
          <w:sz w:val="28"/>
          <w:szCs w:val="32"/>
          <w:rtl/>
        </w:rPr>
        <w:t>–</w:t>
      </w:r>
      <w:r w:rsidRPr="007C3EC7">
        <w:rPr>
          <w:rFonts w:cs="Traditional Arabic" w:hint="cs"/>
          <w:color w:val="000000"/>
          <w:sz w:val="28"/>
          <w:szCs w:val="32"/>
          <w:rtl/>
        </w:rPr>
        <w:t xml:space="preserve"> انقضاء التزام الكفيل دون الدين المكفول بسبب من أسباب انقضاء</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الالتزام</w:t>
      </w:r>
      <w:r w:rsidRPr="007C3EC7">
        <w:rPr>
          <w:rFonts w:cs="Traditional Arabic" w:hint="cs"/>
          <w:color w:val="000000"/>
          <w:sz w:val="28"/>
          <w:szCs w:val="32"/>
          <w:rtl/>
        </w:rPr>
        <w:tab/>
      </w:r>
      <w:r w:rsidRPr="007C3EC7">
        <w:rPr>
          <w:rFonts w:cs="Traditional Arabic" w:hint="cs"/>
          <w:color w:val="000000"/>
          <w:sz w:val="28"/>
          <w:szCs w:val="32"/>
          <w:rtl/>
        </w:rPr>
        <w:tab/>
        <w:t>234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أسباب انقضاء التزام الكفيل دون الدين المكفول</w:t>
      </w:r>
      <w:r w:rsidRPr="007C3EC7">
        <w:rPr>
          <w:rFonts w:cs="Traditional Arabic" w:hint="cs"/>
          <w:color w:val="000000"/>
          <w:sz w:val="28"/>
          <w:szCs w:val="32"/>
          <w:rtl/>
        </w:rPr>
        <w:tab/>
      </w:r>
      <w:r w:rsidRPr="007C3EC7">
        <w:rPr>
          <w:rFonts w:cs="Traditional Arabic" w:hint="cs"/>
          <w:color w:val="000000"/>
          <w:sz w:val="28"/>
          <w:szCs w:val="32"/>
          <w:rtl/>
        </w:rPr>
        <w:tab/>
        <w:t>234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التزام الكفيل بالإبراء</w:t>
      </w:r>
      <w:r w:rsidRPr="007C3EC7">
        <w:rPr>
          <w:rFonts w:cs="Traditional Arabic" w:hint="cs"/>
          <w:color w:val="000000"/>
          <w:sz w:val="28"/>
          <w:szCs w:val="32"/>
          <w:rtl/>
        </w:rPr>
        <w:tab/>
      </w:r>
      <w:r w:rsidRPr="007C3EC7">
        <w:rPr>
          <w:rFonts w:cs="Traditional Arabic" w:hint="cs"/>
          <w:color w:val="000000"/>
          <w:sz w:val="28"/>
          <w:szCs w:val="32"/>
          <w:rtl/>
        </w:rPr>
        <w:tab/>
        <w:t>236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انقضاء التزام الكفيل بالتقادم</w:t>
      </w:r>
      <w:r w:rsidRPr="007C3EC7">
        <w:rPr>
          <w:rFonts w:cs="Traditional Arabic" w:hint="cs"/>
          <w:color w:val="000000"/>
          <w:sz w:val="28"/>
          <w:szCs w:val="32"/>
          <w:rtl/>
        </w:rPr>
        <w:tab/>
      </w:r>
      <w:r w:rsidRPr="007C3EC7">
        <w:rPr>
          <w:rFonts w:cs="Traditional Arabic" w:hint="cs"/>
          <w:color w:val="000000"/>
          <w:sz w:val="28"/>
          <w:szCs w:val="32"/>
          <w:rtl/>
        </w:rPr>
        <w:tab/>
        <w:t>238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t xml:space="preserve">المطلب الثاني </w:t>
      </w:r>
      <w:r w:rsidRPr="007C3EC7">
        <w:rPr>
          <w:rFonts w:cs="Traditional Arabic"/>
          <w:color w:val="000000"/>
          <w:sz w:val="28"/>
          <w:szCs w:val="32"/>
          <w:rtl/>
        </w:rPr>
        <w:t>–</w:t>
      </w:r>
      <w:r w:rsidRPr="007C3EC7">
        <w:rPr>
          <w:rFonts w:cs="Traditional Arabic" w:hint="cs"/>
          <w:color w:val="000000"/>
          <w:sz w:val="28"/>
          <w:szCs w:val="32"/>
          <w:rtl/>
        </w:rPr>
        <w:t xml:space="preserve"> أوجه خاصة بالكفالة دون غيرها </w:t>
      </w:r>
      <w:r w:rsidRPr="007C3EC7">
        <w:rPr>
          <w:rFonts w:cs="Traditional Arabic" w:hint="cs"/>
          <w:color w:val="000000"/>
          <w:sz w:val="28"/>
          <w:szCs w:val="32"/>
          <w:rtl/>
        </w:rPr>
        <w:tab/>
      </w:r>
      <w:r w:rsidRPr="007C3EC7">
        <w:rPr>
          <w:rFonts w:cs="Traditional Arabic" w:hint="cs"/>
          <w:color w:val="000000"/>
          <w:sz w:val="28"/>
          <w:szCs w:val="32"/>
          <w:rtl/>
        </w:rPr>
        <w:tab/>
        <w:t>239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أوجه ثلاثة خاصة بالكفالة</w:t>
      </w:r>
      <w:r w:rsidRPr="007C3EC7">
        <w:rPr>
          <w:rFonts w:cs="Traditional Arabic" w:hint="cs"/>
          <w:color w:val="000000"/>
          <w:sz w:val="28"/>
          <w:szCs w:val="32"/>
          <w:rtl/>
        </w:rPr>
        <w:tab/>
      </w:r>
      <w:r w:rsidRPr="007C3EC7">
        <w:rPr>
          <w:rFonts w:cs="Traditional Arabic" w:hint="cs"/>
          <w:color w:val="000000"/>
          <w:sz w:val="28"/>
          <w:szCs w:val="32"/>
          <w:rtl/>
        </w:rPr>
        <w:tab/>
        <w:t>239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1- براءة ذمة الكفيل بقدر ما أضاعه الدائن بخطأه من الضمان</w:t>
      </w:r>
      <w:r w:rsidRPr="007C3EC7">
        <w:rPr>
          <w:rFonts w:cs="Traditional Arabic" w:hint="cs"/>
          <w:color w:val="000000"/>
          <w:sz w:val="28"/>
          <w:szCs w:val="32"/>
          <w:rtl/>
        </w:rPr>
        <w:tab/>
      </w:r>
      <w:r w:rsidRPr="007C3EC7">
        <w:rPr>
          <w:rFonts w:cs="Traditional Arabic" w:hint="cs"/>
          <w:color w:val="000000"/>
          <w:sz w:val="28"/>
          <w:szCs w:val="32"/>
          <w:rtl/>
        </w:rPr>
        <w:tab/>
        <w:t>240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240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الكفلاء الذين يحق لهم التمسك ببراءة ذمتهم </w:t>
      </w:r>
      <w:r w:rsidRPr="007C3EC7">
        <w:rPr>
          <w:rFonts w:cs="Traditional Arabic" w:hint="cs"/>
          <w:color w:val="000000"/>
          <w:sz w:val="28"/>
          <w:szCs w:val="32"/>
          <w:rtl/>
        </w:rPr>
        <w:tab/>
      </w:r>
      <w:r w:rsidRPr="007C3EC7">
        <w:rPr>
          <w:rFonts w:cs="Traditional Arabic" w:hint="cs"/>
          <w:color w:val="000000"/>
          <w:sz w:val="28"/>
          <w:szCs w:val="32"/>
          <w:rtl/>
        </w:rPr>
        <w:tab/>
        <w:t>241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الأساس الذي تقوم عليه براءة ذمة الكفيل </w:t>
      </w:r>
      <w:r w:rsidRPr="007C3EC7">
        <w:rPr>
          <w:rFonts w:cs="Traditional Arabic" w:hint="cs"/>
          <w:color w:val="000000"/>
          <w:sz w:val="28"/>
          <w:szCs w:val="32"/>
          <w:rtl/>
        </w:rPr>
        <w:tab/>
      </w:r>
      <w:r w:rsidRPr="007C3EC7">
        <w:rPr>
          <w:rFonts w:cs="Traditional Arabic" w:hint="cs"/>
          <w:color w:val="000000"/>
          <w:sz w:val="28"/>
          <w:szCs w:val="32"/>
          <w:rtl/>
        </w:rPr>
        <w:tab/>
        <w:t>243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الخطأ الذي يرتكبه الدائن</w:t>
      </w:r>
      <w:r w:rsidRPr="007C3EC7">
        <w:rPr>
          <w:rFonts w:cs="Traditional Arabic" w:hint="cs"/>
          <w:color w:val="000000"/>
          <w:sz w:val="28"/>
          <w:szCs w:val="32"/>
          <w:rtl/>
        </w:rPr>
        <w:tab/>
      </w:r>
      <w:r w:rsidRPr="007C3EC7">
        <w:rPr>
          <w:rFonts w:cs="Traditional Arabic" w:hint="cs"/>
          <w:color w:val="000000"/>
          <w:sz w:val="28"/>
          <w:szCs w:val="32"/>
          <w:rtl/>
        </w:rPr>
        <w:tab/>
        <w:t>244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الضمانات التي يضيعها الدائن بخطأه</w:t>
      </w:r>
      <w:r w:rsidRPr="007C3EC7">
        <w:rPr>
          <w:rFonts w:cs="Traditional Arabic" w:hint="cs"/>
          <w:color w:val="000000"/>
          <w:sz w:val="28"/>
          <w:szCs w:val="32"/>
          <w:rtl/>
        </w:rPr>
        <w:tab/>
      </w:r>
      <w:r w:rsidRPr="007C3EC7">
        <w:rPr>
          <w:rFonts w:cs="Traditional Arabic" w:hint="cs"/>
          <w:color w:val="000000"/>
          <w:sz w:val="28"/>
          <w:szCs w:val="32"/>
          <w:rtl/>
        </w:rPr>
        <w:tab/>
        <w:t>245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الشروط الواجب توافرها لباءة ذمة الكفيل</w:t>
      </w:r>
      <w:r w:rsidRPr="007C3EC7">
        <w:rPr>
          <w:rFonts w:cs="Traditional Arabic" w:hint="cs"/>
          <w:color w:val="000000"/>
          <w:sz w:val="28"/>
          <w:szCs w:val="32"/>
          <w:rtl/>
        </w:rPr>
        <w:tab/>
      </w:r>
      <w:r w:rsidRPr="007C3EC7">
        <w:rPr>
          <w:rFonts w:cs="Traditional Arabic" w:hint="cs"/>
          <w:color w:val="000000"/>
          <w:sz w:val="28"/>
          <w:szCs w:val="32"/>
          <w:rtl/>
        </w:rPr>
        <w:tab/>
        <w:t>247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2- براءة ذمة الكيل لتأخر الدائن في اتخاذ الإجراءات ضد المدين</w:t>
      </w:r>
      <w:r w:rsidRPr="007C3EC7">
        <w:rPr>
          <w:rFonts w:cs="Traditional Arabic" w:hint="cs"/>
          <w:color w:val="000000"/>
          <w:sz w:val="28"/>
          <w:szCs w:val="32"/>
          <w:rtl/>
        </w:rPr>
        <w:tab/>
      </w:r>
      <w:r w:rsidRPr="007C3EC7">
        <w:rPr>
          <w:rFonts w:cs="Traditional Arabic" w:hint="cs"/>
          <w:color w:val="000000"/>
          <w:sz w:val="28"/>
          <w:szCs w:val="32"/>
          <w:rtl/>
        </w:rPr>
        <w:tab/>
        <w:t>249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249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تبرأ ذمة الكفيل لعدم اتخاذ الدائن إجراءات التنفيذ</w:t>
      </w:r>
      <w:r w:rsidRPr="007C3EC7">
        <w:rPr>
          <w:rFonts w:cs="Traditional Arabic" w:hint="cs"/>
          <w:color w:val="000000"/>
          <w:sz w:val="28"/>
          <w:szCs w:val="32"/>
          <w:rtl/>
        </w:rPr>
        <w:tab/>
      </w:r>
      <w:r w:rsidRPr="007C3EC7">
        <w:rPr>
          <w:rFonts w:cs="Traditional Arabic" w:hint="cs"/>
          <w:color w:val="000000"/>
          <w:sz w:val="28"/>
          <w:szCs w:val="32"/>
          <w:rtl/>
        </w:rPr>
        <w:tab/>
        <w:t>251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وجوب إنذار الكفيل الدائن </w:t>
      </w:r>
      <w:r w:rsidRPr="007C3EC7">
        <w:rPr>
          <w:rFonts w:cs="Traditional Arabic" w:hint="cs"/>
          <w:color w:val="000000"/>
          <w:sz w:val="28"/>
          <w:szCs w:val="32"/>
          <w:rtl/>
        </w:rPr>
        <w:tab/>
      </w:r>
      <w:r w:rsidRPr="007C3EC7">
        <w:rPr>
          <w:rFonts w:cs="Traditional Arabic" w:hint="cs"/>
          <w:color w:val="000000"/>
          <w:sz w:val="28"/>
          <w:szCs w:val="32"/>
          <w:rtl/>
        </w:rPr>
        <w:tab/>
        <w:t>253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الذي يترتب على إنذار الكفيل للدائن</w:t>
      </w:r>
      <w:r w:rsidRPr="007C3EC7">
        <w:rPr>
          <w:rFonts w:cs="Traditional Arabic" w:hint="cs"/>
          <w:color w:val="000000"/>
          <w:sz w:val="28"/>
          <w:szCs w:val="32"/>
          <w:rtl/>
        </w:rPr>
        <w:tab/>
      </w:r>
      <w:r w:rsidRPr="007C3EC7">
        <w:rPr>
          <w:rFonts w:cs="Traditional Arabic" w:hint="cs"/>
          <w:color w:val="000000"/>
          <w:sz w:val="28"/>
          <w:szCs w:val="32"/>
          <w:rtl/>
        </w:rPr>
        <w:tab/>
        <w:t>254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3- عدم تقدم الدائن في تفليسة الدائن</w:t>
      </w:r>
      <w:r w:rsidRPr="007C3EC7">
        <w:rPr>
          <w:rFonts w:cs="Traditional Arabic" w:hint="cs"/>
          <w:color w:val="000000"/>
          <w:sz w:val="28"/>
          <w:szCs w:val="32"/>
          <w:rtl/>
        </w:rPr>
        <w:tab/>
      </w:r>
      <w:r w:rsidRPr="007C3EC7">
        <w:rPr>
          <w:rFonts w:cs="Traditional Arabic" w:hint="cs"/>
          <w:color w:val="000000"/>
          <w:sz w:val="28"/>
          <w:szCs w:val="32"/>
          <w:rtl/>
        </w:rPr>
        <w:tab/>
        <w:t>255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255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إفلاس المدين أو إسعاره قبل حلول الدين المكفول</w:t>
      </w:r>
      <w:r w:rsidRPr="007C3EC7">
        <w:rPr>
          <w:rFonts w:cs="Traditional Arabic" w:hint="cs"/>
          <w:color w:val="000000"/>
          <w:sz w:val="28"/>
          <w:szCs w:val="32"/>
          <w:rtl/>
        </w:rPr>
        <w:tab/>
      </w:r>
      <w:r w:rsidRPr="007C3EC7">
        <w:rPr>
          <w:rFonts w:cs="Traditional Arabic" w:hint="cs"/>
          <w:color w:val="000000"/>
          <w:sz w:val="28"/>
          <w:szCs w:val="32"/>
          <w:rtl/>
        </w:rPr>
        <w:tab/>
        <w:t>256</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القسم الثاني</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التأمينات العينية</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تمهيـــد</w:t>
      </w:r>
      <w:r w:rsidRPr="007C3EC7">
        <w:rPr>
          <w:rFonts w:cs="Traditional Arabic" w:hint="cs"/>
          <w:color w:val="000000"/>
          <w:sz w:val="28"/>
          <w:szCs w:val="32"/>
          <w:rtl/>
        </w:rPr>
        <w:tab/>
      </w:r>
      <w:r w:rsidRPr="007C3EC7">
        <w:rPr>
          <w:rFonts w:cs="Traditional Arabic" w:hint="cs"/>
          <w:color w:val="000000"/>
          <w:sz w:val="28"/>
          <w:szCs w:val="32"/>
          <w:rtl/>
        </w:rPr>
        <w:tab/>
        <w:t>261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كيف يتقدم الدائن ذو التأمين العيني على الدائن العادي</w:t>
      </w:r>
      <w:r w:rsidRPr="007C3EC7">
        <w:rPr>
          <w:rFonts w:cs="Traditional Arabic" w:hint="cs"/>
          <w:color w:val="000000"/>
          <w:sz w:val="28"/>
          <w:szCs w:val="32"/>
          <w:rtl/>
        </w:rPr>
        <w:tab/>
      </w:r>
      <w:r w:rsidRPr="007C3EC7">
        <w:rPr>
          <w:rFonts w:cs="Traditional Arabic" w:hint="cs"/>
          <w:color w:val="000000"/>
          <w:sz w:val="28"/>
          <w:szCs w:val="32"/>
          <w:rtl/>
        </w:rPr>
        <w:tab/>
        <w:t>261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الفروق ما بين الرهون وحقوق الامتياز</w:t>
      </w:r>
      <w:r w:rsidRPr="007C3EC7">
        <w:rPr>
          <w:rFonts w:cs="Traditional Arabic" w:hint="cs"/>
          <w:color w:val="000000"/>
          <w:sz w:val="28"/>
          <w:szCs w:val="32"/>
          <w:rtl/>
        </w:rPr>
        <w:tab/>
      </w:r>
      <w:r w:rsidRPr="007C3EC7">
        <w:rPr>
          <w:rFonts w:cs="Traditional Arabic" w:hint="cs"/>
          <w:color w:val="000000"/>
          <w:sz w:val="28"/>
          <w:szCs w:val="32"/>
          <w:rtl/>
        </w:rPr>
        <w:tab/>
        <w:t>263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طهور الرهون الرسمية على المنقولات</w:t>
      </w:r>
      <w:r w:rsidRPr="007C3EC7">
        <w:rPr>
          <w:rFonts w:cs="Traditional Arabic" w:hint="cs"/>
          <w:color w:val="000000"/>
          <w:sz w:val="28"/>
          <w:szCs w:val="32"/>
          <w:rtl/>
        </w:rPr>
        <w:tab/>
      </w:r>
      <w:r w:rsidRPr="007C3EC7">
        <w:rPr>
          <w:rFonts w:cs="Traditional Arabic" w:hint="cs"/>
          <w:color w:val="000000"/>
          <w:sz w:val="28"/>
          <w:szCs w:val="32"/>
          <w:rtl/>
        </w:rPr>
        <w:tab/>
        <w:t>265</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34"/>
          <w:szCs w:val="38"/>
          <w:rtl/>
        </w:rPr>
      </w:pPr>
      <w:r w:rsidRPr="007C3EC7">
        <w:rPr>
          <w:rFonts w:cs="Traditional Arabic" w:hint="cs"/>
          <w:b/>
          <w:bCs/>
          <w:color w:val="000000"/>
          <w:sz w:val="34"/>
          <w:szCs w:val="38"/>
          <w:rtl/>
        </w:rPr>
        <w:t xml:space="preserve">الباب الأول </w:t>
      </w:r>
      <w:r w:rsidRPr="007C3EC7">
        <w:rPr>
          <w:rFonts w:cs="Traditional Arabic"/>
          <w:b/>
          <w:bCs/>
          <w:color w:val="000000"/>
          <w:sz w:val="34"/>
          <w:szCs w:val="38"/>
          <w:rtl/>
        </w:rPr>
        <w:t>–</w:t>
      </w:r>
      <w:r w:rsidRPr="007C3EC7">
        <w:rPr>
          <w:rFonts w:cs="Traditional Arabic" w:hint="cs"/>
          <w:b/>
          <w:bCs/>
          <w:color w:val="000000"/>
          <w:sz w:val="34"/>
          <w:szCs w:val="38"/>
          <w:rtl/>
        </w:rPr>
        <w:t xml:space="preserve"> الرهن الرسمي</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التأمينات العينية في التقنين المدني المصري</w:t>
      </w:r>
      <w:r w:rsidRPr="007C3EC7">
        <w:rPr>
          <w:rFonts w:cs="Traditional Arabic" w:hint="cs"/>
          <w:color w:val="000000"/>
          <w:sz w:val="28"/>
          <w:szCs w:val="32"/>
          <w:rtl/>
        </w:rPr>
        <w:tab/>
      </w:r>
      <w:r w:rsidRPr="007C3EC7">
        <w:rPr>
          <w:rFonts w:cs="Traditional Arabic" w:hint="cs"/>
          <w:color w:val="000000"/>
          <w:sz w:val="28"/>
          <w:szCs w:val="32"/>
          <w:rtl/>
        </w:rPr>
        <w:tab/>
        <w:t>265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تعريف الرهن الرسمي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268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خصائص حق الرهن الرسمي</w:t>
      </w:r>
      <w:r w:rsidRPr="007C3EC7">
        <w:rPr>
          <w:rFonts w:cs="Traditional Arabic" w:hint="cs"/>
          <w:color w:val="000000"/>
          <w:sz w:val="28"/>
          <w:szCs w:val="32"/>
          <w:rtl/>
        </w:rPr>
        <w:tab/>
      </w:r>
      <w:r w:rsidRPr="007C3EC7">
        <w:rPr>
          <w:rFonts w:cs="Traditional Arabic" w:hint="cs"/>
          <w:color w:val="000000"/>
          <w:sz w:val="28"/>
          <w:szCs w:val="32"/>
          <w:rtl/>
        </w:rPr>
        <w:tab/>
        <w:t>270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الرهن الرسمي حق عيني عقاري</w:t>
      </w:r>
      <w:r w:rsidRPr="007C3EC7">
        <w:rPr>
          <w:rFonts w:cs="Traditional Arabic" w:hint="cs"/>
          <w:color w:val="000000"/>
          <w:sz w:val="28"/>
          <w:szCs w:val="32"/>
          <w:rtl/>
        </w:rPr>
        <w:tab/>
      </w:r>
      <w:r w:rsidRPr="007C3EC7">
        <w:rPr>
          <w:rFonts w:cs="Traditional Arabic" w:hint="cs"/>
          <w:color w:val="000000"/>
          <w:sz w:val="28"/>
          <w:szCs w:val="32"/>
          <w:rtl/>
        </w:rPr>
        <w:tab/>
        <w:t>271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الرهن الرسمي تبعي</w:t>
      </w:r>
      <w:r w:rsidRPr="007C3EC7">
        <w:rPr>
          <w:rFonts w:cs="Traditional Arabic" w:hint="cs"/>
          <w:color w:val="000000"/>
          <w:sz w:val="28"/>
          <w:szCs w:val="32"/>
          <w:rtl/>
        </w:rPr>
        <w:tab/>
      </w:r>
      <w:r w:rsidRPr="007C3EC7">
        <w:rPr>
          <w:rFonts w:cs="Traditional Arabic" w:hint="cs"/>
          <w:color w:val="000000"/>
          <w:sz w:val="28"/>
          <w:szCs w:val="32"/>
          <w:rtl/>
        </w:rPr>
        <w:tab/>
        <w:t>271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الرهن الرسمي حق غير قابل للتجزئة</w:t>
      </w:r>
      <w:r w:rsidRPr="007C3EC7">
        <w:rPr>
          <w:rFonts w:cs="Traditional Arabic" w:hint="cs"/>
          <w:color w:val="000000"/>
          <w:sz w:val="28"/>
          <w:szCs w:val="32"/>
          <w:rtl/>
        </w:rPr>
        <w:tab/>
      </w:r>
      <w:r w:rsidRPr="007C3EC7">
        <w:rPr>
          <w:rFonts w:cs="Traditional Arabic" w:hint="cs"/>
          <w:color w:val="000000"/>
          <w:sz w:val="28"/>
          <w:szCs w:val="32"/>
          <w:rtl/>
        </w:rPr>
        <w:tab/>
        <w:t>273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خطة البحث</w:t>
      </w:r>
      <w:r w:rsidRPr="007C3EC7">
        <w:rPr>
          <w:rFonts w:cs="Traditional Arabic" w:hint="cs"/>
          <w:color w:val="000000"/>
          <w:sz w:val="28"/>
          <w:szCs w:val="32"/>
          <w:rtl/>
        </w:rPr>
        <w:tab/>
      </w:r>
      <w:r w:rsidRPr="007C3EC7">
        <w:rPr>
          <w:rFonts w:cs="Traditional Arabic" w:hint="cs"/>
          <w:color w:val="000000"/>
          <w:sz w:val="28"/>
          <w:szCs w:val="32"/>
          <w:rtl/>
        </w:rPr>
        <w:tab/>
        <w:t>274</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الأول </w:t>
      </w:r>
      <w:r w:rsidRPr="007C3EC7">
        <w:rPr>
          <w:rFonts w:cs="Traditional Arabic"/>
          <w:b/>
          <w:bCs/>
          <w:color w:val="000000"/>
          <w:sz w:val="28"/>
          <w:szCs w:val="32"/>
          <w:rtl/>
        </w:rPr>
        <w:t>–</w:t>
      </w:r>
      <w:r w:rsidRPr="007C3EC7">
        <w:rPr>
          <w:rFonts w:cs="Traditional Arabic" w:hint="cs"/>
          <w:b/>
          <w:bCs/>
          <w:color w:val="000000"/>
          <w:sz w:val="28"/>
          <w:szCs w:val="32"/>
          <w:rtl/>
        </w:rPr>
        <w:t xml:space="preserve"> إنشاء الرهن الرسمي</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الشكل والموضوع</w:t>
      </w:r>
      <w:r w:rsidRPr="007C3EC7">
        <w:rPr>
          <w:rFonts w:cs="Traditional Arabic" w:hint="cs"/>
          <w:color w:val="000000"/>
          <w:sz w:val="28"/>
          <w:szCs w:val="32"/>
          <w:rtl/>
        </w:rPr>
        <w:tab/>
      </w:r>
      <w:r w:rsidRPr="007C3EC7">
        <w:rPr>
          <w:rFonts w:cs="Traditional Arabic" w:hint="cs"/>
          <w:color w:val="000000"/>
          <w:sz w:val="28"/>
          <w:szCs w:val="32"/>
          <w:rtl/>
        </w:rPr>
        <w:tab/>
        <w:t>276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إنشاء الرهن الرسمي من ناحية الشكل</w:t>
      </w:r>
      <w:r w:rsidRPr="007C3EC7">
        <w:rPr>
          <w:rFonts w:cs="Traditional Arabic" w:hint="cs"/>
          <w:color w:val="000000"/>
          <w:sz w:val="28"/>
          <w:szCs w:val="32"/>
          <w:rtl/>
        </w:rPr>
        <w:tab/>
      </w:r>
      <w:r w:rsidRPr="007C3EC7">
        <w:rPr>
          <w:rFonts w:cs="Traditional Arabic" w:hint="cs"/>
          <w:color w:val="000000"/>
          <w:sz w:val="28"/>
          <w:szCs w:val="32"/>
          <w:rtl/>
        </w:rPr>
        <w:tab/>
        <w:t>277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277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أهمية الرسمية لانعقاد عقد الرهن الرسمي ولإنشاء هذا العقد لحق رهن رسمي</w:t>
      </w:r>
      <w:r w:rsidRPr="007C3EC7">
        <w:rPr>
          <w:rFonts w:cs="Traditional Arabic" w:hint="cs"/>
          <w:color w:val="000000"/>
          <w:sz w:val="28"/>
          <w:szCs w:val="32"/>
          <w:rtl/>
        </w:rPr>
        <w:tab/>
      </w:r>
      <w:r w:rsidRPr="007C3EC7">
        <w:rPr>
          <w:rFonts w:cs="Traditional Arabic" w:hint="cs"/>
          <w:color w:val="000000"/>
          <w:sz w:val="28"/>
          <w:szCs w:val="32"/>
          <w:rtl/>
        </w:rPr>
        <w:tab/>
        <w:t>280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المقصود بالرسمية في هذا الصدد</w:t>
      </w:r>
      <w:r w:rsidRPr="007C3EC7">
        <w:rPr>
          <w:rFonts w:cs="Traditional Arabic" w:hint="cs"/>
          <w:color w:val="000000"/>
          <w:sz w:val="28"/>
          <w:szCs w:val="32"/>
          <w:rtl/>
        </w:rPr>
        <w:tab/>
      </w:r>
      <w:r w:rsidRPr="007C3EC7">
        <w:rPr>
          <w:rFonts w:cs="Traditional Arabic" w:hint="cs"/>
          <w:color w:val="000000"/>
          <w:sz w:val="28"/>
          <w:szCs w:val="32"/>
          <w:rtl/>
        </w:rPr>
        <w:tab/>
        <w:t>281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الجزاء على تخلف الرسمية</w:t>
      </w:r>
      <w:r w:rsidRPr="007C3EC7">
        <w:rPr>
          <w:rFonts w:cs="Traditional Arabic" w:hint="cs"/>
          <w:color w:val="000000"/>
          <w:sz w:val="28"/>
          <w:szCs w:val="32"/>
          <w:rtl/>
        </w:rPr>
        <w:tab/>
      </w:r>
      <w:r w:rsidRPr="007C3EC7">
        <w:rPr>
          <w:rFonts w:cs="Traditional Arabic" w:hint="cs"/>
          <w:color w:val="000000"/>
          <w:sz w:val="28"/>
          <w:szCs w:val="32"/>
          <w:rtl/>
        </w:rPr>
        <w:tab/>
        <w:t>282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إبرام عقد الرهن الرسمي خارج مصر</w:t>
      </w:r>
      <w:r w:rsidRPr="007C3EC7">
        <w:rPr>
          <w:rFonts w:cs="Traditional Arabic" w:hint="cs"/>
          <w:color w:val="000000"/>
          <w:sz w:val="28"/>
          <w:szCs w:val="32"/>
          <w:rtl/>
        </w:rPr>
        <w:tab/>
      </w:r>
      <w:r w:rsidRPr="007C3EC7">
        <w:rPr>
          <w:rFonts w:cs="Traditional Arabic" w:hint="cs"/>
          <w:color w:val="000000"/>
          <w:sz w:val="28"/>
          <w:szCs w:val="32"/>
          <w:rtl/>
        </w:rPr>
        <w:tab/>
        <w:t>283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نفقات عقد الرهن الرسمي</w:t>
      </w:r>
      <w:r w:rsidRPr="007C3EC7">
        <w:rPr>
          <w:rFonts w:cs="Traditional Arabic" w:hint="cs"/>
          <w:color w:val="000000"/>
          <w:sz w:val="28"/>
          <w:szCs w:val="32"/>
          <w:rtl/>
        </w:rPr>
        <w:tab/>
      </w:r>
      <w:r w:rsidRPr="007C3EC7">
        <w:rPr>
          <w:rFonts w:cs="Traditional Arabic" w:hint="cs"/>
          <w:color w:val="000000"/>
          <w:sz w:val="28"/>
          <w:szCs w:val="32"/>
          <w:rtl/>
        </w:rPr>
        <w:tab/>
        <w:t>285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التوكيل في الرهن الرسمي</w:t>
      </w:r>
      <w:r w:rsidRPr="007C3EC7">
        <w:rPr>
          <w:rFonts w:cs="Traditional Arabic" w:hint="cs"/>
          <w:color w:val="000000"/>
          <w:sz w:val="28"/>
          <w:szCs w:val="32"/>
          <w:rtl/>
        </w:rPr>
        <w:tab/>
      </w:r>
      <w:r w:rsidRPr="007C3EC7">
        <w:rPr>
          <w:rFonts w:cs="Traditional Arabic" w:hint="cs"/>
          <w:color w:val="000000"/>
          <w:sz w:val="28"/>
          <w:szCs w:val="32"/>
          <w:rtl/>
        </w:rPr>
        <w:tab/>
        <w:t>286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الوعد بالرهن الرسمي</w:t>
      </w:r>
      <w:r w:rsidRPr="007C3EC7">
        <w:rPr>
          <w:rFonts w:cs="Traditional Arabic" w:hint="cs"/>
          <w:color w:val="000000"/>
          <w:sz w:val="28"/>
          <w:szCs w:val="32"/>
          <w:rtl/>
        </w:rPr>
        <w:tab/>
      </w:r>
      <w:r w:rsidRPr="007C3EC7">
        <w:rPr>
          <w:rFonts w:cs="Traditional Arabic" w:hint="cs"/>
          <w:color w:val="000000"/>
          <w:sz w:val="28"/>
          <w:szCs w:val="32"/>
          <w:rtl/>
        </w:rPr>
        <w:tab/>
        <w:t>288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إنشاء الرهن الرسمي من ناحية الموضوع</w:t>
      </w:r>
      <w:r w:rsidRPr="007C3EC7">
        <w:rPr>
          <w:rFonts w:cs="Traditional Arabic" w:hint="cs"/>
          <w:color w:val="000000"/>
          <w:sz w:val="28"/>
          <w:szCs w:val="32"/>
          <w:rtl/>
        </w:rPr>
        <w:tab/>
      </w:r>
      <w:r w:rsidRPr="007C3EC7">
        <w:rPr>
          <w:rFonts w:cs="Traditional Arabic" w:hint="cs"/>
          <w:color w:val="000000"/>
          <w:sz w:val="28"/>
          <w:szCs w:val="32"/>
          <w:rtl/>
        </w:rPr>
        <w:tab/>
        <w:t>290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تطبيق القواعد العامة</w:t>
      </w:r>
      <w:r w:rsidRPr="007C3EC7">
        <w:rPr>
          <w:rFonts w:cs="Traditional Arabic" w:hint="cs"/>
          <w:color w:val="000000"/>
          <w:sz w:val="28"/>
          <w:szCs w:val="32"/>
          <w:rtl/>
        </w:rPr>
        <w:tab/>
      </w:r>
      <w:r w:rsidRPr="007C3EC7">
        <w:rPr>
          <w:rFonts w:cs="Traditional Arabic" w:hint="cs"/>
          <w:color w:val="000000"/>
          <w:sz w:val="28"/>
          <w:szCs w:val="32"/>
          <w:rtl/>
        </w:rPr>
        <w:tab/>
        <w:t>290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خطة البحث</w:t>
      </w:r>
      <w:r w:rsidRPr="007C3EC7">
        <w:rPr>
          <w:rFonts w:cs="Traditional Arabic" w:hint="cs"/>
          <w:color w:val="000000"/>
          <w:sz w:val="28"/>
          <w:szCs w:val="32"/>
          <w:rtl/>
        </w:rPr>
        <w:tab/>
      </w:r>
      <w:r w:rsidRPr="007C3EC7">
        <w:rPr>
          <w:rFonts w:cs="Traditional Arabic" w:hint="cs"/>
          <w:color w:val="000000"/>
          <w:sz w:val="28"/>
          <w:szCs w:val="32"/>
          <w:rtl/>
        </w:rPr>
        <w:tab/>
        <w:t>293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المطلب الأول </w:t>
      </w:r>
      <w:r w:rsidRPr="007C3EC7">
        <w:rPr>
          <w:rFonts w:cs="Traditional Arabic"/>
          <w:color w:val="000000"/>
          <w:sz w:val="28"/>
          <w:szCs w:val="32"/>
          <w:rtl/>
        </w:rPr>
        <w:t>–</w:t>
      </w:r>
      <w:r w:rsidRPr="007C3EC7">
        <w:rPr>
          <w:rFonts w:cs="Traditional Arabic" w:hint="cs"/>
          <w:color w:val="000000"/>
          <w:sz w:val="28"/>
          <w:szCs w:val="32"/>
          <w:rtl/>
        </w:rPr>
        <w:t xml:space="preserve"> الرهن وملكيته للعقار المرهون وأهليته للتصرف فيه</w:t>
      </w:r>
      <w:r w:rsidRPr="007C3EC7">
        <w:rPr>
          <w:rFonts w:cs="Traditional Arabic" w:hint="cs"/>
          <w:color w:val="000000"/>
          <w:sz w:val="28"/>
          <w:szCs w:val="32"/>
          <w:rtl/>
        </w:rPr>
        <w:tab/>
      </w:r>
      <w:r w:rsidRPr="007C3EC7">
        <w:rPr>
          <w:rFonts w:cs="Traditional Arabic" w:hint="cs"/>
          <w:color w:val="000000"/>
          <w:sz w:val="28"/>
          <w:szCs w:val="32"/>
          <w:rtl/>
        </w:rPr>
        <w:tab/>
        <w:t>294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294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cs="Traditional Arabic" w:hint="cs"/>
          <w:color w:val="000000"/>
          <w:sz w:val="28"/>
          <w:szCs w:val="32"/>
          <w:rtl/>
        </w:rPr>
        <w:t xml:space="preserve"> 1- ملكية الراهن للعقار المرهون</w:t>
      </w:r>
      <w:r w:rsidRPr="007C3EC7">
        <w:rPr>
          <w:rFonts w:cs="Traditional Arabic" w:hint="cs"/>
          <w:color w:val="000000"/>
          <w:sz w:val="28"/>
          <w:szCs w:val="32"/>
          <w:rtl/>
        </w:rPr>
        <w:tab/>
      </w:r>
      <w:r w:rsidRPr="007C3EC7">
        <w:rPr>
          <w:rFonts w:cs="Traditional Arabic" w:hint="cs"/>
          <w:color w:val="000000"/>
          <w:sz w:val="28"/>
          <w:szCs w:val="32"/>
          <w:rtl/>
        </w:rPr>
        <w:tab/>
        <w:t>295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أن يكون الراهن مالكا للعقار المرهون</w:t>
      </w:r>
      <w:r w:rsidRPr="007C3EC7">
        <w:rPr>
          <w:rFonts w:cs="Traditional Arabic" w:hint="cs"/>
          <w:color w:val="000000"/>
          <w:sz w:val="28"/>
          <w:szCs w:val="32"/>
          <w:rtl/>
        </w:rPr>
        <w:tab/>
      </w:r>
      <w:r w:rsidRPr="007C3EC7">
        <w:rPr>
          <w:rFonts w:cs="Traditional Arabic" w:hint="cs"/>
          <w:color w:val="000000"/>
          <w:sz w:val="28"/>
          <w:szCs w:val="32"/>
          <w:rtl/>
        </w:rPr>
        <w:tab/>
        <w:t>295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 xml:space="preserve">رهن ملك الغير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297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ملك الغير في التقنين المدني الفرنسي</w:t>
      </w:r>
      <w:r w:rsidRPr="007C3EC7">
        <w:rPr>
          <w:rFonts w:cs="Traditional Arabic" w:hint="cs"/>
          <w:color w:val="000000"/>
          <w:sz w:val="28"/>
          <w:szCs w:val="32"/>
          <w:rtl/>
        </w:rPr>
        <w:tab/>
      </w:r>
      <w:r w:rsidRPr="007C3EC7">
        <w:rPr>
          <w:rFonts w:cs="Traditional Arabic" w:hint="cs"/>
          <w:color w:val="000000"/>
          <w:sz w:val="28"/>
          <w:szCs w:val="32"/>
          <w:rtl/>
        </w:rPr>
        <w:tab/>
        <w:t>299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ملك الغير في التقنيني المدني المصري السابق</w:t>
      </w:r>
      <w:r w:rsidRPr="007C3EC7">
        <w:rPr>
          <w:rFonts w:cs="Traditional Arabic" w:hint="cs"/>
          <w:color w:val="000000"/>
          <w:sz w:val="28"/>
          <w:szCs w:val="32"/>
          <w:rtl/>
        </w:rPr>
        <w:tab/>
      </w:r>
      <w:r w:rsidRPr="007C3EC7">
        <w:rPr>
          <w:rFonts w:cs="Traditional Arabic" w:hint="cs"/>
          <w:color w:val="000000"/>
          <w:sz w:val="28"/>
          <w:szCs w:val="32"/>
          <w:rtl/>
        </w:rPr>
        <w:tab/>
        <w:t>301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بطلان بيع ملك الغير في التقنين المدني المصري الجديد</w:t>
      </w:r>
      <w:r w:rsidRPr="007C3EC7">
        <w:rPr>
          <w:rFonts w:cs="Traditional Arabic" w:hint="cs"/>
          <w:color w:val="000000"/>
          <w:sz w:val="28"/>
          <w:szCs w:val="32"/>
          <w:rtl/>
        </w:rPr>
        <w:tab/>
      </w:r>
      <w:r w:rsidRPr="007C3EC7">
        <w:rPr>
          <w:rFonts w:cs="Traditional Arabic" w:hint="cs"/>
          <w:color w:val="000000"/>
          <w:sz w:val="28"/>
          <w:szCs w:val="32"/>
          <w:rtl/>
        </w:rPr>
        <w:tab/>
        <w:t>302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رهن الملك المستقبل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308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الملك الظاهر</w:t>
      </w:r>
      <w:r w:rsidRPr="007C3EC7">
        <w:rPr>
          <w:rFonts w:cs="Traditional Arabic" w:hint="cs"/>
          <w:color w:val="000000"/>
          <w:sz w:val="28"/>
          <w:szCs w:val="32"/>
          <w:rtl/>
        </w:rPr>
        <w:tab/>
      </w:r>
      <w:r w:rsidRPr="007C3EC7">
        <w:rPr>
          <w:rFonts w:cs="Traditional Arabic" w:hint="cs"/>
          <w:color w:val="000000"/>
          <w:sz w:val="28"/>
          <w:szCs w:val="32"/>
          <w:rtl/>
        </w:rPr>
        <w:tab/>
        <w:t>309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المشتري للعقار قبل تسجيل عقد شرائه</w:t>
      </w:r>
      <w:r w:rsidRPr="007C3EC7">
        <w:rPr>
          <w:rFonts w:cs="Traditional Arabic" w:hint="cs"/>
          <w:color w:val="000000"/>
          <w:sz w:val="28"/>
          <w:szCs w:val="32"/>
          <w:rtl/>
        </w:rPr>
        <w:tab/>
      </w:r>
      <w:r w:rsidRPr="007C3EC7">
        <w:rPr>
          <w:rFonts w:cs="Traditional Arabic" w:hint="cs"/>
          <w:color w:val="000000"/>
          <w:sz w:val="28"/>
          <w:szCs w:val="32"/>
          <w:rtl/>
        </w:rPr>
        <w:tab/>
        <w:t>312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رهن الوارث قبل سداد ديون التركة </w:t>
      </w:r>
      <w:r w:rsidRPr="007C3EC7">
        <w:rPr>
          <w:rFonts w:cs="Traditional Arabic" w:hint="cs"/>
          <w:color w:val="000000"/>
          <w:sz w:val="28"/>
          <w:szCs w:val="32"/>
          <w:rtl/>
        </w:rPr>
        <w:tab/>
      </w:r>
      <w:r w:rsidRPr="007C3EC7">
        <w:rPr>
          <w:rFonts w:cs="Traditional Arabic" w:hint="cs"/>
          <w:color w:val="000000"/>
          <w:sz w:val="28"/>
          <w:szCs w:val="32"/>
          <w:rtl/>
        </w:rPr>
        <w:tab/>
        <w:t>313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من تقرير بعد الرهن إبطال سند ملكيته أو فسخه أو إلغاؤه أو زواله لأي سبب</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314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رهن العقار الشائع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322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لجميع الشركاء للعقار الشائع</w:t>
      </w:r>
      <w:r w:rsidRPr="007C3EC7">
        <w:rPr>
          <w:rFonts w:cs="Traditional Arabic" w:hint="cs"/>
          <w:color w:val="000000"/>
          <w:sz w:val="28"/>
          <w:szCs w:val="32"/>
          <w:rtl/>
        </w:rPr>
        <w:tab/>
      </w:r>
      <w:r w:rsidRPr="007C3EC7">
        <w:rPr>
          <w:rFonts w:cs="Traditional Arabic" w:hint="cs"/>
          <w:color w:val="000000"/>
          <w:sz w:val="28"/>
          <w:szCs w:val="32"/>
          <w:rtl/>
        </w:rPr>
        <w:tab/>
        <w:t>323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أحد الشركاء لحصته الشائعة في العقار الشائع</w:t>
      </w:r>
      <w:r w:rsidRPr="007C3EC7">
        <w:rPr>
          <w:rFonts w:cs="Traditional Arabic" w:hint="cs"/>
          <w:color w:val="000000"/>
          <w:sz w:val="28"/>
          <w:szCs w:val="32"/>
          <w:rtl/>
        </w:rPr>
        <w:tab/>
      </w:r>
      <w:r w:rsidRPr="007C3EC7">
        <w:rPr>
          <w:rFonts w:cs="Traditional Arabic" w:hint="cs"/>
          <w:color w:val="000000"/>
          <w:sz w:val="28"/>
          <w:szCs w:val="32"/>
          <w:rtl/>
        </w:rPr>
        <w:tab/>
        <w:t>328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رهن أحد الشركاء لجزء مفرز من العقار الشائع</w:t>
      </w:r>
      <w:r w:rsidRPr="007C3EC7">
        <w:rPr>
          <w:rFonts w:cs="Traditional Arabic" w:hint="cs"/>
          <w:color w:val="000000"/>
          <w:sz w:val="28"/>
          <w:szCs w:val="32"/>
          <w:rtl/>
        </w:rPr>
        <w:tab/>
      </w:r>
      <w:r w:rsidRPr="007C3EC7">
        <w:rPr>
          <w:rFonts w:cs="Traditional Arabic" w:hint="cs"/>
          <w:color w:val="000000"/>
          <w:sz w:val="28"/>
          <w:szCs w:val="32"/>
          <w:rtl/>
        </w:rPr>
        <w:tab/>
        <w:t>334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أهلية الراهن للتصرف في العقار المرهون وأهلية الدائن المرتهن</w:t>
      </w:r>
      <w:r w:rsidRPr="007C3EC7">
        <w:rPr>
          <w:rFonts w:cs="Traditional Arabic" w:hint="cs"/>
          <w:color w:val="000000"/>
          <w:sz w:val="28"/>
          <w:szCs w:val="32"/>
          <w:rtl/>
        </w:rPr>
        <w:tab/>
      </w:r>
      <w:r w:rsidRPr="007C3EC7">
        <w:rPr>
          <w:rFonts w:cs="Traditional Arabic" w:hint="cs"/>
          <w:color w:val="000000"/>
          <w:sz w:val="28"/>
          <w:szCs w:val="32"/>
          <w:rtl/>
        </w:rPr>
        <w:tab/>
        <w:t>336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توافر أهلية الراهن للتصرف في العقار المرهون</w:t>
      </w:r>
      <w:r w:rsidRPr="007C3EC7">
        <w:rPr>
          <w:rFonts w:cs="Traditional Arabic" w:hint="cs"/>
          <w:color w:val="000000"/>
          <w:sz w:val="28"/>
          <w:szCs w:val="32"/>
          <w:rtl/>
        </w:rPr>
        <w:tab/>
      </w:r>
      <w:r w:rsidRPr="007C3EC7">
        <w:rPr>
          <w:rFonts w:cs="Traditional Arabic" w:hint="cs"/>
          <w:color w:val="000000"/>
          <w:sz w:val="28"/>
          <w:szCs w:val="32"/>
          <w:rtl/>
        </w:rPr>
        <w:tab/>
        <w:t>336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أهلية المدين الراهن</w:t>
      </w:r>
      <w:r w:rsidRPr="007C3EC7">
        <w:rPr>
          <w:rFonts w:cs="Traditional Arabic" w:hint="cs"/>
          <w:color w:val="000000"/>
          <w:sz w:val="28"/>
          <w:szCs w:val="32"/>
          <w:rtl/>
        </w:rPr>
        <w:tab/>
      </w:r>
      <w:r w:rsidRPr="007C3EC7">
        <w:rPr>
          <w:rFonts w:cs="Traditional Arabic" w:hint="cs"/>
          <w:color w:val="000000"/>
          <w:sz w:val="28"/>
          <w:szCs w:val="32"/>
          <w:rtl/>
        </w:rPr>
        <w:tab/>
        <w:t>337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أهلية الدائن المرتهن</w:t>
      </w:r>
      <w:r w:rsidRPr="007C3EC7">
        <w:rPr>
          <w:rFonts w:cs="Traditional Arabic" w:hint="cs"/>
          <w:color w:val="000000"/>
          <w:sz w:val="28"/>
          <w:szCs w:val="32"/>
          <w:rtl/>
        </w:rPr>
        <w:tab/>
      </w:r>
      <w:r w:rsidRPr="007C3EC7">
        <w:rPr>
          <w:rFonts w:cs="Traditional Arabic" w:hint="cs"/>
          <w:color w:val="000000"/>
          <w:sz w:val="28"/>
          <w:szCs w:val="32"/>
          <w:rtl/>
        </w:rPr>
        <w:tab/>
        <w:t>340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الولاية فيما يتعلق بالمدين الراهن</w:t>
      </w:r>
      <w:r w:rsidRPr="007C3EC7">
        <w:rPr>
          <w:rFonts w:cs="Traditional Arabic" w:hint="cs"/>
          <w:color w:val="000000"/>
          <w:sz w:val="28"/>
          <w:szCs w:val="32"/>
          <w:rtl/>
        </w:rPr>
        <w:tab/>
      </w:r>
      <w:r w:rsidRPr="007C3EC7">
        <w:rPr>
          <w:rFonts w:cs="Traditional Arabic" w:hint="cs"/>
          <w:color w:val="000000"/>
          <w:sz w:val="28"/>
          <w:szCs w:val="32"/>
          <w:rtl/>
        </w:rPr>
        <w:tab/>
        <w:t>342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الولاية فيما يتعلق بالدائن المرتهن</w:t>
      </w:r>
      <w:r w:rsidRPr="007C3EC7">
        <w:rPr>
          <w:rFonts w:cs="Traditional Arabic" w:hint="cs"/>
          <w:color w:val="000000"/>
          <w:sz w:val="28"/>
          <w:szCs w:val="32"/>
          <w:rtl/>
        </w:rPr>
        <w:tab/>
      </w:r>
      <w:r w:rsidRPr="007C3EC7">
        <w:rPr>
          <w:rFonts w:cs="Traditional Arabic" w:hint="cs"/>
          <w:color w:val="000000"/>
          <w:sz w:val="28"/>
          <w:szCs w:val="32"/>
          <w:rtl/>
        </w:rPr>
        <w:tab/>
        <w:t>344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الأهلية والولاية فيما يتعلق بالكفيل العيني</w:t>
      </w:r>
      <w:r w:rsidRPr="007C3EC7">
        <w:rPr>
          <w:rFonts w:cs="Traditional Arabic" w:hint="cs"/>
          <w:color w:val="000000"/>
          <w:sz w:val="28"/>
          <w:szCs w:val="32"/>
          <w:rtl/>
        </w:rPr>
        <w:tab/>
      </w:r>
      <w:r w:rsidRPr="007C3EC7">
        <w:rPr>
          <w:rFonts w:cs="Traditional Arabic" w:hint="cs"/>
          <w:color w:val="000000"/>
          <w:sz w:val="28"/>
          <w:szCs w:val="32"/>
          <w:rtl/>
        </w:rPr>
        <w:tab/>
        <w:t>344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المطلب الثاني </w:t>
      </w:r>
      <w:r w:rsidRPr="007C3EC7">
        <w:rPr>
          <w:rFonts w:cs="Traditional Arabic"/>
          <w:color w:val="000000"/>
          <w:sz w:val="28"/>
          <w:szCs w:val="32"/>
          <w:rtl/>
        </w:rPr>
        <w:t>–</w:t>
      </w:r>
      <w:r w:rsidRPr="007C3EC7">
        <w:rPr>
          <w:rFonts w:cs="Traditional Arabic" w:hint="cs"/>
          <w:color w:val="000000"/>
          <w:sz w:val="28"/>
          <w:szCs w:val="32"/>
          <w:rtl/>
        </w:rPr>
        <w:t xml:space="preserve"> تخصيص الرهن من حيث العقار المرهون ومن حيث الالتزام المضمون</w:t>
      </w:r>
      <w:r w:rsidRPr="007C3EC7">
        <w:rPr>
          <w:rFonts w:cs="Traditional Arabic" w:hint="cs"/>
          <w:color w:val="000000"/>
          <w:sz w:val="28"/>
          <w:szCs w:val="32"/>
          <w:rtl/>
        </w:rPr>
        <w:tab/>
      </w:r>
      <w:r w:rsidRPr="007C3EC7">
        <w:rPr>
          <w:rFonts w:cs="Traditional Arabic" w:hint="cs"/>
          <w:color w:val="000000"/>
          <w:sz w:val="28"/>
          <w:szCs w:val="32"/>
          <w:rtl/>
        </w:rPr>
        <w:tab/>
        <w:t>346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كيف نشأ مبدأ تخصيص الرهن</w:t>
      </w:r>
      <w:r w:rsidRPr="007C3EC7">
        <w:rPr>
          <w:rFonts w:cs="Traditional Arabic" w:hint="cs"/>
          <w:color w:val="000000"/>
          <w:sz w:val="28"/>
          <w:szCs w:val="32"/>
          <w:rtl/>
        </w:rPr>
        <w:tab/>
      </w:r>
      <w:r w:rsidRPr="007C3EC7">
        <w:rPr>
          <w:rFonts w:cs="Traditional Arabic" w:hint="cs"/>
          <w:color w:val="000000"/>
          <w:sz w:val="28"/>
          <w:szCs w:val="32"/>
          <w:rtl/>
        </w:rPr>
        <w:tab/>
        <w:t>346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1- تخصيص الرهن من حيث العقار المرهون</w:t>
      </w:r>
      <w:r w:rsidRPr="007C3EC7">
        <w:rPr>
          <w:rFonts w:cs="Traditional Arabic" w:hint="cs"/>
          <w:color w:val="000000"/>
          <w:sz w:val="28"/>
          <w:szCs w:val="32"/>
          <w:rtl/>
        </w:rPr>
        <w:tab/>
      </w:r>
      <w:r w:rsidRPr="007C3EC7">
        <w:rPr>
          <w:rFonts w:cs="Traditional Arabic" w:hint="cs"/>
          <w:color w:val="000000"/>
          <w:sz w:val="28"/>
          <w:szCs w:val="32"/>
          <w:rtl/>
        </w:rPr>
        <w:tab/>
        <w:t>348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348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وقوع الرهن الرسمي على عقار يصح التكامل فيه ويجوز بيعه بالمزاد العلني</w:t>
      </w:r>
      <w:r w:rsidRPr="007C3EC7">
        <w:rPr>
          <w:rFonts w:cs="Traditional Arabic" w:hint="cs"/>
          <w:color w:val="000000"/>
          <w:sz w:val="28"/>
          <w:szCs w:val="32"/>
          <w:rtl/>
        </w:rPr>
        <w:tab/>
      </w:r>
      <w:r w:rsidRPr="007C3EC7">
        <w:rPr>
          <w:rFonts w:cs="Traditional Arabic" w:hint="cs"/>
          <w:color w:val="000000"/>
          <w:sz w:val="28"/>
          <w:szCs w:val="32"/>
          <w:rtl/>
        </w:rPr>
        <w:tab/>
        <w:t>349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تعيين العقار المرهون تعيينا دقيقا من حيث طبيعته وموقعه</w:t>
      </w:r>
      <w:r w:rsidRPr="007C3EC7">
        <w:rPr>
          <w:rFonts w:cs="Traditional Arabic" w:hint="cs"/>
          <w:color w:val="000000"/>
          <w:sz w:val="28"/>
          <w:szCs w:val="32"/>
          <w:rtl/>
        </w:rPr>
        <w:tab/>
      </w:r>
      <w:r w:rsidRPr="007C3EC7">
        <w:rPr>
          <w:rFonts w:cs="Traditional Arabic" w:hint="cs"/>
          <w:color w:val="000000"/>
          <w:sz w:val="28"/>
          <w:szCs w:val="32"/>
          <w:rtl/>
        </w:rPr>
        <w:tab/>
        <w:t>353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شمول الرهن الملحقات العقار المرهون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355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شمول الرهن للثمار من وقت إلحاقها بالعقار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362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رهن المباني القائمة على ارض الغير رهناً رسمياً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365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تخصيص الرهن من حيث الدين المضمون</w:t>
      </w:r>
      <w:r w:rsidRPr="007C3EC7">
        <w:rPr>
          <w:rFonts w:cs="Traditional Arabic" w:hint="cs"/>
          <w:color w:val="000000"/>
          <w:sz w:val="28"/>
          <w:szCs w:val="32"/>
          <w:rtl/>
        </w:rPr>
        <w:tab/>
      </w:r>
      <w:r w:rsidRPr="007C3EC7">
        <w:rPr>
          <w:rFonts w:cs="Traditional Arabic" w:hint="cs"/>
          <w:color w:val="000000"/>
          <w:sz w:val="28"/>
          <w:szCs w:val="32"/>
          <w:rtl/>
        </w:rPr>
        <w:tab/>
        <w:t>368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تحديد الدين المضمون تحديداً دقيقاً</w:t>
      </w:r>
      <w:r w:rsidRPr="007C3EC7">
        <w:rPr>
          <w:rFonts w:cs="Traditional Arabic" w:hint="cs"/>
          <w:color w:val="000000"/>
          <w:sz w:val="28"/>
          <w:szCs w:val="32"/>
          <w:rtl/>
        </w:rPr>
        <w:tab/>
      </w:r>
      <w:r w:rsidRPr="007C3EC7">
        <w:rPr>
          <w:rFonts w:cs="Traditional Arabic" w:hint="cs"/>
          <w:color w:val="000000"/>
          <w:sz w:val="28"/>
          <w:szCs w:val="32"/>
          <w:rtl/>
        </w:rPr>
        <w:tab/>
        <w:t>368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 xml:space="preserve">كيفية تحديد الدين المضمون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369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عدم قابلية الرهن للتجزئة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373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عدم انفصال الرهن  عن الدين المضمون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378</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الثاني </w:t>
      </w:r>
      <w:r w:rsidRPr="007C3EC7">
        <w:rPr>
          <w:rFonts w:cs="Traditional Arabic"/>
          <w:b/>
          <w:bCs/>
          <w:color w:val="000000"/>
          <w:sz w:val="28"/>
          <w:szCs w:val="32"/>
          <w:rtl/>
        </w:rPr>
        <w:t>–</w:t>
      </w:r>
      <w:r w:rsidRPr="007C3EC7">
        <w:rPr>
          <w:rFonts w:cs="Traditional Arabic" w:hint="cs"/>
          <w:b/>
          <w:bCs/>
          <w:color w:val="000000"/>
          <w:sz w:val="28"/>
          <w:szCs w:val="32"/>
          <w:rtl/>
        </w:rPr>
        <w:t xml:space="preserve"> آثار الرهن الرسمي</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آثار الرهن الرسمي يما بين المتعاقدين وبالنسبة إلى الغير</w:t>
      </w:r>
      <w:r w:rsidRPr="007C3EC7">
        <w:rPr>
          <w:rFonts w:cs="Traditional Arabic" w:hint="cs"/>
          <w:color w:val="000000"/>
          <w:sz w:val="28"/>
          <w:szCs w:val="32"/>
          <w:rtl/>
        </w:rPr>
        <w:tab/>
      </w:r>
      <w:r w:rsidRPr="007C3EC7">
        <w:rPr>
          <w:rFonts w:cs="Traditional Arabic" w:hint="cs"/>
          <w:color w:val="000000"/>
          <w:sz w:val="28"/>
          <w:szCs w:val="32"/>
          <w:rtl/>
        </w:rPr>
        <w:tab/>
        <w:t>382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الفرع الأول </w:t>
      </w:r>
      <w:r w:rsidRPr="007C3EC7">
        <w:rPr>
          <w:rFonts w:cs="Traditional Arabic"/>
          <w:color w:val="000000"/>
          <w:sz w:val="28"/>
          <w:szCs w:val="32"/>
          <w:rtl/>
        </w:rPr>
        <w:t>–</w:t>
      </w:r>
      <w:r w:rsidRPr="007C3EC7">
        <w:rPr>
          <w:rFonts w:cs="Traditional Arabic" w:hint="cs"/>
          <w:color w:val="000000"/>
          <w:sz w:val="28"/>
          <w:szCs w:val="32"/>
          <w:rtl/>
        </w:rPr>
        <w:t xml:space="preserve"> آثار الرهن الرسمي فيما بين المتعاقدين</w:t>
      </w:r>
      <w:r w:rsidRPr="007C3EC7">
        <w:rPr>
          <w:rFonts w:cs="Traditional Arabic" w:hint="cs"/>
          <w:color w:val="000000"/>
          <w:sz w:val="28"/>
          <w:szCs w:val="32"/>
          <w:rtl/>
        </w:rPr>
        <w:tab/>
      </w:r>
      <w:r w:rsidRPr="007C3EC7">
        <w:rPr>
          <w:rFonts w:cs="Traditional Arabic" w:hint="cs"/>
          <w:color w:val="000000"/>
          <w:sz w:val="28"/>
          <w:szCs w:val="32"/>
          <w:rtl/>
        </w:rPr>
        <w:tab/>
        <w:t>382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آثار الرهن الرسمي فيما يتعلق بالراهن وفيما يتعلق بالدائن المرتهن</w:t>
      </w:r>
      <w:r w:rsidRPr="007C3EC7">
        <w:rPr>
          <w:rFonts w:cs="Traditional Arabic" w:hint="cs"/>
          <w:color w:val="000000"/>
          <w:sz w:val="28"/>
          <w:szCs w:val="32"/>
          <w:rtl/>
        </w:rPr>
        <w:tab/>
      </w:r>
      <w:r w:rsidRPr="007C3EC7">
        <w:rPr>
          <w:rFonts w:cs="Traditional Arabic" w:hint="cs"/>
          <w:color w:val="000000"/>
          <w:sz w:val="28"/>
          <w:szCs w:val="32"/>
          <w:rtl/>
        </w:rPr>
        <w:tab/>
        <w:t>382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آثار الرهن الرسمي فيما يتعلق بالراهن</w:t>
      </w:r>
      <w:r w:rsidRPr="007C3EC7">
        <w:rPr>
          <w:rFonts w:cs="Traditional Arabic" w:hint="cs"/>
          <w:color w:val="000000"/>
          <w:sz w:val="28"/>
          <w:szCs w:val="32"/>
          <w:rtl/>
        </w:rPr>
        <w:tab/>
      </w:r>
      <w:r w:rsidRPr="007C3EC7">
        <w:rPr>
          <w:rFonts w:cs="Traditional Arabic" w:hint="cs"/>
          <w:color w:val="000000"/>
          <w:sz w:val="28"/>
          <w:szCs w:val="32"/>
          <w:rtl/>
        </w:rPr>
        <w:tab/>
        <w:t>383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cs="Traditional Arabic" w:hint="cs"/>
          <w:color w:val="000000"/>
          <w:sz w:val="28"/>
          <w:szCs w:val="32"/>
          <w:rtl/>
        </w:rPr>
        <w:t xml:space="preserve"> 1- التزامات الراهن</w:t>
      </w:r>
      <w:r w:rsidRPr="007C3EC7">
        <w:rPr>
          <w:rFonts w:cs="Traditional Arabic" w:hint="cs"/>
          <w:color w:val="000000"/>
          <w:sz w:val="28"/>
          <w:szCs w:val="32"/>
          <w:rtl/>
        </w:rPr>
        <w:tab/>
      </w:r>
      <w:r w:rsidRPr="007C3EC7">
        <w:rPr>
          <w:rFonts w:cs="Traditional Arabic" w:hint="cs"/>
          <w:color w:val="000000"/>
          <w:sz w:val="28"/>
          <w:szCs w:val="32"/>
          <w:rtl/>
        </w:rPr>
        <w:tab/>
        <w:t>383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التزامان</w:t>
      </w:r>
      <w:r w:rsidRPr="007C3EC7">
        <w:rPr>
          <w:rFonts w:cs="Traditional Arabic" w:hint="cs"/>
          <w:color w:val="000000"/>
          <w:sz w:val="28"/>
          <w:szCs w:val="32"/>
          <w:rtl/>
        </w:rPr>
        <w:tab/>
      </w:r>
      <w:r w:rsidRPr="007C3EC7">
        <w:rPr>
          <w:rFonts w:cs="Traditional Arabic" w:hint="cs"/>
          <w:color w:val="000000"/>
          <w:sz w:val="28"/>
          <w:szCs w:val="32"/>
          <w:rtl/>
        </w:rPr>
        <w:tab/>
        <w:t>383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إنشاء الراهن لحق الرهن</w:t>
      </w:r>
      <w:r w:rsidRPr="007C3EC7">
        <w:rPr>
          <w:rFonts w:cs="Traditional Arabic" w:hint="cs"/>
          <w:color w:val="000000"/>
          <w:sz w:val="28"/>
          <w:szCs w:val="32"/>
          <w:rtl/>
        </w:rPr>
        <w:tab/>
      </w:r>
      <w:r w:rsidRPr="007C3EC7">
        <w:rPr>
          <w:rFonts w:cs="Traditional Arabic" w:hint="cs"/>
          <w:color w:val="000000"/>
          <w:sz w:val="28"/>
          <w:szCs w:val="32"/>
          <w:rtl/>
        </w:rPr>
        <w:tab/>
        <w:t>383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ضمان الراهن لسلامة حق الرهن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386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هلاك العقار المرهون أو تلفه - نق </w:t>
      </w:r>
      <w:r w:rsidRPr="007C3EC7">
        <w:rPr>
          <w:rFonts w:cs="Traditional Arabic" w:hint="cs"/>
          <w:color w:val="000000"/>
          <w:sz w:val="28"/>
          <w:szCs w:val="32"/>
          <w:rtl/>
        </w:rPr>
        <w:tab/>
      </w:r>
      <w:r w:rsidRPr="007C3EC7">
        <w:rPr>
          <w:rFonts w:cs="Traditional Arabic" w:hint="cs"/>
          <w:color w:val="000000"/>
          <w:sz w:val="28"/>
          <w:szCs w:val="32"/>
          <w:rtl/>
        </w:rPr>
        <w:tab/>
        <w:t>388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حلول الحق الذي يترتب على هلاك العقار المرهون أو تلفه محل العقار المرهون</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حلولا عينياً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392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سلطة الراهن على العقار المرهون</w:t>
      </w:r>
      <w:r w:rsidRPr="007C3EC7">
        <w:rPr>
          <w:rFonts w:cs="Traditional Arabic" w:hint="cs"/>
          <w:color w:val="000000"/>
          <w:sz w:val="28"/>
          <w:szCs w:val="32"/>
          <w:rtl/>
        </w:rPr>
        <w:tab/>
      </w:r>
      <w:r w:rsidRPr="007C3EC7">
        <w:rPr>
          <w:rFonts w:cs="Traditional Arabic" w:hint="cs"/>
          <w:color w:val="000000"/>
          <w:sz w:val="28"/>
          <w:szCs w:val="32"/>
          <w:rtl/>
        </w:rPr>
        <w:tab/>
        <w:t>395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عدم تجيد الراهن لا من ملكية العقار المرهون ولا من حيازته في الرهن الرسمي</w:t>
      </w:r>
      <w:r w:rsidRPr="007C3EC7">
        <w:rPr>
          <w:rFonts w:cs="Traditional Arabic" w:hint="cs"/>
          <w:color w:val="000000"/>
          <w:sz w:val="28"/>
          <w:szCs w:val="32"/>
          <w:rtl/>
        </w:rPr>
        <w:tab/>
      </w:r>
      <w:r w:rsidRPr="007C3EC7">
        <w:rPr>
          <w:rFonts w:cs="Traditional Arabic" w:hint="cs"/>
          <w:color w:val="000000"/>
          <w:sz w:val="28"/>
          <w:szCs w:val="32"/>
          <w:rtl/>
        </w:rPr>
        <w:tab/>
        <w:t>395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حق الراهن في التصرف في العقار المرهون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396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التصرف في العقار المرهون باعتباره منقولا بسحب المآل</w:t>
      </w:r>
      <w:r w:rsidRPr="007C3EC7">
        <w:rPr>
          <w:rFonts w:cs="Traditional Arabic" w:hint="cs"/>
          <w:color w:val="000000"/>
          <w:sz w:val="28"/>
          <w:szCs w:val="32"/>
          <w:rtl/>
        </w:rPr>
        <w:tab/>
      </w:r>
      <w:r w:rsidRPr="007C3EC7">
        <w:rPr>
          <w:rFonts w:cs="Traditional Arabic" w:hint="cs"/>
          <w:color w:val="000000"/>
          <w:sz w:val="28"/>
          <w:szCs w:val="32"/>
          <w:rtl/>
        </w:rPr>
        <w:tab/>
        <w:t>399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التصرف يفي العقار بالتخصيص</w:t>
      </w:r>
      <w:r w:rsidRPr="007C3EC7">
        <w:rPr>
          <w:rFonts w:cs="Traditional Arabic" w:hint="cs"/>
          <w:color w:val="000000"/>
          <w:sz w:val="28"/>
          <w:szCs w:val="32"/>
          <w:rtl/>
        </w:rPr>
        <w:tab/>
      </w:r>
      <w:r w:rsidRPr="007C3EC7">
        <w:rPr>
          <w:rFonts w:cs="Traditional Arabic" w:hint="cs"/>
          <w:color w:val="000000"/>
          <w:sz w:val="28"/>
          <w:szCs w:val="32"/>
          <w:rtl/>
        </w:rPr>
        <w:tab/>
        <w:t>400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حق الراهن في استغلال العقار المرهون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402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إيجار العقار المرهون ونفاذ ذلك في حق الدائن المرتهن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409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بيع الثمار قبل جنيها</w:t>
      </w:r>
      <w:r w:rsidRPr="007C3EC7">
        <w:rPr>
          <w:rFonts w:cs="Traditional Arabic" w:hint="cs"/>
          <w:color w:val="000000"/>
          <w:sz w:val="28"/>
          <w:szCs w:val="32"/>
          <w:rtl/>
        </w:rPr>
        <w:tab/>
      </w:r>
      <w:r w:rsidRPr="007C3EC7">
        <w:rPr>
          <w:rFonts w:cs="Traditional Arabic" w:hint="cs"/>
          <w:color w:val="000000"/>
          <w:sz w:val="28"/>
          <w:szCs w:val="32"/>
          <w:rtl/>
        </w:rPr>
        <w:tab/>
        <w:t>411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حق الراهن في استعمال العقار المرهون</w:t>
      </w:r>
      <w:r w:rsidRPr="007C3EC7">
        <w:rPr>
          <w:rFonts w:cs="Traditional Arabic" w:hint="cs"/>
          <w:color w:val="000000"/>
          <w:sz w:val="28"/>
          <w:szCs w:val="32"/>
          <w:rtl/>
        </w:rPr>
        <w:tab/>
      </w:r>
      <w:r w:rsidRPr="007C3EC7">
        <w:rPr>
          <w:rFonts w:cs="Traditional Arabic" w:hint="cs"/>
          <w:color w:val="000000"/>
          <w:sz w:val="28"/>
          <w:szCs w:val="32"/>
          <w:rtl/>
        </w:rPr>
        <w:tab/>
        <w:t>413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آثار الرهن الرسمي فيما يتعلق بالدائن المرتهن</w:t>
      </w:r>
      <w:r w:rsidRPr="007C3EC7">
        <w:rPr>
          <w:rFonts w:cs="Traditional Arabic" w:hint="cs"/>
          <w:color w:val="000000"/>
          <w:sz w:val="28"/>
          <w:szCs w:val="32"/>
          <w:rtl/>
        </w:rPr>
        <w:tab/>
      </w:r>
      <w:r w:rsidRPr="007C3EC7">
        <w:rPr>
          <w:rFonts w:cs="Traditional Arabic" w:hint="cs"/>
          <w:color w:val="000000"/>
          <w:sz w:val="28"/>
          <w:szCs w:val="32"/>
          <w:rtl/>
        </w:rPr>
        <w:tab/>
        <w:t>414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نصوص قانونية </w:t>
      </w:r>
      <w:r w:rsidRPr="007C3EC7">
        <w:rPr>
          <w:rFonts w:cs="Traditional Arabic" w:hint="cs"/>
          <w:color w:val="000000"/>
          <w:sz w:val="28"/>
          <w:szCs w:val="32"/>
          <w:rtl/>
        </w:rPr>
        <w:tab/>
      </w:r>
      <w:r w:rsidRPr="007C3EC7">
        <w:rPr>
          <w:rFonts w:cs="Traditional Arabic" w:hint="cs"/>
          <w:color w:val="000000"/>
          <w:sz w:val="28"/>
          <w:szCs w:val="32"/>
          <w:rtl/>
        </w:rPr>
        <w:tab/>
        <w:t>414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تنفيذ الدائن المرتهن بالحق الذي له </w:t>
      </w:r>
      <w:r w:rsidRPr="007C3EC7">
        <w:rPr>
          <w:rFonts w:cs="Traditional Arabic" w:hint="cs"/>
          <w:color w:val="000000"/>
          <w:sz w:val="28"/>
          <w:szCs w:val="32"/>
          <w:rtl/>
        </w:rPr>
        <w:tab/>
      </w:r>
      <w:r w:rsidRPr="007C3EC7">
        <w:rPr>
          <w:rFonts w:cs="Traditional Arabic" w:hint="cs"/>
          <w:color w:val="000000"/>
          <w:sz w:val="28"/>
          <w:szCs w:val="32"/>
          <w:rtl/>
        </w:rPr>
        <w:tab/>
        <w:t>416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التنفيذ على الكفيل العيني</w:t>
      </w:r>
      <w:r w:rsidRPr="007C3EC7">
        <w:rPr>
          <w:rFonts w:cs="Traditional Arabic" w:hint="cs"/>
          <w:color w:val="000000"/>
          <w:sz w:val="28"/>
          <w:szCs w:val="32"/>
          <w:rtl/>
        </w:rPr>
        <w:tab/>
      </w:r>
      <w:r w:rsidRPr="007C3EC7">
        <w:rPr>
          <w:rFonts w:cs="Traditional Arabic" w:hint="cs"/>
          <w:color w:val="000000"/>
          <w:sz w:val="28"/>
          <w:szCs w:val="32"/>
          <w:rtl/>
        </w:rPr>
        <w:tab/>
        <w:t>418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بطلان شرط تملك العقار المرهون عند عدم الوفاء</w:t>
      </w:r>
      <w:r w:rsidRPr="007C3EC7">
        <w:rPr>
          <w:rFonts w:cs="Traditional Arabic" w:hint="cs"/>
          <w:color w:val="000000"/>
          <w:sz w:val="28"/>
          <w:szCs w:val="32"/>
          <w:rtl/>
        </w:rPr>
        <w:tab/>
      </w:r>
      <w:r w:rsidRPr="007C3EC7">
        <w:rPr>
          <w:rFonts w:cs="Traditional Arabic" w:hint="cs"/>
          <w:color w:val="000000"/>
          <w:sz w:val="28"/>
          <w:szCs w:val="32"/>
          <w:rtl/>
        </w:rPr>
        <w:tab/>
        <w:t>421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بطلان شرط بيع العقار المرهون دون إجراءات </w:t>
      </w:r>
      <w:r w:rsidRPr="007C3EC7">
        <w:rPr>
          <w:rFonts w:cs="Traditional Arabic" w:hint="cs"/>
          <w:color w:val="000000"/>
          <w:sz w:val="28"/>
          <w:szCs w:val="32"/>
          <w:rtl/>
        </w:rPr>
        <w:tab/>
      </w:r>
      <w:r w:rsidRPr="007C3EC7">
        <w:rPr>
          <w:rFonts w:cs="Traditional Arabic" w:hint="cs"/>
          <w:color w:val="000000"/>
          <w:sz w:val="28"/>
          <w:szCs w:val="32"/>
          <w:rtl/>
        </w:rPr>
        <w:tab/>
        <w:t>424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الفرع الثاني </w:t>
      </w:r>
      <w:r w:rsidRPr="007C3EC7">
        <w:rPr>
          <w:rFonts w:cs="Traditional Arabic"/>
          <w:color w:val="000000"/>
          <w:sz w:val="28"/>
          <w:szCs w:val="32"/>
          <w:rtl/>
        </w:rPr>
        <w:t>–</w:t>
      </w:r>
      <w:r w:rsidRPr="007C3EC7">
        <w:rPr>
          <w:rFonts w:cs="Traditional Arabic" w:hint="cs"/>
          <w:color w:val="000000"/>
          <w:sz w:val="28"/>
          <w:szCs w:val="32"/>
          <w:rtl/>
        </w:rPr>
        <w:t xml:space="preserve"> اثر الرهن الرسمي بالنسبة إلى الغير</w:t>
      </w:r>
      <w:r w:rsidRPr="007C3EC7">
        <w:rPr>
          <w:rFonts w:cs="Traditional Arabic" w:hint="cs"/>
          <w:color w:val="000000"/>
          <w:sz w:val="28"/>
          <w:szCs w:val="32"/>
          <w:rtl/>
        </w:rPr>
        <w:tab/>
      </w:r>
      <w:r w:rsidRPr="007C3EC7">
        <w:rPr>
          <w:rFonts w:cs="Traditional Arabic" w:hint="cs"/>
          <w:color w:val="000000"/>
          <w:sz w:val="28"/>
          <w:szCs w:val="32"/>
          <w:rtl/>
        </w:rPr>
        <w:tab/>
        <w:t>426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هو المقصود بالغير هنا</w:t>
      </w:r>
      <w:r w:rsidRPr="007C3EC7">
        <w:rPr>
          <w:rFonts w:cs="Traditional Arabic" w:hint="cs"/>
          <w:color w:val="000000"/>
          <w:sz w:val="28"/>
          <w:szCs w:val="32"/>
          <w:rtl/>
        </w:rPr>
        <w:tab/>
      </w:r>
      <w:r w:rsidRPr="007C3EC7">
        <w:rPr>
          <w:rFonts w:cs="Traditional Arabic" w:hint="cs"/>
          <w:color w:val="000000"/>
          <w:sz w:val="28"/>
          <w:szCs w:val="32"/>
          <w:rtl/>
        </w:rPr>
        <w:tab/>
        <w:t>426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يجب قيد الرهن الرسمي أولا حتى يستطيع الدائن المرتهن استعمال حق التقدم وحق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التتبع بالنسبة إلى الغير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428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قيد الرهن الرسمي</w:t>
      </w:r>
      <w:r w:rsidRPr="007C3EC7">
        <w:rPr>
          <w:rFonts w:cs="Traditional Arabic" w:hint="cs"/>
          <w:color w:val="000000"/>
          <w:sz w:val="28"/>
          <w:szCs w:val="32"/>
          <w:rtl/>
        </w:rPr>
        <w:tab/>
      </w:r>
      <w:r w:rsidRPr="007C3EC7">
        <w:rPr>
          <w:rFonts w:cs="Traditional Arabic" w:hint="cs"/>
          <w:color w:val="000000"/>
          <w:sz w:val="28"/>
          <w:szCs w:val="32"/>
          <w:rtl/>
        </w:rPr>
        <w:tab/>
        <w:t>431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431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cs="Traditional Arabic" w:hint="cs"/>
          <w:color w:val="000000"/>
          <w:sz w:val="28"/>
          <w:szCs w:val="32"/>
          <w:rtl/>
        </w:rPr>
        <w:t xml:space="preserve">1 </w:t>
      </w:r>
      <w:r w:rsidRPr="007C3EC7">
        <w:rPr>
          <w:rFonts w:cs="Traditional Arabic"/>
          <w:color w:val="000000"/>
          <w:sz w:val="28"/>
          <w:szCs w:val="32"/>
          <w:rtl/>
        </w:rPr>
        <w:t>–</w:t>
      </w:r>
      <w:r w:rsidRPr="007C3EC7">
        <w:rPr>
          <w:rFonts w:cs="Traditional Arabic" w:hint="cs"/>
          <w:color w:val="000000"/>
          <w:sz w:val="28"/>
          <w:szCs w:val="32"/>
          <w:rtl/>
        </w:rPr>
        <w:t xml:space="preserve"> إجراء القيد</w:t>
      </w:r>
      <w:r w:rsidRPr="007C3EC7">
        <w:rPr>
          <w:rFonts w:cs="Traditional Arabic" w:hint="cs"/>
          <w:color w:val="000000"/>
          <w:sz w:val="28"/>
          <w:szCs w:val="32"/>
          <w:rtl/>
        </w:rPr>
        <w:tab/>
      </w:r>
      <w:r w:rsidRPr="007C3EC7">
        <w:rPr>
          <w:rFonts w:cs="Traditional Arabic" w:hint="cs"/>
          <w:color w:val="000000"/>
          <w:sz w:val="28"/>
          <w:szCs w:val="32"/>
          <w:rtl/>
        </w:rPr>
        <w:tab/>
        <w:t>434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قيد الرهن حتى يكون حجة على الغير</w:t>
      </w:r>
      <w:r w:rsidRPr="007C3EC7">
        <w:rPr>
          <w:rFonts w:cs="Traditional Arabic" w:hint="cs"/>
          <w:color w:val="000000"/>
          <w:sz w:val="28"/>
          <w:szCs w:val="32"/>
          <w:rtl/>
        </w:rPr>
        <w:tab/>
      </w:r>
      <w:r w:rsidRPr="007C3EC7">
        <w:rPr>
          <w:rFonts w:cs="Traditional Arabic" w:hint="cs"/>
          <w:color w:val="000000"/>
          <w:sz w:val="28"/>
          <w:szCs w:val="32"/>
          <w:rtl/>
        </w:rPr>
        <w:tab/>
        <w:t>434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اختلاف القيد عن التسجيل</w:t>
      </w:r>
      <w:r w:rsidRPr="007C3EC7">
        <w:rPr>
          <w:rFonts w:cs="Traditional Arabic" w:hint="cs"/>
          <w:color w:val="000000"/>
          <w:sz w:val="28"/>
          <w:szCs w:val="32"/>
          <w:rtl/>
        </w:rPr>
        <w:tab/>
      </w:r>
      <w:r w:rsidRPr="007C3EC7">
        <w:rPr>
          <w:rFonts w:cs="Traditional Arabic" w:hint="cs"/>
          <w:color w:val="000000"/>
          <w:sz w:val="28"/>
          <w:szCs w:val="32"/>
          <w:rtl/>
        </w:rPr>
        <w:tab/>
        <w:t>436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أين يجرر القيد</w:t>
      </w:r>
      <w:r w:rsidRPr="007C3EC7">
        <w:rPr>
          <w:rFonts w:cs="Traditional Arabic" w:hint="cs"/>
          <w:color w:val="000000"/>
          <w:sz w:val="28"/>
          <w:szCs w:val="32"/>
          <w:rtl/>
        </w:rPr>
        <w:tab/>
      </w:r>
      <w:r w:rsidRPr="007C3EC7">
        <w:rPr>
          <w:rFonts w:cs="Traditional Arabic" w:hint="cs"/>
          <w:color w:val="000000"/>
          <w:sz w:val="28"/>
          <w:szCs w:val="32"/>
          <w:rtl/>
        </w:rPr>
        <w:tab/>
        <w:t>437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طالب القيد</w:t>
      </w:r>
      <w:r w:rsidRPr="007C3EC7">
        <w:rPr>
          <w:rFonts w:cs="Traditional Arabic" w:hint="cs"/>
          <w:color w:val="000000"/>
          <w:sz w:val="28"/>
          <w:szCs w:val="32"/>
          <w:rtl/>
        </w:rPr>
        <w:tab/>
      </w:r>
      <w:r w:rsidRPr="007C3EC7">
        <w:rPr>
          <w:rFonts w:cs="Traditional Arabic" w:hint="cs"/>
          <w:color w:val="000000"/>
          <w:sz w:val="28"/>
          <w:szCs w:val="32"/>
          <w:rtl/>
        </w:rPr>
        <w:tab/>
        <w:t>437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ضد من يكون القيد</w:t>
      </w:r>
      <w:r w:rsidRPr="007C3EC7">
        <w:rPr>
          <w:rFonts w:cs="Traditional Arabic" w:hint="cs"/>
          <w:color w:val="000000"/>
          <w:sz w:val="28"/>
          <w:szCs w:val="32"/>
          <w:rtl/>
        </w:rPr>
        <w:tab/>
      </w:r>
      <w:r w:rsidRPr="007C3EC7">
        <w:rPr>
          <w:rFonts w:cs="Traditional Arabic" w:hint="cs"/>
          <w:color w:val="000000"/>
          <w:sz w:val="28"/>
          <w:szCs w:val="32"/>
          <w:rtl/>
        </w:rPr>
        <w:tab/>
        <w:t>439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تقديم طلب القيد والتأشير على المحرر بصلاحيته للشهر</w:t>
      </w:r>
      <w:r w:rsidRPr="007C3EC7">
        <w:rPr>
          <w:rFonts w:cs="Traditional Arabic" w:hint="cs"/>
          <w:color w:val="000000"/>
          <w:sz w:val="28"/>
          <w:szCs w:val="32"/>
          <w:rtl/>
        </w:rPr>
        <w:tab/>
      </w:r>
      <w:r w:rsidRPr="007C3EC7">
        <w:rPr>
          <w:rFonts w:cs="Traditional Arabic" w:hint="cs"/>
          <w:color w:val="000000"/>
          <w:sz w:val="28"/>
          <w:szCs w:val="32"/>
          <w:rtl/>
        </w:rPr>
        <w:tab/>
        <w:t>440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البيانات القانونية الواجب ذكرها في قائمة القيد</w:t>
      </w:r>
      <w:r w:rsidRPr="007C3EC7">
        <w:rPr>
          <w:rFonts w:cs="Traditional Arabic" w:hint="cs"/>
          <w:color w:val="000000"/>
          <w:sz w:val="28"/>
          <w:szCs w:val="32"/>
          <w:rtl/>
        </w:rPr>
        <w:tab/>
      </w:r>
      <w:r w:rsidRPr="007C3EC7">
        <w:rPr>
          <w:rFonts w:cs="Traditional Arabic" w:hint="cs"/>
          <w:color w:val="000000"/>
          <w:sz w:val="28"/>
          <w:szCs w:val="32"/>
          <w:rtl/>
        </w:rPr>
        <w:tab/>
        <w:t>442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الدائن</w:t>
      </w:r>
      <w:r w:rsidRPr="007C3EC7">
        <w:rPr>
          <w:rFonts w:cs="Traditional Arabic" w:hint="cs"/>
          <w:color w:val="000000"/>
          <w:sz w:val="28"/>
          <w:szCs w:val="32"/>
          <w:rtl/>
        </w:rPr>
        <w:tab/>
      </w:r>
      <w:r w:rsidRPr="007C3EC7">
        <w:rPr>
          <w:rFonts w:cs="Traditional Arabic" w:hint="cs"/>
          <w:color w:val="000000"/>
          <w:sz w:val="28"/>
          <w:szCs w:val="32"/>
          <w:rtl/>
        </w:rPr>
        <w:tab/>
        <w:t>443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المدين</w:t>
      </w:r>
      <w:r w:rsidRPr="007C3EC7">
        <w:rPr>
          <w:rFonts w:cs="Traditional Arabic" w:hint="cs"/>
          <w:color w:val="000000"/>
          <w:sz w:val="28"/>
          <w:szCs w:val="32"/>
          <w:rtl/>
        </w:rPr>
        <w:tab/>
      </w:r>
      <w:r w:rsidRPr="007C3EC7">
        <w:rPr>
          <w:rFonts w:cs="Traditional Arabic" w:hint="cs"/>
          <w:color w:val="000000"/>
          <w:sz w:val="28"/>
          <w:szCs w:val="32"/>
          <w:rtl/>
        </w:rPr>
        <w:tab/>
        <w:t>443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سند القيد</w:t>
      </w:r>
      <w:r w:rsidRPr="007C3EC7">
        <w:rPr>
          <w:rFonts w:cs="Traditional Arabic" w:hint="cs"/>
          <w:color w:val="000000"/>
          <w:sz w:val="28"/>
          <w:szCs w:val="32"/>
          <w:rtl/>
        </w:rPr>
        <w:tab/>
      </w:r>
      <w:r w:rsidRPr="007C3EC7">
        <w:rPr>
          <w:rFonts w:cs="Traditional Arabic" w:hint="cs"/>
          <w:color w:val="000000"/>
          <w:sz w:val="28"/>
          <w:szCs w:val="32"/>
          <w:rtl/>
        </w:rPr>
        <w:tab/>
        <w:t>444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w:t>
      </w:r>
      <w:r w:rsidRPr="007C3EC7">
        <w:rPr>
          <w:rFonts w:cs="Traditional Arabic" w:hint="cs"/>
          <w:color w:val="000000"/>
          <w:sz w:val="28"/>
          <w:szCs w:val="32"/>
          <w:rtl/>
        </w:rPr>
        <w:tab/>
      </w:r>
      <w:r w:rsidRPr="007C3EC7">
        <w:rPr>
          <w:rFonts w:cs="Traditional Arabic" w:hint="cs"/>
          <w:color w:val="000000"/>
          <w:sz w:val="28"/>
          <w:szCs w:val="32"/>
          <w:rtl/>
        </w:rPr>
        <w:tab/>
        <w:t>الدين المضمون</w:t>
      </w:r>
      <w:r w:rsidRPr="007C3EC7">
        <w:rPr>
          <w:rFonts w:cs="Traditional Arabic" w:hint="cs"/>
          <w:color w:val="000000"/>
          <w:sz w:val="28"/>
          <w:szCs w:val="32"/>
          <w:rtl/>
        </w:rPr>
        <w:tab/>
      </w:r>
      <w:r w:rsidRPr="007C3EC7">
        <w:rPr>
          <w:rFonts w:cs="Traditional Arabic" w:hint="cs"/>
          <w:color w:val="000000"/>
          <w:sz w:val="28"/>
          <w:szCs w:val="32"/>
          <w:rtl/>
        </w:rPr>
        <w:tab/>
        <w:t>444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العقار المرهون</w:t>
      </w:r>
      <w:r w:rsidRPr="007C3EC7">
        <w:rPr>
          <w:rFonts w:cs="Traditional Arabic" w:hint="cs"/>
          <w:color w:val="000000"/>
          <w:sz w:val="28"/>
          <w:szCs w:val="32"/>
          <w:rtl/>
        </w:rPr>
        <w:tab/>
      </w:r>
      <w:r w:rsidRPr="007C3EC7">
        <w:rPr>
          <w:rFonts w:cs="Traditional Arabic" w:hint="cs"/>
          <w:color w:val="000000"/>
          <w:sz w:val="28"/>
          <w:szCs w:val="32"/>
          <w:rtl/>
        </w:rPr>
        <w:tab/>
        <w:t>446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جزءا عدم الدقة في ذكر مقدار الدين المضمون</w:t>
      </w:r>
      <w:r w:rsidRPr="007C3EC7">
        <w:rPr>
          <w:rFonts w:cs="Traditional Arabic" w:hint="cs"/>
          <w:color w:val="000000"/>
          <w:sz w:val="28"/>
          <w:szCs w:val="32"/>
          <w:rtl/>
        </w:rPr>
        <w:tab/>
      </w:r>
      <w:r w:rsidRPr="007C3EC7">
        <w:rPr>
          <w:rFonts w:cs="Traditional Arabic" w:hint="cs"/>
          <w:color w:val="000000"/>
          <w:sz w:val="28"/>
          <w:szCs w:val="32"/>
          <w:rtl/>
        </w:rPr>
        <w:tab/>
        <w:t>447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جزءا تخلف بعض البيانات الأخرى أو الخطأ فيها</w:t>
      </w:r>
      <w:r w:rsidRPr="007C3EC7">
        <w:rPr>
          <w:rFonts w:cs="Traditional Arabic" w:hint="cs"/>
          <w:color w:val="000000"/>
          <w:sz w:val="28"/>
          <w:szCs w:val="32"/>
          <w:rtl/>
        </w:rPr>
        <w:tab/>
      </w:r>
      <w:r w:rsidRPr="007C3EC7">
        <w:rPr>
          <w:rFonts w:cs="Traditional Arabic" w:hint="cs"/>
          <w:color w:val="000000"/>
          <w:sz w:val="28"/>
          <w:szCs w:val="32"/>
          <w:rtl/>
        </w:rPr>
        <w:tab/>
        <w:t>447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الحوادث التي تقف إجراء القيد أو تمنع نفاذه</w:t>
      </w:r>
      <w:r w:rsidRPr="007C3EC7">
        <w:rPr>
          <w:rFonts w:cs="Traditional Arabic" w:hint="cs"/>
          <w:color w:val="000000"/>
          <w:sz w:val="28"/>
          <w:szCs w:val="32"/>
          <w:rtl/>
        </w:rPr>
        <w:tab/>
      </w:r>
      <w:r w:rsidRPr="007C3EC7">
        <w:rPr>
          <w:rFonts w:cs="Traditional Arabic" w:hint="cs"/>
          <w:color w:val="000000"/>
          <w:sz w:val="28"/>
          <w:szCs w:val="32"/>
          <w:rtl/>
        </w:rPr>
        <w:tab/>
        <w:t>451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الإفلاس</w:t>
      </w:r>
      <w:r w:rsidRPr="007C3EC7">
        <w:rPr>
          <w:rFonts w:cs="Traditional Arabic" w:hint="cs"/>
          <w:color w:val="000000"/>
          <w:sz w:val="28"/>
          <w:szCs w:val="32"/>
          <w:rtl/>
        </w:rPr>
        <w:tab/>
      </w:r>
      <w:r w:rsidRPr="007C3EC7">
        <w:rPr>
          <w:rFonts w:cs="Traditional Arabic" w:hint="cs"/>
          <w:color w:val="000000"/>
          <w:sz w:val="28"/>
          <w:szCs w:val="32"/>
          <w:rtl/>
        </w:rPr>
        <w:tab/>
        <w:t>453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تسجيل تنبيه نزع الملكية</w:t>
      </w:r>
      <w:r w:rsidRPr="007C3EC7">
        <w:rPr>
          <w:rFonts w:cs="Traditional Arabic" w:hint="cs"/>
          <w:color w:val="000000"/>
          <w:sz w:val="28"/>
          <w:szCs w:val="32"/>
          <w:rtl/>
        </w:rPr>
        <w:tab/>
      </w:r>
      <w:r w:rsidRPr="007C3EC7">
        <w:rPr>
          <w:rFonts w:cs="Traditional Arabic" w:hint="cs"/>
          <w:color w:val="000000"/>
          <w:sz w:val="28"/>
          <w:szCs w:val="32"/>
          <w:rtl/>
        </w:rPr>
        <w:tab/>
        <w:t>456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الإعسار </w:t>
      </w:r>
      <w:r w:rsidRPr="007C3EC7">
        <w:rPr>
          <w:rFonts w:cs="Traditional Arabic" w:hint="cs"/>
          <w:color w:val="000000"/>
          <w:sz w:val="28"/>
          <w:szCs w:val="32"/>
          <w:rtl/>
        </w:rPr>
        <w:tab/>
      </w:r>
      <w:r w:rsidRPr="007C3EC7">
        <w:rPr>
          <w:rFonts w:cs="Traditional Arabic" w:hint="cs"/>
          <w:color w:val="000000"/>
          <w:sz w:val="28"/>
          <w:szCs w:val="32"/>
          <w:rtl/>
        </w:rPr>
        <w:tab/>
        <w:t>458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موت الراهن</w:t>
      </w:r>
      <w:r w:rsidRPr="007C3EC7">
        <w:rPr>
          <w:rFonts w:cs="Traditional Arabic" w:hint="cs"/>
          <w:color w:val="000000"/>
          <w:sz w:val="28"/>
          <w:szCs w:val="32"/>
          <w:rtl/>
        </w:rPr>
        <w:tab/>
      </w:r>
      <w:r w:rsidRPr="007C3EC7">
        <w:rPr>
          <w:rFonts w:cs="Traditional Arabic" w:hint="cs"/>
          <w:color w:val="000000"/>
          <w:sz w:val="28"/>
          <w:szCs w:val="32"/>
          <w:rtl/>
        </w:rPr>
        <w:tab/>
        <w:t>461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يضمنه القيد الأصلي من المصروفات</w:t>
      </w:r>
      <w:r w:rsidRPr="007C3EC7">
        <w:rPr>
          <w:rFonts w:cs="Traditional Arabic" w:hint="cs"/>
          <w:color w:val="000000"/>
          <w:sz w:val="28"/>
          <w:szCs w:val="32"/>
          <w:rtl/>
        </w:rPr>
        <w:tab/>
      </w:r>
      <w:r w:rsidRPr="007C3EC7">
        <w:rPr>
          <w:rFonts w:cs="Traditional Arabic" w:hint="cs"/>
          <w:color w:val="000000"/>
          <w:sz w:val="28"/>
          <w:szCs w:val="32"/>
          <w:rtl/>
        </w:rPr>
        <w:tab/>
        <w:t>463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يضمنه القيد الأصلي من الفوائد</w:t>
      </w:r>
      <w:r w:rsidRPr="007C3EC7">
        <w:rPr>
          <w:rFonts w:cs="Traditional Arabic" w:hint="cs"/>
          <w:color w:val="000000"/>
          <w:sz w:val="28"/>
          <w:szCs w:val="32"/>
          <w:rtl/>
        </w:rPr>
        <w:tab/>
      </w:r>
      <w:r w:rsidRPr="007C3EC7">
        <w:rPr>
          <w:rFonts w:cs="Traditional Arabic" w:hint="cs"/>
          <w:color w:val="000000"/>
          <w:sz w:val="28"/>
          <w:szCs w:val="32"/>
          <w:rtl/>
        </w:rPr>
        <w:tab/>
        <w:t>464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القيود المصححة</w:t>
      </w:r>
      <w:r w:rsidRPr="007C3EC7">
        <w:rPr>
          <w:rFonts w:cs="Traditional Arabic" w:hint="cs"/>
          <w:color w:val="000000"/>
          <w:sz w:val="28"/>
          <w:szCs w:val="32"/>
          <w:rtl/>
        </w:rPr>
        <w:tab/>
      </w:r>
      <w:r w:rsidRPr="007C3EC7">
        <w:rPr>
          <w:rFonts w:cs="Traditional Arabic" w:hint="cs"/>
          <w:color w:val="000000"/>
          <w:sz w:val="28"/>
          <w:szCs w:val="32"/>
          <w:rtl/>
        </w:rPr>
        <w:tab/>
        <w:t>468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تجديد القيد</w:t>
      </w:r>
      <w:r w:rsidRPr="007C3EC7">
        <w:rPr>
          <w:rFonts w:cs="Traditional Arabic" w:hint="cs"/>
          <w:color w:val="000000"/>
          <w:sz w:val="28"/>
          <w:szCs w:val="32"/>
          <w:rtl/>
        </w:rPr>
        <w:tab/>
      </w:r>
      <w:r w:rsidRPr="007C3EC7">
        <w:rPr>
          <w:rFonts w:cs="Traditional Arabic" w:hint="cs"/>
          <w:color w:val="000000"/>
          <w:sz w:val="28"/>
          <w:szCs w:val="32"/>
          <w:rtl/>
        </w:rPr>
        <w:tab/>
        <w:t>468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تجديد القيد كل عشر سنوات</w:t>
      </w:r>
      <w:r w:rsidRPr="007C3EC7">
        <w:rPr>
          <w:rFonts w:cs="Traditional Arabic" w:hint="cs"/>
          <w:color w:val="000000"/>
          <w:sz w:val="28"/>
          <w:szCs w:val="32"/>
          <w:rtl/>
        </w:rPr>
        <w:tab/>
      </w:r>
      <w:r w:rsidRPr="007C3EC7">
        <w:rPr>
          <w:rFonts w:cs="Traditional Arabic" w:hint="cs"/>
          <w:color w:val="000000"/>
          <w:sz w:val="28"/>
          <w:szCs w:val="32"/>
          <w:rtl/>
        </w:rPr>
        <w:tab/>
        <w:t>468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حساب الميعاد في تجديد القيد</w:t>
      </w:r>
      <w:r w:rsidRPr="007C3EC7">
        <w:rPr>
          <w:rFonts w:cs="Traditional Arabic" w:hint="cs"/>
          <w:color w:val="000000"/>
          <w:sz w:val="28"/>
          <w:szCs w:val="32"/>
          <w:rtl/>
        </w:rPr>
        <w:tab/>
      </w:r>
      <w:r w:rsidRPr="007C3EC7">
        <w:rPr>
          <w:rFonts w:cs="Traditional Arabic" w:hint="cs"/>
          <w:color w:val="000000"/>
          <w:sz w:val="28"/>
          <w:szCs w:val="32"/>
          <w:rtl/>
        </w:rPr>
        <w:tab/>
        <w:t>469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الحكمة في التجديد</w:t>
      </w:r>
      <w:r w:rsidRPr="007C3EC7">
        <w:rPr>
          <w:rFonts w:cs="Traditional Arabic" w:hint="cs"/>
          <w:color w:val="000000"/>
          <w:sz w:val="28"/>
          <w:szCs w:val="32"/>
          <w:rtl/>
        </w:rPr>
        <w:tab/>
      </w:r>
      <w:r w:rsidRPr="007C3EC7">
        <w:rPr>
          <w:rFonts w:cs="Traditional Arabic" w:hint="cs"/>
          <w:color w:val="000000"/>
          <w:sz w:val="28"/>
          <w:szCs w:val="32"/>
          <w:rtl/>
        </w:rPr>
        <w:tab/>
        <w:t>470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جزاء التجديد </w:t>
      </w:r>
      <w:r w:rsidRPr="007C3EC7">
        <w:rPr>
          <w:rFonts w:cs="Traditional Arabic" w:hint="cs"/>
          <w:color w:val="000000"/>
          <w:sz w:val="28"/>
          <w:szCs w:val="32"/>
          <w:rtl/>
        </w:rPr>
        <w:tab/>
      </w:r>
      <w:r w:rsidRPr="007C3EC7">
        <w:rPr>
          <w:rFonts w:cs="Traditional Arabic" w:hint="cs"/>
          <w:color w:val="000000"/>
          <w:sz w:val="28"/>
          <w:szCs w:val="32"/>
          <w:rtl/>
        </w:rPr>
        <w:tab/>
        <w:t>471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جزاء عدم التجديد</w:t>
      </w:r>
      <w:r w:rsidRPr="007C3EC7">
        <w:rPr>
          <w:rFonts w:cs="Traditional Arabic" w:hint="cs"/>
          <w:color w:val="000000"/>
          <w:sz w:val="28"/>
          <w:szCs w:val="32"/>
          <w:rtl/>
        </w:rPr>
        <w:tab/>
      </w:r>
      <w:r w:rsidRPr="007C3EC7">
        <w:rPr>
          <w:rFonts w:cs="Traditional Arabic" w:hint="cs"/>
          <w:color w:val="000000"/>
          <w:sz w:val="28"/>
          <w:szCs w:val="32"/>
          <w:rtl/>
        </w:rPr>
        <w:tab/>
        <w:t>471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إجراءات التجديد</w:t>
      </w:r>
      <w:r w:rsidRPr="007C3EC7">
        <w:rPr>
          <w:rFonts w:cs="Traditional Arabic" w:hint="cs"/>
          <w:color w:val="000000"/>
          <w:sz w:val="28"/>
          <w:szCs w:val="32"/>
          <w:rtl/>
        </w:rPr>
        <w:tab/>
      </w:r>
      <w:r w:rsidRPr="007C3EC7">
        <w:rPr>
          <w:rFonts w:cs="Traditional Arabic" w:hint="cs"/>
          <w:color w:val="000000"/>
          <w:sz w:val="28"/>
          <w:szCs w:val="32"/>
          <w:rtl/>
        </w:rPr>
        <w:tab/>
        <w:t>473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تجديد القيد واجب حتى في أثناء الإجراءات التي تتخذ لنزع ملكية العقار المرهون</w:t>
      </w:r>
      <w:r w:rsidRPr="007C3EC7">
        <w:rPr>
          <w:rFonts w:cs="Traditional Arabic" w:hint="cs"/>
          <w:color w:val="000000"/>
          <w:sz w:val="28"/>
          <w:szCs w:val="32"/>
          <w:rtl/>
        </w:rPr>
        <w:tab/>
      </w:r>
      <w:r w:rsidRPr="007C3EC7">
        <w:rPr>
          <w:rFonts w:cs="Traditional Arabic" w:hint="cs"/>
          <w:color w:val="000000"/>
          <w:sz w:val="28"/>
          <w:szCs w:val="32"/>
          <w:rtl/>
        </w:rPr>
        <w:tab/>
        <w:t>475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وجوب تجديد الحائز لقيد الرهن</w:t>
      </w:r>
      <w:r w:rsidRPr="007C3EC7">
        <w:rPr>
          <w:rFonts w:cs="Traditional Arabic" w:hint="cs"/>
          <w:color w:val="000000"/>
          <w:sz w:val="28"/>
          <w:szCs w:val="32"/>
          <w:rtl/>
        </w:rPr>
        <w:tab/>
      </w:r>
      <w:r w:rsidRPr="007C3EC7">
        <w:rPr>
          <w:rFonts w:cs="Traditional Arabic" w:hint="cs"/>
          <w:color w:val="000000"/>
          <w:sz w:val="28"/>
          <w:szCs w:val="32"/>
          <w:rtl/>
        </w:rPr>
        <w:tab/>
        <w:t>476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الفرق بين القيد الأصلي وتجديد القيد</w:t>
      </w:r>
      <w:r w:rsidRPr="007C3EC7">
        <w:rPr>
          <w:rFonts w:cs="Traditional Arabic" w:hint="cs"/>
          <w:color w:val="000000"/>
          <w:sz w:val="28"/>
          <w:szCs w:val="32"/>
          <w:rtl/>
        </w:rPr>
        <w:tab/>
      </w:r>
      <w:r w:rsidRPr="007C3EC7">
        <w:rPr>
          <w:rFonts w:cs="Traditional Arabic" w:hint="cs"/>
          <w:color w:val="000000"/>
          <w:sz w:val="28"/>
          <w:szCs w:val="32"/>
          <w:rtl/>
        </w:rPr>
        <w:tab/>
        <w:t>477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مصروفات التجديد</w:t>
      </w:r>
      <w:r w:rsidRPr="007C3EC7">
        <w:rPr>
          <w:rFonts w:cs="Traditional Arabic" w:hint="cs"/>
          <w:color w:val="000000"/>
          <w:sz w:val="28"/>
          <w:szCs w:val="32"/>
          <w:rtl/>
        </w:rPr>
        <w:tab/>
      </w:r>
      <w:r w:rsidRPr="007C3EC7">
        <w:rPr>
          <w:rFonts w:cs="Traditional Arabic" w:hint="cs"/>
          <w:color w:val="000000"/>
          <w:sz w:val="28"/>
          <w:szCs w:val="32"/>
          <w:rtl/>
        </w:rPr>
        <w:tab/>
        <w:t>478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التأشير على هامش القيد</w:t>
      </w:r>
      <w:r w:rsidRPr="007C3EC7">
        <w:rPr>
          <w:rFonts w:cs="Traditional Arabic" w:hint="cs"/>
          <w:color w:val="000000"/>
          <w:sz w:val="28"/>
          <w:szCs w:val="32"/>
          <w:rtl/>
        </w:rPr>
        <w:tab/>
      </w:r>
      <w:r w:rsidRPr="007C3EC7">
        <w:rPr>
          <w:rFonts w:cs="Traditional Arabic" w:hint="cs"/>
          <w:color w:val="000000"/>
          <w:sz w:val="28"/>
          <w:szCs w:val="32"/>
          <w:rtl/>
        </w:rPr>
        <w:tab/>
        <w:t>478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3- محو القيد وإلغاء المحو</w:t>
      </w:r>
      <w:r w:rsidRPr="007C3EC7">
        <w:rPr>
          <w:rFonts w:cs="Traditional Arabic" w:hint="cs"/>
          <w:color w:val="000000"/>
          <w:sz w:val="28"/>
          <w:szCs w:val="32"/>
          <w:rtl/>
        </w:rPr>
        <w:tab/>
      </w:r>
      <w:r w:rsidRPr="007C3EC7">
        <w:rPr>
          <w:rFonts w:cs="Traditional Arabic" w:hint="cs"/>
          <w:color w:val="000000"/>
          <w:sz w:val="28"/>
          <w:szCs w:val="32"/>
          <w:rtl/>
        </w:rPr>
        <w:tab/>
        <w:t>481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محو القيد</w:t>
      </w:r>
      <w:r w:rsidRPr="007C3EC7">
        <w:rPr>
          <w:rFonts w:cs="Traditional Arabic" w:hint="cs"/>
          <w:color w:val="000000"/>
          <w:sz w:val="28"/>
          <w:szCs w:val="32"/>
          <w:rtl/>
        </w:rPr>
        <w:tab/>
      </w:r>
      <w:r w:rsidRPr="007C3EC7">
        <w:rPr>
          <w:rFonts w:cs="Traditional Arabic" w:hint="cs"/>
          <w:color w:val="000000"/>
          <w:sz w:val="28"/>
          <w:szCs w:val="32"/>
          <w:rtl/>
        </w:rPr>
        <w:tab/>
        <w:t>481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طريقان للمحو</w:t>
      </w:r>
      <w:r w:rsidRPr="007C3EC7">
        <w:rPr>
          <w:rFonts w:cs="Traditional Arabic" w:hint="cs"/>
          <w:color w:val="000000"/>
          <w:sz w:val="28"/>
          <w:szCs w:val="32"/>
          <w:rtl/>
        </w:rPr>
        <w:tab/>
      </w:r>
      <w:r w:rsidRPr="007C3EC7">
        <w:rPr>
          <w:rFonts w:cs="Traditional Arabic" w:hint="cs"/>
          <w:color w:val="000000"/>
          <w:sz w:val="28"/>
          <w:szCs w:val="32"/>
          <w:rtl/>
        </w:rPr>
        <w:tab/>
        <w:t>481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المحو الاختياري</w:t>
      </w:r>
      <w:r w:rsidRPr="007C3EC7">
        <w:rPr>
          <w:rFonts w:cs="Traditional Arabic" w:hint="cs"/>
          <w:color w:val="000000"/>
          <w:sz w:val="28"/>
          <w:szCs w:val="32"/>
          <w:rtl/>
        </w:rPr>
        <w:tab/>
      </w:r>
      <w:r w:rsidRPr="007C3EC7">
        <w:rPr>
          <w:rFonts w:cs="Traditional Arabic" w:hint="cs"/>
          <w:color w:val="000000"/>
          <w:sz w:val="28"/>
          <w:szCs w:val="32"/>
          <w:rtl/>
        </w:rPr>
        <w:tab/>
        <w:t>482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المحو القضائي</w:t>
      </w:r>
      <w:r w:rsidRPr="007C3EC7">
        <w:rPr>
          <w:rFonts w:cs="Traditional Arabic" w:hint="cs"/>
          <w:color w:val="000000"/>
          <w:sz w:val="28"/>
          <w:szCs w:val="32"/>
          <w:rtl/>
        </w:rPr>
        <w:tab/>
      </w:r>
      <w:r w:rsidRPr="007C3EC7">
        <w:rPr>
          <w:rFonts w:cs="Traditional Arabic" w:hint="cs"/>
          <w:color w:val="000000"/>
          <w:sz w:val="28"/>
          <w:szCs w:val="32"/>
          <w:rtl/>
        </w:rPr>
        <w:tab/>
        <w:t>484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كيف يكون المحو</w:t>
      </w:r>
      <w:r w:rsidRPr="007C3EC7">
        <w:rPr>
          <w:rFonts w:cs="Traditional Arabic" w:hint="cs"/>
          <w:color w:val="000000"/>
          <w:sz w:val="28"/>
          <w:szCs w:val="32"/>
          <w:rtl/>
        </w:rPr>
        <w:tab/>
      </w:r>
      <w:r w:rsidRPr="007C3EC7">
        <w:rPr>
          <w:rFonts w:cs="Traditional Arabic" w:hint="cs"/>
          <w:color w:val="000000"/>
          <w:sz w:val="28"/>
          <w:szCs w:val="32"/>
          <w:rtl/>
        </w:rPr>
        <w:tab/>
        <w:t>485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يترتب على المحو</w:t>
      </w:r>
      <w:r w:rsidRPr="007C3EC7">
        <w:rPr>
          <w:rFonts w:cs="Traditional Arabic" w:hint="cs"/>
          <w:color w:val="000000"/>
          <w:sz w:val="28"/>
          <w:szCs w:val="32"/>
          <w:rtl/>
        </w:rPr>
        <w:tab/>
      </w:r>
      <w:r w:rsidRPr="007C3EC7">
        <w:rPr>
          <w:rFonts w:cs="Traditional Arabic" w:hint="cs"/>
          <w:color w:val="000000"/>
          <w:sz w:val="28"/>
          <w:szCs w:val="32"/>
          <w:rtl/>
        </w:rPr>
        <w:tab/>
        <w:t>485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مصروفات المحو</w:t>
      </w:r>
      <w:r w:rsidRPr="007C3EC7">
        <w:rPr>
          <w:rFonts w:cs="Traditional Arabic" w:hint="cs"/>
          <w:color w:val="000000"/>
          <w:sz w:val="28"/>
          <w:szCs w:val="32"/>
          <w:rtl/>
        </w:rPr>
        <w:tab/>
      </w:r>
      <w:r w:rsidRPr="007C3EC7">
        <w:rPr>
          <w:rFonts w:cs="Traditional Arabic" w:hint="cs"/>
          <w:color w:val="000000"/>
          <w:sz w:val="28"/>
          <w:szCs w:val="32"/>
          <w:rtl/>
        </w:rPr>
        <w:tab/>
        <w:t>486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إلغاء المحو بعد حصوله</w:t>
      </w:r>
      <w:r w:rsidRPr="007C3EC7">
        <w:rPr>
          <w:rFonts w:cs="Traditional Arabic" w:hint="cs"/>
          <w:color w:val="000000"/>
          <w:sz w:val="28"/>
          <w:szCs w:val="32"/>
          <w:rtl/>
        </w:rPr>
        <w:tab/>
      </w:r>
      <w:r w:rsidRPr="007C3EC7">
        <w:rPr>
          <w:rFonts w:cs="Traditional Arabic" w:hint="cs"/>
          <w:color w:val="000000"/>
          <w:sz w:val="28"/>
          <w:szCs w:val="32"/>
          <w:rtl/>
        </w:rPr>
        <w:tab/>
        <w:t>487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الدعوى القضائية بإلغاء المحو</w:t>
      </w:r>
      <w:r w:rsidRPr="007C3EC7">
        <w:rPr>
          <w:rFonts w:cs="Traditional Arabic" w:hint="cs"/>
          <w:color w:val="000000"/>
          <w:sz w:val="28"/>
          <w:szCs w:val="32"/>
          <w:rtl/>
        </w:rPr>
        <w:tab/>
      </w:r>
      <w:r w:rsidRPr="007C3EC7">
        <w:rPr>
          <w:rFonts w:cs="Traditional Arabic" w:hint="cs"/>
          <w:color w:val="000000"/>
          <w:sz w:val="28"/>
          <w:szCs w:val="32"/>
          <w:rtl/>
        </w:rPr>
        <w:tab/>
        <w:t>488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 xml:space="preserve">الدعوى دائما ضرورية في إلغاء المح </w:t>
      </w:r>
      <w:r w:rsidRPr="007C3EC7">
        <w:rPr>
          <w:rFonts w:cs="Traditional Arabic"/>
          <w:color w:val="000000"/>
          <w:sz w:val="28"/>
          <w:szCs w:val="32"/>
          <w:rtl/>
        </w:rPr>
        <w:t>–</w:t>
      </w:r>
      <w:r w:rsidRPr="007C3EC7">
        <w:rPr>
          <w:rFonts w:cs="Traditional Arabic" w:hint="cs"/>
          <w:color w:val="000000"/>
          <w:sz w:val="28"/>
          <w:szCs w:val="32"/>
          <w:rtl/>
        </w:rPr>
        <w:t xml:space="preserve"> مصروفات الدعوى</w:t>
      </w:r>
      <w:r w:rsidRPr="007C3EC7">
        <w:rPr>
          <w:rFonts w:cs="Traditional Arabic" w:hint="cs"/>
          <w:color w:val="000000"/>
          <w:sz w:val="28"/>
          <w:szCs w:val="32"/>
          <w:rtl/>
        </w:rPr>
        <w:tab/>
      </w:r>
      <w:r w:rsidRPr="007C3EC7">
        <w:rPr>
          <w:rFonts w:cs="Traditional Arabic" w:hint="cs"/>
          <w:color w:val="000000"/>
          <w:sz w:val="28"/>
          <w:szCs w:val="32"/>
          <w:rtl/>
        </w:rPr>
        <w:tab/>
        <w:t>488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إجراء إلغاء المحو </w:t>
      </w:r>
      <w:r w:rsidRPr="007C3EC7">
        <w:rPr>
          <w:rFonts w:cs="Traditional Arabic"/>
          <w:color w:val="000000"/>
          <w:sz w:val="28"/>
          <w:szCs w:val="32"/>
          <w:rtl/>
        </w:rPr>
        <w:t>–</w:t>
      </w:r>
      <w:r w:rsidRPr="007C3EC7">
        <w:rPr>
          <w:rFonts w:cs="Traditional Arabic" w:hint="cs"/>
          <w:color w:val="000000"/>
          <w:sz w:val="28"/>
          <w:szCs w:val="32"/>
          <w:rtl/>
        </w:rPr>
        <w:t xml:space="preserve"> التأشير الهامشي</w:t>
      </w:r>
      <w:r w:rsidRPr="007C3EC7">
        <w:rPr>
          <w:rFonts w:cs="Traditional Arabic" w:hint="cs"/>
          <w:color w:val="000000"/>
          <w:sz w:val="28"/>
          <w:szCs w:val="32"/>
          <w:rtl/>
        </w:rPr>
        <w:tab/>
      </w:r>
      <w:r w:rsidRPr="007C3EC7">
        <w:rPr>
          <w:rFonts w:cs="Traditional Arabic" w:hint="cs"/>
          <w:color w:val="000000"/>
          <w:sz w:val="28"/>
          <w:szCs w:val="32"/>
          <w:rtl/>
        </w:rPr>
        <w:tab/>
        <w:t>489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يترتب على الحكم بإلغاء المحو</w:t>
      </w:r>
      <w:r w:rsidRPr="007C3EC7">
        <w:rPr>
          <w:rFonts w:cs="Traditional Arabic" w:hint="cs"/>
          <w:color w:val="000000"/>
          <w:sz w:val="28"/>
          <w:szCs w:val="32"/>
          <w:rtl/>
        </w:rPr>
        <w:tab/>
      </w:r>
      <w:r w:rsidRPr="007C3EC7">
        <w:rPr>
          <w:rFonts w:cs="Traditional Arabic" w:hint="cs"/>
          <w:color w:val="000000"/>
          <w:sz w:val="28"/>
          <w:szCs w:val="32"/>
          <w:rtl/>
        </w:rPr>
        <w:tab/>
        <w:t>489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مرتبة الدائن الذي محي قيده ثم ألغى المحو</w:t>
      </w:r>
      <w:r w:rsidRPr="007C3EC7">
        <w:rPr>
          <w:rFonts w:cs="Traditional Arabic" w:hint="cs"/>
          <w:color w:val="000000"/>
          <w:sz w:val="28"/>
          <w:szCs w:val="32"/>
          <w:rtl/>
        </w:rPr>
        <w:tab/>
      </w:r>
      <w:r w:rsidRPr="007C3EC7">
        <w:rPr>
          <w:rFonts w:cs="Traditional Arabic" w:hint="cs"/>
          <w:color w:val="000000"/>
          <w:sz w:val="28"/>
          <w:szCs w:val="32"/>
          <w:rtl/>
        </w:rPr>
        <w:tab/>
        <w:t>490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المبحث الثاني</w:t>
      </w:r>
      <w:r>
        <w:rPr>
          <w:rFonts w:cs="Traditional Arabic" w:hint="cs"/>
          <w:color w:val="000000"/>
          <w:sz w:val="28"/>
          <w:szCs w:val="32"/>
          <w:rtl/>
        </w:rPr>
        <w:t xml:space="preserve"> :</w:t>
      </w:r>
      <w:r w:rsidRPr="007C3EC7">
        <w:rPr>
          <w:rFonts w:cs="Traditional Arabic" w:hint="cs"/>
          <w:color w:val="000000"/>
          <w:sz w:val="28"/>
          <w:szCs w:val="32"/>
          <w:rtl/>
        </w:rPr>
        <w:t xml:space="preserve"> استعمال حق التقدم وحق التتبع</w:t>
      </w:r>
      <w:r w:rsidRPr="007C3EC7">
        <w:rPr>
          <w:rFonts w:cs="Traditional Arabic" w:hint="cs"/>
          <w:color w:val="000000"/>
          <w:sz w:val="28"/>
          <w:szCs w:val="32"/>
          <w:rtl/>
        </w:rPr>
        <w:tab/>
      </w:r>
      <w:r w:rsidRPr="007C3EC7">
        <w:rPr>
          <w:rFonts w:cs="Traditional Arabic" w:hint="cs"/>
          <w:color w:val="000000"/>
          <w:sz w:val="28"/>
          <w:szCs w:val="32"/>
          <w:rtl/>
        </w:rPr>
        <w:tab/>
        <w:t>492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متى يستعمل حقا التقدم والتتبع</w:t>
      </w:r>
      <w:r w:rsidRPr="007C3EC7">
        <w:rPr>
          <w:rFonts w:cs="Traditional Arabic" w:hint="cs"/>
          <w:color w:val="000000"/>
          <w:sz w:val="28"/>
          <w:szCs w:val="32"/>
          <w:rtl/>
        </w:rPr>
        <w:tab/>
      </w:r>
      <w:r w:rsidRPr="007C3EC7">
        <w:rPr>
          <w:rFonts w:cs="Traditional Arabic" w:hint="cs"/>
          <w:color w:val="000000"/>
          <w:sz w:val="28"/>
          <w:szCs w:val="32"/>
          <w:rtl/>
        </w:rPr>
        <w:tab/>
        <w:t>492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المطلب الأول</w:t>
      </w:r>
      <w:r>
        <w:rPr>
          <w:rFonts w:cs="Traditional Arabic" w:hint="cs"/>
          <w:color w:val="000000"/>
          <w:sz w:val="28"/>
          <w:szCs w:val="32"/>
          <w:rtl/>
        </w:rPr>
        <w:t xml:space="preserve"> :</w:t>
      </w:r>
      <w:r w:rsidRPr="007C3EC7">
        <w:rPr>
          <w:rFonts w:cs="Traditional Arabic" w:hint="cs"/>
          <w:color w:val="000000"/>
          <w:sz w:val="28"/>
          <w:szCs w:val="32"/>
          <w:rtl/>
        </w:rPr>
        <w:t xml:space="preserve"> حق التقدم</w:t>
      </w:r>
      <w:r w:rsidRPr="007C3EC7">
        <w:rPr>
          <w:rFonts w:cs="Traditional Arabic" w:hint="cs"/>
          <w:color w:val="000000"/>
          <w:sz w:val="28"/>
          <w:szCs w:val="32"/>
          <w:rtl/>
        </w:rPr>
        <w:tab/>
      </w:r>
      <w:r w:rsidRPr="007C3EC7">
        <w:rPr>
          <w:rFonts w:cs="Traditional Arabic" w:hint="cs"/>
          <w:color w:val="000000"/>
          <w:sz w:val="28"/>
          <w:szCs w:val="32"/>
          <w:rtl/>
        </w:rPr>
        <w:tab/>
        <w:t>492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ترتيب الدائنين</w:t>
      </w:r>
      <w:r w:rsidRPr="007C3EC7">
        <w:rPr>
          <w:rFonts w:cs="Traditional Arabic" w:hint="cs"/>
          <w:color w:val="000000"/>
          <w:sz w:val="28"/>
          <w:szCs w:val="32"/>
          <w:rtl/>
        </w:rPr>
        <w:tab/>
      </w:r>
      <w:r w:rsidRPr="007C3EC7">
        <w:rPr>
          <w:rFonts w:cs="Traditional Arabic" w:hint="cs"/>
          <w:color w:val="000000"/>
          <w:sz w:val="28"/>
          <w:szCs w:val="32"/>
          <w:rtl/>
        </w:rPr>
        <w:tab/>
        <w:t>492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Pr>
        <w:t>§</w:t>
      </w:r>
      <w:r w:rsidRPr="007C3EC7">
        <w:rPr>
          <w:rFonts w:cs="Traditional Arabic" w:hint="cs"/>
          <w:color w:val="000000"/>
          <w:sz w:val="28"/>
          <w:szCs w:val="32"/>
          <w:rtl/>
        </w:rPr>
        <w:t xml:space="preserve"> 1- الدين المضمون</w:t>
      </w:r>
      <w:r w:rsidRPr="007C3EC7">
        <w:rPr>
          <w:rFonts w:cs="Traditional Arabic" w:hint="cs"/>
          <w:color w:val="000000"/>
          <w:sz w:val="28"/>
          <w:szCs w:val="32"/>
          <w:rtl/>
        </w:rPr>
        <w:tab/>
      </w:r>
      <w:r w:rsidRPr="007C3EC7">
        <w:rPr>
          <w:rFonts w:cs="Traditional Arabic" w:hint="cs"/>
          <w:color w:val="000000"/>
          <w:sz w:val="28"/>
          <w:szCs w:val="32"/>
          <w:rtl/>
        </w:rPr>
        <w:tab/>
        <w:t>494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الدين المضمون بالرهن يشمل أولا أصل الدين</w:t>
      </w:r>
      <w:r w:rsidRPr="007C3EC7">
        <w:rPr>
          <w:rFonts w:cs="Traditional Arabic" w:hint="cs"/>
          <w:color w:val="000000"/>
          <w:sz w:val="28"/>
          <w:szCs w:val="32"/>
          <w:rtl/>
        </w:rPr>
        <w:tab/>
      </w:r>
      <w:r w:rsidRPr="007C3EC7">
        <w:rPr>
          <w:rFonts w:cs="Traditional Arabic" w:hint="cs"/>
          <w:color w:val="000000"/>
          <w:sz w:val="28"/>
          <w:szCs w:val="32"/>
          <w:rtl/>
        </w:rPr>
        <w:tab/>
        <w:t>494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الديون الشرطية والاحتمالية والمستقبلة</w:t>
      </w:r>
      <w:r w:rsidRPr="007C3EC7">
        <w:rPr>
          <w:rFonts w:cs="Traditional Arabic" w:hint="cs"/>
          <w:color w:val="000000"/>
          <w:sz w:val="28"/>
          <w:szCs w:val="32"/>
          <w:rtl/>
        </w:rPr>
        <w:tab/>
      </w:r>
      <w:r w:rsidRPr="007C3EC7">
        <w:rPr>
          <w:rFonts w:cs="Traditional Arabic" w:hint="cs"/>
          <w:color w:val="000000"/>
          <w:sz w:val="28"/>
          <w:szCs w:val="32"/>
          <w:rtl/>
        </w:rPr>
        <w:tab/>
        <w:t>495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الإيراد المرتب مدى الحياة</w:t>
      </w:r>
      <w:r w:rsidRPr="007C3EC7">
        <w:rPr>
          <w:rFonts w:cs="Traditional Arabic" w:hint="cs"/>
          <w:color w:val="000000"/>
          <w:sz w:val="28"/>
          <w:szCs w:val="32"/>
          <w:rtl/>
        </w:rPr>
        <w:tab/>
      </w:r>
      <w:r w:rsidRPr="007C3EC7">
        <w:rPr>
          <w:rFonts w:cs="Traditional Arabic" w:hint="cs"/>
          <w:color w:val="000000"/>
          <w:sz w:val="28"/>
          <w:szCs w:val="32"/>
          <w:rtl/>
        </w:rPr>
        <w:tab/>
        <w:t>497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محلقات الدين المرهون بالرهن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498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التزاحم بين دائن مرتهن رهناً رسمياً ودائن آخر مرتهن رهناً رسمياً </w:t>
      </w:r>
      <w:r w:rsidRPr="007C3EC7">
        <w:rPr>
          <w:rFonts w:cs="Traditional Arabic" w:hint="cs"/>
          <w:color w:val="000000"/>
          <w:sz w:val="28"/>
          <w:szCs w:val="32"/>
          <w:rtl/>
        </w:rPr>
        <w:tab/>
      </w:r>
      <w:r w:rsidRPr="007C3EC7">
        <w:rPr>
          <w:rFonts w:cs="Traditional Arabic" w:hint="cs"/>
          <w:color w:val="000000"/>
          <w:sz w:val="28"/>
          <w:szCs w:val="32"/>
          <w:rtl/>
        </w:rPr>
        <w:tab/>
        <w:t>499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امتياز عام</w:t>
      </w:r>
      <w:r w:rsidRPr="007C3EC7">
        <w:rPr>
          <w:rFonts w:cs="Traditional Arabic" w:hint="cs"/>
          <w:color w:val="000000"/>
          <w:sz w:val="28"/>
          <w:szCs w:val="32"/>
          <w:rtl/>
        </w:rPr>
        <w:tab/>
      </w:r>
      <w:r w:rsidRPr="007C3EC7">
        <w:rPr>
          <w:rFonts w:cs="Traditional Arabic" w:hint="cs"/>
          <w:color w:val="000000"/>
          <w:sz w:val="28"/>
          <w:szCs w:val="32"/>
          <w:rtl/>
        </w:rPr>
        <w:tab/>
        <w:t>500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التزاحم بين دائن مرتهن رهناً رسمياً ودائن مزود بتأمين عقاري خاص</w:t>
      </w:r>
      <w:r w:rsidRPr="007C3EC7">
        <w:rPr>
          <w:rFonts w:cs="Traditional Arabic" w:hint="cs"/>
          <w:color w:val="000000"/>
          <w:sz w:val="28"/>
          <w:szCs w:val="32"/>
          <w:rtl/>
        </w:rPr>
        <w:tab/>
      </w:r>
      <w:r w:rsidRPr="007C3EC7">
        <w:rPr>
          <w:rFonts w:cs="Traditional Arabic" w:hint="cs"/>
          <w:color w:val="000000"/>
          <w:sz w:val="28"/>
          <w:szCs w:val="32"/>
          <w:rtl/>
        </w:rPr>
        <w:tab/>
        <w:t>501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color w:val="000000"/>
          <w:szCs w:val="26"/>
        </w:rPr>
        <w:t>§</w:t>
      </w:r>
      <w:r w:rsidRPr="007C3EC7">
        <w:rPr>
          <w:rFonts w:hint="cs"/>
          <w:color w:val="000000"/>
          <w:szCs w:val="26"/>
          <w:rtl/>
        </w:rPr>
        <w:t xml:space="preserve"> </w:t>
      </w:r>
      <w:r w:rsidRPr="007C3EC7">
        <w:rPr>
          <w:rFonts w:cs="Traditional Arabic" w:hint="cs"/>
          <w:color w:val="000000"/>
          <w:sz w:val="28"/>
          <w:szCs w:val="32"/>
          <w:rtl/>
        </w:rPr>
        <w:t>2- المال المرهون</w:t>
      </w:r>
      <w:r w:rsidRPr="007C3EC7">
        <w:rPr>
          <w:rFonts w:cs="Traditional Arabic" w:hint="cs"/>
          <w:color w:val="000000"/>
          <w:sz w:val="28"/>
          <w:szCs w:val="32"/>
          <w:rtl/>
        </w:rPr>
        <w:tab/>
      </w:r>
      <w:r w:rsidRPr="007C3EC7">
        <w:rPr>
          <w:rFonts w:cs="Traditional Arabic" w:hint="cs"/>
          <w:color w:val="000000"/>
          <w:sz w:val="28"/>
          <w:szCs w:val="32"/>
          <w:rtl/>
        </w:rPr>
        <w:tab/>
        <w:t>502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المال الذي حل محل العقار المرهون</w:t>
      </w:r>
      <w:r w:rsidRPr="007C3EC7">
        <w:rPr>
          <w:rFonts w:cs="Traditional Arabic" w:hint="cs"/>
          <w:color w:val="000000"/>
          <w:sz w:val="28"/>
          <w:szCs w:val="32"/>
          <w:rtl/>
        </w:rPr>
        <w:tab/>
      </w:r>
      <w:r w:rsidRPr="007C3EC7">
        <w:rPr>
          <w:rFonts w:cs="Traditional Arabic" w:hint="cs"/>
          <w:color w:val="000000"/>
          <w:sz w:val="28"/>
          <w:szCs w:val="32"/>
          <w:rtl/>
        </w:rPr>
        <w:tab/>
        <w:t>502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مبلغ التعويض</w:t>
      </w:r>
      <w:r w:rsidRPr="007C3EC7">
        <w:rPr>
          <w:rFonts w:cs="Traditional Arabic" w:hint="cs"/>
          <w:color w:val="000000"/>
          <w:sz w:val="28"/>
          <w:szCs w:val="32"/>
          <w:rtl/>
        </w:rPr>
        <w:tab/>
      </w:r>
      <w:r w:rsidRPr="007C3EC7">
        <w:rPr>
          <w:rFonts w:cs="Traditional Arabic" w:hint="cs"/>
          <w:color w:val="000000"/>
          <w:sz w:val="28"/>
          <w:szCs w:val="32"/>
          <w:rtl/>
        </w:rPr>
        <w:tab/>
        <w:t>503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عوض التأمين</w:t>
      </w:r>
      <w:r w:rsidRPr="007C3EC7">
        <w:rPr>
          <w:rFonts w:cs="Traditional Arabic" w:hint="cs"/>
          <w:color w:val="000000"/>
          <w:sz w:val="28"/>
          <w:szCs w:val="32"/>
          <w:rtl/>
        </w:rPr>
        <w:tab/>
      </w:r>
      <w:r w:rsidRPr="007C3EC7">
        <w:rPr>
          <w:rFonts w:cs="Traditional Arabic" w:hint="cs"/>
          <w:color w:val="000000"/>
          <w:sz w:val="28"/>
          <w:szCs w:val="32"/>
          <w:rtl/>
        </w:rPr>
        <w:tab/>
        <w:t>504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مقابل نزع الملكية للمنفعة العامة</w:t>
      </w:r>
      <w:r w:rsidRPr="007C3EC7">
        <w:rPr>
          <w:rFonts w:cs="Traditional Arabic" w:hint="cs"/>
          <w:color w:val="000000"/>
          <w:sz w:val="28"/>
          <w:szCs w:val="32"/>
          <w:rtl/>
        </w:rPr>
        <w:tab/>
      </w:r>
      <w:r w:rsidRPr="007C3EC7">
        <w:rPr>
          <w:rFonts w:cs="Traditional Arabic" w:hint="cs"/>
          <w:color w:val="000000"/>
          <w:sz w:val="28"/>
          <w:szCs w:val="32"/>
          <w:rtl/>
        </w:rPr>
        <w:tab/>
        <w:t>505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ثمن العقار وملحقاته</w:t>
      </w:r>
      <w:r w:rsidRPr="007C3EC7">
        <w:rPr>
          <w:rFonts w:cs="Traditional Arabic" w:hint="cs"/>
          <w:color w:val="000000"/>
          <w:sz w:val="28"/>
          <w:szCs w:val="32"/>
          <w:rtl/>
        </w:rPr>
        <w:tab/>
      </w:r>
      <w:r w:rsidRPr="007C3EC7">
        <w:rPr>
          <w:rFonts w:cs="Traditional Arabic" w:hint="cs"/>
          <w:color w:val="000000"/>
          <w:sz w:val="28"/>
          <w:szCs w:val="32"/>
          <w:rtl/>
        </w:rPr>
        <w:tab/>
        <w:t>506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التزاحم بين حق الدائن المرتهن وحق امتياز بائع المنقول الملحق بالعقار المرهون باعتباره</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عقاراً بالتخصيص</w:t>
      </w:r>
      <w:r w:rsidRPr="007C3EC7">
        <w:rPr>
          <w:rFonts w:cs="Traditional Arabic" w:hint="cs"/>
          <w:color w:val="000000"/>
          <w:sz w:val="28"/>
          <w:szCs w:val="32"/>
          <w:rtl/>
        </w:rPr>
        <w:tab/>
      </w:r>
      <w:r w:rsidRPr="007C3EC7">
        <w:rPr>
          <w:rFonts w:cs="Traditional Arabic" w:hint="cs"/>
          <w:color w:val="000000"/>
          <w:sz w:val="28"/>
          <w:szCs w:val="32"/>
          <w:rtl/>
        </w:rPr>
        <w:tab/>
        <w:t>506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تنفيذ الدائن المرتهن رهناً رسمياً على العقار المرهون المملوك للكفل العيني</w:t>
      </w:r>
      <w:r w:rsidRPr="007C3EC7">
        <w:rPr>
          <w:rFonts w:cs="Traditional Arabic" w:hint="cs"/>
          <w:color w:val="000000"/>
          <w:sz w:val="28"/>
          <w:szCs w:val="32"/>
          <w:rtl/>
        </w:rPr>
        <w:tab/>
      </w:r>
      <w:r w:rsidRPr="007C3EC7">
        <w:rPr>
          <w:rFonts w:cs="Traditional Arabic" w:hint="cs"/>
          <w:color w:val="000000"/>
          <w:sz w:val="28"/>
          <w:szCs w:val="32"/>
          <w:rtl/>
        </w:rPr>
        <w:tab/>
        <w:t>509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حق المرتهن يشمل عدة عقارات </w:t>
      </w:r>
      <w:r w:rsidRPr="007C3EC7">
        <w:rPr>
          <w:rFonts w:cs="Traditional Arabic"/>
          <w:color w:val="000000"/>
          <w:sz w:val="28"/>
          <w:szCs w:val="32"/>
          <w:rtl/>
        </w:rPr>
        <w:t>–</w:t>
      </w:r>
      <w:r w:rsidRPr="007C3EC7">
        <w:rPr>
          <w:rFonts w:cs="Traditional Arabic" w:hint="cs"/>
          <w:color w:val="000000"/>
          <w:sz w:val="28"/>
          <w:szCs w:val="32"/>
          <w:rtl/>
        </w:rPr>
        <w:t xml:space="preserve"> مبدأ عدم تجزئة الرهن</w:t>
      </w:r>
      <w:r w:rsidRPr="007C3EC7">
        <w:rPr>
          <w:rFonts w:cs="Traditional Arabic" w:hint="cs"/>
          <w:color w:val="000000"/>
          <w:sz w:val="28"/>
          <w:szCs w:val="32"/>
          <w:rtl/>
        </w:rPr>
        <w:tab/>
      </w:r>
      <w:r w:rsidRPr="007C3EC7">
        <w:rPr>
          <w:rFonts w:cs="Traditional Arabic" w:hint="cs"/>
          <w:color w:val="000000"/>
          <w:sz w:val="28"/>
          <w:szCs w:val="32"/>
          <w:rtl/>
        </w:rPr>
        <w:tab/>
        <w:t>510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إساءة الدائن المرتهن رهناً رسمياً لاستعمال حقه في التقدم</w:t>
      </w:r>
      <w:r w:rsidRPr="007C3EC7">
        <w:rPr>
          <w:rFonts w:cs="Traditional Arabic" w:hint="cs"/>
          <w:color w:val="000000"/>
          <w:sz w:val="28"/>
          <w:szCs w:val="32"/>
          <w:rtl/>
        </w:rPr>
        <w:tab/>
      </w:r>
      <w:r w:rsidRPr="007C3EC7">
        <w:rPr>
          <w:rFonts w:cs="Traditional Arabic" w:hint="cs"/>
          <w:color w:val="000000"/>
          <w:sz w:val="28"/>
          <w:szCs w:val="32"/>
          <w:rtl/>
        </w:rPr>
        <w:tab/>
        <w:t>511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Pr>
        <w:t>§</w:t>
      </w:r>
      <w:r w:rsidRPr="007C3EC7">
        <w:rPr>
          <w:rFonts w:hint="cs"/>
          <w:color w:val="000000"/>
          <w:szCs w:val="26"/>
          <w:rtl/>
        </w:rPr>
        <w:t xml:space="preserve"> </w:t>
      </w:r>
      <w:r w:rsidRPr="007C3EC7">
        <w:rPr>
          <w:rFonts w:cs="Traditional Arabic" w:hint="cs"/>
          <w:color w:val="000000"/>
          <w:sz w:val="28"/>
          <w:szCs w:val="32"/>
          <w:rtl/>
        </w:rPr>
        <w:t>3- نزول الدائن المرتهن عن مرتبة رهنه لدائن مرتهن آخر</w:t>
      </w:r>
      <w:r w:rsidRPr="007C3EC7">
        <w:rPr>
          <w:rFonts w:cs="Traditional Arabic" w:hint="cs"/>
          <w:color w:val="000000"/>
          <w:sz w:val="28"/>
          <w:szCs w:val="32"/>
          <w:rtl/>
        </w:rPr>
        <w:tab/>
      </w:r>
      <w:r w:rsidRPr="007C3EC7">
        <w:rPr>
          <w:rFonts w:cs="Traditional Arabic" w:hint="cs"/>
          <w:color w:val="000000"/>
          <w:sz w:val="28"/>
          <w:szCs w:val="32"/>
          <w:rtl/>
        </w:rPr>
        <w:tab/>
        <w:t>514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مرتهن آخر </w:t>
      </w:r>
      <w:r w:rsidRPr="007C3EC7">
        <w:rPr>
          <w:rFonts w:cs="Traditional Arabic" w:hint="cs"/>
          <w:color w:val="000000"/>
          <w:sz w:val="28"/>
          <w:szCs w:val="32"/>
          <w:rtl/>
        </w:rPr>
        <w:tab/>
      </w:r>
      <w:r w:rsidRPr="007C3EC7">
        <w:rPr>
          <w:rFonts w:cs="Traditional Arabic" w:hint="cs"/>
          <w:color w:val="000000"/>
          <w:sz w:val="28"/>
          <w:szCs w:val="32"/>
          <w:rtl/>
        </w:rPr>
        <w:tab/>
        <w:t>514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تص قانوني</w:t>
      </w:r>
      <w:r w:rsidRPr="007C3EC7">
        <w:rPr>
          <w:rFonts w:cs="Traditional Arabic" w:hint="cs"/>
          <w:color w:val="000000"/>
          <w:sz w:val="28"/>
          <w:szCs w:val="32"/>
          <w:rtl/>
        </w:rPr>
        <w:tab/>
      </w:r>
      <w:r w:rsidRPr="007C3EC7">
        <w:rPr>
          <w:rFonts w:cs="Traditional Arabic" w:hint="cs"/>
          <w:color w:val="000000"/>
          <w:sz w:val="28"/>
          <w:szCs w:val="32"/>
          <w:rtl/>
        </w:rPr>
        <w:tab/>
        <w:t>514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الفرق بين النزول عن الرهن والنزول عن مرتبته</w:t>
      </w:r>
      <w:r w:rsidRPr="007C3EC7">
        <w:rPr>
          <w:rFonts w:cs="Traditional Arabic" w:hint="cs"/>
          <w:color w:val="000000"/>
          <w:sz w:val="28"/>
          <w:szCs w:val="32"/>
          <w:rtl/>
        </w:rPr>
        <w:tab/>
      </w:r>
      <w:r w:rsidRPr="007C3EC7">
        <w:rPr>
          <w:rFonts w:cs="Traditional Arabic" w:hint="cs"/>
          <w:color w:val="000000"/>
          <w:sz w:val="28"/>
          <w:szCs w:val="32"/>
          <w:rtl/>
        </w:rPr>
        <w:tab/>
        <w:t>515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لماذا ينزل الدائن المرتهن عن مرتبة رهنه</w:t>
      </w:r>
      <w:r w:rsidRPr="007C3EC7">
        <w:rPr>
          <w:rFonts w:cs="Traditional Arabic" w:hint="cs"/>
          <w:color w:val="000000"/>
          <w:sz w:val="28"/>
          <w:szCs w:val="32"/>
          <w:rtl/>
        </w:rPr>
        <w:tab/>
      </w:r>
      <w:r w:rsidRPr="007C3EC7">
        <w:rPr>
          <w:rFonts w:cs="Traditional Arabic" w:hint="cs"/>
          <w:color w:val="000000"/>
          <w:sz w:val="28"/>
          <w:szCs w:val="32"/>
          <w:rtl/>
        </w:rPr>
        <w:tab/>
        <w:t>516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شروط النزول عن مرتبة الرهن</w:t>
      </w:r>
      <w:r w:rsidRPr="007C3EC7">
        <w:rPr>
          <w:rFonts w:cs="Traditional Arabic" w:hint="cs"/>
          <w:color w:val="000000"/>
          <w:sz w:val="28"/>
          <w:szCs w:val="32"/>
          <w:rtl/>
        </w:rPr>
        <w:tab/>
      </w:r>
      <w:r w:rsidRPr="007C3EC7">
        <w:rPr>
          <w:rFonts w:cs="Traditional Arabic" w:hint="cs"/>
          <w:color w:val="000000"/>
          <w:sz w:val="28"/>
          <w:szCs w:val="32"/>
          <w:rtl/>
        </w:rPr>
        <w:tab/>
        <w:t>517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النزول عن مرتبة يكون في حدود حق المنازل</w:t>
      </w:r>
      <w:r w:rsidRPr="007C3EC7">
        <w:rPr>
          <w:rFonts w:cs="Traditional Arabic" w:hint="cs"/>
          <w:color w:val="000000"/>
          <w:sz w:val="28"/>
          <w:szCs w:val="32"/>
          <w:rtl/>
        </w:rPr>
        <w:tab/>
      </w:r>
      <w:r w:rsidRPr="007C3EC7">
        <w:rPr>
          <w:rFonts w:cs="Traditional Arabic" w:hint="cs"/>
          <w:color w:val="000000"/>
          <w:sz w:val="28"/>
          <w:szCs w:val="32"/>
          <w:rtl/>
        </w:rPr>
        <w:tab/>
        <w:t>517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جواز التمسك ضد المتنازل له بالدفوع التي كان يمكن التمسك بها ضد المتنازل</w:t>
      </w:r>
      <w:r w:rsidRPr="007C3EC7">
        <w:rPr>
          <w:rFonts w:cs="Traditional Arabic" w:hint="cs"/>
          <w:color w:val="000000"/>
          <w:sz w:val="28"/>
          <w:szCs w:val="32"/>
          <w:rtl/>
        </w:rPr>
        <w:tab/>
      </w:r>
      <w:r w:rsidRPr="007C3EC7">
        <w:rPr>
          <w:rFonts w:cs="Traditional Arabic" w:hint="cs"/>
          <w:color w:val="000000"/>
          <w:sz w:val="28"/>
          <w:szCs w:val="32"/>
          <w:rtl/>
        </w:rPr>
        <w:tab/>
        <w:t>518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التمسك بها ضد المتنازل</w:t>
      </w:r>
      <w:r w:rsidRPr="007C3EC7">
        <w:rPr>
          <w:rFonts w:cs="Traditional Arabic" w:hint="cs"/>
          <w:color w:val="000000"/>
          <w:sz w:val="28"/>
          <w:szCs w:val="32"/>
          <w:rtl/>
        </w:rPr>
        <w:tab/>
      </w:r>
      <w:r w:rsidRPr="007C3EC7">
        <w:rPr>
          <w:rFonts w:cs="Traditional Arabic" w:hint="cs"/>
          <w:color w:val="000000"/>
          <w:sz w:val="28"/>
          <w:szCs w:val="32"/>
          <w:rtl/>
        </w:rPr>
        <w:tab/>
        <w:t>518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عدم إضرار النزول عن مرتبة الرهن ضرراً غير مشروع بالدائن المتوسط</w:t>
      </w:r>
      <w:r w:rsidRPr="007C3EC7">
        <w:rPr>
          <w:rFonts w:cs="Traditional Arabic" w:hint="cs"/>
          <w:color w:val="000000"/>
          <w:sz w:val="28"/>
          <w:szCs w:val="32"/>
          <w:rtl/>
        </w:rPr>
        <w:tab/>
      </w:r>
      <w:r w:rsidRPr="007C3EC7">
        <w:rPr>
          <w:rFonts w:cs="Traditional Arabic" w:hint="cs"/>
          <w:color w:val="000000"/>
          <w:sz w:val="28"/>
          <w:szCs w:val="32"/>
          <w:rtl/>
        </w:rPr>
        <w:tab/>
        <w:t>519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المطلب الثاني</w:t>
      </w:r>
      <w:r>
        <w:rPr>
          <w:rFonts w:cs="Traditional Arabic" w:hint="cs"/>
          <w:color w:val="000000"/>
          <w:sz w:val="28"/>
          <w:szCs w:val="32"/>
          <w:rtl/>
        </w:rPr>
        <w:t xml:space="preserve"> :</w:t>
      </w:r>
      <w:r w:rsidRPr="007C3EC7">
        <w:rPr>
          <w:rFonts w:cs="Traditional Arabic" w:hint="cs"/>
          <w:color w:val="000000"/>
          <w:sz w:val="28"/>
          <w:szCs w:val="32"/>
          <w:rtl/>
        </w:rPr>
        <w:t xml:space="preserve"> حق التتبع</w:t>
      </w:r>
      <w:r w:rsidRPr="007C3EC7">
        <w:rPr>
          <w:rFonts w:cs="Traditional Arabic" w:hint="cs"/>
          <w:color w:val="000000"/>
          <w:sz w:val="28"/>
          <w:szCs w:val="32"/>
          <w:rtl/>
        </w:rPr>
        <w:tab/>
      </w:r>
      <w:r w:rsidRPr="007C3EC7">
        <w:rPr>
          <w:rFonts w:cs="Traditional Arabic" w:hint="cs"/>
          <w:color w:val="000000"/>
          <w:sz w:val="28"/>
          <w:szCs w:val="32"/>
          <w:rtl/>
        </w:rPr>
        <w:tab/>
        <w:t>521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521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شروط الحائز للعقار المرهون</w:t>
      </w:r>
      <w:r w:rsidRPr="007C3EC7">
        <w:rPr>
          <w:rFonts w:cs="Traditional Arabic" w:hint="cs"/>
          <w:color w:val="000000"/>
          <w:sz w:val="28"/>
          <w:szCs w:val="32"/>
          <w:rtl/>
        </w:rPr>
        <w:tab/>
      </w:r>
      <w:r w:rsidRPr="007C3EC7">
        <w:rPr>
          <w:rFonts w:cs="Traditional Arabic" w:hint="cs"/>
          <w:color w:val="000000"/>
          <w:sz w:val="28"/>
          <w:szCs w:val="32"/>
          <w:rtl/>
        </w:rPr>
        <w:tab/>
        <w:t>523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مباشرة التتبع في مواجهة الحائز للعقار المرهون</w:t>
      </w:r>
      <w:r w:rsidRPr="007C3EC7">
        <w:rPr>
          <w:rFonts w:cs="Traditional Arabic" w:hint="cs"/>
          <w:color w:val="000000"/>
          <w:sz w:val="28"/>
          <w:szCs w:val="32"/>
          <w:rtl/>
        </w:rPr>
        <w:tab/>
      </w:r>
      <w:r w:rsidRPr="007C3EC7">
        <w:rPr>
          <w:rFonts w:cs="Traditional Arabic" w:hint="cs"/>
          <w:color w:val="000000"/>
          <w:sz w:val="28"/>
          <w:szCs w:val="32"/>
          <w:rtl/>
        </w:rPr>
        <w:tab/>
        <w:t>525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ماذا يفعل الحائز </w:t>
      </w:r>
      <w:r w:rsidRPr="007C3EC7">
        <w:rPr>
          <w:rFonts w:cs="Traditional Arabic"/>
          <w:color w:val="000000"/>
          <w:sz w:val="28"/>
          <w:szCs w:val="32"/>
          <w:rtl/>
        </w:rPr>
        <w:t>–</w:t>
      </w:r>
      <w:r w:rsidRPr="007C3EC7">
        <w:rPr>
          <w:rFonts w:cs="Traditional Arabic" w:hint="cs"/>
          <w:color w:val="000000"/>
          <w:sz w:val="28"/>
          <w:szCs w:val="32"/>
          <w:rtl/>
        </w:rPr>
        <w:t xml:space="preserve"> سيان الرهن في مواجهة الحائز</w:t>
      </w:r>
      <w:r w:rsidRPr="007C3EC7">
        <w:rPr>
          <w:rFonts w:cs="Traditional Arabic" w:hint="cs"/>
          <w:color w:val="000000"/>
          <w:sz w:val="28"/>
          <w:szCs w:val="32"/>
          <w:rtl/>
        </w:rPr>
        <w:tab/>
      </w:r>
      <w:r w:rsidRPr="007C3EC7">
        <w:rPr>
          <w:rFonts w:cs="Traditional Arabic" w:hint="cs"/>
          <w:color w:val="000000"/>
          <w:sz w:val="28"/>
          <w:szCs w:val="32"/>
          <w:rtl/>
        </w:rPr>
        <w:tab/>
        <w:t>526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وجود الدين وسلامته</w:t>
      </w:r>
      <w:r w:rsidRPr="007C3EC7">
        <w:rPr>
          <w:rFonts w:cs="Traditional Arabic" w:hint="cs"/>
          <w:color w:val="000000"/>
          <w:sz w:val="28"/>
          <w:szCs w:val="32"/>
          <w:rtl/>
        </w:rPr>
        <w:tab/>
      </w:r>
      <w:r w:rsidRPr="007C3EC7">
        <w:rPr>
          <w:rFonts w:cs="Traditional Arabic" w:hint="cs"/>
          <w:color w:val="000000"/>
          <w:sz w:val="28"/>
          <w:szCs w:val="32"/>
          <w:rtl/>
        </w:rPr>
        <w:tab/>
        <w:t>526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الوسائل القانونية المعطاة للحائز</w:t>
      </w:r>
      <w:r w:rsidRPr="007C3EC7">
        <w:rPr>
          <w:rFonts w:cs="Traditional Arabic" w:hint="cs"/>
          <w:color w:val="000000"/>
          <w:sz w:val="28"/>
          <w:szCs w:val="32"/>
          <w:rtl/>
        </w:rPr>
        <w:tab/>
      </w:r>
      <w:r w:rsidRPr="007C3EC7">
        <w:rPr>
          <w:rFonts w:cs="Traditional Arabic" w:hint="cs"/>
          <w:color w:val="000000"/>
          <w:sz w:val="28"/>
          <w:szCs w:val="32"/>
          <w:rtl/>
        </w:rPr>
        <w:tab/>
        <w:t>527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Pr>
        <w:t>§</w:t>
      </w:r>
      <w:r w:rsidRPr="007C3EC7">
        <w:rPr>
          <w:rFonts w:hint="cs"/>
          <w:color w:val="000000"/>
          <w:szCs w:val="26"/>
          <w:rtl/>
        </w:rPr>
        <w:t xml:space="preserve"> </w:t>
      </w:r>
      <w:r w:rsidRPr="007C3EC7">
        <w:rPr>
          <w:rFonts w:cs="Traditional Arabic" w:hint="cs"/>
          <w:color w:val="000000"/>
          <w:sz w:val="28"/>
          <w:szCs w:val="32"/>
          <w:rtl/>
        </w:rPr>
        <w:t>1- قضاء الديون</w:t>
      </w:r>
      <w:r w:rsidRPr="007C3EC7">
        <w:rPr>
          <w:rFonts w:cs="Traditional Arabic" w:hint="cs"/>
          <w:color w:val="000000"/>
          <w:sz w:val="28"/>
          <w:szCs w:val="32"/>
          <w:rtl/>
        </w:rPr>
        <w:tab/>
      </w:r>
      <w:r w:rsidRPr="007C3EC7">
        <w:rPr>
          <w:rFonts w:cs="Traditional Arabic" w:hint="cs"/>
          <w:color w:val="000000"/>
          <w:sz w:val="28"/>
          <w:szCs w:val="32"/>
          <w:rtl/>
        </w:rPr>
        <w:tab/>
        <w:t>528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نص قانوني </w:t>
      </w:r>
      <w:r w:rsidRPr="007C3EC7">
        <w:rPr>
          <w:rFonts w:cs="Traditional Arabic" w:hint="cs"/>
          <w:color w:val="000000"/>
          <w:sz w:val="28"/>
          <w:szCs w:val="32"/>
          <w:rtl/>
        </w:rPr>
        <w:tab/>
      </w:r>
      <w:r w:rsidRPr="007C3EC7">
        <w:rPr>
          <w:rFonts w:cs="Traditional Arabic" w:hint="cs"/>
          <w:color w:val="000000"/>
          <w:sz w:val="28"/>
          <w:szCs w:val="32"/>
          <w:rtl/>
        </w:rPr>
        <w:tab/>
        <w:t>528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متى يكون قضاء الدين أفضل</w:t>
      </w:r>
      <w:r w:rsidRPr="007C3EC7">
        <w:rPr>
          <w:rFonts w:cs="Traditional Arabic" w:hint="cs"/>
          <w:color w:val="000000"/>
          <w:sz w:val="28"/>
          <w:szCs w:val="32"/>
          <w:rtl/>
        </w:rPr>
        <w:tab/>
      </w:r>
      <w:r w:rsidRPr="007C3EC7">
        <w:rPr>
          <w:rFonts w:cs="Traditional Arabic" w:hint="cs"/>
          <w:color w:val="000000"/>
          <w:sz w:val="28"/>
          <w:szCs w:val="32"/>
          <w:rtl/>
        </w:rPr>
        <w:tab/>
        <w:t>529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ما يجب على الحائز دفعه لقضاء الدين</w:t>
      </w:r>
      <w:r w:rsidRPr="007C3EC7">
        <w:rPr>
          <w:rFonts w:cs="Traditional Arabic" w:hint="cs"/>
          <w:color w:val="000000"/>
          <w:sz w:val="28"/>
          <w:szCs w:val="32"/>
          <w:rtl/>
        </w:rPr>
        <w:tab/>
      </w:r>
      <w:r w:rsidRPr="007C3EC7">
        <w:rPr>
          <w:rFonts w:cs="Traditional Arabic" w:hint="cs"/>
          <w:color w:val="000000"/>
          <w:sz w:val="28"/>
          <w:szCs w:val="32"/>
          <w:rtl/>
        </w:rPr>
        <w:tab/>
        <w:t>530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متى يجب الدفع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530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حلول الحائز محل الدائن</w:t>
      </w:r>
      <w:r w:rsidRPr="007C3EC7">
        <w:rPr>
          <w:rFonts w:cs="Traditional Arabic" w:hint="cs"/>
          <w:color w:val="000000"/>
          <w:sz w:val="28"/>
          <w:szCs w:val="32"/>
          <w:rtl/>
        </w:rPr>
        <w:tab/>
      </w:r>
      <w:r w:rsidRPr="007C3EC7">
        <w:rPr>
          <w:rFonts w:cs="Traditional Arabic" w:hint="cs"/>
          <w:color w:val="000000"/>
          <w:sz w:val="28"/>
          <w:szCs w:val="32"/>
          <w:rtl/>
        </w:rPr>
        <w:tab/>
        <w:t>532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رجوع الحائز على المدين وعلى المالك السابق</w:t>
      </w:r>
      <w:r w:rsidRPr="007C3EC7">
        <w:rPr>
          <w:rFonts w:cs="Traditional Arabic" w:hint="cs"/>
          <w:color w:val="000000"/>
          <w:sz w:val="28"/>
          <w:szCs w:val="32"/>
          <w:rtl/>
        </w:rPr>
        <w:tab/>
      </w:r>
      <w:r w:rsidRPr="007C3EC7">
        <w:rPr>
          <w:rFonts w:cs="Traditional Arabic" w:hint="cs"/>
          <w:color w:val="000000"/>
          <w:sz w:val="28"/>
          <w:szCs w:val="32"/>
          <w:rtl/>
        </w:rPr>
        <w:tab/>
        <w:t>532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متى يجبر الحائز على دفع الدين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إجبار الحائز على دفع الديون إذا كان في ذمته مبلغ يكفي لوفاء جميع الدائنين المقيدين</w:t>
      </w:r>
      <w:r w:rsidRPr="007C3EC7">
        <w:rPr>
          <w:rFonts w:cs="Traditional Arabic" w:hint="cs"/>
          <w:color w:val="000000"/>
          <w:sz w:val="28"/>
          <w:szCs w:val="32"/>
          <w:rtl/>
        </w:rPr>
        <w:tab/>
        <w:t>535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اتفاق الدائنين على إجبار الحائز على الدفع</w:t>
      </w:r>
      <w:r w:rsidRPr="007C3EC7">
        <w:rPr>
          <w:rFonts w:cs="Traditional Arabic" w:hint="cs"/>
          <w:color w:val="000000"/>
          <w:sz w:val="28"/>
          <w:szCs w:val="32"/>
          <w:rtl/>
        </w:rPr>
        <w:tab/>
      </w:r>
      <w:r w:rsidRPr="007C3EC7">
        <w:rPr>
          <w:rFonts w:cs="Traditional Arabic" w:hint="cs"/>
          <w:color w:val="000000"/>
          <w:sz w:val="28"/>
          <w:szCs w:val="32"/>
          <w:rtl/>
        </w:rPr>
        <w:tab/>
        <w:t>536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hint="cs"/>
          <w:color w:val="000000"/>
          <w:szCs w:val="26"/>
          <w:rtl/>
        </w:rPr>
        <w:tab/>
      </w:r>
      <w:r w:rsidRPr="007C3EC7">
        <w:rPr>
          <w:color w:val="000000"/>
          <w:szCs w:val="26"/>
        </w:rPr>
        <w:t>§</w:t>
      </w:r>
      <w:r w:rsidRPr="007C3EC7">
        <w:rPr>
          <w:rFonts w:cs="Traditional Arabic" w:hint="cs"/>
          <w:color w:val="000000"/>
          <w:sz w:val="28"/>
          <w:szCs w:val="32"/>
          <w:rtl/>
        </w:rPr>
        <w:t xml:space="preserve"> 2- تطهر العقار</w:t>
      </w:r>
      <w:r w:rsidRPr="007C3EC7">
        <w:rPr>
          <w:rFonts w:cs="Traditional Arabic" w:hint="cs"/>
          <w:color w:val="000000"/>
          <w:sz w:val="28"/>
          <w:szCs w:val="32"/>
          <w:rtl/>
        </w:rPr>
        <w:tab/>
      </w:r>
      <w:r w:rsidRPr="007C3EC7">
        <w:rPr>
          <w:rFonts w:cs="Traditional Arabic" w:hint="cs"/>
          <w:color w:val="000000"/>
          <w:sz w:val="28"/>
          <w:szCs w:val="32"/>
          <w:rtl/>
        </w:rPr>
        <w:tab/>
        <w:t>537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537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متى يختار الحائز التطهير </w:t>
      </w:r>
      <w:r w:rsidRPr="007C3EC7">
        <w:rPr>
          <w:rFonts w:cs="Traditional Arabic" w:hint="cs"/>
          <w:color w:val="000000"/>
          <w:sz w:val="28"/>
          <w:szCs w:val="32"/>
          <w:rtl/>
        </w:rPr>
        <w:tab/>
      </w:r>
      <w:r w:rsidRPr="007C3EC7">
        <w:rPr>
          <w:rFonts w:cs="Traditional Arabic" w:hint="cs"/>
          <w:color w:val="000000"/>
          <w:sz w:val="28"/>
          <w:szCs w:val="32"/>
          <w:rtl/>
        </w:rPr>
        <w:tab/>
        <w:t>540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مزايا التطهير وعيوبه</w:t>
      </w:r>
      <w:r w:rsidRPr="007C3EC7">
        <w:rPr>
          <w:rFonts w:cs="Traditional Arabic" w:hint="cs"/>
          <w:color w:val="000000"/>
          <w:sz w:val="28"/>
          <w:szCs w:val="32"/>
          <w:rtl/>
        </w:rPr>
        <w:tab/>
      </w:r>
      <w:r w:rsidRPr="007C3EC7">
        <w:rPr>
          <w:rFonts w:cs="Traditional Arabic" w:hint="cs"/>
          <w:color w:val="000000"/>
          <w:sz w:val="28"/>
          <w:szCs w:val="32"/>
          <w:rtl/>
        </w:rPr>
        <w:tab/>
        <w:t>541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أربع مسائل رئيسية في التطهير</w:t>
      </w:r>
      <w:r w:rsidRPr="007C3EC7">
        <w:rPr>
          <w:rFonts w:cs="Traditional Arabic" w:hint="cs"/>
          <w:color w:val="000000"/>
          <w:sz w:val="28"/>
          <w:szCs w:val="32"/>
          <w:rtl/>
        </w:rPr>
        <w:tab/>
      </w:r>
      <w:r w:rsidRPr="007C3EC7">
        <w:rPr>
          <w:rFonts w:cs="Traditional Arabic" w:hint="cs"/>
          <w:color w:val="000000"/>
          <w:sz w:val="28"/>
          <w:szCs w:val="32"/>
          <w:rtl/>
        </w:rPr>
        <w:tab/>
        <w:t>541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أ</w:t>
      </w:r>
      <w:r>
        <w:rPr>
          <w:rFonts w:cs="Traditional Arabic" w:hint="cs"/>
          <w:color w:val="000000"/>
          <w:sz w:val="28"/>
          <w:szCs w:val="32"/>
          <w:rtl/>
        </w:rPr>
        <w:t xml:space="preserve"> )</w:t>
      </w:r>
      <w:r w:rsidRPr="007C3EC7">
        <w:rPr>
          <w:rFonts w:cs="Traditional Arabic" w:hint="cs"/>
          <w:color w:val="000000"/>
          <w:sz w:val="28"/>
          <w:szCs w:val="32"/>
          <w:rtl/>
        </w:rPr>
        <w:t xml:space="preserve"> من يجوز له التطهير</w:t>
      </w:r>
      <w:r w:rsidRPr="007C3EC7">
        <w:rPr>
          <w:rFonts w:cs="Traditional Arabic" w:hint="cs"/>
          <w:color w:val="000000"/>
          <w:sz w:val="28"/>
          <w:szCs w:val="32"/>
          <w:rtl/>
        </w:rPr>
        <w:tab/>
      </w:r>
      <w:r w:rsidRPr="007C3EC7">
        <w:rPr>
          <w:rFonts w:cs="Traditional Arabic" w:hint="cs"/>
          <w:color w:val="000000"/>
          <w:sz w:val="28"/>
          <w:szCs w:val="32"/>
          <w:rtl/>
        </w:rPr>
        <w:tab/>
        <w:t>542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يجوز التطهير للحائز</w:t>
      </w:r>
      <w:r w:rsidRPr="007C3EC7">
        <w:rPr>
          <w:rFonts w:cs="Traditional Arabic" w:hint="cs"/>
          <w:color w:val="000000"/>
          <w:sz w:val="28"/>
          <w:szCs w:val="32"/>
          <w:rtl/>
        </w:rPr>
        <w:tab/>
      </w:r>
      <w:r w:rsidRPr="007C3EC7">
        <w:rPr>
          <w:rFonts w:cs="Traditional Arabic" w:hint="cs"/>
          <w:color w:val="000000"/>
          <w:sz w:val="28"/>
          <w:szCs w:val="32"/>
          <w:rtl/>
        </w:rPr>
        <w:tab/>
        <w:t>542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المالك تحت شرط</w:t>
      </w:r>
      <w:r w:rsidRPr="007C3EC7">
        <w:rPr>
          <w:rFonts w:cs="Traditional Arabic" w:hint="cs"/>
          <w:color w:val="000000"/>
          <w:sz w:val="28"/>
          <w:szCs w:val="32"/>
          <w:rtl/>
        </w:rPr>
        <w:tab/>
      </w:r>
      <w:r w:rsidRPr="007C3EC7">
        <w:rPr>
          <w:rFonts w:cs="Traditional Arabic" w:hint="cs"/>
          <w:color w:val="000000"/>
          <w:sz w:val="28"/>
          <w:szCs w:val="32"/>
          <w:rtl/>
        </w:rPr>
        <w:tab/>
        <w:t>543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الملتزم شخصياً بالدين</w:t>
      </w:r>
      <w:r w:rsidRPr="007C3EC7">
        <w:rPr>
          <w:rFonts w:cs="Traditional Arabic" w:hint="cs"/>
          <w:color w:val="000000"/>
          <w:sz w:val="28"/>
          <w:szCs w:val="32"/>
          <w:rtl/>
        </w:rPr>
        <w:tab/>
      </w:r>
      <w:r w:rsidRPr="007C3EC7">
        <w:rPr>
          <w:rFonts w:cs="Traditional Arabic" w:hint="cs"/>
          <w:color w:val="000000"/>
          <w:sz w:val="28"/>
          <w:szCs w:val="32"/>
          <w:rtl/>
        </w:rPr>
        <w:tab/>
        <w:t>544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حق الرقبة وحق الانتفاع</w:t>
      </w:r>
      <w:r w:rsidRPr="007C3EC7">
        <w:rPr>
          <w:rFonts w:cs="Traditional Arabic" w:hint="cs"/>
          <w:color w:val="000000"/>
          <w:sz w:val="28"/>
          <w:szCs w:val="32"/>
          <w:rtl/>
        </w:rPr>
        <w:tab/>
      </w:r>
      <w:r w:rsidRPr="007C3EC7">
        <w:rPr>
          <w:rFonts w:cs="Traditional Arabic" w:hint="cs"/>
          <w:color w:val="000000"/>
          <w:sz w:val="28"/>
          <w:szCs w:val="32"/>
          <w:rtl/>
        </w:rPr>
        <w:tab/>
        <w:t>545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تسجيل سند الحائز</w:t>
      </w:r>
      <w:r w:rsidRPr="007C3EC7">
        <w:rPr>
          <w:rFonts w:cs="Traditional Arabic" w:hint="cs"/>
          <w:color w:val="000000"/>
          <w:sz w:val="28"/>
          <w:szCs w:val="32"/>
          <w:rtl/>
        </w:rPr>
        <w:tab/>
      </w:r>
      <w:r w:rsidRPr="007C3EC7">
        <w:rPr>
          <w:rFonts w:cs="Traditional Arabic" w:hint="cs"/>
          <w:color w:val="000000"/>
          <w:sz w:val="28"/>
          <w:szCs w:val="32"/>
          <w:rtl/>
        </w:rPr>
        <w:tab/>
        <w:t>545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ميعاد التطهير</w:t>
      </w:r>
      <w:r w:rsidRPr="007C3EC7">
        <w:rPr>
          <w:rFonts w:cs="Traditional Arabic" w:hint="cs"/>
          <w:color w:val="000000"/>
          <w:sz w:val="28"/>
          <w:szCs w:val="32"/>
          <w:rtl/>
        </w:rPr>
        <w:tab/>
      </w:r>
      <w:r w:rsidRPr="007C3EC7">
        <w:rPr>
          <w:rFonts w:cs="Traditional Arabic" w:hint="cs"/>
          <w:color w:val="000000"/>
          <w:sz w:val="28"/>
          <w:szCs w:val="32"/>
          <w:rtl/>
        </w:rPr>
        <w:tab/>
        <w:t>546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ب</w:t>
      </w:r>
      <w:r>
        <w:rPr>
          <w:rFonts w:cs="Traditional Arabic" w:hint="cs"/>
          <w:color w:val="000000"/>
          <w:sz w:val="28"/>
          <w:szCs w:val="32"/>
          <w:rtl/>
        </w:rPr>
        <w:t xml:space="preserve"> )</w:t>
      </w:r>
      <w:r w:rsidRPr="007C3EC7">
        <w:rPr>
          <w:rFonts w:cs="Traditional Arabic" w:hint="cs"/>
          <w:color w:val="000000"/>
          <w:sz w:val="28"/>
          <w:szCs w:val="32"/>
          <w:rtl/>
        </w:rPr>
        <w:t xml:space="preserve"> عر ض الحائز وقبوله</w:t>
      </w:r>
      <w:r w:rsidRPr="007C3EC7">
        <w:rPr>
          <w:rFonts w:cs="Traditional Arabic" w:hint="cs"/>
          <w:color w:val="000000"/>
          <w:sz w:val="28"/>
          <w:szCs w:val="32"/>
          <w:rtl/>
        </w:rPr>
        <w:tab/>
      </w:r>
      <w:r w:rsidRPr="007C3EC7">
        <w:rPr>
          <w:rFonts w:cs="Traditional Arabic" w:hint="cs"/>
          <w:color w:val="000000"/>
          <w:sz w:val="28"/>
          <w:szCs w:val="32"/>
          <w:rtl/>
        </w:rPr>
        <w:tab/>
        <w:t>547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إعلان الدائنين المقيدين وعرض قيمة العقار عليهم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المبلغ الذي يقدره الحائز قيمة للعقار المرهون</w:t>
      </w:r>
      <w:r w:rsidRPr="007C3EC7">
        <w:rPr>
          <w:rFonts w:cs="Traditional Arabic" w:hint="cs"/>
          <w:color w:val="000000"/>
          <w:sz w:val="28"/>
          <w:szCs w:val="32"/>
          <w:rtl/>
        </w:rPr>
        <w:tab/>
      </w:r>
      <w:r w:rsidRPr="007C3EC7">
        <w:rPr>
          <w:rFonts w:cs="Traditional Arabic" w:hint="cs"/>
          <w:color w:val="000000"/>
          <w:sz w:val="28"/>
          <w:szCs w:val="32"/>
          <w:rtl/>
        </w:rPr>
        <w:tab/>
        <w:t>549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العرض الحقيقي غير واجب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552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ما يترتب على ما يقع في الإعلان من نقص أو خطأ</w:t>
      </w:r>
      <w:r w:rsidRPr="007C3EC7">
        <w:rPr>
          <w:rFonts w:cs="Traditional Arabic" w:hint="cs"/>
          <w:color w:val="000000"/>
          <w:sz w:val="28"/>
          <w:szCs w:val="32"/>
          <w:rtl/>
        </w:rPr>
        <w:tab/>
      </w:r>
      <w:r w:rsidRPr="007C3EC7">
        <w:rPr>
          <w:rFonts w:cs="Traditional Arabic" w:hint="cs"/>
          <w:color w:val="000000"/>
          <w:sz w:val="28"/>
          <w:szCs w:val="32"/>
          <w:rtl/>
        </w:rPr>
        <w:tab/>
        <w:t>553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إلى من يوجه العرض</w:t>
      </w:r>
      <w:r w:rsidRPr="007C3EC7">
        <w:rPr>
          <w:rFonts w:cs="Traditional Arabic" w:hint="cs"/>
          <w:color w:val="000000"/>
          <w:sz w:val="28"/>
          <w:szCs w:val="32"/>
          <w:rtl/>
        </w:rPr>
        <w:tab/>
      </w:r>
      <w:r w:rsidRPr="007C3EC7">
        <w:rPr>
          <w:rFonts w:cs="Traditional Arabic" w:hint="cs"/>
          <w:color w:val="000000"/>
          <w:sz w:val="28"/>
          <w:szCs w:val="32"/>
          <w:rtl/>
        </w:rPr>
        <w:tab/>
        <w:t>555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في أي مكان يكون العرض</w:t>
      </w:r>
      <w:r w:rsidRPr="007C3EC7">
        <w:rPr>
          <w:rFonts w:cs="Traditional Arabic" w:hint="cs"/>
          <w:color w:val="000000"/>
          <w:sz w:val="28"/>
          <w:szCs w:val="32"/>
          <w:rtl/>
        </w:rPr>
        <w:tab/>
      </w:r>
      <w:r w:rsidRPr="007C3EC7">
        <w:rPr>
          <w:rFonts w:cs="Traditional Arabic" w:hint="cs"/>
          <w:color w:val="000000"/>
          <w:sz w:val="28"/>
          <w:szCs w:val="32"/>
          <w:rtl/>
        </w:rPr>
        <w:tab/>
        <w:t xml:space="preserve">555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في أي وقت يكون العرض</w:t>
      </w:r>
      <w:r w:rsidRPr="007C3EC7">
        <w:rPr>
          <w:rFonts w:cs="Traditional Arabic" w:hint="cs"/>
          <w:color w:val="000000"/>
          <w:sz w:val="28"/>
          <w:szCs w:val="32"/>
          <w:rtl/>
        </w:rPr>
        <w:tab/>
      </w:r>
      <w:r w:rsidRPr="007C3EC7">
        <w:rPr>
          <w:rFonts w:cs="Traditional Arabic" w:hint="cs"/>
          <w:color w:val="000000"/>
          <w:sz w:val="28"/>
          <w:szCs w:val="32"/>
          <w:rtl/>
        </w:rPr>
        <w:tab/>
        <w:t>556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قبول العرض</w:t>
      </w:r>
      <w:r w:rsidRPr="007C3EC7">
        <w:rPr>
          <w:rFonts w:cs="Traditional Arabic" w:hint="cs"/>
          <w:color w:val="000000"/>
          <w:sz w:val="28"/>
          <w:szCs w:val="32"/>
          <w:rtl/>
        </w:rPr>
        <w:tab/>
      </w:r>
      <w:r w:rsidRPr="007C3EC7">
        <w:rPr>
          <w:rFonts w:cs="Traditional Arabic" w:hint="cs"/>
          <w:color w:val="000000"/>
          <w:sz w:val="28"/>
          <w:szCs w:val="32"/>
          <w:rtl/>
        </w:rPr>
        <w:tab/>
        <w:t>557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التزام الحائز في حالة قبول العرض</w:t>
      </w:r>
      <w:r w:rsidRPr="007C3EC7">
        <w:rPr>
          <w:rFonts w:cs="Traditional Arabic" w:hint="cs"/>
          <w:color w:val="000000"/>
          <w:sz w:val="28"/>
          <w:szCs w:val="32"/>
          <w:rtl/>
        </w:rPr>
        <w:tab/>
      </w:r>
      <w:r w:rsidRPr="007C3EC7">
        <w:rPr>
          <w:rFonts w:cs="Traditional Arabic" w:hint="cs"/>
          <w:color w:val="000000"/>
          <w:sz w:val="28"/>
          <w:szCs w:val="32"/>
          <w:rtl/>
        </w:rPr>
        <w:tab/>
        <w:t>558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توزيع قيمة العقار على الدائنين في حالة قبول العرض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559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ج</w:t>
      </w:r>
      <w:r>
        <w:rPr>
          <w:rFonts w:cs="Traditional Arabic" w:hint="cs"/>
          <w:color w:val="000000"/>
          <w:sz w:val="28"/>
          <w:szCs w:val="32"/>
          <w:rtl/>
        </w:rPr>
        <w:t xml:space="preserve"> )</w:t>
      </w:r>
      <w:r w:rsidRPr="007C3EC7">
        <w:rPr>
          <w:rFonts w:cs="Traditional Arabic" w:hint="cs"/>
          <w:color w:val="000000"/>
          <w:sz w:val="28"/>
          <w:szCs w:val="32"/>
          <w:rtl/>
        </w:rPr>
        <w:t xml:space="preserve">  عرض الحائز ورفضه </w:t>
      </w:r>
      <w:r w:rsidRPr="007C3EC7">
        <w:rPr>
          <w:rFonts w:cs="Traditional Arabic"/>
          <w:color w:val="000000"/>
          <w:sz w:val="28"/>
          <w:szCs w:val="32"/>
          <w:rtl/>
        </w:rPr>
        <w:t>–</w:t>
      </w:r>
      <w:r w:rsidRPr="007C3EC7">
        <w:rPr>
          <w:rFonts w:cs="Traditional Arabic" w:hint="cs"/>
          <w:color w:val="000000"/>
          <w:sz w:val="28"/>
          <w:szCs w:val="32"/>
          <w:rtl/>
        </w:rPr>
        <w:t xml:space="preserve"> بيع العقار بالمزاد</w:t>
      </w:r>
      <w:r w:rsidRPr="007C3EC7">
        <w:rPr>
          <w:rFonts w:cs="Traditional Arabic" w:hint="cs"/>
          <w:color w:val="000000"/>
          <w:sz w:val="28"/>
          <w:szCs w:val="32"/>
          <w:rtl/>
        </w:rPr>
        <w:tab/>
      </w:r>
      <w:r w:rsidRPr="007C3EC7">
        <w:rPr>
          <w:rFonts w:cs="Traditional Arabic" w:hint="cs"/>
          <w:color w:val="000000"/>
          <w:sz w:val="28"/>
          <w:szCs w:val="32"/>
          <w:rtl/>
        </w:rPr>
        <w:tab/>
        <w:t>560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خيار الدائنين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560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رفض العرض</w:t>
      </w:r>
      <w:r w:rsidRPr="007C3EC7">
        <w:rPr>
          <w:rFonts w:cs="Traditional Arabic" w:hint="cs"/>
          <w:color w:val="000000"/>
          <w:sz w:val="28"/>
          <w:szCs w:val="32"/>
          <w:rtl/>
        </w:rPr>
        <w:tab/>
      </w:r>
      <w:r w:rsidRPr="007C3EC7">
        <w:rPr>
          <w:rFonts w:cs="Traditional Arabic" w:hint="cs"/>
          <w:color w:val="000000"/>
          <w:sz w:val="28"/>
          <w:szCs w:val="32"/>
          <w:rtl/>
        </w:rPr>
        <w:tab/>
        <w:t>562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كيف يكون رفض العرض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562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بيع العقار بالمزاد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565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sidRPr="007C3EC7">
        <w:rPr>
          <w:rFonts w:cs="Traditional Arabic" w:hint="cs"/>
          <w:color w:val="000000"/>
          <w:sz w:val="28"/>
          <w:szCs w:val="32"/>
          <w:rtl/>
        </w:rPr>
        <w:tab/>
        <w:t>رسو المزاد على الحائز</w:t>
      </w:r>
      <w:r w:rsidRPr="007C3EC7">
        <w:rPr>
          <w:rFonts w:cs="Traditional Arabic" w:hint="cs"/>
          <w:color w:val="000000"/>
          <w:sz w:val="28"/>
          <w:szCs w:val="32"/>
          <w:rtl/>
        </w:rPr>
        <w:tab/>
      </w:r>
      <w:r w:rsidRPr="007C3EC7">
        <w:rPr>
          <w:rFonts w:cs="Traditional Arabic" w:hint="cs"/>
          <w:color w:val="000000"/>
          <w:sz w:val="28"/>
          <w:szCs w:val="32"/>
          <w:rtl/>
        </w:rPr>
        <w:tab/>
        <w:t>566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رسو المزاد على غير الحائز</w:t>
      </w:r>
      <w:r w:rsidRPr="007C3EC7">
        <w:rPr>
          <w:rFonts w:cs="Traditional Arabic" w:hint="cs"/>
          <w:color w:val="000000"/>
          <w:sz w:val="28"/>
          <w:szCs w:val="32"/>
          <w:rtl/>
        </w:rPr>
        <w:tab/>
      </w:r>
      <w:r w:rsidRPr="007C3EC7">
        <w:rPr>
          <w:rFonts w:cs="Traditional Arabic" w:hint="cs"/>
          <w:color w:val="000000"/>
          <w:sz w:val="28"/>
          <w:szCs w:val="32"/>
          <w:rtl/>
        </w:rPr>
        <w:tab/>
        <w:t>568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د</w:t>
      </w:r>
      <w:r>
        <w:rPr>
          <w:rFonts w:cs="Traditional Arabic" w:hint="cs"/>
          <w:color w:val="000000"/>
          <w:sz w:val="28"/>
          <w:szCs w:val="32"/>
          <w:rtl/>
        </w:rPr>
        <w:t xml:space="preserve"> )</w:t>
      </w:r>
      <w:r w:rsidRPr="007C3EC7">
        <w:rPr>
          <w:rFonts w:cs="Traditional Arabic" w:hint="cs"/>
          <w:color w:val="000000"/>
          <w:sz w:val="28"/>
          <w:szCs w:val="32"/>
          <w:rtl/>
        </w:rPr>
        <w:t xml:space="preserve"> متى يمتنع التطهير </w:t>
      </w:r>
      <w:r w:rsidRPr="007C3EC7">
        <w:rPr>
          <w:rFonts w:cs="Traditional Arabic"/>
          <w:color w:val="000000"/>
          <w:sz w:val="28"/>
          <w:szCs w:val="32"/>
          <w:rtl/>
        </w:rPr>
        <w:t>–</w:t>
      </w:r>
      <w:r w:rsidRPr="007C3EC7">
        <w:rPr>
          <w:rFonts w:cs="Traditional Arabic" w:hint="cs"/>
          <w:color w:val="000000"/>
          <w:sz w:val="28"/>
          <w:szCs w:val="32"/>
          <w:rtl/>
        </w:rPr>
        <w:t xml:space="preserve"> مصروفاته</w:t>
      </w:r>
      <w:r w:rsidRPr="007C3EC7">
        <w:rPr>
          <w:rFonts w:cs="Traditional Arabic" w:hint="cs"/>
          <w:color w:val="000000"/>
          <w:sz w:val="28"/>
          <w:szCs w:val="32"/>
          <w:rtl/>
        </w:rPr>
        <w:tab/>
      </w:r>
      <w:r w:rsidRPr="007C3EC7">
        <w:rPr>
          <w:rFonts w:cs="Traditional Arabic" w:hint="cs"/>
          <w:color w:val="000000"/>
          <w:sz w:val="28"/>
          <w:szCs w:val="32"/>
          <w:rtl/>
        </w:rPr>
        <w:tab/>
        <w:t>571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متى يمتنع التطهير</w:t>
      </w:r>
      <w:r w:rsidRPr="007C3EC7">
        <w:rPr>
          <w:rFonts w:cs="Traditional Arabic" w:hint="cs"/>
          <w:color w:val="000000"/>
          <w:sz w:val="28"/>
          <w:szCs w:val="32"/>
          <w:rtl/>
        </w:rPr>
        <w:tab/>
      </w:r>
      <w:r w:rsidRPr="007C3EC7">
        <w:rPr>
          <w:rFonts w:cs="Traditional Arabic" w:hint="cs"/>
          <w:color w:val="000000"/>
          <w:sz w:val="28"/>
          <w:szCs w:val="32"/>
          <w:rtl/>
        </w:rPr>
        <w:tab/>
        <w:t>571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مصروفات التطهير</w:t>
      </w:r>
      <w:r w:rsidRPr="007C3EC7">
        <w:rPr>
          <w:rFonts w:cs="Traditional Arabic" w:hint="cs"/>
          <w:color w:val="000000"/>
          <w:sz w:val="28"/>
          <w:szCs w:val="32"/>
          <w:rtl/>
        </w:rPr>
        <w:tab/>
      </w:r>
      <w:r w:rsidRPr="007C3EC7">
        <w:rPr>
          <w:rFonts w:cs="Traditional Arabic" w:hint="cs"/>
          <w:color w:val="000000"/>
          <w:sz w:val="28"/>
          <w:szCs w:val="32"/>
          <w:rtl/>
        </w:rPr>
        <w:tab/>
        <w:t>572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cs="Traditional Arabic" w:hint="cs"/>
          <w:color w:val="000000"/>
          <w:sz w:val="28"/>
          <w:szCs w:val="32"/>
          <w:rtl/>
        </w:rPr>
        <w:t xml:space="preserve"> 3- تخلية العقار</w:t>
      </w:r>
      <w:r w:rsidRPr="007C3EC7">
        <w:rPr>
          <w:rFonts w:cs="Traditional Arabic" w:hint="cs"/>
          <w:color w:val="000000"/>
          <w:sz w:val="28"/>
          <w:szCs w:val="32"/>
          <w:rtl/>
        </w:rPr>
        <w:tab/>
      </w:r>
      <w:r w:rsidRPr="007C3EC7">
        <w:rPr>
          <w:rFonts w:cs="Traditional Arabic" w:hint="cs"/>
          <w:color w:val="000000"/>
          <w:sz w:val="28"/>
          <w:szCs w:val="32"/>
          <w:rtl/>
        </w:rPr>
        <w:tab/>
        <w:t>574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الغرض من التخلية</w:t>
      </w:r>
      <w:r w:rsidRPr="007C3EC7">
        <w:rPr>
          <w:rFonts w:cs="Traditional Arabic" w:hint="cs"/>
          <w:color w:val="000000"/>
          <w:sz w:val="28"/>
          <w:szCs w:val="32"/>
          <w:rtl/>
        </w:rPr>
        <w:tab/>
      </w:r>
      <w:r w:rsidRPr="007C3EC7">
        <w:rPr>
          <w:rFonts w:cs="Traditional Arabic" w:hint="cs"/>
          <w:color w:val="000000"/>
          <w:sz w:val="28"/>
          <w:szCs w:val="32"/>
          <w:rtl/>
        </w:rPr>
        <w:tab/>
        <w:t>574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من له الحق في التخلية</w:t>
      </w:r>
      <w:r w:rsidRPr="007C3EC7">
        <w:rPr>
          <w:rFonts w:cs="Traditional Arabic" w:hint="cs"/>
          <w:color w:val="000000"/>
          <w:sz w:val="28"/>
          <w:szCs w:val="32"/>
          <w:rtl/>
        </w:rPr>
        <w:tab/>
      </w:r>
      <w:r w:rsidRPr="007C3EC7">
        <w:rPr>
          <w:rFonts w:cs="Traditional Arabic" w:hint="cs"/>
          <w:color w:val="000000"/>
          <w:sz w:val="28"/>
          <w:szCs w:val="32"/>
          <w:rtl/>
        </w:rPr>
        <w:tab/>
        <w:t>575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ميعاد التخلية</w:t>
      </w:r>
      <w:r w:rsidRPr="007C3EC7">
        <w:rPr>
          <w:rFonts w:cs="Traditional Arabic" w:hint="cs"/>
          <w:color w:val="000000"/>
          <w:sz w:val="28"/>
          <w:szCs w:val="32"/>
          <w:rtl/>
        </w:rPr>
        <w:tab/>
      </w:r>
      <w:r w:rsidRPr="007C3EC7">
        <w:rPr>
          <w:rFonts w:cs="Traditional Arabic" w:hint="cs"/>
          <w:color w:val="000000"/>
          <w:sz w:val="28"/>
          <w:szCs w:val="32"/>
          <w:rtl/>
        </w:rPr>
        <w:tab/>
        <w:t>578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إجراءات التخلية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الرجوع عن التخلية بعد تقريرها</w:t>
      </w:r>
      <w:r w:rsidRPr="007C3EC7">
        <w:rPr>
          <w:rFonts w:cs="Traditional Arabic" w:hint="cs"/>
          <w:color w:val="000000"/>
          <w:sz w:val="28"/>
          <w:szCs w:val="32"/>
          <w:rtl/>
        </w:rPr>
        <w:tab/>
      </w:r>
      <w:r w:rsidRPr="007C3EC7">
        <w:rPr>
          <w:rFonts w:cs="Traditional Arabic" w:hint="cs"/>
          <w:color w:val="000000"/>
          <w:sz w:val="28"/>
          <w:szCs w:val="32"/>
          <w:rtl/>
        </w:rPr>
        <w:tab/>
        <w:t>581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ما يترتب على التخلية</w:t>
      </w:r>
      <w:r w:rsidRPr="007C3EC7">
        <w:rPr>
          <w:rFonts w:cs="Traditional Arabic" w:hint="cs"/>
          <w:color w:val="000000"/>
          <w:sz w:val="28"/>
          <w:szCs w:val="32"/>
          <w:rtl/>
        </w:rPr>
        <w:tab/>
      </w:r>
      <w:r w:rsidRPr="007C3EC7">
        <w:rPr>
          <w:rFonts w:cs="Traditional Arabic" w:hint="cs"/>
          <w:color w:val="000000"/>
          <w:sz w:val="28"/>
          <w:szCs w:val="32"/>
          <w:rtl/>
        </w:rPr>
        <w:tab/>
        <w:t>581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آثار التخلية </w:t>
      </w:r>
      <w:r w:rsidRPr="007C3EC7">
        <w:rPr>
          <w:rFonts w:cs="Traditional Arabic" w:hint="cs"/>
          <w:color w:val="000000"/>
          <w:sz w:val="28"/>
          <w:szCs w:val="32"/>
          <w:rtl/>
        </w:rPr>
        <w:tab/>
      </w:r>
      <w:r w:rsidRPr="007C3EC7">
        <w:rPr>
          <w:rFonts w:cs="Traditional Arabic" w:hint="cs"/>
          <w:color w:val="000000"/>
          <w:sz w:val="28"/>
          <w:szCs w:val="32"/>
          <w:rtl/>
        </w:rPr>
        <w:tab/>
        <w:t>582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بعد التخلية</w:t>
      </w:r>
      <w:r w:rsidRPr="007C3EC7">
        <w:rPr>
          <w:rFonts w:cs="Traditional Arabic" w:hint="cs"/>
          <w:color w:val="000000"/>
          <w:sz w:val="28"/>
          <w:szCs w:val="32"/>
          <w:rtl/>
        </w:rPr>
        <w:tab/>
      </w:r>
      <w:r w:rsidRPr="007C3EC7">
        <w:rPr>
          <w:rFonts w:cs="Traditional Arabic" w:hint="cs"/>
          <w:color w:val="000000"/>
          <w:sz w:val="28"/>
          <w:szCs w:val="32"/>
          <w:rtl/>
        </w:rPr>
        <w:tab/>
        <w:t>583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4- تحمل إجراءات نزع الملكية</w:t>
      </w:r>
      <w:r w:rsidRPr="007C3EC7">
        <w:rPr>
          <w:rFonts w:cs="Traditional Arabic" w:hint="cs"/>
          <w:color w:val="000000"/>
          <w:sz w:val="28"/>
          <w:szCs w:val="32"/>
          <w:rtl/>
        </w:rPr>
        <w:tab/>
      </w:r>
      <w:r w:rsidRPr="007C3EC7">
        <w:rPr>
          <w:rFonts w:cs="Traditional Arabic" w:hint="cs"/>
          <w:color w:val="000000"/>
          <w:sz w:val="28"/>
          <w:szCs w:val="32"/>
          <w:rtl/>
        </w:rPr>
        <w:tab/>
        <w:t>583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583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التنبيه على المدين بنزع ملكية العقار المرهون</w:t>
      </w:r>
      <w:r w:rsidRPr="007C3EC7">
        <w:rPr>
          <w:rFonts w:cs="Traditional Arabic" w:hint="cs"/>
          <w:color w:val="000000"/>
          <w:sz w:val="28"/>
          <w:szCs w:val="32"/>
          <w:rtl/>
        </w:rPr>
        <w:tab/>
      </w:r>
      <w:r w:rsidRPr="007C3EC7">
        <w:rPr>
          <w:rFonts w:cs="Traditional Arabic" w:hint="cs"/>
          <w:color w:val="000000"/>
          <w:sz w:val="28"/>
          <w:szCs w:val="32"/>
          <w:rtl/>
        </w:rPr>
        <w:tab/>
        <w:t>585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sidRPr="007C3EC7">
        <w:rPr>
          <w:rFonts w:cs="Traditional Arabic" w:hint="cs"/>
          <w:color w:val="000000"/>
          <w:sz w:val="28"/>
          <w:szCs w:val="32"/>
          <w:rtl/>
        </w:rPr>
        <w:tab/>
        <w:t>إنذار الحائزين بدفع الدين أو تخلية العقار</w:t>
      </w:r>
      <w:r w:rsidRPr="007C3EC7">
        <w:rPr>
          <w:rFonts w:cs="Traditional Arabic" w:hint="cs"/>
          <w:color w:val="000000"/>
          <w:sz w:val="28"/>
          <w:szCs w:val="32"/>
          <w:rtl/>
        </w:rPr>
        <w:tab/>
      </w:r>
      <w:r w:rsidRPr="007C3EC7">
        <w:rPr>
          <w:rFonts w:cs="Traditional Arabic" w:hint="cs"/>
          <w:color w:val="000000"/>
          <w:sz w:val="28"/>
          <w:szCs w:val="32"/>
          <w:rtl/>
        </w:rPr>
        <w:tab/>
        <w:t>585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اتخاذ إجراءات البيع ضد الحائز</w:t>
      </w:r>
      <w:r w:rsidRPr="007C3EC7">
        <w:rPr>
          <w:rFonts w:cs="Traditional Arabic" w:hint="cs"/>
          <w:color w:val="000000"/>
          <w:sz w:val="28"/>
          <w:szCs w:val="32"/>
          <w:rtl/>
        </w:rPr>
        <w:tab/>
      </w:r>
      <w:r w:rsidRPr="007C3EC7">
        <w:rPr>
          <w:rFonts w:cs="Traditional Arabic" w:hint="cs"/>
          <w:color w:val="000000"/>
          <w:sz w:val="28"/>
          <w:szCs w:val="32"/>
          <w:rtl/>
        </w:rPr>
        <w:tab/>
        <w:t>587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ما يترتب على إنذار الحائز</w:t>
      </w:r>
      <w:r w:rsidRPr="007C3EC7">
        <w:rPr>
          <w:rFonts w:cs="Traditional Arabic" w:hint="cs"/>
          <w:color w:val="000000"/>
          <w:sz w:val="28"/>
          <w:szCs w:val="32"/>
          <w:rtl/>
        </w:rPr>
        <w:tab/>
      </w:r>
      <w:r w:rsidRPr="007C3EC7">
        <w:rPr>
          <w:rFonts w:cs="Traditional Arabic" w:hint="cs"/>
          <w:color w:val="000000"/>
          <w:sz w:val="28"/>
          <w:szCs w:val="32"/>
          <w:rtl/>
        </w:rPr>
        <w:tab/>
        <w:t>587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معارضة الحائز والدفوع التي يجوز له التمسك بها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589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5- موقف الحائز من بيع عقاره بالمزاد</w:t>
      </w:r>
      <w:r w:rsidRPr="007C3EC7">
        <w:rPr>
          <w:rFonts w:cs="Traditional Arabic" w:hint="cs"/>
          <w:color w:val="000000"/>
          <w:sz w:val="28"/>
          <w:szCs w:val="32"/>
          <w:rtl/>
        </w:rPr>
        <w:tab/>
      </w:r>
      <w:r w:rsidRPr="007C3EC7">
        <w:rPr>
          <w:rFonts w:cs="Traditional Arabic" w:hint="cs"/>
          <w:color w:val="000000"/>
          <w:sz w:val="28"/>
          <w:szCs w:val="32"/>
          <w:rtl/>
        </w:rPr>
        <w:tab/>
        <w:t>591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وضع المسألة</w:t>
      </w:r>
      <w:r w:rsidRPr="007C3EC7">
        <w:rPr>
          <w:rFonts w:cs="Traditional Arabic" w:hint="cs"/>
          <w:color w:val="000000"/>
          <w:sz w:val="28"/>
          <w:szCs w:val="32"/>
          <w:rtl/>
        </w:rPr>
        <w:tab/>
      </w:r>
      <w:r w:rsidRPr="007C3EC7">
        <w:rPr>
          <w:rFonts w:cs="Traditional Arabic" w:hint="cs"/>
          <w:color w:val="000000"/>
          <w:sz w:val="28"/>
          <w:szCs w:val="32"/>
          <w:rtl/>
        </w:rPr>
        <w:tab/>
        <w:t>591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عطاء الحائز إذا دخل المزاد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593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 xml:space="preserve"> أ </w:t>
      </w:r>
      <w:r>
        <w:rPr>
          <w:rFonts w:cs="Traditional Arabic" w:hint="cs"/>
          <w:color w:val="000000"/>
          <w:sz w:val="28"/>
          <w:szCs w:val="32"/>
          <w:rtl/>
        </w:rPr>
        <w:t xml:space="preserve"> )</w:t>
      </w:r>
      <w:r w:rsidRPr="007C3EC7">
        <w:rPr>
          <w:rFonts w:cs="Traditional Arabic" w:hint="cs"/>
          <w:color w:val="000000"/>
          <w:sz w:val="28"/>
          <w:szCs w:val="32"/>
          <w:rtl/>
        </w:rPr>
        <w:t xml:space="preserve"> موقف الحائز إذا رسا عليه المزاد</w:t>
      </w:r>
      <w:r w:rsidRPr="007C3EC7">
        <w:rPr>
          <w:rFonts w:cs="Traditional Arabic" w:hint="cs"/>
          <w:color w:val="000000"/>
          <w:sz w:val="28"/>
          <w:szCs w:val="32"/>
          <w:rtl/>
        </w:rPr>
        <w:tab/>
      </w:r>
      <w:r w:rsidRPr="007C3EC7">
        <w:rPr>
          <w:rFonts w:cs="Traditional Arabic" w:hint="cs"/>
          <w:color w:val="000000"/>
          <w:sz w:val="28"/>
          <w:szCs w:val="32"/>
          <w:rtl/>
        </w:rPr>
        <w:tab/>
        <w:t>594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رسو المزاد على الحائز بما لا يزيد على الثمن الذي دفعه في العقار</w:t>
      </w:r>
      <w:r w:rsidRPr="007C3EC7">
        <w:rPr>
          <w:rFonts w:cs="Traditional Arabic" w:hint="cs"/>
          <w:color w:val="000000"/>
          <w:sz w:val="28"/>
          <w:szCs w:val="32"/>
          <w:rtl/>
        </w:rPr>
        <w:tab/>
      </w:r>
      <w:r w:rsidRPr="007C3EC7">
        <w:rPr>
          <w:rFonts w:cs="Traditional Arabic" w:hint="cs"/>
          <w:color w:val="000000"/>
          <w:sz w:val="28"/>
          <w:szCs w:val="32"/>
          <w:rtl/>
        </w:rPr>
        <w:tab/>
        <w:t>594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رسو المزاد على الحائز بما يزيد على الثمن الذي دفه في العقار</w:t>
      </w:r>
      <w:r w:rsidRPr="007C3EC7">
        <w:rPr>
          <w:rFonts w:cs="Traditional Arabic" w:hint="cs"/>
          <w:color w:val="000000"/>
          <w:sz w:val="28"/>
          <w:szCs w:val="32"/>
          <w:rtl/>
        </w:rPr>
        <w:tab/>
      </w:r>
      <w:r w:rsidRPr="007C3EC7">
        <w:rPr>
          <w:rFonts w:cs="Traditional Arabic" w:hint="cs"/>
          <w:color w:val="000000"/>
          <w:sz w:val="28"/>
          <w:szCs w:val="32"/>
          <w:rtl/>
        </w:rPr>
        <w:tab/>
        <w:t>596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تطهير العقار المرهون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596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ب</w:t>
      </w:r>
      <w:r>
        <w:rPr>
          <w:rFonts w:cs="Traditional Arabic" w:hint="cs"/>
          <w:color w:val="000000"/>
          <w:sz w:val="28"/>
          <w:szCs w:val="32"/>
          <w:rtl/>
        </w:rPr>
        <w:t xml:space="preserve"> )</w:t>
      </w:r>
      <w:r w:rsidRPr="007C3EC7">
        <w:rPr>
          <w:rFonts w:cs="Traditional Arabic" w:hint="cs"/>
          <w:color w:val="000000"/>
          <w:sz w:val="28"/>
          <w:szCs w:val="32"/>
          <w:rtl/>
        </w:rPr>
        <w:t xml:space="preserve"> موقف الحائز إذا رسا على غيره المزاد</w:t>
      </w:r>
      <w:r w:rsidRPr="007C3EC7">
        <w:rPr>
          <w:rFonts w:cs="Traditional Arabic" w:hint="cs"/>
          <w:color w:val="000000"/>
          <w:sz w:val="28"/>
          <w:szCs w:val="32"/>
          <w:rtl/>
        </w:rPr>
        <w:tab/>
      </w:r>
      <w:r w:rsidRPr="007C3EC7">
        <w:rPr>
          <w:rFonts w:cs="Traditional Arabic" w:hint="cs"/>
          <w:color w:val="000000"/>
          <w:sz w:val="28"/>
          <w:szCs w:val="32"/>
          <w:rtl/>
        </w:rPr>
        <w:tab/>
        <w:t>598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تلقي الراسي عليه المواد حقه من الحائز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598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نزع ملكية الحائز ليس له أثر رجعي</w:t>
      </w:r>
      <w:r w:rsidRPr="007C3EC7">
        <w:rPr>
          <w:rFonts w:cs="Traditional Arabic" w:hint="cs"/>
          <w:color w:val="000000"/>
          <w:sz w:val="28"/>
          <w:szCs w:val="32"/>
          <w:rtl/>
        </w:rPr>
        <w:tab/>
      </w:r>
      <w:r w:rsidRPr="007C3EC7">
        <w:rPr>
          <w:rFonts w:cs="Traditional Arabic" w:hint="cs"/>
          <w:color w:val="000000"/>
          <w:sz w:val="28"/>
          <w:szCs w:val="32"/>
          <w:rtl/>
        </w:rPr>
        <w:tab/>
        <w:t>600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الزيادة في ثمن العقار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600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الرهون التي قررها الحائز</w:t>
      </w:r>
      <w:r w:rsidRPr="007C3EC7">
        <w:rPr>
          <w:rFonts w:cs="Traditional Arabic" w:hint="cs"/>
          <w:color w:val="000000"/>
          <w:sz w:val="28"/>
          <w:szCs w:val="32"/>
          <w:rtl/>
        </w:rPr>
        <w:tab/>
      </w:r>
      <w:r w:rsidRPr="007C3EC7">
        <w:rPr>
          <w:rFonts w:cs="Traditional Arabic" w:hint="cs"/>
          <w:color w:val="000000"/>
          <w:sz w:val="28"/>
          <w:szCs w:val="32"/>
          <w:rtl/>
        </w:rPr>
        <w:tab/>
        <w:t>601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sidRPr="007C3EC7">
        <w:rPr>
          <w:rFonts w:cs="Traditional Arabic" w:hint="cs"/>
          <w:color w:val="000000"/>
          <w:sz w:val="28"/>
          <w:szCs w:val="32"/>
          <w:rtl/>
        </w:rPr>
        <w:tab/>
        <w:t xml:space="preserve">حقوق الارتفاق والحقوق العينية الأخرى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602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الحقوق العينية للحائز السابقة على حقوق الدائنين المرتهنين</w:t>
      </w:r>
      <w:r w:rsidRPr="007C3EC7">
        <w:rPr>
          <w:rFonts w:cs="Traditional Arabic" w:hint="cs"/>
          <w:color w:val="000000"/>
          <w:sz w:val="28"/>
          <w:szCs w:val="32"/>
          <w:rtl/>
        </w:rPr>
        <w:tab/>
      </w:r>
      <w:r w:rsidRPr="007C3EC7">
        <w:rPr>
          <w:rFonts w:cs="Traditional Arabic" w:hint="cs"/>
          <w:color w:val="000000"/>
          <w:sz w:val="28"/>
          <w:szCs w:val="32"/>
          <w:rtl/>
        </w:rPr>
        <w:tab/>
        <w:t>603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رد الثمار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604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المصروفات </w:t>
      </w:r>
      <w:r w:rsidRPr="007C3EC7">
        <w:rPr>
          <w:rFonts w:cs="Traditional Arabic" w:hint="cs"/>
          <w:color w:val="000000"/>
          <w:sz w:val="28"/>
          <w:szCs w:val="32"/>
          <w:rtl/>
        </w:rPr>
        <w:tab/>
      </w:r>
      <w:r w:rsidRPr="007C3EC7">
        <w:rPr>
          <w:rFonts w:cs="Traditional Arabic" w:hint="cs"/>
          <w:color w:val="000000"/>
          <w:sz w:val="28"/>
          <w:szCs w:val="32"/>
          <w:rtl/>
        </w:rPr>
        <w:tab/>
        <w:t>607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التلف </w:t>
      </w:r>
      <w:r w:rsidRPr="007C3EC7">
        <w:rPr>
          <w:rFonts w:cs="Traditional Arabic"/>
          <w:color w:val="000000"/>
          <w:sz w:val="28"/>
          <w:szCs w:val="32"/>
          <w:rtl/>
        </w:rPr>
        <w:t>–</w:t>
      </w:r>
      <w:r w:rsidRPr="007C3EC7">
        <w:rPr>
          <w:rFonts w:cs="Traditional Arabic" w:hint="cs"/>
          <w:color w:val="000000"/>
          <w:sz w:val="28"/>
          <w:szCs w:val="32"/>
          <w:rtl/>
        </w:rPr>
        <w:t xml:space="preserve"> نص قانوني </w:t>
      </w:r>
      <w:r w:rsidRPr="007C3EC7">
        <w:rPr>
          <w:rFonts w:cs="Traditional Arabic" w:hint="cs"/>
          <w:color w:val="000000"/>
          <w:sz w:val="28"/>
          <w:szCs w:val="32"/>
          <w:rtl/>
        </w:rPr>
        <w:tab/>
      </w:r>
      <w:r w:rsidRPr="007C3EC7">
        <w:rPr>
          <w:rFonts w:cs="Traditional Arabic" w:hint="cs"/>
          <w:color w:val="000000"/>
          <w:sz w:val="28"/>
          <w:szCs w:val="32"/>
          <w:rtl/>
        </w:rPr>
        <w:tab/>
        <w:t>607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حق رجوع الحائز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609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الحائز والكفيل</w:t>
      </w:r>
      <w:r w:rsidRPr="007C3EC7">
        <w:rPr>
          <w:rFonts w:cs="Traditional Arabic" w:hint="cs"/>
          <w:color w:val="000000"/>
          <w:sz w:val="28"/>
          <w:szCs w:val="32"/>
          <w:rtl/>
        </w:rPr>
        <w:tab/>
      </w:r>
      <w:r w:rsidRPr="007C3EC7">
        <w:rPr>
          <w:rFonts w:cs="Traditional Arabic" w:hint="cs"/>
          <w:color w:val="000000"/>
          <w:sz w:val="28"/>
          <w:szCs w:val="32"/>
          <w:rtl/>
        </w:rPr>
        <w:tab/>
        <w:t>612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الرجوع فيما بين الحائزين</w:t>
      </w:r>
      <w:r w:rsidRPr="007C3EC7">
        <w:rPr>
          <w:rFonts w:cs="Traditional Arabic" w:hint="cs"/>
          <w:color w:val="000000"/>
          <w:sz w:val="28"/>
          <w:szCs w:val="32"/>
          <w:rtl/>
        </w:rPr>
        <w:tab/>
      </w:r>
      <w:r w:rsidRPr="007C3EC7">
        <w:rPr>
          <w:rFonts w:cs="Traditional Arabic" w:hint="cs"/>
          <w:color w:val="000000"/>
          <w:sz w:val="28"/>
          <w:szCs w:val="32"/>
          <w:rtl/>
        </w:rPr>
        <w:tab/>
        <w:t>613</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الثالث </w:t>
      </w:r>
      <w:r w:rsidRPr="007C3EC7">
        <w:rPr>
          <w:rFonts w:cs="Traditional Arabic"/>
          <w:b/>
          <w:bCs/>
          <w:color w:val="000000"/>
          <w:sz w:val="28"/>
          <w:szCs w:val="32"/>
          <w:rtl/>
        </w:rPr>
        <w:t>–</w:t>
      </w:r>
      <w:r w:rsidRPr="007C3EC7">
        <w:rPr>
          <w:rFonts w:cs="Traditional Arabic" w:hint="cs"/>
          <w:b/>
          <w:bCs/>
          <w:color w:val="000000"/>
          <w:sz w:val="28"/>
          <w:szCs w:val="32"/>
          <w:rtl/>
        </w:rPr>
        <w:t xml:space="preserve"> انقضاء الرهن الرسمي</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الانقضاء بصفة تبعية والانقضاء بصفة أصلية</w:t>
      </w:r>
      <w:r w:rsidRPr="007C3EC7">
        <w:rPr>
          <w:rFonts w:cs="Traditional Arabic" w:hint="cs"/>
          <w:color w:val="000000"/>
          <w:sz w:val="28"/>
          <w:szCs w:val="32"/>
          <w:rtl/>
        </w:rPr>
        <w:tab/>
      </w:r>
      <w:r w:rsidRPr="007C3EC7">
        <w:rPr>
          <w:rFonts w:cs="Traditional Arabic" w:hint="cs"/>
          <w:color w:val="000000"/>
          <w:sz w:val="28"/>
          <w:szCs w:val="32"/>
          <w:rtl/>
        </w:rPr>
        <w:tab/>
        <w:t>614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انقضاء الرهن بصفة تبعية</w:t>
      </w:r>
      <w:r w:rsidRPr="007C3EC7">
        <w:rPr>
          <w:rFonts w:cs="Traditional Arabic" w:hint="cs"/>
          <w:color w:val="000000"/>
          <w:sz w:val="28"/>
          <w:szCs w:val="32"/>
          <w:rtl/>
        </w:rPr>
        <w:tab/>
      </w:r>
      <w:r w:rsidRPr="007C3EC7">
        <w:rPr>
          <w:rFonts w:cs="Traditional Arabic" w:hint="cs"/>
          <w:color w:val="000000"/>
          <w:sz w:val="28"/>
          <w:szCs w:val="32"/>
          <w:rtl/>
        </w:rPr>
        <w:tab/>
        <w:t>615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أسباب انقضاء الدين هي أسباب انقضاء الرهن بصفة تبعية </w:t>
      </w:r>
      <w:r w:rsidRPr="007C3EC7">
        <w:rPr>
          <w:rFonts w:cs="Traditional Arabic" w:hint="cs"/>
          <w:color w:val="000000"/>
          <w:sz w:val="28"/>
          <w:szCs w:val="32"/>
          <w:rtl/>
        </w:rPr>
        <w:tab/>
      </w:r>
      <w:r w:rsidRPr="007C3EC7">
        <w:rPr>
          <w:rFonts w:cs="Traditional Arabic" w:hint="cs"/>
          <w:color w:val="000000"/>
          <w:sz w:val="28"/>
          <w:szCs w:val="32"/>
          <w:rtl/>
        </w:rPr>
        <w:tab/>
        <w:t>615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متى يزول الدين</w:t>
      </w:r>
      <w:r w:rsidRPr="007C3EC7">
        <w:rPr>
          <w:rFonts w:cs="Traditional Arabic" w:hint="cs"/>
          <w:color w:val="000000"/>
          <w:sz w:val="28"/>
          <w:szCs w:val="32"/>
          <w:rtl/>
        </w:rPr>
        <w:tab/>
      </w:r>
      <w:r w:rsidRPr="007C3EC7">
        <w:rPr>
          <w:rFonts w:cs="Traditional Arabic" w:hint="cs"/>
          <w:color w:val="000000"/>
          <w:sz w:val="28"/>
          <w:szCs w:val="32"/>
          <w:rtl/>
        </w:rPr>
        <w:tab/>
        <w:t>616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أسباب زوال الدين</w:t>
      </w:r>
      <w:r w:rsidRPr="007C3EC7">
        <w:rPr>
          <w:rFonts w:cs="Traditional Arabic" w:hint="cs"/>
          <w:color w:val="000000"/>
          <w:sz w:val="28"/>
          <w:szCs w:val="32"/>
          <w:rtl/>
        </w:rPr>
        <w:tab/>
      </w:r>
      <w:r w:rsidRPr="007C3EC7">
        <w:rPr>
          <w:rFonts w:cs="Traditional Arabic" w:hint="cs"/>
          <w:color w:val="000000"/>
          <w:sz w:val="28"/>
          <w:szCs w:val="32"/>
          <w:rtl/>
        </w:rPr>
        <w:tab/>
        <w:t>616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انقضاء الدين</w:t>
      </w:r>
      <w:r w:rsidRPr="007C3EC7">
        <w:rPr>
          <w:rFonts w:cs="Traditional Arabic" w:hint="cs"/>
          <w:color w:val="000000"/>
          <w:sz w:val="28"/>
          <w:szCs w:val="32"/>
          <w:rtl/>
        </w:rPr>
        <w:tab/>
      </w:r>
      <w:r w:rsidRPr="007C3EC7">
        <w:rPr>
          <w:rFonts w:cs="Traditional Arabic" w:hint="cs"/>
          <w:color w:val="000000"/>
          <w:sz w:val="28"/>
          <w:szCs w:val="32"/>
          <w:rtl/>
        </w:rPr>
        <w:tab/>
        <w:t>616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أسباب انقضاء الدين </w:t>
      </w:r>
      <w:r w:rsidRPr="007C3EC7">
        <w:rPr>
          <w:rFonts w:cs="Traditional Arabic"/>
          <w:color w:val="000000"/>
          <w:sz w:val="28"/>
          <w:szCs w:val="32"/>
          <w:rtl/>
        </w:rPr>
        <w:t>–</w:t>
      </w:r>
      <w:r w:rsidRPr="007C3EC7">
        <w:rPr>
          <w:rFonts w:cs="Traditional Arabic" w:hint="cs"/>
          <w:color w:val="000000"/>
          <w:sz w:val="28"/>
          <w:szCs w:val="32"/>
          <w:rtl/>
        </w:rPr>
        <w:t xml:space="preserve"> نص قانوني</w:t>
      </w:r>
      <w:r w:rsidRPr="007C3EC7">
        <w:rPr>
          <w:rFonts w:cs="Traditional Arabic" w:hint="cs"/>
          <w:color w:val="000000"/>
          <w:sz w:val="28"/>
          <w:szCs w:val="32"/>
          <w:rtl/>
        </w:rPr>
        <w:tab/>
      </w:r>
      <w:r w:rsidRPr="007C3EC7">
        <w:rPr>
          <w:rFonts w:cs="Traditional Arabic" w:hint="cs"/>
          <w:color w:val="000000"/>
          <w:sz w:val="28"/>
          <w:szCs w:val="32"/>
          <w:rtl/>
        </w:rPr>
        <w:tab/>
        <w:t>617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1</w:t>
      </w:r>
      <w:r w:rsidRPr="007C3EC7">
        <w:rPr>
          <w:rFonts w:cs="Traditional Arabic"/>
          <w:color w:val="000000"/>
          <w:sz w:val="28"/>
          <w:szCs w:val="32"/>
          <w:rtl/>
        </w:rPr>
        <w:t>–</w:t>
      </w:r>
      <w:r w:rsidRPr="007C3EC7">
        <w:rPr>
          <w:rFonts w:cs="Traditional Arabic" w:hint="cs"/>
          <w:color w:val="000000"/>
          <w:sz w:val="28"/>
          <w:szCs w:val="32"/>
          <w:rtl/>
        </w:rPr>
        <w:t xml:space="preserve"> الوفاء </w:t>
      </w:r>
      <w:r w:rsidRPr="007C3EC7">
        <w:rPr>
          <w:rFonts w:cs="Traditional Arabic" w:hint="cs"/>
          <w:color w:val="000000"/>
          <w:sz w:val="28"/>
          <w:szCs w:val="32"/>
          <w:rtl/>
        </w:rPr>
        <w:tab/>
      </w:r>
      <w:r w:rsidRPr="007C3EC7">
        <w:rPr>
          <w:rFonts w:cs="Traditional Arabic" w:hint="cs"/>
          <w:color w:val="000000"/>
          <w:sz w:val="28"/>
          <w:szCs w:val="32"/>
          <w:rtl/>
        </w:rPr>
        <w:tab/>
        <w:t>618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إتباع القواعد العامة في الوفاء والوقوف عند بعض المسائل</w:t>
      </w:r>
      <w:r w:rsidRPr="007C3EC7">
        <w:rPr>
          <w:rFonts w:cs="Traditional Arabic" w:hint="cs"/>
          <w:color w:val="000000"/>
          <w:sz w:val="28"/>
          <w:szCs w:val="32"/>
          <w:rtl/>
        </w:rPr>
        <w:tab/>
      </w:r>
      <w:r w:rsidRPr="007C3EC7">
        <w:rPr>
          <w:rFonts w:cs="Traditional Arabic" w:hint="cs"/>
          <w:color w:val="000000"/>
          <w:sz w:val="28"/>
          <w:szCs w:val="32"/>
          <w:rtl/>
        </w:rPr>
        <w:tab/>
        <w:t>618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الوفاء مع الحلول يجعل الموفي يحل محل الدائن في الرهن</w:t>
      </w:r>
      <w:r w:rsidRPr="007C3EC7">
        <w:rPr>
          <w:rFonts w:cs="Traditional Arabic" w:hint="cs"/>
          <w:color w:val="000000"/>
          <w:sz w:val="28"/>
          <w:szCs w:val="32"/>
          <w:rtl/>
        </w:rPr>
        <w:tab/>
      </w:r>
      <w:r w:rsidRPr="007C3EC7">
        <w:rPr>
          <w:rFonts w:cs="Traditional Arabic" w:hint="cs"/>
          <w:color w:val="000000"/>
          <w:sz w:val="28"/>
          <w:szCs w:val="32"/>
          <w:rtl/>
        </w:rPr>
        <w:tab/>
        <w:t>619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الموفى لم يوف إلا جزءاً من الدين</w:t>
      </w:r>
      <w:r w:rsidRPr="007C3EC7">
        <w:rPr>
          <w:rFonts w:cs="Traditional Arabic" w:hint="cs"/>
          <w:color w:val="000000"/>
          <w:sz w:val="28"/>
          <w:szCs w:val="32"/>
          <w:rtl/>
        </w:rPr>
        <w:tab/>
      </w:r>
      <w:r w:rsidRPr="007C3EC7">
        <w:rPr>
          <w:rFonts w:cs="Traditional Arabic" w:hint="cs"/>
          <w:color w:val="000000"/>
          <w:sz w:val="28"/>
          <w:szCs w:val="32"/>
          <w:rtl/>
        </w:rPr>
        <w:tab/>
        <w:t>620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تعذر الوفاء للدائن وإيداع الدين</w:t>
      </w:r>
      <w:r w:rsidRPr="007C3EC7">
        <w:rPr>
          <w:rFonts w:cs="Traditional Arabic" w:hint="cs"/>
          <w:color w:val="000000"/>
          <w:sz w:val="28"/>
          <w:szCs w:val="32"/>
          <w:rtl/>
        </w:rPr>
        <w:tab/>
      </w:r>
      <w:r w:rsidRPr="007C3EC7">
        <w:rPr>
          <w:rFonts w:cs="Traditional Arabic" w:hint="cs"/>
          <w:color w:val="000000"/>
          <w:sz w:val="28"/>
          <w:szCs w:val="32"/>
          <w:rtl/>
        </w:rPr>
        <w:tab/>
        <w:t>621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الوفاء بمقابل</w:t>
      </w:r>
      <w:r w:rsidRPr="007C3EC7">
        <w:rPr>
          <w:rFonts w:cs="Traditional Arabic" w:hint="cs"/>
          <w:color w:val="000000"/>
          <w:sz w:val="28"/>
          <w:szCs w:val="32"/>
          <w:rtl/>
        </w:rPr>
        <w:tab/>
      </w:r>
      <w:r w:rsidRPr="007C3EC7">
        <w:rPr>
          <w:rFonts w:cs="Traditional Arabic" w:hint="cs"/>
          <w:color w:val="000000"/>
          <w:sz w:val="28"/>
          <w:szCs w:val="32"/>
          <w:rtl/>
        </w:rPr>
        <w:tab/>
        <w:t>622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للوفاء بمقابل</w:t>
      </w:r>
      <w:r w:rsidRPr="007C3EC7">
        <w:rPr>
          <w:rFonts w:cs="Traditional Arabic" w:hint="cs"/>
          <w:color w:val="000000"/>
          <w:sz w:val="28"/>
          <w:szCs w:val="32"/>
          <w:rtl/>
        </w:rPr>
        <w:tab/>
      </w:r>
      <w:r w:rsidRPr="007C3EC7">
        <w:rPr>
          <w:rFonts w:cs="Traditional Arabic" w:hint="cs"/>
          <w:color w:val="000000"/>
          <w:sz w:val="28"/>
          <w:szCs w:val="32"/>
          <w:rtl/>
        </w:rPr>
        <w:tab/>
        <w:t>622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التكييف القانوني للوفاء بمقابل</w:t>
      </w:r>
      <w:r w:rsidRPr="007C3EC7">
        <w:rPr>
          <w:rFonts w:cs="Traditional Arabic" w:hint="cs"/>
          <w:color w:val="000000"/>
          <w:sz w:val="28"/>
          <w:szCs w:val="32"/>
          <w:rtl/>
        </w:rPr>
        <w:tab/>
      </w:r>
      <w:r w:rsidRPr="007C3EC7">
        <w:rPr>
          <w:rFonts w:cs="Traditional Arabic" w:hint="cs"/>
          <w:color w:val="000000"/>
          <w:sz w:val="28"/>
          <w:szCs w:val="32"/>
          <w:rtl/>
        </w:rPr>
        <w:tab/>
        <w:t>622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ضمان الاستحقاق في الوفاء بمقابل</w:t>
      </w:r>
      <w:r w:rsidRPr="007C3EC7">
        <w:rPr>
          <w:rFonts w:cs="Traditional Arabic" w:hint="cs"/>
          <w:color w:val="000000"/>
          <w:sz w:val="28"/>
          <w:szCs w:val="32"/>
          <w:rtl/>
        </w:rPr>
        <w:tab/>
      </w:r>
      <w:r w:rsidRPr="007C3EC7">
        <w:rPr>
          <w:rFonts w:cs="Traditional Arabic" w:hint="cs"/>
          <w:color w:val="000000"/>
          <w:sz w:val="28"/>
          <w:szCs w:val="32"/>
          <w:rtl/>
        </w:rPr>
        <w:tab/>
        <w:t>622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الوفاء بمقابل يقضي الدين الجديد</w:t>
      </w:r>
      <w:r w:rsidRPr="007C3EC7">
        <w:rPr>
          <w:rFonts w:cs="Traditional Arabic" w:hint="cs"/>
          <w:color w:val="000000"/>
          <w:sz w:val="28"/>
          <w:szCs w:val="32"/>
          <w:rtl/>
        </w:rPr>
        <w:tab/>
      </w:r>
      <w:r w:rsidRPr="007C3EC7">
        <w:rPr>
          <w:rFonts w:cs="Traditional Arabic" w:hint="cs"/>
          <w:color w:val="000000"/>
          <w:sz w:val="28"/>
          <w:szCs w:val="32"/>
          <w:rtl/>
        </w:rPr>
        <w:tab/>
        <w:t>623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3- التجديد</w:t>
      </w:r>
      <w:r w:rsidRPr="007C3EC7">
        <w:rPr>
          <w:rFonts w:cs="Traditional Arabic" w:hint="cs"/>
          <w:color w:val="000000"/>
          <w:sz w:val="28"/>
          <w:szCs w:val="32"/>
          <w:rtl/>
        </w:rPr>
        <w:tab/>
      </w:r>
      <w:r w:rsidRPr="007C3EC7">
        <w:rPr>
          <w:rFonts w:cs="Traditional Arabic" w:hint="cs"/>
          <w:color w:val="000000"/>
          <w:sz w:val="28"/>
          <w:szCs w:val="32"/>
          <w:rtl/>
        </w:rPr>
        <w:tab/>
        <w:t>624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للتجديد تسري</w:t>
      </w:r>
      <w:r w:rsidRPr="007C3EC7">
        <w:rPr>
          <w:rFonts w:cs="Traditional Arabic" w:hint="cs"/>
          <w:color w:val="000000"/>
          <w:sz w:val="28"/>
          <w:szCs w:val="32"/>
          <w:rtl/>
        </w:rPr>
        <w:tab/>
      </w:r>
      <w:r w:rsidRPr="007C3EC7">
        <w:rPr>
          <w:rFonts w:cs="Traditional Arabic" w:hint="cs"/>
          <w:color w:val="000000"/>
          <w:sz w:val="28"/>
          <w:szCs w:val="32"/>
          <w:rtl/>
        </w:rPr>
        <w:tab/>
        <w:t>624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تقييد الالتزام في حساب جار</w:t>
      </w:r>
      <w:r w:rsidRPr="007C3EC7">
        <w:rPr>
          <w:rFonts w:cs="Traditional Arabic" w:hint="cs"/>
          <w:color w:val="000000"/>
          <w:sz w:val="28"/>
          <w:szCs w:val="32"/>
          <w:rtl/>
        </w:rPr>
        <w:tab/>
      </w:r>
      <w:r w:rsidRPr="007C3EC7">
        <w:rPr>
          <w:rFonts w:cs="Traditional Arabic" w:hint="cs"/>
          <w:color w:val="000000"/>
          <w:sz w:val="28"/>
          <w:szCs w:val="32"/>
          <w:rtl/>
        </w:rPr>
        <w:tab/>
        <w:t>625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نقل التأمينات من الالتزام القديم إلى الالتزام الجديد</w:t>
      </w:r>
      <w:r w:rsidRPr="007C3EC7">
        <w:rPr>
          <w:rFonts w:cs="Traditional Arabic" w:hint="cs"/>
          <w:color w:val="000000"/>
          <w:sz w:val="28"/>
          <w:szCs w:val="32"/>
          <w:rtl/>
        </w:rPr>
        <w:tab/>
      </w:r>
      <w:r w:rsidRPr="007C3EC7">
        <w:rPr>
          <w:rFonts w:cs="Traditional Arabic" w:hint="cs"/>
          <w:color w:val="000000"/>
          <w:sz w:val="28"/>
          <w:szCs w:val="32"/>
          <w:rtl/>
        </w:rPr>
        <w:tab/>
        <w:t>626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4- المقاصة</w:t>
      </w:r>
      <w:r w:rsidRPr="007C3EC7">
        <w:rPr>
          <w:rFonts w:cs="Traditional Arabic" w:hint="cs"/>
          <w:color w:val="000000"/>
          <w:sz w:val="28"/>
          <w:szCs w:val="32"/>
          <w:rtl/>
        </w:rPr>
        <w:tab/>
      </w:r>
      <w:r w:rsidRPr="007C3EC7">
        <w:rPr>
          <w:rFonts w:cs="Traditional Arabic" w:hint="cs"/>
          <w:color w:val="000000"/>
          <w:sz w:val="28"/>
          <w:szCs w:val="32"/>
          <w:rtl/>
        </w:rPr>
        <w:tab/>
        <w:t>627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للمقاصة تسري</w:t>
      </w:r>
      <w:r w:rsidRPr="007C3EC7">
        <w:rPr>
          <w:rFonts w:cs="Traditional Arabic" w:hint="cs"/>
          <w:color w:val="000000"/>
          <w:sz w:val="28"/>
          <w:szCs w:val="32"/>
          <w:rtl/>
        </w:rPr>
        <w:tab/>
      </w:r>
      <w:r w:rsidRPr="007C3EC7">
        <w:rPr>
          <w:rFonts w:cs="Traditional Arabic" w:hint="cs"/>
          <w:color w:val="000000"/>
          <w:sz w:val="28"/>
          <w:szCs w:val="32"/>
          <w:rtl/>
        </w:rPr>
        <w:tab/>
        <w:t>627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sidRPr="007C3EC7">
        <w:rPr>
          <w:rFonts w:cs="Traditional Arabic" w:hint="cs"/>
          <w:color w:val="000000"/>
          <w:sz w:val="28"/>
          <w:szCs w:val="32"/>
          <w:rtl/>
        </w:rPr>
        <w:tab/>
        <w:t>حالة من حالات النزول الضمني عن المقاصة</w:t>
      </w:r>
      <w:r w:rsidRPr="007C3EC7">
        <w:rPr>
          <w:rFonts w:cs="Traditional Arabic" w:hint="cs"/>
          <w:color w:val="000000"/>
          <w:sz w:val="28"/>
          <w:szCs w:val="32"/>
          <w:rtl/>
        </w:rPr>
        <w:tab/>
      </w:r>
      <w:r w:rsidRPr="007C3EC7">
        <w:rPr>
          <w:rFonts w:cs="Traditional Arabic" w:hint="cs"/>
          <w:color w:val="000000"/>
          <w:sz w:val="28"/>
          <w:szCs w:val="32"/>
          <w:rtl/>
        </w:rPr>
        <w:tab/>
        <w:t>628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5- اتحاد الذمة</w:t>
      </w:r>
      <w:r w:rsidRPr="007C3EC7">
        <w:rPr>
          <w:rFonts w:cs="Traditional Arabic" w:hint="cs"/>
          <w:color w:val="000000"/>
          <w:sz w:val="28"/>
          <w:szCs w:val="32"/>
          <w:rtl/>
        </w:rPr>
        <w:tab/>
      </w:r>
      <w:r w:rsidRPr="007C3EC7">
        <w:rPr>
          <w:rFonts w:cs="Traditional Arabic" w:hint="cs"/>
          <w:color w:val="000000"/>
          <w:sz w:val="28"/>
          <w:szCs w:val="32"/>
          <w:rtl/>
        </w:rPr>
        <w:tab/>
        <w:t>629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لاتحاد الذمة تسري</w:t>
      </w:r>
      <w:r w:rsidRPr="007C3EC7">
        <w:rPr>
          <w:rFonts w:cs="Traditional Arabic" w:hint="cs"/>
          <w:color w:val="000000"/>
          <w:sz w:val="28"/>
          <w:szCs w:val="32"/>
          <w:rtl/>
        </w:rPr>
        <w:tab/>
      </w:r>
      <w:r w:rsidRPr="007C3EC7">
        <w:rPr>
          <w:rFonts w:cs="Traditional Arabic" w:hint="cs"/>
          <w:color w:val="000000"/>
          <w:sz w:val="28"/>
          <w:szCs w:val="32"/>
          <w:rtl/>
        </w:rPr>
        <w:tab/>
        <w:t>629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عودة الدين إلى الظهور</w:t>
      </w:r>
      <w:r w:rsidRPr="007C3EC7">
        <w:rPr>
          <w:rFonts w:cs="Traditional Arabic" w:hint="cs"/>
          <w:color w:val="000000"/>
          <w:sz w:val="28"/>
          <w:szCs w:val="32"/>
          <w:rtl/>
        </w:rPr>
        <w:tab/>
      </w:r>
      <w:r w:rsidRPr="007C3EC7">
        <w:rPr>
          <w:rFonts w:cs="Traditional Arabic" w:hint="cs"/>
          <w:color w:val="000000"/>
          <w:sz w:val="28"/>
          <w:szCs w:val="32"/>
          <w:rtl/>
        </w:rPr>
        <w:tab/>
        <w:t>630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زوال السبب الذي أدى إلى اتحاد الذمة بأثر رجعي</w:t>
      </w:r>
      <w:r w:rsidRPr="007C3EC7">
        <w:rPr>
          <w:rFonts w:cs="Traditional Arabic" w:hint="cs"/>
          <w:color w:val="000000"/>
          <w:sz w:val="28"/>
          <w:szCs w:val="32"/>
          <w:rtl/>
        </w:rPr>
        <w:tab/>
      </w:r>
      <w:r w:rsidRPr="007C3EC7">
        <w:rPr>
          <w:rFonts w:cs="Traditional Arabic" w:hint="cs"/>
          <w:color w:val="000000"/>
          <w:sz w:val="28"/>
          <w:szCs w:val="32"/>
          <w:rtl/>
        </w:rPr>
        <w:tab/>
        <w:t>621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6- الإبراء من الدين</w:t>
      </w:r>
      <w:r w:rsidRPr="007C3EC7">
        <w:rPr>
          <w:rFonts w:cs="Traditional Arabic" w:hint="cs"/>
          <w:color w:val="000000"/>
          <w:sz w:val="28"/>
          <w:szCs w:val="32"/>
          <w:rtl/>
        </w:rPr>
        <w:tab/>
      </w:r>
      <w:r w:rsidRPr="007C3EC7">
        <w:rPr>
          <w:rFonts w:cs="Traditional Arabic" w:hint="cs"/>
          <w:color w:val="000000"/>
          <w:sz w:val="28"/>
          <w:szCs w:val="32"/>
          <w:rtl/>
        </w:rPr>
        <w:tab/>
        <w:t>632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للإبراء تسري</w:t>
      </w:r>
      <w:r w:rsidRPr="007C3EC7">
        <w:rPr>
          <w:rFonts w:cs="Traditional Arabic" w:hint="cs"/>
          <w:color w:val="000000"/>
          <w:sz w:val="28"/>
          <w:szCs w:val="32"/>
          <w:rtl/>
        </w:rPr>
        <w:tab/>
      </w:r>
      <w:r w:rsidRPr="007C3EC7">
        <w:rPr>
          <w:rFonts w:cs="Traditional Arabic" w:hint="cs"/>
          <w:color w:val="000000"/>
          <w:sz w:val="28"/>
          <w:szCs w:val="32"/>
          <w:rtl/>
        </w:rPr>
        <w:tab/>
        <w:t>632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الإبراء يقضي الدين</w:t>
      </w:r>
      <w:r w:rsidRPr="007C3EC7">
        <w:rPr>
          <w:rFonts w:cs="Traditional Arabic" w:hint="cs"/>
          <w:color w:val="000000"/>
          <w:sz w:val="28"/>
          <w:szCs w:val="32"/>
          <w:rtl/>
        </w:rPr>
        <w:tab/>
      </w:r>
      <w:r w:rsidRPr="007C3EC7">
        <w:rPr>
          <w:rFonts w:cs="Traditional Arabic" w:hint="cs"/>
          <w:color w:val="000000"/>
          <w:sz w:val="28"/>
          <w:szCs w:val="32"/>
          <w:rtl/>
        </w:rPr>
        <w:tab/>
        <w:t>632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ويقضي مع الدين تأميناته ويدخل فيها الرهن الرسمي</w:t>
      </w:r>
      <w:r w:rsidRPr="007C3EC7">
        <w:rPr>
          <w:rFonts w:cs="Traditional Arabic" w:hint="cs"/>
          <w:color w:val="000000"/>
          <w:sz w:val="28"/>
          <w:szCs w:val="32"/>
          <w:rtl/>
        </w:rPr>
        <w:tab/>
      </w:r>
      <w:r w:rsidRPr="007C3EC7">
        <w:rPr>
          <w:rFonts w:cs="Traditional Arabic" w:hint="cs"/>
          <w:color w:val="000000"/>
          <w:sz w:val="28"/>
          <w:szCs w:val="32"/>
          <w:rtl/>
        </w:rPr>
        <w:tab/>
        <w:t>633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إبراء الدائن للمدين من الدين ونزوله عن الرهن الرسمي</w:t>
      </w:r>
      <w:r w:rsidRPr="007C3EC7">
        <w:rPr>
          <w:rFonts w:cs="Traditional Arabic" w:hint="cs"/>
          <w:color w:val="000000"/>
          <w:sz w:val="28"/>
          <w:szCs w:val="32"/>
          <w:rtl/>
        </w:rPr>
        <w:tab/>
      </w:r>
      <w:r w:rsidRPr="007C3EC7">
        <w:rPr>
          <w:rFonts w:cs="Traditional Arabic" w:hint="cs"/>
          <w:color w:val="000000"/>
          <w:sz w:val="28"/>
          <w:szCs w:val="32"/>
          <w:rtl/>
        </w:rPr>
        <w:tab/>
        <w:t>633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7- استحالة التنفيذ</w:t>
      </w:r>
      <w:r w:rsidRPr="007C3EC7">
        <w:rPr>
          <w:rFonts w:cs="Traditional Arabic" w:hint="cs"/>
          <w:color w:val="000000"/>
          <w:sz w:val="28"/>
          <w:szCs w:val="32"/>
          <w:rtl/>
        </w:rPr>
        <w:tab/>
      </w:r>
      <w:r w:rsidRPr="007C3EC7">
        <w:rPr>
          <w:rFonts w:cs="Traditional Arabic" w:hint="cs"/>
          <w:color w:val="000000"/>
          <w:sz w:val="28"/>
          <w:szCs w:val="32"/>
          <w:rtl/>
        </w:rPr>
        <w:tab/>
        <w:t>633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لاستحالة التنفيذ تسري</w:t>
      </w:r>
      <w:r w:rsidRPr="007C3EC7">
        <w:rPr>
          <w:rFonts w:cs="Traditional Arabic" w:hint="cs"/>
          <w:color w:val="000000"/>
          <w:sz w:val="28"/>
          <w:szCs w:val="32"/>
          <w:rtl/>
        </w:rPr>
        <w:tab/>
      </w:r>
      <w:r w:rsidRPr="007C3EC7">
        <w:rPr>
          <w:rFonts w:cs="Traditional Arabic" w:hint="cs"/>
          <w:color w:val="000000"/>
          <w:sz w:val="28"/>
          <w:szCs w:val="32"/>
          <w:rtl/>
        </w:rPr>
        <w:tab/>
        <w:t>633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انقضاء الالتزام وتوابعه باستحالة التنفيذ لسبب أجنبي</w:t>
      </w:r>
      <w:r w:rsidRPr="007C3EC7">
        <w:rPr>
          <w:rFonts w:cs="Traditional Arabic" w:hint="cs"/>
          <w:color w:val="000000"/>
          <w:sz w:val="28"/>
          <w:szCs w:val="32"/>
          <w:rtl/>
        </w:rPr>
        <w:tab/>
      </w:r>
      <w:r w:rsidRPr="007C3EC7">
        <w:rPr>
          <w:rFonts w:cs="Traditional Arabic" w:hint="cs"/>
          <w:color w:val="000000"/>
          <w:sz w:val="28"/>
          <w:szCs w:val="32"/>
          <w:rtl/>
        </w:rPr>
        <w:tab/>
        <w:t>634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8- التقادم المسقط تسري</w:t>
      </w:r>
      <w:r w:rsidRPr="007C3EC7">
        <w:rPr>
          <w:rFonts w:cs="Traditional Arabic" w:hint="cs"/>
          <w:color w:val="000000"/>
          <w:sz w:val="28"/>
          <w:szCs w:val="32"/>
          <w:rtl/>
        </w:rPr>
        <w:tab/>
      </w:r>
      <w:r w:rsidRPr="007C3EC7">
        <w:rPr>
          <w:rFonts w:cs="Traditional Arabic" w:hint="cs"/>
          <w:color w:val="000000"/>
          <w:sz w:val="28"/>
          <w:szCs w:val="32"/>
          <w:rtl/>
        </w:rPr>
        <w:tab/>
        <w:t>635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القواعد العامة للتقادم المسقط تسري</w:t>
      </w:r>
      <w:r w:rsidRPr="007C3EC7">
        <w:rPr>
          <w:rFonts w:cs="Traditional Arabic" w:hint="cs"/>
          <w:color w:val="000000"/>
          <w:sz w:val="28"/>
          <w:szCs w:val="32"/>
          <w:rtl/>
        </w:rPr>
        <w:tab/>
      </w:r>
      <w:r w:rsidRPr="007C3EC7">
        <w:rPr>
          <w:rFonts w:cs="Traditional Arabic" w:hint="cs"/>
          <w:color w:val="000000"/>
          <w:sz w:val="28"/>
          <w:szCs w:val="32"/>
          <w:rtl/>
        </w:rPr>
        <w:tab/>
        <w:t>635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التمسك بالتقادم من كل ذي مصلحة</w:t>
      </w:r>
      <w:r w:rsidRPr="007C3EC7">
        <w:rPr>
          <w:rFonts w:cs="Traditional Arabic" w:hint="cs"/>
          <w:color w:val="000000"/>
          <w:sz w:val="28"/>
          <w:szCs w:val="32"/>
          <w:rtl/>
        </w:rPr>
        <w:tab/>
      </w:r>
      <w:r w:rsidRPr="007C3EC7">
        <w:rPr>
          <w:rFonts w:cs="Traditional Arabic" w:hint="cs"/>
          <w:color w:val="000000"/>
          <w:sz w:val="28"/>
          <w:szCs w:val="32"/>
          <w:rtl/>
        </w:rPr>
        <w:tab/>
        <w:t>635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r>
      <w:r w:rsidRPr="007C3EC7">
        <w:rPr>
          <w:rFonts w:cs="Traditional Arabic" w:hint="cs"/>
          <w:color w:val="000000"/>
          <w:sz w:val="28"/>
          <w:szCs w:val="32"/>
          <w:rtl/>
        </w:rPr>
        <w:tab/>
        <w:t>سقوط الدين وتوابعه بالتقادم</w:t>
      </w:r>
      <w:r w:rsidRPr="007C3EC7">
        <w:rPr>
          <w:rFonts w:cs="Traditional Arabic" w:hint="cs"/>
          <w:color w:val="000000"/>
          <w:sz w:val="28"/>
          <w:szCs w:val="32"/>
          <w:rtl/>
        </w:rPr>
        <w:tab/>
      </w:r>
      <w:r w:rsidRPr="007C3EC7">
        <w:rPr>
          <w:rFonts w:cs="Traditional Arabic" w:hint="cs"/>
          <w:color w:val="000000"/>
          <w:sz w:val="28"/>
          <w:szCs w:val="32"/>
          <w:rtl/>
        </w:rPr>
        <w:tab/>
        <w:t>635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التقادم بسقط الحق والدعوى معاً</w:t>
      </w:r>
      <w:r w:rsidRPr="007C3EC7">
        <w:rPr>
          <w:rFonts w:cs="Traditional Arabic" w:hint="cs"/>
          <w:color w:val="000000"/>
          <w:sz w:val="28"/>
          <w:szCs w:val="32"/>
          <w:rtl/>
        </w:rPr>
        <w:tab/>
      </w:r>
      <w:r w:rsidRPr="007C3EC7">
        <w:rPr>
          <w:rFonts w:cs="Traditional Arabic" w:hint="cs"/>
          <w:color w:val="000000"/>
          <w:sz w:val="28"/>
          <w:szCs w:val="32"/>
          <w:rtl/>
        </w:rPr>
        <w:tab/>
        <w:t>636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المبحث الثاني </w:t>
      </w:r>
      <w:r w:rsidRPr="007C3EC7">
        <w:rPr>
          <w:rFonts w:cs="Traditional Arabic"/>
          <w:color w:val="000000"/>
          <w:sz w:val="28"/>
          <w:szCs w:val="32"/>
          <w:rtl/>
        </w:rPr>
        <w:t>–</w:t>
      </w:r>
      <w:r w:rsidRPr="007C3EC7">
        <w:rPr>
          <w:rFonts w:cs="Traditional Arabic" w:hint="cs"/>
          <w:color w:val="000000"/>
          <w:sz w:val="28"/>
          <w:szCs w:val="32"/>
          <w:rtl/>
        </w:rPr>
        <w:t xml:space="preserve"> انقضاء الرهن بصفة أصلية</w:t>
      </w:r>
      <w:r w:rsidRPr="007C3EC7">
        <w:rPr>
          <w:rFonts w:cs="Traditional Arabic" w:hint="cs"/>
          <w:color w:val="000000"/>
          <w:sz w:val="28"/>
          <w:szCs w:val="32"/>
          <w:rtl/>
        </w:rPr>
        <w:tab/>
      </w:r>
      <w:r w:rsidRPr="007C3EC7">
        <w:rPr>
          <w:rFonts w:cs="Traditional Arabic" w:hint="cs"/>
          <w:color w:val="000000"/>
          <w:sz w:val="28"/>
          <w:szCs w:val="32"/>
          <w:rtl/>
        </w:rPr>
        <w:tab/>
        <w:t>637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أسباب الانقضاء </w:t>
      </w:r>
      <w:r w:rsidRPr="007C3EC7">
        <w:rPr>
          <w:rFonts w:cs="Traditional Arabic" w:hint="cs"/>
          <w:color w:val="000000"/>
          <w:sz w:val="28"/>
          <w:szCs w:val="32"/>
          <w:rtl/>
        </w:rPr>
        <w:tab/>
      </w:r>
      <w:r w:rsidRPr="007C3EC7">
        <w:rPr>
          <w:rFonts w:cs="Traditional Arabic" w:hint="cs"/>
          <w:color w:val="000000"/>
          <w:sz w:val="28"/>
          <w:szCs w:val="32"/>
          <w:rtl/>
        </w:rPr>
        <w:tab/>
        <w:t>637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 xml:space="preserve">1 </w:t>
      </w:r>
      <w:r w:rsidRPr="007C3EC7">
        <w:rPr>
          <w:rFonts w:cs="Traditional Arabic"/>
          <w:color w:val="000000"/>
          <w:sz w:val="28"/>
          <w:szCs w:val="32"/>
          <w:rtl/>
        </w:rPr>
        <w:t>–</w:t>
      </w:r>
      <w:r w:rsidRPr="007C3EC7">
        <w:rPr>
          <w:rFonts w:cs="Traditional Arabic" w:hint="cs"/>
          <w:color w:val="000000"/>
          <w:sz w:val="28"/>
          <w:szCs w:val="32"/>
          <w:rtl/>
        </w:rPr>
        <w:t xml:space="preserve"> تمام إجراءات التطهير</w:t>
      </w:r>
      <w:r w:rsidRPr="007C3EC7">
        <w:rPr>
          <w:rFonts w:cs="Traditional Arabic" w:hint="cs"/>
          <w:color w:val="000000"/>
          <w:sz w:val="28"/>
          <w:szCs w:val="32"/>
          <w:rtl/>
        </w:rPr>
        <w:tab/>
      </w:r>
      <w:r w:rsidRPr="007C3EC7">
        <w:rPr>
          <w:rFonts w:cs="Traditional Arabic" w:hint="cs"/>
          <w:color w:val="000000"/>
          <w:sz w:val="28"/>
          <w:szCs w:val="32"/>
          <w:rtl/>
        </w:rPr>
        <w:tab/>
        <w:t>637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637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تمام التطهير ببيع العقار في المزاد العلني ورسو المزاد على غير الحائز</w:t>
      </w:r>
      <w:r w:rsidRPr="007C3EC7">
        <w:rPr>
          <w:rFonts w:cs="Traditional Arabic" w:hint="cs"/>
          <w:color w:val="000000"/>
          <w:sz w:val="28"/>
          <w:szCs w:val="32"/>
          <w:rtl/>
        </w:rPr>
        <w:tab/>
      </w:r>
      <w:r w:rsidRPr="007C3EC7">
        <w:rPr>
          <w:rFonts w:cs="Traditional Arabic" w:hint="cs"/>
          <w:color w:val="000000"/>
          <w:sz w:val="28"/>
          <w:szCs w:val="32"/>
          <w:rtl/>
        </w:rPr>
        <w:tab/>
        <w:t>638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تمام التطهير مع بقاء العقار المرهون في ملكية الحائز</w:t>
      </w:r>
      <w:r w:rsidRPr="007C3EC7">
        <w:rPr>
          <w:rFonts w:cs="Traditional Arabic" w:hint="cs"/>
          <w:color w:val="000000"/>
          <w:sz w:val="28"/>
          <w:szCs w:val="32"/>
          <w:rtl/>
        </w:rPr>
        <w:tab/>
      </w:r>
      <w:r w:rsidRPr="007C3EC7">
        <w:rPr>
          <w:rFonts w:cs="Traditional Arabic" w:hint="cs"/>
          <w:color w:val="000000"/>
          <w:sz w:val="28"/>
          <w:szCs w:val="32"/>
          <w:rtl/>
        </w:rPr>
        <w:tab/>
        <w:t>639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2- بيع العقار بيعاً جبريا بالمزاد العلني</w:t>
      </w:r>
      <w:r w:rsidRPr="007C3EC7">
        <w:rPr>
          <w:rFonts w:cs="Traditional Arabic" w:hint="cs"/>
          <w:color w:val="000000"/>
          <w:sz w:val="28"/>
          <w:szCs w:val="32"/>
          <w:rtl/>
        </w:rPr>
        <w:tab/>
      </w:r>
      <w:r w:rsidRPr="007C3EC7">
        <w:rPr>
          <w:rFonts w:cs="Traditional Arabic" w:hint="cs"/>
          <w:color w:val="000000"/>
          <w:sz w:val="28"/>
          <w:szCs w:val="32"/>
          <w:rtl/>
        </w:rPr>
        <w:tab/>
        <w:t>640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نص قانوني</w:t>
      </w:r>
      <w:r w:rsidRPr="007C3EC7">
        <w:rPr>
          <w:rFonts w:cs="Traditional Arabic" w:hint="cs"/>
          <w:color w:val="000000"/>
          <w:sz w:val="28"/>
          <w:szCs w:val="32"/>
          <w:rtl/>
        </w:rPr>
        <w:tab/>
      </w:r>
      <w:r w:rsidRPr="007C3EC7">
        <w:rPr>
          <w:rFonts w:cs="Traditional Arabic" w:hint="cs"/>
          <w:color w:val="000000"/>
          <w:sz w:val="28"/>
          <w:szCs w:val="32"/>
          <w:rtl/>
        </w:rPr>
        <w:tab/>
        <w:t>640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البيع في مواجهة مالك العقار</w:t>
      </w:r>
      <w:r w:rsidRPr="007C3EC7">
        <w:rPr>
          <w:rFonts w:cs="Traditional Arabic" w:hint="cs"/>
          <w:color w:val="000000"/>
          <w:sz w:val="28"/>
          <w:szCs w:val="32"/>
          <w:rtl/>
        </w:rPr>
        <w:tab/>
      </w:r>
      <w:r w:rsidRPr="007C3EC7">
        <w:rPr>
          <w:rFonts w:cs="Traditional Arabic" w:hint="cs"/>
          <w:color w:val="000000"/>
          <w:sz w:val="28"/>
          <w:szCs w:val="32"/>
          <w:rtl/>
        </w:rPr>
        <w:tab/>
        <w:t>641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البيع في مواجهة الحائز</w:t>
      </w:r>
      <w:r w:rsidRPr="007C3EC7">
        <w:rPr>
          <w:rFonts w:cs="Traditional Arabic" w:hint="cs"/>
          <w:color w:val="000000"/>
          <w:sz w:val="28"/>
          <w:szCs w:val="32"/>
          <w:rtl/>
        </w:rPr>
        <w:tab/>
      </w:r>
      <w:r w:rsidRPr="007C3EC7">
        <w:rPr>
          <w:rFonts w:cs="Traditional Arabic" w:hint="cs"/>
          <w:color w:val="000000"/>
          <w:sz w:val="28"/>
          <w:szCs w:val="32"/>
          <w:rtl/>
        </w:rPr>
        <w:tab/>
        <w:t>641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البيع في مواجهة الحارس</w:t>
      </w:r>
      <w:r w:rsidRPr="007C3EC7">
        <w:rPr>
          <w:rFonts w:cs="Traditional Arabic" w:hint="cs"/>
          <w:color w:val="000000"/>
          <w:sz w:val="28"/>
          <w:szCs w:val="32"/>
          <w:rtl/>
        </w:rPr>
        <w:tab/>
      </w:r>
      <w:r w:rsidRPr="007C3EC7">
        <w:rPr>
          <w:rFonts w:cs="Traditional Arabic" w:hint="cs"/>
          <w:color w:val="000000"/>
          <w:sz w:val="28"/>
          <w:szCs w:val="32"/>
          <w:rtl/>
        </w:rPr>
        <w:tab/>
        <w:t>642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3- عدم سماح مرتبة الدائن المرتهن باستيفاء حقه من العقار المرهون</w:t>
      </w:r>
      <w:r w:rsidRPr="007C3EC7">
        <w:rPr>
          <w:rFonts w:cs="Traditional Arabic" w:hint="cs"/>
          <w:color w:val="000000"/>
          <w:sz w:val="28"/>
          <w:szCs w:val="32"/>
          <w:rtl/>
        </w:rPr>
        <w:tab/>
      </w:r>
      <w:r w:rsidRPr="007C3EC7">
        <w:rPr>
          <w:rFonts w:cs="Traditional Arabic" w:hint="cs"/>
          <w:color w:val="000000"/>
          <w:sz w:val="28"/>
          <w:szCs w:val="32"/>
          <w:rtl/>
        </w:rPr>
        <w:tab/>
        <w:t>642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كيف يتحقق ذلك</w:t>
      </w:r>
      <w:r w:rsidRPr="007C3EC7">
        <w:rPr>
          <w:rFonts w:cs="Traditional Arabic" w:hint="cs"/>
          <w:color w:val="000000"/>
          <w:sz w:val="28"/>
          <w:szCs w:val="32"/>
          <w:rtl/>
        </w:rPr>
        <w:tab/>
      </w:r>
      <w:r w:rsidRPr="007C3EC7">
        <w:rPr>
          <w:rFonts w:cs="Traditional Arabic" w:hint="cs"/>
          <w:color w:val="000000"/>
          <w:sz w:val="28"/>
          <w:szCs w:val="32"/>
          <w:rtl/>
        </w:rPr>
        <w:tab/>
        <w:t>642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نص قانوني في هذا المعنى</w:t>
      </w:r>
      <w:r w:rsidRPr="007C3EC7">
        <w:rPr>
          <w:rFonts w:cs="Traditional Arabic" w:hint="cs"/>
          <w:color w:val="000000"/>
          <w:sz w:val="28"/>
          <w:szCs w:val="32"/>
          <w:rtl/>
        </w:rPr>
        <w:tab/>
      </w:r>
      <w:r w:rsidRPr="007C3EC7">
        <w:rPr>
          <w:rFonts w:cs="Traditional Arabic" w:hint="cs"/>
          <w:color w:val="000000"/>
          <w:sz w:val="28"/>
          <w:szCs w:val="32"/>
          <w:rtl/>
        </w:rPr>
        <w:tab/>
        <w:t>643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النصوص التي حذفت من المشروع</w:t>
      </w:r>
      <w:r w:rsidRPr="007C3EC7">
        <w:rPr>
          <w:rFonts w:cs="Traditional Arabic" w:hint="cs"/>
          <w:color w:val="000000"/>
          <w:sz w:val="28"/>
          <w:szCs w:val="32"/>
          <w:rtl/>
        </w:rPr>
        <w:tab/>
      </w:r>
      <w:r w:rsidRPr="007C3EC7">
        <w:rPr>
          <w:rFonts w:cs="Traditional Arabic" w:hint="cs"/>
          <w:color w:val="000000"/>
          <w:sz w:val="28"/>
          <w:szCs w:val="32"/>
          <w:rtl/>
        </w:rPr>
        <w:tab/>
        <w:t>643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t>4- نزول الدائن المرتهن عن حق الرهن الرسمي</w:t>
      </w:r>
      <w:r w:rsidRPr="007C3EC7">
        <w:rPr>
          <w:rFonts w:cs="Traditional Arabic" w:hint="cs"/>
          <w:color w:val="000000"/>
          <w:sz w:val="28"/>
          <w:szCs w:val="32"/>
          <w:rtl/>
        </w:rPr>
        <w:tab/>
      </w:r>
      <w:r w:rsidRPr="007C3EC7">
        <w:rPr>
          <w:rFonts w:cs="Traditional Arabic" w:hint="cs"/>
          <w:color w:val="000000"/>
          <w:sz w:val="28"/>
          <w:szCs w:val="32"/>
          <w:rtl/>
        </w:rPr>
        <w:tab/>
        <w:t>644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النص المحذوف</w:t>
      </w:r>
      <w:r w:rsidRPr="007C3EC7">
        <w:rPr>
          <w:rFonts w:cs="Traditional Arabic" w:hint="cs"/>
          <w:color w:val="000000"/>
          <w:sz w:val="28"/>
          <w:szCs w:val="32"/>
          <w:rtl/>
        </w:rPr>
        <w:tab/>
      </w:r>
      <w:r w:rsidRPr="007C3EC7">
        <w:rPr>
          <w:rFonts w:cs="Traditional Arabic" w:hint="cs"/>
          <w:color w:val="000000"/>
          <w:sz w:val="28"/>
          <w:szCs w:val="32"/>
          <w:rtl/>
        </w:rPr>
        <w:tab/>
        <w:t>644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النزول الصريح أو الضمني</w:t>
      </w:r>
      <w:r w:rsidRPr="007C3EC7">
        <w:rPr>
          <w:rFonts w:cs="Traditional Arabic" w:hint="cs"/>
          <w:color w:val="000000"/>
          <w:sz w:val="28"/>
          <w:szCs w:val="32"/>
          <w:rtl/>
        </w:rPr>
        <w:tab/>
      </w:r>
      <w:r>
        <w:rPr>
          <w:rFonts w:cs="Traditional Arabic" w:hint="cs"/>
          <w:color w:val="000000"/>
          <w:sz w:val="28"/>
          <w:szCs w:val="32"/>
          <w:rtl/>
        </w:rPr>
        <w:t xml:space="preserve"> </w:t>
      </w:r>
      <w:r w:rsidRPr="007C3EC7">
        <w:rPr>
          <w:rFonts w:cs="Traditional Arabic" w:hint="cs"/>
          <w:color w:val="000000"/>
          <w:sz w:val="28"/>
          <w:szCs w:val="32"/>
          <w:rtl/>
        </w:rPr>
        <w:tab/>
        <w:t>644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النزول عن الرهن ومحو القيد</w:t>
      </w:r>
      <w:r w:rsidRPr="007C3EC7">
        <w:rPr>
          <w:rFonts w:cs="Traditional Arabic" w:hint="cs"/>
          <w:color w:val="000000"/>
          <w:sz w:val="28"/>
          <w:szCs w:val="32"/>
          <w:rtl/>
        </w:rPr>
        <w:tab/>
      </w:r>
      <w:r w:rsidRPr="007C3EC7">
        <w:rPr>
          <w:rFonts w:cs="Traditional Arabic" w:hint="cs"/>
          <w:color w:val="000000"/>
          <w:sz w:val="28"/>
          <w:szCs w:val="32"/>
          <w:rtl/>
        </w:rPr>
        <w:tab/>
        <w:t>646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النزول عن قيد الرهن فقط</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646</w:t>
      </w:r>
    </w:p>
    <w:p w:rsidR="00F72742" w:rsidRPr="007C3EC7" w:rsidRDefault="00F72742" w:rsidP="00F72742">
      <w:pPr>
        <w:widowControl w:val="0"/>
        <w:tabs>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النزول عن مرتبة الرهن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النزول عن الرهن إرادة منفردة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الأهلية اللازمة للنزول عن الرهن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5- اتحاد الذمة في العقار المرهون</w:t>
      </w:r>
      <w:r>
        <w:rPr>
          <w:rFonts w:cs="Traditional Arabic" w:hint="cs"/>
          <w:color w:val="000000"/>
          <w:sz w:val="28"/>
          <w:szCs w:val="32"/>
          <w:rtl/>
        </w:rPr>
        <w:t xml:space="preserve"> </w:t>
      </w:r>
      <w:r>
        <w:rPr>
          <w:rFonts w:cs="Traditional Arabic" w:hint="cs"/>
          <w:color w:val="000000"/>
          <w:sz w:val="28"/>
          <w:szCs w:val="32"/>
          <w:rtl/>
        </w:rPr>
        <w:tab/>
      </w:r>
      <w:r>
        <w:rPr>
          <w:rFonts w:cs="Traditional Arabic" w:hint="cs"/>
          <w:color w:val="000000"/>
          <w:sz w:val="28"/>
          <w:szCs w:val="32"/>
          <w:rtl/>
        </w:rPr>
        <w:tab/>
        <w:t>648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النص المحذوف</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انتقال ملكية العقار المرهون إلى الدائن المرتهن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انتقال حق الرهن الرسمي إلى العقار المرهون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649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زوال السبب في اتحاد الذمة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6- هلاك العقار المرهون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النص المحذوف</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هلاك العقار أو انقضاء الحق المرهون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652</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وجوب مراعاة أحكام المادتين 457 و 1458 أي أحكام هلاك العقار المرهون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انتقال الرهن إلى ما يحل محل الشيء المرهون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حق الانتفاع هو المثقل بالرهن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7- التقادم</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النص المحذوف</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 xml:space="preserve">أصل المسألة </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الحالة في القانون المصري</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رأي أكثر الفقهاء في مصر عدم انقضاء الرهن الرسمي بالتقادم مستقلا عن الدين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sidRPr="007C3EC7">
        <w:rPr>
          <w:rFonts w:cs="Traditional Arabic" w:hint="cs"/>
          <w:color w:val="000000"/>
          <w:sz w:val="28"/>
          <w:szCs w:val="32"/>
          <w:rtl/>
        </w:rPr>
        <w:tab/>
        <w:t>لا يزال الباب مفتوحاً</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659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34"/>
          <w:szCs w:val="38"/>
          <w:rtl/>
        </w:rPr>
      </w:pPr>
      <w:r w:rsidRPr="007C3EC7">
        <w:rPr>
          <w:rFonts w:cs="Traditional Arabic" w:hint="cs"/>
          <w:b/>
          <w:bCs/>
          <w:color w:val="000000"/>
          <w:sz w:val="34"/>
          <w:szCs w:val="38"/>
          <w:rtl/>
        </w:rPr>
        <w:t xml:space="preserve">الباب الثاني </w:t>
      </w:r>
      <w:r w:rsidRPr="007C3EC7">
        <w:rPr>
          <w:rFonts w:cs="Traditional Arabic"/>
          <w:b/>
          <w:bCs/>
          <w:color w:val="000000"/>
          <w:sz w:val="34"/>
          <w:szCs w:val="38"/>
          <w:rtl/>
        </w:rPr>
        <w:t>–</w:t>
      </w:r>
      <w:r w:rsidRPr="007C3EC7">
        <w:rPr>
          <w:rFonts w:cs="Traditional Arabic" w:hint="cs"/>
          <w:b/>
          <w:bCs/>
          <w:color w:val="000000"/>
          <w:sz w:val="34"/>
          <w:szCs w:val="38"/>
          <w:rtl/>
        </w:rPr>
        <w:t xml:space="preserve"> حق الاختصاص</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تمهيـــد</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ما هو حق الاختصاص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حق الاختصاص من الإجراءات التحفظية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تاريخ حق الاختصاص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حق الاختصاص وحق الرهن القضائي</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مزايا حق الاختصاص وعيوبه</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t>الاختصاص لا يكون إلا بحكم واجب التنفيذ</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نظرة عامة ن المذكرة الإيضاحية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تقسيم الموضوع</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667</w:t>
      </w:r>
    </w:p>
    <w:p w:rsidR="00F72742" w:rsidRPr="007C3EC7"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7C3EC7">
        <w:rPr>
          <w:rFonts w:cs="Traditional Arabic" w:hint="cs"/>
          <w:b/>
          <w:bCs/>
          <w:color w:val="000000"/>
          <w:sz w:val="28"/>
          <w:szCs w:val="32"/>
          <w:rtl/>
        </w:rPr>
        <w:t xml:space="preserve">الفصل الأول </w:t>
      </w:r>
      <w:r w:rsidRPr="007C3EC7">
        <w:rPr>
          <w:rFonts w:cs="Traditional Arabic"/>
          <w:b/>
          <w:bCs/>
          <w:color w:val="000000"/>
          <w:sz w:val="28"/>
          <w:szCs w:val="32"/>
          <w:rtl/>
        </w:rPr>
        <w:t>–</w:t>
      </w:r>
      <w:r w:rsidRPr="007C3EC7">
        <w:rPr>
          <w:rFonts w:cs="Traditional Arabic" w:hint="cs"/>
          <w:b/>
          <w:bCs/>
          <w:color w:val="000000"/>
          <w:sz w:val="28"/>
          <w:szCs w:val="32"/>
          <w:rtl/>
        </w:rPr>
        <w:t xml:space="preserve"> إنشاء حق الاختصاص</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الأحكام الموضوعية والإجراءات</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 xml:space="preserve">الفرع الأول </w:t>
      </w:r>
      <w:r w:rsidRPr="007C3EC7">
        <w:rPr>
          <w:rFonts w:cs="Traditional Arabic"/>
          <w:color w:val="000000"/>
          <w:sz w:val="28"/>
          <w:szCs w:val="32"/>
          <w:rtl/>
        </w:rPr>
        <w:t>–</w:t>
      </w:r>
      <w:r w:rsidRPr="007C3EC7">
        <w:rPr>
          <w:rFonts w:cs="Traditional Arabic" w:hint="cs"/>
          <w:color w:val="000000"/>
          <w:sz w:val="28"/>
          <w:szCs w:val="32"/>
          <w:rtl/>
        </w:rPr>
        <w:t xml:space="preserve"> الأحكام الموضوعية </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المحكوم له أو الدائن حسن النية هو الذي يتقرر له حق الاختصاص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668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 xml:space="preserve">المبحث الأول </w:t>
      </w:r>
      <w:r w:rsidRPr="007C3EC7">
        <w:rPr>
          <w:rFonts w:cs="Traditional Arabic"/>
          <w:color w:val="000000"/>
          <w:sz w:val="28"/>
          <w:szCs w:val="32"/>
          <w:rtl/>
        </w:rPr>
        <w:t>–</w:t>
      </w:r>
      <w:r w:rsidRPr="007C3EC7">
        <w:rPr>
          <w:rFonts w:cs="Traditional Arabic" w:hint="cs"/>
          <w:color w:val="000000"/>
          <w:sz w:val="28"/>
          <w:szCs w:val="32"/>
          <w:rtl/>
        </w:rPr>
        <w:t xml:space="preserve"> الأحكام التي يؤخذ بها حق الاختصاص</w:t>
      </w:r>
      <w:r w:rsidRPr="007C3EC7">
        <w:rPr>
          <w:rFonts w:cs="Traditional Arabic" w:hint="cs"/>
          <w:color w:val="000000"/>
          <w:sz w:val="28"/>
          <w:szCs w:val="32"/>
          <w:rtl/>
        </w:rPr>
        <w:tab/>
      </w:r>
      <w:r w:rsidRPr="007C3EC7">
        <w:rPr>
          <w:rFonts w:cs="Traditional Arabic" w:hint="cs"/>
          <w:color w:val="000000"/>
          <w:sz w:val="28"/>
          <w:szCs w:val="32"/>
          <w:rtl/>
        </w:rPr>
        <w:tab/>
        <w:t>671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نصوص قانونية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 xml:space="preserve">1 </w:t>
      </w:r>
      <w:r w:rsidRPr="007C3EC7">
        <w:rPr>
          <w:rFonts w:cs="Traditional Arabic"/>
          <w:color w:val="000000"/>
          <w:sz w:val="28"/>
          <w:szCs w:val="32"/>
          <w:rtl/>
        </w:rPr>
        <w:t>–</w:t>
      </w:r>
      <w:r w:rsidRPr="007C3EC7">
        <w:rPr>
          <w:rFonts w:cs="Traditional Arabic" w:hint="cs"/>
          <w:color w:val="000000"/>
          <w:sz w:val="28"/>
          <w:szCs w:val="32"/>
          <w:rtl/>
        </w:rPr>
        <w:t xml:space="preserve"> حكم قضائي</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يؤخذ حق الاختصاص بسند ولو رسمي</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674</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يؤخذ حق الاختصاص بناء على أمر ولائي من المحكمة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يؤخذ حق الاختصاص بموجب حكم صادر من جهة قضائية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 xml:space="preserve">2- حكم صادر من محكمة أجنبية </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يجوز أخذ حق الاختصاص بناء على حكم صادر من محكمة أجنبية</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676</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بد للحكم الأجنبي من الحصول على أمر بالتنفيذ</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3- قرارات المحكمين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ab/>
      </w:r>
      <w:r w:rsidRPr="007C3EC7">
        <w:rPr>
          <w:rFonts w:cs="Traditional Arabic" w:hint="cs"/>
          <w:color w:val="000000"/>
          <w:sz w:val="28"/>
          <w:szCs w:val="32"/>
          <w:rtl/>
        </w:rPr>
        <w:tab/>
        <w:t>يجوز أخذ حق اختصاص بناء على قرار صادر من محكمين</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677</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بد في قرار المحكمين أن يصبح القرار واجب التنفيذ</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4- حكم يثبت صلحاً أو اتفاقا تم بين الخصوم</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الحكم الذي يثبت الصلح أو الاتفاق يجوز بموجبه أخذ حق الاختصاص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حق 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حكم يثبت صلحاً تم بين الخصوم</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678</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حكم يثبت اتفاقا تم بين الخصوم</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679</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5- الحكم الصادر بصحة التوقيع لا يؤخذ به حق 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النص القانوني والمذكرة الإيضاحية </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680</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الحالة في عهد التقنين المدني القديم</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color w:val="000000"/>
          <w:szCs w:val="26"/>
          <w:rtl/>
        </w:rPr>
        <w:t>§</w:t>
      </w:r>
      <w:r w:rsidRPr="007C3EC7">
        <w:rPr>
          <w:rFonts w:hint="cs"/>
          <w:color w:val="000000"/>
          <w:szCs w:val="26"/>
          <w:rtl/>
        </w:rPr>
        <w:t xml:space="preserve"> </w:t>
      </w:r>
      <w:r w:rsidRPr="007C3EC7">
        <w:rPr>
          <w:rFonts w:cs="Traditional Arabic" w:hint="cs"/>
          <w:color w:val="000000"/>
          <w:sz w:val="28"/>
          <w:szCs w:val="32"/>
          <w:rtl/>
        </w:rPr>
        <w:t>6- لا بد أن يكون الحكم واجب التنفيذ حتى يؤخذ به حق اختصاص</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681</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تاريخ المسألة</w:t>
      </w:r>
      <w:r>
        <w:rPr>
          <w:rFonts w:cs="Traditional Arabic" w:hint="cs"/>
          <w:color w:val="000000"/>
          <w:sz w:val="28"/>
          <w:szCs w:val="32"/>
          <w:rtl/>
        </w:rPr>
        <w:tab/>
        <w:t xml:space="preserve">    682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 xml:space="preserve">التقنين الحالي </w:t>
      </w:r>
      <w:r w:rsidRPr="007C3EC7">
        <w:rPr>
          <w:rFonts w:cs="Traditional Arabic"/>
          <w:color w:val="000000"/>
          <w:sz w:val="28"/>
          <w:szCs w:val="32"/>
          <w:rtl/>
        </w:rPr>
        <w:t>–</w:t>
      </w:r>
      <w:r w:rsidRPr="007C3EC7">
        <w:rPr>
          <w:rFonts w:cs="Traditional Arabic" w:hint="cs"/>
          <w:color w:val="000000"/>
          <w:sz w:val="28"/>
          <w:szCs w:val="32"/>
          <w:rtl/>
        </w:rPr>
        <w:t xml:space="preserve"> يجب أن يكون الحكم واجب التنفيذ</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تضارب آراء الفقهاء في هذا التجديد</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683</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t>7- يجب أن يكون الحكم صادراً في موضوع الدعوى</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t>لا يخذ اختصاص بحكم صادر قبل الفصل في الموضوع</w:t>
      </w: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685</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lastRenderedPageBreak/>
        <w:t>$1035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r>
        <w:rPr>
          <w:rFonts w:cs="Traditional Arabic" w:hint="cs"/>
          <w:color w:val="000000"/>
          <w:sz w:val="28"/>
          <w:szCs w:val="32"/>
          <w:rtl/>
        </w:rPr>
        <w:t xml:space="preserve">لا يؤخذ الاختصاص إلا بناء على حكم قطعي صادر في موضوع الدعوى </w:t>
      </w:r>
      <w:r>
        <w:rPr>
          <w:rFonts w:cs="Traditional Arabic" w:hint="cs"/>
          <w:color w:val="000000"/>
          <w:sz w:val="28"/>
          <w:szCs w:val="32"/>
          <w:rtl/>
        </w:rPr>
        <w:tab/>
      </w:r>
      <w:r>
        <w:rPr>
          <w:rFonts w:cs="Traditional Arabic" w:hint="cs"/>
          <w:color w:val="000000"/>
          <w:sz w:val="28"/>
          <w:szCs w:val="32"/>
          <w:rtl/>
        </w:rPr>
        <w:tab/>
        <w:t>686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8 </w:t>
      </w:r>
      <w:r>
        <w:rPr>
          <w:rFonts w:cs="Traditional Arabic"/>
          <w:color w:val="000000"/>
          <w:sz w:val="28"/>
          <w:szCs w:val="32"/>
          <w:rtl/>
        </w:rPr>
        <w:t>–</w:t>
      </w:r>
      <w:r>
        <w:rPr>
          <w:rFonts w:cs="Traditional Arabic" w:hint="cs"/>
          <w:color w:val="000000"/>
          <w:sz w:val="28"/>
          <w:szCs w:val="32"/>
          <w:rtl/>
        </w:rPr>
        <w:t xml:space="preserve"> يجب أن يكون الحكم ملزماً المدين بشيء معين </w:t>
      </w:r>
      <w:r>
        <w:rPr>
          <w:rFonts w:cs="Traditional Arabic" w:hint="cs"/>
          <w:color w:val="000000"/>
          <w:sz w:val="28"/>
          <w:szCs w:val="32"/>
          <w:rtl/>
        </w:rPr>
        <w:tab/>
      </w:r>
      <w:r>
        <w:rPr>
          <w:rFonts w:cs="Traditional Arabic" w:hint="cs"/>
          <w:color w:val="000000"/>
          <w:sz w:val="28"/>
          <w:szCs w:val="32"/>
          <w:rtl/>
        </w:rPr>
        <w:tab/>
        <w:t xml:space="preserve">686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أحكام قطعية لا يجوز أخذ اختصاص بموجبها </w:t>
      </w:r>
      <w:r>
        <w:rPr>
          <w:rFonts w:cs="Traditional Arabic" w:hint="cs"/>
          <w:color w:val="000000"/>
          <w:sz w:val="28"/>
          <w:szCs w:val="32"/>
          <w:rtl/>
        </w:rPr>
        <w:tab/>
      </w:r>
      <w:r>
        <w:rPr>
          <w:rFonts w:cs="Traditional Arabic" w:hint="cs"/>
          <w:color w:val="000000"/>
          <w:sz w:val="28"/>
          <w:szCs w:val="32"/>
          <w:rtl/>
        </w:rPr>
        <w:tab/>
        <w:t>686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الأحكام القطعية الملزمة للمدين بشيء معين يجوز أخذ اختصاص بموجبها </w:t>
      </w:r>
      <w:r>
        <w:rPr>
          <w:rFonts w:cs="Traditional Arabic" w:hint="cs"/>
          <w:color w:val="000000"/>
          <w:sz w:val="28"/>
          <w:szCs w:val="32"/>
          <w:rtl/>
        </w:rPr>
        <w:tab/>
      </w:r>
      <w:r>
        <w:rPr>
          <w:rFonts w:cs="Traditional Arabic" w:hint="cs"/>
          <w:color w:val="000000"/>
          <w:sz w:val="28"/>
          <w:szCs w:val="32"/>
          <w:rtl/>
        </w:rPr>
        <w:tab/>
        <w:t>687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الحكم بإلزام شخص بتقديم حساب </w:t>
      </w:r>
      <w:r>
        <w:rPr>
          <w:rFonts w:cs="Traditional Arabic" w:hint="cs"/>
          <w:color w:val="000000"/>
          <w:sz w:val="28"/>
          <w:szCs w:val="32"/>
          <w:rtl/>
        </w:rPr>
        <w:tab/>
      </w:r>
      <w:r>
        <w:rPr>
          <w:rFonts w:cs="Traditional Arabic" w:hint="cs"/>
          <w:color w:val="000000"/>
          <w:sz w:val="28"/>
          <w:szCs w:val="32"/>
          <w:rtl/>
        </w:rPr>
        <w:tab/>
        <w:t>687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9 </w:t>
      </w:r>
      <w:r>
        <w:rPr>
          <w:rFonts w:cs="Traditional Arabic"/>
          <w:color w:val="000000"/>
          <w:sz w:val="28"/>
          <w:szCs w:val="32"/>
          <w:rtl/>
        </w:rPr>
        <w:t>–</w:t>
      </w:r>
      <w:r>
        <w:rPr>
          <w:rFonts w:cs="Traditional Arabic" w:hint="cs"/>
          <w:color w:val="000000"/>
          <w:sz w:val="28"/>
          <w:szCs w:val="32"/>
          <w:rtl/>
        </w:rPr>
        <w:t xml:space="preserve"> لا اختصاص بعد وفاء المدين </w:t>
      </w:r>
      <w:r>
        <w:rPr>
          <w:rFonts w:cs="Traditional Arabic" w:hint="cs"/>
          <w:color w:val="000000"/>
          <w:sz w:val="28"/>
          <w:szCs w:val="32"/>
          <w:rtl/>
        </w:rPr>
        <w:tab/>
      </w:r>
      <w:r>
        <w:rPr>
          <w:rFonts w:cs="Traditional Arabic" w:hint="cs"/>
          <w:color w:val="000000"/>
          <w:sz w:val="28"/>
          <w:szCs w:val="32"/>
          <w:rtl/>
        </w:rPr>
        <w:tab/>
        <w:t>688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النص على ذلك في التقنين المدني الجديد </w:t>
      </w:r>
      <w:r>
        <w:rPr>
          <w:rFonts w:cs="Traditional Arabic" w:hint="cs"/>
          <w:color w:val="000000"/>
          <w:sz w:val="28"/>
          <w:szCs w:val="32"/>
          <w:rtl/>
        </w:rPr>
        <w:tab/>
      </w:r>
      <w:r>
        <w:rPr>
          <w:rFonts w:cs="Traditional Arabic" w:hint="cs"/>
          <w:color w:val="000000"/>
          <w:sz w:val="28"/>
          <w:szCs w:val="32"/>
          <w:rtl/>
        </w:rPr>
        <w:tab/>
        <w:t>688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قانون الشهر العقاري </w:t>
      </w:r>
      <w:r>
        <w:rPr>
          <w:rFonts w:cs="Traditional Arabic" w:hint="cs"/>
          <w:color w:val="000000"/>
          <w:sz w:val="28"/>
          <w:szCs w:val="32"/>
          <w:rtl/>
        </w:rPr>
        <w:tab/>
      </w:r>
      <w:r>
        <w:rPr>
          <w:rFonts w:cs="Traditional Arabic" w:hint="cs"/>
          <w:color w:val="000000"/>
          <w:sz w:val="28"/>
          <w:szCs w:val="32"/>
          <w:rtl/>
        </w:rPr>
        <w:tab/>
        <w:t>689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التقنين المدني الجديد </w:t>
      </w:r>
      <w:r>
        <w:rPr>
          <w:rFonts w:cs="Traditional Arabic" w:hint="cs"/>
          <w:color w:val="000000"/>
          <w:sz w:val="28"/>
          <w:szCs w:val="32"/>
          <w:rtl/>
        </w:rPr>
        <w:tab/>
      </w:r>
      <w:r>
        <w:rPr>
          <w:rFonts w:cs="Traditional Arabic" w:hint="cs"/>
          <w:color w:val="000000"/>
          <w:sz w:val="28"/>
          <w:szCs w:val="32"/>
          <w:rtl/>
        </w:rPr>
        <w:tab/>
        <w:t>690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شهر الاختصاص المكسوب قبل وفاة المدين </w:t>
      </w:r>
      <w:r>
        <w:rPr>
          <w:rFonts w:cs="Traditional Arabic" w:hint="cs"/>
          <w:color w:val="000000"/>
          <w:sz w:val="28"/>
          <w:szCs w:val="32"/>
          <w:rtl/>
        </w:rPr>
        <w:tab/>
      </w:r>
      <w:r>
        <w:rPr>
          <w:rFonts w:cs="Traditional Arabic" w:hint="cs"/>
          <w:color w:val="000000"/>
          <w:sz w:val="28"/>
          <w:szCs w:val="32"/>
          <w:rtl/>
        </w:rPr>
        <w:tab/>
        <w:t>690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 </w:t>
      </w:r>
      <w:r>
        <w:rPr>
          <w:rFonts w:cs="Traditional Arabic"/>
          <w:color w:val="000000"/>
          <w:sz w:val="28"/>
          <w:szCs w:val="32"/>
          <w:rtl/>
        </w:rPr>
        <w:t>–</w:t>
      </w:r>
      <w:r>
        <w:rPr>
          <w:rFonts w:cs="Traditional Arabic" w:hint="cs"/>
          <w:color w:val="000000"/>
          <w:sz w:val="28"/>
          <w:szCs w:val="32"/>
          <w:rtl/>
        </w:rPr>
        <w:t xml:space="preserve"> حالة شهر إعسار المدين </w:t>
      </w:r>
      <w:r>
        <w:rPr>
          <w:rFonts w:cs="Traditional Arabic" w:hint="cs"/>
          <w:color w:val="000000"/>
          <w:sz w:val="28"/>
          <w:szCs w:val="32"/>
          <w:rtl/>
        </w:rPr>
        <w:tab/>
      </w:r>
      <w:r>
        <w:rPr>
          <w:rFonts w:cs="Traditional Arabic" w:hint="cs"/>
          <w:color w:val="000000"/>
          <w:sz w:val="28"/>
          <w:szCs w:val="32"/>
          <w:rtl/>
        </w:rPr>
        <w:tab/>
        <w:t>691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الدائنون الذين يكون لخم حقوق سابقة على تسجيل صحيفة دعوى الإعسار </w:t>
      </w:r>
      <w:r>
        <w:rPr>
          <w:rFonts w:cs="Traditional Arabic" w:hint="cs"/>
          <w:color w:val="000000"/>
          <w:sz w:val="28"/>
          <w:szCs w:val="32"/>
          <w:rtl/>
        </w:rPr>
        <w:tab/>
      </w:r>
      <w:r>
        <w:rPr>
          <w:rFonts w:cs="Traditional Arabic" w:hint="cs"/>
          <w:color w:val="000000"/>
          <w:sz w:val="28"/>
          <w:szCs w:val="32"/>
          <w:rtl/>
        </w:rPr>
        <w:tab/>
        <w:t>691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أخذ اختصاص على عقار المدين المعسر بعد تسجيل صحيفة دعوى الإعسار </w:t>
      </w:r>
      <w:r>
        <w:rPr>
          <w:rFonts w:cs="Traditional Arabic" w:hint="cs"/>
          <w:color w:val="000000"/>
          <w:sz w:val="28"/>
          <w:szCs w:val="32"/>
          <w:rtl/>
        </w:rPr>
        <w:tab/>
      </w:r>
      <w:r>
        <w:rPr>
          <w:rFonts w:cs="Traditional Arabic" w:hint="cs"/>
          <w:color w:val="000000"/>
          <w:sz w:val="28"/>
          <w:szCs w:val="32"/>
          <w:rtl/>
        </w:rPr>
        <w:tab/>
        <w:t>691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الأموال التي يؤخذ عليها حق الاختصاص </w:t>
      </w:r>
      <w:r>
        <w:rPr>
          <w:rFonts w:cs="Traditional Arabic" w:hint="cs"/>
          <w:color w:val="000000"/>
          <w:sz w:val="28"/>
          <w:szCs w:val="32"/>
          <w:rtl/>
        </w:rPr>
        <w:tab/>
      </w:r>
      <w:r>
        <w:rPr>
          <w:rFonts w:cs="Traditional Arabic" w:hint="cs"/>
          <w:color w:val="000000"/>
          <w:sz w:val="28"/>
          <w:szCs w:val="32"/>
          <w:rtl/>
        </w:rPr>
        <w:tab/>
        <w:t>692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692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يجب أن يكون المال عقاراً</w:t>
      </w:r>
      <w:r>
        <w:rPr>
          <w:rFonts w:cs="Traditional Arabic" w:hint="cs"/>
          <w:color w:val="000000"/>
          <w:sz w:val="28"/>
          <w:szCs w:val="32"/>
          <w:rtl/>
        </w:rPr>
        <w:tab/>
      </w:r>
      <w:r>
        <w:rPr>
          <w:rFonts w:cs="Traditional Arabic" w:hint="cs"/>
          <w:color w:val="000000"/>
          <w:sz w:val="28"/>
          <w:szCs w:val="32"/>
          <w:rtl/>
        </w:rPr>
        <w:tab/>
        <w:t>694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اختلاف حق الاختصاص عن حق الرهن القضائي </w:t>
      </w:r>
      <w:r>
        <w:rPr>
          <w:rFonts w:cs="Traditional Arabic" w:hint="cs"/>
          <w:color w:val="000000"/>
          <w:sz w:val="28"/>
          <w:szCs w:val="32"/>
          <w:rtl/>
        </w:rPr>
        <w:tab/>
      </w:r>
      <w:r>
        <w:rPr>
          <w:rFonts w:cs="Traditional Arabic" w:hint="cs"/>
          <w:color w:val="000000"/>
          <w:sz w:val="28"/>
          <w:szCs w:val="32"/>
          <w:rtl/>
        </w:rPr>
        <w:tab/>
        <w:t>694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العقار معين تعييناً دقيقاً</w:t>
      </w:r>
      <w:r>
        <w:rPr>
          <w:rFonts w:cs="Traditional Arabic" w:hint="cs"/>
          <w:color w:val="000000"/>
          <w:sz w:val="28"/>
          <w:szCs w:val="32"/>
          <w:rtl/>
        </w:rPr>
        <w:tab/>
      </w:r>
      <w:r>
        <w:rPr>
          <w:rFonts w:cs="Traditional Arabic" w:hint="cs"/>
          <w:color w:val="000000"/>
          <w:sz w:val="28"/>
          <w:szCs w:val="32"/>
          <w:rtl/>
        </w:rPr>
        <w:tab/>
        <w:t>695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العقار مملوك للمدين وقت الحصول على الاختصاص  ووقت القيد </w:t>
      </w:r>
      <w:r>
        <w:rPr>
          <w:rFonts w:cs="Traditional Arabic" w:hint="cs"/>
          <w:color w:val="000000"/>
          <w:sz w:val="28"/>
          <w:szCs w:val="32"/>
          <w:rtl/>
        </w:rPr>
        <w:tab/>
      </w:r>
      <w:r>
        <w:rPr>
          <w:rFonts w:cs="Traditional Arabic" w:hint="cs"/>
          <w:color w:val="000000"/>
          <w:sz w:val="28"/>
          <w:szCs w:val="32"/>
          <w:rtl/>
        </w:rPr>
        <w:tab/>
        <w:t>696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النص يصرح بوجوب ملكية المدين للعقار وقت القيد</w:t>
      </w:r>
      <w:r>
        <w:rPr>
          <w:rFonts w:cs="Traditional Arabic" w:hint="cs"/>
          <w:color w:val="000000"/>
          <w:sz w:val="28"/>
          <w:szCs w:val="32"/>
          <w:rtl/>
        </w:rPr>
        <w:tab/>
      </w:r>
      <w:r>
        <w:rPr>
          <w:rFonts w:cs="Traditional Arabic" w:hint="cs"/>
          <w:color w:val="000000"/>
          <w:sz w:val="28"/>
          <w:szCs w:val="32"/>
          <w:rtl/>
        </w:rPr>
        <w:tab/>
        <w:t>696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ويجب أن يكون العقار مملوكاً للمدين أيضاً وقت الحصول على الاختصاص </w:t>
      </w:r>
      <w:r>
        <w:rPr>
          <w:rFonts w:cs="Traditional Arabic" w:hint="cs"/>
          <w:color w:val="000000"/>
          <w:sz w:val="28"/>
          <w:szCs w:val="32"/>
          <w:rtl/>
        </w:rPr>
        <w:tab/>
      </w:r>
      <w:r>
        <w:rPr>
          <w:rFonts w:cs="Traditional Arabic" w:hint="cs"/>
          <w:color w:val="000000"/>
          <w:sz w:val="28"/>
          <w:szCs w:val="32"/>
          <w:rtl/>
        </w:rPr>
        <w:tab/>
        <w:t>697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على الدائن عبء إثبات  ملكية المدين للعقار </w:t>
      </w:r>
      <w:r>
        <w:rPr>
          <w:rFonts w:cs="Traditional Arabic" w:hint="cs"/>
          <w:color w:val="000000"/>
          <w:sz w:val="28"/>
          <w:szCs w:val="32"/>
          <w:rtl/>
        </w:rPr>
        <w:tab/>
      </w:r>
      <w:r>
        <w:rPr>
          <w:rFonts w:cs="Traditional Arabic" w:hint="cs"/>
          <w:color w:val="000000"/>
          <w:sz w:val="28"/>
          <w:szCs w:val="32"/>
          <w:rtl/>
        </w:rPr>
        <w:tab/>
        <w:t>700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ا لعقار جائز بيعه بالمزاد العلني</w:t>
      </w:r>
      <w:r>
        <w:rPr>
          <w:rFonts w:cs="Traditional Arabic" w:hint="cs"/>
          <w:color w:val="000000"/>
          <w:sz w:val="28"/>
          <w:szCs w:val="32"/>
          <w:rtl/>
        </w:rPr>
        <w:tab/>
      </w:r>
      <w:r>
        <w:rPr>
          <w:rFonts w:cs="Traditional Arabic" w:hint="cs"/>
          <w:color w:val="000000"/>
          <w:sz w:val="28"/>
          <w:szCs w:val="32"/>
          <w:rtl/>
        </w:rPr>
        <w:tab/>
        <w:t>700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جواز أخذ اختصاص على خمسة الأفدنة التي لا يجوز التنفيذ عليها </w:t>
      </w:r>
      <w:r>
        <w:rPr>
          <w:rFonts w:cs="Traditional Arabic" w:hint="cs"/>
          <w:color w:val="000000"/>
          <w:sz w:val="28"/>
          <w:szCs w:val="32"/>
          <w:rtl/>
        </w:rPr>
        <w:tab/>
      </w:r>
      <w:r>
        <w:rPr>
          <w:rFonts w:cs="Traditional Arabic" w:hint="cs"/>
          <w:color w:val="000000"/>
          <w:sz w:val="28"/>
          <w:szCs w:val="32"/>
          <w:rtl/>
        </w:rPr>
        <w:tab/>
        <w:t>702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الفرع الثاني </w:t>
      </w:r>
      <w:r>
        <w:rPr>
          <w:rFonts w:cs="Traditional Arabic"/>
          <w:color w:val="000000"/>
          <w:sz w:val="28"/>
          <w:szCs w:val="32"/>
          <w:rtl/>
        </w:rPr>
        <w:t>–</w:t>
      </w:r>
      <w:r>
        <w:rPr>
          <w:rFonts w:cs="Traditional Arabic" w:hint="cs"/>
          <w:color w:val="000000"/>
          <w:sz w:val="28"/>
          <w:szCs w:val="32"/>
          <w:rtl/>
        </w:rPr>
        <w:t xml:space="preserve"> الإجراءات </w:t>
      </w:r>
      <w:r>
        <w:rPr>
          <w:rFonts w:cs="Traditional Arabic" w:hint="cs"/>
          <w:color w:val="000000"/>
          <w:sz w:val="28"/>
          <w:szCs w:val="32"/>
          <w:rtl/>
        </w:rPr>
        <w:tab/>
      </w:r>
      <w:r>
        <w:rPr>
          <w:rFonts w:cs="Traditional Arabic" w:hint="cs"/>
          <w:color w:val="000000"/>
          <w:sz w:val="28"/>
          <w:szCs w:val="32"/>
          <w:rtl/>
        </w:rPr>
        <w:tab/>
        <w:t>703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نصوص قانونية </w:t>
      </w:r>
      <w:r>
        <w:rPr>
          <w:rFonts w:cs="Traditional Arabic" w:hint="cs"/>
          <w:color w:val="000000"/>
          <w:sz w:val="28"/>
          <w:szCs w:val="32"/>
          <w:rtl/>
        </w:rPr>
        <w:tab/>
      </w:r>
      <w:r>
        <w:rPr>
          <w:rFonts w:cs="Traditional Arabic" w:hint="cs"/>
          <w:color w:val="000000"/>
          <w:sz w:val="28"/>
          <w:szCs w:val="32"/>
          <w:rtl/>
        </w:rPr>
        <w:tab/>
        <w:t>703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الحصول على أمر اختصاص </w:t>
      </w:r>
      <w:r>
        <w:rPr>
          <w:rFonts w:cs="Traditional Arabic" w:hint="cs"/>
          <w:color w:val="000000"/>
          <w:sz w:val="28"/>
          <w:szCs w:val="32"/>
          <w:rtl/>
        </w:rPr>
        <w:tab/>
      </w:r>
      <w:r>
        <w:rPr>
          <w:rFonts w:cs="Traditional Arabic" w:hint="cs"/>
          <w:color w:val="000000"/>
          <w:sz w:val="28"/>
          <w:szCs w:val="32"/>
          <w:rtl/>
        </w:rPr>
        <w:tab/>
        <w:t>707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عريضة طلب الاختصاص </w:t>
      </w:r>
      <w:r>
        <w:rPr>
          <w:rFonts w:cs="Traditional Arabic" w:hint="cs"/>
          <w:color w:val="000000"/>
          <w:sz w:val="28"/>
          <w:szCs w:val="32"/>
          <w:rtl/>
        </w:rPr>
        <w:tab/>
      </w:r>
      <w:r>
        <w:rPr>
          <w:rFonts w:cs="Traditional Arabic" w:hint="cs"/>
          <w:color w:val="000000"/>
          <w:sz w:val="28"/>
          <w:szCs w:val="32"/>
          <w:rtl/>
        </w:rPr>
        <w:tab/>
        <w:t>707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التدوين في ذيل العريضة بالأمر بالاختصاص</w:t>
      </w:r>
      <w:r>
        <w:rPr>
          <w:rFonts w:cs="Traditional Arabic" w:hint="cs"/>
          <w:color w:val="000000"/>
          <w:sz w:val="28"/>
          <w:szCs w:val="32"/>
          <w:rtl/>
        </w:rPr>
        <w:tab/>
      </w:r>
      <w:r>
        <w:rPr>
          <w:rFonts w:cs="Traditional Arabic" w:hint="cs"/>
          <w:color w:val="000000"/>
          <w:sz w:val="28"/>
          <w:szCs w:val="32"/>
          <w:rtl/>
        </w:rPr>
        <w:tab/>
        <w:t>709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الإجراءات التي تتبع في الأمر الصادر بالاختصاص</w:t>
      </w:r>
      <w:r>
        <w:rPr>
          <w:rFonts w:cs="Traditional Arabic" w:hint="cs"/>
          <w:color w:val="000000"/>
          <w:sz w:val="28"/>
          <w:szCs w:val="32"/>
          <w:rtl/>
        </w:rPr>
        <w:tab/>
      </w:r>
      <w:r>
        <w:rPr>
          <w:rFonts w:cs="Traditional Arabic" w:hint="cs"/>
          <w:color w:val="000000"/>
          <w:sz w:val="28"/>
          <w:szCs w:val="32"/>
          <w:rtl/>
        </w:rPr>
        <w:tab/>
        <w:t>709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رفض رئيس المحكمة طلب الدائن وعدم صدور أمر بالاختصاص</w:t>
      </w:r>
      <w:r>
        <w:rPr>
          <w:rFonts w:cs="Traditional Arabic" w:hint="cs"/>
          <w:color w:val="000000"/>
          <w:sz w:val="28"/>
          <w:szCs w:val="32"/>
          <w:rtl/>
        </w:rPr>
        <w:tab/>
      </w:r>
      <w:r>
        <w:rPr>
          <w:rFonts w:cs="Traditional Arabic" w:hint="cs"/>
          <w:color w:val="000000"/>
          <w:sz w:val="28"/>
          <w:szCs w:val="32"/>
          <w:rtl/>
        </w:rPr>
        <w:tab/>
        <w:t>710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تظلم المدين من أمر الاختصاص</w:t>
      </w:r>
      <w:r>
        <w:rPr>
          <w:rFonts w:cs="Traditional Arabic" w:hint="cs"/>
          <w:color w:val="000000"/>
          <w:sz w:val="28"/>
          <w:szCs w:val="32"/>
          <w:rtl/>
        </w:rPr>
        <w:tab/>
      </w:r>
      <w:r>
        <w:rPr>
          <w:rFonts w:cs="Traditional Arabic" w:hint="cs"/>
          <w:color w:val="000000"/>
          <w:sz w:val="28"/>
          <w:szCs w:val="32"/>
          <w:rtl/>
        </w:rPr>
        <w:tab/>
        <w:t>711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جواز تظلم المدين من الأمر بالاختصاص</w:t>
      </w:r>
      <w:r>
        <w:rPr>
          <w:rFonts w:cs="Traditional Arabic" w:hint="cs"/>
          <w:color w:val="000000"/>
          <w:sz w:val="28"/>
          <w:szCs w:val="32"/>
          <w:rtl/>
        </w:rPr>
        <w:tab/>
      </w:r>
      <w:r>
        <w:rPr>
          <w:rFonts w:cs="Traditional Arabic" w:hint="cs"/>
          <w:color w:val="000000"/>
          <w:sz w:val="28"/>
          <w:szCs w:val="32"/>
          <w:rtl/>
        </w:rPr>
        <w:tab/>
        <w:t>711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التظلم إلى الآمر </w:t>
      </w:r>
      <w:r>
        <w:rPr>
          <w:rFonts w:cs="Traditional Arabic" w:hint="cs"/>
          <w:color w:val="000000"/>
          <w:sz w:val="28"/>
          <w:szCs w:val="32"/>
          <w:rtl/>
        </w:rPr>
        <w:tab/>
      </w:r>
      <w:r>
        <w:rPr>
          <w:rFonts w:cs="Traditional Arabic" w:hint="cs"/>
          <w:color w:val="000000"/>
          <w:sz w:val="28"/>
          <w:szCs w:val="32"/>
          <w:rtl/>
        </w:rPr>
        <w:tab/>
        <w:t>711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جواز استئناف قضاء الآمر </w:t>
      </w:r>
      <w:r>
        <w:rPr>
          <w:rFonts w:cs="Traditional Arabic" w:hint="cs"/>
          <w:color w:val="000000"/>
          <w:sz w:val="28"/>
          <w:szCs w:val="32"/>
          <w:rtl/>
        </w:rPr>
        <w:tab/>
      </w:r>
      <w:r>
        <w:rPr>
          <w:rFonts w:cs="Traditional Arabic" w:hint="cs"/>
          <w:color w:val="000000"/>
          <w:sz w:val="28"/>
          <w:szCs w:val="32"/>
          <w:rtl/>
        </w:rPr>
        <w:tab/>
        <w:t>712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التظلم إلى المحكمة الابتدائية </w:t>
      </w:r>
      <w:r>
        <w:rPr>
          <w:rFonts w:cs="Traditional Arabic" w:hint="cs"/>
          <w:color w:val="000000"/>
          <w:sz w:val="28"/>
          <w:szCs w:val="32"/>
          <w:rtl/>
        </w:rPr>
        <w:tab/>
      </w:r>
      <w:r>
        <w:rPr>
          <w:rFonts w:cs="Traditional Arabic" w:hint="cs"/>
          <w:color w:val="000000"/>
          <w:sz w:val="28"/>
          <w:szCs w:val="32"/>
          <w:rtl/>
        </w:rPr>
        <w:tab/>
        <w:t>712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جواز استئناف حكم المحكمة الابتدائية </w:t>
      </w:r>
      <w:r>
        <w:rPr>
          <w:rFonts w:cs="Traditional Arabic" w:hint="cs"/>
          <w:color w:val="000000"/>
          <w:sz w:val="28"/>
          <w:szCs w:val="32"/>
          <w:rtl/>
        </w:rPr>
        <w:tab/>
      </w:r>
      <w:r>
        <w:rPr>
          <w:rFonts w:cs="Traditional Arabic" w:hint="cs"/>
          <w:color w:val="000000"/>
          <w:sz w:val="28"/>
          <w:szCs w:val="32"/>
          <w:rtl/>
        </w:rPr>
        <w:tab/>
        <w:t>712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التأشير على هامش القيد بإلغاء الأمر الصادر بالاختصاص </w:t>
      </w:r>
      <w:r>
        <w:rPr>
          <w:rFonts w:cs="Traditional Arabic" w:hint="cs"/>
          <w:color w:val="000000"/>
          <w:sz w:val="28"/>
          <w:szCs w:val="32"/>
          <w:rtl/>
        </w:rPr>
        <w:tab/>
      </w:r>
      <w:r>
        <w:rPr>
          <w:rFonts w:cs="Traditional Arabic" w:hint="cs"/>
          <w:color w:val="000000"/>
          <w:sz w:val="28"/>
          <w:szCs w:val="32"/>
          <w:rtl/>
        </w:rPr>
        <w:tab/>
        <w:t>712</w:t>
      </w:r>
    </w:p>
    <w:p w:rsidR="00F72742" w:rsidRPr="00816BD4"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816BD4">
        <w:rPr>
          <w:rFonts w:cs="Traditional Arabic" w:hint="cs"/>
          <w:b/>
          <w:bCs/>
          <w:color w:val="000000"/>
          <w:sz w:val="28"/>
          <w:szCs w:val="32"/>
          <w:rtl/>
        </w:rPr>
        <w:t xml:space="preserve">الفصل الثاني </w:t>
      </w:r>
      <w:r w:rsidRPr="00816BD4">
        <w:rPr>
          <w:rFonts w:cs="Traditional Arabic"/>
          <w:b/>
          <w:bCs/>
          <w:color w:val="000000"/>
          <w:sz w:val="28"/>
          <w:szCs w:val="32"/>
          <w:rtl/>
        </w:rPr>
        <w:t>–</w:t>
      </w:r>
      <w:r w:rsidRPr="00816BD4">
        <w:rPr>
          <w:rFonts w:cs="Traditional Arabic" w:hint="cs"/>
          <w:b/>
          <w:bCs/>
          <w:color w:val="000000"/>
          <w:sz w:val="28"/>
          <w:szCs w:val="32"/>
          <w:rtl/>
        </w:rPr>
        <w:t xml:space="preserve"> آثار حق الاختصاص</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713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دائن له حق الاختصاص </w:t>
      </w:r>
      <w:r>
        <w:rPr>
          <w:rFonts w:cs="Traditional Arabic" w:hint="cs"/>
          <w:color w:val="000000"/>
          <w:sz w:val="28"/>
          <w:szCs w:val="32"/>
          <w:rtl/>
        </w:rPr>
        <w:tab/>
      </w:r>
      <w:r>
        <w:rPr>
          <w:rFonts w:cs="Traditional Arabic" w:hint="cs"/>
          <w:color w:val="000000"/>
          <w:sz w:val="28"/>
          <w:szCs w:val="32"/>
          <w:rtl/>
        </w:rPr>
        <w:tab/>
        <w:t>714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الرهن الرسمي غير قابل للتجزئة وكذلك حق الاختصاص </w:t>
      </w:r>
      <w:r>
        <w:rPr>
          <w:rFonts w:cs="Traditional Arabic" w:hint="cs"/>
          <w:color w:val="000000"/>
          <w:sz w:val="28"/>
          <w:szCs w:val="32"/>
          <w:rtl/>
        </w:rPr>
        <w:tab/>
      </w:r>
      <w:r>
        <w:rPr>
          <w:rFonts w:cs="Traditional Arabic" w:hint="cs"/>
          <w:color w:val="000000"/>
          <w:sz w:val="28"/>
          <w:szCs w:val="32"/>
          <w:rtl/>
        </w:rPr>
        <w:tab/>
        <w:t>714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آثار الرهن الرسمي فيما بين المتعاقدين وآثار الاختصاص </w:t>
      </w:r>
      <w:r>
        <w:rPr>
          <w:rFonts w:cs="Traditional Arabic" w:hint="cs"/>
          <w:color w:val="000000"/>
          <w:sz w:val="28"/>
          <w:szCs w:val="32"/>
          <w:rtl/>
        </w:rPr>
        <w:tab/>
      </w:r>
      <w:r>
        <w:rPr>
          <w:rFonts w:cs="Traditional Arabic" w:hint="cs"/>
          <w:color w:val="000000"/>
          <w:sz w:val="28"/>
          <w:szCs w:val="32"/>
          <w:rtl/>
        </w:rPr>
        <w:tab/>
        <w:t>715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إنشاء الراهن لحق الرهن </w:t>
      </w:r>
      <w:r>
        <w:rPr>
          <w:rFonts w:cs="Traditional Arabic" w:hint="cs"/>
          <w:color w:val="000000"/>
          <w:sz w:val="28"/>
          <w:szCs w:val="32"/>
          <w:rtl/>
        </w:rPr>
        <w:tab/>
      </w:r>
      <w:r>
        <w:rPr>
          <w:rFonts w:cs="Traditional Arabic" w:hint="cs"/>
          <w:color w:val="000000"/>
          <w:sz w:val="28"/>
          <w:szCs w:val="32"/>
          <w:rtl/>
        </w:rPr>
        <w:tab/>
        <w:t>715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ضمان الراهن لسلامة حقوق الرهن</w:t>
      </w:r>
      <w:r>
        <w:rPr>
          <w:rFonts w:cs="Traditional Arabic" w:hint="cs"/>
          <w:color w:val="000000"/>
          <w:sz w:val="28"/>
          <w:szCs w:val="32"/>
          <w:rtl/>
        </w:rPr>
        <w:tab/>
      </w:r>
      <w:r>
        <w:rPr>
          <w:rFonts w:cs="Traditional Arabic" w:hint="cs"/>
          <w:color w:val="000000"/>
          <w:sz w:val="28"/>
          <w:szCs w:val="32"/>
          <w:rtl/>
        </w:rPr>
        <w:tab/>
        <w:t>715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هلاك العقار أو تلفه</w:t>
      </w:r>
      <w:r>
        <w:rPr>
          <w:rFonts w:cs="Traditional Arabic" w:hint="cs"/>
          <w:color w:val="000000"/>
          <w:sz w:val="28"/>
          <w:szCs w:val="32"/>
          <w:rtl/>
        </w:rPr>
        <w:tab/>
      </w:r>
      <w:r>
        <w:rPr>
          <w:rFonts w:cs="Traditional Arabic" w:hint="cs"/>
          <w:color w:val="000000"/>
          <w:sz w:val="28"/>
          <w:szCs w:val="32"/>
          <w:rtl/>
        </w:rPr>
        <w:tab/>
        <w:t>716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عدم تجريد الراهن لا من ملكية العقار ولا من حيازته وكذلك المدين في حق الاختصاص </w:t>
      </w:r>
      <w:r>
        <w:rPr>
          <w:rFonts w:cs="Traditional Arabic" w:hint="cs"/>
          <w:color w:val="000000"/>
          <w:sz w:val="28"/>
          <w:szCs w:val="32"/>
          <w:rtl/>
        </w:rPr>
        <w:tab/>
      </w:r>
      <w:r>
        <w:rPr>
          <w:rFonts w:cs="Traditional Arabic" w:hint="cs"/>
          <w:color w:val="000000"/>
          <w:sz w:val="28"/>
          <w:szCs w:val="32"/>
          <w:rtl/>
        </w:rPr>
        <w:tab/>
        <w:t>716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المدين في حق الاختصاص</w:t>
      </w:r>
      <w:r>
        <w:rPr>
          <w:rFonts w:cs="Traditional Arabic" w:hint="cs"/>
          <w:color w:val="000000"/>
          <w:sz w:val="28"/>
          <w:szCs w:val="32"/>
          <w:rtl/>
        </w:rPr>
        <w:tab/>
      </w:r>
      <w:r>
        <w:rPr>
          <w:rFonts w:cs="Traditional Arabic" w:hint="cs"/>
          <w:color w:val="000000"/>
          <w:sz w:val="28"/>
          <w:szCs w:val="32"/>
          <w:rtl/>
        </w:rPr>
        <w:tab/>
        <w:t>716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الراهن في استغلال العقار وكذلك حق المدين في الاختصاص</w:t>
      </w:r>
      <w:r>
        <w:rPr>
          <w:rFonts w:cs="Traditional Arabic" w:hint="cs"/>
          <w:color w:val="000000"/>
          <w:sz w:val="28"/>
          <w:szCs w:val="32"/>
          <w:rtl/>
        </w:rPr>
        <w:tab/>
      </w:r>
      <w:r>
        <w:rPr>
          <w:rFonts w:cs="Traditional Arabic" w:hint="cs"/>
          <w:color w:val="000000"/>
          <w:sz w:val="28"/>
          <w:szCs w:val="32"/>
          <w:rtl/>
        </w:rPr>
        <w:tab/>
        <w:t>717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إيجار العقار</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717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قبض الأجرة مقدماً أو الحوالة بها</w:t>
      </w:r>
      <w:r>
        <w:rPr>
          <w:rFonts w:cs="Traditional Arabic" w:hint="cs"/>
          <w:color w:val="000000"/>
          <w:sz w:val="28"/>
          <w:szCs w:val="32"/>
          <w:rtl/>
        </w:rPr>
        <w:tab/>
      </w:r>
      <w:r>
        <w:rPr>
          <w:rFonts w:cs="Traditional Arabic" w:hint="cs"/>
          <w:color w:val="000000"/>
          <w:sz w:val="28"/>
          <w:szCs w:val="32"/>
          <w:rtl/>
        </w:rPr>
        <w:tab/>
        <w:t>717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بيع الثمار قبل جنيها</w:t>
      </w:r>
      <w:r>
        <w:rPr>
          <w:rFonts w:cs="Traditional Arabic" w:hint="cs"/>
          <w:color w:val="000000"/>
          <w:sz w:val="28"/>
          <w:szCs w:val="32"/>
          <w:rtl/>
        </w:rPr>
        <w:tab/>
      </w:r>
      <w:r>
        <w:rPr>
          <w:rFonts w:cs="Traditional Arabic" w:hint="cs"/>
          <w:color w:val="000000"/>
          <w:sz w:val="28"/>
          <w:szCs w:val="32"/>
          <w:rtl/>
        </w:rPr>
        <w:tab/>
        <w:t>718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بطلان شرطي تملك العقار عند عدم الوفاء وبيع العقار دون إجراءات </w:t>
      </w:r>
      <w:r>
        <w:rPr>
          <w:rFonts w:cs="Traditional Arabic" w:hint="cs"/>
          <w:color w:val="000000"/>
          <w:sz w:val="28"/>
          <w:szCs w:val="32"/>
          <w:rtl/>
        </w:rPr>
        <w:tab/>
      </w:r>
      <w:r>
        <w:rPr>
          <w:rFonts w:cs="Traditional Arabic" w:hint="cs"/>
          <w:color w:val="000000"/>
          <w:sz w:val="28"/>
          <w:szCs w:val="32"/>
          <w:rtl/>
        </w:rPr>
        <w:tab/>
        <w:t>718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آثار الرهن الرسمي بالنسبة إلى الغير </w:t>
      </w:r>
      <w:r>
        <w:rPr>
          <w:rFonts w:cs="Traditional Arabic"/>
          <w:color w:val="000000"/>
          <w:sz w:val="28"/>
          <w:szCs w:val="32"/>
          <w:rtl/>
        </w:rPr>
        <w:t>–</w:t>
      </w:r>
      <w:r>
        <w:rPr>
          <w:rFonts w:cs="Traditional Arabic" w:hint="cs"/>
          <w:color w:val="000000"/>
          <w:sz w:val="28"/>
          <w:szCs w:val="32"/>
          <w:rtl/>
        </w:rPr>
        <w:t xml:space="preserve"> وآثار حق الاختصاص بالنسبة إلى الغير </w:t>
      </w:r>
      <w:r>
        <w:rPr>
          <w:rFonts w:cs="Traditional Arabic" w:hint="cs"/>
          <w:color w:val="000000"/>
          <w:sz w:val="28"/>
          <w:szCs w:val="32"/>
          <w:rtl/>
        </w:rPr>
        <w:tab/>
      </w:r>
      <w:r>
        <w:rPr>
          <w:rFonts w:cs="Traditional Arabic" w:hint="cs"/>
          <w:color w:val="000000"/>
          <w:sz w:val="28"/>
          <w:szCs w:val="32"/>
          <w:rtl/>
        </w:rPr>
        <w:tab/>
        <w:t>719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شهر حق الاختصاص </w:t>
      </w:r>
      <w:r>
        <w:rPr>
          <w:rFonts w:cs="Traditional Arabic" w:hint="cs"/>
          <w:color w:val="000000"/>
          <w:sz w:val="28"/>
          <w:szCs w:val="32"/>
          <w:rtl/>
        </w:rPr>
        <w:tab/>
      </w:r>
      <w:r>
        <w:rPr>
          <w:rFonts w:cs="Traditional Arabic" w:hint="cs"/>
          <w:color w:val="000000"/>
          <w:sz w:val="28"/>
          <w:szCs w:val="32"/>
          <w:rtl/>
        </w:rPr>
        <w:tab/>
        <w:t>719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إجراءات شهر حق الاختصاص</w:t>
      </w:r>
      <w:r>
        <w:rPr>
          <w:rFonts w:cs="Traditional Arabic" w:hint="cs"/>
          <w:color w:val="000000"/>
          <w:sz w:val="28"/>
          <w:szCs w:val="32"/>
          <w:rtl/>
        </w:rPr>
        <w:tab/>
      </w:r>
      <w:r>
        <w:rPr>
          <w:rFonts w:cs="Traditional Arabic" w:hint="cs"/>
          <w:color w:val="000000"/>
          <w:sz w:val="28"/>
          <w:szCs w:val="32"/>
          <w:rtl/>
        </w:rPr>
        <w:tab/>
        <w:t>719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شهر أمر إنقاص الاختصاص</w:t>
      </w:r>
      <w:r>
        <w:rPr>
          <w:rFonts w:cs="Traditional Arabic" w:hint="cs"/>
          <w:color w:val="000000"/>
          <w:sz w:val="28"/>
          <w:szCs w:val="32"/>
          <w:rtl/>
        </w:rPr>
        <w:tab/>
      </w:r>
      <w:r>
        <w:rPr>
          <w:rFonts w:cs="Traditional Arabic" w:hint="cs"/>
          <w:color w:val="000000"/>
          <w:sz w:val="28"/>
          <w:szCs w:val="32"/>
          <w:rtl/>
        </w:rPr>
        <w:tab/>
        <w:t>720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أثر شهر حق الاختصاص</w:t>
      </w:r>
      <w:r>
        <w:rPr>
          <w:rFonts w:cs="Traditional Arabic" w:hint="cs"/>
          <w:color w:val="000000"/>
          <w:sz w:val="28"/>
          <w:szCs w:val="32"/>
          <w:rtl/>
        </w:rPr>
        <w:tab/>
      </w:r>
      <w:r>
        <w:rPr>
          <w:rFonts w:cs="Traditional Arabic" w:hint="cs"/>
          <w:color w:val="000000"/>
          <w:sz w:val="28"/>
          <w:szCs w:val="32"/>
          <w:rtl/>
        </w:rPr>
        <w:tab/>
        <w:t>720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القيد وتجديده ومحوه وإلغاء المحو</w:t>
      </w:r>
      <w:r>
        <w:rPr>
          <w:rFonts w:cs="Traditional Arabic" w:hint="cs"/>
          <w:color w:val="000000"/>
          <w:sz w:val="28"/>
          <w:szCs w:val="32"/>
          <w:rtl/>
        </w:rPr>
        <w:tab/>
      </w:r>
      <w:r>
        <w:rPr>
          <w:rFonts w:cs="Traditional Arabic" w:hint="cs"/>
          <w:color w:val="000000"/>
          <w:sz w:val="28"/>
          <w:szCs w:val="32"/>
          <w:rtl/>
        </w:rPr>
        <w:tab/>
        <w:t>721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التقدم</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721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التتبع</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721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قضاء الدين</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722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تطهير العقار</w:t>
      </w:r>
      <w:r>
        <w:rPr>
          <w:rFonts w:cs="Traditional Arabic" w:hint="cs"/>
          <w:color w:val="000000"/>
          <w:sz w:val="28"/>
          <w:szCs w:val="32"/>
          <w:rtl/>
        </w:rPr>
        <w:tab/>
      </w:r>
      <w:r>
        <w:rPr>
          <w:rFonts w:cs="Traditional Arabic" w:hint="cs"/>
          <w:color w:val="000000"/>
          <w:sz w:val="28"/>
          <w:szCs w:val="32"/>
          <w:rtl/>
        </w:rPr>
        <w:tab/>
        <w:t>722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تخلية العقار</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724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تحمل إجراءات نزع الملكية</w:t>
      </w:r>
      <w:r>
        <w:rPr>
          <w:rFonts w:cs="Traditional Arabic" w:hint="cs"/>
          <w:color w:val="000000"/>
          <w:sz w:val="28"/>
          <w:szCs w:val="32"/>
          <w:rtl/>
        </w:rPr>
        <w:tab/>
      </w:r>
      <w:r>
        <w:rPr>
          <w:rFonts w:cs="Traditional Arabic" w:hint="cs"/>
          <w:color w:val="000000"/>
          <w:sz w:val="28"/>
          <w:szCs w:val="32"/>
          <w:rtl/>
        </w:rPr>
        <w:tab/>
        <w:t>725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نصوص حذفت </w:t>
      </w:r>
      <w:r>
        <w:rPr>
          <w:rFonts w:cs="Traditional Arabic" w:hint="cs"/>
          <w:color w:val="000000"/>
          <w:sz w:val="28"/>
          <w:szCs w:val="32"/>
          <w:rtl/>
        </w:rPr>
        <w:tab/>
      </w:r>
      <w:r>
        <w:rPr>
          <w:rFonts w:cs="Traditional Arabic" w:hint="cs"/>
          <w:color w:val="000000"/>
          <w:sz w:val="28"/>
          <w:szCs w:val="32"/>
          <w:rtl/>
        </w:rPr>
        <w:tab/>
        <w:t>726</w:t>
      </w:r>
    </w:p>
    <w:p w:rsidR="00F72742" w:rsidRPr="00460B18" w:rsidRDefault="00F72742" w:rsidP="00F72742">
      <w:pPr>
        <w:widowControl w:val="0"/>
        <w:tabs>
          <w:tab w:val="left" w:pos="404"/>
          <w:tab w:val="left" w:pos="764"/>
          <w:tab w:val="left" w:pos="944"/>
          <w:tab w:val="left" w:leader="dot" w:pos="7604"/>
          <w:tab w:val="left" w:pos="7964"/>
        </w:tabs>
        <w:jc w:val="lowKashida"/>
        <w:rPr>
          <w:rFonts w:cs="Traditional Arabic" w:hint="cs"/>
          <w:b/>
          <w:bCs/>
          <w:color w:val="000000"/>
          <w:sz w:val="28"/>
          <w:szCs w:val="32"/>
          <w:rtl/>
        </w:rPr>
      </w:pPr>
      <w:r w:rsidRPr="00460B18">
        <w:rPr>
          <w:rFonts w:cs="Traditional Arabic" w:hint="cs"/>
          <w:b/>
          <w:bCs/>
          <w:color w:val="000000"/>
          <w:sz w:val="28"/>
          <w:szCs w:val="32"/>
          <w:rtl/>
        </w:rPr>
        <w:t xml:space="preserve">الفصل الثالث </w:t>
      </w:r>
      <w:r w:rsidRPr="00460B18">
        <w:rPr>
          <w:rFonts w:cs="Traditional Arabic"/>
          <w:b/>
          <w:bCs/>
          <w:color w:val="000000"/>
          <w:sz w:val="28"/>
          <w:szCs w:val="32"/>
          <w:rtl/>
        </w:rPr>
        <w:t>–</w:t>
      </w:r>
      <w:r w:rsidRPr="00460B18">
        <w:rPr>
          <w:rFonts w:cs="Traditional Arabic" w:hint="cs"/>
          <w:b/>
          <w:bCs/>
          <w:color w:val="000000"/>
          <w:sz w:val="28"/>
          <w:szCs w:val="32"/>
          <w:rtl/>
        </w:rPr>
        <w:t xml:space="preserve"> إنقاص حق الاختصاص وانقضاؤه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الإنقاص والانقضاء </w:t>
      </w:r>
      <w:r>
        <w:rPr>
          <w:rFonts w:cs="Traditional Arabic" w:hint="cs"/>
          <w:color w:val="000000"/>
          <w:sz w:val="28"/>
          <w:szCs w:val="32"/>
          <w:rtl/>
        </w:rPr>
        <w:tab/>
      </w:r>
      <w:r>
        <w:rPr>
          <w:rFonts w:cs="Traditional Arabic" w:hint="cs"/>
          <w:color w:val="000000"/>
          <w:sz w:val="28"/>
          <w:szCs w:val="32"/>
          <w:rtl/>
        </w:rPr>
        <w:tab/>
        <w:t>728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إنقاص حق الاختصاص</w:t>
      </w:r>
      <w:r>
        <w:rPr>
          <w:rFonts w:cs="Traditional Arabic" w:hint="cs"/>
          <w:color w:val="000000"/>
          <w:sz w:val="28"/>
          <w:szCs w:val="32"/>
          <w:rtl/>
        </w:rPr>
        <w:tab/>
      </w:r>
      <w:r>
        <w:rPr>
          <w:rFonts w:cs="Traditional Arabic" w:hint="cs"/>
          <w:color w:val="000000"/>
          <w:sz w:val="28"/>
          <w:szCs w:val="32"/>
          <w:rtl/>
        </w:rPr>
        <w:tab/>
        <w:t>729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729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الأسباب التي تدعو إلى إنقاص حق الاختصاص</w:t>
      </w:r>
      <w:r>
        <w:rPr>
          <w:rFonts w:cs="Traditional Arabic" w:hint="cs"/>
          <w:color w:val="000000"/>
          <w:sz w:val="28"/>
          <w:szCs w:val="32"/>
          <w:rtl/>
        </w:rPr>
        <w:tab/>
      </w:r>
      <w:r>
        <w:rPr>
          <w:rFonts w:cs="Traditional Arabic" w:hint="cs"/>
          <w:color w:val="000000"/>
          <w:sz w:val="28"/>
          <w:szCs w:val="32"/>
          <w:rtl/>
        </w:rPr>
        <w:tab/>
        <w:t>731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الوسائل التي لدى المدين أو غيره للإنقاص</w:t>
      </w:r>
      <w:r>
        <w:rPr>
          <w:rFonts w:cs="Traditional Arabic" w:hint="cs"/>
          <w:color w:val="000000"/>
          <w:sz w:val="28"/>
          <w:szCs w:val="32"/>
          <w:rtl/>
        </w:rPr>
        <w:tab/>
      </w:r>
      <w:r>
        <w:rPr>
          <w:rFonts w:cs="Traditional Arabic" w:hint="cs"/>
          <w:color w:val="000000"/>
          <w:sz w:val="28"/>
          <w:szCs w:val="32"/>
          <w:rtl/>
        </w:rPr>
        <w:tab/>
        <w:t>731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المدعي في الدعوى الأصلية بالإنقاص</w:t>
      </w:r>
      <w:r>
        <w:rPr>
          <w:rFonts w:cs="Traditional Arabic" w:hint="cs"/>
          <w:color w:val="000000"/>
          <w:sz w:val="28"/>
          <w:szCs w:val="32"/>
          <w:rtl/>
        </w:rPr>
        <w:tab/>
      </w:r>
      <w:r>
        <w:rPr>
          <w:rFonts w:cs="Traditional Arabic" w:hint="cs"/>
          <w:color w:val="000000"/>
          <w:sz w:val="28"/>
          <w:szCs w:val="32"/>
          <w:rtl/>
        </w:rPr>
        <w:tab/>
        <w:t>732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مصروفات الإنقاص</w:t>
      </w:r>
      <w:r>
        <w:rPr>
          <w:rFonts w:cs="Traditional Arabic" w:hint="cs"/>
          <w:color w:val="000000"/>
          <w:sz w:val="28"/>
          <w:szCs w:val="32"/>
          <w:rtl/>
        </w:rPr>
        <w:tab/>
      </w:r>
      <w:r>
        <w:rPr>
          <w:rFonts w:cs="Traditional Arabic" w:hint="cs"/>
          <w:color w:val="000000"/>
          <w:sz w:val="28"/>
          <w:szCs w:val="32"/>
          <w:rtl/>
        </w:rPr>
        <w:tab/>
        <w:t>733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الاتفاق مع الدائن على الإنقاص</w:t>
      </w:r>
      <w:r>
        <w:rPr>
          <w:rFonts w:cs="Traditional Arabic" w:hint="cs"/>
          <w:color w:val="000000"/>
          <w:sz w:val="28"/>
          <w:szCs w:val="32"/>
          <w:rtl/>
        </w:rPr>
        <w:tab/>
      </w:r>
      <w:r>
        <w:rPr>
          <w:rFonts w:cs="Traditional Arabic" w:hint="cs"/>
          <w:color w:val="000000"/>
          <w:sz w:val="28"/>
          <w:szCs w:val="32"/>
          <w:rtl/>
        </w:rPr>
        <w:tab/>
        <w:t>734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نصوص حذفت </w:t>
      </w:r>
      <w:r>
        <w:rPr>
          <w:rFonts w:cs="Traditional Arabic" w:hint="cs"/>
          <w:color w:val="000000"/>
          <w:sz w:val="28"/>
          <w:szCs w:val="32"/>
          <w:rtl/>
        </w:rPr>
        <w:tab/>
      </w:r>
      <w:r>
        <w:rPr>
          <w:rFonts w:cs="Traditional Arabic" w:hint="cs"/>
          <w:color w:val="000000"/>
          <w:sz w:val="28"/>
          <w:szCs w:val="32"/>
          <w:rtl/>
        </w:rPr>
        <w:tab/>
        <w:t>735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$1039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انقضاء حق الاختصاص</w:t>
      </w:r>
      <w:r>
        <w:rPr>
          <w:rFonts w:cs="Traditional Arabic" w:hint="cs"/>
          <w:color w:val="000000"/>
          <w:sz w:val="28"/>
          <w:szCs w:val="32"/>
          <w:rtl/>
        </w:rPr>
        <w:tab/>
      </w:r>
      <w:r>
        <w:rPr>
          <w:rFonts w:cs="Traditional Arabic" w:hint="cs"/>
          <w:color w:val="000000"/>
          <w:sz w:val="28"/>
          <w:szCs w:val="32"/>
          <w:rtl/>
        </w:rPr>
        <w:tab/>
        <w:t>736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انقضاء حق الاختصاص كانقضاء الرهن الرسمي</w:t>
      </w:r>
      <w:r>
        <w:rPr>
          <w:rFonts w:cs="Traditional Arabic" w:hint="cs"/>
          <w:color w:val="000000"/>
          <w:sz w:val="28"/>
          <w:szCs w:val="32"/>
          <w:rtl/>
        </w:rPr>
        <w:tab/>
      </w:r>
      <w:r>
        <w:rPr>
          <w:rFonts w:cs="Traditional Arabic" w:hint="cs"/>
          <w:color w:val="000000"/>
          <w:sz w:val="28"/>
          <w:szCs w:val="32"/>
          <w:rtl/>
        </w:rPr>
        <w:tab/>
        <w:t>736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الانقضاء يتم بالاتفاق</w:t>
      </w:r>
      <w:r>
        <w:rPr>
          <w:rFonts w:cs="Traditional Arabic" w:hint="cs"/>
          <w:color w:val="000000"/>
          <w:sz w:val="28"/>
          <w:szCs w:val="32"/>
          <w:rtl/>
        </w:rPr>
        <w:tab/>
      </w:r>
      <w:r>
        <w:rPr>
          <w:rFonts w:cs="Traditional Arabic" w:hint="cs"/>
          <w:color w:val="000000"/>
          <w:sz w:val="28"/>
          <w:szCs w:val="32"/>
          <w:rtl/>
        </w:rPr>
        <w:tab/>
        <w:t>736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الانقضاء يتم بطريق تبعي</w:t>
      </w:r>
      <w:r>
        <w:rPr>
          <w:rFonts w:cs="Traditional Arabic" w:hint="cs"/>
          <w:color w:val="000000"/>
          <w:sz w:val="28"/>
          <w:szCs w:val="32"/>
          <w:rtl/>
        </w:rPr>
        <w:tab/>
      </w:r>
      <w:r>
        <w:rPr>
          <w:rFonts w:cs="Traditional Arabic" w:hint="cs"/>
          <w:color w:val="000000"/>
          <w:sz w:val="28"/>
          <w:szCs w:val="32"/>
          <w:rtl/>
        </w:rPr>
        <w:tab/>
        <w:t>736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الانقضاء يتم بطريق أصلي</w:t>
      </w:r>
      <w:r>
        <w:rPr>
          <w:rFonts w:cs="Traditional Arabic" w:hint="cs"/>
          <w:color w:val="000000"/>
          <w:sz w:val="28"/>
          <w:szCs w:val="32"/>
          <w:rtl/>
        </w:rPr>
        <w:tab/>
      </w:r>
      <w:r>
        <w:rPr>
          <w:rFonts w:cs="Traditional Arabic" w:hint="cs"/>
          <w:color w:val="000000"/>
          <w:sz w:val="28"/>
          <w:szCs w:val="32"/>
          <w:rtl/>
        </w:rPr>
        <w:tab/>
        <w:t>737</w:t>
      </w:r>
    </w:p>
    <w:p w:rsidR="00F72742" w:rsidRPr="00505FC4"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505FC4">
        <w:rPr>
          <w:rFonts w:cs="Traditional Arabic" w:hint="cs"/>
          <w:b/>
          <w:bCs/>
          <w:color w:val="000000"/>
          <w:sz w:val="28"/>
          <w:szCs w:val="32"/>
          <w:rtl/>
        </w:rPr>
        <w:t xml:space="preserve">الباب الثالث </w:t>
      </w:r>
      <w:r w:rsidRPr="00505FC4">
        <w:rPr>
          <w:rFonts w:cs="Traditional Arabic"/>
          <w:b/>
          <w:bCs/>
          <w:color w:val="000000"/>
          <w:sz w:val="28"/>
          <w:szCs w:val="32"/>
          <w:rtl/>
        </w:rPr>
        <w:t>–</w:t>
      </w:r>
      <w:r w:rsidRPr="00505FC4">
        <w:rPr>
          <w:rFonts w:cs="Traditional Arabic" w:hint="cs"/>
          <w:b/>
          <w:bCs/>
          <w:color w:val="000000"/>
          <w:sz w:val="28"/>
          <w:szCs w:val="32"/>
          <w:rtl/>
        </w:rPr>
        <w:t xml:space="preserve"> الرهن الحيازي</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تمهيد</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738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تعريف الرهن الحيازي</w:t>
      </w:r>
      <w:r>
        <w:rPr>
          <w:rFonts w:cs="Traditional Arabic" w:hint="cs"/>
          <w:color w:val="000000"/>
          <w:sz w:val="28"/>
          <w:szCs w:val="32"/>
          <w:rtl/>
        </w:rPr>
        <w:tab/>
      </w:r>
      <w:r>
        <w:rPr>
          <w:rFonts w:cs="Traditional Arabic" w:hint="cs"/>
          <w:color w:val="000000"/>
          <w:sz w:val="28"/>
          <w:szCs w:val="32"/>
          <w:rtl/>
        </w:rPr>
        <w:tab/>
        <w:t>738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خصائص عقد الرهن الحيازي</w:t>
      </w:r>
      <w:r>
        <w:rPr>
          <w:rFonts w:cs="Traditional Arabic" w:hint="cs"/>
          <w:color w:val="000000"/>
          <w:sz w:val="28"/>
          <w:szCs w:val="32"/>
          <w:rtl/>
        </w:rPr>
        <w:tab/>
      </w:r>
      <w:r>
        <w:rPr>
          <w:rFonts w:cs="Traditional Arabic" w:hint="cs"/>
          <w:color w:val="000000"/>
          <w:sz w:val="28"/>
          <w:szCs w:val="32"/>
          <w:rtl/>
        </w:rPr>
        <w:tab/>
        <w:t>741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الرهن الحيازي عقد رضائي ملزم للجانبين </w:t>
      </w:r>
      <w:r>
        <w:rPr>
          <w:rFonts w:cs="Traditional Arabic" w:hint="cs"/>
          <w:color w:val="000000"/>
          <w:sz w:val="28"/>
          <w:szCs w:val="32"/>
          <w:rtl/>
        </w:rPr>
        <w:tab/>
      </w:r>
      <w:r>
        <w:rPr>
          <w:rFonts w:cs="Traditional Arabic" w:hint="cs"/>
          <w:color w:val="000000"/>
          <w:sz w:val="28"/>
          <w:szCs w:val="32"/>
          <w:rtl/>
        </w:rPr>
        <w:tab/>
        <w:t>741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الرهن الحيازي عقد تابع</w:t>
      </w:r>
      <w:r>
        <w:rPr>
          <w:rFonts w:cs="Traditional Arabic" w:hint="cs"/>
          <w:color w:val="000000"/>
          <w:sz w:val="28"/>
          <w:szCs w:val="32"/>
          <w:rtl/>
        </w:rPr>
        <w:tab/>
      </w:r>
      <w:r>
        <w:rPr>
          <w:rFonts w:cs="Traditional Arabic" w:hint="cs"/>
          <w:color w:val="000000"/>
          <w:sz w:val="28"/>
          <w:szCs w:val="32"/>
          <w:rtl/>
        </w:rPr>
        <w:tab/>
        <w:t>742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الرهن الحيازي عقد غير قابل للتجزئة</w:t>
      </w:r>
      <w:r>
        <w:rPr>
          <w:rFonts w:cs="Traditional Arabic" w:hint="cs"/>
          <w:color w:val="000000"/>
          <w:sz w:val="28"/>
          <w:szCs w:val="32"/>
          <w:rtl/>
        </w:rPr>
        <w:tab/>
      </w:r>
      <w:r>
        <w:rPr>
          <w:rFonts w:cs="Traditional Arabic" w:hint="cs"/>
          <w:color w:val="000000"/>
          <w:sz w:val="28"/>
          <w:szCs w:val="32"/>
          <w:rtl/>
        </w:rPr>
        <w:tab/>
        <w:t>744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الرهن الحيازي والرهن الرسمي</w:t>
      </w:r>
      <w:r>
        <w:rPr>
          <w:rFonts w:cs="Traditional Arabic" w:hint="cs"/>
          <w:color w:val="000000"/>
          <w:sz w:val="28"/>
          <w:szCs w:val="32"/>
          <w:rtl/>
        </w:rPr>
        <w:tab/>
      </w:r>
      <w:r>
        <w:rPr>
          <w:rFonts w:cs="Traditional Arabic" w:hint="cs"/>
          <w:color w:val="000000"/>
          <w:sz w:val="28"/>
          <w:szCs w:val="32"/>
          <w:rtl/>
        </w:rPr>
        <w:tab/>
        <w:t>746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الرهن الحيازي في مصر</w:t>
      </w:r>
      <w:r>
        <w:rPr>
          <w:rFonts w:cs="Traditional Arabic" w:hint="cs"/>
          <w:color w:val="000000"/>
          <w:sz w:val="28"/>
          <w:szCs w:val="32"/>
          <w:rtl/>
        </w:rPr>
        <w:tab/>
      </w:r>
      <w:r>
        <w:rPr>
          <w:rFonts w:cs="Traditional Arabic" w:hint="cs"/>
          <w:color w:val="000000"/>
          <w:sz w:val="28"/>
          <w:szCs w:val="32"/>
          <w:rtl/>
        </w:rPr>
        <w:tab/>
        <w:t>747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نظرة عامة من المذكرة الإيضاحية</w:t>
      </w:r>
      <w:r>
        <w:rPr>
          <w:rFonts w:cs="Traditional Arabic" w:hint="cs"/>
          <w:color w:val="000000"/>
          <w:sz w:val="28"/>
          <w:szCs w:val="32"/>
          <w:rtl/>
        </w:rPr>
        <w:tab/>
      </w:r>
      <w:r>
        <w:rPr>
          <w:rFonts w:cs="Traditional Arabic" w:hint="cs"/>
          <w:color w:val="000000"/>
          <w:sz w:val="28"/>
          <w:szCs w:val="32"/>
          <w:rtl/>
        </w:rPr>
        <w:tab/>
        <w:t>748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خطة البحث</w:t>
      </w:r>
      <w:r>
        <w:rPr>
          <w:rFonts w:cs="Traditional Arabic" w:hint="cs"/>
          <w:color w:val="000000"/>
          <w:sz w:val="28"/>
          <w:szCs w:val="32"/>
          <w:rtl/>
        </w:rPr>
        <w:tab/>
      </w:r>
      <w:r>
        <w:rPr>
          <w:rFonts w:cs="Traditional Arabic" w:hint="cs"/>
          <w:color w:val="000000"/>
          <w:sz w:val="28"/>
          <w:szCs w:val="32"/>
          <w:rtl/>
        </w:rPr>
        <w:tab/>
        <w:t>750</w:t>
      </w:r>
    </w:p>
    <w:p w:rsidR="00F72742" w:rsidRPr="00250706"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250706">
        <w:rPr>
          <w:rFonts w:cs="Traditional Arabic" w:hint="cs"/>
          <w:b/>
          <w:bCs/>
          <w:color w:val="000000"/>
          <w:sz w:val="28"/>
          <w:szCs w:val="32"/>
          <w:rtl/>
        </w:rPr>
        <w:t xml:space="preserve">الفصل الأول </w:t>
      </w:r>
      <w:r w:rsidRPr="00250706">
        <w:rPr>
          <w:rFonts w:cs="Traditional Arabic"/>
          <w:b/>
          <w:bCs/>
          <w:color w:val="000000"/>
          <w:sz w:val="28"/>
          <w:szCs w:val="32"/>
          <w:rtl/>
        </w:rPr>
        <w:t>–</w:t>
      </w:r>
      <w:r w:rsidRPr="00250706">
        <w:rPr>
          <w:rFonts w:cs="Traditional Arabic" w:hint="cs"/>
          <w:b/>
          <w:bCs/>
          <w:color w:val="000000"/>
          <w:sz w:val="28"/>
          <w:szCs w:val="32"/>
          <w:rtl/>
        </w:rPr>
        <w:t xml:space="preserve"> إنشاء الرهن الحيازي</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عقد الرهن الحيازي عقد رضائي </w:t>
      </w:r>
      <w:r>
        <w:rPr>
          <w:rFonts w:cs="Traditional Arabic" w:hint="cs"/>
          <w:color w:val="000000"/>
          <w:sz w:val="28"/>
          <w:szCs w:val="32"/>
          <w:rtl/>
        </w:rPr>
        <w:tab/>
      </w:r>
      <w:r>
        <w:rPr>
          <w:rFonts w:cs="Traditional Arabic" w:hint="cs"/>
          <w:color w:val="000000"/>
          <w:sz w:val="28"/>
          <w:szCs w:val="32"/>
          <w:rtl/>
        </w:rPr>
        <w:tab/>
        <w:t>751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المتعاقدان </w:t>
      </w:r>
      <w:r>
        <w:rPr>
          <w:rFonts w:cs="Traditional Arabic" w:hint="cs"/>
          <w:color w:val="000000"/>
          <w:sz w:val="28"/>
          <w:szCs w:val="32"/>
          <w:rtl/>
        </w:rPr>
        <w:tab/>
      </w:r>
      <w:r>
        <w:rPr>
          <w:rFonts w:cs="Traditional Arabic" w:hint="cs"/>
          <w:color w:val="000000"/>
          <w:sz w:val="28"/>
          <w:szCs w:val="32"/>
          <w:rtl/>
        </w:rPr>
        <w:tab/>
        <w:t>751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الراهن قد يكون المدين أو كفيلا عينياً </w:t>
      </w:r>
      <w:r>
        <w:rPr>
          <w:rFonts w:cs="Traditional Arabic" w:hint="cs"/>
          <w:color w:val="000000"/>
          <w:sz w:val="28"/>
          <w:szCs w:val="32"/>
          <w:rtl/>
        </w:rPr>
        <w:tab/>
      </w:r>
      <w:r>
        <w:rPr>
          <w:rFonts w:cs="Traditional Arabic" w:hint="cs"/>
          <w:color w:val="000000"/>
          <w:sz w:val="28"/>
          <w:szCs w:val="32"/>
          <w:rtl/>
        </w:rPr>
        <w:tab/>
        <w:t>751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تطبيق القواعد العامة بالنسبة إلى الدائن المرتهن</w:t>
      </w:r>
      <w:r>
        <w:rPr>
          <w:rFonts w:cs="Traditional Arabic" w:hint="cs"/>
          <w:color w:val="000000"/>
          <w:sz w:val="28"/>
          <w:szCs w:val="32"/>
          <w:rtl/>
        </w:rPr>
        <w:tab/>
      </w:r>
      <w:r>
        <w:rPr>
          <w:rFonts w:cs="Traditional Arabic" w:hint="cs"/>
          <w:color w:val="000000"/>
          <w:sz w:val="28"/>
          <w:szCs w:val="32"/>
          <w:rtl/>
        </w:rPr>
        <w:tab/>
        <w:t>752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$1040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الراهن يجب أيضاً أن يكون كامل الأهلية </w:t>
      </w:r>
      <w:r>
        <w:rPr>
          <w:rFonts w:cs="Traditional Arabic" w:hint="cs"/>
          <w:color w:val="000000"/>
          <w:sz w:val="28"/>
          <w:szCs w:val="32"/>
          <w:rtl/>
        </w:rPr>
        <w:tab/>
      </w:r>
      <w:r>
        <w:rPr>
          <w:rFonts w:cs="Traditional Arabic" w:hint="cs"/>
          <w:color w:val="000000"/>
          <w:sz w:val="28"/>
          <w:szCs w:val="32"/>
          <w:rtl/>
        </w:rPr>
        <w:tab/>
        <w:t>752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الراهن يجب أن يكون مالكاً للشيء المرهون وأهلا للتصرف فيه </w:t>
      </w:r>
      <w:r>
        <w:rPr>
          <w:rFonts w:cs="Traditional Arabic" w:hint="cs"/>
          <w:color w:val="000000"/>
          <w:sz w:val="28"/>
          <w:szCs w:val="32"/>
          <w:rtl/>
        </w:rPr>
        <w:tab/>
      </w:r>
      <w:r>
        <w:rPr>
          <w:rFonts w:cs="Traditional Arabic" w:hint="cs"/>
          <w:color w:val="000000"/>
          <w:sz w:val="28"/>
          <w:szCs w:val="32"/>
          <w:rtl/>
        </w:rPr>
        <w:tab/>
        <w:t>753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فيه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753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وجوب أن يكون الراهن حيازة مالكاً للمال المرهون</w:t>
      </w:r>
      <w:r>
        <w:rPr>
          <w:rFonts w:cs="Traditional Arabic" w:hint="cs"/>
          <w:color w:val="000000"/>
          <w:sz w:val="28"/>
          <w:szCs w:val="32"/>
          <w:rtl/>
        </w:rPr>
        <w:tab/>
      </w:r>
      <w:r>
        <w:rPr>
          <w:rFonts w:cs="Traditional Arabic" w:hint="cs"/>
          <w:color w:val="000000"/>
          <w:sz w:val="28"/>
          <w:szCs w:val="32"/>
          <w:rtl/>
        </w:rPr>
        <w:tab/>
        <w:t>753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رهن ملك الغير رهن حيازة </w:t>
      </w:r>
      <w:r>
        <w:rPr>
          <w:rFonts w:cs="Traditional Arabic" w:hint="cs"/>
          <w:color w:val="000000"/>
          <w:sz w:val="28"/>
          <w:szCs w:val="32"/>
          <w:rtl/>
        </w:rPr>
        <w:tab/>
      </w:r>
      <w:r>
        <w:rPr>
          <w:rFonts w:cs="Traditional Arabic" w:hint="cs"/>
          <w:color w:val="000000"/>
          <w:sz w:val="28"/>
          <w:szCs w:val="32"/>
          <w:rtl/>
        </w:rPr>
        <w:tab/>
        <w:t>755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رهن المال المستقبل رهن حيازة </w:t>
      </w:r>
      <w:r>
        <w:rPr>
          <w:rFonts w:cs="Traditional Arabic" w:hint="cs"/>
          <w:color w:val="000000"/>
          <w:sz w:val="28"/>
          <w:szCs w:val="32"/>
          <w:rtl/>
        </w:rPr>
        <w:tab/>
      </w:r>
      <w:r>
        <w:rPr>
          <w:rFonts w:cs="Traditional Arabic" w:hint="cs"/>
          <w:color w:val="000000"/>
          <w:sz w:val="28"/>
          <w:szCs w:val="32"/>
          <w:rtl/>
        </w:rPr>
        <w:tab/>
        <w:t>758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أهلية الراهن حيازة للتصرف في المال المرهون</w:t>
      </w:r>
      <w:r>
        <w:rPr>
          <w:rFonts w:cs="Traditional Arabic" w:hint="cs"/>
          <w:color w:val="000000"/>
          <w:sz w:val="28"/>
          <w:szCs w:val="32"/>
          <w:rtl/>
        </w:rPr>
        <w:tab/>
      </w:r>
      <w:r>
        <w:rPr>
          <w:rFonts w:cs="Traditional Arabic" w:hint="cs"/>
          <w:color w:val="000000"/>
          <w:sz w:val="28"/>
          <w:szCs w:val="32"/>
          <w:rtl/>
        </w:rPr>
        <w:tab/>
        <w:t>760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المال المرهون </w:t>
      </w:r>
      <w:r>
        <w:rPr>
          <w:rFonts w:cs="Traditional Arabic" w:hint="cs"/>
          <w:color w:val="000000"/>
          <w:sz w:val="28"/>
          <w:szCs w:val="32"/>
          <w:rtl/>
        </w:rPr>
        <w:tab/>
      </w:r>
      <w:r>
        <w:rPr>
          <w:rFonts w:cs="Traditional Arabic" w:hint="cs"/>
          <w:color w:val="000000"/>
          <w:sz w:val="28"/>
          <w:szCs w:val="32"/>
          <w:rtl/>
        </w:rPr>
        <w:tab/>
        <w:t>761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المال المرهون رهن حيازة قد يكون عقاراً أو منقولا أو ديناً </w:t>
      </w:r>
      <w:r>
        <w:rPr>
          <w:rFonts w:cs="Traditional Arabic" w:hint="cs"/>
          <w:color w:val="000000"/>
          <w:sz w:val="28"/>
          <w:szCs w:val="32"/>
          <w:rtl/>
        </w:rPr>
        <w:tab/>
      </w:r>
      <w:r>
        <w:rPr>
          <w:rFonts w:cs="Traditional Arabic" w:hint="cs"/>
          <w:color w:val="000000"/>
          <w:sz w:val="28"/>
          <w:szCs w:val="32"/>
          <w:rtl/>
        </w:rPr>
        <w:tab/>
        <w:t>761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محل رهن الحيازة يمكن بيعه استقلالا بالمزاد العلني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762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قاعدة التخصيص في الرهن الحيازي</w:t>
      </w:r>
      <w:r>
        <w:rPr>
          <w:rFonts w:cs="Traditional Arabic" w:hint="cs"/>
          <w:color w:val="000000"/>
          <w:sz w:val="28"/>
          <w:szCs w:val="32"/>
          <w:rtl/>
        </w:rPr>
        <w:tab/>
      </w:r>
      <w:r>
        <w:rPr>
          <w:rFonts w:cs="Traditional Arabic" w:hint="cs"/>
          <w:color w:val="000000"/>
          <w:sz w:val="28"/>
          <w:szCs w:val="32"/>
          <w:rtl/>
        </w:rPr>
        <w:tab/>
        <w:t>765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زوال ملكية الراهن بأثر رجعي </w:t>
      </w:r>
      <w:r>
        <w:rPr>
          <w:rFonts w:cs="Traditional Arabic" w:hint="cs"/>
          <w:color w:val="000000"/>
          <w:sz w:val="28"/>
          <w:szCs w:val="32"/>
          <w:rtl/>
        </w:rPr>
        <w:tab/>
      </w:r>
      <w:r>
        <w:rPr>
          <w:rFonts w:cs="Traditional Arabic" w:hint="cs"/>
          <w:color w:val="000000"/>
          <w:sz w:val="28"/>
          <w:szCs w:val="32"/>
          <w:rtl/>
        </w:rPr>
        <w:tab/>
        <w:t>768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ملحقات الشيء المرهون وثماره </w:t>
      </w:r>
      <w:r>
        <w:rPr>
          <w:rFonts w:cs="Traditional Arabic" w:hint="cs"/>
          <w:color w:val="000000"/>
          <w:sz w:val="28"/>
          <w:szCs w:val="32"/>
          <w:rtl/>
        </w:rPr>
        <w:tab/>
      </w:r>
      <w:r>
        <w:rPr>
          <w:rFonts w:cs="Traditional Arabic" w:hint="cs"/>
          <w:color w:val="000000"/>
          <w:sz w:val="28"/>
          <w:szCs w:val="32"/>
          <w:rtl/>
        </w:rPr>
        <w:tab/>
        <w:t>770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الثالث </w:t>
      </w:r>
      <w:r>
        <w:rPr>
          <w:rFonts w:cs="Traditional Arabic"/>
          <w:color w:val="000000"/>
          <w:sz w:val="28"/>
          <w:szCs w:val="32"/>
          <w:rtl/>
        </w:rPr>
        <w:t>–</w:t>
      </w:r>
      <w:r>
        <w:rPr>
          <w:rFonts w:cs="Traditional Arabic" w:hint="cs"/>
          <w:color w:val="000000"/>
          <w:sz w:val="28"/>
          <w:szCs w:val="32"/>
          <w:rtl/>
        </w:rPr>
        <w:t xml:space="preserve"> الدين المضمون </w:t>
      </w:r>
      <w:r>
        <w:rPr>
          <w:rFonts w:cs="Traditional Arabic" w:hint="cs"/>
          <w:color w:val="000000"/>
          <w:sz w:val="28"/>
          <w:szCs w:val="32"/>
          <w:rtl/>
        </w:rPr>
        <w:tab/>
      </w:r>
      <w:r>
        <w:rPr>
          <w:rFonts w:cs="Traditional Arabic" w:hint="cs"/>
          <w:color w:val="000000"/>
          <w:sz w:val="28"/>
          <w:szCs w:val="32"/>
          <w:rtl/>
        </w:rPr>
        <w:tab/>
        <w:t>773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773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قاعدة التخصيص لا تنطبق أيضاً على لمدين المضمون في رهن الحيازة </w:t>
      </w:r>
      <w:r>
        <w:rPr>
          <w:rFonts w:cs="Traditional Arabic" w:hint="cs"/>
          <w:color w:val="000000"/>
          <w:sz w:val="28"/>
          <w:szCs w:val="32"/>
          <w:rtl/>
        </w:rPr>
        <w:tab/>
      </w:r>
      <w:r>
        <w:rPr>
          <w:rFonts w:cs="Traditional Arabic" w:hint="cs"/>
          <w:color w:val="000000"/>
          <w:sz w:val="28"/>
          <w:szCs w:val="32"/>
          <w:rtl/>
        </w:rPr>
        <w:tab/>
        <w:t>774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تحديد الدين المضمون</w:t>
      </w:r>
      <w:r>
        <w:rPr>
          <w:rFonts w:cs="Traditional Arabic" w:hint="cs"/>
          <w:color w:val="000000"/>
          <w:sz w:val="28"/>
          <w:szCs w:val="32"/>
          <w:rtl/>
        </w:rPr>
        <w:tab/>
      </w:r>
      <w:r>
        <w:rPr>
          <w:rFonts w:cs="Traditional Arabic" w:hint="cs"/>
          <w:color w:val="000000"/>
          <w:sz w:val="28"/>
          <w:szCs w:val="32"/>
          <w:rtl/>
        </w:rPr>
        <w:tab/>
        <w:t>775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كل جزء من الشيء المرهون ضامن لكل الدين وكل جزء من الدين مضمون بكل المرهون رهن حيازة 777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$1041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عدم انفصال الرهن عن الدين المضمون </w:t>
      </w:r>
      <w:r>
        <w:rPr>
          <w:rFonts w:cs="Traditional Arabic" w:hint="cs"/>
          <w:color w:val="000000"/>
          <w:sz w:val="28"/>
          <w:szCs w:val="32"/>
          <w:rtl/>
        </w:rPr>
        <w:tab/>
      </w:r>
      <w:r>
        <w:rPr>
          <w:rFonts w:cs="Traditional Arabic" w:hint="cs"/>
          <w:color w:val="000000"/>
          <w:sz w:val="28"/>
          <w:szCs w:val="32"/>
          <w:rtl/>
        </w:rPr>
        <w:tab/>
        <w:t>779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الرهن التجاري </w:t>
      </w:r>
      <w:r>
        <w:rPr>
          <w:rFonts w:cs="Traditional Arabic" w:hint="cs"/>
          <w:color w:val="000000"/>
          <w:sz w:val="28"/>
          <w:szCs w:val="32"/>
          <w:rtl/>
        </w:rPr>
        <w:tab/>
      </w:r>
      <w:r>
        <w:rPr>
          <w:rFonts w:cs="Traditional Arabic" w:hint="cs"/>
          <w:color w:val="000000"/>
          <w:sz w:val="28"/>
          <w:szCs w:val="32"/>
          <w:rtl/>
        </w:rPr>
        <w:tab/>
        <w:t>782</w:t>
      </w:r>
    </w:p>
    <w:p w:rsidR="00F72742" w:rsidRPr="00D06E92"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D06E92">
        <w:rPr>
          <w:rFonts w:cs="Traditional Arabic" w:hint="cs"/>
          <w:b/>
          <w:bCs/>
          <w:color w:val="000000"/>
          <w:sz w:val="28"/>
          <w:szCs w:val="32"/>
          <w:rtl/>
        </w:rPr>
        <w:t xml:space="preserve">الفصل الثاني </w:t>
      </w:r>
      <w:r w:rsidRPr="00D06E92">
        <w:rPr>
          <w:rFonts w:cs="Traditional Arabic"/>
          <w:b/>
          <w:bCs/>
          <w:color w:val="000000"/>
          <w:sz w:val="28"/>
          <w:szCs w:val="32"/>
          <w:rtl/>
        </w:rPr>
        <w:t>–</w:t>
      </w:r>
      <w:r w:rsidRPr="00D06E92">
        <w:rPr>
          <w:rFonts w:cs="Traditional Arabic" w:hint="cs"/>
          <w:b/>
          <w:bCs/>
          <w:color w:val="000000"/>
          <w:sz w:val="28"/>
          <w:szCs w:val="32"/>
          <w:rtl/>
        </w:rPr>
        <w:t xml:space="preserve"> آثار الرهن</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فيما بين المتعاقدين وبالنسبة إلى الغير</w:t>
      </w:r>
      <w:r>
        <w:rPr>
          <w:rFonts w:cs="Traditional Arabic" w:hint="cs"/>
          <w:color w:val="000000"/>
          <w:sz w:val="28"/>
          <w:szCs w:val="32"/>
          <w:rtl/>
        </w:rPr>
        <w:tab/>
      </w:r>
      <w:r>
        <w:rPr>
          <w:rFonts w:cs="Traditional Arabic" w:hint="cs"/>
          <w:color w:val="000000"/>
          <w:sz w:val="28"/>
          <w:szCs w:val="32"/>
          <w:rtl/>
        </w:rPr>
        <w:tab/>
        <w:t>782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الفرع الأول </w:t>
      </w:r>
      <w:r>
        <w:rPr>
          <w:rFonts w:cs="Traditional Arabic"/>
          <w:color w:val="000000"/>
          <w:sz w:val="28"/>
          <w:szCs w:val="32"/>
          <w:rtl/>
        </w:rPr>
        <w:t>–</w:t>
      </w:r>
      <w:r>
        <w:rPr>
          <w:rFonts w:cs="Traditional Arabic" w:hint="cs"/>
          <w:color w:val="000000"/>
          <w:sz w:val="28"/>
          <w:szCs w:val="32"/>
          <w:rtl/>
        </w:rPr>
        <w:t xml:space="preserve"> آثار الرهن الحيازي فيما بين المتعاقدين </w:t>
      </w:r>
      <w:r>
        <w:rPr>
          <w:rFonts w:cs="Traditional Arabic" w:hint="cs"/>
          <w:color w:val="000000"/>
          <w:sz w:val="28"/>
          <w:szCs w:val="32"/>
          <w:rtl/>
        </w:rPr>
        <w:tab/>
      </w:r>
      <w:r>
        <w:rPr>
          <w:rFonts w:cs="Traditional Arabic" w:hint="cs"/>
          <w:color w:val="000000"/>
          <w:sz w:val="28"/>
          <w:szCs w:val="32"/>
          <w:rtl/>
        </w:rPr>
        <w:tab/>
        <w:t>783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الرهن الحيازي عقد ملزم للجانبين </w:t>
      </w:r>
      <w:r>
        <w:rPr>
          <w:rFonts w:cs="Traditional Arabic" w:hint="cs"/>
          <w:color w:val="000000"/>
          <w:sz w:val="28"/>
          <w:szCs w:val="32"/>
          <w:rtl/>
        </w:rPr>
        <w:tab/>
      </w:r>
      <w:r>
        <w:rPr>
          <w:rFonts w:cs="Traditional Arabic" w:hint="cs"/>
          <w:color w:val="000000"/>
          <w:sz w:val="28"/>
          <w:szCs w:val="32"/>
          <w:rtl/>
        </w:rPr>
        <w:tab/>
        <w:t>783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التزامات الراهن حيازة </w:t>
      </w:r>
      <w:r>
        <w:rPr>
          <w:rFonts w:cs="Traditional Arabic" w:hint="cs"/>
          <w:color w:val="000000"/>
          <w:sz w:val="28"/>
          <w:szCs w:val="32"/>
          <w:rtl/>
        </w:rPr>
        <w:tab/>
      </w:r>
      <w:r>
        <w:rPr>
          <w:rFonts w:cs="Traditional Arabic" w:hint="cs"/>
          <w:color w:val="000000"/>
          <w:sz w:val="28"/>
          <w:szCs w:val="32"/>
          <w:rtl/>
        </w:rPr>
        <w:tab/>
        <w:t>783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التزامات أربعة </w:t>
      </w:r>
      <w:r>
        <w:rPr>
          <w:rFonts w:cs="Traditional Arabic" w:hint="cs"/>
          <w:color w:val="000000"/>
          <w:sz w:val="28"/>
          <w:szCs w:val="32"/>
          <w:rtl/>
        </w:rPr>
        <w:tab/>
      </w:r>
      <w:r>
        <w:rPr>
          <w:rFonts w:cs="Traditional Arabic" w:hint="cs"/>
          <w:color w:val="000000"/>
          <w:sz w:val="28"/>
          <w:szCs w:val="32"/>
          <w:rtl/>
        </w:rPr>
        <w:tab/>
        <w:t>783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الأول </w:t>
      </w:r>
      <w:r>
        <w:rPr>
          <w:rFonts w:cs="Traditional Arabic"/>
          <w:color w:val="000000"/>
          <w:sz w:val="28"/>
          <w:szCs w:val="32"/>
          <w:rtl/>
        </w:rPr>
        <w:t>–</w:t>
      </w:r>
      <w:r>
        <w:rPr>
          <w:rFonts w:cs="Traditional Arabic" w:hint="cs"/>
          <w:color w:val="000000"/>
          <w:sz w:val="28"/>
          <w:szCs w:val="32"/>
          <w:rtl/>
        </w:rPr>
        <w:t xml:space="preserve"> إيجاد حق رهن الحيازة </w:t>
      </w:r>
      <w:r>
        <w:rPr>
          <w:rFonts w:cs="Traditional Arabic" w:hint="cs"/>
          <w:color w:val="000000"/>
          <w:sz w:val="28"/>
          <w:szCs w:val="32"/>
          <w:rtl/>
        </w:rPr>
        <w:tab/>
      </w:r>
      <w:r>
        <w:rPr>
          <w:rFonts w:cs="Traditional Arabic" w:hint="cs"/>
          <w:color w:val="000000"/>
          <w:sz w:val="28"/>
          <w:szCs w:val="32"/>
          <w:rtl/>
        </w:rPr>
        <w:tab/>
        <w:t>784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784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رهن ملك الغير ورهن المال المستقبل</w:t>
      </w:r>
      <w:r>
        <w:rPr>
          <w:rFonts w:cs="Traditional Arabic" w:hint="cs"/>
          <w:color w:val="000000"/>
          <w:sz w:val="28"/>
          <w:szCs w:val="32"/>
          <w:rtl/>
        </w:rPr>
        <w:tab/>
      </w:r>
      <w:r>
        <w:rPr>
          <w:rFonts w:cs="Traditional Arabic" w:hint="cs"/>
          <w:color w:val="000000"/>
          <w:sz w:val="28"/>
          <w:szCs w:val="32"/>
          <w:rtl/>
        </w:rPr>
        <w:tab/>
        <w:t>784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إيجار رهن الحيازة إذا كان الراهن مالكاً للشيء المرهون </w:t>
      </w:r>
      <w:r>
        <w:rPr>
          <w:rFonts w:cs="Traditional Arabic" w:hint="cs"/>
          <w:color w:val="000000"/>
          <w:sz w:val="28"/>
          <w:szCs w:val="32"/>
          <w:rtl/>
        </w:rPr>
        <w:tab/>
      </w:r>
      <w:r>
        <w:rPr>
          <w:rFonts w:cs="Traditional Arabic" w:hint="cs"/>
          <w:color w:val="000000"/>
          <w:sz w:val="28"/>
          <w:szCs w:val="32"/>
          <w:rtl/>
        </w:rPr>
        <w:tab/>
        <w:t>784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الثاني </w:t>
      </w:r>
      <w:r>
        <w:rPr>
          <w:rFonts w:cs="Traditional Arabic"/>
          <w:color w:val="000000"/>
          <w:sz w:val="28"/>
          <w:szCs w:val="32"/>
          <w:rtl/>
        </w:rPr>
        <w:t>–</w:t>
      </w:r>
      <w:r>
        <w:rPr>
          <w:rFonts w:cs="Traditional Arabic" w:hint="cs"/>
          <w:color w:val="000000"/>
          <w:sz w:val="28"/>
          <w:szCs w:val="32"/>
          <w:rtl/>
        </w:rPr>
        <w:t xml:space="preserve"> تسليم الشيء المرهون ونقل حيازته إلى الدائن المرتهن </w:t>
      </w:r>
      <w:r>
        <w:rPr>
          <w:rFonts w:cs="Traditional Arabic" w:hint="cs"/>
          <w:color w:val="000000"/>
          <w:sz w:val="28"/>
          <w:szCs w:val="32"/>
          <w:rtl/>
        </w:rPr>
        <w:tab/>
      </w:r>
      <w:r>
        <w:rPr>
          <w:rFonts w:cs="Traditional Arabic" w:hint="cs"/>
          <w:color w:val="000000"/>
          <w:sz w:val="28"/>
          <w:szCs w:val="32"/>
          <w:rtl/>
        </w:rPr>
        <w:tab/>
        <w:t>785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785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نقل الحيازة في التقنين المدني السابق</w:t>
      </w:r>
      <w:r>
        <w:rPr>
          <w:rFonts w:cs="Traditional Arabic" w:hint="cs"/>
          <w:color w:val="000000"/>
          <w:sz w:val="28"/>
          <w:szCs w:val="32"/>
          <w:rtl/>
        </w:rPr>
        <w:tab/>
      </w:r>
      <w:r>
        <w:rPr>
          <w:rFonts w:cs="Traditional Arabic" w:hint="cs"/>
          <w:color w:val="000000"/>
          <w:sz w:val="28"/>
          <w:szCs w:val="32"/>
          <w:rtl/>
        </w:rPr>
        <w:tab/>
        <w:t>787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نقل الحيازة في التقنين المدني الجديد </w:t>
      </w:r>
      <w:r>
        <w:rPr>
          <w:rFonts w:cs="Traditional Arabic" w:hint="cs"/>
          <w:color w:val="000000"/>
          <w:sz w:val="28"/>
          <w:szCs w:val="32"/>
          <w:rtl/>
        </w:rPr>
        <w:tab/>
      </w:r>
      <w:r>
        <w:rPr>
          <w:rFonts w:cs="Traditional Arabic" w:hint="cs"/>
          <w:color w:val="000000"/>
          <w:sz w:val="28"/>
          <w:szCs w:val="32"/>
          <w:rtl/>
        </w:rPr>
        <w:tab/>
        <w:t>788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الغرض من انتقال الحيازة </w:t>
      </w:r>
      <w:r>
        <w:rPr>
          <w:rFonts w:cs="Traditional Arabic" w:hint="cs"/>
          <w:color w:val="000000"/>
          <w:sz w:val="28"/>
          <w:szCs w:val="32"/>
          <w:rtl/>
        </w:rPr>
        <w:tab/>
      </w:r>
      <w:r>
        <w:rPr>
          <w:rFonts w:cs="Traditional Arabic" w:hint="cs"/>
          <w:color w:val="000000"/>
          <w:sz w:val="28"/>
          <w:szCs w:val="32"/>
          <w:rtl/>
        </w:rPr>
        <w:tab/>
        <w:t>788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لمن تنتقل الحيازة </w:t>
      </w:r>
      <w:r>
        <w:rPr>
          <w:rFonts w:cs="Traditional Arabic"/>
          <w:color w:val="000000"/>
          <w:sz w:val="28"/>
          <w:szCs w:val="32"/>
          <w:rtl/>
        </w:rPr>
        <w:t>–</w:t>
      </w:r>
      <w:r>
        <w:rPr>
          <w:rFonts w:cs="Traditional Arabic" w:hint="cs"/>
          <w:color w:val="000000"/>
          <w:sz w:val="28"/>
          <w:szCs w:val="32"/>
          <w:rtl/>
        </w:rPr>
        <w:t xml:space="preserve"> الحيازة بوساطة أجنبي أو عدل </w:t>
      </w:r>
      <w:r>
        <w:rPr>
          <w:rFonts w:cs="Traditional Arabic" w:hint="cs"/>
          <w:color w:val="000000"/>
          <w:sz w:val="28"/>
          <w:szCs w:val="32"/>
          <w:rtl/>
        </w:rPr>
        <w:tab/>
      </w:r>
      <w:r>
        <w:rPr>
          <w:rFonts w:cs="Traditional Arabic" w:hint="cs"/>
          <w:color w:val="000000"/>
          <w:sz w:val="28"/>
          <w:szCs w:val="32"/>
          <w:rtl/>
        </w:rPr>
        <w:tab/>
        <w:t>789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عودة الشيء المرهون إلى راهنة </w:t>
      </w:r>
      <w:r>
        <w:rPr>
          <w:rFonts w:cs="Traditional Arabic" w:hint="cs"/>
          <w:color w:val="000000"/>
          <w:sz w:val="28"/>
          <w:szCs w:val="32"/>
          <w:rtl/>
        </w:rPr>
        <w:tab/>
      </w:r>
      <w:r>
        <w:rPr>
          <w:rFonts w:cs="Traditional Arabic" w:hint="cs"/>
          <w:color w:val="000000"/>
          <w:sz w:val="28"/>
          <w:szCs w:val="32"/>
          <w:rtl/>
        </w:rPr>
        <w:tab/>
        <w:t>791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إيجار العقار المرهون حيازة للراهن </w:t>
      </w:r>
      <w:r>
        <w:rPr>
          <w:rFonts w:cs="Traditional Arabic" w:hint="cs"/>
          <w:color w:val="000000"/>
          <w:sz w:val="28"/>
          <w:szCs w:val="32"/>
          <w:rtl/>
        </w:rPr>
        <w:tab/>
      </w:r>
      <w:r>
        <w:rPr>
          <w:rFonts w:cs="Traditional Arabic" w:hint="cs"/>
          <w:color w:val="000000"/>
          <w:sz w:val="28"/>
          <w:szCs w:val="32"/>
          <w:rtl/>
        </w:rPr>
        <w:tab/>
        <w:t>792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رجوع المرهون إلى حيازة الراهن بسبب لا يقصد به انقضاء الرهن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792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تخلي المرتهن عن الحيازة لغير الراهن</w:t>
      </w:r>
      <w:r>
        <w:rPr>
          <w:rFonts w:cs="Traditional Arabic" w:hint="cs"/>
          <w:color w:val="000000"/>
          <w:sz w:val="28"/>
          <w:szCs w:val="32"/>
          <w:rtl/>
        </w:rPr>
        <w:tab/>
      </w:r>
      <w:r>
        <w:rPr>
          <w:rFonts w:cs="Traditional Arabic" w:hint="cs"/>
          <w:color w:val="000000"/>
          <w:sz w:val="28"/>
          <w:szCs w:val="32"/>
          <w:rtl/>
        </w:rPr>
        <w:tab/>
        <w:t>795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سريان أحكام الالتزام بتسليم الشيء المبيع </w:t>
      </w:r>
      <w:r>
        <w:rPr>
          <w:rFonts w:cs="Traditional Arabic" w:hint="cs"/>
          <w:color w:val="000000"/>
          <w:sz w:val="28"/>
          <w:szCs w:val="32"/>
          <w:rtl/>
        </w:rPr>
        <w:tab/>
      </w:r>
      <w:r>
        <w:rPr>
          <w:rFonts w:cs="Traditional Arabic" w:hint="cs"/>
          <w:color w:val="000000"/>
          <w:sz w:val="28"/>
          <w:szCs w:val="32"/>
          <w:rtl/>
        </w:rPr>
        <w:tab/>
        <w:t>795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زمان التسليم </w:t>
      </w:r>
      <w:r>
        <w:rPr>
          <w:rFonts w:cs="Traditional Arabic" w:hint="cs"/>
          <w:color w:val="000000"/>
          <w:sz w:val="28"/>
          <w:szCs w:val="32"/>
          <w:rtl/>
        </w:rPr>
        <w:tab/>
      </w:r>
      <w:r>
        <w:rPr>
          <w:rFonts w:cs="Traditional Arabic" w:hint="cs"/>
          <w:color w:val="000000"/>
          <w:sz w:val="28"/>
          <w:szCs w:val="32"/>
          <w:rtl/>
        </w:rPr>
        <w:tab/>
        <w:t>796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مكان التسليم </w:t>
      </w:r>
      <w:r>
        <w:rPr>
          <w:rFonts w:cs="Traditional Arabic" w:hint="cs"/>
          <w:color w:val="000000"/>
          <w:sz w:val="28"/>
          <w:szCs w:val="32"/>
          <w:rtl/>
        </w:rPr>
        <w:tab/>
      </w:r>
      <w:r>
        <w:rPr>
          <w:rFonts w:cs="Traditional Arabic" w:hint="cs"/>
          <w:color w:val="000000"/>
          <w:sz w:val="28"/>
          <w:szCs w:val="32"/>
          <w:rtl/>
        </w:rPr>
        <w:tab/>
        <w:t>796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كيفية التسليم </w:t>
      </w:r>
      <w:r>
        <w:rPr>
          <w:rFonts w:cs="Traditional Arabic" w:hint="cs"/>
          <w:color w:val="000000"/>
          <w:sz w:val="28"/>
          <w:szCs w:val="32"/>
          <w:rtl/>
        </w:rPr>
        <w:tab/>
      </w:r>
      <w:r>
        <w:rPr>
          <w:rFonts w:cs="Traditional Arabic" w:hint="cs"/>
          <w:color w:val="000000"/>
          <w:sz w:val="28"/>
          <w:szCs w:val="32"/>
          <w:rtl/>
        </w:rPr>
        <w:tab/>
        <w:t>797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ما يترتب على عدم التسليم </w:t>
      </w:r>
      <w:r>
        <w:rPr>
          <w:rFonts w:cs="Traditional Arabic" w:hint="cs"/>
          <w:color w:val="000000"/>
          <w:sz w:val="28"/>
          <w:szCs w:val="32"/>
          <w:rtl/>
        </w:rPr>
        <w:tab/>
      </w:r>
      <w:r>
        <w:rPr>
          <w:rFonts w:cs="Traditional Arabic" w:hint="cs"/>
          <w:color w:val="000000"/>
          <w:sz w:val="28"/>
          <w:szCs w:val="32"/>
          <w:rtl/>
        </w:rPr>
        <w:tab/>
        <w:t>798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الثالث </w:t>
      </w:r>
      <w:r>
        <w:rPr>
          <w:rFonts w:cs="Traditional Arabic"/>
          <w:color w:val="000000"/>
          <w:sz w:val="28"/>
          <w:szCs w:val="32"/>
          <w:rtl/>
        </w:rPr>
        <w:t>–</w:t>
      </w:r>
      <w:r>
        <w:rPr>
          <w:rFonts w:cs="Traditional Arabic" w:hint="cs"/>
          <w:color w:val="000000"/>
          <w:sz w:val="28"/>
          <w:szCs w:val="32"/>
          <w:rtl/>
        </w:rPr>
        <w:t xml:space="preserve"> ضمان الراهن لسلامة الرهن ونفاذه </w:t>
      </w:r>
      <w:r>
        <w:rPr>
          <w:rFonts w:cs="Traditional Arabic" w:hint="cs"/>
          <w:color w:val="000000"/>
          <w:sz w:val="28"/>
          <w:szCs w:val="32"/>
          <w:rtl/>
        </w:rPr>
        <w:tab/>
      </w:r>
      <w:r>
        <w:rPr>
          <w:rFonts w:cs="Traditional Arabic" w:hint="cs"/>
          <w:color w:val="000000"/>
          <w:sz w:val="28"/>
          <w:szCs w:val="32"/>
          <w:rtl/>
        </w:rPr>
        <w:tab/>
        <w:t>799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799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ضمان الراهن لتعرضه الشخصي </w:t>
      </w:r>
      <w:r>
        <w:rPr>
          <w:rFonts w:cs="Traditional Arabic" w:hint="cs"/>
          <w:color w:val="000000"/>
          <w:sz w:val="28"/>
          <w:szCs w:val="32"/>
          <w:rtl/>
        </w:rPr>
        <w:tab/>
      </w:r>
      <w:r>
        <w:rPr>
          <w:rFonts w:cs="Traditional Arabic" w:hint="cs"/>
          <w:color w:val="000000"/>
          <w:sz w:val="28"/>
          <w:szCs w:val="32"/>
          <w:rtl/>
        </w:rPr>
        <w:tab/>
        <w:t>800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ضمان الراهن لتعرض الغير</w:t>
      </w:r>
      <w:r>
        <w:rPr>
          <w:rFonts w:cs="Traditional Arabic" w:hint="cs"/>
          <w:color w:val="000000"/>
          <w:sz w:val="28"/>
          <w:szCs w:val="32"/>
          <w:rtl/>
        </w:rPr>
        <w:tab/>
      </w:r>
      <w:r>
        <w:rPr>
          <w:rFonts w:cs="Traditional Arabic" w:hint="cs"/>
          <w:color w:val="000000"/>
          <w:sz w:val="28"/>
          <w:szCs w:val="32"/>
          <w:rtl/>
        </w:rPr>
        <w:tab/>
        <w:t>801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الرابع </w:t>
      </w:r>
      <w:r>
        <w:rPr>
          <w:rFonts w:cs="Traditional Arabic"/>
          <w:color w:val="000000"/>
          <w:sz w:val="28"/>
          <w:szCs w:val="32"/>
          <w:rtl/>
        </w:rPr>
        <w:t>–</w:t>
      </w:r>
      <w:r>
        <w:rPr>
          <w:rFonts w:cs="Traditional Arabic" w:hint="cs"/>
          <w:color w:val="000000"/>
          <w:sz w:val="28"/>
          <w:szCs w:val="32"/>
          <w:rtl/>
        </w:rPr>
        <w:t xml:space="preserve"> ضمان الراهن هلاك  الشيء المرهون أو تلفه </w:t>
      </w:r>
      <w:r>
        <w:rPr>
          <w:rFonts w:cs="Traditional Arabic" w:hint="cs"/>
          <w:color w:val="000000"/>
          <w:sz w:val="28"/>
          <w:szCs w:val="32"/>
          <w:rtl/>
        </w:rPr>
        <w:tab/>
      </w:r>
      <w:r>
        <w:rPr>
          <w:rFonts w:cs="Traditional Arabic" w:hint="cs"/>
          <w:color w:val="000000"/>
          <w:sz w:val="28"/>
          <w:szCs w:val="32"/>
          <w:rtl/>
        </w:rPr>
        <w:tab/>
        <w:t>801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هلاك الشيء أو تلفه بخطأ الراهن</w:t>
      </w:r>
      <w:r>
        <w:rPr>
          <w:rFonts w:cs="Traditional Arabic" w:hint="cs"/>
          <w:color w:val="000000"/>
          <w:sz w:val="28"/>
          <w:szCs w:val="32"/>
          <w:rtl/>
        </w:rPr>
        <w:tab/>
      </w:r>
      <w:r>
        <w:rPr>
          <w:rFonts w:cs="Traditional Arabic" w:hint="cs"/>
          <w:color w:val="000000"/>
          <w:sz w:val="28"/>
          <w:szCs w:val="32"/>
          <w:rtl/>
        </w:rPr>
        <w:tab/>
        <w:t>804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هلاك الشيء أو تلفه بخطأ الدائن المرتهن</w:t>
      </w:r>
      <w:r>
        <w:rPr>
          <w:rFonts w:cs="Traditional Arabic" w:hint="cs"/>
          <w:color w:val="000000"/>
          <w:sz w:val="28"/>
          <w:szCs w:val="32"/>
          <w:rtl/>
        </w:rPr>
        <w:tab/>
      </w:r>
      <w:r>
        <w:rPr>
          <w:rFonts w:cs="Traditional Arabic" w:hint="cs"/>
          <w:color w:val="000000"/>
          <w:sz w:val="28"/>
          <w:szCs w:val="32"/>
          <w:rtl/>
        </w:rPr>
        <w:tab/>
        <w:t>804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هلاك الشيء أو تلفه بسبب أجنبي</w:t>
      </w:r>
      <w:r>
        <w:rPr>
          <w:rFonts w:cs="Traditional Arabic" w:hint="cs"/>
          <w:color w:val="000000"/>
          <w:sz w:val="28"/>
          <w:szCs w:val="32"/>
          <w:rtl/>
        </w:rPr>
        <w:tab/>
      </w:r>
      <w:r>
        <w:rPr>
          <w:rFonts w:cs="Traditional Arabic" w:hint="cs"/>
          <w:color w:val="000000"/>
          <w:sz w:val="28"/>
          <w:szCs w:val="32"/>
          <w:rtl/>
        </w:rPr>
        <w:tab/>
        <w:t>804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تعرض الشيء للهلاك أو التلفف</w:t>
      </w:r>
      <w:r>
        <w:rPr>
          <w:rFonts w:cs="Traditional Arabic" w:hint="cs"/>
          <w:color w:val="000000"/>
          <w:sz w:val="28"/>
          <w:szCs w:val="32"/>
          <w:rtl/>
        </w:rPr>
        <w:tab/>
      </w:r>
      <w:r>
        <w:rPr>
          <w:rFonts w:cs="Traditional Arabic" w:hint="cs"/>
          <w:color w:val="000000"/>
          <w:sz w:val="28"/>
          <w:szCs w:val="32"/>
          <w:rtl/>
        </w:rPr>
        <w:tab/>
        <w:t>805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انتقال الرهن إلى الحق الذي حل محل الشيء</w:t>
      </w:r>
      <w:r>
        <w:rPr>
          <w:rFonts w:cs="Traditional Arabic" w:hint="cs"/>
          <w:color w:val="000000"/>
          <w:sz w:val="28"/>
          <w:szCs w:val="32"/>
          <w:rtl/>
        </w:rPr>
        <w:tab/>
      </w:r>
      <w:r>
        <w:rPr>
          <w:rFonts w:cs="Traditional Arabic" w:hint="cs"/>
          <w:color w:val="000000"/>
          <w:sz w:val="28"/>
          <w:szCs w:val="32"/>
          <w:rtl/>
        </w:rPr>
        <w:tab/>
        <w:t>805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التزامات الدائن المرتهن حيازة </w:t>
      </w:r>
      <w:r>
        <w:rPr>
          <w:rFonts w:cs="Traditional Arabic" w:hint="cs"/>
          <w:color w:val="000000"/>
          <w:sz w:val="28"/>
          <w:szCs w:val="32"/>
          <w:rtl/>
        </w:rPr>
        <w:tab/>
      </w:r>
      <w:r>
        <w:rPr>
          <w:rFonts w:cs="Traditional Arabic" w:hint="cs"/>
          <w:color w:val="000000"/>
          <w:sz w:val="28"/>
          <w:szCs w:val="32"/>
          <w:rtl/>
        </w:rPr>
        <w:tab/>
        <w:t>807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التزامات أربعة </w:t>
      </w:r>
      <w:r>
        <w:rPr>
          <w:rFonts w:cs="Traditional Arabic" w:hint="cs"/>
          <w:color w:val="000000"/>
          <w:sz w:val="28"/>
          <w:szCs w:val="32"/>
          <w:rtl/>
        </w:rPr>
        <w:tab/>
      </w:r>
      <w:r>
        <w:rPr>
          <w:rFonts w:cs="Traditional Arabic" w:hint="cs"/>
          <w:color w:val="000000"/>
          <w:sz w:val="28"/>
          <w:szCs w:val="32"/>
          <w:rtl/>
        </w:rPr>
        <w:tab/>
        <w:t>807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$1043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الأول </w:t>
      </w:r>
      <w:r>
        <w:rPr>
          <w:rFonts w:cs="Traditional Arabic"/>
          <w:color w:val="000000"/>
          <w:sz w:val="28"/>
          <w:szCs w:val="32"/>
          <w:rtl/>
        </w:rPr>
        <w:t>–</w:t>
      </w:r>
      <w:r>
        <w:rPr>
          <w:rFonts w:cs="Traditional Arabic" w:hint="cs"/>
          <w:color w:val="000000"/>
          <w:sz w:val="28"/>
          <w:szCs w:val="32"/>
          <w:rtl/>
        </w:rPr>
        <w:t xml:space="preserve"> المحافظة على الشيء المرهون</w:t>
      </w:r>
      <w:r>
        <w:rPr>
          <w:rFonts w:cs="Traditional Arabic" w:hint="cs"/>
          <w:color w:val="000000"/>
          <w:sz w:val="28"/>
          <w:szCs w:val="32"/>
          <w:rtl/>
        </w:rPr>
        <w:tab/>
      </w:r>
      <w:r>
        <w:rPr>
          <w:rFonts w:cs="Traditional Arabic" w:hint="cs"/>
          <w:color w:val="000000"/>
          <w:sz w:val="28"/>
          <w:szCs w:val="32"/>
          <w:rtl/>
        </w:rPr>
        <w:tab/>
        <w:t>807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التزام المحافظة على الشيء التزام تعاقدي</w:t>
      </w:r>
      <w:r>
        <w:rPr>
          <w:rFonts w:cs="Traditional Arabic" w:hint="cs"/>
          <w:color w:val="000000"/>
          <w:sz w:val="28"/>
          <w:szCs w:val="32"/>
          <w:rtl/>
        </w:rPr>
        <w:tab/>
      </w:r>
      <w:r>
        <w:rPr>
          <w:rFonts w:cs="Traditional Arabic" w:hint="cs"/>
          <w:color w:val="000000"/>
          <w:sz w:val="28"/>
          <w:szCs w:val="32"/>
          <w:rtl/>
        </w:rPr>
        <w:tab/>
        <w:t>809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ما يدخل في العناية المطلوبة </w:t>
      </w:r>
      <w:r>
        <w:rPr>
          <w:rFonts w:cs="Traditional Arabic"/>
          <w:color w:val="000000"/>
          <w:sz w:val="28"/>
          <w:szCs w:val="32"/>
          <w:rtl/>
        </w:rPr>
        <w:t>–</w:t>
      </w:r>
      <w:r>
        <w:rPr>
          <w:rFonts w:cs="Traditional Arabic" w:hint="cs"/>
          <w:color w:val="000000"/>
          <w:sz w:val="28"/>
          <w:szCs w:val="32"/>
          <w:rtl/>
        </w:rPr>
        <w:t xml:space="preserve"> نص محذوف</w:t>
      </w:r>
      <w:r>
        <w:rPr>
          <w:rFonts w:cs="Traditional Arabic" w:hint="cs"/>
          <w:color w:val="000000"/>
          <w:sz w:val="28"/>
          <w:szCs w:val="32"/>
          <w:rtl/>
        </w:rPr>
        <w:tab/>
      </w:r>
      <w:r>
        <w:rPr>
          <w:rFonts w:cs="Traditional Arabic" w:hint="cs"/>
          <w:color w:val="000000"/>
          <w:sz w:val="28"/>
          <w:szCs w:val="32"/>
          <w:rtl/>
        </w:rPr>
        <w:tab/>
        <w:t>811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المصروفات اللازمة للمحافظة على الشيء</w:t>
      </w:r>
      <w:r>
        <w:rPr>
          <w:rFonts w:cs="Traditional Arabic" w:hint="cs"/>
          <w:color w:val="000000"/>
          <w:sz w:val="28"/>
          <w:szCs w:val="32"/>
          <w:rtl/>
        </w:rPr>
        <w:tab/>
      </w:r>
      <w:r>
        <w:rPr>
          <w:rFonts w:cs="Traditional Arabic" w:hint="cs"/>
          <w:color w:val="000000"/>
          <w:sz w:val="28"/>
          <w:szCs w:val="32"/>
          <w:rtl/>
        </w:rPr>
        <w:tab/>
        <w:t>812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جزاء الالتزام بالمحافظة على الشيء المرهون</w:t>
      </w:r>
      <w:r>
        <w:rPr>
          <w:rFonts w:cs="Traditional Arabic" w:hint="cs"/>
          <w:color w:val="000000"/>
          <w:sz w:val="28"/>
          <w:szCs w:val="32"/>
          <w:rtl/>
        </w:rPr>
        <w:tab/>
      </w:r>
      <w:r>
        <w:rPr>
          <w:rFonts w:cs="Traditional Arabic" w:hint="cs"/>
          <w:color w:val="000000"/>
          <w:sz w:val="28"/>
          <w:szCs w:val="32"/>
          <w:rtl/>
        </w:rPr>
        <w:tab/>
        <w:t>813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الثاني </w:t>
      </w:r>
      <w:r>
        <w:rPr>
          <w:rFonts w:cs="Traditional Arabic"/>
          <w:color w:val="000000"/>
          <w:sz w:val="28"/>
          <w:szCs w:val="32"/>
          <w:rtl/>
        </w:rPr>
        <w:t>–</w:t>
      </w:r>
      <w:r>
        <w:rPr>
          <w:rFonts w:cs="Traditional Arabic" w:hint="cs"/>
          <w:color w:val="000000"/>
          <w:sz w:val="28"/>
          <w:szCs w:val="32"/>
          <w:rtl/>
        </w:rPr>
        <w:t xml:space="preserve"> استثمار الشيء المرهون</w:t>
      </w:r>
      <w:r>
        <w:rPr>
          <w:rFonts w:cs="Traditional Arabic" w:hint="cs"/>
          <w:color w:val="000000"/>
          <w:sz w:val="28"/>
          <w:szCs w:val="32"/>
          <w:rtl/>
        </w:rPr>
        <w:tab/>
      </w:r>
      <w:r>
        <w:rPr>
          <w:rFonts w:cs="Traditional Arabic" w:hint="cs"/>
          <w:color w:val="000000"/>
          <w:sz w:val="28"/>
          <w:szCs w:val="32"/>
          <w:rtl/>
        </w:rPr>
        <w:tab/>
        <w:t>813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813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وجوب استثمار الشيء المرهون بمقابل</w:t>
      </w:r>
      <w:r>
        <w:rPr>
          <w:rFonts w:cs="Traditional Arabic" w:hint="cs"/>
          <w:color w:val="000000"/>
          <w:sz w:val="28"/>
          <w:szCs w:val="32"/>
          <w:rtl/>
        </w:rPr>
        <w:tab/>
      </w:r>
      <w:r>
        <w:rPr>
          <w:rFonts w:cs="Traditional Arabic" w:hint="cs"/>
          <w:color w:val="000000"/>
          <w:sz w:val="28"/>
          <w:szCs w:val="32"/>
          <w:rtl/>
        </w:rPr>
        <w:tab/>
        <w:t>815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كيفية الاستثمار </w:t>
      </w:r>
      <w:r>
        <w:rPr>
          <w:rFonts w:cs="Traditional Arabic" w:hint="cs"/>
          <w:color w:val="000000"/>
          <w:sz w:val="28"/>
          <w:szCs w:val="32"/>
          <w:rtl/>
        </w:rPr>
        <w:tab/>
      </w:r>
      <w:r>
        <w:rPr>
          <w:rFonts w:cs="Traditional Arabic" w:hint="cs"/>
          <w:color w:val="000000"/>
          <w:sz w:val="28"/>
          <w:szCs w:val="32"/>
          <w:rtl/>
        </w:rPr>
        <w:tab/>
        <w:t>816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العناية الواجب بذلها في الاستثمار</w:t>
      </w:r>
      <w:r>
        <w:rPr>
          <w:rFonts w:cs="Traditional Arabic" w:hint="cs"/>
          <w:color w:val="000000"/>
          <w:sz w:val="28"/>
          <w:szCs w:val="32"/>
          <w:rtl/>
        </w:rPr>
        <w:tab/>
      </w:r>
      <w:r>
        <w:rPr>
          <w:rFonts w:cs="Traditional Arabic" w:hint="cs"/>
          <w:color w:val="000000"/>
          <w:sz w:val="28"/>
          <w:szCs w:val="32"/>
          <w:rtl/>
        </w:rPr>
        <w:tab/>
        <w:t>818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توزيع ما ينتج من الاستثمار </w:t>
      </w:r>
      <w:r>
        <w:rPr>
          <w:rFonts w:cs="Traditional Arabic" w:hint="cs"/>
          <w:color w:val="000000"/>
          <w:sz w:val="28"/>
          <w:szCs w:val="32"/>
          <w:rtl/>
        </w:rPr>
        <w:tab/>
      </w:r>
      <w:r>
        <w:rPr>
          <w:rFonts w:cs="Traditional Arabic" w:hint="cs"/>
          <w:color w:val="000000"/>
          <w:sz w:val="28"/>
          <w:szCs w:val="32"/>
          <w:rtl/>
        </w:rPr>
        <w:tab/>
        <w:t>818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جزاء إخلال الدائن بهذا الواجب من العناية </w:t>
      </w:r>
      <w:r>
        <w:rPr>
          <w:rFonts w:cs="Traditional Arabic" w:hint="cs"/>
          <w:color w:val="000000"/>
          <w:sz w:val="28"/>
          <w:szCs w:val="32"/>
          <w:rtl/>
        </w:rPr>
        <w:tab/>
      </w:r>
      <w:r>
        <w:rPr>
          <w:rFonts w:cs="Traditional Arabic" w:hint="cs"/>
          <w:color w:val="000000"/>
          <w:sz w:val="28"/>
          <w:szCs w:val="32"/>
          <w:rtl/>
        </w:rPr>
        <w:tab/>
        <w:t>819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الاتفاق على جعل الثمار في مقابل الفوائد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820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الثالث </w:t>
      </w:r>
      <w:r>
        <w:rPr>
          <w:rFonts w:cs="Traditional Arabic"/>
          <w:color w:val="000000"/>
          <w:sz w:val="28"/>
          <w:szCs w:val="32"/>
          <w:rtl/>
        </w:rPr>
        <w:t>–</w:t>
      </w:r>
      <w:r>
        <w:rPr>
          <w:rFonts w:cs="Traditional Arabic" w:hint="cs"/>
          <w:color w:val="000000"/>
          <w:sz w:val="28"/>
          <w:szCs w:val="32"/>
          <w:rtl/>
        </w:rPr>
        <w:t xml:space="preserve"> إدارة الشيء المرهون </w:t>
      </w:r>
      <w:r>
        <w:rPr>
          <w:rFonts w:cs="Traditional Arabic" w:hint="cs"/>
          <w:color w:val="000000"/>
          <w:sz w:val="28"/>
          <w:szCs w:val="32"/>
          <w:rtl/>
        </w:rPr>
        <w:tab/>
      </w:r>
      <w:r>
        <w:rPr>
          <w:rFonts w:cs="Traditional Arabic" w:hint="cs"/>
          <w:color w:val="000000"/>
          <w:sz w:val="28"/>
          <w:szCs w:val="32"/>
          <w:rtl/>
        </w:rPr>
        <w:tab/>
        <w:t>825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825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كيفية إدارة الشيء المرهون وما يرد على ذلك من قيود </w:t>
      </w:r>
      <w:r>
        <w:rPr>
          <w:rFonts w:cs="Traditional Arabic" w:hint="cs"/>
          <w:color w:val="000000"/>
          <w:sz w:val="28"/>
          <w:szCs w:val="32"/>
          <w:rtl/>
        </w:rPr>
        <w:tab/>
      </w:r>
      <w:r>
        <w:rPr>
          <w:rFonts w:cs="Traditional Arabic" w:hint="cs"/>
          <w:color w:val="000000"/>
          <w:sz w:val="28"/>
          <w:szCs w:val="32"/>
          <w:rtl/>
        </w:rPr>
        <w:tab/>
        <w:t>826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العناية الواجب بذلها في إدارة الشيء المرهون </w:t>
      </w:r>
      <w:r>
        <w:rPr>
          <w:rFonts w:cs="Traditional Arabic" w:hint="cs"/>
          <w:color w:val="000000"/>
          <w:sz w:val="28"/>
          <w:szCs w:val="32"/>
          <w:rtl/>
        </w:rPr>
        <w:tab/>
      </w:r>
      <w:r>
        <w:rPr>
          <w:rFonts w:cs="Traditional Arabic" w:hint="cs"/>
          <w:color w:val="000000"/>
          <w:sz w:val="28"/>
          <w:szCs w:val="32"/>
          <w:rtl/>
        </w:rPr>
        <w:tab/>
        <w:t>827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$1044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المصروفات التي ينفقها الدائن المرتهن في الإدارة </w:t>
      </w:r>
      <w:r>
        <w:rPr>
          <w:rFonts w:cs="Traditional Arabic" w:hint="cs"/>
          <w:color w:val="000000"/>
          <w:sz w:val="28"/>
          <w:szCs w:val="32"/>
          <w:rtl/>
        </w:rPr>
        <w:tab/>
      </w:r>
      <w:r>
        <w:rPr>
          <w:rFonts w:cs="Traditional Arabic" w:hint="cs"/>
          <w:color w:val="000000"/>
          <w:sz w:val="28"/>
          <w:szCs w:val="32"/>
          <w:rtl/>
        </w:rPr>
        <w:tab/>
        <w:t>827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الجزاء على سوء الإدارة </w:t>
      </w:r>
      <w:r>
        <w:rPr>
          <w:rFonts w:cs="Traditional Arabic" w:hint="cs"/>
          <w:color w:val="000000"/>
          <w:sz w:val="28"/>
          <w:szCs w:val="32"/>
          <w:rtl/>
        </w:rPr>
        <w:tab/>
      </w:r>
      <w:r>
        <w:rPr>
          <w:rFonts w:cs="Traditional Arabic" w:hint="cs"/>
          <w:color w:val="000000"/>
          <w:sz w:val="28"/>
          <w:szCs w:val="32"/>
          <w:rtl/>
        </w:rPr>
        <w:tab/>
        <w:t>828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الرابع </w:t>
      </w:r>
      <w:r>
        <w:rPr>
          <w:rFonts w:cs="Traditional Arabic"/>
          <w:color w:val="000000"/>
          <w:sz w:val="28"/>
          <w:szCs w:val="32"/>
          <w:rtl/>
        </w:rPr>
        <w:t>–</w:t>
      </w:r>
      <w:r>
        <w:rPr>
          <w:rFonts w:cs="Traditional Arabic" w:hint="cs"/>
          <w:color w:val="000000"/>
          <w:sz w:val="28"/>
          <w:szCs w:val="32"/>
          <w:rtl/>
        </w:rPr>
        <w:t xml:space="preserve"> رد الشيء المرهون</w:t>
      </w:r>
      <w:r>
        <w:rPr>
          <w:rFonts w:cs="Traditional Arabic" w:hint="cs"/>
          <w:color w:val="000000"/>
          <w:sz w:val="28"/>
          <w:szCs w:val="32"/>
          <w:rtl/>
        </w:rPr>
        <w:tab/>
      </w:r>
      <w:r>
        <w:rPr>
          <w:rFonts w:cs="Traditional Arabic" w:hint="cs"/>
          <w:color w:val="000000"/>
          <w:sz w:val="28"/>
          <w:szCs w:val="32"/>
          <w:rtl/>
        </w:rPr>
        <w:tab/>
        <w:t>829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829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متى يرد الدائن الشيء المرهون </w:t>
      </w:r>
      <w:r>
        <w:rPr>
          <w:rFonts w:cs="Traditional Arabic"/>
          <w:color w:val="000000"/>
          <w:sz w:val="28"/>
          <w:szCs w:val="32"/>
          <w:rtl/>
        </w:rPr>
        <w:t>–</w:t>
      </w:r>
      <w:r>
        <w:rPr>
          <w:rFonts w:cs="Traditional Arabic" w:hint="cs"/>
          <w:color w:val="000000"/>
          <w:sz w:val="28"/>
          <w:szCs w:val="32"/>
          <w:rtl/>
        </w:rPr>
        <w:t xml:space="preserve"> حق الحبس في مواجهة الدائن </w:t>
      </w:r>
      <w:r>
        <w:rPr>
          <w:rFonts w:cs="Traditional Arabic" w:hint="cs"/>
          <w:color w:val="000000"/>
          <w:sz w:val="28"/>
          <w:szCs w:val="32"/>
          <w:rtl/>
        </w:rPr>
        <w:tab/>
      </w:r>
      <w:r>
        <w:rPr>
          <w:rFonts w:cs="Traditional Arabic" w:hint="cs"/>
          <w:color w:val="000000"/>
          <w:sz w:val="28"/>
          <w:szCs w:val="32"/>
          <w:rtl/>
        </w:rPr>
        <w:tab/>
        <w:t>831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الالتزام بالرد قبل وفاء الدين </w:t>
      </w:r>
      <w:r>
        <w:rPr>
          <w:rFonts w:cs="Traditional Arabic" w:hint="cs"/>
          <w:color w:val="000000"/>
          <w:sz w:val="28"/>
          <w:szCs w:val="32"/>
          <w:rtl/>
        </w:rPr>
        <w:tab/>
      </w:r>
      <w:r>
        <w:rPr>
          <w:rFonts w:cs="Traditional Arabic" w:hint="cs"/>
          <w:color w:val="000000"/>
          <w:sz w:val="28"/>
          <w:szCs w:val="32"/>
          <w:rtl/>
        </w:rPr>
        <w:tab/>
        <w:t>833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هلاك الشيء المرهون أو تلفه </w:t>
      </w:r>
      <w:r>
        <w:rPr>
          <w:rFonts w:cs="Traditional Arabic" w:hint="cs"/>
          <w:color w:val="000000"/>
          <w:sz w:val="28"/>
          <w:szCs w:val="32"/>
          <w:rtl/>
        </w:rPr>
        <w:tab/>
      </w:r>
      <w:r>
        <w:rPr>
          <w:rFonts w:cs="Traditional Arabic" w:hint="cs"/>
          <w:color w:val="000000"/>
          <w:sz w:val="28"/>
          <w:szCs w:val="32"/>
          <w:rtl/>
        </w:rPr>
        <w:tab/>
        <w:t>833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نفقات رد الشيء المرهون</w:t>
      </w:r>
      <w:r>
        <w:rPr>
          <w:rFonts w:cs="Traditional Arabic" w:hint="cs"/>
          <w:color w:val="000000"/>
          <w:sz w:val="28"/>
          <w:szCs w:val="32"/>
          <w:rtl/>
        </w:rPr>
        <w:tab/>
      </w:r>
      <w:r>
        <w:rPr>
          <w:rFonts w:cs="Traditional Arabic" w:hint="cs"/>
          <w:color w:val="000000"/>
          <w:sz w:val="28"/>
          <w:szCs w:val="32"/>
          <w:rtl/>
        </w:rPr>
        <w:tab/>
        <w:t>834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تنفيذ الدائن المرتهن بحقه </w:t>
      </w:r>
      <w:r>
        <w:rPr>
          <w:rFonts w:cs="Traditional Arabic" w:hint="cs"/>
          <w:color w:val="000000"/>
          <w:sz w:val="28"/>
          <w:szCs w:val="32"/>
          <w:rtl/>
        </w:rPr>
        <w:tab/>
      </w:r>
      <w:r>
        <w:rPr>
          <w:rFonts w:cs="Traditional Arabic" w:hint="cs"/>
          <w:color w:val="000000"/>
          <w:sz w:val="28"/>
          <w:szCs w:val="32"/>
          <w:rtl/>
        </w:rPr>
        <w:tab/>
        <w:t>834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الراهن كفيل عيني</w:t>
      </w:r>
      <w:r>
        <w:rPr>
          <w:rFonts w:cs="Traditional Arabic" w:hint="cs"/>
          <w:color w:val="000000"/>
          <w:sz w:val="28"/>
          <w:szCs w:val="32"/>
          <w:rtl/>
        </w:rPr>
        <w:tab/>
      </w:r>
      <w:r>
        <w:rPr>
          <w:rFonts w:cs="Traditional Arabic" w:hint="cs"/>
          <w:color w:val="000000"/>
          <w:sz w:val="28"/>
          <w:szCs w:val="32"/>
          <w:rtl/>
        </w:rPr>
        <w:tab/>
        <w:t>835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الخامس </w:t>
      </w:r>
      <w:r>
        <w:rPr>
          <w:rFonts w:cs="Traditional Arabic"/>
          <w:color w:val="000000"/>
          <w:sz w:val="28"/>
          <w:szCs w:val="32"/>
          <w:rtl/>
        </w:rPr>
        <w:t>–</w:t>
      </w:r>
      <w:r>
        <w:rPr>
          <w:rFonts w:cs="Traditional Arabic" w:hint="cs"/>
          <w:color w:val="000000"/>
          <w:sz w:val="28"/>
          <w:szCs w:val="32"/>
          <w:rtl/>
        </w:rPr>
        <w:t xml:space="preserve"> بطلان شرط التملك عند عدم الوفاء وشرط البيع دون إجراءات </w:t>
      </w:r>
      <w:r>
        <w:rPr>
          <w:rFonts w:cs="Traditional Arabic" w:hint="cs"/>
          <w:color w:val="000000"/>
          <w:sz w:val="28"/>
          <w:szCs w:val="32"/>
          <w:rtl/>
        </w:rPr>
        <w:tab/>
      </w:r>
      <w:r>
        <w:rPr>
          <w:rFonts w:cs="Traditional Arabic" w:hint="cs"/>
          <w:color w:val="000000"/>
          <w:sz w:val="28"/>
          <w:szCs w:val="32"/>
          <w:rtl/>
        </w:rPr>
        <w:tab/>
        <w:t>837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837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بطلان شرط تملك المال المرهون عند عدم الوفاء </w:t>
      </w:r>
      <w:r>
        <w:rPr>
          <w:rFonts w:cs="Traditional Arabic" w:hint="cs"/>
          <w:color w:val="000000"/>
          <w:sz w:val="28"/>
          <w:szCs w:val="32"/>
          <w:rtl/>
        </w:rPr>
        <w:tab/>
      </w:r>
      <w:r>
        <w:rPr>
          <w:rFonts w:cs="Traditional Arabic" w:hint="cs"/>
          <w:color w:val="000000"/>
          <w:sz w:val="28"/>
          <w:szCs w:val="32"/>
          <w:rtl/>
        </w:rPr>
        <w:tab/>
        <w:t>839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متى يصح هذا الاتفاق</w:t>
      </w:r>
      <w:r>
        <w:rPr>
          <w:rFonts w:cs="Traditional Arabic" w:hint="cs"/>
          <w:color w:val="000000"/>
          <w:sz w:val="28"/>
          <w:szCs w:val="32"/>
          <w:rtl/>
        </w:rPr>
        <w:tab/>
      </w:r>
      <w:r>
        <w:rPr>
          <w:rFonts w:cs="Traditional Arabic" w:hint="cs"/>
          <w:color w:val="000000"/>
          <w:sz w:val="28"/>
          <w:szCs w:val="32"/>
          <w:rtl/>
        </w:rPr>
        <w:tab/>
        <w:t>840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بطلان شرط بيع المال المرهون دون إجراءات </w:t>
      </w:r>
      <w:r>
        <w:rPr>
          <w:rFonts w:cs="Traditional Arabic" w:hint="cs"/>
          <w:color w:val="000000"/>
          <w:sz w:val="28"/>
          <w:szCs w:val="32"/>
          <w:rtl/>
        </w:rPr>
        <w:tab/>
      </w:r>
      <w:r>
        <w:rPr>
          <w:rFonts w:cs="Traditional Arabic" w:hint="cs"/>
          <w:color w:val="000000"/>
          <w:sz w:val="28"/>
          <w:szCs w:val="32"/>
          <w:rtl/>
        </w:rPr>
        <w:tab/>
        <w:t>840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بطلان شرط بيع المال المرهون دون إجراءات </w:t>
      </w:r>
      <w:r>
        <w:rPr>
          <w:rFonts w:cs="Traditional Arabic" w:hint="cs"/>
          <w:color w:val="000000"/>
          <w:sz w:val="28"/>
          <w:szCs w:val="32"/>
          <w:rtl/>
        </w:rPr>
        <w:tab/>
      </w:r>
      <w:r>
        <w:rPr>
          <w:rFonts w:cs="Traditional Arabic" w:hint="cs"/>
          <w:color w:val="000000"/>
          <w:sz w:val="28"/>
          <w:szCs w:val="32"/>
          <w:rtl/>
        </w:rPr>
        <w:tab/>
        <w:t>840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متى يصح هذا الاتفاق </w:t>
      </w:r>
      <w:r>
        <w:rPr>
          <w:rFonts w:cs="Traditional Arabic" w:hint="cs"/>
          <w:color w:val="000000"/>
          <w:sz w:val="28"/>
          <w:szCs w:val="32"/>
          <w:rtl/>
        </w:rPr>
        <w:tab/>
      </w:r>
      <w:r>
        <w:rPr>
          <w:rFonts w:cs="Traditional Arabic" w:hint="cs"/>
          <w:color w:val="000000"/>
          <w:sz w:val="28"/>
          <w:szCs w:val="32"/>
          <w:rtl/>
        </w:rPr>
        <w:tab/>
        <w:t>841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الفرع الثاني </w:t>
      </w:r>
      <w:r>
        <w:rPr>
          <w:rFonts w:cs="Traditional Arabic"/>
          <w:color w:val="000000"/>
          <w:sz w:val="28"/>
          <w:szCs w:val="32"/>
          <w:rtl/>
        </w:rPr>
        <w:t>–</w:t>
      </w:r>
      <w:r>
        <w:rPr>
          <w:rFonts w:cs="Traditional Arabic" w:hint="cs"/>
          <w:color w:val="000000"/>
          <w:sz w:val="28"/>
          <w:szCs w:val="32"/>
          <w:rtl/>
        </w:rPr>
        <w:t xml:space="preserve"> آثار الرهن الحيازي بالنسبة إلى الغير </w:t>
      </w:r>
      <w:r>
        <w:rPr>
          <w:rFonts w:cs="Traditional Arabic" w:hint="cs"/>
          <w:color w:val="000000"/>
          <w:sz w:val="28"/>
          <w:szCs w:val="32"/>
          <w:rtl/>
        </w:rPr>
        <w:tab/>
      </w:r>
      <w:r>
        <w:rPr>
          <w:rFonts w:cs="Traditional Arabic" w:hint="cs"/>
          <w:color w:val="000000"/>
          <w:sz w:val="28"/>
          <w:szCs w:val="32"/>
          <w:rtl/>
        </w:rPr>
        <w:tab/>
        <w:t>841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المقصود بالغير هنا </w:t>
      </w:r>
      <w:r>
        <w:rPr>
          <w:rFonts w:cs="Traditional Arabic" w:hint="cs"/>
          <w:color w:val="000000"/>
          <w:sz w:val="28"/>
          <w:szCs w:val="32"/>
          <w:rtl/>
        </w:rPr>
        <w:tab/>
      </w:r>
      <w:r>
        <w:rPr>
          <w:rFonts w:cs="Traditional Arabic" w:hint="cs"/>
          <w:color w:val="000000"/>
          <w:sz w:val="28"/>
          <w:szCs w:val="32"/>
          <w:rtl/>
        </w:rPr>
        <w:tab/>
        <w:t>841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قيد رهن الحيازة </w:t>
      </w:r>
      <w:r>
        <w:rPr>
          <w:rFonts w:cs="Traditional Arabic" w:hint="cs"/>
          <w:color w:val="000000"/>
          <w:sz w:val="28"/>
          <w:szCs w:val="32"/>
          <w:rtl/>
        </w:rPr>
        <w:tab/>
      </w:r>
      <w:r>
        <w:rPr>
          <w:rFonts w:cs="Traditional Arabic" w:hint="cs"/>
          <w:color w:val="000000"/>
          <w:sz w:val="28"/>
          <w:szCs w:val="32"/>
          <w:rtl/>
        </w:rPr>
        <w:tab/>
        <w:t>841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ما يضمنه الرهن الحيازي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نفاذ الرهن في حق الغير </w:t>
      </w:r>
      <w:r>
        <w:rPr>
          <w:rFonts w:cs="Traditional Arabic"/>
          <w:color w:val="000000"/>
          <w:sz w:val="28"/>
          <w:szCs w:val="32"/>
          <w:rtl/>
        </w:rPr>
        <w:t>–</w:t>
      </w:r>
      <w:r>
        <w:rPr>
          <w:rFonts w:cs="Traditional Arabic" w:hint="cs"/>
          <w:color w:val="000000"/>
          <w:sz w:val="28"/>
          <w:szCs w:val="32"/>
          <w:rtl/>
        </w:rPr>
        <w:t xml:space="preserve"> وجوب تسليم المرهون للدائن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844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$1045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المبحث الأول </w:t>
      </w:r>
      <w:r>
        <w:rPr>
          <w:rFonts w:cs="Traditional Arabic"/>
          <w:color w:val="000000"/>
          <w:sz w:val="28"/>
          <w:szCs w:val="32"/>
          <w:rtl/>
        </w:rPr>
        <w:t>–</w:t>
      </w:r>
      <w:r>
        <w:rPr>
          <w:rFonts w:cs="Traditional Arabic" w:hint="cs"/>
          <w:color w:val="000000"/>
          <w:sz w:val="28"/>
          <w:szCs w:val="32"/>
          <w:rtl/>
        </w:rPr>
        <w:t xml:space="preserve"> حق التقدم وحق التتبع </w:t>
      </w:r>
      <w:r>
        <w:rPr>
          <w:rFonts w:cs="Traditional Arabic" w:hint="cs"/>
          <w:color w:val="000000"/>
          <w:sz w:val="28"/>
          <w:szCs w:val="32"/>
          <w:rtl/>
        </w:rPr>
        <w:tab/>
      </w:r>
      <w:r>
        <w:rPr>
          <w:rFonts w:cs="Traditional Arabic" w:hint="cs"/>
          <w:color w:val="000000"/>
          <w:sz w:val="28"/>
          <w:szCs w:val="32"/>
          <w:rtl/>
        </w:rPr>
        <w:tab/>
        <w:t>847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الأول </w:t>
      </w:r>
      <w:r>
        <w:rPr>
          <w:rFonts w:cs="Traditional Arabic"/>
          <w:color w:val="000000"/>
          <w:sz w:val="28"/>
          <w:szCs w:val="32"/>
          <w:rtl/>
        </w:rPr>
        <w:t>–</w:t>
      </w:r>
      <w:r>
        <w:rPr>
          <w:rFonts w:cs="Traditional Arabic" w:hint="cs"/>
          <w:color w:val="000000"/>
          <w:sz w:val="28"/>
          <w:szCs w:val="32"/>
          <w:rtl/>
        </w:rPr>
        <w:t xml:space="preserve"> حق التقدم </w:t>
      </w:r>
      <w:r>
        <w:rPr>
          <w:rFonts w:cs="Traditional Arabic" w:hint="cs"/>
          <w:color w:val="000000"/>
          <w:sz w:val="28"/>
          <w:szCs w:val="32"/>
          <w:rtl/>
        </w:rPr>
        <w:tab/>
      </w:r>
      <w:r>
        <w:rPr>
          <w:rFonts w:cs="Traditional Arabic" w:hint="cs"/>
          <w:color w:val="000000"/>
          <w:sz w:val="28"/>
          <w:szCs w:val="32"/>
          <w:rtl/>
        </w:rPr>
        <w:tab/>
        <w:t>847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نص محذوف</w:t>
      </w:r>
      <w:r>
        <w:rPr>
          <w:rFonts w:cs="Traditional Arabic" w:hint="cs"/>
          <w:color w:val="000000"/>
          <w:sz w:val="28"/>
          <w:szCs w:val="32"/>
          <w:rtl/>
        </w:rPr>
        <w:tab/>
      </w:r>
      <w:r>
        <w:rPr>
          <w:rFonts w:cs="Traditional Arabic" w:hint="cs"/>
          <w:color w:val="000000"/>
          <w:sz w:val="28"/>
          <w:szCs w:val="32"/>
          <w:rtl/>
        </w:rPr>
        <w:tab/>
        <w:t>847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الحلول العيني</w:t>
      </w:r>
      <w:r>
        <w:rPr>
          <w:rFonts w:cs="Traditional Arabic" w:hint="cs"/>
          <w:color w:val="000000"/>
          <w:sz w:val="28"/>
          <w:szCs w:val="32"/>
          <w:rtl/>
        </w:rPr>
        <w:tab/>
      </w:r>
      <w:r>
        <w:rPr>
          <w:rFonts w:cs="Traditional Arabic" w:hint="cs"/>
          <w:color w:val="000000"/>
          <w:sz w:val="28"/>
          <w:szCs w:val="32"/>
          <w:rtl/>
        </w:rPr>
        <w:tab/>
        <w:t>848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التزاحم ما بين الدائنين المرتهنين</w:t>
      </w:r>
      <w:r>
        <w:rPr>
          <w:rFonts w:cs="Traditional Arabic" w:hint="cs"/>
          <w:color w:val="000000"/>
          <w:sz w:val="28"/>
          <w:szCs w:val="32"/>
          <w:rtl/>
        </w:rPr>
        <w:tab/>
      </w:r>
      <w:r>
        <w:rPr>
          <w:rFonts w:cs="Traditional Arabic" w:hint="cs"/>
          <w:color w:val="000000"/>
          <w:sz w:val="28"/>
          <w:szCs w:val="32"/>
          <w:rtl/>
        </w:rPr>
        <w:tab/>
        <w:t>849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مرتبة الدائن المرتهن حيازة </w:t>
      </w:r>
      <w:r>
        <w:rPr>
          <w:rFonts w:cs="Traditional Arabic" w:hint="cs"/>
          <w:color w:val="000000"/>
          <w:sz w:val="28"/>
          <w:szCs w:val="32"/>
          <w:rtl/>
        </w:rPr>
        <w:tab/>
      </w:r>
      <w:r>
        <w:rPr>
          <w:rFonts w:cs="Traditional Arabic" w:hint="cs"/>
          <w:color w:val="000000"/>
          <w:sz w:val="28"/>
          <w:szCs w:val="32"/>
          <w:rtl/>
        </w:rPr>
        <w:tab/>
        <w:t>849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المطلب الثاني </w:t>
      </w:r>
      <w:r>
        <w:rPr>
          <w:rFonts w:cs="Traditional Arabic"/>
          <w:color w:val="000000"/>
          <w:sz w:val="28"/>
          <w:szCs w:val="32"/>
          <w:rtl/>
        </w:rPr>
        <w:t>–</w:t>
      </w:r>
      <w:r>
        <w:rPr>
          <w:rFonts w:cs="Traditional Arabic" w:hint="cs"/>
          <w:color w:val="000000"/>
          <w:sz w:val="28"/>
          <w:szCs w:val="32"/>
          <w:rtl/>
        </w:rPr>
        <w:t xml:space="preserve"> حق التتبع </w:t>
      </w:r>
      <w:r>
        <w:rPr>
          <w:rFonts w:cs="Traditional Arabic" w:hint="cs"/>
          <w:color w:val="000000"/>
          <w:sz w:val="28"/>
          <w:szCs w:val="32"/>
          <w:rtl/>
        </w:rPr>
        <w:tab/>
      </w:r>
      <w:r>
        <w:rPr>
          <w:rFonts w:cs="Traditional Arabic" w:hint="cs"/>
          <w:color w:val="000000"/>
          <w:sz w:val="28"/>
          <w:szCs w:val="32"/>
          <w:rtl/>
        </w:rPr>
        <w:tab/>
        <w:t>850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متى يستعمل حق التتبع</w:t>
      </w:r>
      <w:r>
        <w:rPr>
          <w:rFonts w:cs="Traditional Arabic" w:hint="cs"/>
          <w:color w:val="000000"/>
          <w:sz w:val="28"/>
          <w:szCs w:val="32"/>
          <w:rtl/>
        </w:rPr>
        <w:tab/>
      </w:r>
      <w:r>
        <w:rPr>
          <w:rFonts w:cs="Traditional Arabic" w:hint="cs"/>
          <w:color w:val="000000"/>
          <w:sz w:val="28"/>
          <w:szCs w:val="32"/>
          <w:rtl/>
        </w:rPr>
        <w:tab/>
        <w:t>850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المالك الجديد لا يطهر العقار ولا يخليه </w:t>
      </w:r>
      <w:r>
        <w:rPr>
          <w:rFonts w:cs="Traditional Arabic" w:hint="cs"/>
          <w:color w:val="000000"/>
          <w:sz w:val="28"/>
          <w:szCs w:val="32"/>
          <w:rtl/>
        </w:rPr>
        <w:tab/>
      </w:r>
      <w:r>
        <w:rPr>
          <w:rFonts w:cs="Traditional Arabic" w:hint="cs"/>
          <w:color w:val="000000"/>
          <w:sz w:val="28"/>
          <w:szCs w:val="32"/>
          <w:rtl/>
        </w:rPr>
        <w:tab/>
        <w:t>851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قد يتطهر العقار من الرهن الحيازي تبعاً لتطهير من الرهن الرسمي </w:t>
      </w:r>
      <w:r>
        <w:rPr>
          <w:rFonts w:cs="Traditional Arabic" w:hint="cs"/>
          <w:color w:val="000000"/>
          <w:sz w:val="28"/>
          <w:szCs w:val="32"/>
          <w:rtl/>
        </w:rPr>
        <w:tab/>
      </w:r>
      <w:r>
        <w:rPr>
          <w:rFonts w:cs="Traditional Arabic" w:hint="cs"/>
          <w:color w:val="000000"/>
          <w:sz w:val="28"/>
          <w:szCs w:val="32"/>
          <w:rtl/>
        </w:rPr>
        <w:tab/>
        <w:t>852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حق الحبس </w:t>
      </w:r>
      <w:r>
        <w:rPr>
          <w:rFonts w:cs="Traditional Arabic" w:hint="cs"/>
          <w:color w:val="000000"/>
          <w:sz w:val="28"/>
          <w:szCs w:val="32"/>
          <w:rtl/>
        </w:rPr>
        <w:tab/>
      </w:r>
      <w:r>
        <w:rPr>
          <w:rFonts w:cs="Traditional Arabic" w:hint="cs"/>
          <w:color w:val="000000"/>
          <w:sz w:val="28"/>
          <w:szCs w:val="32"/>
          <w:rtl/>
        </w:rPr>
        <w:tab/>
        <w:t>852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من له حق الحبس</w:t>
      </w:r>
      <w:r>
        <w:rPr>
          <w:rFonts w:cs="Traditional Arabic" w:hint="cs"/>
          <w:color w:val="000000"/>
          <w:sz w:val="28"/>
          <w:szCs w:val="32"/>
          <w:rtl/>
        </w:rPr>
        <w:tab/>
      </w:r>
      <w:r>
        <w:rPr>
          <w:rFonts w:cs="Traditional Arabic" w:hint="cs"/>
          <w:color w:val="000000"/>
          <w:sz w:val="28"/>
          <w:szCs w:val="32"/>
          <w:rtl/>
        </w:rPr>
        <w:tab/>
        <w:t>855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المال الذي يحبس</w:t>
      </w:r>
      <w:r>
        <w:rPr>
          <w:rFonts w:cs="Traditional Arabic" w:hint="cs"/>
          <w:color w:val="000000"/>
          <w:sz w:val="28"/>
          <w:szCs w:val="32"/>
          <w:rtl/>
        </w:rPr>
        <w:tab/>
      </w:r>
      <w:r>
        <w:rPr>
          <w:rFonts w:cs="Traditional Arabic" w:hint="cs"/>
          <w:color w:val="000000"/>
          <w:sz w:val="28"/>
          <w:szCs w:val="32"/>
          <w:rtl/>
        </w:rPr>
        <w:tab/>
        <w:t>856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الحبس والتنفيذ</w:t>
      </w:r>
      <w:r>
        <w:rPr>
          <w:rFonts w:cs="Traditional Arabic" w:hint="cs"/>
          <w:color w:val="000000"/>
          <w:sz w:val="28"/>
          <w:szCs w:val="32"/>
          <w:rtl/>
        </w:rPr>
        <w:tab/>
      </w:r>
      <w:r>
        <w:rPr>
          <w:rFonts w:cs="Traditional Arabic" w:hint="cs"/>
          <w:color w:val="000000"/>
          <w:sz w:val="28"/>
          <w:szCs w:val="32"/>
          <w:rtl/>
        </w:rPr>
        <w:tab/>
        <w:t>856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ضد من يكون حق الحبس </w:t>
      </w:r>
      <w:r>
        <w:rPr>
          <w:rFonts w:cs="Traditional Arabic"/>
          <w:color w:val="000000"/>
          <w:sz w:val="28"/>
          <w:szCs w:val="32"/>
          <w:rtl/>
        </w:rPr>
        <w:t>–</w:t>
      </w:r>
      <w:r>
        <w:rPr>
          <w:rFonts w:cs="Traditional Arabic" w:hint="cs"/>
          <w:color w:val="000000"/>
          <w:sz w:val="28"/>
          <w:szCs w:val="32"/>
          <w:rtl/>
        </w:rPr>
        <w:t xml:space="preserve"> الراهن</w:t>
      </w:r>
      <w:r>
        <w:rPr>
          <w:rFonts w:cs="Traditional Arabic" w:hint="cs"/>
          <w:color w:val="000000"/>
          <w:sz w:val="28"/>
          <w:szCs w:val="32"/>
          <w:rtl/>
        </w:rPr>
        <w:tab/>
      </w:r>
      <w:r>
        <w:rPr>
          <w:rFonts w:cs="Traditional Arabic" w:hint="cs"/>
          <w:color w:val="000000"/>
          <w:sz w:val="28"/>
          <w:szCs w:val="32"/>
          <w:rtl/>
        </w:rPr>
        <w:tab/>
        <w:t>857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الغير</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857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التطهير لا يشمل الرهن الحيازي في القانون المدني</w:t>
      </w:r>
      <w:r>
        <w:rPr>
          <w:rFonts w:cs="Traditional Arabic" w:hint="cs"/>
          <w:color w:val="000000"/>
          <w:sz w:val="28"/>
          <w:szCs w:val="32"/>
          <w:rtl/>
        </w:rPr>
        <w:tab/>
      </w:r>
      <w:r>
        <w:rPr>
          <w:rFonts w:cs="Traditional Arabic" w:hint="cs"/>
          <w:color w:val="000000"/>
          <w:sz w:val="28"/>
          <w:szCs w:val="32"/>
          <w:rtl/>
        </w:rPr>
        <w:tab/>
        <w:t>808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التطهير يشمل الرهن الحيازي في قانون المرافعات الجديد </w:t>
      </w:r>
      <w:r>
        <w:rPr>
          <w:rFonts w:cs="Traditional Arabic" w:hint="cs"/>
          <w:color w:val="000000"/>
          <w:sz w:val="28"/>
          <w:szCs w:val="32"/>
          <w:rtl/>
        </w:rPr>
        <w:tab/>
      </w:r>
      <w:r>
        <w:rPr>
          <w:rFonts w:cs="Traditional Arabic" w:hint="cs"/>
          <w:color w:val="000000"/>
          <w:sz w:val="28"/>
          <w:szCs w:val="32"/>
          <w:rtl/>
        </w:rPr>
        <w:tab/>
        <w:t>859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متى ينعدم التعارض بين القانون المدني وقانون المرافعات </w:t>
      </w:r>
      <w:r>
        <w:rPr>
          <w:rFonts w:cs="Traditional Arabic" w:hint="cs"/>
          <w:color w:val="000000"/>
          <w:sz w:val="28"/>
          <w:szCs w:val="32"/>
          <w:rtl/>
        </w:rPr>
        <w:tab/>
      </w:r>
      <w:r>
        <w:rPr>
          <w:rFonts w:cs="Traditional Arabic" w:hint="cs"/>
          <w:color w:val="000000"/>
          <w:sz w:val="28"/>
          <w:szCs w:val="32"/>
          <w:rtl/>
        </w:rPr>
        <w:tab/>
        <w:t>860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$1046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الحبس للدين المضمون بالرهن </w:t>
      </w:r>
      <w:r>
        <w:rPr>
          <w:rFonts w:cs="Traditional Arabic" w:hint="cs"/>
          <w:color w:val="000000"/>
          <w:sz w:val="28"/>
          <w:szCs w:val="32"/>
          <w:rtl/>
        </w:rPr>
        <w:tab/>
      </w:r>
      <w:r>
        <w:rPr>
          <w:rFonts w:cs="Traditional Arabic" w:hint="cs"/>
          <w:color w:val="000000"/>
          <w:sz w:val="28"/>
          <w:szCs w:val="32"/>
          <w:rtl/>
        </w:rPr>
        <w:tab/>
        <w:t>860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الرهن الضمني</w:t>
      </w:r>
      <w:r>
        <w:rPr>
          <w:rFonts w:cs="Traditional Arabic" w:hint="cs"/>
          <w:color w:val="000000"/>
          <w:sz w:val="28"/>
          <w:szCs w:val="32"/>
          <w:rtl/>
        </w:rPr>
        <w:tab/>
      </w:r>
      <w:r>
        <w:rPr>
          <w:rFonts w:cs="Traditional Arabic" w:hint="cs"/>
          <w:color w:val="000000"/>
          <w:sz w:val="28"/>
          <w:szCs w:val="32"/>
          <w:rtl/>
        </w:rPr>
        <w:tab/>
        <w:t>861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استرداد الشيء المرهون</w:t>
      </w:r>
      <w:r>
        <w:rPr>
          <w:rFonts w:cs="Traditional Arabic" w:hint="cs"/>
          <w:color w:val="000000"/>
          <w:sz w:val="28"/>
          <w:szCs w:val="32"/>
          <w:rtl/>
        </w:rPr>
        <w:tab/>
      </w:r>
      <w:r>
        <w:rPr>
          <w:rFonts w:cs="Traditional Arabic" w:hint="cs"/>
          <w:color w:val="000000"/>
          <w:sz w:val="28"/>
          <w:szCs w:val="32"/>
          <w:rtl/>
        </w:rPr>
        <w:tab/>
        <w:t>862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الحبس والحق في الحبس</w:t>
      </w:r>
      <w:r>
        <w:rPr>
          <w:rFonts w:cs="Traditional Arabic" w:hint="cs"/>
          <w:color w:val="000000"/>
          <w:sz w:val="28"/>
          <w:szCs w:val="32"/>
          <w:rtl/>
        </w:rPr>
        <w:tab/>
      </w:r>
      <w:r>
        <w:rPr>
          <w:rFonts w:cs="Traditional Arabic" w:hint="cs"/>
          <w:color w:val="000000"/>
          <w:sz w:val="28"/>
          <w:szCs w:val="32"/>
          <w:rtl/>
        </w:rPr>
        <w:tab/>
        <w:t>862</w:t>
      </w:r>
    </w:p>
    <w:p w:rsidR="00F72742" w:rsidRPr="00A530EF"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A530EF">
        <w:rPr>
          <w:rFonts w:cs="Traditional Arabic" w:hint="cs"/>
          <w:b/>
          <w:bCs/>
          <w:color w:val="000000"/>
          <w:sz w:val="28"/>
          <w:szCs w:val="32"/>
          <w:rtl/>
        </w:rPr>
        <w:t xml:space="preserve">الفصل الثالث </w:t>
      </w:r>
      <w:r w:rsidRPr="00A530EF">
        <w:rPr>
          <w:rFonts w:cs="Traditional Arabic"/>
          <w:b/>
          <w:bCs/>
          <w:color w:val="000000"/>
          <w:sz w:val="28"/>
          <w:szCs w:val="32"/>
          <w:rtl/>
        </w:rPr>
        <w:t>–</w:t>
      </w:r>
      <w:r w:rsidRPr="00A530EF">
        <w:rPr>
          <w:rFonts w:cs="Traditional Arabic" w:hint="cs"/>
          <w:b/>
          <w:bCs/>
          <w:color w:val="000000"/>
          <w:sz w:val="28"/>
          <w:szCs w:val="32"/>
          <w:rtl/>
        </w:rPr>
        <w:t xml:space="preserve"> انقضاء الرهن الحيازي</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الانقضاء بصفة تبعية والانقضاء بصفة أصلية</w:t>
      </w:r>
      <w:r>
        <w:rPr>
          <w:rFonts w:cs="Traditional Arabic" w:hint="cs"/>
          <w:color w:val="000000"/>
          <w:sz w:val="28"/>
          <w:szCs w:val="32"/>
          <w:rtl/>
        </w:rPr>
        <w:tab/>
      </w:r>
      <w:r>
        <w:rPr>
          <w:rFonts w:cs="Traditional Arabic" w:hint="cs"/>
          <w:color w:val="000000"/>
          <w:sz w:val="28"/>
          <w:szCs w:val="32"/>
          <w:rtl/>
        </w:rPr>
        <w:tab/>
        <w:t>863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انقضاء الرهن الحيازي بصفة تبعية </w:t>
      </w:r>
      <w:r>
        <w:rPr>
          <w:rFonts w:cs="Traditional Arabic" w:hint="cs"/>
          <w:color w:val="000000"/>
          <w:sz w:val="28"/>
          <w:szCs w:val="32"/>
          <w:rtl/>
        </w:rPr>
        <w:tab/>
      </w:r>
      <w:r>
        <w:rPr>
          <w:rFonts w:cs="Traditional Arabic" w:hint="cs"/>
          <w:color w:val="000000"/>
          <w:sz w:val="28"/>
          <w:szCs w:val="32"/>
          <w:rtl/>
        </w:rPr>
        <w:tab/>
        <w:t>863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انقضاء الدين وزواله </w:t>
      </w:r>
      <w:r>
        <w:rPr>
          <w:rFonts w:cs="Traditional Arabic" w:hint="cs"/>
          <w:color w:val="000000"/>
          <w:sz w:val="28"/>
          <w:szCs w:val="32"/>
          <w:rtl/>
        </w:rPr>
        <w:tab/>
      </w:r>
      <w:r>
        <w:rPr>
          <w:rFonts w:cs="Traditional Arabic" w:hint="cs"/>
          <w:color w:val="000000"/>
          <w:sz w:val="28"/>
          <w:szCs w:val="32"/>
          <w:rtl/>
        </w:rPr>
        <w:tab/>
        <w:t>863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أسباب زوال الدين </w:t>
      </w:r>
      <w:r>
        <w:rPr>
          <w:rFonts w:cs="Traditional Arabic" w:hint="cs"/>
          <w:color w:val="000000"/>
          <w:sz w:val="28"/>
          <w:szCs w:val="32"/>
          <w:rtl/>
        </w:rPr>
        <w:tab/>
      </w:r>
      <w:r>
        <w:rPr>
          <w:rFonts w:cs="Traditional Arabic" w:hint="cs"/>
          <w:color w:val="000000"/>
          <w:sz w:val="28"/>
          <w:szCs w:val="32"/>
          <w:rtl/>
        </w:rPr>
        <w:tab/>
        <w:t>864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أسباب انقضاء الدين </w:t>
      </w:r>
      <w:r>
        <w:rPr>
          <w:rFonts w:cs="Traditional Arabic" w:hint="cs"/>
          <w:color w:val="000000"/>
          <w:sz w:val="28"/>
          <w:szCs w:val="32"/>
          <w:rtl/>
        </w:rPr>
        <w:tab/>
      </w:r>
      <w:r>
        <w:rPr>
          <w:rFonts w:cs="Traditional Arabic" w:hint="cs"/>
          <w:color w:val="000000"/>
          <w:sz w:val="28"/>
          <w:szCs w:val="32"/>
          <w:rtl/>
        </w:rPr>
        <w:tab/>
        <w:t>864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تعداد لأسباب انقضاء الدين </w:t>
      </w:r>
      <w:r>
        <w:rPr>
          <w:rFonts w:cs="Traditional Arabic" w:hint="cs"/>
          <w:color w:val="000000"/>
          <w:sz w:val="28"/>
          <w:szCs w:val="32"/>
          <w:rtl/>
        </w:rPr>
        <w:tab/>
      </w:r>
      <w:r>
        <w:rPr>
          <w:rFonts w:cs="Traditional Arabic" w:hint="cs"/>
          <w:color w:val="000000"/>
          <w:sz w:val="28"/>
          <w:szCs w:val="32"/>
          <w:rtl/>
        </w:rPr>
        <w:tab/>
        <w:t>864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عودة الرهن الحيازي بزوال السبب الذي انقضى به الدين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866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انقضاء الرهن الحيازي بصفة أصلية</w:t>
      </w:r>
      <w:r>
        <w:rPr>
          <w:rFonts w:cs="Traditional Arabic" w:hint="cs"/>
          <w:color w:val="000000"/>
          <w:sz w:val="28"/>
          <w:szCs w:val="32"/>
          <w:rtl/>
        </w:rPr>
        <w:tab/>
      </w:r>
      <w:r>
        <w:rPr>
          <w:rFonts w:cs="Traditional Arabic" w:hint="cs"/>
          <w:color w:val="000000"/>
          <w:sz w:val="28"/>
          <w:szCs w:val="32"/>
          <w:rtl/>
        </w:rPr>
        <w:tab/>
        <w:t>866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أسباب الانقضاء</w:t>
      </w:r>
      <w:r>
        <w:rPr>
          <w:rFonts w:cs="Traditional Arabic" w:hint="cs"/>
          <w:color w:val="000000"/>
          <w:sz w:val="28"/>
          <w:szCs w:val="32"/>
          <w:rtl/>
        </w:rPr>
        <w:tab/>
      </w:r>
      <w:r>
        <w:rPr>
          <w:rFonts w:cs="Traditional Arabic" w:hint="cs"/>
          <w:color w:val="000000"/>
          <w:sz w:val="28"/>
          <w:szCs w:val="32"/>
          <w:rtl/>
        </w:rPr>
        <w:tab/>
        <w:t>868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أسباب ثلاثة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868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1 </w:t>
      </w:r>
      <w:r>
        <w:rPr>
          <w:rFonts w:cs="Traditional Arabic"/>
          <w:color w:val="000000"/>
          <w:sz w:val="28"/>
          <w:szCs w:val="32"/>
          <w:rtl/>
        </w:rPr>
        <w:t>–</w:t>
      </w:r>
      <w:r>
        <w:rPr>
          <w:rFonts w:cs="Traditional Arabic" w:hint="cs"/>
          <w:color w:val="000000"/>
          <w:sz w:val="28"/>
          <w:szCs w:val="32"/>
          <w:rtl/>
        </w:rPr>
        <w:t xml:space="preserve"> نزول الدائن المرتهن عن الرهن الحيازي</w:t>
      </w:r>
      <w:r>
        <w:rPr>
          <w:rFonts w:cs="Traditional Arabic" w:hint="cs"/>
          <w:color w:val="000000"/>
          <w:sz w:val="28"/>
          <w:szCs w:val="32"/>
          <w:rtl/>
        </w:rPr>
        <w:tab/>
      </w:r>
      <w:r>
        <w:rPr>
          <w:rFonts w:cs="Traditional Arabic" w:hint="cs"/>
          <w:color w:val="000000"/>
          <w:sz w:val="28"/>
          <w:szCs w:val="32"/>
          <w:rtl/>
        </w:rPr>
        <w:tab/>
        <w:t>871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871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الأهلية اللازمة لنزول الدائن المرتهن عن رهن الحيازة </w:t>
      </w:r>
      <w:r>
        <w:rPr>
          <w:rFonts w:cs="Traditional Arabic" w:hint="cs"/>
          <w:color w:val="000000"/>
          <w:sz w:val="28"/>
          <w:szCs w:val="32"/>
          <w:rtl/>
        </w:rPr>
        <w:tab/>
      </w:r>
      <w:r>
        <w:rPr>
          <w:rFonts w:cs="Traditional Arabic" w:hint="cs"/>
          <w:color w:val="000000"/>
          <w:sz w:val="28"/>
          <w:szCs w:val="32"/>
          <w:rtl/>
        </w:rPr>
        <w:tab/>
        <w:t>872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النزول الصريح والنزول الضمني</w:t>
      </w:r>
      <w:r>
        <w:rPr>
          <w:rFonts w:cs="Traditional Arabic" w:hint="cs"/>
          <w:color w:val="000000"/>
          <w:sz w:val="28"/>
          <w:szCs w:val="32"/>
          <w:rtl/>
        </w:rPr>
        <w:tab/>
      </w:r>
      <w:r>
        <w:rPr>
          <w:rFonts w:cs="Traditional Arabic" w:hint="cs"/>
          <w:color w:val="000000"/>
          <w:sz w:val="28"/>
          <w:szCs w:val="32"/>
          <w:rtl/>
        </w:rPr>
        <w:tab/>
        <w:t>872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استفادة النزول الضمني</w:t>
      </w:r>
      <w:r>
        <w:rPr>
          <w:rFonts w:cs="Traditional Arabic" w:hint="cs"/>
          <w:color w:val="000000"/>
          <w:sz w:val="28"/>
          <w:szCs w:val="32"/>
          <w:rtl/>
        </w:rPr>
        <w:tab/>
      </w:r>
      <w:r>
        <w:rPr>
          <w:rFonts w:cs="Traditional Arabic" w:hint="cs"/>
          <w:color w:val="000000"/>
          <w:sz w:val="28"/>
          <w:szCs w:val="32"/>
          <w:rtl/>
        </w:rPr>
        <w:tab/>
        <w:t>872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$1047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اتحاد الذمة </w:t>
      </w:r>
      <w:r>
        <w:rPr>
          <w:rFonts w:cs="Traditional Arabic" w:hint="cs"/>
          <w:color w:val="000000"/>
          <w:sz w:val="28"/>
          <w:szCs w:val="32"/>
          <w:rtl/>
        </w:rPr>
        <w:tab/>
      </w:r>
      <w:r>
        <w:rPr>
          <w:rFonts w:cs="Traditional Arabic" w:hint="cs"/>
          <w:color w:val="000000"/>
          <w:sz w:val="28"/>
          <w:szCs w:val="32"/>
          <w:rtl/>
        </w:rPr>
        <w:tab/>
        <w:t>874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r>
      <w:r>
        <w:rPr>
          <w:rFonts w:cs="Traditional Arabic" w:hint="cs"/>
          <w:color w:val="000000"/>
          <w:sz w:val="28"/>
          <w:szCs w:val="32"/>
          <w:rtl/>
        </w:rPr>
        <w:tab/>
        <w:t>874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كيف ينقضي الرهن باتحاد الذمة </w:t>
      </w:r>
      <w:r>
        <w:rPr>
          <w:rFonts w:cs="Traditional Arabic" w:hint="cs"/>
          <w:color w:val="000000"/>
          <w:sz w:val="28"/>
          <w:szCs w:val="32"/>
          <w:rtl/>
        </w:rPr>
        <w:tab/>
      </w:r>
      <w:r>
        <w:rPr>
          <w:rFonts w:cs="Traditional Arabic" w:hint="cs"/>
          <w:color w:val="000000"/>
          <w:sz w:val="28"/>
          <w:szCs w:val="32"/>
          <w:rtl/>
        </w:rPr>
        <w:tab/>
        <w:t>875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 أجنبي ارتهن حيازة </w:t>
      </w:r>
      <w:r>
        <w:rPr>
          <w:rFonts w:cs="Traditional Arabic" w:hint="cs"/>
          <w:color w:val="000000"/>
          <w:sz w:val="28"/>
          <w:szCs w:val="32"/>
          <w:rtl/>
        </w:rPr>
        <w:tab/>
      </w:r>
      <w:r>
        <w:rPr>
          <w:rFonts w:cs="Traditional Arabic" w:hint="cs"/>
          <w:color w:val="000000"/>
          <w:sz w:val="28"/>
          <w:szCs w:val="32"/>
          <w:rtl/>
        </w:rPr>
        <w:tab/>
        <w:t>876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استبقاء المالك لحق الرهن </w:t>
      </w:r>
      <w:r>
        <w:rPr>
          <w:rFonts w:cs="Traditional Arabic" w:hint="cs"/>
          <w:color w:val="000000"/>
          <w:sz w:val="28"/>
          <w:szCs w:val="32"/>
          <w:rtl/>
        </w:rPr>
        <w:tab/>
      </w:r>
      <w:r>
        <w:rPr>
          <w:rFonts w:cs="Traditional Arabic" w:hint="cs"/>
          <w:color w:val="000000"/>
          <w:sz w:val="28"/>
          <w:szCs w:val="32"/>
          <w:rtl/>
        </w:rPr>
        <w:tab/>
        <w:t>876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زوال اتحاد الذمة بأثر رجعي</w:t>
      </w:r>
      <w:r>
        <w:rPr>
          <w:rFonts w:cs="Traditional Arabic" w:hint="cs"/>
          <w:color w:val="000000"/>
          <w:sz w:val="28"/>
          <w:szCs w:val="32"/>
          <w:rtl/>
        </w:rPr>
        <w:tab/>
      </w:r>
      <w:r>
        <w:rPr>
          <w:rFonts w:cs="Traditional Arabic" w:hint="cs"/>
          <w:color w:val="000000"/>
          <w:sz w:val="28"/>
          <w:szCs w:val="32"/>
          <w:rtl/>
        </w:rPr>
        <w:tab/>
        <w:t>877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هلالك الشيء أو انقضاء الحق المرهون</w:t>
      </w:r>
      <w:r>
        <w:rPr>
          <w:rFonts w:cs="Traditional Arabic" w:hint="cs"/>
          <w:color w:val="000000"/>
          <w:sz w:val="28"/>
          <w:szCs w:val="32"/>
          <w:rtl/>
        </w:rPr>
        <w:tab/>
      </w:r>
      <w:r>
        <w:rPr>
          <w:rFonts w:cs="Traditional Arabic" w:hint="cs"/>
          <w:color w:val="000000"/>
          <w:sz w:val="28"/>
          <w:szCs w:val="32"/>
          <w:rtl/>
        </w:rPr>
        <w:tab/>
        <w:t>877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877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انقضاء الرهن الحيازي بهلاك الشيء</w:t>
      </w:r>
      <w:r>
        <w:rPr>
          <w:rFonts w:cs="Traditional Arabic" w:hint="cs"/>
          <w:color w:val="000000"/>
          <w:sz w:val="28"/>
          <w:szCs w:val="32"/>
          <w:rtl/>
        </w:rPr>
        <w:tab/>
      </w:r>
      <w:r>
        <w:rPr>
          <w:rFonts w:cs="Traditional Arabic" w:hint="cs"/>
          <w:color w:val="000000"/>
          <w:sz w:val="28"/>
          <w:szCs w:val="32"/>
          <w:rtl/>
        </w:rPr>
        <w:tab/>
        <w:t>878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انقضاء الرهن بانقضاء الحق المرهون </w:t>
      </w:r>
      <w:r>
        <w:rPr>
          <w:rFonts w:cs="Traditional Arabic"/>
          <w:color w:val="000000"/>
          <w:sz w:val="28"/>
          <w:szCs w:val="32"/>
          <w:rtl/>
        </w:rPr>
        <w:t>–</w:t>
      </w:r>
      <w:r>
        <w:rPr>
          <w:rFonts w:cs="Traditional Arabic" w:hint="cs"/>
          <w:color w:val="000000"/>
          <w:sz w:val="28"/>
          <w:szCs w:val="32"/>
          <w:rtl/>
        </w:rPr>
        <w:t xml:space="preserve"> حق الامتناع </w:t>
      </w:r>
      <w:r>
        <w:rPr>
          <w:rFonts w:cs="Traditional Arabic" w:hint="cs"/>
          <w:color w:val="000000"/>
          <w:sz w:val="28"/>
          <w:szCs w:val="32"/>
          <w:rtl/>
        </w:rPr>
        <w:tab/>
      </w:r>
      <w:r>
        <w:rPr>
          <w:rFonts w:cs="Traditional Arabic" w:hint="cs"/>
          <w:color w:val="000000"/>
          <w:sz w:val="28"/>
          <w:szCs w:val="32"/>
          <w:rtl/>
        </w:rPr>
        <w:tab/>
        <w:t>878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4 </w:t>
      </w:r>
      <w:r>
        <w:rPr>
          <w:rFonts w:cs="Traditional Arabic"/>
          <w:color w:val="000000"/>
          <w:sz w:val="28"/>
          <w:szCs w:val="32"/>
          <w:rtl/>
        </w:rPr>
        <w:t>–</w:t>
      </w:r>
      <w:r>
        <w:rPr>
          <w:rFonts w:cs="Traditional Arabic" w:hint="cs"/>
          <w:color w:val="000000"/>
          <w:sz w:val="28"/>
          <w:szCs w:val="32"/>
          <w:rtl/>
        </w:rPr>
        <w:t xml:space="preserve"> البيع الجبري</w:t>
      </w:r>
      <w:r>
        <w:rPr>
          <w:rFonts w:cs="Traditional Arabic" w:hint="cs"/>
          <w:color w:val="000000"/>
          <w:sz w:val="28"/>
          <w:szCs w:val="32"/>
          <w:rtl/>
        </w:rPr>
        <w:tab/>
      </w:r>
      <w:r>
        <w:rPr>
          <w:rFonts w:cs="Traditional Arabic" w:hint="cs"/>
          <w:color w:val="000000"/>
          <w:sz w:val="28"/>
          <w:szCs w:val="32"/>
          <w:rtl/>
        </w:rPr>
        <w:tab/>
        <w:t>879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تاريخ المسألة</w:t>
      </w:r>
      <w:r>
        <w:rPr>
          <w:rFonts w:cs="Traditional Arabic" w:hint="cs"/>
          <w:color w:val="000000"/>
          <w:sz w:val="28"/>
          <w:szCs w:val="32"/>
          <w:rtl/>
        </w:rPr>
        <w:tab/>
      </w:r>
      <w:r>
        <w:rPr>
          <w:rFonts w:cs="Traditional Arabic" w:hint="cs"/>
          <w:color w:val="000000"/>
          <w:sz w:val="28"/>
          <w:szCs w:val="32"/>
          <w:rtl/>
        </w:rPr>
        <w:tab/>
        <w:t>879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لا تعارض بين القانون المدني وقانون المرافعات في حالة معينة </w:t>
      </w:r>
      <w:r>
        <w:rPr>
          <w:rFonts w:cs="Traditional Arabic" w:hint="cs"/>
          <w:color w:val="000000"/>
          <w:sz w:val="28"/>
          <w:szCs w:val="32"/>
          <w:rtl/>
        </w:rPr>
        <w:tab/>
      </w:r>
      <w:r>
        <w:rPr>
          <w:rFonts w:cs="Traditional Arabic" w:hint="cs"/>
          <w:color w:val="000000"/>
          <w:sz w:val="28"/>
          <w:szCs w:val="32"/>
          <w:rtl/>
        </w:rPr>
        <w:tab/>
        <w:t>880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قانون المرافعات عدل القانون المدني في بقية الحالات</w:t>
      </w:r>
      <w:r>
        <w:rPr>
          <w:rFonts w:cs="Traditional Arabic" w:hint="cs"/>
          <w:color w:val="000000"/>
          <w:sz w:val="28"/>
          <w:szCs w:val="32"/>
          <w:rtl/>
        </w:rPr>
        <w:tab/>
      </w:r>
      <w:r>
        <w:rPr>
          <w:rFonts w:cs="Traditional Arabic" w:hint="cs"/>
          <w:color w:val="000000"/>
          <w:sz w:val="28"/>
          <w:szCs w:val="32"/>
          <w:rtl/>
        </w:rPr>
        <w:tab/>
        <w:t>880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5 </w:t>
      </w:r>
      <w:r>
        <w:rPr>
          <w:rFonts w:cs="Traditional Arabic"/>
          <w:color w:val="000000"/>
          <w:sz w:val="28"/>
          <w:szCs w:val="32"/>
          <w:rtl/>
        </w:rPr>
        <w:t>–</w:t>
      </w:r>
      <w:r>
        <w:rPr>
          <w:rFonts w:cs="Traditional Arabic" w:hint="cs"/>
          <w:color w:val="000000"/>
          <w:sz w:val="28"/>
          <w:szCs w:val="32"/>
          <w:rtl/>
        </w:rPr>
        <w:t xml:space="preserve"> فسخ الرهن الحيازي</w:t>
      </w:r>
      <w:r>
        <w:rPr>
          <w:rFonts w:cs="Traditional Arabic" w:hint="cs"/>
          <w:color w:val="000000"/>
          <w:sz w:val="28"/>
          <w:szCs w:val="32"/>
          <w:rtl/>
        </w:rPr>
        <w:tab/>
      </w:r>
      <w:r>
        <w:rPr>
          <w:rFonts w:cs="Traditional Arabic" w:hint="cs"/>
          <w:color w:val="000000"/>
          <w:sz w:val="28"/>
          <w:szCs w:val="32"/>
          <w:rtl/>
        </w:rPr>
        <w:tab/>
        <w:t>818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ضمان الدائن لسلامة الرهن ونفاذه </w:t>
      </w:r>
      <w:r>
        <w:rPr>
          <w:rFonts w:cs="Traditional Arabic" w:hint="cs"/>
          <w:color w:val="000000"/>
          <w:sz w:val="28"/>
          <w:szCs w:val="32"/>
          <w:rtl/>
        </w:rPr>
        <w:tab/>
      </w:r>
      <w:r>
        <w:rPr>
          <w:rFonts w:cs="Traditional Arabic" w:hint="cs"/>
          <w:color w:val="000000"/>
          <w:sz w:val="28"/>
          <w:szCs w:val="32"/>
          <w:rtl/>
        </w:rPr>
        <w:tab/>
        <w:t>881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إدارة الشيء المرهون</w:t>
      </w:r>
      <w:r>
        <w:rPr>
          <w:rFonts w:cs="Traditional Arabic" w:hint="cs"/>
          <w:color w:val="000000"/>
          <w:sz w:val="28"/>
          <w:szCs w:val="32"/>
          <w:rtl/>
        </w:rPr>
        <w:tab/>
      </w:r>
      <w:r>
        <w:rPr>
          <w:rFonts w:cs="Traditional Arabic" w:hint="cs"/>
          <w:color w:val="000000"/>
          <w:sz w:val="28"/>
          <w:szCs w:val="32"/>
          <w:rtl/>
        </w:rPr>
        <w:tab/>
        <w:t>881</w:t>
      </w:r>
    </w:p>
    <w:p w:rsidR="00F72742" w:rsidRPr="00867998"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867998">
        <w:rPr>
          <w:rFonts w:cs="Traditional Arabic" w:hint="cs"/>
          <w:b/>
          <w:bCs/>
          <w:color w:val="000000"/>
          <w:sz w:val="28"/>
          <w:szCs w:val="32"/>
          <w:rtl/>
        </w:rPr>
        <w:t xml:space="preserve">الفصل الرابع </w:t>
      </w:r>
      <w:r w:rsidRPr="00867998">
        <w:rPr>
          <w:rFonts w:cs="Traditional Arabic"/>
          <w:b/>
          <w:bCs/>
          <w:color w:val="000000"/>
          <w:sz w:val="28"/>
          <w:szCs w:val="32"/>
          <w:rtl/>
        </w:rPr>
        <w:t>–</w:t>
      </w:r>
      <w:r w:rsidRPr="00867998">
        <w:rPr>
          <w:rFonts w:cs="Traditional Arabic" w:hint="cs"/>
          <w:b/>
          <w:bCs/>
          <w:color w:val="000000"/>
          <w:sz w:val="28"/>
          <w:szCs w:val="32"/>
          <w:rtl/>
        </w:rPr>
        <w:t xml:space="preserve"> بعض أنواع الرهن الحيازي</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أنواع ثلاثة</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882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الرهن العقاري </w:t>
      </w:r>
      <w:r>
        <w:rPr>
          <w:rFonts w:cs="Traditional Arabic" w:hint="cs"/>
          <w:color w:val="000000"/>
          <w:sz w:val="28"/>
          <w:szCs w:val="32"/>
          <w:rtl/>
        </w:rPr>
        <w:tab/>
      </w:r>
      <w:r>
        <w:rPr>
          <w:rFonts w:cs="Traditional Arabic" w:hint="cs"/>
          <w:color w:val="000000"/>
          <w:sz w:val="28"/>
          <w:szCs w:val="32"/>
          <w:rtl/>
        </w:rPr>
        <w:tab/>
        <w:t>882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مواد ثلاث خاصة بالرهن العقاري </w:t>
      </w:r>
      <w:r>
        <w:rPr>
          <w:rFonts w:cs="Traditional Arabic" w:hint="cs"/>
          <w:color w:val="000000"/>
          <w:sz w:val="28"/>
          <w:szCs w:val="32"/>
          <w:rtl/>
        </w:rPr>
        <w:tab/>
      </w:r>
      <w:r>
        <w:rPr>
          <w:rFonts w:cs="Traditional Arabic" w:hint="cs"/>
          <w:color w:val="000000"/>
          <w:sz w:val="28"/>
          <w:szCs w:val="32"/>
          <w:rtl/>
        </w:rPr>
        <w:tab/>
        <w:t>882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$1048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نفاذ الرهن العقاري في حق الغير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جواز إيجار الدائن المرتهن للعقار المرهون إلى الراهن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حفظ الدائن المرتهن للعقار المرهون ودفع ما على العقار من ضرائب وتكاليف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887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رهن المنقول</w:t>
      </w:r>
      <w:r>
        <w:rPr>
          <w:rFonts w:cs="Traditional Arabic" w:hint="cs"/>
          <w:color w:val="000000"/>
          <w:sz w:val="28"/>
          <w:szCs w:val="32"/>
          <w:rtl/>
        </w:rPr>
        <w:tab/>
      </w:r>
      <w:r>
        <w:rPr>
          <w:rFonts w:cs="Traditional Arabic" w:hint="cs"/>
          <w:color w:val="000000"/>
          <w:sz w:val="28"/>
          <w:szCs w:val="32"/>
          <w:rtl/>
        </w:rPr>
        <w:tab/>
        <w:t>889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المواد الخاصة برهن المنقول </w:t>
      </w:r>
      <w:r>
        <w:rPr>
          <w:rFonts w:cs="Traditional Arabic" w:hint="cs"/>
          <w:color w:val="000000"/>
          <w:sz w:val="28"/>
          <w:szCs w:val="32"/>
          <w:rtl/>
        </w:rPr>
        <w:tab/>
      </w:r>
      <w:r>
        <w:rPr>
          <w:rFonts w:cs="Traditional Arabic" w:hint="cs"/>
          <w:color w:val="000000"/>
          <w:sz w:val="28"/>
          <w:szCs w:val="32"/>
          <w:rtl/>
        </w:rPr>
        <w:tab/>
        <w:t>889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المواد الخاصة برهن المنقول</w:t>
      </w:r>
      <w:r>
        <w:rPr>
          <w:rFonts w:cs="Traditional Arabic" w:hint="cs"/>
          <w:color w:val="000000"/>
          <w:sz w:val="28"/>
          <w:szCs w:val="32"/>
          <w:rtl/>
        </w:rPr>
        <w:tab/>
      </w:r>
      <w:r>
        <w:rPr>
          <w:rFonts w:cs="Traditional Arabic" w:hint="cs"/>
          <w:color w:val="000000"/>
          <w:sz w:val="28"/>
          <w:szCs w:val="32"/>
          <w:rtl/>
        </w:rPr>
        <w:tab/>
        <w:t>889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نفاذ رهن المنقول في حق الغير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890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سريان الآثار التي ت ترتب على حيازة المنقولات المادية والسندات لحاملها على رهن المنقول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892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طلب المرتهن أو الراهن الترخيص له في بيع المنقول المهدد بالهلاك أو التلف وانتقال الرهن من المنقول إلى ثمنه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895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طلب الراهن الترخيص له في بيع المنقول كصفقة رابحة قبل حلول أجل الدين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897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طلب الدائن المرتهن عند حلول أجل الدين الترخيص له في بيع المنقول أو الأمر بتمليكه إياه بثمنه بحسب تقدير الخبراء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899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وجوب عدم التعارض مع الأحكام الخاصة بالرهن التجاري وبيوت التسليف وأحوال خاصة في رهن المنقول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الثالث </w:t>
      </w:r>
      <w:r>
        <w:rPr>
          <w:rFonts w:cs="Traditional Arabic"/>
          <w:color w:val="000000"/>
          <w:sz w:val="28"/>
          <w:szCs w:val="32"/>
          <w:rtl/>
        </w:rPr>
        <w:t>–</w:t>
      </w:r>
      <w:r>
        <w:rPr>
          <w:rFonts w:cs="Traditional Arabic" w:hint="cs"/>
          <w:color w:val="000000"/>
          <w:sz w:val="28"/>
          <w:szCs w:val="32"/>
          <w:rtl/>
        </w:rPr>
        <w:t xml:space="preserve"> رهن الدين </w:t>
      </w:r>
      <w:r>
        <w:rPr>
          <w:rFonts w:cs="Traditional Arabic" w:hint="cs"/>
          <w:color w:val="000000"/>
          <w:sz w:val="28"/>
          <w:szCs w:val="32"/>
          <w:rtl/>
        </w:rPr>
        <w:tab/>
      </w:r>
      <w:r>
        <w:rPr>
          <w:rFonts w:cs="Traditional Arabic" w:hint="cs"/>
          <w:color w:val="000000"/>
          <w:sz w:val="28"/>
          <w:szCs w:val="32"/>
          <w:rtl/>
        </w:rPr>
        <w:tab/>
        <w:t>901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المواد الخاصة برهن الدين </w:t>
      </w:r>
      <w:r>
        <w:rPr>
          <w:rFonts w:cs="Traditional Arabic" w:hint="cs"/>
          <w:color w:val="000000"/>
          <w:sz w:val="28"/>
          <w:szCs w:val="32"/>
          <w:rtl/>
        </w:rPr>
        <w:tab/>
      </w:r>
      <w:r>
        <w:rPr>
          <w:rFonts w:cs="Traditional Arabic" w:hint="cs"/>
          <w:color w:val="000000"/>
          <w:sz w:val="28"/>
          <w:szCs w:val="32"/>
          <w:rtl/>
        </w:rPr>
        <w:tab/>
        <w:t>904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$1049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نفاذ رهن الدين في حق المدين وفي حق الغير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904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رهن السندات الأسمية والسندات الإذنية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906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عدم جواز رهن الدين غير القابل للحوالة أو للحجز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908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حقوق والتزامات الدائن المرتهن للدين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909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دفوع المدين ف يالدين المرهون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912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حلول الدين المرهون قبل حلول الدين المضمون بالرهن </w:t>
      </w:r>
      <w:r>
        <w:rPr>
          <w:rFonts w:cs="Traditional Arabic" w:hint="cs"/>
          <w:color w:val="000000"/>
          <w:sz w:val="28"/>
          <w:szCs w:val="32"/>
          <w:rtl/>
        </w:rPr>
        <w:tab/>
      </w:r>
      <w:r>
        <w:rPr>
          <w:rFonts w:cs="Traditional Arabic" w:hint="cs"/>
          <w:color w:val="000000"/>
          <w:sz w:val="28"/>
          <w:szCs w:val="32"/>
          <w:rtl/>
        </w:rPr>
        <w:tab/>
        <w:t>913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حلول الدين المرهون وحلول الدين المضمون بالرهن </w:t>
      </w:r>
      <w:r>
        <w:rPr>
          <w:rFonts w:cs="Traditional Arabic" w:hint="cs"/>
          <w:color w:val="000000"/>
          <w:sz w:val="28"/>
          <w:szCs w:val="32"/>
          <w:rtl/>
        </w:rPr>
        <w:tab/>
      </w:r>
      <w:r>
        <w:rPr>
          <w:rFonts w:cs="Traditional Arabic" w:hint="cs"/>
          <w:color w:val="000000"/>
          <w:sz w:val="28"/>
          <w:szCs w:val="32"/>
          <w:rtl/>
        </w:rPr>
        <w:tab/>
        <w:t>915</w:t>
      </w:r>
    </w:p>
    <w:p w:rsidR="00F72742" w:rsidRPr="00180660"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180660">
        <w:rPr>
          <w:rFonts w:cs="Traditional Arabic" w:hint="cs"/>
          <w:b/>
          <w:bCs/>
          <w:color w:val="000000"/>
          <w:sz w:val="28"/>
          <w:szCs w:val="32"/>
          <w:rtl/>
        </w:rPr>
        <w:t xml:space="preserve">الباب الرابع </w:t>
      </w:r>
      <w:r w:rsidRPr="00180660">
        <w:rPr>
          <w:rFonts w:cs="Traditional Arabic"/>
          <w:b/>
          <w:bCs/>
          <w:color w:val="000000"/>
          <w:sz w:val="28"/>
          <w:szCs w:val="32"/>
          <w:rtl/>
        </w:rPr>
        <w:t>–</w:t>
      </w:r>
      <w:r w:rsidRPr="00180660">
        <w:rPr>
          <w:rFonts w:cs="Traditional Arabic" w:hint="cs"/>
          <w:b/>
          <w:bCs/>
          <w:color w:val="000000"/>
          <w:sz w:val="28"/>
          <w:szCs w:val="32"/>
          <w:rtl/>
        </w:rPr>
        <w:t xml:space="preserve"> حقوق الامتياز</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تمهيد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تعريف حق الامتياز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918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اختلاف حق الامتياز عن سائر الحقوق العينية التبعية </w:t>
      </w:r>
      <w:r>
        <w:rPr>
          <w:rFonts w:cs="Traditional Arabic" w:hint="cs"/>
          <w:color w:val="000000"/>
          <w:sz w:val="28"/>
          <w:szCs w:val="32"/>
          <w:rtl/>
        </w:rPr>
        <w:tab/>
      </w:r>
      <w:r>
        <w:rPr>
          <w:rFonts w:cs="Traditional Arabic" w:hint="cs"/>
          <w:color w:val="000000"/>
          <w:sz w:val="28"/>
          <w:szCs w:val="32"/>
          <w:rtl/>
        </w:rPr>
        <w:tab/>
        <w:t>921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اقتراب حق الامتياز من سائر الحقوق العينية التبعية </w:t>
      </w:r>
      <w:r>
        <w:rPr>
          <w:rFonts w:cs="Traditional Arabic" w:hint="cs"/>
          <w:color w:val="000000"/>
          <w:sz w:val="28"/>
          <w:szCs w:val="32"/>
          <w:rtl/>
        </w:rPr>
        <w:tab/>
      </w:r>
      <w:r>
        <w:rPr>
          <w:rFonts w:cs="Traditional Arabic" w:hint="cs"/>
          <w:color w:val="000000"/>
          <w:sz w:val="28"/>
          <w:szCs w:val="32"/>
          <w:rtl/>
        </w:rPr>
        <w:tab/>
        <w:t>922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أقسام حق الامتياز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924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أحكام أقسام حق الامتياز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928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 الامتياز وحيازة المنقول بحسن نية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931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مرتبة الامتياز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933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هلاك الشيء المثقل بالامتياز أو تلفه </w:t>
      </w:r>
      <w:r>
        <w:rPr>
          <w:rFonts w:cs="Traditional Arabic"/>
          <w:color w:val="000000"/>
          <w:sz w:val="28"/>
          <w:szCs w:val="32"/>
          <w:rtl/>
        </w:rPr>
        <w:t>–</w:t>
      </w:r>
      <w:r>
        <w:rPr>
          <w:rFonts w:cs="Traditional Arabic" w:hint="cs"/>
          <w:color w:val="000000"/>
          <w:sz w:val="28"/>
          <w:szCs w:val="32"/>
          <w:rtl/>
        </w:rPr>
        <w:t xml:space="preserve"> نص قانوني </w:t>
      </w:r>
      <w:r>
        <w:rPr>
          <w:rFonts w:cs="Traditional Arabic" w:hint="cs"/>
          <w:color w:val="000000"/>
          <w:sz w:val="28"/>
          <w:szCs w:val="32"/>
          <w:rtl/>
        </w:rPr>
        <w:tab/>
      </w:r>
      <w:r>
        <w:rPr>
          <w:rFonts w:cs="Traditional Arabic" w:hint="cs"/>
          <w:color w:val="000000"/>
          <w:sz w:val="28"/>
          <w:szCs w:val="32"/>
          <w:rtl/>
        </w:rPr>
        <w:tab/>
        <w:t>935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انقضاء حق الامتياز </w:t>
      </w:r>
      <w:r>
        <w:rPr>
          <w:rFonts w:cs="Traditional Arabic"/>
          <w:color w:val="000000"/>
          <w:sz w:val="28"/>
          <w:szCs w:val="32"/>
          <w:rtl/>
        </w:rPr>
        <w:t>–</w:t>
      </w:r>
      <w:r>
        <w:rPr>
          <w:rFonts w:cs="Traditional Arabic" w:hint="cs"/>
          <w:color w:val="000000"/>
          <w:sz w:val="28"/>
          <w:szCs w:val="32"/>
          <w:rtl/>
        </w:rPr>
        <w:t xml:space="preserve"> نص قانوني</w:t>
      </w:r>
      <w:r>
        <w:rPr>
          <w:rFonts w:cs="Traditional Arabic" w:hint="cs"/>
          <w:color w:val="000000"/>
          <w:sz w:val="28"/>
          <w:szCs w:val="32"/>
          <w:rtl/>
        </w:rPr>
        <w:tab/>
      </w:r>
      <w:r>
        <w:rPr>
          <w:rFonts w:cs="Traditional Arabic" w:hint="cs"/>
          <w:color w:val="000000"/>
          <w:sz w:val="28"/>
          <w:szCs w:val="32"/>
          <w:rtl/>
        </w:rPr>
        <w:tab/>
        <w:t>937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نظرة عامة من المذكرة الإيضاحية على حقوق الامتياز</w:t>
      </w:r>
      <w:r>
        <w:rPr>
          <w:rFonts w:cs="Traditional Arabic" w:hint="cs"/>
          <w:color w:val="000000"/>
          <w:sz w:val="28"/>
          <w:szCs w:val="32"/>
          <w:rtl/>
        </w:rPr>
        <w:tab/>
      </w:r>
      <w:r>
        <w:rPr>
          <w:rFonts w:cs="Traditional Arabic" w:hint="cs"/>
          <w:color w:val="000000"/>
          <w:sz w:val="28"/>
          <w:szCs w:val="32"/>
          <w:rtl/>
        </w:rPr>
        <w:tab/>
        <w:t>938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خطة البحث </w:t>
      </w:r>
      <w:r>
        <w:rPr>
          <w:rFonts w:cs="Traditional Arabic" w:hint="cs"/>
          <w:color w:val="000000"/>
          <w:sz w:val="28"/>
          <w:szCs w:val="32"/>
          <w:rtl/>
        </w:rPr>
        <w:tab/>
      </w:r>
      <w:r>
        <w:rPr>
          <w:rFonts w:cs="Traditional Arabic" w:hint="cs"/>
          <w:color w:val="000000"/>
          <w:sz w:val="28"/>
          <w:szCs w:val="32"/>
          <w:rtl/>
        </w:rPr>
        <w:tab/>
        <w:t xml:space="preserve">940 </w:t>
      </w:r>
    </w:p>
    <w:p w:rsidR="00F72742" w:rsidRPr="00D9324A"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D9324A">
        <w:rPr>
          <w:rFonts w:cs="Traditional Arabic" w:hint="cs"/>
          <w:b/>
          <w:bCs/>
          <w:color w:val="000000"/>
          <w:sz w:val="28"/>
          <w:szCs w:val="32"/>
          <w:rtl/>
        </w:rPr>
        <w:t xml:space="preserve">الفصل الأول </w:t>
      </w:r>
      <w:r w:rsidRPr="00D9324A">
        <w:rPr>
          <w:rFonts w:cs="Traditional Arabic"/>
          <w:b/>
          <w:bCs/>
          <w:color w:val="000000"/>
          <w:sz w:val="28"/>
          <w:szCs w:val="32"/>
          <w:rtl/>
        </w:rPr>
        <w:t>–</w:t>
      </w:r>
      <w:r w:rsidRPr="00D9324A">
        <w:rPr>
          <w:rFonts w:cs="Traditional Arabic" w:hint="cs"/>
          <w:b/>
          <w:bCs/>
          <w:color w:val="000000"/>
          <w:sz w:val="28"/>
          <w:szCs w:val="32"/>
          <w:rtl/>
        </w:rPr>
        <w:t xml:space="preserve"> حقوق الامتياز العامة</w:t>
      </w:r>
    </w:p>
    <w:p w:rsidR="00F72742" w:rsidRPr="00D9324A"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D9324A">
        <w:rPr>
          <w:rFonts w:cs="Traditional Arabic" w:hint="cs"/>
          <w:b/>
          <w:bCs/>
          <w:color w:val="000000"/>
          <w:sz w:val="28"/>
          <w:szCs w:val="32"/>
          <w:rtl/>
        </w:rPr>
        <w:t>وحقوق الامتياز الخاصة الواقعة على منقول</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مبحثان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941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الأول </w:t>
      </w:r>
      <w:r>
        <w:rPr>
          <w:rFonts w:cs="Traditional Arabic"/>
          <w:color w:val="000000"/>
          <w:sz w:val="28"/>
          <w:szCs w:val="32"/>
          <w:rtl/>
        </w:rPr>
        <w:t>–</w:t>
      </w:r>
      <w:r>
        <w:rPr>
          <w:rFonts w:cs="Traditional Arabic" w:hint="cs"/>
          <w:color w:val="000000"/>
          <w:sz w:val="28"/>
          <w:szCs w:val="32"/>
          <w:rtl/>
        </w:rPr>
        <w:t xml:space="preserve"> حقوق الامتياز العامة وحقوق الامتياز الخاصة التي تتقدمها </w:t>
      </w:r>
      <w:r>
        <w:rPr>
          <w:rFonts w:cs="Traditional Arabic" w:hint="cs"/>
          <w:color w:val="000000"/>
          <w:sz w:val="28"/>
          <w:szCs w:val="32"/>
          <w:rtl/>
        </w:rPr>
        <w:tab/>
      </w:r>
      <w:r>
        <w:rPr>
          <w:rFonts w:cs="Traditional Arabic" w:hint="cs"/>
          <w:color w:val="000000"/>
          <w:sz w:val="28"/>
          <w:szCs w:val="32"/>
          <w:rtl/>
        </w:rPr>
        <w:tab/>
        <w:t>942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تناول حقوق الامتياز وفقاً لترتيبها</w:t>
      </w:r>
      <w:r>
        <w:rPr>
          <w:rFonts w:cs="Traditional Arabic" w:hint="cs"/>
          <w:color w:val="000000"/>
          <w:sz w:val="28"/>
          <w:szCs w:val="32"/>
          <w:rtl/>
        </w:rPr>
        <w:tab/>
      </w:r>
      <w:r>
        <w:rPr>
          <w:rFonts w:cs="Traditional Arabic" w:hint="cs"/>
          <w:color w:val="000000"/>
          <w:sz w:val="28"/>
          <w:szCs w:val="32"/>
          <w:rtl/>
        </w:rPr>
        <w:tab/>
        <w:t>942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حقوق امتياز أربعة </w:t>
      </w:r>
      <w:r>
        <w:rPr>
          <w:rFonts w:cs="Traditional Arabic" w:hint="cs"/>
          <w:color w:val="000000"/>
          <w:sz w:val="28"/>
          <w:szCs w:val="32"/>
          <w:rtl/>
        </w:rPr>
        <w:tab/>
      </w:r>
      <w:r>
        <w:rPr>
          <w:rFonts w:cs="Traditional Arabic" w:hint="cs"/>
          <w:color w:val="000000"/>
          <w:sz w:val="28"/>
          <w:szCs w:val="32"/>
          <w:rtl/>
        </w:rPr>
        <w:tab/>
        <w:t>942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 </w:t>
      </w:r>
      <w:r>
        <w:rPr>
          <w:rFonts w:cs="Traditional Arabic"/>
          <w:color w:val="000000"/>
          <w:sz w:val="28"/>
          <w:szCs w:val="32"/>
          <w:rtl/>
        </w:rPr>
        <w:t>–</w:t>
      </w:r>
      <w:r>
        <w:rPr>
          <w:rFonts w:cs="Traditional Arabic" w:hint="cs"/>
          <w:color w:val="000000"/>
          <w:sz w:val="28"/>
          <w:szCs w:val="32"/>
          <w:rtl/>
        </w:rPr>
        <w:t xml:space="preserve"> المصروفات القضائية</w:t>
      </w:r>
      <w:r>
        <w:rPr>
          <w:rFonts w:cs="Traditional Arabic" w:hint="cs"/>
          <w:color w:val="000000"/>
          <w:sz w:val="28"/>
          <w:szCs w:val="32"/>
          <w:rtl/>
        </w:rPr>
        <w:tab/>
      </w:r>
      <w:r>
        <w:rPr>
          <w:rFonts w:cs="Traditional Arabic" w:hint="cs"/>
          <w:color w:val="000000"/>
          <w:sz w:val="28"/>
          <w:szCs w:val="32"/>
          <w:rtl/>
        </w:rPr>
        <w:tab/>
        <w:t>942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942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944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946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946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المبالغ المستحقة للخزانة العامة</w:t>
      </w:r>
      <w:r>
        <w:rPr>
          <w:rFonts w:cs="Traditional Arabic" w:hint="cs"/>
          <w:color w:val="000000"/>
          <w:sz w:val="28"/>
          <w:szCs w:val="32"/>
          <w:rtl/>
        </w:rPr>
        <w:tab/>
      </w:r>
      <w:r>
        <w:rPr>
          <w:rFonts w:cs="Traditional Arabic" w:hint="cs"/>
          <w:color w:val="000000"/>
          <w:sz w:val="28"/>
          <w:szCs w:val="32"/>
          <w:rtl/>
        </w:rPr>
        <w:tab/>
        <w:t>948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948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t>949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950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التتبع</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مصروفات لحفظ والترميم </w:t>
      </w:r>
      <w:r>
        <w:rPr>
          <w:rFonts w:cs="Traditional Arabic" w:hint="cs"/>
          <w:color w:val="000000"/>
          <w:sz w:val="28"/>
          <w:szCs w:val="32"/>
          <w:rtl/>
        </w:rPr>
        <w:tab/>
      </w:r>
      <w:r>
        <w:rPr>
          <w:rFonts w:cs="Traditional Arabic" w:hint="cs"/>
          <w:color w:val="000000"/>
          <w:sz w:val="28"/>
          <w:szCs w:val="32"/>
          <w:rtl/>
        </w:rPr>
        <w:tab/>
        <w:t>952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952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953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محل الامتياز </w:t>
      </w:r>
      <w:r>
        <w:rPr>
          <w:rFonts w:cs="Traditional Arabic" w:hint="cs"/>
          <w:color w:val="000000"/>
          <w:sz w:val="28"/>
          <w:szCs w:val="32"/>
          <w:rtl/>
        </w:rPr>
        <w:tab/>
      </w:r>
      <w:r>
        <w:rPr>
          <w:rFonts w:cs="Traditional Arabic" w:hint="cs"/>
          <w:color w:val="000000"/>
          <w:sz w:val="28"/>
          <w:szCs w:val="32"/>
          <w:rtl/>
        </w:rPr>
        <w:tab/>
        <w:t>955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955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$1051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 الحبس وحق التتبع </w:t>
      </w:r>
      <w:r>
        <w:rPr>
          <w:rFonts w:cs="Traditional Arabic" w:hint="cs"/>
          <w:color w:val="000000"/>
          <w:sz w:val="28"/>
          <w:szCs w:val="32"/>
          <w:rtl/>
        </w:rPr>
        <w:tab/>
      </w:r>
      <w:r>
        <w:rPr>
          <w:rFonts w:cs="Traditional Arabic" w:hint="cs"/>
          <w:color w:val="000000"/>
          <w:sz w:val="28"/>
          <w:szCs w:val="32"/>
          <w:rtl/>
        </w:rPr>
        <w:tab/>
        <w:t>956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4 </w:t>
      </w:r>
      <w:r>
        <w:rPr>
          <w:rFonts w:cs="Traditional Arabic"/>
          <w:color w:val="000000"/>
          <w:sz w:val="28"/>
          <w:szCs w:val="32"/>
          <w:rtl/>
        </w:rPr>
        <w:t>–</w:t>
      </w:r>
      <w:r>
        <w:rPr>
          <w:rFonts w:cs="Traditional Arabic" w:hint="cs"/>
          <w:color w:val="000000"/>
          <w:sz w:val="28"/>
          <w:szCs w:val="32"/>
          <w:rtl/>
        </w:rPr>
        <w:t xml:space="preserve"> حقوق الامتياز العامة</w:t>
      </w:r>
      <w:r>
        <w:rPr>
          <w:rFonts w:cs="Traditional Arabic" w:hint="cs"/>
          <w:color w:val="000000"/>
          <w:sz w:val="28"/>
          <w:szCs w:val="32"/>
          <w:rtl/>
        </w:rPr>
        <w:tab/>
      </w:r>
      <w:r>
        <w:rPr>
          <w:rFonts w:cs="Traditional Arabic" w:hint="cs"/>
          <w:color w:val="000000"/>
          <w:sz w:val="28"/>
          <w:szCs w:val="32"/>
          <w:rtl/>
        </w:rPr>
        <w:tab/>
        <w:t>956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959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أجر الخدم والكتبة والعمال وكل أجير آخر</w:t>
      </w:r>
      <w:r>
        <w:rPr>
          <w:rFonts w:cs="Traditional Arabic" w:hint="cs"/>
          <w:color w:val="000000"/>
          <w:sz w:val="28"/>
          <w:szCs w:val="32"/>
          <w:rtl/>
        </w:rPr>
        <w:tab/>
      </w:r>
      <w:r>
        <w:rPr>
          <w:rFonts w:cs="Traditional Arabic" w:hint="cs"/>
          <w:color w:val="000000"/>
          <w:sz w:val="28"/>
          <w:szCs w:val="32"/>
          <w:rtl/>
        </w:rPr>
        <w:tab/>
        <w:t>959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المبالغ المستحقة لموردي المأكل والملبس</w:t>
      </w:r>
      <w:r>
        <w:rPr>
          <w:rFonts w:cs="Traditional Arabic" w:hint="cs"/>
          <w:color w:val="000000"/>
          <w:sz w:val="28"/>
          <w:szCs w:val="32"/>
          <w:rtl/>
        </w:rPr>
        <w:tab/>
      </w:r>
      <w:r>
        <w:rPr>
          <w:rFonts w:cs="Traditional Arabic" w:hint="cs"/>
          <w:color w:val="000000"/>
          <w:sz w:val="28"/>
          <w:szCs w:val="32"/>
          <w:rtl/>
        </w:rPr>
        <w:tab/>
        <w:t>691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نفقة الزوجة والأقارب</w:t>
      </w:r>
      <w:r>
        <w:rPr>
          <w:rFonts w:cs="Traditional Arabic" w:hint="cs"/>
          <w:color w:val="000000"/>
          <w:sz w:val="28"/>
          <w:szCs w:val="32"/>
          <w:rtl/>
        </w:rPr>
        <w:tab/>
      </w:r>
      <w:r>
        <w:rPr>
          <w:rFonts w:cs="Traditional Arabic" w:hint="cs"/>
          <w:color w:val="000000"/>
          <w:sz w:val="28"/>
          <w:szCs w:val="32"/>
          <w:rtl/>
        </w:rPr>
        <w:tab/>
        <w:t>962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عدم الشهر وعدم التتبع</w:t>
      </w:r>
      <w:r>
        <w:rPr>
          <w:rFonts w:cs="Traditional Arabic" w:hint="cs"/>
          <w:color w:val="000000"/>
          <w:sz w:val="28"/>
          <w:szCs w:val="32"/>
          <w:rtl/>
        </w:rPr>
        <w:tab/>
      </w:r>
      <w:r>
        <w:rPr>
          <w:rFonts w:cs="Traditional Arabic" w:hint="cs"/>
          <w:color w:val="000000"/>
          <w:sz w:val="28"/>
          <w:szCs w:val="32"/>
          <w:rtl/>
        </w:rPr>
        <w:tab/>
        <w:t>963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المبحث الثاني </w:t>
      </w:r>
      <w:r>
        <w:rPr>
          <w:rFonts w:cs="Traditional Arabic"/>
          <w:color w:val="000000"/>
          <w:sz w:val="28"/>
          <w:szCs w:val="32"/>
          <w:rtl/>
        </w:rPr>
        <w:t>–</w:t>
      </w:r>
      <w:r>
        <w:rPr>
          <w:rFonts w:cs="Traditional Arabic" w:hint="cs"/>
          <w:color w:val="000000"/>
          <w:sz w:val="28"/>
          <w:szCs w:val="32"/>
          <w:rtl/>
        </w:rPr>
        <w:t xml:space="preserve"> حقوق الامتياز الخاصة على منقول المتأخرة عن حقوق الامتياز العامة</w:t>
      </w:r>
      <w:r>
        <w:rPr>
          <w:rFonts w:cs="Traditional Arabic" w:hint="cs"/>
          <w:color w:val="000000"/>
          <w:sz w:val="28"/>
          <w:szCs w:val="32"/>
          <w:rtl/>
        </w:rPr>
        <w:tab/>
      </w:r>
      <w:r>
        <w:rPr>
          <w:rFonts w:cs="Traditional Arabic" w:hint="cs"/>
          <w:color w:val="000000"/>
          <w:sz w:val="28"/>
          <w:szCs w:val="32"/>
          <w:rtl/>
        </w:rPr>
        <w:tab/>
        <w:t>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حقوق امتياز خمسة</w:t>
      </w:r>
      <w:r>
        <w:rPr>
          <w:rFonts w:cs="Traditional Arabic" w:hint="cs"/>
          <w:color w:val="000000"/>
          <w:sz w:val="28"/>
          <w:szCs w:val="32"/>
          <w:rtl/>
        </w:rPr>
        <w:tab/>
      </w:r>
      <w:r>
        <w:rPr>
          <w:rFonts w:cs="Traditional Arabic" w:hint="cs"/>
          <w:color w:val="000000"/>
          <w:sz w:val="28"/>
          <w:szCs w:val="32"/>
          <w:rtl/>
        </w:rPr>
        <w:tab/>
        <w:t>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 </w:t>
      </w:r>
      <w:r>
        <w:rPr>
          <w:rFonts w:cs="Traditional Arabic"/>
          <w:color w:val="000000"/>
          <w:sz w:val="28"/>
          <w:szCs w:val="32"/>
          <w:rtl/>
        </w:rPr>
        <w:t>–</w:t>
      </w:r>
      <w:r>
        <w:rPr>
          <w:rFonts w:cs="Traditional Arabic" w:hint="cs"/>
          <w:color w:val="000000"/>
          <w:sz w:val="28"/>
          <w:szCs w:val="32"/>
          <w:rtl/>
        </w:rPr>
        <w:t xml:space="preserve"> امتياز مصروفات الزراعة والمبالغ المستحقة في مقابل آلات الزراعة</w:t>
      </w:r>
      <w:r>
        <w:rPr>
          <w:rFonts w:cs="Traditional Arabic" w:hint="cs"/>
          <w:color w:val="000000"/>
          <w:sz w:val="28"/>
          <w:szCs w:val="32"/>
          <w:rtl/>
        </w:rPr>
        <w:tab/>
      </w:r>
      <w:r>
        <w:rPr>
          <w:rFonts w:cs="Traditional Arabic" w:hint="cs"/>
          <w:color w:val="000000"/>
          <w:sz w:val="28"/>
          <w:szCs w:val="32"/>
          <w:rtl/>
        </w:rPr>
        <w:tab/>
        <w:t>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966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المبالغ المنصرفة في أعمال الزراعة والحصاد</w:t>
      </w:r>
      <w:r>
        <w:rPr>
          <w:rFonts w:cs="Traditional Arabic" w:hint="cs"/>
          <w:color w:val="000000"/>
          <w:sz w:val="28"/>
          <w:szCs w:val="32"/>
          <w:rtl/>
        </w:rPr>
        <w:tab/>
      </w:r>
      <w:r>
        <w:rPr>
          <w:rFonts w:cs="Traditional Arabic" w:hint="cs"/>
          <w:color w:val="000000"/>
          <w:sz w:val="28"/>
          <w:szCs w:val="32"/>
          <w:rtl/>
        </w:rPr>
        <w:tab/>
        <w:t>966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المبالغ المستحقة في مقابل آلات الزراعة </w:t>
      </w:r>
      <w:r>
        <w:rPr>
          <w:rFonts w:cs="Traditional Arabic" w:hint="cs"/>
          <w:color w:val="000000"/>
          <w:sz w:val="28"/>
          <w:szCs w:val="32"/>
          <w:rtl/>
        </w:rPr>
        <w:tab/>
      </w:r>
      <w:r>
        <w:rPr>
          <w:rFonts w:cs="Traditional Arabic" w:hint="cs"/>
          <w:color w:val="000000"/>
          <w:sz w:val="28"/>
          <w:szCs w:val="32"/>
          <w:rtl/>
        </w:rPr>
        <w:tab/>
        <w:t>968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 بالنسبة إلى المبالغ المنصرفة في أعمال الزراعة والحصاد</w:t>
      </w:r>
      <w:r>
        <w:rPr>
          <w:rFonts w:cs="Traditional Arabic" w:hint="cs"/>
          <w:color w:val="000000"/>
          <w:sz w:val="28"/>
          <w:szCs w:val="32"/>
          <w:rtl/>
        </w:rPr>
        <w:tab/>
      </w:r>
      <w:r>
        <w:rPr>
          <w:rFonts w:cs="Traditional Arabic" w:hint="cs"/>
          <w:color w:val="000000"/>
          <w:sz w:val="28"/>
          <w:szCs w:val="32"/>
          <w:rtl/>
        </w:rPr>
        <w:tab/>
        <w:t>969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محل الامتياز بالنسبة إلى المبالغ المستحقة في مقابل آلات الزراعة </w:t>
      </w:r>
      <w:r>
        <w:rPr>
          <w:rFonts w:cs="Traditional Arabic" w:hint="cs"/>
          <w:color w:val="000000"/>
          <w:sz w:val="28"/>
          <w:szCs w:val="32"/>
          <w:rtl/>
        </w:rPr>
        <w:tab/>
      </w:r>
      <w:r>
        <w:rPr>
          <w:rFonts w:cs="Traditional Arabic" w:hint="cs"/>
          <w:color w:val="000000"/>
          <w:sz w:val="28"/>
          <w:szCs w:val="32"/>
          <w:rtl/>
        </w:rPr>
        <w:tab/>
        <w:t>969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مرتبة الامتياز </w:t>
      </w:r>
      <w:r>
        <w:rPr>
          <w:rFonts w:cs="Traditional Arabic" w:hint="cs"/>
          <w:color w:val="000000"/>
          <w:sz w:val="28"/>
          <w:szCs w:val="32"/>
          <w:rtl/>
        </w:rPr>
        <w:tab/>
      </w:r>
      <w:r>
        <w:rPr>
          <w:rFonts w:cs="Traditional Arabic" w:hint="cs"/>
          <w:color w:val="000000"/>
          <w:sz w:val="28"/>
          <w:szCs w:val="32"/>
          <w:rtl/>
        </w:rPr>
        <w:tab/>
        <w:t>970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امتياز المؤجر</w:t>
      </w:r>
      <w:r>
        <w:rPr>
          <w:rFonts w:cs="Traditional Arabic" w:hint="cs"/>
          <w:color w:val="000000"/>
          <w:sz w:val="28"/>
          <w:szCs w:val="32"/>
          <w:rtl/>
        </w:rPr>
        <w:tab/>
      </w:r>
      <w:r>
        <w:rPr>
          <w:rFonts w:cs="Traditional Arabic" w:hint="cs"/>
          <w:color w:val="000000"/>
          <w:sz w:val="28"/>
          <w:szCs w:val="32"/>
          <w:rtl/>
        </w:rPr>
        <w:tab/>
        <w:t>970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970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أ ) الحق الممتاز</w:t>
      </w:r>
      <w:r>
        <w:rPr>
          <w:rFonts w:cs="Traditional Arabic" w:hint="cs"/>
          <w:color w:val="000000"/>
          <w:sz w:val="28"/>
          <w:szCs w:val="32"/>
          <w:rtl/>
        </w:rPr>
        <w:tab/>
      </w:r>
      <w:r>
        <w:rPr>
          <w:rFonts w:cs="Traditional Arabic" w:hint="cs"/>
          <w:color w:val="000000"/>
          <w:sz w:val="28"/>
          <w:szCs w:val="32"/>
          <w:rtl/>
        </w:rPr>
        <w:tab/>
        <w:t>974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 المؤجر الناشئ من عقد إيجار صحيح </w:t>
      </w:r>
      <w:r>
        <w:rPr>
          <w:rFonts w:cs="Traditional Arabic" w:hint="cs"/>
          <w:color w:val="000000"/>
          <w:sz w:val="28"/>
          <w:szCs w:val="32"/>
          <w:rtl/>
        </w:rPr>
        <w:tab/>
      </w:r>
      <w:r>
        <w:rPr>
          <w:rFonts w:cs="Traditional Arabic" w:hint="cs"/>
          <w:color w:val="000000"/>
          <w:sz w:val="28"/>
          <w:szCs w:val="32"/>
          <w:rtl/>
        </w:rPr>
        <w:tab/>
        <w:t>974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يجب أن يكون محل الإيجار عقاراً </w:t>
      </w:r>
      <w:r>
        <w:rPr>
          <w:rFonts w:cs="Traditional Arabic" w:hint="cs"/>
          <w:color w:val="000000"/>
          <w:sz w:val="28"/>
          <w:szCs w:val="32"/>
          <w:rtl/>
        </w:rPr>
        <w:tab/>
      </w:r>
      <w:r>
        <w:rPr>
          <w:rFonts w:cs="Traditional Arabic" w:hint="cs"/>
          <w:color w:val="000000"/>
          <w:sz w:val="28"/>
          <w:szCs w:val="32"/>
          <w:rtl/>
        </w:rPr>
        <w:tab/>
        <w:t>975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الأجرة لا تزيد على أجرة سنتين </w:t>
      </w:r>
      <w:r>
        <w:rPr>
          <w:rFonts w:cs="Traditional Arabic" w:hint="cs"/>
          <w:color w:val="000000"/>
          <w:sz w:val="28"/>
          <w:szCs w:val="32"/>
          <w:rtl/>
        </w:rPr>
        <w:tab/>
      </w:r>
      <w:r>
        <w:rPr>
          <w:rFonts w:cs="Traditional Arabic" w:hint="cs"/>
          <w:color w:val="000000"/>
          <w:sz w:val="28"/>
          <w:szCs w:val="32"/>
          <w:rtl/>
        </w:rPr>
        <w:tab/>
        <w:t>976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الحقوق الممتازة الناشئة عن عقد الإيجار</w:t>
      </w:r>
      <w:r>
        <w:rPr>
          <w:rFonts w:cs="Traditional Arabic" w:hint="cs"/>
          <w:color w:val="000000"/>
          <w:sz w:val="28"/>
          <w:szCs w:val="32"/>
          <w:rtl/>
        </w:rPr>
        <w:tab/>
      </w:r>
      <w:r>
        <w:rPr>
          <w:rFonts w:cs="Traditional Arabic" w:hint="cs"/>
          <w:color w:val="000000"/>
          <w:sz w:val="28"/>
          <w:szCs w:val="32"/>
          <w:rtl/>
        </w:rPr>
        <w:tab/>
        <w:t>976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الحقوق الممتازة الناشئة عن عقد الإيجار</w:t>
      </w:r>
      <w:r>
        <w:rPr>
          <w:rFonts w:cs="Traditional Arabic" w:hint="cs"/>
          <w:color w:val="000000"/>
          <w:sz w:val="28"/>
          <w:szCs w:val="32"/>
          <w:rtl/>
        </w:rPr>
        <w:tab/>
      </w:r>
      <w:r>
        <w:rPr>
          <w:rFonts w:cs="Traditional Arabic" w:hint="cs"/>
          <w:color w:val="000000"/>
          <w:sz w:val="28"/>
          <w:szCs w:val="32"/>
          <w:rtl/>
        </w:rPr>
        <w:tab/>
        <w:t>976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ب ) محل الامتياز </w:t>
      </w:r>
      <w:r>
        <w:rPr>
          <w:rFonts w:cs="Traditional Arabic" w:hint="cs"/>
          <w:color w:val="000000"/>
          <w:sz w:val="28"/>
          <w:szCs w:val="32"/>
          <w:rtl/>
        </w:rPr>
        <w:tab/>
      </w:r>
      <w:r>
        <w:rPr>
          <w:rFonts w:cs="Traditional Arabic" w:hint="cs"/>
          <w:color w:val="000000"/>
          <w:sz w:val="28"/>
          <w:szCs w:val="32"/>
          <w:rtl/>
        </w:rPr>
        <w:tab/>
        <w:t>977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المنقولات التي تجهز بها العين المؤجرة </w:t>
      </w:r>
      <w:r>
        <w:rPr>
          <w:rFonts w:cs="Traditional Arabic" w:hint="cs"/>
          <w:color w:val="000000"/>
          <w:sz w:val="28"/>
          <w:szCs w:val="32"/>
          <w:rtl/>
        </w:rPr>
        <w:tab/>
      </w:r>
      <w:r>
        <w:rPr>
          <w:rFonts w:cs="Traditional Arabic" w:hint="cs"/>
          <w:color w:val="000000"/>
          <w:sz w:val="28"/>
          <w:szCs w:val="32"/>
          <w:rtl/>
        </w:rPr>
        <w:tab/>
        <w:t>977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المنقولات المملوكة لزوجة المستأجر</w:t>
      </w:r>
      <w:r>
        <w:rPr>
          <w:rFonts w:cs="Traditional Arabic" w:hint="cs"/>
          <w:color w:val="000000"/>
          <w:sz w:val="28"/>
          <w:szCs w:val="32"/>
          <w:rtl/>
        </w:rPr>
        <w:tab/>
      </w:r>
      <w:r>
        <w:rPr>
          <w:rFonts w:cs="Traditional Arabic" w:hint="cs"/>
          <w:color w:val="000000"/>
          <w:sz w:val="28"/>
          <w:szCs w:val="32"/>
          <w:rtl/>
        </w:rPr>
        <w:tab/>
        <w:t>979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المنقولات المملوكة للمستأجر من الباطن </w:t>
      </w:r>
      <w:r>
        <w:rPr>
          <w:rFonts w:cs="Traditional Arabic" w:hint="cs"/>
          <w:color w:val="000000"/>
          <w:sz w:val="28"/>
          <w:szCs w:val="32"/>
          <w:rtl/>
        </w:rPr>
        <w:tab/>
      </w:r>
      <w:r>
        <w:rPr>
          <w:rFonts w:cs="Traditional Arabic" w:hint="cs"/>
          <w:color w:val="000000"/>
          <w:sz w:val="28"/>
          <w:szCs w:val="32"/>
          <w:rtl/>
        </w:rPr>
        <w:tab/>
        <w:t>981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نقل الأموال المثقلة بالامتياز من العين المؤجرة </w:t>
      </w:r>
      <w:r>
        <w:rPr>
          <w:rFonts w:cs="Traditional Arabic" w:hint="cs"/>
          <w:color w:val="000000"/>
          <w:sz w:val="28"/>
          <w:szCs w:val="32"/>
          <w:rtl/>
        </w:rPr>
        <w:tab/>
      </w:r>
      <w:r>
        <w:rPr>
          <w:rFonts w:cs="Traditional Arabic" w:hint="cs"/>
          <w:color w:val="000000"/>
          <w:sz w:val="28"/>
          <w:szCs w:val="32"/>
          <w:rtl/>
        </w:rPr>
        <w:tab/>
        <w:t>982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حبس المنقولات</w:t>
      </w:r>
      <w:r>
        <w:rPr>
          <w:rFonts w:cs="Traditional Arabic" w:hint="cs"/>
          <w:color w:val="000000"/>
          <w:sz w:val="28"/>
          <w:szCs w:val="32"/>
          <w:rtl/>
        </w:rPr>
        <w:tab/>
      </w:r>
      <w:r>
        <w:rPr>
          <w:rFonts w:cs="Traditional Arabic" w:hint="cs"/>
          <w:color w:val="000000"/>
          <w:sz w:val="28"/>
          <w:szCs w:val="32"/>
          <w:rtl/>
        </w:rPr>
        <w:tab/>
        <w:t>983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توقيع الحجز التحفظي </w:t>
      </w:r>
      <w:r>
        <w:rPr>
          <w:rFonts w:cs="Traditional Arabic" w:hint="cs"/>
          <w:color w:val="000000"/>
          <w:sz w:val="28"/>
          <w:szCs w:val="32"/>
          <w:rtl/>
        </w:rPr>
        <w:tab/>
      </w:r>
      <w:r>
        <w:rPr>
          <w:rFonts w:cs="Traditional Arabic" w:hint="cs"/>
          <w:color w:val="000000"/>
          <w:sz w:val="28"/>
          <w:szCs w:val="32"/>
          <w:rtl/>
        </w:rPr>
        <w:tab/>
        <w:t>984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جـ ) مرتبة الامتياز </w:t>
      </w:r>
      <w:r>
        <w:rPr>
          <w:rFonts w:cs="Traditional Arabic" w:hint="cs"/>
          <w:color w:val="000000"/>
          <w:sz w:val="28"/>
          <w:szCs w:val="32"/>
          <w:rtl/>
        </w:rPr>
        <w:tab/>
      </w:r>
      <w:r>
        <w:rPr>
          <w:rFonts w:cs="Traditional Arabic" w:hint="cs"/>
          <w:color w:val="000000"/>
          <w:sz w:val="28"/>
          <w:szCs w:val="32"/>
          <w:rtl/>
        </w:rPr>
        <w:tab/>
        <w:t>984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استثناء الحقوق غير النفاذة في حق المؤجر</w:t>
      </w:r>
      <w:r>
        <w:rPr>
          <w:rFonts w:cs="Traditional Arabic" w:hint="cs"/>
          <w:color w:val="000000"/>
          <w:sz w:val="28"/>
          <w:szCs w:val="32"/>
          <w:rtl/>
        </w:rPr>
        <w:tab/>
      </w:r>
      <w:r>
        <w:rPr>
          <w:rFonts w:cs="Traditional Arabic" w:hint="cs"/>
          <w:color w:val="000000"/>
          <w:sz w:val="28"/>
          <w:szCs w:val="32"/>
          <w:rtl/>
        </w:rPr>
        <w:tab/>
        <w:t>985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امتياز صاحب الفندق</w:t>
      </w:r>
      <w:r>
        <w:rPr>
          <w:rFonts w:cs="Traditional Arabic" w:hint="cs"/>
          <w:color w:val="000000"/>
          <w:sz w:val="28"/>
          <w:szCs w:val="32"/>
          <w:rtl/>
        </w:rPr>
        <w:tab/>
      </w:r>
      <w:r>
        <w:rPr>
          <w:rFonts w:cs="Traditional Arabic" w:hint="cs"/>
          <w:color w:val="000000"/>
          <w:sz w:val="28"/>
          <w:szCs w:val="32"/>
          <w:rtl/>
        </w:rPr>
        <w:tab/>
        <w:t>985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985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988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989</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$1053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حق التتبع </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4 </w:t>
      </w:r>
      <w:r>
        <w:rPr>
          <w:rFonts w:cs="Traditional Arabic"/>
          <w:color w:val="000000"/>
          <w:sz w:val="28"/>
          <w:szCs w:val="32"/>
          <w:rtl/>
        </w:rPr>
        <w:t>–</w:t>
      </w:r>
      <w:r>
        <w:rPr>
          <w:rFonts w:cs="Traditional Arabic" w:hint="cs"/>
          <w:color w:val="000000"/>
          <w:sz w:val="28"/>
          <w:szCs w:val="32"/>
          <w:rtl/>
        </w:rPr>
        <w:t xml:space="preserve"> امتياز بائع المنقول</w:t>
      </w:r>
      <w:r>
        <w:rPr>
          <w:rFonts w:cs="Traditional Arabic" w:hint="cs"/>
          <w:color w:val="000000"/>
          <w:sz w:val="28"/>
          <w:szCs w:val="32"/>
          <w:rtl/>
        </w:rPr>
        <w:tab/>
      </w:r>
      <w:r>
        <w:rPr>
          <w:rFonts w:cs="Traditional Arabic" w:hint="cs"/>
          <w:color w:val="000000"/>
          <w:sz w:val="28"/>
          <w:szCs w:val="32"/>
          <w:rtl/>
        </w:rPr>
        <w:tab/>
        <w:t>990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993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993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 التتبع</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5 </w:t>
      </w:r>
      <w:r>
        <w:rPr>
          <w:rFonts w:cs="Traditional Arabic"/>
          <w:color w:val="000000"/>
          <w:sz w:val="28"/>
          <w:szCs w:val="32"/>
          <w:rtl/>
        </w:rPr>
        <w:t>–</w:t>
      </w:r>
      <w:r>
        <w:rPr>
          <w:rFonts w:cs="Traditional Arabic" w:hint="cs"/>
          <w:color w:val="000000"/>
          <w:sz w:val="28"/>
          <w:szCs w:val="32"/>
          <w:rtl/>
        </w:rPr>
        <w:t xml:space="preserve"> امتياز المتقاسم في المنقول</w:t>
      </w:r>
      <w:r>
        <w:rPr>
          <w:rFonts w:cs="Traditional Arabic" w:hint="cs"/>
          <w:color w:val="000000"/>
          <w:sz w:val="28"/>
          <w:szCs w:val="32"/>
          <w:rtl/>
        </w:rPr>
        <w:tab/>
      </w:r>
      <w:r>
        <w:rPr>
          <w:rFonts w:cs="Traditional Arabic" w:hint="cs"/>
          <w:color w:val="000000"/>
          <w:sz w:val="28"/>
          <w:szCs w:val="32"/>
          <w:rtl/>
        </w:rPr>
        <w:tab/>
        <w:t>994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r>
      <w:r>
        <w:rPr>
          <w:rFonts w:cs="Traditional Arabic" w:hint="cs"/>
          <w:color w:val="000000"/>
          <w:sz w:val="28"/>
          <w:szCs w:val="32"/>
          <w:rtl/>
        </w:rPr>
        <w:tab/>
        <w:t>996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r>
      <w:r>
        <w:rPr>
          <w:rFonts w:cs="Traditional Arabic" w:hint="cs"/>
          <w:color w:val="000000"/>
          <w:sz w:val="28"/>
          <w:szCs w:val="32"/>
          <w:rtl/>
        </w:rPr>
        <w:tab/>
        <w:t>996</w:t>
      </w:r>
    </w:p>
    <w:p w:rsidR="00F72742" w:rsidRPr="00245EFC"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245EFC">
        <w:rPr>
          <w:rFonts w:cs="Traditional Arabic" w:hint="cs"/>
          <w:b/>
          <w:bCs/>
          <w:color w:val="000000"/>
          <w:sz w:val="28"/>
          <w:szCs w:val="32"/>
          <w:rtl/>
        </w:rPr>
        <w:t xml:space="preserve">الفصل الثاني </w:t>
      </w:r>
      <w:r w:rsidRPr="00245EFC">
        <w:rPr>
          <w:rFonts w:cs="Traditional Arabic"/>
          <w:b/>
          <w:bCs/>
          <w:color w:val="000000"/>
          <w:sz w:val="28"/>
          <w:szCs w:val="32"/>
          <w:rtl/>
        </w:rPr>
        <w:t>–</w:t>
      </w:r>
      <w:r w:rsidRPr="00245EFC">
        <w:rPr>
          <w:rFonts w:cs="Traditional Arabic" w:hint="cs"/>
          <w:b/>
          <w:bCs/>
          <w:color w:val="000000"/>
          <w:sz w:val="28"/>
          <w:szCs w:val="32"/>
          <w:rtl/>
        </w:rPr>
        <w:t xml:space="preserve"> حقوق الامتياز الخاصة</w:t>
      </w:r>
    </w:p>
    <w:p w:rsidR="00F72742" w:rsidRDefault="00F72742" w:rsidP="00F72742">
      <w:pPr>
        <w:widowControl w:val="0"/>
        <w:tabs>
          <w:tab w:val="left" w:pos="404"/>
          <w:tab w:val="left" w:pos="764"/>
          <w:tab w:val="left" w:pos="944"/>
          <w:tab w:val="left" w:leader="dot" w:pos="7604"/>
          <w:tab w:val="left" w:pos="7964"/>
        </w:tabs>
        <w:jc w:val="center"/>
        <w:rPr>
          <w:rFonts w:cs="Traditional Arabic" w:hint="cs"/>
          <w:color w:val="000000"/>
          <w:sz w:val="28"/>
          <w:szCs w:val="32"/>
          <w:rtl/>
        </w:rPr>
      </w:pPr>
      <w:r w:rsidRPr="00245EFC">
        <w:rPr>
          <w:rFonts w:cs="Traditional Arabic" w:hint="cs"/>
          <w:b/>
          <w:bCs/>
          <w:color w:val="000000"/>
          <w:sz w:val="28"/>
          <w:szCs w:val="32"/>
          <w:rtl/>
        </w:rPr>
        <w:t>الواقعة على عقار</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حقوق الامتياز الخاصة العقارية</w:t>
      </w:r>
      <w:r>
        <w:rPr>
          <w:rFonts w:cs="Traditional Arabic" w:hint="cs"/>
          <w:color w:val="000000"/>
          <w:sz w:val="28"/>
          <w:szCs w:val="32"/>
          <w:rtl/>
        </w:rPr>
        <w:tab/>
      </w:r>
      <w:r>
        <w:rPr>
          <w:rFonts w:cs="Traditional Arabic" w:hint="cs"/>
          <w:color w:val="000000"/>
          <w:sz w:val="28"/>
          <w:szCs w:val="32"/>
          <w:rtl/>
        </w:rPr>
        <w:tab/>
        <w:t>996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6 </w:t>
      </w:r>
      <w:r>
        <w:rPr>
          <w:rFonts w:cs="Traditional Arabic"/>
          <w:color w:val="000000"/>
          <w:sz w:val="28"/>
          <w:szCs w:val="32"/>
          <w:rtl/>
        </w:rPr>
        <w:t>–</w:t>
      </w:r>
      <w:r>
        <w:rPr>
          <w:rFonts w:cs="Traditional Arabic" w:hint="cs"/>
          <w:color w:val="000000"/>
          <w:sz w:val="28"/>
          <w:szCs w:val="32"/>
          <w:rtl/>
        </w:rPr>
        <w:t xml:space="preserve"> امتياز بائع العقار</w:t>
      </w:r>
      <w:r>
        <w:rPr>
          <w:rFonts w:cs="Traditional Arabic" w:hint="cs"/>
          <w:color w:val="000000"/>
          <w:sz w:val="28"/>
          <w:szCs w:val="32"/>
          <w:rtl/>
        </w:rPr>
        <w:tab/>
      </w:r>
      <w:r>
        <w:rPr>
          <w:rFonts w:cs="Traditional Arabic" w:hint="cs"/>
          <w:color w:val="000000"/>
          <w:sz w:val="28"/>
          <w:szCs w:val="32"/>
          <w:rtl/>
        </w:rPr>
        <w:tab/>
        <w:t>997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الحق الممتاز</w:t>
      </w:r>
      <w:r>
        <w:rPr>
          <w:rFonts w:cs="Traditional Arabic" w:hint="cs"/>
          <w:color w:val="000000"/>
          <w:sz w:val="28"/>
          <w:szCs w:val="32"/>
          <w:rtl/>
        </w:rPr>
        <w:tab/>
      </w:r>
      <w:r>
        <w:rPr>
          <w:rFonts w:cs="Traditional Arabic" w:hint="cs"/>
          <w:color w:val="000000"/>
          <w:sz w:val="28"/>
          <w:szCs w:val="32"/>
          <w:rtl/>
        </w:rPr>
        <w:tab/>
      </w:r>
      <w:r>
        <w:rPr>
          <w:rFonts w:cs="Traditional Arabic" w:hint="cs"/>
          <w:color w:val="000000"/>
          <w:sz w:val="28"/>
          <w:szCs w:val="32"/>
          <w:rtl/>
        </w:rPr>
        <w:tab/>
        <w:t>998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محل الامتياز </w:t>
      </w:r>
      <w:r>
        <w:rPr>
          <w:rFonts w:cs="Traditional Arabic" w:hint="cs"/>
          <w:color w:val="000000"/>
          <w:sz w:val="28"/>
          <w:szCs w:val="32"/>
          <w:rtl/>
        </w:rPr>
        <w:tab/>
        <w:t xml:space="preserve">  1000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مرتبة الامتياز </w:t>
      </w:r>
      <w:r>
        <w:rPr>
          <w:rFonts w:cs="Traditional Arabic" w:hint="cs"/>
          <w:color w:val="000000"/>
          <w:sz w:val="28"/>
          <w:szCs w:val="32"/>
          <w:rtl/>
        </w:rPr>
        <w:tab/>
        <w:t xml:space="preserve">  1000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lastRenderedPageBreak/>
        <w:t xml:space="preserve">2 </w:t>
      </w:r>
      <w:r>
        <w:rPr>
          <w:rFonts w:cs="Traditional Arabic"/>
          <w:color w:val="000000"/>
          <w:sz w:val="28"/>
          <w:szCs w:val="32"/>
          <w:rtl/>
        </w:rPr>
        <w:t>–</w:t>
      </w:r>
      <w:r>
        <w:rPr>
          <w:rFonts w:cs="Traditional Arabic" w:hint="cs"/>
          <w:color w:val="000000"/>
          <w:sz w:val="28"/>
          <w:szCs w:val="32"/>
          <w:rtl/>
        </w:rPr>
        <w:t xml:space="preserve"> امتياز المهندسين والمقاولين </w:t>
      </w:r>
      <w:r>
        <w:rPr>
          <w:rFonts w:cs="Traditional Arabic" w:hint="cs"/>
          <w:color w:val="000000"/>
          <w:sz w:val="28"/>
          <w:szCs w:val="32"/>
          <w:rtl/>
        </w:rPr>
        <w:tab/>
        <w:t xml:space="preserve"> 1001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نص قانوني </w:t>
      </w:r>
      <w:r>
        <w:rPr>
          <w:rFonts w:cs="Traditional Arabic" w:hint="cs"/>
          <w:color w:val="000000"/>
          <w:sz w:val="28"/>
          <w:szCs w:val="32"/>
          <w:rtl/>
        </w:rPr>
        <w:tab/>
        <w:t xml:space="preserve"> 1001</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الحق الممتاز </w:t>
      </w:r>
      <w:r>
        <w:rPr>
          <w:rFonts w:cs="Traditional Arabic" w:hint="cs"/>
          <w:color w:val="000000"/>
          <w:sz w:val="28"/>
          <w:szCs w:val="32"/>
          <w:rtl/>
        </w:rPr>
        <w:tab/>
        <w:t xml:space="preserve"> 1002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محل الامتياز </w:t>
      </w:r>
      <w:r>
        <w:rPr>
          <w:rFonts w:cs="Traditional Arabic" w:hint="cs"/>
          <w:color w:val="000000"/>
          <w:sz w:val="28"/>
          <w:szCs w:val="32"/>
          <w:rtl/>
        </w:rPr>
        <w:tab/>
        <w:t xml:space="preserve"> 1003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شهر الامتياز </w:t>
      </w:r>
      <w:r>
        <w:rPr>
          <w:rFonts w:cs="Traditional Arabic" w:hint="cs"/>
          <w:color w:val="000000"/>
          <w:sz w:val="28"/>
          <w:szCs w:val="32"/>
          <w:rtl/>
        </w:rPr>
        <w:tab/>
        <w:t xml:space="preserve"> 1004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مرتبة الامتياز</w:t>
      </w:r>
      <w:r>
        <w:rPr>
          <w:rFonts w:cs="Traditional Arabic" w:hint="cs"/>
          <w:color w:val="000000"/>
          <w:sz w:val="28"/>
          <w:szCs w:val="32"/>
          <w:rtl/>
        </w:rPr>
        <w:tab/>
        <w:t xml:space="preserve"> 1005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امتياز المتقاسم في العقار</w:t>
      </w:r>
      <w:r>
        <w:rPr>
          <w:rFonts w:cs="Traditional Arabic" w:hint="cs"/>
          <w:color w:val="000000"/>
          <w:sz w:val="28"/>
          <w:szCs w:val="32"/>
          <w:rtl/>
        </w:rPr>
        <w:tab/>
        <w:t xml:space="preserve"> 1005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نص قانوني</w:t>
      </w:r>
      <w:r>
        <w:rPr>
          <w:rFonts w:cs="Traditional Arabic" w:hint="cs"/>
          <w:color w:val="000000"/>
          <w:sz w:val="28"/>
          <w:szCs w:val="32"/>
          <w:rtl/>
        </w:rPr>
        <w:tab/>
      </w:r>
      <w:r>
        <w:rPr>
          <w:rFonts w:cs="Traditional Arabic" w:hint="cs"/>
          <w:color w:val="000000"/>
          <w:sz w:val="28"/>
          <w:szCs w:val="32"/>
          <w:rtl/>
        </w:rPr>
        <w:tab/>
        <w:t xml:space="preserve"> 1005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الحق الممتاز </w:t>
      </w:r>
      <w:r>
        <w:rPr>
          <w:rFonts w:cs="Traditional Arabic" w:hint="cs"/>
          <w:color w:val="000000"/>
          <w:sz w:val="28"/>
          <w:szCs w:val="32"/>
          <w:rtl/>
        </w:rPr>
        <w:tab/>
        <w:t xml:space="preserve"> 1006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محل الامتياز</w:t>
      </w:r>
      <w:r>
        <w:rPr>
          <w:rFonts w:cs="Traditional Arabic" w:hint="cs"/>
          <w:color w:val="000000"/>
          <w:sz w:val="28"/>
          <w:szCs w:val="32"/>
          <w:rtl/>
        </w:rPr>
        <w:tab/>
        <w:t xml:space="preserve"> 1006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شهر الامتياز </w:t>
      </w:r>
      <w:r>
        <w:rPr>
          <w:rFonts w:cs="Traditional Arabic" w:hint="cs"/>
          <w:color w:val="000000"/>
          <w:sz w:val="28"/>
          <w:szCs w:val="32"/>
          <w:rtl/>
        </w:rPr>
        <w:tab/>
        <w:t xml:space="preserve"> 1007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مرتبة الامتياز </w:t>
      </w:r>
      <w:r>
        <w:rPr>
          <w:rFonts w:cs="Traditional Arabic" w:hint="cs"/>
          <w:color w:val="000000"/>
          <w:sz w:val="28"/>
          <w:szCs w:val="32"/>
          <w:rtl/>
        </w:rPr>
        <w:tab/>
        <w:t xml:space="preserve"> 1007</w:t>
      </w:r>
    </w:p>
    <w:p w:rsidR="00F72742" w:rsidRPr="00D165F2"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Pr>
          <w:rFonts w:cs="Traditional Arabic"/>
          <w:color w:val="000000"/>
          <w:sz w:val="28"/>
          <w:szCs w:val="32"/>
          <w:rtl/>
        </w:rPr>
        <w:br w:type="page"/>
      </w:r>
      <w:r w:rsidRPr="00D165F2">
        <w:rPr>
          <w:rFonts w:cs="Traditional Arabic" w:hint="cs"/>
          <w:b/>
          <w:bCs/>
          <w:color w:val="000000"/>
          <w:sz w:val="28"/>
          <w:szCs w:val="32"/>
          <w:rtl/>
        </w:rPr>
        <w:lastRenderedPageBreak/>
        <w:t>أجزاء الوسيط وقد ظهرت كلها</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الأول </w:t>
      </w:r>
      <w:r>
        <w:rPr>
          <w:rFonts w:cs="Traditional Arabic"/>
          <w:color w:val="000000"/>
          <w:sz w:val="28"/>
          <w:szCs w:val="32"/>
          <w:rtl/>
        </w:rPr>
        <w:t>–</w:t>
      </w:r>
      <w:r>
        <w:rPr>
          <w:rFonts w:cs="Traditional Arabic" w:hint="cs"/>
          <w:color w:val="000000"/>
          <w:sz w:val="28"/>
          <w:szCs w:val="32"/>
          <w:rtl/>
        </w:rPr>
        <w:t xml:space="preserve"> في مصادر الالتزام           الطبعة الأولى سنة 1952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ab/>
        <w:t xml:space="preserve">                                        الطبعة الثانية  سنة 1964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الثاني </w:t>
      </w:r>
      <w:r>
        <w:rPr>
          <w:rFonts w:cs="Traditional Arabic"/>
          <w:color w:val="000000"/>
          <w:sz w:val="28"/>
          <w:szCs w:val="32"/>
          <w:rtl/>
        </w:rPr>
        <w:t>–</w:t>
      </w:r>
      <w:r>
        <w:rPr>
          <w:rFonts w:cs="Traditional Arabic" w:hint="cs"/>
          <w:color w:val="000000"/>
          <w:sz w:val="28"/>
          <w:szCs w:val="32"/>
          <w:rtl/>
        </w:rPr>
        <w:t xml:space="preserve"> في الإثبات وآثار الالتزام .....    سنة 1956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الثالث </w:t>
      </w:r>
      <w:r>
        <w:rPr>
          <w:rFonts w:cs="Traditional Arabic"/>
          <w:color w:val="000000"/>
          <w:sz w:val="28"/>
          <w:szCs w:val="32"/>
          <w:rtl/>
        </w:rPr>
        <w:t>–</w:t>
      </w:r>
      <w:r>
        <w:rPr>
          <w:rFonts w:cs="Traditional Arabic" w:hint="cs"/>
          <w:color w:val="000000"/>
          <w:sz w:val="28"/>
          <w:szCs w:val="32"/>
          <w:rtl/>
        </w:rPr>
        <w:t xml:space="preserve"> في أوصاف الالتزام وحوالته وانقضائه .. سنة 1958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الرابع </w:t>
      </w:r>
      <w:r>
        <w:rPr>
          <w:rFonts w:cs="Traditional Arabic"/>
          <w:color w:val="000000"/>
          <w:sz w:val="28"/>
          <w:szCs w:val="32"/>
          <w:rtl/>
        </w:rPr>
        <w:t>–</w:t>
      </w:r>
      <w:r>
        <w:rPr>
          <w:rFonts w:cs="Traditional Arabic" w:hint="cs"/>
          <w:color w:val="000000"/>
          <w:sz w:val="28"/>
          <w:szCs w:val="32"/>
          <w:rtl/>
        </w:rPr>
        <w:t xml:space="preserve"> في البيع والمقايضة  ... سنة 1960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الخامس </w:t>
      </w:r>
      <w:r>
        <w:rPr>
          <w:rFonts w:cs="Traditional Arabic"/>
          <w:color w:val="000000"/>
          <w:sz w:val="28"/>
          <w:szCs w:val="32"/>
          <w:rtl/>
        </w:rPr>
        <w:t>–</w:t>
      </w:r>
      <w:r>
        <w:rPr>
          <w:rFonts w:cs="Traditional Arabic" w:hint="cs"/>
          <w:color w:val="000000"/>
          <w:sz w:val="28"/>
          <w:szCs w:val="32"/>
          <w:rtl/>
        </w:rPr>
        <w:t xml:space="preserve"> في العقود الأخرى الواردة على الملكية ( الهبة والشركة والقرض والدخل الدائم والصلح ) سنة 1962</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السادس </w:t>
      </w:r>
      <w:r>
        <w:rPr>
          <w:rFonts w:cs="Traditional Arabic"/>
          <w:color w:val="000000"/>
          <w:sz w:val="28"/>
          <w:szCs w:val="32"/>
          <w:rtl/>
        </w:rPr>
        <w:t>–</w:t>
      </w:r>
      <w:r>
        <w:rPr>
          <w:rFonts w:cs="Traditional Arabic" w:hint="cs"/>
          <w:color w:val="000000"/>
          <w:sz w:val="28"/>
          <w:szCs w:val="32"/>
          <w:rtl/>
        </w:rPr>
        <w:t xml:space="preserve"> ( مجلدان ) في العقود الواردة على المنفعة ( الإيجار والعارية )  سنة 1963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السابع </w:t>
      </w:r>
      <w:r>
        <w:rPr>
          <w:rFonts w:cs="Traditional Arabic"/>
          <w:color w:val="000000"/>
          <w:sz w:val="28"/>
          <w:szCs w:val="32"/>
          <w:rtl/>
        </w:rPr>
        <w:t>–</w:t>
      </w:r>
      <w:r>
        <w:rPr>
          <w:rFonts w:cs="Traditional Arabic" w:hint="cs"/>
          <w:color w:val="000000"/>
          <w:sz w:val="28"/>
          <w:szCs w:val="32"/>
          <w:rtl/>
        </w:rPr>
        <w:t xml:space="preserve"> ( مجلدان ) في العقود الواردة على المنفعة ( الإيجار والعارية )   سنة 1963</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السابع </w:t>
      </w:r>
      <w:r>
        <w:rPr>
          <w:rFonts w:cs="Traditional Arabic"/>
          <w:color w:val="000000"/>
          <w:sz w:val="28"/>
          <w:szCs w:val="32"/>
          <w:rtl/>
        </w:rPr>
        <w:t>–</w:t>
      </w:r>
      <w:r>
        <w:rPr>
          <w:rFonts w:cs="Traditional Arabic" w:hint="cs"/>
          <w:color w:val="000000"/>
          <w:sz w:val="28"/>
          <w:szCs w:val="32"/>
          <w:rtl/>
        </w:rPr>
        <w:t xml:space="preserve"> ( مجلدان ) </w:t>
      </w:r>
      <w:r>
        <w:rPr>
          <w:rFonts w:cs="Traditional Arabic"/>
          <w:color w:val="000000"/>
          <w:sz w:val="28"/>
          <w:szCs w:val="32"/>
          <w:rtl/>
        </w:rPr>
        <w:t>–</w:t>
      </w:r>
      <w:r>
        <w:rPr>
          <w:rFonts w:cs="Traditional Arabic" w:hint="cs"/>
          <w:color w:val="000000"/>
          <w:sz w:val="28"/>
          <w:szCs w:val="32"/>
          <w:rtl/>
        </w:rPr>
        <w:t xml:space="preserve"> المجلد الأول في العقود الواردة على العمل ( المقاولة والوكالة والوديعة والحراسة ) </w:t>
      </w:r>
      <w:r>
        <w:rPr>
          <w:rFonts w:cs="Traditional Arabic"/>
          <w:color w:val="000000"/>
          <w:sz w:val="28"/>
          <w:szCs w:val="32"/>
          <w:rtl/>
        </w:rPr>
        <w:t>–</w:t>
      </w:r>
      <w:r>
        <w:rPr>
          <w:rFonts w:cs="Traditional Arabic" w:hint="cs"/>
          <w:color w:val="000000"/>
          <w:sz w:val="28"/>
          <w:szCs w:val="32"/>
          <w:rtl/>
        </w:rPr>
        <w:t xml:space="preserve"> المجلد الثاني في عقود الغرر ( عقد التأمين والمقامرة والرهان والمرتب مدى الحياة ) سنة 1964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الثامن </w:t>
      </w:r>
      <w:r>
        <w:rPr>
          <w:rFonts w:cs="Traditional Arabic"/>
          <w:color w:val="000000"/>
          <w:sz w:val="28"/>
          <w:szCs w:val="32"/>
          <w:rtl/>
        </w:rPr>
        <w:t>–</w:t>
      </w:r>
      <w:r>
        <w:rPr>
          <w:rFonts w:cs="Traditional Arabic" w:hint="cs"/>
          <w:color w:val="000000"/>
          <w:sz w:val="28"/>
          <w:szCs w:val="32"/>
          <w:rtl/>
        </w:rPr>
        <w:t xml:space="preserve"> في حق الملكية ( مع شرح مفصل للأشياء والأموال ) ... سنة 1967</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التاسع </w:t>
      </w:r>
      <w:r>
        <w:rPr>
          <w:rFonts w:cs="Traditional Arabic"/>
          <w:color w:val="000000"/>
          <w:sz w:val="28"/>
          <w:szCs w:val="32"/>
          <w:rtl/>
        </w:rPr>
        <w:t>–</w:t>
      </w:r>
      <w:r>
        <w:rPr>
          <w:rFonts w:cs="Traditional Arabic" w:hint="cs"/>
          <w:color w:val="000000"/>
          <w:sz w:val="28"/>
          <w:szCs w:val="32"/>
          <w:rtl/>
        </w:rPr>
        <w:t xml:space="preserve"> في أسباب كسب الملكية </w:t>
      </w:r>
      <w:r>
        <w:rPr>
          <w:rFonts w:cs="Traditional Arabic"/>
          <w:color w:val="000000"/>
          <w:sz w:val="28"/>
          <w:szCs w:val="32"/>
          <w:rtl/>
        </w:rPr>
        <w:t>–</w:t>
      </w:r>
      <w:r>
        <w:rPr>
          <w:rFonts w:cs="Traditional Arabic" w:hint="cs"/>
          <w:color w:val="000000"/>
          <w:sz w:val="28"/>
          <w:szCs w:val="32"/>
          <w:rtl/>
        </w:rPr>
        <w:t xml:space="preserve"> الحقوق الأصلية المتفرعة عن الملكية ( حق الانتفاع وحق الارتفاق ) .... سنة 1968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color w:val="000000"/>
          <w:sz w:val="28"/>
          <w:szCs w:val="32"/>
          <w:rtl/>
        </w:rPr>
      </w:pPr>
      <w:r>
        <w:rPr>
          <w:rFonts w:cs="Traditional Arabic" w:hint="cs"/>
          <w:color w:val="000000"/>
          <w:sz w:val="28"/>
          <w:szCs w:val="32"/>
          <w:rtl/>
        </w:rPr>
        <w:t xml:space="preserve">الجزء العاشر </w:t>
      </w:r>
      <w:r>
        <w:rPr>
          <w:rFonts w:cs="Traditional Arabic"/>
          <w:color w:val="000000"/>
          <w:sz w:val="28"/>
          <w:szCs w:val="32"/>
          <w:rtl/>
        </w:rPr>
        <w:t>–</w:t>
      </w:r>
      <w:r>
        <w:rPr>
          <w:rFonts w:cs="Traditional Arabic" w:hint="cs"/>
          <w:color w:val="000000"/>
          <w:sz w:val="28"/>
          <w:szCs w:val="32"/>
          <w:rtl/>
        </w:rPr>
        <w:t xml:space="preserve"> في التأمينات الشخصية والعينية ( الكفالة ، والرهن الرسمي وحق الاختصاص ورهن الحيازة وحقوق الامتياز ) ... سنة 1970 </w:t>
      </w:r>
    </w:p>
    <w:p w:rsidR="00F72742" w:rsidRPr="00011FB9"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Pr>
          <w:rFonts w:cs="Traditional Arabic"/>
          <w:color w:val="000000"/>
          <w:sz w:val="28"/>
          <w:szCs w:val="32"/>
          <w:rtl/>
        </w:rPr>
        <w:br w:type="page"/>
      </w:r>
      <w:r w:rsidRPr="00011FB9">
        <w:rPr>
          <w:rFonts w:cs="Traditional Arabic" w:hint="cs"/>
          <w:b/>
          <w:bCs/>
          <w:color w:val="000000"/>
          <w:sz w:val="28"/>
          <w:szCs w:val="32"/>
          <w:rtl/>
        </w:rPr>
        <w:lastRenderedPageBreak/>
        <w:t>الوجيز</w:t>
      </w:r>
    </w:p>
    <w:p w:rsidR="00F72742" w:rsidRPr="00011FB9"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011FB9">
        <w:rPr>
          <w:rFonts w:cs="Traditional Arabic" w:hint="cs"/>
          <w:b/>
          <w:bCs/>
          <w:color w:val="000000"/>
          <w:sz w:val="28"/>
          <w:szCs w:val="32"/>
          <w:rtl/>
        </w:rPr>
        <w:t>ما ظهر</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الأول </w:t>
      </w:r>
      <w:r>
        <w:rPr>
          <w:rFonts w:cs="Traditional Arabic"/>
          <w:color w:val="000000"/>
          <w:sz w:val="28"/>
          <w:szCs w:val="32"/>
          <w:rtl/>
        </w:rPr>
        <w:t>–</w:t>
      </w:r>
      <w:r>
        <w:rPr>
          <w:rFonts w:cs="Traditional Arabic" w:hint="cs"/>
          <w:color w:val="000000"/>
          <w:sz w:val="28"/>
          <w:szCs w:val="32"/>
          <w:rtl/>
        </w:rPr>
        <w:t xml:space="preserve"> في نظرية الالتزام بوجه عام ( يشتمل على الأجزاء الأول والثاني والثالث من الوسيط )  سنة 1966 </w:t>
      </w:r>
    </w:p>
    <w:p w:rsidR="00F72742" w:rsidRPr="00011FB9"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011FB9">
        <w:rPr>
          <w:rFonts w:cs="Traditional Arabic" w:hint="cs"/>
          <w:b/>
          <w:bCs/>
          <w:color w:val="000000"/>
          <w:sz w:val="28"/>
          <w:szCs w:val="32"/>
          <w:rtl/>
        </w:rPr>
        <w:t>ما هو تحت الإعداد</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الثاني </w:t>
      </w:r>
      <w:r>
        <w:rPr>
          <w:rFonts w:cs="Traditional Arabic"/>
          <w:color w:val="000000"/>
          <w:sz w:val="28"/>
          <w:szCs w:val="32"/>
          <w:rtl/>
        </w:rPr>
        <w:t>–</w:t>
      </w:r>
      <w:r>
        <w:rPr>
          <w:rFonts w:cs="Traditional Arabic" w:hint="cs"/>
          <w:color w:val="000000"/>
          <w:sz w:val="28"/>
          <w:szCs w:val="32"/>
          <w:rtl/>
        </w:rPr>
        <w:t xml:space="preserve"> في العقود المسماة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ويشتمل على الأجزاء الرابع والخامس والسادس والسابع من الوسيط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الثالث </w:t>
      </w:r>
      <w:r>
        <w:rPr>
          <w:rFonts w:cs="Traditional Arabic"/>
          <w:color w:val="000000"/>
          <w:sz w:val="28"/>
          <w:szCs w:val="32"/>
          <w:rtl/>
        </w:rPr>
        <w:t>–</w:t>
      </w:r>
      <w:r>
        <w:rPr>
          <w:rFonts w:cs="Traditional Arabic" w:hint="cs"/>
          <w:color w:val="000000"/>
          <w:sz w:val="28"/>
          <w:szCs w:val="32"/>
          <w:rtl/>
        </w:rPr>
        <w:t xml:space="preserve"> في الحقوق العينية والتأمينات ( ويشتمل على الأجزاء الثامن والتاسع والعاشر من الوسيط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color w:val="000000"/>
          <w:sz w:val="28"/>
          <w:szCs w:val="32"/>
          <w:rtl/>
        </w:rPr>
        <w:br w:type="page"/>
      </w:r>
      <w:r>
        <w:rPr>
          <w:rFonts w:cs="Traditional Arabic" w:hint="cs"/>
          <w:color w:val="000000"/>
          <w:sz w:val="28"/>
          <w:szCs w:val="32"/>
          <w:rtl/>
        </w:rPr>
        <w:lastRenderedPageBreak/>
        <w:t xml:space="preserve">للمؤلف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أولاً ) كتب</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 </w:t>
      </w:r>
      <w:r>
        <w:rPr>
          <w:rFonts w:cs="Traditional Arabic"/>
          <w:color w:val="000000"/>
          <w:sz w:val="28"/>
          <w:szCs w:val="32"/>
          <w:rtl/>
        </w:rPr>
        <w:t>–</w:t>
      </w:r>
      <w:r>
        <w:rPr>
          <w:rFonts w:cs="Traditional Arabic" w:hint="cs"/>
          <w:color w:val="000000"/>
          <w:sz w:val="28"/>
          <w:szCs w:val="32"/>
          <w:rtl/>
        </w:rPr>
        <w:t xml:space="preserve"> القيود التعاقدية الواردة على حرية العمل </w:t>
      </w:r>
      <w:r>
        <w:rPr>
          <w:rFonts w:cs="Traditional Arabic"/>
          <w:color w:val="000000"/>
          <w:sz w:val="28"/>
          <w:szCs w:val="32"/>
          <w:rtl/>
        </w:rPr>
        <w:t>–</w:t>
      </w:r>
      <w:r>
        <w:rPr>
          <w:rFonts w:cs="Traditional Arabic" w:hint="cs"/>
          <w:color w:val="000000"/>
          <w:sz w:val="28"/>
          <w:szCs w:val="32"/>
          <w:rtl/>
        </w:rPr>
        <w:t xml:space="preserve"> المعيار المرن والقاعدة الجامدة ( بالفرنسية ) سنة 1925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الخلافة الإسلامية وتطورها لتصبح عصبة أمم شرقية ( بالفرنسية ) سنة 1926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عقد الإيجار                               سنة 1930</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4 </w:t>
      </w:r>
      <w:r>
        <w:rPr>
          <w:rFonts w:cs="Traditional Arabic"/>
          <w:color w:val="000000"/>
          <w:sz w:val="28"/>
          <w:szCs w:val="32"/>
          <w:rtl/>
        </w:rPr>
        <w:t>–</w:t>
      </w:r>
      <w:r>
        <w:rPr>
          <w:rFonts w:cs="Traditional Arabic" w:hint="cs"/>
          <w:color w:val="000000"/>
          <w:sz w:val="28"/>
          <w:szCs w:val="32"/>
          <w:rtl/>
        </w:rPr>
        <w:t xml:space="preserve"> نظرية العقد                                سنة 1934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5 </w:t>
      </w:r>
      <w:r>
        <w:rPr>
          <w:rFonts w:cs="Traditional Arabic"/>
          <w:color w:val="000000"/>
          <w:sz w:val="28"/>
          <w:szCs w:val="32"/>
          <w:rtl/>
        </w:rPr>
        <w:t>–</w:t>
      </w:r>
      <w:r>
        <w:rPr>
          <w:rFonts w:cs="Traditional Arabic" w:hint="cs"/>
          <w:color w:val="000000"/>
          <w:sz w:val="28"/>
          <w:szCs w:val="32"/>
          <w:rtl/>
        </w:rPr>
        <w:t xml:space="preserve"> الموجز في النظرية العامة للالتزامات   سنة 1938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6 </w:t>
      </w:r>
      <w:r>
        <w:rPr>
          <w:rFonts w:cs="Traditional Arabic"/>
          <w:color w:val="000000"/>
          <w:sz w:val="28"/>
          <w:szCs w:val="32"/>
          <w:rtl/>
        </w:rPr>
        <w:t>–</w:t>
      </w:r>
      <w:r>
        <w:rPr>
          <w:rFonts w:cs="Traditional Arabic" w:hint="cs"/>
          <w:color w:val="000000"/>
          <w:sz w:val="28"/>
          <w:szCs w:val="32"/>
          <w:rtl/>
        </w:rPr>
        <w:t xml:space="preserve"> أصول القانون ( بالاشتراك مع الأستاذ أحمد حشمت أبو ستيت ) سنة 1938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7 </w:t>
      </w:r>
      <w:r>
        <w:rPr>
          <w:rFonts w:cs="Traditional Arabic"/>
          <w:color w:val="000000"/>
          <w:sz w:val="28"/>
          <w:szCs w:val="32"/>
          <w:rtl/>
        </w:rPr>
        <w:t>–</w:t>
      </w:r>
      <w:r>
        <w:rPr>
          <w:rFonts w:cs="Traditional Arabic" w:hint="cs"/>
          <w:color w:val="000000"/>
          <w:sz w:val="28"/>
          <w:szCs w:val="32"/>
          <w:rtl/>
        </w:rPr>
        <w:t xml:space="preserve"> التصرف القانوني والواقعة المادية ( دروس لقسم الدكتوراه ) سنة 1954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8 </w:t>
      </w:r>
      <w:r>
        <w:rPr>
          <w:rFonts w:cs="Traditional Arabic"/>
          <w:color w:val="000000"/>
          <w:sz w:val="28"/>
          <w:szCs w:val="32"/>
          <w:rtl/>
        </w:rPr>
        <w:t>–</w:t>
      </w:r>
      <w:r>
        <w:rPr>
          <w:rFonts w:cs="Traditional Arabic" w:hint="cs"/>
          <w:color w:val="000000"/>
          <w:sz w:val="28"/>
          <w:szCs w:val="32"/>
          <w:rtl/>
        </w:rPr>
        <w:t xml:space="preserve"> مصادر الحق في الفقه الإسلامي ( مقارنة بالفقه الغربي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الأول </w:t>
      </w:r>
      <w:r>
        <w:rPr>
          <w:rFonts w:cs="Traditional Arabic"/>
          <w:color w:val="000000"/>
          <w:sz w:val="28"/>
          <w:szCs w:val="32"/>
          <w:rtl/>
        </w:rPr>
        <w:t>–</w:t>
      </w:r>
      <w:r>
        <w:rPr>
          <w:rFonts w:cs="Traditional Arabic" w:hint="cs"/>
          <w:color w:val="000000"/>
          <w:sz w:val="28"/>
          <w:szCs w:val="32"/>
          <w:rtl/>
        </w:rPr>
        <w:t xml:space="preserve"> مقدمة </w:t>
      </w:r>
      <w:r>
        <w:rPr>
          <w:rFonts w:cs="Traditional Arabic"/>
          <w:color w:val="000000"/>
          <w:sz w:val="28"/>
          <w:szCs w:val="32"/>
          <w:rtl/>
        </w:rPr>
        <w:t>–</w:t>
      </w:r>
      <w:r>
        <w:rPr>
          <w:rFonts w:cs="Traditional Arabic" w:hint="cs"/>
          <w:color w:val="000000"/>
          <w:sz w:val="28"/>
          <w:szCs w:val="32"/>
          <w:rtl/>
        </w:rPr>
        <w:t xml:space="preserve"> صيغة العقد في الفقه الإسلامي سنة 1954</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الثاني </w:t>
      </w:r>
      <w:r>
        <w:rPr>
          <w:rFonts w:cs="Traditional Arabic"/>
          <w:color w:val="000000"/>
          <w:sz w:val="28"/>
          <w:szCs w:val="32"/>
          <w:rtl/>
        </w:rPr>
        <w:t>–</w:t>
      </w:r>
      <w:r>
        <w:rPr>
          <w:rFonts w:cs="Traditional Arabic" w:hint="cs"/>
          <w:color w:val="000000"/>
          <w:sz w:val="28"/>
          <w:szCs w:val="32"/>
          <w:rtl/>
        </w:rPr>
        <w:t xml:space="preserve"> مجلس العقد وصحة التراضي ( الغلط والتدليس والإكراه والغبن في الفقه الإسلامي ) سنة 1955</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الثالث </w:t>
      </w:r>
      <w:r>
        <w:rPr>
          <w:rFonts w:cs="Traditional Arabic"/>
          <w:color w:val="000000"/>
          <w:sz w:val="28"/>
          <w:szCs w:val="32"/>
          <w:rtl/>
        </w:rPr>
        <w:t>–</w:t>
      </w:r>
      <w:r>
        <w:rPr>
          <w:rFonts w:cs="Traditional Arabic" w:hint="cs"/>
          <w:color w:val="000000"/>
          <w:sz w:val="28"/>
          <w:szCs w:val="32"/>
          <w:rtl/>
        </w:rPr>
        <w:t xml:space="preserve"> محل العقد في الفقه الإسلامي سنة 1956</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الرابع </w:t>
      </w:r>
      <w:r>
        <w:rPr>
          <w:rFonts w:cs="Traditional Arabic"/>
          <w:color w:val="000000"/>
          <w:sz w:val="28"/>
          <w:szCs w:val="32"/>
          <w:rtl/>
        </w:rPr>
        <w:t>–</w:t>
      </w:r>
      <w:r>
        <w:rPr>
          <w:rFonts w:cs="Traditional Arabic" w:hint="cs"/>
          <w:color w:val="000000"/>
          <w:sz w:val="28"/>
          <w:szCs w:val="32"/>
          <w:rtl/>
        </w:rPr>
        <w:t xml:space="preserve"> نظرية السبب ونظرية البطلان في الفقه الإسلامي سنة 1956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الخامس </w:t>
      </w:r>
      <w:r>
        <w:rPr>
          <w:rFonts w:cs="Traditional Arabic"/>
          <w:color w:val="000000"/>
          <w:sz w:val="28"/>
          <w:szCs w:val="32"/>
          <w:rtl/>
        </w:rPr>
        <w:t>–</w:t>
      </w:r>
      <w:r>
        <w:rPr>
          <w:rFonts w:cs="Traditional Arabic" w:hint="cs"/>
          <w:color w:val="000000"/>
          <w:sz w:val="28"/>
          <w:szCs w:val="32"/>
          <w:rtl/>
        </w:rPr>
        <w:t xml:space="preserve"> آثار العقد بالنسبة إلى الأشخاص في الفقه البولصية والإعسار والتعهد عن الغير والاشتراط لمصلحة الغير والنيابة في التعاقد في الفقه الإسلامي ) سنة 1958</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الجزء السادس </w:t>
      </w:r>
      <w:r>
        <w:rPr>
          <w:rFonts w:cs="Traditional Arabic"/>
          <w:color w:val="000000"/>
          <w:sz w:val="28"/>
          <w:szCs w:val="32"/>
          <w:rtl/>
        </w:rPr>
        <w:t>–</w:t>
      </w:r>
      <w:r>
        <w:rPr>
          <w:rFonts w:cs="Traditional Arabic" w:hint="cs"/>
          <w:color w:val="000000"/>
          <w:sz w:val="28"/>
          <w:szCs w:val="32"/>
          <w:rtl/>
        </w:rPr>
        <w:t xml:space="preserve"> آثار العقد بالنسبة إلى الموضوع في الفقه الإسلامي ( تفسير العقد وتنفيذه وفسخ العقد </w:t>
      </w:r>
      <w:r>
        <w:rPr>
          <w:rFonts w:cs="Traditional Arabic" w:hint="cs"/>
          <w:color w:val="000000"/>
          <w:sz w:val="28"/>
          <w:szCs w:val="32"/>
          <w:rtl/>
        </w:rPr>
        <w:lastRenderedPageBreak/>
        <w:t>للعذر أو لحوادث طارئة والمسئولية العقدية والفسخ والدفع بعدم التنفيذ والإقالة في الفقه الإسلامي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سنة 1959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$1058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9 </w:t>
      </w:r>
      <w:r>
        <w:rPr>
          <w:rFonts w:cs="Traditional Arabic"/>
          <w:color w:val="000000"/>
          <w:sz w:val="28"/>
          <w:szCs w:val="32"/>
          <w:rtl/>
        </w:rPr>
        <w:t>–</w:t>
      </w:r>
      <w:r>
        <w:rPr>
          <w:rFonts w:cs="Traditional Arabic" w:hint="cs"/>
          <w:color w:val="000000"/>
          <w:sz w:val="28"/>
          <w:szCs w:val="32"/>
          <w:rtl/>
        </w:rPr>
        <w:t xml:space="preserve"> الوسيط في شرح القانون المدني ( عشرة أجزاء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 </w:t>
      </w:r>
      <w:r>
        <w:rPr>
          <w:rFonts w:cs="Traditional Arabic"/>
          <w:color w:val="000000"/>
          <w:sz w:val="28"/>
          <w:szCs w:val="32"/>
          <w:rtl/>
        </w:rPr>
        <w:t>–</w:t>
      </w:r>
      <w:r>
        <w:rPr>
          <w:rFonts w:cs="Traditional Arabic" w:hint="cs"/>
          <w:color w:val="000000"/>
          <w:sz w:val="28"/>
          <w:szCs w:val="32"/>
          <w:rtl/>
        </w:rPr>
        <w:t xml:space="preserve"> الوجيز في شرح القانون المدني ( ظهر منه الجزء الأول </w:t>
      </w:r>
      <w:r>
        <w:rPr>
          <w:rFonts w:cs="Traditional Arabic"/>
          <w:color w:val="000000"/>
          <w:sz w:val="28"/>
          <w:szCs w:val="32"/>
          <w:rtl/>
        </w:rPr>
        <w:t>–</w:t>
      </w:r>
      <w:r>
        <w:rPr>
          <w:rFonts w:cs="Traditional Arabic" w:hint="cs"/>
          <w:color w:val="000000"/>
          <w:sz w:val="28"/>
          <w:szCs w:val="32"/>
          <w:rtl/>
        </w:rPr>
        <w:t xml:space="preserve"> أنظر آنفا ) </w:t>
      </w:r>
    </w:p>
    <w:p w:rsidR="00F72742" w:rsidRPr="002F2DAF" w:rsidRDefault="00F72742" w:rsidP="00F72742">
      <w:pPr>
        <w:widowControl w:val="0"/>
        <w:tabs>
          <w:tab w:val="left" w:pos="404"/>
          <w:tab w:val="left" w:pos="764"/>
          <w:tab w:val="left" w:pos="944"/>
          <w:tab w:val="left" w:leader="dot" w:pos="7604"/>
          <w:tab w:val="left" w:pos="7964"/>
        </w:tabs>
        <w:jc w:val="center"/>
        <w:rPr>
          <w:rFonts w:cs="Traditional Arabic" w:hint="cs"/>
          <w:b/>
          <w:bCs/>
          <w:color w:val="000000"/>
          <w:sz w:val="28"/>
          <w:szCs w:val="32"/>
          <w:rtl/>
        </w:rPr>
      </w:pPr>
      <w:r w:rsidRPr="002F2DAF">
        <w:rPr>
          <w:rFonts w:cs="Traditional Arabic" w:hint="cs"/>
          <w:b/>
          <w:bCs/>
          <w:color w:val="000000"/>
          <w:sz w:val="28"/>
          <w:szCs w:val="32"/>
          <w:rtl/>
        </w:rPr>
        <w:t>( ثانياً ) بحوث ومقالات</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 </w:t>
      </w:r>
      <w:r>
        <w:rPr>
          <w:rFonts w:cs="Traditional Arabic"/>
          <w:color w:val="000000"/>
          <w:sz w:val="28"/>
          <w:szCs w:val="32"/>
          <w:rtl/>
        </w:rPr>
        <w:t>–</w:t>
      </w:r>
      <w:r>
        <w:rPr>
          <w:rFonts w:cs="Traditional Arabic" w:hint="cs"/>
          <w:color w:val="000000"/>
          <w:sz w:val="28"/>
          <w:szCs w:val="32"/>
          <w:rtl/>
        </w:rPr>
        <w:t xml:space="preserve"> الشريعة الإسلامية كمصدر للتشريع المصري ( بحث بالفرنسية أدرج في مجموعة لامبير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2 </w:t>
      </w:r>
      <w:r>
        <w:rPr>
          <w:rFonts w:cs="Traditional Arabic"/>
          <w:color w:val="000000"/>
          <w:sz w:val="28"/>
          <w:szCs w:val="32"/>
          <w:rtl/>
        </w:rPr>
        <w:t>–</w:t>
      </w:r>
      <w:r>
        <w:rPr>
          <w:rFonts w:cs="Traditional Arabic" w:hint="cs"/>
          <w:color w:val="000000"/>
          <w:sz w:val="28"/>
          <w:szCs w:val="32"/>
          <w:rtl/>
        </w:rPr>
        <w:t xml:space="preserve"> المعيار في القانون ( بحث بالفرنسية أدرج في مجموعة جني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3 </w:t>
      </w:r>
      <w:r>
        <w:rPr>
          <w:rFonts w:cs="Traditional Arabic"/>
          <w:color w:val="000000"/>
          <w:sz w:val="28"/>
          <w:szCs w:val="32"/>
          <w:rtl/>
        </w:rPr>
        <w:t>–</w:t>
      </w:r>
      <w:r>
        <w:rPr>
          <w:rFonts w:cs="Traditional Arabic" w:hint="cs"/>
          <w:color w:val="000000"/>
          <w:sz w:val="28"/>
          <w:szCs w:val="32"/>
          <w:rtl/>
        </w:rPr>
        <w:t xml:space="preserve"> المسئولية التقصيرية ( بالاشتراك مع الأستاذ حلمي بهجت بدوي </w:t>
      </w:r>
      <w:r>
        <w:rPr>
          <w:rFonts w:cs="Traditional Arabic"/>
          <w:color w:val="000000"/>
          <w:sz w:val="28"/>
          <w:szCs w:val="32"/>
          <w:rtl/>
        </w:rPr>
        <w:t>–</w:t>
      </w:r>
      <w:r>
        <w:rPr>
          <w:rFonts w:cs="Traditional Arabic" w:hint="cs"/>
          <w:color w:val="000000"/>
          <w:sz w:val="28"/>
          <w:szCs w:val="32"/>
          <w:rtl/>
        </w:rPr>
        <w:t xml:space="preserve"> مقال بالفرنسية نشر بمجلة القانون والاقتصاد سنة 1933 )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4 </w:t>
      </w:r>
      <w:r>
        <w:rPr>
          <w:rFonts w:cs="Traditional Arabic"/>
          <w:color w:val="000000"/>
          <w:sz w:val="28"/>
          <w:szCs w:val="32"/>
          <w:rtl/>
        </w:rPr>
        <w:t>–</w:t>
      </w:r>
      <w:r>
        <w:rPr>
          <w:rFonts w:cs="Traditional Arabic" w:hint="cs"/>
          <w:color w:val="000000"/>
          <w:sz w:val="28"/>
          <w:szCs w:val="32"/>
          <w:rtl/>
        </w:rPr>
        <w:t xml:space="preserve"> المسئولية التقصيرية في الشريعة الإسلامية ( بحث بالفرنسية قدم إلى مؤتمر القانون المقارن بلاهاي سنة 1937 )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5 </w:t>
      </w:r>
      <w:r>
        <w:rPr>
          <w:rFonts w:cs="Traditional Arabic"/>
          <w:color w:val="000000"/>
          <w:sz w:val="28"/>
          <w:szCs w:val="32"/>
          <w:rtl/>
        </w:rPr>
        <w:t>–</w:t>
      </w:r>
      <w:r>
        <w:rPr>
          <w:rFonts w:cs="Traditional Arabic" w:hint="cs"/>
          <w:color w:val="000000"/>
          <w:sz w:val="28"/>
          <w:szCs w:val="32"/>
          <w:rtl/>
        </w:rPr>
        <w:t xml:space="preserve"> الشريعة الإسلامية أمام مؤتمر القانون المقارن بلاهاي ( مقال بالفرنسية نشر بمجلة القانون والاقتصاد سنة 1937 )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6 </w:t>
      </w:r>
      <w:r>
        <w:rPr>
          <w:rFonts w:cs="Traditional Arabic"/>
          <w:color w:val="000000"/>
          <w:sz w:val="28"/>
          <w:szCs w:val="32"/>
          <w:rtl/>
        </w:rPr>
        <w:t>–</w:t>
      </w:r>
      <w:r>
        <w:rPr>
          <w:rFonts w:cs="Traditional Arabic" w:hint="cs"/>
          <w:color w:val="000000"/>
          <w:sz w:val="28"/>
          <w:szCs w:val="32"/>
          <w:rtl/>
        </w:rPr>
        <w:t xml:space="preserve"> الامتيازات الأجنبية ( بحث نشر في سنة 1930 )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7 </w:t>
      </w:r>
      <w:r>
        <w:rPr>
          <w:rFonts w:cs="Traditional Arabic"/>
          <w:color w:val="000000"/>
          <w:sz w:val="28"/>
          <w:szCs w:val="32"/>
          <w:rtl/>
        </w:rPr>
        <w:t>–</w:t>
      </w:r>
      <w:r>
        <w:rPr>
          <w:rFonts w:cs="Traditional Arabic" w:hint="cs"/>
          <w:color w:val="000000"/>
          <w:sz w:val="28"/>
          <w:szCs w:val="32"/>
          <w:rtl/>
        </w:rPr>
        <w:t xml:space="preserve"> تنقيح القانون المدني ( بحث نشر في الكتاب الذهبي للمحاكم الوطنية ، وفي مجلة القانون والاقتصاد سنة 1933 )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8 </w:t>
      </w:r>
      <w:r>
        <w:rPr>
          <w:rFonts w:cs="Traditional Arabic"/>
          <w:color w:val="000000"/>
          <w:sz w:val="28"/>
          <w:szCs w:val="32"/>
          <w:rtl/>
        </w:rPr>
        <w:t>–</w:t>
      </w:r>
      <w:r>
        <w:rPr>
          <w:rFonts w:cs="Traditional Arabic" w:hint="cs"/>
          <w:color w:val="000000"/>
          <w:sz w:val="28"/>
          <w:szCs w:val="32"/>
          <w:rtl/>
        </w:rPr>
        <w:t xml:space="preserve"> من مجلة الأحكام العدلية إلى القانون المدني العراقي ( مقال نشر في مجلة القضاء ببغداد سنة 1936 </w:t>
      </w:r>
      <w:r>
        <w:rPr>
          <w:rFonts w:cs="Traditional Arabic" w:hint="cs"/>
          <w:color w:val="000000"/>
          <w:sz w:val="28"/>
          <w:szCs w:val="32"/>
          <w:rtl/>
        </w:rPr>
        <w:lastRenderedPageBreak/>
        <w:t>)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9 </w:t>
      </w:r>
      <w:r>
        <w:rPr>
          <w:rFonts w:cs="Traditional Arabic"/>
          <w:color w:val="000000"/>
          <w:sz w:val="28"/>
          <w:szCs w:val="32"/>
          <w:rtl/>
        </w:rPr>
        <w:t>–</w:t>
      </w:r>
      <w:r>
        <w:rPr>
          <w:rFonts w:cs="Traditional Arabic" w:hint="cs"/>
          <w:color w:val="000000"/>
          <w:sz w:val="28"/>
          <w:szCs w:val="32"/>
          <w:rtl/>
        </w:rPr>
        <w:t xml:space="preserve"> عقد البيع في مشروع القانون المدني العراقي ( نشر في بغداد سنة 1936 )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10 </w:t>
      </w:r>
      <w:r>
        <w:rPr>
          <w:rFonts w:cs="Traditional Arabic"/>
          <w:color w:val="000000"/>
          <w:sz w:val="28"/>
          <w:szCs w:val="32"/>
          <w:rtl/>
        </w:rPr>
        <w:t>–</w:t>
      </w:r>
      <w:r>
        <w:rPr>
          <w:rFonts w:cs="Traditional Arabic" w:hint="cs"/>
          <w:color w:val="000000"/>
          <w:sz w:val="28"/>
          <w:szCs w:val="32"/>
          <w:rtl/>
        </w:rPr>
        <w:t xml:space="preserve"> مقارنة المجلة بالقانون المدني ( بحوث ألقيت في كلية الحقوق ببغداد سنة 1936 )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11 </w:t>
      </w:r>
      <w:r>
        <w:rPr>
          <w:rFonts w:cs="Traditional Arabic"/>
          <w:color w:val="000000"/>
          <w:sz w:val="28"/>
          <w:szCs w:val="32"/>
          <w:rtl/>
        </w:rPr>
        <w:t>–</w:t>
      </w:r>
      <w:r>
        <w:rPr>
          <w:rFonts w:cs="Traditional Arabic" w:hint="cs"/>
          <w:color w:val="000000"/>
          <w:sz w:val="28"/>
          <w:szCs w:val="32"/>
          <w:rtl/>
        </w:rPr>
        <w:t xml:space="preserve"> المفاوضات في المسألة المصرية ( بحث نشر في سنة 1947 ) .</w:t>
      </w: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12 </w:t>
      </w:r>
      <w:r>
        <w:rPr>
          <w:rFonts w:cs="Traditional Arabic"/>
          <w:color w:val="000000"/>
          <w:sz w:val="28"/>
          <w:szCs w:val="32"/>
          <w:rtl/>
        </w:rPr>
        <w:t>–</w:t>
      </w:r>
      <w:r>
        <w:rPr>
          <w:rFonts w:cs="Traditional Arabic" w:hint="cs"/>
          <w:color w:val="000000"/>
          <w:sz w:val="28"/>
          <w:szCs w:val="32"/>
          <w:rtl/>
        </w:rPr>
        <w:t xml:space="preserve"> الانحراف في استعمال السلطة التشريعية ( بحث نشر في مجلس الدولة سنة 1951 )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Pr>
          <w:rFonts w:cs="Traditional Arabic" w:hint="cs"/>
          <w:color w:val="000000"/>
          <w:sz w:val="28"/>
          <w:szCs w:val="32"/>
          <w:rtl/>
        </w:rPr>
        <w:t xml:space="preserve"> </w:t>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r w:rsidRPr="007C3EC7">
        <w:rPr>
          <w:rFonts w:cs="Traditional Arabic" w:hint="cs"/>
          <w:color w:val="000000"/>
          <w:sz w:val="28"/>
          <w:szCs w:val="32"/>
          <w:rtl/>
        </w:rPr>
        <w:tab/>
      </w:r>
      <w:r w:rsidRPr="007C3EC7">
        <w:rPr>
          <w:rFonts w:cs="Traditional Arabic" w:hint="cs"/>
          <w:color w:val="000000"/>
          <w:sz w:val="28"/>
          <w:szCs w:val="32"/>
          <w:rtl/>
        </w:rPr>
        <w:tab/>
      </w:r>
    </w:p>
    <w:p w:rsidR="00F72742" w:rsidRPr="007C3EC7" w:rsidRDefault="00F72742" w:rsidP="00F72742">
      <w:pPr>
        <w:widowControl w:val="0"/>
        <w:tabs>
          <w:tab w:val="left" w:pos="404"/>
          <w:tab w:val="left" w:pos="764"/>
          <w:tab w:val="left" w:pos="944"/>
          <w:tab w:val="left" w:leader="dot" w:pos="7604"/>
          <w:tab w:val="left" w:pos="7964"/>
        </w:tabs>
        <w:jc w:val="lowKashida"/>
        <w:rPr>
          <w:rFonts w:cs="Traditional Arabic" w:hint="cs"/>
          <w:color w:val="000000"/>
          <w:sz w:val="28"/>
          <w:szCs w:val="32"/>
          <w:rtl/>
        </w:rPr>
      </w:pPr>
    </w:p>
    <w:p w:rsidR="00F72742" w:rsidRDefault="00F72742" w:rsidP="00F72742"/>
    <w:p w:rsidR="00F72742" w:rsidRPr="006C398E" w:rsidRDefault="00F72742" w:rsidP="00F72742">
      <w:pPr>
        <w:spacing w:before="120"/>
        <w:ind w:firstLine="565"/>
        <w:jc w:val="lowKashida"/>
        <w:rPr>
          <w:rFonts w:hint="cs"/>
          <w:color w:val="000000"/>
          <w:rtl/>
        </w:rPr>
      </w:pPr>
    </w:p>
    <w:p w:rsidR="00306BFB" w:rsidRDefault="00306BFB"/>
    <w:sectPr w:rsidR="00306BFB" w:rsidSect="00C22330">
      <w:headerReference w:type="even" r:id="rId8"/>
      <w:headerReference w:type="default" r:id="rId9"/>
      <w:headerReference w:type="first" r:id="rId10"/>
      <w:footnotePr>
        <w:numRestart w:val="eachPage"/>
      </w:footnotePr>
      <w:pgSz w:w="11906" w:h="16838" w:code="9"/>
      <w:pgMar w:top="1985" w:right="1701" w:bottom="1985" w:left="1701" w:header="1418" w:footer="567" w:gutter="0"/>
      <w:pgNumType w:start="3"/>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07E1" w:rsidRDefault="002807E1" w:rsidP="00F72742">
      <w:pPr>
        <w:spacing w:after="0" w:line="240" w:lineRule="auto"/>
      </w:pPr>
      <w:r>
        <w:separator/>
      </w:r>
    </w:p>
  </w:endnote>
  <w:endnote w:type="continuationSeparator" w:id="0">
    <w:p w:rsidR="002807E1" w:rsidRDefault="002807E1" w:rsidP="00F7274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07E1" w:rsidRDefault="002807E1" w:rsidP="00F72742">
      <w:pPr>
        <w:spacing w:after="0" w:line="240" w:lineRule="auto"/>
      </w:pPr>
      <w:r>
        <w:separator/>
      </w:r>
    </w:p>
  </w:footnote>
  <w:footnote w:type="continuationSeparator" w:id="0">
    <w:p w:rsidR="002807E1" w:rsidRDefault="002807E1" w:rsidP="00F72742">
      <w:pPr>
        <w:spacing w:after="0" w:line="240" w:lineRule="auto"/>
      </w:pPr>
      <w:r>
        <w:continuationSeparator/>
      </w:r>
    </w:p>
  </w:footnote>
  <w:footnote w:id="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2 فقرة 525</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 xml:space="preserve"> </w:t>
      </w:r>
    </w:p>
  </w:footnote>
  <w:footnote w:id="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كل هذا الوسيط 2 فقرة 526  </w:t>
      </w:r>
      <w:r w:rsidRPr="00923B1A">
        <w:rPr>
          <w:color w:val="0000FF"/>
          <w:sz w:val="28"/>
          <w:szCs w:val="28"/>
          <w:rtl/>
        </w:rPr>
        <w:t xml:space="preserve"> </w:t>
      </w:r>
    </w:p>
  </w:footnote>
  <w:footnote w:id="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ويسمى الدائن الذي يحمل سندا عاديا لحقه </w:t>
      </w:r>
      <w:r>
        <w:rPr>
          <w:color w:val="0000FF"/>
          <w:sz w:val="28"/>
          <w:szCs w:val="28"/>
          <w:rtl/>
        </w:rPr>
        <w:t xml:space="preserve">( </w:t>
      </w:r>
      <w:r w:rsidRPr="00923B1A">
        <w:rPr>
          <w:color w:val="0000FF"/>
          <w:sz w:val="28"/>
          <w:szCs w:val="28"/>
        </w:rPr>
        <w:t>chirspephum, cedula</w:t>
      </w:r>
      <w:r>
        <w:rPr>
          <w:color w:val="0000FF"/>
          <w:sz w:val="28"/>
          <w:szCs w:val="28"/>
          <w:rtl/>
        </w:rPr>
        <w:t xml:space="preserve"> )</w:t>
      </w:r>
      <w:r w:rsidRPr="00923B1A">
        <w:rPr>
          <w:rFonts w:hint="cs"/>
          <w:color w:val="0000FF"/>
          <w:sz w:val="28"/>
          <w:szCs w:val="28"/>
          <w:rtl/>
        </w:rPr>
        <w:t xml:space="preserve"> دائنا عاديا </w:t>
      </w:r>
      <w:r>
        <w:rPr>
          <w:color w:val="0000FF"/>
          <w:sz w:val="28"/>
          <w:szCs w:val="28"/>
          <w:rtl/>
        </w:rPr>
        <w:t xml:space="preserve">( </w:t>
      </w:r>
      <w:r w:rsidRPr="00923B1A">
        <w:rPr>
          <w:color w:val="0000FF"/>
          <w:sz w:val="28"/>
          <w:szCs w:val="28"/>
        </w:rPr>
        <w:t>cedulires ou ceduliero</w:t>
      </w:r>
      <w:r>
        <w:rPr>
          <w:color w:val="0000FF"/>
          <w:sz w:val="28"/>
          <w:szCs w:val="28"/>
          <w:rtl/>
        </w:rPr>
        <w:t xml:space="preserve"> )</w:t>
      </w:r>
      <w:r>
        <w:rPr>
          <w:rFonts w:hint="cs"/>
          <w:color w:val="0000FF"/>
          <w:sz w:val="28"/>
          <w:szCs w:val="28"/>
          <w:rtl/>
        </w:rPr>
        <w:t xml:space="preserve"> .</w:t>
      </w:r>
    </w:p>
  </w:footnote>
  <w:footnote w:id="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جوسران 2 فقرة 1485</w:t>
      </w:r>
      <w:r>
        <w:rPr>
          <w:rFonts w:hint="cs"/>
          <w:color w:val="0000FF"/>
          <w:sz w:val="28"/>
          <w:szCs w:val="28"/>
          <w:rtl/>
        </w:rPr>
        <w:t xml:space="preserve"> .</w:t>
      </w:r>
    </w:p>
  </w:footnote>
  <w:footnote w:id="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جوسران 2 فقرة 1459</w:t>
      </w:r>
      <w:r>
        <w:rPr>
          <w:rFonts w:hint="cs"/>
          <w:color w:val="0000FF"/>
          <w:sz w:val="28"/>
          <w:szCs w:val="28"/>
          <w:rtl/>
        </w:rPr>
        <w:t xml:space="preserve"> .</w:t>
      </w:r>
    </w:p>
  </w:footnote>
  <w:footnote w:id="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كولان وكابينال 2 فقرة 1387</w:t>
      </w:r>
    </w:p>
  </w:footnote>
  <w:footnote w:id="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ويقرر بعض الفقهاء </w:t>
      </w:r>
      <w:r>
        <w:rPr>
          <w:rFonts w:hint="cs"/>
          <w:color w:val="0000FF"/>
          <w:sz w:val="28"/>
          <w:szCs w:val="28"/>
          <w:rtl/>
        </w:rPr>
        <w:t xml:space="preserve">( </w:t>
      </w:r>
      <w:r w:rsidRPr="00923B1A">
        <w:rPr>
          <w:rFonts w:hint="cs"/>
          <w:color w:val="0000FF"/>
          <w:sz w:val="28"/>
          <w:szCs w:val="28"/>
          <w:rtl/>
        </w:rPr>
        <w:t>للنظر محمد كامل مرسي في التأمينات الشخصية العينية الطبعة الثالثة ص 13</w:t>
      </w:r>
      <w:r>
        <w:rPr>
          <w:rFonts w:hint="cs"/>
          <w:color w:val="0000FF"/>
          <w:sz w:val="28"/>
          <w:szCs w:val="28"/>
          <w:rtl/>
        </w:rPr>
        <w:t xml:space="preserve"> )</w:t>
      </w:r>
      <w:r w:rsidRPr="00923B1A">
        <w:rPr>
          <w:rFonts w:hint="cs"/>
          <w:color w:val="0000FF"/>
          <w:sz w:val="28"/>
          <w:szCs w:val="28"/>
          <w:rtl/>
        </w:rPr>
        <w:t xml:space="preserve"> أنه يجوز أن يضمن التأمين الخاص حقاً عينيا</w:t>
      </w:r>
      <w:r>
        <w:rPr>
          <w:rFonts w:hint="cs"/>
          <w:color w:val="0000FF"/>
          <w:sz w:val="28"/>
          <w:szCs w:val="28"/>
          <w:rtl/>
        </w:rPr>
        <w:t xml:space="preserve"> ،</w:t>
      </w:r>
      <w:r w:rsidRPr="00923B1A">
        <w:rPr>
          <w:rFonts w:hint="cs"/>
          <w:color w:val="0000FF"/>
          <w:sz w:val="28"/>
          <w:szCs w:val="28"/>
          <w:rtl/>
        </w:rPr>
        <w:t xml:space="preserve"> كالكفالة أو الرهن الذي يقدمه المنتفع بمنقول لمالك لرقبة ليضمن به رد هذا المنقول</w:t>
      </w:r>
      <w:r>
        <w:rPr>
          <w:rFonts w:hint="cs"/>
          <w:color w:val="0000FF"/>
          <w:sz w:val="28"/>
          <w:szCs w:val="28"/>
          <w:rtl/>
        </w:rPr>
        <w:t xml:space="preserve"> .</w:t>
      </w:r>
      <w:r w:rsidRPr="00923B1A">
        <w:rPr>
          <w:rFonts w:hint="cs"/>
          <w:color w:val="0000FF"/>
          <w:sz w:val="28"/>
          <w:szCs w:val="28"/>
          <w:rtl/>
        </w:rPr>
        <w:t xml:space="preserve"> ولكن يلاحظ أن المنتفع هنا إنما قدم كفالة أو رهنا لضمان شخصي</w:t>
      </w:r>
      <w:r>
        <w:rPr>
          <w:rFonts w:hint="cs"/>
          <w:color w:val="0000FF"/>
          <w:sz w:val="28"/>
          <w:szCs w:val="28"/>
          <w:rtl/>
        </w:rPr>
        <w:t xml:space="preserve"> ،</w:t>
      </w:r>
      <w:r w:rsidRPr="00923B1A">
        <w:rPr>
          <w:rFonts w:hint="cs"/>
          <w:color w:val="0000FF"/>
          <w:sz w:val="28"/>
          <w:szCs w:val="28"/>
          <w:rtl/>
        </w:rPr>
        <w:t xml:space="preserve"> هو الالتزام بالرد أو دفع تعويض عند عدم الرد </w:t>
      </w:r>
      <w:r>
        <w:rPr>
          <w:rFonts w:hint="cs"/>
          <w:color w:val="0000FF"/>
          <w:sz w:val="28"/>
          <w:szCs w:val="28"/>
          <w:rtl/>
        </w:rPr>
        <w:t xml:space="preserve">( </w:t>
      </w:r>
      <w:r w:rsidRPr="00923B1A">
        <w:rPr>
          <w:rFonts w:hint="cs"/>
          <w:color w:val="0000FF"/>
          <w:sz w:val="28"/>
          <w:szCs w:val="28"/>
          <w:rtl/>
        </w:rPr>
        <w:t>عبد الفتاح عبد الباقي فقرة 10</w:t>
      </w:r>
      <w:r>
        <w:rPr>
          <w:rFonts w:hint="cs"/>
          <w:color w:val="0000FF"/>
          <w:sz w:val="28"/>
          <w:szCs w:val="28"/>
          <w:rtl/>
        </w:rPr>
        <w:t xml:space="preserve"> )</w:t>
      </w:r>
    </w:p>
  </w:footnote>
  <w:footnote w:id="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وانظر في تجديد الالتزام المواد 356 </w:t>
      </w:r>
      <w:r w:rsidRPr="00923B1A">
        <w:rPr>
          <w:color w:val="0000FF"/>
          <w:sz w:val="28"/>
          <w:szCs w:val="28"/>
          <w:rtl/>
        </w:rPr>
        <w:t>–</w:t>
      </w:r>
      <w:r w:rsidRPr="00923B1A">
        <w:rPr>
          <w:rFonts w:hint="cs"/>
          <w:color w:val="0000FF"/>
          <w:sz w:val="28"/>
          <w:szCs w:val="28"/>
          <w:rtl/>
        </w:rPr>
        <w:t xml:space="preserve"> 358 مدني</w:t>
      </w:r>
      <w:r>
        <w:rPr>
          <w:rFonts w:hint="cs"/>
          <w:color w:val="0000FF"/>
          <w:sz w:val="28"/>
          <w:szCs w:val="28"/>
          <w:rtl/>
        </w:rPr>
        <w:t xml:space="preserve"> .</w:t>
      </w:r>
    </w:p>
  </w:footnote>
  <w:footnote w:id="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ذلك عبد الفتاح عبد الباقي فقرة 10</w:t>
      </w:r>
      <w:r>
        <w:rPr>
          <w:rFonts w:hint="cs"/>
          <w:color w:val="0000FF"/>
          <w:sz w:val="28"/>
          <w:szCs w:val="28"/>
          <w:rtl/>
        </w:rPr>
        <w:t xml:space="preserve"> ،</w:t>
      </w:r>
      <w:r w:rsidRPr="00923B1A">
        <w:rPr>
          <w:rFonts w:hint="cs"/>
          <w:color w:val="0000FF"/>
          <w:sz w:val="28"/>
          <w:szCs w:val="28"/>
          <w:rtl/>
        </w:rPr>
        <w:t xml:space="preserve"> شمس الدين الوكيل فقرة 18</w:t>
      </w:r>
      <w:r>
        <w:rPr>
          <w:rFonts w:hint="cs"/>
          <w:color w:val="0000FF"/>
          <w:sz w:val="28"/>
          <w:szCs w:val="28"/>
          <w:rtl/>
        </w:rPr>
        <w:t xml:space="preserve"> .</w:t>
      </w:r>
    </w:p>
  </w:footnote>
  <w:footnote w:id="1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جوسران 2 فقرة 1461 ص 792</w:t>
      </w:r>
      <w:r>
        <w:rPr>
          <w:rFonts w:hint="cs"/>
          <w:color w:val="0000FF"/>
          <w:sz w:val="28"/>
          <w:szCs w:val="28"/>
          <w:rtl/>
        </w:rPr>
        <w:t xml:space="preserve"> .</w:t>
      </w:r>
    </w:p>
  </w:footnote>
  <w:footnote w:id="1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كولان وكابينال 2 فقرة 1385 </w:t>
      </w:r>
      <w:r w:rsidRPr="00923B1A">
        <w:rPr>
          <w:color w:val="0000FF"/>
          <w:sz w:val="28"/>
          <w:szCs w:val="28"/>
          <w:rtl/>
        </w:rPr>
        <w:t>–</w:t>
      </w:r>
      <w:r w:rsidRPr="00923B1A">
        <w:rPr>
          <w:rFonts w:hint="cs"/>
          <w:color w:val="0000FF"/>
          <w:sz w:val="28"/>
          <w:szCs w:val="28"/>
          <w:rtl/>
        </w:rPr>
        <w:t xml:space="preserve"> بلانيول وريبير وبولانجيه 2 فقرة 1916 ص 622</w:t>
      </w:r>
      <w:r>
        <w:rPr>
          <w:rFonts w:hint="cs"/>
          <w:color w:val="0000FF"/>
          <w:sz w:val="28"/>
          <w:szCs w:val="28"/>
          <w:rtl/>
        </w:rPr>
        <w:t xml:space="preserve"> .</w:t>
      </w:r>
    </w:p>
  </w:footnote>
  <w:footnote w:id="1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هذا المعنى كولان وكابينال 2 فقرة 1386 ص 888</w:t>
      </w:r>
      <w:r>
        <w:rPr>
          <w:rFonts w:hint="cs"/>
          <w:color w:val="0000FF"/>
          <w:sz w:val="28"/>
          <w:szCs w:val="28"/>
          <w:rtl/>
        </w:rPr>
        <w:t xml:space="preserve"> ،</w:t>
      </w:r>
      <w:r w:rsidRPr="00923B1A">
        <w:rPr>
          <w:rFonts w:hint="cs"/>
          <w:color w:val="0000FF"/>
          <w:sz w:val="28"/>
          <w:szCs w:val="28"/>
          <w:rtl/>
        </w:rPr>
        <w:t xml:space="preserve"> وقد ظهر تفوق التأمينات العينية على التأمينات الشخصية ظهورا واضحاً </w:t>
      </w:r>
      <w:r>
        <w:rPr>
          <w:rFonts w:hint="cs"/>
          <w:color w:val="0000FF"/>
          <w:sz w:val="28"/>
          <w:szCs w:val="28"/>
          <w:rtl/>
        </w:rPr>
        <w:t xml:space="preserve"> ،</w:t>
      </w:r>
      <w:r w:rsidRPr="00923B1A">
        <w:rPr>
          <w:rFonts w:hint="cs"/>
          <w:color w:val="0000FF"/>
          <w:sz w:val="28"/>
          <w:szCs w:val="28"/>
          <w:rtl/>
        </w:rPr>
        <w:t xml:space="preserve"> حتى قورن ما بين النوعين من التأمينات وضربت الأمثال في ذلك</w:t>
      </w:r>
      <w:r>
        <w:rPr>
          <w:rFonts w:hint="cs"/>
          <w:color w:val="0000FF"/>
          <w:sz w:val="28"/>
          <w:szCs w:val="28"/>
          <w:rtl/>
        </w:rPr>
        <w:t xml:space="preserve"> .</w:t>
      </w:r>
      <w:r w:rsidRPr="00923B1A">
        <w:rPr>
          <w:rFonts w:hint="cs"/>
          <w:color w:val="0000FF"/>
          <w:sz w:val="28"/>
          <w:szCs w:val="28"/>
          <w:rtl/>
        </w:rPr>
        <w:t xml:space="preserve"> فقيل في القانون الروماني </w:t>
      </w:r>
      <w:r w:rsidRPr="00923B1A">
        <w:rPr>
          <w:color w:val="0000FF"/>
          <w:sz w:val="28"/>
          <w:szCs w:val="28"/>
        </w:rPr>
        <w:t>plus eat cautionisin re quam in persona</w:t>
      </w:r>
      <w:r>
        <w:rPr>
          <w:rFonts w:hint="cs"/>
          <w:color w:val="0000FF"/>
          <w:sz w:val="28"/>
          <w:szCs w:val="28"/>
          <w:rtl/>
        </w:rPr>
        <w:t xml:space="preserve"> ،</w:t>
      </w:r>
      <w:r w:rsidRPr="00923B1A">
        <w:rPr>
          <w:rFonts w:hint="cs"/>
          <w:color w:val="0000FF"/>
          <w:sz w:val="28"/>
          <w:szCs w:val="28"/>
          <w:rtl/>
        </w:rPr>
        <w:t xml:space="preserve"> وقيل في القانون الفرنسي القديم </w:t>
      </w:r>
      <w:r w:rsidRPr="00923B1A">
        <w:rPr>
          <w:color w:val="0000FF"/>
          <w:sz w:val="28"/>
          <w:szCs w:val="28"/>
        </w:rPr>
        <w:t xml:space="preserve">Mieut vaut gaige en arche </w:t>
      </w:r>
      <w:r>
        <w:rPr>
          <w:color w:val="0000FF"/>
          <w:sz w:val="28"/>
          <w:szCs w:val="28"/>
        </w:rPr>
        <w:t xml:space="preserve">( </w:t>
      </w:r>
      <w:r w:rsidRPr="00923B1A">
        <w:rPr>
          <w:color w:val="0000FF"/>
          <w:sz w:val="28"/>
          <w:szCs w:val="28"/>
        </w:rPr>
        <w:t>caffre</w:t>
      </w:r>
      <w:r>
        <w:rPr>
          <w:color w:val="0000FF"/>
          <w:sz w:val="28"/>
          <w:szCs w:val="28"/>
        </w:rPr>
        <w:t xml:space="preserve"> )</w:t>
      </w:r>
      <w:r w:rsidRPr="00923B1A">
        <w:rPr>
          <w:color w:val="0000FF"/>
          <w:sz w:val="28"/>
          <w:szCs w:val="28"/>
        </w:rPr>
        <w:t xml:space="preserve"> que pleige </w:t>
      </w:r>
      <w:r>
        <w:rPr>
          <w:color w:val="0000FF"/>
          <w:sz w:val="28"/>
          <w:szCs w:val="28"/>
        </w:rPr>
        <w:t xml:space="preserve">( </w:t>
      </w:r>
      <w:r w:rsidRPr="00923B1A">
        <w:rPr>
          <w:color w:val="0000FF"/>
          <w:sz w:val="28"/>
          <w:szCs w:val="28"/>
        </w:rPr>
        <w:t>cautem</w:t>
      </w:r>
      <w:r>
        <w:rPr>
          <w:color w:val="0000FF"/>
          <w:sz w:val="28"/>
          <w:szCs w:val="28"/>
        </w:rPr>
        <w:t xml:space="preserve"> )</w:t>
      </w:r>
      <w:r w:rsidRPr="00923B1A">
        <w:rPr>
          <w:color w:val="0000FF"/>
          <w:sz w:val="28"/>
          <w:szCs w:val="28"/>
        </w:rPr>
        <w:t xml:space="preserve"> en place  </w:t>
      </w:r>
      <w:r w:rsidRPr="00923B1A">
        <w:rPr>
          <w:rFonts w:hint="cs"/>
          <w:color w:val="0000FF"/>
          <w:sz w:val="28"/>
          <w:szCs w:val="28"/>
          <w:rtl/>
        </w:rPr>
        <w:t xml:space="preserve"> في </w:t>
      </w:r>
      <w:r w:rsidRPr="00923B1A">
        <w:rPr>
          <w:color w:val="0000FF"/>
          <w:sz w:val="28"/>
          <w:szCs w:val="28"/>
        </w:rPr>
        <w:t>Piaige plaide, gage rend, Loysel etpailleur cautior eat occasion de double process</w:t>
      </w:r>
      <w:r>
        <w:rPr>
          <w:color w:val="0000FF"/>
          <w:sz w:val="28"/>
          <w:szCs w:val="28"/>
          <w:rtl/>
        </w:rPr>
        <w:t xml:space="preserve"> .</w:t>
      </w:r>
    </w:p>
  </w:footnote>
  <w:footnote w:id="1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وبولانجيه 2 فقرة 1917</w:t>
      </w:r>
      <w:r>
        <w:rPr>
          <w:rFonts w:hint="cs"/>
          <w:color w:val="0000FF"/>
          <w:sz w:val="28"/>
          <w:szCs w:val="28"/>
          <w:rtl/>
        </w:rPr>
        <w:t xml:space="preserve"> .</w:t>
      </w:r>
    </w:p>
  </w:footnote>
  <w:footnote w:id="1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كولان وكابينال 2 فقرة 1387</w:t>
      </w:r>
      <w:r>
        <w:rPr>
          <w:rFonts w:hint="cs"/>
          <w:color w:val="0000FF"/>
          <w:sz w:val="28"/>
          <w:szCs w:val="28"/>
          <w:rtl/>
        </w:rPr>
        <w:t xml:space="preserve"> .</w:t>
      </w:r>
    </w:p>
  </w:footnote>
  <w:footnote w:id="1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القانون الفرنسي الصادر في 30 أكتوبر سنة 1935 المواد 25 </w:t>
      </w:r>
      <w:r w:rsidRPr="00923B1A">
        <w:rPr>
          <w:color w:val="0000FF"/>
          <w:sz w:val="28"/>
          <w:szCs w:val="28"/>
          <w:rtl/>
        </w:rPr>
        <w:t>–</w:t>
      </w:r>
      <w:r w:rsidRPr="00923B1A">
        <w:rPr>
          <w:rFonts w:hint="cs"/>
          <w:color w:val="0000FF"/>
          <w:sz w:val="28"/>
          <w:szCs w:val="28"/>
          <w:rtl/>
        </w:rPr>
        <w:t xml:space="preserve"> 27 </w:t>
      </w:r>
      <w:r w:rsidRPr="00923B1A">
        <w:rPr>
          <w:color w:val="0000FF"/>
          <w:sz w:val="28"/>
          <w:szCs w:val="28"/>
          <w:rtl/>
        </w:rPr>
        <w:t>–</w:t>
      </w:r>
      <w:r w:rsidRPr="00923B1A">
        <w:rPr>
          <w:rFonts w:hint="cs"/>
          <w:color w:val="0000FF"/>
          <w:sz w:val="28"/>
          <w:szCs w:val="28"/>
          <w:rtl/>
        </w:rPr>
        <w:t xml:space="preserve"> وانظر بلانيول وريبير وبولانجيه 2 فقرة 1917</w:t>
      </w:r>
      <w:r>
        <w:rPr>
          <w:rFonts w:hint="cs"/>
          <w:color w:val="0000FF"/>
          <w:sz w:val="28"/>
          <w:szCs w:val="28"/>
          <w:rtl/>
        </w:rPr>
        <w:t xml:space="preserve"> .</w:t>
      </w:r>
    </w:p>
  </w:footnote>
  <w:footnote w:id="1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وبولانجيه 2 فقرة 1917</w:t>
      </w:r>
      <w:r>
        <w:rPr>
          <w:rFonts w:hint="cs"/>
          <w:color w:val="0000FF"/>
          <w:sz w:val="28"/>
          <w:szCs w:val="28"/>
          <w:rtl/>
        </w:rPr>
        <w:t xml:space="preserve"> .</w:t>
      </w:r>
    </w:p>
  </w:footnote>
  <w:footnote w:id="1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أن للدفع بعدم التنفيذ وكذلك الحق في الحبس لا يدخل في عداد التأمينات الشخصية ولا في عداد التأمينات العينية جوسران 2 فقرة 1416</w:t>
      </w:r>
      <w:r>
        <w:rPr>
          <w:rFonts w:hint="cs"/>
          <w:color w:val="0000FF"/>
          <w:sz w:val="28"/>
          <w:szCs w:val="28"/>
          <w:rtl/>
        </w:rPr>
        <w:t xml:space="preserve"> .</w:t>
      </w:r>
    </w:p>
  </w:footnote>
  <w:footnote w:id="1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w:t>
      </w:r>
      <w:r>
        <w:rPr>
          <w:rFonts w:hint="cs"/>
          <w:color w:val="0000FF"/>
          <w:sz w:val="28"/>
          <w:szCs w:val="28"/>
          <w:rtl/>
        </w:rPr>
        <w:t xml:space="preserve"> .</w:t>
      </w:r>
    </w:p>
  </w:footnote>
  <w:footnote w:id="1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الثاني من الوسيط</w:t>
      </w:r>
      <w:r>
        <w:rPr>
          <w:rFonts w:hint="cs"/>
          <w:color w:val="0000FF"/>
          <w:sz w:val="28"/>
          <w:szCs w:val="28"/>
          <w:rtl/>
        </w:rPr>
        <w:t xml:space="preserve"> .</w:t>
      </w:r>
    </w:p>
  </w:footnote>
  <w:footnote w:id="2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الأول من الوسيط</w:t>
      </w:r>
      <w:r>
        <w:rPr>
          <w:rFonts w:hint="cs"/>
          <w:color w:val="0000FF"/>
          <w:sz w:val="28"/>
          <w:szCs w:val="28"/>
          <w:rtl/>
        </w:rPr>
        <w:t xml:space="preserve"> .</w:t>
      </w:r>
    </w:p>
  </w:footnote>
  <w:footnote w:id="2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في الكفالة فقرة 909 ص 481</w:t>
      </w:r>
      <w:r>
        <w:rPr>
          <w:rFonts w:hint="cs"/>
          <w:color w:val="0000FF"/>
          <w:sz w:val="28"/>
          <w:szCs w:val="28"/>
          <w:rtl/>
        </w:rPr>
        <w:t xml:space="preserve"> .</w:t>
      </w:r>
    </w:p>
  </w:footnote>
  <w:footnote w:id="2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الثاني من الوسيط</w:t>
      </w:r>
      <w:r>
        <w:rPr>
          <w:rFonts w:hint="cs"/>
          <w:color w:val="0000FF"/>
          <w:sz w:val="28"/>
          <w:szCs w:val="28"/>
          <w:rtl/>
        </w:rPr>
        <w:t xml:space="preserve"> .</w:t>
      </w:r>
    </w:p>
  </w:footnote>
  <w:footnote w:id="2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الثاني من الوسيط</w:t>
      </w:r>
      <w:r>
        <w:rPr>
          <w:rFonts w:hint="cs"/>
          <w:color w:val="0000FF"/>
          <w:sz w:val="28"/>
          <w:szCs w:val="28"/>
          <w:rtl/>
        </w:rPr>
        <w:t xml:space="preserve"> .</w:t>
      </w:r>
    </w:p>
  </w:footnote>
  <w:footnote w:id="2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الثالث من الوسيط</w:t>
      </w:r>
      <w:r>
        <w:rPr>
          <w:rFonts w:hint="cs"/>
          <w:color w:val="0000FF"/>
          <w:sz w:val="28"/>
          <w:szCs w:val="28"/>
          <w:rtl/>
        </w:rPr>
        <w:t xml:space="preserve"> .</w:t>
      </w:r>
    </w:p>
  </w:footnote>
  <w:footnote w:id="2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الجزء الثاني من الوسيط</w:t>
      </w:r>
      <w:r>
        <w:rPr>
          <w:rFonts w:hint="cs"/>
          <w:color w:val="0000FF"/>
          <w:sz w:val="28"/>
          <w:szCs w:val="28"/>
          <w:rtl/>
        </w:rPr>
        <w:t xml:space="preserve"> .</w:t>
      </w:r>
    </w:p>
  </w:footnote>
  <w:footnote w:id="26">
    <w:p w:rsidR="00F72742" w:rsidRPr="00923B1A" w:rsidRDefault="00F72742" w:rsidP="00F72742">
      <w:pPr>
        <w:pStyle w:val="aa"/>
        <w:ind w:firstLine="567"/>
        <w:jc w:val="lowKashida"/>
        <w:rPr>
          <w:rFonts w:hint="cs"/>
          <w:color w:val="0000FF"/>
          <w:sz w:val="28"/>
          <w:szCs w:val="28"/>
          <w:rtl/>
        </w:rPr>
      </w:pPr>
      <w:r>
        <w:rPr>
          <w:rFonts w:hint="cs"/>
          <w:color w:val="0000FF"/>
          <w:sz w:val="28"/>
          <w:szCs w:val="28"/>
          <w:rtl/>
        </w:rPr>
        <w:t xml:space="preserve">( </w:t>
      </w:r>
      <w:r w:rsidRPr="00923B1A">
        <w:rPr>
          <w:color w:val="0000FF"/>
          <w:sz w:val="28"/>
          <w:szCs w:val="28"/>
          <w:rtl/>
        </w:rPr>
        <w:t>*</w:t>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مراجع</w:t>
      </w:r>
      <w:r w:rsidRPr="00923B1A">
        <w:rPr>
          <w:color w:val="0000FF"/>
          <w:sz w:val="28"/>
          <w:szCs w:val="28"/>
          <w:u w:val="single"/>
          <w:rtl/>
        </w:rPr>
        <w:t xml:space="preserve"> </w:t>
      </w:r>
      <w:r w:rsidRPr="00923B1A">
        <w:rPr>
          <w:rFonts w:hint="cs"/>
          <w:color w:val="0000FF"/>
          <w:sz w:val="28"/>
          <w:szCs w:val="28"/>
          <w:u w:val="single"/>
          <w:rtl/>
        </w:rPr>
        <w:t>في الكفالة</w:t>
      </w:r>
      <w:r>
        <w:rPr>
          <w:color w:val="0000FF"/>
          <w:sz w:val="28"/>
          <w:szCs w:val="28"/>
          <w:rtl/>
        </w:rPr>
        <w:t xml:space="preserve">( </w:t>
      </w:r>
      <w:r w:rsidRPr="00923B1A">
        <w:rPr>
          <w:color w:val="0000FF"/>
          <w:sz w:val="28"/>
          <w:szCs w:val="28"/>
        </w:rPr>
        <w:t>Troplong</w:t>
      </w:r>
      <w:r>
        <w:rPr>
          <w:color w:val="0000FF"/>
          <w:sz w:val="28"/>
          <w:szCs w:val="28"/>
        </w:rPr>
        <w:t xml:space="preserve"> )</w:t>
      </w:r>
      <w:r w:rsidRPr="00923B1A">
        <w:rPr>
          <w:color w:val="0000FF"/>
          <w:sz w:val="28"/>
          <w:szCs w:val="28"/>
        </w:rPr>
        <w:t xml:space="preserve"> </w:t>
      </w:r>
      <w:r w:rsidRPr="00923B1A">
        <w:rPr>
          <w:rFonts w:hint="cs"/>
          <w:color w:val="0000FF"/>
          <w:sz w:val="28"/>
          <w:szCs w:val="28"/>
          <w:rtl/>
        </w:rPr>
        <w:t xml:space="preserve">في الكفالة سنة 1846 </w:t>
      </w:r>
      <w:r w:rsidRPr="00923B1A">
        <w:rPr>
          <w:color w:val="0000FF"/>
          <w:sz w:val="28"/>
          <w:szCs w:val="28"/>
          <w:rtl/>
        </w:rPr>
        <w:t>–</w:t>
      </w:r>
      <w:r w:rsidRPr="00923B1A">
        <w:rPr>
          <w:rFonts w:hint="cs"/>
          <w:color w:val="0000FF"/>
          <w:sz w:val="28"/>
          <w:szCs w:val="28"/>
          <w:rtl/>
        </w:rPr>
        <w:t xml:space="preserve"> بون </w:t>
      </w:r>
      <w:r>
        <w:rPr>
          <w:color w:val="0000FF"/>
          <w:sz w:val="28"/>
          <w:szCs w:val="28"/>
          <w:rtl/>
        </w:rPr>
        <w:t xml:space="preserve">( </w:t>
      </w:r>
      <w:r w:rsidRPr="00923B1A">
        <w:rPr>
          <w:color w:val="0000FF"/>
          <w:sz w:val="28"/>
          <w:szCs w:val="28"/>
        </w:rPr>
        <w:t>Pont</w:t>
      </w:r>
      <w:r>
        <w:rPr>
          <w:color w:val="0000FF"/>
          <w:sz w:val="28"/>
          <w:szCs w:val="28"/>
          <w:rtl/>
        </w:rPr>
        <w:t xml:space="preserve"> )</w:t>
      </w:r>
      <w:r w:rsidRPr="00923B1A">
        <w:rPr>
          <w:rFonts w:hint="cs"/>
          <w:color w:val="0000FF"/>
          <w:sz w:val="28"/>
          <w:szCs w:val="28"/>
          <w:rtl/>
        </w:rPr>
        <w:t xml:space="preserve"> في العقود الصغيرة 2 فقرة 1 </w:t>
      </w:r>
      <w:r w:rsidRPr="00923B1A">
        <w:rPr>
          <w:color w:val="0000FF"/>
          <w:sz w:val="28"/>
          <w:szCs w:val="28"/>
          <w:rtl/>
        </w:rPr>
        <w:t>–</w:t>
      </w:r>
      <w:r w:rsidRPr="00923B1A">
        <w:rPr>
          <w:rFonts w:hint="cs"/>
          <w:color w:val="0000FF"/>
          <w:sz w:val="28"/>
          <w:szCs w:val="28"/>
          <w:rtl/>
        </w:rPr>
        <w:t xml:space="preserve"> فقرة 150 </w:t>
      </w:r>
      <w:r w:rsidRPr="00923B1A">
        <w:rPr>
          <w:color w:val="0000FF"/>
          <w:sz w:val="28"/>
          <w:szCs w:val="28"/>
          <w:rtl/>
        </w:rPr>
        <w:t>–</w:t>
      </w:r>
      <w:r w:rsidRPr="00923B1A">
        <w:rPr>
          <w:rFonts w:hint="cs"/>
          <w:color w:val="0000FF"/>
          <w:sz w:val="28"/>
          <w:szCs w:val="28"/>
          <w:rtl/>
        </w:rPr>
        <w:t xml:space="preserve"> جبوار في الكفالة </w:t>
      </w:r>
      <w:r w:rsidRPr="00923B1A">
        <w:rPr>
          <w:color w:val="0000FF"/>
          <w:sz w:val="28"/>
          <w:szCs w:val="28"/>
          <w:rtl/>
        </w:rPr>
        <w:t>–</w:t>
      </w:r>
      <w:r w:rsidRPr="00923B1A">
        <w:rPr>
          <w:rFonts w:hint="cs"/>
          <w:color w:val="0000FF"/>
          <w:sz w:val="28"/>
          <w:szCs w:val="28"/>
          <w:rtl/>
        </w:rPr>
        <w:t xml:space="preserve"> بودري وفال في عقود الغرر والوديعة والكفالة والصلح الطبعة الثالثة سنة 19007 </w:t>
      </w:r>
      <w:r w:rsidRPr="00923B1A">
        <w:rPr>
          <w:color w:val="0000FF"/>
          <w:sz w:val="28"/>
          <w:szCs w:val="28"/>
          <w:rtl/>
        </w:rPr>
        <w:t>–</w:t>
      </w:r>
      <w:r w:rsidRPr="00923B1A">
        <w:rPr>
          <w:rFonts w:hint="cs"/>
          <w:color w:val="0000FF"/>
          <w:sz w:val="28"/>
          <w:szCs w:val="28"/>
          <w:rtl/>
        </w:rPr>
        <w:t xml:space="preserve"> أوبري ورو وإسمان في العقود والمسئولية الجزء السادس الطبعة السادسة سنة 1951 </w:t>
      </w:r>
      <w:r w:rsidRPr="00923B1A">
        <w:rPr>
          <w:color w:val="0000FF"/>
          <w:sz w:val="28"/>
          <w:szCs w:val="28"/>
          <w:rtl/>
        </w:rPr>
        <w:t>–</w:t>
      </w:r>
      <w:r w:rsidRPr="00923B1A">
        <w:rPr>
          <w:rFonts w:hint="cs"/>
          <w:color w:val="0000FF"/>
          <w:sz w:val="28"/>
          <w:szCs w:val="28"/>
          <w:rtl/>
        </w:rPr>
        <w:t xml:space="preserve"> بيدان وفواران الجزء الثالث عشر في التأمينات الشخصية والعينية الطبعة الثانية سنة 1948 </w:t>
      </w:r>
      <w:r w:rsidRPr="00923B1A">
        <w:rPr>
          <w:color w:val="0000FF"/>
          <w:sz w:val="28"/>
          <w:szCs w:val="28"/>
          <w:rtl/>
        </w:rPr>
        <w:t>–</w:t>
      </w:r>
      <w:r w:rsidRPr="00923B1A">
        <w:rPr>
          <w:rFonts w:hint="cs"/>
          <w:color w:val="0000FF"/>
          <w:sz w:val="28"/>
          <w:szCs w:val="28"/>
          <w:rtl/>
        </w:rPr>
        <w:t xml:space="preserve"> بلانيول وريبير وسافاتييه الجزء الحادي عشر الطبعة الثانية سنة 1954 </w:t>
      </w:r>
      <w:r w:rsidRPr="00923B1A">
        <w:rPr>
          <w:color w:val="0000FF"/>
          <w:sz w:val="28"/>
          <w:szCs w:val="28"/>
          <w:rtl/>
        </w:rPr>
        <w:t>–</w:t>
      </w:r>
      <w:r w:rsidRPr="00923B1A">
        <w:rPr>
          <w:rFonts w:hint="cs"/>
          <w:color w:val="0000FF"/>
          <w:sz w:val="28"/>
          <w:szCs w:val="28"/>
          <w:rtl/>
        </w:rPr>
        <w:t xml:space="preserve"> بلانيول وريبير وبولانجيه 2 فقرة الجزء الثاني الطبعة الثالثة سنة 1949 </w:t>
      </w:r>
      <w:r w:rsidRPr="00923B1A">
        <w:rPr>
          <w:color w:val="0000FF"/>
          <w:sz w:val="28"/>
          <w:szCs w:val="28"/>
          <w:rtl/>
        </w:rPr>
        <w:t>–</w:t>
      </w:r>
      <w:r w:rsidRPr="00923B1A">
        <w:rPr>
          <w:rFonts w:hint="cs"/>
          <w:color w:val="0000FF"/>
          <w:sz w:val="28"/>
          <w:szCs w:val="28"/>
          <w:rtl/>
        </w:rPr>
        <w:t xml:space="preserve"> كولان وكابيتان ودي لامور انديير الجزء الثاني الطبعة العاشرة سنة 1948 </w:t>
      </w:r>
      <w:r w:rsidRPr="00923B1A">
        <w:rPr>
          <w:color w:val="0000FF"/>
          <w:sz w:val="28"/>
          <w:szCs w:val="28"/>
          <w:rtl/>
        </w:rPr>
        <w:t>–</w:t>
      </w:r>
      <w:r w:rsidRPr="00923B1A">
        <w:rPr>
          <w:rFonts w:hint="cs"/>
          <w:color w:val="0000FF"/>
          <w:sz w:val="28"/>
          <w:szCs w:val="28"/>
          <w:rtl/>
        </w:rPr>
        <w:t xml:space="preserve"> جوسران الجزء الثاني الطبعة الثانية سنة 1933 </w:t>
      </w:r>
      <w:r w:rsidRPr="00923B1A">
        <w:rPr>
          <w:color w:val="0000FF"/>
          <w:sz w:val="28"/>
          <w:szCs w:val="28"/>
          <w:rtl/>
        </w:rPr>
        <w:t>–</w:t>
      </w:r>
      <w:r w:rsidRPr="00923B1A">
        <w:rPr>
          <w:rFonts w:hint="cs"/>
          <w:color w:val="0000FF"/>
          <w:sz w:val="28"/>
          <w:szCs w:val="28"/>
          <w:rtl/>
        </w:rPr>
        <w:t xml:space="preserve"> دي باج في القانون المدني البلجيكي الجزء السادس سنة 1943 أنسيكلوبيدي داللوز جزء أول سنة 1951 لفظ </w:t>
      </w:r>
      <w:r w:rsidRPr="00923B1A">
        <w:rPr>
          <w:color w:val="0000FF"/>
          <w:sz w:val="28"/>
          <w:szCs w:val="28"/>
        </w:rPr>
        <w:t>cantionnement</w:t>
      </w:r>
      <w:r>
        <w:rPr>
          <w:rFonts w:hint="cs"/>
          <w:color w:val="0000FF"/>
          <w:sz w:val="28"/>
          <w:szCs w:val="28"/>
          <w:rtl/>
        </w:rPr>
        <w:t xml:space="preserve"> .</w:t>
      </w:r>
    </w:p>
    <w:p w:rsidR="00F72742" w:rsidRPr="00923B1A" w:rsidRDefault="00F72742" w:rsidP="00F72742">
      <w:pPr>
        <w:pStyle w:val="aa"/>
        <w:ind w:firstLine="567"/>
        <w:jc w:val="lowKashida"/>
        <w:rPr>
          <w:rFonts w:hint="cs"/>
          <w:color w:val="0000FF"/>
          <w:sz w:val="28"/>
          <w:szCs w:val="28"/>
          <w:rtl/>
        </w:rPr>
      </w:pPr>
      <w:r w:rsidRPr="00923B1A">
        <w:rPr>
          <w:rFonts w:hint="cs"/>
          <w:color w:val="0000FF"/>
          <w:sz w:val="28"/>
          <w:szCs w:val="28"/>
          <w:rtl/>
        </w:rPr>
        <w:t xml:space="preserve">محمد كامل مرسي في العقود المسماة سنة 1949 </w:t>
      </w:r>
      <w:r w:rsidRPr="00923B1A">
        <w:rPr>
          <w:color w:val="0000FF"/>
          <w:sz w:val="28"/>
          <w:szCs w:val="28"/>
          <w:rtl/>
        </w:rPr>
        <w:t>–</w:t>
      </w:r>
      <w:r w:rsidRPr="00923B1A">
        <w:rPr>
          <w:rFonts w:hint="cs"/>
          <w:color w:val="0000FF"/>
          <w:sz w:val="28"/>
          <w:szCs w:val="28"/>
          <w:rtl/>
        </w:rPr>
        <w:t xml:space="preserve"> عبد الفتاح عبد الباقي في التأمينات الشخصية والعينية سنة 1950 </w:t>
      </w:r>
      <w:r w:rsidRPr="00923B1A">
        <w:rPr>
          <w:color w:val="0000FF"/>
          <w:sz w:val="28"/>
          <w:szCs w:val="28"/>
          <w:rtl/>
        </w:rPr>
        <w:t>–</w:t>
      </w:r>
      <w:r w:rsidRPr="00923B1A">
        <w:rPr>
          <w:rFonts w:hint="cs"/>
          <w:color w:val="0000FF"/>
          <w:sz w:val="28"/>
          <w:szCs w:val="28"/>
          <w:rtl/>
        </w:rPr>
        <w:t xml:space="preserve"> محمود جمال الدين زكي دروس في التأمينات الشخصية والعينية سنة 1957 </w:t>
      </w:r>
      <w:r w:rsidRPr="00923B1A">
        <w:rPr>
          <w:color w:val="0000FF"/>
          <w:sz w:val="28"/>
          <w:szCs w:val="28"/>
          <w:rtl/>
        </w:rPr>
        <w:t>–</w:t>
      </w:r>
      <w:r w:rsidRPr="00923B1A">
        <w:rPr>
          <w:rFonts w:hint="cs"/>
          <w:color w:val="0000FF"/>
          <w:sz w:val="28"/>
          <w:szCs w:val="28"/>
          <w:rtl/>
        </w:rPr>
        <w:t xml:space="preserve"> محمد علي إمام في التأمينات الشخصية والعينية </w:t>
      </w:r>
      <w:r w:rsidRPr="00923B1A">
        <w:rPr>
          <w:color w:val="0000FF"/>
          <w:sz w:val="28"/>
          <w:szCs w:val="28"/>
          <w:rtl/>
        </w:rPr>
        <w:t>–</w:t>
      </w:r>
      <w:r w:rsidRPr="00923B1A">
        <w:rPr>
          <w:rFonts w:hint="cs"/>
          <w:color w:val="0000FF"/>
          <w:sz w:val="28"/>
          <w:szCs w:val="28"/>
          <w:rtl/>
        </w:rPr>
        <w:t xml:space="preserve"> سليمان مرقس في عقد الكفالة سنة 1959 </w:t>
      </w:r>
      <w:r w:rsidRPr="00923B1A">
        <w:rPr>
          <w:color w:val="0000FF"/>
          <w:sz w:val="28"/>
          <w:szCs w:val="28"/>
          <w:rtl/>
        </w:rPr>
        <w:t>–</w:t>
      </w:r>
      <w:r w:rsidRPr="00923B1A">
        <w:rPr>
          <w:rFonts w:hint="cs"/>
          <w:color w:val="0000FF"/>
          <w:sz w:val="28"/>
          <w:szCs w:val="28"/>
          <w:rtl/>
        </w:rPr>
        <w:t xml:space="preserve"> منصور مصطفى منصور في عقد الكفالة سنة 1960</w:t>
      </w:r>
      <w:r>
        <w:rPr>
          <w:rFonts w:hint="cs"/>
          <w:color w:val="0000FF"/>
          <w:sz w:val="28"/>
          <w:szCs w:val="28"/>
          <w:rtl/>
        </w:rPr>
        <w:t xml:space="preserve"> .</w:t>
      </w:r>
    </w:p>
  </w:footnote>
  <w:footnote w:id="2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1133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841 في المشروع النهائي</w:t>
      </w:r>
      <w:r>
        <w:rPr>
          <w:rFonts w:hint="cs"/>
          <w:color w:val="0000FF"/>
          <w:sz w:val="28"/>
          <w:szCs w:val="28"/>
          <w:rtl/>
        </w:rPr>
        <w:t xml:space="preserve"> .</w:t>
      </w:r>
      <w:r w:rsidRPr="00923B1A">
        <w:rPr>
          <w:rFonts w:hint="cs"/>
          <w:color w:val="0000FF"/>
          <w:sz w:val="28"/>
          <w:szCs w:val="28"/>
          <w:rtl/>
        </w:rPr>
        <w:t xml:space="preserve"> ووفاق عليه مجلس النواب تحت رقم 840</w:t>
      </w:r>
      <w:r>
        <w:rPr>
          <w:rFonts w:hint="cs"/>
          <w:color w:val="0000FF"/>
          <w:sz w:val="28"/>
          <w:szCs w:val="28"/>
          <w:rtl/>
        </w:rPr>
        <w:t xml:space="preserve"> ،</w:t>
      </w:r>
      <w:r w:rsidRPr="00923B1A">
        <w:rPr>
          <w:rFonts w:hint="cs"/>
          <w:color w:val="0000FF"/>
          <w:sz w:val="28"/>
          <w:szCs w:val="28"/>
          <w:rtl/>
        </w:rPr>
        <w:t xml:space="preserve"> ثم مجلس الشيوخ تحت رقم 772 </w:t>
      </w:r>
      <w:r>
        <w:rPr>
          <w:rFonts w:hint="cs"/>
          <w:color w:val="0000FF"/>
          <w:sz w:val="28"/>
          <w:szCs w:val="28"/>
          <w:rtl/>
        </w:rPr>
        <w:t xml:space="preserve">( </w:t>
      </w:r>
      <w:r w:rsidRPr="00923B1A">
        <w:rPr>
          <w:rFonts w:hint="cs"/>
          <w:color w:val="0000FF"/>
          <w:sz w:val="28"/>
          <w:szCs w:val="28"/>
          <w:rtl/>
        </w:rPr>
        <w:t xml:space="preserve">مجموعة الأعمال التحضيرية 5 ص 420 </w:t>
      </w:r>
      <w:r w:rsidRPr="00923B1A">
        <w:rPr>
          <w:color w:val="0000FF"/>
          <w:sz w:val="28"/>
          <w:szCs w:val="28"/>
          <w:rtl/>
        </w:rPr>
        <w:t>–</w:t>
      </w:r>
      <w:r w:rsidRPr="00923B1A">
        <w:rPr>
          <w:rFonts w:hint="cs"/>
          <w:color w:val="0000FF"/>
          <w:sz w:val="28"/>
          <w:szCs w:val="28"/>
          <w:rtl/>
        </w:rPr>
        <w:t xml:space="preserve"> ص 424</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م 495/604</w:t>
      </w:r>
      <w:r>
        <w:rPr>
          <w:rFonts w:hint="cs"/>
          <w:color w:val="0000FF"/>
          <w:sz w:val="28"/>
          <w:szCs w:val="28"/>
          <w:rtl/>
        </w:rPr>
        <w:t xml:space="preserve"> :</w:t>
      </w:r>
      <w:r w:rsidRPr="00923B1A">
        <w:rPr>
          <w:rFonts w:hint="cs"/>
          <w:color w:val="0000FF"/>
          <w:sz w:val="28"/>
          <w:szCs w:val="28"/>
          <w:rtl/>
        </w:rPr>
        <w:t xml:space="preserve"> الكفالة عقد به يلتزم إنسان بأداء دين إنسان آخر إذا كان هذا الآخر لا يؤديه</w:t>
      </w:r>
      <w:r>
        <w:rPr>
          <w:rFonts w:hint="cs"/>
          <w:color w:val="0000FF"/>
          <w:sz w:val="28"/>
          <w:szCs w:val="28"/>
          <w:rtl/>
        </w:rPr>
        <w:t xml:space="preserve"> .</w:t>
      </w:r>
      <w:r w:rsidRPr="00923B1A">
        <w:rPr>
          <w:rFonts w:hint="cs"/>
          <w:color w:val="0000FF"/>
          <w:sz w:val="28"/>
          <w:szCs w:val="28"/>
          <w:rtl/>
        </w:rPr>
        <w:t xml:space="preserve"> وتجوز الكفالة بالدين بدون علم المدين بها</w:t>
      </w:r>
      <w:r>
        <w:rPr>
          <w:rFonts w:hint="cs"/>
          <w:color w:val="0000FF"/>
          <w:sz w:val="28"/>
          <w:szCs w:val="28"/>
          <w:rtl/>
        </w:rPr>
        <w:t xml:space="preserve">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Pr>
          <w:rFonts w:hint="cs"/>
          <w:color w:val="0000FF"/>
          <w:sz w:val="28"/>
          <w:szCs w:val="28"/>
          <w:rtl/>
        </w:rPr>
        <w:t xml:space="preserve"> :</w:t>
      </w:r>
      <w:r w:rsidRPr="00923B1A">
        <w:rPr>
          <w:rFonts w:hint="cs"/>
          <w:color w:val="0000FF"/>
          <w:sz w:val="28"/>
          <w:szCs w:val="28"/>
          <w:rtl/>
        </w:rPr>
        <w:t xml:space="preserve"> م 738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Pr>
          <w:rFonts w:hint="cs"/>
          <w:color w:val="0000FF"/>
          <w:sz w:val="28"/>
          <w:szCs w:val="28"/>
          <w:rtl/>
        </w:rPr>
        <w:t xml:space="preserve"> :</w:t>
      </w:r>
      <w:r w:rsidRPr="00923B1A">
        <w:rPr>
          <w:rFonts w:hint="cs"/>
          <w:color w:val="0000FF"/>
          <w:sz w:val="28"/>
          <w:szCs w:val="28"/>
          <w:rtl/>
        </w:rPr>
        <w:t xml:space="preserve"> م 781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1008</w:t>
      </w:r>
      <w:r>
        <w:rPr>
          <w:rFonts w:hint="cs"/>
          <w:color w:val="0000FF"/>
          <w:sz w:val="28"/>
          <w:szCs w:val="28"/>
          <w:rtl/>
        </w:rPr>
        <w:t xml:space="preserve"> :</w:t>
      </w:r>
      <w:r w:rsidRPr="00923B1A">
        <w:rPr>
          <w:rFonts w:hint="cs"/>
          <w:color w:val="0000FF"/>
          <w:sz w:val="28"/>
          <w:szCs w:val="28"/>
          <w:rtl/>
        </w:rPr>
        <w:t xml:space="preserve"> الكفالة ضم ذمة إلى ذمة في المطالبة بتنفيذ التزام </w:t>
      </w:r>
      <w:r>
        <w:rPr>
          <w:rFonts w:hint="cs"/>
          <w:color w:val="0000FF"/>
          <w:sz w:val="28"/>
          <w:szCs w:val="28"/>
          <w:rtl/>
        </w:rPr>
        <w:t xml:space="preserve">( </w:t>
      </w:r>
      <w:r w:rsidRPr="00923B1A">
        <w:rPr>
          <w:rFonts w:hint="cs"/>
          <w:color w:val="0000FF"/>
          <w:sz w:val="28"/>
          <w:szCs w:val="28"/>
          <w:rtl/>
        </w:rPr>
        <w:t>والتعريف مأخوذ من الفقه الإسلامي</w:t>
      </w:r>
      <w:r>
        <w:rPr>
          <w:rFonts w:hint="cs"/>
          <w:color w:val="0000FF"/>
          <w:sz w:val="28"/>
          <w:szCs w:val="28"/>
          <w:rtl/>
        </w:rPr>
        <w:t xml:space="preserve"> :</w:t>
      </w:r>
      <w:r w:rsidRPr="00923B1A">
        <w:rPr>
          <w:rFonts w:hint="cs"/>
          <w:color w:val="0000FF"/>
          <w:sz w:val="28"/>
          <w:szCs w:val="28"/>
          <w:rtl/>
        </w:rPr>
        <w:t xml:space="preserve"> ويتفق في مجموعه مع تعريف التقنين المدني المصري</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1053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footnote>
  <w:footnote w:id="2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صدد تعريف الكفالة ما ورد في المذكرة الإيضاحية للمشروع التمهيدي في مجموع الأعمال التحضيرية 5 ص 421 </w:t>
      </w:r>
      <w:r w:rsidRPr="00923B1A">
        <w:rPr>
          <w:color w:val="0000FF"/>
          <w:sz w:val="28"/>
          <w:szCs w:val="28"/>
          <w:rtl/>
        </w:rPr>
        <w:t>–</w:t>
      </w:r>
      <w:r w:rsidRPr="00923B1A">
        <w:rPr>
          <w:rFonts w:hint="cs"/>
          <w:color w:val="0000FF"/>
          <w:sz w:val="28"/>
          <w:szCs w:val="28"/>
          <w:rtl/>
        </w:rPr>
        <w:t xml:space="preserve"> ص 423</w:t>
      </w:r>
      <w:r>
        <w:rPr>
          <w:rFonts w:hint="cs"/>
          <w:color w:val="0000FF"/>
          <w:sz w:val="28"/>
          <w:szCs w:val="28"/>
          <w:rtl/>
        </w:rPr>
        <w:t xml:space="preserve"> .</w:t>
      </w:r>
      <w:r w:rsidRPr="00923B1A">
        <w:rPr>
          <w:rFonts w:hint="cs"/>
          <w:color w:val="0000FF"/>
          <w:sz w:val="28"/>
          <w:szCs w:val="28"/>
          <w:rtl/>
        </w:rPr>
        <w:t xml:space="preserve"> هذا والكفيل لا يلتزم التزاما معلقا على شرط واقف هو عدم وفاء المدين الأصلي بالدين</w:t>
      </w:r>
      <w:r>
        <w:rPr>
          <w:rFonts w:hint="cs"/>
          <w:color w:val="0000FF"/>
          <w:sz w:val="28"/>
          <w:szCs w:val="28"/>
          <w:rtl/>
        </w:rPr>
        <w:t xml:space="preserve"> ،</w:t>
      </w:r>
      <w:r w:rsidRPr="00923B1A">
        <w:rPr>
          <w:rFonts w:hint="cs"/>
          <w:color w:val="0000FF"/>
          <w:sz w:val="28"/>
          <w:szCs w:val="28"/>
          <w:rtl/>
        </w:rPr>
        <w:t xml:space="preserve"> كما قد يفهم خطأ من التعريف</w:t>
      </w:r>
      <w:r>
        <w:rPr>
          <w:rFonts w:hint="cs"/>
          <w:color w:val="0000FF"/>
          <w:sz w:val="28"/>
          <w:szCs w:val="28"/>
          <w:rtl/>
        </w:rPr>
        <w:t xml:space="preserve"> .</w:t>
      </w:r>
      <w:r w:rsidRPr="00923B1A">
        <w:rPr>
          <w:rFonts w:hint="cs"/>
          <w:color w:val="0000FF"/>
          <w:sz w:val="28"/>
          <w:szCs w:val="28"/>
          <w:rtl/>
        </w:rPr>
        <w:t xml:space="preserve"> بل الكفيل يلتزم التزاماً منجزا هو وفاء للدين </w:t>
      </w:r>
      <w:r>
        <w:rPr>
          <w:rFonts w:hint="cs"/>
          <w:color w:val="0000FF"/>
          <w:sz w:val="28"/>
          <w:szCs w:val="28"/>
          <w:rtl/>
        </w:rPr>
        <w:t>ال</w:t>
      </w:r>
      <w:r w:rsidRPr="00923B1A">
        <w:rPr>
          <w:rFonts w:hint="cs"/>
          <w:color w:val="0000FF"/>
          <w:sz w:val="28"/>
          <w:szCs w:val="28"/>
          <w:rtl/>
        </w:rPr>
        <w:t>أصلي</w:t>
      </w:r>
      <w:r>
        <w:rPr>
          <w:rFonts w:hint="cs"/>
          <w:color w:val="0000FF"/>
          <w:sz w:val="28"/>
          <w:szCs w:val="28"/>
          <w:rtl/>
        </w:rPr>
        <w:t xml:space="preserve"> ،</w:t>
      </w:r>
      <w:r w:rsidRPr="00923B1A">
        <w:rPr>
          <w:rFonts w:hint="cs"/>
          <w:color w:val="0000FF"/>
          <w:sz w:val="28"/>
          <w:szCs w:val="28"/>
          <w:rtl/>
        </w:rPr>
        <w:t xml:space="preserve"> ولكن له إذا رجع الدائن عليه قبل أن يرجع على المدين أن يطلب من الدائن تجريد المدين إذا توافرت شروط الدفع بالتجريد</w:t>
      </w:r>
      <w:r>
        <w:rPr>
          <w:rFonts w:hint="cs"/>
          <w:color w:val="0000FF"/>
          <w:sz w:val="28"/>
          <w:szCs w:val="28"/>
          <w:rtl/>
        </w:rPr>
        <w:t xml:space="preserve"> ،</w:t>
      </w:r>
      <w:r w:rsidRPr="00923B1A">
        <w:rPr>
          <w:rFonts w:hint="cs"/>
          <w:color w:val="0000FF"/>
          <w:sz w:val="28"/>
          <w:szCs w:val="28"/>
          <w:rtl/>
        </w:rPr>
        <w:t xml:space="preserve"> وسيأتي بيانها </w:t>
      </w:r>
      <w:r>
        <w:rPr>
          <w:rFonts w:hint="cs"/>
          <w:color w:val="0000FF"/>
          <w:sz w:val="28"/>
          <w:szCs w:val="28"/>
          <w:rtl/>
        </w:rPr>
        <w:t xml:space="preserve">( </w:t>
      </w:r>
      <w:r w:rsidRPr="00923B1A">
        <w:rPr>
          <w:rFonts w:hint="cs"/>
          <w:color w:val="0000FF"/>
          <w:sz w:val="28"/>
          <w:szCs w:val="28"/>
          <w:rtl/>
        </w:rPr>
        <w:t xml:space="preserve">محمد كامل مرسي فقرة 6 ص 15 </w:t>
      </w:r>
      <w:r w:rsidRPr="00923B1A">
        <w:rPr>
          <w:color w:val="0000FF"/>
          <w:sz w:val="28"/>
          <w:szCs w:val="28"/>
          <w:rtl/>
        </w:rPr>
        <w:t>–</w:t>
      </w:r>
      <w:r w:rsidRPr="00923B1A">
        <w:rPr>
          <w:rFonts w:hint="cs"/>
          <w:color w:val="0000FF"/>
          <w:sz w:val="28"/>
          <w:szCs w:val="28"/>
          <w:rtl/>
        </w:rPr>
        <w:t xml:space="preserve"> ص 16 </w:t>
      </w:r>
      <w:r w:rsidRPr="00923B1A">
        <w:rPr>
          <w:color w:val="0000FF"/>
          <w:sz w:val="28"/>
          <w:szCs w:val="28"/>
          <w:rtl/>
        </w:rPr>
        <w:t>–</w:t>
      </w:r>
      <w:r w:rsidRPr="00923B1A">
        <w:rPr>
          <w:rFonts w:hint="cs"/>
          <w:color w:val="0000FF"/>
          <w:sz w:val="28"/>
          <w:szCs w:val="28"/>
          <w:rtl/>
        </w:rPr>
        <w:t xml:space="preserve"> عبد الفتاح عبد الباقي فقرة 15 ص 32 </w:t>
      </w:r>
      <w:r w:rsidRPr="00923B1A">
        <w:rPr>
          <w:color w:val="0000FF"/>
          <w:sz w:val="28"/>
          <w:szCs w:val="28"/>
          <w:rtl/>
        </w:rPr>
        <w:t>–</w:t>
      </w:r>
      <w:r w:rsidRPr="00923B1A">
        <w:rPr>
          <w:rFonts w:hint="cs"/>
          <w:color w:val="0000FF"/>
          <w:sz w:val="28"/>
          <w:szCs w:val="28"/>
          <w:rtl/>
        </w:rPr>
        <w:t xml:space="preserve"> محمود جمال الدين زكي فقرة 13 ص 34 </w:t>
      </w:r>
      <w:r w:rsidRPr="00923B1A">
        <w:rPr>
          <w:color w:val="0000FF"/>
          <w:sz w:val="28"/>
          <w:szCs w:val="28"/>
          <w:rtl/>
        </w:rPr>
        <w:t>–</w:t>
      </w:r>
      <w:r w:rsidRPr="00923B1A">
        <w:rPr>
          <w:rFonts w:hint="cs"/>
          <w:color w:val="0000FF"/>
          <w:sz w:val="28"/>
          <w:szCs w:val="28"/>
          <w:rtl/>
        </w:rPr>
        <w:t xml:space="preserve"> محمد على إمام فقرة 10 ص 20 </w:t>
      </w:r>
      <w:r w:rsidRPr="00923B1A">
        <w:rPr>
          <w:color w:val="0000FF"/>
          <w:sz w:val="28"/>
          <w:szCs w:val="28"/>
          <w:rtl/>
        </w:rPr>
        <w:t>–</w:t>
      </w:r>
      <w:r w:rsidRPr="00923B1A">
        <w:rPr>
          <w:rFonts w:hint="cs"/>
          <w:color w:val="0000FF"/>
          <w:sz w:val="28"/>
          <w:szCs w:val="28"/>
          <w:rtl/>
        </w:rPr>
        <w:t xml:space="preserve"> سليمان مرقس فقرة 4 ص 5 </w:t>
      </w:r>
      <w:r w:rsidRPr="00923B1A">
        <w:rPr>
          <w:color w:val="0000FF"/>
          <w:sz w:val="28"/>
          <w:szCs w:val="28"/>
          <w:rtl/>
        </w:rPr>
        <w:t>–</w:t>
      </w:r>
      <w:r w:rsidRPr="00923B1A">
        <w:rPr>
          <w:rFonts w:hint="cs"/>
          <w:color w:val="0000FF"/>
          <w:sz w:val="28"/>
          <w:szCs w:val="28"/>
          <w:rtl/>
        </w:rPr>
        <w:t xml:space="preserve"> منصور مصطفى منصور فقرة 4 ص 8</w:t>
      </w:r>
      <w:r>
        <w:rPr>
          <w:rFonts w:hint="cs"/>
          <w:color w:val="0000FF"/>
          <w:sz w:val="28"/>
          <w:szCs w:val="28"/>
          <w:rtl/>
        </w:rPr>
        <w:t xml:space="preserve"> ) .</w:t>
      </w:r>
      <w:r w:rsidRPr="00923B1A">
        <w:rPr>
          <w:rFonts w:hint="cs"/>
          <w:color w:val="0000FF"/>
          <w:sz w:val="28"/>
          <w:szCs w:val="28"/>
          <w:rtl/>
        </w:rPr>
        <w:t xml:space="preserve"> </w:t>
      </w:r>
    </w:p>
  </w:footnote>
  <w:footnote w:id="2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 775 مدني </w:t>
      </w:r>
      <w:r w:rsidRPr="00923B1A">
        <w:rPr>
          <w:color w:val="0000FF"/>
          <w:sz w:val="28"/>
          <w:szCs w:val="28"/>
          <w:rtl/>
        </w:rPr>
        <w:t>–</w:t>
      </w:r>
      <w:r w:rsidRPr="00923B1A">
        <w:rPr>
          <w:rFonts w:hint="cs"/>
          <w:color w:val="0000FF"/>
          <w:sz w:val="28"/>
          <w:szCs w:val="28"/>
          <w:rtl/>
        </w:rPr>
        <w:t xml:space="preserve"> وانظر ما يلي فقرة 28</w:t>
      </w:r>
      <w:r>
        <w:rPr>
          <w:rFonts w:hint="cs"/>
          <w:color w:val="0000FF"/>
          <w:sz w:val="28"/>
          <w:szCs w:val="28"/>
          <w:rtl/>
        </w:rPr>
        <w:t xml:space="preserve"> .</w:t>
      </w:r>
    </w:p>
  </w:footnote>
  <w:footnote w:id="3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ما ورد في المذكرة الإيضاحية للمشروع التمهيدي في هذا الصدد في لجنة الأستاذ كامل صدقي وهي اللجنة التي أعدت مشروع الكفالة مجموعة الأعمال التحضيرية 5 ص 421 في الهامش</w:t>
      </w:r>
      <w:r>
        <w:rPr>
          <w:rFonts w:hint="cs"/>
          <w:color w:val="0000FF"/>
          <w:sz w:val="28"/>
          <w:szCs w:val="28"/>
          <w:rtl/>
        </w:rPr>
        <w:t xml:space="preserve"> .</w:t>
      </w:r>
    </w:p>
  </w:footnote>
  <w:footnote w:id="3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ومن هنا كانت الكفالة الشخصية هي ضم ذمة الكفيل إلى ذمة الأصيل</w:t>
      </w:r>
      <w:r>
        <w:rPr>
          <w:rFonts w:hint="cs"/>
          <w:color w:val="0000FF"/>
          <w:sz w:val="28"/>
          <w:szCs w:val="28"/>
          <w:rtl/>
        </w:rPr>
        <w:t xml:space="preserve"> ،</w:t>
      </w:r>
      <w:r w:rsidRPr="00923B1A">
        <w:rPr>
          <w:rFonts w:hint="cs"/>
          <w:color w:val="0000FF"/>
          <w:sz w:val="28"/>
          <w:szCs w:val="28"/>
          <w:rtl/>
        </w:rPr>
        <w:t xml:space="preserve"> فيصبح للدائن مدينان بدلا من مدين واحد</w:t>
      </w:r>
      <w:r>
        <w:rPr>
          <w:rFonts w:hint="cs"/>
          <w:color w:val="0000FF"/>
          <w:sz w:val="28"/>
          <w:szCs w:val="28"/>
          <w:rtl/>
        </w:rPr>
        <w:t xml:space="preserve"> ،</w:t>
      </w:r>
      <w:r w:rsidRPr="00923B1A">
        <w:rPr>
          <w:rFonts w:hint="cs"/>
          <w:color w:val="0000FF"/>
          <w:sz w:val="28"/>
          <w:szCs w:val="28"/>
          <w:rtl/>
        </w:rPr>
        <w:t xml:space="preserve"> ولا بد أن يكون كل من هذين المدينين معسرا إعساراً تاما حتى يضيع على الدائن حقه </w:t>
      </w:r>
      <w:r>
        <w:rPr>
          <w:rFonts w:hint="cs"/>
          <w:color w:val="0000FF"/>
          <w:sz w:val="28"/>
          <w:szCs w:val="28"/>
          <w:rtl/>
        </w:rPr>
        <w:t xml:space="preserve">( </w:t>
      </w:r>
      <w:r w:rsidRPr="00923B1A">
        <w:rPr>
          <w:rFonts w:hint="cs"/>
          <w:color w:val="0000FF"/>
          <w:sz w:val="28"/>
          <w:szCs w:val="28"/>
          <w:rtl/>
        </w:rPr>
        <w:t>بودري وفال فقرة 909 ص 481</w:t>
      </w:r>
      <w:r>
        <w:rPr>
          <w:rFonts w:hint="cs"/>
          <w:color w:val="0000FF"/>
          <w:sz w:val="28"/>
          <w:szCs w:val="28"/>
          <w:rtl/>
        </w:rPr>
        <w:t xml:space="preserve"> ) .</w:t>
      </w:r>
    </w:p>
  </w:footnote>
  <w:footnote w:id="3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909 ص 482 </w:t>
      </w:r>
      <w:r w:rsidRPr="00923B1A">
        <w:rPr>
          <w:color w:val="0000FF"/>
          <w:sz w:val="28"/>
          <w:szCs w:val="28"/>
          <w:rtl/>
        </w:rPr>
        <w:t>–</w:t>
      </w:r>
      <w:r w:rsidRPr="00923B1A">
        <w:rPr>
          <w:rFonts w:hint="cs"/>
          <w:color w:val="0000FF"/>
          <w:sz w:val="28"/>
          <w:szCs w:val="28"/>
          <w:rtl/>
        </w:rPr>
        <w:t xml:space="preserve"> وانظر أيضاً بون 2 فقرة 3 </w:t>
      </w:r>
      <w:r w:rsidRPr="00923B1A">
        <w:rPr>
          <w:color w:val="0000FF"/>
          <w:sz w:val="28"/>
          <w:szCs w:val="28"/>
          <w:rtl/>
        </w:rPr>
        <w:t>–</w:t>
      </w:r>
      <w:r w:rsidRPr="00923B1A">
        <w:rPr>
          <w:rFonts w:hint="cs"/>
          <w:color w:val="0000FF"/>
          <w:sz w:val="28"/>
          <w:szCs w:val="28"/>
          <w:rtl/>
        </w:rPr>
        <w:t xml:space="preserve"> جيوار فقرة 36 </w:t>
      </w:r>
      <w:r w:rsidRPr="00923B1A">
        <w:rPr>
          <w:color w:val="0000FF"/>
          <w:sz w:val="28"/>
          <w:szCs w:val="28"/>
          <w:rtl/>
        </w:rPr>
        <w:t>–</w:t>
      </w:r>
      <w:r w:rsidRPr="00923B1A">
        <w:rPr>
          <w:rFonts w:hint="cs"/>
          <w:color w:val="0000FF"/>
          <w:sz w:val="28"/>
          <w:szCs w:val="28"/>
          <w:rtl/>
        </w:rPr>
        <w:t xml:space="preserve"> بلانيول وريبير وسافاتييه فقرة 1509 </w:t>
      </w:r>
      <w:r w:rsidRPr="00923B1A">
        <w:rPr>
          <w:color w:val="0000FF"/>
          <w:sz w:val="28"/>
          <w:szCs w:val="28"/>
          <w:rtl/>
        </w:rPr>
        <w:t>–</w:t>
      </w:r>
      <w:r w:rsidRPr="00923B1A">
        <w:rPr>
          <w:rFonts w:hint="cs"/>
          <w:color w:val="0000FF"/>
          <w:sz w:val="28"/>
          <w:szCs w:val="28"/>
          <w:rtl/>
        </w:rPr>
        <w:t xml:space="preserve"> جوسران 2 فقرة 1477 </w:t>
      </w:r>
      <w:r w:rsidRPr="00923B1A">
        <w:rPr>
          <w:color w:val="0000FF"/>
          <w:sz w:val="28"/>
          <w:szCs w:val="28"/>
          <w:rtl/>
        </w:rPr>
        <w:t>–</w:t>
      </w:r>
      <w:r w:rsidRPr="00923B1A">
        <w:rPr>
          <w:rFonts w:hint="cs"/>
          <w:color w:val="0000FF"/>
          <w:sz w:val="28"/>
          <w:szCs w:val="28"/>
          <w:rtl/>
        </w:rPr>
        <w:t xml:space="preserve"> بلانيول وريبير وبولانجيه 2 فقرة 1915 </w:t>
      </w:r>
      <w:r w:rsidRPr="00923B1A">
        <w:rPr>
          <w:color w:val="0000FF"/>
          <w:sz w:val="28"/>
          <w:szCs w:val="28"/>
          <w:rtl/>
        </w:rPr>
        <w:t>–</w:t>
      </w:r>
      <w:r w:rsidRPr="00923B1A">
        <w:rPr>
          <w:rFonts w:hint="cs"/>
          <w:color w:val="0000FF"/>
          <w:sz w:val="28"/>
          <w:szCs w:val="28"/>
          <w:rtl/>
        </w:rPr>
        <w:t xml:space="preserve"> كولان وكابينال 2 فقرة 2 1398 ص 889</w:t>
      </w:r>
      <w:r>
        <w:rPr>
          <w:rFonts w:hint="cs"/>
          <w:color w:val="0000FF"/>
          <w:sz w:val="28"/>
          <w:szCs w:val="28"/>
          <w:rtl/>
        </w:rPr>
        <w:t xml:space="preserve"> .</w:t>
      </w:r>
    </w:p>
  </w:footnote>
  <w:footnote w:id="3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909 عن 481</w:t>
      </w:r>
      <w:r>
        <w:rPr>
          <w:rFonts w:hint="cs"/>
          <w:color w:val="0000FF"/>
          <w:sz w:val="28"/>
          <w:szCs w:val="28"/>
          <w:rtl/>
        </w:rPr>
        <w:t xml:space="preserve"> .</w:t>
      </w:r>
    </w:p>
  </w:footnote>
  <w:footnote w:id="3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1513</w:t>
      </w:r>
      <w:r>
        <w:rPr>
          <w:rFonts w:hint="cs"/>
          <w:color w:val="0000FF"/>
          <w:sz w:val="28"/>
          <w:szCs w:val="28"/>
          <w:rtl/>
        </w:rPr>
        <w:t xml:space="preserve"> .</w:t>
      </w:r>
    </w:p>
  </w:footnote>
  <w:footnote w:id="3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28 ديسمبر سنة 1927 داللوز 1929 </w:t>
      </w:r>
      <w:r w:rsidRPr="00923B1A">
        <w:rPr>
          <w:color w:val="0000FF"/>
          <w:sz w:val="28"/>
          <w:szCs w:val="28"/>
          <w:rtl/>
        </w:rPr>
        <w:t>–</w:t>
      </w:r>
      <w:r w:rsidRPr="00923B1A">
        <w:rPr>
          <w:rFonts w:hint="cs"/>
          <w:color w:val="0000FF"/>
          <w:sz w:val="28"/>
          <w:szCs w:val="28"/>
          <w:rtl/>
        </w:rPr>
        <w:t xml:space="preserve"> 1- 13</w:t>
      </w:r>
      <w:r>
        <w:rPr>
          <w:rFonts w:hint="cs"/>
          <w:color w:val="0000FF"/>
          <w:sz w:val="28"/>
          <w:szCs w:val="28"/>
          <w:rtl/>
        </w:rPr>
        <w:t xml:space="preserve"> .</w:t>
      </w:r>
    </w:p>
  </w:footnote>
  <w:footnote w:id="3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918 ص 485</w:t>
      </w:r>
      <w:r>
        <w:rPr>
          <w:rFonts w:hint="cs"/>
          <w:color w:val="0000FF"/>
          <w:sz w:val="28"/>
          <w:szCs w:val="28"/>
          <w:rtl/>
        </w:rPr>
        <w:t xml:space="preserve"> .</w:t>
      </w:r>
    </w:p>
  </w:footnote>
  <w:footnote w:id="3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916 ص 485 </w:t>
      </w:r>
      <w:r w:rsidRPr="00923B1A">
        <w:rPr>
          <w:color w:val="0000FF"/>
          <w:sz w:val="28"/>
          <w:szCs w:val="28"/>
          <w:rtl/>
        </w:rPr>
        <w:t>–</w:t>
      </w:r>
      <w:r w:rsidRPr="00923B1A">
        <w:rPr>
          <w:rFonts w:hint="cs"/>
          <w:color w:val="0000FF"/>
          <w:sz w:val="28"/>
          <w:szCs w:val="28"/>
          <w:rtl/>
        </w:rPr>
        <w:t xml:space="preserve"> بلانيول وريبير وسافاتييه فقرة 1513 ص 968 </w:t>
      </w:r>
      <w:r w:rsidRPr="00923B1A">
        <w:rPr>
          <w:color w:val="0000FF"/>
          <w:sz w:val="28"/>
          <w:szCs w:val="28"/>
          <w:rtl/>
        </w:rPr>
        <w:t>–</w:t>
      </w:r>
      <w:r w:rsidRPr="00923B1A">
        <w:rPr>
          <w:rFonts w:hint="cs"/>
          <w:color w:val="0000FF"/>
          <w:sz w:val="28"/>
          <w:szCs w:val="28"/>
          <w:rtl/>
        </w:rPr>
        <w:t xml:space="preserve"> وانظر في إعادة التأمين وفي أن معيد التأمين يعتبر كفيلا بودري وفال فقرة 916 ص 485</w:t>
      </w:r>
      <w:r>
        <w:rPr>
          <w:rFonts w:hint="cs"/>
          <w:color w:val="0000FF"/>
          <w:sz w:val="28"/>
          <w:szCs w:val="28"/>
          <w:rtl/>
        </w:rPr>
        <w:t xml:space="preserve"> ،</w:t>
      </w:r>
      <w:r w:rsidRPr="00923B1A">
        <w:rPr>
          <w:rFonts w:hint="cs"/>
          <w:color w:val="0000FF"/>
          <w:sz w:val="28"/>
          <w:szCs w:val="28"/>
          <w:rtl/>
        </w:rPr>
        <w:t xml:space="preserve"> وانظر عكس ذلك وأنه لا يعتبر كفلا بلانيول وريبير وسافاتييه فقرة 1513 ص 968</w:t>
      </w:r>
      <w:r>
        <w:rPr>
          <w:rFonts w:hint="cs"/>
          <w:color w:val="0000FF"/>
          <w:sz w:val="28"/>
          <w:szCs w:val="28"/>
          <w:rtl/>
        </w:rPr>
        <w:t xml:space="preserve"> .</w:t>
      </w:r>
    </w:p>
  </w:footnote>
  <w:footnote w:id="3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أوبري ورو 6 فقرة 423 ص 270 </w:t>
      </w:r>
      <w:r w:rsidRPr="00923B1A">
        <w:rPr>
          <w:color w:val="0000FF"/>
          <w:sz w:val="28"/>
          <w:szCs w:val="28"/>
          <w:rtl/>
        </w:rPr>
        <w:t>–</w:t>
      </w:r>
      <w:r w:rsidRPr="00923B1A">
        <w:rPr>
          <w:rFonts w:hint="cs"/>
          <w:color w:val="0000FF"/>
          <w:sz w:val="28"/>
          <w:szCs w:val="28"/>
          <w:rtl/>
        </w:rPr>
        <w:t xml:space="preserve"> ويجوز التعهد عن الغير في تنفيذ التزام طبيعي أو في التزام قابل للإبطال ليس من النظام العام </w:t>
      </w:r>
      <w:r>
        <w:rPr>
          <w:rFonts w:hint="cs"/>
          <w:color w:val="0000FF"/>
          <w:sz w:val="28"/>
          <w:szCs w:val="28"/>
          <w:rtl/>
        </w:rPr>
        <w:t xml:space="preserve">( </w:t>
      </w:r>
      <w:r w:rsidRPr="00923B1A">
        <w:rPr>
          <w:rFonts w:hint="cs"/>
          <w:color w:val="0000FF"/>
          <w:sz w:val="28"/>
          <w:szCs w:val="28"/>
          <w:rtl/>
        </w:rPr>
        <w:t>أوبري ورو فقرة 423 ص 270 هامش 6</w:t>
      </w:r>
      <w:r>
        <w:rPr>
          <w:rFonts w:hint="cs"/>
          <w:color w:val="0000FF"/>
          <w:sz w:val="28"/>
          <w:szCs w:val="28"/>
          <w:rtl/>
        </w:rPr>
        <w:t xml:space="preserve"> ) .</w:t>
      </w:r>
    </w:p>
  </w:footnote>
  <w:footnote w:id="3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ومع ذلك قد يقرن المتعهد عن الغير تعهده بكفالة الغير في تنفيذ التزامه عندما يقبل هذا أن يلتزم</w:t>
      </w:r>
      <w:r>
        <w:rPr>
          <w:rFonts w:hint="cs"/>
          <w:color w:val="0000FF"/>
          <w:sz w:val="28"/>
          <w:szCs w:val="28"/>
          <w:rtl/>
        </w:rPr>
        <w:t xml:space="preserve"> :</w:t>
      </w:r>
      <w:r w:rsidRPr="00923B1A">
        <w:rPr>
          <w:rFonts w:hint="cs"/>
          <w:color w:val="0000FF"/>
          <w:sz w:val="28"/>
          <w:szCs w:val="28"/>
          <w:rtl/>
        </w:rPr>
        <w:t xml:space="preserve"> بلانيول وريبير وبولانجيه 2 فقرة 1927 </w:t>
      </w:r>
      <w:r w:rsidRPr="00923B1A">
        <w:rPr>
          <w:color w:val="0000FF"/>
          <w:sz w:val="28"/>
          <w:szCs w:val="28"/>
          <w:rtl/>
        </w:rPr>
        <w:t>–</w:t>
      </w:r>
      <w:r w:rsidRPr="00923B1A">
        <w:rPr>
          <w:rFonts w:hint="cs"/>
          <w:color w:val="0000FF"/>
          <w:sz w:val="28"/>
          <w:szCs w:val="28"/>
          <w:rtl/>
        </w:rPr>
        <w:t xml:space="preserve"> محمد كامل مرسي فقرة 15 </w:t>
      </w:r>
      <w:r w:rsidRPr="00923B1A">
        <w:rPr>
          <w:color w:val="0000FF"/>
          <w:sz w:val="28"/>
          <w:szCs w:val="28"/>
          <w:rtl/>
        </w:rPr>
        <w:t>–</w:t>
      </w:r>
      <w:r w:rsidRPr="00923B1A">
        <w:rPr>
          <w:rFonts w:hint="cs"/>
          <w:color w:val="0000FF"/>
          <w:sz w:val="28"/>
          <w:szCs w:val="28"/>
          <w:rtl/>
        </w:rPr>
        <w:t xml:space="preserve"> عبد الفتاح عبد الباقي فقرة 19 ص 41</w:t>
      </w:r>
      <w:r>
        <w:rPr>
          <w:rFonts w:hint="cs"/>
          <w:color w:val="0000FF"/>
          <w:sz w:val="28"/>
          <w:szCs w:val="28"/>
          <w:rtl/>
        </w:rPr>
        <w:t xml:space="preserve"> .</w:t>
      </w:r>
    </w:p>
  </w:footnote>
  <w:footnote w:id="4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917 </w:t>
      </w:r>
      <w:r w:rsidRPr="00923B1A">
        <w:rPr>
          <w:color w:val="0000FF"/>
          <w:sz w:val="28"/>
          <w:szCs w:val="28"/>
          <w:rtl/>
        </w:rPr>
        <w:t>–</w:t>
      </w:r>
      <w:r w:rsidRPr="00923B1A">
        <w:rPr>
          <w:rFonts w:hint="cs"/>
          <w:color w:val="0000FF"/>
          <w:sz w:val="28"/>
          <w:szCs w:val="28"/>
          <w:rtl/>
        </w:rPr>
        <w:t xml:space="preserve"> وعلى العكس من ذلك</w:t>
      </w:r>
      <w:r>
        <w:rPr>
          <w:rFonts w:hint="cs"/>
          <w:color w:val="0000FF"/>
          <w:sz w:val="28"/>
          <w:szCs w:val="28"/>
          <w:rtl/>
        </w:rPr>
        <w:t xml:space="preserve"> ،</w:t>
      </w:r>
      <w:r w:rsidRPr="00923B1A">
        <w:rPr>
          <w:rFonts w:hint="cs"/>
          <w:color w:val="0000FF"/>
          <w:sz w:val="28"/>
          <w:szCs w:val="28"/>
          <w:rtl/>
        </w:rPr>
        <w:t xml:space="preserve"> يعتبر وكيل النقل بالعمولة </w:t>
      </w:r>
      <w:r>
        <w:rPr>
          <w:color w:val="0000FF"/>
          <w:sz w:val="28"/>
          <w:szCs w:val="28"/>
          <w:rtl/>
        </w:rPr>
        <w:t xml:space="preserve">( </w:t>
      </w:r>
      <w:r w:rsidRPr="00923B1A">
        <w:rPr>
          <w:color w:val="0000FF"/>
          <w:sz w:val="28"/>
          <w:szCs w:val="28"/>
        </w:rPr>
        <w:t>commissionnaile de transport</w:t>
      </w:r>
      <w:r>
        <w:rPr>
          <w:color w:val="0000FF"/>
          <w:sz w:val="28"/>
          <w:szCs w:val="28"/>
          <w:rtl/>
        </w:rPr>
        <w:t xml:space="preserve"> )</w:t>
      </w:r>
      <w:r w:rsidRPr="00923B1A">
        <w:rPr>
          <w:rFonts w:hint="cs"/>
          <w:color w:val="0000FF"/>
          <w:sz w:val="28"/>
          <w:szCs w:val="28"/>
          <w:rtl/>
        </w:rPr>
        <w:t xml:space="preserve"> كفيلا لأمين النقل</w:t>
      </w:r>
      <w:r>
        <w:rPr>
          <w:rFonts w:hint="cs"/>
          <w:color w:val="0000FF"/>
          <w:sz w:val="28"/>
          <w:szCs w:val="28"/>
          <w:rtl/>
        </w:rPr>
        <w:t xml:space="preserve"> ،</w:t>
      </w:r>
      <w:r w:rsidRPr="00923B1A">
        <w:rPr>
          <w:rFonts w:hint="cs"/>
          <w:color w:val="0000FF"/>
          <w:sz w:val="28"/>
          <w:szCs w:val="28"/>
          <w:rtl/>
        </w:rPr>
        <w:t xml:space="preserve"> والضامن الاحتياطي للكمبيالة </w:t>
      </w:r>
      <w:r>
        <w:rPr>
          <w:color w:val="0000FF"/>
          <w:sz w:val="28"/>
          <w:szCs w:val="28"/>
          <w:rtl/>
        </w:rPr>
        <w:t xml:space="preserve">( </w:t>
      </w:r>
      <w:r w:rsidRPr="00923B1A">
        <w:rPr>
          <w:color w:val="0000FF"/>
          <w:sz w:val="28"/>
          <w:szCs w:val="28"/>
        </w:rPr>
        <w:t>aval</w:t>
      </w:r>
      <w:r>
        <w:rPr>
          <w:color w:val="0000FF"/>
          <w:sz w:val="28"/>
          <w:szCs w:val="28"/>
          <w:rtl/>
        </w:rPr>
        <w:t xml:space="preserve"> )</w:t>
      </w:r>
      <w:r w:rsidRPr="00923B1A">
        <w:rPr>
          <w:rFonts w:hint="cs"/>
          <w:color w:val="0000FF"/>
          <w:sz w:val="28"/>
          <w:szCs w:val="28"/>
          <w:rtl/>
        </w:rPr>
        <w:t xml:space="preserve"> يعتبر كذلك كفيلا</w:t>
      </w:r>
      <w:r>
        <w:rPr>
          <w:rFonts w:hint="cs"/>
          <w:color w:val="0000FF"/>
          <w:sz w:val="28"/>
          <w:szCs w:val="28"/>
          <w:rtl/>
        </w:rPr>
        <w:t xml:space="preserve"> ،</w:t>
      </w:r>
      <w:r w:rsidRPr="00923B1A">
        <w:rPr>
          <w:rFonts w:hint="cs"/>
          <w:color w:val="0000FF"/>
          <w:sz w:val="28"/>
          <w:szCs w:val="28"/>
          <w:rtl/>
        </w:rPr>
        <w:t xml:space="preserve"> ويعتبر المشتري للبضائع كفيلا للبائع فيما يطلبه المشتري </w:t>
      </w:r>
      <w:r>
        <w:rPr>
          <w:rFonts w:hint="cs"/>
          <w:color w:val="0000FF"/>
          <w:sz w:val="28"/>
          <w:szCs w:val="28"/>
          <w:rtl/>
        </w:rPr>
        <w:t>من</w:t>
      </w:r>
      <w:r w:rsidRPr="00923B1A">
        <w:rPr>
          <w:rFonts w:hint="cs"/>
          <w:color w:val="0000FF"/>
          <w:sz w:val="28"/>
          <w:szCs w:val="28"/>
          <w:rtl/>
        </w:rPr>
        <w:t xml:space="preserve"> المصرف لفتح حساب لبائعه </w:t>
      </w:r>
      <w:r>
        <w:rPr>
          <w:color w:val="0000FF"/>
          <w:sz w:val="28"/>
          <w:szCs w:val="28"/>
          <w:rtl/>
        </w:rPr>
        <w:t xml:space="preserve">( </w:t>
      </w:r>
      <w:r w:rsidRPr="00923B1A">
        <w:rPr>
          <w:color w:val="0000FF"/>
          <w:sz w:val="28"/>
          <w:szCs w:val="28"/>
        </w:rPr>
        <w:t>credit confirme</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لأن كلا من هؤلاء يلتزم التزام تابعاً لالتزام الأصيل </w:t>
      </w:r>
      <w:r>
        <w:rPr>
          <w:rFonts w:hint="cs"/>
          <w:color w:val="0000FF"/>
          <w:sz w:val="28"/>
          <w:szCs w:val="28"/>
          <w:rtl/>
        </w:rPr>
        <w:t xml:space="preserve">( </w:t>
      </w:r>
      <w:r w:rsidRPr="00923B1A">
        <w:rPr>
          <w:rFonts w:hint="cs"/>
          <w:color w:val="0000FF"/>
          <w:sz w:val="28"/>
          <w:szCs w:val="28"/>
          <w:rtl/>
        </w:rPr>
        <w:t>انظر في هذا المعنى بلانيول وريبير وسافاتييه فقرة 1514</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وقاضي الموضوع هو الذي يبت فيما إذا كان الالتزام التزاماً أصلياً فلا يعتبر الملتزم كفيلا</w:t>
      </w:r>
      <w:r>
        <w:rPr>
          <w:rFonts w:hint="cs"/>
          <w:color w:val="0000FF"/>
          <w:sz w:val="28"/>
          <w:szCs w:val="28"/>
          <w:rtl/>
        </w:rPr>
        <w:t xml:space="preserve"> ،</w:t>
      </w:r>
      <w:r w:rsidRPr="00923B1A">
        <w:rPr>
          <w:rFonts w:hint="cs"/>
          <w:color w:val="0000FF"/>
          <w:sz w:val="28"/>
          <w:szCs w:val="28"/>
          <w:rtl/>
        </w:rPr>
        <w:t xml:space="preserve"> أو التزاماً تابعاً فيعتبر كفيلا </w:t>
      </w:r>
      <w:r>
        <w:rPr>
          <w:rFonts w:hint="cs"/>
          <w:color w:val="0000FF"/>
          <w:sz w:val="28"/>
          <w:szCs w:val="28"/>
          <w:rtl/>
        </w:rPr>
        <w:t xml:space="preserve">( </w:t>
      </w:r>
      <w:r w:rsidRPr="00923B1A">
        <w:rPr>
          <w:rFonts w:hint="cs"/>
          <w:color w:val="0000FF"/>
          <w:sz w:val="28"/>
          <w:szCs w:val="28"/>
          <w:rtl/>
        </w:rPr>
        <w:t xml:space="preserve">نقض فرنسي 28 نوفمبر سنة 1892 داللوز 1893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117 </w:t>
      </w:r>
      <w:r w:rsidRPr="00923B1A">
        <w:rPr>
          <w:color w:val="0000FF"/>
          <w:sz w:val="28"/>
          <w:szCs w:val="28"/>
          <w:rtl/>
        </w:rPr>
        <w:t>–</w:t>
      </w:r>
      <w:r w:rsidRPr="00923B1A">
        <w:rPr>
          <w:rFonts w:hint="cs"/>
          <w:color w:val="0000FF"/>
          <w:sz w:val="28"/>
          <w:szCs w:val="28"/>
          <w:rtl/>
        </w:rPr>
        <w:t xml:space="preserve"> بلانيول وريبير وسافاتييه 1515</w:t>
      </w:r>
      <w:r>
        <w:rPr>
          <w:rFonts w:hint="cs"/>
          <w:color w:val="0000FF"/>
          <w:sz w:val="28"/>
          <w:szCs w:val="28"/>
          <w:rtl/>
        </w:rPr>
        <w:t xml:space="preserve"> ) .</w:t>
      </w:r>
    </w:p>
  </w:footnote>
  <w:footnote w:id="4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مونييه 2 فقرة 223 وما بعدها </w:t>
      </w:r>
      <w:r w:rsidRPr="00923B1A">
        <w:rPr>
          <w:color w:val="0000FF"/>
          <w:sz w:val="28"/>
          <w:szCs w:val="28"/>
          <w:rtl/>
        </w:rPr>
        <w:t>–</w:t>
      </w:r>
      <w:r w:rsidRPr="00923B1A">
        <w:rPr>
          <w:rFonts w:hint="cs"/>
          <w:color w:val="0000FF"/>
          <w:sz w:val="28"/>
          <w:szCs w:val="28"/>
          <w:rtl/>
        </w:rPr>
        <w:t xml:space="preserve"> بلانيول وريبير وبولانجيه 2 فقرة 1916 </w:t>
      </w:r>
      <w:r w:rsidRPr="00923B1A">
        <w:rPr>
          <w:color w:val="0000FF"/>
          <w:sz w:val="28"/>
          <w:szCs w:val="28"/>
          <w:rtl/>
        </w:rPr>
        <w:t>–</w:t>
      </w:r>
      <w:r w:rsidRPr="00923B1A">
        <w:rPr>
          <w:rFonts w:hint="cs"/>
          <w:color w:val="0000FF"/>
          <w:sz w:val="28"/>
          <w:szCs w:val="28"/>
          <w:rtl/>
        </w:rPr>
        <w:t xml:space="preserve"> وكذلك كان الكفيل في الفقه الإسلامي متضامنا مع المدين الأصلي</w:t>
      </w:r>
      <w:r>
        <w:rPr>
          <w:rFonts w:hint="cs"/>
          <w:color w:val="0000FF"/>
          <w:sz w:val="28"/>
          <w:szCs w:val="28"/>
          <w:rtl/>
        </w:rPr>
        <w:t xml:space="preserve"> ،</w:t>
      </w:r>
      <w:r w:rsidRPr="00923B1A">
        <w:rPr>
          <w:rFonts w:hint="cs"/>
          <w:color w:val="0000FF"/>
          <w:sz w:val="28"/>
          <w:szCs w:val="28"/>
          <w:rtl/>
        </w:rPr>
        <w:t xml:space="preserve"> وللدائن أن يرجع على أيهما شاء</w:t>
      </w:r>
      <w:r>
        <w:rPr>
          <w:rFonts w:hint="cs"/>
          <w:color w:val="0000FF"/>
          <w:sz w:val="28"/>
          <w:szCs w:val="28"/>
          <w:rtl/>
        </w:rPr>
        <w:t xml:space="preserve"> .</w:t>
      </w:r>
      <w:r w:rsidRPr="00923B1A">
        <w:rPr>
          <w:rFonts w:hint="cs"/>
          <w:color w:val="0000FF"/>
          <w:sz w:val="28"/>
          <w:szCs w:val="28"/>
          <w:rtl/>
        </w:rPr>
        <w:t xml:space="preserve"> وقد نصت المادة 644 من المجلة على أن "الطالب ؟؟نير في المطالبة</w:t>
      </w:r>
      <w:r>
        <w:rPr>
          <w:rFonts w:hint="cs"/>
          <w:color w:val="0000FF"/>
          <w:sz w:val="28"/>
          <w:szCs w:val="28"/>
          <w:rtl/>
        </w:rPr>
        <w:t xml:space="preserve"> ،</w:t>
      </w:r>
      <w:r w:rsidRPr="00923B1A">
        <w:rPr>
          <w:rFonts w:hint="cs"/>
          <w:color w:val="0000FF"/>
          <w:sz w:val="28"/>
          <w:szCs w:val="28"/>
          <w:rtl/>
        </w:rPr>
        <w:t xml:space="preserve"> أن شاء طالب الأصيل وإن شاء طالب الكفيل</w:t>
      </w:r>
      <w:r>
        <w:rPr>
          <w:rFonts w:hint="cs"/>
          <w:color w:val="0000FF"/>
          <w:sz w:val="28"/>
          <w:szCs w:val="28"/>
          <w:rtl/>
        </w:rPr>
        <w:t xml:space="preserve"> .</w:t>
      </w:r>
      <w:r w:rsidRPr="00923B1A">
        <w:rPr>
          <w:rFonts w:hint="cs"/>
          <w:color w:val="0000FF"/>
          <w:sz w:val="28"/>
          <w:szCs w:val="28"/>
          <w:rtl/>
        </w:rPr>
        <w:t xml:space="preserve"> ومطالبته أحدهما لا تسقط من مطالبته الآخر</w:t>
      </w:r>
      <w:r>
        <w:rPr>
          <w:rFonts w:hint="cs"/>
          <w:color w:val="0000FF"/>
          <w:sz w:val="28"/>
          <w:szCs w:val="28"/>
          <w:rtl/>
        </w:rPr>
        <w:t xml:space="preserve"> ،</w:t>
      </w:r>
      <w:r w:rsidRPr="00923B1A">
        <w:rPr>
          <w:rFonts w:hint="cs"/>
          <w:color w:val="0000FF"/>
          <w:sz w:val="28"/>
          <w:szCs w:val="28"/>
          <w:rtl/>
        </w:rPr>
        <w:t xml:space="preserve"> وبعد مطالبته أحدهما له أن يطالب الآخر ويطالبهما معاً"</w:t>
      </w:r>
      <w:r>
        <w:rPr>
          <w:rFonts w:hint="cs"/>
          <w:color w:val="0000FF"/>
          <w:sz w:val="28"/>
          <w:szCs w:val="28"/>
          <w:rtl/>
        </w:rPr>
        <w:t xml:space="preserve"> .</w:t>
      </w:r>
      <w:r w:rsidRPr="00923B1A">
        <w:rPr>
          <w:rFonts w:hint="cs"/>
          <w:color w:val="0000FF"/>
          <w:sz w:val="28"/>
          <w:szCs w:val="28"/>
          <w:rtl/>
        </w:rPr>
        <w:t xml:space="preserve"> انظر في أن الكفالة هي التي جعلت أساساً للتضامن السلبي في الفقه الإسلامي</w:t>
      </w:r>
      <w:r>
        <w:rPr>
          <w:rFonts w:hint="cs"/>
          <w:color w:val="0000FF"/>
          <w:sz w:val="28"/>
          <w:szCs w:val="28"/>
          <w:rtl/>
        </w:rPr>
        <w:t xml:space="preserve"> ،</w:t>
      </w:r>
      <w:r w:rsidRPr="00923B1A">
        <w:rPr>
          <w:rFonts w:hint="cs"/>
          <w:color w:val="0000FF"/>
          <w:sz w:val="28"/>
          <w:szCs w:val="28"/>
          <w:rtl/>
        </w:rPr>
        <w:t xml:space="preserve"> وساعد على ذلك أن الكفيل لا يملك حق التجريد في هذا الفقه فللدائن أن يطالب بالدين أيا شاء المدين الأصلي أو الكفيل فتمشت أحكام الكفالة على هذا النحو مع أحكام التضامن إلى مدى بعيد</w:t>
      </w:r>
      <w:r>
        <w:rPr>
          <w:rFonts w:hint="cs"/>
          <w:color w:val="0000FF"/>
          <w:sz w:val="28"/>
          <w:szCs w:val="28"/>
          <w:rtl/>
        </w:rPr>
        <w:t xml:space="preserve"> ،</w:t>
      </w:r>
      <w:r w:rsidRPr="00923B1A">
        <w:rPr>
          <w:rFonts w:hint="cs"/>
          <w:color w:val="0000FF"/>
          <w:sz w:val="28"/>
          <w:szCs w:val="28"/>
          <w:rtl/>
        </w:rPr>
        <w:t xml:space="preserve"> أما تاريخ الكفالة في الفقه الغربي فهو على العكس من ذلك إذ التضامن هو الذي وجد أولا وكان أساساً للكفالة</w:t>
      </w:r>
      <w:r>
        <w:rPr>
          <w:rFonts w:hint="cs"/>
          <w:color w:val="0000FF"/>
          <w:sz w:val="28"/>
          <w:szCs w:val="28"/>
          <w:rtl/>
        </w:rPr>
        <w:t xml:space="preserve"> ،</w:t>
      </w:r>
      <w:r w:rsidRPr="00923B1A">
        <w:rPr>
          <w:rFonts w:hint="cs"/>
          <w:color w:val="0000FF"/>
          <w:sz w:val="28"/>
          <w:szCs w:val="28"/>
          <w:rtl/>
        </w:rPr>
        <w:t xml:space="preserve"> ثم تميز الكفيل بعد ذلك عن المدين المتضامن حتى كسب في النهاية حق التجريد</w:t>
      </w:r>
      <w:r>
        <w:rPr>
          <w:rFonts w:hint="cs"/>
          <w:color w:val="0000FF"/>
          <w:sz w:val="28"/>
          <w:szCs w:val="28"/>
          <w:rtl/>
        </w:rPr>
        <w:t xml:space="preserve"> :</w:t>
      </w:r>
      <w:r w:rsidRPr="00923B1A">
        <w:rPr>
          <w:rFonts w:hint="cs"/>
          <w:color w:val="0000FF"/>
          <w:sz w:val="28"/>
          <w:szCs w:val="28"/>
          <w:rtl/>
        </w:rPr>
        <w:t xml:space="preserve"> الوسيط 3 فقرة 150 ص 235 هامش 1</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وقد منعت الزوجة من كفالة زوجها في القانون الروماني </w:t>
      </w:r>
      <w:r>
        <w:rPr>
          <w:color w:val="0000FF"/>
          <w:sz w:val="28"/>
          <w:szCs w:val="28"/>
          <w:rtl/>
        </w:rPr>
        <w:t xml:space="preserve">( </w:t>
      </w:r>
      <w:r w:rsidRPr="00923B1A">
        <w:rPr>
          <w:color w:val="0000FF"/>
          <w:sz w:val="28"/>
          <w:szCs w:val="28"/>
        </w:rPr>
        <w:t>senatuseonsulta Velleien</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وبقي عدم أهلية الزوجة لكفالة زوجها يلعب دورا</w:t>
      </w:r>
      <w:r>
        <w:rPr>
          <w:rFonts w:hint="cs"/>
          <w:color w:val="0000FF"/>
          <w:sz w:val="28"/>
          <w:szCs w:val="28"/>
          <w:rtl/>
        </w:rPr>
        <w:t>ً</w:t>
      </w:r>
      <w:r w:rsidRPr="00923B1A">
        <w:rPr>
          <w:rFonts w:hint="cs"/>
          <w:color w:val="0000FF"/>
          <w:sz w:val="28"/>
          <w:szCs w:val="28"/>
          <w:rtl/>
        </w:rPr>
        <w:t xml:space="preserve"> كبيرا</w:t>
      </w:r>
      <w:r>
        <w:rPr>
          <w:rFonts w:hint="cs"/>
          <w:color w:val="0000FF"/>
          <w:sz w:val="28"/>
          <w:szCs w:val="28"/>
          <w:rtl/>
        </w:rPr>
        <w:t>ً</w:t>
      </w:r>
      <w:r w:rsidRPr="00923B1A">
        <w:rPr>
          <w:rFonts w:hint="cs"/>
          <w:color w:val="0000FF"/>
          <w:sz w:val="28"/>
          <w:szCs w:val="28"/>
          <w:rtl/>
        </w:rPr>
        <w:t xml:space="preserve"> في القانون الفرنسي ا</w:t>
      </w:r>
      <w:r>
        <w:rPr>
          <w:rFonts w:hint="cs"/>
          <w:color w:val="0000FF"/>
          <w:sz w:val="28"/>
          <w:szCs w:val="28"/>
          <w:rtl/>
        </w:rPr>
        <w:t>ل</w:t>
      </w:r>
      <w:r w:rsidRPr="00923B1A">
        <w:rPr>
          <w:rFonts w:hint="cs"/>
          <w:color w:val="0000FF"/>
          <w:sz w:val="28"/>
          <w:szCs w:val="28"/>
          <w:rtl/>
        </w:rPr>
        <w:t>قديم</w:t>
      </w:r>
      <w:r>
        <w:rPr>
          <w:rFonts w:hint="cs"/>
          <w:color w:val="0000FF"/>
          <w:sz w:val="28"/>
          <w:szCs w:val="28"/>
          <w:rtl/>
        </w:rPr>
        <w:t xml:space="preserve"> ،</w:t>
      </w:r>
      <w:r w:rsidRPr="00923B1A">
        <w:rPr>
          <w:rFonts w:hint="cs"/>
          <w:color w:val="0000FF"/>
          <w:sz w:val="28"/>
          <w:szCs w:val="28"/>
          <w:rtl/>
        </w:rPr>
        <w:t xml:space="preserve"> في بلاد القانون المكتوب بل وفي بلاد العرف</w:t>
      </w:r>
      <w:r>
        <w:rPr>
          <w:rFonts w:hint="cs"/>
          <w:color w:val="0000FF"/>
          <w:sz w:val="28"/>
          <w:szCs w:val="28"/>
          <w:rtl/>
        </w:rPr>
        <w:t xml:space="preserve"> ،</w:t>
      </w:r>
      <w:r w:rsidRPr="00923B1A">
        <w:rPr>
          <w:rFonts w:hint="cs"/>
          <w:color w:val="0000FF"/>
          <w:sz w:val="28"/>
          <w:szCs w:val="28"/>
          <w:rtl/>
        </w:rPr>
        <w:t xml:space="preserve"> حتى ألغي في سنة 1606</w:t>
      </w:r>
      <w:r>
        <w:rPr>
          <w:rFonts w:hint="cs"/>
          <w:color w:val="0000FF"/>
          <w:sz w:val="28"/>
          <w:szCs w:val="28"/>
          <w:rtl/>
        </w:rPr>
        <w:t xml:space="preserve"> ،</w:t>
      </w:r>
      <w:r w:rsidRPr="00923B1A">
        <w:rPr>
          <w:rFonts w:hint="cs"/>
          <w:color w:val="0000FF"/>
          <w:sz w:val="28"/>
          <w:szCs w:val="28"/>
          <w:rtl/>
        </w:rPr>
        <w:t xml:space="preserve"> وبقي ملغي منذ ذلك الوقت </w:t>
      </w:r>
      <w:r>
        <w:rPr>
          <w:rFonts w:hint="cs"/>
          <w:color w:val="0000FF"/>
          <w:sz w:val="28"/>
          <w:szCs w:val="28"/>
          <w:rtl/>
        </w:rPr>
        <w:t xml:space="preserve">( </w:t>
      </w:r>
      <w:r w:rsidRPr="00923B1A">
        <w:rPr>
          <w:rFonts w:hint="cs"/>
          <w:color w:val="0000FF"/>
          <w:sz w:val="28"/>
          <w:szCs w:val="28"/>
          <w:rtl/>
        </w:rPr>
        <w:t>كولان وكابينال 2 فقرة 1390</w:t>
      </w:r>
      <w:r>
        <w:rPr>
          <w:rFonts w:hint="cs"/>
          <w:color w:val="0000FF"/>
          <w:sz w:val="28"/>
          <w:szCs w:val="28"/>
          <w:rtl/>
        </w:rPr>
        <w:t xml:space="preserve"> ) .</w:t>
      </w:r>
    </w:p>
  </w:footnote>
  <w:footnote w:id="4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هوريو في المجلة التاريخية الجديدة للقانون سنة 1882 ص 223 وما بعدها </w:t>
      </w:r>
      <w:r w:rsidRPr="00923B1A">
        <w:rPr>
          <w:color w:val="0000FF"/>
          <w:sz w:val="28"/>
          <w:szCs w:val="28"/>
          <w:rtl/>
        </w:rPr>
        <w:t>–</w:t>
      </w:r>
      <w:r w:rsidRPr="00923B1A">
        <w:rPr>
          <w:rFonts w:hint="cs"/>
          <w:color w:val="0000FF"/>
          <w:sz w:val="28"/>
          <w:szCs w:val="28"/>
          <w:rtl/>
        </w:rPr>
        <w:t xml:space="preserve"> جير اردان في المجلة التاريخية الجديدة للقانون سنة 1884 ص 239 </w:t>
      </w:r>
      <w:r w:rsidRPr="00923B1A">
        <w:rPr>
          <w:color w:val="0000FF"/>
          <w:sz w:val="28"/>
          <w:szCs w:val="28"/>
          <w:rtl/>
        </w:rPr>
        <w:t>–</w:t>
      </w:r>
      <w:r w:rsidRPr="00923B1A">
        <w:rPr>
          <w:rFonts w:hint="cs"/>
          <w:color w:val="0000FF"/>
          <w:sz w:val="28"/>
          <w:szCs w:val="28"/>
          <w:rtl/>
        </w:rPr>
        <w:t xml:space="preserve"> وما بعدها </w:t>
      </w:r>
      <w:r w:rsidRPr="00923B1A">
        <w:rPr>
          <w:color w:val="0000FF"/>
          <w:sz w:val="28"/>
          <w:szCs w:val="28"/>
          <w:rtl/>
        </w:rPr>
        <w:t>–</w:t>
      </w:r>
      <w:r w:rsidRPr="00923B1A">
        <w:rPr>
          <w:rFonts w:hint="cs"/>
          <w:color w:val="0000FF"/>
          <w:sz w:val="28"/>
          <w:szCs w:val="28"/>
          <w:rtl/>
        </w:rPr>
        <w:t xml:space="preserve"> فورنييه في المجلة الانتقادية 15 سنة 1886 ص  697 فقرة 5 وص 700 فقرة 8 </w:t>
      </w:r>
      <w:r w:rsidRPr="00923B1A">
        <w:rPr>
          <w:color w:val="0000FF"/>
          <w:sz w:val="28"/>
          <w:szCs w:val="28"/>
          <w:rtl/>
        </w:rPr>
        <w:t>–</w:t>
      </w:r>
      <w:r w:rsidRPr="00923B1A">
        <w:rPr>
          <w:rFonts w:hint="cs"/>
          <w:color w:val="0000FF"/>
          <w:sz w:val="28"/>
          <w:szCs w:val="28"/>
          <w:rtl/>
        </w:rPr>
        <w:t xml:space="preserve"> بسودان في المجلة الانتقادية 12 سنة 1866 ص 211 </w:t>
      </w:r>
      <w:r w:rsidRPr="00923B1A">
        <w:rPr>
          <w:color w:val="0000FF"/>
          <w:sz w:val="28"/>
          <w:szCs w:val="28"/>
          <w:rtl/>
        </w:rPr>
        <w:t>–</w:t>
      </w:r>
      <w:r w:rsidRPr="00923B1A">
        <w:rPr>
          <w:rFonts w:hint="cs"/>
          <w:color w:val="0000FF"/>
          <w:sz w:val="28"/>
          <w:szCs w:val="28"/>
          <w:rtl/>
        </w:rPr>
        <w:t xml:space="preserve"> وانظر بودر وفال فقرة910 </w:t>
      </w:r>
      <w:r w:rsidRPr="00923B1A">
        <w:rPr>
          <w:color w:val="0000FF"/>
          <w:sz w:val="28"/>
          <w:szCs w:val="28"/>
          <w:rtl/>
        </w:rPr>
        <w:t>–</w:t>
      </w:r>
      <w:r w:rsidRPr="00923B1A">
        <w:rPr>
          <w:rFonts w:hint="cs"/>
          <w:color w:val="0000FF"/>
          <w:sz w:val="28"/>
          <w:szCs w:val="28"/>
          <w:rtl/>
        </w:rPr>
        <w:t xml:space="preserve"> فقرة 911</w:t>
      </w:r>
      <w:r>
        <w:rPr>
          <w:rFonts w:hint="cs"/>
          <w:color w:val="0000FF"/>
          <w:sz w:val="28"/>
          <w:szCs w:val="28"/>
          <w:rtl/>
        </w:rPr>
        <w:t xml:space="preserve"> .</w:t>
      </w:r>
    </w:p>
  </w:footnote>
  <w:footnote w:id="4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ويذهب الأستاذ سليمان مرقس إلى أن الكفالة أصبحت في التقنين المدني الجديد عقداً ملزماً للجانبين</w:t>
      </w:r>
      <w:r>
        <w:rPr>
          <w:rFonts w:hint="cs"/>
          <w:color w:val="0000FF"/>
          <w:sz w:val="28"/>
          <w:szCs w:val="28"/>
          <w:rtl/>
        </w:rPr>
        <w:t xml:space="preserve"> ،</w:t>
      </w:r>
      <w:r w:rsidRPr="00923B1A">
        <w:rPr>
          <w:rFonts w:hint="cs"/>
          <w:color w:val="0000FF"/>
          <w:sz w:val="28"/>
          <w:szCs w:val="28"/>
          <w:rtl/>
        </w:rPr>
        <w:t xml:space="preserve"> ويستدل على ذلك بأن هذا التقنين فرض على الدائن أن يتخذ إجراءات مطالبة المدين بالدين في الوقت المناسب</w:t>
      </w:r>
      <w:r>
        <w:rPr>
          <w:rFonts w:hint="cs"/>
          <w:color w:val="0000FF"/>
          <w:sz w:val="28"/>
          <w:szCs w:val="28"/>
          <w:rtl/>
        </w:rPr>
        <w:t xml:space="preserve"> .</w:t>
      </w:r>
      <w:r w:rsidRPr="00923B1A">
        <w:rPr>
          <w:rFonts w:hint="cs"/>
          <w:color w:val="0000FF"/>
          <w:sz w:val="28"/>
          <w:szCs w:val="28"/>
          <w:rtl/>
        </w:rPr>
        <w:t xml:space="preserve"> ولا نرى أن هذا التزام ترتب في ذمة الدائن من شأنه أن يجعل الكفالة ملزمة للجانبين</w:t>
      </w:r>
      <w:r>
        <w:rPr>
          <w:rFonts w:hint="cs"/>
          <w:color w:val="0000FF"/>
          <w:sz w:val="28"/>
          <w:szCs w:val="28"/>
          <w:rtl/>
        </w:rPr>
        <w:t xml:space="preserve"> ،</w:t>
      </w:r>
      <w:r w:rsidRPr="00923B1A">
        <w:rPr>
          <w:rFonts w:hint="cs"/>
          <w:color w:val="0000FF"/>
          <w:sz w:val="28"/>
          <w:szCs w:val="28"/>
          <w:rtl/>
        </w:rPr>
        <w:t xml:space="preserve"> وإلا لوجب القول أيضاً بأن هناك التزاماً في جانب الدائن بالمحافظة على التأمينات </w:t>
      </w:r>
      <w:r>
        <w:rPr>
          <w:rFonts w:hint="cs"/>
          <w:color w:val="0000FF"/>
          <w:sz w:val="28"/>
          <w:szCs w:val="28"/>
          <w:rtl/>
        </w:rPr>
        <w:t xml:space="preserve">( </w:t>
      </w:r>
      <w:r w:rsidRPr="00923B1A">
        <w:rPr>
          <w:rFonts w:hint="cs"/>
          <w:color w:val="0000FF"/>
          <w:sz w:val="28"/>
          <w:szCs w:val="28"/>
          <w:rtl/>
        </w:rPr>
        <w:t>م 784 مدني</w:t>
      </w:r>
      <w:r>
        <w:rPr>
          <w:rFonts w:hint="cs"/>
          <w:color w:val="0000FF"/>
          <w:sz w:val="28"/>
          <w:szCs w:val="28"/>
          <w:rtl/>
        </w:rPr>
        <w:t xml:space="preserve"> )</w:t>
      </w:r>
      <w:r w:rsidRPr="00923B1A">
        <w:rPr>
          <w:rFonts w:hint="cs"/>
          <w:color w:val="0000FF"/>
          <w:sz w:val="28"/>
          <w:szCs w:val="28"/>
          <w:rtl/>
        </w:rPr>
        <w:t xml:space="preserve"> وبالتقدم في تفليسة المدين </w:t>
      </w:r>
      <w:r>
        <w:rPr>
          <w:rFonts w:hint="cs"/>
          <w:color w:val="0000FF"/>
          <w:sz w:val="28"/>
          <w:szCs w:val="28"/>
          <w:rtl/>
        </w:rPr>
        <w:t xml:space="preserve">( </w:t>
      </w:r>
      <w:r w:rsidRPr="00923B1A">
        <w:rPr>
          <w:rFonts w:hint="cs"/>
          <w:color w:val="0000FF"/>
          <w:sz w:val="28"/>
          <w:szCs w:val="28"/>
          <w:rtl/>
        </w:rPr>
        <w:t>م 786 مدني</w:t>
      </w:r>
      <w:r>
        <w:rPr>
          <w:rFonts w:hint="cs"/>
          <w:color w:val="0000FF"/>
          <w:sz w:val="28"/>
          <w:szCs w:val="28"/>
          <w:rtl/>
        </w:rPr>
        <w:t xml:space="preserve"> ) .</w:t>
      </w:r>
      <w:r w:rsidRPr="00923B1A">
        <w:rPr>
          <w:rFonts w:hint="cs"/>
          <w:color w:val="0000FF"/>
          <w:sz w:val="28"/>
          <w:szCs w:val="28"/>
          <w:rtl/>
        </w:rPr>
        <w:t xml:space="preserve"> وإنما هذه شروط وضعها التقنين المدني وأوجب على الدائن مراعاتها حتى يستطيع استيفاء الدين كاملا من الكفيل</w:t>
      </w:r>
      <w:r>
        <w:rPr>
          <w:rFonts w:hint="cs"/>
          <w:color w:val="0000FF"/>
          <w:sz w:val="28"/>
          <w:szCs w:val="28"/>
          <w:rtl/>
        </w:rPr>
        <w:t xml:space="preserve"> ،</w:t>
      </w:r>
      <w:r w:rsidRPr="00923B1A">
        <w:rPr>
          <w:rFonts w:hint="cs"/>
          <w:color w:val="0000FF"/>
          <w:sz w:val="28"/>
          <w:szCs w:val="28"/>
          <w:rtl/>
        </w:rPr>
        <w:t xml:space="preserve"> ومعنى ذلك أن الكفالة تلزم بوفاء الدين إذا لم يوفه المدين</w:t>
      </w:r>
      <w:r>
        <w:rPr>
          <w:rFonts w:hint="cs"/>
          <w:color w:val="0000FF"/>
          <w:sz w:val="28"/>
          <w:szCs w:val="28"/>
          <w:rtl/>
        </w:rPr>
        <w:t xml:space="preserve"> ،</w:t>
      </w:r>
      <w:r w:rsidRPr="00923B1A">
        <w:rPr>
          <w:rFonts w:hint="cs"/>
          <w:color w:val="0000FF"/>
          <w:sz w:val="28"/>
          <w:szCs w:val="28"/>
          <w:rtl/>
        </w:rPr>
        <w:t xml:space="preserve"> ولكن بشرط أن يتخذ الدائن الاحتياطات اللازمة حتى لا يضيع على الكفيل حقه في الرجوع على المدين؛ ومن هذه الاحتياطات اتخاذ إجراءات مطالبة المدين في الوقت المناسب</w:t>
      </w:r>
      <w:r>
        <w:rPr>
          <w:rFonts w:hint="cs"/>
          <w:color w:val="0000FF"/>
          <w:sz w:val="28"/>
          <w:szCs w:val="28"/>
          <w:rtl/>
        </w:rPr>
        <w:t xml:space="preserve"> ،</w:t>
      </w:r>
      <w:r w:rsidRPr="00923B1A">
        <w:rPr>
          <w:rFonts w:hint="cs"/>
          <w:color w:val="0000FF"/>
          <w:sz w:val="28"/>
          <w:szCs w:val="28"/>
          <w:rtl/>
        </w:rPr>
        <w:t xml:space="preserve"> والمحافظة على التأمينات</w:t>
      </w:r>
      <w:r>
        <w:rPr>
          <w:rFonts w:hint="cs"/>
          <w:color w:val="0000FF"/>
          <w:sz w:val="28"/>
          <w:szCs w:val="28"/>
          <w:rtl/>
        </w:rPr>
        <w:t xml:space="preserve"> ،</w:t>
      </w:r>
      <w:r w:rsidRPr="00923B1A">
        <w:rPr>
          <w:rFonts w:hint="cs"/>
          <w:color w:val="0000FF"/>
          <w:sz w:val="28"/>
          <w:szCs w:val="28"/>
          <w:rtl/>
        </w:rPr>
        <w:t xml:space="preserve"> والتقدم في تفليسة المدين</w:t>
      </w:r>
      <w:r>
        <w:rPr>
          <w:rFonts w:hint="cs"/>
          <w:color w:val="0000FF"/>
          <w:sz w:val="28"/>
          <w:szCs w:val="28"/>
          <w:rtl/>
        </w:rPr>
        <w:t xml:space="preserve"> .</w:t>
      </w:r>
    </w:p>
  </w:footnote>
  <w:footnote w:id="4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 وفال فقرة 913</w:t>
      </w:r>
      <w:r>
        <w:rPr>
          <w:rFonts w:hint="cs"/>
          <w:color w:val="0000FF"/>
          <w:sz w:val="28"/>
          <w:szCs w:val="28"/>
          <w:rtl/>
        </w:rPr>
        <w:t xml:space="preserve"> .</w:t>
      </w:r>
    </w:p>
  </w:footnote>
  <w:footnote w:id="4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915 </w:t>
      </w:r>
      <w:r w:rsidRPr="00923B1A">
        <w:rPr>
          <w:color w:val="0000FF"/>
          <w:sz w:val="28"/>
          <w:szCs w:val="28"/>
          <w:rtl/>
        </w:rPr>
        <w:t>–</w:t>
      </w:r>
      <w:r w:rsidRPr="00923B1A">
        <w:rPr>
          <w:rFonts w:hint="cs"/>
          <w:color w:val="0000FF"/>
          <w:sz w:val="28"/>
          <w:szCs w:val="28"/>
          <w:rtl/>
        </w:rPr>
        <w:t xml:space="preserve"> وتنص المادة 1067 من قانون الموجبات والعقود اللبناني على أن "الكفالة مجانية بطبيعتها</w:t>
      </w:r>
      <w:r>
        <w:rPr>
          <w:rFonts w:hint="cs"/>
          <w:color w:val="0000FF"/>
          <w:sz w:val="28"/>
          <w:szCs w:val="28"/>
          <w:rtl/>
        </w:rPr>
        <w:t xml:space="preserve"> ،</w:t>
      </w:r>
      <w:r w:rsidRPr="00923B1A">
        <w:rPr>
          <w:rFonts w:hint="cs"/>
          <w:color w:val="0000FF"/>
          <w:sz w:val="28"/>
          <w:szCs w:val="28"/>
          <w:rtl/>
        </w:rPr>
        <w:t xml:space="preserve"> ما لم يكن هناك نص مخالف"</w:t>
      </w:r>
      <w:r>
        <w:rPr>
          <w:rFonts w:hint="cs"/>
          <w:color w:val="0000FF"/>
          <w:sz w:val="28"/>
          <w:szCs w:val="28"/>
          <w:rtl/>
        </w:rPr>
        <w:t xml:space="preserve"> .</w:t>
      </w:r>
      <w:r w:rsidRPr="00923B1A">
        <w:rPr>
          <w:rFonts w:hint="cs"/>
          <w:color w:val="0000FF"/>
          <w:sz w:val="28"/>
          <w:szCs w:val="28"/>
          <w:rtl/>
        </w:rPr>
        <w:t xml:space="preserve"> ولكن ليس هناك ما يمنع من أن يشترط الكفيل أجرا على كفالته يقابل ما يتعرض له من أخطار بسبب الكفالة</w:t>
      </w:r>
      <w:r>
        <w:rPr>
          <w:rFonts w:hint="cs"/>
          <w:color w:val="0000FF"/>
          <w:sz w:val="28"/>
          <w:szCs w:val="28"/>
          <w:rtl/>
        </w:rPr>
        <w:t xml:space="preserve"> ،</w:t>
      </w:r>
      <w:r w:rsidRPr="00923B1A">
        <w:rPr>
          <w:rFonts w:hint="cs"/>
          <w:color w:val="0000FF"/>
          <w:sz w:val="28"/>
          <w:szCs w:val="28"/>
          <w:rtl/>
        </w:rPr>
        <w:t xml:space="preserve"> وذلك كالمصرف يتقاضى من المدين عمولة حق يكلفه</w:t>
      </w:r>
      <w:r>
        <w:rPr>
          <w:rFonts w:hint="cs"/>
          <w:color w:val="0000FF"/>
          <w:sz w:val="28"/>
          <w:szCs w:val="28"/>
          <w:rtl/>
        </w:rPr>
        <w:t xml:space="preserve"> ،</w:t>
      </w:r>
      <w:r w:rsidRPr="00923B1A">
        <w:rPr>
          <w:rFonts w:hint="cs"/>
          <w:color w:val="0000FF"/>
          <w:sz w:val="28"/>
          <w:szCs w:val="28"/>
          <w:rtl/>
        </w:rPr>
        <w:t xml:space="preserve"> ويختلف هذا عن التأمين الذي يتقدم به المؤمن للدائن </w:t>
      </w:r>
      <w:r>
        <w:rPr>
          <w:color w:val="0000FF"/>
          <w:sz w:val="28"/>
          <w:szCs w:val="28"/>
          <w:rtl/>
        </w:rPr>
        <w:t xml:space="preserve">( </w:t>
      </w:r>
      <w:r w:rsidRPr="00923B1A">
        <w:rPr>
          <w:color w:val="0000FF"/>
          <w:sz w:val="28"/>
          <w:szCs w:val="28"/>
        </w:rPr>
        <w:t>del credre</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يؤمن به يسار المدين</w:t>
      </w:r>
      <w:r>
        <w:rPr>
          <w:rFonts w:hint="cs"/>
          <w:color w:val="0000FF"/>
          <w:sz w:val="28"/>
          <w:szCs w:val="28"/>
          <w:rtl/>
        </w:rPr>
        <w:t xml:space="preserve"> ،</w:t>
      </w:r>
      <w:r w:rsidRPr="00923B1A">
        <w:rPr>
          <w:rFonts w:hint="cs"/>
          <w:color w:val="0000FF"/>
          <w:sz w:val="28"/>
          <w:szCs w:val="28"/>
          <w:rtl/>
        </w:rPr>
        <w:t xml:space="preserve"> فإن المؤمن لا يكفل المدين هنا ولكنه يلتزم التزاماً أصلياً بالتأمين عليه </w:t>
      </w:r>
      <w:r>
        <w:rPr>
          <w:rFonts w:hint="cs"/>
          <w:color w:val="0000FF"/>
          <w:sz w:val="28"/>
          <w:szCs w:val="28"/>
          <w:rtl/>
        </w:rPr>
        <w:t xml:space="preserve">( </w:t>
      </w:r>
      <w:r w:rsidRPr="00923B1A">
        <w:rPr>
          <w:rFonts w:hint="cs"/>
          <w:color w:val="0000FF"/>
          <w:sz w:val="28"/>
          <w:szCs w:val="28"/>
          <w:rtl/>
        </w:rPr>
        <w:t xml:space="preserve">أوبري ورو 6 فقرة 423 ص 272 </w:t>
      </w:r>
      <w:r w:rsidRPr="00923B1A">
        <w:rPr>
          <w:color w:val="0000FF"/>
          <w:sz w:val="28"/>
          <w:szCs w:val="28"/>
          <w:rtl/>
        </w:rPr>
        <w:t>–</w:t>
      </w:r>
      <w:r w:rsidRPr="00923B1A">
        <w:rPr>
          <w:rFonts w:hint="cs"/>
          <w:color w:val="0000FF"/>
          <w:sz w:val="28"/>
          <w:szCs w:val="28"/>
          <w:rtl/>
        </w:rPr>
        <w:t xml:space="preserve"> ص 273</w:t>
      </w:r>
      <w:r>
        <w:rPr>
          <w:rFonts w:hint="cs"/>
          <w:color w:val="0000FF"/>
          <w:sz w:val="28"/>
          <w:szCs w:val="28"/>
          <w:rtl/>
        </w:rPr>
        <w:t xml:space="preserve"> ) .</w:t>
      </w:r>
    </w:p>
  </w:footnote>
  <w:footnote w:id="4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1 فقرة 58 </w:t>
      </w:r>
      <w:r w:rsidRPr="00923B1A">
        <w:rPr>
          <w:color w:val="0000FF"/>
          <w:sz w:val="28"/>
          <w:szCs w:val="28"/>
          <w:rtl/>
        </w:rPr>
        <w:t>–</w:t>
      </w:r>
      <w:r w:rsidRPr="00923B1A">
        <w:rPr>
          <w:rFonts w:hint="cs"/>
          <w:color w:val="0000FF"/>
          <w:sz w:val="28"/>
          <w:szCs w:val="28"/>
          <w:rtl/>
        </w:rPr>
        <w:t xml:space="preserve"> وهناك رأي يذهب إلى أن الدائن لم يحصل من الكفيل على شيء</w:t>
      </w:r>
      <w:r>
        <w:rPr>
          <w:rFonts w:hint="cs"/>
          <w:color w:val="0000FF"/>
          <w:sz w:val="28"/>
          <w:szCs w:val="28"/>
          <w:rtl/>
        </w:rPr>
        <w:t xml:space="preserve"> ،</w:t>
      </w:r>
      <w:r w:rsidRPr="00923B1A">
        <w:rPr>
          <w:rFonts w:hint="cs"/>
          <w:color w:val="0000FF"/>
          <w:sz w:val="28"/>
          <w:szCs w:val="28"/>
          <w:rtl/>
        </w:rPr>
        <w:t xml:space="preserve"> غير استيثاقه من الوفاء بما هو مستحق له</w:t>
      </w:r>
      <w:r>
        <w:rPr>
          <w:rFonts w:hint="cs"/>
          <w:color w:val="0000FF"/>
          <w:sz w:val="28"/>
          <w:szCs w:val="28"/>
          <w:rtl/>
        </w:rPr>
        <w:t xml:space="preserve"> .</w:t>
      </w:r>
      <w:r w:rsidRPr="00923B1A">
        <w:rPr>
          <w:rFonts w:hint="cs"/>
          <w:color w:val="0000FF"/>
          <w:sz w:val="28"/>
          <w:szCs w:val="28"/>
          <w:rtl/>
        </w:rPr>
        <w:t xml:space="preserve"> ولكن هذا الرأي يغفل ما حصل عليه الدائن دون مقابل من الكفيل</w:t>
      </w:r>
      <w:r>
        <w:rPr>
          <w:rFonts w:hint="cs"/>
          <w:color w:val="0000FF"/>
          <w:sz w:val="28"/>
          <w:szCs w:val="28"/>
          <w:rtl/>
        </w:rPr>
        <w:t xml:space="preserve"> ،</w:t>
      </w:r>
      <w:r w:rsidRPr="00923B1A">
        <w:rPr>
          <w:rFonts w:hint="cs"/>
          <w:color w:val="0000FF"/>
          <w:sz w:val="28"/>
          <w:szCs w:val="28"/>
          <w:rtl/>
        </w:rPr>
        <w:t xml:space="preserve"> إذ انه ضم ذمة الكفيل إلى ذمة المدين للوفاء بالدين</w:t>
      </w:r>
      <w:r>
        <w:rPr>
          <w:rFonts w:hint="cs"/>
          <w:color w:val="0000FF"/>
          <w:sz w:val="28"/>
          <w:szCs w:val="28"/>
          <w:rtl/>
        </w:rPr>
        <w:t xml:space="preserve"> .</w:t>
      </w:r>
    </w:p>
  </w:footnote>
  <w:footnote w:id="4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1 فقرة 58</w:t>
      </w:r>
      <w:r>
        <w:rPr>
          <w:rFonts w:hint="cs"/>
          <w:color w:val="0000FF"/>
          <w:sz w:val="28"/>
          <w:szCs w:val="28"/>
          <w:rtl/>
        </w:rPr>
        <w:t xml:space="preserve"> .</w:t>
      </w:r>
    </w:p>
  </w:footnote>
  <w:footnote w:id="4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423 ص 218 </w:t>
      </w:r>
      <w:r w:rsidRPr="00923B1A">
        <w:rPr>
          <w:color w:val="0000FF"/>
          <w:sz w:val="28"/>
          <w:szCs w:val="28"/>
          <w:rtl/>
        </w:rPr>
        <w:t>–</w:t>
      </w:r>
      <w:r w:rsidRPr="00923B1A">
        <w:rPr>
          <w:rFonts w:hint="cs"/>
          <w:color w:val="0000FF"/>
          <w:sz w:val="28"/>
          <w:szCs w:val="28"/>
          <w:rtl/>
        </w:rPr>
        <w:t xml:space="preserve"> بودري وفال فقرة 915 </w:t>
      </w:r>
      <w:r w:rsidRPr="00923B1A">
        <w:rPr>
          <w:color w:val="0000FF"/>
          <w:sz w:val="28"/>
          <w:szCs w:val="28"/>
          <w:rtl/>
        </w:rPr>
        <w:t>–</w:t>
      </w:r>
      <w:r w:rsidRPr="00923B1A">
        <w:rPr>
          <w:rFonts w:hint="cs"/>
          <w:color w:val="0000FF"/>
          <w:sz w:val="28"/>
          <w:szCs w:val="28"/>
          <w:rtl/>
        </w:rPr>
        <w:t xml:space="preserve"> بلانيول وريبير وسافاتييه فقرة 1512 ص 967 </w:t>
      </w:r>
      <w:r w:rsidRPr="00923B1A">
        <w:rPr>
          <w:color w:val="0000FF"/>
          <w:sz w:val="28"/>
          <w:szCs w:val="28"/>
          <w:rtl/>
        </w:rPr>
        <w:t>–</w:t>
      </w:r>
      <w:r w:rsidRPr="00923B1A">
        <w:rPr>
          <w:rFonts w:hint="cs"/>
          <w:color w:val="0000FF"/>
          <w:sz w:val="28"/>
          <w:szCs w:val="28"/>
          <w:rtl/>
        </w:rPr>
        <w:t xml:space="preserve"> نقض فرنسي 2 مايو سنة 1906 سبريه 1908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286</w:t>
      </w:r>
      <w:r>
        <w:rPr>
          <w:rFonts w:hint="cs"/>
          <w:color w:val="0000FF"/>
          <w:sz w:val="28"/>
          <w:szCs w:val="28"/>
          <w:rtl/>
        </w:rPr>
        <w:t xml:space="preserve"> .</w:t>
      </w:r>
    </w:p>
  </w:footnote>
  <w:footnote w:id="4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ولكن الدائن هنا إنما يحصل على تأمين </w:t>
      </w:r>
      <w:r>
        <w:rPr>
          <w:color w:val="0000FF"/>
          <w:sz w:val="28"/>
          <w:szCs w:val="28"/>
          <w:rtl/>
        </w:rPr>
        <w:t xml:space="preserve">( </w:t>
      </w:r>
      <w:r w:rsidRPr="00923B1A">
        <w:rPr>
          <w:color w:val="0000FF"/>
          <w:sz w:val="28"/>
          <w:szCs w:val="28"/>
        </w:rPr>
        <w:t>assurance</w:t>
      </w:r>
      <w:r>
        <w:rPr>
          <w:color w:val="0000FF"/>
          <w:sz w:val="28"/>
          <w:szCs w:val="28"/>
          <w:rtl/>
        </w:rPr>
        <w:t xml:space="preserve"> )</w:t>
      </w:r>
      <w:r w:rsidRPr="00923B1A">
        <w:rPr>
          <w:rFonts w:hint="cs"/>
          <w:color w:val="0000FF"/>
          <w:sz w:val="28"/>
          <w:szCs w:val="28"/>
          <w:rtl/>
        </w:rPr>
        <w:t xml:space="preserve"> من الكفيل بأن المدين موسر</w:t>
      </w:r>
      <w:r>
        <w:rPr>
          <w:rFonts w:hint="cs"/>
          <w:color w:val="0000FF"/>
          <w:sz w:val="28"/>
          <w:szCs w:val="28"/>
          <w:rtl/>
        </w:rPr>
        <w:t xml:space="preserve"> ،</w:t>
      </w:r>
      <w:r w:rsidRPr="00923B1A">
        <w:rPr>
          <w:rFonts w:hint="cs"/>
          <w:color w:val="0000FF"/>
          <w:sz w:val="28"/>
          <w:szCs w:val="28"/>
          <w:rtl/>
        </w:rPr>
        <w:t xml:space="preserve"> فإذا أعسر المدين دفع الكفيل تعويضاً للدائن عن هذا الإعسار فلا يكون العقد عند كفالة بل عقد تأمين </w:t>
      </w:r>
      <w:r>
        <w:rPr>
          <w:rFonts w:hint="cs"/>
          <w:color w:val="0000FF"/>
          <w:sz w:val="28"/>
          <w:szCs w:val="28"/>
          <w:rtl/>
        </w:rPr>
        <w:t xml:space="preserve">( </w:t>
      </w:r>
      <w:r w:rsidRPr="00923B1A">
        <w:rPr>
          <w:rFonts w:hint="cs"/>
          <w:color w:val="0000FF"/>
          <w:sz w:val="28"/>
          <w:szCs w:val="28"/>
          <w:rtl/>
        </w:rPr>
        <w:t xml:space="preserve">انظر في هذا المعنى بلانيول وريبير وسافاتييه فقرة 1513 </w:t>
      </w:r>
      <w:r w:rsidRPr="00923B1A">
        <w:rPr>
          <w:color w:val="0000FF"/>
          <w:sz w:val="28"/>
          <w:szCs w:val="28"/>
          <w:rtl/>
        </w:rPr>
        <w:t>–</w:t>
      </w:r>
      <w:r w:rsidRPr="00923B1A">
        <w:rPr>
          <w:rFonts w:hint="cs"/>
          <w:color w:val="0000FF"/>
          <w:sz w:val="28"/>
          <w:szCs w:val="28"/>
          <w:rtl/>
        </w:rPr>
        <w:t xml:space="preserve"> 2- بيدان وفواران 13 فقرة 82 </w:t>
      </w:r>
      <w:r w:rsidRPr="00923B1A">
        <w:rPr>
          <w:color w:val="0000FF"/>
          <w:sz w:val="28"/>
          <w:szCs w:val="28"/>
          <w:rtl/>
        </w:rPr>
        <w:t>–</w:t>
      </w:r>
      <w:r w:rsidRPr="00923B1A">
        <w:rPr>
          <w:rFonts w:hint="cs"/>
          <w:color w:val="0000FF"/>
          <w:sz w:val="28"/>
          <w:szCs w:val="28"/>
          <w:rtl/>
        </w:rPr>
        <w:t xml:space="preserve"> جوسران 2 فقرة 1480 ص 804 </w:t>
      </w:r>
      <w:r w:rsidRPr="00923B1A">
        <w:rPr>
          <w:color w:val="0000FF"/>
          <w:sz w:val="28"/>
          <w:szCs w:val="28"/>
          <w:rtl/>
        </w:rPr>
        <w:t>–</w:t>
      </w:r>
      <w:r w:rsidRPr="00923B1A">
        <w:rPr>
          <w:rFonts w:hint="cs"/>
          <w:color w:val="0000FF"/>
          <w:sz w:val="28"/>
          <w:szCs w:val="28"/>
          <w:rtl/>
        </w:rPr>
        <w:t xml:space="preserve"> أنسيكلوبيدي داللوز 1 لفظ </w:t>
      </w:r>
      <w:r>
        <w:rPr>
          <w:color w:val="0000FF"/>
          <w:sz w:val="28"/>
          <w:szCs w:val="28"/>
          <w:rtl/>
        </w:rPr>
        <w:t xml:space="preserve">( </w:t>
      </w:r>
      <w:r w:rsidRPr="00923B1A">
        <w:rPr>
          <w:color w:val="0000FF"/>
          <w:sz w:val="28"/>
          <w:szCs w:val="28"/>
        </w:rPr>
        <w:t>cautionnement</w:t>
      </w:r>
      <w:r>
        <w:rPr>
          <w:color w:val="0000FF"/>
          <w:sz w:val="28"/>
          <w:szCs w:val="28"/>
          <w:rtl/>
        </w:rPr>
        <w:t xml:space="preserve"> )</w:t>
      </w:r>
      <w:r w:rsidRPr="00923B1A">
        <w:rPr>
          <w:rFonts w:hint="cs"/>
          <w:color w:val="0000FF"/>
          <w:sz w:val="28"/>
          <w:szCs w:val="28"/>
          <w:rtl/>
        </w:rPr>
        <w:t xml:space="preserve"> فقرة 13 </w:t>
      </w:r>
      <w:r w:rsidRPr="00923B1A">
        <w:rPr>
          <w:color w:val="0000FF"/>
          <w:sz w:val="28"/>
          <w:szCs w:val="28"/>
          <w:rtl/>
        </w:rPr>
        <w:t>–</w:t>
      </w:r>
      <w:r w:rsidRPr="00923B1A">
        <w:rPr>
          <w:rFonts w:hint="cs"/>
          <w:color w:val="0000FF"/>
          <w:sz w:val="28"/>
          <w:szCs w:val="28"/>
          <w:rtl/>
        </w:rPr>
        <w:t xml:space="preserve"> محمد كامل مرسي فقرة 11 ص 21 </w:t>
      </w:r>
      <w:r w:rsidRPr="00923B1A">
        <w:rPr>
          <w:color w:val="0000FF"/>
          <w:sz w:val="28"/>
          <w:szCs w:val="28"/>
          <w:rtl/>
        </w:rPr>
        <w:t>–</w:t>
      </w:r>
      <w:r w:rsidRPr="00923B1A">
        <w:rPr>
          <w:rFonts w:hint="cs"/>
          <w:color w:val="0000FF"/>
          <w:sz w:val="28"/>
          <w:szCs w:val="28"/>
          <w:rtl/>
        </w:rPr>
        <w:t xml:space="preserve"> سليمان مرقس فقرة 5 ص 7 </w:t>
      </w:r>
      <w:r w:rsidRPr="00923B1A">
        <w:rPr>
          <w:color w:val="0000FF"/>
          <w:sz w:val="28"/>
          <w:szCs w:val="28"/>
          <w:rtl/>
        </w:rPr>
        <w:t>–</w:t>
      </w:r>
      <w:r w:rsidRPr="00923B1A">
        <w:rPr>
          <w:rFonts w:hint="cs"/>
          <w:color w:val="0000FF"/>
          <w:sz w:val="28"/>
          <w:szCs w:val="28"/>
          <w:rtl/>
        </w:rPr>
        <w:t xml:space="preserve"> أبريل سنة 1896 القضاء 3 ص 342 </w:t>
      </w:r>
      <w:r w:rsidRPr="00923B1A">
        <w:rPr>
          <w:color w:val="0000FF"/>
          <w:sz w:val="28"/>
          <w:szCs w:val="28"/>
          <w:rtl/>
        </w:rPr>
        <w:t>–</w:t>
      </w:r>
      <w:r w:rsidRPr="00923B1A">
        <w:rPr>
          <w:rFonts w:hint="cs"/>
          <w:color w:val="0000FF"/>
          <w:sz w:val="28"/>
          <w:szCs w:val="28"/>
          <w:rtl/>
        </w:rPr>
        <w:t xml:space="preserve"> بيدان وفواران 13 فقرة 84 وما بعدها</w:t>
      </w:r>
      <w:r>
        <w:rPr>
          <w:rFonts w:hint="cs"/>
          <w:color w:val="0000FF"/>
          <w:sz w:val="28"/>
          <w:szCs w:val="28"/>
          <w:rtl/>
        </w:rPr>
        <w:t xml:space="preserve"> .</w:t>
      </w:r>
    </w:p>
  </w:footnote>
  <w:footnote w:id="5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p>
  </w:footnote>
  <w:footnote w:id="5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11 </w:t>
      </w:r>
      <w:r w:rsidRPr="00923B1A">
        <w:rPr>
          <w:color w:val="0000FF"/>
          <w:sz w:val="28"/>
          <w:szCs w:val="28"/>
          <w:rtl/>
        </w:rPr>
        <w:t>–</w:t>
      </w:r>
      <w:r w:rsidRPr="00923B1A">
        <w:rPr>
          <w:rFonts w:hint="cs"/>
          <w:color w:val="0000FF"/>
          <w:sz w:val="28"/>
          <w:szCs w:val="28"/>
          <w:rtl/>
        </w:rPr>
        <w:t xml:space="preserve"> ولذلك لا تعتبر الكفالة بالنفس كفالة حقيقية</w:t>
      </w:r>
      <w:r>
        <w:rPr>
          <w:rFonts w:hint="cs"/>
          <w:color w:val="0000FF"/>
          <w:sz w:val="28"/>
          <w:szCs w:val="28"/>
          <w:rtl/>
        </w:rPr>
        <w:t xml:space="preserve"> ،</w:t>
      </w:r>
      <w:r w:rsidRPr="00923B1A">
        <w:rPr>
          <w:rFonts w:hint="cs"/>
          <w:color w:val="0000FF"/>
          <w:sz w:val="28"/>
          <w:szCs w:val="28"/>
          <w:rtl/>
        </w:rPr>
        <w:t xml:space="preserve"> بل أن الكفيل بالنفس يلتزم التزاماً أصلياً بعمل معين هو إحضار المدين يوم حلول أجل الدين</w:t>
      </w:r>
      <w:r>
        <w:rPr>
          <w:rFonts w:hint="cs"/>
          <w:color w:val="0000FF"/>
          <w:sz w:val="28"/>
          <w:szCs w:val="28"/>
          <w:rtl/>
        </w:rPr>
        <w:t xml:space="preserve"> .</w:t>
      </w:r>
      <w:r w:rsidRPr="00923B1A">
        <w:rPr>
          <w:rFonts w:hint="cs"/>
          <w:color w:val="0000FF"/>
          <w:sz w:val="28"/>
          <w:szCs w:val="28"/>
          <w:rtl/>
        </w:rPr>
        <w:t xml:space="preserve"> ويرتب القانون</w:t>
      </w:r>
      <w:r>
        <w:rPr>
          <w:rFonts w:hint="cs"/>
          <w:color w:val="0000FF"/>
          <w:sz w:val="28"/>
          <w:szCs w:val="28"/>
          <w:rtl/>
        </w:rPr>
        <w:t xml:space="preserve"> ،</w:t>
      </w:r>
      <w:r w:rsidRPr="00923B1A">
        <w:rPr>
          <w:rFonts w:hint="cs"/>
          <w:color w:val="0000FF"/>
          <w:sz w:val="28"/>
          <w:szCs w:val="28"/>
          <w:rtl/>
        </w:rPr>
        <w:t xml:space="preserve"> على عدم إحضار الكفيل بالنفس المدين يوم حلول أجل الدين</w:t>
      </w:r>
      <w:r>
        <w:rPr>
          <w:rFonts w:hint="cs"/>
          <w:color w:val="0000FF"/>
          <w:sz w:val="28"/>
          <w:szCs w:val="28"/>
          <w:rtl/>
        </w:rPr>
        <w:t xml:space="preserve"> ،</w:t>
      </w:r>
      <w:r w:rsidRPr="00923B1A">
        <w:rPr>
          <w:rFonts w:hint="cs"/>
          <w:color w:val="0000FF"/>
          <w:sz w:val="28"/>
          <w:szCs w:val="28"/>
          <w:rtl/>
        </w:rPr>
        <w:t xml:space="preserve"> إلزامه بالدين</w:t>
      </w:r>
      <w:r>
        <w:rPr>
          <w:rFonts w:hint="cs"/>
          <w:color w:val="0000FF"/>
          <w:sz w:val="28"/>
          <w:szCs w:val="28"/>
          <w:rtl/>
        </w:rPr>
        <w:t xml:space="preserve"> .</w:t>
      </w:r>
      <w:r w:rsidRPr="00923B1A">
        <w:rPr>
          <w:rFonts w:hint="cs"/>
          <w:color w:val="0000FF"/>
          <w:sz w:val="28"/>
          <w:szCs w:val="28"/>
          <w:rtl/>
        </w:rPr>
        <w:t xml:space="preserve"> وتنص المادة 508/ 620 </w:t>
      </w:r>
      <w:r w:rsidRPr="00923B1A">
        <w:rPr>
          <w:color w:val="0000FF"/>
          <w:sz w:val="28"/>
          <w:szCs w:val="28"/>
          <w:rtl/>
        </w:rPr>
        <w:t>–</w:t>
      </w:r>
      <w:r w:rsidRPr="00923B1A">
        <w:rPr>
          <w:rFonts w:hint="cs"/>
          <w:color w:val="0000FF"/>
          <w:sz w:val="28"/>
          <w:szCs w:val="28"/>
          <w:rtl/>
        </w:rPr>
        <w:t xml:space="preserve"> 621 من التقنين المدني السابق في هذا المعنى على ما يأتي</w:t>
      </w:r>
      <w:r>
        <w:rPr>
          <w:rFonts w:hint="cs"/>
          <w:color w:val="0000FF"/>
          <w:sz w:val="28"/>
          <w:szCs w:val="28"/>
          <w:rtl/>
        </w:rPr>
        <w:t xml:space="preserve"> :</w:t>
      </w:r>
      <w:r w:rsidRPr="00923B1A">
        <w:rPr>
          <w:rFonts w:hint="cs"/>
          <w:color w:val="0000FF"/>
          <w:sz w:val="28"/>
          <w:szCs w:val="28"/>
          <w:rtl/>
        </w:rPr>
        <w:t xml:space="preserve"> "من تكفل بإحضار المدين يوم حلول أجل الدين ولم يحضره في الميعاد</w:t>
      </w:r>
      <w:r>
        <w:rPr>
          <w:rFonts w:hint="cs"/>
          <w:color w:val="0000FF"/>
          <w:sz w:val="28"/>
          <w:szCs w:val="28"/>
          <w:rtl/>
        </w:rPr>
        <w:t xml:space="preserve"> ،</w:t>
      </w:r>
      <w:r w:rsidRPr="00923B1A">
        <w:rPr>
          <w:rFonts w:hint="cs"/>
          <w:color w:val="0000FF"/>
          <w:sz w:val="28"/>
          <w:szCs w:val="28"/>
          <w:rtl/>
        </w:rPr>
        <w:t xml:space="preserve"> كان ملزماً بالدين</w:t>
      </w:r>
      <w:r>
        <w:rPr>
          <w:rFonts w:hint="cs"/>
          <w:color w:val="0000FF"/>
          <w:sz w:val="28"/>
          <w:szCs w:val="28"/>
          <w:rtl/>
        </w:rPr>
        <w:t xml:space="preserve"> .</w:t>
      </w:r>
      <w:r w:rsidRPr="00923B1A">
        <w:rPr>
          <w:rFonts w:hint="cs"/>
          <w:color w:val="0000FF"/>
          <w:sz w:val="28"/>
          <w:szCs w:val="28"/>
          <w:rtl/>
        </w:rPr>
        <w:t xml:space="preserve"> وإذا حضر المدين المذكور</w:t>
      </w:r>
      <w:r>
        <w:rPr>
          <w:rFonts w:hint="cs"/>
          <w:color w:val="0000FF"/>
          <w:sz w:val="28"/>
          <w:szCs w:val="28"/>
          <w:rtl/>
        </w:rPr>
        <w:t xml:space="preserve"> ،</w:t>
      </w:r>
      <w:r w:rsidRPr="00923B1A">
        <w:rPr>
          <w:rFonts w:hint="cs"/>
          <w:color w:val="0000FF"/>
          <w:sz w:val="28"/>
          <w:szCs w:val="28"/>
          <w:rtl/>
        </w:rPr>
        <w:t xml:space="preserve"> برئ كفالته"</w:t>
      </w:r>
      <w:r>
        <w:rPr>
          <w:rFonts w:hint="cs"/>
          <w:color w:val="0000FF"/>
          <w:sz w:val="28"/>
          <w:szCs w:val="28"/>
          <w:rtl/>
        </w:rPr>
        <w:t xml:space="preserve"> .</w:t>
      </w:r>
      <w:r w:rsidRPr="00923B1A">
        <w:rPr>
          <w:rFonts w:hint="cs"/>
          <w:color w:val="0000FF"/>
          <w:sz w:val="28"/>
          <w:szCs w:val="28"/>
          <w:rtl/>
        </w:rPr>
        <w:t xml:space="preserve"> هذا النص مأخوذ من الشريعة الإسلامية</w:t>
      </w:r>
      <w:r>
        <w:rPr>
          <w:rFonts w:hint="cs"/>
          <w:color w:val="0000FF"/>
          <w:sz w:val="28"/>
          <w:szCs w:val="28"/>
          <w:rtl/>
        </w:rPr>
        <w:t xml:space="preserve"> ،</w:t>
      </w:r>
      <w:r w:rsidRPr="00923B1A">
        <w:rPr>
          <w:rFonts w:hint="cs"/>
          <w:color w:val="0000FF"/>
          <w:sz w:val="28"/>
          <w:szCs w:val="28"/>
          <w:rtl/>
        </w:rPr>
        <w:t xml:space="preserve"> وقد نصت المادة 651 من المجلة على ما يأتي</w:t>
      </w:r>
      <w:r>
        <w:rPr>
          <w:rFonts w:hint="cs"/>
          <w:color w:val="0000FF"/>
          <w:sz w:val="28"/>
          <w:szCs w:val="28"/>
          <w:rtl/>
        </w:rPr>
        <w:t xml:space="preserve"> :</w:t>
      </w:r>
      <w:r w:rsidRPr="00923B1A">
        <w:rPr>
          <w:rFonts w:hint="cs"/>
          <w:color w:val="0000FF"/>
          <w:sz w:val="28"/>
          <w:szCs w:val="28"/>
          <w:rtl/>
        </w:rPr>
        <w:t xml:space="preserve"> لو كفل أحد بنفس شخص على أن يحضره في الوقت الفلاني</w:t>
      </w:r>
      <w:r>
        <w:rPr>
          <w:rFonts w:hint="cs"/>
          <w:color w:val="0000FF"/>
          <w:sz w:val="28"/>
          <w:szCs w:val="28"/>
          <w:rtl/>
        </w:rPr>
        <w:t xml:space="preserve"> ،</w:t>
      </w:r>
      <w:r w:rsidRPr="00923B1A">
        <w:rPr>
          <w:rFonts w:hint="cs"/>
          <w:color w:val="0000FF"/>
          <w:sz w:val="28"/>
          <w:szCs w:val="28"/>
          <w:rtl/>
        </w:rPr>
        <w:t xml:space="preserve"> وإن لم يحضره في الوقت المذكور فعليه أداء دينه</w:t>
      </w:r>
      <w:r>
        <w:rPr>
          <w:rFonts w:hint="cs"/>
          <w:color w:val="0000FF"/>
          <w:sz w:val="28"/>
          <w:szCs w:val="28"/>
          <w:rtl/>
        </w:rPr>
        <w:t xml:space="preserve"> ،</w:t>
      </w:r>
      <w:r w:rsidRPr="00923B1A">
        <w:rPr>
          <w:rFonts w:hint="cs"/>
          <w:color w:val="0000FF"/>
          <w:sz w:val="28"/>
          <w:szCs w:val="28"/>
          <w:rtl/>
        </w:rPr>
        <w:t xml:space="preserve"> فإذا لم يحضره المكفول به إلى الوقت أو سلم المكفول به نفسه من جهة الكفالة لا يترتب على طرف الكفيل شيء من المال</w:t>
      </w:r>
      <w:r>
        <w:rPr>
          <w:rFonts w:hint="cs"/>
          <w:color w:val="0000FF"/>
          <w:sz w:val="28"/>
          <w:szCs w:val="28"/>
          <w:rtl/>
        </w:rPr>
        <w:t xml:space="preserve"> ،</w:t>
      </w:r>
      <w:r w:rsidRPr="00923B1A">
        <w:rPr>
          <w:rFonts w:hint="cs"/>
          <w:color w:val="0000FF"/>
          <w:sz w:val="28"/>
          <w:szCs w:val="28"/>
          <w:rtl/>
        </w:rPr>
        <w:t xml:space="preserve"> وإن لم يسلم الورثة المكفون به</w:t>
      </w:r>
      <w:r>
        <w:rPr>
          <w:rFonts w:hint="cs"/>
          <w:color w:val="0000FF"/>
          <w:sz w:val="28"/>
          <w:szCs w:val="28"/>
          <w:rtl/>
        </w:rPr>
        <w:t xml:space="preserve"> ،</w:t>
      </w:r>
      <w:r w:rsidRPr="00923B1A">
        <w:rPr>
          <w:rFonts w:hint="cs"/>
          <w:color w:val="0000FF"/>
          <w:sz w:val="28"/>
          <w:szCs w:val="28"/>
          <w:rtl/>
        </w:rPr>
        <w:t xml:space="preserve"> أو هو لم يسلم نفسه يلزم أداء المال من تركة الكفيل</w:t>
      </w:r>
      <w:r>
        <w:rPr>
          <w:rFonts w:hint="cs"/>
          <w:color w:val="0000FF"/>
          <w:sz w:val="28"/>
          <w:szCs w:val="28"/>
          <w:rtl/>
        </w:rPr>
        <w:t xml:space="preserve"> .</w:t>
      </w:r>
      <w:r w:rsidRPr="00923B1A">
        <w:rPr>
          <w:rFonts w:hint="cs"/>
          <w:color w:val="0000FF"/>
          <w:sz w:val="28"/>
          <w:szCs w:val="28"/>
          <w:rtl/>
        </w:rPr>
        <w:t xml:space="preserve"> ولو مات المكفول له</w:t>
      </w:r>
      <w:r>
        <w:rPr>
          <w:rFonts w:hint="cs"/>
          <w:color w:val="0000FF"/>
          <w:sz w:val="28"/>
          <w:szCs w:val="28"/>
          <w:rtl/>
        </w:rPr>
        <w:t xml:space="preserve"> ،</w:t>
      </w:r>
      <w:r w:rsidRPr="00923B1A">
        <w:rPr>
          <w:rFonts w:hint="cs"/>
          <w:color w:val="0000FF"/>
          <w:sz w:val="28"/>
          <w:szCs w:val="28"/>
          <w:rtl/>
        </w:rPr>
        <w:t xml:space="preserve"> طالبه وارثه</w:t>
      </w:r>
      <w:r>
        <w:rPr>
          <w:rFonts w:hint="cs"/>
          <w:color w:val="0000FF"/>
          <w:sz w:val="28"/>
          <w:szCs w:val="28"/>
          <w:rtl/>
        </w:rPr>
        <w:t xml:space="preserve"> .</w:t>
      </w:r>
      <w:r w:rsidRPr="00923B1A">
        <w:rPr>
          <w:rFonts w:hint="cs"/>
          <w:color w:val="0000FF"/>
          <w:sz w:val="28"/>
          <w:szCs w:val="28"/>
          <w:rtl/>
        </w:rPr>
        <w:t xml:space="preserve"> ولو أحضر الكفيل المكفول به في ذلك الوقت واختفى المكفول له أو تغيب</w:t>
      </w:r>
      <w:r>
        <w:rPr>
          <w:rFonts w:hint="cs"/>
          <w:color w:val="0000FF"/>
          <w:sz w:val="28"/>
          <w:szCs w:val="28"/>
          <w:rtl/>
        </w:rPr>
        <w:t xml:space="preserve"> ،</w:t>
      </w:r>
      <w:r w:rsidRPr="00923B1A">
        <w:rPr>
          <w:rFonts w:hint="cs"/>
          <w:color w:val="0000FF"/>
          <w:sz w:val="28"/>
          <w:szCs w:val="28"/>
          <w:rtl/>
        </w:rPr>
        <w:t xml:space="preserve"> راجع الكفيل الحاكم على أن ينصب وكيلا عوضاً عنه ويستلمه"</w:t>
      </w:r>
      <w:r>
        <w:rPr>
          <w:rFonts w:hint="cs"/>
          <w:color w:val="0000FF"/>
          <w:sz w:val="28"/>
          <w:szCs w:val="28"/>
          <w:rtl/>
        </w:rPr>
        <w:t xml:space="preserve"> .</w:t>
      </w:r>
      <w:r w:rsidRPr="00923B1A">
        <w:rPr>
          <w:rFonts w:hint="cs"/>
          <w:color w:val="0000FF"/>
          <w:sz w:val="28"/>
          <w:szCs w:val="28"/>
          <w:rtl/>
        </w:rPr>
        <w:t xml:space="preserve"> وانظر في الكفيل بالنفس المراد 1017 </w:t>
      </w:r>
      <w:r w:rsidRPr="00923B1A">
        <w:rPr>
          <w:color w:val="0000FF"/>
          <w:sz w:val="28"/>
          <w:szCs w:val="28"/>
          <w:rtl/>
        </w:rPr>
        <w:t>–</w:t>
      </w:r>
      <w:r w:rsidRPr="00923B1A">
        <w:rPr>
          <w:rFonts w:hint="cs"/>
          <w:color w:val="0000FF"/>
          <w:sz w:val="28"/>
          <w:szCs w:val="28"/>
          <w:rtl/>
        </w:rPr>
        <w:t xml:space="preserve"> 1105 من التقنين المدني العراقي </w:t>
      </w:r>
      <w:r w:rsidRPr="00923B1A">
        <w:rPr>
          <w:color w:val="0000FF"/>
          <w:sz w:val="28"/>
          <w:szCs w:val="28"/>
          <w:rtl/>
        </w:rPr>
        <w:t>–</w:t>
      </w:r>
      <w:r w:rsidRPr="00923B1A">
        <w:rPr>
          <w:rFonts w:hint="cs"/>
          <w:color w:val="0000FF"/>
          <w:sz w:val="28"/>
          <w:szCs w:val="28"/>
          <w:rtl/>
        </w:rPr>
        <w:t xml:space="preserve"> وانظر في كفالة حضور المدين المواد 1098 </w:t>
      </w:r>
      <w:r w:rsidRPr="00923B1A">
        <w:rPr>
          <w:color w:val="0000FF"/>
          <w:sz w:val="28"/>
          <w:szCs w:val="28"/>
          <w:rtl/>
        </w:rPr>
        <w:t>–</w:t>
      </w:r>
      <w:r w:rsidRPr="00923B1A">
        <w:rPr>
          <w:rFonts w:hint="cs"/>
          <w:color w:val="0000FF"/>
          <w:sz w:val="28"/>
          <w:szCs w:val="28"/>
          <w:rtl/>
        </w:rPr>
        <w:t xml:space="preserve"> 1105 من قانون الموجبات والعقود اللبناني</w:t>
      </w:r>
      <w:r>
        <w:rPr>
          <w:rFonts w:hint="cs"/>
          <w:color w:val="0000FF"/>
          <w:sz w:val="28"/>
          <w:szCs w:val="28"/>
          <w:rtl/>
        </w:rPr>
        <w:t xml:space="preserve"> .</w:t>
      </w:r>
      <w:r w:rsidRPr="00923B1A">
        <w:rPr>
          <w:rFonts w:hint="cs"/>
          <w:color w:val="0000FF"/>
          <w:sz w:val="28"/>
          <w:szCs w:val="28"/>
          <w:rtl/>
        </w:rPr>
        <w:t xml:space="preserve"> </w:t>
      </w:r>
    </w:p>
  </w:footnote>
  <w:footnote w:id="5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حق لو كان الكفيل متضامناً مع المدين</w:t>
      </w:r>
      <w:r>
        <w:rPr>
          <w:rFonts w:hint="cs"/>
          <w:color w:val="0000FF"/>
          <w:sz w:val="28"/>
          <w:szCs w:val="28"/>
          <w:rtl/>
        </w:rPr>
        <w:t xml:space="preserve"> ،</w:t>
      </w:r>
      <w:r w:rsidRPr="00923B1A">
        <w:rPr>
          <w:rFonts w:hint="cs"/>
          <w:color w:val="0000FF"/>
          <w:sz w:val="28"/>
          <w:szCs w:val="28"/>
          <w:rtl/>
        </w:rPr>
        <w:t xml:space="preserve"> فإنه يبقى مع ذلك كفيلا </w:t>
      </w:r>
      <w:r>
        <w:rPr>
          <w:rFonts w:hint="cs"/>
          <w:color w:val="0000FF"/>
          <w:sz w:val="28"/>
          <w:szCs w:val="28"/>
          <w:rtl/>
        </w:rPr>
        <w:t xml:space="preserve">( </w:t>
      </w:r>
      <w:r w:rsidRPr="00923B1A">
        <w:rPr>
          <w:rFonts w:hint="cs"/>
          <w:color w:val="0000FF"/>
          <w:sz w:val="28"/>
          <w:szCs w:val="28"/>
          <w:rtl/>
        </w:rPr>
        <w:t>أوبري ورو 6 فقرة 433 ص 271</w:t>
      </w:r>
      <w:r>
        <w:rPr>
          <w:rFonts w:hint="cs"/>
          <w:color w:val="0000FF"/>
          <w:sz w:val="28"/>
          <w:szCs w:val="28"/>
          <w:rtl/>
        </w:rPr>
        <w:t xml:space="preserve"> ) .</w:t>
      </w:r>
    </w:p>
  </w:footnote>
  <w:footnote w:id="5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ورد في التقنين المدني العراقي في هذا الصدد المادتان الآتيتان</w:t>
      </w:r>
      <w:r>
        <w:rPr>
          <w:rFonts w:hint="cs"/>
          <w:color w:val="0000FF"/>
          <w:sz w:val="28"/>
          <w:szCs w:val="28"/>
          <w:rtl/>
        </w:rPr>
        <w:t xml:space="preserve"> :</w:t>
      </w:r>
      <w:r w:rsidRPr="00923B1A">
        <w:rPr>
          <w:rFonts w:hint="cs"/>
          <w:color w:val="0000FF"/>
          <w:sz w:val="28"/>
          <w:szCs w:val="28"/>
          <w:rtl/>
        </w:rPr>
        <w:t xml:space="preserve"> م 1013</w:t>
      </w:r>
      <w:r>
        <w:rPr>
          <w:rFonts w:hint="cs"/>
          <w:color w:val="0000FF"/>
          <w:sz w:val="28"/>
          <w:szCs w:val="28"/>
          <w:rtl/>
        </w:rPr>
        <w:t xml:space="preserve"> :</w:t>
      </w:r>
      <w:r w:rsidRPr="00923B1A">
        <w:rPr>
          <w:rFonts w:hint="cs"/>
          <w:color w:val="0000FF"/>
          <w:sz w:val="28"/>
          <w:szCs w:val="28"/>
          <w:rtl/>
        </w:rPr>
        <w:t xml:space="preserve">  1- إذا كان الدين مؤجلا على الأصيل وكفل به أحد</w:t>
      </w:r>
      <w:r>
        <w:rPr>
          <w:rFonts w:hint="cs"/>
          <w:color w:val="0000FF"/>
          <w:sz w:val="28"/>
          <w:szCs w:val="28"/>
          <w:rtl/>
        </w:rPr>
        <w:t xml:space="preserve"> ،</w:t>
      </w:r>
      <w:r w:rsidRPr="00923B1A">
        <w:rPr>
          <w:rFonts w:hint="cs"/>
          <w:color w:val="0000FF"/>
          <w:sz w:val="28"/>
          <w:szCs w:val="28"/>
          <w:rtl/>
        </w:rPr>
        <w:t xml:space="preserve"> تأجل على الكفيل أيضاً</w:t>
      </w:r>
      <w:r>
        <w:rPr>
          <w:rFonts w:hint="cs"/>
          <w:color w:val="0000FF"/>
          <w:sz w:val="28"/>
          <w:szCs w:val="28"/>
          <w:rtl/>
        </w:rPr>
        <w:t xml:space="preserve"> .</w:t>
      </w:r>
      <w:r w:rsidRPr="00923B1A">
        <w:rPr>
          <w:rFonts w:hint="cs"/>
          <w:color w:val="0000FF"/>
          <w:sz w:val="28"/>
          <w:szCs w:val="28"/>
          <w:rtl/>
        </w:rPr>
        <w:t xml:space="preserve"> 2- وإذا أجل الدائن الدين على الأصيل</w:t>
      </w:r>
      <w:r>
        <w:rPr>
          <w:rFonts w:hint="cs"/>
          <w:color w:val="0000FF"/>
          <w:sz w:val="28"/>
          <w:szCs w:val="28"/>
          <w:rtl/>
        </w:rPr>
        <w:t xml:space="preserve"> ،</w:t>
      </w:r>
      <w:r w:rsidRPr="00923B1A">
        <w:rPr>
          <w:rFonts w:hint="cs"/>
          <w:color w:val="0000FF"/>
          <w:sz w:val="28"/>
          <w:szCs w:val="28"/>
          <w:rtl/>
        </w:rPr>
        <w:t xml:space="preserve"> تأجل على الكفيل وكفيل الكفيل</w:t>
      </w:r>
      <w:r>
        <w:rPr>
          <w:rFonts w:hint="cs"/>
          <w:color w:val="0000FF"/>
          <w:sz w:val="28"/>
          <w:szCs w:val="28"/>
          <w:rtl/>
        </w:rPr>
        <w:t xml:space="preserve"> .</w:t>
      </w:r>
      <w:r w:rsidRPr="00923B1A">
        <w:rPr>
          <w:rFonts w:hint="cs"/>
          <w:color w:val="0000FF"/>
          <w:sz w:val="28"/>
          <w:szCs w:val="28"/>
          <w:rtl/>
        </w:rPr>
        <w:t xml:space="preserve"> وإن أجله على الفيل الأول تأجل على الكفيل الثاني</w:t>
      </w:r>
      <w:r>
        <w:rPr>
          <w:rFonts w:hint="cs"/>
          <w:color w:val="0000FF"/>
          <w:sz w:val="28"/>
          <w:szCs w:val="28"/>
          <w:rtl/>
        </w:rPr>
        <w:t xml:space="preserve"> ،</w:t>
      </w:r>
      <w:r w:rsidRPr="00923B1A">
        <w:rPr>
          <w:rFonts w:hint="cs"/>
          <w:color w:val="0000FF"/>
          <w:sz w:val="28"/>
          <w:szCs w:val="28"/>
          <w:rtl/>
        </w:rPr>
        <w:t xml:space="preserve"> ولا يتأجل على الأصيل</w:t>
      </w:r>
      <w:r>
        <w:rPr>
          <w:rFonts w:hint="cs"/>
          <w:color w:val="0000FF"/>
          <w:sz w:val="28"/>
          <w:szCs w:val="28"/>
          <w:rtl/>
        </w:rPr>
        <w:t xml:space="preserve"> .</w:t>
      </w:r>
      <w:r w:rsidRPr="00923B1A">
        <w:rPr>
          <w:rFonts w:hint="cs"/>
          <w:color w:val="0000FF"/>
          <w:sz w:val="28"/>
          <w:szCs w:val="28"/>
          <w:rtl/>
        </w:rPr>
        <w:t xml:space="preserve"> م 1014</w:t>
      </w:r>
      <w:r>
        <w:rPr>
          <w:rFonts w:hint="cs"/>
          <w:color w:val="0000FF"/>
          <w:sz w:val="28"/>
          <w:szCs w:val="28"/>
          <w:rtl/>
        </w:rPr>
        <w:t xml:space="preserve"> :</w:t>
      </w:r>
      <w:r w:rsidRPr="00923B1A">
        <w:rPr>
          <w:rFonts w:hint="cs"/>
          <w:color w:val="0000FF"/>
          <w:sz w:val="28"/>
          <w:szCs w:val="28"/>
          <w:rtl/>
        </w:rPr>
        <w:t xml:space="preserve"> إذا تكفل الكفيل بالدين الحال كفالة مؤجلة</w:t>
      </w:r>
      <w:r>
        <w:rPr>
          <w:rFonts w:hint="cs"/>
          <w:color w:val="0000FF"/>
          <w:sz w:val="28"/>
          <w:szCs w:val="28"/>
          <w:rtl/>
        </w:rPr>
        <w:t xml:space="preserve"> ،</w:t>
      </w:r>
      <w:r w:rsidRPr="00923B1A">
        <w:rPr>
          <w:rFonts w:hint="cs"/>
          <w:color w:val="0000FF"/>
          <w:sz w:val="28"/>
          <w:szCs w:val="28"/>
          <w:rtl/>
        </w:rPr>
        <w:t xml:space="preserve"> تأجيل على الكفيل والأصيل</w:t>
      </w:r>
      <w:r>
        <w:rPr>
          <w:rFonts w:hint="cs"/>
          <w:color w:val="0000FF"/>
          <w:sz w:val="28"/>
          <w:szCs w:val="28"/>
          <w:rtl/>
        </w:rPr>
        <w:t xml:space="preserve"> ،</w:t>
      </w:r>
      <w:r w:rsidRPr="00923B1A">
        <w:rPr>
          <w:rFonts w:hint="cs"/>
          <w:color w:val="0000FF"/>
          <w:sz w:val="28"/>
          <w:szCs w:val="28"/>
          <w:rtl/>
        </w:rPr>
        <w:t xml:space="preserve"> إلا إذا أضاف الكفيل الأجل إلى نفسه أو اشتراط الدائن وقت الكفالة الأجل للكفيل خاصة</w:t>
      </w:r>
      <w:r>
        <w:rPr>
          <w:rFonts w:hint="cs"/>
          <w:color w:val="0000FF"/>
          <w:sz w:val="28"/>
          <w:szCs w:val="28"/>
          <w:rtl/>
        </w:rPr>
        <w:t xml:space="preserve"> ،</w:t>
      </w:r>
      <w:r w:rsidRPr="00923B1A">
        <w:rPr>
          <w:rFonts w:hint="cs"/>
          <w:color w:val="0000FF"/>
          <w:sz w:val="28"/>
          <w:szCs w:val="28"/>
          <w:rtl/>
        </w:rPr>
        <w:t xml:space="preserve"> ففي هاتين الحالتين لا يتأجل على الأصيل</w:t>
      </w:r>
      <w:r>
        <w:rPr>
          <w:rFonts w:hint="cs"/>
          <w:color w:val="0000FF"/>
          <w:sz w:val="28"/>
          <w:szCs w:val="28"/>
          <w:rtl/>
        </w:rPr>
        <w:t xml:space="preserve"> .</w:t>
      </w:r>
    </w:p>
  </w:footnote>
  <w:footnote w:id="5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423 ص 269 </w:t>
      </w:r>
      <w:r w:rsidRPr="00923B1A">
        <w:rPr>
          <w:color w:val="0000FF"/>
          <w:sz w:val="28"/>
          <w:szCs w:val="28"/>
          <w:rtl/>
        </w:rPr>
        <w:t>–</w:t>
      </w:r>
      <w:r w:rsidRPr="00923B1A">
        <w:rPr>
          <w:rFonts w:hint="cs"/>
          <w:color w:val="0000FF"/>
          <w:sz w:val="28"/>
          <w:szCs w:val="28"/>
          <w:rtl/>
        </w:rPr>
        <w:t xml:space="preserve"> بودري وفال فقرة 694 </w:t>
      </w:r>
      <w:r w:rsidRPr="00923B1A">
        <w:rPr>
          <w:color w:val="0000FF"/>
          <w:sz w:val="28"/>
          <w:szCs w:val="28"/>
          <w:rtl/>
        </w:rPr>
        <w:t>–</w:t>
      </w:r>
      <w:r w:rsidRPr="00923B1A">
        <w:rPr>
          <w:rFonts w:hint="cs"/>
          <w:color w:val="0000FF"/>
          <w:sz w:val="28"/>
          <w:szCs w:val="28"/>
          <w:rtl/>
        </w:rPr>
        <w:t xml:space="preserve"> بلانيول وريبير وسافاتييه فقرة 1510 </w:t>
      </w:r>
      <w:r w:rsidRPr="00923B1A">
        <w:rPr>
          <w:color w:val="0000FF"/>
          <w:sz w:val="28"/>
          <w:szCs w:val="28"/>
          <w:rtl/>
        </w:rPr>
        <w:t>–</w:t>
      </w:r>
      <w:r w:rsidRPr="00923B1A">
        <w:rPr>
          <w:rFonts w:hint="cs"/>
          <w:color w:val="0000FF"/>
          <w:sz w:val="28"/>
          <w:szCs w:val="28"/>
          <w:rtl/>
        </w:rPr>
        <w:t xml:space="preserve"> وإذا كان التزام الكفيل أزيد أو أشد عبئا من التزام المدين الأصلي لم يكن باطلا لذلك</w:t>
      </w:r>
      <w:r>
        <w:rPr>
          <w:rFonts w:hint="cs"/>
          <w:color w:val="0000FF"/>
          <w:sz w:val="28"/>
          <w:szCs w:val="28"/>
          <w:rtl/>
        </w:rPr>
        <w:t xml:space="preserve"> ،</w:t>
      </w:r>
      <w:r w:rsidRPr="00923B1A">
        <w:rPr>
          <w:rFonts w:hint="cs"/>
          <w:color w:val="0000FF"/>
          <w:sz w:val="28"/>
          <w:szCs w:val="28"/>
          <w:rtl/>
        </w:rPr>
        <w:t xml:space="preserve"> بل يجب إنقاصه حتى يكون معادلا لالتزام المدين الأصلي</w:t>
      </w:r>
      <w:r>
        <w:rPr>
          <w:rFonts w:hint="cs"/>
          <w:color w:val="0000FF"/>
          <w:sz w:val="28"/>
          <w:szCs w:val="28"/>
          <w:rtl/>
        </w:rPr>
        <w:t xml:space="preserve"> ،</w:t>
      </w:r>
      <w:r w:rsidRPr="00923B1A">
        <w:rPr>
          <w:rFonts w:hint="cs"/>
          <w:color w:val="0000FF"/>
          <w:sz w:val="28"/>
          <w:szCs w:val="28"/>
          <w:rtl/>
        </w:rPr>
        <w:t xml:space="preserve"> فلا يكون أزيد منه ولا أشد عبئاً </w:t>
      </w:r>
      <w:r>
        <w:rPr>
          <w:rFonts w:hint="cs"/>
          <w:color w:val="0000FF"/>
          <w:sz w:val="28"/>
          <w:szCs w:val="28"/>
          <w:rtl/>
        </w:rPr>
        <w:t xml:space="preserve">( </w:t>
      </w:r>
      <w:r w:rsidRPr="00923B1A">
        <w:rPr>
          <w:rFonts w:hint="cs"/>
          <w:color w:val="0000FF"/>
          <w:sz w:val="28"/>
          <w:szCs w:val="28"/>
          <w:rtl/>
        </w:rPr>
        <w:t>أوبري ورو 6 فقرة 423 ص 269</w:t>
      </w:r>
      <w:r>
        <w:rPr>
          <w:rFonts w:hint="cs"/>
          <w:color w:val="0000FF"/>
          <w:sz w:val="28"/>
          <w:szCs w:val="28"/>
          <w:rtl/>
        </w:rPr>
        <w:t xml:space="preserve"> ) .</w:t>
      </w:r>
      <w:r w:rsidRPr="00923B1A">
        <w:rPr>
          <w:rFonts w:hint="cs"/>
          <w:color w:val="0000FF"/>
          <w:sz w:val="28"/>
          <w:szCs w:val="28"/>
          <w:rtl/>
        </w:rPr>
        <w:t xml:space="preserve"> ومطالبة المدين الأصل بالفوائد تجعلها تسري ضد الكفيل</w:t>
      </w:r>
      <w:r>
        <w:rPr>
          <w:rFonts w:hint="cs"/>
          <w:color w:val="0000FF"/>
          <w:sz w:val="28"/>
          <w:szCs w:val="28"/>
          <w:rtl/>
        </w:rPr>
        <w:t xml:space="preserve"> ،</w:t>
      </w:r>
      <w:r w:rsidRPr="00923B1A">
        <w:rPr>
          <w:rFonts w:hint="cs"/>
          <w:color w:val="0000FF"/>
          <w:sz w:val="28"/>
          <w:szCs w:val="28"/>
          <w:rtl/>
        </w:rPr>
        <w:t xml:space="preserve"> ولكن مطالبة الكفيل بالفوائد لا يجعلها تسري ضد المدين الأصلي </w:t>
      </w:r>
      <w:r>
        <w:rPr>
          <w:rFonts w:hint="cs"/>
          <w:color w:val="0000FF"/>
          <w:sz w:val="28"/>
          <w:szCs w:val="28"/>
          <w:rtl/>
        </w:rPr>
        <w:t xml:space="preserve">( </w:t>
      </w:r>
      <w:r w:rsidRPr="00923B1A">
        <w:rPr>
          <w:rFonts w:hint="cs"/>
          <w:color w:val="0000FF"/>
          <w:sz w:val="28"/>
          <w:szCs w:val="28"/>
          <w:rtl/>
        </w:rPr>
        <w:t>بودري وفال فقرة 1009 وفقرة 1010</w:t>
      </w:r>
      <w:r>
        <w:rPr>
          <w:rFonts w:hint="cs"/>
          <w:color w:val="0000FF"/>
          <w:sz w:val="28"/>
          <w:szCs w:val="28"/>
          <w:rtl/>
        </w:rPr>
        <w:t xml:space="preserve"> ) .</w:t>
      </w:r>
    </w:p>
  </w:footnote>
  <w:footnote w:id="5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1510 ص 966 </w:t>
      </w:r>
      <w:r w:rsidRPr="00923B1A">
        <w:rPr>
          <w:color w:val="0000FF"/>
          <w:sz w:val="28"/>
          <w:szCs w:val="28"/>
          <w:rtl/>
        </w:rPr>
        <w:t>–</w:t>
      </w:r>
      <w:r w:rsidRPr="00923B1A">
        <w:rPr>
          <w:rFonts w:hint="cs"/>
          <w:color w:val="0000FF"/>
          <w:sz w:val="28"/>
          <w:szCs w:val="28"/>
          <w:rtl/>
        </w:rPr>
        <w:t xml:space="preserve"> ولا شيء يمنع من أن يكون لالتزام الكفيل أجل فاسخ خاص أطول من أجل الالتزام الأصلي </w:t>
      </w:r>
      <w:r>
        <w:rPr>
          <w:rFonts w:hint="cs"/>
          <w:color w:val="0000FF"/>
          <w:sz w:val="28"/>
          <w:szCs w:val="28"/>
          <w:rtl/>
        </w:rPr>
        <w:t xml:space="preserve">( </w:t>
      </w:r>
      <w:r w:rsidRPr="00923B1A">
        <w:rPr>
          <w:rFonts w:hint="cs"/>
          <w:color w:val="0000FF"/>
          <w:sz w:val="28"/>
          <w:szCs w:val="28"/>
          <w:rtl/>
        </w:rPr>
        <w:t>أوبري ورو 6 فقرة 423</w:t>
      </w:r>
      <w:r>
        <w:rPr>
          <w:rFonts w:hint="cs"/>
          <w:color w:val="0000FF"/>
          <w:sz w:val="28"/>
          <w:szCs w:val="28"/>
          <w:rtl/>
        </w:rPr>
        <w:t xml:space="preserve"> )</w:t>
      </w:r>
      <w:r w:rsidRPr="00923B1A">
        <w:rPr>
          <w:rFonts w:hint="cs"/>
          <w:color w:val="0000FF"/>
          <w:sz w:val="28"/>
          <w:szCs w:val="28"/>
          <w:rtl/>
        </w:rPr>
        <w:t xml:space="preserve"> ص 269 وهامش 4 </w:t>
      </w:r>
      <w:r>
        <w:rPr>
          <w:rFonts w:hint="cs"/>
          <w:color w:val="0000FF"/>
          <w:sz w:val="28"/>
          <w:szCs w:val="28"/>
          <w:rtl/>
        </w:rPr>
        <w:t xml:space="preserve">( </w:t>
      </w:r>
      <w:r w:rsidRPr="00923B1A">
        <w:rPr>
          <w:rFonts w:hint="cs"/>
          <w:color w:val="0000FF"/>
          <w:sz w:val="28"/>
          <w:szCs w:val="28"/>
          <w:rtl/>
        </w:rPr>
        <w:t>2</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ويكفي أن يثبت الدين ضد المدين الأصلي حتى يكون ثابتاً ضد الكفيل فيستفيد الكفيل إذن من كل تسوية تنقص الدين الأصلي</w:t>
      </w:r>
      <w:r>
        <w:rPr>
          <w:rFonts w:hint="cs"/>
          <w:color w:val="0000FF"/>
          <w:sz w:val="28"/>
          <w:szCs w:val="28"/>
          <w:rtl/>
        </w:rPr>
        <w:t xml:space="preserve"> ،</w:t>
      </w:r>
      <w:r w:rsidRPr="00923B1A">
        <w:rPr>
          <w:rFonts w:hint="cs"/>
          <w:color w:val="0000FF"/>
          <w:sz w:val="28"/>
          <w:szCs w:val="28"/>
          <w:rtl/>
        </w:rPr>
        <w:t xml:space="preserve"> ويضار من كل تسوية ضد المدين </w:t>
      </w:r>
      <w:r>
        <w:rPr>
          <w:rFonts w:hint="cs"/>
          <w:color w:val="0000FF"/>
          <w:sz w:val="28"/>
          <w:szCs w:val="28"/>
          <w:rtl/>
        </w:rPr>
        <w:t xml:space="preserve">( </w:t>
      </w:r>
      <w:r w:rsidRPr="00923B1A">
        <w:rPr>
          <w:rFonts w:hint="cs"/>
          <w:color w:val="0000FF"/>
          <w:sz w:val="28"/>
          <w:szCs w:val="28"/>
          <w:rtl/>
        </w:rPr>
        <w:t xml:space="preserve">نقض فرنسي 6 يوليه سنة 1919 داللوز 1923 </w:t>
      </w:r>
      <w:r w:rsidRPr="00923B1A">
        <w:rPr>
          <w:color w:val="0000FF"/>
          <w:sz w:val="28"/>
          <w:szCs w:val="28"/>
          <w:rtl/>
        </w:rPr>
        <w:t>–</w:t>
      </w:r>
      <w:r w:rsidRPr="00923B1A">
        <w:rPr>
          <w:rFonts w:hint="cs"/>
          <w:color w:val="0000FF"/>
          <w:sz w:val="28"/>
          <w:szCs w:val="28"/>
          <w:rtl/>
        </w:rPr>
        <w:t xml:space="preserve"> 1- 112 - - بلانيول وريبير وسافاتييه 151 ص 966</w:t>
      </w:r>
      <w:r>
        <w:rPr>
          <w:rFonts w:hint="cs"/>
          <w:color w:val="0000FF"/>
          <w:sz w:val="28"/>
          <w:szCs w:val="28"/>
          <w:rtl/>
        </w:rPr>
        <w:t xml:space="preserve"> ) .</w:t>
      </w:r>
    </w:p>
  </w:footnote>
  <w:footnote w:id="5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1141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"إذا التزم المدين بتقديم كفيل</w:t>
      </w:r>
      <w:r>
        <w:rPr>
          <w:rFonts w:hint="cs"/>
          <w:color w:val="0000FF"/>
          <w:sz w:val="28"/>
          <w:szCs w:val="28"/>
          <w:rtl/>
        </w:rPr>
        <w:t xml:space="preserve"> ،</w:t>
      </w:r>
      <w:r w:rsidRPr="00923B1A">
        <w:rPr>
          <w:rFonts w:hint="cs"/>
          <w:color w:val="0000FF"/>
          <w:sz w:val="28"/>
          <w:szCs w:val="28"/>
          <w:rtl/>
        </w:rPr>
        <w:t xml:space="preserve"> وجب أن يقدم شخصا مقيما في مصر ولديه من الأموال ما يكفي للوفاء بالالتزام"</w:t>
      </w:r>
      <w:r>
        <w:rPr>
          <w:rFonts w:hint="cs"/>
          <w:color w:val="0000FF"/>
          <w:sz w:val="28"/>
          <w:szCs w:val="28"/>
          <w:rtl/>
        </w:rPr>
        <w:t xml:space="preserve"> ،</w:t>
      </w:r>
      <w:r w:rsidRPr="00923B1A">
        <w:rPr>
          <w:rFonts w:hint="cs"/>
          <w:color w:val="0000FF"/>
          <w:sz w:val="28"/>
          <w:szCs w:val="28"/>
          <w:rtl/>
        </w:rPr>
        <w:t xml:space="preserve"> وفي المادة 1141 مكررة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"ويقدر يسار الكفيل بما يملك من مال</w:t>
      </w:r>
      <w:r>
        <w:rPr>
          <w:rFonts w:hint="cs"/>
          <w:color w:val="0000FF"/>
          <w:sz w:val="28"/>
          <w:szCs w:val="28"/>
          <w:rtl/>
        </w:rPr>
        <w:t xml:space="preserve"> ،</w:t>
      </w:r>
      <w:r w:rsidRPr="00923B1A">
        <w:rPr>
          <w:rFonts w:hint="cs"/>
          <w:color w:val="0000FF"/>
          <w:sz w:val="28"/>
          <w:szCs w:val="28"/>
          <w:rtl/>
        </w:rPr>
        <w:t xml:space="preserve"> إلا في المواد التجارية وفي الديون اليسيرة"</w:t>
      </w:r>
      <w:r>
        <w:rPr>
          <w:rFonts w:hint="cs"/>
          <w:color w:val="0000FF"/>
          <w:sz w:val="28"/>
          <w:szCs w:val="28"/>
          <w:rtl/>
        </w:rPr>
        <w:t xml:space="preserve"> ،</w:t>
      </w:r>
      <w:r w:rsidRPr="00923B1A">
        <w:rPr>
          <w:rFonts w:hint="cs"/>
          <w:color w:val="0000FF"/>
          <w:sz w:val="28"/>
          <w:szCs w:val="28"/>
          <w:rtl/>
        </w:rPr>
        <w:t xml:space="preserve"> وفي المادة 1142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"من التزم بتقديم تأمين بصفة عامة</w:t>
      </w:r>
      <w:r>
        <w:rPr>
          <w:rFonts w:hint="cs"/>
          <w:color w:val="0000FF"/>
          <w:sz w:val="28"/>
          <w:szCs w:val="28"/>
          <w:rtl/>
        </w:rPr>
        <w:t xml:space="preserve"> ،</w:t>
      </w:r>
      <w:r w:rsidRPr="00923B1A">
        <w:rPr>
          <w:rFonts w:hint="cs"/>
          <w:color w:val="0000FF"/>
          <w:sz w:val="28"/>
          <w:szCs w:val="28"/>
          <w:rtl/>
        </w:rPr>
        <w:t xml:space="preserve"> جاز له بحسب اختياره أن يقدم كفيلا أو رهن حيازة أو أي تأمين آخر"</w:t>
      </w:r>
      <w:r>
        <w:rPr>
          <w:rFonts w:hint="cs"/>
          <w:color w:val="0000FF"/>
          <w:sz w:val="28"/>
          <w:szCs w:val="28"/>
          <w:rtl/>
        </w:rPr>
        <w:t xml:space="preserve"> .</w:t>
      </w:r>
      <w:r w:rsidRPr="00923B1A">
        <w:rPr>
          <w:rFonts w:hint="cs"/>
          <w:color w:val="0000FF"/>
          <w:sz w:val="28"/>
          <w:szCs w:val="28"/>
          <w:rtl/>
        </w:rPr>
        <w:t xml:space="preserve"> وفي لجنة المراجعة أوجبت أحكام المواد الثلاث في مادة واحدة بالنص الآتي</w:t>
      </w:r>
      <w:r>
        <w:rPr>
          <w:rFonts w:hint="cs"/>
          <w:color w:val="0000FF"/>
          <w:sz w:val="28"/>
          <w:szCs w:val="28"/>
          <w:rtl/>
        </w:rPr>
        <w:t xml:space="preserve"> :</w:t>
      </w:r>
      <w:r w:rsidRPr="00923B1A">
        <w:rPr>
          <w:rFonts w:hint="cs"/>
          <w:color w:val="0000FF"/>
          <w:sz w:val="28"/>
          <w:szCs w:val="28"/>
          <w:rtl/>
        </w:rPr>
        <w:t xml:space="preserve"> "إذا التزم المدين بتقديم كفيل</w:t>
      </w:r>
      <w:r>
        <w:rPr>
          <w:rFonts w:hint="cs"/>
          <w:color w:val="0000FF"/>
          <w:sz w:val="28"/>
          <w:szCs w:val="28"/>
          <w:rtl/>
        </w:rPr>
        <w:t xml:space="preserve"> ،</w:t>
      </w:r>
      <w:r w:rsidRPr="00923B1A">
        <w:rPr>
          <w:rFonts w:hint="cs"/>
          <w:color w:val="0000FF"/>
          <w:sz w:val="28"/>
          <w:szCs w:val="28"/>
          <w:rtl/>
        </w:rPr>
        <w:t xml:space="preserve"> وجب أن يقدم شخصا موسرا مقيما في مصر</w:t>
      </w:r>
      <w:r>
        <w:rPr>
          <w:rFonts w:hint="cs"/>
          <w:color w:val="0000FF"/>
          <w:sz w:val="28"/>
          <w:szCs w:val="28"/>
          <w:rtl/>
        </w:rPr>
        <w:t xml:space="preserve"> ،</w:t>
      </w:r>
      <w:r w:rsidRPr="00923B1A">
        <w:rPr>
          <w:rFonts w:hint="cs"/>
          <w:color w:val="0000FF"/>
          <w:sz w:val="28"/>
          <w:szCs w:val="28"/>
          <w:rtl/>
        </w:rPr>
        <w:t xml:space="preserve"> وله أن يقدم عوضا عن الكفيل تأمينا عينيا كافيا"</w:t>
      </w:r>
      <w:r>
        <w:rPr>
          <w:rFonts w:hint="cs"/>
          <w:color w:val="0000FF"/>
          <w:sz w:val="28"/>
          <w:szCs w:val="28"/>
          <w:rtl/>
        </w:rPr>
        <w:t xml:space="preserve"> ،</w:t>
      </w:r>
      <w:r w:rsidRPr="00923B1A">
        <w:rPr>
          <w:rFonts w:hint="cs"/>
          <w:color w:val="0000FF"/>
          <w:sz w:val="28"/>
          <w:szCs w:val="28"/>
          <w:rtl/>
        </w:rPr>
        <w:t xml:space="preserve"> وأصبح رقم النص 843 في المشروع النهائي</w:t>
      </w:r>
      <w:r>
        <w:rPr>
          <w:rFonts w:hint="cs"/>
          <w:color w:val="0000FF"/>
          <w:sz w:val="28"/>
          <w:szCs w:val="28"/>
          <w:rtl/>
        </w:rPr>
        <w:t xml:space="preserve"> .</w:t>
      </w:r>
      <w:r w:rsidRPr="00923B1A">
        <w:rPr>
          <w:rFonts w:hint="cs"/>
          <w:color w:val="0000FF"/>
          <w:sz w:val="28"/>
          <w:szCs w:val="28"/>
          <w:rtl/>
        </w:rPr>
        <w:t xml:space="preserve"> وفي مجلس الشيوخ</w:t>
      </w:r>
      <w:r>
        <w:rPr>
          <w:rFonts w:hint="cs"/>
          <w:color w:val="0000FF"/>
          <w:sz w:val="28"/>
          <w:szCs w:val="28"/>
          <w:rtl/>
        </w:rPr>
        <w:t xml:space="preserve"> ،</w:t>
      </w:r>
      <w:r w:rsidRPr="00923B1A">
        <w:rPr>
          <w:rFonts w:hint="cs"/>
          <w:color w:val="0000FF"/>
          <w:sz w:val="28"/>
          <w:szCs w:val="28"/>
          <w:rtl/>
        </w:rPr>
        <w:t xml:space="preserve"> تحت رقم 774 مدني</w:t>
      </w:r>
      <w:r>
        <w:rPr>
          <w:rFonts w:hint="cs"/>
          <w:color w:val="0000FF"/>
          <w:sz w:val="28"/>
          <w:szCs w:val="28"/>
          <w:rtl/>
        </w:rPr>
        <w:t xml:space="preserve"> .</w:t>
      </w:r>
      <w:r w:rsidRPr="00923B1A">
        <w:rPr>
          <w:rFonts w:hint="cs"/>
          <w:color w:val="0000FF"/>
          <w:sz w:val="28"/>
          <w:szCs w:val="28"/>
          <w:rtl/>
        </w:rPr>
        <w:t xml:space="preserve"> ثم عادت اللجنة وأخذت باقتراح بعض مستشاري محكمة النقض من اشتراط أن يكون الكفيل مقيما في مصر كما ورد في مشروع الحكومة</w:t>
      </w:r>
      <w:r>
        <w:rPr>
          <w:rFonts w:hint="cs"/>
          <w:color w:val="0000FF"/>
          <w:sz w:val="28"/>
          <w:szCs w:val="28"/>
          <w:rtl/>
        </w:rPr>
        <w:t xml:space="preserve"> ،</w:t>
      </w:r>
      <w:r w:rsidRPr="00923B1A">
        <w:rPr>
          <w:rFonts w:hint="cs"/>
          <w:color w:val="0000FF"/>
          <w:sz w:val="28"/>
          <w:szCs w:val="28"/>
          <w:rtl/>
        </w:rPr>
        <w:t xml:space="preserve"> لأن ذلك أكثر رعاية لمصلحة الدائن</w:t>
      </w:r>
      <w:r>
        <w:rPr>
          <w:rFonts w:hint="cs"/>
          <w:color w:val="0000FF"/>
          <w:sz w:val="28"/>
          <w:szCs w:val="28"/>
          <w:rtl/>
        </w:rPr>
        <w:t xml:space="preserve"> .</w:t>
      </w:r>
      <w:r w:rsidRPr="00923B1A">
        <w:rPr>
          <w:rFonts w:hint="cs"/>
          <w:color w:val="0000FF"/>
          <w:sz w:val="28"/>
          <w:szCs w:val="28"/>
          <w:rtl/>
        </w:rPr>
        <w:t xml:space="preserve"> ووفق مجلس الشيوخ على النص كما عدلته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429 </w:t>
      </w:r>
      <w:r w:rsidRPr="00923B1A">
        <w:rPr>
          <w:color w:val="0000FF"/>
          <w:sz w:val="28"/>
          <w:szCs w:val="28"/>
          <w:rtl/>
        </w:rPr>
        <w:t>–</w:t>
      </w:r>
      <w:r w:rsidRPr="00923B1A">
        <w:rPr>
          <w:rFonts w:hint="cs"/>
          <w:color w:val="0000FF"/>
          <w:sz w:val="28"/>
          <w:szCs w:val="28"/>
          <w:rtl/>
        </w:rPr>
        <w:t xml:space="preserve"> ص 440</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م 5001/611</w:t>
      </w:r>
      <w:r>
        <w:rPr>
          <w:rFonts w:hint="cs"/>
          <w:color w:val="0000FF"/>
          <w:sz w:val="28"/>
          <w:szCs w:val="28"/>
          <w:rtl/>
        </w:rPr>
        <w:t xml:space="preserve"> :</w:t>
      </w:r>
      <w:r w:rsidRPr="00923B1A">
        <w:rPr>
          <w:rFonts w:hint="cs"/>
          <w:color w:val="0000FF"/>
          <w:sz w:val="28"/>
          <w:szCs w:val="28"/>
          <w:rtl/>
        </w:rPr>
        <w:t xml:space="preserve"> يجب إيفاء التعهد بإعطاء الكفيل على حسب الأوجه المبينة في قانون المرافعات</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740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1068</w:t>
      </w:r>
      <w:r>
        <w:rPr>
          <w:rFonts w:hint="cs"/>
          <w:color w:val="0000FF"/>
          <w:sz w:val="28"/>
          <w:szCs w:val="28"/>
          <w:rtl/>
        </w:rPr>
        <w:t xml:space="preserve"> :</w:t>
      </w:r>
      <w:r w:rsidRPr="00923B1A">
        <w:rPr>
          <w:rFonts w:hint="cs"/>
          <w:color w:val="0000FF"/>
          <w:sz w:val="28"/>
          <w:szCs w:val="28"/>
          <w:rtl/>
        </w:rPr>
        <w:t xml:space="preserve"> إذا أصبح الكفيل الذي قبله الدائن بمقتضى العقد غير مليء</w:t>
      </w:r>
      <w:r>
        <w:rPr>
          <w:rFonts w:hint="cs"/>
          <w:color w:val="0000FF"/>
          <w:sz w:val="28"/>
          <w:szCs w:val="28"/>
          <w:rtl/>
        </w:rPr>
        <w:t xml:space="preserve"> ،</w:t>
      </w:r>
      <w:r w:rsidRPr="00923B1A">
        <w:rPr>
          <w:rFonts w:hint="cs"/>
          <w:color w:val="0000FF"/>
          <w:sz w:val="28"/>
          <w:szCs w:val="28"/>
          <w:rtl/>
        </w:rPr>
        <w:t xml:space="preserve"> وجب أن يقدم له كفيل آخر أو أن يعطي تأمينا آخر معادلا للكفالة </w:t>
      </w:r>
      <w:r w:rsidRPr="00923B1A">
        <w:rPr>
          <w:color w:val="0000FF"/>
          <w:sz w:val="28"/>
          <w:szCs w:val="28"/>
          <w:rtl/>
        </w:rPr>
        <w:t>–</w:t>
      </w:r>
      <w:r w:rsidRPr="00923B1A">
        <w:rPr>
          <w:rFonts w:hint="cs"/>
          <w:color w:val="0000FF"/>
          <w:sz w:val="28"/>
          <w:szCs w:val="28"/>
          <w:rtl/>
        </w:rPr>
        <w:t xml:space="preserve"> وإلا حق للدائن أن يطالب بإيفاء دينه حالا أو أن يفسخ العقد الذي عقده على هذا الشرط</w:t>
      </w:r>
      <w:r>
        <w:rPr>
          <w:rFonts w:hint="cs"/>
          <w:color w:val="0000FF"/>
          <w:sz w:val="28"/>
          <w:szCs w:val="28"/>
          <w:rtl/>
        </w:rPr>
        <w:t xml:space="preserve"> .</w:t>
      </w:r>
      <w:r w:rsidRPr="00923B1A">
        <w:rPr>
          <w:rFonts w:hint="cs"/>
          <w:color w:val="0000FF"/>
          <w:sz w:val="28"/>
          <w:szCs w:val="28"/>
          <w:rtl/>
        </w:rPr>
        <w:t xml:space="preserve"> أما إذا أصبحت ملاءمة الكفيل غير كافية</w:t>
      </w:r>
      <w:r>
        <w:rPr>
          <w:rFonts w:hint="cs"/>
          <w:color w:val="0000FF"/>
          <w:sz w:val="28"/>
          <w:szCs w:val="28"/>
          <w:rtl/>
        </w:rPr>
        <w:t xml:space="preserve"> ،</w:t>
      </w:r>
      <w:r w:rsidRPr="00923B1A">
        <w:rPr>
          <w:rFonts w:hint="cs"/>
          <w:color w:val="0000FF"/>
          <w:sz w:val="28"/>
          <w:szCs w:val="28"/>
          <w:rtl/>
        </w:rPr>
        <w:t xml:space="preserve"> فيجب تقديم كفالة أو تأمين إضافيين </w:t>
      </w:r>
      <w:r w:rsidRPr="00923B1A">
        <w:rPr>
          <w:color w:val="0000FF"/>
          <w:sz w:val="28"/>
          <w:szCs w:val="28"/>
          <w:rtl/>
        </w:rPr>
        <w:t>–</w:t>
      </w:r>
      <w:r w:rsidRPr="00923B1A">
        <w:rPr>
          <w:rFonts w:hint="cs"/>
          <w:color w:val="0000FF"/>
          <w:sz w:val="28"/>
          <w:szCs w:val="28"/>
          <w:rtl/>
        </w:rPr>
        <w:t xml:space="preserve"> ولا تسري هذه الأحكام</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أولا</w:t>
      </w:r>
      <w:r>
        <w:rPr>
          <w:rFonts w:hint="cs"/>
          <w:color w:val="0000FF"/>
          <w:sz w:val="28"/>
          <w:szCs w:val="28"/>
          <w:rtl/>
        </w:rPr>
        <w:t xml:space="preserve"> )</w:t>
      </w:r>
      <w:r w:rsidRPr="00923B1A">
        <w:rPr>
          <w:rFonts w:hint="cs"/>
          <w:color w:val="0000FF"/>
          <w:sz w:val="28"/>
          <w:szCs w:val="28"/>
          <w:rtl/>
        </w:rPr>
        <w:t xml:space="preserve"> إذا كانت الكفالة قد أعطيت على غير علم من المديون أو بالرغم عنه</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ثانيا</w:t>
      </w:r>
      <w:r>
        <w:rPr>
          <w:rFonts w:hint="cs"/>
          <w:color w:val="0000FF"/>
          <w:sz w:val="28"/>
          <w:szCs w:val="28"/>
          <w:rtl/>
        </w:rPr>
        <w:t xml:space="preserve"> )</w:t>
      </w:r>
      <w:r w:rsidRPr="00923B1A">
        <w:rPr>
          <w:rFonts w:hint="cs"/>
          <w:color w:val="0000FF"/>
          <w:sz w:val="28"/>
          <w:szCs w:val="28"/>
          <w:rtl/>
        </w:rPr>
        <w:t xml:space="preserve"> إذا كانت الكفالة قد أعطيت بمقتضى اتفاق عين فيه الدائن شخص الكفيل</w:t>
      </w:r>
      <w:r>
        <w:rPr>
          <w:rFonts w:hint="cs"/>
          <w:color w:val="0000FF"/>
          <w:sz w:val="28"/>
          <w:szCs w:val="28"/>
          <w:rtl/>
        </w:rPr>
        <w:t xml:space="preserve"> .</w:t>
      </w:r>
    </w:p>
  </w:footnote>
  <w:footnote w:id="5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أيضاً المواد 588 و 605 و 608 و 895 و 1010 مدني</w:t>
      </w:r>
      <w:r>
        <w:rPr>
          <w:rFonts w:hint="cs"/>
          <w:color w:val="0000FF"/>
          <w:sz w:val="28"/>
          <w:szCs w:val="28"/>
          <w:rtl/>
        </w:rPr>
        <w:t xml:space="preserve"> ،</w:t>
      </w:r>
      <w:r w:rsidRPr="00923B1A">
        <w:rPr>
          <w:rFonts w:hint="cs"/>
          <w:color w:val="0000FF"/>
          <w:sz w:val="28"/>
          <w:szCs w:val="28"/>
          <w:rtl/>
        </w:rPr>
        <w:t xml:space="preserve"> والمادتين 595 و 669 مرافعات</w:t>
      </w:r>
      <w:r>
        <w:rPr>
          <w:rFonts w:hint="cs"/>
          <w:color w:val="0000FF"/>
          <w:sz w:val="28"/>
          <w:szCs w:val="28"/>
          <w:rtl/>
        </w:rPr>
        <w:t xml:space="preserve"> .</w:t>
      </w:r>
    </w:p>
  </w:footnote>
  <w:footnote w:id="5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ويلاحظ أن القانون رقم 100 لسنة 1962 قد ألغي المعارضة كطريق طعن في الأحكام</w:t>
      </w:r>
      <w:r>
        <w:rPr>
          <w:rFonts w:hint="cs"/>
          <w:color w:val="0000FF"/>
          <w:sz w:val="28"/>
          <w:szCs w:val="28"/>
          <w:rtl/>
        </w:rPr>
        <w:t xml:space="preserve"> .</w:t>
      </w:r>
      <w:r w:rsidRPr="00923B1A">
        <w:rPr>
          <w:rFonts w:hint="cs"/>
          <w:color w:val="0000FF"/>
          <w:sz w:val="28"/>
          <w:szCs w:val="28"/>
          <w:rtl/>
        </w:rPr>
        <w:t xml:space="preserve"> ثم صدر أخيراً تقنين مرافعات جديد في الوقت الذي انتهينا فيه من كتابة هذه السطور</w:t>
      </w:r>
      <w:r>
        <w:rPr>
          <w:rFonts w:hint="cs"/>
          <w:color w:val="0000FF"/>
          <w:sz w:val="28"/>
          <w:szCs w:val="28"/>
          <w:rtl/>
        </w:rPr>
        <w:t xml:space="preserve"> ،</w:t>
      </w:r>
      <w:r w:rsidRPr="00923B1A">
        <w:rPr>
          <w:rFonts w:hint="cs"/>
          <w:color w:val="0000FF"/>
          <w:sz w:val="28"/>
          <w:szCs w:val="28"/>
          <w:rtl/>
        </w:rPr>
        <w:t xml:space="preserve"> فيبحث في هذا التقنين ما يقابل الأحكام التي أوردناها</w:t>
      </w:r>
      <w:r>
        <w:rPr>
          <w:rFonts w:hint="cs"/>
          <w:color w:val="0000FF"/>
          <w:sz w:val="28"/>
          <w:szCs w:val="28"/>
          <w:rtl/>
        </w:rPr>
        <w:t xml:space="preserve"> .</w:t>
      </w:r>
    </w:p>
  </w:footnote>
  <w:footnote w:id="5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م 829/ 2 مدني و م 900/2 مدني</w:t>
      </w:r>
      <w:r>
        <w:rPr>
          <w:rFonts w:hint="cs"/>
          <w:color w:val="0000FF"/>
          <w:sz w:val="28"/>
          <w:szCs w:val="28"/>
          <w:rtl/>
        </w:rPr>
        <w:t xml:space="preserve"> .</w:t>
      </w:r>
    </w:p>
  </w:footnote>
  <w:footnote w:id="6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ولا يصبح الالتزام بتقديم كيل التزاما قضائيا لمجرد أن حكم بتقديم كفيل كان المدين ملتزما بتقديمه التزاما اتفاقيا أو التزاما قانونيا </w:t>
      </w:r>
      <w:r>
        <w:rPr>
          <w:rFonts w:hint="cs"/>
          <w:color w:val="0000FF"/>
          <w:sz w:val="28"/>
          <w:szCs w:val="28"/>
          <w:rtl/>
        </w:rPr>
        <w:t xml:space="preserve">( </w:t>
      </w:r>
      <w:r w:rsidRPr="00923B1A">
        <w:rPr>
          <w:rFonts w:hint="cs"/>
          <w:color w:val="0000FF"/>
          <w:sz w:val="28"/>
          <w:szCs w:val="28"/>
          <w:rtl/>
        </w:rPr>
        <w:t xml:space="preserve">أوبري ورو 6 فقرة 425 ص 275 </w:t>
      </w:r>
      <w:r w:rsidRPr="00923B1A">
        <w:rPr>
          <w:color w:val="0000FF"/>
          <w:sz w:val="28"/>
          <w:szCs w:val="28"/>
          <w:rtl/>
        </w:rPr>
        <w:t>–</w:t>
      </w:r>
      <w:r w:rsidRPr="00923B1A">
        <w:rPr>
          <w:rFonts w:hint="cs"/>
          <w:color w:val="0000FF"/>
          <w:sz w:val="28"/>
          <w:szCs w:val="28"/>
          <w:rtl/>
        </w:rPr>
        <w:t xml:space="preserve"> ص 376 </w:t>
      </w:r>
      <w:r w:rsidRPr="00923B1A">
        <w:rPr>
          <w:color w:val="0000FF"/>
          <w:sz w:val="28"/>
          <w:szCs w:val="28"/>
          <w:rtl/>
        </w:rPr>
        <w:t>–</w:t>
      </w:r>
      <w:r w:rsidRPr="00923B1A">
        <w:rPr>
          <w:rFonts w:hint="cs"/>
          <w:color w:val="0000FF"/>
          <w:sz w:val="28"/>
          <w:szCs w:val="28"/>
          <w:rtl/>
        </w:rPr>
        <w:t xml:space="preserve"> بلانيول وريبير وسافاتييه فقرة 1521 ص 973 هامش 8</w:t>
      </w:r>
      <w:r>
        <w:rPr>
          <w:rFonts w:hint="cs"/>
          <w:color w:val="0000FF"/>
          <w:sz w:val="28"/>
          <w:szCs w:val="28"/>
          <w:rtl/>
        </w:rPr>
        <w:t xml:space="preserve"> ) .</w:t>
      </w:r>
    </w:p>
  </w:footnote>
  <w:footnote w:id="6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وفي الكفيل الاتفاقي</w:t>
      </w:r>
      <w:r>
        <w:rPr>
          <w:rFonts w:hint="cs"/>
          <w:color w:val="0000FF"/>
          <w:sz w:val="28"/>
          <w:szCs w:val="28"/>
          <w:rtl/>
        </w:rPr>
        <w:t xml:space="preserve"> ،</w:t>
      </w:r>
      <w:r w:rsidRPr="00923B1A">
        <w:rPr>
          <w:rFonts w:hint="cs"/>
          <w:color w:val="0000FF"/>
          <w:sz w:val="28"/>
          <w:szCs w:val="28"/>
          <w:rtl/>
        </w:rPr>
        <w:t xml:space="preserve"> أي الذي يكون مصدر الالتزام بتقديمه هو الاتفاق</w:t>
      </w:r>
      <w:r>
        <w:rPr>
          <w:rFonts w:hint="cs"/>
          <w:color w:val="0000FF"/>
          <w:sz w:val="28"/>
          <w:szCs w:val="28"/>
          <w:rtl/>
        </w:rPr>
        <w:t xml:space="preserve"> ،</w:t>
      </w:r>
      <w:r w:rsidRPr="00923B1A">
        <w:rPr>
          <w:rFonts w:hint="cs"/>
          <w:color w:val="0000FF"/>
          <w:sz w:val="28"/>
          <w:szCs w:val="28"/>
          <w:rtl/>
        </w:rPr>
        <w:t xml:space="preserve"> يجوز للطرفين أن يزيدا في هذين الشرطين أو أن ينتقصا منهما</w:t>
      </w:r>
      <w:r>
        <w:rPr>
          <w:rFonts w:hint="cs"/>
          <w:color w:val="0000FF"/>
          <w:sz w:val="28"/>
          <w:szCs w:val="28"/>
          <w:rtl/>
        </w:rPr>
        <w:t xml:space="preserve"> ،</w:t>
      </w:r>
      <w:r w:rsidRPr="00923B1A">
        <w:rPr>
          <w:rFonts w:hint="cs"/>
          <w:color w:val="0000FF"/>
          <w:sz w:val="28"/>
          <w:szCs w:val="28"/>
          <w:rtl/>
        </w:rPr>
        <w:t xml:space="preserve"> بحسب ما يتم بينهما من اتفاق</w:t>
      </w:r>
      <w:r>
        <w:rPr>
          <w:rFonts w:hint="cs"/>
          <w:color w:val="0000FF"/>
          <w:sz w:val="28"/>
          <w:szCs w:val="28"/>
          <w:rtl/>
        </w:rPr>
        <w:t xml:space="preserve"> .</w:t>
      </w:r>
    </w:p>
  </w:footnote>
  <w:footnote w:id="6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980 </w:t>
      </w:r>
      <w:r w:rsidRPr="00923B1A">
        <w:rPr>
          <w:color w:val="0000FF"/>
          <w:sz w:val="28"/>
          <w:szCs w:val="28"/>
          <w:rtl/>
        </w:rPr>
        <w:t>–</w:t>
      </w:r>
      <w:r w:rsidRPr="00923B1A">
        <w:rPr>
          <w:rFonts w:hint="cs"/>
          <w:color w:val="0000FF"/>
          <w:sz w:val="28"/>
          <w:szCs w:val="28"/>
          <w:rtl/>
        </w:rPr>
        <w:t xml:space="preserve"> بلانيول وريبير وسافاتييه فقرة 1524 </w:t>
      </w:r>
      <w:r>
        <w:rPr>
          <w:rFonts w:hint="cs"/>
          <w:color w:val="0000FF"/>
          <w:sz w:val="28"/>
          <w:szCs w:val="28"/>
          <w:rtl/>
        </w:rPr>
        <w:t xml:space="preserve"> .</w:t>
      </w:r>
    </w:p>
  </w:footnote>
  <w:footnote w:id="6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ويقع هنا عبء الإثبات على الدائن </w:t>
      </w:r>
      <w:r>
        <w:rPr>
          <w:rFonts w:hint="cs"/>
          <w:color w:val="0000FF"/>
          <w:sz w:val="28"/>
          <w:szCs w:val="28"/>
          <w:rtl/>
        </w:rPr>
        <w:t xml:space="preserve">( </w:t>
      </w:r>
      <w:r w:rsidRPr="00923B1A">
        <w:rPr>
          <w:rFonts w:hint="cs"/>
          <w:color w:val="0000FF"/>
          <w:sz w:val="28"/>
          <w:szCs w:val="28"/>
          <w:rtl/>
        </w:rPr>
        <w:t xml:space="preserve">بودري وفال فقرة 980 </w:t>
      </w:r>
      <w:r w:rsidRPr="00923B1A">
        <w:rPr>
          <w:color w:val="0000FF"/>
          <w:sz w:val="28"/>
          <w:szCs w:val="28"/>
          <w:rtl/>
        </w:rPr>
        <w:t>–</w:t>
      </w:r>
      <w:r w:rsidRPr="00923B1A">
        <w:rPr>
          <w:rFonts w:hint="cs"/>
          <w:color w:val="0000FF"/>
          <w:sz w:val="28"/>
          <w:szCs w:val="28"/>
          <w:rtl/>
        </w:rPr>
        <w:t xml:space="preserve"> أنسيكلوبيدي داللوز 1 لفظ </w:t>
      </w:r>
      <w:r w:rsidRPr="00923B1A">
        <w:rPr>
          <w:color w:val="0000FF"/>
          <w:sz w:val="28"/>
          <w:szCs w:val="28"/>
        </w:rPr>
        <w:t>cautionnemeat</w:t>
      </w:r>
      <w:r w:rsidRPr="00923B1A">
        <w:rPr>
          <w:rFonts w:hint="cs"/>
          <w:color w:val="0000FF"/>
          <w:sz w:val="28"/>
          <w:szCs w:val="28"/>
          <w:rtl/>
        </w:rPr>
        <w:t xml:space="preserve"> فقرة 84</w:t>
      </w:r>
      <w:r>
        <w:rPr>
          <w:rFonts w:hint="cs"/>
          <w:color w:val="0000FF"/>
          <w:sz w:val="28"/>
          <w:szCs w:val="28"/>
          <w:rtl/>
        </w:rPr>
        <w:t xml:space="preserve"> ) .</w:t>
      </w:r>
      <w:r w:rsidRPr="00923B1A">
        <w:rPr>
          <w:rFonts w:hint="cs"/>
          <w:color w:val="0000FF"/>
          <w:sz w:val="28"/>
          <w:szCs w:val="28"/>
          <w:rtl/>
        </w:rPr>
        <w:t xml:space="preserve"> والنزاع في يسار الكفيل وأن عنده مالا كافيا بعد خصم ما يثقل هذا المال من حقوق عينية نزاع يدور بين المدين والدائن</w:t>
      </w:r>
      <w:r>
        <w:rPr>
          <w:rFonts w:hint="cs"/>
          <w:color w:val="0000FF"/>
          <w:sz w:val="28"/>
          <w:szCs w:val="28"/>
          <w:rtl/>
        </w:rPr>
        <w:t xml:space="preserve"> ،</w:t>
      </w:r>
      <w:r w:rsidRPr="00923B1A">
        <w:rPr>
          <w:rFonts w:hint="cs"/>
          <w:color w:val="0000FF"/>
          <w:sz w:val="28"/>
          <w:szCs w:val="28"/>
          <w:rtl/>
        </w:rPr>
        <w:t xml:space="preserve"> ولا شأن للكفيل نفسه به</w:t>
      </w:r>
      <w:r>
        <w:rPr>
          <w:rFonts w:hint="cs"/>
          <w:color w:val="0000FF"/>
          <w:sz w:val="28"/>
          <w:szCs w:val="28"/>
          <w:rtl/>
        </w:rPr>
        <w:t xml:space="preserve"> ،</w:t>
      </w:r>
      <w:r w:rsidRPr="00923B1A">
        <w:rPr>
          <w:rFonts w:hint="cs"/>
          <w:color w:val="0000FF"/>
          <w:sz w:val="28"/>
          <w:szCs w:val="28"/>
          <w:rtl/>
        </w:rPr>
        <w:t xml:space="preserve"> بل ليس للكفيل أن يتدخل في هذا النزع </w:t>
      </w:r>
      <w:r>
        <w:rPr>
          <w:rFonts w:hint="cs"/>
          <w:color w:val="0000FF"/>
          <w:sz w:val="28"/>
          <w:szCs w:val="28"/>
          <w:rtl/>
        </w:rPr>
        <w:t xml:space="preserve">( </w:t>
      </w:r>
      <w:r w:rsidRPr="00923B1A">
        <w:rPr>
          <w:rFonts w:hint="cs"/>
          <w:color w:val="0000FF"/>
          <w:sz w:val="28"/>
          <w:szCs w:val="28"/>
          <w:rtl/>
        </w:rPr>
        <w:t>بودري وفال فقرة 981</w:t>
      </w:r>
      <w:r>
        <w:rPr>
          <w:rFonts w:hint="cs"/>
          <w:color w:val="0000FF"/>
          <w:sz w:val="28"/>
          <w:szCs w:val="28"/>
          <w:rtl/>
        </w:rPr>
        <w:t xml:space="preserve"> ) .</w:t>
      </w:r>
    </w:p>
  </w:footnote>
  <w:footnote w:id="6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وقاضي الموضوع هو الذي يبت في ذلك </w:t>
      </w:r>
      <w:r>
        <w:rPr>
          <w:rFonts w:hint="cs"/>
          <w:color w:val="0000FF"/>
          <w:sz w:val="28"/>
          <w:szCs w:val="28"/>
          <w:rtl/>
        </w:rPr>
        <w:t xml:space="preserve">( </w:t>
      </w:r>
      <w:r w:rsidRPr="00923B1A">
        <w:rPr>
          <w:rFonts w:hint="cs"/>
          <w:color w:val="0000FF"/>
          <w:sz w:val="28"/>
          <w:szCs w:val="28"/>
          <w:rtl/>
        </w:rPr>
        <w:t xml:space="preserve">بودري وفال فقرة 978 </w:t>
      </w:r>
      <w:r w:rsidRPr="00923B1A">
        <w:rPr>
          <w:color w:val="0000FF"/>
          <w:sz w:val="28"/>
          <w:szCs w:val="28"/>
          <w:rtl/>
        </w:rPr>
        <w:t>–</w:t>
      </w:r>
      <w:r w:rsidRPr="00923B1A">
        <w:rPr>
          <w:rFonts w:hint="cs"/>
          <w:color w:val="0000FF"/>
          <w:sz w:val="28"/>
          <w:szCs w:val="28"/>
          <w:rtl/>
        </w:rPr>
        <w:t xml:space="preserve"> بلانيول وريبير وسافاتييه فقرة 1523 ص 975</w:t>
      </w:r>
      <w:r>
        <w:rPr>
          <w:rFonts w:hint="cs"/>
          <w:color w:val="0000FF"/>
          <w:sz w:val="28"/>
          <w:szCs w:val="28"/>
          <w:rtl/>
        </w:rPr>
        <w:t xml:space="preserve"> ) .</w:t>
      </w:r>
      <w:r w:rsidRPr="00923B1A">
        <w:rPr>
          <w:rFonts w:hint="cs"/>
          <w:color w:val="0000FF"/>
          <w:sz w:val="28"/>
          <w:szCs w:val="28"/>
          <w:rtl/>
        </w:rPr>
        <w:t xml:space="preserve"> ويلحق بالمال المتنازع فيه المال المهدد أن تفسخ ملكية الكفيل له </w:t>
      </w:r>
      <w:r>
        <w:rPr>
          <w:rFonts w:hint="cs"/>
          <w:color w:val="0000FF"/>
          <w:sz w:val="28"/>
          <w:szCs w:val="28"/>
          <w:rtl/>
        </w:rPr>
        <w:t xml:space="preserve">( </w:t>
      </w:r>
      <w:r w:rsidRPr="00923B1A">
        <w:rPr>
          <w:rFonts w:hint="cs"/>
          <w:color w:val="0000FF"/>
          <w:sz w:val="28"/>
          <w:szCs w:val="28"/>
          <w:rtl/>
        </w:rPr>
        <w:t>بودري وفال فقرة 978 ص 525</w:t>
      </w:r>
      <w:r>
        <w:rPr>
          <w:rFonts w:hint="cs"/>
          <w:color w:val="0000FF"/>
          <w:sz w:val="28"/>
          <w:szCs w:val="28"/>
          <w:rtl/>
        </w:rPr>
        <w:t xml:space="preserve"> ) .</w:t>
      </w:r>
    </w:p>
  </w:footnote>
  <w:footnote w:id="6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425 ص 222 </w:t>
      </w:r>
      <w:r w:rsidRPr="00923B1A">
        <w:rPr>
          <w:color w:val="0000FF"/>
          <w:sz w:val="28"/>
          <w:szCs w:val="28"/>
          <w:rtl/>
        </w:rPr>
        <w:t>–</w:t>
      </w:r>
      <w:r w:rsidRPr="00923B1A">
        <w:rPr>
          <w:rFonts w:hint="cs"/>
          <w:color w:val="0000FF"/>
          <w:sz w:val="28"/>
          <w:szCs w:val="28"/>
          <w:rtl/>
        </w:rPr>
        <w:t xml:space="preserve"> بودري وفال فقرة 979 </w:t>
      </w:r>
      <w:r w:rsidRPr="00923B1A">
        <w:rPr>
          <w:color w:val="0000FF"/>
          <w:sz w:val="28"/>
          <w:szCs w:val="28"/>
          <w:rtl/>
        </w:rPr>
        <w:t>–</w:t>
      </w:r>
      <w:r w:rsidRPr="00923B1A">
        <w:rPr>
          <w:rFonts w:hint="cs"/>
          <w:color w:val="0000FF"/>
          <w:sz w:val="28"/>
          <w:szCs w:val="28"/>
          <w:rtl/>
        </w:rPr>
        <w:t xml:space="preserve"> بلانيول وريبير وسافاتييه فقرة 1523 ص 975 </w:t>
      </w:r>
      <w:r w:rsidRPr="00923B1A">
        <w:rPr>
          <w:color w:val="0000FF"/>
          <w:sz w:val="28"/>
          <w:szCs w:val="28"/>
          <w:rtl/>
        </w:rPr>
        <w:t>–</w:t>
      </w:r>
      <w:r w:rsidRPr="00923B1A">
        <w:rPr>
          <w:rFonts w:hint="cs"/>
          <w:color w:val="0000FF"/>
          <w:sz w:val="28"/>
          <w:szCs w:val="28"/>
          <w:rtl/>
        </w:rPr>
        <w:t xml:space="preserve"> ويكفي أن يكون لدى الكفيل مال كافٍ</w:t>
      </w:r>
      <w:r>
        <w:rPr>
          <w:rFonts w:hint="cs"/>
          <w:color w:val="0000FF"/>
          <w:sz w:val="28"/>
          <w:szCs w:val="28"/>
          <w:rtl/>
        </w:rPr>
        <w:t xml:space="preserve"> ،</w:t>
      </w:r>
      <w:r w:rsidRPr="00923B1A">
        <w:rPr>
          <w:rFonts w:hint="cs"/>
          <w:color w:val="0000FF"/>
          <w:sz w:val="28"/>
          <w:szCs w:val="28"/>
          <w:rtl/>
        </w:rPr>
        <w:t xml:space="preserve"> فلا يلزم أن يترتب للدائن رهنا على هذا المال </w:t>
      </w:r>
      <w:r>
        <w:rPr>
          <w:rFonts w:hint="cs"/>
          <w:color w:val="0000FF"/>
          <w:sz w:val="28"/>
          <w:szCs w:val="28"/>
          <w:rtl/>
        </w:rPr>
        <w:t xml:space="preserve">( </w:t>
      </w:r>
      <w:r w:rsidRPr="00923B1A">
        <w:rPr>
          <w:rFonts w:hint="cs"/>
          <w:color w:val="0000FF"/>
          <w:sz w:val="28"/>
          <w:szCs w:val="28"/>
          <w:rtl/>
        </w:rPr>
        <w:t xml:space="preserve">بودري وفال فقرة 979 </w:t>
      </w:r>
      <w:r w:rsidRPr="00923B1A">
        <w:rPr>
          <w:color w:val="0000FF"/>
          <w:sz w:val="28"/>
          <w:szCs w:val="28"/>
          <w:rtl/>
        </w:rPr>
        <w:t>–</w:t>
      </w:r>
      <w:r w:rsidRPr="00923B1A">
        <w:rPr>
          <w:rFonts w:hint="cs"/>
          <w:color w:val="0000FF"/>
          <w:sz w:val="28"/>
          <w:szCs w:val="28"/>
          <w:rtl/>
        </w:rPr>
        <w:t xml:space="preserve"> بلانيول وريبير وسافاتييه فقرة 1523 ص 975</w:t>
      </w:r>
      <w:r>
        <w:rPr>
          <w:rFonts w:hint="cs"/>
          <w:color w:val="0000FF"/>
          <w:sz w:val="28"/>
          <w:szCs w:val="28"/>
          <w:rtl/>
        </w:rPr>
        <w:t xml:space="preserve"> ) .</w:t>
      </w:r>
    </w:p>
  </w:footnote>
  <w:footnote w:id="6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425 ص 221 </w:t>
      </w:r>
      <w:r w:rsidRPr="00923B1A">
        <w:rPr>
          <w:color w:val="0000FF"/>
          <w:sz w:val="28"/>
          <w:szCs w:val="28"/>
          <w:rtl/>
        </w:rPr>
        <w:t>–</w:t>
      </w:r>
      <w:r w:rsidRPr="00923B1A">
        <w:rPr>
          <w:rFonts w:hint="cs"/>
          <w:color w:val="0000FF"/>
          <w:sz w:val="28"/>
          <w:szCs w:val="28"/>
          <w:rtl/>
        </w:rPr>
        <w:t xml:space="preserve"> بودري وفال فقرة 975 وفقرة 977 </w:t>
      </w:r>
      <w:r w:rsidRPr="00923B1A">
        <w:rPr>
          <w:color w:val="0000FF"/>
          <w:sz w:val="28"/>
          <w:szCs w:val="28"/>
          <w:rtl/>
        </w:rPr>
        <w:t>–</w:t>
      </w:r>
      <w:r w:rsidRPr="00923B1A">
        <w:rPr>
          <w:rFonts w:hint="cs"/>
          <w:color w:val="0000FF"/>
          <w:sz w:val="28"/>
          <w:szCs w:val="28"/>
          <w:rtl/>
        </w:rPr>
        <w:t xml:space="preserve"> ولكن لما كان من الجائز أن يحل محل الكفالة أي تأمين خاص آخر ولو كان منقولا</w:t>
      </w:r>
      <w:r>
        <w:rPr>
          <w:rFonts w:hint="cs"/>
          <w:color w:val="0000FF"/>
          <w:sz w:val="28"/>
          <w:szCs w:val="28"/>
          <w:rtl/>
        </w:rPr>
        <w:t xml:space="preserve"> ،</w:t>
      </w:r>
      <w:r w:rsidRPr="00923B1A">
        <w:rPr>
          <w:rFonts w:hint="cs"/>
          <w:color w:val="0000FF"/>
          <w:sz w:val="28"/>
          <w:szCs w:val="28"/>
          <w:rtl/>
        </w:rPr>
        <w:t xml:space="preserve"> فإنه يصح أن يقدم شخص منقولا كرهن جيازة بدلا من أن يتقدم هو نسه كفيلا </w:t>
      </w:r>
      <w:r>
        <w:rPr>
          <w:rFonts w:hint="cs"/>
          <w:color w:val="0000FF"/>
          <w:sz w:val="28"/>
          <w:szCs w:val="28"/>
          <w:rtl/>
        </w:rPr>
        <w:t xml:space="preserve">( </w:t>
      </w:r>
      <w:r w:rsidRPr="00923B1A">
        <w:rPr>
          <w:rFonts w:hint="cs"/>
          <w:color w:val="0000FF"/>
          <w:sz w:val="28"/>
          <w:szCs w:val="28"/>
          <w:rtl/>
        </w:rPr>
        <w:t xml:space="preserve">بلانيول وريبير وسافاتييه فقرة 1523 ص 974 </w:t>
      </w:r>
      <w:r w:rsidRPr="00923B1A">
        <w:rPr>
          <w:color w:val="0000FF"/>
          <w:sz w:val="28"/>
          <w:szCs w:val="28"/>
          <w:rtl/>
        </w:rPr>
        <w:t>–</w:t>
      </w:r>
      <w:r w:rsidRPr="00923B1A">
        <w:rPr>
          <w:rFonts w:hint="cs"/>
          <w:color w:val="0000FF"/>
          <w:sz w:val="28"/>
          <w:szCs w:val="28"/>
          <w:rtl/>
        </w:rPr>
        <w:t xml:space="preserve"> ص 975</w:t>
      </w:r>
      <w:r>
        <w:rPr>
          <w:rFonts w:hint="cs"/>
          <w:color w:val="0000FF"/>
          <w:sz w:val="28"/>
          <w:szCs w:val="28"/>
          <w:rtl/>
        </w:rPr>
        <w:t xml:space="preserve"> ) .</w:t>
      </w:r>
    </w:p>
  </w:footnote>
  <w:footnote w:id="6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 2018 و 2040 </w:t>
      </w:r>
      <w:r w:rsidRPr="00923B1A">
        <w:rPr>
          <w:color w:val="0000FF"/>
          <w:sz w:val="28"/>
          <w:szCs w:val="28"/>
          <w:rtl/>
        </w:rPr>
        <w:t>–</w:t>
      </w:r>
      <w:r w:rsidRPr="00923B1A">
        <w:rPr>
          <w:rFonts w:hint="cs"/>
          <w:color w:val="0000FF"/>
          <w:sz w:val="28"/>
          <w:szCs w:val="28"/>
          <w:rtl/>
        </w:rPr>
        <w:t xml:space="preserve"> 2041 مدني فرنسي</w:t>
      </w:r>
      <w:r>
        <w:rPr>
          <w:rFonts w:hint="cs"/>
          <w:color w:val="0000FF"/>
          <w:sz w:val="28"/>
          <w:szCs w:val="28"/>
          <w:rtl/>
        </w:rPr>
        <w:t xml:space="preserve"> .</w:t>
      </w:r>
      <w:r w:rsidRPr="00923B1A">
        <w:rPr>
          <w:rFonts w:hint="cs"/>
          <w:color w:val="0000FF"/>
          <w:sz w:val="28"/>
          <w:szCs w:val="28"/>
          <w:rtl/>
        </w:rPr>
        <w:t xml:space="preserve"> وانظر بودري وفال فقرة 972 </w:t>
      </w:r>
      <w:r w:rsidRPr="00923B1A">
        <w:rPr>
          <w:color w:val="0000FF"/>
          <w:sz w:val="28"/>
          <w:szCs w:val="28"/>
          <w:rtl/>
        </w:rPr>
        <w:t>–</w:t>
      </w:r>
      <w:r w:rsidRPr="00923B1A">
        <w:rPr>
          <w:rFonts w:hint="cs"/>
          <w:color w:val="0000FF"/>
          <w:sz w:val="28"/>
          <w:szCs w:val="28"/>
          <w:rtl/>
        </w:rPr>
        <w:t xml:space="preserve"> بلانيول وريبير وسافاتييه فقرة 1522</w:t>
      </w:r>
      <w:r>
        <w:rPr>
          <w:rFonts w:hint="cs"/>
          <w:color w:val="0000FF"/>
          <w:sz w:val="28"/>
          <w:szCs w:val="28"/>
          <w:rtl/>
        </w:rPr>
        <w:t xml:space="preserve"> .</w:t>
      </w:r>
    </w:p>
  </w:footnote>
  <w:footnote w:id="6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لذلك يكفي أن يكون للكفيل موطن مختار في مصر يمكن للدائن أن يعتمد عليه فيما ينشأ عن الكفالة من علاقات </w:t>
      </w:r>
      <w:r>
        <w:rPr>
          <w:rFonts w:hint="cs"/>
          <w:color w:val="0000FF"/>
          <w:sz w:val="28"/>
          <w:szCs w:val="28"/>
          <w:rtl/>
        </w:rPr>
        <w:t xml:space="preserve">( </w:t>
      </w:r>
      <w:r w:rsidRPr="00923B1A">
        <w:rPr>
          <w:rFonts w:hint="cs"/>
          <w:color w:val="0000FF"/>
          <w:sz w:val="28"/>
          <w:szCs w:val="28"/>
          <w:rtl/>
        </w:rPr>
        <w:t xml:space="preserve">سليمان مرقس فقرة 15 ص 17 </w:t>
      </w:r>
      <w:r w:rsidRPr="00923B1A">
        <w:rPr>
          <w:color w:val="0000FF"/>
          <w:sz w:val="28"/>
          <w:szCs w:val="28"/>
          <w:rtl/>
        </w:rPr>
        <w:t>–</w:t>
      </w:r>
      <w:r w:rsidRPr="00923B1A">
        <w:rPr>
          <w:rFonts w:hint="cs"/>
          <w:color w:val="0000FF"/>
          <w:sz w:val="28"/>
          <w:szCs w:val="28"/>
          <w:rtl/>
        </w:rPr>
        <w:t xml:space="preserve"> وانظر بيدان وفواران فقرة 68</w:t>
      </w:r>
      <w:r>
        <w:rPr>
          <w:rFonts w:hint="cs"/>
          <w:color w:val="0000FF"/>
          <w:sz w:val="28"/>
          <w:szCs w:val="28"/>
          <w:rtl/>
        </w:rPr>
        <w:t xml:space="preserve"> ) .</w:t>
      </w:r>
    </w:p>
  </w:footnote>
  <w:footnote w:id="6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116 </w:t>
      </w:r>
      <w:r w:rsidRPr="00923B1A">
        <w:rPr>
          <w:color w:val="0000FF"/>
          <w:sz w:val="28"/>
          <w:szCs w:val="28"/>
          <w:rtl/>
        </w:rPr>
        <w:t>–</w:t>
      </w:r>
      <w:r w:rsidRPr="00923B1A">
        <w:rPr>
          <w:rFonts w:hint="cs"/>
          <w:color w:val="0000FF"/>
          <w:sz w:val="28"/>
          <w:szCs w:val="28"/>
          <w:rtl/>
        </w:rPr>
        <w:t xml:space="preserve"> جيوار فقرة 94 </w:t>
      </w:r>
      <w:r w:rsidRPr="00923B1A">
        <w:rPr>
          <w:color w:val="0000FF"/>
          <w:sz w:val="28"/>
          <w:szCs w:val="28"/>
          <w:rtl/>
        </w:rPr>
        <w:t>–</w:t>
      </w:r>
      <w:r w:rsidRPr="00923B1A">
        <w:rPr>
          <w:rFonts w:hint="cs"/>
          <w:color w:val="0000FF"/>
          <w:sz w:val="28"/>
          <w:szCs w:val="28"/>
          <w:rtl/>
        </w:rPr>
        <w:t xml:space="preserve"> بودري وفال فقرة 989 </w:t>
      </w:r>
      <w:r w:rsidRPr="00923B1A">
        <w:rPr>
          <w:color w:val="0000FF"/>
          <w:sz w:val="28"/>
          <w:szCs w:val="28"/>
          <w:rtl/>
        </w:rPr>
        <w:t>–</w:t>
      </w:r>
      <w:r w:rsidRPr="00923B1A">
        <w:rPr>
          <w:rFonts w:hint="cs"/>
          <w:color w:val="0000FF"/>
          <w:sz w:val="28"/>
          <w:szCs w:val="28"/>
          <w:rtl/>
        </w:rPr>
        <w:t xml:space="preserve"> بلانيول وريبير وسافاتييه فقرة 1522 ص 974 هامش 5</w:t>
      </w:r>
      <w:r>
        <w:rPr>
          <w:rFonts w:hint="cs"/>
          <w:color w:val="0000FF"/>
          <w:sz w:val="28"/>
          <w:szCs w:val="28"/>
          <w:rtl/>
        </w:rPr>
        <w:t xml:space="preserve"> .</w:t>
      </w:r>
    </w:p>
  </w:footnote>
  <w:footnote w:id="7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وكذلك تستثنى حالة ما إذا كان الكفيل قد التزم دون علم المدين</w:t>
      </w:r>
      <w:r>
        <w:rPr>
          <w:rFonts w:hint="cs"/>
          <w:color w:val="0000FF"/>
          <w:sz w:val="28"/>
          <w:szCs w:val="28"/>
          <w:rtl/>
        </w:rPr>
        <w:t xml:space="preserve"> ،</w:t>
      </w:r>
      <w:r w:rsidRPr="00923B1A">
        <w:rPr>
          <w:rFonts w:hint="cs"/>
          <w:color w:val="0000FF"/>
          <w:sz w:val="28"/>
          <w:szCs w:val="28"/>
          <w:rtl/>
        </w:rPr>
        <w:t xml:space="preserve"> فإن المدين لم يختر في هذه الحالة شخص للكفيل</w:t>
      </w:r>
      <w:r>
        <w:rPr>
          <w:rFonts w:hint="cs"/>
          <w:color w:val="0000FF"/>
          <w:sz w:val="28"/>
          <w:szCs w:val="28"/>
          <w:rtl/>
        </w:rPr>
        <w:t xml:space="preserve"> ،</w:t>
      </w:r>
      <w:r w:rsidRPr="00923B1A">
        <w:rPr>
          <w:rFonts w:hint="cs"/>
          <w:color w:val="0000FF"/>
          <w:sz w:val="28"/>
          <w:szCs w:val="28"/>
          <w:rtl/>
        </w:rPr>
        <w:t xml:space="preserve"> بل أن المدين لم يكن ملزما بتقديم كفيل لكفالة دينه</w:t>
      </w:r>
      <w:r>
        <w:rPr>
          <w:rFonts w:hint="cs"/>
          <w:color w:val="0000FF"/>
          <w:sz w:val="28"/>
          <w:szCs w:val="28"/>
          <w:rtl/>
        </w:rPr>
        <w:t xml:space="preserve"> .</w:t>
      </w:r>
      <w:r w:rsidRPr="00923B1A">
        <w:rPr>
          <w:rFonts w:hint="cs"/>
          <w:color w:val="0000FF"/>
          <w:sz w:val="28"/>
          <w:szCs w:val="28"/>
          <w:rtl/>
        </w:rPr>
        <w:t xml:space="preserve"> هذا وقد كان المشروع التمهيد للتقنين المدني الجديد يشتمل على نص في هذه المسألة</w:t>
      </w:r>
      <w:r>
        <w:rPr>
          <w:rFonts w:hint="cs"/>
          <w:color w:val="0000FF"/>
          <w:sz w:val="28"/>
          <w:szCs w:val="28"/>
          <w:rtl/>
        </w:rPr>
        <w:t xml:space="preserve"> ،</w:t>
      </w:r>
      <w:r w:rsidRPr="00923B1A">
        <w:rPr>
          <w:rFonts w:hint="cs"/>
          <w:color w:val="0000FF"/>
          <w:sz w:val="28"/>
          <w:szCs w:val="28"/>
          <w:rtl/>
        </w:rPr>
        <w:t xml:space="preserve"> فكانت المادة 1140 من هذا المشروع تنص على ما يأتي</w:t>
      </w:r>
      <w:r>
        <w:rPr>
          <w:rFonts w:hint="cs"/>
          <w:color w:val="0000FF"/>
          <w:sz w:val="28"/>
          <w:szCs w:val="28"/>
          <w:rtl/>
        </w:rPr>
        <w:t xml:space="preserve"> :</w:t>
      </w:r>
      <w:r w:rsidRPr="00923B1A">
        <w:rPr>
          <w:rFonts w:hint="cs"/>
          <w:color w:val="0000FF"/>
          <w:sz w:val="28"/>
          <w:szCs w:val="28"/>
          <w:rtl/>
        </w:rPr>
        <w:t xml:space="preserve"> "1- إذا أعسر الكفيل بعد الكفالة</w:t>
      </w:r>
      <w:r>
        <w:rPr>
          <w:rFonts w:hint="cs"/>
          <w:color w:val="0000FF"/>
          <w:sz w:val="28"/>
          <w:szCs w:val="28"/>
          <w:rtl/>
        </w:rPr>
        <w:t xml:space="preserve"> ،</w:t>
      </w:r>
      <w:r w:rsidRPr="00923B1A">
        <w:rPr>
          <w:rFonts w:hint="cs"/>
          <w:color w:val="0000FF"/>
          <w:sz w:val="28"/>
          <w:szCs w:val="28"/>
          <w:rtl/>
        </w:rPr>
        <w:t xml:space="preserve"> وجب تقديم كفيل آخر</w:t>
      </w:r>
      <w:r>
        <w:rPr>
          <w:rFonts w:hint="cs"/>
          <w:color w:val="0000FF"/>
          <w:sz w:val="28"/>
          <w:szCs w:val="28"/>
          <w:rtl/>
        </w:rPr>
        <w:t xml:space="preserve"> .</w:t>
      </w:r>
      <w:r w:rsidRPr="00923B1A">
        <w:rPr>
          <w:rFonts w:hint="cs"/>
          <w:color w:val="0000FF"/>
          <w:sz w:val="28"/>
          <w:szCs w:val="28"/>
          <w:rtl/>
        </w:rPr>
        <w:t xml:space="preserve"> 2- ويستثنى من ذلك أن يكون الدائن قد اشترط شخصا معينا لكفالة الدين</w:t>
      </w:r>
      <w:r>
        <w:rPr>
          <w:rFonts w:hint="cs"/>
          <w:color w:val="0000FF"/>
          <w:sz w:val="28"/>
          <w:szCs w:val="28"/>
          <w:rtl/>
        </w:rPr>
        <w:t xml:space="preserve"> ،</w:t>
      </w:r>
      <w:r w:rsidRPr="00923B1A">
        <w:rPr>
          <w:rFonts w:hint="cs"/>
          <w:color w:val="0000FF"/>
          <w:sz w:val="28"/>
          <w:szCs w:val="28"/>
          <w:rtl/>
        </w:rPr>
        <w:t xml:space="preserve"> أو أن يكون الكفيل قد التزم دون علم المدين"</w:t>
      </w:r>
      <w:r>
        <w:rPr>
          <w:rFonts w:hint="cs"/>
          <w:color w:val="0000FF"/>
          <w:sz w:val="28"/>
          <w:szCs w:val="28"/>
          <w:rtl/>
        </w:rPr>
        <w:t xml:space="preserve"> .</w:t>
      </w:r>
      <w:r w:rsidRPr="00923B1A">
        <w:rPr>
          <w:rFonts w:hint="cs"/>
          <w:color w:val="0000FF"/>
          <w:sz w:val="28"/>
          <w:szCs w:val="28"/>
          <w:rtl/>
        </w:rPr>
        <w:t xml:space="preserve"> وكان التقنين المدني السابق </w:t>
      </w:r>
      <w:r>
        <w:rPr>
          <w:rFonts w:hint="cs"/>
          <w:color w:val="0000FF"/>
          <w:sz w:val="28"/>
          <w:szCs w:val="28"/>
          <w:rtl/>
        </w:rPr>
        <w:t xml:space="preserve">( </w:t>
      </w:r>
      <w:r w:rsidRPr="00923B1A">
        <w:rPr>
          <w:rFonts w:hint="cs"/>
          <w:color w:val="0000FF"/>
          <w:sz w:val="28"/>
          <w:szCs w:val="28"/>
          <w:rtl/>
        </w:rPr>
        <w:t>م 500/610</w:t>
      </w:r>
      <w:r>
        <w:rPr>
          <w:rFonts w:hint="cs"/>
          <w:color w:val="0000FF"/>
          <w:sz w:val="28"/>
          <w:szCs w:val="28"/>
          <w:rtl/>
        </w:rPr>
        <w:t xml:space="preserve"> )</w:t>
      </w:r>
      <w:r w:rsidRPr="00923B1A">
        <w:rPr>
          <w:rFonts w:hint="cs"/>
          <w:color w:val="0000FF"/>
          <w:sz w:val="28"/>
          <w:szCs w:val="28"/>
          <w:rtl/>
        </w:rPr>
        <w:t xml:space="preserve"> ينص على أنه "إذا تعهد المدين تعهدا مطلقا بإعطاء كفيل</w:t>
      </w:r>
      <w:r>
        <w:rPr>
          <w:rFonts w:hint="cs"/>
          <w:color w:val="0000FF"/>
          <w:sz w:val="28"/>
          <w:szCs w:val="28"/>
          <w:rtl/>
        </w:rPr>
        <w:t xml:space="preserve"> ،</w:t>
      </w:r>
      <w:r w:rsidRPr="00923B1A">
        <w:rPr>
          <w:rFonts w:hint="cs"/>
          <w:color w:val="0000FF"/>
          <w:sz w:val="28"/>
          <w:szCs w:val="28"/>
          <w:rtl/>
        </w:rPr>
        <w:t xml:space="preserve"> سواء كان التعهد حاصلا باتفاق بينه وبين الدائن أو أمام المحكمة</w:t>
      </w:r>
      <w:r>
        <w:rPr>
          <w:rFonts w:hint="cs"/>
          <w:color w:val="0000FF"/>
          <w:sz w:val="28"/>
          <w:szCs w:val="28"/>
          <w:rtl/>
        </w:rPr>
        <w:t xml:space="preserve"> ،</w:t>
      </w:r>
      <w:r w:rsidRPr="00923B1A">
        <w:rPr>
          <w:rFonts w:hint="cs"/>
          <w:color w:val="0000FF"/>
          <w:sz w:val="28"/>
          <w:szCs w:val="28"/>
          <w:rtl/>
        </w:rPr>
        <w:t xml:space="preserve"> وأعسر الكفيل الذي قدمه</w:t>
      </w:r>
      <w:r>
        <w:rPr>
          <w:rFonts w:hint="cs"/>
          <w:color w:val="0000FF"/>
          <w:sz w:val="28"/>
          <w:szCs w:val="28"/>
          <w:rtl/>
        </w:rPr>
        <w:t xml:space="preserve"> ،</w:t>
      </w:r>
      <w:r w:rsidRPr="00923B1A">
        <w:rPr>
          <w:rFonts w:hint="cs"/>
          <w:color w:val="0000FF"/>
          <w:sz w:val="28"/>
          <w:szCs w:val="28"/>
          <w:rtl/>
        </w:rPr>
        <w:t xml:space="preserve"> وجب على المدين استبداله بكفيل آخر"</w:t>
      </w:r>
      <w:r>
        <w:rPr>
          <w:rFonts w:hint="cs"/>
          <w:color w:val="0000FF"/>
          <w:sz w:val="28"/>
          <w:szCs w:val="28"/>
          <w:rtl/>
        </w:rPr>
        <w:t xml:space="preserve"> .</w:t>
      </w:r>
      <w:r w:rsidRPr="00923B1A">
        <w:rPr>
          <w:rFonts w:hint="cs"/>
          <w:color w:val="0000FF"/>
          <w:sz w:val="28"/>
          <w:szCs w:val="28"/>
          <w:rtl/>
        </w:rPr>
        <w:t xml:space="preserve"> وجاء في المذكرة الإيضاحية للمشروع التمهيدي</w:t>
      </w:r>
      <w:r>
        <w:rPr>
          <w:rFonts w:hint="cs"/>
          <w:color w:val="0000FF"/>
          <w:sz w:val="28"/>
          <w:szCs w:val="28"/>
          <w:rtl/>
        </w:rPr>
        <w:t xml:space="preserve"> :</w:t>
      </w:r>
      <w:r w:rsidRPr="00923B1A">
        <w:rPr>
          <w:rFonts w:hint="cs"/>
          <w:color w:val="0000FF"/>
          <w:sz w:val="28"/>
          <w:szCs w:val="28"/>
          <w:rtl/>
        </w:rPr>
        <w:t xml:space="preserve"> "تطابق المادة 1140 المادة 717 من المشروع الفرنسي الإيطالي</w:t>
      </w:r>
      <w:r>
        <w:rPr>
          <w:rFonts w:hint="cs"/>
          <w:color w:val="0000FF"/>
          <w:sz w:val="28"/>
          <w:szCs w:val="28"/>
          <w:rtl/>
        </w:rPr>
        <w:t xml:space="preserve"> ،</w:t>
      </w:r>
      <w:r w:rsidRPr="00923B1A">
        <w:rPr>
          <w:rFonts w:hint="cs"/>
          <w:color w:val="0000FF"/>
          <w:sz w:val="28"/>
          <w:szCs w:val="28"/>
          <w:rtl/>
        </w:rPr>
        <w:t xml:space="preserve"> مع إضافة يسيرة إليها</w:t>
      </w:r>
      <w:r>
        <w:rPr>
          <w:rFonts w:hint="cs"/>
          <w:color w:val="0000FF"/>
          <w:sz w:val="28"/>
          <w:szCs w:val="28"/>
          <w:rtl/>
        </w:rPr>
        <w:t xml:space="preserve"> .</w:t>
      </w:r>
      <w:r w:rsidRPr="00923B1A">
        <w:rPr>
          <w:rFonts w:hint="cs"/>
          <w:color w:val="0000FF"/>
          <w:sz w:val="28"/>
          <w:szCs w:val="28"/>
          <w:rtl/>
        </w:rPr>
        <w:t xml:space="preserve"> والحكم الوارد بها هو بعينه المقرر بالمادة 500/610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 ،</w:t>
      </w:r>
      <w:r w:rsidRPr="00923B1A">
        <w:rPr>
          <w:rFonts w:hint="cs"/>
          <w:color w:val="0000FF"/>
          <w:sz w:val="28"/>
          <w:szCs w:val="28"/>
          <w:rtl/>
        </w:rPr>
        <w:t xml:space="preserve"> وذلك ما عدا أجزاءها الأخيرة فإنه يقرر استثناء مجمعا عليه</w:t>
      </w:r>
      <w:r>
        <w:rPr>
          <w:rFonts w:hint="cs"/>
          <w:color w:val="0000FF"/>
          <w:sz w:val="28"/>
          <w:szCs w:val="28"/>
          <w:rtl/>
        </w:rPr>
        <w:t xml:space="preserve"> ،</w:t>
      </w:r>
      <w:r w:rsidRPr="00923B1A">
        <w:rPr>
          <w:rFonts w:hint="cs"/>
          <w:color w:val="0000FF"/>
          <w:sz w:val="28"/>
          <w:szCs w:val="28"/>
          <w:rtl/>
        </w:rPr>
        <w:t xml:space="preserve"> وهو أن المدين لا يلزم باستبدال الكفيل الذي عينه الدائن إذا أعسر</w:t>
      </w:r>
      <w:r>
        <w:rPr>
          <w:rFonts w:hint="cs"/>
          <w:color w:val="0000FF"/>
          <w:sz w:val="28"/>
          <w:szCs w:val="28"/>
          <w:rtl/>
        </w:rPr>
        <w:t xml:space="preserve"> ،</w:t>
      </w:r>
      <w:r w:rsidRPr="00923B1A">
        <w:rPr>
          <w:rFonts w:hint="cs"/>
          <w:color w:val="0000FF"/>
          <w:sz w:val="28"/>
          <w:szCs w:val="28"/>
          <w:rtl/>
        </w:rPr>
        <w:t xml:space="preserve"> ولا الكفيل الذي يتقدم لضمان الدين بدون علمه"</w:t>
      </w:r>
      <w:r>
        <w:rPr>
          <w:rFonts w:hint="cs"/>
          <w:color w:val="0000FF"/>
          <w:sz w:val="28"/>
          <w:szCs w:val="28"/>
          <w:rtl/>
        </w:rPr>
        <w:t xml:space="preserve"> .</w:t>
      </w:r>
      <w:r w:rsidRPr="00923B1A">
        <w:rPr>
          <w:rFonts w:hint="cs"/>
          <w:color w:val="0000FF"/>
          <w:sz w:val="28"/>
          <w:szCs w:val="28"/>
          <w:rtl/>
        </w:rPr>
        <w:t xml:space="preserve"> وانظر أيضاً م 2020 مدني فرنسي و م 1068 من قانون الموجبات والعقود اللبناني"</w:t>
      </w:r>
      <w:r>
        <w:rPr>
          <w:rFonts w:hint="cs"/>
          <w:color w:val="0000FF"/>
          <w:sz w:val="28"/>
          <w:szCs w:val="28"/>
          <w:rtl/>
        </w:rPr>
        <w:t xml:space="preserve"> .</w:t>
      </w:r>
      <w:r w:rsidRPr="00923B1A">
        <w:rPr>
          <w:rFonts w:hint="cs"/>
          <w:color w:val="0000FF"/>
          <w:sz w:val="28"/>
          <w:szCs w:val="28"/>
          <w:rtl/>
        </w:rPr>
        <w:t xml:space="preserve"> ولما عرضت المادة 1140 من المشروع التمهيدي على لجنة المراجعة</w:t>
      </w:r>
      <w:r>
        <w:rPr>
          <w:rFonts w:hint="cs"/>
          <w:color w:val="0000FF"/>
          <w:sz w:val="28"/>
          <w:szCs w:val="28"/>
          <w:rtl/>
        </w:rPr>
        <w:t xml:space="preserve"> ،</w:t>
      </w:r>
      <w:r w:rsidRPr="00923B1A">
        <w:rPr>
          <w:rFonts w:hint="cs"/>
          <w:color w:val="0000FF"/>
          <w:sz w:val="28"/>
          <w:szCs w:val="28"/>
          <w:rtl/>
        </w:rPr>
        <w:t xml:space="preserve"> رأت اللجنة" عدم الموافقة على حكمها والاكتفاء في موضوعها بالقواعد العامة" </w:t>
      </w:r>
      <w:r>
        <w:rPr>
          <w:rFonts w:hint="cs"/>
          <w:color w:val="0000FF"/>
          <w:sz w:val="28"/>
          <w:szCs w:val="28"/>
          <w:rtl/>
        </w:rPr>
        <w:t xml:space="preserve">( </w:t>
      </w:r>
      <w:r w:rsidRPr="00923B1A">
        <w:rPr>
          <w:rFonts w:hint="cs"/>
          <w:color w:val="0000FF"/>
          <w:sz w:val="28"/>
          <w:szCs w:val="28"/>
          <w:rtl/>
        </w:rPr>
        <w:t xml:space="preserve">مجموعة الأعمال التحضيرية ص 429 </w:t>
      </w:r>
      <w:r w:rsidRPr="00923B1A">
        <w:rPr>
          <w:color w:val="0000FF"/>
          <w:sz w:val="28"/>
          <w:szCs w:val="28"/>
          <w:rtl/>
        </w:rPr>
        <w:t>–</w:t>
      </w:r>
      <w:r w:rsidRPr="00923B1A">
        <w:rPr>
          <w:rFonts w:hint="cs"/>
          <w:color w:val="0000FF"/>
          <w:sz w:val="28"/>
          <w:szCs w:val="28"/>
          <w:rtl/>
        </w:rPr>
        <w:t xml:space="preserve"> ص 431 في الهامش</w:t>
      </w:r>
      <w:r>
        <w:rPr>
          <w:rFonts w:hint="cs"/>
          <w:color w:val="0000FF"/>
          <w:sz w:val="28"/>
          <w:szCs w:val="28"/>
          <w:rtl/>
        </w:rPr>
        <w:t xml:space="preserve"> ) .</w:t>
      </w:r>
    </w:p>
  </w:footnote>
  <w:footnote w:id="7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فترة 984 وفقرة 986 </w:t>
      </w:r>
      <w:r w:rsidRPr="00923B1A">
        <w:rPr>
          <w:color w:val="0000FF"/>
          <w:sz w:val="28"/>
          <w:szCs w:val="28"/>
          <w:rtl/>
        </w:rPr>
        <w:t>–</w:t>
      </w:r>
      <w:r w:rsidRPr="00923B1A">
        <w:rPr>
          <w:rFonts w:hint="cs"/>
          <w:color w:val="0000FF"/>
          <w:sz w:val="28"/>
          <w:szCs w:val="28"/>
          <w:rtl/>
        </w:rPr>
        <w:t xml:space="preserve"> بلانيول وريبير وسافاتييه فقرة 1523 ص 975</w:t>
      </w:r>
      <w:r>
        <w:rPr>
          <w:rFonts w:hint="cs"/>
          <w:color w:val="0000FF"/>
          <w:sz w:val="28"/>
          <w:szCs w:val="28"/>
          <w:rtl/>
        </w:rPr>
        <w:t xml:space="preserve"> .</w:t>
      </w:r>
    </w:p>
  </w:footnote>
  <w:footnote w:id="7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كذلك إذا كان الكفيل الأول قد أصبح غير أهل بعد أن كان أهلا وقت عقد الكفالة</w:t>
      </w:r>
      <w:r>
        <w:rPr>
          <w:rFonts w:hint="cs"/>
          <w:color w:val="0000FF"/>
          <w:sz w:val="28"/>
          <w:szCs w:val="28"/>
          <w:rtl/>
        </w:rPr>
        <w:t xml:space="preserve"> ،</w:t>
      </w:r>
      <w:r w:rsidRPr="00923B1A">
        <w:rPr>
          <w:rFonts w:hint="cs"/>
          <w:color w:val="0000FF"/>
          <w:sz w:val="28"/>
          <w:szCs w:val="28"/>
          <w:rtl/>
        </w:rPr>
        <w:t xml:space="preserve"> بأن حجر عليه مثلا</w:t>
      </w:r>
      <w:r>
        <w:rPr>
          <w:rFonts w:hint="cs"/>
          <w:color w:val="0000FF"/>
          <w:sz w:val="28"/>
          <w:szCs w:val="28"/>
          <w:rtl/>
        </w:rPr>
        <w:t xml:space="preserve"> ،</w:t>
      </w:r>
      <w:r w:rsidRPr="00923B1A">
        <w:rPr>
          <w:rFonts w:hint="cs"/>
          <w:color w:val="0000FF"/>
          <w:sz w:val="28"/>
          <w:szCs w:val="28"/>
          <w:rtl/>
        </w:rPr>
        <w:t xml:space="preserve"> فإن ذلك لا يبطل عقد الكفالة</w:t>
      </w:r>
      <w:r>
        <w:rPr>
          <w:rFonts w:hint="cs"/>
          <w:color w:val="0000FF"/>
          <w:sz w:val="28"/>
          <w:szCs w:val="28"/>
          <w:rtl/>
        </w:rPr>
        <w:t xml:space="preserve"> ،</w:t>
      </w:r>
      <w:r w:rsidRPr="00923B1A">
        <w:rPr>
          <w:rFonts w:hint="cs"/>
          <w:color w:val="0000FF"/>
          <w:sz w:val="28"/>
          <w:szCs w:val="28"/>
          <w:rtl/>
        </w:rPr>
        <w:t xml:space="preserve"> ولا يجيز للدائن مطالبة المدين بتقديم كفيل آخر </w:t>
      </w:r>
      <w:r>
        <w:rPr>
          <w:rFonts w:hint="cs"/>
          <w:color w:val="0000FF"/>
          <w:sz w:val="28"/>
          <w:szCs w:val="28"/>
          <w:rtl/>
        </w:rPr>
        <w:t xml:space="preserve">( </w:t>
      </w:r>
      <w:r w:rsidRPr="00923B1A">
        <w:rPr>
          <w:rFonts w:hint="cs"/>
          <w:color w:val="0000FF"/>
          <w:sz w:val="28"/>
          <w:szCs w:val="28"/>
          <w:rtl/>
        </w:rPr>
        <w:t>سليمان مرقس فقرة 15 ص 16</w:t>
      </w:r>
      <w:r>
        <w:rPr>
          <w:rFonts w:hint="cs"/>
          <w:color w:val="0000FF"/>
          <w:sz w:val="28"/>
          <w:szCs w:val="28"/>
          <w:rtl/>
        </w:rPr>
        <w:t xml:space="preserve"> ) .</w:t>
      </w:r>
    </w:p>
  </w:footnote>
  <w:footnote w:id="7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988 </w:t>
      </w:r>
      <w:r w:rsidRPr="00923B1A">
        <w:rPr>
          <w:color w:val="0000FF"/>
          <w:sz w:val="28"/>
          <w:szCs w:val="28"/>
          <w:rtl/>
        </w:rPr>
        <w:t>–</w:t>
      </w:r>
      <w:r w:rsidRPr="00923B1A">
        <w:rPr>
          <w:rFonts w:hint="cs"/>
          <w:color w:val="0000FF"/>
          <w:sz w:val="28"/>
          <w:szCs w:val="28"/>
          <w:rtl/>
        </w:rPr>
        <w:t xml:space="preserve"> بلانيول وريبير وسافاتييه فقرة 1529 ص 975 </w:t>
      </w:r>
      <w:r w:rsidRPr="00923B1A">
        <w:rPr>
          <w:color w:val="0000FF"/>
          <w:sz w:val="28"/>
          <w:szCs w:val="28"/>
          <w:rtl/>
        </w:rPr>
        <w:t>–</w:t>
      </w:r>
      <w:r w:rsidRPr="00923B1A">
        <w:rPr>
          <w:rFonts w:hint="cs"/>
          <w:color w:val="0000FF"/>
          <w:sz w:val="28"/>
          <w:szCs w:val="28"/>
          <w:rtl/>
        </w:rPr>
        <w:t xml:space="preserve"> ص 976</w:t>
      </w:r>
      <w:r>
        <w:rPr>
          <w:rFonts w:hint="cs"/>
          <w:color w:val="0000FF"/>
          <w:sz w:val="28"/>
          <w:szCs w:val="28"/>
          <w:rtl/>
        </w:rPr>
        <w:t xml:space="preserve"> .</w:t>
      </w:r>
    </w:p>
  </w:footnote>
  <w:footnote w:id="7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والتقنين المدني الفرنسي </w:t>
      </w:r>
      <w:r>
        <w:rPr>
          <w:rFonts w:hint="cs"/>
          <w:color w:val="0000FF"/>
          <w:sz w:val="28"/>
          <w:szCs w:val="28"/>
          <w:rtl/>
        </w:rPr>
        <w:t xml:space="preserve">( </w:t>
      </w:r>
      <w:r w:rsidRPr="00923B1A">
        <w:rPr>
          <w:rFonts w:hint="cs"/>
          <w:color w:val="0000FF"/>
          <w:sz w:val="28"/>
          <w:szCs w:val="28"/>
          <w:rtl/>
        </w:rPr>
        <w:t>م 2041</w:t>
      </w:r>
      <w:r>
        <w:rPr>
          <w:rFonts w:hint="cs"/>
          <w:color w:val="0000FF"/>
          <w:sz w:val="28"/>
          <w:szCs w:val="28"/>
          <w:rtl/>
        </w:rPr>
        <w:t xml:space="preserve"> )</w:t>
      </w:r>
      <w:r w:rsidRPr="00923B1A">
        <w:rPr>
          <w:rFonts w:hint="cs"/>
          <w:color w:val="0000FF"/>
          <w:sz w:val="28"/>
          <w:szCs w:val="28"/>
          <w:rtl/>
        </w:rPr>
        <w:t xml:space="preserve"> يجيز في الكفالة القانونية والكفالة القضائية</w:t>
      </w:r>
      <w:r>
        <w:rPr>
          <w:rFonts w:hint="cs"/>
          <w:color w:val="0000FF"/>
          <w:sz w:val="28"/>
          <w:szCs w:val="28"/>
          <w:rtl/>
        </w:rPr>
        <w:t xml:space="preserve"> ،</w:t>
      </w:r>
      <w:r w:rsidRPr="00923B1A">
        <w:rPr>
          <w:rFonts w:hint="cs"/>
          <w:color w:val="0000FF"/>
          <w:sz w:val="28"/>
          <w:szCs w:val="28"/>
          <w:rtl/>
        </w:rPr>
        <w:t xml:space="preserve"> أن يستبدل المدين بالكفيل الشخصي رهن حيازة كافيا </w:t>
      </w:r>
      <w:r>
        <w:rPr>
          <w:color w:val="0000FF"/>
          <w:sz w:val="28"/>
          <w:szCs w:val="28"/>
          <w:rtl/>
        </w:rPr>
        <w:t xml:space="preserve">( </w:t>
      </w:r>
      <w:r w:rsidRPr="00923B1A">
        <w:rPr>
          <w:color w:val="0000FF"/>
          <w:sz w:val="28"/>
          <w:szCs w:val="28"/>
        </w:rPr>
        <w:t>nantissement suffisant</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والقضاء الفرنسي يجيز للمدين أن يقدم أيضاً رهنا رسميا</w:t>
      </w:r>
      <w:r>
        <w:rPr>
          <w:rFonts w:hint="cs"/>
          <w:color w:val="0000FF"/>
          <w:sz w:val="28"/>
          <w:szCs w:val="28"/>
          <w:rtl/>
        </w:rPr>
        <w:t xml:space="preserve"> ،</w:t>
      </w:r>
      <w:r w:rsidRPr="00923B1A">
        <w:rPr>
          <w:rFonts w:hint="cs"/>
          <w:color w:val="0000FF"/>
          <w:sz w:val="28"/>
          <w:szCs w:val="28"/>
          <w:rtl/>
        </w:rPr>
        <w:t xml:space="preserve"> فليست صعوبة التنفيذ على العقار المرهون رهنا رسميا بأشد من صعوبة التنفيذ على عقارات الكفيل الشخصي </w:t>
      </w:r>
      <w:r>
        <w:rPr>
          <w:rFonts w:hint="cs"/>
          <w:color w:val="0000FF"/>
          <w:sz w:val="28"/>
          <w:szCs w:val="28"/>
          <w:rtl/>
        </w:rPr>
        <w:t xml:space="preserve">( </w:t>
      </w:r>
      <w:r w:rsidRPr="00923B1A">
        <w:rPr>
          <w:rFonts w:hint="cs"/>
          <w:color w:val="0000FF"/>
          <w:sz w:val="28"/>
          <w:szCs w:val="28"/>
          <w:rtl/>
        </w:rPr>
        <w:t xml:space="preserve">نقض فرنسي 7 أغسطس سنة 1882 داللوز 83 </w:t>
      </w:r>
      <w:r w:rsidRPr="00923B1A">
        <w:rPr>
          <w:color w:val="0000FF"/>
          <w:sz w:val="28"/>
          <w:szCs w:val="28"/>
          <w:rtl/>
        </w:rPr>
        <w:t>–</w:t>
      </w:r>
      <w:r w:rsidRPr="00923B1A">
        <w:rPr>
          <w:rFonts w:hint="cs"/>
          <w:color w:val="0000FF"/>
          <w:sz w:val="28"/>
          <w:szCs w:val="28"/>
          <w:rtl/>
        </w:rPr>
        <w:t xml:space="preserve"> 1- 220 </w:t>
      </w:r>
      <w:r w:rsidRPr="00923B1A">
        <w:rPr>
          <w:color w:val="0000FF"/>
          <w:sz w:val="28"/>
          <w:szCs w:val="28"/>
          <w:rtl/>
        </w:rPr>
        <w:t>–</w:t>
      </w:r>
      <w:r w:rsidRPr="00923B1A">
        <w:rPr>
          <w:rFonts w:hint="cs"/>
          <w:color w:val="0000FF"/>
          <w:sz w:val="28"/>
          <w:szCs w:val="28"/>
          <w:rtl/>
        </w:rPr>
        <w:t xml:space="preserve"> 3 فبراير سنة 1897 داللوز 97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601 بودري وفال فقرة 991 </w:t>
      </w:r>
      <w:r w:rsidRPr="00923B1A">
        <w:rPr>
          <w:color w:val="0000FF"/>
          <w:sz w:val="28"/>
          <w:szCs w:val="28"/>
          <w:rtl/>
        </w:rPr>
        <w:t>–</w:t>
      </w:r>
      <w:r w:rsidRPr="00923B1A">
        <w:rPr>
          <w:rFonts w:hint="cs"/>
          <w:color w:val="0000FF"/>
          <w:sz w:val="28"/>
          <w:szCs w:val="28"/>
          <w:rtl/>
        </w:rPr>
        <w:t xml:space="preserve"> 992 </w:t>
      </w:r>
      <w:r w:rsidRPr="00923B1A">
        <w:rPr>
          <w:color w:val="0000FF"/>
          <w:sz w:val="28"/>
          <w:szCs w:val="28"/>
          <w:rtl/>
        </w:rPr>
        <w:t>–</w:t>
      </w:r>
      <w:r w:rsidRPr="00923B1A">
        <w:rPr>
          <w:rFonts w:hint="cs"/>
          <w:color w:val="0000FF"/>
          <w:sz w:val="28"/>
          <w:szCs w:val="28"/>
          <w:rtl/>
        </w:rPr>
        <w:t xml:space="preserve"> بيدان وثواران 13 فقرة 69 </w:t>
      </w:r>
      <w:r w:rsidRPr="00923B1A">
        <w:rPr>
          <w:color w:val="0000FF"/>
          <w:sz w:val="28"/>
          <w:szCs w:val="28"/>
          <w:rtl/>
        </w:rPr>
        <w:t>–</w:t>
      </w:r>
      <w:r w:rsidRPr="00923B1A">
        <w:rPr>
          <w:rFonts w:hint="cs"/>
          <w:color w:val="0000FF"/>
          <w:sz w:val="28"/>
          <w:szCs w:val="28"/>
          <w:rtl/>
        </w:rPr>
        <w:t xml:space="preserve"> بلانيول وريبير وسافاتييه فقرة 1525 ص 976 </w:t>
      </w:r>
      <w:r w:rsidRPr="00923B1A">
        <w:rPr>
          <w:color w:val="0000FF"/>
          <w:sz w:val="28"/>
          <w:szCs w:val="28"/>
          <w:rtl/>
        </w:rPr>
        <w:t>–</w:t>
      </w:r>
      <w:r w:rsidRPr="00923B1A">
        <w:rPr>
          <w:rFonts w:hint="cs"/>
          <w:color w:val="0000FF"/>
          <w:sz w:val="28"/>
          <w:szCs w:val="28"/>
          <w:rtl/>
        </w:rPr>
        <w:t xml:space="preserve"> بلانيول وريبير وبولانجيه 2 فقرة 1932 </w:t>
      </w:r>
      <w:r w:rsidRPr="00923B1A">
        <w:rPr>
          <w:color w:val="0000FF"/>
          <w:sz w:val="28"/>
          <w:szCs w:val="28"/>
          <w:rtl/>
        </w:rPr>
        <w:t>–</w:t>
      </w:r>
      <w:r w:rsidRPr="00923B1A">
        <w:rPr>
          <w:rFonts w:hint="cs"/>
          <w:color w:val="0000FF"/>
          <w:sz w:val="28"/>
          <w:szCs w:val="28"/>
          <w:rtl/>
        </w:rPr>
        <w:t xml:space="preserve"> كولان وكابينال 2 فقرة 1399 </w:t>
      </w:r>
      <w:r w:rsidRPr="00923B1A">
        <w:rPr>
          <w:color w:val="0000FF"/>
          <w:sz w:val="28"/>
          <w:szCs w:val="28"/>
          <w:rtl/>
        </w:rPr>
        <w:t>–</w:t>
      </w:r>
      <w:r w:rsidRPr="00923B1A">
        <w:rPr>
          <w:rFonts w:hint="cs"/>
          <w:color w:val="0000FF"/>
          <w:sz w:val="28"/>
          <w:szCs w:val="28"/>
          <w:rtl/>
        </w:rPr>
        <w:t xml:space="preserve"> عكس ذلك أوبري ورو 6 فقرة 426 ص 278 هامش 12</w:t>
      </w:r>
      <w:r>
        <w:rPr>
          <w:rFonts w:hint="cs"/>
          <w:color w:val="0000FF"/>
          <w:sz w:val="28"/>
          <w:szCs w:val="28"/>
          <w:rtl/>
        </w:rPr>
        <w:t xml:space="preserve"> ) .</w:t>
      </w:r>
    </w:p>
  </w:footnote>
  <w:footnote w:id="7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1525 ص 977</w:t>
      </w:r>
      <w:r>
        <w:rPr>
          <w:rFonts w:hint="cs"/>
          <w:color w:val="0000FF"/>
          <w:sz w:val="28"/>
          <w:szCs w:val="28"/>
          <w:rtl/>
        </w:rPr>
        <w:t xml:space="preserve"> .</w:t>
      </w:r>
    </w:p>
  </w:footnote>
  <w:footnote w:id="7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15 مايو سنة 1877 داللوز 77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397 </w:t>
      </w:r>
      <w:r w:rsidRPr="00923B1A">
        <w:rPr>
          <w:color w:val="0000FF"/>
          <w:sz w:val="28"/>
          <w:szCs w:val="28"/>
          <w:rtl/>
        </w:rPr>
        <w:t>–</w:t>
      </w:r>
      <w:r w:rsidRPr="00923B1A">
        <w:rPr>
          <w:rFonts w:hint="cs"/>
          <w:color w:val="0000FF"/>
          <w:sz w:val="28"/>
          <w:szCs w:val="28"/>
          <w:rtl/>
        </w:rPr>
        <w:t xml:space="preserve"> بلانيول وريبير وسافاتييه فقرة 1525 ص 977 </w:t>
      </w:r>
      <w:r w:rsidRPr="00923B1A">
        <w:rPr>
          <w:color w:val="0000FF"/>
          <w:sz w:val="28"/>
          <w:szCs w:val="28"/>
          <w:rtl/>
        </w:rPr>
        <w:t>–</w:t>
      </w:r>
      <w:r w:rsidRPr="00923B1A">
        <w:rPr>
          <w:rFonts w:hint="cs"/>
          <w:color w:val="0000FF"/>
          <w:sz w:val="28"/>
          <w:szCs w:val="28"/>
          <w:rtl/>
        </w:rPr>
        <w:t xml:space="preserve"> أنسيكلوبيدي داللوز 1 لفظ </w:t>
      </w:r>
      <w:r w:rsidRPr="00923B1A">
        <w:rPr>
          <w:color w:val="0000FF"/>
          <w:sz w:val="28"/>
          <w:szCs w:val="28"/>
        </w:rPr>
        <w:t>cautionnement</w:t>
      </w:r>
      <w:r w:rsidRPr="00923B1A">
        <w:rPr>
          <w:rFonts w:hint="cs"/>
          <w:color w:val="0000FF"/>
          <w:sz w:val="28"/>
          <w:szCs w:val="28"/>
          <w:rtl/>
        </w:rPr>
        <w:t xml:space="preserve"> فقرة 91 </w:t>
      </w:r>
      <w:r w:rsidRPr="00923B1A">
        <w:rPr>
          <w:color w:val="0000FF"/>
          <w:sz w:val="28"/>
          <w:szCs w:val="28"/>
          <w:rtl/>
        </w:rPr>
        <w:t>–</w:t>
      </w:r>
      <w:r w:rsidRPr="00923B1A">
        <w:rPr>
          <w:rFonts w:hint="cs"/>
          <w:color w:val="0000FF"/>
          <w:sz w:val="28"/>
          <w:szCs w:val="28"/>
          <w:rtl/>
        </w:rPr>
        <w:t xml:space="preserve"> وانظر مناقشة هذه المسألة في لجنة الأستاذ كامل صدقي في مجموعة الأعمال التحضيرية 5 ص 436 </w:t>
      </w:r>
      <w:r w:rsidRPr="00923B1A">
        <w:rPr>
          <w:color w:val="0000FF"/>
          <w:sz w:val="28"/>
          <w:szCs w:val="28"/>
          <w:rtl/>
        </w:rPr>
        <w:t>–</w:t>
      </w:r>
      <w:r w:rsidRPr="00923B1A">
        <w:rPr>
          <w:rFonts w:hint="cs"/>
          <w:color w:val="0000FF"/>
          <w:sz w:val="28"/>
          <w:szCs w:val="28"/>
          <w:rtl/>
        </w:rPr>
        <w:t xml:space="preserve"> ص 440 في الهامش</w:t>
      </w:r>
      <w:r>
        <w:rPr>
          <w:rFonts w:hint="cs"/>
          <w:color w:val="0000FF"/>
          <w:sz w:val="28"/>
          <w:szCs w:val="28"/>
          <w:rtl/>
        </w:rPr>
        <w:t xml:space="preserve"> .</w:t>
      </w:r>
    </w:p>
  </w:footnote>
  <w:footnote w:id="7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صدر أخيراً</w:t>
      </w:r>
      <w:r>
        <w:rPr>
          <w:rFonts w:hint="cs"/>
          <w:color w:val="0000FF"/>
          <w:sz w:val="28"/>
          <w:szCs w:val="28"/>
          <w:rtl/>
        </w:rPr>
        <w:t xml:space="preserve"> ،</w:t>
      </w:r>
      <w:r w:rsidRPr="00923B1A">
        <w:rPr>
          <w:rFonts w:hint="cs"/>
          <w:color w:val="0000FF"/>
          <w:sz w:val="28"/>
          <w:szCs w:val="28"/>
          <w:rtl/>
        </w:rPr>
        <w:t xml:space="preserve"> بعد كتابة هذه السطور</w:t>
      </w:r>
      <w:r>
        <w:rPr>
          <w:rFonts w:hint="cs"/>
          <w:color w:val="0000FF"/>
          <w:sz w:val="28"/>
          <w:szCs w:val="28"/>
          <w:rtl/>
        </w:rPr>
        <w:t xml:space="preserve"> ،</w:t>
      </w:r>
      <w:r w:rsidRPr="00923B1A">
        <w:rPr>
          <w:rFonts w:hint="cs"/>
          <w:color w:val="0000FF"/>
          <w:sz w:val="28"/>
          <w:szCs w:val="28"/>
          <w:rtl/>
        </w:rPr>
        <w:t xml:space="preserve"> تقنين جديد للمرافعات</w:t>
      </w:r>
      <w:r>
        <w:rPr>
          <w:rFonts w:hint="cs"/>
          <w:color w:val="0000FF"/>
          <w:sz w:val="28"/>
          <w:szCs w:val="28"/>
          <w:rtl/>
        </w:rPr>
        <w:t xml:space="preserve"> ،</w:t>
      </w:r>
      <w:r w:rsidRPr="00923B1A">
        <w:rPr>
          <w:rFonts w:hint="cs"/>
          <w:color w:val="0000FF"/>
          <w:sz w:val="28"/>
          <w:szCs w:val="28"/>
          <w:rtl/>
        </w:rPr>
        <w:t xml:space="preserve"> فيراجع فيه ما يقابل هذه النصوص</w:t>
      </w:r>
      <w:r>
        <w:rPr>
          <w:rFonts w:hint="cs"/>
          <w:color w:val="0000FF"/>
          <w:sz w:val="28"/>
          <w:szCs w:val="28"/>
          <w:rtl/>
        </w:rPr>
        <w:t xml:space="preserve"> .</w:t>
      </w:r>
    </w:p>
  </w:footnote>
  <w:footnote w:id="7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ذلك المذكرة الإيضاحية للمشروع التمهيدي في مجوع الأعمال التحضيرية 5 ص 418 </w:t>
      </w:r>
      <w:r w:rsidRPr="00923B1A">
        <w:rPr>
          <w:color w:val="0000FF"/>
          <w:sz w:val="28"/>
          <w:szCs w:val="28"/>
          <w:rtl/>
        </w:rPr>
        <w:t>–</w:t>
      </w:r>
      <w:r w:rsidRPr="00923B1A">
        <w:rPr>
          <w:rFonts w:hint="cs"/>
          <w:color w:val="0000FF"/>
          <w:sz w:val="28"/>
          <w:szCs w:val="28"/>
          <w:rtl/>
        </w:rPr>
        <w:t xml:space="preserve"> ص 419</w:t>
      </w:r>
      <w:r>
        <w:rPr>
          <w:rFonts w:hint="cs"/>
          <w:color w:val="0000FF"/>
          <w:sz w:val="28"/>
          <w:szCs w:val="28"/>
          <w:rtl/>
        </w:rPr>
        <w:t xml:space="preserve"> .</w:t>
      </w:r>
    </w:p>
  </w:footnote>
  <w:footnote w:id="7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13</w:t>
      </w:r>
      <w:r>
        <w:rPr>
          <w:rFonts w:hint="cs"/>
          <w:color w:val="0000FF"/>
          <w:sz w:val="28"/>
          <w:szCs w:val="28"/>
          <w:rtl/>
        </w:rPr>
        <w:t xml:space="preserve"> .</w:t>
      </w:r>
    </w:p>
  </w:footnote>
  <w:footnote w:id="8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إذا تعاقد الشريك المتضامن غير المدير باسم الشركة مع الغير في غير أراضها</w:t>
      </w:r>
      <w:r>
        <w:rPr>
          <w:rFonts w:hint="cs"/>
          <w:color w:val="0000FF"/>
          <w:sz w:val="28"/>
          <w:szCs w:val="28"/>
          <w:rtl/>
        </w:rPr>
        <w:t xml:space="preserve"> ،</w:t>
      </w:r>
      <w:r w:rsidRPr="00923B1A">
        <w:rPr>
          <w:rFonts w:hint="cs"/>
          <w:color w:val="0000FF"/>
          <w:sz w:val="28"/>
          <w:szCs w:val="28"/>
          <w:rtl/>
        </w:rPr>
        <w:t xml:space="preserve"> فإن تعاقدت وإن لم يكن ملزماً للشركة يلزمه شخصياً قبل الغير الذي تعاقد معه</w:t>
      </w:r>
      <w:r>
        <w:rPr>
          <w:rFonts w:hint="cs"/>
          <w:color w:val="0000FF"/>
          <w:sz w:val="28"/>
          <w:szCs w:val="28"/>
          <w:rtl/>
        </w:rPr>
        <w:t xml:space="preserve"> .</w:t>
      </w:r>
      <w:r w:rsidRPr="00923B1A">
        <w:rPr>
          <w:rFonts w:hint="cs"/>
          <w:color w:val="0000FF"/>
          <w:sz w:val="28"/>
          <w:szCs w:val="28"/>
          <w:rtl/>
        </w:rPr>
        <w:t xml:space="preserve"> وعلى ذلك فإذا كان الحكم قد قرر مسئولية ذلك الشريك شخصياً عن كفالة عقدها</w:t>
      </w:r>
      <w:r>
        <w:rPr>
          <w:rFonts w:hint="cs"/>
          <w:color w:val="0000FF"/>
          <w:sz w:val="28"/>
          <w:szCs w:val="28"/>
          <w:rtl/>
        </w:rPr>
        <w:t xml:space="preserve"> ،</w:t>
      </w:r>
      <w:r w:rsidRPr="00923B1A">
        <w:rPr>
          <w:rFonts w:hint="cs"/>
          <w:color w:val="0000FF"/>
          <w:sz w:val="28"/>
          <w:szCs w:val="28"/>
          <w:rtl/>
        </w:rPr>
        <w:t xml:space="preserve"> منتحلا فيها صفة غير صحيحة وهي أنه مدير للشركة حالة كونه غير مدير لها وليس من أغراض الشركة ضمان الغير</w:t>
      </w:r>
      <w:r>
        <w:rPr>
          <w:rFonts w:hint="cs"/>
          <w:color w:val="0000FF"/>
          <w:sz w:val="28"/>
          <w:szCs w:val="28"/>
          <w:rtl/>
        </w:rPr>
        <w:t xml:space="preserve"> ،</w:t>
      </w:r>
      <w:r w:rsidRPr="00923B1A">
        <w:rPr>
          <w:rFonts w:hint="cs"/>
          <w:color w:val="0000FF"/>
          <w:sz w:val="28"/>
          <w:szCs w:val="28"/>
          <w:rtl/>
        </w:rPr>
        <w:t xml:space="preserve"> فان الحكم يكون قد أصاب القانون</w:t>
      </w:r>
      <w:r>
        <w:rPr>
          <w:rFonts w:hint="cs"/>
          <w:color w:val="0000FF"/>
          <w:sz w:val="28"/>
          <w:szCs w:val="28"/>
          <w:rtl/>
        </w:rPr>
        <w:t xml:space="preserve"> .</w:t>
      </w:r>
      <w:r w:rsidRPr="00923B1A">
        <w:rPr>
          <w:rFonts w:hint="cs"/>
          <w:color w:val="0000FF"/>
          <w:sz w:val="28"/>
          <w:szCs w:val="28"/>
          <w:rtl/>
        </w:rPr>
        <w:t xml:space="preserve"> كذلك إذا كان الحكم قد انتهى إلى  أن الشركي المتضامن  قد أخطأ في الكفالة التي عقدها مع الغير</w:t>
      </w:r>
      <w:r>
        <w:rPr>
          <w:rFonts w:hint="cs"/>
          <w:color w:val="0000FF"/>
          <w:sz w:val="28"/>
          <w:szCs w:val="28"/>
          <w:rtl/>
        </w:rPr>
        <w:t xml:space="preserve"> ،</w:t>
      </w:r>
      <w:r w:rsidRPr="00923B1A">
        <w:rPr>
          <w:rFonts w:hint="cs"/>
          <w:color w:val="0000FF"/>
          <w:sz w:val="28"/>
          <w:szCs w:val="28"/>
          <w:rtl/>
        </w:rPr>
        <w:t xml:space="preserve"> بإخفائه حقيقة صفته في النيابة عن الشركة</w:t>
      </w:r>
      <w:r>
        <w:rPr>
          <w:rFonts w:hint="cs"/>
          <w:color w:val="0000FF"/>
          <w:sz w:val="28"/>
          <w:szCs w:val="28"/>
          <w:rtl/>
        </w:rPr>
        <w:t xml:space="preserve"> ،</w:t>
      </w:r>
      <w:r w:rsidRPr="00923B1A">
        <w:rPr>
          <w:rFonts w:hint="cs"/>
          <w:color w:val="0000FF"/>
          <w:sz w:val="28"/>
          <w:szCs w:val="28"/>
          <w:rtl/>
        </w:rPr>
        <w:t xml:space="preserve"> ورتب على ذلك أن هذا الغير أصابه ضرر هو حرمانه من تضامن الشركة </w:t>
      </w:r>
      <w:r w:rsidRPr="00923B1A">
        <w:rPr>
          <w:color w:val="0000FF"/>
          <w:sz w:val="28"/>
          <w:szCs w:val="28"/>
          <w:rtl/>
        </w:rPr>
        <w:t>–</w:t>
      </w:r>
      <w:r w:rsidRPr="00923B1A">
        <w:rPr>
          <w:rFonts w:hint="cs"/>
          <w:color w:val="0000FF"/>
          <w:sz w:val="28"/>
          <w:szCs w:val="28"/>
          <w:rtl/>
        </w:rPr>
        <w:t xml:space="preserve"> التي ادعى الشريك أنه يمثلها </w:t>
      </w:r>
      <w:r w:rsidRPr="00923B1A">
        <w:rPr>
          <w:color w:val="0000FF"/>
          <w:sz w:val="28"/>
          <w:szCs w:val="28"/>
          <w:rtl/>
        </w:rPr>
        <w:t>–</w:t>
      </w:r>
      <w:r w:rsidRPr="00923B1A">
        <w:rPr>
          <w:rFonts w:hint="cs"/>
          <w:color w:val="0000FF"/>
          <w:sz w:val="28"/>
          <w:szCs w:val="28"/>
          <w:rtl/>
        </w:rPr>
        <w:t xml:space="preserve"> مع المدين في الوفاء بالدين</w:t>
      </w:r>
      <w:r>
        <w:rPr>
          <w:rFonts w:hint="cs"/>
          <w:color w:val="0000FF"/>
          <w:sz w:val="28"/>
          <w:szCs w:val="28"/>
          <w:rtl/>
        </w:rPr>
        <w:t xml:space="preserve"> ،</w:t>
      </w:r>
      <w:r w:rsidRPr="00923B1A">
        <w:rPr>
          <w:rFonts w:hint="cs"/>
          <w:color w:val="0000FF"/>
          <w:sz w:val="28"/>
          <w:szCs w:val="28"/>
          <w:rtl/>
        </w:rPr>
        <w:t xml:space="preserve"> فإنه لا يؤثر في تحقق هذا الضرر القول بملاءة المدين أو الضامنين الآخرين</w:t>
      </w:r>
      <w:r>
        <w:rPr>
          <w:rFonts w:hint="cs"/>
          <w:color w:val="0000FF"/>
          <w:sz w:val="28"/>
          <w:szCs w:val="28"/>
          <w:rtl/>
        </w:rPr>
        <w:t xml:space="preserve"> .</w:t>
      </w:r>
      <w:r w:rsidRPr="00923B1A">
        <w:rPr>
          <w:rFonts w:hint="cs"/>
          <w:color w:val="0000FF"/>
          <w:sz w:val="28"/>
          <w:szCs w:val="28"/>
          <w:rtl/>
        </w:rPr>
        <w:t xml:space="preserve"> ولا يقبل من الشريك المذكور أن يدفع مسئوليته بالقول بوجود ضمان آخرين مسئولين</w:t>
      </w:r>
      <w:r>
        <w:rPr>
          <w:rFonts w:hint="cs"/>
          <w:color w:val="0000FF"/>
          <w:sz w:val="28"/>
          <w:szCs w:val="28"/>
          <w:rtl/>
        </w:rPr>
        <w:t xml:space="preserve"> ،</w:t>
      </w:r>
      <w:r w:rsidRPr="00923B1A">
        <w:rPr>
          <w:rFonts w:hint="cs"/>
          <w:color w:val="0000FF"/>
          <w:sz w:val="28"/>
          <w:szCs w:val="28"/>
          <w:rtl/>
        </w:rPr>
        <w:t xml:space="preserve"> لأن مسئوليته مردها الخطأ التدليس </w:t>
      </w:r>
      <w:r>
        <w:rPr>
          <w:rFonts w:hint="cs"/>
          <w:color w:val="0000FF"/>
          <w:sz w:val="28"/>
          <w:szCs w:val="28"/>
          <w:rtl/>
        </w:rPr>
        <w:t xml:space="preserve">( </w:t>
      </w:r>
      <w:r w:rsidRPr="00923B1A">
        <w:rPr>
          <w:rFonts w:hint="cs"/>
          <w:color w:val="0000FF"/>
          <w:sz w:val="28"/>
          <w:szCs w:val="28"/>
          <w:rtl/>
        </w:rPr>
        <w:t>نقض مدني 27 يونيه سنة 1957 مجموعة أحكام النقض 8 ص 625</w:t>
      </w:r>
      <w:r>
        <w:rPr>
          <w:rFonts w:hint="cs"/>
          <w:color w:val="0000FF"/>
          <w:sz w:val="28"/>
          <w:szCs w:val="28"/>
          <w:rtl/>
        </w:rPr>
        <w:t xml:space="preserve"> ) .</w:t>
      </w:r>
    </w:p>
  </w:footnote>
  <w:footnote w:id="8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949 ص 508</w:t>
      </w:r>
      <w:r>
        <w:rPr>
          <w:rFonts w:hint="cs"/>
          <w:color w:val="0000FF"/>
          <w:sz w:val="28"/>
          <w:szCs w:val="28"/>
          <w:rtl/>
        </w:rPr>
        <w:t xml:space="preserve"> .</w:t>
      </w:r>
    </w:p>
  </w:footnote>
  <w:footnote w:id="8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كفالة الالتزام أيا كان مصدره ترولون فقرة 50 </w:t>
      </w:r>
      <w:r w:rsidRPr="00923B1A">
        <w:rPr>
          <w:color w:val="0000FF"/>
          <w:sz w:val="28"/>
          <w:szCs w:val="28"/>
          <w:rtl/>
        </w:rPr>
        <w:t>–</w:t>
      </w:r>
      <w:r w:rsidRPr="00923B1A">
        <w:rPr>
          <w:rFonts w:hint="cs"/>
          <w:color w:val="0000FF"/>
          <w:sz w:val="28"/>
          <w:szCs w:val="28"/>
          <w:rtl/>
        </w:rPr>
        <w:t xml:space="preserve"> جيوار فقرة 54 </w:t>
      </w:r>
      <w:r w:rsidRPr="00923B1A">
        <w:rPr>
          <w:color w:val="0000FF"/>
          <w:sz w:val="28"/>
          <w:szCs w:val="28"/>
          <w:rtl/>
        </w:rPr>
        <w:t>–</w:t>
      </w:r>
      <w:r w:rsidRPr="00923B1A">
        <w:rPr>
          <w:rFonts w:hint="cs"/>
          <w:color w:val="0000FF"/>
          <w:sz w:val="28"/>
          <w:szCs w:val="28"/>
          <w:rtl/>
        </w:rPr>
        <w:t xml:space="preserve"> بودري وفال فقرة 949</w:t>
      </w:r>
      <w:r>
        <w:rPr>
          <w:rFonts w:hint="cs"/>
          <w:color w:val="0000FF"/>
          <w:sz w:val="28"/>
          <w:szCs w:val="28"/>
          <w:rtl/>
        </w:rPr>
        <w:t xml:space="preserve"> .</w:t>
      </w:r>
    </w:p>
  </w:footnote>
  <w:footnote w:id="8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26 </w:t>
      </w:r>
      <w:r w:rsidRPr="00923B1A">
        <w:rPr>
          <w:color w:val="0000FF"/>
          <w:sz w:val="28"/>
          <w:szCs w:val="28"/>
          <w:rtl/>
        </w:rPr>
        <w:t>–</w:t>
      </w:r>
      <w:r w:rsidRPr="00923B1A">
        <w:rPr>
          <w:rFonts w:hint="cs"/>
          <w:color w:val="0000FF"/>
          <w:sz w:val="28"/>
          <w:szCs w:val="28"/>
          <w:rtl/>
        </w:rPr>
        <w:t xml:space="preserve"> لوران 28 فقرة 128 </w:t>
      </w:r>
      <w:r w:rsidRPr="00923B1A">
        <w:rPr>
          <w:color w:val="0000FF"/>
          <w:sz w:val="28"/>
          <w:szCs w:val="28"/>
          <w:rtl/>
        </w:rPr>
        <w:t>–</w:t>
      </w:r>
      <w:r w:rsidRPr="00923B1A">
        <w:rPr>
          <w:rFonts w:hint="cs"/>
          <w:color w:val="0000FF"/>
          <w:sz w:val="28"/>
          <w:szCs w:val="28"/>
          <w:rtl/>
        </w:rPr>
        <w:t xml:space="preserve"> جيوار فقرة 51 وفقرة 54 </w:t>
      </w:r>
      <w:r w:rsidRPr="00923B1A">
        <w:rPr>
          <w:color w:val="0000FF"/>
          <w:sz w:val="28"/>
          <w:szCs w:val="28"/>
          <w:rtl/>
        </w:rPr>
        <w:t>–</w:t>
      </w:r>
      <w:r w:rsidRPr="00923B1A">
        <w:rPr>
          <w:rFonts w:hint="cs"/>
          <w:color w:val="0000FF"/>
          <w:sz w:val="28"/>
          <w:szCs w:val="28"/>
          <w:rtl/>
        </w:rPr>
        <w:t xml:space="preserve"> بودري وفال فقرة 949 ص 508</w:t>
      </w:r>
      <w:r>
        <w:rPr>
          <w:rFonts w:hint="cs"/>
          <w:color w:val="0000FF"/>
          <w:sz w:val="28"/>
          <w:szCs w:val="28"/>
          <w:rtl/>
        </w:rPr>
        <w:t xml:space="preserve"> .</w:t>
      </w:r>
    </w:p>
  </w:footnote>
  <w:footnote w:id="8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الفقرة الأولى من المادة 1135 من المشروع التمهيدي على الوجه الآتي "لا تصح الكفالة إلا في التزام صحيح"</w:t>
      </w:r>
      <w:r>
        <w:rPr>
          <w:rFonts w:hint="cs"/>
          <w:color w:val="0000FF"/>
          <w:sz w:val="28"/>
          <w:szCs w:val="28"/>
          <w:rtl/>
        </w:rPr>
        <w:t xml:space="preserve"> .</w:t>
      </w:r>
      <w:r w:rsidRPr="00923B1A">
        <w:rPr>
          <w:rFonts w:hint="cs"/>
          <w:color w:val="0000FF"/>
          <w:sz w:val="28"/>
          <w:szCs w:val="28"/>
          <w:rtl/>
        </w:rPr>
        <w:t xml:space="preserve"> وفي لجنة المراجعة عدل النص على الوجه الآتي</w:t>
      </w:r>
      <w:r>
        <w:rPr>
          <w:rFonts w:hint="cs"/>
          <w:color w:val="0000FF"/>
          <w:sz w:val="28"/>
          <w:szCs w:val="28"/>
          <w:rtl/>
        </w:rPr>
        <w:t xml:space="preserve"> :</w:t>
      </w:r>
      <w:r w:rsidRPr="00923B1A">
        <w:rPr>
          <w:rFonts w:hint="cs"/>
          <w:color w:val="0000FF"/>
          <w:sz w:val="28"/>
          <w:szCs w:val="28"/>
          <w:rtl/>
        </w:rPr>
        <w:t xml:space="preserve"> "الكفالة باطلة إذا كان الالتزام المكفول باطلا"</w:t>
      </w:r>
      <w:r>
        <w:rPr>
          <w:rFonts w:hint="cs"/>
          <w:color w:val="0000FF"/>
          <w:sz w:val="28"/>
          <w:szCs w:val="28"/>
          <w:rtl/>
        </w:rPr>
        <w:t xml:space="preserve"> ،</w:t>
      </w:r>
      <w:r w:rsidRPr="00923B1A">
        <w:rPr>
          <w:rFonts w:hint="cs"/>
          <w:color w:val="0000FF"/>
          <w:sz w:val="28"/>
          <w:szCs w:val="28"/>
          <w:rtl/>
        </w:rPr>
        <w:t xml:space="preserve"> وأصبح رقمه 845 في المشروع النهائي</w:t>
      </w:r>
      <w:r>
        <w:rPr>
          <w:rFonts w:hint="cs"/>
          <w:color w:val="0000FF"/>
          <w:sz w:val="28"/>
          <w:szCs w:val="28"/>
          <w:rtl/>
        </w:rPr>
        <w:t xml:space="preserve"> .</w:t>
      </w:r>
      <w:r w:rsidRPr="00923B1A">
        <w:rPr>
          <w:rFonts w:hint="cs"/>
          <w:color w:val="0000FF"/>
          <w:sz w:val="28"/>
          <w:szCs w:val="28"/>
          <w:rtl/>
        </w:rPr>
        <w:t xml:space="preserve"> وحذف مجلس النواب هذا النص</w:t>
      </w:r>
      <w:r>
        <w:rPr>
          <w:rFonts w:hint="cs"/>
          <w:color w:val="0000FF"/>
          <w:sz w:val="28"/>
          <w:szCs w:val="28"/>
          <w:rtl/>
        </w:rPr>
        <w:t xml:space="preserve"> ،</w:t>
      </w:r>
      <w:r w:rsidRPr="00923B1A">
        <w:rPr>
          <w:rFonts w:hint="cs"/>
          <w:color w:val="0000FF"/>
          <w:sz w:val="28"/>
          <w:szCs w:val="28"/>
          <w:rtl/>
        </w:rPr>
        <w:t xml:space="preserve"> اكتفاء بغيره من النصوص التي وردت</w:t>
      </w:r>
      <w:r>
        <w:rPr>
          <w:rFonts w:hint="cs"/>
          <w:color w:val="0000FF"/>
          <w:sz w:val="28"/>
          <w:szCs w:val="28"/>
          <w:rtl/>
        </w:rPr>
        <w:t xml:space="preserve"> .</w:t>
      </w:r>
      <w:r w:rsidRPr="00923B1A">
        <w:rPr>
          <w:rFonts w:hint="cs"/>
          <w:color w:val="0000FF"/>
          <w:sz w:val="28"/>
          <w:szCs w:val="28"/>
          <w:rtl/>
        </w:rPr>
        <w:t xml:space="preserve"> وفي لجنة مجلس الشيوخ طلبت الحكومة إعادة النص المحذوف تمهيداً لما يأتي بعده من النصوص</w:t>
      </w:r>
      <w:r>
        <w:rPr>
          <w:rFonts w:hint="cs"/>
          <w:color w:val="0000FF"/>
          <w:sz w:val="28"/>
          <w:szCs w:val="28"/>
          <w:rtl/>
        </w:rPr>
        <w:t xml:space="preserve"> ،</w:t>
      </w:r>
      <w:r w:rsidRPr="00923B1A">
        <w:rPr>
          <w:rFonts w:hint="cs"/>
          <w:color w:val="0000FF"/>
          <w:sz w:val="28"/>
          <w:szCs w:val="28"/>
          <w:rtl/>
        </w:rPr>
        <w:t xml:space="preserve"> ومنها النص على كفالة ناقص الأهلية</w:t>
      </w:r>
      <w:r>
        <w:rPr>
          <w:rFonts w:hint="cs"/>
          <w:color w:val="0000FF"/>
          <w:sz w:val="28"/>
          <w:szCs w:val="28"/>
          <w:rtl/>
        </w:rPr>
        <w:t xml:space="preserve"> .</w:t>
      </w:r>
      <w:r w:rsidRPr="00923B1A">
        <w:rPr>
          <w:rFonts w:hint="cs"/>
          <w:color w:val="0000FF"/>
          <w:sz w:val="28"/>
          <w:szCs w:val="28"/>
          <w:rtl/>
        </w:rPr>
        <w:t xml:space="preserve"> فإذا كان الكفيل يجه8ل نقص أهليته كان التزامه قابلا للإبطال كالالتزام الأصلي</w:t>
      </w:r>
      <w:r>
        <w:rPr>
          <w:rFonts w:hint="cs"/>
          <w:color w:val="0000FF"/>
          <w:sz w:val="28"/>
          <w:szCs w:val="28"/>
          <w:rtl/>
        </w:rPr>
        <w:t xml:space="preserve"> ،</w:t>
      </w:r>
      <w:r w:rsidRPr="00923B1A">
        <w:rPr>
          <w:rFonts w:hint="cs"/>
          <w:color w:val="0000FF"/>
          <w:sz w:val="28"/>
          <w:szCs w:val="28"/>
          <w:rtl/>
        </w:rPr>
        <w:t xml:space="preserve"> وهذا بخلاف ما إذا كان الكفيل يعلم نقص الأهلية فإنه لا يستطيع التمسك بهذا الدفع ولكنه يبقى كفيلا</w:t>
      </w:r>
      <w:r>
        <w:rPr>
          <w:rFonts w:hint="cs"/>
          <w:color w:val="0000FF"/>
          <w:sz w:val="28"/>
          <w:szCs w:val="28"/>
          <w:rtl/>
        </w:rPr>
        <w:t xml:space="preserve"> ،</w:t>
      </w:r>
      <w:r w:rsidRPr="00923B1A">
        <w:rPr>
          <w:rFonts w:hint="cs"/>
          <w:color w:val="0000FF"/>
          <w:sz w:val="28"/>
          <w:szCs w:val="28"/>
          <w:rtl/>
        </w:rPr>
        <w:t xml:space="preserve"> وبخلاف ما إذا كان الكفيل كفل ناص الأهلية بسبب ناقص أهليته فإنه لا يستطيع التمسك بنقص الأهلية بل لا يكون كفيلا أصلاً إذ هو مدين أصلي</w:t>
      </w:r>
      <w:r>
        <w:rPr>
          <w:rFonts w:hint="cs"/>
          <w:color w:val="0000FF"/>
          <w:sz w:val="28"/>
          <w:szCs w:val="28"/>
          <w:rtl/>
        </w:rPr>
        <w:t xml:space="preserve"> .</w:t>
      </w:r>
      <w:r w:rsidRPr="00923B1A">
        <w:rPr>
          <w:rFonts w:hint="cs"/>
          <w:color w:val="0000FF"/>
          <w:sz w:val="28"/>
          <w:szCs w:val="28"/>
          <w:rtl/>
        </w:rPr>
        <w:t xml:space="preserve"> وقد وافقت اللجنة على إعادة النص إلى المشروع بالصيغة الآتية</w:t>
      </w:r>
      <w:r>
        <w:rPr>
          <w:rFonts w:hint="cs"/>
          <w:color w:val="0000FF"/>
          <w:sz w:val="28"/>
          <w:szCs w:val="28"/>
          <w:rtl/>
        </w:rPr>
        <w:t xml:space="preserve"> :</w:t>
      </w:r>
      <w:r w:rsidRPr="00923B1A">
        <w:rPr>
          <w:rFonts w:hint="cs"/>
          <w:color w:val="0000FF"/>
          <w:sz w:val="28"/>
          <w:szCs w:val="28"/>
          <w:rtl/>
        </w:rPr>
        <w:t xml:space="preserve"> "لا تكون الكفالة صحيحة إلا إذا كان الالتزام المكفول صحيحاً"</w:t>
      </w:r>
      <w:r>
        <w:rPr>
          <w:rFonts w:hint="cs"/>
          <w:color w:val="0000FF"/>
          <w:sz w:val="28"/>
          <w:szCs w:val="28"/>
          <w:rtl/>
        </w:rPr>
        <w:t xml:space="preserve"> ،</w:t>
      </w:r>
      <w:r w:rsidRPr="00923B1A">
        <w:rPr>
          <w:rFonts w:hint="cs"/>
          <w:color w:val="0000FF"/>
          <w:sz w:val="28"/>
          <w:szCs w:val="28"/>
          <w:rtl/>
        </w:rPr>
        <w:t xml:space="preserve"> فأصبح النص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وقالت اللجنة في تقريرها</w:t>
      </w:r>
      <w:r>
        <w:rPr>
          <w:rFonts w:hint="cs"/>
          <w:color w:val="0000FF"/>
          <w:sz w:val="28"/>
          <w:szCs w:val="28"/>
          <w:rtl/>
        </w:rPr>
        <w:t xml:space="preserve"> :</w:t>
      </w:r>
      <w:r w:rsidRPr="00923B1A">
        <w:rPr>
          <w:rFonts w:hint="cs"/>
          <w:color w:val="0000FF"/>
          <w:sz w:val="28"/>
          <w:szCs w:val="28"/>
          <w:rtl/>
        </w:rPr>
        <w:t xml:space="preserve"> "وقد راعت اللجنة في هذا التعديل أن الكفالة قد يقصد منها ضمان الوفاء إذا كان الالتزام الأصلي باطلا</w:t>
      </w:r>
      <w:r>
        <w:rPr>
          <w:rFonts w:hint="cs"/>
          <w:color w:val="0000FF"/>
          <w:sz w:val="28"/>
          <w:szCs w:val="28"/>
          <w:rtl/>
        </w:rPr>
        <w:t xml:space="preserve"> ،</w:t>
      </w:r>
      <w:r w:rsidRPr="00923B1A">
        <w:rPr>
          <w:rFonts w:hint="cs"/>
          <w:color w:val="0000FF"/>
          <w:sz w:val="28"/>
          <w:szCs w:val="28"/>
          <w:rtl/>
        </w:rPr>
        <w:t xml:space="preserve"> متى أنصفت النية إلى تأمين الدائن من خطر التمسك بالبطلان</w:t>
      </w:r>
      <w:r>
        <w:rPr>
          <w:rFonts w:hint="cs"/>
          <w:color w:val="0000FF"/>
          <w:sz w:val="28"/>
          <w:szCs w:val="28"/>
          <w:rtl/>
        </w:rPr>
        <w:t xml:space="preserve"> .</w:t>
      </w:r>
      <w:r w:rsidRPr="00923B1A">
        <w:rPr>
          <w:rFonts w:hint="cs"/>
          <w:color w:val="0000FF"/>
          <w:sz w:val="28"/>
          <w:szCs w:val="28"/>
          <w:rtl/>
        </w:rPr>
        <w:t xml:space="preserve"> ولهذا رؤى أن يقتصر النص على حكم الكفالة التي يقصد منها إلى ضمان الوفاء بالالتزام</w:t>
      </w:r>
      <w:r>
        <w:rPr>
          <w:rFonts w:hint="cs"/>
          <w:color w:val="0000FF"/>
          <w:sz w:val="28"/>
          <w:szCs w:val="28"/>
          <w:rtl/>
        </w:rPr>
        <w:t xml:space="preserve"> ،</w:t>
      </w:r>
      <w:r w:rsidRPr="00923B1A">
        <w:rPr>
          <w:rFonts w:hint="cs"/>
          <w:color w:val="0000FF"/>
          <w:sz w:val="28"/>
          <w:szCs w:val="28"/>
          <w:rtl/>
        </w:rPr>
        <w:t xml:space="preserve"> وهي تفترض بطبيعة الحال أن يكون الالتزام المكفول صحيحاً</w:t>
      </w:r>
      <w:r>
        <w:rPr>
          <w:rFonts w:hint="cs"/>
          <w:color w:val="0000FF"/>
          <w:sz w:val="28"/>
          <w:szCs w:val="28"/>
          <w:rtl/>
        </w:rPr>
        <w:t xml:space="preserve"> .</w:t>
      </w:r>
      <w:r w:rsidRPr="00923B1A">
        <w:rPr>
          <w:rFonts w:hint="cs"/>
          <w:color w:val="0000FF"/>
          <w:sz w:val="28"/>
          <w:szCs w:val="28"/>
          <w:rtl/>
        </w:rPr>
        <w:t xml:space="preserve"> وأصبح رقم المادة 776</w:t>
      </w:r>
      <w:r>
        <w:rPr>
          <w:rFonts w:hint="cs"/>
          <w:color w:val="0000FF"/>
          <w:sz w:val="28"/>
          <w:szCs w:val="28"/>
          <w:rtl/>
        </w:rPr>
        <w:t xml:space="preserve"> .</w:t>
      </w:r>
      <w:r w:rsidRPr="00923B1A">
        <w:rPr>
          <w:rFonts w:hint="cs"/>
          <w:color w:val="0000FF"/>
          <w:sz w:val="28"/>
          <w:szCs w:val="28"/>
          <w:rtl/>
        </w:rPr>
        <w:t xml:space="preserve"> ووافق مجلس الشيوخ على المادة كما أقرتها لجنته </w:t>
      </w:r>
      <w:r>
        <w:rPr>
          <w:rFonts w:hint="cs"/>
          <w:color w:val="0000FF"/>
          <w:sz w:val="28"/>
          <w:szCs w:val="28"/>
          <w:rtl/>
        </w:rPr>
        <w:t xml:space="preserve">( </w:t>
      </w:r>
      <w:r w:rsidRPr="00923B1A">
        <w:rPr>
          <w:rFonts w:hint="cs"/>
          <w:color w:val="0000FF"/>
          <w:sz w:val="28"/>
          <w:szCs w:val="28"/>
          <w:rtl/>
        </w:rPr>
        <w:t xml:space="preserve">مجموعة الأعمال التحضيرية ص 443 </w:t>
      </w:r>
      <w:r w:rsidRPr="00923B1A">
        <w:rPr>
          <w:color w:val="0000FF"/>
          <w:sz w:val="28"/>
          <w:szCs w:val="28"/>
          <w:rtl/>
        </w:rPr>
        <w:t>–</w:t>
      </w:r>
      <w:r w:rsidRPr="00923B1A">
        <w:rPr>
          <w:rFonts w:hint="cs"/>
          <w:color w:val="0000FF"/>
          <w:sz w:val="28"/>
          <w:szCs w:val="28"/>
          <w:rtl/>
        </w:rPr>
        <w:t xml:space="preserve"> ص 446</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وانظر مناقشات لجنة الأستاذ كامل صدقي في صدد هذا النص في مجموعة الأعمال التحضيرية 5 ص 443 </w:t>
      </w:r>
      <w:r w:rsidRPr="00923B1A">
        <w:rPr>
          <w:color w:val="0000FF"/>
          <w:sz w:val="28"/>
          <w:szCs w:val="28"/>
          <w:rtl/>
        </w:rPr>
        <w:t>–</w:t>
      </w:r>
      <w:r w:rsidRPr="00923B1A">
        <w:rPr>
          <w:rFonts w:hint="cs"/>
          <w:color w:val="0000FF"/>
          <w:sz w:val="28"/>
          <w:szCs w:val="28"/>
          <w:rtl/>
        </w:rPr>
        <w:t xml:space="preserve"> ص 446 في الهامش</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446/605</w:t>
      </w:r>
      <w:r>
        <w:rPr>
          <w:rFonts w:hint="cs"/>
          <w:color w:val="0000FF"/>
          <w:sz w:val="28"/>
          <w:szCs w:val="28"/>
          <w:rtl/>
        </w:rPr>
        <w:t xml:space="preserve"> :</w:t>
      </w:r>
      <w:r w:rsidRPr="00923B1A">
        <w:rPr>
          <w:rFonts w:hint="cs"/>
          <w:color w:val="0000FF"/>
          <w:sz w:val="28"/>
          <w:szCs w:val="28"/>
          <w:rtl/>
        </w:rPr>
        <w:t xml:space="preserve"> الكفالة باطلة إذا كان الدين المكفول به باطلا ما لم تكمن الكفالة حاصلة بسبب عدم أهلية المدين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1056 لا تصح الكفالة إلا لموجب صحيح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footnote>
  <w:footnote w:id="85">
    <w:p w:rsidR="00F72742" w:rsidRPr="00923B1A" w:rsidRDefault="00F72742" w:rsidP="00F72742">
      <w:pPr>
        <w:pStyle w:val="aa"/>
        <w:widowControl w:val="0"/>
        <w:ind w:firstLine="567"/>
        <w:jc w:val="lowKashida"/>
        <w:rPr>
          <w:rFonts w:hint="cs"/>
          <w:color w:val="0000FF"/>
          <w:sz w:val="28"/>
          <w:szCs w:val="28"/>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فتجوز كفالة الالتزام بعمل إذا كان هذا الالتزام صحيحاً</w:t>
      </w:r>
      <w:r>
        <w:rPr>
          <w:rFonts w:hint="cs"/>
          <w:color w:val="0000FF"/>
          <w:sz w:val="28"/>
          <w:szCs w:val="28"/>
          <w:rtl/>
        </w:rPr>
        <w:t xml:space="preserve"> ،</w:t>
      </w:r>
      <w:r w:rsidRPr="00923B1A">
        <w:rPr>
          <w:rFonts w:hint="cs"/>
          <w:color w:val="0000FF"/>
          <w:sz w:val="28"/>
          <w:szCs w:val="28"/>
          <w:rtl/>
        </w:rPr>
        <w:t xml:space="preserve"> حتى لو عقد لاعتبار شخصي في المدين </w:t>
      </w:r>
      <w:r>
        <w:rPr>
          <w:color w:val="0000FF"/>
          <w:sz w:val="28"/>
          <w:szCs w:val="28"/>
          <w:rtl/>
        </w:rPr>
        <w:t xml:space="preserve">( </w:t>
      </w:r>
      <w:r w:rsidRPr="00923B1A">
        <w:rPr>
          <w:color w:val="0000FF"/>
          <w:sz w:val="28"/>
          <w:szCs w:val="28"/>
        </w:rPr>
        <w:t>intultu personane</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ويضمن الكفيل في هذه الحالة التعويض المترتب في ذمة المدين الأصلي بسبب إخلاله بالتزامه</w:t>
      </w:r>
      <w:r>
        <w:rPr>
          <w:rFonts w:hint="cs"/>
          <w:color w:val="0000FF"/>
          <w:sz w:val="28"/>
          <w:szCs w:val="28"/>
          <w:rtl/>
        </w:rPr>
        <w:t xml:space="preserve"> .</w:t>
      </w:r>
      <w:r w:rsidRPr="00923B1A">
        <w:rPr>
          <w:rFonts w:hint="cs"/>
          <w:color w:val="0000FF"/>
          <w:sz w:val="28"/>
          <w:szCs w:val="28"/>
          <w:rtl/>
        </w:rPr>
        <w:t xml:space="preserve"> فيجوز لمصور أو نحات مثلا أن يلتزم بعمل صورة أو نحت تمثال</w:t>
      </w:r>
      <w:r>
        <w:rPr>
          <w:rFonts w:hint="cs"/>
          <w:color w:val="0000FF"/>
          <w:sz w:val="28"/>
          <w:szCs w:val="28"/>
          <w:rtl/>
        </w:rPr>
        <w:t xml:space="preserve"> ،</w:t>
      </w:r>
      <w:r w:rsidRPr="00923B1A">
        <w:rPr>
          <w:rFonts w:hint="cs"/>
          <w:color w:val="0000FF"/>
          <w:sz w:val="28"/>
          <w:szCs w:val="28"/>
          <w:rtl/>
        </w:rPr>
        <w:t xml:space="preserve"> وتكون شخصية المصور أو النحات ملحوظة في هذا الالتزام</w:t>
      </w:r>
      <w:r>
        <w:rPr>
          <w:rFonts w:hint="cs"/>
          <w:color w:val="0000FF"/>
          <w:sz w:val="28"/>
          <w:szCs w:val="28"/>
          <w:rtl/>
        </w:rPr>
        <w:t xml:space="preserve"> ،</w:t>
      </w:r>
      <w:r w:rsidRPr="00923B1A">
        <w:rPr>
          <w:rFonts w:hint="cs"/>
          <w:color w:val="0000FF"/>
          <w:sz w:val="28"/>
          <w:szCs w:val="28"/>
          <w:rtl/>
        </w:rPr>
        <w:t xml:space="preserve"> ويأتي الملتزم بكفيل يضمن التعويض الذي يترتب على الإخلال بالالتزام </w:t>
      </w:r>
      <w:r>
        <w:rPr>
          <w:rFonts w:hint="cs"/>
          <w:color w:val="0000FF"/>
          <w:sz w:val="28"/>
          <w:szCs w:val="28"/>
          <w:rtl/>
        </w:rPr>
        <w:t xml:space="preserve">( </w:t>
      </w:r>
      <w:r w:rsidRPr="00923B1A">
        <w:rPr>
          <w:rFonts w:hint="cs"/>
          <w:color w:val="0000FF"/>
          <w:sz w:val="28"/>
          <w:szCs w:val="28"/>
          <w:rtl/>
        </w:rPr>
        <w:t>بلانيول وريبير وسافاتييه فقرة 1516</w:t>
      </w:r>
      <w:r>
        <w:rPr>
          <w:rFonts w:hint="cs"/>
          <w:color w:val="0000FF"/>
          <w:sz w:val="28"/>
          <w:szCs w:val="28"/>
          <w:rtl/>
        </w:rPr>
        <w:t xml:space="preserve"> ) .</w:t>
      </w:r>
      <w:r w:rsidRPr="00923B1A">
        <w:rPr>
          <w:rFonts w:hint="cs"/>
          <w:color w:val="0000FF"/>
          <w:sz w:val="28"/>
          <w:szCs w:val="28"/>
          <w:rtl/>
        </w:rPr>
        <w:t xml:space="preserve"> كما تجوز كفالة الالتزام الناشئ من ورقة الضد </w:t>
      </w:r>
      <w:r>
        <w:rPr>
          <w:color w:val="0000FF"/>
          <w:sz w:val="28"/>
          <w:szCs w:val="28"/>
          <w:rtl/>
        </w:rPr>
        <w:t xml:space="preserve">( </w:t>
      </w:r>
      <w:r w:rsidRPr="00923B1A">
        <w:rPr>
          <w:color w:val="0000FF"/>
          <w:sz w:val="28"/>
          <w:szCs w:val="28"/>
        </w:rPr>
        <w:t>contre-lettre</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ذلك أن الضد عقد صحيح وإن كان لا يحتج به على الغير حسن النية</w:t>
      </w:r>
      <w:r>
        <w:rPr>
          <w:rFonts w:hint="cs"/>
          <w:color w:val="0000FF"/>
          <w:sz w:val="28"/>
          <w:szCs w:val="28"/>
          <w:rtl/>
        </w:rPr>
        <w:t xml:space="preserve"> ،</w:t>
      </w:r>
      <w:r w:rsidRPr="00923B1A">
        <w:rPr>
          <w:rFonts w:hint="cs"/>
          <w:color w:val="0000FF"/>
          <w:sz w:val="28"/>
          <w:szCs w:val="28"/>
          <w:rtl/>
        </w:rPr>
        <w:t xml:space="preserve"> وعلى ذلك تجوز كفالة الالتزام الناشئ عن هذه الورقة </w:t>
      </w:r>
      <w:r>
        <w:rPr>
          <w:rFonts w:hint="cs"/>
          <w:color w:val="0000FF"/>
          <w:sz w:val="28"/>
          <w:szCs w:val="28"/>
          <w:rtl/>
        </w:rPr>
        <w:t xml:space="preserve">( </w:t>
      </w:r>
      <w:r w:rsidRPr="00923B1A">
        <w:rPr>
          <w:rFonts w:hint="cs"/>
          <w:color w:val="0000FF"/>
          <w:sz w:val="28"/>
          <w:szCs w:val="28"/>
          <w:rtl/>
        </w:rPr>
        <w:t>بودري وفال فقرة 944 ص 504</w:t>
      </w:r>
      <w:r>
        <w:rPr>
          <w:rFonts w:hint="cs"/>
          <w:color w:val="0000FF"/>
          <w:sz w:val="28"/>
          <w:szCs w:val="28"/>
          <w:rtl/>
        </w:rPr>
        <w:t xml:space="preserve"> ) .</w:t>
      </w:r>
    </w:p>
  </w:footnote>
  <w:footnote w:id="8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نفس الفقرة في الهامش </w:t>
      </w:r>
      <w:r w:rsidRPr="00923B1A">
        <w:rPr>
          <w:color w:val="0000FF"/>
          <w:sz w:val="28"/>
          <w:szCs w:val="28"/>
          <w:rtl/>
        </w:rPr>
        <w:t>–</w:t>
      </w:r>
      <w:r w:rsidRPr="00923B1A">
        <w:rPr>
          <w:rFonts w:hint="cs"/>
          <w:color w:val="0000FF"/>
          <w:sz w:val="28"/>
          <w:szCs w:val="28"/>
          <w:rtl/>
        </w:rPr>
        <w:t xml:space="preserve"> قد قضت محكمة النقض بأنه إذا قضت المحكمة بأن الكفالة المعطاة لشخص عند ما يرسو عليه مزاد استئجار أطيان إنما كانت من هذه الأطيان المعينة التي لم يتم استئجارها</w:t>
      </w:r>
      <w:r>
        <w:rPr>
          <w:rFonts w:hint="cs"/>
          <w:color w:val="0000FF"/>
          <w:sz w:val="28"/>
          <w:szCs w:val="28"/>
          <w:rtl/>
        </w:rPr>
        <w:t xml:space="preserve"> ،</w:t>
      </w:r>
      <w:r w:rsidRPr="00923B1A">
        <w:rPr>
          <w:rFonts w:hint="cs"/>
          <w:color w:val="0000FF"/>
          <w:sz w:val="28"/>
          <w:szCs w:val="28"/>
          <w:rtl/>
        </w:rPr>
        <w:t xml:space="preserve"> وأنها لا تنسحب على أطيان أخرى ثم استئجارها من صاحب الأطيان الأولى</w:t>
      </w:r>
      <w:r>
        <w:rPr>
          <w:rFonts w:hint="cs"/>
          <w:color w:val="0000FF"/>
          <w:sz w:val="28"/>
          <w:szCs w:val="28"/>
          <w:rtl/>
        </w:rPr>
        <w:t xml:space="preserve"> ،</w:t>
      </w:r>
      <w:r w:rsidRPr="00923B1A">
        <w:rPr>
          <w:rFonts w:hint="cs"/>
          <w:color w:val="0000FF"/>
          <w:sz w:val="28"/>
          <w:szCs w:val="28"/>
          <w:rtl/>
        </w:rPr>
        <w:t xml:space="preserve"> فلا شأن لمحكمة النقض بها متى كانت قد أوردت في أسباب حكمها الاعتبارات التي رأي أنها هي التي حملت الكفيل على الكفالة المقدمة</w:t>
      </w:r>
      <w:r>
        <w:rPr>
          <w:rFonts w:hint="cs"/>
          <w:color w:val="0000FF"/>
          <w:sz w:val="28"/>
          <w:szCs w:val="28"/>
          <w:rtl/>
        </w:rPr>
        <w:t xml:space="preserve"> ،</w:t>
      </w:r>
      <w:r w:rsidRPr="00923B1A">
        <w:rPr>
          <w:rFonts w:hint="cs"/>
          <w:color w:val="0000FF"/>
          <w:sz w:val="28"/>
          <w:szCs w:val="28"/>
          <w:rtl/>
        </w:rPr>
        <w:t xml:space="preserve"> وأبرزت ما بين عملية الإيجار التي تمت والعملية التي تتم من مغايرة</w:t>
      </w:r>
      <w:r>
        <w:rPr>
          <w:rFonts w:hint="cs"/>
          <w:color w:val="0000FF"/>
          <w:sz w:val="28"/>
          <w:szCs w:val="28"/>
          <w:rtl/>
        </w:rPr>
        <w:t xml:space="preserve"> ،</w:t>
      </w:r>
      <w:r w:rsidRPr="00923B1A">
        <w:rPr>
          <w:rFonts w:hint="cs"/>
          <w:color w:val="0000FF"/>
          <w:sz w:val="28"/>
          <w:szCs w:val="28"/>
          <w:rtl/>
        </w:rPr>
        <w:t xml:space="preserve"> وكان ما انتهت إليه من ذلك غير متعارض مع عبارات عقد الكفالة </w:t>
      </w:r>
      <w:r>
        <w:rPr>
          <w:rFonts w:hint="cs"/>
          <w:color w:val="0000FF"/>
          <w:sz w:val="28"/>
          <w:szCs w:val="28"/>
          <w:rtl/>
        </w:rPr>
        <w:t xml:space="preserve">( </w:t>
      </w:r>
      <w:r w:rsidRPr="00923B1A">
        <w:rPr>
          <w:rFonts w:hint="cs"/>
          <w:color w:val="0000FF"/>
          <w:sz w:val="28"/>
          <w:szCs w:val="28"/>
          <w:rtl/>
        </w:rPr>
        <w:t>نقض مدني 23 نوفمبر سنة 1939 مجموعة القواعد القانونية التي قررتها محكمة النقض في 25 عاماً الجزء الثاني ص 936 رقم 3</w:t>
      </w:r>
      <w:r>
        <w:rPr>
          <w:rFonts w:hint="cs"/>
          <w:color w:val="0000FF"/>
          <w:sz w:val="28"/>
          <w:szCs w:val="28"/>
          <w:rtl/>
        </w:rPr>
        <w:t xml:space="preserve"> ) .</w:t>
      </w:r>
      <w:r w:rsidRPr="00923B1A">
        <w:rPr>
          <w:rFonts w:hint="cs"/>
          <w:color w:val="0000FF"/>
          <w:sz w:val="28"/>
          <w:szCs w:val="28"/>
          <w:rtl/>
        </w:rPr>
        <w:t xml:space="preserve"> وقضت أيضاً بأن الكفالة عقد ينطوي على تبرع</w:t>
      </w:r>
      <w:r>
        <w:rPr>
          <w:rFonts w:hint="cs"/>
          <w:color w:val="0000FF"/>
          <w:sz w:val="28"/>
          <w:szCs w:val="28"/>
          <w:rtl/>
        </w:rPr>
        <w:t xml:space="preserve"> ،</w:t>
      </w:r>
      <w:r w:rsidRPr="00923B1A">
        <w:rPr>
          <w:rFonts w:hint="cs"/>
          <w:color w:val="0000FF"/>
          <w:sz w:val="28"/>
          <w:szCs w:val="28"/>
          <w:rtl/>
        </w:rPr>
        <w:t xml:space="preserve"> فلا يجوز إجراؤه بطريق الوكالة إلا بعد إثبات توكيل خاص به </w:t>
      </w:r>
      <w:r>
        <w:rPr>
          <w:rFonts w:hint="cs"/>
          <w:color w:val="0000FF"/>
          <w:sz w:val="28"/>
          <w:szCs w:val="28"/>
          <w:rtl/>
        </w:rPr>
        <w:t xml:space="preserve">( </w:t>
      </w:r>
      <w:r w:rsidRPr="00923B1A">
        <w:rPr>
          <w:rFonts w:hint="cs"/>
          <w:color w:val="0000FF"/>
          <w:sz w:val="28"/>
          <w:szCs w:val="28"/>
          <w:rtl/>
        </w:rPr>
        <w:t>م 516 مدني قديم</w:t>
      </w:r>
      <w:r>
        <w:rPr>
          <w:rFonts w:hint="cs"/>
          <w:color w:val="0000FF"/>
          <w:sz w:val="28"/>
          <w:szCs w:val="28"/>
          <w:rtl/>
        </w:rPr>
        <w:t xml:space="preserve"> ) .</w:t>
      </w:r>
      <w:r w:rsidRPr="00923B1A">
        <w:rPr>
          <w:rFonts w:hint="cs"/>
          <w:color w:val="0000FF"/>
          <w:sz w:val="28"/>
          <w:szCs w:val="28"/>
          <w:rtl/>
        </w:rPr>
        <w:t xml:space="preserve"> والتوكيل العام في جنس عمل</w:t>
      </w:r>
      <w:r>
        <w:rPr>
          <w:rFonts w:hint="cs"/>
          <w:color w:val="0000FF"/>
          <w:sz w:val="28"/>
          <w:szCs w:val="28"/>
          <w:rtl/>
        </w:rPr>
        <w:t xml:space="preserve"> ،</w:t>
      </w:r>
      <w:r w:rsidRPr="00923B1A">
        <w:rPr>
          <w:rFonts w:hint="cs"/>
          <w:color w:val="0000FF"/>
          <w:sz w:val="28"/>
          <w:szCs w:val="28"/>
          <w:rtl/>
        </w:rPr>
        <w:t xml:space="preserve"> وإن كان معتبراً بدون نص على موضوع العمل</w:t>
      </w:r>
      <w:r>
        <w:rPr>
          <w:rFonts w:hint="cs"/>
          <w:color w:val="0000FF"/>
          <w:sz w:val="28"/>
          <w:szCs w:val="28"/>
          <w:rtl/>
        </w:rPr>
        <w:t xml:space="preserve"> ،</w:t>
      </w:r>
      <w:r w:rsidRPr="00923B1A">
        <w:rPr>
          <w:rFonts w:hint="cs"/>
          <w:color w:val="0000FF"/>
          <w:sz w:val="28"/>
          <w:szCs w:val="28"/>
          <w:rtl/>
        </w:rPr>
        <w:t xml:space="preserve"> لا يسري على التبرعات </w:t>
      </w:r>
      <w:r>
        <w:rPr>
          <w:rFonts w:hint="cs"/>
          <w:color w:val="0000FF"/>
          <w:sz w:val="28"/>
          <w:szCs w:val="28"/>
          <w:rtl/>
        </w:rPr>
        <w:t xml:space="preserve">( </w:t>
      </w:r>
      <w:r w:rsidRPr="00923B1A">
        <w:rPr>
          <w:rFonts w:hint="cs"/>
          <w:color w:val="0000FF"/>
          <w:sz w:val="28"/>
          <w:szCs w:val="28"/>
          <w:rtl/>
        </w:rPr>
        <w:t>م 517 مدني قديم</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نقض مدني 25 مارس سنة 1948 مجموعة القواعد القانونية التي قررتها محكمة النقض في 25 عاماً الجزء الثاني ص 936 رقم 4</w:t>
      </w:r>
      <w:r>
        <w:rPr>
          <w:rFonts w:hint="cs"/>
          <w:color w:val="0000FF"/>
          <w:sz w:val="28"/>
          <w:szCs w:val="28"/>
          <w:rtl/>
        </w:rPr>
        <w:t xml:space="preserve"> ) .</w:t>
      </w:r>
      <w:r w:rsidRPr="00923B1A">
        <w:rPr>
          <w:rFonts w:hint="cs"/>
          <w:color w:val="0000FF"/>
          <w:sz w:val="28"/>
          <w:szCs w:val="28"/>
          <w:rtl/>
        </w:rPr>
        <w:t xml:space="preserve"> وقفت أخيراً بأن الكفالة من عقود التبرع</w:t>
      </w:r>
      <w:r>
        <w:rPr>
          <w:rFonts w:hint="cs"/>
          <w:color w:val="0000FF"/>
          <w:sz w:val="28"/>
          <w:szCs w:val="28"/>
          <w:rtl/>
        </w:rPr>
        <w:t xml:space="preserve"> ،</w:t>
      </w:r>
      <w:r w:rsidRPr="00923B1A">
        <w:rPr>
          <w:rFonts w:hint="cs"/>
          <w:color w:val="0000FF"/>
          <w:sz w:val="28"/>
          <w:szCs w:val="28"/>
          <w:rtl/>
        </w:rPr>
        <w:t xml:space="preserve"> فيجب عملا بالمادتين 516 و 517 مدني </w:t>
      </w:r>
      <w:r>
        <w:rPr>
          <w:rFonts w:hint="cs"/>
          <w:color w:val="0000FF"/>
          <w:sz w:val="28"/>
          <w:szCs w:val="28"/>
          <w:rtl/>
        </w:rPr>
        <w:t xml:space="preserve">( </w:t>
      </w:r>
      <w:r w:rsidRPr="00923B1A">
        <w:rPr>
          <w:rFonts w:hint="cs"/>
          <w:color w:val="0000FF"/>
          <w:sz w:val="28"/>
          <w:szCs w:val="28"/>
          <w:rtl/>
        </w:rPr>
        <w:t>قديم</w:t>
      </w:r>
      <w:r>
        <w:rPr>
          <w:rFonts w:hint="cs"/>
          <w:color w:val="0000FF"/>
          <w:sz w:val="28"/>
          <w:szCs w:val="28"/>
          <w:rtl/>
        </w:rPr>
        <w:t xml:space="preserve"> )</w:t>
      </w:r>
      <w:r w:rsidRPr="00923B1A">
        <w:rPr>
          <w:rFonts w:hint="cs"/>
          <w:color w:val="0000FF"/>
          <w:sz w:val="28"/>
          <w:szCs w:val="28"/>
          <w:rtl/>
        </w:rPr>
        <w:t xml:space="preserve"> أن يكون بيد الوكيل على تخويل الوكيل أن يرهن ما يرى رهنه من أموال الموكل</w:t>
      </w:r>
      <w:r>
        <w:rPr>
          <w:rFonts w:hint="cs"/>
          <w:color w:val="0000FF"/>
          <w:sz w:val="28"/>
          <w:szCs w:val="28"/>
          <w:rtl/>
        </w:rPr>
        <w:t xml:space="preserve"> ،</w:t>
      </w:r>
      <w:r w:rsidRPr="00923B1A">
        <w:rPr>
          <w:rFonts w:hint="cs"/>
          <w:color w:val="0000FF"/>
          <w:sz w:val="28"/>
          <w:szCs w:val="28"/>
          <w:rtl/>
        </w:rPr>
        <w:t xml:space="preserve"> وأن يقترض مقابل الرهن</w:t>
      </w:r>
      <w:r>
        <w:rPr>
          <w:rFonts w:hint="cs"/>
          <w:color w:val="0000FF"/>
          <w:sz w:val="28"/>
          <w:szCs w:val="28"/>
          <w:rtl/>
        </w:rPr>
        <w:t xml:space="preserve"> ،</w:t>
      </w:r>
      <w:r w:rsidRPr="00923B1A">
        <w:rPr>
          <w:rFonts w:hint="cs"/>
          <w:color w:val="0000FF"/>
          <w:sz w:val="28"/>
          <w:szCs w:val="28"/>
          <w:rtl/>
        </w:rPr>
        <w:t xml:space="preserve"> فإنه يكون مقصوراً على الاستدانة ورهن ما يفي بالدين من أملاك الموكل</w:t>
      </w:r>
      <w:r>
        <w:rPr>
          <w:rFonts w:hint="cs"/>
          <w:color w:val="0000FF"/>
          <w:sz w:val="28"/>
          <w:szCs w:val="28"/>
          <w:rtl/>
        </w:rPr>
        <w:t xml:space="preserve"> .</w:t>
      </w:r>
      <w:r w:rsidRPr="00923B1A">
        <w:rPr>
          <w:rFonts w:hint="cs"/>
          <w:color w:val="0000FF"/>
          <w:sz w:val="28"/>
          <w:szCs w:val="28"/>
          <w:rtl/>
        </w:rPr>
        <w:t xml:space="preserve"> ولا يجوز الاعتماد في أن يكفل الوكيل باسم موكله مدينا</w:t>
      </w:r>
      <w:r>
        <w:rPr>
          <w:rFonts w:hint="cs"/>
          <w:color w:val="0000FF"/>
          <w:sz w:val="28"/>
          <w:szCs w:val="28"/>
          <w:rtl/>
        </w:rPr>
        <w:t xml:space="preserve"> ،</w:t>
      </w:r>
      <w:r w:rsidRPr="00923B1A">
        <w:rPr>
          <w:rFonts w:hint="cs"/>
          <w:color w:val="0000FF"/>
          <w:sz w:val="28"/>
          <w:szCs w:val="28"/>
          <w:rtl/>
        </w:rPr>
        <w:t xml:space="preserve"> وأن يرهن أطيان الموكل تأمينا للوفاء بالدين </w:t>
      </w:r>
      <w:r>
        <w:rPr>
          <w:rFonts w:hint="cs"/>
          <w:color w:val="0000FF"/>
          <w:sz w:val="28"/>
          <w:szCs w:val="28"/>
          <w:rtl/>
        </w:rPr>
        <w:t xml:space="preserve">( </w:t>
      </w:r>
      <w:r w:rsidRPr="00923B1A">
        <w:rPr>
          <w:rFonts w:hint="cs"/>
          <w:color w:val="0000FF"/>
          <w:sz w:val="28"/>
          <w:szCs w:val="28"/>
          <w:rtl/>
        </w:rPr>
        <w:t>نقض مدني أول أبريل سنة 1937 مجموعة القواعد القانونية التي قررتها محكمة النقض في  25 عاما الجزء الثاني ص 936 رقم 5</w:t>
      </w:r>
      <w:r>
        <w:rPr>
          <w:rFonts w:hint="cs"/>
          <w:color w:val="0000FF"/>
          <w:sz w:val="28"/>
          <w:szCs w:val="28"/>
          <w:rtl/>
        </w:rPr>
        <w:t xml:space="preserve"> ) .</w:t>
      </w:r>
    </w:p>
  </w:footnote>
  <w:footnote w:id="8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ومثل الدين الذي يكون محله غير موجود في التزام غير عقدي أن يكفل شخص منهما فيما عسى أن يحكم عليه بتعويض</w:t>
      </w:r>
      <w:r>
        <w:rPr>
          <w:rFonts w:hint="cs"/>
          <w:color w:val="0000FF"/>
          <w:sz w:val="28"/>
          <w:szCs w:val="28"/>
          <w:rtl/>
        </w:rPr>
        <w:t xml:space="preserve"> ،</w:t>
      </w:r>
      <w:r w:rsidRPr="00923B1A">
        <w:rPr>
          <w:rFonts w:hint="cs"/>
          <w:color w:val="0000FF"/>
          <w:sz w:val="28"/>
          <w:szCs w:val="28"/>
          <w:rtl/>
        </w:rPr>
        <w:t xml:space="preserve"> ثم يحكم ببراءة المتهم وبعدم مسئوليته عن تعويض ما </w:t>
      </w:r>
      <w:r>
        <w:rPr>
          <w:rFonts w:hint="cs"/>
          <w:color w:val="0000FF"/>
          <w:sz w:val="28"/>
          <w:szCs w:val="28"/>
          <w:rtl/>
        </w:rPr>
        <w:t xml:space="preserve">( </w:t>
      </w:r>
      <w:r w:rsidRPr="00923B1A">
        <w:rPr>
          <w:rFonts w:hint="cs"/>
          <w:color w:val="0000FF"/>
          <w:sz w:val="28"/>
          <w:szCs w:val="28"/>
          <w:rtl/>
        </w:rPr>
        <w:t>بودري وفال فقرة 945 ص 506</w:t>
      </w:r>
      <w:r>
        <w:rPr>
          <w:rFonts w:hint="cs"/>
          <w:color w:val="0000FF"/>
          <w:sz w:val="28"/>
          <w:szCs w:val="28"/>
          <w:rtl/>
        </w:rPr>
        <w:t xml:space="preserve"> ) .</w:t>
      </w:r>
    </w:p>
  </w:footnote>
  <w:footnote w:id="8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أمثلة أخرى على العقد الباطل بودري وفال فقرة 944</w:t>
      </w:r>
      <w:r>
        <w:rPr>
          <w:rFonts w:hint="cs"/>
          <w:color w:val="0000FF"/>
          <w:sz w:val="28"/>
          <w:szCs w:val="28"/>
          <w:rtl/>
        </w:rPr>
        <w:t xml:space="preserve"> .</w:t>
      </w:r>
    </w:p>
  </w:footnote>
  <w:footnote w:id="8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الفقرة الثانية من المادة 1135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"ومع ذلك تصح كفالة الالتزام الذي يعقده ناقص الأهلية</w:t>
      </w:r>
      <w:r>
        <w:rPr>
          <w:rFonts w:hint="cs"/>
          <w:color w:val="0000FF"/>
          <w:sz w:val="28"/>
          <w:szCs w:val="28"/>
          <w:rtl/>
        </w:rPr>
        <w:t xml:space="preserve"> ،</w:t>
      </w:r>
      <w:r w:rsidRPr="00923B1A">
        <w:rPr>
          <w:rFonts w:hint="cs"/>
          <w:color w:val="0000FF"/>
          <w:sz w:val="28"/>
          <w:szCs w:val="28"/>
          <w:rtl/>
        </w:rPr>
        <w:t xml:space="preserve"> إذا كان الكفيل يعلم بنقص أهليته"</w:t>
      </w:r>
      <w:r>
        <w:rPr>
          <w:rFonts w:hint="cs"/>
          <w:color w:val="0000FF"/>
          <w:sz w:val="28"/>
          <w:szCs w:val="28"/>
          <w:rtl/>
        </w:rPr>
        <w:t xml:space="preserve"> .</w:t>
      </w:r>
      <w:r w:rsidRPr="00923B1A">
        <w:rPr>
          <w:rFonts w:hint="cs"/>
          <w:color w:val="0000FF"/>
          <w:sz w:val="28"/>
          <w:szCs w:val="28"/>
          <w:rtl/>
        </w:rPr>
        <w:t xml:space="preserve"> وفي لجنة المراجعة جعلت هذه الفقرة الثانية مادة مستقلة</w:t>
      </w:r>
      <w:r>
        <w:rPr>
          <w:rFonts w:hint="cs"/>
          <w:color w:val="0000FF"/>
          <w:sz w:val="28"/>
          <w:szCs w:val="28"/>
          <w:rtl/>
        </w:rPr>
        <w:t xml:space="preserve"> ،</w:t>
      </w:r>
      <w:r w:rsidRPr="00923B1A">
        <w:rPr>
          <w:rFonts w:hint="cs"/>
          <w:color w:val="0000FF"/>
          <w:sz w:val="28"/>
          <w:szCs w:val="28"/>
          <w:rtl/>
        </w:rPr>
        <w:t xml:space="preserve"> وعدلت صياغتها على وجه يبرز التكييف القانوني الصحيح للالتزام في هذه الحالة بما يجعل الملتزم أصيلا لا كفيلا </w:t>
      </w:r>
      <w:r>
        <w:rPr>
          <w:rFonts w:hint="cs"/>
          <w:color w:val="0000FF"/>
          <w:sz w:val="28"/>
          <w:szCs w:val="28"/>
          <w:rtl/>
        </w:rPr>
        <w:t xml:space="preserve"> ،</w:t>
      </w:r>
      <w:r w:rsidRPr="00923B1A">
        <w:rPr>
          <w:rFonts w:hint="cs"/>
          <w:color w:val="0000FF"/>
          <w:sz w:val="28"/>
          <w:szCs w:val="28"/>
          <w:rtl/>
        </w:rPr>
        <w:t xml:space="preserve"> بالنص الآتي</w:t>
      </w:r>
      <w:r>
        <w:rPr>
          <w:rFonts w:hint="cs"/>
          <w:color w:val="0000FF"/>
          <w:sz w:val="28"/>
          <w:szCs w:val="28"/>
          <w:rtl/>
        </w:rPr>
        <w:t xml:space="preserve"> :</w:t>
      </w:r>
      <w:r w:rsidRPr="00923B1A">
        <w:rPr>
          <w:rFonts w:hint="cs"/>
          <w:color w:val="0000FF"/>
          <w:sz w:val="28"/>
          <w:szCs w:val="28"/>
          <w:rtl/>
        </w:rPr>
        <w:t xml:space="preserve"> "من كفل التزاما باطلا بسبب نقص أهلية المدين</w:t>
      </w:r>
      <w:r>
        <w:rPr>
          <w:rFonts w:hint="cs"/>
          <w:color w:val="0000FF"/>
          <w:sz w:val="28"/>
          <w:szCs w:val="28"/>
          <w:rtl/>
        </w:rPr>
        <w:t xml:space="preserve"> ،</w:t>
      </w:r>
      <w:r w:rsidRPr="00923B1A">
        <w:rPr>
          <w:rFonts w:hint="cs"/>
          <w:color w:val="0000FF"/>
          <w:sz w:val="28"/>
          <w:szCs w:val="28"/>
          <w:rtl/>
        </w:rPr>
        <w:t xml:space="preserve"> كان ملتزماً بتنفيذه كمدين أصلي إذا كان وقت الكفالة يعلم بنقص الأهلية"</w:t>
      </w:r>
      <w:r>
        <w:rPr>
          <w:rFonts w:hint="cs"/>
          <w:color w:val="0000FF"/>
          <w:sz w:val="28"/>
          <w:szCs w:val="28"/>
          <w:rtl/>
        </w:rPr>
        <w:t xml:space="preserve"> .</w:t>
      </w:r>
      <w:r w:rsidRPr="00923B1A">
        <w:rPr>
          <w:rFonts w:hint="cs"/>
          <w:color w:val="0000FF"/>
          <w:sz w:val="28"/>
          <w:szCs w:val="28"/>
          <w:rtl/>
        </w:rPr>
        <w:t xml:space="preserve"> وأصبح رقم النص 846 في المشروع النهائي</w:t>
      </w:r>
      <w:r>
        <w:rPr>
          <w:rFonts w:hint="cs"/>
          <w:color w:val="0000FF"/>
          <w:sz w:val="28"/>
          <w:szCs w:val="28"/>
          <w:rtl/>
        </w:rPr>
        <w:t xml:space="preserve"> .</w:t>
      </w:r>
      <w:r w:rsidRPr="00923B1A">
        <w:rPr>
          <w:rFonts w:hint="cs"/>
          <w:color w:val="0000FF"/>
          <w:sz w:val="28"/>
          <w:szCs w:val="28"/>
          <w:rtl/>
        </w:rPr>
        <w:t xml:space="preserve"> وفي مجلس النواب عدل النص</w:t>
      </w:r>
      <w:r>
        <w:rPr>
          <w:rFonts w:hint="cs"/>
          <w:color w:val="0000FF"/>
          <w:sz w:val="28"/>
          <w:szCs w:val="28"/>
          <w:rtl/>
        </w:rPr>
        <w:t xml:space="preserve"> ،</w:t>
      </w:r>
      <w:r w:rsidRPr="00923B1A">
        <w:rPr>
          <w:rFonts w:hint="cs"/>
          <w:color w:val="0000FF"/>
          <w:sz w:val="28"/>
          <w:szCs w:val="28"/>
          <w:rtl/>
        </w:rPr>
        <w:t xml:space="preserve"> تحت رقم 844</w:t>
      </w:r>
      <w:r>
        <w:rPr>
          <w:rFonts w:hint="cs"/>
          <w:color w:val="0000FF"/>
          <w:sz w:val="28"/>
          <w:szCs w:val="28"/>
          <w:rtl/>
        </w:rPr>
        <w:t xml:space="preserve"> ،</w:t>
      </w:r>
      <w:r w:rsidRPr="00923B1A">
        <w:rPr>
          <w:rFonts w:hint="cs"/>
          <w:color w:val="0000FF"/>
          <w:sz w:val="28"/>
          <w:szCs w:val="28"/>
          <w:rtl/>
        </w:rPr>
        <w:t xml:space="preserve"> على الوجه الآتي</w:t>
      </w:r>
      <w:r>
        <w:rPr>
          <w:rFonts w:hint="cs"/>
          <w:color w:val="0000FF"/>
          <w:sz w:val="28"/>
          <w:szCs w:val="28"/>
          <w:rtl/>
        </w:rPr>
        <w:t xml:space="preserve"> :</w:t>
      </w:r>
      <w:r w:rsidRPr="00923B1A">
        <w:rPr>
          <w:rFonts w:hint="cs"/>
          <w:color w:val="0000FF"/>
          <w:sz w:val="28"/>
          <w:szCs w:val="28"/>
          <w:rtl/>
        </w:rPr>
        <w:t xml:space="preserve"> "من كفل التزام ناقص الأهلية</w:t>
      </w:r>
      <w:r>
        <w:rPr>
          <w:rFonts w:hint="cs"/>
          <w:color w:val="0000FF"/>
          <w:sz w:val="28"/>
          <w:szCs w:val="28"/>
          <w:rtl/>
        </w:rPr>
        <w:t xml:space="preserve"> ،</w:t>
      </w:r>
      <w:r w:rsidRPr="00923B1A">
        <w:rPr>
          <w:rFonts w:hint="cs"/>
          <w:color w:val="0000FF"/>
          <w:sz w:val="28"/>
          <w:szCs w:val="28"/>
          <w:rtl/>
        </w:rPr>
        <w:t xml:space="preserve"> وكانت الكفالة بسبب نقص الأهلية</w:t>
      </w:r>
      <w:r>
        <w:rPr>
          <w:rFonts w:hint="cs"/>
          <w:color w:val="0000FF"/>
          <w:sz w:val="28"/>
          <w:szCs w:val="28"/>
          <w:rtl/>
        </w:rPr>
        <w:t xml:space="preserve"> ،</w:t>
      </w:r>
      <w:r w:rsidRPr="00923B1A">
        <w:rPr>
          <w:rFonts w:hint="cs"/>
          <w:color w:val="0000FF"/>
          <w:sz w:val="28"/>
          <w:szCs w:val="28"/>
          <w:rtl/>
        </w:rPr>
        <w:t xml:space="preserve"> كان ملزماً بتنفيذ الالتزام كمدين أصلي"</w:t>
      </w:r>
      <w:r>
        <w:rPr>
          <w:rFonts w:hint="cs"/>
          <w:color w:val="0000FF"/>
          <w:sz w:val="28"/>
          <w:szCs w:val="28"/>
          <w:rtl/>
        </w:rPr>
        <w:t xml:space="preserve"> .</w:t>
      </w:r>
      <w:r w:rsidRPr="00923B1A">
        <w:rPr>
          <w:rFonts w:hint="cs"/>
          <w:color w:val="0000FF"/>
          <w:sz w:val="28"/>
          <w:szCs w:val="28"/>
          <w:rtl/>
        </w:rPr>
        <w:t xml:space="preserve"> وذلك ليكون المعنى المقصود واضحاً</w:t>
      </w:r>
      <w:r>
        <w:rPr>
          <w:rFonts w:hint="cs"/>
          <w:color w:val="0000FF"/>
          <w:sz w:val="28"/>
          <w:szCs w:val="28"/>
          <w:rtl/>
        </w:rPr>
        <w:t xml:space="preserve"> ،</w:t>
      </w:r>
      <w:r w:rsidRPr="00923B1A">
        <w:rPr>
          <w:rFonts w:hint="cs"/>
          <w:color w:val="0000FF"/>
          <w:sz w:val="28"/>
          <w:szCs w:val="28"/>
          <w:rtl/>
        </w:rPr>
        <w:t xml:space="preserve"> لأن النص الأصلي قد يوهم بأن الشرط المطلوب هو علم الكفيل دون الدائن والمدين بنقص أهلية المدين</w:t>
      </w:r>
      <w:r>
        <w:rPr>
          <w:rFonts w:hint="cs"/>
          <w:color w:val="0000FF"/>
          <w:sz w:val="28"/>
          <w:szCs w:val="28"/>
          <w:rtl/>
        </w:rPr>
        <w:t xml:space="preserve"> ،</w:t>
      </w:r>
      <w:r w:rsidRPr="00923B1A">
        <w:rPr>
          <w:rFonts w:hint="cs"/>
          <w:color w:val="0000FF"/>
          <w:sz w:val="28"/>
          <w:szCs w:val="28"/>
          <w:rtl/>
        </w:rPr>
        <w:t xml:space="preserve"> مع أن المقصود هو أن يكون كل الثلاثة</w:t>
      </w:r>
      <w:r>
        <w:rPr>
          <w:rFonts w:hint="cs"/>
          <w:color w:val="0000FF"/>
          <w:sz w:val="28"/>
          <w:szCs w:val="28"/>
          <w:rtl/>
        </w:rPr>
        <w:t xml:space="preserve"> ،</w:t>
      </w:r>
      <w:r w:rsidRPr="00923B1A">
        <w:rPr>
          <w:rFonts w:hint="cs"/>
          <w:color w:val="0000FF"/>
          <w:sz w:val="28"/>
          <w:szCs w:val="28"/>
          <w:rtl/>
        </w:rPr>
        <w:t xml:space="preserve"> الدائن والمدين والكفيل</w:t>
      </w:r>
      <w:r>
        <w:rPr>
          <w:rFonts w:hint="cs"/>
          <w:color w:val="0000FF"/>
          <w:sz w:val="28"/>
          <w:szCs w:val="28"/>
          <w:rtl/>
        </w:rPr>
        <w:t xml:space="preserve"> ،</w:t>
      </w:r>
      <w:r w:rsidRPr="00923B1A">
        <w:rPr>
          <w:rFonts w:hint="cs"/>
          <w:color w:val="0000FF"/>
          <w:sz w:val="28"/>
          <w:szCs w:val="28"/>
          <w:rtl/>
        </w:rPr>
        <w:t xml:space="preserve"> عالمين بنقص الأهلية وقت التعاقد</w:t>
      </w:r>
      <w:r>
        <w:rPr>
          <w:rFonts w:hint="cs"/>
          <w:color w:val="0000FF"/>
          <w:sz w:val="28"/>
          <w:szCs w:val="28"/>
          <w:rtl/>
        </w:rPr>
        <w:t xml:space="preserve"> .</w:t>
      </w:r>
      <w:r w:rsidRPr="00923B1A">
        <w:rPr>
          <w:rFonts w:hint="cs"/>
          <w:color w:val="0000FF"/>
          <w:sz w:val="28"/>
          <w:szCs w:val="28"/>
          <w:rtl/>
        </w:rPr>
        <w:t xml:space="preserve"> وفي لجنة مجلس الشيوخ اعترض رئيس اللجنة على المادة من حيث أنها تلزم الكفيل بتنفيذ الالتزام كمدين أصلي</w:t>
      </w:r>
      <w:r>
        <w:rPr>
          <w:rFonts w:hint="cs"/>
          <w:color w:val="0000FF"/>
          <w:sz w:val="28"/>
          <w:szCs w:val="28"/>
          <w:rtl/>
        </w:rPr>
        <w:t xml:space="preserve"> ،</w:t>
      </w:r>
      <w:r w:rsidRPr="00923B1A">
        <w:rPr>
          <w:rFonts w:hint="cs"/>
          <w:color w:val="0000FF"/>
          <w:sz w:val="28"/>
          <w:szCs w:val="28"/>
          <w:rtl/>
        </w:rPr>
        <w:t xml:space="preserve"> لأنه من الجائز أن يجيز ناقص الأهلية الالتزام عند بلوغه</w:t>
      </w:r>
      <w:r>
        <w:rPr>
          <w:rFonts w:hint="cs"/>
          <w:color w:val="0000FF"/>
          <w:sz w:val="28"/>
          <w:szCs w:val="28"/>
          <w:rtl/>
        </w:rPr>
        <w:t xml:space="preserve"> .</w:t>
      </w:r>
      <w:r w:rsidRPr="00923B1A">
        <w:rPr>
          <w:rFonts w:hint="cs"/>
          <w:color w:val="0000FF"/>
          <w:sz w:val="28"/>
          <w:szCs w:val="28"/>
          <w:rtl/>
        </w:rPr>
        <w:t xml:space="preserve"> فأجيب بأن هذه صورة من الصور الثلاث التي عرضت على اللجنة عند بدء المناقشة</w:t>
      </w:r>
      <w:r>
        <w:rPr>
          <w:rFonts w:hint="cs"/>
          <w:color w:val="0000FF"/>
          <w:sz w:val="28"/>
          <w:szCs w:val="28"/>
          <w:rtl/>
        </w:rPr>
        <w:t xml:space="preserve"> ،</w:t>
      </w:r>
      <w:r w:rsidRPr="00923B1A">
        <w:rPr>
          <w:rFonts w:hint="cs"/>
          <w:color w:val="0000FF"/>
          <w:sz w:val="28"/>
          <w:szCs w:val="28"/>
          <w:rtl/>
        </w:rPr>
        <w:t xml:space="preserve"> وهذه الصور هي</w:t>
      </w:r>
      <w:r>
        <w:rPr>
          <w:rFonts w:hint="cs"/>
          <w:color w:val="0000FF"/>
          <w:sz w:val="28"/>
          <w:szCs w:val="28"/>
          <w:rtl/>
        </w:rPr>
        <w:t xml:space="preserve"> :</w:t>
      </w:r>
      <w:r w:rsidRPr="00923B1A">
        <w:rPr>
          <w:rFonts w:hint="cs"/>
          <w:color w:val="0000FF"/>
          <w:sz w:val="28"/>
          <w:szCs w:val="28"/>
          <w:rtl/>
        </w:rPr>
        <w:t xml:space="preserve"> 1- أن يكفل الكفيل ناقص الأهلية وهو لا يعلم بنقص أهليته</w:t>
      </w:r>
      <w:r>
        <w:rPr>
          <w:rFonts w:hint="cs"/>
          <w:color w:val="0000FF"/>
          <w:sz w:val="28"/>
          <w:szCs w:val="28"/>
          <w:rtl/>
        </w:rPr>
        <w:t xml:space="preserve"> ،</w:t>
      </w:r>
      <w:r w:rsidRPr="00923B1A">
        <w:rPr>
          <w:rFonts w:hint="cs"/>
          <w:color w:val="0000FF"/>
          <w:sz w:val="28"/>
          <w:szCs w:val="28"/>
          <w:rtl/>
        </w:rPr>
        <w:t xml:space="preserve"> ففي هذه الحالة يجوز له التمسك بنقص الأهلية</w:t>
      </w:r>
      <w:r>
        <w:rPr>
          <w:rFonts w:hint="cs"/>
          <w:color w:val="0000FF"/>
          <w:sz w:val="28"/>
          <w:szCs w:val="28"/>
          <w:rtl/>
        </w:rPr>
        <w:t xml:space="preserve"> .</w:t>
      </w:r>
      <w:r w:rsidRPr="00923B1A">
        <w:rPr>
          <w:rFonts w:hint="cs"/>
          <w:color w:val="0000FF"/>
          <w:sz w:val="28"/>
          <w:szCs w:val="28"/>
          <w:rtl/>
        </w:rPr>
        <w:t xml:space="preserve"> 2- أن يكفل الكفيل ناقص الأهلية وهو يعلم بنقص أهليته</w:t>
      </w:r>
      <w:r>
        <w:rPr>
          <w:rFonts w:hint="cs"/>
          <w:color w:val="0000FF"/>
          <w:sz w:val="28"/>
          <w:szCs w:val="28"/>
          <w:rtl/>
        </w:rPr>
        <w:t xml:space="preserve"> ،</w:t>
      </w:r>
      <w:r w:rsidRPr="00923B1A">
        <w:rPr>
          <w:rFonts w:hint="cs"/>
          <w:color w:val="0000FF"/>
          <w:sz w:val="28"/>
          <w:szCs w:val="28"/>
          <w:rtl/>
        </w:rPr>
        <w:t xml:space="preserve"> وفي هذه الحالة لا يستطيع الاحتجاج بنقص الأهلية</w:t>
      </w:r>
      <w:r>
        <w:rPr>
          <w:rFonts w:hint="cs"/>
          <w:color w:val="0000FF"/>
          <w:sz w:val="28"/>
          <w:szCs w:val="28"/>
          <w:rtl/>
        </w:rPr>
        <w:t xml:space="preserve"> .</w:t>
      </w:r>
      <w:r w:rsidRPr="00923B1A">
        <w:rPr>
          <w:rFonts w:hint="cs"/>
          <w:color w:val="0000FF"/>
          <w:sz w:val="28"/>
          <w:szCs w:val="28"/>
          <w:rtl/>
        </w:rPr>
        <w:t xml:space="preserve"> 3- أن يكفل الكفيل ناقص الأهلية بسبب نقص أهليته</w:t>
      </w:r>
      <w:r>
        <w:rPr>
          <w:rFonts w:hint="cs"/>
          <w:color w:val="0000FF"/>
          <w:sz w:val="28"/>
          <w:szCs w:val="28"/>
          <w:rtl/>
        </w:rPr>
        <w:t xml:space="preserve"> ،</w:t>
      </w:r>
      <w:r w:rsidRPr="00923B1A">
        <w:rPr>
          <w:rFonts w:hint="cs"/>
          <w:color w:val="0000FF"/>
          <w:sz w:val="28"/>
          <w:szCs w:val="28"/>
          <w:rtl/>
        </w:rPr>
        <w:t xml:space="preserve"> ففي هذه الحالة نتصور أن الكفيل أراد أن يكفل القاصر بسبب نقص أهليته بقطع النظر عن إجازته</w:t>
      </w:r>
      <w:r>
        <w:rPr>
          <w:rFonts w:hint="cs"/>
          <w:color w:val="0000FF"/>
          <w:sz w:val="28"/>
          <w:szCs w:val="28"/>
          <w:rtl/>
        </w:rPr>
        <w:t xml:space="preserve"> ،</w:t>
      </w:r>
      <w:r w:rsidRPr="00923B1A">
        <w:rPr>
          <w:rFonts w:hint="cs"/>
          <w:color w:val="0000FF"/>
          <w:sz w:val="28"/>
          <w:szCs w:val="28"/>
          <w:rtl/>
        </w:rPr>
        <w:t xml:space="preserve"> وأراد أيضاً آنفا</w:t>
      </w:r>
      <w:r>
        <w:rPr>
          <w:rFonts w:hint="cs"/>
          <w:color w:val="0000FF"/>
          <w:sz w:val="28"/>
          <w:szCs w:val="28"/>
          <w:rtl/>
        </w:rPr>
        <w:t>ً</w:t>
      </w:r>
      <w:r w:rsidRPr="00923B1A">
        <w:rPr>
          <w:rFonts w:hint="cs"/>
          <w:color w:val="0000FF"/>
          <w:sz w:val="28"/>
          <w:szCs w:val="28"/>
          <w:rtl/>
        </w:rPr>
        <w:t xml:space="preserve"> أن يكفل القاصر ولو أجاز الالتزام وكلنه لم ينفذه</w:t>
      </w:r>
      <w:r>
        <w:rPr>
          <w:rFonts w:hint="cs"/>
          <w:color w:val="0000FF"/>
          <w:sz w:val="28"/>
          <w:szCs w:val="28"/>
          <w:rtl/>
        </w:rPr>
        <w:t xml:space="preserve"> .</w:t>
      </w:r>
      <w:r w:rsidRPr="00923B1A">
        <w:rPr>
          <w:rFonts w:hint="cs"/>
          <w:color w:val="0000FF"/>
          <w:sz w:val="28"/>
          <w:szCs w:val="28"/>
          <w:rtl/>
        </w:rPr>
        <w:t xml:space="preserve"> فعدلت اللجنة النص على الوجه الآتي</w:t>
      </w:r>
      <w:r>
        <w:rPr>
          <w:rFonts w:hint="cs"/>
          <w:color w:val="0000FF"/>
          <w:sz w:val="28"/>
          <w:szCs w:val="28"/>
          <w:rtl/>
        </w:rPr>
        <w:t xml:space="preserve"> :</w:t>
      </w:r>
      <w:r w:rsidRPr="00923B1A">
        <w:rPr>
          <w:rFonts w:hint="cs"/>
          <w:color w:val="0000FF"/>
          <w:sz w:val="28"/>
          <w:szCs w:val="28"/>
          <w:rtl/>
        </w:rPr>
        <w:t xml:space="preserve"> "من كفل التزام ناقص الأهلية</w:t>
      </w:r>
      <w:r>
        <w:rPr>
          <w:rFonts w:hint="cs"/>
          <w:color w:val="0000FF"/>
          <w:sz w:val="28"/>
          <w:szCs w:val="28"/>
          <w:rtl/>
        </w:rPr>
        <w:t xml:space="preserve"> ،</w:t>
      </w:r>
      <w:r w:rsidRPr="00923B1A">
        <w:rPr>
          <w:rFonts w:hint="cs"/>
          <w:color w:val="0000FF"/>
          <w:sz w:val="28"/>
          <w:szCs w:val="28"/>
          <w:rtl/>
        </w:rPr>
        <w:t xml:space="preserve"> وكانت الكفالة بسبب قنص الأهلية</w:t>
      </w:r>
      <w:r>
        <w:rPr>
          <w:rFonts w:hint="cs"/>
          <w:color w:val="0000FF"/>
          <w:sz w:val="28"/>
          <w:szCs w:val="28"/>
          <w:rtl/>
        </w:rPr>
        <w:t xml:space="preserve"> ،</w:t>
      </w:r>
      <w:r w:rsidRPr="00923B1A">
        <w:rPr>
          <w:rFonts w:hint="cs"/>
          <w:color w:val="0000FF"/>
          <w:sz w:val="28"/>
          <w:szCs w:val="28"/>
          <w:rtl/>
        </w:rPr>
        <w:t xml:space="preserve"> كان ملزماً بتنفيذ الالتزام إذا لم ينفذه المدين المكفول"</w:t>
      </w:r>
      <w:r>
        <w:rPr>
          <w:rFonts w:hint="cs"/>
          <w:color w:val="0000FF"/>
          <w:sz w:val="28"/>
          <w:szCs w:val="28"/>
          <w:rtl/>
        </w:rPr>
        <w:t xml:space="preserve"> .</w:t>
      </w:r>
      <w:r w:rsidRPr="00923B1A">
        <w:rPr>
          <w:rFonts w:hint="cs"/>
          <w:color w:val="0000FF"/>
          <w:sz w:val="28"/>
          <w:szCs w:val="28"/>
          <w:rtl/>
        </w:rPr>
        <w:t xml:space="preserve"> فأصبح النص تحت رقم 777</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التقنيني المدني الجديد</w:t>
      </w:r>
      <w:r>
        <w:rPr>
          <w:rFonts w:hint="cs"/>
          <w:color w:val="0000FF"/>
          <w:sz w:val="28"/>
          <w:szCs w:val="28"/>
          <w:rtl/>
        </w:rPr>
        <w:t xml:space="preserve"> .</w:t>
      </w:r>
      <w:r w:rsidRPr="00923B1A">
        <w:rPr>
          <w:rFonts w:hint="cs"/>
          <w:color w:val="0000FF"/>
          <w:sz w:val="28"/>
          <w:szCs w:val="28"/>
          <w:rtl/>
        </w:rPr>
        <w:t xml:space="preserve"> وجاء في تقرير الجنة</w:t>
      </w:r>
      <w:r>
        <w:rPr>
          <w:rFonts w:hint="cs"/>
          <w:color w:val="0000FF"/>
          <w:sz w:val="28"/>
          <w:szCs w:val="28"/>
          <w:rtl/>
        </w:rPr>
        <w:t xml:space="preserve"> :</w:t>
      </w:r>
      <w:r w:rsidRPr="00923B1A">
        <w:rPr>
          <w:rFonts w:hint="cs"/>
          <w:color w:val="0000FF"/>
          <w:sz w:val="28"/>
          <w:szCs w:val="28"/>
          <w:rtl/>
        </w:rPr>
        <w:t xml:space="preserve"> رأت اللجنة الأخذ بالتعديل الذي اختاره مجلس النواب</w:t>
      </w:r>
      <w:r>
        <w:rPr>
          <w:rFonts w:hint="cs"/>
          <w:color w:val="0000FF"/>
          <w:sz w:val="28"/>
          <w:szCs w:val="28"/>
          <w:rtl/>
        </w:rPr>
        <w:t xml:space="preserve"> ،</w:t>
      </w:r>
      <w:r w:rsidRPr="00923B1A">
        <w:rPr>
          <w:rFonts w:hint="cs"/>
          <w:color w:val="0000FF"/>
          <w:sz w:val="28"/>
          <w:szCs w:val="28"/>
          <w:rtl/>
        </w:rPr>
        <w:t xml:space="preserve"> واستبدلت في آخر النص بعبارة "كدين أصلي" عبارة "إذا لم ينفذه المدين الأصلي"</w:t>
      </w:r>
      <w:r>
        <w:rPr>
          <w:rFonts w:hint="cs"/>
          <w:color w:val="0000FF"/>
          <w:sz w:val="28"/>
          <w:szCs w:val="28"/>
          <w:rtl/>
        </w:rPr>
        <w:t xml:space="preserve"> .</w:t>
      </w:r>
      <w:r w:rsidRPr="00923B1A">
        <w:rPr>
          <w:rFonts w:hint="cs"/>
          <w:color w:val="0000FF"/>
          <w:sz w:val="28"/>
          <w:szCs w:val="28"/>
          <w:rtl/>
        </w:rPr>
        <w:t xml:space="preserve"> "وقد توخت اللجنة في ذلك إبراز فكرة أن المدين الأصلي هو ناقص الأهلية وقد يقوم بالوفاء ويكون وفاؤه صحيحاً متى تم بعد زوال نقص أهليته أو تم بعد إجازة وليه أو وصيه</w:t>
      </w:r>
      <w:r>
        <w:rPr>
          <w:rFonts w:hint="cs"/>
          <w:color w:val="0000FF"/>
          <w:sz w:val="28"/>
          <w:szCs w:val="28"/>
          <w:rtl/>
        </w:rPr>
        <w:t xml:space="preserve"> ،</w:t>
      </w:r>
      <w:r w:rsidRPr="00923B1A">
        <w:rPr>
          <w:rFonts w:hint="cs"/>
          <w:color w:val="0000FF"/>
          <w:sz w:val="28"/>
          <w:szCs w:val="28"/>
          <w:rtl/>
        </w:rPr>
        <w:t xml:space="preserve"> ولهذا يكون التعبير الذي اختارته اللجنة أدق في الإعراب عن المقصود من النص"</w:t>
      </w:r>
      <w:r>
        <w:rPr>
          <w:rFonts w:hint="cs"/>
          <w:color w:val="0000FF"/>
          <w:sz w:val="28"/>
          <w:szCs w:val="28"/>
          <w:rtl/>
        </w:rPr>
        <w:t xml:space="preserve"> .</w:t>
      </w:r>
      <w:r w:rsidRPr="00923B1A">
        <w:rPr>
          <w:rFonts w:hint="cs"/>
          <w:color w:val="0000FF"/>
          <w:sz w:val="28"/>
          <w:szCs w:val="28"/>
          <w:rtl/>
        </w:rPr>
        <w:t xml:space="preserve"> ووافق مجلس الشيوخ على المادة كما عرفتها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447 </w:t>
      </w:r>
      <w:r w:rsidRPr="00923B1A">
        <w:rPr>
          <w:color w:val="0000FF"/>
          <w:sz w:val="28"/>
          <w:szCs w:val="28"/>
          <w:rtl/>
        </w:rPr>
        <w:t>–</w:t>
      </w:r>
      <w:r w:rsidRPr="00923B1A">
        <w:rPr>
          <w:rFonts w:hint="cs"/>
          <w:color w:val="0000FF"/>
          <w:sz w:val="28"/>
          <w:szCs w:val="28"/>
          <w:rtl/>
        </w:rPr>
        <w:t xml:space="preserve"> ص 456</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انظر أيضاً ما دار من المناقشة في لجنة </w:t>
      </w:r>
      <w:r w:rsidRPr="00923B1A">
        <w:rPr>
          <w:rFonts w:hint="cs"/>
          <w:color w:val="0000FF"/>
          <w:sz w:val="28"/>
          <w:szCs w:val="28"/>
          <w:rtl/>
          <w:lang w:bidi="ar-EG"/>
        </w:rPr>
        <w:t>الأستاذ</w:t>
      </w:r>
      <w:r w:rsidRPr="00923B1A">
        <w:rPr>
          <w:rFonts w:hint="cs"/>
          <w:color w:val="0000FF"/>
          <w:sz w:val="28"/>
          <w:szCs w:val="28"/>
          <w:rtl/>
        </w:rPr>
        <w:t xml:space="preserve"> كامل صدقي في مجموعة الأعمال التحضيرية ص 443 </w:t>
      </w:r>
      <w:r w:rsidRPr="00923B1A">
        <w:rPr>
          <w:color w:val="0000FF"/>
          <w:sz w:val="28"/>
          <w:szCs w:val="28"/>
          <w:rtl/>
        </w:rPr>
        <w:t>–</w:t>
      </w:r>
      <w:r w:rsidRPr="00923B1A">
        <w:rPr>
          <w:rFonts w:hint="cs"/>
          <w:color w:val="0000FF"/>
          <w:sz w:val="28"/>
          <w:szCs w:val="28"/>
          <w:rtl/>
        </w:rPr>
        <w:t xml:space="preserve"> ص 446 في الهامش</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496/605</w:t>
      </w:r>
      <w:r>
        <w:rPr>
          <w:rFonts w:hint="cs"/>
          <w:color w:val="0000FF"/>
          <w:sz w:val="28"/>
          <w:szCs w:val="28"/>
          <w:rtl/>
        </w:rPr>
        <w:t xml:space="preserve"> :</w:t>
      </w:r>
      <w:r w:rsidRPr="00923B1A">
        <w:rPr>
          <w:rFonts w:hint="cs"/>
          <w:color w:val="0000FF"/>
          <w:sz w:val="28"/>
          <w:szCs w:val="28"/>
          <w:rtl/>
        </w:rPr>
        <w:t xml:space="preserve"> الكفالة باطلة</w:t>
      </w:r>
      <w:r>
        <w:rPr>
          <w:rFonts w:hint="cs"/>
          <w:color w:val="0000FF"/>
          <w:sz w:val="28"/>
          <w:szCs w:val="28"/>
          <w:rtl/>
        </w:rPr>
        <w:t xml:space="preserve"> ،</w:t>
      </w:r>
      <w:r w:rsidRPr="00923B1A">
        <w:rPr>
          <w:rFonts w:hint="cs"/>
          <w:color w:val="0000FF"/>
          <w:sz w:val="28"/>
          <w:szCs w:val="28"/>
          <w:rtl/>
        </w:rPr>
        <w:t xml:space="preserve"> ما لم تكن الكفالة حاصلة بسبب عدم أهلية الدين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لا مقابل</w:t>
      </w:r>
      <w:r>
        <w:rPr>
          <w:rFonts w:hint="cs"/>
          <w:color w:val="0000FF"/>
          <w:sz w:val="28"/>
          <w:szCs w:val="28"/>
          <w:rtl/>
        </w:rPr>
        <w:t xml:space="preserve"> .</w:t>
      </w:r>
    </w:p>
  </w:footnote>
  <w:footnote w:id="9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w:t>
      </w:r>
      <w:r>
        <w:rPr>
          <w:rFonts w:hint="cs"/>
          <w:color w:val="0000FF"/>
          <w:sz w:val="28"/>
          <w:szCs w:val="28"/>
          <w:rtl/>
        </w:rPr>
        <w:t xml:space="preserve">بودري وفال فقرة </w:t>
      </w:r>
      <w:r w:rsidRPr="00923B1A">
        <w:rPr>
          <w:rFonts w:hint="cs"/>
          <w:color w:val="0000FF"/>
          <w:sz w:val="28"/>
          <w:szCs w:val="28"/>
          <w:rtl/>
        </w:rPr>
        <w:t xml:space="preserve"> 948 </w:t>
      </w:r>
      <w:r w:rsidRPr="00923B1A">
        <w:rPr>
          <w:color w:val="0000FF"/>
          <w:sz w:val="28"/>
          <w:szCs w:val="28"/>
          <w:rtl/>
          <w:lang w:bidi="ar-EG"/>
        </w:rPr>
        <w:t>–</w:t>
      </w:r>
      <w:r w:rsidRPr="00923B1A">
        <w:rPr>
          <w:rFonts w:hint="cs"/>
          <w:color w:val="0000FF"/>
          <w:sz w:val="28"/>
          <w:szCs w:val="28"/>
          <w:rtl/>
        </w:rPr>
        <w:t xml:space="preserve"> بلانيول وربير وبولاجنيه 2 فقرة 1924 ص 625</w:t>
      </w:r>
      <w:r>
        <w:rPr>
          <w:rFonts w:hint="cs"/>
          <w:color w:val="0000FF"/>
          <w:sz w:val="28"/>
          <w:szCs w:val="28"/>
          <w:rtl/>
        </w:rPr>
        <w:t xml:space="preserve"> .</w:t>
      </w:r>
    </w:p>
  </w:footnote>
  <w:footnote w:id="9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جاء في المذكرة </w:t>
      </w:r>
      <w:r w:rsidRPr="00923B1A">
        <w:rPr>
          <w:rFonts w:hint="cs"/>
          <w:color w:val="0000FF"/>
          <w:sz w:val="28"/>
          <w:szCs w:val="28"/>
          <w:rtl/>
          <w:lang w:bidi="ar-EG"/>
        </w:rPr>
        <w:t>الإيضاحية</w:t>
      </w:r>
      <w:r w:rsidRPr="00923B1A">
        <w:rPr>
          <w:rFonts w:hint="cs"/>
          <w:color w:val="0000FF"/>
          <w:sz w:val="28"/>
          <w:szCs w:val="28"/>
          <w:rtl/>
        </w:rPr>
        <w:t xml:space="preserve"> للمشروع التمهيدي في خصوص هذا النص ما يأتي</w:t>
      </w:r>
      <w:r>
        <w:rPr>
          <w:rFonts w:hint="cs"/>
          <w:color w:val="0000FF"/>
          <w:sz w:val="28"/>
          <w:szCs w:val="28"/>
          <w:rtl/>
        </w:rPr>
        <w:t xml:space="preserve"> :</w:t>
      </w:r>
      <w:r w:rsidRPr="00923B1A">
        <w:rPr>
          <w:rFonts w:hint="cs"/>
          <w:color w:val="0000FF"/>
          <w:sz w:val="28"/>
          <w:szCs w:val="28"/>
          <w:rtl/>
        </w:rPr>
        <w:t xml:space="preserve"> "نقل المشروع المادة 1153 بفقرتيها عن المادة 710 من المشروع الفرنسي الإيطالي</w:t>
      </w:r>
      <w:r>
        <w:rPr>
          <w:rFonts w:hint="cs"/>
          <w:color w:val="0000FF"/>
          <w:sz w:val="28"/>
          <w:szCs w:val="28"/>
          <w:rtl/>
        </w:rPr>
        <w:t xml:space="preserve"> .</w:t>
      </w:r>
      <w:r w:rsidRPr="00923B1A">
        <w:rPr>
          <w:rFonts w:hint="cs"/>
          <w:color w:val="0000FF"/>
          <w:sz w:val="28"/>
          <w:szCs w:val="28"/>
          <w:rtl/>
        </w:rPr>
        <w:t xml:space="preserve"> وهو يطابق في أحكامه المادة 496/605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مع شيء من الإيضاح</w:t>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rtl/>
          <w:lang w:bidi="ar-EG"/>
        </w:rPr>
        <w:t>أما</w:t>
      </w:r>
      <w:r w:rsidRPr="00923B1A">
        <w:rPr>
          <w:rFonts w:hint="cs"/>
          <w:color w:val="0000FF"/>
          <w:sz w:val="28"/>
          <w:szCs w:val="28"/>
          <w:rtl/>
        </w:rPr>
        <w:t xml:space="preserve"> التقنين الفرنسي </w:t>
      </w:r>
      <w:r>
        <w:rPr>
          <w:rFonts w:hint="cs"/>
          <w:color w:val="0000FF"/>
          <w:sz w:val="28"/>
          <w:szCs w:val="28"/>
          <w:rtl/>
        </w:rPr>
        <w:t xml:space="preserve">( </w:t>
      </w:r>
      <w:r w:rsidRPr="00923B1A">
        <w:rPr>
          <w:rFonts w:hint="cs"/>
          <w:color w:val="0000FF"/>
          <w:sz w:val="28"/>
          <w:szCs w:val="28"/>
          <w:rtl/>
        </w:rPr>
        <w:t>م 2012/2</w:t>
      </w:r>
      <w:r>
        <w:rPr>
          <w:rFonts w:hint="cs"/>
          <w:color w:val="0000FF"/>
          <w:sz w:val="28"/>
          <w:szCs w:val="28"/>
          <w:rtl/>
        </w:rPr>
        <w:t xml:space="preserve"> ) ،</w:t>
      </w:r>
      <w:r w:rsidRPr="00923B1A">
        <w:rPr>
          <w:rFonts w:hint="cs"/>
          <w:color w:val="0000FF"/>
          <w:sz w:val="28"/>
          <w:szCs w:val="28"/>
          <w:rtl/>
        </w:rPr>
        <w:t xml:space="preserve"> فإنه يصحح كفالة التزام ناقص الأهلية حتى لو كان الكفيل يجهل وقت العقد نقص أهلية المدين</w:t>
      </w:r>
      <w:r>
        <w:rPr>
          <w:rFonts w:hint="cs"/>
          <w:color w:val="0000FF"/>
          <w:sz w:val="28"/>
          <w:szCs w:val="28"/>
          <w:rtl/>
        </w:rPr>
        <w:t xml:space="preserve"> .</w:t>
      </w:r>
      <w:r w:rsidRPr="00923B1A">
        <w:rPr>
          <w:rFonts w:hint="cs"/>
          <w:color w:val="0000FF"/>
          <w:sz w:val="28"/>
          <w:szCs w:val="28"/>
          <w:rtl/>
        </w:rPr>
        <w:t xml:space="preserve"> وقد أثار هذا الحكم كثيراً من أوجه الخلاف والنقد الشديد</w:t>
      </w:r>
      <w:r>
        <w:rPr>
          <w:rFonts w:hint="cs"/>
          <w:color w:val="0000FF"/>
          <w:sz w:val="28"/>
          <w:szCs w:val="28"/>
          <w:rtl/>
        </w:rPr>
        <w:t xml:space="preserve"> ،</w:t>
      </w:r>
      <w:r w:rsidRPr="00923B1A">
        <w:rPr>
          <w:rFonts w:hint="cs"/>
          <w:color w:val="0000FF"/>
          <w:sz w:val="28"/>
          <w:szCs w:val="28"/>
          <w:rtl/>
        </w:rPr>
        <w:t xml:space="preserve"> ولذلك عدل عنه المشرع المصري وقرر </w:t>
      </w:r>
      <w:r w:rsidRPr="00923B1A">
        <w:rPr>
          <w:rFonts w:hint="cs"/>
          <w:color w:val="0000FF"/>
          <w:sz w:val="28"/>
          <w:szCs w:val="28"/>
          <w:rtl/>
          <w:lang w:bidi="ar-EG"/>
        </w:rPr>
        <w:t>أن</w:t>
      </w:r>
      <w:r w:rsidRPr="00923B1A">
        <w:rPr>
          <w:rFonts w:hint="cs"/>
          <w:color w:val="0000FF"/>
          <w:sz w:val="28"/>
          <w:szCs w:val="28"/>
          <w:rtl/>
        </w:rPr>
        <w:t xml:space="preserve"> كفالة التزام ناقص الأهلية لا تكون صحيحة </w:t>
      </w:r>
      <w:r w:rsidRPr="00923B1A">
        <w:rPr>
          <w:rFonts w:hint="cs"/>
          <w:color w:val="0000FF"/>
          <w:sz w:val="28"/>
          <w:szCs w:val="28"/>
          <w:rtl/>
          <w:lang w:bidi="ar-EG"/>
        </w:rPr>
        <w:t>إلا</w:t>
      </w:r>
      <w:r w:rsidRPr="00923B1A">
        <w:rPr>
          <w:rFonts w:hint="cs"/>
          <w:color w:val="0000FF"/>
          <w:sz w:val="28"/>
          <w:szCs w:val="28"/>
          <w:rtl/>
        </w:rPr>
        <w:t xml:space="preserve"> </w:t>
      </w:r>
      <w:r w:rsidRPr="00923B1A">
        <w:rPr>
          <w:rFonts w:hint="cs"/>
          <w:color w:val="0000FF"/>
          <w:sz w:val="28"/>
          <w:szCs w:val="28"/>
          <w:rtl/>
          <w:lang w:bidi="ar-EG"/>
        </w:rPr>
        <w:t>إذا</w:t>
      </w:r>
      <w:r w:rsidRPr="00923B1A">
        <w:rPr>
          <w:rFonts w:hint="cs"/>
          <w:color w:val="0000FF"/>
          <w:sz w:val="28"/>
          <w:szCs w:val="28"/>
          <w:rtl/>
        </w:rPr>
        <w:t xml:space="preserve"> كان الكفيل يعلم بنقص الأهلية</w:t>
      </w:r>
      <w:r>
        <w:rPr>
          <w:rFonts w:hint="cs"/>
          <w:color w:val="0000FF"/>
          <w:sz w:val="28"/>
          <w:szCs w:val="28"/>
          <w:rtl/>
        </w:rPr>
        <w:t xml:space="preserve"> .</w:t>
      </w:r>
      <w:r w:rsidRPr="00923B1A">
        <w:rPr>
          <w:rFonts w:hint="cs"/>
          <w:color w:val="0000FF"/>
          <w:sz w:val="28"/>
          <w:szCs w:val="28"/>
          <w:rtl/>
        </w:rPr>
        <w:t xml:space="preserve"> وكذلك فعلت معظم التقنيات الحديثة</w:t>
      </w:r>
      <w:r>
        <w:rPr>
          <w:rFonts w:hint="cs"/>
          <w:color w:val="0000FF"/>
          <w:sz w:val="28"/>
          <w:szCs w:val="28"/>
          <w:rtl/>
        </w:rPr>
        <w:t xml:space="preserve"> ،</w:t>
      </w:r>
      <w:r w:rsidRPr="00923B1A">
        <w:rPr>
          <w:rFonts w:hint="cs"/>
          <w:color w:val="0000FF"/>
          <w:sz w:val="28"/>
          <w:szCs w:val="28"/>
          <w:rtl/>
        </w:rPr>
        <w:t xml:space="preserve"> كما </w:t>
      </w:r>
      <w:r w:rsidRPr="00923B1A">
        <w:rPr>
          <w:rFonts w:hint="cs"/>
          <w:color w:val="0000FF"/>
          <w:sz w:val="28"/>
          <w:szCs w:val="28"/>
          <w:rtl/>
          <w:lang w:bidi="ar-EG"/>
        </w:rPr>
        <w:t>أن</w:t>
      </w:r>
      <w:r w:rsidRPr="00923B1A">
        <w:rPr>
          <w:rFonts w:hint="cs"/>
          <w:color w:val="0000FF"/>
          <w:sz w:val="28"/>
          <w:szCs w:val="28"/>
          <w:rtl/>
        </w:rPr>
        <w:t xml:space="preserve"> الشريعة </w:t>
      </w:r>
      <w:r w:rsidRPr="00923B1A">
        <w:rPr>
          <w:rFonts w:hint="cs"/>
          <w:color w:val="0000FF"/>
          <w:sz w:val="28"/>
          <w:szCs w:val="28"/>
          <w:rtl/>
          <w:lang w:bidi="ar-EG"/>
        </w:rPr>
        <w:t>الإسلامية</w:t>
      </w:r>
      <w:r w:rsidRPr="00923B1A">
        <w:rPr>
          <w:rFonts w:hint="cs"/>
          <w:color w:val="0000FF"/>
          <w:sz w:val="28"/>
          <w:szCs w:val="28"/>
          <w:rtl/>
        </w:rPr>
        <w:t xml:space="preserve"> تقضي هي </w:t>
      </w:r>
      <w:r w:rsidRPr="00923B1A">
        <w:rPr>
          <w:rFonts w:hint="cs"/>
          <w:color w:val="0000FF"/>
          <w:sz w:val="28"/>
          <w:szCs w:val="28"/>
          <w:rtl/>
          <w:lang w:bidi="ar-EG"/>
        </w:rPr>
        <w:t>أيضاً</w:t>
      </w:r>
      <w:r w:rsidRPr="00923B1A">
        <w:rPr>
          <w:rFonts w:hint="cs"/>
          <w:color w:val="0000FF"/>
          <w:sz w:val="28"/>
          <w:szCs w:val="28"/>
          <w:rtl/>
        </w:rPr>
        <w:t xml:space="preserve"> بهذا الحكم </w:t>
      </w:r>
      <w:r>
        <w:rPr>
          <w:rFonts w:hint="cs"/>
          <w:color w:val="0000FF"/>
          <w:sz w:val="28"/>
          <w:szCs w:val="28"/>
          <w:rtl/>
        </w:rPr>
        <w:t xml:space="preserve">( </w:t>
      </w:r>
      <w:r w:rsidRPr="00923B1A">
        <w:rPr>
          <w:rFonts w:hint="cs"/>
          <w:color w:val="0000FF"/>
          <w:sz w:val="28"/>
          <w:szCs w:val="28"/>
          <w:rtl/>
        </w:rPr>
        <w:t>م 841 مرشد الحيران</w:t>
      </w:r>
      <w:r>
        <w:rPr>
          <w:rFonts w:hint="cs"/>
          <w:color w:val="0000FF"/>
          <w:sz w:val="28"/>
          <w:szCs w:val="28"/>
          <w:rtl/>
        </w:rPr>
        <w:t xml:space="preserve"> ) .</w:t>
      </w:r>
      <w:r w:rsidRPr="00923B1A">
        <w:rPr>
          <w:rFonts w:hint="cs"/>
          <w:color w:val="0000FF"/>
          <w:sz w:val="28"/>
          <w:szCs w:val="28"/>
          <w:rtl/>
        </w:rPr>
        <w:t xml:space="preserve"> ويلاحظ </w:t>
      </w:r>
      <w:r w:rsidRPr="00923B1A">
        <w:rPr>
          <w:rFonts w:hint="cs"/>
          <w:color w:val="0000FF"/>
          <w:sz w:val="28"/>
          <w:szCs w:val="28"/>
          <w:rtl/>
          <w:lang w:bidi="ar-EG"/>
        </w:rPr>
        <w:t>أن</w:t>
      </w:r>
      <w:r w:rsidRPr="00923B1A">
        <w:rPr>
          <w:rFonts w:hint="cs"/>
          <w:color w:val="0000FF"/>
          <w:sz w:val="28"/>
          <w:szCs w:val="28"/>
          <w:rtl/>
        </w:rPr>
        <w:t xml:space="preserve"> التزام الكفيل في هذه الحالة ليس التزاماً تبعياً يستند </w:t>
      </w:r>
      <w:r w:rsidRPr="00923B1A">
        <w:rPr>
          <w:rFonts w:hint="cs"/>
          <w:color w:val="0000FF"/>
          <w:sz w:val="28"/>
          <w:szCs w:val="28"/>
          <w:rtl/>
          <w:lang w:bidi="ar-EG"/>
        </w:rPr>
        <w:t>إلى</w:t>
      </w:r>
      <w:r w:rsidRPr="00923B1A">
        <w:rPr>
          <w:rFonts w:hint="cs"/>
          <w:color w:val="0000FF"/>
          <w:sz w:val="28"/>
          <w:szCs w:val="28"/>
          <w:rtl/>
        </w:rPr>
        <w:t xml:space="preserve"> التزام أصلي</w:t>
      </w:r>
      <w:r>
        <w:rPr>
          <w:rFonts w:hint="cs"/>
          <w:color w:val="0000FF"/>
          <w:sz w:val="28"/>
          <w:szCs w:val="28"/>
          <w:rtl/>
        </w:rPr>
        <w:t xml:space="preserve"> ،</w:t>
      </w:r>
      <w:r w:rsidRPr="00923B1A">
        <w:rPr>
          <w:rFonts w:hint="cs"/>
          <w:color w:val="0000FF"/>
          <w:sz w:val="28"/>
          <w:szCs w:val="28"/>
          <w:rtl/>
        </w:rPr>
        <w:t xml:space="preserve"> بل أن الكفيل يلتزم بصفة أصلية لا باعتباره كفيلا</w:t>
      </w:r>
      <w:r>
        <w:rPr>
          <w:rFonts w:hint="cs"/>
          <w:color w:val="0000FF"/>
          <w:sz w:val="28"/>
          <w:szCs w:val="28"/>
          <w:rtl/>
        </w:rPr>
        <w:t xml:space="preserve"> .</w:t>
      </w:r>
      <w:r w:rsidRPr="00923B1A">
        <w:rPr>
          <w:rFonts w:hint="cs"/>
          <w:color w:val="0000FF"/>
          <w:sz w:val="28"/>
          <w:szCs w:val="28"/>
          <w:rtl/>
        </w:rPr>
        <w:t xml:space="preserve"> ذلك </w:t>
      </w:r>
      <w:r w:rsidRPr="00923B1A">
        <w:rPr>
          <w:rFonts w:hint="cs"/>
          <w:color w:val="0000FF"/>
          <w:sz w:val="28"/>
          <w:szCs w:val="28"/>
          <w:rtl/>
          <w:lang w:bidi="ar-EG"/>
        </w:rPr>
        <w:t>أن</w:t>
      </w:r>
      <w:r w:rsidRPr="00923B1A">
        <w:rPr>
          <w:rFonts w:hint="cs"/>
          <w:color w:val="0000FF"/>
          <w:sz w:val="28"/>
          <w:szCs w:val="28"/>
          <w:rtl/>
        </w:rPr>
        <w:t xml:space="preserve"> من كفل قاصراً في عقد وهو عالم بقصره</w:t>
      </w:r>
      <w:r>
        <w:rPr>
          <w:rFonts w:hint="cs"/>
          <w:color w:val="0000FF"/>
          <w:sz w:val="28"/>
          <w:szCs w:val="28"/>
          <w:rtl/>
        </w:rPr>
        <w:t xml:space="preserve"> ،</w:t>
      </w:r>
      <w:r w:rsidRPr="00923B1A">
        <w:rPr>
          <w:rFonts w:hint="cs"/>
          <w:color w:val="0000FF"/>
          <w:sz w:val="28"/>
          <w:szCs w:val="28"/>
          <w:rtl/>
        </w:rPr>
        <w:t xml:space="preserve"> كان ضامناً ه في </w:t>
      </w:r>
      <w:r w:rsidRPr="00923B1A">
        <w:rPr>
          <w:rFonts w:hint="cs"/>
          <w:color w:val="0000FF"/>
          <w:sz w:val="28"/>
          <w:szCs w:val="28"/>
          <w:rtl/>
          <w:lang w:bidi="ar-EG"/>
        </w:rPr>
        <w:t>أداء</w:t>
      </w:r>
      <w:r w:rsidRPr="00923B1A">
        <w:rPr>
          <w:rFonts w:hint="cs"/>
          <w:color w:val="0000FF"/>
          <w:sz w:val="28"/>
          <w:szCs w:val="28"/>
          <w:rtl/>
        </w:rPr>
        <w:t xml:space="preserve"> التزامه </w:t>
      </w:r>
      <w:r w:rsidRPr="00923B1A">
        <w:rPr>
          <w:rFonts w:hint="cs"/>
          <w:color w:val="0000FF"/>
          <w:sz w:val="28"/>
          <w:szCs w:val="28"/>
          <w:rtl/>
          <w:lang w:bidi="ar-EG"/>
        </w:rPr>
        <w:t>إذا</w:t>
      </w:r>
      <w:r w:rsidRPr="00923B1A">
        <w:rPr>
          <w:rFonts w:hint="cs"/>
          <w:color w:val="0000FF"/>
          <w:sz w:val="28"/>
          <w:szCs w:val="28"/>
          <w:rtl/>
        </w:rPr>
        <w:t xml:space="preserve"> لم يتمسك القاصر ببطلان العقد</w:t>
      </w:r>
      <w:r>
        <w:rPr>
          <w:rFonts w:hint="cs"/>
          <w:color w:val="0000FF"/>
          <w:sz w:val="28"/>
          <w:szCs w:val="28"/>
          <w:rtl/>
        </w:rPr>
        <w:t xml:space="preserve"> ،</w:t>
      </w:r>
      <w:r w:rsidRPr="00923B1A">
        <w:rPr>
          <w:rFonts w:hint="cs"/>
          <w:color w:val="0000FF"/>
          <w:sz w:val="28"/>
          <w:szCs w:val="28"/>
          <w:rtl/>
        </w:rPr>
        <w:t xml:space="preserve"> وكان مسئولا بصفة أصلية عن </w:t>
      </w:r>
      <w:r w:rsidRPr="00923B1A">
        <w:rPr>
          <w:rFonts w:hint="cs"/>
          <w:color w:val="0000FF"/>
          <w:sz w:val="28"/>
          <w:szCs w:val="28"/>
          <w:rtl/>
          <w:lang w:bidi="ar-EG"/>
        </w:rPr>
        <w:t>أداء</w:t>
      </w:r>
      <w:r w:rsidRPr="00923B1A">
        <w:rPr>
          <w:rFonts w:hint="cs"/>
          <w:color w:val="0000FF"/>
          <w:sz w:val="28"/>
          <w:szCs w:val="28"/>
          <w:rtl/>
        </w:rPr>
        <w:t xml:space="preserve"> الالتزام </w:t>
      </w:r>
      <w:r w:rsidRPr="00923B1A">
        <w:rPr>
          <w:rFonts w:hint="cs"/>
          <w:color w:val="0000FF"/>
          <w:sz w:val="28"/>
          <w:szCs w:val="28"/>
          <w:rtl/>
          <w:lang w:bidi="ar-EG"/>
        </w:rPr>
        <w:t>إذا</w:t>
      </w:r>
      <w:r w:rsidRPr="00923B1A">
        <w:rPr>
          <w:rFonts w:hint="cs"/>
          <w:color w:val="0000FF"/>
          <w:sz w:val="28"/>
          <w:szCs w:val="28"/>
          <w:rtl/>
        </w:rPr>
        <w:t xml:space="preserve"> تمسك القصار بالبطلان</w:t>
      </w:r>
      <w:r>
        <w:rPr>
          <w:rFonts w:hint="cs"/>
          <w:color w:val="0000FF"/>
          <w:sz w:val="28"/>
          <w:szCs w:val="28"/>
          <w:rtl/>
        </w:rPr>
        <w:t xml:space="preserve"> ،</w:t>
      </w:r>
      <w:r w:rsidRPr="00923B1A">
        <w:rPr>
          <w:rFonts w:hint="cs"/>
          <w:color w:val="0000FF"/>
          <w:sz w:val="28"/>
          <w:szCs w:val="28"/>
          <w:rtl/>
        </w:rPr>
        <w:t xml:space="preserve"> كل هذا ما لم يقم دليل على ما يخالفه</w:t>
      </w:r>
      <w:r>
        <w:rPr>
          <w:rFonts w:hint="cs"/>
          <w:color w:val="0000FF"/>
          <w:sz w:val="28"/>
          <w:szCs w:val="28"/>
          <w:rtl/>
        </w:rPr>
        <w:t xml:space="preserve"> .</w:t>
      </w:r>
      <w:r w:rsidRPr="00923B1A">
        <w:rPr>
          <w:rFonts w:hint="cs"/>
          <w:color w:val="0000FF"/>
          <w:sz w:val="28"/>
          <w:szCs w:val="28"/>
          <w:rtl/>
        </w:rPr>
        <w:t xml:space="preserve"> هذا وقد أورد القانون اليوناني في المادة 626 نصا يقرب من هذا المعنى </w:t>
      </w:r>
      <w:r w:rsidRPr="00923B1A">
        <w:rPr>
          <w:rFonts w:hint="cs"/>
          <w:color w:val="0000FF"/>
          <w:sz w:val="28"/>
          <w:szCs w:val="28"/>
          <w:rtl/>
          <w:lang w:bidi="ar-EG"/>
        </w:rPr>
        <w:t>إذ</w:t>
      </w:r>
      <w:r w:rsidRPr="00923B1A">
        <w:rPr>
          <w:rFonts w:hint="cs"/>
          <w:color w:val="0000FF"/>
          <w:sz w:val="28"/>
          <w:szCs w:val="28"/>
          <w:rtl/>
        </w:rPr>
        <w:t xml:space="preserve"> يقضي </w:t>
      </w:r>
      <w:r w:rsidRPr="00923B1A">
        <w:rPr>
          <w:rFonts w:hint="cs"/>
          <w:color w:val="0000FF"/>
          <w:sz w:val="28"/>
          <w:szCs w:val="28"/>
          <w:rtl/>
          <w:lang w:bidi="ar-EG"/>
        </w:rPr>
        <w:t>بأن</w:t>
      </w:r>
      <w:r w:rsidRPr="00923B1A">
        <w:rPr>
          <w:rFonts w:hint="cs"/>
          <w:color w:val="0000FF"/>
          <w:sz w:val="28"/>
          <w:szCs w:val="28"/>
          <w:rtl/>
        </w:rPr>
        <w:t xml:space="preserve"> من كفل التزاما باطلا بسبب نقص أهلية المدين يكون ملزماً بتنفيذه كمدين </w:t>
      </w:r>
      <w:r w:rsidRPr="00923B1A">
        <w:rPr>
          <w:rFonts w:hint="cs"/>
          <w:color w:val="0000FF"/>
          <w:sz w:val="28"/>
          <w:szCs w:val="28"/>
          <w:rtl/>
          <w:lang w:bidi="ar-EG"/>
        </w:rPr>
        <w:t>أصلي</w:t>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rtl/>
          <w:lang w:bidi="ar-EG"/>
        </w:rPr>
        <w:t>إذا</w:t>
      </w:r>
      <w:r w:rsidRPr="00923B1A">
        <w:rPr>
          <w:rFonts w:hint="cs"/>
          <w:color w:val="0000FF"/>
          <w:sz w:val="28"/>
          <w:szCs w:val="28"/>
          <w:rtl/>
        </w:rPr>
        <w:t xml:space="preserve"> كان وقت الكفالة يعلم </w:t>
      </w:r>
      <w:r w:rsidRPr="00923B1A">
        <w:rPr>
          <w:rFonts w:hint="cs"/>
          <w:color w:val="0000FF"/>
          <w:sz w:val="28"/>
          <w:szCs w:val="28"/>
          <w:rtl/>
          <w:lang w:bidi="ar-EG"/>
        </w:rPr>
        <w:t>أو</w:t>
      </w:r>
      <w:r w:rsidRPr="00923B1A">
        <w:rPr>
          <w:rFonts w:hint="cs"/>
          <w:color w:val="0000FF"/>
          <w:sz w:val="28"/>
          <w:szCs w:val="28"/>
          <w:rtl/>
        </w:rPr>
        <w:t xml:space="preserve"> كان من الواجب عليه </w:t>
      </w:r>
      <w:r w:rsidRPr="00923B1A">
        <w:rPr>
          <w:rFonts w:hint="cs"/>
          <w:color w:val="0000FF"/>
          <w:sz w:val="28"/>
          <w:szCs w:val="28"/>
          <w:rtl/>
          <w:lang w:bidi="ar-EG"/>
        </w:rPr>
        <w:t>أن</w:t>
      </w:r>
      <w:r w:rsidRPr="00923B1A">
        <w:rPr>
          <w:rFonts w:hint="cs"/>
          <w:color w:val="0000FF"/>
          <w:sz w:val="28"/>
          <w:szCs w:val="28"/>
          <w:rtl/>
        </w:rPr>
        <w:t xml:space="preserve"> يعلم نقص </w:t>
      </w:r>
      <w:r w:rsidRPr="00923B1A">
        <w:rPr>
          <w:rFonts w:hint="cs"/>
          <w:color w:val="0000FF"/>
          <w:sz w:val="28"/>
          <w:szCs w:val="28"/>
          <w:rtl/>
          <w:lang w:bidi="ar-EG"/>
        </w:rPr>
        <w:t>أهلية</w:t>
      </w:r>
      <w:r w:rsidRPr="00923B1A">
        <w:rPr>
          <w:rFonts w:hint="cs"/>
          <w:color w:val="0000FF"/>
          <w:sz w:val="28"/>
          <w:szCs w:val="28"/>
          <w:rtl/>
        </w:rPr>
        <w:t xml:space="preserve"> المدين" </w:t>
      </w:r>
      <w:r>
        <w:rPr>
          <w:rFonts w:hint="cs"/>
          <w:color w:val="0000FF"/>
          <w:sz w:val="28"/>
          <w:szCs w:val="28"/>
          <w:rtl/>
        </w:rPr>
        <w:t xml:space="preserve">( </w:t>
      </w:r>
      <w:r w:rsidRPr="00923B1A">
        <w:rPr>
          <w:rFonts w:hint="cs"/>
          <w:color w:val="0000FF"/>
          <w:sz w:val="28"/>
          <w:szCs w:val="28"/>
          <w:rtl/>
        </w:rPr>
        <w:t xml:space="preserve">مجموعة الأعمال التحضيرية 5 ص 448 </w:t>
      </w:r>
      <w:r w:rsidRPr="00923B1A">
        <w:rPr>
          <w:color w:val="0000FF"/>
          <w:sz w:val="28"/>
          <w:szCs w:val="28"/>
          <w:rtl/>
          <w:lang w:bidi="ar-EG"/>
        </w:rPr>
        <w:t>–</w:t>
      </w:r>
      <w:r w:rsidRPr="00923B1A">
        <w:rPr>
          <w:rFonts w:hint="cs"/>
          <w:color w:val="0000FF"/>
          <w:sz w:val="28"/>
          <w:szCs w:val="28"/>
          <w:rtl/>
        </w:rPr>
        <w:t xml:space="preserve"> ص 449</w:t>
      </w:r>
      <w:r>
        <w:rPr>
          <w:rFonts w:hint="cs"/>
          <w:color w:val="0000FF"/>
          <w:sz w:val="28"/>
          <w:szCs w:val="28"/>
          <w:rtl/>
        </w:rPr>
        <w:t xml:space="preserve"> ) .</w:t>
      </w:r>
    </w:p>
  </w:footnote>
  <w:footnote w:id="9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19 في الهامش وفقرة 21 في الهامش</w:t>
      </w:r>
      <w:r>
        <w:rPr>
          <w:rFonts w:hint="cs"/>
          <w:color w:val="0000FF"/>
          <w:sz w:val="28"/>
          <w:szCs w:val="28"/>
          <w:rtl/>
        </w:rPr>
        <w:t xml:space="preserve"> .</w:t>
      </w:r>
    </w:p>
  </w:footnote>
  <w:footnote w:id="9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rtl/>
          <w:lang w:bidi="ar-EG"/>
        </w:rPr>
        <w:t>انظر آنفاً فقرة</w:t>
      </w:r>
      <w:r w:rsidRPr="00923B1A">
        <w:rPr>
          <w:rFonts w:hint="cs"/>
          <w:color w:val="0000FF"/>
          <w:sz w:val="28"/>
          <w:szCs w:val="28"/>
          <w:rtl/>
        </w:rPr>
        <w:t xml:space="preserve"> 19 في الهامش</w:t>
      </w:r>
      <w:r>
        <w:rPr>
          <w:rFonts w:hint="cs"/>
          <w:color w:val="0000FF"/>
          <w:sz w:val="28"/>
          <w:szCs w:val="28"/>
          <w:rtl/>
        </w:rPr>
        <w:t xml:space="preserve"> .</w:t>
      </w:r>
    </w:p>
  </w:footnote>
  <w:footnote w:id="9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rtl/>
          <w:lang w:bidi="ar-EG"/>
        </w:rPr>
        <w:t>انظر آنفاً فقرة</w:t>
      </w:r>
      <w:r w:rsidRPr="00923B1A">
        <w:rPr>
          <w:rFonts w:hint="cs"/>
          <w:color w:val="0000FF"/>
          <w:sz w:val="28"/>
          <w:szCs w:val="28"/>
          <w:rtl/>
        </w:rPr>
        <w:t xml:space="preserve"> 21 في الهامش</w:t>
      </w:r>
      <w:r>
        <w:rPr>
          <w:rFonts w:hint="cs"/>
          <w:color w:val="0000FF"/>
          <w:sz w:val="28"/>
          <w:szCs w:val="28"/>
          <w:rtl/>
        </w:rPr>
        <w:t xml:space="preserve"> .</w:t>
      </w:r>
    </w:p>
  </w:footnote>
  <w:footnote w:id="9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والتقنين المدني الفرنسي </w:t>
      </w:r>
      <w:r>
        <w:rPr>
          <w:rFonts w:hint="cs"/>
          <w:color w:val="0000FF"/>
          <w:sz w:val="28"/>
          <w:szCs w:val="28"/>
          <w:rtl/>
        </w:rPr>
        <w:t xml:space="preserve">( </w:t>
      </w:r>
      <w:r w:rsidRPr="00923B1A">
        <w:rPr>
          <w:rFonts w:hint="cs"/>
          <w:color w:val="0000FF"/>
          <w:sz w:val="28"/>
          <w:szCs w:val="28"/>
          <w:rtl/>
        </w:rPr>
        <w:t>2012/2</w:t>
      </w:r>
      <w:r>
        <w:rPr>
          <w:rFonts w:hint="cs"/>
          <w:color w:val="0000FF"/>
          <w:sz w:val="28"/>
          <w:szCs w:val="28"/>
          <w:rtl/>
        </w:rPr>
        <w:t xml:space="preserve"> )</w:t>
      </w:r>
      <w:r w:rsidRPr="00923B1A">
        <w:rPr>
          <w:rFonts w:hint="cs"/>
          <w:color w:val="0000FF"/>
          <w:sz w:val="28"/>
          <w:szCs w:val="28"/>
          <w:rtl/>
        </w:rPr>
        <w:t xml:space="preserve"> ينص على </w:t>
      </w:r>
      <w:r w:rsidRPr="00923B1A">
        <w:rPr>
          <w:rFonts w:hint="cs"/>
          <w:color w:val="0000FF"/>
          <w:sz w:val="28"/>
          <w:szCs w:val="28"/>
          <w:rtl/>
          <w:lang w:bidi="ar-EG"/>
        </w:rPr>
        <w:t>أنه</w:t>
      </w:r>
      <w:r w:rsidRPr="00923B1A">
        <w:rPr>
          <w:rFonts w:hint="cs"/>
          <w:color w:val="0000FF"/>
          <w:sz w:val="28"/>
          <w:szCs w:val="28"/>
          <w:rtl/>
        </w:rPr>
        <w:t xml:space="preserve"> "تجوز كفالة الالتزام</w:t>
      </w:r>
      <w:r>
        <w:rPr>
          <w:rFonts w:hint="cs"/>
          <w:color w:val="0000FF"/>
          <w:sz w:val="28"/>
          <w:szCs w:val="28"/>
          <w:rtl/>
        </w:rPr>
        <w:t xml:space="preserve"> ،</w:t>
      </w:r>
      <w:r w:rsidRPr="00923B1A">
        <w:rPr>
          <w:rFonts w:hint="cs"/>
          <w:color w:val="0000FF"/>
          <w:sz w:val="28"/>
          <w:szCs w:val="28"/>
          <w:rtl/>
        </w:rPr>
        <w:t xml:space="preserve"> ولو كان جائزاً إبطاله بدفع شخص محض خاص بالملتزم</w:t>
      </w:r>
      <w:r>
        <w:rPr>
          <w:rFonts w:hint="cs"/>
          <w:color w:val="0000FF"/>
          <w:sz w:val="28"/>
          <w:szCs w:val="28"/>
          <w:rtl/>
        </w:rPr>
        <w:t xml:space="preserve"> ،</w:t>
      </w:r>
      <w:r w:rsidRPr="00923B1A">
        <w:rPr>
          <w:rFonts w:hint="cs"/>
          <w:color w:val="0000FF"/>
          <w:sz w:val="28"/>
          <w:szCs w:val="28"/>
          <w:rtl/>
        </w:rPr>
        <w:t xml:space="preserve"> وذلك كحالة القصر"</w:t>
      </w:r>
      <w:r>
        <w:rPr>
          <w:rFonts w:hint="cs"/>
          <w:color w:val="0000FF"/>
          <w:sz w:val="28"/>
          <w:szCs w:val="28"/>
          <w:rtl/>
        </w:rPr>
        <w:t xml:space="preserve"> .</w:t>
      </w:r>
      <w:r w:rsidRPr="00923B1A">
        <w:rPr>
          <w:rFonts w:hint="cs"/>
          <w:color w:val="0000FF"/>
          <w:sz w:val="28"/>
          <w:szCs w:val="28"/>
          <w:rtl/>
        </w:rPr>
        <w:t xml:space="preserve"> والفقه في فرنسا متفق على </w:t>
      </w:r>
      <w:r w:rsidRPr="00923B1A">
        <w:rPr>
          <w:rFonts w:hint="cs"/>
          <w:color w:val="0000FF"/>
          <w:sz w:val="28"/>
          <w:szCs w:val="28"/>
          <w:rtl/>
          <w:lang w:bidi="ar-EG"/>
        </w:rPr>
        <w:t>أن</w:t>
      </w:r>
      <w:r w:rsidRPr="00923B1A">
        <w:rPr>
          <w:rFonts w:hint="cs"/>
          <w:color w:val="0000FF"/>
          <w:sz w:val="28"/>
          <w:szCs w:val="28"/>
          <w:rtl/>
        </w:rPr>
        <w:t xml:space="preserve"> المقصود بالالتزام المكفول هنا هو الالتزام القابل </w:t>
      </w:r>
      <w:r w:rsidRPr="00923B1A">
        <w:rPr>
          <w:rFonts w:hint="cs"/>
          <w:color w:val="0000FF"/>
          <w:sz w:val="28"/>
          <w:szCs w:val="28"/>
          <w:rtl/>
          <w:lang w:bidi="ar-EG"/>
        </w:rPr>
        <w:t>للإبطال</w:t>
      </w:r>
      <w:r w:rsidRPr="00923B1A">
        <w:rPr>
          <w:rFonts w:hint="cs"/>
          <w:color w:val="0000FF"/>
          <w:sz w:val="28"/>
          <w:szCs w:val="28"/>
          <w:rtl/>
        </w:rPr>
        <w:t xml:space="preserve"> </w:t>
      </w:r>
      <w:r>
        <w:rPr>
          <w:color w:val="0000FF"/>
          <w:sz w:val="28"/>
          <w:szCs w:val="28"/>
          <w:rtl/>
        </w:rPr>
        <w:t xml:space="preserve">( </w:t>
      </w:r>
      <w:r w:rsidRPr="00923B1A">
        <w:rPr>
          <w:color w:val="0000FF"/>
          <w:sz w:val="28"/>
          <w:szCs w:val="28"/>
        </w:rPr>
        <w:t>annulable</w:t>
      </w:r>
      <w:r>
        <w:rPr>
          <w:color w:val="0000FF"/>
          <w:sz w:val="28"/>
          <w:szCs w:val="28"/>
          <w:rtl/>
        </w:rPr>
        <w:t xml:space="preserve"> )</w:t>
      </w:r>
      <w:r w:rsidRPr="00923B1A">
        <w:rPr>
          <w:rFonts w:hint="cs"/>
          <w:color w:val="0000FF"/>
          <w:sz w:val="28"/>
          <w:szCs w:val="28"/>
          <w:rtl/>
        </w:rPr>
        <w:t xml:space="preserve"> لا الالتزام الباطل </w:t>
      </w:r>
      <w:r>
        <w:rPr>
          <w:color w:val="0000FF"/>
          <w:sz w:val="28"/>
          <w:szCs w:val="28"/>
          <w:rtl/>
        </w:rPr>
        <w:t xml:space="preserve">( </w:t>
      </w:r>
      <w:r w:rsidRPr="00923B1A">
        <w:rPr>
          <w:color w:val="0000FF"/>
          <w:sz w:val="28"/>
          <w:szCs w:val="28"/>
        </w:rPr>
        <w:t>nul</w:t>
      </w:r>
      <w:r>
        <w:rPr>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انظر أوبري 6 فقرة 425 ص 274 </w:t>
      </w:r>
      <w:r w:rsidRPr="00923B1A">
        <w:rPr>
          <w:color w:val="0000FF"/>
          <w:sz w:val="28"/>
          <w:szCs w:val="28"/>
          <w:rtl/>
        </w:rPr>
        <w:t>–</w:t>
      </w:r>
      <w:r w:rsidRPr="00923B1A">
        <w:rPr>
          <w:rFonts w:hint="cs"/>
          <w:color w:val="0000FF"/>
          <w:sz w:val="28"/>
          <w:szCs w:val="28"/>
          <w:rtl/>
        </w:rPr>
        <w:t xml:space="preserve"> ص 275</w:t>
      </w:r>
      <w:r>
        <w:rPr>
          <w:rFonts w:hint="cs"/>
          <w:color w:val="0000FF"/>
          <w:sz w:val="28"/>
          <w:szCs w:val="28"/>
          <w:rtl/>
        </w:rPr>
        <w:t xml:space="preserve"> .</w:t>
      </w:r>
      <w:r w:rsidRPr="00923B1A">
        <w:rPr>
          <w:rFonts w:hint="cs"/>
          <w:color w:val="0000FF"/>
          <w:sz w:val="28"/>
          <w:szCs w:val="28"/>
          <w:rtl/>
        </w:rPr>
        <w:t xml:space="preserve"> بودري وفال فقرة 945 </w:t>
      </w:r>
      <w:r w:rsidRPr="00923B1A">
        <w:rPr>
          <w:color w:val="0000FF"/>
          <w:sz w:val="28"/>
          <w:szCs w:val="28"/>
          <w:rtl/>
        </w:rPr>
        <w:t>–</w:t>
      </w:r>
      <w:r w:rsidRPr="00923B1A">
        <w:rPr>
          <w:rFonts w:hint="cs"/>
          <w:color w:val="0000FF"/>
          <w:sz w:val="28"/>
          <w:szCs w:val="28"/>
          <w:rtl/>
        </w:rPr>
        <w:t xml:space="preserve"> ص 505 </w:t>
      </w:r>
      <w:r w:rsidRPr="00923B1A">
        <w:rPr>
          <w:color w:val="0000FF"/>
          <w:sz w:val="28"/>
          <w:szCs w:val="28"/>
          <w:rtl/>
        </w:rPr>
        <w:t>–</w:t>
      </w:r>
      <w:r w:rsidRPr="00923B1A">
        <w:rPr>
          <w:rFonts w:hint="cs"/>
          <w:color w:val="0000FF"/>
          <w:sz w:val="28"/>
          <w:szCs w:val="28"/>
          <w:rtl/>
        </w:rPr>
        <w:t xml:space="preserve"> بلانيول وسافاتييه فقرة 1518</w:t>
      </w:r>
      <w:r>
        <w:rPr>
          <w:rFonts w:hint="cs"/>
          <w:color w:val="0000FF"/>
          <w:sz w:val="28"/>
          <w:szCs w:val="28"/>
          <w:rtl/>
        </w:rPr>
        <w:t xml:space="preserve"> ) .</w:t>
      </w:r>
    </w:p>
  </w:footnote>
  <w:footnote w:id="96">
    <w:p w:rsidR="00F72742" w:rsidRPr="00923B1A" w:rsidRDefault="00F72742" w:rsidP="00F72742">
      <w:pPr>
        <w:pStyle w:val="aa"/>
        <w:widowControl w:val="0"/>
        <w:ind w:firstLine="567"/>
        <w:jc w:val="lowKashida"/>
        <w:rPr>
          <w:rFonts w:hint="cs"/>
          <w:smallCap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ويبدو </w:t>
      </w:r>
      <w:r w:rsidRPr="00923B1A">
        <w:rPr>
          <w:rFonts w:hint="cs"/>
          <w:color w:val="0000FF"/>
          <w:sz w:val="28"/>
          <w:szCs w:val="28"/>
          <w:rtl/>
          <w:lang w:bidi="ar-EG"/>
        </w:rPr>
        <w:t>أن</w:t>
      </w:r>
      <w:r w:rsidRPr="00923B1A">
        <w:rPr>
          <w:rFonts w:hint="cs"/>
          <w:color w:val="0000FF"/>
          <w:sz w:val="28"/>
          <w:szCs w:val="28"/>
          <w:rtl/>
        </w:rPr>
        <w:t xml:space="preserve"> بعض الفقهاء </w:t>
      </w:r>
      <w:r w:rsidRPr="00923B1A">
        <w:rPr>
          <w:rFonts w:hint="cs"/>
          <w:color w:val="0000FF"/>
          <w:sz w:val="28"/>
          <w:szCs w:val="28"/>
          <w:rtl/>
          <w:lang w:bidi="ar-EG"/>
        </w:rPr>
        <w:t>في</w:t>
      </w:r>
      <w:r w:rsidRPr="00923B1A">
        <w:rPr>
          <w:rFonts w:hint="cs"/>
          <w:color w:val="0000FF"/>
          <w:sz w:val="28"/>
          <w:szCs w:val="28"/>
          <w:rtl/>
        </w:rPr>
        <w:t xml:space="preserve"> فرنسا يذهب </w:t>
      </w:r>
      <w:r w:rsidRPr="00923B1A">
        <w:rPr>
          <w:rFonts w:hint="cs"/>
          <w:color w:val="0000FF"/>
          <w:sz w:val="28"/>
          <w:szCs w:val="28"/>
          <w:rtl/>
          <w:lang w:bidi="ar-EG"/>
        </w:rPr>
        <w:t>إلى</w:t>
      </w:r>
      <w:r w:rsidRPr="00923B1A">
        <w:rPr>
          <w:rFonts w:hint="cs"/>
          <w:color w:val="0000FF"/>
          <w:sz w:val="28"/>
          <w:szCs w:val="28"/>
          <w:rtl/>
        </w:rPr>
        <w:t xml:space="preserve"> </w:t>
      </w:r>
      <w:r w:rsidRPr="00923B1A">
        <w:rPr>
          <w:rFonts w:hint="cs"/>
          <w:color w:val="0000FF"/>
          <w:sz w:val="28"/>
          <w:szCs w:val="28"/>
          <w:rtl/>
          <w:lang w:bidi="ar-EG"/>
        </w:rPr>
        <w:t>أن</w:t>
      </w:r>
      <w:r w:rsidRPr="00923B1A">
        <w:rPr>
          <w:rFonts w:hint="cs"/>
          <w:color w:val="0000FF"/>
          <w:sz w:val="28"/>
          <w:szCs w:val="28"/>
          <w:rtl/>
        </w:rPr>
        <w:t xml:space="preserve"> الكفيل</w:t>
      </w:r>
      <w:r>
        <w:rPr>
          <w:rFonts w:hint="cs"/>
          <w:color w:val="0000FF"/>
          <w:sz w:val="28"/>
          <w:szCs w:val="28"/>
          <w:rtl/>
        </w:rPr>
        <w:t xml:space="preserve"> ،</w:t>
      </w:r>
      <w:r w:rsidRPr="00923B1A">
        <w:rPr>
          <w:rFonts w:hint="cs"/>
          <w:color w:val="0000FF"/>
          <w:sz w:val="28"/>
          <w:szCs w:val="28"/>
          <w:rtl/>
        </w:rPr>
        <w:t xml:space="preserve"> حتى لو لم يكن عالما بنقص </w:t>
      </w:r>
      <w:r w:rsidRPr="00923B1A">
        <w:rPr>
          <w:rFonts w:hint="cs"/>
          <w:color w:val="0000FF"/>
          <w:sz w:val="28"/>
          <w:szCs w:val="28"/>
          <w:rtl/>
          <w:lang w:bidi="ar-EG"/>
        </w:rPr>
        <w:t>أهلية</w:t>
      </w:r>
      <w:r w:rsidRPr="00923B1A">
        <w:rPr>
          <w:rFonts w:hint="cs"/>
          <w:color w:val="0000FF"/>
          <w:sz w:val="28"/>
          <w:szCs w:val="28"/>
          <w:rtl/>
        </w:rPr>
        <w:t xml:space="preserve"> المدين </w:t>
      </w:r>
      <w:r w:rsidRPr="00923B1A">
        <w:rPr>
          <w:rFonts w:hint="cs"/>
          <w:color w:val="0000FF"/>
          <w:sz w:val="28"/>
          <w:szCs w:val="28"/>
          <w:rtl/>
          <w:lang w:bidi="ar-EG"/>
        </w:rPr>
        <w:t>الأصلي</w:t>
      </w:r>
      <w:r>
        <w:rPr>
          <w:rFonts w:hint="cs"/>
          <w:color w:val="0000FF"/>
          <w:sz w:val="28"/>
          <w:szCs w:val="28"/>
          <w:rtl/>
        </w:rPr>
        <w:t xml:space="preserve"> ،</w:t>
      </w:r>
      <w:r w:rsidRPr="00923B1A">
        <w:rPr>
          <w:rFonts w:hint="cs"/>
          <w:color w:val="0000FF"/>
          <w:sz w:val="28"/>
          <w:szCs w:val="28"/>
          <w:rtl/>
        </w:rPr>
        <w:t xml:space="preserve"> لا يجوز له </w:t>
      </w:r>
      <w:r w:rsidRPr="00923B1A">
        <w:rPr>
          <w:rFonts w:hint="cs"/>
          <w:color w:val="0000FF"/>
          <w:sz w:val="28"/>
          <w:szCs w:val="28"/>
          <w:rtl/>
          <w:lang w:bidi="ar-EG"/>
        </w:rPr>
        <w:t>أن</w:t>
      </w:r>
      <w:r w:rsidRPr="00923B1A">
        <w:rPr>
          <w:rFonts w:hint="cs"/>
          <w:color w:val="0000FF"/>
          <w:sz w:val="28"/>
          <w:szCs w:val="28"/>
          <w:rtl/>
        </w:rPr>
        <w:t xml:space="preserve"> يحتج بنقص </w:t>
      </w:r>
      <w:r w:rsidRPr="00923B1A">
        <w:rPr>
          <w:rFonts w:hint="cs"/>
          <w:color w:val="0000FF"/>
          <w:sz w:val="28"/>
          <w:szCs w:val="28"/>
          <w:rtl/>
          <w:lang w:bidi="ar-EG"/>
        </w:rPr>
        <w:t>الأهلية</w:t>
      </w:r>
      <w:r>
        <w:rPr>
          <w:rFonts w:hint="cs"/>
          <w:color w:val="0000FF"/>
          <w:sz w:val="28"/>
          <w:szCs w:val="28"/>
          <w:rtl/>
        </w:rPr>
        <w:t xml:space="preserve"> ،</w:t>
      </w:r>
      <w:r w:rsidRPr="00923B1A">
        <w:rPr>
          <w:rFonts w:hint="cs"/>
          <w:color w:val="0000FF"/>
          <w:sz w:val="28"/>
          <w:szCs w:val="28"/>
          <w:rtl/>
        </w:rPr>
        <w:t xml:space="preserve"> ويبقى ملتزماً بالرغم من جهله بنقص </w:t>
      </w:r>
      <w:r w:rsidRPr="00923B1A">
        <w:rPr>
          <w:rFonts w:hint="cs"/>
          <w:color w:val="0000FF"/>
          <w:sz w:val="28"/>
          <w:szCs w:val="28"/>
          <w:rtl/>
          <w:lang w:bidi="ar-EG"/>
        </w:rPr>
        <w:t>أهلية</w:t>
      </w:r>
      <w:r w:rsidRPr="00923B1A">
        <w:rPr>
          <w:rFonts w:hint="cs"/>
          <w:color w:val="0000FF"/>
          <w:sz w:val="28"/>
          <w:szCs w:val="28"/>
          <w:rtl/>
        </w:rPr>
        <w:t xml:space="preserve"> المدين </w:t>
      </w:r>
      <w:r>
        <w:rPr>
          <w:rFonts w:hint="cs"/>
          <w:color w:val="0000FF"/>
          <w:sz w:val="28"/>
          <w:szCs w:val="28"/>
          <w:rtl/>
        </w:rPr>
        <w:t xml:space="preserve">( </w:t>
      </w:r>
      <w:r w:rsidRPr="00923B1A">
        <w:rPr>
          <w:rFonts w:hint="cs"/>
          <w:color w:val="0000FF"/>
          <w:sz w:val="28"/>
          <w:szCs w:val="28"/>
          <w:rtl/>
        </w:rPr>
        <w:t>بودري وفال فقرة ص 505</w:t>
      </w:r>
      <w:r>
        <w:rPr>
          <w:rFonts w:hint="cs"/>
          <w:color w:val="0000FF"/>
          <w:sz w:val="28"/>
          <w:szCs w:val="28"/>
          <w:rtl/>
        </w:rPr>
        <w:t xml:space="preserve"> ) .</w:t>
      </w:r>
      <w:r w:rsidRPr="00923B1A">
        <w:rPr>
          <w:rFonts w:hint="cs"/>
          <w:color w:val="0000FF"/>
          <w:sz w:val="28"/>
          <w:szCs w:val="28"/>
          <w:rtl/>
        </w:rPr>
        <w:t xml:space="preserve"> ويذهب </w:t>
      </w:r>
      <w:r w:rsidRPr="00923B1A">
        <w:rPr>
          <w:rFonts w:hint="cs"/>
          <w:color w:val="0000FF"/>
          <w:sz w:val="28"/>
          <w:szCs w:val="28"/>
          <w:rtl/>
          <w:lang w:bidi="ar-EG"/>
        </w:rPr>
        <w:t>أصحاب</w:t>
      </w:r>
      <w:r w:rsidRPr="00923B1A">
        <w:rPr>
          <w:rFonts w:hint="cs"/>
          <w:color w:val="0000FF"/>
          <w:sz w:val="28"/>
          <w:szCs w:val="28"/>
          <w:rtl/>
        </w:rPr>
        <w:t xml:space="preserve"> هذا الرأي </w:t>
      </w:r>
      <w:r w:rsidRPr="00923B1A">
        <w:rPr>
          <w:rFonts w:hint="cs"/>
          <w:color w:val="0000FF"/>
          <w:sz w:val="28"/>
          <w:szCs w:val="28"/>
          <w:rtl/>
          <w:lang w:bidi="ar-EG"/>
        </w:rPr>
        <w:t>إلى</w:t>
      </w:r>
      <w:r w:rsidRPr="00923B1A">
        <w:rPr>
          <w:rFonts w:hint="cs"/>
          <w:color w:val="0000FF"/>
          <w:sz w:val="28"/>
          <w:szCs w:val="28"/>
          <w:rtl/>
        </w:rPr>
        <w:t xml:space="preserve"> </w:t>
      </w:r>
      <w:r w:rsidRPr="00923B1A">
        <w:rPr>
          <w:rFonts w:hint="cs"/>
          <w:color w:val="0000FF"/>
          <w:sz w:val="28"/>
          <w:szCs w:val="28"/>
          <w:rtl/>
          <w:lang w:bidi="ar-EG"/>
        </w:rPr>
        <w:t>أنه</w:t>
      </w:r>
      <w:r w:rsidRPr="00923B1A">
        <w:rPr>
          <w:rFonts w:hint="cs"/>
          <w:color w:val="0000FF"/>
          <w:sz w:val="28"/>
          <w:szCs w:val="28"/>
          <w:rtl/>
        </w:rPr>
        <w:t xml:space="preserve"> يتخلف عن </w:t>
      </w:r>
      <w:r w:rsidRPr="00923B1A">
        <w:rPr>
          <w:rFonts w:hint="cs"/>
          <w:color w:val="0000FF"/>
          <w:sz w:val="28"/>
          <w:szCs w:val="28"/>
          <w:rtl/>
          <w:lang w:bidi="ar-EG"/>
        </w:rPr>
        <w:t>إبطال</w:t>
      </w:r>
      <w:r w:rsidRPr="00923B1A">
        <w:rPr>
          <w:rFonts w:hint="cs"/>
          <w:color w:val="0000FF"/>
          <w:sz w:val="28"/>
          <w:szCs w:val="28"/>
          <w:rtl/>
        </w:rPr>
        <w:t xml:space="preserve"> الالتزام </w:t>
      </w:r>
      <w:r w:rsidRPr="00923B1A">
        <w:rPr>
          <w:rFonts w:hint="cs"/>
          <w:color w:val="0000FF"/>
          <w:sz w:val="28"/>
          <w:szCs w:val="28"/>
          <w:rtl/>
          <w:lang w:bidi="ar-EG"/>
        </w:rPr>
        <w:t>الأصلي</w:t>
      </w:r>
      <w:r w:rsidRPr="00923B1A">
        <w:rPr>
          <w:rFonts w:hint="cs"/>
          <w:color w:val="0000FF"/>
          <w:sz w:val="28"/>
          <w:szCs w:val="28"/>
          <w:rtl/>
        </w:rPr>
        <w:t xml:space="preserve"> التزام طبيعي</w:t>
      </w:r>
      <w:r>
        <w:rPr>
          <w:rFonts w:hint="cs"/>
          <w:color w:val="0000FF"/>
          <w:sz w:val="28"/>
          <w:szCs w:val="28"/>
          <w:rtl/>
        </w:rPr>
        <w:t xml:space="preserve"> ،</w:t>
      </w:r>
      <w:r w:rsidRPr="00923B1A">
        <w:rPr>
          <w:rFonts w:hint="cs"/>
          <w:color w:val="0000FF"/>
          <w:sz w:val="28"/>
          <w:szCs w:val="28"/>
          <w:rtl/>
        </w:rPr>
        <w:t xml:space="preserve"> وهذا الالتزام الطبيعي هو الذي يضمنه الكفيل</w:t>
      </w:r>
      <w:r>
        <w:rPr>
          <w:rFonts w:hint="cs"/>
          <w:color w:val="0000FF"/>
          <w:sz w:val="28"/>
          <w:szCs w:val="28"/>
          <w:rtl/>
        </w:rPr>
        <w:t xml:space="preserve"> ،</w:t>
      </w:r>
      <w:r w:rsidRPr="00923B1A">
        <w:rPr>
          <w:rFonts w:hint="cs"/>
          <w:color w:val="0000FF"/>
          <w:sz w:val="28"/>
          <w:szCs w:val="28"/>
          <w:rtl/>
        </w:rPr>
        <w:t xml:space="preserve"> لأن الالتزامات الطبيعية عند </w:t>
      </w:r>
      <w:r w:rsidRPr="00923B1A">
        <w:rPr>
          <w:rFonts w:hint="cs"/>
          <w:color w:val="0000FF"/>
          <w:sz w:val="28"/>
          <w:szCs w:val="28"/>
          <w:rtl/>
          <w:lang w:bidi="ar-EG"/>
        </w:rPr>
        <w:t>أصحاب</w:t>
      </w:r>
      <w:r w:rsidRPr="00923B1A">
        <w:rPr>
          <w:rFonts w:hint="cs"/>
          <w:color w:val="0000FF"/>
          <w:sz w:val="28"/>
          <w:szCs w:val="28"/>
          <w:rtl/>
        </w:rPr>
        <w:t xml:space="preserve"> هذا الرأي تجوز كفالتها كفالة مدنية </w:t>
      </w:r>
      <w:r>
        <w:rPr>
          <w:rFonts w:hint="cs"/>
          <w:color w:val="0000FF"/>
          <w:sz w:val="28"/>
          <w:szCs w:val="28"/>
          <w:rtl/>
        </w:rPr>
        <w:t xml:space="preserve">( </w:t>
      </w:r>
      <w:r w:rsidRPr="00923B1A">
        <w:rPr>
          <w:rFonts w:hint="cs"/>
          <w:color w:val="0000FF"/>
          <w:sz w:val="28"/>
          <w:szCs w:val="28"/>
          <w:rtl/>
        </w:rPr>
        <w:t xml:space="preserve">بودري وفال فقرة 946 </w:t>
      </w:r>
      <w:r w:rsidRPr="00923B1A">
        <w:rPr>
          <w:color w:val="0000FF"/>
          <w:sz w:val="28"/>
          <w:szCs w:val="28"/>
          <w:rtl/>
        </w:rPr>
        <w:t>–</w:t>
      </w:r>
      <w:r w:rsidRPr="00923B1A">
        <w:rPr>
          <w:rFonts w:hint="cs"/>
          <w:color w:val="0000FF"/>
          <w:sz w:val="28"/>
          <w:szCs w:val="28"/>
          <w:rtl/>
        </w:rPr>
        <w:t xml:space="preserve"> فقرة 947</w:t>
      </w:r>
      <w:r>
        <w:rPr>
          <w:rFonts w:hint="cs"/>
          <w:color w:val="0000FF"/>
          <w:sz w:val="28"/>
          <w:szCs w:val="28"/>
          <w:rtl/>
        </w:rPr>
        <w:t xml:space="preserve"> ) .</w:t>
      </w:r>
      <w:r w:rsidRPr="00923B1A">
        <w:rPr>
          <w:rFonts w:hint="cs"/>
          <w:color w:val="0000FF"/>
          <w:sz w:val="28"/>
          <w:szCs w:val="28"/>
          <w:rtl/>
        </w:rPr>
        <w:t xml:space="preserve"> ولكن فقهاء آخرين يخالفون هذا الرأي ويذهبون إلى أن الكفيل</w:t>
      </w:r>
      <w:r>
        <w:rPr>
          <w:rFonts w:hint="cs"/>
          <w:color w:val="0000FF"/>
          <w:sz w:val="28"/>
          <w:szCs w:val="28"/>
          <w:rtl/>
        </w:rPr>
        <w:t xml:space="preserve"> ،</w:t>
      </w:r>
      <w:r w:rsidRPr="00923B1A">
        <w:rPr>
          <w:rFonts w:hint="cs"/>
          <w:color w:val="0000FF"/>
          <w:sz w:val="28"/>
          <w:szCs w:val="28"/>
          <w:rtl/>
        </w:rPr>
        <w:t xml:space="preserve"> حتى لا يستطيع أن يحتج بنقص أهلية المدين الأصلي</w:t>
      </w:r>
      <w:r>
        <w:rPr>
          <w:rFonts w:hint="cs"/>
          <w:color w:val="0000FF"/>
          <w:sz w:val="28"/>
          <w:szCs w:val="28"/>
          <w:rtl/>
        </w:rPr>
        <w:t xml:space="preserve"> ،</w:t>
      </w:r>
      <w:r w:rsidRPr="00923B1A">
        <w:rPr>
          <w:rFonts w:hint="cs"/>
          <w:color w:val="0000FF"/>
          <w:sz w:val="28"/>
          <w:szCs w:val="28"/>
          <w:rtl/>
        </w:rPr>
        <w:t xml:space="preserve"> يجب أن يكون عالماً بنقص الأهلية</w:t>
      </w:r>
      <w:r>
        <w:rPr>
          <w:rFonts w:hint="cs"/>
          <w:color w:val="0000FF"/>
          <w:sz w:val="28"/>
          <w:szCs w:val="28"/>
          <w:rtl/>
        </w:rPr>
        <w:t xml:space="preserve"> ،</w:t>
      </w:r>
      <w:r w:rsidRPr="00923B1A">
        <w:rPr>
          <w:rFonts w:hint="cs"/>
          <w:color w:val="0000FF"/>
          <w:sz w:val="28"/>
          <w:szCs w:val="28"/>
          <w:rtl/>
        </w:rPr>
        <w:t xml:space="preserve"> بل يجب أن يكون قد كفل ناقص الأهلية بسبب نقص أهليته</w:t>
      </w:r>
      <w:r>
        <w:rPr>
          <w:rFonts w:hint="cs"/>
          <w:color w:val="0000FF"/>
          <w:sz w:val="28"/>
          <w:szCs w:val="28"/>
          <w:rtl/>
        </w:rPr>
        <w:t xml:space="preserve"> .</w:t>
      </w:r>
      <w:r w:rsidRPr="00923B1A">
        <w:rPr>
          <w:rFonts w:hint="cs"/>
          <w:color w:val="0000FF"/>
          <w:sz w:val="28"/>
          <w:szCs w:val="28"/>
          <w:rtl/>
        </w:rPr>
        <w:t xml:space="preserve"> أما القول بأن التزام ناقص الأهلية إذا أبطل يتخلف عنه التزام طبيعي وتجوز كفالة الالتزامات الطبيعية فمردود</w:t>
      </w:r>
      <w:r>
        <w:rPr>
          <w:rFonts w:hint="cs"/>
          <w:color w:val="0000FF"/>
          <w:sz w:val="28"/>
          <w:szCs w:val="28"/>
          <w:rtl/>
        </w:rPr>
        <w:t xml:space="preserve"> ،</w:t>
      </w:r>
      <w:r w:rsidRPr="00923B1A">
        <w:rPr>
          <w:rFonts w:hint="cs"/>
          <w:color w:val="0000FF"/>
          <w:sz w:val="28"/>
          <w:szCs w:val="28"/>
          <w:rtl/>
        </w:rPr>
        <w:t xml:space="preserve"> كما سنرى</w:t>
      </w:r>
      <w:r>
        <w:rPr>
          <w:rFonts w:hint="cs"/>
          <w:smallCaps/>
          <w:color w:val="0000FF"/>
          <w:sz w:val="28"/>
          <w:szCs w:val="28"/>
          <w:rtl/>
        </w:rPr>
        <w:t xml:space="preserve"> ،</w:t>
      </w:r>
      <w:r w:rsidRPr="00923B1A">
        <w:rPr>
          <w:rFonts w:hint="cs"/>
          <w:smallCaps/>
          <w:color w:val="0000FF"/>
          <w:sz w:val="28"/>
          <w:szCs w:val="28"/>
          <w:rtl/>
        </w:rPr>
        <w:t xml:space="preserve"> بأن الالتزام الطبيعي لا يجوز كفالته كفالة مدنية</w:t>
      </w:r>
      <w:r>
        <w:rPr>
          <w:rFonts w:hint="cs"/>
          <w:smallCaps/>
          <w:color w:val="0000FF"/>
          <w:sz w:val="28"/>
          <w:szCs w:val="28"/>
          <w:rtl/>
        </w:rPr>
        <w:t xml:space="preserve"> .</w:t>
      </w:r>
      <w:r w:rsidRPr="00923B1A">
        <w:rPr>
          <w:rFonts w:hint="cs"/>
          <w:smallCaps/>
          <w:color w:val="0000FF"/>
          <w:sz w:val="28"/>
          <w:szCs w:val="28"/>
          <w:rtl/>
        </w:rPr>
        <w:t xml:space="preserve"> فإذا كفل الكفيل ناقص الأهلية دون أن يكون عالما بنقص أهليته</w:t>
      </w:r>
      <w:r>
        <w:rPr>
          <w:rFonts w:hint="cs"/>
          <w:smallCaps/>
          <w:color w:val="0000FF"/>
          <w:sz w:val="28"/>
          <w:szCs w:val="28"/>
          <w:rtl/>
        </w:rPr>
        <w:t xml:space="preserve"> ،</w:t>
      </w:r>
      <w:r w:rsidRPr="00923B1A">
        <w:rPr>
          <w:rFonts w:hint="cs"/>
          <w:smallCaps/>
          <w:color w:val="0000FF"/>
          <w:sz w:val="28"/>
          <w:szCs w:val="28"/>
          <w:rtl/>
        </w:rPr>
        <w:t xml:space="preserve"> فله أن يتمسك بالدفوع التي يتمسك بها المدين الأصلي ومنها الدفع بنقص الأهلية</w:t>
      </w:r>
      <w:r>
        <w:rPr>
          <w:rFonts w:hint="cs"/>
          <w:smallCaps/>
          <w:color w:val="0000FF"/>
          <w:sz w:val="28"/>
          <w:szCs w:val="28"/>
          <w:rtl/>
        </w:rPr>
        <w:t xml:space="preserve"> ،</w:t>
      </w:r>
      <w:r w:rsidRPr="00923B1A">
        <w:rPr>
          <w:rFonts w:hint="cs"/>
          <w:smallCaps/>
          <w:color w:val="0000FF"/>
          <w:sz w:val="28"/>
          <w:szCs w:val="28"/>
          <w:rtl/>
        </w:rPr>
        <w:t xml:space="preserve"> فينقلب كل من التزام المكفول ناقص الأهلية والتزام الكفيل التزاماً طبيعياً</w:t>
      </w:r>
      <w:r>
        <w:rPr>
          <w:rFonts w:hint="cs"/>
          <w:smallCaps/>
          <w:color w:val="0000FF"/>
          <w:sz w:val="28"/>
          <w:szCs w:val="28"/>
          <w:rtl/>
        </w:rPr>
        <w:t xml:space="preserve"> ،</w:t>
      </w:r>
      <w:r w:rsidRPr="00923B1A">
        <w:rPr>
          <w:rFonts w:hint="cs"/>
          <w:smallCaps/>
          <w:color w:val="0000FF"/>
          <w:sz w:val="28"/>
          <w:szCs w:val="28"/>
          <w:rtl/>
        </w:rPr>
        <w:t xml:space="preserve"> ولا يجد أحد منهما على الوفاء بالتزامه </w:t>
      </w:r>
      <w:r>
        <w:rPr>
          <w:rFonts w:hint="cs"/>
          <w:smallCaps/>
          <w:color w:val="0000FF"/>
          <w:sz w:val="28"/>
          <w:szCs w:val="28"/>
          <w:rtl/>
        </w:rPr>
        <w:t xml:space="preserve">( </w:t>
      </w:r>
      <w:r w:rsidRPr="00923B1A">
        <w:rPr>
          <w:rFonts w:hint="cs"/>
          <w:smallCaps/>
          <w:color w:val="0000FF"/>
          <w:sz w:val="28"/>
          <w:szCs w:val="28"/>
          <w:rtl/>
        </w:rPr>
        <w:t xml:space="preserve">الوسيط 2 فقرة 403 </w:t>
      </w:r>
      <w:r w:rsidRPr="00923B1A">
        <w:rPr>
          <w:smallCaps/>
          <w:color w:val="0000FF"/>
          <w:sz w:val="28"/>
          <w:szCs w:val="28"/>
          <w:rtl/>
        </w:rPr>
        <w:t>–</w:t>
      </w:r>
      <w:r w:rsidRPr="00923B1A">
        <w:rPr>
          <w:rFonts w:hint="cs"/>
          <w:smallCaps/>
          <w:color w:val="0000FF"/>
          <w:sz w:val="28"/>
          <w:szCs w:val="28"/>
          <w:rtl/>
        </w:rPr>
        <w:t xml:space="preserve"> وانظر محمد كامل مرسي فقرة 39</w:t>
      </w:r>
      <w:r>
        <w:rPr>
          <w:rFonts w:hint="cs"/>
          <w:smallCaps/>
          <w:color w:val="0000FF"/>
          <w:sz w:val="28"/>
          <w:szCs w:val="28"/>
          <w:rtl/>
        </w:rPr>
        <w:t xml:space="preserve"> ) .</w:t>
      </w:r>
    </w:p>
  </w:footnote>
  <w:footnote w:id="9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نفس الفقرة</w:t>
      </w:r>
      <w:r>
        <w:rPr>
          <w:rFonts w:hint="cs"/>
          <w:color w:val="0000FF"/>
          <w:sz w:val="28"/>
          <w:szCs w:val="28"/>
          <w:rtl/>
        </w:rPr>
        <w:t xml:space="preserve"> .</w:t>
      </w:r>
    </w:p>
  </w:footnote>
  <w:footnote w:id="9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محمد كامل مرسي فقرة 38 </w:t>
      </w:r>
      <w:r w:rsidRPr="00923B1A">
        <w:rPr>
          <w:color w:val="0000FF"/>
          <w:sz w:val="28"/>
          <w:szCs w:val="28"/>
          <w:rtl/>
        </w:rPr>
        <w:t>–</w:t>
      </w:r>
      <w:r w:rsidRPr="00923B1A">
        <w:rPr>
          <w:rFonts w:hint="cs"/>
          <w:color w:val="0000FF"/>
          <w:sz w:val="28"/>
          <w:szCs w:val="28"/>
          <w:rtl/>
        </w:rPr>
        <w:t xml:space="preserve"> ويطبق الأستاذ سليمان مرقس نظرية تحويل العقد في هذه الحالة</w:t>
      </w:r>
      <w:r>
        <w:rPr>
          <w:rFonts w:hint="cs"/>
          <w:color w:val="0000FF"/>
          <w:sz w:val="28"/>
          <w:szCs w:val="28"/>
          <w:rtl/>
        </w:rPr>
        <w:t xml:space="preserve"> ،</w:t>
      </w:r>
      <w:r w:rsidRPr="00923B1A">
        <w:rPr>
          <w:rFonts w:hint="cs"/>
          <w:color w:val="0000FF"/>
          <w:sz w:val="28"/>
          <w:szCs w:val="28"/>
          <w:rtl/>
        </w:rPr>
        <w:t xml:space="preserve"> ويقول في هذا المعنى</w:t>
      </w:r>
      <w:r>
        <w:rPr>
          <w:rFonts w:hint="cs"/>
          <w:color w:val="0000FF"/>
          <w:sz w:val="28"/>
          <w:szCs w:val="28"/>
          <w:rtl/>
        </w:rPr>
        <w:t xml:space="preserve"> :</w:t>
      </w:r>
      <w:r w:rsidRPr="00923B1A">
        <w:rPr>
          <w:rFonts w:hint="cs"/>
          <w:color w:val="0000FF"/>
          <w:sz w:val="28"/>
          <w:szCs w:val="28"/>
          <w:rtl/>
        </w:rPr>
        <w:t xml:space="preserve"> "أن كفالة التزام ناقص الأهلية الحاصلة بسبب نقص أهليته تقع صحيحة ككفالة حقيقية</w:t>
      </w:r>
      <w:r>
        <w:rPr>
          <w:rFonts w:hint="cs"/>
          <w:color w:val="0000FF"/>
          <w:sz w:val="28"/>
          <w:szCs w:val="28"/>
          <w:rtl/>
        </w:rPr>
        <w:t xml:space="preserve"> ،</w:t>
      </w:r>
      <w:r w:rsidRPr="00923B1A">
        <w:rPr>
          <w:rFonts w:hint="cs"/>
          <w:color w:val="0000FF"/>
          <w:sz w:val="28"/>
          <w:szCs w:val="28"/>
          <w:rtl/>
        </w:rPr>
        <w:t xml:space="preserve"> وتبقى كذلك ما لم يتمسك ناقص الأهلية ببطلان التزامه</w:t>
      </w:r>
      <w:r>
        <w:rPr>
          <w:rFonts w:hint="cs"/>
          <w:color w:val="0000FF"/>
          <w:sz w:val="28"/>
          <w:szCs w:val="28"/>
          <w:rtl/>
        </w:rPr>
        <w:t xml:space="preserve"> ،</w:t>
      </w:r>
      <w:r w:rsidRPr="00923B1A">
        <w:rPr>
          <w:rFonts w:hint="cs"/>
          <w:color w:val="0000FF"/>
          <w:sz w:val="28"/>
          <w:szCs w:val="28"/>
          <w:rtl/>
        </w:rPr>
        <w:t xml:space="preserve"> فتبطل حينئذ الكفالة بهذه الصفة وتتحول إلى تهد منشئ الالتزام أصل في ذمة من تعهد ككفيل" </w:t>
      </w:r>
      <w:r>
        <w:rPr>
          <w:rFonts w:hint="cs"/>
          <w:color w:val="0000FF"/>
          <w:sz w:val="28"/>
          <w:szCs w:val="28"/>
          <w:rtl/>
        </w:rPr>
        <w:t xml:space="preserve">( </w:t>
      </w:r>
      <w:r w:rsidRPr="00923B1A">
        <w:rPr>
          <w:rFonts w:hint="cs"/>
          <w:color w:val="0000FF"/>
          <w:sz w:val="28"/>
          <w:szCs w:val="28"/>
          <w:rtl/>
        </w:rPr>
        <w:t>سليمان مرقس فقرة 35 ص 40</w:t>
      </w:r>
      <w:r>
        <w:rPr>
          <w:rFonts w:hint="cs"/>
          <w:color w:val="0000FF"/>
          <w:sz w:val="28"/>
          <w:szCs w:val="28"/>
          <w:rtl/>
        </w:rPr>
        <w:t xml:space="preserve"> ) .</w:t>
      </w:r>
      <w:r w:rsidRPr="00923B1A">
        <w:rPr>
          <w:rFonts w:hint="cs"/>
          <w:color w:val="0000FF"/>
          <w:sz w:val="28"/>
          <w:szCs w:val="28"/>
          <w:rtl/>
        </w:rPr>
        <w:t xml:space="preserve"> ويقول الأستاذ منصور مصطفى منصور</w:t>
      </w:r>
      <w:r>
        <w:rPr>
          <w:rFonts w:hint="cs"/>
          <w:color w:val="0000FF"/>
          <w:sz w:val="28"/>
          <w:szCs w:val="28"/>
          <w:rtl/>
        </w:rPr>
        <w:t xml:space="preserve"> :</w:t>
      </w:r>
      <w:r w:rsidRPr="00923B1A">
        <w:rPr>
          <w:rFonts w:hint="cs"/>
          <w:color w:val="0000FF"/>
          <w:sz w:val="28"/>
          <w:szCs w:val="28"/>
          <w:rtl/>
        </w:rPr>
        <w:t xml:space="preserve"> "والرأي الذي نفضله أن من يكفل التزام ناقص الأهلية</w:t>
      </w:r>
      <w:r>
        <w:rPr>
          <w:rFonts w:hint="cs"/>
          <w:color w:val="0000FF"/>
          <w:sz w:val="28"/>
          <w:szCs w:val="28"/>
          <w:rtl/>
        </w:rPr>
        <w:t xml:space="preserve"> ،</w:t>
      </w:r>
      <w:r w:rsidRPr="00923B1A">
        <w:rPr>
          <w:rFonts w:hint="cs"/>
          <w:color w:val="0000FF"/>
          <w:sz w:val="28"/>
          <w:szCs w:val="28"/>
          <w:rtl/>
        </w:rPr>
        <w:t xml:space="preserve"> وتكون الكفالة بسبب نقص الأهلية</w:t>
      </w:r>
      <w:r>
        <w:rPr>
          <w:rFonts w:hint="cs"/>
          <w:color w:val="0000FF"/>
          <w:sz w:val="28"/>
          <w:szCs w:val="28"/>
          <w:rtl/>
        </w:rPr>
        <w:t xml:space="preserve"> ،</w:t>
      </w:r>
      <w:r w:rsidRPr="00923B1A">
        <w:rPr>
          <w:rFonts w:hint="cs"/>
          <w:color w:val="0000FF"/>
          <w:sz w:val="28"/>
          <w:szCs w:val="28"/>
          <w:rtl/>
        </w:rPr>
        <w:t xml:space="preserve"> يبرم عقدا مركبا يتضمن كفالة وتهدا عن الغير</w:t>
      </w:r>
      <w:r>
        <w:rPr>
          <w:rFonts w:hint="cs"/>
          <w:color w:val="0000FF"/>
          <w:sz w:val="28"/>
          <w:szCs w:val="28"/>
          <w:rtl/>
        </w:rPr>
        <w:t xml:space="preserve"> .</w:t>
      </w:r>
      <w:r w:rsidRPr="00923B1A">
        <w:rPr>
          <w:rFonts w:hint="cs"/>
          <w:color w:val="0000FF"/>
          <w:sz w:val="28"/>
          <w:szCs w:val="28"/>
          <w:rtl/>
        </w:rPr>
        <w:t xml:space="preserve"> يتعهد فيه الكفيل بألا يستعمل المدين حقه في طلب الإبطال</w:t>
      </w:r>
      <w:r>
        <w:rPr>
          <w:rFonts w:hint="cs"/>
          <w:color w:val="0000FF"/>
          <w:sz w:val="28"/>
          <w:szCs w:val="28"/>
          <w:rtl/>
        </w:rPr>
        <w:t xml:space="preserve"> ،</w:t>
      </w:r>
      <w:r w:rsidRPr="00923B1A">
        <w:rPr>
          <w:rFonts w:hint="cs"/>
          <w:color w:val="0000FF"/>
          <w:sz w:val="28"/>
          <w:szCs w:val="28"/>
          <w:rtl/>
        </w:rPr>
        <w:t xml:space="preserve"> ويتعهد في الوقت نفسه بأن يقوم على سبيل التعويض بتنفيذ الالتزام الأصلي إذا أخل بتعهده عن الغير بأن طلب المدين الإبطال</w:t>
      </w:r>
      <w:r>
        <w:rPr>
          <w:rFonts w:hint="cs"/>
          <w:color w:val="0000FF"/>
          <w:sz w:val="28"/>
          <w:szCs w:val="28"/>
          <w:rtl/>
        </w:rPr>
        <w:t xml:space="preserve"> .</w:t>
      </w:r>
      <w:r w:rsidRPr="00923B1A">
        <w:rPr>
          <w:rFonts w:hint="cs"/>
          <w:color w:val="0000FF"/>
          <w:sz w:val="28"/>
          <w:szCs w:val="28"/>
          <w:rtl/>
        </w:rPr>
        <w:t xml:space="preserve"> وعلى ذلك فما بقي الالتزام الأصلي قائما</w:t>
      </w:r>
      <w:r>
        <w:rPr>
          <w:rFonts w:hint="cs"/>
          <w:color w:val="0000FF"/>
          <w:sz w:val="28"/>
          <w:szCs w:val="28"/>
          <w:rtl/>
        </w:rPr>
        <w:t xml:space="preserve"> ،</w:t>
      </w:r>
      <w:r w:rsidRPr="00923B1A">
        <w:rPr>
          <w:rFonts w:hint="cs"/>
          <w:color w:val="0000FF"/>
          <w:sz w:val="28"/>
          <w:szCs w:val="28"/>
          <w:rtl/>
        </w:rPr>
        <w:t xml:space="preserve"> يبقى الكفيل ملتزما بصفة تبعية باعتباره كفيلا</w:t>
      </w:r>
      <w:r>
        <w:rPr>
          <w:rFonts w:hint="cs"/>
          <w:color w:val="0000FF"/>
          <w:sz w:val="28"/>
          <w:szCs w:val="28"/>
          <w:rtl/>
        </w:rPr>
        <w:t xml:space="preserve"> .</w:t>
      </w:r>
      <w:r w:rsidRPr="00923B1A">
        <w:rPr>
          <w:rFonts w:hint="cs"/>
          <w:color w:val="0000FF"/>
          <w:sz w:val="28"/>
          <w:szCs w:val="28"/>
          <w:rtl/>
        </w:rPr>
        <w:t xml:space="preserve"> أما إذا طلب المدين الإبطال وحكم له بذلك فزال الالتزام الأصلي بأثر رجعي</w:t>
      </w:r>
      <w:r>
        <w:rPr>
          <w:rFonts w:hint="cs"/>
          <w:color w:val="0000FF"/>
          <w:sz w:val="28"/>
          <w:szCs w:val="28"/>
          <w:rtl/>
        </w:rPr>
        <w:t xml:space="preserve"> ،</w:t>
      </w:r>
      <w:r w:rsidRPr="00923B1A">
        <w:rPr>
          <w:rFonts w:hint="cs"/>
          <w:color w:val="0000FF"/>
          <w:sz w:val="28"/>
          <w:szCs w:val="28"/>
          <w:rtl/>
        </w:rPr>
        <w:t xml:space="preserve"> زال التزام الكفيل تبعا لذلك بأثر رجعي</w:t>
      </w:r>
      <w:r>
        <w:rPr>
          <w:rFonts w:hint="cs"/>
          <w:color w:val="0000FF"/>
          <w:sz w:val="28"/>
          <w:szCs w:val="28"/>
          <w:rtl/>
        </w:rPr>
        <w:t xml:space="preserve"> .</w:t>
      </w:r>
      <w:r w:rsidRPr="00923B1A">
        <w:rPr>
          <w:rFonts w:hint="cs"/>
          <w:color w:val="0000FF"/>
          <w:sz w:val="28"/>
          <w:szCs w:val="28"/>
          <w:rtl/>
        </w:rPr>
        <w:t xml:space="preserve"> ولكن يتحقق بذلك الإخلال بالتعهد عن المنير</w:t>
      </w:r>
      <w:r>
        <w:rPr>
          <w:rFonts w:hint="cs"/>
          <w:color w:val="0000FF"/>
          <w:sz w:val="28"/>
          <w:szCs w:val="28"/>
          <w:rtl/>
        </w:rPr>
        <w:t xml:space="preserve"> ،</w:t>
      </w:r>
      <w:r w:rsidRPr="00923B1A">
        <w:rPr>
          <w:rFonts w:hint="cs"/>
          <w:color w:val="0000FF"/>
          <w:sz w:val="28"/>
          <w:szCs w:val="28"/>
          <w:rtl/>
        </w:rPr>
        <w:t xml:space="preserve"> فيلتزم الكفيل المتعهد بتنفيذ الالتزام الأصلي على سبيل التعويض لأنه أخل بالتزامه الناشئ عن التعهد عن المنير</w:t>
      </w:r>
      <w:r>
        <w:rPr>
          <w:rFonts w:hint="cs"/>
          <w:color w:val="0000FF"/>
          <w:sz w:val="28"/>
          <w:szCs w:val="28"/>
          <w:rtl/>
        </w:rPr>
        <w:t xml:space="preserve"> ،</w:t>
      </w:r>
      <w:r w:rsidRPr="00923B1A">
        <w:rPr>
          <w:rFonts w:hint="cs"/>
          <w:color w:val="0000FF"/>
          <w:sz w:val="28"/>
          <w:szCs w:val="28"/>
          <w:rtl/>
        </w:rPr>
        <w:t xml:space="preserve"> ويكون التزامه هذا التزاما أصليا غير تابع لغيره" </w:t>
      </w:r>
      <w:r>
        <w:rPr>
          <w:rFonts w:hint="cs"/>
          <w:color w:val="0000FF"/>
          <w:sz w:val="28"/>
          <w:szCs w:val="28"/>
          <w:rtl/>
        </w:rPr>
        <w:t xml:space="preserve">( </w:t>
      </w:r>
      <w:r w:rsidRPr="00923B1A">
        <w:rPr>
          <w:rFonts w:hint="cs"/>
          <w:color w:val="0000FF"/>
          <w:sz w:val="28"/>
          <w:szCs w:val="28"/>
          <w:rtl/>
        </w:rPr>
        <w:t xml:space="preserve">منصور مصطفى منصور فقرة 16 ص 34 </w:t>
      </w:r>
      <w:r w:rsidRPr="00923B1A">
        <w:rPr>
          <w:color w:val="0000FF"/>
          <w:sz w:val="28"/>
          <w:szCs w:val="28"/>
          <w:rtl/>
        </w:rPr>
        <w:t>–</w:t>
      </w:r>
      <w:r w:rsidRPr="00923B1A">
        <w:rPr>
          <w:rFonts w:hint="cs"/>
          <w:color w:val="0000FF"/>
          <w:sz w:val="28"/>
          <w:szCs w:val="28"/>
          <w:rtl/>
        </w:rPr>
        <w:t xml:space="preserve"> وانظر عبد الفتاح عبد الباقي فقرة 43 </w:t>
      </w:r>
      <w:r w:rsidRPr="00923B1A">
        <w:rPr>
          <w:color w:val="0000FF"/>
          <w:sz w:val="28"/>
          <w:szCs w:val="28"/>
          <w:rtl/>
        </w:rPr>
        <w:t>–</w:t>
      </w:r>
      <w:r w:rsidRPr="00923B1A">
        <w:rPr>
          <w:rFonts w:hint="cs"/>
          <w:color w:val="0000FF"/>
          <w:sz w:val="28"/>
          <w:szCs w:val="28"/>
          <w:rtl/>
        </w:rPr>
        <w:t xml:space="preserve"> محمد علي إمام فقرة 43 ص 81</w:t>
      </w:r>
      <w:r>
        <w:rPr>
          <w:rFonts w:hint="cs"/>
          <w:color w:val="0000FF"/>
          <w:sz w:val="28"/>
          <w:szCs w:val="28"/>
          <w:rtl/>
        </w:rPr>
        <w:t xml:space="preserve"> ) .</w:t>
      </w:r>
    </w:p>
  </w:footnote>
  <w:footnote w:id="9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ومن الفقهاء الفرنسيين من يعمم هذا الحكم</w:t>
      </w:r>
      <w:r>
        <w:rPr>
          <w:rFonts w:hint="cs"/>
          <w:color w:val="0000FF"/>
          <w:sz w:val="28"/>
          <w:szCs w:val="28"/>
          <w:rtl/>
        </w:rPr>
        <w:t xml:space="preserve"> ،</w:t>
      </w:r>
      <w:r w:rsidRPr="00923B1A">
        <w:rPr>
          <w:rFonts w:hint="cs"/>
          <w:color w:val="0000FF"/>
          <w:sz w:val="28"/>
          <w:szCs w:val="28"/>
          <w:rtl/>
        </w:rPr>
        <w:t xml:space="preserve"> حتى في حالة ما إذا علم الكفيل بنقص الأهلية</w:t>
      </w:r>
      <w:r>
        <w:rPr>
          <w:rFonts w:hint="cs"/>
          <w:color w:val="0000FF"/>
          <w:sz w:val="28"/>
          <w:szCs w:val="28"/>
          <w:rtl/>
        </w:rPr>
        <w:t xml:space="preserve"> ،</w:t>
      </w:r>
      <w:r w:rsidRPr="00923B1A">
        <w:rPr>
          <w:rFonts w:hint="cs"/>
          <w:color w:val="0000FF"/>
          <w:sz w:val="28"/>
          <w:szCs w:val="28"/>
          <w:rtl/>
        </w:rPr>
        <w:t xml:space="preserve"> على جميع أوجه البطلان</w:t>
      </w:r>
      <w:r>
        <w:rPr>
          <w:rFonts w:hint="cs"/>
          <w:color w:val="0000FF"/>
          <w:sz w:val="28"/>
          <w:szCs w:val="28"/>
          <w:rtl/>
        </w:rPr>
        <w:t xml:space="preserve"> ،</w:t>
      </w:r>
      <w:r w:rsidRPr="00923B1A">
        <w:rPr>
          <w:rFonts w:hint="cs"/>
          <w:color w:val="0000FF"/>
          <w:sz w:val="28"/>
          <w:szCs w:val="28"/>
          <w:rtl/>
        </w:rPr>
        <w:t xml:space="preserve"> كالبطلان المطلق والقابلية للإبطال لعيب في الرضا </w:t>
      </w:r>
      <w:r>
        <w:rPr>
          <w:rFonts w:hint="cs"/>
          <w:color w:val="0000FF"/>
          <w:sz w:val="28"/>
          <w:szCs w:val="28"/>
          <w:rtl/>
        </w:rPr>
        <w:t xml:space="preserve">( </w:t>
      </w:r>
      <w:r w:rsidRPr="00923B1A">
        <w:rPr>
          <w:rFonts w:hint="cs"/>
          <w:color w:val="0000FF"/>
          <w:sz w:val="28"/>
          <w:szCs w:val="28"/>
          <w:rtl/>
        </w:rPr>
        <w:t xml:space="preserve">بودري وفال فقرة 952 </w:t>
      </w:r>
      <w:r w:rsidRPr="00923B1A">
        <w:rPr>
          <w:color w:val="0000FF"/>
          <w:sz w:val="28"/>
          <w:szCs w:val="28"/>
          <w:rtl/>
        </w:rPr>
        <w:t>–</w:t>
      </w:r>
      <w:r w:rsidRPr="00923B1A">
        <w:rPr>
          <w:rFonts w:hint="cs"/>
          <w:color w:val="0000FF"/>
          <w:sz w:val="28"/>
          <w:szCs w:val="28"/>
          <w:rtl/>
        </w:rPr>
        <w:t xml:space="preserve"> وانظر أيضاً عبد الفتاح عبد الباقي فقرة 44 </w:t>
      </w:r>
      <w:r w:rsidRPr="00923B1A">
        <w:rPr>
          <w:color w:val="0000FF"/>
          <w:sz w:val="28"/>
          <w:szCs w:val="28"/>
          <w:rtl/>
        </w:rPr>
        <w:t>–</w:t>
      </w:r>
      <w:r w:rsidRPr="00923B1A">
        <w:rPr>
          <w:rFonts w:hint="cs"/>
          <w:color w:val="0000FF"/>
          <w:sz w:val="28"/>
          <w:szCs w:val="28"/>
          <w:rtl/>
        </w:rPr>
        <w:t xml:space="preserve"> سليمان مرقس فقرة 36 </w:t>
      </w:r>
      <w:r w:rsidRPr="00923B1A">
        <w:rPr>
          <w:color w:val="0000FF"/>
          <w:sz w:val="28"/>
          <w:szCs w:val="28"/>
          <w:rtl/>
        </w:rPr>
        <w:t>–</w:t>
      </w:r>
      <w:r w:rsidRPr="00923B1A">
        <w:rPr>
          <w:rFonts w:hint="cs"/>
          <w:color w:val="0000FF"/>
          <w:sz w:val="28"/>
          <w:szCs w:val="28"/>
          <w:rtl/>
        </w:rPr>
        <w:t xml:space="preserve"> منصور مصطفى منصور فقرة 16 ص 35</w:t>
      </w:r>
      <w:r>
        <w:rPr>
          <w:rFonts w:hint="cs"/>
          <w:color w:val="0000FF"/>
          <w:sz w:val="28"/>
          <w:szCs w:val="28"/>
          <w:rtl/>
        </w:rPr>
        <w:t xml:space="preserve"> ) .</w:t>
      </w:r>
    </w:p>
  </w:footnote>
  <w:footnote w:id="10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أيضاً نفس الفقرة في الهامش</w:t>
      </w:r>
      <w:r>
        <w:rPr>
          <w:rFonts w:hint="cs"/>
          <w:color w:val="0000FF"/>
          <w:sz w:val="28"/>
          <w:szCs w:val="28"/>
          <w:rtl/>
        </w:rPr>
        <w:t xml:space="preserve"> .</w:t>
      </w:r>
    </w:p>
  </w:footnote>
  <w:footnote w:id="10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19 في الهامش</w:t>
      </w:r>
      <w:r>
        <w:rPr>
          <w:rFonts w:hint="cs"/>
          <w:color w:val="0000FF"/>
          <w:sz w:val="28"/>
          <w:szCs w:val="28"/>
          <w:rtl/>
        </w:rPr>
        <w:t xml:space="preserve"> .</w:t>
      </w:r>
      <w:r w:rsidRPr="00923B1A">
        <w:rPr>
          <w:rFonts w:hint="cs"/>
          <w:color w:val="0000FF"/>
          <w:sz w:val="28"/>
          <w:szCs w:val="28"/>
          <w:rtl/>
        </w:rPr>
        <w:t xml:space="preserve"> وانظر عبد الفتاح عبد الباقي فقرة 42 </w:t>
      </w:r>
      <w:r w:rsidRPr="00923B1A">
        <w:rPr>
          <w:color w:val="0000FF"/>
          <w:sz w:val="28"/>
          <w:szCs w:val="28"/>
          <w:rtl/>
        </w:rPr>
        <w:t>–</w:t>
      </w:r>
      <w:r w:rsidRPr="00923B1A">
        <w:rPr>
          <w:rFonts w:hint="cs"/>
          <w:color w:val="0000FF"/>
          <w:sz w:val="28"/>
          <w:szCs w:val="28"/>
          <w:rtl/>
        </w:rPr>
        <w:t xml:space="preserve"> فقرة 43</w:t>
      </w:r>
      <w:r>
        <w:rPr>
          <w:rFonts w:hint="cs"/>
          <w:color w:val="0000FF"/>
          <w:sz w:val="28"/>
          <w:szCs w:val="28"/>
          <w:rtl/>
        </w:rPr>
        <w:t xml:space="preserve"> .</w:t>
      </w:r>
    </w:p>
  </w:footnote>
  <w:footnote w:id="10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1136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لجنة المراجعة على النص</w:t>
      </w:r>
      <w:r>
        <w:rPr>
          <w:rFonts w:hint="cs"/>
          <w:color w:val="0000FF"/>
          <w:sz w:val="28"/>
          <w:szCs w:val="28"/>
          <w:rtl/>
        </w:rPr>
        <w:t xml:space="preserve"> ،</w:t>
      </w:r>
      <w:r w:rsidRPr="00923B1A">
        <w:rPr>
          <w:rFonts w:hint="cs"/>
          <w:color w:val="0000FF"/>
          <w:sz w:val="28"/>
          <w:szCs w:val="28"/>
          <w:rtl/>
        </w:rPr>
        <w:t xml:space="preserve"> تحت رقم 847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845</w:t>
      </w:r>
      <w:r>
        <w:rPr>
          <w:rFonts w:hint="cs"/>
          <w:color w:val="0000FF"/>
          <w:sz w:val="28"/>
          <w:szCs w:val="28"/>
          <w:rtl/>
        </w:rPr>
        <w:t xml:space="preserve"> ،</w:t>
      </w:r>
      <w:r w:rsidRPr="00923B1A">
        <w:rPr>
          <w:rFonts w:hint="cs"/>
          <w:color w:val="0000FF"/>
          <w:sz w:val="28"/>
          <w:szCs w:val="28"/>
          <w:rtl/>
        </w:rPr>
        <w:t xml:space="preserve"> ثم مجلس الشيوخ تحت رقم 778 </w:t>
      </w:r>
      <w:r>
        <w:rPr>
          <w:rFonts w:hint="cs"/>
          <w:color w:val="0000FF"/>
          <w:sz w:val="28"/>
          <w:szCs w:val="28"/>
          <w:rtl/>
        </w:rPr>
        <w:t xml:space="preserve">( </w:t>
      </w:r>
      <w:r w:rsidRPr="00923B1A">
        <w:rPr>
          <w:rFonts w:hint="cs"/>
          <w:color w:val="0000FF"/>
          <w:sz w:val="28"/>
          <w:szCs w:val="28"/>
          <w:rtl/>
        </w:rPr>
        <w:t xml:space="preserve">مجموعة الأعمال التحضيرية 5 ص 452 </w:t>
      </w:r>
      <w:r w:rsidRPr="00923B1A">
        <w:rPr>
          <w:color w:val="0000FF"/>
          <w:sz w:val="28"/>
          <w:szCs w:val="28"/>
          <w:rtl/>
        </w:rPr>
        <w:t>–</w:t>
      </w:r>
      <w:r w:rsidRPr="00923B1A">
        <w:rPr>
          <w:rFonts w:hint="cs"/>
          <w:color w:val="0000FF"/>
          <w:sz w:val="28"/>
          <w:szCs w:val="28"/>
          <w:rtl/>
        </w:rPr>
        <w:t xml:space="preserve"> ص 458</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r w:rsidRPr="00923B1A">
        <w:rPr>
          <w:rFonts w:hint="cs"/>
          <w:color w:val="0000FF"/>
          <w:sz w:val="28"/>
          <w:szCs w:val="28"/>
          <w:rtl/>
        </w:rPr>
        <w:t xml:space="preserve"> وقد جاء في المذكرة الإيضاحية للمشروع التمهيدي للنص ما يأتي</w:t>
      </w:r>
      <w:r>
        <w:rPr>
          <w:rFonts w:hint="cs"/>
          <w:color w:val="0000FF"/>
          <w:sz w:val="28"/>
          <w:szCs w:val="28"/>
          <w:rtl/>
        </w:rPr>
        <w:t xml:space="preserve"> :</w:t>
      </w:r>
      <w:r w:rsidRPr="00923B1A">
        <w:rPr>
          <w:rFonts w:hint="cs"/>
          <w:color w:val="0000FF"/>
          <w:sz w:val="28"/>
          <w:szCs w:val="28"/>
          <w:rtl/>
        </w:rPr>
        <w:t xml:space="preserve"> "كفالة الالتزامات المستقبلة أو الشرطية جارية في العمل</w:t>
      </w:r>
      <w:r>
        <w:rPr>
          <w:rFonts w:hint="cs"/>
          <w:color w:val="0000FF"/>
          <w:sz w:val="28"/>
          <w:szCs w:val="28"/>
          <w:rtl/>
        </w:rPr>
        <w:t xml:space="preserve"> ،</w:t>
      </w:r>
      <w:r w:rsidRPr="00923B1A">
        <w:rPr>
          <w:rFonts w:hint="cs"/>
          <w:color w:val="0000FF"/>
          <w:sz w:val="28"/>
          <w:szCs w:val="28"/>
          <w:rtl/>
        </w:rPr>
        <w:t xml:space="preserve"> على الأخص في عقود الحساب الجاري وفتح الاعتماد</w:t>
      </w:r>
      <w:r>
        <w:rPr>
          <w:rFonts w:hint="cs"/>
          <w:color w:val="0000FF"/>
          <w:sz w:val="28"/>
          <w:szCs w:val="28"/>
          <w:rtl/>
        </w:rPr>
        <w:t xml:space="preserve"> .</w:t>
      </w:r>
      <w:r w:rsidRPr="00923B1A">
        <w:rPr>
          <w:rFonts w:hint="cs"/>
          <w:color w:val="0000FF"/>
          <w:sz w:val="28"/>
          <w:szCs w:val="28"/>
          <w:rtl/>
        </w:rPr>
        <w:t xml:space="preserve"> وا</w:t>
      </w:r>
      <w:r>
        <w:rPr>
          <w:rFonts w:hint="cs"/>
          <w:color w:val="0000FF"/>
          <w:sz w:val="28"/>
          <w:szCs w:val="28"/>
          <w:rtl/>
        </w:rPr>
        <w:t>ل</w:t>
      </w:r>
      <w:r w:rsidRPr="00923B1A">
        <w:rPr>
          <w:rFonts w:hint="cs"/>
          <w:color w:val="0000FF"/>
          <w:sz w:val="28"/>
          <w:szCs w:val="28"/>
          <w:rtl/>
        </w:rPr>
        <w:t xml:space="preserve">قضاء والفقه مجمعان على صحتهما رغم عدم وجود نص في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 .</w:t>
      </w:r>
      <w:r w:rsidRPr="00923B1A">
        <w:rPr>
          <w:rFonts w:hint="cs"/>
          <w:color w:val="0000FF"/>
          <w:sz w:val="28"/>
          <w:szCs w:val="28"/>
          <w:rtl/>
        </w:rPr>
        <w:t xml:space="preserve"> وقد رأى المشروع من المناسب أن يسلك بشأنهما مسلك التقنينات الحديثة</w:t>
      </w:r>
      <w:r>
        <w:rPr>
          <w:rFonts w:hint="cs"/>
          <w:color w:val="0000FF"/>
          <w:sz w:val="28"/>
          <w:szCs w:val="28"/>
          <w:rtl/>
        </w:rPr>
        <w:t xml:space="preserve"> ،</w:t>
      </w:r>
      <w:r w:rsidRPr="00923B1A">
        <w:rPr>
          <w:rFonts w:hint="cs"/>
          <w:color w:val="0000FF"/>
          <w:sz w:val="28"/>
          <w:szCs w:val="28"/>
          <w:rtl/>
        </w:rPr>
        <w:t xml:space="preserve"> فينص صراحة على جواز كفالة الالتزام المستقبل والالتزام الشرطي</w:t>
      </w:r>
      <w:r>
        <w:rPr>
          <w:rFonts w:hint="cs"/>
          <w:color w:val="0000FF"/>
          <w:sz w:val="28"/>
          <w:szCs w:val="28"/>
          <w:rtl/>
        </w:rPr>
        <w:t xml:space="preserve"> .</w:t>
      </w:r>
      <w:r w:rsidRPr="00923B1A">
        <w:rPr>
          <w:rFonts w:hint="cs"/>
          <w:color w:val="0000FF"/>
          <w:sz w:val="28"/>
          <w:szCs w:val="28"/>
          <w:rtl/>
        </w:rPr>
        <w:t xml:space="preserve"> على أنه حماية للكفيل</w:t>
      </w:r>
      <w:r>
        <w:rPr>
          <w:rFonts w:hint="cs"/>
          <w:color w:val="0000FF"/>
          <w:sz w:val="28"/>
          <w:szCs w:val="28"/>
          <w:rtl/>
        </w:rPr>
        <w:t xml:space="preserve"> ،</w:t>
      </w:r>
      <w:r w:rsidRPr="00923B1A">
        <w:rPr>
          <w:rFonts w:hint="cs"/>
          <w:color w:val="0000FF"/>
          <w:sz w:val="28"/>
          <w:szCs w:val="28"/>
          <w:rtl/>
        </w:rPr>
        <w:t xml:space="preserve"> وهو شخص يتورط عادة دون أن يجني من وراء كفالته ربحا ما</w:t>
      </w:r>
      <w:r>
        <w:rPr>
          <w:rFonts w:hint="cs"/>
          <w:color w:val="0000FF"/>
          <w:sz w:val="28"/>
          <w:szCs w:val="28"/>
          <w:rtl/>
        </w:rPr>
        <w:t xml:space="preserve"> ،</w:t>
      </w:r>
      <w:r w:rsidRPr="00923B1A">
        <w:rPr>
          <w:rFonts w:hint="cs"/>
          <w:color w:val="0000FF"/>
          <w:sz w:val="28"/>
          <w:szCs w:val="28"/>
          <w:rtl/>
        </w:rPr>
        <w:t xml:space="preserve"> قرر المشروع وجوب تحديد مبلغ معين تصح في حدوده كفالة الالتزام المستقبل</w:t>
      </w:r>
      <w:r>
        <w:rPr>
          <w:rFonts w:hint="cs"/>
          <w:color w:val="0000FF"/>
          <w:sz w:val="28"/>
          <w:szCs w:val="28"/>
          <w:rtl/>
        </w:rPr>
        <w:t xml:space="preserve"> ،</w:t>
      </w:r>
      <w:r w:rsidRPr="00923B1A">
        <w:rPr>
          <w:rFonts w:hint="cs"/>
          <w:color w:val="0000FF"/>
          <w:sz w:val="28"/>
          <w:szCs w:val="28"/>
          <w:rtl/>
        </w:rPr>
        <w:t xml:space="preserve"> كما قرر أيضاً أن كفالة الالتزام المستقبل التي لأجل غير محدد يجوز الرجوع فيها طالما لم ينشأ الالتزام بعد</w:t>
      </w:r>
      <w:r>
        <w:rPr>
          <w:rFonts w:hint="cs"/>
          <w:color w:val="0000FF"/>
          <w:sz w:val="28"/>
          <w:szCs w:val="28"/>
          <w:rtl/>
        </w:rPr>
        <w:t xml:space="preserve"> .</w:t>
      </w:r>
      <w:r w:rsidRPr="00923B1A">
        <w:rPr>
          <w:rFonts w:hint="cs"/>
          <w:color w:val="0000FF"/>
          <w:sz w:val="28"/>
          <w:szCs w:val="28"/>
          <w:rtl/>
        </w:rPr>
        <w:t xml:space="preserve"> والقضاء المصري يؤيد هذا الاتجاه</w:t>
      </w:r>
      <w:r>
        <w:rPr>
          <w:rFonts w:hint="cs"/>
          <w:color w:val="0000FF"/>
          <w:sz w:val="28"/>
          <w:szCs w:val="28"/>
          <w:rtl/>
        </w:rPr>
        <w:t xml:space="preserve"> :</w:t>
      </w:r>
      <w:r w:rsidRPr="00923B1A">
        <w:rPr>
          <w:rFonts w:hint="cs"/>
          <w:color w:val="0000FF"/>
          <w:sz w:val="28"/>
          <w:szCs w:val="28"/>
          <w:rtl/>
        </w:rPr>
        <w:t xml:space="preserve">انظر على الأخص استئناف مختلط 23 يناير سنة </w:t>
      </w:r>
      <w:smartTag w:uri="urn:schemas-microsoft-com:office:smarttags" w:element="metricconverter">
        <w:smartTagPr>
          <w:attr w:name="ProductID" w:val="1907 م"/>
        </w:smartTagPr>
        <w:r w:rsidRPr="00923B1A">
          <w:rPr>
            <w:rFonts w:hint="cs"/>
            <w:color w:val="0000FF"/>
            <w:sz w:val="28"/>
            <w:szCs w:val="28"/>
            <w:rtl/>
          </w:rPr>
          <w:t>1907 م</w:t>
        </w:r>
      </w:smartTag>
      <w:r w:rsidRPr="00923B1A">
        <w:rPr>
          <w:rFonts w:hint="cs"/>
          <w:color w:val="0000FF"/>
          <w:sz w:val="28"/>
          <w:szCs w:val="28"/>
          <w:rtl/>
        </w:rPr>
        <w:t xml:space="preserve"> 19 ص 100 </w:t>
      </w:r>
      <w:r w:rsidRPr="00923B1A">
        <w:rPr>
          <w:color w:val="0000FF"/>
          <w:sz w:val="28"/>
          <w:szCs w:val="28"/>
          <w:rtl/>
        </w:rPr>
        <w:t>–</w:t>
      </w:r>
      <w:r w:rsidRPr="00923B1A">
        <w:rPr>
          <w:rFonts w:hint="cs"/>
          <w:color w:val="0000FF"/>
          <w:sz w:val="28"/>
          <w:szCs w:val="28"/>
          <w:rtl/>
        </w:rPr>
        <w:t xml:space="preserve"> 3 ديسمبر سنة </w:t>
      </w:r>
      <w:smartTag w:uri="urn:schemas-microsoft-com:office:smarttags" w:element="metricconverter">
        <w:smartTagPr>
          <w:attr w:name="ProductID" w:val="1913 م"/>
        </w:smartTagPr>
        <w:r w:rsidRPr="00923B1A">
          <w:rPr>
            <w:rFonts w:hint="cs"/>
            <w:color w:val="0000FF"/>
            <w:sz w:val="28"/>
            <w:szCs w:val="28"/>
            <w:rtl/>
          </w:rPr>
          <w:t>1913 م</w:t>
        </w:r>
      </w:smartTag>
      <w:r w:rsidRPr="00923B1A">
        <w:rPr>
          <w:rFonts w:hint="cs"/>
          <w:color w:val="0000FF"/>
          <w:sz w:val="28"/>
          <w:szCs w:val="28"/>
          <w:rtl/>
        </w:rPr>
        <w:t xml:space="preserve"> 26 ص 76 </w:t>
      </w:r>
      <w:r w:rsidRPr="00923B1A">
        <w:rPr>
          <w:color w:val="0000FF"/>
          <w:sz w:val="28"/>
          <w:szCs w:val="28"/>
          <w:rtl/>
        </w:rPr>
        <w:t>–</w:t>
      </w:r>
      <w:r w:rsidRPr="00923B1A">
        <w:rPr>
          <w:rFonts w:hint="cs"/>
          <w:color w:val="0000FF"/>
          <w:sz w:val="28"/>
          <w:szCs w:val="28"/>
          <w:rtl/>
        </w:rPr>
        <w:t xml:space="preserve"> والمادة 1136 في مجموعها تطابق المادتين 627 و 628 من التقنين اليبولوني" </w:t>
      </w:r>
      <w:r>
        <w:rPr>
          <w:rFonts w:hint="cs"/>
          <w:color w:val="0000FF"/>
          <w:sz w:val="28"/>
          <w:szCs w:val="28"/>
          <w:rtl/>
        </w:rPr>
        <w:t xml:space="preserve">( </w:t>
      </w:r>
      <w:r w:rsidRPr="00923B1A">
        <w:rPr>
          <w:rFonts w:hint="cs"/>
          <w:color w:val="0000FF"/>
          <w:sz w:val="28"/>
          <w:szCs w:val="28"/>
          <w:rtl/>
        </w:rPr>
        <w:t>مجموعة الأعمال التحضيرية 5 ص 454 ص 457</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744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787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1057</w:t>
      </w:r>
      <w:r>
        <w:rPr>
          <w:rFonts w:hint="cs"/>
          <w:color w:val="0000FF"/>
          <w:sz w:val="28"/>
          <w:szCs w:val="28"/>
          <w:rtl/>
        </w:rPr>
        <w:t xml:space="preserve"> :</w:t>
      </w:r>
      <w:r w:rsidRPr="00923B1A">
        <w:rPr>
          <w:rFonts w:hint="cs"/>
          <w:color w:val="0000FF"/>
          <w:sz w:val="28"/>
          <w:szCs w:val="28"/>
          <w:rtl/>
        </w:rPr>
        <w:t xml:space="preserve"> يجوز أن يكون موضوع الكفالة موجبا ممكن الحدوث </w:t>
      </w:r>
      <w:r>
        <w:rPr>
          <w:rFonts w:hint="cs"/>
          <w:color w:val="0000FF"/>
          <w:sz w:val="28"/>
          <w:szCs w:val="28"/>
          <w:rtl/>
        </w:rPr>
        <w:t xml:space="preserve">( </w:t>
      </w:r>
      <w:r w:rsidRPr="00923B1A">
        <w:rPr>
          <w:rFonts w:hint="cs"/>
          <w:color w:val="0000FF"/>
          <w:sz w:val="28"/>
          <w:szCs w:val="28"/>
          <w:rtl/>
        </w:rPr>
        <w:t>كمان نزع الملكية بدعوى الاستحقاق</w:t>
      </w:r>
      <w:r>
        <w:rPr>
          <w:rFonts w:hint="cs"/>
          <w:color w:val="0000FF"/>
          <w:sz w:val="28"/>
          <w:szCs w:val="28"/>
          <w:rtl/>
        </w:rPr>
        <w:t xml:space="preserve"> )</w:t>
      </w:r>
      <w:r w:rsidRPr="00923B1A">
        <w:rPr>
          <w:rFonts w:hint="cs"/>
          <w:color w:val="0000FF"/>
          <w:sz w:val="28"/>
          <w:szCs w:val="28"/>
          <w:rtl/>
        </w:rPr>
        <w:t xml:space="preserve"> أو موجبا مستقبلا أو غير معين بشرط أن يكون التعيين ممكنا فيما بعد </w:t>
      </w:r>
      <w:r>
        <w:rPr>
          <w:rFonts w:hint="cs"/>
          <w:color w:val="0000FF"/>
          <w:sz w:val="28"/>
          <w:szCs w:val="28"/>
          <w:rtl/>
        </w:rPr>
        <w:t xml:space="preserve">( </w:t>
      </w:r>
      <w:r w:rsidRPr="00923B1A">
        <w:rPr>
          <w:rFonts w:hint="cs"/>
          <w:color w:val="0000FF"/>
          <w:sz w:val="28"/>
          <w:szCs w:val="28"/>
          <w:rtl/>
        </w:rPr>
        <w:t>مثل كفالة المبلغ الذي سيحكم به على شخص ما</w:t>
      </w:r>
      <w:r>
        <w:rPr>
          <w:rFonts w:hint="cs"/>
          <w:color w:val="0000FF"/>
          <w:sz w:val="28"/>
          <w:szCs w:val="28"/>
          <w:rtl/>
        </w:rPr>
        <w:t xml:space="preserve"> ) ،</w:t>
      </w:r>
      <w:r w:rsidRPr="00923B1A">
        <w:rPr>
          <w:rFonts w:hint="cs"/>
          <w:color w:val="0000FF"/>
          <w:sz w:val="28"/>
          <w:szCs w:val="28"/>
          <w:rtl/>
        </w:rPr>
        <w:t xml:space="preserve"> ففي هذه الحالة يحدد موجب الكفيل بما يجب على المديون الأصلي</w:t>
      </w:r>
      <w:r>
        <w:rPr>
          <w:rFonts w:hint="cs"/>
          <w:color w:val="0000FF"/>
          <w:sz w:val="28"/>
          <w:szCs w:val="28"/>
          <w:rtl/>
        </w:rPr>
        <w:t xml:space="preserve"> .</w:t>
      </w:r>
      <w:r w:rsidRPr="00923B1A">
        <w:rPr>
          <w:rFonts w:hint="cs"/>
          <w:color w:val="0000FF"/>
          <w:sz w:val="28"/>
          <w:szCs w:val="28"/>
          <w:rtl/>
        </w:rPr>
        <w:t xml:space="preserve"> وانظر المادة 1044 فيما يلي في نفس الفقرة في الهامش</w:t>
      </w:r>
      <w:r>
        <w:rPr>
          <w:rFonts w:hint="cs"/>
          <w:color w:val="0000FF"/>
          <w:sz w:val="28"/>
          <w:szCs w:val="28"/>
          <w:rtl/>
        </w:rPr>
        <w:t xml:space="preserve"> .</w:t>
      </w:r>
    </w:p>
  </w:footnote>
  <w:footnote w:id="10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52 </w:t>
      </w:r>
      <w:r w:rsidRPr="00923B1A">
        <w:rPr>
          <w:color w:val="0000FF"/>
          <w:sz w:val="28"/>
          <w:szCs w:val="28"/>
          <w:rtl/>
        </w:rPr>
        <w:t>–</w:t>
      </w:r>
      <w:r w:rsidRPr="00923B1A">
        <w:rPr>
          <w:rFonts w:hint="cs"/>
          <w:color w:val="0000FF"/>
          <w:sz w:val="28"/>
          <w:szCs w:val="28"/>
          <w:rtl/>
        </w:rPr>
        <w:t xml:space="preserve"> بودري وفال فقرة 950 ص 510</w:t>
      </w:r>
      <w:r>
        <w:rPr>
          <w:rFonts w:hint="cs"/>
          <w:color w:val="0000FF"/>
          <w:sz w:val="28"/>
          <w:szCs w:val="28"/>
          <w:rtl/>
        </w:rPr>
        <w:t xml:space="preserve"> .</w:t>
      </w:r>
    </w:p>
  </w:footnote>
  <w:footnote w:id="10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950</w:t>
      </w:r>
      <w:r>
        <w:rPr>
          <w:rFonts w:hint="cs"/>
          <w:color w:val="0000FF"/>
          <w:sz w:val="28"/>
          <w:szCs w:val="28"/>
          <w:rtl/>
        </w:rPr>
        <w:t xml:space="preserve"> .</w:t>
      </w:r>
    </w:p>
  </w:footnote>
  <w:footnote w:id="10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951 ص 511 </w:t>
      </w:r>
      <w:r w:rsidRPr="00923B1A">
        <w:rPr>
          <w:color w:val="0000FF"/>
          <w:sz w:val="28"/>
          <w:szCs w:val="28"/>
          <w:rtl/>
        </w:rPr>
        <w:t>–</w:t>
      </w:r>
      <w:r w:rsidRPr="00923B1A">
        <w:rPr>
          <w:rFonts w:hint="cs"/>
          <w:color w:val="0000FF"/>
          <w:sz w:val="28"/>
          <w:szCs w:val="28"/>
          <w:rtl/>
        </w:rPr>
        <w:t xml:space="preserve"> جيوار فقرة 18</w:t>
      </w:r>
      <w:r>
        <w:rPr>
          <w:rFonts w:hint="cs"/>
          <w:color w:val="0000FF"/>
          <w:sz w:val="28"/>
          <w:szCs w:val="28"/>
          <w:rtl/>
        </w:rPr>
        <w:t xml:space="preserve"> .</w:t>
      </w:r>
      <w:r w:rsidRPr="00923B1A">
        <w:rPr>
          <w:rFonts w:hint="cs"/>
          <w:color w:val="0000FF"/>
          <w:sz w:val="28"/>
          <w:szCs w:val="28"/>
          <w:rtl/>
        </w:rPr>
        <w:t xml:space="preserve"> وكفالة المدين المستقبل قبل وجوده صحيح صحة بيع الشيء المستقبل قبل وجوده</w:t>
      </w:r>
      <w:r>
        <w:rPr>
          <w:rFonts w:hint="cs"/>
          <w:color w:val="0000FF"/>
          <w:sz w:val="28"/>
          <w:szCs w:val="28"/>
          <w:rtl/>
        </w:rPr>
        <w:t xml:space="preserve"> :</w:t>
      </w:r>
      <w:r w:rsidRPr="00923B1A">
        <w:rPr>
          <w:rFonts w:hint="cs"/>
          <w:color w:val="0000FF"/>
          <w:sz w:val="28"/>
          <w:szCs w:val="28"/>
          <w:rtl/>
        </w:rPr>
        <w:t xml:space="preserve"> إذ يجوز التعامل في الأشياء المستقبلة يما عدا التركات المستقبلة </w:t>
      </w:r>
      <w:r>
        <w:rPr>
          <w:rFonts w:hint="cs"/>
          <w:color w:val="0000FF"/>
          <w:sz w:val="28"/>
          <w:szCs w:val="28"/>
          <w:rtl/>
        </w:rPr>
        <w:t xml:space="preserve">( </w:t>
      </w:r>
      <w:r w:rsidRPr="00923B1A">
        <w:rPr>
          <w:rFonts w:hint="cs"/>
          <w:color w:val="0000FF"/>
          <w:sz w:val="28"/>
          <w:szCs w:val="28"/>
          <w:rtl/>
        </w:rPr>
        <w:t xml:space="preserve">استئناف مختلط 23 يناير سنة 1907/ 19 ص 100 </w:t>
      </w:r>
      <w:r w:rsidRPr="00923B1A">
        <w:rPr>
          <w:color w:val="0000FF"/>
          <w:sz w:val="28"/>
          <w:szCs w:val="28"/>
          <w:rtl/>
        </w:rPr>
        <w:t>–</w:t>
      </w:r>
      <w:r w:rsidRPr="00923B1A">
        <w:rPr>
          <w:rFonts w:hint="cs"/>
          <w:color w:val="0000FF"/>
          <w:sz w:val="28"/>
          <w:szCs w:val="28"/>
          <w:rtl/>
        </w:rPr>
        <w:t xml:space="preserve"> منصور مصطفى منصور فقرة 17 ص 36 </w:t>
      </w:r>
      <w:r w:rsidRPr="00923B1A">
        <w:rPr>
          <w:color w:val="0000FF"/>
          <w:sz w:val="28"/>
          <w:szCs w:val="28"/>
          <w:rtl/>
        </w:rPr>
        <w:t>–</w:t>
      </w:r>
      <w:r w:rsidRPr="00923B1A">
        <w:rPr>
          <w:rFonts w:hint="cs"/>
          <w:color w:val="0000FF"/>
          <w:sz w:val="28"/>
          <w:szCs w:val="28"/>
          <w:rtl/>
        </w:rPr>
        <w:t xml:space="preserve"> وقارن عبد الفتاح عبد الباقي فقرة 45 ص 86 </w:t>
      </w:r>
      <w:r w:rsidRPr="00923B1A">
        <w:rPr>
          <w:color w:val="0000FF"/>
          <w:sz w:val="28"/>
          <w:szCs w:val="28"/>
          <w:rtl/>
        </w:rPr>
        <w:t>–</w:t>
      </w:r>
      <w:r w:rsidRPr="00923B1A">
        <w:rPr>
          <w:rFonts w:hint="cs"/>
          <w:color w:val="0000FF"/>
          <w:sz w:val="28"/>
          <w:szCs w:val="28"/>
          <w:rtl/>
        </w:rPr>
        <w:t xml:space="preserve"> ص 87</w:t>
      </w:r>
      <w:r>
        <w:rPr>
          <w:rFonts w:hint="cs"/>
          <w:color w:val="0000FF"/>
          <w:sz w:val="28"/>
          <w:szCs w:val="28"/>
          <w:rtl/>
        </w:rPr>
        <w:t xml:space="preserve"> .</w:t>
      </w:r>
    </w:p>
  </w:footnote>
  <w:footnote w:id="10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950 ص 510 </w:t>
      </w:r>
      <w:r w:rsidRPr="00923B1A">
        <w:rPr>
          <w:color w:val="0000FF"/>
          <w:sz w:val="28"/>
          <w:szCs w:val="28"/>
          <w:rtl/>
        </w:rPr>
        <w:t>–</w:t>
      </w:r>
      <w:r w:rsidRPr="00923B1A">
        <w:rPr>
          <w:rFonts w:hint="cs"/>
          <w:color w:val="0000FF"/>
          <w:sz w:val="28"/>
          <w:szCs w:val="28"/>
          <w:rtl/>
        </w:rPr>
        <w:t xml:space="preserve"> وتجوز كذلك كفالة دين غير معين المقدار مادام هذا الدين موجودا فعلا وقت كفالته</w:t>
      </w:r>
      <w:r>
        <w:rPr>
          <w:rFonts w:hint="cs"/>
          <w:color w:val="0000FF"/>
          <w:sz w:val="28"/>
          <w:szCs w:val="28"/>
          <w:rtl/>
        </w:rPr>
        <w:t xml:space="preserve"> ،</w:t>
      </w:r>
      <w:r w:rsidRPr="00923B1A">
        <w:rPr>
          <w:rFonts w:hint="cs"/>
          <w:color w:val="0000FF"/>
          <w:sz w:val="28"/>
          <w:szCs w:val="28"/>
          <w:rtl/>
        </w:rPr>
        <w:t xml:space="preserve"> وهذا غير كفالة الدين المستقبل</w:t>
      </w:r>
      <w:r>
        <w:rPr>
          <w:rFonts w:hint="cs"/>
          <w:color w:val="0000FF"/>
          <w:sz w:val="28"/>
          <w:szCs w:val="28"/>
          <w:rtl/>
        </w:rPr>
        <w:t xml:space="preserve"> .</w:t>
      </w:r>
      <w:r w:rsidRPr="00923B1A">
        <w:rPr>
          <w:rFonts w:hint="cs"/>
          <w:color w:val="0000FF"/>
          <w:sz w:val="28"/>
          <w:szCs w:val="28"/>
          <w:rtl/>
        </w:rPr>
        <w:t xml:space="preserve"> وعلى ذلك تجوز كفالة ما ترتب فعلا في ذمة شخص معين دون أن يعين مقدار الدين</w:t>
      </w:r>
      <w:r>
        <w:rPr>
          <w:rFonts w:hint="cs"/>
          <w:color w:val="0000FF"/>
          <w:sz w:val="28"/>
          <w:szCs w:val="28"/>
          <w:rtl/>
        </w:rPr>
        <w:t xml:space="preserve"> ،</w:t>
      </w:r>
      <w:r w:rsidRPr="00923B1A">
        <w:rPr>
          <w:rFonts w:hint="cs"/>
          <w:color w:val="0000FF"/>
          <w:sz w:val="28"/>
          <w:szCs w:val="28"/>
          <w:rtl/>
        </w:rPr>
        <w:t xml:space="preserve"> بل تجوز كفالة هذا المدين دون أن يعلم الكفيل شخص الدائن</w:t>
      </w:r>
      <w:r>
        <w:rPr>
          <w:rFonts w:hint="cs"/>
          <w:color w:val="0000FF"/>
          <w:sz w:val="28"/>
          <w:szCs w:val="28"/>
          <w:rtl/>
        </w:rPr>
        <w:t xml:space="preserve"> ،</w:t>
      </w:r>
      <w:r w:rsidRPr="00923B1A">
        <w:rPr>
          <w:rFonts w:hint="cs"/>
          <w:color w:val="0000FF"/>
          <w:sz w:val="28"/>
          <w:szCs w:val="28"/>
          <w:rtl/>
        </w:rPr>
        <w:t xml:space="preserve"> ويكون الكفيل في هذه الحالة ملتزما نحو المدين بكفالة دينه </w:t>
      </w:r>
      <w:r>
        <w:rPr>
          <w:rFonts w:hint="cs"/>
          <w:color w:val="0000FF"/>
          <w:sz w:val="28"/>
          <w:szCs w:val="28"/>
          <w:rtl/>
        </w:rPr>
        <w:t xml:space="preserve">( </w:t>
      </w:r>
      <w:r w:rsidRPr="00923B1A">
        <w:rPr>
          <w:rFonts w:hint="cs"/>
          <w:color w:val="0000FF"/>
          <w:sz w:val="28"/>
          <w:szCs w:val="28"/>
          <w:rtl/>
        </w:rPr>
        <w:t xml:space="preserve">جيوار فقرة18 وفقرة 58 ثالثا </w:t>
      </w:r>
      <w:r w:rsidRPr="00923B1A">
        <w:rPr>
          <w:color w:val="0000FF"/>
          <w:sz w:val="28"/>
          <w:szCs w:val="28"/>
          <w:rtl/>
        </w:rPr>
        <w:t>–</w:t>
      </w:r>
      <w:r w:rsidRPr="00923B1A">
        <w:rPr>
          <w:rFonts w:hint="cs"/>
          <w:color w:val="0000FF"/>
          <w:sz w:val="28"/>
          <w:szCs w:val="28"/>
          <w:rtl/>
        </w:rPr>
        <w:t xml:space="preserve"> بودري وفال فقرة 951</w:t>
      </w:r>
      <w:r>
        <w:rPr>
          <w:rFonts w:hint="cs"/>
          <w:color w:val="0000FF"/>
          <w:sz w:val="28"/>
          <w:szCs w:val="28"/>
          <w:rtl/>
        </w:rPr>
        <w:t xml:space="preserve"> ) .</w:t>
      </w:r>
    </w:p>
  </w:footnote>
  <w:footnote w:id="10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جاء في محاضر جلسات لجنة الأستاذ كامل صدقي في الصدد ما يأتي</w:t>
      </w:r>
      <w:r>
        <w:rPr>
          <w:rFonts w:hint="cs"/>
          <w:color w:val="0000FF"/>
          <w:sz w:val="28"/>
          <w:szCs w:val="28"/>
          <w:rtl/>
        </w:rPr>
        <w:t xml:space="preserve"> :</w:t>
      </w:r>
      <w:r w:rsidRPr="00923B1A">
        <w:rPr>
          <w:rFonts w:hint="cs"/>
          <w:color w:val="0000FF"/>
          <w:sz w:val="28"/>
          <w:szCs w:val="28"/>
          <w:rtl/>
        </w:rPr>
        <w:t xml:space="preserve"> "قال الرئيس إنه تحسن حماية الشخص الذي يكفل في ساعة ضعفه</w:t>
      </w:r>
      <w:r>
        <w:rPr>
          <w:rFonts w:hint="cs"/>
          <w:color w:val="0000FF"/>
          <w:sz w:val="28"/>
          <w:szCs w:val="28"/>
          <w:rtl/>
        </w:rPr>
        <w:t xml:space="preserve"> ،</w:t>
      </w:r>
      <w:r w:rsidRPr="00923B1A">
        <w:rPr>
          <w:rFonts w:hint="cs"/>
          <w:color w:val="0000FF"/>
          <w:sz w:val="28"/>
          <w:szCs w:val="28"/>
          <w:rtl/>
        </w:rPr>
        <w:t xml:space="preserve"> إذا كثيرا ما يحصل في مصر أن يكفل الشخص قريبا له أو تكفل الزوجة زوجها</w:t>
      </w:r>
      <w:r>
        <w:rPr>
          <w:rFonts w:hint="cs"/>
          <w:color w:val="0000FF"/>
          <w:sz w:val="28"/>
          <w:szCs w:val="28"/>
          <w:rtl/>
        </w:rPr>
        <w:t xml:space="preserve"> .</w:t>
      </w:r>
      <w:r w:rsidRPr="00923B1A">
        <w:rPr>
          <w:rFonts w:hint="cs"/>
          <w:color w:val="0000FF"/>
          <w:sz w:val="28"/>
          <w:szCs w:val="28"/>
          <w:rtl/>
        </w:rPr>
        <w:t xml:space="preserve"> وهذه الحماية أدعى في حالة الزوجة الموسرة الأمية التي تساق إلى كفالة زوجها</w:t>
      </w:r>
      <w:r>
        <w:rPr>
          <w:rFonts w:hint="cs"/>
          <w:color w:val="0000FF"/>
          <w:sz w:val="28"/>
          <w:szCs w:val="28"/>
          <w:rtl/>
        </w:rPr>
        <w:t xml:space="preserve"> ،</w:t>
      </w:r>
      <w:r w:rsidRPr="00923B1A">
        <w:rPr>
          <w:rFonts w:hint="cs"/>
          <w:color w:val="0000FF"/>
          <w:sz w:val="28"/>
          <w:szCs w:val="28"/>
          <w:rtl/>
        </w:rPr>
        <w:t xml:space="preserve"> هذا فضلا عن أن تحديد مقدار الدين المكفول كشرط لصحة الكفالة مأخوذ به في كثير من التقنينات الحديثة كما هو الحال في سويسرا حيث الشعب على حظ وفير من الثقافة والمعرفة وفي وسعه حماية نفسه"</w:t>
      </w:r>
      <w:r>
        <w:rPr>
          <w:rFonts w:hint="cs"/>
          <w:color w:val="0000FF"/>
          <w:sz w:val="28"/>
          <w:szCs w:val="28"/>
          <w:rtl/>
        </w:rPr>
        <w:t xml:space="preserve"> .</w:t>
      </w:r>
      <w:r w:rsidRPr="00923B1A">
        <w:rPr>
          <w:rFonts w:hint="cs"/>
          <w:color w:val="0000FF"/>
          <w:sz w:val="28"/>
          <w:szCs w:val="28"/>
          <w:rtl/>
        </w:rPr>
        <w:t xml:space="preserve"> وقال عضو آخر</w:t>
      </w:r>
      <w:r>
        <w:rPr>
          <w:rFonts w:hint="cs"/>
          <w:color w:val="0000FF"/>
          <w:sz w:val="28"/>
          <w:szCs w:val="28"/>
          <w:rtl/>
        </w:rPr>
        <w:t xml:space="preserve"> :</w:t>
      </w:r>
      <w:r w:rsidRPr="00923B1A">
        <w:rPr>
          <w:rFonts w:hint="cs"/>
          <w:color w:val="0000FF"/>
          <w:sz w:val="28"/>
          <w:szCs w:val="28"/>
          <w:rtl/>
        </w:rPr>
        <w:t xml:space="preserve"> "أن من بين التقنينات ما أجاز تقديم كفالة ضمانا لدين غير محدد المقدار</w:t>
      </w:r>
      <w:r>
        <w:rPr>
          <w:rFonts w:hint="cs"/>
          <w:color w:val="0000FF"/>
          <w:sz w:val="28"/>
          <w:szCs w:val="28"/>
          <w:rtl/>
        </w:rPr>
        <w:t xml:space="preserve"> ،</w:t>
      </w:r>
      <w:r w:rsidRPr="00923B1A">
        <w:rPr>
          <w:rFonts w:hint="cs"/>
          <w:color w:val="0000FF"/>
          <w:sz w:val="28"/>
          <w:szCs w:val="28"/>
          <w:rtl/>
        </w:rPr>
        <w:t xml:space="preserve"> كما أن من بينها ما لم يقرر ذلك</w:t>
      </w:r>
      <w:r>
        <w:rPr>
          <w:rFonts w:hint="cs"/>
          <w:color w:val="0000FF"/>
          <w:sz w:val="28"/>
          <w:szCs w:val="28"/>
          <w:rtl/>
        </w:rPr>
        <w:t xml:space="preserve"> .</w:t>
      </w:r>
      <w:r w:rsidRPr="00923B1A">
        <w:rPr>
          <w:rFonts w:hint="cs"/>
          <w:color w:val="0000FF"/>
          <w:sz w:val="28"/>
          <w:szCs w:val="28"/>
          <w:rtl/>
        </w:rPr>
        <w:t xml:space="preserve"> ولا ضير من الاعتراف بصحة كفالة التزام يمكن تحد=يد مقداره فيما بعد"</w:t>
      </w:r>
      <w:r>
        <w:rPr>
          <w:rFonts w:hint="cs"/>
          <w:color w:val="0000FF"/>
          <w:sz w:val="28"/>
          <w:szCs w:val="28"/>
          <w:rtl/>
        </w:rPr>
        <w:t xml:space="preserve"> .</w:t>
      </w:r>
      <w:r w:rsidRPr="00923B1A">
        <w:rPr>
          <w:rFonts w:hint="cs"/>
          <w:color w:val="0000FF"/>
          <w:sz w:val="28"/>
          <w:szCs w:val="28"/>
          <w:rtl/>
        </w:rPr>
        <w:t xml:space="preserve"> وعقب أحد الأعضاء</w:t>
      </w:r>
      <w:r>
        <w:rPr>
          <w:rFonts w:hint="cs"/>
          <w:color w:val="0000FF"/>
          <w:sz w:val="28"/>
          <w:szCs w:val="28"/>
          <w:rtl/>
        </w:rPr>
        <w:t xml:space="preserve"> .</w:t>
      </w:r>
      <w:r w:rsidRPr="00923B1A">
        <w:rPr>
          <w:rFonts w:hint="cs"/>
          <w:color w:val="0000FF"/>
          <w:sz w:val="28"/>
          <w:szCs w:val="28"/>
          <w:rtl/>
        </w:rPr>
        <w:t xml:space="preserve"> "بأن النص الذي أخذ به المشروع الفرنسي الإيطالي للالتزام والعقود يقرر صحة كفالة دين غير محدد المقدار</w:t>
      </w:r>
      <w:r>
        <w:rPr>
          <w:rFonts w:hint="cs"/>
          <w:color w:val="0000FF"/>
          <w:sz w:val="28"/>
          <w:szCs w:val="28"/>
          <w:rtl/>
        </w:rPr>
        <w:t xml:space="preserve"> ،</w:t>
      </w:r>
      <w:r w:rsidRPr="00923B1A">
        <w:rPr>
          <w:rFonts w:hint="cs"/>
          <w:color w:val="0000FF"/>
          <w:sz w:val="28"/>
          <w:szCs w:val="28"/>
          <w:rtl/>
        </w:rPr>
        <w:t xml:space="preserve"> بينما يعلق قانون الاتحاد السويسري صحة الكفالة على بيان مقدار الدين"</w:t>
      </w:r>
      <w:r>
        <w:rPr>
          <w:rFonts w:hint="cs"/>
          <w:color w:val="0000FF"/>
          <w:sz w:val="28"/>
          <w:szCs w:val="28"/>
          <w:rtl/>
        </w:rPr>
        <w:t xml:space="preserve"> .</w:t>
      </w:r>
      <w:r w:rsidRPr="00923B1A">
        <w:rPr>
          <w:rFonts w:hint="cs"/>
          <w:color w:val="0000FF"/>
          <w:sz w:val="28"/>
          <w:szCs w:val="28"/>
          <w:rtl/>
        </w:rPr>
        <w:t xml:space="preserve"> فقال الرئيس</w:t>
      </w:r>
      <w:r>
        <w:rPr>
          <w:rFonts w:hint="cs"/>
          <w:color w:val="0000FF"/>
          <w:sz w:val="28"/>
          <w:szCs w:val="28"/>
          <w:rtl/>
        </w:rPr>
        <w:t xml:space="preserve"> :</w:t>
      </w:r>
      <w:r w:rsidRPr="00923B1A">
        <w:rPr>
          <w:rFonts w:hint="cs"/>
          <w:color w:val="0000FF"/>
          <w:sz w:val="28"/>
          <w:szCs w:val="28"/>
          <w:rtl/>
        </w:rPr>
        <w:t xml:space="preserve"> "أن من الممكن إزاء هذين الرأيين المتعارضين إيجاد حل وسط يسمح بشمول الكفيل بقسط من الحماية</w:t>
      </w:r>
      <w:r>
        <w:rPr>
          <w:rFonts w:hint="cs"/>
          <w:color w:val="0000FF"/>
          <w:sz w:val="28"/>
          <w:szCs w:val="28"/>
          <w:rtl/>
        </w:rPr>
        <w:t xml:space="preserve"> ،</w:t>
      </w:r>
      <w:r w:rsidRPr="00923B1A">
        <w:rPr>
          <w:rFonts w:hint="cs"/>
          <w:color w:val="0000FF"/>
          <w:sz w:val="28"/>
          <w:szCs w:val="28"/>
          <w:rtl/>
        </w:rPr>
        <w:t xml:space="preserve"> واقترح أن تجعل صحة الكفالة رهناً ببيان مقدار الدين إذا ما تعلق الأمر بالتزام مستقبل أو بالتزام بعمل شيء"</w:t>
      </w:r>
      <w:r>
        <w:rPr>
          <w:rFonts w:hint="cs"/>
          <w:color w:val="0000FF"/>
          <w:sz w:val="28"/>
          <w:szCs w:val="28"/>
          <w:rtl/>
        </w:rPr>
        <w:t xml:space="preserve"> .</w:t>
      </w:r>
      <w:r w:rsidRPr="00923B1A">
        <w:rPr>
          <w:rFonts w:hint="cs"/>
          <w:color w:val="0000FF"/>
          <w:sz w:val="28"/>
          <w:szCs w:val="28"/>
          <w:rtl/>
        </w:rPr>
        <w:t xml:space="preserve"> وقد وافقت اللجنة على اقتراح الرئيس بأغلبية الأصوات</w:t>
      </w:r>
      <w:r>
        <w:rPr>
          <w:rFonts w:hint="cs"/>
          <w:color w:val="0000FF"/>
          <w:sz w:val="28"/>
          <w:szCs w:val="28"/>
          <w:rtl/>
        </w:rPr>
        <w:t xml:space="preserve"> .</w:t>
      </w:r>
      <w:r w:rsidRPr="00923B1A">
        <w:rPr>
          <w:rFonts w:hint="cs"/>
          <w:color w:val="0000FF"/>
          <w:sz w:val="28"/>
          <w:szCs w:val="28"/>
          <w:rtl/>
        </w:rPr>
        <w:t xml:space="preserve"> ثم انتقلت اللجنة إلى مناقشة النص فاقترح الأخذ بالحكم الوارد في المادة 627 من القانون البولوني</w:t>
      </w:r>
      <w:r>
        <w:rPr>
          <w:rFonts w:hint="cs"/>
          <w:color w:val="0000FF"/>
          <w:sz w:val="28"/>
          <w:szCs w:val="28"/>
          <w:rtl/>
        </w:rPr>
        <w:t xml:space="preserve"> . .</w:t>
      </w:r>
      <w:r w:rsidRPr="00923B1A">
        <w:rPr>
          <w:rFonts w:hint="cs"/>
          <w:color w:val="0000FF"/>
          <w:sz w:val="28"/>
          <w:szCs w:val="28"/>
          <w:rtl/>
        </w:rPr>
        <w:t xml:space="preserve"> مضافاً </w:t>
      </w:r>
      <w:r>
        <w:rPr>
          <w:rFonts w:hint="cs"/>
          <w:color w:val="0000FF"/>
          <w:sz w:val="28"/>
          <w:szCs w:val="28"/>
          <w:rtl/>
        </w:rPr>
        <w:t xml:space="preserve">( </w:t>
      </w:r>
      <w:r w:rsidRPr="00923B1A">
        <w:rPr>
          <w:rFonts w:hint="cs"/>
          <w:color w:val="0000FF"/>
          <w:sz w:val="28"/>
          <w:szCs w:val="28"/>
          <w:rtl/>
        </w:rPr>
        <w:t>إليه</w:t>
      </w:r>
      <w:r>
        <w:rPr>
          <w:rFonts w:hint="cs"/>
          <w:color w:val="0000FF"/>
          <w:sz w:val="28"/>
          <w:szCs w:val="28"/>
          <w:rtl/>
        </w:rPr>
        <w:t xml:space="preserve"> )</w:t>
      </w:r>
      <w:r w:rsidRPr="00923B1A">
        <w:rPr>
          <w:rFonts w:hint="cs"/>
          <w:color w:val="0000FF"/>
          <w:sz w:val="28"/>
          <w:szCs w:val="28"/>
          <w:rtl/>
        </w:rPr>
        <w:t xml:space="preserve"> نص المادة 628 من نفس التقنين</w:t>
      </w:r>
      <w:r>
        <w:rPr>
          <w:rFonts w:hint="cs"/>
          <w:color w:val="0000FF"/>
          <w:sz w:val="28"/>
          <w:szCs w:val="28"/>
          <w:rtl/>
        </w:rPr>
        <w:t xml:space="preserve"> . . .</w:t>
      </w:r>
      <w:r w:rsidRPr="00923B1A">
        <w:rPr>
          <w:rFonts w:hint="cs"/>
          <w:color w:val="0000FF"/>
          <w:sz w:val="28"/>
          <w:szCs w:val="28"/>
          <w:rtl/>
        </w:rPr>
        <w:t xml:space="preserve"> فوافقت اللجنة على الأخذ بنص المادتين 627 و 628" </w:t>
      </w:r>
      <w:r>
        <w:rPr>
          <w:rFonts w:hint="cs"/>
          <w:color w:val="0000FF"/>
          <w:sz w:val="28"/>
          <w:szCs w:val="28"/>
          <w:rtl/>
        </w:rPr>
        <w:t xml:space="preserve">( </w:t>
      </w:r>
      <w:r w:rsidRPr="00923B1A">
        <w:rPr>
          <w:rFonts w:hint="cs"/>
          <w:color w:val="0000FF"/>
          <w:sz w:val="28"/>
          <w:szCs w:val="28"/>
          <w:rtl/>
        </w:rPr>
        <w:t xml:space="preserve">مجموعة الأعمال التحضيرية 5 ص 454 </w:t>
      </w:r>
      <w:r w:rsidRPr="00923B1A">
        <w:rPr>
          <w:color w:val="0000FF"/>
          <w:sz w:val="28"/>
          <w:szCs w:val="28"/>
          <w:rtl/>
        </w:rPr>
        <w:t>–</w:t>
      </w:r>
      <w:r w:rsidRPr="00923B1A">
        <w:rPr>
          <w:rFonts w:hint="cs"/>
          <w:color w:val="0000FF"/>
          <w:sz w:val="28"/>
          <w:szCs w:val="28"/>
          <w:rtl/>
        </w:rPr>
        <w:t xml:space="preserve"> ص 455 في الهامش</w:t>
      </w:r>
      <w:r>
        <w:rPr>
          <w:rFonts w:hint="cs"/>
          <w:color w:val="0000FF"/>
          <w:sz w:val="28"/>
          <w:szCs w:val="28"/>
          <w:rtl/>
        </w:rPr>
        <w:t xml:space="preserve"> )</w:t>
      </w:r>
    </w:p>
  </w:footnote>
  <w:footnote w:id="10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لوران 26 فقرة 78 </w:t>
      </w:r>
      <w:r w:rsidRPr="00923B1A">
        <w:rPr>
          <w:color w:val="0000FF"/>
          <w:sz w:val="28"/>
          <w:szCs w:val="28"/>
          <w:rtl/>
        </w:rPr>
        <w:t>–</w:t>
      </w:r>
      <w:r w:rsidRPr="00923B1A">
        <w:rPr>
          <w:rFonts w:hint="cs"/>
          <w:color w:val="0000FF"/>
          <w:sz w:val="28"/>
          <w:szCs w:val="28"/>
          <w:rtl/>
        </w:rPr>
        <w:t xml:space="preserve"> ترولون 50 </w:t>
      </w:r>
      <w:r w:rsidRPr="00923B1A">
        <w:rPr>
          <w:color w:val="0000FF"/>
          <w:sz w:val="28"/>
          <w:szCs w:val="28"/>
          <w:rtl/>
        </w:rPr>
        <w:t>–</w:t>
      </w:r>
      <w:r w:rsidRPr="00923B1A">
        <w:rPr>
          <w:rFonts w:hint="cs"/>
          <w:color w:val="0000FF"/>
          <w:sz w:val="28"/>
          <w:szCs w:val="28"/>
          <w:rtl/>
        </w:rPr>
        <w:t xml:space="preserve"> جيوار فقرة 18 وفقرة 52 </w:t>
      </w:r>
      <w:r w:rsidRPr="00923B1A">
        <w:rPr>
          <w:color w:val="0000FF"/>
          <w:sz w:val="28"/>
          <w:szCs w:val="28"/>
          <w:rtl/>
        </w:rPr>
        <w:t>–</w:t>
      </w:r>
      <w:r w:rsidRPr="00923B1A">
        <w:rPr>
          <w:rFonts w:hint="cs"/>
          <w:color w:val="0000FF"/>
          <w:sz w:val="28"/>
          <w:szCs w:val="28"/>
          <w:rtl/>
        </w:rPr>
        <w:t xml:space="preserve"> بودري وفال فقرة 951</w:t>
      </w:r>
      <w:r>
        <w:rPr>
          <w:rFonts w:hint="cs"/>
          <w:color w:val="0000FF"/>
          <w:sz w:val="28"/>
          <w:szCs w:val="28"/>
          <w:rtl/>
        </w:rPr>
        <w:t xml:space="preserve"> .</w:t>
      </w:r>
    </w:p>
  </w:footnote>
  <w:footnote w:id="10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وهذا هو الرأي المأخوذ به في القانون المدني الفرنسي </w:t>
      </w:r>
      <w:r>
        <w:rPr>
          <w:rFonts w:hint="cs"/>
          <w:color w:val="0000FF"/>
          <w:sz w:val="28"/>
          <w:szCs w:val="28"/>
          <w:rtl/>
        </w:rPr>
        <w:t xml:space="preserve">( </w:t>
      </w:r>
      <w:r w:rsidRPr="00923B1A">
        <w:rPr>
          <w:rFonts w:hint="cs"/>
          <w:color w:val="0000FF"/>
          <w:sz w:val="28"/>
          <w:szCs w:val="28"/>
          <w:rtl/>
        </w:rPr>
        <w:t xml:space="preserve">لوران 28 فقرة 131 </w:t>
      </w:r>
      <w:r w:rsidRPr="00923B1A">
        <w:rPr>
          <w:color w:val="0000FF"/>
          <w:sz w:val="28"/>
          <w:szCs w:val="28"/>
          <w:rtl/>
        </w:rPr>
        <w:t>–</w:t>
      </w:r>
      <w:r w:rsidRPr="00923B1A">
        <w:rPr>
          <w:rFonts w:hint="cs"/>
          <w:color w:val="0000FF"/>
          <w:sz w:val="28"/>
          <w:szCs w:val="28"/>
          <w:rtl/>
        </w:rPr>
        <w:t xml:space="preserve"> جيوار فقرة 53 </w:t>
      </w:r>
      <w:r w:rsidRPr="00923B1A">
        <w:rPr>
          <w:color w:val="0000FF"/>
          <w:sz w:val="28"/>
          <w:szCs w:val="28"/>
          <w:rtl/>
        </w:rPr>
        <w:t>–</w:t>
      </w:r>
      <w:r w:rsidRPr="00923B1A">
        <w:rPr>
          <w:rFonts w:hint="cs"/>
          <w:color w:val="0000FF"/>
          <w:sz w:val="28"/>
          <w:szCs w:val="28"/>
          <w:rtl/>
        </w:rPr>
        <w:t xml:space="preserve"> بودري وفال فقرة 950 ص 510 </w:t>
      </w:r>
      <w:r w:rsidRPr="00923B1A">
        <w:rPr>
          <w:color w:val="0000FF"/>
          <w:sz w:val="28"/>
          <w:szCs w:val="28"/>
          <w:rtl/>
        </w:rPr>
        <w:t>–</w:t>
      </w:r>
      <w:r w:rsidRPr="00923B1A">
        <w:rPr>
          <w:rFonts w:hint="cs"/>
          <w:color w:val="0000FF"/>
          <w:sz w:val="28"/>
          <w:szCs w:val="28"/>
          <w:rtl/>
        </w:rPr>
        <w:t xml:space="preserve"> بلانيول وريبير وسافاتييه فقرة 1516 </w:t>
      </w:r>
      <w:r w:rsidRPr="00923B1A">
        <w:rPr>
          <w:color w:val="0000FF"/>
          <w:sz w:val="28"/>
          <w:szCs w:val="28"/>
          <w:rtl/>
        </w:rPr>
        <w:t>–</w:t>
      </w:r>
      <w:r w:rsidRPr="00923B1A">
        <w:rPr>
          <w:rFonts w:hint="cs"/>
          <w:color w:val="0000FF"/>
          <w:sz w:val="28"/>
          <w:szCs w:val="28"/>
          <w:rtl/>
        </w:rPr>
        <w:t xml:space="preserve"> بلانيول وريبير وبولانجيه 2 فقرة 1992 </w:t>
      </w:r>
      <w:r w:rsidRPr="00923B1A">
        <w:rPr>
          <w:color w:val="0000FF"/>
          <w:sz w:val="28"/>
          <w:szCs w:val="28"/>
          <w:rtl/>
        </w:rPr>
        <w:t>–</w:t>
      </w:r>
      <w:r w:rsidRPr="00923B1A">
        <w:rPr>
          <w:rFonts w:hint="cs"/>
          <w:color w:val="0000FF"/>
          <w:sz w:val="28"/>
          <w:szCs w:val="28"/>
          <w:rtl/>
        </w:rPr>
        <w:t xml:space="preserve"> أنسيكلوبيدي داللوز 1 لفظ </w:t>
      </w:r>
      <w:r w:rsidRPr="00923B1A">
        <w:rPr>
          <w:rFonts w:hint="cs"/>
          <w:color w:val="0000FF"/>
          <w:sz w:val="28"/>
          <w:szCs w:val="28"/>
        </w:rPr>
        <w:t>cautionnement</w:t>
      </w:r>
      <w:r w:rsidRPr="00923B1A">
        <w:rPr>
          <w:rFonts w:hint="cs"/>
          <w:color w:val="0000FF"/>
          <w:sz w:val="28"/>
          <w:szCs w:val="28"/>
          <w:rtl/>
        </w:rPr>
        <w:t xml:space="preserve"> فقرة 24</w:t>
      </w:r>
      <w:r>
        <w:rPr>
          <w:rFonts w:hint="cs"/>
          <w:color w:val="0000FF"/>
          <w:sz w:val="28"/>
          <w:szCs w:val="28"/>
          <w:rtl/>
        </w:rPr>
        <w:t xml:space="preserve"> .</w:t>
      </w:r>
    </w:p>
  </w:footnote>
  <w:footnote w:id="11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اقتبس هذان النصان من التقنين البولوني </w:t>
      </w:r>
      <w:r>
        <w:rPr>
          <w:rFonts w:hint="cs"/>
          <w:color w:val="0000FF"/>
          <w:sz w:val="28"/>
          <w:szCs w:val="28"/>
          <w:rtl/>
        </w:rPr>
        <w:t xml:space="preserve">( </w:t>
      </w:r>
      <w:r w:rsidRPr="00923B1A">
        <w:rPr>
          <w:rFonts w:hint="cs"/>
          <w:color w:val="0000FF"/>
          <w:sz w:val="28"/>
          <w:szCs w:val="28"/>
          <w:rtl/>
        </w:rPr>
        <w:t>م 629 و 630</w:t>
      </w:r>
      <w:r>
        <w:rPr>
          <w:rFonts w:hint="cs"/>
          <w:color w:val="0000FF"/>
          <w:sz w:val="28"/>
          <w:szCs w:val="28"/>
          <w:rtl/>
        </w:rPr>
        <w:t xml:space="preserve"> ) .</w:t>
      </w:r>
      <w:r w:rsidRPr="00923B1A">
        <w:rPr>
          <w:rFonts w:hint="cs"/>
          <w:color w:val="0000FF"/>
          <w:sz w:val="28"/>
          <w:szCs w:val="28"/>
          <w:rtl/>
        </w:rPr>
        <w:t xml:space="preserve"> وجاء التقنين الألماني </w:t>
      </w:r>
      <w:r>
        <w:rPr>
          <w:rFonts w:hint="cs"/>
          <w:color w:val="0000FF"/>
          <w:sz w:val="28"/>
          <w:szCs w:val="28"/>
          <w:rtl/>
        </w:rPr>
        <w:t xml:space="preserve">( </w:t>
      </w:r>
      <w:r w:rsidRPr="00923B1A">
        <w:rPr>
          <w:rFonts w:hint="cs"/>
          <w:color w:val="0000FF"/>
          <w:sz w:val="28"/>
          <w:szCs w:val="28"/>
          <w:rtl/>
        </w:rPr>
        <w:t>م 778</w:t>
      </w:r>
      <w:r>
        <w:rPr>
          <w:rFonts w:hint="cs"/>
          <w:color w:val="0000FF"/>
          <w:sz w:val="28"/>
          <w:szCs w:val="28"/>
          <w:rtl/>
        </w:rPr>
        <w:t xml:space="preserve"> )</w:t>
      </w:r>
      <w:r w:rsidRPr="00923B1A">
        <w:rPr>
          <w:rFonts w:hint="cs"/>
          <w:color w:val="0000FF"/>
          <w:sz w:val="28"/>
          <w:szCs w:val="28"/>
          <w:rtl/>
        </w:rPr>
        <w:t xml:space="preserve"> والمشروع الفرنسي الإيطالي </w:t>
      </w:r>
      <w:r>
        <w:rPr>
          <w:rFonts w:hint="cs"/>
          <w:color w:val="0000FF"/>
          <w:sz w:val="28"/>
          <w:szCs w:val="28"/>
          <w:rtl/>
        </w:rPr>
        <w:t xml:space="preserve">( </w:t>
      </w:r>
      <w:r w:rsidRPr="00923B1A">
        <w:rPr>
          <w:rFonts w:hint="cs"/>
          <w:color w:val="0000FF"/>
          <w:sz w:val="28"/>
          <w:szCs w:val="28"/>
          <w:rtl/>
        </w:rPr>
        <w:t>م 708 و 709</w:t>
      </w:r>
      <w:r>
        <w:rPr>
          <w:rFonts w:hint="cs"/>
          <w:color w:val="0000FF"/>
          <w:sz w:val="28"/>
          <w:szCs w:val="28"/>
          <w:rtl/>
        </w:rPr>
        <w:t xml:space="preserve"> )</w:t>
      </w:r>
      <w:r w:rsidRPr="00923B1A">
        <w:rPr>
          <w:rFonts w:hint="cs"/>
          <w:color w:val="0000FF"/>
          <w:sz w:val="28"/>
          <w:szCs w:val="28"/>
          <w:rtl/>
        </w:rPr>
        <w:t xml:space="preserve"> بأحكام مماثلة </w:t>
      </w:r>
      <w:r>
        <w:rPr>
          <w:rFonts w:hint="cs"/>
          <w:color w:val="0000FF"/>
          <w:sz w:val="28"/>
          <w:szCs w:val="28"/>
          <w:rtl/>
        </w:rPr>
        <w:t xml:space="preserve">( </w:t>
      </w:r>
      <w:r w:rsidRPr="00923B1A">
        <w:rPr>
          <w:rFonts w:hint="cs"/>
          <w:color w:val="0000FF"/>
          <w:sz w:val="28"/>
          <w:szCs w:val="28"/>
          <w:rtl/>
        </w:rPr>
        <w:t>انظر مجموعة الأعمال التحضيرية 5 ص 455 في الهامش</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ونصت المادة 1054 من قانون الموجبات والعقود اللبناني على أن "من كلف شخصاً فتح اعتماد مالي لشخص ثالث</w:t>
      </w:r>
      <w:r>
        <w:rPr>
          <w:rFonts w:hint="cs"/>
          <w:color w:val="0000FF"/>
          <w:sz w:val="28"/>
          <w:szCs w:val="28"/>
          <w:rtl/>
        </w:rPr>
        <w:t xml:space="preserve"> ،</w:t>
      </w:r>
      <w:r w:rsidRPr="00923B1A">
        <w:rPr>
          <w:rFonts w:hint="cs"/>
          <w:color w:val="0000FF"/>
          <w:sz w:val="28"/>
          <w:szCs w:val="28"/>
          <w:rtl/>
        </w:rPr>
        <w:t xml:space="preserve"> آخذاً نفسه أن يكون مسئولا عنه</w:t>
      </w:r>
      <w:r>
        <w:rPr>
          <w:rFonts w:hint="cs"/>
          <w:color w:val="0000FF"/>
          <w:sz w:val="28"/>
          <w:szCs w:val="28"/>
          <w:rtl/>
        </w:rPr>
        <w:t xml:space="preserve"> ،</w:t>
      </w:r>
      <w:r w:rsidRPr="00923B1A">
        <w:rPr>
          <w:rFonts w:hint="cs"/>
          <w:color w:val="0000FF"/>
          <w:sz w:val="28"/>
          <w:szCs w:val="28"/>
          <w:rtl/>
        </w:rPr>
        <w:t xml:space="preserve"> يلزم بصفة كونه كفيلا بالموجبات التي عقدها الشخص الثالث على قدر القيمة للتي عينها له </w:t>
      </w:r>
      <w:r w:rsidRPr="00923B1A">
        <w:rPr>
          <w:color w:val="0000FF"/>
          <w:sz w:val="28"/>
          <w:szCs w:val="28"/>
          <w:rtl/>
        </w:rPr>
        <w:t>–</w:t>
      </w:r>
      <w:r w:rsidRPr="00923B1A">
        <w:rPr>
          <w:rFonts w:hint="cs"/>
          <w:color w:val="0000FF"/>
          <w:sz w:val="28"/>
          <w:szCs w:val="28"/>
          <w:rtl/>
        </w:rPr>
        <w:t xml:space="preserve"> وإذا لم يعين الكفيل قيمة ما كان مسئولا إلى الحد المعقول الذي يتفق مع حالة اشخص الذي فتح له الاعتماد </w:t>
      </w:r>
      <w:r w:rsidRPr="00923B1A">
        <w:rPr>
          <w:color w:val="0000FF"/>
          <w:sz w:val="28"/>
          <w:szCs w:val="28"/>
          <w:rtl/>
        </w:rPr>
        <w:t>–</w:t>
      </w:r>
      <w:r w:rsidRPr="00923B1A">
        <w:rPr>
          <w:rFonts w:hint="cs"/>
          <w:color w:val="0000FF"/>
          <w:sz w:val="28"/>
          <w:szCs w:val="28"/>
          <w:rtl/>
        </w:rPr>
        <w:t xml:space="preserve"> ويصح الرجوع عن الالتزام المنصوص عليه في الفقرة الأولى من هذه المادة</w:t>
      </w:r>
      <w:r>
        <w:rPr>
          <w:rFonts w:hint="cs"/>
          <w:color w:val="0000FF"/>
          <w:sz w:val="28"/>
          <w:szCs w:val="28"/>
          <w:rtl/>
        </w:rPr>
        <w:t xml:space="preserve"> ،</w:t>
      </w:r>
      <w:r w:rsidRPr="00923B1A">
        <w:rPr>
          <w:rFonts w:hint="cs"/>
          <w:color w:val="0000FF"/>
          <w:sz w:val="28"/>
          <w:szCs w:val="28"/>
          <w:rtl/>
        </w:rPr>
        <w:t xml:space="preserve"> ما دام الشخص الذي كلف فتح الاعتماد لم يشرع في تنفيذه</w:t>
      </w:r>
      <w:r>
        <w:rPr>
          <w:rFonts w:hint="cs"/>
          <w:color w:val="0000FF"/>
          <w:sz w:val="28"/>
          <w:szCs w:val="28"/>
          <w:rtl/>
        </w:rPr>
        <w:t xml:space="preserve"> .</w:t>
      </w:r>
      <w:r w:rsidRPr="00923B1A">
        <w:rPr>
          <w:rFonts w:hint="cs"/>
          <w:color w:val="0000FF"/>
          <w:sz w:val="28"/>
          <w:szCs w:val="28"/>
          <w:rtl/>
        </w:rPr>
        <w:t xml:space="preserve"> ولا يصح إثبات هذا الالتزام إلا خطأ"</w:t>
      </w:r>
      <w:r>
        <w:rPr>
          <w:rFonts w:hint="cs"/>
          <w:color w:val="0000FF"/>
          <w:sz w:val="28"/>
          <w:szCs w:val="28"/>
          <w:rtl/>
        </w:rPr>
        <w:t xml:space="preserve"> .</w:t>
      </w:r>
      <w:r w:rsidRPr="00923B1A">
        <w:rPr>
          <w:rFonts w:hint="cs"/>
          <w:color w:val="0000FF"/>
          <w:sz w:val="28"/>
          <w:szCs w:val="28"/>
          <w:rtl/>
        </w:rPr>
        <w:t xml:space="preserve"> </w:t>
      </w:r>
    </w:p>
  </w:footnote>
  <w:footnote w:id="11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455 </w:t>
      </w:r>
      <w:r w:rsidRPr="00923B1A">
        <w:rPr>
          <w:color w:val="0000FF"/>
          <w:sz w:val="28"/>
          <w:szCs w:val="28"/>
          <w:rtl/>
        </w:rPr>
        <w:t>–</w:t>
      </w:r>
      <w:r w:rsidRPr="00923B1A">
        <w:rPr>
          <w:rFonts w:hint="cs"/>
          <w:color w:val="0000FF"/>
          <w:sz w:val="28"/>
          <w:szCs w:val="28"/>
          <w:rtl/>
        </w:rPr>
        <w:t xml:space="preserve"> ص 457 في الهامش</w:t>
      </w:r>
      <w:r>
        <w:rPr>
          <w:rFonts w:hint="cs"/>
          <w:color w:val="0000FF"/>
          <w:sz w:val="28"/>
          <w:szCs w:val="28"/>
          <w:rtl/>
        </w:rPr>
        <w:t xml:space="preserve"> .</w:t>
      </w:r>
    </w:p>
  </w:footnote>
  <w:footnote w:id="11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424 في الهامش</w:t>
      </w:r>
      <w:r>
        <w:rPr>
          <w:rFonts w:hint="cs"/>
          <w:color w:val="0000FF"/>
          <w:sz w:val="28"/>
          <w:szCs w:val="28"/>
          <w:rtl/>
        </w:rPr>
        <w:t xml:space="preserve"> .</w:t>
      </w:r>
    </w:p>
  </w:footnote>
  <w:footnote w:id="11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جاء في المذكرة الإيضاحية للمشروع التمهيدي في هذا الصدد ما يأتي</w:t>
      </w:r>
      <w:r>
        <w:rPr>
          <w:rFonts w:hint="cs"/>
          <w:color w:val="0000FF"/>
          <w:sz w:val="28"/>
          <w:szCs w:val="28"/>
          <w:rtl/>
        </w:rPr>
        <w:t xml:space="preserve"> :</w:t>
      </w:r>
      <w:r w:rsidRPr="00923B1A">
        <w:rPr>
          <w:rFonts w:hint="cs"/>
          <w:color w:val="0000FF"/>
          <w:sz w:val="28"/>
          <w:szCs w:val="28"/>
          <w:rtl/>
        </w:rPr>
        <w:t xml:space="preserve"> "وكذلك لا تجوز كفالة الالتزام الطبيعي كفالة عينية أو شخصية </w:t>
      </w:r>
      <w:r w:rsidRPr="00923B1A">
        <w:rPr>
          <w:color w:val="0000FF"/>
          <w:sz w:val="28"/>
          <w:szCs w:val="28"/>
          <w:rtl/>
        </w:rPr>
        <w:t>–</w:t>
      </w:r>
      <w:r w:rsidRPr="00923B1A">
        <w:rPr>
          <w:rFonts w:hint="cs"/>
          <w:color w:val="0000FF"/>
          <w:sz w:val="28"/>
          <w:szCs w:val="28"/>
          <w:rtl/>
        </w:rPr>
        <w:t xml:space="preserve"> انظر عكس ذلك المادة 552 من التقنين الأرجنتيني </w:t>
      </w:r>
      <w:r w:rsidRPr="00923B1A">
        <w:rPr>
          <w:color w:val="0000FF"/>
          <w:sz w:val="28"/>
          <w:szCs w:val="28"/>
          <w:rtl/>
        </w:rPr>
        <w:t>–</w:t>
      </w:r>
      <w:r w:rsidRPr="00923B1A">
        <w:rPr>
          <w:rFonts w:hint="cs"/>
          <w:color w:val="0000FF"/>
          <w:sz w:val="28"/>
          <w:szCs w:val="28"/>
          <w:rtl/>
        </w:rPr>
        <w:t xml:space="preserve"> ما بقي في نطاق الواجبات الأدبية</w:t>
      </w:r>
      <w:r>
        <w:rPr>
          <w:rFonts w:hint="cs"/>
          <w:color w:val="0000FF"/>
          <w:sz w:val="28"/>
          <w:szCs w:val="28"/>
          <w:rtl/>
        </w:rPr>
        <w:t xml:space="preserve"> .</w:t>
      </w:r>
      <w:r w:rsidRPr="00923B1A">
        <w:rPr>
          <w:rFonts w:hint="cs"/>
          <w:color w:val="0000FF"/>
          <w:sz w:val="28"/>
          <w:szCs w:val="28"/>
          <w:rtl/>
        </w:rPr>
        <w:t xml:space="preserve"> ذلك أن الكفالة التزام تابع</w:t>
      </w:r>
      <w:r>
        <w:rPr>
          <w:rFonts w:hint="cs"/>
          <w:color w:val="0000FF"/>
          <w:sz w:val="28"/>
          <w:szCs w:val="28"/>
          <w:rtl/>
        </w:rPr>
        <w:t xml:space="preserve"> ،</w:t>
      </w:r>
      <w:r w:rsidRPr="00923B1A">
        <w:rPr>
          <w:rFonts w:hint="cs"/>
          <w:color w:val="0000FF"/>
          <w:sz w:val="28"/>
          <w:szCs w:val="28"/>
          <w:rtl/>
        </w:rPr>
        <w:t xml:space="preserve"> فلا يجوز</w:t>
      </w:r>
      <w:r>
        <w:rPr>
          <w:rFonts w:hint="cs"/>
          <w:color w:val="0000FF"/>
          <w:sz w:val="28"/>
          <w:szCs w:val="28"/>
          <w:rtl/>
        </w:rPr>
        <w:t xml:space="preserve"> ،</w:t>
      </w:r>
      <w:r w:rsidRPr="00923B1A">
        <w:rPr>
          <w:rFonts w:hint="cs"/>
          <w:color w:val="0000FF"/>
          <w:sz w:val="28"/>
          <w:szCs w:val="28"/>
          <w:rtl/>
        </w:rPr>
        <w:t xml:space="preserve"> والحال هذه</w:t>
      </w:r>
      <w:r>
        <w:rPr>
          <w:rFonts w:hint="cs"/>
          <w:color w:val="0000FF"/>
          <w:sz w:val="28"/>
          <w:szCs w:val="28"/>
          <w:rtl/>
        </w:rPr>
        <w:t xml:space="preserve"> ،</w:t>
      </w:r>
      <w:r w:rsidRPr="00923B1A">
        <w:rPr>
          <w:rFonts w:hint="cs"/>
          <w:color w:val="0000FF"/>
          <w:sz w:val="28"/>
          <w:szCs w:val="28"/>
          <w:rtl/>
        </w:rPr>
        <w:t xml:space="preserve"> أن تكون أفعل أثراً من الالتزام الأصيل</w:t>
      </w:r>
      <w:r>
        <w:rPr>
          <w:rFonts w:hint="cs"/>
          <w:color w:val="0000FF"/>
          <w:sz w:val="28"/>
          <w:szCs w:val="28"/>
          <w:rtl/>
        </w:rPr>
        <w:t xml:space="preserve"> .</w:t>
      </w:r>
      <w:r w:rsidRPr="00923B1A">
        <w:rPr>
          <w:rFonts w:hint="cs"/>
          <w:color w:val="0000FF"/>
          <w:sz w:val="28"/>
          <w:szCs w:val="28"/>
          <w:rtl/>
        </w:rPr>
        <w:t xml:space="preserve"> ولا وجه للقياس في هذا الشأن على كفالة التزام ناقص الأهلية</w:t>
      </w:r>
      <w:r>
        <w:rPr>
          <w:rFonts w:hint="cs"/>
          <w:color w:val="0000FF"/>
          <w:sz w:val="28"/>
          <w:szCs w:val="28"/>
          <w:rtl/>
        </w:rPr>
        <w:t xml:space="preserve"> ،</w:t>
      </w:r>
      <w:r w:rsidRPr="00923B1A">
        <w:rPr>
          <w:rFonts w:hint="cs"/>
          <w:color w:val="0000FF"/>
          <w:sz w:val="28"/>
          <w:szCs w:val="28"/>
          <w:rtl/>
        </w:rPr>
        <w:t xml:space="preserve"> فهذا الكفالة يكون لها حكم الصحة باعتبارها التزاماً أصيلا لا تابعا</w:t>
      </w:r>
      <w:r>
        <w:rPr>
          <w:rFonts w:hint="cs"/>
          <w:color w:val="0000FF"/>
          <w:sz w:val="28"/>
          <w:szCs w:val="28"/>
          <w:rtl/>
        </w:rPr>
        <w:t>ً .</w:t>
      </w:r>
      <w:r w:rsidRPr="00923B1A">
        <w:rPr>
          <w:rFonts w:hint="cs"/>
          <w:color w:val="0000FF"/>
          <w:sz w:val="28"/>
          <w:szCs w:val="28"/>
          <w:rtl/>
        </w:rPr>
        <w:t xml:space="preserve"> وصفوة القول أن كفالة الالتزام الطبيعي لا تصح إلا إذا اعترف به</w:t>
      </w:r>
      <w:r>
        <w:rPr>
          <w:rFonts w:hint="cs"/>
          <w:color w:val="0000FF"/>
          <w:sz w:val="28"/>
          <w:szCs w:val="28"/>
          <w:rtl/>
        </w:rPr>
        <w:t xml:space="preserve"> ،</w:t>
      </w:r>
      <w:r w:rsidRPr="00923B1A">
        <w:rPr>
          <w:rFonts w:hint="cs"/>
          <w:color w:val="0000FF"/>
          <w:sz w:val="28"/>
          <w:szCs w:val="28"/>
          <w:rtl/>
        </w:rPr>
        <w:t xml:space="preserve"> وألحق تفريقاً على ذلك بالالتزامات المدنية </w:t>
      </w:r>
      <w:r>
        <w:rPr>
          <w:rFonts w:hint="cs"/>
          <w:color w:val="0000FF"/>
          <w:sz w:val="28"/>
          <w:szCs w:val="28"/>
          <w:rtl/>
        </w:rPr>
        <w:t xml:space="preserve">( </w:t>
      </w:r>
      <w:r w:rsidRPr="00923B1A">
        <w:rPr>
          <w:rFonts w:hint="cs"/>
          <w:color w:val="0000FF"/>
          <w:sz w:val="28"/>
          <w:szCs w:val="28"/>
          <w:rtl/>
        </w:rPr>
        <w:t>م 277 من المشروع</w:t>
      </w:r>
      <w:r>
        <w:rPr>
          <w:rFonts w:hint="cs"/>
          <w:color w:val="0000FF"/>
          <w:sz w:val="28"/>
          <w:szCs w:val="28"/>
          <w:rtl/>
        </w:rPr>
        <w:t xml:space="preserve"> )</w:t>
      </w:r>
      <w:r w:rsidRPr="00923B1A">
        <w:rPr>
          <w:rFonts w:hint="cs"/>
          <w:color w:val="0000FF"/>
          <w:sz w:val="28"/>
          <w:szCs w:val="28"/>
          <w:rtl/>
        </w:rPr>
        <w:t xml:space="preserve"> ومما هو جدير بالذكر أنه القانون الروماني يجيز كفالة الالتزام الطبيعي كما يجيز القصاص فيه</w:t>
      </w:r>
      <w:r>
        <w:rPr>
          <w:rFonts w:hint="cs"/>
          <w:color w:val="0000FF"/>
          <w:sz w:val="28"/>
          <w:szCs w:val="28"/>
          <w:rtl/>
        </w:rPr>
        <w:t xml:space="preserve"> ،</w:t>
      </w:r>
      <w:r w:rsidRPr="00923B1A">
        <w:rPr>
          <w:rFonts w:hint="cs"/>
          <w:color w:val="0000FF"/>
          <w:sz w:val="28"/>
          <w:szCs w:val="28"/>
          <w:rtl/>
        </w:rPr>
        <w:t xml:space="preserve"> على خلاف ما هو متبع القانون الحديث" </w:t>
      </w:r>
      <w:r>
        <w:rPr>
          <w:rFonts w:hint="cs"/>
          <w:color w:val="0000FF"/>
          <w:sz w:val="28"/>
          <w:szCs w:val="28"/>
          <w:rtl/>
        </w:rPr>
        <w:t xml:space="preserve">( </w:t>
      </w:r>
      <w:r w:rsidRPr="00923B1A">
        <w:rPr>
          <w:rFonts w:hint="cs"/>
          <w:color w:val="0000FF"/>
          <w:sz w:val="28"/>
          <w:szCs w:val="28"/>
          <w:rtl/>
        </w:rPr>
        <w:t>مجموعة الأعمال التحضيرية 2 ص 502 هامش 1</w:t>
      </w:r>
      <w:r>
        <w:rPr>
          <w:rFonts w:hint="cs"/>
          <w:color w:val="0000FF"/>
          <w:sz w:val="28"/>
          <w:szCs w:val="28"/>
          <w:rtl/>
        </w:rPr>
        <w:t xml:space="preserve"> ) .</w:t>
      </w:r>
    </w:p>
  </w:footnote>
  <w:footnote w:id="11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2 ص 502 هامش 1</w:t>
      </w:r>
      <w:r>
        <w:rPr>
          <w:rFonts w:hint="cs"/>
          <w:color w:val="0000FF"/>
          <w:sz w:val="28"/>
          <w:szCs w:val="28"/>
          <w:rtl/>
        </w:rPr>
        <w:t xml:space="preserve"> .</w:t>
      </w:r>
    </w:p>
  </w:footnote>
  <w:footnote w:id="11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الوسيط 2 فقرة 403 ص 753 </w:t>
      </w:r>
      <w:r w:rsidRPr="00923B1A">
        <w:rPr>
          <w:color w:val="0000FF"/>
          <w:sz w:val="28"/>
          <w:szCs w:val="28"/>
          <w:rtl/>
        </w:rPr>
        <w:t>–</w:t>
      </w:r>
      <w:r w:rsidRPr="00923B1A">
        <w:rPr>
          <w:rFonts w:hint="cs"/>
          <w:color w:val="0000FF"/>
          <w:sz w:val="28"/>
          <w:szCs w:val="28"/>
          <w:rtl/>
        </w:rPr>
        <w:t xml:space="preserve"> وانظر لوران 17 فقرة 28 و 28 فقرة 141 </w:t>
      </w:r>
      <w:r w:rsidRPr="00923B1A">
        <w:rPr>
          <w:color w:val="0000FF"/>
          <w:sz w:val="28"/>
          <w:szCs w:val="28"/>
          <w:rtl/>
        </w:rPr>
        <w:t>–</w:t>
      </w:r>
      <w:r w:rsidRPr="00923B1A">
        <w:rPr>
          <w:rFonts w:hint="cs"/>
          <w:color w:val="0000FF"/>
          <w:sz w:val="28"/>
          <w:szCs w:val="28"/>
          <w:rtl/>
        </w:rPr>
        <w:t xml:space="preserve"> فقرة 142 </w:t>
      </w:r>
      <w:r w:rsidRPr="00923B1A">
        <w:rPr>
          <w:color w:val="0000FF"/>
          <w:sz w:val="28"/>
          <w:szCs w:val="28"/>
          <w:rtl/>
        </w:rPr>
        <w:t>–</w:t>
      </w:r>
      <w:r w:rsidRPr="00923B1A">
        <w:rPr>
          <w:rFonts w:hint="cs"/>
          <w:color w:val="0000FF"/>
          <w:sz w:val="28"/>
          <w:szCs w:val="28"/>
          <w:rtl/>
        </w:rPr>
        <w:t xml:space="preserve"> أوبري ورور 6 فقرة 424 ص 274 وهامش 5 </w:t>
      </w:r>
      <w:r w:rsidRPr="00923B1A">
        <w:rPr>
          <w:color w:val="0000FF"/>
          <w:sz w:val="28"/>
          <w:szCs w:val="28"/>
          <w:rtl/>
        </w:rPr>
        <w:t>–</w:t>
      </w:r>
      <w:r w:rsidRPr="00923B1A">
        <w:rPr>
          <w:rFonts w:hint="cs"/>
          <w:color w:val="0000FF"/>
          <w:sz w:val="28"/>
          <w:szCs w:val="28"/>
          <w:rtl/>
        </w:rPr>
        <w:t xml:space="preserve"> جوسران 2 فقرة 715 بلانيول وريبير وبولانجيه</w:t>
      </w:r>
      <w:r>
        <w:rPr>
          <w:rFonts w:hint="cs"/>
          <w:color w:val="0000FF"/>
          <w:sz w:val="28"/>
          <w:szCs w:val="28"/>
          <w:rtl/>
        </w:rPr>
        <w:t xml:space="preserve"> ،</w:t>
      </w:r>
      <w:r w:rsidRPr="00923B1A">
        <w:rPr>
          <w:rFonts w:hint="cs"/>
          <w:color w:val="0000FF"/>
          <w:sz w:val="28"/>
          <w:szCs w:val="28"/>
          <w:rtl/>
        </w:rPr>
        <w:t xml:space="preserve"> فقرة 1923 </w:t>
      </w:r>
      <w:r w:rsidRPr="00923B1A">
        <w:rPr>
          <w:color w:val="0000FF"/>
          <w:sz w:val="28"/>
          <w:szCs w:val="28"/>
          <w:rtl/>
        </w:rPr>
        <w:t>–</w:t>
      </w:r>
      <w:r w:rsidRPr="00923B1A">
        <w:rPr>
          <w:rFonts w:hint="cs"/>
          <w:color w:val="0000FF"/>
          <w:sz w:val="28"/>
          <w:szCs w:val="28"/>
          <w:rtl/>
        </w:rPr>
        <w:t xml:space="preserve"> كولان وكابينال ودي لامور انديير 2 فقرة 1393 </w:t>
      </w:r>
      <w:r w:rsidRPr="00923B1A">
        <w:rPr>
          <w:color w:val="0000FF"/>
          <w:sz w:val="28"/>
          <w:szCs w:val="28"/>
          <w:rtl/>
        </w:rPr>
        <w:t>–</w:t>
      </w:r>
      <w:r w:rsidRPr="00923B1A">
        <w:rPr>
          <w:rFonts w:hint="cs"/>
          <w:color w:val="0000FF"/>
          <w:sz w:val="28"/>
          <w:szCs w:val="28"/>
          <w:rtl/>
        </w:rPr>
        <w:t xml:space="preserve"> بيدان وفواران فقرة 85 </w:t>
      </w:r>
      <w:r w:rsidRPr="00923B1A">
        <w:rPr>
          <w:color w:val="0000FF"/>
          <w:sz w:val="28"/>
          <w:szCs w:val="28"/>
          <w:rtl/>
        </w:rPr>
        <w:t>–</w:t>
      </w:r>
      <w:r w:rsidRPr="00923B1A">
        <w:rPr>
          <w:rFonts w:hint="cs"/>
          <w:color w:val="0000FF"/>
          <w:sz w:val="28"/>
          <w:szCs w:val="28"/>
          <w:rtl/>
        </w:rPr>
        <w:t xml:space="preserve"> محمد كامل مرسي فقرة 40 </w:t>
      </w:r>
      <w:r w:rsidRPr="00923B1A">
        <w:rPr>
          <w:color w:val="0000FF"/>
          <w:sz w:val="28"/>
          <w:szCs w:val="28"/>
          <w:rtl/>
        </w:rPr>
        <w:t>–</w:t>
      </w:r>
      <w:r w:rsidRPr="00923B1A">
        <w:rPr>
          <w:rFonts w:hint="cs"/>
          <w:color w:val="0000FF"/>
          <w:sz w:val="28"/>
          <w:szCs w:val="28"/>
          <w:rtl/>
        </w:rPr>
        <w:t xml:space="preserve"> عبد الفتاح عبد الباقي فقرة 45 </w:t>
      </w:r>
      <w:r w:rsidRPr="00923B1A">
        <w:rPr>
          <w:color w:val="0000FF"/>
          <w:sz w:val="28"/>
          <w:szCs w:val="28"/>
          <w:rtl/>
        </w:rPr>
        <w:t>–</w:t>
      </w:r>
      <w:r w:rsidRPr="00923B1A">
        <w:rPr>
          <w:rFonts w:hint="cs"/>
          <w:color w:val="0000FF"/>
          <w:sz w:val="28"/>
          <w:szCs w:val="28"/>
          <w:rtl/>
        </w:rPr>
        <w:t xml:space="preserve"> سليمان مرقس فقرة 31 </w:t>
      </w:r>
      <w:r w:rsidRPr="00923B1A">
        <w:rPr>
          <w:color w:val="0000FF"/>
          <w:sz w:val="28"/>
          <w:szCs w:val="28"/>
          <w:rtl/>
        </w:rPr>
        <w:t>–</w:t>
      </w:r>
      <w:r w:rsidRPr="00923B1A">
        <w:rPr>
          <w:rFonts w:hint="cs"/>
          <w:color w:val="0000FF"/>
          <w:sz w:val="28"/>
          <w:szCs w:val="28"/>
          <w:rtl/>
        </w:rPr>
        <w:t xml:space="preserve"> منصور مصطفى منصور فقرة 19 </w:t>
      </w:r>
      <w:r w:rsidRPr="00923B1A">
        <w:rPr>
          <w:color w:val="0000FF"/>
          <w:sz w:val="28"/>
          <w:szCs w:val="28"/>
          <w:rtl/>
        </w:rPr>
        <w:t>–</w:t>
      </w:r>
      <w:r w:rsidRPr="00923B1A">
        <w:rPr>
          <w:rFonts w:hint="cs"/>
          <w:color w:val="0000FF"/>
          <w:sz w:val="28"/>
          <w:szCs w:val="28"/>
          <w:rtl/>
        </w:rPr>
        <w:t xml:space="preserve"> وانظر عكس ذلك وأنه تجوز كفالة الالتزام الطبيعي ويكون التزام الكفيل التزاماً مدنياً</w:t>
      </w:r>
      <w:r>
        <w:rPr>
          <w:rFonts w:hint="cs"/>
          <w:color w:val="0000FF"/>
          <w:sz w:val="28"/>
          <w:szCs w:val="28"/>
          <w:rtl/>
        </w:rPr>
        <w:t xml:space="preserve"> :</w:t>
      </w:r>
      <w:r w:rsidRPr="00923B1A">
        <w:rPr>
          <w:rFonts w:hint="cs"/>
          <w:color w:val="0000FF"/>
          <w:sz w:val="28"/>
          <w:szCs w:val="28"/>
          <w:rtl/>
        </w:rPr>
        <w:t xml:space="preserve"> بودري وفال فقرة 947 </w:t>
      </w:r>
      <w:r w:rsidRPr="00923B1A">
        <w:rPr>
          <w:color w:val="0000FF"/>
          <w:sz w:val="28"/>
          <w:szCs w:val="28"/>
          <w:rtl/>
        </w:rPr>
        <w:t>–</w:t>
      </w:r>
      <w:r w:rsidRPr="00923B1A">
        <w:rPr>
          <w:rFonts w:hint="cs"/>
          <w:color w:val="0000FF"/>
          <w:sz w:val="28"/>
          <w:szCs w:val="28"/>
          <w:rtl/>
        </w:rPr>
        <w:t xml:space="preserve"> بون 2 فقرة 36 وما بعدها </w:t>
      </w:r>
      <w:r w:rsidRPr="00923B1A">
        <w:rPr>
          <w:color w:val="0000FF"/>
          <w:sz w:val="28"/>
          <w:szCs w:val="28"/>
          <w:rtl/>
        </w:rPr>
        <w:t>–</w:t>
      </w:r>
      <w:r w:rsidRPr="00923B1A">
        <w:rPr>
          <w:rFonts w:hint="cs"/>
          <w:color w:val="0000FF"/>
          <w:sz w:val="28"/>
          <w:szCs w:val="28"/>
          <w:rtl/>
        </w:rPr>
        <w:t xml:space="preserve"> لارومبيير م 1235 فقرة 10 </w:t>
      </w:r>
      <w:r w:rsidRPr="00923B1A">
        <w:rPr>
          <w:color w:val="0000FF"/>
          <w:sz w:val="28"/>
          <w:szCs w:val="28"/>
          <w:rtl/>
        </w:rPr>
        <w:t>–</w:t>
      </w:r>
      <w:r w:rsidRPr="00923B1A">
        <w:rPr>
          <w:rFonts w:hint="cs"/>
          <w:color w:val="0000FF"/>
          <w:sz w:val="28"/>
          <w:szCs w:val="28"/>
          <w:rtl/>
        </w:rPr>
        <w:t xml:space="preserve"> كولميه دي سانتيره فقرة 174 مكررة 3 </w:t>
      </w:r>
      <w:r w:rsidRPr="00923B1A">
        <w:rPr>
          <w:color w:val="0000FF"/>
          <w:sz w:val="28"/>
          <w:szCs w:val="28"/>
          <w:rtl/>
        </w:rPr>
        <w:t>–</w:t>
      </w:r>
      <w:r w:rsidRPr="00923B1A">
        <w:rPr>
          <w:rFonts w:hint="cs"/>
          <w:color w:val="0000FF"/>
          <w:sz w:val="28"/>
          <w:szCs w:val="28"/>
          <w:rtl/>
        </w:rPr>
        <w:t xml:space="preserve"> بلانيول وريبير وسافاتييه فقرة 1517 </w:t>
      </w:r>
      <w:r>
        <w:rPr>
          <w:rFonts w:hint="cs"/>
          <w:color w:val="0000FF"/>
          <w:sz w:val="28"/>
          <w:szCs w:val="28"/>
          <w:rtl/>
        </w:rPr>
        <w:t xml:space="preserve">( </w:t>
      </w:r>
      <w:r w:rsidRPr="00923B1A">
        <w:rPr>
          <w:rFonts w:hint="cs"/>
          <w:color w:val="0000FF"/>
          <w:sz w:val="28"/>
          <w:szCs w:val="28"/>
          <w:rtl/>
        </w:rPr>
        <w:t>ولكنه لا يجيز للكفيل إذا وفي الالتزام الطبيعي المكفول أن يرجع على المدين بهذا الالتزام الطبيعي</w:t>
      </w:r>
      <w:r>
        <w:rPr>
          <w:rFonts w:hint="cs"/>
          <w:color w:val="0000FF"/>
          <w:sz w:val="28"/>
          <w:szCs w:val="28"/>
          <w:rtl/>
        </w:rPr>
        <w:t xml:space="preserve"> ،</w:t>
      </w:r>
      <w:r w:rsidRPr="00923B1A">
        <w:rPr>
          <w:rFonts w:hint="cs"/>
          <w:color w:val="0000FF"/>
          <w:sz w:val="28"/>
          <w:szCs w:val="28"/>
          <w:rtl/>
        </w:rPr>
        <w:t xml:space="preserve"> فهو يفترض إذن أن الكفيل قد كفل باعتباره مديناً أصلياً دنيا طبيعياً وهو على علم بذلك</w:t>
      </w:r>
      <w:r>
        <w:rPr>
          <w:rFonts w:hint="cs"/>
          <w:color w:val="0000FF"/>
          <w:sz w:val="28"/>
          <w:szCs w:val="28"/>
          <w:rtl/>
        </w:rPr>
        <w:t xml:space="preserve"> ) .</w:t>
      </w:r>
      <w:r w:rsidRPr="00923B1A">
        <w:rPr>
          <w:rFonts w:hint="cs"/>
          <w:color w:val="0000FF"/>
          <w:sz w:val="28"/>
          <w:szCs w:val="28"/>
          <w:rtl/>
        </w:rPr>
        <w:t xml:space="preserve"> وقد قضت محكمة الاستئناف المختلطة بجواز كفالة الالتزام الطبيعي كفالة يترتب بموجبها في ذمة الكفيل التزام مدني 0استئناف مختلط 27 ديسمبر سنة 1928م 41 ص 142</w:t>
      </w:r>
      <w:r>
        <w:rPr>
          <w:rFonts w:hint="cs"/>
          <w:color w:val="0000FF"/>
          <w:sz w:val="28"/>
          <w:szCs w:val="28"/>
          <w:rtl/>
        </w:rPr>
        <w:t xml:space="preserve"> ) .</w:t>
      </w:r>
      <w:r w:rsidRPr="00923B1A">
        <w:rPr>
          <w:rFonts w:hint="cs"/>
          <w:color w:val="0000FF"/>
          <w:sz w:val="28"/>
          <w:szCs w:val="28"/>
          <w:rtl/>
        </w:rPr>
        <w:t xml:space="preserve"> </w:t>
      </w:r>
    </w:p>
  </w:footnote>
  <w:footnote w:id="11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21 في آخرها</w:t>
      </w:r>
      <w:r>
        <w:rPr>
          <w:rFonts w:hint="cs"/>
          <w:color w:val="0000FF"/>
          <w:sz w:val="28"/>
          <w:szCs w:val="28"/>
          <w:rtl/>
        </w:rPr>
        <w:t xml:space="preserve"> .</w:t>
      </w:r>
    </w:p>
  </w:footnote>
  <w:footnote w:id="11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2 فقرة 403 ص 754 </w:t>
      </w:r>
      <w:r w:rsidRPr="00923B1A">
        <w:rPr>
          <w:color w:val="0000FF"/>
          <w:sz w:val="28"/>
          <w:szCs w:val="28"/>
          <w:rtl/>
        </w:rPr>
        <w:t>–</w:t>
      </w:r>
      <w:r w:rsidRPr="00923B1A">
        <w:rPr>
          <w:rFonts w:hint="cs"/>
          <w:color w:val="0000FF"/>
          <w:sz w:val="28"/>
          <w:szCs w:val="28"/>
          <w:rtl/>
        </w:rPr>
        <w:t xml:space="preserve"> أما إذا انقلب الالتزام الطبيعي التزاماً مدنياً عن طريق الوعد بالوفاء به</w:t>
      </w:r>
      <w:r>
        <w:rPr>
          <w:rFonts w:hint="cs"/>
          <w:color w:val="0000FF"/>
          <w:sz w:val="28"/>
          <w:szCs w:val="28"/>
          <w:rtl/>
        </w:rPr>
        <w:t xml:space="preserve"> ،</w:t>
      </w:r>
      <w:r w:rsidRPr="00923B1A">
        <w:rPr>
          <w:rFonts w:hint="cs"/>
          <w:color w:val="0000FF"/>
          <w:sz w:val="28"/>
          <w:szCs w:val="28"/>
          <w:rtl/>
        </w:rPr>
        <w:t xml:space="preserve"> فإنه تجوز كفالته بالتزام مدني شأنه في ذلك شأن أي التزام مدني آخر</w:t>
      </w:r>
      <w:r>
        <w:rPr>
          <w:rFonts w:hint="cs"/>
          <w:color w:val="0000FF"/>
          <w:sz w:val="28"/>
          <w:szCs w:val="28"/>
          <w:rtl/>
        </w:rPr>
        <w:t xml:space="preserve"> ،</w:t>
      </w:r>
      <w:r w:rsidRPr="00923B1A">
        <w:rPr>
          <w:rFonts w:hint="cs"/>
          <w:color w:val="0000FF"/>
          <w:sz w:val="28"/>
          <w:szCs w:val="28"/>
          <w:rtl/>
        </w:rPr>
        <w:t xml:space="preserve"> ويعد وعداً ضمنياً بوفاء التزام طبيعي أن يقدم المدين بهذا الالتزام كفالة شخصية أو رهنا أو كفالة عينية </w:t>
      </w:r>
      <w:r>
        <w:rPr>
          <w:rFonts w:hint="cs"/>
          <w:color w:val="0000FF"/>
          <w:sz w:val="28"/>
          <w:szCs w:val="28"/>
          <w:rtl/>
        </w:rPr>
        <w:t xml:space="preserve">( </w:t>
      </w:r>
      <w:r w:rsidRPr="00923B1A">
        <w:rPr>
          <w:rFonts w:hint="cs"/>
          <w:color w:val="0000FF"/>
          <w:sz w:val="28"/>
          <w:szCs w:val="28"/>
          <w:rtl/>
        </w:rPr>
        <w:t xml:space="preserve">الوسيط 2 فقرة 403 ص 754 هامش 3 </w:t>
      </w:r>
      <w:r w:rsidRPr="00923B1A">
        <w:rPr>
          <w:color w:val="0000FF"/>
          <w:sz w:val="28"/>
          <w:szCs w:val="28"/>
          <w:rtl/>
        </w:rPr>
        <w:t>–</w:t>
      </w:r>
      <w:r w:rsidRPr="00923B1A">
        <w:rPr>
          <w:rFonts w:hint="cs"/>
          <w:color w:val="0000FF"/>
          <w:sz w:val="28"/>
          <w:szCs w:val="28"/>
          <w:rtl/>
        </w:rPr>
        <w:t xml:space="preserve"> بلانيول وريبير وردوان 7 فقرة 995 </w:t>
      </w:r>
      <w:r w:rsidRPr="00923B1A">
        <w:rPr>
          <w:color w:val="0000FF"/>
          <w:sz w:val="28"/>
          <w:szCs w:val="28"/>
          <w:rtl/>
        </w:rPr>
        <w:t>–</w:t>
      </w:r>
      <w:r w:rsidRPr="00923B1A">
        <w:rPr>
          <w:rFonts w:hint="cs"/>
          <w:color w:val="0000FF"/>
          <w:sz w:val="28"/>
          <w:szCs w:val="28"/>
          <w:rtl/>
        </w:rPr>
        <w:t xml:space="preserve"> فقرة 996</w:t>
      </w:r>
      <w:r>
        <w:rPr>
          <w:rFonts w:hint="cs"/>
          <w:color w:val="0000FF"/>
          <w:sz w:val="28"/>
          <w:szCs w:val="28"/>
          <w:rtl/>
        </w:rPr>
        <w:t xml:space="preserve"> ) .</w:t>
      </w:r>
    </w:p>
  </w:footnote>
  <w:footnote w:id="11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13</w:t>
      </w:r>
      <w:r>
        <w:rPr>
          <w:rFonts w:hint="cs"/>
          <w:color w:val="0000FF"/>
          <w:sz w:val="28"/>
          <w:szCs w:val="28"/>
          <w:rtl/>
        </w:rPr>
        <w:t xml:space="preserve"> .</w:t>
      </w:r>
    </w:p>
  </w:footnote>
  <w:footnote w:id="11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1138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"1- لا يصح أن تجاوز الكفالة ما هو مستحق في ذمة المدين</w:t>
      </w:r>
      <w:r>
        <w:rPr>
          <w:rFonts w:hint="cs"/>
          <w:color w:val="0000FF"/>
          <w:sz w:val="28"/>
          <w:szCs w:val="28"/>
          <w:rtl/>
        </w:rPr>
        <w:t xml:space="preserve"> ،</w:t>
      </w:r>
      <w:r w:rsidRPr="00923B1A">
        <w:rPr>
          <w:rFonts w:hint="cs"/>
          <w:color w:val="0000FF"/>
          <w:sz w:val="28"/>
          <w:szCs w:val="28"/>
          <w:rtl/>
        </w:rPr>
        <w:t xml:space="preserve"> ولا أن تعقد بشروط أشد</w:t>
      </w:r>
      <w:r>
        <w:rPr>
          <w:rFonts w:hint="cs"/>
          <w:color w:val="0000FF"/>
          <w:sz w:val="28"/>
          <w:szCs w:val="28"/>
          <w:rtl/>
        </w:rPr>
        <w:t xml:space="preserve"> .</w:t>
      </w:r>
      <w:r w:rsidRPr="00923B1A">
        <w:rPr>
          <w:rFonts w:hint="cs"/>
          <w:color w:val="0000FF"/>
          <w:sz w:val="28"/>
          <w:szCs w:val="28"/>
          <w:rtl/>
        </w:rPr>
        <w:t xml:space="preserve"> 2- ولكن تجوز الكفالة في جزء من الدين</w:t>
      </w:r>
      <w:r>
        <w:rPr>
          <w:rFonts w:hint="cs"/>
          <w:color w:val="0000FF"/>
          <w:sz w:val="28"/>
          <w:szCs w:val="28"/>
          <w:rtl/>
        </w:rPr>
        <w:t xml:space="preserve"> ،</w:t>
      </w:r>
      <w:r w:rsidRPr="00923B1A">
        <w:rPr>
          <w:rFonts w:hint="cs"/>
          <w:color w:val="0000FF"/>
          <w:sz w:val="28"/>
          <w:szCs w:val="28"/>
          <w:rtl/>
        </w:rPr>
        <w:t xml:space="preserve"> أو بشروط أخف</w:t>
      </w:r>
      <w:r>
        <w:rPr>
          <w:rFonts w:hint="cs"/>
          <w:color w:val="0000FF"/>
          <w:sz w:val="28"/>
          <w:szCs w:val="28"/>
          <w:rtl/>
        </w:rPr>
        <w:t xml:space="preserve"> .</w:t>
      </w:r>
      <w:r w:rsidRPr="00923B1A">
        <w:rPr>
          <w:rFonts w:hint="cs"/>
          <w:color w:val="0000FF"/>
          <w:sz w:val="28"/>
          <w:szCs w:val="28"/>
          <w:rtl/>
        </w:rPr>
        <w:t xml:space="preserve"> 3- ولا تكون الكفالة التي تعقد بشروط أشد صحيحة إلا في حدود الالتزام الأصلي"</w:t>
      </w:r>
      <w:r>
        <w:rPr>
          <w:rFonts w:hint="cs"/>
          <w:color w:val="0000FF"/>
          <w:sz w:val="28"/>
          <w:szCs w:val="28"/>
          <w:rtl/>
        </w:rPr>
        <w:t xml:space="preserve"> .</w:t>
      </w:r>
      <w:r w:rsidRPr="00923B1A">
        <w:rPr>
          <w:rFonts w:hint="cs"/>
          <w:color w:val="0000FF"/>
          <w:sz w:val="28"/>
          <w:szCs w:val="28"/>
          <w:rtl/>
        </w:rPr>
        <w:t xml:space="preserve"> وف لجنة المراجعة حذفت الفقرة الثانية لأن حكمها مستفاد من حكم الفقرتين الأولى والثانية</w:t>
      </w:r>
      <w:r>
        <w:rPr>
          <w:rFonts w:hint="cs"/>
          <w:color w:val="0000FF"/>
          <w:sz w:val="28"/>
          <w:szCs w:val="28"/>
          <w:rtl/>
        </w:rPr>
        <w:t xml:space="preserve"> ،</w:t>
      </w:r>
      <w:r w:rsidRPr="00923B1A">
        <w:rPr>
          <w:rFonts w:hint="cs"/>
          <w:color w:val="0000FF"/>
          <w:sz w:val="28"/>
          <w:szCs w:val="28"/>
          <w:rtl/>
        </w:rPr>
        <w:t xml:space="preserve"> وعدلت صياغة الفقرتين الأولى والثانية بما يجعل المعنى أكثر وضوحاً</w:t>
      </w:r>
      <w:r>
        <w:rPr>
          <w:rFonts w:hint="cs"/>
          <w:color w:val="0000FF"/>
          <w:sz w:val="28"/>
          <w:szCs w:val="28"/>
          <w:rtl/>
        </w:rPr>
        <w:t xml:space="preserve"> ،</w:t>
      </w:r>
      <w:r w:rsidRPr="00923B1A">
        <w:rPr>
          <w:rFonts w:hint="cs"/>
          <w:color w:val="0000FF"/>
          <w:sz w:val="28"/>
          <w:szCs w:val="28"/>
          <w:rtl/>
        </w:rPr>
        <w:t xml:space="preserve"> فصار النص</w:t>
      </w:r>
      <w:r>
        <w:rPr>
          <w:rFonts w:hint="cs"/>
          <w:color w:val="0000FF"/>
          <w:sz w:val="28"/>
          <w:szCs w:val="28"/>
          <w:rtl/>
        </w:rPr>
        <w:t xml:space="preserve"> ،</w:t>
      </w:r>
      <w:r w:rsidRPr="00923B1A">
        <w:rPr>
          <w:rFonts w:hint="cs"/>
          <w:color w:val="0000FF"/>
          <w:sz w:val="28"/>
          <w:szCs w:val="28"/>
          <w:rtl/>
        </w:rPr>
        <w:t xml:space="preserve"> تحت رقم 849 في المشروع النهائي</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عليه مجلس النواب تحت رقم 847</w:t>
      </w:r>
      <w:r>
        <w:rPr>
          <w:rFonts w:hint="cs"/>
          <w:color w:val="0000FF"/>
          <w:sz w:val="28"/>
          <w:szCs w:val="28"/>
          <w:rtl/>
        </w:rPr>
        <w:t xml:space="preserve"> ،</w:t>
      </w:r>
      <w:r w:rsidRPr="00923B1A">
        <w:rPr>
          <w:rFonts w:hint="cs"/>
          <w:color w:val="0000FF"/>
          <w:sz w:val="28"/>
          <w:szCs w:val="28"/>
          <w:rtl/>
        </w:rPr>
        <w:t xml:space="preserve"> ثم مجلس الشيوخ تحت رقم 780 </w:t>
      </w:r>
      <w:r>
        <w:rPr>
          <w:rFonts w:hint="cs"/>
          <w:color w:val="0000FF"/>
          <w:sz w:val="28"/>
          <w:szCs w:val="28"/>
          <w:rtl/>
        </w:rPr>
        <w:t xml:space="preserve">( </w:t>
      </w:r>
      <w:r w:rsidRPr="00923B1A">
        <w:rPr>
          <w:rFonts w:hint="cs"/>
          <w:color w:val="0000FF"/>
          <w:sz w:val="28"/>
          <w:szCs w:val="28"/>
          <w:rtl/>
        </w:rPr>
        <w:t xml:space="preserve">مجموعة الأعمال التحضيرية 5 ص 461 </w:t>
      </w:r>
      <w:r w:rsidRPr="00923B1A">
        <w:rPr>
          <w:color w:val="0000FF"/>
          <w:sz w:val="28"/>
          <w:szCs w:val="28"/>
          <w:rtl/>
        </w:rPr>
        <w:t>–</w:t>
      </w:r>
      <w:r w:rsidRPr="00923B1A">
        <w:rPr>
          <w:rFonts w:hint="cs"/>
          <w:color w:val="0000FF"/>
          <w:sz w:val="28"/>
          <w:szCs w:val="28"/>
          <w:rtl/>
        </w:rPr>
        <w:t xml:space="preserve"> ص 463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وقد جاء في المذكرة الإيضاحية للمشروع التمهيدي في خصوص نص هذا المشروع</w:t>
      </w:r>
      <w:r>
        <w:rPr>
          <w:rFonts w:hint="cs"/>
          <w:color w:val="0000FF"/>
          <w:sz w:val="28"/>
          <w:szCs w:val="28"/>
          <w:rtl/>
        </w:rPr>
        <w:t xml:space="preserve"> :</w:t>
      </w:r>
      <w:r w:rsidRPr="00923B1A">
        <w:rPr>
          <w:rFonts w:hint="cs"/>
          <w:color w:val="0000FF"/>
          <w:sz w:val="28"/>
          <w:szCs w:val="28"/>
          <w:rtl/>
        </w:rPr>
        <w:t xml:space="preserve"> "يطابق النص المادة 711 من المشروع الفرنسي الإيطالي</w:t>
      </w:r>
      <w:r>
        <w:rPr>
          <w:rFonts w:hint="cs"/>
          <w:color w:val="0000FF"/>
          <w:sz w:val="28"/>
          <w:szCs w:val="28"/>
          <w:rtl/>
        </w:rPr>
        <w:t xml:space="preserve"> ،</w:t>
      </w:r>
      <w:r w:rsidRPr="00923B1A">
        <w:rPr>
          <w:rFonts w:hint="cs"/>
          <w:color w:val="0000FF"/>
          <w:sz w:val="28"/>
          <w:szCs w:val="28"/>
          <w:rtl/>
        </w:rPr>
        <w:t xml:space="preserve"> وهو يقرر الأحكام ذاتها الواردة بالمادة 497/606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ولكن يزيد عليها أن للكفالة التي تعقد بمبلغ أكبر من الدين</w:t>
      </w:r>
      <w:r>
        <w:rPr>
          <w:rFonts w:hint="cs"/>
          <w:color w:val="0000FF"/>
          <w:sz w:val="28"/>
          <w:szCs w:val="28"/>
          <w:rtl/>
        </w:rPr>
        <w:t xml:space="preserve"> ،</w:t>
      </w:r>
      <w:r w:rsidRPr="00923B1A">
        <w:rPr>
          <w:rFonts w:hint="cs"/>
          <w:color w:val="0000FF"/>
          <w:sz w:val="28"/>
          <w:szCs w:val="28"/>
          <w:rtl/>
        </w:rPr>
        <w:t xml:space="preserve"> أو بشروط أشد من شروطه</w:t>
      </w:r>
      <w:r>
        <w:rPr>
          <w:rFonts w:hint="cs"/>
          <w:color w:val="0000FF"/>
          <w:sz w:val="28"/>
          <w:szCs w:val="28"/>
          <w:rtl/>
        </w:rPr>
        <w:t xml:space="preserve"> ،</w:t>
      </w:r>
      <w:r w:rsidRPr="00923B1A">
        <w:rPr>
          <w:rFonts w:hint="cs"/>
          <w:color w:val="0000FF"/>
          <w:sz w:val="28"/>
          <w:szCs w:val="28"/>
          <w:rtl/>
        </w:rPr>
        <w:t xml:space="preserve"> تكون صحيحة في حدود الالتزام الأصلي</w:t>
      </w:r>
      <w:r>
        <w:rPr>
          <w:rFonts w:hint="cs"/>
          <w:color w:val="0000FF"/>
          <w:sz w:val="28"/>
          <w:szCs w:val="28"/>
          <w:rtl/>
        </w:rPr>
        <w:t xml:space="preserve"> .</w:t>
      </w:r>
      <w:r w:rsidRPr="00923B1A">
        <w:rPr>
          <w:rFonts w:hint="cs"/>
          <w:color w:val="0000FF"/>
          <w:sz w:val="28"/>
          <w:szCs w:val="28"/>
          <w:rtl/>
        </w:rPr>
        <w:t xml:space="preserve"> وهذا الحكم الأخير المعمول به في ظل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رغم عدم النص عليه</w:t>
      </w:r>
      <w:r>
        <w:rPr>
          <w:rFonts w:hint="cs"/>
          <w:color w:val="0000FF"/>
          <w:sz w:val="28"/>
          <w:szCs w:val="28"/>
          <w:rtl/>
        </w:rPr>
        <w:t xml:space="preserve"> .</w:t>
      </w:r>
      <w:r w:rsidRPr="00923B1A">
        <w:rPr>
          <w:rFonts w:hint="cs"/>
          <w:color w:val="0000FF"/>
          <w:sz w:val="28"/>
          <w:szCs w:val="28"/>
          <w:rtl/>
        </w:rPr>
        <w:t xml:space="preserve"> وهذه الأحكام جميعاً ليست سوى تطبيق لمبدأ أن الكفالة عقد تابع</w:t>
      </w:r>
      <w:r>
        <w:rPr>
          <w:rFonts w:hint="cs"/>
          <w:color w:val="0000FF"/>
          <w:sz w:val="28"/>
          <w:szCs w:val="28"/>
          <w:rtl/>
        </w:rPr>
        <w:t xml:space="preserve"> ،</w:t>
      </w:r>
      <w:r w:rsidRPr="00923B1A">
        <w:rPr>
          <w:rFonts w:hint="cs"/>
          <w:color w:val="0000FF"/>
          <w:sz w:val="28"/>
          <w:szCs w:val="28"/>
          <w:rtl/>
        </w:rPr>
        <w:t xml:space="preserve"> فلا يلتزم الكفيل بما يجاوز التزام الأصيل حتى يضمن بذلك حقه في الرجوع بكل ما دفعه على المدين</w:t>
      </w:r>
      <w:r>
        <w:rPr>
          <w:rFonts w:hint="cs"/>
          <w:color w:val="0000FF"/>
          <w:sz w:val="28"/>
          <w:szCs w:val="28"/>
          <w:rtl/>
        </w:rPr>
        <w:t xml:space="preserve"> .</w:t>
      </w:r>
      <w:r w:rsidRPr="00923B1A">
        <w:rPr>
          <w:rFonts w:hint="cs"/>
          <w:color w:val="0000FF"/>
          <w:sz w:val="28"/>
          <w:szCs w:val="28"/>
          <w:rtl/>
        </w:rPr>
        <w:t xml:space="preserve"> وكان من الجائز الاستغناء عن النص كما فعلت بعض التقنينات الحديثة كالتقنين الألماني والتقنين السويسري</w:t>
      </w:r>
      <w:r>
        <w:rPr>
          <w:rFonts w:hint="cs"/>
          <w:color w:val="0000FF"/>
          <w:sz w:val="28"/>
          <w:szCs w:val="28"/>
          <w:rtl/>
        </w:rPr>
        <w:t xml:space="preserve"> ،</w:t>
      </w:r>
      <w:r w:rsidRPr="00923B1A">
        <w:rPr>
          <w:rFonts w:hint="cs"/>
          <w:color w:val="0000FF"/>
          <w:sz w:val="28"/>
          <w:szCs w:val="28"/>
          <w:rtl/>
        </w:rPr>
        <w:t xml:space="preserve"> لولا أننا فضلنا الإبقاء عليه لما قد يترتب على إغفاله من تفسير غير صحيح </w:t>
      </w:r>
      <w:r>
        <w:rPr>
          <w:rFonts w:hint="cs"/>
          <w:color w:val="0000FF"/>
          <w:sz w:val="28"/>
          <w:szCs w:val="28"/>
          <w:rtl/>
        </w:rPr>
        <w:t xml:space="preserve">( </w:t>
      </w:r>
      <w:r w:rsidRPr="00923B1A">
        <w:rPr>
          <w:rFonts w:hint="cs"/>
          <w:color w:val="0000FF"/>
          <w:sz w:val="28"/>
          <w:szCs w:val="28"/>
          <w:rtl/>
        </w:rPr>
        <w:t xml:space="preserve">مجموعة الأعمال التحضيرية 5 ص 462 </w:t>
      </w:r>
      <w:r w:rsidRPr="00923B1A">
        <w:rPr>
          <w:color w:val="0000FF"/>
          <w:sz w:val="28"/>
          <w:szCs w:val="28"/>
          <w:rtl/>
        </w:rPr>
        <w:t>–</w:t>
      </w:r>
      <w:r w:rsidRPr="00923B1A">
        <w:rPr>
          <w:rFonts w:hint="cs"/>
          <w:color w:val="0000FF"/>
          <w:sz w:val="28"/>
          <w:szCs w:val="28"/>
          <w:rtl/>
        </w:rPr>
        <w:t xml:space="preserve"> 463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ويقابل النص في التقنين السابق المادة 497/606 </w:t>
      </w:r>
      <w:r w:rsidRPr="00923B1A">
        <w:rPr>
          <w:color w:val="0000FF"/>
          <w:sz w:val="28"/>
          <w:szCs w:val="28"/>
          <w:rtl/>
        </w:rPr>
        <w:t>–</w:t>
      </w:r>
      <w:r w:rsidRPr="00923B1A">
        <w:rPr>
          <w:rFonts w:hint="cs"/>
          <w:color w:val="0000FF"/>
          <w:sz w:val="28"/>
          <w:szCs w:val="28"/>
          <w:rtl/>
        </w:rPr>
        <w:t xml:space="preserve"> 607</w:t>
      </w:r>
      <w:r>
        <w:rPr>
          <w:rFonts w:hint="cs"/>
          <w:color w:val="0000FF"/>
          <w:sz w:val="28"/>
          <w:szCs w:val="28"/>
          <w:rtl/>
        </w:rPr>
        <w:t xml:space="preserve"> :</w:t>
      </w:r>
      <w:r w:rsidRPr="00923B1A">
        <w:rPr>
          <w:rFonts w:hint="cs"/>
          <w:color w:val="0000FF"/>
          <w:sz w:val="28"/>
          <w:szCs w:val="28"/>
          <w:rtl/>
        </w:rPr>
        <w:t xml:space="preserve"> لا يجوز أن تعقد الكفالة بمبلغ أكثر من المبلغ المطلوب من المدين</w:t>
      </w:r>
      <w:r>
        <w:rPr>
          <w:rFonts w:hint="cs"/>
          <w:color w:val="0000FF"/>
          <w:sz w:val="28"/>
          <w:szCs w:val="28"/>
          <w:rtl/>
        </w:rPr>
        <w:t xml:space="preserve"> ،</w:t>
      </w:r>
      <w:r w:rsidRPr="00923B1A">
        <w:rPr>
          <w:rFonts w:hint="cs"/>
          <w:color w:val="0000FF"/>
          <w:sz w:val="28"/>
          <w:szCs w:val="28"/>
          <w:rtl/>
        </w:rPr>
        <w:t xml:space="preserve"> ولا بشروط أشد  من شروط الدين المكفول به</w:t>
      </w:r>
      <w:r>
        <w:rPr>
          <w:rFonts w:hint="cs"/>
          <w:color w:val="0000FF"/>
          <w:sz w:val="28"/>
          <w:szCs w:val="28"/>
          <w:rtl/>
        </w:rPr>
        <w:t xml:space="preserve"> .</w:t>
      </w:r>
      <w:r w:rsidRPr="00923B1A">
        <w:rPr>
          <w:rFonts w:hint="cs"/>
          <w:color w:val="0000FF"/>
          <w:sz w:val="28"/>
          <w:szCs w:val="28"/>
          <w:rtl/>
        </w:rPr>
        <w:t xml:space="preserve"> ولكن يجوز أن تكون الكفالة بمبلغ اقل من الدين</w:t>
      </w:r>
      <w:r>
        <w:rPr>
          <w:rFonts w:hint="cs"/>
          <w:color w:val="0000FF"/>
          <w:sz w:val="28"/>
          <w:szCs w:val="28"/>
          <w:rtl/>
        </w:rPr>
        <w:t xml:space="preserve"> ،</w:t>
      </w:r>
      <w:r w:rsidRPr="00923B1A">
        <w:rPr>
          <w:rFonts w:hint="cs"/>
          <w:color w:val="0000FF"/>
          <w:sz w:val="28"/>
          <w:szCs w:val="28"/>
          <w:rtl/>
        </w:rPr>
        <w:t xml:space="preserve"> وبشروط أخف من شروطه"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789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w:t>
      </w:r>
      <w:r w:rsidRPr="00923B1A">
        <w:rPr>
          <w:rFonts w:hint="cs"/>
          <w:color w:val="0000FF"/>
          <w:sz w:val="28"/>
          <w:szCs w:val="28"/>
          <w:rtl/>
        </w:rPr>
        <w:t>ز</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1013</w:t>
      </w:r>
      <w:r>
        <w:rPr>
          <w:rFonts w:hint="cs"/>
          <w:color w:val="0000FF"/>
          <w:sz w:val="28"/>
          <w:szCs w:val="28"/>
          <w:rtl/>
        </w:rPr>
        <w:t xml:space="preserve"> :</w:t>
      </w:r>
      <w:r w:rsidRPr="00923B1A">
        <w:rPr>
          <w:rFonts w:hint="cs"/>
          <w:color w:val="0000FF"/>
          <w:sz w:val="28"/>
          <w:szCs w:val="28"/>
          <w:rtl/>
        </w:rPr>
        <w:t xml:space="preserve"> 1- إذا كان الدين مؤجلا على الأصيل وكفل به أحد</w:t>
      </w:r>
      <w:r>
        <w:rPr>
          <w:rFonts w:hint="cs"/>
          <w:color w:val="0000FF"/>
          <w:sz w:val="28"/>
          <w:szCs w:val="28"/>
          <w:rtl/>
        </w:rPr>
        <w:t xml:space="preserve"> ،</w:t>
      </w:r>
      <w:r w:rsidRPr="00923B1A">
        <w:rPr>
          <w:rFonts w:hint="cs"/>
          <w:color w:val="0000FF"/>
          <w:sz w:val="28"/>
          <w:szCs w:val="28"/>
          <w:rtl/>
        </w:rPr>
        <w:t xml:space="preserve"> تأجل على الكفيل أيضاً </w:t>
      </w:r>
      <w:r>
        <w:rPr>
          <w:rFonts w:hint="cs"/>
          <w:color w:val="0000FF"/>
          <w:sz w:val="28"/>
          <w:szCs w:val="28"/>
          <w:rtl/>
        </w:rPr>
        <w:t xml:space="preserve"> .</w:t>
      </w:r>
      <w:r w:rsidRPr="00923B1A">
        <w:rPr>
          <w:rFonts w:hint="cs"/>
          <w:color w:val="0000FF"/>
          <w:sz w:val="28"/>
          <w:szCs w:val="28"/>
          <w:rtl/>
        </w:rPr>
        <w:t xml:space="preserve"> 2- وإذا أجل الدائن الدين على الأصيل تأجل على الكفيل وكفيل الكفيل</w:t>
      </w:r>
      <w:r>
        <w:rPr>
          <w:rFonts w:hint="cs"/>
          <w:color w:val="0000FF"/>
          <w:sz w:val="28"/>
          <w:szCs w:val="28"/>
          <w:rtl/>
        </w:rPr>
        <w:t xml:space="preserve"> ،</w:t>
      </w:r>
      <w:r w:rsidRPr="00923B1A">
        <w:rPr>
          <w:rFonts w:hint="cs"/>
          <w:color w:val="0000FF"/>
          <w:sz w:val="28"/>
          <w:szCs w:val="28"/>
          <w:rtl/>
        </w:rPr>
        <w:t xml:space="preserve"> وإن أجله على الكفيل الأول يتأجل على الكفيل الثاني ولا يتأجل على الأصيل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1014</w:t>
      </w:r>
      <w:r>
        <w:rPr>
          <w:rFonts w:hint="cs"/>
          <w:color w:val="0000FF"/>
          <w:sz w:val="28"/>
          <w:szCs w:val="28"/>
          <w:rtl/>
        </w:rPr>
        <w:t xml:space="preserve"> :</w:t>
      </w:r>
      <w:r w:rsidRPr="00923B1A">
        <w:rPr>
          <w:rFonts w:hint="cs"/>
          <w:color w:val="0000FF"/>
          <w:sz w:val="28"/>
          <w:szCs w:val="28"/>
          <w:rtl/>
        </w:rPr>
        <w:t xml:space="preserve"> إذا تكفل الكفيل بالدين الحال كفالة مؤجلة تأجل على الكفيل والأصيل</w:t>
      </w:r>
      <w:r>
        <w:rPr>
          <w:rFonts w:hint="cs"/>
          <w:color w:val="0000FF"/>
          <w:sz w:val="28"/>
          <w:szCs w:val="28"/>
          <w:rtl/>
        </w:rPr>
        <w:t xml:space="preserve"> .</w:t>
      </w:r>
      <w:r w:rsidRPr="00923B1A">
        <w:rPr>
          <w:rFonts w:hint="cs"/>
          <w:color w:val="0000FF"/>
          <w:sz w:val="28"/>
          <w:szCs w:val="28"/>
          <w:rtl/>
        </w:rPr>
        <w:t xml:space="preserve"> إلا إذا أضاف الكفيل الأجل إلى نفسه أو اشتراط الدائن وقت الكفالة الأجل للكفيل خاصة</w:t>
      </w:r>
      <w:r>
        <w:rPr>
          <w:rFonts w:hint="cs"/>
          <w:color w:val="0000FF"/>
          <w:sz w:val="28"/>
          <w:szCs w:val="28"/>
          <w:rtl/>
        </w:rPr>
        <w:t xml:space="preserve"> ،</w:t>
      </w:r>
      <w:r w:rsidRPr="00923B1A">
        <w:rPr>
          <w:rFonts w:hint="cs"/>
          <w:color w:val="0000FF"/>
          <w:sz w:val="28"/>
          <w:szCs w:val="28"/>
          <w:rtl/>
        </w:rPr>
        <w:t xml:space="preserve"> ففي هاتين الحالتين لا يتأجل على الأصيل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1064</w:t>
      </w:r>
      <w:r>
        <w:rPr>
          <w:rFonts w:hint="cs"/>
          <w:color w:val="0000FF"/>
          <w:sz w:val="28"/>
          <w:szCs w:val="28"/>
          <w:rtl/>
        </w:rPr>
        <w:t xml:space="preserve"> :</w:t>
      </w:r>
      <w:r w:rsidRPr="00923B1A">
        <w:rPr>
          <w:rFonts w:hint="cs"/>
          <w:color w:val="0000FF"/>
          <w:sz w:val="28"/>
          <w:szCs w:val="28"/>
          <w:rtl/>
        </w:rPr>
        <w:t xml:space="preserve"> لا يمكن أن تتجاوز الكفالة ما هو واجب على المديون الأصلي</w:t>
      </w:r>
      <w:r>
        <w:rPr>
          <w:rFonts w:hint="cs"/>
          <w:color w:val="0000FF"/>
          <w:sz w:val="28"/>
          <w:szCs w:val="28"/>
          <w:rtl/>
        </w:rPr>
        <w:t xml:space="preserve"> ،</w:t>
      </w:r>
      <w:r w:rsidRPr="00923B1A">
        <w:rPr>
          <w:rFonts w:hint="cs"/>
          <w:color w:val="0000FF"/>
          <w:sz w:val="28"/>
          <w:szCs w:val="28"/>
          <w:rtl/>
        </w:rPr>
        <w:t xml:space="preserve"> إلا فيما يختص بالأجل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1065</w:t>
      </w:r>
      <w:r>
        <w:rPr>
          <w:rFonts w:hint="cs"/>
          <w:color w:val="0000FF"/>
          <w:sz w:val="28"/>
          <w:szCs w:val="28"/>
          <w:rtl/>
        </w:rPr>
        <w:t xml:space="preserve"> :</w:t>
      </w:r>
      <w:r w:rsidRPr="00923B1A">
        <w:rPr>
          <w:rFonts w:hint="cs"/>
          <w:color w:val="0000FF"/>
          <w:sz w:val="28"/>
          <w:szCs w:val="28"/>
          <w:rtl/>
        </w:rPr>
        <w:t xml:space="preserve"> يجوز أن تعلق الكفالة على أجل</w:t>
      </w:r>
      <w:r>
        <w:rPr>
          <w:rFonts w:hint="cs"/>
          <w:color w:val="0000FF"/>
          <w:sz w:val="28"/>
          <w:szCs w:val="28"/>
          <w:rtl/>
        </w:rPr>
        <w:t xml:space="preserve"> ،</w:t>
      </w:r>
      <w:r w:rsidRPr="00923B1A">
        <w:rPr>
          <w:rFonts w:hint="cs"/>
          <w:color w:val="0000FF"/>
          <w:sz w:val="28"/>
          <w:szCs w:val="28"/>
          <w:rtl/>
        </w:rPr>
        <w:t xml:space="preserve"> أي أن تكون لوقت معين أو ابتداء من تاريخ معين</w:t>
      </w:r>
      <w:r>
        <w:rPr>
          <w:rFonts w:hint="cs"/>
          <w:color w:val="0000FF"/>
          <w:sz w:val="28"/>
          <w:szCs w:val="28"/>
          <w:rtl/>
        </w:rPr>
        <w:t xml:space="preserve"> .</w:t>
      </w:r>
      <w:r w:rsidRPr="00923B1A">
        <w:rPr>
          <w:rFonts w:hint="cs"/>
          <w:color w:val="0000FF"/>
          <w:sz w:val="28"/>
          <w:szCs w:val="28"/>
          <w:rtl/>
        </w:rPr>
        <w:t>و ويجوز أن تعقد على قسم من الدين فقط</w:t>
      </w:r>
      <w:r>
        <w:rPr>
          <w:rFonts w:hint="cs"/>
          <w:color w:val="0000FF"/>
          <w:sz w:val="28"/>
          <w:szCs w:val="28"/>
          <w:rtl/>
        </w:rPr>
        <w:t xml:space="preserve"> ،</w:t>
      </w:r>
      <w:r w:rsidRPr="00923B1A">
        <w:rPr>
          <w:rFonts w:hint="cs"/>
          <w:color w:val="0000FF"/>
          <w:sz w:val="28"/>
          <w:szCs w:val="28"/>
          <w:rtl/>
        </w:rPr>
        <w:t xml:space="preserve"> أو على شروط أخف عبئاً</w:t>
      </w:r>
      <w:r>
        <w:rPr>
          <w:rFonts w:hint="cs"/>
          <w:color w:val="0000FF"/>
          <w:sz w:val="28"/>
          <w:szCs w:val="28"/>
          <w:rtl/>
        </w:rPr>
        <w:t xml:space="preserve"> .</w:t>
      </w:r>
    </w:p>
  </w:footnote>
  <w:footnote w:id="12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62 </w:t>
      </w:r>
      <w:r w:rsidRPr="00923B1A">
        <w:rPr>
          <w:color w:val="0000FF"/>
          <w:sz w:val="28"/>
          <w:szCs w:val="28"/>
          <w:rtl/>
        </w:rPr>
        <w:t>–</w:t>
      </w:r>
      <w:r w:rsidRPr="00923B1A">
        <w:rPr>
          <w:rFonts w:hint="cs"/>
          <w:color w:val="0000FF"/>
          <w:sz w:val="28"/>
          <w:szCs w:val="28"/>
          <w:rtl/>
        </w:rPr>
        <w:t xml:space="preserve"> بودري وفال فقرة 964 </w:t>
      </w:r>
      <w:r w:rsidRPr="00923B1A">
        <w:rPr>
          <w:color w:val="0000FF"/>
          <w:sz w:val="28"/>
          <w:szCs w:val="28"/>
          <w:rtl/>
        </w:rPr>
        <w:t>–</w:t>
      </w:r>
      <w:r w:rsidRPr="00923B1A">
        <w:rPr>
          <w:rFonts w:hint="cs"/>
          <w:color w:val="0000FF"/>
          <w:sz w:val="28"/>
          <w:szCs w:val="28"/>
          <w:rtl/>
        </w:rPr>
        <w:t xml:space="preserve"> ص 516</w:t>
      </w:r>
      <w:r>
        <w:rPr>
          <w:rFonts w:hint="cs"/>
          <w:color w:val="0000FF"/>
          <w:sz w:val="28"/>
          <w:szCs w:val="28"/>
          <w:rtl/>
        </w:rPr>
        <w:t xml:space="preserve"> .</w:t>
      </w:r>
    </w:p>
  </w:footnote>
  <w:footnote w:id="12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17 ديسمبر سنة 1930م 43 ص 89</w:t>
      </w:r>
      <w:r>
        <w:rPr>
          <w:rFonts w:hint="cs"/>
          <w:color w:val="0000FF"/>
          <w:sz w:val="28"/>
          <w:szCs w:val="28"/>
          <w:rtl/>
        </w:rPr>
        <w:t xml:space="preserve"> .</w:t>
      </w:r>
    </w:p>
  </w:footnote>
  <w:footnote w:id="12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93 </w:t>
      </w:r>
      <w:r w:rsidRPr="00923B1A">
        <w:rPr>
          <w:color w:val="0000FF"/>
          <w:sz w:val="28"/>
          <w:szCs w:val="28"/>
          <w:rtl/>
        </w:rPr>
        <w:t>–</w:t>
      </w:r>
      <w:r w:rsidRPr="00923B1A">
        <w:rPr>
          <w:rFonts w:hint="cs"/>
          <w:color w:val="0000FF"/>
          <w:sz w:val="28"/>
          <w:szCs w:val="28"/>
          <w:rtl/>
        </w:rPr>
        <w:t xml:space="preserve"> بودري وفال فقرة 964 ص 516</w:t>
      </w:r>
      <w:r>
        <w:rPr>
          <w:rFonts w:hint="cs"/>
          <w:color w:val="0000FF"/>
          <w:sz w:val="28"/>
          <w:szCs w:val="28"/>
          <w:rtl/>
        </w:rPr>
        <w:t xml:space="preserve"> .</w:t>
      </w:r>
    </w:p>
  </w:footnote>
  <w:footnote w:id="12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64 </w:t>
      </w:r>
      <w:r w:rsidRPr="00923B1A">
        <w:rPr>
          <w:color w:val="0000FF"/>
          <w:sz w:val="28"/>
          <w:szCs w:val="28"/>
          <w:rtl/>
        </w:rPr>
        <w:t>–</w:t>
      </w:r>
      <w:r w:rsidRPr="00923B1A">
        <w:rPr>
          <w:rFonts w:hint="cs"/>
          <w:color w:val="0000FF"/>
          <w:sz w:val="28"/>
          <w:szCs w:val="28"/>
          <w:rtl/>
        </w:rPr>
        <w:t xml:space="preserve"> بودري وفال فقرة 964 ص 516</w:t>
      </w:r>
      <w:r>
        <w:rPr>
          <w:rFonts w:hint="cs"/>
          <w:color w:val="0000FF"/>
          <w:sz w:val="28"/>
          <w:szCs w:val="28"/>
          <w:rtl/>
        </w:rPr>
        <w:t xml:space="preserve"> .</w:t>
      </w:r>
    </w:p>
  </w:footnote>
  <w:footnote w:id="12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23</w:t>
      </w:r>
      <w:r>
        <w:rPr>
          <w:rFonts w:hint="cs"/>
          <w:color w:val="0000FF"/>
          <w:sz w:val="28"/>
          <w:szCs w:val="28"/>
          <w:rtl/>
        </w:rPr>
        <w:t xml:space="preserve"> .</w:t>
      </w:r>
    </w:p>
  </w:footnote>
  <w:footnote w:id="12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101 </w:t>
      </w:r>
      <w:r w:rsidRPr="00923B1A">
        <w:rPr>
          <w:color w:val="0000FF"/>
          <w:sz w:val="28"/>
          <w:szCs w:val="28"/>
          <w:rtl/>
        </w:rPr>
        <w:t>–</w:t>
      </w:r>
      <w:r w:rsidRPr="00923B1A">
        <w:rPr>
          <w:rFonts w:hint="cs"/>
          <w:color w:val="0000FF"/>
          <w:sz w:val="28"/>
          <w:szCs w:val="28"/>
          <w:rtl/>
        </w:rPr>
        <w:t xml:space="preserve"> برنسو 95 </w:t>
      </w:r>
      <w:r w:rsidRPr="00923B1A">
        <w:rPr>
          <w:color w:val="0000FF"/>
          <w:sz w:val="28"/>
          <w:szCs w:val="28"/>
          <w:rtl/>
        </w:rPr>
        <w:t>–</w:t>
      </w:r>
      <w:r w:rsidRPr="00923B1A">
        <w:rPr>
          <w:rFonts w:hint="cs"/>
          <w:color w:val="0000FF"/>
          <w:sz w:val="28"/>
          <w:szCs w:val="28"/>
          <w:rtl/>
        </w:rPr>
        <w:t xml:space="preserve"> جيوار فقرة 62</w:t>
      </w:r>
      <w:r>
        <w:rPr>
          <w:rFonts w:hint="cs"/>
          <w:color w:val="0000FF"/>
          <w:sz w:val="28"/>
          <w:szCs w:val="28"/>
          <w:rtl/>
        </w:rPr>
        <w:t xml:space="preserve"> .</w:t>
      </w:r>
    </w:p>
  </w:footnote>
  <w:footnote w:id="12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الفرنسية بأنه لا يجوز أن يشترط على الكفيل فوائد مركبة إذا كانت الفوائد على المدين الأصلي بسيطة</w:t>
      </w:r>
      <w:r>
        <w:rPr>
          <w:rFonts w:hint="cs"/>
          <w:color w:val="0000FF"/>
          <w:sz w:val="28"/>
          <w:szCs w:val="28"/>
          <w:rtl/>
        </w:rPr>
        <w:t xml:space="preserve"> ،</w:t>
      </w:r>
      <w:r w:rsidRPr="00923B1A">
        <w:rPr>
          <w:rFonts w:hint="cs"/>
          <w:color w:val="0000FF"/>
          <w:sz w:val="28"/>
          <w:szCs w:val="28"/>
          <w:rtl/>
        </w:rPr>
        <w:t xml:space="preserve"> ولو كان ذلك في مقابل إعطاء أجل أطول للكفيل </w:t>
      </w:r>
      <w:r>
        <w:rPr>
          <w:rFonts w:hint="cs"/>
          <w:color w:val="0000FF"/>
          <w:sz w:val="28"/>
          <w:szCs w:val="28"/>
          <w:rtl/>
        </w:rPr>
        <w:t xml:space="preserve">( </w:t>
      </w:r>
      <w:r w:rsidRPr="00923B1A">
        <w:rPr>
          <w:rFonts w:hint="cs"/>
          <w:color w:val="0000FF"/>
          <w:sz w:val="28"/>
          <w:szCs w:val="28"/>
          <w:rtl/>
        </w:rPr>
        <w:t xml:space="preserve">نقض فرنسي 2 فبراير سنة 1886 داللوز 86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233 </w:t>
      </w:r>
      <w:r w:rsidRPr="00923B1A">
        <w:rPr>
          <w:color w:val="0000FF"/>
          <w:sz w:val="28"/>
          <w:szCs w:val="28"/>
          <w:rtl/>
        </w:rPr>
        <w:t>–</w:t>
      </w:r>
      <w:r w:rsidRPr="00923B1A">
        <w:rPr>
          <w:rFonts w:hint="cs"/>
          <w:color w:val="0000FF"/>
          <w:sz w:val="28"/>
          <w:szCs w:val="28"/>
          <w:rtl/>
        </w:rPr>
        <w:t xml:space="preserve"> بودري وفال فقرة 966 ص 517</w:t>
      </w:r>
      <w:r>
        <w:rPr>
          <w:rFonts w:hint="cs"/>
          <w:color w:val="0000FF"/>
          <w:sz w:val="28"/>
          <w:szCs w:val="28"/>
          <w:rtl/>
        </w:rPr>
        <w:t xml:space="preserve"> .</w:t>
      </w:r>
    </w:p>
  </w:footnote>
  <w:footnote w:id="12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14 وفقرة 64 </w:t>
      </w:r>
      <w:r w:rsidRPr="00923B1A">
        <w:rPr>
          <w:color w:val="0000FF"/>
          <w:sz w:val="28"/>
          <w:szCs w:val="28"/>
          <w:rtl/>
        </w:rPr>
        <w:t>–</w:t>
      </w:r>
      <w:r w:rsidRPr="00923B1A">
        <w:rPr>
          <w:rFonts w:hint="cs"/>
          <w:color w:val="0000FF"/>
          <w:sz w:val="28"/>
          <w:szCs w:val="28"/>
          <w:rtl/>
        </w:rPr>
        <w:t xml:space="preserve"> وبرانتون 18 فقرة 311 وما بعدها </w:t>
      </w:r>
      <w:r w:rsidRPr="00923B1A">
        <w:rPr>
          <w:color w:val="0000FF"/>
          <w:sz w:val="28"/>
          <w:szCs w:val="28"/>
          <w:rtl/>
        </w:rPr>
        <w:t>–</w:t>
      </w:r>
      <w:r w:rsidRPr="00923B1A">
        <w:rPr>
          <w:rFonts w:hint="cs"/>
          <w:color w:val="0000FF"/>
          <w:sz w:val="28"/>
          <w:szCs w:val="28"/>
          <w:rtl/>
        </w:rPr>
        <w:t xml:space="preserve"> ترولون فقرة 108 وما بعدها </w:t>
      </w:r>
      <w:r w:rsidRPr="00923B1A">
        <w:rPr>
          <w:color w:val="0000FF"/>
          <w:sz w:val="28"/>
          <w:szCs w:val="28"/>
          <w:rtl/>
        </w:rPr>
        <w:t>–</w:t>
      </w:r>
      <w:r w:rsidRPr="00923B1A">
        <w:rPr>
          <w:rFonts w:hint="cs"/>
          <w:color w:val="0000FF"/>
          <w:sz w:val="28"/>
          <w:szCs w:val="28"/>
          <w:rtl/>
        </w:rPr>
        <w:t xml:space="preserve"> بون 2 فقرة 78 </w:t>
      </w:r>
      <w:r w:rsidRPr="00923B1A">
        <w:rPr>
          <w:color w:val="0000FF"/>
          <w:sz w:val="28"/>
          <w:szCs w:val="28"/>
          <w:rtl/>
        </w:rPr>
        <w:t>–</w:t>
      </w:r>
      <w:r w:rsidRPr="00923B1A">
        <w:rPr>
          <w:rFonts w:hint="cs"/>
          <w:color w:val="0000FF"/>
          <w:sz w:val="28"/>
          <w:szCs w:val="28"/>
          <w:rtl/>
        </w:rPr>
        <w:t xml:space="preserve"> لوران 28 فقرة 162 </w:t>
      </w:r>
      <w:r w:rsidRPr="00923B1A">
        <w:rPr>
          <w:color w:val="0000FF"/>
          <w:sz w:val="28"/>
          <w:szCs w:val="28"/>
          <w:rtl/>
        </w:rPr>
        <w:t>–</w:t>
      </w:r>
      <w:r w:rsidRPr="00923B1A">
        <w:rPr>
          <w:rFonts w:hint="cs"/>
          <w:color w:val="0000FF"/>
          <w:sz w:val="28"/>
          <w:szCs w:val="28"/>
          <w:rtl/>
        </w:rPr>
        <w:t xml:space="preserve"> بودري وفال فقرة 966 ص 517</w:t>
      </w:r>
      <w:r>
        <w:rPr>
          <w:rFonts w:hint="cs"/>
          <w:color w:val="0000FF"/>
          <w:sz w:val="28"/>
          <w:szCs w:val="28"/>
          <w:rtl/>
        </w:rPr>
        <w:t xml:space="preserve"> .</w:t>
      </w:r>
    </w:p>
  </w:footnote>
  <w:footnote w:id="12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يظهر أن القانون الروماني كان يقضي ببطلان التزام الكفيل كله</w:t>
      </w:r>
      <w:r>
        <w:rPr>
          <w:rFonts w:hint="cs"/>
          <w:color w:val="0000FF"/>
          <w:sz w:val="28"/>
          <w:szCs w:val="28"/>
          <w:rtl/>
        </w:rPr>
        <w:t xml:space="preserve"> ،</w:t>
      </w:r>
      <w:r w:rsidRPr="00923B1A">
        <w:rPr>
          <w:rFonts w:hint="cs"/>
          <w:color w:val="0000FF"/>
          <w:sz w:val="28"/>
          <w:szCs w:val="28"/>
          <w:rtl/>
        </w:rPr>
        <w:t xml:space="preserve"> إذا كان أشد من الالتزام المكفول</w:t>
      </w:r>
      <w:r>
        <w:rPr>
          <w:rFonts w:hint="cs"/>
          <w:color w:val="0000FF"/>
          <w:sz w:val="28"/>
          <w:szCs w:val="28"/>
          <w:rtl/>
        </w:rPr>
        <w:t xml:space="preserve"> ،</w:t>
      </w:r>
      <w:r w:rsidRPr="00923B1A">
        <w:rPr>
          <w:rFonts w:hint="cs"/>
          <w:color w:val="0000FF"/>
          <w:sz w:val="28"/>
          <w:szCs w:val="28"/>
          <w:rtl/>
        </w:rPr>
        <w:t xml:space="preserve"> أما القانون الفرنسي القديم فكان يقضي بإنقاص التزام الكفيل </w:t>
      </w:r>
      <w:r>
        <w:rPr>
          <w:rFonts w:hint="cs"/>
          <w:color w:val="0000FF"/>
          <w:sz w:val="28"/>
          <w:szCs w:val="28"/>
          <w:rtl/>
        </w:rPr>
        <w:t xml:space="preserve">( </w:t>
      </w:r>
      <w:r w:rsidRPr="00923B1A">
        <w:rPr>
          <w:rFonts w:hint="cs"/>
          <w:color w:val="0000FF"/>
          <w:sz w:val="28"/>
          <w:szCs w:val="28"/>
          <w:rtl/>
        </w:rPr>
        <w:t xml:space="preserve">بوتييه فقرة 375 </w:t>
      </w:r>
      <w:r w:rsidRPr="00923B1A">
        <w:rPr>
          <w:color w:val="0000FF"/>
          <w:sz w:val="28"/>
          <w:szCs w:val="28"/>
          <w:rtl/>
        </w:rPr>
        <w:t>–</w:t>
      </w:r>
      <w:r w:rsidRPr="00923B1A">
        <w:rPr>
          <w:rFonts w:hint="cs"/>
          <w:color w:val="0000FF"/>
          <w:sz w:val="28"/>
          <w:szCs w:val="28"/>
          <w:rtl/>
        </w:rPr>
        <w:t xml:space="preserve"> بودري وفال فقرة 969</w:t>
      </w:r>
      <w:r>
        <w:rPr>
          <w:rFonts w:hint="cs"/>
          <w:color w:val="0000FF"/>
          <w:sz w:val="28"/>
          <w:szCs w:val="28"/>
          <w:rtl/>
        </w:rPr>
        <w:t xml:space="preserve"> .</w:t>
      </w:r>
    </w:p>
  </w:footnote>
  <w:footnote w:id="12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نفس الفقرة في الهامش</w:t>
      </w:r>
      <w:r>
        <w:rPr>
          <w:rFonts w:hint="cs"/>
          <w:color w:val="0000FF"/>
          <w:sz w:val="28"/>
          <w:szCs w:val="28"/>
          <w:rtl/>
        </w:rPr>
        <w:t xml:space="preserve"> .</w:t>
      </w:r>
    </w:p>
  </w:footnote>
  <w:footnote w:id="13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279</w:t>
      </w:r>
      <w:r>
        <w:rPr>
          <w:rFonts w:hint="cs"/>
          <w:color w:val="0000FF"/>
          <w:sz w:val="28"/>
          <w:szCs w:val="28"/>
          <w:rtl/>
        </w:rPr>
        <w:t xml:space="preserve"> .</w:t>
      </w:r>
    </w:p>
  </w:footnote>
  <w:footnote w:id="13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ويبت قاصي الموضوع فيما إذا كان المتعاقدان في عقد الكفالة قد قصدا أن تشمل الكفالة الفوائد والمصروفات أو لا تشملها</w:t>
      </w:r>
      <w:r>
        <w:rPr>
          <w:rFonts w:hint="cs"/>
          <w:color w:val="0000FF"/>
          <w:sz w:val="28"/>
          <w:szCs w:val="28"/>
          <w:rtl/>
        </w:rPr>
        <w:t xml:space="preserve"> ،</w:t>
      </w:r>
      <w:r w:rsidRPr="00923B1A">
        <w:rPr>
          <w:rFonts w:hint="cs"/>
          <w:color w:val="0000FF"/>
          <w:sz w:val="28"/>
          <w:szCs w:val="28"/>
          <w:rtl/>
        </w:rPr>
        <w:t xml:space="preserve"> مفسراً في ذلك إرادة المتعاقدين </w:t>
      </w:r>
      <w:r>
        <w:rPr>
          <w:rFonts w:hint="cs"/>
          <w:color w:val="0000FF"/>
          <w:sz w:val="28"/>
          <w:szCs w:val="28"/>
          <w:rtl/>
        </w:rPr>
        <w:t xml:space="preserve">( </w:t>
      </w:r>
      <w:r w:rsidRPr="00923B1A">
        <w:rPr>
          <w:rFonts w:hint="cs"/>
          <w:color w:val="0000FF"/>
          <w:sz w:val="28"/>
          <w:szCs w:val="28"/>
          <w:rtl/>
        </w:rPr>
        <w:t xml:space="preserve">أوبري ورو 6 فقرة 246 ص 224 </w:t>
      </w:r>
      <w:r w:rsidRPr="00923B1A">
        <w:rPr>
          <w:color w:val="0000FF"/>
          <w:sz w:val="28"/>
          <w:szCs w:val="28"/>
          <w:rtl/>
        </w:rPr>
        <w:t>–</w:t>
      </w:r>
      <w:r w:rsidRPr="00923B1A">
        <w:rPr>
          <w:rFonts w:hint="cs"/>
          <w:color w:val="0000FF"/>
          <w:sz w:val="28"/>
          <w:szCs w:val="28"/>
          <w:rtl/>
        </w:rPr>
        <w:t xml:space="preserve"> بودري وفال فقرة 994 </w:t>
      </w:r>
      <w:r w:rsidRPr="00923B1A">
        <w:rPr>
          <w:color w:val="0000FF"/>
          <w:sz w:val="28"/>
          <w:szCs w:val="28"/>
          <w:rtl/>
        </w:rPr>
        <w:t>–</w:t>
      </w:r>
      <w:r w:rsidRPr="00923B1A">
        <w:rPr>
          <w:rFonts w:hint="cs"/>
          <w:color w:val="0000FF"/>
          <w:sz w:val="28"/>
          <w:szCs w:val="28"/>
          <w:rtl/>
        </w:rPr>
        <w:t xml:space="preserve"> بلانيول وريبير وسافاتييه فقرة 1532</w:t>
      </w:r>
      <w:r>
        <w:rPr>
          <w:rFonts w:hint="cs"/>
          <w:color w:val="0000FF"/>
          <w:sz w:val="28"/>
          <w:szCs w:val="28"/>
          <w:rtl/>
        </w:rPr>
        <w:t xml:space="preserve"> ) .</w:t>
      </w:r>
    </w:p>
  </w:footnote>
  <w:footnote w:id="13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ويجوز للكفيل أن يؤجل الوفاء التزامه إلى وقت موته</w:t>
      </w:r>
      <w:r>
        <w:rPr>
          <w:rFonts w:hint="cs"/>
          <w:color w:val="0000FF"/>
          <w:sz w:val="28"/>
          <w:szCs w:val="28"/>
          <w:rtl/>
        </w:rPr>
        <w:t xml:space="preserve"> ،</w:t>
      </w:r>
      <w:r w:rsidRPr="00923B1A">
        <w:rPr>
          <w:rFonts w:hint="cs"/>
          <w:color w:val="0000FF"/>
          <w:sz w:val="28"/>
          <w:szCs w:val="28"/>
          <w:rtl/>
        </w:rPr>
        <w:t xml:space="preserve"> فلا تلتزم في هذه الحالة إلا تركته </w:t>
      </w:r>
      <w:r>
        <w:rPr>
          <w:rFonts w:hint="cs"/>
          <w:color w:val="0000FF"/>
          <w:sz w:val="28"/>
          <w:szCs w:val="28"/>
          <w:rtl/>
        </w:rPr>
        <w:t xml:space="preserve">( </w:t>
      </w:r>
      <w:r w:rsidRPr="00923B1A">
        <w:rPr>
          <w:rFonts w:hint="cs"/>
          <w:color w:val="0000FF"/>
          <w:sz w:val="28"/>
          <w:szCs w:val="28"/>
          <w:rtl/>
        </w:rPr>
        <w:t xml:space="preserve">نقض فرنسي 7 يناير سنة 1913 داللوز 1913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203</w:t>
      </w:r>
      <w:r>
        <w:rPr>
          <w:rFonts w:hint="cs"/>
          <w:color w:val="0000FF"/>
          <w:sz w:val="28"/>
          <w:szCs w:val="28"/>
          <w:rtl/>
        </w:rPr>
        <w:t xml:space="preserve"> ) .</w:t>
      </w:r>
      <w:r w:rsidRPr="00923B1A">
        <w:rPr>
          <w:rFonts w:hint="cs"/>
          <w:color w:val="0000FF"/>
          <w:sz w:val="28"/>
          <w:szCs w:val="28"/>
          <w:rtl/>
        </w:rPr>
        <w:t xml:space="preserve"> ويجوز أن يقرن التزامه بأجل</w:t>
      </w:r>
      <w:r>
        <w:rPr>
          <w:rFonts w:hint="cs"/>
          <w:color w:val="0000FF"/>
          <w:sz w:val="28"/>
          <w:szCs w:val="28"/>
          <w:rtl/>
        </w:rPr>
        <w:t xml:space="preserve"> ،</w:t>
      </w:r>
      <w:r w:rsidRPr="00923B1A">
        <w:rPr>
          <w:rFonts w:hint="cs"/>
          <w:color w:val="0000FF"/>
          <w:sz w:val="28"/>
          <w:szCs w:val="28"/>
          <w:rtl/>
        </w:rPr>
        <w:t xml:space="preserve"> أو أن يجعل كفالته مقصورة على الديون المعقودة في خلال اجل معين </w:t>
      </w:r>
      <w:r>
        <w:rPr>
          <w:rFonts w:hint="cs"/>
          <w:color w:val="0000FF"/>
          <w:sz w:val="28"/>
          <w:szCs w:val="28"/>
          <w:rtl/>
        </w:rPr>
        <w:t xml:space="preserve">( </w:t>
      </w:r>
      <w:r w:rsidRPr="00923B1A">
        <w:rPr>
          <w:rFonts w:hint="cs"/>
          <w:color w:val="0000FF"/>
          <w:sz w:val="28"/>
          <w:szCs w:val="28"/>
          <w:rtl/>
        </w:rPr>
        <w:t>بلانيول وريبير وسافاتييه فقرة 1533</w:t>
      </w:r>
      <w:r>
        <w:rPr>
          <w:rFonts w:hint="cs"/>
          <w:color w:val="0000FF"/>
          <w:sz w:val="28"/>
          <w:szCs w:val="28"/>
          <w:rtl/>
        </w:rPr>
        <w:t xml:space="preserve"> ) .</w:t>
      </w:r>
    </w:p>
  </w:footnote>
  <w:footnote w:id="13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بواتييه 26 فبراير سنة 1908 </w:t>
      </w:r>
      <w:r w:rsidRPr="00923B1A">
        <w:rPr>
          <w:color w:val="0000FF"/>
          <w:sz w:val="28"/>
          <w:szCs w:val="28"/>
          <w:rtl/>
        </w:rPr>
        <w:t>–</w:t>
      </w:r>
      <w:r w:rsidRPr="00923B1A">
        <w:rPr>
          <w:rFonts w:hint="cs"/>
          <w:color w:val="0000FF"/>
          <w:sz w:val="28"/>
          <w:szCs w:val="28"/>
          <w:rtl/>
        </w:rPr>
        <w:t xml:space="preserve"> 2- 405</w:t>
      </w:r>
      <w:r>
        <w:rPr>
          <w:rFonts w:hint="cs"/>
          <w:color w:val="0000FF"/>
          <w:sz w:val="28"/>
          <w:szCs w:val="28"/>
          <w:rtl/>
        </w:rPr>
        <w:t xml:space="preserve"> .</w:t>
      </w:r>
    </w:p>
  </w:footnote>
  <w:footnote w:id="13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ر 153 ص 983</w:t>
      </w:r>
      <w:r>
        <w:rPr>
          <w:rFonts w:hint="cs"/>
          <w:color w:val="0000FF"/>
          <w:sz w:val="28"/>
          <w:szCs w:val="28"/>
          <w:rtl/>
        </w:rPr>
        <w:t xml:space="preserve"> .</w:t>
      </w:r>
    </w:p>
  </w:footnote>
  <w:footnote w:id="13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ليون 23 ديسمبر سنة 1948 داللوز 1950 </w:t>
      </w:r>
      <w:r w:rsidRPr="00923B1A">
        <w:rPr>
          <w:color w:val="0000FF"/>
          <w:sz w:val="28"/>
          <w:szCs w:val="28"/>
          <w:rtl/>
        </w:rPr>
        <w:t>–</w:t>
      </w:r>
      <w:r w:rsidRPr="00923B1A">
        <w:rPr>
          <w:rFonts w:hint="cs"/>
          <w:color w:val="0000FF"/>
          <w:sz w:val="28"/>
          <w:szCs w:val="28"/>
          <w:rtl/>
        </w:rPr>
        <w:t xml:space="preserve"> 2- 21</w:t>
      </w:r>
      <w:r>
        <w:rPr>
          <w:rFonts w:hint="cs"/>
          <w:color w:val="0000FF"/>
          <w:sz w:val="28"/>
          <w:szCs w:val="28"/>
          <w:rtl/>
        </w:rPr>
        <w:t xml:space="preserve"> .</w:t>
      </w:r>
    </w:p>
  </w:footnote>
  <w:footnote w:id="13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27 نوفمبر سنة 1906 داللوز 1909 </w:t>
      </w:r>
      <w:r w:rsidRPr="00923B1A">
        <w:rPr>
          <w:color w:val="0000FF"/>
          <w:sz w:val="28"/>
          <w:szCs w:val="28"/>
          <w:rtl/>
        </w:rPr>
        <w:t>–</w:t>
      </w:r>
      <w:r w:rsidRPr="00923B1A">
        <w:rPr>
          <w:rFonts w:hint="cs"/>
          <w:color w:val="0000FF"/>
          <w:sz w:val="28"/>
          <w:szCs w:val="28"/>
          <w:rtl/>
        </w:rPr>
        <w:t xml:space="preserve"> 1- - 48</w:t>
      </w:r>
      <w:r>
        <w:rPr>
          <w:rFonts w:hint="cs"/>
          <w:color w:val="0000FF"/>
          <w:sz w:val="28"/>
          <w:szCs w:val="28"/>
          <w:rtl/>
        </w:rPr>
        <w:t xml:space="preserve"> .</w:t>
      </w:r>
    </w:p>
  </w:footnote>
  <w:footnote w:id="13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1533 ص 983</w:t>
      </w:r>
      <w:r>
        <w:rPr>
          <w:rFonts w:hint="cs"/>
          <w:color w:val="0000FF"/>
          <w:sz w:val="28"/>
          <w:szCs w:val="28"/>
          <w:rtl/>
        </w:rPr>
        <w:t xml:space="preserve"> .</w:t>
      </w:r>
    </w:p>
  </w:footnote>
  <w:footnote w:id="13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1139 من المشروع التمهيدي على وجه مطابق لما استقر عليه التقنين المدني الجديد ووافقت عليه لجنة المراجعة تحت رقم 850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848</w:t>
      </w:r>
      <w:r>
        <w:rPr>
          <w:rFonts w:hint="cs"/>
          <w:color w:val="0000FF"/>
          <w:sz w:val="28"/>
          <w:szCs w:val="28"/>
          <w:rtl/>
        </w:rPr>
        <w:t xml:space="preserve"> ،</w:t>
      </w:r>
      <w:r w:rsidRPr="00923B1A">
        <w:rPr>
          <w:rFonts w:hint="cs"/>
          <w:color w:val="0000FF"/>
          <w:sz w:val="28"/>
          <w:szCs w:val="28"/>
          <w:rtl/>
        </w:rPr>
        <w:t xml:space="preserve"> ثم مجلس الشيوخ تحت رقم 781 </w:t>
      </w:r>
      <w:r>
        <w:rPr>
          <w:rFonts w:hint="cs"/>
          <w:color w:val="0000FF"/>
          <w:sz w:val="28"/>
          <w:szCs w:val="28"/>
          <w:rtl/>
        </w:rPr>
        <w:t xml:space="preserve">( </w:t>
      </w:r>
      <w:r w:rsidRPr="00923B1A">
        <w:rPr>
          <w:rFonts w:hint="cs"/>
          <w:color w:val="0000FF"/>
          <w:sz w:val="28"/>
          <w:szCs w:val="28"/>
          <w:rtl/>
        </w:rPr>
        <w:t xml:space="preserve">مجموعة الأعمال التحضيرية 5 ص 464 </w:t>
      </w:r>
      <w:r w:rsidRPr="00923B1A">
        <w:rPr>
          <w:color w:val="0000FF"/>
          <w:sz w:val="28"/>
          <w:szCs w:val="28"/>
          <w:rtl/>
        </w:rPr>
        <w:t>–</w:t>
      </w:r>
      <w:r w:rsidRPr="00923B1A">
        <w:rPr>
          <w:rFonts w:hint="cs"/>
          <w:color w:val="0000FF"/>
          <w:sz w:val="28"/>
          <w:szCs w:val="28"/>
          <w:rtl/>
        </w:rPr>
        <w:t xml:space="preserve"> ص 466</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وجاء في المذكرة الإيضاحية للمشروع التمهيدي في خصوص هذا النص</w:t>
      </w:r>
      <w:r>
        <w:rPr>
          <w:rFonts w:hint="cs"/>
          <w:color w:val="0000FF"/>
          <w:sz w:val="28"/>
          <w:szCs w:val="28"/>
          <w:rtl/>
        </w:rPr>
        <w:t xml:space="preserve"> :</w:t>
      </w:r>
      <w:r w:rsidRPr="00923B1A">
        <w:rPr>
          <w:rFonts w:hint="cs"/>
          <w:color w:val="0000FF"/>
          <w:sz w:val="28"/>
          <w:szCs w:val="28"/>
          <w:rtl/>
        </w:rPr>
        <w:t xml:space="preserve"> "تنص المادة 498/608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على أنه في حالة عدم وجود شرط صريح لا تكون الكفالة إلا على أصل الدين</w:t>
      </w:r>
      <w:r>
        <w:rPr>
          <w:rFonts w:hint="cs"/>
          <w:color w:val="0000FF"/>
          <w:sz w:val="28"/>
          <w:szCs w:val="28"/>
          <w:rtl/>
        </w:rPr>
        <w:t xml:space="preserve"> ،</w:t>
      </w:r>
      <w:r w:rsidRPr="00923B1A">
        <w:rPr>
          <w:rFonts w:hint="cs"/>
          <w:color w:val="0000FF"/>
          <w:sz w:val="28"/>
          <w:szCs w:val="28"/>
          <w:rtl/>
        </w:rPr>
        <w:t xml:space="preserve"> ولا توجب التضامن</w:t>
      </w:r>
      <w:r>
        <w:rPr>
          <w:rFonts w:hint="cs"/>
          <w:color w:val="0000FF"/>
          <w:sz w:val="28"/>
          <w:szCs w:val="28"/>
          <w:rtl/>
        </w:rPr>
        <w:t xml:space="preserve"> .</w:t>
      </w:r>
      <w:r w:rsidRPr="00923B1A">
        <w:rPr>
          <w:rFonts w:hint="cs"/>
          <w:color w:val="0000FF"/>
          <w:sz w:val="28"/>
          <w:szCs w:val="28"/>
          <w:rtl/>
        </w:rPr>
        <w:t xml:space="preserve"> ويعاب على هذا النص أنه لم يحدد ملحقات الدين التي لا تشملها الكفالة</w:t>
      </w:r>
      <w:r>
        <w:rPr>
          <w:rFonts w:hint="cs"/>
          <w:color w:val="0000FF"/>
          <w:sz w:val="28"/>
          <w:szCs w:val="28"/>
          <w:rtl/>
        </w:rPr>
        <w:t xml:space="preserve"> ،</w:t>
      </w:r>
      <w:r w:rsidRPr="00923B1A">
        <w:rPr>
          <w:rFonts w:hint="cs"/>
          <w:color w:val="0000FF"/>
          <w:sz w:val="28"/>
          <w:szCs w:val="28"/>
          <w:rtl/>
        </w:rPr>
        <w:t xml:space="preserve"> وأنه يفتح بذلك مجالا للشك والخلاف بشأنها</w:t>
      </w:r>
      <w:r>
        <w:rPr>
          <w:rFonts w:hint="cs"/>
          <w:color w:val="0000FF"/>
          <w:sz w:val="28"/>
          <w:szCs w:val="28"/>
          <w:rtl/>
        </w:rPr>
        <w:t xml:space="preserve"> ،</w:t>
      </w:r>
      <w:r w:rsidRPr="00923B1A">
        <w:rPr>
          <w:rFonts w:hint="cs"/>
          <w:color w:val="0000FF"/>
          <w:sz w:val="28"/>
          <w:szCs w:val="28"/>
          <w:rtl/>
        </w:rPr>
        <w:t xml:space="preserve"> مع أن التقنين الفرنسي تعرض لها صراحة </w:t>
      </w:r>
      <w:r>
        <w:rPr>
          <w:rFonts w:hint="cs"/>
          <w:color w:val="0000FF"/>
          <w:sz w:val="28"/>
          <w:szCs w:val="28"/>
          <w:rtl/>
        </w:rPr>
        <w:t xml:space="preserve">( </w:t>
      </w:r>
      <w:r w:rsidRPr="00923B1A">
        <w:rPr>
          <w:rFonts w:hint="cs"/>
          <w:color w:val="0000FF"/>
          <w:sz w:val="28"/>
          <w:szCs w:val="28"/>
          <w:rtl/>
        </w:rPr>
        <w:t>م 2016</w:t>
      </w:r>
      <w:r>
        <w:rPr>
          <w:rFonts w:hint="cs"/>
          <w:color w:val="0000FF"/>
          <w:sz w:val="28"/>
          <w:szCs w:val="28"/>
          <w:rtl/>
        </w:rPr>
        <w:t xml:space="preserve"> ) ،</w:t>
      </w:r>
      <w:r w:rsidRPr="00923B1A">
        <w:rPr>
          <w:rFonts w:hint="cs"/>
          <w:color w:val="0000FF"/>
          <w:sz w:val="28"/>
          <w:szCs w:val="28"/>
          <w:rtl/>
        </w:rPr>
        <w:t xml:space="preserve"> كما أن الثابت بإجماع الفقه والقضاء </w:t>
      </w:r>
      <w:r>
        <w:rPr>
          <w:rFonts w:hint="cs"/>
          <w:color w:val="0000FF"/>
          <w:sz w:val="28"/>
          <w:szCs w:val="28"/>
          <w:rtl/>
        </w:rPr>
        <w:t xml:space="preserve">( </w:t>
      </w:r>
      <w:r w:rsidRPr="00923B1A">
        <w:rPr>
          <w:rFonts w:hint="cs"/>
          <w:color w:val="0000FF"/>
          <w:sz w:val="28"/>
          <w:szCs w:val="28"/>
          <w:rtl/>
        </w:rPr>
        <w:t xml:space="preserve">انظر على الأخص استئناف مختلط 20 فبراير سنة 1901م 13 ص 165 </w:t>
      </w:r>
      <w:r w:rsidRPr="00923B1A">
        <w:rPr>
          <w:color w:val="0000FF"/>
          <w:sz w:val="28"/>
          <w:szCs w:val="28"/>
          <w:rtl/>
        </w:rPr>
        <w:t>–</w:t>
      </w:r>
      <w:r w:rsidRPr="00923B1A">
        <w:rPr>
          <w:rFonts w:hint="cs"/>
          <w:color w:val="0000FF"/>
          <w:sz w:val="28"/>
          <w:szCs w:val="28"/>
          <w:rtl/>
        </w:rPr>
        <w:t xml:space="preserve"> 23 ديسمبر سنة 1914م 27 ص 78 </w:t>
      </w:r>
      <w:r w:rsidRPr="00923B1A">
        <w:rPr>
          <w:color w:val="0000FF"/>
          <w:sz w:val="28"/>
          <w:szCs w:val="28"/>
          <w:rtl/>
        </w:rPr>
        <w:t>–</w:t>
      </w:r>
      <w:r w:rsidRPr="00923B1A">
        <w:rPr>
          <w:rFonts w:hint="cs"/>
          <w:color w:val="0000FF"/>
          <w:sz w:val="28"/>
          <w:szCs w:val="28"/>
          <w:rtl/>
        </w:rPr>
        <w:t xml:space="preserve"> أبريل سنة 1916م 28 ص 233</w:t>
      </w:r>
      <w:r>
        <w:rPr>
          <w:rFonts w:hint="cs"/>
          <w:color w:val="0000FF"/>
          <w:sz w:val="28"/>
          <w:szCs w:val="28"/>
          <w:rtl/>
        </w:rPr>
        <w:t xml:space="preserve"> )</w:t>
      </w:r>
      <w:r w:rsidRPr="00923B1A">
        <w:rPr>
          <w:rFonts w:hint="cs"/>
          <w:color w:val="0000FF"/>
          <w:sz w:val="28"/>
          <w:szCs w:val="28"/>
          <w:rtl/>
        </w:rPr>
        <w:t xml:space="preserve"> أن المشرع المصري لم يقصد استبعاد الفوائد التأخيرية ولا المصروفات الخاصة بالمطالبة الأولى أو المصروفات اللاحقة لمطالبة الكفيل</w:t>
      </w:r>
      <w:r>
        <w:rPr>
          <w:rFonts w:hint="cs"/>
          <w:color w:val="0000FF"/>
          <w:sz w:val="28"/>
          <w:szCs w:val="28"/>
          <w:rtl/>
        </w:rPr>
        <w:t xml:space="preserve"> ،</w:t>
      </w:r>
      <w:r w:rsidRPr="00923B1A">
        <w:rPr>
          <w:rFonts w:hint="cs"/>
          <w:color w:val="0000FF"/>
          <w:sz w:val="28"/>
          <w:szCs w:val="28"/>
          <w:rtl/>
        </w:rPr>
        <w:t xml:space="preserve"> وهي التي يدخلها جميعاً التقنين الفرنسي </w:t>
      </w:r>
      <w:r>
        <w:rPr>
          <w:rFonts w:hint="cs"/>
          <w:color w:val="0000FF"/>
          <w:sz w:val="28"/>
          <w:szCs w:val="28"/>
          <w:rtl/>
        </w:rPr>
        <w:t xml:space="preserve">( </w:t>
      </w:r>
      <w:r w:rsidRPr="00923B1A">
        <w:rPr>
          <w:rFonts w:hint="cs"/>
          <w:color w:val="0000FF"/>
          <w:sz w:val="28"/>
          <w:szCs w:val="28"/>
          <w:rtl/>
        </w:rPr>
        <w:t>م 2016</w:t>
      </w:r>
      <w:r>
        <w:rPr>
          <w:rFonts w:hint="cs"/>
          <w:color w:val="0000FF"/>
          <w:sz w:val="28"/>
          <w:szCs w:val="28"/>
          <w:rtl/>
        </w:rPr>
        <w:t xml:space="preserve"> )</w:t>
      </w:r>
      <w:r w:rsidRPr="00923B1A">
        <w:rPr>
          <w:rFonts w:hint="cs"/>
          <w:color w:val="0000FF"/>
          <w:sz w:val="28"/>
          <w:szCs w:val="28"/>
          <w:rtl/>
        </w:rPr>
        <w:t xml:space="preserve"> صراحة في نطاق الكفالة</w:t>
      </w:r>
      <w:r>
        <w:rPr>
          <w:rFonts w:hint="cs"/>
          <w:color w:val="0000FF"/>
          <w:sz w:val="28"/>
          <w:szCs w:val="28"/>
          <w:rtl/>
        </w:rPr>
        <w:t xml:space="preserve"> .</w:t>
      </w:r>
      <w:r w:rsidRPr="00923B1A">
        <w:rPr>
          <w:rFonts w:hint="cs"/>
          <w:color w:val="0000FF"/>
          <w:sz w:val="28"/>
          <w:szCs w:val="28"/>
          <w:rtl/>
        </w:rPr>
        <w:t xml:space="preserve"> وكأن المشرع المصري إذن حين نص في المادة 498/608 على أن الكفالة لا تمتد إلى توابع الدين</w:t>
      </w:r>
      <w:r>
        <w:rPr>
          <w:rFonts w:hint="cs"/>
          <w:color w:val="0000FF"/>
          <w:sz w:val="28"/>
          <w:szCs w:val="28"/>
          <w:rtl/>
        </w:rPr>
        <w:t xml:space="preserve"> ،</w:t>
      </w:r>
      <w:r w:rsidRPr="00923B1A">
        <w:rPr>
          <w:rFonts w:hint="cs"/>
          <w:color w:val="0000FF"/>
          <w:sz w:val="28"/>
          <w:szCs w:val="28"/>
          <w:rtl/>
        </w:rPr>
        <w:t xml:space="preserve"> إنما قصد حالة الدين المؤجل الذي يذكر مقداره في العقد</w:t>
      </w:r>
      <w:r>
        <w:rPr>
          <w:rFonts w:hint="cs"/>
          <w:color w:val="0000FF"/>
          <w:sz w:val="28"/>
          <w:szCs w:val="28"/>
          <w:rtl/>
        </w:rPr>
        <w:t xml:space="preserve"> ،</w:t>
      </w:r>
      <w:r w:rsidRPr="00923B1A">
        <w:rPr>
          <w:rFonts w:hint="cs"/>
          <w:color w:val="0000FF"/>
          <w:sz w:val="28"/>
          <w:szCs w:val="28"/>
          <w:rtl/>
        </w:rPr>
        <w:t xml:space="preserve"> فإن كفالته لا تشمل الفوائد في المدة من وقت العقد إلى حلول الأجل إلا إذا اشترط ذلك </w:t>
      </w:r>
      <w:r>
        <w:rPr>
          <w:rFonts w:hint="cs"/>
          <w:color w:val="0000FF"/>
          <w:sz w:val="28"/>
          <w:szCs w:val="28"/>
          <w:rtl/>
        </w:rPr>
        <w:t xml:space="preserve">( </w:t>
      </w:r>
      <w:r w:rsidRPr="00923B1A">
        <w:rPr>
          <w:rFonts w:hint="cs"/>
          <w:color w:val="0000FF"/>
          <w:sz w:val="28"/>
          <w:szCs w:val="28"/>
          <w:rtl/>
        </w:rPr>
        <w:t>راجع استئناف مختلط 4 مايو سنة 1926م 38 ص 387</w:t>
      </w:r>
      <w:r>
        <w:rPr>
          <w:rFonts w:hint="cs"/>
          <w:color w:val="0000FF"/>
          <w:sz w:val="28"/>
          <w:szCs w:val="28"/>
          <w:rtl/>
        </w:rPr>
        <w:t xml:space="preserve"> ) .</w:t>
      </w:r>
      <w:r w:rsidRPr="00923B1A">
        <w:rPr>
          <w:rFonts w:hint="cs"/>
          <w:color w:val="0000FF"/>
          <w:sz w:val="28"/>
          <w:szCs w:val="28"/>
          <w:rtl/>
        </w:rPr>
        <w:t xml:space="preserve"> ولكن هذا الفرض نادر في العمل</w:t>
      </w:r>
      <w:r>
        <w:rPr>
          <w:rFonts w:hint="cs"/>
          <w:color w:val="0000FF"/>
          <w:sz w:val="28"/>
          <w:szCs w:val="28"/>
          <w:rtl/>
        </w:rPr>
        <w:t xml:space="preserve"> ،</w:t>
      </w:r>
      <w:r w:rsidRPr="00923B1A">
        <w:rPr>
          <w:rFonts w:hint="cs"/>
          <w:color w:val="0000FF"/>
          <w:sz w:val="28"/>
          <w:szCs w:val="28"/>
          <w:rtl/>
        </w:rPr>
        <w:t xml:space="preserve"> لأنه قلما يغفل سند الدين عن اشتراط الفوائد</w:t>
      </w:r>
      <w:r>
        <w:rPr>
          <w:rFonts w:hint="cs"/>
          <w:color w:val="0000FF"/>
          <w:sz w:val="28"/>
          <w:szCs w:val="28"/>
          <w:rtl/>
        </w:rPr>
        <w:t xml:space="preserve"> .</w:t>
      </w:r>
      <w:r w:rsidRPr="00923B1A">
        <w:rPr>
          <w:rFonts w:hint="cs"/>
          <w:color w:val="0000FF"/>
          <w:sz w:val="28"/>
          <w:szCs w:val="28"/>
          <w:rtl/>
        </w:rPr>
        <w:t xml:space="preserve"> أما نص الفقرة الثانية من المادة 498/608 مصري فلا صلة له مطلقاً بفقرتها الأولى</w:t>
      </w:r>
      <w:r>
        <w:rPr>
          <w:rFonts w:hint="cs"/>
          <w:color w:val="0000FF"/>
          <w:sz w:val="28"/>
          <w:szCs w:val="28"/>
          <w:rtl/>
        </w:rPr>
        <w:t xml:space="preserve"> ،</w:t>
      </w:r>
      <w:r w:rsidRPr="00923B1A">
        <w:rPr>
          <w:rFonts w:hint="cs"/>
          <w:color w:val="0000FF"/>
          <w:sz w:val="28"/>
          <w:szCs w:val="28"/>
          <w:rtl/>
        </w:rPr>
        <w:t xml:space="preserve"> إذ هو يعرض للكفالة التضامنية</w:t>
      </w:r>
      <w:r>
        <w:rPr>
          <w:rFonts w:hint="cs"/>
          <w:color w:val="0000FF"/>
          <w:sz w:val="28"/>
          <w:szCs w:val="28"/>
          <w:rtl/>
        </w:rPr>
        <w:t xml:space="preserve"> ،</w:t>
      </w:r>
      <w:r w:rsidRPr="00923B1A">
        <w:rPr>
          <w:rFonts w:hint="cs"/>
          <w:color w:val="0000FF"/>
          <w:sz w:val="28"/>
          <w:szCs w:val="28"/>
          <w:rtl/>
        </w:rPr>
        <w:t xml:space="preserve"> وليس هنا محل الكلام عنها</w:t>
      </w:r>
      <w:r>
        <w:rPr>
          <w:rFonts w:hint="cs"/>
          <w:color w:val="0000FF"/>
          <w:sz w:val="28"/>
          <w:szCs w:val="28"/>
          <w:rtl/>
        </w:rPr>
        <w:t xml:space="preserve"> .</w:t>
      </w:r>
      <w:r w:rsidRPr="00923B1A">
        <w:rPr>
          <w:rFonts w:hint="cs"/>
          <w:color w:val="0000FF"/>
          <w:sz w:val="28"/>
          <w:szCs w:val="28"/>
          <w:rtl/>
        </w:rPr>
        <w:t xml:space="preserve"> لذلك فضل المشروع أن ينقل نص المادة 714 من المشروع الفرنسي الإيطالي</w:t>
      </w:r>
      <w:r>
        <w:rPr>
          <w:rFonts w:hint="cs"/>
          <w:color w:val="0000FF"/>
          <w:sz w:val="28"/>
          <w:szCs w:val="28"/>
          <w:rtl/>
        </w:rPr>
        <w:t xml:space="preserve"> .</w:t>
      </w:r>
      <w:r w:rsidRPr="00923B1A">
        <w:rPr>
          <w:rFonts w:hint="cs"/>
          <w:color w:val="0000FF"/>
          <w:sz w:val="28"/>
          <w:szCs w:val="28"/>
          <w:rtl/>
        </w:rPr>
        <w:t xml:space="preserve"> ويمتاز هذا النص بأنه فضلا عن تحديده للملحقات</w:t>
      </w:r>
      <w:r>
        <w:rPr>
          <w:rFonts w:hint="cs"/>
          <w:color w:val="0000FF"/>
          <w:sz w:val="28"/>
          <w:szCs w:val="28"/>
          <w:rtl/>
        </w:rPr>
        <w:t xml:space="preserve"> ،</w:t>
      </w:r>
      <w:r w:rsidRPr="00923B1A">
        <w:rPr>
          <w:rFonts w:hint="cs"/>
          <w:color w:val="0000FF"/>
          <w:sz w:val="28"/>
          <w:szCs w:val="28"/>
          <w:rtl/>
        </w:rPr>
        <w:t xml:space="preserve"> يدخلها ضمن الكفالة</w:t>
      </w:r>
      <w:r>
        <w:rPr>
          <w:rFonts w:hint="cs"/>
          <w:color w:val="0000FF"/>
          <w:sz w:val="28"/>
          <w:szCs w:val="28"/>
          <w:rtl/>
        </w:rPr>
        <w:t xml:space="preserve"> .</w:t>
      </w:r>
      <w:r w:rsidRPr="00923B1A">
        <w:rPr>
          <w:rFonts w:hint="cs"/>
          <w:color w:val="0000FF"/>
          <w:sz w:val="28"/>
          <w:szCs w:val="28"/>
          <w:rtl/>
        </w:rPr>
        <w:t xml:space="preserve"> وهو الحكم الواجب الأخذ به كما رأينا</w:t>
      </w:r>
      <w:r>
        <w:rPr>
          <w:rFonts w:hint="cs"/>
          <w:color w:val="0000FF"/>
          <w:sz w:val="28"/>
          <w:szCs w:val="28"/>
          <w:rtl/>
        </w:rPr>
        <w:t xml:space="preserve"> .</w:t>
      </w:r>
      <w:r w:rsidRPr="00923B1A">
        <w:rPr>
          <w:rFonts w:hint="cs"/>
          <w:color w:val="0000FF"/>
          <w:sz w:val="28"/>
          <w:szCs w:val="28"/>
          <w:rtl/>
        </w:rPr>
        <w:t xml:space="preserve"> كذلك يعنينا النص الجديد في الوقت نفسه من المادة 499/609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 ،</w:t>
      </w:r>
      <w:r w:rsidRPr="00923B1A">
        <w:rPr>
          <w:rFonts w:hint="cs"/>
          <w:color w:val="0000FF"/>
          <w:sz w:val="28"/>
          <w:szCs w:val="28"/>
          <w:rtl/>
        </w:rPr>
        <w:t xml:space="preserve"> لأن الكفالة القضائية سيرد الكلام عنها في باب الكفالة التضامنية على العموم" </w:t>
      </w:r>
      <w:r>
        <w:rPr>
          <w:rFonts w:hint="cs"/>
          <w:color w:val="0000FF"/>
          <w:sz w:val="28"/>
          <w:szCs w:val="28"/>
          <w:rtl/>
        </w:rPr>
        <w:t xml:space="preserve">( </w:t>
      </w:r>
      <w:r w:rsidRPr="00923B1A">
        <w:rPr>
          <w:rFonts w:hint="cs"/>
          <w:color w:val="0000FF"/>
          <w:sz w:val="28"/>
          <w:szCs w:val="28"/>
          <w:rtl/>
        </w:rPr>
        <w:t>مجموعة الأعمال التحضيرية 5 ص 465</w:t>
      </w:r>
      <w:r>
        <w:rPr>
          <w:rFonts w:hint="cs"/>
          <w:color w:val="0000FF"/>
          <w:sz w:val="28"/>
          <w:szCs w:val="28"/>
          <w:rtl/>
        </w:rPr>
        <w:t xml:space="preserve"> )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747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990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1015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1066</w:t>
      </w:r>
      <w:r>
        <w:rPr>
          <w:rFonts w:hint="cs"/>
          <w:color w:val="0000FF"/>
          <w:sz w:val="28"/>
          <w:szCs w:val="28"/>
          <w:rtl/>
        </w:rPr>
        <w:t xml:space="preserve"> :</w:t>
      </w:r>
      <w:r w:rsidRPr="00923B1A">
        <w:rPr>
          <w:rFonts w:hint="cs"/>
          <w:color w:val="0000FF"/>
          <w:sz w:val="28"/>
          <w:szCs w:val="28"/>
          <w:rtl/>
        </w:rPr>
        <w:t xml:space="preserve"> إذا لم تكن الكفالة محددة صراحة بمبلغ العين أو بجزء معلوم من الدين فإن الكفيل يضمن أيضاً بدل العطل والضرر والمصاريف التي حكم بها على المديون الأصلي لعدم تنفيذه الموجب</w:t>
      </w:r>
      <w:r>
        <w:rPr>
          <w:rFonts w:hint="cs"/>
          <w:color w:val="0000FF"/>
          <w:sz w:val="28"/>
          <w:szCs w:val="28"/>
          <w:rtl/>
        </w:rPr>
        <w:t xml:space="preserve"> .</w:t>
      </w:r>
      <w:r w:rsidRPr="00923B1A">
        <w:rPr>
          <w:rFonts w:hint="cs"/>
          <w:color w:val="0000FF"/>
          <w:sz w:val="28"/>
          <w:szCs w:val="28"/>
          <w:rtl/>
        </w:rPr>
        <w:t xml:space="preserve"> ولا يكون الكفيل مسئولا عن الموجبات الجديدة التي عقدها المديون الأصلي بعد إنشاء الالتزام المكفول</w:t>
      </w:r>
      <w:r>
        <w:rPr>
          <w:rFonts w:hint="cs"/>
          <w:color w:val="0000FF"/>
          <w:sz w:val="28"/>
          <w:szCs w:val="28"/>
          <w:rtl/>
        </w:rPr>
        <w:t xml:space="preserve"> .</w:t>
      </w:r>
      <w:r w:rsidRPr="00923B1A">
        <w:rPr>
          <w:rFonts w:hint="cs"/>
          <w:color w:val="0000FF"/>
          <w:sz w:val="28"/>
          <w:szCs w:val="28"/>
          <w:rtl/>
        </w:rPr>
        <w:t xml:space="preserve"> غير أن إذا كان الكفيل قد كفل صراحة تنفيذ كل ما التزمه المديون بسبب العقد</w:t>
      </w:r>
      <w:r>
        <w:rPr>
          <w:rFonts w:hint="cs"/>
          <w:color w:val="0000FF"/>
          <w:sz w:val="28"/>
          <w:szCs w:val="28"/>
          <w:rtl/>
        </w:rPr>
        <w:t xml:space="preserve"> ،</w:t>
      </w:r>
      <w:r w:rsidRPr="00923B1A">
        <w:rPr>
          <w:rFonts w:hint="cs"/>
          <w:color w:val="0000FF"/>
          <w:sz w:val="28"/>
          <w:szCs w:val="28"/>
          <w:rtl/>
        </w:rPr>
        <w:t xml:space="preserve"> كان مسئولا كالمديون الأصلي عن جميع الموجبات التي يمكن أن يكون هذا المديون مسئولا عنه بمقتضى العقد</w:t>
      </w:r>
      <w:r>
        <w:rPr>
          <w:rFonts w:hint="cs"/>
          <w:color w:val="0000FF"/>
          <w:sz w:val="28"/>
          <w:szCs w:val="28"/>
          <w:rtl/>
        </w:rPr>
        <w:t xml:space="preserve"> .</w:t>
      </w:r>
    </w:p>
  </w:footnote>
  <w:footnote w:id="13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 كفل الالتزام الناشئة عن عقد معين</w:t>
      </w:r>
      <w:r>
        <w:rPr>
          <w:rFonts w:hint="cs"/>
          <w:color w:val="0000FF"/>
          <w:sz w:val="28"/>
          <w:szCs w:val="28"/>
          <w:rtl/>
        </w:rPr>
        <w:t xml:space="preserve"> .</w:t>
      </w:r>
      <w:r w:rsidRPr="00923B1A">
        <w:rPr>
          <w:rFonts w:hint="cs"/>
          <w:color w:val="0000FF"/>
          <w:sz w:val="28"/>
          <w:szCs w:val="28"/>
          <w:rtl/>
        </w:rPr>
        <w:t xml:space="preserve"> وقد نصت الفقرة الأخيرة من المادة 1066 لبناني على أنه "إذا كان الكفيل قد كفل صراحة تنفيذ كل ما التزمه المديون بسبب العقد</w:t>
      </w:r>
      <w:r>
        <w:rPr>
          <w:rFonts w:hint="cs"/>
          <w:color w:val="0000FF"/>
          <w:sz w:val="28"/>
          <w:szCs w:val="28"/>
          <w:rtl/>
        </w:rPr>
        <w:t xml:space="preserve"> ،</w:t>
      </w:r>
      <w:r w:rsidRPr="00923B1A">
        <w:rPr>
          <w:rFonts w:hint="cs"/>
          <w:color w:val="0000FF"/>
          <w:sz w:val="28"/>
          <w:szCs w:val="28"/>
          <w:rtl/>
        </w:rPr>
        <w:t xml:space="preserve"> كان مسئولا كالمدين الأصلي عن جميع الموجبات التي يمكن أن يكون هذا المديون مسئولا عنها بمقتضى العقد"</w:t>
      </w:r>
      <w:r>
        <w:rPr>
          <w:rFonts w:hint="cs"/>
          <w:color w:val="0000FF"/>
          <w:sz w:val="28"/>
          <w:szCs w:val="28"/>
          <w:rtl/>
        </w:rPr>
        <w:t xml:space="preserve"> .</w:t>
      </w:r>
    </w:p>
  </w:footnote>
  <w:footnote w:id="14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ويضمن الكفيل فوائد الدين حتى لو شهر إفلاس المدين الأصلي</w:t>
      </w:r>
      <w:r>
        <w:rPr>
          <w:rFonts w:hint="cs"/>
          <w:color w:val="0000FF"/>
          <w:sz w:val="28"/>
          <w:szCs w:val="28"/>
          <w:rtl/>
        </w:rPr>
        <w:t xml:space="preserve"> ،</w:t>
      </w:r>
      <w:r w:rsidRPr="00923B1A">
        <w:rPr>
          <w:rFonts w:hint="cs"/>
          <w:color w:val="0000FF"/>
          <w:sz w:val="28"/>
          <w:szCs w:val="28"/>
          <w:rtl/>
        </w:rPr>
        <w:t xml:space="preserve"> فإن شهر الإفلاس لا يوقف الفوائد إلا بالنسبة لدائني التفليسة </w:t>
      </w:r>
      <w:r>
        <w:rPr>
          <w:rFonts w:hint="cs"/>
          <w:color w:val="0000FF"/>
          <w:sz w:val="28"/>
          <w:szCs w:val="28"/>
          <w:rtl/>
        </w:rPr>
        <w:t xml:space="preserve">( </w:t>
      </w:r>
      <w:r w:rsidRPr="00923B1A">
        <w:rPr>
          <w:rFonts w:hint="cs"/>
          <w:color w:val="0000FF"/>
          <w:sz w:val="28"/>
          <w:szCs w:val="28"/>
          <w:rtl/>
        </w:rPr>
        <w:t>بلانيول وريبير وسافاتييه فقرة 996 مكررة ص 535</w:t>
      </w:r>
      <w:r>
        <w:rPr>
          <w:rFonts w:hint="cs"/>
          <w:color w:val="0000FF"/>
          <w:sz w:val="28"/>
          <w:szCs w:val="28"/>
          <w:rtl/>
        </w:rPr>
        <w:t xml:space="preserve"> ) .</w:t>
      </w:r>
    </w:p>
  </w:footnote>
  <w:footnote w:id="14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 1066 لبناني </w:t>
      </w:r>
      <w:r w:rsidRPr="00923B1A">
        <w:rPr>
          <w:color w:val="0000FF"/>
          <w:sz w:val="28"/>
          <w:szCs w:val="28"/>
          <w:rtl/>
        </w:rPr>
        <w:t>–</w:t>
      </w:r>
      <w:r w:rsidRPr="00923B1A">
        <w:rPr>
          <w:rFonts w:hint="cs"/>
          <w:color w:val="0000FF"/>
          <w:sz w:val="28"/>
          <w:szCs w:val="28"/>
          <w:rtl/>
        </w:rPr>
        <w:t xml:space="preserve"> بودري وفال فقرة 996 مكررة ص 535</w:t>
      </w:r>
      <w:r>
        <w:rPr>
          <w:rFonts w:hint="cs"/>
          <w:color w:val="0000FF"/>
          <w:sz w:val="28"/>
          <w:szCs w:val="28"/>
          <w:rtl/>
        </w:rPr>
        <w:t xml:space="preserve"> .</w:t>
      </w:r>
    </w:p>
  </w:footnote>
  <w:footnote w:id="14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280 </w:t>
      </w:r>
      <w:r w:rsidRPr="00923B1A">
        <w:rPr>
          <w:color w:val="0000FF"/>
          <w:sz w:val="28"/>
          <w:szCs w:val="28"/>
          <w:rtl/>
        </w:rPr>
        <w:t>–</w:t>
      </w:r>
      <w:r w:rsidRPr="00923B1A">
        <w:rPr>
          <w:rFonts w:hint="cs"/>
          <w:color w:val="0000FF"/>
          <w:sz w:val="28"/>
          <w:szCs w:val="28"/>
          <w:rtl/>
        </w:rPr>
        <w:t xml:space="preserve"> بلانيول وريبير وسافاتييه فقرة 1531 ص 981 هامش 7</w:t>
      </w:r>
      <w:r>
        <w:rPr>
          <w:rFonts w:hint="cs"/>
          <w:color w:val="0000FF"/>
          <w:sz w:val="28"/>
          <w:szCs w:val="28"/>
          <w:rtl/>
        </w:rPr>
        <w:t xml:space="preserve"> .</w:t>
      </w:r>
    </w:p>
  </w:footnote>
  <w:footnote w:id="14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279 </w:t>
      </w:r>
      <w:r w:rsidRPr="00923B1A">
        <w:rPr>
          <w:color w:val="0000FF"/>
          <w:sz w:val="28"/>
          <w:szCs w:val="28"/>
          <w:rtl/>
        </w:rPr>
        <w:t>–</w:t>
      </w:r>
      <w:r w:rsidRPr="00923B1A">
        <w:rPr>
          <w:rFonts w:hint="cs"/>
          <w:color w:val="0000FF"/>
          <w:sz w:val="28"/>
          <w:szCs w:val="28"/>
          <w:rtl/>
        </w:rPr>
        <w:t xml:space="preserve"> بلانيول وريبير وسافاتييه فقرة 1531 ص 981</w:t>
      </w:r>
      <w:r>
        <w:rPr>
          <w:rFonts w:hint="cs"/>
          <w:color w:val="0000FF"/>
          <w:sz w:val="28"/>
          <w:szCs w:val="28"/>
          <w:rtl/>
        </w:rPr>
        <w:t xml:space="preserve"> .</w:t>
      </w:r>
    </w:p>
  </w:footnote>
  <w:footnote w:id="14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280 </w:t>
      </w:r>
      <w:r w:rsidRPr="00923B1A">
        <w:rPr>
          <w:color w:val="0000FF"/>
          <w:sz w:val="28"/>
          <w:szCs w:val="28"/>
          <w:rtl/>
        </w:rPr>
        <w:t>–</w:t>
      </w:r>
      <w:r w:rsidRPr="00923B1A">
        <w:rPr>
          <w:rFonts w:hint="cs"/>
          <w:color w:val="0000FF"/>
          <w:sz w:val="28"/>
          <w:szCs w:val="28"/>
          <w:rtl/>
        </w:rPr>
        <w:t xml:space="preserve"> بلانيول وريبير وسافاتييه فقرة 1531 982</w:t>
      </w:r>
      <w:r>
        <w:rPr>
          <w:rFonts w:hint="cs"/>
          <w:color w:val="0000FF"/>
          <w:sz w:val="28"/>
          <w:szCs w:val="28"/>
          <w:rtl/>
        </w:rPr>
        <w:t xml:space="preserve"> .</w:t>
      </w:r>
    </w:p>
  </w:footnote>
  <w:footnote w:id="14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279 </w:t>
      </w:r>
      <w:r w:rsidRPr="00923B1A">
        <w:rPr>
          <w:color w:val="0000FF"/>
          <w:sz w:val="28"/>
          <w:szCs w:val="28"/>
          <w:rtl/>
        </w:rPr>
        <w:t>–</w:t>
      </w:r>
      <w:r w:rsidRPr="00923B1A">
        <w:rPr>
          <w:rFonts w:hint="cs"/>
          <w:color w:val="0000FF"/>
          <w:sz w:val="28"/>
          <w:szCs w:val="28"/>
          <w:rtl/>
        </w:rPr>
        <w:t xml:space="preserve"> 280 </w:t>
      </w:r>
      <w:r w:rsidRPr="00923B1A">
        <w:rPr>
          <w:color w:val="0000FF"/>
          <w:sz w:val="28"/>
          <w:szCs w:val="28"/>
          <w:rtl/>
        </w:rPr>
        <w:t>–</w:t>
      </w:r>
      <w:r w:rsidRPr="00923B1A">
        <w:rPr>
          <w:rFonts w:hint="cs"/>
          <w:color w:val="0000FF"/>
          <w:sz w:val="28"/>
          <w:szCs w:val="28"/>
          <w:rtl/>
        </w:rPr>
        <w:t xml:space="preserve"> بودري وفال فقرة 998 </w:t>
      </w:r>
      <w:r w:rsidRPr="00923B1A">
        <w:rPr>
          <w:color w:val="0000FF"/>
          <w:sz w:val="28"/>
          <w:szCs w:val="28"/>
          <w:rtl/>
        </w:rPr>
        <w:t>–</w:t>
      </w:r>
      <w:r w:rsidRPr="00923B1A">
        <w:rPr>
          <w:rFonts w:hint="cs"/>
          <w:color w:val="0000FF"/>
          <w:sz w:val="28"/>
          <w:szCs w:val="28"/>
          <w:rtl/>
        </w:rPr>
        <w:t xml:space="preserve"> بلانيول وريبير وسافاتييه فقرة 1530 ص 981</w:t>
      </w:r>
      <w:r>
        <w:rPr>
          <w:rFonts w:hint="cs"/>
          <w:color w:val="0000FF"/>
          <w:sz w:val="28"/>
          <w:szCs w:val="28"/>
          <w:rtl/>
        </w:rPr>
        <w:t xml:space="preserve"> .</w:t>
      </w:r>
    </w:p>
  </w:footnote>
  <w:footnote w:id="14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1530 ص 981 وهامش 1 </w:t>
      </w:r>
      <w:r w:rsidRPr="00923B1A">
        <w:rPr>
          <w:color w:val="0000FF"/>
          <w:sz w:val="28"/>
          <w:szCs w:val="28"/>
          <w:rtl/>
        </w:rPr>
        <w:t>–</w:t>
      </w:r>
      <w:r w:rsidRPr="00923B1A">
        <w:rPr>
          <w:rFonts w:hint="cs"/>
          <w:color w:val="0000FF"/>
          <w:sz w:val="28"/>
          <w:szCs w:val="28"/>
          <w:rtl/>
        </w:rPr>
        <w:t xml:space="preserve"> بوردو 19 يوليه سنة 1849 داللوز 1850 </w:t>
      </w:r>
      <w:r w:rsidRPr="00923B1A">
        <w:rPr>
          <w:color w:val="0000FF"/>
          <w:sz w:val="28"/>
          <w:szCs w:val="28"/>
          <w:rtl/>
        </w:rPr>
        <w:t>–</w:t>
      </w:r>
      <w:r w:rsidRPr="00923B1A">
        <w:rPr>
          <w:rFonts w:hint="cs"/>
          <w:color w:val="0000FF"/>
          <w:sz w:val="28"/>
          <w:szCs w:val="28"/>
          <w:rtl/>
        </w:rPr>
        <w:t xml:space="preserve"> 2- 59</w:t>
      </w:r>
      <w:r>
        <w:rPr>
          <w:rFonts w:hint="cs"/>
          <w:color w:val="0000FF"/>
          <w:sz w:val="28"/>
          <w:szCs w:val="28"/>
          <w:rtl/>
        </w:rPr>
        <w:t xml:space="preserve"> .</w:t>
      </w:r>
    </w:p>
  </w:footnote>
  <w:footnote w:id="14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1530 ص 981 </w:t>
      </w:r>
      <w:r w:rsidRPr="00923B1A">
        <w:rPr>
          <w:color w:val="0000FF"/>
          <w:sz w:val="28"/>
          <w:szCs w:val="28"/>
          <w:rtl/>
        </w:rPr>
        <w:t>–</w:t>
      </w:r>
      <w:r w:rsidRPr="00923B1A">
        <w:rPr>
          <w:rFonts w:hint="cs"/>
          <w:color w:val="0000FF"/>
          <w:sz w:val="28"/>
          <w:szCs w:val="28"/>
          <w:rtl/>
        </w:rPr>
        <w:t xml:space="preserve"> كولمار 25 نوفمبر سنة 1932 داللوز 1933 </w:t>
      </w:r>
      <w:r w:rsidRPr="00923B1A">
        <w:rPr>
          <w:color w:val="0000FF"/>
          <w:sz w:val="28"/>
          <w:szCs w:val="28"/>
          <w:rtl/>
        </w:rPr>
        <w:t>–</w:t>
      </w:r>
      <w:r w:rsidRPr="00923B1A">
        <w:rPr>
          <w:rFonts w:hint="cs"/>
          <w:color w:val="0000FF"/>
          <w:sz w:val="28"/>
          <w:szCs w:val="28"/>
          <w:rtl/>
        </w:rPr>
        <w:t xml:space="preserve"> 2- 96</w:t>
      </w:r>
      <w:r>
        <w:rPr>
          <w:rFonts w:hint="cs"/>
          <w:color w:val="0000FF"/>
          <w:sz w:val="28"/>
          <w:szCs w:val="28"/>
          <w:rtl/>
        </w:rPr>
        <w:t xml:space="preserve"> .</w:t>
      </w:r>
    </w:p>
  </w:footnote>
  <w:footnote w:id="14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1531</w:t>
      </w:r>
      <w:r>
        <w:rPr>
          <w:rFonts w:hint="cs"/>
          <w:color w:val="0000FF"/>
          <w:sz w:val="28"/>
          <w:szCs w:val="28"/>
          <w:rtl/>
        </w:rPr>
        <w:t xml:space="preserve"> .</w:t>
      </w:r>
    </w:p>
  </w:footnote>
  <w:footnote w:id="14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1531</w:t>
      </w:r>
      <w:r>
        <w:rPr>
          <w:rFonts w:hint="cs"/>
          <w:color w:val="0000FF"/>
          <w:sz w:val="28"/>
          <w:szCs w:val="28"/>
          <w:rtl/>
        </w:rPr>
        <w:t xml:space="preserve"> .</w:t>
      </w:r>
    </w:p>
  </w:footnote>
  <w:footnote w:id="15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996 مكررة ص 535</w:t>
      </w:r>
      <w:r>
        <w:rPr>
          <w:rFonts w:hint="cs"/>
          <w:color w:val="0000FF"/>
          <w:sz w:val="28"/>
          <w:szCs w:val="28"/>
          <w:rtl/>
        </w:rPr>
        <w:t xml:space="preserve"> .</w:t>
      </w:r>
    </w:p>
  </w:footnote>
  <w:footnote w:id="15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75 </w:t>
      </w:r>
      <w:r w:rsidRPr="00923B1A">
        <w:rPr>
          <w:color w:val="0000FF"/>
          <w:sz w:val="28"/>
          <w:szCs w:val="28"/>
          <w:rtl/>
        </w:rPr>
        <w:t>–</w:t>
      </w:r>
      <w:r w:rsidRPr="00923B1A">
        <w:rPr>
          <w:rFonts w:hint="cs"/>
          <w:color w:val="0000FF"/>
          <w:sz w:val="28"/>
          <w:szCs w:val="28"/>
          <w:rtl/>
        </w:rPr>
        <w:t xml:space="preserve"> بودري وفال فقرة 996 مكررة ص 535</w:t>
      </w:r>
      <w:r>
        <w:rPr>
          <w:rFonts w:hint="cs"/>
          <w:color w:val="0000FF"/>
          <w:sz w:val="28"/>
          <w:szCs w:val="28"/>
          <w:rtl/>
        </w:rPr>
        <w:t xml:space="preserve"> .</w:t>
      </w:r>
    </w:p>
  </w:footnote>
  <w:footnote w:id="15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997</w:t>
      </w:r>
      <w:r>
        <w:rPr>
          <w:rFonts w:hint="cs"/>
          <w:color w:val="0000FF"/>
          <w:sz w:val="28"/>
          <w:szCs w:val="28"/>
          <w:rtl/>
        </w:rPr>
        <w:t xml:space="preserve"> .</w:t>
      </w:r>
    </w:p>
  </w:footnote>
  <w:footnote w:id="15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1000 </w:t>
      </w:r>
      <w:r w:rsidRPr="00923B1A">
        <w:rPr>
          <w:color w:val="0000FF"/>
          <w:sz w:val="28"/>
          <w:szCs w:val="28"/>
          <w:rtl/>
        </w:rPr>
        <w:t>–</w:t>
      </w:r>
      <w:r w:rsidRPr="00923B1A">
        <w:rPr>
          <w:rFonts w:hint="cs"/>
          <w:color w:val="0000FF"/>
          <w:sz w:val="28"/>
          <w:szCs w:val="28"/>
          <w:rtl/>
        </w:rPr>
        <w:t xml:space="preserve"> وإذا زور المدين عقد الكفالة</w:t>
      </w:r>
      <w:r>
        <w:rPr>
          <w:rFonts w:hint="cs"/>
          <w:color w:val="0000FF"/>
          <w:sz w:val="28"/>
          <w:szCs w:val="28"/>
          <w:rtl/>
        </w:rPr>
        <w:t xml:space="preserve"> ،</w:t>
      </w:r>
      <w:r w:rsidRPr="00923B1A">
        <w:rPr>
          <w:rFonts w:hint="cs"/>
          <w:color w:val="0000FF"/>
          <w:sz w:val="28"/>
          <w:szCs w:val="28"/>
          <w:rtl/>
        </w:rPr>
        <w:t xml:space="preserve"> فرفع الرقم الذي كفله الكفيل</w:t>
      </w:r>
      <w:r>
        <w:rPr>
          <w:rFonts w:hint="cs"/>
          <w:color w:val="0000FF"/>
          <w:sz w:val="28"/>
          <w:szCs w:val="28"/>
          <w:rtl/>
        </w:rPr>
        <w:t xml:space="preserve"> ،</w:t>
      </w:r>
      <w:r w:rsidRPr="00923B1A">
        <w:rPr>
          <w:rFonts w:hint="cs"/>
          <w:color w:val="0000FF"/>
          <w:sz w:val="28"/>
          <w:szCs w:val="28"/>
          <w:rtl/>
        </w:rPr>
        <w:t xml:space="preserve"> لم يكن الكفيل ملزماً</w:t>
      </w:r>
      <w:r>
        <w:rPr>
          <w:rFonts w:hint="cs"/>
          <w:color w:val="0000FF"/>
          <w:sz w:val="28"/>
          <w:szCs w:val="28"/>
          <w:rtl/>
        </w:rPr>
        <w:t xml:space="preserve"> ،</w:t>
      </w:r>
      <w:r w:rsidRPr="00923B1A">
        <w:rPr>
          <w:rFonts w:hint="cs"/>
          <w:color w:val="0000FF"/>
          <w:sz w:val="28"/>
          <w:szCs w:val="28"/>
          <w:rtl/>
        </w:rPr>
        <w:t xml:space="preserve"> حتى بالنسبة إلى الغير حسن النية</w:t>
      </w:r>
      <w:r>
        <w:rPr>
          <w:rFonts w:hint="cs"/>
          <w:color w:val="0000FF"/>
          <w:sz w:val="28"/>
          <w:szCs w:val="28"/>
          <w:rtl/>
        </w:rPr>
        <w:t xml:space="preserve"> ،</w:t>
      </w:r>
      <w:r w:rsidRPr="00923B1A">
        <w:rPr>
          <w:rFonts w:hint="cs"/>
          <w:color w:val="0000FF"/>
          <w:sz w:val="28"/>
          <w:szCs w:val="28"/>
          <w:rtl/>
        </w:rPr>
        <w:t xml:space="preserve"> إلا في حدود الرقم المكفول </w:t>
      </w:r>
      <w:r>
        <w:rPr>
          <w:rFonts w:hint="cs"/>
          <w:color w:val="0000FF"/>
          <w:sz w:val="28"/>
          <w:szCs w:val="28"/>
          <w:rtl/>
        </w:rPr>
        <w:t xml:space="preserve">( </w:t>
      </w:r>
      <w:r w:rsidRPr="00923B1A">
        <w:rPr>
          <w:rFonts w:hint="cs"/>
          <w:color w:val="0000FF"/>
          <w:sz w:val="28"/>
          <w:szCs w:val="28"/>
          <w:rtl/>
        </w:rPr>
        <w:t xml:space="preserve">نقض فرنسي 14 مارس سنة 1888 سيريه 88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327 </w:t>
      </w:r>
      <w:r w:rsidRPr="00923B1A">
        <w:rPr>
          <w:color w:val="0000FF"/>
          <w:sz w:val="28"/>
          <w:szCs w:val="28"/>
          <w:rtl/>
        </w:rPr>
        <w:t>–</w:t>
      </w:r>
      <w:r w:rsidRPr="00923B1A">
        <w:rPr>
          <w:rFonts w:hint="cs"/>
          <w:color w:val="0000FF"/>
          <w:sz w:val="28"/>
          <w:szCs w:val="28"/>
          <w:rtl/>
        </w:rPr>
        <w:t xml:space="preserve"> بودري وفال فقرة 1002</w:t>
      </w:r>
    </w:p>
  </w:footnote>
  <w:footnote w:id="15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80 </w:t>
      </w:r>
      <w:r w:rsidRPr="00923B1A">
        <w:rPr>
          <w:color w:val="0000FF"/>
          <w:sz w:val="28"/>
          <w:szCs w:val="28"/>
          <w:rtl/>
        </w:rPr>
        <w:t>–</w:t>
      </w:r>
      <w:r w:rsidRPr="00923B1A">
        <w:rPr>
          <w:rFonts w:hint="cs"/>
          <w:color w:val="0000FF"/>
          <w:sz w:val="28"/>
          <w:szCs w:val="28"/>
          <w:rtl/>
        </w:rPr>
        <w:t xml:space="preserve"> بون 2 فقرة 109 بودري وفال فقرة 1003</w:t>
      </w:r>
      <w:r>
        <w:rPr>
          <w:rFonts w:hint="cs"/>
          <w:color w:val="0000FF"/>
          <w:sz w:val="28"/>
          <w:szCs w:val="28"/>
          <w:rtl/>
        </w:rPr>
        <w:t xml:space="preserve"> .</w:t>
      </w:r>
    </w:p>
  </w:footnote>
  <w:footnote w:id="15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لم يرد هذا النص في المشروع التمهيدي</w:t>
      </w:r>
      <w:r>
        <w:rPr>
          <w:rFonts w:hint="cs"/>
          <w:color w:val="0000FF"/>
          <w:sz w:val="28"/>
          <w:szCs w:val="28"/>
          <w:rtl/>
        </w:rPr>
        <w:t xml:space="preserve"> ،</w:t>
      </w:r>
      <w:r w:rsidRPr="00923B1A">
        <w:rPr>
          <w:rFonts w:hint="cs"/>
          <w:color w:val="0000FF"/>
          <w:sz w:val="28"/>
          <w:szCs w:val="28"/>
          <w:rtl/>
        </w:rPr>
        <w:t xml:space="preserve"> على أنه عرض على لجنة الأستاذ كامل صدقي فقررت اللجنة حذفه</w:t>
      </w:r>
      <w:r>
        <w:rPr>
          <w:rFonts w:hint="cs"/>
          <w:color w:val="0000FF"/>
          <w:sz w:val="28"/>
          <w:szCs w:val="28"/>
          <w:rtl/>
        </w:rPr>
        <w:t xml:space="preserve"> .</w:t>
      </w:r>
      <w:r w:rsidRPr="00923B1A">
        <w:rPr>
          <w:rFonts w:hint="cs"/>
          <w:color w:val="0000FF"/>
          <w:sz w:val="28"/>
          <w:szCs w:val="28"/>
          <w:rtl/>
        </w:rPr>
        <w:t xml:space="preserve"> ولكن لجنة المراجعة أضافت النص المحذوف إلى المشروع النهائي تحت رقم 848</w:t>
      </w:r>
      <w:r>
        <w:rPr>
          <w:rFonts w:hint="cs"/>
          <w:color w:val="0000FF"/>
          <w:sz w:val="28"/>
          <w:szCs w:val="28"/>
          <w:rtl/>
        </w:rPr>
        <w:t xml:space="preserve"> ،</w:t>
      </w:r>
      <w:r w:rsidRPr="00923B1A">
        <w:rPr>
          <w:rFonts w:hint="cs"/>
          <w:color w:val="0000FF"/>
          <w:sz w:val="28"/>
          <w:szCs w:val="28"/>
          <w:rtl/>
        </w:rPr>
        <w:t xml:space="preserve"> لأن المسألة التي يعرض لها النص "جعل خلاف في القضاء وتستدعي المصلحة حسم هذا الخلاف بنص تشريعي"</w:t>
      </w:r>
      <w:r>
        <w:rPr>
          <w:rFonts w:hint="cs"/>
          <w:color w:val="0000FF"/>
          <w:sz w:val="28"/>
          <w:szCs w:val="28"/>
          <w:rtl/>
        </w:rPr>
        <w:t xml:space="preserve"> .</w:t>
      </w:r>
      <w:r w:rsidRPr="00923B1A">
        <w:rPr>
          <w:rFonts w:hint="cs"/>
          <w:color w:val="0000FF"/>
          <w:sz w:val="28"/>
          <w:szCs w:val="28"/>
          <w:rtl/>
        </w:rPr>
        <w:t xml:space="preserve"> ووافق مجلس النواب تحت رقم 846</w:t>
      </w:r>
      <w:r>
        <w:rPr>
          <w:rFonts w:hint="cs"/>
          <w:color w:val="0000FF"/>
          <w:sz w:val="28"/>
          <w:szCs w:val="28"/>
          <w:rtl/>
        </w:rPr>
        <w:t xml:space="preserve"> ،</w:t>
      </w:r>
      <w:r w:rsidRPr="00923B1A">
        <w:rPr>
          <w:rFonts w:hint="cs"/>
          <w:color w:val="0000FF"/>
          <w:sz w:val="28"/>
          <w:szCs w:val="28"/>
          <w:rtl/>
        </w:rPr>
        <w:t xml:space="preserve"> ثم مجلس الشيوع تحت رقم 779 </w:t>
      </w:r>
      <w:r>
        <w:rPr>
          <w:rFonts w:hint="cs"/>
          <w:color w:val="0000FF"/>
          <w:sz w:val="28"/>
          <w:szCs w:val="28"/>
          <w:rtl/>
        </w:rPr>
        <w:t xml:space="preserve">( </w:t>
      </w:r>
      <w:r w:rsidRPr="00923B1A">
        <w:rPr>
          <w:rFonts w:hint="cs"/>
          <w:color w:val="0000FF"/>
          <w:sz w:val="28"/>
          <w:szCs w:val="28"/>
          <w:rtl/>
        </w:rPr>
        <w:t xml:space="preserve">مجموعة الأعمال التحضيرية 5 ص 458 </w:t>
      </w:r>
      <w:r w:rsidRPr="00923B1A">
        <w:rPr>
          <w:color w:val="0000FF"/>
          <w:sz w:val="28"/>
          <w:szCs w:val="28"/>
          <w:rtl/>
        </w:rPr>
        <w:t>–</w:t>
      </w:r>
      <w:r w:rsidRPr="00923B1A">
        <w:rPr>
          <w:rFonts w:hint="cs"/>
          <w:color w:val="0000FF"/>
          <w:sz w:val="28"/>
          <w:szCs w:val="28"/>
          <w:rtl/>
        </w:rPr>
        <w:t xml:space="preserve"> ص 461</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1016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لا مقابل</w:t>
      </w:r>
      <w:r>
        <w:rPr>
          <w:rFonts w:hint="cs"/>
          <w:color w:val="0000FF"/>
          <w:sz w:val="28"/>
          <w:szCs w:val="28"/>
          <w:rtl/>
        </w:rPr>
        <w:t xml:space="preserve"> .</w:t>
      </w:r>
    </w:p>
  </w:footnote>
  <w:footnote w:id="15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ولكنها تعتبر عملا تجاريا بالنسبة إلى الدائن إذا كان حقه تجاريا </w:t>
      </w:r>
      <w:r>
        <w:rPr>
          <w:rFonts w:hint="cs"/>
          <w:color w:val="0000FF"/>
          <w:sz w:val="28"/>
          <w:szCs w:val="28"/>
          <w:rtl/>
        </w:rPr>
        <w:t xml:space="preserve">( </w:t>
      </w:r>
      <w:r w:rsidRPr="00923B1A">
        <w:rPr>
          <w:rFonts w:hint="cs"/>
          <w:color w:val="0000FF"/>
          <w:sz w:val="28"/>
          <w:szCs w:val="28"/>
          <w:rtl/>
        </w:rPr>
        <w:t xml:space="preserve">نقض فرنسي 25 أكتوبر سنة 1921 سيريه 1922 </w:t>
      </w:r>
      <w:r w:rsidRPr="00923B1A">
        <w:rPr>
          <w:color w:val="0000FF"/>
          <w:sz w:val="28"/>
          <w:szCs w:val="28"/>
          <w:rtl/>
        </w:rPr>
        <w:t>–</w:t>
      </w:r>
      <w:r w:rsidRPr="00923B1A">
        <w:rPr>
          <w:rFonts w:hint="cs"/>
          <w:color w:val="0000FF"/>
          <w:sz w:val="28"/>
          <w:szCs w:val="28"/>
          <w:rtl/>
        </w:rPr>
        <w:t xml:space="preserve"> 1- 278 </w:t>
      </w:r>
      <w:r w:rsidRPr="00923B1A">
        <w:rPr>
          <w:color w:val="0000FF"/>
          <w:sz w:val="28"/>
          <w:szCs w:val="28"/>
          <w:rtl/>
        </w:rPr>
        <w:t>–</w:t>
      </w:r>
      <w:r w:rsidRPr="00923B1A">
        <w:rPr>
          <w:rFonts w:hint="cs"/>
          <w:color w:val="0000FF"/>
          <w:sz w:val="28"/>
          <w:szCs w:val="28"/>
          <w:rtl/>
        </w:rPr>
        <w:t xml:space="preserve"> 17 ديسمبر 1934 سيريه 1936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287 </w:t>
      </w:r>
      <w:r w:rsidRPr="00923B1A">
        <w:rPr>
          <w:color w:val="0000FF"/>
          <w:sz w:val="28"/>
          <w:szCs w:val="28"/>
          <w:rtl/>
        </w:rPr>
        <w:t>–</w:t>
      </w:r>
      <w:r w:rsidRPr="00923B1A">
        <w:rPr>
          <w:rFonts w:hint="cs"/>
          <w:color w:val="0000FF"/>
          <w:sz w:val="28"/>
          <w:szCs w:val="28"/>
          <w:rtl/>
        </w:rPr>
        <w:t xml:space="preserve"> بلانيول وريبير وسافاتييه فقرة 1511 ص 967</w:t>
      </w:r>
      <w:r>
        <w:rPr>
          <w:rFonts w:hint="cs"/>
          <w:color w:val="0000FF"/>
          <w:sz w:val="28"/>
          <w:szCs w:val="28"/>
          <w:rtl/>
        </w:rPr>
        <w:t xml:space="preserve"> ) .</w:t>
      </w:r>
    </w:p>
  </w:footnote>
  <w:footnote w:id="15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21 نوفمبر سنة 1855 داللوز 55 </w:t>
      </w:r>
      <w:r w:rsidRPr="00923B1A">
        <w:rPr>
          <w:color w:val="0000FF"/>
          <w:sz w:val="28"/>
          <w:szCs w:val="28"/>
          <w:rtl/>
        </w:rPr>
        <w:t>–</w:t>
      </w:r>
      <w:r w:rsidRPr="00923B1A">
        <w:rPr>
          <w:rFonts w:hint="cs"/>
          <w:color w:val="0000FF"/>
          <w:sz w:val="28"/>
          <w:szCs w:val="28"/>
          <w:rtl/>
        </w:rPr>
        <w:t xml:space="preserve"> 1- 459 </w:t>
      </w:r>
      <w:r w:rsidRPr="00923B1A">
        <w:rPr>
          <w:color w:val="0000FF"/>
          <w:sz w:val="28"/>
          <w:szCs w:val="28"/>
          <w:rtl/>
        </w:rPr>
        <w:t>–</w:t>
      </w:r>
      <w:r w:rsidRPr="00923B1A">
        <w:rPr>
          <w:rFonts w:hint="cs"/>
          <w:color w:val="0000FF"/>
          <w:sz w:val="28"/>
          <w:szCs w:val="28"/>
          <w:rtl/>
        </w:rPr>
        <w:t xml:space="preserve"> 16 مايو سنة 1866 داللوز 66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209 </w:t>
      </w:r>
      <w:r w:rsidRPr="00923B1A">
        <w:rPr>
          <w:color w:val="0000FF"/>
          <w:sz w:val="28"/>
          <w:szCs w:val="28"/>
          <w:rtl/>
        </w:rPr>
        <w:t>–</w:t>
      </w:r>
      <w:r w:rsidRPr="00923B1A">
        <w:rPr>
          <w:rFonts w:hint="cs"/>
          <w:color w:val="0000FF"/>
          <w:sz w:val="28"/>
          <w:szCs w:val="28"/>
          <w:rtl/>
        </w:rPr>
        <w:t xml:space="preserve"> 13 أغسطس سنة 1872 داللوز 74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77 </w:t>
      </w:r>
      <w:r w:rsidRPr="00923B1A">
        <w:rPr>
          <w:color w:val="0000FF"/>
          <w:sz w:val="28"/>
          <w:szCs w:val="28"/>
          <w:rtl/>
        </w:rPr>
        <w:t>–</w:t>
      </w:r>
      <w:r w:rsidRPr="00923B1A">
        <w:rPr>
          <w:rFonts w:hint="cs"/>
          <w:color w:val="0000FF"/>
          <w:sz w:val="28"/>
          <w:szCs w:val="28"/>
          <w:rtl/>
        </w:rPr>
        <w:t xml:space="preserve"> 21 </w:t>
      </w:r>
      <w:r w:rsidRPr="00923B1A">
        <w:rPr>
          <w:color w:val="0000FF"/>
          <w:sz w:val="28"/>
          <w:szCs w:val="28"/>
          <w:rtl/>
        </w:rPr>
        <w:t>–</w:t>
      </w:r>
      <w:r w:rsidRPr="00923B1A">
        <w:rPr>
          <w:rFonts w:hint="cs"/>
          <w:color w:val="0000FF"/>
          <w:sz w:val="28"/>
          <w:szCs w:val="28"/>
          <w:rtl/>
        </w:rPr>
        <w:t xml:space="preserve"> مايو سنة 1906 سيريه 1906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433 </w:t>
      </w:r>
      <w:r w:rsidRPr="00923B1A">
        <w:rPr>
          <w:color w:val="0000FF"/>
          <w:sz w:val="28"/>
          <w:szCs w:val="28"/>
          <w:rtl/>
        </w:rPr>
        <w:t>–</w:t>
      </w:r>
      <w:r w:rsidRPr="00923B1A">
        <w:rPr>
          <w:rFonts w:hint="cs"/>
          <w:color w:val="0000FF"/>
          <w:sz w:val="28"/>
          <w:szCs w:val="28"/>
          <w:rtl/>
        </w:rPr>
        <w:t xml:space="preserve"> 25 أكتوبر سنة 1921 سيريه 1923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278 </w:t>
      </w:r>
      <w:r w:rsidRPr="00923B1A">
        <w:rPr>
          <w:color w:val="0000FF"/>
          <w:sz w:val="28"/>
          <w:szCs w:val="28"/>
          <w:rtl/>
        </w:rPr>
        <w:t>–</w:t>
      </w:r>
      <w:r w:rsidRPr="00923B1A">
        <w:rPr>
          <w:rFonts w:hint="cs"/>
          <w:color w:val="0000FF"/>
          <w:sz w:val="28"/>
          <w:szCs w:val="28"/>
          <w:rtl/>
        </w:rPr>
        <w:t xml:space="preserve"> بون 2 فقرة 182 </w:t>
      </w:r>
      <w:r w:rsidRPr="00923B1A">
        <w:rPr>
          <w:color w:val="0000FF"/>
          <w:sz w:val="28"/>
          <w:szCs w:val="28"/>
          <w:rtl/>
        </w:rPr>
        <w:t>–</w:t>
      </w:r>
      <w:r w:rsidRPr="00923B1A">
        <w:rPr>
          <w:rFonts w:hint="cs"/>
          <w:color w:val="0000FF"/>
          <w:sz w:val="28"/>
          <w:szCs w:val="28"/>
          <w:rtl/>
        </w:rPr>
        <w:t xml:space="preserve"> جيوار فقرة 16 </w:t>
      </w:r>
      <w:r w:rsidRPr="00923B1A">
        <w:rPr>
          <w:color w:val="0000FF"/>
          <w:sz w:val="28"/>
          <w:szCs w:val="28"/>
          <w:rtl/>
        </w:rPr>
        <w:t>–</w:t>
      </w:r>
      <w:r w:rsidRPr="00923B1A">
        <w:rPr>
          <w:rFonts w:hint="cs"/>
          <w:color w:val="0000FF"/>
          <w:sz w:val="28"/>
          <w:szCs w:val="28"/>
          <w:rtl/>
        </w:rPr>
        <w:t xml:space="preserve"> أوبري ورو 6 فقرة 423 ص 270 </w:t>
      </w:r>
      <w:r w:rsidRPr="00923B1A">
        <w:rPr>
          <w:color w:val="0000FF"/>
          <w:sz w:val="28"/>
          <w:szCs w:val="28"/>
          <w:rtl/>
        </w:rPr>
        <w:t>–</w:t>
      </w:r>
      <w:r w:rsidRPr="00923B1A">
        <w:rPr>
          <w:rFonts w:hint="cs"/>
          <w:color w:val="0000FF"/>
          <w:sz w:val="28"/>
          <w:szCs w:val="28"/>
          <w:rtl/>
        </w:rPr>
        <w:t xml:space="preserve"> بودري وفال فقرة 1197 </w:t>
      </w:r>
      <w:r w:rsidRPr="00923B1A">
        <w:rPr>
          <w:color w:val="0000FF"/>
          <w:sz w:val="28"/>
          <w:szCs w:val="28"/>
          <w:rtl/>
        </w:rPr>
        <w:t>–</w:t>
      </w:r>
      <w:r w:rsidRPr="00923B1A">
        <w:rPr>
          <w:rFonts w:hint="cs"/>
          <w:color w:val="0000FF"/>
          <w:sz w:val="28"/>
          <w:szCs w:val="28"/>
          <w:rtl/>
        </w:rPr>
        <w:t xml:space="preserve"> بلانيول وريبير وسافاتييه فقرة 1511</w:t>
      </w:r>
      <w:r>
        <w:rPr>
          <w:rFonts w:hint="cs"/>
          <w:color w:val="0000FF"/>
          <w:sz w:val="28"/>
          <w:szCs w:val="28"/>
          <w:rtl/>
        </w:rPr>
        <w:t xml:space="preserve"> .</w:t>
      </w:r>
    </w:p>
  </w:footnote>
  <w:footnote w:id="15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وهناك رأي في الفقه الفرنسي </w:t>
      </w:r>
      <w:r>
        <w:rPr>
          <w:rFonts w:hint="cs"/>
          <w:color w:val="0000FF"/>
          <w:sz w:val="28"/>
          <w:szCs w:val="28"/>
          <w:rtl/>
        </w:rPr>
        <w:t xml:space="preserve">( </w:t>
      </w:r>
      <w:r w:rsidRPr="00923B1A">
        <w:rPr>
          <w:rFonts w:hint="cs"/>
          <w:color w:val="0000FF"/>
          <w:sz w:val="28"/>
          <w:szCs w:val="28"/>
          <w:rtl/>
        </w:rPr>
        <w:t xml:space="preserve">بون 2 فقرة 81 </w:t>
      </w:r>
      <w:r w:rsidRPr="00923B1A">
        <w:rPr>
          <w:color w:val="0000FF"/>
          <w:sz w:val="28"/>
          <w:szCs w:val="28"/>
          <w:rtl/>
        </w:rPr>
        <w:t>–</w:t>
      </w:r>
      <w:r w:rsidRPr="00923B1A">
        <w:rPr>
          <w:rFonts w:hint="cs"/>
          <w:color w:val="0000FF"/>
          <w:sz w:val="28"/>
          <w:szCs w:val="28"/>
          <w:rtl/>
        </w:rPr>
        <w:t xml:space="preserve"> لوران 28 فقرة 166 </w:t>
      </w:r>
      <w:r w:rsidRPr="00923B1A">
        <w:rPr>
          <w:color w:val="0000FF"/>
          <w:sz w:val="28"/>
          <w:szCs w:val="28"/>
          <w:rtl/>
        </w:rPr>
        <w:t>–</w:t>
      </w:r>
      <w:r w:rsidRPr="00923B1A">
        <w:rPr>
          <w:rFonts w:hint="cs"/>
          <w:color w:val="0000FF"/>
          <w:sz w:val="28"/>
          <w:szCs w:val="28"/>
          <w:rtl/>
        </w:rPr>
        <w:t xml:space="preserve"> جيوار فقرة 16</w:t>
      </w:r>
      <w:r>
        <w:rPr>
          <w:rFonts w:hint="cs"/>
          <w:color w:val="0000FF"/>
          <w:sz w:val="28"/>
          <w:szCs w:val="28"/>
          <w:rtl/>
        </w:rPr>
        <w:t xml:space="preserve"> )</w:t>
      </w:r>
      <w:r w:rsidRPr="00923B1A">
        <w:rPr>
          <w:rFonts w:hint="cs"/>
          <w:color w:val="0000FF"/>
          <w:sz w:val="28"/>
          <w:szCs w:val="28"/>
          <w:rtl/>
        </w:rPr>
        <w:t xml:space="preserve"> يذهب إلى أن الكفالة تكون تجارية إذا كان الكفيل له مصلحة فيها</w:t>
      </w:r>
      <w:r>
        <w:rPr>
          <w:rFonts w:hint="cs"/>
          <w:color w:val="0000FF"/>
          <w:sz w:val="28"/>
          <w:szCs w:val="28"/>
          <w:rtl/>
        </w:rPr>
        <w:t xml:space="preserve"> ،</w:t>
      </w:r>
      <w:r w:rsidRPr="00923B1A">
        <w:rPr>
          <w:rFonts w:hint="cs"/>
          <w:color w:val="0000FF"/>
          <w:sz w:val="28"/>
          <w:szCs w:val="28"/>
          <w:rtl/>
        </w:rPr>
        <w:t xml:space="preserve"> ولكن هذا الرأي لم يسد إذ أن العبرة ليست بمجرد المصلحة بل بالمصلحة التجارية </w:t>
      </w:r>
      <w:r>
        <w:rPr>
          <w:rFonts w:hint="cs"/>
          <w:color w:val="0000FF"/>
          <w:sz w:val="28"/>
          <w:szCs w:val="28"/>
          <w:rtl/>
        </w:rPr>
        <w:t xml:space="preserve">( </w:t>
      </w:r>
      <w:r w:rsidRPr="00923B1A">
        <w:rPr>
          <w:rFonts w:hint="cs"/>
          <w:color w:val="0000FF"/>
          <w:sz w:val="28"/>
          <w:szCs w:val="28"/>
          <w:rtl/>
        </w:rPr>
        <w:t>بودري وفال فقرة 1198 ص 630</w:t>
      </w:r>
      <w:r>
        <w:rPr>
          <w:rFonts w:hint="cs"/>
          <w:color w:val="0000FF"/>
          <w:sz w:val="28"/>
          <w:szCs w:val="28"/>
          <w:rtl/>
        </w:rPr>
        <w:t xml:space="preserve"> ) .</w:t>
      </w:r>
    </w:p>
  </w:footnote>
  <w:footnote w:id="15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وفي القانون الفرنسي تعتبر الكفالة تجارية</w:t>
      </w:r>
      <w:r>
        <w:rPr>
          <w:rFonts w:hint="cs"/>
          <w:color w:val="0000FF"/>
          <w:sz w:val="28"/>
          <w:szCs w:val="28"/>
          <w:rtl/>
        </w:rPr>
        <w:t xml:space="preserve"> ،</w:t>
      </w:r>
      <w:r w:rsidRPr="00923B1A">
        <w:rPr>
          <w:rFonts w:hint="cs"/>
          <w:color w:val="0000FF"/>
          <w:sz w:val="28"/>
          <w:szCs w:val="28"/>
          <w:rtl/>
        </w:rPr>
        <w:t xml:space="preserve"> إلى جانب هاتين الحالتين الاستثنائيتين اللتين نص عليهما التقنين المدني المصري</w:t>
      </w:r>
      <w:r>
        <w:rPr>
          <w:rFonts w:hint="cs"/>
          <w:color w:val="0000FF"/>
          <w:sz w:val="28"/>
          <w:szCs w:val="28"/>
          <w:rtl/>
        </w:rPr>
        <w:t xml:space="preserve"> ،</w:t>
      </w:r>
      <w:r w:rsidRPr="00923B1A">
        <w:rPr>
          <w:rFonts w:hint="cs"/>
          <w:color w:val="0000FF"/>
          <w:sz w:val="28"/>
          <w:szCs w:val="28"/>
          <w:rtl/>
        </w:rPr>
        <w:t xml:space="preserve"> إذا كان للكفيل فيها مصلحة تجارية </w:t>
      </w:r>
      <w:r>
        <w:rPr>
          <w:rFonts w:hint="cs"/>
          <w:color w:val="0000FF"/>
          <w:sz w:val="28"/>
          <w:szCs w:val="28"/>
          <w:rtl/>
        </w:rPr>
        <w:t xml:space="preserve">( </w:t>
      </w:r>
      <w:r w:rsidRPr="00923B1A">
        <w:rPr>
          <w:rFonts w:hint="cs"/>
          <w:color w:val="0000FF"/>
          <w:sz w:val="28"/>
          <w:szCs w:val="28"/>
          <w:rtl/>
        </w:rPr>
        <w:t xml:space="preserve">نقض فرنسي 5 يناير سنة 1859 داللوز 59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403 </w:t>
      </w:r>
      <w:r w:rsidRPr="00923B1A">
        <w:rPr>
          <w:color w:val="0000FF"/>
          <w:sz w:val="28"/>
          <w:szCs w:val="28"/>
          <w:rtl/>
        </w:rPr>
        <w:t>–</w:t>
      </w:r>
      <w:r w:rsidRPr="00923B1A">
        <w:rPr>
          <w:rFonts w:hint="cs"/>
          <w:color w:val="0000FF"/>
          <w:sz w:val="28"/>
          <w:szCs w:val="28"/>
          <w:rtl/>
        </w:rPr>
        <w:t xml:space="preserve"> 31 يناير سنة 1872 داللوز 72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252 </w:t>
      </w:r>
      <w:r w:rsidRPr="00923B1A">
        <w:rPr>
          <w:color w:val="0000FF"/>
          <w:sz w:val="28"/>
          <w:szCs w:val="28"/>
          <w:rtl/>
        </w:rPr>
        <w:t>–</w:t>
      </w:r>
      <w:r w:rsidRPr="00923B1A">
        <w:rPr>
          <w:rFonts w:hint="cs"/>
          <w:color w:val="0000FF"/>
          <w:sz w:val="28"/>
          <w:szCs w:val="28"/>
          <w:rtl/>
        </w:rPr>
        <w:t xml:space="preserve"> 27 يونيه سنة 1888 داللوز 89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115 بودري وفال فقرة 1198 ص 631 </w:t>
      </w:r>
      <w:r w:rsidRPr="00923B1A">
        <w:rPr>
          <w:color w:val="0000FF"/>
          <w:sz w:val="28"/>
          <w:szCs w:val="28"/>
          <w:rtl/>
        </w:rPr>
        <w:t>–</w:t>
      </w:r>
      <w:r w:rsidRPr="00923B1A">
        <w:rPr>
          <w:rFonts w:hint="cs"/>
          <w:color w:val="0000FF"/>
          <w:sz w:val="28"/>
          <w:szCs w:val="28"/>
          <w:rtl/>
        </w:rPr>
        <w:t xml:space="preserve"> ص 632 </w:t>
      </w:r>
      <w:r w:rsidRPr="00923B1A">
        <w:rPr>
          <w:color w:val="0000FF"/>
          <w:sz w:val="28"/>
          <w:szCs w:val="28"/>
          <w:rtl/>
        </w:rPr>
        <w:t>–</w:t>
      </w:r>
      <w:r w:rsidRPr="00923B1A">
        <w:rPr>
          <w:rFonts w:hint="cs"/>
          <w:color w:val="0000FF"/>
          <w:sz w:val="28"/>
          <w:szCs w:val="28"/>
          <w:rtl/>
        </w:rPr>
        <w:t xml:space="preserve"> بلانيول وريبير وسافاتييه فقرة 1511 ص 967</w:t>
      </w:r>
      <w:r>
        <w:rPr>
          <w:rFonts w:hint="cs"/>
          <w:color w:val="0000FF"/>
          <w:sz w:val="28"/>
          <w:szCs w:val="28"/>
          <w:rtl/>
        </w:rPr>
        <w:t xml:space="preserve"> ) .</w:t>
      </w:r>
    </w:p>
  </w:footnote>
  <w:footnote w:id="16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1134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"تصح كفالة المدين بغير أمره</w:t>
      </w:r>
      <w:r>
        <w:rPr>
          <w:rFonts w:hint="cs"/>
          <w:color w:val="0000FF"/>
          <w:sz w:val="28"/>
          <w:szCs w:val="28"/>
          <w:rtl/>
        </w:rPr>
        <w:t xml:space="preserve"> ،</w:t>
      </w:r>
      <w:r w:rsidRPr="00923B1A">
        <w:rPr>
          <w:rFonts w:hint="cs"/>
          <w:color w:val="0000FF"/>
          <w:sz w:val="28"/>
          <w:szCs w:val="28"/>
          <w:rtl/>
        </w:rPr>
        <w:t xml:space="preserve"> بل تصح حتى بدون علمه"</w:t>
      </w:r>
      <w:r>
        <w:rPr>
          <w:rFonts w:hint="cs"/>
          <w:color w:val="0000FF"/>
          <w:sz w:val="28"/>
          <w:szCs w:val="28"/>
          <w:rtl/>
        </w:rPr>
        <w:t xml:space="preserve"> .</w:t>
      </w:r>
      <w:r w:rsidRPr="00923B1A">
        <w:rPr>
          <w:rFonts w:hint="cs"/>
          <w:color w:val="0000FF"/>
          <w:sz w:val="28"/>
          <w:szCs w:val="28"/>
          <w:rtl/>
        </w:rPr>
        <w:t xml:space="preserve"> وعدلت لجنة المراجعة النص</w:t>
      </w:r>
      <w:r>
        <w:rPr>
          <w:rFonts w:hint="cs"/>
          <w:color w:val="0000FF"/>
          <w:sz w:val="28"/>
          <w:szCs w:val="28"/>
          <w:rtl/>
        </w:rPr>
        <w:t xml:space="preserve"> ،</w:t>
      </w:r>
      <w:r w:rsidRPr="00923B1A">
        <w:rPr>
          <w:rFonts w:hint="cs"/>
          <w:color w:val="0000FF"/>
          <w:sz w:val="28"/>
          <w:szCs w:val="28"/>
          <w:rtl/>
        </w:rPr>
        <w:t xml:space="preserve"> تحت رقم 844 في المشروع النهائي</w:t>
      </w:r>
      <w:r>
        <w:rPr>
          <w:rFonts w:hint="cs"/>
          <w:color w:val="0000FF"/>
          <w:sz w:val="28"/>
          <w:szCs w:val="28"/>
          <w:rtl/>
        </w:rPr>
        <w:t xml:space="preserve"> ،</w:t>
      </w:r>
      <w:r w:rsidRPr="00923B1A">
        <w:rPr>
          <w:rFonts w:hint="cs"/>
          <w:color w:val="0000FF"/>
          <w:sz w:val="28"/>
          <w:szCs w:val="28"/>
          <w:rtl/>
        </w:rPr>
        <w:t xml:space="preserve"> فأصبح مطابقاً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عليه مجلس النواب تحت رقم 843</w:t>
      </w:r>
      <w:r>
        <w:rPr>
          <w:rFonts w:hint="cs"/>
          <w:color w:val="0000FF"/>
          <w:sz w:val="28"/>
          <w:szCs w:val="28"/>
          <w:rtl/>
        </w:rPr>
        <w:t xml:space="preserve"> ،</w:t>
      </w:r>
      <w:r w:rsidRPr="00923B1A">
        <w:rPr>
          <w:rFonts w:hint="cs"/>
          <w:color w:val="0000FF"/>
          <w:sz w:val="28"/>
          <w:szCs w:val="28"/>
          <w:rtl/>
        </w:rPr>
        <w:t xml:space="preserve"> ثم مجلس الشيوخ تحت رقم 775 </w:t>
      </w:r>
      <w:r>
        <w:rPr>
          <w:rFonts w:hint="cs"/>
          <w:color w:val="0000FF"/>
          <w:sz w:val="28"/>
          <w:szCs w:val="28"/>
          <w:rtl/>
        </w:rPr>
        <w:t xml:space="preserve">( </w:t>
      </w:r>
      <w:r w:rsidRPr="00923B1A">
        <w:rPr>
          <w:rFonts w:hint="cs"/>
          <w:color w:val="0000FF"/>
          <w:sz w:val="28"/>
          <w:szCs w:val="28"/>
          <w:rtl/>
        </w:rPr>
        <w:t xml:space="preserve">مجموعة الأعمال التحضيرية 440 </w:t>
      </w:r>
      <w:r w:rsidRPr="00923B1A">
        <w:rPr>
          <w:color w:val="0000FF"/>
          <w:sz w:val="28"/>
          <w:szCs w:val="28"/>
          <w:rtl/>
        </w:rPr>
        <w:t>–</w:t>
      </w:r>
      <w:r w:rsidRPr="00923B1A">
        <w:rPr>
          <w:rFonts w:hint="cs"/>
          <w:color w:val="0000FF"/>
          <w:sz w:val="28"/>
          <w:szCs w:val="28"/>
          <w:rtl/>
        </w:rPr>
        <w:t xml:space="preserve"> ص 443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وجاء في المذكرة الإيضاحية للمشروع التمهيدي</w:t>
      </w:r>
      <w:r>
        <w:rPr>
          <w:rFonts w:hint="cs"/>
          <w:color w:val="0000FF"/>
          <w:sz w:val="28"/>
          <w:szCs w:val="28"/>
          <w:rtl/>
        </w:rPr>
        <w:t xml:space="preserve"> :</w:t>
      </w:r>
      <w:r w:rsidRPr="00923B1A">
        <w:rPr>
          <w:rFonts w:hint="cs"/>
          <w:color w:val="0000FF"/>
          <w:sz w:val="28"/>
          <w:szCs w:val="28"/>
          <w:rtl/>
        </w:rPr>
        <w:t xml:space="preserve"> "هذه المادة مقتبسة من المشروع الفرنسي الإيطالي </w:t>
      </w:r>
      <w:r>
        <w:rPr>
          <w:rFonts w:hint="cs"/>
          <w:color w:val="0000FF"/>
          <w:sz w:val="28"/>
          <w:szCs w:val="28"/>
          <w:rtl/>
        </w:rPr>
        <w:t xml:space="preserve">( </w:t>
      </w:r>
      <w:r w:rsidRPr="00923B1A">
        <w:rPr>
          <w:rFonts w:hint="cs"/>
          <w:color w:val="0000FF"/>
          <w:sz w:val="28"/>
          <w:szCs w:val="28"/>
          <w:rtl/>
        </w:rPr>
        <w:t>م 712</w:t>
      </w:r>
      <w:r>
        <w:rPr>
          <w:rFonts w:hint="cs"/>
          <w:color w:val="0000FF"/>
          <w:sz w:val="28"/>
          <w:szCs w:val="28"/>
          <w:rtl/>
        </w:rPr>
        <w:t xml:space="preserve"> ) .</w:t>
      </w:r>
      <w:r w:rsidRPr="00923B1A">
        <w:rPr>
          <w:rFonts w:hint="cs"/>
          <w:color w:val="0000FF"/>
          <w:sz w:val="28"/>
          <w:szCs w:val="28"/>
          <w:rtl/>
        </w:rPr>
        <w:t xml:space="preserve"> وهي تقرر الحكم الوارد بالتقنين المصري </w:t>
      </w:r>
      <w:r>
        <w:rPr>
          <w:rFonts w:hint="cs"/>
          <w:color w:val="0000FF"/>
          <w:sz w:val="28"/>
          <w:szCs w:val="28"/>
          <w:rtl/>
        </w:rPr>
        <w:t xml:space="preserve">( </w:t>
      </w:r>
      <w:r w:rsidRPr="00923B1A">
        <w:rPr>
          <w:rFonts w:hint="cs"/>
          <w:color w:val="0000FF"/>
          <w:sz w:val="28"/>
          <w:szCs w:val="28"/>
          <w:rtl/>
        </w:rPr>
        <w:t>م 495 فقرة أخيرة / 605 فقرة أخيرة</w:t>
      </w:r>
      <w:r>
        <w:rPr>
          <w:rFonts w:hint="cs"/>
          <w:color w:val="0000FF"/>
          <w:sz w:val="28"/>
          <w:szCs w:val="28"/>
          <w:rtl/>
        </w:rPr>
        <w:t xml:space="preserve"> ) ،</w:t>
      </w:r>
      <w:r w:rsidRPr="00923B1A">
        <w:rPr>
          <w:rFonts w:hint="cs"/>
          <w:color w:val="0000FF"/>
          <w:sz w:val="28"/>
          <w:szCs w:val="28"/>
          <w:rtl/>
        </w:rPr>
        <w:t xml:space="preserve"> وهو حكم طبيعي تقتضيه القواعد العامة ما دامت الكفالة عقداً بين الكفيل والدائن يتم بمجرد توافق إرادتيهما دون حاجة لرضاء المدين أو علمه</w:t>
      </w:r>
      <w:r>
        <w:rPr>
          <w:rFonts w:hint="cs"/>
          <w:color w:val="0000FF"/>
          <w:sz w:val="28"/>
          <w:szCs w:val="28"/>
          <w:rtl/>
        </w:rPr>
        <w:t xml:space="preserve"> .</w:t>
      </w:r>
      <w:r w:rsidRPr="00923B1A">
        <w:rPr>
          <w:rFonts w:hint="cs"/>
          <w:color w:val="0000FF"/>
          <w:sz w:val="28"/>
          <w:szCs w:val="28"/>
          <w:rtl/>
        </w:rPr>
        <w:t xml:space="preserve"> وقد لا يكون هناك موجب لإيراد النص سوى الرغبة في بيان أن المشرع المصري خرج في هذا الصدد عن أحكام الشريعة الإسلامية </w:t>
      </w:r>
      <w:r>
        <w:rPr>
          <w:rFonts w:hint="cs"/>
          <w:color w:val="0000FF"/>
          <w:sz w:val="28"/>
          <w:szCs w:val="28"/>
          <w:rtl/>
        </w:rPr>
        <w:t xml:space="preserve">( </w:t>
      </w:r>
      <w:r w:rsidRPr="00923B1A">
        <w:rPr>
          <w:rFonts w:hint="cs"/>
          <w:color w:val="0000FF"/>
          <w:sz w:val="28"/>
          <w:szCs w:val="28"/>
          <w:rtl/>
        </w:rPr>
        <w:t>م 862 من مرشد الحيران</w:t>
      </w:r>
      <w:r>
        <w:rPr>
          <w:rFonts w:hint="cs"/>
          <w:color w:val="0000FF"/>
          <w:sz w:val="28"/>
          <w:szCs w:val="28"/>
          <w:rtl/>
        </w:rPr>
        <w:t xml:space="preserve"> ) ،</w:t>
      </w:r>
      <w:r w:rsidRPr="00923B1A">
        <w:rPr>
          <w:rFonts w:hint="cs"/>
          <w:color w:val="0000FF"/>
          <w:sz w:val="28"/>
          <w:szCs w:val="28"/>
          <w:rtl/>
        </w:rPr>
        <w:t xml:space="preserve"> وهي تحرم الكفل الذي يضمن المدين بدون علمه أو رغم عدم رضاءه من حق الرجوع عليه </w:t>
      </w:r>
      <w:r>
        <w:rPr>
          <w:rFonts w:hint="cs"/>
          <w:color w:val="0000FF"/>
          <w:sz w:val="28"/>
          <w:szCs w:val="28"/>
          <w:rtl/>
        </w:rPr>
        <w:t xml:space="preserve">( </w:t>
      </w:r>
      <w:r w:rsidRPr="00923B1A">
        <w:rPr>
          <w:rFonts w:hint="cs"/>
          <w:color w:val="0000FF"/>
          <w:sz w:val="28"/>
          <w:szCs w:val="28"/>
          <w:rtl/>
        </w:rPr>
        <w:t>مجموعة الأعمال التحضيرية 5 ص 442</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495 فقرة أخيرة / 605 فقرة أخيرة</w:t>
      </w:r>
      <w:r>
        <w:rPr>
          <w:rFonts w:hint="cs"/>
          <w:color w:val="0000FF"/>
          <w:sz w:val="28"/>
          <w:szCs w:val="28"/>
          <w:rtl/>
        </w:rPr>
        <w:t xml:space="preserve"> :</w:t>
      </w:r>
      <w:r w:rsidRPr="00923B1A">
        <w:rPr>
          <w:rFonts w:hint="cs"/>
          <w:color w:val="0000FF"/>
          <w:sz w:val="28"/>
          <w:szCs w:val="28"/>
          <w:rtl/>
        </w:rPr>
        <w:t xml:space="preserve"> وتجوز للكفالة بالدين بدون علم المدين بها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784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1062</w:t>
      </w:r>
      <w:r>
        <w:rPr>
          <w:rFonts w:hint="cs"/>
          <w:color w:val="0000FF"/>
          <w:sz w:val="28"/>
          <w:szCs w:val="28"/>
          <w:rtl/>
        </w:rPr>
        <w:t xml:space="preserve"> :</w:t>
      </w:r>
      <w:r w:rsidRPr="00923B1A">
        <w:rPr>
          <w:rFonts w:hint="cs"/>
          <w:color w:val="0000FF"/>
          <w:sz w:val="28"/>
          <w:szCs w:val="28"/>
          <w:rtl/>
        </w:rPr>
        <w:t xml:space="preserve"> تجوز كفالة الموجب بدون علم المدين الأصلي</w:t>
      </w:r>
      <w:r>
        <w:rPr>
          <w:rFonts w:hint="cs"/>
          <w:color w:val="0000FF"/>
          <w:sz w:val="28"/>
          <w:szCs w:val="28"/>
          <w:rtl/>
        </w:rPr>
        <w:t xml:space="preserve"> ،</w:t>
      </w:r>
      <w:r w:rsidRPr="00923B1A">
        <w:rPr>
          <w:rFonts w:hint="cs"/>
          <w:color w:val="0000FF"/>
          <w:sz w:val="28"/>
          <w:szCs w:val="28"/>
          <w:rtl/>
        </w:rPr>
        <w:t xml:space="preserve"> وبالرغم من مشيئة</w:t>
      </w:r>
      <w:r>
        <w:rPr>
          <w:rFonts w:hint="cs"/>
          <w:color w:val="0000FF"/>
          <w:sz w:val="28"/>
          <w:szCs w:val="28"/>
          <w:rtl/>
        </w:rPr>
        <w:t xml:space="preserve"> .</w:t>
      </w:r>
      <w:r w:rsidRPr="00923B1A">
        <w:rPr>
          <w:rFonts w:hint="cs"/>
          <w:color w:val="0000FF"/>
          <w:sz w:val="28"/>
          <w:szCs w:val="28"/>
          <w:rtl/>
        </w:rPr>
        <w:t xml:space="preserve"> أما الكفالة المعطاة بالرغم من منع المديون الصريح فليس من شأنها أن تنشئ رابطة قانونية بينه وبين الكفيل</w:t>
      </w:r>
      <w:r>
        <w:rPr>
          <w:rFonts w:hint="cs"/>
          <w:color w:val="0000FF"/>
          <w:sz w:val="28"/>
          <w:szCs w:val="28"/>
          <w:rtl/>
        </w:rPr>
        <w:t xml:space="preserve"> ،</w:t>
      </w:r>
      <w:r w:rsidRPr="00923B1A">
        <w:rPr>
          <w:rFonts w:hint="cs"/>
          <w:color w:val="0000FF"/>
          <w:sz w:val="28"/>
          <w:szCs w:val="28"/>
          <w:rtl/>
        </w:rPr>
        <w:t xml:space="preserve"> بل يكون الكفيل ملزما تجاه الدائن فقط</w:t>
      </w:r>
      <w:r>
        <w:rPr>
          <w:rFonts w:hint="cs"/>
          <w:color w:val="0000FF"/>
          <w:sz w:val="28"/>
          <w:szCs w:val="28"/>
          <w:rtl/>
        </w:rPr>
        <w:t xml:space="preserve"> .</w:t>
      </w:r>
    </w:p>
  </w:footnote>
  <w:footnote w:id="16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نفس الفقرة في الهامش</w:t>
      </w:r>
      <w:r>
        <w:rPr>
          <w:rFonts w:hint="cs"/>
          <w:color w:val="0000FF"/>
          <w:sz w:val="28"/>
          <w:szCs w:val="28"/>
          <w:rtl/>
        </w:rPr>
        <w:t xml:space="preserve"> .</w:t>
      </w:r>
    </w:p>
  </w:footnote>
  <w:footnote w:id="16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بأن نص المادة 495 مدني </w:t>
      </w:r>
      <w:r>
        <w:rPr>
          <w:rFonts w:hint="cs"/>
          <w:color w:val="0000FF"/>
          <w:sz w:val="28"/>
          <w:szCs w:val="28"/>
          <w:rtl/>
        </w:rPr>
        <w:t xml:space="preserve">( </w:t>
      </w:r>
      <w:r w:rsidRPr="00923B1A">
        <w:rPr>
          <w:rFonts w:hint="cs"/>
          <w:color w:val="0000FF"/>
          <w:sz w:val="28"/>
          <w:szCs w:val="28"/>
          <w:rtl/>
        </w:rPr>
        <w:t>قديم</w:t>
      </w:r>
      <w:r>
        <w:rPr>
          <w:rFonts w:hint="cs"/>
          <w:color w:val="0000FF"/>
          <w:sz w:val="28"/>
          <w:szCs w:val="28"/>
          <w:rtl/>
        </w:rPr>
        <w:t xml:space="preserve"> )</w:t>
      </w:r>
      <w:r w:rsidRPr="00923B1A">
        <w:rPr>
          <w:rFonts w:hint="cs"/>
          <w:color w:val="0000FF"/>
          <w:sz w:val="28"/>
          <w:szCs w:val="28"/>
          <w:rtl/>
        </w:rPr>
        <w:t xml:space="preserve"> صريح في أن الكفالة تقع صحيحة ولو لم يعلم بها المدين</w:t>
      </w:r>
      <w:r>
        <w:rPr>
          <w:rFonts w:hint="cs"/>
          <w:color w:val="0000FF"/>
          <w:sz w:val="28"/>
          <w:szCs w:val="28"/>
          <w:rtl/>
        </w:rPr>
        <w:t xml:space="preserve"> ،</w:t>
      </w:r>
      <w:r w:rsidRPr="00923B1A">
        <w:rPr>
          <w:rFonts w:hint="cs"/>
          <w:color w:val="0000FF"/>
          <w:sz w:val="28"/>
          <w:szCs w:val="28"/>
          <w:rtl/>
        </w:rPr>
        <w:t xml:space="preserve"> فسيان إذن أن كان راضياً بها أم غير راض </w:t>
      </w:r>
      <w:r>
        <w:rPr>
          <w:rFonts w:hint="cs"/>
          <w:color w:val="0000FF"/>
          <w:sz w:val="28"/>
          <w:szCs w:val="28"/>
          <w:rtl/>
        </w:rPr>
        <w:t xml:space="preserve">( </w:t>
      </w:r>
      <w:r w:rsidRPr="00923B1A">
        <w:rPr>
          <w:rFonts w:hint="cs"/>
          <w:color w:val="0000FF"/>
          <w:sz w:val="28"/>
          <w:szCs w:val="28"/>
          <w:rtl/>
        </w:rPr>
        <w:t>نقض مدني 4 مايو سنة 1933 مجموعة القواعد القانونية التي قررتها محكمة النقض في 25 عاماً الجزء الثاني ص 936 رقم 1</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والظاهر أن الكفيل لا يرجع على المدين في الفقه الحنفي إلا إذا عقدت الكفالة بأمر المدين</w:t>
      </w:r>
      <w:r>
        <w:rPr>
          <w:rFonts w:hint="cs"/>
          <w:color w:val="0000FF"/>
          <w:sz w:val="28"/>
          <w:szCs w:val="28"/>
          <w:rtl/>
        </w:rPr>
        <w:t xml:space="preserve"> ،</w:t>
      </w:r>
      <w:r w:rsidRPr="00923B1A">
        <w:rPr>
          <w:rFonts w:hint="cs"/>
          <w:color w:val="0000FF"/>
          <w:sz w:val="28"/>
          <w:szCs w:val="28"/>
          <w:rtl/>
        </w:rPr>
        <w:t xml:space="preserve"> فقد جاء في المادة 682 من مرشد الحيران</w:t>
      </w:r>
      <w:r>
        <w:rPr>
          <w:rFonts w:hint="cs"/>
          <w:color w:val="0000FF"/>
          <w:sz w:val="28"/>
          <w:szCs w:val="28"/>
          <w:rtl/>
        </w:rPr>
        <w:t xml:space="preserve"> :</w:t>
      </w:r>
      <w:r w:rsidRPr="00923B1A">
        <w:rPr>
          <w:rFonts w:hint="cs"/>
          <w:color w:val="0000FF"/>
          <w:sz w:val="28"/>
          <w:szCs w:val="28"/>
          <w:rtl/>
        </w:rPr>
        <w:t xml:space="preserve"> "إذا أدى الكفيل ما كفل به من ماله </w:t>
      </w:r>
      <w:r>
        <w:rPr>
          <w:rFonts w:hint="cs"/>
          <w:color w:val="0000FF"/>
          <w:sz w:val="28"/>
          <w:szCs w:val="28"/>
          <w:rtl/>
        </w:rPr>
        <w:t xml:space="preserve"> ،</w:t>
      </w:r>
      <w:r w:rsidRPr="00923B1A">
        <w:rPr>
          <w:rFonts w:hint="cs"/>
          <w:color w:val="0000FF"/>
          <w:sz w:val="28"/>
          <w:szCs w:val="28"/>
          <w:rtl/>
        </w:rPr>
        <w:t xml:space="preserve"> فله الرجوع بما أدي على الأصيل أن كانت الكفالة بأمر الأصيل"</w:t>
      </w:r>
      <w:r>
        <w:rPr>
          <w:rFonts w:hint="cs"/>
          <w:color w:val="0000FF"/>
          <w:sz w:val="28"/>
          <w:szCs w:val="28"/>
          <w:rtl/>
        </w:rPr>
        <w:t xml:space="preserve"> .</w:t>
      </w:r>
      <w:r w:rsidRPr="00923B1A">
        <w:rPr>
          <w:rFonts w:hint="cs"/>
          <w:color w:val="0000FF"/>
          <w:sz w:val="28"/>
          <w:szCs w:val="28"/>
          <w:rtl/>
        </w:rPr>
        <w:t xml:space="preserve"> وفي قانون الموجبات والعقود اللبناني لا يرجع الكفيل على المدين بشيء إذا عقد الكفالة بالرغم من منع المدين الصريح</w:t>
      </w:r>
      <w:r>
        <w:rPr>
          <w:rFonts w:hint="cs"/>
          <w:color w:val="0000FF"/>
          <w:sz w:val="28"/>
          <w:szCs w:val="28"/>
          <w:rtl/>
        </w:rPr>
        <w:t xml:space="preserve"> ،</w:t>
      </w:r>
      <w:r w:rsidRPr="00923B1A">
        <w:rPr>
          <w:rFonts w:hint="cs"/>
          <w:color w:val="0000FF"/>
          <w:sz w:val="28"/>
          <w:szCs w:val="28"/>
          <w:rtl/>
        </w:rPr>
        <w:t xml:space="preserve"> فقد جاء في المادة 1062 من هذا القانون</w:t>
      </w:r>
      <w:r>
        <w:rPr>
          <w:rFonts w:hint="cs"/>
          <w:color w:val="0000FF"/>
          <w:sz w:val="28"/>
          <w:szCs w:val="28"/>
          <w:rtl/>
        </w:rPr>
        <w:t xml:space="preserve"> :</w:t>
      </w:r>
      <w:r w:rsidRPr="00923B1A">
        <w:rPr>
          <w:rFonts w:hint="cs"/>
          <w:color w:val="0000FF"/>
          <w:sz w:val="28"/>
          <w:szCs w:val="28"/>
          <w:rtl/>
        </w:rPr>
        <w:t xml:space="preserve"> "تجوز كفالة الموجب بدون علم من المديون الأصلي</w:t>
      </w:r>
      <w:r>
        <w:rPr>
          <w:rFonts w:hint="cs"/>
          <w:color w:val="0000FF"/>
          <w:sz w:val="28"/>
          <w:szCs w:val="28"/>
          <w:rtl/>
        </w:rPr>
        <w:t xml:space="preserve"> ،</w:t>
      </w:r>
      <w:r w:rsidRPr="00923B1A">
        <w:rPr>
          <w:rFonts w:hint="cs"/>
          <w:color w:val="0000FF"/>
          <w:sz w:val="28"/>
          <w:szCs w:val="28"/>
          <w:rtl/>
        </w:rPr>
        <w:t xml:space="preserve"> وبالغرم من مشيئته</w:t>
      </w:r>
      <w:r>
        <w:rPr>
          <w:rFonts w:hint="cs"/>
          <w:color w:val="0000FF"/>
          <w:sz w:val="28"/>
          <w:szCs w:val="28"/>
          <w:rtl/>
        </w:rPr>
        <w:t xml:space="preserve"> .</w:t>
      </w:r>
      <w:r w:rsidRPr="00923B1A">
        <w:rPr>
          <w:rFonts w:hint="cs"/>
          <w:color w:val="0000FF"/>
          <w:sz w:val="28"/>
          <w:szCs w:val="28"/>
          <w:rtl/>
        </w:rPr>
        <w:t xml:space="preserve"> أما الكفالة المعطاة بالرغم من منع المديون الصريح فليس من شأنها أن تنشئ رابطة قانونية بينه وبين الكفيل</w:t>
      </w:r>
      <w:r>
        <w:rPr>
          <w:rFonts w:hint="cs"/>
          <w:color w:val="0000FF"/>
          <w:sz w:val="28"/>
          <w:szCs w:val="28"/>
          <w:rtl/>
        </w:rPr>
        <w:t xml:space="preserve"> ،</w:t>
      </w:r>
      <w:r w:rsidRPr="00923B1A">
        <w:rPr>
          <w:rFonts w:hint="cs"/>
          <w:color w:val="0000FF"/>
          <w:sz w:val="28"/>
          <w:szCs w:val="28"/>
          <w:rtl/>
        </w:rPr>
        <w:t xml:space="preserve"> بل يكون الكفيل ملزماً تجاه الدائن فقط"</w:t>
      </w:r>
      <w:r>
        <w:rPr>
          <w:rFonts w:hint="cs"/>
          <w:color w:val="0000FF"/>
          <w:sz w:val="28"/>
          <w:szCs w:val="28"/>
          <w:rtl/>
        </w:rPr>
        <w:t xml:space="preserve"> .</w:t>
      </w:r>
    </w:p>
  </w:footnote>
  <w:footnote w:id="16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ولكن مجرد توقيع شخص إلى توقيع المدين</w:t>
      </w:r>
      <w:r>
        <w:rPr>
          <w:rFonts w:hint="cs"/>
          <w:color w:val="0000FF"/>
          <w:sz w:val="28"/>
          <w:szCs w:val="28"/>
          <w:rtl/>
        </w:rPr>
        <w:t xml:space="preserve"> ،</w:t>
      </w:r>
      <w:r w:rsidRPr="00923B1A">
        <w:rPr>
          <w:rFonts w:hint="cs"/>
          <w:color w:val="0000FF"/>
          <w:sz w:val="28"/>
          <w:szCs w:val="28"/>
          <w:rtl/>
        </w:rPr>
        <w:t xml:space="preserve"> دون بيان الصفة التي كان بها هذا التوقيع</w:t>
      </w:r>
      <w:r>
        <w:rPr>
          <w:rFonts w:hint="cs"/>
          <w:color w:val="0000FF"/>
          <w:sz w:val="28"/>
          <w:szCs w:val="28"/>
          <w:rtl/>
        </w:rPr>
        <w:t xml:space="preserve"> ،</w:t>
      </w:r>
      <w:r w:rsidRPr="00923B1A">
        <w:rPr>
          <w:rFonts w:hint="cs"/>
          <w:color w:val="0000FF"/>
          <w:sz w:val="28"/>
          <w:szCs w:val="28"/>
          <w:rtl/>
        </w:rPr>
        <w:t xml:space="preserve"> لا يكفي لحمله على أنه توقيع كفيل</w:t>
      </w:r>
      <w:r>
        <w:rPr>
          <w:rFonts w:hint="cs"/>
          <w:color w:val="0000FF"/>
          <w:sz w:val="28"/>
          <w:szCs w:val="28"/>
          <w:rtl/>
        </w:rPr>
        <w:t xml:space="preserve"> ،</w:t>
      </w:r>
      <w:r w:rsidRPr="00923B1A">
        <w:rPr>
          <w:rFonts w:hint="cs"/>
          <w:color w:val="0000FF"/>
          <w:sz w:val="28"/>
          <w:szCs w:val="28"/>
          <w:rtl/>
        </w:rPr>
        <w:t xml:space="preserve"> إذ قد يكون الشخص قد وقع كشاهد لا ككفيل </w:t>
      </w:r>
      <w:r>
        <w:rPr>
          <w:rFonts w:hint="cs"/>
          <w:color w:val="0000FF"/>
          <w:sz w:val="28"/>
          <w:szCs w:val="28"/>
          <w:rtl/>
        </w:rPr>
        <w:t xml:space="preserve">( </w:t>
      </w:r>
      <w:r w:rsidRPr="00923B1A">
        <w:rPr>
          <w:rFonts w:hint="cs"/>
          <w:color w:val="0000FF"/>
          <w:sz w:val="28"/>
          <w:szCs w:val="28"/>
          <w:rtl/>
        </w:rPr>
        <w:t>بودري وفال فقرة 929 ص 493</w:t>
      </w:r>
      <w:r>
        <w:rPr>
          <w:rFonts w:hint="cs"/>
          <w:color w:val="0000FF"/>
          <w:sz w:val="28"/>
          <w:szCs w:val="28"/>
          <w:rtl/>
        </w:rPr>
        <w:t xml:space="preserve"> ) .</w:t>
      </w:r>
    </w:p>
  </w:footnote>
  <w:footnote w:id="16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ما يلي فقرة 52</w:t>
      </w:r>
      <w:r>
        <w:rPr>
          <w:rFonts w:hint="cs"/>
          <w:color w:val="0000FF"/>
          <w:sz w:val="28"/>
          <w:szCs w:val="28"/>
          <w:rtl/>
        </w:rPr>
        <w:t xml:space="preserve"> .</w:t>
      </w:r>
    </w:p>
  </w:footnote>
  <w:footnote w:id="16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ويعتبر اتخاذ الدائن الإجراءات ضد الكفيل رضاء ضمنياً بالكفالة </w:t>
      </w:r>
      <w:r>
        <w:rPr>
          <w:rFonts w:hint="cs"/>
          <w:color w:val="0000FF"/>
          <w:sz w:val="28"/>
          <w:szCs w:val="28"/>
          <w:rtl/>
        </w:rPr>
        <w:t xml:space="preserve">( </w:t>
      </w:r>
      <w:r w:rsidRPr="00923B1A">
        <w:rPr>
          <w:rFonts w:hint="cs"/>
          <w:color w:val="0000FF"/>
          <w:sz w:val="28"/>
          <w:szCs w:val="28"/>
          <w:rtl/>
        </w:rPr>
        <w:t xml:space="preserve">جيوار فقرة 43 </w:t>
      </w:r>
      <w:r w:rsidRPr="00923B1A">
        <w:rPr>
          <w:color w:val="0000FF"/>
          <w:sz w:val="28"/>
          <w:szCs w:val="28"/>
          <w:rtl/>
        </w:rPr>
        <w:t>–</w:t>
      </w:r>
      <w:r w:rsidRPr="00923B1A">
        <w:rPr>
          <w:rFonts w:hint="cs"/>
          <w:color w:val="0000FF"/>
          <w:sz w:val="28"/>
          <w:szCs w:val="28"/>
          <w:rtl/>
        </w:rPr>
        <w:t xml:space="preserve"> بودري وفال فقرة 929 ص 494</w:t>
      </w:r>
      <w:r>
        <w:rPr>
          <w:rFonts w:hint="cs"/>
          <w:color w:val="0000FF"/>
          <w:sz w:val="28"/>
          <w:szCs w:val="28"/>
          <w:rtl/>
        </w:rPr>
        <w:t xml:space="preserve"> ) .</w:t>
      </w:r>
    </w:p>
  </w:footnote>
  <w:footnote w:id="16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921 وفقرة 929 </w:t>
      </w:r>
      <w:r w:rsidRPr="00923B1A">
        <w:rPr>
          <w:color w:val="0000FF"/>
          <w:sz w:val="28"/>
          <w:szCs w:val="28"/>
          <w:rtl/>
        </w:rPr>
        <w:t>–</w:t>
      </w:r>
      <w:r w:rsidRPr="00923B1A">
        <w:rPr>
          <w:rFonts w:hint="cs"/>
          <w:color w:val="0000FF"/>
          <w:sz w:val="28"/>
          <w:szCs w:val="28"/>
          <w:rtl/>
        </w:rPr>
        <w:t xml:space="preserve"> بلانيول وريبير وسافاتييه فقرة 1520 ص 972 </w:t>
      </w:r>
      <w:r w:rsidRPr="00923B1A">
        <w:rPr>
          <w:color w:val="0000FF"/>
          <w:sz w:val="28"/>
          <w:szCs w:val="28"/>
          <w:rtl/>
        </w:rPr>
        <w:t>–</w:t>
      </w:r>
      <w:r w:rsidRPr="00923B1A">
        <w:rPr>
          <w:rFonts w:hint="cs"/>
          <w:color w:val="0000FF"/>
          <w:sz w:val="28"/>
          <w:szCs w:val="28"/>
          <w:rtl/>
        </w:rPr>
        <w:t xml:space="preserve"> وانظر أيضاً لوران 28 فقرة 154 وما بعدها </w:t>
      </w:r>
      <w:r w:rsidRPr="00923B1A">
        <w:rPr>
          <w:color w:val="0000FF"/>
          <w:sz w:val="28"/>
          <w:szCs w:val="28"/>
          <w:rtl/>
        </w:rPr>
        <w:t>–</w:t>
      </w:r>
      <w:r w:rsidRPr="00923B1A">
        <w:rPr>
          <w:rFonts w:hint="cs"/>
          <w:color w:val="0000FF"/>
          <w:sz w:val="28"/>
          <w:szCs w:val="28"/>
          <w:rtl/>
        </w:rPr>
        <w:t xml:space="preserve"> جيوار فقرة 29</w:t>
      </w:r>
      <w:r>
        <w:rPr>
          <w:rFonts w:hint="cs"/>
          <w:color w:val="0000FF"/>
          <w:sz w:val="28"/>
          <w:szCs w:val="28"/>
          <w:rtl/>
        </w:rPr>
        <w:t xml:space="preserve"> .</w:t>
      </w:r>
    </w:p>
  </w:footnote>
  <w:footnote w:id="16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1520 ص 972</w:t>
      </w:r>
      <w:r>
        <w:rPr>
          <w:rFonts w:hint="cs"/>
          <w:color w:val="0000FF"/>
          <w:sz w:val="28"/>
          <w:szCs w:val="28"/>
          <w:rtl/>
        </w:rPr>
        <w:t xml:space="preserve"> .</w:t>
      </w:r>
    </w:p>
  </w:footnote>
  <w:footnote w:id="16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929 ص 493</w:t>
      </w:r>
      <w:r>
        <w:rPr>
          <w:rFonts w:hint="cs"/>
          <w:color w:val="0000FF"/>
          <w:sz w:val="28"/>
          <w:szCs w:val="28"/>
          <w:rtl/>
        </w:rPr>
        <w:t xml:space="preserve"> .</w:t>
      </w:r>
    </w:p>
  </w:footnote>
  <w:footnote w:id="16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1520 ص 972</w:t>
      </w:r>
      <w:r>
        <w:rPr>
          <w:rFonts w:hint="cs"/>
          <w:color w:val="0000FF"/>
          <w:sz w:val="28"/>
          <w:szCs w:val="28"/>
          <w:rtl/>
        </w:rPr>
        <w:t xml:space="preserve"> .</w:t>
      </w:r>
    </w:p>
  </w:footnote>
  <w:footnote w:id="17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3 فبراير سنة 1886 داللوز 86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469 </w:t>
      </w:r>
      <w:r w:rsidRPr="00923B1A">
        <w:rPr>
          <w:color w:val="0000FF"/>
          <w:sz w:val="28"/>
          <w:szCs w:val="28"/>
          <w:rtl/>
        </w:rPr>
        <w:t>–</w:t>
      </w:r>
      <w:r w:rsidRPr="00923B1A">
        <w:rPr>
          <w:rFonts w:hint="cs"/>
          <w:color w:val="0000FF"/>
          <w:sz w:val="28"/>
          <w:szCs w:val="28"/>
          <w:rtl/>
        </w:rPr>
        <w:t xml:space="preserve"> بلانيول وريبير وسافاتييه فقرة 1520 ص 973 هامش 1</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وقد قضت محكمة النقض في مصر بأن جسامة الخطر الذي ينشأ عنه الإكراه إنما تقدر بالمعيار النفسي للشخص الواقع عليه الإكراه</w:t>
      </w:r>
      <w:r>
        <w:rPr>
          <w:rFonts w:hint="cs"/>
          <w:color w:val="0000FF"/>
          <w:sz w:val="28"/>
          <w:szCs w:val="28"/>
          <w:rtl/>
        </w:rPr>
        <w:t xml:space="preserve"> ،</w:t>
      </w:r>
      <w:r w:rsidRPr="00923B1A">
        <w:rPr>
          <w:rFonts w:hint="cs"/>
          <w:color w:val="0000FF"/>
          <w:sz w:val="28"/>
          <w:szCs w:val="28"/>
          <w:rtl/>
        </w:rPr>
        <w:t xml:space="preserve"> وهو يستدعي مراعاة حالته عملا بأحكام المادة 135 من القانون المدني </w:t>
      </w:r>
      <w:r>
        <w:rPr>
          <w:rFonts w:hint="cs"/>
          <w:color w:val="0000FF"/>
          <w:sz w:val="28"/>
          <w:szCs w:val="28"/>
          <w:rtl/>
        </w:rPr>
        <w:t xml:space="preserve">( </w:t>
      </w:r>
      <w:r w:rsidRPr="00923B1A">
        <w:rPr>
          <w:rFonts w:hint="cs"/>
          <w:color w:val="0000FF"/>
          <w:sz w:val="28"/>
          <w:szCs w:val="28"/>
          <w:rtl/>
        </w:rPr>
        <w:t>القديم</w:t>
      </w:r>
      <w:r>
        <w:rPr>
          <w:rFonts w:hint="cs"/>
          <w:color w:val="0000FF"/>
          <w:sz w:val="28"/>
          <w:szCs w:val="28"/>
          <w:rtl/>
        </w:rPr>
        <w:t xml:space="preserve"> ) .</w:t>
      </w:r>
      <w:r w:rsidRPr="00923B1A">
        <w:rPr>
          <w:rFonts w:hint="cs"/>
          <w:color w:val="0000FF"/>
          <w:sz w:val="28"/>
          <w:szCs w:val="28"/>
          <w:rtl/>
        </w:rPr>
        <w:t xml:space="preserve"> فإذا كان الكفيل قد دفع ببطلان الكفالة للإكراه</w:t>
      </w:r>
      <w:r>
        <w:rPr>
          <w:rFonts w:hint="cs"/>
          <w:color w:val="0000FF"/>
          <w:sz w:val="28"/>
          <w:szCs w:val="28"/>
          <w:rtl/>
        </w:rPr>
        <w:t xml:space="preserve"> ،</w:t>
      </w:r>
      <w:r w:rsidRPr="00923B1A">
        <w:rPr>
          <w:rFonts w:hint="cs"/>
          <w:color w:val="0000FF"/>
          <w:sz w:val="28"/>
          <w:szCs w:val="28"/>
          <w:rtl/>
        </w:rPr>
        <w:t xml:space="preserve"> قولا منه بأنه كان له في ذمة المكفول له دين بسند مستحق وقت الطلب</w:t>
      </w:r>
      <w:r>
        <w:rPr>
          <w:rFonts w:hint="cs"/>
          <w:color w:val="0000FF"/>
          <w:sz w:val="28"/>
          <w:szCs w:val="28"/>
          <w:rtl/>
        </w:rPr>
        <w:t xml:space="preserve"> ،</w:t>
      </w:r>
      <w:r w:rsidRPr="00923B1A">
        <w:rPr>
          <w:rFonts w:hint="cs"/>
          <w:color w:val="0000FF"/>
          <w:sz w:val="28"/>
          <w:szCs w:val="28"/>
          <w:rtl/>
        </w:rPr>
        <w:t xml:space="preserve"> فضاع منه السند</w:t>
      </w:r>
      <w:r>
        <w:rPr>
          <w:rFonts w:hint="cs"/>
          <w:color w:val="0000FF"/>
          <w:sz w:val="28"/>
          <w:szCs w:val="28"/>
          <w:rtl/>
        </w:rPr>
        <w:t xml:space="preserve"> ،</w:t>
      </w:r>
      <w:r w:rsidRPr="00923B1A">
        <w:rPr>
          <w:rFonts w:hint="cs"/>
          <w:color w:val="0000FF"/>
          <w:sz w:val="28"/>
          <w:szCs w:val="28"/>
          <w:rtl/>
        </w:rPr>
        <w:t xml:space="preserve"> فلجأ إلى مدينه ليكتب له بدلا منه</w:t>
      </w:r>
      <w:r>
        <w:rPr>
          <w:rFonts w:hint="cs"/>
          <w:color w:val="0000FF"/>
          <w:sz w:val="28"/>
          <w:szCs w:val="28"/>
          <w:rtl/>
        </w:rPr>
        <w:t xml:space="preserve"> ،</w:t>
      </w:r>
      <w:r w:rsidRPr="00923B1A">
        <w:rPr>
          <w:rFonts w:hint="cs"/>
          <w:color w:val="0000FF"/>
          <w:sz w:val="28"/>
          <w:szCs w:val="28"/>
          <w:rtl/>
        </w:rPr>
        <w:t xml:space="preserve"> فأبى إلا إذا وقع هو له إقراراً بكفالة أخيه في دين له قبله</w:t>
      </w:r>
      <w:r>
        <w:rPr>
          <w:rFonts w:hint="cs"/>
          <w:color w:val="0000FF"/>
          <w:sz w:val="28"/>
          <w:szCs w:val="28"/>
          <w:rtl/>
        </w:rPr>
        <w:t xml:space="preserve"> ،</w:t>
      </w:r>
      <w:r w:rsidRPr="00923B1A">
        <w:rPr>
          <w:rFonts w:hint="cs"/>
          <w:color w:val="0000FF"/>
          <w:sz w:val="28"/>
          <w:szCs w:val="28"/>
          <w:rtl/>
        </w:rPr>
        <w:t xml:space="preserve"> فلم يجد مناصاً من القبول</w:t>
      </w:r>
      <w:r>
        <w:rPr>
          <w:rFonts w:hint="cs"/>
          <w:color w:val="0000FF"/>
          <w:sz w:val="28"/>
          <w:szCs w:val="28"/>
          <w:rtl/>
        </w:rPr>
        <w:t xml:space="preserve"> .</w:t>
      </w:r>
      <w:r w:rsidRPr="00923B1A">
        <w:rPr>
          <w:rFonts w:hint="cs"/>
          <w:color w:val="0000FF"/>
          <w:sz w:val="28"/>
          <w:szCs w:val="28"/>
          <w:rtl/>
        </w:rPr>
        <w:t xml:space="preserve"> فرد الحكم على هذا الدفع بأن فقد سند الدين لم يكن ليؤثر في إدارة الكفيل</w:t>
      </w:r>
      <w:r>
        <w:rPr>
          <w:rFonts w:hint="cs"/>
          <w:color w:val="0000FF"/>
          <w:sz w:val="28"/>
          <w:szCs w:val="28"/>
          <w:rtl/>
        </w:rPr>
        <w:t xml:space="preserve"> ،</w:t>
      </w:r>
      <w:r w:rsidRPr="00923B1A">
        <w:rPr>
          <w:rFonts w:hint="cs"/>
          <w:color w:val="0000FF"/>
          <w:sz w:val="28"/>
          <w:szCs w:val="28"/>
          <w:rtl/>
        </w:rPr>
        <w:t xml:space="preserve"> وهو رجل مثقف خبير بالشئون والمعاملات المالية</w:t>
      </w:r>
      <w:r>
        <w:rPr>
          <w:rFonts w:hint="cs"/>
          <w:color w:val="0000FF"/>
          <w:sz w:val="28"/>
          <w:szCs w:val="28"/>
          <w:rtl/>
        </w:rPr>
        <w:t xml:space="preserve"> ،</w:t>
      </w:r>
      <w:r w:rsidRPr="00923B1A">
        <w:rPr>
          <w:rFonts w:hint="cs"/>
          <w:color w:val="0000FF"/>
          <w:sz w:val="28"/>
          <w:szCs w:val="28"/>
          <w:rtl/>
        </w:rPr>
        <w:t xml:space="preserve"> إلى الحد الذي يعيب رضاءه بكفالة أخيه</w:t>
      </w:r>
      <w:r>
        <w:rPr>
          <w:rFonts w:hint="cs"/>
          <w:color w:val="0000FF"/>
          <w:sz w:val="28"/>
          <w:szCs w:val="28"/>
          <w:rtl/>
        </w:rPr>
        <w:t xml:space="preserve"> ،</w:t>
      </w:r>
      <w:r w:rsidRPr="00923B1A">
        <w:rPr>
          <w:rFonts w:hint="cs"/>
          <w:color w:val="0000FF"/>
          <w:sz w:val="28"/>
          <w:szCs w:val="28"/>
          <w:rtl/>
        </w:rPr>
        <w:t xml:space="preserve"> فهذا رد سديد</w:t>
      </w:r>
      <w:r>
        <w:rPr>
          <w:rFonts w:hint="cs"/>
          <w:color w:val="0000FF"/>
          <w:sz w:val="28"/>
          <w:szCs w:val="28"/>
          <w:rtl/>
        </w:rPr>
        <w:t xml:space="preserve"> .</w:t>
      </w:r>
      <w:r w:rsidRPr="00923B1A">
        <w:rPr>
          <w:rFonts w:hint="cs"/>
          <w:color w:val="0000FF"/>
          <w:sz w:val="28"/>
          <w:szCs w:val="28"/>
          <w:rtl/>
        </w:rPr>
        <w:t xml:space="preserve"> وإذا كان الحكم بعد ذلك قد قال بأن فقد اسند بحكم كونه وأخته لا يد للمكفول له فيها لا يكون الإكراه المبطل العقود</w:t>
      </w:r>
      <w:r>
        <w:rPr>
          <w:rFonts w:hint="cs"/>
          <w:color w:val="0000FF"/>
          <w:sz w:val="28"/>
          <w:szCs w:val="28"/>
          <w:rtl/>
        </w:rPr>
        <w:t xml:space="preserve"> ،</w:t>
      </w:r>
      <w:r w:rsidRPr="00923B1A">
        <w:rPr>
          <w:rFonts w:hint="cs"/>
          <w:color w:val="0000FF"/>
          <w:sz w:val="28"/>
          <w:szCs w:val="28"/>
          <w:rtl/>
        </w:rPr>
        <w:t xml:space="preserve"> فهذا تزيد منه لا يعيبه أن يكون قد أخطأ فيه </w:t>
      </w:r>
      <w:r>
        <w:rPr>
          <w:rFonts w:hint="cs"/>
          <w:color w:val="0000FF"/>
          <w:sz w:val="28"/>
          <w:szCs w:val="28"/>
          <w:rtl/>
        </w:rPr>
        <w:t xml:space="preserve">( </w:t>
      </w:r>
      <w:r w:rsidRPr="00923B1A">
        <w:rPr>
          <w:rFonts w:hint="cs"/>
          <w:color w:val="0000FF"/>
          <w:sz w:val="28"/>
          <w:szCs w:val="28"/>
          <w:rtl/>
        </w:rPr>
        <w:t>نقض مدني أول أبريل سنة 1948 مجموعة القواعد القانونية التي قررتها محكمة النقض في 25 عاماً الجزء الثاني ص 936 رقم 2</w:t>
      </w:r>
      <w:r>
        <w:rPr>
          <w:rFonts w:hint="cs"/>
          <w:color w:val="0000FF"/>
          <w:sz w:val="28"/>
          <w:szCs w:val="28"/>
          <w:rtl/>
        </w:rPr>
        <w:t xml:space="preserve"> ) .</w:t>
      </w:r>
    </w:p>
  </w:footnote>
  <w:footnote w:id="17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1520 ص 973 </w:t>
      </w:r>
      <w:r w:rsidRPr="00923B1A">
        <w:rPr>
          <w:color w:val="0000FF"/>
          <w:sz w:val="28"/>
          <w:szCs w:val="28"/>
          <w:rtl/>
        </w:rPr>
        <w:t>–</w:t>
      </w:r>
      <w:r w:rsidRPr="00923B1A">
        <w:rPr>
          <w:rFonts w:hint="cs"/>
          <w:color w:val="0000FF"/>
          <w:sz w:val="28"/>
          <w:szCs w:val="28"/>
          <w:rtl/>
        </w:rPr>
        <w:t xml:space="preserve"> وانظر جيوار فقرة 28 </w:t>
      </w:r>
      <w:r w:rsidRPr="00923B1A">
        <w:rPr>
          <w:color w:val="0000FF"/>
          <w:sz w:val="28"/>
          <w:szCs w:val="28"/>
          <w:rtl/>
        </w:rPr>
        <w:t>–</w:t>
      </w:r>
      <w:r w:rsidRPr="00923B1A">
        <w:rPr>
          <w:rFonts w:hint="cs"/>
          <w:color w:val="0000FF"/>
          <w:sz w:val="28"/>
          <w:szCs w:val="28"/>
          <w:rtl/>
        </w:rPr>
        <w:t xml:space="preserve"> بودري وفال فقرة 927 </w:t>
      </w:r>
      <w:r w:rsidRPr="00923B1A">
        <w:rPr>
          <w:color w:val="0000FF"/>
          <w:sz w:val="28"/>
          <w:szCs w:val="28"/>
          <w:rtl/>
        </w:rPr>
        <w:t>–</w:t>
      </w:r>
      <w:r w:rsidRPr="00923B1A">
        <w:rPr>
          <w:rFonts w:hint="cs"/>
          <w:color w:val="0000FF"/>
          <w:sz w:val="28"/>
          <w:szCs w:val="28"/>
          <w:rtl/>
        </w:rPr>
        <w:t xml:space="preserve"> وقد نصت المادة 1060 من قانون الموجبات والعقود اللبناني على "أن التعهد بكفالة شخص ليس بكفالة</w:t>
      </w:r>
      <w:r>
        <w:rPr>
          <w:rFonts w:hint="cs"/>
          <w:color w:val="0000FF"/>
          <w:sz w:val="28"/>
          <w:szCs w:val="28"/>
          <w:rtl/>
        </w:rPr>
        <w:t xml:space="preserve"> ،</w:t>
      </w:r>
      <w:r w:rsidRPr="00923B1A">
        <w:rPr>
          <w:rFonts w:hint="cs"/>
          <w:color w:val="0000FF"/>
          <w:sz w:val="28"/>
          <w:szCs w:val="28"/>
          <w:rtl/>
        </w:rPr>
        <w:t xml:space="preserve"> على أنه يحق للمتعهد له أن يطالب بإتمام الكفالة</w:t>
      </w:r>
      <w:r>
        <w:rPr>
          <w:rFonts w:hint="cs"/>
          <w:color w:val="0000FF"/>
          <w:sz w:val="28"/>
          <w:szCs w:val="28"/>
          <w:rtl/>
        </w:rPr>
        <w:t xml:space="preserve"> ،</w:t>
      </w:r>
      <w:r w:rsidRPr="00923B1A">
        <w:rPr>
          <w:rFonts w:hint="cs"/>
          <w:color w:val="0000FF"/>
          <w:sz w:val="28"/>
          <w:szCs w:val="28"/>
          <w:rtl/>
        </w:rPr>
        <w:t xml:space="preserve"> وإلا كان له أن يطالب ببدل العطل والضرر"</w:t>
      </w:r>
      <w:r>
        <w:rPr>
          <w:rFonts w:hint="cs"/>
          <w:color w:val="0000FF"/>
          <w:sz w:val="28"/>
          <w:szCs w:val="28"/>
          <w:rtl/>
        </w:rPr>
        <w:t xml:space="preserve"> .</w:t>
      </w:r>
    </w:p>
  </w:footnote>
  <w:footnote w:id="17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928 </w:t>
      </w:r>
      <w:r w:rsidRPr="00923B1A">
        <w:rPr>
          <w:color w:val="0000FF"/>
          <w:sz w:val="28"/>
          <w:szCs w:val="28"/>
          <w:rtl/>
        </w:rPr>
        <w:t>–</w:t>
      </w:r>
      <w:r w:rsidRPr="00923B1A">
        <w:rPr>
          <w:rFonts w:hint="cs"/>
          <w:color w:val="0000FF"/>
          <w:sz w:val="28"/>
          <w:szCs w:val="28"/>
          <w:rtl/>
        </w:rPr>
        <w:t xml:space="preserve"> عبد الفتاح عبد الباقي فقرة 33</w:t>
      </w:r>
      <w:r>
        <w:rPr>
          <w:rFonts w:hint="cs"/>
          <w:color w:val="0000FF"/>
          <w:sz w:val="28"/>
          <w:szCs w:val="28"/>
          <w:rtl/>
        </w:rPr>
        <w:t xml:space="preserve"> .</w:t>
      </w:r>
    </w:p>
  </w:footnote>
  <w:footnote w:id="17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26 يناير سنة 1926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353 </w:t>
      </w:r>
      <w:r w:rsidRPr="00923B1A">
        <w:rPr>
          <w:color w:val="0000FF"/>
          <w:sz w:val="28"/>
          <w:szCs w:val="28"/>
          <w:rtl/>
        </w:rPr>
        <w:t>–</w:t>
      </w:r>
      <w:r w:rsidRPr="00923B1A">
        <w:rPr>
          <w:rFonts w:hint="cs"/>
          <w:color w:val="0000FF"/>
          <w:sz w:val="28"/>
          <w:szCs w:val="28"/>
          <w:rtl/>
        </w:rPr>
        <w:t xml:space="preserve"> ب ن 2 فقرة 91 </w:t>
      </w:r>
      <w:r w:rsidRPr="00923B1A">
        <w:rPr>
          <w:color w:val="0000FF"/>
          <w:sz w:val="28"/>
          <w:szCs w:val="28"/>
          <w:rtl/>
        </w:rPr>
        <w:t>–</w:t>
      </w:r>
      <w:r w:rsidRPr="00923B1A">
        <w:rPr>
          <w:rFonts w:hint="cs"/>
          <w:color w:val="0000FF"/>
          <w:sz w:val="28"/>
          <w:szCs w:val="28"/>
          <w:rtl/>
        </w:rPr>
        <w:t xml:space="preserve"> ترولون فقرة 135 </w:t>
      </w:r>
      <w:r w:rsidRPr="00923B1A">
        <w:rPr>
          <w:color w:val="0000FF"/>
          <w:sz w:val="28"/>
          <w:szCs w:val="28"/>
          <w:rtl/>
        </w:rPr>
        <w:t>–</w:t>
      </w:r>
      <w:r w:rsidRPr="00923B1A">
        <w:rPr>
          <w:rFonts w:hint="cs"/>
          <w:color w:val="0000FF"/>
          <w:sz w:val="28"/>
          <w:szCs w:val="28"/>
          <w:rtl/>
        </w:rPr>
        <w:t xml:space="preserve"> أوبري ورو 6 فقرة 424 ص 273 وهامش 1 و 2 </w:t>
      </w:r>
      <w:r w:rsidRPr="00923B1A">
        <w:rPr>
          <w:color w:val="0000FF"/>
          <w:sz w:val="28"/>
          <w:szCs w:val="28"/>
          <w:rtl/>
        </w:rPr>
        <w:t>–</w:t>
      </w:r>
      <w:r w:rsidRPr="00923B1A">
        <w:rPr>
          <w:rFonts w:hint="cs"/>
          <w:color w:val="0000FF"/>
          <w:sz w:val="28"/>
          <w:szCs w:val="28"/>
          <w:rtl/>
        </w:rPr>
        <w:t xml:space="preserve"> بودري وفال فقرة 926</w:t>
      </w:r>
      <w:r>
        <w:rPr>
          <w:rFonts w:hint="cs"/>
          <w:color w:val="0000FF"/>
          <w:sz w:val="28"/>
          <w:szCs w:val="28"/>
          <w:rtl/>
        </w:rPr>
        <w:t xml:space="preserve"> .</w:t>
      </w:r>
    </w:p>
  </w:footnote>
  <w:footnote w:id="174">
    <w:p w:rsidR="00F72742" w:rsidRPr="00923B1A" w:rsidRDefault="00F72742" w:rsidP="00F72742">
      <w:pPr>
        <w:pStyle w:val="aa"/>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هذا إلى أن القانون المصري</w:t>
      </w:r>
      <w:r>
        <w:rPr>
          <w:rFonts w:hint="cs"/>
          <w:color w:val="0000FF"/>
          <w:sz w:val="28"/>
          <w:szCs w:val="28"/>
          <w:rtl/>
        </w:rPr>
        <w:t xml:space="preserve"> ،</w:t>
      </w:r>
      <w:r w:rsidRPr="00923B1A">
        <w:rPr>
          <w:rFonts w:hint="cs"/>
          <w:color w:val="0000FF"/>
          <w:sz w:val="28"/>
          <w:szCs w:val="28"/>
          <w:rtl/>
        </w:rPr>
        <w:t xml:space="preserve"> كما سنرى </w:t>
      </w:r>
      <w:r>
        <w:rPr>
          <w:rFonts w:hint="cs"/>
          <w:color w:val="0000FF"/>
          <w:sz w:val="28"/>
          <w:szCs w:val="28"/>
          <w:rtl/>
        </w:rPr>
        <w:t xml:space="preserve">( </w:t>
      </w:r>
      <w:r w:rsidRPr="00923B1A">
        <w:rPr>
          <w:rFonts w:hint="cs"/>
          <w:color w:val="0000FF"/>
          <w:sz w:val="28"/>
          <w:szCs w:val="28"/>
          <w:rtl/>
        </w:rPr>
        <w:t>انظر فقرة 31</w:t>
      </w:r>
      <w:r>
        <w:rPr>
          <w:rFonts w:hint="cs"/>
          <w:color w:val="0000FF"/>
          <w:sz w:val="28"/>
          <w:szCs w:val="28"/>
          <w:rtl/>
        </w:rPr>
        <w:t xml:space="preserve"> ) ،</w:t>
      </w:r>
      <w:r w:rsidRPr="00923B1A">
        <w:rPr>
          <w:rFonts w:hint="cs"/>
          <w:color w:val="0000FF"/>
          <w:sz w:val="28"/>
          <w:szCs w:val="28"/>
          <w:rtl/>
        </w:rPr>
        <w:t xml:space="preserve"> لا يجيز إثبات التزام الكفيل إلا بالكتابة</w:t>
      </w:r>
      <w:r>
        <w:rPr>
          <w:rFonts w:hint="cs"/>
          <w:color w:val="0000FF"/>
          <w:sz w:val="28"/>
          <w:szCs w:val="28"/>
          <w:rtl/>
        </w:rPr>
        <w:t xml:space="preserve"> ،</w:t>
      </w:r>
      <w:r w:rsidRPr="00923B1A">
        <w:rPr>
          <w:rFonts w:hint="cs"/>
          <w:color w:val="0000FF"/>
          <w:sz w:val="28"/>
          <w:szCs w:val="28"/>
          <w:rtl/>
        </w:rPr>
        <w:t xml:space="preserve"> وفي كتابة التزام الكفيل ضمان كاف لجعله واضحاً</w:t>
      </w:r>
      <w:r>
        <w:rPr>
          <w:rFonts w:hint="cs"/>
          <w:color w:val="0000FF"/>
          <w:sz w:val="28"/>
          <w:szCs w:val="28"/>
          <w:rtl/>
        </w:rPr>
        <w:t xml:space="preserve"> ،</w:t>
      </w:r>
      <w:r w:rsidRPr="00923B1A">
        <w:rPr>
          <w:rFonts w:hint="cs"/>
          <w:color w:val="0000FF"/>
          <w:sz w:val="28"/>
          <w:szCs w:val="28"/>
          <w:rtl/>
        </w:rPr>
        <w:t xml:space="preserve"> بل لجعله صريحاً</w:t>
      </w:r>
      <w:r>
        <w:rPr>
          <w:rFonts w:hint="cs"/>
          <w:color w:val="0000FF"/>
          <w:sz w:val="28"/>
          <w:szCs w:val="28"/>
          <w:rtl/>
        </w:rPr>
        <w:t xml:space="preserve"> .</w:t>
      </w:r>
      <w:r w:rsidRPr="00923B1A">
        <w:rPr>
          <w:rFonts w:hint="cs"/>
          <w:color w:val="0000FF"/>
          <w:sz w:val="28"/>
          <w:szCs w:val="28"/>
          <w:rtl/>
        </w:rPr>
        <w:t xml:space="preserve"> وقد استعاض التقنين المدني المصري عن اشتراط جعل رضاء الكفيل صريحا</w:t>
      </w:r>
      <w:r>
        <w:rPr>
          <w:rFonts w:hint="cs"/>
          <w:color w:val="0000FF"/>
          <w:sz w:val="28"/>
          <w:szCs w:val="28"/>
          <w:rtl/>
        </w:rPr>
        <w:t xml:space="preserve"> ،</w:t>
      </w:r>
      <w:r w:rsidRPr="00923B1A">
        <w:rPr>
          <w:rFonts w:hint="cs"/>
          <w:color w:val="0000FF"/>
          <w:sz w:val="28"/>
          <w:szCs w:val="28"/>
          <w:rtl/>
        </w:rPr>
        <w:t xml:space="preserve"> يجعل إثبات هذا الرضاء بالكتابة</w:t>
      </w:r>
      <w:r>
        <w:rPr>
          <w:rFonts w:hint="cs"/>
          <w:color w:val="0000FF"/>
          <w:sz w:val="28"/>
          <w:szCs w:val="28"/>
          <w:rtl/>
        </w:rPr>
        <w:t xml:space="preserve"> .</w:t>
      </w:r>
      <w:r w:rsidRPr="00923B1A">
        <w:rPr>
          <w:rFonts w:hint="cs"/>
          <w:color w:val="0000FF"/>
          <w:sz w:val="28"/>
          <w:szCs w:val="28"/>
          <w:rtl/>
        </w:rPr>
        <w:t xml:space="preserve"> ويذهب بعض الفقهاء في مصر إلى وجوب أن يكون رضاء الكفيل صريحاً</w:t>
      </w:r>
      <w:r>
        <w:rPr>
          <w:rFonts w:hint="cs"/>
          <w:color w:val="0000FF"/>
          <w:sz w:val="28"/>
          <w:szCs w:val="28"/>
          <w:rtl/>
        </w:rPr>
        <w:t xml:space="preserve"> ،</w:t>
      </w:r>
      <w:r w:rsidRPr="00923B1A">
        <w:rPr>
          <w:rFonts w:hint="cs"/>
          <w:color w:val="0000FF"/>
          <w:sz w:val="28"/>
          <w:szCs w:val="28"/>
          <w:rtl/>
        </w:rPr>
        <w:t xml:space="preserve"> ولو لم يوجد نص على ذلك </w:t>
      </w:r>
      <w:r>
        <w:rPr>
          <w:rFonts w:hint="cs"/>
          <w:color w:val="0000FF"/>
          <w:sz w:val="28"/>
          <w:szCs w:val="28"/>
          <w:rtl/>
        </w:rPr>
        <w:t xml:space="preserve">( </w:t>
      </w:r>
      <w:r w:rsidRPr="00923B1A">
        <w:rPr>
          <w:rFonts w:hint="cs"/>
          <w:color w:val="0000FF"/>
          <w:sz w:val="28"/>
          <w:szCs w:val="28"/>
          <w:rtl/>
        </w:rPr>
        <w:t xml:space="preserve">عبد الفتاح عبد الباقي فقرة 29 </w:t>
      </w:r>
      <w:r w:rsidRPr="00923B1A">
        <w:rPr>
          <w:color w:val="0000FF"/>
          <w:sz w:val="28"/>
          <w:szCs w:val="28"/>
          <w:rtl/>
        </w:rPr>
        <w:t>–</w:t>
      </w:r>
      <w:r w:rsidRPr="00923B1A">
        <w:rPr>
          <w:rFonts w:hint="cs"/>
          <w:color w:val="0000FF"/>
          <w:sz w:val="28"/>
          <w:szCs w:val="28"/>
          <w:rtl/>
        </w:rPr>
        <w:t xml:space="preserve"> سليمان مرقس فقرة 7 وفقرة 20 </w:t>
      </w:r>
      <w:r w:rsidRPr="00923B1A">
        <w:rPr>
          <w:color w:val="0000FF"/>
          <w:sz w:val="28"/>
          <w:szCs w:val="28"/>
          <w:rtl/>
        </w:rPr>
        <w:t>–</w:t>
      </w:r>
      <w:r w:rsidRPr="00923B1A">
        <w:rPr>
          <w:rFonts w:hint="cs"/>
          <w:color w:val="0000FF"/>
          <w:sz w:val="28"/>
          <w:szCs w:val="28"/>
          <w:rtl/>
        </w:rPr>
        <w:t xml:space="preserve"> محمد علي إمام فقرة 27 ص 48 </w:t>
      </w:r>
      <w:r w:rsidRPr="00923B1A">
        <w:rPr>
          <w:color w:val="0000FF"/>
          <w:sz w:val="28"/>
          <w:szCs w:val="28"/>
          <w:rtl/>
        </w:rPr>
        <w:t>–</w:t>
      </w:r>
      <w:r w:rsidRPr="00923B1A">
        <w:rPr>
          <w:rFonts w:hint="cs"/>
          <w:color w:val="0000FF"/>
          <w:sz w:val="28"/>
          <w:szCs w:val="28"/>
          <w:rtl/>
        </w:rPr>
        <w:t xml:space="preserve"> عكس ذلك جمال الدين زكي فقرة 27 ص 52 </w:t>
      </w:r>
      <w:r w:rsidRPr="00923B1A">
        <w:rPr>
          <w:color w:val="0000FF"/>
          <w:sz w:val="28"/>
          <w:szCs w:val="28"/>
          <w:rtl/>
        </w:rPr>
        <w:t>–</w:t>
      </w:r>
      <w:r w:rsidRPr="00923B1A">
        <w:rPr>
          <w:rFonts w:hint="cs"/>
          <w:color w:val="0000FF"/>
          <w:sz w:val="28"/>
          <w:szCs w:val="28"/>
          <w:rtl/>
        </w:rPr>
        <w:t xml:space="preserve"> منصور مصطفى منصور فقرة 12 ص 28  - ص 29</w:t>
      </w:r>
      <w:r>
        <w:rPr>
          <w:rFonts w:hint="cs"/>
          <w:color w:val="0000FF"/>
          <w:sz w:val="28"/>
          <w:szCs w:val="28"/>
          <w:rtl/>
        </w:rPr>
        <w:t xml:space="preserve"> ) .</w:t>
      </w:r>
    </w:p>
  </w:footnote>
  <w:footnote w:id="17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شامبري 15 يوليه سنة 1901 داللوز 1903 </w:t>
      </w:r>
      <w:r w:rsidRPr="00923B1A">
        <w:rPr>
          <w:color w:val="0000FF"/>
          <w:sz w:val="28"/>
          <w:szCs w:val="28"/>
          <w:rtl/>
        </w:rPr>
        <w:t>–</w:t>
      </w:r>
      <w:r w:rsidRPr="00923B1A">
        <w:rPr>
          <w:rFonts w:hint="cs"/>
          <w:color w:val="0000FF"/>
          <w:sz w:val="28"/>
          <w:szCs w:val="28"/>
          <w:rtl/>
        </w:rPr>
        <w:t xml:space="preserve"> 2 </w:t>
      </w:r>
      <w:r w:rsidRPr="00923B1A">
        <w:rPr>
          <w:color w:val="0000FF"/>
          <w:sz w:val="28"/>
          <w:szCs w:val="28"/>
          <w:rtl/>
        </w:rPr>
        <w:t>–</w:t>
      </w:r>
      <w:r w:rsidRPr="00923B1A">
        <w:rPr>
          <w:rFonts w:hint="cs"/>
          <w:color w:val="0000FF"/>
          <w:sz w:val="28"/>
          <w:szCs w:val="28"/>
          <w:rtl/>
        </w:rPr>
        <w:t xml:space="preserve"> 341 </w:t>
      </w:r>
      <w:r w:rsidRPr="00923B1A">
        <w:rPr>
          <w:color w:val="0000FF"/>
          <w:sz w:val="28"/>
          <w:szCs w:val="28"/>
          <w:rtl/>
        </w:rPr>
        <w:t>–</w:t>
      </w:r>
      <w:r w:rsidRPr="00923B1A">
        <w:rPr>
          <w:rFonts w:hint="cs"/>
          <w:color w:val="0000FF"/>
          <w:sz w:val="28"/>
          <w:szCs w:val="28"/>
          <w:rtl/>
        </w:rPr>
        <w:t xml:space="preserve"> بودري وفال فقرة 926</w:t>
      </w:r>
      <w:r>
        <w:rPr>
          <w:rFonts w:hint="cs"/>
          <w:color w:val="0000FF"/>
          <w:sz w:val="28"/>
          <w:szCs w:val="28"/>
          <w:rtl/>
        </w:rPr>
        <w:t xml:space="preserve"> .</w:t>
      </w:r>
    </w:p>
  </w:footnote>
  <w:footnote w:id="17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28 ديسمبر سنة 1927 داللوز 1929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13</w:t>
      </w:r>
      <w:r>
        <w:rPr>
          <w:rFonts w:hint="cs"/>
          <w:color w:val="0000FF"/>
          <w:sz w:val="28"/>
          <w:szCs w:val="28"/>
          <w:rtl/>
        </w:rPr>
        <w:t xml:space="preserve"> .</w:t>
      </w:r>
    </w:p>
  </w:footnote>
  <w:footnote w:id="17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28 أكتوبر سنة 1892 داللوز 93 </w:t>
      </w:r>
      <w:r w:rsidRPr="00923B1A">
        <w:rPr>
          <w:color w:val="0000FF"/>
          <w:sz w:val="28"/>
          <w:szCs w:val="28"/>
          <w:rtl/>
        </w:rPr>
        <w:t>–</w:t>
      </w:r>
      <w:r w:rsidRPr="00923B1A">
        <w:rPr>
          <w:rFonts w:hint="cs"/>
          <w:color w:val="0000FF"/>
          <w:sz w:val="28"/>
          <w:szCs w:val="28"/>
          <w:rtl/>
        </w:rPr>
        <w:t xml:space="preserve"> 1- 117</w:t>
      </w:r>
      <w:r>
        <w:rPr>
          <w:rFonts w:hint="cs"/>
          <w:color w:val="0000FF"/>
          <w:sz w:val="28"/>
          <w:szCs w:val="28"/>
          <w:rtl/>
        </w:rPr>
        <w:t xml:space="preserve"> .</w:t>
      </w:r>
    </w:p>
  </w:footnote>
  <w:footnote w:id="17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ديسمبر سنة 1927 مسيريه 1928 </w:t>
      </w:r>
      <w:r w:rsidRPr="00923B1A">
        <w:rPr>
          <w:color w:val="0000FF"/>
          <w:sz w:val="28"/>
          <w:szCs w:val="28"/>
          <w:rtl/>
        </w:rPr>
        <w:t>–</w:t>
      </w:r>
      <w:r w:rsidRPr="00923B1A">
        <w:rPr>
          <w:rFonts w:hint="cs"/>
          <w:color w:val="0000FF"/>
          <w:sz w:val="28"/>
          <w:szCs w:val="28"/>
          <w:rtl/>
        </w:rPr>
        <w:t xml:space="preserve"> 1- 145 </w:t>
      </w:r>
      <w:r w:rsidRPr="00923B1A">
        <w:rPr>
          <w:color w:val="0000FF"/>
          <w:sz w:val="28"/>
          <w:szCs w:val="28"/>
          <w:rtl/>
        </w:rPr>
        <w:t>–</w:t>
      </w:r>
      <w:r w:rsidRPr="00923B1A">
        <w:rPr>
          <w:rFonts w:hint="cs"/>
          <w:color w:val="0000FF"/>
          <w:sz w:val="28"/>
          <w:szCs w:val="28"/>
          <w:rtl/>
        </w:rPr>
        <w:t xml:space="preserve"> ولكن انظر عكس ذلك نقض فرنسي 28 أكتوبر سنة 1952 </w:t>
      </w:r>
      <w:r w:rsidRPr="00923B1A">
        <w:rPr>
          <w:color w:val="0000FF"/>
          <w:sz w:val="28"/>
          <w:szCs w:val="28"/>
        </w:rPr>
        <w:t>J</w:t>
      </w:r>
      <w:r>
        <w:rPr>
          <w:color w:val="0000FF"/>
          <w:sz w:val="28"/>
          <w:szCs w:val="28"/>
        </w:rPr>
        <w:t xml:space="preserve"> .</w:t>
      </w:r>
      <w:r w:rsidRPr="00923B1A">
        <w:rPr>
          <w:color w:val="0000FF"/>
          <w:sz w:val="28"/>
          <w:szCs w:val="28"/>
        </w:rPr>
        <w:t xml:space="preserve"> c</w:t>
      </w:r>
      <w:r>
        <w:rPr>
          <w:color w:val="0000FF"/>
          <w:sz w:val="28"/>
          <w:szCs w:val="28"/>
        </w:rPr>
        <w:t xml:space="preserve"> .</w:t>
      </w:r>
      <w:r w:rsidRPr="00923B1A">
        <w:rPr>
          <w:color w:val="0000FF"/>
          <w:sz w:val="28"/>
          <w:szCs w:val="28"/>
        </w:rPr>
        <w:t xml:space="preserve"> p</w:t>
      </w:r>
      <w:r>
        <w:rPr>
          <w:color w:val="0000FF"/>
          <w:sz w:val="28"/>
          <w:szCs w:val="28"/>
          <w:rtl/>
        </w:rPr>
        <w:t xml:space="preserve"> .</w:t>
      </w:r>
      <w:r w:rsidRPr="00923B1A">
        <w:rPr>
          <w:rFonts w:hint="cs"/>
          <w:color w:val="0000FF"/>
          <w:sz w:val="28"/>
          <w:szCs w:val="28"/>
          <w:rtl/>
        </w:rPr>
        <w:t xml:space="preserve"> 1953 </w:t>
      </w:r>
      <w:r w:rsidRPr="00923B1A">
        <w:rPr>
          <w:color w:val="0000FF"/>
          <w:sz w:val="28"/>
          <w:szCs w:val="28"/>
          <w:rtl/>
        </w:rPr>
        <w:t>–</w:t>
      </w:r>
      <w:r w:rsidRPr="00923B1A">
        <w:rPr>
          <w:rFonts w:hint="cs"/>
          <w:color w:val="0000FF"/>
          <w:sz w:val="28"/>
          <w:szCs w:val="28"/>
          <w:rtl/>
        </w:rPr>
        <w:t xml:space="preserve"> 2- 7588</w:t>
      </w:r>
      <w:r>
        <w:rPr>
          <w:rFonts w:hint="cs"/>
          <w:color w:val="0000FF"/>
          <w:sz w:val="28"/>
          <w:szCs w:val="28"/>
          <w:rtl/>
        </w:rPr>
        <w:t xml:space="preserve"> .</w:t>
      </w:r>
      <w:r w:rsidRPr="00923B1A">
        <w:rPr>
          <w:rFonts w:hint="cs"/>
          <w:color w:val="0000FF"/>
          <w:sz w:val="28"/>
          <w:szCs w:val="28"/>
          <w:rtl/>
        </w:rPr>
        <w:t xml:space="preserve"> ويشترط على كل حال أن يعلم حامل الكمبيالة أو السند أن الموقع إنما هو كفيل لا مدين أصلي </w:t>
      </w:r>
      <w:r>
        <w:rPr>
          <w:rFonts w:hint="cs"/>
          <w:color w:val="0000FF"/>
          <w:sz w:val="28"/>
          <w:szCs w:val="28"/>
          <w:rtl/>
        </w:rPr>
        <w:t xml:space="preserve">( </w:t>
      </w:r>
      <w:r w:rsidRPr="00923B1A">
        <w:rPr>
          <w:rFonts w:hint="cs"/>
          <w:color w:val="0000FF"/>
          <w:sz w:val="28"/>
          <w:szCs w:val="28"/>
          <w:rtl/>
        </w:rPr>
        <w:t>بلانيول وريبير وسافاتييه فقرة 1527 ص 978 هامش 5</w:t>
      </w:r>
      <w:r>
        <w:rPr>
          <w:rFonts w:hint="cs"/>
          <w:color w:val="0000FF"/>
          <w:sz w:val="28"/>
          <w:szCs w:val="28"/>
          <w:rtl/>
        </w:rPr>
        <w:t xml:space="preserve"> ) .</w:t>
      </w:r>
    </w:p>
  </w:footnote>
  <w:footnote w:id="17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27</w:t>
      </w:r>
      <w:r>
        <w:rPr>
          <w:rFonts w:hint="cs"/>
          <w:color w:val="0000FF"/>
          <w:sz w:val="28"/>
          <w:szCs w:val="28"/>
          <w:rtl/>
        </w:rPr>
        <w:t xml:space="preserve"> .</w:t>
      </w:r>
    </w:p>
  </w:footnote>
  <w:footnote w:id="18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ولا يعتبر ضامناً احتياطياً </w:t>
      </w:r>
      <w:r>
        <w:rPr>
          <w:color w:val="0000FF"/>
          <w:sz w:val="28"/>
          <w:szCs w:val="28"/>
          <w:rtl/>
        </w:rPr>
        <w:t xml:space="preserve">( </w:t>
      </w:r>
      <w:r w:rsidRPr="00923B1A">
        <w:rPr>
          <w:color w:val="0000FF"/>
          <w:sz w:val="28"/>
          <w:szCs w:val="28"/>
        </w:rPr>
        <w:t>aval</w:t>
      </w:r>
      <w:r>
        <w:rPr>
          <w:color w:val="0000FF"/>
          <w:sz w:val="28"/>
          <w:szCs w:val="28"/>
          <w:rtl/>
        </w:rPr>
        <w:t xml:space="preserve"> )</w:t>
      </w:r>
      <w:r w:rsidRPr="00923B1A">
        <w:rPr>
          <w:rFonts w:hint="cs"/>
          <w:color w:val="0000FF"/>
          <w:sz w:val="28"/>
          <w:szCs w:val="28"/>
          <w:rtl/>
        </w:rPr>
        <w:t xml:space="preserve"> من وقع على ورقة كفالة لأحد المصارف</w:t>
      </w:r>
      <w:r>
        <w:rPr>
          <w:rFonts w:hint="cs"/>
          <w:color w:val="0000FF"/>
          <w:sz w:val="28"/>
          <w:szCs w:val="28"/>
          <w:rtl/>
        </w:rPr>
        <w:t xml:space="preserve"> ،</w:t>
      </w:r>
      <w:r w:rsidRPr="00923B1A">
        <w:rPr>
          <w:rFonts w:hint="cs"/>
          <w:color w:val="0000FF"/>
          <w:sz w:val="28"/>
          <w:szCs w:val="28"/>
          <w:rtl/>
        </w:rPr>
        <w:t xml:space="preserve"> إذا لم يبين طبيعة الأشياء والتاريخ والقيمة</w:t>
      </w:r>
      <w:r>
        <w:rPr>
          <w:rFonts w:hint="cs"/>
          <w:color w:val="0000FF"/>
          <w:sz w:val="28"/>
          <w:szCs w:val="28"/>
          <w:rtl/>
        </w:rPr>
        <w:t xml:space="preserve"> .</w:t>
      </w:r>
      <w:r w:rsidRPr="00923B1A">
        <w:rPr>
          <w:rFonts w:hint="cs"/>
          <w:color w:val="0000FF"/>
          <w:sz w:val="28"/>
          <w:szCs w:val="28"/>
          <w:rtl/>
        </w:rPr>
        <w:t xml:space="preserve"> فلا يجوز إذن</w:t>
      </w:r>
      <w:r>
        <w:rPr>
          <w:rFonts w:hint="cs"/>
          <w:color w:val="0000FF"/>
          <w:sz w:val="28"/>
          <w:szCs w:val="28"/>
          <w:rtl/>
        </w:rPr>
        <w:t xml:space="preserve"> ،</w:t>
      </w:r>
      <w:r w:rsidRPr="00923B1A">
        <w:rPr>
          <w:rFonts w:hint="cs"/>
          <w:color w:val="0000FF"/>
          <w:sz w:val="28"/>
          <w:szCs w:val="28"/>
          <w:rtl/>
        </w:rPr>
        <w:t xml:space="preserve"> إذا لم يفعل ذلك</w:t>
      </w:r>
      <w:r>
        <w:rPr>
          <w:rFonts w:hint="cs"/>
          <w:color w:val="0000FF"/>
          <w:sz w:val="28"/>
          <w:szCs w:val="28"/>
          <w:rtl/>
        </w:rPr>
        <w:t xml:space="preserve"> ،</w:t>
      </w:r>
      <w:r w:rsidRPr="00923B1A">
        <w:rPr>
          <w:rFonts w:hint="cs"/>
          <w:color w:val="0000FF"/>
          <w:sz w:val="28"/>
          <w:szCs w:val="28"/>
          <w:rtl/>
        </w:rPr>
        <w:t xml:space="preserve"> أن يطبق عليه القواعد الخاصة بالضامن الاحتياطي</w:t>
      </w:r>
      <w:r>
        <w:rPr>
          <w:rFonts w:hint="cs"/>
          <w:color w:val="0000FF"/>
          <w:sz w:val="28"/>
          <w:szCs w:val="28"/>
          <w:rtl/>
        </w:rPr>
        <w:t xml:space="preserve"> ،</w:t>
      </w:r>
      <w:r w:rsidRPr="00923B1A">
        <w:rPr>
          <w:rFonts w:hint="cs"/>
          <w:color w:val="0000FF"/>
          <w:sz w:val="28"/>
          <w:szCs w:val="28"/>
          <w:rtl/>
        </w:rPr>
        <w:t xml:space="preserve"> ومنها مقدار سعر الفوائد </w:t>
      </w:r>
      <w:r>
        <w:rPr>
          <w:rFonts w:hint="cs"/>
          <w:color w:val="0000FF"/>
          <w:sz w:val="28"/>
          <w:szCs w:val="28"/>
          <w:rtl/>
        </w:rPr>
        <w:t xml:space="preserve">( </w:t>
      </w:r>
      <w:r w:rsidRPr="00923B1A">
        <w:rPr>
          <w:rFonts w:hint="cs"/>
          <w:color w:val="0000FF"/>
          <w:sz w:val="28"/>
          <w:szCs w:val="28"/>
          <w:rtl/>
        </w:rPr>
        <w:t xml:space="preserve">نقض فرنسي 7 مارس سنة 1944 داللوز 1945 </w:t>
      </w:r>
      <w:r w:rsidRPr="00923B1A">
        <w:rPr>
          <w:color w:val="0000FF"/>
          <w:sz w:val="28"/>
          <w:szCs w:val="28"/>
          <w:rtl/>
        </w:rPr>
        <w:t>–</w:t>
      </w:r>
      <w:r w:rsidRPr="00923B1A">
        <w:rPr>
          <w:rFonts w:hint="cs"/>
          <w:color w:val="0000FF"/>
          <w:sz w:val="28"/>
          <w:szCs w:val="28"/>
          <w:rtl/>
        </w:rPr>
        <w:t xml:space="preserve"> 73 </w:t>
      </w:r>
      <w:r w:rsidRPr="00923B1A">
        <w:rPr>
          <w:color w:val="0000FF"/>
          <w:sz w:val="28"/>
          <w:szCs w:val="28"/>
          <w:rtl/>
        </w:rPr>
        <w:t>–</w:t>
      </w:r>
      <w:r w:rsidRPr="00923B1A">
        <w:rPr>
          <w:rFonts w:hint="cs"/>
          <w:color w:val="0000FF"/>
          <w:sz w:val="28"/>
          <w:szCs w:val="28"/>
          <w:rtl/>
        </w:rPr>
        <w:t xml:space="preserve"> بلانيول وريبير وسافاتييه فقرة 1527 ص 978</w:t>
      </w:r>
      <w:r>
        <w:rPr>
          <w:rFonts w:hint="cs"/>
          <w:color w:val="0000FF"/>
          <w:sz w:val="28"/>
          <w:szCs w:val="28"/>
          <w:rtl/>
        </w:rPr>
        <w:t xml:space="preserve"> ) .</w:t>
      </w:r>
    </w:p>
  </w:footnote>
  <w:footnote w:id="18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29 في آخرها </w:t>
      </w:r>
      <w:r w:rsidRPr="00923B1A">
        <w:rPr>
          <w:color w:val="0000FF"/>
          <w:sz w:val="28"/>
          <w:szCs w:val="28"/>
          <w:rtl/>
        </w:rPr>
        <w:t>–</w:t>
      </w:r>
      <w:r w:rsidRPr="00923B1A">
        <w:rPr>
          <w:rFonts w:hint="cs"/>
          <w:color w:val="0000FF"/>
          <w:sz w:val="28"/>
          <w:szCs w:val="28"/>
          <w:rtl/>
        </w:rPr>
        <w:t xml:space="preserve"> بودري وفال فقرة 928 </w:t>
      </w:r>
      <w:r w:rsidRPr="00923B1A">
        <w:rPr>
          <w:color w:val="0000FF"/>
          <w:sz w:val="28"/>
          <w:szCs w:val="28"/>
          <w:rtl/>
        </w:rPr>
        <w:t>–</w:t>
      </w:r>
      <w:r w:rsidRPr="00923B1A">
        <w:rPr>
          <w:rFonts w:hint="cs"/>
          <w:color w:val="0000FF"/>
          <w:sz w:val="28"/>
          <w:szCs w:val="28"/>
          <w:rtl/>
        </w:rPr>
        <w:t xml:space="preserve"> بلانيول وريبير وسافاتييه فقرة 1530 ص 973</w:t>
      </w:r>
      <w:r>
        <w:rPr>
          <w:rFonts w:hint="cs"/>
          <w:color w:val="0000FF"/>
          <w:sz w:val="28"/>
          <w:szCs w:val="28"/>
          <w:rtl/>
        </w:rPr>
        <w:t xml:space="preserve"> .</w:t>
      </w:r>
    </w:p>
  </w:footnote>
  <w:footnote w:id="18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1113 مكررة من المشروع التمهيدي على وجه مطابق لما استقر عليه من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842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841</w:t>
      </w:r>
      <w:r>
        <w:rPr>
          <w:rFonts w:hint="cs"/>
          <w:color w:val="0000FF"/>
          <w:sz w:val="28"/>
          <w:szCs w:val="28"/>
          <w:rtl/>
        </w:rPr>
        <w:t xml:space="preserve"> ،</w:t>
      </w:r>
      <w:r w:rsidRPr="00923B1A">
        <w:rPr>
          <w:rFonts w:hint="cs"/>
          <w:color w:val="0000FF"/>
          <w:sz w:val="28"/>
          <w:szCs w:val="28"/>
          <w:rtl/>
        </w:rPr>
        <w:t xml:space="preserve"> ثم مجلس الشيوخ تحت رقم 773 </w:t>
      </w:r>
      <w:r>
        <w:rPr>
          <w:rFonts w:hint="cs"/>
          <w:color w:val="0000FF"/>
          <w:sz w:val="28"/>
          <w:szCs w:val="28"/>
          <w:rtl/>
        </w:rPr>
        <w:t xml:space="preserve">( </w:t>
      </w:r>
      <w:r w:rsidRPr="00923B1A">
        <w:rPr>
          <w:rFonts w:hint="cs"/>
          <w:color w:val="0000FF"/>
          <w:sz w:val="28"/>
          <w:szCs w:val="28"/>
          <w:rtl/>
        </w:rPr>
        <w:t xml:space="preserve">مجموعة الأعمال التحضيرية 5 ص 425 </w:t>
      </w:r>
      <w:r w:rsidRPr="00923B1A">
        <w:rPr>
          <w:color w:val="0000FF"/>
          <w:sz w:val="28"/>
          <w:szCs w:val="28"/>
          <w:rtl/>
        </w:rPr>
        <w:t>–</w:t>
      </w:r>
      <w:r w:rsidRPr="00923B1A">
        <w:rPr>
          <w:rFonts w:hint="cs"/>
          <w:color w:val="0000FF"/>
          <w:sz w:val="28"/>
          <w:szCs w:val="28"/>
          <w:rtl/>
        </w:rPr>
        <w:t xml:space="preserve"> ص 429</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وجاء في المذكرة الإيضاحية للمشروع التمهيدي</w:t>
      </w:r>
      <w:r>
        <w:rPr>
          <w:rFonts w:hint="cs"/>
          <w:color w:val="0000FF"/>
          <w:sz w:val="28"/>
          <w:szCs w:val="28"/>
          <w:rtl/>
        </w:rPr>
        <w:t xml:space="preserve"> :</w:t>
      </w:r>
      <w:r w:rsidRPr="00923B1A">
        <w:rPr>
          <w:rFonts w:hint="cs"/>
          <w:color w:val="0000FF"/>
          <w:sz w:val="28"/>
          <w:szCs w:val="28"/>
          <w:rtl/>
        </w:rPr>
        <w:t xml:space="preserve"> "لم يعرض التقنين المصري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 ،</w:t>
      </w:r>
      <w:r w:rsidRPr="00923B1A">
        <w:rPr>
          <w:rFonts w:hint="cs"/>
          <w:color w:val="0000FF"/>
          <w:sz w:val="28"/>
          <w:szCs w:val="28"/>
          <w:rtl/>
        </w:rPr>
        <w:t xml:space="preserve"> جريا على منوال التقنين الفرنسي</w:t>
      </w:r>
      <w:r>
        <w:rPr>
          <w:rFonts w:hint="cs"/>
          <w:color w:val="0000FF"/>
          <w:sz w:val="28"/>
          <w:szCs w:val="28"/>
          <w:rtl/>
        </w:rPr>
        <w:t xml:space="preserve"> ،</w:t>
      </w:r>
      <w:r w:rsidRPr="00923B1A">
        <w:rPr>
          <w:rFonts w:hint="cs"/>
          <w:color w:val="0000FF"/>
          <w:sz w:val="28"/>
          <w:szCs w:val="28"/>
          <w:rtl/>
        </w:rPr>
        <w:t xml:space="preserve"> لإثبات الكفالة</w:t>
      </w:r>
      <w:r>
        <w:rPr>
          <w:rFonts w:hint="cs"/>
          <w:color w:val="0000FF"/>
          <w:sz w:val="28"/>
          <w:szCs w:val="28"/>
          <w:rtl/>
        </w:rPr>
        <w:t xml:space="preserve"> ،</w:t>
      </w:r>
      <w:r w:rsidRPr="00923B1A">
        <w:rPr>
          <w:rFonts w:hint="cs"/>
          <w:color w:val="0000FF"/>
          <w:sz w:val="28"/>
          <w:szCs w:val="28"/>
          <w:rtl/>
        </w:rPr>
        <w:t xml:space="preserve"> بل تركه للقواعد العامة</w:t>
      </w:r>
      <w:r>
        <w:rPr>
          <w:rFonts w:hint="cs"/>
          <w:color w:val="0000FF"/>
          <w:sz w:val="28"/>
          <w:szCs w:val="28"/>
          <w:rtl/>
        </w:rPr>
        <w:t xml:space="preserve"> .</w:t>
      </w:r>
      <w:r w:rsidRPr="00923B1A">
        <w:rPr>
          <w:rFonts w:hint="cs"/>
          <w:color w:val="0000FF"/>
          <w:sz w:val="28"/>
          <w:szCs w:val="28"/>
          <w:rtl/>
        </w:rPr>
        <w:t xml:space="preserve"> أما التقنينات الحديثة </w:t>
      </w:r>
      <w:r>
        <w:rPr>
          <w:rFonts w:hint="cs"/>
          <w:color w:val="0000FF"/>
          <w:sz w:val="28"/>
          <w:szCs w:val="28"/>
          <w:rtl/>
        </w:rPr>
        <w:t xml:space="preserve">( </w:t>
      </w:r>
      <w:r w:rsidRPr="00923B1A">
        <w:rPr>
          <w:rFonts w:hint="cs"/>
          <w:color w:val="0000FF"/>
          <w:sz w:val="28"/>
          <w:szCs w:val="28"/>
          <w:rtl/>
        </w:rPr>
        <w:t>كالتقنين الألماني م 667 والتقنيني السويسري م 493 والتقنين البولوني م 631</w:t>
      </w:r>
      <w:r>
        <w:rPr>
          <w:rFonts w:hint="cs"/>
          <w:color w:val="0000FF"/>
          <w:sz w:val="28"/>
          <w:szCs w:val="28"/>
          <w:rtl/>
        </w:rPr>
        <w:t xml:space="preserve"> ) ،</w:t>
      </w:r>
      <w:r w:rsidRPr="00923B1A">
        <w:rPr>
          <w:rFonts w:hint="cs"/>
          <w:color w:val="0000FF"/>
          <w:sz w:val="28"/>
          <w:szCs w:val="28"/>
          <w:rtl/>
        </w:rPr>
        <w:t xml:space="preserve"> فإنها تتطلب في باب الكفالة الدليل الكتابي</w:t>
      </w:r>
      <w:r>
        <w:rPr>
          <w:rFonts w:hint="cs"/>
          <w:color w:val="0000FF"/>
          <w:sz w:val="28"/>
          <w:szCs w:val="28"/>
          <w:rtl/>
        </w:rPr>
        <w:t xml:space="preserve"> .</w:t>
      </w:r>
      <w:r w:rsidRPr="00923B1A">
        <w:rPr>
          <w:rFonts w:hint="cs"/>
          <w:color w:val="0000FF"/>
          <w:sz w:val="28"/>
          <w:szCs w:val="28"/>
          <w:rtl/>
        </w:rPr>
        <w:t xml:space="preserve"> والواقع أنه يجب فيما يتعلق بالكفالة الخروج على القواعد العامة في الإثبات لأن التزام الكفيل هو أساساً من الالتزامات التبرعية</w:t>
      </w:r>
      <w:r>
        <w:rPr>
          <w:rFonts w:hint="cs"/>
          <w:color w:val="0000FF"/>
          <w:sz w:val="28"/>
          <w:szCs w:val="28"/>
          <w:rtl/>
        </w:rPr>
        <w:t xml:space="preserve"> ،</w:t>
      </w:r>
      <w:r w:rsidRPr="00923B1A">
        <w:rPr>
          <w:rFonts w:hint="cs"/>
          <w:color w:val="0000FF"/>
          <w:sz w:val="28"/>
          <w:szCs w:val="28"/>
          <w:rtl/>
        </w:rPr>
        <w:t xml:space="preserve"> فيجب أن يستند إلى رضاء صريح قاطع</w:t>
      </w:r>
      <w:r>
        <w:rPr>
          <w:rFonts w:hint="cs"/>
          <w:color w:val="0000FF"/>
          <w:sz w:val="28"/>
          <w:szCs w:val="28"/>
          <w:rtl/>
        </w:rPr>
        <w:t xml:space="preserve"> .</w:t>
      </w:r>
      <w:r w:rsidRPr="00923B1A">
        <w:rPr>
          <w:rFonts w:hint="cs"/>
          <w:color w:val="0000FF"/>
          <w:sz w:val="28"/>
          <w:szCs w:val="28"/>
          <w:rtl/>
        </w:rPr>
        <w:t xml:space="preserve"> وقد يكون من العسير بل قد يستحيل أحياناً تعرف طبيعة  تدخل الكفيل</w:t>
      </w:r>
      <w:r>
        <w:rPr>
          <w:rFonts w:hint="cs"/>
          <w:color w:val="0000FF"/>
          <w:sz w:val="28"/>
          <w:szCs w:val="28"/>
          <w:rtl/>
        </w:rPr>
        <w:t xml:space="preserve"> ،</w:t>
      </w:r>
      <w:r w:rsidRPr="00923B1A">
        <w:rPr>
          <w:rFonts w:hint="cs"/>
          <w:color w:val="0000FF"/>
          <w:sz w:val="28"/>
          <w:szCs w:val="28"/>
          <w:rtl/>
        </w:rPr>
        <w:t xml:space="preserve"> وتحديد مدى التزامه</w:t>
      </w:r>
      <w:r>
        <w:rPr>
          <w:rFonts w:hint="cs"/>
          <w:color w:val="0000FF"/>
          <w:sz w:val="28"/>
          <w:szCs w:val="28"/>
          <w:rtl/>
        </w:rPr>
        <w:t xml:space="preserve"> ،</w:t>
      </w:r>
      <w:r w:rsidRPr="00923B1A">
        <w:rPr>
          <w:rFonts w:hint="cs"/>
          <w:color w:val="0000FF"/>
          <w:sz w:val="28"/>
          <w:szCs w:val="28"/>
          <w:rtl/>
        </w:rPr>
        <w:t xml:space="preserve"> ونوع كفالته</w:t>
      </w:r>
      <w:r>
        <w:rPr>
          <w:rFonts w:hint="cs"/>
          <w:color w:val="0000FF"/>
          <w:sz w:val="28"/>
          <w:szCs w:val="28"/>
          <w:rtl/>
        </w:rPr>
        <w:t xml:space="preserve"> ،</w:t>
      </w:r>
      <w:r w:rsidRPr="00923B1A">
        <w:rPr>
          <w:rFonts w:hint="cs"/>
          <w:color w:val="0000FF"/>
          <w:sz w:val="28"/>
          <w:szCs w:val="28"/>
          <w:rtl/>
        </w:rPr>
        <w:t xml:space="preserve"> عن طريق شهادة الشهود وحدها</w:t>
      </w:r>
      <w:r>
        <w:rPr>
          <w:rFonts w:hint="cs"/>
          <w:color w:val="0000FF"/>
          <w:sz w:val="28"/>
          <w:szCs w:val="28"/>
          <w:rtl/>
        </w:rPr>
        <w:t xml:space="preserve"> .</w:t>
      </w:r>
      <w:r w:rsidRPr="00923B1A">
        <w:rPr>
          <w:rFonts w:hint="cs"/>
          <w:color w:val="0000FF"/>
          <w:sz w:val="28"/>
          <w:szCs w:val="28"/>
          <w:rtl/>
        </w:rPr>
        <w:t xml:space="preserve"> ولذلك قلما تتم الكفالة عملا بغير كتابة</w:t>
      </w:r>
      <w:r>
        <w:rPr>
          <w:rFonts w:hint="cs"/>
          <w:color w:val="0000FF"/>
          <w:sz w:val="28"/>
          <w:szCs w:val="28"/>
          <w:rtl/>
        </w:rPr>
        <w:t xml:space="preserve"> ،</w:t>
      </w:r>
      <w:r w:rsidRPr="00923B1A">
        <w:rPr>
          <w:rFonts w:hint="cs"/>
          <w:color w:val="0000FF"/>
          <w:sz w:val="28"/>
          <w:szCs w:val="28"/>
          <w:rtl/>
        </w:rPr>
        <w:t xml:space="preserve"> كما يندر أن يلجأ الدائن في دعواه ضد الكفيل إلى الإثبات بالبينة</w:t>
      </w:r>
      <w:r>
        <w:rPr>
          <w:rFonts w:hint="cs"/>
          <w:color w:val="0000FF"/>
          <w:sz w:val="28"/>
          <w:szCs w:val="28"/>
          <w:rtl/>
        </w:rPr>
        <w:t xml:space="preserve"> .</w:t>
      </w:r>
      <w:r w:rsidRPr="00923B1A">
        <w:rPr>
          <w:rFonts w:hint="cs"/>
          <w:color w:val="0000FF"/>
          <w:sz w:val="28"/>
          <w:szCs w:val="28"/>
          <w:rtl/>
        </w:rPr>
        <w:t xml:space="preserve"> فلهذه الأسباب قرر المشرع</w:t>
      </w:r>
      <w:r>
        <w:rPr>
          <w:rFonts w:hint="cs"/>
          <w:color w:val="0000FF"/>
          <w:sz w:val="28"/>
          <w:szCs w:val="28"/>
          <w:rtl/>
        </w:rPr>
        <w:t xml:space="preserve"> ،</w:t>
      </w:r>
      <w:r w:rsidRPr="00923B1A">
        <w:rPr>
          <w:rFonts w:hint="cs"/>
          <w:color w:val="0000FF"/>
          <w:sz w:val="28"/>
          <w:szCs w:val="28"/>
          <w:rtl/>
        </w:rPr>
        <w:t xml:space="preserve"> حماية للكفيل</w:t>
      </w:r>
      <w:r>
        <w:rPr>
          <w:rFonts w:hint="cs"/>
          <w:color w:val="0000FF"/>
          <w:sz w:val="28"/>
          <w:szCs w:val="28"/>
          <w:rtl/>
        </w:rPr>
        <w:t xml:space="preserve"> ،</w:t>
      </w:r>
      <w:r w:rsidRPr="00923B1A">
        <w:rPr>
          <w:rFonts w:hint="cs"/>
          <w:color w:val="0000FF"/>
          <w:sz w:val="28"/>
          <w:szCs w:val="28"/>
          <w:rtl/>
        </w:rPr>
        <w:t xml:space="preserve"> عدم جواز إثبات الكفالة إلا بالكتابة</w:t>
      </w:r>
      <w:r>
        <w:rPr>
          <w:rFonts w:hint="cs"/>
          <w:color w:val="0000FF"/>
          <w:sz w:val="28"/>
          <w:szCs w:val="28"/>
          <w:rtl/>
        </w:rPr>
        <w:t xml:space="preserve"> .</w:t>
      </w:r>
      <w:r w:rsidRPr="00923B1A">
        <w:rPr>
          <w:rFonts w:hint="cs"/>
          <w:color w:val="0000FF"/>
          <w:sz w:val="28"/>
          <w:szCs w:val="28"/>
          <w:rtl/>
        </w:rPr>
        <w:t xml:space="preserve"> ويلزم الإثبات الكتابي</w:t>
      </w:r>
      <w:r>
        <w:rPr>
          <w:rFonts w:hint="cs"/>
          <w:color w:val="0000FF"/>
          <w:sz w:val="28"/>
          <w:szCs w:val="28"/>
          <w:rtl/>
        </w:rPr>
        <w:t xml:space="preserve"> ،</w:t>
      </w:r>
      <w:r w:rsidRPr="00923B1A">
        <w:rPr>
          <w:rFonts w:hint="cs"/>
          <w:color w:val="0000FF"/>
          <w:sz w:val="28"/>
          <w:szCs w:val="28"/>
          <w:rtl/>
        </w:rPr>
        <w:t xml:space="preserve"> حتى لو كان من الجائز إثبات الالتزام الأصلي بالبينة</w:t>
      </w:r>
      <w:r>
        <w:rPr>
          <w:rFonts w:hint="cs"/>
          <w:color w:val="0000FF"/>
          <w:sz w:val="28"/>
          <w:szCs w:val="28"/>
          <w:rtl/>
        </w:rPr>
        <w:t xml:space="preserve"> .</w:t>
      </w:r>
      <w:r w:rsidRPr="00923B1A">
        <w:rPr>
          <w:rFonts w:hint="cs"/>
          <w:color w:val="0000FF"/>
          <w:sz w:val="28"/>
          <w:szCs w:val="28"/>
          <w:rtl/>
        </w:rPr>
        <w:t xml:space="preserve"> وربما يعترض البعض على ذلك بأن الكفيل</w:t>
      </w:r>
      <w:r>
        <w:rPr>
          <w:rFonts w:hint="cs"/>
          <w:color w:val="0000FF"/>
          <w:sz w:val="28"/>
          <w:szCs w:val="28"/>
          <w:rtl/>
        </w:rPr>
        <w:t xml:space="preserve"> ،</w:t>
      </w:r>
      <w:r w:rsidRPr="00923B1A">
        <w:rPr>
          <w:rFonts w:hint="cs"/>
          <w:color w:val="0000FF"/>
          <w:sz w:val="28"/>
          <w:szCs w:val="28"/>
          <w:rtl/>
        </w:rPr>
        <w:t xml:space="preserve"> والتزامه ثابت بالكتابة</w:t>
      </w:r>
      <w:r>
        <w:rPr>
          <w:rFonts w:hint="cs"/>
          <w:color w:val="0000FF"/>
          <w:sz w:val="28"/>
          <w:szCs w:val="28"/>
          <w:rtl/>
        </w:rPr>
        <w:t xml:space="preserve"> ،</w:t>
      </w:r>
      <w:r w:rsidRPr="00923B1A">
        <w:rPr>
          <w:rFonts w:hint="cs"/>
          <w:color w:val="0000FF"/>
          <w:sz w:val="28"/>
          <w:szCs w:val="28"/>
          <w:rtl/>
        </w:rPr>
        <w:t xml:space="preserve"> سيضطر دائماً إلى الوفاء للدائن</w:t>
      </w:r>
      <w:r>
        <w:rPr>
          <w:rFonts w:hint="cs"/>
          <w:color w:val="0000FF"/>
          <w:sz w:val="28"/>
          <w:szCs w:val="28"/>
          <w:rtl/>
        </w:rPr>
        <w:t xml:space="preserve"> ،</w:t>
      </w:r>
      <w:r w:rsidRPr="00923B1A">
        <w:rPr>
          <w:rFonts w:hint="cs"/>
          <w:color w:val="0000FF"/>
          <w:sz w:val="28"/>
          <w:szCs w:val="28"/>
          <w:rtl/>
        </w:rPr>
        <w:t xml:space="preserve"> في حين أنه في رجوعه على المدين قد لا يستوفي منه شيئاً لعجزه عن إثبات الالتزام الأصلي بشهادة الشهود</w:t>
      </w:r>
      <w:r>
        <w:rPr>
          <w:rFonts w:hint="cs"/>
          <w:color w:val="0000FF"/>
          <w:sz w:val="28"/>
          <w:szCs w:val="28"/>
          <w:rtl/>
        </w:rPr>
        <w:t xml:space="preserve"> .</w:t>
      </w:r>
      <w:r w:rsidRPr="00923B1A">
        <w:rPr>
          <w:rFonts w:hint="cs"/>
          <w:color w:val="0000FF"/>
          <w:sz w:val="28"/>
          <w:szCs w:val="28"/>
          <w:rtl/>
        </w:rPr>
        <w:t xml:space="preserve"> على أن هذا الاعتراض غير جد في الواقع</w:t>
      </w:r>
      <w:r>
        <w:rPr>
          <w:rFonts w:hint="cs"/>
          <w:color w:val="0000FF"/>
          <w:sz w:val="28"/>
          <w:szCs w:val="28"/>
          <w:rtl/>
        </w:rPr>
        <w:t xml:space="preserve"> ،</w:t>
      </w:r>
      <w:r w:rsidRPr="00923B1A">
        <w:rPr>
          <w:rFonts w:hint="cs"/>
          <w:color w:val="0000FF"/>
          <w:sz w:val="28"/>
          <w:szCs w:val="28"/>
          <w:rtl/>
        </w:rPr>
        <w:t xml:space="preserve"> لأن الكفيل يستطيع تفادي ذلك إما عن طريق التوقيع بالضمان على سند الالتزام ذاته</w:t>
      </w:r>
      <w:r>
        <w:rPr>
          <w:rFonts w:hint="cs"/>
          <w:color w:val="0000FF"/>
          <w:sz w:val="28"/>
          <w:szCs w:val="28"/>
          <w:rtl/>
        </w:rPr>
        <w:t xml:space="preserve"> ،</w:t>
      </w:r>
      <w:r w:rsidRPr="00923B1A">
        <w:rPr>
          <w:rFonts w:hint="cs"/>
          <w:color w:val="0000FF"/>
          <w:sz w:val="28"/>
          <w:szCs w:val="28"/>
          <w:rtl/>
        </w:rPr>
        <w:t xml:space="preserve"> أو اشترط وجود كتابة مثبتة للالتزام</w:t>
      </w:r>
      <w:r>
        <w:rPr>
          <w:rFonts w:hint="cs"/>
          <w:color w:val="0000FF"/>
          <w:sz w:val="28"/>
          <w:szCs w:val="28"/>
          <w:rtl/>
        </w:rPr>
        <w:t xml:space="preserve"> ،</w:t>
      </w:r>
      <w:r w:rsidRPr="00923B1A">
        <w:rPr>
          <w:rFonts w:hint="cs"/>
          <w:color w:val="0000FF"/>
          <w:sz w:val="28"/>
          <w:szCs w:val="28"/>
          <w:rtl/>
        </w:rPr>
        <w:t xml:space="preserve"> أو تعليق الكفالة على وجود هذه الكتابة</w:t>
      </w:r>
      <w:r>
        <w:rPr>
          <w:rFonts w:hint="cs"/>
          <w:color w:val="0000FF"/>
          <w:sz w:val="28"/>
          <w:szCs w:val="28"/>
          <w:rtl/>
        </w:rPr>
        <w:t xml:space="preserve"> .</w:t>
      </w:r>
      <w:r w:rsidRPr="00923B1A">
        <w:rPr>
          <w:rFonts w:hint="cs"/>
          <w:color w:val="0000FF"/>
          <w:sz w:val="28"/>
          <w:szCs w:val="28"/>
          <w:rtl/>
        </w:rPr>
        <w:t xml:space="preserve"> وفي جميع هذه الحالات تكون الكتابة مثبتة للدين الأصلي</w:t>
      </w:r>
      <w:r>
        <w:rPr>
          <w:rFonts w:hint="cs"/>
          <w:color w:val="0000FF"/>
          <w:sz w:val="28"/>
          <w:szCs w:val="28"/>
          <w:rtl/>
        </w:rPr>
        <w:t xml:space="preserve"> ،</w:t>
      </w:r>
      <w:r w:rsidRPr="00923B1A">
        <w:rPr>
          <w:rFonts w:hint="cs"/>
          <w:color w:val="0000FF"/>
          <w:sz w:val="28"/>
          <w:szCs w:val="28"/>
          <w:rtl/>
        </w:rPr>
        <w:t xml:space="preserve"> ومثبتة أيضاً للكفالة</w:t>
      </w:r>
      <w:r>
        <w:rPr>
          <w:rFonts w:hint="cs"/>
          <w:color w:val="0000FF"/>
          <w:sz w:val="28"/>
          <w:szCs w:val="28"/>
          <w:rtl/>
        </w:rPr>
        <w:t xml:space="preserve">( </w:t>
      </w:r>
      <w:r w:rsidRPr="00923B1A">
        <w:rPr>
          <w:rFonts w:hint="cs"/>
          <w:color w:val="0000FF"/>
          <w:sz w:val="28"/>
          <w:szCs w:val="28"/>
          <w:rtl/>
        </w:rPr>
        <w:t xml:space="preserve">مجموعة الأعمال التحضيرية 5 ص 429 </w:t>
      </w:r>
      <w:r w:rsidRPr="00923B1A">
        <w:rPr>
          <w:color w:val="0000FF"/>
          <w:sz w:val="28"/>
          <w:szCs w:val="28"/>
          <w:rtl/>
        </w:rPr>
        <w:t>–</w:t>
      </w:r>
      <w:r w:rsidRPr="00923B1A">
        <w:rPr>
          <w:rFonts w:hint="cs"/>
          <w:color w:val="0000FF"/>
          <w:sz w:val="28"/>
          <w:szCs w:val="28"/>
          <w:rtl/>
        </w:rPr>
        <w:t xml:space="preserve"> ص 427</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r w:rsidRPr="00923B1A">
        <w:rPr>
          <w:rFonts w:hint="cs"/>
          <w:color w:val="0000FF"/>
          <w:sz w:val="28"/>
          <w:szCs w:val="28"/>
          <w:rtl/>
        </w:rPr>
        <w:t xml:space="preserve"> فكانت الكفالة خاصة للقواعد العامة من حيث الإثبات</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السوري م 739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الليبي م 782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التقنين المدني العراقي لا مقابل</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قانون الموجبات والعقود اللبناني م 1059</w:t>
      </w:r>
      <w:r>
        <w:rPr>
          <w:rFonts w:hint="cs"/>
          <w:color w:val="0000FF"/>
          <w:sz w:val="28"/>
          <w:szCs w:val="28"/>
          <w:rtl/>
        </w:rPr>
        <w:t xml:space="preserve"> :</w:t>
      </w:r>
      <w:r w:rsidRPr="00923B1A">
        <w:rPr>
          <w:rFonts w:hint="cs"/>
          <w:color w:val="0000FF"/>
          <w:sz w:val="28"/>
          <w:szCs w:val="28"/>
          <w:rtl/>
        </w:rPr>
        <w:t xml:space="preserve"> الكفالة لا تقدر تقديراً</w:t>
      </w:r>
      <w:r>
        <w:rPr>
          <w:rFonts w:hint="cs"/>
          <w:color w:val="0000FF"/>
          <w:sz w:val="28"/>
          <w:szCs w:val="28"/>
          <w:rtl/>
        </w:rPr>
        <w:t xml:space="preserve"> ،</w:t>
      </w:r>
      <w:r w:rsidRPr="00923B1A">
        <w:rPr>
          <w:rFonts w:hint="cs"/>
          <w:color w:val="0000FF"/>
          <w:sz w:val="28"/>
          <w:szCs w:val="28"/>
          <w:rtl/>
        </w:rPr>
        <w:t xml:space="preserve"> بل يجب أن تتجلى إرادة الكفيل من الصك صراحة</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وهذا الحكم مماثل لحكم التقنين المدني الفرنسي</w:t>
      </w:r>
      <w:r>
        <w:rPr>
          <w:rFonts w:hint="cs"/>
          <w:color w:val="0000FF"/>
          <w:sz w:val="28"/>
          <w:szCs w:val="28"/>
          <w:rtl/>
        </w:rPr>
        <w:t xml:space="preserve"> ،</w:t>
      </w:r>
      <w:r w:rsidRPr="00923B1A">
        <w:rPr>
          <w:rFonts w:hint="cs"/>
          <w:color w:val="0000FF"/>
          <w:sz w:val="28"/>
          <w:szCs w:val="28"/>
          <w:rtl/>
        </w:rPr>
        <w:t xml:space="preserve"> إذ يشترط صراحة رضاء الكفيل</w:t>
      </w:r>
      <w:r>
        <w:rPr>
          <w:rFonts w:hint="cs"/>
          <w:color w:val="0000FF"/>
          <w:sz w:val="28"/>
          <w:szCs w:val="28"/>
          <w:rtl/>
        </w:rPr>
        <w:t xml:space="preserve"> ،</w:t>
      </w:r>
      <w:r w:rsidRPr="00923B1A">
        <w:rPr>
          <w:rFonts w:hint="cs"/>
          <w:color w:val="0000FF"/>
          <w:sz w:val="28"/>
          <w:szCs w:val="28"/>
          <w:rtl/>
        </w:rPr>
        <w:t xml:space="preserve"> ولكن هذا الرضاء خاضع للقواعد العامة من حيث الإثبات</w:t>
      </w:r>
      <w:r>
        <w:rPr>
          <w:rFonts w:hint="cs"/>
          <w:color w:val="0000FF"/>
          <w:sz w:val="28"/>
          <w:szCs w:val="28"/>
          <w:rtl/>
        </w:rPr>
        <w:t xml:space="preserve"> ) .</w:t>
      </w:r>
    </w:p>
  </w:footnote>
  <w:footnote w:id="18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كذلك الكتابة ضرورية لإثبات الوعد بالكفالة </w:t>
      </w:r>
      <w:r>
        <w:rPr>
          <w:rFonts w:hint="cs"/>
          <w:color w:val="0000FF"/>
          <w:sz w:val="28"/>
          <w:szCs w:val="28"/>
          <w:rtl/>
        </w:rPr>
        <w:t xml:space="preserve">( </w:t>
      </w:r>
      <w:r w:rsidRPr="00923B1A">
        <w:rPr>
          <w:rFonts w:hint="cs"/>
          <w:color w:val="0000FF"/>
          <w:sz w:val="28"/>
          <w:szCs w:val="28"/>
          <w:rtl/>
        </w:rPr>
        <w:t xml:space="preserve">عبد الفتاح عبد الباقي فقرة 34 ص 70 </w:t>
      </w:r>
      <w:r w:rsidRPr="00923B1A">
        <w:rPr>
          <w:color w:val="0000FF"/>
          <w:sz w:val="28"/>
          <w:szCs w:val="28"/>
          <w:rtl/>
        </w:rPr>
        <w:t>–</w:t>
      </w:r>
      <w:r w:rsidRPr="00923B1A">
        <w:rPr>
          <w:rFonts w:hint="cs"/>
          <w:color w:val="0000FF"/>
          <w:sz w:val="28"/>
          <w:szCs w:val="28"/>
          <w:rtl/>
        </w:rPr>
        <w:t xml:space="preserve"> منصور مصطفى منصور فقرة 25 ص 50</w:t>
      </w:r>
      <w:r>
        <w:rPr>
          <w:rFonts w:hint="cs"/>
          <w:color w:val="0000FF"/>
          <w:sz w:val="28"/>
          <w:szCs w:val="28"/>
          <w:rtl/>
        </w:rPr>
        <w:t xml:space="preserve"> ) .</w:t>
      </w:r>
      <w:r w:rsidRPr="00923B1A">
        <w:rPr>
          <w:rFonts w:hint="cs"/>
          <w:color w:val="0000FF"/>
          <w:sz w:val="28"/>
          <w:szCs w:val="28"/>
          <w:rtl/>
        </w:rPr>
        <w:t xml:space="preserve"> </w:t>
      </w:r>
    </w:p>
  </w:footnote>
  <w:footnote w:id="18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34 </w:t>
      </w:r>
      <w:r w:rsidRPr="00923B1A">
        <w:rPr>
          <w:color w:val="0000FF"/>
          <w:sz w:val="28"/>
          <w:szCs w:val="28"/>
          <w:rtl/>
        </w:rPr>
        <w:t>–</w:t>
      </w:r>
      <w:r w:rsidRPr="00923B1A">
        <w:rPr>
          <w:rFonts w:hint="cs"/>
          <w:color w:val="0000FF"/>
          <w:sz w:val="28"/>
          <w:szCs w:val="28"/>
          <w:rtl/>
        </w:rPr>
        <w:t xml:space="preserve"> منصور مصطفى منصور فقرة 25 ص 55</w:t>
      </w:r>
      <w:r>
        <w:rPr>
          <w:rFonts w:hint="cs"/>
          <w:color w:val="0000FF"/>
          <w:sz w:val="28"/>
          <w:szCs w:val="28"/>
          <w:rtl/>
        </w:rPr>
        <w:t xml:space="preserve"> .</w:t>
      </w:r>
    </w:p>
  </w:footnote>
  <w:footnote w:id="18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أيضاً المذكرة الإيضاحية للمشروع التمهيدي في مجموعة الأعمال التحضيرية 5 ص 426 </w:t>
      </w:r>
      <w:r w:rsidRPr="00923B1A">
        <w:rPr>
          <w:color w:val="0000FF"/>
          <w:sz w:val="28"/>
          <w:szCs w:val="28"/>
          <w:rtl/>
        </w:rPr>
        <w:t>–</w:t>
      </w:r>
      <w:r w:rsidRPr="00923B1A">
        <w:rPr>
          <w:rFonts w:hint="cs"/>
          <w:color w:val="0000FF"/>
          <w:sz w:val="28"/>
          <w:szCs w:val="28"/>
          <w:rtl/>
        </w:rPr>
        <w:t xml:space="preserve"> 427</w:t>
      </w:r>
      <w:r>
        <w:rPr>
          <w:rFonts w:hint="cs"/>
          <w:color w:val="0000FF"/>
          <w:sz w:val="28"/>
          <w:szCs w:val="28"/>
          <w:rtl/>
        </w:rPr>
        <w:t xml:space="preserve"> ،</w:t>
      </w:r>
      <w:r w:rsidRPr="00923B1A">
        <w:rPr>
          <w:rFonts w:hint="cs"/>
          <w:color w:val="0000FF"/>
          <w:sz w:val="28"/>
          <w:szCs w:val="28"/>
          <w:rtl/>
        </w:rPr>
        <w:t xml:space="preserve"> وآنفاً نفس الفقرة في الهامش</w:t>
      </w:r>
      <w:r>
        <w:rPr>
          <w:rFonts w:hint="cs"/>
          <w:color w:val="0000FF"/>
          <w:sz w:val="28"/>
          <w:szCs w:val="28"/>
          <w:rtl/>
        </w:rPr>
        <w:t xml:space="preserve"> .</w:t>
      </w:r>
    </w:p>
  </w:footnote>
  <w:footnote w:id="18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933 </w:t>
      </w:r>
      <w:r w:rsidRPr="00923B1A">
        <w:rPr>
          <w:color w:val="0000FF"/>
          <w:sz w:val="28"/>
          <w:szCs w:val="28"/>
          <w:rtl/>
        </w:rPr>
        <w:t>–</w:t>
      </w:r>
      <w:r w:rsidRPr="00923B1A">
        <w:rPr>
          <w:rFonts w:hint="cs"/>
          <w:color w:val="0000FF"/>
          <w:sz w:val="28"/>
          <w:szCs w:val="28"/>
          <w:rtl/>
        </w:rPr>
        <w:t xml:space="preserve"> عبد الفتاح عبد الباقي فقرة 34 ص 71</w:t>
      </w:r>
      <w:r>
        <w:rPr>
          <w:rFonts w:hint="cs"/>
          <w:color w:val="0000FF"/>
          <w:sz w:val="28"/>
          <w:szCs w:val="28"/>
          <w:rtl/>
        </w:rPr>
        <w:t xml:space="preserve"> .</w:t>
      </w:r>
    </w:p>
  </w:footnote>
  <w:footnote w:id="18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933 </w:t>
      </w:r>
      <w:r w:rsidRPr="00923B1A">
        <w:rPr>
          <w:color w:val="0000FF"/>
          <w:sz w:val="28"/>
          <w:szCs w:val="28"/>
          <w:rtl/>
        </w:rPr>
        <w:t>–</w:t>
      </w:r>
      <w:r w:rsidRPr="00923B1A">
        <w:rPr>
          <w:rFonts w:hint="cs"/>
          <w:color w:val="0000FF"/>
          <w:sz w:val="28"/>
          <w:szCs w:val="28"/>
          <w:rtl/>
        </w:rPr>
        <w:t xml:space="preserve"> بلانيول وريبير وسافاتييه فقرة 1528</w:t>
      </w:r>
      <w:r>
        <w:rPr>
          <w:rFonts w:hint="cs"/>
          <w:color w:val="0000FF"/>
          <w:sz w:val="28"/>
          <w:szCs w:val="28"/>
          <w:rtl/>
        </w:rPr>
        <w:t xml:space="preserve"> .</w:t>
      </w:r>
    </w:p>
  </w:footnote>
  <w:footnote w:id="18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27</w:t>
      </w:r>
      <w:r>
        <w:rPr>
          <w:rFonts w:hint="cs"/>
          <w:color w:val="0000FF"/>
          <w:sz w:val="28"/>
          <w:szCs w:val="28"/>
          <w:rtl/>
        </w:rPr>
        <w:t xml:space="preserve"> .</w:t>
      </w:r>
    </w:p>
  </w:footnote>
  <w:footnote w:id="18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1528</w:t>
      </w:r>
      <w:r>
        <w:rPr>
          <w:rFonts w:hint="cs"/>
          <w:color w:val="0000FF"/>
          <w:sz w:val="28"/>
          <w:szCs w:val="28"/>
          <w:rtl/>
        </w:rPr>
        <w:t xml:space="preserve"> .</w:t>
      </w:r>
    </w:p>
  </w:footnote>
  <w:footnote w:id="19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5 فقرة 282 ص 437</w:t>
      </w:r>
      <w:r>
        <w:rPr>
          <w:rFonts w:hint="cs"/>
          <w:color w:val="0000FF"/>
          <w:sz w:val="28"/>
          <w:szCs w:val="28"/>
          <w:rtl/>
        </w:rPr>
        <w:t xml:space="preserve"> .</w:t>
      </w:r>
    </w:p>
  </w:footnote>
  <w:footnote w:id="19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وفي القانون الفرنسي يجب أن يتوافر في الكفيل أهلية الالتزام تبرعا</w:t>
      </w:r>
      <w:r>
        <w:rPr>
          <w:rFonts w:hint="cs"/>
          <w:color w:val="0000FF"/>
          <w:sz w:val="28"/>
          <w:szCs w:val="28"/>
          <w:rtl/>
        </w:rPr>
        <w:t xml:space="preserve"> ،</w:t>
      </w:r>
      <w:r w:rsidRPr="00923B1A">
        <w:rPr>
          <w:rFonts w:hint="cs"/>
          <w:color w:val="0000FF"/>
          <w:sz w:val="28"/>
          <w:szCs w:val="28"/>
          <w:rtl/>
        </w:rPr>
        <w:t xml:space="preserve"> ويذهب بعض الفقهاء إلى وجوب توافر أهلية الالتزام فحسب </w:t>
      </w:r>
      <w:r>
        <w:rPr>
          <w:rFonts w:hint="cs"/>
          <w:color w:val="0000FF"/>
          <w:sz w:val="28"/>
          <w:szCs w:val="28"/>
          <w:rtl/>
        </w:rPr>
        <w:t xml:space="preserve">( </w:t>
      </w:r>
      <w:r w:rsidRPr="00923B1A">
        <w:rPr>
          <w:rFonts w:hint="cs"/>
          <w:color w:val="0000FF"/>
          <w:sz w:val="28"/>
          <w:szCs w:val="28"/>
          <w:rtl/>
        </w:rPr>
        <w:t xml:space="preserve">أوبري ورو 6 فقرة 424 ص 274 </w:t>
      </w:r>
      <w:r w:rsidRPr="00923B1A">
        <w:rPr>
          <w:color w:val="0000FF"/>
          <w:sz w:val="28"/>
          <w:szCs w:val="28"/>
          <w:rtl/>
        </w:rPr>
        <w:t>–</w:t>
      </w:r>
      <w:r w:rsidRPr="00923B1A">
        <w:rPr>
          <w:rFonts w:hint="cs"/>
          <w:color w:val="0000FF"/>
          <w:sz w:val="28"/>
          <w:szCs w:val="28"/>
          <w:rtl/>
        </w:rPr>
        <w:t xml:space="preserve"> بودري وفال فقرة 935 ص 498</w:t>
      </w:r>
      <w:r>
        <w:rPr>
          <w:rFonts w:hint="cs"/>
          <w:color w:val="0000FF"/>
          <w:sz w:val="28"/>
          <w:szCs w:val="28"/>
          <w:rtl/>
        </w:rPr>
        <w:t xml:space="preserve"> ) ،</w:t>
      </w:r>
      <w:r w:rsidRPr="00923B1A">
        <w:rPr>
          <w:rFonts w:hint="cs"/>
          <w:color w:val="0000FF"/>
          <w:sz w:val="28"/>
          <w:szCs w:val="28"/>
          <w:rtl/>
        </w:rPr>
        <w:t xml:space="preserve"> ويذهب بعض آخر إلى وجوب توافر أهلية  التصرف تبرعاً </w:t>
      </w:r>
      <w:r>
        <w:rPr>
          <w:rFonts w:hint="cs"/>
          <w:color w:val="0000FF"/>
          <w:sz w:val="28"/>
          <w:szCs w:val="28"/>
          <w:rtl/>
        </w:rPr>
        <w:t xml:space="preserve">( </w:t>
      </w:r>
      <w:r w:rsidRPr="00923B1A">
        <w:rPr>
          <w:rFonts w:hint="cs"/>
          <w:color w:val="0000FF"/>
          <w:sz w:val="28"/>
          <w:szCs w:val="28"/>
          <w:rtl/>
        </w:rPr>
        <w:t>لوران 28 فقرة 160</w:t>
      </w:r>
      <w:r>
        <w:rPr>
          <w:rFonts w:hint="cs"/>
          <w:color w:val="0000FF"/>
          <w:sz w:val="28"/>
          <w:szCs w:val="28"/>
          <w:rtl/>
        </w:rPr>
        <w:t xml:space="preserve"> ) ،</w:t>
      </w:r>
      <w:r w:rsidRPr="00923B1A">
        <w:rPr>
          <w:rFonts w:hint="cs"/>
          <w:color w:val="0000FF"/>
          <w:sz w:val="28"/>
          <w:szCs w:val="28"/>
          <w:rtl/>
        </w:rPr>
        <w:t xml:space="preserve"> وعلى كل حال تكفي أهلية  الالتزام فحسب إذا أخذ الكفيل مقابلا لكفالته من الدائن أو من المدين الأصلي </w:t>
      </w:r>
      <w:r>
        <w:rPr>
          <w:rFonts w:hint="cs"/>
          <w:color w:val="0000FF"/>
          <w:sz w:val="28"/>
          <w:szCs w:val="28"/>
          <w:rtl/>
        </w:rPr>
        <w:t xml:space="preserve">( </w:t>
      </w:r>
      <w:r w:rsidRPr="00923B1A">
        <w:rPr>
          <w:rFonts w:hint="cs"/>
          <w:color w:val="0000FF"/>
          <w:sz w:val="28"/>
          <w:szCs w:val="28"/>
          <w:rtl/>
        </w:rPr>
        <w:t xml:space="preserve">جيوار فقرة 45 </w:t>
      </w:r>
      <w:r w:rsidRPr="00923B1A">
        <w:rPr>
          <w:color w:val="0000FF"/>
          <w:sz w:val="28"/>
          <w:szCs w:val="28"/>
          <w:rtl/>
        </w:rPr>
        <w:t>–</w:t>
      </w:r>
      <w:r w:rsidRPr="00923B1A">
        <w:rPr>
          <w:rFonts w:hint="cs"/>
          <w:color w:val="0000FF"/>
          <w:sz w:val="28"/>
          <w:szCs w:val="28"/>
          <w:rtl/>
        </w:rPr>
        <w:t xml:space="preserve"> فقرة 46 </w:t>
      </w:r>
      <w:r w:rsidRPr="00923B1A">
        <w:rPr>
          <w:color w:val="0000FF"/>
          <w:sz w:val="28"/>
          <w:szCs w:val="28"/>
          <w:rtl/>
        </w:rPr>
        <w:t>–</w:t>
      </w:r>
      <w:r w:rsidRPr="00923B1A">
        <w:rPr>
          <w:rFonts w:hint="cs"/>
          <w:color w:val="0000FF"/>
          <w:sz w:val="28"/>
          <w:szCs w:val="28"/>
          <w:rtl/>
        </w:rPr>
        <w:t xml:space="preserve"> بودري وفال فقرة 935 ص 498</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وانظر بلانيول وريبير وسافاتييه فقرة 1519</w:t>
      </w:r>
      <w:r>
        <w:rPr>
          <w:rFonts w:hint="cs"/>
          <w:color w:val="0000FF"/>
          <w:sz w:val="28"/>
          <w:szCs w:val="28"/>
          <w:rtl/>
        </w:rPr>
        <w:t xml:space="preserve"> .</w:t>
      </w:r>
      <w:r w:rsidRPr="00923B1A">
        <w:rPr>
          <w:rFonts w:hint="cs"/>
          <w:color w:val="0000FF"/>
          <w:sz w:val="28"/>
          <w:szCs w:val="28"/>
          <w:rtl/>
        </w:rPr>
        <w:t xml:space="preserve"> وانظر في أهلية الكفيل في القانون الفرنسي بودري وفال فقرة 935 ص 941</w:t>
      </w:r>
      <w:r>
        <w:rPr>
          <w:rFonts w:hint="cs"/>
          <w:color w:val="0000FF"/>
          <w:sz w:val="28"/>
          <w:szCs w:val="28"/>
          <w:rtl/>
        </w:rPr>
        <w:t xml:space="preserve"> .</w:t>
      </w:r>
    </w:p>
  </w:footnote>
  <w:footnote w:id="19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1519 ص 971</w:t>
      </w:r>
      <w:r>
        <w:rPr>
          <w:rFonts w:hint="cs"/>
          <w:color w:val="0000FF"/>
          <w:sz w:val="28"/>
          <w:szCs w:val="28"/>
          <w:rtl/>
        </w:rPr>
        <w:t xml:space="preserve"> .</w:t>
      </w:r>
    </w:p>
  </w:footnote>
  <w:footnote w:id="19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1519 ص 972</w:t>
      </w:r>
      <w:r>
        <w:rPr>
          <w:rFonts w:hint="cs"/>
          <w:color w:val="0000FF"/>
          <w:sz w:val="28"/>
          <w:szCs w:val="28"/>
          <w:rtl/>
        </w:rPr>
        <w:t xml:space="preserve"> .</w:t>
      </w:r>
    </w:p>
  </w:footnote>
  <w:footnote w:id="19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1519 ص 972 </w:t>
      </w:r>
      <w:r w:rsidRPr="00923B1A">
        <w:rPr>
          <w:color w:val="0000FF"/>
          <w:sz w:val="28"/>
          <w:szCs w:val="28"/>
          <w:rtl/>
        </w:rPr>
        <w:t>–</w:t>
      </w:r>
      <w:r w:rsidRPr="00923B1A">
        <w:rPr>
          <w:rFonts w:hint="cs"/>
          <w:color w:val="0000FF"/>
          <w:sz w:val="28"/>
          <w:szCs w:val="28"/>
          <w:rtl/>
        </w:rPr>
        <w:t xml:space="preserve"> باريس 9 فبراير سنة 1945 جازيت دي باليه 1945 </w:t>
      </w:r>
      <w:r w:rsidRPr="00923B1A">
        <w:rPr>
          <w:color w:val="0000FF"/>
          <w:sz w:val="28"/>
          <w:szCs w:val="28"/>
          <w:rtl/>
        </w:rPr>
        <w:t>–</w:t>
      </w:r>
      <w:r w:rsidRPr="00923B1A">
        <w:rPr>
          <w:rFonts w:hint="cs"/>
          <w:color w:val="0000FF"/>
          <w:sz w:val="28"/>
          <w:szCs w:val="28"/>
          <w:rtl/>
        </w:rPr>
        <w:t xml:space="preserve"> 1- 189</w:t>
      </w:r>
      <w:r>
        <w:rPr>
          <w:rFonts w:hint="cs"/>
          <w:color w:val="0000FF"/>
          <w:sz w:val="28"/>
          <w:szCs w:val="28"/>
          <w:rtl/>
        </w:rPr>
        <w:t xml:space="preserve"> .</w:t>
      </w:r>
    </w:p>
  </w:footnote>
  <w:footnote w:id="19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424 ص 274 </w:t>
      </w:r>
      <w:r w:rsidRPr="00923B1A">
        <w:rPr>
          <w:color w:val="0000FF"/>
          <w:sz w:val="28"/>
          <w:szCs w:val="28"/>
          <w:rtl/>
        </w:rPr>
        <w:t>–</w:t>
      </w:r>
      <w:r w:rsidRPr="00923B1A">
        <w:rPr>
          <w:rFonts w:hint="cs"/>
          <w:color w:val="0000FF"/>
          <w:sz w:val="28"/>
          <w:szCs w:val="28"/>
          <w:rtl/>
        </w:rPr>
        <w:t xml:space="preserve"> بلانيول وريبير وسافاتييه فقرة 1520 ص 972 </w:t>
      </w:r>
      <w:r w:rsidRPr="00923B1A">
        <w:rPr>
          <w:color w:val="0000FF"/>
          <w:sz w:val="28"/>
          <w:szCs w:val="28"/>
          <w:rtl/>
        </w:rPr>
        <w:t>–</w:t>
      </w:r>
      <w:r w:rsidRPr="00923B1A">
        <w:rPr>
          <w:rFonts w:hint="cs"/>
          <w:color w:val="0000FF"/>
          <w:sz w:val="28"/>
          <w:szCs w:val="28"/>
          <w:rtl/>
        </w:rPr>
        <w:t xml:space="preserve"> نقض فرنسي 16 مارس سنة 1898 سيريه 1902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331 </w:t>
      </w:r>
      <w:r w:rsidRPr="00923B1A">
        <w:rPr>
          <w:color w:val="0000FF"/>
          <w:sz w:val="28"/>
          <w:szCs w:val="28"/>
          <w:rtl/>
        </w:rPr>
        <w:t>–</w:t>
      </w:r>
      <w:r w:rsidRPr="00923B1A">
        <w:rPr>
          <w:rFonts w:hint="cs"/>
          <w:color w:val="0000FF"/>
          <w:sz w:val="28"/>
          <w:szCs w:val="28"/>
          <w:rtl/>
        </w:rPr>
        <w:t xml:space="preserve"> وانظر في عيوب الرضاء في الكفالة أوبري ورو 6 فقرة 424 ص 273 </w:t>
      </w:r>
      <w:r w:rsidRPr="00923B1A">
        <w:rPr>
          <w:color w:val="0000FF"/>
          <w:sz w:val="28"/>
          <w:szCs w:val="28"/>
          <w:rtl/>
        </w:rPr>
        <w:t>–</w:t>
      </w:r>
      <w:r w:rsidRPr="00923B1A">
        <w:rPr>
          <w:rFonts w:hint="cs"/>
          <w:color w:val="0000FF"/>
          <w:sz w:val="28"/>
          <w:szCs w:val="28"/>
          <w:rtl/>
        </w:rPr>
        <w:t xml:space="preserve"> ص 274 </w:t>
      </w:r>
      <w:r w:rsidRPr="00923B1A">
        <w:rPr>
          <w:color w:val="0000FF"/>
          <w:sz w:val="28"/>
          <w:szCs w:val="28"/>
          <w:rtl/>
        </w:rPr>
        <w:t>–</w:t>
      </w:r>
      <w:r w:rsidRPr="00923B1A">
        <w:rPr>
          <w:rFonts w:hint="cs"/>
          <w:color w:val="0000FF"/>
          <w:sz w:val="28"/>
          <w:szCs w:val="28"/>
          <w:rtl/>
        </w:rPr>
        <w:t xml:space="preserve"> بودري وفال فقرة 942 </w:t>
      </w:r>
      <w:r w:rsidRPr="00923B1A">
        <w:rPr>
          <w:color w:val="0000FF"/>
          <w:sz w:val="28"/>
          <w:szCs w:val="28"/>
          <w:rtl/>
        </w:rPr>
        <w:t>–</w:t>
      </w:r>
      <w:r w:rsidRPr="00923B1A">
        <w:rPr>
          <w:rFonts w:hint="cs"/>
          <w:color w:val="0000FF"/>
          <w:sz w:val="28"/>
          <w:szCs w:val="28"/>
          <w:rtl/>
        </w:rPr>
        <w:t xml:space="preserve"> بلانيول وريبير وسافاتييه فقرة 1520</w:t>
      </w:r>
      <w:r>
        <w:rPr>
          <w:rFonts w:hint="cs"/>
          <w:color w:val="0000FF"/>
          <w:sz w:val="28"/>
          <w:szCs w:val="28"/>
          <w:rtl/>
        </w:rPr>
        <w:t xml:space="preserve"> .</w:t>
      </w:r>
    </w:p>
  </w:footnote>
  <w:footnote w:id="19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ر ن 14 يونيه 1951 داللوز 1952 </w:t>
      </w:r>
      <w:r w:rsidRPr="00923B1A">
        <w:rPr>
          <w:color w:val="0000FF"/>
          <w:sz w:val="28"/>
          <w:szCs w:val="28"/>
          <w:rtl/>
        </w:rPr>
        <w:t>–</w:t>
      </w:r>
      <w:r w:rsidRPr="00923B1A">
        <w:rPr>
          <w:rFonts w:hint="cs"/>
          <w:color w:val="0000FF"/>
          <w:sz w:val="28"/>
          <w:szCs w:val="28"/>
          <w:rtl/>
        </w:rPr>
        <w:t xml:space="preserve"> 712</w:t>
      </w:r>
      <w:r>
        <w:rPr>
          <w:rFonts w:hint="cs"/>
          <w:color w:val="0000FF"/>
          <w:sz w:val="28"/>
          <w:szCs w:val="28"/>
          <w:rtl/>
        </w:rPr>
        <w:t xml:space="preserve"> .</w:t>
      </w:r>
    </w:p>
  </w:footnote>
  <w:footnote w:id="19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1 فقرة 197 </w:t>
      </w:r>
      <w:r w:rsidRPr="00923B1A">
        <w:rPr>
          <w:color w:val="0000FF"/>
          <w:sz w:val="28"/>
          <w:szCs w:val="28"/>
          <w:rtl/>
        </w:rPr>
        <w:t>–</w:t>
      </w:r>
      <w:r w:rsidRPr="00923B1A">
        <w:rPr>
          <w:rFonts w:hint="cs"/>
          <w:color w:val="0000FF"/>
          <w:sz w:val="28"/>
          <w:szCs w:val="28"/>
          <w:rtl/>
        </w:rPr>
        <w:t xml:space="preserve"> ويطبق في كل عقود الكفالة وفي السبب في عقد الكفالة القواعد العامة</w:t>
      </w:r>
      <w:r>
        <w:rPr>
          <w:rFonts w:hint="cs"/>
          <w:color w:val="0000FF"/>
          <w:sz w:val="28"/>
          <w:szCs w:val="28"/>
          <w:rtl/>
        </w:rPr>
        <w:t xml:space="preserve"> .</w:t>
      </w:r>
      <w:r w:rsidRPr="00923B1A">
        <w:rPr>
          <w:rFonts w:hint="cs"/>
          <w:color w:val="0000FF"/>
          <w:sz w:val="28"/>
          <w:szCs w:val="28"/>
          <w:rtl/>
        </w:rPr>
        <w:t xml:space="preserve"> وفيما يتعلق بالسبب</w:t>
      </w:r>
      <w:r>
        <w:rPr>
          <w:rFonts w:hint="cs"/>
          <w:color w:val="0000FF"/>
          <w:sz w:val="28"/>
          <w:szCs w:val="28"/>
          <w:rtl/>
        </w:rPr>
        <w:t xml:space="preserve"> ،</w:t>
      </w:r>
      <w:r w:rsidRPr="00923B1A">
        <w:rPr>
          <w:rFonts w:hint="cs"/>
          <w:color w:val="0000FF"/>
          <w:sz w:val="28"/>
          <w:szCs w:val="28"/>
          <w:rtl/>
        </w:rPr>
        <w:t xml:space="preserve"> سبق أن قررنا عند الكلام في الالتزام المجرد ما يأتي</w:t>
      </w:r>
      <w:r>
        <w:rPr>
          <w:rFonts w:hint="cs"/>
          <w:color w:val="0000FF"/>
          <w:sz w:val="28"/>
          <w:szCs w:val="28"/>
          <w:rtl/>
        </w:rPr>
        <w:t xml:space="preserve"> :</w:t>
      </w:r>
      <w:r w:rsidRPr="00923B1A">
        <w:rPr>
          <w:rFonts w:hint="cs"/>
          <w:color w:val="0000FF"/>
          <w:sz w:val="28"/>
          <w:szCs w:val="28"/>
          <w:rtl/>
        </w:rPr>
        <w:t xml:space="preserve"> ولكن التزام الكفيل نحو الدائن التزام مجرد لا يتأثر بالعلاقة ما بين الكفيل والمدين</w:t>
      </w:r>
      <w:r>
        <w:rPr>
          <w:rFonts w:hint="cs"/>
          <w:color w:val="0000FF"/>
          <w:sz w:val="28"/>
          <w:szCs w:val="28"/>
          <w:rtl/>
        </w:rPr>
        <w:t xml:space="preserve"> ،</w:t>
      </w:r>
      <w:r w:rsidRPr="00923B1A">
        <w:rPr>
          <w:rFonts w:hint="cs"/>
          <w:color w:val="0000FF"/>
          <w:sz w:val="28"/>
          <w:szCs w:val="28"/>
          <w:rtl/>
        </w:rPr>
        <w:t xml:space="preserve"> ولا يجوز للكفيل أن يتمسك ضد الدائن بالدفوع التي له أن يتمسك بها ضد المدين</w:t>
      </w:r>
      <w:r>
        <w:rPr>
          <w:rFonts w:hint="cs"/>
          <w:color w:val="0000FF"/>
          <w:sz w:val="28"/>
          <w:szCs w:val="28"/>
          <w:rtl/>
        </w:rPr>
        <w:t xml:space="preserve"> .</w:t>
      </w:r>
      <w:r w:rsidRPr="00923B1A">
        <w:rPr>
          <w:rFonts w:hint="cs"/>
          <w:color w:val="0000FF"/>
          <w:sz w:val="28"/>
          <w:szCs w:val="28"/>
          <w:rtl/>
        </w:rPr>
        <w:t xml:space="preserve"> فإذا كفل المدين في نظير أن يوفي المدين دينا آخر عليه مضموناً برهن يثقل عقار الكفيل</w:t>
      </w:r>
      <w:r>
        <w:rPr>
          <w:rFonts w:hint="cs"/>
          <w:color w:val="0000FF"/>
          <w:sz w:val="28"/>
          <w:szCs w:val="28"/>
          <w:rtl/>
        </w:rPr>
        <w:t xml:space="preserve"> ،</w:t>
      </w:r>
      <w:r w:rsidRPr="00923B1A">
        <w:rPr>
          <w:rFonts w:hint="cs"/>
          <w:color w:val="0000FF"/>
          <w:sz w:val="28"/>
          <w:szCs w:val="28"/>
          <w:rtl/>
        </w:rPr>
        <w:t xml:space="preserve"> ولم يوف المدين بهذا الدين الآخر</w:t>
      </w:r>
      <w:r>
        <w:rPr>
          <w:rFonts w:hint="cs"/>
          <w:color w:val="0000FF"/>
          <w:sz w:val="28"/>
          <w:szCs w:val="28"/>
          <w:rtl/>
        </w:rPr>
        <w:t xml:space="preserve"> ،</w:t>
      </w:r>
      <w:r w:rsidRPr="00923B1A">
        <w:rPr>
          <w:rFonts w:hint="cs"/>
          <w:color w:val="0000FF"/>
          <w:sz w:val="28"/>
          <w:szCs w:val="28"/>
          <w:rtl/>
        </w:rPr>
        <w:t xml:space="preserve"> فإن التزام الكفيل نحو الدائن يبقى قائما</w:t>
      </w:r>
      <w:r>
        <w:rPr>
          <w:rFonts w:hint="cs"/>
          <w:color w:val="0000FF"/>
          <w:sz w:val="28"/>
          <w:szCs w:val="28"/>
          <w:rtl/>
        </w:rPr>
        <w:t xml:space="preserve"> ،</w:t>
      </w:r>
      <w:r w:rsidRPr="00923B1A">
        <w:rPr>
          <w:rFonts w:hint="cs"/>
          <w:color w:val="0000FF"/>
          <w:sz w:val="28"/>
          <w:szCs w:val="28"/>
          <w:rtl/>
        </w:rPr>
        <w:t xml:space="preserve"> ولا يجوز للكفيل أن يدفع دعوى الدائن بأن المدين لم يوف بما تعهد به منن تخليص عقار الكفيل من الرهن </w:t>
      </w:r>
      <w:r>
        <w:rPr>
          <w:rFonts w:hint="cs"/>
          <w:color w:val="0000FF"/>
          <w:sz w:val="28"/>
          <w:szCs w:val="28"/>
          <w:rtl/>
        </w:rPr>
        <w:t xml:space="preserve">( </w:t>
      </w:r>
      <w:r w:rsidRPr="00923B1A">
        <w:rPr>
          <w:rFonts w:hint="cs"/>
          <w:color w:val="0000FF"/>
          <w:sz w:val="28"/>
          <w:szCs w:val="28"/>
          <w:rtl/>
        </w:rPr>
        <w:t xml:space="preserve">استئناف مختلط 30 أبريل سنة 1930م 42 ص 470 </w:t>
      </w:r>
      <w:r w:rsidRPr="00923B1A">
        <w:rPr>
          <w:color w:val="0000FF"/>
          <w:sz w:val="28"/>
          <w:szCs w:val="28"/>
          <w:rtl/>
        </w:rPr>
        <w:t>–</w:t>
      </w:r>
      <w:r w:rsidRPr="00923B1A">
        <w:rPr>
          <w:rFonts w:hint="cs"/>
          <w:color w:val="0000FF"/>
          <w:sz w:val="28"/>
          <w:szCs w:val="28"/>
          <w:rtl/>
        </w:rPr>
        <w:t xml:space="preserve"> أبو عافية في التصرف المجرد فقرة 59 </w:t>
      </w:r>
      <w:r w:rsidRPr="00923B1A">
        <w:rPr>
          <w:color w:val="0000FF"/>
          <w:sz w:val="28"/>
          <w:szCs w:val="28"/>
          <w:rtl/>
        </w:rPr>
        <w:t>–</w:t>
      </w:r>
      <w:r w:rsidRPr="00923B1A">
        <w:rPr>
          <w:rFonts w:hint="cs"/>
          <w:color w:val="0000FF"/>
          <w:sz w:val="28"/>
          <w:szCs w:val="28"/>
          <w:rtl/>
        </w:rPr>
        <w:t xml:space="preserve"> فقرة 60" </w:t>
      </w:r>
      <w:r>
        <w:rPr>
          <w:rFonts w:hint="cs"/>
          <w:color w:val="0000FF"/>
          <w:sz w:val="28"/>
          <w:szCs w:val="28"/>
          <w:rtl/>
        </w:rPr>
        <w:t xml:space="preserve">( </w:t>
      </w:r>
      <w:r w:rsidRPr="00923B1A">
        <w:rPr>
          <w:rFonts w:hint="cs"/>
          <w:color w:val="0000FF"/>
          <w:sz w:val="28"/>
          <w:szCs w:val="28"/>
          <w:rtl/>
        </w:rPr>
        <w:t>الوسيط 1 فقرة 287</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وانظر في مسألة السبب في عقد الكفالة سليمان مرقس فقرة 38 </w:t>
      </w:r>
      <w:r w:rsidRPr="00923B1A">
        <w:rPr>
          <w:color w:val="0000FF"/>
          <w:sz w:val="28"/>
          <w:szCs w:val="28"/>
          <w:rtl/>
        </w:rPr>
        <w:t>–</w:t>
      </w:r>
      <w:r w:rsidRPr="00923B1A">
        <w:rPr>
          <w:rFonts w:hint="cs"/>
          <w:color w:val="0000FF"/>
          <w:sz w:val="28"/>
          <w:szCs w:val="28"/>
          <w:rtl/>
        </w:rPr>
        <w:t xml:space="preserve"> فقرة 39 </w:t>
      </w:r>
      <w:r w:rsidRPr="00923B1A">
        <w:rPr>
          <w:color w:val="0000FF"/>
          <w:sz w:val="28"/>
          <w:szCs w:val="28"/>
          <w:rtl/>
        </w:rPr>
        <w:t>–</w:t>
      </w:r>
      <w:r w:rsidRPr="00923B1A">
        <w:rPr>
          <w:rFonts w:hint="cs"/>
          <w:color w:val="0000FF"/>
          <w:sz w:val="28"/>
          <w:szCs w:val="28"/>
          <w:rtl/>
        </w:rPr>
        <w:t xml:space="preserve"> منصور مصطفى منصور فقرة 24</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وانظر أوبري ورو 6 فقرة 426 ص 285 وهامش 19 </w:t>
      </w:r>
      <w:r>
        <w:rPr>
          <w:rFonts w:hint="cs"/>
          <w:color w:val="0000FF"/>
          <w:sz w:val="28"/>
          <w:szCs w:val="28"/>
          <w:rtl/>
        </w:rPr>
        <w:t xml:space="preserve">( </w:t>
      </w:r>
      <w:r w:rsidRPr="00923B1A">
        <w:rPr>
          <w:rFonts w:hint="cs"/>
          <w:color w:val="0000FF"/>
          <w:sz w:val="28"/>
          <w:szCs w:val="28"/>
          <w:rtl/>
        </w:rPr>
        <w:t>2</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كابيتان في السبب في الالتزام فقرة 184 </w:t>
      </w:r>
      <w:r w:rsidRPr="00923B1A">
        <w:rPr>
          <w:color w:val="0000FF"/>
          <w:sz w:val="28"/>
          <w:szCs w:val="28"/>
          <w:rtl/>
        </w:rPr>
        <w:t>–</w:t>
      </w:r>
      <w:r w:rsidRPr="00923B1A">
        <w:rPr>
          <w:rFonts w:hint="cs"/>
          <w:color w:val="0000FF"/>
          <w:sz w:val="28"/>
          <w:szCs w:val="28"/>
          <w:rtl/>
        </w:rPr>
        <w:t xml:space="preserve"> يبدان وفوران فقرة 75</w:t>
      </w:r>
      <w:r>
        <w:rPr>
          <w:rFonts w:hint="cs"/>
          <w:color w:val="0000FF"/>
          <w:sz w:val="28"/>
          <w:szCs w:val="28"/>
          <w:rtl/>
        </w:rPr>
        <w:t xml:space="preserve"> .</w:t>
      </w:r>
    </w:p>
  </w:footnote>
  <w:footnote w:id="19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بواتييه 26 فبراير سنة 1908 داللوز 1908 </w:t>
      </w:r>
      <w:r w:rsidRPr="00923B1A">
        <w:rPr>
          <w:color w:val="0000FF"/>
          <w:sz w:val="28"/>
          <w:szCs w:val="28"/>
          <w:rtl/>
        </w:rPr>
        <w:t>–</w:t>
      </w:r>
      <w:r w:rsidRPr="00923B1A">
        <w:rPr>
          <w:rFonts w:hint="cs"/>
          <w:color w:val="0000FF"/>
          <w:sz w:val="28"/>
          <w:szCs w:val="28"/>
          <w:rtl/>
        </w:rPr>
        <w:t xml:space="preserve"> 2 </w:t>
      </w:r>
      <w:r w:rsidRPr="00923B1A">
        <w:rPr>
          <w:color w:val="0000FF"/>
          <w:sz w:val="28"/>
          <w:szCs w:val="28"/>
          <w:rtl/>
        </w:rPr>
        <w:t>–</w:t>
      </w:r>
      <w:r w:rsidRPr="00923B1A">
        <w:rPr>
          <w:rFonts w:hint="cs"/>
          <w:color w:val="0000FF"/>
          <w:sz w:val="28"/>
          <w:szCs w:val="28"/>
          <w:rtl/>
        </w:rPr>
        <w:t xml:space="preserve"> 405</w:t>
      </w:r>
      <w:r>
        <w:rPr>
          <w:rFonts w:hint="cs"/>
          <w:color w:val="0000FF"/>
          <w:sz w:val="28"/>
          <w:szCs w:val="28"/>
          <w:rtl/>
        </w:rPr>
        <w:t xml:space="preserve"> .</w:t>
      </w:r>
    </w:p>
  </w:footnote>
  <w:footnote w:id="19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16 يوليه سنة 1906 سيريه 1907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214</w:t>
      </w:r>
      <w:r>
        <w:rPr>
          <w:rFonts w:hint="cs"/>
          <w:color w:val="0000FF"/>
          <w:sz w:val="28"/>
          <w:szCs w:val="28"/>
          <w:rtl/>
        </w:rPr>
        <w:t xml:space="preserve"> .</w:t>
      </w:r>
    </w:p>
  </w:footnote>
  <w:footnote w:id="20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بواتييه 26 فبراير سنة 1908 </w:t>
      </w:r>
      <w:r w:rsidRPr="00923B1A">
        <w:rPr>
          <w:color w:val="0000FF"/>
          <w:sz w:val="28"/>
          <w:szCs w:val="28"/>
          <w:rtl/>
        </w:rPr>
        <w:t>–</w:t>
      </w:r>
      <w:r w:rsidRPr="00923B1A">
        <w:rPr>
          <w:rFonts w:hint="cs"/>
          <w:color w:val="0000FF"/>
          <w:sz w:val="28"/>
          <w:szCs w:val="28"/>
          <w:rtl/>
        </w:rPr>
        <w:t xml:space="preserve"> 2 </w:t>
      </w:r>
      <w:r w:rsidRPr="00923B1A">
        <w:rPr>
          <w:color w:val="0000FF"/>
          <w:sz w:val="28"/>
          <w:szCs w:val="28"/>
          <w:rtl/>
        </w:rPr>
        <w:t>–</w:t>
      </w:r>
      <w:r w:rsidRPr="00923B1A">
        <w:rPr>
          <w:rFonts w:hint="cs"/>
          <w:color w:val="0000FF"/>
          <w:sz w:val="28"/>
          <w:szCs w:val="28"/>
          <w:rtl/>
        </w:rPr>
        <w:t xml:space="preserve"> 405 </w:t>
      </w:r>
      <w:r>
        <w:rPr>
          <w:rFonts w:hint="cs"/>
          <w:color w:val="0000FF"/>
          <w:sz w:val="28"/>
          <w:szCs w:val="28"/>
          <w:rtl/>
        </w:rPr>
        <w:t xml:space="preserve">( </w:t>
      </w:r>
      <w:r w:rsidRPr="00923B1A">
        <w:rPr>
          <w:rFonts w:hint="cs"/>
          <w:color w:val="0000FF"/>
          <w:sz w:val="28"/>
          <w:szCs w:val="28"/>
          <w:rtl/>
        </w:rPr>
        <w:t>وهو الحكم السابق الإشارة إليه</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بلانيول وريبير وسافاتييه فقرة 1523 ص 983</w:t>
      </w:r>
      <w:r>
        <w:rPr>
          <w:rFonts w:hint="cs"/>
          <w:color w:val="0000FF"/>
          <w:sz w:val="28"/>
          <w:szCs w:val="28"/>
          <w:rtl/>
        </w:rPr>
        <w:t xml:space="preserve"> .</w:t>
      </w:r>
    </w:p>
  </w:footnote>
  <w:footnote w:id="20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27 نوفمبر سنة 1006 داللوز 1909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48 </w:t>
      </w:r>
      <w:r w:rsidRPr="00923B1A">
        <w:rPr>
          <w:color w:val="0000FF"/>
          <w:sz w:val="28"/>
          <w:szCs w:val="28"/>
          <w:rtl/>
        </w:rPr>
        <w:t>–</w:t>
      </w:r>
      <w:r w:rsidRPr="00923B1A">
        <w:rPr>
          <w:rFonts w:hint="cs"/>
          <w:color w:val="0000FF"/>
          <w:sz w:val="28"/>
          <w:szCs w:val="28"/>
          <w:rtl/>
        </w:rPr>
        <w:t xml:space="preserve"> بلانيول وريبير وسافاتييه فقرة 1533 ص 983</w:t>
      </w:r>
      <w:r>
        <w:rPr>
          <w:rFonts w:hint="cs"/>
          <w:color w:val="0000FF"/>
          <w:sz w:val="28"/>
          <w:szCs w:val="28"/>
          <w:rtl/>
        </w:rPr>
        <w:t xml:space="preserve"> .</w:t>
      </w:r>
    </w:p>
  </w:footnote>
  <w:footnote w:id="20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يؤجل الكفل التزامه ككفيل إلى وقت موته</w:t>
      </w:r>
      <w:r>
        <w:rPr>
          <w:rFonts w:hint="cs"/>
          <w:color w:val="0000FF"/>
          <w:sz w:val="28"/>
          <w:szCs w:val="28"/>
          <w:rtl/>
        </w:rPr>
        <w:t xml:space="preserve"> ،</w:t>
      </w:r>
      <w:r w:rsidRPr="00923B1A">
        <w:rPr>
          <w:rFonts w:hint="cs"/>
          <w:color w:val="0000FF"/>
          <w:sz w:val="28"/>
          <w:szCs w:val="28"/>
          <w:rtl/>
        </w:rPr>
        <w:t xml:space="preserve"> فتكون تركته هي الملزمة </w:t>
      </w:r>
      <w:r>
        <w:rPr>
          <w:rFonts w:hint="cs"/>
          <w:color w:val="0000FF"/>
          <w:sz w:val="28"/>
          <w:szCs w:val="28"/>
          <w:rtl/>
        </w:rPr>
        <w:t xml:space="preserve">( </w:t>
      </w:r>
      <w:r w:rsidRPr="00923B1A">
        <w:rPr>
          <w:rFonts w:hint="cs"/>
          <w:color w:val="0000FF"/>
          <w:sz w:val="28"/>
          <w:szCs w:val="28"/>
          <w:rtl/>
        </w:rPr>
        <w:t xml:space="preserve">نقض فرنسي 7 يناير سن 1913 داللوز 1913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203 </w:t>
      </w:r>
      <w:r w:rsidRPr="00923B1A">
        <w:rPr>
          <w:color w:val="0000FF"/>
          <w:sz w:val="28"/>
          <w:szCs w:val="28"/>
          <w:rtl/>
        </w:rPr>
        <w:t>–</w:t>
      </w:r>
      <w:r w:rsidRPr="00923B1A">
        <w:rPr>
          <w:rFonts w:hint="cs"/>
          <w:color w:val="0000FF"/>
          <w:sz w:val="28"/>
          <w:szCs w:val="28"/>
          <w:rtl/>
        </w:rPr>
        <w:t xml:space="preserve"> بلانيول وريبير وسافاتييه فقرة 1533 ص 893</w:t>
      </w:r>
      <w:r>
        <w:rPr>
          <w:rFonts w:hint="cs"/>
          <w:color w:val="0000FF"/>
          <w:sz w:val="28"/>
          <w:szCs w:val="28"/>
          <w:rtl/>
        </w:rPr>
        <w:t xml:space="preserve"> ) .</w:t>
      </w:r>
    </w:p>
  </w:footnote>
  <w:footnote w:id="20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1533 ص 983</w:t>
      </w:r>
      <w:r>
        <w:rPr>
          <w:rFonts w:hint="cs"/>
          <w:color w:val="0000FF"/>
          <w:sz w:val="28"/>
          <w:szCs w:val="28"/>
          <w:rtl/>
        </w:rPr>
        <w:t xml:space="preserve"> .</w:t>
      </w:r>
    </w:p>
  </w:footnote>
  <w:footnote w:id="20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w:t>
      </w:r>
      <w:r w:rsidRPr="00923B1A">
        <w:rPr>
          <w:color w:val="0000FF"/>
          <w:sz w:val="28"/>
          <w:szCs w:val="28"/>
          <w:rtl/>
        </w:rPr>
        <w:t>–</w:t>
      </w:r>
      <w:r w:rsidRPr="00923B1A">
        <w:rPr>
          <w:rFonts w:hint="cs"/>
          <w:color w:val="0000FF"/>
          <w:sz w:val="28"/>
          <w:szCs w:val="28"/>
          <w:rtl/>
        </w:rPr>
        <w:t xml:space="preserve"> ص 279 </w:t>
      </w:r>
      <w:r w:rsidRPr="00923B1A">
        <w:rPr>
          <w:color w:val="0000FF"/>
          <w:sz w:val="28"/>
          <w:szCs w:val="28"/>
          <w:rtl/>
        </w:rPr>
        <w:t>–</w:t>
      </w:r>
      <w:r w:rsidRPr="00923B1A">
        <w:rPr>
          <w:rFonts w:hint="cs"/>
          <w:color w:val="0000FF"/>
          <w:sz w:val="28"/>
          <w:szCs w:val="28"/>
          <w:rtl/>
        </w:rPr>
        <w:t xml:space="preserve"> بيدان وفوران فقرة 96 </w:t>
      </w:r>
      <w:r w:rsidRPr="00923B1A">
        <w:rPr>
          <w:color w:val="0000FF"/>
          <w:sz w:val="28"/>
          <w:szCs w:val="28"/>
          <w:rtl/>
        </w:rPr>
        <w:t>–</w:t>
      </w:r>
      <w:r w:rsidRPr="00923B1A">
        <w:rPr>
          <w:rFonts w:hint="cs"/>
          <w:color w:val="0000FF"/>
          <w:sz w:val="28"/>
          <w:szCs w:val="28"/>
          <w:rtl/>
        </w:rPr>
        <w:t xml:space="preserve"> بلانيول وريبير وبولانجيه 2 فقرة 1935 </w:t>
      </w:r>
      <w:r w:rsidRPr="00923B1A">
        <w:rPr>
          <w:color w:val="0000FF"/>
          <w:sz w:val="28"/>
          <w:szCs w:val="28"/>
          <w:rtl/>
        </w:rPr>
        <w:t>–</w:t>
      </w:r>
      <w:r w:rsidRPr="00923B1A">
        <w:rPr>
          <w:rFonts w:hint="cs"/>
          <w:color w:val="0000FF"/>
          <w:sz w:val="28"/>
          <w:szCs w:val="28"/>
          <w:rtl/>
        </w:rPr>
        <w:t xml:space="preserve"> نقض فرنسي 20 يناير سنة 1890 داللوز 91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5</w:t>
      </w:r>
      <w:r>
        <w:rPr>
          <w:rFonts w:hint="cs"/>
          <w:color w:val="0000FF"/>
          <w:sz w:val="28"/>
          <w:szCs w:val="28"/>
          <w:rtl/>
        </w:rPr>
        <w:t xml:space="preserve"> .</w:t>
      </w:r>
    </w:p>
  </w:footnote>
  <w:footnote w:id="20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لكن إذا ضمن الكفيل تنفيذ العقد</w:t>
      </w:r>
      <w:r>
        <w:rPr>
          <w:rFonts w:hint="cs"/>
          <w:color w:val="0000FF"/>
          <w:sz w:val="28"/>
          <w:szCs w:val="28"/>
          <w:rtl/>
        </w:rPr>
        <w:t xml:space="preserve"> ،</w:t>
      </w:r>
      <w:r w:rsidRPr="00923B1A">
        <w:rPr>
          <w:rFonts w:hint="cs"/>
          <w:color w:val="0000FF"/>
          <w:sz w:val="28"/>
          <w:szCs w:val="28"/>
          <w:rtl/>
        </w:rPr>
        <w:t xml:space="preserve"> كان مسئولا عن التعويض الذي قد يجب على المدين الأصلي دفعه </w:t>
      </w:r>
      <w:r>
        <w:rPr>
          <w:rFonts w:hint="cs"/>
          <w:color w:val="0000FF"/>
          <w:sz w:val="28"/>
          <w:szCs w:val="28"/>
          <w:rtl/>
        </w:rPr>
        <w:t xml:space="preserve">( </w:t>
      </w:r>
      <w:r w:rsidRPr="00923B1A">
        <w:rPr>
          <w:rFonts w:hint="cs"/>
          <w:color w:val="0000FF"/>
          <w:sz w:val="28"/>
          <w:szCs w:val="28"/>
          <w:rtl/>
        </w:rPr>
        <w:t>بلانيول وريبير وسافاتييه فقرة 1534 ص 984</w:t>
      </w:r>
      <w:r>
        <w:rPr>
          <w:rFonts w:hint="cs"/>
          <w:color w:val="0000FF"/>
          <w:sz w:val="28"/>
          <w:szCs w:val="28"/>
          <w:rtl/>
        </w:rPr>
        <w:t xml:space="preserve"> ) .</w:t>
      </w:r>
    </w:p>
  </w:footnote>
  <w:footnote w:id="20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بيدان وفوران 13 فقرة 96 </w:t>
      </w:r>
      <w:r w:rsidRPr="00923B1A">
        <w:rPr>
          <w:color w:val="0000FF"/>
          <w:sz w:val="28"/>
          <w:szCs w:val="28"/>
          <w:rtl/>
        </w:rPr>
        <w:t>–</w:t>
      </w:r>
      <w:r w:rsidRPr="00923B1A">
        <w:rPr>
          <w:rFonts w:hint="cs"/>
          <w:color w:val="0000FF"/>
          <w:sz w:val="28"/>
          <w:szCs w:val="28"/>
          <w:rtl/>
        </w:rPr>
        <w:t xml:space="preserve"> بلانيول وريبير وسافاتييه فقرة 1534 ص 984 </w:t>
      </w:r>
      <w:r w:rsidRPr="00923B1A">
        <w:rPr>
          <w:color w:val="0000FF"/>
          <w:sz w:val="28"/>
          <w:szCs w:val="28"/>
          <w:rtl/>
        </w:rPr>
        <w:t>–</w:t>
      </w:r>
      <w:r w:rsidRPr="00923B1A">
        <w:rPr>
          <w:rFonts w:hint="cs"/>
          <w:color w:val="0000FF"/>
          <w:sz w:val="28"/>
          <w:szCs w:val="28"/>
          <w:rtl/>
        </w:rPr>
        <w:t xml:space="preserve"> ليون 6 يناير سنة 1903 داللوز 1910 </w:t>
      </w:r>
      <w:r w:rsidRPr="00923B1A">
        <w:rPr>
          <w:color w:val="0000FF"/>
          <w:sz w:val="28"/>
          <w:szCs w:val="28"/>
          <w:rtl/>
        </w:rPr>
        <w:t>–</w:t>
      </w:r>
      <w:r w:rsidRPr="00923B1A">
        <w:rPr>
          <w:rFonts w:hint="cs"/>
          <w:color w:val="0000FF"/>
          <w:sz w:val="28"/>
          <w:szCs w:val="28"/>
          <w:rtl/>
        </w:rPr>
        <w:t xml:space="preserve"> 5 </w:t>
      </w:r>
      <w:r w:rsidRPr="00923B1A">
        <w:rPr>
          <w:color w:val="0000FF"/>
          <w:sz w:val="28"/>
          <w:szCs w:val="28"/>
          <w:rtl/>
        </w:rPr>
        <w:t>–</w:t>
      </w:r>
      <w:r w:rsidRPr="00923B1A">
        <w:rPr>
          <w:rFonts w:hint="cs"/>
          <w:color w:val="0000FF"/>
          <w:sz w:val="28"/>
          <w:szCs w:val="28"/>
          <w:rtl/>
        </w:rPr>
        <w:t xml:space="preserve"> 1</w:t>
      </w:r>
      <w:r>
        <w:rPr>
          <w:rFonts w:hint="cs"/>
          <w:color w:val="0000FF"/>
          <w:sz w:val="28"/>
          <w:szCs w:val="28"/>
          <w:rtl/>
        </w:rPr>
        <w:t xml:space="preserve"> .</w:t>
      </w:r>
    </w:p>
  </w:footnote>
  <w:footnote w:id="20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ذلك نقض فرنسي 3 يوليه سنة 1872 دللوز 73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220 </w:t>
      </w:r>
      <w:r w:rsidRPr="00923B1A">
        <w:rPr>
          <w:color w:val="0000FF"/>
          <w:sz w:val="28"/>
          <w:szCs w:val="28"/>
          <w:rtl/>
        </w:rPr>
        <w:t>–</w:t>
      </w:r>
      <w:r w:rsidRPr="00923B1A">
        <w:rPr>
          <w:rFonts w:hint="cs"/>
          <w:color w:val="0000FF"/>
          <w:sz w:val="28"/>
          <w:szCs w:val="28"/>
          <w:rtl/>
        </w:rPr>
        <w:t xml:space="preserve"> 15 نوفمبر سنة 1904 سيريه 1905 </w:t>
      </w:r>
      <w:r w:rsidRPr="00923B1A">
        <w:rPr>
          <w:color w:val="0000FF"/>
          <w:sz w:val="28"/>
          <w:szCs w:val="28"/>
          <w:rtl/>
        </w:rPr>
        <w:t>–</w:t>
      </w:r>
      <w:r w:rsidRPr="00923B1A">
        <w:rPr>
          <w:rFonts w:hint="cs"/>
          <w:color w:val="0000FF"/>
          <w:sz w:val="28"/>
          <w:szCs w:val="28"/>
          <w:rtl/>
        </w:rPr>
        <w:t xml:space="preserve"> 1- 119 </w:t>
      </w:r>
      <w:r w:rsidRPr="00923B1A">
        <w:rPr>
          <w:color w:val="0000FF"/>
          <w:sz w:val="28"/>
          <w:szCs w:val="28"/>
          <w:rtl/>
        </w:rPr>
        <w:t>–</w:t>
      </w:r>
      <w:r w:rsidRPr="00923B1A">
        <w:rPr>
          <w:rFonts w:hint="cs"/>
          <w:color w:val="0000FF"/>
          <w:sz w:val="28"/>
          <w:szCs w:val="28"/>
          <w:rtl/>
        </w:rPr>
        <w:t xml:space="preserve"> 16 يوليه 1906 دللوز 1907 </w:t>
      </w:r>
      <w:r w:rsidRPr="00923B1A">
        <w:rPr>
          <w:color w:val="0000FF"/>
          <w:sz w:val="28"/>
          <w:szCs w:val="28"/>
          <w:rtl/>
        </w:rPr>
        <w:t>–</w:t>
      </w:r>
      <w:r w:rsidRPr="00923B1A">
        <w:rPr>
          <w:rFonts w:hint="cs"/>
          <w:color w:val="0000FF"/>
          <w:sz w:val="28"/>
          <w:szCs w:val="28"/>
          <w:rtl/>
        </w:rPr>
        <w:t xml:space="preserve"> 1- 98 </w:t>
      </w:r>
      <w:r w:rsidRPr="00923B1A">
        <w:rPr>
          <w:color w:val="0000FF"/>
          <w:sz w:val="28"/>
          <w:szCs w:val="28"/>
          <w:rtl/>
        </w:rPr>
        <w:t>–</w:t>
      </w:r>
      <w:r w:rsidRPr="00923B1A">
        <w:rPr>
          <w:rFonts w:hint="cs"/>
          <w:color w:val="0000FF"/>
          <w:sz w:val="28"/>
          <w:szCs w:val="28"/>
          <w:rtl/>
        </w:rPr>
        <w:t xml:space="preserve"> أوبري ورو 6 فقرة 426 ص 378 هامش 1 </w:t>
      </w:r>
      <w:r w:rsidRPr="00923B1A">
        <w:rPr>
          <w:color w:val="0000FF"/>
          <w:sz w:val="28"/>
          <w:szCs w:val="28"/>
          <w:rtl/>
        </w:rPr>
        <w:t>–</w:t>
      </w:r>
      <w:r w:rsidRPr="00923B1A">
        <w:rPr>
          <w:rFonts w:hint="cs"/>
          <w:color w:val="0000FF"/>
          <w:sz w:val="28"/>
          <w:szCs w:val="28"/>
          <w:rtl/>
        </w:rPr>
        <w:t xml:space="preserve"> بودري وفال فقرة 994 </w:t>
      </w:r>
      <w:r w:rsidRPr="00923B1A">
        <w:rPr>
          <w:color w:val="0000FF"/>
          <w:sz w:val="28"/>
          <w:szCs w:val="28"/>
          <w:rtl/>
        </w:rPr>
        <w:t>–</w:t>
      </w:r>
      <w:r w:rsidRPr="00923B1A">
        <w:rPr>
          <w:rFonts w:hint="cs"/>
          <w:color w:val="0000FF"/>
          <w:sz w:val="28"/>
          <w:szCs w:val="28"/>
          <w:rtl/>
        </w:rPr>
        <w:t xml:space="preserve"> بلانيول وريبير وسافاتييه فقرة 1529</w:t>
      </w:r>
      <w:r>
        <w:rPr>
          <w:rFonts w:hint="cs"/>
          <w:color w:val="0000FF"/>
          <w:sz w:val="28"/>
          <w:szCs w:val="28"/>
          <w:rtl/>
        </w:rPr>
        <w:t xml:space="preserve"> .</w:t>
      </w:r>
    </w:p>
  </w:footnote>
  <w:footnote w:id="20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278 هامش 1 </w:t>
      </w:r>
      <w:r w:rsidRPr="00923B1A">
        <w:rPr>
          <w:color w:val="0000FF"/>
          <w:sz w:val="28"/>
          <w:szCs w:val="28"/>
          <w:rtl/>
        </w:rPr>
        <w:t>–</w:t>
      </w:r>
      <w:r w:rsidRPr="00923B1A">
        <w:rPr>
          <w:rFonts w:hint="cs"/>
          <w:color w:val="0000FF"/>
          <w:sz w:val="28"/>
          <w:szCs w:val="28"/>
          <w:rtl/>
        </w:rPr>
        <w:t xml:space="preserve"> محمد كامل مرسي فقرة 52 </w:t>
      </w:r>
      <w:r w:rsidRPr="00923B1A">
        <w:rPr>
          <w:color w:val="0000FF"/>
          <w:sz w:val="28"/>
          <w:szCs w:val="28"/>
          <w:rtl/>
        </w:rPr>
        <w:t>–</w:t>
      </w:r>
      <w:r w:rsidRPr="00923B1A">
        <w:rPr>
          <w:rFonts w:hint="cs"/>
          <w:color w:val="0000FF"/>
          <w:sz w:val="28"/>
          <w:szCs w:val="28"/>
          <w:rtl/>
        </w:rPr>
        <w:t xml:space="preserve"> فقرة 54 </w:t>
      </w:r>
      <w:r w:rsidRPr="00923B1A">
        <w:rPr>
          <w:color w:val="0000FF"/>
          <w:sz w:val="28"/>
          <w:szCs w:val="28"/>
          <w:rtl/>
        </w:rPr>
        <w:t>–</w:t>
      </w:r>
      <w:r w:rsidRPr="00923B1A">
        <w:rPr>
          <w:rFonts w:hint="cs"/>
          <w:color w:val="0000FF"/>
          <w:sz w:val="28"/>
          <w:szCs w:val="28"/>
          <w:rtl/>
        </w:rPr>
        <w:t xml:space="preserve"> عبد الفتاح عبد الباقي فقرة 53 </w:t>
      </w:r>
      <w:r w:rsidRPr="00923B1A">
        <w:rPr>
          <w:color w:val="0000FF"/>
          <w:sz w:val="28"/>
          <w:szCs w:val="28"/>
          <w:rtl/>
        </w:rPr>
        <w:t>–</w:t>
      </w:r>
      <w:r w:rsidRPr="00923B1A">
        <w:rPr>
          <w:rFonts w:hint="cs"/>
          <w:color w:val="0000FF"/>
          <w:sz w:val="28"/>
          <w:szCs w:val="28"/>
          <w:rtl/>
        </w:rPr>
        <w:t xml:space="preserve"> فقرة 56 </w:t>
      </w:r>
      <w:r w:rsidRPr="00923B1A">
        <w:rPr>
          <w:color w:val="0000FF"/>
          <w:sz w:val="28"/>
          <w:szCs w:val="28"/>
          <w:rtl/>
        </w:rPr>
        <w:t>–</w:t>
      </w:r>
      <w:r w:rsidRPr="00923B1A">
        <w:rPr>
          <w:rFonts w:hint="cs"/>
          <w:color w:val="0000FF"/>
          <w:sz w:val="28"/>
          <w:szCs w:val="28"/>
          <w:rtl/>
        </w:rPr>
        <w:t xml:space="preserve"> سليمان مرقس فقرة 43 </w:t>
      </w:r>
      <w:r w:rsidRPr="00923B1A">
        <w:rPr>
          <w:color w:val="0000FF"/>
          <w:sz w:val="28"/>
          <w:szCs w:val="28"/>
          <w:rtl/>
        </w:rPr>
        <w:t>–</w:t>
      </w:r>
      <w:r w:rsidRPr="00923B1A">
        <w:rPr>
          <w:rFonts w:hint="cs"/>
          <w:color w:val="0000FF"/>
          <w:sz w:val="28"/>
          <w:szCs w:val="28"/>
          <w:rtl/>
        </w:rPr>
        <w:t xml:space="preserve"> فقرة 47</w:t>
      </w:r>
      <w:r>
        <w:rPr>
          <w:rFonts w:hint="cs"/>
          <w:color w:val="0000FF"/>
          <w:sz w:val="28"/>
          <w:szCs w:val="28"/>
          <w:rtl/>
        </w:rPr>
        <w:t xml:space="preserve"> .</w:t>
      </w:r>
    </w:p>
  </w:footnote>
  <w:footnote w:id="20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104 </w:t>
      </w:r>
      <w:r w:rsidRPr="00923B1A">
        <w:rPr>
          <w:color w:val="0000FF"/>
          <w:sz w:val="28"/>
          <w:szCs w:val="28"/>
          <w:rtl/>
        </w:rPr>
        <w:t>–</w:t>
      </w:r>
      <w:r w:rsidRPr="00923B1A">
        <w:rPr>
          <w:rFonts w:hint="cs"/>
          <w:color w:val="0000FF"/>
          <w:sz w:val="28"/>
          <w:szCs w:val="28"/>
          <w:rtl/>
        </w:rPr>
        <w:t xml:space="preserve"> لوران 28 فقرة 175 </w:t>
      </w:r>
      <w:r w:rsidRPr="00923B1A">
        <w:rPr>
          <w:color w:val="0000FF"/>
          <w:sz w:val="28"/>
          <w:szCs w:val="28"/>
          <w:rtl/>
        </w:rPr>
        <w:t>–</w:t>
      </w:r>
      <w:r w:rsidRPr="00923B1A">
        <w:rPr>
          <w:rFonts w:hint="cs"/>
          <w:color w:val="0000FF"/>
          <w:sz w:val="28"/>
          <w:szCs w:val="28"/>
          <w:rtl/>
        </w:rPr>
        <w:t xml:space="preserve"> جيوار فقرة 69 </w:t>
      </w:r>
      <w:r w:rsidRPr="00923B1A">
        <w:rPr>
          <w:color w:val="0000FF"/>
          <w:sz w:val="28"/>
          <w:szCs w:val="28"/>
          <w:rtl/>
        </w:rPr>
        <w:t>–</w:t>
      </w:r>
      <w:r w:rsidRPr="00923B1A">
        <w:rPr>
          <w:rFonts w:hint="cs"/>
          <w:color w:val="0000FF"/>
          <w:sz w:val="28"/>
          <w:szCs w:val="28"/>
          <w:rtl/>
        </w:rPr>
        <w:t xml:space="preserve"> بودري وفال فقرة 994 ص 532</w:t>
      </w:r>
      <w:r>
        <w:rPr>
          <w:rFonts w:hint="cs"/>
          <w:color w:val="0000FF"/>
          <w:sz w:val="28"/>
          <w:szCs w:val="28"/>
          <w:rtl/>
        </w:rPr>
        <w:t xml:space="preserve"> .</w:t>
      </w:r>
    </w:p>
  </w:footnote>
  <w:footnote w:id="21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104 </w:t>
      </w:r>
      <w:r w:rsidRPr="00923B1A">
        <w:rPr>
          <w:color w:val="0000FF"/>
          <w:sz w:val="28"/>
          <w:szCs w:val="28"/>
          <w:rtl/>
        </w:rPr>
        <w:t>–</w:t>
      </w:r>
      <w:r w:rsidRPr="00923B1A">
        <w:rPr>
          <w:rFonts w:hint="cs"/>
          <w:color w:val="0000FF"/>
          <w:sz w:val="28"/>
          <w:szCs w:val="28"/>
          <w:rtl/>
        </w:rPr>
        <w:t xml:space="preserve"> ديرانتون 18 فقرة 230 </w:t>
      </w:r>
      <w:r w:rsidRPr="00923B1A">
        <w:rPr>
          <w:color w:val="0000FF"/>
          <w:sz w:val="28"/>
          <w:szCs w:val="28"/>
          <w:rtl/>
        </w:rPr>
        <w:t>–</w:t>
      </w:r>
      <w:r w:rsidRPr="00923B1A">
        <w:rPr>
          <w:rFonts w:hint="cs"/>
          <w:color w:val="0000FF"/>
          <w:sz w:val="28"/>
          <w:szCs w:val="28"/>
          <w:rtl/>
        </w:rPr>
        <w:t xml:space="preserve"> ترولون فقرة 149 </w:t>
      </w:r>
      <w:r w:rsidRPr="00923B1A">
        <w:rPr>
          <w:color w:val="0000FF"/>
          <w:sz w:val="28"/>
          <w:szCs w:val="28"/>
          <w:rtl/>
        </w:rPr>
        <w:t>–</w:t>
      </w:r>
      <w:r w:rsidRPr="00923B1A">
        <w:rPr>
          <w:rFonts w:hint="cs"/>
          <w:color w:val="0000FF"/>
          <w:sz w:val="28"/>
          <w:szCs w:val="28"/>
          <w:rtl/>
        </w:rPr>
        <w:t xml:space="preserve"> جيوار فقرة 69 </w:t>
      </w:r>
      <w:r w:rsidRPr="00923B1A">
        <w:rPr>
          <w:color w:val="0000FF"/>
          <w:sz w:val="28"/>
          <w:szCs w:val="28"/>
          <w:rtl/>
        </w:rPr>
        <w:t>–</w:t>
      </w:r>
      <w:r w:rsidRPr="00923B1A">
        <w:rPr>
          <w:rFonts w:hint="cs"/>
          <w:color w:val="0000FF"/>
          <w:sz w:val="28"/>
          <w:szCs w:val="28"/>
          <w:rtl/>
        </w:rPr>
        <w:t xml:space="preserve"> أوبري ورو 6 فقرة 426 ص 279 وهامش 2 </w:t>
      </w:r>
      <w:r w:rsidRPr="00923B1A">
        <w:rPr>
          <w:color w:val="0000FF"/>
          <w:sz w:val="28"/>
          <w:szCs w:val="28"/>
          <w:rtl/>
        </w:rPr>
        <w:t>–</w:t>
      </w:r>
      <w:r w:rsidRPr="00923B1A">
        <w:rPr>
          <w:rFonts w:hint="cs"/>
          <w:color w:val="0000FF"/>
          <w:sz w:val="28"/>
          <w:szCs w:val="28"/>
          <w:rtl/>
        </w:rPr>
        <w:t xml:space="preserve"> بودري وفال فقرة 994</w:t>
      </w:r>
      <w:r>
        <w:rPr>
          <w:rFonts w:hint="cs"/>
          <w:color w:val="0000FF"/>
          <w:sz w:val="28"/>
          <w:szCs w:val="28"/>
          <w:rtl/>
        </w:rPr>
        <w:t xml:space="preserve"> .</w:t>
      </w:r>
    </w:p>
  </w:footnote>
  <w:footnote w:id="21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16 نوفمبر سنة 1886 جازيت دي باليه 87 </w:t>
      </w:r>
      <w:r w:rsidRPr="00923B1A">
        <w:rPr>
          <w:color w:val="0000FF"/>
          <w:sz w:val="28"/>
          <w:szCs w:val="28"/>
          <w:rtl/>
        </w:rPr>
        <w:t>–</w:t>
      </w:r>
      <w:r w:rsidRPr="00923B1A">
        <w:rPr>
          <w:rFonts w:hint="cs"/>
          <w:color w:val="0000FF"/>
          <w:sz w:val="28"/>
          <w:szCs w:val="28"/>
          <w:rtl/>
        </w:rPr>
        <w:t xml:space="preserve"> 1- 56 </w:t>
      </w:r>
      <w:r w:rsidRPr="00923B1A">
        <w:rPr>
          <w:color w:val="0000FF"/>
          <w:sz w:val="28"/>
          <w:szCs w:val="28"/>
          <w:rtl/>
        </w:rPr>
        <w:t>–</w:t>
      </w:r>
      <w:r w:rsidRPr="00923B1A">
        <w:rPr>
          <w:rFonts w:hint="cs"/>
          <w:color w:val="0000FF"/>
          <w:sz w:val="28"/>
          <w:szCs w:val="28"/>
          <w:rtl/>
        </w:rPr>
        <w:t xml:space="preserve"> جيوار فقرة 69 </w:t>
      </w:r>
      <w:r w:rsidRPr="00923B1A">
        <w:rPr>
          <w:color w:val="0000FF"/>
          <w:sz w:val="28"/>
          <w:szCs w:val="28"/>
          <w:rtl/>
        </w:rPr>
        <w:t>–</w:t>
      </w:r>
      <w:r w:rsidRPr="00923B1A">
        <w:rPr>
          <w:rFonts w:hint="cs"/>
          <w:color w:val="0000FF"/>
          <w:sz w:val="28"/>
          <w:szCs w:val="28"/>
          <w:rtl/>
        </w:rPr>
        <w:t xml:space="preserve"> بودري وفال فقرة 994 ص 533 هامش 1</w:t>
      </w:r>
      <w:r>
        <w:rPr>
          <w:rFonts w:hint="cs"/>
          <w:color w:val="0000FF"/>
          <w:sz w:val="28"/>
          <w:szCs w:val="28"/>
          <w:rtl/>
        </w:rPr>
        <w:t xml:space="preserve"> .</w:t>
      </w:r>
    </w:p>
  </w:footnote>
  <w:footnote w:id="21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278 </w:t>
      </w:r>
      <w:r w:rsidRPr="00923B1A">
        <w:rPr>
          <w:color w:val="0000FF"/>
          <w:sz w:val="28"/>
          <w:szCs w:val="28"/>
          <w:rtl/>
        </w:rPr>
        <w:t>–</w:t>
      </w:r>
      <w:r w:rsidRPr="00923B1A">
        <w:rPr>
          <w:rFonts w:hint="cs"/>
          <w:color w:val="0000FF"/>
          <w:sz w:val="28"/>
          <w:szCs w:val="28"/>
          <w:rtl/>
        </w:rPr>
        <w:t xml:space="preserve"> ص 279 </w:t>
      </w:r>
      <w:r w:rsidRPr="00923B1A">
        <w:rPr>
          <w:color w:val="0000FF"/>
          <w:sz w:val="28"/>
          <w:szCs w:val="28"/>
          <w:rtl/>
        </w:rPr>
        <w:t>–</w:t>
      </w:r>
      <w:r w:rsidRPr="00923B1A">
        <w:rPr>
          <w:rFonts w:hint="cs"/>
          <w:color w:val="0000FF"/>
          <w:sz w:val="28"/>
          <w:szCs w:val="28"/>
          <w:rtl/>
        </w:rPr>
        <w:t xml:space="preserve"> بودري وفال فقرة 996 </w:t>
      </w:r>
      <w:r w:rsidRPr="00923B1A">
        <w:rPr>
          <w:color w:val="0000FF"/>
          <w:sz w:val="28"/>
          <w:szCs w:val="28"/>
          <w:rtl/>
        </w:rPr>
        <w:t>–</w:t>
      </w:r>
      <w:r w:rsidRPr="00923B1A">
        <w:rPr>
          <w:rFonts w:hint="cs"/>
          <w:color w:val="0000FF"/>
          <w:sz w:val="28"/>
          <w:szCs w:val="28"/>
          <w:rtl/>
        </w:rPr>
        <w:t xml:space="preserve"> بلانيول وريبير وسافاتييه فقرة 1531 ص 982 محمد كامل مرسي فقرة 52</w:t>
      </w:r>
      <w:r>
        <w:rPr>
          <w:rFonts w:hint="cs"/>
          <w:color w:val="0000FF"/>
          <w:sz w:val="28"/>
          <w:szCs w:val="28"/>
          <w:rtl/>
        </w:rPr>
        <w:t xml:space="preserve"> .</w:t>
      </w:r>
    </w:p>
  </w:footnote>
  <w:footnote w:id="21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69 </w:t>
      </w:r>
      <w:r w:rsidRPr="00923B1A">
        <w:rPr>
          <w:color w:val="0000FF"/>
          <w:sz w:val="28"/>
          <w:szCs w:val="28"/>
          <w:rtl/>
        </w:rPr>
        <w:t>–</w:t>
      </w:r>
      <w:r w:rsidRPr="00923B1A">
        <w:rPr>
          <w:rFonts w:hint="cs"/>
          <w:color w:val="0000FF"/>
          <w:sz w:val="28"/>
          <w:szCs w:val="28"/>
          <w:rtl/>
        </w:rPr>
        <w:t xml:space="preserve"> بودري وفال فقرة 994 ص 533</w:t>
      </w:r>
      <w:r>
        <w:rPr>
          <w:rFonts w:hint="cs"/>
          <w:color w:val="0000FF"/>
          <w:sz w:val="28"/>
          <w:szCs w:val="28"/>
          <w:rtl/>
        </w:rPr>
        <w:t xml:space="preserve"> .</w:t>
      </w:r>
    </w:p>
  </w:footnote>
  <w:footnote w:id="21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15 نوفمبر سنة 1904 سيريه 1905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119 </w:t>
      </w:r>
      <w:r w:rsidRPr="00923B1A">
        <w:rPr>
          <w:color w:val="0000FF"/>
          <w:sz w:val="28"/>
          <w:szCs w:val="28"/>
          <w:rtl/>
        </w:rPr>
        <w:t>–</w:t>
      </w:r>
      <w:r w:rsidRPr="00923B1A">
        <w:rPr>
          <w:rFonts w:hint="cs"/>
          <w:color w:val="0000FF"/>
          <w:sz w:val="28"/>
          <w:szCs w:val="28"/>
          <w:rtl/>
        </w:rPr>
        <w:t xml:space="preserve"> 23 يناير سنة 1906 داللوز 1907 </w:t>
      </w:r>
      <w:r w:rsidRPr="00923B1A">
        <w:rPr>
          <w:color w:val="0000FF"/>
          <w:sz w:val="28"/>
          <w:szCs w:val="28"/>
          <w:rtl/>
        </w:rPr>
        <w:t>–</w:t>
      </w:r>
      <w:r w:rsidRPr="00923B1A">
        <w:rPr>
          <w:rFonts w:hint="cs"/>
          <w:color w:val="0000FF"/>
          <w:sz w:val="28"/>
          <w:szCs w:val="28"/>
          <w:rtl/>
        </w:rPr>
        <w:t xml:space="preserve"> 1- 98 بلانيول وريبير وسافاتييه فقرة 1529</w:t>
      </w:r>
      <w:r>
        <w:rPr>
          <w:rFonts w:hint="cs"/>
          <w:color w:val="0000FF"/>
          <w:sz w:val="28"/>
          <w:szCs w:val="28"/>
          <w:rtl/>
        </w:rPr>
        <w:t xml:space="preserve"> .</w:t>
      </w:r>
    </w:p>
  </w:footnote>
  <w:footnote w:id="21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15 مايو سنة 1877 داللوز 77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397 </w:t>
      </w:r>
      <w:r w:rsidRPr="00923B1A">
        <w:rPr>
          <w:color w:val="0000FF"/>
          <w:sz w:val="28"/>
          <w:szCs w:val="28"/>
          <w:rtl/>
        </w:rPr>
        <w:t>–</w:t>
      </w:r>
      <w:r w:rsidRPr="00923B1A">
        <w:rPr>
          <w:rFonts w:hint="cs"/>
          <w:color w:val="0000FF"/>
          <w:sz w:val="28"/>
          <w:szCs w:val="28"/>
          <w:rtl/>
        </w:rPr>
        <w:t xml:space="preserve"> 2 ديسمبر سنة 1903 داللوز 1905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9 </w:t>
      </w:r>
      <w:r w:rsidRPr="00923B1A">
        <w:rPr>
          <w:color w:val="0000FF"/>
          <w:sz w:val="28"/>
          <w:szCs w:val="28"/>
          <w:rtl/>
        </w:rPr>
        <w:t>–</w:t>
      </w:r>
      <w:r w:rsidRPr="00923B1A">
        <w:rPr>
          <w:rFonts w:hint="cs"/>
          <w:color w:val="0000FF"/>
          <w:sz w:val="28"/>
          <w:szCs w:val="28"/>
          <w:rtl/>
        </w:rPr>
        <w:t xml:space="preserve"> بلانيول وريبير وسافاتييه فقرة 1529 </w:t>
      </w:r>
      <w:r w:rsidRPr="00923B1A">
        <w:rPr>
          <w:color w:val="0000FF"/>
          <w:sz w:val="28"/>
          <w:szCs w:val="28"/>
          <w:rtl/>
        </w:rPr>
        <w:t>–</w:t>
      </w:r>
      <w:r w:rsidRPr="00923B1A">
        <w:rPr>
          <w:rFonts w:hint="cs"/>
          <w:color w:val="0000FF"/>
          <w:sz w:val="28"/>
          <w:szCs w:val="28"/>
          <w:rtl/>
        </w:rPr>
        <w:t xml:space="preserve"> وانظر أوبري ورو 6 فقرة 426 ص 280</w:t>
      </w:r>
      <w:r>
        <w:rPr>
          <w:rFonts w:hint="cs"/>
          <w:color w:val="0000FF"/>
          <w:sz w:val="28"/>
          <w:szCs w:val="28"/>
          <w:rtl/>
        </w:rPr>
        <w:t xml:space="preserve"> .</w:t>
      </w:r>
    </w:p>
  </w:footnote>
  <w:footnote w:id="21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لوران 28 فقرة 170 </w:t>
      </w:r>
      <w:r w:rsidRPr="00923B1A">
        <w:rPr>
          <w:color w:val="0000FF"/>
          <w:sz w:val="28"/>
          <w:szCs w:val="28"/>
          <w:rtl/>
        </w:rPr>
        <w:t>–</w:t>
      </w:r>
      <w:r w:rsidRPr="00923B1A">
        <w:rPr>
          <w:rFonts w:hint="cs"/>
          <w:color w:val="0000FF"/>
          <w:sz w:val="28"/>
          <w:szCs w:val="28"/>
          <w:rtl/>
        </w:rPr>
        <w:t xml:space="preserve"> جيوار فقرة 67 </w:t>
      </w:r>
      <w:r w:rsidRPr="00923B1A">
        <w:rPr>
          <w:color w:val="0000FF"/>
          <w:sz w:val="28"/>
          <w:szCs w:val="28"/>
          <w:rtl/>
        </w:rPr>
        <w:t>–</w:t>
      </w:r>
      <w:r w:rsidRPr="00923B1A">
        <w:rPr>
          <w:rFonts w:hint="cs"/>
          <w:color w:val="0000FF"/>
          <w:sz w:val="28"/>
          <w:szCs w:val="28"/>
          <w:rtl/>
        </w:rPr>
        <w:t xml:space="preserve"> بوردي وفال فقرة 1004 </w:t>
      </w:r>
      <w:r w:rsidRPr="00923B1A">
        <w:rPr>
          <w:color w:val="0000FF"/>
          <w:sz w:val="28"/>
          <w:szCs w:val="28"/>
          <w:rtl/>
        </w:rPr>
        <w:t>–</w:t>
      </w:r>
      <w:r w:rsidRPr="00923B1A">
        <w:rPr>
          <w:rFonts w:hint="cs"/>
          <w:color w:val="0000FF"/>
          <w:sz w:val="28"/>
          <w:szCs w:val="28"/>
          <w:rtl/>
        </w:rPr>
        <w:t xml:space="preserve"> ويعتبر تفسيراً لنية المتعاقدين</w:t>
      </w:r>
      <w:r>
        <w:rPr>
          <w:rFonts w:hint="cs"/>
          <w:color w:val="0000FF"/>
          <w:sz w:val="28"/>
          <w:szCs w:val="28"/>
          <w:rtl/>
        </w:rPr>
        <w:t xml:space="preserve"> ،</w:t>
      </w:r>
      <w:r w:rsidRPr="00923B1A">
        <w:rPr>
          <w:rFonts w:hint="cs"/>
          <w:color w:val="0000FF"/>
          <w:sz w:val="28"/>
          <w:szCs w:val="28"/>
          <w:rtl/>
        </w:rPr>
        <w:t xml:space="preserve"> أي مسألة موضوعية</w:t>
      </w:r>
      <w:r>
        <w:rPr>
          <w:rFonts w:hint="cs"/>
          <w:color w:val="0000FF"/>
          <w:sz w:val="28"/>
          <w:szCs w:val="28"/>
          <w:rtl/>
        </w:rPr>
        <w:t xml:space="preserve"> ،</w:t>
      </w:r>
      <w:r w:rsidRPr="00923B1A">
        <w:rPr>
          <w:rFonts w:hint="cs"/>
          <w:color w:val="0000FF"/>
          <w:sz w:val="28"/>
          <w:szCs w:val="28"/>
          <w:rtl/>
        </w:rPr>
        <w:t xml:space="preserve"> ما إذا كان الكفيل قد أراد الالتزام الأصلي الموجود وقت أن عقد الكفالة</w:t>
      </w:r>
      <w:r>
        <w:rPr>
          <w:rFonts w:hint="cs"/>
          <w:color w:val="0000FF"/>
          <w:sz w:val="28"/>
          <w:szCs w:val="28"/>
          <w:rtl/>
        </w:rPr>
        <w:t xml:space="preserve"> ،</w:t>
      </w:r>
      <w:r w:rsidRPr="00923B1A">
        <w:rPr>
          <w:rFonts w:hint="cs"/>
          <w:color w:val="0000FF"/>
          <w:sz w:val="28"/>
          <w:szCs w:val="28"/>
          <w:rtl/>
        </w:rPr>
        <w:t xml:space="preserve"> أو أراد مجاوزة ذلك والالتزام بجميع التعديلات التي زادت فيما بعد من هذا الالتزام الأصلي </w:t>
      </w:r>
      <w:r>
        <w:rPr>
          <w:rFonts w:hint="cs"/>
          <w:color w:val="0000FF"/>
          <w:sz w:val="28"/>
          <w:szCs w:val="28"/>
          <w:rtl/>
        </w:rPr>
        <w:t xml:space="preserve">( </w:t>
      </w:r>
      <w:r w:rsidRPr="00923B1A">
        <w:rPr>
          <w:rFonts w:hint="cs"/>
          <w:color w:val="0000FF"/>
          <w:sz w:val="28"/>
          <w:szCs w:val="28"/>
          <w:rtl/>
        </w:rPr>
        <w:t>بودري وفال فقرة 1004</w:t>
      </w:r>
      <w:r>
        <w:rPr>
          <w:rFonts w:hint="cs"/>
          <w:color w:val="0000FF"/>
          <w:sz w:val="28"/>
          <w:szCs w:val="28"/>
          <w:rtl/>
        </w:rPr>
        <w:t xml:space="preserve"> ) .</w:t>
      </w:r>
    </w:p>
  </w:footnote>
  <w:footnote w:id="21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مدني 24 نوفمبر سنة 1945 مجموعة المبادئ القانونية التي قررتها محكمة النقض في 25 عاما الجزء الثاني ص 939 رقم 18</w:t>
      </w:r>
      <w:r>
        <w:rPr>
          <w:rFonts w:hint="cs"/>
          <w:color w:val="0000FF"/>
          <w:sz w:val="28"/>
          <w:szCs w:val="28"/>
          <w:rtl/>
        </w:rPr>
        <w:t xml:space="preserve"> .</w:t>
      </w:r>
    </w:p>
  </w:footnote>
  <w:footnote w:id="21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مدني 15 أبريل سنة 1951 مجموعة القواعد القانونية التي قررتها محكمة النقض في 25 عاما الجزء الثاني ص 939 رقم 19</w:t>
      </w:r>
      <w:r>
        <w:rPr>
          <w:rFonts w:hint="cs"/>
          <w:color w:val="0000FF"/>
          <w:sz w:val="28"/>
          <w:szCs w:val="28"/>
          <w:rtl/>
        </w:rPr>
        <w:t xml:space="preserve"> .</w:t>
      </w:r>
    </w:p>
  </w:footnote>
  <w:footnote w:id="21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117 فقرة 117 </w:t>
      </w:r>
      <w:r w:rsidRPr="00923B1A">
        <w:rPr>
          <w:color w:val="0000FF"/>
          <w:sz w:val="28"/>
          <w:szCs w:val="28"/>
          <w:rtl/>
        </w:rPr>
        <w:t>–</w:t>
      </w:r>
      <w:r w:rsidRPr="00923B1A">
        <w:rPr>
          <w:rFonts w:hint="cs"/>
          <w:color w:val="0000FF"/>
          <w:sz w:val="28"/>
          <w:szCs w:val="28"/>
          <w:rtl/>
        </w:rPr>
        <w:t xml:space="preserve"> فقرة 118 </w:t>
      </w:r>
      <w:r w:rsidRPr="00923B1A">
        <w:rPr>
          <w:color w:val="0000FF"/>
          <w:sz w:val="28"/>
          <w:szCs w:val="28"/>
          <w:rtl/>
        </w:rPr>
        <w:t>–</w:t>
      </w:r>
      <w:r w:rsidRPr="00923B1A">
        <w:rPr>
          <w:rFonts w:hint="cs"/>
          <w:color w:val="0000FF"/>
          <w:sz w:val="28"/>
          <w:szCs w:val="28"/>
          <w:rtl/>
        </w:rPr>
        <w:t xml:space="preserve"> بودري وفال فقرة 1013 ص 541</w:t>
      </w:r>
      <w:r>
        <w:rPr>
          <w:rFonts w:hint="cs"/>
          <w:color w:val="0000FF"/>
          <w:sz w:val="28"/>
          <w:szCs w:val="28"/>
          <w:rtl/>
        </w:rPr>
        <w:t xml:space="preserve"> .</w:t>
      </w:r>
    </w:p>
  </w:footnote>
  <w:footnote w:id="22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252 </w:t>
      </w:r>
      <w:r w:rsidRPr="00923B1A">
        <w:rPr>
          <w:color w:val="0000FF"/>
          <w:sz w:val="28"/>
          <w:szCs w:val="28"/>
          <w:rtl/>
        </w:rPr>
        <w:t>–</w:t>
      </w:r>
      <w:r w:rsidRPr="00923B1A">
        <w:rPr>
          <w:rFonts w:hint="cs"/>
          <w:color w:val="0000FF"/>
          <w:sz w:val="28"/>
          <w:szCs w:val="28"/>
          <w:rtl/>
        </w:rPr>
        <w:t xml:space="preserve"> بودري وفال فقرة 1018</w:t>
      </w:r>
      <w:r>
        <w:rPr>
          <w:rFonts w:hint="cs"/>
          <w:color w:val="0000FF"/>
          <w:sz w:val="28"/>
          <w:szCs w:val="28"/>
          <w:rtl/>
        </w:rPr>
        <w:t xml:space="preserve"> .</w:t>
      </w:r>
    </w:p>
  </w:footnote>
  <w:footnote w:id="22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بودري وفال فقرة 1018 </w:t>
      </w:r>
      <w:r w:rsidRPr="00923B1A">
        <w:rPr>
          <w:color w:val="0000FF"/>
          <w:sz w:val="28"/>
          <w:szCs w:val="28"/>
          <w:rtl/>
        </w:rPr>
        <w:t>–</w:t>
      </w:r>
      <w:r w:rsidRPr="00923B1A">
        <w:rPr>
          <w:rFonts w:hint="cs"/>
          <w:color w:val="0000FF"/>
          <w:sz w:val="28"/>
          <w:szCs w:val="28"/>
          <w:rtl/>
        </w:rPr>
        <w:t xml:space="preserve"> بلانيول وريبير وسافاتييه فقرة 1534 ص 984 </w:t>
      </w:r>
      <w:r w:rsidRPr="00923B1A">
        <w:rPr>
          <w:color w:val="0000FF"/>
          <w:sz w:val="28"/>
          <w:szCs w:val="28"/>
          <w:rtl/>
        </w:rPr>
        <w:t>–</w:t>
      </w:r>
      <w:r w:rsidRPr="00923B1A">
        <w:rPr>
          <w:rFonts w:hint="cs"/>
          <w:color w:val="0000FF"/>
          <w:sz w:val="28"/>
          <w:szCs w:val="28"/>
          <w:rtl/>
        </w:rPr>
        <w:t xml:space="preserve"> ولكن يجوز للكفيل ا يتمسك بالأجل الأصلي ويفي بالدين عند حلول هذا الأجل إذا كانت له مصلحة في ذلك</w:t>
      </w:r>
      <w:r>
        <w:rPr>
          <w:rFonts w:hint="cs"/>
          <w:color w:val="0000FF"/>
          <w:sz w:val="28"/>
          <w:szCs w:val="28"/>
          <w:rtl/>
        </w:rPr>
        <w:t xml:space="preserve"> ،</w:t>
      </w:r>
      <w:r w:rsidRPr="00923B1A">
        <w:rPr>
          <w:rFonts w:hint="cs"/>
          <w:color w:val="0000FF"/>
          <w:sz w:val="28"/>
          <w:szCs w:val="28"/>
          <w:rtl/>
        </w:rPr>
        <w:t xml:space="preserve"> كأن يستطيع الرجوع على المدين عند حلول الأجل الأصيل ولو انتظر حلول الأجل الجديد الممتد فقد يعسر المدين أو يزيد إعساره </w:t>
      </w:r>
      <w:r>
        <w:rPr>
          <w:rFonts w:hint="cs"/>
          <w:color w:val="0000FF"/>
          <w:sz w:val="28"/>
          <w:szCs w:val="28"/>
          <w:rtl/>
        </w:rPr>
        <w:t xml:space="preserve">( </w:t>
      </w:r>
      <w:r w:rsidRPr="00923B1A">
        <w:rPr>
          <w:rFonts w:hint="cs"/>
          <w:color w:val="0000FF"/>
          <w:sz w:val="28"/>
          <w:szCs w:val="28"/>
          <w:rtl/>
        </w:rPr>
        <w:t>منصور مصطفى منصور فقرة 28 ص 53</w:t>
      </w:r>
      <w:r>
        <w:rPr>
          <w:rFonts w:hint="cs"/>
          <w:color w:val="0000FF"/>
          <w:sz w:val="28"/>
          <w:szCs w:val="28"/>
          <w:rtl/>
        </w:rPr>
        <w:t xml:space="preserve"> ) .</w:t>
      </w:r>
    </w:p>
  </w:footnote>
  <w:footnote w:id="22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28 ص 52</w:t>
      </w:r>
      <w:r>
        <w:rPr>
          <w:rFonts w:hint="cs"/>
          <w:color w:val="0000FF"/>
          <w:sz w:val="28"/>
          <w:szCs w:val="28"/>
          <w:rtl/>
        </w:rPr>
        <w:t xml:space="preserve"> .</w:t>
      </w:r>
    </w:p>
  </w:footnote>
  <w:footnote w:id="22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1014 ص 541 </w:t>
      </w:r>
      <w:r w:rsidRPr="00923B1A">
        <w:rPr>
          <w:color w:val="0000FF"/>
          <w:sz w:val="28"/>
          <w:szCs w:val="28"/>
          <w:rtl/>
        </w:rPr>
        <w:t>–</w:t>
      </w:r>
      <w:r w:rsidRPr="00923B1A">
        <w:rPr>
          <w:rFonts w:hint="cs"/>
          <w:color w:val="0000FF"/>
          <w:sz w:val="28"/>
          <w:szCs w:val="28"/>
          <w:rtl/>
        </w:rPr>
        <w:t xml:space="preserve"> بيدان وفوا أن فقرة 96  99 </w:t>
      </w:r>
      <w:r w:rsidRPr="00923B1A">
        <w:rPr>
          <w:color w:val="0000FF"/>
          <w:sz w:val="28"/>
          <w:szCs w:val="28"/>
          <w:rtl/>
        </w:rPr>
        <w:t>–</w:t>
      </w:r>
      <w:r w:rsidRPr="00923B1A">
        <w:rPr>
          <w:rFonts w:hint="cs"/>
          <w:color w:val="0000FF"/>
          <w:sz w:val="28"/>
          <w:szCs w:val="28"/>
          <w:rtl/>
        </w:rPr>
        <w:t xml:space="preserve"> بلانيول وريبير وسافاتييه فقرة 1534 ص 984 </w:t>
      </w:r>
      <w:r w:rsidRPr="00923B1A">
        <w:rPr>
          <w:color w:val="0000FF"/>
          <w:sz w:val="28"/>
          <w:szCs w:val="28"/>
          <w:rtl/>
        </w:rPr>
        <w:t>–</w:t>
      </w:r>
      <w:r w:rsidRPr="00923B1A">
        <w:rPr>
          <w:rFonts w:hint="cs"/>
          <w:color w:val="0000FF"/>
          <w:sz w:val="28"/>
          <w:szCs w:val="28"/>
          <w:rtl/>
        </w:rPr>
        <w:t xml:space="preserve"> بلانيول وريبير وبولانجيه 2 فقرة 1935 </w:t>
      </w:r>
      <w:r w:rsidRPr="00923B1A">
        <w:rPr>
          <w:color w:val="0000FF"/>
          <w:sz w:val="28"/>
          <w:szCs w:val="28"/>
          <w:rtl/>
        </w:rPr>
        <w:t>–</w:t>
      </w:r>
      <w:r w:rsidRPr="00923B1A">
        <w:rPr>
          <w:rFonts w:hint="cs"/>
          <w:color w:val="0000FF"/>
          <w:sz w:val="28"/>
          <w:szCs w:val="28"/>
          <w:rtl/>
        </w:rPr>
        <w:t xml:space="preserve"> محمد كامل مرسي فقرة 46 ص 152 </w:t>
      </w:r>
      <w:r w:rsidRPr="00923B1A">
        <w:rPr>
          <w:color w:val="0000FF"/>
          <w:sz w:val="28"/>
          <w:szCs w:val="28"/>
          <w:rtl/>
        </w:rPr>
        <w:t>–</w:t>
      </w:r>
      <w:r w:rsidRPr="00923B1A">
        <w:rPr>
          <w:rFonts w:hint="cs"/>
          <w:color w:val="0000FF"/>
          <w:sz w:val="28"/>
          <w:szCs w:val="28"/>
          <w:rtl/>
        </w:rPr>
        <w:t xml:space="preserve"> عبد الفتاح عبد الباقي فقرة 75 ص 120 </w:t>
      </w:r>
      <w:r w:rsidRPr="00923B1A">
        <w:rPr>
          <w:color w:val="0000FF"/>
          <w:sz w:val="28"/>
          <w:szCs w:val="28"/>
          <w:rtl/>
        </w:rPr>
        <w:t>–</w:t>
      </w:r>
      <w:r w:rsidRPr="00923B1A">
        <w:rPr>
          <w:rFonts w:hint="cs"/>
          <w:color w:val="0000FF"/>
          <w:sz w:val="28"/>
          <w:szCs w:val="28"/>
          <w:rtl/>
        </w:rPr>
        <w:t xml:space="preserve"> سليمان مرقس فقرة 54 ص 58 </w:t>
      </w:r>
      <w:r w:rsidRPr="00923B1A">
        <w:rPr>
          <w:color w:val="0000FF"/>
          <w:sz w:val="28"/>
          <w:szCs w:val="28"/>
          <w:rtl/>
        </w:rPr>
        <w:t>–</w:t>
      </w:r>
      <w:r w:rsidRPr="00923B1A">
        <w:rPr>
          <w:rFonts w:hint="cs"/>
          <w:color w:val="0000FF"/>
          <w:sz w:val="28"/>
          <w:szCs w:val="28"/>
          <w:rtl/>
        </w:rPr>
        <w:t xml:space="preserve"> محمد علي إمام فقرة 50 ص 80 </w:t>
      </w:r>
      <w:r w:rsidRPr="00923B1A">
        <w:rPr>
          <w:color w:val="0000FF"/>
          <w:sz w:val="28"/>
          <w:szCs w:val="28"/>
          <w:rtl/>
        </w:rPr>
        <w:t>–</w:t>
      </w:r>
      <w:r w:rsidRPr="00923B1A">
        <w:rPr>
          <w:rFonts w:hint="cs"/>
          <w:color w:val="0000FF"/>
          <w:sz w:val="28"/>
          <w:szCs w:val="28"/>
          <w:rtl/>
        </w:rPr>
        <w:t xml:space="preserve"> منصور مصطفى منصور فقرة 28 </w:t>
      </w:r>
      <w:r>
        <w:rPr>
          <w:rFonts w:hint="cs"/>
          <w:color w:val="0000FF"/>
          <w:sz w:val="28"/>
          <w:szCs w:val="28"/>
          <w:rtl/>
        </w:rPr>
        <w:t xml:space="preserve">( </w:t>
      </w:r>
      <w:r w:rsidRPr="00923B1A">
        <w:rPr>
          <w:rFonts w:hint="cs"/>
          <w:color w:val="0000FF"/>
          <w:sz w:val="28"/>
          <w:szCs w:val="28"/>
          <w:rtl/>
        </w:rPr>
        <w:t>ولكن انظر ص 54 فيما يتعلق بعدم تقديم المدين التأمينات التي وعد بها</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عكس ذلك أوبري ورو 4 فقرة 303 ص 141</w:t>
      </w:r>
      <w:r>
        <w:rPr>
          <w:rFonts w:hint="cs"/>
          <w:color w:val="0000FF"/>
          <w:sz w:val="28"/>
          <w:szCs w:val="28"/>
          <w:rtl/>
        </w:rPr>
        <w:t xml:space="preserve"> .</w:t>
      </w:r>
    </w:p>
  </w:footnote>
  <w:footnote w:id="22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1015</w:t>
      </w:r>
      <w:r>
        <w:rPr>
          <w:rFonts w:hint="cs"/>
          <w:color w:val="0000FF"/>
          <w:sz w:val="28"/>
          <w:szCs w:val="28"/>
          <w:rtl/>
        </w:rPr>
        <w:t xml:space="preserve"> .</w:t>
      </w:r>
    </w:p>
  </w:footnote>
  <w:footnote w:id="22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1020</w:t>
      </w:r>
      <w:r>
        <w:rPr>
          <w:rFonts w:hint="cs"/>
          <w:color w:val="0000FF"/>
          <w:sz w:val="28"/>
          <w:szCs w:val="28"/>
          <w:rtl/>
        </w:rPr>
        <w:t xml:space="preserve"> .</w:t>
      </w:r>
    </w:p>
  </w:footnote>
  <w:footnote w:id="22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1148 من المشروع التمهيدي على وجه مقارب لما استقر عليه في التقنين المدنين الجديد</w:t>
      </w:r>
      <w:r>
        <w:rPr>
          <w:rFonts w:hint="cs"/>
          <w:color w:val="0000FF"/>
          <w:sz w:val="28"/>
          <w:szCs w:val="28"/>
          <w:rtl/>
        </w:rPr>
        <w:t xml:space="preserve"> .</w:t>
      </w:r>
      <w:r w:rsidRPr="00923B1A">
        <w:rPr>
          <w:rFonts w:hint="cs"/>
          <w:color w:val="0000FF"/>
          <w:sz w:val="28"/>
          <w:szCs w:val="28"/>
          <w:rtl/>
        </w:rPr>
        <w:t xml:space="preserve"> وأدخلت لجنة المراجعة بعض تعديلات لفظية على النص</w:t>
      </w:r>
      <w:r>
        <w:rPr>
          <w:rFonts w:hint="cs"/>
          <w:color w:val="0000FF"/>
          <w:sz w:val="28"/>
          <w:szCs w:val="28"/>
          <w:rtl/>
        </w:rPr>
        <w:t xml:space="preserve"> ،</w:t>
      </w:r>
      <w:r w:rsidRPr="00923B1A">
        <w:rPr>
          <w:rFonts w:hint="cs"/>
          <w:color w:val="0000FF"/>
          <w:sz w:val="28"/>
          <w:szCs w:val="28"/>
          <w:rtl/>
        </w:rPr>
        <w:t xml:space="preserve"> فصار مطابقا لما استقر عليه في التقنين المدني الجديد تحت رقم 860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859</w:t>
      </w:r>
      <w:r>
        <w:rPr>
          <w:rFonts w:hint="cs"/>
          <w:color w:val="0000FF"/>
          <w:sz w:val="28"/>
          <w:szCs w:val="28"/>
          <w:rtl/>
        </w:rPr>
        <w:t xml:space="preserve"> ،</w:t>
      </w:r>
      <w:r w:rsidRPr="00923B1A">
        <w:rPr>
          <w:rFonts w:hint="cs"/>
          <w:color w:val="0000FF"/>
          <w:sz w:val="28"/>
          <w:szCs w:val="28"/>
          <w:rtl/>
        </w:rPr>
        <w:t xml:space="preserve"> ثم مجلس الشيوخ تحت رقم 792 </w:t>
      </w:r>
      <w:r>
        <w:rPr>
          <w:rFonts w:hint="cs"/>
          <w:color w:val="0000FF"/>
          <w:sz w:val="28"/>
          <w:szCs w:val="28"/>
          <w:rtl/>
        </w:rPr>
        <w:t xml:space="preserve">( </w:t>
      </w:r>
      <w:r w:rsidRPr="00923B1A">
        <w:rPr>
          <w:rFonts w:hint="cs"/>
          <w:color w:val="0000FF"/>
          <w:sz w:val="28"/>
          <w:szCs w:val="28"/>
          <w:rtl/>
        </w:rPr>
        <w:t xml:space="preserve">مجموعة الأعمال التحضيرية 5 ص 512 </w:t>
      </w:r>
      <w:r w:rsidRPr="00923B1A">
        <w:rPr>
          <w:color w:val="0000FF"/>
          <w:sz w:val="28"/>
          <w:szCs w:val="28"/>
          <w:rtl/>
        </w:rPr>
        <w:t>–</w:t>
      </w:r>
      <w:r w:rsidRPr="00923B1A">
        <w:rPr>
          <w:rFonts w:hint="cs"/>
          <w:color w:val="0000FF"/>
          <w:sz w:val="28"/>
          <w:szCs w:val="28"/>
          <w:rtl/>
        </w:rPr>
        <w:t xml:space="preserve"> ص 523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وجاء في المذكرة الإيضاحية للمشروع التمهيدي</w:t>
      </w:r>
      <w:r>
        <w:rPr>
          <w:rFonts w:hint="cs"/>
          <w:color w:val="0000FF"/>
          <w:sz w:val="28"/>
          <w:szCs w:val="28"/>
          <w:rtl/>
        </w:rPr>
        <w:t xml:space="preserve"> :</w:t>
      </w:r>
      <w:r w:rsidRPr="00923B1A">
        <w:rPr>
          <w:rFonts w:hint="cs"/>
          <w:color w:val="0000FF"/>
          <w:sz w:val="28"/>
          <w:szCs w:val="28"/>
          <w:rtl/>
        </w:rPr>
        <w:t xml:space="preserve"> "استبدل </w:t>
      </w:r>
      <w:r>
        <w:rPr>
          <w:rFonts w:hint="cs"/>
          <w:color w:val="0000FF"/>
          <w:sz w:val="28"/>
          <w:szCs w:val="28"/>
          <w:rtl/>
        </w:rPr>
        <w:t xml:space="preserve">( </w:t>
      </w:r>
      <w:r w:rsidRPr="00923B1A">
        <w:rPr>
          <w:rFonts w:hint="cs"/>
          <w:color w:val="0000FF"/>
          <w:sz w:val="28"/>
          <w:szCs w:val="28"/>
          <w:rtl/>
        </w:rPr>
        <w:t>المشروع</w:t>
      </w:r>
      <w:r>
        <w:rPr>
          <w:rFonts w:hint="cs"/>
          <w:color w:val="0000FF"/>
          <w:sz w:val="28"/>
          <w:szCs w:val="28"/>
          <w:rtl/>
        </w:rPr>
        <w:t xml:space="preserve"> )</w:t>
      </w:r>
      <w:r w:rsidRPr="00923B1A">
        <w:rPr>
          <w:rFonts w:hint="cs"/>
          <w:color w:val="0000FF"/>
          <w:sz w:val="28"/>
          <w:szCs w:val="28"/>
          <w:rtl/>
        </w:rPr>
        <w:t xml:space="preserve"> المادة 1148 بالمادة 504/616 من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التي تعرض لمسألتين مختلفتين</w:t>
      </w:r>
      <w:r>
        <w:rPr>
          <w:rFonts w:hint="cs"/>
          <w:color w:val="0000FF"/>
          <w:sz w:val="28"/>
          <w:szCs w:val="28"/>
          <w:rtl/>
        </w:rPr>
        <w:t xml:space="preserve"> ،</w:t>
      </w:r>
      <w:r w:rsidRPr="00923B1A">
        <w:rPr>
          <w:rFonts w:hint="cs"/>
          <w:color w:val="0000FF"/>
          <w:sz w:val="28"/>
          <w:szCs w:val="28"/>
          <w:rtl/>
        </w:rPr>
        <w:t xml:space="preserve"> فهي تبين أولا مدى حق الدائن في الرجوع على الكفلاء إذا تعددوا أو ما يسمى بالتقسيم بين الكفلاء</w:t>
      </w:r>
      <w:r>
        <w:rPr>
          <w:rFonts w:hint="cs"/>
          <w:color w:val="0000FF"/>
          <w:sz w:val="28"/>
          <w:szCs w:val="28"/>
          <w:rtl/>
        </w:rPr>
        <w:t xml:space="preserve"> ،</w:t>
      </w:r>
      <w:r w:rsidRPr="00923B1A">
        <w:rPr>
          <w:rFonts w:hint="cs"/>
          <w:color w:val="0000FF"/>
          <w:sz w:val="28"/>
          <w:szCs w:val="28"/>
          <w:rtl/>
        </w:rPr>
        <w:t xml:space="preserve"> ومن ناحية أخرى تعرض للتضامن بين الكفلاء</w:t>
      </w:r>
      <w:r>
        <w:rPr>
          <w:rFonts w:hint="cs"/>
          <w:color w:val="0000FF"/>
          <w:sz w:val="28"/>
          <w:szCs w:val="28"/>
          <w:rtl/>
        </w:rPr>
        <w:t xml:space="preserve"> .</w:t>
      </w:r>
      <w:r w:rsidRPr="00923B1A">
        <w:rPr>
          <w:rFonts w:hint="cs"/>
          <w:color w:val="0000FF"/>
          <w:sz w:val="28"/>
          <w:szCs w:val="28"/>
          <w:rtl/>
        </w:rPr>
        <w:t xml:space="preserve"> وقد رأي المشروع من المناسب أن يبحث هنا مسألة التقسيم</w:t>
      </w:r>
      <w:r>
        <w:rPr>
          <w:rFonts w:hint="cs"/>
          <w:color w:val="0000FF"/>
          <w:sz w:val="28"/>
          <w:szCs w:val="28"/>
          <w:rtl/>
        </w:rPr>
        <w:t xml:space="preserve"> ،</w:t>
      </w:r>
      <w:r w:rsidRPr="00923B1A">
        <w:rPr>
          <w:rFonts w:hint="cs"/>
          <w:color w:val="0000FF"/>
          <w:sz w:val="28"/>
          <w:szCs w:val="28"/>
          <w:rtl/>
        </w:rPr>
        <w:t xml:space="preserve"> على أن يترك التضامن بين الكفلاء للنصوص الخاصة بالكفالة التضامنية على العموم</w:t>
      </w:r>
      <w:r>
        <w:rPr>
          <w:rFonts w:hint="cs"/>
          <w:color w:val="0000FF"/>
          <w:sz w:val="28"/>
          <w:szCs w:val="28"/>
          <w:rtl/>
        </w:rPr>
        <w:t xml:space="preserve"> .</w:t>
      </w:r>
      <w:r w:rsidRPr="00923B1A">
        <w:rPr>
          <w:rFonts w:hint="cs"/>
          <w:color w:val="0000FF"/>
          <w:sz w:val="28"/>
          <w:szCs w:val="28"/>
          <w:rtl/>
        </w:rPr>
        <w:t xml:space="preserve"> وفما عدا ذلك</w:t>
      </w:r>
      <w:r>
        <w:rPr>
          <w:rFonts w:hint="cs"/>
          <w:color w:val="0000FF"/>
          <w:sz w:val="28"/>
          <w:szCs w:val="28"/>
          <w:rtl/>
        </w:rPr>
        <w:t xml:space="preserve"> ،</w:t>
      </w:r>
      <w:r w:rsidRPr="00923B1A">
        <w:rPr>
          <w:rFonts w:hint="cs"/>
          <w:color w:val="0000FF"/>
          <w:sz w:val="28"/>
          <w:szCs w:val="28"/>
          <w:rtl/>
        </w:rPr>
        <w:t xml:space="preserve"> فالحكم للوارد بالمادة 1148 هو بعينه المقرر في التقنين الحالي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مجموعة الأعمال التحضيرية 5 ص 514 </w:t>
      </w:r>
      <w:r w:rsidRPr="00923B1A">
        <w:rPr>
          <w:color w:val="0000FF"/>
          <w:sz w:val="28"/>
          <w:szCs w:val="28"/>
          <w:rtl/>
        </w:rPr>
        <w:t>–</w:t>
      </w:r>
      <w:r w:rsidRPr="00923B1A">
        <w:rPr>
          <w:rFonts w:hint="cs"/>
          <w:color w:val="0000FF"/>
          <w:sz w:val="28"/>
          <w:szCs w:val="28"/>
          <w:rtl/>
        </w:rPr>
        <w:t xml:space="preserve"> ص 517</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ويقابل النص في التقنين المدني السابق المادة 504/615 </w:t>
      </w:r>
      <w:r w:rsidRPr="00923B1A">
        <w:rPr>
          <w:color w:val="0000FF"/>
          <w:sz w:val="28"/>
          <w:szCs w:val="28"/>
          <w:rtl/>
        </w:rPr>
        <w:t>–</w:t>
      </w:r>
      <w:r w:rsidRPr="00923B1A">
        <w:rPr>
          <w:rFonts w:hint="cs"/>
          <w:color w:val="0000FF"/>
          <w:sz w:val="28"/>
          <w:szCs w:val="28"/>
          <w:rtl/>
        </w:rPr>
        <w:t xml:space="preserve"> 616</w:t>
      </w:r>
      <w:r>
        <w:rPr>
          <w:rFonts w:hint="cs"/>
          <w:color w:val="0000FF"/>
          <w:sz w:val="28"/>
          <w:szCs w:val="28"/>
          <w:rtl/>
        </w:rPr>
        <w:t xml:space="preserve"> :</w:t>
      </w:r>
      <w:r w:rsidRPr="00923B1A">
        <w:rPr>
          <w:rFonts w:hint="cs"/>
          <w:color w:val="0000FF"/>
          <w:sz w:val="28"/>
          <w:szCs w:val="28"/>
          <w:rtl/>
        </w:rPr>
        <w:t xml:space="preserve"> في حالة تعدد الكفلاء لدين واحد بعقد واحد بغير شرط التضامن</w:t>
      </w:r>
      <w:r>
        <w:rPr>
          <w:rFonts w:hint="cs"/>
          <w:color w:val="0000FF"/>
          <w:sz w:val="28"/>
          <w:szCs w:val="28"/>
          <w:rtl/>
        </w:rPr>
        <w:t xml:space="preserve"> ،</w:t>
      </w:r>
      <w:r w:rsidRPr="00923B1A">
        <w:rPr>
          <w:rFonts w:hint="cs"/>
          <w:color w:val="0000FF"/>
          <w:sz w:val="28"/>
          <w:szCs w:val="28"/>
          <w:rtl/>
        </w:rPr>
        <w:t xml:space="preserve"> لا يجوز لرب الدين إلا مطالبة كل منهم بقدر حصته في الكفالة</w:t>
      </w:r>
      <w:r>
        <w:rPr>
          <w:rFonts w:hint="cs"/>
          <w:color w:val="0000FF"/>
          <w:sz w:val="28"/>
          <w:szCs w:val="28"/>
          <w:rtl/>
        </w:rPr>
        <w:t xml:space="preserve"> .</w:t>
      </w:r>
      <w:r w:rsidRPr="00923B1A">
        <w:rPr>
          <w:rFonts w:hint="cs"/>
          <w:color w:val="0000FF"/>
          <w:sz w:val="28"/>
          <w:szCs w:val="28"/>
          <w:rtl/>
        </w:rPr>
        <w:t xml:space="preserve"> وأما إذا كانت الكفالة حاصلة بعدة عقود متوالية</w:t>
      </w:r>
      <w:r>
        <w:rPr>
          <w:rFonts w:hint="cs"/>
          <w:color w:val="0000FF"/>
          <w:sz w:val="28"/>
          <w:szCs w:val="28"/>
          <w:rtl/>
        </w:rPr>
        <w:t xml:space="preserve"> ،</w:t>
      </w:r>
      <w:r w:rsidRPr="00923B1A">
        <w:rPr>
          <w:rFonts w:hint="cs"/>
          <w:color w:val="0000FF"/>
          <w:sz w:val="28"/>
          <w:szCs w:val="28"/>
          <w:rtl/>
        </w:rPr>
        <w:t xml:space="preserve"> فهذا لا يدل على تضامن الكفلاء</w:t>
      </w:r>
      <w:r>
        <w:rPr>
          <w:rFonts w:hint="cs"/>
          <w:color w:val="0000FF"/>
          <w:sz w:val="28"/>
          <w:szCs w:val="28"/>
          <w:rtl/>
        </w:rPr>
        <w:t xml:space="preserve"> ،</w:t>
      </w:r>
      <w:r w:rsidRPr="00923B1A">
        <w:rPr>
          <w:rFonts w:hint="cs"/>
          <w:color w:val="0000FF"/>
          <w:sz w:val="28"/>
          <w:szCs w:val="28"/>
          <w:rtl/>
        </w:rPr>
        <w:t xml:space="preserve"> ولكن قد يتضح التضامن من قرائن الأحوال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1024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1075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footnote>
  <w:footnote w:id="22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36</w:t>
      </w:r>
      <w:r>
        <w:rPr>
          <w:rFonts w:hint="cs"/>
          <w:color w:val="0000FF"/>
          <w:sz w:val="28"/>
          <w:szCs w:val="28"/>
          <w:rtl/>
        </w:rPr>
        <w:t xml:space="preserve"> .</w:t>
      </w:r>
    </w:p>
  </w:footnote>
  <w:footnote w:id="22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 792/ مدني سالف الذكر</w:t>
      </w:r>
      <w:r>
        <w:rPr>
          <w:rFonts w:hint="cs"/>
          <w:color w:val="0000FF"/>
          <w:sz w:val="28"/>
          <w:szCs w:val="28"/>
          <w:rtl/>
        </w:rPr>
        <w:t xml:space="preserve"> :</w:t>
      </w:r>
      <w:r w:rsidRPr="00923B1A">
        <w:rPr>
          <w:rFonts w:hint="cs"/>
          <w:color w:val="0000FF"/>
          <w:sz w:val="28"/>
          <w:szCs w:val="28"/>
          <w:rtl/>
        </w:rPr>
        <w:t xml:space="preserve"> آنفاً فقرة 40</w:t>
      </w:r>
      <w:r>
        <w:rPr>
          <w:rFonts w:hint="cs"/>
          <w:color w:val="0000FF"/>
          <w:sz w:val="28"/>
          <w:szCs w:val="28"/>
          <w:rtl/>
        </w:rPr>
        <w:t xml:space="preserve"> .</w:t>
      </w:r>
    </w:p>
  </w:footnote>
  <w:footnote w:id="22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هذا المعنى بلانيول وريبير وسافاتييه فقرة 1537 </w:t>
      </w:r>
      <w:r w:rsidRPr="00923B1A">
        <w:rPr>
          <w:color w:val="0000FF"/>
          <w:sz w:val="28"/>
          <w:szCs w:val="28"/>
          <w:rtl/>
        </w:rPr>
        <w:t>–</w:t>
      </w:r>
      <w:r w:rsidRPr="00923B1A">
        <w:rPr>
          <w:rFonts w:hint="cs"/>
          <w:color w:val="0000FF"/>
          <w:sz w:val="28"/>
          <w:szCs w:val="28"/>
          <w:rtl/>
        </w:rPr>
        <w:t xml:space="preserve"> منصور مصطفى منصور فقرة 31 ص 60 </w:t>
      </w:r>
      <w:r w:rsidRPr="00923B1A">
        <w:rPr>
          <w:color w:val="0000FF"/>
          <w:sz w:val="28"/>
          <w:szCs w:val="28"/>
          <w:rtl/>
        </w:rPr>
        <w:t>–</w:t>
      </w:r>
      <w:r w:rsidRPr="00923B1A">
        <w:rPr>
          <w:rFonts w:hint="cs"/>
          <w:color w:val="0000FF"/>
          <w:sz w:val="28"/>
          <w:szCs w:val="28"/>
          <w:rtl/>
        </w:rPr>
        <w:t xml:space="preserve"> وانظر عكس ذلك وأن الدين ينقسم على الكفيل الشخصي والكفيل العيني محمد علي إمام فقرة 68 ص 113 </w:t>
      </w:r>
      <w:r w:rsidRPr="00923B1A">
        <w:rPr>
          <w:color w:val="0000FF"/>
          <w:sz w:val="28"/>
          <w:szCs w:val="28"/>
          <w:rtl/>
        </w:rPr>
        <w:t>–</w:t>
      </w:r>
      <w:r w:rsidRPr="00923B1A">
        <w:rPr>
          <w:rFonts w:hint="cs"/>
          <w:color w:val="0000FF"/>
          <w:sz w:val="28"/>
          <w:szCs w:val="28"/>
          <w:rtl/>
        </w:rPr>
        <w:t xml:space="preserve"> سليمان مرقس فقرة 93 ص 107</w:t>
      </w:r>
      <w:r>
        <w:rPr>
          <w:rFonts w:hint="cs"/>
          <w:color w:val="0000FF"/>
          <w:sz w:val="28"/>
          <w:szCs w:val="28"/>
          <w:rtl/>
        </w:rPr>
        <w:t xml:space="preserve"> .</w:t>
      </w:r>
    </w:p>
  </w:footnote>
  <w:footnote w:id="23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31 ص 60 ص 61</w:t>
      </w:r>
      <w:r>
        <w:rPr>
          <w:rFonts w:hint="cs"/>
          <w:color w:val="0000FF"/>
          <w:sz w:val="28"/>
          <w:szCs w:val="28"/>
          <w:rtl/>
        </w:rPr>
        <w:t xml:space="preserve"> .</w:t>
      </w:r>
    </w:p>
  </w:footnote>
  <w:footnote w:id="23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وإذا أعسر أحدهما تحم اللدائن حصة الذي يعسر</w:t>
      </w:r>
      <w:r>
        <w:rPr>
          <w:rFonts w:hint="cs"/>
          <w:color w:val="0000FF"/>
          <w:sz w:val="28"/>
          <w:szCs w:val="28"/>
          <w:rtl/>
        </w:rPr>
        <w:t xml:space="preserve"> .</w:t>
      </w:r>
      <w:r w:rsidRPr="00923B1A">
        <w:rPr>
          <w:rFonts w:hint="cs"/>
          <w:color w:val="0000FF"/>
          <w:sz w:val="28"/>
          <w:szCs w:val="28"/>
          <w:rtl/>
        </w:rPr>
        <w:t xml:space="preserve"> فعلى الدائن إذن أن يستوثق من درجة يسار الكفلاء المتعددين</w:t>
      </w:r>
      <w:r>
        <w:rPr>
          <w:rFonts w:hint="cs"/>
          <w:color w:val="0000FF"/>
          <w:sz w:val="28"/>
          <w:szCs w:val="28"/>
          <w:rtl/>
        </w:rPr>
        <w:t xml:space="preserve"> ،</w:t>
      </w:r>
      <w:r w:rsidRPr="00923B1A">
        <w:rPr>
          <w:rFonts w:hint="cs"/>
          <w:color w:val="0000FF"/>
          <w:sz w:val="28"/>
          <w:szCs w:val="28"/>
          <w:rtl/>
        </w:rPr>
        <w:t xml:space="preserve"> أو أن يطلب منهم مقدما النزول عن حق التقسيم</w:t>
      </w:r>
      <w:r>
        <w:rPr>
          <w:rFonts w:hint="cs"/>
          <w:color w:val="0000FF"/>
          <w:sz w:val="28"/>
          <w:szCs w:val="28"/>
          <w:rtl/>
        </w:rPr>
        <w:t xml:space="preserve"> ،</w:t>
      </w:r>
      <w:r w:rsidRPr="00923B1A">
        <w:rPr>
          <w:rFonts w:hint="cs"/>
          <w:color w:val="0000FF"/>
          <w:sz w:val="28"/>
          <w:szCs w:val="28"/>
          <w:rtl/>
        </w:rPr>
        <w:t xml:space="preserve"> أو أن يشترط تضامنهم </w:t>
      </w:r>
      <w:r>
        <w:rPr>
          <w:rFonts w:hint="cs"/>
          <w:color w:val="0000FF"/>
          <w:sz w:val="28"/>
          <w:szCs w:val="28"/>
          <w:rtl/>
        </w:rPr>
        <w:t xml:space="preserve">( </w:t>
      </w:r>
      <w:r w:rsidRPr="00923B1A">
        <w:rPr>
          <w:rFonts w:hint="cs"/>
          <w:color w:val="0000FF"/>
          <w:sz w:val="28"/>
          <w:szCs w:val="28"/>
          <w:rtl/>
        </w:rPr>
        <w:t xml:space="preserve">محمد كامل مرسي فقرة 96 جرانمولان فقرة 53 </w:t>
      </w:r>
      <w:r w:rsidRPr="00923B1A">
        <w:rPr>
          <w:color w:val="0000FF"/>
          <w:sz w:val="28"/>
          <w:szCs w:val="28"/>
          <w:rtl/>
        </w:rPr>
        <w:t>–</w:t>
      </w:r>
      <w:r w:rsidRPr="00923B1A">
        <w:rPr>
          <w:rFonts w:hint="cs"/>
          <w:color w:val="0000FF"/>
          <w:sz w:val="28"/>
          <w:szCs w:val="28"/>
          <w:rtl/>
        </w:rPr>
        <w:t xml:space="preserve"> هالتون 1 ص 216</w:t>
      </w:r>
      <w:r>
        <w:rPr>
          <w:rFonts w:hint="cs"/>
          <w:color w:val="0000FF"/>
          <w:sz w:val="28"/>
          <w:szCs w:val="28"/>
          <w:rtl/>
        </w:rPr>
        <w:t xml:space="preserve"> ) .</w:t>
      </w:r>
    </w:p>
  </w:footnote>
  <w:footnote w:id="23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هذا المعنى وأن تضامن أحد الكفلاء مع المدين يحرمه من حق التقسيم</w:t>
      </w:r>
      <w:r>
        <w:rPr>
          <w:rFonts w:hint="cs"/>
          <w:color w:val="0000FF"/>
          <w:sz w:val="28"/>
          <w:szCs w:val="28"/>
          <w:rtl/>
        </w:rPr>
        <w:t xml:space="preserve"> ،</w:t>
      </w:r>
      <w:r w:rsidRPr="00923B1A">
        <w:rPr>
          <w:rFonts w:hint="cs"/>
          <w:color w:val="0000FF"/>
          <w:sz w:val="28"/>
          <w:szCs w:val="28"/>
          <w:rtl/>
        </w:rPr>
        <w:t xml:space="preserve"> لا فحسب من حق التجريد</w:t>
      </w:r>
      <w:r>
        <w:rPr>
          <w:rFonts w:hint="cs"/>
          <w:color w:val="0000FF"/>
          <w:sz w:val="28"/>
          <w:szCs w:val="28"/>
          <w:rtl/>
        </w:rPr>
        <w:t xml:space="preserve"> ،</w:t>
      </w:r>
      <w:r w:rsidRPr="00923B1A">
        <w:rPr>
          <w:rFonts w:hint="cs"/>
          <w:color w:val="0000FF"/>
          <w:sz w:val="28"/>
          <w:szCs w:val="28"/>
          <w:rtl/>
        </w:rPr>
        <w:t xml:space="preserve"> عبد الفتاح عبد الباقي فقرة 82 </w:t>
      </w:r>
      <w:r w:rsidRPr="00923B1A">
        <w:rPr>
          <w:color w:val="0000FF"/>
          <w:sz w:val="28"/>
          <w:szCs w:val="28"/>
          <w:rtl/>
        </w:rPr>
        <w:t>–</w:t>
      </w:r>
      <w:r w:rsidRPr="00923B1A">
        <w:rPr>
          <w:rFonts w:hint="cs"/>
          <w:color w:val="0000FF"/>
          <w:sz w:val="28"/>
          <w:szCs w:val="28"/>
          <w:rtl/>
        </w:rPr>
        <w:t xml:space="preserve"> سليمان مرقس فقرة 97 ص 111</w:t>
      </w:r>
      <w:r>
        <w:rPr>
          <w:rFonts w:hint="cs"/>
          <w:color w:val="0000FF"/>
          <w:sz w:val="28"/>
          <w:szCs w:val="28"/>
          <w:rtl/>
        </w:rPr>
        <w:t xml:space="preserve"> ،</w:t>
      </w:r>
      <w:r w:rsidRPr="00923B1A">
        <w:rPr>
          <w:rFonts w:hint="cs"/>
          <w:color w:val="0000FF"/>
          <w:sz w:val="28"/>
          <w:szCs w:val="28"/>
          <w:rtl/>
        </w:rPr>
        <w:t xml:space="preserve"> وانظر ما يلي فقرة 54- وانظر عكس ذلك وأن الكفيل المتضامن مع المدين دون أن يكون متضامناً مع الكفيل الآخر لا يحرم من حق التقسيم محمد علي إمام فقرة 68</w:t>
      </w:r>
      <w:r>
        <w:rPr>
          <w:rFonts w:hint="cs"/>
          <w:color w:val="0000FF"/>
          <w:sz w:val="28"/>
          <w:szCs w:val="28"/>
          <w:rtl/>
        </w:rPr>
        <w:t xml:space="preserve"> .</w:t>
      </w:r>
    </w:p>
  </w:footnote>
  <w:footnote w:id="23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في القانون الفرنسي</w:t>
      </w:r>
      <w:r>
        <w:rPr>
          <w:rFonts w:hint="cs"/>
          <w:color w:val="0000FF"/>
          <w:sz w:val="28"/>
          <w:szCs w:val="28"/>
          <w:rtl/>
        </w:rPr>
        <w:t xml:space="preserve"> ،</w:t>
      </w:r>
      <w:r w:rsidRPr="00923B1A">
        <w:rPr>
          <w:rFonts w:hint="cs"/>
          <w:color w:val="0000FF"/>
          <w:sz w:val="28"/>
          <w:szCs w:val="28"/>
          <w:rtl/>
        </w:rPr>
        <w:t xml:space="preserve"> فيجب على الكفيل أن يدفع بحق التقسيم فينقسم الدين من وقت مقاضاته</w:t>
      </w:r>
      <w:r>
        <w:rPr>
          <w:rFonts w:hint="cs"/>
          <w:color w:val="0000FF"/>
          <w:sz w:val="28"/>
          <w:szCs w:val="28"/>
          <w:rtl/>
        </w:rPr>
        <w:t xml:space="preserve"> ،</w:t>
      </w:r>
      <w:r w:rsidRPr="00923B1A">
        <w:rPr>
          <w:rFonts w:hint="cs"/>
          <w:color w:val="0000FF"/>
          <w:sz w:val="28"/>
          <w:szCs w:val="28"/>
          <w:rtl/>
        </w:rPr>
        <w:t xml:space="preserve"> ولا ينقسم الدين من تلقاء نفسه على الكفلاء المتعددين كما في القانون المصري فيما رأينا</w:t>
      </w:r>
      <w:r>
        <w:rPr>
          <w:rFonts w:hint="cs"/>
          <w:color w:val="0000FF"/>
          <w:sz w:val="28"/>
          <w:szCs w:val="28"/>
          <w:rtl/>
        </w:rPr>
        <w:t xml:space="preserve"> .</w:t>
      </w:r>
      <w:r w:rsidRPr="00923B1A">
        <w:rPr>
          <w:rFonts w:hint="cs"/>
          <w:color w:val="0000FF"/>
          <w:sz w:val="28"/>
          <w:szCs w:val="28"/>
          <w:rtl/>
        </w:rPr>
        <w:t xml:space="preserve"> ويرجع ذلك</w:t>
      </w:r>
      <w:r>
        <w:rPr>
          <w:rFonts w:hint="cs"/>
          <w:color w:val="0000FF"/>
          <w:sz w:val="28"/>
          <w:szCs w:val="28"/>
          <w:rtl/>
        </w:rPr>
        <w:t xml:space="preserve"> ،</w:t>
      </w:r>
      <w:r w:rsidRPr="00923B1A">
        <w:rPr>
          <w:rFonts w:hint="cs"/>
          <w:color w:val="0000FF"/>
          <w:sz w:val="28"/>
          <w:szCs w:val="28"/>
          <w:rtl/>
        </w:rPr>
        <w:t xml:space="preserve"> في القانون الفرنسي</w:t>
      </w:r>
      <w:r>
        <w:rPr>
          <w:rFonts w:hint="cs"/>
          <w:color w:val="0000FF"/>
          <w:sz w:val="28"/>
          <w:szCs w:val="28"/>
          <w:rtl/>
        </w:rPr>
        <w:t xml:space="preserve"> ،</w:t>
      </w:r>
      <w:r w:rsidRPr="00923B1A">
        <w:rPr>
          <w:rFonts w:hint="cs"/>
          <w:color w:val="0000FF"/>
          <w:sz w:val="28"/>
          <w:szCs w:val="28"/>
          <w:rtl/>
        </w:rPr>
        <w:t xml:space="preserve"> إلى اثر القانون الروماني الذي بدأ فيه الكفلاء أن يكونوا متضامنين مع المدين</w:t>
      </w:r>
      <w:r>
        <w:rPr>
          <w:rFonts w:hint="cs"/>
          <w:color w:val="0000FF"/>
          <w:sz w:val="28"/>
          <w:szCs w:val="28"/>
          <w:rtl/>
        </w:rPr>
        <w:t xml:space="preserve"> ،</w:t>
      </w:r>
      <w:r w:rsidRPr="00923B1A">
        <w:rPr>
          <w:rFonts w:hint="cs"/>
          <w:color w:val="0000FF"/>
          <w:sz w:val="28"/>
          <w:szCs w:val="28"/>
          <w:rtl/>
        </w:rPr>
        <w:t xml:space="preserve"> كما يرجع إلى التقاليد</w:t>
      </w:r>
      <w:r>
        <w:rPr>
          <w:rFonts w:hint="cs"/>
          <w:color w:val="0000FF"/>
          <w:sz w:val="28"/>
          <w:szCs w:val="28"/>
          <w:rtl/>
        </w:rPr>
        <w:t xml:space="preserve"> .</w:t>
      </w:r>
      <w:r w:rsidRPr="00923B1A">
        <w:rPr>
          <w:rFonts w:hint="cs"/>
          <w:color w:val="0000FF"/>
          <w:sz w:val="28"/>
          <w:szCs w:val="28"/>
          <w:rtl/>
        </w:rPr>
        <w:t xml:space="preserve"> انظر بلانيول وريبير وبولانجيه 2 فقرة 1941 </w:t>
      </w:r>
      <w:r w:rsidRPr="00923B1A">
        <w:rPr>
          <w:color w:val="0000FF"/>
          <w:sz w:val="28"/>
          <w:szCs w:val="28"/>
          <w:rtl/>
        </w:rPr>
        <w:t>–</w:t>
      </w:r>
      <w:r w:rsidRPr="00923B1A">
        <w:rPr>
          <w:rFonts w:hint="cs"/>
          <w:color w:val="0000FF"/>
          <w:sz w:val="28"/>
          <w:szCs w:val="28"/>
          <w:rtl/>
        </w:rPr>
        <w:t xml:space="preserve"> فقرة 1943 وفقرة 1945</w:t>
      </w:r>
      <w:r>
        <w:rPr>
          <w:rFonts w:hint="cs"/>
          <w:color w:val="0000FF"/>
          <w:sz w:val="28"/>
          <w:szCs w:val="28"/>
          <w:rtl/>
        </w:rPr>
        <w:t xml:space="preserve"> .</w:t>
      </w:r>
    </w:p>
  </w:footnote>
  <w:footnote w:id="23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176 ص 285 وما بعدها</w:t>
      </w:r>
      <w:r>
        <w:rPr>
          <w:rFonts w:hint="cs"/>
          <w:color w:val="0000FF"/>
          <w:sz w:val="28"/>
          <w:szCs w:val="28"/>
          <w:rtl/>
        </w:rPr>
        <w:t xml:space="preserve"> .</w:t>
      </w:r>
    </w:p>
  </w:footnote>
  <w:footnote w:id="23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ولا يقبل إثبات العكس هنا</w:t>
      </w:r>
      <w:r>
        <w:rPr>
          <w:rFonts w:hint="cs"/>
          <w:color w:val="0000FF"/>
          <w:sz w:val="28"/>
          <w:szCs w:val="28"/>
          <w:rtl/>
        </w:rPr>
        <w:t xml:space="preserve"> ،</w:t>
      </w:r>
      <w:r w:rsidRPr="00923B1A">
        <w:rPr>
          <w:rFonts w:hint="cs"/>
          <w:color w:val="0000FF"/>
          <w:sz w:val="28"/>
          <w:szCs w:val="28"/>
          <w:rtl/>
        </w:rPr>
        <w:t xml:space="preserve"> أي لا يقبل إثبات أن الكفيل احتفظ لنفسه بحق التقسيم</w:t>
      </w:r>
      <w:r>
        <w:rPr>
          <w:rFonts w:hint="cs"/>
          <w:color w:val="0000FF"/>
          <w:sz w:val="28"/>
          <w:szCs w:val="28"/>
          <w:rtl/>
        </w:rPr>
        <w:t xml:space="preserve"> ،</w:t>
      </w:r>
      <w:r w:rsidRPr="00923B1A">
        <w:rPr>
          <w:rFonts w:hint="cs"/>
          <w:color w:val="0000FF"/>
          <w:sz w:val="28"/>
          <w:szCs w:val="28"/>
          <w:rtl/>
        </w:rPr>
        <w:t xml:space="preserve"> إلا بالكتابة أو بما يقوم مقامها</w:t>
      </w:r>
      <w:r>
        <w:rPr>
          <w:rFonts w:hint="cs"/>
          <w:color w:val="0000FF"/>
          <w:sz w:val="28"/>
          <w:szCs w:val="28"/>
          <w:rtl/>
        </w:rPr>
        <w:t xml:space="preserve"> ،</w:t>
      </w:r>
      <w:r w:rsidRPr="00923B1A">
        <w:rPr>
          <w:rFonts w:hint="cs"/>
          <w:color w:val="0000FF"/>
          <w:sz w:val="28"/>
          <w:szCs w:val="28"/>
          <w:rtl/>
        </w:rPr>
        <w:t xml:space="preserve"> شأن عقد الكفالة لا يجوز إثباته إلا بالكتابة وبما يقوم مقامها </w:t>
      </w:r>
      <w:r>
        <w:rPr>
          <w:rFonts w:hint="cs"/>
          <w:color w:val="0000FF"/>
          <w:sz w:val="28"/>
          <w:szCs w:val="28"/>
          <w:rtl/>
        </w:rPr>
        <w:t xml:space="preserve">( </w:t>
      </w:r>
      <w:r w:rsidRPr="00923B1A">
        <w:rPr>
          <w:rFonts w:hint="cs"/>
          <w:color w:val="0000FF"/>
          <w:sz w:val="28"/>
          <w:szCs w:val="28"/>
          <w:rtl/>
        </w:rPr>
        <w:t>سليمان مرقس فقرة 98 ص 113</w:t>
      </w:r>
      <w:r>
        <w:rPr>
          <w:rFonts w:hint="cs"/>
          <w:color w:val="0000FF"/>
          <w:sz w:val="28"/>
          <w:szCs w:val="28"/>
          <w:rtl/>
        </w:rPr>
        <w:t xml:space="preserve"> ) .</w:t>
      </w:r>
    </w:p>
  </w:footnote>
  <w:footnote w:id="23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39 فقرة 42</w:t>
      </w:r>
      <w:r>
        <w:rPr>
          <w:rFonts w:hint="cs"/>
          <w:color w:val="0000FF"/>
          <w:sz w:val="28"/>
          <w:szCs w:val="28"/>
          <w:rtl/>
        </w:rPr>
        <w:t xml:space="preserve"> .</w:t>
      </w:r>
    </w:p>
  </w:footnote>
  <w:footnote w:id="23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تأثير القانون الفرنسي</w:t>
      </w:r>
      <w:r>
        <w:rPr>
          <w:rFonts w:hint="cs"/>
          <w:color w:val="0000FF"/>
          <w:sz w:val="28"/>
          <w:szCs w:val="28"/>
          <w:rtl/>
        </w:rPr>
        <w:t xml:space="preserve"> ،</w:t>
      </w:r>
      <w:r w:rsidRPr="00923B1A">
        <w:rPr>
          <w:rFonts w:hint="cs"/>
          <w:color w:val="0000FF"/>
          <w:sz w:val="28"/>
          <w:szCs w:val="28"/>
          <w:rtl/>
        </w:rPr>
        <w:t xml:space="preserve"> لا في حق التقسيم فحسب</w:t>
      </w:r>
      <w:r>
        <w:rPr>
          <w:rFonts w:hint="cs"/>
          <w:color w:val="0000FF"/>
          <w:sz w:val="28"/>
          <w:szCs w:val="28"/>
          <w:rtl/>
        </w:rPr>
        <w:t xml:space="preserve"> ،</w:t>
      </w:r>
      <w:r w:rsidRPr="00923B1A">
        <w:rPr>
          <w:rFonts w:hint="cs"/>
          <w:color w:val="0000FF"/>
          <w:sz w:val="28"/>
          <w:szCs w:val="28"/>
          <w:rtl/>
        </w:rPr>
        <w:t xml:space="preserve"> بل أيضاً هو والقانون المصرين في وجوب رجوع الدائن الأول على المدين وفي حق التجريد بالقانون الروماني وإجراءاته الشكلية</w:t>
      </w:r>
      <w:r>
        <w:rPr>
          <w:rFonts w:hint="cs"/>
          <w:color w:val="0000FF"/>
          <w:sz w:val="28"/>
          <w:szCs w:val="28"/>
          <w:rtl/>
        </w:rPr>
        <w:t xml:space="preserve"> :</w:t>
      </w:r>
      <w:r w:rsidRPr="00923B1A">
        <w:rPr>
          <w:rFonts w:hint="cs"/>
          <w:color w:val="0000FF"/>
          <w:sz w:val="28"/>
          <w:szCs w:val="28"/>
          <w:rtl/>
        </w:rPr>
        <w:t xml:space="preserve"> كولان وكابيتان 2 فقرة 1401 ص 895</w:t>
      </w:r>
      <w:r>
        <w:rPr>
          <w:rFonts w:hint="cs"/>
          <w:color w:val="0000FF"/>
          <w:sz w:val="28"/>
          <w:szCs w:val="28"/>
          <w:rtl/>
        </w:rPr>
        <w:t xml:space="preserve"> .</w:t>
      </w:r>
    </w:p>
  </w:footnote>
  <w:footnote w:id="23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1144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"لا يجبر الكفيل على الوفاء للدائن إلا إذا لم يوفه المدين</w:t>
      </w:r>
      <w:r>
        <w:rPr>
          <w:rFonts w:hint="cs"/>
          <w:color w:val="0000FF"/>
          <w:sz w:val="28"/>
          <w:szCs w:val="28"/>
          <w:rtl/>
        </w:rPr>
        <w:t xml:space="preserve"> .</w:t>
      </w:r>
      <w:r w:rsidRPr="00923B1A">
        <w:rPr>
          <w:rFonts w:hint="cs"/>
          <w:color w:val="0000FF"/>
          <w:sz w:val="28"/>
          <w:szCs w:val="28"/>
          <w:rtl/>
        </w:rPr>
        <w:t xml:space="preserve"> ويجب أن يرجع الدائن أولا على المدين</w:t>
      </w:r>
      <w:r>
        <w:rPr>
          <w:rFonts w:hint="cs"/>
          <w:color w:val="0000FF"/>
          <w:sz w:val="28"/>
          <w:szCs w:val="28"/>
          <w:rtl/>
        </w:rPr>
        <w:t xml:space="preserve"> ،</w:t>
      </w:r>
      <w:r w:rsidRPr="00923B1A">
        <w:rPr>
          <w:rFonts w:hint="cs"/>
          <w:color w:val="0000FF"/>
          <w:sz w:val="28"/>
          <w:szCs w:val="28"/>
          <w:rtl/>
        </w:rPr>
        <w:t xml:space="preserve"> إلا إذا تنازل الكفيل عن حق التجريد أو التزام متضامناً مع المدين</w:t>
      </w:r>
      <w:r>
        <w:rPr>
          <w:rFonts w:hint="cs"/>
          <w:color w:val="0000FF"/>
          <w:sz w:val="28"/>
          <w:szCs w:val="28"/>
          <w:rtl/>
        </w:rPr>
        <w:t xml:space="preserve"> ،</w:t>
      </w:r>
      <w:r w:rsidRPr="00923B1A">
        <w:rPr>
          <w:rFonts w:hint="cs"/>
          <w:color w:val="0000FF"/>
          <w:sz w:val="28"/>
          <w:szCs w:val="28"/>
          <w:rtl/>
        </w:rPr>
        <w:t xml:space="preserve"> فيخضع التزامه في هذه الحالة للقواعد الخاصة بالتضامن"</w:t>
      </w:r>
      <w:r>
        <w:rPr>
          <w:rFonts w:hint="cs"/>
          <w:color w:val="0000FF"/>
          <w:sz w:val="28"/>
          <w:szCs w:val="28"/>
          <w:rtl/>
        </w:rPr>
        <w:t xml:space="preserve"> .</w:t>
      </w:r>
      <w:r w:rsidRPr="00923B1A">
        <w:rPr>
          <w:rFonts w:hint="cs"/>
          <w:color w:val="0000FF"/>
          <w:sz w:val="28"/>
          <w:szCs w:val="28"/>
          <w:rtl/>
        </w:rPr>
        <w:t xml:space="preserve"> وفي لجنة المراجعة تقرر أن يكون النص من شقين</w:t>
      </w:r>
      <w:r>
        <w:rPr>
          <w:rFonts w:hint="cs"/>
          <w:color w:val="0000FF"/>
          <w:sz w:val="28"/>
          <w:szCs w:val="28"/>
          <w:rtl/>
        </w:rPr>
        <w:t xml:space="preserve"> ،</w:t>
      </w:r>
      <w:r w:rsidRPr="00923B1A">
        <w:rPr>
          <w:rFonts w:hint="cs"/>
          <w:color w:val="0000FF"/>
          <w:sz w:val="28"/>
          <w:szCs w:val="28"/>
          <w:rtl/>
        </w:rPr>
        <w:t xml:space="preserve"> الأول يتناول الرجوع والثاني يتناول التنفيذ</w:t>
      </w:r>
      <w:r>
        <w:rPr>
          <w:rFonts w:hint="cs"/>
          <w:color w:val="0000FF"/>
          <w:sz w:val="28"/>
          <w:szCs w:val="28"/>
          <w:rtl/>
        </w:rPr>
        <w:t xml:space="preserve"> ،</w:t>
      </w:r>
      <w:r w:rsidRPr="00923B1A">
        <w:rPr>
          <w:rFonts w:hint="cs"/>
          <w:color w:val="0000FF"/>
          <w:sz w:val="28"/>
          <w:szCs w:val="28"/>
          <w:rtl/>
        </w:rPr>
        <w:t xml:space="preserve"> لأن نص المشروع يخلط بينهما خلطا تتدخل فيه أحكام الأمرين</w:t>
      </w:r>
      <w:r>
        <w:rPr>
          <w:rFonts w:hint="cs"/>
          <w:color w:val="0000FF"/>
          <w:sz w:val="28"/>
          <w:szCs w:val="28"/>
          <w:rtl/>
        </w:rPr>
        <w:t xml:space="preserve"> .</w:t>
      </w:r>
      <w:r w:rsidRPr="00923B1A">
        <w:rPr>
          <w:rFonts w:hint="cs"/>
          <w:color w:val="0000FF"/>
          <w:sz w:val="28"/>
          <w:szCs w:val="28"/>
          <w:rtl/>
        </w:rPr>
        <w:t xml:space="preserve"> وبالنسبة إلى الشق الأول رأت اللجنة أن يمنع النص الدائن من الرجوع على الكفيل البسيط وحده إلا بعد رجوع على المدين</w:t>
      </w:r>
      <w:r>
        <w:rPr>
          <w:rFonts w:hint="cs"/>
          <w:color w:val="0000FF"/>
          <w:sz w:val="28"/>
          <w:szCs w:val="28"/>
          <w:rtl/>
        </w:rPr>
        <w:t xml:space="preserve"> ،</w:t>
      </w:r>
      <w:r w:rsidRPr="00923B1A">
        <w:rPr>
          <w:rFonts w:hint="cs"/>
          <w:color w:val="0000FF"/>
          <w:sz w:val="28"/>
          <w:szCs w:val="28"/>
          <w:rtl/>
        </w:rPr>
        <w:t xml:space="preserve"> وجعلت الحكم في الشق الثاني خاصاً بالتنفيذ فمنعت الدائن من التنفيذ على الكفيل إلا بعد تجريده المدين</w:t>
      </w:r>
      <w:r>
        <w:rPr>
          <w:rFonts w:hint="cs"/>
          <w:color w:val="0000FF"/>
          <w:sz w:val="28"/>
          <w:szCs w:val="28"/>
          <w:rtl/>
        </w:rPr>
        <w:t xml:space="preserve"> .</w:t>
      </w:r>
      <w:r w:rsidRPr="00923B1A">
        <w:rPr>
          <w:rFonts w:hint="cs"/>
          <w:color w:val="0000FF"/>
          <w:sz w:val="28"/>
          <w:szCs w:val="28"/>
          <w:rtl/>
        </w:rPr>
        <w:t xml:space="preserve"> ثم أضافت للحكمين حكما ثالثاً مفاده تمسك الكفيل بحقه في الصورتين بحيث لو رفع </w:t>
      </w:r>
      <w:r>
        <w:rPr>
          <w:rFonts w:hint="cs"/>
          <w:color w:val="0000FF"/>
          <w:sz w:val="28"/>
          <w:szCs w:val="28"/>
          <w:rtl/>
        </w:rPr>
        <w:t>د</w:t>
      </w:r>
      <w:r w:rsidRPr="00923B1A">
        <w:rPr>
          <w:rFonts w:hint="cs"/>
          <w:color w:val="0000FF"/>
          <w:sz w:val="28"/>
          <w:szCs w:val="28"/>
          <w:rtl/>
        </w:rPr>
        <w:t>عوى عل</w:t>
      </w:r>
      <w:r>
        <w:rPr>
          <w:rFonts w:hint="cs"/>
          <w:color w:val="0000FF"/>
          <w:sz w:val="28"/>
          <w:szCs w:val="28"/>
          <w:rtl/>
        </w:rPr>
        <w:t>ي</w:t>
      </w:r>
      <w:r w:rsidRPr="00923B1A">
        <w:rPr>
          <w:rFonts w:hint="cs"/>
          <w:color w:val="0000FF"/>
          <w:sz w:val="28"/>
          <w:szCs w:val="28"/>
          <w:rtl/>
        </w:rPr>
        <w:t>ه وحده ولم يتمسك بحكم الشق الأول جاز الحكم عليه وبالمثل في حالة التنفيذ</w:t>
      </w:r>
      <w:r>
        <w:rPr>
          <w:rFonts w:hint="cs"/>
          <w:color w:val="0000FF"/>
          <w:sz w:val="28"/>
          <w:szCs w:val="28"/>
          <w:rtl/>
        </w:rPr>
        <w:t xml:space="preserve"> .</w:t>
      </w:r>
      <w:r w:rsidRPr="00923B1A">
        <w:rPr>
          <w:rFonts w:hint="cs"/>
          <w:color w:val="0000FF"/>
          <w:sz w:val="28"/>
          <w:szCs w:val="28"/>
          <w:rtl/>
        </w:rPr>
        <w:t xml:space="preserve"> وأصبح الشق الأول مطابقاً لما استقر عليه في التقنين المدني الجديد تحت رقم 856/1 في المشروع النهائي</w:t>
      </w:r>
      <w:r>
        <w:rPr>
          <w:rFonts w:hint="cs"/>
          <w:color w:val="0000FF"/>
          <w:sz w:val="28"/>
          <w:szCs w:val="28"/>
          <w:rtl/>
        </w:rPr>
        <w:t xml:space="preserve"> ،</w:t>
      </w:r>
      <w:r w:rsidRPr="00923B1A">
        <w:rPr>
          <w:rFonts w:hint="cs"/>
          <w:color w:val="0000FF"/>
          <w:sz w:val="28"/>
          <w:szCs w:val="28"/>
          <w:rtl/>
        </w:rPr>
        <w:t xml:space="preserve"> وأضيفت فقرة ثالثة تجري على الوجه الآتي</w:t>
      </w:r>
      <w:r>
        <w:rPr>
          <w:rFonts w:hint="cs"/>
          <w:color w:val="0000FF"/>
          <w:sz w:val="28"/>
          <w:szCs w:val="28"/>
          <w:rtl/>
        </w:rPr>
        <w:t xml:space="preserve"> :</w:t>
      </w:r>
      <w:r w:rsidRPr="00923B1A">
        <w:rPr>
          <w:rFonts w:hint="cs"/>
          <w:color w:val="0000FF"/>
          <w:sz w:val="28"/>
          <w:szCs w:val="28"/>
          <w:rtl/>
        </w:rPr>
        <w:t xml:space="preserve"> "يجب على الكفيل في الحالتين أن يتمسك بهذا الحق"</w:t>
      </w:r>
      <w:r>
        <w:rPr>
          <w:rFonts w:hint="cs"/>
          <w:color w:val="0000FF"/>
          <w:sz w:val="28"/>
          <w:szCs w:val="28"/>
          <w:rtl/>
        </w:rPr>
        <w:t xml:space="preserve"> .</w:t>
      </w:r>
      <w:r w:rsidRPr="00923B1A">
        <w:rPr>
          <w:rFonts w:hint="cs"/>
          <w:color w:val="0000FF"/>
          <w:sz w:val="28"/>
          <w:szCs w:val="28"/>
          <w:rtl/>
        </w:rPr>
        <w:t xml:space="preserve"> ووافق مجلس النواب على النص تحت رقم 855/1</w:t>
      </w:r>
      <w:r>
        <w:rPr>
          <w:rFonts w:hint="cs"/>
          <w:color w:val="0000FF"/>
          <w:sz w:val="28"/>
          <w:szCs w:val="28"/>
          <w:rtl/>
        </w:rPr>
        <w:t xml:space="preserve"> .</w:t>
      </w:r>
      <w:r w:rsidRPr="00923B1A">
        <w:rPr>
          <w:rFonts w:hint="cs"/>
          <w:color w:val="0000FF"/>
          <w:sz w:val="28"/>
          <w:szCs w:val="28"/>
          <w:rtl/>
        </w:rPr>
        <w:t xml:space="preserve"> وفي لجنة مجلس الشيوخ أدمجت الفقرة الثالثة في الفقرة الثانية فصار مقصوراً حكمها على حق التجريد</w:t>
      </w:r>
      <w:r>
        <w:rPr>
          <w:rFonts w:hint="cs"/>
          <w:color w:val="0000FF"/>
          <w:sz w:val="28"/>
          <w:szCs w:val="28"/>
          <w:rtl/>
        </w:rPr>
        <w:t xml:space="preserve"> ،</w:t>
      </w:r>
      <w:r w:rsidRPr="00923B1A">
        <w:rPr>
          <w:rFonts w:hint="cs"/>
          <w:color w:val="0000FF"/>
          <w:sz w:val="28"/>
          <w:szCs w:val="28"/>
          <w:rtl/>
        </w:rPr>
        <w:t xml:space="preserve"> ولم تعدل الفقرة الأولى وأصبح رقمها 788/1</w:t>
      </w:r>
      <w:r>
        <w:rPr>
          <w:rFonts w:hint="cs"/>
          <w:color w:val="0000FF"/>
          <w:sz w:val="28"/>
          <w:szCs w:val="28"/>
          <w:rtl/>
        </w:rPr>
        <w:t xml:space="preserve"> .</w:t>
      </w:r>
      <w:r w:rsidRPr="00923B1A">
        <w:rPr>
          <w:rFonts w:hint="cs"/>
          <w:color w:val="0000FF"/>
          <w:sz w:val="28"/>
          <w:szCs w:val="28"/>
          <w:rtl/>
        </w:rPr>
        <w:t xml:space="preserve"> ووافق مجلس الشيوخ على ما أقرته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493 </w:t>
      </w:r>
      <w:r w:rsidRPr="00923B1A">
        <w:rPr>
          <w:color w:val="0000FF"/>
          <w:sz w:val="28"/>
          <w:szCs w:val="28"/>
          <w:rtl/>
        </w:rPr>
        <w:t>–</w:t>
      </w:r>
      <w:r w:rsidRPr="00923B1A">
        <w:rPr>
          <w:rFonts w:hint="cs"/>
          <w:color w:val="0000FF"/>
          <w:sz w:val="28"/>
          <w:szCs w:val="28"/>
          <w:rtl/>
        </w:rPr>
        <w:t xml:space="preserve"> 499</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م 502/612</w:t>
      </w:r>
      <w:r>
        <w:rPr>
          <w:rFonts w:hint="cs"/>
          <w:color w:val="0000FF"/>
          <w:sz w:val="28"/>
          <w:szCs w:val="28"/>
          <w:rtl/>
        </w:rPr>
        <w:t xml:space="preserve"> :</w:t>
      </w:r>
      <w:r w:rsidRPr="00923B1A">
        <w:rPr>
          <w:rFonts w:hint="cs"/>
          <w:color w:val="0000FF"/>
          <w:sz w:val="28"/>
          <w:szCs w:val="28"/>
          <w:rtl/>
        </w:rPr>
        <w:t xml:space="preserve"> للكفيل الغير متضامن الحق إذا لم يتركه في إلزام رب الدين بمطالبة المدين بالوفاء</w:t>
      </w:r>
      <w:r>
        <w:rPr>
          <w:rFonts w:hint="cs"/>
          <w:color w:val="0000FF"/>
          <w:sz w:val="28"/>
          <w:szCs w:val="28"/>
          <w:rtl/>
        </w:rPr>
        <w:t xml:space="preserve"> ،</w:t>
      </w:r>
      <w:r w:rsidRPr="00923B1A">
        <w:rPr>
          <w:rFonts w:hint="cs"/>
          <w:color w:val="0000FF"/>
          <w:sz w:val="28"/>
          <w:szCs w:val="28"/>
          <w:rtl/>
        </w:rPr>
        <w:t xml:space="preserve"> إذا كان الظاهر أن أمواله الجائز حجزها تفي بأداء الدين بتمامه</w:t>
      </w:r>
      <w:r>
        <w:rPr>
          <w:rFonts w:hint="cs"/>
          <w:color w:val="0000FF"/>
          <w:sz w:val="28"/>
          <w:szCs w:val="28"/>
          <w:rtl/>
        </w:rPr>
        <w:t xml:space="preserve"> .</w:t>
      </w:r>
      <w:r w:rsidRPr="00923B1A">
        <w:rPr>
          <w:rFonts w:hint="cs"/>
          <w:color w:val="0000FF"/>
          <w:sz w:val="28"/>
          <w:szCs w:val="28"/>
          <w:rtl/>
        </w:rPr>
        <w:t xml:space="preserve"> وحينئذ فللمحكمة النظر والحكم في إيقاف المطالبة الحاصلة للكفيل إيقاناً مؤقتاً</w:t>
      </w:r>
      <w:r>
        <w:rPr>
          <w:rFonts w:hint="cs"/>
          <w:color w:val="0000FF"/>
          <w:sz w:val="28"/>
          <w:szCs w:val="28"/>
          <w:rtl/>
        </w:rPr>
        <w:t xml:space="preserve"> ،</w:t>
      </w:r>
      <w:r w:rsidRPr="00923B1A">
        <w:rPr>
          <w:rFonts w:hint="cs"/>
          <w:color w:val="0000FF"/>
          <w:sz w:val="28"/>
          <w:szCs w:val="28"/>
          <w:rtl/>
        </w:rPr>
        <w:t xml:space="preserve"> مع عدم الإخلال بالإجراءات التحفظية</w:t>
      </w:r>
      <w:r>
        <w:rPr>
          <w:rFonts w:hint="cs"/>
          <w:color w:val="0000FF"/>
          <w:sz w:val="28"/>
          <w:szCs w:val="28"/>
          <w:rtl/>
        </w:rPr>
        <w:t xml:space="preserve">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754/1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797/1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1021</w:t>
      </w:r>
      <w:r>
        <w:rPr>
          <w:rFonts w:hint="cs"/>
          <w:color w:val="0000FF"/>
          <w:sz w:val="28"/>
          <w:szCs w:val="28"/>
          <w:rtl/>
        </w:rPr>
        <w:t xml:space="preserve"> :</w:t>
      </w:r>
      <w:r w:rsidRPr="00923B1A">
        <w:rPr>
          <w:rFonts w:hint="cs"/>
          <w:color w:val="0000FF"/>
          <w:sz w:val="28"/>
          <w:szCs w:val="28"/>
          <w:rtl/>
        </w:rPr>
        <w:t xml:space="preserve"> 1- يفرض في الكفالة أنها انعقدت معلقة على شرط عدم وفاء المدين بالدين</w:t>
      </w:r>
      <w:r>
        <w:rPr>
          <w:rFonts w:hint="cs"/>
          <w:color w:val="0000FF"/>
          <w:sz w:val="28"/>
          <w:szCs w:val="28"/>
          <w:rtl/>
        </w:rPr>
        <w:t xml:space="preserve"> ،</w:t>
      </w:r>
      <w:r w:rsidRPr="00923B1A">
        <w:rPr>
          <w:rFonts w:hint="cs"/>
          <w:color w:val="0000FF"/>
          <w:sz w:val="28"/>
          <w:szCs w:val="28"/>
          <w:rtl/>
        </w:rPr>
        <w:t xml:space="preserve"> ما لم يكن الكفيل قد نزل عن هذا الشرط أو كان متضامنا مع المدين</w:t>
      </w:r>
      <w:r>
        <w:rPr>
          <w:rFonts w:hint="cs"/>
          <w:color w:val="0000FF"/>
          <w:sz w:val="28"/>
          <w:szCs w:val="28"/>
          <w:rtl/>
        </w:rPr>
        <w:t xml:space="preserve"> .</w:t>
      </w:r>
      <w:r w:rsidRPr="00923B1A">
        <w:rPr>
          <w:rFonts w:hint="cs"/>
          <w:color w:val="0000FF"/>
          <w:sz w:val="28"/>
          <w:szCs w:val="28"/>
          <w:rtl/>
        </w:rPr>
        <w:t xml:space="preserve"> 2- فإذا طولب الكفيل أولا</w:t>
      </w:r>
      <w:r>
        <w:rPr>
          <w:rFonts w:hint="cs"/>
          <w:color w:val="0000FF"/>
          <w:sz w:val="28"/>
          <w:szCs w:val="28"/>
          <w:rtl/>
        </w:rPr>
        <w:t xml:space="preserve"> ،</w:t>
      </w:r>
      <w:r w:rsidRPr="00923B1A">
        <w:rPr>
          <w:rFonts w:hint="cs"/>
          <w:color w:val="0000FF"/>
          <w:sz w:val="28"/>
          <w:szCs w:val="28"/>
          <w:rtl/>
        </w:rPr>
        <w:t xml:space="preserve"> جاز له عند الإجراءات الأولى التي توجه ضده أن يطالب الدائن باستيفاء دينه من أموال المدين واتخاذ الإجراءات ضده إذا ظهر أن أمواله القابلة للحجز تكفي لوفاء الدين بأكمله</w:t>
      </w:r>
      <w:r>
        <w:rPr>
          <w:rFonts w:hint="cs"/>
          <w:color w:val="0000FF"/>
          <w:sz w:val="28"/>
          <w:szCs w:val="28"/>
          <w:rtl/>
        </w:rPr>
        <w:t xml:space="preserve"> ،</w:t>
      </w:r>
      <w:r w:rsidRPr="00923B1A">
        <w:rPr>
          <w:rFonts w:hint="cs"/>
          <w:color w:val="0000FF"/>
          <w:sz w:val="28"/>
          <w:szCs w:val="28"/>
          <w:rtl/>
        </w:rPr>
        <w:t xml:space="preserve"> وتقدر المحكمة ما إذا كان هناك محل لوقف الإجراءات مؤقتا ضد الكفيل حتى يتم الاستيفاء</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1022</w:t>
      </w:r>
      <w:r>
        <w:rPr>
          <w:rFonts w:hint="cs"/>
          <w:color w:val="0000FF"/>
          <w:sz w:val="28"/>
          <w:szCs w:val="28"/>
          <w:rtl/>
        </w:rPr>
        <w:t xml:space="preserve"> :</w:t>
      </w:r>
      <w:r w:rsidRPr="00923B1A">
        <w:rPr>
          <w:rFonts w:hint="cs"/>
          <w:color w:val="0000FF"/>
          <w:sz w:val="28"/>
          <w:szCs w:val="28"/>
          <w:rtl/>
        </w:rPr>
        <w:t xml:space="preserve"> 1- إذا طلب الكفيل استيفاء الدائن دينه من أموال المدين</w:t>
      </w:r>
      <w:r>
        <w:rPr>
          <w:rFonts w:hint="cs"/>
          <w:color w:val="0000FF"/>
          <w:sz w:val="28"/>
          <w:szCs w:val="28"/>
          <w:rtl/>
        </w:rPr>
        <w:t xml:space="preserve"> ،</w:t>
      </w:r>
      <w:r w:rsidRPr="00923B1A">
        <w:rPr>
          <w:rFonts w:hint="cs"/>
          <w:color w:val="0000FF"/>
          <w:sz w:val="28"/>
          <w:szCs w:val="28"/>
          <w:rtl/>
        </w:rPr>
        <w:t xml:space="preserve"> وجب عليه أن يدل الدائن على هذه الأموال وان يقدم له مبلغا يكفي للوفاء بتكاليف الإجراءات 2- ولا عبرة بالأموال التي يدل عليها الكفيل إذا كانت هذه الأموال خارج الأراضي العراقية</w:t>
      </w:r>
      <w:r>
        <w:rPr>
          <w:rFonts w:hint="cs"/>
          <w:color w:val="0000FF"/>
          <w:sz w:val="28"/>
          <w:szCs w:val="28"/>
          <w:rtl/>
        </w:rPr>
        <w:t xml:space="preserve"> ،</w:t>
      </w:r>
      <w:r w:rsidRPr="00923B1A">
        <w:rPr>
          <w:rFonts w:hint="cs"/>
          <w:color w:val="0000FF"/>
          <w:sz w:val="28"/>
          <w:szCs w:val="28"/>
          <w:rtl/>
        </w:rPr>
        <w:t xml:space="preserve"> أو كانت أموالا متنازعا فيها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1072</w:t>
      </w:r>
      <w:r>
        <w:rPr>
          <w:rFonts w:hint="cs"/>
          <w:color w:val="0000FF"/>
          <w:sz w:val="28"/>
          <w:szCs w:val="28"/>
          <w:rtl/>
        </w:rPr>
        <w:t xml:space="preserve"> :</w:t>
      </w:r>
      <w:r w:rsidRPr="00923B1A">
        <w:rPr>
          <w:rFonts w:hint="cs"/>
          <w:color w:val="0000FF"/>
          <w:sz w:val="28"/>
          <w:szCs w:val="28"/>
          <w:rtl/>
        </w:rPr>
        <w:t xml:space="preserve"> يحق للكفيل أن يطلب من الدائن في بدء المحاكمة وقبل كل دفاع في الأساس أن يداعي أولا المديون الأصلي في أمواله المنقولة وغير المنقولة</w:t>
      </w:r>
      <w:r>
        <w:rPr>
          <w:rFonts w:hint="cs"/>
          <w:color w:val="0000FF"/>
          <w:sz w:val="28"/>
          <w:szCs w:val="28"/>
          <w:rtl/>
        </w:rPr>
        <w:t xml:space="preserve"> ،</w:t>
      </w:r>
      <w:r w:rsidRPr="00923B1A">
        <w:rPr>
          <w:rFonts w:hint="cs"/>
          <w:color w:val="0000FF"/>
          <w:sz w:val="28"/>
          <w:szCs w:val="28"/>
          <w:rtl/>
        </w:rPr>
        <w:t xml:space="preserve"> وأن يعين له منهما ما يصح منه التنفيذ على شرط أن يكون موقعها في المناطق الخاضعة لصلاحية محاكم الدول المشمولة بالانتداب الفرنسي </w:t>
      </w:r>
      <w:r w:rsidRPr="00923B1A">
        <w:rPr>
          <w:color w:val="0000FF"/>
          <w:sz w:val="28"/>
          <w:szCs w:val="28"/>
          <w:rtl/>
        </w:rPr>
        <w:t>–</w:t>
      </w:r>
      <w:r w:rsidRPr="00923B1A">
        <w:rPr>
          <w:rFonts w:hint="cs"/>
          <w:color w:val="0000FF"/>
          <w:sz w:val="28"/>
          <w:szCs w:val="28"/>
          <w:rtl/>
        </w:rPr>
        <w:t xml:space="preserve"> وفي هذه الحالة تقف مداعاة الكفيل إلى أن يتم التقاضي في أموال المدين</w:t>
      </w:r>
      <w:r>
        <w:rPr>
          <w:rFonts w:hint="cs"/>
          <w:color w:val="0000FF"/>
          <w:sz w:val="28"/>
          <w:szCs w:val="28"/>
          <w:rtl/>
        </w:rPr>
        <w:t xml:space="preserve"> ،</w:t>
      </w:r>
      <w:r w:rsidRPr="00923B1A">
        <w:rPr>
          <w:rFonts w:hint="cs"/>
          <w:color w:val="0000FF"/>
          <w:sz w:val="28"/>
          <w:szCs w:val="28"/>
          <w:rtl/>
        </w:rPr>
        <w:t xml:space="preserve"> ولكن ذلك لا يمنع الترخيص للدائن في اتخاذ الوسائل الاحتياطية في حق الكفيل</w:t>
      </w:r>
      <w:r>
        <w:rPr>
          <w:rFonts w:hint="cs"/>
          <w:color w:val="0000FF"/>
          <w:sz w:val="28"/>
          <w:szCs w:val="28"/>
          <w:rtl/>
        </w:rPr>
        <w:t xml:space="preserve"> .</w:t>
      </w:r>
      <w:r w:rsidRPr="00923B1A">
        <w:rPr>
          <w:rFonts w:hint="cs"/>
          <w:color w:val="0000FF"/>
          <w:sz w:val="28"/>
          <w:szCs w:val="28"/>
          <w:rtl/>
        </w:rPr>
        <w:t xml:space="preserve"> وإذا كان للدائن رهن ارض في الحبس على بعض أموال المديون المنقولة</w:t>
      </w:r>
      <w:r>
        <w:rPr>
          <w:rFonts w:hint="cs"/>
          <w:color w:val="0000FF"/>
          <w:sz w:val="28"/>
          <w:szCs w:val="28"/>
          <w:rtl/>
        </w:rPr>
        <w:t xml:space="preserve"> ،</w:t>
      </w:r>
      <w:r w:rsidRPr="00923B1A">
        <w:rPr>
          <w:rFonts w:hint="cs"/>
          <w:color w:val="0000FF"/>
          <w:sz w:val="28"/>
          <w:szCs w:val="28"/>
          <w:rtl/>
        </w:rPr>
        <w:t xml:space="preserve"> وجب عليه استيفاء دينه منه</w:t>
      </w:r>
      <w:r>
        <w:rPr>
          <w:rFonts w:hint="cs"/>
          <w:color w:val="0000FF"/>
          <w:sz w:val="28"/>
          <w:szCs w:val="28"/>
          <w:rtl/>
        </w:rPr>
        <w:t xml:space="preserve"> ،</w:t>
      </w:r>
      <w:r w:rsidRPr="00923B1A">
        <w:rPr>
          <w:rFonts w:hint="cs"/>
          <w:color w:val="0000FF"/>
          <w:sz w:val="28"/>
          <w:szCs w:val="28"/>
          <w:rtl/>
        </w:rPr>
        <w:t xml:space="preserve"> إلا إذا كان هذا المال موضوعاً لتأمين موجبات أخرى على المديون وكان غير كاف لإيفائها جميعا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1073</w:t>
      </w:r>
      <w:r>
        <w:rPr>
          <w:rFonts w:hint="cs"/>
          <w:color w:val="0000FF"/>
          <w:sz w:val="28"/>
          <w:szCs w:val="28"/>
          <w:rtl/>
        </w:rPr>
        <w:t xml:space="preserve"> :</w:t>
      </w:r>
      <w:r w:rsidRPr="00923B1A">
        <w:rPr>
          <w:rFonts w:hint="cs"/>
          <w:color w:val="0000FF"/>
          <w:sz w:val="28"/>
          <w:szCs w:val="28"/>
          <w:rtl/>
        </w:rPr>
        <w:t xml:space="preserve"> لا يجوز للكفيل أن يتشبث بتقديم مداعاة المديون الأصلي</w:t>
      </w:r>
      <w:r>
        <w:rPr>
          <w:rFonts w:hint="cs"/>
          <w:color w:val="0000FF"/>
          <w:sz w:val="28"/>
          <w:szCs w:val="28"/>
          <w:rtl/>
        </w:rPr>
        <w:t xml:space="preserve"> :</w:t>
      </w:r>
      <w:r w:rsidRPr="00923B1A">
        <w:rPr>
          <w:rFonts w:hint="cs"/>
          <w:color w:val="0000FF"/>
          <w:sz w:val="28"/>
          <w:szCs w:val="28"/>
          <w:rtl/>
        </w:rPr>
        <w:t xml:space="preserve"> "أولا </w:t>
      </w:r>
      <w:r w:rsidRPr="00923B1A">
        <w:rPr>
          <w:color w:val="0000FF"/>
          <w:sz w:val="28"/>
          <w:szCs w:val="28"/>
          <w:rtl/>
        </w:rPr>
        <w:t>–</w:t>
      </w:r>
      <w:r w:rsidRPr="00923B1A">
        <w:rPr>
          <w:rFonts w:hint="cs"/>
          <w:color w:val="0000FF"/>
          <w:sz w:val="28"/>
          <w:szCs w:val="28"/>
          <w:rtl/>
        </w:rPr>
        <w:t xml:space="preserve"> إذا كان قد عدل صراحة عن هذا الحق</w:t>
      </w:r>
      <w:r>
        <w:rPr>
          <w:rFonts w:hint="cs"/>
          <w:color w:val="0000FF"/>
          <w:sz w:val="28"/>
          <w:szCs w:val="28"/>
          <w:rtl/>
        </w:rPr>
        <w:t xml:space="preserve"> ،</w:t>
      </w:r>
      <w:r w:rsidRPr="00923B1A">
        <w:rPr>
          <w:rFonts w:hint="cs"/>
          <w:color w:val="0000FF"/>
          <w:sz w:val="28"/>
          <w:szCs w:val="28"/>
          <w:rtl/>
        </w:rPr>
        <w:t xml:space="preserve"> ولا سيما إذا كان قد التزم الموجب بالتضامن مع المديون الأصلي</w:t>
      </w:r>
      <w:r>
        <w:rPr>
          <w:rFonts w:hint="cs"/>
          <w:color w:val="0000FF"/>
          <w:sz w:val="28"/>
          <w:szCs w:val="28"/>
          <w:rtl/>
        </w:rPr>
        <w:t xml:space="preserve"> .</w:t>
      </w:r>
      <w:r w:rsidRPr="00923B1A">
        <w:rPr>
          <w:rFonts w:hint="cs"/>
          <w:color w:val="0000FF"/>
          <w:sz w:val="28"/>
          <w:szCs w:val="28"/>
          <w:rtl/>
        </w:rPr>
        <w:t xml:space="preserve"> ثانياً </w:t>
      </w:r>
      <w:r w:rsidRPr="00923B1A">
        <w:rPr>
          <w:color w:val="0000FF"/>
          <w:sz w:val="28"/>
          <w:szCs w:val="28"/>
          <w:rtl/>
        </w:rPr>
        <w:t>–</w:t>
      </w:r>
      <w:r w:rsidRPr="00923B1A">
        <w:rPr>
          <w:rFonts w:hint="cs"/>
          <w:color w:val="0000FF"/>
          <w:sz w:val="28"/>
          <w:szCs w:val="28"/>
          <w:rtl/>
        </w:rPr>
        <w:t xml:space="preserve"> إذا أصبح المديون الأصلي في حالة إعسار مشهود أو أعلن بحجز</w:t>
      </w:r>
      <w:r>
        <w:rPr>
          <w:rFonts w:hint="cs"/>
          <w:color w:val="0000FF"/>
          <w:sz w:val="28"/>
          <w:szCs w:val="28"/>
          <w:rtl/>
        </w:rPr>
        <w:t xml:space="preserve"> .</w:t>
      </w:r>
      <w:r w:rsidRPr="00923B1A">
        <w:rPr>
          <w:rFonts w:hint="cs"/>
          <w:color w:val="0000FF"/>
          <w:sz w:val="28"/>
          <w:szCs w:val="28"/>
          <w:rtl/>
        </w:rPr>
        <w:t xml:space="preserve"> ثالثاً إذا كانت الأموال التي تصح فيها المداعاة موضوعاً للنزاع أو مرهونة تأميناً لديون تستغرق قسما كبيراً من قيمتها أو كانت غير كافية بوجه واضح لإيفاء الدائن</w:t>
      </w:r>
      <w:r>
        <w:rPr>
          <w:rFonts w:hint="cs"/>
          <w:color w:val="0000FF"/>
          <w:sz w:val="28"/>
          <w:szCs w:val="28"/>
          <w:rtl/>
        </w:rPr>
        <w:t xml:space="preserve"> ،</w:t>
      </w:r>
      <w:r w:rsidRPr="00923B1A">
        <w:rPr>
          <w:rFonts w:hint="cs"/>
          <w:color w:val="0000FF"/>
          <w:sz w:val="28"/>
          <w:szCs w:val="28"/>
          <w:rtl/>
        </w:rPr>
        <w:t xml:space="preserve"> أو إذا لم يعد للمديون على هذه الأموال إلا حق قابل للإلغاء</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1074</w:t>
      </w:r>
      <w:r>
        <w:rPr>
          <w:rFonts w:hint="cs"/>
          <w:color w:val="0000FF"/>
          <w:sz w:val="28"/>
          <w:szCs w:val="28"/>
          <w:rtl/>
        </w:rPr>
        <w:t xml:space="preserve"> :</w:t>
      </w:r>
      <w:r w:rsidRPr="00923B1A">
        <w:rPr>
          <w:rFonts w:hint="cs"/>
          <w:color w:val="0000FF"/>
          <w:sz w:val="28"/>
          <w:szCs w:val="28"/>
          <w:rtl/>
        </w:rPr>
        <w:t xml:space="preserve"> أن الكفيل الذي يتشبث بتقديم مداعاة المديون يجب عليه أن يعين للدائن أموال المديون الأصلي</w:t>
      </w:r>
      <w:r>
        <w:rPr>
          <w:rFonts w:hint="cs"/>
          <w:color w:val="0000FF"/>
          <w:sz w:val="28"/>
          <w:szCs w:val="28"/>
          <w:rtl/>
        </w:rPr>
        <w:t xml:space="preserve"> ،</w:t>
      </w:r>
      <w:r w:rsidRPr="00923B1A">
        <w:rPr>
          <w:rFonts w:hint="cs"/>
          <w:color w:val="0000FF"/>
          <w:sz w:val="28"/>
          <w:szCs w:val="28"/>
          <w:rtl/>
        </w:rPr>
        <w:t xml:space="preserve"> وأن يتكفل بالمصاريف اللازمة للتنفيذ</w:t>
      </w:r>
      <w:r>
        <w:rPr>
          <w:rFonts w:hint="cs"/>
          <w:color w:val="0000FF"/>
          <w:sz w:val="28"/>
          <w:szCs w:val="28"/>
          <w:rtl/>
        </w:rPr>
        <w:t xml:space="preserve"> .</w:t>
      </w:r>
    </w:p>
  </w:footnote>
  <w:footnote w:id="23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1023 </w:t>
      </w:r>
      <w:r w:rsidRPr="00923B1A">
        <w:rPr>
          <w:color w:val="0000FF"/>
          <w:sz w:val="28"/>
          <w:szCs w:val="28"/>
          <w:rtl/>
        </w:rPr>
        <w:t>–</w:t>
      </w:r>
      <w:r w:rsidRPr="00923B1A">
        <w:rPr>
          <w:rFonts w:hint="cs"/>
          <w:color w:val="0000FF"/>
          <w:sz w:val="28"/>
          <w:szCs w:val="28"/>
          <w:rtl/>
        </w:rPr>
        <w:t xml:space="preserve"> بلانيول وريبير وسافاتييه فقرة 1535 ص 984 </w:t>
      </w:r>
      <w:r w:rsidRPr="00923B1A">
        <w:rPr>
          <w:color w:val="0000FF"/>
          <w:sz w:val="28"/>
          <w:szCs w:val="28"/>
          <w:rtl/>
        </w:rPr>
        <w:t>–</w:t>
      </w:r>
      <w:r w:rsidRPr="00923B1A">
        <w:rPr>
          <w:rFonts w:hint="cs"/>
          <w:color w:val="0000FF"/>
          <w:sz w:val="28"/>
          <w:szCs w:val="28"/>
          <w:rtl/>
        </w:rPr>
        <w:t xml:space="preserve"> ص 985 </w:t>
      </w:r>
      <w:r w:rsidRPr="00923B1A">
        <w:rPr>
          <w:color w:val="0000FF"/>
          <w:sz w:val="28"/>
          <w:szCs w:val="28"/>
          <w:rtl/>
        </w:rPr>
        <w:t>–</w:t>
      </w:r>
      <w:r w:rsidRPr="00923B1A">
        <w:rPr>
          <w:rFonts w:hint="cs"/>
          <w:color w:val="0000FF"/>
          <w:sz w:val="28"/>
          <w:szCs w:val="28"/>
          <w:rtl/>
        </w:rPr>
        <w:t xml:space="preserve"> وقد قضي في مصر</w:t>
      </w:r>
      <w:r>
        <w:rPr>
          <w:rFonts w:hint="cs"/>
          <w:color w:val="0000FF"/>
          <w:sz w:val="28"/>
          <w:szCs w:val="28"/>
          <w:rtl/>
        </w:rPr>
        <w:t xml:space="preserve"> ،</w:t>
      </w:r>
      <w:r w:rsidRPr="00923B1A">
        <w:rPr>
          <w:rFonts w:hint="cs"/>
          <w:color w:val="0000FF"/>
          <w:sz w:val="28"/>
          <w:szCs w:val="28"/>
          <w:rtl/>
        </w:rPr>
        <w:t xml:space="preserve"> في ظل التقنيني المدني السابق</w:t>
      </w:r>
      <w:r>
        <w:rPr>
          <w:rFonts w:hint="cs"/>
          <w:color w:val="0000FF"/>
          <w:sz w:val="28"/>
          <w:szCs w:val="28"/>
          <w:rtl/>
        </w:rPr>
        <w:t xml:space="preserve"> ،</w:t>
      </w:r>
      <w:r w:rsidRPr="00923B1A">
        <w:rPr>
          <w:rFonts w:hint="cs"/>
          <w:color w:val="0000FF"/>
          <w:sz w:val="28"/>
          <w:szCs w:val="28"/>
          <w:rtl/>
        </w:rPr>
        <w:t xml:space="preserve"> بأن للكفيل</w:t>
      </w:r>
      <w:r>
        <w:rPr>
          <w:rFonts w:hint="cs"/>
          <w:color w:val="0000FF"/>
          <w:sz w:val="28"/>
          <w:szCs w:val="28"/>
          <w:rtl/>
        </w:rPr>
        <w:t xml:space="preserve"> ،</w:t>
      </w:r>
      <w:r w:rsidRPr="00923B1A">
        <w:rPr>
          <w:rFonts w:hint="cs"/>
          <w:color w:val="0000FF"/>
          <w:sz w:val="28"/>
          <w:szCs w:val="28"/>
          <w:rtl/>
        </w:rPr>
        <w:t xml:space="preserve"> متى كان غير متضامن</w:t>
      </w:r>
      <w:r>
        <w:rPr>
          <w:rFonts w:hint="cs"/>
          <w:color w:val="0000FF"/>
          <w:sz w:val="28"/>
          <w:szCs w:val="28"/>
          <w:rtl/>
        </w:rPr>
        <w:t xml:space="preserve"> ،</w:t>
      </w:r>
      <w:r w:rsidRPr="00923B1A">
        <w:rPr>
          <w:rFonts w:hint="cs"/>
          <w:color w:val="0000FF"/>
          <w:sz w:val="28"/>
          <w:szCs w:val="28"/>
          <w:rtl/>
        </w:rPr>
        <w:t xml:space="preserve"> الحق في إلزام الدائن بمطالبة المدين بالوفاء</w:t>
      </w:r>
      <w:r>
        <w:rPr>
          <w:rFonts w:hint="cs"/>
          <w:color w:val="0000FF"/>
          <w:sz w:val="28"/>
          <w:szCs w:val="28"/>
          <w:rtl/>
        </w:rPr>
        <w:t xml:space="preserve"> ،</w:t>
      </w:r>
      <w:r w:rsidRPr="00923B1A">
        <w:rPr>
          <w:rFonts w:hint="cs"/>
          <w:color w:val="0000FF"/>
          <w:sz w:val="28"/>
          <w:szCs w:val="28"/>
          <w:rtl/>
        </w:rPr>
        <w:t xml:space="preserve"> وعليه في هذه الحالة أن يثبت أن المدين الأصلي يمتلك أموالا يجوز حجزها تفي بأداء الدين بتمامه </w:t>
      </w:r>
      <w:r>
        <w:rPr>
          <w:rFonts w:hint="cs"/>
          <w:color w:val="0000FF"/>
          <w:sz w:val="28"/>
          <w:szCs w:val="28"/>
          <w:rtl/>
        </w:rPr>
        <w:t xml:space="preserve">( </w:t>
      </w:r>
      <w:r w:rsidRPr="00923B1A">
        <w:rPr>
          <w:rFonts w:hint="cs"/>
          <w:color w:val="0000FF"/>
          <w:sz w:val="28"/>
          <w:szCs w:val="28"/>
          <w:rtl/>
        </w:rPr>
        <w:t xml:space="preserve">استئناف وطني 4 مايو سنة 1894 </w:t>
      </w:r>
      <w:r w:rsidRPr="00923B1A">
        <w:rPr>
          <w:color w:val="0000FF"/>
          <w:sz w:val="28"/>
          <w:szCs w:val="28"/>
          <w:rtl/>
        </w:rPr>
        <w:t>–</w:t>
      </w:r>
      <w:r w:rsidRPr="00923B1A">
        <w:rPr>
          <w:rFonts w:hint="cs"/>
          <w:color w:val="0000FF"/>
          <w:sz w:val="28"/>
          <w:szCs w:val="28"/>
          <w:rtl/>
        </w:rPr>
        <w:t xml:space="preserve"> الحقوق 9 ص 363 </w:t>
      </w:r>
      <w:r w:rsidRPr="00923B1A">
        <w:rPr>
          <w:color w:val="0000FF"/>
          <w:sz w:val="28"/>
          <w:szCs w:val="28"/>
          <w:rtl/>
        </w:rPr>
        <w:t>–</w:t>
      </w:r>
      <w:r w:rsidRPr="00923B1A">
        <w:rPr>
          <w:rFonts w:hint="cs"/>
          <w:color w:val="0000FF"/>
          <w:sz w:val="28"/>
          <w:szCs w:val="28"/>
          <w:rtl/>
        </w:rPr>
        <w:t xml:space="preserve"> 2 أبريل سنة 1896 الحقوق 11 ص 213 </w:t>
      </w:r>
      <w:r w:rsidRPr="00923B1A">
        <w:rPr>
          <w:color w:val="0000FF"/>
          <w:sz w:val="28"/>
          <w:szCs w:val="28"/>
          <w:rtl/>
        </w:rPr>
        <w:t>–</w:t>
      </w:r>
      <w:r w:rsidRPr="00923B1A">
        <w:rPr>
          <w:rFonts w:hint="cs"/>
          <w:color w:val="0000FF"/>
          <w:sz w:val="28"/>
          <w:szCs w:val="28"/>
          <w:rtl/>
        </w:rPr>
        <w:t xml:space="preserve"> 2 يونيه سنة 1904 الحقوق 19 ص 169 </w:t>
      </w:r>
      <w:r w:rsidRPr="00923B1A">
        <w:rPr>
          <w:color w:val="0000FF"/>
          <w:sz w:val="28"/>
          <w:szCs w:val="28"/>
          <w:rtl/>
        </w:rPr>
        <w:t>–</w:t>
      </w:r>
      <w:r w:rsidRPr="00923B1A">
        <w:rPr>
          <w:rFonts w:hint="cs"/>
          <w:color w:val="0000FF"/>
          <w:sz w:val="28"/>
          <w:szCs w:val="28"/>
          <w:rtl/>
        </w:rPr>
        <w:t xml:space="preserve"> 8 مارس سنة 1915 الحقوق 30 ص 178</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استئناف أسيوط 31 يناير سنة 1928 المحاماة 8 رقم 335 ص 511 </w:t>
      </w:r>
      <w:r w:rsidRPr="00923B1A">
        <w:rPr>
          <w:color w:val="0000FF"/>
          <w:sz w:val="28"/>
          <w:szCs w:val="28"/>
          <w:rtl/>
        </w:rPr>
        <w:t>–</w:t>
      </w:r>
      <w:r w:rsidRPr="00923B1A">
        <w:rPr>
          <w:rFonts w:hint="cs"/>
          <w:color w:val="0000FF"/>
          <w:sz w:val="28"/>
          <w:szCs w:val="28"/>
          <w:rtl/>
        </w:rPr>
        <w:t xml:space="preserve"> استئناف مصر 11 فبراير سنة 1932 المحاماة 13 رقم 30 ص 81 </w:t>
      </w:r>
      <w:r>
        <w:rPr>
          <w:rFonts w:hint="cs"/>
          <w:color w:val="0000FF"/>
          <w:sz w:val="28"/>
          <w:szCs w:val="28"/>
          <w:rtl/>
        </w:rPr>
        <w:t xml:space="preserve">( </w:t>
      </w:r>
      <w:r w:rsidRPr="00923B1A">
        <w:rPr>
          <w:rFonts w:hint="cs"/>
          <w:color w:val="0000FF"/>
          <w:sz w:val="28"/>
          <w:szCs w:val="28"/>
          <w:rtl/>
        </w:rPr>
        <w:t>لا يلزم الدائن بإدخال المدين الأصلي إلا إذا طلب الكفيل غير المتضامن ذلك عند اتخاذ الإجراءات ضده</w:t>
      </w:r>
      <w:r>
        <w:rPr>
          <w:rFonts w:hint="cs"/>
          <w:color w:val="0000FF"/>
          <w:sz w:val="28"/>
          <w:szCs w:val="28"/>
          <w:rtl/>
        </w:rPr>
        <w:t xml:space="preserve"> ،</w:t>
      </w:r>
      <w:r w:rsidRPr="00923B1A">
        <w:rPr>
          <w:rFonts w:hint="cs"/>
          <w:color w:val="0000FF"/>
          <w:sz w:val="28"/>
          <w:szCs w:val="28"/>
          <w:rtl/>
        </w:rPr>
        <w:t xml:space="preserve"> فإذا سكت عن التمسك بهذا الحق فسكوته دليل على تنازله عن التمسك بحق الرجوع على المدين الممنوح بقوة القانون بمقتضى المادة 502 مدني</w:t>
      </w:r>
      <w:r>
        <w:rPr>
          <w:rFonts w:hint="cs"/>
          <w:color w:val="0000FF"/>
          <w:sz w:val="28"/>
          <w:szCs w:val="28"/>
          <w:rtl/>
        </w:rPr>
        <w:t xml:space="preserve"> ) .</w:t>
      </w:r>
    </w:p>
  </w:footnote>
  <w:footnote w:id="24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29 مارس سنة 1900م 12 ص 183 </w:t>
      </w:r>
      <w:r w:rsidRPr="00923B1A">
        <w:rPr>
          <w:color w:val="0000FF"/>
          <w:sz w:val="28"/>
          <w:szCs w:val="28"/>
          <w:rtl/>
        </w:rPr>
        <w:t>–</w:t>
      </w:r>
      <w:r w:rsidRPr="00923B1A">
        <w:rPr>
          <w:rFonts w:hint="cs"/>
          <w:color w:val="0000FF"/>
          <w:sz w:val="28"/>
          <w:szCs w:val="28"/>
          <w:rtl/>
        </w:rPr>
        <w:t xml:space="preserve"> 19 ديسمبر سنة 1900م 13 ص 60 </w:t>
      </w:r>
      <w:r w:rsidRPr="00923B1A">
        <w:rPr>
          <w:color w:val="0000FF"/>
          <w:sz w:val="28"/>
          <w:szCs w:val="28"/>
          <w:rtl/>
        </w:rPr>
        <w:t>–</w:t>
      </w:r>
      <w:r w:rsidRPr="00923B1A">
        <w:rPr>
          <w:rFonts w:hint="cs"/>
          <w:color w:val="0000FF"/>
          <w:sz w:val="28"/>
          <w:szCs w:val="28"/>
          <w:rtl/>
        </w:rPr>
        <w:t xml:space="preserve"> 28 يناير 1903م 15 ص 106 </w:t>
      </w:r>
      <w:r w:rsidRPr="00923B1A">
        <w:rPr>
          <w:color w:val="0000FF"/>
          <w:sz w:val="28"/>
          <w:szCs w:val="28"/>
          <w:rtl/>
        </w:rPr>
        <w:t>–</w:t>
      </w:r>
      <w:r w:rsidRPr="00923B1A">
        <w:rPr>
          <w:rFonts w:hint="cs"/>
          <w:color w:val="0000FF"/>
          <w:sz w:val="28"/>
          <w:szCs w:val="28"/>
          <w:rtl/>
        </w:rPr>
        <w:t xml:space="preserve"> 25 مارس سنة 1908م 20 ص 137 </w:t>
      </w:r>
      <w:r w:rsidRPr="00923B1A">
        <w:rPr>
          <w:color w:val="0000FF"/>
          <w:sz w:val="28"/>
          <w:szCs w:val="28"/>
          <w:rtl/>
        </w:rPr>
        <w:t>–</w:t>
      </w:r>
      <w:r w:rsidRPr="00923B1A">
        <w:rPr>
          <w:rFonts w:hint="cs"/>
          <w:color w:val="0000FF"/>
          <w:sz w:val="28"/>
          <w:szCs w:val="28"/>
          <w:rtl/>
        </w:rPr>
        <w:t xml:space="preserve"> 16 فبراير سنة 1916م 28 ص 157 </w:t>
      </w:r>
      <w:r w:rsidRPr="00923B1A">
        <w:rPr>
          <w:color w:val="0000FF"/>
          <w:sz w:val="28"/>
          <w:szCs w:val="28"/>
          <w:rtl/>
        </w:rPr>
        <w:t>–</w:t>
      </w:r>
      <w:r w:rsidRPr="00923B1A">
        <w:rPr>
          <w:rFonts w:hint="cs"/>
          <w:color w:val="0000FF"/>
          <w:sz w:val="28"/>
          <w:szCs w:val="28"/>
          <w:rtl/>
        </w:rPr>
        <w:t xml:space="preserve"> 22 مارس سنة 1916م 28 ص 207 </w:t>
      </w:r>
      <w:r w:rsidRPr="00923B1A">
        <w:rPr>
          <w:color w:val="0000FF"/>
          <w:sz w:val="28"/>
          <w:szCs w:val="28"/>
          <w:rtl/>
        </w:rPr>
        <w:t>–</w:t>
      </w:r>
      <w:r w:rsidRPr="00923B1A">
        <w:rPr>
          <w:rFonts w:hint="cs"/>
          <w:color w:val="0000FF"/>
          <w:sz w:val="28"/>
          <w:szCs w:val="28"/>
          <w:rtl/>
        </w:rPr>
        <w:t xml:space="preserve"> 10 مايو سنة 1917م 29 ص 417 </w:t>
      </w:r>
      <w:r w:rsidRPr="00923B1A">
        <w:rPr>
          <w:color w:val="0000FF"/>
          <w:sz w:val="28"/>
          <w:szCs w:val="28"/>
          <w:rtl/>
        </w:rPr>
        <w:t>–</w:t>
      </w:r>
      <w:r w:rsidRPr="00923B1A">
        <w:rPr>
          <w:rFonts w:hint="cs"/>
          <w:color w:val="0000FF"/>
          <w:sz w:val="28"/>
          <w:szCs w:val="28"/>
          <w:rtl/>
        </w:rPr>
        <w:t xml:space="preserve"> 11 يونيه سنة 1940م 52 ص 299 </w:t>
      </w:r>
      <w:r w:rsidRPr="00923B1A">
        <w:rPr>
          <w:color w:val="0000FF"/>
          <w:sz w:val="28"/>
          <w:szCs w:val="28"/>
          <w:rtl/>
        </w:rPr>
        <w:t>–</w:t>
      </w:r>
      <w:r w:rsidRPr="00923B1A">
        <w:rPr>
          <w:rFonts w:hint="cs"/>
          <w:color w:val="0000FF"/>
          <w:sz w:val="28"/>
          <w:szCs w:val="28"/>
          <w:rtl/>
        </w:rPr>
        <w:t xml:space="preserve"> 16 يونيه سنة 1943م 55 ص 188</w:t>
      </w:r>
      <w:r>
        <w:rPr>
          <w:rFonts w:hint="cs"/>
          <w:color w:val="0000FF"/>
          <w:sz w:val="28"/>
          <w:szCs w:val="28"/>
          <w:rtl/>
        </w:rPr>
        <w:t xml:space="preserve"> .</w:t>
      </w:r>
    </w:p>
  </w:footnote>
  <w:footnote w:id="24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فكانت المادة 1144 من هذا المشروع تنص على أنه "لا يجبر الكفيل على الوفاء للدائن إلا إذا لم يوفه المدين</w:t>
      </w:r>
      <w:r>
        <w:rPr>
          <w:rFonts w:hint="cs"/>
          <w:color w:val="0000FF"/>
          <w:sz w:val="28"/>
          <w:szCs w:val="28"/>
          <w:rtl/>
        </w:rPr>
        <w:t xml:space="preserve"> .</w:t>
      </w:r>
      <w:r w:rsidRPr="00923B1A">
        <w:rPr>
          <w:rFonts w:hint="cs"/>
          <w:color w:val="0000FF"/>
          <w:sz w:val="28"/>
          <w:szCs w:val="28"/>
          <w:rtl/>
        </w:rPr>
        <w:t xml:space="preserve"> ويجب أن يرجع الدائن أولا على المدين</w:t>
      </w:r>
      <w:r>
        <w:rPr>
          <w:rFonts w:hint="cs"/>
          <w:color w:val="0000FF"/>
          <w:sz w:val="28"/>
          <w:szCs w:val="28"/>
          <w:rtl/>
        </w:rPr>
        <w:t xml:space="preserve"> ،</w:t>
      </w:r>
      <w:r w:rsidRPr="00923B1A">
        <w:rPr>
          <w:rFonts w:hint="cs"/>
          <w:color w:val="0000FF"/>
          <w:sz w:val="28"/>
          <w:szCs w:val="28"/>
          <w:rtl/>
        </w:rPr>
        <w:t xml:space="preserve"> إلا إذا تنازل الكفيل عن حق التجريد أو التزم متضامناً مع المدين</w:t>
      </w:r>
      <w:r>
        <w:rPr>
          <w:rFonts w:hint="cs"/>
          <w:color w:val="0000FF"/>
          <w:sz w:val="28"/>
          <w:szCs w:val="28"/>
          <w:rtl/>
        </w:rPr>
        <w:t xml:space="preserve"> ،</w:t>
      </w:r>
      <w:r w:rsidRPr="00923B1A">
        <w:rPr>
          <w:rFonts w:hint="cs"/>
          <w:color w:val="0000FF"/>
          <w:sz w:val="28"/>
          <w:szCs w:val="28"/>
          <w:rtl/>
        </w:rPr>
        <w:t xml:space="preserve"> فيخضع التزامه في هذه الحالة للقواعد الخاصة بالتضامن"</w:t>
      </w:r>
      <w:r>
        <w:rPr>
          <w:rFonts w:hint="cs"/>
          <w:color w:val="0000FF"/>
          <w:sz w:val="28"/>
          <w:szCs w:val="28"/>
          <w:rtl/>
        </w:rPr>
        <w:t xml:space="preserve"> .</w:t>
      </w:r>
      <w:r w:rsidRPr="00923B1A">
        <w:rPr>
          <w:rFonts w:hint="cs"/>
          <w:color w:val="0000FF"/>
          <w:sz w:val="28"/>
          <w:szCs w:val="28"/>
          <w:rtl/>
        </w:rPr>
        <w:t xml:space="preserve"> وكانت المادة 1144 مكررة من المشروع تنص على أنه "إذا طلب الكفيل التجريد</w:t>
      </w:r>
      <w:r>
        <w:rPr>
          <w:rFonts w:hint="cs"/>
          <w:color w:val="0000FF"/>
          <w:sz w:val="28"/>
          <w:szCs w:val="28"/>
          <w:rtl/>
        </w:rPr>
        <w:t xml:space="preserve"> ،</w:t>
      </w:r>
      <w:r w:rsidRPr="00923B1A">
        <w:rPr>
          <w:rFonts w:hint="cs"/>
          <w:color w:val="0000FF"/>
          <w:sz w:val="28"/>
          <w:szCs w:val="28"/>
          <w:rtl/>
        </w:rPr>
        <w:t xml:space="preserve"> وجب عليه أن يدل الدائن على أموال المدين</w:t>
      </w:r>
      <w:r>
        <w:rPr>
          <w:rFonts w:hint="cs"/>
          <w:color w:val="0000FF"/>
          <w:sz w:val="28"/>
          <w:szCs w:val="28"/>
          <w:rtl/>
        </w:rPr>
        <w:t xml:space="preserve"> ،</w:t>
      </w:r>
      <w:r w:rsidRPr="00923B1A">
        <w:rPr>
          <w:rFonts w:hint="cs"/>
          <w:color w:val="0000FF"/>
          <w:sz w:val="28"/>
          <w:szCs w:val="28"/>
          <w:rtl/>
        </w:rPr>
        <w:t xml:space="preserve"> وأن يقدم له المبالغ الكافية للقيام بالتجريد"</w:t>
      </w:r>
      <w:r>
        <w:rPr>
          <w:rFonts w:hint="cs"/>
          <w:color w:val="0000FF"/>
          <w:sz w:val="28"/>
          <w:szCs w:val="28"/>
          <w:rtl/>
        </w:rPr>
        <w:t xml:space="preserve"> .</w:t>
      </w:r>
      <w:r w:rsidRPr="00923B1A">
        <w:rPr>
          <w:rFonts w:hint="cs"/>
          <w:color w:val="0000FF"/>
          <w:sz w:val="28"/>
          <w:szCs w:val="28"/>
          <w:rtl/>
        </w:rPr>
        <w:t xml:space="preserve"> وكانت المادة 1145م المشروع تنص على أنه " لا يلزم الدائن بتجريد المدين إلا إذا طلب الكفيل ذلك عند الإجراءات الأولى التي توجه ضده" </w:t>
      </w:r>
      <w:r>
        <w:rPr>
          <w:rFonts w:hint="cs"/>
          <w:color w:val="0000FF"/>
          <w:sz w:val="28"/>
          <w:szCs w:val="28"/>
          <w:rtl/>
        </w:rPr>
        <w:t xml:space="preserve">( </w:t>
      </w:r>
      <w:r w:rsidRPr="00923B1A">
        <w:rPr>
          <w:rFonts w:hint="cs"/>
          <w:color w:val="0000FF"/>
          <w:sz w:val="28"/>
          <w:szCs w:val="28"/>
          <w:rtl/>
        </w:rPr>
        <w:t>مجموعة الأعمال التحضيرية 5 ص 494 وص 500</w:t>
      </w:r>
      <w:r>
        <w:rPr>
          <w:rFonts w:hint="cs"/>
          <w:color w:val="0000FF"/>
          <w:sz w:val="28"/>
          <w:szCs w:val="28"/>
          <w:rtl/>
        </w:rPr>
        <w:t xml:space="preserve"> ) .</w:t>
      </w:r>
    </w:p>
  </w:footnote>
  <w:footnote w:id="24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497</w:t>
      </w:r>
      <w:r>
        <w:rPr>
          <w:rFonts w:hint="cs"/>
          <w:color w:val="0000FF"/>
          <w:sz w:val="28"/>
          <w:szCs w:val="28"/>
          <w:rtl/>
        </w:rPr>
        <w:t xml:space="preserve"> .</w:t>
      </w:r>
    </w:p>
  </w:footnote>
  <w:footnote w:id="24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498 </w:t>
      </w:r>
      <w:r w:rsidRPr="00923B1A">
        <w:rPr>
          <w:color w:val="0000FF"/>
          <w:sz w:val="28"/>
          <w:szCs w:val="28"/>
          <w:rtl/>
        </w:rPr>
        <w:t>–</w:t>
      </w:r>
      <w:r w:rsidRPr="00923B1A">
        <w:rPr>
          <w:rFonts w:hint="cs"/>
          <w:color w:val="0000FF"/>
          <w:sz w:val="28"/>
          <w:szCs w:val="28"/>
          <w:rtl/>
        </w:rPr>
        <w:t xml:space="preserve"> ص 499</w:t>
      </w:r>
      <w:r>
        <w:rPr>
          <w:rFonts w:hint="cs"/>
          <w:color w:val="0000FF"/>
          <w:sz w:val="28"/>
          <w:szCs w:val="28"/>
          <w:rtl/>
        </w:rPr>
        <w:t xml:space="preserve"> .</w:t>
      </w:r>
    </w:p>
  </w:footnote>
  <w:footnote w:id="24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وكما يتبين من الأعمال التحضيرية</w:t>
      </w:r>
      <w:r>
        <w:rPr>
          <w:rFonts w:hint="cs"/>
          <w:color w:val="0000FF"/>
          <w:sz w:val="28"/>
          <w:szCs w:val="28"/>
          <w:rtl/>
        </w:rPr>
        <w:t xml:space="preserve"> ،</w:t>
      </w:r>
      <w:r w:rsidRPr="00923B1A">
        <w:rPr>
          <w:rFonts w:hint="cs"/>
          <w:color w:val="0000FF"/>
          <w:sz w:val="28"/>
          <w:szCs w:val="28"/>
          <w:rtl/>
        </w:rPr>
        <w:t xml:space="preserve"> فقد ورد في لجنة المراجعة ما يأتي</w:t>
      </w:r>
      <w:r>
        <w:rPr>
          <w:rFonts w:hint="cs"/>
          <w:color w:val="0000FF"/>
          <w:sz w:val="28"/>
          <w:szCs w:val="28"/>
          <w:rtl/>
        </w:rPr>
        <w:t xml:space="preserve"> :</w:t>
      </w:r>
      <w:r w:rsidRPr="00923B1A">
        <w:rPr>
          <w:rFonts w:hint="cs"/>
          <w:color w:val="0000FF"/>
          <w:sz w:val="28"/>
          <w:szCs w:val="28"/>
          <w:rtl/>
        </w:rPr>
        <w:t xml:space="preserve"> "وبالنسبة للشق الأول</w:t>
      </w:r>
      <w:r>
        <w:rPr>
          <w:rFonts w:hint="cs"/>
          <w:color w:val="0000FF"/>
          <w:sz w:val="28"/>
          <w:szCs w:val="28"/>
          <w:rtl/>
        </w:rPr>
        <w:t xml:space="preserve"> ،</w:t>
      </w:r>
      <w:r w:rsidRPr="00923B1A">
        <w:rPr>
          <w:rFonts w:hint="cs"/>
          <w:color w:val="0000FF"/>
          <w:sz w:val="28"/>
          <w:szCs w:val="28"/>
          <w:rtl/>
        </w:rPr>
        <w:t xml:space="preserve"> رأت أن يمنع النص للدائن من الرجوع على الكفيل </w:t>
      </w:r>
      <w:r w:rsidRPr="00923B1A">
        <w:rPr>
          <w:rFonts w:hint="cs"/>
          <w:color w:val="0000FF"/>
          <w:sz w:val="28"/>
          <w:szCs w:val="28"/>
          <w:u w:val="single"/>
          <w:rtl/>
        </w:rPr>
        <w:t>البسيط</w:t>
      </w:r>
      <w:r w:rsidRPr="00923B1A">
        <w:rPr>
          <w:rFonts w:hint="cs"/>
          <w:color w:val="0000FF"/>
          <w:sz w:val="28"/>
          <w:szCs w:val="28"/>
          <w:rtl/>
        </w:rPr>
        <w:t xml:space="preserve"> وحده إلا بعد رجوعه على المدين </w:t>
      </w:r>
      <w:r>
        <w:rPr>
          <w:rFonts w:hint="cs"/>
          <w:color w:val="0000FF"/>
          <w:sz w:val="28"/>
          <w:szCs w:val="28"/>
          <w:rtl/>
        </w:rPr>
        <w:t xml:space="preserve"> . .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مجموعة الأعمال التحضيرية 5 ص 497</w:t>
      </w:r>
      <w:r>
        <w:rPr>
          <w:rFonts w:hint="cs"/>
          <w:color w:val="0000FF"/>
          <w:sz w:val="28"/>
          <w:szCs w:val="28"/>
          <w:rtl/>
        </w:rPr>
        <w:t xml:space="preserve"> ) .</w:t>
      </w:r>
      <w:r w:rsidRPr="00923B1A">
        <w:rPr>
          <w:rFonts w:hint="cs"/>
          <w:color w:val="0000FF"/>
          <w:sz w:val="28"/>
          <w:szCs w:val="28"/>
          <w:rtl/>
        </w:rPr>
        <w:t xml:space="preserve"> وقد ورد نص صريح في ذلك بالنسبة إلى كفيل الكفيل</w:t>
      </w:r>
      <w:r>
        <w:rPr>
          <w:rFonts w:hint="cs"/>
          <w:color w:val="0000FF"/>
          <w:sz w:val="28"/>
          <w:szCs w:val="28"/>
          <w:rtl/>
        </w:rPr>
        <w:t xml:space="preserve"> ،</w:t>
      </w:r>
      <w:r w:rsidRPr="00923B1A">
        <w:rPr>
          <w:rFonts w:hint="cs"/>
          <w:color w:val="0000FF"/>
          <w:sz w:val="28"/>
          <w:szCs w:val="28"/>
          <w:rtl/>
        </w:rPr>
        <w:t xml:space="preserve"> وهو بالنسبة إلى الكفيل في مركز الكفيل بالنسبة إلى المدين</w:t>
      </w:r>
      <w:r>
        <w:rPr>
          <w:rFonts w:hint="cs"/>
          <w:color w:val="0000FF"/>
          <w:sz w:val="28"/>
          <w:szCs w:val="28"/>
          <w:rtl/>
        </w:rPr>
        <w:t xml:space="preserve"> ،</w:t>
      </w:r>
      <w:r w:rsidRPr="00923B1A">
        <w:rPr>
          <w:rFonts w:hint="cs"/>
          <w:color w:val="0000FF"/>
          <w:sz w:val="28"/>
          <w:szCs w:val="28"/>
          <w:rtl/>
        </w:rPr>
        <w:t xml:space="preserve"> فنصت المادة 797 مدني على ما يأتي</w:t>
      </w:r>
      <w:r>
        <w:rPr>
          <w:rFonts w:hint="cs"/>
          <w:color w:val="0000FF"/>
          <w:sz w:val="28"/>
          <w:szCs w:val="28"/>
          <w:rtl/>
        </w:rPr>
        <w:t xml:space="preserve"> :</w:t>
      </w:r>
      <w:r w:rsidRPr="00923B1A">
        <w:rPr>
          <w:rFonts w:hint="cs"/>
          <w:color w:val="0000FF"/>
          <w:sz w:val="28"/>
          <w:szCs w:val="28"/>
          <w:rtl/>
        </w:rPr>
        <w:t xml:space="preserve"> "تجوز كفالة الكفيل</w:t>
      </w:r>
      <w:r>
        <w:rPr>
          <w:rFonts w:hint="cs"/>
          <w:color w:val="0000FF"/>
          <w:sz w:val="28"/>
          <w:szCs w:val="28"/>
          <w:rtl/>
        </w:rPr>
        <w:t xml:space="preserve"> .</w:t>
      </w:r>
      <w:r w:rsidRPr="00923B1A">
        <w:rPr>
          <w:rFonts w:hint="cs"/>
          <w:color w:val="0000FF"/>
          <w:sz w:val="28"/>
          <w:szCs w:val="28"/>
          <w:rtl/>
        </w:rPr>
        <w:t xml:space="preserve"> وفي هذه الحالة لا يجوز للدائن أن يرجع على كفيل الكفيل قبل رجوعه على الكفيل</w:t>
      </w:r>
      <w:r>
        <w:rPr>
          <w:rFonts w:hint="cs"/>
          <w:color w:val="0000FF"/>
          <w:sz w:val="28"/>
          <w:szCs w:val="28"/>
          <w:rtl/>
        </w:rPr>
        <w:t xml:space="preserve"> ،</w:t>
      </w:r>
      <w:r w:rsidRPr="00923B1A">
        <w:rPr>
          <w:rFonts w:hint="cs"/>
          <w:color w:val="0000FF"/>
          <w:sz w:val="28"/>
          <w:szCs w:val="28"/>
          <w:rtl/>
        </w:rPr>
        <w:t xml:space="preserve"> إلا إذا كان كفيل الكفيل متضامنا مع الكفيل" </w:t>
      </w:r>
      <w:r>
        <w:rPr>
          <w:rFonts w:hint="cs"/>
          <w:color w:val="0000FF"/>
          <w:sz w:val="28"/>
          <w:szCs w:val="28"/>
          <w:rtl/>
        </w:rPr>
        <w:t xml:space="preserve">( </w:t>
      </w:r>
      <w:r w:rsidRPr="00923B1A">
        <w:rPr>
          <w:rFonts w:hint="cs"/>
          <w:color w:val="0000FF"/>
          <w:sz w:val="28"/>
          <w:szCs w:val="28"/>
          <w:rtl/>
        </w:rPr>
        <w:t xml:space="preserve">عبد الفتاح عبد الباقي فقرة 78 </w:t>
      </w:r>
      <w:r w:rsidRPr="00923B1A">
        <w:rPr>
          <w:color w:val="0000FF"/>
          <w:sz w:val="28"/>
          <w:szCs w:val="28"/>
          <w:rtl/>
        </w:rPr>
        <w:t>–</w:t>
      </w:r>
      <w:r w:rsidRPr="00923B1A">
        <w:rPr>
          <w:rFonts w:hint="cs"/>
          <w:color w:val="0000FF"/>
          <w:sz w:val="28"/>
          <w:szCs w:val="28"/>
          <w:rtl/>
        </w:rPr>
        <w:t xml:space="preserve"> منصور مصطفى منصور فقرة 29 ص 56</w:t>
      </w:r>
      <w:r>
        <w:rPr>
          <w:rFonts w:hint="cs"/>
          <w:color w:val="0000FF"/>
          <w:sz w:val="28"/>
          <w:szCs w:val="28"/>
          <w:rtl/>
        </w:rPr>
        <w:t xml:space="preserve"> ) .</w:t>
      </w:r>
    </w:p>
  </w:footnote>
  <w:footnote w:id="24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ويذهب بعض الفقهاء إلى أن النزول لا يكون إلا صريحاً </w:t>
      </w:r>
      <w:r>
        <w:rPr>
          <w:rFonts w:hint="cs"/>
          <w:color w:val="0000FF"/>
          <w:sz w:val="28"/>
          <w:szCs w:val="28"/>
          <w:rtl/>
        </w:rPr>
        <w:t xml:space="preserve">( </w:t>
      </w:r>
      <w:r w:rsidRPr="00923B1A">
        <w:rPr>
          <w:rFonts w:hint="cs"/>
          <w:color w:val="0000FF"/>
          <w:sz w:val="28"/>
          <w:szCs w:val="28"/>
          <w:rtl/>
        </w:rPr>
        <w:t>سليمان مرقس فقرة 65 ص 70</w:t>
      </w:r>
      <w:r>
        <w:rPr>
          <w:rFonts w:hint="cs"/>
          <w:color w:val="0000FF"/>
          <w:sz w:val="28"/>
          <w:szCs w:val="28"/>
          <w:rtl/>
        </w:rPr>
        <w:t xml:space="preserve"> ) .</w:t>
      </w:r>
      <w:r w:rsidRPr="00923B1A">
        <w:rPr>
          <w:rFonts w:hint="cs"/>
          <w:color w:val="0000FF"/>
          <w:sz w:val="28"/>
          <w:szCs w:val="28"/>
          <w:rtl/>
        </w:rPr>
        <w:t xml:space="preserve"> ولكن ما دام لا يوجد نص يشترط أن يكون النزول صريحاً</w:t>
      </w:r>
      <w:r>
        <w:rPr>
          <w:rFonts w:hint="cs"/>
          <w:color w:val="0000FF"/>
          <w:sz w:val="28"/>
          <w:szCs w:val="28"/>
          <w:rtl/>
        </w:rPr>
        <w:t xml:space="preserve"> ،</w:t>
      </w:r>
      <w:r w:rsidRPr="00923B1A">
        <w:rPr>
          <w:rFonts w:hint="cs"/>
          <w:color w:val="0000FF"/>
          <w:sz w:val="28"/>
          <w:szCs w:val="28"/>
          <w:rtl/>
        </w:rPr>
        <w:t xml:space="preserve"> فإنه لا يوجد مانع من أن يكون النزول ضمنا </w:t>
      </w:r>
      <w:r>
        <w:rPr>
          <w:rFonts w:hint="cs"/>
          <w:color w:val="0000FF"/>
          <w:sz w:val="28"/>
          <w:szCs w:val="28"/>
          <w:rtl/>
        </w:rPr>
        <w:t xml:space="preserve">( </w:t>
      </w:r>
      <w:r w:rsidRPr="00923B1A">
        <w:rPr>
          <w:rFonts w:hint="cs"/>
          <w:color w:val="0000FF"/>
          <w:sz w:val="28"/>
          <w:szCs w:val="28"/>
          <w:rtl/>
        </w:rPr>
        <w:t>منصور مصطفى منصور فقرة 29 ص 57</w:t>
      </w:r>
      <w:r>
        <w:rPr>
          <w:rFonts w:hint="cs"/>
          <w:color w:val="0000FF"/>
          <w:sz w:val="28"/>
          <w:szCs w:val="28"/>
          <w:rtl/>
        </w:rPr>
        <w:t xml:space="preserve"> ) .</w:t>
      </w:r>
    </w:p>
  </w:footnote>
  <w:footnote w:id="24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جاء في مناقشات لجنة الأستاذ كامل صدقي في هذا الخصوص أن أحد أعضاء هذه اللجنة رأى جواز تمسك الكفيل بالدفع إذا كانت أموال المدين الجائز الحجز عليها تفي بجزء من الدين</w:t>
      </w:r>
      <w:r>
        <w:rPr>
          <w:rFonts w:hint="cs"/>
          <w:color w:val="0000FF"/>
          <w:sz w:val="28"/>
          <w:szCs w:val="28"/>
          <w:rtl/>
        </w:rPr>
        <w:t xml:space="preserve"> ،</w:t>
      </w:r>
      <w:r w:rsidRPr="00923B1A">
        <w:rPr>
          <w:rFonts w:hint="cs"/>
          <w:color w:val="0000FF"/>
          <w:sz w:val="28"/>
          <w:szCs w:val="28"/>
          <w:rtl/>
        </w:rPr>
        <w:t xml:space="preserve"> فانضمت إليه أغلبية الأعضاء</w:t>
      </w:r>
      <w:r>
        <w:rPr>
          <w:rFonts w:hint="cs"/>
          <w:color w:val="0000FF"/>
          <w:sz w:val="28"/>
          <w:szCs w:val="28"/>
          <w:rtl/>
        </w:rPr>
        <w:t xml:space="preserve"> .</w:t>
      </w:r>
      <w:r w:rsidRPr="00923B1A">
        <w:rPr>
          <w:rFonts w:hint="cs"/>
          <w:color w:val="0000FF"/>
          <w:sz w:val="28"/>
          <w:szCs w:val="28"/>
          <w:rtl/>
        </w:rPr>
        <w:t xml:space="preserve"> ورأت اللجنة حذف عبارة "تفي بأداء الدين بتمامه" لأن هذا أصلح للكفيل من جهة</w:t>
      </w:r>
      <w:r>
        <w:rPr>
          <w:rFonts w:hint="cs"/>
          <w:color w:val="0000FF"/>
          <w:sz w:val="28"/>
          <w:szCs w:val="28"/>
          <w:rtl/>
        </w:rPr>
        <w:t xml:space="preserve"> ،</w:t>
      </w:r>
      <w:r w:rsidRPr="00923B1A">
        <w:rPr>
          <w:rFonts w:hint="cs"/>
          <w:color w:val="0000FF"/>
          <w:sz w:val="28"/>
          <w:szCs w:val="28"/>
          <w:rtl/>
        </w:rPr>
        <w:t xml:space="preserve"> ومن جهة أخرى لن يلحق بالدائن أي ضرر إذ أنه يستوفي بقية الدين من الكفيل</w:t>
      </w:r>
      <w:r>
        <w:rPr>
          <w:rFonts w:hint="cs"/>
          <w:color w:val="0000FF"/>
          <w:sz w:val="28"/>
          <w:szCs w:val="28"/>
          <w:rtl/>
        </w:rPr>
        <w:t xml:space="preserve"> .</w:t>
      </w:r>
      <w:r w:rsidRPr="00923B1A">
        <w:rPr>
          <w:rFonts w:hint="cs"/>
          <w:color w:val="0000FF"/>
          <w:sz w:val="28"/>
          <w:szCs w:val="28"/>
          <w:rtl/>
        </w:rPr>
        <w:t xml:space="preserve"> انظر مجموعة الأعمال التحضيرية 5 ص 494 </w:t>
      </w:r>
      <w:r w:rsidRPr="00923B1A">
        <w:rPr>
          <w:color w:val="0000FF"/>
          <w:sz w:val="28"/>
          <w:szCs w:val="28"/>
          <w:rtl/>
        </w:rPr>
        <w:t>–</w:t>
      </w:r>
      <w:r w:rsidRPr="00923B1A">
        <w:rPr>
          <w:rFonts w:hint="cs"/>
          <w:color w:val="0000FF"/>
          <w:sz w:val="28"/>
          <w:szCs w:val="28"/>
          <w:rtl/>
        </w:rPr>
        <w:t xml:space="preserve"> ص 496 في الهامش</w:t>
      </w:r>
      <w:r>
        <w:rPr>
          <w:rFonts w:hint="cs"/>
          <w:color w:val="0000FF"/>
          <w:sz w:val="28"/>
          <w:szCs w:val="28"/>
          <w:rtl/>
        </w:rPr>
        <w:t xml:space="preserve"> .</w:t>
      </w:r>
    </w:p>
  </w:footnote>
  <w:footnote w:id="24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77 ص 125 </w:t>
      </w:r>
      <w:r w:rsidRPr="00923B1A">
        <w:rPr>
          <w:color w:val="0000FF"/>
          <w:sz w:val="28"/>
          <w:szCs w:val="28"/>
          <w:rtl/>
        </w:rPr>
        <w:t>–</w:t>
      </w:r>
      <w:r w:rsidRPr="00923B1A">
        <w:rPr>
          <w:rFonts w:hint="cs"/>
          <w:color w:val="0000FF"/>
          <w:sz w:val="28"/>
          <w:szCs w:val="28"/>
          <w:rtl/>
        </w:rPr>
        <w:t xml:space="preserve"> محمد علي إمام فقرة 58 ص 94 </w:t>
      </w:r>
      <w:r w:rsidRPr="00923B1A">
        <w:rPr>
          <w:color w:val="0000FF"/>
          <w:sz w:val="28"/>
          <w:szCs w:val="28"/>
          <w:rtl/>
        </w:rPr>
        <w:t>–</w:t>
      </w:r>
      <w:r w:rsidRPr="00923B1A">
        <w:rPr>
          <w:rFonts w:hint="cs"/>
          <w:color w:val="0000FF"/>
          <w:sz w:val="28"/>
          <w:szCs w:val="28"/>
          <w:rtl/>
        </w:rPr>
        <w:t xml:space="preserve"> جمال الدين زكي فقرة 49 ص 99 </w:t>
      </w:r>
      <w:r w:rsidRPr="00923B1A">
        <w:rPr>
          <w:color w:val="0000FF"/>
          <w:sz w:val="28"/>
          <w:szCs w:val="28"/>
          <w:rtl/>
        </w:rPr>
        <w:t>–</w:t>
      </w:r>
      <w:r w:rsidRPr="00923B1A">
        <w:rPr>
          <w:rFonts w:hint="cs"/>
          <w:color w:val="0000FF"/>
          <w:sz w:val="28"/>
          <w:szCs w:val="28"/>
          <w:rtl/>
        </w:rPr>
        <w:t xml:space="preserve"> سليمان مرقس فقرة 64 ص 67 </w:t>
      </w:r>
      <w:r w:rsidRPr="00923B1A">
        <w:rPr>
          <w:color w:val="0000FF"/>
          <w:sz w:val="28"/>
          <w:szCs w:val="28"/>
          <w:rtl/>
        </w:rPr>
        <w:t>–</w:t>
      </w:r>
      <w:r w:rsidRPr="00923B1A">
        <w:rPr>
          <w:rFonts w:hint="cs"/>
          <w:color w:val="0000FF"/>
          <w:sz w:val="28"/>
          <w:szCs w:val="28"/>
          <w:rtl/>
        </w:rPr>
        <w:t xml:space="preserve"> منصور مصطفى منصور فقرة  29 ص 55</w:t>
      </w:r>
      <w:r>
        <w:rPr>
          <w:rFonts w:hint="cs"/>
          <w:color w:val="0000FF"/>
          <w:sz w:val="28"/>
          <w:szCs w:val="28"/>
          <w:rtl/>
        </w:rPr>
        <w:t xml:space="preserve"> .</w:t>
      </w:r>
    </w:p>
  </w:footnote>
  <w:footnote w:id="24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سليمان مرقس فقرة 64 ص 68</w:t>
      </w:r>
      <w:r>
        <w:rPr>
          <w:rFonts w:hint="cs"/>
          <w:color w:val="0000FF"/>
          <w:sz w:val="28"/>
          <w:szCs w:val="28"/>
          <w:rtl/>
        </w:rPr>
        <w:t xml:space="preserve"> .</w:t>
      </w:r>
    </w:p>
  </w:footnote>
  <w:footnote w:id="24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499</w:t>
      </w:r>
      <w:r>
        <w:rPr>
          <w:rFonts w:hint="cs"/>
          <w:color w:val="0000FF"/>
          <w:sz w:val="28"/>
          <w:szCs w:val="28"/>
          <w:rtl/>
        </w:rPr>
        <w:t xml:space="preserve"> .</w:t>
      </w:r>
    </w:p>
  </w:footnote>
  <w:footnote w:id="25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77 </w:t>
      </w:r>
      <w:r w:rsidRPr="00923B1A">
        <w:rPr>
          <w:color w:val="0000FF"/>
          <w:sz w:val="28"/>
          <w:szCs w:val="28"/>
          <w:rtl/>
        </w:rPr>
        <w:t>–</w:t>
      </w:r>
      <w:r w:rsidRPr="00923B1A">
        <w:rPr>
          <w:rFonts w:hint="cs"/>
          <w:color w:val="0000FF"/>
          <w:sz w:val="28"/>
          <w:szCs w:val="28"/>
          <w:rtl/>
        </w:rPr>
        <w:t xml:space="preserve"> محمد علي إمام فقرة 58 ص 94 </w:t>
      </w:r>
      <w:r w:rsidRPr="00923B1A">
        <w:rPr>
          <w:color w:val="0000FF"/>
          <w:sz w:val="28"/>
          <w:szCs w:val="28"/>
          <w:rtl/>
        </w:rPr>
        <w:t>–</w:t>
      </w:r>
      <w:r w:rsidRPr="00923B1A">
        <w:rPr>
          <w:rFonts w:hint="cs"/>
          <w:color w:val="0000FF"/>
          <w:sz w:val="28"/>
          <w:szCs w:val="28"/>
          <w:rtl/>
        </w:rPr>
        <w:t xml:space="preserve"> جمال الدين زكي فقرة 49 ص 99 </w:t>
      </w:r>
      <w:r w:rsidRPr="00923B1A">
        <w:rPr>
          <w:color w:val="0000FF"/>
          <w:sz w:val="28"/>
          <w:szCs w:val="28"/>
          <w:rtl/>
        </w:rPr>
        <w:t>–</w:t>
      </w:r>
      <w:r w:rsidRPr="00923B1A">
        <w:rPr>
          <w:rFonts w:hint="cs"/>
          <w:color w:val="0000FF"/>
          <w:sz w:val="28"/>
          <w:szCs w:val="28"/>
          <w:rtl/>
        </w:rPr>
        <w:t xml:space="preserve"> منصور مصطفى منصور فقرة 29 ص 57 </w:t>
      </w:r>
      <w:r w:rsidRPr="00923B1A">
        <w:rPr>
          <w:color w:val="0000FF"/>
          <w:sz w:val="28"/>
          <w:szCs w:val="28"/>
          <w:rtl/>
        </w:rPr>
        <w:t>–</w:t>
      </w:r>
      <w:r w:rsidRPr="00923B1A">
        <w:rPr>
          <w:rFonts w:hint="cs"/>
          <w:color w:val="0000FF"/>
          <w:sz w:val="28"/>
          <w:szCs w:val="28"/>
          <w:rtl/>
        </w:rPr>
        <w:t xml:space="preserve"> ص 58</w:t>
      </w:r>
      <w:r>
        <w:rPr>
          <w:rFonts w:hint="cs"/>
          <w:color w:val="0000FF"/>
          <w:sz w:val="28"/>
          <w:szCs w:val="28"/>
          <w:rtl/>
        </w:rPr>
        <w:t xml:space="preserve"> .</w:t>
      </w:r>
    </w:p>
  </w:footnote>
  <w:footnote w:id="25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76 ص 130 </w:t>
      </w:r>
      <w:r w:rsidRPr="00923B1A">
        <w:rPr>
          <w:color w:val="0000FF"/>
          <w:sz w:val="28"/>
          <w:szCs w:val="28"/>
          <w:rtl/>
        </w:rPr>
        <w:t>–</w:t>
      </w:r>
      <w:r w:rsidRPr="00923B1A">
        <w:rPr>
          <w:rFonts w:hint="cs"/>
          <w:color w:val="0000FF"/>
          <w:sz w:val="28"/>
          <w:szCs w:val="28"/>
          <w:rtl/>
        </w:rPr>
        <w:t xml:space="preserve"> محمد علي إمام فقرة 56 ص 92 </w:t>
      </w:r>
      <w:r w:rsidRPr="00923B1A">
        <w:rPr>
          <w:color w:val="0000FF"/>
          <w:sz w:val="28"/>
          <w:szCs w:val="28"/>
          <w:rtl/>
        </w:rPr>
        <w:t>–</w:t>
      </w:r>
      <w:r w:rsidRPr="00923B1A">
        <w:rPr>
          <w:rFonts w:hint="cs"/>
          <w:color w:val="0000FF"/>
          <w:sz w:val="28"/>
          <w:szCs w:val="28"/>
          <w:rtl/>
        </w:rPr>
        <w:t xml:space="preserve"> جمال الدين زكي فقرة 49 ص 98 </w:t>
      </w:r>
      <w:r w:rsidRPr="00923B1A">
        <w:rPr>
          <w:color w:val="0000FF"/>
          <w:sz w:val="28"/>
          <w:szCs w:val="28"/>
          <w:rtl/>
        </w:rPr>
        <w:t>–</w:t>
      </w:r>
      <w:r w:rsidRPr="00923B1A">
        <w:rPr>
          <w:rFonts w:hint="cs"/>
          <w:color w:val="0000FF"/>
          <w:sz w:val="28"/>
          <w:szCs w:val="28"/>
          <w:rtl/>
        </w:rPr>
        <w:t xml:space="preserve"> منصور مصطفى منصور فقرة 29 ص 55</w:t>
      </w:r>
      <w:r>
        <w:rPr>
          <w:rFonts w:hint="cs"/>
          <w:color w:val="0000FF"/>
          <w:sz w:val="28"/>
          <w:szCs w:val="28"/>
          <w:rtl/>
        </w:rPr>
        <w:t xml:space="preserve"> .</w:t>
      </w:r>
    </w:p>
  </w:footnote>
  <w:footnote w:id="25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1159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"يبرأ الكفيل بمجرد براءة المدين</w:t>
      </w:r>
      <w:r>
        <w:rPr>
          <w:rFonts w:hint="cs"/>
          <w:color w:val="0000FF"/>
          <w:sz w:val="28"/>
          <w:szCs w:val="28"/>
          <w:rtl/>
        </w:rPr>
        <w:t xml:space="preserve"> ،</w:t>
      </w:r>
      <w:r w:rsidRPr="00923B1A">
        <w:rPr>
          <w:rFonts w:hint="cs"/>
          <w:color w:val="0000FF"/>
          <w:sz w:val="28"/>
          <w:szCs w:val="28"/>
          <w:rtl/>
        </w:rPr>
        <w:t xml:space="preserve"> وله أن يتمسك بجميع الأوجه التي يحتج بها المدين ما عدا الأوجه المتصلة بشخصية خاصة</w:t>
      </w:r>
      <w:r>
        <w:rPr>
          <w:rFonts w:hint="cs"/>
          <w:color w:val="0000FF"/>
          <w:sz w:val="28"/>
          <w:szCs w:val="28"/>
          <w:rtl/>
        </w:rPr>
        <w:t xml:space="preserve"> ،</w:t>
      </w:r>
      <w:r w:rsidRPr="00923B1A">
        <w:rPr>
          <w:rFonts w:hint="cs"/>
          <w:color w:val="0000FF"/>
          <w:sz w:val="28"/>
          <w:szCs w:val="28"/>
          <w:rtl/>
        </w:rPr>
        <w:t xml:space="preserve"> وذلك مع مراعاة ما ورد بالمادة 1135"</w:t>
      </w:r>
      <w:r>
        <w:rPr>
          <w:rFonts w:hint="cs"/>
          <w:color w:val="0000FF"/>
          <w:sz w:val="28"/>
          <w:szCs w:val="28"/>
          <w:rtl/>
        </w:rPr>
        <w:t xml:space="preserve"> .</w:t>
      </w:r>
      <w:r w:rsidRPr="00923B1A">
        <w:rPr>
          <w:rFonts w:hint="cs"/>
          <w:color w:val="0000FF"/>
          <w:sz w:val="28"/>
          <w:szCs w:val="28"/>
          <w:rtl/>
        </w:rPr>
        <w:t xml:space="preserve"> ووافقت لجنة المراجعة على هذا النص</w:t>
      </w:r>
      <w:r>
        <w:rPr>
          <w:rFonts w:hint="cs"/>
          <w:color w:val="0000FF"/>
          <w:sz w:val="28"/>
          <w:szCs w:val="28"/>
          <w:rtl/>
        </w:rPr>
        <w:t xml:space="preserve"> ،</w:t>
      </w:r>
      <w:r w:rsidRPr="00923B1A">
        <w:rPr>
          <w:rFonts w:hint="cs"/>
          <w:color w:val="0000FF"/>
          <w:sz w:val="28"/>
          <w:szCs w:val="28"/>
          <w:rtl/>
        </w:rPr>
        <w:t xml:space="preserve"> وأصبح رقمه 851 في المشروع النهائي</w:t>
      </w:r>
      <w:r>
        <w:rPr>
          <w:rFonts w:hint="cs"/>
          <w:color w:val="0000FF"/>
          <w:sz w:val="28"/>
          <w:szCs w:val="28"/>
          <w:rtl/>
        </w:rPr>
        <w:t xml:space="preserve"> .</w:t>
      </w:r>
      <w:r w:rsidRPr="00923B1A">
        <w:rPr>
          <w:rFonts w:hint="cs"/>
          <w:color w:val="0000FF"/>
          <w:sz w:val="28"/>
          <w:szCs w:val="28"/>
          <w:rtl/>
        </w:rPr>
        <w:t xml:space="preserve"> وفي لجنة الشؤون التشريعية لمجلس النواب</w:t>
      </w:r>
      <w:r>
        <w:rPr>
          <w:rFonts w:hint="cs"/>
          <w:color w:val="0000FF"/>
          <w:sz w:val="28"/>
          <w:szCs w:val="28"/>
          <w:rtl/>
        </w:rPr>
        <w:t xml:space="preserve"> ،</w:t>
      </w:r>
      <w:r w:rsidRPr="00923B1A">
        <w:rPr>
          <w:rFonts w:hint="cs"/>
          <w:color w:val="0000FF"/>
          <w:sz w:val="28"/>
          <w:szCs w:val="28"/>
          <w:rtl/>
        </w:rPr>
        <w:t xml:space="preserve"> عدل النص فأصبح مطابقا لما استقر عليه في التقنين المدني الجديد تحت رقم 849</w:t>
      </w:r>
      <w:r>
        <w:rPr>
          <w:rFonts w:hint="cs"/>
          <w:color w:val="0000FF"/>
          <w:sz w:val="28"/>
          <w:szCs w:val="28"/>
          <w:rtl/>
        </w:rPr>
        <w:t xml:space="preserve"> .</w:t>
      </w:r>
      <w:r w:rsidRPr="00923B1A">
        <w:rPr>
          <w:rFonts w:hint="cs"/>
          <w:color w:val="0000FF"/>
          <w:sz w:val="28"/>
          <w:szCs w:val="28"/>
          <w:rtl/>
        </w:rPr>
        <w:t xml:space="preserve"> وقالت اللجنة في سبب هذا التعديل ما يأتي</w:t>
      </w:r>
      <w:r>
        <w:rPr>
          <w:rFonts w:hint="cs"/>
          <w:color w:val="0000FF"/>
          <w:sz w:val="28"/>
          <w:szCs w:val="28"/>
          <w:rtl/>
        </w:rPr>
        <w:t xml:space="preserve"> :</w:t>
      </w:r>
      <w:r w:rsidRPr="00923B1A">
        <w:rPr>
          <w:rFonts w:hint="cs"/>
          <w:color w:val="0000FF"/>
          <w:sz w:val="28"/>
          <w:szCs w:val="28"/>
          <w:rtl/>
        </w:rPr>
        <w:t xml:space="preserve"> "التعديل من شأنه ألا يقيد من إطلاق العبارة التي وردت في آخر النص الأصل وحذفت عند التعديل</w:t>
      </w:r>
      <w:r>
        <w:rPr>
          <w:rFonts w:hint="cs"/>
          <w:color w:val="0000FF"/>
          <w:sz w:val="28"/>
          <w:szCs w:val="28"/>
          <w:rtl/>
        </w:rPr>
        <w:t xml:space="preserve"> ،</w:t>
      </w:r>
      <w:r w:rsidRPr="00923B1A">
        <w:rPr>
          <w:rFonts w:hint="cs"/>
          <w:color w:val="0000FF"/>
          <w:sz w:val="28"/>
          <w:szCs w:val="28"/>
          <w:rtl/>
        </w:rPr>
        <w:t xml:space="preserve"> وهي</w:t>
      </w:r>
      <w:r>
        <w:rPr>
          <w:rFonts w:hint="cs"/>
          <w:color w:val="0000FF"/>
          <w:sz w:val="28"/>
          <w:szCs w:val="28"/>
          <w:rtl/>
        </w:rPr>
        <w:t xml:space="preserve"> :</w:t>
      </w:r>
      <w:r w:rsidRPr="00923B1A">
        <w:rPr>
          <w:rFonts w:hint="cs"/>
          <w:color w:val="0000FF"/>
          <w:sz w:val="28"/>
          <w:szCs w:val="28"/>
          <w:rtl/>
        </w:rPr>
        <w:t xml:space="preserve"> ما عدا الأوجه المتصلة بشخصه خاصة؛ فإن المقصود بهذه العبارة هو نقص الأهلية</w:t>
      </w:r>
      <w:r>
        <w:rPr>
          <w:rFonts w:hint="cs"/>
          <w:color w:val="0000FF"/>
          <w:sz w:val="28"/>
          <w:szCs w:val="28"/>
          <w:rtl/>
        </w:rPr>
        <w:t xml:space="preserve"> ،</w:t>
      </w:r>
      <w:r w:rsidRPr="00923B1A">
        <w:rPr>
          <w:rFonts w:hint="cs"/>
          <w:color w:val="0000FF"/>
          <w:sz w:val="28"/>
          <w:szCs w:val="28"/>
          <w:rtl/>
        </w:rPr>
        <w:t xml:space="preserve"> ولكن عدم احتجاج الكفيل بنقص أهلية المدين ينبغي ألا يكون مطلقا</w:t>
      </w:r>
      <w:r>
        <w:rPr>
          <w:rFonts w:hint="cs"/>
          <w:color w:val="0000FF"/>
          <w:sz w:val="28"/>
          <w:szCs w:val="28"/>
          <w:rtl/>
        </w:rPr>
        <w:t xml:space="preserve"> ،</w:t>
      </w:r>
      <w:r w:rsidRPr="00923B1A">
        <w:rPr>
          <w:rFonts w:hint="cs"/>
          <w:color w:val="0000FF"/>
          <w:sz w:val="28"/>
          <w:szCs w:val="28"/>
          <w:rtl/>
        </w:rPr>
        <w:t xml:space="preserve"> ويبغي أن نميز بين ما إذا كان الكفيل يعلم بنقص أهلية المدين فلا يجوز له هذه الحالة أن يحتج بذلك</w:t>
      </w:r>
      <w:r>
        <w:rPr>
          <w:rFonts w:hint="cs"/>
          <w:color w:val="0000FF"/>
          <w:sz w:val="28"/>
          <w:szCs w:val="28"/>
          <w:rtl/>
        </w:rPr>
        <w:t xml:space="preserve"> ،</w:t>
      </w:r>
      <w:r w:rsidRPr="00923B1A">
        <w:rPr>
          <w:rFonts w:hint="cs"/>
          <w:color w:val="0000FF"/>
          <w:sz w:val="28"/>
          <w:szCs w:val="28"/>
          <w:rtl/>
        </w:rPr>
        <w:t xml:space="preserve"> وبين ما إذا كان لا يعلم بنقص الأهلية فينبغي أن يكون له الحق في الاحتجاج بذلك وفقا للقواعد العامة"</w:t>
      </w:r>
      <w:r>
        <w:rPr>
          <w:rFonts w:hint="cs"/>
          <w:color w:val="0000FF"/>
          <w:sz w:val="28"/>
          <w:szCs w:val="28"/>
          <w:rtl/>
        </w:rPr>
        <w:t xml:space="preserve"> .</w:t>
      </w:r>
      <w:r w:rsidRPr="00923B1A">
        <w:rPr>
          <w:rFonts w:hint="cs"/>
          <w:color w:val="0000FF"/>
          <w:sz w:val="28"/>
          <w:szCs w:val="28"/>
          <w:rtl/>
        </w:rPr>
        <w:t xml:space="preserve"> ووافق مجلس النواب على النص كما عدلته لجنته</w:t>
      </w:r>
      <w:r>
        <w:rPr>
          <w:rFonts w:hint="cs"/>
          <w:color w:val="0000FF"/>
          <w:sz w:val="28"/>
          <w:szCs w:val="28"/>
          <w:rtl/>
        </w:rPr>
        <w:t xml:space="preserve"> .</w:t>
      </w:r>
      <w:r w:rsidRPr="00923B1A">
        <w:rPr>
          <w:rFonts w:hint="cs"/>
          <w:color w:val="0000FF"/>
          <w:sz w:val="28"/>
          <w:szCs w:val="28"/>
          <w:rtl/>
        </w:rPr>
        <w:t xml:space="preserve"> ووافق عليه مجلس الشيوخ تحت رقم 782 </w:t>
      </w:r>
      <w:r>
        <w:rPr>
          <w:rFonts w:hint="cs"/>
          <w:color w:val="0000FF"/>
          <w:sz w:val="28"/>
          <w:szCs w:val="28"/>
          <w:rtl/>
        </w:rPr>
        <w:t xml:space="preserve">( </w:t>
      </w:r>
      <w:r w:rsidRPr="00923B1A">
        <w:rPr>
          <w:rFonts w:hint="cs"/>
          <w:color w:val="0000FF"/>
          <w:sz w:val="28"/>
          <w:szCs w:val="28"/>
          <w:rtl/>
        </w:rPr>
        <w:t xml:space="preserve">مجموعة الأعمال التحضيرية 5 ص 467 </w:t>
      </w:r>
      <w:r w:rsidRPr="00923B1A">
        <w:rPr>
          <w:color w:val="0000FF"/>
          <w:sz w:val="28"/>
          <w:szCs w:val="28"/>
          <w:rtl/>
        </w:rPr>
        <w:t>–</w:t>
      </w:r>
      <w:r w:rsidRPr="00923B1A">
        <w:rPr>
          <w:rFonts w:hint="cs"/>
          <w:color w:val="0000FF"/>
          <w:sz w:val="28"/>
          <w:szCs w:val="28"/>
          <w:rtl/>
        </w:rPr>
        <w:t xml:space="preserve"> ص 465</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509/222</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748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1077</w:t>
      </w:r>
      <w:r>
        <w:rPr>
          <w:rFonts w:hint="cs"/>
          <w:color w:val="0000FF"/>
          <w:sz w:val="28"/>
          <w:szCs w:val="28"/>
          <w:rtl/>
        </w:rPr>
        <w:t xml:space="preserve"> :</w:t>
      </w:r>
      <w:r w:rsidRPr="00923B1A">
        <w:rPr>
          <w:rFonts w:hint="cs"/>
          <w:color w:val="0000FF"/>
          <w:sz w:val="28"/>
          <w:szCs w:val="28"/>
          <w:rtl/>
        </w:rPr>
        <w:t xml:space="preserve"> يحق للكفيل أن يدلي بجميع أسباب الدفع المختصة بالمديون الأصلي شخصية كانت أو عينية</w:t>
      </w:r>
      <w:r>
        <w:rPr>
          <w:rFonts w:hint="cs"/>
          <w:color w:val="0000FF"/>
          <w:sz w:val="28"/>
          <w:szCs w:val="28"/>
          <w:rtl/>
        </w:rPr>
        <w:t xml:space="preserve"> ،</w:t>
      </w:r>
      <w:r w:rsidRPr="00923B1A">
        <w:rPr>
          <w:rFonts w:hint="cs"/>
          <w:color w:val="0000FF"/>
          <w:sz w:val="28"/>
          <w:szCs w:val="28"/>
          <w:rtl/>
        </w:rPr>
        <w:t xml:space="preserve"> ومن جملتها الأسباب المبنية على عدم أهلية المديون الأصلي </w:t>
      </w:r>
      <w:r w:rsidRPr="00923B1A">
        <w:rPr>
          <w:color w:val="0000FF"/>
          <w:sz w:val="28"/>
          <w:szCs w:val="28"/>
          <w:rtl/>
        </w:rPr>
        <w:t>–</w:t>
      </w:r>
      <w:r w:rsidRPr="00923B1A">
        <w:rPr>
          <w:rFonts w:hint="cs"/>
          <w:color w:val="0000FF"/>
          <w:sz w:val="28"/>
          <w:szCs w:val="28"/>
          <w:rtl/>
        </w:rPr>
        <w:t xml:space="preserve"> ويكون له هذا الحق بالرغم من معارضة المديون الأصلي أو عدوله ع تلك الأسباب</w:t>
      </w:r>
      <w:r>
        <w:rPr>
          <w:rFonts w:hint="cs"/>
          <w:color w:val="0000FF"/>
          <w:sz w:val="28"/>
          <w:szCs w:val="28"/>
          <w:rtl/>
        </w:rPr>
        <w:t xml:space="preserve"> ،</w:t>
      </w:r>
      <w:r w:rsidRPr="00923B1A">
        <w:rPr>
          <w:rFonts w:hint="cs"/>
          <w:color w:val="0000FF"/>
          <w:sz w:val="28"/>
          <w:szCs w:val="28"/>
          <w:rtl/>
        </w:rPr>
        <w:t xml:space="preserve"> وله كذلك حق الإدلاء بأسباب الدفع المختصة بشخص المديون دون سواه كإسقاط الدين الذي تم لشخص المديون</w:t>
      </w:r>
      <w:r>
        <w:rPr>
          <w:rFonts w:hint="cs"/>
          <w:color w:val="0000FF"/>
          <w:sz w:val="28"/>
          <w:szCs w:val="28"/>
          <w:rtl/>
        </w:rPr>
        <w:t xml:space="preserve"> .</w:t>
      </w:r>
    </w:p>
  </w:footnote>
  <w:footnote w:id="25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468</w:t>
      </w:r>
      <w:r>
        <w:rPr>
          <w:rFonts w:hint="cs"/>
          <w:color w:val="0000FF"/>
          <w:sz w:val="28"/>
          <w:szCs w:val="28"/>
          <w:rtl/>
        </w:rPr>
        <w:t xml:space="preserve"> .</w:t>
      </w:r>
    </w:p>
  </w:footnote>
  <w:footnote w:id="25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33 ص 64</w:t>
      </w:r>
      <w:r>
        <w:rPr>
          <w:rFonts w:hint="cs"/>
          <w:color w:val="0000FF"/>
          <w:sz w:val="28"/>
          <w:szCs w:val="28"/>
          <w:rtl/>
        </w:rPr>
        <w:t xml:space="preserve"> .</w:t>
      </w:r>
    </w:p>
  </w:footnote>
  <w:footnote w:id="25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33 ص 64</w:t>
      </w:r>
      <w:r>
        <w:rPr>
          <w:rFonts w:hint="cs"/>
          <w:color w:val="0000FF"/>
          <w:sz w:val="28"/>
          <w:szCs w:val="28"/>
          <w:rtl/>
        </w:rPr>
        <w:t xml:space="preserve"> .</w:t>
      </w:r>
    </w:p>
  </w:footnote>
  <w:footnote w:id="25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ما قدمناه آنفا في هذا الصدد فقرة 21 </w:t>
      </w:r>
      <w:r w:rsidRPr="00923B1A">
        <w:rPr>
          <w:color w:val="0000FF"/>
          <w:sz w:val="28"/>
          <w:szCs w:val="28"/>
          <w:rtl/>
        </w:rPr>
        <w:t>–</w:t>
      </w:r>
      <w:r w:rsidRPr="00923B1A">
        <w:rPr>
          <w:rFonts w:hint="cs"/>
          <w:color w:val="0000FF"/>
          <w:sz w:val="28"/>
          <w:szCs w:val="28"/>
          <w:rtl/>
        </w:rPr>
        <w:t xml:space="preserve"> وهناك آراء ثلاثة في هذه المسألة</w:t>
      </w:r>
      <w:r>
        <w:rPr>
          <w:rFonts w:hint="cs"/>
          <w:color w:val="0000FF"/>
          <w:sz w:val="28"/>
          <w:szCs w:val="28"/>
          <w:rtl/>
        </w:rPr>
        <w:t xml:space="preserve"> :</w:t>
      </w:r>
      <w:r w:rsidRPr="00923B1A">
        <w:rPr>
          <w:rFonts w:hint="cs"/>
          <w:color w:val="0000FF"/>
          <w:sz w:val="28"/>
          <w:szCs w:val="28"/>
          <w:rtl/>
        </w:rPr>
        <w:t xml:space="preserve"> الرأي الأول</w:t>
      </w:r>
      <w:r>
        <w:rPr>
          <w:rFonts w:hint="cs"/>
          <w:color w:val="0000FF"/>
          <w:sz w:val="28"/>
          <w:szCs w:val="28"/>
          <w:rtl/>
        </w:rPr>
        <w:t xml:space="preserve"> ،</w:t>
      </w:r>
      <w:r w:rsidRPr="00923B1A">
        <w:rPr>
          <w:rFonts w:hint="cs"/>
          <w:color w:val="0000FF"/>
          <w:sz w:val="28"/>
          <w:szCs w:val="28"/>
          <w:rtl/>
        </w:rPr>
        <w:t xml:space="preserve"> وعليه أكثر الفقهاء المصريين</w:t>
      </w:r>
      <w:r>
        <w:rPr>
          <w:rFonts w:hint="cs"/>
          <w:color w:val="0000FF"/>
          <w:sz w:val="28"/>
          <w:szCs w:val="28"/>
          <w:rtl/>
        </w:rPr>
        <w:t xml:space="preserve"> ،</w:t>
      </w:r>
      <w:r w:rsidRPr="00923B1A">
        <w:rPr>
          <w:rFonts w:hint="cs"/>
          <w:color w:val="0000FF"/>
          <w:sz w:val="28"/>
          <w:szCs w:val="28"/>
          <w:rtl/>
        </w:rPr>
        <w:t xml:space="preserve"> يذهب إلى أن المادة 782/2 مدني يجب أن تفهم بالرجوع إلى الأعمال التحضيرية</w:t>
      </w:r>
      <w:r>
        <w:rPr>
          <w:rFonts w:hint="cs"/>
          <w:color w:val="0000FF"/>
          <w:sz w:val="28"/>
          <w:szCs w:val="28"/>
          <w:rtl/>
        </w:rPr>
        <w:t xml:space="preserve"> ،</w:t>
      </w:r>
      <w:r w:rsidRPr="00923B1A">
        <w:rPr>
          <w:rFonts w:hint="cs"/>
          <w:color w:val="0000FF"/>
          <w:sz w:val="28"/>
          <w:szCs w:val="28"/>
          <w:rtl/>
        </w:rPr>
        <w:t xml:space="preserve"> على معنى أن الكفيل كفل ناقص الأهلية بسبب نقص أهليته</w:t>
      </w:r>
      <w:r>
        <w:rPr>
          <w:rFonts w:hint="cs"/>
          <w:color w:val="0000FF"/>
          <w:sz w:val="28"/>
          <w:szCs w:val="28"/>
          <w:rtl/>
        </w:rPr>
        <w:t xml:space="preserve"> ،</w:t>
      </w:r>
      <w:r w:rsidRPr="00923B1A">
        <w:rPr>
          <w:rFonts w:hint="cs"/>
          <w:color w:val="0000FF"/>
          <w:sz w:val="28"/>
          <w:szCs w:val="28"/>
          <w:rtl/>
        </w:rPr>
        <w:t xml:space="preserve"> ولذلك ليس له أن يحتج بنقص الأهلية على الدائن</w:t>
      </w:r>
      <w:r>
        <w:rPr>
          <w:rFonts w:hint="cs"/>
          <w:color w:val="0000FF"/>
          <w:sz w:val="28"/>
          <w:szCs w:val="28"/>
          <w:rtl/>
        </w:rPr>
        <w:t xml:space="preserve"> .</w:t>
      </w:r>
      <w:r w:rsidRPr="00923B1A">
        <w:rPr>
          <w:rFonts w:hint="cs"/>
          <w:color w:val="0000FF"/>
          <w:sz w:val="28"/>
          <w:szCs w:val="28"/>
          <w:rtl/>
        </w:rPr>
        <w:t xml:space="preserve"> أما الكفيل الذي يقتصر على العلم بنقص أهلية المدين دون أن تكون الكفالة بسبب نقص الأهلية</w:t>
      </w:r>
      <w:r>
        <w:rPr>
          <w:rFonts w:hint="cs"/>
          <w:color w:val="0000FF"/>
          <w:sz w:val="28"/>
          <w:szCs w:val="28"/>
          <w:rtl/>
        </w:rPr>
        <w:t xml:space="preserve"> ،</w:t>
      </w:r>
      <w:r w:rsidRPr="00923B1A">
        <w:rPr>
          <w:rFonts w:hint="cs"/>
          <w:color w:val="0000FF"/>
          <w:sz w:val="28"/>
          <w:szCs w:val="28"/>
          <w:rtl/>
        </w:rPr>
        <w:t xml:space="preserve"> فإنه يجوز له أن يتمسك بنص الأهلية حتى لو أجاز المدين عقد الدين الأصلي</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والرأي الثاني </w:t>
      </w:r>
      <w:r>
        <w:rPr>
          <w:rFonts w:hint="cs"/>
          <w:color w:val="0000FF"/>
          <w:sz w:val="28"/>
          <w:szCs w:val="28"/>
          <w:rtl/>
        </w:rPr>
        <w:t xml:space="preserve">( </w:t>
      </w:r>
      <w:r w:rsidRPr="00923B1A">
        <w:rPr>
          <w:rFonts w:hint="cs"/>
          <w:color w:val="0000FF"/>
          <w:sz w:val="28"/>
          <w:szCs w:val="28"/>
          <w:rtl/>
        </w:rPr>
        <w:t xml:space="preserve">منصور مصطفى منصور فقرة 34 ص 65 </w:t>
      </w:r>
      <w:r w:rsidRPr="00923B1A">
        <w:rPr>
          <w:color w:val="0000FF"/>
          <w:sz w:val="28"/>
          <w:szCs w:val="28"/>
          <w:rtl/>
        </w:rPr>
        <w:t>–</w:t>
      </w:r>
      <w:r w:rsidRPr="00923B1A">
        <w:rPr>
          <w:rFonts w:hint="cs"/>
          <w:color w:val="0000FF"/>
          <w:sz w:val="28"/>
          <w:szCs w:val="28"/>
          <w:rtl/>
        </w:rPr>
        <w:t xml:space="preserve"> ص 66</w:t>
      </w:r>
      <w:r>
        <w:rPr>
          <w:rFonts w:hint="cs"/>
          <w:color w:val="0000FF"/>
          <w:sz w:val="28"/>
          <w:szCs w:val="28"/>
          <w:rtl/>
        </w:rPr>
        <w:t xml:space="preserve"> )</w:t>
      </w:r>
      <w:r w:rsidRPr="00923B1A">
        <w:rPr>
          <w:rFonts w:hint="cs"/>
          <w:color w:val="0000FF"/>
          <w:sz w:val="28"/>
          <w:szCs w:val="28"/>
          <w:rtl/>
        </w:rPr>
        <w:t xml:space="preserve"> يذهب إلى أن الكفيل الذي يقتصر على العلم بنقص أهلية المدين</w:t>
      </w:r>
      <w:r>
        <w:rPr>
          <w:rFonts w:hint="cs"/>
          <w:color w:val="0000FF"/>
          <w:sz w:val="28"/>
          <w:szCs w:val="28"/>
          <w:rtl/>
        </w:rPr>
        <w:t xml:space="preserve"> ،</w:t>
      </w:r>
      <w:r w:rsidRPr="00923B1A">
        <w:rPr>
          <w:rFonts w:hint="cs"/>
          <w:color w:val="0000FF"/>
          <w:sz w:val="28"/>
          <w:szCs w:val="28"/>
          <w:rtl/>
        </w:rPr>
        <w:t xml:space="preserve"> دون أن يكفله بسبب قنص أهليته</w:t>
      </w:r>
      <w:r>
        <w:rPr>
          <w:rFonts w:hint="cs"/>
          <w:color w:val="0000FF"/>
          <w:sz w:val="28"/>
          <w:szCs w:val="28"/>
          <w:rtl/>
        </w:rPr>
        <w:t xml:space="preserve"> ،</w:t>
      </w:r>
      <w:r w:rsidRPr="00923B1A">
        <w:rPr>
          <w:rFonts w:hint="cs"/>
          <w:color w:val="0000FF"/>
          <w:sz w:val="28"/>
          <w:szCs w:val="28"/>
          <w:rtl/>
        </w:rPr>
        <w:t xml:space="preserve"> يبقى التزامه قائما ما دام التزام المدين ناقص الأهلية قائما ولم يطلب المدين إبطاله</w:t>
      </w:r>
      <w:r>
        <w:rPr>
          <w:rFonts w:hint="cs"/>
          <w:color w:val="0000FF"/>
          <w:sz w:val="28"/>
          <w:szCs w:val="28"/>
          <w:rtl/>
        </w:rPr>
        <w:t xml:space="preserve"> .</w:t>
      </w:r>
      <w:r w:rsidRPr="00923B1A">
        <w:rPr>
          <w:rFonts w:hint="cs"/>
          <w:color w:val="0000FF"/>
          <w:sz w:val="28"/>
          <w:szCs w:val="28"/>
          <w:rtl/>
        </w:rPr>
        <w:t xml:space="preserve"> أما إذ أبطله</w:t>
      </w:r>
      <w:r>
        <w:rPr>
          <w:rFonts w:hint="cs"/>
          <w:color w:val="0000FF"/>
          <w:sz w:val="28"/>
          <w:szCs w:val="28"/>
          <w:rtl/>
        </w:rPr>
        <w:t xml:space="preserve"> ،</w:t>
      </w:r>
      <w:r w:rsidRPr="00923B1A">
        <w:rPr>
          <w:rFonts w:hint="cs"/>
          <w:color w:val="0000FF"/>
          <w:sz w:val="28"/>
          <w:szCs w:val="28"/>
          <w:rtl/>
        </w:rPr>
        <w:t xml:space="preserve"> فإنه يزول ويزول معه التزام الكفيل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والرأي الثالث </w:t>
      </w:r>
      <w:r>
        <w:rPr>
          <w:rFonts w:hint="cs"/>
          <w:color w:val="0000FF"/>
          <w:sz w:val="28"/>
          <w:szCs w:val="28"/>
          <w:rtl/>
        </w:rPr>
        <w:t xml:space="preserve">( </w:t>
      </w:r>
      <w:r w:rsidRPr="00923B1A">
        <w:rPr>
          <w:rFonts w:hint="cs"/>
          <w:color w:val="0000FF"/>
          <w:sz w:val="28"/>
          <w:szCs w:val="28"/>
          <w:rtl/>
        </w:rPr>
        <w:t>وهو الرأي الذي نقول به</w:t>
      </w:r>
      <w:r>
        <w:rPr>
          <w:rFonts w:hint="cs"/>
          <w:color w:val="0000FF"/>
          <w:sz w:val="28"/>
          <w:szCs w:val="28"/>
          <w:rtl/>
        </w:rPr>
        <w:t xml:space="preserve"> )</w:t>
      </w:r>
      <w:r w:rsidRPr="00923B1A">
        <w:rPr>
          <w:rFonts w:hint="cs"/>
          <w:color w:val="0000FF"/>
          <w:sz w:val="28"/>
          <w:szCs w:val="28"/>
          <w:rtl/>
        </w:rPr>
        <w:t xml:space="preserve"> يذهب إلى أن الكفيل الذي يقتصر على العلم بنقص أهلية المدين دون أن يكفله بسبب نقص أهليته</w:t>
      </w:r>
      <w:r>
        <w:rPr>
          <w:rFonts w:hint="cs"/>
          <w:color w:val="0000FF"/>
          <w:sz w:val="28"/>
          <w:szCs w:val="28"/>
          <w:rtl/>
        </w:rPr>
        <w:t xml:space="preserve"> ،</w:t>
      </w:r>
      <w:r w:rsidRPr="00923B1A">
        <w:rPr>
          <w:rFonts w:hint="cs"/>
          <w:color w:val="0000FF"/>
          <w:sz w:val="28"/>
          <w:szCs w:val="28"/>
          <w:rtl/>
        </w:rPr>
        <w:t xml:space="preserve"> يجوز له أن يحتج بنقص الأهلية حتى لو لم يطلب المدين إبطال العقد وبقي التزامه قائما ولكنه لم يجز العقد</w:t>
      </w:r>
      <w:r>
        <w:rPr>
          <w:rFonts w:hint="cs"/>
          <w:color w:val="0000FF"/>
          <w:sz w:val="28"/>
          <w:szCs w:val="28"/>
          <w:rtl/>
        </w:rPr>
        <w:t xml:space="preserve"> .</w:t>
      </w:r>
      <w:r w:rsidRPr="00923B1A">
        <w:rPr>
          <w:rFonts w:hint="cs"/>
          <w:color w:val="0000FF"/>
          <w:sz w:val="28"/>
          <w:szCs w:val="28"/>
          <w:rtl/>
        </w:rPr>
        <w:t xml:space="preserve"> ولا يمتنع عليه الاحتجاج بنقص الأهلية</w:t>
      </w:r>
      <w:r>
        <w:rPr>
          <w:rFonts w:hint="cs"/>
          <w:color w:val="0000FF"/>
          <w:sz w:val="28"/>
          <w:szCs w:val="28"/>
          <w:rtl/>
        </w:rPr>
        <w:t xml:space="preserve"> ،</w:t>
      </w:r>
      <w:r w:rsidRPr="00923B1A">
        <w:rPr>
          <w:rFonts w:hint="cs"/>
          <w:color w:val="0000FF"/>
          <w:sz w:val="28"/>
          <w:szCs w:val="28"/>
          <w:rtl/>
        </w:rPr>
        <w:t xml:space="preserve"> إلا إذا أجاز المدين العقد الأصلي وصار هذا العقد غير قابل للإبطال</w:t>
      </w:r>
      <w:r>
        <w:rPr>
          <w:rFonts w:hint="cs"/>
          <w:color w:val="0000FF"/>
          <w:sz w:val="28"/>
          <w:szCs w:val="28"/>
          <w:rtl/>
        </w:rPr>
        <w:t xml:space="preserve"> .</w:t>
      </w:r>
      <w:r w:rsidRPr="00923B1A">
        <w:rPr>
          <w:rFonts w:hint="cs"/>
          <w:color w:val="0000FF"/>
          <w:sz w:val="28"/>
          <w:szCs w:val="28"/>
          <w:rtl/>
        </w:rPr>
        <w:t xml:space="preserve"> ويظهر الفرق بين الرأي الثاني والرأي الثالث في الفرض الآتي</w:t>
      </w:r>
      <w:r>
        <w:rPr>
          <w:rFonts w:hint="cs"/>
          <w:color w:val="0000FF"/>
          <w:sz w:val="28"/>
          <w:szCs w:val="28"/>
          <w:rtl/>
        </w:rPr>
        <w:t xml:space="preserve"> :</w:t>
      </w:r>
      <w:r w:rsidRPr="00923B1A">
        <w:rPr>
          <w:rFonts w:hint="cs"/>
          <w:color w:val="0000FF"/>
          <w:sz w:val="28"/>
          <w:szCs w:val="28"/>
          <w:rtl/>
        </w:rPr>
        <w:t xml:space="preserve"> إذا لم يبطل المدين العقد لنقص الأهلية ولكن لم يجزه فبقى العقد قابلا للإبطال</w:t>
      </w:r>
      <w:r>
        <w:rPr>
          <w:rFonts w:hint="cs"/>
          <w:color w:val="0000FF"/>
          <w:sz w:val="28"/>
          <w:szCs w:val="28"/>
          <w:rtl/>
        </w:rPr>
        <w:t xml:space="preserve"> ،</w:t>
      </w:r>
      <w:r w:rsidRPr="00923B1A">
        <w:rPr>
          <w:rFonts w:hint="cs"/>
          <w:color w:val="0000FF"/>
          <w:sz w:val="28"/>
          <w:szCs w:val="28"/>
          <w:rtl/>
        </w:rPr>
        <w:t xml:space="preserve"> فالرأي الثاني يذهب إلى أن الكفيل لا يستطيع أن يتمسك بإبطال عقد الكفالة لأن التزام المدين لا يزال قائما</w:t>
      </w:r>
      <w:r>
        <w:rPr>
          <w:rFonts w:hint="cs"/>
          <w:color w:val="0000FF"/>
          <w:sz w:val="28"/>
          <w:szCs w:val="28"/>
          <w:rtl/>
        </w:rPr>
        <w:t xml:space="preserve"> ،</w:t>
      </w:r>
      <w:r w:rsidRPr="00923B1A">
        <w:rPr>
          <w:rFonts w:hint="cs"/>
          <w:color w:val="0000FF"/>
          <w:sz w:val="28"/>
          <w:szCs w:val="28"/>
          <w:rtl/>
        </w:rPr>
        <w:t xml:space="preserve"> أما الرأي الثالث فيذهب إلى أن الكفيل يستطيع أن يتمسك بإبطال عقد الكفالة لأن المدين يستطيع أن يتمسك بإبطال عقد الدين الأصلي وإن كان لمي يتمسك بإبطاله</w:t>
      </w:r>
      <w:r>
        <w:rPr>
          <w:rFonts w:hint="cs"/>
          <w:color w:val="0000FF"/>
          <w:sz w:val="28"/>
          <w:szCs w:val="28"/>
          <w:rtl/>
        </w:rPr>
        <w:t xml:space="preserve"> .</w:t>
      </w:r>
      <w:r w:rsidRPr="00923B1A">
        <w:rPr>
          <w:rFonts w:hint="cs"/>
          <w:color w:val="0000FF"/>
          <w:sz w:val="28"/>
          <w:szCs w:val="28"/>
          <w:rtl/>
        </w:rPr>
        <w:t xml:space="preserve"> والرأي الثالث يفسر المادة 782/2 مدني كما يفسرها الرأي الأول على الوجه الآتي</w:t>
      </w:r>
      <w:r>
        <w:rPr>
          <w:rFonts w:hint="cs"/>
          <w:color w:val="0000FF"/>
          <w:sz w:val="28"/>
          <w:szCs w:val="28"/>
          <w:rtl/>
        </w:rPr>
        <w:t xml:space="preserve"> :</w:t>
      </w:r>
      <w:r w:rsidRPr="00923B1A">
        <w:rPr>
          <w:rFonts w:hint="cs"/>
          <w:color w:val="0000FF"/>
          <w:sz w:val="28"/>
          <w:szCs w:val="28"/>
          <w:rtl/>
        </w:rPr>
        <w:t xml:space="preserve"> أن الكفيل قد كفل ناقص الأهلية بسبب نقص أهليته</w:t>
      </w:r>
      <w:r>
        <w:rPr>
          <w:rFonts w:hint="cs"/>
          <w:color w:val="0000FF"/>
          <w:sz w:val="28"/>
          <w:szCs w:val="28"/>
          <w:rtl/>
        </w:rPr>
        <w:t xml:space="preserve"> ،</w:t>
      </w:r>
      <w:r w:rsidRPr="00923B1A">
        <w:rPr>
          <w:rFonts w:hint="cs"/>
          <w:color w:val="0000FF"/>
          <w:sz w:val="28"/>
          <w:szCs w:val="28"/>
          <w:rtl/>
        </w:rPr>
        <w:t xml:space="preserve"> ولذلك ليس له أن يحتج بنقص الأهلية ولو تمسك المدين الأصلي بذلك</w:t>
      </w:r>
      <w:r>
        <w:rPr>
          <w:rFonts w:hint="cs"/>
          <w:color w:val="0000FF"/>
          <w:sz w:val="28"/>
          <w:szCs w:val="28"/>
          <w:rtl/>
        </w:rPr>
        <w:t xml:space="preserve"> .</w:t>
      </w:r>
    </w:p>
  </w:footnote>
  <w:footnote w:id="25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إذا لم ينقض التزام المدين</w:t>
      </w:r>
      <w:r>
        <w:rPr>
          <w:rFonts w:hint="cs"/>
          <w:color w:val="0000FF"/>
          <w:sz w:val="28"/>
          <w:szCs w:val="28"/>
          <w:rtl/>
        </w:rPr>
        <w:t xml:space="preserve"> ،</w:t>
      </w:r>
      <w:r w:rsidRPr="00923B1A">
        <w:rPr>
          <w:rFonts w:hint="cs"/>
          <w:color w:val="0000FF"/>
          <w:sz w:val="28"/>
          <w:szCs w:val="28"/>
          <w:rtl/>
        </w:rPr>
        <w:t xml:space="preserve"> بل بقي قائما ولو تغير شخص الدائن</w:t>
      </w:r>
      <w:r>
        <w:rPr>
          <w:rFonts w:hint="cs"/>
          <w:color w:val="0000FF"/>
          <w:sz w:val="28"/>
          <w:szCs w:val="28"/>
          <w:rtl/>
        </w:rPr>
        <w:t xml:space="preserve"> ،</w:t>
      </w:r>
      <w:r w:rsidRPr="00923B1A">
        <w:rPr>
          <w:rFonts w:hint="cs"/>
          <w:color w:val="0000FF"/>
          <w:sz w:val="28"/>
          <w:szCs w:val="28"/>
          <w:rtl/>
        </w:rPr>
        <w:t xml:space="preserve"> بأن حل محله شخص آخر بعد أن وفاه هذا الشخص الآخر الدين أو حول الدائن حقه إلى محال له</w:t>
      </w:r>
      <w:r>
        <w:rPr>
          <w:rFonts w:hint="cs"/>
          <w:color w:val="0000FF"/>
          <w:sz w:val="28"/>
          <w:szCs w:val="28"/>
          <w:rtl/>
        </w:rPr>
        <w:t xml:space="preserve"> ،</w:t>
      </w:r>
      <w:r w:rsidRPr="00923B1A">
        <w:rPr>
          <w:rFonts w:hint="cs"/>
          <w:color w:val="0000FF"/>
          <w:sz w:val="28"/>
          <w:szCs w:val="28"/>
          <w:rtl/>
        </w:rPr>
        <w:t xml:space="preserve"> فإن التزام الكفيل لا ينقضي</w:t>
      </w:r>
      <w:r>
        <w:rPr>
          <w:rFonts w:hint="cs"/>
          <w:color w:val="0000FF"/>
          <w:sz w:val="28"/>
          <w:szCs w:val="28"/>
          <w:rtl/>
        </w:rPr>
        <w:t xml:space="preserve"> .</w:t>
      </w:r>
      <w:r w:rsidRPr="00923B1A">
        <w:rPr>
          <w:rFonts w:hint="cs"/>
          <w:color w:val="0000FF"/>
          <w:sz w:val="28"/>
          <w:szCs w:val="28"/>
          <w:rtl/>
        </w:rPr>
        <w:t xml:space="preserve"> بل يحل المونى محل الدائن في الكفالة </w:t>
      </w:r>
      <w:r>
        <w:rPr>
          <w:rFonts w:hint="cs"/>
          <w:color w:val="0000FF"/>
          <w:sz w:val="28"/>
          <w:szCs w:val="28"/>
          <w:rtl/>
        </w:rPr>
        <w:t xml:space="preserve">( </w:t>
      </w:r>
      <w:r w:rsidRPr="00923B1A">
        <w:rPr>
          <w:rFonts w:hint="cs"/>
          <w:color w:val="0000FF"/>
          <w:sz w:val="28"/>
          <w:szCs w:val="28"/>
          <w:rtl/>
        </w:rPr>
        <w:t>329 مدني</w:t>
      </w:r>
      <w:r>
        <w:rPr>
          <w:rFonts w:hint="cs"/>
          <w:color w:val="0000FF"/>
          <w:sz w:val="28"/>
          <w:szCs w:val="28"/>
          <w:rtl/>
        </w:rPr>
        <w:t xml:space="preserve"> ) ،</w:t>
      </w:r>
      <w:r w:rsidRPr="00923B1A">
        <w:rPr>
          <w:rFonts w:hint="cs"/>
          <w:color w:val="0000FF"/>
          <w:sz w:val="28"/>
          <w:szCs w:val="28"/>
          <w:rtl/>
        </w:rPr>
        <w:t xml:space="preserve"> أو بتحول الحق بضماناته ومنها الكفالة إلى المحال له </w:t>
      </w:r>
      <w:r>
        <w:rPr>
          <w:rFonts w:hint="cs"/>
          <w:color w:val="0000FF"/>
          <w:sz w:val="28"/>
          <w:szCs w:val="28"/>
          <w:rtl/>
        </w:rPr>
        <w:t xml:space="preserve">( </w:t>
      </w:r>
      <w:r w:rsidRPr="00923B1A">
        <w:rPr>
          <w:rFonts w:hint="cs"/>
          <w:color w:val="0000FF"/>
          <w:sz w:val="28"/>
          <w:szCs w:val="28"/>
          <w:rtl/>
        </w:rPr>
        <w:t>م 307 مدني</w:t>
      </w:r>
      <w:r>
        <w:rPr>
          <w:rFonts w:hint="cs"/>
          <w:color w:val="0000FF"/>
          <w:sz w:val="28"/>
          <w:szCs w:val="28"/>
          <w:rtl/>
        </w:rPr>
        <w:t xml:space="preserve"> ) .</w:t>
      </w:r>
      <w:r w:rsidRPr="00923B1A">
        <w:rPr>
          <w:rFonts w:hint="cs"/>
          <w:color w:val="0000FF"/>
          <w:sz w:val="28"/>
          <w:szCs w:val="28"/>
          <w:rtl/>
        </w:rPr>
        <w:t xml:space="preserve"> وإذا بقي الدين وتغير شخص المدين عن طريق حوالة الدين</w:t>
      </w:r>
      <w:r>
        <w:rPr>
          <w:rFonts w:hint="cs"/>
          <w:color w:val="0000FF"/>
          <w:sz w:val="28"/>
          <w:szCs w:val="28"/>
          <w:rtl/>
        </w:rPr>
        <w:t xml:space="preserve"> ،</w:t>
      </w:r>
      <w:r w:rsidRPr="00923B1A">
        <w:rPr>
          <w:rFonts w:hint="cs"/>
          <w:color w:val="0000FF"/>
          <w:sz w:val="28"/>
          <w:szCs w:val="28"/>
          <w:rtl/>
        </w:rPr>
        <w:t xml:space="preserve"> فإن الكفيل لابد أن يقبل كفالة المدين الجديد</w:t>
      </w:r>
      <w:r>
        <w:rPr>
          <w:rFonts w:hint="cs"/>
          <w:color w:val="0000FF"/>
          <w:sz w:val="28"/>
          <w:szCs w:val="28"/>
          <w:rtl/>
        </w:rPr>
        <w:t xml:space="preserve"> ،</w:t>
      </w:r>
      <w:r w:rsidRPr="00923B1A">
        <w:rPr>
          <w:rFonts w:hint="cs"/>
          <w:color w:val="0000FF"/>
          <w:sz w:val="28"/>
          <w:szCs w:val="28"/>
          <w:rtl/>
        </w:rPr>
        <w:t xml:space="preserve"> وإلا برئت ذمته </w:t>
      </w:r>
      <w:r>
        <w:rPr>
          <w:rFonts w:hint="cs"/>
          <w:color w:val="0000FF"/>
          <w:sz w:val="28"/>
          <w:szCs w:val="28"/>
          <w:rtl/>
        </w:rPr>
        <w:t xml:space="preserve">( </w:t>
      </w:r>
      <w:r w:rsidRPr="00923B1A">
        <w:rPr>
          <w:rFonts w:hint="cs"/>
          <w:color w:val="0000FF"/>
          <w:sz w:val="28"/>
          <w:szCs w:val="28"/>
          <w:rtl/>
        </w:rPr>
        <w:t>م 318 مدني</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انظر في ذلك منصور مصطفى منصور فقرة 35 ص 67</w:t>
      </w:r>
      <w:r>
        <w:rPr>
          <w:rFonts w:hint="cs"/>
          <w:color w:val="0000FF"/>
          <w:sz w:val="28"/>
          <w:szCs w:val="28"/>
          <w:rtl/>
        </w:rPr>
        <w:t xml:space="preserve"> .</w:t>
      </w:r>
    </w:p>
  </w:footnote>
  <w:footnote w:id="25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1145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"لا يلزم الدائن بتجريد المدين إلا إذا طلب الكفيل ذلك عند الإجراءات الأولى التي توجه ضده"</w:t>
      </w:r>
      <w:r>
        <w:rPr>
          <w:rFonts w:hint="cs"/>
          <w:color w:val="0000FF"/>
          <w:sz w:val="28"/>
          <w:szCs w:val="28"/>
          <w:rtl/>
        </w:rPr>
        <w:t xml:space="preserve"> .</w:t>
      </w:r>
      <w:r w:rsidRPr="00923B1A">
        <w:rPr>
          <w:rFonts w:hint="cs"/>
          <w:color w:val="0000FF"/>
          <w:sz w:val="28"/>
          <w:szCs w:val="28"/>
          <w:rtl/>
        </w:rPr>
        <w:t xml:space="preserve"> وفي لجنة المراجعة أدمجت هذه المادة بالمادة التي قبلها</w:t>
      </w:r>
      <w:r>
        <w:rPr>
          <w:rFonts w:hint="cs"/>
          <w:color w:val="0000FF"/>
          <w:sz w:val="28"/>
          <w:szCs w:val="28"/>
          <w:rtl/>
        </w:rPr>
        <w:t xml:space="preserve"> ،</w:t>
      </w:r>
      <w:r w:rsidRPr="00923B1A">
        <w:rPr>
          <w:rFonts w:hint="cs"/>
          <w:color w:val="0000FF"/>
          <w:sz w:val="28"/>
          <w:szCs w:val="28"/>
          <w:rtl/>
        </w:rPr>
        <w:t xml:space="preserve"> وجعل النص الموحد من شقين</w:t>
      </w:r>
      <w:r>
        <w:rPr>
          <w:rFonts w:hint="cs"/>
          <w:color w:val="0000FF"/>
          <w:sz w:val="28"/>
          <w:szCs w:val="28"/>
          <w:rtl/>
        </w:rPr>
        <w:t xml:space="preserve"> ،</w:t>
      </w:r>
      <w:r w:rsidRPr="00923B1A">
        <w:rPr>
          <w:rFonts w:hint="cs"/>
          <w:color w:val="0000FF"/>
          <w:sz w:val="28"/>
          <w:szCs w:val="28"/>
          <w:rtl/>
        </w:rPr>
        <w:t xml:space="preserve"> الأول يتناول الرجوع والثاني يتناول التنفيذ</w:t>
      </w:r>
      <w:r>
        <w:rPr>
          <w:rFonts w:hint="cs"/>
          <w:color w:val="0000FF"/>
          <w:sz w:val="28"/>
          <w:szCs w:val="28"/>
          <w:rtl/>
        </w:rPr>
        <w:t xml:space="preserve"> ،</w:t>
      </w:r>
      <w:r w:rsidRPr="00923B1A">
        <w:rPr>
          <w:rFonts w:hint="cs"/>
          <w:color w:val="0000FF"/>
          <w:sz w:val="28"/>
          <w:szCs w:val="28"/>
          <w:rtl/>
        </w:rPr>
        <w:t xml:space="preserve"> لأن المروع يخلط بينهما خلطا تتدخل فيه أحكام الأمرين</w:t>
      </w:r>
      <w:r>
        <w:rPr>
          <w:rFonts w:hint="cs"/>
          <w:color w:val="0000FF"/>
          <w:sz w:val="28"/>
          <w:szCs w:val="28"/>
          <w:rtl/>
        </w:rPr>
        <w:t xml:space="preserve"> .</w:t>
      </w:r>
      <w:r w:rsidRPr="00923B1A">
        <w:rPr>
          <w:rFonts w:hint="cs"/>
          <w:color w:val="0000FF"/>
          <w:sz w:val="28"/>
          <w:szCs w:val="28"/>
          <w:rtl/>
        </w:rPr>
        <w:t xml:space="preserve"> وبالنسبة إلى الشق الأول رأت اللجنة أن يمنع النص الدائن من الرجوع على الكفيل البسيط وحده إلا بعد رجوعه على المدين</w:t>
      </w:r>
      <w:r>
        <w:rPr>
          <w:rFonts w:hint="cs"/>
          <w:color w:val="0000FF"/>
          <w:sz w:val="28"/>
          <w:szCs w:val="28"/>
          <w:rtl/>
        </w:rPr>
        <w:t xml:space="preserve"> ،</w:t>
      </w:r>
      <w:r w:rsidRPr="00923B1A">
        <w:rPr>
          <w:rFonts w:hint="cs"/>
          <w:color w:val="0000FF"/>
          <w:sz w:val="28"/>
          <w:szCs w:val="28"/>
          <w:rtl/>
        </w:rPr>
        <w:t xml:space="preserve"> وجعلت الحكم في الشق الثاني خاصا بالتنفيذ فمنعت الدائن من التنفيذ على الكفيل إلا بعد تجريده المدين </w:t>
      </w:r>
      <w:r>
        <w:rPr>
          <w:rFonts w:hint="cs"/>
          <w:color w:val="0000FF"/>
          <w:sz w:val="28"/>
          <w:szCs w:val="28"/>
          <w:rtl/>
        </w:rPr>
        <w:t xml:space="preserve">( </w:t>
      </w:r>
      <w:r w:rsidRPr="00923B1A">
        <w:rPr>
          <w:rFonts w:hint="cs"/>
          <w:color w:val="0000FF"/>
          <w:sz w:val="28"/>
          <w:szCs w:val="28"/>
          <w:rtl/>
        </w:rPr>
        <w:t>انظر تاريخ نص المادة 788/1 مدني آنفا فقرة 44 في الهامش</w:t>
      </w:r>
      <w:r>
        <w:rPr>
          <w:rFonts w:hint="cs"/>
          <w:color w:val="0000FF"/>
          <w:sz w:val="28"/>
          <w:szCs w:val="28"/>
          <w:rtl/>
        </w:rPr>
        <w:t xml:space="preserve"> ) .</w:t>
      </w:r>
      <w:r w:rsidRPr="00923B1A">
        <w:rPr>
          <w:rFonts w:hint="cs"/>
          <w:color w:val="0000FF"/>
          <w:sz w:val="28"/>
          <w:szCs w:val="28"/>
          <w:rtl/>
        </w:rPr>
        <w:t xml:space="preserve"> ووافق مجلس النواب على النص تحت رقم 855/2</w:t>
      </w:r>
      <w:r>
        <w:rPr>
          <w:rFonts w:hint="cs"/>
          <w:color w:val="0000FF"/>
          <w:sz w:val="28"/>
          <w:szCs w:val="28"/>
          <w:rtl/>
        </w:rPr>
        <w:t xml:space="preserve"> .</w:t>
      </w:r>
      <w:r w:rsidRPr="00923B1A">
        <w:rPr>
          <w:rFonts w:hint="cs"/>
          <w:color w:val="0000FF"/>
          <w:sz w:val="28"/>
          <w:szCs w:val="28"/>
          <w:rtl/>
        </w:rPr>
        <w:t xml:space="preserve"> وفي لجنة مجلس الشيوخ قال رئيس اللجنة</w:t>
      </w:r>
      <w:r>
        <w:rPr>
          <w:rFonts w:hint="cs"/>
          <w:color w:val="0000FF"/>
          <w:sz w:val="28"/>
          <w:szCs w:val="28"/>
          <w:rtl/>
        </w:rPr>
        <w:t xml:space="preserve"> :</w:t>
      </w:r>
      <w:r w:rsidRPr="00923B1A">
        <w:rPr>
          <w:rFonts w:hint="cs"/>
          <w:color w:val="0000FF"/>
          <w:sz w:val="28"/>
          <w:szCs w:val="28"/>
          <w:rtl/>
        </w:rPr>
        <w:t xml:space="preserve"> "إنه ليس من العدل أن نحرم على الدائن التنفيذ على أموال الكفيل إذا وجد أن المدين يعمل على تهريب أمواله</w:t>
      </w:r>
      <w:r>
        <w:rPr>
          <w:rFonts w:hint="cs"/>
          <w:color w:val="0000FF"/>
          <w:sz w:val="28"/>
          <w:szCs w:val="28"/>
          <w:rtl/>
        </w:rPr>
        <w:t xml:space="preserve"> ،</w:t>
      </w:r>
      <w:r w:rsidRPr="00923B1A">
        <w:rPr>
          <w:rFonts w:hint="cs"/>
          <w:color w:val="0000FF"/>
          <w:sz w:val="28"/>
          <w:szCs w:val="28"/>
          <w:rtl/>
        </w:rPr>
        <w:t xml:space="preserve"> إذ يجب أن يكون له في مثل هذه الحالة أن ينفذ على أموال الكفيل على أن يقف في التنفيذ عند حد الحجز"</w:t>
      </w:r>
      <w:r>
        <w:rPr>
          <w:rFonts w:hint="cs"/>
          <w:color w:val="0000FF"/>
          <w:sz w:val="28"/>
          <w:szCs w:val="28"/>
          <w:rtl/>
        </w:rPr>
        <w:t xml:space="preserve"> .</w:t>
      </w:r>
      <w:r w:rsidRPr="00923B1A">
        <w:rPr>
          <w:rFonts w:hint="cs"/>
          <w:color w:val="0000FF"/>
          <w:sz w:val="28"/>
          <w:szCs w:val="28"/>
          <w:rtl/>
        </w:rPr>
        <w:t xml:space="preserve"> فأجيب "بأن للدائن في مثل هذه الحالة أن يلجأ إلى الحجز مثلا كإجراء تحفظي</w:t>
      </w:r>
      <w:r>
        <w:rPr>
          <w:rFonts w:hint="cs"/>
          <w:color w:val="0000FF"/>
          <w:sz w:val="28"/>
          <w:szCs w:val="28"/>
          <w:rtl/>
        </w:rPr>
        <w:t xml:space="preserve"> ،</w:t>
      </w:r>
      <w:r w:rsidRPr="00923B1A">
        <w:rPr>
          <w:rFonts w:hint="cs"/>
          <w:color w:val="0000FF"/>
          <w:sz w:val="28"/>
          <w:szCs w:val="28"/>
          <w:rtl/>
        </w:rPr>
        <w:t xml:space="preserve"> وليكن معلوما أنه لا يجوز له بيع أموال الكفيل أو نزع ملكيتها إلا بعد تجرد المدين من أمواله"</w:t>
      </w:r>
      <w:r>
        <w:rPr>
          <w:rFonts w:hint="cs"/>
          <w:color w:val="0000FF"/>
          <w:sz w:val="28"/>
          <w:szCs w:val="28"/>
          <w:rtl/>
        </w:rPr>
        <w:t xml:space="preserve"> .</w:t>
      </w:r>
      <w:r w:rsidRPr="00923B1A">
        <w:rPr>
          <w:rFonts w:hint="cs"/>
          <w:color w:val="0000FF"/>
          <w:sz w:val="28"/>
          <w:szCs w:val="28"/>
          <w:rtl/>
        </w:rPr>
        <w:t xml:space="preserve"> وأثير اعتراض "على الفقرة الثالثة التي تقضي بوجوب تمسك المدين بحق التجريد عند الرجوع عليه من الدائن أو عند ما يتخذ هذا الدائن ضده إجراءات تنفيذية</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وقيل</w:t>
      </w:r>
      <w:r>
        <w:rPr>
          <w:rFonts w:hint="cs"/>
          <w:color w:val="0000FF"/>
          <w:sz w:val="28"/>
          <w:szCs w:val="28"/>
          <w:rtl/>
        </w:rPr>
        <w:t xml:space="preserve"> )</w:t>
      </w:r>
      <w:r w:rsidRPr="00923B1A">
        <w:rPr>
          <w:rFonts w:hint="cs"/>
          <w:color w:val="0000FF"/>
          <w:sz w:val="28"/>
          <w:szCs w:val="28"/>
          <w:rtl/>
        </w:rPr>
        <w:t xml:space="preserve"> إنه يجب قصر التمسك بحق التجريد على التنفيذ"</w:t>
      </w:r>
      <w:r>
        <w:rPr>
          <w:rFonts w:hint="cs"/>
          <w:color w:val="0000FF"/>
          <w:sz w:val="28"/>
          <w:szCs w:val="28"/>
          <w:rtl/>
        </w:rPr>
        <w:t xml:space="preserve"> .</w:t>
      </w:r>
      <w:r w:rsidRPr="00923B1A">
        <w:rPr>
          <w:rFonts w:hint="cs"/>
          <w:color w:val="0000FF"/>
          <w:sz w:val="28"/>
          <w:szCs w:val="28"/>
          <w:rtl/>
        </w:rPr>
        <w:t xml:space="preserve"> وبعد مراجعة القانون القائم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"تبين أن سقوط حق الكفيل في التمسك بالتجريد يكون عند التنفيذ فقط</w:t>
      </w:r>
      <w:r>
        <w:rPr>
          <w:rFonts w:hint="cs"/>
          <w:color w:val="0000FF"/>
          <w:sz w:val="28"/>
          <w:szCs w:val="28"/>
          <w:rtl/>
        </w:rPr>
        <w:t xml:space="preserve"> ،</w:t>
      </w:r>
      <w:r w:rsidRPr="00923B1A">
        <w:rPr>
          <w:rFonts w:hint="cs"/>
          <w:color w:val="0000FF"/>
          <w:sz w:val="28"/>
          <w:szCs w:val="28"/>
          <w:rtl/>
        </w:rPr>
        <w:t xml:space="preserve"> وليس عند رفع الدعوى</w:t>
      </w:r>
      <w:r>
        <w:rPr>
          <w:rFonts w:hint="cs"/>
          <w:color w:val="0000FF"/>
          <w:sz w:val="28"/>
          <w:szCs w:val="28"/>
          <w:rtl/>
        </w:rPr>
        <w:t xml:space="preserve"> .</w:t>
      </w:r>
      <w:r w:rsidRPr="00923B1A">
        <w:rPr>
          <w:rFonts w:hint="cs"/>
          <w:color w:val="0000FF"/>
          <w:sz w:val="28"/>
          <w:szCs w:val="28"/>
          <w:rtl/>
        </w:rPr>
        <w:t xml:space="preserve"> ولذا رأت اللجنة إدماج الفقرتين الثانية والثالثة في فقرة واحدة</w:t>
      </w:r>
      <w:r>
        <w:rPr>
          <w:rFonts w:hint="cs"/>
          <w:color w:val="0000FF"/>
          <w:sz w:val="28"/>
          <w:szCs w:val="28"/>
          <w:rtl/>
        </w:rPr>
        <w:t xml:space="preserve"> ،</w:t>
      </w:r>
      <w:r w:rsidRPr="00923B1A">
        <w:rPr>
          <w:rFonts w:hint="cs"/>
          <w:color w:val="0000FF"/>
          <w:sz w:val="28"/>
          <w:szCs w:val="28"/>
          <w:rtl/>
        </w:rPr>
        <w:t xml:space="preserve"> حتى يكون السقوط قاصراً على التنفيذ فقط</w:t>
      </w:r>
      <w:r>
        <w:rPr>
          <w:rFonts w:hint="cs"/>
          <w:color w:val="0000FF"/>
          <w:sz w:val="28"/>
          <w:szCs w:val="28"/>
          <w:rtl/>
        </w:rPr>
        <w:t xml:space="preserve"> ،</w:t>
      </w:r>
      <w:r w:rsidRPr="00923B1A">
        <w:rPr>
          <w:rFonts w:hint="cs"/>
          <w:color w:val="0000FF"/>
          <w:sz w:val="28"/>
          <w:szCs w:val="28"/>
          <w:rtl/>
        </w:rPr>
        <w:t xml:space="preserve"> وقد اقتضى هذا تعديل الفقرة الثالثة التي أديت في الفقرة الثانية بحيث يصدق حكمها على حالة التنفيذ فقط</w:t>
      </w:r>
      <w:r>
        <w:rPr>
          <w:rFonts w:hint="cs"/>
          <w:color w:val="0000FF"/>
          <w:sz w:val="28"/>
          <w:szCs w:val="28"/>
          <w:rtl/>
        </w:rPr>
        <w:t xml:space="preserve"> ،</w:t>
      </w:r>
      <w:r w:rsidRPr="00923B1A">
        <w:rPr>
          <w:rFonts w:hint="cs"/>
          <w:color w:val="0000FF"/>
          <w:sz w:val="28"/>
          <w:szCs w:val="28"/>
          <w:rtl/>
        </w:rPr>
        <w:t xml:space="preserve"> وأصح نص الفقرة الثانية مطابقا لما استقر عليه في التقنين المدني الجديد تحت رقم 788/2</w:t>
      </w:r>
      <w:r>
        <w:rPr>
          <w:rFonts w:hint="cs"/>
          <w:color w:val="0000FF"/>
          <w:sz w:val="28"/>
          <w:szCs w:val="28"/>
          <w:rtl/>
        </w:rPr>
        <w:t xml:space="preserve"> .</w:t>
      </w:r>
      <w:r w:rsidRPr="00923B1A">
        <w:rPr>
          <w:rFonts w:hint="cs"/>
          <w:color w:val="0000FF"/>
          <w:sz w:val="28"/>
          <w:szCs w:val="28"/>
          <w:rtl/>
        </w:rPr>
        <w:t xml:space="preserve"> ووافق مجلس الشيوخ على النص كما عدلته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493 </w:t>
      </w:r>
      <w:r w:rsidRPr="00923B1A">
        <w:rPr>
          <w:color w:val="0000FF"/>
          <w:sz w:val="28"/>
          <w:szCs w:val="28"/>
          <w:rtl/>
        </w:rPr>
        <w:t>–</w:t>
      </w:r>
      <w:r w:rsidRPr="00923B1A">
        <w:rPr>
          <w:rFonts w:hint="cs"/>
          <w:color w:val="0000FF"/>
          <w:sz w:val="28"/>
          <w:szCs w:val="28"/>
          <w:rtl/>
        </w:rPr>
        <w:t xml:space="preserve"> ص 499</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502/612</w:t>
      </w:r>
      <w:r>
        <w:rPr>
          <w:rFonts w:hint="cs"/>
          <w:color w:val="0000FF"/>
          <w:sz w:val="28"/>
          <w:szCs w:val="28"/>
          <w:rtl/>
        </w:rPr>
        <w:t xml:space="preserve"> :</w:t>
      </w:r>
      <w:r w:rsidRPr="00923B1A">
        <w:rPr>
          <w:rFonts w:hint="cs"/>
          <w:color w:val="0000FF"/>
          <w:sz w:val="28"/>
          <w:szCs w:val="28"/>
          <w:rtl/>
        </w:rPr>
        <w:t xml:space="preserve"> للكفيل غير المتضامن الحق إذا لم يتركه في إلزام رب الدين بمطالبة المدين بالوفاء</w:t>
      </w:r>
      <w:r>
        <w:rPr>
          <w:rFonts w:hint="cs"/>
          <w:color w:val="0000FF"/>
          <w:sz w:val="28"/>
          <w:szCs w:val="28"/>
          <w:rtl/>
        </w:rPr>
        <w:t xml:space="preserve"> ،</w:t>
      </w:r>
      <w:r w:rsidRPr="00923B1A">
        <w:rPr>
          <w:rFonts w:hint="cs"/>
          <w:color w:val="0000FF"/>
          <w:sz w:val="28"/>
          <w:szCs w:val="28"/>
          <w:rtl/>
        </w:rPr>
        <w:t xml:space="preserve"> إذا كان الظاهر أن أمواله الجائز حجزها تفي بأداء الدين بتمامه</w:t>
      </w:r>
      <w:r>
        <w:rPr>
          <w:rFonts w:hint="cs"/>
          <w:color w:val="0000FF"/>
          <w:sz w:val="28"/>
          <w:szCs w:val="28"/>
          <w:rtl/>
        </w:rPr>
        <w:t xml:space="preserve"> .</w:t>
      </w:r>
      <w:r w:rsidRPr="00923B1A">
        <w:rPr>
          <w:rFonts w:hint="cs"/>
          <w:color w:val="0000FF"/>
          <w:sz w:val="28"/>
          <w:szCs w:val="28"/>
          <w:rtl/>
        </w:rPr>
        <w:t xml:space="preserve"> وحينئذ فللمحكمة النظر والحكم في إيقاف المطالبة الحاصلة للكفيل إيقافا مؤقتا</w:t>
      </w:r>
      <w:r>
        <w:rPr>
          <w:rFonts w:hint="cs"/>
          <w:color w:val="0000FF"/>
          <w:sz w:val="28"/>
          <w:szCs w:val="28"/>
          <w:rtl/>
        </w:rPr>
        <w:t xml:space="preserve"> ،</w:t>
      </w:r>
      <w:r w:rsidRPr="00923B1A">
        <w:rPr>
          <w:rFonts w:hint="cs"/>
          <w:color w:val="0000FF"/>
          <w:sz w:val="28"/>
          <w:szCs w:val="28"/>
          <w:rtl/>
        </w:rPr>
        <w:t xml:space="preserve"> مع عدم الإخلال بالإجراءات التحفظية</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ونص التقنين المدني السابق يجعل الدفع بالتجريد يتناول أيضاً للدفع بمطالبة الدائن بالرجوع على المدين أولا</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754/2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797/2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1021</w:t>
      </w:r>
      <w:r>
        <w:rPr>
          <w:rFonts w:hint="cs"/>
          <w:color w:val="0000FF"/>
          <w:sz w:val="28"/>
          <w:szCs w:val="28"/>
          <w:rtl/>
        </w:rPr>
        <w:t xml:space="preserve"> :</w:t>
      </w:r>
      <w:r w:rsidRPr="00923B1A">
        <w:rPr>
          <w:rFonts w:hint="cs"/>
          <w:color w:val="0000FF"/>
          <w:sz w:val="28"/>
          <w:szCs w:val="28"/>
          <w:rtl/>
        </w:rPr>
        <w:t xml:space="preserve"> 1- يفرض في الكفالة أنها انعقدت معلقة على شرط عدم وفاء المدين بالدين</w:t>
      </w:r>
      <w:r>
        <w:rPr>
          <w:rFonts w:hint="cs"/>
          <w:color w:val="0000FF"/>
          <w:sz w:val="28"/>
          <w:szCs w:val="28"/>
          <w:rtl/>
        </w:rPr>
        <w:t xml:space="preserve"> ،</w:t>
      </w:r>
      <w:r w:rsidRPr="00923B1A">
        <w:rPr>
          <w:rFonts w:hint="cs"/>
          <w:color w:val="0000FF"/>
          <w:sz w:val="28"/>
          <w:szCs w:val="28"/>
          <w:rtl/>
        </w:rPr>
        <w:t xml:space="preserve"> ما لم يكن الكفيل قد نزل عن هذا الشرط أو كان قد تضامن مع المدين</w:t>
      </w:r>
      <w:r>
        <w:rPr>
          <w:rFonts w:hint="cs"/>
          <w:color w:val="0000FF"/>
          <w:sz w:val="28"/>
          <w:szCs w:val="28"/>
          <w:rtl/>
        </w:rPr>
        <w:t xml:space="preserve"> .</w:t>
      </w:r>
      <w:r w:rsidRPr="00923B1A">
        <w:rPr>
          <w:rFonts w:hint="cs"/>
          <w:color w:val="0000FF"/>
          <w:sz w:val="28"/>
          <w:szCs w:val="28"/>
          <w:rtl/>
        </w:rPr>
        <w:t xml:space="preserve"> 2- فإذا طولب الكفيل أولا</w:t>
      </w:r>
      <w:r>
        <w:rPr>
          <w:rFonts w:hint="cs"/>
          <w:color w:val="0000FF"/>
          <w:sz w:val="28"/>
          <w:szCs w:val="28"/>
          <w:rtl/>
        </w:rPr>
        <w:t xml:space="preserve"> ،</w:t>
      </w:r>
      <w:r w:rsidRPr="00923B1A">
        <w:rPr>
          <w:rFonts w:hint="cs"/>
          <w:color w:val="0000FF"/>
          <w:sz w:val="28"/>
          <w:szCs w:val="28"/>
          <w:rtl/>
        </w:rPr>
        <w:t xml:space="preserve"> جاز له</w:t>
      </w:r>
      <w:r>
        <w:rPr>
          <w:rFonts w:hint="cs"/>
          <w:color w:val="0000FF"/>
          <w:sz w:val="28"/>
          <w:szCs w:val="28"/>
          <w:rtl/>
        </w:rPr>
        <w:t xml:space="preserve"> ،</w:t>
      </w:r>
      <w:r w:rsidRPr="00923B1A">
        <w:rPr>
          <w:rFonts w:hint="cs"/>
          <w:color w:val="0000FF"/>
          <w:sz w:val="28"/>
          <w:szCs w:val="28"/>
          <w:rtl/>
        </w:rPr>
        <w:t xml:space="preserve"> عند الإجراءات الأولى التي توجه ضده</w:t>
      </w:r>
      <w:r>
        <w:rPr>
          <w:rFonts w:hint="cs"/>
          <w:color w:val="0000FF"/>
          <w:sz w:val="28"/>
          <w:szCs w:val="28"/>
          <w:rtl/>
        </w:rPr>
        <w:t xml:space="preserve"> ،</w:t>
      </w:r>
      <w:r w:rsidRPr="00923B1A">
        <w:rPr>
          <w:rFonts w:hint="cs"/>
          <w:color w:val="0000FF"/>
          <w:sz w:val="28"/>
          <w:szCs w:val="28"/>
          <w:rtl/>
        </w:rPr>
        <w:t xml:space="preserve"> أن يطالب الدائن باستيفاء دينه من أموال المدين واتخاذ الإجراءات ضده</w:t>
      </w:r>
      <w:r>
        <w:rPr>
          <w:rFonts w:hint="cs"/>
          <w:color w:val="0000FF"/>
          <w:sz w:val="28"/>
          <w:szCs w:val="28"/>
          <w:rtl/>
        </w:rPr>
        <w:t xml:space="preserve"> ،</w:t>
      </w:r>
      <w:r w:rsidRPr="00923B1A">
        <w:rPr>
          <w:rFonts w:hint="cs"/>
          <w:color w:val="0000FF"/>
          <w:sz w:val="28"/>
          <w:szCs w:val="28"/>
          <w:rtl/>
        </w:rPr>
        <w:t xml:space="preserve"> إذا ظهر أن أمواله القابلة للحجز تكفي للوفاء بالدين بأكمله</w:t>
      </w:r>
      <w:r>
        <w:rPr>
          <w:rFonts w:hint="cs"/>
          <w:color w:val="0000FF"/>
          <w:sz w:val="28"/>
          <w:szCs w:val="28"/>
          <w:rtl/>
        </w:rPr>
        <w:t xml:space="preserve"> .</w:t>
      </w:r>
      <w:r w:rsidRPr="00923B1A">
        <w:rPr>
          <w:rFonts w:hint="cs"/>
          <w:color w:val="0000FF"/>
          <w:sz w:val="28"/>
          <w:szCs w:val="28"/>
          <w:rtl/>
        </w:rPr>
        <w:t xml:space="preserve"> وتقدر المحكمة  ما إذا كان هناك محل لوقف الإجراءات موقتا ضد الكفيل حتى يتم الاستيفاء</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ونص التقنين العراقي يجعل الدفع بالتجريد يتناول أيضاً مطالبة الدائن بالرجوع على المدين أولا</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1072 </w:t>
      </w:r>
      <w:r w:rsidRPr="00923B1A">
        <w:rPr>
          <w:color w:val="0000FF"/>
          <w:sz w:val="28"/>
          <w:szCs w:val="28"/>
          <w:rtl/>
        </w:rPr>
        <w:t>–</w:t>
      </w:r>
      <w:r w:rsidRPr="00923B1A">
        <w:rPr>
          <w:rFonts w:hint="cs"/>
          <w:color w:val="0000FF"/>
          <w:sz w:val="28"/>
          <w:szCs w:val="28"/>
          <w:rtl/>
        </w:rPr>
        <w:t xml:space="preserve"> 1074 </w:t>
      </w:r>
      <w:r>
        <w:rPr>
          <w:rFonts w:hint="cs"/>
          <w:color w:val="0000FF"/>
          <w:sz w:val="28"/>
          <w:szCs w:val="28"/>
          <w:rtl/>
        </w:rPr>
        <w:t xml:space="preserve">( </w:t>
      </w:r>
      <w:r w:rsidRPr="00923B1A">
        <w:rPr>
          <w:rFonts w:hint="cs"/>
          <w:color w:val="0000FF"/>
          <w:sz w:val="28"/>
          <w:szCs w:val="28"/>
          <w:rtl/>
        </w:rPr>
        <w:t>انظر آنفاً فقرة 44 في الهامش حيث ذكرت نصوص هذه المواد</w:t>
      </w:r>
      <w:r>
        <w:rPr>
          <w:rFonts w:hint="cs"/>
          <w:color w:val="0000FF"/>
          <w:sz w:val="28"/>
          <w:szCs w:val="28"/>
          <w:rtl/>
        </w:rPr>
        <w:t xml:space="preserve"> .</w:t>
      </w:r>
      <w:r w:rsidRPr="00923B1A">
        <w:rPr>
          <w:rFonts w:hint="cs"/>
          <w:color w:val="0000FF"/>
          <w:sz w:val="28"/>
          <w:szCs w:val="28"/>
          <w:rtl/>
        </w:rPr>
        <w:t xml:space="preserve"> والقانون اللبناني يجعل الدفع بالتجريد يتناول أيضاً مطالبة للدائن بالرجوع على المدين أولا</w:t>
      </w:r>
      <w:r>
        <w:rPr>
          <w:rFonts w:hint="cs"/>
          <w:color w:val="0000FF"/>
          <w:sz w:val="28"/>
          <w:szCs w:val="28"/>
          <w:rtl/>
        </w:rPr>
        <w:t xml:space="preserve"> ) .</w:t>
      </w:r>
    </w:p>
  </w:footnote>
  <w:footnote w:id="25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44</w:t>
      </w:r>
      <w:r>
        <w:rPr>
          <w:rFonts w:hint="cs"/>
          <w:color w:val="0000FF"/>
          <w:sz w:val="28"/>
          <w:szCs w:val="28"/>
          <w:rtl/>
        </w:rPr>
        <w:t xml:space="preserve"> .</w:t>
      </w:r>
    </w:p>
  </w:footnote>
  <w:footnote w:id="26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1021 ص 544 </w:t>
      </w:r>
      <w:r w:rsidRPr="00923B1A">
        <w:rPr>
          <w:color w:val="0000FF"/>
          <w:sz w:val="28"/>
          <w:szCs w:val="28"/>
          <w:rtl/>
        </w:rPr>
        <w:t>–</w:t>
      </w:r>
      <w:r w:rsidRPr="00923B1A">
        <w:rPr>
          <w:rFonts w:hint="cs"/>
          <w:color w:val="0000FF"/>
          <w:sz w:val="28"/>
          <w:szCs w:val="28"/>
          <w:rtl/>
        </w:rPr>
        <w:t xml:space="preserve"> وقد قضت محكمة النقض في عهد التقنين المدني السابق بأن الشارع قد وكل إلى المحكمة التي قدم إليها الكفيل دفعت بتجريد المدين أمر الفصل فيما إذا كان الظاهر من أموال المدين الجائز الحجز عليها يفي بأداء الدين  بتمامه</w:t>
      </w:r>
      <w:r>
        <w:rPr>
          <w:rFonts w:hint="cs"/>
          <w:color w:val="0000FF"/>
          <w:sz w:val="28"/>
          <w:szCs w:val="28"/>
          <w:rtl/>
        </w:rPr>
        <w:t xml:space="preserve"> ،</w:t>
      </w:r>
      <w:r w:rsidRPr="00923B1A">
        <w:rPr>
          <w:rFonts w:hint="cs"/>
          <w:color w:val="0000FF"/>
          <w:sz w:val="28"/>
          <w:szCs w:val="28"/>
          <w:rtl/>
        </w:rPr>
        <w:t xml:space="preserve"> ثم الحكم بإيقاف المطالبة الحاصلة للكفيل إيقافا مؤقتا أو عدم إيقافها على حسب الأحوال</w:t>
      </w:r>
      <w:r>
        <w:rPr>
          <w:rFonts w:hint="cs"/>
          <w:color w:val="0000FF"/>
          <w:sz w:val="28"/>
          <w:szCs w:val="28"/>
          <w:rtl/>
        </w:rPr>
        <w:t xml:space="preserve"> ،</w:t>
      </w:r>
      <w:r w:rsidRPr="00923B1A">
        <w:rPr>
          <w:rFonts w:hint="cs"/>
          <w:color w:val="0000FF"/>
          <w:sz w:val="28"/>
          <w:szCs w:val="28"/>
          <w:rtl/>
        </w:rPr>
        <w:t xml:space="preserve"> مع عدم الإخلال بالإجراءات التحفظية</w:t>
      </w:r>
      <w:r>
        <w:rPr>
          <w:rFonts w:hint="cs"/>
          <w:color w:val="0000FF"/>
          <w:sz w:val="28"/>
          <w:szCs w:val="28"/>
          <w:rtl/>
        </w:rPr>
        <w:t xml:space="preserve"> ،</w:t>
      </w:r>
      <w:r w:rsidRPr="00923B1A">
        <w:rPr>
          <w:rFonts w:hint="cs"/>
          <w:color w:val="0000FF"/>
          <w:sz w:val="28"/>
          <w:szCs w:val="28"/>
          <w:rtl/>
        </w:rPr>
        <w:t xml:space="preserve"> فلا رقابة المحكمة النقض على ما تراه محكمة الموضوع في ذلك</w:t>
      </w:r>
      <w:r>
        <w:rPr>
          <w:rFonts w:hint="cs"/>
          <w:color w:val="0000FF"/>
          <w:sz w:val="28"/>
          <w:szCs w:val="28"/>
          <w:rtl/>
        </w:rPr>
        <w:t xml:space="preserve"> .</w:t>
      </w:r>
      <w:r w:rsidRPr="00923B1A">
        <w:rPr>
          <w:rFonts w:hint="cs"/>
          <w:color w:val="0000FF"/>
          <w:sz w:val="28"/>
          <w:szCs w:val="28"/>
          <w:rtl/>
        </w:rPr>
        <w:t xml:space="preserve"> وللكفيل غير المتضامن أن يتمسك في أي وقت يكون مناسبا بالدفع بتجريد المدين</w:t>
      </w:r>
      <w:r>
        <w:rPr>
          <w:rFonts w:hint="cs"/>
          <w:color w:val="0000FF"/>
          <w:sz w:val="28"/>
          <w:szCs w:val="28"/>
          <w:rtl/>
        </w:rPr>
        <w:t xml:space="preserve"> ،</w:t>
      </w:r>
      <w:r w:rsidRPr="00923B1A">
        <w:rPr>
          <w:rFonts w:hint="cs"/>
          <w:color w:val="0000FF"/>
          <w:sz w:val="28"/>
          <w:szCs w:val="28"/>
          <w:rtl/>
        </w:rPr>
        <w:t xml:space="preserve"> وذلك ما لم يصدر منه قول أو فعل أو ترك يدل على تنازله على هذا الدفع</w:t>
      </w:r>
      <w:r>
        <w:rPr>
          <w:rFonts w:hint="cs"/>
          <w:color w:val="0000FF"/>
          <w:sz w:val="28"/>
          <w:szCs w:val="28"/>
          <w:rtl/>
        </w:rPr>
        <w:t xml:space="preserve"> .</w:t>
      </w:r>
      <w:r w:rsidRPr="00923B1A">
        <w:rPr>
          <w:rFonts w:hint="cs"/>
          <w:color w:val="0000FF"/>
          <w:sz w:val="28"/>
          <w:szCs w:val="28"/>
          <w:rtl/>
        </w:rPr>
        <w:t xml:space="preserve"> فإذا كان عليه أن يبين للدائن ما عساه يكون للمدين من مال جائز الحجز عليه لاستيفاء دينه منه</w:t>
      </w:r>
      <w:r>
        <w:rPr>
          <w:rFonts w:hint="cs"/>
          <w:color w:val="0000FF"/>
          <w:sz w:val="28"/>
          <w:szCs w:val="28"/>
          <w:rtl/>
        </w:rPr>
        <w:t xml:space="preserve"> ،</w:t>
      </w:r>
      <w:r w:rsidRPr="00923B1A">
        <w:rPr>
          <w:rFonts w:hint="cs"/>
          <w:color w:val="0000FF"/>
          <w:sz w:val="28"/>
          <w:szCs w:val="28"/>
          <w:rtl/>
        </w:rPr>
        <w:t xml:space="preserve"> وأن تقديمه لهذا البيان يكون على دفعة واحدة وعند البدء بالتنفيذ</w:t>
      </w:r>
      <w:r>
        <w:rPr>
          <w:rFonts w:hint="cs"/>
          <w:color w:val="0000FF"/>
          <w:sz w:val="28"/>
          <w:szCs w:val="28"/>
          <w:rtl/>
        </w:rPr>
        <w:t xml:space="preserve"> ،</w:t>
      </w:r>
      <w:r w:rsidRPr="00923B1A">
        <w:rPr>
          <w:rFonts w:hint="cs"/>
          <w:color w:val="0000FF"/>
          <w:sz w:val="28"/>
          <w:szCs w:val="28"/>
          <w:rtl/>
        </w:rPr>
        <w:t xml:space="preserve"> فإن له كذلك أن يبين ما يكون من آل للمدين بسبب جديد</w:t>
      </w:r>
      <w:r>
        <w:rPr>
          <w:rFonts w:hint="cs"/>
          <w:color w:val="0000FF"/>
          <w:sz w:val="28"/>
          <w:szCs w:val="28"/>
          <w:rtl/>
        </w:rPr>
        <w:t xml:space="preserve"> .</w:t>
      </w:r>
      <w:r w:rsidRPr="00923B1A">
        <w:rPr>
          <w:rFonts w:hint="cs"/>
          <w:color w:val="0000FF"/>
          <w:sz w:val="28"/>
          <w:szCs w:val="28"/>
          <w:rtl/>
        </w:rPr>
        <w:t xml:space="preserve"> وإذن فإذا كان الكفيل </w:t>
      </w:r>
      <w:r>
        <w:rPr>
          <w:rFonts w:hint="cs"/>
          <w:color w:val="0000FF"/>
          <w:sz w:val="28"/>
          <w:szCs w:val="28"/>
          <w:rtl/>
        </w:rPr>
        <w:t xml:space="preserve"> . . .</w:t>
      </w:r>
      <w:r w:rsidRPr="00923B1A">
        <w:rPr>
          <w:rFonts w:hint="cs"/>
          <w:color w:val="0000FF"/>
          <w:sz w:val="28"/>
          <w:szCs w:val="28"/>
          <w:rtl/>
        </w:rPr>
        <w:t xml:space="preserve"> لما جد للمدين ميراث</w:t>
      </w:r>
      <w:r>
        <w:rPr>
          <w:rFonts w:hint="cs"/>
          <w:color w:val="0000FF"/>
          <w:sz w:val="28"/>
          <w:szCs w:val="28"/>
          <w:rtl/>
        </w:rPr>
        <w:t xml:space="preserve"> ،</w:t>
      </w:r>
      <w:r w:rsidRPr="00923B1A">
        <w:rPr>
          <w:rFonts w:hint="cs"/>
          <w:color w:val="0000FF"/>
          <w:sz w:val="28"/>
          <w:szCs w:val="28"/>
          <w:rtl/>
        </w:rPr>
        <w:t xml:space="preserve"> بادر أيضاً إلى إعلان الدائن بأن مدينه قد ورث ما يمكنه أن يستد بدينه منه بغير رجوع عليه</w:t>
      </w:r>
      <w:r>
        <w:rPr>
          <w:rFonts w:hint="cs"/>
          <w:color w:val="0000FF"/>
          <w:sz w:val="28"/>
          <w:szCs w:val="28"/>
          <w:rtl/>
        </w:rPr>
        <w:t xml:space="preserve"> ،</w:t>
      </w:r>
      <w:r w:rsidRPr="00923B1A">
        <w:rPr>
          <w:rFonts w:hint="cs"/>
          <w:color w:val="0000FF"/>
          <w:sz w:val="28"/>
          <w:szCs w:val="28"/>
          <w:rtl/>
        </w:rPr>
        <w:t xml:space="preserve"> فإنه لا يصح اعتباره متوانيا في الدفع بتجريد المدين من هذا الملك الجديد الذي آل إليه ولا تاركا له</w:t>
      </w:r>
      <w:r>
        <w:rPr>
          <w:rFonts w:hint="cs"/>
          <w:color w:val="0000FF"/>
          <w:sz w:val="28"/>
          <w:szCs w:val="28"/>
          <w:rtl/>
        </w:rPr>
        <w:t xml:space="preserve"> ،</w:t>
      </w:r>
      <w:r w:rsidRPr="00923B1A">
        <w:rPr>
          <w:rFonts w:hint="cs"/>
          <w:color w:val="0000FF"/>
          <w:sz w:val="28"/>
          <w:szCs w:val="28"/>
          <w:rtl/>
        </w:rPr>
        <w:t xml:space="preserve"> بمستدلة إنه فاته أن يبديه عند الباء بالتنفيذ</w:t>
      </w:r>
      <w:r>
        <w:rPr>
          <w:rFonts w:hint="cs"/>
          <w:color w:val="0000FF"/>
          <w:sz w:val="28"/>
          <w:szCs w:val="28"/>
          <w:rtl/>
        </w:rPr>
        <w:t xml:space="preserve"> .</w:t>
      </w:r>
      <w:r w:rsidRPr="00923B1A">
        <w:rPr>
          <w:rFonts w:hint="cs"/>
          <w:color w:val="0000FF"/>
          <w:sz w:val="28"/>
          <w:szCs w:val="28"/>
          <w:rtl/>
        </w:rPr>
        <w:t xml:space="preserve"> ولذلك لا تكون المحكمة مخطئة في تطبيق القانون</w:t>
      </w:r>
      <w:r>
        <w:rPr>
          <w:rFonts w:hint="cs"/>
          <w:color w:val="0000FF"/>
          <w:sz w:val="28"/>
          <w:szCs w:val="28"/>
          <w:rtl/>
        </w:rPr>
        <w:t xml:space="preserve"> ،</w:t>
      </w:r>
      <w:r w:rsidRPr="00923B1A">
        <w:rPr>
          <w:rFonts w:hint="cs"/>
          <w:color w:val="0000FF"/>
          <w:sz w:val="28"/>
          <w:szCs w:val="28"/>
          <w:rtl/>
        </w:rPr>
        <w:t xml:space="preserve"> إذا هي بحثت في قيام هذا الملك وإمكان استيفاء الدائن دينه منه </w:t>
      </w:r>
      <w:r>
        <w:rPr>
          <w:rFonts w:hint="cs"/>
          <w:color w:val="0000FF"/>
          <w:sz w:val="28"/>
          <w:szCs w:val="28"/>
          <w:rtl/>
        </w:rPr>
        <w:t xml:space="preserve">( </w:t>
      </w:r>
      <w:r w:rsidRPr="00923B1A">
        <w:rPr>
          <w:rFonts w:hint="cs"/>
          <w:color w:val="0000FF"/>
          <w:sz w:val="28"/>
          <w:szCs w:val="28"/>
          <w:rtl/>
        </w:rPr>
        <w:t xml:space="preserve">نقض مدني 21 يناير سنة 1937 مجموعة القواعد القانونية التي قررتها محكمة النقض في 25 عاما الجزء الثاني ص 937 رقم 7 </w:t>
      </w:r>
      <w:r w:rsidRPr="00923B1A">
        <w:rPr>
          <w:color w:val="0000FF"/>
          <w:sz w:val="28"/>
          <w:szCs w:val="28"/>
          <w:rtl/>
        </w:rPr>
        <w:t>–</w:t>
      </w:r>
      <w:r w:rsidRPr="00923B1A">
        <w:rPr>
          <w:rFonts w:hint="cs"/>
          <w:color w:val="0000FF"/>
          <w:sz w:val="28"/>
          <w:szCs w:val="28"/>
          <w:rtl/>
        </w:rPr>
        <w:t xml:space="preserve"> 10</w:t>
      </w:r>
      <w:r>
        <w:rPr>
          <w:rFonts w:hint="cs"/>
          <w:color w:val="0000FF"/>
          <w:sz w:val="28"/>
          <w:szCs w:val="28"/>
          <w:rtl/>
        </w:rPr>
        <w:t xml:space="preserve"> ) .</w:t>
      </w:r>
      <w:r w:rsidRPr="00923B1A">
        <w:rPr>
          <w:rFonts w:hint="cs"/>
          <w:color w:val="0000FF"/>
          <w:sz w:val="28"/>
          <w:szCs w:val="28"/>
          <w:rtl/>
        </w:rPr>
        <w:t xml:space="preserve"> </w:t>
      </w:r>
    </w:p>
  </w:footnote>
  <w:footnote w:id="26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كل ذلك بودري وفال فقرة 1021 ص 545</w:t>
      </w:r>
      <w:r>
        <w:rPr>
          <w:rFonts w:hint="cs"/>
          <w:color w:val="0000FF"/>
          <w:sz w:val="28"/>
          <w:szCs w:val="28"/>
          <w:rtl/>
        </w:rPr>
        <w:t xml:space="preserve"> .</w:t>
      </w:r>
    </w:p>
  </w:footnote>
  <w:footnote w:id="26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1144 مكررة من المشروع التمهيدي</w:t>
      </w:r>
      <w:r>
        <w:rPr>
          <w:rFonts w:hint="cs"/>
          <w:color w:val="0000FF"/>
          <w:sz w:val="28"/>
          <w:szCs w:val="28"/>
          <w:rtl/>
        </w:rPr>
        <w:t xml:space="preserve"> ،</w:t>
      </w:r>
      <w:r w:rsidRPr="00923B1A">
        <w:rPr>
          <w:rFonts w:hint="cs"/>
          <w:color w:val="0000FF"/>
          <w:sz w:val="28"/>
          <w:szCs w:val="28"/>
          <w:rtl/>
        </w:rPr>
        <w:t xml:space="preserve"> وتجري على الوجه الآتي</w:t>
      </w:r>
      <w:r>
        <w:rPr>
          <w:rFonts w:hint="cs"/>
          <w:color w:val="0000FF"/>
          <w:sz w:val="28"/>
          <w:szCs w:val="28"/>
          <w:rtl/>
        </w:rPr>
        <w:t xml:space="preserve"> :</w:t>
      </w:r>
      <w:r w:rsidRPr="00923B1A">
        <w:rPr>
          <w:rFonts w:hint="cs"/>
          <w:color w:val="0000FF"/>
          <w:sz w:val="28"/>
          <w:szCs w:val="28"/>
          <w:rtl/>
        </w:rPr>
        <w:t xml:space="preserve"> "إذا طلب الكفيل التجريد</w:t>
      </w:r>
      <w:r>
        <w:rPr>
          <w:rFonts w:hint="cs"/>
          <w:color w:val="0000FF"/>
          <w:sz w:val="28"/>
          <w:szCs w:val="28"/>
          <w:rtl/>
        </w:rPr>
        <w:t xml:space="preserve"> ،</w:t>
      </w:r>
      <w:r w:rsidRPr="00923B1A">
        <w:rPr>
          <w:rFonts w:hint="cs"/>
          <w:color w:val="0000FF"/>
          <w:sz w:val="28"/>
          <w:szCs w:val="28"/>
          <w:rtl/>
        </w:rPr>
        <w:t xml:space="preserve"> وجب عليه أن يدل الدائن على أموال المدين</w:t>
      </w:r>
      <w:r>
        <w:rPr>
          <w:rFonts w:hint="cs"/>
          <w:color w:val="0000FF"/>
          <w:sz w:val="28"/>
          <w:szCs w:val="28"/>
          <w:rtl/>
        </w:rPr>
        <w:t xml:space="preserve"> ،</w:t>
      </w:r>
      <w:r w:rsidRPr="00923B1A">
        <w:rPr>
          <w:rFonts w:hint="cs"/>
          <w:color w:val="0000FF"/>
          <w:sz w:val="28"/>
          <w:szCs w:val="28"/>
          <w:rtl/>
        </w:rPr>
        <w:t xml:space="preserve"> وأن يقدم له المبالغ الكافية القيام بالتجريد"</w:t>
      </w:r>
      <w:r>
        <w:rPr>
          <w:rFonts w:hint="cs"/>
          <w:color w:val="0000FF"/>
          <w:sz w:val="28"/>
          <w:szCs w:val="28"/>
          <w:rtl/>
        </w:rPr>
        <w:t xml:space="preserve"> ،</w:t>
      </w:r>
      <w:r w:rsidRPr="00923B1A">
        <w:rPr>
          <w:rFonts w:hint="cs"/>
          <w:color w:val="0000FF"/>
          <w:sz w:val="28"/>
          <w:szCs w:val="28"/>
          <w:rtl/>
        </w:rPr>
        <w:t xml:space="preserve"> وفي المادة 1146 من المشروع التمهيدي وتجري على الوجه الآتي</w:t>
      </w:r>
      <w:r>
        <w:rPr>
          <w:rFonts w:hint="cs"/>
          <w:color w:val="0000FF"/>
          <w:sz w:val="28"/>
          <w:szCs w:val="28"/>
          <w:rtl/>
        </w:rPr>
        <w:t xml:space="preserve"> :</w:t>
      </w:r>
      <w:r w:rsidRPr="00923B1A">
        <w:rPr>
          <w:rFonts w:hint="cs"/>
          <w:color w:val="0000FF"/>
          <w:sz w:val="28"/>
          <w:szCs w:val="28"/>
          <w:rtl/>
        </w:rPr>
        <w:t xml:space="preserve"> "ليس للكفيل أن يدل الدائن على أموال المدين تقع خارج الأراضي المصرية</w:t>
      </w:r>
      <w:r>
        <w:rPr>
          <w:rFonts w:hint="cs"/>
          <w:color w:val="0000FF"/>
          <w:sz w:val="28"/>
          <w:szCs w:val="28"/>
          <w:rtl/>
        </w:rPr>
        <w:t xml:space="preserve"> ،</w:t>
      </w:r>
      <w:r w:rsidRPr="00923B1A">
        <w:rPr>
          <w:rFonts w:hint="cs"/>
          <w:color w:val="0000FF"/>
          <w:sz w:val="28"/>
          <w:szCs w:val="28"/>
          <w:rtl/>
        </w:rPr>
        <w:t xml:space="preserve"> ولا على أموال متنازع فيها</w:t>
      </w:r>
      <w:r>
        <w:rPr>
          <w:rFonts w:hint="cs"/>
          <w:color w:val="0000FF"/>
          <w:sz w:val="28"/>
          <w:szCs w:val="28"/>
          <w:rtl/>
        </w:rPr>
        <w:t xml:space="preserve"> ،</w:t>
      </w:r>
      <w:r w:rsidRPr="00923B1A">
        <w:rPr>
          <w:rFonts w:hint="cs"/>
          <w:color w:val="0000FF"/>
          <w:sz w:val="28"/>
          <w:szCs w:val="28"/>
          <w:rtl/>
        </w:rPr>
        <w:t xml:space="preserve"> أو مرهونة في الدين"</w:t>
      </w:r>
      <w:r>
        <w:rPr>
          <w:rFonts w:hint="cs"/>
          <w:color w:val="0000FF"/>
          <w:sz w:val="28"/>
          <w:szCs w:val="28"/>
          <w:rtl/>
        </w:rPr>
        <w:t xml:space="preserve"> .</w:t>
      </w:r>
      <w:r w:rsidRPr="00923B1A">
        <w:rPr>
          <w:rFonts w:hint="cs"/>
          <w:color w:val="0000FF"/>
          <w:sz w:val="28"/>
          <w:szCs w:val="28"/>
          <w:rtl/>
        </w:rPr>
        <w:t xml:space="preserve"> وقد أدمجت لجنة المراجعة المادتين في مادة واحدة</w:t>
      </w:r>
      <w:r>
        <w:rPr>
          <w:rFonts w:hint="cs"/>
          <w:color w:val="0000FF"/>
          <w:sz w:val="28"/>
          <w:szCs w:val="28"/>
          <w:rtl/>
        </w:rPr>
        <w:t xml:space="preserve"> ،</w:t>
      </w:r>
      <w:r w:rsidRPr="00923B1A">
        <w:rPr>
          <w:rFonts w:hint="cs"/>
          <w:color w:val="0000FF"/>
          <w:sz w:val="28"/>
          <w:szCs w:val="28"/>
          <w:rtl/>
        </w:rPr>
        <w:t xml:space="preserve"> مع إدخال بعض تعديلات لفظية وإضافية عبارة "تفي بالدين كله" في الفقرة الأولى</w:t>
      </w:r>
      <w:r>
        <w:rPr>
          <w:rFonts w:hint="cs"/>
          <w:color w:val="0000FF"/>
          <w:sz w:val="28"/>
          <w:szCs w:val="28"/>
          <w:rtl/>
        </w:rPr>
        <w:t xml:space="preserve"> ،</w:t>
      </w:r>
      <w:r w:rsidRPr="00923B1A">
        <w:rPr>
          <w:rFonts w:hint="cs"/>
          <w:color w:val="0000FF"/>
          <w:sz w:val="28"/>
          <w:szCs w:val="28"/>
          <w:rtl/>
        </w:rPr>
        <w:t xml:space="preserve"> وأصبح رقم المادة 857 في المشروع النهائي</w:t>
      </w:r>
      <w:r>
        <w:rPr>
          <w:rFonts w:hint="cs"/>
          <w:color w:val="0000FF"/>
          <w:sz w:val="28"/>
          <w:szCs w:val="28"/>
          <w:rtl/>
        </w:rPr>
        <w:t xml:space="preserve"> .</w:t>
      </w:r>
      <w:r w:rsidRPr="00923B1A">
        <w:rPr>
          <w:rFonts w:hint="cs"/>
          <w:color w:val="0000FF"/>
          <w:sz w:val="28"/>
          <w:szCs w:val="28"/>
          <w:rtl/>
        </w:rPr>
        <w:t xml:space="preserve">  وفي لجنة الشئون التشريعية لمجلس النواب حذفت من الفقرة الثانية العبارة الأخيرة وهي "أو كانت مرهونة في ذات الدين"</w:t>
      </w:r>
      <w:r>
        <w:rPr>
          <w:rFonts w:hint="cs"/>
          <w:color w:val="0000FF"/>
          <w:sz w:val="28"/>
          <w:szCs w:val="28"/>
          <w:rtl/>
        </w:rPr>
        <w:t xml:space="preserve"> ،</w:t>
      </w:r>
      <w:r w:rsidRPr="00923B1A">
        <w:rPr>
          <w:rFonts w:hint="cs"/>
          <w:color w:val="0000FF"/>
          <w:sz w:val="28"/>
          <w:szCs w:val="28"/>
          <w:rtl/>
        </w:rPr>
        <w:t xml:space="preserve"> لأنه "إذا وجد مال مرهون في ذات الدين كان هذا المال تأميناً عينيا يجب استيفاء الدين مننه أولا بموجب المادة 791</w:t>
      </w:r>
      <w:r>
        <w:rPr>
          <w:rFonts w:hint="cs"/>
          <w:color w:val="0000FF"/>
          <w:sz w:val="28"/>
          <w:szCs w:val="28"/>
          <w:rtl/>
        </w:rPr>
        <w:t xml:space="preserve"> ،</w:t>
      </w:r>
      <w:r w:rsidRPr="00923B1A">
        <w:rPr>
          <w:rFonts w:hint="cs"/>
          <w:color w:val="0000FF"/>
          <w:sz w:val="28"/>
          <w:szCs w:val="28"/>
          <w:rtl/>
        </w:rPr>
        <w:t xml:space="preserve"> فلا يكون هناك محل عند طلب الكفيل التجريد أن يدل عليه"</w:t>
      </w:r>
      <w:r>
        <w:rPr>
          <w:rFonts w:hint="cs"/>
          <w:color w:val="0000FF"/>
          <w:sz w:val="28"/>
          <w:szCs w:val="28"/>
          <w:rtl/>
        </w:rPr>
        <w:t xml:space="preserve"> ،</w:t>
      </w:r>
      <w:r w:rsidRPr="00923B1A">
        <w:rPr>
          <w:rFonts w:hint="cs"/>
          <w:color w:val="0000FF"/>
          <w:sz w:val="28"/>
          <w:szCs w:val="28"/>
          <w:rtl/>
        </w:rPr>
        <w:t xml:space="preserve"> وأصبح رقم المادة 856</w:t>
      </w:r>
      <w:r>
        <w:rPr>
          <w:rFonts w:hint="cs"/>
          <w:color w:val="0000FF"/>
          <w:sz w:val="28"/>
          <w:szCs w:val="28"/>
          <w:rtl/>
        </w:rPr>
        <w:t xml:space="preserve"> ،</w:t>
      </w:r>
      <w:r w:rsidRPr="00923B1A">
        <w:rPr>
          <w:rFonts w:hint="cs"/>
          <w:color w:val="0000FF"/>
          <w:sz w:val="28"/>
          <w:szCs w:val="28"/>
          <w:rtl/>
        </w:rPr>
        <w:t xml:space="preserve"> ووافق مجلس النواب على المادة كما عدلتها لجنته</w:t>
      </w:r>
      <w:r>
        <w:rPr>
          <w:rFonts w:hint="cs"/>
          <w:color w:val="0000FF"/>
          <w:sz w:val="28"/>
          <w:szCs w:val="28"/>
          <w:rtl/>
        </w:rPr>
        <w:t xml:space="preserve"> .</w:t>
      </w:r>
      <w:r w:rsidRPr="00923B1A">
        <w:rPr>
          <w:rFonts w:hint="cs"/>
          <w:color w:val="0000FF"/>
          <w:sz w:val="28"/>
          <w:szCs w:val="28"/>
          <w:rtl/>
        </w:rPr>
        <w:t xml:space="preserve"> وفي لجنة مجلس الشيوخ عدلت الفقرة الأولى على الوجه الآتي</w:t>
      </w:r>
      <w:r>
        <w:rPr>
          <w:rFonts w:hint="cs"/>
          <w:color w:val="0000FF"/>
          <w:sz w:val="28"/>
          <w:szCs w:val="28"/>
          <w:rtl/>
        </w:rPr>
        <w:t xml:space="preserve"> :</w:t>
      </w:r>
      <w:r w:rsidRPr="00923B1A">
        <w:rPr>
          <w:rFonts w:hint="cs"/>
          <w:color w:val="0000FF"/>
          <w:sz w:val="28"/>
          <w:szCs w:val="28"/>
          <w:rtl/>
        </w:rPr>
        <w:t xml:space="preserve"> "إذا طلب الكفيل التجريد</w:t>
      </w:r>
      <w:r>
        <w:rPr>
          <w:rFonts w:hint="cs"/>
          <w:color w:val="0000FF"/>
          <w:sz w:val="28"/>
          <w:szCs w:val="28"/>
          <w:rtl/>
        </w:rPr>
        <w:t xml:space="preserve"> ،</w:t>
      </w:r>
      <w:r w:rsidRPr="00923B1A">
        <w:rPr>
          <w:rFonts w:hint="cs"/>
          <w:color w:val="0000FF"/>
          <w:sz w:val="28"/>
          <w:szCs w:val="28"/>
          <w:rtl/>
        </w:rPr>
        <w:t xml:space="preserve"> وجب عليه أن يقدم على نفقته بإرشاد الدائن إلى أموال للمدين تفي بالدين كله"</w:t>
      </w:r>
      <w:r>
        <w:rPr>
          <w:rFonts w:hint="cs"/>
          <w:color w:val="0000FF"/>
          <w:sz w:val="28"/>
          <w:szCs w:val="28"/>
          <w:rtl/>
        </w:rPr>
        <w:t xml:space="preserve"> .</w:t>
      </w:r>
      <w:r w:rsidRPr="00923B1A">
        <w:rPr>
          <w:rFonts w:hint="cs"/>
          <w:color w:val="0000FF"/>
          <w:sz w:val="28"/>
          <w:szCs w:val="28"/>
          <w:rtl/>
        </w:rPr>
        <w:t xml:space="preserve"> وجاء في تقرير اللجنة ما يأتي</w:t>
      </w:r>
      <w:r>
        <w:rPr>
          <w:rFonts w:hint="cs"/>
          <w:color w:val="0000FF"/>
          <w:sz w:val="28"/>
          <w:szCs w:val="28"/>
          <w:rtl/>
        </w:rPr>
        <w:t xml:space="preserve"> :</w:t>
      </w:r>
      <w:r w:rsidRPr="00923B1A">
        <w:rPr>
          <w:rFonts w:hint="cs"/>
          <w:color w:val="0000FF"/>
          <w:sz w:val="28"/>
          <w:szCs w:val="28"/>
          <w:rtl/>
        </w:rPr>
        <w:t xml:space="preserve"> "رأت اللجنة أن تستبدل في الفقرة الأولى من هذه المادة عبارة </w:t>
      </w:r>
      <w:r>
        <w:rPr>
          <w:rFonts w:hint="cs"/>
          <w:color w:val="0000FF"/>
          <w:sz w:val="28"/>
          <w:szCs w:val="28"/>
          <w:rtl/>
        </w:rPr>
        <w:t xml:space="preserve">( </w:t>
      </w:r>
      <w:r w:rsidRPr="00923B1A">
        <w:rPr>
          <w:rFonts w:hint="cs"/>
          <w:color w:val="0000FF"/>
          <w:sz w:val="28"/>
          <w:szCs w:val="28"/>
          <w:rtl/>
        </w:rPr>
        <w:t>وجب عليه أن يقدم على نفقته بإرشاد الدائن إلى أموال للمدين تفي بالدين كله</w:t>
      </w:r>
      <w:r>
        <w:rPr>
          <w:rFonts w:hint="cs"/>
          <w:color w:val="0000FF"/>
          <w:sz w:val="28"/>
          <w:szCs w:val="28"/>
          <w:rtl/>
        </w:rPr>
        <w:t xml:space="preserve"> ) ،</w:t>
      </w:r>
      <w:r w:rsidRPr="00923B1A">
        <w:rPr>
          <w:rFonts w:hint="cs"/>
          <w:color w:val="0000FF"/>
          <w:sz w:val="28"/>
          <w:szCs w:val="28"/>
          <w:rtl/>
        </w:rPr>
        <w:t xml:space="preserve"> بعبارة </w:t>
      </w:r>
      <w:r>
        <w:rPr>
          <w:rFonts w:hint="cs"/>
          <w:color w:val="0000FF"/>
          <w:sz w:val="28"/>
          <w:szCs w:val="28"/>
          <w:rtl/>
        </w:rPr>
        <w:t xml:space="preserve">( </w:t>
      </w:r>
      <w:r w:rsidRPr="00923B1A">
        <w:rPr>
          <w:rFonts w:hint="cs"/>
          <w:color w:val="0000FF"/>
          <w:sz w:val="28"/>
          <w:szCs w:val="28"/>
          <w:rtl/>
        </w:rPr>
        <w:t>وجب عليه أن يدل الدائن على أموال المدين تفي بالدين كله وان يقدم له المصروفات الكافية للقيام بالتجريد</w:t>
      </w:r>
      <w:r>
        <w:rPr>
          <w:rFonts w:hint="cs"/>
          <w:color w:val="0000FF"/>
          <w:sz w:val="28"/>
          <w:szCs w:val="28"/>
          <w:rtl/>
        </w:rPr>
        <w:t xml:space="preserve"> ) .</w:t>
      </w:r>
      <w:r w:rsidRPr="00923B1A">
        <w:rPr>
          <w:rFonts w:hint="cs"/>
          <w:color w:val="0000FF"/>
          <w:sz w:val="28"/>
          <w:szCs w:val="28"/>
          <w:rtl/>
        </w:rPr>
        <w:t xml:space="preserve"> وقد راعت اللجنة في ذلك أن مصروفات التجريد سيرجع بها الدائن على الكفيل</w:t>
      </w:r>
      <w:r>
        <w:rPr>
          <w:rFonts w:hint="cs"/>
          <w:color w:val="0000FF"/>
          <w:sz w:val="28"/>
          <w:szCs w:val="28"/>
          <w:rtl/>
        </w:rPr>
        <w:t xml:space="preserve"> ،</w:t>
      </w:r>
      <w:r w:rsidRPr="00923B1A">
        <w:rPr>
          <w:rFonts w:hint="cs"/>
          <w:color w:val="0000FF"/>
          <w:sz w:val="28"/>
          <w:szCs w:val="28"/>
          <w:rtl/>
        </w:rPr>
        <w:t xml:space="preserve"> فلا محل لإلزامه بدفعها مقدما</w:t>
      </w:r>
      <w:r>
        <w:rPr>
          <w:rFonts w:hint="cs"/>
          <w:color w:val="0000FF"/>
          <w:sz w:val="28"/>
          <w:szCs w:val="28"/>
          <w:rtl/>
        </w:rPr>
        <w:t xml:space="preserve"> ،</w:t>
      </w:r>
      <w:r w:rsidRPr="00923B1A">
        <w:rPr>
          <w:rFonts w:hint="cs"/>
          <w:color w:val="0000FF"/>
          <w:sz w:val="28"/>
          <w:szCs w:val="28"/>
          <w:rtl/>
        </w:rPr>
        <w:t xml:space="preserve"> وبوجه خاص لأن مقدار هذه المصروفات يصعب عملا تعيينه من قبل</w:t>
      </w:r>
      <w:r>
        <w:rPr>
          <w:rFonts w:hint="cs"/>
          <w:color w:val="0000FF"/>
          <w:sz w:val="28"/>
          <w:szCs w:val="28"/>
          <w:rtl/>
        </w:rPr>
        <w:t xml:space="preserve"> .</w:t>
      </w:r>
      <w:r w:rsidRPr="00923B1A">
        <w:rPr>
          <w:rFonts w:hint="cs"/>
          <w:color w:val="0000FF"/>
          <w:sz w:val="28"/>
          <w:szCs w:val="28"/>
          <w:rtl/>
        </w:rPr>
        <w:t xml:space="preserve"> ولهذا رؤى الاكتفاء بإلزام الكفيل بإرشاد الدائن إلى أموال للمدين تفي بالدين كله</w:t>
      </w:r>
      <w:r>
        <w:rPr>
          <w:rFonts w:hint="cs"/>
          <w:color w:val="0000FF"/>
          <w:sz w:val="28"/>
          <w:szCs w:val="28"/>
          <w:rtl/>
        </w:rPr>
        <w:t xml:space="preserve"> ،</w:t>
      </w:r>
      <w:r w:rsidRPr="00923B1A">
        <w:rPr>
          <w:rFonts w:hint="cs"/>
          <w:color w:val="0000FF"/>
          <w:sz w:val="28"/>
          <w:szCs w:val="28"/>
          <w:rtl/>
        </w:rPr>
        <w:t xml:space="preserve"> ورأت الاكتفاء بان يتحمل الكفيل نفقة هذا الإرشاد"</w:t>
      </w:r>
      <w:r>
        <w:rPr>
          <w:rFonts w:hint="cs"/>
          <w:color w:val="0000FF"/>
          <w:sz w:val="28"/>
          <w:szCs w:val="28"/>
          <w:rtl/>
        </w:rPr>
        <w:t xml:space="preserve"> .</w:t>
      </w:r>
      <w:r w:rsidRPr="00923B1A">
        <w:rPr>
          <w:rFonts w:hint="cs"/>
          <w:color w:val="0000FF"/>
          <w:sz w:val="28"/>
          <w:szCs w:val="28"/>
          <w:rtl/>
        </w:rPr>
        <w:t xml:space="preserve"> وقد أصبحت المادة بعد هذا التعديل</w:t>
      </w:r>
      <w:r>
        <w:rPr>
          <w:rFonts w:hint="cs"/>
          <w:color w:val="0000FF"/>
          <w:sz w:val="28"/>
          <w:szCs w:val="28"/>
          <w:rtl/>
        </w:rPr>
        <w:t xml:space="preserve"> ،</w:t>
      </w:r>
      <w:r w:rsidRPr="00923B1A">
        <w:rPr>
          <w:rFonts w:hint="cs"/>
          <w:color w:val="0000FF"/>
          <w:sz w:val="28"/>
          <w:szCs w:val="28"/>
          <w:rtl/>
        </w:rPr>
        <w:t xml:space="preserve"> تحت رقم 789</w:t>
      </w:r>
      <w:r>
        <w:rPr>
          <w:rFonts w:hint="cs"/>
          <w:color w:val="0000FF"/>
          <w:sz w:val="28"/>
          <w:szCs w:val="28"/>
          <w:rtl/>
        </w:rPr>
        <w:t xml:space="preserve"> ،</w:t>
      </w:r>
      <w:r w:rsidRPr="00923B1A">
        <w:rPr>
          <w:rFonts w:hint="cs"/>
          <w:color w:val="0000FF"/>
          <w:sz w:val="28"/>
          <w:szCs w:val="28"/>
          <w:rtl/>
        </w:rPr>
        <w:t xml:space="preserve"> مطابقة لما استقرت عليه في التقنيني المدني الجديد</w:t>
      </w:r>
      <w:r>
        <w:rPr>
          <w:rFonts w:hint="cs"/>
          <w:color w:val="0000FF"/>
          <w:sz w:val="28"/>
          <w:szCs w:val="28"/>
          <w:rtl/>
        </w:rPr>
        <w:t xml:space="preserve"> .</w:t>
      </w:r>
      <w:r w:rsidRPr="00923B1A">
        <w:rPr>
          <w:rFonts w:hint="cs"/>
          <w:color w:val="0000FF"/>
          <w:sz w:val="28"/>
          <w:szCs w:val="28"/>
          <w:rtl/>
        </w:rPr>
        <w:t xml:space="preserve"> ووافق عليها لمس الشيوخ كما عدلتها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499 </w:t>
      </w:r>
      <w:r w:rsidRPr="00923B1A">
        <w:rPr>
          <w:color w:val="0000FF"/>
          <w:sz w:val="28"/>
          <w:szCs w:val="28"/>
          <w:rtl/>
        </w:rPr>
        <w:t>–</w:t>
      </w:r>
      <w:r w:rsidRPr="00923B1A">
        <w:rPr>
          <w:rFonts w:hint="cs"/>
          <w:color w:val="0000FF"/>
          <w:sz w:val="28"/>
          <w:szCs w:val="28"/>
          <w:rtl/>
        </w:rPr>
        <w:t xml:space="preserve"> ص 508</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ويقابل النص في التقنين المدني السابق المادة 502م612 </w:t>
      </w:r>
      <w:r>
        <w:rPr>
          <w:rFonts w:hint="cs"/>
          <w:color w:val="0000FF"/>
          <w:sz w:val="28"/>
          <w:szCs w:val="28"/>
          <w:rtl/>
        </w:rPr>
        <w:t xml:space="preserve">( </w:t>
      </w:r>
      <w:r w:rsidRPr="00923B1A">
        <w:rPr>
          <w:rFonts w:hint="cs"/>
          <w:color w:val="0000FF"/>
          <w:sz w:val="28"/>
          <w:szCs w:val="28"/>
          <w:rtl/>
        </w:rPr>
        <w:t>انظر النص آنفاً فقرة 47 في الهامش</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1022</w:t>
      </w:r>
      <w:r>
        <w:rPr>
          <w:rFonts w:hint="cs"/>
          <w:color w:val="0000FF"/>
          <w:sz w:val="28"/>
          <w:szCs w:val="28"/>
          <w:rtl/>
        </w:rPr>
        <w:t xml:space="preserve"> :</w:t>
      </w:r>
      <w:r w:rsidRPr="00923B1A">
        <w:rPr>
          <w:rFonts w:hint="cs"/>
          <w:color w:val="0000FF"/>
          <w:sz w:val="28"/>
          <w:szCs w:val="28"/>
          <w:rtl/>
        </w:rPr>
        <w:t xml:space="preserve"> 1- إذا طلب الكفيل استيفاء الدائن دينه من أموال المدين</w:t>
      </w:r>
      <w:r>
        <w:rPr>
          <w:rFonts w:hint="cs"/>
          <w:color w:val="0000FF"/>
          <w:sz w:val="28"/>
          <w:szCs w:val="28"/>
          <w:rtl/>
        </w:rPr>
        <w:t xml:space="preserve"> ،</w:t>
      </w:r>
      <w:r w:rsidRPr="00923B1A">
        <w:rPr>
          <w:rFonts w:hint="cs"/>
          <w:color w:val="0000FF"/>
          <w:sz w:val="28"/>
          <w:szCs w:val="28"/>
          <w:rtl/>
        </w:rPr>
        <w:t xml:space="preserve"> وجب عليه أن يدل الدائن على هذه الأموال</w:t>
      </w:r>
      <w:r>
        <w:rPr>
          <w:rFonts w:hint="cs"/>
          <w:color w:val="0000FF"/>
          <w:sz w:val="28"/>
          <w:szCs w:val="28"/>
          <w:rtl/>
        </w:rPr>
        <w:t xml:space="preserve"> ،</w:t>
      </w:r>
      <w:r w:rsidRPr="00923B1A">
        <w:rPr>
          <w:rFonts w:hint="cs"/>
          <w:color w:val="0000FF"/>
          <w:sz w:val="28"/>
          <w:szCs w:val="28"/>
          <w:rtl/>
        </w:rPr>
        <w:t xml:space="preserve"> وأن يقدم له مبلغ يكفي للوفاء بتكاليف الإجراءات</w:t>
      </w:r>
      <w:r>
        <w:rPr>
          <w:rFonts w:hint="cs"/>
          <w:color w:val="0000FF"/>
          <w:sz w:val="28"/>
          <w:szCs w:val="28"/>
          <w:rtl/>
        </w:rPr>
        <w:t xml:space="preserve"> .</w:t>
      </w:r>
      <w:r w:rsidRPr="00923B1A">
        <w:rPr>
          <w:rFonts w:hint="cs"/>
          <w:color w:val="0000FF"/>
          <w:sz w:val="28"/>
          <w:szCs w:val="28"/>
          <w:rtl/>
        </w:rPr>
        <w:t xml:space="preserve"> 2- ولا عبرة بالأموال التي يدل عليها الكفيل إذا كانت هذه الأموال  تقع خارج الأراضي العقارية</w:t>
      </w:r>
      <w:r>
        <w:rPr>
          <w:rFonts w:hint="cs"/>
          <w:color w:val="0000FF"/>
          <w:sz w:val="28"/>
          <w:szCs w:val="28"/>
          <w:rtl/>
        </w:rPr>
        <w:t xml:space="preserve"> ،</w:t>
      </w:r>
      <w:r w:rsidRPr="00923B1A">
        <w:rPr>
          <w:rFonts w:hint="cs"/>
          <w:color w:val="0000FF"/>
          <w:sz w:val="28"/>
          <w:szCs w:val="28"/>
          <w:rtl/>
        </w:rPr>
        <w:t xml:space="preserve"> أو كانت أموالا متنازعا فيها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قانون الموجبات والعقود اللبناني</w:t>
      </w:r>
      <w:r>
        <w:rPr>
          <w:rFonts w:hint="cs"/>
          <w:color w:val="0000FF"/>
          <w:sz w:val="28"/>
          <w:szCs w:val="28"/>
          <w:rtl/>
        </w:rPr>
        <w:t xml:space="preserve"> :</w:t>
      </w:r>
      <w:r w:rsidRPr="00923B1A">
        <w:rPr>
          <w:rFonts w:hint="cs"/>
          <w:color w:val="0000FF"/>
          <w:sz w:val="28"/>
          <w:szCs w:val="28"/>
          <w:rtl/>
        </w:rPr>
        <w:t xml:space="preserve"> م 1072 </w:t>
      </w:r>
      <w:r w:rsidRPr="00923B1A">
        <w:rPr>
          <w:color w:val="0000FF"/>
          <w:sz w:val="28"/>
          <w:szCs w:val="28"/>
          <w:rtl/>
        </w:rPr>
        <w:t>–</w:t>
      </w:r>
      <w:r w:rsidRPr="00923B1A">
        <w:rPr>
          <w:rFonts w:hint="cs"/>
          <w:color w:val="0000FF"/>
          <w:sz w:val="28"/>
          <w:szCs w:val="28"/>
          <w:rtl/>
        </w:rPr>
        <w:t xml:space="preserve"> 1074 </w:t>
      </w:r>
      <w:r>
        <w:rPr>
          <w:rFonts w:hint="cs"/>
          <w:color w:val="0000FF"/>
          <w:sz w:val="28"/>
          <w:szCs w:val="28"/>
          <w:rtl/>
        </w:rPr>
        <w:t xml:space="preserve">( </w:t>
      </w:r>
      <w:r w:rsidRPr="00923B1A">
        <w:rPr>
          <w:rFonts w:hint="cs"/>
          <w:color w:val="0000FF"/>
          <w:sz w:val="28"/>
          <w:szCs w:val="28"/>
          <w:rtl/>
        </w:rPr>
        <w:t>انظر فقرة 44 في الهامش حيث ذكرت النصوص</w:t>
      </w:r>
      <w:r>
        <w:rPr>
          <w:rFonts w:hint="cs"/>
          <w:color w:val="0000FF"/>
          <w:sz w:val="28"/>
          <w:szCs w:val="28"/>
          <w:rtl/>
        </w:rPr>
        <w:t xml:space="preserve"> ) .</w:t>
      </w:r>
    </w:p>
  </w:footnote>
  <w:footnote w:id="26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 788/2 مدني آنفاً فقرة 47</w:t>
      </w:r>
      <w:r>
        <w:rPr>
          <w:rFonts w:hint="cs"/>
          <w:color w:val="0000FF"/>
          <w:sz w:val="28"/>
          <w:szCs w:val="28"/>
          <w:rtl/>
        </w:rPr>
        <w:t xml:space="preserve"> .</w:t>
      </w:r>
    </w:p>
  </w:footnote>
  <w:footnote w:id="26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وغني عن البيان أن المقصود بالكفيل الذي له حق الدفع بالتجريد هو الكيل الشخصي</w:t>
      </w:r>
      <w:r>
        <w:rPr>
          <w:rFonts w:hint="cs"/>
          <w:color w:val="0000FF"/>
          <w:sz w:val="28"/>
          <w:szCs w:val="28"/>
          <w:rtl/>
        </w:rPr>
        <w:t xml:space="preserve"> .</w:t>
      </w:r>
      <w:r w:rsidRPr="00923B1A">
        <w:rPr>
          <w:rFonts w:hint="cs"/>
          <w:color w:val="0000FF"/>
          <w:sz w:val="28"/>
          <w:szCs w:val="28"/>
          <w:rtl/>
        </w:rPr>
        <w:t xml:space="preserve"> أما الكفيل العيني فليس له الحق في الدفع بالتجريد</w:t>
      </w:r>
      <w:r>
        <w:rPr>
          <w:rFonts w:hint="cs"/>
          <w:color w:val="0000FF"/>
          <w:sz w:val="28"/>
          <w:szCs w:val="28"/>
          <w:rtl/>
        </w:rPr>
        <w:t xml:space="preserve"> ،</w:t>
      </w:r>
      <w:r w:rsidRPr="00923B1A">
        <w:rPr>
          <w:rFonts w:hint="cs"/>
          <w:color w:val="0000FF"/>
          <w:sz w:val="28"/>
          <w:szCs w:val="28"/>
          <w:rtl/>
        </w:rPr>
        <w:t xml:space="preserve"> وقد نصت المادة 1050 مدني على أنه "إذا كان الراهن شخصاً آخر غير المدين</w:t>
      </w:r>
      <w:r>
        <w:rPr>
          <w:rFonts w:hint="cs"/>
          <w:color w:val="0000FF"/>
          <w:sz w:val="28"/>
          <w:szCs w:val="28"/>
          <w:rtl/>
        </w:rPr>
        <w:t xml:space="preserve"> ،</w:t>
      </w:r>
      <w:r w:rsidRPr="00923B1A">
        <w:rPr>
          <w:rFonts w:hint="cs"/>
          <w:color w:val="0000FF"/>
          <w:sz w:val="28"/>
          <w:szCs w:val="28"/>
          <w:rtl/>
        </w:rPr>
        <w:t xml:space="preserve"> فلا يجوز التنفيذ على مال إلا ما رهن من هذا المال</w:t>
      </w:r>
      <w:r>
        <w:rPr>
          <w:rFonts w:hint="cs"/>
          <w:color w:val="0000FF"/>
          <w:sz w:val="28"/>
          <w:szCs w:val="28"/>
          <w:rtl/>
        </w:rPr>
        <w:t xml:space="preserve"> ،</w:t>
      </w:r>
      <w:r w:rsidRPr="00923B1A">
        <w:rPr>
          <w:rFonts w:hint="cs"/>
          <w:color w:val="0000FF"/>
          <w:sz w:val="28"/>
          <w:szCs w:val="28"/>
          <w:rtl/>
        </w:rPr>
        <w:t xml:space="preserve"> ولا يكون له حق الدفع بتجريد المدين ما لم يوجد اتفاق يقضي بغير ذلك"</w:t>
      </w:r>
      <w:r>
        <w:rPr>
          <w:rFonts w:hint="cs"/>
          <w:color w:val="0000FF"/>
          <w:sz w:val="28"/>
          <w:szCs w:val="28"/>
          <w:rtl/>
        </w:rPr>
        <w:t xml:space="preserve"> .</w:t>
      </w:r>
    </w:p>
  </w:footnote>
  <w:footnote w:id="26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ديرانتون 18 فقرة 334 </w:t>
      </w:r>
      <w:r w:rsidRPr="00923B1A">
        <w:rPr>
          <w:color w:val="0000FF"/>
          <w:sz w:val="28"/>
          <w:szCs w:val="28"/>
          <w:rtl/>
        </w:rPr>
        <w:t>–</w:t>
      </w:r>
      <w:r w:rsidRPr="00923B1A">
        <w:rPr>
          <w:rFonts w:hint="cs"/>
          <w:color w:val="0000FF"/>
          <w:sz w:val="28"/>
          <w:szCs w:val="28"/>
          <w:rtl/>
        </w:rPr>
        <w:t xml:space="preserve"> ترولون فقرة 251 وما بعدها </w:t>
      </w:r>
      <w:r w:rsidRPr="00923B1A">
        <w:rPr>
          <w:color w:val="0000FF"/>
          <w:sz w:val="28"/>
          <w:szCs w:val="28"/>
          <w:rtl/>
        </w:rPr>
        <w:t>–</w:t>
      </w:r>
      <w:r w:rsidRPr="00923B1A">
        <w:rPr>
          <w:rFonts w:hint="cs"/>
          <w:color w:val="0000FF"/>
          <w:sz w:val="28"/>
          <w:szCs w:val="28"/>
          <w:rtl/>
        </w:rPr>
        <w:t xml:space="preserve"> بون 2 فقرة 167 وما بعدها </w:t>
      </w:r>
      <w:r w:rsidRPr="00923B1A">
        <w:rPr>
          <w:color w:val="0000FF"/>
          <w:sz w:val="28"/>
          <w:szCs w:val="28"/>
          <w:rtl/>
        </w:rPr>
        <w:t>–</w:t>
      </w:r>
      <w:r w:rsidRPr="00923B1A">
        <w:rPr>
          <w:rFonts w:hint="cs"/>
          <w:color w:val="0000FF"/>
          <w:sz w:val="28"/>
          <w:szCs w:val="28"/>
          <w:rtl/>
        </w:rPr>
        <w:t xml:space="preserve"> لوران 28 فقرة 211 </w:t>
      </w:r>
      <w:r w:rsidRPr="00923B1A">
        <w:rPr>
          <w:color w:val="0000FF"/>
          <w:sz w:val="28"/>
          <w:szCs w:val="28"/>
          <w:rtl/>
        </w:rPr>
        <w:t>–</w:t>
      </w:r>
      <w:r w:rsidRPr="00923B1A">
        <w:rPr>
          <w:rFonts w:hint="cs"/>
          <w:color w:val="0000FF"/>
          <w:sz w:val="28"/>
          <w:szCs w:val="28"/>
          <w:rtl/>
        </w:rPr>
        <w:t xml:space="preserve"> جيوار فقرة 130 </w:t>
      </w:r>
      <w:r w:rsidRPr="00923B1A">
        <w:rPr>
          <w:color w:val="0000FF"/>
          <w:sz w:val="28"/>
          <w:szCs w:val="28"/>
          <w:rtl/>
        </w:rPr>
        <w:t>–</w:t>
      </w:r>
      <w:r w:rsidRPr="00923B1A">
        <w:rPr>
          <w:rFonts w:hint="cs"/>
          <w:color w:val="0000FF"/>
          <w:sz w:val="28"/>
          <w:szCs w:val="28"/>
          <w:rtl/>
        </w:rPr>
        <w:t xml:space="preserve"> بودري وفال فقرة 1043 ص 554</w:t>
      </w:r>
      <w:r>
        <w:rPr>
          <w:rFonts w:hint="cs"/>
          <w:color w:val="0000FF"/>
          <w:sz w:val="28"/>
          <w:szCs w:val="28"/>
          <w:rtl/>
        </w:rPr>
        <w:t xml:space="preserve"> .</w:t>
      </w:r>
    </w:p>
  </w:footnote>
  <w:footnote w:id="26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256 </w:t>
      </w:r>
      <w:r w:rsidRPr="00923B1A">
        <w:rPr>
          <w:color w:val="0000FF"/>
          <w:sz w:val="28"/>
          <w:szCs w:val="28"/>
          <w:rtl/>
        </w:rPr>
        <w:t>–</w:t>
      </w:r>
      <w:r w:rsidRPr="00923B1A">
        <w:rPr>
          <w:rFonts w:hint="cs"/>
          <w:color w:val="0000FF"/>
          <w:sz w:val="28"/>
          <w:szCs w:val="28"/>
          <w:rtl/>
        </w:rPr>
        <w:t xml:space="preserve"> بون 2 فقرة 171 </w:t>
      </w:r>
      <w:r w:rsidRPr="00923B1A">
        <w:rPr>
          <w:color w:val="0000FF"/>
          <w:sz w:val="28"/>
          <w:szCs w:val="28"/>
          <w:rtl/>
        </w:rPr>
        <w:t>–</w:t>
      </w:r>
      <w:r w:rsidRPr="00923B1A">
        <w:rPr>
          <w:rFonts w:hint="cs"/>
          <w:color w:val="0000FF"/>
          <w:sz w:val="28"/>
          <w:szCs w:val="28"/>
          <w:rtl/>
        </w:rPr>
        <w:t xml:space="preserve"> جيوار فقرة 131 </w:t>
      </w:r>
      <w:r w:rsidRPr="00923B1A">
        <w:rPr>
          <w:color w:val="0000FF"/>
          <w:sz w:val="28"/>
          <w:szCs w:val="28"/>
          <w:rtl/>
        </w:rPr>
        <w:t>–</w:t>
      </w:r>
      <w:r w:rsidRPr="00923B1A">
        <w:rPr>
          <w:rFonts w:hint="cs"/>
          <w:color w:val="0000FF"/>
          <w:sz w:val="28"/>
          <w:szCs w:val="28"/>
          <w:rtl/>
        </w:rPr>
        <w:t xml:space="preserve"> أوبر ورو 6 فقرة 426 ص 227 </w:t>
      </w:r>
      <w:r w:rsidRPr="00923B1A">
        <w:rPr>
          <w:color w:val="0000FF"/>
          <w:sz w:val="28"/>
          <w:szCs w:val="28"/>
          <w:rtl/>
        </w:rPr>
        <w:t>–</w:t>
      </w:r>
      <w:r w:rsidRPr="00923B1A">
        <w:rPr>
          <w:rFonts w:hint="cs"/>
          <w:color w:val="0000FF"/>
          <w:sz w:val="28"/>
          <w:szCs w:val="28"/>
          <w:rtl/>
        </w:rPr>
        <w:t xml:space="preserve"> بيدان وفوران 13 فقرة 100 </w:t>
      </w:r>
      <w:r w:rsidRPr="00923B1A">
        <w:rPr>
          <w:color w:val="0000FF"/>
          <w:sz w:val="28"/>
          <w:szCs w:val="28"/>
          <w:rtl/>
        </w:rPr>
        <w:t>–</w:t>
      </w:r>
      <w:r w:rsidRPr="00923B1A">
        <w:rPr>
          <w:rFonts w:hint="cs"/>
          <w:color w:val="0000FF"/>
          <w:sz w:val="28"/>
          <w:szCs w:val="28"/>
          <w:rtl/>
        </w:rPr>
        <w:t xml:space="preserve"> بلانيول وريبير وسافاتييه فقرة 1535 ص 985 </w:t>
      </w:r>
      <w:r w:rsidRPr="00923B1A">
        <w:rPr>
          <w:color w:val="0000FF"/>
          <w:sz w:val="28"/>
          <w:szCs w:val="28"/>
          <w:rtl/>
        </w:rPr>
        <w:t>–</w:t>
      </w:r>
      <w:r w:rsidRPr="00923B1A">
        <w:rPr>
          <w:rFonts w:hint="cs"/>
          <w:color w:val="0000FF"/>
          <w:sz w:val="28"/>
          <w:szCs w:val="28"/>
          <w:rtl/>
        </w:rPr>
        <w:t xml:space="preserve"> وانظر عكس ذلك وأن سكوت الكفيل يعد نزولا ضمنياً لا يجوز الرجوع فيه حتى لو جد للدين مال بعد ذلك</w:t>
      </w:r>
      <w:r>
        <w:rPr>
          <w:rFonts w:hint="cs"/>
          <w:color w:val="0000FF"/>
          <w:sz w:val="28"/>
          <w:szCs w:val="28"/>
          <w:rtl/>
        </w:rPr>
        <w:t xml:space="preserve"> :</w:t>
      </w:r>
      <w:r w:rsidRPr="00923B1A">
        <w:rPr>
          <w:rFonts w:hint="cs"/>
          <w:color w:val="0000FF"/>
          <w:sz w:val="28"/>
          <w:szCs w:val="28"/>
          <w:rtl/>
        </w:rPr>
        <w:t xml:space="preserve"> ديرانتون 18 فقرة 337 </w:t>
      </w:r>
      <w:r w:rsidRPr="00923B1A">
        <w:rPr>
          <w:color w:val="0000FF"/>
          <w:sz w:val="28"/>
          <w:szCs w:val="28"/>
          <w:rtl/>
        </w:rPr>
        <w:t>–</w:t>
      </w:r>
      <w:r w:rsidRPr="00923B1A">
        <w:rPr>
          <w:rFonts w:hint="cs"/>
          <w:color w:val="0000FF"/>
          <w:sz w:val="28"/>
          <w:szCs w:val="28"/>
          <w:rtl/>
        </w:rPr>
        <w:t xml:space="preserve"> بونسو فقرة 191 </w:t>
      </w:r>
      <w:r w:rsidRPr="00923B1A">
        <w:rPr>
          <w:color w:val="0000FF"/>
          <w:sz w:val="28"/>
          <w:szCs w:val="28"/>
          <w:rtl/>
        </w:rPr>
        <w:t>–</w:t>
      </w:r>
      <w:r w:rsidRPr="00923B1A">
        <w:rPr>
          <w:rFonts w:hint="cs"/>
          <w:color w:val="0000FF"/>
          <w:sz w:val="28"/>
          <w:szCs w:val="28"/>
          <w:rtl/>
        </w:rPr>
        <w:t xml:space="preserve"> بودري وفال فقرة 1045</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وانظر في أن القانون رقم 12 لسنة 1942 الخاص بتسوية الديون العقارية إنما أريد به مصلحة المدين لا غيره</w:t>
      </w:r>
      <w:r>
        <w:rPr>
          <w:rFonts w:hint="cs"/>
          <w:color w:val="0000FF"/>
          <w:sz w:val="28"/>
          <w:szCs w:val="28"/>
          <w:rtl/>
        </w:rPr>
        <w:t xml:space="preserve"> ،</w:t>
      </w:r>
      <w:r w:rsidRPr="00923B1A">
        <w:rPr>
          <w:rFonts w:hint="cs"/>
          <w:color w:val="0000FF"/>
          <w:sz w:val="28"/>
          <w:szCs w:val="28"/>
          <w:rtl/>
        </w:rPr>
        <w:t xml:space="preserve"> فهو وحده دون الكفلاء الذين يستفيد من المادة 10 من هذا القانون فيما يختص بالفوائد</w:t>
      </w:r>
      <w:r>
        <w:rPr>
          <w:rFonts w:hint="cs"/>
          <w:color w:val="0000FF"/>
          <w:sz w:val="28"/>
          <w:szCs w:val="28"/>
          <w:rtl/>
        </w:rPr>
        <w:t xml:space="preserve"> :</w:t>
      </w:r>
      <w:r w:rsidRPr="00923B1A">
        <w:rPr>
          <w:rFonts w:hint="cs"/>
          <w:color w:val="0000FF"/>
          <w:sz w:val="28"/>
          <w:szCs w:val="28"/>
          <w:rtl/>
        </w:rPr>
        <w:t xml:space="preserve"> نقض مدني 24 نوفمبر 1945 </w:t>
      </w:r>
      <w:r w:rsidRPr="00923B1A">
        <w:rPr>
          <w:color w:val="0000FF"/>
          <w:sz w:val="28"/>
          <w:szCs w:val="28"/>
          <w:rtl/>
        </w:rPr>
        <w:t>–</w:t>
      </w:r>
      <w:r w:rsidRPr="00923B1A">
        <w:rPr>
          <w:rFonts w:hint="cs"/>
          <w:color w:val="0000FF"/>
          <w:sz w:val="28"/>
          <w:szCs w:val="28"/>
          <w:rtl/>
        </w:rPr>
        <w:t xml:space="preserve"> وفي أن المادة 14 من هذا القانون ذكرت أن الديون المضمونة بكفيل تكون محلا للتخصيص</w:t>
      </w:r>
      <w:r>
        <w:rPr>
          <w:rFonts w:hint="cs"/>
          <w:color w:val="0000FF"/>
          <w:sz w:val="28"/>
          <w:szCs w:val="28"/>
          <w:rtl/>
        </w:rPr>
        <w:t xml:space="preserve"> ،</w:t>
      </w:r>
      <w:r w:rsidRPr="00923B1A">
        <w:rPr>
          <w:rFonts w:hint="cs"/>
          <w:color w:val="0000FF"/>
          <w:sz w:val="28"/>
          <w:szCs w:val="28"/>
          <w:rtl/>
        </w:rPr>
        <w:t xml:space="preserve"> ثم عقبت على ذلك بقولها "على أن هذا التخفيض لا يحول دون رجوع الدائن على الكفيل"</w:t>
      </w:r>
      <w:r>
        <w:rPr>
          <w:rFonts w:hint="cs"/>
          <w:color w:val="0000FF"/>
          <w:sz w:val="28"/>
          <w:szCs w:val="28"/>
          <w:rtl/>
        </w:rPr>
        <w:t xml:space="preserve"> ،</w:t>
      </w:r>
      <w:r w:rsidRPr="00923B1A">
        <w:rPr>
          <w:rFonts w:hint="cs"/>
          <w:color w:val="0000FF"/>
          <w:sz w:val="28"/>
          <w:szCs w:val="28"/>
          <w:rtl/>
        </w:rPr>
        <w:t xml:space="preserve"> وعلى ذلك لا يجوز التمسك</w:t>
      </w:r>
      <w:r>
        <w:rPr>
          <w:rFonts w:hint="cs"/>
          <w:color w:val="0000FF"/>
          <w:sz w:val="28"/>
          <w:szCs w:val="28"/>
          <w:rtl/>
        </w:rPr>
        <w:t xml:space="preserve"> .</w:t>
      </w:r>
      <w:r w:rsidRPr="00923B1A">
        <w:rPr>
          <w:rFonts w:hint="cs"/>
          <w:color w:val="0000FF"/>
          <w:sz w:val="28"/>
          <w:szCs w:val="28"/>
          <w:rtl/>
        </w:rPr>
        <w:t xml:space="preserve"> بما نصت عليه المادة 509 مدني </w:t>
      </w:r>
      <w:r>
        <w:rPr>
          <w:rFonts w:hint="cs"/>
          <w:color w:val="0000FF"/>
          <w:sz w:val="28"/>
          <w:szCs w:val="28"/>
          <w:rtl/>
        </w:rPr>
        <w:t xml:space="preserve">( </w:t>
      </w:r>
      <w:r w:rsidRPr="00923B1A">
        <w:rPr>
          <w:rFonts w:hint="cs"/>
          <w:color w:val="0000FF"/>
          <w:sz w:val="28"/>
          <w:szCs w:val="28"/>
          <w:rtl/>
        </w:rPr>
        <w:t>قديم</w:t>
      </w:r>
      <w:r>
        <w:rPr>
          <w:rFonts w:hint="cs"/>
          <w:color w:val="0000FF"/>
          <w:sz w:val="28"/>
          <w:szCs w:val="28"/>
          <w:rtl/>
        </w:rPr>
        <w:t xml:space="preserve"> ) ،</w:t>
      </w:r>
      <w:r w:rsidRPr="00923B1A">
        <w:rPr>
          <w:rFonts w:hint="cs"/>
          <w:color w:val="0000FF"/>
          <w:sz w:val="28"/>
          <w:szCs w:val="28"/>
          <w:rtl/>
        </w:rPr>
        <w:t xml:space="preserve"> بل الواقع أن الشارع إذ أورد هذا الحكم في المادة 14 المذكورة مع قيام المادة 509 مدني إنما قصد أن يعارض به حكم هذه المادة</w:t>
      </w:r>
      <w:r>
        <w:rPr>
          <w:rFonts w:hint="cs"/>
          <w:color w:val="0000FF"/>
          <w:sz w:val="28"/>
          <w:szCs w:val="28"/>
          <w:rtl/>
        </w:rPr>
        <w:t xml:space="preserve"> :</w:t>
      </w:r>
      <w:r w:rsidRPr="00923B1A">
        <w:rPr>
          <w:rFonts w:hint="cs"/>
          <w:color w:val="0000FF"/>
          <w:sz w:val="28"/>
          <w:szCs w:val="28"/>
          <w:rtl/>
        </w:rPr>
        <w:t xml:space="preserve"> نقض مدني 22 نوفمبر سنة 1954 </w:t>
      </w:r>
      <w:r w:rsidRPr="00923B1A">
        <w:rPr>
          <w:color w:val="0000FF"/>
          <w:sz w:val="28"/>
          <w:szCs w:val="28"/>
          <w:rtl/>
        </w:rPr>
        <w:t>–</w:t>
      </w:r>
      <w:r w:rsidRPr="00923B1A">
        <w:rPr>
          <w:rFonts w:hint="cs"/>
          <w:color w:val="0000FF"/>
          <w:sz w:val="28"/>
          <w:szCs w:val="28"/>
          <w:rtl/>
        </w:rPr>
        <w:t xml:space="preserve"> مجموعة القواعد القانونية التي قررتها محكمة النقض في 25 عاماً الجزء الثاني ص 938 ورقم 15 ورقم 16</w:t>
      </w:r>
      <w:r>
        <w:rPr>
          <w:rFonts w:hint="cs"/>
          <w:color w:val="0000FF"/>
          <w:sz w:val="28"/>
          <w:szCs w:val="28"/>
          <w:rtl/>
        </w:rPr>
        <w:t xml:space="preserve"> .</w:t>
      </w:r>
    </w:p>
  </w:footnote>
  <w:footnote w:id="26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p>
  </w:footnote>
  <w:footnote w:id="26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47</w:t>
      </w:r>
      <w:r>
        <w:rPr>
          <w:rFonts w:hint="cs"/>
          <w:color w:val="0000FF"/>
          <w:sz w:val="28"/>
          <w:szCs w:val="28"/>
          <w:rtl/>
        </w:rPr>
        <w:t xml:space="preserve"> .</w:t>
      </w:r>
    </w:p>
  </w:footnote>
  <w:footnote w:id="26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جمال الدين زكي فقرة 56 ص 115 </w:t>
      </w:r>
      <w:r w:rsidRPr="00923B1A">
        <w:rPr>
          <w:color w:val="0000FF"/>
          <w:sz w:val="28"/>
          <w:szCs w:val="28"/>
          <w:rtl/>
        </w:rPr>
        <w:t>–</w:t>
      </w:r>
      <w:r w:rsidRPr="00923B1A">
        <w:rPr>
          <w:rFonts w:hint="cs"/>
          <w:color w:val="0000FF"/>
          <w:sz w:val="28"/>
          <w:szCs w:val="28"/>
          <w:rtl/>
        </w:rPr>
        <w:t xml:space="preserve"> سليمان مرقس فقرة 74 ص 77 وفقرة 82 ص 89 </w:t>
      </w:r>
      <w:r w:rsidRPr="00923B1A">
        <w:rPr>
          <w:color w:val="0000FF"/>
          <w:sz w:val="28"/>
          <w:szCs w:val="28"/>
          <w:rtl/>
        </w:rPr>
        <w:t>–</w:t>
      </w:r>
      <w:r w:rsidRPr="00923B1A">
        <w:rPr>
          <w:rFonts w:hint="cs"/>
          <w:color w:val="0000FF"/>
          <w:sz w:val="28"/>
          <w:szCs w:val="28"/>
          <w:rtl/>
        </w:rPr>
        <w:t xml:space="preserve"> انظر عكس ذلك وأنه يجوز إبداء الدفع بالتجريد عند نظر دعوى مطالبة الكفيل بالدين فتقضي المحكمة</w:t>
      </w:r>
      <w:r>
        <w:rPr>
          <w:rFonts w:hint="cs"/>
          <w:color w:val="0000FF"/>
          <w:sz w:val="28"/>
          <w:szCs w:val="28"/>
          <w:rtl/>
        </w:rPr>
        <w:t xml:space="preserve"> ،</w:t>
      </w:r>
      <w:r w:rsidRPr="00923B1A">
        <w:rPr>
          <w:rFonts w:hint="cs"/>
          <w:color w:val="0000FF"/>
          <w:sz w:val="28"/>
          <w:szCs w:val="28"/>
          <w:rtl/>
        </w:rPr>
        <w:t xml:space="preserve"> مع الحكم بإلزام الكفيل بالدين</w:t>
      </w:r>
      <w:r>
        <w:rPr>
          <w:rFonts w:hint="cs"/>
          <w:color w:val="0000FF"/>
          <w:sz w:val="28"/>
          <w:szCs w:val="28"/>
          <w:rtl/>
        </w:rPr>
        <w:t xml:space="preserve"> ،</w:t>
      </w:r>
      <w:r w:rsidRPr="00923B1A">
        <w:rPr>
          <w:rFonts w:hint="cs"/>
          <w:color w:val="0000FF"/>
          <w:sz w:val="28"/>
          <w:szCs w:val="28"/>
          <w:rtl/>
        </w:rPr>
        <w:t xml:space="preserve"> بعدم جواز التنفيذ على أمواله إلا بعد تجريد المدين</w:t>
      </w:r>
      <w:r>
        <w:rPr>
          <w:rFonts w:hint="cs"/>
          <w:color w:val="0000FF"/>
          <w:sz w:val="28"/>
          <w:szCs w:val="28"/>
          <w:rtl/>
        </w:rPr>
        <w:t xml:space="preserve"> :</w:t>
      </w:r>
      <w:r w:rsidRPr="00923B1A">
        <w:rPr>
          <w:rFonts w:hint="cs"/>
          <w:color w:val="0000FF"/>
          <w:sz w:val="28"/>
          <w:szCs w:val="28"/>
          <w:rtl/>
        </w:rPr>
        <w:t xml:space="preserve"> عبد الفتاح عبد الباقي فقرة 95 ص 145 </w:t>
      </w:r>
      <w:r w:rsidRPr="00923B1A">
        <w:rPr>
          <w:color w:val="0000FF"/>
          <w:sz w:val="28"/>
          <w:szCs w:val="28"/>
          <w:rtl/>
        </w:rPr>
        <w:t>–</w:t>
      </w:r>
      <w:r w:rsidRPr="00923B1A">
        <w:rPr>
          <w:rFonts w:hint="cs"/>
          <w:color w:val="0000FF"/>
          <w:sz w:val="28"/>
          <w:szCs w:val="28"/>
          <w:rtl/>
        </w:rPr>
        <w:t xml:space="preserve"> محمد علي إمام فقرة 65 ص 106 </w:t>
      </w:r>
      <w:r w:rsidRPr="00923B1A">
        <w:rPr>
          <w:color w:val="0000FF"/>
          <w:sz w:val="28"/>
          <w:szCs w:val="28"/>
          <w:rtl/>
        </w:rPr>
        <w:t>–</w:t>
      </w:r>
      <w:r w:rsidRPr="00923B1A">
        <w:rPr>
          <w:rFonts w:hint="cs"/>
          <w:color w:val="0000FF"/>
          <w:sz w:val="28"/>
          <w:szCs w:val="28"/>
          <w:rtl/>
        </w:rPr>
        <w:t xml:space="preserve"> منصور مصطفى منصور فقرة 45 ص 86</w:t>
      </w:r>
      <w:r>
        <w:rPr>
          <w:rFonts w:hint="cs"/>
          <w:color w:val="0000FF"/>
          <w:sz w:val="28"/>
          <w:szCs w:val="28"/>
          <w:rtl/>
        </w:rPr>
        <w:t xml:space="preserve"> .</w:t>
      </w:r>
      <w:r w:rsidRPr="00923B1A">
        <w:rPr>
          <w:rFonts w:hint="cs"/>
          <w:color w:val="0000FF"/>
          <w:sz w:val="28"/>
          <w:szCs w:val="28"/>
          <w:rtl/>
        </w:rPr>
        <w:t xml:space="preserve"> </w:t>
      </w:r>
    </w:p>
  </w:footnote>
  <w:footnote w:id="27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أنسيكلوبيدي داللوز 1 لفظ </w:t>
      </w:r>
      <w:r w:rsidRPr="00923B1A">
        <w:rPr>
          <w:rFonts w:hint="cs"/>
          <w:color w:val="0000FF"/>
          <w:sz w:val="28"/>
          <w:szCs w:val="28"/>
        </w:rPr>
        <w:t>cautionnement</w:t>
      </w:r>
      <w:r w:rsidRPr="00923B1A">
        <w:rPr>
          <w:rFonts w:hint="cs"/>
          <w:color w:val="0000FF"/>
          <w:sz w:val="28"/>
          <w:szCs w:val="28"/>
          <w:rtl/>
        </w:rPr>
        <w:t xml:space="preserve"> فقرة 149</w:t>
      </w:r>
      <w:r>
        <w:rPr>
          <w:rFonts w:hint="cs"/>
          <w:color w:val="0000FF"/>
          <w:sz w:val="28"/>
          <w:szCs w:val="28"/>
          <w:rtl/>
        </w:rPr>
        <w:t xml:space="preserve"> .</w:t>
      </w:r>
    </w:p>
  </w:footnote>
  <w:footnote w:id="27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95 </w:t>
      </w:r>
      <w:r w:rsidRPr="00923B1A">
        <w:rPr>
          <w:color w:val="0000FF"/>
          <w:sz w:val="28"/>
          <w:szCs w:val="28"/>
          <w:rtl/>
        </w:rPr>
        <w:t>–</w:t>
      </w:r>
      <w:r w:rsidRPr="00923B1A">
        <w:rPr>
          <w:rFonts w:hint="cs"/>
          <w:color w:val="0000FF"/>
          <w:sz w:val="28"/>
          <w:szCs w:val="28"/>
          <w:rtl/>
        </w:rPr>
        <w:t xml:space="preserve"> محمد علي إمام فقرة 64 ص 104 </w:t>
      </w:r>
      <w:r w:rsidRPr="00923B1A">
        <w:rPr>
          <w:color w:val="0000FF"/>
          <w:sz w:val="28"/>
          <w:szCs w:val="28"/>
          <w:rtl/>
        </w:rPr>
        <w:t>–</w:t>
      </w:r>
      <w:r w:rsidRPr="00923B1A">
        <w:rPr>
          <w:rFonts w:hint="cs"/>
          <w:color w:val="0000FF"/>
          <w:sz w:val="28"/>
          <w:szCs w:val="28"/>
          <w:rtl/>
        </w:rPr>
        <w:t xml:space="preserve"> جمال الدين زكي فقرة 54 ص 110 </w:t>
      </w:r>
      <w:r w:rsidRPr="00923B1A">
        <w:rPr>
          <w:color w:val="0000FF"/>
          <w:sz w:val="28"/>
          <w:szCs w:val="28"/>
          <w:rtl/>
        </w:rPr>
        <w:t>–</w:t>
      </w:r>
      <w:r w:rsidRPr="00923B1A">
        <w:rPr>
          <w:rFonts w:hint="cs"/>
          <w:color w:val="0000FF"/>
          <w:sz w:val="28"/>
          <w:szCs w:val="28"/>
          <w:rtl/>
        </w:rPr>
        <w:t xml:space="preserve"> سليمان مرقس فقرة 78 </w:t>
      </w:r>
      <w:r w:rsidRPr="00923B1A">
        <w:rPr>
          <w:color w:val="0000FF"/>
          <w:sz w:val="28"/>
          <w:szCs w:val="28"/>
          <w:rtl/>
        </w:rPr>
        <w:t>–</w:t>
      </w:r>
      <w:r w:rsidRPr="00923B1A">
        <w:rPr>
          <w:rFonts w:hint="cs"/>
          <w:color w:val="0000FF"/>
          <w:sz w:val="28"/>
          <w:szCs w:val="28"/>
          <w:rtl/>
        </w:rPr>
        <w:t xml:space="preserve"> 81 </w:t>
      </w:r>
      <w:r w:rsidRPr="00923B1A">
        <w:rPr>
          <w:color w:val="0000FF"/>
          <w:sz w:val="28"/>
          <w:szCs w:val="28"/>
          <w:rtl/>
        </w:rPr>
        <w:t>–</w:t>
      </w:r>
      <w:r w:rsidRPr="00923B1A">
        <w:rPr>
          <w:rFonts w:hint="cs"/>
          <w:color w:val="0000FF"/>
          <w:sz w:val="28"/>
          <w:szCs w:val="28"/>
          <w:rtl/>
        </w:rPr>
        <w:t xml:space="preserve"> منصور مصطفى منصور فقرة 45 ص 86</w:t>
      </w:r>
      <w:r>
        <w:rPr>
          <w:rFonts w:hint="cs"/>
          <w:color w:val="0000FF"/>
          <w:sz w:val="28"/>
          <w:szCs w:val="28"/>
          <w:rtl/>
        </w:rPr>
        <w:t xml:space="preserve"> .</w:t>
      </w:r>
    </w:p>
  </w:footnote>
  <w:footnote w:id="27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45 ص 86 </w:t>
      </w:r>
      <w:r w:rsidRPr="00923B1A">
        <w:rPr>
          <w:color w:val="0000FF"/>
          <w:sz w:val="28"/>
          <w:szCs w:val="28"/>
          <w:rtl/>
        </w:rPr>
        <w:t>–</w:t>
      </w:r>
      <w:r w:rsidRPr="00923B1A">
        <w:rPr>
          <w:rFonts w:hint="cs"/>
          <w:color w:val="0000FF"/>
          <w:sz w:val="28"/>
          <w:szCs w:val="28"/>
          <w:rtl/>
        </w:rPr>
        <w:t xml:space="preserve"> هذا وقد قضي التقنين المدني الفرنسي </w:t>
      </w:r>
      <w:r>
        <w:rPr>
          <w:rFonts w:hint="cs"/>
          <w:color w:val="0000FF"/>
          <w:sz w:val="28"/>
          <w:szCs w:val="28"/>
          <w:rtl/>
        </w:rPr>
        <w:t xml:space="preserve">( </w:t>
      </w:r>
      <w:r w:rsidRPr="00923B1A">
        <w:rPr>
          <w:rFonts w:hint="cs"/>
          <w:color w:val="0000FF"/>
          <w:sz w:val="28"/>
          <w:szCs w:val="28"/>
          <w:rtl/>
        </w:rPr>
        <w:t>م 2022</w:t>
      </w:r>
      <w:r>
        <w:rPr>
          <w:rFonts w:hint="cs"/>
          <w:color w:val="0000FF"/>
          <w:sz w:val="28"/>
          <w:szCs w:val="28"/>
          <w:rtl/>
        </w:rPr>
        <w:t xml:space="preserve"> )</w:t>
      </w:r>
      <w:r w:rsidRPr="00923B1A">
        <w:rPr>
          <w:rFonts w:hint="cs"/>
          <w:color w:val="0000FF"/>
          <w:sz w:val="28"/>
          <w:szCs w:val="28"/>
          <w:rtl/>
        </w:rPr>
        <w:t xml:space="preserve"> بأنه يجب على الكفيل أن يدفع بالتجريد عند الإجراءات الأولى التي توجه ضده </w:t>
      </w:r>
      <w:r>
        <w:rPr>
          <w:color w:val="0000FF"/>
          <w:sz w:val="28"/>
          <w:szCs w:val="28"/>
          <w:rtl/>
        </w:rPr>
        <w:t xml:space="preserve">( </w:t>
      </w:r>
      <w:r w:rsidRPr="00923B1A">
        <w:rPr>
          <w:color w:val="0000FF"/>
          <w:sz w:val="28"/>
          <w:szCs w:val="28"/>
        </w:rPr>
        <w:t>sur les permieres poursuites derigres contrelle</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أي قبل أن يتكلم في الموضوع</w:t>
      </w:r>
      <w:r>
        <w:rPr>
          <w:rFonts w:hint="cs"/>
          <w:color w:val="0000FF"/>
          <w:sz w:val="28"/>
          <w:szCs w:val="28"/>
          <w:rtl/>
        </w:rPr>
        <w:t xml:space="preserve"> ،</w:t>
      </w:r>
      <w:r w:rsidRPr="00923B1A">
        <w:rPr>
          <w:rFonts w:hint="cs"/>
          <w:color w:val="0000FF"/>
          <w:sz w:val="28"/>
          <w:szCs w:val="28"/>
          <w:rtl/>
        </w:rPr>
        <w:t xml:space="preserve"> وإلا عد متنازلا عن الدفع</w:t>
      </w:r>
      <w:r>
        <w:rPr>
          <w:rFonts w:hint="cs"/>
          <w:color w:val="0000FF"/>
          <w:sz w:val="28"/>
          <w:szCs w:val="28"/>
          <w:rtl/>
        </w:rPr>
        <w:t xml:space="preserve"> .</w:t>
      </w:r>
      <w:r w:rsidRPr="00923B1A">
        <w:rPr>
          <w:rFonts w:hint="cs"/>
          <w:color w:val="0000FF"/>
          <w:sz w:val="28"/>
          <w:szCs w:val="28"/>
          <w:rtl/>
        </w:rPr>
        <w:t xml:space="preserve"> ولم يرد في التقنين المدني المصري السابق نص يماثل هذا النص</w:t>
      </w:r>
      <w:r>
        <w:rPr>
          <w:rFonts w:hint="cs"/>
          <w:color w:val="0000FF"/>
          <w:sz w:val="28"/>
          <w:szCs w:val="28"/>
          <w:rtl/>
        </w:rPr>
        <w:t xml:space="preserve"> ،</w:t>
      </w:r>
      <w:r w:rsidRPr="00923B1A">
        <w:rPr>
          <w:rFonts w:hint="cs"/>
          <w:color w:val="0000FF"/>
          <w:sz w:val="28"/>
          <w:szCs w:val="28"/>
          <w:rtl/>
        </w:rPr>
        <w:t xml:space="preserve"> فثار الخلاف فيما ذا كان يؤخذ به</w:t>
      </w:r>
      <w:r>
        <w:rPr>
          <w:rFonts w:hint="cs"/>
          <w:color w:val="0000FF"/>
          <w:sz w:val="28"/>
          <w:szCs w:val="28"/>
          <w:rtl/>
        </w:rPr>
        <w:t xml:space="preserve"> .</w:t>
      </w:r>
      <w:r w:rsidRPr="00923B1A">
        <w:rPr>
          <w:rFonts w:hint="cs"/>
          <w:color w:val="0000FF"/>
          <w:sz w:val="28"/>
          <w:szCs w:val="28"/>
          <w:rtl/>
        </w:rPr>
        <w:t xml:space="preserve"> وقد قضت محكمة النقض في مصر بأن للكفيل غير المتضامن الحق في إبداء الدفع بتجريد المدين في أي وقت مناسب</w:t>
      </w:r>
      <w:r>
        <w:rPr>
          <w:rFonts w:hint="cs"/>
          <w:color w:val="0000FF"/>
          <w:sz w:val="28"/>
          <w:szCs w:val="28"/>
          <w:rtl/>
        </w:rPr>
        <w:t xml:space="preserve"> ،</w:t>
      </w:r>
      <w:r w:rsidRPr="00923B1A">
        <w:rPr>
          <w:rFonts w:hint="cs"/>
          <w:color w:val="0000FF"/>
          <w:sz w:val="28"/>
          <w:szCs w:val="28"/>
          <w:rtl/>
        </w:rPr>
        <w:t xml:space="preserve"> ما لم يصدر منه قول أو فعل أو ترك يدل على تنازله عنه</w:t>
      </w:r>
      <w:r>
        <w:rPr>
          <w:rFonts w:hint="cs"/>
          <w:color w:val="0000FF"/>
          <w:sz w:val="28"/>
          <w:szCs w:val="28"/>
          <w:rtl/>
        </w:rPr>
        <w:t xml:space="preserve"> .</w:t>
      </w:r>
      <w:r w:rsidRPr="00923B1A">
        <w:rPr>
          <w:rFonts w:hint="cs"/>
          <w:color w:val="0000FF"/>
          <w:sz w:val="28"/>
          <w:szCs w:val="28"/>
          <w:rtl/>
        </w:rPr>
        <w:t xml:space="preserve"> فإذا كان عليه أن يبين للدائن ما عساه يكون للمدين من مال يجوز الحجز عليه والاستيفاء منه وأن يحصل هذا التعيين دفعة واحدة وعند البدء في التنفيذ</w:t>
      </w:r>
      <w:r>
        <w:rPr>
          <w:rFonts w:hint="cs"/>
          <w:color w:val="0000FF"/>
          <w:sz w:val="28"/>
          <w:szCs w:val="28"/>
          <w:rtl/>
        </w:rPr>
        <w:t xml:space="preserve"> ،</w:t>
      </w:r>
      <w:r w:rsidRPr="00923B1A">
        <w:rPr>
          <w:rFonts w:hint="cs"/>
          <w:color w:val="0000FF"/>
          <w:sz w:val="28"/>
          <w:szCs w:val="28"/>
          <w:rtl/>
        </w:rPr>
        <w:t xml:space="preserve"> فإنه لا يجوز له أن يبين ما يستجد من مال للمدين من نحو إرث أو هبة</w:t>
      </w:r>
      <w:r>
        <w:rPr>
          <w:rFonts w:hint="cs"/>
          <w:color w:val="0000FF"/>
          <w:sz w:val="28"/>
          <w:szCs w:val="28"/>
          <w:rtl/>
        </w:rPr>
        <w:t xml:space="preserve"> ،</w:t>
      </w:r>
      <w:r w:rsidRPr="00923B1A">
        <w:rPr>
          <w:rFonts w:hint="cs"/>
          <w:color w:val="0000FF"/>
          <w:sz w:val="28"/>
          <w:szCs w:val="28"/>
          <w:rtl/>
        </w:rPr>
        <w:t xml:space="preserve"> فإذا كان الثابت من أوراق الدعوى أن الدائن أعلن الكفيل بتنبيه نزع الملكية فبادر الكفيل برفع معارضة في التنبيه وأعلن إلى الدائن صحيفة معارضته في الميعاد القانوني مبينا له ما يمتلكه المدين مما يجوز أن يستد بدينه منه</w:t>
      </w:r>
      <w:r>
        <w:rPr>
          <w:rFonts w:hint="cs"/>
          <w:color w:val="0000FF"/>
          <w:sz w:val="28"/>
          <w:szCs w:val="28"/>
          <w:rtl/>
        </w:rPr>
        <w:t xml:space="preserve"> ،</w:t>
      </w:r>
      <w:r w:rsidRPr="00923B1A">
        <w:rPr>
          <w:rFonts w:hint="cs"/>
          <w:color w:val="0000FF"/>
          <w:sz w:val="28"/>
          <w:szCs w:val="28"/>
          <w:rtl/>
        </w:rPr>
        <w:t xml:space="preserve"> ثم لما جد للمدين ميراث بادر هو إلى إعلان الدائن بأن مدينه قد ورث ما يمكن أن يستد بدينه منه لو رجع عليه</w:t>
      </w:r>
      <w:r>
        <w:rPr>
          <w:rFonts w:hint="cs"/>
          <w:color w:val="0000FF"/>
          <w:sz w:val="28"/>
          <w:szCs w:val="28"/>
          <w:rtl/>
        </w:rPr>
        <w:t xml:space="preserve"> ،</w:t>
      </w:r>
      <w:r w:rsidRPr="00923B1A">
        <w:rPr>
          <w:rFonts w:hint="cs"/>
          <w:color w:val="0000FF"/>
          <w:sz w:val="28"/>
          <w:szCs w:val="28"/>
          <w:rtl/>
        </w:rPr>
        <w:t xml:space="preserve"> فإن هذا الكفيل لا يعتبر مبطئا ولا تاركا الدفع بالتجريد عن هذا الملك الجديد الذي آل إليه </w:t>
      </w:r>
      <w:r>
        <w:rPr>
          <w:rFonts w:hint="cs"/>
          <w:color w:val="0000FF"/>
          <w:sz w:val="28"/>
          <w:szCs w:val="28"/>
          <w:rtl/>
        </w:rPr>
        <w:t xml:space="preserve">( </w:t>
      </w:r>
      <w:r w:rsidRPr="00923B1A">
        <w:rPr>
          <w:rFonts w:hint="cs"/>
          <w:color w:val="0000FF"/>
          <w:sz w:val="28"/>
          <w:szCs w:val="28"/>
          <w:rtl/>
        </w:rPr>
        <w:t>نقض مدني 21 يناير سنة 1937 مجموعة عمر 2 رقم 31 ص 76</w:t>
      </w:r>
      <w:r>
        <w:rPr>
          <w:rFonts w:hint="cs"/>
          <w:color w:val="0000FF"/>
          <w:sz w:val="28"/>
          <w:szCs w:val="28"/>
          <w:rtl/>
        </w:rPr>
        <w:t xml:space="preserve"> ) .</w:t>
      </w:r>
      <w:r w:rsidRPr="00923B1A">
        <w:rPr>
          <w:rFonts w:hint="cs"/>
          <w:color w:val="0000FF"/>
          <w:sz w:val="28"/>
          <w:szCs w:val="28"/>
          <w:rtl/>
        </w:rPr>
        <w:t xml:space="preserve"> على أن المشروع التمهيدي لنص المادة 788/2 مدني جديد ورد فيه ما يأتي</w:t>
      </w:r>
      <w:r>
        <w:rPr>
          <w:rFonts w:hint="cs"/>
          <w:color w:val="0000FF"/>
          <w:sz w:val="28"/>
          <w:szCs w:val="28"/>
          <w:rtl/>
        </w:rPr>
        <w:t xml:space="preserve"> :</w:t>
      </w:r>
      <w:r w:rsidRPr="00923B1A">
        <w:rPr>
          <w:rFonts w:hint="cs"/>
          <w:color w:val="0000FF"/>
          <w:sz w:val="28"/>
          <w:szCs w:val="28"/>
          <w:rtl/>
        </w:rPr>
        <w:t xml:space="preserve"> "لا يلزم الدائن بتجريد المدين إلا إذا طلب الكفيل ذلك عند الإجراءات التي توجه ضده" </w:t>
      </w:r>
      <w:r>
        <w:rPr>
          <w:rFonts w:hint="cs"/>
          <w:color w:val="0000FF"/>
          <w:sz w:val="28"/>
          <w:szCs w:val="28"/>
          <w:rtl/>
        </w:rPr>
        <w:t xml:space="preserve">( </w:t>
      </w:r>
      <w:r w:rsidRPr="00923B1A">
        <w:rPr>
          <w:rFonts w:hint="cs"/>
          <w:color w:val="0000FF"/>
          <w:sz w:val="28"/>
          <w:szCs w:val="28"/>
          <w:rtl/>
        </w:rPr>
        <w:t>انظر آنفاً فقرة 47 في الهامش</w:t>
      </w:r>
      <w:r>
        <w:rPr>
          <w:rFonts w:hint="cs"/>
          <w:color w:val="0000FF"/>
          <w:sz w:val="28"/>
          <w:szCs w:val="28"/>
          <w:rtl/>
        </w:rPr>
        <w:t xml:space="preserve"> ) .</w:t>
      </w:r>
      <w:r w:rsidRPr="00923B1A">
        <w:rPr>
          <w:rFonts w:hint="cs"/>
          <w:color w:val="0000FF"/>
          <w:sz w:val="28"/>
          <w:szCs w:val="28"/>
          <w:rtl/>
        </w:rPr>
        <w:t xml:space="preserve"> ولكن هذا النص قد حذف في لجنة المراجعة </w:t>
      </w:r>
      <w:r>
        <w:rPr>
          <w:rFonts w:hint="cs"/>
          <w:color w:val="0000FF"/>
          <w:sz w:val="28"/>
          <w:szCs w:val="28"/>
          <w:rtl/>
        </w:rPr>
        <w:t xml:space="preserve">( </w:t>
      </w:r>
      <w:r w:rsidRPr="00923B1A">
        <w:rPr>
          <w:rFonts w:hint="cs"/>
          <w:color w:val="0000FF"/>
          <w:sz w:val="28"/>
          <w:szCs w:val="28"/>
          <w:rtl/>
        </w:rPr>
        <w:t>مجموعة الأعمال التحضيرية 5 ص 497</w:t>
      </w:r>
      <w:r>
        <w:rPr>
          <w:rFonts w:hint="cs"/>
          <w:color w:val="0000FF"/>
          <w:sz w:val="28"/>
          <w:szCs w:val="28"/>
          <w:rtl/>
        </w:rPr>
        <w:t xml:space="preserve"> ) ،</w:t>
      </w:r>
      <w:r w:rsidRPr="00923B1A">
        <w:rPr>
          <w:rFonts w:hint="cs"/>
          <w:color w:val="0000FF"/>
          <w:sz w:val="28"/>
          <w:szCs w:val="28"/>
          <w:rtl/>
        </w:rPr>
        <w:t xml:space="preserve"> فأصبح الكفيل غير مقيد بنص تشريعي يعين الوقت الذي يبد فيه الدفع بالتجريد</w:t>
      </w:r>
      <w:r>
        <w:rPr>
          <w:rFonts w:hint="cs"/>
          <w:color w:val="0000FF"/>
          <w:sz w:val="28"/>
          <w:szCs w:val="28"/>
          <w:rtl/>
        </w:rPr>
        <w:t xml:space="preserve"> ،</w:t>
      </w:r>
      <w:r w:rsidRPr="00923B1A">
        <w:rPr>
          <w:rFonts w:hint="cs"/>
          <w:color w:val="0000FF"/>
          <w:sz w:val="28"/>
          <w:szCs w:val="28"/>
          <w:rtl/>
        </w:rPr>
        <w:t xml:space="preserve"> وصار لا مانع من الرجوع إلى ما كان عليه العمل قبل التقنيني المدني الجديد</w:t>
      </w:r>
      <w:r>
        <w:rPr>
          <w:rFonts w:hint="cs"/>
          <w:color w:val="0000FF"/>
          <w:sz w:val="28"/>
          <w:szCs w:val="28"/>
          <w:rtl/>
        </w:rPr>
        <w:t xml:space="preserve"> .</w:t>
      </w:r>
      <w:r w:rsidRPr="00923B1A">
        <w:rPr>
          <w:rFonts w:hint="cs"/>
          <w:color w:val="0000FF"/>
          <w:sz w:val="28"/>
          <w:szCs w:val="28"/>
          <w:rtl/>
        </w:rPr>
        <w:t xml:space="preserve"> فيجوز للكفيل التمسك بالدفع بالتجريد في أي وقت ما لم يصدر عنه ما يدل على نزوله عنه</w:t>
      </w:r>
      <w:r>
        <w:rPr>
          <w:rFonts w:hint="cs"/>
          <w:color w:val="0000FF"/>
          <w:sz w:val="28"/>
          <w:szCs w:val="28"/>
          <w:rtl/>
        </w:rPr>
        <w:t xml:space="preserve"> ،</w:t>
      </w:r>
      <w:r w:rsidRPr="00923B1A">
        <w:rPr>
          <w:rFonts w:hint="cs"/>
          <w:color w:val="0000FF"/>
          <w:sz w:val="28"/>
          <w:szCs w:val="28"/>
          <w:rtl/>
        </w:rPr>
        <w:t xml:space="preserve"> كما قضت محكمة النقض فيما قدمنا</w:t>
      </w:r>
      <w:r>
        <w:rPr>
          <w:rFonts w:hint="cs"/>
          <w:color w:val="0000FF"/>
          <w:sz w:val="28"/>
          <w:szCs w:val="28"/>
          <w:rtl/>
        </w:rPr>
        <w:t xml:space="preserve"> .</w:t>
      </w:r>
    </w:p>
  </w:footnote>
  <w:footnote w:id="27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21 ديسمبر سنة 1897 داللوز 98 </w:t>
      </w:r>
      <w:r w:rsidRPr="00923B1A">
        <w:rPr>
          <w:color w:val="0000FF"/>
          <w:sz w:val="28"/>
          <w:szCs w:val="28"/>
          <w:rtl/>
        </w:rPr>
        <w:t>–</w:t>
      </w:r>
      <w:r w:rsidRPr="00923B1A">
        <w:rPr>
          <w:rFonts w:hint="cs"/>
          <w:color w:val="0000FF"/>
          <w:sz w:val="28"/>
          <w:szCs w:val="28"/>
          <w:rtl/>
        </w:rPr>
        <w:t xml:space="preserve"> 1- - 292</w:t>
      </w:r>
      <w:r>
        <w:rPr>
          <w:rFonts w:hint="cs"/>
          <w:color w:val="0000FF"/>
          <w:sz w:val="28"/>
          <w:szCs w:val="28"/>
          <w:rtl/>
        </w:rPr>
        <w:t xml:space="preserve"> .</w:t>
      </w:r>
    </w:p>
  </w:footnote>
  <w:footnote w:id="27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وطني 8 مارس سنة 1915 الحقوق 30 ص 178 </w:t>
      </w:r>
      <w:r>
        <w:rPr>
          <w:rFonts w:hint="cs"/>
          <w:color w:val="0000FF"/>
          <w:sz w:val="28"/>
          <w:szCs w:val="28"/>
          <w:rtl/>
        </w:rPr>
        <w:t xml:space="preserve">( </w:t>
      </w:r>
      <w:r w:rsidRPr="00923B1A">
        <w:rPr>
          <w:rFonts w:hint="cs"/>
          <w:color w:val="0000FF"/>
          <w:sz w:val="28"/>
          <w:szCs w:val="28"/>
          <w:rtl/>
        </w:rPr>
        <w:t>في حالة إفلاس المدين ومصالحته مع الدائنين على جزء معين يدفعه من الدين</w:t>
      </w:r>
      <w:r>
        <w:rPr>
          <w:rFonts w:hint="cs"/>
          <w:color w:val="0000FF"/>
          <w:sz w:val="28"/>
          <w:szCs w:val="28"/>
          <w:rtl/>
        </w:rPr>
        <w:t xml:space="preserve"> ،</w:t>
      </w:r>
      <w:r w:rsidRPr="00923B1A">
        <w:rPr>
          <w:rFonts w:hint="cs"/>
          <w:color w:val="0000FF"/>
          <w:sz w:val="28"/>
          <w:szCs w:val="28"/>
          <w:rtl/>
        </w:rPr>
        <w:t xml:space="preserve"> يكون ذلك دليلا كافيا على أنه ليس له أموال أخرى يمكن الرجوع عليها</w:t>
      </w:r>
      <w:r>
        <w:rPr>
          <w:rFonts w:hint="cs"/>
          <w:color w:val="0000FF"/>
          <w:sz w:val="28"/>
          <w:szCs w:val="28"/>
          <w:rtl/>
        </w:rPr>
        <w:t xml:space="preserve"> ،</w:t>
      </w:r>
      <w:r w:rsidRPr="00923B1A">
        <w:rPr>
          <w:rFonts w:hint="cs"/>
          <w:color w:val="0000FF"/>
          <w:sz w:val="28"/>
          <w:szCs w:val="28"/>
          <w:rtl/>
        </w:rPr>
        <w:t xml:space="preserve"> فلا يجوز للكفيل الدفع بالتجريد</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استئناف مختلط 25 مارس سنة 1908م ص 137 </w:t>
      </w:r>
      <w:r w:rsidRPr="00923B1A">
        <w:rPr>
          <w:color w:val="0000FF"/>
          <w:sz w:val="28"/>
          <w:szCs w:val="28"/>
          <w:rtl/>
        </w:rPr>
        <w:t>–</w:t>
      </w:r>
      <w:r w:rsidRPr="00923B1A">
        <w:rPr>
          <w:rFonts w:hint="cs"/>
          <w:color w:val="0000FF"/>
          <w:sz w:val="28"/>
          <w:szCs w:val="28"/>
          <w:rtl/>
        </w:rPr>
        <w:t xml:space="preserve"> وانظر أيضاً بون 2 فقرة 157 </w:t>
      </w:r>
      <w:r w:rsidRPr="00923B1A">
        <w:rPr>
          <w:color w:val="0000FF"/>
          <w:sz w:val="28"/>
          <w:szCs w:val="28"/>
          <w:rtl/>
        </w:rPr>
        <w:t>–</w:t>
      </w:r>
      <w:r w:rsidRPr="00923B1A">
        <w:rPr>
          <w:rFonts w:hint="cs"/>
          <w:color w:val="0000FF"/>
          <w:sz w:val="28"/>
          <w:szCs w:val="28"/>
          <w:rtl/>
        </w:rPr>
        <w:t xml:space="preserve"> فوران 298 فقرة 209 </w:t>
      </w:r>
      <w:r w:rsidRPr="00923B1A">
        <w:rPr>
          <w:color w:val="0000FF"/>
          <w:sz w:val="28"/>
          <w:szCs w:val="28"/>
          <w:rtl/>
        </w:rPr>
        <w:t>–</w:t>
      </w:r>
      <w:r w:rsidRPr="00923B1A">
        <w:rPr>
          <w:rFonts w:hint="cs"/>
          <w:color w:val="0000FF"/>
          <w:sz w:val="28"/>
          <w:szCs w:val="28"/>
          <w:rtl/>
        </w:rPr>
        <w:t xml:space="preserve"> جيوار فقرة 127 </w:t>
      </w:r>
      <w:r w:rsidRPr="00923B1A">
        <w:rPr>
          <w:color w:val="0000FF"/>
          <w:sz w:val="28"/>
          <w:szCs w:val="28"/>
          <w:rtl/>
        </w:rPr>
        <w:t>–</w:t>
      </w:r>
      <w:r w:rsidRPr="00923B1A">
        <w:rPr>
          <w:rFonts w:hint="cs"/>
          <w:color w:val="0000FF"/>
          <w:sz w:val="28"/>
          <w:szCs w:val="28"/>
          <w:rtl/>
        </w:rPr>
        <w:t xml:space="preserve"> بودري وفال فقرة 1024 </w:t>
      </w:r>
      <w:r w:rsidRPr="00923B1A">
        <w:rPr>
          <w:color w:val="0000FF"/>
          <w:sz w:val="28"/>
          <w:szCs w:val="28"/>
          <w:rtl/>
        </w:rPr>
        <w:t>–</w:t>
      </w:r>
      <w:r w:rsidRPr="00923B1A">
        <w:rPr>
          <w:rFonts w:hint="cs"/>
          <w:color w:val="0000FF"/>
          <w:sz w:val="28"/>
          <w:szCs w:val="28"/>
          <w:rtl/>
        </w:rPr>
        <w:t xml:space="preserve"> بلانيول وريبير وسافاتييه فقرة 1535 ص 986</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كذلك لا دفع بالتجريد إذا اتحدت ذمة الكفيل والمدين بأن أصبح أحدهما وارثا للآخر</w:t>
      </w:r>
      <w:r>
        <w:rPr>
          <w:rFonts w:hint="cs"/>
          <w:color w:val="0000FF"/>
          <w:sz w:val="28"/>
          <w:szCs w:val="28"/>
          <w:rtl/>
        </w:rPr>
        <w:t xml:space="preserve"> ،</w:t>
      </w:r>
      <w:r w:rsidRPr="00923B1A">
        <w:rPr>
          <w:rFonts w:hint="cs"/>
          <w:color w:val="0000FF"/>
          <w:sz w:val="28"/>
          <w:szCs w:val="28"/>
          <w:rtl/>
        </w:rPr>
        <w:t xml:space="preserve"> ذلك لأنه لا يوجد إذ ذاك كفيل متميز عن المدين حتى يدفع بتجريد هذا الأخير </w:t>
      </w:r>
      <w:r>
        <w:rPr>
          <w:rFonts w:hint="cs"/>
          <w:color w:val="0000FF"/>
          <w:sz w:val="28"/>
          <w:szCs w:val="28"/>
          <w:rtl/>
        </w:rPr>
        <w:t xml:space="preserve">( </w:t>
      </w:r>
      <w:r w:rsidRPr="00923B1A">
        <w:rPr>
          <w:rFonts w:hint="cs"/>
          <w:color w:val="0000FF"/>
          <w:sz w:val="28"/>
          <w:szCs w:val="28"/>
          <w:rtl/>
        </w:rPr>
        <w:t xml:space="preserve">بون 2 فقرة 157 </w:t>
      </w:r>
      <w:r w:rsidRPr="00923B1A">
        <w:rPr>
          <w:color w:val="0000FF"/>
          <w:sz w:val="28"/>
          <w:szCs w:val="28"/>
          <w:rtl/>
        </w:rPr>
        <w:t>–</w:t>
      </w:r>
      <w:r w:rsidRPr="00923B1A">
        <w:rPr>
          <w:rFonts w:hint="cs"/>
          <w:color w:val="0000FF"/>
          <w:sz w:val="28"/>
          <w:szCs w:val="28"/>
          <w:rtl/>
        </w:rPr>
        <w:t xml:space="preserve"> لوران 28 فقرة 208 </w:t>
      </w:r>
      <w:r w:rsidRPr="00923B1A">
        <w:rPr>
          <w:color w:val="0000FF"/>
          <w:sz w:val="28"/>
          <w:szCs w:val="28"/>
          <w:rtl/>
        </w:rPr>
        <w:t>–</w:t>
      </w:r>
      <w:r w:rsidRPr="00923B1A">
        <w:rPr>
          <w:rFonts w:hint="cs"/>
          <w:color w:val="0000FF"/>
          <w:sz w:val="28"/>
          <w:szCs w:val="28"/>
          <w:rtl/>
        </w:rPr>
        <w:t xml:space="preserve"> جيوار فقرة 127 </w:t>
      </w:r>
      <w:r w:rsidRPr="00923B1A">
        <w:rPr>
          <w:color w:val="0000FF"/>
          <w:sz w:val="28"/>
          <w:szCs w:val="28"/>
          <w:rtl/>
        </w:rPr>
        <w:t>–</w:t>
      </w:r>
      <w:r w:rsidRPr="00923B1A">
        <w:rPr>
          <w:rFonts w:hint="cs"/>
          <w:color w:val="0000FF"/>
          <w:sz w:val="28"/>
          <w:szCs w:val="28"/>
          <w:rtl/>
        </w:rPr>
        <w:t xml:space="preserve"> بودر وفال فقرة 1025</w:t>
      </w:r>
      <w:r>
        <w:rPr>
          <w:rFonts w:hint="cs"/>
          <w:color w:val="0000FF"/>
          <w:sz w:val="28"/>
          <w:szCs w:val="28"/>
          <w:rtl/>
        </w:rPr>
        <w:t xml:space="preserve"> ) .</w:t>
      </w:r>
      <w:r w:rsidRPr="00923B1A">
        <w:rPr>
          <w:rFonts w:hint="cs"/>
          <w:color w:val="0000FF"/>
          <w:sz w:val="28"/>
          <w:szCs w:val="28"/>
          <w:rtl/>
        </w:rPr>
        <w:t xml:space="preserve"> ولكن يجوز أن يدفع بالتجريد إذا كفل شخص البائع</w:t>
      </w:r>
      <w:r>
        <w:rPr>
          <w:rFonts w:hint="cs"/>
          <w:color w:val="0000FF"/>
          <w:sz w:val="28"/>
          <w:szCs w:val="28"/>
          <w:rtl/>
        </w:rPr>
        <w:t xml:space="preserve"> ،</w:t>
      </w:r>
      <w:r w:rsidRPr="00923B1A">
        <w:rPr>
          <w:rFonts w:hint="cs"/>
          <w:color w:val="0000FF"/>
          <w:sz w:val="28"/>
          <w:szCs w:val="28"/>
          <w:rtl/>
        </w:rPr>
        <w:t xml:space="preserve"> فيجوز للكفيل أن يرفع دعوى استحقاق للشيء المبيع ولا ترفع دعواه بأنه كفيل لأن له حق التجريد </w:t>
      </w:r>
      <w:r>
        <w:rPr>
          <w:rFonts w:hint="cs"/>
          <w:color w:val="0000FF"/>
          <w:sz w:val="28"/>
          <w:szCs w:val="28"/>
          <w:rtl/>
        </w:rPr>
        <w:t xml:space="preserve">( </w:t>
      </w:r>
      <w:r w:rsidRPr="00923B1A">
        <w:rPr>
          <w:rFonts w:hint="cs"/>
          <w:color w:val="0000FF"/>
          <w:sz w:val="28"/>
          <w:szCs w:val="28"/>
          <w:rtl/>
        </w:rPr>
        <w:t>بودري وفال فقرة 1025 وانظر عكس ذلك جيوار فقرة 127</w:t>
      </w:r>
      <w:r>
        <w:rPr>
          <w:rFonts w:hint="cs"/>
          <w:color w:val="0000FF"/>
          <w:sz w:val="28"/>
          <w:szCs w:val="28"/>
          <w:rtl/>
        </w:rPr>
        <w:t xml:space="preserve"> ) .</w:t>
      </w:r>
    </w:p>
  </w:footnote>
  <w:footnote w:id="27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8 مايو سنة 1895م 7 ص 247 </w:t>
      </w:r>
      <w:r w:rsidRPr="00923B1A">
        <w:rPr>
          <w:color w:val="0000FF"/>
          <w:sz w:val="28"/>
          <w:szCs w:val="28"/>
          <w:rtl/>
        </w:rPr>
        <w:t>–</w:t>
      </w:r>
      <w:r w:rsidRPr="00923B1A">
        <w:rPr>
          <w:rFonts w:hint="cs"/>
          <w:color w:val="0000FF"/>
          <w:sz w:val="28"/>
          <w:szCs w:val="28"/>
          <w:rtl/>
        </w:rPr>
        <w:t xml:space="preserve"> 25 مارس سنة 1908م 20 ص 137 </w:t>
      </w:r>
      <w:r w:rsidRPr="00923B1A">
        <w:rPr>
          <w:color w:val="0000FF"/>
          <w:sz w:val="28"/>
          <w:szCs w:val="28"/>
          <w:rtl/>
        </w:rPr>
        <w:t>–</w:t>
      </w:r>
      <w:r w:rsidRPr="00923B1A">
        <w:rPr>
          <w:rFonts w:hint="cs"/>
          <w:color w:val="0000FF"/>
          <w:sz w:val="28"/>
          <w:szCs w:val="28"/>
          <w:rtl/>
        </w:rPr>
        <w:t xml:space="preserve"> 15 أبريل سنة 1909م 21 ص 303 </w:t>
      </w:r>
      <w:r w:rsidRPr="00923B1A">
        <w:rPr>
          <w:color w:val="0000FF"/>
          <w:sz w:val="28"/>
          <w:szCs w:val="28"/>
          <w:rtl/>
        </w:rPr>
        <w:t>–</w:t>
      </w:r>
      <w:r w:rsidRPr="00923B1A">
        <w:rPr>
          <w:rFonts w:hint="cs"/>
          <w:color w:val="0000FF"/>
          <w:sz w:val="28"/>
          <w:szCs w:val="28"/>
          <w:rtl/>
        </w:rPr>
        <w:t xml:space="preserve"> 16 فبراير سنة 1916م 28 ص 157</w:t>
      </w:r>
      <w:r>
        <w:rPr>
          <w:rFonts w:hint="cs"/>
          <w:color w:val="0000FF"/>
          <w:sz w:val="28"/>
          <w:szCs w:val="28"/>
          <w:rtl/>
        </w:rPr>
        <w:t xml:space="preserve"> .</w:t>
      </w:r>
    </w:p>
  </w:footnote>
  <w:footnote w:id="27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ولكن يشترط مع ذلك أن يدل الكفيل على مال له قيمة محسوسة في وفاء الدين</w:t>
      </w:r>
      <w:r>
        <w:rPr>
          <w:rFonts w:hint="cs"/>
          <w:color w:val="0000FF"/>
          <w:sz w:val="28"/>
          <w:szCs w:val="28"/>
          <w:rtl/>
        </w:rPr>
        <w:t xml:space="preserve"> ،</w:t>
      </w:r>
      <w:r w:rsidRPr="00923B1A">
        <w:rPr>
          <w:rFonts w:hint="cs"/>
          <w:color w:val="0000FF"/>
          <w:sz w:val="28"/>
          <w:szCs w:val="28"/>
          <w:rtl/>
        </w:rPr>
        <w:t xml:space="preserve"> فلا يكفي أن يدل على مال ذي قيمة ضئيلة </w:t>
      </w:r>
      <w:r>
        <w:rPr>
          <w:rFonts w:hint="cs"/>
          <w:color w:val="0000FF"/>
          <w:sz w:val="28"/>
          <w:szCs w:val="28"/>
          <w:rtl/>
        </w:rPr>
        <w:t xml:space="preserve">( </w:t>
      </w:r>
      <w:r w:rsidRPr="00923B1A">
        <w:rPr>
          <w:rFonts w:hint="cs"/>
          <w:color w:val="0000FF"/>
          <w:sz w:val="28"/>
          <w:szCs w:val="28"/>
          <w:rtl/>
        </w:rPr>
        <w:t xml:space="preserve">جيوار فقرة 133 </w:t>
      </w:r>
      <w:r w:rsidRPr="00923B1A">
        <w:rPr>
          <w:color w:val="0000FF"/>
          <w:sz w:val="28"/>
          <w:szCs w:val="28"/>
          <w:rtl/>
        </w:rPr>
        <w:t>–</w:t>
      </w:r>
      <w:r w:rsidRPr="00923B1A">
        <w:rPr>
          <w:rFonts w:hint="cs"/>
          <w:color w:val="0000FF"/>
          <w:sz w:val="28"/>
          <w:szCs w:val="28"/>
          <w:rtl/>
        </w:rPr>
        <w:t xml:space="preserve"> بودري وفال فقرة 1037</w:t>
      </w:r>
      <w:r>
        <w:rPr>
          <w:rFonts w:hint="cs"/>
          <w:color w:val="0000FF"/>
          <w:sz w:val="28"/>
          <w:szCs w:val="28"/>
          <w:rtl/>
        </w:rPr>
        <w:t xml:space="preserve"> ) .</w:t>
      </w:r>
    </w:p>
  </w:footnote>
  <w:footnote w:id="27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نفس الفقرة في الهامش</w:t>
      </w:r>
      <w:r>
        <w:rPr>
          <w:rFonts w:hint="cs"/>
          <w:color w:val="0000FF"/>
          <w:sz w:val="28"/>
          <w:szCs w:val="28"/>
          <w:rtl/>
        </w:rPr>
        <w:t xml:space="preserve"> .</w:t>
      </w:r>
    </w:p>
  </w:footnote>
  <w:footnote w:id="27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ديرانتون 18 فقرة 338 </w:t>
      </w:r>
      <w:r w:rsidRPr="00923B1A">
        <w:rPr>
          <w:color w:val="0000FF"/>
          <w:sz w:val="28"/>
          <w:szCs w:val="28"/>
          <w:rtl/>
        </w:rPr>
        <w:t>–</w:t>
      </w:r>
      <w:r w:rsidRPr="00923B1A">
        <w:rPr>
          <w:rFonts w:hint="cs"/>
          <w:color w:val="0000FF"/>
          <w:sz w:val="28"/>
          <w:szCs w:val="28"/>
          <w:rtl/>
        </w:rPr>
        <w:t xml:space="preserve"> ترولون فقرة 262 </w:t>
      </w:r>
      <w:r w:rsidRPr="00923B1A">
        <w:rPr>
          <w:color w:val="0000FF"/>
          <w:sz w:val="28"/>
          <w:szCs w:val="28"/>
          <w:rtl/>
        </w:rPr>
        <w:t>–</w:t>
      </w:r>
      <w:r w:rsidRPr="00923B1A">
        <w:rPr>
          <w:rFonts w:hint="cs"/>
          <w:color w:val="0000FF"/>
          <w:sz w:val="28"/>
          <w:szCs w:val="28"/>
          <w:rtl/>
        </w:rPr>
        <w:t xml:space="preserve"> بون 2 فقرة 178 </w:t>
      </w:r>
      <w:r w:rsidRPr="00923B1A">
        <w:rPr>
          <w:color w:val="0000FF"/>
          <w:sz w:val="28"/>
          <w:szCs w:val="28"/>
          <w:rtl/>
        </w:rPr>
        <w:t>–</w:t>
      </w:r>
      <w:r w:rsidRPr="00923B1A">
        <w:rPr>
          <w:rFonts w:hint="cs"/>
          <w:color w:val="0000FF"/>
          <w:sz w:val="28"/>
          <w:szCs w:val="28"/>
          <w:rtl/>
        </w:rPr>
        <w:t xml:space="preserve"> لوران 28 فقرة 213 </w:t>
      </w:r>
      <w:r w:rsidRPr="00923B1A">
        <w:rPr>
          <w:color w:val="0000FF"/>
          <w:sz w:val="28"/>
          <w:szCs w:val="28"/>
          <w:rtl/>
        </w:rPr>
        <w:t>–</w:t>
      </w:r>
      <w:r w:rsidRPr="00923B1A">
        <w:rPr>
          <w:rFonts w:hint="cs"/>
          <w:color w:val="0000FF"/>
          <w:sz w:val="28"/>
          <w:szCs w:val="28"/>
          <w:rtl/>
        </w:rPr>
        <w:t xml:space="preserve"> جيوار فقرة 133 </w:t>
      </w:r>
      <w:r w:rsidRPr="00923B1A">
        <w:rPr>
          <w:color w:val="0000FF"/>
          <w:sz w:val="28"/>
          <w:szCs w:val="28"/>
          <w:rtl/>
        </w:rPr>
        <w:t>–</w:t>
      </w:r>
      <w:r w:rsidRPr="00923B1A">
        <w:rPr>
          <w:rFonts w:hint="cs"/>
          <w:color w:val="0000FF"/>
          <w:sz w:val="28"/>
          <w:szCs w:val="28"/>
          <w:rtl/>
        </w:rPr>
        <w:t xml:space="preserve"> أوبري ورو 6 فقرة 426 ص 217 </w:t>
      </w:r>
      <w:r w:rsidRPr="00923B1A">
        <w:rPr>
          <w:color w:val="0000FF"/>
          <w:sz w:val="28"/>
          <w:szCs w:val="28"/>
          <w:rtl/>
        </w:rPr>
        <w:t>–</w:t>
      </w:r>
      <w:r w:rsidRPr="00923B1A">
        <w:rPr>
          <w:rFonts w:hint="cs"/>
          <w:color w:val="0000FF"/>
          <w:sz w:val="28"/>
          <w:szCs w:val="28"/>
          <w:rtl/>
        </w:rPr>
        <w:t xml:space="preserve"> بودري وفال فقرة 1037 ص 552 </w:t>
      </w:r>
      <w:r w:rsidRPr="00923B1A">
        <w:rPr>
          <w:color w:val="0000FF"/>
          <w:sz w:val="28"/>
          <w:szCs w:val="28"/>
          <w:rtl/>
        </w:rPr>
        <w:t>–</w:t>
      </w:r>
      <w:r w:rsidRPr="00923B1A">
        <w:rPr>
          <w:rFonts w:hint="cs"/>
          <w:color w:val="0000FF"/>
          <w:sz w:val="28"/>
          <w:szCs w:val="28"/>
          <w:rtl/>
        </w:rPr>
        <w:t xml:space="preserve"> بلانيول وريبير وسافاتييه فقرة 1535 ص 986</w:t>
      </w:r>
      <w:r>
        <w:rPr>
          <w:rFonts w:hint="cs"/>
          <w:color w:val="0000FF"/>
          <w:sz w:val="28"/>
          <w:szCs w:val="28"/>
          <w:rtl/>
        </w:rPr>
        <w:t xml:space="preserve"> .</w:t>
      </w:r>
    </w:p>
  </w:footnote>
  <w:footnote w:id="27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 وفال فقرة 1036</w:t>
      </w:r>
      <w:r>
        <w:rPr>
          <w:rFonts w:hint="cs"/>
          <w:color w:val="0000FF"/>
          <w:sz w:val="28"/>
          <w:szCs w:val="28"/>
          <w:rtl/>
        </w:rPr>
        <w:t xml:space="preserve"> .</w:t>
      </w:r>
    </w:p>
  </w:footnote>
  <w:footnote w:id="28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40 </w:t>
      </w:r>
      <w:r w:rsidRPr="00923B1A">
        <w:rPr>
          <w:color w:val="0000FF"/>
          <w:sz w:val="28"/>
          <w:szCs w:val="28"/>
          <w:rtl/>
        </w:rPr>
        <w:t>–</w:t>
      </w:r>
      <w:r w:rsidRPr="00923B1A">
        <w:rPr>
          <w:rFonts w:hint="cs"/>
          <w:color w:val="0000FF"/>
          <w:sz w:val="28"/>
          <w:szCs w:val="28"/>
          <w:rtl/>
        </w:rPr>
        <w:t xml:space="preserve"> فقرة 42</w:t>
      </w:r>
      <w:r>
        <w:rPr>
          <w:rFonts w:hint="cs"/>
          <w:color w:val="0000FF"/>
          <w:sz w:val="28"/>
          <w:szCs w:val="28"/>
          <w:rtl/>
        </w:rPr>
        <w:t xml:space="preserve"> .</w:t>
      </w:r>
    </w:p>
  </w:footnote>
  <w:footnote w:id="28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183 </w:t>
      </w:r>
      <w:r w:rsidRPr="00923B1A">
        <w:rPr>
          <w:color w:val="0000FF"/>
          <w:sz w:val="28"/>
          <w:szCs w:val="28"/>
          <w:rtl/>
        </w:rPr>
        <w:t>–</w:t>
      </w:r>
      <w:r w:rsidRPr="00923B1A">
        <w:rPr>
          <w:rFonts w:hint="cs"/>
          <w:color w:val="0000FF"/>
          <w:sz w:val="28"/>
          <w:szCs w:val="28"/>
          <w:rtl/>
        </w:rPr>
        <w:t xml:space="preserve"> لوران 28 فقرة 216 </w:t>
      </w:r>
      <w:r w:rsidRPr="00923B1A">
        <w:rPr>
          <w:color w:val="0000FF"/>
          <w:sz w:val="28"/>
          <w:szCs w:val="28"/>
          <w:rtl/>
        </w:rPr>
        <w:t>–</w:t>
      </w:r>
      <w:r w:rsidRPr="00923B1A">
        <w:rPr>
          <w:rFonts w:hint="cs"/>
          <w:color w:val="0000FF"/>
          <w:sz w:val="28"/>
          <w:szCs w:val="28"/>
          <w:rtl/>
        </w:rPr>
        <w:t xml:space="preserve"> جيوار فقرة 138 </w:t>
      </w:r>
      <w:r w:rsidRPr="00923B1A">
        <w:rPr>
          <w:color w:val="0000FF"/>
          <w:sz w:val="28"/>
          <w:szCs w:val="28"/>
          <w:rtl/>
        </w:rPr>
        <w:t>–</w:t>
      </w:r>
      <w:r w:rsidRPr="00923B1A">
        <w:rPr>
          <w:rFonts w:hint="cs"/>
          <w:color w:val="0000FF"/>
          <w:sz w:val="28"/>
          <w:szCs w:val="28"/>
          <w:rtl/>
        </w:rPr>
        <w:t xml:space="preserve"> بودر وفال فقرة 1036 </w:t>
      </w:r>
      <w:r w:rsidRPr="00923B1A">
        <w:rPr>
          <w:color w:val="0000FF"/>
          <w:sz w:val="28"/>
          <w:szCs w:val="28"/>
          <w:rtl/>
        </w:rPr>
        <w:t>–</w:t>
      </w:r>
      <w:r w:rsidRPr="00923B1A">
        <w:rPr>
          <w:rFonts w:hint="cs"/>
          <w:color w:val="0000FF"/>
          <w:sz w:val="28"/>
          <w:szCs w:val="28"/>
          <w:rtl/>
        </w:rPr>
        <w:t xml:space="preserve"> وانظر عكس ذلك وأنه يجوز طلب تجريد المدينين الآخرين</w:t>
      </w:r>
      <w:r>
        <w:rPr>
          <w:rFonts w:hint="cs"/>
          <w:color w:val="0000FF"/>
          <w:sz w:val="28"/>
          <w:szCs w:val="28"/>
          <w:rtl/>
        </w:rPr>
        <w:t xml:space="preserve"> :</w:t>
      </w:r>
      <w:r w:rsidRPr="00923B1A">
        <w:rPr>
          <w:rFonts w:hint="cs"/>
          <w:color w:val="0000FF"/>
          <w:sz w:val="28"/>
          <w:szCs w:val="28"/>
          <w:rtl/>
        </w:rPr>
        <w:t xml:space="preserve"> بوتييه فقرة 412 </w:t>
      </w:r>
      <w:r w:rsidRPr="00923B1A">
        <w:rPr>
          <w:color w:val="0000FF"/>
          <w:sz w:val="28"/>
          <w:szCs w:val="28"/>
          <w:rtl/>
        </w:rPr>
        <w:t>–</w:t>
      </w:r>
      <w:r w:rsidRPr="00923B1A">
        <w:rPr>
          <w:rFonts w:hint="cs"/>
          <w:color w:val="0000FF"/>
          <w:sz w:val="28"/>
          <w:szCs w:val="28"/>
          <w:rtl/>
        </w:rPr>
        <w:t xml:space="preserve"> ترولون فقرة 270</w:t>
      </w:r>
      <w:r>
        <w:rPr>
          <w:rFonts w:hint="cs"/>
          <w:color w:val="0000FF"/>
          <w:sz w:val="28"/>
          <w:szCs w:val="28"/>
          <w:rtl/>
        </w:rPr>
        <w:t xml:space="preserve"> .</w:t>
      </w:r>
    </w:p>
  </w:footnote>
  <w:footnote w:id="28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ويشترط التقنين المدني الفرنسي </w:t>
      </w:r>
      <w:r>
        <w:rPr>
          <w:rFonts w:hint="cs"/>
          <w:color w:val="0000FF"/>
          <w:sz w:val="28"/>
          <w:szCs w:val="28"/>
          <w:rtl/>
        </w:rPr>
        <w:t xml:space="preserve">( </w:t>
      </w:r>
      <w:r w:rsidRPr="00923B1A">
        <w:rPr>
          <w:rFonts w:hint="cs"/>
          <w:color w:val="0000FF"/>
          <w:sz w:val="28"/>
          <w:szCs w:val="28"/>
          <w:rtl/>
        </w:rPr>
        <w:t>م 2023/2</w:t>
      </w:r>
      <w:r>
        <w:rPr>
          <w:rFonts w:hint="cs"/>
          <w:color w:val="0000FF"/>
          <w:sz w:val="28"/>
          <w:szCs w:val="28"/>
          <w:rtl/>
        </w:rPr>
        <w:t xml:space="preserve"> )</w:t>
      </w:r>
      <w:r w:rsidRPr="00923B1A">
        <w:rPr>
          <w:rFonts w:hint="cs"/>
          <w:color w:val="0000FF"/>
          <w:sz w:val="28"/>
          <w:szCs w:val="28"/>
          <w:rtl/>
        </w:rPr>
        <w:t xml:space="preserve"> أن تكون الأموال واقعة في الجهة التي يجب الوفاء فيها</w:t>
      </w:r>
      <w:r>
        <w:rPr>
          <w:rFonts w:hint="cs"/>
          <w:color w:val="0000FF"/>
          <w:sz w:val="28"/>
          <w:szCs w:val="28"/>
          <w:rtl/>
        </w:rPr>
        <w:t xml:space="preserve"> .</w:t>
      </w:r>
      <w:r w:rsidRPr="00923B1A">
        <w:rPr>
          <w:rFonts w:hint="cs"/>
          <w:color w:val="0000FF"/>
          <w:sz w:val="28"/>
          <w:szCs w:val="28"/>
          <w:rtl/>
        </w:rPr>
        <w:t xml:space="preserve"> ولكن القانون الفرنسي القديم كان لا يشترط في هذا الخصوص إلا أن تكون الأموال واقعة داخل الأراضي الفرنسية </w:t>
      </w:r>
      <w:r>
        <w:rPr>
          <w:rFonts w:hint="cs"/>
          <w:color w:val="0000FF"/>
          <w:sz w:val="28"/>
          <w:szCs w:val="28"/>
          <w:rtl/>
        </w:rPr>
        <w:t xml:space="preserve">( </w:t>
      </w:r>
      <w:r w:rsidRPr="00923B1A">
        <w:rPr>
          <w:rFonts w:hint="cs"/>
          <w:color w:val="0000FF"/>
          <w:sz w:val="28"/>
          <w:szCs w:val="28"/>
          <w:rtl/>
        </w:rPr>
        <w:t>بودري وفال فقرة 1031 ص 549 هامش 5</w:t>
      </w:r>
      <w:r>
        <w:rPr>
          <w:rFonts w:hint="cs"/>
          <w:color w:val="0000FF"/>
          <w:sz w:val="28"/>
          <w:szCs w:val="28"/>
          <w:rtl/>
        </w:rPr>
        <w:t xml:space="preserve"> ) .</w:t>
      </w:r>
    </w:p>
  </w:footnote>
  <w:footnote w:id="28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282 هامش 10 </w:t>
      </w:r>
      <w:r w:rsidRPr="00923B1A">
        <w:rPr>
          <w:color w:val="0000FF"/>
          <w:sz w:val="28"/>
          <w:szCs w:val="28"/>
          <w:rtl/>
        </w:rPr>
        <w:t>–</w:t>
      </w:r>
      <w:r w:rsidRPr="00923B1A">
        <w:rPr>
          <w:rFonts w:hint="cs"/>
          <w:color w:val="0000FF"/>
          <w:sz w:val="28"/>
          <w:szCs w:val="28"/>
          <w:rtl/>
        </w:rPr>
        <w:t xml:space="preserve"> بودري وفال فقرة 1033 ص 550 </w:t>
      </w:r>
      <w:r w:rsidRPr="00923B1A">
        <w:rPr>
          <w:color w:val="0000FF"/>
          <w:sz w:val="28"/>
          <w:szCs w:val="28"/>
          <w:rtl/>
        </w:rPr>
        <w:t>–</w:t>
      </w:r>
      <w:r w:rsidRPr="00923B1A">
        <w:rPr>
          <w:rFonts w:hint="cs"/>
          <w:color w:val="0000FF"/>
          <w:sz w:val="28"/>
          <w:szCs w:val="28"/>
          <w:rtl/>
        </w:rPr>
        <w:t xml:space="preserve"> سليمان مرقس فقرة 79 ص 84 </w:t>
      </w:r>
      <w:r w:rsidRPr="00923B1A">
        <w:rPr>
          <w:color w:val="0000FF"/>
          <w:sz w:val="28"/>
          <w:szCs w:val="28"/>
          <w:rtl/>
        </w:rPr>
        <w:t>–</w:t>
      </w:r>
      <w:r w:rsidRPr="00923B1A">
        <w:rPr>
          <w:rFonts w:hint="cs"/>
          <w:color w:val="0000FF"/>
          <w:sz w:val="28"/>
          <w:szCs w:val="28"/>
          <w:rtl/>
        </w:rPr>
        <w:t xml:space="preserve"> منصور مصطفى منصور فقرة 45 ص 88</w:t>
      </w:r>
      <w:r>
        <w:rPr>
          <w:rFonts w:hint="cs"/>
          <w:color w:val="0000FF"/>
          <w:sz w:val="28"/>
          <w:szCs w:val="28"/>
          <w:rtl/>
        </w:rPr>
        <w:t xml:space="preserve"> .</w:t>
      </w:r>
    </w:p>
  </w:footnote>
  <w:footnote w:id="28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 644 مرافعات</w:t>
      </w:r>
      <w:r>
        <w:rPr>
          <w:rFonts w:hint="cs"/>
          <w:color w:val="0000FF"/>
          <w:sz w:val="28"/>
          <w:szCs w:val="28"/>
          <w:rtl/>
        </w:rPr>
        <w:t xml:space="preserve"> .</w:t>
      </w:r>
      <w:r w:rsidRPr="00923B1A">
        <w:rPr>
          <w:rFonts w:hint="cs"/>
          <w:color w:val="0000FF"/>
          <w:sz w:val="28"/>
          <w:szCs w:val="28"/>
          <w:rtl/>
        </w:rPr>
        <w:t xml:space="preserve"> وقد صدر أخيراً تقنين مرافعات جديد يجب البحث فيه عما يقابل هذه المادة</w:t>
      </w:r>
      <w:r>
        <w:rPr>
          <w:rFonts w:hint="cs"/>
          <w:color w:val="0000FF"/>
          <w:sz w:val="28"/>
          <w:szCs w:val="28"/>
          <w:rtl/>
        </w:rPr>
        <w:t xml:space="preserve"> .</w:t>
      </w:r>
      <w:r w:rsidRPr="00923B1A">
        <w:rPr>
          <w:rFonts w:hint="cs"/>
          <w:color w:val="0000FF"/>
          <w:sz w:val="28"/>
          <w:szCs w:val="28"/>
          <w:rtl/>
        </w:rPr>
        <w:t xml:space="preserve"> وفي فرنسا لا يجوز التنفيذ على الحصة الشائعة قبل رفع دعوى القسمة </w:t>
      </w:r>
      <w:r>
        <w:rPr>
          <w:rFonts w:hint="cs"/>
          <w:color w:val="0000FF"/>
          <w:sz w:val="28"/>
          <w:szCs w:val="28"/>
          <w:rtl/>
        </w:rPr>
        <w:t xml:space="preserve">( </w:t>
      </w:r>
      <w:r w:rsidRPr="00923B1A">
        <w:rPr>
          <w:rFonts w:hint="cs"/>
          <w:color w:val="0000FF"/>
          <w:sz w:val="28"/>
          <w:szCs w:val="28"/>
          <w:rtl/>
        </w:rPr>
        <w:t xml:space="preserve">بون 2 فقرة 18 </w:t>
      </w:r>
      <w:r w:rsidRPr="00923B1A">
        <w:rPr>
          <w:color w:val="0000FF"/>
          <w:sz w:val="28"/>
          <w:szCs w:val="28"/>
          <w:rtl/>
        </w:rPr>
        <w:t>–</w:t>
      </w:r>
      <w:r w:rsidRPr="00923B1A">
        <w:rPr>
          <w:rFonts w:hint="cs"/>
          <w:color w:val="0000FF"/>
          <w:sz w:val="28"/>
          <w:szCs w:val="28"/>
          <w:rtl/>
        </w:rPr>
        <w:t xml:space="preserve"> جيوار فقرة 136 </w:t>
      </w:r>
      <w:r w:rsidRPr="00923B1A">
        <w:rPr>
          <w:color w:val="0000FF"/>
          <w:sz w:val="28"/>
          <w:szCs w:val="28"/>
          <w:rtl/>
        </w:rPr>
        <w:t>–</w:t>
      </w:r>
      <w:r w:rsidRPr="00923B1A">
        <w:rPr>
          <w:rFonts w:hint="cs"/>
          <w:color w:val="0000FF"/>
          <w:sz w:val="28"/>
          <w:szCs w:val="28"/>
          <w:rtl/>
        </w:rPr>
        <w:t xml:space="preserve"> بودر وفال فقرة 1033 </w:t>
      </w:r>
      <w:r w:rsidRPr="00923B1A">
        <w:rPr>
          <w:color w:val="0000FF"/>
          <w:sz w:val="28"/>
          <w:szCs w:val="28"/>
          <w:rtl/>
        </w:rPr>
        <w:t>–</w:t>
      </w:r>
      <w:r w:rsidRPr="00923B1A">
        <w:rPr>
          <w:rFonts w:hint="cs"/>
          <w:color w:val="0000FF"/>
          <w:sz w:val="28"/>
          <w:szCs w:val="28"/>
          <w:rtl/>
        </w:rPr>
        <w:t xml:space="preserve"> بيدان وفوران 13 فقرة 100 </w:t>
      </w:r>
      <w:r w:rsidRPr="00923B1A">
        <w:rPr>
          <w:color w:val="0000FF"/>
          <w:sz w:val="28"/>
          <w:szCs w:val="28"/>
          <w:rtl/>
        </w:rPr>
        <w:t>–</w:t>
      </w:r>
      <w:r w:rsidRPr="00923B1A">
        <w:rPr>
          <w:rFonts w:hint="cs"/>
          <w:color w:val="0000FF"/>
          <w:sz w:val="28"/>
          <w:szCs w:val="28"/>
          <w:rtl/>
        </w:rPr>
        <w:t xml:space="preserve"> بلانيول وريبير وسافاتييه فقرة 1535 ص 985 هامش 6</w:t>
      </w:r>
      <w:r>
        <w:rPr>
          <w:rFonts w:hint="cs"/>
          <w:color w:val="0000FF"/>
          <w:sz w:val="28"/>
          <w:szCs w:val="28"/>
          <w:rtl/>
        </w:rPr>
        <w:t xml:space="preserve"> ) .</w:t>
      </w:r>
    </w:p>
  </w:footnote>
  <w:footnote w:id="28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وطني 2 أبريل سنة 1896 الحقوق 11 ص 213 </w:t>
      </w:r>
      <w:r w:rsidRPr="00923B1A">
        <w:rPr>
          <w:color w:val="0000FF"/>
          <w:sz w:val="28"/>
          <w:szCs w:val="28"/>
          <w:rtl/>
        </w:rPr>
        <w:t>–</w:t>
      </w:r>
      <w:r w:rsidRPr="00923B1A">
        <w:rPr>
          <w:rFonts w:hint="cs"/>
          <w:color w:val="0000FF"/>
          <w:sz w:val="28"/>
          <w:szCs w:val="28"/>
          <w:rtl/>
        </w:rPr>
        <w:t xml:space="preserve"> 2 يوليه سنة 1904 الاستقلال 3 ص 222 </w:t>
      </w:r>
      <w:r w:rsidRPr="00923B1A">
        <w:rPr>
          <w:color w:val="0000FF"/>
          <w:sz w:val="28"/>
          <w:szCs w:val="28"/>
          <w:rtl/>
        </w:rPr>
        <w:t>–</w:t>
      </w:r>
      <w:r w:rsidRPr="00923B1A">
        <w:rPr>
          <w:rFonts w:hint="cs"/>
          <w:color w:val="0000FF"/>
          <w:sz w:val="28"/>
          <w:szCs w:val="28"/>
          <w:rtl/>
        </w:rPr>
        <w:t xml:space="preserve"> 18 مارس سنة 1915 الحقوق 30 ص 178 </w:t>
      </w:r>
      <w:r w:rsidRPr="00923B1A">
        <w:rPr>
          <w:color w:val="0000FF"/>
          <w:sz w:val="28"/>
          <w:szCs w:val="28"/>
          <w:rtl/>
        </w:rPr>
        <w:t>–</w:t>
      </w:r>
      <w:r w:rsidRPr="00923B1A">
        <w:rPr>
          <w:rFonts w:hint="cs"/>
          <w:color w:val="0000FF"/>
          <w:sz w:val="28"/>
          <w:szCs w:val="28"/>
          <w:rtl/>
        </w:rPr>
        <w:t xml:space="preserve"> استئناف أسيوط 31 يناير سنة 1928 المجموعة الرسمية 29 رقم 55 ص 122 </w:t>
      </w:r>
      <w:r w:rsidRPr="00923B1A">
        <w:rPr>
          <w:color w:val="0000FF"/>
          <w:sz w:val="28"/>
          <w:szCs w:val="28"/>
          <w:rtl/>
        </w:rPr>
        <w:t>–</w:t>
      </w:r>
      <w:r w:rsidRPr="00923B1A">
        <w:rPr>
          <w:rFonts w:hint="cs"/>
          <w:color w:val="0000FF"/>
          <w:sz w:val="28"/>
          <w:szCs w:val="28"/>
          <w:rtl/>
        </w:rPr>
        <w:t xml:space="preserve"> المنصورة الكلية أول ديسمبر سنة 1914 المجموعة الرسمية 16 رقم 29 ص 48 </w:t>
      </w:r>
      <w:r w:rsidRPr="00923B1A">
        <w:rPr>
          <w:color w:val="0000FF"/>
          <w:sz w:val="28"/>
          <w:szCs w:val="28"/>
          <w:rtl/>
        </w:rPr>
        <w:t>–</w:t>
      </w:r>
      <w:r w:rsidRPr="00923B1A">
        <w:rPr>
          <w:rFonts w:hint="cs"/>
          <w:color w:val="0000FF"/>
          <w:sz w:val="28"/>
          <w:szCs w:val="28"/>
          <w:rtl/>
        </w:rPr>
        <w:t xml:space="preserve"> استئناف مختلط 8 مايو سنة 1895م 7 ص 247 </w:t>
      </w:r>
      <w:r w:rsidRPr="00923B1A">
        <w:rPr>
          <w:color w:val="0000FF"/>
          <w:sz w:val="28"/>
          <w:szCs w:val="28"/>
          <w:rtl/>
        </w:rPr>
        <w:t>–</w:t>
      </w:r>
      <w:r w:rsidRPr="00923B1A">
        <w:rPr>
          <w:rFonts w:hint="cs"/>
          <w:color w:val="0000FF"/>
          <w:sz w:val="28"/>
          <w:szCs w:val="28"/>
          <w:rtl/>
        </w:rPr>
        <w:t xml:space="preserve"> 19 ديسمبر سنة </w:t>
      </w:r>
      <w:smartTag w:uri="urn:schemas-microsoft-com:office:smarttags" w:element="metricconverter">
        <w:smartTagPr>
          <w:attr w:name="ProductID" w:val="1900 م"/>
        </w:smartTagPr>
        <w:r w:rsidRPr="00923B1A">
          <w:rPr>
            <w:rFonts w:hint="cs"/>
            <w:color w:val="0000FF"/>
            <w:sz w:val="28"/>
            <w:szCs w:val="28"/>
            <w:rtl/>
          </w:rPr>
          <w:t>1900 م</w:t>
        </w:r>
      </w:smartTag>
      <w:r w:rsidRPr="00923B1A">
        <w:rPr>
          <w:rFonts w:hint="cs"/>
          <w:color w:val="0000FF"/>
          <w:sz w:val="28"/>
          <w:szCs w:val="28"/>
          <w:rtl/>
        </w:rPr>
        <w:t xml:space="preserve"> 13 ص 60 </w:t>
      </w:r>
      <w:r w:rsidRPr="00923B1A">
        <w:rPr>
          <w:color w:val="0000FF"/>
          <w:sz w:val="28"/>
          <w:szCs w:val="28"/>
          <w:rtl/>
        </w:rPr>
        <w:t>–</w:t>
      </w:r>
      <w:r w:rsidRPr="00923B1A">
        <w:rPr>
          <w:rFonts w:hint="cs"/>
          <w:color w:val="0000FF"/>
          <w:sz w:val="28"/>
          <w:szCs w:val="28"/>
          <w:rtl/>
        </w:rPr>
        <w:t xml:space="preserve"> 28 يناير سنة </w:t>
      </w:r>
      <w:smartTag w:uri="urn:schemas-microsoft-com:office:smarttags" w:element="metricconverter">
        <w:smartTagPr>
          <w:attr w:name="ProductID" w:val="1903 م"/>
        </w:smartTagPr>
        <w:r w:rsidRPr="00923B1A">
          <w:rPr>
            <w:rFonts w:hint="cs"/>
            <w:color w:val="0000FF"/>
            <w:sz w:val="28"/>
            <w:szCs w:val="28"/>
            <w:rtl/>
          </w:rPr>
          <w:t>1903 م</w:t>
        </w:r>
      </w:smartTag>
      <w:r w:rsidRPr="00923B1A">
        <w:rPr>
          <w:rFonts w:hint="cs"/>
          <w:color w:val="0000FF"/>
          <w:sz w:val="28"/>
          <w:szCs w:val="28"/>
          <w:rtl/>
        </w:rPr>
        <w:t xml:space="preserve"> 15 ص 106 </w:t>
      </w:r>
      <w:r w:rsidRPr="00923B1A">
        <w:rPr>
          <w:color w:val="0000FF"/>
          <w:sz w:val="28"/>
          <w:szCs w:val="28"/>
          <w:rtl/>
        </w:rPr>
        <w:t>–</w:t>
      </w:r>
      <w:r w:rsidRPr="00923B1A">
        <w:rPr>
          <w:rFonts w:hint="cs"/>
          <w:color w:val="0000FF"/>
          <w:sz w:val="28"/>
          <w:szCs w:val="28"/>
          <w:rtl/>
        </w:rPr>
        <w:t xml:space="preserve"> 25 مارس سنة </w:t>
      </w:r>
      <w:smartTag w:uri="urn:schemas-microsoft-com:office:smarttags" w:element="metricconverter">
        <w:smartTagPr>
          <w:attr w:name="ProductID" w:val="1908 م"/>
        </w:smartTagPr>
        <w:r w:rsidRPr="00923B1A">
          <w:rPr>
            <w:rFonts w:hint="cs"/>
            <w:color w:val="0000FF"/>
            <w:sz w:val="28"/>
            <w:szCs w:val="28"/>
            <w:rtl/>
          </w:rPr>
          <w:t>1908 م</w:t>
        </w:r>
      </w:smartTag>
      <w:r w:rsidRPr="00923B1A">
        <w:rPr>
          <w:rFonts w:hint="cs"/>
          <w:color w:val="0000FF"/>
          <w:sz w:val="28"/>
          <w:szCs w:val="28"/>
          <w:rtl/>
        </w:rPr>
        <w:t xml:space="preserve"> 20 ص 137 </w:t>
      </w:r>
      <w:r w:rsidRPr="00923B1A">
        <w:rPr>
          <w:color w:val="0000FF"/>
          <w:sz w:val="28"/>
          <w:szCs w:val="28"/>
          <w:rtl/>
        </w:rPr>
        <w:t>–</w:t>
      </w:r>
      <w:r w:rsidRPr="00923B1A">
        <w:rPr>
          <w:rFonts w:hint="cs"/>
          <w:color w:val="0000FF"/>
          <w:sz w:val="28"/>
          <w:szCs w:val="28"/>
          <w:rtl/>
        </w:rPr>
        <w:t xml:space="preserve"> 30 ديسمبر سنة </w:t>
      </w:r>
      <w:smartTag w:uri="urn:schemas-microsoft-com:office:smarttags" w:element="metricconverter">
        <w:smartTagPr>
          <w:attr w:name="ProductID" w:val="1908 م"/>
        </w:smartTagPr>
        <w:r w:rsidRPr="00923B1A">
          <w:rPr>
            <w:rFonts w:hint="cs"/>
            <w:color w:val="0000FF"/>
            <w:sz w:val="28"/>
            <w:szCs w:val="28"/>
            <w:rtl/>
          </w:rPr>
          <w:t>1908 م</w:t>
        </w:r>
      </w:smartTag>
      <w:r w:rsidRPr="00923B1A">
        <w:rPr>
          <w:rFonts w:hint="cs"/>
          <w:color w:val="0000FF"/>
          <w:sz w:val="28"/>
          <w:szCs w:val="28"/>
          <w:rtl/>
        </w:rPr>
        <w:t xml:space="preserve"> 21 ص 104 </w:t>
      </w:r>
      <w:r w:rsidRPr="00923B1A">
        <w:rPr>
          <w:color w:val="0000FF"/>
          <w:sz w:val="28"/>
          <w:szCs w:val="28"/>
          <w:rtl/>
        </w:rPr>
        <w:t>–</w:t>
      </w:r>
      <w:r w:rsidRPr="00923B1A">
        <w:rPr>
          <w:rFonts w:hint="cs"/>
          <w:color w:val="0000FF"/>
          <w:sz w:val="28"/>
          <w:szCs w:val="28"/>
          <w:rtl/>
        </w:rPr>
        <w:t xml:space="preserve"> 15 أبريل </w:t>
      </w:r>
      <w:smartTag w:uri="urn:schemas-microsoft-com:office:smarttags" w:element="metricconverter">
        <w:smartTagPr>
          <w:attr w:name="ProductID" w:val="1909 م"/>
        </w:smartTagPr>
        <w:r w:rsidRPr="00923B1A">
          <w:rPr>
            <w:rFonts w:hint="cs"/>
            <w:color w:val="0000FF"/>
            <w:sz w:val="28"/>
            <w:szCs w:val="28"/>
            <w:rtl/>
          </w:rPr>
          <w:t>1909 م</w:t>
        </w:r>
      </w:smartTag>
      <w:r w:rsidRPr="00923B1A">
        <w:rPr>
          <w:rFonts w:hint="cs"/>
          <w:color w:val="0000FF"/>
          <w:sz w:val="28"/>
          <w:szCs w:val="28"/>
          <w:rtl/>
        </w:rPr>
        <w:t xml:space="preserve"> 21 ص 303 </w:t>
      </w:r>
      <w:r w:rsidRPr="00923B1A">
        <w:rPr>
          <w:color w:val="0000FF"/>
          <w:sz w:val="28"/>
          <w:szCs w:val="28"/>
          <w:rtl/>
        </w:rPr>
        <w:t>–</w:t>
      </w:r>
      <w:r w:rsidRPr="00923B1A">
        <w:rPr>
          <w:rFonts w:hint="cs"/>
          <w:color w:val="0000FF"/>
          <w:sz w:val="28"/>
          <w:szCs w:val="28"/>
          <w:rtl/>
        </w:rPr>
        <w:t xml:space="preserve"> 4 مايو سنة </w:t>
      </w:r>
      <w:smartTag w:uri="urn:schemas-microsoft-com:office:smarttags" w:element="metricconverter">
        <w:smartTagPr>
          <w:attr w:name="ProductID" w:val="1911 م"/>
        </w:smartTagPr>
        <w:r w:rsidRPr="00923B1A">
          <w:rPr>
            <w:rFonts w:hint="cs"/>
            <w:color w:val="0000FF"/>
            <w:sz w:val="28"/>
            <w:szCs w:val="28"/>
            <w:rtl/>
          </w:rPr>
          <w:t>1911 م</w:t>
        </w:r>
      </w:smartTag>
      <w:r w:rsidRPr="00923B1A">
        <w:rPr>
          <w:rFonts w:hint="cs"/>
          <w:color w:val="0000FF"/>
          <w:sz w:val="28"/>
          <w:szCs w:val="28"/>
          <w:rtl/>
        </w:rPr>
        <w:t xml:space="preserve"> 23 ص 301 </w:t>
      </w:r>
      <w:r w:rsidRPr="00923B1A">
        <w:rPr>
          <w:color w:val="0000FF"/>
          <w:sz w:val="28"/>
          <w:szCs w:val="28"/>
          <w:rtl/>
        </w:rPr>
        <w:t>–</w:t>
      </w:r>
      <w:r w:rsidRPr="00923B1A">
        <w:rPr>
          <w:rFonts w:hint="cs"/>
          <w:color w:val="0000FF"/>
          <w:sz w:val="28"/>
          <w:szCs w:val="28"/>
          <w:rtl/>
        </w:rPr>
        <w:t xml:space="preserve"> 16 فبراير سنة </w:t>
      </w:r>
      <w:smartTag w:uri="urn:schemas-microsoft-com:office:smarttags" w:element="metricconverter">
        <w:smartTagPr>
          <w:attr w:name="ProductID" w:val="1916 م"/>
        </w:smartTagPr>
        <w:r w:rsidRPr="00923B1A">
          <w:rPr>
            <w:rFonts w:hint="cs"/>
            <w:color w:val="0000FF"/>
            <w:sz w:val="28"/>
            <w:szCs w:val="28"/>
            <w:rtl/>
          </w:rPr>
          <w:t>1916 م</w:t>
        </w:r>
      </w:smartTag>
      <w:r w:rsidRPr="00923B1A">
        <w:rPr>
          <w:rFonts w:hint="cs"/>
          <w:color w:val="0000FF"/>
          <w:sz w:val="28"/>
          <w:szCs w:val="28"/>
          <w:rtl/>
        </w:rPr>
        <w:t xml:space="preserve"> 28 ص 157 </w:t>
      </w:r>
      <w:r w:rsidRPr="00923B1A">
        <w:rPr>
          <w:color w:val="0000FF"/>
          <w:sz w:val="28"/>
          <w:szCs w:val="28"/>
          <w:rtl/>
        </w:rPr>
        <w:t>–</w:t>
      </w:r>
      <w:r w:rsidRPr="00923B1A">
        <w:rPr>
          <w:rFonts w:hint="cs"/>
          <w:color w:val="0000FF"/>
          <w:sz w:val="28"/>
          <w:szCs w:val="28"/>
          <w:rtl/>
        </w:rPr>
        <w:t xml:space="preserve"> 22 مارس سنة </w:t>
      </w:r>
      <w:smartTag w:uri="urn:schemas-microsoft-com:office:smarttags" w:element="metricconverter">
        <w:smartTagPr>
          <w:attr w:name="ProductID" w:val="1916 م"/>
        </w:smartTagPr>
        <w:r w:rsidRPr="00923B1A">
          <w:rPr>
            <w:rFonts w:hint="cs"/>
            <w:color w:val="0000FF"/>
            <w:sz w:val="28"/>
            <w:szCs w:val="28"/>
            <w:rtl/>
          </w:rPr>
          <w:t>1916 م</w:t>
        </w:r>
      </w:smartTag>
      <w:r w:rsidRPr="00923B1A">
        <w:rPr>
          <w:rFonts w:hint="cs"/>
          <w:color w:val="0000FF"/>
          <w:sz w:val="28"/>
          <w:szCs w:val="28"/>
          <w:rtl/>
        </w:rPr>
        <w:t xml:space="preserve"> 28 ص 207 </w:t>
      </w:r>
      <w:r w:rsidRPr="00923B1A">
        <w:rPr>
          <w:color w:val="0000FF"/>
          <w:sz w:val="28"/>
          <w:szCs w:val="28"/>
          <w:rtl/>
        </w:rPr>
        <w:t>–</w:t>
      </w:r>
      <w:r w:rsidRPr="00923B1A">
        <w:rPr>
          <w:rFonts w:hint="cs"/>
          <w:color w:val="0000FF"/>
          <w:sz w:val="28"/>
          <w:szCs w:val="28"/>
          <w:rtl/>
        </w:rPr>
        <w:t xml:space="preserve"> 25 مايو سنة </w:t>
      </w:r>
      <w:smartTag w:uri="urn:schemas-microsoft-com:office:smarttags" w:element="metricconverter">
        <w:smartTagPr>
          <w:attr w:name="ProductID" w:val="1923 م"/>
        </w:smartTagPr>
        <w:r w:rsidRPr="00923B1A">
          <w:rPr>
            <w:rFonts w:hint="cs"/>
            <w:color w:val="0000FF"/>
            <w:sz w:val="28"/>
            <w:szCs w:val="28"/>
            <w:rtl/>
          </w:rPr>
          <w:t>1923 م</w:t>
        </w:r>
      </w:smartTag>
      <w:r w:rsidRPr="00923B1A">
        <w:rPr>
          <w:rFonts w:hint="cs"/>
          <w:color w:val="0000FF"/>
          <w:sz w:val="28"/>
          <w:szCs w:val="28"/>
          <w:rtl/>
        </w:rPr>
        <w:t xml:space="preserve"> 35 ص 445</w:t>
      </w:r>
      <w:r>
        <w:rPr>
          <w:rFonts w:hint="cs"/>
          <w:color w:val="0000FF"/>
          <w:sz w:val="28"/>
          <w:szCs w:val="28"/>
          <w:rtl/>
        </w:rPr>
        <w:t xml:space="preserve">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وقد قضي بأن رفض تجريد المدين يكون مطابقا للقانون إذا دل الكفيل في آخر لحظة على مال للمدين هو جزء من إيراد في وقف تستدعي المطالبة به إجراءات طويلة كثيرة المصروفات</w:t>
      </w:r>
      <w:r>
        <w:rPr>
          <w:rFonts w:hint="cs"/>
          <w:color w:val="0000FF"/>
          <w:sz w:val="28"/>
          <w:szCs w:val="28"/>
          <w:rtl/>
        </w:rPr>
        <w:t xml:space="preserve"> ،</w:t>
      </w:r>
      <w:r w:rsidRPr="00923B1A">
        <w:rPr>
          <w:rFonts w:hint="cs"/>
          <w:color w:val="0000FF"/>
          <w:sz w:val="28"/>
          <w:szCs w:val="28"/>
          <w:rtl/>
        </w:rPr>
        <w:t xml:space="preserve"> دون أن يثبت الكفيل كفايتها لوفاء الدين بتمامه </w:t>
      </w:r>
      <w:r>
        <w:rPr>
          <w:rFonts w:hint="cs"/>
          <w:color w:val="0000FF"/>
          <w:sz w:val="28"/>
          <w:szCs w:val="28"/>
          <w:rtl/>
        </w:rPr>
        <w:t xml:space="preserve">( </w:t>
      </w:r>
      <w:r w:rsidRPr="00923B1A">
        <w:rPr>
          <w:rFonts w:hint="cs"/>
          <w:color w:val="0000FF"/>
          <w:sz w:val="28"/>
          <w:szCs w:val="28"/>
          <w:rtl/>
        </w:rPr>
        <w:t xml:space="preserve">استئناف مختلط 8 يونيه سنة </w:t>
      </w:r>
      <w:smartTag w:uri="urn:schemas-microsoft-com:office:smarttags" w:element="metricconverter">
        <w:smartTagPr>
          <w:attr w:name="ProductID" w:val="1922 م"/>
        </w:smartTagPr>
        <w:r w:rsidRPr="00923B1A">
          <w:rPr>
            <w:rFonts w:hint="cs"/>
            <w:color w:val="0000FF"/>
            <w:sz w:val="28"/>
            <w:szCs w:val="28"/>
            <w:rtl/>
          </w:rPr>
          <w:t>1922 م</w:t>
        </w:r>
      </w:smartTag>
      <w:r w:rsidRPr="00923B1A">
        <w:rPr>
          <w:rFonts w:hint="cs"/>
          <w:color w:val="0000FF"/>
          <w:sz w:val="28"/>
          <w:szCs w:val="28"/>
          <w:rtl/>
        </w:rPr>
        <w:t xml:space="preserve"> 34 ص 478</w:t>
      </w:r>
      <w:r>
        <w:rPr>
          <w:rFonts w:hint="cs"/>
          <w:color w:val="0000FF"/>
          <w:sz w:val="28"/>
          <w:szCs w:val="28"/>
          <w:rtl/>
        </w:rPr>
        <w:t xml:space="preserve"> ) .</w:t>
      </w:r>
      <w:r w:rsidRPr="00923B1A">
        <w:rPr>
          <w:rFonts w:hint="cs"/>
          <w:color w:val="0000FF"/>
          <w:sz w:val="28"/>
          <w:szCs w:val="28"/>
          <w:rtl/>
        </w:rPr>
        <w:t xml:space="preserve"> وقضي بأنهن يجوز للكفيل أن يدل على مال للمدين هو مبالغ هامة آتية من بيع أموال المدين المحجوز عليها وقد خصصت لقسمتها بين الدائنين</w:t>
      </w:r>
      <w:r>
        <w:rPr>
          <w:rFonts w:hint="cs"/>
          <w:color w:val="0000FF"/>
          <w:sz w:val="28"/>
          <w:szCs w:val="28"/>
          <w:rtl/>
        </w:rPr>
        <w:t xml:space="preserve"> ،</w:t>
      </w:r>
      <w:r w:rsidRPr="00923B1A">
        <w:rPr>
          <w:rFonts w:hint="cs"/>
          <w:color w:val="0000FF"/>
          <w:sz w:val="28"/>
          <w:szCs w:val="28"/>
          <w:rtl/>
        </w:rPr>
        <w:t xml:space="preserve"> فيحيل الكفيل الدائن على الحارس أو على قلم التوزيع </w:t>
      </w:r>
      <w:r>
        <w:rPr>
          <w:rFonts w:hint="cs"/>
          <w:color w:val="0000FF"/>
          <w:sz w:val="28"/>
          <w:szCs w:val="28"/>
          <w:rtl/>
        </w:rPr>
        <w:t xml:space="preserve">( </w:t>
      </w:r>
      <w:r w:rsidRPr="00923B1A">
        <w:rPr>
          <w:rFonts w:hint="cs"/>
          <w:color w:val="0000FF"/>
          <w:sz w:val="28"/>
          <w:szCs w:val="28"/>
          <w:rtl/>
        </w:rPr>
        <w:t xml:space="preserve">استئناف مختلط 5 فبراير سنة </w:t>
      </w:r>
      <w:smartTag w:uri="urn:schemas-microsoft-com:office:smarttags" w:element="metricconverter">
        <w:smartTagPr>
          <w:attr w:name="ProductID" w:val="1918 م"/>
        </w:smartTagPr>
        <w:r w:rsidRPr="00923B1A">
          <w:rPr>
            <w:rFonts w:hint="cs"/>
            <w:color w:val="0000FF"/>
            <w:sz w:val="28"/>
            <w:szCs w:val="28"/>
            <w:rtl/>
          </w:rPr>
          <w:t>1918 م</w:t>
        </w:r>
      </w:smartTag>
      <w:r w:rsidRPr="00923B1A">
        <w:rPr>
          <w:rFonts w:hint="cs"/>
          <w:color w:val="0000FF"/>
          <w:sz w:val="28"/>
          <w:szCs w:val="28"/>
          <w:rtl/>
        </w:rPr>
        <w:t xml:space="preserve"> 30 ص 302</w:t>
      </w:r>
      <w:r>
        <w:rPr>
          <w:rFonts w:hint="cs"/>
          <w:color w:val="0000FF"/>
          <w:sz w:val="28"/>
          <w:szCs w:val="28"/>
          <w:rtl/>
        </w:rPr>
        <w:t xml:space="preserve"> ) .</w:t>
      </w:r>
    </w:p>
  </w:footnote>
  <w:footnote w:id="28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136 </w:t>
      </w:r>
      <w:r w:rsidRPr="00923B1A">
        <w:rPr>
          <w:color w:val="0000FF"/>
          <w:sz w:val="28"/>
          <w:szCs w:val="28"/>
          <w:rtl/>
        </w:rPr>
        <w:t>–</w:t>
      </w:r>
      <w:r w:rsidRPr="00923B1A">
        <w:rPr>
          <w:rFonts w:hint="cs"/>
          <w:color w:val="0000FF"/>
          <w:sz w:val="28"/>
          <w:szCs w:val="28"/>
          <w:rtl/>
        </w:rPr>
        <w:t xml:space="preserve"> بودري وفال فقرة 1023</w:t>
      </w:r>
      <w:r>
        <w:rPr>
          <w:rFonts w:hint="cs"/>
          <w:color w:val="0000FF"/>
          <w:sz w:val="28"/>
          <w:szCs w:val="28"/>
          <w:rtl/>
        </w:rPr>
        <w:t xml:space="preserve"> .</w:t>
      </w:r>
    </w:p>
  </w:footnote>
  <w:footnote w:id="28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صدر أخيراً تقنين جديد للمرافعات</w:t>
      </w:r>
      <w:r>
        <w:rPr>
          <w:rFonts w:hint="cs"/>
          <w:color w:val="0000FF"/>
          <w:sz w:val="28"/>
          <w:szCs w:val="28"/>
          <w:rtl/>
        </w:rPr>
        <w:t xml:space="preserve"> ،</w:t>
      </w:r>
      <w:r w:rsidRPr="00923B1A">
        <w:rPr>
          <w:rFonts w:hint="cs"/>
          <w:color w:val="0000FF"/>
          <w:sz w:val="28"/>
          <w:szCs w:val="28"/>
          <w:rtl/>
        </w:rPr>
        <w:t xml:space="preserve"> فيبحث فيه عما يقابل هذه المادة</w:t>
      </w:r>
      <w:r>
        <w:rPr>
          <w:rFonts w:hint="cs"/>
          <w:color w:val="0000FF"/>
          <w:sz w:val="28"/>
          <w:szCs w:val="28"/>
          <w:rtl/>
        </w:rPr>
        <w:t xml:space="preserve"> .</w:t>
      </w:r>
    </w:p>
  </w:footnote>
  <w:footnote w:id="28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في القانون الفرنسي فيجوز أن يدل الكفيل على مال للمدين لا يكون مرهونا في الدين مع وجود أموال للمدين مرهونة في الدين </w:t>
      </w:r>
      <w:r>
        <w:rPr>
          <w:rFonts w:hint="cs"/>
          <w:color w:val="0000FF"/>
          <w:sz w:val="28"/>
          <w:szCs w:val="28"/>
          <w:rtl/>
        </w:rPr>
        <w:t xml:space="preserve">( </w:t>
      </w:r>
      <w:r w:rsidRPr="00923B1A">
        <w:rPr>
          <w:rFonts w:hint="cs"/>
          <w:color w:val="0000FF"/>
          <w:sz w:val="28"/>
          <w:szCs w:val="28"/>
          <w:rtl/>
        </w:rPr>
        <w:t>بودري وفال فقرة 1034</w:t>
      </w:r>
      <w:r>
        <w:rPr>
          <w:rFonts w:hint="cs"/>
          <w:color w:val="0000FF"/>
          <w:sz w:val="28"/>
          <w:szCs w:val="28"/>
          <w:rtl/>
        </w:rPr>
        <w:t xml:space="preserve"> ) .</w:t>
      </w:r>
    </w:p>
  </w:footnote>
  <w:footnote w:id="28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وكان المشروع التمهيد للفقرة الثانية من المادة 789 مدني يمنع الكفيل أن يدل على مال للمدين مرهون في الدين</w:t>
      </w:r>
      <w:r>
        <w:rPr>
          <w:rFonts w:hint="cs"/>
          <w:color w:val="0000FF"/>
          <w:sz w:val="28"/>
          <w:szCs w:val="28"/>
          <w:rtl/>
        </w:rPr>
        <w:t xml:space="preserve"> .</w:t>
      </w:r>
      <w:r w:rsidRPr="00923B1A">
        <w:rPr>
          <w:rFonts w:hint="cs"/>
          <w:color w:val="0000FF"/>
          <w:sz w:val="28"/>
          <w:szCs w:val="28"/>
          <w:rtl/>
        </w:rPr>
        <w:t xml:space="preserve"> وفي لجنة الشؤون التشريعية مجلس النواب حذف من النص ما يقضي بهذا الحكم</w:t>
      </w:r>
      <w:r>
        <w:rPr>
          <w:rFonts w:hint="cs"/>
          <w:color w:val="0000FF"/>
          <w:sz w:val="28"/>
          <w:szCs w:val="28"/>
          <w:rtl/>
        </w:rPr>
        <w:t xml:space="preserve"> ،</w:t>
      </w:r>
      <w:r w:rsidRPr="00923B1A">
        <w:rPr>
          <w:rFonts w:hint="cs"/>
          <w:color w:val="0000FF"/>
          <w:sz w:val="28"/>
          <w:szCs w:val="28"/>
          <w:rtl/>
        </w:rPr>
        <w:t xml:space="preserve"> فحذفت من هذه الفقرة الثانية العبارة الأخيرة وهي "أو كانت مرهونة في ذات الدين"</w:t>
      </w:r>
      <w:r>
        <w:rPr>
          <w:rFonts w:hint="cs"/>
          <w:color w:val="0000FF"/>
          <w:sz w:val="28"/>
          <w:szCs w:val="28"/>
          <w:rtl/>
        </w:rPr>
        <w:t xml:space="preserve"> ،</w:t>
      </w:r>
      <w:r w:rsidRPr="00923B1A">
        <w:rPr>
          <w:rFonts w:hint="cs"/>
          <w:color w:val="0000FF"/>
          <w:sz w:val="28"/>
          <w:szCs w:val="28"/>
          <w:rtl/>
        </w:rPr>
        <w:t xml:space="preserve"> لأنه "إذا وجد مال مرهون في ذات الدين كان هذا المال تأمينا عينيا يجب استيفاء الدين منه أولا بموجب المادة 791 مدني</w:t>
      </w:r>
      <w:r>
        <w:rPr>
          <w:rFonts w:hint="cs"/>
          <w:color w:val="0000FF"/>
          <w:sz w:val="28"/>
          <w:szCs w:val="28"/>
          <w:rtl/>
        </w:rPr>
        <w:t xml:space="preserve"> ،</w:t>
      </w:r>
      <w:r w:rsidRPr="00923B1A">
        <w:rPr>
          <w:rFonts w:hint="cs"/>
          <w:color w:val="0000FF"/>
          <w:sz w:val="28"/>
          <w:szCs w:val="28"/>
          <w:rtl/>
        </w:rPr>
        <w:t xml:space="preserve"> فلا يكون هناك محل عند طلب الكفيل التجريد أن يدل عليه" </w:t>
      </w:r>
      <w:r>
        <w:rPr>
          <w:rFonts w:hint="cs"/>
          <w:color w:val="0000FF"/>
          <w:sz w:val="28"/>
          <w:szCs w:val="28"/>
          <w:rtl/>
        </w:rPr>
        <w:t xml:space="preserve">( </w:t>
      </w:r>
      <w:r w:rsidRPr="00923B1A">
        <w:rPr>
          <w:rFonts w:hint="cs"/>
          <w:color w:val="0000FF"/>
          <w:sz w:val="28"/>
          <w:szCs w:val="28"/>
          <w:rtl/>
        </w:rPr>
        <w:t>انظر آنفاً الفقرة في الهامش</w:t>
      </w:r>
      <w:r>
        <w:rPr>
          <w:rFonts w:hint="cs"/>
          <w:color w:val="0000FF"/>
          <w:sz w:val="28"/>
          <w:szCs w:val="28"/>
          <w:rtl/>
        </w:rPr>
        <w:t xml:space="preserve"> ) .</w:t>
      </w:r>
    </w:p>
  </w:footnote>
  <w:footnote w:id="29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45 ص 89</w:t>
      </w:r>
      <w:r>
        <w:rPr>
          <w:rFonts w:hint="cs"/>
          <w:color w:val="0000FF"/>
          <w:sz w:val="28"/>
          <w:szCs w:val="28"/>
          <w:rtl/>
        </w:rPr>
        <w:t xml:space="preserve"> .</w:t>
      </w:r>
    </w:p>
  </w:footnote>
  <w:footnote w:id="29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نفس الفقرة في الهامش</w:t>
      </w:r>
      <w:r>
        <w:rPr>
          <w:rFonts w:hint="cs"/>
          <w:color w:val="0000FF"/>
          <w:sz w:val="28"/>
          <w:szCs w:val="28"/>
          <w:rtl/>
        </w:rPr>
        <w:t xml:space="preserve"> .</w:t>
      </w:r>
      <w:r w:rsidRPr="00923B1A">
        <w:rPr>
          <w:rFonts w:hint="cs"/>
          <w:color w:val="0000FF"/>
          <w:sz w:val="28"/>
          <w:szCs w:val="28"/>
          <w:rtl/>
        </w:rPr>
        <w:t xml:space="preserve"> أما التقنين المدني الفرنسي </w:t>
      </w:r>
      <w:r>
        <w:rPr>
          <w:rFonts w:hint="cs"/>
          <w:color w:val="0000FF"/>
          <w:sz w:val="28"/>
          <w:szCs w:val="28"/>
          <w:rtl/>
        </w:rPr>
        <w:t xml:space="preserve">( </w:t>
      </w:r>
      <w:r w:rsidRPr="00923B1A">
        <w:rPr>
          <w:rFonts w:hint="cs"/>
          <w:color w:val="0000FF"/>
          <w:sz w:val="28"/>
          <w:szCs w:val="28"/>
          <w:rtl/>
        </w:rPr>
        <w:t>م 2023/1</w:t>
      </w:r>
      <w:r>
        <w:rPr>
          <w:rFonts w:hint="cs"/>
          <w:color w:val="0000FF"/>
          <w:sz w:val="28"/>
          <w:szCs w:val="28"/>
          <w:rtl/>
        </w:rPr>
        <w:t xml:space="preserve"> )</w:t>
      </w:r>
      <w:r w:rsidRPr="00923B1A">
        <w:rPr>
          <w:rFonts w:hint="cs"/>
          <w:color w:val="0000FF"/>
          <w:sz w:val="28"/>
          <w:szCs w:val="28"/>
          <w:rtl/>
        </w:rPr>
        <w:t xml:space="preserve"> فيوجب على الكفيل أن يقدم للدائن المبالغ الكافية للقيام بالتجريد</w:t>
      </w:r>
      <w:r>
        <w:rPr>
          <w:rFonts w:hint="cs"/>
          <w:color w:val="0000FF"/>
          <w:sz w:val="28"/>
          <w:szCs w:val="28"/>
          <w:rtl/>
        </w:rPr>
        <w:t xml:space="preserve"> ،</w:t>
      </w:r>
      <w:r w:rsidRPr="00923B1A">
        <w:rPr>
          <w:rFonts w:hint="cs"/>
          <w:color w:val="0000FF"/>
          <w:sz w:val="28"/>
          <w:szCs w:val="28"/>
          <w:rtl/>
        </w:rPr>
        <w:t xml:space="preserve"> وتقدر المحكمة عند النزاع مقدار المبالغ التي يجب على الكفيل أن يقدمها للدائن وكيف يكون هذا التقديم </w:t>
      </w:r>
      <w:r>
        <w:rPr>
          <w:rFonts w:hint="cs"/>
          <w:color w:val="0000FF"/>
          <w:sz w:val="28"/>
          <w:szCs w:val="28"/>
          <w:rtl/>
        </w:rPr>
        <w:t xml:space="preserve">( </w:t>
      </w:r>
      <w:r w:rsidRPr="00923B1A">
        <w:rPr>
          <w:rFonts w:hint="cs"/>
          <w:color w:val="0000FF"/>
          <w:sz w:val="28"/>
          <w:szCs w:val="28"/>
          <w:rtl/>
        </w:rPr>
        <w:t xml:space="preserve">ترولون فقرة 272 </w:t>
      </w:r>
      <w:r w:rsidRPr="00923B1A">
        <w:rPr>
          <w:color w:val="0000FF"/>
          <w:sz w:val="28"/>
          <w:szCs w:val="28"/>
          <w:rtl/>
        </w:rPr>
        <w:t>–</w:t>
      </w:r>
      <w:r w:rsidRPr="00923B1A">
        <w:rPr>
          <w:rFonts w:hint="cs"/>
          <w:color w:val="0000FF"/>
          <w:sz w:val="28"/>
          <w:szCs w:val="28"/>
          <w:rtl/>
        </w:rPr>
        <w:t xml:space="preserve"> فقرة 273 </w:t>
      </w:r>
      <w:r w:rsidRPr="00923B1A">
        <w:rPr>
          <w:color w:val="0000FF"/>
          <w:sz w:val="28"/>
          <w:szCs w:val="28"/>
          <w:rtl/>
        </w:rPr>
        <w:t>–</w:t>
      </w:r>
      <w:r w:rsidRPr="00923B1A">
        <w:rPr>
          <w:rFonts w:hint="cs"/>
          <w:color w:val="0000FF"/>
          <w:sz w:val="28"/>
          <w:szCs w:val="28"/>
          <w:rtl/>
        </w:rPr>
        <w:t xml:space="preserve"> لوران 28 فقرة 212 </w:t>
      </w:r>
      <w:r w:rsidRPr="00923B1A">
        <w:rPr>
          <w:color w:val="0000FF"/>
          <w:sz w:val="28"/>
          <w:szCs w:val="28"/>
          <w:rtl/>
        </w:rPr>
        <w:t>–</w:t>
      </w:r>
      <w:r w:rsidRPr="00923B1A">
        <w:rPr>
          <w:rFonts w:hint="cs"/>
          <w:color w:val="0000FF"/>
          <w:sz w:val="28"/>
          <w:szCs w:val="28"/>
          <w:rtl/>
        </w:rPr>
        <w:t xml:space="preserve"> بون 2 فقرة 174 </w:t>
      </w:r>
      <w:r w:rsidRPr="00923B1A">
        <w:rPr>
          <w:color w:val="0000FF"/>
          <w:sz w:val="28"/>
          <w:szCs w:val="28"/>
          <w:rtl/>
        </w:rPr>
        <w:t>–</w:t>
      </w:r>
      <w:r w:rsidRPr="00923B1A">
        <w:rPr>
          <w:rFonts w:hint="cs"/>
          <w:color w:val="0000FF"/>
          <w:sz w:val="28"/>
          <w:szCs w:val="28"/>
          <w:rtl/>
        </w:rPr>
        <w:t xml:space="preserve"> فقرة 176 </w:t>
      </w:r>
      <w:r w:rsidRPr="00923B1A">
        <w:rPr>
          <w:color w:val="0000FF"/>
          <w:sz w:val="28"/>
          <w:szCs w:val="28"/>
          <w:rtl/>
        </w:rPr>
        <w:t>–</w:t>
      </w:r>
      <w:r w:rsidRPr="00923B1A">
        <w:rPr>
          <w:rFonts w:hint="cs"/>
          <w:color w:val="0000FF"/>
          <w:sz w:val="28"/>
          <w:szCs w:val="28"/>
          <w:rtl/>
        </w:rPr>
        <w:t xml:space="preserve"> جيوار فقرة 139 </w:t>
      </w:r>
      <w:r w:rsidRPr="00923B1A">
        <w:rPr>
          <w:color w:val="0000FF"/>
          <w:sz w:val="28"/>
          <w:szCs w:val="28"/>
          <w:rtl/>
        </w:rPr>
        <w:t>–</w:t>
      </w:r>
      <w:r w:rsidRPr="00923B1A">
        <w:rPr>
          <w:rFonts w:hint="cs"/>
          <w:color w:val="0000FF"/>
          <w:sz w:val="28"/>
          <w:szCs w:val="28"/>
          <w:rtl/>
        </w:rPr>
        <w:t xml:space="preserve"> فقرة 140 أوبر ورو 6 فقرة 426 ص 217 </w:t>
      </w:r>
      <w:r w:rsidRPr="00923B1A">
        <w:rPr>
          <w:color w:val="0000FF"/>
          <w:sz w:val="28"/>
          <w:szCs w:val="28"/>
          <w:rtl/>
        </w:rPr>
        <w:t>–</w:t>
      </w:r>
      <w:r w:rsidRPr="00923B1A">
        <w:rPr>
          <w:rFonts w:hint="cs"/>
          <w:color w:val="0000FF"/>
          <w:sz w:val="28"/>
          <w:szCs w:val="28"/>
          <w:rtl/>
        </w:rPr>
        <w:t xml:space="preserve"> بودري وفال فقرة 1026 </w:t>
      </w:r>
      <w:r w:rsidRPr="00923B1A">
        <w:rPr>
          <w:color w:val="0000FF"/>
          <w:sz w:val="28"/>
          <w:szCs w:val="28"/>
          <w:rtl/>
        </w:rPr>
        <w:t>–</w:t>
      </w:r>
      <w:r w:rsidRPr="00923B1A">
        <w:rPr>
          <w:rFonts w:hint="cs"/>
          <w:color w:val="0000FF"/>
          <w:sz w:val="28"/>
          <w:szCs w:val="28"/>
          <w:rtl/>
        </w:rPr>
        <w:t xml:space="preserve"> فقرة 1030 </w:t>
      </w:r>
      <w:r w:rsidRPr="00923B1A">
        <w:rPr>
          <w:color w:val="0000FF"/>
          <w:sz w:val="28"/>
          <w:szCs w:val="28"/>
          <w:rtl/>
        </w:rPr>
        <w:t>–</w:t>
      </w:r>
      <w:r w:rsidRPr="00923B1A">
        <w:rPr>
          <w:rFonts w:hint="cs"/>
          <w:color w:val="0000FF"/>
          <w:sz w:val="28"/>
          <w:szCs w:val="28"/>
          <w:rtl/>
        </w:rPr>
        <w:t xml:space="preserve"> بلانيول وريبير وسافاتييه فقرة 1535 ص 986</w:t>
      </w:r>
      <w:r>
        <w:rPr>
          <w:rFonts w:hint="cs"/>
          <w:color w:val="0000FF"/>
          <w:sz w:val="28"/>
          <w:szCs w:val="28"/>
          <w:rtl/>
        </w:rPr>
        <w:t xml:space="preserve"> ) .</w:t>
      </w:r>
    </w:p>
  </w:footnote>
  <w:footnote w:id="29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1145 مكررة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"في كل الأحوال التي عين فيها الكفيل أموال المدين وفقا للمادة 1144 مكررة وقدم المصروفات الكافية للتجريد</w:t>
      </w:r>
      <w:r>
        <w:rPr>
          <w:rFonts w:hint="cs"/>
          <w:color w:val="0000FF"/>
          <w:sz w:val="28"/>
          <w:szCs w:val="28"/>
          <w:rtl/>
        </w:rPr>
        <w:t xml:space="preserve"> ،</w:t>
      </w:r>
      <w:r w:rsidRPr="00923B1A">
        <w:rPr>
          <w:rFonts w:hint="cs"/>
          <w:color w:val="0000FF"/>
          <w:sz w:val="28"/>
          <w:szCs w:val="28"/>
          <w:rtl/>
        </w:rPr>
        <w:t xml:space="preserve"> يكون الدائن مسئولا قبل الكفيل عن إعسار المدين الذي يترتب على عدم اتخاذه الإجراءات اللازمة</w:t>
      </w:r>
      <w:r>
        <w:rPr>
          <w:rFonts w:hint="cs"/>
          <w:color w:val="0000FF"/>
          <w:sz w:val="28"/>
          <w:szCs w:val="28"/>
          <w:rtl/>
        </w:rPr>
        <w:t xml:space="preserve"> ،</w:t>
      </w:r>
      <w:r w:rsidRPr="00923B1A">
        <w:rPr>
          <w:rFonts w:hint="cs"/>
          <w:color w:val="0000FF"/>
          <w:sz w:val="28"/>
          <w:szCs w:val="28"/>
          <w:rtl/>
        </w:rPr>
        <w:t xml:space="preserve"> وذلك بقدر</w:t>
      </w:r>
      <w:r>
        <w:rPr>
          <w:rFonts w:hint="cs"/>
          <w:color w:val="0000FF"/>
          <w:sz w:val="28"/>
          <w:szCs w:val="28"/>
          <w:rtl/>
        </w:rPr>
        <w:t xml:space="preserve"> </w:t>
      </w:r>
      <w:r w:rsidRPr="00923B1A">
        <w:rPr>
          <w:rFonts w:hint="cs"/>
          <w:color w:val="0000FF"/>
          <w:sz w:val="28"/>
          <w:szCs w:val="28"/>
          <w:rtl/>
        </w:rPr>
        <w:t>الأموال التي دل عليها الكفيل"</w:t>
      </w:r>
      <w:r>
        <w:rPr>
          <w:rFonts w:hint="cs"/>
          <w:color w:val="0000FF"/>
          <w:sz w:val="28"/>
          <w:szCs w:val="28"/>
          <w:rtl/>
        </w:rPr>
        <w:t xml:space="preserve"> .</w:t>
      </w:r>
      <w:r w:rsidRPr="00923B1A">
        <w:rPr>
          <w:rFonts w:hint="cs"/>
          <w:color w:val="0000FF"/>
          <w:sz w:val="28"/>
          <w:szCs w:val="28"/>
          <w:rtl/>
        </w:rPr>
        <w:t xml:space="preserve"> وأدخلت لجنة المراجعة تعديلات على النص جعله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فيما عدا أن المشروع ظل يتضمن عبارة "ويقدم المصروفات الكفاية للتجريد"</w:t>
      </w:r>
      <w:r>
        <w:rPr>
          <w:rFonts w:hint="cs"/>
          <w:color w:val="0000FF"/>
          <w:sz w:val="28"/>
          <w:szCs w:val="28"/>
          <w:rtl/>
        </w:rPr>
        <w:t xml:space="preserve"> ،</w:t>
      </w:r>
      <w:r w:rsidRPr="00923B1A">
        <w:rPr>
          <w:rFonts w:hint="cs"/>
          <w:color w:val="0000FF"/>
          <w:sz w:val="28"/>
          <w:szCs w:val="28"/>
          <w:rtl/>
        </w:rPr>
        <w:t xml:space="preserve"> وصار رقم المادة 858 في المشروع النهائي</w:t>
      </w:r>
      <w:r>
        <w:rPr>
          <w:rFonts w:hint="cs"/>
          <w:color w:val="0000FF"/>
          <w:sz w:val="28"/>
          <w:szCs w:val="28"/>
          <w:rtl/>
        </w:rPr>
        <w:t xml:space="preserve"> .</w:t>
      </w:r>
      <w:r w:rsidRPr="00923B1A">
        <w:rPr>
          <w:rFonts w:hint="cs"/>
          <w:color w:val="0000FF"/>
          <w:sz w:val="28"/>
          <w:szCs w:val="28"/>
          <w:rtl/>
        </w:rPr>
        <w:t xml:space="preserve"> ووافق عليها مجلس النواب تحت رقم 857</w:t>
      </w:r>
      <w:r>
        <w:rPr>
          <w:rFonts w:hint="cs"/>
          <w:color w:val="0000FF"/>
          <w:sz w:val="28"/>
          <w:szCs w:val="28"/>
          <w:rtl/>
        </w:rPr>
        <w:t xml:space="preserve"> .</w:t>
      </w:r>
      <w:r w:rsidRPr="00923B1A">
        <w:rPr>
          <w:rFonts w:hint="cs"/>
          <w:color w:val="0000FF"/>
          <w:sz w:val="28"/>
          <w:szCs w:val="28"/>
          <w:rtl/>
        </w:rPr>
        <w:t xml:space="preserve"> وحذفت لجنة مجلس الشيوخ من صدر المادة عبارة "ويقدم المصروفات الكافية للتجريد" تمشيا مع التعديل الذي أدخلته على المادة السابقة</w:t>
      </w:r>
      <w:r>
        <w:rPr>
          <w:rFonts w:hint="cs"/>
          <w:color w:val="0000FF"/>
          <w:sz w:val="28"/>
          <w:szCs w:val="28"/>
          <w:rtl/>
        </w:rPr>
        <w:t xml:space="preserve"> ،</w:t>
      </w:r>
      <w:r w:rsidRPr="00923B1A">
        <w:rPr>
          <w:rFonts w:hint="cs"/>
          <w:color w:val="0000FF"/>
          <w:sz w:val="28"/>
          <w:szCs w:val="28"/>
          <w:rtl/>
        </w:rPr>
        <w:t xml:space="preserve"> وأصبح رقم المادة 790</w:t>
      </w:r>
      <w:r>
        <w:rPr>
          <w:rFonts w:hint="cs"/>
          <w:color w:val="0000FF"/>
          <w:sz w:val="28"/>
          <w:szCs w:val="28"/>
          <w:rtl/>
        </w:rPr>
        <w:t xml:space="preserve"> .</w:t>
      </w:r>
      <w:r w:rsidRPr="00923B1A">
        <w:rPr>
          <w:rFonts w:hint="cs"/>
          <w:color w:val="0000FF"/>
          <w:sz w:val="28"/>
          <w:szCs w:val="28"/>
          <w:rtl/>
        </w:rPr>
        <w:t xml:space="preserve"> ووافق عليها مجلس الشيوخ كما عدلتها لجنته </w:t>
      </w:r>
      <w:r>
        <w:rPr>
          <w:rFonts w:hint="cs"/>
          <w:color w:val="0000FF"/>
          <w:sz w:val="28"/>
          <w:szCs w:val="28"/>
          <w:rtl/>
        </w:rPr>
        <w:t xml:space="preserve">( </w:t>
      </w:r>
      <w:r w:rsidRPr="00923B1A">
        <w:rPr>
          <w:rFonts w:hint="cs"/>
          <w:color w:val="0000FF"/>
          <w:sz w:val="28"/>
          <w:szCs w:val="28"/>
          <w:rtl/>
        </w:rPr>
        <w:t xml:space="preserve">مجموعة الأعمال التحضيرية 5 ص 5 ص 508 </w:t>
      </w:r>
      <w:r w:rsidRPr="00923B1A">
        <w:rPr>
          <w:color w:val="0000FF"/>
          <w:sz w:val="28"/>
          <w:szCs w:val="28"/>
          <w:rtl/>
        </w:rPr>
        <w:t>–</w:t>
      </w:r>
      <w:r w:rsidRPr="00923B1A">
        <w:rPr>
          <w:rFonts w:hint="cs"/>
          <w:color w:val="0000FF"/>
          <w:sz w:val="28"/>
          <w:szCs w:val="28"/>
          <w:rtl/>
        </w:rPr>
        <w:t xml:space="preserve"> ص 509</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799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p>
  </w:footnote>
  <w:footnote w:id="29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28 يناير سنة </w:t>
      </w:r>
      <w:smartTag w:uri="urn:schemas-microsoft-com:office:smarttags" w:element="metricconverter">
        <w:smartTagPr>
          <w:attr w:name="ProductID" w:val="1903 م"/>
        </w:smartTagPr>
        <w:r w:rsidRPr="00923B1A">
          <w:rPr>
            <w:rFonts w:hint="cs"/>
            <w:color w:val="0000FF"/>
            <w:sz w:val="28"/>
            <w:szCs w:val="28"/>
            <w:rtl/>
          </w:rPr>
          <w:t>1903 م</w:t>
        </w:r>
      </w:smartTag>
      <w:r w:rsidRPr="00923B1A">
        <w:rPr>
          <w:rFonts w:hint="cs"/>
          <w:color w:val="0000FF"/>
          <w:sz w:val="28"/>
          <w:szCs w:val="28"/>
          <w:rtl/>
        </w:rPr>
        <w:t xml:space="preserve"> 15 ص 106 </w:t>
      </w:r>
      <w:r w:rsidRPr="00923B1A">
        <w:rPr>
          <w:color w:val="0000FF"/>
          <w:sz w:val="28"/>
          <w:szCs w:val="28"/>
          <w:rtl/>
        </w:rPr>
        <w:t>–</w:t>
      </w:r>
      <w:r w:rsidRPr="00923B1A">
        <w:rPr>
          <w:rFonts w:hint="cs"/>
          <w:color w:val="0000FF"/>
          <w:sz w:val="28"/>
          <w:szCs w:val="28"/>
          <w:rtl/>
        </w:rPr>
        <w:t xml:space="preserve"> 30 ديسمبر سنة </w:t>
      </w:r>
      <w:smartTag w:uri="urn:schemas-microsoft-com:office:smarttags" w:element="metricconverter">
        <w:smartTagPr>
          <w:attr w:name="ProductID" w:val="1908 م"/>
        </w:smartTagPr>
        <w:r w:rsidRPr="00923B1A">
          <w:rPr>
            <w:rFonts w:hint="cs"/>
            <w:color w:val="0000FF"/>
            <w:sz w:val="28"/>
            <w:szCs w:val="28"/>
            <w:rtl/>
          </w:rPr>
          <w:t>1908 م</w:t>
        </w:r>
      </w:smartTag>
      <w:r w:rsidRPr="00923B1A">
        <w:rPr>
          <w:rFonts w:hint="cs"/>
          <w:color w:val="0000FF"/>
          <w:sz w:val="28"/>
          <w:szCs w:val="28"/>
          <w:rtl/>
        </w:rPr>
        <w:t xml:space="preserve"> 21 ض 104</w:t>
      </w:r>
      <w:r>
        <w:rPr>
          <w:rFonts w:hint="cs"/>
          <w:color w:val="0000FF"/>
          <w:sz w:val="28"/>
          <w:szCs w:val="28"/>
          <w:rtl/>
        </w:rPr>
        <w:t xml:space="preserve"> .</w:t>
      </w:r>
    </w:p>
  </w:footnote>
  <w:footnote w:id="29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1535 ص 986 </w:t>
      </w:r>
      <w:r w:rsidRPr="00923B1A">
        <w:rPr>
          <w:color w:val="0000FF"/>
          <w:sz w:val="28"/>
          <w:szCs w:val="28"/>
          <w:rtl/>
        </w:rPr>
        <w:t>–</w:t>
      </w:r>
      <w:r w:rsidRPr="00923B1A">
        <w:rPr>
          <w:rFonts w:hint="cs"/>
          <w:color w:val="0000FF"/>
          <w:sz w:val="28"/>
          <w:szCs w:val="28"/>
          <w:rtl/>
        </w:rPr>
        <w:t xml:space="preserve"> السين 21 مارس سنة 1916 سيريه 1917 </w:t>
      </w:r>
      <w:r w:rsidRPr="00923B1A">
        <w:rPr>
          <w:color w:val="0000FF"/>
          <w:sz w:val="28"/>
          <w:szCs w:val="28"/>
          <w:rtl/>
        </w:rPr>
        <w:t>–</w:t>
      </w:r>
      <w:r w:rsidRPr="00923B1A">
        <w:rPr>
          <w:rFonts w:hint="cs"/>
          <w:color w:val="0000FF"/>
          <w:sz w:val="28"/>
          <w:szCs w:val="28"/>
          <w:rtl/>
        </w:rPr>
        <w:t xml:space="preserve"> 2 </w:t>
      </w:r>
      <w:r w:rsidRPr="00923B1A">
        <w:rPr>
          <w:color w:val="0000FF"/>
          <w:sz w:val="28"/>
          <w:szCs w:val="28"/>
          <w:rtl/>
        </w:rPr>
        <w:t>–</w:t>
      </w:r>
      <w:r w:rsidRPr="00923B1A">
        <w:rPr>
          <w:rFonts w:hint="cs"/>
          <w:color w:val="0000FF"/>
          <w:sz w:val="28"/>
          <w:szCs w:val="28"/>
          <w:rtl/>
        </w:rPr>
        <w:t xml:space="preserve"> 93</w:t>
      </w:r>
      <w:r>
        <w:rPr>
          <w:rFonts w:hint="cs"/>
          <w:color w:val="0000FF"/>
          <w:sz w:val="28"/>
          <w:szCs w:val="28"/>
          <w:rtl/>
        </w:rPr>
        <w:t xml:space="preserve"> .</w:t>
      </w:r>
    </w:p>
  </w:footnote>
  <w:footnote w:id="29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بأن المراد من عبارة إيقاف المطالبة الحاصلة للكفيل الواردة ذكرها في المادة 502 من القانون المدني </w:t>
      </w:r>
      <w:r>
        <w:rPr>
          <w:rFonts w:hint="cs"/>
          <w:color w:val="0000FF"/>
          <w:sz w:val="28"/>
          <w:szCs w:val="28"/>
          <w:rtl/>
        </w:rPr>
        <w:t xml:space="preserve">( </w:t>
      </w:r>
      <w:r w:rsidRPr="00923B1A">
        <w:rPr>
          <w:rFonts w:hint="cs"/>
          <w:color w:val="0000FF"/>
          <w:sz w:val="28"/>
          <w:szCs w:val="28"/>
          <w:rtl/>
        </w:rPr>
        <w:t>القديم</w:t>
      </w:r>
      <w:r>
        <w:rPr>
          <w:rFonts w:hint="cs"/>
          <w:color w:val="0000FF"/>
          <w:sz w:val="28"/>
          <w:szCs w:val="28"/>
          <w:rtl/>
        </w:rPr>
        <w:t xml:space="preserve"> )</w:t>
      </w:r>
      <w:r w:rsidRPr="00923B1A">
        <w:rPr>
          <w:rFonts w:hint="cs"/>
          <w:color w:val="0000FF"/>
          <w:sz w:val="28"/>
          <w:szCs w:val="28"/>
          <w:rtl/>
        </w:rPr>
        <w:t xml:space="preserve"> هو الكف عن متابعة السير في إجراءات التنفيذ مع عدم الإخلال بالإجراءات التحفظية</w:t>
      </w:r>
      <w:r>
        <w:rPr>
          <w:rFonts w:hint="cs"/>
          <w:color w:val="0000FF"/>
          <w:sz w:val="28"/>
          <w:szCs w:val="28"/>
          <w:rtl/>
        </w:rPr>
        <w:t xml:space="preserve"> ،</w:t>
      </w:r>
      <w:r w:rsidRPr="00923B1A">
        <w:rPr>
          <w:rFonts w:hint="cs"/>
          <w:color w:val="0000FF"/>
          <w:sz w:val="28"/>
          <w:szCs w:val="28"/>
          <w:rtl/>
        </w:rPr>
        <w:t xml:space="preserve"> ولا يتعارض مع هذا الحكم قضاء المحكمة بإلغاء تنبيه نزع الملكية المعلن إلى الكفيل ومحو ما يترتب عليه م</w:t>
      </w:r>
      <w:r>
        <w:rPr>
          <w:rFonts w:hint="cs"/>
          <w:color w:val="0000FF"/>
          <w:sz w:val="28"/>
          <w:szCs w:val="28"/>
          <w:rtl/>
        </w:rPr>
        <w:t>ن</w:t>
      </w:r>
      <w:r w:rsidRPr="00923B1A">
        <w:rPr>
          <w:rFonts w:hint="cs"/>
          <w:color w:val="0000FF"/>
          <w:sz w:val="28"/>
          <w:szCs w:val="28"/>
          <w:rtl/>
        </w:rPr>
        <w:t xml:space="preserve"> التسجيلات </w:t>
      </w:r>
      <w:r>
        <w:rPr>
          <w:rFonts w:hint="cs"/>
          <w:color w:val="0000FF"/>
          <w:sz w:val="28"/>
          <w:szCs w:val="28"/>
          <w:rtl/>
        </w:rPr>
        <w:t xml:space="preserve">( </w:t>
      </w:r>
      <w:r w:rsidRPr="00923B1A">
        <w:rPr>
          <w:rFonts w:hint="cs"/>
          <w:color w:val="0000FF"/>
          <w:sz w:val="28"/>
          <w:szCs w:val="28"/>
          <w:rtl/>
        </w:rPr>
        <w:t>نقض مدني 21 يناير سنة 1937 مجموعة عمر 2 رقم 31 ص 76</w:t>
      </w:r>
      <w:r>
        <w:rPr>
          <w:rFonts w:hint="cs"/>
          <w:color w:val="0000FF"/>
          <w:sz w:val="28"/>
          <w:szCs w:val="28"/>
          <w:rtl/>
        </w:rPr>
        <w:t xml:space="preserve"> .</w:t>
      </w:r>
    </w:p>
  </w:footnote>
  <w:footnote w:id="29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46 ص 90</w:t>
      </w:r>
      <w:r>
        <w:rPr>
          <w:rFonts w:hint="cs"/>
          <w:color w:val="0000FF"/>
          <w:sz w:val="28"/>
          <w:szCs w:val="28"/>
          <w:rtl/>
        </w:rPr>
        <w:t xml:space="preserve"> .</w:t>
      </w:r>
    </w:p>
  </w:footnote>
  <w:footnote w:id="29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1535 ص 986</w:t>
      </w:r>
      <w:r>
        <w:rPr>
          <w:rFonts w:hint="cs"/>
          <w:color w:val="0000FF"/>
          <w:sz w:val="28"/>
          <w:szCs w:val="28"/>
          <w:rtl/>
        </w:rPr>
        <w:t xml:space="preserve"> .</w:t>
      </w:r>
    </w:p>
  </w:footnote>
  <w:footnote w:id="29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نوقشت هذه المسألة في لجنة مجلس الشيوخ</w:t>
      </w:r>
      <w:r>
        <w:rPr>
          <w:rFonts w:hint="cs"/>
          <w:color w:val="0000FF"/>
          <w:sz w:val="28"/>
          <w:szCs w:val="28"/>
          <w:rtl/>
        </w:rPr>
        <w:t xml:space="preserve"> ،</w:t>
      </w:r>
      <w:r w:rsidRPr="00923B1A">
        <w:rPr>
          <w:rFonts w:hint="cs"/>
          <w:color w:val="0000FF"/>
          <w:sz w:val="28"/>
          <w:szCs w:val="28"/>
          <w:rtl/>
        </w:rPr>
        <w:t xml:space="preserve"> إذ قال رئيس اللجنة</w:t>
      </w:r>
      <w:r>
        <w:rPr>
          <w:rFonts w:hint="cs"/>
          <w:color w:val="0000FF"/>
          <w:sz w:val="28"/>
          <w:szCs w:val="28"/>
          <w:rtl/>
        </w:rPr>
        <w:t xml:space="preserve"> :</w:t>
      </w:r>
      <w:r w:rsidRPr="00923B1A">
        <w:rPr>
          <w:rFonts w:hint="cs"/>
          <w:color w:val="0000FF"/>
          <w:sz w:val="28"/>
          <w:szCs w:val="28"/>
          <w:rtl/>
        </w:rPr>
        <w:t xml:space="preserve"> "إنه ليس من العدل أن نحرم على الدائن التنفيذ على أموال الكفل إذا وجد أن المدين يعمل على تهريب أمواله</w:t>
      </w:r>
      <w:r>
        <w:rPr>
          <w:rFonts w:hint="cs"/>
          <w:color w:val="0000FF"/>
          <w:sz w:val="28"/>
          <w:szCs w:val="28"/>
          <w:rtl/>
        </w:rPr>
        <w:t xml:space="preserve"> ،</w:t>
      </w:r>
      <w:r w:rsidRPr="00923B1A">
        <w:rPr>
          <w:rFonts w:hint="cs"/>
          <w:color w:val="0000FF"/>
          <w:sz w:val="28"/>
          <w:szCs w:val="28"/>
          <w:rtl/>
        </w:rPr>
        <w:t xml:space="preserve"> إذ يجب أن يكون له في مثل هذه الحالة أن ينفذ على أموال الكفيل</w:t>
      </w:r>
      <w:r>
        <w:rPr>
          <w:rFonts w:hint="cs"/>
          <w:color w:val="0000FF"/>
          <w:sz w:val="28"/>
          <w:szCs w:val="28"/>
          <w:rtl/>
        </w:rPr>
        <w:t xml:space="preserve"> ،</w:t>
      </w:r>
      <w:r w:rsidRPr="00923B1A">
        <w:rPr>
          <w:rFonts w:hint="cs"/>
          <w:color w:val="0000FF"/>
          <w:sz w:val="28"/>
          <w:szCs w:val="28"/>
          <w:rtl/>
        </w:rPr>
        <w:t xml:space="preserve"> على أنه يقف في التنفيذ عند حد الحجز</w:t>
      </w:r>
      <w:r>
        <w:rPr>
          <w:rFonts w:hint="cs"/>
          <w:color w:val="0000FF"/>
          <w:sz w:val="28"/>
          <w:szCs w:val="28"/>
          <w:rtl/>
        </w:rPr>
        <w:t xml:space="preserve"> ، .</w:t>
      </w:r>
      <w:r w:rsidRPr="00923B1A">
        <w:rPr>
          <w:rFonts w:hint="cs"/>
          <w:color w:val="0000FF"/>
          <w:sz w:val="28"/>
          <w:szCs w:val="28"/>
          <w:rtl/>
        </w:rPr>
        <w:t xml:space="preserve"> فأجيب "بأن للدائن في مثل هذه الحالة أن يلجأ إلى الحجز مثلا كإجراء تحفظي</w:t>
      </w:r>
      <w:r>
        <w:rPr>
          <w:rFonts w:hint="cs"/>
          <w:color w:val="0000FF"/>
          <w:sz w:val="28"/>
          <w:szCs w:val="28"/>
          <w:rtl/>
        </w:rPr>
        <w:t xml:space="preserve"> .</w:t>
      </w:r>
      <w:r w:rsidRPr="00923B1A">
        <w:rPr>
          <w:rFonts w:hint="cs"/>
          <w:color w:val="0000FF"/>
          <w:sz w:val="28"/>
          <w:szCs w:val="28"/>
          <w:rtl/>
        </w:rPr>
        <w:t xml:space="preserve"> وليكن معلوما أنه لا يجوز له بيع أموال الكفيل أو نزع ملك</w:t>
      </w:r>
      <w:r>
        <w:rPr>
          <w:rFonts w:hint="cs"/>
          <w:color w:val="0000FF"/>
          <w:sz w:val="28"/>
          <w:szCs w:val="28"/>
          <w:rtl/>
        </w:rPr>
        <w:t>ي</w:t>
      </w:r>
      <w:r w:rsidRPr="00923B1A">
        <w:rPr>
          <w:rFonts w:hint="cs"/>
          <w:color w:val="0000FF"/>
          <w:sz w:val="28"/>
          <w:szCs w:val="28"/>
          <w:rtl/>
        </w:rPr>
        <w:t>تها</w:t>
      </w:r>
      <w:r>
        <w:rPr>
          <w:rFonts w:hint="cs"/>
          <w:color w:val="0000FF"/>
          <w:sz w:val="28"/>
          <w:szCs w:val="28"/>
          <w:rtl/>
        </w:rPr>
        <w:t xml:space="preserve"> ،</w:t>
      </w:r>
      <w:r w:rsidRPr="00923B1A">
        <w:rPr>
          <w:rFonts w:hint="cs"/>
          <w:color w:val="0000FF"/>
          <w:sz w:val="28"/>
          <w:szCs w:val="28"/>
          <w:rtl/>
        </w:rPr>
        <w:t xml:space="preserve"> إلا بعد تجريد المدين من أمواله </w:t>
      </w:r>
      <w:r>
        <w:rPr>
          <w:rFonts w:hint="cs"/>
          <w:color w:val="0000FF"/>
          <w:sz w:val="28"/>
          <w:szCs w:val="28"/>
          <w:rtl/>
        </w:rPr>
        <w:t xml:space="preserve">( </w:t>
      </w:r>
      <w:r w:rsidRPr="00923B1A">
        <w:rPr>
          <w:rFonts w:hint="cs"/>
          <w:color w:val="0000FF"/>
          <w:sz w:val="28"/>
          <w:szCs w:val="28"/>
          <w:rtl/>
        </w:rPr>
        <w:t>مجموعة الأعمال التحضيرية 5 ص 498</w:t>
      </w:r>
      <w:r>
        <w:rPr>
          <w:rFonts w:hint="cs"/>
          <w:color w:val="0000FF"/>
          <w:sz w:val="28"/>
          <w:szCs w:val="28"/>
          <w:rtl/>
        </w:rPr>
        <w:t xml:space="preserve"> ) .</w:t>
      </w:r>
    </w:p>
  </w:footnote>
  <w:footnote w:id="29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30 ديسمبر سنة </w:t>
      </w:r>
      <w:smartTag w:uri="urn:schemas-microsoft-com:office:smarttags" w:element="metricconverter">
        <w:smartTagPr>
          <w:attr w:name="ProductID" w:val="1908 م"/>
        </w:smartTagPr>
        <w:r w:rsidRPr="00923B1A">
          <w:rPr>
            <w:rFonts w:hint="cs"/>
            <w:color w:val="0000FF"/>
            <w:sz w:val="28"/>
            <w:szCs w:val="28"/>
            <w:rtl/>
          </w:rPr>
          <w:t>1908 م</w:t>
        </w:r>
      </w:smartTag>
      <w:r w:rsidRPr="00923B1A">
        <w:rPr>
          <w:rFonts w:hint="cs"/>
          <w:color w:val="0000FF"/>
          <w:sz w:val="28"/>
          <w:szCs w:val="28"/>
          <w:rtl/>
        </w:rPr>
        <w:t xml:space="preserve"> 21 ص 104 محمد كامل مرسي فقرة 87 ص 122 </w:t>
      </w:r>
      <w:r w:rsidRPr="00923B1A">
        <w:rPr>
          <w:color w:val="0000FF"/>
          <w:sz w:val="28"/>
          <w:szCs w:val="28"/>
          <w:rtl/>
        </w:rPr>
        <w:t>–</w:t>
      </w:r>
      <w:r w:rsidRPr="00923B1A">
        <w:rPr>
          <w:rFonts w:hint="cs"/>
          <w:color w:val="0000FF"/>
          <w:sz w:val="28"/>
          <w:szCs w:val="28"/>
          <w:rtl/>
        </w:rPr>
        <w:t xml:space="preserve"> محمد علي إمام فقرة 65 ص 106 </w:t>
      </w:r>
      <w:r w:rsidRPr="00923B1A">
        <w:rPr>
          <w:color w:val="0000FF"/>
          <w:sz w:val="28"/>
          <w:szCs w:val="28"/>
          <w:rtl/>
        </w:rPr>
        <w:t>–</w:t>
      </w:r>
      <w:r w:rsidRPr="00923B1A">
        <w:rPr>
          <w:rFonts w:hint="cs"/>
          <w:color w:val="0000FF"/>
          <w:sz w:val="28"/>
          <w:szCs w:val="28"/>
          <w:rtl/>
        </w:rPr>
        <w:t xml:space="preserve"> ص 107 سليمان مرقس فقرة 82 ص 90 </w:t>
      </w:r>
      <w:r w:rsidRPr="00923B1A">
        <w:rPr>
          <w:color w:val="0000FF"/>
          <w:sz w:val="28"/>
          <w:szCs w:val="28"/>
          <w:rtl/>
        </w:rPr>
        <w:t>–</w:t>
      </w:r>
      <w:r w:rsidRPr="00923B1A">
        <w:rPr>
          <w:rFonts w:hint="cs"/>
          <w:color w:val="0000FF"/>
          <w:sz w:val="28"/>
          <w:szCs w:val="28"/>
          <w:rtl/>
        </w:rPr>
        <w:t xml:space="preserve"> ص 91 </w:t>
      </w:r>
      <w:r w:rsidRPr="00923B1A">
        <w:rPr>
          <w:color w:val="0000FF"/>
          <w:sz w:val="28"/>
          <w:szCs w:val="28"/>
          <w:rtl/>
        </w:rPr>
        <w:t>–</w:t>
      </w:r>
      <w:r w:rsidRPr="00923B1A">
        <w:rPr>
          <w:rFonts w:hint="cs"/>
          <w:color w:val="0000FF"/>
          <w:sz w:val="28"/>
          <w:szCs w:val="28"/>
          <w:rtl/>
        </w:rPr>
        <w:t xml:space="preserve"> منصور مصطفى منصور فقرة 246 ص 90 </w:t>
      </w:r>
      <w:r w:rsidRPr="00923B1A">
        <w:rPr>
          <w:color w:val="0000FF"/>
          <w:sz w:val="28"/>
          <w:szCs w:val="28"/>
          <w:rtl/>
        </w:rPr>
        <w:t>–</w:t>
      </w:r>
      <w:r w:rsidRPr="00923B1A">
        <w:rPr>
          <w:rFonts w:hint="cs"/>
          <w:color w:val="0000FF"/>
          <w:sz w:val="28"/>
          <w:szCs w:val="28"/>
          <w:rtl/>
        </w:rPr>
        <w:t xml:space="preserve"> ص 91</w:t>
      </w:r>
      <w:r>
        <w:rPr>
          <w:rFonts w:hint="cs"/>
          <w:color w:val="0000FF"/>
          <w:sz w:val="28"/>
          <w:szCs w:val="28"/>
          <w:rtl/>
        </w:rPr>
        <w:t xml:space="preserve"> .</w:t>
      </w:r>
    </w:p>
  </w:footnote>
  <w:footnote w:id="30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143 </w:t>
      </w:r>
      <w:r w:rsidRPr="00923B1A">
        <w:rPr>
          <w:color w:val="0000FF"/>
          <w:sz w:val="28"/>
          <w:szCs w:val="28"/>
          <w:rtl/>
        </w:rPr>
        <w:t>–</w:t>
      </w:r>
      <w:r w:rsidRPr="00923B1A">
        <w:rPr>
          <w:rFonts w:hint="cs"/>
          <w:color w:val="0000FF"/>
          <w:sz w:val="28"/>
          <w:szCs w:val="28"/>
          <w:rtl/>
        </w:rPr>
        <w:t xml:space="preserve"> بودري وفال فقرة 1039 ص 553</w:t>
      </w:r>
      <w:r>
        <w:rPr>
          <w:rFonts w:hint="cs"/>
          <w:color w:val="0000FF"/>
          <w:sz w:val="28"/>
          <w:szCs w:val="28"/>
          <w:rtl/>
        </w:rPr>
        <w:t xml:space="preserve"> .</w:t>
      </w:r>
    </w:p>
  </w:footnote>
  <w:footnote w:id="30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508</w:t>
      </w:r>
      <w:r>
        <w:rPr>
          <w:rFonts w:hint="cs"/>
          <w:color w:val="0000FF"/>
          <w:sz w:val="28"/>
          <w:szCs w:val="28"/>
          <w:rtl/>
        </w:rPr>
        <w:t xml:space="preserve"> .</w:t>
      </w:r>
    </w:p>
  </w:footnote>
  <w:footnote w:id="30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60 ص 91</w:t>
      </w:r>
      <w:r>
        <w:rPr>
          <w:rFonts w:hint="cs"/>
          <w:color w:val="0000FF"/>
          <w:sz w:val="28"/>
          <w:szCs w:val="28"/>
          <w:rtl/>
        </w:rPr>
        <w:t xml:space="preserve"> .</w:t>
      </w:r>
    </w:p>
  </w:footnote>
  <w:footnote w:id="30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ثرولون فقرة 245 </w:t>
      </w:r>
      <w:r w:rsidRPr="00923B1A">
        <w:rPr>
          <w:color w:val="0000FF"/>
          <w:sz w:val="28"/>
          <w:szCs w:val="28"/>
          <w:rtl/>
        </w:rPr>
        <w:t>–</w:t>
      </w:r>
      <w:r w:rsidRPr="00923B1A">
        <w:rPr>
          <w:rFonts w:hint="cs"/>
          <w:color w:val="0000FF"/>
          <w:sz w:val="28"/>
          <w:szCs w:val="28"/>
          <w:rtl/>
        </w:rPr>
        <w:t xml:space="preserve"> جيوار فقرة 144 </w:t>
      </w:r>
      <w:r w:rsidRPr="00923B1A">
        <w:rPr>
          <w:color w:val="0000FF"/>
          <w:sz w:val="28"/>
          <w:szCs w:val="28"/>
          <w:rtl/>
        </w:rPr>
        <w:t>–</w:t>
      </w:r>
      <w:r w:rsidRPr="00923B1A">
        <w:rPr>
          <w:rFonts w:hint="cs"/>
          <w:color w:val="0000FF"/>
          <w:sz w:val="28"/>
          <w:szCs w:val="28"/>
          <w:rtl/>
        </w:rPr>
        <w:t xml:space="preserve"> بودر وفال فقرة 1040 </w:t>
      </w:r>
      <w:r w:rsidRPr="00923B1A">
        <w:rPr>
          <w:color w:val="0000FF"/>
          <w:sz w:val="28"/>
          <w:szCs w:val="28"/>
          <w:rtl/>
        </w:rPr>
        <w:t>–</w:t>
      </w:r>
      <w:r w:rsidRPr="00923B1A">
        <w:rPr>
          <w:rFonts w:hint="cs"/>
          <w:color w:val="0000FF"/>
          <w:sz w:val="28"/>
          <w:szCs w:val="28"/>
          <w:rtl/>
        </w:rPr>
        <w:t xml:space="preserve"> وفي القانون الفرنسي</w:t>
      </w:r>
      <w:r>
        <w:rPr>
          <w:rFonts w:hint="cs"/>
          <w:color w:val="0000FF"/>
          <w:sz w:val="28"/>
          <w:szCs w:val="28"/>
          <w:rtl/>
        </w:rPr>
        <w:t xml:space="preserve"> ،</w:t>
      </w:r>
      <w:r w:rsidRPr="00923B1A">
        <w:rPr>
          <w:rFonts w:hint="cs"/>
          <w:color w:val="0000FF"/>
          <w:sz w:val="28"/>
          <w:szCs w:val="28"/>
          <w:rtl/>
        </w:rPr>
        <w:t xml:space="preserve"> حيث لا يكون واجبا أن تكون أموال المدين التي دل عليها الكفل تفي بالدين كله</w:t>
      </w:r>
      <w:r>
        <w:rPr>
          <w:rFonts w:hint="cs"/>
          <w:color w:val="0000FF"/>
          <w:sz w:val="28"/>
          <w:szCs w:val="28"/>
          <w:rtl/>
        </w:rPr>
        <w:t xml:space="preserve"> ،</w:t>
      </w:r>
      <w:r w:rsidRPr="00923B1A">
        <w:rPr>
          <w:rFonts w:hint="cs"/>
          <w:color w:val="0000FF"/>
          <w:sz w:val="28"/>
          <w:szCs w:val="28"/>
          <w:rtl/>
        </w:rPr>
        <w:t xml:space="preserve"> إذا دل الكفيل على أموال للمدين تفي ببعض الدين بقي مسئولا عن الباقي </w:t>
      </w:r>
      <w:r>
        <w:rPr>
          <w:rFonts w:hint="cs"/>
          <w:color w:val="0000FF"/>
          <w:sz w:val="28"/>
          <w:szCs w:val="28"/>
          <w:rtl/>
        </w:rPr>
        <w:t xml:space="preserve">( </w:t>
      </w:r>
      <w:r w:rsidRPr="00923B1A">
        <w:rPr>
          <w:rFonts w:hint="cs"/>
          <w:color w:val="0000FF"/>
          <w:sz w:val="28"/>
          <w:szCs w:val="28"/>
          <w:rtl/>
        </w:rPr>
        <w:t>بلانيول وريبير وسافاتييه فقرة 1535 ص 986</w:t>
      </w:r>
      <w:r>
        <w:rPr>
          <w:rFonts w:hint="cs"/>
          <w:color w:val="0000FF"/>
          <w:sz w:val="28"/>
          <w:szCs w:val="28"/>
          <w:rtl/>
        </w:rPr>
        <w:t xml:space="preserve"> ) .</w:t>
      </w:r>
    </w:p>
  </w:footnote>
  <w:footnote w:id="30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1147 من المشروع التمهيدي على التوجه الآتي</w:t>
      </w:r>
      <w:r>
        <w:rPr>
          <w:rFonts w:hint="cs"/>
          <w:color w:val="0000FF"/>
          <w:sz w:val="28"/>
          <w:szCs w:val="28"/>
          <w:rtl/>
        </w:rPr>
        <w:t xml:space="preserve"> :</w:t>
      </w:r>
      <w:r w:rsidRPr="00923B1A">
        <w:rPr>
          <w:rFonts w:hint="cs"/>
          <w:color w:val="0000FF"/>
          <w:sz w:val="28"/>
          <w:szCs w:val="28"/>
          <w:rtl/>
        </w:rPr>
        <w:t xml:space="preserve"> "إذا قدمت الكفالة الشخصية تكميلاً لتأمين عيني خصص قانونا أو اتفاقا لضمان الدين</w:t>
      </w:r>
      <w:r>
        <w:rPr>
          <w:rFonts w:hint="cs"/>
          <w:color w:val="0000FF"/>
          <w:sz w:val="28"/>
          <w:szCs w:val="28"/>
          <w:rtl/>
        </w:rPr>
        <w:t xml:space="preserve"> ،</w:t>
      </w:r>
      <w:r w:rsidRPr="00923B1A">
        <w:rPr>
          <w:rFonts w:hint="cs"/>
          <w:color w:val="0000FF"/>
          <w:sz w:val="28"/>
          <w:szCs w:val="28"/>
          <w:rtl/>
        </w:rPr>
        <w:t xml:space="preserve"> ولم يكن الكفيل متضامنا مع المدين</w:t>
      </w:r>
      <w:r>
        <w:rPr>
          <w:rFonts w:hint="cs"/>
          <w:color w:val="0000FF"/>
          <w:sz w:val="28"/>
          <w:szCs w:val="28"/>
          <w:rtl/>
        </w:rPr>
        <w:t xml:space="preserve"> ،</w:t>
      </w:r>
      <w:r w:rsidRPr="00923B1A">
        <w:rPr>
          <w:rFonts w:hint="cs"/>
          <w:color w:val="0000FF"/>
          <w:sz w:val="28"/>
          <w:szCs w:val="28"/>
          <w:rtl/>
        </w:rPr>
        <w:t xml:space="preserve"> فإن هذه الكفالة لا تلزم الكفيل إلا إذا كان التأمين العيني لم يوف بالدين</w:t>
      </w:r>
      <w:r>
        <w:rPr>
          <w:rFonts w:hint="cs"/>
          <w:color w:val="0000FF"/>
          <w:sz w:val="28"/>
          <w:szCs w:val="28"/>
          <w:rtl/>
        </w:rPr>
        <w:t xml:space="preserve"> ،</w:t>
      </w:r>
      <w:r w:rsidRPr="00923B1A">
        <w:rPr>
          <w:rFonts w:hint="cs"/>
          <w:color w:val="0000FF"/>
          <w:sz w:val="28"/>
          <w:szCs w:val="28"/>
          <w:rtl/>
        </w:rPr>
        <w:t xml:space="preserve"> وبقد ر ما يتبقى من هذا الدين"</w:t>
      </w:r>
      <w:r>
        <w:rPr>
          <w:rFonts w:hint="cs"/>
          <w:color w:val="0000FF"/>
          <w:sz w:val="28"/>
          <w:szCs w:val="28"/>
          <w:rtl/>
        </w:rPr>
        <w:t xml:space="preserve"> .</w:t>
      </w:r>
      <w:r w:rsidRPr="00923B1A">
        <w:rPr>
          <w:rFonts w:hint="cs"/>
          <w:color w:val="0000FF"/>
          <w:sz w:val="28"/>
          <w:szCs w:val="28"/>
          <w:rtl/>
        </w:rPr>
        <w:t xml:space="preserve"> وفي لجنة المراجعة استبدلت عبارة "بعد هذا التأمين أو معه" بعبارة "تكميلا للدين"</w:t>
      </w:r>
      <w:r>
        <w:rPr>
          <w:rFonts w:hint="cs"/>
          <w:color w:val="0000FF"/>
          <w:sz w:val="28"/>
          <w:szCs w:val="28"/>
          <w:rtl/>
        </w:rPr>
        <w:t xml:space="preserve"> ،</w:t>
      </w:r>
      <w:r w:rsidRPr="00923B1A">
        <w:rPr>
          <w:rFonts w:hint="cs"/>
          <w:color w:val="0000FF"/>
          <w:sz w:val="28"/>
          <w:szCs w:val="28"/>
          <w:rtl/>
        </w:rPr>
        <w:t xml:space="preserve"> إيضاحاً للمعنى المقصود</w:t>
      </w:r>
      <w:r>
        <w:rPr>
          <w:rFonts w:hint="cs"/>
          <w:color w:val="0000FF"/>
          <w:sz w:val="28"/>
          <w:szCs w:val="28"/>
          <w:rtl/>
        </w:rPr>
        <w:t xml:space="preserve"> .</w:t>
      </w:r>
      <w:r w:rsidRPr="00923B1A">
        <w:rPr>
          <w:rFonts w:hint="cs"/>
          <w:color w:val="0000FF"/>
          <w:sz w:val="28"/>
          <w:szCs w:val="28"/>
          <w:rtl/>
        </w:rPr>
        <w:t xml:space="preserve"> واستبدلت عبارة "فلا يجوز التنفيذ على أموال الكفيل إلا بعد التنفيذ على الأموال التي خصصت لهذا التأمين" بعبارة "فإن هذه الكفالة لا تلزم الكفيل إلا إذ كان التأمين العيني لم يوف بالدين</w:t>
      </w:r>
      <w:r>
        <w:rPr>
          <w:rFonts w:hint="cs"/>
          <w:color w:val="0000FF"/>
          <w:sz w:val="28"/>
          <w:szCs w:val="28"/>
          <w:rtl/>
        </w:rPr>
        <w:t xml:space="preserve"> ،</w:t>
      </w:r>
      <w:r w:rsidRPr="00923B1A">
        <w:rPr>
          <w:rFonts w:hint="cs"/>
          <w:color w:val="0000FF"/>
          <w:sz w:val="28"/>
          <w:szCs w:val="28"/>
          <w:rtl/>
        </w:rPr>
        <w:t xml:space="preserve"> وبقدر ما يتبقى من هذا الدين" وهي العبارة الواردة في آخر المادة 2 حتى يبرز الحكم بوضوح</w:t>
      </w:r>
      <w:r>
        <w:rPr>
          <w:rFonts w:hint="cs"/>
          <w:color w:val="0000FF"/>
          <w:sz w:val="28"/>
          <w:szCs w:val="28"/>
          <w:rtl/>
        </w:rPr>
        <w:t xml:space="preserve"> .</w:t>
      </w:r>
      <w:r w:rsidRPr="00923B1A">
        <w:rPr>
          <w:rFonts w:hint="cs"/>
          <w:color w:val="0000FF"/>
          <w:sz w:val="28"/>
          <w:szCs w:val="28"/>
          <w:rtl/>
        </w:rPr>
        <w:t xml:space="preserve"> فصارت المادة بذلك مطابقة لما استقرت عليه في التقنين المدني الجديد</w:t>
      </w:r>
      <w:r>
        <w:rPr>
          <w:rFonts w:hint="cs"/>
          <w:color w:val="0000FF"/>
          <w:sz w:val="28"/>
          <w:szCs w:val="28"/>
          <w:rtl/>
        </w:rPr>
        <w:t xml:space="preserve"> ،</w:t>
      </w:r>
      <w:r w:rsidRPr="00923B1A">
        <w:rPr>
          <w:rFonts w:hint="cs"/>
          <w:color w:val="0000FF"/>
          <w:sz w:val="28"/>
          <w:szCs w:val="28"/>
          <w:rtl/>
        </w:rPr>
        <w:t xml:space="preserve"> وأصبح رقمها 859 في المشروع النهائي</w:t>
      </w:r>
      <w:r>
        <w:rPr>
          <w:rFonts w:hint="cs"/>
          <w:color w:val="0000FF"/>
          <w:sz w:val="28"/>
          <w:szCs w:val="28"/>
          <w:rtl/>
        </w:rPr>
        <w:t xml:space="preserve"> .</w:t>
      </w:r>
      <w:r w:rsidRPr="00923B1A">
        <w:rPr>
          <w:rFonts w:hint="cs"/>
          <w:color w:val="0000FF"/>
          <w:sz w:val="28"/>
          <w:szCs w:val="28"/>
          <w:rtl/>
        </w:rPr>
        <w:t xml:space="preserve"> ووافق مجلس النواب على المادة تحت رقم 858</w:t>
      </w:r>
      <w:r>
        <w:rPr>
          <w:rFonts w:hint="cs"/>
          <w:color w:val="0000FF"/>
          <w:sz w:val="28"/>
          <w:szCs w:val="28"/>
          <w:rtl/>
        </w:rPr>
        <w:t xml:space="preserve"> ،</w:t>
      </w:r>
      <w:r w:rsidRPr="00923B1A">
        <w:rPr>
          <w:rFonts w:hint="cs"/>
          <w:color w:val="0000FF"/>
          <w:sz w:val="28"/>
          <w:szCs w:val="28"/>
          <w:rtl/>
        </w:rPr>
        <w:t xml:space="preserve"> ثم وافق عليها مجلس الشيوخ تحت رقم 791 </w:t>
      </w:r>
      <w:r>
        <w:rPr>
          <w:rFonts w:hint="cs"/>
          <w:color w:val="0000FF"/>
          <w:sz w:val="28"/>
          <w:szCs w:val="28"/>
          <w:rtl/>
        </w:rPr>
        <w:t xml:space="preserve">( </w:t>
      </w:r>
      <w:r w:rsidRPr="00923B1A">
        <w:rPr>
          <w:rFonts w:hint="cs"/>
          <w:color w:val="0000FF"/>
          <w:sz w:val="28"/>
          <w:szCs w:val="28"/>
          <w:rtl/>
        </w:rPr>
        <w:t xml:space="preserve">مجموعة الأعمال التحضيرية 5 ص 510 </w:t>
      </w:r>
      <w:r w:rsidRPr="00923B1A">
        <w:rPr>
          <w:color w:val="0000FF"/>
          <w:sz w:val="28"/>
          <w:szCs w:val="28"/>
          <w:rtl/>
        </w:rPr>
        <w:t>–</w:t>
      </w:r>
      <w:r w:rsidRPr="00923B1A">
        <w:rPr>
          <w:rFonts w:hint="cs"/>
          <w:color w:val="0000FF"/>
          <w:sz w:val="28"/>
          <w:szCs w:val="28"/>
          <w:rtl/>
        </w:rPr>
        <w:t xml:space="preserve"> ص 512</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وجاء في المذكرة الإيضاحية للمشروع التمهيدي في هذا الخصوص</w:t>
      </w:r>
      <w:r>
        <w:rPr>
          <w:rFonts w:hint="cs"/>
          <w:color w:val="0000FF"/>
          <w:sz w:val="28"/>
          <w:szCs w:val="28"/>
          <w:rtl/>
        </w:rPr>
        <w:t xml:space="preserve"> :</w:t>
      </w:r>
      <w:r w:rsidRPr="00923B1A">
        <w:rPr>
          <w:rFonts w:hint="cs"/>
          <w:color w:val="0000FF"/>
          <w:sz w:val="28"/>
          <w:szCs w:val="28"/>
          <w:rtl/>
        </w:rPr>
        <w:t xml:space="preserve"> "اقتبس المشروع المادة 1147 من المادة 495/2 من التقنين السويسري</w:t>
      </w:r>
      <w:r>
        <w:rPr>
          <w:rFonts w:hint="cs"/>
          <w:color w:val="0000FF"/>
          <w:sz w:val="28"/>
          <w:szCs w:val="28"/>
          <w:rtl/>
        </w:rPr>
        <w:t xml:space="preserve"> ،</w:t>
      </w:r>
      <w:r w:rsidRPr="00923B1A">
        <w:rPr>
          <w:rFonts w:hint="cs"/>
          <w:color w:val="0000FF"/>
          <w:sz w:val="28"/>
          <w:szCs w:val="28"/>
          <w:rtl/>
        </w:rPr>
        <w:t xml:space="preserve"> وقد جاء التقنين الألماني أيضاً بحكم مشابه لهذا النص في المادة 772/2</w:t>
      </w:r>
      <w:r>
        <w:rPr>
          <w:rFonts w:hint="cs"/>
          <w:color w:val="0000FF"/>
          <w:sz w:val="28"/>
          <w:szCs w:val="28"/>
          <w:rtl/>
        </w:rPr>
        <w:t xml:space="preserve"> .</w:t>
      </w:r>
      <w:r w:rsidRPr="00923B1A">
        <w:rPr>
          <w:rFonts w:hint="cs"/>
          <w:color w:val="0000FF"/>
          <w:sz w:val="28"/>
          <w:szCs w:val="28"/>
          <w:rtl/>
        </w:rPr>
        <w:t xml:space="preserve"> ويمتاز النص الذي أورده المشروع بدقة العبارة</w:t>
      </w:r>
      <w:r>
        <w:rPr>
          <w:rFonts w:hint="cs"/>
          <w:color w:val="0000FF"/>
          <w:sz w:val="28"/>
          <w:szCs w:val="28"/>
          <w:rtl/>
        </w:rPr>
        <w:t xml:space="preserve"> ،</w:t>
      </w:r>
      <w:r w:rsidRPr="00923B1A">
        <w:rPr>
          <w:rFonts w:hint="cs"/>
          <w:color w:val="0000FF"/>
          <w:sz w:val="28"/>
          <w:szCs w:val="28"/>
          <w:rtl/>
        </w:rPr>
        <w:t xml:space="preserve"> بحيث يستبعد أوجه النقد التي أثارها نص التقنينين الألماني والسويسري</w:t>
      </w:r>
      <w:r>
        <w:rPr>
          <w:rFonts w:hint="cs"/>
          <w:color w:val="0000FF"/>
          <w:sz w:val="28"/>
          <w:szCs w:val="28"/>
          <w:rtl/>
        </w:rPr>
        <w:t xml:space="preserve"> .</w:t>
      </w:r>
      <w:r w:rsidRPr="00923B1A">
        <w:rPr>
          <w:rFonts w:hint="cs"/>
          <w:color w:val="0000FF"/>
          <w:sz w:val="28"/>
          <w:szCs w:val="28"/>
          <w:rtl/>
        </w:rPr>
        <w:t xml:space="preserve"> فالحكم الوارد بالمادة عام يشمل كل تأمين عيني من منقول وعقار</w:t>
      </w:r>
      <w:r>
        <w:rPr>
          <w:rFonts w:hint="cs"/>
          <w:color w:val="0000FF"/>
          <w:sz w:val="28"/>
          <w:szCs w:val="28"/>
          <w:rtl/>
        </w:rPr>
        <w:t xml:space="preserve"> ،</w:t>
      </w:r>
      <w:r w:rsidRPr="00923B1A">
        <w:rPr>
          <w:rFonts w:hint="cs"/>
          <w:color w:val="0000FF"/>
          <w:sz w:val="28"/>
          <w:szCs w:val="28"/>
          <w:rtl/>
        </w:rPr>
        <w:t xml:space="preserve"> سواء كان هذا التأمين قد خصص لوفاء الدين المكفول وحده أو مع ديون أخرى" </w:t>
      </w:r>
      <w:r>
        <w:rPr>
          <w:rFonts w:hint="cs"/>
          <w:color w:val="0000FF"/>
          <w:sz w:val="28"/>
          <w:szCs w:val="28"/>
          <w:rtl/>
        </w:rPr>
        <w:t xml:space="preserve">( </w:t>
      </w:r>
      <w:r w:rsidRPr="00923B1A">
        <w:rPr>
          <w:rFonts w:hint="cs"/>
          <w:color w:val="0000FF"/>
          <w:sz w:val="28"/>
          <w:szCs w:val="28"/>
          <w:rtl/>
        </w:rPr>
        <w:t>مجموعة الأعمال التحضيرية 5 ص 511</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757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800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م 1023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1072 </w:t>
      </w:r>
      <w:r>
        <w:rPr>
          <w:rFonts w:hint="cs"/>
          <w:color w:val="0000FF"/>
          <w:sz w:val="28"/>
          <w:szCs w:val="28"/>
          <w:rtl/>
        </w:rPr>
        <w:t xml:space="preserve">( </w:t>
      </w:r>
      <w:r w:rsidRPr="00923B1A">
        <w:rPr>
          <w:rFonts w:hint="cs"/>
          <w:color w:val="0000FF"/>
          <w:sz w:val="28"/>
          <w:szCs w:val="28"/>
          <w:rtl/>
        </w:rPr>
        <w:t>العبارة الأخيرة</w:t>
      </w:r>
      <w:r>
        <w:rPr>
          <w:rFonts w:hint="cs"/>
          <w:color w:val="0000FF"/>
          <w:sz w:val="28"/>
          <w:szCs w:val="28"/>
          <w:rtl/>
        </w:rPr>
        <w:t xml:space="preserve"> ) :</w:t>
      </w:r>
      <w:r w:rsidRPr="00923B1A">
        <w:rPr>
          <w:rFonts w:hint="cs"/>
          <w:color w:val="0000FF"/>
          <w:sz w:val="28"/>
          <w:szCs w:val="28"/>
          <w:rtl/>
        </w:rPr>
        <w:t xml:space="preserve"> وإذا كان للدائن رهن أو حق في الحبس على بعض أموال المدين المنقول</w:t>
      </w:r>
      <w:r>
        <w:rPr>
          <w:rFonts w:hint="cs"/>
          <w:color w:val="0000FF"/>
          <w:sz w:val="28"/>
          <w:szCs w:val="28"/>
          <w:rtl/>
        </w:rPr>
        <w:t xml:space="preserve"> .</w:t>
      </w:r>
      <w:r w:rsidRPr="00923B1A">
        <w:rPr>
          <w:rFonts w:hint="cs"/>
          <w:color w:val="0000FF"/>
          <w:sz w:val="28"/>
          <w:szCs w:val="28"/>
          <w:rtl/>
        </w:rPr>
        <w:t xml:space="preserve"> وجب عليه استيفاء دينه منه</w:t>
      </w:r>
      <w:r>
        <w:rPr>
          <w:rFonts w:hint="cs"/>
          <w:color w:val="0000FF"/>
          <w:sz w:val="28"/>
          <w:szCs w:val="28"/>
          <w:rtl/>
        </w:rPr>
        <w:t xml:space="preserve"> ،</w:t>
      </w:r>
      <w:r w:rsidRPr="00923B1A">
        <w:rPr>
          <w:rFonts w:hint="cs"/>
          <w:color w:val="0000FF"/>
          <w:sz w:val="28"/>
          <w:szCs w:val="28"/>
          <w:rtl/>
        </w:rPr>
        <w:t xml:space="preserve"> إلا إذا كان هذا المال موضوعا لتأمين موجبات أخرى على المديون وكان غير كاف لإيفائها جميعا</w:t>
      </w:r>
      <w:r>
        <w:rPr>
          <w:rFonts w:hint="cs"/>
          <w:color w:val="0000FF"/>
          <w:sz w:val="28"/>
          <w:szCs w:val="28"/>
          <w:rtl/>
        </w:rPr>
        <w:t xml:space="preserve"> .</w:t>
      </w:r>
    </w:p>
  </w:footnote>
  <w:footnote w:id="30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98 ص 150 </w:t>
      </w:r>
      <w:r w:rsidRPr="00923B1A">
        <w:rPr>
          <w:color w:val="0000FF"/>
          <w:sz w:val="28"/>
          <w:szCs w:val="28"/>
          <w:rtl/>
        </w:rPr>
        <w:t>–</w:t>
      </w:r>
      <w:r w:rsidRPr="00923B1A">
        <w:rPr>
          <w:rFonts w:hint="cs"/>
          <w:color w:val="0000FF"/>
          <w:sz w:val="28"/>
          <w:szCs w:val="28"/>
          <w:rtl/>
        </w:rPr>
        <w:t xml:space="preserve"> محمد علي إمام فقرة 66 ص 109 </w:t>
      </w:r>
      <w:r w:rsidRPr="00923B1A">
        <w:rPr>
          <w:color w:val="0000FF"/>
          <w:sz w:val="28"/>
          <w:szCs w:val="28"/>
          <w:rtl/>
        </w:rPr>
        <w:t>–</w:t>
      </w:r>
      <w:r w:rsidRPr="00923B1A">
        <w:rPr>
          <w:rFonts w:hint="cs"/>
          <w:color w:val="0000FF"/>
          <w:sz w:val="28"/>
          <w:szCs w:val="28"/>
          <w:rtl/>
        </w:rPr>
        <w:t xml:space="preserve"> جمال الدين زكي فقرة 57 ص 117 </w:t>
      </w:r>
      <w:r w:rsidRPr="00923B1A">
        <w:rPr>
          <w:color w:val="0000FF"/>
          <w:sz w:val="28"/>
          <w:szCs w:val="28"/>
          <w:rtl/>
        </w:rPr>
        <w:t>–</w:t>
      </w:r>
      <w:r w:rsidRPr="00923B1A">
        <w:rPr>
          <w:rFonts w:hint="cs"/>
          <w:color w:val="0000FF"/>
          <w:sz w:val="28"/>
          <w:szCs w:val="28"/>
          <w:rtl/>
        </w:rPr>
        <w:t xml:space="preserve"> منصور مصطفى منصور فقرة 47 ص 93</w:t>
      </w:r>
      <w:r>
        <w:rPr>
          <w:rFonts w:hint="cs"/>
          <w:color w:val="0000FF"/>
          <w:sz w:val="28"/>
          <w:szCs w:val="28"/>
          <w:rtl/>
        </w:rPr>
        <w:t xml:space="preserve"> .</w:t>
      </w:r>
    </w:p>
  </w:footnote>
  <w:footnote w:id="30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93</w:t>
      </w:r>
      <w:r>
        <w:rPr>
          <w:rFonts w:hint="cs"/>
          <w:color w:val="0000FF"/>
          <w:sz w:val="28"/>
          <w:szCs w:val="28"/>
          <w:rtl/>
        </w:rPr>
        <w:t xml:space="preserve"> .</w:t>
      </w:r>
    </w:p>
  </w:footnote>
  <w:footnote w:id="30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نس الفقرة في الهامش</w:t>
      </w:r>
      <w:r>
        <w:rPr>
          <w:rFonts w:hint="cs"/>
          <w:color w:val="0000FF"/>
          <w:sz w:val="28"/>
          <w:szCs w:val="28"/>
          <w:rtl/>
        </w:rPr>
        <w:t xml:space="preserve"> .</w:t>
      </w:r>
    </w:p>
  </w:footnote>
  <w:footnote w:id="30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98 ص 151 </w:t>
      </w:r>
      <w:r w:rsidRPr="00923B1A">
        <w:rPr>
          <w:color w:val="0000FF"/>
          <w:sz w:val="28"/>
          <w:szCs w:val="28"/>
          <w:rtl/>
        </w:rPr>
        <w:t>–</w:t>
      </w:r>
      <w:r w:rsidRPr="00923B1A">
        <w:rPr>
          <w:rFonts w:hint="cs"/>
          <w:color w:val="0000FF"/>
          <w:sz w:val="28"/>
          <w:szCs w:val="28"/>
          <w:rtl/>
        </w:rPr>
        <w:t xml:space="preserve"> محمد علي إمام فقرة 66 ص 110 </w:t>
      </w:r>
      <w:r w:rsidRPr="00923B1A">
        <w:rPr>
          <w:color w:val="0000FF"/>
          <w:sz w:val="28"/>
          <w:szCs w:val="28"/>
          <w:rtl/>
        </w:rPr>
        <w:t>–</w:t>
      </w:r>
      <w:r w:rsidRPr="00923B1A">
        <w:rPr>
          <w:rFonts w:hint="cs"/>
          <w:color w:val="0000FF"/>
          <w:sz w:val="28"/>
          <w:szCs w:val="28"/>
          <w:rtl/>
        </w:rPr>
        <w:t xml:space="preserve"> جمال الدين زكي فقرة 57 ص 117 </w:t>
      </w:r>
      <w:r w:rsidRPr="00923B1A">
        <w:rPr>
          <w:color w:val="0000FF"/>
          <w:sz w:val="28"/>
          <w:szCs w:val="28"/>
          <w:rtl/>
        </w:rPr>
        <w:t>–</w:t>
      </w:r>
      <w:r w:rsidRPr="00923B1A">
        <w:rPr>
          <w:rFonts w:hint="cs"/>
          <w:color w:val="0000FF"/>
          <w:sz w:val="28"/>
          <w:szCs w:val="28"/>
          <w:rtl/>
        </w:rPr>
        <w:t xml:space="preserve"> سليمان مرقس فقرة 84 ض 93 </w:t>
      </w:r>
      <w:r w:rsidRPr="00923B1A">
        <w:rPr>
          <w:color w:val="0000FF"/>
          <w:sz w:val="28"/>
          <w:szCs w:val="28"/>
          <w:rtl/>
        </w:rPr>
        <w:t>–</w:t>
      </w:r>
      <w:r w:rsidRPr="00923B1A">
        <w:rPr>
          <w:rFonts w:hint="cs"/>
          <w:color w:val="0000FF"/>
          <w:sz w:val="28"/>
          <w:szCs w:val="28"/>
          <w:rtl/>
        </w:rPr>
        <w:t xml:space="preserve"> منصور مصطفى منصور فقرة 47 ص 93 </w:t>
      </w:r>
      <w:r w:rsidRPr="00923B1A">
        <w:rPr>
          <w:color w:val="0000FF"/>
          <w:sz w:val="28"/>
          <w:szCs w:val="28"/>
          <w:rtl/>
        </w:rPr>
        <w:t>–</w:t>
      </w:r>
      <w:r w:rsidRPr="00923B1A">
        <w:rPr>
          <w:rFonts w:hint="cs"/>
          <w:color w:val="0000FF"/>
          <w:sz w:val="28"/>
          <w:szCs w:val="28"/>
          <w:rtl/>
        </w:rPr>
        <w:t xml:space="preserve"> ص 94 </w:t>
      </w:r>
      <w:r w:rsidRPr="00923B1A">
        <w:rPr>
          <w:color w:val="0000FF"/>
          <w:sz w:val="28"/>
          <w:szCs w:val="28"/>
          <w:rtl/>
        </w:rPr>
        <w:t>–</w:t>
      </w:r>
      <w:r w:rsidRPr="00923B1A">
        <w:rPr>
          <w:rFonts w:hint="cs"/>
          <w:color w:val="0000FF"/>
          <w:sz w:val="28"/>
          <w:szCs w:val="28"/>
          <w:rtl/>
        </w:rPr>
        <w:t xml:space="preserve"> انظر عكس ذلك شمس الدين الوكيل/ مذكرات في الكفالة على الآلة الكاتبة ص 30 حيث يجيز أن يكون التأمين العين واردا على مال لغير المدين</w:t>
      </w:r>
      <w:r>
        <w:rPr>
          <w:rFonts w:hint="cs"/>
          <w:color w:val="0000FF"/>
          <w:sz w:val="28"/>
          <w:szCs w:val="28"/>
          <w:rtl/>
        </w:rPr>
        <w:t xml:space="preserve"> ،</w:t>
      </w:r>
      <w:r w:rsidRPr="00923B1A">
        <w:rPr>
          <w:rFonts w:hint="cs"/>
          <w:color w:val="0000FF"/>
          <w:sz w:val="28"/>
          <w:szCs w:val="28"/>
          <w:rtl/>
        </w:rPr>
        <w:t xml:space="preserve"> أي على مال الكفيل عيني فيجوز للكفيل الشخصي أن يطلب تجريده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وإذا كان التأمين العيني مقررا على مال لغير المدين</w:t>
      </w:r>
      <w:r>
        <w:rPr>
          <w:rFonts w:hint="cs"/>
          <w:color w:val="0000FF"/>
          <w:sz w:val="28"/>
          <w:szCs w:val="28"/>
          <w:rtl/>
        </w:rPr>
        <w:t xml:space="preserve"> ،</w:t>
      </w:r>
      <w:r w:rsidRPr="00923B1A">
        <w:rPr>
          <w:rFonts w:hint="cs"/>
          <w:color w:val="0000FF"/>
          <w:sz w:val="28"/>
          <w:szCs w:val="28"/>
          <w:rtl/>
        </w:rPr>
        <w:t xml:space="preserve"> فإن هذا الغير يكون كفيلا عينيا</w:t>
      </w:r>
      <w:r>
        <w:rPr>
          <w:rFonts w:hint="cs"/>
          <w:color w:val="0000FF"/>
          <w:sz w:val="28"/>
          <w:szCs w:val="28"/>
          <w:rtl/>
        </w:rPr>
        <w:t xml:space="preserve"> .</w:t>
      </w:r>
      <w:r w:rsidRPr="00923B1A">
        <w:rPr>
          <w:rFonts w:hint="cs"/>
          <w:color w:val="0000FF"/>
          <w:sz w:val="28"/>
          <w:szCs w:val="28"/>
          <w:rtl/>
        </w:rPr>
        <w:t xml:space="preserve"> وليس للكفيل العيني حق تجريد المدين </w:t>
      </w:r>
      <w:r>
        <w:rPr>
          <w:rFonts w:hint="cs"/>
          <w:color w:val="0000FF"/>
          <w:sz w:val="28"/>
          <w:szCs w:val="28"/>
          <w:rtl/>
        </w:rPr>
        <w:t xml:space="preserve">( </w:t>
      </w:r>
      <w:r w:rsidRPr="00923B1A">
        <w:rPr>
          <w:rFonts w:hint="cs"/>
          <w:color w:val="0000FF"/>
          <w:sz w:val="28"/>
          <w:szCs w:val="28"/>
          <w:rtl/>
        </w:rPr>
        <w:t>م 1050 مدني وانظر أيضاً فقرة 48 في الهامش</w:t>
      </w:r>
      <w:r>
        <w:rPr>
          <w:rFonts w:hint="cs"/>
          <w:color w:val="0000FF"/>
          <w:sz w:val="28"/>
          <w:szCs w:val="28"/>
          <w:rtl/>
        </w:rPr>
        <w:t xml:space="preserve"> ) ،</w:t>
      </w:r>
      <w:r w:rsidRPr="00923B1A">
        <w:rPr>
          <w:rFonts w:hint="cs"/>
          <w:color w:val="0000FF"/>
          <w:sz w:val="28"/>
          <w:szCs w:val="28"/>
          <w:rtl/>
        </w:rPr>
        <w:t xml:space="preserve"> كما أنه لي له حق تجريد الكفيل الشخصي</w:t>
      </w:r>
      <w:r>
        <w:rPr>
          <w:rFonts w:hint="cs"/>
          <w:color w:val="0000FF"/>
          <w:sz w:val="28"/>
          <w:szCs w:val="28"/>
          <w:rtl/>
        </w:rPr>
        <w:t xml:space="preserve"> .</w:t>
      </w:r>
      <w:r w:rsidRPr="00923B1A">
        <w:rPr>
          <w:rFonts w:hint="cs"/>
          <w:color w:val="0000FF"/>
          <w:sz w:val="28"/>
          <w:szCs w:val="28"/>
          <w:rtl/>
        </w:rPr>
        <w:t xml:space="preserve"> ولكن الشخصي</w:t>
      </w:r>
      <w:r>
        <w:rPr>
          <w:rFonts w:hint="cs"/>
          <w:color w:val="0000FF"/>
          <w:sz w:val="28"/>
          <w:szCs w:val="28"/>
          <w:rtl/>
        </w:rPr>
        <w:t xml:space="preserve"> ،</w:t>
      </w:r>
      <w:r w:rsidRPr="00923B1A">
        <w:rPr>
          <w:rFonts w:hint="cs"/>
          <w:color w:val="0000FF"/>
          <w:sz w:val="28"/>
          <w:szCs w:val="28"/>
          <w:rtl/>
        </w:rPr>
        <w:t xml:space="preserve"> وليس لأن من الكفيلين حق تجريد الكفيل الآخر</w:t>
      </w:r>
      <w:r>
        <w:rPr>
          <w:rFonts w:hint="cs"/>
          <w:color w:val="0000FF"/>
          <w:sz w:val="28"/>
          <w:szCs w:val="28"/>
          <w:rtl/>
        </w:rPr>
        <w:t xml:space="preserve"> .</w:t>
      </w:r>
      <w:r w:rsidRPr="00923B1A">
        <w:rPr>
          <w:rFonts w:hint="cs"/>
          <w:color w:val="0000FF"/>
          <w:sz w:val="28"/>
          <w:szCs w:val="28"/>
          <w:rtl/>
        </w:rPr>
        <w:t xml:space="preserve"> لذلك إذا وجدت كفالة عينية وكفالة شخصية لنفس الدين</w:t>
      </w:r>
      <w:r>
        <w:rPr>
          <w:rFonts w:hint="cs"/>
          <w:color w:val="0000FF"/>
          <w:sz w:val="28"/>
          <w:szCs w:val="28"/>
          <w:rtl/>
        </w:rPr>
        <w:t xml:space="preserve"> ،</w:t>
      </w:r>
      <w:r w:rsidRPr="00923B1A">
        <w:rPr>
          <w:rFonts w:hint="cs"/>
          <w:color w:val="0000FF"/>
          <w:sz w:val="28"/>
          <w:szCs w:val="28"/>
          <w:rtl/>
        </w:rPr>
        <w:t xml:space="preserve"> فليس الدائن مقيدا بالرجوع أولا على الكفالة العينية</w:t>
      </w:r>
      <w:r>
        <w:rPr>
          <w:rFonts w:hint="cs"/>
          <w:color w:val="0000FF"/>
          <w:sz w:val="28"/>
          <w:szCs w:val="28"/>
          <w:rtl/>
        </w:rPr>
        <w:t xml:space="preserve"> ،</w:t>
      </w:r>
      <w:r w:rsidRPr="00923B1A">
        <w:rPr>
          <w:rFonts w:hint="cs"/>
          <w:color w:val="0000FF"/>
          <w:sz w:val="28"/>
          <w:szCs w:val="28"/>
          <w:rtl/>
        </w:rPr>
        <w:t xml:space="preserve"> بل له أن يرجع أولا على الكفيل الشخصي</w:t>
      </w:r>
      <w:r>
        <w:rPr>
          <w:rFonts w:hint="cs"/>
          <w:color w:val="0000FF"/>
          <w:sz w:val="28"/>
          <w:szCs w:val="28"/>
          <w:rtl/>
        </w:rPr>
        <w:t xml:space="preserve"> ،</w:t>
      </w:r>
      <w:r w:rsidRPr="00923B1A">
        <w:rPr>
          <w:rFonts w:hint="cs"/>
          <w:color w:val="0000FF"/>
          <w:sz w:val="28"/>
          <w:szCs w:val="28"/>
          <w:rtl/>
        </w:rPr>
        <w:t xml:space="preserve"> وللكفيل الشخص أن يطلب تجريد المدين لا تجريد الكفيل العيني</w:t>
      </w:r>
      <w:r>
        <w:rPr>
          <w:rFonts w:hint="cs"/>
          <w:color w:val="0000FF"/>
          <w:sz w:val="28"/>
          <w:szCs w:val="28"/>
          <w:rtl/>
        </w:rPr>
        <w:t xml:space="preserve"> .</w:t>
      </w:r>
      <w:r w:rsidRPr="00923B1A">
        <w:rPr>
          <w:rFonts w:hint="cs"/>
          <w:color w:val="0000FF"/>
          <w:sz w:val="28"/>
          <w:szCs w:val="28"/>
          <w:rtl/>
        </w:rPr>
        <w:t xml:space="preserve"> وهذا بخلاف ما إذا كان التأمين العيني مقررا على مال المدين</w:t>
      </w:r>
      <w:r>
        <w:rPr>
          <w:rFonts w:hint="cs"/>
          <w:color w:val="0000FF"/>
          <w:sz w:val="28"/>
          <w:szCs w:val="28"/>
          <w:rtl/>
        </w:rPr>
        <w:t xml:space="preserve"> ،</w:t>
      </w:r>
      <w:r w:rsidRPr="00923B1A">
        <w:rPr>
          <w:rFonts w:hint="cs"/>
          <w:color w:val="0000FF"/>
          <w:sz w:val="28"/>
          <w:szCs w:val="28"/>
          <w:rtl/>
        </w:rPr>
        <w:t xml:space="preserve"> فإن الدائن يجب عله أن يرجع أولا على هذا المال</w:t>
      </w:r>
      <w:r>
        <w:rPr>
          <w:rFonts w:hint="cs"/>
          <w:color w:val="0000FF"/>
          <w:sz w:val="28"/>
          <w:szCs w:val="28"/>
          <w:rtl/>
        </w:rPr>
        <w:t xml:space="preserve"> ،</w:t>
      </w:r>
      <w:r w:rsidRPr="00923B1A">
        <w:rPr>
          <w:rFonts w:hint="cs"/>
          <w:color w:val="0000FF"/>
          <w:sz w:val="28"/>
          <w:szCs w:val="28"/>
          <w:rtl/>
        </w:rPr>
        <w:t xml:space="preserve"> وما بقي من الدين بعد ذلك يرجع به الدائن على الكفيل الشخصي </w:t>
      </w:r>
      <w:r>
        <w:rPr>
          <w:rFonts w:hint="cs"/>
          <w:color w:val="0000FF"/>
          <w:sz w:val="28"/>
          <w:szCs w:val="28"/>
          <w:rtl/>
        </w:rPr>
        <w:t xml:space="preserve">( </w:t>
      </w:r>
      <w:r w:rsidRPr="00923B1A">
        <w:rPr>
          <w:rFonts w:hint="cs"/>
          <w:color w:val="0000FF"/>
          <w:sz w:val="28"/>
          <w:szCs w:val="28"/>
          <w:rtl/>
        </w:rPr>
        <w:t>م 791 مدني سالف الذكر</w:t>
      </w:r>
      <w:r>
        <w:rPr>
          <w:rFonts w:hint="cs"/>
          <w:color w:val="0000FF"/>
          <w:sz w:val="28"/>
          <w:szCs w:val="28"/>
          <w:rtl/>
        </w:rPr>
        <w:t xml:space="preserve"> ) .</w:t>
      </w:r>
    </w:p>
  </w:footnote>
  <w:footnote w:id="30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ويكفي أن يكون التأمين العيني قد قرره المدين على ماله</w:t>
      </w:r>
      <w:r>
        <w:rPr>
          <w:rFonts w:hint="cs"/>
          <w:color w:val="0000FF"/>
          <w:sz w:val="28"/>
          <w:szCs w:val="28"/>
          <w:rtl/>
        </w:rPr>
        <w:t xml:space="preserve"> ،</w:t>
      </w:r>
      <w:r w:rsidRPr="00923B1A">
        <w:rPr>
          <w:rFonts w:hint="cs"/>
          <w:color w:val="0000FF"/>
          <w:sz w:val="28"/>
          <w:szCs w:val="28"/>
          <w:rtl/>
        </w:rPr>
        <w:t xml:space="preserve"> حتى لو خرج هذا المال من ملكته إلى الغير بعد الرهن </w:t>
      </w:r>
      <w:r>
        <w:rPr>
          <w:rFonts w:hint="cs"/>
          <w:color w:val="0000FF"/>
          <w:sz w:val="28"/>
          <w:szCs w:val="28"/>
          <w:rtl/>
        </w:rPr>
        <w:t xml:space="preserve">( </w:t>
      </w:r>
      <w:r w:rsidRPr="00923B1A">
        <w:rPr>
          <w:rFonts w:hint="cs"/>
          <w:color w:val="0000FF"/>
          <w:sz w:val="28"/>
          <w:szCs w:val="28"/>
          <w:rtl/>
        </w:rPr>
        <w:t>عبد الفتاح عبد الباقي فقرة 98 ص 152</w:t>
      </w:r>
      <w:r>
        <w:rPr>
          <w:rFonts w:hint="cs"/>
          <w:color w:val="0000FF"/>
          <w:sz w:val="28"/>
          <w:szCs w:val="28"/>
          <w:rtl/>
        </w:rPr>
        <w:t xml:space="preserve"> ) .</w:t>
      </w:r>
    </w:p>
  </w:footnote>
  <w:footnote w:id="31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نفس الفقرة في الهامش</w:t>
      </w:r>
      <w:r>
        <w:rPr>
          <w:rFonts w:hint="cs"/>
          <w:color w:val="0000FF"/>
          <w:sz w:val="28"/>
          <w:szCs w:val="28"/>
          <w:rtl/>
        </w:rPr>
        <w:t xml:space="preserve"> .</w:t>
      </w:r>
    </w:p>
  </w:footnote>
  <w:footnote w:id="31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وعلى ذلك يجب على الكفيل التمسك بهذه الصورة كما يتمسك بالدفع بالتجريد</w:t>
      </w:r>
      <w:r>
        <w:rPr>
          <w:rFonts w:hint="cs"/>
          <w:color w:val="0000FF"/>
          <w:sz w:val="28"/>
          <w:szCs w:val="28"/>
          <w:rtl/>
        </w:rPr>
        <w:t xml:space="preserve"> ،</w:t>
      </w:r>
      <w:r w:rsidRPr="00923B1A">
        <w:rPr>
          <w:rFonts w:hint="cs"/>
          <w:color w:val="0000FF"/>
          <w:sz w:val="28"/>
          <w:szCs w:val="28"/>
          <w:rtl/>
        </w:rPr>
        <w:t xml:space="preserve"> فلا يحكم القاضي فيها </w:t>
      </w:r>
      <w:r>
        <w:rPr>
          <w:rFonts w:hint="cs"/>
          <w:color w:val="0000FF"/>
          <w:sz w:val="28"/>
          <w:szCs w:val="28"/>
          <w:rtl/>
        </w:rPr>
        <w:t>من</w:t>
      </w:r>
      <w:r w:rsidRPr="00923B1A">
        <w:rPr>
          <w:rFonts w:hint="cs"/>
          <w:color w:val="0000FF"/>
          <w:sz w:val="28"/>
          <w:szCs w:val="28"/>
          <w:rtl/>
        </w:rPr>
        <w:t xml:space="preserve"> تلقاء نفسه </w:t>
      </w:r>
      <w:r>
        <w:rPr>
          <w:rFonts w:hint="cs"/>
          <w:color w:val="0000FF"/>
          <w:sz w:val="28"/>
          <w:szCs w:val="28"/>
          <w:rtl/>
        </w:rPr>
        <w:t xml:space="preserve">( </w:t>
      </w:r>
      <w:r w:rsidRPr="00923B1A">
        <w:rPr>
          <w:rFonts w:hint="cs"/>
          <w:color w:val="0000FF"/>
          <w:sz w:val="28"/>
          <w:szCs w:val="28"/>
          <w:rtl/>
        </w:rPr>
        <w:t xml:space="preserve">عبد الفتاح عبد الباقي فقرة 98 ص 153 </w:t>
      </w:r>
      <w:r w:rsidRPr="00923B1A">
        <w:rPr>
          <w:color w:val="0000FF"/>
          <w:sz w:val="28"/>
          <w:szCs w:val="28"/>
          <w:rtl/>
        </w:rPr>
        <w:t>–</w:t>
      </w:r>
      <w:r w:rsidRPr="00923B1A">
        <w:rPr>
          <w:rFonts w:hint="cs"/>
          <w:color w:val="0000FF"/>
          <w:sz w:val="28"/>
          <w:szCs w:val="28"/>
          <w:rtl/>
        </w:rPr>
        <w:t xml:space="preserve"> سليمان مرقس فقرة 83 ص 95</w:t>
      </w:r>
      <w:r>
        <w:rPr>
          <w:rFonts w:hint="cs"/>
          <w:color w:val="0000FF"/>
          <w:sz w:val="28"/>
          <w:szCs w:val="28"/>
          <w:rtl/>
        </w:rPr>
        <w:t xml:space="preserve"> ) .</w:t>
      </w:r>
    </w:p>
  </w:footnote>
  <w:footnote w:id="31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48 في آخرها</w:t>
      </w:r>
      <w:r>
        <w:rPr>
          <w:rFonts w:hint="cs"/>
          <w:color w:val="0000FF"/>
          <w:sz w:val="28"/>
          <w:szCs w:val="28"/>
          <w:rtl/>
        </w:rPr>
        <w:t xml:space="preserve"> .</w:t>
      </w:r>
    </w:p>
  </w:footnote>
  <w:footnote w:id="31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ما يقابل هذه المادة في تقنين المرافعات الجديد الذي ظهر أخيراً</w:t>
      </w:r>
      <w:r>
        <w:rPr>
          <w:rFonts w:hint="cs"/>
          <w:color w:val="0000FF"/>
          <w:sz w:val="28"/>
          <w:szCs w:val="28"/>
          <w:rtl/>
        </w:rPr>
        <w:t xml:space="preserve"> .</w:t>
      </w:r>
    </w:p>
  </w:footnote>
  <w:footnote w:id="31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وذلك ما لم تكن الكفالة سابقة على هذا التأمين العين</w:t>
      </w:r>
      <w:r>
        <w:rPr>
          <w:rFonts w:hint="cs"/>
          <w:color w:val="0000FF"/>
          <w:sz w:val="28"/>
          <w:szCs w:val="28"/>
          <w:rtl/>
        </w:rPr>
        <w:t xml:space="preserve"> ،</w:t>
      </w:r>
      <w:r w:rsidRPr="00923B1A">
        <w:rPr>
          <w:rFonts w:hint="cs"/>
          <w:color w:val="0000FF"/>
          <w:sz w:val="28"/>
          <w:szCs w:val="28"/>
          <w:rtl/>
        </w:rPr>
        <w:t xml:space="preserve"> فلا يكون الكفيل في هذه الحالة قد اعتمد على هذا التأمين</w:t>
      </w:r>
      <w:r>
        <w:rPr>
          <w:rFonts w:hint="cs"/>
          <w:color w:val="0000FF"/>
          <w:sz w:val="28"/>
          <w:szCs w:val="28"/>
          <w:rtl/>
        </w:rPr>
        <w:t xml:space="preserve"> .</w:t>
      </w:r>
    </w:p>
  </w:footnote>
  <w:footnote w:id="31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هذه الشروط منصور مصطفى منصور فقرة 47</w:t>
      </w:r>
      <w:r>
        <w:rPr>
          <w:rFonts w:hint="cs"/>
          <w:color w:val="0000FF"/>
          <w:sz w:val="28"/>
          <w:szCs w:val="28"/>
          <w:rtl/>
        </w:rPr>
        <w:t xml:space="preserve"> .</w:t>
      </w:r>
    </w:p>
  </w:footnote>
  <w:footnote w:id="31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1157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855</w:t>
      </w:r>
      <w:r>
        <w:rPr>
          <w:rFonts w:hint="cs"/>
          <w:color w:val="0000FF"/>
          <w:sz w:val="28"/>
          <w:szCs w:val="28"/>
          <w:rtl/>
        </w:rPr>
        <w:t xml:space="preserve"> ،</w:t>
      </w:r>
      <w:r w:rsidRPr="00923B1A">
        <w:rPr>
          <w:rFonts w:hint="cs"/>
          <w:color w:val="0000FF"/>
          <w:sz w:val="28"/>
          <w:szCs w:val="28"/>
          <w:rtl/>
        </w:rPr>
        <w:t xml:space="preserve">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854</w:t>
      </w:r>
      <w:r>
        <w:rPr>
          <w:rFonts w:hint="cs"/>
          <w:color w:val="0000FF"/>
          <w:sz w:val="28"/>
          <w:szCs w:val="28"/>
          <w:rtl/>
        </w:rPr>
        <w:t xml:space="preserve"> ،</w:t>
      </w:r>
      <w:r w:rsidRPr="00923B1A">
        <w:rPr>
          <w:rFonts w:hint="cs"/>
          <w:color w:val="0000FF"/>
          <w:sz w:val="28"/>
          <w:szCs w:val="28"/>
          <w:rtl/>
        </w:rPr>
        <w:t xml:space="preserve"> ثم مجلس الشيوخ تحت رقم 787 </w:t>
      </w:r>
      <w:r>
        <w:rPr>
          <w:rFonts w:hint="cs"/>
          <w:color w:val="0000FF"/>
          <w:sz w:val="28"/>
          <w:szCs w:val="28"/>
          <w:rtl/>
        </w:rPr>
        <w:t xml:space="preserve">( </w:t>
      </w:r>
      <w:r w:rsidRPr="00923B1A">
        <w:rPr>
          <w:rFonts w:hint="cs"/>
          <w:color w:val="0000FF"/>
          <w:sz w:val="28"/>
          <w:szCs w:val="28"/>
          <w:rtl/>
        </w:rPr>
        <w:t xml:space="preserve">مجموعة الأعمال التحضيرية 5 ص 491 </w:t>
      </w:r>
      <w:r w:rsidRPr="00923B1A">
        <w:rPr>
          <w:color w:val="0000FF"/>
          <w:sz w:val="28"/>
          <w:szCs w:val="28"/>
          <w:rtl/>
        </w:rPr>
        <w:t>–</w:t>
      </w:r>
      <w:r w:rsidRPr="00923B1A">
        <w:rPr>
          <w:rFonts w:hint="cs"/>
          <w:color w:val="0000FF"/>
          <w:sz w:val="28"/>
          <w:szCs w:val="28"/>
          <w:rtl/>
        </w:rPr>
        <w:t xml:space="preserve"> ص 4939</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وقد جاء في المذكرة الإيضاحية للمشروع التمهيدي في خصوص هذا النص</w:t>
      </w:r>
      <w:r>
        <w:rPr>
          <w:rFonts w:hint="cs"/>
          <w:color w:val="0000FF"/>
          <w:sz w:val="28"/>
          <w:szCs w:val="28"/>
          <w:rtl/>
        </w:rPr>
        <w:t xml:space="preserve"> :</w:t>
      </w:r>
      <w:r w:rsidRPr="00923B1A">
        <w:rPr>
          <w:rFonts w:hint="cs"/>
          <w:color w:val="0000FF"/>
          <w:sz w:val="28"/>
          <w:szCs w:val="28"/>
          <w:rtl/>
        </w:rPr>
        <w:t xml:space="preserve"> "بقدر هذا النص واجبا منطقيا على الدائن بإزاء الكفيل مبناه حلول الكفيل محل الدائن</w:t>
      </w:r>
      <w:r>
        <w:rPr>
          <w:rFonts w:hint="cs"/>
          <w:color w:val="0000FF"/>
          <w:sz w:val="28"/>
          <w:szCs w:val="28"/>
          <w:rtl/>
        </w:rPr>
        <w:t xml:space="preserve"> ،</w:t>
      </w:r>
      <w:r w:rsidRPr="00923B1A">
        <w:rPr>
          <w:rFonts w:hint="cs"/>
          <w:color w:val="0000FF"/>
          <w:sz w:val="28"/>
          <w:szCs w:val="28"/>
          <w:rtl/>
        </w:rPr>
        <w:t xml:space="preserve"> فيجب إذن أن يمكن من هذا الحلول</w:t>
      </w:r>
      <w:r>
        <w:rPr>
          <w:rFonts w:hint="cs"/>
          <w:color w:val="0000FF"/>
          <w:sz w:val="28"/>
          <w:szCs w:val="28"/>
          <w:rtl/>
        </w:rPr>
        <w:t xml:space="preserve"> .</w:t>
      </w:r>
      <w:r w:rsidRPr="00923B1A">
        <w:rPr>
          <w:rFonts w:hint="cs"/>
          <w:color w:val="0000FF"/>
          <w:sz w:val="28"/>
          <w:szCs w:val="28"/>
          <w:rtl/>
        </w:rPr>
        <w:t xml:space="preserve"> والنص منقول عن المادة 508 من تقنين الالتزامات السويسري</w:t>
      </w:r>
      <w:r>
        <w:rPr>
          <w:rFonts w:hint="cs"/>
          <w:color w:val="0000FF"/>
          <w:sz w:val="28"/>
          <w:szCs w:val="28"/>
          <w:rtl/>
        </w:rPr>
        <w:t xml:space="preserve"> ،</w:t>
      </w:r>
      <w:r w:rsidRPr="00923B1A">
        <w:rPr>
          <w:rFonts w:hint="cs"/>
          <w:color w:val="0000FF"/>
          <w:sz w:val="28"/>
          <w:szCs w:val="28"/>
          <w:rtl/>
        </w:rPr>
        <w:t xml:space="preserve"> مع شيء من التفصيل قصد به زيادة الإيضاح ومنع اللبس</w:t>
      </w:r>
      <w:r>
        <w:rPr>
          <w:rFonts w:hint="cs"/>
          <w:color w:val="0000FF"/>
          <w:sz w:val="28"/>
          <w:szCs w:val="28"/>
          <w:rtl/>
        </w:rPr>
        <w:t xml:space="preserve"> .</w:t>
      </w:r>
      <w:r w:rsidRPr="00923B1A">
        <w:rPr>
          <w:rFonts w:hint="cs"/>
          <w:color w:val="0000FF"/>
          <w:sz w:val="28"/>
          <w:szCs w:val="28"/>
          <w:rtl/>
        </w:rPr>
        <w:t xml:space="preserve"> وحكمه غني عن التعليق</w:t>
      </w:r>
      <w:r>
        <w:rPr>
          <w:rFonts w:hint="cs"/>
          <w:color w:val="0000FF"/>
          <w:sz w:val="28"/>
          <w:szCs w:val="28"/>
          <w:rtl/>
        </w:rPr>
        <w:t xml:space="preserve"> ،</w:t>
      </w:r>
      <w:r w:rsidRPr="00923B1A">
        <w:rPr>
          <w:rFonts w:hint="cs"/>
          <w:color w:val="0000FF"/>
          <w:sz w:val="28"/>
          <w:szCs w:val="28"/>
          <w:rtl/>
        </w:rPr>
        <w:t xml:space="preserve"> إذ هو مجرد تطبيق للقواعد العامة" </w:t>
      </w:r>
      <w:r>
        <w:rPr>
          <w:rFonts w:hint="cs"/>
          <w:color w:val="0000FF"/>
          <w:sz w:val="28"/>
          <w:szCs w:val="28"/>
          <w:rtl/>
        </w:rPr>
        <w:t xml:space="preserve">( </w:t>
      </w:r>
      <w:r w:rsidRPr="00923B1A">
        <w:rPr>
          <w:rFonts w:hint="cs"/>
          <w:color w:val="0000FF"/>
          <w:sz w:val="28"/>
          <w:szCs w:val="28"/>
          <w:rtl/>
        </w:rPr>
        <w:t xml:space="preserve">مجموعة الأعمال التحضيرية 5 ص 492 </w:t>
      </w:r>
      <w:r w:rsidRPr="00923B1A">
        <w:rPr>
          <w:color w:val="0000FF"/>
          <w:sz w:val="28"/>
          <w:szCs w:val="28"/>
          <w:rtl/>
        </w:rPr>
        <w:t>–</w:t>
      </w:r>
      <w:r w:rsidRPr="00923B1A">
        <w:rPr>
          <w:rFonts w:hint="cs"/>
          <w:color w:val="0000FF"/>
          <w:sz w:val="28"/>
          <w:szCs w:val="28"/>
          <w:rtl/>
        </w:rPr>
        <w:t xml:space="preserve"> ص 493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796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1026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لا مقابل</w:t>
      </w:r>
      <w:r>
        <w:rPr>
          <w:rFonts w:hint="cs"/>
          <w:color w:val="0000FF"/>
          <w:sz w:val="28"/>
          <w:szCs w:val="28"/>
          <w:rtl/>
        </w:rPr>
        <w:t xml:space="preserve"> .</w:t>
      </w:r>
    </w:p>
  </w:footnote>
  <w:footnote w:id="31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1155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"1- لا يجبر المصدق على الوفاء للدائن إلا حيث يكون المدين الأصلي والكفلاء المسئولون عن كل الدين معسرين</w:t>
      </w:r>
      <w:r>
        <w:rPr>
          <w:rFonts w:hint="cs"/>
          <w:color w:val="0000FF"/>
          <w:sz w:val="28"/>
          <w:szCs w:val="28"/>
          <w:rtl/>
        </w:rPr>
        <w:t xml:space="preserve"> ،</w:t>
      </w:r>
      <w:r w:rsidRPr="00923B1A">
        <w:rPr>
          <w:rFonts w:hint="cs"/>
          <w:color w:val="0000FF"/>
          <w:sz w:val="28"/>
          <w:szCs w:val="28"/>
          <w:rtl/>
        </w:rPr>
        <w:t xml:space="preserve"> أو حيث تكون ذمتهم قد برئت بسبب دفوع شخصية خاصة بهم</w:t>
      </w:r>
      <w:r>
        <w:rPr>
          <w:rFonts w:hint="cs"/>
          <w:color w:val="0000FF"/>
          <w:sz w:val="28"/>
          <w:szCs w:val="28"/>
          <w:rtl/>
        </w:rPr>
        <w:t xml:space="preserve"> .</w:t>
      </w:r>
      <w:r w:rsidRPr="00923B1A">
        <w:rPr>
          <w:rFonts w:hint="cs"/>
          <w:color w:val="0000FF"/>
          <w:sz w:val="28"/>
          <w:szCs w:val="28"/>
          <w:rtl/>
        </w:rPr>
        <w:t xml:space="preserve"> 2- أما إذا كان كل كفيل غير مسئول عن الدين كله</w:t>
      </w:r>
      <w:r>
        <w:rPr>
          <w:rFonts w:hint="cs"/>
          <w:color w:val="0000FF"/>
          <w:sz w:val="28"/>
          <w:szCs w:val="28"/>
          <w:rtl/>
        </w:rPr>
        <w:t xml:space="preserve"> ،</w:t>
      </w:r>
      <w:r w:rsidRPr="00923B1A">
        <w:rPr>
          <w:rFonts w:hint="cs"/>
          <w:color w:val="0000FF"/>
          <w:sz w:val="28"/>
          <w:szCs w:val="28"/>
          <w:rtl/>
        </w:rPr>
        <w:t xml:space="preserve"> فلا يجبر المصدق على الوفاء للدائن إلا حيث يكون المدين الأصلي والكفيل المكفول معسرين</w:t>
      </w:r>
      <w:r>
        <w:rPr>
          <w:rFonts w:hint="cs"/>
          <w:color w:val="0000FF"/>
          <w:sz w:val="28"/>
          <w:szCs w:val="28"/>
          <w:rtl/>
        </w:rPr>
        <w:t xml:space="preserve"> ،</w:t>
      </w:r>
      <w:r w:rsidRPr="00923B1A">
        <w:rPr>
          <w:rFonts w:hint="cs"/>
          <w:color w:val="0000FF"/>
          <w:sz w:val="28"/>
          <w:szCs w:val="28"/>
          <w:rtl/>
        </w:rPr>
        <w:t xml:space="preserve"> أو حيث تكون ذمتهما قد برئت بسبب دفوع شخصية خاصة بهما"</w:t>
      </w:r>
      <w:r>
        <w:rPr>
          <w:rFonts w:hint="cs"/>
          <w:color w:val="0000FF"/>
          <w:sz w:val="28"/>
          <w:szCs w:val="28"/>
          <w:rtl/>
        </w:rPr>
        <w:t xml:space="preserve"> .</w:t>
      </w:r>
      <w:r w:rsidRPr="00923B1A">
        <w:rPr>
          <w:rFonts w:hint="cs"/>
          <w:color w:val="0000FF"/>
          <w:sz w:val="28"/>
          <w:szCs w:val="28"/>
          <w:rtl/>
        </w:rPr>
        <w:t xml:space="preserve"> ورأت لجنة المراجعة أن يحل محل نص المشروع التمهيدي النص الآتي</w:t>
      </w:r>
      <w:r>
        <w:rPr>
          <w:rFonts w:hint="cs"/>
          <w:color w:val="0000FF"/>
          <w:sz w:val="28"/>
          <w:szCs w:val="28"/>
          <w:rtl/>
        </w:rPr>
        <w:t xml:space="preserve"> ،</w:t>
      </w:r>
      <w:r w:rsidRPr="00923B1A">
        <w:rPr>
          <w:rFonts w:hint="cs"/>
          <w:color w:val="0000FF"/>
          <w:sz w:val="28"/>
          <w:szCs w:val="28"/>
          <w:rtl/>
        </w:rPr>
        <w:t xml:space="preserve"> وهو يجعل كفيل الكفيل في علاقته بالدائن كما لو ك أن الكفيل الأصلي مدينا أصليا بالنسبة إلى حق رجوع الدائن عليه</w:t>
      </w:r>
      <w:r>
        <w:rPr>
          <w:rFonts w:hint="cs"/>
          <w:color w:val="0000FF"/>
          <w:sz w:val="28"/>
          <w:szCs w:val="28"/>
          <w:rtl/>
        </w:rPr>
        <w:t xml:space="preserve"> :</w:t>
      </w:r>
      <w:r w:rsidRPr="00923B1A">
        <w:rPr>
          <w:rFonts w:hint="cs"/>
          <w:color w:val="0000FF"/>
          <w:sz w:val="28"/>
          <w:szCs w:val="28"/>
          <w:rtl/>
        </w:rPr>
        <w:t xml:space="preserve"> "تجوز كفالة الكفيل</w:t>
      </w:r>
      <w:r>
        <w:rPr>
          <w:rFonts w:hint="cs"/>
          <w:color w:val="0000FF"/>
          <w:sz w:val="28"/>
          <w:szCs w:val="28"/>
          <w:rtl/>
        </w:rPr>
        <w:t xml:space="preserve"> ،</w:t>
      </w:r>
      <w:r w:rsidRPr="00923B1A">
        <w:rPr>
          <w:rFonts w:hint="cs"/>
          <w:color w:val="0000FF"/>
          <w:sz w:val="28"/>
          <w:szCs w:val="28"/>
          <w:rtl/>
        </w:rPr>
        <w:t xml:space="preserve"> وفي هذه الحالة لا يجوز للدائن أن يرجع على كفل الكفيل قبل رجوعه على الكفيل"</w:t>
      </w:r>
      <w:r>
        <w:rPr>
          <w:rFonts w:hint="cs"/>
          <w:color w:val="0000FF"/>
          <w:sz w:val="28"/>
          <w:szCs w:val="28"/>
          <w:rtl/>
        </w:rPr>
        <w:t xml:space="preserve"> ،</w:t>
      </w:r>
      <w:r w:rsidRPr="00923B1A">
        <w:rPr>
          <w:rFonts w:hint="cs"/>
          <w:color w:val="0000FF"/>
          <w:sz w:val="28"/>
          <w:szCs w:val="28"/>
          <w:rtl/>
        </w:rPr>
        <w:t xml:space="preserve"> وصاحب النص رقمه 865 في المشروع النهائي</w:t>
      </w:r>
      <w:r>
        <w:rPr>
          <w:rFonts w:hint="cs"/>
          <w:color w:val="0000FF"/>
          <w:sz w:val="28"/>
          <w:szCs w:val="28"/>
          <w:rtl/>
        </w:rPr>
        <w:t xml:space="preserve"> .</w:t>
      </w:r>
      <w:r w:rsidRPr="00923B1A">
        <w:rPr>
          <w:rFonts w:hint="cs"/>
          <w:color w:val="0000FF"/>
          <w:sz w:val="28"/>
          <w:szCs w:val="28"/>
          <w:rtl/>
        </w:rPr>
        <w:t xml:space="preserve"> وأضافت لجنة الشؤون التشريعية لمجلس النواب في آخر النص العبارة الآتية</w:t>
      </w:r>
      <w:r>
        <w:rPr>
          <w:rFonts w:hint="cs"/>
          <w:color w:val="0000FF"/>
          <w:sz w:val="28"/>
          <w:szCs w:val="28"/>
          <w:rtl/>
        </w:rPr>
        <w:t xml:space="preserve"> :</w:t>
      </w:r>
      <w:r w:rsidRPr="00923B1A">
        <w:rPr>
          <w:rFonts w:hint="cs"/>
          <w:color w:val="0000FF"/>
          <w:sz w:val="28"/>
          <w:szCs w:val="28"/>
          <w:rtl/>
        </w:rPr>
        <w:t xml:space="preserve"> "إلا إذا كان كفيل الكفيل متضامنا مع الكفيل" فأصبح النص</w:t>
      </w:r>
      <w:r>
        <w:rPr>
          <w:rFonts w:hint="cs"/>
          <w:color w:val="0000FF"/>
          <w:sz w:val="28"/>
          <w:szCs w:val="28"/>
          <w:rtl/>
        </w:rPr>
        <w:t xml:space="preserve"> ،</w:t>
      </w:r>
      <w:r w:rsidRPr="00923B1A">
        <w:rPr>
          <w:rFonts w:hint="cs"/>
          <w:color w:val="0000FF"/>
          <w:sz w:val="28"/>
          <w:szCs w:val="28"/>
          <w:rtl/>
        </w:rPr>
        <w:t xml:space="preserve"> تحت رقم 864</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مجلس النواب على المادة كما أقرتها لجنته</w:t>
      </w:r>
      <w:r>
        <w:rPr>
          <w:rFonts w:hint="cs"/>
          <w:color w:val="0000FF"/>
          <w:sz w:val="28"/>
          <w:szCs w:val="28"/>
          <w:rtl/>
        </w:rPr>
        <w:t xml:space="preserve"> ،</w:t>
      </w:r>
      <w:r w:rsidRPr="00923B1A">
        <w:rPr>
          <w:rFonts w:hint="cs"/>
          <w:color w:val="0000FF"/>
          <w:sz w:val="28"/>
          <w:szCs w:val="28"/>
          <w:rtl/>
        </w:rPr>
        <w:t xml:space="preserve"> ثم وافق عليهما مجلس الشيوخ تحت رقم 797 </w:t>
      </w:r>
      <w:r>
        <w:rPr>
          <w:rFonts w:hint="cs"/>
          <w:color w:val="0000FF"/>
          <w:sz w:val="28"/>
          <w:szCs w:val="28"/>
          <w:rtl/>
        </w:rPr>
        <w:t xml:space="preserve">( </w:t>
      </w:r>
      <w:r w:rsidRPr="00923B1A">
        <w:rPr>
          <w:rFonts w:hint="cs"/>
          <w:color w:val="0000FF"/>
          <w:sz w:val="28"/>
          <w:szCs w:val="28"/>
          <w:rtl/>
        </w:rPr>
        <w:t xml:space="preserve">مجموعة الأعمال التحضيرية 5 ص 531 </w:t>
      </w:r>
      <w:r w:rsidRPr="00923B1A">
        <w:rPr>
          <w:color w:val="0000FF"/>
          <w:sz w:val="28"/>
          <w:szCs w:val="28"/>
          <w:rtl/>
        </w:rPr>
        <w:t>–</w:t>
      </w:r>
      <w:r w:rsidRPr="00923B1A">
        <w:rPr>
          <w:rFonts w:hint="cs"/>
          <w:color w:val="0000FF"/>
          <w:sz w:val="28"/>
          <w:szCs w:val="28"/>
          <w:rtl/>
        </w:rPr>
        <w:t xml:space="preserve"> 536</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1039</w:t>
      </w:r>
      <w:r>
        <w:rPr>
          <w:rFonts w:hint="cs"/>
          <w:color w:val="0000FF"/>
          <w:sz w:val="28"/>
          <w:szCs w:val="28"/>
          <w:rtl/>
        </w:rPr>
        <w:t xml:space="preserve"> :</w:t>
      </w:r>
      <w:r w:rsidRPr="00923B1A">
        <w:rPr>
          <w:rFonts w:hint="cs"/>
          <w:color w:val="0000FF"/>
          <w:sz w:val="28"/>
          <w:szCs w:val="28"/>
          <w:rtl/>
        </w:rPr>
        <w:t xml:space="preserve"> الكفيل الذي يكفل الكفيل يعتبر في علاقته بالدائن كفيلا للكفيل</w:t>
      </w:r>
      <w:r>
        <w:rPr>
          <w:rFonts w:hint="cs"/>
          <w:color w:val="0000FF"/>
          <w:sz w:val="28"/>
          <w:szCs w:val="28"/>
          <w:rtl/>
        </w:rPr>
        <w:t xml:space="preserve"> ،</w:t>
      </w:r>
      <w:r w:rsidRPr="00923B1A">
        <w:rPr>
          <w:rFonts w:hint="cs"/>
          <w:color w:val="0000FF"/>
          <w:sz w:val="28"/>
          <w:szCs w:val="28"/>
          <w:rtl/>
        </w:rPr>
        <w:t xml:space="preserve"> وفي علاقته بالكفيل كما لو كان هذا الكفيل مدينا أصليا بالنسبة له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1063</w:t>
      </w:r>
      <w:r>
        <w:rPr>
          <w:rFonts w:hint="cs"/>
          <w:color w:val="0000FF"/>
          <w:sz w:val="28"/>
          <w:szCs w:val="28"/>
          <w:rtl/>
        </w:rPr>
        <w:t xml:space="preserve"> :</w:t>
      </w:r>
      <w:r w:rsidRPr="00923B1A">
        <w:rPr>
          <w:rFonts w:hint="cs"/>
          <w:color w:val="0000FF"/>
          <w:sz w:val="28"/>
          <w:szCs w:val="28"/>
          <w:rtl/>
        </w:rPr>
        <w:t xml:space="preserve"> تصح كفالة الكفيل كما تصح كفالة المديون الأصلي</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u w:val="single"/>
          <w:rtl/>
        </w:rPr>
      </w:pPr>
      <w:r w:rsidRPr="00923B1A">
        <w:rPr>
          <w:rFonts w:hint="cs"/>
          <w:color w:val="0000FF"/>
          <w:sz w:val="28"/>
          <w:szCs w:val="28"/>
          <w:rtl/>
        </w:rPr>
        <w:t>م 1076</w:t>
      </w:r>
      <w:r>
        <w:rPr>
          <w:rFonts w:hint="cs"/>
          <w:color w:val="0000FF"/>
          <w:sz w:val="28"/>
          <w:szCs w:val="28"/>
          <w:rtl/>
        </w:rPr>
        <w:t xml:space="preserve"> :</w:t>
      </w:r>
      <w:r w:rsidRPr="00923B1A">
        <w:rPr>
          <w:rFonts w:hint="cs"/>
          <w:color w:val="0000FF"/>
          <w:sz w:val="28"/>
          <w:szCs w:val="28"/>
          <w:rtl/>
        </w:rPr>
        <w:t xml:space="preserve"> لا يلزم كفيل الكفيل تجاه الدائن إلا إذا اصح المديون الأصلي وجميع الكفلاء في حالة العجز</w:t>
      </w:r>
      <w:r>
        <w:rPr>
          <w:rFonts w:hint="cs"/>
          <w:color w:val="0000FF"/>
          <w:sz w:val="28"/>
          <w:szCs w:val="28"/>
          <w:rtl/>
        </w:rPr>
        <w:t xml:space="preserve"> ،</w:t>
      </w:r>
      <w:r w:rsidRPr="00923B1A">
        <w:rPr>
          <w:rFonts w:hint="cs"/>
          <w:color w:val="0000FF"/>
          <w:sz w:val="28"/>
          <w:szCs w:val="28"/>
          <w:rtl/>
        </w:rPr>
        <w:t xml:space="preserve"> أو إذا برئت ذمتهم بناء على أسباب شخصية مختصة بالمديون أو بالكفلاء</w:t>
      </w:r>
      <w:r>
        <w:rPr>
          <w:rFonts w:hint="cs"/>
          <w:color w:val="0000FF"/>
          <w:sz w:val="28"/>
          <w:szCs w:val="28"/>
          <w:rtl/>
        </w:rPr>
        <w:t xml:space="preserve"> .</w:t>
      </w:r>
    </w:p>
  </w:footnote>
  <w:footnote w:id="31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1538 ص 98 </w:t>
      </w:r>
      <w:r w:rsidRPr="00923B1A">
        <w:rPr>
          <w:color w:val="0000FF"/>
          <w:sz w:val="28"/>
          <w:szCs w:val="28"/>
          <w:rtl/>
        </w:rPr>
        <w:t>–</w:t>
      </w:r>
      <w:r w:rsidRPr="00923B1A">
        <w:rPr>
          <w:rFonts w:hint="cs"/>
          <w:color w:val="0000FF"/>
          <w:sz w:val="28"/>
          <w:szCs w:val="28"/>
          <w:rtl/>
        </w:rPr>
        <w:t xml:space="preserve"> نانسي 19 نوفمبر سنة 1853 داللوز 55 </w:t>
      </w:r>
      <w:r w:rsidRPr="00923B1A">
        <w:rPr>
          <w:color w:val="0000FF"/>
          <w:sz w:val="28"/>
          <w:szCs w:val="28"/>
          <w:rtl/>
        </w:rPr>
        <w:t>–</w:t>
      </w:r>
      <w:r w:rsidRPr="00923B1A">
        <w:rPr>
          <w:rFonts w:hint="cs"/>
          <w:color w:val="0000FF"/>
          <w:sz w:val="28"/>
          <w:szCs w:val="28"/>
          <w:rtl/>
        </w:rPr>
        <w:t xml:space="preserve"> 5 </w:t>
      </w:r>
      <w:r w:rsidRPr="00923B1A">
        <w:rPr>
          <w:color w:val="0000FF"/>
          <w:sz w:val="28"/>
          <w:szCs w:val="28"/>
          <w:rtl/>
        </w:rPr>
        <w:t>–</w:t>
      </w:r>
      <w:r w:rsidRPr="00923B1A">
        <w:rPr>
          <w:rFonts w:hint="cs"/>
          <w:color w:val="0000FF"/>
          <w:sz w:val="28"/>
          <w:szCs w:val="28"/>
          <w:rtl/>
        </w:rPr>
        <w:t xml:space="preserve"> 64 </w:t>
      </w:r>
      <w:r w:rsidRPr="00923B1A">
        <w:rPr>
          <w:color w:val="0000FF"/>
          <w:sz w:val="28"/>
          <w:szCs w:val="28"/>
          <w:rtl/>
        </w:rPr>
        <w:t>–</w:t>
      </w:r>
      <w:r w:rsidRPr="00923B1A">
        <w:rPr>
          <w:rFonts w:hint="cs"/>
          <w:color w:val="0000FF"/>
          <w:sz w:val="28"/>
          <w:szCs w:val="28"/>
          <w:rtl/>
        </w:rPr>
        <w:t xml:space="preserve"> ركون الكفيل الثاني هو كفيل ثان للمدين الأصلي لا يفيد</w:t>
      </w:r>
      <w:r>
        <w:rPr>
          <w:rFonts w:hint="cs"/>
          <w:color w:val="0000FF"/>
          <w:sz w:val="28"/>
          <w:szCs w:val="28"/>
          <w:rtl/>
        </w:rPr>
        <w:t xml:space="preserve"> ،</w:t>
      </w:r>
      <w:r w:rsidRPr="00923B1A">
        <w:rPr>
          <w:rFonts w:hint="cs"/>
          <w:color w:val="0000FF"/>
          <w:sz w:val="28"/>
          <w:szCs w:val="28"/>
          <w:rtl/>
        </w:rPr>
        <w:t xml:space="preserve"> فيما يبدو</w:t>
      </w:r>
      <w:r>
        <w:rPr>
          <w:rFonts w:hint="cs"/>
          <w:color w:val="0000FF"/>
          <w:sz w:val="28"/>
          <w:szCs w:val="28"/>
          <w:rtl/>
        </w:rPr>
        <w:t xml:space="preserve"> ،</w:t>
      </w:r>
      <w:r w:rsidRPr="00923B1A">
        <w:rPr>
          <w:rFonts w:hint="cs"/>
          <w:color w:val="0000FF"/>
          <w:sz w:val="28"/>
          <w:szCs w:val="28"/>
          <w:rtl/>
        </w:rPr>
        <w:t xml:space="preserve"> أنه لا يتأخر عن الكفيل الأول في كفالته</w:t>
      </w:r>
      <w:r>
        <w:rPr>
          <w:rFonts w:hint="cs"/>
          <w:color w:val="0000FF"/>
          <w:sz w:val="28"/>
          <w:szCs w:val="28"/>
          <w:rtl/>
        </w:rPr>
        <w:t xml:space="preserve"> ،</w:t>
      </w:r>
      <w:r w:rsidRPr="00923B1A">
        <w:rPr>
          <w:rFonts w:hint="cs"/>
          <w:color w:val="0000FF"/>
          <w:sz w:val="28"/>
          <w:szCs w:val="28"/>
          <w:rtl/>
        </w:rPr>
        <w:t xml:space="preserve"> بل يكون كل كفيل من الكفيلين كفيلا للمدين الأصلي</w:t>
      </w:r>
      <w:r>
        <w:rPr>
          <w:rFonts w:hint="cs"/>
          <w:color w:val="0000FF"/>
          <w:sz w:val="28"/>
          <w:szCs w:val="28"/>
          <w:rtl/>
        </w:rPr>
        <w:t xml:space="preserve"> ،</w:t>
      </w:r>
      <w:r w:rsidRPr="00923B1A">
        <w:rPr>
          <w:rFonts w:hint="cs"/>
          <w:color w:val="0000FF"/>
          <w:sz w:val="28"/>
          <w:szCs w:val="28"/>
          <w:rtl/>
        </w:rPr>
        <w:t xml:space="preserve"> وتسري القواعد المتعلقة بتعدد الكفلاء</w:t>
      </w:r>
      <w:r>
        <w:rPr>
          <w:rFonts w:hint="cs"/>
          <w:color w:val="0000FF"/>
          <w:sz w:val="28"/>
          <w:szCs w:val="28"/>
          <w:rtl/>
        </w:rPr>
        <w:t xml:space="preserve"> .</w:t>
      </w:r>
    </w:p>
  </w:footnote>
  <w:footnote w:id="31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وهذا كله إذا كان الكفيل غير متضامن مع المدين الأصلي</w:t>
      </w:r>
      <w:r>
        <w:rPr>
          <w:rFonts w:hint="cs"/>
          <w:color w:val="0000FF"/>
          <w:sz w:val="28"/>
          <w:szCs w:val="28"/>
          <w:rtl/>
        </w:rPr>
        <w:t xml:space="preserve"> ،</w:t>
      </w:r>
      <w:r w:rsidRPr="00923B1A">
        <w:rPr>
          <w:rFonts w:hint="cs"/>
          <w:color w:val="0000FF"/>
          <w:sz w:val="28"/>
          <w:szCs w:val="28"/>
          <w:rtl/>
        </w:rPr>
        <w:t xml:space="preserve"> أما إذا كان متضامناً معه فلا يملك كفيل الكفيل طلب سبق الرجوع على المدين أولا ولا تجريده</w:t>
      </w:r>
      <w:r>
        <w:rPr>
          <w:rFonts w:hint="cs"/>
          <w:color w:val="0000FF"/>
          <w:sz w:val="28"/>
          <w:szCs w:val="28"/>
          <w:rtl/>
        </w:rPr>
        <w:t xml:space="preserve"> ،</w:t>
      </w:r>
      <w:r w:rsidRPr="00923B1A">
        <w:rPr>
          <w:rFonts w:hint="cs"/>
          <w:color w:val="0000FF"/>
          <w:sz w:val="28"/>
          <w:szCs w:val="28"/>
          <w:rtl/>
        </w:rPr>
        <w:t xml:space="preserve"> ولكن يملك طلب سبق الرجوع على الكفيل وتجريده </w:t>
      </w:r>
      <w:r>
        <w:rPr>
          <w:rFonts w:hint="cs"/>
          <w:color w:val="0000FF"/>
          <w:sz w:val="28"/>
          <w:szCs w:val="28"/>
          <w:rtl/>
        </w:rPr>
        <w:t xml:space="preserve">( </w:t>
      </w:r>
      <w:r w:rsidRPr="00923B1A">
        <w:rPr>
          <w:rFonts w:hint="cs"/>
          <w:color w:val="0000FF"/>
          <w:sz w:val="28"/>
          <w:szCs w:val="28"/>
          <w:rtl/>
        </w:rPr>
        <w:t>قارن سليمان مرقس فقرة 90</w:t>
      </w:r>
      <w:r>
        <w:rPr>
          <w:rFonts w:hint="cs"/>
          <w:color w:val="0000FF"/>
          <w:sz w:val="28"/>
          <w:szCs w:val="28"/>
          <w:rtl/>
        </w:rPr>
        <w:t xml:space="preserve"> ) .</w:t>
      </w:r>
    </w:p>
  </w:footnote>
  <w:footnote w:id="32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41</w:t>
      </w:r>
      <w:r>
        <w:rPr>
          <w:rFonts w:hint="cs"/>
          <w:color w:val="0000FF"/>
          <w:sz w:val="28"/>
          <w:szCs w:val="28"/>
          <w:rtl/>
        </w:rPr>
        <w:t xml:space="preserve"> .</w:t>
      </w:r>
    </w:p>
  </w:footnote>
  <w:footnote w:id="32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40 </w:t>
      </w:r>
      <w:r w:rsidRPr="00923B1A">
        <w:rPr>
          <w:color w:val="0000FF"/>
          <w:sz w:val="28"/>
          <w:szCs w:val="28"/>
          <w:rtl/>
        </w:rPr>
        <w:t>–</w:t>
      </w:r>
      <w:r w:rsidRPr="00923B1A">
        <w:rPr>
          <w:rFonts w:hint="cs"/>
          <w:color w:val="0000FF"/>
          <w:sz w:val="28"/>
          <w:szCs w:val="28"/>
          <w:rtl/>
        </w:rPr>
        <w:t xml:space="preserve"> فقرة 42</w:t>
      </w:r>
      <w:r>
        <w:rPr>
          <w:rFonts w:hint="cs"/>
          <w:color w:val="0000FF"/>
          <w:sz w:val="28"/>
          <w:szCs w:val="28"/>
          <w:rtl/>
        </w:rPr>
        <w:t xml:space="preserve"> .</w:t>
      </w:r>
    </w:p>
  </w:footnote>
  <w:footnote w:id="32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45 </w:t>
      </w:r>
      <w:r w:rsidRPr="00923B1A">
        <w:rPr>
          <w:color w:val="0000FF"/>
          <w:sz w:val="28"/>
          <w:szCs w:val="28"/>
          <w:rtl/>
        </w:rPr>
        <w:t>–</w:t>
      </w:r>
      <w:r w:rsidRPr="00923B1A">
        <w:rPr>
          <w:rFonts w:hint="cs"/>
          <w:color w:val="0000FF"/>
          <w:sz w:val="28"/>
          <w:szCs w:val="28"/>
          <w:rtl/>
        </w:rPr>
        <w:t xml:space="preserve"> فقرة 46</w:t>
      </w:r>
      <w:r>
        <w:rPr>
          <w:rFonts w:hint="cs"/>
          <w:color w:val="0000FF"/>
          <w:sz w:val="28"/>
          <w:szCs w:val="28"/>
          <w:rtl/>
        </w:rPr>
        <w:t xml:space="preserve"> .</w:t>
      </w:r>
    </w:p>
  </w:footnote>
  <w:footnote w:id="32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46</w:t>
      </w:r>
      <w:r>
        <w:rPr>
          <w:rFonts w:hint="cs"/>
          <w:color w:val="0000FF"/>
          <w:sz w:val="28"/>
          <w:szCs w:val="28"/>
          <w:rtl/>
        </w:rPr>
        <w:t xml:space="preserve"> .</w:t>
      </w:r>
    </w:p>
  </w:footnote>
  <w:footnote w:id="32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50</w:t>
      </w:r>
      <w:r>
        <w:rPr>
          <w:rFonts w:hint="cs"/>
          <w:color w:val="0000FF"/>
          <w:sz w:val="28"/>
          <w:szCs w:val="28"/>
          <w:rtl/>
        </w:rPr>
        <w:t xml:space="preserve"> .</w:t>
      </w:r>
    </w:p>
  </w:footnote>
  <w:footnote w:id="32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1538 </w:t>
      </w:r>
      <w:r w:rsidRPr="00923B1A">
        <w:rPr>
          <w:color w:val="0000FF"/>
          <w:sz w:val="28"/>
          <w:szCs w:val="28"/>
          <w:rtl/>
        </w:rPr>
        <w:t>–</w:t>
      </w:r>
      <w:r w:rsidRPr="00923B1A">
        <w:rPr>
          <w:rFonts w:hint="cs"/>
          <w:color w:val="0000FF"/>
          <w:sz w:val="28"/>
          <w:szCs w:val="28"/>
          <w:rtl/>
        </w:rPr>
        <w:t xml:space="preserve"> ويقول الأستاذ منصور مصطفى منصور في هذا المعنى</w:t>
      </w:r>
      <w:r>
        <w:rPr>
          <w:rFonts w:hint="cs"/>
          <w:color w:val="0000FF"/>
          <w:sz w:val="28"/>
          <w:szCs w:val="28"/>
          <w:rtl/>
        </w:rPr>
        <w:t xml:space="preserve"> :</w:t>
      </w:r>
      <w:r w:rsidRPr="00923B1A">
        <w:rPr>
          <w:rFonts w:hint="cs"/>
          <w:color w:val="0000FF"/>
          <w:sz w:val="28"/>
          <w:szCs w:val="28"/>
          <w:rtl/>
        </w:rPr>
        <w:t xml:space="preserve"> "ولا يؤثر تضامن الكفيل مع المدين في حق كفيل الكفيل في الدفع بتجريد الكفيل إذا لم يكن متضامنا معه</w:t>
      </w:r>
      <w:r>
        <w:rPr>
          <w:rFonts w:hint="cs"/>
          <w:color w:val="0000FF"/>
          <w:sz w:val="28"/>
          <w:szCs w:val="28"/>
          <w:rtl/>
        </w:rPr>
        <w:t xml:space="preserve"> .</w:t>
      </w:r>
      <w:r w:rsidRPr="00923B1A">
        <w:rPr>
          <w:rFonts w:hint="cs"/>
          <w:color w:val="0000FF"/>
          <w:sz w:val="28"/>
          <w:szCs w:val="28"/>
          <w:rtl/>
        </w:rPr>
        <w:t xml:space="preserve"> ولكن تضامن الكفيل مع المدين يمنع كفيل الكفيل</w:t>
      </w:r>
      <w:r>
        <w:rPr>
          <w:rFonts w:hint="cs"/>
          <w:color w:val="0000FF"/>
          <w:sz w:val="28"/>
          <w:szCs w:val="28"/>
          <w:rtl/>
        </w:rPr>
        <w:t xml:space="preserve"> ،</w:t>
      </w:r>
      <w:r w:rsidRPr="00923B1A">
        <w:rPr>
          <w:rFonts w:hint="cs"/>
          <w:color w:val="0000FF"/>
          <w:sz w:val="28"/>
          <w:szCs w:val="28"/>
          <w:rtl/>
        </w:rPr>
        <w:t xml:space="preserve"> فيما نرى</w:t>
      </w:r>
      <w:r>
        <w:rPr>
          <w:rFonts w:hint="cs"/>
          <w:color w:val="0000FF"/>
          <w:sz w:val="28"/>
          <w:szCs w:val="28"/>
          <w:rtl/>
        </w:rPr>
        <w:t xml:space="preserve"> ،</w:t>
      </w:r>
      <w:r w:rsidRPr="00923B1A">
        <w:rPr>
          <w:rFonts w:hint="cs"/>
          <w:color w:val="0000FF"/>
          <w:sz w:val="28"/>
          <w:szCs w:val="28"/>
          <w:rtl/>
        </w:rPr>
        <w:t xml:space="preserve"> ولو لم يكن متضامنا مع المدين من الدفع بتجريد المدين ما دام الكفيل نفسه لا يستطيع أن يدفع بتجريد المدين وإلا لترتب على وجود كفيل الكفيل الانتقاص من حقوق الدائن </w:t>
      </w:r>
      <w:r>
        <w:rPr>
          <w:rFonts w:hint="cs"/>
          <w:color w:val="0000FF"/>
          <w:sz w:val="28"/>
          <w:szCs w:val="28"/>
          <w:rtl/>
        </w:rPr>
        <w:t xml:space="preserve">( </w:t>
      </w:r>
      <w:r w:rsidRPr="00923B1A">
        <w:rPr>
          <w:rFonts w:hint="cs"/>
          <w:color w:val="0000FF"/>
          <w:sz w:val="28"/>
          <w:szCs w:val="28"/>
          <w:rtl/>
        </w:rPr>
        <w:t>منصور مصطفى منصور فقرة 45 ص 84</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انظر عكس ذلك عبد الفتاح عبد الباقي فقرة 132 </w:t>
      </w:r>
      <w:r w:rsidRPr="00923B1A">
        <w:rPr>
          <w:color w:val="0000FF"/>
          <w:sz w:val="28"/>
          <w:szCs w:val="28"/>
          <w:rtl/>
        </w:rPr>
        <w:t>–</w:t>
      </w:r>
      <w:r w:rsidRPr="00923B1A">
        <w:rPr>
          <w:rFonts w:hint="cs"/>
          <w:color w:val="0000FF"/>
          <w:sz w:val="28"/>
          <w:szCs w:val="28"/>
          <w:rtl/>
        </w:rPr>
        <w:t xml:space="preserve"> سليمان مرقس فقرة 77 ص 79 </w:t>
      </w:r>
      <w:r w:rsidRPr="00923B1A">
        <w:rPr>
          <w:color w:val="0000FF"/>
          <w:sz w:val="28"/>
          <w:szCs w:val="28"/>
          <w:rtl/>
        </w:rPr>
        <w:t>–</w:t>
      </w:r>
      <w:r w:rsidRPr="00923B1A">
        <w:rPr>
          <w:rFonts w:hint="cs"/>
          <w:color w:val="0000FF"/>
          <w:sz w:val="28"/>
          <w:szCs w:val="28"/>
          <w:rtl/>
        </w:rPr>
        <w:t xml:space="preserve"> محمد علي إمام فقرة 61 ص 99</w:t>
      </w:r>
      <w:r>
        <w:rPr>
          <w:rFonts w:hint="cs"/>
          <w:color w:val="0000FF"/>
          <w:sz w:val="28"/>
          <w:szCs w:val="28"/>
          <w:rtl/>
        </w:rPr>
        <w:t xml:space="preserve"> .</w:t>
      </w:r>
    </w:p>
  </w:footnote>
  <w:footnote w:id="32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وإذا رفع الدائن الدعوى على كفيل الكفيل</w:t>
      </w:r>
      <w:r>
        <w:rPr>
          <w:rFonts w:hint="cs"/>
          <w:color w:val="0000FF"/>
          <w:sz w:val="28"/>
          <w:szCs w:val="28"/>
          <w:rtl/>
        </w:rPr>
        <w:t xml:space="preserve"> ،</w:t>
      </w:r>
      <w:r w:rsidRPr="00923B1A">
        <w:rPr>
          <w:rFonts w:hint="cs"/>
          <w:color w:val="0000FF"/>
          <w:sz w:val="28"/>
          <w:szCs w:val="28"/>
          <w:rtl/>
        </w:rPr>
        <w:t xml:space="preserve"> كان لهذا أن يدخل الكفل في الدعوى وكذلك المدين</w:t>
      </w:r>
      <w:r>
        <w:rPr>
          <w:rFonts w:hint="cs"/>
          <w:color w:val="0000FF"/>
          <w:sz w:val="28"/>
          <w:szCs w:val="28"/>
          <w:rtl/>
        </w:rPr>
        <w:t xml:space="preserve"> ،</w:t>
      </w:r>
      <w:r w:rsidRPr="00923B1A">
        <w:rPr>
          <w:rFonts w:hint="cs"/>
          <w:color w:val="0000FF"/>
          <w:sz w:val="28"/>
          <w:szCs w:val="28"/>
          <w:rtl/>
        </w:rPr>
        <w:t xml:space="preserve"> ليحكم على كل منهما بأن يرد الكفيل ما عسى أن يحكم به على هذا الأخير إذا نفذ هذا ما حكم به عليه </w:t>
      </w:r>
      <w:r>
        <w:rPr>
          <w:rFonts w:hint="cs"/>
          <w:color w:val="0000FF"/>
          <w:sz w:val="28"/>
          <w:szCs w:val="28"/>
          <w:rtl/>
        </w:rPr>
        <w:t xml:space="preserve">( </w:t>
      </w:r>
      <w:r w:rsidRPr="00923B1A">
        <w:rPr>
          <w:rFonts w:hint="cs"/>
          <w:color w:val="0000FF"/>
          <w:sz w:val="28"/>
          <w:szCs w:val="28"/>
          <w:rtl/>
        </w:rPr>
        <w:t xml:space="preserve">استئناف مختلط 5 يونيه سنة </w:t>
      </w:r>
      <w:smartTag w:uri="urn:schemas-microsoft-com:office:smarttags" w:element="metricconverter">
        <w:smartTagPr>
          <w:attr w:name="ProductID" w:val="1934 م"/>
        </w:smartTagPr>
        <w:r w:rsidRPr="00923B1A">
          <w:rPr>
            <w:rFonts w:hint="cs"/>
            <w:color w:val="0000FF"/>
            <w:sz w:val="28"/>
            <w:szCs w:val="28"/>
            <w:rtl/>
          </w:rPr>
          <w:t>1934 م</w:t>
        </w:r>
      </w:smartTag>
      <w:r w:rsidRPr="00923B1A">
        <w:rPr>
          <w:rFonts w:hint="cs"/>
          <w:color w:val="0000FF"/>
          <w:sz w:val="28"/>
          <w:szCs w:val="28"/>
          <w:rtl/>
        </w:rPr>
        <w:t xml:space="preserve"> 46 ص 314 </w:t>
      </w:r>
      <w:r w:rsidRPr="00923B1A">
        <w:rPr>
          <w:color w:val="0000FF"/>
          <w:sz w:val="28"/>
          <w:szCs w:val="28"/>
          <w:rtl/>
        </w:rPr>
        <w:t>–</w:t>
      </w:r>
      <w:r w:rsidRPr="00923B1A">
        <w:rPr>
          <w:rFonts w:hint="cs"/>
          <w:color w:val="0000FF"/>
          <w:sz w:val="28"/>
          <w:szCs w:val="28"/>
          <w:rtl/>
        </w:rPr>
        <w:t xml:space="preserve"> سليمان مرقس فقرة 90 ص 105</w:t>
      </w:r>
      <w:r>
        <w:rPr>
          <w:rFonts w:hint="cs"/>
          <w:color w:val="0000FF"/>
          <w:sz w:val="28"/>
          <w:szCs w:val="28"/>
          <w:rtl/>
        </w:rPr>
        <w:t xml:space="preserve"> ) .</w:t>
      </w:r>
    </w:p>
  </w:footnote>
  <w:footnote w:id="32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1150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"1- لا يفترض التضامن ما ين الكفيل والمدين</w:t>
      </w:r>
      <w:r>
        <w:rPr>
          <w:rFonts w:hint="cs"/>
          <w:color w:val="0000FF"/>
          <w:sz w:val="28"/>
          <w:szCs w:val="28"/>
          <w:rtl/>
        </w:rPr>
        <w:t xml:space="preserve"> ،</w:t>
      </w:r>
      <w:r w:rsidRPr="00923B1A">
        <w:rPr>
          <w:rFonts w:hint="cs"/>
          <w:color w:val="0000FF"/>
          <w:sz w:val="28"/>
          <w:szCs w:val="28"/>
          <w:rtl/>
        </w:rPr>
        <w:t xml:space="preserve"> بل يجب اشتراط التضامن في عقد الكفالة أو في عقد منفصل</w:t>
      </w:r>
      <w:r>
        <w:rPr>
          <w:rFonts w:hint="cs"/>
          <w:color w:val="0000FF"/>
          <w:sz w:val="28"/>
          <w:szCs w:val="28"/>
          <w:rtl/>
        </w:rPr>
        <w:t xml:space="preserve"> .</w:t>
      </w:r>
      <w:r w:rsidRPr="00923B1A">
        <w:rPr>
          <w:rFonts w:hint="cs"/>
          <w:color w:val="0000FF"/>
          <w:sz w:val="28"/>
          <w:szCs w:val="28"/>
          <w:rtl/>
        </w:rPr>
        <w:t xml:space="preserve"> 2- كذلك يجب اشتراط التضامن ما بين الكفلاء الملتزمين بعقد واحد</w:t>
      </w:r>
      <w:r>
        <w:rPr>
          <w:rFonts w:hint="cs"/>
          <w:color w:val="0000FF"/>
          <w:sz w:val="28"/>
          <w:szCs w:val="28"/>
          <w:rtl/>
        </w:rPr>
        <w:t xml:space="preserve"> .</w:t>
      </w:r>
      <w:r w:rsidRPr="00923B1A">
        <w:rPr>
          <w:rFonts w:hint="cs"/>
          <w:color w:val="0000FF"/>
          <w:sz w:val="28"/>
          <w:szCs w:val="28"/>
          <w:rtl/>
        </w:rPr>
        <w:t xml:space="preserve"> 3- أما في الكفالة القضائية أو القانونية</w:t>
      </w:r>
      <w:r>
        <w:rPr>
          <w:rFonts w:hint="cs"/>
          <w:color w:val="0000FF"/>
          <w:sz w:val="28"/>
          <w:szCs w:val="28"/>
          <w:rtl/>
        </w:rPr>
        <w:t xml:space="preserve"> ،</w:t>
      </w:r>
      <w:r w:rsidRPr="00923B1A">
        <w:rPr>
          <w:rFonts w:hint="cs"/>
          <w:color w:val="0000FF"/>
          <w:sz w:val="28"/>
          <w:szCs w:val="28"/>
          <w:rtl/>
        </w:rPr>
        <w:t xml:space="preserve"> فيكون الكفلاء دائما متضامنين"</w:t>
      </w:r>
      <w:r>
        <w:rPr>
          <w:rFonts w:hint="cs"/>
          <w:color w:val="0000FF"/>
          <w:sz w:val="28"/>
          <w:szCs w:val="28"/>
          <w:rtl/>
        </w:rPr>
        <w:t xml:space="preserve"> .</w:t>
      </w:r>
      <w:r w:rsidRPr="00923B1A">
        <w:rPr>
          <w:rFonts w:hint="cs"/>
          <w:color w:val="0000FF"/>
          <w:sz w:val="28"/>
          <w:szCs w:val="28"/>
          <w:rtl/>
        </w:rPr>
        <w:t xml:space="preserve"> وفي لجنة المراجعة حذفت الفقرتان الأولى والثانية لأنهما تطبيق للقواعد العامة</w:t>
      </w:r>
      <w:r>
        <w:rPr>
          <w:rFonts w:hint="cs"/>
          <w:color w:val="0000FF"/>
          <w:sz w:val="28"/>
          <w:szCs w:val="28"/>
          <w:rtl/>
        </w:rPr>
        <w:t xml:space="preserve"> ،</w:t>
      </w:r>
      <w:r w:rsidRPr="00923B1A">
        <w:rPr>
          <w:rFonts w:hint="cs"/>
          <w:color w:val="0000FF"/>
          <w:sz w:val="28"/>
          <w:szCs w:val="28"/>
          <w:rtl/>
        </w:rPr>
        <w:t xml:space="preserve"> واستبقيت الفقرة الثالثة</w:t>
      </w:r>
      <w:r>
        <w:rPr>
          <w:rFonts w:hint="cs"/>
          <w:color w:val="0000FF"/>
          <w:sz w:val="28"/>
          <w:szCs w:val="28"/>
          <w:rtl/>
        </w:rPr>
        <w:t xml:space="preserve"> ،</w:t>
      </w:r>
      <w:r w:rsidRPr="00923B1A">
        <w:rPr>
          <w:rFonts w:hint="cs"/>
          <w:color w:val="0000FF"/>
          <w:sz w:val="28"/>
          <w:szCs w:val="28"/>
          <w:rtl/>
        </w:rPr>
        <w:t xml:space="preserve"> فأصبح النص</w:t>
      </w:r>
      <w:r>
        <w:rPr>
          <w:rFonts w:hint="cs"/>
          <w:color w:val="0000FF"/>
          <w:sz w:val="28"/>
          <w:szCs w:val="28"/>
          <w:rtl/>
        </w:rPr>
        <w:t xml:space="preserve"> ،</w:t>
      </w:r>
      <w:r w:rsidRPr="00923B1A">
        <w:rPr>
          <w:rFonts w:hint="cs"/>
          <w:color w:val="0000FF"/>
          <w:sz w:val="28"/>
          <w:szCs w:val="28"/>
          <w:rtl/>
        </w:rPr>
        <w:t xml:space="preserve"> تحت رقم 863 في المشروع النهائي</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عليه مجلس النواب تحت رقم 862</w:t>
      </w:r>
      <w:r>
        <w:rPr>
          <w:rFonts w:hint="cs"/>
          <w:color w:val="0000FF"/>
          <w:sz w:val="28"/>
          <w:szCs w:val="28"/>
          <w:rtl/>
        </w:rPr>
        <w:t xml:space="preserve"> ،</w:t>
      </w:r>
      <w:r w:rsidRPr="00923B1A">
        <w:rPr>
          <w:rFonts w:hint="cs"/>
          <w:color w:val="0000FF"/>
          <w:sz w:val="28"/>
          <w:szCs w:val="28"/>
          <w:rtl/>
        </w:rPr>
        <w:t xml:space="preserve"> ثم مجلس الشيوخ تحت رقم 795 </w:t>
      </w:r>
      <w:r>
        <w:rPr>
          <w:rFonts w:hint="cs"/>
          <w:color w:val="0000FF"/>
          <w:sz w:val="28"/>
          <w:szCs w:val="28"/>
          <w:rtl/>
        </w:rPr>
        <w:t xml:space="preserve">( </w:t>
      </w:r>
      <w:r w:rsidRPr="00923B1A">
        <w:rPr>
          <w:rFonts w:hint="cs"/>
          <w:color w:val="0000FF"/>
          <w:sz w:val="28"/>
          <w:szCs w:val="28"/>
          <w:rtl/>
        </w:rPr>
        <w:t xml:space="preserve">مجموعة الأعمال التحضيرية 5 ص 527 </w:t>
      </w:r>
      <w:r w:rsidRPr="00923B1A">
        <w:rPr>
          <w:color w:val="0000FF"/>
          <w:sz w:val="28"/>
          <w:szCs w:val="28"/>
          <w:rtl/>
        </w:rPr>
        <w:t>–</w:t>
      </w:r>
      <w:r w:rsidRPr="00923B1A">
        <w:rPr>
          <w:rFonts w:hint="cs"/>
          <w:color w:val="0000FF"/>
          <w:sz w:val="28"/>
          <w:szCs w:val="28"/>
          <w:rtl/>
        </w:rPr>
        <w:t xml:space="preserve"> ص 529</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498/608</w:t>
      </w:r>
      <w:r>
        <w:rPr>
          <w:rFonts w:hint="cs"/>
          <w:color w:val="0000FF"/>
          <w:sz w:val="28"/>
          <w:szCs w:val="28"/>
          <w:rtl/>
        </w:rPr>
        <w:t xml:space="preserve"> :</w:t>
      </w:r>
      <w:r w:rsidRPr="00923B1A">
        <w:rPr>
          <w:rFonts w:hint="cs"/>
          <w:color w:val="0000FF"/>
          <w:sz w:val="28"/>
          <w:szCs w:val="28"/>
          <w:rtl/>
        </w:rPr>
        <w:t xml:space="preserve"> في حالة عدم وجود شرط صريح</w:t>
      </w:r>
      <w:r>
        <w:rPr>
          <w:rFonts w:hint="cs"/>
          <w:color w:val="0000FF"/>
          <w:sz w:val="28"/>
          <w:szCs w:val="28"/>
          <w:rtl/>
        </w:rPr>
        <w:t xml:space="preserve"> ،</w:t>
      </w:r>
      <w:r w:rsidRPr="00923B1A">
        <w:rPr>
          <w:rFonts w:hint="cs"/>
          <w:color w:val="0000FF"/>
          <w:sz w:val="28"/>
          <w:szCs w:val="28"/>
          <w:rtl/>
        </w:rPr>
        <w:t xml:space="preserve"> لا تكون الكفالة إلا على أصل الدين</w:t>
      </w:r>
      <w:r>
        <w:rPr>
          <w:rFonts w:hint="cs"/>
          <w:color w:val="0000FF"/>
          <w:sz w:val="28"/>
          <w:szCs w:val="28"/>
          <w:rtl/>
        </w:rPr>
        <w:t xml:space="preserve"> ،</w:t>
      </w:r>
      <w:r w:rsidRPr="00923B1A">
        <w:rPr>
          <w:rFonts w:hint="cs"/>
          <w:color w:val="0000FF"/>
          <w:sz w:val="28"/>
          <w:szCs w:val="28"/>
          <w:rtl/>
        </w:rPr>
        <w:t xml:space="preserve"> ولا توجب التضامن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499/609</w:t>
      </w:r>
      <w:r>
        <w:rPr>
          <w:rFonts w:hint="cs"/>
          <w:color w:val="0000FF"/>
          <w:sz w:val="28"/>
          <w:szCs w:val="28"/>
          <w:rtl/>
        </w:rPr>
        <w:t xml:space="preserve"> :</w:t>
      </w:r>
      <w:r w:rsidRPr="00923B1A">
        <w:rPr>
          <w:rFonts w:hint="cs"/>
          <w:color w:val="0000FF"/>
          <w:sz w:val="28"/>
          <w:szCs w:val="28"/>
          <w:rtl/>
        </w:rPr>
        <w:t xml:space="preserve"> أما الكفالة التي تؤخذ بالحاكم أو بناء على حكم</w:t>
      </w:r>
      <w:r>
        <w:rPr>
          <w:rFonts w:hint="cs"/>
          <w:color w:val="0000FF"/>
          <w:sz w:val="28"/>
          <w:szCs w:val="28"/>
          <w:rtl/>
        </w:rPr>
        <w:t xml:space="preserve"> ،</w:t>
      </w:r>
      <w:r w:rsidRPr="00923B1A">
        <w:rPr>
          <w:rFonts w:hint="cs"/>
          <w:color w:val="0000FF"/>
          <w:sz w:val="28"/>
          <w:szCs w:val="28"/>
          <w:rtl/>
        </w:rPr>
        <w:t xml:space="preserve"> فتستلزم التضامن حتما مع كفالة الفوائد والمصاريف</w:t>
      </w:r>
      <w:r>
        <w:rPr>
          <w:rFonts w:hint="cs"/>
          <w:color w:val="0000FF"/>
          <w:sz w:val="28"/>
          <w:szCs w:val="28"/>
          <w:rtl/>
        </w:rPr>
        <w:t xml:space="preserve">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504/615</w:t>
      </w:r>
      <w:r>
        <w:rPr>
          <w:rFonts w:hint="cs"/>
          <w:color w:val="0000FF"/>
          <w:sz w:val="28"/>
          <w:szCs w:val="28"/>
          <w:rtl/>
        </w:rPr>
        <w:t xml:space="preserve"> :</w:t>
      </w:r>
      <w:r w:rsidRPr="00923B1A">
        <w:rPr>
          <w:rFonts w:hint="cs"/>
          <w:color w:val="0000FF"/>
          <w:sz w:val="28"/>
          <w:szCs w:val="28"/>
          <w:rtl/>
        </w:rPr>
        <w:t xml:space="preserve"> في حالة تعدد الكفلاء لدين واحد بعقد واحد بغير شرط التضامن</w:t>
      </w:r>
      <w:r>
        <w:rPr>
          <w:rFonts w:hint="cs"/>
          <w:color w:val="0000FF"/>
          <w:sz w:val="28"/>
          <w:szCs w:val="28"/>
          <w:rtl/>
        </w:rPr>
        <w:t xml:space="preserve"> ،</w:t>
      </w:r>
      <w:r w:rsidRPr="00923B1A">
        <w:rPr>
          <w:rFonts w:hint="cs"/>
          <w:color w:val="0000FF"/>
          <w:sz w:val="28"/>
          <w:szCs w:val="28"/>
          <w:rtl/>
        </w:rPr>
        <w:t xml:space="preserve"> لا يجوز لرب الدين إلا مطالبة كل منهم بقدر حصته في الكفالة</w:t>
      </w:r>
      <w:r>
        <w:rPr>
          <w:rFonts w:hint="cs"/>
          <w:color w:val="0000FF"/>
          <w:sz w:val="28"/>
          <w:szCs w:val="28"/>
          <w:rtl/>
        </w:rPr>
        <w:t xml:space="preserve"> .</w:t>
      </w:r>
      <w:r w:rsidRPr="00923B1A">
        <w:rPr>
          <w:rFonts w:hint="cs"/>
          <w:color w:val="0000FF"/>
          <w:sz w:val="28"/>
          <w:szCs w:val="28"/>
          <w:rtl/>
        </w:rPr>
        <w:t xml:space="preserve"> وأما إذا كانت الكفالة حاصلة بعدة عقود متوالية</w:t>
      </w:r>
      <w:r>
        <w:rPr>
          <w:rFonts w:hint="cs"/>
          <w:color w:val="0000FF"/>
          <w:sz w:val="28"/>
          <w:szCs w:val="28"/>
          <w:rtl/>
        </w:rPr>
        <w:t xml:space="preserve"> ،</w:t>
      </w:r>
      <w:r w:rsidRPr="00923B1A">
        <w:rPr>
          <w:rFonts w:hint="cs"/>
          <w:color w:val="0000FF"/>
          <w:sz w:val="28"/>
          <w:szCs w:val="28"/>
          <w:rtl/>
        </w:rPr>
        <w:t xml:space="preserve"> فهذا لا يدل على تضامن الكفلاء</w:t>
      </w:r>
      <w:r>
        <w:rPr>
          <w:rFonts w:hint="cs"/>
          <w:color w:val="0000FF"/>
          <w:sz w:val="28"/>
          <w:szCs w:val="28"/>
          <w:rtl/>
        </w:rPr>
        <w:t xml:space="preserve"> ،</w:t>
      </w:r>
      <w:r w:rsidRPr="00923B1A">
        <w:rPr>
          <w:rFonts w:hint="cs"/>
          <w:color w:val="0000FF"/>
          <w:sz w:val="28"/>
          <w:szCs w:val="28"/>
          <w:rtl/>
        </w:rPr>
        <w:t xml:space="preserve"> ولكن قد يتضح التضامن من قرائن الأحوال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السوري م 761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الليبي م 804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التقنين المدني العراقي م 1030</w:t>
      </w:r>
      <w:r>
        <w:rPr>
          <w:rFonts w:hint="cs"/>
          <w:color w:val="0000FF"/>
          <w:sz w:val="28"/>
          <w:szCs w:val="28"/>
          <w:rtl/>
        </w:rPr>
        <w:t xml:space="preserve"> :</w:t>
      </w:r>
      <w:r w:rsidRPr="00923B1A">
        <w:rPr>
          <w:rFonts w:hint="cs"/>
          <w:color w:val="0000FF"/>
          <w:sz w:val="28"/>
          <w:szCs w:val="28"/>
          <w:rtl/>
        </w:rPr>
        <w:t xml:space="preserve"> 1- لا تضامن بين الكفيل والمدين ما لم يشترط ذلك في عقد الكفالة أو في عقد منفصل</w:t>
      </w:r>
      <w:r>
        <w:rPr>
          <w:rFonts w:hint="cs"/>
          <w:color w:val="0000FF"/>
          <w:sz w:val="28"/>
          <w:szCs w:val="28"/>
          <w:rtl/>
        </w:rPr>
        <w:t xml:space="preserve"> .</w:t>
      </w:r>
      <w:r w:rsidRPr="00923B1A">
        <w:rPr>
          <w:rFonts w:hint="cs"/>
          <w:color w:val="0000FF"/>
          <w:sz w:val="28"/>
          <w:szCs w:val="28"/>
          <w:rtl/>
        </w:rPr>
        <w:t xml:space="preserve"> 2- أما في الكفالة القضائية والقانونية والتجارية</w:t>
      </w:r>
      <w:r>
        <w:rPr>
          <w:rFonts w:hint="cs"/>
          <w:color w:val="0000FF"/>
          <w:sz w:val="28"/>
          <w:szCs w:val="28"/>
          <w:rtl/>
        </w:rPr>
        <w:t xml:space="preserve"> ،</w:t>
      </w:r>
      <w:r w:rsidRPr="00923B1A">
        <w:rPr>
          <w:rFonts w:hint="cs"/>
          <w:color w:val="0000FF"/>
          <w:sz w:val="28"/>
          <w:szCs w:val="28"/>
          <w:rtl/>
        </w:rPr>
        <w:t xml:space="preserve"> فيكون الكفلاء متضامنين فيما بينهم ومتضامنين مع المدين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قانون الموجبات والعقود اللبناني م 1069</w:t>
      </w:r>
      <w:r>
        <w:rPr>
          <w:rFonts w:hint="cs"/>
          <w:color w:val="0000FF"/>
          <w:sz w:val="28"/>
          <w:szCs w:val="28"/>
          <w:rtl/>
        </w:rPr>
        <w:t xml:space="preserve"> :</w:t>
      </w:r>
      <w:r w:rsidRPr="00923B1A">
        <w:rPr>
          <w:rFonts w:hint="cs"/>
          <w:color w:val="0000FF"/>
          <w:sz w:val="28"/>
          <w:szCs w:val="28"/>
          <w:rtl/>
        </w:rPr>
        <w:t xml:space="preserve"> أن الكفالة لا تتضمن التكافل بدون اتفاق صريح </w:t>
      </w:r>
      <w:r w:rsidRPr="00923B1A">
        <w:rPr>
          <w:color w:val="0000FF"/>
          <w:sz w:val="28"/>
          <w:szCs w:val="28"/>
          <w:rtl/>
        </w:rPr>
        <w:t>–</w:t>
      </w:r>
      <w:r w:rsidRPr="00923B1A">
        <w:rPr>
          <w:rFonts w:hint="cs"/>
          <w:color w:val="0000FF"/>
          <w:sz w:val="28"/>
          <w:szCs w:val="28"/>
          <w:rtl/>
        </w:rPr>
        <w:t xml:space="preserve"> فإذا اشترط التكافل أو كانت الكفالة تعد عملا تجاريا من الكفيل</w:t>
      </w:r>
      <w:r>
        <w:rPr>
          <w:rFonts w:hint="cs"/>
          <w:color w:val="0000FF"/>
          <w:sz w:val="28"/>
          <w:szCs w:val="28"/>
          <w:rtl/>
        </w:rPr>
        <w:t xml:space="preserve"> ،</w:t>
      </w:r>
      <w:r w:rsidRPr="00923B1A">
        <w:rPr>
          <w:rFonts w:hint="cs"/>
          <w:color w:val="0000FF"/>
          <w:sz w:val="28"/>
          <w:szCs w:val="28"/>
          <w:rtl/>
        </w:rPr>
        <w:t xml:space="preserve"> كانت مفاعليها خاضعة للأحكام المختصة بالموجبات المتضامنة بين المديونين</w:t>
      </w:r>
      <w:r>
        <w:rPr>
          <w:rFonts w:hint="cs"/>
          <w:color w:val="0000FF"/>
          <w:sz w:val="28"/>
          <w:szCs w:val="28"/>
          <w:rtl/>
        </w:rPr>
        <w:t xml:space="preserve"> .</w:t>
      </w:r>
    </w:p>
  </w:footnote>
  <w:footnote w:id="32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14</w:t>
      </w:r>
      <w:r>
        <w:rPr>
          <w:rFonts w:hint="cs"/>
          <w:color w:val="0000FF"/>
          <w:sz w:val="28"/>
          <w:szCs w:val="28"/>
          <w:rtl/>
        </w:rPr>
        <w:t xml:space="preserve"> .</w:t>
      </w:r>
    </w:p>
  </w:footnote>
  <w:footnote w:id="32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والمدين إذا التزم بتقديم كفل</w:t>
      </w:r>
      <w:r>
        <w:rPr>
          <w:rFonts w:hint="cs"/>
          <w:color w:val="0000FF"/>
          <w:sz w:val="28"/>
          <w:szCs w:val="28"/>
          <w:rtl/>
        </w:rPr>
        <w:t xml:space="preserve"> ،</w:t>
      </w:r>
      <w:r w:rsidRPr="00923B1A">
        <w:rPr>
          <w:rFonts w:hint="cs"/>
          <w:color w:val="0000FF"/>
          <w:sz w:val="28"/>
          <w:szCs w:val="28"/>
          <w:rtl/>
        </w:rPr>
        <w:t xml:space="preserve"> بموجب حكم قضائي أو بموجب نص في القانون</w:t>
      </w:r>
      <w:r>
        <w:rPr>
          <w:rFonts w:hint="cs"/>
          <w:color w:val="0000FF"/>
          <w:sz w:val="28"/>
          <w:szCs w:val="28"/>
          <w:rtl/>
        </w:rPr>
        <w:t xml:space="preserve"> ،</w:t>
      </w:r>
      <w:r w:rsidRPr="00923B1A">
        <w:rPr>
          <w:rFonts w:hint="cs"/>
          <w:color w:val="0000FF"/>
          <w:sz w:val="28"/>
          <w:szCs w:val="28"/>
          <w:rtl/>
        </w:rPr>
        <w:t xml:space="preserve"> فإنه يقدم عادة كفيلا واحداً</w:t>
      </w:r>
      <w:r>
        <w:rPr>
          <w:rFonts w:hint="cs"/>
          <w:color w:val="0000FF"/>
          <w:sz w:val="28"/>
          <w:szCs w:val="28"/>
          <w:rtl/>
        </w:rPr>
        <w:t xml:space="preserve"> ،</w:t>
      </w:r>
      <w:r w:rsidRPr="00923B1A">
        <w:rPr>
          <w:rFonts w:hint="cs"/>
          <w:color w:val="0000FF"/>
          <w:sz w:val="28"/>
          <w:szCs w:val="28"/>
          <w:rtl/>
        </w:rPr>
        <w:t xml:space="preserve"> فيكون هذا الكفيل متضامنا مع المدين</w:t>
      </w:r>
      <w:r>
        <w:rPr>
          <w:rFonts w:hint="cs"/>
          <w:color w:val="0000FF"/>
          <w:sz w:val="28"/>
          <w:szCs w:val="28"/>
          <w:rtl/>
        </w:rPr>
        <w:t xml:space="preserve"> .</w:t>
      </w:r>
      <w:r w:rsidRPr="00923B1A">
        <w:rPr>
          <w:rFonts w:hint="cs"/>
          <w:color w:val="0000FF"/>
          <w:sz w:val="28"/>
          <w:szCs w:val="28"/>
          <w:rtl/>
        </w:rPr>
        <w:t xml:space="preserve"> وهذا هو المعنى المقصود كما يظهر من نص المادة 795 مدني سالفة الذكر عندما تقول</w:t>
      </w:r>
      <w:r>
        <w:rPr>
          <w:rFonts w:hint="cs"/>
          <w:color w:val="0000FF"/>
          <w:sz w:val="28"/>
          <w:szCs w:val="28"/>
          <w:rtl/>
        </w:rPr>
        <w:t xml:space="preserve"> :</w:t>
      </w:r>
      <w:r w:rsidRPr="00923B1A">
        <w:rPr>
          <w:rFonts w:hint="cs"/>
          <w:color w:val="0000FF"/>
          <w:sz w:val="28"/>
          <w:szCs w:val="28"/>
          <w:rtl/>
        </w:rPr>
        <w:t xml:space="preserve"> "يكون الكفلاء دائما متضامنين"</w:t>
      </w:r>
      <w:r>
        <w:rPr>
          <w:rFonts w:hint="cs"/>
          <w:color w:val="0000FF"/>
          <w:sz w:val="28"/>
          <w:szCs w:val="28"/>
          <w:rtl/>
        </w:rPr>
        <w:t xml:space="preserve"> ،</w:t>
      </w:r>
      <w:r w:rsidRPr="00923B1A">
        <w:rPr>
          <w:rFonts w:hint="cs"/>
          <w:color w:val="0000FF"/>
          <w:sz w:val="28"/>
          <w:szCs w:val="28"/>
          <w:rtl/>
        </w:rPr>
        <w:t xml:space="preserve"> أي يكون الكفيل الذي قدمه المدين للدائن متضامنا مع المدين</w:t>
      </w:r>
      <w:r>
        <w:rPr>
          <w:rFonts w:hint="cs"/>
          <w:color w:val="0000FF"/>
          <w:sz w:val="28"/>
          <w:szCs w:val="28"/>
          <w:rtl/>
        </w:rPr>
        <w:t xml:space="preserve"> .</w:t>
      </w:r>
      <w:r w:rsidRPr="00923B1A">
        <w:rPr>
          <w:rFonts w:hint="cs"/>
          <w:color w:val="0000FF"/>
          <w:sz w:val="28"/>
          <w:szCs w:val="28"/>
          <w:rtl/>
        </w:rPr>
        <w:t xml:space="preserve"> ولكن ظاهر النص يفهم منه أنه في حالة تعدد الكفلاء الذي يقدمهم المدين</w:t>
      </w:r>
      <w:r>
        <w:rPr>
          <w:rFonts w:hint="cs"/>
          <w:color w:val="0000FF"/>
          <w:sz w:val="28"/>
          <w:szCs w:val="28"/>
          <w:rtl/>
        </w:rPr>
        <w:t xml:space="preserve"> ،</w:t>
      </w:r>
      <w:r w:rsidRPr="00923B1A">
        <w:rPr>
          <w:rFonts w:hint="cs"/>
          <w:color w:val="0000FF"/>
          <w:sz w:val="28"/>
          <w:szCs w:val="28"/>
          <w:rtl/>
        </w:rPr>
        <w:t xml:space="preserve"> وهذه حالة نادرة لم تكن ملحوظة وقت وضع النص</w:t>
      </w:r>
      <w:r>
        <w:rPr>
          <w:rFonts w:hint="cs"/>
          <w:color w:val="0000FF"/>
          <w:sz w:val="28"/>
          <w:szCs w:val="28"/>
          <w:rtl/>
        </w:rPr>
        <w:t xml:space="preserve"> ،</w:t>
      </w:r>
      <w:r w:rsidRPr="00923B1A">
        <w:rPr>
          <w:rFonts w:hint="cs"/>
          <w:color w:val="0000FF"/>
          <w:sz w:val="28"/>
          <w:szCs w:val="28"/>
          <w:rtl/>
        </w:rPr>
        <w:t xml:space="preserve"> يكون هؤلاء الكفلاء متضامنين مع المدين من جهة</w:t>
      </w:r>
      <w:r>
        <w:rPr>
          <w:rFonts w:hint="cs"/>
          <w:color w:val="0000FF"/>
          <w:sz w:val="28"/>
          <w:szCs w:val="28"/>
          <w:rtl/>
        </w:rPr>
        <w:t xml:space="preserve"> ،</w:t>
      </w:r>
      <w:r w:rsidRPr="00923B1A">
        <w:rPr>
          <w:rFonts w:hint="cs"/>
          <w:color w:val="0000FF"/>
          <w:sz w:val="28"/>
          <w:szCs w:val="28"/>
          <w:rtl/>
        </w:rPr>
        <w:t xml:space="preserve"> ومتضامنين فيما بينهم من جهة أخرى</w:t>
      </w:r>
      <w:r>
        <w:rPr>
          <w:rFonts w:hint="cs"/>
          <w:color w:val="0000FF"/>
          <w:sz w:val="28"/>
          <w:szCs w:val="28"/>
          <w:rtl/>
        </w:rPr>
        <w:t xml:space="preserve"> .</w:t>
      </w:r>
      <w:r w:rsidRPr="00923B1A">
        <w:rPr>
          <w:rFonts w:hint="cs"/>
          <w:color w:val="0000FF"/>
          <w:sz w:val="28"/>
          <w:szCs w:val="28"/>
          <w:rtl/>
        </w:rPr>
        <w:t xml:space="preserve"> ولا مانع من قبول هذا التفسير في حالة تعد الكفلاء القضائيين أو القانونيين الذي يقدمهم المدين</w:t>
      </w:r>
      <w:r>
        <w:rPr>
          <w:rFonts w:hint="cs"/>
          <w:color w:val="0000FF"/>
          <w:sz w:val="28"/>
          <w:szCs w:val="28"/>
          <w:rtl/>
        </w:rPr>
        <w:t xml:space="preserve"> ،</w:t>
      </w:r>
      <w:r w:rsidRPr="00923B1A">
        <w:rPr>
          <w:rFonts w:hint="cs"/>
          <w:color w:val="0000FF"/>
          <w:sz w:val="28"/>
          <w:szCs w:val="28"/>
          <w:rtl/>
        </w:rPr>
        <w:t xml:space="preserve"> وإن كان المدين كما سبق القول لا يقدم فعلا إلا كفيلا واحدا فيكون هذا الكفيل متضامنا مع المدين </w:t>
      </w:r>
      <w:r>
        <w:rPr>
          <w:rFonts w:hint="cs"/>
          <w:color w:val="0000FF"/>
          <w:sz w:val="28"/>
          <w:szCs w:val="28"/>
          <w:rtl/>
        </w:rPr>
        <w:t xml:space="preserve">( </w:t>
      </w:r>
      <w:r w:rsidRPr="00923B1A">
        <w:rPr>
          <w:rFonts w:hint="cs"/>
          <w:color w:val="0000FF"/>
          <w:sz w:val="28"/>
          <w:szCs w:val="28"/>
          <w:rtl/>
        </w:rPr>
        <w:t>انظر في هذه المسألة سليمان مرقس فقرة 86 ص 97 هامش 1</w:t>
      </w:r>
      <w:r>
        <w:rPr>
          <w:rFonts w:hint="cs"/>
          <w:color w:val="0000FF"/>
          <w:sz w:val="28"/>
          <w:szCs w:val="28"/>
          <w:rtl/>
        </w:rPr>
        <w:t xml:space="preserve"> ) .</w:t>
      </w:r>
    </w:p>
  </w:footnote>
  <w:footnote w:id="33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نفس الفقرة في الهامش</w:t>
      </w:r>
      <w:r>
        <w:rPr>
          <w:rFonts w:hint="cs"/>
          <w:color w:val="0000FF"/>
          <w:sz w:val="28"/>
          <w:szCs w:val="28"/>
          <w:rtl/>
        </w:rPr>
        <w:t xml:space="preserve"> .</w:t>
      </w:r>
    </w:p>
  </w:footnote>
  <w:footnote w:id="33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ميدان وفواران 13 فقرة 132 </w:t>
      </w:r>
      <w:r w:rsidRPr="00923B1A">
        <w:rPr>
          <w:color w:val="0000FF"/>
          <w:sz w:val="28"/>
          <w:szCs w:val="28"/>
          <w:rtl/>
        </w:rPr>
        <w:t>–</w:t>
      </w:r>
      <w:r w:rsidRPr="00923B1A">
        <w:rPr>
          <w:rFonts w:hint="cs"/>
          <w:color w:val="0000FF"/>
          <w:sz w:val="28"/>
          <w:szCs w:val="28"/>
          <w:rtl/>
        </w:rPr>
        <w:t xml:space="preserve"> بلانيول وريبير وبولانجيه 2 فقرة 1946 </w:t>
      </w:r>
      <w:r w:rsidRPr="00923B1A">
        <w:rPr>
          <w:color w:val="0000FF"/>
          <w:sz w:val="28"/>
          <w:szCs w:val="28"/>
          <w:rtl/>
        </w:rPr>
        <w:t>–</w:t>
      </w:r>
      <w:r w:rsidRPr="00923B1A">
        <w:rPr>
          <w:rFonts w:hint="cs"/>
          <w:color w:val="0000FF"/>
          <w:sz w:val="28"/>
          <w:szCs w:val="28"/>
          <w:rtl/>
        </w:rPr>
        <w:t xml:space="preserve"> أنسيكلوبيدي داللوز لفظ </w:t>
      </w:r>
      <w:r w:rsidRPr="00923B1A">
        <w:rPr>
          <w:rFonts w:hint="cs"/>
          <w:color w:val="0000FF"/>
          <w:sz w:val="28"/>
          <w:szCs w:val="28"/>
        </w:rPr>
        <w:t>cautionnement</w:t>
      </w:r>
      <w:r w:rsidRPr="00923B1A">
        <w:rPr>
          <w:rFonts w:hint="cs"/>
          <w:color w:val="0000FF"/>
          <w:sz w:val="28"/>
          <w:szCs w:val="28"/>
          <w:rtl/>
        </w:rPr>
        <w:t xml:space="preserve"> فقرة 231</w:t>
      </w:r>
      <w:r>
        <w:rPr>
          <w:rFonts w:hint="cs"/>
          <w:color w:val="0000FF"/>
          <w:sz w:val="28"/>
          <w:szCs w:val="28"/>
          <w:rtl/>
        </w:rPr>
        <w:t xml:space="preserve"> .</w:t>
      </w:r>
    </w:p>
  </w:footnote>
  <w:footnote w:id="33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أحكام تقضي بالتضامن</w:t>
      </w:r>
      <w:r>
        <w:rPr>
          <w:rFonts w:hint="cs"/>
          <w:color w:val="0000FF"/>
          <w:sz w:val="28"/>
          <w:szCs w:val="28"/>
          <w:rtl/>
        </w:rPr>
        <w:t xml:space="preserve"> :</w:t>
      </w:r>
      <w:r w:rsidRPr="00923B1A">
        <w:rPr>
          <w:rFonts w:hint="cs"/>
          <w:color w:val="0000FF"/>
          <w:sz w:val="28"/>
          <w:szCs w:val="28"/>
          <w:rtl/>
        </w:rPr>
        <w:t xml:space="preserve"> استئناف مختلط 10 فبراير سنة </w:t>
      </w:r>
      <w:smartTag w:uri="urn:schemas-microsoft-com:office:smarttags" w:element="metricconverter">
        <w:smartTagPr>
          <w:attr w:name="ProductID" w:val="1909 م"/>
        </w:smartTagPr>
        <w:r w:rsidRPr="00923B1A">
          <w:rPr>
            <w:rFonts w:hint="cs"/>
            <w:color w:val="0000FF"/>
            <w:sz w:val="28"/>
            <w:szCs w:val="28"/>
            <w:rtl/>
          </w:rPr>
          <w:t>1909 م</w:t>
        </w:r>
      </w:smartTag>
      <w:r w:rsidRPr="00923B1A">
        <w:rPr>
          <w:rFonts w:hint="cs"/>
          <w:color w:val="0000FF"/>
          <w:sz w:val="28"/>
          <w:szCs w:val="28"/>
          <w:rtl/>
        </w:rPr>
        <w:t xml:space="preserve"> 21 ص 168 </w:t>
      </w:r>
      <w:r>
        <w:rPr>
          <w:rFonts w:hint="cs"/>
          <w:color w:val="0000FF"/>
          <w:sz w:val="28"/>
          <w:szCs w:val="28"/>
          <w:rtl/>
        </w:rPr>
        <w:t xml:space="preserve">( </w:t>
      </w:r>
      <w:r w:rsidRPr="00923B1A">
        <w:rPr>
          <w:rFonts w:hint="cs"/>
          <w:color w:val="0000FF"/>
          <w:sz w:val="28"/>
          <w:szCs w:val="28"/>
          <w:rtl/>
        </w:rPr>
        <w:t xml:space="preserve">كتاب </w:t>
      </w:r>
      <w:r>
        <w:rPr>
          <w:rFonts w:hint="cs"/>
          <w:color w:val="0000FF"/>
          <w:sz w:val="28"/>
          <w:szCs w:val="28"/>
          <w:rtl/>
        </w:rPr>
        <w:t>أ</w:t>
      </w:r>
      <w:r w:rsidRPr="00923B1A">
        <w:rPr>
          <w:rFonts w:hint="cs"/>
          <w:color w:val="0000FF"/>
          <w:sz w:val="28"/>
          <w:szCs w:val="28"/>
          <w:rtl/>
        </w:rPr>
        <w:t>رسله احد الورثة والتزم يه بدفع دين مورثه الذ</w:t>
      </w:r>
      <w:r>
        <w:rPr>
          <w:rFonts w:hint="cs"/>
          <w:color w:val="0000FF"/>
          <w:sz w:val="28"/>
          <w:szCs w:val="28"/>
          <w:rtl/>
        </w:rPr>
        <w:t>ي</w:t>
      </w:r>
      <w:r w:rsidRPr="00923B1A">
        <w:rPr>
          <w:rFonts w:hint="cs"/>
          <w:color w:val="0000FF"/>
          <w:sz w:val="28"/>
          <w:szCs w:val="28"/>
          <w:rtl/>
        </w:rPr>
        <w:t xml:space="preserve"> لم ت</w:t>
      </w:r>
      <w:r>
        <w:rPr>
          <w:rFonts w:hint="cs"/>
          <w:color w:val="0000FF"/>
          <w:sz w:val="28"/>
          <w:szCs w:val="28"/>
          <w:rtl/>
        </w:rPr>
        <w:t>د</w:t>
      </w:r>
      <w:r w:rsidRPr="00923B1A">
        <w:rPr>
          <w:rFonts w:hint="cs"/>
          <w:color w:val="0000FF"/>
          <w:sz w:val="28"/>
          <w:szCs w:val="28"/>
          <w:rtl/>
        </w:rPr>
        <w:t>فعه التركة في أجل معين</w:t>
      </w:r>
      <w:r>
        <w:rPr>
          <w:rFonts w:hint="cs"/>
          <w:color w:val="0000FF"/>
          <w:sz w:val="28"/>
          <w:szCs w:val="28"/>
          <w:rtl/>
        </w:rPr>
        <w:t xml:space="preserve"> :</w:t>
      </w:r>
      <w:r w:rsidRPr="00923B1A">
        <w:rPr>
          <w:rFonts w:hint="cs"/>
          <w:color w:val="0000FF"/>
          <w:sz w:val="28"/>
          <w:szCs w:val="28"/>
          <w:rtl/>
        </w:rPr>
        <w:t xml:space="preserve"> كفالة تضامنية فيما يزيد على نصيبه</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29 ديسمبر سنة </w:t>
      </w:r>
      <w:smartTag w:uri="urn:schemas-microsoft-com:office:smarttags" w:element="metricconverter">
        <w:smartTagPr>
          <w:attr w:name="ProductID" w:val="1909 م"/>
        </w:smartTagPr>
        <w:r w:rsidRPr="00923B1A">
          <w:rPr>
            <w:rFonts w:hint="cs"/>
            <w:color w:val="0000FF"/>
            <w:sz w:val="28"/>
            <w:szCs w:val="28"/>
            <w:rtl/>
          </w:rPr>
          <w:t>1909 م</w:t>
        </w:r>
      </w:smartTag>
      <w:r w:rsidRPr="00923B1A">
        <w:rPr>
          <w:rFonts w:hint="cs"/>
          <w:color w:val="0000FF"/>
          <w:sz w:val="28"/>
          <w:szCs w:val="28"/>
          <w:rtl/>
        </w:rPr>
        <w:t xml:space="preserve"> 22 ص 83 </w:t>
      </w:r>
      <w:r w:rsidRPr="00923B1A">
        <w:rPr>
          <w:color w:val="0000FF"/>
          <w:sz w:val="28"/>
          <w:szCs w:val="28"/>
          <w:rtl/>
        </w:rPr>
        <w:t>–</w:t>
      </w:r>
      <w:r w:rsidRPr="00923B1A">
        <w:rPr>
          <w:rFonts w:hint="cs"/>
          <w:color w:val="0000FF"/>
          <w:sz w:val="28"/>
          <w:szCs w:val="28"/>
          <w:rtl/>
        </w:rPr>
        <w:t xml:space="preserve"> أول مارس سنة </w:t>
      </w:r>
      <w:smartTag w:uri="urn:schemas-microsoft-com:office:smarttags" w:element="metricconverter">
        <w:smartTagPr>
          <w:attr w:name="ProductID" w:val="1916 م"/>
        </w:smartTagPr>
        <w:r w:rsidRPr="00923B1A">
          <w:rPr>
            <w:rFonts w:hint="cs"/>
            <w:color w:val="0000FF"/>
            <w:sz w:val="28"/>
            <w:szCs w:val="28"/>
            <w:rtl/>
          </w:rPr>
          <w:t>1916 م</w:t>
        </w:r>
      </w:smartTag>
      <w:r w:rsidRPr="00923B1A">
        <w:rPr>
          <w:rFonts w:hint="cs"/>
          <w:color w:val="0000FF"/>
          <w:sz w:val="28"/>
          <w:szCs w:val="28"/>
          <w:rtl/>
        </w:rPr>
        <w:t xml:space="preserve"> 28 ص 179 </w:t>
      </w:r>
      <w:r>
        <w:rPr>
          <w:rFonts w:hint="cs"/>
          <w:color w:val="0000FF"/>
          <w:sz w:val="28"/>
          <w:szCs w:val="28"/>
          <w:rtl/>
        </w:rPr>
        <w:t xml:space="preserve">( </w:t>
      </w:r>
      <w:r w:rsidRPr="00923B1A">
        <w:rPr>
          <w:rFonts w:hint="cs"/>
          <w:color w:val="0000FF"/>
          <w:sz w:val="28"/>
          <w:szCs w:val="28"/>
          <w:rtl/>
        </w:rPr>
        <w:t>المادة 608 مختلط لا تستلزم استعمال لفظ "التضامن"</w:t>
      </w:r>
      <w:r>
        <w:rPr>
          <w:rFonts w:hint="cs"/>
          <w:color w:val="0000FF"/>
          <w:sz w:val="28"/>
          <w:szCs w:val="28"/>
          <w:rtl/>
        </w:rPr>
        <w:t xml:space="preserve"> ،</w:t>
      </w:r>
      <w:r w:rsidRPr="00923B1A">
        <w:rPr>
          <w:rFonts w:hint="cs"/>
          <w:color w:val="0000FF"/>
          <w:sz w:val="28"/>
          <w:szCs w:val="28"/>
          <w:rtl/>
        </w:rPr>
        <w:t xml:space="preserve"> بل مرد ذلك إلى تقدير القاضي</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بني سويف الكلية 30 يونيه سنة 1929 المحاماة 9 رقم 605 ص 1115 </w:t>
      </w:r>
      <w:r>
        <w:rPr>
          <w:rFonts w:hint="cs"/>
          <w:color w:val="0000FF"/>
          <w:sz w:val="28"/>
          <w:szCs w:val="28"/>
          <w:rtl/>
        </w:rPr>
        <w:t xml:space="preserve">( </w:t>
      </w:r>
      <w:r w:rsidRPr="00923B1A">
        <w:rPr>
          <w:rFonts w:hint="cs"/>
          <w:color w:val="0000FF"/>
          <w:sz w:val="28"/>
          <w:szCs w:val="28"/>
          <w:rtl/>
        </w:rPr>
        <w:t>عبارة "ضمان المستأجر في سداد مبلغ الإيجار ضمانة حضور عزوم وإلزام كشخصه" تفيد التضامن</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أحكام تقضي بعدم التضامن</w:t>
      </w:r>
      <w:r>
        <w:rPr>
          <w:rFonts w:hint="cs"/>
          <w:color w:val="0000FF"/>
          <w:sz w:val="28"/>
          <w:szCs w:val="28"/>
          <w:rtl/>
        </w:rPr>
        <w:t xml:space="preserve"> :</w:t>
      </w:r>
      <w:r w:rsidRPr="00923B1A">
        <w:rPr>
          <w:rFonts w:hint="cs"/>
          <w:color w:val="0000FF"/>
          <w:sz w:val="28"/>
          <w:szCs w:val="28"/>
          <w:rtl/>
        </w:rPr>
        <w:t xml:space="preserve"> استئناف مختلط 5 فبراير سنة </w:t>
      </w:r>
      <w:smartTag w:uri="urn:schemas-microsoft-com:office:smarttags" w:element="metricconverter">
        <w:smartTagPr>
          <w:attr w:name="ProductID" w:val="1918 م"/>
        </w:smartTagPr>
        <w:r w:rsidRPr="00923B1A">
          <w:rPr>
            <w:rFonts w:hint="cs"/>
            <w:color w:val="0000FF"/>
            <w:sz w:val="28"/>
            <w:szCs w:val="28"/>
            <w:rtl/>
          </w:rPr>
          <w:t>1918 م</w:t>
        </w:r>
      </w:smartTag>
      <w:r w:rsidRPr="00923B1A">
        <w:rPr>
          <w:rFonts w:hint="cs"/>
          <w:color w:val="0000FF"/>
          <w:sz w:val="28"/>
          <w:szCs w:val="28"/>
          <w:rtl/>
        </w:rPr>
        <w:t xml:space="preserve"> 30 ص 202 </w:t>
      </w:r>
      <w:r>
        <w:rPr>
          <w:rFonts w:hint="cs"/>
          <w:color w:val="0000FF"/>
          <w:sz w:val="28"/>
          <w:szCs w:val="28"/>
          <w:rtl/>
        </w:rPr>
        <w:t xml:space="preserve">( </w:t>
      </w:r>
      <w:r w:rsidRPr="00923B1A">
        <w:rPr>
          <w:rFonts w:hint="cs"/>
          <w:color w:val="0000FF"/>
          <w:sz w:val="28"/>
          <w:szCs w:val="28"/>
          <w:rtl/>
        </w:rPr>
        <w:t>لفظ "عزوم" لا يفيد التضامن</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5 فبراير سنة </w:t>
      </w:r>
      <w:smartTag w:uri="urn:schemas-microsoft-com:office:smarttags" w:element="metricconverter">
        <w:smartTagPr>
          <w:attr w:name="ProductID" w:val="1918 م"/>
        </w:smartTagPr>
        <w:r w:rsidRPr="00923B1A">
          <w:rPr>
            <w:rFonts w:hint="cs"/>
            <w:color w:val="0000FF"/>
            <w:sz w:val="28"/>
            <w:szCs w:val="28"/>
            <w:rtl/>
          </w:rPr>
          <w:t>1918 م</w:t>
        </w:r>
      </w:smartTag>
      <w:r w:rsidRPr="00923B1A">
        <w:rPr>
          <w:rFonts w:hint="cs"/>
          <w:color w:val="0000FF"/>
          <w:sz w:val="28"/>
          <w:szCs w:val="28"/>
          <w:rtl/>
        </w:rPr>
        <w:t xml:space="preserve"> 30 ص 208 </w:t>
      </w:r>
      <w:r>
        <w:rPr>
          <w:rFonts w:hint="cs"/>
          <w:color w:val="0000FF"/>
          <w:sz w:val="28"/>
          <w:szCs w:val="28"/>
          <w:rtl/>
        </w:rPr>
        <w:t xml:space="preserve">( </w:t>
      </w:r>
      <w:r w:rsidRPr="00923B1A">
        <w:rPr>
          <w:rFonts w:hint="cs"/>
          <w:color w:val="0000FF"/>
          <w:sz w:val="28"/>
          <w:szCs w:val="28"/>
          <w:rtl/>
        </w:rPr>
        <w:t>وقع شخص على بياض</w:t>
      </w:r>
      <w:r>
        <w:rPr>
          <w:rFonts w:hint="cs"/>
          <w:color w:val="0000FF"/>
          <w:sz w:val="28"/>
          <w:szCs w:val="28"/>
          <w:rtl/>
        </w:rPr>
        <w:t xml:space="preserve"> ،</w:t>
      </w:r>
      <w:r w:rsidRPr="00923B1A">
        <w:rPr>
          <w:rFonts w:hint="cs"/>
          <w:color w:val="0000FF"/>
          <w:sz w:val="28"/>
          <w:szCs w:val="28"/>
          <w:rtl/>
        </w:rPr>
        <w:t xml:space="preserve"> واستخلصت المحكمة أنه لم يوقع كشاهد ولكن ككفيل</w:t>
      </w:r>
      <w:r>
        <w:rPr>
          <w:rFonts w:hint="cs"/>
          <w:color w:val="0000FF"/>
          <w:sz w:val="28"/>
          <w:szCs w:val="28"/>
          <w:rtl/>
        </w:rPr>
        <w:t xml:space="preserve"> ،</w:t>
      </w:r>
      <w:r w:rsidRPr="00923B1A">
        <w:rPr>
          <w:rFonts w:hint="cs"/>
          <w:color w:val="0000FF"/>
          <w:sz w:val="28"/>
          <w:szCs w:val="28"/>
          <w:rtl/>
        </w:rPr>
        <w:t xml:space="preserve"> ولم تحكم بتضامه لعدم وجود شرط واضح في ذلك</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3 نوفمبر سنة </w:t>
      </w:r>
      <w:smartTag w:uri="urn:schemas-microsoft-com:office:smarttags" w:element="metricconverter">
        <w:smartTagPr>
          <w:attr w:name="ProductID" w:val="1948 م"/>
        </w:smartTagPr>
        <w:r w:rsidRPr="00923B1A">
          <w:rPr>
            <w:rFonts w:hint="cs"/>
            <w:color w:val="0000FF"/>
            <w:sz w:val="28"/>
            <w:szCs w:val="28"/>
            <w:rtl/>
          </w:rPr>
          <w:t>1948 م</w:t>
        </w:r>
      </w:smartTag>
      <w:r w:rsidRPr="00923B1A">
        <w:rPr>
          <w:rFonts w:hint="cs"/>
          <w:color w:val="0000FF"/>
          <w:sz w:val="28"/>
          <w:szCs w:val="28"/>
          <w:rtl/>
        </w:rPr>
        <w:t xml:space="preserve"> 61 ص 14 </w:t>
      </w:r>
      <w:r>
        <w:rPr>
          <w:rFonts w:hint="cs"/>
          <w:color w:val="0000FF"/>
          <w:sz w:val="28"/>
          <w:szCs w:val="28"/>
          <w:rtl/>
        </w:rPr>
        <w:t xml:space="preserve">( </w:t>
      </w:r>
      <w:r w:rsidRPr="00923B1A">
        <w:rPr>
          <w:rFonts w:hint="cs"/>
          <w:color w:val="0000FF"/>
          <w:sz w:val="28"/>
          <w:szCs w:val="28"/>
          <w:rtl/>
        </w:rPr>
        <w:t>الكفالة المعطاة في عقد إيجار لا تكون تضامنية</w:t>
      </w:r>
      <w:r>
        <w:rPr>
          <w:rFonts w:hint="cs"/>
          <w:color w:val="0000FF"/>
          <w:sz w:val="28"/>
          <w:szCs w:val="28"/>
          <w:rtl/>
        </w:rPr>
        <w:t xml:space="preserve"> ،</w:t>
      </w:r>
      <w:r w:rsidRPr="00923B1A">
        <w:rPr>
          <w:rFonts w:hint="cs"/>
          <w:color w:val="0000FF"/>
          <w:sz w:val="28"/>
          <w:szCs w:val="28"/>
          <w:rtl/>
        </w:rPr>
        <w:t xml:space="preserve"> ولو كان جميع أطراف العقد تجارا وكان موضوع التعاقد استغلالا تجاريا</w:t>
      </w:r>
      <w:r>
        <w:rPr>
          <w:rFonts w:hint="cs"/>
          <w:color w:val="0000FF"/>
          <w:sz w:val="28"/>
          <w:szCs w:val="28"/>
          <w:rtl/>
        </w:rPr>
        <w:t xml:space="preserve"> ،</w:t>
      </w:r>
      <w:r w:rsidRPr="00923B1A">
        <w:rPr>
          <w:rFonts w:hint="cs"/>
          <w:color w:val="0000FF"/>
          <w:sz w:val="28"/>
          <w:szCs w:val="28"/>
          <w:rtl/>
        </w:rPr>
        <w:t xml:space="preserve"> ما لم يتفق على غير ذلك</w:t>
      </w:r>
      <w:r>
        <w:rPr>
          <w:rFonts w:hint="cs"/>
          <w:color w:val="0000FF"/>
          <w:sz w:val="28"/>
          <w:szCs w:val="28"/>
          <w:rtl/>
        </w:rPr>
        <w:t xml:space="preserve"> ) .</w:t>
      </w:r>
    </w:p>
  </w:footnote>
  <w:footnote w:id="33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بني سويف الكلية 29 الكلية 29 مايو سنة 1929 المحاماة 9 رقم 600 ص 1100</w:t>
      </w:r>
      <w:r>
        <w:rPr>
          <w:rFonts w:hint="cs"/>
          <w:color w:val="0000FF"/>
          <w:sz w:val="28"/>
          <w:szCs w:val="28"/>
          <w:rtl/>
        </w:rPr>
        <w:t xml:space="preserve"> .</w:t>
      </w:r>
    </w:p>
  </w:footnote>
  <w:footnote w:id="33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27</w:t>
      </w:r>
      <w:r>
        <w:rPr>
          <w:rFonts w:hint="cs"/>
          <w:color w:val="0000FF"/>
          <w:sz w:val="28"/>
          <w:szCs w:val="28"/>
          <w:rtl/>
        </w:rPr>
        <w:t xml:space="preserve"> .</w:t>
      </w:r>
    </w:p>
  </w:footnote>
  <w:footnote w:id="33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27</w:t>
      </w:r>
      <w:r>
        <w:rPr>
          <w:rFonts w:hint="cs"/>
          <w:color w:val="0000FF"/>
          <w:sz w:val="28"/>
          <w:szCs w:val="28"/>
          <w:rtl/>
        </w:rPr>
        <w:t xml:space="preserve"> .</w:t>
      </w:r>
    </w:p>
  </w:footnote>
  <w:footnote w:id="33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426 ص 285 </w:t>
      </w:r>
      <w:r w:rsidRPr="00923B1A">
        <w:rPr>
          <w:color w:val="0000FF"/>
          <w:sz w:val="28"/>
          <w:szCs w:val="28"/>
          <w:rtl/>
        </w:rPr>
        <w:t>–</w:t>
      </w:r>
      <w:r w:rsidRPr="00923B1A">
        <w:rPr>
          <w:rFonts w:hint="cs"/>
          <w:color w:val="0000FF"/>
          <w:sz w:val="28"/>
          <w:szCs w:val="28"/>
          <w:rtl/>
        </w:rPr>
        <w:t xml:space="preserve"> ص 286</w:t>
      </w:r>
      <w:r>
        <w:rPr>
          <w:rFonts w:hint="cs"/>
          <w:color w:val="0000FF"/>
          <w:sz w:val="28"/>
          <w:szCs w:val="28"/>
          <w:rtl/>
        </w:rPr>
        <w:t xml:space="preserve"> .</w:t>
      </w:r>
    </w:p>
  </w:footnote>
  <w:footnote w:id="33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إذا كان المدينون غير متضامنين</w:t>
      </w:r>
      <w:r>
        <w:rPr>
          <w:rFonts w:hint="cs"/>
          <w:color w:val="0000FF"/>
          <w:sz w:val="28"/>
          <w:szCs w:val="28"/>
          <w:rtl/>
        </w:rPr>
        <w:t xml:space="preserve"> ،</w:t>
      </w:r>
      <w:r w:rsidRPr="00923B1A">
        <w:rPr>
          <w:rFonts w:hint="cs"/>
          <w:color w:val="0000FF"/>
          <w:sz w:val="28"/>
          <w:szCs w:val="28"/>
          <w:rtl/>
        </w:rPr>
        <w:t xml:space="preserve"> فإن الدين ينقسم عليهم فيصبح عدة ديون</w:t>
      </w:r>
      <w:r>
        <w:rPr>
          <w:rFonts w:hint="cs"/>
          <w:color w:val="0000FF"/>
          <w:sz w:val="28"/>
          <w:szCs w:val="28"/>
          <w:rtl/>
        </w:rPr>
        <w:t xml:space="preserve"> ،</w:t>
      </w:r>
      <w:r w:rsidRPr="00923B1A">
        <w:rPr>
          <w:rFonts w:hint="cs"/>
          <w:color w:val="0000FF"/>
          <w:sz w:val="28"/>
          <w:szCs w:val="28"/>
          <w:rtl/>
        </w:rPr>
        <w:t xml:space="preserve"> لكل دين مدين</w:t>
      </w:r>
      <w:r>
        <w:rPr>
          <w:rFonts w:hint="cs"/>
          <w:color w:val="0000FF"/>
          <w:sz w:val="28"/>
          <w:szCs w:val="28"/>
          <w:rtl/>
        </w:rPr>
        <w:t xml:space="preserve"> .</w:t>
      </w:r>
      <w:r w:rsidRPr="00923B1A">
        <w:rPr>
          <w:rFonts w:hint="cs"/>
          <w:color w:val="0000FF"/>
          <w:sz w:val="28"/>
          <w:szCs w:val="28"/>
          <w:rtl/>
        </w:rPr>
        <w:t xml:space="preserve"> فتؤول المسألة إلى أن يكون هناك مدين واحد كفلة كفلاء متعددون</w:t>
      </w:r>
      <w:r>
        <w:rPr>
          <w:rFonts w:hint="cs"/>
          <w:color w:val="0000FF"/>
          <w:sz w:val="28"/>
          <w:szCs w:val="28"/>
          <w:rtl/>
        </w:rPr>
        <w:t xml:space="preserve"> ،</w:t>
      </w:r>
      <w:r w:rsidRPr="00923B1A">
        <w:rPr>
          <w:rFonts w:hint="cs"/>
          <w:color w:val="0000FF"/>
          <w:sz w:val="28"/>
          <w:szCs w:val="28"/>
          <w:rtl/>
        </w:rPr>
        <w:t xml:space="preserve"> وقد عالجنا فيما تقدم الصور المختلفة لهذا الغرض</w:t>
      </w:r>
      <w:r>
        <w:rPr>
          <w:rFonts w:hint="cs"/>
          <w:color w:val="0000FF"/>
          <w:sz w:val="28"/>
          <w:szCs w:val="28"/>
          <w:rtl/>
        </w:rPr>
        <w:t xml:space="preserve"> .</w:t>
      </w:r>
    </w:p>
  </w:footnote>
  <w:footnote w:id="33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وإذا كان هناك مدينان متضامنان</w:t>
      </w:r>
      <w:r>
        <w:rPr>
          <w:rFonts w:hint="cs"/>
          <w:color w:val="0000FF"/>
          <w:sz w:val="28"/>
          <w:szCs w:val="28"/>
          <w:rtl/>
        </w:rPr>
        <w:t xml:space="preserve"> ،</w:t>
      </w:r>
      <w:r w:rsidRPr="00923B1A">
        <w:rPr>
          <w:rFonts w:hint="cs"/>
          <w:color w:val="0000FF"/>
          <w:sz w:val="28"/>
          <w:szCs w:val="28"/>
          <w:rtl/>
        </w:rPr>
        <w:t xml:space="preserve"> كفل أحدهما كفيل وكفل الثاني كفيلان بعقد واحد</w:t>
      </w:r>
      <w:r>
        <w:rPr>
          <w:rFonts w:hint="cs"/>
          <w:color w:val="0000FF"/>
          <w:sz w:val="28"/>
          <w:szCs w:val="28"/>
          <w:rtl/>
        </w:rPr>
        <w:t xml:space="preserve"> ،</w:t>
      </w:r>
      <w:r w:rsidRPr="00923B1A">
        <w:rPr>
          <w:rFonts w:hint="cs"/>
          <w:color w:val="0000FF"/>
          <w:sz w:val="28"/>
          <w:szCs w:val="28"/>
          <w:rtl/>
        </w:rPr>
        <w:t xml:space="preserve"> فإن كفيل المدين الأول يكون مسئولا عن كل الدين لأنه كفل مدينا متضامنا مسئولا عن كل الدين</w:t>
      </w:r>
      <w:r>
        <w:rPr>
          <w:rFonts w:hint="cs"/>
          <w:color w:val="0000FF"/>
          <w:sz w:val="28"/>
          <w:szCs w:val="28"/>
          <w:rtl/>
        </w:rPr>
        <w:t xml:space="preserve"> .</w:t>
      </w:r>
      <w:r w:rsidRPr="00923B1A">
        <w:rPr>
          <w:rFonts w:hint="cs"/>
          <w:color w:val="0000FF"/>
          <w:sz w:val="28"/>
          <w:szCs w:val="28"/>
          <w:rtl/>
        </w:rPr>
        <w:t xml:space="preserve"> أما كفيلا المدين الثاني فينقسم الدين بينهما لأنهما كفلا بعقد واحد</w:t>
      </w:r>
      <w:r>
        <w:rPr>
          <w:rFonts w:hint="cs"/>
          <w:color w:val="0000FF"/>
          <w:sz w:val="28"/>
          <w:szCs w:val="28"/>
          <w:rtl/>
        </w:rPr>
        <w:t xml:space="preserve"> .</w:t>
      </w:r>
      <w:r w:rsidRPr="00923B1A">
        <w:rPr>
          <w:rFonts w:hint="cs"/>
          <w:color w:val="0000FF"/>
          <w:sz w:val="28"/>
          <w:szCs w:val="28"/>
          <w:rtl/>
        </w:rPr>
        <w:t xml:space="preserve"> فإن كفلا بعقدين متواليين</w:t>
      </w:r>
      <w:r>
        <w:rPr>
          <w:rFonts w:hint="cs"/>
          <w:color w:val="0000FF"/>
          <w:sz w:val="28"/>
          <w:szCs w:val="28"/>
          <w:rtl/>
        </w:rPr>
        <w:t xml:space="preserve"> ،</w:t>
      </w:r>
      <w:r w:rsidRPr="00923B1A">
        <w:rPr>
          <w:rFonts w:hint="cs"/>
          <w:color w:val="0000FF"/>
          <w:sz w:val="28"/>
          <w:szCs w:val="28"/>
          <w:rtl/>
        </w:rPr>
        <w:t xml:space="preserve"> كان كل منهما مسئولا عن كل الدين إلا إذا احتفظ لنفسه بحق التقسيم </w:t>
      </w:r>
      <w:r>
        <w:rPr>
          <w:rFonts w:hint="cs"/>
          <w:color w:val="0000FF"/>
          <w:sz w:val="28"/>
          <w:szCs w:val="28"/>
          <w:rtl/>
        </w:rPr>
        <w:t xml:space="preserve">( </w:t>
      </w:r>
      <w:r w:rsidRPr="00923B1A">
        <w:rPr>
          <w:rFonts w:hint="cs"/>
          <w:color w:val="0000FF"/>
          <w:sz w:val="28"/>
          <w:szCs w:val="28"/>
          <w:rtl/>
        </w:rPr>
        <w:t>سليمان مرقس فقرة 99 ص 114</w:t>
      </w:r>
      <w:r>
        <w:rPr>
          <w:rFonts w:hint="cs"/>
          <w:color w:val="0000FF"/>
          <w:sz w:val="28"/>
          <w:szCs w:val="28"/>
          <w:rtl/>
        </w:rPr>
        <w:t xml:space="preserve"> ) .</w:t>
      </w:r>
    </w:p>
  </w:footnote>
  <w:footnote w:id="33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بأنه جري قضاء هذه المحكمة في ظل القانون المدني القديم بان مؤد نص المادة 110 منه أن مطالبة أي واحد من المدينين المتضامنين تسري في حق باقي المدينين</w:t>
      </w:r>
      <w:r>
        <w:rPr>
          <w:rFonts w:hint="cs"/>
          <w:color w:val="0000FF"/>
          <w:sz w:val="28"/>
          <w:szCs w:val="28"/>
          <w:rtl/>
        </w:rPr>
        <w:t xml:space="preserve"> ،</w:t>
      </w:r>
      <w:r w:rsidRPr="00923B1A">
        <w:rPr>
          <w:rFonts w:hint="cs"/>
          <w:color w:val="0000FF"/>
          <w:sz w:val="28"/>
          <w:szCs w:val="28"/>
          <w:rtl/>
        </w:rPr>
        <w:t xml:space="preserve"> كما أن مطالبة أي واحد من الكفلاء المتضامنين تسري في حق سائر زملائه لاتحادهم في المركز والمصلحة اتحادا اتخذ منه القانون أساساً لافتراض نوع من الوكالة بينهم في مقاضاة الدائن لهم</w:t>
      </w:r>
      <w:r>
        <w:rPr>
          <w:rFonts w:hint="cs"/>
          <w:color w:val="0000FF"/>
          <w:sz w:val="28"/>
          <w:szCs w:val="28"/>
          <w:rtl/>
        </w:rPr>
        <w:t xml:space="preserve"> .</w:t>
      </w:r>
      <w:r w:rsidRPr="00923B1A">
        <w:rPr>
          <w:rFonts w:hint="cs"/>
          <w:color w:val="0000FF"/>
          <w:sz w:val="28"/>
          <w:szCs w:val="28"/>
          <w:rtl/>
        </w:rPr>
        <w:t xml:space="preserve"> ومن ثم كان حكم المادة 110 سالف الذكر ساريا فيما بين المدينين المتضامنين بعضهم وبعض</w:t>
      </w:r>
      <w:r>
        <w:rPr>
          <w:rFonts w:hint="cs"/>
          <w:color w:val="0000FF"/>
          <w:sz w:val="28"/>
          <w:szCs w:val="28"/>
          <w:rtl/>
        </w:rPr>
        <w:t xml:space="preserve"> ،</w:t>
      </w:r>
      <w:r w:rsidRPr="00923B1A">
        <w:rPr>
          <w:rFonts w:hint="cs"/>
          <w:color w:val="0000FF"/>
          <w:sz w:val="28"/>
          <w:szCs w:val="28"/>
          <w:rtl/>
        </w:rPr>
        <w:t xml:space="preserve"> وفيما بين الكفلاء المتضامنين بعضهم وبعض</w:t>
      </w:r>
      <w:r>
        <w:rPr>
          <w:rFonts w:hint="cs"/>
          <w:color w:val="0000FF"/>
          <w:sz w:val="28"/>
          <w:szCs w:val="28"/>
          <w:rtl/>
        </w:rPr>
        <w:t xml:space="preserve"> ،</w:t>
      </w:r>
      <w:r w:rsidRPr="00923B1A">
        <w:rPr>
          <w:rFonts w:hint="cs"/>
          <w:color w:val="0000FF"/>
          <w:sz w:val="28"/>
          <w:szCs w:val="28"/>
          <w:rtl/>
        </w:rPr>
        <w:t xml:space="preserve"> وتكون مطالبة الدائن لبعض الكفلاء المتضامتين بالدين مطالبة منه للآخرين</w:t>
      </w:r>
      <w:r>
        <w:rPr>
          <w:rFonts w:hint="cs"/>
          <w:color w:val="0000FF"/>
          <w:sz w:val="28"/>
          <w:szCs w:val="28"/>
          <w:rtl/>
        </w:rPr>
        <w:t xml:space="preserve"> :</w:t>
      </w:r>
      <w:r w:rsidRPr="00923B1A">
        <w:rPr>
          <w:rFonts w:hint="cs"/>
          <w:color w:val="0000FF"/>
          <w:sz w:val="28"/>
          <w:szCs w:val="28"/>
          <w:rtl/>
        </w:rPr>
        <w:t xml:space="preserve"> ويكون الحكم الصادر ضد هذا البعض حجة على باقي الكفلاء المتضامنين وقاطعاً لمدة التقادم بالنسبة لهم </w:t>
      </w:r>
      <w:r>
        <w:rPr>
          <w:rFonts w:hint="cs"/>
          <w:color w:val="0000FF"/>
          <w:sz w:val="28"/>
          <w:szCs w:val="28"/>
          <w:rtl/>
        </w:rPr>
        <w:t xml:space="preserve">( </w:t>
      </w:r>
      <w:r w:rsidRPr="00923B1A">
        <w:rPr>
          <w:rFonts w:hint="cs"/>
          <w:color w:val="0000FF"/>
          <w:sz w:val="28"/>
          <w:szCs w:val="28"/>
          <w:rtl/>
        </w:rPr>
        <w:t>نقض مدني 10 فبراير سنة 1966 مجموعة أحكام النقض 17 رقم 37 ص 279</w:t>
      </w:r>
      <w:r>
        <w:rPr>
          <w:rFonts w:hint="cs"/>
          <w:color w:val="0000FF"/>
          <w:sz w:val="28"/>
          <w:szCs w:val="28"/>
          <w:rtl/>
        </w:rPr>
        <w:t xml:space="preserve"> ) .</w:t>
      </w:r>
    </w:p>
  </w:footnote>
  <w:footnote w:id="34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بأنه متى كان وفاء الكفيل المتضامن وفاء صحيحا لدين قائم</w:t>
      </w:r>
      <w:r>
        <w:rPr>
          <w:rFonts w:hint="cs"/>
          <w:color w:val="0000FF"/>
          <w:sz w:val="28"/>
          <w:szCs w:val="28"/>
          <w:rtl/>
        </w:rPr>
        <w:t xml:space="preserve"> ،</w:t>
      </w:r>
      <w:r w:rsidRPr="00923B1A">
        <w:rPr>
          <w:rFonts w:hint="cs"/>
          <w:color w:val="0000FF"/>
          <w:sz w:val="28"/>
          <w:szCs w:val="28"/>
          <w:rtl/>
        </w:rPr>
        <w:t xml:space="preserve"> فإنه يحق له أن يرجع على باقي الكفلاء المتضامنين كل بقدر حصته في الدين الذي أوفاه للدائن</w:t>
      </w:r>
      <w:r>
        <w:rPr>
          <w:rFonts w:hint="cs"/>
          <w:color w:val="0000FF"/>
          <w:sz w:val="28"/>
          <w:szCs w:val="28"/>
          <w:rtl/>
        </w:rPr>
        <w:t xml:space="preserve"> .</w:t>
      </w:r>
      <w:r w:rsidRPr="00923B1A">
        <w:rPr>
          <w:rFonts w:hint="cs"/>
          <w:color w:val="0000FF"/>
          <w:sz w:val="28"/>
          <w:szCs w:val="28"/>
          <w:rtl/>
        </w:rPr>
        <w:t xml:space="preserve"> ويكون هذا الرجوع بدعوى الحلول أو بالدعوى الشخصية التي أساسها النيابة التبادلية المفترضة قانونا ين المتعهدين المتضامنين في الدين على ما تقرره المادة 108 من القانون المدني الملغي</w:t>
      </w:r>
      <w:r>
        <w:rPr>
          <w:rFonts w:hint="cs"/>
          <w:color w:val="0000FF"/>
          <w:sz w:val="28"/>
          <w:szCs w:val="28"/>
          <w:rtl/>
        </w:rPr>
        <w:t xml:space="preserve"> .</w:t>
      </w:r>
      <w:r w:rsidRPr="00923B1A">
        <w:rPr>
          <w:rFonts w:hint="cs"/>
          <w:color w:val="0000FF"/>
          <w:sz w:val="28"/>
          <w:szCs w:val="28"/>
          <w:rtl/>
        </w:rPr>
        <w:t xml:space="preserve"> وإذا كانت الدعوى الشخصية تقوم على الوكالة المفترضة بين الكفلاء المتضامنين</w:t>
      </w:r>
      <w:r>
        <w:rPr>
          <w:rFonts w:hint="cs"/>
          <w:color w:val="0000FF"/>
          <w:sz w:val="28"/>
          <w:szCs w:val="28"/>
          <w:rtl/>
        </w:rPr>
        <w:t xml:space="preserve"> ،</w:t>
      </w:r>
      <w:r w:rsidRPr="00923B1A">
        <w:rPr>
          <w:rFonts w:hint="cs"/>
          <w:color w:val="0000FF"/>
          <w:sz w:val="28"/>
          <w:szCs w:val="28"/>
          <w:rtl/>
        </w:rPr>
        <w:t xml:space="preserve"> فإنه يتبين في شأ تقادمها إعمال قواعد التقادم المقررة في شأن الوكالة</w:t>
      </w:r>
      <w:r>
        <w:rPr>
          <w:rFonts w:hint="cs"/>
          <w:color w:val="0000FF"/>
          <w:sz w:val="28"/>
          <w:szCs w:val="28"/>
          <w:rtl/>
        </w:rPr>
        <w:t xml:space="preserve"> ،</w:t>
      </w:r>
      <w:r w:rsidRPr="00923B1A">
        <w:rPr>
          <w:rFonts w:hint="cs"/>
          <w:color w:val="0000FF"/>
          <w:sz w:val="28"/>
          <w:szCs w:val="28"/>
          <w:rtl/>
        </w:rPr>
        <w:t xml:space="preserve"> واعتبار مدة التقادم بالنسبة لتلك الدعوى خمس عشرة سنة</w:t>
      </w:r>
      <w:r>
        <w:rPr>
          <w:rFonts w:hint="cs"/>
          <w:color w:val="0000FF"/>
          <w:sz w:val="28"/>
          <w:szCs w:val="28"/>
          <w:rtl/>
        </w:rPr>
        <w:t xml:space="preserve"> ،</w:t>
      </w:r>
      <w:r w:rsidRPr="00923B1A">
        <w:rPr>
          <w:rFonts w:hint="cs"/>
          <w:color w:val="0000FF"/>
          <w:sz w:val="28"/>
          <w:szCs w:val="28"/>
          <w:rtl/>
        </w:rPr>
        <w:t xml:space="preserve"> تبدأ </w:t>
      </w:r>
      <w:r>
        <w:rPr>
          <w:rFonts w:hint="cs"/>
          <w:color w:val="0000FF"/>
          <w:sz w:val="28"/>
          <w:szCs w:val="28"/>
          <w:rtl/>
        </w:rPr>
        <w:t>من</w:t>
      </w:r>
      <w:r w:rsidRPr="00923B1A">
        <w:rPr>
          <w:rFonts w:hint="cs"/>
          <w:color w:val="0000FF"/>
          <w:sz w:val="28"/>
          <w:szCs w:val="28"/>
          <w:rtl/>
        </w:rPr>
        <w:t xml:space="preserve"> تاريخ وفاء الكفيل المتضامن إذ من هذا التاريخ فقط ينشأ حقه في الرجوع على المتعهدين المتضامنين معه</w:t>
      </w:r>
      <w:r>
        <w:rPr>
          <w:rFonts w:hint="cs"/>
          <w:color w:val="0000FF"/>
          <w:sz w:val="28"/>
          <w:szCs w:val="28"/>
          <w:rtl/>
        </w:rPr>
        <w:t xml:space="preserve"> ،</w:t>
      </w:r>
      <w:r w:rsidRPr="00923B1A">
        <w:rPr>
          <w:rFonts w:hint="cs"/>
          <w:color w:val="0000FF"/>
          <w:sz w:val="28"/>
          <w:szCs w:val="28"/>
          <w:rtl/>
        </w:rPr>
        <w:t xml:space="preserve"> ويصبح هذا الحق مستحق الأداء </w:t>
      </w:r>
      <w:r>
        <w:rPr>
          <w:rFonts w:hint="cs"/>
          <w:color w:val="0000FF"/>
          <w:sz w:val="28"/>
          <w:szCs w:val="28"/>
          <w:rtl/>
        </w:rPr>
        <w:t xml:space="preserve">( </w:t>
      </w:r>
      <w:r w:rsidRPr="00923B1A">
        <w:rPr>
          <w:rFonts w:hint="cs"/>
          <w:color w:val="0000FF"/>
          <w:sz w:val="28"/>
          <w:szCs w:val="28"/>
          <w:rtl/>
        </w:rPr>
        <w:t xml:space="preserve">نقض مدني 10 فبراير سنة 1966 مجموعة أحكام النقض 17 رقم 37 ص 279 </w:t>
      </w:r>
      <w:r w:rsidRPr="00923B1A">
        <w:rPr>
          <w:color w:val="0000FF"/>
          <w:sz w:val="28"/>
          <w:szCs w:val="28"/>
          <w:rtl/>
        </w:rPr>
        <w:t>–</w:t>
      </w:r>
      <w:r w:rsidRPr="00923B1A">
        <w:rPr>
          <w:rFonts w:hint="cs"/>
          <w:color w:val="0000FF"/>
          <w:sz w:val="28"/>
          <w:szCs w:val="28"/>
          <w:rtl/>
        </w:rPr>
        <w:t xml:space="preserve"> وهو الحاكم السابق الإشارة إليه في الهامش السابق</w:t>
      </w:r>
      <w:r>
        <w:rPr>
          <w:rFonts w:hint="cs"/>
          <w:color w:val="0000FF"/>
          <w:sz w:val="28"/>
          <w:szCs w:val="28"/>
          <w:rtl/>
        </w:rPr>
        <w:t xml:space="preserve"> .</w:t>
      </w:r>
    </w:p>
  </w:footnote>
  <w:footnote w:id="34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لم يرد هذا النص في المشروع التمهيدي</w:t>
      </w:r>
      <w:r>
        <w:rPr>
          <w:rFonts w:hint="cs"/>
          <w:color w:val="0000FF"/>
          <w:sz w:val="28"/>
          <w:szCs w:val="28"/>
          <w:rtl/>
        </w:rPr>
        <w:t xml:space="preserve"> ،</w:t>
      </w:r>
      <w:r w:rsidRPr="00923B1A">
        <w:rPr>
          <w:rFonts w:hint="cs"/>
          <w:color w:val="0000FF"/>
          <w:sz w:val="28"/>
          <w:szCs w:val="28"/>
          <w:rtl/>
        </w:rPr>
        <w:t xml:space="preserve"> وقد أضافته لجنة المراجعة نقلا عن المادة 1157 من لجنة الأستاذ كامل صدقي</w:t>
      </w:r>
      <w:r>
        <w:rPr>
          <w:rFonts w:hint="cs"/>
          <w:color w:val="0000FF"/>
          <w:sz w:val="28"/>
          <w:szCs w:val="28"/>
          <w:rtl/>
        </w:rPr>
        <w:t xml:space="preserve"> ،</w:t>
      </w:r>
      <w:r w:rsidRPr="00923B1A">
        <w:rPr>
          <w:rFonts w:hint="cs"/>
          <w:color w:val="0000FF"/>
          <w:sz w:val="28"/>
          <w:szCs w:val="28"/>
          <w:rtl/>
        </w:rPr>
        <w:t xml:space="preserve"> وأصبح رقمه 861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860</w:t>
      </w:r>
      <w:r>
        <w:rPr>
          <w:rFonts w:hint="cs"/>
          <w:color w:val="0000FF"/>
          <w:sz w:val="28"/>
          <w:szCs w:val="28"/>
          <w:rtl/>
        </w:rPr>
        <w:t xml:space="preserve"> ،</w:t>
      </w:r>
      <w:r w:rsidRPr="00923B1A">
        <w:rPr>
          <w:rFonts w:hint="cs"/>
          <w:color w:val="0000FF"/>
          <w:sz w:val="28"/>
          <w:szCs w:val="28"/>
          <w:rtl/>
        </w:rPr>
        <w:t xml:space="preserve"> ثم مجلس الشيوخ تحت رقم 793 </w:t>
      </w:r>
      <w:r>
        <w:rPr>
          <w:rFonts w:hint="cs"/>
          <w:color w:val="0000FF"/>
          <w:sz w:val="28"/>
          <w:szCs w:val="28"/>
          <w:rtl/>
        </w:rPr>
        <w:t xml:space="preserve">( </w:t>
      </w:r>
      <w:r w:rsidRPr="00923B1A">
        <w:rPr>
          <w:rFonts w:hint="cs"/>
          <w:color w:val="0000FF"/>
          <w:sz w:val="28"/>
          <w:szCs w:val="28"/>
          <w:rtl/>
        </w:rPr>
        <w:t xml:space="preserve">مجموعة الأعمال التحضيرية 5 ص 534 </w:t>
      </w:r>
      <w:r w:rsidRPr="00923B1A">
        <w:rPr>
          <w:color w:val="0000FF"/>
          <w:sz w:val="28"/>
          <w:szCs w:val="28"/>
          <w:rtl/>
        </w:rPr>
        <w:t>–</w:t>
      </w:r>
      <w:r w:rsidRPr="00923B1A">
        <w:rPr>
          <w:rFonts w:hint="cs"/>
          <w:color w:val="0000FF"/>
          <w:sz w:val="28"/>
          <w:szCs w:val="28"/>
          <w:rtl/>
        </w:rPr>
        <w:t xml:space="preserve"> ص 535</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759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802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1031</w:t>
      </w:r>
      <w:r>
        <w:rPr>
          <w:rFonts w:hint="cs"/>
          <w:color w:val="0000FF"/>
          <w:sz w:val="28"/>
          <w:szCs w:val="28"/>
          <w:rtl/>
        </w:rPr>
        <w:t xml:space="preserve"> :</w:t>
      </w:r>
      <w:r w:rsidRPr="00923B1A">
        <w:rPr>
          <w:rFonts w:hint="cs"/>
          <w:color w:val="0000FF"/>
          <w:sz w:val="28"/>
          <w:szCs w:val="28"/>
          <w:rtl/>
        </w:rPr>
        <w:t xml:space="preserve"> إذا كان الكفيل متضامنا مع المدين</w:t>
      </w:r>
      <w:r>
        <w:rPr>
          <w:rFonts w:hint="cs"/>
          <w:color w:val="0000FF"/>
          <w:sz w:val="28"/>
          <w:szCs w:val="28"/>
          <w:rtl/>
        </w:rPr>
        <w:t xml:space="preserve"> ،</w:t>
      </w:r>
      <w:r w:rsidRPr="00923B1A">
        <w:rPr>
          <w:rFonts w:hint="cs"/>
          <w:color w:val="0000FF"/>
          <w:sz w:val="28"/>
          <w:szCs w:val="28"/>
          <w:rtl/>
        </w:rPr>
        <w:t xml:space="preserve"> فالدائن مخير في المطالبة أن شاء طالب المدين وإن شاء طالب الكفيل</w:t>
      </w:r>
      <w:r>
        <w:rPr>
          <w:rFonts w:hint="cs"/>
          <w:color w:val="0000FF"/>
          <w:sz w:val="28"/>
          <w:szCs w:val="28"/>
          <w:rtl/>
        </w:rPr>
        <w:t xml:space="preserve"> .</w:t>
      </w:r>
      <w:r w:rsidRPr="00923B1A">
        <w:rPr>
          <w:rFonts w:hint="cs"/>
          <w:color w:val="0000FF"/>
          <w:sz w:val="28"/>
          <w:szCs w:val="28"/>
          <w:rtl/>
        </w:rPr>
        <w:t xml:space="preserve"> ومطالبته أحدهما لا تسقط حق مطالبته الآخر</w:t>
      </w:r>
      <w:r>
        <w:rPr>
          <w:rFonts w:hint="cs"/>
          <w:color w:val="0000FF"/>
          <w:sz w:val="28"/>
          <w:szCs w:val="28"/>
          <w:rtl/>
        </w:rPr>
        <w:t xml:space="preserve"> ،</w:t>
      </w:r>
      <w:r w:rsidRPr="00923B1A">
        <w:rPr>
          <w:rFonts w:hint="cs"/>
          <w:color w:val="0000FF"/>
          <w:sz w:val="28"/>
          <w:szCs w:val="28"/>
          <w:rtl/>
        </w:rPr>
        <w:t xml:space="preserve"> فبعد مطالبته أحدهما له أن يطالب الآخر</w:t>
      </w:r>
      <w:r>
        <w:rPr>
          <w:rFonts w:hint="cs"/>
          <w:color w:val="0000FF"/>
          <w:sz w:val="28"/>
          <w:szCs w:val="28"/>
          <w:rtl/>
        </w:rPr>
        <w:t xml:space="preserve"> ،</w:t>
      </w:r>
      <w:r w:rsidRPr="00923B1A">
        <w:rPr>
          <w:rFonts w:hint="cs"/>
          <w:color w:val="0000FF"/>
          <w:sz w:val="28"/>
          <w:szCs w:val="28"/>
          <w:rtl/>
        </w:rPr>
        <w:t xml:space="preserve"> وله أن يطالبهما معاً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1069 </w:t>
      </w:r>
      <w:r>
        <w:rPr>
          <w:rFonts w:hint="cs"/>
          <w:color w:val="0000FF"/>
          <w:sz w:val="28"/>
          <w:szCs w:val="28"/>
          <w:rtl/>
        </w:rPr>
        <w:t xml:space="preserve">( </w:t>
      </w:r>
      <w:r w:rsidRPr="00923B1A">
        <w:rPr>
          <w:rFonts w:hint="cs"/>
          <w:color w:val="0000FF"/>
          <w:sz w:val="28"/>
          <w:szCs w:val="28"/>
          <w:rtl/>
        </w:rPr>
        <w:t>انظر آنفاً فقرة 53 في الهامش</w:t>
      </w:r>
      <w:r>
        <w:rPr>
          <w:rFonts w:hint="cs"/>
          <w:color w:val="0000FF"/>
          <w:sz w:val="28"/>
          <w:szCs w:val="28"/>
          <w:rtl/>
        </w:rPr>
        <w:t xml:space="preserve"> ) .</w:t>
      </w:r>
    </w:p>
  </w:footnote>
  <w:footnote w:id="34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الفقرة في الهامش</w:t>
      </w:r>
      <w:r>
        <w:rPr>
          <w:rFonts w:hint="cs"/>
          <w:color w:val="0000FF"/>
          <w:sz w:val="28"/>
          <w:szCs w:val="28"/>
          <w:rtl/>
        </w:rPr>
        <w:t xml:space="preserve"> .</w:t>
      </w:r>
    </w:p>
  </w:footnote>
  <w:footnote w:id="34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1151 من المشروع التمهيدي على الوجه الآتي</w:t>
      </w:r>
      <w:r>
        <w:rPr>
          <w:rFonts w:hint="cs"/>
          <w:color w:val="0000FF"/>
          <w:sz w:val="28"/>
          <w:szCs w:val="28"/>
          <w:rtl/>
        </w:rPr>
        <w:t xml:space="preserve"> :</w:t>
      </w:r>
      <w:r w:rsidRPr="00923B1A">
        <w:rPr>
          <w:rFonts w:hint="cs"/>
          <w:color w:val="0000FF"/>
          <w:sz w:val="28"/>
          <w:szCs w:val="28"/>
          <w:rtl/>
        </w:rPr>
        <w:t xml:space="preserve"> "لا يسأل الكفيل المتضامن مسئولية" المدين المتضامن</w:t>
      </w:r>
      <w:r>
        <w:rPr>
          <w:rFonts w:hint="cs"/>
          <w:color w:val="0000FF"/>
          <w:sz w:val="28"/>
          <w:szCs w:val="28"/>
          <w:rtl/>
        </w:rPr>
        <w:t xml:space="preserve"> ،</w:t>
      </w:r>
      <w:r w:rsidRPr="00923B1A">
        <w:rPr>
          <w:rFonts w:hint="cs"/>
          <w:color w:val="0000FF"/>
          <w:sz w:val="28"/>
          <w:szCs w:val="28"/>
          <w:rtl/>
        </w:rPr>
        <w:t xml:space="preserve"> فيجوز له أن يتمسك بما يتمسك به الكفيل غير المتضامن من دفوع متعلقة بالدين</w:t>
      </w:r>
      <w:r>
        <w:rPr>
          <w:rFonts w:hint="cs"/>
          <w:color w:val="0000FF"/>
          <w:sz w:val="28"/>
          <w:szCs w:val="28"/>
          <w:rtl/>
        </w:rPr>
        <w:t xml:space="preserve"> .</w:t>
      </w:r>
      <w:r w:rsidRPr="00923B1A">
        <w:rPr>
          <w:rFonts w:hint="cs"/>
          <w:color w:val="0000FF"/>
          <w:sz w:val="28"/>
          <w:szCs w:val="28"/>
          <w:rtl/>
        </w:rPr>
        <w:t xml:space="preserve"> وفي لجنة المراجعة حذفت عبارة "لا يتمسك به الكفيل غير المتضامن من دفوع متعلقة بالدين</w:t>
      </w:r>
      <w:r>
        <w:rPr>
          <w:rFonts w:hint="cs"/>
          <w:color w:val="0000FF"/>
          <w:sz w:val="28"/>
          <w:szCs w:val="28"/>
          <w:rtl/>
        </w:rPr>
        <w:t xml:space="preserve"> .</w:t>
      </w:r>
      <w:r w:rsidRPr="00923B1A">
        <w:rPr>
          <w:rFonts w:hint="cs"/>
          <w:color w:val="0000FF"/>
          <w:sz w:val="28"/>
          <w:szCs w:val="28"/>
          <w:rtl/>
        </w:rPr>
        <w:t xml:space="preserve"> وفي لجنة المراجعة حذفت عبارة "لا يسأل الكفيل المتضامن مسئولية المدين التضامن" لأنها أدخل في الفقه منها في التشريع</w:t>
      </w:r>
      <w:r>
        <w:rPr>
          <w:rFonts w:hint="cs"/>
          <w:color w:val="0000FF"/>
          <w:sz w:val="28"/>
          <w:szCs w:val="28"/>
          <w:rtl/>
        </w:rPr>
        <w:t xml:space="preserve"> ،</w:t>
      </w:r>
      <w:r w:rsidRPr="00923B1A">
        <w:rPr>
          <w:rFonts w:hint="cs"/>
          <w:color w:val="0000FF"/>
          <w:sz w:val="28"/>
          <w:szCs w:val="28"/>
          <w:rtl/>
        </w:rPr>
        <w:t xml:space="preserve"> ولأن حكم المادة بعد حذف هذه الفقرة يستخلص منه مدلولها"</w:t>
      </w:r>
      <w:r>
        <w:rPr>
          <w:rFonts w:hint="cs"/>
          <w:color w:val="0000FF"/>
          <w:sz w:val="28"/>
          <w:szCs w:val="28"/>
          <w:rtl/>
        </w:rPr>
        <w:t xml:space="preserve"> ،</w:t>
      </w:r>
      <w:r w:rsidRPr="00923B1A">
        <w:rPr>
          <w:rFonts w:hint="cs"/>
          <w:color w:val="0000FF"/>
          <w:sz w:val="28"/>
          <w:szCs w:val="28"/>
          <w:rtl/>
        </w:rPr>
        <w:t xml:space="preserve"> فأصبح النص</w:t>
      </w:r>
      <w:r>
        <w:rPr>
          <w:rFonts w:hint="cs"/>
          <w:color w:val="0000FF"/>
          <w:sz w:val="28"/>
          <w:szCs w:val="28"/>
          <w:rtl/>
        </w:rPr>
        <w:t xml:space="preserve"> ،</w:t>
      </w:r>
      <w:r w:rsidRPr="00923B1A">
        <w:rPr>
          <w:rFonts w:hint="cs"/>
          <w:color w:val="0000FF"/>
          <w:sz w:val="28"/>
          <w:szCs w:val="28"/>
          <w:rtl/>
        </w:rPr>
        <w:t xml:space="preserve"> تحت رقم 862 في المشروع النهائي</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عليه مجلس النواب تحت رقم 861</w:t>
      </w:r>
      <w:r>
        <w:rPr>
          <w:rFonts w:hint="cs"/>
          <w:color w:val="0000FF"/>
          <w:sz w:val="28"/>
          <w:szCs w:val="28"/>
          <w:rtl/>
        </w:rPr>
        <w:t xml:space="preserve"> ،</w:t>
      </w:r>
      <w:r w:rsidRPr="00923B1A">
        <w:rPr>
          <w:rFonts w:hint="cs"/>
          <w:color w:val="0000FF"/>
          <w:sz w:val="28"/>
          <w:szCs w:val="28"/>
          <w:rtl/>
        </w:rPr>
        <w:t xml:space="preserve"> ثم مجلس الشيوخ تحت رقم 794 </w:t>
      </w:r>
      <w:r>
        <w:rPr>
          <w:rFonts w:hint="cs"/>
          <w:color w:val="0000FF"/>
          <w:sz w:val="28"/>
          <w:szCs w:val="28"/>
          <w:rtl/>
        </w:rPr>
        <w:t xml:space="preserve">( </w:t>
      </w:r>
      <w:r w:rsidRPr="00923B1A">
        <w:rPr>
          <w:rFonts w:hint="cs"/>
          <w:color w:val="0000FF"/>
          <w:sz w:val="28"/>
          <w:szCs w:val="28"/>
          <w:rtl/>
        </w:rPr>
        <w:t xml:space="preserve">مجموعة الأعمال التحضيرية 5 ص 525 </w:t>
      </w:r>
      <w:r w:rsidRPr="00923B1A">
        <w:rPr>
          <w:color w:val="0000FF"/>
          <w:sz w:val="28"/>
          <w:szCs w:val="28"/>
          <w:rtl/>
        </w:rPr>
        <w:t>–</w:t>
      </w:r>
      <w:r w:rsidRPr="00923B1A">
        <w:rPr>
          <w:rFonts w:hint="cs"/>
          <w:color w:val="0000FF"/>
          <w:sz w:val="28"/>
          <w:szCs w:val="28"/>
          <w:rtl/>
        </w:rPr>
        <w:t xml:space="preserve"> ص 526</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760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803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لا مقابل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1069 </w:t>
      </w:r>
      <w:r>
        <w:rPr>
          <w:rFonts w:hint="cs"/>
          <w:color w:val="0000FF"/>
          <w:sz w:val="28"/>
          <w:szCs w:val="28"/>
          <w:rtl/>
        </w:rPr>
        <w:t xml:space="preserve">( </w:t>
      </w:r>
      <w:r w:rsidRPr="00923B1A">
        <w:rPr>
          <w:rFonts w:hint="cs"/>
          <w:color w:val="0000FF"/>
          <w:sz w:val="28"/>
          <w:szCs w:val="28"/>
          <w:rtl/>
        </w:rPr>
        <w:t>انظر آنفاً فقرة 53 في الهامش</w:t>
      </w:r>
      <w:r>
        <w:rPr>
          <w:rFonts w:hint="cs"/>
          <w:color w:val="0000FF"/>
          <w:sz w:val="28"/>
          <w:szCs w:val="28"/>
          <w:rtl/>
        </w:rPr>
        <w:t xml:space="preserve"> ) .</w:t>
      </w:r>
    </w:p>
  </w:footnote>
  <w:footnote w:id="34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والقضاء الفرنسي يعتبر الكفيل المتضامن في مركز المدين المتضامن</w:t>
      </w:r>
      <w:r>
        <w:rPr>
          <w:rFonts w:hint="cs"/>
          <w:color w:val="0000FF"/>
          <w:sz w:val="28"/>
          <w:szCs w:val="28"/>
          <w:rtl/>
        </w:rPr>
        <w:t xml:space="preserve"> ،</w:t>
      </w:r>
      <w:r w:rsidRPr="00923B1A">
        <w:rPr>
          <w:rFonts w:hint="cs"/>
          <w:color w:val="0000FF"/>
          <w:sz w:val="28"/>
          <w:szCs w:val="28"/>
          <w:rtl/>
        </w:rPr>
        <w:t xml:space="preserve"> ويستند في ذلك إلى نص المادة 1021 مدني فرنسي وتجر على الوجه الآتي</w:t>
      </w:r>
      <w:r>
        <w:rPr>
          <w:rFonts w:hint="cs"/>
          <w:color w:val="0000FF"/>
          <w:sz w:val="28"/>
          <w:szCs w:val="28"/>
          <w:rtl/>
        </w:rPr>
        <w:t xml:space="preserve"> :</w:t>
      </w:r>
      <w:r w:rsidRPr="00923B1A">
        <w:rPr>
          <w:rFonts w:hint="cs"/>
          <w:color w:val="0000FF"/>
          <w:sz w:val="28"/>
          <w:szCs w:val="28"/>
          <w:rtl/>
        </w:rPr>
        <w:t xml:space="preserve"> "الدفع بالتجريد لا يجوز للكفيل المتضامن مع المدين</w:t>
      </w:r>
      <w:r>
        <w:rPr>
          <w:rFonts w:hint="cs"/>
          <w:color w:val="0000FF"/>
          <w:sz w:val="28"/>
          <w:szCs w:val="28"/>
          <w:rtl/>
        </w:rPr>
        <w:t xml:space="preserve"> ،</w:t>
      </w:r>
      <w:r w:rsidRPr="00923B1A">
        <w:rPr>
          <w:rFonts w:hint="cs"/>
          <w:color w:val="0000FF"/>
          <w:sz w:val="28"/>
          <w:szCs w:val="28"/>
          <w:rtl/>
        </w:rPr>
        <w:t xml:space="preserve"> وفي هذه الحالة تسري على الكفيل للقواعد المقررة في شأن المدينين المتضامنين" فيقضي هذا النص</w:t>
      </w:r>
      <w:r>
        <w:rPr>
          <w:rFonts w:hint="cs"/>
          <w:color w:val="0000FF"/>
          <w:sz w:val="28"/>
          <w:szCs w:val="28"/>
          <w:rtl/>
        </w:rPr>
        <w:t xml:space="preserve"> ،</w:t>
      </w:r>
      <w:r w:rsidRPr="00923B1A">
        <w:rPr>
          <w:rFonts w:hint="cs"/>
          <w:color w:val="0000FF"/>
          <w:sz w:val="28"/>
          <w:szCs w:val="28"/>
          <w:rtl/>
        </w:rPr>
        <w:t xml:space="preserve"> كما نرى</w:t>
      </w:r>
      <w:r>
        <w:rPr>
          <w:rFonts w:hint="cs"/>
          <w:color w:val="0000FF"/>
          <w:sz w:val="28"/>
          <w:szCs w:val="28"/>
          <w:rtl/>
        </w:rPr>
        <w:t xml:space="preserve"> ،</w:t>
      </w:r>
      <w:r w:rsidRPr="00923B1A">
        <w:rPr>
          <w:rFonts w:hint="cs"/>
          <w:color w:val="0000FF"/>
          <w:sz w:val="28"/>
          <w:szCs w:val="28"/>
          <w:rtl/>
        </w:rPr>
        <w:t xml:space="preserve"> بأن التزام الكفيل المتضامن مع المدين تسري عليه القواعد المقررة في شأن المدينين المتضامنين</w:t>
      </w:r>
      <w:r>
        <w:rPr>
          <w:rFonts w:hint="cs"/>
          <w:color w:val="0000FF"/>
          <w:sz w:val="28"/>
          <w:szCs w:val="28"/>
          <w:rtl/>
        </w:rPr>
        <w:t xml:space="preserve"> .</w:t>
      </w:r>
      <w:r w:rsidRPr="00923B1A">
        <w:rPr>
          <w:rFonts w:hint="cs"/>
          <w:color w:val="0000FF"/>
          <w:sz w:val="28"/>
          <w:szCs w:val="28"/>
          <w:rtl/>
        </w:rPr>
        <w:t xml:space="preserve"> ولكن الفقه الفرنسي يميز بين الكفيل المتضامن مع المدين والمدين المتضامن</w:t>
      </w:r>
      <w:r>
        <w:rPr>
          <w:rFonts w:hint="cs"/>
          <w:color w:val="0000FF"/>
          <w:sz w:val="28"/>
          <w:szCs w:val="28"/>
          <w:rtl/>
        </w:rPr>
        <w:t xml:space="preserve"> ،</w:t>
      </w:r>
      <w:r w:rsidRPr="00923B1A">
        <w:rPr>
          <w:rFonts w:hint="cs"/>
          <w:color w:val="0000FF"/>
          <w:sz w:val="28"/>
          <w:szCs w:val="28"/>
          <w:rtl/>
        </w:rPr>
        <w:t xml:space="preserve"> فالأول يعتبر كفيلا ويكون التزامه تابعا لالتزام المدين الأصلي</w:t>
      </w:r>
      <w:r>
        <w:rPr>
          <w:rFonts w:hint="cs"/>
          <w:color w:val="0000FF"/>
          <w:sz w:val="28"/>
          <w:szCs w:val="28"/>
          <w:rtl/>
        </w:rPr>
        <w:t xml:space="preserve"> ،</w:t>
      </w:r>
      <w:r w:rsidRPr="00923B1A">
        <w:rPr>
          <w:rFonts w:hint="cs"/>
          <w:color w:val="0000FF"/>
          <w:sz w:val="28"/>
          <w:szCs w:val="28"/>
          <w:rtl/>
        </w:rPr>
        <w:t xml:space="preserve"> أما الثاني فيعبر مدينا أصليا</w:t>
      </w:r>
      <w:r>
        <w:rPr>
          <w:rFonts w:hint="cs"/>
          <w:color w:val="0000FF"/>
          <w:sz w:val="28"/>
          <w:szCs w:val="28"/>
          <w:rtl/>
        </w:rPr>
        <w:t xml:space="preserve"> .</w:t>
      </w:r>
      <w:r w:rsidRPr="00923B1A">
        <w:rPr>
          <w:rFonts w:hint="cs"/>
          <w:color w:val="0000FF"/>
          <w:sz w:val="28"/>
          <w:szCs w:val="28"/>
          <w:rtl/>
        </w:rPr>
        <w:t xml:space="preserve"> وقد سار القضاء المصري في عهد التقنين المدني السابق</w:t>
      </w:r>
      <w:r>
        <w:rPr>
          <w:rFonts w:hint="cs"/>
          <w:color w:val="0000FF"/>
          <w:sz w:val="28"/>
          <w:szCs w:val="28"/>
          <w:rtl/>
        </w:rPr>
        <w:t xml:space="preserve"> ،</w:t>
      </w:r>
      <w:r w:rsidRPr="00923B1A">
        <w:rPr>
          <w:rFonts w:hint="cs"/>
          <w:color w:val="0000FF"/>
          <w:sz w:val="28"/>
          <w:szCs w:val="28"/>
          <w:rtl/>
        </w:rPr>
        <w:t xml:space="preserve"> على مذهب الفقه الفرنسي</w:t>
      </w:r>
      <w:r>
        <w:rPr>
          <w:rFonts w:hint="cs"/>
          <w:color w:val="0000FF"/>
          <w:sz w:val="28"/>
          <w:szCs w:val="28"/>
          <w:rtl/>
        </w:rPr>
        <w:t xml:space="preserve"> ،</w:t>
      </w:r>
      <w:r w:rsidRPr="00923B1A">
        <w:rPr>
          <w:rFonts w:hint="cs"/>
          <w:color w:val="0000FF"/>
          <w:sz w:val="28"/>
          <w:szCs w:val="28"/>
          <w:rtl/>
        </w:rPr>
        <w:t xml:space="preserve"> وميز بين الكفيل المتضامن مع المدين والمدين المتضامن </w:t>
      </w:r>
      <w:r>
        <w:rPr>
          <w:rFonts w:hint="cs"/>
          <w:color w:val="0000FF"/>
          <w:sz w:val="28"/>
          <w:szCs w:val="28"/>
          <w:rtl/>
        </w:rPr>
        <w:t xml:space="preserve">( </w:t>
      </w:r>
      <w:r w:rsidRPr="00923B1A">
        <w:rPr>
          <w:rFonts w:hint="cs"/>
          <w:color w:val="0000FF"/>
          <w:sz w:val="28"/>
          <w:szCs w:val="28"/>
          <w:rtl/>
        </w:rPr>
        <w:t xml:space="preserve">انظر الأحكام المشار إليها في المذكرة الإيضاحية للمشروع التمهيدي في مجموعة الأعمال التحضيرية 5 ص 526 </w:t>
      </w:r>
      <w:r w:rsidRPr="00923B1A">
        <w:rPr>
          <w:color w:val="0000FF"/>
          <w:sz w:val="28"/>
          <w:szCs w:val="28"/>
          <w:rtl/>
        </w:rPr>
        <w:t>–</w:t>
      </w:r>
      <w:r w:rsidRPr="00923B1A">
        <w:rPr>
          <w:rFonts w:hint="cs"/>
          <w:color w:val="0000FF"/>
          <w:sz w:val="28"/>
          <w:szCs w:val="28"/>
          <w:rtl/>
        </w:rPr>
        <w:t xml:space="preserve"> وهي الأحكام المذكورة في المتن</w:t>
      </w:r>
      <w:r>
        <w:rPr>
          <w:rFonts w:hint="cs"/>
          <w:color w:val="0000FF"/>
          <w:sz w:val="28"/>
          <w:szCs w:val="28"/>
          <w:rtl/>
        </w:rPr>
        <w:t xml:space="preserve"> ) .</w:t>
      </w:r>
      <w:r w:rsidRPr="00923B1A">
        <w:rPr>
          <w:rFonts w:hint="cs"/>
          <w:color w:val="0000FF"/>
          <w:sz w:val="28"/>
          <w:szCs w:val="28"/>
          <w:rtl/>
        </w:rPr>
        <w:t xml:space="preserve"> وأخذ التقنين المدني الجديد بهذا التمييز بنص تشريعي</w:t>
      </w:r>
      <w:r>
        <w:rPr>
          <w:rFonts w:hint="cs"/>
          <w:color w:val="0000FF"/>
          <w:sz w:val="28"/>
          <w:szCs w:val="28"/>
          <w:rtl/>
        </w:rPr>
        <w:t xml:space="preserve"> ،</w:t>
      </w:r>
      <w:r w:rsidRPr="00923B1A">
        <w:rPr>
          <w:rFonts w:hint="cs"/>
          <w:color w:val="0000FF"/>
          <w:sz w:val="28"/>
          <w:szCs w:val="28"/>
          <w:rtl/>
        </w:rPr>
        <w:t xml:space="preserve"> هو المادة 794 مدنس سالف الذكر</w:t>
      </w:r>
      <w:r>
        <w:rPr>
          <w:rFonts w:hint="cs"/>
          <w:color w:val="0000FF"/>
          <w:sz w:val="28"/>
          <w:szCs w:val="28"/>
          <w:rtl/>
        </w:rPr>
        <w:t xml:space="preserve"> .</w:t>
      </w:r>
      <w:r w:rsidRPr="00923B1A">
        <w:rPr>
          <w:rFonts w:hint="cs"/>
          <w:color w:val="0000FF"/>
          <w:sz w:val="28"/>
          <w:szCs w:val="28"/>
          <w:rtl/>
        </w:rPr>
        <w:t xml:space="preserve"> فيعتبر الكفيل المتضامن مع المدين فيلا لا مدينا أصليا</w:t>
      </w:r>
      <w:r>
        <w:rPr>
          <w:rFonts w:hint="cs"/>
          <w:color w:val="0000FF"/>
          <w:sz w:val="28"/>
          <w:szCs w:val="28"/>
          <w:rtl/>
        </w:rPr>
        <w:t xml:space="preserve"> ،</w:t>
      </w:r>
      <w:r w:rsidRPr="00923B1A">
        <w:rPr>
          <w:rFonts w:hint="cs"/>
          <w:color w:val="0000FF"/>
          <w:sz w:val="28"/>
          <w:szCs w:val="28"/>
          <w:rtl/>
        </w:rPr>
        <w:t xml:space="preserve"> وله أن يتمسك به الكفيل العادي من دفوع</w:t>
      </w:r>
      <w:r>
        <w:rPr>
          <w:rFonts w:hint="cs"/>
          <w:color w:val="0000FF"/>
          <w:sz w:val="28"/>
          <w:szCs w:val="28"/>
          <w:rtl/>
        </w:rPr>
        <w:t xml:space="preserve"> :</w:t>
      </w:r>
      <w:r w:rsidRPr="00923B1A">
        <w:rPr>
          <w:rFonts w:hint="cs"/>
          <w:color w:val="0000FF"/>
          <w:sz w:val="28"/>
          <w:szCs w:val="28"/>
          <w:rtl/>
        </w:rPr>
        <w:t xml:space="preserve"> وسيأتي تفصيل ذلك فيما يلي في المتن في نفس الفقرة </w:t>
      </w:r>
      <w:r w:rsidRPr="00923B1A">
        <w:rPr>
          <w:color w:val="0000FF"/>
          <w:sz w:val="28"/>
          <w:szCs w:val="28"/>
          <w:rtl/>
        </w:rPr>
        <w:t>–</w:t>
      </w:r>
      <w:r w:rsidRPr="00923B1A">
        <w:rPr>
          <w:rFonts w:hint="cs"/>
          <w:color w:val="0000FF"/>
          <w:sz w:val="28"/>
          <w:szCs w:val="28"/>
          <w:rtl/>
        </w:rPr>
        <w:t xml:space="preserve"> وانظر القانون الفرنسي من قضاء وفقه في بودري وفال 1406 </w:t>
      </w:r>
      <w:r w:rsidRPr="00923B1A">
        <w:rPr>
          <w:color w:val="0000FF"/>
          <w:sz w:val="28"/>
          <w:szCs w:val="28"/>
          <w:rtl/>
        </w:rPr>
        <w:t>–</w:t>
      </w:r>
      <w:r w:rsidRPr="00923B1A">
        <w:rPr>
          <w:rFonts w:hint="cs"/>
          <w:color w:val="0000FF"/>
          <w:sz w:val="28"/>
          <w:szCs w:val="28"/>
          <w:rtl/>
        </w:rPr>
        <w:t xml:space="preserve"> بلانيول وريبير وبولانجيه فقرة 1946 </w:t>
      </w:r>
      <w:r w:rsidRPr="00923B1A">
        <w:rPr>
          <w:color w:val="0000FF"/>
          <w:sz w:val="28"/>
          <w:szCs w:val="28"/>
          <w:rtl/>
        </w:rPr>
        <w:t>–</w:t>
      </w:r>
      <w:r w:rsidRPr="00923B1A">
        <w:rPr>
          <w:rFonts w:hint="cs"/>
          <w:color w:val="0000FF"/>
          <w:sz w:val="28"/>
          <w:szCs w:val="28"/>
          <w:rtl/>
        </w:rPr>
        <w:t xml:space="preserve"> كولان وكابيتان ودي لامور انديير 2 فقرة 1406 </w:t>
      </w:r>
      <w:r w:rsidRPr="00923B1A">
        <w:rPr>
          <w:color w:val="0000FF"/>
          <w:sz w:val="28"/>
          <w:szCs w:val="28"/>
          <w:rtl/>
        </w:rPr>
        <w:t>–</w:t>
      </w:r>
      <w:r w:rsidRPr="00923B1A">
        <w:rPr>
          <w:rFonts w:hint="cs"/>
          <w:color w:val="0000FF"/>
          <w:sz w:val="28"/>
          <w:szCs w:val="28"/>
          <w:rtl/>
        </w:rPr>
        <w:t xml:space="preserve"> وانظر أيضاً محمد كامل مرسي فقرة 100 </w:t>
      </w:r>
      <w:r w:rsidRPr="00923B1A">
        <w:rPr>
          <w:color w:val="0000FF"/>
          <w:sz w:val="28"/>
          <w:szCs w:val="28"/>
          <w:rtl/>
        </w:rPr>
        <w:t>–</w:t>
      </w:r>
      <w:r w:rsidRPr="00923B1A">
        <w:rPr>
          <w:rFonts w:hint="cs"/>
          <w:color w:val="0000FF"/>
          <w:sz w:val="28"/>
          <w:szCs w:val="28"/>
          <w:rtl/>
        </w:rPr>
        <w:t xml:space="preserve"> عبد الفتاح عبد الباقي فقرة 71 </w:t>
      </w:r>
      <w:r w:rsidRPr="00923B1A">
        <w:rPr>
          <w:color w:val="0000FF"/>
          <w:sz w:val="28"/>
          <w:szCs w:val="28"/>
          <w:rtl/>
        </w:rPr>
        <w:t>–</w:t>
      </w:r>
      <w:r w:rsidRPr="00923B1A">
        <w:rPr>
          <w:rFonts w:hint="cs"/>
          <w:color w:val="0000FF"/>
          <w:sz w:val="28"/>
          <w:szCs w:val="28"/>
          <w:rtl/>
        </w:rPr>
        <w:t xml:space="preserve"> سليمان مرقس فقرة 86 </w:t>
      </w:r>
      <w:r w:rsidRPr="00923B1A">
        <w:rPr>
          <w:color w:val="0000FF"/>
          <w:sz w:val="28"/>
          <w:szCs w:val="28"/>
          <w:rtl/>
        </w:rPr>
        <w:t>–</w:t>
      </w:r>
      <w:r w:rsidRPr="00923B1A">
        <w:rPr>
          <w:rFonts w:hint="cs"/>
          <w:color w:val="0000FF"/>
          <w:sz w:val="28"/>
          <w:szCs w:val="28"/>
          <w:rtl/>
        </w:rPr>
        <w:t xml:space="preserve"> فقرة 88</w:t>
      </w:r>
      <w:r>
        <w:rPr>
          <w:rFonts w:hint="cs"/>
          <w:color w:val="0000FF"/>
          <w:sz w:val="28"/>
          <w:szCs w:val="28"/>
          <w:rtl/>
        </w:rPr>
        <w:t xml:space="preserve"> .</w:t>
      </w:r>
    </w:p>
  </w:footnote>
  <w:footnote w:id="34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الوسيط 3 فقرة 188 </w:t>
      </w:r>
      <w:r w:rsidRPr="00923B1A">
        <w:rPr>
          <w:color w:val="0000FF"/>
          <w:sz w:val="28"/>
          <w:szCs w:val="28"/>
          <w:rtl/>
        </w:rPr>
        <w:t>–</w:t>
      </w:r>
      <w:r w:rsidRPr="00923B1A">
        <w:rPr>
          <w:rFonts w:hint="cs"/>
          <w:color w:val="0000FF"/>
          <w:sz w:val="28"/>
          <w:szCs w:val="28"/>
          <w:rtl/>
        </w:rPr>
        <w:t xml:space="preserve"> فقرة 194</w:t>
      </w:r>
      <w:r>
        <w:rPr>
          <w:rFonts w:hint="cs"/>
          <w:color w:val="0000FF"/>
          <w:sz w:val="28"/>
          <w:szCs w:val="28"/>
          <w:rtl/>
        </w:rPr>
        <w:t xml:space="preserve"> .</w:t>
      </w:r>
    </w:p>
  </w:footnote>
  <w:footnote w:id="34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في عهد التقنين المدني السابق بأن الشارع لم يقصد التسوية بين المدين المتضامن والكفيل المتضامن في الحكم الذي نص عليه المادة 110 من القانون المدني </w:t>
      </w:r>
      <w:r>
        <w:rPr>
          <w:rFonts w:hint="cs"/>
          <w:color w:val="0000FF"/>
          <w:sz w:val="28"/>
          <w:szCs w:val="28"/>
          <w:rtl/>
        </w:rPr>
        <w:t xml:space="preserve">( </w:t>
      </w:r>
      <w:r w:rsidRPr="00923B1A">
        <w:rPr>
          <w:rFonts w:hint="cs"/>
          <w:color w:val="0000FF"/>
          <w:sz w:val="28"/>
          <w:szCs w:val="28"/>
          <w:rtl/>
        </w:rPr>
        <w:t>السابق</w:t>
      </w:r>
      <w:r>
        <w:rPr>
          <w:rFonts w:hint="cs"/>
          <w:color w:val="0000FF"/>
          <w:sz w:val="28"/>
          <w:szCs w:val="28"/>
          <w:rtl/>
        </w:rPr>
        <w:t xml:space="preserve"> )</w:t>
      </w:r>
      <w:r w:rsidRPr="00923B1A">
        <w:rPr>
          <w:rFonts w:hint="cs"/>
          <w:color w:val="0000FF"/>
          <w:sz w:val="28"/>
          <w:szCs w:val="28"/>
          <w:rtl/>
        </w:rPr>
        <w:t xml:space="preserve"> من أن مطالبة أحد المدينين مطالبة رسمية وإقامة الدعوى عليه بالدين يسريان على باقي المدينين</w:t>
      </w:r>
      <w:r>
        <w:rPr>
          <w:rFonts w:hint="cs"/>
          <w:color w:val="0000FF"/>
          <w:sz w:val="28"/>
          <w:szCs w:val="28"/>
          <w:rtl/>
        </w:rPr>
        <w:t xml:space="preserve"> ،</w:t>
      </w:r>
      <w:r w:rsidRPr="00923B1A">
        <w:rPr>
          <w:rFonts w:hint="cs"/>
          <w:color w:val="0000FF"/>
          <w:sz w:val="28"/>
          <w:szCs w:val="28"/>
          <w:rtl/>
        </w:rPr>
        <w:t xml:space="preserve"> بل محل هذا الحكم أن يكون التضامن الذي يربط المتعهدين بعضهم ببعض ناشئا من مصدر واحد</w:t>
      </w:r>
      <w:r>
        <w:rPr>
          <w:rFonts w:hint="cs"/>
          <w:color w:val="0000FF"/>
          <w:sz w:val="28"/>
          <w:szCs w:val="28"/>
          <w:rtl/>
        </w:rPr>
        <w:t xml:space="preserve"> .</w:t>
      </w:r>
      <w:r w:rsidRPr="00923B1A">
        <w:rPr>
          <w:rFonts w:hint="cs"/>
          <w:color w:val="0000FF"/>
          <w:sz w:val="28"/>
          <w:szCs w:val="28"/>
          <w:rtl/>
        </w:rPr>
        <w:t xml:space="preserve"> وإذن فمطالبة أي واحد من المدينين المتضامنين تسري في حق باقي المدينين</w:t>
      </w:r>
      <w:r>
        <w:rPr>
          <w:rFonts w:hint="cs"/>
          <w:color w:val="0000FF"/>
          <w:sz w:val="28"/>
          <w:szCs w:val="28"/>
          <w:rtl/>
        </w:rPr>
        <w:t xml:space="preserve"> ،</w:t>
      </w:r>
      <w:r w:rsidRPr="00923B1A">
        <w:rPr>
          <w:rFonts w:hint="cs"/>
          <w:color w:val="0000FF"/>
          <w:sz w:val="28"/>
          <w:szCs w:val="28"/>
          <w:rtl/>
        </w:rPr>
        <w:t xml:space="preserve"> كما أن مطالبة أي واحد من الكفلاء المتضامنين تسري في حق سائر زملائه</w:t>
      </w:r>
      <w:r>
        <w:rPr>
          <w:rFonts w:hint="cs"/>
          <w:color w:val="0000FF"/>
          <w:sz w:val="28"/>
          <w:szCs w:val="28"/>
          <w:rtl/>
        </w:rPr>
        <w:t xml:space="preserve"> ،</w:t>
      </w:r>
      <w:r w:rsidRPr="00923B1A">
        <w:rPr>
          <w:rFonts w:hint="cs"/>
          <w:color w:val="0000FF"/>
          <w:sz w:val="28"/>
          <w:szCs w:val="28"/>
          <w:rtl/>
        </w:rPr>
        <w:t xml:space="preserve"> لاتحاد المركز والمصلحة اتحادا اتخذ منه القانون أساساً لافتراض نوع من الوكالة بينهم في مقاضاة الدائن لهم</w:t>
      </w:r>
      <w:r>
        <w:rPr>
          <w:rFonts w:hint="cs"/>
          <w:color w:val="0000FF"/>
          <w:sz w:val="28"/>
          <w:szCs w:val="28"/>
          <w:rtl/>
        </w:rPr>
        <w:t xml:space="preserve"> .</w:t>
      </w:r>
      <w:r w:rsidRPr="00923B1A">
        <w:rPr>
          <w:rFonts w:hint="cs"/>
          <w:color w:val="0000FF"/>
          <w:sz w:val="28"/>
          <w:szCs w:val="28"/>
          <w:rtl/>
        </w:rPr>
        <w:t xml:space="preserve"> ومن ثم كان حكم المادة 110 ساريا فيما بين المدينين المتضامنين بعضهم وبعض</w:t>
      </w:r>
      <w:r>
        <w:rPr>
          <w:rFonts w:hint="cs"/>
          <w:color w:val="0000FF"/>
          <w:sz w:val="28"/>
          <w:szCs w:val="28"/>
          <w:rtl/>
        </w:rPr>
        <w:t xml:space="preserve"> ،</w:t>
      </w:r>
      <w:r w:rsidRPr="00923B1A">
        <w:rPr>
          <w:rFonts w:hint="cs"/>
          <w:color w:val="0000FF"/>
          <w:sz w:val="28"/>
          <w:szCs w:val="28"/>
          <w:rtl/>
        </w:rPr>
        <w:t xml:space="preserve"> وفيما بين الكفلاء المتضامنين بعضهم وبعض</w:t>
      </w:r>
      <w:r>
        <w:rPr>
          <w:rFonts w:hint="cs"/>
          <w:color w:val="0000FF"/>
          <w:sz w:val="28"/>
          <w:szCs w:val="28"/>
          <w:rtl/>
        </w:rPr>
        <w:t xml:space="preserve"> ،</w:t>
      </w:r>
      <w:r w:rsidRPr="00923B1A">
        <w:rPr>
          <w:rFonts w:hint="cs"/>
          <w:color w:val="0000FF"/>
          <w:sz w:val="28"/>
          <w:szCs w:val="28"/>
          <w:rtl/>
        </w:rPr>
        <w:t xml:space="preserve"> لا فيما الدين وكفيله المتضامن معه </w:t>
      </w:r>
      <w:r>
        <w:rPr>
          <w:rFonts w:hint="cs"/>
          <w:color w:val="0000FF"/>
          <w:sz w:val="28"/>
          <w:szCs w:val="28"/>
          <w:rtl/>
        </w:rPr>
        <w:t xml:space="preserve">( </w:t>
      </w:r>
      <w:r w:rsidRPr="00923B1A">
        <w:rPr>
          <w:rFonts w:hint="cs"/>
          <w:color w:val="0000FF"/>
          <w:sz w:val="28"/>
          <w:szCs w:val="28"/>
          <w:rtl/>
        </w:rPr>
        <w:t>نقض مدني 12 يناير سنة 1946 مجموعة القواعد القانونية التي قررتها محكمة النقض في 25 عاما الجزء الثاني ص 938 رقم 14</w:t>
      </w:r>
      <w:r>
        <w:rPr>
          <w:rFonts w:hint="cs"/>
          <w:color w:val="0000FF"/>
          <w:sz w:val="28"/>
          <w:szCs w:val="28"/>
          <w:rtl/>
        </w:rPr>
        <w:t xml:space="preserve"> ) .</w:t>
      </w:r>
    </w:p>
  </w:footnote>
  <w:footnote w:id="34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وهذا وقد سبق أن كتبنا في الجزء الثالث من الوسيط</w:t>
      </w:r>
      <w:r>
        <w:rPr>
          <w:rFonts w:hint="cs"/>
          <w:color w:val="0000FF"/>
          <w:sz w:val="28"/>
          <w:szCs w:val="28"/>
          <w:rtl/>
        </w:rPr>
        <w:t xml:space="preserve"> ،</w:t>
      </w:r>
      <w:r w:rsidRPr="00923B1A">
        <w:rPr>
          <w:rFonts w:hint="cs"/>
          <w:color w:val="0000FF"/>
          <w:sz w:val="28"/>
          <w:szCs w:val="28"/>
          <w:rtl/>
        </w:rPr>
        <w:t xml:space="preserve"> في خصوص المادة 299 مدني</w:t>
      </w:r>
      <w:r>
        <w:rPr>
          <w:rFonts w:hint="cs"/>
          <w:color w:val="0000FF"/>
          <w:sz w:val="28"/>
          <w:szCs w:val="28"/>
          <w:rtl/>
        </w:rPr>
        <w:t xml:space="preserve"> ،</w:t>
      </w:r>
      <w:r w:rsidRPr="00923B1A">
        <w:rPr>
          <w:rFonts w:hint="cs"/>
          <w:color w:val="0000FF"/>
          <w:sz w:val="28"/>
          <w:szCs w:val="28"/>
          <w:rtl/>
        </w:rPr>
        <w:t xml:space="preserve"> ما يأتي "وظهر من هذا النص أن هناك حالة لا يكون فيها المدينون المتضامنون جميعاً هم أصحاب المصلحة في الدين</w:t>
      </w:r>
      <w:r>
        <w:rPr>
          <w:rFonts w:hint="cs"/>
          <w:color w:val="0000FF"/>
          <w:sz w:val="28"/>
          <w:szCs w:val="28"/>
          <w:rtl/>
        </w:rPr>
        <w:t xml:space="preserve"> ،</w:t>
      </w:r>
      <w:r w:rsidRPr="00923B1A">
        <w:rPr>
          <w:rFonts w:hint="cs"/>
          <w:color w:val="0000FF"/>
          <w:sz w:val="28"/>
          <w:szCs w:val="28"/>
          <w:rtl/>
        </w:rPr>
        <w:t xml:space="preserve"> بل يكون واحد منهم أو أكثر هم أصحاب المصلحة دون الآخرين</w:t>
      </w:r>
      <w:r>
        <w:rPr>
          <w:rFonts w:hint="cs"/>
          <w:color w:val="0000FF"/>
          <w:sz w:val="28"/>
          <w:szCs w:val="28"/>
          <w:rtl/>
        </w:rPr>
        <w:t xml:space="preserve"> .</w:t>
      </w:r>
      <w:r w:rsidRPr="00923B1A">
        <w:rPr>
          <w:rFonts w:hint="cs"/>
          <w:color w:val="0000FF"/>
          <w:sz w:val="28"/>
          <w:szCs w:val="28"/>
          <w:rtl/>
        </w:rPr>
        <w:t xml:space="preserve"> فماذا يكون في هذه الحالة</w:t>
      </w:r>
      <w:r>
        <w:rPr>
          <w:rFonts w:hint="cs"/>
          <w:color w:val="0000FF"/>
          <w:sz w:val="28"/>
          <w:szCs w:val="28"/>
          <w:rtl/>
        </w:rPr>
        <w:t xml:space="preserve"> ،</w:t>
      </w:r>
      <w:r w:rsidRPr="00923B1A">
        <w:rPr>
          <w:rFonts w:hint="cs"/>
          <w:color w:val="0000FF"/>
          <w:sz w:val="28"/>
          <w:szCs w:val="28"/>
          <w:rtl/>
        </w:rPr>
        <w:t xml:space="preserve"> شأن هؤلاء الآخرين الذي ليس لهم مصلحة في الدين</w:t>
      </w:r>
      <w:r>
        <w:rPr>
          <w:rFonts w:hint="cs"/>
          <w:color w:val="0000FF"/>
          <w:sz w:val="28"/>
          <w:szCs w:val="28"/>
          <w:rtl/>
        </w:rPr>
        <w:t xml:space="preserve"> ،</w:t>
      </w:r>
      <w:r w:rsidRPr="00923B1A">
        <w:rPr>
          <w:rFonts w:hint="cs"/>
          <w:color w:val="0000FF"/>
          <w:sz w:val="28"/>
          <w:szCs w:val="28"/>
          <w:rtl/>
        </w:rPr>
        <w:t xml:space="preserve"> أي ليسوا هم المدينين الحقيقيين</w:t>
      </w:r>
      <w:r>
        <w:rPr>
          <w:rFonts w:hint="cs"/>
          <w:color w:val="0000FF"/>
          <w:sz w:val="28"/>
          <w:szCs w:val="28"/>
          <w:rtl/>
        </w:rPr>
        <w:t xml:space="preserve"> ،</w:t>
      </w:r>
      <w:r w:rsidRPr="00923B1A">
        <w:rPr>
          <w:rFonts w:hint="cs"/>
          <w:color w:val="0000FF"/>
          <w:sz w:val="28"/>
          <w:szCs w:val="28"/>
          <w:rtl/>
        </w:rPr>
        <w:t xml:space="preserve"> ومع ذلك يتضامنون في الدين مع أصحاب المصلحة فيه؟ إنهم يكونون لا شك كفلاء لأصحاب المصلحة وأصحاب المصلحة وحدهم هم المدينون الحقيقيون أو المدينون الأصليون</w:t>
      </w:r>
      <w:r>
        <w:rPr>
          <w:rFonts w:hint="cs"/>
          <w:color w:val="0000FF"/>
          <w:sz w:val="28"/>
          <w:szCs w:val="28"/>
          <w:rtl/>
        </w:rPr>
        <w:t xml:space="preserve"> .</w:t>
      </w:r>
      <w:r w:rsidRPr="00923B1A">
        <w:rPr>
          <w:rFonts w:hint="cs"/>
          <w:color w:val="0000FF"/>
          <w:sz w:val="28"/>
          <w:szCs w:val="28"/>
          <w:rtl/>
        </w:rPr>
        <w:t xml:space="preserve"> يبقى أن ننظر لماذا لم يبرز هؤلاء وأولئك في الوضع القانوني المألوف</w:t>
      </w:r>
      <w:r>
        <w:rPr>
          <w:rFonts w:hint="cs"/>
          <w:color w:val="0000FF"/>
          <w:sz w:val="28"/>
          <w:szCs w:val="28"/>
          <w:rtl/>
        </w:rPr>
        <w:t xml:space="preserve"> ،</w:t>
      </w:r>
      <w:r w:rsidRPr="00923B1A">
        <w:rPr>
          <w:rFonts w:hint="cs"/>
          <w:color w:val="0000FF"/>
          <w:sz w:val="28"/>
          <w:szCs w:val="28"/>
          <w:rtl/>
        </w:rPr>
        <w:t xml:space="preserve"> مدينين أصليين وكفلاء</w:t>
      </w:r>
      <w:r>
        <w:rPr>
          <w:rFonts w:hint="cs"/>
          <w:color w:val="0000FF"/>
          <w:sz w:val="28"/>
          <w:szCs w:val="28"/>
          <w:rtl/>
        </w:rPr>
        <w:t xml:space="preserve"> ،</w:t>
      </w:r>
      <w:r w:rsidRPr="00923B1A">
        <w:rPr>
          <w:rFonts w:hint="cs"/>
          <w:color w:val="0000FF"/>
          <w:sz w:val="28"/>
          <w:szCs w:val="28"/>
          <w:rtl/>
        </w:rPr>
        <w:t xml:space="preserve"> بل برزوا جميعا مدينين متضامنين؟ يسوقنا هذا إلى إيراد عجالة سريعة في تاريخ الكفالة</w:t>
      </w:r>
      <w:r>
        <w:rPr>
          <w:rFonts w:hint="cs"/>
          <w:color w:val="0000FF"/>
          <w:sz w:val="28"/>
          <w:szCs w:val="28"/>
          <w:rtl/>
        </w:rPr>
        <w:t xml:space="preserve"> .</w:t>
      </w:r>
      <w:r w:rsidRPr="00923B1A">
        <w:rPr>
          <w:rFonts w:hint="cs"/>
          <w:color w:val="0000FF"/>
          <w:sz w:val="28"/>
          <w:szCs w:val="28"/>
          <w:rtl/>
        </w:rPr>
        <w:t xml:space="preserve"> لم يكن القانون الروماني القديم يعرف الكفالة في وضعها الحديث</w:t>
      </w:r>
      <w:r>
        <w:rPr>
          <w:rFonts w:hint="cs"/>
          <w:color w:val="0000FF"/>
          <w:sz w:val="28"/>
          <w:szCs w:val="28"/>
          <w:rtl/>
        </w:rPr>
        <w:t xml:space="preserve"> ،</w:t>
      </w:r>
      <w:r w:rsidRPr="00923B1A">
        <w:rPr>
          <w:rFonts w:hint="cs"/>
          <w:color w:val="0000FF"/>
          <w:sz w:val="28"/>
          <w:szCs w:val="28"/>
          <w:rtl/>
        </w:rPr>
        <w:t xml:space="preserve"> ولم يكن متصورا في صناعة هذا القانون أن شخصا آخر يلتزم بنفس الدين الذي التزم به المدين دون أن يكون مدينا أصليا معه</w:t>
      </w:r>
      <w:r>
        <w:rPr>
          <w:rFonts w:hint="cs"/>
          <w:color w:val="0000FF"/>
          <w:sz w:val="28"/>
          <w:szCs w:val="28"/>
          <w:rtl/>
        </w:rPr>
        <w:t xml:space="preserve"> ،</w:t>
      </w:r>
      <w:r w:rsidRPr="00923B1A">
        <w:rPr>
          <w:rFonts w:hint="cs"/>
          <w:color w:val="0000FF"/>
          <w:sz w:val="28"/>
          <w:szCs w:val="28"/>
          <w:rtl/>
        </w:rPr>
        <w:t xml:space="preserve"> لا مجرد مدين تابع</w:t>
      </w:r>
      <w:r>
        <w:rPr>
          <w:rFonts w:hint="cs"/>
          <w:color w:val="0000FF"/>
          <w:sz w:val="28"/>
          <w:szCs w:val="28"/>
          <w:rtl/>
        </w:rPr>
        <w:t xml:space="preserve"> .</w:t>
      </w:r>
      <w:r w:rsidRPr="00923B1A">
        <w:rPr>
          <w:rFonts w:hint="cs"/>
          <w:color w:val="0000FF"/>
          <w:sz w:val="28"/>
          <w:szCs w:val="28"/>
          <w:rtl/>
        </w:rPr>
        <w:t xml:space="preserve"> فلم يكن هناك بد</w:t>
      </w:r>
      <w:r>
        <w:rPr>
          <w:rFonts w:hint="cs"/>
          <w:color w:val="0000FF"/>
          <w:sz w:val="28"/>
          <w:szCs w:val="28"/>
          <w:rtl/>
        </w:rPr>
        <w:t xml:space="preserve"> ،</w:t>
      </w:r>
      <w:r w:rsidRPr="00923B1A">
        <w:rPr>
          <w:rFonts w:hint="cs"/>
          <w:color w:val="0000FF"/>
          <w:sz w:val="28"/>
          <w:szCs w:val="28"/>
          <w:rtl/>
        </w:rPr>
        <w:t xml:space="preserve"> إذ أريد أن يكون للمدين كفيل</w:t>
      </w:r>
      <w:r>
        <w:rPr>
          <w:rFonts w:hint="cs"/>
          <w:color w:val="0000FF"/>
          <w:sz w:val="28"/>
          <w:szCs w:val="28"/>
          <w:rtl/>
        </w:rPr>
        <w:t xml:space="preserve"> ،</w:t>
      </w:r>
      <w:r w:rsidRPr="00923B1A">
        <w:rPr>
          <w:rFonts w:hint="cs"/>
          <w:color w:val="0000FF"/>
          <w:sz w:val="28"/>
          <w:szCs w:val="28"/>
          <w:rtl/>
        </w:rPr>
        <w:t xml:space="preserve"> من أن يلتزم الكفيل بالدين التزاماً أصليا كما التزم المدين</w:t>
      </w:r>
      <w:r>
        <w:rPr>
          <w:rFonts w:hint="cs"/>
          <w:color w:val="0000FF"/>
          <w:sz w:val="28"/>
          <w:szCs w:val="28"/>
          <w:rtl/>
        </w:rPr>
        <w:t xml:space="preserve"> .</w:t>
      </w:r>
      <w:r w:rsidRPr="00923B1A">
        <w:rPr>
          <w:rFonts w:hint="cs"/>
          <w:color w:val="0000FF"/>
          <w:sz w:val="28"/>
          <w:szCs w:val="28"/>
          <w:rtl/>
        </w:rPr>
        <w:t xml:space="preserve"> ولما كان التضامن معروفا من زمن قديم وقد سبق الكفالة </w:t>
      </w:r>
      <w:r w:rsidRPr="00923B1A">
        <w:rPr>
          <w:color w:val="0000FF"/>
          <w:sz w:val="28"/>
          <w:szCs w:val="28"/>
          <w:rtl/>
        </w:rPr>
        <w:t>–</w:t>
      </w:r>
      <w:r w:rsidRPr="00923B1A">
        <w:rPr>
          <w:rFonts w:hint="cs"/>
          <w:color w:val="0000FF"/>
          <w:sz w:val="28"/>
          <w:szCs w:val="28"/>
          <w:rtl/>
        </w:rPr>
        <w:t xml:space="preserve"> بل هو الأصل الذي نشأت الكفالة عنه </w:t>
      </w:r>
      <w:r w:rsidRPr="00923B1A">
        <w:rPr>
          <w:color w:val="0000FF"/>
          <w:sz w:val="28"/>
          <w:szCs w:val="28"/>
          <w:rtl/>
        </w:rPr>
        <w:t>–</w:t>
      </w:r>
      <w:r w:rsidRPr="00923B1A">
        <w:rPr>
          <w:rFonts w:hint="cs"/>
          <w:color w:val="0000FF"/>
          <w:sz w:val="28"/>
          <w:szCs w:val="28"/>
          <w:rtl/>
        </w:rPr>
        <w:t xml:space="preserve"> فقد استخدم لتأدية أغراض الكفالة</w:t>
      </w:r>
      <w:r>
        <w:rPr>
          <w:rFonts w:hint="cs"/>
          <w:color w:val="0000FF"/>
          <w:sz w:val="28"/>
          <w:szCs w:val="28"/>
          <w:rtl/>
        </w:rPr>
        <w:t xml:space="preserve"> .</w:t>
      </w:r>
      <w:r w:rsidRPr="00923B1A">
        <w:rPr>
          <w:rFonts w:hint="cs"/>
          <w:color w:val="0000FF"/>
          <w:sz w:val="28"/>
          <w:szCs w:val="28"/>
          <w:rtl/>
        </w:rPr>
        <w:t xml:space="preserve"> فالكفيل أن إذن</w:t>
      </w:r>
      <w:r>
        <w:rPr>
          <w:rFonts w:hint="cs"/>
          <w:color w:val="0000FF"/>
          <w:sz w:val="28"/>
          <w:szCs w:val="28"/>
          <w:rtl/>
        </w:rPr>
        <w:t xml:space="preserve"> ،</w:t>
      </w:r>
      <w:r w:rsidRPr="00923B1A">
        <w:rPr>
          <w:rFonts w:hint="cs"/>
          <w:color w:val="0000FF"/>
          <w:sz w:val="28"/>
          <w:szCs w:val="28"/>
          <w:rtl/>
        </w:rPr>
        <w:t xml:space="preserve"> في القانون الروماني القديم</w:t>
      </w:r>
      <w:r>
        <w:rPr>
          <w:rFonts w:hint="cs"/>
          <w:color w:val="0000FF"/>
          <w:sz w:val="28"/>
          <w:szCs w:val="28"/>
          <w:rtl/>
        </w:rPr>
        <w:t xml:space="preserve"> ،</w:t>
      </w:r>
      <w:r w:rsidRPr="00923B1A">
        <w:rPr>
          <w:rFonts w:hint="cs"/>
          <w:color w:val="0000FF"/>
          <w:sz w:val="28"/>
          <w:szCs w:val="28"/>
          <w:rtl/>
        </w:rPr>
        <w:t xml:space="preserve"> مدينا متضامنا مع المدين الأصلي</w:t>
      </w:r>
      <w:r>
        <w:rPr>
          <w:rFonts w:hint="cs"/>
          <w:color w:val="0000FF"/>
          <w:sz w:val="28"/>
          <w:szCs w:val="28"/>
          <w:rtl/>
        </w:rPr>
        <w:t xml:space="preserve"> .</w:t>
      </w:r>
      <w:r w:rsidRPr="00923B1A">
        <w:rPr>
          <w:rFonts w:hint="cs"/>
          <w:color w:val="0000FF"/>
          <w:sz w:val="28"/>
          <w:szCs w:val="28"/>
          <w:rtl/>
        </w:rPr>
        <w:t xml:space="preserve"> ثم ما لبث القانون الروماني أن تطور</w:t>
      </w:r>
      <w:r>
        <w:rPr>
          <w:rFonts w:hint="cs"/>
          <w:color w:val="0000FF"/>
          <w:sz w:val="28"/>
          <w:szCs w:val="28"/>
          <w:rtl/>
        </w:rPr>
        <w:t xml:space="preserve"> ،</w:t>
      </w:r>
      <w:r w:rsidRPr="00923B1A">
        <w:rPr>
          <w:rFonts w:hint="cs"/>
          <w:color w:val="0000FF"/>
          <w:sz w:val="28"/>
          <w:szCs w:val="28"/>
          <w:rtl/>
        </w:rPr>
        <w:t xml:space="preserve"> وبات معالم الكفالة تتبين شيئا فشيئا</w:t>
      </w:r>
      <w:r>
        <w:rPr>
          <w:rFonts w:hint="cs"/>
          <w:color w:val="0000FF"/>
          <w:sz w:val="28"/>
          <w:szCs w:val="28"/>
          <w:rtl/>
        </w:rPr>
        <w:t xml:space="preserve"> ،</w:t>
      </w:r>
      <w:r w:rsidRPr="00923B1A">
        <w:rPr>
          <w:rFonts w:hint="cs"/>
          <w:color w:val="0000FF"/>
          <w:sz w:val="28"/>
          <w:szCs w:val="28"/>
          <w:rtl/>
        </w:rPr>
        <w:t xml:space="preserve"> فأعطي للكفيل حق التقسيم إذا تعدد</w:t>
      </w:r>
      <w:r>
        <w:rPr>
          <w:rFonts w:hint="cs"/>
          <w:color w:val="0000FF"/>
          <w:sz w:val="28"/>
          <w:szCs w:val="28"/>
          <w:rtl/>
        </w:rPr>
        <w:t xml:space="preserve"> ،</w:t>
      </w:r>
      <w:r w:rsidRPr="00923B1A">
        <w:rPr>
          <w:rFonts w:hint="cs"/>
          <w:color w:val="0000FF"/>
          <w:sz w:val="28"/>
          <w:szCs w:val="28"/>
          <w:rtl/>
        </w:rPr>
        <w:t xml:space="preserve"> ثم أعطي له حق تجريد المدين</w:t>
      </w:r>
      <w:r>
        <w:rPr>
          <w:rFonts w:hint="cs"/>
          <w:color w:val="0000FF"/>
          <w:sz w:val="28"/>
          <w:szCs w:val="28"/>
          <w:rtl/>
        </w:rPr>
        <w:t xml:space="preserve"> ،</w:t>
      </w:r>
      <w:r w:rsidRPr="00923B1A">
        <w:rPr>
          <w:rFonts w:hint="cs"/>
          <w:color w:val="0000FF"/>
          <w:sz w:val="28"/>
          <w:szCs w:val="28"/>
          <w:rtl/>
        </w:rPr>
        <w:t xml:space="preserve"> ثم اعترف في النهاية أن التزامه ليس التزاماً أصليا بل هو التزام تابع لالتزام المدين المكفول</w:t>
      </w:r>
      <w:r>
        <w:rPr>
          <w:rFonts w:hint="cs"/>
          <w:color w:val="0000FF"/>
          <w:sz w:val="28"/>
          <w:szCs w:val="28"/>
          <w:rtl/>
        </w:rPr>
        <w:t xml:space="preserve"> .</w:t>
      </w:r>
      <w:r w:rsidRPr="00923B1A">
        <w:rPr>
          <w:rFonts w:hint="cs"/>
          <w:color w:val="0000FF"/>
          <w:sz w:val="28"/>
          <w:szCs w:val="28"/>
          <w:rtl/>
        </w:rPr>
        <w:t xml:space="preserve"> على أن مقتضيات الائتمان استوجبت أن تتنوع الكفالة لتزيد توثيقا للدين</w:t>
      </w:r>
      <w:r>
        <w:rPr>
          <w:rFonts w:hint="cs"/>
          <w:color w:val="0000FF"/>
          <w:sz w:val="28"/>
          <w:szCs w:val="28"/>
          <w:rtl/>
        </w:rPr>
        <w:t xml:space="preserve"> ،</w:t>
      </w:r>
      <w:r w:rsidRPr="00923B1A">
        <w:rPr>
          <w:rFonts w:hint="cs"/>
          <w:color w:val="0000FF"/>
          <w:sz w:val="28"/>
          <w:szCs w:val="28"/>
          <w:rtl/>
        </w:rPr>
        <w:t xml:space="preserve"> فرجعت في تنوعه إلى ما كانت عليه من قبل</w:t>
      </w:r>
      <w:r>
        <w:rPr>
          <w:rFonts w:hint="cs"/>
          <w:color w:val="0000FF"/>
          <w:sz w:val="28"/>
          <w:szCs w:val="28"/>
          <w:rtl/>
        </w:rPr>
        <w:t xml:space="preserve"> ،</w:t>
      </w:r>
      <w:r w:rsidRPr="00923B1A">
        <w:rPr>
          <w:rFonts w:hint="cs"/>
          <w:color w:val="0000FF"/>
          <w:sz w:val="28"/>
          <w:szCs w:val="28"/>
          <w:rtl/>
        </w:rPr>
        <w:t xml:space="preserve"> وأصبحت في الوقت الحاضر تنطوي على صور متدرجة فأبسط صورها وأضعفها توثيقا للدين هي</w:t>
      </w:r>
      <w:r>
        <w:rPr>
          <w:rFonts w:hint="cs"/>
          <w:color w:val="0000FF"/>
          <w:sz w:val="28"/>
          <w:szCs w:val="28"/>
          <w:rtl/>
        </w:rPr>
        <w:t xml:space="preserve"> ،</w:t>
      </w:r>
      <w:r w:rsidRPr="00923B1A">
        <w:rPr>
          <w:rFonts w:hint="cs"/>
          <w:color w:val="0000FF"/>
          <w:sz w:val="28"/>
          <w:szCs w:val="28"/>
          <w:rtl/>
        </w:rPr>
        <w:t xml:space="preserve"> كما أشرنا إلى ذلك في مكان آخر</w:t>
      </w:r>
      <w:r>
        <w:rPr>
          <w:rFonts w:hint="cs"/>
          <w:color w:val="0000FF"/>
          <w:sz w:val="28"/>
          <w:szCs w:val="28"/>
          <w:rtl/>
        </w:rPr>
        <w:t xml:space="preserve"> ،</w:t>
      </w:r>
      <w:r w:rsidRPr="00923B1A">
        <w:rPr>
          <w:rFonts w:hint="cs"/>
          <w:color w:val="0000FF"/>
          <w:sz w:val="28"/>
          <w:szCs w:val="28"/>
          <w:rtl/>
        </w:rPr>
        <w:t xml:space="preserve"> أن يكفل الكفيل المدين دون أن يتضامن معه</w:t>
      </w:r>
      <w:r>
        <w:rPr>
          <w:rFonts w:hint="cs"/>
          <w:color w:val="0000FF"/>
          <w:sz w:val="28"/>
          <w:szCs w:val="28"/>
          <w:rtl/>
        </w:rPr>
        <w:t xml:space="preserve"> ،</w:t>
      </w:r>
      <w:r w:rsidRPr="00923B1A">
        <w:rPr>
          <w:rFonts w:hint="cs"/>
          <w:color w:val="0000FF"/>
          <w:sz w:val="28"/>
          <w:szCs w:val="28"/>
          <w:rtl/>
        </w:rPr>
        <w:t xml:space="preserve"> ودون أن يتضامن مع الكفلاء الآخرين</w:t>
      </w:r>
      <w:r>
        <w:rPr>
          <w:rFonts w:hint="cs"/>
          <w:color w:val="0000FF"/>
          <w:sz w:val="28"/>
          <w:szCs w:val="28"/>
          <w:rtl/>
        </w:rPr>
        <w:t xml:space="preserve"> .</w:t>
      </w:r>
      <w:r w:rsidRPr="00923B1A">
        <w:rPr>
          <w:rFonts w:hint="cs"/>
          <w:color w:val="0000FF"/>
          <w:sz w:val="28"/>
          <w:szCs w:val="28"/>
          <w:rtl/>
        </w:rPr>
        <w:t xml:space="preserve"> فيون الكفيل في هذه الصورة مدينا تابعاً</w:t>
      </w:r>
      <w:r>
        <w:rPr>
          <w:rFonts w:hint="cs"/>
          <w:color w:val="0000FF"/>
          <w:sz w:val="28"/>
          <w:szCs w:val="28"/>
          <w:rtl/>
        </w:rPr>
        <w:t xml:space="preserve"> ،</w:t>
      </w:r>
      <w:r w:rsidRPr="00923B1A">
        <w:rPr>
          <w:rFonts w:hint="cs"/>
          <w:color w:val="0000FF"/>
          <w:sz w:val="28"/>
          <w:szCs w:val="28"/>
          <w:rtl/>
        </w:rPr>
        <w:t xml:space="preserve"> له حق تجريد المدين الأصلي</w:t>
      </w:r>
      <w:r>
        <w:rPr>
          <w:rFonts w:hint="cs"/>
          <w:color w:val="0000FF"/>
          <w:sz w:val="28"/>
          <w:szCs w:val="28"/>
          <w:rtl/>
        </w:rPr>
        <w:t xml:space="preserve"> ،</w:t>
      </w:r>
      <w:r w:rsidRPr="00923B1A">
        <w:rPr>
          <w:rFonts w:hint="cs"/>
          <w:color w:val="0000FF"/>
          <w:sz w:val="28"/>
          <w:szCs w:val="28"/>
          <w:rtl/>
        </w:rPr>
        <w:t xml:space="preserve"> وله حق التقسيم مع الكفلاء الآخرين</w:t>
      </w:r>
      <w:r>
        <w:rPr>
          <w:rFonts w:hint="cs"/>
          <w:color w:val="0000FF"/>
          <w:sz w:val="28"/>
          <w:szCs w:val="28"/>
          <w:rtl/>
        </w:rPr>
        <w:t xml:space="preserve"> .</w:t>
      </w:r>
      <w:r w:rsidRPr="00923B1A">
        <w:rPr>
          <w:rFonts w:hint="cs"/>
          <w:color w:val="0000FF"/>
          <w:sz w:val="28"/>
          <w:szCs w:val="28"/>
          <w:rtl/>
        </w:rPr>
        <w:t xml:space="preserve"> ثم تأتي صورة ثانيا للكفالة هي أقوى في توثيق الدين</w:t>
      </w:r>
      <w:r>
        <w:rPr>
          <w:rFonts w:hint="cs"/>
          <w:color w:val="0000FF"/>
          <w:sz w:val="28"/>
          <w:szCs w:val="28"/>
          <w:rtl/>
        </w:rPr>
        <w:t xml:space="preserve"> ،</w:t>
      </w:r>
      <w:r w:rsidRPr="00923B1A">
        <w:rPr>
          <w:rFonts w:hint="cs"/>
          <w:color w:val="0000FF"/>
          <w:sz w:val="28"/>
          <w:szCs w:val="28"/>
          <w:rtl/>
        </w:rPr>
        <w:t xml:space="preserve"> فيكفل الكفيل المدين دون أن يتضامن معه</w:t>
      </w:r>
      <w:r>
        <w:rPr>
          <w:rFonts w:hint="cs"/>
          <w:color w:val="0000FF"/>
          <w:sz w:val="28"/>
          <w:szCs w:val="28"/>
          <w:rtl/>
        </w:rPr>
        <w:t xml:space="preserve"> ،</w:t>
      </w:r>
      <w:r w:rsidRPr="00923B1A">
        <w:rPr>
          <w:rFonts w:hint="cs"/>
          <w:color w:val="0000FF"/>
          <w:sz w:val="28"/>
          <w:szCs w:val="28"/>
          <w:rtl/>
        </w:rPr>
        <w:t xml:space="preserve"> ولكنه يتضامن مع الكفلاء الآخرين</w:t>
      </w:r>
      <w:r>
        <w:rPr>
          <w:rFonts w:hint="cs"/>
          <w:color w:val="0000FF"/>
          <w:sz w:val="28"/>
          <w:szCs w:val="28"/>
          <w:rtl/>
        </w:rPr>
        <w:t xml:space="preserve"> .</w:t>
      </w:r>
      <w:r w:rsidRPr="00923B1A">
        <w:rPr>
          <w:rFonts w:hint="cs"/>
          <w:color w:val="0000FF"/>
          <w:sz w:val="28"/>
          <w:szCs w:val="28"/>
          <w:rtl/>
        </w:rPr>
        <w:t xml:space="preserve"> وهنا يبقى الكفيل مدينا تابعاً</w:t>
      </w:r>
      <w:r>
        <w:rPr>
          <w:rFonts w:hint="cs"/>
          <w:color w:val="0000FF"/>
          <w:sz w:val="28"/>
          <w:szCs w:val="28"/>
          <w:rtl/>
        </w:rPr>
        <w:t xml:space="preserve"> ،</w:t>
      </w:r>
      <w:r w:rsidRPr="00923B1A">
        <w:rPr>
          <w:rFonts w:hint="cs"/>
          <w:color w:val="0000FF"/>
          <w:sz w:val="28"/>
          <w:szCs w:val="28"/>
          <w:rtl/>
        </w:rPr>
        <w:t xml:space="preserve"> ويبقى له حق تجريد المدين</w:t>
      </w:r>
      <w:r>
        <w:rPr>
          <w:rFonts w:hint="cs"/>
          <w:color w:val="0000FF"/>
          <w:sz w:val="28"/>
          <w:szCs w:val="28"/>
          <w:rtl/>
        </w:rPr>
        <w:t xml:space="preserve"> ،</w:t>
      </w:r>
      <w:r w:rsidRPr="00923B1A">
        <w:rPr>
          <w:rFonts w:hint="cs"/>
          <w:color w:val="0000FF"/>
          <w:sz w:val="28"/>
          <w:szCs w:val="28"/>
          <w:rtl/>
        </w:rPr>
        <w:t xml:space="preserve"> ولكن ليس له حق التقسيم مع الكفلاء الآخرين الذين تضامن معهم</w:t>
      </w:r>
      <w:r>
        <w:rPr>
          <w:rFonts w:hint="cs"/>
          <w:color w:val="0000FF"/>
          <w:sz w:val="28"/>
          <w:szCs w:val="28"/>
          <w:rtl/>
        </w:rPr>
        <w:t xml:space="preserve"> .</w:t>
      </w:r>
      <w:r w:rsidRPr="00923B1A">
        <w:rPr>
          <w:rFonts w:hint="cs"/>
          <w:color w:val="0000FF"/>
          <w:sz w:val="28"/>
          <w:szCs w:val="28"/>
          <w:rtl/>
        </w:rPr>
        <w:t xml:space="preserve"> ثم تأتي صورة ثالثة للكفالة تزيد قوة في توثيق الدين</w:t>
      </w:r>
      <w:r>
        <w:rPr>
          <w:rFonts w:hint="cs"/>
          <w:color w:val="0000FF"/>
          <w:sz w:val="28"/>
          <w:szCs w:val="28"/>
          <w:rtl/>
        </w:rPr>
        <w:t xml:space="preserve"> ،</w:t>
      </w:r>
      <w:r w:rsidRPr="00923B1A">
        <w:rPr>
          <w:rFonts w:hint="cs"/>
          <w:color w:val="0000FF"/>
          <w:sz w:val="28"/>
          <w:szCs w:val="28"/>
          <w:rtl/>
        </w:rPr>
        <w:t xml:space="preserve"> هي أن يكفل الكفيل المدين ويتضامن معه</w:t>
      </w:r>
      <w:r>
        <w:rPr>
          <w:rFonts w:hint="cs"/>
          <w:color w:val="0000FF"/>
          <w:sz w:val="28"/>
          <w:szCs w:val="28"/>
          <w:rtl/>
        </w:rPr>
        <w:t xml:space="preserve"> ،</w:t>
      </w:r>
      <w:r w:rsidRPr="00923B1A">
        <w:rPr>
          <w:rFonts w:hint="cs"/>
          <w:color w:val="0000FF"/>
          <w:sz w:val="28"/>
          <w:szCs w:val="28"/>
          <w:rtl/>
        </w:rPr>
        <w:t xml:space="preserve"> كما يتضامن مع الكفلاء الآخرين</w:t>
      </w:r>
      <w:r>
        <w:rPr>
          <w:rFonts w:hint="cs"/>
          <w:color w:val="0000FF"/>
          <w:sz w:val="28"/>
          <w:szCs w:val="28"/>
          <w:rtl/>
        </w:rPr>
        <w:t xml:space="preserve"> .</w:t>
      </w:r>
      <w:r w:rsidRPr="00923B1A">
        <w:rPr>
          <w:rFonts w:hint="cs"/>
          <w:color w:val="0000FF"/>
          <w:sz w:val="28"/>
          <w:szCs w:val="28"/>
          <w:rtl/>
        </w:rPr>
        <w:t xml:space="preserve"> وهنا يبقى الكفيل مدينا تابعاً</w:t>
      </w:r>
      <w:r>
        <w:rPr>
          <w:rFonts w:hint="cs"/>
          <w:color w:val="0000FF"/>
          <w:sz w:val="28"/>
          <w:szCs w:val="28"/>
          <w:rtl/>
        </w:rPr>
        <w:t xml:space="preserve"> ،</w:t>
      </w:r>
      <w:r w:rsidRPr="00923B1A">
        <w:rPr>
          <w:rFonts w:hint="cs"/>
          <w:color w:val="0000FF"/>
          <w:sz w:val="28"/>
          <w:szCs w:val="28"/>
          <w:rtl/>
        </w:rPr>
        <w:t xml:space="preserve"> ولكن ليس له حق التقسيم مع الكفلاء الآخرين لأنه متضامن معهم</w:t>
      </w:r>
      <w:r>
        <w:rPr>
          <w:rFonts w:hint="cs"/>
          <w:color w:val="0000FF"/>
          <w:sz w:val="28"/>
          <w:szCs w:val="28"/>
          <w:rtl/>
        </w:rPr>
        <w:t xml:space="preserve"> ،</w:t>
      </w:r>
      <w:r w:rsidRPr="00923B1A">
        <w:rPr>
          <w:rFonts w:hint="cs"/>
          <w:color w:val="0000FF"/>
          <w:sz w:val="28"/>
          <w:szCs w:val="28"/>
          <w:rtl/>
        </w:rPr>
        <w:t xml:space="preserve"> وليس له كل حق تجريد المدين لأنه أيضاً متضامن معه</w:t>
      </w:r>
      <w:r>
        <w:rPr>
          <w:rFonts w:hint="cs"/>
          <w:color w:val="0000FF"/>
          <w:sz w:val="28"/>
          <w:szCs w:val="28"/>
          <w:rtl/>
        </w:rPr>
        <w:t xml:space="preserve"> .</w:t>
      </w:r>
      <w:r w:rsidRPr="00923B1A">
        <w:rPr>
          <w:rFonts w:hint="cs"/>
          <w:color w:val="0000FF"/>
          <w:sz w:val="28"/>
          <w:szCs w:val="28"/>
          <w:rtl/>
        </w:rPr>
        <w:t xml:space="preserve"> ثم تأتي الصورة الأخيرة للكفالة وهي أقوى الصور جميعاً في مراتب التوثيق</w:t>
      </w:r>
      <w:r>
        <w:rPr>
          <w:rFonts w:hint="cs"/>
          <w:color w:val="0000FF"/>
          <w:sz w:val="28"/>
          <w:szCs w:val="28"/>
          <w:rtl/>
        </w:rPr>
        <w:t xml:space="preserve"> .</w:t>
      </w:r>
      <w:r w:rsidRPr="00923B1A">
        <w:rPr>
          <w:rFonts w:hint="cs"/>
          <w:color w:val="0000FF"/>
          <w:sz w:val="28"/>
          <w:szCs w:val="28"/>
          <w:rtl/>
        </w:rPr>
        <w:t xml:space="preserve"> فيكف الكفيل الدين فيما بينه وبين المدين</w:t>
      </w:r>
      <w:r>
        <w:rPr>
          <w:rFonts w:hint="cs"/>
          <w:color w:val="0000FF"/>
          <w:sz w:val="28"/>
          <w:szCs w:val="28"/>
          <w:rtl/>
        </w:rPr>
        <w:t xml:space="preserve"> ،</w:t>
      </w:r>
      <w:r w:rsidRPr="00923B1A">
        <w:rPr>
          <w:rFonts w:hint="cs"/>
          <w:color w:val="0000FF"/>
          <w:sz w:val="28"/>
          <w:szCs w:val="28"/>
          <w:rtl/>
        </w:rPr>
        <w:t xml:space="preserve"> ولكنه يتقدم إلى الدائن مدينا متضامنا مع المدين الأصلي</w:t>
      </w:r>
      <w:r>
        <w:rPr>
          <w:rFonts w:hint="cs"/>
          <w:color w:val="0000FF"/>
          <w:sz w:val="28"/>
          <w:szCs w:val="28"/>
          <w:rtl/>
        </w:rPr>
        <w:t xml:space="preserve"> ،</w:t>
      </w:r>
      <w:r w:rsidRPr="00923B1A">
        <w:rPr>
          <w:rFonts w:hint="cs"/>
          <w:color w:val="0000FF"/>
          <w:sz w:val="28"/>
          <w:szCs w:val="28"/>
          <w:rtl/>
        </w:rPr>
        <w:t xml:space="preserve"> ومتضامنا مع الكفلاء الآخرين الذين يتقدمون هم أيضاً مدينين متضامنين مع المدين</w:t>
      </w:r>
      <w:r>
        <w:rPr>
          <w:rFonts w:hint="cs"/>
          <w:color w:val="0000FF"/>
          <w:sz w:val="28"/>
          <w:szCs w:val="28"/>
          <w:rtl/>
        </w:rPr>
        <w:t xml:space="preserve"> .</w:t>
      </w:r>
      <w:r w:rsidRPr="00923B1A">
        <w:rPr>
          <w:rFonts w:hint="cs"/>
          <w:color w:val="0000FF"/>
          <w:sz w:val="28"/>
          <w:szCs w:val="28"/>
          <w:rtl/>
        </w:rPr>
        <w:t xml:space="preserve"> وهكذا تعود للكفالة إلى ما كانت عليه في عهدها القديم</w:t>
      </w:r>
      <w:r>
        <w:rPr>
          <w:rFonts w:hint="cs"/>
          <w:color w:val="0000FF"/>
          <w:sz w:val="28"/>
          <w:szCs w:val="28"/>
          <w:rtl/>
        </w:rPr>
        <w:t xml:space="preserve"> ،</w:t>
      </w:r>
      <w:r w:rsidRPr="00923B1A">
        <w:rPr>
          <w:rFonts w:hint="cs"/>
          <w:color w:val="0000FF"/>
          <w:sz w:val="28"/>
          <w:szCs w:val="28"/>
          <w:rtl/>
        </w:rPr>
        <w:t xml:space="preserve"> ولكن لأسباب لا ترجع إلى النصاعة القانونية كما كان الأمر في القانون الروماني القديم</w:t>
      </w:r>
      <w:r>
        <w:rPr>
          <w:rFonts w:hint="cs"/>
          <w:color w:val="0000FF"/>
          <w:sz w:val="28"/>
          <w:szCs w:val="28"/>
          <w:rtl/>
        </w:rPr>
        <w:t xml:space="preserve"> ،</w:t>
      </w:r>
      <w:r w:rsidRPr="00923B1A">
        <w:rPr>
          <w:rFonts w:hint="cs"/>
          <w:color w:val="0000FF"/>
          <w:sz w:val="28"/>
          <w:szCs w:val="28"/>
          <w:rtl/>
        </w:rPr>
        <w:t xml:space="preserve"> بل ترجع إلى اعتبارات عملية هي الوصول في توثيق الدين إلى أبعد غاياته</w:t>
      </w:r>
      <w:r>
        <w:rPr>
          <w:rFonts w:hint="cs"/>
          <w:color w:val="0000FF"/>
          <w:sz w:val="28"/>
          <w:szCs w:val="28"/>
          <w:rtl/>
        </w:rPr>
        <w:t xml:space="preserve"> .</w:t>
      </w:r>
      <w:r w:rsidRPr="00923B1A">
        <w:rPr>
          <w:rFonts w:hint="cs"/>
          <w:color w:val="0000FF"/>
          <w:sz w:val="28"/>
          <w:szCs w:val="28"/>
          <w:rtl/>
        </w:rPr>
        <w:t xml:space="preserve"> وهنا لا يكون للكفيل حق التقسيم مع الكفلاء الآخرين</w:t>
      </w:r>
      <w:r>
        <w:rPr>
          <w:rFonts w:hint="cs"/>
          <w:color w:val="0000FF"/>
          <w:sz w:val="28"/>
          <w:szCs w:val="28"/>
          <w:rtl/>
        </w:rPr>
        <w:t xml:space="preserve"> ،</w:t>
      </w:r>
      <w:r w:rsidRPr="00923B1A">
        <w:rPr>
          <w:rFonts w:hint="cs"/>
          <w:color w:val="0000FF"/>
          <w:sz w:val="28"/>
          <w:szCs w:val="28"/>
          <w:rtl/>
        </w:rPr>
        <w:t xml:space="preserve"> ولا حق تجريد المدين</w:t>
      </w:r>
      <w:r>
        <w:rPr>
          <w:rFonts w:hint="cs"/>
          <w:color w:val="0000FF"/>
          <w:sz w:val="28"/>
          <w:szCs w:val="28"/>
          <w:rtl/>
        </w:rPr>
        <w:t xml:space="preserve"> ،</w:t>
      </w:r>
      <w:r w:rsidRPr="00923B1A">
        <w:rPr>
          <w:rFonts w:hint="cs"/>
          <w:color w:val="0000FF"/>
          <w:sz w:val="28"/>
          <w:szCs w:val="28"/>
          <w:rtl/>
        </w:rPr>
        <w:t xml:space="preserve"> بل هو لا يبقى مديناً تابعاً</w:t>
      </w:r>
      <w:r>
        <w:rPr>
          <w:rFonts w:hint="cs"/>
          <w:color w:val="0000FF"/>
          <w:sz w:val="28"/>
          <w:szCs w:val="28"/>
          <w:rtl/>
        </w:rPr>
        <w:t xml:space="preserve"> ،</w:t>
      </w:r>
      <w:r w:rsidRPr="00923B1A">
        <w:rPr>
          <w:rFonts w:hint="cs"/>
          <w:color w:val="0000FF"/>
          <w:sz w:val="28"/>
          <w:szCs w:val="28"/>
          <w:rtl/>
        </w:rPr>
        <w:t xml:space="preserve"> وإنما يكون مديناً أصلياً متضامناً مع المدين المكفول </w:t>
      </w:r>
      <w:r>
        <w:rPr>
          <w:rFonts w:hint="cs"/>
          <w:color w:val="0000FF"/>
          <w:sz w:val="28"/>
          <w:szCs w:val="28"/>
          <w:rtl/>
        </w:rPr>
        <w:t xml:space="preserve"> . . .</w:t>
      </w:r>
      <w:r w:rsidRPr="00923B1A">
        <w:rPr>
          <w:rFonts w:hint="cs"/>
          <w:color w:val="0000FF"/>
          <w:sz w:val="28"/>
          <w:szCs w:val="28"/>
          <w:rtl/>
        </w:rPr>
        <w:t xml:space="preserve"> أما في علاقتهم </w:t>
      </w:r>
      <w:r>
        <w:rPr>
          <w:rFonts w:hint="cs"/>
          <w:color w:val="0000FF"/>
          <w:sz w:val="28"/>
          <w:szCs w:val="28"/>
          <w:rtl/>
        </w:rPr>
        <w:t xml:space="preserve">( </w:t>
      </w:r>
      <w:r w:rsidRPr="00923B1A">
        <w:rPr>
          <w:rFonts w:hint="cs"/>
          <w:color w:val="0000FF"/>
          <w:sz w:val="28"/>
          <w:szCs w:val="28"/>
          <w:rtl/>
        </w:rPr>
        <w:t>المدينين المتضامنين</w:t>
      </w:r>
      <w:r>
        <w:rPr>
          <w:rFonts w:hint="cs"/>
          <w:color w:val="0000FF"/>
          <w:sz w:val="28"/>
          <w:szCs w:val="28"/>
          <w:rtl/>
        </w:rPr>
        <w:t xml:space="preserve"> )</w:t>
      </w:r>
      <w:r w:rsidRPr="00923B1A">
        <w:rPr>
          <w:rFonts w:hint="cs"/>
          <w:color w:val="0000FF"/>
          <w:sz w:val="28"/>
          <w:szCs w:val="28"/>
          <w:rtl/>
        </w:rPr>
        <w:t xml:space="preserve"> بعضهم ببعض</w:t>
      </w:r>
      <w:r>
        <w:rPr>
          <w:rFonts w:hint="cs"/>
          <w:color w:val="0000FF"/>
          <w:sz w:val="28"/>
          <w:szCs w:val="28"/>
          <w:rtl/>
        </w:rPr>
        <w:t xml:space="preserve"> ،</w:t>
      </w:r>
      <w:r w:rsidRPr="00923B1A">
        <w:rPr>
          <w:rFonts w:hint="cs"/>
          <w:color w:val="0000FF"/>
          <w:sz w:val="28"/>
          <w:szCs w:val="28"/>
          <w:rtl/>
        </w:rPr>
        <w:t xml:space="preserve"> فقواعد الكفالة هي التي تسري دون قواعد التضامن</w:t>
      </w:r>
      <w:r>
        <w:rPr>
          <w:rFonts w:hint="cs"/>
          <w:color w:val="0000FF"/>
          <w:sz w:val="28"/>
          <w:szCs w:val="28"/>
          <w:rtl/>
        </w:rPr>
        <w:t xml:space="preserve"> .</w:t>
      </w:r>
      <w:r w:rsidRPr="00923B1A">
        <w:rPr>
          <w:rFonts w:hint="cs"/>
          <w:color w:val="0000FF"/>
          <w:sz w:val="28"/>
          <w:szCs w:val="28"/>
          <w:rtl/>
        </w:rPr>
        <w:t xml:space="preserve"> فإذا كان الدائن قد طالب المدين الأصلي بالدين فدفعه</w:t>
      </w:r>
      <w:r>
        <w:rPr>
          <w:rFonts w:hint="cs"/>
          <w:color w:val="0000FF"/>
          <w:sz w:val="28"/>
          <w:szCs w:val="28"/>
          <w:rtl/>
        </w:rPr>
        <w:t xml:space="preserve"> ،</w:t>
      </w:r>
      <w:r w:rsidRPr="00923B1A">
        <w:rPr>
          <w:rFonts w:hint="cs"/>
          <w:color w:val="0000FF"/>
          <w:sz w:val="28"/>
          <w:szCs w:val="28"/>
          <w:rtl/>
        </w:rPr>
        <w:t xml:space="preserve"> لم يرجع هذا المدين بشيء على المدينين المتضامنين معه إذ هم ليسوا إلا كفلاء عنه</w:t>
      </w:r>
      <w:r>
        <w:rPr>
          <w:rFonts w:hint="cs"/>
          <w:color w:val="0000FF"/>
          <w:sz w:val="28"/>
          <w:szCs w:val="28"/>
          <w:rtl/>
        </w:rPr>
        <w:t xml:space="preserve"> .</w:t>
      </w:r>
      <w:r w:rsidRPr="00923B1A">
        <w:rPr>
          <w:rFonts w:hint="cs"/>
          <w:color w:val="0000FF"/>
          <w:sz w:val="28"/>
          <w:szCs w:val="28"/>
          <w:rtl/>
        </w:rPr>
        <w:t xml:space="preserve"> أما إذا كان الدائن قد طالب أيا </w:t>
      </w:r>
      <w:r>
        <w:rPr>
          <w:rFonts w:hint="cs"/>
          <w:color w:val="0000FF"/>
          <w:sz w:val="28"/>
          <w:szCs w:val="28"/>
          <w:rtl/>
        </w:rPr>
        <w:t>من</w:t>
      </w:r>
      <w:r w:rsidRPr="00923B1A">
        <w:rPr>
          <w:rFonts w:hint="cs"/>
          <w:color w:val="0000FF"/>
          <w:sz w:val="28"/>
          <w:szCs w:val="28"/>
          <w:rtl/>
        </w:rPr>
        <w:t xml:space="preserve"> هؤلاء المدينين المتضامنين غير المدين الأصلي بالدين فدفعه</w:t>
      </w:r>
      <w:r>
        <w:rPr>
          <w:rFonts w:hint="cs"/>
          <w:color w:val="0000FF"/>
          <w:sz w:val="28"/>
          <w:szCs w:val="28"/>
          <w:rtl/>
        </w:rPr>
        <w:t xml:space="preserve"> ،</w:t>
      </w:r>
      <w:r w:rsidRPr="00923B1A">
        <w:rPr>
          <w:rFonts w:hint="cs"/>
          <w:color w:val="0000FF"/>
          <w:sz w:val="28"/>
          <w:szCs w:val="28"/>
          <w:rtl/>
        </w:rPr>
        <w:t xml:space="preserve"> رجع الدافع بالدين كله على المدين الأصلي كما يفعل الكفيل الذي وفي الدين في رجوعه على المدين</w:t>
      </w:r>
      <w:r>
        <w:rPr>
          <w:rFonts w:hint="cs"/>
          <w:color w:val="0000FF"/>
          <w:sz w:val="28"/>
          <w:szCs w:val="28"/>
          <w:rtl/>
        </w:rPr>
        <w:t xml:space="preserve"> ،</w:t>
      </w:r>
      <w:r w:rsidRPr="00923B1A">
        <w:rPr>
          <w:rFonts w:hint="cs"/>
          <w:color w:val="0000FF"/>
          <w:sz w:val="28"/>
          <w:szCs w:val="28"/>
          <w:rtl/>
        </w:rPr>
        <w:t xml:space="preserve"> ولم ينقسم الدين على سائر المدينين المتضامنين </w:t>
      </w:r>
      <w:r>
        <w:rPr>
          <w:rFonts w:hint="cs"/>
          <w:color w:val="0000FF"/>
          <w:sz w:val="28"/>
          <w:szCs w:val="28"/>
          <w:rtl/>
        </w:rPr>
        <w:t xml:space="preserve"> . . .</w:t>
      </w:r>
      <w:r w:rsidRPr="00923B1A">
        <w:rPr>
          <w:rFonts w:hint="cs"/>
          <w:color w:val="0000FF"/>
          <w:sz w:val="28"/>
          <w:szCs w:val="28"/>
          <w:rtl/>
        </w:rPr>
        <w:t xml:space="preserve"> وإذا دفع مدين غير ذي مصلحة في الدين كل الدين للدائن بناء على مطالبته إياه</w:t>
      </w:r>
      <w:r>
        <w:rPr>
          <w:rFonts w:hint="cs"/>
          <w:color w:val="0000FF"/>
          <w:sz w:val="28"/>
          <w:szCs w:val="28"/>
          <w:rtl/>
        </w:rPr>
        <w:t xml:space="preserve"> ،</w:t>
      </w:r>
      <w:r w:rsidRPr="00923B1A">
        <w:rPr>
          <w:rFonts w:hint="cs"/>
          <w:color w:val="0000FF"/>
          <w:sz w:val="28"/>
          <w:szCs w:val="28"/>
          <w:rtl/>
        </w:rPr>
        <w:t xml:space="preserve"> وأراد الرجوع على أصحاب المصلحة في الدين فوجدهم جميعاً معسرين</w:t>
      </w:r>
      <w:r>
        <w:rPr>
          <w:rFonts w:hint="cs"/>
          <w:color w:val="0000FF"/>
          <w:sz w:val="28"/>
          <w:szCs w:val="28"/>
          <w:rtl/>
        </w:rPr>
        <w:t xml:space="preserve"> ،</w:t>
      </w:r>
      <w:r w:rsidRPr="00923B1A">
        <w:rPr>
          <w:rFonts w:hint="cs"/>
          <w:color w:val="0000FF"/>
          <w:sz w:val="28"/>
          <w:szCs w:val="28"/>
          <w:rtl/>
        </w:rPr>
        <w:t xml:space="preserve"> رجع عند ذلك على المدينين غير أصحاب المصلحة كل بقدر حصته في الدين" </w:t>
      </w:r>
      <w:r>
        <w:rPr>
          <w:rFonts w:hint="cs"/>
          <w:color w:val="0000FF"/>
          <w:sz w:val="28"/>
          <w:szCs w:val="28"/>
          <w:rtl/>
        </w:rPr>
        <w:t xml:space="preserve">( </w:t>
      </w:r>
      <w:r w:rsidRPr="00923B1A">
        <w:rPr>
          <w:rFonts w:hint="cs"/>
          <w:color w:val="0000FF"/>
          <w:sz w:val="28"/>
          <w:szCs w:val="28"/>
          <w:rtl/>
        </w:rPr>
        <w:t>الوسيط 3 فقرة 208</w:t>
      </w:r>
      <w:r>
        <w:rPr>
          <w:rFonts w:hint="cs"/>
          <w:color w:val="0000FF"/>
          <w:sz w:val="28"/>
          <w:szCs w:val="28"/>
          <w:rtl/>
        </w:rPr>
        <w:t xml:space="preserve"> ) .</w:t>
      </w:r>
    </w:p>
  </w:footnote>
  <w:footnote w:id="34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النصوص</w:t>
      </w:r>
      <w:r>
        <w:rPr>
          <w:rFonts w:hint="cs"/>
          <w:color w:val="0000FF"/>
          <w:sz w:val="28"/>
          <w:szCs w:val="28"/>
          <w:rtl/>
        </w:rPr>
        <w:t xml:space="preserve">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798</w:t>
      </w:r>
      <w:r>
        <w:rPr>
          <w:rFonts w:hint="cs"/>
          <w:color w:val="0000FF"/>
          <w:sz w:val="28"/>
          <w:szCs w:val="28"/>
          <w:rtl/>
        </w:rPr>
        <w:t xml:space="preserve"> :</w:t>
      </w:r>
      <w:r w:rsidRPr="00923B1A">
        <w:rPr>
          <w:rFonts w:hint="cs"/>
          <w:color w:val="0000FF"/>
          <w:sz w:val="28"/>
          <w:szCs w:val="28"/>
          <w:rtl/>
        </w:rPr>
        <w:t xml:space="preserve"> ورد هذا النص في المادة 1158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لجنة المراجعة على النص تحت رقم 866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865ن ثم مجلس الشيوخ تحت رقم 798 </w:t>
      </w:r>
      <w:r>
        <w:rPr>
          <w:rFonts w:hint="cs"/>
          <w:color w:val="0000FF"/>
          <w:sz w:val="28"/>
          <w:szCs w:val="28"/>
          <w:rtl/>
        </w:rPr>
        <w:t xml:space="preserve">( </w:t>
      </w:r>
      <w:r w:rsidRPr="00923B1A">
        <w:rPr>
          <w:rFonts w:hint="cs"/>
          <w:color w:val="0000FF"/>
          <w:sz w:val="28"/>
          <w:szCs w:val="28"/>
          <w:rtl/>
        </w:rPr>
        <w:t xml:space="preserve">مجموعة الأعمال التحضيرية 5 ص 537 </w:t>
      </w:r>
      <w:r w:rsidRPr="00923B1A">
        <w:rPr>
          <w:color w:val="0000FF"/>
          <w:sz w:val="28"/>
          <w:szCs w:val="28"/>
          <w:rtl/>
        </w:rPr>
        <w:t>–</w:t>
      </w:r>
      <w:r w:rsidRPr="00923B1A">
        <w:rPr>
          <w:rFonts w:hint="cs"/>
          <w:color w:val="0000FF"/>
          <w:sz w:val="28"/>
          <w:szCs w:val="28"/>
          <w:rtl/>
        </w:rPr>
        <w:t xml:space="preserve"> ص 540</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النصف في التقنين المدني السابق المادة 507/619</w:t>
      </w:r>
      <w:r>
        <w:rPr>
          <w:rFonts w:hint="cs"/>
          <w:color w:val="0000FF"/>
          <w:sz w:val="28"/>
          <w:szCs w:val="28"/>
          <w:rtl/>
        </w:rPr>
        <w:t xml:space="preserve"> :</w:t>
      </w:r>
      <w:r w:rsidRPr="00923B1A">
        <w:rPr>
          <w:rFonts w:hint="cs"/>
          <w:color w:val="0000FF"/>
          <w:sz w:val="28"/>
          <w:szCs w:val="28"/>
          <w:rtl/>
        </w:rPr>
        <w:t xml:space="preserve"> على الكفيل أن يخبر المدين قبل أداء بعزمه على الأداء أو بالمطالبة الحاصلة له من رب الدين</w:t>
      </w:r>
      <w:r>
        <w:rPr>
          <w:rFonts w:hint="cs"/>
          <w:color w:val="0000FF"/>
          <w:sz w:val="28"/>
          <w:szCs w:val="28"/>
          <w:rtl/>
        </w:rPr>
        <w:t xml:space="preserve"> ،</w:t>
      </w:r>
      <w:r w:rsidRPr="00923B1A">
        <w:rPr>
          <w:rFonts w:hint="cs"/>
          <w:color w:val="0000FF"/>
          <w:sz w:val="28"/>
          <w:szCs w:val="28"/>
          <w:rtl/>
        </w:rPr>
        <w:t xml:space="preserve"> وإلا سقط حفه في الحالتين إذا كان المدين أدى الدين بنفسه أو كانت له أوجه لإثبات بطلان الدين أو زواله عنه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السوري م 764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التقنين المدني الليبي م 807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التقنين المدني العراقي لا مقابل</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قانون الموجبات والعقود اللبناني م 1086</w:t>
      </w:r>
      <w:r>
        <w:rPr>
          <w:rFonts w:hint="cs"/>
          <w:color w:val="0000FF"/>
          <w:sz w:val="28"/>
          <w:szCs w:val="28"/>
          <w:rtl/>
        </w:rPr>
        <w:t xml:space="preserve"> :</w:t>
      </w:r>
      <w:r w:rsidRPr="00923B1A">
        <w:rPr>
          <w:rFonts w:hint="cs"/>
          <w:color w:val="0000FF"/>
          <w:sz w:val="28"/>
          <w:szCs w:val="28"/>
          <w:rtl/>
        </w:rPr>
        <w:t xml:space="preserve"> لا يحق للكفيل أن يرجع على المديون الأصلي إذا كان قد دفع الدين أو حكم عليه في الدرجة الأخيرة بدون أن يعلم المديون</w:t>
      </w:r>
      <w:r>
        <w:rPr>
          <w:rFonts w:hint="cs"/>
          <w:color w:val="0000FF"/>
          <w:sz w:val="28"/>
          <w:szCs w:val="28"/>
          <w:rtl/>
        </w:rPr>
        <w:t xml:space="preserve"> ،</w:t>
      </w:r>
      <w:r w:rsidRPr="00923B1A">
        <w:rPr>
          <w:rFonts w:hint="cs"/>
          <w:color w:val="0000FF"/>
          <w:sz w:val="28"/>
          <w:szCs w:val="28"/>
          <w:rtl/>
        </w:rPr>
        <w:t xml:space="preserve"> بشرط أن يثبت المديون أنه قد أوفى الدين أو أن لديه أسبابا تثبت بطلان الدين أو سقوطه</w:t>
      </w:r>
      <w:r>
        <w:rPr>
          <w:rFonts w:hint="cs"/>
          <w:color w:val="0000FF"/>
          <w:sz w:val="28"/>
          <w:szCs w:val="28"/>
          <w:rtl/>
        </w:rPr>
        <w:t xml:space="preserve"> .</w:t>
      </w:r>
      <w:r w:rsidRPr="00923B1A">
        <w:rPr>
          <w:rFonts w:hint="cs"/>
          <w:color w:val="0000FF"/>
          <w:sz w:val="28"/>
          <w:szCs w:val="28"/>
          <w:rtl/>
        </w:rPr>
        <w:t xml:space="preserve"> على أن هذه القاعدة لا تنطبق عندما يستحيل على الكفيل إعلام المديون</w:t>
      </w:r>
      <w:r>
        <w:rPr>
          <w:rFonts w:hint="cs"/>
          <w:color w:val="0000FF"/>
          <w:sz w:val="28"/>
          <w:szCs w:val="28"/>
          <w:rtl/>
        </w:rPr>
        <w:t xml:space="preserve"> ،</w:t>
      </w:r>
      <w:r w:rsidRPr="00923B1A">
        <w:rPr>
          <w:rFonts w:hint="cs"/>
          <w:color w:val="0000FF"/>
          <w:sz w:val="28"/>
          <w:szCs w:val="28"/>
          <w:rtl/>
        </w:rPr>
        <w:t xml:space="preserve"> كما لو كان المديون غائبا</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800</w:t>
      </w:r>
      <w:r>
        <w:rPr>
          <w:rFonts w:hint="cs"/>
          <w:color w:val="0000FF"/>
          <w:sz w:val="28"/>
          <w:szCs w:val="28"/>
          <w:rtl/>
        </w:rPr>
        <w:t xml:space="preserve"> :</w:t>
      </w:r>
      <w:r w:rsidRPr="00923B1A">
        <w:rPr>
          <w:rFonts w:hint="cs"/>
          <w:color w:val="0000FF"/>
          <w:sz w:val="28"/>
          <w:szCs w:val="28"/>
          <w:rtl/>
        </w:rPr>
        <w:t xml:space="preserve"> ورد هذا النص في المادة 1153 مكررة على الوجه الآتي</w:t>
      </w:r>
      <w:r>
        <w:rPr>
          <w:rFonts w:hint="cs"/>
          <w:color w:val="0000FF"/>
          <w:sz w:val="28"/>
          <w:szCs w:val="28"/>
          <w:rtl/>
        </w:rPr>
        <w:t xml:space="preserve"> :</w:t>
      </w:r>
      <w:r w:rsidRPr="00923B1A">
        <w:rPr>
          <w:rFonts w:hint="cs"/>
          <w:color w:val="0000FF"/>
          <w:sz w:val="28"/>
          <w:szCs w:val="28"/>
          <w:rtl/>
        </w:rPr>
        <w:t xml:space="preserve"> "1- للكفيل الذي وفى الدين أن يرجع على المدين</w:t>
      </w:r>
      <w:r>
        <w:rPr>
          <w:rFonts w:hint="cs"/>
          <w:color w:val="0000FF"/>
          <w:sz w:val="28"/>
          <w:szCs w:val="28"/>
          <w:rtl/>
        </w:rPr>
        <w:t xml:space="preserve"> ،</w:t>
      </w:r>
      <w:r w:rsidRPr="00923B1A">
        <w:rPr>
          <w:rFonts w:hint="cs"/>
          <w:color w:val="0000FF"/>
          <w:sz w:val="28"/>
          <w:szCs w:val="28"/>
          <w:rtl/>
        </w:rPr>
        <w:t xml:space="preserve"> أن يرجع على المدين</w:t>
      </w:r>
      <w:r>
        <w:rPr>
          <w:rFonts w:hint="cs"/>
          <w:color w:val="0000FF"/>
          <w:sz w:val="28"/>
          <w:szCs w:val="28"/>
          <w:rtl/>
        </w:rPr>
        <w:t xml:space="preserve"> ،</w:t>
      </w:r>
      <w:r w:rsidRPr="00923B1A">
        <w:rPr>
          <w:rFonts w:hint="cs"/>
          <w:color w:val="0000FF"/>
          <w:sz w:val="28"/>
          <w:szCs w:val="28"/>
          <w:rtl/>
        </w:rPr>
        <w:t xml:space="preserve"> سواء كانت الكفالة قد عقدت بعلمه أو بغير علمه</w:t>
      </w:r>
      <w:r>
        <w:rPr>
          <w:rFonts w:hint="cs"/>
          <w:color w:val="0000FF"/>
          <w:sz w:val="28"/>
          <w:szCs w:val="28"/>
          <w:rtl/>
        </w:rPr>
        <w:t xml:space="preserve"> .</w:t>
      </w:r>
      <w:r w:rsidRPr="00923B1A">
        <w:rPr>
          <w:rFonts w:hint="cs"/>
          <w:color w:val="0000FF"/>
          <w:sz w:val="28"/>
          <w:szCs w:val="28"/>
          <w:rtl/>
        </w:rPr>
        <w:t xml:space="preserve"> 2- ويرجع بأصل الدين وبالفوائد والمصروفات</w:t>
      </w:r>
      <w:r>
        <w:rPr>
          <w:rFonts w:hint="cs"/>
          <w:color w:val="0000FF"/>
          <w:sz w:val="28"/>
          <w:szCs w:val="28"/>
          <w:rtl/>
        </w:rPr>
        <w:t xml:space="preserve"> ،</w:t>
      </w:r>
      <w:r w:rsidRPr="00923B1A">
        <w:rPr>
          <w:rFonts w:hint="cs"/>
          <w:color w:val="0000FF"/>
          <w:sz w:val="28"/>
          <w:szCs w:val="28"/>
          <w:rtl/>
        </w:rPr>
        <w:t xml:space="preserve"> على أنه في المصروفات لا يرجع إلا بالذي دفعه من وقت إخباره المدين الأصلي بالإجراءات التي اتخذت ضده</w:t>
      </w:r>
      <w:r>
        <w:rPr>
          <w:rFonts w:hint="cs"/>
          <w:color w:val="0000FF"/>
          <w:sz w:val="28"/>
          <w:szCs w:val="28"/>
          <w:rtl/>
        </w:rPr>
        <w:t xml:space="preserve"> .</w:t>
      </w:r>
      <w:r w:rsidRPr="00923B1A">
        <w:rPr>
          <w:rFonts w:hint="cs"/>
          <w:color w:val="0000FF"/>
          <w:sz w:val="28"/>
          <w:szCs w:val="28"/>
          <w:rtl/>
        </w:rPr>
        <w:t xml:space="preserve"> 3- ويكون للكيل الحق في الفوائد القانونية عن كل ما قام بدفعه ابتداء من اليوم الذي يكون قد أخبره المدين بالدفع</w:t>
      </w:r>
      <w:r>
        <w:rPr>
          <w:rFonts w:hint="cs"/>
          <w:color w:val="0000FF"/>
          <w:sz w:val="28"/>
          <w:szCs w:val="28"/>
          <w:rtl/>
        </w:rPr>
        <w:t xml:space="preserve"> .</w:t>
      </w:r>
      <w:r w:rsidRPr="00923B1A">
        <w:rPr>
          <w:rFonts w:hint="cs"/>
          <w:color w:val="0000FF"/>
          <w:sz w:val="28"/>
          <w:szCs w:val="28"/>
          <w:rtl/>
        </w:rPr>
        <w:t xml:space="preserve"> ولكن إذا كان للدين فوائد</w:t>
      </w:r>
      <w:r>
        <w:rPr>
          <w:rFonts w:hint="cs"/>
          <w:color w:val="0000FF"/>
          <w:sz w:val="28"/>
          <w:szCs w:val="28"/>
          <w:rtl/>
        </w:rPr>
        <w:t xml:space="preserve"> ،</w:t>
      </w:r>
      <w:r w:rsidRPr="00923B1A">
        <w:rPr>
          <w:rFonts w:hint="cs"/>
          <w:color w:val="0000FF"/>
          <w:sz w:val="28"/>
          <w:szCs w:val="28"/>
          <w:rtl/>
        </w:rPr>
        <w:t xml:space="preserve"> فيكون للكفيل الحق في استيفائها من يوم وفائه بها للدائن</w:t>
      </w:r>
      <w:r>
        <w:rPr>
          <w:rFonts w:hint="cs"/>
          <w:color w:val="0000FF"/>
          <w:sz w:val="28"/>
          <w:szCs w:val="28"/>
          <w:rtl/>
        </w:rPr>
        <w:t xml:space="preserve"> .</w:t>
      </w:r>
      <w:r w:rsidRPr="00923B1A">
        <w:rPr>
          <w:rFonts w:hint="cs"/>
          <w:color w:val="0000FF"/>
          <w:sz w:val="28"/>
          <w:szCs w:val="28"/>
          <w:rtl/>
        </w:rPr>
        <w:t xml:space="preserve"> 4- وللكفيل فوق ذلك أن يرجع بالتعويض"</w:t>
      </w:r>
      <w:r>
        <w:rPr>
          <w:rFonts w:hint="cs"/>
          <w:color w:val="0000FF"/>
          <w:sz w:val="28"/>
          <w:szCs w:val="28"/>
          <w:rtl/>
        </w:rPr>
        <w:t xml:space="preserve"> .</w:t>
      </w:r>
      <w:r w:rsidRPr="00923B1A">
        <w:rPr>
          <w:rFonts w:hint="cs"/>
          <w:color w:val="0000FF"/>
          <w:sz w:val="28"/>
          <w:szCs w:val="28"/>
          <w:rtl/>
        </w:rPr>
        <w:t xml:space="preserve"> وقد أقرت لجنة المراجعة الفقرتين الأولى والثانية</w:t>
      </w:r>
      <w:r>
        <w:rPr>
          <w:rFonts w:hint="cs"/>
          <w:color w:val="0000FF"/>
          <w:sz w:val="28"/>
          <w:szCs w:val="28"/>
          <w:rtl/>
        </w:rPr>
        <w:t xml:space="preserve"> ،</w:t>
      </w:r>
      <w:r w:rsidRPr="00923B1A">
        <w:rPr>
          <w:rFonts w:hint="cs"/>
          <w:color w:val="0000FF"/>
          <w:sz w:val="28"/>
          <w:szCs w:val="28"/>
          <w:rtl/>
        </w:rPr>
        <w:t xml:space="preserve"> أما الفقرة الثالثة فقد عدلت صياغتها بما يجعل للكفيل حقا في الفوائد القانونية عما دفعه ابتداء من يوم الدفع لا ابتداء من اليوم الذي أخبره فيه المدين بالدفع</w:t>
      </w:r>
      <w:r>
        <w:rPr>
          <w:rFonts w:hint="cs"/>
          <w:color w:val="0000FF"/>
          <w:sz w:val="28"/>
          <w:szCs w:val="28"/>
          <w:rtl/>
        </w:rPr>
        <w:t xml:space="preserve"> ،</w:t>
      </w:r>
      <w:r w:rsidRPr="00923B1A">
        <w:rPr>
          <w:rFonts w:hint="cs"/>
          <w:color w:val="0000FF"/>
          <w:sz w:val="28"/>
          <w:szCs w:val="28"/>
          <w:rtl/>
        </w:rPr>
        <w:t xml:space="preserve"> لأن هذا أعدل</w:t>
      </w:r>
      <w:r>
        <w:rPr>
          <w:rFonts w:hint="cs"/>
          <w:color w:val="0000FF"/>
          <w:sz w:val="28"/>
          <w:szCs w:val="28"/>
          <w:rtl/>
        </w:rPr>
        <w:t xml:space="preserve"> .</w:t>
      </w:r>
      <w:r w:rsidRPr="00923B1A">
        <w:rPr>
          <w:rFonts w:hint="cs"/>
          <w:color w:val="0000FF"/>
          <w:sz w:val="28"/>
          <w:szCs w:val="28"/>
          <w:rtl/>
        </w:rPr>
        <w:t xml:space="preserve"> وحذفت الجزء الأخير من الفقرة اكتفاء بالقواعد العامة</w:t>
      </w:r>
      <w:r>
        <w:rPr>
          <w:rFonts w:hint="cs"/>
          <w:color w:val="0000FF"/>
          <w:sz w:val="28"/>
          <w:szCs w:val="28"/>
          <w:rtl/>
        </w:rPr>
        <w:t xml:space="preserve"> ،</w:t>
      </w:r>
      <w:r w:rsidRPr="00923B1A">
        <w:rPr>
          <w:rFonts w:hint="cs"/>
          <w:color w:val="0000FF"/>
          <w:sz w:val="28"/>
          <w:szCs w:val="28"/>
          <w:rtl/>
        </w:rPr>
        <w:t xml:space="preserve"> كما حذفت الفقرة الرابعة اكتفاء بتطبيق هذه القواعد</w:t>
      </w:r>
      <w:r>
        <w:rPr>
          <w:rFonts w:hint="cs"/>
          <w:color w:val="0000FF"/>
          <w:sz w:val="28"/>
          <w:szCs w:val="28"/>
          <w:rtl/>
        </w:rPr>
        <w:t xml:space="preserve"> .</w:t>
      </w:r>
      <w:r w:rsidRPr="00923B1A">
        <w:rPr>
          <w:rFonts w:hint="cs"/>
          <w:color w:val="0000FF"/>
          <w:sz w:val="28"/>
          <w:szCs w:val="28"/>
          <w:rtl/>
        </w:rPr>
        <w:t xml:space="preserve"> فأصبح النص</w:t>
      </w:r>
      <w:r>
        <w:rPr>
          <w:rFonts w:hint="cs"/>
          <w:color w:val="0000FF"/>
          <w:sz w:val="28"/>
          <w:szCs w:val="28"/>
          <w:rtl/>
        </w:rPr>
        <w:t xml:space="preserve"> ،</w:t>
      </w:r>
      <w:r w:rsidRPr="00923B1A">
        <w:rPr>
          <w:rFonts w:hint="cs"/>
          <w:color w:val="0000FF"/>
          <w:sz w:val="28"/>
          <w:szCs w:val="28"/>
          <w:rtl/>
        </w:rPr>
        <w:t xml:space="preserve"> تحت رقم 868 في المشروع النهائي</w:t>
      </w:r>
      <w:r>
        <w:rPr>
          <w:rFonts w:hint="cs"/>
          <w:color w:val="0000FF"/>
          <w:sz w:val="28"/>
          <w:szCs w:val="28"/>
          <w:rtl/>
        </w:rPr>
        <w:t xml:space="preserve"> ،</w:t>
      </w:r>
      <w:r w:rsidRPr="00923B1A">
        <w:rPr>
          <w:rFonts w:hint="cs"/>
          <w:color w:val="0000FF"/>
          <w:sz w:val="28"/>
          <w:szCs w:val="28"/>
          <w:rtl/>
        </w:rPr>
        <w:t xml:space="preserve"> مطابقا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 عليه مجلس النواب تحت رقم 767</w:t>
      </w:r>
      <w:r>
        <w:rPr>
          <w:rFonts w:hint="cs"/>
          <w:color w:val="0000FF"/>
          <w:sz w:val="28"/>
          <w:szCs w:val="28"/>
          <w:rtl/>
        </w:rPr>
        <w:t xml:space="preserve"> ،</w:t>
      </w:r>
      <w:r w:rsidRPr="00923B1A">
        <w:rPr>
          <w:rFonts w:hint="cs"/>
          <w:color w:val="0000FF"/>
          <w:sz w:val="28"/>
          <w:szCs w:val="28"/>
          <w:rtl/>
        </w:rPr>
        <w:t xml:space="preserve"> ثم مجلس الشيوخ تحت رقم 800 </w:t>
      </w:r>
      <w:r>
        <w:rPr>
          <w:rFonts w:hint="cs"/>
          <w:color w:val="0000FF"/>
          <w:sz w:val="28"/>
          <w:szCs w:val="28"/>
          <w:rtl/>
        </w:rPr>
        <w:t xml:space="preserve">( </w:t>
      </w:r>
      <w:r w:rsidRPr="00923B1A">
        <w:rPr>
          <w:rFonts w:hint="cs"/>
          <w:color w:val="0000FF"/>
          <w:sz w:val="28"/>
          <w:szCs w:val="28"/>
          <w:rtl/>
        </w:rPr>
        <w:t xml:space="preserve">مجموعة الأعمال التحضيرية 5 ص 546 </w:t>
      </w:r>
      <w:r w:rsidRPr="00923B1A">
        <w:rPr>
          <w:color w:val="0000FF"/>
          <w:sz w:val="28"/>
          <w:szCs w:val="28"/>
          <w:rtl/>
        </w:rPr>
        <w:t>–</w:t>
      </w:r>
      <w:r w:rsidRPr="00923B1A">
        <w:rPr>
          <w:rFonts w:hint="cs"/>
          <w:color w:val="0000FF"/>
          <w:sz w:val="28"/>
          <w:szCs w:val="28"/>
          <w:rtl/>
        </w:rPr>
        <w:t xml:space="preserve"> ص 548</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النصف في التقنين المدني السابق المادة 505/617</w:t>
      </w:r>
      <w:r>
        <w:rPr>
          <w:rFonts w:hint="cs"/>
          <w:color w:val="0000FF"/>
          <w:sz w:val="28"/>
          <w:szCs w:val="28"/>
          <w:rtl/>
        </w:rPr>
        <w:t xml:space="preserve"> :</w:t>
      </w:r>
      <w:r w:rsidRPr="00923B1A">
        <w:rPr>
          <w:rFonts w:hint="cs"/>
          <w:color w:val="0000FF"/>
          <w:sz w:val="28"/>
          <w:szCs w:val="28"/>
          <w:rtl/>
        </w:rPr>
        <w:t xml:space="preserve"> إذا دفع الكفيل الدين عند حلول الأجل</w:t>
      </w:r>
      <w:r>
        <w:rPr>
          <w:rFonts w:hint="cs"/>
          <w:color w:val="0000FF"/>
          <w:sz w:val="28"/>
          <w:szCs w:val="28"/>
          <w:rtl/>
        </w:rPr>
        <w:t xml:space="preserve"> ،</w:t>
      </w:r>
      <w:r w:rsidRPr="00923B1A">
        <w:rPr>
          <w:rFonts w:hint="cs"/>
          <w:color w:val="0000FF"/>
          <w:sz w:val="28"/>
          <w:szCs w:val="28"/>
          <w:rtl/>
        </w:rPr>
        <w:t xml:space="preserve"> فله الرجوع على المدين بجميع ما أداه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766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809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1033/1 إذا أدى الكفيل ما كفيل به من ماله</w:t>
      </w:r>
      <w:r>
        <w:rPr>
          <w:rFonts w:hint="cs"/>
          <w:color w:val="0000FF"/>
          <w:sz w:val="28"/>
          <w:szCs w:val="28"/>
          <w:rtl/>
        </w:rPr>
        <w:t xml:space="preserve"> ،</w:t>
      </w:r>
      <w:r w:rsidRPr="00923B1A">
        <w:rPr>
          <w:rFonts w:hint="cs"/>
          <w:color w:val="0000FF"/>
          <w:sz w:val="28"/>
          <w:szCs w:val="28"/>
          <w:rtl/>
        </w:rPr>
        <w:t xml:space="preserve"> فله الرجوع بما أداه على المدين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1034</w:t>
      </w:r>
      <w:r>
        <w:rPr>
          <w:rFonts w:hint="cs"/>
          <w:color w:val="0000FF"/>
          <w:sz w:val="28"/>
          <w:szCs w:val="28"/>
          <w:rtl/>
        </w:rPr>
        <w:t xml:space="preserve"> :</w:t>
      </w:r>
      <w:r w:rsidRPr="00923B1A">
        <w:rPr>
          <w:rFonts w:hint="cs"/>
          <w:color w:val="0000FF"/>
          <w:sz w:val="28"/>
          <w:szCs w:val="28"/>
          <w:rtl/>
        </w:rPr>
        <w:t xml:space="preserve"> إذا أدى الكفيل للدائن عوضاً بدل الدين</w:t>
      </w:r>
      <w:r>
        <w:rPr>
          <w:rFonts w:hint="cs"/>
          <w:color w:val="0000FF"/>
          <w:sz w:val="28"/>
          <w:szCs w:val="28"/>
          <w:rtl/>
        </w:rPr>
        <w:t xml:space="preserve"> ،</w:t>
      </w:r>
      <w:r w:rsidRPr="00923B1A">
        <w:rPr>
          <w:rFonts w:hint="cs"/>
          <w:color w:val="0000FF"/>
          <w:sz w:val="28"/>
          <w:szCs w:val="28"/>
          <w:rtl/>
        </w:rPr>
        <w:t xml:space="preserve"> يرجع على المدين بما كفله لا بما أداه أما إذا صالح الدائن على مقدار من الدين</w:t>
      </w:r>
      <w:r>
        <w:rPr>
          <w:rFonts w:hint="cs"/>
          <w:color w:val="0000FF"/>
          <w:sz w:val="28"/>
          <w:szCs w:val="28"/>
          <w:rtl/>
        </w:rPr>
        <w:t xml:space="preserve"> ،</w:t>
      </w:r>
      <w:r w:rsidRPr="00923B1A">
        <w:rPr>
          <w:rFonts w:hint="cs"/>
          <w:color w:val="0000FF"/>
          <w:sz w:val="28"/>
          <w:szCs w:val="28"/>
          <w:rtl/>
        </w:rPr>
        <w:t xml:space="preserve"> فإنه يرجع ببدل الصلح لا بجميع الدين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1038</w:t>
      </w:r>
      <w:r>
        <w:rPr>
          <w:rFonts w:hint="cs"/>
          <w:color w:val="0000FF"/>
          <w:sz w:val="28"/>
          <w:szCs w:val="28"/>
          <w:rtl/>
        </w:rPr>
        <w:t xml:space="preserve"> :</w:t>
      </w:r>
      <w:r w:rsidRPr="00923B1A">
        <w:rPr>
          <w:rFonts w:hint="cs"/>
          <w:color w:val="0000FF"/>
          <w:sz w:val="28"/>
          <w:szCs w:val="28"/>
          <w:rtl/>
        </w:rPr>
        <w:t xml:space="preserve"> إذا كان الدين المكفول به مؤجلا</w:t>
      </w:r>
      <w:r>
        <w:rPr>
          <w:rFonts w:hint="cs"/>
          <w:color w:val="0000FF"/>
          <w:sz w:val="28"/>
          <w:szCs w:val="28"/>
          <w:rtl/>
        </w:rPr>
        <w:t xml:space="preserve"> ،</w:t>
      </w:r>
      <w:r w:rsidRPr="00923B1A">
        <w:rPr>
          <w:rFonts w:hint="cs"/>
          <w:color w:val="0000FF"/>
          <w:sz w:val="28"/>
          <w:szCs w:val="28"/>
          <w:rtl/>
        </w:rPr>
        <w:t xml:space="preserve"> فدفعه الكفيل للدائن معجلا</w:t>
      </w:r>
      <w:r>
        <w:rPr>
          <w:rFonts w:hint="cs"/>
          <w:color w:val="0000FF"/>
          <w:sz w:val="28"/>
          <w:szCs w:val="28"/>
          <w:rtl/>
        </w:rPr>
        <w:t xml:space="preserve"> ،</w:t>
      </w:r>
      <w:r w:rsidRPr="00923B1A">
        <w:rPr>
          <w:rFonts w:hint="cs"/>
          <w:color w:val="0000FF"/>
          <w:sz w:val="28"/>
          <w:szCs w:val="28"/>
          <w:rtl/>
        </w:rPr>
        <w:t xml:space="preserve"> فلا يرجع به على المدين إلا عند حلول الأجل</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1037</w:t>
      </w:r>
      <w:r>
        <w:rPr>
          <w:rFonts w:hint="cs"/>
          <w:color w:val="0000FF"/>
          <w:sz w:val="28"/>
          <w:szCs w:val="28"/>
          <w:rtl/>
        </w:rPr>
        <w:t xml:space="preserve"> :</w:t>
      </w:r>
      <w:r w:rsidRPr="00923B1A">
        <w:rPr>
          <w:rFonts w:hint="cs"/>
          <w:color w:val="0000FF"/>
          <w:sz w:val="28"/>
          <w:szCs w:val="28"/>
          <w:rtl/>
        </w:rPr>
        <w:t xml:space="preserve"> يرجع الكفيل على المدين بما يضطر إلى صرفه لتنفيذ مقتضى الكفالة</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1080</w:t>
      </w:r>
      <w:r>
        <w:rPr>
          <w:rFonts w:hint="cs"/>
          <w:color w:val="0000FF"/>
          <w:sz w:val="28"/>
          <w:szCs w:val="28"/>
          <w:rtl/>
        </w:rPr>
        <w:t xml:space="preserve"> :</w:t>
      </w:r>
      <w:r w:rsidRPr="00923B1A">
        <w:rPr>
          <w:rFonts w:hint="cs"/>
          <w:color w:val="0000FF"/>
          <w:sz w:val="28"/>
          <w:szCs w:val="28"/>
          <w:rtl/>
        </w:rPr>
        <w:t xml:space="preserve"> للكفيل الذي أوفى الموجب الأصلي أن يرجع على المديون بجميع ما دفعه</w:t>
      </w:r>
      <w:r>
        <w:rPr>
          <w:rFonts w:hint="cs"/>
          <w:color w:val="0000FF"/>
          <w:sz w:val="28"/>
          <w:szCs w:val="28"/>
          <w:rtl/>
        </w:rPr>
        <w:t xml:space="preserve"> ،</w:t>
      </w:r>
      <w:r w:rsidRPr="00923B1A">
        <w:rPr>
          <w:rFonts w:hint="cs"/>
          <w:color w:val="0000FF"/>
          <w:sz w:val="28"/>
          <w:szCs w:val="28"/>
          <w:rtl/>
        </w:rPr>
        <w:t xml:space="preserve"> ولو كانت الكفالة قد أعطيت على غير علم من الديون</w:t>
      </w:r>
      <w:r>
        <w:rPr>
          <w:rFonts w:hint="cs"/>
          <w:color w:val="0000FF"/>
          <w:sz w:val="28"/>
          <w:szCs w:val="28"/>
          <w:rtl/>
        </w:rPr>
        <w:t xml:space="preserve"> .</w:t>
      </w:r>
      <w:r w:rsidRPr="00923B1A">
        <w:rPr>
          <w:rFonts w:hint="cs"/>
          <w:color w:val="0000FF"/>
          <w:sz w:val="28"/>
          <w:szCs w:val="28"/>
          <w:rtl/>
        </w:rPr>
        <w:t xml:space="preserve"> وله حق الرجوع عليه بالمصاريف والأضرار الناشئة بحكم الضرورة عن الكفالة</w:t>
      </w:r>
      <w:r>
        <w:rPr>
          <w:rFonts w:hint="cs"/>
          <w:color w:val="0000FF"/>
          <w:sz w:val="28"/>
          <w:szCs w:val="28"/>
          <w:rtl/>
        </w:rPr>
        <w:t xml:space="preserve"> .</w:t>
      </w:r>
      <w:r w:rsidRPr="00923B1A">
        <w:rPr>
          <w:rFonts w:hint="cs"/>
          <w:color w:val="0000FF"/>
          <w:sz w:val="28"/>
          <w:szCs w:val="28"/>
          <w:rtl/>
        </w:rPr>
        <w:t xml:space="preserve"> وكل عمل من الكفيل</w:t>
      </w:r>
      <w:r>
        <w:rPr>
          <w:rFonts w:hint="cs"/>
          <w:color w:val="0000FF"/>
          <w:sz w:val="28"/>
          <w:szCs w:val="28"/>
          <w:rtl/>
        </w:rPr>
        <w:t xml:space="preserve"> ،</w:t>
      </w:r>
      <w:r w:rsidRPr="00923B1A">
        <w:rPr>
          <w:rFonts w:hint="cs"/>
          <w:color w:val="0000FF"/>
          <w:sz w:val="28"/>
          <w:szCs w:val="28"/>
          <w:rtl/>
        </w:rPr>
        <w:t xml:space="preserve"> غير الإيفاء الحقيقي</w:t>
      </w:r>
      <w:r>
        <w:rPr>
          <w:rFonts w:hint="cs"/>
          <w:color w:val="0000FF"/>
          <w:sz w:val="28"/>
          <w:szCs w:val="28"/>
          <w:rtl/>
        </w:rPr>
        <w:t xml:space="preserve"> ،</w:t>
      </w:r>
      <w:r w:rsidRPr="00923B1A">
        <w:rPr>
          <w:rFonts w:hint="cs"/>
          <w:color w:val="0000FF"/>
          <w:sz w:val="28"/>
          <w:szCs w:val="28"/>
          <w:rtl/>
        </w:rPr>
        <w:t xml:space="preserve"> من شأنه أن يسقط الموجب الأصلي ويبرئ ذمة المديون</w:t>
      </w:r>
      <w:r>
        <w:rPr>
          <w:rFonts w:hint="cs"/>
          <w:color w:val="0000FF"/>
          <w:sz w:val="28"/>
          <w:szCs w:val="28"/>
          <w:rtl/>
        </w:rPr>
        <w:t xml:space="preserve"> ،</w:t>
      </w:r>
      <w:r w:rsidRPr="00923B1A">
        <w:rPr>
          <w:rFonts w:hint="cs"/>
          <w:color w:val="0000FF"/>
          <w:sz w:val="28"/>
          <w:szCs w:val="28"/>
          <w:rtl/>
        </w:rPr>
        <w:t xml:space="preserve"> يعد بمثابة الإيفاء</w:t>
      </w:r>
      <w:r>
        <w:rPr>
          <w:rFonts w:hint="cs"/>
          <w:color w:val="0000FF"/>
          <w:sz w:val="28"/>
          <w:szCs w:val="28"/>
          <w:rtl/>
        </w:rPr>
        <w:t xml:space="preserve"> ،</w:t>
      </w:r>
      <w:r w:rsidRPr="00923B1A">
        <w:rPr>
          <w:rFonts w:hint="cs"/>
          <w:color w:val="0000FF"/>
          <w:sz w:val="28"/>
          <w:szCs w:val="28"/>
          <w:rtl/>
        </w:rPr>
        <w:t xml:space="preserve"> ويفتح للكفيل سبيل الرجوع على المديون الأصلي بأصل الدين والمصاريف المقتصة به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1081</w:t>
      </w:r>
      <w:r>
        <w:rPr>
          <w:rFonts w:hint="cs"/>
          <w:color w:val="0000FF"/>
          <w:sz w:val="28"/>
          <w:szCs w:val="28"/>
          <w:rtl/>
        </w:rPr>
        <w:t xml:space="preserve"> :</w:t>
      </w:r>
      <w:r w:rsidRPr="00923B1A">
        <w:rPr>
          <w:rFonts w:hint="cs"/>
          <w:color w:val="0000FF"/>
          <w:sz w:val="28"/>
          <w:szCs w:val="28"/>
          <w:rtl/>
        </w:rPr>
        <w:t xml:space="preserve"> لا يحق للكفيل الذي أوفى الدين أن يرجع على المديون الأصلي</w:t>
      </w:r>
      <w:r>
        <w:rPr>
          <w:rFonts w:hint="cs"/>
          <w:color w:val="0000FF"/>
          <w:sz w:val="28"/>
          <w:szCs w:val="28"/>
          <w:rtl/>
        </w:rPr>
        <w:t xml:space="preserve"> ،</w:t>
      </w:r>
      <w:r w:rsidRPr="00923B1A">
        <w:rPr>
          <w:rFonts w:hint="cs"/>
          <w:color w:val="0000FF"/>
          <w:sz w:val="28"/>
          <w:szCs w:val="28"/>
          <w:rtl/>
        </w:rPr>
        <w:t xml:space="preserve"> إلا إذا أبرز سند إيصال من الدائن أو غيره من الوثائق التي تثبت سقوط الدين</w:t>
      </w:r>
      <w:r>
        <w:rPr>
          <w:rFonts w:hint="cs"/>
          <w:color w:val="0000FF"/>
          <w:sz w:val="28"/>
          <w:szCs w:val="28"/>
          <w:rtl/>
        </w:rPr>
        <w:t xml:space="preserve"> .</w:t>
      </w:r>
      <w:r w:rsidRPr="00923B1A">
        <w:rPr>
          <w:rFonts w:hint="cs"/>
          <w:color w:val="0000FF"/>
          <w:sz w:val="28"/>
          <w:szCs w:val="28"/>
          <w:rtl/>
        </w:rPr>
        <w:t xml:space="preserve"> وليس للكفيل الذي دفع قبل الاستحقاق أن يرجع على المديون</w:t>
      </w:r>
      <w:r>
        <w:rPr>
          <w:rFonts w:hint="cs"/>
          <w:color w:val="0000FF"/>
          <w:sz w:val="28"/>
          <w:szCs w:val="28"/>
          <w:rtl/>
        </w:rPr>
        <w:t xml:space="preserve"> ،</w:t>
      </w:r>
      <w:r w:rsidRPr="00923B1A">
        <w:rPr>
          <w:rFonts w:hint="cs"/>
          <w:color w:val="0000FF"/>
          <w:sz w:val="28"/>
          <w:szCs w:val="28"/>
          <w:rtl/>
        </w:rPr>
        <w:t xml:space="preserve"> إلا في موعد استحقاق الموجب الأصلي</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م 1083</w:t>
      </w:r>
      <w:r>
        <w:rPr>
          <w:rFonts w:hint="cs"/>
          <w:color w:val="0000FF"/>
          <w:sz w:val="28"/>
          <w:szCs w:val="28"/>
          <w:rtl/>
        </w:rPr>
        <w:t xml:space="preserve"> :</w:t>
      </w:r>
      <w:r w:rsidRPr="00923B1A">
        <w:rPr>
          <w:rFonts w:hint="cs"/>
          <w:color w:val="0000FF"/>
          <w:sz w:val="28"/>
          <w:szCs w:val="28"/>
          <w:rtl/>
        </w:rPr>
        <w:t xml:space="preserve"> إذا تصالح الكفيل والدائن</w:t>
      </w:r>
      <w:r>
        <w:rPr>
          <w:rFonts w:hint="cs"/>
          <w:color w:val="0000FF"/>
          <w:sz w:val="28"/>
          <w:szCs w:val="28"/>
          <w:rtl/>
        </w:rPr>
        <w:t xml:space="preserve"> ،</w:t>
      </w:r>
      <w:r w:rsidRPr="00923B1A">
        <w:rPr>
          <w:rFonts w:hint="cs"/>
          <w:color w:val="0000FF"/>
          <w:sz w:val="28"/>
          <w:szCs w:val="28"/>
          <w:rtl/>
        </w:rPr>
        <w:t xml:space="preserve"> فليس للكفيل حق الرجوع على المديون وسائر الكفلاء</w:t>
      </w:r>
      <w:r>
        <w:rPr>
          <w:rFonts w:hint="cs"/>
          <w:color w:val="0000FF"/>
          <w:sz w:val="28"/>
          <w:szCs w:val="28"/>
          <w:rtl/>
        </w:rPr>
        <w:t xml:space="preserve"> ،</w:t>
      </w:r>
      <w:r w:rsidRPr="00923B1A">
        <w:rPr>
          <w:rFonts w:hint="cs"/>
          <w:color w:val="0000FF"/>
          <w:sz w:val="28"/>
          <w:szCs w:val="28"/>
          <w:rtl/>
        </w:rPr>
        <w:t xml:space="preserve"> إلا بما دفعه فعلا أو بما يعادل قيمته إذا كان هناك مبلغ معين</w:t>
      </w:r>
      <w:r>
        <w:rPr>
          <w:rFonts w:hint="cs"/>
          <w:color w:val="0000FF"/>
          <w:sz w:val="28"/>
          <w:szCs w:val="28"/>
          <w:rtl/>
        </w:rPr>
        <w:t xml:space="preserve"> .</w:t>
      </w:r>
    </w:p>
  </w:footnote>
  <w:footnote w:id="34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59</w:t>
      </w:r>
      <w:r>
        <w:rPr>
          <w:rFonts w:hint="cs"/>
          <w:color w:val="0000FF"/>
          <w:sz w:val="28"/>
          <w:szCs w:val="28"/>
          <w:rtl/>
        </w:rPr>
        <w:t xml:space="preserve"> .</w:t>
      </w:r>
    </w:p>
  </w:footnote>
  <w:footnote w:id="35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المواد 323/2 ة 324/2 و 755 -  وانظر عبد الفتاح عبد الباقي فقرة 103 ص 160 هامش 1 </w:t>
      </w:r>
      <w:r w:rsidRPr="00923B1A">
        <w:rPr>
          <w:color w:val="0000FF"/>
          <w:sz w:val="28"/>
          <w:szCs w:val="28"/>
          <w:rtl/>
        </w:rPr>
        <w:t>–</w:t>
      </w:r>
      <w:r w:rsidRPr="00923B1A">
        <w:rPr>
          <w:rFonts w:hint="cs"/>
          <w:color w:val="0000FF"/>
          <w:sz w:val="28"/>
          <w:szCs w:val="28"/>
          <w:rtl/>
        </w:rPr>
        <w:t xml:space="preserve"> محمد كامل مرسي فقرة 204 ص 219 </w:t>
      </w:r>
      <w:r w:rsidRPr="00923B1A">
        <w:rPr>
          <w:color w:val="0000FF"/>
          <w:sz w:val="28"/>
          <w:szCs w:val="28"/>
          <w:rtl/>
        </w:rPr>
        <w:t>–</w:t>
      </w:r>
      <w:r w:rsidRPr="00923B1A">
        <w:rPr>
          <w:rFonts w:hint="cs"/>
          <w:color w:val="0000FF"/>
          <w:sz w:val="28"/>
          <w:szCs w:val="28"/>
          <w:rtl/>
        </w:rPr>
        <w:t xml:space="preserve"> محمد علي إمام فقرة 76 ص 130 </w:t>
      </w:r>
      <w:r w:rsidRPr="00923B1A">
        <w:rPr>
          <w:color w:val="0000FF"/>
          <w:sz w:val="28"/>
          <w:szCs w:val="28"/>
          <w:rtl/>
        </w:rPr>
        <w:t>–</w:t>
      </w:r>
      <w:r w:rsidRPr="00923B1A">
        <w:rPr>
          <w:rFonts w:hint="cs"/>
          <w:color w:val="0000FF"/>
          <w:sz w:val="28"/>
          <w:szCs w:val="28"/>
          <w:rtl/>
        </w:rPr>
        <w:t xml:space="preserve"> سليمان مرقس فقرة 106 ص 1230 </w:t>
      </w:r>
      <w:r w:rsidRPr="00923B1A">
        <w:rPr>
          <w:color w:val="0000FF"/>
          <w:sz w:val="28"/>
          <w:szCs w:val="28"/>
          <w:rtl/>
        </w:rPr>
        <w:t>–</w:t>
      </w:r>
      <w:r w:rsidRPr="00923B1A">
        <w:rPr>
          <w:rFonts w:hint="cs"/>
          <w:color w:val="0000FF"/>
          <w:sz w:val="28"/>
          <w:szCs w:val="28"/>
          <w:rtl/>
        </w:rPr>
        <w:t xml:space="preserve"> منصور مصطفى منصور فقرة 51 ص 97</w:t>
      </w:r>
      <w:r>
        <w:rPr>
          <w:rFonts w:hint="cs"/>
          <w:color w:val="0000FF"/>
          <w:sz w:val="28"/>
          <w:szCs w:val="28"/>
          <w:rtl/>
        </w:rPr>
        <w:t xml:space="preserve"> .</w:t>
      </w:r>
    </w:p>
  </w:footnote>
  <w:footnote w:id="35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فلو وفى الكفيل دينا كان للمدين دفوع تبطله كله أو بعضه</w:t>
      </w:r>
      <w:r>
        <w:rPr>
          <w:rFonts w:hint="cs"/>
          <w:color w:val="0000FF"/>
          <w:sz w:val="28"/>
          <w:szCs w:val="28"/>
          <w:rtl/>
        </w:rPr>
        <w:t xml:space="preserve"> ،</w:t>
      </w:r>
      <w:r w:rsidRPr="00923B1A">
        <w:rPr>
          <w:rFonts w:hint="cs"/>
          <w:color w:val="0000FF"/>
          <w:sz w:val="28"/>
          <w:szCs w:val="28"/>
          <w:rtl/>
        </w:rPr>
        <w:t xml:space="preserve"> أو تجعله منقضيا كله أو بعضه</w:t>
      </w:r>
      <w:r>
        <w:rPr>
          <w:rFonts w:hint="cs"/>
          <w:color w:val="0000FF"/>
          <w:sz w:val="28"/>
          <w:szCs w:val="28"/>
          <w:rtl/>
        </w:rPr>
        <w:t xml:space="preserve"> ،</w:t>
      </w:r>
      <w:r w:rsidRPr="00923B1A">
        <w:rPr>
          <w:rFonts w:hint="cs"/>
          <w:color w:val="0000FF"/>
          <w:sz w:val="28"/>
          <w:szCs w:val="28"/>
          <w:rtl/>
        </w:rPr>
        <w:t xml:space="preserve"> فإن وفاء الكفيل للدين لا يعود على المدين بفائدة ما أو يعود عليه بفائدة جزئية</w:t>
      </w:r>
      <w:r>
        <w:rPr>
          <w:rFonts w:hint="cs"/>
          <w:color w:val="0000FF"/>
          <w:sz w:val="28"/>
          <w:szCs w:val="28"/>
          <w:rtl/>
        </w:rPr>
        <w:t xml:space="preserve"> ،</w:t>
      </w:r>
      <w:r w:rsidRPr="00923B1A">
        <w:rPr>
          <w:rFonts w:hint="cs"/>
          <w:color w:val="0000FF"/>
          <w:sz w:val="28"/>
          <w:szCs w:val="28"/>
          <w:rtl/>
        </w:rPr>
        <w:t xml:space="preserve"> فلا يرجع الكفيل على المدين إلا بمقدار ما عاد على هذا الأخير بسبب الوفاء</w:t>
      </w:r>
      <w:r>
        <w:rPr>
          <w:rFonts w:hint="cs"/>
          <w:color w:val="0000FF"/>
          <w:sz w:val="28"/>
          <w:szCs w:val="28"/>
          <w:rtl/>
        </w:rPr>
        <w:t xml:space="preserve"> .</w:t>
      </w:r>
      <w:r w:rsidRPr="00923B1A">
        <w:rPr>
          <w:rFonts w:hint="cs"/>
          <w:color w:val="0000FF"/>
          <w:sz w:val="28"/>
          <w:szCs w:val="28"/>
          <w:rtl/>
        </w:rPr>
        <w:t xml:space="preserve"> وإذا وفى الكفيل الدين قبل حلول أجله</w:t>
      </w:r>
      <w:r>
        <w:rPr>
          <w:rFonts w:hint="cs"/>
          <w:color w:val="0000FF"/>
          <w:sz w:val="28"/>
          <w:szCs w:val="28"/>
          <w:rtl/>
        </w:rPr>
        <w:t xml:space="preserve"> ،</w:t>
      </w:r>
      <w:r w:rsidRPr="00923B1A">
        <w:rPr>
          <w:rFonts w:hint="cs"/>
          <w:color w:val="0000FF"/>
          <w:sz w:val="28"/>
          <w:szCs w:val="28"/>
          <w:rtl/>
        </w:rPr>
        <w:t xml:space="preserve"> لم يرجع على المدين إلا عند حلول الأجل</w:t>
      </w:r>
      <w:r>
        <w:rPr>
          <w:rFonts w:hint="cs"/>
          <w:color w:val="0000FF"/>
          <w:sz w:val="28"/>
          <w:szCs w:val="28"/>
          <w:rtl/>
        </w:rPr>
        <w:t xml:space="preserve"> ،</w:t>
      </w:r>
      <w:r w:rsidRPr="00923B1A">
        <w:rPr>
          <w:rFonts w:hint="cs"/>
          <w:color w:val="0000FF"/>
          <w:sz w:val="28"/>
          <w:szCs w:val="28"/>
          <w:rtl/>
        </w:rPr>
        <w:t xml:space="preserve"> لأن المدين لم يفد من وفاء الكفيل إلا منذ حلول الأجل</w:t>
      </w:r>
      <w:r>
        <w:rPr>
          <w:rFonts w:hint="cs"/>
          <w:color w:val="0000FF"/>
          <w:sz w:val="28"/>
          <w:szCs w:val="28"/>
          <w:rtl/>
        </w:rPr>
        <w:t xml:space="preserve"> .</w:t>
      </w:r>
      <w:r w:rsidRPr="00923B1A">
        <w:rPr>
          <w:rFonts w:hint="cs"/>
          <w:color w:val="0000FF"/>
          <w:sz w:val="28"/>
          <w:szCs w:val="28"/>
          <w:rtl/>
        </w:rPr>
        <w:t xml:space="preserve"> انظر سليمان مرقس فقرة 118</w:t>
      </w:r>
      <w:r>
        <w:rPr>
          <w:rFonts w:hint="cs"/>
          <w:color w:val="0000FF"/>
          <w:sz w:val="28"/>
          <w:szCs w:val="28"/>
          <w:rtl/>
        </w:rPr>
        <w:t xml:space="preserve"> .</w:t>
      </w:r>
    </w:p>
  </w:footnote>
  <w:footnote w:id="35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في فرنسا فكير من الفقهاء ينكرون على الكفيل حتى الرجوع بدعوى الإثراء بلا سبب</w:t>
      </w:r>
      <w:r>
        <w:rPr>
          <w:rFonts w:hint="cs"/>
          <w:color w:val="0000FF"/>
          <w:sz w:val="28"/>
          <w:szCs w:val="28"/>
          <w:rtl/>
        </w:rPr>
        <w:t xml:space="preserve"> ،</w:t>
      </w:r>
      <w:r w:rsidRPr="00923B1A">
        <w:rPr>
          <w:rFonts w:hint="cs"/>
          <w:color w:val="0000FF"/>
          <w:sz w:val="28"/>
          <w:szCs w:val="28"/>
          <w:rtl/>
        </w:rPr>
        <w:t xml:space="preserve"> ولا يعطون له إلا دعوى الحلو </w:t>
      </w:r>
      <w:r>
        <w:rPr>
          <w:rFonts w:hint="cs"/>
          <w:color w:val="0000FF"/>
          <w:sz w:val="28"/>
          <w:szCs w:val="28"/>
          <w:rtl/>
        </w:rPr>
        <w:t xml:space="preserve">( </w:t>
      </w:r>
      <w:r w:rsidRPr="00923B1A">
        <w:rPr>
          <w:rFonts w:hint="cs"/>
          <w:color w:val="0000FF"/>
          <w:sz w:val="28"/>
          <w:szCs w:val="28"/>
          <w:rtl/>
        </w:rPr>
        <w:t xml:space="preserve">ديرانتون 18 فقرة 316 </w:t>
      </w:r>
      <w:r w:rsidRPr="00923B1A">
        <w:rPr>
          <w:color w:val="0000FF"/>
          <w:sz w:val="28"/>
          <w:szCs w:val="28"/>
          <w:rtl/>
        </w:rPr>
        <w:t>–</w:t>
      </w:r>
      <w:r w:rsidRPr="00923B1A">
        <w:rPr>
          <w:rFonts w:hint="cs"/>
          <w:color w:val="0000FF"/>
          <w:sz w:val="28"/>
          <w:szCs w:val="28"/>
          <w:rtl/>
        </w:rPr>
        <w:t xml:space="preserve"> لوران 28</w:t>
      </w:r>
      <w:r>
        <w:rPr>
          <w:rFonts w:hint="cs"/>
          <w:color w:val="0000FF"/>
          <w:sz w:val="28"/>
          <w:szCs w:val="28"/>
          <w:rtl/>
        </w:rPr>
        <w:t xml:space="preserve"> ،</w:t>
      </w:r>
      <w:r w:rsidRPr="00923B1A">
        <w:rPr>
          <w:rFonts w:hint="cs"/>
          <w:color w:val="0000FF"/>
          <w:sz w:val="28"/>
          <w:szCs w:val="28"/>
          <w:rtl/>
        </w:rPr>
        <w:t xml:space="preserve"> فقرة 236 </w:t>
      </w:r>
      <w:r w:rsidRPr="00923B1A">
        <w:rPr>
          <w:color w:val="0000FF"/>
          <w:sz w:val="28"/>
          <w:szCs w:val="28"/>
          <w:rtl/>
        </w:rPr>
        <w:t>–</w:t>
      </w:r>
      <w:r w:rsidRPr="00923B1A">
        <w:rPr>
          <w:rFonts w:hint="cs"/>
          <w:color w:val="0000FF"/>
          <w:sz w:val="28"/>
          <w:szCs w:val="28"/>
          <w:rtl/>
        </w:rPr>
        <w:t xml:space="preserve"> جيوار فقرة 176 </w:t>
      </w:r>
      <w:r w:rsidRPr="00923B1A">
        <w:rPr>
          <w:color w:val="0000FF"/>
          <w:sz w:val="28"/>
          <w:szCs w:val="28"/>
          <w:rtl/>
        </w:rPr>
        <w:t>–</w:t>
      </w:r>
      <w:r w:rsidRPr="00923B1A">
        <w:rPr>
          <w:rFonts w:hint="cs"/>
          <w:color w:val="0000FF"/>
          <w:sz w:val="28"/>
          <w:szCs w:val="28"/>
          <w:rtl/>
        </w:rPr>
        <w:t xml:space="preserve"> أوبر ورو 6 فقرة 427 290 وهامش 15 </w:t>
      </w:r>
      <w:r w:rsidRPr="00923B1A">
        <w:rPr>
          <w:color w:val="0000FF"/>
          <w:sz w:val="28"/>
          <w:szCs w:val="28"/>
          <w:rtl/>
        </w:rPr>
        <w:t>–</w:t>
      </w:r>
      <w:r w:rsidRPr="00923B1A">
        <w:rPr>
          <w:rFonts w:hint="cs"/>
          <w:color w:val="0000FF"/>
          <w:sz w:val="28"/>
          <w:szCs w:val="28"/>
          <w:rtl/>
        </w:rPr>
        <w:t xml:space="preserve"> بودري وفال فقرة 1104 </w:t>
      </w:r>
      <w:r w:rsidRPr="00923B1A">
        <w:rPr>
          <w:color w:val="0000FF"/>
          <w:sz w:val="28"/>
          <w:szCs w:val="28"/>
          <w:rtl/>
        </w:rPr>
        <w:t>–</w:t>
      </w:r>
      <w:r w:rsidRPr="00923B1A">
        <w:rPr>
          <w:rFonts w:hint="cs"/>
          <w:color w:val="0000FF"/>
          <w:sz w:val="28"/>
          <w:szCs w:val="28"/>
          <w:rtl/>
        </w:rPr>
        <w:t xml:space="preserve"> وانظر من هذا الرأي في مصر محمد كامل مرسي فقرة 104 ص 141</w:t>
      </w:r>
      <w:r>
        <w:rPr>
          <w:rFonts w:hint="cs"/>
          <w:color w:val="0000FF"/>
          <w:sz w:val="28"/>
          <w:szCs w:val="28"/>
          <w:rtl/>
        </w:rPr>
        <w:t xml:space="preserve"> ) .</w:t>
      </w:r>
      <w:r w:rsidRPr="00923B1A">
        <w:rPr>
          <w:rFonts w:hint="cs"/>
          <w:color w:val="0000FF"/>
          <w:sz w:val="28"/>
          <w:szCs w:val="28"/>
          <w:rtl/>
        </w:rPr>
        <w:t xml:space="preserve"> </w:t>
      </w:r>
    </w:p>
  </w:footnote>
  <w:footnote w:id="35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103 </w:t>
      </w:r>
      <w:r w:rsidRPr="00923B1A">
        <w:rPr>
          <w:color w:val="0000FF"/>
          <w:sz w:val="28"/>
          <w:szCs w:val="28"/>
          <w:rtl/>
        </w:rPr>
        <w:t>–</w:t>
      </w:r>
      <w:r w:rsidRPr="00923B1A">
        <w:rPr>
          <w:rFonts w:hint="cs"/>
          <w:color w:val="0000FF"/>
          <w:sz w:val="28"/>
          <w:szCs w:val="28"/>
          <w:rtl/>
        </w:rPr>
        <w:t xml:space="preserve"> محمد علي إمام فقرة 76 ص 131 سليمان مرقس فقرة 106 ص 121 </w:t>
      </w:r>
      <w:r w:rsidRPr="00923B1A">
        <w:rPr>
          <w:color w:val="0000FF"/>
          <w:sz w:val="28"/>
          <w:szCs w:val="28"/>
          <w:rtl/>
        </w:rPr>
        <w:t>–</w:t>
      </w:r>
      <w:r w:rsidRPr="00923B1A">
        <w:rPr>
          <w:rFonts w:hint="cs"/>
          <w:color w:val="0000FF"/>
          <w:sz w:val="28"/>
          <w:szCs w:val="28"/>
          <w:rtl/>
        </w:rPr>
        <w:t xml:space="preserve"> منصور مصطفى منصور فقرة 51 ص 98 </w:t>
      </w:r>
      <w:r w:rsidRPr="00923B1A">
        <w:rPr>
          <w:color w:val="0000FF"/>
          <w:sz w:val="28"/>
          <w:szCs w:val="28"/>
          <w:rtl/>
        </w:rPr>
        <w:t>–</w:t>
      </w:r>
      <w:r w:rsidRPr="00923B1A">
        <w:rPr>
          <w:rFonts w:hint="cs"/>
          <w:color w:val="0000FF"/>
          <w:sz w:val="28"/>
          <w:szCs w:val="28"/>
          <w:rtl/>
        </w:rPr>
        <w:t xml:space="preserve"> وانظر عكس ذلك وأن الكفيل لا يرجع بدعوى الإثراء بلا سبب ويقتصر على دعوى الحول</w:t>
      </w:r>
      <w:r>
        <w:rPr>
          <w:rFonts w:hint="cs"/>
          <w:color w:val="0000FF"/>
          <w:sz w:val="28"/>
          <w:szCs w:val="28"/>
          <w:rtl/>
        </w:rPr>
        <w:t xml:space="preserve"> :</w:t>
      </w:r>
      <w:r w:rsidRPr="00923B1A">
        <w:rPr>
          <w:rFonts w:hint="cs"/>
          <w:color w:val="0000FF"/>
          <w:sz w:val="28"/>
          <w:szCs w:val="28"/>
          <w:rtl/>
        </w:rPr>
        <w:t xml:space="preserve"> محمد كامل مرسي فقرة 104 ص 141</w:t>
      </w:r>
      <w:r>
        <w:rPr>
          <w:rFonts w:hint="cs"/>
          <w:color w:val="0000FF"/>
          <w:sz w:val="28"/>
          <w:szCs w:val="28"/>
          <w:rtl/>
        </w:rPr>
        <w:t xml:space="preserve"> .</w:t>
      </w:r>
    </w:p>
  </w:footnote>
  <w:footnote w:id="35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في فرنسا فيذهب الفقه إلى أن الكفيل الذي عقد الكفالة لمصلحة الدائن لا يجرع على المدين إلا بدعوى الإثراء بلا سبب</w:t>
      </w:r>
      <w:r>
        <w:rPr>
          <w:rFonts w:hint="cs"/>
          <w:color w:val="0000FF"/>
          <w:sz w:val="28"/>
          <w:szCs w:val="28"/>
          <w:rtl/>
        </w:rPr>
        <w:t xml:space="preserve"> ،</w:t>
      </w:r>
      <w:r w:rsidRPr="00923B1A">
        <w:rPr>
          <w:rFonts w:hint="cs"/>
          <w:color w:val="0000FF"/>
          <w:sz w:val="28"/>
          <w:szCs w:val="28"/>
          <w:rtl/>
        </w:rPr>
        <w:t xml:space="preserve"> وإنما يرجع بدعوى الحلول </w:t>
      </w:r>
      <w:r>
        <w:rPr>
          <w:rFonts w:hint="cs"/>
          <w:color w:val="0000FF"/>
          <w:sz w:val="28"/>
          <w:szCs w:val="28"/>
          <w:rtl/>
        </w:rPr>
        <w:t xml:space="preserve">( </w:t>
      </w:r>
      <w:r w:rsidRPr="00923B1A">
        <w:rPr>
          <w:rFonts w:hint="cs"/>
          <w:color w:val="0000FF"/>
          <w:sz w:val="28"/>
          <w:szCs w:val="28"/>
          <w:rtl/>
        </w:rPr>
        <w:t xml:space="preserve">بون 2 فقرة 246 </w:t>
      </w:r>
      <w:r w:rsidRPr="00923B1A">
        <w:rPr>
          <w:color w:val="0000FF"/>
          <w:sz w:val="28"/>
          <w:szCs w:val="28"/>
          <w:rtl/>
        </w:rPr>
        <w:t>–</w:t>
      </w:r>
      <w:r w:rsidRPr="00923B1A">
        <w:rPr>
          <w:rFonts w:hint="cs"/>
          <w:color w:val="0000FF"/>
          <w:sz w:val="28"/>
          <w:szCs w:val="28"/>
          <w:rtl/>
        </w:rPr>
        <w:t xml:space="preserve"> جيوار فقرة 177 </w:t>
      </w:r>
      <w:r w:rsidRPr="00923B1A">
        <w:rPr>
          <w:color w:val="0000FF"/>
          <w:sz w:val="28"/>
          <w:szCs w:val="28"/>
          <w:rtl/>
        </w:rPr>
        <w:t>–</w:t>
      </w:r>
      <w:r w:rsidRPr="00923B1A">
        <w:rPr>
          <w:rFonts w:hint="cs"/>
          <w:color w:val="0000FF"/>
          <w:sz w:val="28"/>
          <w:szCs w:val="28"/>
          <w:rtl/>
        </w:rPr>
        <w:t xml:space="preserve"> بودري وفال فقرة  1103</w:t>
      </w:r>
      <w:r>
        <w:rPr>
          <w:rFonts w:hint="cs"/>
          <w:color w:val="0000FF"/>
          <w:sz w:val="28"/>
          <w:szCs w:val="28"/>
          <w:rtl/>
        </w:rPr>
        <w:t xml:space="preserve"> )</w:t>
      </w:r>
    </w:p>
  </w:footnote>
  <w:footnote w:id="35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177 </w:t>
      </w:r>
      <w:r w:rsidRPr="00923B1A">
        <w:rPr>
          <w:color w:val="0000FF"/>
          <w:sz w:val="28"/>
          <w:szCs w:val="28"/>
          <w:rtl/>
        </w:rPr>
        <w:t>–</w:t>
      </w:r>
      <w:r w:rsidRPr="00923B1A">
        <w:rPr>
          <w:rFonts w:hint="cs"/>
          <w:color w:val="0000FF"/>
          <w:sz w:val="28"/>
          <w:szCs w:val="28"/>
          <w:rtl/>
        </w:rPr>
        <w:t xml:space="preserve"> محمد كامل مرسي فقرة 104 ص 141</w:t>
      </w:r>
      <w:r>
        <w:rPr>
          <w:rFonts w:hint="cs"/>
          <w:color w:val="0000FF"/>
          <w:sz w:val="28"/>
          <w:szCs w:val="28"/>
          <w:rtl/>
        </w:rPr>
        <w:t xml:space="preserve"> .</w:t>
      </w:r>
    </w:p>
  </w:footnote>
  <w:footnote w:id="35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11 وفقرة 32 </w:t>
      </w:r>
      <w:r w:rsidRPr="00923B1A">
        <w:rPr>
          <w:color w:val="0000FF"/>
          <w:sz w:val="28"/>
          <w:szCs w:val="28"/>
          <w:rtl/>
        </w:rPr>
        <w:t>–</w:t>
      </w:r>
      <w:r w:rsidRPr="00923B1A">
        <w:rPr>
          <w:rFonts w:hint="cs"/>
          <w:color w:val="0000FF"/>
          <w:sz w:val="28"/>
          <w:szCs w:val="28"/>
          <w:rtl/>
        </w:rPr>
        <w:t xml:space="preserve"> أوبري ورو فقرة 427 ص 289 وهامش 8 </w:t>
      </w:r>
      <w:r w:rsidRPr="00923B1A">
        <w:rPr>
          <w:color w:val="0000FF"/>
          <w:sz w:val="28"/>
          <w:szCs w:val="28"/>
          <w:rtl/>
        </w:rPr>
        <w:t>–</w:t>
      </w:r>
      <w:r w:rsidRPr="00923B1A">
        <w:rPr>
          <w:rFonts w:hint="cs"/>
          <w:color w:val="0000FF"/>
          <w:sz w:val="28"/>
          <w:szCs w:val="28"/>
          <w:rtl/>
        </w:rPr>
        <w:t xml:space="preserve"> بودري وفال فقرة 1078 </w:t>
      </w:r>
      <w:r w:rsidRPr="00923B1A">
        <w:rPr>
          <w:color w:val="0000FF"/>
          <w:sz w:val="28"/>
          <w:szCs w:val="28"/>
          <w:rtl/>
        </w:rPr>
        <w:t>–</w:t>
      </w:r>
      <w:r w:rsidRPr="00923B1A">
        <w:rPr>
          <w:rFonts w:hint="cs"/>
          <w:color w:val="0000FF"/>
          <w:sz w:val="28"/>
          <w:szCs w:val="28"/>
          <w:rtl/>
        </w:rPr>
        <w:t xml:space="preserve"> بلانيول وريبير وسافاتييه فقرة 154 ص 991</w:t>
      </w:r>
      <w:r>
        <w:rPr>
          <w:rFonts w:hint="cs"/>
          <w:color w:val="0000FF"/>
          <w:sz w:val="28"/>
          <w:szCs w:val="28"/>
          <w:rtl/>
        </w:rPr>
        <w:t xml:space="preserve"> .</w:t>
      </w:r>
    </w:p>
  </w:footnote>
  <w:footnote w:id="35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102 </w:t>
      </w:r>
      <w:r w:rsidRPr="00923B1A">
        <w:rPr>
          <w:color w:val="0000FF"/>
          <w:sz w:val="28"/>
          <w:szCs w:val="28"/>
          <w:rtl/>
        </w:rPr>
        <w:t>–</w:t>
      </w:r>
      <w:r w:rsidRPr="00923B1A">
        <w:rPr>
          <w:rFonts w:hint="cs"/>
          <w:color w:val="0000FF"/>
          <w:sz w:val="28"/>
          <w:szCs w:val="28"/>
          <w:rtl/>
        </w:rPr>
        <w:t xml:space="preserve"> وانظر أيضاً الأستاذ سليمان مرقس وهو يقول "غير أن هذا التكييف </w:t>
      </w:r>
      <w:r>
        <w:rPr>
          <w:rFonts w:hint="cs"/>
          <w:color w:val="0000FF"/>
          <w:sz w:val="28"/>
          <w:szCs w:val="28"/>
          <w:rtl/>
        </w:rPr>
        <w:t xml:space="preserve">( </w:t>
      </w:r>
      <w:r w:rsidRPr="00923B1A">
        <w:rPr>
          <w:rFonts w:hint="cs"/>
          <w:color w:val="0000FF"/>
          <w:sz w:val="28"/>
          <w:szCs w:val="28"/>
          <w:rtl/>
        </w:rPr>
        <w:t>تكييف الفقه الفرنسي</w:t>
      </w:r>
      <w:r>
        <w:rPr>
          <w:rFonts w:hint="cs"/>
          <w:color w:val="0000FF"/>
          <w:sz w:val="28"/>
          <w:szCs w:val="28"/>
          <w:rtl/>
        </w:rPr>
        <w:t xml:space="preserve"> )</w:t>
      </w:r>
      <w:r w:rsidRPr="00923B1A">
        <w:rPr>
          <w:rFonts w:hint="cs"/>
          <w:color w:val="0000FF"/>
          <w:sz w:val="28"/>
          <w:szCs w:val="28"/>
          <w:rtl/>
        </w:rPr>
        <w:t xml:space="preserve"> في نظرنا لا يقصد به تأسيس دعوى الكفيل الشخصية بقدر ما يقصد به تحديد مداها وبيان آثارها</w:t>
      </w:r>
      <w:r>
        <w:rPr>
          <w:rFonts w:hint="cs"/>
          <w:color w:val="0000FF"/>
          <w:sz w:val="28"/>
          <w:szCs w:val="28"/>
          <w:rtl/>
        </w:rPr>
        <w:t xml:space="preserve"> .</w:t>
      </w:r>
      <w:r w:rsidRPr="00923B1A">
        <w:rPr>
          <w:rFonts w:hint="cs"/>
          <w:color w:val="0000FF"/>
          <w:sz w:val="28"/>
          <w:szCs w:val="28"/>
          <w:rtl/>
        </w:rPr>
        <w:t xml:space="preserve"> ذلك أنه لا يستقيم مع المبادئ العامة القول بأن بين المدين والكفيل وكالة صريحة أو ضمنية</w:t>
      </w:r>
      <w:r>
        <w:rPr>
          <w:rFonts w:hint="cs"/>
          <w:color w:val="0000FF"/>
          <w:sz w:val="28"/>
          <w:szCs w:val="28"/>
          <w:rtl/>
        </w:rPr>
        <w:t xml:space="preserve"> .</w:t>
      </w:r>
      <w:r w:rsidRPr="00923B1A">
        <w:rPr>
          <w:rFonts w:hint="cs"/>
          <w:color w:val="0000FF"/>
          <w:sz w:val="28"/>
          <w:szCs w:val="28"/>
          <w:rtl/>
        </w:rPr>
        <w:t xml:space="preserve"> فإذا كان المقصود بذلك الوكالة في الكفالة فكيف يستقيم أن يوكل المدين الكفيل في أن يكفله مع أنه هو لا  يستطيع أن يكفل نفسه! وإذا كان المقصود به الوكالة في الوفاء فإن ذلك يقتضي جواز عزل الوكيل أو نزوله عن الوكالة</w:t>
      </w:r>
      <w:r>
        <w:rPr>
          <w:rFonts w:hint="cs"/>
          <w:color w:val="0000FF"/>
          <w:sz w:val="28"/>
          <w:szCs w:val="28"/>
          <w:rtl/>
        </w:rPr>
        <w:t xml:space="preserve"> ،</w:t>
      </w:r>
      <w:r w:rsidRPr="00923B1A">
        <w:rPr>
          <w:rFonts w:hint="cs"/>
          <w:color w:val="0000FF"/>
          <w:sz w:val="28"/>
          <w:szCs w:val="28"/>
          <w:rtl/>
        </w:rPr>
        <w:t xml:space="preserve"> مع أنه مما لا شك فيه أنه متى تمت الكفالة لا يستطيع المدين أن يقبل الكفيل من التزامه ولا الكحيل أن ينتمي أو أن يمتنع عن الوفاء</w:t>
      </w:r>
      <w:r>
        <w:rPr>
          <w:rFonts w:hint="cs"/>
          <w:color w:val="0000FF"/>
          <w:sz w:val="28"/>
          <w:szCs w:val="28"/>
          <w:rtl/>
        </w:rPr>
        <w:t xml:space="preserve"> .</w:t>
      </w:r>
      <w:r w:rsidRPr="00923B1A">
        <w:rPr>
          <w:rFonts w:hint="cs"/>
          <w:color w:val="0000FF"/>
          <w:sz w:val="28"/>
          <w:szCs w:val="28"/>
          <w:rtl/>
        </w:rPr>
        <w:t xml:space="preserve"> وكذلك لا يستقيم مع المبادئ العامة القول بأن علاقة الكفيل بالمدين علاقة فضالة لأن الفضالة تقتضي أن يقوم الفضولي بعمل لغيره دون أن يكون ملزما بذلك ولا أن يكون هذا العمل عاجلا بحيث لا يحتمل التأخير وانتظار قيام رب العمل به</w:t>
      </w:r>
      <w:r>
        <w:rPr>
          <w:rFonts w:hint="cs"/>
          <w:color w:val="0000FF"/>
          <w:sz w:val="28"/>
          <w:szCs w:val="28"/>
          <w:rtl/>
        </w:rPr>
        <w:t xml:space="preserve"> ،</w:t>
      </w:r>
      <w:r w:rsidRPr="00923B1A">
        <w:rPr>
          <w:rFonts w:hint="cs"/>
          <w:color w:val="0000FF"/>
          <w:sz w:val="28"/>
          <w:szCs w:val="28"/>
          <w:rtl/>
        </w:rPr>
        <w:t xml:space="preserve"> ولأن وفاء الكفيل دين الدائن يكون بناء على التزامه بذلك فلا يعتبر فضالة</w:t>
      </w:r>
      <w:r>
        <w:rPr>
          <w:rFonts w:hint="cs"/>
          <w:color w:val="0000FF"/>
          <w:sz w:val="28"/>
          <w:szCs w:val="28"/>
          <w:rtl/>
        </w:rPr>
        <w:t xml:space="preserve"> ،</w:t>
      </w:r>
      <w:r w:rsidRPr="00923B1A">
        <w:rPr>
          <w:rFonts w:hint="cs"/>
          <w:color w:val="0000FF"/>
          <w:sz w:val="28"/>
          <w:szCs w:val="28"/>
          <w:rtl/>
        </w:rPr>
        <w:t xml:space="preserve"> ولأن قيامه بعد الكفالة يندر أن تتوافر فيه ظروف الضرورة والاستعجال التي تسبغ عليه صفة الفضالة</w:t>
      </w:r>
      <w:r>
        <w:rPr>
          <w:rFonts w:hint="cs"/>
          <w:color w:val="0000FF"/>
          <w:sz w:val="28"/>
          <w:szCs w:val="28"/>
          <w:rtl/>
        </w:rPr>
        <w:t xml:space="preserve"> ،</w:t>
      </w:r>
      <w:r w:rsidRPr="00923B1A">
        <w:rPr>
          <w:rFonts w:hint="cs"/>
          <w:color w:val="0000FF"/>
          <w:sz w:val="28"/>
          <w:szCs w:val="28"/>
          <w:rtl/>
        </w:rPr>
        <w:t xml:space="preserve"> بل أن الفضالة غير متصورة في عمل لا يتصور صدوره من رب العمل ذاته في حق نفسه </w:t>
      </w:r>
      <w:r>
        <w:rPr>
          <w:rFonts w:hint="cs"/>
          <w:color w:val="0000FF"/>
          <w:sz w:val="28"/>
          <w:szCs w:val="28"/>
          <w:rtl/>
        </w:rPr>
        <w:t xml:space="preserve"> . . .</w:t>
      </w:r>
      <w:r w:rsidRPr="00923B1A">
        <w:rPr>
          <w:rFonts w:hint="cs"/>
          <w:color w:val="0000FF"/>
          <w:sz w:val="28"/>
          <w:szCs w:val="28"/>
          <w:rtl/>
        </w:rPr>
        <w:t xml:space="preserve"> وقد كنا في ظل التقنين الملغي في حاجة إلى إلباس دعوى الكفيل ثوب الوكالة أو الفضالة توصلا لمنح الكفيل هذه المزية </w:t>
      </w:r>
      <w:r>
        <w:rPr>
          <w:rFonts w:hint="cs"/>
          <w:color w:val="0000FF"/>
          <w:sz w:val="28"/>
          <w:szCs w:val="28"/>
          <w:rtl/>
        </w:rPr>
        <w:t xml:space="preserve">( </w:t>
      </w:r>
      <w:r w:rsidRPr="00923B1A">
        <w:rPr>
          <w:rFonts w:hint="cs"/>
          <w:color w:val="0000FF"/>
          <w:sz w:val="28"/>
          <w:szCs w:val="28"/>
          <w:rtl/>
        </w:rPr>
        <w:t>الحق في فوائد ما دفع</w:t>
      </w:r>
      <w:r>
        <w:rPr>
          <w:rFonts w:hint="cs"/>
          <w:color w:val="0000FF"/>
          <w:sz w:val="28"/>
          <w:szCs w:val="28"/>
          <w:rtl/>
        </w:rPr>
        <w:t xml:space="preserve"> )</w:t>
      </w:r>
      <w:r w:rsidRPr="00923B1A">
        <w:rPr>
          <w:rFonts w:hint="cs"/>
          <w:color w:val="0000FF"/>
          <w:sz w:val="28"/>
          <w:szCs w:val="28"/>
          <w:rtl/>
        </w:rPr>
        <w:t xml:space="preserve"> لأن المادة 505/617 مدني قديم لم تكن تنص عليها</w:t>
      </w:r>
      <w:r>
        <w:rPr>
          <w:rFonts w:hint="cs"/>
          <w:color w:val="0000FF"/>
          <w:sz w:val="28"/>
          <w:szCs w:val="28"/>
          <w:rtl/>
        </w:rPr>
        <w:t xml:space="preserve"> ،</w:t>
      </w:r>
      <w:r w:rsidRPr="00923B1A">
        <w:rPr>
          <w:rFonts w:hint="cs"/>
          <w:color w:val="0000FF"/>
          <w:sz w:val="28"/>
          <w:szCs w:val="28"/>
          <w:rtl/>
        </w:rPr>
        <w:t xml:space="preserve"> بل أكتفت بالنص على أنه "إذا دفع الكفيل الدين عند حلول الأجل</w:t>
      </w:r>
      <w:r>
        <w:rPr>
          <w:rFonts w:hint="cs"/>
          <w:color w:val="0000FF"/>
          <w:sz w:val="28"/>
          <w:szCs w:val="28"/>
          <w:rtl/>
        </w:rPr>
        <w:t xml:space="preserve"> ،</w:t>
      </w:r>
      <w:r w:rsidRPr="00923B1A">
        <w:rPr>
          <w:rFonts w:hint="cs"/>
          <w:color w:val="0000FF"/>
          <w:sz w:val="28"/>
          <w:szCs w:val="28"/>
          <w:rtl/>
        </w:rPr>
        <w:t xml:space="preserve"> فله الرجوع على المدين بجميع ما أداه</w:t>
      </w:r>
      <w:r>
        <w:rPr>
          <w:rFonts w:hint="cs"/>
          <w:color w:val="0000FF"/>
          <w:sz w:val="28"/>
          <w:szCs w:val="28"/>
          <w:rtl/>
        </w:rPr>
        <w:t xml:space="preserve"> .</w:t>
      </w:r>
      <w:r w:rsidRPr="00923B1A">
        <w:rPr>
          <w:rFonts w:hint="cs"/>
          <w:color w:val="0000FF"/>
          <w:sz w:val="28"/>
          <w:szCs w:val="28"/>
          <w:rtl/>
        </w:rPr>
        <w:t xml:space="preserve"> أما القانون فقد نص في المادة 800 منه على مدى رجوع الكفيل على المدين وبين جميع عناصره وشروطها بحيث أصبح الكفيل في غني عن استعارة قواعد الوكالة أو الفضالة</w:t>
      </w:r>
      <w:r>
        <w:rPr>
          <w:rFonts w:hint="cs"/>
          <w:color w:val="0000FF"/>
          <w:sz w:val="28"/>
          <w:szCs w:val="28"/>
          <w:rtl/>
        </w:rPr>
        <w:t xml:space="preserve"> ،</w:t>
      </w:r>
      <w:r w:rsidRPr="00923B1A">
        <w:rPr>
          <w:rFonts w:hint="cs"/>
          <w:color w:val="0000FF"/>
          <w:sz w:val="28"/>
          <w:szCs w:val="28"/>
          <w:rtl/>
        </w:rPr>
        <w:t xml:space="preserve"> وأصبح يتعين بعد ذلك القول بأن الدعوى الشخصية التي يرجع بها الكفيل على المدين وفقاً للمادة 800 المذكورة هي دعوى الكفالة كما أن الدعوى الشخصية التي يرجع بها الوكيل على الموكل هي دعوى الوكالة</w:t>
      </w:r>
      <w:r>
        <w:rPr>
          <w:rFonts w:hint="cs"/>
          <w:color w:val="0000FF"/>
          <w:sz w:val="28"/>
          <w:szCs w:val="28"/>
          <w:rtl/>
        </w:rPr>
        <w:t xml:space="preserve"> ،</w:t>
      </w:r>
      <w:r w:rsidRPr="00923B1A">
        <w:rPr>
          <w:rFonts w:hint="cs"/>
          <w:color w:val="0000FF"/>
          <w:sz w:val="28"/>
          <w:szCs w:val="28"/>
          <w:rtl/>
        </w:rPr>
        <w:t xml:space="preserve"> وأن أساس هذه الدعوى نص القانون المبني على افتراض حصول الكفالة لمصلحة المدين</w:t>
      </w:r>
      <w:r>
        <w:rPr>
          <w:rFonts w:hint="cs"/>
          <w:color w:val="0000FF"/>
          <w:sz w:val="28"/>
          <w:szCs w:val="28"/>
          <w:rtl/>
        </w:rPr>
        <w:t xml:space="preserve"> .</w:t>
      </w:r>
      <w:r w:rsidRPr="00923B1A">
        <w:rPr>
          <w:rFonts w:hint="cs"/>
          <w:color w:val="0000FF"/>
          <w:sz w:val="28"/>
          <w:szCs w:val="28"/>
          <w:rtl/>
        </w:rPr>
        <w:t xml:space="preserve"> فإذا ثبت حصولها لمصلحة الدائن أو بالرغم من اعتراض المدين</w:t>
      </w:r>
      <w:r>
        <w:rPr>
          <w:rFonts w:hint="cs"/>
          <w:color w:val="0000FF"/>
          <w:sz w:val="28"/>
          <w:szCs w:val="28"/>
          <w:rtl/>
        </w:rPr>
        <w:t xml:space="preserve"> ،</w:t>
      </w:r>
      <w:r w:rsidRPr="00923B1A">
        <w:rPr>
          <w:rFonts w:hint="cs"/>
          <w:color w:val="0000FF"/>
          <w:sz w:val="28"/>
          <w:szCs w:val="28"/>
          <w:rtl/>
        </w:rPr>
        <w:t xml:space="preserve"> امتنع استعمال هذه الدعوى ولم يبق للكفيل إلا الرجوع بالدعوى الشخصية المستندة إلى القواعد العامة فوق حقه في الحلول محل الدائن" </w:t>
      </w:r>
      <w:r>
        <w:rPr>
          <w:rFonts w:hint="cs"/>
          <w:color w:val="0000FF"/>
          <w:sz w:val="28"/>
          <w:szCs w:val="28"/>
          <w:rtl/>
        </w:rPr>
        <w:t xml:space="preserve">( </w:t>
      </w:r>
      <w:r w:rsidRPr="00923B1A">
        <w:rPr>
          <w:rFonts w:hint="cs"/>
          <w:color w:val="0000FF"/>
          <w:sz w:val="28"/>
          <w:szCs w:val="28"/>
          <w:rtl/>
        </w:rPr>
        <w:t>سليمان مرقس فقرة 116</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وانظر أيضاً محمد علي إمام فقرة 135 </w:t>
      </w:r>
      <w:r w:rsidRPr="00923B1A">
        <w:rPr>
          <w:color w:val="0000FF"/>
          <w:sz w:val="28"/>
          <w:szCs w:val="28"/>
          <w:rtl/>
        </w:rPr>
        <w:t>–</w:t>
      </w:r>
      <w:r w:rsidRPr="00923B1A">
        <w:rPr>
          <w:rFonts w:hint="cs"/>
          <w:color w:val="0000FF"/>
          <w:sz w:val="28"/>
          <w:szCs w:val="28"/>
          <w:rtl/>
        </w:rPr>
        <w:t xml:space="preserve"> منصور مصطفى منصور فقرة 49</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على أن من الفقهاء المصريين من يتمشى مع الفقه الفرنسي</w:t>
      </w:r>
      <w:r>
        <w:rPr>
          <w:rFonts w:hint="cs"/>
          <w:color w:val="0000FF"/>
          <w:sz w:val="28"/>
          <w:szCs w:val="28"/>
          <w:rtl/>
        </w:rPr>
        <w:t xml:space="preserve"> ،</w:t>
      </w:r>
      <w:r w:rsidRPr="00923B1A">
        <w:rPr>
          <w:rFonts w:hint="cs"/>
          <w:color w:val="0000FF"/>
          <w:sz w:val="28"/>
          <w:szCs w:val="28"/>
          <w:rtl/>
        </w:rPr>
        <w:t xml:space="preserve"> فيقول الأستاذ محمد كامل مرسي</w:t>
      </w:r>
      <w:r>
        <w:rPr>
          <w:rFonts w:hint="cs"/>
          <w:color w:val="0000FF"/>
          <w:sz w:val="28"/>
          <w:szCs w:val="28"/>
          <w:rtl/>
        </w:rPr>
        <w:t xml:space="preserve"> :</w:t>
      </w:r>
      <w:r w:rsidRPr="00923B1A">
        <w:rPr>
          <w:rFonts w:hint="cs"/>
          <w:color w:val="0000FF"/>
          <w:sz w:val="28"/>
          <w:szCs w:val="28"/>
          <w:rtl/>
        </w:rPr>
        <w:t xml:space="preserve"> "فإذا كانت الكفالة بعلم المدين</w:t>
      </w:r>
      <w:r>
        <w:rPr>
          <w:rFonts w:hint="cs"/>
          <w:color w:val="0000FF"/>
          <w:sz w:val="28"/>
          <w:szCs w:val="28"/>
          <w:rtl/>
        </w:rPr>
        <w:t xml:space="preserve"> ،</w:t>
      </w:r>
      <w:r w:rsidRPr="00923B1A">
        <w:rPr>
          <w:rFonts w:hint="cs"/>
          <w:color w:val="0000FF"/>
          <w:sz w:val="28"/>
          <w:szCs w:val="28"/>
          <w:rtl/>
        </w:rPr>
        <w:t xml:space="preserve"> فيكون مبنى الرجوع الوكالة الصريحة أو الضمنية</w:t>
      </w:r>
      <w:r>
        <w:rPr>
          <w:rFonts w:hint="cs"/>
          <w:color w:val="0000FF"/>
          <w:sz w:val="28"/>
          <w:szCs w:val="28"/>
          <w:rtl/>
        </w:rPr>
        <w:t xml:space="preserve"> ،</w:t>
      </w:r>
      <w:r w:rsidRPr="00923B1A">
        <w:rPr>
          <w:rFonts w:hint="cs"/>
          <w:color w:val="0000FF"/>
          <w:sz w:val="28"/>
          <w:szCs w:val="28"/>
          <w:rtl/>
        </w:rPr>
        <w:t xml:space="preserve"> ويكون طلب الكفيل مبنيا على دعوى الوكالة </w:t>
      </w:r>
      <w:r>
        <w:rPr>
          <w:color w:val="0000FF"/>
          <w:sz w:val="28"/>
          <w:szCs w:val="28"/>
          <w:rtl/>
        </w:rPr>
        <w:t xml:space="preserve">( </w:t>
      </w:r>
      <w:r w:rsidRPr="00923B1A">
        <w:rPr>
          <w:color w:val="0000FF"/>
          <w:sz w:val="28"/>
          <w:szCs w:val="28"/>
        </w:rPr>
        <w:t>actis maudati contraria</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أما إذا حصلت الكفالة بغير علم المدين</w:t>
      </w:r>
      <w:r>
        <w:rPr>
          <w:rFonts w:hint="cs"/>
          <w:color w:val="0000FF"/>
          <w:sz w:val="28"/>
          <w:szCs w:val="28"/>
          <w:rtl/>
        </w:rPr>
        <w:t xml:space="preserve"> ،</w:t>
      </w:r>
      <w:r w:rsidRPr="00923B1A">
        <w:rPr>
          <w:rFonts w:hint="cs"/>
          <w:color w:val="0000FF"/>
          <w:sz w:val="28"/>
          <w:szCs w:val="28"/>
          <w:rtl/>
        </w:rPr>
        <w:t xml:space="preserve"> فيعتبر الكفيل أنه فضولي وتكون دعواه دعوى الفضولي </w:t>
      </w:r>
      <w:r>
        <w:rPr>
          <w:color w:val="0000FF"/>
          <w:sz w:val="28"/>
          <w:szCs w:val="28"/>
          <w:rtl/>
        </w:rPr>
        <w:t xml:space="preserve">( </w:t>
      </w:r>
      <w:r w:rsidRPr="00923B1A">
        <w:rPr>
          <w:color w:val="0000FF"/>
          <w:sz w:val="28"/>
          <w:szCs w:val="28"/>
        </w:rPr>
        <w:t>actio negotiorum gostrum contraria</w:t>
      </w:r>
      <w:r>
        <w:rPr>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محمد كامل مرسي فقرة 104 ص 140</w:t>
      </w:r>
      <w:r>
        <w:rPr>
          <w:rFonts w:hint="cs"/>
          <w:color w:val="0000FF"/>
          <w:sz w:val="28"/>
          <w:szCs w:val="28"/>
          <w:rtl/>
        </w:rPr>
        <w:t xml:space="preserve"> ) .</w:t>
      </w:r>
    </w:p>
  </w:footnote>
  <w:footnote w:id="35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547</w:t>
      </w:r>
      <w:r>
        <w:rPr>
          <w:rFonts w:hint="cs"/>
          <w:color w:val="0000FF"/>
          <w:sz w:val="28"/>
          <w:szCs w:val="28"/>
          <w:rtl/>
        </w:rPr>
        <w:t xml:space="preserve"> .</w:t>
      </w:r>
    </w:p>
  </w:footnote>
  <w:footnote w:id="35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1540 ص 992 </w:t>
      </w:r>
      <w:r w:rsidRPr="00923B1A">
        <w:rPr>
          <w:color w:val="0000FF"/>
          <w:sz w:val="28"/>
          <w:szCs w:val="28"/>
          <w:rtl/>
        </w:rPr>
        <w:t>–</w:t>
      </w:r>
      <w:r w:rsidRPr="00923B1A">
        <w:rPr>
          <w:rFonts w:hint="cs"/>
          <w:color w:val="0000FF"/>
          <w:sz w:val="28"/>
          <w:szCs w:val="28"/>
          <w:rtl/>
        </w:rPr>
        <w:t xml:space="preserve"> نقض مدني 28 يونيه سنة 1876 سيريه 76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448</w:t>
      </w:r>
      <w:r>
        <w:rPr>
          <w:rFonts w:hint="cs"/>
          <w:color w:val="0000FF"/>
          <w:sz w:val="28"/>
          <w:szCs w:val="28"/>
          <w:rtl/>
        </w:rPr>
        <w:t xml:space="preserve"> .</w:t>
      </w:r>
    </w:p>
  </w:footnote>
  <w:footnote w:id="36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181 </w:t>
      </w:r>
      <w:r w:rsidRPr="00923B1A">
        <w:rPr>
          <w:color w:val="0000FF"/>
          <w:sz w:val="28"/>
          <w:szCs w:val="28"/>
          <w:rtl/>
        </w:rPr>
        <w:t>–</w:t>
      </w:r>
      <w:r w:rsidRPr="00923B1A">
        <w:rPr>
          <w:rFonts w:hint="cs"/>
          <w:color w:val="0000FF"/>
          <w:sz w:val="28"/>
          <w:szCs w:val="28"/>
          <w:rtl/>
        </w:rPr>
        <w:t xml:space="preserve"> بودري وفال فقرة 1090 ص 575 </w:t>
      </w:r>
      <w:r w:rsidRPr="00923B1A">
        <w:rPr>
          <w:color w:val="0000FF"/>
          <w:sz w:val="28"/>
          <w:szCs w:val="28"/>
          <w:rtl/>
        </w:rPr>
        <w:t>–</w:t>
      </w:r>
      <w:r w:rsidRPr="00923B1A">
        <w:rPr>
          <w:rFonts w:hint="cs"/>
          <w:color w:val="0000FF"/>
          <w:sz w:val="28"/>
          <w:szCs w:val="28"/>
          <w:rtl/>
        </w:rPr>
        <w:t xml:space="preserve"> محمد كامل مرسي فقرة 107 ص 148 </w:t>
      </w:r>
      <w:r w:rsidRPr="00923B1A">
        <w:rPr>
          <w:color w:val="0000FF"/>
          <w:sz w:val="28"/>
          <w:szCs w:val="28"/>
          <w:rtl/>
        </w:rPr>
        <w:t>–</w:t>
      </w:r>
      <w:r w:rsidRPr="00923B1A">
        <w:rPr>
          <w:rFonts w:hint="cs"/>
          <w:color w:val="0000FF"/>
          <w:sz w:val="28"/>
          <w:szCs w:val="28"/>
          <w:rtl/>
        </w:rPr>
        <w:t xml:space="preserve"> عبد الفتاح عبد الباقي فقرة 104 ص 163</w:t>
      </w:r>
      <w:r>
        <w:rPr>
          <w:rFonts w:hint="cs"/>
          <w:color w:val="0000FF"/>
          <w:sz w:val="28"/>
          <w:szCs w:val="28"/>
          <w:rtl/>
        </w:rPr>
        <w:t xml:space="preserve"> .</w:t>
      </w:r>
    </w:p>
  </w:footnote>
  <w:footnote w:id="36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333 </w:t>
      </w:r>
      <w:r w:rsidRPr="00923B1A">
        <w:rPr>
          <w:color w:val="0000FF"/>
          <w:sz w:val="28"/>
          <w:szCs w:val="28"/>
          <w:rtl/>
        </w:rPr>
        <w:t>–</w:t>
      </w:r>
      <w:r w:rsidRPr="00923B1A">
        <w:rPr>
          <w:rFonts w:hint="cs"/>
          <w:color w:val="0000FF"/>
          <w:sz w:val="28"/>
          <w:szCs w:val="28"/>
          <w:rtl/>
        </w:rPr>
        <w:t xml:space="preserve"> بون 2 فقرة 231 </w:t>
      </w:r>
      <w:r w:rsidRPr="00923B1A">
        <w:rPr>
          <w:color w:val="0000FF"/>
          <w:sz w:val="28"/>
          <w:szCs w:val="28"/>
          <w:rtl/>
        </w:rPr>
        <w:t>–</w:t>
      </w:r>
      <w:r w:rsidRPr="00923B1A">
        <w:rPr>
          <w:rFonts w:hint="cs"/>
          <w:color w:val="0000FF"/>
          <w:sz w:val="28"/>
          <w:szCs w:val="28"/>
          <w:rtl/>
        </w:rPr>
        <w:t xml:space="preserve"> لوران 28 فقرة 238 </w:t>
      </w:r>
      <w:r w:rsidRPr="00923B1A">
        <w:rPr>
          <w:color w:val="0000FF"/>
          <w:sz w:val="28"/>
          <w:szCs w:val="28"/>
          <w:rtl/>
        </w:rPr>
        <w:t>–</w:t>
      </w:r>
      <w:r w:rsidRPr="00923B1A">
        <w:rPr>
          <w:rFonts w:hint="cs"/>
          <w:color w:val="0000FF"/>
          <w:sz w:val="28"/>
          <w:szCs w:val="28"/>
          <w:rtl/>
        </w:rPr>
        <w:t xml:space="preserve"> جيوار فقرة 168 </w:t>
      </w:r>
      <w:r w:rsidRPr="00923B1A">
        <w:rPr>
          <w:color w:val="0000FF"/>
          <w:sz w:val="28"/>
          <w:szCs w:val="28"/>
          <w:rtl/>
        </w:rPr>
        <w:t>–</w:t>
      </w:r>
      <w:r w:rsidRPr="00923B1A">
        <w:rPr>
          <w:rFonts w:hint="cs"/>
          <w:color w:val="0000FF"/>
          <w:sz w:val="28"/>
          <w:szCs w:val="28"/>
          <w:rtl/>
        </w:rPr>
        <w:t xml:space="preserve"> بودري وفال فقرة 1087</w:t>
      </w:r>
      <w:r>
        <w:rPr>
          <w:rFonts w:hint="cs"/>
          <w:color w:val="0000FF"/>
          <w:sz w:val="28"/>
          <w:szCs w:val="28"/>
          <w:rtl/>
        </w:rPr>
        <w:t xml:space="preserve"> .</w:t>
      </w:r>
    </w:p>
  </w:footnote>
  <w:footnote w:id="36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وإذا رضي الدائن بوفاء جزئي من الكفيل لإبراء ذمته</w:t>
      </w:r>
      <w:r>
        <w:rPr>
          <w:rFonts w:hint="cs"/>
          <w:color w:val="0000FF"/>
          <w:sz w:val="28"/>
          <w:szCs w:val="28"/>
          <w:rtl/>
        </w:rPr>
        <w:t xml:space="preserve"> ،</w:t>
      </w:r>
      <w:r w:rsidRPr="00923B1A">
        <w:rPr>
          <w:rFonts w:hint="cs"/>
          <w:color w:val="0000FF"/>
          <w:sz w:val="28"/>
          <w:szCs w:val="28"/>
          <w:rtl/>
        </w:rPr>
        <w:t xml:space="preserve"> لم يجرع الكفيل على المدين إلا بقدر ما دفعه للدائن </w:t>
      </w:r>
      <w:r>
        <w:rPr>
          <w:rFonts w:hint="cs"/>
          <w:color w:val="0000FF"/>
          <w:sz w:val="28"/>
          <w:szCs w:val="28"/>
          <w:rtl/>
        </w:rPr>
        <w:t xml:space="preserve">( </w:t>
      </w:r>
      <w:r w:rsidRPr="00923B1A">
        <w:rPr>
          <w:rFonts w:hint="cs"/>
          <w:color w:val="0000FF"/>
          <w:sz w:val="28"/>
          <w:szCs w:val="28"/>
          <w:rtl/>
        </w:rPr>
        <w:t>بلانيول وريبير وسافاتييه فقرة 1540 ص 992 هامش 5</w:t>
      </w:r>
      <w:r>
        <w:rPr>
          <w:rFonts w:hint="cs"/>
          <w:color w:val="0000FF"/>
          <w:sz w:val="28"/>
          <w:szCs w:val="28"/>
          <w:rtl/>
        </w:rPr>
        <w:t xml:space="preserve"> ) .</w:t>
      </w:r>
      <w:r w:rsidRPr="00923B1A">
        <w:rPr>
          <w:rFonts w:hint="cs"/>
          <w:color w:val="0000FF"/>
          <w:sz w:val="28"/>
          <w:szCs w:val="28"/>
          <w:rtl/>
        </w:rPr>
        <w:t xml:space="preserve"> أما إذا أبرأ الدائن الكفيل</w:t>
      </w:r>
      <w:r>
        <w:rPr>
          <w:rFonts w:hint="cs"/>
          <w:color w:val="0000FF"/>
          <w:sz w:val="28"/>
          <w:szCs w:val="28"/>
          <w:rtl/>
        </w:rPr>
        <w:t xml:space="preserve"> ،</w:t>
      </w:r>
      <w:r w:rsidRPr="00923B1A">
        <w:rPr>
          <w:rFonts w:hint="cs"/>
          <w:color w:val="0000FF"/>
          <w:sz w:val="28"/>
          <w:szCs w:val="28"/>
          <w:rtl/>
        </w:rPr>
        <w:t xml:space="preserve"> لا من الكفالة</w:t>
      </w:r>
      <w:r>
        <w:rPr>
          <w:rFonts w:hint="cs"/>
          <w:color w:val="0000FF"/>
          <w:sz w:val="28"/>
          <w:szCs w:val="28"/>
          <w:rtl/>
        </w:rPr>
        <w:t xml:space="preserve"> ،</w:t>
      </w:r>
      <w:r w:rsidRPr="00923B1A">
        <w:rPr>
          <w:rFonts w:hint="cs"/>
          <w:color w:val="0000FF"/>
          <w:sz w:val="28"/>
          <w:szCs w:val="28"/>
          <w:rtl/>
        </w:rPr>
        <w:t xml:space="preserve"> بل من الدين نفسه</w:t>
      </w:r>
      <w:r>
        <w:rPr>
          <w:rFonts w:hint="cs"/>
          <w:color w:val="0000FF"/>
          <w:sz w:val="28"/>
          <w:szCs w:val="28"/>
          <w:rtl/>
        </w:rPr>
        <w:t xml:space="preserve"> ،</w:t>
      </w:r>
      <w:r w:rsidRPr="00923B1A">
        <w:rPr>
          <w:rFonts w:hint="cs"/>
          <w:color w:val="0000FF"/>
          <w:sz w:val="28"/>
          <w:szCs w:val="28"/>
          <w:rtl/>
        </w:rPr>
        <w:t xml:space="preserve"> فإنه يكون في حكم من وهب الدين للكفيل ويعتبر الكفل أنه قد قضي الدين</w:t>
      </w:r>
      <w:r>
        <w:rPr>
          <w:rFonts w:hint="cs"/>
          <w:color w:val="0000FF"/>
          <w:sz w:val="28"/>
          <w:szCs w:val="28"/>
          <w:rtl/>
        </w:rPr>
        <w:t xml:space="preserve"> ،</w:t>
      </w:r>
      <w:r w:rsidRPr="00923B1A">
        <w:rPr>
          <w:rFonts w:hint="cs"/>
          <w:color w:val="0000FF"/>
          <w:sz w:val="28"/>
          <w:szCs w:val="28"/>
          <w:rtl/>
        </w:rPr>
        <w:t xml:space="preserve"> وعلى ذلك يجوز له الرجوع على المدين بالدعوى الشخصية </w:t>
      </w:r>
      <w:r>
        <w:rPr>
          <w:rFonts w:hint="cs"/>
          <w:color w:val="0000FF"/>
          <w:sz w:val="28"/>
          <w:szCs w:val="28"/>
          <w:rtl/>
        </w:rPr>
        <w:t xml:space="preserve">( </w:t>
      </w:r>
      <w:r w:rsidRPr="00923B1A">
        <w:rPr>
          <w:rFonts w:hint="cs"/>
          <w:color w:val="0000FF"/>
          <w:sz w:val="28"/>
          <w:szCs w:val="28"/>
          <w:rtl/>
        </w:rPr>
        <w:t xml:space="preserve">بون 2 فقرة 232 </w:t>
      </w:r>
      <w:r w:rsidRPr="00923B1A">
        <w:rPr>
          <w:color w:val="0000FF"/>
          <w:sz w:val="28"/>
          <w:szCs w:val="28"/>
          <w:rtl/>
        </w:rPr>
        <w:t>–</w:t>
      </w:r>
      <w:r w:rsidRPr="00923B1A">
        <w:rPr>
          <w:rFonts w:hint="cs"/>
          <w:color w:val="0000FF"/>
          <w:sz w:val="28"/>
          <w:szCs w:val="28"/>
          <w:rtl/>
        </w:rPr>
        <w:t xml:space="preserve"> جيوار فقرة 168 </w:t>
      </w:r>
      <w:r w:rsidRPr="00923B1A">
        <w:rPr>
          <w:color w:val="0000FF"/>
          <w:sz w:val="28"/>
          <w:szCs w:val="28"/>
          <w:rtl/>
        </w:rPr>
        <w:t>–</w:t>
      </w:r>
      <w:r w:rsidRPr="00923B1A">
        <w:rPr>
          <w:rFonts w:hint="cs"/>
          <w:color w:val="0000FF"/>
          <w:sz w:val="28"/>
          <w:szCs w:val="28"/>
          <w:rtl/>
        </w:rPr>
        <w:t xml:space="preserve"> بودري وفال فقرة 1091 </w:t>
      </w:r>
      <w:r w:rsidRPr="00923B1A">
        <w:rPr>
          <w:color w:val="0000FF"/>
          <w:sz w:val="28"/>
          <w:szCs w:val="28"/>
          <w:rtl/>
        </w:rPr>
        <w:t>–</w:t>
      </w:r>
      <w:r w:rsidRPr="00923B1A">
        <w:rPr>
          <w:rFonts w:hint="cs"/>
          <w:color w:val="0000FF"/>
          <w:sz w:val="28"/>
          <w:szCs w:val="28"/>
          <w:rtl/>
        </w:rPr>
        <w:t xml:space="preserve"> محمد كامل مرسي فقرة 107 ص 148</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وإذا اتفق احد الكفلاء مع المدين على عدم رجوع الأول على الثاني أو على الانتقاص من هذا الرجوع</w:t>
      </w:r>
      <w:r>
        <w:rPr>
          <w:rFonts w:hint="cs"/>
          <w:color w:val="0000FF"/>
          <w:sz w:val="28"/>
          <w:szCs w:val="28"/>
          <w:rtl/>
        </w:rPr>
        <w:t xml:space="preserve"> ،</w:t>
      </w:r>
      <w:r w:rsidRPr="00923B1A">
        <w:rPr>
          <w:rFonts w:hint="cs"/>
          <w:color w:val="0000FF"/>
          <w:sz w:val="28"/>
          <w:szCs w:val="28"/>
          <w:rtl/>
        </w:rPr>
        <w:t xml:space="preserve"> فإن هذا الاتفاق لا يسري في حق الكفلاء الآخرين لأنهم لم يكونوا طرفاً فيه</w:t>
      </w:r>
      <w:r>
        <w:rPr>
          <w:rFonts w:hint="cs"/>
          <w:color w:val="0000FF"/>
          <w:sz w:val="28"/>
          <w:szCs w:val="28"/>
          <w:rtl/>
        </w:rPr>
        <w:t xml:space="preserve"> ،</w:t>
      </w:r>
      <w:r w:rsidRPr="00923B1A">
        <w:rPr>
          <w:rFonts w:hint="cs"/>
          <w:color w:val="0000FF"/>
          <w:sz w:val="28"/>
          <w:szCs w:val="28"/>
          <w:rtl/>
        </w:rPr>
        <w:t xml:space="preserve"> بل يجوز لهم أن يرجعوا رجوعاً كاملا على المدين إذا هم وفوا الدين للدائن </w:t>
      </w:r>
      <w:r>
        <w:rPr>
          <w:rFonts w:hint="cs"/>
          <w:color w:val="0000FF"/>
          <w:sz w:val="28"/>
          <w:szCs w:val="28"/>
          <w:rtl/>
        </w:rPr>
        <w:t xml:space="preserve">( </w:t>
      </w:r>
      <w:r w:rsidRPr="00923B1A">
        <w:rPr>
          <w:rFonts w:hint="cs"/>
          <w:color w:val="0000FF"/>
          <w:sz w:val="28"/>
          <w:szCs w:val="28"/>
          <w:rtl/>
        </w:rPr>
        <w:t xml:space="preserve">بودري وفال فقرة 1091 مكررة </w:t>
      </w:r>
      <w:r w:rsidRPr="00923B1A">
        <w:rPr>
          <w:color w:val="0000FF"/>
          <w:sz w:val="28"/>
          <w:szCs w:val="28"/>
          <w:rtl/>
        </w:rPr>
        <w:t>–</w:t>
      </w:r>
      <w:r w:rsidRPr="00923B1A">
        <w:rPr>
          <w:rFonts w:hint="cs"/>
          <w:color w:val="0000FF"/>
          <w:sz w:val="28"/>
          <w:szCs w:val="28"/>
          <w:rtl/>
        </w:rPr>
        <w:t xml:space="preserve"> محمد كامل مرسي فقرة 107 ص 148</w:t>
      </w:r>
      <w:r>
        <w:rPr>
          <w:rFonts w:hint="cs"/>
          <w:color w:val="0000FF"/>
          <w:sz w:val="28"/>
          <w:szCs w:val="28"/>
          <w:rtl/>
        </w:rPr>
        <w:t xml:space="preserve"> ) .</w:t>
      </w:r>
    </w:p>
  </w:footnote>
  <w:footnote w:id="36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وتنص المادة 1081 من قانون الموجبات والعقود اللبناني على ما يأتي</w:t>
      </w:r>
      <w:r>
        <w:rPr>
          <w:rFonts w:hint="cs"/>
          <w:color w:val="0000FF"/>
          <w:sz w:val="28"/>
          <w:szCs w:val="28"/>
          <w:rtl/>
        </w:rPr>
        <w:t xml:space="preserve"> :</w:t>
      </w:r>
      <w:r w:rsidRPr="00923B1A">
        <w:rPr>
          <w:rFonts w:hint="cs"/>
          <w:color w:val="0000FF"/>
          <w:sz w:val="28"/>
          <w:szCs w:val="28"/>
          <w:rtl/>
        </w:rPr>
        <w:t xml:space="preserve"> "ليس الكفيل الذي دفع قبل الاستحقاق أن يرجع على المديون إلا في موعد استحقاق الموجب الأصلي"</w:t>
      </w:r>
      <w:r>
        <w:rPr>
          <w:rFonts w:hint="cs"/>
          <w:color w:val="0000FF"/>
          <w:sz w:val="28"/>
          <w:szCs w:val="28"/>
          <w:rtl/>
        </w:rPr>
        <w:t xml:space="preserve"> .</w:t>
      </w:r>
    </w:p>
  </w:footnote>
  <w:footnote w:id="36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301 </w:t>
      </w:r>
      <w:r w:rsidRPr="00923B1A">
        <w:rPr>
          <w:color w:val="0000FF"/>
          <w:sz w:val="28"/>
          <w:szCs w:val="28"/>
          <w:rtl/>
        </w:rPr>
        <w:t>–</w:t>
      </w:r>
      <w:r w:rsidRPr="00923B1A">
        <w:rPr>
          <w:rFonts w:hint="cs"/>
          <w:color w:val="0000FF"/>
          <w:sz w:val="28"/>
          <w:szCs w:val="28"/>
          <w:rtl/>
        </w:rPr>
        <w:t xml:space="preserve"> لوران 28 فقرة 260 </w:t>
      </w:r>
      <w:r w:rsidRPr="00923B1A">
        <w:rPr>
          <w:color w:val="0000FF"/>
          <w:sz w:val="28"/>
          <w:szCs w:val="28"/>
          <w:rtl/>
        </w:rPr>
        <w:t>–</w:t>
      </w:r>
      <w:r w:rsidRPr="00923B1A">
        <w:rPr>
          <w:rFonts w:hint="cs"/>
          <w:color w:val="0000FF"/>
          <w:sz w:val="28"/>
          <w:szCs w:val="28"/>
          <w:rtl/>
        </w:rPr>
        <w:t xml:space="preserve"> بودري وفال فقرة 1092 محمد كامل مرسي فقرة 103 ص 139 هامش 1</w:t>
      </w:r>
      <w:r>
        <w:rPr>
          <w:rFonts w:hint="cs"/>
          <w:color w:val="0000FF"/>
          <w:sz w:val="28"/>
          <w:szCs w:val="28"/>
          <w:rtl/>
        </w:rPr>
        <w:t xml:space="preserve"> .</w:t>
      </w:r>
    </w:p>
  </w:footnote>
  <w:footnote w:id="36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252 </w:t>
      </w:r>
      <w:r w:rsidRPr="00923B1A">
        <w:rPr>
          <w:color w:val="0000FF"/>
          <w:sz w:val="28"/>
          <w:szCs w:val="28"/>
          <w:rtl/>
        </w:rPr>
        <w:t>–</w:t>
      </w:r>
      <w:r w:rsidRPr="00923B1A">
        <w:rPr>
          <w:rFonts w:hint="cs"/>
          <w:color w:val="0000FF"/>
          <w:sz w:val="28"/>
          <w:szCs w:val="28"/>
          <w:rtl/>
        </w:rPr>
        <w:t xml:space="preserve"> بودري وفال فقرة 1093</w:t>
      </w:r>
      <w:r>
        <w:rPr>
          <w:rFonts w:hint="cs"/>
          <w:color w:val="0000FF"/>
          <w:sz w:val="28"/>
          <w:szCs w:val="28"/>
          <w:rtl/>
        </w:rPr>
        <w:t xml:space="preserve"> .</w:t>
      </w:r>
    </w:p>
  </w:footnote>
  <w:footnote w:id="36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أما إذا نزل المدين عن الأجل الأصلي</w:t>
      </w:r>
      <w:r>
        <w:rPr>
          <w:rFonts w:hint="cs"/>
          <w:color w:val="0000FF"/>
          <w:sz w:val="28"/>
          <w:szCs w:val="28"/>
          <w:rtl/>
        </w:rPr>
        <w:t xml:space="preserve"> ،</w:t>
      </w:r>
      <w:r w:rsidRPr="00923B1A">
        <w:rPr>
          <w:rFonts w:hint="cs"/>
          <w:color w:val="0000FF"/>
          <w:sz w:val="28"/>
          <w:szCs w:val="28"/>
          <w:rtl/>
        </w:rPr>
        <w:t xml:space="preserve"> فإنه يجوز للكفيل التمسك بهذا النزول</w:t>
      </w:r>
      <w:r>
        <w:rPr>
          <w:rFonts w:hint="cs"/>
          <w:color w:val="0000FF"/>
          <w:sz w:val="28"/>
          <w:szCs w:val="28"/>
          <w:rtl/>
        </w:rPr>
        <w:t xml:space="preserve"> ،</w:t>
      </w:r>
      <w:r w:rsidRPr="00923B1A">
        <w:rPr>
          <w:rFonts w:hint="cs"/>
          <w:color w:val="0000FF"/>
          <w:sz w:val="28"/>
          <w:szCs w:val="28"/>
          <w:rtl/>
        </w:rPr>
        <w:t xml:space="preserve"> وله إذا وفى الدين فورا أن يرجع على المدين بالدعوى الشخصية </w:t>
      </w:r>
      <w:r>
        <w:rPr>
          <w:rFonts w:hint="cs"/>
          <w:color w:val="0000FF"/>
          <w:sz w:val="28"/>
          <w:szCs w:val="28"/>
          <w:rtl/>
        </w:rPr>
        <w:t xml:space="preserve">( </w:t>
      </w:r>
      <w:r w:rsidRPr="00923B1A">
        <w:rPr>
          <w:rFonts w:hint="cs"/>
          <w:color w:val="0000FF"/>
          <w:sz w:val="28"/>
          <w:szCs w:val="28"/>
          <w:rtl/>
        </w:rPr>
        <w:t xml:space="preserve">عبد الفتاح عبد الباقي فقرة 107 ص 169 </w:t>
      </w:r>
      <w:r w:rsidRPr="00923B1A">
        <w:rPr>
          <w:color w:val="0000FF"/>
          <w:sz w:val="28"/>
          <w:szCs w:val="28"/>
          <w:rtl/>
        </w:rPr>
        <w:t>–</w:t>
      </w:r>
      <w:r w:rsidRPr="00923B1A">
        <w:rPr>
          <w:rFonts w:hint="cs"/>
          <w:color w:val="0000FF"/>
          <w:sz w:val="28"/>
          <w:szCs w:val="28"/>
          <w:rtl/>
        </w:rPr>
        <w:t xml:space="preserve"> سليمان مرقس فقرة 109 </w:t>
      </w:r>
      <w:r w:rsidRPr="00923B1A">
        <w:rPr>
          <w:color w:val="0000FF"/>
          <w:sz w:val="28"/>
          <w:szCs w:val="28"/>
          <w:rtl/>
        </w:rPr>
        <w:t>–</w:t>
      </w:r>
      <w:r w:rsidRPr="00923B1A">
        <w:rPr>
          <w:rFonts w:hint="cs"/>
          <w:color w:val="0000FF"/>
          <w:sz w:val="28"/>
          <w:szCs w:val="28"/>
          <w:rtl/>
        </w:rPr>
        <w:t xml:space="preserve"> منصور مصطفى منصور فقرة 51 ص 101</w:t>
      </w:r>
      <w:r>
        <w:rPr>
          <w:rFonts w:hint="cs"/>
          <w:color w:val="0000FF"/>
          <w:sz w:val="28"/>
          <w:szCs w:val="28"/>
          <w:rtl/>
        </w:rPr>
        <w:t xml:space="preserve"> ) .</w:t>
      </w:r>
    </w:p>
  </w:footnote>
  <w:footnote w:id="36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59</w:t>
      </w:r>
      <w:r>
        <w:rPr>
          <w:rFonts w:hint="cs"/>
          <w:color w:val="0000FF"/>
          <w:sz w:val="28"/>
          <w:szCs w:val="28"/>
          <w:rtl/>
        </w:rPr>
        <w:t xml:space="preserve"> .</w:t>
      </w:r>
    </w:p>
  </w:footnote>
  <w:footnote w:id="36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تساءل أحد الأعضاء في لجنة الأستاذ كامل صدقي "عما إذا كان هناك محل النص على الطريقة التي يتم بها الإخطار"</w:t>
      </w:r>
      <w:r>
        <w:rPr>
          <w:rFonts w:hint="cs"/>
          <w:color w:val="0000FF"/>
          <w:sz w:val="28"/>
          <w:szCs w:val="28"/>
          <w:rtl/>
        </w:rPr>
        <w:t xml:space="preserve"> .</w:t>
      </w:r>
      <w:r w:rsidRPr="00923B1A">
        <w:rPr>
          <w:rFonts w:hint="cs"/>
          <w:color w:val="0000FF"/>
          <w:sz w:val="28"/>
          <w:szCs w:val="28"/>
          <w:rtl/>
        </w:rPr>
        <w:t xml:space="preserve"> فرد عضو آخر "بأنه لما كان تطبيق المادة 619 من التقنين المدني المختلط لم يثر أية صعوبة في العمل</w:t>
      </w:r>
      <w:r>
        <w:rPr>
          <w:rFonts w:hint="cs"/>
          <w:color w:val="0000FF"/>
          <w:sz w:val="28"/>
          <w:szCs w:val="28"/>
          <w:rtl/>
        </w:rPr>
        <w:t xml:space="preserve"> ،</w:t>
      </w:r>
      <w:r w:rsidRPr="00923B1A">
        <w:rPr>
          <w:rFonts w:hint="cs"/>
          <w:color w:val="0000FF"/>
          <w:sz w:val="28"/>
          <w:szCs w:val="28"/>
          <w:rtl/>
        </w:rPr>
        <w:t xml:space="preserve"> فليس هناك محل لإيراد نص خاص لبيان طريقة الإخطار</w:t>
      </w:r>
      <w:r>
        <w:rPr>
          <w:rFonts w:hint="cs"/>
          <w:color w:val="0000FF"/>
          <w:sz w:val="28"/>
          <w:szCs w:val="28"/>
          <w:rtl/>
        </w:rPr>
        <w:t xml:space="preserve"> ،</w:t>
      </w:r>
      <w:r w:rsidRPr="00923B1A">
        <w:rPr>
          <w:rFonts w:hint="cs"/>
          <w:color w:val="0000FF"/>
          <w:sz w:val="28"/>
          <w:szCs w:val="28"/>
          <w:rtl/>
        </w:rPr>
        <w:t xml:space="preserve"> إذ المفروض أنه سيتم ويثبت طبقا للنظام الذي جرى عليه القضاء</w:t>
      </w:r>
      <w:r>
        <w:rPr>
          <w:rFonts w:hint="cs"/>
          <w:color w:val="0000FF"/>
          <w:sz w:val="28"/>
          <w:szCs w:val="28"/>
          <w:rtl/>
        </w:rPr>
        <w:t xml:space="preserve"> .</w:t>
      </w:r>
      <w:r w:rsidRPr="00923B1A">
        <w:rPr>
          <w:rFonts w:hint="cs"/>
          <w:color w:val="0000FF"/>
          <w:sz w:val="28"/>
          <w:szCs w:val="28"/>
          <w:rtl/>
        </w:rPr>
        <w:t xml:space="preserve"> فعقب الرئيس على ذلك بأنه يمكن اعتبار الخطابات وسيلة من وسائل الإخطار" فوافقت اللجنة على ذلك </w:t>
      </w:r>
      <w:r>
        <w:rPr>
          <w:rFonts w:hint="cs"/>
          <w:color w:val="0000FF"/>
          <w:sz w:val="28"/>
          <w:szCs w:val="28"/>
          <w:rtl/>
        </w:rPr>
        <w:t xml:space="preserve">( </w:t>
      </w:r>
      <w:r w:rsidRPr="00923B1A">
        <w:rPr>
          <w:rFonts w:hint="cs"/>
          <w:color w:val="0000FF"/>
          <w:sz w:val="28"/>
          <w:szCs w:val="28"/>
          <w:rtl/>
        </w:rPr>
        <w:t>مجموعة الأعمال التحضيرية 5 ص 539 في الهامش</w:t>
      </w:r>
      <w:r>
        <w:rPr>
          <w:rFonts w:hint="cs"/>
          <w:color w:val="0000FF"/>
          <w:sz w:val="28"/>
          <w:szCs w:val="28"/>
          <w:rtl/>
        </w:rPr>
        <w:t xml:space="preserve"> ) .</w:t>
      </w:r>
    </w:p>
  </w:footnote>
  <w:footnote w:id="36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382 </w:t>
      </w:r>
      <w:r w:rsidRPr="00923B1A">
        <w:rPr>
          <w:color w:val="0000FF"/>
          <w:sz w:val="28"/>
          <w:szCs w:val="28"/>
          <w:rtl/>
        </w:rPr>
        <w:t>–</w:t>
      </w:r>
      <w:r w:rsidRPr="00923B1A">
        <w:rPr>
          <w:rFonts w:hint="cs"/>
          <w:color w:val="0000FF"/>
          <w:sz w:val="28"/>
          <w:szCs w:val="28"/>
          <w:rtl/>
        </w:rPr>
        <w:t xml:space="preserve"> جيوار فقرة 178 </w:t>
      </w:r>
      <w:r w:rsidRPr="00923B1A">
        <w:rPr>
          <w:color w:val="0000FF"/>
          <w:sz w:val="28"/>
          <w:szCs w:val="28"/>
          <w:rtl/>
        </w:rPr>
        <w:t>–</w:t>
      </w:r>
      <w:r w:rsidRPr="00923B1A">
        <w:rPr>
          <w:rFonts w:hint="cs"/>
          <w:color w:val="0000FF"/>
          <w:sz w:val="28"/>
          <w:szCs w:val="28"/>
          <w:rtl/>
        </w:rPr>
        <w:t xml:space="preserve"> بودري وفال فقرة 1089 ص 574 </w:t>
      </w:r>
      <w:r w:rsidRPr="00923B1A">
        <w:rPr>
          <w:color w:val="0000FF"/>
          <w:sz w:val="28"/>
          <w:szCs w:val="28"/>
          <w:rtl/>
        </w:rPr>
        <w:t>–</w:t>
      </w:r>
      <w:r w:rsidRPr="00923B1A">
        <w:rPr>
          <w:rFonts w:hint="cs"/>
          <w:color w:val="0000FF"/>
          <w:sz w:val="28"/>
          <w:szCs w:val="28"/>
          <w:rtl/>
        </w:rPr>
        <w:t xml:space="preserve"> بلانيول وريبير وسافاتييه فقرة 1542</w:t>
      </w:r>
      <w:r>
        <w:rPr>
          <w:rFonts w:hint="cs"/>
          <w:color w:val="0000FF"/>
          <w:sz w:val="28"/>
          <w:szCs w:val="28"/>
          <w:rtl/>
        </w:rPr>
        <w:t xml:space="preserve"> .</w:t>
      </w:r>
    </w:p>
  </w:footnote>
  <w:footnote w:id="37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وفيما يتعلق بتقادم الدين الأصلي إذا علم به الكفيل</w:t>
      </w:r>
      <w:r>
        <w:rPr>
          <w:rFonts w:hint="cs"/>
          <w:color w:val="0000FF"/>
          <w:sz w:val="28"/>
          <w:szCs w:val="28"/>
          <w:rtl/>
        </w:rPr>
        <w:t xml:space="preserve"> ،</w:t>
      </w:r>
      <w:r w:rsidRPr="00923B1A">
        <w:rPr>
          <w:rFonts w:hint="cs"/>
          <w:color w:val="0000FF"/>
          <w:sz w:val="28"/>
          <w:szCs w:val="28"/>
          <w:rtl/>
        </w:rPr>
        <w:t xml:space="preserve"> لا يجبر هذا الأخير على التمسك به شخصيا لأنه أمر يتعلق بالضمير</w:t>
      </w:r>
      <w:r>
        <w:rPr>
          <w:rFonts w:hint="cs"/>
          <w:color w:val="0000FF"/>
          <w:sz w:val="28"/>
          <w:szCs w:val="28"/>
          <w:rtl/>
        </w:rPr>
        <w:t xml:space="preserve"> ،</w:t>
      </w:r>
      <w:r w:rsidRPr="00923B1A">
        <w:rPr>
          <w:rFonts w:hint="cs"/>
          <w:color w:val="0000FF"/>
          <w:sz w:val="28"/>
          <w:szCs w:val="28"/>
          <w:rtl/>
        </w:rPr>
        <w:t xml:space="preserve"> وإنما يجب على الكفيل أن يدخل المدين في الدعوى يتمسك هو بالقادم إذا أراد </w:t>
      </w:r>
      <w:r>
        <w:rPr>
          <w:rFonts w:hint="cs"/>
          <w:color w:val="0000FF"/>
          <w:sz w:val="28"/>
          <w:szCs w:val="28"/>
          <w:rtl/>
        </w:rPr>
        <w:t xml:space="preserve">( </w:t>
      </w:r>
      <w:r w:rsidRPr="00923B1A">
        <w:rPr>
          <w:rFonts w:hint="cs"/>
          <w:color w:val="0000FF"/>
          <w:sz w:val="28"/>
          <w:szCs w:val="28"/>
          <w:rtl/>
        </w:rPr>
        <w:t xml:space="preserve">بودري وفال فقرة 1090 ص 575 </w:t>
      </w:r>
      <w:r w:rsidRPr="00923B1A">
        <w:rPr>
          <w:color w:val="0000FF"/>
          <w:sz w:val="28"/>
          <w:szCs w:val="28"/>
          <w:rtl/>
        </w:rPr>
        <w:t>–</w:t>
      </w:r>
      <w:r w:rsidRPr="00923B1A">
        <w:rPr>
          <w:rFonts w:hint="cs"/>
          <w:color w:val="0000FF"/>
          <w:sz w:val="28"/>
          <w:szCs w:val="28"/>
          <w:rtl/>
        </w:rPr>
        <w:t xml:space="preserve"> محمد كامل مرسي فقرة 107 ص 147</w:t>
      </w:r>
      <w:r>
        <w:rPr>
          <w:rFonts w:hint="cs"/>
          <w:color w:val="0000FF"/>
          <w:sz w:val="28"/>
          <w:szCs w:val="28"/>
          <w:rtl/>
        </w:rPr>
        <w:t xml:space="preserve"> ) .</w:t>
      </w:r>
    </w:p>
  </w:footnote>
  <w:footnote w:id="37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180 </w:t>
      </w:r>
      <w:r w:rsidRPr="00923B1A">
        <w:rPr>
          <w:color w:val="0000FF"/>
          <w:sz w:val="28"/>
          <w:szCs w:val="28"/>
          <w:rtl/>
        </w:rPr>
        <w:t>–</w:t>
      </w:r>
      <w:r w:rsidRPr="00923B1A">
        <w:rPr>
          <w:rFonts w:hint="cs"/>
          <w:color w:val="0000FF"/>
          <w:sz w:val="28"/>
          <w:szCs w:val="28"/>
          <w:rtl/>
        </w:rPr>
        <w:t xml:space="preserve"> بودري وفال فقرة 1090 </w:t>
      </w:r>
      <w:r w:rsidRPr="00923B1A">
        <w:rPr>
          <w:color w:val="0000FF"/>
          <w:sz w:val="28"/>
          <w:szCs w:val="28"/>
          <w:rtl/>
        </w:rPr>
        <w:t>–</w:t>
      </w:r>
      <w:r w:rsidRPr="00923B1A">
        <w:rPr>
          <w:rFonts w:hint="cs"/>
          <w:color w:val="0000FF"/>
          <w:sz w:val="28"/>
          <w:szCs w:val="28"/>
          <w:rtl/>
        </w:rPr>
        <w:t xml:space="preserve"> محمد كامل مرسي فقرة 107 ص 147 </w:t>
      </w:r>
      <w:r w:rsidRPr="00923B1A">
        <w:rPr>
          <w:color w:val="0000FF"/>
          <w:sz w:val="28"/>
          <w:szCs w:val="28"/>
          <w:rtl/>
        </w:rPr>
        <w:t>–</w:t>
      </w:r>
      <w:r w:rsidRPr="00923B1A">
        <w:rPr>
          <w:rFonts w:hint="cs"/>
          <w:color w:val="0000FF"/>
          <w:sz w:val="28"/>
          <w:szCs w:val="28"/>
          <w:rtl/>
        </w:rPr>
        <w:t xml:space="preserve"> عبد الفتاح عبد الباقي فقرة 104 ص 164</w:t>
      </w:r>
      <w:r>
        <w:rPr>
          <w:rFonts w:hint="cs"/>
          <w:color w:val="0000FF"/>
          <w:sz w:val="28"/>
          <w:szCs w:val="28"/>
          <w:rtl/>
        </w:rPr>
        <w:t xml:space="preserve"> .</w:t>
      </w:r>
    </w:p>
  </w:footnote>
  <w:footnote w:id="37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فإذا لم يستطع الكيل الرجوع أصلا على المدين</w:t>
      </w:r>
      <w:r>
        <w:rPr>
          <w:rFonts w:hint="cs"/>
          <w:color w:val="0000FF"/>
          <w:sz w:val="28"/>
          <w:szCs w:val="28"/>
          <w:rtl/>
        </w:rPr>
        <w:t xml:space="preserve"> ،</w:t>
      </w:r>
      <w:r w:rsidRPr="00923B1A">
        <w:rPr>
          <w:rFonts w:hint="cs"/>
          <w:color w:val="0000FF"/>
          <w:sz w:val="28"/>
          <w:szCs w:val="28"/>
          <w:rtl/>
        </w:rPr>
        <w:t xml:space="preserve"> أو لم يستطع إلا الرجوع عليه رجوعاً جزئياً</w:t>
      </w:r>
      <w:r>
        <w:rPr>
          <w:rFonts w:hint="cs"/>
          <w:color w:val="0000FF"/>
          <w:sz w:val="28"/>
          <w:szCs w:val="28"/>
          <w:rtl/>
        </w:rPr>
        <w:t xml:space="preserve"> ،</w:t>
      </w:r>
      <w:r w:rsidRPr="00923B1A">
        <w:rPr>
          <w:rFonts w:hint="cs"/>
          <w:color w:val="0000FF"/>
          <w:sz w:val="28"/>
          <w:szCs w:val="28"/>
          <w:rtl/>
        </w:rPr>
        <w:t xml:space="preserve"> رجع على الدائن نفسه وذلك بدعوى استرداد ما دفع دون حق</w:t>
      </w:r>
      <w:r>
        <w:rPr>
          <w:rFonts w:hint="cs"/>
          <w:color w:val="0000FF"/>
          <w:sz w:val="28"/>
          <w:szCs w:val="28"/>
          <w:rtl/>
        </w:rPr>
        <w:t xml:space="preserve"> .</w:t>
      </w:r>
      <w:r w:rsidRPr="00923B1A">
        <w:rPr>
          <w:rFonts w:hint="cs"/>
          <w:color w:val="0000FF"/>
          <w:sz w:val="28"/>
          <w:szCs w:val="28"/>
          <w:rtl/>
        </w:rPr>
        <w:t xml:space="preserve"> انظر المادة 2031 مدني فرنسي حيث ورد في آخر كل من فقرتيها عبارة </w:t>
      </w:r>
      <w:r>
        <w:rPr>
          <w:color w:val="0000FF"/>
          <w:sz w:val="28"/>
          <w:szCs w:val="28"/>
          <w:rtl/>
        </w:rPr>
        <w:t xml:space="preserve">( </w:t>
      </w:r>
      <w:r w:rsidRPr="00923B1A">
        <w:rPr>
          <w:color w:val="0000FF"/>
          <w:sz w:val="28"/>
          <w:szCs w:val="28"/>
        </w:rPr>
        <w:t>sauf son action en repetition contre le creancir</w:t>
      </w:r>
      <w:r>
        <w:rPr>
          <w:color w:val="0000FF"/>
          <w:sz w:val="28"/>
          <w:szCs w:val="28"/>
          <w:rtl/>
        </w:rPr>
        <w:t xml:space="preserve"> )</w:t>
      </w:r>
      <w:r w:rsidRPr="00923B1A">
        <w:rPr>
          <w:rFonts w:hint="cs"/>
          <w:color w:val="0000FF"/>
          <w:sz w:val="28"/>
          <w:szCs w:val="28"/>
          <w:rtl/>
        </w:rPr>
        <w:t xml:space="preserve"> وانظر بلانيول وريبير وسافاتييه فقرة 1542 </w:t>
      </w:r>
      <w:r w:rsidRPr="00923B1A">
        <w:rPr>
          <w:color w:val="0000FF"/>
          <w:sz w:val="28"/>
          <w:szCs w:val="28"/>
          <w:rtl/>
        </w:rPr>
        <w:t>–</w:t>
      </w:r>
      <w:r w:rsidRPr="00923B1A">
        <w:rPr>
          <w:rFonts w:hint="cs"/>
          <w:color w:val="0000FF"/>
          <w:sz w:val="28"/>
          <w:szCs w:val="28"/>
          <w:rtl/>
        </w:rPr>
        <w:t xml:space="preserve"> ولا يرجع الكفيل على الدائن</w:t>
      </w:r>
      <w:r>
        <w:rPr>
          <w:rFonts w:hint="cs"/>
          <w:color w:val="0000FF"/>
          <w:sz w:val="28"/>
          <w:szCs w:val="28"/>
          <w:rtl/>
        </w:rPr>
        <w:t xml:space="preserve"> ،</w:t>
      </w:r>
      <w:r w:rsidRPr="00923B1A">
        <w:rPr>
          <w:rFonts w:hint="cs"/>
          <w:color w:val="0000FF"/>
          <w:sz w:val="28"/>
          <w:szCs w:val="28"/>
          <w:rtl/>
        </w:rPr>
        <w:t xml:space="preserve"> إذا هو دفع عن طواعية وهو عالم بأن الدين قد تقادم </w:t>
      </w:r>
      <w:r>
        <w:rPr>
          <w:rFonts w:hint="cs"/>
          <w:color w:val="0000FF"/>
          <w:sz w:val="28"/>
          <w:szCs w:val="28"/>
          <w:rtl/>
        </w:rPr>
        <w:t xml:space="preserve">( </w:t>
      </w:r>
      <w:r w:rsidRPr="00923B1A">
        <w:rPr>
          <w:rFonts w:hint="cs"/>
          <w:color w:val="0000FF"/>
          <w:sz w:val="28"/>
          <w:szCs w:val="28"/>
          <w:rtl/>
        </w:rPr>
        <w:t>أوبري ورو 6 فقرة 427 ص 291 هامش 18</w:t>
      </w:r>
      <w:r>
        <w:rPr>
          <w:rFonts w:hint="cs"/>
          <w:color w:val="0000FF"/>
          <w:sz w:val="28"/>
          <w:szCs w:val="28"/>
          <w:rtl/>
        </w:rPr>
        <w:t xml:space="preserve"> ) .</w:t>
      </w:r>
      <w:r w:rsidRPr="00923B1A">
        <w:rPr>
          <w:rFonts w:hint="cs"/>
          <w:color w:val="0000FF"/>
          <w:sz w:val="28"/>
          <w:szCs w:val="28"/>
          <w:rtl/>
        </w:rPr>
        <w:t xml:space="preserve"> وانظر عبد الفتاح عبد الباقي فقرة 104 ص 164</w:t>
      </w:r>
      <w:r>
        <w:rPr>
          <w:rFonts w:hint="cs"/>
          <w:color w:val="0000FF"/>
          <w:sz w:val="28"/>
          <w:szCs w:val="28"/>
          <w:rtl/>
        </w:rPr>
        <w:t xml:space="preserve"> .</w:t>
      </w:r>
    </w:p>
  </w:footnote>
  <w:footnote w:id="37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وللكفيل أن يبقى الدين للدائن بالرغم من معارضة المدين</w:t>
      </w:r>
      <w:r>
        <w:rPr>
          <w:rFonts w:hint="cs"/>
          <w:color w:val="0000FF"/>
          <w:sz w:val="28"/>
          <w:szCs w:val="28"/>
          <w:rtl/>
        </w:rPr>
        <w:t xml:space="preserve"> ،</w:t>
      </w:r>
      <w:r w:rsidRPr="00923B1A">
        <w:rPr>
          <w:rFonts w:hint="cs"/>
          <w:color w:val="0000FF"/>
          <w:sz w:val="28"/>
          <w:szCs w:val="28"/>
          <w:rtl/>
        </w:rPr>
        <w:t xml:space="preserve"> إذا كان الكفيل مقتنعا بعدم صحة المعارضة</w:t>
      </w:r>
      <w:r>
        <w:rPr>
          <w:rFonts w:hint="cs"/>
          <w:color w:val="0000FF"/>
          <w:sz w:val="28"/>
          <w:szCs w:val="28"/>
          <w:rtl/>
        </w:rPr>
        <w:t xml:space="preserve"> .</w:t>
      </w:r>
      <w:r w:rsidRPr="00923B1A">
        <w:rPr>
          <w:rFonts w:hint="cs"/>
          <w:color w:val="0000FF"/>
          <w:sz w:val="28"/>
          <w:szCs w:val="28"/>
          <w:rtl/>
        </w:rPr>
        <w:t xml:space="preserve"> ولكن الكفيل يفي بالدين في هذه الحالة على مسئوليته الشخصية</w:t>
      </w:r>
      <w:r>
        <w:rPr>
          <w:rFonts w:hint="cs"/>
          <w:color w:val="0000FF"/>
          <w:sz w:val="28"/>
          <w:szCs w:val="28"/>
          <w:rtl/>
        </w:rPr>
        <w:t xml:space="preserve"> ،</w:t>
      </w:r>
      <w:r w:rsidRPr="00923B1A">
        <w:rPr>
          <w:rFonts w:hint="cs"/>
          <w:color w:val="0000FF"/>
          <w:sz w:val="28"/>
          <w:szCs w:val="28"/>
          <w:rtl/>
        </w:rPr>
        <w:t xml:space="preserve"> فإذا ظهر أن المدين على حق في معارضته لم يكن للكفيل الرجوع عليه</w:t>
      </w:r>
      <w:r>
        <w:rPr>
          <w:rFonts w:hint="cs"/>
          <w:color w:val="0000FF"/>
          <w:sz w:val="28"/>
          <w:szCs w:val="28"/>
          <w:rtl/>
        </w:rPr>
        <w:t xml:space="preserve"> ،</w:t>
      </w:r>
      <w:r w:rsidRPr="00923B1A">
        <w:rPr>
          <w:rFonts w:hint="cs"/>
          <w:color w:val="0000FF"/>
          <w:sz w:val="28"/>
          <w:szCs w:val="28"/>
          <w:rtl/>
        </w:rPr>
        <w:t xml:space="preserve"> ولكن يرجع الدائن لاسترداد ما دفع دون حق </w:t>
      </w:r>
      <w:r>
        <w:rPr>
          <w:rFonts w:hint="cs"/>
          <w:color w:val="0000FF"/>
          <w:sz w:val="28"/>
          <w:szCs w:val="28"/>
          <w:rtl/>
        </w:rPr>
        <w:t xml:space="preserve">( </w:t>
      </w:r>
      <w:r w:rsidRPr="00923B1A">
        <w:rPr>
          <w:rFonts w:hint="cs"/>
          <w:color w:val="0000FF"/>
          <w:sz w:val="28"/>
          <w:szCs w:val="28"/>
          <w:rtl/>
        </w:rPr>
        <w:t xml:space="preserve">سليمان مرقس فقرة 108 ص 123 </w:t>
      </w:r>
      <w:r w:rsidRPr="00923B1A">
        <w:rPr>
          <w:color w:val="0000FF"/>
          <w:sz w:val="28"/>
          <w:szCs w:val="28"/>
          <w:rtl/>
        </w:rPr>
        <w:t>–</w:t>
      </w:r>
      <w:r w:rsidRPr="00923B1A">
        <w:rPr>
          <w:rFonts w:hint="cs"/>
          <w:color w:val="0000FF"/>
          <w:sz w:val="28"/>
          <w:szCs w:val="28"/>
          <w:rtl/>
        </w:rPr>
        <w:t xml:space="preserve"> منصور مصطفى منصور فقرة 51 ص 100</w:t>
      </w:r>
      <w:r>
        <w:rPr>
          <w:rFonts w:hint="cs"/>
          <w:color w:val="0000FF"/>
          <w:sz w:val="28"/>
          <w:szCs w:val="28"/>
          <w:rtl/>
        </w:rPr>
        <w:t xml:space="preserve"> ) .</w:t>
      </w:r>
    </w:p>
  </w:footnote>
  <w:footnote w:id="37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59</w:t>
      </w:r>
      <w:r>
        <w:rPr>
          <w:rFonts w:hint="cs"/>
          <w:color w:val="0000FF"/>
          <w:sz w:val="28"/>
          <w:szCs w:val="28"/>
          <w:rtl/>
        </w:rPr>
        <w:t xml:space="preserve"> .</w:t>
      </w:r>
    </w:p>
  </w:footnote>
  <w:footnote w:id="37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لا يرجع الكيل على المدين بكل الذي دفعه عنه إذا كان المدين مفلساً وحصل على صلح مع الدائنين بموجبه دفع جزءاً من الدين</w:t>
      </w:r>
      <w:r>
        <w:rPr>
          <w:rFonts w:hint="cs"/>
          <w:color w:val="0000FF"/>
          <w:sz w:val="28"/>
          <w:szCs w:val="28"/>
          <w:rtl/>
        </w:rPr>
        <w:t xml:space="preserve"> ،</w:t>
      </w:r>
      <w:r w:rsidRPr="00923B1A">
        <w:rPr>
          <w:rFonts w:hint="cs"/>
          <w:color w:val="0000FF"/>
          <w:sz w:val="28"/>
          <w:szCs w:val="28"/>
          <w:rtl/>
        </w:rPr>
        <w:t xml:space="preserve"> فما دام الدائن قد تقدم في التفليسة وحصل على جزء من الدين بموجب الصلح فإنه يرجع على الكفيل بالباقي من الدين</w:t>
      </w:r>
      <w:r>
        <w:rPr>
          <w:rFonts w:hint="cs"/>
          <w:color w:val="0000FF"/>
          <w:sz w:val="28"/>
          <w:szCs w:val="28"/>
          <w:rtl/>
        </w:rPr>
        <w:t xml:space="preserve"> ،</w:t>
      </w:r>
      <w:r w:rsidRPr="00923B1A">
        <w:rPr>
          <w:rFonts w:hint="cs"/>
          <w:color w:val="0000FF"/>
          <w:sz w:val="28"/>
          <w:szCs w:val="28"/>
          <w:rtl/>
        </w:rPr>
        <w:t xml:space="preserve"> ولا يرجع الكفيل على المدين بما دفعه منه وإلا ضاع على المدين فائدة الصلح الذي أبرمه مع الدائن </w:t>
      </w:r>
      <w:r>
        <w:rPr>
          <w:rFonts w:hint="cs"/>
          <w:color w:val="0000FF"/>
          <w:sz w:val="28"/>
          <w:szCs w:val="28"/>
          <w:rtl/>
        </w:rPr>
        <w:t xml:space="preserve">( </w:t>
      </w:r>
      <w:r w:rsidRPr="00923B1A">
        <w:rPr>
          <w:rFonts w:hint="cs"/>
          <w:color w:val="0000FF"/>
          <w:sz w:val="28"/>
          <w:szCs w:val="28"/>
          <w:rtl/>
        </w:rPr>
        <w:t>أوبري ورو 6 فقرة 427 ص 291 وهامش 18 _2</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بودري وفال فقرة 1085 </w:t>
      </w:r>
      <w:r w:rsidRPr="00923B1A">
        <w:rPr>
          <w:color w:val="0000FF"/>
          <w:sz w:val="28"/>
          <w:szCs w:val="28"/>
          <w:rtl/>
        </w:rPr>
        <w:t>–</w:t>
      </w:r>
      <w:r w:rsidRPr="00923B1A">
        <w:rPr>
          <w:rFonts w:hint="cs"/>
          <w:color w:val="0000FF"/>
          <w:sz w:val="28"/>
          <w:szCs w:val="28"/>
          <w:rtl/>
        </w:rPr>
        <w:t xml:space="preserve"> بلانيول وريبير وسافاتييه فقرة 1540 ص 992 وهامش 8</w:t>
      </w:r>
      <w:r>
        <w:rPr>
          <w:rFonts w:hint="cs"/>
          <w:color w:val="0000FF"/>
          <w:sz w:val="28"/>
          <w:szCs w:val="28"/>
          <w:rtl/>
        </w:rPr>
        <w:t xml:space="preserve"> ) .</w:t>
      </w:r>
    </w:p>
  </w:footnote>
  <w:footnote w:id="37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كان المشروع التمهيدي للمادة 800 مدني يتضمن نصا يجعل للكفيل</w:t>
      </w:r>
      <w:r>
        <w:rPr>
          <w:rFonts w:hint="cs"/>
          <w:color w:val="0000FF"/>
          <w:sz w:val="28"/>
          <w:szCs w:val="28"/>
          <w:rtl/>
        </w:rPr>
        <w:t xml:space="preserve"> ،</w:t>
      </w:r>
      <w:r w:rsidRPr="00923B1A">
        <w:rPr>
          <w:rFonts w:hint="cs"/>
          <w:color w:val="0000FF"/>
          <w:sz w:val="28"/>
          <w:szCs w:val="28"/>
          <w:rtl/>
        </w:rPr>
        <w:t xml:space="preserve"> إذا كان للدين فوائد</w:t>
      </w:r>
      <w:r>
        <w:rPr>
          <w:rFonts w:hint="cs"/>
          <w:color w:val="0000FF"/>
          <w:sz w:val="28"/>
          <w:szCs w:val="28"/>
          <w:rtl/>
        </w:rPr>
        <w:t xml:space="preserve"> ،</w:t>
      </w:r>
      <w:r w:rsidRPr="00923B1A">
        <w:rPr>
          <w:rFonts w:hint="cs"/>
          <w:color w:val="0000FF"/>
          <w:sz w:val="28"/>
          <w:szCs w:val="28"/>
          <w:rtl/>
        </w:rPr>
        <w:t xml:space="preserve"> الحق في استيفائها من يوم وفائه بها للدائن</w:t>
      </w:r>
      <w:r>
        <w:rPr>
          <w:rFonts w:hint="cs"/>
          <w:color w:val="0000FF"/>
          <w:sz w:val="28"/>
          <w:szCs w:val="28"/>
          <w:rtl/>
        </w:rPr>
        <w:t xml:space="preserve"> ،</w:t>
      </w:r>
      <w:r w:rsidRPr="00923B1A">
        <w:rPr>
          <w:rFonts w:hint="cs"/>
          <w:color w:val="0000FF"/>
          <w:sz w:val="28"/>
          <w:szCs w:val="28"/>
          <w:rtl/>
        </w:rPr>
        <w:t xml:space="preserve"> ولكن هذا النص حذف اكتفاء بالقواعد العامة </w:t>
      </w:r>
      <w:r>
        <w:rPr>
          <w:rFonts w:hint="cs"/>
          <w:color w:val="0000FF"/>
          <w:sz w:val="28"/>
          <w:szCs w:val="28"/>
          <w:rtl/>
        </w:rPr>
        <w:t xml:space="preserve">( </w:t>
      </w:r>
      <w:r w:rsidRPr="00923B1A">
        <w:rPr>
          <w:rFonts w:hint="cs"/>
          <w:color w:val="0000FF"/>
          <w:sz w:val="28"/>
          <w:szCs w:val="28"/>
          <w:rtl/>
        </w:rPr>
        <w:t>انظر آنفاً فقرة 59 في الهامش</w:t>
      </w:r>
      <w:r>
        <w:rPr>
          <w:rFonts w:hint="cs"/>
          <w:color w:val="0000FF"/>
          <w:sz w:val="28"/>
          <w:szCs w:val="28"/>
          <w:rtl/>
        </w:rPr>
        <w:t xml:space="preserve"> ) .</w:t>
      </w:r>
    </w:p>
  </w:footnote>
  <w:footnote w:id="37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171 </w:t>
      </w:r>
      <w:r w:rsidRPr="00923B1A">
        <w:rPr>
          <w:color w:val="0000FF"/>
          <w:sz w:val="28"/>
          <w:szCs w:val="28"/>
          <w:rtl/>
        </w:rPr>
        <w:t>–</w:t>
      </w:r>
      <w:r w:rsidRPr="00923B1A">
        <w:rPr>
          <w:rFonts w:hint="cs"/>
          <w:color w:val="0000FF"/>
          <w:sz w:val="28"/>
          <w:szCs w:val="28"/>
          <w:rtl/>
        </w:rPr>
        <w:t xml:space="preserve"> أوبري ورو 6 فقرة 427 ص 289 </w:t>
      </w:r>
      <w:r w:rsidRPr="00923B1A">
        <w:rPr>
          <w:color w:val="0000FF"/>
          <w:sz w:val="28"/>
          <w:szCs w:val="28"/>
          <w:rtl/>
        </w:rPr>
        <w:t>–</w:t>
      </w:r>
      <w:r w:rsidRPr="00923B1A">
        <w:rPr>
          <w:rFonts w:hint="cs"/>
          <w:color w:val="0000FF"/>
          <w:sz w:val="28"/>
          <w:szCs w:val="28"/>
          <w:rtl/>
        </w:rPr>
        <w:t xml:space="preserve"> بودري وفال فقرة نقرة 1079 </w:t>
      </w:r>
      <w:r w:rsidRPr="00923B1A">
        <w:rPr>
          <w:color w:val="0000FF"/>
          <w:sz w:val="28"/>
          <w:szCs w:val="28"/>
          <w:rtl/>
        </w:rPr>
        <w:t>–</w:t>
      </w:r>
      <w:r w:rsidRPr="00923B1A">
        <w:rPr>
          <w:rFonts w:hint="cs"/>
          <w:color w:val="0000FF"/>
          <w:sz w:val="28"/>
          <w:szCs w:val="28"/>
          <w:rtl/>
        </w:rPr>
        <w:t xml:space="preserve"> بلانيول وريبير وسافاتييه فقرة 1540 ص 992</w:t>
      </w:r>
      <w:r>
        <w:rPr>
          <w:rFonts w:hint="cs"/>
          <w:color w:val="0000FF"/>
          <w:sz w:val="28"/>
          <w:szCs w:val="28"/>
          <w:rtl/>
        </w:rPr>
        <w:t xml:space="preserve"> .</w:t>
      </w:r>
    </w:p>
  </w:footnote>
  <w:footnote w:id="37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346 وفقرة 351 </w:t>
      </w:r>
      <w:r w:rsidRPr="00923B1A">
        <w:rPr>
          <w:color w:val="0000FF"/>
          <w:sz w:val="28"/>
          <w:szCs w:val="28"/>
          <w:rtl/>
        </w:rPr>
        <w:t>–</w:t>
      </w:r>
      <w:r w:rsidRPr="00923B1A">
        <w:rPr>
          <w:rFonts w:hint="cs"/>
          <w:color w:val="0000FF"/>
          <w:sz w:val="28"/>
          <w:szCs w:val="28"/>
          <w:rtl/>
        </w:rPr>
        <w:t xml:space="preserve"> بون 2 فقرة 237 وفقرة 260 </w:t>
      </w:r>
      <w:r w:rsidRPr="00923B1A">
        <w:rPr>
          <w:color w:val="0000FF"/>
          <w:sz w:val="28"/>
          <w:szCs w:val="28"/>
          <w:rtl/>
        </w:rPr>
        <w:t>–</w:t>
      </w:r>
      <w:r w:rsidRPr="00923B1A">
        <w:rPr>
          <w:rFonts w:hint="cs"/>
          <w:color w:val="0000FF"/>
          <w:sz w:val="28"/>
          <w:szCs w:val="28"/>
          <w:rtl/>
        </w:rPr>
        <w:t xml:space="preserve"> لوران 28 فقرة 233 </w:t>
      </w:r>
      <w:r w:rsidRPr="00923B1A">
        <w:rPr>
          <w:color w:val="0000FF"/>
          <w:sz w:val="28"/>
          <w:szCs w:val="28"/>
          <w:rtl/>
        </w:rPr>
        <w:t>–</w:t>
      </w:r>
      <w:r w:rsidRPr="00923B1A">
        <w:rPr>
          <w:rFonts w:hint="cs"/>
          <w:color w:val="0000FF"/>
          <w:sz w:val="28"/>
          <w:szCs w:val="28"/>
          <w:rtl/>
        </w:rPr>
        <w:t xml:space="preserve"> جيوار فقرة 171 </w:t>
      </w:r>
      <w:r w:rsidRPr="00923B1A">
        <w:rPr>
          <w:color w:val="0000FF"/>
          <w:sz w:val="28"/>
          <w:szCs w:val="28"/>
          <w:rtl/>
        </w:rPr>
        <w:t>–</w:t>
      </w:r>
      <w:r w:rsidRPr="00923B1A">
        <w:rPr>
          <w:rFonts w:hint="cs"/>
          <w:color w:val="0000FF"/>
          <w:sz w:val="28"/>
          <w:szCs w:val="28"/>
          <w:rtl/>
        </w:rPr>
        <w:t xml:space="preserve"> 173 وفقرة 176 </w:t>
      </w:r>
      <w:r w:rsidRPr="00923B1A">
        <w:rPr>
          <w:color w:val="0000FF"/>
          <w:sz w:val="28"/>
          <w:szCs w:val="28"/>
          <w:rtl/>
        </w:rPr>
        <w:t>–</w:t>
      </w:r>
      <w:r w:rsidRPr="00923B1A">
        <w:rPr>
          <w:rFonts w:hint="cs"/>
          <w:color w:val="0000FF"/>
          <w:sz w:val="28"/>
          <w:szCs w:val="28"/>
          <w:rtl/>
        </w:rPr>
        <w:t xml:space="preserve"> أوبري ورو 6 فقرة 427 ص 289 </w:t>
      </w:r>
      <w:r w:rsidRPr="00923B1A">
        <w:rPr>
          <w:color w:val="0000FF"/>
          <w:sz w:val="28"/>
          <w:szCs w:val="28"/>
          <w:rtl/>
        </w:rPr>
        <w:t>–</w:t>
      </w:r>
      <w:r w:rsidRPr="00923B1A">
        <w:rPr>
          <w:rFonts w:hint="cs"/>
          <w:color w:val="0000FF"/>
          <w:sz w:val="28"/>
          <w:szCs w:val="28"/>
          <w:rtl/>
        </w:rPr>
        <w:t xml:space="preserve"> ص 290 </w:t>
      </w:r>
      <w:r w:rsidRPr="00923B1A">
        <w:rPr>
          <w:color w:val="0000FF"/>
          <w:sz w:val="28"/>
          <w:szCs w:val="28"/>
          <w:rtl/>
        </w:rPr>
        <w:t>–</w:t>
      </w:r>
      <w:r w:rsidRPr="00923B1A">
        <w:rPr>
          <w:rFonts w:hint="cs"/>
          <w:color w:val="0000FF"/>
          <w:sz w:val="28"/>
          <w:szCs w:val="28"/>
          <w:rtl/>
        </w:rPr>
        <w:t xml:space="preserve"> بودري وفال فقرة 1080 </w:t>
      </w:r>
      <w:r w:rsidRPr="00923B1A">
        <w:rPr>
          <w:color w:val="0000FF"/>
          <w:sz w:val="28"/>
          <w:szCs w:val="28"/>
          <w:rtl/>
        </w:rPr>
        <w:t>–</w:t>
      </w:r>
      <w:r w:rsidRPr="00923B1A">
        <w:rPr>
          <w:rFonts w:hint="cs"/>
          <w:color w:val="0000FF"/>
          <w:sz w:val="28"/>
          <w:szCs w:val="28"/>
          <w:rtl/>
        </w:rPr>
        <w:t xml:space="preserve"> فقرة 1090 مكررة </w:t>
      </w:r>
      <w:r w:rsidRPr="00923B1A">
        <w:rPr>
          <w:color w:val="0000FF"/>
          <w:sz w:val="28"/>
          <w:szCs w:val="28"/>
          <w:rtl/>
        </w:rPr>
        <w:t>–</w:t>
      </w:r>
      <w:r w:rsidRPr="00923B1A">
        <w:rPr>
          <w:rFonts w:hint="cs"/>
          <w:color w:val="0000FF"/>
          <w:sz w:val="28"/>
          <w:szCs w:val="28"/>
          <w:rtl/>
        </w:rPr>
        <w:t xml:space="preserve"> بلانيول وريبير وسافاتييه فقرة 1540 ص 992 </w:t>
      </w:r>
      <w:r w:rsidRPr="00923B1A">
        <w:rPr>
          <w:color w:val="0000FF"/>
          <w:sz w:val="28"/>
          <w:szCs w:val="28"/>
          <w:rtl/>
        </w:rPr>
        <w:t>–</w:t>
      </w:r>
      <w:r w:rsidRPr="00923B1A">
        <w:rPr>
          <w:rFonts w:hint="cs"/>
          <w:color w:val="0000FF"/>
          <w:sz w:val="28"/>
          <w:szCs w:val="28"/>
          <w:rtl/>
        </w:rPr>
        <w:t xml:space="preserve"> محمد كامل مرسي فقرة 105 ص 142 </w:t>
      </w:r>
      <w:r w:rsidRPr="00923B1A">
        <w:rPr>
          <w:color w:val="0000FF"/>
          <w:sz w:val="28"/>
          <w:szCs w:val="28"/>
          <w:rtl/>
        </w:rPr>
        <w:t>–</w:t>
      </w:r>
      <w:r w:rsidRPr="00923B1A">
        <w:rPr>
          <w:rFonts w:hint="cs"/>
          <w:color w:val="0000FF"/>
          <w:sz w:val="28"/>
          <w:szCs w:val="28"/>
          <w:rtl/>
        </w:rPr>
        <w:t xml:space="preserve"> ص 143 عبد الفتاح عبد الباقي فقرة 105 ص 166 </w:t>
      </w:r>
      <w:r w:rsidRPr="00923B1A">
        <w:rPr>
          <w:color w:val="0000FF"/>
          <w:sz w:val="28"/>
          <w:szCs w:val="28"/>
          <w:rtl/>
        </w:rPr>
        <w:t>–</w:t>
      </w:r>
      <w:r w:rsidRPr="00923B1A">
        <w:rPr>
          <w:rFonts w:hint="cs"/>
          <w:color w:val="0000FF"/>
          <w:sz w:val="28"/>
          <w:szCs w:val="28"/>
          <w:rtl/>
        </w:rPr>
        <w:t xml:space="preserve"> ص 167 </w:t>
      </w:r>
      <w:r w:rsidRPr="00923B1A">
        <w:rPr>
          <w:color w:val="0000FF"/>
          <w:sz w:val="28"/>
          <w:szCs w:val="28"/>
          <w:rtl/>
        </w:rPr>
        <w:t>–</w:t>
      </w:r>
      <w:r w:rsidRPr="00923B1A">
        <w:rPr>
          <w:rFonts w:hint="cs"/>
          <w:color w:val="0000FF"/>
          <w:sz w:val="28"/>
          <w:szCs w:val="28"/>
          <w:rtl/>
        </w:rPr>
        <w:t xml:space="preserve"> سليمان مرقس فقرة 112 </w:t>
      </w:r>
      <w:r w:rsidRPr="00923B1A">
        <w:rPr>
          <w:color w:val="0000FF"/>
          <w:sz w:val="28"/>
          <w:szCs w:val="28"/>
          <w:rtl/>
        </w:rPr>
        <w:t>–</w:t>
      </w:r>
      <w:r w:rsidRPr="00923B1A">
        <w:rPr>
          <w:rFonts w:hint="cs"/>
          <w:color w:val="0000FF"/>
          <w:sz w:val="28"/>
          <w:szCs w:val="28"/>
          <w:rtl/>
        </w:rPr>
        <w:t xml:space="preserve"> منصور مصطفى منصور فقرة 102</w:t>
      </w:r>
      <w:r>
        <w:rPr>
          <w:rFonts w:hint="cs"/>
          <w:color w:val="0000FF"/>
          <w:sz w:val="28"/>
          <w:szCs w:val="28"/>
          <w:rtl/>
        </w:rPr>
        <w:t xml:space="preserve"> .</w:t>
      </w:r>
    </w:p>
  </w:footnote>
  <w:footnote w:id="37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174 </w:t>
      </w:r>
      <w:r w:rsidRPr="00923B1A">
        <w:rPr>
          <w:color w:val="0000FF"/>
          <w:sz w:val="28"/>
          <w:szCs w:val="28"/>
          <w:rtl/>
        </w:rPr>
        <w:t>–</w:t>
      </w:r>
      <w:r w:rsidRPr="00923B1A">
        <w:rPr>
          <w:rFonts w:hint="cs"/>
          <w:color w:val="0000FF"/>
          <w:sz w:val="28"/>
          <w:szCs w:val="28"/>
          <w:rtl/>
        </w:rPr>
        <w:t xml:space="preserve"> أوبري ورو 6 فقرة 427 ص 289 هامش 10 </w:t>
      </w:r>
      <w:r w:rsidRPr="00923B1A">
        <w:rPr>
          <w:color w:val="0000FF"/>
          <w:sz w:val="28"/>
          <w:szCs w:val="28"/>
          <w:rtl/>
        </w:rPr>
        <w:t>–</w:t>
      </w:r>
      <w:r w:rsidRPr="00923B1A">
        <w:rPr>
          <w:rFonts w:hint="cs"/>
          <w:color w:val="0000FF"/>
          <w:sz w:val="28"/>
          <w:szCs w:val="28"/>
          <w:rtl/>
        </w:rPr>
        <w:t xml:space="preserve"> بودري وفال فقرة 1081 </w:t>
      </w:r>
      <w:r w:rsidRPr="00923B1A">
        <w:rPr>
          <w:color w:val="0000FF"/>
          <w:sz w:val="28"/>
          <w:szCs w:val="28"/>
          <w:rtl/>
        </w:rPr>
        <w:t>–</w:t>
      </w:r>
      <w:r w:rsidRPr="00923B1A">
        <w:rPr>
          <w:rFonts w:hint="cs"/>
          <w:color w:val="0000FF"/>
          <w:sz w:val="28"/>
          <w:szCs w:val="28"/>
          <w:rtl/>
        </w:rPr>
        <w:t xml:space="preserve"> بلانيول وريبير وسافاتييه فقرة 1540 ص 992 </w:t>
      </w:r>
      <w:r w:rsidRPr="00923B1A">
        <w:rPr>
          <w:color w:val="0000FF"/>
          <w:sz w:val="28"/>
          <w:szCs w:val="28"/>
          <w:rtl/>
        </w:rPr>
        <w:t>–</w:t>
      </w:r>
      <w:r w:rsidRPr="00923B1A">
        <w:rPr>
          <w:rFonts w:hint="cs"/>
          <w:color w:val="0000FF"/>
          <w:sz w:val="28"/>
          <w:szCs w:val="28"/>
          <w:rtl/>
        </w:rPr>
        <w:t xml:space="preserve"> عبد الفتاح عبد الباقي فقرة 105 ص 166 </w:t>
      </w:r>
      <w:r w:rsidRPr="00923B1A">
        <w:rPr>
          <w:color w:val="0000FF"/>
          <w:sz w:val="28"/>
          <w:szCs w:val="28"/>
          <w:rtl/>
        </w:rPr>
        <w:t>–</w:t>
      </w:r>
      <w:r w:rsidRPr="00923B1A">
        <w:rPr>
          <w:rFonts w:hint="cs"/>
          <w:color w:val="0000FF"/>
          <w:sz w:val="28"/>
          <w:szCs w:val="28"/>
          <w:rtl/>
        </w:rPr>
        <w:t xml:space="preserve"> محمد علي إمام فقرة 79 ص 141 </w:t>
      </w:r>
      <w:r w:rsidRPr="00923B1A">
        <w:rPr>
          <w:color w:val="0000FF"/>
          <w:sz w:val="28"/>
          <w:szCs w:val="28"/>
          <w:rtl/>
        </w:rPr>
        <w:t>–</w:t>
      </w:r>
      <w:r w:rsidRPr="00923B1A">
        <w:rPr>
          <w:rFonts w:hint="cs"/>
          <w:color w:val="0000FF"/>
          <w:sz w:val="28"/>
          <w:szCs w:val="28"/>
          <w:rtl/>
        </w:rPr>
        <w:t xml:space="preserve"> سليمان مرقس فقرة 113 </w:t>
      </w:r>
      <w:r w:rsidRPr="00923B1A">
        <w:rPr>
          <w:color w:val="0000FF"/>
          <w:sz w:val="28"/>
          <w:szCs w:val="28"/>
          <w:rtl/>
        </w:rPr>
        <w:t>–</w:t>
      </w:r>
      <w:r w:rsidRPr="00923B1A">
        <w:rPr>
          <w:rFonts w:hint="cs"/>
          <w:color w:val="0000FF"/>
          <w:sz w:val="28"/>
          <w:szCs w:val="28"/>
          <w:rtl/>
        </w:rPr>
        <w:t xml:space="preserve"> منصور مصطفى منصور فقرة 52 ص 101 </w:t>
      </w:r>
      <w:r w:rsidRPr="00923B1A">
        <w:rPr>
          <w:color w:val="0000FF"/>
          <w:sz w:val="28"/>
          <w:szCs w:val="28"/>
          <w:rtl/>
        </w:rPr>
        <w:t>–</w:t>
      </w:r>
      <w:r w:rsidRPr="00923B1A">
        <w:rPr>
          <w:rFonts w:hint="cs"/>
          <w:color w:val="0000FF"/>
          <w:sz w:val="28"/>
          <w:szCs w:val="28"/>
          <w:rtl/>
        </w:rPr>
        <w:t xml:space="preserve"> ص 102</w:t>
      </w:r>
      <w:r>
        <w:rPr>
          <w:rFonts w:hint="cs"/>
          <w:color w:val="0000FF"/>
          <w:sz w:val="28"/>
          <w:szCs w:val="28"/>
          <w:rtl/>
        </w:rPr>
        <w:t xml:space="preserve"> .</w:t>
      </w:r>
    </w:p>
  </w:footnote>
  <w:footnote w:id="38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ويشبه ذلك ما نصت عليه المادة 781 مدني من أنه "إذا لم يكن هناك اتفاق خاص</w:t>
      </w:r>
      <w:r>
        <w:rPr>
          <w:rFonts w:hint="cs"/>
          <w:color w:val="0000FF"/>
          <w:sz w:val="28"/>
          <w:szCs w:val="28"/>
          <w:rtl/>
        </w:rPr>
        <w:t xml:space="preserve"> ،</w:t>
      </w:r>
      <w:r w:rsidRPr="00923B1A">
        <w:rPr>
          <w:rFonts w:hint="cs"/>
          <w:color w:val="0000FF"/>
          <w:sz w:val="28"/>
          <w:szCs w:val="28"/>
          <w:rtl/>
        </w:rPr>
        <w:t xml:space="preserve"> فإن الكفالة تشمل ملحقات الدين ومصروفات المطالبة الأولى وما يستجد من المصروفات بعد إخطار الكفيل"</w:t>
      </w:r>
      <w:r>
        <w:rPr>
          <w:rFonts w:hint="cs"/>
          <w:color w:val="0000FF"/>
          <w:sz w:val="28"/>
          <w:szCs w:val="28"/>
          <w:rtl/>
        </w:rPr>
        <w:t xml:space="preserve"> .</w:t>
      </w:r>
      <w:r w:rsidRPr="00923B1A">
        <w:rPr>
          <w:rFonts w:hint="cs"/>
          <w:color w:val="0000FF"/>
          <w:sz w:val="28"/>
          <w:szCs w:val="28"/>
          <w:rtl/>
        </w:rPr>
        <w:t xml:space="preserve"> ففي هذا النص يقصد بمصروفات "المطالبة الأولى" المصروفات التي أنفقها الدائن في مطالبة المدين الأول</w:t>
      </w:r>
      <w:r>
        <w:rPr>
          <w:rFonts w:hint="cs"/>
          <w:color w:val="0000FF"/>
          <w:sz w:val="28"/>
          <w:szCs w:val="28"/>
          <w:rtl/>
        </w:rPr>
        <w:t xml:space="preserve"> ،</w:t>
      </w:r>
      <w:r w:rsidRPr="00923B1A">
        <w:rPr>
          <w:rFonts w:hint="cs"/>
          <w:color w:val="0000FF"/>
          <w:sz w:val="28"/>
          <w:szCs w:val="28"/>
          <w:rtl/>
        </w:rPr>
        <w:t xml:space="preserve"> أما المصروفات الأولى في معنى المادة 800/2 مدني فيقصد بها المصروفات التي أنفقها الدائن في مطالبة الكفيل </w:t>
      </w:r>
      <w:r>
        <w:rPr>
          <w:rFonts w:hint="cs"/>
          <w:color w:val="0000FF"/>
          <w:sz w:val="28"/>
          <w:szCs w:val="28"/>
          <w:rtl/>
        </w:rPr>
        <w:t xml:space="preserve">( </w:t>
      </w:r>
      <w:r w:rsidRPr="00923B1A">
        <w:rPr>
          <w:rFonts w:hint="cs"/>
          <w:color w:val="0000FF"/>
          <w:sz w:val="28"/>
          <w:szCs w:val="28"/>
          <w:rtl/>
        </w:rPr>
        <w:t>انظر آنفاً فقرة 26</w:t>
      </w:r>
      <w:r>
        <w:rPr>
          <w:rFonts w:hint="cs"/>
          <w:color w:val="0000FF"/>
          <w:sz w:val="28"/>
          <w:szCs w:val="28"/>
          <w:rtl/>
        </w:rPr>
        <w:t xml:space="preserve"> ) .</w:t>
      </w:r>
      <w:r w:rsidRPr="00923B1A">
        <w:rPr>
          <w:rFonts w:hint="cs"/>
          <w:color w:val="0000FF"/>
          <w:sz w:val="28"/>
          <w:szCs w:val="28"/>
          <w:rtl/>
        </w:rPr>
        <w:t xml:space="preserve"> ولكن الحكمة واحدة في الحالتين</w:t>
      </w:r>
      <w:r>
        <w:rPr>
          <w:rFonts w:hint="cs"/>
          <w:color w:val="0000FF"/>
          <w:sz w:val="28"/>
          <w:szCs w:val="28"/>
          <w:rtl/>
        </w:rPr>
        <w:t xml:space="preserve"> ،</w:t>
      </w:r>
      <w:r w:rsidRPr="00923B1A">
        <w:rPr>
          <w:rFonts w:hint="cs"/>
          <w:color w:val="0000FF"/>
          <w:sz w:val="28"/>
          <w:szCs w:val="28"/>
          <w:rtl/>
        </w:rPr>
        <w:t xml:space="preserve"> فالمصروفات الأولى في مطالبة الدائن للمدين يضمنها الكفيل على كل حال دون حاجة لإخطاره بها</w:t>
      </w:r>
      <w:r>
        <w:rPr>
          <w:rFonts w:hint="cs"/>
          <w:color w:val="0000FF"/>
          <w:sz w:val="28"/>
          <w:szCs w:val="28"/>
          <w:rtl/>
        </w:rPr>
        <w:t xml:space="preserve"> ،</w:t>
      </w:r>
      <w:r w:rsidRPr="00923B1A">
        <w:rPr>
          <w:rFonts w:hint="cs"/>
          <w:color w:val="0000FF"/>
          <w:sz w:val="28"/>
          <w:szCs w:val="28"/>
          <w:rtl/>
        </w:rPr>
        <w:t xml:space="preserve"> وكذلك المصروفات الأولى في مطالبة الدائن للكفيل يرجع بها الكفيل على المدين دون حاجة لإخطار المدين بها</w:t>
      </w:r>
      <w:r>
        <w:rPr>
          <w:rFonts w:hint="cs"/>
          <w:color w:val="0000FF"/>
          <w:sz w:val="28"/>
          <w:szCs w:val="28"/>
          <w:rtl/>
        </w:rPr>
        <w:t xml:space="preserve"> .</w:t>
      </w:r>
    </w:p>
  </w:footnote>
  <w:footnote w:id="38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جرت مناقشة في هذا الشأن في لجنة الأستاذ كامل صدقي</w:t>
      </w:r>
      <w:r>
        <w:rPr>
          <w:rFonts w:hint="cs"/>
          <w:color w:val="0000FF"/>
          <w:sz w:val="28"/>
          <w:szCs w:val="28"/>
          <w:rtl/>
        </w:rPr>
        <w:t xml:space="preserve"> ،</w:t>
      </w:r>
      <w:r w:rsidRPr="00923B1A">
        <w:rPr>
          <w:rFonts w:hint="cs"/>
          <w:color w:val="0000FF"/>
          <w:sz w:val="28"/>
          <w:szCs w:val="28"/>
          <w:rtl/>
        </w:rPr>
        <w:t xml:space="preserve"> فقال الرئيس إنه لما كان المبدأ هو حماية الكفيل فإنه لا يرى مبرراً لعدم وضع نص صريح يمنحه الحق في المطالبة بتعويضات</w:t>
      </w:r>
      <w:r>
        <w:rPr>
          <w:rFonts w:hint="cs"/>
          <w:color w:val="0000FF"/>
          <w:sz w:val="28"/>
          <w:szCs w:val="28"/>
          <w:rtl/>
        </w:rPr>
        <w:t xml:space="preserve"> .</w:t>
      </w:r>
      <w:r w:rsidRPr="00923B1A">
        <w:rPr>
          <w:rFonts w:hint="cs"/>
          <w:color w:val="0000FF"/>
          <w:sz w:val="28"/>
          <w:szCs w:val="28"/>
          <w:rtl/>
        </w:rPr>
        <w:t xml:space="preserve"> وطلب أحد الأعضاء ضرب مثل للضرر الذي يصيب الكفيل</w:t>
      </w:r>
      <w:r>
        <w:rPr>
          <w:rFonts w:hint="cs"/>
          <w:color w:val="0000FF"/>
          <w:sz w:val="28"/>
          <w:szCs w:val="28"/>
          <w:rtl/>
        </w:rPr>
        <w:t xml:space="preserve"> ،</w:t>
      </w:r>
      <w:r w:rsidRPr="00923B1A">
        <w:rPr>
          <w:rFonts w:hint="cs"/>
          <w:color w:val="0000FF"/>
          <w:sz w:val="28"/>
          <w:szCs w:val="28"/>
          <w:rtl/>
        </w:rPr>
        <w:t xml:space="preserve"> فمثل بحالة المدين الذي لم يوف دينه وترتب على ذلك اتخاذ إجراءات التنفيذ على الكفيل وبينها بنصف ثمنها الحقيقي</w:t>
      </w:r>
      <w:r>
        <w:rPr>
          <w:rFonts w:hint="cs"/>
          <w:color w:val="0000FF"/>
          <w:sz w:val="28"/>
          <w:szCs w:val="28"/>
          <w:rtl/>
        </w:rPr>
        <w:t xml:space="preserve"> ،</w:t>
      </w:r>
      <w:r w:rsidRPr="00923B1A">
        <w:rPr>
          <w:rFonts w:hint="cs"/>
          <w:color w:val="0000FF"/>
          <w:sz w:val="28"/>
          <w:szCs w:val="28"/>
          <w:rtl/>
        </w:rPr>
        <w:t xml:space="preserve"> ففي هذه الحالة قد نال الكفيل من التنفيذ عليه ضرر رجوعه بالتعويض على المدين </w:t>
      </w:r>
      <w:r>
        <w:rPr>
          <w:rFonts w:hint="cs"/>
          <w:color w:val="0000FF"/>
          <w:sz w:val="28"/>
          <w:szCs w:val="28"/>
          <w:rtl/>
        </w:rPr>
        <w:t xml:space="preserve">( </w:t>
      </w:r>
      <w:r w:rsidRPr="00923B1A">
        <w:rPr>
          <w:rFonts w:hint="cs"/>
          <w:color w:val="0000FF"/>
          <w:sz w:val="28"/>
          <w:szCs w:val="28"/>
          <w:rtl/>
        </w:rPr>
        <w:t>انظر مجموعة الأعمال التحضيرية 5 ص 541 ص 542 في الهامش</w:t>
      </w:r>
      <w:r>
        <w:rPr>
          <w:rFonts w:hint="cs"/>
          <w:color w:val="0000FF"/>
          <w:sz w:val="28"/>
          <w:szCs w:val="28"/>
          <w:rtl/>
        </w:rPr>
        <w:t xml:space="preserve"> ) .</w:t>
      </w:r>
    </w:p>
  </w:footnote>
  <w:footnote w:id="38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59 في الهامش</w:t>
      </w:r>
      <w:r>
        <w:rPr>
          <w:rFonts w:hint="cs"/>
          <w:color w:val="0000FF"/>
          <w:sz w:val="28"/>
          <w:szCs w:val="28"/>
          <w:rtl/>
        </w:rPr>
        <w:t xml:space="preserve"> .</w:t>
      </w:r>
    </w:p>
  </w:footnote>
  <w:footnote w:id="38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تقدم أن الكفيل يرجع على الدين بالفوائد القانونية</w:t>
      </w:r>
      <w:r>
        <w:rPr>
          <w:rFonts w:hint="cs"/>
          <w:color w:val="0000FF"/>
          <w:sz w:val="28"/>
          <w:szCs w:val="28"/>
          <w:rtl/>
        </w:rPr>
        <w:t xml:space="preserve"> ،</w:t>
      </w:r>
      <w:r w:rsidRPr="00923B1A">
        <w:rPr>
          <w:rFonts w:hint="cs"/>
          <w:color w:val="0000FF"/>
          <w:sz w:val="28"/>
          <w:szCs w:val="28"/>
          <w:rtl/>
        </w:rPr>
        <w:t xml:space="preserve"> وهذه تعتبر تعويضاً عن التأخر</w:t>
      </w:r>
      <w:r>
        <w:rPr>
          <w:rFonts w:hint="cs"/>
          <w:color w:val="0000FF"/>
          <w:sz w:val="28"/>
          <w:szCs w:val="28"/>
          <w:rtl/>
        </w:rPr>
        <w:t xml:space="preserve"> .</w:t>
      </w:r>
      <w:r w:rsidRPr="00923B1A">
        <w:rPr>
          <w:rFonts w:hint="cs"/>
          <w:color w:val="0000FF"/>
          <w:sz w:val="28"/>
          <w:szCs w:val="28"/>
          <w:rtl/>
        </w:rPr>
        <w:t xml:space="preserve"> ولكن يجوز فوق ذلك رجوع الكفيل على المدين بتعويض</w:t>
      </w:r>
      <w:r>
        <w:rPr>
          <w:rFonts w:hint="cs"/>
          <w:color w:val="0000FF"/>
          <w:sz w:val="28"/>
          <w:szCs w:val="28"/>
          <w:rtl/>
        </w:rPr>
        <w:t xml:space="preserve"> ،</w:t>
      </w:r>
      <w:r w:rsidRPr="00923B1A">
        <w:rPr>
          <w:rFonts w:hint="cs"/>
          <w:color w:val="0000FF"/>
          <w:sz w:val="28"/>
          <w:szCs w:val="28"/>
          <w:rtl/>
        </w:rPr>
        <w:t xml:space="preserve"> لا فحسب طبقاً للمادة 23 التي تشترط سوء نية المدين وتنص على أنه "يجوز للدائن أن يطالب بتعويض تكميلي يضاف إلى الفوائد إذا أثبت أن الضرر الذي يجاوز الفوائد قد تسبب فيه المدين بسوء نية"</w:t>
      </w:r>
      <w:r>
        <w:rPr>
          <w:rFonts w:hint="cs"/>
          <w:color w:val="0000FF"/>
          <w:sz w:val="28"/>
          <w:szCs w:val="28"/>
          <w:rtl/>
        </w:rPr>
        <w:t xml:space="preserve"> ،</w:t>
      </w:r>
      <w:r w:rsidRPr="00923B1A">
        <w:rPr>
          <w:rFonts w:hint="cs"/>
          <w:color w:val="0000FF"/>
          <w:sz w:val="28"/>
          <w:szCs w:val="28"/>
          <w:rtl/>
        </w:rPr>
        <w:t xml:space="preserve"> بل أيضاً طبقاً لقواعد الوكالة ولقواعد الفضالة  التي سبق ذكرها والتي لا تشترط سوء نية المدين</w:t>
      </w:r>
      <w:r>
        <w:rPr>
          <w:rFonts w:hint="cs"/>
          <w:color w:val="0000FF"/>
          <w:sz w:val="28"/>
          <w:szCs w:val="28"/>
          <w:rtl/>
        </w:rPr>
        <w:t xml:space="preserve"> ،</w:t>
      </w:r>
      <w:r w:rsidRPr="00923B1A">
        <w:rPr>
          <w:rFonts w:hint="cs"/>
          <w:color w:val="0000FF"/>
          <w:sz w:val="28"/>
          <w:szCs w:val="28"/>
          <w:rtl/>
        </w:rPr>
        <w:t xml:space="preserve"> ويكفي أن يكون مقدار الضرر الذي أصاب الكفيل يزيد على الفوائد القانونية فيرجع الكفيل على المدين أيضاً بما زاد</w:t>
      </w:r>
      <w:r>
        <w:rPr>
          <w:rFonts w:hint="cs"/>
          <w:color w:val="0000FF"/>
          <w:sz w:val="28"/>
          <w:szCs w:val="28"/>
          <w:rtl/>
        </w:rPr>
        <w:t xml:space="preserve"> .</w:t>
      </w:r>
      <w:r w:rsidRPr="00923B1A">
        <w:rPr>
          <w:rFonts w:hint="cs"/>
          <w:color w:val="0000FF"/>
          <w:sz w:val="28"/>
          <w:szCs w:val="28"/>
          <w:rtl/>
        </w:rPr>
        <w:t xml:space="preserve"> قارن عبد الفتاح عبد الباقي فقرة 106 ص 180 </w:t>
      </w:r>
      <w:r w:rsidRPr="00923B1A">
        <w:rPr>
          <w:color w:val="0000FF"/>
          <w:sz w:val="28"/>
          <w:szCs w:val="28"/>
          <w:rtl/>
        </w:rPr>
        <w:t>–</w:t>
      </w:r>
      <w:r w:rsidRPr="00923B1A">
        <w:rPr>
          <w:rFonts w:hint="cs"/>
          <w:color w:val="0000FF"/>
          <w:sz w:val="28"/>
          <w:szCs w:val="28"/>
          <w:rtl/>
        </w:rPr>
        <w:t xml:space="preserve"> سليمان مرقس فقرة 114 </w:t>
      </w:r>
      <w:r w:rsidRPr="00923B1A">
        <w:rPr>
          <w:color w:val="0000FF"/>
          <w:sz w:val="28"/>
          <w:szCs w:val="28"/>
          <w:rtl/>
        </w:rPr>
        <w:t>–</w:t>
      </w:r>
      <w:r w:rsidRPr="00923B1A">
        <w:rPr>
          <w:rFonts w:hint="cs"/>
          <w:color w:val="0000FF"/>
          <w:sz w:val="28"/>
          <w:szCs w:val="28"/>
          <w:rtl/>
        </w:rPr>
        <w:t xml:space="preserve"> ص 127 </w:t>
      </w:r>
      <w:r w:rsidRPr="00923B1A">
        <w:rPr>
          <w:color w:val="0000FF"/>
          <w:sz w:val="28"/>
          <w:szCs w:val="28"/>
          <w:rtl/>
        </w:rPr>
        <w:t>–</w:t>
      </w:r>
      <w:r w:rsidRPr="00923B1A">
        <w:rPr>
          <w:rFonts w:hint="cs"/>
          <w:color w:val="0000FF"/>
          <w:sz w:val="28"/>
          <w:szCs w:val="28"/>
          <w:rtl/>
        </w:rPr>
        <w:t xml:space="preserve"> محمد علي إمام فقرة 79 ص 142 -  منصور مصطفى منصور فقرة 52 ص 103</w:t>
      </w:r>
      <w:r>
        <w:rPr>
          <w:rFonts w:hint="cs"/>
          <w:color w:val="0000FF"/>
          <w:sz w:val="28"/>
          <w:szCs w:val="28"/>
          <w:rtl/>
        </w:rPr>
        <w:t xml:space="preserve"> .</w:t>
      </w:r>
    </w:p>
  </w:footnote>
  <w:footnote w:id="38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242 </w:t>
      </w:r>
      <w:r w:rsidRPr="00923B1A">
        <w:rPr>
          <w:color w:val="0000FF"/>
          <w:sz w:val="28"/>
          <w:szCs w:val="28"/>
          <w:rtl/>
        </w:rPr>
        <w:t>–</w:t>
      </w:r>
      <w:r w:rsidRPr="00923B1A">
        <w:rPr>
          <w:rFonts w:hint="cs"/>
          <w:color w:val="0000FF"/>
          <w:sz w:val="28"/>
          <w:szCs w:val="28"/>
          <w:rtl/>
        </w:rPr>
        <w:t xml:space="preserve"> فوران 28 فقرة 235 </w:t>
      </w:r>
      <w:r w:rsidRPr="00923B1A">
        <w:rPr>
          <w:color w:val="0000FF"/>
          <w:sz w:val="28"/>
          <w:szCs w:val="28"/>
          <w:rtl/>
        </w:rPr>
        <w:t>–</w:t>
      </w:r>
      <w:r w:rsidRPr="00923B1A">
        <w:rPr>
          <w:rFonts w:hint="cs"/>
          <w:color w:val="0000FF"/>
          <w:sz w:val="28"/>
          <w:szCs w:val="28"/>
          <w:rtl/>
        </w:rPr>
        <w:t xml:space="preserve"> جيوار فقرة 175 </w:t>
      </w:r>
      <w:r w:rsidRPr="00923B1A">
        <w:rPr>
          <w:color w:val="0000FF"/>
          <w:sz w:val="28"/>
          <w:szCs w:val="28"/>
          <w:rtl/>
        </w:rPr>
        <w:t>–</w:t>
      </w:r>
      <w:r w:rsidRPr="00923B1A">
        <w:rPr>
          <w:rFonts w:hint="cs"/>
          <w:color w:val="0000FF"/>
          <w:sz w:val="28"/>
          <w:szCs w:val="28"/>
          <w:rtl/>
        </w:rPr>
        <w:t xml:space="preserve"> أوبري ورو 6 فقرة 427 ص 290 </w:t>
      </w:r>
      <w:r w:rsidRPr="00923B1A">
        <w:rPr>
          <w:color w:val="0000FF"/>
          <w:sz w:val="28"/>
          <w:szCs w:val="28"/>
          <w:rtl/>
        </w:rPr>
        <w:t>–</w:t>
      </w:r>
      <w:r w:rsidRPr="00923B1A">
        <w:rPr>
          <w:rFonts w:hint="cs"/>
          <w:color w:val="0000FF"/>
          <w:sz w:val="28"/>
          <w:szCs w:val="28"/>
          <w:rtl/>
        </w:rPr>
        <w:t xml:space="preserve"> وهامش 13 </w:t>
      </w:r>
      <w:r w:rsidRPr="00923B1A">
        <w:rPr>
          <w:color w:val="0000FF"/>
          <w:sz w:val="28"/>
          <w:szCs w:val="28"/>
          <w:rtl/>
        </w:rPr>
        <w:t>–</w:t>
      </w:r>
      <w:r w:rsidRPr="00923B1A">
        <w:rPr>
          <w:rFonts w:hint="cs"/>
          <w:color w:val="0000FF"/>
          <w:sz w:val="28"/>
          <w:szCs w:val="28"/>
          <w:rtl/>
        </w:rPr>
        <w:t xml:space="preserve"> بودري وفال فقرة 1082 </w:t>
      </w:r>
      <w:r w:rsidRPr="00923B1A">
        <w:rPr>
          <w:color w:val="0000FF"/>
          <w:sz w:val="28"/>
          <w:szCs w:val="28"/>
          <w:rtl/>
        </w:rPr>
        <w:t>–</w:t>
      </w:r>
      <w:r w:rsidRPr="00923B1A">
        <w:rPr>
          <w:rFonts w:hint="cs"/>
          <w:color w:val="0000FF"/>
          <w:sz w:val="28"/>
          <w:szCs w:val="28"/>
          <w:rtl/>
        </w:rPr>
        <w:t xml:space="preserve"> بلانيول وريبير وسافاتييه فقرة 1540 ص 992</w:t>
      </w:r>
      <w:r>
        <w:rPr>
          <w:rFonts w:hint="cs"/>
          <w:color w:val="0000FF"/>
          <w:sz w:val="28"/>
          <w:szCs w:val="28"/>
          <w:rtl/>
        </w:rPr>
        <w:t xml:space="preserve"> .</w:t>
      </w:r>
    </w:p>
  </w:footnote>
  <w:footnote w:id="38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تقدم أن من الفقهاء المصريين الذي يشترطون لرجوع الكفيل على المدين بتعويض سوء نية المدين الأستاذ عبد الفتاح عبد الباقي فقرة 106 ص 180 </w:t>
      </w:r>
      <w:r>
        <w:rPr>
          <w:rFonts w:hint="cs"/>
          <w:color w:val="0000FF"/>
          <w:sz w:val="28"/>
          <w:szCs w:val="28"/>
          <w:rtl/>
        </w:rPr>
        <w:t xml:space="preserve">( </w:t>
      </w:r>
      <w:r w:rsidRPr="00923B1A">
        <w:rPr>
          <w:rFonts w:hint="cs"/>
          <w:color w:val="0000FF"/>
          <w:sz w:val="28"/>
          <w:szCs w:val="28"/>
          <w:rtl/>
        </w:rPr>
        <w:t>وكان يقول في الطبعة الأولى فقرة 105 ص 167 بعدم جواز رجوع الكفيل على المدين بتعويض ما</w:t>
      </w:r>
      <w:r>
        <w:rPr>
          <w:rFonts w:hint="cs"/>
          <w:color w:val="0000FF"/>
          <w:sz w:val="28"/>
          <w:szCs w:val="28"/>
          <w:rtl/>
        </w:rPr>
        <w:t xml:space="preserve"> ) ،</w:t>
      </w:r>
      <w:r w:rsidRPr="00923B1A">
        <w:rPr>
          <w:rFonts w:hint="cs"/>
          <w:color w:val="0000FF"/>
          <w:sz w:val="28"/>
          <w:szCs w:val="28"/>
          <w:rtl/>
        </w:rPr>
        <w:t xml:space="preserve"> والأستاذ سليمان مرقس فقرة 114</w:t>
      </w:r>
      <w:r>
        <w:rPr>
          <w:rFonts w:hint="cs"/>
          <w:color w:val="0000FF"/>
          <w:sz w:val="28"/>
          <w:szCs w:val="28"/>
          <w:rtl/>
        </w:rPr>
        <w:t xml:space="preserve"> ،</w:t>
      </w:r>
      <w:r w:rsidRPr="00923B1A">
        <w:rPr>
          <w:rFonts w:hint="cs"/>
          <w:color w:val="0000FF"/>
          <w:sz w:val="28"/>
          <w:szCs w:val="28"/>
          <w:rtl/>
        </w:rPr>
        <w:t xml:space="preserve"> الأستاذ منصور مصطفى منصور فقرة 52 ص 103</w:t>
      </w:r>
      <w:r>
        <w:rPr>
          <w:rFonts w:hint="cs"/>
          <w:color w:val="0000FF"/>
          <w:sz w:val="28"/>
          <w:szCs w:val="28"/>
          <w:rtl/>
        </w:rPr>
        <w:t xml:space="preserve"> .</w:t>
      </w:r>
      <w:r w:rsidRPr="00923B1A">
        <w:rPr>
          <w:rFonts w:hint="cs"/>
          <w:color w:val="0000FF"/>
          <w:sz w:val="28"/>
          <w:szCs w:val="28"/>
          <w:rtl/>
        </w:rPr>
        <w:t xml:space="preserve"> ويرى الأستاذ محمد كامل مرسي جواز رجوع الكفيل بتعويض على المدين دون أن يشترط سوء نية المدين</w:t>
      </w:r>
      <w:r>
        <w:rPr>
          <w:rFonts w:hint="cs"/>
          <w:color w:val="0000FF"/>
          <w:sz w:val="28"/>
          <w:szCs w:val="28"/>
          <w:rtl/>
        </w:rPr>
        <w:t xml:space="preserve"> ،</w:t>
      </w:r>
      <w:r w:rsidRPr="00923B1A">
        <w:rPr>
          <w:rFonts w:hint="cs"/>
          <w:color w:val="0000FF"/>
          <w:sz w:val="28"/>
          <w:szCs w:val="28"/>
          <w:rtl/>
        </w:rPr>
        <w:t xml:space="preserve"> فيقول</w:t>
      </w:r>
      <w:r>
        <w:rPr>
          <w:rFonts w:hint="cs"/>
          <w:color w:val="0000FF"/>
          <w:sz w:val="28"/>
          <w:szCs w:val="28"/>
          <w:rtl/>
        </w:rPr>
        <w:t xml:space="preserve"> :</w:t>
      </w:r>
      <w:r w:rsidRPr="00923B1A">
        <w:rPr>
          <w:rFonts w:hint="cs"/>
          <w:color w:val="0000FF"/>
          <w:sz w:val="28"/>
          <w:szCs w:val="28"/>
          <w:rtl/>
        </w:rPr>
        <w:t xml:space="preserve"> "ويرى احمد فتحي زغلول باشا </w:t>
      </w:r>
      <w:r>
        <w:rPr>
          <w:rFonts w:hint="cs"/>
          <w:color w:val="0000FF"/>
          <w:sz w:val="28"/>
          <w:szCs w:val="28"/>
          <w:rtl/>
        </w:rPr>
        <w:t xml:space="preserve">( </w:t>
      </w:r>
      <w:r w:rsidRPr="00923B1A">
        <w:rPr>
          <w:rFonts w:hint="cs"/>
          <w:color w:val="0000FF"/>
          <w:sz w:val="28"/>
          <w:szCs w:val="28"/>
          <w:rtl/>
        </w:rPr>
        <w:t>ص 222</w:t>
      </w:r>
      <w:r>
        <w:rPr>
          <w:rFonts w:hint="cs"/>
          <w:color w:val="0000FF"/>
          <w:sz w:val="28"/>
          <w:szCs w:val="28"/>
          <w:rtl/>
        </w:rPr>
        <w:t xml:space="preserve"> )</w:t>
      </w:r>
      <w:r w:rsidRPr="00923B1A">
        <w:rPr>
          <w:rFonts w:hint="cs"/>
          <w:color w:val="0000FF"/>
          <w:sz w:val="28"/>
          <w:szCs w:val="28"/>
          <w:rtl/>
        </w:rPr>
        <w:t xml:space="preserve"> أنه إذا ترتب على عدم وفاء الدين إلزام الضامن بدفعه</w:t>
      </w:r>
      <w:r>
        <w:rPr>
          <w:rFonts w:hint="cs"/>
          <w:color w:val="0000FF"/>
          <w:sz w:val="28"/>
          <w:szCs w:val="28"/>
          <w:rtl/>
        </w:rPr>
        <w:t xml:space="preserve"> ،</w:t>
      </w:r>
      <w:r w:rsidRPr="00923B1A">
        <w:rPr>
          <w:rFonts w:hint="cs"/>
          <w:color w:val="0000FF"/>
          <w:sz w:val="28"/>
          <w:szCs w:val="28"/>
          <w:rtl/>
        </w:rPr>
        <w:t xml:space="preserve"> ونتج من ذلك خسارة له أكثر من الفوائد القانونية</w:t>
      </w:r>
      <w:r>
        <w:rPr>
          <w:rFonts w:hint="cs"/>
          <w:color w:val="0000FF"/>
          <w:sz w:val="28"/>
          <w:szCs w:val="28"/>
          <w:rtl/>
        </w:rPr>
        <w:t xml:space="preserve"> ،</w:t>
      </w:r>
      <w:r w:rsidRPr="00923B1A">
        <w:rPr>
          <w:rFonts w:hint="cs"/>
          <w:color w:val="0000FF"/>
          <w:sz w:val="28"/>
          <w:szCs w:val="28"/>
          <w:rtl/>
        </w:rPr>
        <w:t xml:space="preserve"> فإن المدين يكون ملزماً بتلك الخسارة</w:t>
      </w:r>
      <w:r>
        <w:rPr>
          <w:rFonts w:hint="cs"/>
          <w:color w:val="0000FF"/>
          <w:sz w:val="28"/>
          <w:szCs w:val="28"/>
          <w:rtl/>
        </w:rPr>
        <w:t xml:space="preserve"> ،</w:t>
      </w:r>
      <w:r w:rsidRPr="00923B1A">
        <w:rPr>
          <w:rFonts w:hint="cs"/>
          <w:color w:val="0000FF"/>
          <w:sz w:val="28"/>
          <w:szCs w:val="28"/>
          <w:rtl/>
        </w:rPr>
        <w:t xml:space="preserve"> كما لو اضطر الدائن إلى  بيع ملكه بثمن بخس ليؤدي الدين</w:t>
      </w:r>
      <w:r>
        <w:rPr>
          <w:rFonts w:hint="cs"/>
          <w:color w:val="0000FF"/>
          <w:sz w:val="28"/>
          <w:szCs w:val="28"/>
          <w:rtl/>
        </w:rPr>
        <w:t xml:space="preserve"> ،</w:t>
      </w:r>
      <w:r w:rsidRPr="00923B1A">
        <w:rPr>
          <w:rFonts w:hint="cs"/>
          <w:color w:val="0000FF"/>
          <w:sz w:val="28"/>
          <w:szCs w:val="28"/>
          <w:rtl/>
        </w:rPr>
        <w:t xml:space="preserve"> أو وقع عليه حجز</w:t>
      </w:r>
      <w:r>
        <w:rPr>
          <w:rFonts w:hint="cs"/>
          <w:color w:val="0000FF"/>
          <w:sz w:val="28"/>
          <w:szCs w:val="28"/>
          <w:rtl/>
        </w:rPr>
        <w:t xml:space="preserve"> . .</w:t>
      </w:r>
      <w:r w:rsidRPr="00923B1A">
        <w:rPr>
          <w:rFonts w:hint="cs"/>
          <w:color w:val="0000FF"/>
          <w:sz w:val="28"/>
          <w:szCs w:val="28"/>
          <w:rtl/>
        </w:rPr>
        <w:t xml:space="preserve"> ومن رأي دي هلنس </w:t>
      </w:r>
      <w:r>
        <w:rPr>
          <w:rFonts w:hint="cs"/>
          <w:color w:val="0000FF"/>
          <w:sz w:val="28"/>
          <w:szCs w:val="28"/>
          <w:rtl/>
        </w:rPr>
        <w:t xml:space="preserve">( </w:t>
      </w:r>
      <w:r w:rsidRPr="00923B1A">
        <w:rPr>
          <w:rFonts w:hint="cs"/>
          <w:color w:val="0000FF"/>
          <w:sz w:val="28"/>
          <w:szCs w:val="28"/>
          <w:rtl/>
        </w:rPr>
        <w:t>كفالة فقرة 63</w:t>
      </w:r>
      <w:r>
        <w:rPr>
          <w:rFonts w:hint="cs"/>
          <w:color w:val="0000FF"/>
          <w:sz w:val="28"/>
          <w:szCs w:val="28"/>
          <w:rtl/>
        </w:rPr>
        <w:t xml:space="preserve"> )</w:t>
      </w:r>
      <w:r w:rsidRPr="00923B1A">
        <w:rPr>
          <w:rFonts w:hint="cs"/>
          <w:color w:val="0000FF"/>
          <w:sz w:val="28"/>
          <w:szCs w:val="28"/>
          <w:rtl/>
        </w:rPr>
        <w:t xml:space="preserve"> أيضاً أن للكفيل الحق في التعويضات</w:t>
      </w:r>
      <w:r>
        <w:rPr>
          <w:rFonts w:hint="cs"/>
          <w:color w:val="0000FF"/>
          <w:sz w:val="28"/>
          <w:szCs w:val="28"/>
          <w:rtl/>
        </w:rPr>
        <w:t xml:space="preserve"> .</w:t>
      </w:r>
      <w:r w:rsidRPr="00923B1A">
        <w:rPr>
          <w:rFonts w:hint="cs"/>
          <w:color w:val="0000FF"/>
          <w:sz w:val="28"/>
          <w:szCs w:val="28"/>
          <w:rtl/>
        </w:rPr>
        <w:t xml:space="preserve"> وهذا الرأي الأخير أقرب للعدالة ونرى الأخذ به</w:t>
      </w:r>
      <w:r>
        <w:rPr>
          <w:rFonts w:hint="cs"/>
          <w:color w:val="0000FF"/>
          <w:sz w:val="28"/>
          <w:szCs w:val="28"/>
          <w:rtl/>
        </w:rPr>
        <w:t xml:space="preserve"> ،</w:t>
      </w:r>
      <w:r w:rsidRPr="00923B1A">
        <w:rPr>
          <w:rFonts w:hint="cs"/>
          <w:color w:val="0000FF"/>
          <w:sz w:val="28"/>
          <w:szCs w:val="28"/>
          <w:rtl/>
        </w:rPr>
        <w:t xml:space="preserve"> وهو مطابق لقواعد الوكالة التي بمقتضاها على الوكيل إذا أصابته خسارة بسبب قيامه بأعمال التوكيل</w:t>
      </w:r>
      <w:r>
        <w:rPr>
          <w:rFonts w:hint="cs"/>
          <w:color w:val="0000FF"/>
          <w:sz w:val="28"/>
          <w:szCs w:val="28"/>
          <w:rtl/>
        </w:rPr>
        <w:t xml:space="preserve"> .</w:t>
      </w:r>
      <w:r w:rsidRPr="00923B1A">
        <w:rPr>
          <w:rFonts w:hint="cs"/>
          <w:color w:val="0000FF"/>
          <w:sz w:val="28"/>
          <w:szCs w:val="28"/>
          <w:rtl/>
        </w:rPr>
        <w:t xml:space="preserve"> ولا يحتج بعدم وجود النص</w:t>
      </w:r>
      <w:r>
        <w:rPr>
          <w:rFonts w:hint="cs"/>
          <w:color w:val="0000FF"/>
          <w:sz w:val="28"/>
          <w:szCs w:val="28"/>
          <w:rtl/>
        </w:rPr>
        <w:t xml:space="preserve"> ،</w:t>
      </w:r>
      <w:r w:rsidRPr="00923B1A">
        <w:rPr>
          <w:rFonts w:hint="cs"/>
          <w:color w:val="0000FF"/>
          <w:sz w:val="28"/>
          <w:szCs w:val="28"/>
          <w:rtl/>
        </w:rPr>
        <w:t xml:space="preserve"> فإنه من المقرر كما أسلفنا تعويض الوكيل عن الخسارة التي تلحقه مع أنه لم يرد في التقنين الملغي نص صريح كنص المادة 2000 فرنسي</w:t>
      </w:r>
      <w:r>
        <w:rPr>
          <w:rFonts w:hint="cs"/>
          <w:color w:val="0000FF"/>
          <w:sz w:val="28"/>
          <w:szCs w:val="28"/>
          <w:rtl/>
        </w:rPr>
        <w:t xml:space="preserve"> .</w:t>
      </w:r>
      <w:r w:rsidRPr="00923B1A">
        <w:rPr>
          <w:rFonts w:hint="cs"/>
          <w:color w:val="0000FF"/>
          <w:sz w:val="28"/>
          <w:szCs w:val="28"/>
          <w:rtl/>
        </w:rPr>
        <w:t xml:space="preserve"> ولا نرى ما يبرر رأي الشراح الذين يقولون بعكس ما نقول</w:t>
      </w:r>
      <w:r>
        <w:rPr>
          <w:rFonts w:hint="cs"/>
          <w:color w:val="0000FF"/>
          <w:sz w:val="28"/>
          <w:szCs w:val="28"/>
          <w:rtl/>
        </w:rPr>
        <w:t xml:space="preserve"> ،</w:t>
      </w:r>
      <w:r w:rsidRPr="00923B1A">
        <w:rPr>
          <w:rFonts w:hint="cs"/>
          <w:color w:val="0000FF"/>
          <w:sz w:val="28"/>
          <w:szCs w:val="28"/>
          <w:rtl/>
        </w:rPr>
        <w:t xml:space="preserve"> إذ أنهم يحتجون بعدم النص فلا يجيزون للكفيل التعويضات</w:t>
      </w:r>
      <w:r>
        <w:rPr>
          <w:rFonts w:hint="cs"/>
          <w:color w:val="0000FF"/>
          <w:sz w:val="28"/>
          <w:szCs w:val="28"/>
          <w:rtl/>
        </w:rPr>
        <w:t xml:space="preserve"> ،</w:t>
      </w:r>
      <w:r w:rsidRPr="00923B1A">
        <w:rPr>
          <w:rFonts w:hint="cs"/>
          <w:color w:val="0000FF"/>
          <w:sz w:val="28"/>
          <w:szCs w:val="28"/>
          <w:rtl/>
        </w:rPr>
        <w:t xml:space="preserve"> وهم في الوقت نفسه يجيزون له سريان الفوائد على ما دفعه من وقت الدفع كالوكيل مع أنه لا يوجد نص في هذه الحالة أيضاً</w:t>
      </w:r>
      <w:r>
        <w:rPr>
          <w:rFonts w:hint="cs"/>
          <w:color w:val="0000FF"/>
          <w:sz w:val="28"/>
          <w:szCs w:val="28"/>
          <w:rtl/>
        </w:rPr>
        <w:t xml:space="preserve"> .</w:t>
      </w:r>
      <w:r w:rsidRPr="00923B1A">
        <w:rPr>
          <w:rFonts w:hint="cs"/>
          <w:color w:val="0000FF"/>
          <w:sz w:val="28"/>
          <w:szCs w:val="28"/>
          <w:rtl/>
        </w:rPr>
        <w:t xml:space="preserve"> ونرى من باب أولى الأخذ بالرأي الأخير في القانون الجديد" </w:t>
      </w:r>
      <w:r>
        <w:rPr>
          <w:rFonts w:hint="cs"/>
          <w:color w:val="0000FF"/>
          <w:sz w:val="28"/>
          <w:szCs w:val="28"/>
          <w:rtl/>
        </w:rPr>
        <w:t xml:space="preserve">( </w:t>
      </w:r>
      <w:r w:rsidRPr="00923B1A">
        <w:rPr>
          <w:rFonts w:hint="cs"/>
          <w:color w:val="0000FF"/>
          <w:sz w:val="28"/>
          <w:szCs w:val="28"/>
          <w:rtl/>
        </w:rPr>
        <w:t>محمد كامل مرسي فقرة 105 ص 145</w:t>
      </w:r>
      <w:r>
        <w:rPr>
          <w:rFonts w:hint="cs"/>
          <w:color w:val="0000FF"/>
          <w:sz w:val="28"/>
          <w:szCs w:val="28"/>
          <w:rtl/>
        </w:rPr>
        <w:t xml:space="preserve"> ) .</w:t>
      </w:r>
    </w:p>
  </w:footnote>
  <w:footnote w:id="38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427 ص 290 هامش 13 - بلانيول وريبير وسافاتييه فقرة 1540 ص 994</w:t>
      </w:r>
      <w:r>
        <w:rPr>
          <w:rFonts w:hint="cs"/>
          <w:color w:val="0000FF"/>
          <w:sz w:val="28"/>
          <w:szCs w:val="28"/>
          <w:rtl/>
        </w:rPr>
        <w:t xml:space="preserve"> .</w:t>
      </w:r>
    </w:p>
  </w:footnote>
  <w:footnote w:id="38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1540 ص 992 هامش 6</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هذا وقد قضت محكمة النقض في مصر بأنه إذا اتفق المدين مع صاحبه في الدين على أن يقوم الضامن بوفاء مبلغ الدين للدائن</w:t>
      </w:r>
      <w:r>
        <w:rPr>
          <w:rFonts w:hint="cs"/>
          <w:color w:val="0000FF"/>
          <w:sz w:val="28"/>
          <w:szCs w:val="28"/>
          <w:rtl/>
        </w:rPr>
        <w:t xml:space="preserve"> ،</w:t>
      </w:r>
      <w:r w:rsidRPr="00923B1A">
        <w:rPr>
          <w:rFonts w:hint="cs"/>
          <w:color w:val="0000FF"/>
          <w:sz w:val="28"/>
          <w:szCs w:val="28"/>
          <w:rtl/>
        </w:rPr>
        <w:t xml:space="preserve"> ثم اتخذ الأخير إجراءات الحجز ضد مدينه ولم يكن ذلك نتيجة تقصير الضامن في الوفاء بما التزم به قبل المدين بل كان تنفيذا لحكم صادر ضد هذا الأخير من دين خاص به وتنفذا للحكم الآخر الصادر ضد المدين وصاحبه عن الدين المضمون </w:t>
      </w:r>
      <w:r w:rsidRPr="00923B1A">
        <w:rPr>
          <w:color w:val="0000FF"/>
          <w:sz w:val="28"/>
          <w:szCs w:val="28"/>
          <w:rtl/>
        </w:rPr>
        <w:t>–</w:t>
      </w:r>
      <w:r w:rsidRPr="00923B1A">
        <w:rPr>
          <w:rFonts w:hint="cs"/>
          <w:color w:val="0000FF"/>
          <w:sz w:val="28"/>
          <w:szCs w:val="28"/>
          <w:rtl/>
        </w:rPr>
        <w:t xml:space="preserve"> وسواء كان تصرف الدائن على هذا الوجه أو لم يكن كذلك </w:t>
      </w:r>
      <w:r w:rsidRPr="00923B1A">
        <w:rPr>
          <w:color w:val="0000FF"/>
          <w:sz w:val="28"/>
          <w:szCs w:val="28"/>
          <w:rtl/>
        </w:rPr>
        <w:t>–</w:t>
      </w:r>
      <w:r w:rsidRPr="00923B1A">
        <w:rPr>
          <w:rFonts w:hint="cs"/>
          <w:color w:val="0000FF"/>
          <w:sz w:val="28"/>
          <w:szCs w:val="28"/>
          <w:rtl/>
        </w:rPr>
        <w:t xml:space="preserve"> فإن هذا التصرف لا يرتب حقا للمدين قبل الضامن طالما أن إجراءات الحجز العقاري لم تتخذ بسبب تقصير هذا الضامن في الوفاء بالتزامه</w:t>
      </w:r>
      <w:r>
        <w:rPr>
          <w:rFonts w:hint="cs"/>
          <w:color w:val="0000FF"/>
          <w:sz w:val="28"/>
          <w:szCs w:val="28"/>
          <w:rtl/>
        </w:rPr>
        <w:t xml:space="preserve"> ،</w:t>
      </w:r>
      <w:r w:rsidRPr="00923B1A">
        <w:rPr>
          <w:rFonts w:hint="cs"/>
          <w:color w:val="0000FF"/>
          <w:sz w:val="28"/>
          <w:szCs w:val="28"/>
          <w:rtl/>
        </w:rPr>
        <w:t xml:space="preserve"> وما دام من الثابت قطعا أن بعض الدين الذي كان الدائن يطلب البيع من أجله هو دين خاص بالدين وحده</w:t>
      </w:r>
      <w:r>
        <w:rPr>
          <w:rFonts w:hint="cs"/>
          <w:color w:val="0000FF"/>
          <w:sz w:val="28"/>
          <w:szCs w:val="28"/>
          <w:rtl/>
        </w:rPr>
        <w:t xml:space="preserve"> .</w:t>
      </w:r>
      <w:r w:rsidRPr="00923B1A">
        <w:rPr>
          <w:rFonts w:hint="cs"/>
          <w:color w:val="0000FF"/>
          <w:sz w:val="28"/>
          <w:szCs w:val="28"/>
          <w:rtl/>
        </w:rPr>
        <w:t xml:space="preserve"> ولا يغير من هذا النظر ولا ينال منه القول بأن الضامن كان متفقا مع الدائن على شراء أطيان المدين عند عرضها للبيع</w:t>
      </w:r>
      <w:r>
        <w:rPr>
          <w:rFonts w:hint="cs"/>
          <w:color w:val="0000FF"/>
          <w:sz w:val="28"/>
          <w:szCs w:val="28"/>
          <w:rtl/>
        </w:rPr>
        <w:t xml:space="preserve"> ،</w:t>
      </w:r>
      <w:r w:rsidRPr="00923B1A">
        <w:rPr>
          <w:rFonts w:hint="cs"/>
          <w:color w:val="0000FF"/>
          <w:sz w:val="28"/>
          <w:szCs w:val="28"/>
          <w:rtl/>
        </w:rPr>
        <w:t xml:space="preserve"> إذ ليس ثمة ما يمنع من هذا الاتفاق وشأن الضامن شأن غيره من الراغبين في الشراء </w:t>
      </w:r>
      <w:r>
        <w:rPr>
          <w:rFonts w:hint="cs"/>
          <w:color w:val="0000FF"/>
          <w:sz w:val="28"/>
          <w:szCs w:val="28"/>
          <w:rtl/>
        </w:rPr>
        <w:t xml:space="preserve">( </w:t>
      </w:r>
      <w:r w:rsidRPr="00923B1A">
        <w:rPr>
          <w:rFonts w:hint="cs"/>
          <w:color w:val="0000FF"/>
          <w:sz w:val="28"/>
          <w:szCs w:val="28"/>
          <w:rtl/>
        </w:rPr>
        <w:t>نقض مدني 31 أكتوبر سنة 1957 مجموعة أحكام النقض 8 ص 793</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وانظر أيضاً نقض مدني 6 فبراير سنة 1958 مجموعة أحكام النقض 9 ص 120</w:t>
      </w:r>
      <w:r>
        <w:rPr>
          <w:rFonts w:hint="cs"/>
          <w:color w:val="0000FF"/>
          <w:sz w:val="28"/>
          <w:szCs w:val="28"/>
          <w:rtl/>
        </w:rPr>
        <w:t xml:space="preserve"> .</w:t>
      </w:r>
    </w:p>
  </w:footnote>
  <w:footnote w:id="38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25 نوفمبر سنة 1891 داللوز 92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261 </w:t>
      </w:r>
      <w:r w:rsidRPr="00923B1A">
        <w:rPr>
          <w:color w:val="0000FF"/>
          <w:sz w:val="28"/>
          <w:szCs w:val="28"/>
          <w:rtl/>
        </w:rPr>
        <w:t>–</w:t>
      </w:r>
      <w:r w:rsidRPr="00923B1A">
        <w:rPr>
          <w:rFonts w:hint="cs"/>
          <w:color w:val="0000FF"/>
          <w:sz w:val="28"/>
          <w:szCs w:val="28"/>
          <w:rtl/>
        </w:rPr>
        <w:t xml:space="preserve"> جيوار فقرة 161 وفقرة 181</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 xml:space="preserve">وذلك ما لم يبرئ الدائن الكفيل لا من الكفالة فحسب بل </w:t>
      </w:r>
      <w:r>
        <w:rPr>
          <w:rFonts w:hint="cs"/>
          <w:color w:val="0000FF"/>
          <w:sz w:val="28"/>
          <w:szCs w:val="28"/>
          <w:rtl/>
        </w:rPr>
        <w:t>أ</w:t>
      </w:r>
      <w:r w:rsidRPr="00923B1A">
        <w:rPr>
          <w:rFonts w:hint="cs"/>
          <w:color w:val="0000FF"/>
          <w:sz w:val="28"/>
          <w:szCs w:val="28"/>
          <w:rtl/>
        </w:rPr>
        <w:t>ن الدين فنسه</w:t>
      </w:r>
      <w:r>
        <w:rPr>
          <w:rFonts w:hint="cs"/>
          <w:color w:val="0000FF"/>
          <w:sz w:val="28"/>
          <w:szCs w:val="28"/>
          <w:rtl/>
        </w:rPr>
        <w:t xml:space="preserve"> ،</w:t>
      </w:r>
      <w:r w:rsidRPr="00923B1A">
        <w:rPr>
          <w:rFonts w:hint="cs"/>
          <w:color w:val="0000FF"/>
          <w:sz w:val="28"/>
          <w:szCs w:val="28"/>
          <w:rtl/>
        </w:rPr>
        <w:t xml:space="preserve"> فيكون في حكم من وهب الدين للكفيل</w:t>
      </w:r>
      <w:r>
        <w:rPr>
          <w:rFonts w:hint="cs"/>
          <w:color w:val="0000FF"/>
          <w:sz w:val="28"/>
          <w:szCs w:val="28"/>
          <w:rtl/>
        </w:rPr>
        <w:t xml:space="preserve"> ،</w:t>
      </w:r>
      <w:r w:rsidRPr="00923B1A">
        <w:rPr>
          <w:rFonts w:hint="cs"/>
          <w:color w:val="0000FF"/>
          <w:sz w:val="28"/>
          <w:szCs w:val="28"/>
          <w:rtl/>
        </w:rPr>
        <w:t xml:space="preserve"> ويجوز لهذا الأخير  الرجوع على المدين بكل الدين باعتباره أنه موهوب له </w:t>
      </w:r>
      <w:r>
        <w:rPr>
          <w:rFonts w:hint="cs"/>
          <w:color w:val="0000FF"/>
          <w:sz w:val="28"/>
          <w:szCs w:val="28"/>
          <w:rtl/>
        </w:rPr>
        <w:t xml:space="preserve">( </w:t>
      </w:r>
      <w:r w:rsidRPr="00923B1A">
        <w:rPr>
          <w:rFonts w:hint="cs"/>
          <w:color w:val="0000FF"/>
          <w:sz w:val="28"/>
          <w:szCs w:val="28"/>
          <w:rtl/>
        </w:rPr>
        <w:t>انظر آنفاً فقرة 62 في الهامش</w:t>
      </w:r>
      <w:r>
        <w:rPr>
          <w:rFonts w:hint="cs"/>
          <w:color w:val="0000FF"/>
          <w:sz w:val="28"/>
          <w:szCs w:val="28"/>
          <w:rtl/>
        </w:rPr>
        <w:t xml:space="preserve"> ) .</w:t>
      </w:r>
      <w:r w:rsidRPr="00923B1A">
        <w:rPr>
          <w:rFonts w:hint="cs"/>
          <w:color w:val="0000FF"/>
          <w:sz w:val="28"/>
          <w:szCs w:val="28"/>
          <w:rtl/>
        </w:rPr>
        <w:t xml:space="preserve"> وهذا بخلاف ما إذا كان الدائن قد أبرأ الكفيل من الكفالة في نظير هذا الوفاء الجزئي أو قبل وفاء جزئيا بموج بصلح مع الكفيل</w:t>
      </w:r>
      <w:r>
        <w:rPr>
          <w:rFonts w:hint="cs"/>
          <w:color w:val="0000FF"/>
          <w:sz w:val="28"/>
          <w:szCs w:val="28"/>
          <w:rtl/>
        </w:rPr>
        <w:t xml:space="preserve"> ،</w:t>
      </w:r>
      <w:r w:rsidRPr="00923B1A">
        <w:rPr>
          <w:rFonts w:hint="cs"/>
          <w:color w:val="0000FF"/>
          <w:sz w:val="28"/>
          <w:szCs w:val="28"/>
          <w:rtl/>
        </w:rPr>
        <w:t xml:space="preserve"> فإن الكفل لا يرجع على المدين إلا بمقدار هذا الوفاء الجزئي </w:t>
      </w:r>
      <w:r>
        <w:rPr>
          <w:rFonts w:hint="cs"/>
          <w:color w:val="0000FF"/>
          <w:sz w:val="28"/>
          <w:szCs w:val="28"/>
          <w:rtl/>
        </w:rPr>
        <w:t xml:space="preserve">( </w:t>
      </w:r>
      <w:r w:rsidRPr="00923B1A">
        <w:rPr>
          <w:rFonts w:hint="cs"/>
          <w:color w:val="0000FF"/>
          <w:sz w:val="28"/>
          <w:szCs w:val="28"/>
          <w:rtl/>
        </w:rPr>
        <w:t xml:space="preserve">بون 2 فقرة 235 </w:t>
      </w:r>
      <w:r w:rsidRPr="00923B1A">
        <w:rPr>
          <w:color w:val="0000FF"/>
          <w:sz w:val="28"/>
          <w:szCs w:val="28"/>
          <w:rtl/>
        </w:rPr>
        <w:t>–</w:t>
      </w:r>
      <w:r w:rsidRPr="00923B1A">
        <w:rPr>
          <w:rFonts w:hint="cs"/>
          <w:color w:val="0000FF"/>
          <w:sz w:val="28"/>
          <w:szCs w:val="28"/>
          <w:rtl/>
        </w:rPr>
        <w:t xml:space="preserve"> لوران 28 فقرة 232 </w:t>
      </w:r>
      <w:r w:rsidRPr="00923B1A">
        <w:rPr>
          <w:color w:val="0000FF"/>
          <w:sz w:val="28"/>
          <w:szCs w:val="28"/>
          <w:rtl/>
        </w:rPr>
        <w:t>–</w:t>
      </w:r>
      <w:r w:rsidRPr="00923B1A">
        <w:rPr>
          <w:rFonts w:hint="cs"/>
          <w:color w:val="0000FF"/>
          <w:sz w:val="28"/>
          <w:szCs w:val="28"/>
          <w:rtl/>
        </w:rPr>
        <w:t xml:space="preserve"> جيوار فقرة 170 </w:t>
      </w:r>
      <w:r w:rsidRPr="00923B1A">
        <w:rPr>
          <w:color w:val="0000FF"/>
          <w:sz w:val="28"/>
          <w:szCs w:val="28"/>
          <w:rtl/>
        </w:rPr>
        <w:t>–</w:t>
      </w:r>
      <w:r w:rsidRPr="00923B1A">
        <w:rPr>
          <w:rFonts w:hint="cs"/>
          <w:color w:val="0000FF"/>
          <w:sz w:val="28"/>
          <w:szCs w:val="28"/>
          <w:rtl/>
        </w:rPr>
        <w:t xml:space="preserve"> بودري وفال فقرة 1083</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وإذا دفع الكفيل للدائن مقدار زائدا على الدين</w:t>
      </w:r>
      <w:r>
        <w:rPr>
          <w:rFonts w:hint="cs"/>
          <w:color w:val="0000FF"/>
          <w:sz w:val="28"/>
          <w:szCs w:val="28"/>
          <w:rtl/>
        </w:rPr>
        <w:t xml:space="preserve"> ،</w:t>
      </w:r>
      <w:r w:rsidRPr="00923B1A">
        <w:rPr>
          <w:rFonts w:hint="cs"/>
          <w:color w:val="0000FF"/>
          <w:sz w:val="28"/>
          <w:szCs w:val="28"/>
          <w:rtl/>
        </w:rPr>
        <w:t xml:space="preserve"> فإنه لا يرجع على المدين إلا بمقدار الدين فقط حتى لا يضار المدين من جراء دفع الزيادة </w:t>
      </w:r>
      <w:r>
        <w:rPr>
          <w:rFonts w:hint="cs"/>
          <w:color w:val="0000FF"/>
          <w:sz w:val="28"/>
          <w:szCs w:val="28"/>
          <w:rtl/>
        </w:rPr>
        <w:t xml:space="preserve">( </w:t>
      </w:r>
      <w:r w:rsidRPr="00923B1A">
        <w:rPr>
          <w:rFonts w:hint="cs"/>
          <w:color w:val="0000FF"/>
          <w:sz w:val="28"/>
          <w:szCs w:val="28"/>
          <w:rtl/>
        </w:rPr>
        <w:t xml:space="preserve">جيوار فقرة 170 </w:t>
      </w:r>
      <w:r w:rsidRPr="00923B1A">
        <w:rPr>
          <w:color w:val="0000FF"/>
          <w:sz w:val="28"/>
          <w:szCs w:val="28"/>
          <w:rtl/>
        </w:rPr>
        <w:t>–</w:t>
      </w:r>
      <w:r w:rsidRPr="00923B1A">
        <w:rPr>
          <w:rFonts w:hint="cs"/>
          <w:color w:val="0000FF"/>
          <w:sz w:val="28"/>
          <w:szCs w:val="28"/>
          <w:rtl/>
        </w:rPr>
        <w:t xml:space="preserve"> بودري وفال فقرة 1083 ص 571</w:t>
      </w:r>
      <w:r>
        <w:rPr>
          <w:rFonts w:hint="cs"/>
          <w:color w:val="0000FF"/>
          <w:sz w:val="28"/>
          <w:szCs w:val="28"/>
          <w:rtl/>
        </w:rPr>
        <w:t xml:space="preserve"> ) .</w:t>
      </w:r>
    </w:p>
  </w:footnote>
  <w:footnote w:id="38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أول أغسطس سنة 1860 داللوز 60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502 </w:t>
      </w:r>
      <w:r w:rsidRPr="00923B1A">
        <w:rPr>
          <w:color w:val="0000FF"/>
          <w:sz w:val="28"/>
          <w:szCs w:val="28"/>
          <w:rtl/>
        </w:rPr>
        <w:t>–</w:t>
      </w:r>
      <w:r w:rsidRPr="00923B1A">
        <w:rPr>
          <w:rFonts w:hint="cs"/>
          <w:color w:val="0000FF"/>
          <w:sz w:val="28"/>
          <w:szCs w:val="28"/>
          <w:rtl/>
        </w:rPr>
        <w:t xml:space="preserve"> 21 يناير 1868 سيريه 68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256 </w:t>
      </w:r>
      <w:r w:rsidRPr="00923B1A">
        <w:rPr>
          <w:color w:val="0000FF"/>
          <w:sz w:val="28"/>
          <w:szCs w:val="28"/>
          <w:rtl/>
        </w:rPr>
        <w:t>–</w:t>
      </w:r>
      <w:r w:rsidRPr="00923B1A">
        <w:rPr>
          <w:rFonts w:hint="cs"/>
          <w:color w:val="0000FF"/>
          <w:sz w:val="28"/>
          <w:szCs w:val="28"/>
          <w:rtl/>
        </w:rPr>
        <w:t xml:space="preserve"> 25 نوفمبر سنة 1891 داللوز 92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261 </w:t>
      </w:r>
      <w:r w:rsidRPr="00923B1A">
        <w:rPr>
          <w:color w:val="0000FF"/>
          <w:sz w:val="28"/>
          <w:szCs w:val="28"/>
          <w:rtl/>
        </w:rPr>
        <w:t>–</w:t>
      </w:r>
      <w:r w:rsidRPr="00923B1A">
        <w:rPr>
          <w:rFonts w:hint="cs"/>
          <w:color w:val="0000FF"/>
          <w:sz w:val="28"/>
          <w:szCs w:val="28"/>
          <w:rtl/>
        </w:rPr>
        <w:t xml:space="preserve"> بون 2 فقرة 275 </w:t>
      </w:r>
      <w:r w:rsidRPr="00923B1A">
        <w:rPr>
          <w:color w:val="0000FF"/>
          <w:sz w:val="28"/>
          <w:szCs w:val="28"/>
          <w:rtl/>
        </w:rPr>
        <w:t>–</w:t>
      </w:r>
      <w:r w:rsidRPr="00923B1A">
        <w:rPr>
          <w:rFonts w:hint="cs"/>
          <w:color w:val="0000FF"/>
          <w:sz w:val="28"/>
          <w:szCs w:val="28"/>
          <w:rtl/>
        </w:rPr>
        <w:t xml:space="preserve"> أوبري ورو 6 فقرة 427 ص 291 </w:t>
      </w:r>
      <w:r w:rsidRPr="00923B1A">
        <w:rPr>
          <w:color w:val="0000FF"/>
          <w:sz w:val="28"/>
          <w:szCs w:val="28"/>
          <w:rtl/>
        </w:rPr>
        <w:t>–</w:t>
      </w:r>
      <w:r w:rsidRPr="00923B1A">
        <w:rPr>
          <w:rFonts w:hint="cs"/>
          <w:color w:val="0000FF"/>
          <w:sz w:val="28"/>
          <w:szCs w:val="28"/>
          <w:rtl/>
        </w:rPr>
        <w:t xml:space="preserve"> بودري وفال فقرة 1085 ص 573 </w:t>
      </w:r>
      <w:r w:rsidRPr="00923B1A">
        <w:rPr>
          <w:color w:val="0000FF"/>
          <w:sz w:val="28"/>
          <w:szCs w:val="28"/>
          <w:rtl/>
        </w:rPr>
        <w:t>–</w:t>
      </w:r>
      <w:r w:rsidRPr="00923B1A">
        <w:rPr>
          <w:rFonts w:hint="cs"/>
          <w:color w:val="0000FF"/>
          <w:sz w:val="28"/>
          <w:szCs w:val="28"/>
          <w:rtl/>
        </w:rPr>
        <w:t xml:space="preserve"> ولا يكون الكفيل مسئولا قبل الدائن بسبب ما حصل عليه من جراء رجوعه على المدين</w:t>
      </w:r>
      <w:r>
        <w:rPr>
          <w:rFonts w:hint="cs"/>
          <w:color w:val="0000FF"/>
          <w:sz w:val="28"/>
          <w:szCs w:val="28"/>
          <w:rtl/>
        </w:rPr>
        <w:t xml:space="preserve"> ،</w:t>
      </w:r>
      <w:r w:rsidRPr="00923B1A">
        <w:rPr>
          <w:rFonts w:hint="cs"/>
          <w:color w:val="0000FF"/>
          <w:sz w:val="28"/>
          <w:szCs w:val="28"/>
          <w:rtl/>
        </w:rPr>
        <w:t xml:space="preserve"> بل يخلص له ما حصل عليه ولا يشاركه الدائن فيه </w:t>
      </w:r>
      <w:r>
        <w:rPr>
          <w:rFonts w:hint="cs"/>
          <w:color w:val="0000FF"/>
          <w:sz w:val="28"/>
          <w:szCs w:val="28"/>
          <w:rtl/>
        </w:rPr>
        <w:t xml:space="preserve">( </w:t>
      </w:r>
      <w:r w:rsidRPr="00923B1A">
        <w:rPr>
          <w:rFonts w:hint="cs"/>
          <w:color w:val="0000FF"/>
          <w:sz w:val="28"/>
          <w:szCs w:val="28"/>
          <w:rtl/>
        </w:rPr>
        <w:t xml:space="preserve">جيوار فقرة 16 وفقرة 181 </w:t>
      </w:r>
      <w:r w:rsidRPr="00923B1A">
        <w:rPr>
          <w:color w:val="0000FF"/>
          <w:sz w:val="28"/>
          <w:szCs w:val="28"/>
          <w:rtl/>
        </w:rPr>
        <w:t>–</w:t>
      </w:r>
      <w:r w:rsidRPr="00923B1A">
        <w:rPr>
          <w:rFonts w:hint="cs"/>
          <w:color w:val="0000FF"/>
          <w:sz w:val="28"/>
          <w:szCs w:val="28"/>
          <w:rtl/>
        </w:rPr>
        <w:t xml:space="preserve"> بودري وفال فقرة 1085 ص 573 </w:t>
      </w:r>
      <w:r w:rsidRPr="00923B1A">
        <w:rPr>
          <w:color w:val="0000FF"/>
          <w:sz w:val="28"/>
          <w:szCs w:val="28"/>
          <w:rtl/>
        </w:rPr>
        <w:t>–</w:t>
      </w:r>
      <w:r w:rsidRPr="00923B1A">
        <w:rPr>
          <w:rFonts w:hint="cs"/>
          <w:color w:val="0000FF"/>
          <w:sz w:val="28"/>
          <w:szCs w:val="28"/>
          <w:rtl/>
        </w:rPr>
        <w:t xml:space="preserve"> بلانيول وريبير وسافاتييه فقرة 1540 ص 993 هامش 1 </w:t>
      </w:r>
      <w:r w:rsidRPr="00923B1A">
        <w:rPr>
          <w:color w:val="0000FF"/>
          <w:sz w:val="28"/>
          <w:szCs w:val="28"/>
          <w:rtl/>
        </w:rPr>
        <w:t>–</w:t>
      </w:r>
      <w:r w:rsidRPr="00923B1A">
        <w:rPr>
          <w:rFonts w:hint="cs"/>
          <w:color w:val="0000FF"/>
          <w:sz w:val="28"/>
          <w:szCs w:val="28"/>
          <w:rtl/>
        </w:rPr>
        <w:t xml:space="preserve"> نقض فرنسي 25 نوفمبر سنة 1891 داللوز 92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161</w:t>
      </w:r>
      <w:r>
        <w:rPr>
          <w:rFonts w:hint="cs"/>
          <w:color w:val="0000FF"/>
          <w:sz w:val="28"/>
          <w:szCs w:val="28"/>
          <w:rtl/>
        </w:rPr>
        <w:t xml:space="preserve"> ) .</w:t>
      </w:r>
      <w:r w:rsidRPr="00923B1A">
        <w:rPr>
          <w:rFonts w:hint="cs"/>
          <w:color w:val="0000FF"/>
          <w:sz w:val="28"/>
          <w:szCs w:val="28"/>
          <w:rtl/>
        </w:rPr>
        <w:t xml:space="preserve"> وكذلك لو كان للكفيل دين آخر في ذمة المدين فإنه يرجع به عليه</w:t>
      </w:r>
      <w:r>
        <w:rPr>
          <w:rFonts w:hint="cs"/>
          <w:color w:val="0000FF"/>
          <w:sz w:val="28"/>
          <w:szCs w:val="28"/>
          <w:rtl/>
        </w:rPr>
        <w:t xml:space="preserve"> ،</w:t>
      </w:r>
      <w:r w:rsidRPr="00923B1A">
        <w:rPr>
          <w:rFonts w:hint="cs"/>
          <w:color w:val="0000FF"/>
          <w:sz w:val="28"/>
          <w:szCs w:val="28"/>
          <w:rtl/>
        </w:rPr>
        <w:t xml:space="preserve"> ويزاحم الدائن في رجوعه</w:t>
      </w:r>
      <w:r>
        <w:rPr>
          <w:rFonts w:hint="cs"/>
          <w:color w:val="0000FF"/>
          <w:sz w:val="28"/>
          <w:szCs w:val="28"/>
          <w:rtl/>
        </w:rPr>
        <w:t xml:space="preserve"> ،</w:t>
      </w:r>
      <w:r w:rsidRPr="00923B1A">
        <w:rPr>
          <w:rFonts w:hint="cs"/>
          <w:color w:val="0000FF"/>
          <w:sz w:val="28"/>
          <w:szCs w:val="28"/>
          <w:rtl/>
        </w:rPr>
        <w:t xml:space="preserve"> وإذا حصل من المدين على جزء من دينه فلا يشاركه فيه الدائن </w:t>
      </w:r>
      <w:r>
        <w:rPr>
          <w:rFonts w:hint="cs"/>
          <w:color w:val="0000FF"/>
          <w:sz w:val="28"/>
          <w:szCs w:val="28"/>
          <w:rtl/>
        </w:rPr>
        <w:t xml:space="preserve">( </w:t>
      </w:r>
      <w:r w:rsidRPr="00923B1A">
        <w:rPr>
          <w:rFonts w:hint="cs"/>
          <w:color w:val="0000FF"/>
          <w:sz w:val="28"/>
          <w:szCs w:val="28"/>
          <w:rtl/>
        </w:rPr>
        <w:t xml:space="preserve">جيوار فقرة 164 </w:t>
      </w:r>
      <w:r w:rsidRPr="00923B1A">
        <w:rPr>
          <w:color w:val="0000FF"/>
          <w:sz w:val="28"/>
          <w:szCs w:val="28"/>
          <w:rtl/>
        </w:rPr>
        <w:t>–</w:t>
      </w:r>
      <w:r w:rsidRPr="00923B1A">
        <w:rPr>
          <w:rFonts w:hint="cs"/>
          <w:color w:val="0000FF"/>
          <w:sz w:val="28"/>
          <w:szCs w:val="28"/>
          <w:rtl/>
        </w:rPr>
        <w:t xml:space="preserve"> بودري وفال فقرة 1085</w:t>
      </w:r>
      <w:r>
        <w:rPr>
          <w:rFonts w:hint="cs"/>
          <w:color w:val="0000FF"/>
          <w:sz w:val="28"/>
          <w:szCs w:val="28"/>
          <w:rtl/>
        </w:rPr>
        <w:t xml:space="preserve"> ) .</w:t>
      </w:r>
      <w:r w:rsidRPr="00923B1A">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وإذا كان الدائن لم يخص بكل حقه من المدين</w:t>
      </w:r>
      <w:r>
        <w:rPr>
          <w:rFonts w:hint="cs"/>
          <w:color w:val="0000FF"/>
          <w:sz w:val="28"/>
          <w:szCs w:val="28"/>
          <w:rtl/>
        </w:rPr>
        <w:t xml:space="preserve"> ،</w:t>
      </w:r>
      <w:r w:rsidRPr="00923B1A">
        <w:rPr>
          <w:rFonts w:hint="cs"/>
          <w:color w:val="0000FF"/>
          <w:sz w:val="28"/>
          <w:szCs w:val="28"/>
          <w:rtl/>
        </w:rPr>
        <w:t xml:space="preserve"> وكان الكفيل مسئولا عن باقي الدين</w:t>
      </w:r>
      <w:r>
        <w:rPr>
          <w:rFonts w:hint="cs"/>
          <w:color w:val="0000FF"/>
          <w:sz w:val="28"/>
          <w:szCs w:val="28"/>
          <w:rtl/>
        </w:rPr>
        <w:t xml:space="preserve"> ،</w:t>
      </w:r>
      <w:r w:rsidRPr="00923B1A">
        <w:rPr>
          <w:rFonts w:hint="cs"/>
          <w:color w:val="0000FF"/>
          <w:sz w:val="28"/>
          <w:szCs w:val="28"/>
          <w:rtl/>
        </w:rPr>
        <w:t xml:space="preserve"> جار للدائن أن يحجز تحت يد المدين بما للكفيل في ذمته </w:t>
      </w:r>
      <w:r>
        <w:rPr>
          <w:rFonts w:hint="cs"/>
          <w:color w:val="0000FF"/>
          <w:sz w:val="28"/>
          <w:szCs w:val="28"/>
          <w:rtl/>
        </w:rPr>
        <w:t xml:space="preserve">( </w:t>
      </w:r>
      <w:r w:rsidRPr="00923B1A">
        <w:rPr>
          <w:rFonts w:hint="cs"/>
          <w:color w:val="0000FF"/>
          <w:sz w:val="28"/>
          <w:szCs w:val="28"/>
          <w:rtl/>
        </w:rPr>
        <w:t xml:space="preserve">عبد الفتاح عبد الباقي فقرة 106 </w:t>
      </w:r>
      <w:r w:rsidRPr="00923B1A">
        <w:rPr>
          <w:color w:val="0000FF"/>
          <w:sz w:val="28"/>
          <w:szCs w:val="28"/>
          <w:rtl/>
        </w:rPr>
        <w:t>–</w:t>
      </w:r>
      <w:r w:rsidRPr="00923B1A">
        <w:rPr>
          <w:rFonts w:hint="cs"/>
          <w:color w:val="0000FF"/>
          <w:sz w:val="28"/>
          <w:szCs w:val="28"/>
          <w:rtl/>
        </w:rPr>
        <w:t xml:space="preserve"> سليمان مرقس فقرة 115 ص 128</w:t>
      </w:r>
      <w:r>
        <w:rPr>
          <w:rFonts w:hint="cs"/>
          <w:color w:val="0000FF"/>
          <w:sz w:val="28"/>
          <w:szCs w:val="28"/>
          <w:rtl/>
        </w:rPr>
        <w:t xml:space="preserve"> ) .</w:t>
      </w:r>
    </w:p>
  </w:footnote>
  <w:footnote w:id="39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1153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867</w:t>
      </w:r>
      <w:r>
        <w:rPr>
          <w:rFonts w:hint="cs"/>
          <w:color w:val="0000FF"/>
          <w:sz w:val="28"/>
          <w:szCs w:val="28"/>
          <w:rtl/>
        </w:rPr>
        <w:t xml:space="preserve"> ،</w:t>
      </w:r>
      <w:r w:rsidRPr="00923B1A">
        <w:rPr>
          <w:rFonts w:hint="cs"/>
          <w:color w:val="0000FF"/>
          <w:sz w:val="28"/>
          <w:szCs w:val="28"/>
          <w:rtl/>
        </w:rPr>
        <w:t xml:space="preserve"> في المشروع النهائي </w:t>
      </w:r>
      <w:r w:rsidRPr="00923B1A">
        <w:rPr>
          <w:color w:val="0000FF"/>
          <w:sz w:val="28"/>
          <w:szCs w:val="28"/>
          <w:rtl/>
        </w:rPr>
        <w:t>–</w:t>
      </w:r>
      <w:r w:rsidRPr="00923B1A">
        <w:rPr>
          <w:rFonts w:hint="cs"/>
          <w:color w:val="0000FF"/>
          <w:sz w:val="28"/>
          <w:szCs w:val="28"/>
          <w:rtl/>
        </w:rPr>
        <w:t xml:space="preserve"> ووافق عليه مجلس النواب تحت رقم 866</w:t>
      </w:r>
      <w:r>
        <w:rPr>
          <w:rFonts w:hint="cs"/>
          <w:color w:val="0000FF"/>
          <w:sz w:val="28"/>
          <w:szCs w:val="28"/>
          <w:rtl/>
        </w:rPr>
        <w:t xml:space="preserve"> ،</w:t>
      </w:r>
      <w:r w:rsidRPr="00923B1A">
        <w:rPr>
          <w:rFonts w:hint="cs"/>
          <w:color w:val="0000FF"/>
          <w:sz w:val="28"/>
          <w:szCs w:val="28"/>
          <w:rtl/>
        </w:rPr>
        <w:t xml:space="preserve"> ثم مجلس الشيوخ تحت رقم 799 </w:t>
      </w:r>
      <w:r>
        <w:rPr>
          <w:rFonts w:hint="cs"/>
          <w:color w:val="0000FF"/>
          <w:sz w:val="28"/>
          <w:szCs w:val="28"/>
          <w:rtl/>
        </w:rPr>
        <w:t xml:space="preserve">( </w:t>
      </w:r>
      <w:r w:rsidRPr="00923B1A">
        <w:rPr>
          <w:rFonts w:hint="cs"/>
          <w:color w:val="0000FF"/>
          <w:sz w:val="28"/>
          <w:szCs w:val="28"/>
          <w:rtl/>
        </w:rPr>
        <w:t xml:space="preserve">مجموعة الأعمال التحضيرية 5 ص 541 </w:t>
      </w:r>
      <w:r w:rsidRPr="00923B1A">
        <w:rPr>
          <w:color w:val="0000FF"/>
          <w:sz w:val="28"/>
          <w:szCs w:val="28"/>
          <w:rtl/>
        </w:rPr>
        <w:t>–</w:t>
      </w:r>
      <w:r w:rsidRPr="00923B1A">
        <w:rPr>
          <w:rFonts w:hint="cs"/>
          <w:color w:val="0000FF"/>
          <w:sz w:val="28"/>
          <w:szCs w:val="28"/>
          <w:rtl/>
        </w:rPr>
        <w:t xml:space="preserve"> ص 546</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م 505/617</w:t>
      </w:r>
      <w:r>
        <w:rPr>
          <w:rFonts w:hint="cs"/>
          <w:color w:val="0000FF"/>
          <w:sz w:val="28"/>
          <w:szCs w:val="28"/>
          <w:rtl/>
        </w:rPr>
        <w:t xml:space="preserve"> :</w:t>
      </w:r>
      <w:r w:rsidRPr="00923B1A">
        <w:rPr>
          <w:rFonts w:hint="cs"/>
          <w:color w:val="0000FF"/>
          <w:sz w:val="28"/>
          <w:szCs w:val="28"/>
          <w:rtl/>
        </w:rPr>
        <w:t xml:space="preserve"> إذا دفع الكفيل عند حلول الأجل</w:t>
      </w:r>
      <w:r>
        <w:rPr>
          <w:rFonts w:hint="cs"/>
          <w:color w:val="0000FF"/>
          <w:sz w:val="28"/>
          <w:szCs w:val="28"/>
          <w:rtl/>
        </w:rPr>
        <w:t xml:space="preserve"> ،</w:t>
      </w:r>
      <w:r w:rsidRPr="00923B1A">
        <w:rPr>
          <w:rFonts w:hint="cs"/>
          <w:color w:val="0000FF"/>
          <w:sz w:val="28"/>
          <w:szCs w:val="28"/>
          <w:rtl/>
        </w:rPr>
        <w:t xml:space="preserve"> فله الرجوع على المدين </w:t>
      </w:r>
      <w:r>
        <w:rPr>
          <w:rFonts w:hint="cs"/>
          <w:color w:val="0000FF"/>
          <w:sz w:val="28"/>
          <w:szCs w:val="28"/>
          <w:rtl/>
        </w:rPr>
        <w:t xml:space="preserve"> . . .</w:t>
      </w:r>
      <w:r w:rsidRPr="00923B1A">
        <w:rPr>
          <w:rFonts w:hint="cs"/>
          <w:color w:val="0000FF"/>
          <w:sz w:val="28"/>
          <w:szCs w:val="28"/>
          <w:rtl/>
        </w:rPr>
        <w:t xml:space="preserve"> ويحل محل الدائن في حقوقه</w:t>
      </w:r>
      <w:r>
        <w:rPr>
          <w:rFonts w:hint="cs"/>
          <w:color w:val="0000FF"/>
          <w:sz w:val="28"/>
          <w:szCs w:val="28"/>
          <w:rtl/>
        </w:rPr>
        <w:t xml:space="preserve"> ،</w:t>
      </w:r>
      <w:r w:rsidRPr="00923B1A">
        <w:rPr>
          <w:rFonts w:hint="cs"/>
          <w:color w:val="0000FF"/>
          <w:sz w:val="28"/>
          <w:szCs w:val="28"/>
          <w:rtl/>
        </w:rPr>
        <w:t xml:space="preserve"> لكن لا تجوز له المطالبة إلا بعد استيفاء الدائن دينه بتمامه إذا كان الكفيل لم يدفع إلا جزءاً من الدين</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808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1033/2</w:t>
      </w:r>
      <w:r>
        <w:rPr>
          <w:rFonts w:hint="cs"/>
          <w:color w:val="0000FF"/>
          <w:sz w:val="28"/>
          <w:szCs w:val="28"/>
          <w:rtl/>
        </w:rPr>
        <w:t xml:space="preserve"> :</w:t>
      </w:r>
      <w:r w:rsidRPr="00923B1A">
        <w:rPr>
          <w:rFonts w:hint="cs"/>
          <w:color w:val="0000FF"/>
          <w:sz w:val="28"/>
          <w:szCs w:val="28"/>
          <w:rtl/>
        </w:rPr>
        <w:t xml:space="preserve"> ويحل الكفيل محل الدائن في جميع ما لهذا الدائن من الحقوق</w:t>
      </w:r>
      <w:r>
        <w:rPr>
          <w:rFonts w:hint="cs"/>
          <w:color w:val="0000FF"/>
          <w:sz w:val="28"/>
          <w:szCs w:val="28"/>
          <w:rtl/>
        </w:rPr>
        <w:t xml:space="preserve"> ،</w:t>
      </w:r>
      <w:r w:rsidRPr="00923B1A">
        <w:rPr>
          <w:rFonts w:hint="cs"/>
          <w:color w:val="0000FF"/>
          <w:sz w:val="28"/>
          <w:szCs w:val="28"/>
          <w:rtl/>
        </w:rPr>
        <w:t xml:space="preserve"> سواء كانت الكفالة بأمر المدين أو بغير أمره</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1084</w:t>
      </w:r>
      <w:r>
        <w:rPr>
          <w:rFonts w:hint="cs"/>
          <w:color w:val="0000FF"/>
          <w:sz w:val="28"/>
          <w:szCs w:val="28"/>
          <w:rtl/>
        </w:rPr>
        <w:t xml:space="preserve"> :</w:t>
      </w:r>
      <w:r w:rsidRPr="00923B1A">
        <w:rPr>
          <w:rFonts w:hint="cs"/>
          <w:color w:val="0000FF"/>
          <w:sz w:val="28"/>
          <w:szCs w:val="28"/>
          <w:rtl/>
        </w:rPr>
        <w:t xml:space="preserve"> أن الكفيل الذي أوفى الدين على وجه صحيح يحل محل الدائن في جميع حقوقه وامتيازاته على المديون الأصلي بقدر المبلغ الذي دفعه</w:t>
      </w:r>
      <w:r>
        <w:rPr>
          <w:rFonts w:hint="cs"/>
          <w:color w:val="0000FF"/>
          <w:sz w:val="28"/>
          <w:szCs w:val="28"/>
          <w:rtl/>
        </w:rPr>
        <w:t xml:space="preserve"> ،</w:t>
      </w:r>
      <w:r w:rsidRPr="00923B1A">
        <w:rPr>
          <w:rFonts w:hint="cs"/>
          <w:color w:val="0000FF"/>
          <w:sz w:val="28"/>
          <w:szCs w:val="28"/>
          <w:rtl/>
        </w:rPr>
        <w:t xml:space="preserve"> وعلى سائر الكفلاء بقدر حصصهم وأنصبتهم</w:t>
      </w:r>
      <w:r>
        <w:rPr>
          <w:rFonts w:hint="cs"/>
          <w:color w:val="0000FF"/>
          <w:sz w:val="28"/>
          <w:szCs w:val="28"/>
          <w:rtl/>
        </w:rPr>
        <w:t xml:space="preserve"> .</w:t>
      </w:r>
      <w:r w:rsidRPr="00923B1A">
        <w:rPr>
          <w:rFonts w:hint="cs"/>
          <w:color w:val="0000FF"/>
          <w:sz w:val="28"/>
          <w:szCs w:val="28"/>
          <w:rtl/>
        </w:rPr>
        <w:t xml:space="preserve"> على أن  ذلك الحلول محل الدائن ليس من شأنه أن يعدل الاتفاقات الخاصة المعقودة ين المديون الأصلي والكفيل</w:t>
      </w:r>
      <w:r>
        <w:rPr>
          <w:rFonts w:hint="cs"/>
          <w:color w:val="0000FF"/>
          <w:sz w:val="28"/>
          <w:szCs w:val="28"/>
          <w:rtl/>
        </w:rPr>
        <w:t xml:space="preserve"> .</w:t>
      </w:r>
    </w:p>
  </w:footnote>
  <w:footnote w:id="39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329 وفقرة 362 </w:t>
      </w:r>
      <w:r w:rsidRPr="00923B1A">
        <w:rPr>
          <w:color w:val="0000FF"/>
          <w:sz w:val="28"/>
          <w:szCs w:val="28"/>
          <w:rtl/>
        </w:rPr>
        <w:t>–</w:t>
      </w:r>
      <w:r w:rsidRPr="00923B1A">
        <w:rPr>
          <w:rFonts w:hint="cs"/>
          <w:color w:val="0000FF"/>
          <w:sz w:val="28"/>
          <w:szCs w:val="28"/>
          <w:rtl/>
        </w:rPr>
        <w:t xml:space="preserve"> بون 2 فقرة 267 </w:t>
      </w:r>
      <w:r w:rsidRPr="00923B1A">
        <w:rPr>
          <w:color w:val="0000FF"/>
          <w:sz w:val="28"/>
          <w:szCs w:val="28"/>
          <w:rtl/>
        </w:rPr>
        <w:t>–</w:t>
      </w:r>
      <w:r w:rsidRPr="00923B1A">
        <w:rPr>
          <w:rFonts w:hint="cs"/>
          <w:color w:val="0000FF"/>
          <w:sz w:val="28"/>
          <w:szCs w:val="28"/>
          <w:rtl/>
        </w:rPr>
        <w:t xml:space="preserve"> أوبري ورو 6 فقرة 427 ص 287 </w:t>
      </w:r>
      <w:r w:rsidRPr="00923B1A">
        <w:rPr>
          <w:color w:val="0000FF"/>
          <w:sz w:val="28"/>
          <w:szCs w:val="28"/>
          <w:rtl/>
        </w:rPr>
        <w:t>–</w:t>
      </w:r>
      <w:r w:rsidRPr="00923B1A">
        <w:rPr>
          <w:rFonts w:hint="cs"/>
          <w:color w:val="0000FF"/>
          <w:sz w:val="28"/>
          <w:szCs w:val="28"/>
          <w:rtl/>
        </w:rPr>
        <w:t xml:space="preserve"> جيوار فقرة 176 وفقرة 183 </w:t>
      </w:r>
      <w:r w:rsidRPr="00923B1A">
        <w:rPr>
          <w:color w:val="0000FF"/>
          <w:sz w:val="28"/>
          <w:szCs w:val="28"/>
          <w:rtl/>
        </w:rPr>
        <w:t>–</w:t>
      </w:r>
      <w:r w:rsidRPr="00923B1A">
        <w:rPr>
          <w:rFonts w:hint="cs"/>
          <w:color w:val="0000FF"/>
          <w:sz w:val="28"/>
          <w:szCs w:val="28"/>
          <w:rtl/>
        </w:rPr>
        <w:t xml:space="preserve"> بودري وفال فقرة 111 </w:t>
      </w:r>
      <w:r w:rsidRPr="00923B1A">
        <w:rPr>
          <w:color w:val="0000FF"/>
          <w:sz w:val="28"/>
          <w:szCs w:val="28"/>
          <w:rtl/>
        </w:rPr>
        <w:t>–</w:t>
      </w:r>
      <w:r w:rsidRPr="00923B1A">
        <w:rPr>
          <w:rFonts w:hint="cs"/>
          <w:color w:val="0000FF"/>
          <w:sz w:val="28"/>
          <w:szCs w:val="28"/>
          <w:rtl/>
        </w:rPr>
        <w:t xml:space="preserve"> عبد الفتاح عبد الباقي فقرة 110 </w:t>
      </w:r>
      <w:r w:rsidRPr="00923B1A">
        <w:rPr>
          <w:color w:val="0000FF"/>
          <w:sz w:val="28"/>
          <w:szCs w:val="28"/>
          <w:rtl/>
        </w:rPr>
        <w:t>–</w:t>
      </w:r>
      <w:r w:rsidRPr="00923B1A">
        <w:rPr>
          <w:rFonts w:hint="cs"/>
          <w:color w:val="0000FF"/>
          <w:sz w:val="28"/>
          <w:szCs w:val="28"/>
          <w:rtl/>
        </w:rPr>
        <w:t xml:space="preserve"> محمد علي إمام فقرة 144 </w:t>
      </w:r>
      <w:r w:rsidRPr="00923B1A">
        <w:rPr>
          <w:color w:val="0000FF"/>
          <w:sz w:val="28"/>
          <w:szCs w:val="28"/>
          <w:rtl/>
        </w:rPr>
        <w:t>–</w:t>
      </w:r>
      <w:r w:rsidRPr="00923B1A">
        <w:rPr>
          <w:rFonts w:hint="cs"/>
          <w:color w:val="0000FF"/>
          <w:sz w:val="28"/>
          <w:szCs w:val="28"/>
          <w:rtl/>
        </w:rPr>
        <w:t xml:space="preserve"> سليمان مرقس فقرة 120 ص 133 </w:t>
      </w:r>
      <w:r w:rsidRPr="00923B1A">
        <w:rPr>
          <w:color w:val="0000FF"/>
          <w:sz w:val="28"/>
          <w:szCs w:val="28"/>
          <w:rtl/>
        </w:rPr>
        <w:t>–</w:t>
      </w:r>
      <w:r w:rsidRPr="00923B1A">
        <w:rPr>
          <w:rFonts w:hint="cs"/>
          <w:color w:val="0000FF"/>
          <w:sz w:val="28"/>
          <w:szCs w:val="28"/>
          <w:rtl/>
        </w:rPr>
        <w:t xml:space="preserve"> منصور مصطفى منصور فقرة 54 ص 104</w:t>
      </w:r>
      <w:r>
        <w:rPr>
          <w:rFonts w:hint="cs"/>
          <w:color w:val="0000FF"/>
          <w:sz w:val="28"/>
          <w:szCs w:val="28"/>
          <w:rtl/>
        </w:rPr>
        <w:t xml:space="preserve"> .</w:t>
      </w:r>
    </w:p>
  </w:footnote>
  <w:footnote w:id="39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110 </w:t>
      </w:r>
      <w:r w:rsidRPr="00923B1A">
        <w:rPr>
          <w:color w:val="0000FF"/>
          <w:sz w:val="28"/>
          <w:szCs w:val="28"/>
          <w:rtl/>
        </w:rPr>
        <w:t>–</w:t>
      </w:r>
      <w:r w:rsidRPr="00923B1A">
        <w:rPr>
          <w:rFonts w:hint="cs"/>
          <w:color w:val="0000FF"/>
          <w:sz w:val="28"/>
          <w:szCs w:val="28"/>
          <w:rtl/>
        </w:rPr>
        <w:t xml:space="preserve"> منصور مصطفى منصور فقرة 54 ص 104</w:t>
      </w:r>
      <w:r>
        <w:rPr>
          <w:rFonts w:hint="cs"/>
          <w:color w:val="0000FF"/>
          <w:sz w:val="28"/>
          <w:szCs w:val="28"/>
          <w:rtl/>
        </w:rPr>
        <w:t xml:space="preserve"> .</w:t>
      </w:r>
    </w:p>
  </w:footnote>
  <w:footnote w:id="39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65</w:t>
      </w:r>
      <w:r>
        <w:rPr>
          <w:rFonts w:hint="cs"/>
          <w:color w:val="0000FF"/>
          <w:sz w:val="28"/>
          <w:szCs w:val="28"/>
          <w:rtl/>
        </w:rPr>
        <w:t xml:space="preserve"> .</w:t>
      </w:r>
    </w:p>
  </w:footnote>
  <w:footnote w:id="39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60</w:t>
      </w:r>
      <w:r>
        <w:rPr>
          <w:rFonts w:hint="cs"/>
          <w:color w:val="0000FF"/>
          <w:sz w:val="28"/>
          <w:szCs w:val="28"/>
          <w:rtl/>
        </w:rPr>
        <w:t xml:space="preserve"> .</w:t>
      </w:r>
    </w:p>
  </w:footnote>
  <w:footnote w:id="39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وكان حلول الكفيل محل الدائن في القانون الروماني لا يتم بحكم القانون</w:t>
      </w:r>
      <w:r>
        <w:rPr>
          <w:rFonts w:hint="cs"/>
          <w:color w:val="0000FF"/>
          <w:sz w:val="28"/>
          <w:szCs w:val="28"/>
          <w:rtl/>
        </w:rPr>
        <w:t xml:space="preserve"> ،</w:t>
      </w:r>
      <w:r w:rsidRPr="00923B1A">
        <w:rPr>
          <w:rFonts w:hint="cs"/>
          <w:color w:val="0000FF"/>
          <w:sz w:val="28"/>
          <w:szCs w:val="28"/>
          <w:rtl/>
        </w:rPr>
        <w:t xml:space="preserve"> بل كان الكفيل عند وفاء الدين للدائن يقتضي منه أن ينزل له عن حقوقه</w:t>
      </w:r>
      <w:r>
        <w:rPr>
          <w:rFonts w:hint="cs"/>
          <w:color w:val="0000FF"/>
          <w:sz w:val="28"/>
          <w:szCs w:val="28"/>
          <w:rtl/>
        </w:rPr>
        <w:t xml:space="preserve"> .</w:t>
      </w:r>
      <w:r w:rsidRPr="00923B1A">
        <w:rPr>
          <w:rFonts w:hint="cs"/>
          <w:color w:val="0000FF"/>
          <w:sz w:val="28"/>
          <w:szCs w:val="28"/>
          <w:rtl/>
        </w:rPr>
        <w:t xml:space="preserve"> فإذا رفض الدائن النزول عن دعواه للكفيل</w:t>
      </w:r>
      <w:r>
        <w:rPr>
          <w:rFonts w:hint="cs"/>
          <w:color w:val="0000FF"/>
          <w:sz w:val="28"/>
          <w:szCs w:val="28"/>
          <w:rtl/>
        </w:rPr>
        <w:t xml:space="preserve"> ،</w:t>
      </w:r>
      <w:r w:rsidRPr="00923B1A">
        <w:rPr>
          <w:rFonts w:hint="cs"/>
          <w:color w:val="0000FF"/>
          <w:sz w:val="28"/>
          <w:szCs w:val="28"/>
          <w:rtl/>
        </w:rPr>
        <w:t xml:space="preserve"> كان لهذا الأخير أن يواجهه بدفع في خصوص ذلك </w:t>
      </w:r>
      <w:r>
        <w:rPr>
          <w:color w:val="0000FF"/>
          <w:sz w:val="28"/>
          <w:szCs w:val="28"/>
          <w:rtl/>
        </w:rPr>
        <w:t xml:space="preserve">( </w:t>
      </w:r>
      <w:r w:rsidRPr="00923B1A">
        <w:rPr>
          <w:color w:val="0000FF"/>
          <w:sz w:val="28"/>
          <w:szCs w:val="28"/>
        </w:rPr>
        <w:t>cedendarun actionyn</w:t>
      </w:r>
      <w:r>
        <w:rPr>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 بل كان يفترض في بعض الحالات أن النزول عن الدعوى قد تم فعلا</w:t>
      </w:r>
      <w:r>
        <w:rPr>
          <w:rFonts w:hint="cs"/>
          <w:color w:val="0000FF"/>
          <w:sz w:val="28"/>
          <w:szCs w:val="28"/>
          <w:rtl/>
        </w:rPr>
        <w:t xml:space="preserve"> .</w:t>
      </w:r>
      <w:r w:rsidRPr="00923B1A">
        <w:rPr>
          <w:rFonts w:hint="cs"/>
          <w:color w:val="0000FF"/>
          <w:sz w:val="28"/>
          <w:szCs w:val="28"/>
          <w:rtl/>
        </w:rPr>
        <w:t xml:space="preserve"> وكان القانون الروماني</w:t>
      </w:r>
      <w:r>
        <w:rPr>
          <w:rFonts w:hint="cs"/>
          <w:color w:val="0000FF"/>
          <w:sz w:val="28"/>
          <w:szCs w:val="28"/>
          <w:rtl/>
        </w:rPr>
        <w:t xml:space="preserve"> ،</w:t>
      </w:r>
      <w:r w:rsidRPr="00923B1A">
        <w:rPr>
          <w:rFonts w:hint="cs"/>
          <w:color w:val="0000FF"/>
          <w:sz w:val="28"/>
          <w:szCs w:val="28"/>
          <w:rtl/>
        </w:rPr>
        <w:t xml:space="preserve"> من جهة أخرى</w:t>
      </w:r>
      <w:r>
        <w:rPr>
          <w:rFonts w:hint="cs"/>
          <w:color w:val="0000FF"/>
          <w:sz w:val="28"/>
          <w:szCs w:val="28"/>
          <w:rtl/>
        </w:rPr>
        <w:t xml:space="preserve"> ،</w:t>
      </w:r>
      <w:r w:rsidRPr="00923B1A">
        <w:rPr>
          <w:rFonts w:hint="cs"/>
          <w:color w:val="0000FF"/>
          <w:sz w:val="28"/>
          <w:szCs w:val="28"/>
          <w:rtl/>
        </w:rPr>
        <w:t xml:space="preserve"> يجعل لمن يوفى دينا مضمونا برهن الحق في أن يخلف الدائن في هذا الرهن </w:t>
      </w:r>
      <w:r>
        <w:rPr>
          <w:color w:val="0000FF"/>
          <w:sz w:val="28"/>
          <w:szCs w:val="28"/>
          <w:rtl/>
        </w:rPr>
        <w:t xml:space="preserve">( </w:t>
      </w:r>
      <w:r w:rsidRPr="00923B1A">
        <w:rPr>
          <w:color w:val="0000FF"/>
          <w:sz w:val="28"/>
          <w:szCs w:val="28"/>
        </w:rPr>
        <w:t>successio in locum creditais</w:t>
      </w:r>
      <w:r>
        <w:rPr>
          <w:color w:val="0000FF"/>
          <w:sz w:val="28"/>
          <w:szCs w:val="28"/>
          <w:rtl/>
        </w:rPr>
        <w:t xml:space="preserve"> )</w:t>
      </w:r>
      <w:r w:rsidRPr="00923B1A">
        <w:rPr>
          <w:rFonts w:hint="cs"/>
          <w:color w:val="0000FF"/>
          <w:sz w:val="28"/>
          <w:szCs w:val="28"/>
          <w:rtl/>
        </w:rPr>
        <w:t xml:space="preserve"> أو في مرتبته </w:t>
      </w:r>
      <w:r>
        <w:rPr>
          <w:rFonts w:hint="cs"/>
          <w:color w:val="0000FF"/>
          <w:sz w:val="28"/>
          <w:szCs w:val="28"/>
          <w:rtl/>
        </w:rPr>
        <w:t xml:space="preserve">( </w:t>
      </w:r>
      <w:r w:rsidRPr="00923B1A">
        <w:rPr>
          <w:rFonts w:hint="cs"/>
          <w:color w:val="0000FF"/>
          <w:sz w:val="28"/>
          <w:szCs w:val="28"/>
          <w:rtl/>
        </w:rPr>
        <w:t xml:space="preserve">جيرار طبعة ثالثة ص 754 </w:t>
      </w:r>
      <w:r w:rsidRPr="00923B1A">
        <w:rPr>
          <w:color w:val="0000FF"/>
          <w:sz w:val="28"/>
          <w:szCs w:val="28"/>
          <w:rtl/>
        </w:rPr>
        <w:t>–</w:t>
      </w:r>
      <w:r w:rsidRPr="00923B1A">
        <w:rPr>
          <w:rFonts w:hint="cs"/>
          <w:color w:val="0000FF"/>
          <w:sz w:val="28"/>
          <w:szCs w:val="28"/>
          <w:rtl/>
        </w:rPr>
        <w:t xml:space="preserve"> ص 755 وص 776 هوامش 2 و 5 و 6 و 7</w:t>
      </w:r>
      <w:r>
        <w:rPr>
          <w:rFonts w:hint="cs"/>
          <w:color w:val="0000FF"/>
          <w:sz w:val="28"/>
          <w:szCs w:val="28"/>
          <w:rtl/>
        </w:rPr>
        <w:t xml:space="preserve"> ) .</w:t>
      </w:r>
      <w:r w:rsidRPr="00923B1A">
        <w:rPr>
          <w:rFonts w:hint="cs"/>
          <w:color w:val="0000FF"/>
          <w:sz w:val="28"/>
          <w:szCs w:val="28"/>
          <w:rtl/>
        </w:rPr>
        <w:t xml:space="preserve"> أما في القوانين الجرمانية</w:t>
      </w:r>
      <w:r>
        <w:rPr>
          <w:rFonts w:hint="cs"/>
          <w:color w:val="0000FF"/>
          <w:sz w:val="28"/>
          <w:szCs w:val="28"/>
          <w:rtl/>
        </w:rPr>
        <w:t xml:space="preserve"> ،</w:t>
      </w:r>
      <w:r w:rsidRPr="00923B1A">
        <w:rPr>
          <w:rFonts w:hint="cs"/>
          <w:color w:val="0000FF"/>
          <w:sz w:val="28"/>
          <w:szCs w:val="28"/>
          <w:rtl/>
        </w:rPr>
        <w:t xml:space="preserve"> فكان الكفل يحل محل الدائن بحكم القانون</w:t>
      </w:r>
      <w:r>
        <w:rPr>
          <w:rFonts w:hint="cs"/>
          <w:color w:val="0000FF"/>
          <w:sz w:val="28"/>
          <w:szCs w:val="28"/>
          <w:rtl/>
        </w:rPr>
        <w:t xml:space="preserve"> .</w:t>
      </w:r>
      <w:r w:rsidRPr="00923B1A">
        <w:rPr>
          <w:rFonts w:hint="cs"/>
          <w:color w:val="0000FF"/>
          <w:sz w:val="28"/>
          <w:szCs w:val="28"/>
          <w:rtl/>
        </w:rPr>
        <w:t xml:space="preserve"> وكذلك كان الأمر في القانون الفرنسي القديم</w:t>
      </w:r>
      <w:r>
        <w:rPr>
          <w:rFonts w:hint="cs"/>
          <w:color w:val="0000FF"/>
          <w:sz w:val="28"/>
          <w:szCs w:val="28"/>
          <w:rtl/>
        </w:rPr>
        <w:t xml:space="preserve"> ،</w:t>
      </w:r>
      <w:r w:rsidRPr="00923B1A">
        <w:rPr>
          <w:rFonts w:hint="cs"/>
          <w:color w:val="0000FF"/>
          <w:sz w:val="28"/>
          <w:szCs w:val="28"/>
          <w:rtl/>
        </w:rPr>
        <w:t xml:space="preserve"> وإن كان ذلك محلا النزاع </w:t>
      </w:r>
      <w:r>
        <w:rPr>
          <w:rFonts w:hint="cs"/>
          <w:color w:val="0000FF"/>
          <w:sz w:val="28"/>
          <w:szCs w:val="28"/>
          <w:rtl/>
        </w:rPr>
        <w:t xml:space="preserve">( </w:t>
      </w:r>
      <w:r w:rsidRPr="00923B1A">
        <w:rPr>
          <w:rFonts w:hint="cs"/>
          <w:color w:val="0000FF"/>
          <w:sz w:val="28"/>
          <w:szCs w:val="28"/>
          <w:rtl/>
        </w:rPr>
        <w:t>بودري وفال فقرة 1109</w:t>
      </w:r>
      <w:r>
        <w:rPr>
          <w:rFonts w:hint="cs"/>
          <w:color w:val="0000FF"/>
          <w:sz w:val="28"/>
          <w:szCs w:val="28"/>
          <w:rtl/>
        </w:rPr>
        <w:t xml:space="preserve"> ) .</w:t>
      </w:r>
    </w:p>
  </w:footnote>
  <w:footnote w:id="39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62</w:t>
      </w:r>
      <w:r>
        <w:rPr>
          <w:rFonts w:hint="cs"/>
          <w:color w:val="0000FF"/>
          <w:sz w:val="28"/>
          <w:szCs w:val="28"/>
          <w:rtl/>
        </w:rPr>
        <w:t xml:space="preserve"> .</w:t>
      </w:r>
    </w:p>
  </w:footnote>
  <w:footnote w:id="39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ولذلك جاء ترتيب المواد 789 </w:t>
      </w:r>
      <w:r w:rsidRPr="00923B1A">
        <w:rPr>
          <w:color w:val="0000FF"/>
          <w:sz w:val="28"/>
          <w:szCs w:val="28"/>
          <w:rtl/>
        </w:rPr>
        <w:t>–</w:t>
      </w:r>
      <w:r w:rsidRPr="00923B1A">
        <w:rPr>
          <w:rFonts w:hint="cs"/>
          <w:color w:val="0000FF"/>
          <w:sz w:val="28"/>
          <w:szCs w:val="28"/>
          <w:rtl/>
        </w:rPr>
        <w:t xml:space="preserve"> 800 مدني معيبا</w:t>
      </w:r>
      <w:r>
        <w:rPr>
          <w:rFonts w:hint="cs"/>
          <w:color w:val="0000FF"/>
          <w:sz w:val="28"/>
          <w:szCs w:val="28"/>
          <w:rtl/>
        </w:rPr>
        <w:t xml:space="preserve"> ،</w:t>
      </w:r>
      <w:r w:rsidRPr="00923B1A">
        <w:rPr>
          <w:rFonts w:hint="cs"/>
          <w:color w:val="0000FF"/>
          <w:sz w:val="28"/>
          <w:szCs w:val="28"/>
          <w:rtl/>
        </w:rPr>
        <w:t xml:space="preserve"> فقد بدأت المادة 789 وهي في صدر هذه الموارد تتكلم عن إخطار المدين</w:t>
      </w:r>
      <w:r>
        <w:rPr>
          <w:rFonts w:hint="cs"/>
          <w:color w:val="0000FF"/>
          <w:sz w:val="28"/>
          <w:szCs w:val="28"/>
          <w:rtl/>
        </w:rPr>
        <w:t xml:space="preserve"> ،</w:t>
      </w:r>
      <w:r w:rsidRPr="00923B1A">
        <w:rPr>
          <w:rFonts w:hint="cs"/>
          <w:color w:val="0000FF"/>
          <w:sz w:val="28"/>
          <w:szCs w:val="28"/>
          <w:rtl/>
        </w:rPr>
        <w:t xml:space="preserve"> ثم جاءت المادتان 799 و 800 الأولى في دعوى الحلول والثانية في الدعوى الشخصية</w:t>
      </w:r>
      <w:r>
        <w:rPr>
          <w:rFonts w:hint="cs"/>
          <w:color w:val="0000FF"/>
          <w:sz w:val="28"/>
          <w:szCs w:val="28"/>
          <w:rtl/>
        </w:rPr>
        <w:t xml:space="preserve"> .</w:t>
      </w:r>
      <w:r w:rsidRPr="00923B1A">
        <w:rPr>
          <w:rFonts w:hint="cs"/>
          <w:color w:val="0000FF"/>
          <w:sz w:val="28"/>
          <w:szCs w:val="28"/>
          <w:rtl/>
        </w:rPr>
        <w:t xml:space="preserve"> وهذا الترتيب يوهم أن إخطار المدين واجب في كل من دعوى الحلول والدعوى الشخصية</w:t>
      </w:r>
      <w:r>
        <w:rPr>
          <w:rFonts w:hint="cs"/>
          <w:color w:val="0000FF"/>
          <w:sz w:val="28"/>
          <w:szCs w:val="28"/>
          <w:rtl/>
        </w:rPr>
        <w:t xml:space="preserve"> ،</w:t>
      </w:r>
      <w:r w:rsidRPr="00923B1A">
        <w:rPr>
          <w:rFonts w:hint="cs"/>
          <w:color w:val="0000FF"/>
          <w:sz w:val="28"/>
          <w:szCs w:val="28"/>
          <w:rtl/>
        </w:rPr>
        <w:t xml:space="preserve"> ما دام الإخطار بتقدم كلا من الدعويين</w:t>
      </w:r>
      <w:r>
        <w:rPr>
          <w:rFonts w:hint="cs"/>
          <w:color w:val="0000FF"/>
          <w:sz w:val="28"/>
          <w:szCs w:val="28"/>
          <w:rtl/>
        </w:rPr>
        <w:t xml:space="preserve"> .</w:t>
      </w:r>
      <w:r w:rsidRPr="00923B1A">
        <w:rPr>
          <w:rFonts w:hint="cs"/>
          <w:color w:val="0000FF"/>
          <w:sz w:val="28"/>
          <w:szCs w:val="28"/>
          <w:rtl/>
        </w:rPr>
        <w:t xml:space="preserve"> والصحيح أن الإخطار غير واجب إلا في الدعوى الشخصية</w:t>
      </w:r>
      <w:r>
        <w:rPr>
          <w:rFonts w:hint="cs"/>
          <w:color w:val="0000FF"/>
          <w:sz w:val="28"/>
          <w:szCs w:val="28"/>
          <w:rtl/>
        </w:rPr>
        <w:t xml:space="preserve"> ،</w:t>
      </w:r>
      <w:r w:rsidRPr="00923B1A">
        <w:rPr>
          <w:rFonts w:hint="cs"/>
          <w:color w:val="0000FF"/>
          <w:sz w:val="28"/>
          <w:szCs w:val="28"/>
          <w:rtl/>
        </w:rPr>
        <w:t xml:space="preserve"> أما دعوى الحلول فلا يجب فيها الإخطار قبل الوفاء</w:t>
      </w:r>
      <w:r>
        <w:rPr>
          <w:rFonts w:hint="cs"/>
          <w:color w:val="0000FF"/>
          <w:sz w:val="28"/>
          <w:szCs w:val="28"/>
          <w:rtl/>
        </w:rPr>
        <w:t xml:space="preserve"> ،</w:t>
      </w:r>
      <w:r w:rsidRPr="00923B1A">
        <w:rPr>
          <w:rFonts w:hint="cs"/>
          <w:color w:val="0000FF"/>
          <w:sz w:val="28"/>
          <w:szCs w:val="28"/>
          <w:rtl/>
        </w:rPr>
        <w:t xml:space="preserve"> إذ أن الوفاء دون إخطار المدين به يجعل الكفيل يحل محل الدائن كالوفاء بعد الإخطار سواء بسواء</w:t>
      </w:r>
      <w:r>
        <w:rPr>
          <w:rFonts w:hint="cs"/>
          <w:color w:val="0000FF"/>
          <w:sz w:val="28"/>
          <w:szCs w:val="28"/>
          <w:rtl/>
        </w:rPr>
        <w:t xml:space="preserve"> .</w:t>
      </w:r>
      <w:r w:rsidRPr="00923B1A">
        <w:rPr>
          <w:rFonts w:hint="cs"/>
          <w:color w:val="0000FF"/>
          <w:sz w:val="28"/>
          <w:szCs w:val="28"/>
          <w:rtl/>
        </w:rPr>
        <w:t xml:space="preserve"> وكان الواجب أن تتأخر المادة 798 المتعلقة بالإخطار عن المادة 799 المتعلقة بدعوى الحلول</w:t>
      </w:r>
      <w:r>
        <w:rPr>
          <w:rFonts w:hint="cs"/>
          <w:color w:val="0000FF"/>
          <w:sz w:val="28"/>
          <w:szCs w:val="28"/>
          <w:rtl/>
        </w:rPr>
        <w:t xml:space="preserve"> ،</w:t>
      </w:r>
      <w:r w:rsidRPr="00923B1A">
        <w:rPr>
          <w:rFonts w:hint="cs"/>
          <w:color w:val="0000FF"/>
          <w:sz w:val="28"/>
          <w:szCs w:val="28"/>
          <w:rtl/>
        </w:rPr>
        <w:t xml:space="preserve"> أو تتقدم المادة 800 المتعلقة بالدعوى الشخصية على المادة 799 المتعلقة بدعوى الحلول</w:t>
      </w:r>
      <w:r>
        <w:rPr>
          <w:rFonts w:hint="cs"/>
          <w:color w:val="0000FF"/>
          <w:sz w:val="28"/>
          <w:szCs w:val="28"/>
          <w:rtl/>
        </w:rPr>
        <w:t xml:space="preserve"> ،</w:t>
      </w:r>
      <w:r w:rsidRPr="00923B1A">
        <w:rPr>
          <w:rFonts w:hint="cs"/>
          <w:color w:val="0000FF"/>
          <w:sz w:val="28"/>
          <w:szCs w:val="28"/>
          <w:rtl/>
        </w:rPr>
        <w:t xml:space="preserve"> وتأتي المادة 800 المتعلقة بالدعوى الشخصية عقب المادة 798 مباشرة</w:t>
      </w:r>
      <w:r>
        <w:rPr>
          <w:rFonts w:hint="cs"/>
          <w:color w:val="0000FF"/>
          <w:sz w:val="28"/>
          <w:szCs w:val="28"/>
          <w:rtl/>
        </w:rPr>
        <w:t xml:space="preserve"> ،</w:t>
      </w:r>
      <w:r w:rsidRPr="00923B1A">
        <w:rPr>
          <w:rFonts w:hint="cs"/>
          <w:color w:val="0000FF"/>
          <w:sz w:val="28"/>
          <w:szCs w:val="28"/>
          <w:rtl/>
        </w:rPr>
        <w:t xml:space="preserve"> أي عقب المادة المتعلقة بالإخطار</w:t>
      </w:r>
      <w:r>
        <w:rPr>
          <w:rFonts w:hint="cs"/>
          <w:color w:val="0000FF"/>
          <w:sz w:val="28"/>
          <w:szCs w:val="28"/>
          <w:rtl/>
        </w:rPr>
        <w:t xml:space="preserve"> ،</w:t>
      </w:r>
      <w:r w:rsidRPr="00923B1A">
        <w:rPr>
          <w:rFonts w:hint="cs"/>
          <w:color w:val="0000FF"/>
          <w:sz w:val="28"/>
          <w:szCs w:val="28"/>
          <w:rtl/>
        </w:rPr>
        <w:t xml:space="preserve"> وبذلك لا يكون الإخطار واجبا إلا في الدعوى الشخصية</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انظر في هذا المعنى سليمان مرقس فقرة 102</w:t>
      </w:r>
      <w:r>
        <w:rPr>
          <w:rFonts w:hint="cs"/>
          <w:color w:val="0000FF"/>
          <w:sz w:val="28"/>
          <w:szCs w:val="28"/>
          <w:rtl/>
        </w:rPr>
        <w:t xml:space="preserve"> ) .</w:t>
      </w:r>
    </w:p>
  </w:footnote>
  <w:footnote w:id="39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66</w:t>
      </w:r>
      <w:r>
        <w:rPr>
          <w:rFonts w:hint="cs"/>
          <w:color w:val="0000FF"/>
          <w:sz w:val="28"/>
          <w:szCs w:val="28"/>
          <w:rtl/>
        </w:rPr>
        <w:t xml:space="preserve"> .</w:t>
      </w:r>
    </w:p>
  </w:footnote>
  <w:footnote w:id="39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محمد كامل مرسي فقرة 109 ص 149 </w:t>
      </w:r>
      <w:r w:rsidRPr="00923B1A">
        <w:rPr>
          <w:color w:val="0000FF"/>
          <w:sz w:val="28"/>
          <w:szCs w:val="28"/>
          <w:rtl/>
        </w:rPr>
        <w:t>–</w:t>
      </w:r>
      <w:r w:rsidRPr="00923B1A">
        <w:rPr>
          <w:rFonts w:hint="cs"/>
          <w:color w:val="0000FF"/>
          <w:sz w:val="28"/>
          <w:szCs w:val="28"/>
          <w:rtl/>
        </w:rPr>
        <w:t xml:space="preserve"> عبد الفتاح عبد الباقي فقرة 111 ص 171</w:t>
      </w:r>
      <w:r>
        <w:rPr>
          <w:rFonts w:hint="cs"/>
          <w:color w:val="0000FF"/>
          <w:sz w:val="28"/>
          <w:szCs w:val="28"/>
          <w:rtl/>
        </w:rPr>
        <w:t xml:space="preserve"> .</w:t>
      </w:r>
    </w:p>
  </w:footnote>
  <w:footnote w:id="40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1110</w:t>
      </w:r>
      <w:r>
        <w:rPr>
          <w:rFonts w:hint="cs"/>
          <w:color w:val="0000FF"/>
          <w:sz w:val="28"/>
          <w:szCs w:val="28"/>
          <w:rtl/>
        </w:rPr>
        <w:t xml:space="preserve"> .</w:t>
      </w:r>
    </w:p>
  </w:footnote>
  <w:footnote w:id="40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1112 </w:t>
      </w:r>
      <w:r w:rsidRPr="00923B1A">
        <w:rPr>
          <w:color w:val="0000FF"/>
          <w:sz w:val="28"/>
          <w:szCs w:val="28"/>
          <w:rtl/>
        </w:rPr>
        <w:t>–</w:t>
      </w:r>
      <w:r w:rsidRPr="00923B1A">
        <w:rPr>
          <w:rFonts w:hint="cs"/>
          <w:color w:val="0000FF"/>
          <w:sz w:val="28"/>
          <w:szCs w:val="28"/>
          <w:rtl/>
        </w:rPr>
        <w:t xml:space="preserve"> محمد كامل مرسي فقرة 109 ص 151 </w:t>
      </w:r>
      <w:r w:rsidRPr="00923B1A">
        <w:rPr>
          <w:color w:val="0000FF"/>
          <w:sz w:val="28"/>
          <w:szCs w:val="28"/>
          <w:rtl/>
        </w:rPr>
        <w:t>–</w:t>
      </w:r>
      <w:r w:rsidRPr="00923B1A">
        <w:rPr>
          <w:rFonts w:hint="cs"/>
          <w:color w:val="0000FF"/>
          <w:sz w:val="28"/>
          <w:szCs w:val="28"/>
          <w:rtl/>
        </w:rPr>
        <w:t xml:space="preserve"> سليمان مرقس فقرة 120 ص 134 </w:t>
      </w:r>
      <w:r w:rsidRPr="00923B1A">
        <w:rPr>
          <w:color w:val="0000FF"/>
          <w:sz w:val="28"/>
          <w:szCs w:val="28"/>
          <w:rtl/>
        </w:rPr>
        <w:t>–</w:t>
      </w:r>
      <w:r w:rsidRPr="00923B1A">
        <w:rPr>
          <w:rFonts w:hint="cs"/>
          <w:color w:val="0000FF"/>
          <w:sz w:val="28"/>
          <w:szCs w:val="28"/>
          <w:rtl/>
        </w:rPr>
        <w:t xml:space="preserve"> وإذا امتد الأجل الأصلي باتفاق بين المدين والدائن أو بمنح القاضي للمدين نظرة المسيرة</w:t>
      </w:r>
      <w:r>
        <w:rPr>
          <w:rFonts w:hint="cs"/>
          <w:color w:val="0000FF"/>
          <w:sz w:val="28"/>
          <w:szCs w:val="28"/>
          <w:rtl/>
        </w:rPr>
        <w:t xml:space="preserve"> ،</w:t>
      </w:r>
      <w:r w:rsidRPr="00923B1A">
        <w:rPr>
          <w:rFonts w:hint="cs"/>
          <w:color w:val="0000FF"/>
          <w:sz w:val="28"/>
          <w:szCs w:val="28"/>
          <w:rtl/>
        </w:rPr>
        <w:t xml:space="preserve"> فإنه يبدو أن الكفيل</w:t>
      </w:r>
      <w:r>
        <w:rPr>
          <w:rFonts w:hint="cs"/>
          <w:color w:val="0000FF"/>
          <w:sz w:val="28"/>
          <w:szCs w:val="28"/>
          <w:rtl/>
        </w:rPr>
        <w:t xml:space="preserve"> ،</w:t>
      </w:r>
      <w:r w:rsidRPr="00923B1A">
        <w:rPr>
          <w:rFonts w:hint="cs"/>
          <w:color w:val="0000FF"/>
          <w:sz w:val="28"/>
          <w:szCs w:val="28"/>
          <w:rtl/>
        </w:rPr>
        <w:t xml:space="preserve"> وقد حل محل الدائن</w:t>
      </w:r>
      <w:r>
        <w:rPr>
          <w:rFonts w:hint="cs"/>
          <w:color w:val="0000FF"/>
          <w:sz w:val="28"/>
          <w:szCs w:val="28"/>
          <w:rtl/>
        </w:rPr>
        <w:t xml:space="preserve"> ،</w:t>
      </w:r>
      <w:r w:rsidRPr="00923B1A">
        <w:rPr>
          <w:rFonts w:hint="cs"/>
          <w:color w:val="0000FF"/>
          <w:sz w:val="28"/>
          <w:szCs w:val="28"/>
          <w:rtl/>
        </w:rPr>
        <w:t xml:space="preserve"> لا يستطيع الرجوع بدعوى الحلول إلا عند حلول الأجل الجديد بعد امتداده</w:t>
      </w:r>
      <w:r>
        <w:rPr>
          <w:rFonts w:hint="cs"/>
          <w:color w:val="0000FF"/>
          <w:sz w:val="28"/>
          <w:szCs w:val="28"/>
          <w:rtl/>
        </w:rPr>
        <w:t xml:space="preserve"> ،</w:t>
      </w:r>
      <w:r w:rsidRPr="00923B1A">
        <w:rPr>
          <w:rFonts w:hint="cs"/>
          <w:color w:val="0000FF"/>
          <w:sz w:val="28"/>
          <w:szCs w:val="28"/>
          <w:rtl/>
        </w:rPr>
        <w:t xml:space="preserve"> لأن الدائن نفسه كان لا يستطيع الرجوع على المدين قبل ذلك </w:t>
      </w:r>
      <w:r>
        <w:rPr>
          <w:rFonts w:hint="cs"/>
          <w:color w:val="0000FF"/>
          <w:sz w:val="28"/>
          <w:szCs w:val="28"/>
          <w:rtl/>
        </w:rPr>
        <w:t xml:space="preserve">( </w:t>
      </w:r>
      <w:r w:rsidRPr="00923B1A">
        <w:rPr>
          <w:rFonts w:hint="cs"/>
          <w:color w:val="0000FF"/>
          <w:sz w:val="28"/>
          <w:szCs w:val="28"/>
          <w:rtl/>
        </w:rPr>
        <w:t xml:space="preserve">جيوار فقرة 252 </w:t>
      </w:r>
      <w:r w:rsidRPr="00923B1A">
        <w:rPr>
          <w:color w:val="0000FF"/>
          <w:sz w:val="28"/>
          <w:szCs w:val="28"/>
          <w:rtl/>
        </w:rPr>
        <w:t>–</w:t>
      </w:r>
      <w:r w:rsidRPr="00923B1A">
        <w:rPr>
          <w:rFonts w:hint="cs"/>
          <w:color w:val="0000FF"/>
          <w:sz w:val="28"/>
          <w:szCs w:val="28"/>
          <w:rtl/>
        </w:rPr>
        <w:t xml:space="preserve"> محمد كامل مرسي فقرة 109 ص 151 </w:t>
      </w:r>
      <w:r w:rsidRPr="00923B1A">
        <w:rPr>
          <w:color w:val="0000FF"/>
          <w:sz w:val="28"/>
          <w:szCs w:val="28"/>
          <w:rtl/>
        </w:rPr>
        <w:t>–</w:t>
      </w:r>
      <w:r w:rsidRPr="00923B1A">
        <w:rPr>
          <w:rFonts w:hint="cs"/>
          <w:color w:val="0000FF"/>
          <w:sz w:val="28"/>
          <w:szCs w:val="28"/>
          <w:rtl/>
        </w:rPr>
        <w:t xml:space="preserve"> عبد الفتاح عبد الباقي فقرة 115 ص 174 هامش 2 </w:t>
      </w:r>
      <w:r w:rsidRPr="00923B1A">
        <w:rPr>
          <w:color w:val="0000FF"/>
          <w:sz w:val="28"/>
          <w:szCs w:val="28"/>
          <w:rtl/>
        </w:rPr>
        <w:t>–</w:t>
      </w:r>
      <w:r w:rsidRPr="00923B1A">
        <w:rPr>
          <w:rFonts w:hint="cs"/>
          <w:color w:val="0000FF"/>
          <w:sz w:val="28"/>
          <w:szCs w:val="28"/>
          <w:rtl/>
        </w:rPr>
        <w:t xml:space="preserve"> انظر عكس ذلك وأن الكفيل يرجع بدعوى الحلول الأجل الأصلي ولا ينتظر حلول الأجل الجديد</w:t>
      </w:r>
      <w:r>
        <w:rPr>
          <w:rFonts w:hint="cs"/>
          <w:color w:val="0000FF"/>
          <w:sz w:val="28"/>
          <w:szCs w:val="28"/>
          <w:rtl/>
        </w:rPr>
        <w:t xml:space="preserve"> :</w:t>
      </w:r>
      <w:r w:rsidRPr="00923B1A">
        <w:rPr>
          <w:rFonts w:hint="cs"/>
          <w:color w:val="0000FF"/>
          <w:sz w:val="28"/>
          <w:szCs w:val="28"/>
          <w:rtl/>
        </w:rPr>
        <w:t xml:space="preserve"> بودري وفال فقرة 1112</w:t>
      </w:r>
      <w:r>
        <w:rPr>
          <w:rFonts w:hint="cs"/>
          <w:color w:val="0000FF"/>
          <w:sz w:val="28"/>
          <w:szCs w:val="28"/>
          <w:rtl/>
        </w:rPr>
        <w:t xml:space="preserve"> .</w:t>
      </w:r>
    </w:p>
  </w:footnote>
  <w:footnote w:id="40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مجموعة الأعمال التحضيرية 5 ص 544 </w:t>
      </w:r>
      <w:r w:rsidRPr="00923B1A">
        <w:rPr>
          <w:color w:val="0000FF"/>
          <w:sz w:val="28"/>
          <w:szCs w:val="28"/>
          <w:rtl/>
        </w:rPr>
        <w:t>–</w:t>
      </w:r>
      <w:r w:rsidRPr="00923B1A">
        <w:rPr>
          <w:rFonts w:hint="cs"/>
          <w:color w:val="0000FF"/>
          <w:sz w:val="28"/>
          <w:szCs w:val="28"/>
          <w:rtl/>
        </w:rPr>
        <w:t xml:space="preserve"> ص 545</w:t>
      </w:r>
      <w:r>
        <w:rPr>
          <w:rFonts w:hint="cs"/>
          <w:color w:val="0000FF"/>
          <w:sz w:val="28"/>
          <w:szCs w:val="28"/>
          <w:rtl/>
        </w:rPr>
        <w:t xml:space="preserve"> .</w:t>
      </w:r>
    </w:p>
  </w:footnote>
  <w:footnote w:id="40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التكييف القانوني للحلول والنظريات الثلاثة المختلفة في هذا التكييف</w:t>
      </w:r>
      <w:r>
        <w:rPr>
          <w:rFonts w:hint="cs"/>
          <w:color w:val="0000FF"/>
          <w:sz w:val="28"/>
          <w:szCs w:val="28"/>
          <w:rtl/>
        </w:rPr>
        <w:t xml:space="preserve"> ،</w:t>
      </w:r>
      <w:r w:rsidRPr="00923B1A">
        <w:rPr>
          <w:rFonts w:hint="cs"/>
          <w:color w:val="0000FF"/>
          <w:sz w:val="28"/>
          <w:szCs w:val="28"/>
          <w:rtl/>
        </w:rPr>
        <w:t xml:space="preserve"> وهي</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1</w:t>
      </w:r>
      <w:r>
        <w:rPr>
          <w:rFonts w:hint="cs"/>
          <w:color w:val="0000FF"/>
          <w:sz w:val="28"/>
          <w:szCs w:val="28"/>
          <w:rtl/>
        </w:rPr>
        <w:t xml:space="preserve"> )</w:t>
      </w:r>
      <w:r w:rsidRPr="00923B1A">
        <w:rPr>
          <w:rFonts w:hint="cs"/>
          <w:color w:val="0000FF"/>
          <w:sz w:val="28"/>
          <w:szCs w:val="28"/>
          <w:rtl/>
        </w:rPr>
        <w:t xml:space="preserve"> بقاء التأمينات وحدها دون الحق</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2</w:t>
      </w:r>
      <w:r>
        <w:rPr>
          <w:rFonts w:hint="cs"/>
          <w:color w:val="0000FF"/>
          <w:sz w:val="28"/>
          <w:szCs w:val="28"/>
          <w:rtl/>
        </w:rPr>
        <w:t xml:space="preserve"> )</w:t>
      </w:r>
      <w:r w:rsidRPr="00923B1A">
        <w:rPr>
          <w:rFonts w:hint="cs"/>
          <w:color w:val="0000FF"/>
          <w:sz w:val="28"/>
          <w:szCs w:val="28"/>
          <w:rtl/>
        </w:rPr>
        <w:t xml:space="preserve"> بقاء الحق نفسه وانتقاله إلى الموفي</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3</w:t>
      </w:r>
      <w:r>
        <w:rPr>
          <w:rFonts w:hint="cs"/>
          <w:color w:val="0000FF"/>
          <w:sz w:val="28"/>
          <w:szCs w:val="28"/>
          <w:rtl/>
        </w:rPr>
        <w:t xml:space="preserve"> )</w:t>
      </w:r>
      <w:r w:rsidRPr="00923B1A">
        <w:rPr>
          <w:rFonts w:hint="cs"/>
          <w:color w:val="0000FF"/>
          <w:sz w:val="28"/>
          <w:szCs w:val="28"/>
          <w:rtl/>
        </w:rPr>
        <w:t xml:space="preserve"> الوفاء مع الحول وفاء للحق إلى الدائن وانتقال للحق بالنسبة إلى المدين</w:t>
      </w:r>
      <w:r>
        <w:rPr>
          <w:rFonts w:hint="cs"/>
          <w:color w:val="0000FF"/>
          <w:sz w:val="28"/>
          <w:szCs w:val="28"/>
          <w:rtl/>
        </w:rPr>
        <w:t xml:space="preserve"> :</w:t>
      </w:r>
      <w:r w:rsidRPr="00923B1A">
        <w:rPr>
          <w:rFonts w:hint="cs"/>
          <w:color w:val="0000FF"/>
          <w:sz w:val="28"/>
          <w:szCs w:val="28"/>
          <w:rtl/>
        </w:rPr>
        <w:t xml:space="preserve"> الوسيط 3 فقرة 402 </w:t>
      </w:r>
      <w:r w:rsidRPr="00923B1A">
        <w:rPr>
          <w:color w:val="0000FF"/>
          <w:sz w:val="28"/>
          <w:szCs w:val="28"/>
          <w:rtl/>
        </w:rPr>
        <w:t>–</w:t>
      </w:r>
      <w:r w:rsidRPr="00923B1A">
        <w:rPr>
          <w:rFonts w:hint="cs"/>
          <w:color w:val="0000FF"/>
          <w:sz w:val="28"/>
          <w:szCs w:val="28"/>
          <w:rtl/>
        </w:rPr>
        <w:t xml:space="preserve"> فقرة 405</w:t>
      </w:r>
      <w:r>
        <w:rPr>
          <w:rFonts w:hint="cs"/>
          <w:color w:val="0000FF"/>
          <w:sz w:val="28"/>
          <w:szCs w:val="28"/>
          <w:rtl/>
        </w:rPr>
        <w:t xml:space="preserve"> .</w:t>
      </w:r>
    </w:p>
  </w:footnote>
  <w:footnote w:id="40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65</w:t>
      </w:r>
      <w:r>
        <w:rPr>
          <w:rFonts w:hint="cs"/>
          <w:color w:val="0000FF"/>
          <w:sz w:val="28"/>
          <w:szCs w:val="28"/>
          <w:rtl/>
        </w:rPr>
        <w:t xml:space="preserve"> .</w:t>
      </w:r>
    </w:p>
  </w:footnote>
  <w:footnote w:id="40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وإذا أبرأ الدائن أحد المدينين المتضامنين من التضامن فقط ولي يبرئه من الدين</w:t>
      </w:r>
      <w:r>
        <w:rPr>
          <w:rFonts w:hint="cs"/>
          <w:color w:val="0000FF"/>
          <w:sz w:val="28"/>
          <w:szCs w:val="28"/>
          <w:rtl/>
        </w:rPr>
        <w:t xml:space="preserve"> ،</w:t>
      </w:r>
      <w:r w:rsidRPr="00923B1A">
        <w:rPr>
          <w:rFonts w:hint="cs"/>
          <w:color w:val="0000FF"/>
          <w:sz w:val="28"/>
          <w:szCs w:val="28"/>
          <w:rtl/>
        </w:rPr>
        <w:t>ودفع الكفيل المتضامن الدين</w:t>
      </w:r>
      <w:r>
        <w:rPr>
          <w:rFonts w:hint="cs"/>
          <w:color w:val="0000FF"/>
          <w:sz w:val="28"/>
          <w:szCs w:val="28"/>
          <w:rtl/>
        </w:rPr>
        <w:t xml:space="preserve"> ،</w:t>
      </w:r>
      <w:r w:rsidRPr="00923B1A">
        <w:rPr>
          <w:rFonts w:hint="cs"/>
          <w:color w:val="0000FF"/>
          <w:sz w:val="28"/>
          <w:szCs w:val="28"/>
          <w:rtl/>
        </w:rPr>
        <w:t xml:space="preserve"> فله الرجوع على المدين الذي أبرئ من التضامن بكل ما دفع </w:t>
      </w:r>
      <w:r>
        <w:rPr>
          <w:rFonts w:hint="cs"/>
          <w:color w:val="0000FF"/>
          <w:sz w:val="28"/>
          <w:szCs w:val="28"/>
          <w:rtl/>
        </w:rPr>
        <w:t xml:space="preserve">( </w:t>
      </w:r>
      <w:r w:rsidRPr="00923B1A">
        <w:rPr>
          <w:rFonts w:hint="cs"/>
          <w:color w:val="0000FF"/>
          <w:sz w:val="28"/>
          <w:szCs w:val="28"/>
          <w:rtl/>
        </w:rPr>
        <w:t>مصر الكلية 5 فبراير سنة 1933 المحاماة 14 رقم 17 ص 32</w:t>
      </w:r>
      <w:r>
        <w:rPr>
          <w:rFonts w:hint="cs"/>
          <w:color w:val="0000FF"/>
          <w:sz w:val="28"/>
          <w:szCs w:val="28"/>
          <w:rtl/>
        </w:rPr>
        <w:t xml:space="preserve"> ) .</w:t>
      </w:r>
    </w:p>
  </w:footnote>
  <w:footnote w:id="40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1116 مكررة </w:t>
      </w:r>
      <w:r w:rsidRPr="00923B1A">
        <w:rPr>
          <w:color w:val="0000FF"/>
          <w:sz w:val="28"/>
          <w:szCs w:val="28"/>
          <w:rtl/>
        </w:rPr>
        <w:t>–</w:t>
      </w:r>
      <w:r w:rsidRPr="00923B1A">
        <w:rPr>
          <w:rFonts w:hint="cs"/>
          <w:color w:val="0000FF"/>
          <w:sz w:val="28"/>
          <w:szCs w:val="28"/>
          <w:rtl/>
        </w:rPr>
        <w:t xml:space="preserve"> ويظهر أنه حق تجاري في الإثبات والاختصاص وسعر الفوائد القانونية</w:t>
      </w:r>
      <w:r>
        <w:rPr>
          <w:rFonts w:hint="cs"/>
          <w:color w:val="0000FF"/>
          <w:sz w:val="28"/>
          <w:szCs w:val="28"/>
          <w:rtl/>
        </w:rPr>
        <w:t xml:space="preserve"> .</w:t>
      </w:r>
    </w:p>
  </w:footnote>
  <w:footnote w:id="40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392 </w:t>
      </w:r>
      <w:r w:rsidRPr="00923B1A">
        <w:rPr>
          <w:color w:val="0000FF"/>
          <w:sz w:val="28"/>
          <w:szCs w:val="28"/>
          <w:rtl/>
        </w:rPr>
        <w:t>–</w:t>
      </w:r>
      <w:r w:rsidRPr="00923B1A">
        <w:rPr>
          <w:rFonts w:hint="cs"/>
          <w:color w:val="0000FF"/>
          <w:sz w:val="28"/>
          <w:szCs w:val="28"/>
          <w:rtl/>
        </w:rPr>
        <w:t xml:space="preserve"> ويرجع الكفيل على المدين بقيمة الأخشاب التي حجز عليها الدائن وتركها المدين تفلت من الحجز</w:t>
      </w:r>
      <w:r>
        <w:rPr>
          <w:rFonts w:hint="cs"/>
          <w:color w:val="0000FF"/>
          <w:sz w:val="28"/>
          <w:szCs w:val="28"/>
          <w:rtl/>
        </w:rPr>
        <w:t xml:space="preserve">( </w:t>
      </w:r>
      <w:r w:rsidRPr="00923B1A">
        <w:rPr>
          <w:rFonts w:hint="cs"/>
          <w:color w:val="0000FF"/>
          <w:sz w:val="28"/>
          <w:szCs w:val="28"/>
          <w:rtl/>
        </w:rPr>
        <w:t xml:space="preserve">نقض فرنسي 10 مارس 1936 سيريه 1936 </w:t>
      </w:r>
      <w:r w:rsidRPr="00923B1A">
        <w:rPr>
          <w:color w:val="0000FF"/>
          <w:sz w:val="28"/>
          <w:szCs w:val="28"/>
          <w:rtl/>
        </w:rPr>
        <w:t>–</w:t>
      </w:r>
      <w:r w:rsidRPr="00923B1A">
        <w:rPr>
          <w:rFonts w:hint="cs"/>
          <w:color w:val="0000FF"/>
          <w:sz w:val="28"/>
          <w:szCs w:val="28"/>
          <w:rtl/>
        </w:rPr>
        <w:t xml:space="preserve"> 1- 190 </w:t>
      </w:r>
      <w:r w:rsidRPr="00923B1A">
        <w:rPr>
          <w:color w:val="0000FF"/>
          <w:sz w:val="28"/>
          <w:szCs w:val="28"/>
          <w:rtl/>
        </w:rPr>
        <w:t>–</w:t>
      </w:r>
      <w:r w:rsidRPr="00923B1A">
        <w:rPr>
          <w:rFonts w:hint="cs"/>
          <w:color w:val="0000FF"/>
          <w:sz w:val="28"/>
          <w:szCs w:val="28"/>
          <w:rtl/>
        </w:rPr>
        <w:t xml:space="preserve"> أوبر ورو 6 فقرة 427 ص 287 هامش 1</w:t>
      </w:r>
      <w:r>
        <w:rPr>
          <w:rFonts w:hint="cs"/>
          <w:color w:val="0000FF"/>
          <w:sz w:val="28"/>
          <w:szCs w:val="28"/>
          <w:rtl/>
        </w:rPr>
        <w:t xml:space="preserve"> .</w:t>
      </w:r>
    </w:p>
  </w:footnote>
  <w:footnote w:id="40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185 </w:t>
      </w:r>
      <w:r w:rsidRPr="00923B1A">
        <w:rPr>
          <w:color w:val="0000FF"/>
          <w:sz w:val="28"/>
          <w:szCs w:val="28"/>
          <w:rtl/>
        </w:rPr>
        <w:t>–</w:t>
      </w:r>
      <w:r w:rsidRPr="00923B1A">
        <w:rPr>
          <w:rFonts w:hint="cs"/>
          <w:color w:val="0000FF"/>
          <w:sz w:val="28"/>
          <w:szCs w:val="28"/>
          <w:rtl/>
        </w:rPr>
        <w:t xml:space="preserve"> بودري وفال فقرة 1114 ص 586 </w:t>
      </w:r>
      <w:r w:rsidRPr="00923B1A">
        <w:rPr>
          <w:color w:val="0000FF"/>
          <w:sz w:val="28"/>
          <w:szCs w:val="28"/>
          <w:rtl/>
        </w:rPr>
        <w:t>–</w:t>
      </w:r>
      <w:r w:rsidRPr="00923B1A">
        <w:rPr>
          <w:rFonts w:hint="cs"/>
          <w:color w:val="0000FF"/>
          <w:sz w:val="28"/>
          <w:szCs w:val="28"/>
          <w:rtl/>
        </w:rPr>
        <w:t xml:space="preserve"> بلانيول وريبير وسافاتييه فقرة 1541 ص 993</w:t>
      </w:r>
      <w:r>
        <w:rPr>
          <w:rFonts w:hint="cs"/>
          <w:color w:val="0000FF"/>
          <w:sz w:val="28"/>
          <w:szCs w:val="28"/>
          <w:rtl/>
        </w:rPr>
        <w:t xml:space="preserve"> .</w:t>
      </w:r>
    </w:p>
  </w:footnote>
  <w:footnote w:id="40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للوسيط 3 فقرة 392 ص 690 </w:t>
      </w:r>
      <w:r w:rsidRPr="00923B1A">
        <w:rPr>
          <w:color w:val="0000FF"/>
          <w:sz w:val="28"/>
          <w:szCs w:val="28"/>
          <w:rtl/>
        </w:rPr>
        <w:t>–</w:t>
      </w:r>
      <w:r w:rsidRPr="00923B1A">
        <w:rPr>
          <w:rFonts w:hint="cs"/>
          <w:color w:val="0000FF"/>
          <w:sz w:val="28"/>
          <w:szCs w:val="28"/>
          <w:rtl/>
        </w:rPr>
        <w:t xml:space="preserve"> منصور مصطفى منصور فقرة 55 ص 107</w:t>
      </w:r>
      <w:r>
        <w:rPr>
          <w:rFonts w:hint="cs"/>
          <w:color w:val="0000FF"/>
          <w:sz w:val="28"/>
          <w:szCs w:val="28"/>
          <w:rtl/>
        </w:rPr>
        <w:t xml:space="preserve"> .</w:t>
      </w:r>
    </w:p>
  </w:footnote>
  <w:footnote w:id="41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393</w:t>
      </w:r>
      <w:r>
        <w:rPr>
          <w:rFonts w:hint="cs"/>
          <w:color w:val="0000FF"/>
          <w:sz w:val="28"/>
          <w:szCs w:val="28"/>
          <w:rtl/>
        </w:rPr>
        <w:t xml:space="preserve"> .</w:t>
      </w:r>
    </w:p>
  </w:footnote>
  <w:footnote w:id="41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منصور مصطفى منصور فقرة 55 ص 107 </w:t>
      </w:r>
      <w:r w:rsidRPr="00923B1A">
        <w:rPr>
          <w:color w:val="0000FF"/>
          <w:sz w:val="28"/>
          <w:szCs w:val="28"/>
          <w:rtl/>
        </w:rPr>
        <w:t>–</w:t>
      </w:r>
      <w:r w:rsidRPr="00923B1A">
        <w:rPr>
          <w:rFonts w:hint="cs"/>
          <w:color w:val="0000FF"/>
          <w:sz w:val="28"/>
          <w:szCs w:val="28"/>
          <w:rtl/>
        </w:rPr>
        <w:t xml:space="preserve"> ولو ضمن الكفيل المستأجر في دفع الأجرة</w:t>
      </w:r>
      <w:r>
        <w:rPr>
          <w:rFonts w:hint="cs"/>
          <w:color w:val="0000FF"/>
          <w:sz w:val="28"/>
          <w:szCs w:val="28"/>
          <w:rtl/>
        </w:rPr>
        <w:t xml:space="preserve"> ،</w:t>
      </w:r>
      <w:r w:rsidRPr="00923B1A">
        <w:rPr>
          <w:rFonts w:hint="cs"/>
          <w:color w:val="0000FF"/>
          <w:sz w:val="28"/>
          <w:szCs w:val="28"/>
          <w:rtl/>
        </w:rPr>
        <w:t xml:space="preserve"> ثم دفعها للمؤجر وفاء عن المستأجر</w:t>
      </w:r>
      <w:r>
        <w:rPr>
          <w:rFonts w:hint="cs"/>
          <w:color w:val="0000FF"/>
          <w:sz w:val="28"/>
          <w:szCs w:val="28"/>
          <w:rtl/>
        </w:rPr>
        <w:t xml:space="preserve"> ،</w:t>
      </w:r>
      <w:r w:rsidRPr="00923B1A">
        <w:rPr>
          <w:rFonts w:hint="cs"/>
          <w:color w:val="0000FF"/>
          <w:sz w:val="28"/>
          <w:szCs w:val="28"/>
          <w:rtl/>
        </w:rPr>
        <w:t xml:space="preserve"> حل محل المؤجر في حقه بما يتبع هذا الحق من طرد المستأجر من العين المؤجرة فليس طرد المستأجر إلا ضربا </w:t>
      </w:r>
      <w:r>
        <w:rPr>
          <w:rFonts w:hint="cs"/>
          <w:color w:val="0000FF"/>
          <w:sz w:val="28"/>
          <w:szCs w:val="28"/>
          <w:rtl/>
        </w:rPr>
        <w:t>من</w:t>
      </w:r>
      <w:r w:rsidRPr="00923B1A">
        <w:rPr>
          <w:rFonts w:hint="cs"/>
          <w:color w:val="0000FF"/>
          <w:sz w:val="28"/>
          <w:szCs w:val="28"/>
          <w:rtl/>
        </w:rPr>
        <w:t xml:space="preserve"> فسخ الإيجار</w:t>
      </w:r>
      <w:r>
        <w:rPr>
          <w:rFonts w:hint="cs"/>
          <w:color w:val="0000FF"/>
          <w:sz w:val="28"/>
          <w:szCs w:val="28"/>
          <w:rtl/>
        </w:rPr>
        <w:t xml:space="preserve"> ،</w:t>
      </w:r>
      <w:r w:rsidRPr="00923B1A">
        <w:rPr>
          <w:rFonts w:hint="cs"/>
          <w:color w:val="0000FF"/>
          <w:sz w:val="28"/>
          <w:szCs w:val="28"/>
          <w:rtl/>
        </w:rPr>
        <w:t xml:space="preserve"> وقد قدمنا أن دعوى الفسخ تعتبر من توابع الحق </w:t>
      </w:r>
      <w:r>
        <w:rPr>
          <w:rFonts w:hint="cs"/>
          <w:color w:val="0000FF"/>
          <w:sz w:val="28"/>
          <w:szCs w:val="28"/>
          <w:rtl/>
        </w:rPr>
        <w:t xml:space="preserve">( </w:t>
      </w:r>
      <w:r w:rsidRPr="00923B1A">
        <w:rPr>
          <w:rFonts w:hint="cs"/>
          <w:color w:val="0000FF"/>
          <w:sz w:val="28"/>
          <w:szCs w:val="28"/>
          <w:rtl/>
        </w:rPr>
        <w:t xml:space="preserve">جيوار فقرة 185 </w:t>
      </w:r>
      <w:r w:rsidRPr="00923B1A">
        <w:rPr>
          <w:color w:val="0000FF"/>
          <w:sz w:val="28"/>
          <w:szCs w:val="28"/>
          <w:rtl/>
        </w:rPr>
        <w:t>–</w:t>
      </w:r>
      <w:r w:rsidRPr="00923B1A">
        <w:rPr>
          <w:rFonts w:hint="cs"/>
          <w:color w:val="0000FF"/>
          <w:sz w:val="28"/>
          <w:szCs w:val="28"/>
          <w:rtl/>
        </w:rPr>
        <w:t xml:space="preserve"> بودري وفال فقرة 114 </w:t>
      </w:r>
      <w:r w:rsidRPr="00923B1A">
        <w:rPr>
          <w:color w:val="0000FF"/>
          <w:sz w:val="28"/>
          <w:szCs w:val="28"/>
          <w:rtl/>
        </w:rPr>
        <w:t>–</w:t>
      </w:r>
      <w:r w:rsidRPr="00923B1A">
        <w:rPr>
          <w:rFonts w:hint="cs"/>
          <w:color w:val="0000FF"/>
          <w:sz w:val="28"/>
          <w:szCs w:val="28"/>
          <w:rtl/>
        </w:rPr>
        <w:t xml:space="preserve"> عكس ذلك بلانيول وريبير وسافاتييه فقرة 1541 ص 993 هامش 1</w:t>
      </w:r>
      <w:r>
        <w:rPr>
          <w:rFonts w:hint="cs"/>
          <w:color w:val="0000FF"/>
          <w:sz w:val="28"/>
          <w:szCs w:val="28"/>
          <w:rtl/>
        </w:rPr>
        <w:t xml:space="preserve"> ) .</w:t>
      </w:r>
    </w:p>
  </w:footnote>
  <w:footnote w:id="41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114 ص 586 </w:t>
      </w:r>
      <w:r w:rsidRPr="00923B1A">
        <w:rPr>
          <w:color w:val="0000FF"/>
          <w:sz w:val="28"/>
          <w:szCs w:val="28"/>
          <w:rtl/>
        </w:rPr>
        <w:t>–</w:t>
      </w:r>
      <w:r w:rsidRPr="00923B1A">
        <w:rPr>
          <w:rFonts w:hint="cs"/>
          <w:color w:val="0000FF"/>
          <w:sz w:val="28"/>
          <w:szCs w:val="28"/>
          <w:rtl/>
        </w:rPr>
        <w:t xml:space="preserve"> ويستوي أن تكون هذه التأمينات قد حصل عليها الدائن قبل عقد الكفالة أو بعد هذا العقد</w:t>
      </w:r>
      <w:r>
        <w:rPr>
          <w:rFonts w:hint="cs"/>
          <w:color w:val="0000FF"/>
          <w:sz w:val="28"/>
          <w:szCs w:val="28"/>
          <w:rtl/>
        </w:rPr>
        <w:t xml:space="preserve"> ،</w:t>
      </w:r>
      <w:r w:rsidRPr="00923B1A">
        <w:rPr>
          <w:rFonts w:hint="cs"/>
          <w:color w:val="0000FF"/>
          <w:sz w:val="28"/>
          <w:szCs w:val="28"/>
          <w:rtl/>
        </w:rPr>
        <w:t xml:space="preserve"> ففي الحالتين يحل الكفيل فيها محل الدائن </w:t>
      </w:r>
      <w:r>
        <w:rPr>
          <w:rFonts w:hint="cs"/>
          <w:color w:val="0000FF"/>
          <w:sz w:val="28"/>
          <w:szCs w:val="28"/>
          <w:rtl/>
        </w:rPr>
        <w:t xml:space="preserve">( </w:t>
      </w:r>
      <w:r w:rsidRPr="00923B1A">
        <w:rPr>
          <w:rFonts w:hint="cs"/>
          <w:color w:val="0000FF"/>
          <w:sz w:val="28"/>
          <w:szCs w:val="28"/>
          <w:rtl/>
        </w:rPr>
        <w:t xml:space="preserve">ترولون فقرة 376 </w:t>
      </w:r>
      <w:r w:rsidRPr="00923B1A">
        <w:rPr>
          <w:color w:val="0000FF"/>
          <w:sz w:val="28"/>
          <w:szCs w:val="28"/>
          <w:rtl/>
        </w:rPr>
        <w:t>–</w:t>
      </w:r>
      <w:r w:rsidRPr="00923B1A">
        <w:rPr>
          <w:rFonts w:hint="cs"/>
          <w:color w:val="0000FF"/>
          <w:sz w:val="28"/>
          <w:szCs w:val="28"/>
          <w:rtl/>
        </w:rPr>
        <w:t xml:space="preserve"> بون 2 فقرة 272 </w:t>
      </w:r>
      <w:r w:rsidRPr="00923B1A">
        <w:rPr>
          <w:color w:val="0000FF"/>
          <w:sz w:val="28"/>
          <w:szCs w:val="28"/>
          <w:rtl/>
        </w:rPr>
        <w:t>–</w:t>
      </w:r>
      <w:r w:rsidRPr="00923B1A">
        <w:rPr>
          <w:rFonts w:hint="cs"/>
          <w:color w:val="0000FF"/>
          <w:sz w:val="28"/>
          <w:szCs w:val="28"/>
          <w:rtl/>
        </w:rPr>
        <w:t xml:space="preserve"> جيوار فقرة 184 </w:t>
      </w:r>
      <w:r w:rsidRPr="00923B1A">
        <w:rPr>
          <w:color w:val="0000FF"/>
          <w:sz w:val="28"/>
          <w:szCs w:val="28"/>
          <w:rtl/>
        </w:rPr>
        <w:t>–</w:t>
      </w:r>
      <w:r w:rsidRPr="00923B1A">
        <w:rPr>
          <w:rFonts w:hint="cs"/>
          <w:color w:val="0000FF"/>
          <w:sz w:val="28"/>
          <w:szCs w:val="28"/>
          <w:rtl/>
        </w:rPr>
        <w:t xml:space="preserve"> بودري وفال فقرة 113</w:t>
      </w:r>
      <w:r>
        <w:rPr>
          <w:rFonts w:hint="cs"/>
          <w:color w:val="0000FF"/>
          <w:sz w:val="28"/>
          <w:szCs w:val="28"/>
          <w:rtl/>
        </w:rPr>
        <w:t xml:space="preserve"> ) .</w:t>
      </w:r>
    </w:p>
  </w:footnote>
  <w:footnote w:id="41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394 </w:t>
      </w:r>
      <w:r w:rsidRPr="00923B1A">
        <w:rPr>
          <w:color w:val="0000FF"/>
          <w:sz w:val="28"/>
          <w:szCs w:val="28"/>
          <w:rtl/>
        </w:rPr>
        <w:t>–</w:t>
      </w:r>
      <w:r w:rsidRPr="00923B1A">
        <w:rPr>
          <w:rFonts w:hint="cs"/>
          <w:color w:val="0000FF"/>
          <w:sz w:val="28"/>
          <w:szCs w:val="28"/>
          <w:rtl/>
        </w:rPr>
        <w:t xml:space="preserve"> وقد رأينا </w:t>
      </w:r>
      <w:r>
        <w:rPr>
          <w:rFonts w:hint="cs"/>
          <w:color w:val="0000FF"/>
          <w:sz w:val="28"/>
          <w:szCs w:val="28"/>
          <w:rtl/>
        </w:rPr>
        <w:t xml:space="preserve">( </w:t>
      </w:r>
      <w:r w:rsidRPr="00923B1A">
        <w:rPr>
          <w:rFonts w:hint="cs"/>
          <w:color w:val="0000FF"/>
          <w:sz w:val="28"/>
          <w:szCs w:val="28"/>
          <w:rtl/>
        </w:rPr>
        <w:t>انظر آنفاً فقرة 51</w:t>
      </w:r>
      <w:r>
        <w:rPr>
          <w:rFonts w:hint="cs"/>
          <w:color w:val="0000FF"/>
          <w:sz w:val="28"/>
          <w:szCs w:val="28"/>
          <w:rtl/>
        </w:rPr>
        <w:t xml:space="preserve"> )</w:t>
      </w:r>
      <w:r w:rsidRPr="00923B1A">
        <w:rPr>
          <w:rFonts w:hint="cs"/>
          <w:color w:val="0000FF"/>
          <w:sz w:val="28"/>
          <w:szCs w:val="28"/>
          <w:rtl/>
        </w:rPr>
        <w:t xml:space="preserve"> أن المادة 787/2 و 3 مدني تنص على ما يأتي</w:t>
      </w:r>
      <w:r>
        <w:rPr>
          <w:rFonts w:hint="cs"/>
          <w:color w:val="0000FF"/>
          <w:sz w:val="28"/>
          <w:szCs w:val="28"/>
          <w:rtl/>
        </w:rPr>
        <w:t xml:space="preserve"> :</w:t>
      </w:r>
      <w:r w:rsidRPr="00923B1A">
        <w:rPr>
          <w:rFonts w:hint="cs"/>
          <w:color w:val="0000FF"/>
          <w:sz w:val="28"/>
          <w:szCs w:val="28"/>
          <w:rtl/>
        </w:rPr>
        <w:t xml:space="preserve"> "3- فإذا  كان الدين مضمونا بمنقول مرهون أو محبوس</w:t>
      </w:r>
      <w:r>
        <w:rPr>
          <w:rFonts w:hint="cs"/>
          <w:color w:val="0000FF"/>
          <w:sz w:val="28"/>
          <w:szCs w:val="28"/>
          <w:rtl/>
        </w:rPr>
        <w:t xml:space="preserve"> ،</w:t>
      </w:r>
      <w:r w:rsidRPr="00923B1A">
        <w:rPr>
          <w:rFonts w:hint="cs"/>
          <w:color w:val="0000FF"/>
          <w:sz w:val="28"/>
          <w:szCs w:val="28"/>
          <w:rtl/>
        </w:rPr>
        <w:t xml:space="preserve"> وجب على الدائن أن يتخلى عنه للكفيل</w:t>
      </w:r>
      <w:r>
        <w:rPr>
          <w:rFonts w:hint="cs"/>
          <w:color w:val="0000FF"/>
          <w:sz w:val="28"/>
          <w:szCs w:val="28"/>
          <w:rtl/>
        </w:rPr>
        <w:t xml:space="preserve"> .</w:t>
      </w:r>
      <w:r w:rsidRPr="00923B1A">
        <w:rPr>
          <w:rFonts w:hint="cs"/>
          <w:color w:val="0000FF"/>
          <w:sz w:val="28"/>
          <w:szCs w:val="28"/>
          <w:rtl/>
        </w:rPr>
        <w:t xml:space="preserve"> 3- أما إذا كان الدين مضموناً بتأمين عقاري</w:t>
      </w:r>
      <w:r>
        <w:rPr>
          <w:rFonts w:hint="cs"/>
          <w:color w:val="0000FF"/>
          <w:sz w:val="28"/>
          <w:szCs w:val="28"/>
          <w:rtl/>
        </w:rPr>
        <w:t xml:space="preserve"> ،</w:t>
      </w:r>
      <w:r w:rsidRPr="00923B1A">
        <w:rPr>
          <w:rFonts w:hint="cs"/>
          <w:color w:val="0000FF"/>
          <w:sz w:val="28"/>
          <w:szCs w:val="28"/>
          <w:rtl/>
        </w:rPr>
        <w:t xml:space="preserve"> فإن الدائن يلتزم أن يقوم بالإجراءات اللازمة لنقل هذا التأمين</w:t>
      </w:r>
      <w:r>
        <w:rPr>
          <w:rFonts w:hint="cs"/>
          <w:color w:val="0000FF"/>
          <w:sz w:val="28"/>
          <w:szCs w:val="28"/>
          <w:rtl/>
        </w:rPr>
        <w:t xml:space="preserve"> ،</w:t>
      </w:r>
      <w:r w:rsidRPr="00923B1A">
        <w:rPr>
          <w:rFonts w:hint="cs"/>
          <w:color w:val="0000FF"/>
          <w:sz w:val="28"/>
          <w:szCs w:val="28"/>
          <w:rtl/>
        </w:rPr>
        <w:t xml:space="preserve"> ويتحمل الكفيل مصروفات النقل على أن يرجع بها على المدين"</w:t>
      </w:r>
      <w:r>
        <w:rPr>
          <w:rFonts w:hint="cs"/>
          <w:color w:val="0000FF"/>
          <w:sz w:val="28"/>
          <w:szCs w:val="28"/>
          <w:rtl/>
        </w:rPr>
        <w:t xml:space="preserve"> .</w:t>
      </w:r>
    </w:p>
  </w:footnote>
  <w:footnote w:id="41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395</w:t>
      </w:r>
      <w:r>
        <w:rPr>
          <w:rFonts w:hint="cs"/>
          <w:color w:val="0000FF"/>
          <w:sz w:val="28"/>
          <w:szCs w:val="28"/>
          <w:rtl/>
        </w:rPr>
        <w:t xml:space="preserve"> .</w:t>
      </w:r>
    </w:p>
  </w:footnote>
  <w:footnote w:id="41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نفس الفقرة</w:t>
      </w:r>
      <w:r>
        <w:rPr>
          <w:rFonts w:hint="cs"/>
          <w:color w:val="0000FF"/>
          <w:sz w:val="28"/>
          <w:szCs w:val="28"/>
          <w:rtl/>
        </w:rPr>
        <w:t xml:space="preserve"> .</w:t>
      </w:r>
    </w:p>
  </w:footnote>
  <w:footnote w:id="41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397 </w:t>
      </w:r>
      <w:r w:rsidRPr="00923B1A">
        <w:rPr>
          <w:color w:val="0000FF"/>
          <w:sz w:val="28"/>
          <w:szCs w:val="28"/>
          <w:rtl/>
        </w:rPr>
        <w:t>–</w:t>
      </w:r>
      <w:r w:rsidRPr="00923B1A">
        <w:rPr>
          <w:rFonts w:hint="cs"/>
          <w:color w:val="0000FF"/>
          <w:sz w:val="28"/>
          <w:szCs w:val="28"/>
          <w:rtl/>
        </w:rPr>
        <w:t xml:space="preserve"> وقد رأينا في الدعوى الشخصية التي يرجع بها الكفيل على المدين</w:t>
      </w:r>
      <w:r>
        <w:rPr>
          <w:rFonts w:hint="cs"/>
          <w:color w:val="0000FF"/>
          <w:sz w:val="28"/>
          <w:szCs w:val="28"/>
          <w:rtl/>
        </w:rPr>
        <w:t xml:space="preserve"> ،</w:t>
      </w:r>
      <w:r w:rsidRPr="00923B1A">
        <w:rPr>
          <w:rFonts w:hint="cs"/>
          <w:color w:val="0000FF"/>
          <w:sz w:val="28"/>
          <w:szCs w:val="28"/>
          <w:rtl/>
        </w:rPr>
        <w:t xml:space="preserve"> إذا قبل الدائن أن ينزل عن جزء الدين بموجب صلح بينه وبين الكفيل</w:t>
      </w:r>
      <w:r>
        <w:rPr>
          <w:rFonts w:hint="cs"/>
          <w:color w:val="0000FF"/>
          <w:sz w:val="28"/>
          <w:szCs w:val="28"/>
          <w:rtl/>
        </w:rPr>
        <w:t xml:space="preserve"> ،</w:t>
      </w:r>
      <w:r w:rsidRPr="00923B1A">
        <w:rPr>
          <w:rFonts w:hint="cs"/>
          <w:color w:val="0000FF"/>
          <w:sz w:val="28"/>
          <w:szCs w:val="28"/>
          <w:rtl/>
        </w:rPr>
        <w:t xml:space="preserve"> فإن الكفيل لا يرجع على المدين هنا أيضاً إلا بمقدار ما وفى من الدين </w:t>
      </w:r>
      <w:r>
        <w:rPr>
          <w:rFonts w:hint="cs"/>
          <w:color w:val="0000FF"/>
          <w:sz w:val="28"/>
          <w:szCs w:val="28"/>
          <w:rtl/>
        </w:rPr>
        <w:t xml:space="preserve">( </w:t>
      </w:r>
      <w:r w:rsidRPr="00923B1A">
        <w:rPr>
          <w:rFonts w:hint="cs"/>
          <w:color w:val="0000FF"/>
          <w:sz w:val="28"/>
          <w:szCs w:val="28"/>
          <w:rtl/>
        </w:rPr>
        <w:t>انظر آنفا فقرة 64 في الهامش</w:t>
      </w:r>
      <w:r>
        <w:rPr>
          <w:rFonts w:hint="cs"/>
          <w:color w:val="0000FF"/>
          <w:sz w:val="28"/>
          <w:szCs w:val="28"/>
          <w:rtl/>
        </w:rPr>
        <w:t xml:space="preserve"> ) .</w:t>
      </w:r>
    </w:p>
  </w:footnote>
  <w:footnote w:id="41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63</w:t>
      </w:r>
      <w:r>
        <w:rPr>
          <w:rFonts w:hint="cs"/>
          <w:color w:val="0000FF"/>
          <w:sz w:val="28"/>
          <w:szCs w:val="28"/>
          <w:rtl/>
        </w:rPr>
        <w:t xml:space="preserve"> .</w:t>
      </w:r>
    </w:p>
  </w:footnote>
  <w:footnote w:id="41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274 </w:t>
      </w:r>
      <w:r w:rsidRPr="00923B1A">
        <w:rPr>
          <w:color w:val="0000FF"/>
          <w:sz w:val="28"/>
          <w:szCs w:val="28"/>
          <w:rtl/>
        </w:rPr>
        <w:t>–</w:t>
      </w:r>
      <w:r w:rsidRPr="00923B1A">
        <w:rPr>
          <w:rFonts w:hint="cs"/>
          <w:color w:val="0000FF"/>
          <w:sz w:val="28"/>
          <w:szCs w:val="28"/>
          <w:rtl/>
        </w:rPr>
        <w:t xml:space="preserve"> لوران 28 فقرة 246 </w:t>
      </w:r>
      <w:r w:rsidRPr="00923B1A">
        <w:rPr>
          <w:color w:val="0000FF"/>
          <w:sz w:val="28"/>
          <w:szCs w:val="28"/>
          <w:rtl/>
        </w:rPr>
        <w:t>–</w:t>
      </w:r>
      <w:r w:rsidRPr="00923B1A">
        <w:rPr>
          <w:rFonts w:hint="cs"/>
          <w:color w:val="0000FF"/>
          <w:sz w:val="28"/>
          <w:szCs w:val="28"/>
          <w:rtl/>
        </w:rPr>
        <w:t xml:space="preserve"> جيوار فقرة 190 </w:t>
      </w:r>
      <w:r w:rsidRPr="00923B1A">
        <w:rPr>
          <w:color w:val="0000FF"/>
          <w:sz w:val="28"/>
          <w:szCs w:val="28"/>
          <w:rtl/>
        </w:rPr>
        <w:t>–</w:t>
      </w:r>
      <w:r w:rsidRPr="00923B1A">
        <w:rPr>
          <w:rFonts w:hint="cs"/>
          <w:color w:val="0000FF"/>
          <w:sz w:val="28"/>
          <w:szCs w:val="28"/>
          <w:rtl/>
        </w:rPr>
        <w:t xml:space="preserve"> بودري وفال فقرة 1118</w:t>
      </w:r>
      <w:r>
        <w:rPr>
          <w:rFonts w:hint="cs"/>
          <w:color w:val="0000FF"/>
          <w:sz w:val="28"/>
          <w:szCs w:val="28"/>
          <w:rtl/>
        </w:rPr>
        <w:t xml:space="preserve"> .</w:t>
      </w:r>
    </w:p>
  </w:footnote>
  <w:footnote w:id="41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63</w:t>
      </w:r>
      <w:r>
        <w:rPr>
          <w:rFonts w:hint="cs"/>
          <w:color w:val="0000FF"/>
          <w:sz w:val="28"/>
          <w:szCs w:val="28"/>
          <w:rtl/>
        </w:rPr>
        <w:t xml:space="preserve"> .</w:t>
      </w:r>
    </w:p>
  </w:footnote>
  <w:footnote w:id="42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بلانيول وريبير وسافاتييه فقرة 1541 ص 993</w:t>
      </w:r>
      <w:r>
        <w:rPr>
          <w:rFonts w:hint="cs"/>
          <w:color w:val="0000FF"/>
          <w:sz w:val="28"/>
          <w:szCs w:val="28"/>
          <w:rtl/>
        </w:rPr>
        <w:t xml:space="preserve"> .</w:t>
      </w:r>
    </w:p>
  </w:footnote>
  <w:footnote w:id="42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65</w:t>
      </w:r>
      <w:r>
        <w:rPr>
          <w:rFonts w:hint="cs"/>
          <w:color w:val="0000FF"/>
          <w:sz w:val="28"/>
          <w:szCs w:val="28"/>
          <w:rtl/>
        </w:rPr>
        <w:t xml:space="preserve"> .</w:t>
      </w:r>
    </w:p>
  </w:footnote>
  <w:footnote w:id="42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مصر الكلية 5 فبراير سنة 1933 المحاماة 14 رقم 17 ص 32</w:t>
      </w:r>
      <w:r>
        <w:rPr>
          <w:rFonts w:hint="cs"/>
          <w:color w:val="0000FF"/>
          <w:sz w:val="28"/>
          <w:szCs w:val="28"/>
          <w:rtl/>
        </w:rPr>
        <w:t xml:space="preserve"> .</w:t>
      </w:r>
    </w:p>
  </w:footnote>
  <w:footnote w:id="42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401 ص 697 </w:t>
      </w:r>
      <w:r w:rsidRPr="00923B1A">
        <w:rPr>
          <w:color w:val="0000FF"/>
          <w:sz w:val="28"/>
          <w:szCs w:val="28"/>
          <w:rtl/>
        </w:rPr>
        <w:t>–</w:t>
      </w:r>
      <w:r w:rsidRPr="00923B1A">
        <w:rPr>
          <w:rFonts w:hint="cs"/>
          <w:color w:val="0000FF"/>
          <w:sz w:val="28"/>
          <w:szCs w:val="28"/>
          <w:rtl/>
        </w:rPr>
        <w:t xml:space="preserve"> ص 699</w:t>
      </w:r>
      <w:r>
        <w:rPr>
          <w:rFonts w:hint="cs"/>
          <w:color w:val="0000FF"/>
          <w:sz w:val="28"/>
          <w:szCs w:val="28"/>
          <w:rtl/>
        </w:rPr>
        <w:t xml:space="preserve"> .</w:t>
      </w:r>
    </w:p>
  </w:footnote>
  <w:footnote w:id="42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64</w:t>
      </w:r>
      <w:r>
        <w:rPr>
          <w:rFonts w:hint="cs"/>
          <w:color w:val="0000FF"/>
          <w:sz w:val="28"/>
          <w:szCs w:val="28"/>
          <w:rtl/>
        </w:rPr>
        <w:t xml:space="preserve"> .</w:t>
      </w:r>
    </w:p>
  </w:footnote>
  <w:footnote w:id="42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الوسيط 3 فقرة 401 ص 699</w:t>
      </w:r>
      <w:r>
        <w:rPr>
          <w:rFonts w:hint="cs"/>
          <w:color w:val="0000FF"/>
          <w:sz w:val="28"/>
          <w:szCs w:val="28"/>
          <w:rtl/>
        </w:rPr>
        <w:t xml:space="preserve"> .</w:t>
      </w:r>
    </w:p>
  </w:footnote>
  <w:footnote w:id="42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68</w:t>
      </w:r>
      <w:r>
        <w:rPr>
          <w:rFonts w:hint="cs"/>
          <w:color w:val="0000FF"/>
          <w:sz w:val="28"/>
          <w:szCs w:val="28"/>
          <w:rtl/>
        </w:rPr>
        <w:t xml:space="preserve"> .</w:t>
      </w:r>
    </w:p>
  </w:footnote>
  <w:footnote w:id="42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62</w:t>
      </w:r>
      <w:r>
        <w:rPr>
          <w:rFonts w:hint="cs"/>
          <w:color w:val="0000FF"/>
          <w:sz w:val="28"/>
          <w:szCs w:val="28"/>
          <w:rtl/>
        </w:rPr>
        <w:t xml:space="preserve"> .</w:t>
      </w:r>
    </w:p>
  </w:footnote>
  <w:footnote w:id="42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68 في آخرها</w:t>
      </w:r>
      <w:r>
        <w:rPr>
          <w:rFonts w:hint="cs"/>
          <w:color w:val="0000FF"/>
          <w:sz w:val="28"/>
          <w:szCs w:val="28"/>
          <w:rtl/>
        </w:rPr>
        <w:t xml:space="preserve"> .</w:t>
      </w:r>
    </w:p>
  </w:footnote>
  <w:footnote w:id="42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68 في أولها</w:t>
      </w:r>
      <w:r>
        <w:rPr>
          <w:rFonts w:hint="cs"/>
          <w:color w:val="0000FF"/>
          <w:sz w:val="28"/>
          <w:szCs w:val="28"/>
          <w:rtl/>
        </w:rPr>
        <w:t xml:space="preserve"> .</w:t>
      </w:r>
    </w:p>
  </w:footnote>
  <w:footnote w:id="43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69 </w:t>
      </w:r>
      <w:r w:rsidRPr="00923B1A">
        <w:rPr>
          <w:color w:val="0000FF"/>
          <w:sz w:val="28"/>
          <w:szCs w:val="28"/>
          <w:rtl/>
        </w:rPr>
        <w:t>–</w:t>
      </w:r>
      <w:r w:rsidRPr="00923B1A">
        <w:rPr>
          <w:rFonts w:hint="cs"/>
          <w:color w:val="0000FF"/>
          <w:sz w:val="28"/>
          <w:szCs w:val="28"/>
          <w:rtl/>
        </w:rPr>
        <w:t xml:space="preserve"> وانظر في الموازنة بين دعوى الحلول والدعوى الشخصية بلانيول وريبير وسافاتييه فقرة 1541 ص 993 </w:t>
      </w:r>
      <w:r w:rsidRPr="00923B1A">
        <w:rPr>
          <w:color w:val="0000FF"/>
          <w:sz w:val="28"/>
          <w:szCs w:val="28"/>
          <w:rtl/>
        </w:rPr>
        <w:t>–</w:t>
      </w:r>
      <w:r w:rsidRPr="00923B1A">
        <w:rPr>
          <w:rFonts w:hint="cs"/>
          <w:color w:val="0000FF"/>
          <w:sz w:val="28"/>
          <w:szCs w:val="28"/>
          <w:rtl/>
        </w:rPr>
        <w:t xml:space="preserve"> محمد كامل مرسي فقرة 111 </w:t>
      </w:r>
      <w:r w:rsidRPr="00923B1A">
        <w:rPr>
          <w:color w:val="0000FF"/>
          <w:sz w:val="28"/>
          <w:szCs w:val="28"/>
          <w:rtl/>
        </w:rPr>
        <w:t>–</w:t>
      </w:r>
      <w:r w:rsidRPr="00923B1A">
        <w:rPr>
          <w:rFonts w:hint="cs"/>
          <w:color w:val="0000FF"/>
          <w:sz w:val="28"/>
          <w:szCs w:val="28"/>
          <w:rtl/>
        </w:rPr>
        <w:t xml:space="preserve"> عبد الفتاح عبد الباقي فقرة 125 </w:t>
      </w:r>
      <w:r w:rsidRPr="00923B1A">
        <w:rPr>
          <w:color w:val="0000FF"/>
          <w:sz w:val="28"/>
          <w:szCs w:val="28"/>
          <w:rtl/>
        </w:rPr>
        <w:t>–</w:t>
      </w:r>
      <w:r w:rsidRPr="00923B1A">
        <w:rPr>
          <w:rFonts w:hint="cs"/>
          <w:color w:val="0000FF"/>
          <w:sz w:val="28"/>
          <w:szCs w:val="28"/>
          <w:rtl/>
        </w:rPr>
        <w:t xml:space="preserve"> سليمان مرقس فقرة 123 </w:t>
      </w:r>
      <w:r w:rsidRPr="00923B1A">
        <w:rPr>
          <w:color w:val="0000FF"/>
          <w:sz w:val="28"/>
          <w:szCs w:val="28"/>
          <w:rtl/>
        </w:rPr>
        <w:t>–</w:t>
      </w:r>
      <w:r w:rsidRPr="00923B1A">
        <w:rPr>
          <w:rFonts w:hint="cs"/>
          <w:color w:val="0000FF"/>
          <w:sz w:val="28"/>
          <w:szCs w:val="28"/>
          <w:rtl/>
        </w:rPr>
        <w:t xml:space="preserve"> فقرة 125</w:t>
      </w:r>
      <w:r>
        <w:rPr>
          <w:rFonts w:hint="cs"/>
          <w:color w:val="0000FF"/>
          <w:sz w:val="28"/>
          <w:szCs w:val="28"/>
          <w:rtl/>
        </w:rPr>
        <w:t xml:space="preserve"> .</w:t>
      </w:r>
    </w:p>
  </w:footnote>
  <w:footnote w:id="43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1154 من المروع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869 في المشروع النهائي</w:t>
      </w:r>
      <w:r>
        <w:rPr>
          <w:rFonts w:hint="cs"/>
          <w:color w:val="0000FF"/>
          <w:sz w:val="28"/>
          <w:szCs w:val="28"/>
          <w:rtl/>
        </w:rPr>
        <w:t xml:space="preserve"> .</w:t>
      </w:r>
      <w:r w:rsidRPr="00923B1A">
        <w:rPr>
          <w:rFonts w:hint="cs"/>
          <w:color w:val="0000FF"/>
          <w:sz w:val="28"/>
          <w:szCs w:val="28"/>
          <w:rtl/>
        </w:rPr>
        <w:t>ووافق عليه مجلس النواب تحت رقم 868</w:t>
      </w:r>
      <w:r>
        <w:rPr>
          <w:rFonts w:hint="cs"/>
          <w:color w:val="0000FF"/>
          <w:sz w:val="28"/>
          <w:szCs w:val="28"/>
          <w:rtl/>
        </w:rPr>
        <w:t xml:space="preserve"> ،</w:t>
      </w:r>
      <w:r w:rsidRPr="00923B1A">
        <w:rPr>
          <w:rFonts w:hint="cs"/>
          <w:color w:val="0000FF"/>
          <w:sz w:val="28"/>
          <w:szCs w:val="28"/>
          <w:rtl/>
        </w:rPr>
        <w:t xml:space="preserve"> ثم مجلس الشيوخ تحت رقم 801 </w:t>
      </w:r>
      <w:r>
        <w:rPr>
          <w:rFonts w:hint="cs"/>
          <w:color w:val="0000FF"/>
          <w:sz w:val="28"/>
          <w:szCs w:val="28"/>
          <w:rtl/>
        </w:rPr>
        <w:t xml:space="preserve">( </w:t>
      </w:r>
      <w:r w:rsidRPr="00923B1A">
        <w:rPr>
          <w:rFonts w:hint="cs"/>
          <w:color w:val="0000FF"/>
          <w:sz w:val="28"/>
          <w:szCs w:val="28"/>
          <w:rtl/>
        </w:rPr>
        <w:t xml:space="preserve">مجموعة الأعمال التحضيرية 5 ص 548 </w:t>
      </w:r>
      <w:r w:rsidRPr="00923B1A">
        <w:rPr>
          <w:color w:val="0000FF"/>
          <w:sz w:val="28"/>
          <w:szCs w:val="28"/>
          <w:rtl/>
        </w:rPr>
        <w:t>–</w:t>
      </w:r>
      <w:r w:rsidRPr="00923B1A">
        <w:rPr>
          <w:rFonts w:hint="cs"/>
          <w:color w:val="0000FF"/>
          <w:sz w:val="28"/>
          <w:szCs w:val="28"/>
          <w:rtl/>
        </w:rPr>
        <w:t xml:space="preserve"> ص 550</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ولا مقابل للنص في التقنين المدني السابق</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767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810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1035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لا مقابل</w:t>
      </w:r>
      <w:r>
        <w:rPr>
          <w:rFonts w:hint="cs"/>
          <w:color w:val="0000FF"/>
          <w:sz w:val="28"/>
          <w:szCs w:val="28"/>
          <w:rtl/>
        </w:rPr>
        <w:t xml:space="preserve"> .</w:t>
      </w:r>
    </w:p>
  </w:footnote>
  <w:footnote w:id="43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14 مايو سنة </w:t>
      </w:r>
      <w:smartTag w:uri="urn:schemas-microsoft-com:office:smarttags" w:element="metricconverter">
        <w:smartTagPr>
          <w:attr w:name="ProductID" w:val="1942 م"/>
        </w:smartTagPr>
        <w:r w:rsidRPr="00923B1A">
          <w:rPr>
            <w:rFonts w:hint="cs"/>
            <w:color w:val="0000FF"/>
            <w:sz w:val="28"/>
            <w:szCs w:val="28"/>
            <w:rtl/>
          </w:rPr>
          <w:t>1942 م</w:t>
        </w:r>
      </w:smartTag>
      <w:r w:rsidRPr="00923B1A">
        <w:rPr>
          <w:rFonts w:hint="cs"/>
          <w:color w:val="0000FF"/>
          <w:sz w:val="28"/>
          <w:szCs w:val="28"/>
          <w:rtl/>
        </w:rPr>
        <w:t xml:space="preserve"> 54 ص 197</w:t>
      </w:r>
      <w:r>
        <w:rPr>
          <w:rFonts w:hint="cs"/>
          <w:color w:val="0000FF"/>
          <w:sz w:val="28"/>
          <w:szCs w:val="28"/>
          <w:rtl/>
        </w:rPr>
        <w:t xml:space="preserve"> .</w:t>
      </w:r>
    </w:p>
  </w:footnote>
  <w:footnote w:id="43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193 </w:t>
      </w:r>
      <w:r w:rsidRPr="00923B1A">
        <w:rPr>
          <w:color w:val="0000FF"/>
          <w:sz w:val="28"/>
          <w:szCs w:val="28"/>
          <w:rtl/>
        </w:rPr>
        <w:t>–</w:t>
      </w:r>
      <w:r w:rsidRPr="00923B1A">
        <w:rPr>
          <w:rFonts w:hint="cs"/>
          <w:color w:val="0000FF"/>
          <w:sz w:val="28"/>
          <w:szCs w:val="28"/>
          <w:rtl/>
        </w:rPr>
        <w:t xml:space="preserve"> بودري وفال فقرة 1119</w:t>
      </w:r>
      <w:r>
        <w:rPr>
          <w:rFonts w:hint="cs"/>
          <w:color w:val="0000FF"/>
          <w:sz w:val="28"/>
          <w:szCs w:val="28"/>
          <w:rtl/>
        </w:rPr>
        <w:t xml:space="preserve"> .</w:t>
      </w:r>
    </w:p>
  </w:footnote>
  <w:footnote w:id="43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ترولون فقرة 377 </w:t>
      </w:r>
      <w:r w:rsidRPr="00923B1A">
        <w:rPr>
          <w:color w:val="0000FF"/>
          <w:sz w:val="28"/>
          <w:szCs w:val="28"/>
          <w:rtl/>
        </w:rPr>
        <w:t>–</w:t>
      </w:r>
      <w:r w:rsidRPr="00923B1A">
        <w:rPr>
          <w:rFonts w:hint="cs"/>
          <w:color w:val="0000FF"/>
          <w:sz w:val="28"/>
          <w:szCs w:val="28"/>
          <w:rtl/>
        </w:rPr>
        <w:t xml:space="preserve"> بون 2 فقرة 276 </w:t>
      </w:r>
      <w:r w:rsidRPr="00923B1A">
        <w:rPr>
          <w:color w:val="0000FF"/>
          <w:sz w:val="28"/>
          <w:szCs w:val="28"/>
          <w:rtl/>
        </w:rPr>
        <w:t>–</w:t>
      </w:r>
      <w:r w:rsidRPr="00923B1A">
        <w:rPr>
          <w:rFonts w:hint="cs"/>
          <w:color w:val="0000FF"/>
          <w:sz w:val="28"/>
          <w:szCs w:val="28"/>
          <w:rtl/>
        </w:rPr>
        <w:t xml:space="preserve"> لوران 28 فقرة 218 </w:t>
      </w:r>
      <w:r w:rsidRPr="00923B1A">
        <w:rPr>
          <w:color w:val="0000FF"/>
          <w:sz w:val="28"/>
          <w:szCs w:val="28"/>
          <w:rtl/>
        </w:rPr>
        <w:t>–</w:t>
      </w:r>
      <w:r w:rsidRPr="00923B1A">
        <w:rPr>
          <w:rFonts w:hint="cs"/>
          <w:color w:val="0000FF"/>
          <w:sz w:val="28"/>
          <w:szCs w:val="28"/>
          <w:rtl/>
        </w:rPr>
        <w:t xml:space="preserve"> جيوار فقرة 192 </w:t>
      </w:r>
      <w:r w:rsidRPr="00923B1A">
        <w:rPr>
          <w:color w:val="0000FF"/>
          <w:sz w:val="28"/>
          <w:szCs w:val="28"/>
          <w:rtl/>
        </w:rPr>
        <w:t>–</w:t>
      </w:r>
      <w:r w:rsidRPr="00923B1A">
        <w:rPr>
          <w:rFonts w:hint="cs"/>
          <w:color w:val="0000FF"/>
          <w:sz w:val="28"/>
          <w:szCs w:val="28"/>
          <w:rtl/>
        </w:rPr>
        <w:t xml:space="preserve"> فقرة 193 </w:t>
      </w:r>
      <w:r w:rsidRPr="00923B1A">
        <w:rPr>
          <w:color w:val="0000FF"/>
          <w:sz w:val="28"/>
          <w:szCs w:val="28"/>
          <w:rtl/>
        </w:rPr>
        <w:t>–</w:t>
      </w:r>
      <w:r w:rsidRPr="00923B1A">
        <w:rPr>
          <w:rFonts w:hint="cs"/>
          <w:color w:val="0000FF"/>
          <w:sz w:val="28"/>
          <w:szCs w:val="28"/>
          <w:rtl/>
        </w:rPr>
        <w:t xml:space="preserve"> بودري وفال فقرة 1121</w:t>
      </w:r>
      <w:r>
        <w:rPr>
          <w:rFonts w:hint="cs"/>
          <w:color w:val="0000FF"/>
          <w:sz w:val="28"/>
          <w:szCs w:val="28"/>
          <w:rtl/>
        </w:rPr>
        <w:t xml:space="preserve"> .</w:t>
      </w:r>
    </w:p>
  </w:footnote>
  <w:footnote w:id="43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نوقش نص المادة 801 مدني في لجنة الأستاذ كامل صدقي</w:t>
      </w:r>
      <w:r>
        <w:rPr>
          <w:rFonts w:hint="cs"/>
          <w:color w:val="0000FF"/>
          <w:sz w:val="28"/>
          <w:szCs w:val="28"/>
          <w:rtl/>
        </w:rPr>
        <w:t xml:space="preserve"> ،</w:t>
      </w:r>
      <w:r w:rsidRPr="00923B1A">
        <w:rPr>
          <w:rFonts w:hint="cs"/>
          <w:color w:val="0000FF"/>
          <w:sz w:val="28"/>
          <w:szCs w:val="28"/>
          <w:rtl/>
        </w:rPr>
        <w:t xml:space="preserve"> فقال أحد الأعضاء "إنه يرى است</w:t>
      </w:r>
      <w:r>
        <w:rPr>
          <w:rFonts w:hint="cs"/>
          <w:color w:val="0000FF"/>
          <w:sz w:val="28"/>
          <w:szCs w:val="28"/>
          <w:rtl/>
        </w:rPr>
        <w:t>ب</w:t>
      </w:r>
      <w:r w:rsidRPr="00923B1A">
        <w:rPr>
          <w:rFonts w:hint="cs"/>
          <w:color w:val="0000FF"/>
          <w:sz w:val="28"/>
          <w:szCs w:val="28"/>
          <w:rtl/>
        </w:rPr>
        <w:t>عاد هذه المادة</w:t>
      </w:r>
      <w:r>
        <w:rPr>
          <w:rFonts w:hint="cs"/>
          <w:color w:val="0000FF"/>
          <w:sz w:val="28"/>
          <w:szCs w:val="28"/>
          <w:rtl/>
        </w:rPr>
        <w:t xml:space="preserve"> ،</w:t>
      </w:r>
      <w:r w:rsidRPr="00923B1A">
        <w:rPr>
          <w:rFonts w:hint="cs"/>
          <w:color w:val="0000FF"/>
          <w:sz w:val="28"/>
          <w:szCs w:val="28"/>
          <w:rtl/>
        </w:rPr>
        <w:t xml:space="preserve"> إذ أن الكفيل الذي وفى يملك وفقا للقواعد العامة الرجوع على ل شخص استفاد من الوفاء الذي قام به</w:t>
      </w:r>
      <w:r>
        <w:rPr>
          <w:rFonts w:hint="cs"/>
          <w:color w:val="0000FF"/>
          <w:sz w:val="28"/>
          <w:szCs w:val="28"/>
          <w:rtl/>
        </w:rPr>
        <w:t xml:space="preserve"> .</w:t>
      </w:r>
      <w:r w:rsidRPr="00923B1A">
        <w:rPr>
          <w:rFonts w:hint="cs"/>
          <w:color w:val="0000FF"/>
          <w:sz w:val="28"/>
          <w:szCs w:val="28"/>
          <w:rtl/>
        </w:rPr>
        <w:t xml:space="preserve"> ولما كان الوفاء الحاصل من الكفيل في الحالة التي تواجهها المادة المقترحة قد استفاد منه عدة مدينين متضامنين</w:t>
      </w:r>
      <w:r>
        <w:rPr>
          <w:rFonts w:hint="cs"/>
          <w:color w:val="0000FF"/>
          <w:sz w:val="28"/>
          <w:szCs w:val="28"/>
          <w:rtl/>
        </w:rPr>
        <w:t xml:space="preserve"> ،</w:t>
      </w:r>
      <w:r w:rsidRPr="00923B1A">
        <w:rPr>
          <w:rFonts w:hint="cs"/>
          <w:color w:val="0000FF"/>
          <w:sz w:val="28"/>
          <w:szCs w:val="28"/>
          <w:rtl/>
        </w:rPr>
        <w:t xml:space="preserve"> فإن للكفيل مطالبتهم جميعا والرجوع عليهم</w:t>
      </w:r>
      <w:r>
        <w:rPr>
          <w:rFonts w:hint="cs"/>
          <w:color w:val="0000FF"/>
          <w:sz w:val="28"/>
          <w:szCs w:val="28"/>
          <w:rtl/>
        </w:rPr>
        <w:t xml:space="preserve"> ،</w:t>
      </w:r>
      <w:r w:rsidRPr="00923B1A">
        <w:rPr>
          <w:rFonts w:hint="cs"/>
          <w:color w:val="0000FF"/>
          <w:sz w:val="28"/>
          <w:szCs w:val="28"/>
          <w:rtl/>
        </w:rPr>
        <w:t xml:space="preserve"> سواء بالدعوى الشخصية أو بدعوى الحلول</w:t>
      </w:r>
      <w:r>
        <w:rPr>
          <w:rFonts w:hint="cs"/>
          <w:color w:val="0000FF"/>
          <w:sz w:val="28"/>
          <w:szCs w:val="28"/>
          <w:rtl/>
        </w:rPr>
        <w:t xml:space="preserve"> ،</w:t>
      </w:r>
      <w:r w:rsidRPr="00923B1A">
        <w:rPr>
          <w:rFonts w:hint="cs"/>
          <w:color w:val="0000FF"/>
          <w:sz w:val="28"/>
          <w:szCs w:val="28"/>
          <w:rtl/>
        </w:rPr>
        <w:t xml:space="preserve"> وليس هذا الرجوع بحاجة إلى نص لإقراره لأنه تطبيق للمبادئ العامة</w:t>
      </w:r>
      <w:r>
        <w:rPr>
          <w:rFonts w:hint="cs"/>
          <w:color w:val="0000FF"/>
          <w:sz w:val="28"/>
          <w:szCs w:val="28"/>
          <w:rtl/>
        </w:rPr>
        <w:t xml:space="preserve"> ،</w:t>
      </w:r>
      <w:r w:rsidRPr="00923B1A">
        <w:rPr>
          <w:rFonts w:hint="cs"/>
          <w:color w:val="0000FF"/>
          <w:sz w:val="28"/>
          <w:szCs w:val="28"/>
          <w:rtl/>
        </w:rPr>
        <w:t xml:space="preserve"> وفي هذا ما يكفي" </w:t>
      </w:r>
      <w:r>
        <w:rPr>
          <w:rFonts w:hint="cs"/>
          <w:color w:val="0000FF"/>
          <w:sz w:val="28"/>
          <w:szCs w:val="28"/>
          <w:rtl/>
        </w:rPr>
        <w:t xml:space="preserve">( </w:t>
      </w:r>
      <w:r w:rsidRPr="00923B1A">
        <w:rPr>
          <w:rFonts w:hint="cs"/>
          <w:color w:val="0000FF"/>
          <w:sz w:val="28"/>
          <w:szCs w:val="28"/>
          <w:rtl/>
        </w:rPr>
        <w:t>مجموعة الأعمال التحضيرية 5 ص 550 في الهامش</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وانظر محمد كامل مرسي فقرة 115 </w:t>
      </w:r>
      <w:r w:rsidRPr="00923B1A">
        <w:rPr>
          <w:color w:val="0000FF"/>
          <w:sz w:val="28"/>
          <w:szCs w:val="28"/>
          <w:rtl/>
        </w:rPr>
        <w:t>–</w:t>
      </w:r>
      <w:r w:rsidRPr="00923B1A">
        <w:rPr>
          <w:rFonts w:hint="cs"/>
          <w:color w:val="0000FF"/>
          <w:sz w:val="28"/>
          <w:szCs w:val="28"/>
          <w:rtl/>
        </w:rPr>
        <w:t xml:space="preserve"> عبد الفتاح عبد الباقي فقرة 122 </w:t>
      </w:r>
      <w:r w:rsidRPr="00923B1A">
        <w:rPr>
          <w:color w:val="0000FF"/>
          <w:sz w:val="28"/>
          <w:szCs w:val="28"/>
          <w:rtl/>
        </w:rPr>
        <w:t>–</w:t>
      </w:r>
      <w:r w:rsidRPr="00923B1A">
        <w:rPr>
          <w:rFonts w:hint="cs"/>
          <w:color w:val="0000FF"/>
          <w:sz w:val="28"/>
          <w:szCs w:val="28"/>
          <w:rtl/>
        </w:rPr>
        <w:t xml:space="preserve"> سليمان مرقس فقرة 137 </w:t>
      </w:r>
      <w:r w:rsidRPr="00923B1A">
        <w:rPr>
          <w:color w:val="0000FF"/>
          <w:sz w:val="28"/>
          <w:szCs w:val="28"/>
          <w:rtl/>
        </w:rPr>
        <w:t>–</w:t>
      </w:r>
      <w:r w:rsidRPr="00923B1A">
        <w:rPr>
          <w:rFonts w:hint="cs"/>
          <w:color w:val="0000FF"/>
          <w:sz w:val="28"/>
          <w:szCs w:val="28"/>
          <w:rtl/>
        </w:rPr>
        <w:t xml:space="preserve"> منصور مصطفى منصور فقرة 57 ص 109 </w:t>
      </w:r>
      <w:r w:rsidRPr="00923B1A">
        <w:rPr>
          <w:color w:val="0000FF"/>
          <w:sz w:val="28"/>
          <w:szCs w:val="28"/>
          <w:rtl/>
        </w:rPr>
        <w:t>–</w:t>
      </w:r>
      <w:r w:rsidRPr="00923B1A">
        <w:rPr>
          <w:rFonts w:hint="cs"/>
          <w:color w:val="0000FF"/>
          <w:sz w:val="28"/>
          <w:szCs w:val="28"/>
          <w:rtl/>
        </w:rPr>
        <w:t xml:space="preserve"> ص 110</w:t>
      </w:r>
      <w:r>
        <w:rPr>
          <w:rFonts w:hint="cs"/>
          <w:color w:val="0000FF"/>
          <w:sz w:val="28"/>
          <w:szCs w:val="28"/>
          <w:rtl/>
        </w:rPr>
        <w:t xml:space="preserve"> .</w:t>
      </w:r>
    </w:p>
  </w:footnote>
  <w:footnote w:id="43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72</w:t>
      </w:r>
      <w:r>
        <w:rPr>
          <w:rFonts w:hint="cs"/>
          <w:color w:val="0000FF"/>
          <w:sz w:val="28"/>
          <w:szCs w:val="28"/>
          <w:rtl/>
        </w:rPr>
        <w:t xml:space="preserve"> .</w:t>
      </w:r>
    </w:p>
  </w:footnote>
  <w:footnote w:id="43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مدني 7 يناير سنة 1937 مجموعة عمر 1 رقم 24 ص 61 </w:t>
      </w:r>
      <w:r w:rsidRPr="00923B1A">
        <w:rPr>
          <w:color w:val="0000FF"/>
          <w:sz w:val="28"/>
          <w:szCs w:val="28"/>
          <w:rtl/>
        </w:rPr>
        <w:t>–</w:t>
      </w:r>
      <w:r w:rsidRPr="00923B1A">
        <w:rPr>
          <w:rFonts w:hint="cs"/>
          <w:color w:val="0000FF"/>
          <w:sz w:val="28"/>
          <w:szCs w:val="28"/>
          <w:rtl/>
        </w:rPr>
        <w:t xml:space="preserve"> 24 أبريل سنة 1952 مجموعة القواعد القانونية التي قررتها محكمة النقض في 25 عاماً الجزء الثاني ص 937 </w:t>
      </w:r>
      <w:r w:rsidRPr="00923B1A">
        <w:rPr>
          <w:color w:val="0000FF"/>
          <w:sz w:val="28"/>
          <w:szCs w:val="28"/>
          <w:rtl/>
        </w:rPr>
        <w:t>–</w:t>
      </w:r>
      <w:r w:rsidRPr="00923B1A">
        <w:rPr>
          <w:rFonts w:hint="cs"/>
          <w:color w:val="0000FF"/>
          <w:sz w:val="28"/>
          <w:szCs w:val="28"/>
          <w:rtl/>
        </w:rPr>
        <w:t xml:space="preserve"> ص 938 رقم 12 </w:t>
      </w:r>
      <w:r w:rsidRPr="00923B1A">
        <w:rPr>
          <w:color w:val="0000FF"/>
          <w:sz w:val="28"/>
          <w:szCs w:val="28"/>
          <w:rtl/>
        </w:rPr>
        <w:t>–</w:t>
      </w:r>
      <w:r w:rsidRPr="00923B1A">
        <w:rPr>
          <w:rFonts w:hint="cs"/>
          <w:color w:val="0000FF"/>
          <w:sz w:val="28"/>
          <w:szCs w:val="28"/>
          <w:rtl/>
        </w:rPr>
        <w:t xml:space="preserve"> جيوار فقرة 193 </w:t>
      </w:r>
      <w:r w:rsidRPr="00923B1A">
        <w:rPr>
          <w:color w:val="0000FF"/>
          <w:sz w:val="28"/>
          <w:szCs w:val="28"/>
          <w:rtl/>
        </w:rPr>
        <w:t>–</w:t>
      </w:r>
      <w:r w:rsidRPr="00923B1A">
        <w:rPr>
          <w:rFonts w:hint="cs"/>
          <w:color w:val="0000FF"/>
          <w:sz w:val="28"/>
          <w:szCs w:val="28"/>
          <w:rtl/>
        </w:rPr>
        <w:t xml:space="preserve"> بودري وفال فقرة 1119 </w:t>
      </w:r>
      <w:r w:rsidRPr="00923B1A">
        <w:rPr>
          <w:color w:val="0000FF"/>
          <w:sz w:val="28"/>
          <w:szCs w:val="28"/>
          <w:rtl/>
        </w:rPr>
        <w:t>–</w:t>
      </w:r>
      <w:r w:rsidRPr="00923B1A">
        <w:rPr>
          <w:rFonts w:hint="cs"/>
          <w:color w:val="0000FF"/>
          <w:sz w:val="28"/>
          <w:szCs w:val="28"/>
          <w:rtl/>
        </w:rPr>
        <w:t xml:space="preserve"> محمد كامل مرسي فقرة 116 </w:t>
      </w:r>
      <w:r w:rsidRPr="00923B1A">
        <w:rPr>
          <w:color w:val="0000FF"/>
          <w:sz w:val="28"/>
          <w:szCs w:val="28"/>
          <w:rtl/>
        </w:rPr>
        <w:t>–</w:t>
      </w:r>
      <w:r w:rsidRPr="00923B1A">
        <w:rPr>
          <w:rFonts w:hint="cs"/>
          <w:color w:val="0000FF"/>
          <w:sz w:val="28"/>
          <w:szCs w:val="28"/>
          <w:rtl/>
        </w:rPr>
        <w:t xml:space="preserve"> عبد الفتاح عبد الباقي فقرة 123 </w:t>
      </w:r>
      <w:r w:rsidRPr="00923B1A">
        <w:rPr>
          <w:color w:val="0000FF"/>
          <w:sz w:val="28"/>
          <w:szCs w:val="28"/>
          <w:rtl/>
        </w:rPr>
        <w:t>–</w:t>
      </w:r>
      <w:r w:rsidRPr="00923B1A">
        <w:rPr>
          <w:rFonts w:hint="cs"/>
          <w:color w:val="0000FF"/>
          <w:sz w:val="28"/>
          <w:szCs w:val="28"/>
          <w:rtl/>
        </w:rPr>
        <w:t xml:space="preserve"> سليمان مرقس فقرة 128 </w:t>
      </w:r>
      <w:r w:rsidRPr="00923B1A">
        <w:rPr>
          <w:color w:val="0000FF"/>
          <w:sz w:val="28"/>
          <w:szCs w:val="28"/>
          <w:rtl/>
        </w:rPr>
        <w:t>–</w:t>
      </w:r>
      <w:r w:rsidRPr="00923B1A">
        <w:rPr>
          <w:rFonts w:hint="cs"/>
          <w:color w:val="0000FF"/>
          <w:sz w:val="28"/>
          <w:szCs w:val="28"/>
          <w:rtl/>
        </w:rPr>
        <w:t xml:space="preserve"> منصور مصطفى منصور فقرة 57 ص 110</w:t>
      </w:r>
      <w:r>
        <w:rPr>
          <w:rFonts w:hint="cs"/>
          <w:color w:val="0000FF"/>
          <w:sz w:val="28"/>
          <w:szCs w:val="28"/>
          <w:rtl/>
        </w:rPr>
        <w:t xml:space="preserve"> .</w:t>
      </w:r>
    </w:p>
  </w:footnote>
  <w:footnote w:id="43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193 </w:t>
      </w:r>
      <w:r w:rsidRPr="00923B1A">
        <w:rPr>
          <w:color w:val="0000FF"/>
          <w:sz w:val="28"/>
          <w:szCs w:val="28"/>
          <w:rtl/>
        </w:rPr>
        <w:t>–</w:t>
      </w:r>
      <w:r w:rsidRPr="00923B1A">
        <w:rPr>
          <w:rFonts w:hint="cs"/>
          <w:color w:val="0000FF"/>
          <w:sz w:val="28"/>
          <w:szCs w:val="28"/>
          <w:rtl/>
        </w:rPr>
        <w:t xml:space="preserve"> بودري وفال فقرة 1120 </w:t>
      </w:r>
      <w:r w:rsidRPr="00923B1A">
        <w:rPr>
          <w:color w:val="0000FF"/>
          <w:sz w:val="28"/>
          <w:szCs w:val="28"/>
          <w:rtl/>
        </w:rPr>
        <w:t>–</w:t>
      </w:r>
      <w:r w:rsidRPr="00923B1A">
        <w:rPr>
          <w:rFonts w:hint="cs"/>
          <w:color w:val="0000FF"/>
          <w:sz w:val="28"/>
          <w:szCs w:val="28"/>
          <w:rtl/>
        </w:rPr>
        <w:t xml:space="preserve"> عبد الفتاح عبد الباقي فقرة 123 </w:t>
      </w:r>
      <w:r w:rsidRPr="00923B1A">
        <w:rPr>
          <w:color w:val="0000FF"/>
          <w:sz w:val="28"/>
          <w:szCs w:val="28"/>
          <w:rtl/>
        </w:rPr>
        <w:t>–</w:t>
      </w:r>
      <w:r w:rsidRPr="00923B1A">
        <w:rPr>
          <w:rFonts w:hint="cs"/>
          <w:color w:val="0000FF"/>
          <w:sz w:val="28"/>
          <w:szCs w:val="28"/>
          <w:rtl/>
        </w:rPr>
        <w:t xml:space="preserve"> وقد قضت محكمة النقض في مصر بأنه إذا كان الثابت من نصوص عقد الإيجار والمحرر المثبت لالتزام كفيل أحد المستأجرين أن التأمين المشترك عن وفاء الأجرة هو بقدر أجرة سنة</w:t>
      </w:r>
      <w:r>
        <w:rPr>
          <w:rFonts w:hint="cs"/>
          <w:color w:val="0000FF"/>
          <w:sz w:val="28"/>
          <w:szCs w:val="28"/>
          <w:rtl/>
        </w:rPr>
        <w:t xml:space="preserve"> ،</w:t>
      </w:r>
      <w:r w:rsidRPr="00923B1A">
        <w:rPr>
          <w:rFonts w:hint="cs"/>
          <w:color w:val="0000FF"/>
          <w:sz w:val="28"/>
          <w:szCs w:val="28"/>
          <w:rtl/>
        </w:rPr>
        <w:t xml:space="preserve"> وأن الكفيل كفل أحد المستأجرين في نصف مبلغ التأمين</w:t>
      </w:r>
      <w:r>
        <w:rPr>
          <w:rFonts w:hint="cs"/>
          <w:color w:val="0000FF"/>
          <w:sz w:val="28"/>
          <w:szCs w:val="28"/>
          <w:rtl/>
        </w:rPr>
        <w:t xml:space="preserve"> ،</w:t>
      </w:r>
      <w:r w:rsidRPr="00923B1A">
        <w:rPr>
          <w:rFonts w:hint="cs"/>
          <w:color w:val="0000FF"/>
          <w:sz w:val="28"/>
          <w:szCs w:val="28"/>
          <w:rtl/>
        </w:rPr>
        <w:t xml:space="preserve"> وأن المستأجر الآخر المتضامن معه قدم رهناً عقارياً عما يخصه في التأمين</w:t>
      </w:r>
      <w:r>
        <w:rPr>
          <w:rFonts w:hint="cs"/>
          <w:color w:val="0000FF"/>
          <w:sz w:val="28"/>
          <w:szCs w:val="28"/>
          <w:rtl/>
        </w:rPr>
        <w:t xml:space="preserve"> ،</w:t>
      </w:r>
      <w:r w:rsidRPr="00923B1A">
        <w:rPr>
          <w:rFonts w:hint="cs"/>
          <w:color w:val="0000FF"/>
          <w:sz w:val="28"/>
          <w:szCs w:val="28"/>
          <w:rtl/>
        </w:rPr>
        <w:t xml:space="preserve"> وقبل المؤجر هذين التأمينين الشخصي والعيني</w:t>
      </w:r>
      <w:r>
        <w:rPr>
          <w:rFonts w:hint="cs"/>
          <w:color w:val="0000FF"/>
          <w:sz w:val="28"/>
          <w:szCs w:val="28"/>
          <w:rtl/>
        </w:rPr>
        <w:t xml:space="preserve"> .</w:t>
      </w:r>
      <w:r w:rsidRPr="00923B1A">
        <w:rPr>
          <w:rFonts w:hint="cs"/>
          <w:color w:val="0000FF"/>
          <w:sz w:val="28"/>
          <w:szCs w:val="28"/>
          <w:rtl/>
        </w:rPr>
        <w:t xml:space="preserve"> فإن التكييف الصحيح لهذه الكفالة هو أنها كفالة شخصية مقصورة على المكفول</w:t>
      </w:r>
      <w:r>
        <w:rPr>
          <w:rFonts w:hint="cs"/>
          <w:color w:val="0000FF"/>
          <w:sz w:val="28"/>
          <w:szCs w:val="28"/>
          <w:rtl/>
        </w:rPr>
        <w:t xml:space="preserve"> ،</w:t>
      </w:r>
      <w:r w:rsidRPr="00923B1A">
        <w:rPr>
          <w:rFonts w:hint="cs"/>
          <w:color w:val="0000FF"/>
          <w:sz w:val="28"/>
          <w:szCs w:val="28"/>
          <w:rtl/>
        </w:rPr>
        <w:t xml:space="preserve"> وبقد ما هو ملزم به</w:t>
      </w:r>
      <w:r>
        <w:rPr>
          <w:rFonts w:hint="cs"/>
          <w:color w:val="0000FF"/>
          <w:sz w:val="28"/>
          <w:szCs w:val="28"/>
          <w:rtl/>
        </w:rPr>
        <w:t xml:space="preserve"> .</w:t>
      </w:r>
      <w:r w:rsidRPr="00923B1A">
        <w:rPr>
          <w:rFonts w:hint="cs"/>
          <w:color w:val="0000FF"/>
          <w:sz w:val="28"/>
          <w:szCs w:val="28"/>
          <w:rtl/>
        </w:rPr>
        <w:t xml:space="preserve"> فإذا جعلتها المحكمة متعدية إلى الشريك في الإجارة</w:t>
      </w:r>
      <w:r>
        <w:rPr>
          <w:rFonts w:hint="cs"/>
          <w:color w:val="0000FF"/>
          <w:sz w:val="28"/>
          <w:szCs w:val="28"/>
          <w:rtl/>
        </w:rPr>
        <w:t xml:space="preserve"> ،</w:t>
      </w:r>
      <w:r w:rsidRPr="00923B1A">
        <w:rPr>
          <w:rFonts w:hint="cs"/>
          <w:color w:val="0000FF"/>
          <w:sz w:val="28"/>
          <w:szCs w:val="28"/>
          <w:rtl/>
        </w:rPr>
        <w:t xml:space="preserve"> وألزمته بناء على ذلك بمقدار ما دفعه الكفيل عن مكفوله</w:t>
      </w:r>
      <w:r>
        <w:rPr>
          <w:rFonts w:hint="cs"/>
          <w:color w:val="0000FF"/>
          <w:sz w:val="28"/>
          <w:szCs w:val="28"/>
          <w:rtl/>
        </w:rPr>
        <w:t xml:space="preserve"> ،</w:t>
      </w:r>
      <w:r w:rsidRPr="00923B1A">
        <w:rPr>
          <w:rFonts w:hint="cs"/>
          <w:color w:val="0000FF"/>
          <w:sz w:val="28"/>
          <w:szCs w:val="28"/>
          <w:rtl/>
        </w:rPr>
        <w:t xml:space="preserve"> فهذا تكييف خاطئ يستوجب نقض الحكم</w:t>
      </w:r>
      <w:r>
        <w:rPr>
          <w:rFonts w:hint="cs"/>
          <w:color w:val="0000FF"/>
          <w:sz w:val="28"/>
          <w:szCs w:val="28"/>
          <w:rtl/>
        </w:rPr>
        <w:t xml:space="preserve"> .</w:t>
      </w:r>
      <w:r w:rsidRPr="00923B1A">
        <w:rPr>
          <w:rFonts w:hint="cs"/>
          <w:color w:val="0000FF"/>
          <w:sz w:val="28"/>
          <w:szCs w:val="28"/>
          <w:rtl/>
        </w:rPr>
        <w:t xml:space="preserve"> ذلك لأن القانون يقضي بأن الكفيل الذي يضمن أحد المدينين المتضامنين يملك قبل من كفله منهم الحق في المطالبة بجميع ما دفعه عنه عملا بالمادة 505 مدني</w:t>
      </w:r>
      <w:r>
        <w:rPr>
          <w:rFonts w:hint="cs"/>
          <w:color w:val="0000FF"/>
          <w:sz w:val="28"/>
          <w:szCs w:val="28"/>
          <w:rtl/>
        </w:rPr>
        <w:t xml:space="preserve"> ،</w:t>
      </w:r>
      <w:r w:rsidRPr="00923B1A">
        <w:rPr>
          <w:rFonts w:hint="cs"/>
          <w:color w:val="0000FF"/>
          <w:sz w:val="28"/>
          <w:szCs w:val="28"/>
          <w:rtl/>
        </w:rPr>
        <w:t xml:space="preserve"> ويس له قبل المدينين الآخرين إلا أحد سبيلين</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الأول</w:t>
      </w:r>
      <w:r>
        <w:rPr>
          <w:rFonts w:hint="cs"/>
          <w:color w:val="0000FF"/>
          <w:sz w:val="28"/>
          <w:szCs w:val="28"/>
          <w:rtl/>
        </w:rPr>
        <w:t xml:space="preserve"> )</w:t>
      </w:r>
      <w:r w:rsidRPr="00923B1A">
        <w:rPr>
          <w:rFonts w:hint="cs"/>
          <w:color w:val="0000FF"/>
          <w:sz w:val="28"/>
          <w:szCs w:val="28"/>
          <w:rtl/>
        </w:rPr>
        <w:t xml:space="preserve"> أن يستعمل باسم مكفوله حقه قبلهم في المطالبة بما يجوز له أن يرجع به عليهم</w:t>
      </w:r>
      <w:r>
        <w:rPr>
          <w:rFonts w:hint="cs"/>
          <w:color w:val="0000FF"/>
          <w:sz w:val="28"/>
          <w:szCs w:val="28"/>
          <w:rtl/>
        </w:rPr>
        <w:t xml:space="preserve"> ،</w:t>
      </w:r>
      <w:r w:rsidRPr="00923B1A">
        <w:rPr>
          <w:rFonts w:hint="cs"/>
          <w:color w:val="0000FF"/>
          <w:sz w:val="28"/>
          <w:szCs w:val="28"/>
          <w:rtl/>
        </w:rPr>
        <w:t xml:space="preserve"> وذلك عملا بالمادة 141 من القانون المدني</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والثاني</w:t>
      </w:r>
      <w:r>
        <w:rPr>
          <w:rFonts w:hint="cs"/>
          <w:color w:val="0000FF"/>
          <w:sz w:val="28"/>
          <w:szCs w:val="28"/>
          <w:rtl/>
        </w:rPr>
        <w:t xml:space="preserve"> )</w:t>
      </w:r>
      <w:r w:rsidRPr="00923B1A">
        <w:rPr>
          <w:rFonts w:hint="cs"/>
          <w:color w:val="0000FF"/>
          <w:sz w:val="28"/>
          <w:szCs w:val="28"/>
          <w:rtl/>
        </w:rPr>
        <w:t xml:space="preserve"> أن يرجع عليهم بدعوى الإثراء على حساب الغير </w:t>
      </w:r>
      <w:r>
        <w:rPr>
          <w:color w:val="0000FF"/>
          <w:sz w:val="28"/>
          <w:szCs w:val="28"/>
          <w:rtl/>
        </w:rPr>
        <w:t xml:space="preserve">( </w:t>
      </w:r>
      <w:r w:rsidRPr="00923B1A">
        <w:rPr>
          <w:color w:val="0000FF"/>
          <w:sz w:val="28"/>
          <w:szCs w:val="28"/>
        </w:rPr>
        <w:t>actio de in rem verso</w:t>
      </w:r>
      <w:r>
        <w:rPr>
          <w:color w:val="0000FF"/>
          <w:sz w:val="28"/>
          <w:szCs w:val="28"/>
          <w:rtl/>
        </w:rPr>
        <w:t xml:space="preserve"> )</w:t>
      </w:r>
      <w:r w:rsidRPr="00923B1A">
        <w:rPr>
          <w:rFonts w:hint="cs"/>
          <w:color w:val="0000FF"/>
          <w:sz w:val="28"/>
          <w:szCs w:val="28"/>
          <w:rtl/>
        </w:rPr>
        <w:t xml:space="preserve"> عملا بالمادة 144 </w:t>
      </w:r>
      <w:r>
        <w:rPr>
          <w:rFonts w:hint="cs"/>
          <w:color w:val="0000FF"/>
          <w:sz w:val="28"/>
          <w:szCs w:val="28"/>
          <w:rtl/>
        </w:rPr>
        <w:t xml:space="preserve">( </w:t>
      </w:r>
      <w:r w:rsidRPr="00923B1A">
        <w:rPr>
          <w:rFonts w:hint="cs"/>
          <w:color w:val="0000FF"/>
          <w:sz w:val="28"/>
          <w:szCs w:val="28"/>
          <w:rtl/>
        </w:rPr>
        <w:t xml:space="preserve">نقض مدني 2 يناير سنة 1937 مجموعة عمر 1 رقم 24 ص 61 </w:t>
      </w:r>
      <w:r w:rsidRPr="00923B1A">
        <w:rPr>
          <w:color w:val="0000FF"/>
          <w:sz w:val="28"/>
          <w:szCs w:val="28"/>
          <w:rtl/>
        </w:rPr>
        <w:t>–</w:t>
      </w:r>
      <w:r w:rsidRPr="00923B1A">
        <w:rPr>
          <w:rFonts w:hint="cs"/>
          <w:color w:val="0000FF"/>
          <w:sz w:val="28"/>
          <w:szCs w:val="28"/>
          <w:rtl/>
        </w:rPr>
        <w:t xml:space="preserve"> وقد سبقت الإشارة إلى هذا الحكم</w:t>
      </w:r>
      <w:r>
        <w:rPr>
          <w:rFonts w:hint="cs"/>
          <w:color w:val="0000FF"/>
          <w:sz w:val="28"/>
          <w:szCs w:val="28"/>
          <w:rtl/>
        </w:rPr>
        <w:t xml:space="preserve"> ) .</w:t>
      </w:r>
    </w:p>
  </w:footnote>
  <w:footnote w:id="43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1122 </w:t>
      </w:r>
      <w:r w:rsidRPr="00923B1A">
        <w:rPr>
          <w:color w:val="0000FF"/>
          <w:sz w:val="28"/>
          <w:szCs w:val="28"/>
          <w:rtl/>
        </w:rPr>
        <w:t>–</w:t>
      </w:r>
      <w:r w:rsidRPr="00923B1A">
        <w:rPr>
          <w:rFonts w:hint="cs"/>
          <w:color w:val="0000FF"/>
          <w:sz w:val="28"/>
          <w:szCs w:val="28"/>
          <w:rtl/>
        </w:rPr>
        <w:t xml:space="preserve"> وقد نوقشت هذه المسألة في لجنة الأستاذ كامل صدقي</w:t>
      </w:r>
      <w:r>
        <w:rPr>
          <w:rFonts w:hint="cs"/>
          <w:color w:val="0000FF"/>
          <w:sz w:val="28"/>
          <w:szCs w:val="28"/>
          <w:rtl/>
        </w:rPr>
        <w:t xml:space="preserve"> ،</w:t>
      </w:r>
      <w:r w:rsidRPr="00923B1A">
        <w:rPr>
          <w:rFonts w:hint="cs"/>
          <w:color w:val="0000FF"/>
          <w:sz w:val="28"/>
          <w:szCs w:val="28"/>
          <w:rtl/>
        </w:rPr>
        <w:t xml:space="preserve"> فقال أحد الأعضاء "أن هذه المسألة موضع خلاف</w:t>
      </w:r>
      <w:r>
        <w:rPr>
          <w:rFonts w:hint="cs"/>
          <w:color w:val="0000FF"/>
          <w:sz w:val="28"/>
          <w:szCs w:val="28"/>
          <w:rtl/>
        </w:rPr>
        <w:t xml:space="preserve"> ،</w:t>
      </w:r>
      <w:r w:rsidRPr="00923B1A">
        <w:rPr>
          <w:rFonts w:hint="cs"/>
          <w:color w:val="0000FF"/>
          <w:sz w:val="28"/>
          <w:szCs w:val="28"/>
          <w:rtl/>
        </w:rPr>
        <w:t xml:space="preserve"> ولإيضاح ذلك نرب المثل الآتي</w:t>
      </w:r>
      <w:r>
        <w:rPr>
          <w:rFonts w:hint="cs"/>
          <w:color w:val="0000FF"/>
          <w:sz w:val="28"/>
          <w:szCs w:val="28"/>
          <w:rtl/>
        </w:rPr>
        <w:t xml:space="preserve"> :</w:t>
      </w:r>
      <w:r w:rsidRPr="00923B1A">
        <w:rPr>
          <w:rFonts w:hint="cs"/>
          <w:color w:val="0000FF"/>
          <w:sz w:val="28"/>
          <w:szCs w:val="28"/>
          <w:rtl/>
        </w:rPr>
        <w:t xml:space="preserve"> أ و ب و ج مدينون متضامنون</w:t>
      </w:r>
      <w:r>
        <w:rPr>
          <w:rFonts w:hint="cs"/>
          <w:color w:val="0000FF"/>
          <w:sz w:val="28"/>
          <w:szCs w:val="28"/>
          <w:rtl/>
        </w:rPr>
        <w:t xml:space="preserve"> .</w:t>
      </w:r>
      <w:r w:rsidRPr="00923B1A">
        <w:rPr>
          <w:rFonts w:hint="cs"/>
          <w:color w:val="0000FF"/>
          <w:sz w:val="28"/>
          <w:szCs w:val="28"/>
          <w:rtl/>
        </w:rPr>
        <w:t xml:space="preserve"> كفيل مكفل أ وحده</w:t>
      </w:r>
      <w:r>
        <w:rPr>
          <w:rFonts w:hint="cs"/>
          <w:color w:val="0000FF"/>
          <w:sz w:val="28"/>
          <w:szCs w:val="28"/>
          <w:rtl/>
        </w:rPr>
        <w:t xml:space="preserve"> ،</w:t>
      </w:r>
      <w:r w:rsidRPr="00923B1A">
        <w:rPr>
          <w:rFonts w:hint="cs"/>
          <w:color w:val="0000FF"/>
          <w:sz w:val="28"/>
          <w:szCs w:val="28"/>
          <w:rtl/>
        </w:rPr>
        <w:t xml:space="preserve"> فهل لهذا الكفل حق الرجوع على ب و ج؟ يرى بعض الشراح أن للكفيل حق الرجوع على ب و ج بكل الدين بموجب دعوى الحلول</w:t>
      </w:r>
      <w:r>
        <w:rPr>
          <w:rFonts w:hint="cs"/>
          <w:color w:val="0000FF"/>
          <w:sz w:val="28"/>
          <w:szCs w:val="28"/>
          <w:rtl/>
        </w:rPr>
        <w:t xml:space="preserve"> ،</w:t>
      </w:r>
      <w:r w:rsidRPr="00923B1A">
        <w:rPr>
          <w:rFonts w:hint="cs"/>
          <w:color w:val="0000FF"/>
          <w:sz w:val="28"/>
          <w:szCs w:val="28"/>
          <w:rtl/>
        </w:rPr>
        <w:t xml:space="preserve"> إذ أنه يحل محل الدائن في كافة ما له من حقوق</w:t>
      </w:r>
      <w:r>
        <w:rPr>
          <w:rFonts w:hint="cs"/>
          <w:color w:val="0000FF"/>
          <w:sz w:val="28"/>
          <w:szCs w:val="28"/>
          <w:rtl/>
        </w:rPr>
        <w:t xml:space="preserve"> .</w:t>
      </w:r>
      <w:r w:rsidRPr="00923B1A">
        <w:rPr>
          <w:rFonts w:hint="cs"/>
          <w:color w:val="0000FF"/>
          <w:sz w:val="28"/>
          <w:szCs w:val="28"/>
          <w:rtl/>
        </w:rPr>
        <w:t xml:space="preserve"> بيد أن هذا الوضع يلحق ضررا بكل من ب و ج</w:t>
      </w:r>
      <w:r>
        <w:rPr>
          <w:rFonts w:hint="cs"/>
          <w:color w:val="0000FF"/>
          <w:sz w:val="28"/>
          <w:szCs w:val="28"/>
          <w:rtl/>
        </w:rPr>
        <w:t xml:space="preserve"> ،</w:t>
      </w:r>
      <w:r w:rsidRPr="00923B1A">
        <w:rPr>
          <w:rFonts w:hint="cs"/>
          <w:color w:val="0000FF"/>
          <w:sz w:val="28"/>
          <w:szCs w:val="28"/>
          <w:rtl/>
        </w:rPr>
        <w:t xml:space="preserve"> إذ لولا الكفالة لما كان للمدين الذي وفى إلا الرجوع على كل منهما بحصته في الدين فقط</w:t>
      </w:r>
      <w:r>
        <w:rPr>
          <w:rFonts w:hint="cs"/>
          <w:color w:val="0000FF"/>
          <w:sz w:val="28"/>
          <w:szCs w:val="28"/>
          <w:rtl/>
        </w:rPr>
        <w:t xml:space="preserve"> .</w:t>
      </w:r>
      <w:r w:rsidRPr="00923B1A">
        <w:rPr>
          <w:rFonts w:hint="cs"/>
          <w:color w:val="0000FF"/>
          <w:sz w:val="28"/>
          <w:szCs w:val="28"/>
          <w:rtl/>
        </w:rPr>
        <w:t xml:space="preserve"> وهذا هو السبب الذي حدا بالفريق الآخر من الشراح إلى نبذ هذا الرأي ومخالفته</w:t>
      </w:r>
      <w:r>
        <w:rPr>
          <w:rFonts w:hint="cs"/>
          <w:color w:val="0000FF"/>
          <w:sz w:val="28"/>
          <w:szCs w:val="28"/>
          <w:rtl/>
        </w:rPr>
        <w:t xml:space="preserve"> .</w:t>
      </w:r>
      <w:r w:rsidRPr="00923B1A">
        <w:rPr>
          <w:rFonts w:hint="cs"/>
          <w:color w:val="0000FF"/>
          <w:sz w:val="28"/>
          <w:szCs w:val="28"/>
          <w:rtl/>
        </w:rPr>
        <w:t xml:space="preserve"> فتساءل الرئيس عن موضوع الضرر الذي يمكن أن يلحق بكل من ب و جن مع أن لهما حق الرجوع على أ" </w:t>
      </w:r>
      <w:r>
        <w:rPr>
          <w:rFonts w:hint="cs"/>
          <w:color w:val="0000FF"/>
          <w:sz w:val="28"/>
          <w:szCs w:val="28"/>
          <w:rtl/>
        </w:rPr>
        <w:t xml:space="preserve">( </w:t>
      </w:r>
      <w:r w:rsidRPr="00923B1A">
        <w:rPr>
          <w:rFonts w:hint="cs"/>
          <w:color w:val="0000FF"/>
          <w:sz w:val="28"/>
          <w:szCs w:val="28"/>
          <w:rtl/>
        </w:rPr>
        <w:t>مجموعة الأعمال التحضيرية 5 ص 549 في الهامش</w:t>
      </w:r>
      <w:r>
        <w:rPr>
          <w:rFonts w:hint="cs"/>
          <w:color w:val="0000FF"/>
          <w:sz w:val="28"/>
          <w:szCs w:val="28"/>
          <w:rtl/>
        </w:rPr>
        <w:t xml:space="preserve"> ) .</w:t>
      </w:r>
    </w:p>
  </w:footnote>
  <w:footnote w:id="44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19 أبريل سنة 1854 داللوز 54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293 </w:t>
      </w:r>
      <w:r w:rsidRPr="00923B1A">
        <w:rPr>
          <w:color w:val="0000FF"/>
          <w:sz w:val="28"/>
          <w:szCs w:val="28"/>
          <w:rtl/>
        </w:rPr>
        <w:t>–</w:t>
      </w:r>
      <w:r w:rsidRPr="00923B1A">
        <w:rPr>
          <w:rFonts w:hint="cs"/>
          <w:color w:val="0000FF"/>
          <w:sz w:val="28"/>
          <w:szCs w:val="28"/>
          <w:rtl/>
        </w:rPr>
        <w:t xml:space="preserve"> 10 يونيه سنة 1861 داللوز 61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361 </w:t>
      </w:r>
      <w:r w:rsidRPr="00923B1A">
        <w:rPr>
          <w:color w:val="0000FF"/>
          <w:sz w:val="28"/>
          <w:szCs w:val="28"/>
          <w:rtl/>
        </w:rPr>
        <w:t>–</w:t>
      </w:r>
      <w:r w:rsidRPr="00923B1A">
        <w:rPr>
          <w:rFonts w:hint="cs"/>
          <w:color w:val="0000FF"/>
          <w:sz w:val="28"/>
          <w:szCs w:val="28"/>
          <w:rtl/>
        </w:rPr>
        <w:t xml:space="preserve"> 7 ماس سنة 1887 داللوز 87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271 </w:t>
      </w:r>
      <w:r w:rsidRPr="00923B1A">
        <w:rPr>
          <w:color w:val="0000FF"/>
          <w:sz w:val="28"/>
          <w:szCs w:val="28"/>
          <w:rtl/>
        </w:rPr>
        <w:t>–</w:t>
      </w:r>
      <w:r w:rsidRPr="00923B1A">
        <w:rPr>
          <w:rFonts w:hint="cs"/>
          <w:color w:val="0000FF"/>
          <w:sz w:val="28"/>
          <w:szCs w:val="28"/>
          <w:rtl/>
        </w:rPr>
        <w:t xml:space="preserve"> وانظر بودري وفال فقرة 1123</w:t>
      </w:r>
      <w:r>
        <w:rPr>
          <w:rFonts w:hint="cs"/>
          <w:color w:val="0000FF"/>
          <w:sz w:val="28"/>
          <w:szCs w:val="28"/>
          <w:rtl/>
        </w:rPr>
        <w:t xml:space="preserve"> .</w:t>
      </w:r>
    </w:p>
  </w:footnote>
  <w:footnote w:id="44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نقض فرنسي 6 يوليه سنة 1996 داللوز 96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455 </w:t>
      </w:r>
      <w:r w:rsidRPr="00923B1A">
        <w:rPr>
          <w:color w:val="0000FF"/>
          <w:sz w:val="28"/>
          <w:szCs w:val="28"/>
          <w:rtl/>
        </w:rPr>
        <w:t>–</w:t>
      </w:r>
      <w:r w:rsidRPr="00923B1A">
        <w:rPr>
          <w:rFonts w:hint="cs"/>
          <w:color w:val="0000FF"/>
          <w:sz w:val="28"/>
          <w:szCs w:val="28"/>
          <w:rtl/>
        </w:rPr>
        <w:t xml:space="preserve"> 21 يناير سنة 1935 سيريه 1935 </w:t>
      </w:r>
      <w:r w:rsidRPr="00923B1A">
        <w:rPr>
          <w:color w:val="0000FF"/>
          <w:sz w:val="28"/>
          <w:szCs w:val="28"/>
          <w:rtl/>
        </w:rPr>
        <w:t>–</w:t>
      </w:r>
      <w:r w:rsidRPr="00923B1A">
        <w:rPr>
          <w:rFonts w:hint="cs"/>
          <w:color w:val="0000FF"/>
          <w:sz w:val="28"/>
          <w:szCs w:val="28"/>
          <w:rtl/>
        </w:rPr>
        <w:t xml:space="preserve"> 1 </w:t>
      </w:r>
      <w:r w:rsidRPr="00923B1A">
        <w:rPr>
          <w:color w:val="0000FF"/>
          <w:sz w:val="28"/>
          <w:szCs w:val="28"/>
          <w:rtl/>
        </w:rPr>
        <w:t>–</w:t>
      </w:r>
      <w:r w:rsidRPr="00923B1A">
        <w:rPr>
          <w:rFonts w:hint="cs"/>
          <w:color w:val="0000FF"/>
          <w:sz w:val="28"/>
          <w:szCs w:val="28"/>
          <w:rtl/>
        </w:rPr>
        <w:t xml:space="preserve"> 110 </w:t>
      </w:r>
      <w:r w:rsidRPr="00923B1A">
        <w:rPr>
          <w:color w:val="0000FF"/>
          <w:sz w:val="28"/>
          <w:szCs w:val="28"/>
          <w:rtl/>
        </w:rPr>
        <w:t>–</w:t>
      </w:r>
      <w:r w:rsidRPr="00923B1A">
        <w:rPr>
          <w:rFonts w:hint="cs"/>
          <w:color w:val="0000FF"/>
          <w:sz w:val="28"/>
          <w:szCs w:val="28"/>
          <w:rtl/>
        </w:rPr>
        <w:t xml:space="preserve"> 26 مايو سنة 1936 داللوز الأسبوعي 1936 </w:t>
      </w:r>
      <w:r w:rsidRPr="00923B1A">
        <w:rPr>
          <w:color w:val="0000FF"/>
          <w:sz w:val="28"/>
          <w:szCs w:val="28"/>
          <w:rtl/>
        </w:rPr>
        <w:t>–</w:t>
      </w:r>
      <w:r w:rsidRPr="00923B1A">
        <w:rPr>
          <w:rFonts w:hint="cs"/>
          <w:color w:val="0000FF"/>
          <w:sz w:val="28"/>
          <w:szCs w:val="28"/>
          <w:rtl/>
        </w:rPr>
        <w:t xml:space="preserve"> 379 </w:t>
      </w:r>
      <w:r w:rsidRPr="00923B1A">
        <w:rPr>
          <w:color w:val="0000FF"/>
          <w:sz w:val="28"/>
          <w:szCs w:val="28"/>
          <w:rtl/>
        </w:rPr>
        <w:t>–</w:t>
      </w:r>
      <w:r w:rsidRPr="00923B1A">
        <w:rPr>
          <w:rFonts w:hint="cs"/>
          <w:color w:val="0000FF"/>
          <w:sz w:val="28"/>
          <w:szCs w:val="28"/>
          <w:rtl/>
        </w:rPr>
        <w:t xml:space="preserve"> وانظر في هذا المعنى بيدان وفواران 13 فقرة 110 </w:t>
      </w:r>
      <w:r w:rsidRPr="00923B1A">
        <w:rPr>
          <w:color w:val="0000FF"/>
          <w:sz w:val="28"/>
          <w:szCs w:val="28"/>
          <w:rtl/>
        </w:rPr>
        <w:t>–</w:t>
      </w:r>
      <w:r w:rsidRPr="00923B1A">
        <w:rPr>
          <w:rFonts w:hint="cs"/>
          <w:color w:val="0000FF"/>
          <w:sz w:val="28"/>
          <w:szCs w:val="28"/>
          <w:rtl/>
        </w:rPr>
        <w:t xml:space="preserve"> بلانيول وريبير وسافاتييه فقرة 1541 </w:t>
      </w:r>
      <w:r w:rsidRPr="00923B1A">
        <w:rPr>
          <w:color w:val="0000FF"/>
          <w:sz w:val="28"/>
          <w:szCs w:val="28"/>
          <w:rtl/>
        </w:rPr>
        <w:t>–</w:t>
      </w:r>
      <w:r w:rsidRPr="00923B1A">
        <w:rPr>
          <w:rFonts w:hint="cs"/>
          <w:color w:val="0000FF"/>
          <w:sz w:val="28"/>
          <w:szCs w:val="28"/>
          <w:rtl/>
        </w:rPr>
        <w:t xml:space="preserve"> بلانيول وريبير وبولانجيه 2 فقرة 1955</w:t>
      </w:r>
      <w:r>
        <w:rPr>
          <w:rFonts w:hint="cs"/>
          <w:color w:val="0000FF"/>
          <w:sz w:val="28"/>
          <w:szCs w:val="28"/>
          <w:rtl/>
        </w:rPr>
        <w:t xml:space="preserve"> .</w:t>
      </w:r>
    </w:p>
  </w:footnote>
  <w:footnote w:id="44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هذا المعنى عبد الفتاح عبد الباقي فقرة 123 </w:t>
      </w:r>
      <w:r w:rsidRPr="00923B1A">
        <w:rPr>
          <w:color w:val="0000FF"/>
          <w:sz w:val="28"/>
          <w:szCs w:val="28"/>
          <w:rtl/>
        </w:rPr>
        <w:t>–</w:t>
      </w:r>
      <w:r w:rsidRPr="00923B1A">
        <w:rPr>
          <w:rFonts w:hint="cs"/>
          <w:color w:val="0000FF"/>
          <w:sz w:val="28"/>
          <w:szCs w:val="28"/>
          <w:rtl/>
        </w:rPr>
        <w:t xml:space="preserve"> سليمان مرقس فقرة 128 ص 143 </w:t>
      </w:r>
      <w:r w:rsidRPr="00923B1A">
        <w:rPr>
          <w:color w:val="0000FF"/>
          <w:sz w:val="28"/>
          <w:szCs w:val="28"/>
          <w:rtl/>
        </w:rPr>
        <w:t>–</w:t>
      </w:r>
      <w:r w:rsidRPr="00923B1A">
        <w:rPr>
          <w:rFonts w:hint="cs"/>
          <w:color w:val="0000FF"/>
          <w:sz w:val="28"/>
          <w:szCs w:val="28"/>
          <w:rtl/>
        </w:rPr>
        <w:t xml:space="preserve"> ص 144 </w:t>
      </w:r>
      <w:r w:rsidRPr="00923B1A">
        <w:rPr>
          <w:color w:val="0000FF"/>
          <w:sz w:val="28"/>
          <w:szCs w:val="28"/>
          <w:rtl/>
        </w:rPr>
        <w:t>–</w:t>
      </w:r>
      <w:r w:rsidRPr="00923B1A">
        <w:rPr>
          <w:rFonts w:hint="cs"/>
          <w:color w:val="0000FF"/>
          <w:sz w:val="28"/>
          <w:szCs w:val="28"/>
          <w:rtl/>
        </w:rPr>
        <w:t xml:space="preserve"> منصور مصطفى منصور فقرة 57 </w:t>
      </w:r>
      <w:r w:rsidRPr="00923B1A">
        <w:rPr>
          <w:color w:val="0000FF"/>
          <w:sz w:val="28"/>
          <w:szCs w:val="28"/>
          <w:rtl/>
        </w:rPr>
        <w:t>–</w:t>
      </w:r>
      <w:r w:rsidRPr="00923B1A">
        <w:rPr>
          <w:rFonts w:hint="cs"/>
          <w:color w:val="0000FF"/>
          <w:sz w:val="28"/>
          <w:szCs w:val="28"/>
          <w:rtl/>
        </w:rPr>
        <w:t xml:space="preserve"> ص 12 </w:t>
      </w:r>
      <w:r w:rsidRPr="00923B1A">
        <w:rPr>
          <w:color w:val="0000FF"/>
          <w:sz w:val="28"/>
          <w:szCs w:val="28"/>
          <w:rtl/>
        </w:rPr>
        <w:t>–</w:t>
      </w:r>
      <w:r w:rsidRPr="00923B1A">
        <w:rPr>
          <w:rFonts w:hint="cs"/>
          <w:color w:val="0000FF"/>
          <w:sz w:val="28"/>
          <w:szCs w:val="28"/>
          <w:rtl/>
        </w:rPr>
        <w:t xml:space="preserve"> وانظر عكس ذلك وان الكفيل يرجع فقط بمقدار حصة المدين لا بكل الدين محمد كامل مرسي فقرة 116 ص 167 </w:t>
      </w:r>
      <w:r w:rsidRPr="00923B1A">
        <w:rPr>
          <w:color w:val="0000FF"/>
          <w:sz w:val="28"/>
          <w:szCs w:val="28"/>
          <w:rtl/>
        </w:rPr>
        <w:t>–</w:t>
      </w:r>
      <w:r w:rsidRPr="00923B1A">
        <w:rPr>
          <w:rFonts w:hint="cs"/>
          <w:color w:val="0000FF"/>
          <w:sz w:val="28"/>
          <w:szCs w:val="28"/>
          <w:rtl/>
        </w:rPr>
        <w:t xml:space="preserve"> محمد علي إمام فقرة 88</w:t>
      </w:r>
      <w:r>
        <w:rPr>
          <w:rFonts w:hint="cs"/>
          <w:color w:val="0000FF"/>
          <w:sz w:val="28"/>
          <w:szCs w:val="28"/>
          <w:rtl/>
        </w:rPr>
        <w:t xml:space="preserve"> .</w:t>
      </w:r>
    </w:p>
  </w:footnote>
  <w:footnote w:id="44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هذا المعنى كولان وكابيتان ودي لامور انوييرن فقرة 984 </w:t>
      </w:r>
      <w:r w:rsidRPr="00923B1A">
        <w:rPr>
          <w:color w:val="0000FF"/>
          <w:sz w:val="28"/>
          <w:szCs w:val="28"/>
          <w:rtl/>
        </w:rPr>
        <w:t>–</w:t>
      </w:r>
      <w:r w:rsidRPr="00923B1A">
        <w:rPr>
          <w:rFonts w:hint="cs"/>
          <w:color w:val="0000FF"/>
          <w:sz w:val="28"/>
          <w:szCs w:val="28"/>
          <w:rtl/>
        </w:rPr>
        <w:t xml:space="preserve"> عبد الفتاح عبد الباقي فقرة 123 </w:t>
      </w:r>
      <w:r w:rsidRPr="00923B1A">
        <w:rPr>
          <w:color w:val="0000FF"/>
          <w:sz w:val="28"/>
          <w:szCs w:val="28"/>
          <w:rtl/>
        </w:rPr>
        <w:t>–</w:t>
      </w:r>
      <w:r w:rsidRPr="00923B1A">
        <w:rPr>
          <w:rFonts w:hint="cs"/>
          <w:color w:val="0000FF"/>
          <w:sz w:val="28"/>
          <w:szCs w:val="28"/>
          <w:rtl/>
        </w:rPr>
        <w:t xml:space="preserve"> سليمان مرقس فقرة 128 ص 144 </w:t>
      </w:r>
      <w:r w:rsidRPr="00923B1A">
        <w:rPr>
          <w:color w:val="0000FF"/>
          <w:sz w:val="28"/>
          <w:szCs w:val="28"/>
          <w:rtl/>
        </w:rPr>
        <w:t>–</w:t>
      </w:r>
      <w:r w:rsidRPr="00923B1A">
        <w:rPr>
          <w:rFonts w:hint="cs"/>
          <w:color w:val="0000FF"/>
          <w:sz w:val="28"/>
          <w:szCs w:val="28"/>
          <w:rtl/>
        </w:rPr>
        <w:t xml:space="preserve"> وانظر عكس ذلك منصور مصطفى منصور فقرة 57 ص 112 هامش 2</w:t>
      </w:r>
      <w:r>
        <w:rPr>
          <w:rFonts w:hint="cs"/>
          <w:color w:val="0000FF"/>
          <w:sz w:val="28"/>
          <w:szCs w:val="28"/>
          <w:rtl/>
        </w:rPr>
        <w:t xml:space="preserve"> .</w:t>
      </w:r>
    </w:p>
  </w:footnote>
  <w:footnote w:id="44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w:t>
      </w:r>
      <w:r w:rsidRPr="00923B1A">
        <w:rPr>
          <w:rFonts w:hint="cs"/>
          <w:color w:val="0000FF"/>
          <w:sz w:val="28"/>
          <w:szCs w:val="28"/>
          <w:u w:val="single"/>
          <w:rtl/>
        </w:rPr>
        <w:t>تاريخ النص</w:t>
      </w:r>
      <w:r>
        <w:rPr>
          <w:rFonts w:hint="cs"/>
          <w:color w:val="0000FF"/>
          <w:sz w:val="28"/>
          <w:szCs w:val="28"/>
          <w:rtl/>
        </w:rPr>
        <w:t xml:space="preserve"> :</w:t>
      </w:r>
      <w:r w:rsidRPr="00923B1A">
        <w:rPr>
          <w:rFonts w:hint="cs"/>
          <w:color w:val="0000FF"/>
          <w:sz w:val="28"/>
          <w:szCs w:val="28"/>
          <w:rtl/>
        </w:rPr>
        <w:t xml:space="preserve"> ورد هذا النص في المادة 1152 من المشروع التمهيدي على وجه مطابق لما استقر عليه في التقنين المدني الجديد</w:t>
      </w:r>
      <w:r>
        <w:rPr>
          <w:rFonts w:hint="cs"/>
          <w:color w:val="0000FF"/>
          <w:sz w:val="28"/>
          <w:szCs w:val="28"/>
          <w:rtl/>
        </w:rPr>
        <w:t xml:space="preserve"> .</w:t>
      </w:r>
      <w:r w:rsidRPr="00923B1A">
        <w:rPr>
          <w:rFonts w:hint="cs"/>
          <w:color w:val="0000FF"/>
          <w:sz w:val="28"/>
          <w:szCs w:val="28"/>
          <w:rtl/>
        </w:rPr>
        <w:t xml:space="preserve"> ووافقت عليه لجنة المراجعة تحت رقم 864 في المشروع النهائي</w:t>
      </w:r>
      <w:r>
        <w:rPr>
          <w:rFonts w:hint="cs"/>
          <w:color w:val="0000FF"/>
          <w:sz w:val="28"/>
          <w:szCs w:val="28"/>
          <w:rtl/>
        </w:rPr>
        <w:t xml:space="preserve"> .</w:t>
      </w:r>
      <w:r w:rsidRPr="00923B1A">
        <w:rPr>
          <w:rFonts w:hint="cs"/>
          <w:color w:val="0000FF"/>
          <w:sz w:val="28"/>
          <w:szCs w:val="28"/>
          <w:rtl/>
        </w:rPr>
        <w:t xml:space="preserve"> ووافق عليه مجلس النواب تحت رقم 863</w:t>
      </w:r>
      <w:r>
        <w:rPr>
          <w:rFonts w:hint="cs"/>
          <w:color w:val="0000FF"/>
          <w:sz w:val="28"/>
          <w:szCs w:val="28"/>
          <w:rtl/>
        </w:rPr>
        <w:t xml:space="preserve"> ،</w:t>
      </w:r>
      <w:r w:rsidRPr="00923B1A">
        <w:rPr>
          <w:rFonts w:hint="cs"/>
          <w:color w:val="0000FF"/>
          <w:sz w:val="28"/>
          <w:szCs w:val="28"/>
          <w:rtl/>
        </w:rPr>
        <w:t xml:space="preserve"> ثم مجلس الشيوخ تحت رقم 796 </w:t>
      </w:r>
      <w:r>
        <w:rPr>
          <w:rFonts w:hint="cs"/>
          <w:color w:val="0000FF"/>
          <w:sz w:val="28"/>
          <w:szCs w:val="28"/>
          <w:rtl/>
        </w:rPr>
        <w:t xml:space="preserve">( </w:t>
      </w:r>
      <w:r w:rsidRPr="00923B1A">
        <w:rPr>
          <w:rFonts w:hint="cs"/>
          <w:color w:val="0000FF"/>
          <w:sz w:val="28"/>
          <w:szCs w:val="28"/>
          <w:rtl/>
        </w:rPr>
        <w:t xml:space="preserve">مجموعة الأعمال التحضيرية 5 ص 529 </w:t>
      </w:r>
      <w:r w:rsidRPr="00923B1A">
        <w:rPr>
          <w:color w:val="0000FF"/>
          <w:sz w:val="28"/>
          <w:szCs w:val="28"/>
          <w:rtl/>
        </w:rPr>
        <w:t>–</w:t>
      </w:r>
      <w:r w:rsidRPr="00923B1A">
        <w:rPr>
          <w:rFonts w:hint="cs"/>
          <w:color w:val="0000FF"/>
          <w:sz w:val="28"/>
          <w:szCs w:val="28"/>
          <w:rtl/>
        </w:rPr>
        <w:t xml:space="preserve"> ص 530</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النص في التقنين المدني السابق المادة 506/618</w:t>
      </w:r>
      <w:r>
        <w:rPr>
          <w:rFonts w:hint="cs"/>
          <w:color w:val="0000FF"/>
          <w:sz w:val="28"/>
          <w:szCs w:val="28"/>
          <w:rtl/>
        </w:rPr>
        <w:t xml:space="preserve"> :</w:t>
      </w:r>
      <w:r w:rsidRPr="00923B1A">
        <w:rPr>
          <w:rFonts w:hint="cs"/>
          <w:color w:val="0000FF"/>
          <w:sz w:val="28"/>
          <w:szCs w:val="28"/>
          <w:rtl/>
        </w:rPr>
        <w:t xml:space="preserve"> وإذا وجد كفلاء متضامنون</w:t>
      </w:r>
      <w:r>
        <w:rPr>
          <w:rFonts w:hint="cs"/>
          <w:color w:val="0000FF"/>
          <w:sz w:val="28"/>
          <w:szCs w:val="28"/>
          <w:rtl/>
        </w:rPr>
        <w:t xml:space="preserve"> ،</w:t>
      </w:r>
      <w:r w:rsidRPr="00923B1A">
        <w:rPr>
          <w:rFonts w:hint="cs"/>
          <w:color w:val="0000FF"/>
          <w:sz w:val="28"/>
          <w:szCs w:val="28"/>
          <w:rtl/>
        </w:rPr>
        <w:t xml:space="preserve"> فالذي أدى جميع الدين منهم عند حلول أجله له أن يطلب من كل من باقي الكفلاء أن يؤدي له حصته من الدين مع تأدية ما يخصه من حصة المعسر منهم</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rtl/>
        </w:rPr>
        <w:t>ويقابل في التقنينات المدنية العربية الأخرى</w:t>
      </w:r>
      <w:r>
        <w:rPr>
          <w:rFonts w:hint="cs"/>
          <w:color w:val="0000FF"/>
          <w:sz w:val="28"/>
          <w:szCs w:val="28"/>
          <w:rtl/>
        </w:rPr>
        <w:t xml:space="preserve">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السوري</w:t>
      </w:r>
      <w:r w:rsidRPr="00923B1A">
        <w:rPr>
          <w:rFonts w:hint="cs"/>
          <w:color w:val="0000FF"/>
          <w:sz w:val="28"/>
          <w:szCs w:val="28"/>
          <w:rtl/>
        </w:rPr>
        <w:t xml:space="preserve"> م 762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الليبي</w:t>
      </w:r>
      <w:r w:rsidRPr="00923B1A">
        <w:rPr>
          <w:rFonts w:hint="cs"/>
          <w:color w:val="0000FF"/>
          <w:sz w:val="28"/>
          <w:szCs w:val="28"/>
          <w:rtl/>
        </w:rPr>
        <w:t xml:space="preserve"> م 804 </w:t>
      </w:r>
      <w:r>
        <w:rPr>
          <w:rFonts w:hint="cs"/>
          <w:color w:val="0000FF"/>
          <w:sz w:val="28"/>
          <w:szCs w:val="28"/>
          <w:rtl/>
        </w:rPr>
        <w:t xml:space="preserve">( </w:t>
      </w:r>
      <w:r w:rsidRPr="00923B1A">
        <w:rPr>
          <w:rFonts w:hint="cs"/>
          <w:color w:val="0000FF"/>
          <w:sz w:val="28"/>
          <w:szCs w:val="28"/>
          <w:rtl/>
        </w:rPr>
        <w:t>مطابق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التقنين المدني العراقي</w:t>
      </w:r>
      <w:r w:rsidRPr="00923B1A">
        <w:rPr>
          <w:rFonts w:hint="cs"/>
          <w:color w:val="0000FF"/>
          <w:sz w:val="28"/>
          <w:szCs w:val="28"/>
          <w:rtl/>
        </w:rPr>
        <w:t xml:space="preserve"> م 1032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p w:rsidR="00F72742" w:rsidRPr="00923B1A" w:rsidRDefault="00F72742" w:rsidP="00F72742">
      <w:pPr>
        <w:pStyle w:val="aa"/>
        <w:widowControl w:val="0"/>
        <w:ind w:firstLine="567"/>
        <w:jc w:val="lowKashida"/>
        <w:rPr>
          <w:rFonts w:hint="cs"/>
          <w:color w:val="0000FF"/>
          <w:sz w:val="28"/>
          <w:szCs w:val="28"/>
          <w:rtl/>
        </w:rPr>
      </w:pPr>
      <w:r w:rsidRPr="00923B1A">
        <w:rPr>
          <w:rFonts w:hint="cs"/>
          <w:color w:val="0000FF"/>
          <w:sz w:val="28"/>
          <w:szCs w:val="28"/>
          <w:u w:val="single"/>
          <w:rtl/>
        </w:rPr>
        <w:t>قانون الموجبات والعقود اللبناني</w:t>
      </w:r>
      <w:r w:rsidRPr="00923B1A">
        <w:rPr>
          <w:rFonts w:hint="cs"/>
          <w:color w:val="0000FF"/>
          <w:sz w:val="28"/>
          <w:szCs w:val="28"/>
          <w:rtl/>
        </w:rPr>
        <w:t xml:space="preserve"> م 1082 </w:t>
      </w:r>
      <w:r>
        <w:rPr>
          <w:rFonts w:hint="cs"/>
          <w:color w:val="0000FF"/>
          <w:sz w:val="28"/>
          <w:szCs w:val="28"/>
          <w:rtl/>
        </w:rPr>
        <w:t xml:space="preserve">( </w:t>
      </w:r>
      <w:r w:rsidRPr="00923B1A">
        <w:rPr>
          <w:rFonts w:hint="cs"/>
          <w:color w:val="0000FF"/>
          <w:sz w:val="28"/>
          <w:szCs w:val="28"/>
          <w:rtl/>
        </w:rPr>
        <w:t>موافق</w:t>
      </w:r>
      <w:r>
        <w:rPr>
          <w:rFonts w:hint="cs"/>
          <w:color w:val="0000FF"/>
          <w:sz w:val="28"/>
          <w:szCs w:val="28"/>
          <w:rtl/>
        </w:rPr>
        <w:t xml:space="preserve"> ) .</w:t>
      </w:r>
    </w:p>
  </w:footnote>
  <w:footnote w:id="44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40</w:t>
      </w:r>
      <w:r>
        <w:rPr>
          <w:rFonts w:hint="cs"/>
          <w:color w:val="0000FF"/>
          <w:sz w:val="28"/>
          <w:szCs w:val="28"/>
          <w:rtl/>
        </w:rPr>
        <w:t xml:space="preserve"> .</w:t>
      </w:r>
    </w:p>
  </w:footnote>
  <w:footnote w:id="44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42</w:t>
      </w:r>
      <w:r>
        <w:rPr>
          <w:rFonts w:hint="cs"/>
          <w:color w:val="0000FF"/>
          <w:sz w:val="28"/>
          <w:szCs w:val="28"/>
          <w:rtl/>
        </w:rPr>
        <w:t xml:space="preserve"> .</w:t>
      </w:r>
    </w:p>
  </w:footnote>
  <w:footnote w:id="44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41</w:t>
      </w:r>
      <w:r>
        <w:rPr>
          <w:rFonts w:hint="cs"/>
          <w:color w:val="0000FF"/>
          <w:sz w:val="28"/>
          <w:szCs w:val="28"/>
          <w:rtl/>
        </w:rPr>
        <w:t xml:space="preserve"> .</w:t>
      </w:r>
    </w:p>
  </w:footnote>
  <w:footnote w:id="44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التفصيل فقرة 41</w:t>
      </w:r>
      <w:r>
        <w:rPr>
          <w:rFonts w:hint="cs"/>
          <w:color w:val="0000FF"/>
          <w:sz w:val="28"/>
          <w:szCs w:val="28"/>
          <w:rtl/>
        </w:rPr>
        <w:t xml:space="preserve"> .</w:t>
      </w:r>
    </w:p>
  </w:footnote>
  <w:footnote w:id="44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127 </w:t>
      </w:r>
      <w:r w:rsidRPr="00923B1A">
        <w:rPr>
          <w:color w:val="0000FF"/>
          <w:sz w:val="28"/>
          <w:szCs w:val="28"/>
          <w:rtl/>
        </w:rPr>
        <w:t>–</w:t>
      </w:r>
      <w:r w:rsidRPr="00923B1A">
        <w:rPr>
          <w:rFonts w:hint="cs"/>
          <w:color w:val="0000FF"/>
          <w:sz w:val="28"/>
          <w:szCs w:val="28"/>
          <w:rtl/>
        </w:rPr>
        <w:t xml:space="preserve"> سليمان مرقس فقرة 130 </w:t>
      </w:r>
      <w:r w:rsidRPr="00923B1A">
        <w:rPr>
          <w:color w:val="0000FF"/>
          <w:sz w:val="28"/>
          <w:szCs w:val="28"/>
          <w:rtl/>
        </w:rPr>
        <w:t>–</w:t>
      </w:r>
      <w:r w:rsidRPr="00923B1A">
        <w:rPr>
          <w:rFonts w:hint="cs"/>
          <w:color w:val="0000FF"/>
          <w:sz w:val="28"/>
          <w:szCs w:val="28"/>
          <w:rtl/>
        </w:rPr>
        <w:t xml:space="preserve"> منصور مصطفى منصور فقرة 58</w:t>
      </w:r>
      <w:r>
        <w:rPr>
          <w:rFonts w:hint="cs"/>
          <w:color w:val="0000FF"/>
          <w:sz w:val="28"/>
          <w:szCs w:val="28"/>
          <w:rtl/>
        </w:rPr>
        <w:t xml:space="preserve"> .</w:t>
      </w:r>
    </w:p>
  </w:footnote>
  <w:footnote w:id="45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41 في آخرها في الهامش</w:t>
      </w:r>
      <w:r>
        <w:rPr>
          <w:rFonts w:hint="cs"/>
          <w:color w:val="0000FF"/>
          <w:sz w:val="28"/>
          <w:szCs w:val="28"/>
          <w:rtl/>
        </w:rPr>
        <w:t xml:space="preserve"> .</w:t>
      </w:r>
    </w:p>
  </w:footnote>
  <w:footnote w:id="45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قضت محكمة النقض بأن الكفيل المتضامن</w:t>
      </w:r>
      <w:r>
        <w:rPr>
          <w:rFonts w:hint="cs"/>
          <w:color w:val="0000FF"/>
          <w:sz w:val="28"/>
          <w:szCs w:val="28"/>
          <w:rtl/>
        </w:rPr>
        <w:t xml:space="preserve"> ،</w:t>
      </w:r>
      <w:r w:rsidRPr="00923B1A">
        <w:rPr>
          <w:rFonts w:hint="cs"/>
          <w:color w:val="0000FF"/>
          <w:sz w:val="28"/>
          <w:szCs w:val="28"/>
          <w:rtl/>
        </w:rPr>
        <w:t xml:space="preserve"> وإن كان يفقد بعض المزايا المقررة للكفيل العادي والتي لا تتفق أساساً مع فكرة التضامن</w:t>
      </w:r>
      <w:r>
        <w:rPr>
          <w:rFonts w:hint="cs"/>
          <w:color w:val="0000FF"/>
          <w:sz w:val="28"/>
          <w:szCs w:val="28"/>
          <w:rtl/>
        </w:rPr>
        <w:t xml:space="preserve"> ،</w:t>
      </w:r>
      <w:r w:rsidRPr="00923B1A">
        <w:rPr>
          <w:rFonts w:hint="cs"/>
          <w:color w:val="0000FF"/>
          <w:sz w:val="28"/>
          <w:szCs w:val="28"/>
          <w:rtl/>
        </w:rPr>
        <w:t xml:space="preserve"> إلا أنه يظل ملتزماً التزاماً تابعاً يتحدد نطاقه</w:t>
      </w:r>
      <w:r>
        <w:rPr>
          <w:rFonts w:hint="cs"/>
          <w:color w:val="0000FF"/>
          <w:sz w:val="28"/>
          <w:szCs w:val="28"/>
          <w:rtl/>
        </w:rPr>
        <w:t xml:space="preserve"> ،</w:t>
      </w:r>
      <w:r w:rsidRPr="00923B1A">
        <w:rPr>
          <w:rFonts w:hint="cs"/>
          <w:color w:val="0000FF"/>
          <w:sz w:val="28"/>
          <w:szCs w:val="28"/>
          <w:rtl/>
        </w:rPr>
        <w:t xml:space="preserve"> طبقاً للقواعد العامة</w:t>
      </w:r>
      <w:r>
        <w:rPr>
          <w:rFonts w:hint="cs"/>
          <w:color w:val="0000FF"/>
          <w:sz w:val="28"/>
          <w:szCs w:val="28"/>
          <w:rtl/>
        </w:rPr>
        <w:t xml:space="preserve"> ،</w:t>
      </w:r>
      <w:r w:rsidRPr="00923B1A">
        <w:rPr>
          <w:rFonts w:hint="cs"/>
          <w:color w:val="0000FF"/>
          <w:sz w:val="28"/>
          <w:szCs w:val="28"/>
          <w:rtl/>
        </w:rPr>
        <w:t xml:space="preserve"> بموضوع الالتزام الأصلي في الوقت الذي عقدت فيه الكفالة </w:t>
      </w:r>
      <w:r>
        <w:rPr>
          <w:rFonts w:hint="cs"/>
          <w:color w:val="0000FF"/>
          <w:sz w:val="28"/>
          <w:szCs w:val="28"/>
          <w:rtl/>
        </w:rPr>
        <w:t xml:space="preserve">( </w:t>
      </w:r>
      <w:r w:rsidRPr="00923B1A">
        <w:rPr>
          <w:rFonts w:hint="cs"/>
          <w:color w:val="0000FF"/>
          <w:sz w:val="28"/>
          <w:szCs w:val="28"/>
          <w:rtl/>
        </w:rPr>
        <w:t>نقض مدني 5 أبريل سنة 1966 مجموعة أحكام النقض 17 رقم 107 ص 797</w:t>
      </w:r>
      <w:r>
        <w:rPr>
          <w:rFonts w:hint="cs"/>
          <w:color w:val="0000FF"/>
          <w:sz w:val="28"/>
          <w:szCs w:val="28"/>
          <w:rtl/>
        </w:rPr>
        <w:t xml:space="preserve"> ) .</w:t>
      </w:r>
    </w:p>
  </w:footnote>
  <w:footnote w:id="45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الوسيط 3 فقرة 176 ص 287 </w:t>
      </w:r>
      <w:r w:rsidRPr="00923B1A">
        <w:rPr>
          <w:color w:val="0000FF"/>
          <w:sz w:val="28"/>
          <w:szCs w:val="28"/>
          <w:rtl/>
        </w:rPr>
        <w:t>–</w:t>
      </w:r>
      <w:r w:rsidRPr="00923B1A">
        <w:rPr>
          <w:rFonts w:hint="cs"/>
          <w:color w:val="0000FF"/>
          <w:sz w:val="28"/>
          <w:szCs w:val="28"/>
          <w:rtl/>
        </w:rPr>
        <w:t xml:space="preserve"> ص 288</w:t>
      </w:r>
      <w:r>
        <w:rPr>
          <w:rFonts w:hint="cs"/>
          <w:color w:val="0000FF"/>
          <w:sz w:val="28"/>
          <w:szCs w:val="28"/>
          <w:rtl/>
        </w:rPr>
        <w:t xml:space="preserve"> .</w:t>
      </w:r>
    </w:p>
  </w:footnote>
  <w:footnote w:id="45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هذا المعنى عبد الفتاح عبد الباقي فقرة 128</w:t>
      </w:r>
      <w:r>
        <w:rPr>
          <w:rFonts w:hint="cs"/>
          <w:color w:val="0000FF"/>
          <w:sz w:val="28"/>
          <w:szCs w:val="28"/>
          <w:rtl/>
        </w:rPr>
        <w:t xml:space="preserve"> .</w:t>
      </w:r>
    </w:p>
  </w:footnote>
  <w:footnote w:id="45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43 </w:t>
      </w:r>
      <w:r w:rsidRPr="00923B1A">
        <w:rPr>
          <w:color w:val="0000FF"/>
          <w:sz w:val="28"/>
          <w:szCs w:val="28"/>
          <w:rtl/>
        </w:rPr>
        <w:t>–</w:t>
      </w:r>
      <w:r w:rsidRPr="00923B1A">
        <w:rPr>
          <w:rFonts w:hint="cs"/>
          <w:color w:val="0000FF"/>
          <w:sz w:val="28"/>
          <w:szCs w:val="28"/>
          <w:rtl/>
        </w:rPr>
        <w:t xml:space="preserve"> فقرة 50</w:t>
      </w:r>
      <w:r>
        <w:rPr>
          <w:rFonts w:hint="cs"/>
          <w:color w:val="0000FF"/>
          <w:sz w:val="28"/>
          <w:szCs w:val="28"/>
          <w:rtl/>
        </w:rPr>
        <w:t xml:space="preserve"> .</w:t>
      </w:r>
    </w:p>
  </w:footnote>
  <w:footnote w:id="45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75</w:t>
      </w:r>
      <w:r>
        <w:rPr>
          <w:rFonts w:hint="cs"/>
          <w:color w:val="0000FF"/>
          <w:sz w:val="28"/>
          <w:szCs w:val="28"/>
          <w:rtl/>
        </w:rPr>
        <w:t xml:space="preserve"> .</w:t>
      </w:r>
    </w:p>
  </w:footnote>
  <w:footnote w:id="45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عبد الفتاح عبد الباقي فقرة 129 </w:t>
      </w:r>
      <w:r w:rsidRPr="00923B1A">
        <w:rPr>
          <w:color w:val="0000FF"/>
          <w:sz w:val="28"/>
          <w:szCs w:val="28"/>
          <w:rtl/>
        </w:rPr>
        <w:t>–</w:t>
      </w:r>
      <w:r w:rsidRPr="00923B1A">
        <w:rPr>
          <w:rFonts w:hint="cs"/>
          <w:color w:val="0000FF"/>
          <w:sz w:val="28"/>
          <w:szCs w:val="28"/>
          <w:rtl/>
        </w:rPr>
        <w:t xml:space="preserve"> سليمان مرقس فقرة 131 </w:t>
      </w:r>
      <w:r w:rsidRPr="00923B1A">
        <w:rPr>
          <w:color w:val="0000FF"/>
          <w:sz w:val="28"/>
          <w:szCs w:val="28"/>
          <w:rtl/>
        </w:rPr>
        <w:t>–</w:t>
      </w:r>
      <w:r w:rsidRPr="00923B1A">
        <w:rPr>
          <w:rFonts w:hint="cs"/>
          <w:color w:val="0000FF"/>
          <w:sz w:val="28"/>
          <w:szCs w:val="28"/>
          <w:rtl/>
        </w:rPr>
        <w:t xml:space="preserve"> فقرة 132</w:t>
      </w:r>
      <w:r>
        <w:rPr>
          <w:rFonts w:hint="cs"/>
          <w:color w:val="0000FF"/>
          <w:sz w:val="28"/>
          <w:szCs w:val="28"/>
          <w:rtl/>
        </w:rPr>
        <w:t xml:space="preserve"> .</w:t>
      </w:r>
    </w:p>
  </w:footnote>
  <w:footnote w:id="45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وذلك تطبقاً للمادة 326 </w:t>
      </w:r>
      <w:r>
        <w:rPr>
          <w:rFonts w:hint="cs"/>
          <w:color w:val="0000FF"/>
          <w:sz w:val="28"/>
          <w:szCs w:val="28"/>
          <w:rtl/>
        </w:rPr>
        <w:t xml:space="preserve">( </w:t>
      </w:r>
      <w:r w:rsidRPr="00923B1A">
        <w:rPr>
          <w:rFonts w:hint="cs"/>
          <w:color w:val="0000FF"/>
          <w:sz w:val="28"/>
          <w:szCs w:val="28"/>
          <w:rtl/>
        </w:rPr>
        <w:t>أ</w:t>
      </w:r>
      <w:r>
        <w:rPr>
          <w:rFonts w:hint="cs"/>
          <w:color w:val="0000FF"/>
          <w:sz w:val="28"/>
          <w:szCs w:val="28"/>
          <w:rtl/>
        </w:rPr>
        <w:t xml:space="preserve"> )</w:t>
      </w:r>
      <w:r w:rsidRPr="00923B1A">
        <w:rPr>
          <w:rFonts w:hint="cs"/>
          <w:color w:val="0000FF"/>
          <w:sz w:val="28"/>
          <w:szCs w:val="28"/>
          <w:rtl/>
        </w:rPr>
        <w:t xml:space="preserve"> لأن الكفيل ملزم بكل الدين مع الكفلاء الآخرين</w:t>
      </w:r>
      <w:r>
        <w:rPr>
          <w:rFonts w:hint="cs"/>
          <w:color w:val="0000FF"/>
          <w:sz w:val="28"/>
          <w:szCs w:val="28"/>
          <w:rtl/>
        </w:rPr>
        <w:t xml:space="preserve"> ،</w:t>
      </w:r>
      <w:r w:rsidRPr="00923B1A">
        <w:rPr>
          <w:rFonts w:hint="cs"/>
          <w:color w:val="0000FF"/>
          <w:sz w:val="28"/>
          <w:szCs w:val="28"/>
          <w:rtl/>
        </w:rPr>
        <w:t xml:space="preserve"> وكذلك تطبيقاً للمادة 799 وتقضي بأنه إذا وفى الكفيل الدين كان له أن يحل محل الدائن في جميع ما له من حقوق قبل المدين مضمونة بما يكفلها من تأمينات</w:t>
      </w:r>
      <w:r>
        <w:rPr>
          <w:rFonts w:hint="cs"/>
          <w:color w:val="0000FF"/>
          <w:sz w:val="28"/>
          <w:szCs w:val="28"/>
          <w:rtl/>
        </w:rPr>
        <w:t xml:space="preserve"> ،</w:t>
      </w:r>
      <w:r w:rsidRPr="00923B1A">
        <w:rPr>
          <w:rFonts w:hint="cs"/>
          <w:color w:val="0000FF"/>
          <w:sz w:val="28"/>
          <w:szCs w:val="28"/>
          <w:rtl/>
        </w:rPr>
        <w:t xml:space="preserve"> ومن هذه التأمينات كفالة الكفلاء الآخرين </w:t>
      </w:r>
      <w:r>
        <w:rPr>
          <w:rFonts w:hint="cs"/>
          <w:color w:val="0000FF"/>
          <w:sz w:val="28"/>
          <w:szCs w:val="28"/>
          <w:rtl/>
        </w:rPr>
        <w:t xml:space="preserve">( </w:t>
      </w:r>
      <w:r w:rsidRPr="00923B1A">
        <w:rPr>
          <w:rFonts w:hint="cs"/>
          <w:color w:val="0000FF"/>
          <w:sz w:val="28"/>
          <w:szCs w:val="28"/>
          <w:rtl/>
        </w:rPr>
        <w:t>عبد الفتاح عبد الباقي فقرة 129</w:t>
      </w:r>
      <w:r>
        <w:rPr>
          <w:rFonts w:hint="cs"/>
          <w:color w:val="0000FF"/>
          <w:sz w:val="28"/>
          <w:szCs w:val="28"/>
          <w:rtl/>
        </w:rPr>
        <w:t xml:space="preserve"> ) .</w:t>
      </w:r>
    </w:p>
  </w:footnote>
  <w:footnote w:id="458">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جيوار فقرة 211 </w:t>
      </w:r>
      <w:r w:rsidRPr="00923B1A">
        <w:rPr>
          <w:color w:val="0000FF"/>
          <w:sz w:val="28"/>
          <w:szCs w:val="28"/>
          <w:rtl/>
        </w:rPr>
        <w:t>–</w:t>
      </w:r>
      <w:r w:rsidRPr="00923B1A">
        <w:rPr>
          <w:rFonts w:hint="cs"/>
          <w:color w:val="0000FF"/>
          <w:sz w:val="28"/>
          <w:szCs w:val="28"/>
          <w:rtl/>
        </w:rPr>
        <w:t xml:space="preserve"> بودري وفال فقرة 1133</w:t>
      </w:r>
      <w:r>
        <w:rPr>
          <w:rFonts w:hint="cs"/>
          <w:color w:val="0000FF"/>
          <w:sz w:val="28"/>
          <w:szCs w:val="28"/>
          <w:rtl/>
        </w:rPr>
        <w:t xml:space="preserve"> .</w:t>
      </w:r>
    </w:p>
  </w:footnote>
  <w:footnote w:id="459">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استئناف مختلط 12 فبراير سنة </w:t>
      </w:r>
      <w:smartTag w:uri="urn:schemas-microsoft-com:office:smarttags" w:element="metricconverter">
        <w:smartTagPr>
          <w:attr w:name="ProductID" w:val="1922 م"/>
        </w:smartTagPr>
        <w:r w:rsidRPr="00923B1A">
          <w:rPr>
            <w:rFonts w:hint="cs"/>
            <w:color w:val="0000FF"/>
            <w:sz w:val="28"/>
            <w:szCs w:val="28"/>
            <w:rtl/>
          </w:rPr>
          <w:t>1922 م</w:t>
        </w:r>
      </w:smartTag>
      <w:r w:rsidRPr="00923B1A">
        <w:rPr>
          <w:rFonts w:hint="cs"/>
          <w:color w:val="0000FF"/>
          <w:sz w:val="28"/>
          <w:szCs w:val="28"/>
          <w:rtl/>
        </w:rPr>
        <w:t xml:space="preserve"> 34 ص 146 </w:t>
      </w:r>
      <w:r w:rsidRPr="00923B1A">
        <w:rPr>
          <w:color w:val="0000FF"/>
          <w:sz w:val="28"/>
          <w:szCs w:val="28"/>
          <w:rtl/>
        </w:rPr>
        <w:t>–</w:t>
      </w:r>
      <w:r w:rsidRPr="00923B1A">
        <w:rPr>
          <w:rFonts w:hint="cs"/>
          <w:color w:val="0000FF"/>
          <w:sz w:val="28"/>
          <w:szCs w:val="28"/>
          <w:rtl/>
        </w:rPr>
        <w:t xml:space="preserve"> جيوار فقرة 212 </w:t>
      </w:r>
      <w:r w:rsidRPr="00923B1A">
        <w:rPr>
          <w:color w:val="0000FF"/>
          <w:sz w:val="28"/>
          <w:szCs w:val="28"/>
          <w:rtl/>
        </w:rPr>
        <w:t>–</w:t>
      </w:r>
      <w:r w:rsidRPr="00923B1A">
        <w:rPr>
          <w:rFonts w:hint="cs"/>
          <w:color w:val="0000FF"/>
          <w:sz w:val="28"/>
          <w:szCs w:val="28"/>
          <w:rtl/>
        </w:rPr>
        <w:t xml:space="preserve"> بودري وفال فقرة 1135 </w:t>
      </w:r>
      <w:r w:rsidRPr="00923B1A">
        <w:rPr>
          <w:color w:val="0000FF"/>
          <w:sz w:val="28"/>
          <w:szCs w:val="28"/>
          <w:rtl/>
        </w:rPr>
        <w:t>–</w:t>
      </w:r>
      <w:r w:rsidRPr="00923B1A">
        <w:rPr>
          <w:rFonts w:hint="cs"/>
          <w:color w:val="0000FF"/>
          <w:sz w:val="28"/>
          <w:szCs w:val="28"/>
          <w:rtl/>
        </w:rPr>
        <w:t xml:space="preserve"> بلانيول وريبير وسافاتييه فقرة 1544 ص 997</w:t>
      </w:r>
      <w:r>
        <w:rPr>
          <w:rFonts w:hint="cs"/>
          <w:color w:val="0000FF"/>
          <w:sz w:val="28"/>
          <w:szCs w:val="28"/>
          <w:rtl/>
        </w:rPr>
        <w:t xml:space="preserve"> .</w:t>
      </w:r>
    </w:p>
  </w:footnote>
  <w:footnote w:id="460">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1136</w:t>
      </w:r>
      <w:r>
        <w:rPr>
          <w:rFonts w:hint="cs"/>
          <w:color w:val="0000FF"/>
          <w:sz w:val="28"/>
          <w:szCs w:val="28"/>
          <w:rtl/>
        </w:rPr>
        <w:t xml:space="preserve"> .</w:t>
      </w:r>
    </w:p>
  </w:footnote>
  <w:footnote w:id="461">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بون 2 فقرة 312 </w:t>
      </w:r>
      <w:r w:rsidRPr="00923B1A">
        <w:rPr>
          <w:color w:val="0000FF"/>
          <w:sz w:val="28"/>
          <w:szCs w:val="28"/>
          <w:rtl/>
        </w:rPr>
        <w:t>–</w:t>
      </w:r>
      <w:r w:rsidRPr="00923B1A">
        <w:rPr>
          <w:rFonts w:hint="cs"/>
          <w:color w:val="0000FF"/>
          <w:sz w:val="28"/>
          <w:szCs w:val="28"/>
          <w:rtl/>
        </w:rPr>
        <w:t xml:space="preserve"> فقرة 313 </w:t>
      </w:r>
      <w:r w:rsidRPr="00923B1A">
        <w:rPr>
          <w:color w:val="0000FF"/>
          <w:sz w:val="28"/>
          <w:szCs w:val="28"/>
          <w:rtl/>
        </w:rPr>
        <w:t>–</w:t>
      </w:r>
      <w:r w:rsidRPr="00923B1A">
        <w:rPr>
          <w:rFonts w:hint="cs"/>
          <w:color w:val="0000FF"/>
          <w:sz w:val="28"/>
          <w:szCs w:val="28"/>
          <w:rtl/>
        </w:rPr>
        <w:t xml:space="preserve"> لوران 28 فقرة 266 </w:t>
      </w:r>
      <w:r w:rsidRPr="00923B1A">
        <w:rPr>
          <w:color w:val="0000FF"/>
          <w:sz w:val="28"/>
          <w:szCs w:val="28"/>
          <w:rtl/>
        </w:rPr>
        <w:t>–</w:t>
      </w:r>
      <w:r w:rsidRPr="00923B1A">
        <w:rPr>
          <w:rFonts w:hint="cs"/>
          <w:color w:val="0000FF"/>
          <w:sz w:val="28"/>
          <w:szCs w:val="28"/>
          <w:rtl/>
        </w:rPr>
        <w:t xml:space="preserve"> جيوار فقرة 212 بودري وفال فقرة 1134 </w:t>
      </w:r>
      <w:r w:rsidRPr="00923B1A">
        <w:rPr>
          <w:color w:val="0000FF"/>
          <w:sz w:val="28"/>
          <w:szCs w:val="28"/>
          <w:rtl/>
        </w:rPr>
        <w:t>–</w:t>
      </w:r>
      <w:r w:rsidRPr="00923B1A">
        <w:rPr>
          <w:rFonts w:hint="cs"/>
          <w:color w:val="0000FF"/>
          <w:sz w:val="28"/>
          <w:szCs w:val="28"/>
          <w:rtl/>
        </w:rPr>
        <w:t xml:space="preserve"> بلانيول وريبير وسافاتييه فقرة 1544 ص 977 </w:t>
      </w:r>
      <w:r w:rsidRPr="00923B1A">
        <w:rPr>
          <w:color w:val="0000FF"/>
          <w:sz w:val="28"/>
          <w:szCs w:val="28"/>
          <w:rtl/>
        </w:rPr>
        <w:t>–</w:t>
      </w:r>
      <w:r w:rsidRPr="00923B1A">
        <w:rPr>
          <w:rFonts w:hint="cs"/>
          <w:color w:val="0000FF"/>
          <w:sz w:val="28"/>
          <w:szCs w:val="28"/>
          <w:rtl/>
        </w:rPr>
        <w:t xml:space="preserve"> محمد كامل مرسي فقرة 117 ص 169</w:t>
      </w:r>
      <w:r>
        <w:rPr>
          <w:rFonts w:hint="cs"/>
          <w:color w:val="0000FF"/>
          <w:sz w:val="28"/>
          <w:szCs w:val="28"/>
          <w:rtl/>
        </w:rPr>
        <w:t xml:space="preserve"> .</w:t>
      </w:r>
    </w:p>
  </w:footnote>
  <w:footnote w:id="462">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أوبري ورو 6 فقرة 428 ص 294</w:t>
      </w:r>
      <w:r>
        <w:rPr>
          <w:rFonts w:hint="cs"/>
          <w:color w:val="0000FF"/>
          <w:sz w:val="28"/>
          <w:szCs w:val="28"/>
          <w:rtl/>
        </w:rPr>
        <w:t xml:space="preserve"> .</w:t>
      </w:r>
    </w:p>
  </w:footnote>
  <w:footnote w:id="463">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بودري وفال فقرة 1128 مكررة </w:t>
      </w:r>
      <w:r w:rsidRPr="00923B1A">
        <w:rPr>
          <w:color w:val="0000FF"/>
          <w:sz w:val="28"/>
          <w:szCs w:val="28"/>
          <w:rtl/>
        </w:rPr>
        <w:t>–</w:t>
      </w:r>
      <w:r w:rsidRPr="00923B1A">
        <w:rPr>
          <w:rFonts w:hint="cs"/>
          <w:color w:val="0000FF"/>
          <w:sz w:val="28"/>
          <w:szCs w:val="28"/>
          <w:rtl/>
        </w:rPr>
        <w:t xml:space="preserve"> عبد الفتاح عبد الباقي فقرة 130 </w:t>
      </w:r>
      <w:r w:rsidRPr="00923B1A">
        <w:rPr>
          <w:color w:val="0000FF"/>
          <w:sz w:val="28"/>
          <w:szCs w:val="28"/>
          <w:rtl/>
        </w:rPr>
        <w:t>–</w:t>
      </w:r>
      <w:r w:rsidRPr="00923B1A">
        <w:rPr>
          <w:rFonts w:hint="cs"/>
          <w:color w:val="0000FF"/>
          <w:sz w:val="28"/>
          <w:szCs w:val="28"/>
          <w:rtl/>
        </w:rPr>
        <w:t xml:space="preserve"> ولكن يصح للكفيل الذي يريد الرجوع على الكفل الآخر الذي أبرئت ذمته أن يرجع على الدائن</w:t>
      </w:r>
      <w:r>
        <w:rPr>
          <w:rFonts w:hint="cs"/>
          <w:color w:val="0000FF"/>
          <w:sz w:val="28"/>
          <w:szCs w:val="28"/>
          <w:rtl/>
        </w:rPr>
        <w:t xml:space="preserve"> ،</w:t>
      </w:r>
      <w:r w:rsidRPr="00923B1A">
        <w:rPr>
          <w:rFonts w:hint="cs"/>
          <w:color w:val="0000FF"/>
          <w:sz w:val="28"/>
          <w:szCs w:val="28"/>
          <w:rtl/>
        </w:rPr>
        <w:t xml:space="preserve"> إذ أن هذا الأخير قد أبرأ  ذمة الكفيل فأضاع شيئاً من تأمينات الكفل الذي وفى بالدين </w:t>
      </w:r>
      <w:r>
        <w:rPr>
          <w:rFonts w:hint="cs"/>
          <w:color w:val="0000FF"/>
          <w:sz w:val="28"/>
          <w:szCs w:val="28"/>
          <w:rtl/>
        </w:rPr>
        <w:t xml:space="preserve">( </w:t>
      </w:r>
      <w:r w:rsidRPr="00923B1A">
        <w:rPr>
          <w:rFonts w:hint="cs"/>
          <w:color w:val="0000FF"/>
          <w:sz w:val="28"/>
          <w:szCs w:val="28"/>
          <w:rtl/>
        </w:rPr>
        <w:t xml:space="preserve">بودري وفال فقرة 1128 مكررة </w:t>
      </w:r>
      <w:r w:rsidRPr="00923B1A">
        <w:rPr>
          <w:color w:val="0000FF"/>
          <w:sz w:val="28"/>
          <w:szCs w:val="28"/>
          <w:rtl/>
        </w:rPr>
        <w:t>–</w:t>
      </w:r>
      <w:r w:rsidRPr="00923B1A">
        <w:rPr>
          <w:rFonts w:hint="cs"/>
          <w:color w:val="0000FF"/>
          <w:sz w:val="28"/>
          <w:szCs w:val="28"/>
          <w:rtl/>
        </w:rPr>
        <w:t xml:space="preserve"> عبد الفتاح عبد الباقي فقرة 130</w:t>
      </w:r>
      <w:r>
        <w:rPr>
          <w:rFonts w:hint="cs"/>
          <w:color w:val="0000FF"/>
          <w:sz w:val="28"/>
          <w:szCs w:val="28"/>
          <w:rtl/>
        </w:rPr>
        <w:t xml:space="preserve"> ) .</w:t>
      </w:r>
    </w:p>
  </w:footnote>
  <w:footnote w:id="464">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يكون الدين المكفول لم يحل أجله ويدفعه الكفيل قبل حلول الأجل</w:t>
      </w:r>
      <w:r>
        <w:rPr>
          <w:rFonts w:hint="cs"/>
          <w:color w:val="0000FF"/>
          <w:sz w:val="28"/>
          <w:szCs w:val="28"/>
          <w:rtl/>
        </w:rPr>
        <w:t xml:space="preserve"> ،</w:t>
      </w:r>
      <w:r w:rsidRPr="00923B1A">
        <w:rPr>
          <w:rFonts w:hint="cs"/>
          <w:color w:val="0000FF"/>
          <w:sz w:val="28"/>
          <w:szCs w:val="28"/>
          <w:rtl/>
        </w:rPr>
        <w:t xml:space="preserve"> فلا يستطيع الرجوع على غيره من الكفلاء إلا عند= حلول الأجل</w:t>
      </w:r>
      <w:r>
        <w:rPr>
          <w:rFonts w:hint="cs"/>
          <w:color w:val="0000FF"/>
          <w:sz w:val="28"/>
          <w:szCs w:val="28"/>
          <w:rtl/>
        </w:rPr>
        <w:t xml:space="preserve"> ،</w:t>
      </w:r>
      <w:r w:rsidRPr="00923B1A">
        <w:rPr>
          <w:rFonts w:hint="cs"/>
          <w:color w:val="0000FF"/>
          <w:sz w:val="28"/>
          <w:szCs w:val="28"/>
          <w:rtl/>
        </w:rPr>
        <w:t xml:space="preserve"> </w:t>
      </w:r>
      <w:r>
        <w:rPr>
          <w:rFonts w:hint="cs"/>
          <w:color w:val="0000FF"/>
          <w:sz w:val="28"/>
          <w:szCs w:val="28"/>
          <w:rtl/>
        </w:rPr>
        <w:t xml:space="preserve">( </w:t>
      </w:r>
      <w:r w:rsidRPr="00923B1A">
        <w:rPr>
          <w:rFonts w:hint="cs"/>
          <w:color w:val="0000FF"/>
          <w:sz w:val="28"/>
          <w:szCs w:val="28"/>
          <w:rtl/>
        </w:rPr>
        <w:t xml:space="preserve">محمد كامل مرسي فقرة 117 ص 169 </w:t>
      </w:r>
      <w:r w:rsidRPr="00923B1A">
        <w:rPr>
          <w:color w:val="0000FF"/>
          <w:sz w:val="28"/>
          <w:szCs w:val="28"/>
          <w:rtl/>
        </w:rPr>
        <w:t>–</w:t>
      </w:r>
      <w:r w:rsidRPr="00923B1A">
        <w:rPr>
          <w:rFonts w:hint="cs"/>
          <w:color w:val="0000FF"/>
          <w:sz w:val="28"/>
          <w:szCs w:val="28"/>
          <w:rtl/>
        </w:rPr>
        <w:t xml:space="preserve"> عبد الفتاح عبد الباقي فقرة 130</w:t>
      </w:r>
      <w:r>
        <w:rPr>
          <w:rFonts w:hint="cs"/>
          <w:color w:val="0000FF"/>
          <w:sz w:val="28"/>
          <w:szCs w:val="28"/>
          <w:rtl/>
        </w:rPr>
        <w:t xml:space="preserve"> )</w:t>
      </w:r>
      <w:r w:rsidRPr="00923B1A">
        <w:rPr>
          <w:rFonts w:hint="cs"/>
          <w:color w:val="0000FF"/>
          <w:sz w:val="28"/>
          <w:szCs w:val="28"/>
          <w:rtl/>
        </w:rPr>
        <w:t xml:space="preserve"> </w:t>
      </w:r>
      <w:r w:rsidRPr="00923B1A">
        <w:rPr>
          <w:color w:val="0000FF"/>
          <w:sz w:val="28"/>
          <w:szCs w:val="28"/>
          <w:rtl/>
        </w:rPr>
        <w:t>–</w:t>
      </w:r>
      <w:r w:rsidRPr="00923B1A">
        <w:rPr>
          <w:rFonts w:hint="cs"/>
          <w:color w:val="0000FF"/>
          <w:sz w:val="28"/>
          <w:szCs w:val="28"/>
          <w:rtl/>
        </w:rPr>
        <w:t xml:space="preserve"> وإذا كان الكفل الذي وفى الدين قد ارتكب تقصيراً</w:t>
      </w:r>
      <w:r>
        <w:rPr>
          <w:rFonts w:hint="cs"/>
          <w:color w:val="0000FF"/>
          <w:sz w:val="28"/>
          <w:szCs w:val="28"/>
          <w:rtl/>
        </w:rPr>
        <w:t xml:space="preserve"> ،</w:t>
      </w:r>
      <w:r w:rsidRPr="00923B1A">
        <w:rPr>
          <w:rFonts w:hint="cs"/>
          <w:color w:val="0000FF"/>
          <w:sz w:val="28"/>
          <w:szCs w:val="28"/>
          <w:rtl/>
        </w:rPr>
        <w:t xml:space="preserve"> كأن لم يخطر الدائن بعزمه على الوفاء قام المدين بالوفاء مرة ثانية</w:t>
      </w:r>
      <w:r>
        <w:rPr>
          <w:rFonts w:hint="cs"/>
          <w:color w:val="0000FF"/>
          <w:sz w:val="28"/>
          <w:szCs w:val="28"/>
          <w:rtl/>
        </w:rPr>
        <w:t xml:space="preserve"> ،</w:t>
      </w:r>
      <w:r w:rsidRPr="00923B1A">
        <w:rPr>
          <w:rFonts w:hint="cs"/>
          <w:color w:val="0000FF"/>
          <w:sz w:val="28"/>
          <w:szCs w:val="28"/>
          <w:rtl/>
        </w:rPr>
        <w:t xml:space="preserve"> لم يجز للكفيل الرجوع على غيره من الكفلاء</w:t>
      </w:r>
      <w:r>
        <w:rPr>
          <w:rFonts w:hint="cs"/>
          <w:color w:val="0000FF"/>
          <w:sz w:val="28"/>
          <w:szCs w:val="28"/>
          <w:rtl/>
        </w:rPr>
        <w:t xml:space="preserve"> ،</w:t>
      </w:r>
      <w:r w:rsidRPr="00923B1A">
        <w:rPr>
          <w:rFonts w:hint="cs"/>
          <w:color w:val="0000FF"/>
          <w:sz w:val="28"/>
          <w:szCs w:val="28"/>
          <w:rtl/>
        </w:rPr>
        <w:t xml:space="preserve"> لأن وفاء الكفيل لم يبرئ ذمة الكفلاء الآخرين بل الذي أبرأ ذمتهم هو وفاء المدين </w:t>
      </w:r>
      <w:r>
        <w:rPr>
          <w:rFonts w:hint="cs"/>
          <w:color w:val="0000FF"/>
          <w:sz w:val="28"/>
          <w:szCs w:val="28"/>
          <w:rtl/>
        </w:rPr>
        <w:t xml:space="preserve">( </w:t>
      </w:r>
      <w:r w:rsidRPr="00923B1A">
        <w:rPr>
          <w:rFonts w:hint="cs"/>
          <w:color w:val="0000FF"/>
          <w:sz w:val="28"/>
          <w:szCs w:val="28"/>
          <w:rtl/>
        </w:rPr>
        <w:t xml:space="preserve">عبد الفتاح عبد الباقي فقرة 130 </w:t>
      </w:r>
      <w:r w:rsidRPr="00923B1A">
        <w:rPr>
          <w:color w:val="0000FF"/>
          <w:sz w:val="28"/>
          <w:szCs w:val="28"/>
          <w:rtl/>
        </w:rPr>
        <w:t>–</w:t>
      </w:r>
      <w:r w:rsidRPr="00923B1A">
        <w:rPr>
          <w:rFonts w:hint="cs"/>
          <w:color w:val="0000FF"/>
          <w:sz w:val="28"/>
          <w:szCs w:val="28"/>
          <w:rtl/>
        </w:rPr>
        <w:t xml:space="preserve"> سليمان مرقس فقرة 131 ص 147 </w:t>
      </w:r>
      <w:r w:rsidRPr="00923B1A">
        <w:rPr>
          <w:color w:val="0000FF"/>
          <w:sz w:val="28"/>
          <w:szCs w:val="28"/>
          <w:rtl/>
        </w:rPr>
        <w:t>–</w:t>
      </w:r>
      <w:r w:rsidRPr="00923B1A">
        <w:rPr>
          <w:rFonts w:hint="cs"/>
          <w:color w:val="0000FF"/>
          <w:sz w:val="28"/>
          <w:szCs w:val="28"/>
          <w:rtl/>
        </w:rPr>
        <w:t xml:space="preserve"> ص 148</w:t>
      </w:r>
      <w:r>
        <w:rPr>
          <w:rFonts w:hint="cs"/>
          <w:color w:val="0000FF"/>
          <w:sz w:val="28"/>
          <w:szCs w:val="28"/>
          <w:rtl/>
        </w:rPr>
        <w:t xml:space="preserve"> ) .</w:t>
      </w:r>
    </w:p>
  </w:footnote>
  <w:footnote w:id="465">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آنفاً فقرة 75</w:t>
      </w:r>
      <w:r>
        <w:rPr>
          <w:rFonts w:hint="cs"/>
          <w:color w:val="0000FF"/>
          <w:sz w:val="28"/>
          <w:szCs w:val="28"/>
          <w:rtl/>
        </w:rPr>
        <w:t xml:space="preserve"> .</w:t>
      </w:r>
    </w:p>
  </w:footnote>
  <w:footnote w:id="466">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انظر في تطبيق حكم الكفلاء المتضامنين على الكفلاء المتضامين لاتحاد العلة وان ما يرجع به الكفل في الحلول القانوني هو ما يرجع به في الحلول الاتفاقي</w:t>
      </w:r>
      <w:r>
        <w:rPr>
          <w:rFonts w:hint="cs"/>
          <w:color w:val="0000FF"/>
          <w:sz w:val="28"/>
          <w:szCs w:val="28"/>
          <w:rtl/>
        </w:rPr>
        <w:t xml:space="preserve"> :</w:t>
      </w:r>
      <w:r w:rsidRPr="00923B1A">
        <w:rPr>
          <w:rFonts w:hint="cs"/>
          <w:color w:val="0000FF"/>
          <w:sz w:val="28"/>
          <w:szCs w:val="28"/>
          <w:rtl/>
        </w:rPr>
        <w:t xml:space="preserve"> عبد الفتاح عبد الباقي فقرة 131 </w:t>
      </w:r>
      <w:r w:rsidRPr="00923B1A">
        <w:rPr>
          <w:color w:val="0000FF"/>
          <w:sz w:val="28"/>
          <w:szCs w:val="28"/>
          <w:rtl/>
        </w:rPr>
        <w:t>–</w:t>
      </w:r>
      <w:r w:rsidRPr="00923B1A">
        <w:rPr>
          <w:rFonts w:hint="cs"/>
          <w:color w:val="0000FF"/>
          <w:sz w:val="28"/>
          <w:szCs w:val="28"/>
          <w:rtl/>
        </w:rPr>
        <w:t xml:space="preserve"> سليمان مرقص فقرة 132 </w:t>
      </w:r>
      <w:r w:rsidRPr="00923B1A">
        <w:rPr>
          <w:color w:val="0000FF"/>
          <w:sz w:val="28"/>
          <w:szCs w:val="28"/>
          <w:rtl/>
        </w:rPr>
        <w:t>–</w:t>
      </w:r>
      <w:r w:rsidRPr="00923B1A">
        <w:rPr>
          <w:rFonts w:hint="cs"/>
          <w:color w:val="0000FF"/>
          <w:sz w:val="28"/>
          <w:szCs w:val="28"/>
          <w:rtl/>
        </w:rPr>
        <w:t xml:space="preserve"> منصور مصطفى منصور فقرة 59 ص 113</w:t>
      </w:r>
      <w:r>
        <w:rPr>
          <w:rFonts w:hint="cs"/>
          <w:color w:val="0000FF"/>
          <w:sz w:val="28"/>
          <w:szCs w:val="28"/>
          <w:rtl/>
        </w:rPr>
        <w:t xml:space="preserve"> .</w:t>
      </w:r>
    </w:p>
  </w:footnote>
  <w:footnote w:id="467">
    <w:p w:rsidR="00F72742" w:rsidRPr="00923B1A" w:rsidRDefault="00F72742" w:rsidP="00F72742">
      <w:pPr>
        <w:pStyle w:val="aa"/>
        <w:widowControl w:val="0"/>
        <w:ind w:firstLine="567"/>
        <w:jc w:val="lowKashida"/>
        <w:rPr>
          <w:rFonts w:hint="cs"/>
          <w:color w:val="0000FF"/>
          <w:sz w:val="28"/>
          <w:szCs w:val="28"/>
          <w:rtl/>
        </w:rPr>
      </w:pPr>
      <w:r>
        <w:rPr>
          <w:rFonts w:hint="cs"/>
          <w:color w:val="0000FF"/>
          <w:sz w:val="28"/>
          <w:szCs w:val="28"/>
          <w:rtl/>
        </w:rPr>
        <w:t xml:space="preserve">( </w:t>
      </w:r>
      <w:r w:rsidRPr="00923B1A">
        <w:rPr>
          <w:rStyle w:val="ab"/>
          <w:color w:val="0000FF"/>
          <w:sz w:val="28"/>
          <w:szCs w:val="28"/>
        </w:rPr>
        <w:footnoteRef/>
      </w:r>
      <w:r>
        <w:rPr>
          <w:rFonts w:hint="cs"/>
          <w:color w:val="0000FF"/>
          <w:sz w:val="28"/>
          <w:szCs w:val="28"/>
          <w:rtl/>
        </w:rPr>
        <w:t xml:space="preserve"> )</w:t>
      </w:r>
      <w:r w:rsidRPr="00923B1A">
        <w:rPr>
          <w:rFonts w:hint="cs"/>
          <w:color w:val="0000FF"/>
          <w:sz w:val="28"/>
          <w:szCs w:val="28"/>
          <w:rtl/>
        </w:rPr>
        <w:t xml:space="preserve"> وقد كان منطق دعوى الحلول يقتضي أن يرجع الكفيل بما كان يرجع به الدائن نفسه</w:t>
      </w:r>
      <w:r>
        <w:rPr>
          <w:rFonts w:hint="cs"/>
          <w:color w:val="0000FF"/>
          <w:sz w:val="28"/>
          <w:szCs w:val="28"/>
          <w:rtl/>
        </w:rPr>
        <w:t xml:space="preserve"> ،</w:t>
      </w:r>
      <w:r w:rsidRPr="00923B1A">
        <w:rPr>
          <w:rFonts w:hint="cs"/>
          <w:color w:val="0000FF"/>
          <w:sz w:val="28"/>
          <w:szCs w:val="28"/>
          <w:rtl/>
        </w:rPr>
        <w:t xml:space="preserve"> أن يرجع بكل الدين على أي كفيل آخر متضامن أو متضام بعد أن يستنزل حصته هو من الدين</w:t>
      </w:r>
      <w:r>
        <w:rPr>
          <w:rFonts w:hint="cs"/>
          <w:color w:val="0000FF"/>
          <w:sz w:val="28"/>
          <w:szCs w:val="28"/>
          <w:rtl/>
        </w:rPr>
        <w:t xml:space="preserve"> .</w:t>
      </w:r>
      <w:r w:rsidRPr="00923B1A">
        <w:rPr>
          <w:rFonts w:hint="cs"/>
          <w:color w:val="0000FF"/>
          <w:sz w:val="28"/>
          <w:szCs w:val="28"/>
          <w:rtl/>
        </w:rPr>
        <w:t xml:space="preserve"> ولكن العمل بمقتضى هذا المنطق يؤدي إلى سلسلة من دعاوي للرجوع لا مبرر لها</w:t>
      </w:r>
      <w:r>
        <w:rPr>
          <w:rFonts w:hint="cs"/>
          <w:color w:val="0000FF"/>
          <w:sz w:val="28"/>
          <w:szCs w:val="28"/>
          <w:rtl/>
        </w:rPr>
        <w:t xml:space="preserve"> .</w:t>
      </w:r>
      <w:r w:rsidRPr="00923B1A">
        <w:rPr>
          <w:rFonts w:hint="cs"/>
          <w:color w:val="0000FF"/>
          <w:sz w:val="28"/>
          <w:szCs w:val="28"/>
          <w:rtl/>
        </w:rPr>
        <w:t xml:space="preserve"> فلو أن الكفلاء المتضامنين أو المتضامين كانوا مثلا خمسة حصصهم في الدين متساوية</w:t>
      </w:r>
      <w:r>
        <w:rPr>
          <w:rFonts w:hint="cs"/>
          <w:color w:val="0000FF"/>
          <w:sz w:val="28"/>
          <w:szCs w:val="28"/>
          <w:rtl/>
        </w:rPr>
        <w:t xml:space="preserve"> ،</w:t>
      </w:r>
      <w:r w:rsidRPr="00923B1A">
        <w:rPr>
          <w:rFonts w:hint="cs"/>
          <w:color w:val="0000FF"/>
          <w:sz w:val="28"/>
          <w:szCs w:val="28"/>
          <w:rtl/>
        </w:rPr>
        <w:t xml:space="preserve"> وكان الدين خمسة آلاف</w:t>
      </w:r>
      <w:r>
        <w:rPr>
          <w:rFonts w:hint="cs"/>
          <w:color w:val="0000FF"/>
          <w:sz w:val="28"/>
          <w:szCs w:val="28"/>
          <w:rtl/>
        </w:rPr>
        <w:t xml:space="preserve"> ،</w:t>
      </w:r>
      <w:r w:rsidRPr="00923B1A">
        <w:rPr>
          <w:rFonts w:hint="cs"/>
          <w:color w:val="0000FF"/>
          <w:sz w:val="28"/>
          <w:szCs w:val="28"/>
          <w:rtl/>
        </w:rPr>
        <w:t xml:space="preserve"> ووفى أحدهم كل الدين للدائن وحل محله فيه</w:t>
      </w:r>
      <w:r>
        <w:rPr>
          <w:rFonts w:hint="cs"/>
          <w:color w:val="0000FF"/>
          <w:sz w:val="28"/>
          <w:szCs w:val="28"/>
          <w:rtl/>
        </w:rPr>
        <w:t xml:space="preserve"> ،</w:t>
      </w:r>
      <w:r w:rsidRPr="00923B1A">
        <w:rPr>
          <w:rFonts w:hint="cs"/>
          <w:color w:val="0000FF"/>
          <w:sz w:val="28"/>
          <w:szCs w:val="28"/>
          <w:rtl/>
        </w:rPr>
        <w:t xml:space="preserve"> فإن منطق دعوى الحلول يقتضي كما قلنا أن يرجع الكفيل الذي وفى الدين على أحد الكفلاء المتضامنين أو المتضامنين بأربعة آلاف</w:t>
      </w:r>
      <w:r>
        <w:rPr>
          <w:rFonts w:hint="cs"/>
          <w:color w:val="0000FF"/>
          <w:sz w:val="28"/>
          <w:szCs w:val="28"/>
          <w:rtl/>
        </w:rPr>
        <w:t xml:space="preserve"> ،</w:t>
      </w:r>
      <w:r w:rsidRPr="00923B1A">
        <w:rPr>
          <w:rFonts w:hint="cs"/>
          <w:color w:val="0000FF"/>
          <w:sz w:val="28"/>
          <w:szCs w:val="28"/>
          <w:rtl/>
        </w:rPr>
        <w:t xml:space="preserve"> وهذا </w:t>
      </w:r>
    </w:p>
  </w:footnote>
  <w:footnote w:id="468">
    <w:p w:rsidR="00F72742" w:rsidRPr="00923B1A" w:rsidRDefault="00F72742" w:rsidP="00F72742">
      <w:pPr>
        <w:pStyle w:val="aa"/>
        <w:ind w:firstLine="565"/>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وإذا  أبرأ الدائن أحد الكفلاء المتضامنين أو المتضامين من  الدين أو من التضامن أو من التضامم</w:t>
      </w:r>
      <w:r>
        <w:rPr>
          <w:rFonts w:hint="cs"/>
          <w:color w:val="0000FF"/>
          <w:sz w:val="28"/>
          <w:szCs w:val="28"/>
          <w:rtl/>
          <w:lang w:bidi="ar-EG"/>
        </w:rPr>
        <w:t xml:space="preserve"> ،</w:t>
      </w:r>
      <w:r w:rsidRPr="00923B1A">
        <w:rPr>
          <w:rFonts w:hint="cs"/>
          <w:color w:val="0000FF"/>
          <w:sz w:val="28"/>
          <w:szCs w:val="28"/>
          <w:rtl/>
          <w:lang w:bidi="ar-EG"/>
        </w:rPr>
        <w:t xml:space="preserve"> فإن هذا الكفيل</w:t>
      </w:r>
      <w:r>
        <w:rPr>
          <w:rFonts w:hint="cs"/>
          <w:color w:val="0000FF"/>
          <w:sz w:val="28"/>
          <w:szCs w:val="28"/>
          <w:rtl/>
          <w:lang w:bidi="ar-EG"/>
        </w:rPr>
        <w:t xml:space="preserve"> ،</w:t>
      </w:r>
      <w:r w:rsidRPr="00923B1A">
        <w:rPr>
          <w:rFonts w:hint="cs"/>
          <w:color w:val="0000FF"/>
          <w:sz w:val="28"/>
          <w:szCs w:val="28"/>
          <w:rtl/>
          <w:lang w:bidi="ar-EG"/>
        </w:rPr>
        <w:t xml:space="preserve"> ما لم يخله الدائن من المسئولية</w:t>
      </w:r>
      <w:r>
        <w:rPr>
          <w:rFonts w:hint="cs"/>
          <w:color w:val="0000FF"/>
          <w:sz w:val="28"/>
          <w:szCs w:val="28"/>
          <w:rtl/>
          <w:lang w:bidi="ar-EG"/>
        </w:rPr>
        <w:t xml:space="preserve"> ،</w:t>
      </w:r>
      <w:r w:rsidRPr="00923B1A">
        <w:rPr>
          <w:rFonts w:hint="cs"/>
          <w:color w:val="0000FF"/>
          <w:sz w:val="28"/>
          <w:szCs w:val="28"/>
          <w:rtl/>
          <w:lang w:bidi="ar-EG"/>
        </w:rPr>
        <w:t xml:space="preserve"> يتحمل هو أيضاً نصيبه في حصة المعسر </w:t>
      </w:r>
      <w:r>
        <w:rPr>
          <w:rFonts w:hint="cs"/>
          <w:color w:val="0000FF"/>
          <w:sz w:val="28"/>
          <w:szCs w:val="28"/>
          <w:rtl/>
          <w:lang w:bidi="ar-EG"/>
        </w:rPr>
        <w:t xml:space="preserve">( </w:t>
      </w:r>
      <w:r w:rsidRPr="00923B1A">
        <w:rPr>
          <w:rFonts w:hint="cs"/>
          <w:color w:val="0000FF"/>
          <w:sz w:val="28"/>
          <w:szCs w:val="28"/>
          <w:rtl/>
          <w:lang w:bidi="ar-EG"/>
        </w:rPr>
        <w:t>الوسيط 3 فقرة 207 ص 364</w:t>
      </w:r>
      <w:r>
        <w:rPr>
          <w:rFonts w:hint="cs"/>
          <w:color w:val="0000FF"/>
          <w:sz w:val="28"/>
          <w:szCs w:val="28"/>
          <w:rtl/>
          <w:lang w:bidi="ar-EG"/>
        </w:rPr>
        <w:t xml:space="preserve"> ) .</w:t>
      </w:r>
    </w:p>
  </w:footnote>
  <w:footnote w:id="469">
    <w:p w:rsidR="00F72742" w:rsidRPr="00923B1A" w:rsidRDefault="00F72742" w:rsidP="00F72742">
      <w:pPr>
        <w:pStyle w:val="aa"/>
        <w:ind w:firstLine="565"/>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ديمو لومب 26 فقرة 435 </w:t>
      </w:r>
      <w:r w:rsidRPr="00923B1A">
        <w:rPr>
          <w:color w:val="0000FF"/>
          <w:sz w:val="28"/>
          <w:szCs w:val="28"/>
          <w:rtl/>
          <w:lang w:bidi="ar-EG"/>
        </w:rPr>
        <w:t>–</w:t>
      </w:r>
      <w:r w:rsidRPr="00923B1A">
        <w:rPr>
          <w:rFonts w:hint="cs"/>
          <w:color w:val="0000FF"/>
          <w:sz w:val="28"/>
          <w:szCs w:val="28"/>
          <w:rtl/>
          <w:lang w:bidi="ar-EG"/>
        </w:rPr>
        <w:t xml:space="preserve"> بودري وبارد 2 فقرة 1260 </w:t>
      </w:r>
      <w:r w:rsidRPr="00923B1A">
        <w:rPr>
          <w:color w:val="0000FF"/>
          <w:sz w:val="28"/>
          <w:szCs w:val="28"/>
          <w:rtl/>
          <w:lang w:bidi="ar-EG"/>
        </w:rPr>
        <w:t>–</w:t>
      </w:r>
      <w:r w:rsidRPr="00923B1A">
        <w:rPr>
          <w:rFonts w:hint="cs"/>
          <w:color w:val="0000FF"/>
          <w:sz w:val="28"/>
          <w:szCs w:val="28"/>
          <w:rtl/>
          <w:lang w:bidi="ar-EG"/>
        </w:rPr>
        <w:t xml:space="preserve"> دباج 3 فقرة 369 ص 334</w:t>
      </w:r>
      <w:r>
        <w:rPr>
          <w:rFonts w:hint="cs"/>
          <w:color w:val="0000FF"/>
          <w:sz w:val="28"/>
          <w:szCs w:val="28"/>
          <w:rtl/>
          <w:lang w:bidi="ar-EG"/>
        </w:rPr>
        <w:t xml:space="preserve"> .</w:t>
      </w:r>
    </w:p>
  </w:footnote>
  <w:footnote w:id="470">
    <w:p w:rsidR="00F72742" w:rsidRPr="00923B1A" w:rsidRDefault="00F72742" w:rsidP="00F72742">
      <w:pPr>
        <w:pStyle w:val="aa"/>
        <w:ind w:firstLine="565"/>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انظر الوسيط 3 فقرة 207 ص 365</w:t>
      </w:r>
      <w:r>
        <w:rPr>
          <w:rFonts w:hint="cs"/>
          <w:color w:val="0000FF"/>
          <w:sz w:val="28"/>
          <w:szCs w:val="28"/>
          <w:rtl/>
          <w:lang w:bidi="ar-EG"/>
        </w:rPr>
        <w:t xml:space="preserve"> .</w:t>
      </w:r>
    </w:p>
  </w:footnote>
  <w:footnote w:id="471">
    <w:p w:rsidR="00F72742" w:rsidRPr="00923B1A" w:rsidRDefault="00F72742" w:rsidP="00F72742">
      <w:pPr>
        <w:pStyle w:val="aa"/>
        <w:ind w:firstLine="565"/>
        <w:jc w:val="lowKashida"/>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بيدان وفوران فقرة 125 </w:t>
      </w:r>
      <w:r w:rsidRPr="00923B1A">
        <w:rPr>
          <w:color w:val="0000FF"/>
          <w:sz w:val="28"/>
          <w:szCs w:val="28"/>
          <w:rtl/>
          <w:lang w:bidi="ar-EG"/>
        </w:rPr>
        <w:t>–</w:t>
      </w:r>
      <w:r w:rsidRPr="00923B1A">
        <w:rPr>
          <w:rFonts w:hint="cs"/>
          <w:color w:val="0000FF"/>
          <w:sz w:val="28"/>
          <w:szCs w:val="28"/>
          <w:rtl/>
          <w:lang w:bidi="ar-EG"/>
        </w:rPr>
        <w:t xml:space="preserve"> أوبر ورو 6 فقرة 428 ص 294 </w:t>
      </w:r>
      <w:r w:rsidRPr="00923B1A">
        <w:rPr>
          <w:color w:val="0000FF"/>
          <w:sz w:val="28"/>
          <w:szCs w:val="28"/>
          <w:rtl/>
          <w:lang w:bidi="ar-EG"/>
        </w:rPr>
        <w:t>–</w:t>
      </w:r>
      <w:r w:rsidRPr="00923B1A">
        <w:rPr>
          <w:rFonts w:hint="cs"/>
          <w:color w:val="0000FF"/>
          <w:sz w:val="28"/>
          <w:szCs w:val="28"/>
          <w:rtl/>
          <w:lang w:bidi="ar-EG"/>
        </w:rPr>
        <w:t xml:space="preserve"> بلانيول وربير وسافاتييه فقرة 1546 </w:t>
      </w:r>
      <w:r w:rsidRPr="00923B1A">
        <w:rPr>
          <w:color w:val="0000FF"/>
          <w:sz w:val="28"/>
          <w:szCs w:val="28"/>
          <w:rtl/>
          <w:lang w:bidi="ar-EG"/>
        </w:rPr>
        <w:t>–</w:t>
      </w:r>
      <w:r w:rsidRPr="00923B1A">
        <w:rPr>
          <w:rFonts w:hint="cs"/>
          <w:color w:val="0000FF"/>
          <w:sz w:val="28"/>
          <w:szCs w:val="28"/>
          <w:rtl/>
          <w:lang w:bidi="ar-EG"/>
        </w:rPr>
        <w:t xml:space="preserve"> بلانيول وبيير وبولانجيه 2 فقرة 1963 </w:t>
      </w:r>
      <w:r w:rsidRPr="00923B1A">
        <w:rPr>
          <w:color w:val="0000FF"/>
          <w:sz w:val="28"/>
          <w:szCs w:val="28"/>
          <w:rtl/>
          <w:lang w:bidi="ar-EG"/>
        </w:rPr>
        <w:t>–</w:t>
      </w:r>
      <w:r w:rsidRPr="00923B1A">
        <w:rPr>
          <w:rFonts w:hint="cs"/>
          <w:color w:val="0000FF"/>
          <w:sz w:val="28"/>
          <w:szCs w:val="28"/>
          <w:rtl/>
          <w:lang w:bidi="ar-EG"/>
        </w:rPr>
        <w:t xml:space="preserve"> منصور مصطفى منصور فقرة 60</w:t>
      </w:r>
      <w:r>
        <w:rPr>
          <w:rFonts w:hint="cs"/>
          <w:color w:val="0000FF"/>
          <w:sz w:val="28"/>
          <w:szCs w:val="28"/>
          <w:rtl/>
          <w:lang w:bidi="ar-EG"/>
        </w:rPr>
        <w:t xml:space="preserve"> .</w:t>
      </w:r>
    </w:p>
  </w:footnote>
  <w:footnote w:id="472">
    <w:p w:rsidR="00F72742" w:rsidRPr="00923B1A" w:rsidRDefault="00F72742" w:rsidP="00F72742">
      <w:pPr>
        <w:pStyle w:val="aa"/>
        <w:ind w:firstLine="565"/>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بودي وفال فقرة 1115 </w:t>
      </w:r>
      <w:r w:rsidRPr="00923B1A">
        <w:rPr>
          <w:color w:val="0000FF"/>
          <w:sz w:val="28"/>
          <w:szCs w:val="28"/>
          <w:rtl/>
          <w:lang w:bidi="ar-EG"/>
        </w:rPr>
        <w:t>–</w:t>
      </w:r>
      <w:r w:rsidRPr="00923B1A">
        <w:rPr>
          <w:rFonts w:hint="cs"/>
          <w:color w:val="0000FF"/>
          <w:sz w:val="28"/>
          <w:szCs w:val="28"/>
          <w:rtl/>
          <w:lang w:bidi="ar-EG"/>
        </w:rPr>
        <w:t xml:space="preserve"> بلانيول وريبير وسافاتييه فقرة 1545</w:t>
      </w:r>
      <w:r>
        <w:rPr>
          <w:rFonts w:hint="cs"/>
          <w:color w:val="0000FF"/>
          <w:sz w:val="28"/>
          <w:szCs w:val="28"/>
          <w:rtl/>
          <w:lang w:bidi="ar-EG"/>
        </w:rPr>
        <w:t xml:space="preserve"> .</w:t>
      </w:r>
    </w:p>
  </w:footnote>
  <w:footnote w:id="473">
    <w:p w:rsidR="00F72742" w:rsidRPr="00923B1A" w:rsidRDefault="00F72742" w:rsidP="00F72742">
      <w:pPr>
        <w:pStyle w:val="aa"/>
        <w:ind w:firstLine="565"/>
        <w:rPr>
          <w:rFonts w:hint="cs"/>
          <w:color w:val="0000FF"/>
          <w:sz w:val="28"/>
          <w:szCs w:val="28"/>
          <w:rtl/>
          <w:lang w:bidi="ar-EG"/>
        </w:rPr>
      </w:pPr>
      <w:r>
        <w:rPr>
          <w:rFonts w:hint="cs"/>
          <w:color w:val="0000FF"/>
          <w:sz w:val="28"/>
          <w:szCs w:val="28"/>
          <w:rtl/>
          <w:lang w:bidi="ar-EG"/>
        </w:rPr>
        <w:t xml:space="preserve">( </w:t>
      </w:r>
      <w:r w:rsidRPr="00923B1A">
        <w:rPr>
          <w:rStyle w:val="ab"/>
          <w:color w:val="0000FF"/>
          <w:sz w:val="28"/>
          <w:szCs w:val="28"/>
        </w:rPr>
        <w:footnoteRef/>
      </w:r>
      <w:r>
        <w:rPr>
          <w:rFonts w:hint="cs"/>
          <w:color w:val="0000FF"/>
          <w:sz w:val="28"/>
          <w:szCs w:val="28"/>
          <w:rtl/>
          <w:lang w:bidi="ar-EG"/>
        </w:rPr>
        <w:t xml:space="preserve"> )</w:t>
      </w:r>
      <w:r w:rsidRPr="00923B1A">
        <w:rPr>
          <w:rFonts w:hint="cs"/>
          <w:color w:val="0000FF"/>
          <w:sz w:val="28"/>
          <w:szCs w:val="28"/>
          <w:rtl/>
          <w:lang w:bidi="ar-EG"/>
        </w:rPr>
        <w:t xml:space="preserve">  أوبر ورو 4 فقرة 321 ص 289 هامش 84</w:t>
      </w:r>
      <w:r>
        <w:rPr>
          <w:rFonts w:hint="cs"/>
          <w:color w:val="0000FF"/>
          <w:sz w:val="28"/>
          <w:szCs w:val="28"/>
          <w:rtl/>
          <w:lang w:bidi="ar-EG"/>
        </w:rPr>
        <w:t xml:space="preserve"> .</w:t>
      </w:r>
    </w:p>
  </w:footnote>
  <w:footnote w:id="47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نصت المادة 1087 من قانون الموجبات والعقود اللبناني على أن "جميع أسباب البطلان أو السقوط المختصة بالموجب أصلي تسقط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ونصت المادة 1088 من نفس القانون على أن "موجب الكفالة يسقط بالأسباب نفسها التي تسقط سائر الموجبات</w:t>
      </w:r>
      <w:r>
        <w:rPr>
          <w:rFonts w:cs="Traditional Arabic" w:hint="cs"/>
          <w:color w:val="000000"/>
          <w:sz w:val="24"/>
          <w:szCs w:val="28"/>
          <w:rtl/>
        </w:rPr>
        <w:t xml:space="preserve"> ،</w:t>
      </w:r>
      <w:r w:rsidRPr="00DC0143">
        <w:rPr>
          <w:rFonts w:cs="Traditional Arabic" w:hint="cs"/>
          <w:color w:val="000000"/>
          <w:sz w:val="24"/>
          <w:szCs w:val="28"/>
          <w:rtl/>
        </w:rPr>
        <w:t xml:space="preserve"> وغن لم تكن لتلك الأسباب علاقة بالموجب الأصل"</w:t>
      </w:r>
      <w:r>
        <w:rPr>
          <w:rFonts w:cs="Traditional Arabic" w:hint="cs"/>
          <w:color w:val="000000"/>
          <w:sz w:val="24"/>
          <w:szCs w:val="28"/>
          <w:rtl/>
        </w:rPr>
        <w:t xml:space="preserve"> .</w:t>
      </w:r>
    </w:p>
  </w:footnote>
  <w:footnote w:id="475">
    <w:p w:rsidR="00F72742" w:rsidRPr="00DC0143" w:rsidRDefault="00F72742" w:rsidP="00F72742">
      <w:pPr>
        <w:pStyle w:val="aa"/>
        <w:ind w:firstLine="565"/>
        <w:jc w:val="lowKashida"/>
        <w:rPr>
          <w:rFonts w:cs="Traditional Arabic"/>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 وفال فقرة 1138 ص 597</w:t>
      </w:r>
      <w:r>
        <w:rPr>
          <w:rFonts w:cs="Traditional Arabic" w:hint="cs"/>
          <w:color w:val="000000"/>
          <w:sz w:val="24"/>
          <w:szCs w:val="28"/>
          <w:rtl/>
        </w:rPr>
        <w:t xml:space="preserve"> .</w:t>
      </w:r>
    </w:p>
  </w:footnote>
  <w:footnote w:id="47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225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1139 </w:t>
      </w:r>
      <w:r w:rsidRPr="00DC0143">
        <w:rPr>
          <w:rFonts w:cs="Traditional Arabic"/>
          <w:color w:val="000000"/>
          <w:sz w:val="24"/>
          <w:szCs w:val="28"/>
          <w:rtl/>
        </w:rPr>
        <w:t>–</w:t>
      </w:r>
      <w:r w:rsidRPr="00DC0143">
        <w:rPr>
          <w:rFonts w:cs="Traditional Arabic" w:hint="cs"/>
          <w:color w:val="000000"/>
          <w:sz w:val="24"/>
          <w:szCs w:val="28"/>
          <w:rtl/>
        </w:rPr>
        <w:t xml:space="preserve"> وإذا كان الوفاء جزئياً وكان الدين مكفولا في جزء منه دون الجزء الآخر</w:t>
      </w:r>
      <w:r>
        <w:rPr>
          <w:rFonts w:cs="Traditional Arabic" w:hint="cs"/>
          <w:color w:val="000000"/>
          <w:sz w:val="24"/>
          <w:szCs w:val="28"/>
          <w:rtl/>
        </w:rPr>
        <w:t xml:space="preserve"> ،</w:t>
      </w:r>
      <w:r w:rsidRPr="00DC0143">
        <w:rPr>
          <w:rFonts w:cs="Traditional Arabic" w:hint="cs"/>
          <w:color w:val="000000"/>
          <w:sz w:val="24"/>
          <w:szCs w:val="28"/>
          <w:rtl/>
        </w:rPr>
        <w:t xml:space="preserve"> فإن جهة الدفع تنصرف إلى الجزء غير المكفول</w:t>
      </w:r>
      <w:r>
        <w:rPr>
          <w:rFonts w:cs="Traditional Arabic" w:hint="cs"/>
          <w:color w:val="000000"/>
          <w:sz w:val="24"/>
          <w:szCs w:val="28"/>
          <w:rtl/>
        </w:rPr>
        <w:t xml:space="preserve"> .</w:t>
      </w:r>
      <w:r w:rsidRPr="00DC0143">
        <w:rPr>
          <w:rFonts w:cs="Traditional Arabic" w:hint="cs"/>
          <w:color w:val="000000"/>
          <w:sz w:val="24"/>
          <w:szCs w:val="28"/>
          <w:rtl/>
        </w:rPr>
        <w:t xml:space="preserve"> ذلك أن الدائن ما كان ليقبل الوفاء الجزئي</w:t>
      </w:r>
      <w:r>
        <w:rPr>
          <w:rFonts w:cs="Traditional Arabic" w:hint="cs"/>
          <w:color w:val="000000"/>
          <w:sz w:val="24"/>
          <w:szCs w:val="28"/>
          <w:rtl/>
        </w:rPr>
        <w:t xml:space="preserve"> ،</w:t>
      </w:r>
      <w:r w:rsidRPr="00DC0143">
        <w:rPr>
          <w:rFonts w:cs="Traditional Arabic" w:hint="cs"/>
          <w:color w:val="000000"/>
          <w:sz w:val="24"/>
          <w:szCs w:val="28"/>
          <w:rtl/>
        </w:rPr>
        <w:t xml:space="preserve"> وهو يجبر عليه</w:t>
      </w:r>
      <w:r>
        <w:rPr>
          <w:rFonts w:cs="Traditional Arabic" w:hint="cs"/>
          <w:color w:val="000000"/>
          <w:sz w:val="24"/>
          <w:szCs w:val="28"/>
          <w:rtl/>
        </w:rPr>
        <w:t xml:space="preserve"> ،</w:t>
      </w:r>
      <w:r w:rsidRPr="00DC0143">
        <w:rPr>
          <w:rFonts w:cs="Traditional Arabic" w:hint="cs"/>
          <w:color w:val="000000"/>
          <w:sz w:val="24"/>
          <w:szCs w:val="28"/>
          <w:rtl/>
        </w:rPr>
        <w:t xml:space="preserve"> لو أن الوفاء وقع على الجزء المكفول</w:t>
      </w:r>
      <w:r>
        <w:rPr>
          <w:rFonts w:cs="Traditional Arabic" w:hint="cs"/>
          <w:color w:val="000000"/>
          <w:sz w:val="24"/>
          <w:szCs w:val="28"/>
          <w:rtl/>
        </w:rPr>
        <w:t xml:space="preserve"> .</w:t>
      </w:r>
      <w:r w:rsidRPr="00DC0143">
        <w:rPr>
          <w:rFonts w:cs="Traditional Arabic" w:hint="cs"/>
          <w:color w:val="000000"/>
          <w:sz w:val="24"/>
          <w:szCs w:val="28"/>
          <w:rtl/>
        </w:rPr>
        <w:t xml:space="preserve"> فهو إذا قبل هذا الوفاء الجزئي</w:t>
      </w:r>
      <w:r>
        <w:rPr>
          <w:rFonts w:cs="Traditional Arabic" w:hint="cs"/>
          <w:color w:val="000000"/>
          <w:sz w:val="24"/>
          <w:szCs w:val="28"/>
          <w:rtl/>
        </w:rPr>
        <w:t xml:space="preserve"> ،</w:t>
      </w:r>
      <w:r w:rsidRPr="00DC0143">
        <w:rPr>
          <w:rFonts w:cs="Traditional Arabic" w:hint="cs"/>
          <w:color w:val="000000"/>
          <w:sz w:val="24"/>
          <w:szCs w:val="28"/>
          <w:rtl/>
        </w:rPr>
        <w:t xml:space="preserve"> فلأنه يستوفي به الجزء غير المكفول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مستبقيا الجزء المكفول فهو موثق بالكافلة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21 نوفمبر سنة </w:t>
      </w:r>
      <w:smartTag w:uri="urn:schemas-microsoft-com:office:smarttags" w:element="metricconverter">
        <w:smartTagPr>
          <w:attr w:name="ProductID" w:val="1916 م"/>
        </w:smartTagPr>
        <w:r w:rsidRPr="00DC0143">
          <w:rPr>
            <w:rFonts w:cs="Traditional Arabic" w:hint="cs"/>
            <w:color w:val="000000"/>
            <w:sz w:val="24"/>
            <w:szCs w:val="28"/>
            <w:rtl/>
          </w:rPr>
          <w:t>1916 م</w:t>
        </w:r>
      </w:smartTag>
      <w:r w:rsidRPr="00DC0143">
        <w:rPr>
          <w:rFonts w:cs="Traditional Arabic" w:hint="cs"/>
          <w:color w:val="000000"/>
          <w:sz w:val="24"/>
          <w:szCs w:val="28"/>
          <w:rtl/>
        </w:rPr>
        <w:t xml:space="preserve"> 29 ص 57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1548</w:t>
      </w:r>
      <w:r>
        <w:rPr>
          <w:rFonts w:cs="Traditional Arabic" w:hint="cs"/>
          <w:color w:val="000000"/>
          <w:sz w:val="24"/>
          <w:szCs w:val="28"/>
          <w:rtl/>
        </w:rPr>
        <w:t xml:space="preserve"> ) .</w:t>
      </w:r>
      <w:r w:rsidRPr="00DC0143">
        <w:rPr>
          <w:rFonts w:cs="Traditional Arabic" w:hint="cs"/>
          <w:color w:val="000000"/>
          <w:sz w:val="24"/>
          <w:szCs w:val="28"/>
          <w:rtl/>
        </w:rPr>
        <w:t xml:space="preserve"> على أن هذا الحكم مقصور على ما إذا كان الدين مكفولا في جزء منه</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 هناك دينان مستقلان أحدهما عن الآخر</w:t>
      </w:r>
      <w:r>
        <w:rPr>
          <w:rFonts w:cs="Traditional Arabic" w:hint="cs"/>
          <w:color w:val="000000"/>
          <w:sz w:val="24"/>
          <w:szCs w:val="28"/>
          <w:rtl/>
        </w:rPr>
        <w:t xml:space="preserve"> ،</w:t>
      </w:r>
      <w:r w:rsidRPr="00DC0143">
        <w:rPr>
          <w:rFonts w:cs="Traditional Arabic" w:hint="cs"/>
          <w:color w:val="000000"/>
          <w:sz w:val="24"/>
          <w:szCs w:val="28"/>
          <w:rtl/>
        </w:rPr>
        <w:t xml:space="preserve"> وكان دين منهما مكفولا والآخر غير مكفول</w:t>
      </w:r>
      <w:r>
        <w:rPr>
          <w:rFonts w:cs="Traditional Arabic" w:hint="cs"/>
          <w:color w:val="000000"/>
          <w:sz w:val="24"/>
          <w:szCs w:val="28"/>
          <w:rtl/>
        </w:rPr>
        <w:t xml:space="preserve"> ،</w:t>
      </w:r>
      <w:r w:rsidRPr="00DC0143">
        <w:rPr>
          <w:rFonts w:cs="Traditional Arabic" w:hint="cs"/>
          <w:color w:val="000000"/>
          <w:sz w:val="24"/>
          <w:szCs w:val="28"/>
          <w:rtl/>
        </w:rPr>
        <w:t xml:space="preserve"> فجهة الدفع تنصرف إلى الدين المكفول لأن المدين كان يستطيع إجبار الدائن على استيفاء هذا الدين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24 ماس سنة </w:t>
      </w:r>
      <w:smartTag w:uri="urn:schemas-microsoft-com:office:smarttags" w:element="metricconverter">
        <w:smartTagPr>
          <w:attr w:name="ProductID" w:val="1926 م"/>
        </w:smartTagPr>
        <w:r w:rsidRPr="00DC0143">
          <w:rPr>
            <w:rFonts w:cs="Traditional Arabic" w:hint="cs"/>
            <w:color w:val="000000"/>
            <w:sz w:val="24"/>
            <w:szCs w:val="28"/>
            <w:rtl/>
          </w:rPr>
          <w:t>1926 م</w:t>
        </w:r>
      </w:smartTag>
      <w:r w:rsidRPr="00DC0143">
        <w:rPr>
          <w:rFonts w:cs="Traditional Arabic" w:hint="cs"/>
          <w:color w:val="000000"/>
          <w:sz w:val="24"/>
          <w:szCs w:val="28"/>
          <w:rtl/>
        </w:rPr>
        <w:t xml:space="preserve"> 38 ص 306 </w:t>
      </w:r>
      <w:r w:rsidRPr="00DC0143">
        <w:rPr>
          <w:rFonts w:cs="Traditional Arabic"/>
          <w:color w:val="000000"/>
          <w:sz w:val="24"/>
          <w:szCs w:val="28"/>
          <w:rtl/>
        </w:rPr>
        <w:t>–</w:t>
      </w:r>
      <w:r w:rsidRPr="00DC0143">
        <w:rPr>
          <w:rFonts w:cs="Traditional Arabic" w:hint="cs"/>
          <w:color w:val="000000"/>
          <w:sz w:val="24"/>
          <w:szCs w:val="28"/>
          <w:rtl/>
        </w:rPr>
        <w:t xml:space="preserve"> وانظر في أن الدين المكفول أو المضمون بحق اختصاص هو أشد كلفة فتنصرف إليه جهة الدفع</w:t>
      </w:r>
      <w:r>
        <w:rPr>
          <w:rFonts w:cs="Traditional Arabic" w:hint="cs"/>
          <w:color w:val="000000"/>
          <w:sz w:val="24"/>
          <w:szCs w:val="28"/>
          <w:rtl/>
        </w:rPr>
        <w:t xml:space="preserve"> :</w:t>
      </w:r>
      <w:r w:rsidRPr="00DC0143">
        <w:rPr>
          <w:rFonts w:cs="Traditional Arabic" w:hint="cs"/>
          <w:color w:val="000000"/>
          <w:sz w:val="24"/>
          <w:szCs w:val="28"/>
          <w:rtl/>
        </w:rPr>
        <w:t xml:space="preserve"> استئناف وطني 28 يناير سنة 1897 القضاء 4 ص 249 </w:t>
      </w:r>
      <w:r w:rsidRPr="00DC0143">
        <w:rPr>
          <w:rFonts w:cs="Traditional Arabic"/>
          <w:color w:val="000000"/>
          <w:sz w:val="24"/>
          <w:szCs w:val="28"/>
          <w:rtl/>
        </w:rPr>
        <w:t>–</w:t>
      </w:r>
      <w:r w:rsidRPr="00DC0143">
        <w:rPr>
          <w:rFonts w:cs="Traditional Arabic" w:hint="cs"/>
          <w:color w:val="000000"/>
          <w:sz w:val="24"/>
          <w:szCs w:val="28"/>
          <w:rtl/>
        </w:rPr>
        <w:t xml:space="preserve"> 13 ماس سنة 1914 المجموعة الرسمية 15 رقم 106 ص 202</w:t>
      </w:r>
      <w:r>
        <w:rPr>
          <w:rFonts w:cs="Traditional Arabic" w:hint="cs"/>
          <w:color w:val="000000"/>
          <w:sz w:val="24"/>
          <w:szCs w:val="28"/>
          <w:rtl/>
        </w:rPr>
        <w:t xml:space="preserve"> ) .</w:t>
      </w:r>
      <w:r w:rsidRPr="00DC0143">
        <w:rPr>
          <w:rFonts w:cs="Traditional Arabic" w:hint="cs"/>
          <w:color w:val="000000"/>
          <w:sz w:val="24"/>
          <w:szCs w:val="28"/>
          <w:rtl/>
        </w:rPr>
        <w:t xml:space="preserve"> وانظر في كل ذلك أوبري ورو 6 فقرة 429 ص 295 وهامش 1 مكرر </w:t>
      </w:r>
      <w:r w:rsidRPr="00DC0143">
        <w:rPr>
          <w:rFonts w:cs="Traditional Arabic"/>
          <w:color w:val="000000"/>
          <w:sz w:val="24"/>
          <w:szCs w:val="28"/>
          <w:rtl/>
        </w:rPr>
        <w:t>–</w:t>
      </w:r>
      <w:r w:rsidRPr="00DC0143">
        <w:rPr>
          <w:rFonts w:cs="Traditional Arabic" w:hint="cs"/>
          <w:color w:val="000000"/>
          <w:sz w:val="24"/>
          <w:szCs w:val="28"/>
          <w:rtl/>
        </w:rPr>
        <w:t xml:space="preserve"> الوسيط 3 فقرة 454 ص 770 هامش 1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فقرة 122 ص 173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وان جهة الدفع تنصرف إلى الجزء المكفول عبد الفتاح عبد الباقي فقرة 135 ص 203 </w:t>
      </w:r>
      <w:r w:rsidRPr="00DC0143">
        <w:rPr>
          <w:rFonts w:cs="Traditional Arabic"/>
          <w:color w:val="000000"/>
          <w:sz w:val="24"/>
          <w:szCs w:val="28"/>
          <w:rtl/>
        </w:rPr>
        <w:t>–</w:t>
      </w:r>
      <w:r w:rsidRPr="00DC0143">
        <w:rPr>
          <w:rFonts w:cs="Traditional Arabic" w:hint="cs"/>
          <w:color w:val="000000"/>
          <w:sz w:val="24"/>
          <w:szCs w:val="28"/>
          <w:rtl/>
        </w:rPr>
        <w:t xml:space="preserve"> ص 204</w:t>
      </w:r>
      <w:r>
        <w:rPr>
          <w:rFonts w:cs="Traditional Arabic" w:hint="cs"/>
          <w:color w:val="000000"/>
          <w:sz w:val="24"/>
          <w:szCs w:val="28"/>
          <w:rtl/>
        </w:rPr>
        <w:t xml:space="preserve"> .</w:t>
      </w:r>
    </w:p>
  </w:footnote>
  <w:footnote w:id="47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1140</w:t>
      </w:r>
      <w:r>
        <w:rPr>
          <w:rFonts w:cs="Traditional Arabic" w:hint="cs"/>
          <w:color w:val="000000"/>
          <w:sz w:val="24"/>
          <w:szCs w:val="28"/>
          <w:rtl/>
        </w:rPr>
        <w:t xml:space="preserve"> .</w:t>
      </w:r>
    </w:p>
  </w:footnote>
  <w:footnote w:id="47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135 ص 152</w:t>
      </w:r>
      <w:r>
        <w:rPr>
          <w:rFonts w:cs="Traditional Arabic" w:hint="cs"/>
          <w:color w:val="000000"/>
          <w:sz w:val="24"/>
          <w:szCs w:val="28"/>
          <w:rtl/>
        </w:rPr>
        <w:t xml:space="preserve"> .</w:t>
      </w:r>
    </w:p>
  </w:footnote>
  <w:footnote w:id="47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لوران 28 فقرة 281 </w:t>
      </w:r>
      <w:r w:rsidRPr="00DC0143">
        <w:rPr>
          <w:rFonts w:cs="Traditional Arabic"/>
          <w:color w:val="000000"/>
          <w:sz w:val="24"/>
          <w:szCs w:val="28"/>
          <w:rtl/>
        </w:rPr>
        <w:t>–</w:t>
      </w:r>
      <w:r w:rsidRPr="00DC0143">
        <w:rPr>
          <w:rFonts w:cs="Traditional Arabic" w:hint="cs"/>
          <w:color w:val="000000"/>
          <w:sz w:val="24"/>
          <w:szCs w:val="28"/>
          <w:rtl/>
        </w:rPr>
        <w:t xml:space="preserve"> جيوار فقرة 258 </w:t>
      </w:r>
      <w:r w:rsidRPr="00DC0143">
        <w:rPr>
          <w:rFonts w:cs="Traditional Arabic"/>
          <w:color w:val="000000"/>
          <w:sz w:val="24"/>
          <w:szCs w:val="28"/>
          <w:rtl/>
        </w:rPr>
        <w:t>–</w:t>
      </w:r>
      <w:r w:rsidRPr="00DC0143">
        <w:rPr>
          <w:rFonts w:cs="Traditional Arabic" w:hint="cs"/>
          <w:color w:val="000000"/>
          <w:sz w:val="24"/>
          <w:szCs w:val="28"/>
          <w:rtl/>
        </w:rPr>
        <w:t xml:space="preserve"> أوبر ورو 6 فقرة 429 ص 296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1141</w:t>
      </w:r>
      <w:r>
        <w:rPr>
          <w:rFonts w:cs="Traditional Arabic" w:hint="cs"/>
          <w:color w:val="000000"/>
          <w:sz w:val="24"/>
          <w:szCs w:val="28"/>
          <w:rtl/>
        </w:rPr>
        <w:t xml:space="preserve"> .</w:t>
      </w:r>
    </w:p>
  </w:footnote>
  <w:footnote w:id="48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225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1139</w:t>
      </w:r>
      <w:r>
        <w:rPr>
          <w:rFonts w:cs="Traditional Arabic" w:hint="cs"/>
          <w:color w:val="000000"/>
          <w:sz w:val="24"/>
          <w:szCs w:val="28"/>
          <w:rtl/>
        </w:rPr>
        <w:t xml:space="preserve"> .</w:t>
      </w:r>
    </w:p>
  </w:footnote>
  <w:footnote w:id="48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1143</w:t>
      </w:r>
      <w:r>
        <w:rPr>
          <w:rFonts w:cs="Traditional Arabic" w:hint="cs"/>
          <w:color w:val="000000"/>
          <w:sz w:val="24"/>
          <w:szCs w:val="28"/>
          <w:rtl/>
        </w:rPr>
        <w:t xml:space="preserve"> .</w:t>
      </w:r>
    </w:p>
  </w:footnote>
  <w:footnote w:id="48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المادة1160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 تحت رقم 852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الشؤون التشريعية لمجلس النواب عدل النص بإضافة عبارة "من المدين" بعد عبارة "إذا قبل الدائن أن يستوفي"</w:t>
      </w:r>
      <w:r>
        <w:rPr>
          <w:rFonts w:cs="Traditional Arabic" w:hint="cs"/>
          <w:color w:val="000000"/>
          <w:sz w:val="24"/>
          <w:szCs w:val="28"/>
          <w:rtl/>
        </w:rPr>
        <w:t xml:space="preserve"> ،</w:t>
      </w:r>
      <w:r w:rsidRPr="00DC0143">
        <w:rPr>
          <w:rFonts w:cs="Traditional Arabic" w:hint="cs"/>
          <w:color w:val="000000"/>
          <w:sz w:val="24"/>
          <w:szCs w:val="28"/>
          <w:rtl/>
        </w:rPr>
        <w:t xml:space="preserve"> وذلك حتى يتحدد المقصود من النص بوضوح تام</w:t>
      </w:r>
      <w:r>
        <w:rPr>
          <w:rFonts w:cs="Traditional Arabic" w:hint="cs"/>
          <w:color w:val="000000"/>
          <w:sz w:val="24"/>
          <w:szCs w:val="28"/>
          <w:rtl/>
        </w:rPr>
        <w:t xml:space="preserve"> ،</w:t>
      </w:r>
      <w:r w:rsidRPr="00DC0143">
        <w:rPr>
          <w:rFonts w:cs="Traditional Arabic" w:hint="cs"/>
          <w:color w:val="000000"/>
          <w:sz w:val="24"/>
          <w:szCs w:val="28"/>
          <w:rtl/>
        </w:rPr>
        <w:t xml:space="preserve"> إذ المقصود ألا ينصرف النص إلا إلى حالة ما استوفى الدائن مقابل الدين من المدين لا من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أما إذا استوفى المقابل من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فإن هذا الأخير يكون ضامنا لاستحقاق الشيء </w:t>
      </w:r>
      <w:r>
        <w:rPr>
          <w:rFonts w:cs="Traditional Arabic" w:hint="cs"/>
          <w:color w:val="000000"/>
          <w:sz w:val="24"/>
          <w:szCs w:val="28"/>
          <w:rtl/>
        </w:rPr>
        <w:t xml:space="preserve"> ،</w:t>
      </w:r>
      <w:r w:rsidRPr="00DC0143">
        <w:rPr>
          <w:rFonts w:cs="Traditional Arabic" w:hint="cs"/>
          <w:color w:val="000000"/>
          <w:sz w:val="24"/>
          <w:szCs w:val="28"/>
          <w:rtl/>
        </w:rPr>
        <w:t xml:space="preserve"> ولا تبرأ ذمته طبقا للقواعد العامة"</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تحت رقم 850</w:t>
      </w:r>
      <w:r>
        <w:rPr>
          <w:rFonts w:cs="Traditional Arabic" w:hint="cs"/>
          <w:color w:val="000000"/>
          <w:sz w:val="24"/>
          <w:szCs w:val="28"/>
          <w:rtl/>
        </w:rPr>
        <w:t xml:space="preserve"> ،</w:t>
      </w:r>
      <w:r w:rsidRPr="00DC0143">
        <w:rPr>
          <w:rFonts w:cs="Traditional Arabic" w:hint="cs"/>
          <w:color w:val="000000"/>
          <w:sz w:val="24"/>
          <w:szCs w:val="28"/>
          <w:rtl/>
        </w:rPr>
        <w:t xml:space="preserve"> كما عدلته لجنته</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مجلس الشيوخ أعيد النص إلى أصله "حتى يشمل المدين وأي شخص آخر"</w:t>
      </w:r>
      <w:r>
        <w:rPr>
          <w:rFonts w:cs="Traditional Arabic" w:hint="cs"/>
          <w:color w:val="000000"/>
          <w:sz w:val="24"/>
          <w:szCs w:val="28"/>
          <w:rtl/>
        </w:rPr>
        <w:t xml:space="preserve"> ،</w:t>
      </w:r>
      <w:r w:rsidRPr="00DC0143">
        <w:rPr>
          <w:rFonts w:cs="Traditional Arabic" w:hint="cs"/>
          <w:color w:val="000000"/>
          <w:sz w:val="24"/>
          <w:szCs w:val="28"/>
          <w:rtl/>
        </w:rPr>
        <w:t xml:space="preserve"> وجاء في تقرير اللجنة</w:t>
      </w:r>
      <w:r>
        <w:rPr>
          <w:rFonts w:cs="Traditional Arabic" w:hint="cs"/>
          <w:color w:val="000000"/>
          <w:sz w:val="24"/>
          <w:szCs w:val="28"/>
          <w:rtl/>
        </w:rPr>
        <w:t xml:space="preserve"> :</w:t>
      </w:r>
      <w:r w:rsidRPr="00DC0143">
        <w:rPr>
          <w:rFonts w:cs="Traditional Arabic" w:hint="cs"/>
          <w:color w:val="000000"/>
          <w:sz w:val="24"/>
          <w:szCs w:val="28"/>
          <w:rtl/>
        </w:rPr>
        <w:t xml:space="preserve"> "ولم تر اللجنة محلا لأن تخصص الوفاء بوجوب حصوله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لأن الوفاء قد يقع من الدين أو غيره</w:t>
      </w:r>
      <w:r>
        <w:rPr>
          <w:rFonts w:cs="Traditional Arabic" w:hint="cs"/>
          <w:color w:val="000000"/>
          <w:sz w:val="24"/>
          <w:szCs w:val="28"/>
          <w:rtl/>
        </w:rPr>
        <w:t xml:space="preserve"> ،</w:t>
      </w:r>
      <w:r w:rsidRPr="00DC0143">
        <w:rPr>
          <w:rFonts w:cs="Traditional Arabic" w:hint="cs"/>
          <w:color w:val="000000"/>
          <w:sz w:val="24"/>
          <w:szCs w:val="28"/>
          <w:rtl/>
        </w:rPr>
        <w:t xml:space="preserve"> فليس ثمة وجه لتخصيص يخل بهذا المبدأ"</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783</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النص كما عدلته لجنته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5 ص 469 </w:t>
      </w:r>
      <w:r w:rsidRPr="00DC0143">
        <w:rPr>
          <w:rFonts w:cs="Traditional Arabic"/>
          <w:color w:val="000000"/>
          <w:sz w:val="24"/>
          <w:szCs w:val="28"/>
          <w:rtl/>
        </w:rPr>
        <w:t>–</w:t>
      </w:r>
      <w:r w:rsidRPr="00DC0143">
        <w:rPr>
          <w:rFonts w:cs="Traditional Arabic" w:hint="cs"/>
          <w:color w:val="000000"/>
          <w:sz w:val="24"/>
          <w:szCs w:val="28"/>
          <w:rtl/>
        </w:rPr>
        <w:t xml:space="preserve"> ص 472</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ويقابل النص في التقنين المدني السابق م 511/624</w:t>
      </w:r>
      <w:r>
        <w:rPr>
          <w:rFonts w:cs="Traditional Arabic" w:hint="cs"/>
          <w:color w:val="000000"/>
          <w:sz w:val="24"/>
          <w:szCs w:val="28"/>
          <w:rtl/>
        </w:rPr>
        <w:t xml:space="preserve"> :</w:t>
      </w:r>
      <w:r w:rsidRPr="00DC0143">
        <w:rPr>
          <w:rFonts w:cs="Traditional Arabic" w:hint="cs"/>
          <w:color w:val="000000"/>
          <w:sz w:val="24"/>
          <w:szCs w:val="28"/>
          <w:rtl/>
        </w:rPr>
        <w:t xml:space="preserve"> تبرأ ذمة المدين بقبول الدائن شيئاً بصفة وفاء للدين</w:t>
      </w:r>
      <w:r>
        <w:rPr>
          <w:rFonts w:cs="Traditional Arabic" w:hint="cs"/>
          <w:color w:val="000000"/>
          <w:sz w:val="24"/>
          <w:szCs w:val="28"/>
          <w:rtl/>
        </w:rPr>
        <w:t xml:space="preserve"> ،</w:t>
      </w:r>
      <w:r w:rsidRPr="00DC0143">
        <w:rPr>
          <w:rFonts w:cs="Traditional Arabic" w:hint="cs"/>
          <w:color w:val="000000"/>
          <w:sz w:val="24"/>
          <w:szCs w:val="28"/>
          <w:rtl/>
        </w:rPr>
        <w:t xml:space="preserve"> ولو حصلت دعوى من الغير باستحقاق ذلك الشيء</w:t>
      </w:r>
      <w:r>
        <w:rPr>
          <w:rFonts w:cs="Traditional Arabic" w:hint="cs"/>
          <w:color w:val="000000"/>
          <w:sz w:val="24"/>
          <w:szCs w:val="28"/>
          <w:rtl/>
        </w:rPr>
        <w:t xml:space="preserve"> .</w:t>
      </w:r>
      <w:r w:rsidRPr="00DC0143">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ويقابل النص في 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749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الليبي</w:t>
      </w:r>
      <w:r w:rsidRPr="00DC0143">
        <w:rPr>
          <w:rFonts w:cs="Traditional Arabic" w:hint="cs"/>
          <w:color w:val="000000"/>
          <w:sz w:val="24"/>
          <w:szCs w:val="28"/>
          <w:rtl/>
        </w:rPr>
        <w:t xml:space="preserve"> م 792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1029</w:t>
      </w:r>
      <w:r>
        <w:rPr>
          <w:rFonts w:cs="Traditional Arabic" w:hint="cs"/>
          <w:color w:val="000000"/>
          <w:sz w:val="24"/>
          <w:szCs w:val="28"/>
          <w:rtl/>
        </w:rPr>
        <w:t xml:space="preserve"> :</w:t>
      </w:r>
      <w:r w:rsidRPr="00DC0143">
        <w:rPr>
          <w:rFonts w:cs="Traditional Arabic" w:hint="cs"/>
          <w:color w:val="000000"/>
          <w:sz w:val="24"/>
          <w:szCs w:val="28"/>
          <w:rtl/>
        </w:rPr>
        <w:t xml:space="preserve"> إذا قيل الدائن أن يستوفي من المدين في مقابل الدين شيئا آخر</w:t>
      </w:r>
      <w:r>
        <w:rPr>
          <w:rFonts w:cs="Traditional Arabic" w:hint="cs"/>
          <w:color w:val="000000"/>
          <w:sz w:val="24"/>
          <w:szCs w:val="28"/>
          <w:rtl/>
        </w:rPr>
        <w:t xml:space="preserve"> ،</w:t>
      </w:r>
      <w:r w:rsidRPr="00DC0143">
        <w:rPr>
          <w:rFonts w:cs="Traditional Arabic" w:hint="cs"/>
          <w:color w:val="000000"/>
          <w:sz w:val="24"/>
          <w:szCs w:val="28"/>
          <w:rtl/>
        </w:rPr>
        <w:t xml:space="preserve"> برئت ذمة الكفيل حتى لو استحق هذا الشيء</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كان الدائن قد احتفظ بالحق في الرجوع على الكفيل في هذه الحالة</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قانون الموجبات والعقود اللبناني</w:t>
      </w:r>
      <w:r w:rsidRPr="00DC0143">
        <w:rPr>
          <w:rFonts w:cs="Traditional Arabic" w:hint="cs"/>
          <w:color w:val="000000"/>
          <w:sz w:val="24"/>
          <w:szCs w:val="28"/>
          <w:rtl/>
        </w:rPr>
        <w:t xml:space="preserve"> م 1096</w:t>
      </w:r>
      <w:r>
        <w:rPr>
          <w:rFonts w:cs="Traditional Arabic" w:hint="cs"/>
          <w:color w:val="000000"/>
          <w:sz w:val="24"/>
          <w:szCs w:val="28"/>
          <w:rtl/>
        </w:rPr>
        <w:t xml:space="preserve"> :</w:t>
      </w:r>
      <w:r w:rsidRPr="00DC0143">
        <w:rPr>
          <w:rFonts w:cs="Traditional Arabic" w:hint="cs"/>
          <w:color w:val="000000"/>
          <w:sz w:val="24"/>
          <w:szCs w:val="28"/>
          <w:rtl/>
        </w:rPr>
        <w:t xml:space="preserve"> عندما يقبل الدائن مختاراً شيئاً غير الشيء الواجب إيفاء لدينه</w:t>
      </w:r>
      <w:r>
        <w:rPr>
          <w:rFonts w:cs="Traditional Arabic" w:hint="cs"/>
          <w:color w:val="000000"/>
          <w:sz w:val="24"/>
          <w:szCs w:val="28"/>
          <w:rtl/>
        </w:rPr>
        <w:t xml:space="preserve"> ،</w:t>
      </w:r>
      <w:r w:rsidRPr="00DC0143">
        <w:rPr>
          <w:rFonts w:cs="Traditional Arabic" w:hint="cs"/>
          <w:color w:val="000000"/>
          <w:sz w:val="24"/>
          <w:szCs w:val="28"/>
          <w:rtl/>
        </w:rPr>
        <w:t xml:space="preserve"> فإن الكفيل وإن كان متضامنا مع المديون تبرأ ذمته</w:t>
      </w:r>
      <w:r>
        <w:rPr>
          <w:rFonts w:cs="Traditional Arabic" w:hint="cs"/>
          <w:color w:val="000000"/>
          <w:sz w:val="24"/>
          <w:szCs w:val="28"/>
          <w:rtl/>
        </w:rPr>
        <w:t xml:space="preserve"> ،</w:t>
      </w:r>
      <w:r w:rsidRPr="00DC0143">
        <w:rPr>
          <w:rFonts w:cs="Traditional Arabic" w:hint="cs"/>
          <w:color w:val="000000"/>
          <w:sz w:val="24"/>
          <w:szCs w:val="28"/>
          <w:rtl/>
        </w:rPr>
        <w:t xml:space="preserve"> ولو نزع ذلك الشيء عن الدائن بدعوى الاستحقاق أورده الدائن بسبب عيوبه الخفية</w:t>
      </w:r>
      <w:r>
        <w:rPr>
          <w:rFonts w:cs="Traditional Arabic" w:hint="cs"/>
          <w:color w:val="000000"/>
          <w:sz w:val="24"/>
          <w:szCs w:val="28"/>
          <w:rtl/>
        </w:rPr>
        <w:t xml:space="preserve"> .</w:t>
      </w:r>
    </w:p>
  </w:footnote>
  <w:footnote w:id="48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ولكن لا يعتبر وفاء بمقابل أن يكون الدائن مجبرا على قبول شيء آخر في مقابل الدين</w:t>
      </w:r>
      <w:r>
        <w:rPr>
          <w:rFonts w:cs="Traditional Arabic" w:hint="cs"/>
          <w:color w:val="000000"/>
          <w:sz w:val="24"/>
          <w:szCs w:val="28"/>
          <w:rtl/>
        </w:rPr>
        <w:t xml:space="preserve"> ،</w:t>
      </w:r>
      <w:r w:rsidRPr="00DC0143">
        <w:rPr>
          <w:rFonts w:cs="Traditional Arabic" w:hint="cs"/>
          <w:color w:val="000000"/>
          <w:sz w:val="24"/>
          <w:szCs w:val="28"/>
          <w:rtl/>
        </w:rPr>
        <w:t xml:space="preserve"> فإن شرط الوفاء بمقابل أن يكون الدائن قد قبل مختاراً هذا الوفاء</w:t>
      </w:r>
      <w:r>
        <w:rPr>
          <w:rFonts w:cs="Traditional Arabic" w:hint="cs"/>
          <w:color w:val="000000"/>
          <w:sz w:val="24"/>
          <w:szCs w:val="28"/>
          <w:rtl/>
        </w:rPr>
        <w:t xml:space="preserve"> .</w:t>
      </w:r>
      <w:r w:rsidRPr="00DC0143">
        <w:rPr>
          <w:rFonts w:cs="Traditional Arabic" w:hint="cs"/>
          <w:color w:val="000000"/>
          <w:sz w:val="24"/>
          <w:szCs w:val="28"/>
          <w:rtl/>
        </w:rPr>
        <w:t xml:space="preserve"> فإذا نفذ الدائن على عقار للمدين وباع هذا العقار بالمزاد</w:t>
      </w:r>
      <w:r>
        <w:rPr>
          <w:rFonts w:cs="Traditional Arabic" w:hint="cs"/>
          <w:color w:val="000000"/>
          <w:sz w:val="24"/>
          <w:szCs w:val="28"/>
          <w:rtl/>
        </w:rPr>
        <w:t xml:space="preserve"> ،</w:t>
      </w:r>
      <w:r w:rsidRPr="00DC0143">
        <w:rPr>
          <w:rFonts w:cs="Traditional Arabic" w:hint="cs"/>
          <w:color w:val="000000"/>
          <w:sz w:val="24"/>
          <w:szCs w:val="28"/>
          <w:rtl/>
        </w:rPr>
        <w:t xml:space="preserve"> فرسا عليه المزاد فأخذ العقار تنفيذاً للدين</w:t>
      </w:r>
      <w:r>
        <w:rPr>
          <w:rFonts w:cs="Traditional Arabic" w:hint="cs"/>
          <w:color w:val="000000"/>
          <w:sz w:val="24"/>
          <w:szCs w:val="28"/>
          <w:rtl/>
        </w:rPr>
        <w:t xml:space="preserve"> ،</w:t>
      </w:r>
      <w:r w:rsidRPr="00DC0143">
        <w:rPr>
          <w:rFonts w:cs="Traditional Arabic" w:hint="cs"/>
          <w:color w:val="000000"/>
          <w:sz w:val="24"/>
          <w:szCs w:val="28"/>
          <w:rtl/>
        </w:rPr>
        <w:t xml:space="preserve"> لم يكن هذا وفاء بمقابل بل يكون وفاء</w:t>
      </w:r>
      <w:r>
        <w:rPr>
          <w:rFonts w:cs="Traditional Arabic" w:hint="cs"/>
          <w:color w:val="000000"/>
          <w:sz w:val="24"/>
          <w:szCs w:val="28"/>
          <w:rtl/>
        </w:rPr>
        <w:t xml:space="preserve"> .</w:t>
      </w:r>
      <w:r w:rsidRPr="00DC0143">
        <w:rPr>
          <w:rFonts w:cs="Traditional Arabic" w:hint="cs"/>
          <w:color w:val="000000"/>
          <w:sz w:val="24"/>
          <w:szCs w:val="28"/>
          <w:rtl/>
        </w:rPr>
        <w:t xml:space="preserve"> وعلى ذلك إذا استحق هذا العقا</w:t>
      </w:r>
      <w:r>
        <w:rPr>
          <w:rFonts w:cs="Traditional Arabic" w:hint="cs"/>
          <w:color w:val="000000"/>
          <w:sz w:val="24"/>
          <w:szCs w:val="28"/>
          <w:rtl/>
        </w:rPr>
        <w:t xml:space="preserve"> ،</w:t>
      </w:r>
      <w:r w:rsidRPr="00DC0143">
        <w:rPr>
          <w:rFonts w:cs="Traditional Arabic" w:hint="cs"/>
          <w:color w:val="000000"/>
          <w:sz w:val="24"/>
          <w:szCs w:val="28"/>
          <w:rtl/>
        </w:rPr>
        <w:t xml:space="preserve"> عاد التزام الكفيل لأن ذمته لم تبرأ نهائياً كما في الوفاء بمقابل </w:t>
      </w:r>
      <w:r>
        <w:rPr>
          <w:rFonts w:cs="Traditional Arabic" w:hint="cs"/>
          <w:color w:val="000000"/>
          <w:sz w:val="24"/>
          <w:szCs w:val="28"/>
          <w:rtl/>
        </w:rPr>
        <w:t xml:space="preserve">( </w:t>
      </w:r>
      <w:r w:rsidRPr="00DC0143">
        <w:rPr>
          <w:rFonts w:cs="Traditional Arabic" w:hint="cs"/>
          <w:color w:val="000000"/>
          <w:sz w:val="24"/>
          <w:szCs w:val="28"/>
          <w:rtl/>
        </w:rPr>
        <w:t>بودري وفال فقرة 1149</w:t>
      </w:r>
      <w:r>
        <w:rPr>
          <w:rFonts w:cs="Traditional Arabic" w:hint="cs"/>
          <w:color w:val="000000"/>
          <w:sz w:val="24"/>
          <w:szCs w:val="28"/>
          <w:rtl/>
        </w:rPr>
        <w:t xml:space="preserve"> ) .</w:t>
      </w:r>
    </w:p>
  </w:footnote>
  <w:footnote w:id="48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فيرجع</w:t>
      </w:r>
      <w:r>
        <w:rPr>
          <w:rFonts w:cs="Traditional Arabic" w:hint="cs"/>
          <w:color w:val="000000"/>
          <w:sz w:val="24"/>
          <w:szCs w:val="28"/>
          <w:rtl/>
        </w:rPr>
        <w:t xml:space="preserve"> ،</w:t>
      </w:r>
      <w:r w:rsidRPr="00DC0143">
        <w:rPr>
          <w:rFonts w:cs="Traditional Arabic" w:hint="cs"/>
          <w:color w:val="000000"/>
          <w:sz w:val="24"/>
          <w:szCs w:val="28"/>
          <w:rtl/>
        </w:rPr>
        <w:t xml:space="preserve"> طبقاً لأحكام هذا الضمان</w:t>
      </w:r>
      <w:r>
        <w:rPr>
          <w:rFonts w:cs="Traditional Arabic" w:hint="cs"/>
          <w:color w:val="000000"/>
          <w:sz w:val="24"/>
          <w:szCs w:val="28"/>
          <w:rtl/>
        </w:rPr>
        <w:t xml:space="preserve"> ،</w:t>
      </w:r>
      <w:r w:rsidRPr="00DC0143">
        <w:rPr>
          <w:rFonts w:cs="Traditional Arabic" w:hint="cs"/>
          <w:color w:val="000000"/>
          <w:sz w:val="24"/>
          <w:szCs w:val="28"/>
          <w:rtl/>
        </w:rPr>
        <w:t xml:space="preserve"> بما يأتي</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قيمة المقابل وقت الاستحقاق مع الفوائد القانونية من ذلك القوت</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2</w:t>
      </w:r>
      <w:r>
        <w:rPr>
          <w:rFonts w:cs="Traditional Arabic" w:hint="cs"/>
          <w:color w:val="000000"/>
          <w:sz w:val="24"/>
          <w:szCs w:val="28"/>
          <w:rtl/>
        </w:rPr>
        <w:t xml:space="preserve"> )</w:t>
      </w:r>
      <w:r w:rsidRPr="00DC0143">
        <w:rPr>
          <w:rFonts w:cs="Traditional Arabic" w:hint="cs"/>
          <w:color w:val="000000"/>
          <w:sz w:val="24"/>
          <w:szCs w:val="28"/>
          <w:rtl/>
        </w:rPr>
        <w:t xml:space="preserve"> وفي الثمار التي ألزم الدائن بردها لمن استحق المقابل</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3</w:t>
      </w:r>
      <w:r>
        <w:rPr>
          <w:rFonts w:cs="Traditional Arabic" w:hint="cs"/>
          <w:color w:val="000000"/>
          <w:sz w:val="24"/>
          <w:szCs w:val="28"/>
          <w:rtl/>
        </w:rPr>
        <w:t xml:space="preserve"> )</w:t>
      </w:r>
      <w:r w:rsidRPr="00DC0143">
        <w:rPr>
          <w:rFonts w:cs="Traditional Arabic" w:hint="cs"/>
          <w:color w:val="000000"/>
          <w:sz w:val="24"/>
          <w:szCs w:val="28"/>
          <w:rtl/>
        </w:rPr>
        <w:t xml:space="preserve"> والمصروفات النافعة التي لا يستطيع الدائن أن يلزم بها المستحق</w:t>
      </w:r>
      <w:r>
        <w:rPr>
          <w:rFonts w:cs="Traditional Arabic" w:hint="cs"/>
          <w:color w:val="000000"/>
          <w:sz w:val="24"/>
          <w:szCs w:val="28"/>
          <w:rtl/>
        </w:rPr>
        <w:t xml:space="preserve"> ،</w:t>
      </w:r>
      <w:r w:rsidRPr="00DC0143">
        <w:rPr>
          <w:rFonts w:cs="Traditional Arabic" w:hint="cs"/>
          <w:color w:val="000000"/>
          <w:sz w:val="24"/>
          <w:szCs w:val="28"/>
          <w:rtl/>
        </w:rPr>
        <w:t xml:space="preserve"> وكذلك المصروفات الكمالية إذا كان المدين سيء النية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4</w:t>
      </w:r>
      <w:r>
        <w:rPr>
          <w:rFonts w:cs="Traditional Arabic" w:hint="cs"/>
          <w:color w:val="000000"/>
          <w:sz w:val="24"/>
          <w:szCs w:val="28"/>
          <w:rtl/>
        </w:rPr>
        <w:t xml:space="preserve"> )</w:t>
      </w:r>
      <w:r w:rsidRPr="00DC0143">
        <w:rPr>
          <w:rFonts w:cs="Traditional Arabic" w:hint="cs"/>
          <w:color w:val="000000"/>
          <w:sz w:val="24"/>
          <w:szCs w:val="28"/>
          <w:rtl/>
        </w:rPr>
        <w:t xml:space="preserve"> وجميع مصروفات دعوى الضمان ودعوى الاستحقاق</w:t>
      </w:r>
      <w:r>
        <w:rPr>
          <w:rFonts w:cs="Traditional Arabic" w:hint="cs"/>
          <w:color w:val="000000"/>
          <w:sz w:val="24"/>
          <w:szCs w:val="28"/>
          <w:rtl/>
        </w:rPr>
        <w:t xml:space="preserve"> ،</w:t>
      </w:r>
      <w:r w:rsidRPr="00DC0143">
        <w:rPr>
          <w:rFonts w:cs="Traditional Arabic" w:hint="cs"/>
          <w:color w:val="000000"/>
          <w:sz w:val="24"/>
          <w:szCs w:val="28"/>
          <w:rtl/>
        </w:rPr>
        <w:t xml:space="preserve"> ماداما كان الدائن يستطيع أن يتقيه منها لو أخطر المدين بالدعوى</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5</w:t>
      </w:r>
      <w:r>
        <w:rPr>
          <w:rFonts w:cs="Traditional Arabic" w:hint="cs"/>
          <w:color w:val="000000"/>
          <w:sz w:val="24"/>
          <w:szCs w:val="28"/>
          <w:rtl/>
        </w:rPr>
        <w:t xml:space="preserve"> )</w:t>
      </w:r>
      <w:r w:rsidRPr="00DC0143">
        <w:rPr>
          <w:rFonts w:cs="Traditional Arabic" w:hint="cs"/>
          <w:color w:val="000000"/>
          <w:sz w:val="24"/>
          <w:szCs w:val="28"/>
          <w:rtl/>
        </w:rPr>
        <w:t xml:space="preserve"> وبوجه عام التعويض عما لحقه من خسارة أو فاته من كسب بسبب استحقاق المقابل</w:t>
      </w:r>
      <w:r>
        <w:rPr>
          <w:rFonts w:cs="Traditional Arabic" w:hint="cs"/>
          <w:color w:val="000000"/>
          <w:sz w:val="24"/>
          <w:szCs w:val="28"/>
          <w:rtl/>
        </w:rPr>
        <w:t xml:space="preserve"> .</w:t>
      </w:r>
    </w:p>
  </w:footnote>
  <w:footnote w:id="48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1148 مكررة ص 602 أوبري ورو فقرة 429 ص 295 </w:t>
      </w:r>
      <w:r w:rsidRPr="00DC0143">
        <w:rPr>
          <w:rFonts w:cs="Traditional Arabic"/>
          <w:color w:val="000000"/>
          <w:sz w:val="24"/>
          <w:szCs w:val="28"/>
          <w:rtl/>
        </w:rPr>
        <w:t>–</w:t>
      </w:r>
      <w:r w:rsidRPr="00DC0143">
        <w:rPr>
          <w:rFonts w:cs="Traditional Arabic" w:hint="cs"/>
          <w:color w:val="000000"/>
          <w:sz w:val="24"/>
          <w:szCs w:val="28"/>
          <w:rtl/>
        </w:rPr>
        <w:t xml:space="preserve"> ويعتبر هذا الحكم استثناء من القواعد العامة </w:t>
      </w:r>
      <w:r>
        <w:rPr>
          <w:rFonts w:cs="Traditional Arabic" w:hint="cs"/>
          <w:color w:val="000000"/>
          <w:sz w:val="24"/>
          <w:szCs w:val="28"/>
          <w:rtl/>
        </w:rPr>
        <w:t xml:space="preserve">( </w:t>
      </w:r>
      <w:r w:rsidRPr="00DC0143">
        <w:rPr>
          <w:rFonts w:cs="Traditional Arabic" w:hint="cs"/>
          <w:color w:val="000000"/>
          <w:sz w:val="24"/>
          <w:szCs w:val="28"/>
          <w:rtl/>
        </w:rPr>
        <w:t>بلانيول وريبير وسافاتييه فقرة 1549</w:t>
      </w:r>
      <w:r>
        <w:rPr>
          <w:rFonts w:cs="Traditional Arabic" w:hint="cs"/>
          <w:color w:val="000000"/>
          <w:sz w:val="24"/>
          <w:szCs w:val="28"/>
          <w:rtl/>
        </w:rPr>
        <w:t xml:space="preserve"> ) .</w:t>
      </w:r>
      <w:r w:rsidRPr="00DC0143">
        <w:rPr>
          <w:rFonts w:cs="Traditional Arabic" w:hint="cs"/>
          <w:color w:val="000000"/>
          <w:sz w:val="24"/>
          <w:szCs w:val="28"/>
          <w:rtl/>
        </w:rPr>
        <w:t xml:space="preserve"> غير أن هذا الاستثناء لا يتعلق بالنظام العام</w:t>
      </w:r>
      <w:r>
        <w:rPr>
          <w:rFonts w:cs="Traditional Arabic" w:hint="cs"/>
          <w:color w:val="000000"/>
          <w:sz w:val="24"/>
          <w:szCs w:val="28"/>
          <w:rtl/>
        </w:rPr>
        <w:t xml:space="preserve"> ،</w:t>
      </w:r>
      <w:r w:rsidRPr="00DC0143">
        <w:rPr>
          <w:rFonts w:cs="Traditional Arabic" w:hint="cs"/>
          <w:color w:val="000000"/>
          <w:sz w:val="24"/>
          <w:szCs w:val="28"/>
          <w:rtl/>
        </w:rPr>
        <w:t xml:space="preserve"> فيجوز الاتفاق على ما يخالفه</w:t>
      </w:r>
      <w:r>
        <w:rPr>
          <w:rFonts w:cs="Traditional Arabic" w:hint="cs"/>
          <w:color w:val="000000"/>
          <w:sz w:val="24"/>
          <w:szCs w:val="28"/>
          <w:rtl/>
        </w:rPr>
        <w:t xml:space="preserve"> .</w:t>
      </w:r>
      <w:r w:rsidRPr="00DC0143">
        <w:rPr>
          <w:rFonts w:cs="Traditional Arabic" w:hint="cs"/>
          <w:color w:val="000000"/>
          <w:sz w:val="24"/>
          <w:szCs w:val="28"/>
          <w:rtl/>
        </w:rPr>
        <w:t xml:space="preserve"> ومن ثم يجوز للدائن والمدين أن يتفقا على أن يحتفظ الدائن بحق الفسخ في حالة استحقاق المقابل</w:t>
      </w:r>
      <w:r>
        <w:rPr>
          <w:rFonts w:cs="Traditional Arabic" w:hint="cs"/>
          <w:color w:val="000000"/>
          <w:sz w:val="24"/>
          <w:szCs w:val="28"/>
          <w:rtl/>
        </w:rPr>
        <w:t xml:space="preserve"> ،</w:t>
      </w:r>
      <w:r w:rsidRPr="00DC0143">
        <w:rPr>
          <w:rFonts w:cs="Traditional Arabic" w:hint="cs"/>
          <w:color w:val="000000"/>
          <w:sz w:val="24"/>
          <w:szCs w:val="28"/>
          <w:rtl/>
        </w:rPr>
        <w:t xml:space="preserve"> فإذا فسخ الدائن الوفاء بمقابل لاستحقاق المقابل</w:t>
      </w:r>
      <w:r>
        <w:rPr>
          <w:rFonts w:cs="Traditional Arabic" w:hint="cs"/>
          <w:color w:val="000000"/>
          <w:sz w:val="24"/>
          <w:szCs w:val="28"/>
          <w:rtl/>
        </w:rPr>
        <w:t xml:space="preserve"> ،</w:t>
      </w:r>
      <w:r w:rsidRPr="00DC0143">
        <w:rPr>
          <w:rFonts w:cs="Traditional Arabic" w:hint="cs"/>
          <w:color w:val="000000"/>
          <w:sz w:val="24"/>
          <w:szCs w:val="28"/>
          <w:rtl/>
        </w:rPr>
        <w:t xml:space="preserve"> عاد الدين المكفول وعادت الكفالة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136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136 ص 154</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48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الوسيط 3 فقرة 472 </w:t>
      </w:r>
      <w:r w:rsidRPr="00DC0143">
        <w:rPr>
          <w:rFonts w:cs="Traditional Arabic"/>
          <w:color w:val="000000"/>
          <w:sz w:val="24"/>
          <w:szCs w:val="28"/>
          <w:rtl/>
        </w:rPr>
        <w:t>–</w:t>
      </w:r>
      <w:r w:rsidRPr="00DC0143">
        <w:rPr>
          <w:rFonts w:cs="Traditional Arabic" w:hint="cs"/>
          <w:color w:val="000000"/>
          <w:sz w:val="24"/>
          <w:szCs w:val="28"/>
          <w:rtl/>
        </w:rPr>
        <w:t xml:space="preserve"> فقرة 483</w:t>
      </w:r>
      <w:r>
        <w:rPr>
          <w:rFonts w:cs="Traditional Arabic" w:hint="cs"/>
          <w:color w:val="000000"/>
          <w:sz w:val="24"/>
          <w:szCs w:val="28"/>
          <w:rtl/>
        </w:rPr>
        <w:t xml:space="preserve"> .</w:t>
      </w:r>
    </w:p>
  </w:footnote>
  <w:footnote w:id="48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256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1150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136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136 ص 154</w:t>
      </w:r>
      <w:r>
        <w:rPr>
          <w:rFonts w:cs="Traditional Arabic" w:hint="cs"/>
          <w:color w:val="000000"/>
          <w:sz w:val="24"/>
          <w:szCs w:val="28"/>
          <w:rtl/>
        </w:rPr>
        <w:t xml:space="preserve"> .</w:t>
      </w:r>
    </w:p>
  </w:footnote>
  <w:footnote w:id="48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بودري وفال فقرة 1151</w:t>
      </w:r>
      <w:r>
        <w:rPr>
          <w:rFonts w:cs="Traditional Arabic" w:hint="cs"/>
          <w:color w:val="000000"/>
          <w:sz w:val="24"/>
          <w:szCs w:val="28"/>
          <w:rtl/>
        </w:rPr>
        <w:t xml:space="preserve"> .</w:t>
      </w:r>
    </w:p>
  </w:footnote>
  <w:footnote w:id="48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نفس الفقرة في الهامش</w:t>
      </w:r>
      <w:r>
        <w:rPr>
          <w:rFonts w:cs="Traditional Arabic" w:hint="cs"/>
          <w:color w:val="000000"/>
          <w:sz w:val="24"/>
          <w:szCs w:val="28"/>
          <w:rtl/>
        </w:rPr>
        <w:t xml:space="preserve"> .</w:t>
      </w:r>
    </w:p>
  </w:footnote>
  <w:footnote w:id="49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الوسيط 3 فقرة 474 ص 789 هامش 1</w:t>
      </w:r>
      <w:r>
        <w:rPr>
          <w:rFonts w:cs="Traditional Arabic" w:hint="cs"/>
          <w:color w:val="000000"/>
          <w:sz w:val="24"/>
          <w:szCs w:val="28"/>
          <w:rtl/>
        </w:rPr>
        <w:t xml:space="preserve"> .</w:t>
      </w:r>
    </w:p>
  </w:footnote>
  <w:footnote w:id="49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وسافاتييه فقرة 1559 </w:t>
      </w:r>
      <w:r w:rsidRPr="00DC0143">
        <w:rPr>
          <w:rFonts w:cs="Traditional Arabic"/>
          <w:color w:val="000000"/>
          <w:sz w:val="24"/>
          <w:szCs w:val="28"/>
          <w:rtl/>
        </w:rPr>
        <w:t>–</w:t>
      </w:r>
      <w:r w:rsidRPr="00DC0143">
        <w:rPr>
          <w:rFonts w:cs="Traditional Arabic" w:hint="cs"/>
          <w:color w:val="000000"/>
          <w:sz w:val="24"/>
          <w:szCs w:val="28"/>
          <w:rtl/>
        </w:rPr>
        <w:t xml:space="preserve"> الوسيط 3 فقرة 508 </w:t>
      </w:r>
      <w:r w:rsidRPr="00DC0143">
        <w:rPr>
          <w:rFonts w:cs="Traditional Arabic"/>
          <w:color w:val="000000"/>
          <w:sz w:val="24"/>
          <w:szCs w:val="28"/>
          <w:rtl/>
        </w:rPr>
        <w:t>–</w:t>
      </w:r>
      <w:r w:rsidRPr="00DC0143">
        <w:rPr>
          <w:rFonts w:cs="Traditional Arabic" w:hint="cs"/>
          <w:color w:val="000000"/>
          <w:sz w:val="24"/>
          <w:szCs w:val="28"/>
          <w:rtl/>
        </w:rPr>
        <w:t xml:space="preserve"> ص 854 </w:t>
      </w:r>
      <w:r w:rsidRPr="00DC0143">
        <w:rPr>
          <w:rFonts w:cs="Traditional Arabic"/>
          <w:color w:val="000000"/>
          <w:sz w:val="24"/>
          <w:szCs w:val="28"/>
          <w:rtl/>
        </w:rPr>
        <w:t>–</w:t>
      </w:r>
      <w:r w:rsidRPr="00DC0143">
        <w:rPr>
          <w:rFonts w:cs="Traditional Arabic" w:hint="cs"/>
          <w:color w:val="000000"/>
          <w:sz w:val="24"/>
          <w:szCs w:val="28"/>
          <w:rtl/>
        </w:rPr>
        <w:t xml:space="preserve"> وتنص المادة 1092 لبناني على "أن تجديد الدين بين الدائن والمديون الصليل يبرئ الكفلاء</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يكونوا قد قبلوا بكفالة الدين الجديد</w:t>
      </w:r>
      <w:r>
        <w:rPr>
          <w:rFonts w:cs="Traditional Arabic" w:hint="cs"/>
          <w:color w:val="000000"/>
          <w:sz w:val="24"/>
          <w:szCs w:val="28"/>
          <w:rtl/>
        </w:rPr>
        <w:t xml:space="preserve"> .</w:t>
      </w:r>
      <w:r w:rsidRPr="00DC0143">
        <w:rPr>
          <w:rFonts w:cs="Traditional Arabic" w:hint="cs"/>
          <w:color w:val="000000"/>
          <w:sz w:val="24"/>
          <w:szCs w:val="28"/>
          <w:rtl/>
        </w:rPr>
        <w:t xml:space="preserve"> على أنه إذا اشترط الدائن ضمن الكفلاء إلى الموجب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ولم يقبل هؤلاء</w:t>
      </w:r>
      <w:r>
        <w:rPr>
          <w:rFonts w:cs="Traditional Arabic" w:hint="cs"/>
          <w:color w:val="000000"/>
          <w:sz w:val="24"/>
          <w:szCs w:val="28"/>
          <w:rtl/>
        </w:rPr>
        <w:t xml:space="preserve"> ،</w:t>
      </w:r>
      <w:r w:rsidRPr="00DC0143">
        <w:rPr>
          <w:rFonts w:cs="Traditional Arabic" w:hint="cs"/>
          <w:color w:val="000000"/>
          <w:sz w:val="24"/>
          <w:szCs w:val="28"/>
          <w:rtl/>
        </w:rPr>
        <w:t xml:space="preserve"> فالموجب لا يسقط"</w:t>
      </w:r>
      <w:r>
        <w:rPr>
          <w:rFonts w:cs="Traditional Arabic" w:hint="cs"/>
          <w:color w:val="000000"/>
          <w:sz w:val="24"/>
          <w:szCs w:val="28"/>
          <w:rtl/>
        </w:rPr>
        <w:t xml:space="preserve"> .</w:t>
      </w:r>
    </w:p>
  </w:footnote>
  <w:footnote w:id="49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254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1145</w:t>
      </w:r>
      <w:r>
        <w:rPr>
          <w:rFonts w:cs="Traditional Arabic" w:hint="cs"/>
          <w:color w:val="000000"/>
          <w:sz w:val="24"/>
          <w:szCs w:val="28"/>
          <w:rtl/>
        </w:rPr>
        <w:t xml:space="preserve"> .</w:t>
      </w:r>
    </w:p>
  </w:footnote>
  <w:footnote w:id="49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نصت المادة 1084 لبناني على "أن تحديد الأجل الذي يمنحه الدائن للمديون الأصلي بتفنيد منه الكفيل</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يكن سبب عسر المديون</w:t>
      </w:r>
      <w:r>
        <w:rPr>
          <w:rFonts w:cs="Traditional Arabic" w:hint="cs"/>
          <w:color w:val="000000"/>
          <w:sz w:val="24"/>
          <w:szCs w:val="28"/>
          <w:rtl/>
        </w:rPr>
        <w:t xml:space="preserve"> .</w:t>
      </w:r>
      <w:r w:rsidRPr="00DC0143">
        <w:rPr>
          <w:rFonts w:cs="Traditional Arabic" w:hint="cs"/>
          <w:color w:val="000000"/>
          <w:sz w:val="24"/>
          <w:szCs w:val="28"/>
          <w:rtl/>
        </w:rPr>
        <w:t xml:space="preserve"> أما التجديد الذي يمنحه الدائن للكفيل فلا يستفيد منه المديون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ما لم يصرح الدائن بالعكس"</w:t>
      </w:r>
      <w:r>
        <w:rPr>
          <w:rFonts w:cs="Traditional Arabic" w:hint="cs"/>
          <w:color w:val="000000"/>
          <w:sz w:val="24"/>
          <w:szCs w:val="28"/>
          <w:rtl/>
        </w:rPr>
        <w:t xml:space="preserve"> .</w:t>
      </w:r>
    </w:p>
  </w:footnote>
  <w:footnote w:id="49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كل ذلك الوسيط 3 فقرة 497 </w:t>
      </w:r>
      <w:r w:rsidRPr="00DC0143">
        <w:rPr>
          <w:rFonts w:cs="Traditional Arabic"/>
          <w:color w:val="000000"/>
          <w:sz w:val="24"/>
          <w:szCs w:val="28"/>
          <w:rtl/>
        </w:rPr>
        <w:t>–</w:t>
      </w:r>
      <w:r w:rsidRPr="00DC0143">
        <w:rPr>
          <w:rFonts w:cs="Traditional Arabic" w:hint="cs"/>
          <w:color w:val="000000"/>
          <w:sz w:val="24"/>
          <w:szCs w:val="28"/>
          <w:rtl/>
        </w:rPr>
        <w:t xml:space="preserve"> والإنابة الكاملة تعتبر تجديداً</w:t>
      </w:r>
      <w:r>
        <w:rPr>
          <w:rFonts w:cs="Traditional Arabic" w:hint="cs"/>
          <w:color w:val="000000"/>
          <w:sz w:val="24"/>
          <w:szCs w:val="28"/>
          <w:rtl/>
        </w:rPr>
        <w:t xml:space="preserve"> ،</w:t>
      </w:r>
      <w:r w:rsidRPr="00DC0143">
        <w:rPr>
          <w:rFonts w:cs="Traditional Arabic" w:hint="cs"/>
          <w:color w:val="000000"/>
          <w:sz w:val="24"/>
          <w:szCs w:val="28"/>
          <w:rtl/>
        </w:rPr>
        <w:t xml:space="preserve"> فتسري عليها أحكام التجديد</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كانت الإنابة غير كاملة فلا تعتبر تجديداً</w:t>
      </w:r>
      <w:r>
        <w:rPr>
          <w:rFonts w:cs="Traditional Arabic" w:hint="cs"/>
          <w:color w:val="000000"/>
          <w:sz w:val="24"/>
          <w:szCs w:val="28"/>
          <w:rtl/>
        </w:rPr>
        <w:t xml:space="preserve"> ،</w:t>
      </w:r>
      <w:r w:rsidRPr="00DC0143">
        <w:rPr>
          <w:rFonts w:cs="Traditional Arabic" w:hint="cs"/>
          <w:color w:val="000000"/>
          <w:sz w:val="24"/>
          <w:szCs w:val="28"/>
          <w:rtl/>
        </w:rPr>
        <w:t xml:space="preserve"> ويقوم التزام المناب بجانب التزام المنيب ويصبح الدائن مدينا بدلا م دين واحد</w:t>
      </w:r>
      <w:r>
        <w:rPr>
          <w:rFonts w:cs="Traditional Arabic" w:hint="cs"/>
          <w:color w:val="000000"/>
          <w:sz w:val="24"/>
          <w:szCs w:val="28"/>
          <w:rtl/>
        </w:rPr>
        <w:t xml:space="preserve"> .</w:t>
      </w:r>
      <w:r w:rsidRPr="00DC0143">
        <w:rPr>
          <w:rFonts w:cs="Traditional Arabic" w:hint="cs"/>
          <w:color w:val="000000"/>
          <w:sz w:val="24"/>
          <w:szCs w:val="28"/>
          <w:rtl/>
        </w:rPr>
        <w:t xml:space="preserve"> فإذا بقي التزام المنيب قائما</w:t>
      </w:r>
      <w:r>
        <w:rPr>
          <w:rFonts w:cs="Traditional Arabic" w:hint="cs"/>
          <w:color w:val="000000"/>
          <w:sz w:val="24"/>
          <w:szCs w:val="28"/>
          <w:rtl/>
        </w:rPr>
        <w:t xml:space="preserve"> ،</w:t>
      </w:r>
      <w:r w:rsidRPr="00DC0143">
        <w:rPr>
          <w:rFonts w:cs="Traditional Arabic" w:hint="cs"/>
          <w:color w:val="000000"/>
          <w:sz w:val="24"/>
          <w:szCs w:val="28"/>
          <w:rtl/>
        </w:rPr>
        <w:t xml:space="preserve"> فإن جميع تأميناته ومنها الكفالة تبقى معه </w:t>
      </w:r>
      <w:r>
        <w:rPr>
          <w:rFonts w:cs="Traditional Arabic" w:hint="cs"/>
          <w:color w:val="000000"/>
          <w:sz w:val="24"/>
          <w:szCs w:val="28"/>
          <w:rtl/>
        </w:rPr>
        <w:t xml:space="preserve">( </w:t>
      </w:r>
      <w:r w:rsidRPr="00DC0143">
        <w:rPr>
          <w:rFonts w:cs="Traditional Arabic" w:hint="cs"/>
          <w:color w:val="000000"/>
          <w:sz w:val="24"/>
          <w:szCs w:val="28"/>
          <w:rtl/>
        </w:rPr>
        <w:t>عبد الفتاح عبد الباقي فقرة 137</w:t>
      </w:r>
      <w:r>
        <w:rPr>
          <w:rFonts w:cs="Traditional Arabic" w:hint="cs"/>
          <w:color w:val="000000"/>
          <w:sz w:val="24"/>
          <w:szCs w:val="28"/>
          <w:rtl/>
        </w:rPr>
        <w:t xml:space="preserve"> ) .</w:t>
      </w:r>
    </w:p>
  </w:footnote>
  <w:footnote w:id="49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ولكن يجوز للكفيل أن يتمسك بالمقاصة في يدين له على الدائن</w:t>
      </w:r>
      <w:r>
        <w:rPr>
          <w:rFonts w:cs="Traditional Arabic" w:hint="cs"/>
          <w:color w:val="000000"/>
          <w:sz w:val="24"/>
          <w:szCs w:val="28"/>
          <w:rtl/>
        </w:rPr>
        <w:t xml:space="preserve"> ،</w:t>
      </w:r>
      <w:r w:rsidRPr="00DC0143">
        <w:rPr>
          <w:rFonts w:cs="Traditional Arabic" w:hint="cs"/>
          <w:color w:val="000000"/>
          <w:sz w:val="24"/>
          <w:szCs w:val="28"/>
          <w:rtl/>
        </w:rPr>
        <w:t xml:space="preserve"> إذ هو يفي بالدين المكفول عن طريق المقاصة</w:t>
      </w:r>
      <w:r>
        <w:rPr>
          <w:rFonts w:cs="Traditional Arabic" w:hint="cs"/>
          <w:color w:val="000000"/>
          <w:sz w:val="24"/>
          <w:szCs w:val="28"/>
          <w:rtl/>
        </w:rPr>
        <w:t xml:space="preserve"> .</w:t>
      </w:r>
      <w:r w:rsidRPr="00DC0143">
        <w:rPr>
          <w:rFonts w:cs="Traditional Arabic" w:hint="cs"/>
          <w:color w:val="000000"/>
          <w:sz w:val="24"/>
          <w:szCs w:val="28"/>
          <w:rtl/>
        </w:rPr>
        <w:t xml:space="preserve"> ولكن المقاصة هنا اختيارية لا قانونية</w:t>
      </w:r>
      <w:r>
        <w:rPr>
          <w:rFonts w:cs="Traditional Arabic" w:hint="cs"/>
          <w:color w:val="000000"/>
          <w:sz w:val="24"/>
          <w:szCs w:val="28"/>
          <w:rtl/>
        </w:rPr>
        <w:t xml:space="preserve"> ،</w:t>
      </w:r>
      <w:r w:rsidRPr="00DC0143">
        <w:rPr>
          <w:rFonts w:cs="Traditional Arabic" w:hint="cs"/>
          <w:color w:val="000000"/>
          <w:sz w:val="24"/>
          <w:szCs w:val="28"/>
          <w:rtl/>
        </w:rPr>
        <w:t xml:space="preserve"> فلا ينقضي الدينان إلا من وقت التمسك بالمقاصة</w:t>
      </w:r>
      <w:r>
        <w:rPr>
          <w:rFonts w:cs="Traditional Arabic" w:hint="cs"/>
          <w:color w:val="000000"/>
          <w:sz w:val="24"/>
          <w:szCs w:val="28"/>
          <w:rtl/>
        </w:rPr>
        <w:t xml:space="preserve"> .</w:t>
      </w:r>
      <w:r w:rsidRPr="00DC0143">
        <w:rPr>
          <w:rFonts w:cs="Traditional Arabic" w:hint="cs"/>
          <w:color w:val="000000"/>
          <w:sz w:val="24"/>
          <w:szCs w:val="28"/>
          <w:rtl/>
        </w:rPr>
        <w:t xml:space="preserve"> ولا يجوز للدائن أن يرجع على المدين بعد ذلك فقد استوفى حقه من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وإذا رجع جاز للمدين أن يدفع رجوعه بالمقاصة التي تسك بها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وإنما يرجع الكفيل على المدين</w:t>
      </w:r>
      <w:r>
        <w:rPr>
          <w:rFonts w:cs="Traditional Arabic" w:hint="cs"/>
          <w:color w:val="000000"/>
          <w:sz w:val="24"/>
          <w:szCs w:val="28"/>
          <w:rtl/>
        </w:rPr>
        <w:t xml:space="preserve"> ،</w:t>
      </w:r>
      <w:r w:rsidRPr="00DC0143">
        <w:rPr>
          <w:rFonts w:cs="Traditional Arabic" w:hint="cs"/>
          <w:color w:val="000000"/>
          <w:sz w:val="24"/>
          <w:szCs w:val="28"/>
          <w:rtl/>
        </w:rPr>
        <w:t xml:space="preserve"> بعد أن وفى دينه عن طريق المقاصة</w:t>
      </w:r>
      <w:r>
        <w:rPr>
          <w:rFonts w:cs="Traditional Arabic" w:hint="cs"/>
          <w:color w:val="000000"/>
          <w:sz w:val="24"/>
          <w:szCs w:val="28"/>
          <w:rtl/>
        </w:rPr>
        <w:t xml:space="preserve"> .</w:t>
      </w:r>
    </w:p>
  </w:footnote>
  <w:footnote w:id="49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الوسيط 3 فقرة 546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138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138</w:t>
      </w:r>
      <w:r>
        <w:rPr>
          <w:rFonts w:cs="Traditional Arabic" w:hint="cs"/>
          <w:color w:val="000000"/>
          <w:sz w:val="24"/>
          <w:szCs w:val="28"/>
          <w:rtl/>
        </w:rPr>
        <w:t xml:space="preserve"> .</w:t>
      </w:r>
    </w:p>
  </w:footnote>
  <w:footnote w:id="49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كل ذلك الوسيط 3 فقرة 547</w:t>
      </w:r>
      <w:r>
        <w:rPr>
          <w:rFonts w:cs="Traditional Arabic" w:hint="cs"/>
          <w:color w:val="000000"/>
          <w:sz w:val="24"/>
          <w:szCs w:val="28"/>
          <w:rtl/>
        </w:rPr>
        <w:t xml:space="preserve"> .</w:t>
      </w:r>
    </w:p>
  </w:footnote>
  <w:footnote w:id="49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سبق أن قررنا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"وإذا اتحدت ذمة المدين الأصلي للدائن</w:t>
      </w:r>
      <w:r>
        <w:rPr>
          <w:rFonts w:cs="Traditional Arabic" w:hint="cs"/>
          <w:color w:val="000000"/>
          <w:sz w:val="24"/>
          <w:szCs w:val="28"/>
          <w:rtl/>
        </w:rPr>
        <w:t xml:space="preserve"> ،</w:t>
      </w:r>
      <w:r w:rsidRPr="00DC0143">
        <w:rPr>
          <w:rFonts w:cs="Traditional Arabic" w:hint="cs"/>
          <w:color w:val="000000"/>
          <w:sz w:val="24"/>
          <w:szCs w:val="28"/>
          <w:rtl/>
        </w:rPr>
        <w:t xml:space="preserve"> فإن الدين ينقضي باتحاد الذمة</w:t>
      </w:r>
      <w:r>
        <w:rPr>
          <w:rFonts w:cs="Traditional Arabic" w:hint="cs"/>
          <w:color w:val="000000"/>
          <w:sz w:val="24"/>
          <w:szCs w:val="28"/>
          <w:rtl/>
        </w:rPr>
        <w:t xml:space="preserve"> ،</w:t>
      </w:r>
      <w:r w:rsidRPr="00DC0143">
        <w:rPr>
          <w:rFonts w:cs="Traditional Arabic" w:hint="cs"/>
          <w:color w:val="000000"/>
          <w:sz w:val="24"/>
          <w:szCs w:val="28"/>
          <w:rtl/>
        </w:rPr>
        <w:t xml:space="preserve"> وتبرأ بذلك ذمة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ذلك أن المدين الأصلي </w:t>
      </w:r>
      <w:r w:rsidRPr="00DC0143">
        <w:rPr>
          <w:rFonts w:cs="Traditional Arabic"/>
          <w:color w:val="000000"/>
          <w:sz w:val="24"/>
          <w:szCs w:val="28"/>
          <w:rtl/>
        </w:rPr>
        <w:t>–</w:t>
      </w:r>
      <w:r w:rsidRPr="00DC0143">
        <w:rPr>
          <w:rFonts w:cs="Traditional Arabic" w:hint="cs"/>
          <w:color w:val="000000"/>
          <w:sz w:val="24"/>
          <w:szCs w:val="28"/>
          <w:rtl/>
        </w:rPr>
        <w:t xml:space="preserve"> وقد أصبح باتحاد الذمة دائنا </w:t>
      </w:r>
      <w:r w:rsidRPr="00DC0143">
        <w:rPr>
          <w:rFonts w:cs="Traditional Arabic"/>
          <w:color w:val="000000"/>
          <w:sz w:val="24"/>
          <w:szCs w:val="28"/>
          <w:rtl/>
        </w:rPr>
        <w:t>–</w:t>
      </w:r>
      <w:r w:rsidRPr="00DC0143">
        <w:rPr>
          <w:rFonts w:cs="Traditional Arabic" w:hint="cs"/>
          <w:color w:val="000000"/>
          <w:sz w:val="24"/>
          <w:szCs w:val="28"/>
          <w:rtl/>
        </w:rPr>
        <w:t xml:space="preserve"> إذا حاول أن يرجع باعتبار أنه دائن على 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فإن الكفيل يرجع عليه باعتباره مدينا</w:t>
      </w:r>
      <w:r>
        <w:rPr>
          <w:rFonts w:cs="Traditional Arabic" w:hint="cs"/>
          <w:color w:val="000000"/>
          <w:sz w:val="24"/>
          <w:szCs w:val="28"/>
          <w:rtl/>
        </w:rPr>
        <w:t xml:space="preserve"> ،</w:t>
      </w:r>
      <w:r w:rsidRPr="00DC0143">
        <w:rPr>
          <w:rFonts w:cs="Traditional Arabic" w:hint="cs"/>
          <w:color w:val="000000"/>
          <w:sz w:val="24"/>
          <w:szCs w:val="28"/>
          <w:rtl/>
        </w:rPr>
        <w:t xml:space="preserve"> فيشمل هذا الرجوع الأخير الرجوع الأول</w:t>
      </w:r>
      <w:r>
        <w:rPr>
          <w:rFonts w:cs="Traditional Arabic" w:hint="cs"/>
          <w:color w:val="000000"/>
          <w:sz w:val="24"/>
          <w:szCs w:val="28"/>
          <w:rtl/>
        </w:rPr>
        <w:t xml:space="preserve"> .</w:t>
      </w:r>
      <w:r w:rsidRPr="00DC0143">
        <w:rPr>
          <w:rFonts w:cs="Traditional Arabic" w:hint="cs"/>
          <w:color w:val="000000"/>
          <w:sz w:val="24"/>
          <w:szCs w:val="28"/>
          <w:rtl/>
        </w:rPr>
        <w:t xml:space="preserve"> وقد كانت المادة 203/267 من التقنين المدني السابق تقضي بأن اتحاد ذمة الدائن والمدين الأصلي يبرئ ذمة الكفلاء" </w:t>
      </w:r>
      <w:r>
        <w:rPr>
          <w:rFonts w:cs="Traditional Arabic" w:hint="cs"/>
          <w:color w:val="000000"/>
          <w:sz w:val="24"/>
          <w:szCs w:val="28"/>
          <w:rtl/>
        </w:rPr>
        <w:t xml:space="preserve">( </w:t>
      </w:r>
      <w:r w:rsidRPr="00DC0143">
        <w:rPr>
          <w:rFonts w:cs="Traditional Arabic" w:hint="cs"/>
          <w:color w:val="000000"/>
          <w:sz w:val="24"/>
          <w:szCs w:val="28"/>
          <w:rtl/>
        </w:rPr>
        <w:t>الوسيط 3 فقرة 570 ص 955</w:t>
      </w:r>
      <w:r>
        <w:rPr>
          <w:rFonts w:cs="Traditional Arabic" w:hint="cs"/>
          <w:color w:val="000000"/>
          <w:sz w:val="24"/>
          <w:szCs w:val="28"/>
          <w:rtl/>
        </w:rPr>
        <w:t xml:space="preserve"> ) .</w:t>
      </w:r>
    </w:p>
  </w:footnote>
  <w:footnote w:id="49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139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139</w:t>
      </w:r>
      <w:r>
        <w:rPr>
          <w:rFonts w:cs="Traditional Arabic" w:hint="cs"/>
          <w:color w:val="000000"/>
          <w:sz w:val="24"/>
          <w:szCs w:val="28"/>
          <w:rtl/>
        </w:rPr>
        <w:t xml:space="preserve"> .</w:t>
      </w:r>
    </w:p>
  </w:footnote>
  <w:footnote w:id="50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3 فقرة 570</w:t>
      </w:r>
      <w:r>
        <w:rPr>
          <w:rFonts w:cs="Traditional Arabic" w:hint="cs"/>
          <w:color w:val="000000"/>
          <w:sz w:val="24"/>
          <w:szCs w:val="28"/>
          <w:rtl/>
        </w:rPr>
        <w:t xml:space="preserve"> .</w:t>
      </w:r>
    </w:p>
  </w:footnote>
  <w:footnote w:id="50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وتنص المادة 1093 لبناني على "أن اجتماع صفتي الدائن والمديون الأصلي في شخص واحد يبرئ ذمة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وإذا حصل هذا الاجتماع في شخص المديون الأصلي بسبب وفاة الدائن</w:t>
      </w:r>
      <w:r>
        <w:rPr>
          <w:rFonts w:cs="Traditional Arabic" w:hint="cs"/>
          <w:color w:val="000000"/>
          <w:sz w:val="24"/>
          <w:szCs w:val="28"/>
          <w:rtl/>
        </w:rPr>
        <w:t xml:space="preserve"> ،</w:t>
      </w:r>
      <w:r w:rsidRPr="00DC0143">
        <w:rPr>
          <w:rFonts w:cs="Traditional Arabic" w:hint="cs"/>
          <w:color w:val="000000"/>
          <w:sz w:val="24"/>
          <w:szCs w:val="28"/>
          <w:rtl/>
        </w:rPr>
        <w:t xml:space="preserve"> وكان المديون الأصلي وارثاً له مع آخين</w:t>
      </w:r>
      <w:r>
        <w:rPr>
          <w:rFonts w:cs="Traditional Arabic" w:hint="cs"/>
          <w:color w:val="000000"/>
          <w:sz w:val="24"/>
          <w:szCs w:val="28"/>
          <w:rtl/>
        </w:rPr>
        <w:t xml:space="preserve"> ،</w:t>
      </w:r>
      <w:r w:rsidRPr="00DC0143">
        <w:rPr>
          <w:rFonts w:cs="Traditional Arabic" w:hint="cs"/>
          <w:color w:val="000000"/>
          <w:sz w:val="24"/>
          <w:szCs w:val="28"/>
          <w:rtl/>
        </w:rPr>
        <w:t xml:space="preserve"> برئت ذمة الكيل بقدر حصة المديون</w:t>
      </w:r>
      <w:r>
        <w:rPr>
          <w:rFonts w:cs="Traditional Arabic" w:hint="cs"/>
          <w:color w:val="000000"/>
          <w:sz w:val="24"/>
          <w:szCs w:val="28"/>
          <w:rtl/>
        </w:rPr>
        <w:t xml:space="preserve"> .</w:t>
      </w:r>
      <w:r w:rsidRPr="00DC0143">
        <w:rPr>
          <w:rFonts w:cs="Traditional Arabic" w:hint="cs"/>
          <w:color w:val="000000"/>
          <w:sz w:val="24"/>
          <w:szCs w:val="28"/>
          <w:rtl/>
        </w:rPr>
        <w:t xml:space="preserve"> أما اجتماع صفتي الدائن والكفيل في شخص واحد</w:t>
      </w:r>
      <w:r>
        <w:rPr>
          <w:rFonts w:cs="Traditional Arabic" w:hint="cs"/>
          <w:color w:val="000000"/>
          <w:sz w:val="24"/>
          <w:szCs w:val="28"/>
          <w:rtl/>
        </w:rPr>
        <w:t xml:space="preserve"> ،</w:t>
      </w:r>
      <w:r w:rsidRPr="00DC0143">
        <w:rPr>
          <w:rFonts w:cs="Traditional Arabic" w:hint="cs"/>
          <w:color w:val="000000"/>
          <w:sz w:val="24"/>
          <w:szCs w:val="28"/>
          <w:rtl/>
        </w:rPr>
        <w:t xml:space="preserve"> فلا يبرئ ذمة المديون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وأما اجتماع صفتي المديون الأصلي والكفيل عندما يصبح أحدهما وارثاً للآخر</w:t>
      </w:r>
      <w:r>
        <w:rPr>
          <w:rFonts w:cs="Traditional Arabic" w:hint="cs"/>
          <w:color w:val="000000"/>
          <w:sz w:val="24"/>
          <w:szCs w:val="28"/>
          <w:rtl/>
        </w:rPr>
        <w:t xml:space="preserve"> ،</w:t>
      </w:r>
      <w:r w:rsidRPr="00DC0143">
        <w:rPr>
          <w:rFonts w:cs="Traditional Arabic" w:hint="cs"/>
          <w:color w:val="000000"/>
          <w:sz w:val="24"/>
          <w:szCs w:val="28"/>
          <w:rtl/>
        </w:rPr>
        <w:t xml:space="preserve"> فهو يسقط الكفالة ولا يبقى إلا المدين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وإنما يبقى للدائن حقه في مداعات من كفل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ويحتفظ بالتأمينات التي اتخذها لكفالة موجب الكفيل"</w:t>
      </w:r>
      <w:r>
        <w:rPr>
          <w:rFonts w:cs="Traditional Arabic" w:hint="cs"/>
          <w:color w:val="000000"/>
          <w:sz w:val="24"/>
          <w:szCs w:val="28"/>
          <w:rtl/>
        </w:rPr>
        <w:t xml:space="preserve"> .</w:t>
      </w:r>
    </w:p>
  </w:footnote>
  <w:footnote w:id="50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كان المشروع التمهيد للتقنين المدني الجديد يتضمن نصا</w:t>
      </w:r>
      <w:r>
        <w:rPr>
          <w:rFonts w:cs="Traditional Arabic" w:hint="cs"/>
          <w:color w:val="000000"/>
          <w:sz w:val="24"/>
          <w:szCs w:val="28"/>
          <w:rtl/>
        </w:rPr>
        <w:t xml:space="preserve"> ،</w:t>
      </w:r>
      <w:r w:rsidRPr="00DC0143">
        <w:rPr>
          <w:rFonts w:cs="Traditional Arabic" w:hint="cs"/>
          <w:color w:val="000000"/>
          <w:sz w:val="24"/>
          <w:szCs w:val="28"/>
          <w:rtl/>
        </w:rPr>
        <w:t xml:space="preserve"> هو المادة 1161 من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يجري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"اتحاد الذمة الذي يحصل في شخص المدين وكفيله</w:t>
      </w:r>
      <w:r>
        <w:rPr>
          <w:rFonts w:cs="Traditional Arabic" w:hint="cs"/>
          <w:color w:val="000000"/>
          <w:sz w:val="24"/>
          <w:szCs w:val="28"/>
          <w:rtl/>
        </w:rPr>
        <w:t xml:space="preserve"> ،</w:t>
      </w:r>
      <w:r w:rsidRPr="00DC0143">
        <w:rPr>
          <w:rFonts w:cs="Traditional Arabic" w:hint="cs"/>
          <w:color w:val="000000"/>
          <w:sz w:val="24"/>
          <w:szCs w:val="28"/>
          <w:rtl/>
        </w:rPr>
        <w:t xml:space="preserve"> في حالة ما إذا ورث أحدهما الآخر</w:t>
      </w:r>
      <w:r>
        <w:rPr>
          <w:rFonts w:cs="Traditional Arabic" w:hint="cs"/>
          <w:color w:val="000000"/>
          <w:sz w:val="24"/>
          <w:szCs w:val="28"/>
          <w:rtl/>
        </w:rPr>
        <w:t xml:space="preserve"> ،</w:t>
      </w:r>
      <w:r w:rsidRPr="00DC0143">
        <w:rPr>
          <w:rFonts w:cs="Traditional Arabic" w:hint="cs"/>
          <w:color w:val="000000"/>
          <w:sz w:val="24"/>
          <w:szCs w:val="28"/>
          <w:rtl/>
        </w:rPr>
        <w:t xml:space="preserve"> لا تنقضي به دعوى الدائن على من كفل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وجاء في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في صدد هذه المادة</w:t>
      </w:r>
      <w:r>
        <w:rPr>
          <w:rFonts w:cs="Traditional Arabic" w:hint="cs"/>
          <w:color w:val="000000"/>
          <w:sz w:val="24"/>
          <w:szCs w:val="28"/>
          <w:rtl/>
        </w:rPr>
        <w:t xml:space="preserve"> ،</w:t>
      </w:r>
      <w:r w:rsidRPr="00DC0143">
        <w:rPr>
          <w:rFonts w:cs="Traditional Arabic" w:hint="cs"/>
          <w:color w:val="000000"/>
          <w:sz w:val="24"/>
          <w:szCs w:val="28"/>
          <w:rtl/>
        </w:rPr>
        <w:t xml:space="preserve"> ما يأتي</w:t>
      </w:r>
      <w:r>
        <w:rPr>
          <w:rFonts w:cs="Traditional Arabic" w:hint="cs"/>
          <w:color w:val="000000"/>
          <w:sz w:val="24"/>
          <w:szCs w:val="28"/>
          <w:rtl/>
        </w:rPr>
        <w:t xml:space="preserve"> :</w:t>
      </w:r>
      <w:r w:rsidRPr="00DC0143">
        <w:rPr>
          <w:rFonts w:cs="Traditional Arabic" w:hint="cs"/>
          <w:color w:val="000000"/>
          <w:sz w:val="24"/>
          <w:szCs w:val="28"/>
          <w:rtl/>
        </w:rPr>
        <w:t xml:space="preserve"> "يطابق هذا النص المادة 2035 من للتقنين الفرنسي والمادة 735 من المشروع الفرنسي الإيطالي</w:t>
      </w:r>
      <w:r>
        <w:rPr>
          <w:rFonts w:cs="Traditional Arabic" w:hint="cs"/>
          <w:color w:val="000000"/>
          <w:sz w:val="24"/>
          <w:szCs w:val="28"/>
          <w:rtl/>
        </w:rPr>
        <w:t xml:space="preserve"> .</w:t>
      </w:r>
      <w:r w:rsidRPr="00DC0143">
        <w:rPr>
          <w:rFonts w:cs="Traditional Arabic" w:hint="cs"/>
          <w:color w:val="000000"/>
          <w:sz w:val="24"/>
          <w:szCs w:val="28"/>
          <w:rtl/>
        </w:rPr>
        <w:t xml:space="preserve"> وحكمه طبيعي إذ هنا لم تجتمع صفة دائن ومدين في شخص واحد</w:t>
      </w:r>
      <w:r>
        <w:rPr>
          <w:rFonts w:cs="Traditional Arabic" w:hint="cs"/>
          <w:color w:val="000000"/>
          <w:sz w:val="24"/>
          <w:szCs w:val="28"/>
          <w:rtl/>
        </w:rPr>
        <w:t xml:space="preserve"> ،</w:t>
      </w:r>
      <w:r w:rsidRPr="00DC0143">
        <w:rPr>
          <w:rFonts w:cs="Traditional Arabic" w:hint="cs"/>
          <w:color w:val="000000"/>
          <w:sz w:val="24"/>
          <w:szCs w:val="28"/>
          <w:rtl/>
        </w:rPr>
        <w:t xml:space="preserve"> بل الكفيل الذي كان ملزماً بصفة تبعية عن غيره أصبح ملتزماً بصفة أصلية</w:t>
      </w:r>
      <w:r>
        <w:rPr>
          <w:rFonts w:cs="Traditional Arabic" w:hint="cs"/>
          <w:color w:val="000000"/>
          <w:sz w:val="24"/>
          <w:szCs w:val="28"/>
          <w:rtl/>
        </w:rPr>
        <w:t xml:space="preserve"> ،</w:t>
      </w:r>
      <w:r w:rsidRPr="00DC0143">
        <w:rPr>
          <w:rFonts w:cs="Traditional Arabic" w:hint="cs"/>
          <w:color w:val="000000"/>
          <w:sz w:val="24"/>
          <w:szCs w:val="28"/>
          <w:rtl/>
        </w:rPr>
        <w:t xml:space="preserve"> أو المدين ورث الكفيل فأصبح كفيلا لنفسه</w:t>
      </w:r>
      <w:r>
        <w:rPr>
          <w:rFonts w:cs="Traditional Arabic" w:hint="cs"/>
          <w:color w:val="000000"/>
          <w:sz w:val="24"/>
          <w:szCs w:val="28"/>
          <w:rtl/>
        </w:rPr>
        <w:t xml:space="preserve"> .</w:t>
      </w:r>
      <w:r w:rsidRPr="00DC0143">
        <w:rPr>
          <w:rFonts w:cs="Traditional Arabic" w:hint="cs"/>
          <w:color w:val="000000"/>
          <w:sz w:val="24"/>
          <w:szCs w:val="28"/>
          <w:rtl/>
        </w:rPr>
        <w:t xml:space="preserve"> وعلى ذلك تبقى الضمانات الأخرى</w:t>
      </w:r>
      <w:r>
        <w:rPr>
          <w:rFonts w:cs="Traditional Arabic" w:hint="cs"/>
          <w:color w:val="000000"/>
          <w:sz w:val="24"/>
          <w:szCs w:val="28"/>
          <w:rtl/>
        </w:rPr>
        <w:t xml:space="preserve"> ،</w:t>
      </w:r>
      <w:r w:rsidRPr="00DC0143">
        <w:rPr>
          <w:rFonts w:cs="Traditional Arabic" w:hint="cs"/>
          <w:color w:val="000000"/>
          <w:sz w:val="24"/>
          <w:szCs w:val="28"/>
          <w:rtl/>
        </w:rPr>
        <w:t xml:space="preserve"> ويبقى التزام المصدق باقيا لفائدة الدائن</w:t>
      </w:r>
      <w:r>
        <w:rPr>
          <w:rFonts w:cs="Traditional Arabic" w:hint="cs"/>
          <w:color w:val="000000"/>
          <w:sz w:val="24"/>
          <w:szCs w:val="28"/>
          <w:rtl/>
        </w:rPr>
        <w:t xml:space="preserve"> ،</w:t>
      </w:r>
      <w:r w:rsidRPr="00DC0143">
        <w:rPr>
          <w:rFonts w:cs="Traditional Arabic" w:hint="cs"/>
          <w:color w:val="000000"/>
          <w:sz w:val="24"/>
          <w:szCs w:val="28"/>
          <w:rtl/>
        </w:rPr>
        <w:t xml:space="preserve"> خاصة وأن المصدق إنما جاء ليقوى مركز الكفيل الذي لم يعتبر ضمانه كافياً "</w:t>
      </w:r>
      <w:r>
        <w:rPr>
          <w:rFonts w:cs="Traditional Arabic" w:hint="cs"/>
          <w:color w:val="000000"/>
          <w:sz w:val="24"/>
          <w:szCs w:val="28"/>
          <w:rtl/>
        </w:rPr>
        <w:t xml:space="preserve"> .</w:t>
      </w:r>
      <w:r w:rsidRPr="00DC0143">
        <w:rPr>
          <w:rFonts w:cs="Traditional Arabic" w:hint="cs"/>
          <w:color w:val="000000"/>
          <w:sz w:val="24"/>
          <w:szCs w:val="28"/>
          <w:rtl/>
        </w:rPr>
        <w:t xml:space="preserve"> وقد حذفت هذه المادة في لجنة المراجعة "اكتفاء بتطبيق القواعد العامة"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5 ص 470 </w:t>
      </w:r>
      <w:r w:rsidRPr="00DC0143">
        <w:rPr>
          <w:rFonts w:cs="Traditional Arabic"/>
          <w:color w:val="000000"/>
          <w:sz w:val="24"/>
          <w:szCs w:val="28"/>
          <w:rtl/>
        </w:rPr>
        <w:t>–</w:t>
      </w:r>
      <w:r w:rsidRPr="00DC0143">
        <w:rPr>
          <w:rFonts w:cs="Traditional Arabic" w:hint="cs"/>
          <w:color w:val="000000"/>
          <w:sz w:val="24"/>
          <w:szCs w:val="28"/>
          <w:rtl/>
        </w:rPr>
        <w:t xml:space="preserve"> ص 472 في الهامش</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50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3 فقرة 571</w:t>
      </w:r>
      <w:r>
        <w:rPr>
          <w:rFonts w:cs="Traditional Arabic" w:hint="cs"/>
          <w:color w:val="000000"/>
          <w:sz w:val="24"/>
          <w:szCs w:val="28"/>
          <w:rtl/>
        </w:rPr>
        <w:t xml:space="preserve"> .</w:t>
      </w:r>
    </w:p>
  </w:footnote>
  <w:footnote w:id="50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ولا يجوز للدائن الذي يبرئ المدين أن يحتفظ بحقه ضد 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فإن رجوع الكفيل على المدين يصبح مستحيلا بإبراء المدين </w:t>
      </w:r>
      <w:r>
        <w:rPr>
          <w:rFonts w:cs="Traditional Arabic" w:hint="cs"/>
          <w:color w:val="000000"/>
          <w:sz w:val="24"/>
          <w:szCs w:val="28"/>
          <w:rtl/>
        </w:rPr>
        <w:t xml:space="preserve">( </w:t>
      </w:r>
      <w:r w:rsidRPr="00DC0143">
        <w:rPr>
          <w:rFonts w:cs="Traditional Arabic" w:hint="cs"/>
          <w:color w:val="000000"/>
          <w:sz w:val="24"/>
          <w:szCs w:val="28"/>
          <w:rtl/>
        </w:rPr>
        <w:t xml:space="preserve">بون 2 فقرة 407 </w:t>
      </w:r>
      <w:r w:rsidRPr="00DC0143">
        <w:rPr>
          <w:rFonts w:cs="Traditional Arabic"/>
          <w:color w:val="000000"/>
          <w:sz w:val="24"/>
          <w:szCs w:val="28"/>
          <w:rtl/>
        </w:rPr>
        <w:t>–</w:t>
      </w:r>
      <w:r w:rsidRPr="00DC0143">
        <w:rPr>
          <w:rFonts w:cs="Traditional Arabic" w:hint="cs"/>
          <w:color w:val="000000"/>
          <w:sz w:val="24"/>
          <w:szCs w:val="28"/>
          <w:rtl/>
        </w:rPr>
        <w:t xml:space="preserve"> ديمومب 28 فقرة 462 </w:t>
      </w:r>
      <w:r w:rsidRPr="00DC0143">
        <w:rPr>
          <w:rFonts w:cs="Traditional Arabic"/>
          <w:color w:val="000000"/>
          <w:sz w:val="24"/>
          <w:szCs w:val="28"/>
          <w:rtl/>
        </w:rPr>
        <w:t>–</w:t>
      </w:r>
      <w:r w:rsidRPr="00DC0143">
        <w:rPr>
          <w:rFonts w:cs="Traditional Arabic" w:hint="cs"/>
          <w:color w:val="000000"/>
          <w:sz w:val="24"/>
          <w:szCs w:val="28"/>
          <w:rtl/>
        </w:rPr>
        <w:t xml:space="preserve"> بودر وفال فقرة 1153</w:t>
      </w:r>
      <w:r>
        <w:rPr>
          <w:rFonts w:cs="Traditional Arabic" w:hint="cs"/>
          <w:color w:val="000000"/>
          <w:sz w:val="24"/>
          <w:szCs w:val="28"/>
          <w:rtl/>
        </w:rPr>
        <w:t xml:space="preserve"> ) .</w:t>
      </w:r>
      <w:r w:rsidRPr="00DC0143">
        <w:rPr>
          <w:rFonts w:cs="Traditional Arabic" w:hint="cs"/>
          <w:color w:val="000000"/>
          <w:sz w:val="24"/>
          <w:szCs w:val="28"/>
          <w:rtl/>
        </w:rPr>
        <w:t xml:space="preserve"> على أن الدائن يستطيع إذا أبرأ المدين</w:t>
      </w:r>
      <w:r>
        <w:rPr>
          <w:rFonts w:cs="Traditional Arabic" w:hint="cs"/>
          <w:color w:val="000000"/>
          <w:sz w:val="24"/>
          <w:szCs w:val="28"/>
          <w:rtl/>
        </w:rPr>
        <w:t xml:space="preserve"> ،</w:t>
      </w:r>
      <w:r w:rsidRPr="00DC0143">
        <w:rPr>
          <w:rFonts w:cs="Traditional Arabic" w:hint="cs"/>
          <w:color w:val="000000"/>
          <w:sz w:val="24"/>
          <w:szCs w:val="28"/>
          <w:rtl/>
        </w:rPr>
        <w:t xml:space="preserve"> أن يشترط ألا يحتج المدين بهذا الإبراء إذا اضطر الدائن أن يحل الكفيل محله ضد المدين </w:t>
      </w:r>
      <w:r>
        <w:rPr>
          <w:rFonts w:cs="Traditional Arabic" w:hint="cs"/>
          <w:color w:val="000000"/>
          <w:sz w:val="24"/>
          <w:szCs w:val="28"/>
          <w:rtl/>
        </w:rPr>
        <w:t xml:space="preserve">( </w:t>
      </w:r>
      <w:r w:rsidRPr="00DC0143">
        <w:rPr>
          <w:rFonts w:cs="Traditional Arabic" w:hint="cs"/>
          <w:color w:val="000000"/>
          <w:sz w:val="24"/>
          <w:szCs w:val="28"/>
          <w:rtl/>
        </w:rPr>
        <w:t>بودري وفال فقرة 1153</w:t>
      </w:r>
      <w:r>
        <w:rPr>
          <w:rFonts w:cs="Traditional Arabic" w:hint="cs"/>
          <w:color w:val="000000"/>
          <w:sz w:val="24"/>
          <w:szCs w:val="28"/>
          <w:rtl/>
        </w:rPr>
        <w:t xml:space="preserve"> ) .</w:t>
      </w:r>
    </w:p>
  </w:footnote>
  <w:footnote w:id="50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وتنص المادة 349/359 تجار على أن "للمدين مطالبة الشركاء في الدين بتمام دينه</w:t>
      </w:r>
      <w:r>
        <w:rPr>
          <w:rFonts w:cs="Traditional Arabic" w:hint="cs"/>
          <w:color w:val="000000"/>
          <w:sz w:val="24"/>
          <w:szCs w:val="28"/>
          <w:rtl/>
        </w:rPr>
        <w:t xml:space="preserve"> ،</w:t>
      </w:r>
      <w:r w:rsidRPr="00DC0143">
        <w:rPr>
          <w:rFonts w:cs="Traditional Arabic" w:hint="cs"/>
          <w:color w:val="000000"/>
          <w:sz w:val="24"/>
          <w:szCs w:val="28"/>
          <w:rtl/>
        </w:rPr>
        <w:t xml:space="preserve"> ولو حصل الصلح مع المفلس</w:t>
      </w:r>
      <w:r>
        <w:rPr>
          <w:rFonts w:cs="Traditional Arabic" w:hint="cs"/>
          <w:color w:val="000000"/>
          <w:sz w:val="24"/>
          <w:szCs w:val="28"/>
          <w:rtl/>
        </w:rPr>
        <w:t xml:space="preserve"> .</w:t>
      </w:r>
      <w:r w:rsidRPr="00DC0143">
        <w:rPr>
          <w:rFonts w:cs="Traditional Arabic" w:hint="cs"/>
          <w:color w:val="000000"/>
          <w:sz w:val="24"/>
          <w:szCs w:val="28"/>
          <w:rtl/>
        </w:rPr>
        <w:t xml:space="preserve"> ويدخل الكفيل في عموم عبارة الشركاء في الدين" كما يدخل المدين المتضامن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140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141</w:t>
      </w:r>
      <w:r>
        <w:rPr>
          <w:rFonts w:cs="Traditional Arabic" w:hint="cs"/>
          <w:color w:val="000000"/>
          <w:sz w:val="24"/>
          <w:szCs w:val="28"/>
          <w:rtl/>
        </w:rPr>
        <w:t xml:space="preserve"> .</w:t>
      </w:r>
    </w:p>
  </w:footnote>
  <w:footnote w:id="50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ولا يجوز للدائن أن يبرئ ذمة المدين الأصلي مع استيفائه الكفيل ملتزماً بالدين</w:t>
      </w:r>
      <w:r>
        <w:rPr>
          <w:rFonts w:cs="Traditional Arabic" w:hint="cs"/>
          <w:color w:val="000000"/>
          <w:sz w:val="24"/>
          <w:szCs w:val="28"/>
          <w:rtl/>
        </w:rPr>
        <w:t xml:space="preserve"> ،</w:t>
      </w:r>
      <w:r w:rsidRPr="00DC0143">
        <w:rPr>
          <w:rFonts w:cs="Traditional Arabic" w:hint="cs"/>
          <w:color w:val="000000"/>
          <w:sz w:val="24"/>
          <w:szCs w:val="28"/>
          <w:rtl/>
        </w:rPr>
        <w:t xml:space="preserve"> فإن حق التجريد المعطي للكفيل يمنع من ذلك</w:t>
      </w:r>
      <w:r>
        <w:rPr>
          <w:rFonts w:cs="Traditional Arabic" w:hint="cs"/>
          <w:color w:val="000000"/>
          <w:sz w:val="24"/>
          <w:szCs w:val="28"/>
          <w:rtl/>
        </w:rPr>
        <w:t xml:space="preserve"> .</w:t>
      </w:r>
      <w:r w:rsidRPr="00DC0143">
        <w:rPr>
          <w:rFonts w:cs="Traditional Arabic" w:hint="cs"/>
          <w:color w:val="000000"/>
          <w:sz w:val="24"/>
          <w:szCs w:val="28"/>
          <w:rtl/>
        </w:rPr>
        <w:t xml:space="preserve"> ولكن يظهر أنه يجوز للدائن الاحتفاظ بالكفيل إذا كان كفيلا متضامنا مع المدين أو كان كفيلا عينيا</w:t>
      </w:r>
      <w:r>
        <w:rPr>
          <w:rFonts w:cs="Traditional Arabic" w:hint="cs"/>
          <w:color w:val="000000"/>
          <w:sz w:val="24"/>
          <w:szCs w:val="28"/>
          <w:rtl/>
        </w:rPr>
        <w:t xml:space="preserve"> ،</w:t>
      </w:r>
      <w:r w:rsidRPr="00DC0143">
        <w:rPr>
          <w:rFonts w:cs="Traditional Arabic" w:hint="cs"/>
          <w:color w:val="000000"/>
          <w:sz w:val="24"/>
          <w:szCs w:val="28"/>
          <w:rtl/>
        </w:rPr>
        <w:t xml:space="preserve"> مع إبراء ذمة المدين الأصلي </w:t>
      </w:r>
      <w:r>
        <w:rPr>
          <w:rFonts w:cs="Traditional Arabic" w:hint="cs"/>
          <w:color w:val="000000"/>
          <w:sz w:val="24"/>
          <w:szCs w:val="28"/>
          <w:rtl/>
        </w:rPr>
        <w:t xml:space="preserve">( </w:t>
      </w:r>
      <w:r w:rsidRPr="00DC0143">
        <w:rPr>
          <w:rFonts w:cs="Traditional Arabic" w:hint="cs"/>
          <w:color w:val="000000"/>
          <w:sz w:val="24"/>
          <w:szCs w:val="28"/>
          <w:rtl/>
        </w:rPr>
        <w:t xml:space="preserve">انظر نفس الفقرة في الهامش </w:t>
      </w:r>
      <w:r w:rsidRPr="00DC0143">
        <w:rPr>
          <w:rFonts w:cs="Traditional Arabic"/>
          <w:color w:val="000000"/>
          <w:sz w:val="24"/>
          <w:szCs w:val="28"/>
          <w:rtl/>
        </w:rPr>
        <w:t>–</w:t>
      </w:r>
      <w:r w:rsidRPr="00DC0143">
        <w:rPr>
          <w:rFonts w:cs="Traditional Arabic" w:hint="cs"/>
          <w:color w:val="000000"/>
          <w:sz w:val="24"/>
          <w:szCs w:val="28"/>
          <w:rtl/>
        </w:rPr>
        <w:t xml:space="preserve"> الوسيط 3 فقرة 583 ص 978 هامش 1 بيدان ولا جارد 9 فقرة 1932</w:t>
      </w:r>
      <w:r>
        <w:rPr>
          <w:rFonts w:cs="Traditional Arabic" w:hint="cs"/>
          <w:color w:val="000000"/>
          <w:sz w:val="24"/>
          <w:szCs w:val="28"/>
          <w:rtl/>
        </w:rPr>
        <w:t xml:space="preserve"> ) .</w:t>
      </w:r>
    </w:p>
  </w:footnote>
  <w:footnote w:id="50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1155 أوبري ورو 6 فقرة 429 ص 296 هامش 6 ثالثاً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1551 </w:t>
      </w:r>
      <w:r w:rsidRPr="00DC0143">
        <w:rPr>
          <w:rFonts w:cs="Traditional Arabic"/>
          <w:color w:val="000000"/>
          <w:sz w:val="24"/>
          <w:szCs w:val="28"/>
          <w:rtl/>
        </w:rPr>
        <w:t>–</w:t>
      </w:r>
      <w:r w:rsidRPr="00DC0143">
        <w:rPr>
          <w:rFonts w:cs="Traditional Arabic" w:hint="cs"/>
          <w:color w:val="000000"/>
          <w:sz w:val="24"/>
          <w:szCs w:val="28"/>
          <w:rtl/>
        </w:rPr>
        <w:t xml:space="preserve"> نقض فرنسي 15 يناير سنة 1901 داللوز 1801 </w:t>
      </w:r>
      <w:r w:rsidRPr="00DC0143">
        <w:rPr>
          <w:rFonts w:cs="Traditional Arabic"/>
          <w:color w:val="000000"/>
          <w:sz w:val="24"/>
          <w:szCs w:val="28"/>
          <w:rtl/>
        </w:rPr>
        <w:t>–</w:t>
      </w:r>
      <w:r w:rsidRPr="00DC0143">
        <w:rPr>
          <w:rFonts w:cs="Traditional Arabic" w:hint="cs"/>
          <w:color w:val="000000"/>
          <w:sz w:val="24"/>
          <w:szCs w:val="28"/>
          <w:rtl/>
        </w:rPr>
        <w:t xml:space="preserve"> 1- 325</w:t>
      </w:r>
      <w:r>
        <w:rPr>
          <w:rFonts w:cs="Traditional Arabic" w:hint="cs"/>
          <w:color w:val="000000"/>
          <w:sz w:val="24"/>
          <w:szCs w:val="28"/>
          <w:rtl/>
        </w:rPr>
        <w:t xml:space="preserve"> .</w:t>
      </w:r>
      <w:r w:rsidRPr="00DC0143">
        <w:rPr>
          <w:rFonts w:cs="Traditional Arabic" w:hint="cs"/>
          <w:color w:val="000000"/>
          <w:sz w:val="24"/>
          <w:szCs w:val="28"/>
          <w:rtl/>
        </w:rPr>
        <w:t xml:space="preserve"> ولا يرجع الكفيل بما دفعه للدائن على المدين</w:t>
      </w:r>
      <w:r>
        <w:rPr>
          <w:rFonts w:cs="Traditional Arabic" w:hint="cs"/>
          <w:color w:val="000000"/>
          <w:sz w:val="24"/>
          <w:szCs w:val="28"/>
          <w:rtl/>
        </w:rPr>
        <w:t xml:space="preserve"> ،</w:t>
      </w:r>
      <w:r w:rsidRPr="00DC0143">
        <w:rPr>
          <w:rFonts w:cs="Traditional Arabic" w:hint="cs"/>
          <w:color w:val="000000"/>
          <w:sz w:val="24"/>
          <w:szCs w:val="28"/>
          <w:rtl/>
        </w:rPr>
        <w:t xml:space="preserve"> لأن هذا الأخير لا يلتزم بما استنزله من دينه نتيجة للصلح إلا التزاماً فلا تصح مطالبه به إجباراً وإن جاز له أن يدفعه اختيارا </w:t>
      </w:r>
      <w:r>
        <w:rPr>
          <w:rFonts w:cs="Traditional Arabic" w:hint="cs"/>
          <w:color w:val="000000"/>
          <w:sz w:val="24"/>
          <w:szCs w:val="28"/>
          <w:rtl/>
        </w:rPr>
        <w:t xml:space="preserve">( </w:t>
      </w:r>
      <w:r w:rsidRPr="00DC0143">
        <w:rPr>
          <w:rFonts w:cs="Traditional Arabic" w:hint="cs"/>
          <w:color w:val="000000"/>
          <w:sz w:val="24"/>
          <w:szCs w:val="28"/>
          <w:rtl/>
        </w:rPr>
        <w:t>عبد الفتاح عبد الباقي فقرة 140</w:t>
      </w:r>
      <w:r>
        <w:rPr>
          <w:rFonts w:cs="Traditional Arabic" w:hint="cs"/>
          <w:color w:val="000000"/>
          <w:sz w:val="24"/>
          <w:szCs w:val="28"/>
          <w:rtl/>
        </w:rPr>
        <w:t xml:space="preserve"> ) .</w:t>
      </w:r>
    </w:p>
  </w:footnote>
  <w:footnote w:id="50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نصت المادة 1091 لبناني على "أن إبراء المديون من الدين يبرء ذمة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ولكن إبراء ذمة الكفيل لا يبرء ذمة المديون</w:t>
      </w:r>
      <w:r>
        <w:rPr>
          <w:rFonts w:cs="Traditional Arabic" w:hint="cs"/>
          <w:color w:val="000000"/>
          <w:sz w:val="24"/>
          <w:szCs w:val="28"/>
          <w:rtl/>
        </w:rPr>
        <w:t xml:space="preserve"> .</w:t>
      </w:r>
      <w:r w:rsidRPr="00DC0143">
        <w:rPr>
          <w:rFonts w:cs="Traditional Arabic" w:hint="cs"/>
          <w:color w:val="000000"/>
          <w:sz w:val="24"/>
          <w:szCs w:val="28"/>
          <w:rtl/>
        </w:rPr>
        <w:t xml:space="preserve"> وإبراء أحد للكفلاء بدون رضاء الآخرين يبرء هؤلاء بقدر حصة الكفيل الذي أبرئت ذمته"</w:t>
      </w:r>
      <w:r>
        <w:rPr>
          <w:rFonts w:cs="Traditional Arabic" w:hint="cs"/>
          <w:color w:val="000000"/>
          <w:sz w:val="24"/>
          <w:szCs w:val="28"/>
          <w:rtl/>
        </w:rPr>
        <w:t xml:space="preserve"> .</w:t>
      </w:r>
    </w:p>
  </w:footnote>
  <w:footnote w:id="50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كل ذلك الوسيط 3 فقرة 583</w:t>
      </w:r>
      <w:r>
        <w:rPr>
          <w:rFonts w:cs="Traditional Arabic" w:hint="cs"/>
          <w:color w:val="000000"/>
          <w:sz w:val="24"/>
          <w:szCs w:val="28"/>
          <w:rtl/>
        </w:rPr>
        <w:t xml:space="preserve"> .</w:t>
      </w:r>
    </w:p>
  </w:footnote>
  <w:footnote w:id="51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1156</w:t>
      </w:r>
      <w:r>
        <w:rPr>
          <w:rFonts w:cs="Traditional Arabic" w:hint="cs"/>
          <w:color w:val="000000"/>
          <w:sz w:val="24"/>
          <w:szCs w:val="28"/>
          <w:rtl/>
        </w:rPr>
        <w:t xml:space="preserve"> .</w:t>
      </w:r>
    </w:p>
  </w:footnote>
  <w:footnote w:id="51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140</w:t>
      </w:r>
      <w:r>
        <w:rPr>
          <w:rFonts w:cs="Traditional Arabic" w:hint="cs"/>
          <w:color w:val="000000"/>
          <w:sz w:val="24"/>
          <w:szCs w:val="28"/>
          <w:rtl/>
        </w:rPr>
        <w:t xml:space="preserve"> .</w:t>
      </w:r>
    </w:p>
  </w:footnote>
  <w:footnote w:id="51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1164</w:t>
      </w:r>
      <w:r>
        <w:rPr>
          <w:rFonts w:cs="Traditional Arabic" w:hint="cs"/>
          <w:color w:val="000000"/>
          <w:sz w:val="24"/>
          <w:szCs w:val="28"/>
          <w:rtl/>
        </w:rPr>
        <w:t xml:space="preserve"> .</w:t>
      </w:r>
    </w:p>
  </w:footnote>
  <w:footnote w:id="51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الوسيط 3 فقرة 589 ص 989 هامش 1</w:t>
      </w:r>
      <w:r>
        <w:rPr>
          <w:rFonts w:cs="Traditional Arabic" w:hint="cs"/>
          <w:color w:val="000000"/>
          <w:sz w:val="24"/>
          <w:szCs w:val="28"/>
          <w:rtl/>
        </w:rPr>
        <w:t xml:space="preserve"> .</w:t>
      </w:r>
    </w:p>
  </w:footnote>
  <w:footnote w:id="51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18 مارس سنة 1895 داللوز 95 </w:t>
      </w:r>
      <w:r w:rsidRPr="00DC0143">
        <w:rPr>
          <w:rFonts w:cs="Traditional Arabic"/>
          <w:color w:val="000000"/>
          <w:sz w:val="24"/>
          <w:szCs w:val="28"/>
          <w:rtl/>
        </w:rPr>
        <w:t>–</w:t>
      </w:r>
      <w:r w:rsidRPr="00DC0143">
        <w:rPr>
          <w:rFonts w:cs="Traditional Arabic" w:hint="cs"/>
          <w:color w:val="000000"/>
          <w:sz w:val="24"/>
          <w:szCs w:val="28"/>
          <w:rtl/>
        </w:rPr>
        <w:t xml:space="preserve"> 1- 367 </w:t>
      </w:r>
      <w:r w:rsidRPr="00DC0143">
        <w:rPr>
          <w:rFonts w:cs="Traditional Arabic"/>
          <w:color w:val="000000"/>
          <w:sz w:val="24"/>
          <w:szCs w:val="28"/>
          <w:rtl/>
        </w:rPr>
        <w:t>–</w:t>
      </w:r>
      <w:r w:rsidRPr="00DC0143">
        <w:rPr>
          <w:rFonts w:cs="Traditional Arabic" w:hint="cs"/>
          <w:color w:val="000000"/>
          <w:sz w:val="24"/>
          <w:szCs w:val="28"/>
          <w:rtl/>
        </w:rPr>
        <w:t xml:space="preserve"> 2 أغسطس سنة 1904 سبريه 1905 </w:t>
      </w:r>
      <w:r w:rsidRPr="00DC0143">
        <w:rPr>
          <w:rFonts w:cs="Traditional Arabic"/>
          <w:color w:val="000000"/>
          <w:sz w:val="24"/>
          <w:szCs w:val="28"/>
          <w:rtl/>
        </w:rPr>
        <w:t>–</w:t>
      </w:r>
      <w:r w:rsidRPr="00DC0143">
        <w:rPr>
          <w:rFonts w:cs="Traditional Arabic" w:hint="cs"/>
          <w:color w:val="000000"/>
          <w:sz w:val="24"/>
          <w:szCs w:val="28"/>
          <w:rtl/>
        </w:rPr>
        <w:t xml:space="preserve"> 1- 1 185 </w:t>
      </w:r>
      <w:r w:rsidRPr="00DC0143">
        <w:rPr>
          <w:rFonts w:cs="Traditional Arabic"/>
          <w:color w:val="000000"/>
          <w:sz w:val="24"/>
          <w:szCs w:val="28"/>
          <w:rtl/>
        </w:rPr>
        <w:t>–</w:t>
      </w:r>
      <w:r w:rsidRPr="00DC0143">
        <w:rPr>
          <w:rFonts w:cs="Traditional Arabic" w:hint="cs"/>
          <w:color w:val="000000"/>
          <w:sz w:val="24"/>
          <w:szCs w:val="28"/>
          <w:rtl/>
        </w:rPr>
        <w:t xml:space="preserve"> جيوار فقرة 161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1165</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51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سبق أن قررنا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"كذلك إذا قطع الدائن التقادم ضد الكيل</w:t>
      </w:r>
      <w:r>
        <w:rPr>
          <w:rFonts w:cs="Traditional Arabic" w:hint="cs"/>
          <w:color w:val="000000"/>
          <w:sz w:val="24"/>
          <w:szCs w:val="28"/>
          <w:rtl/>
        </w:rPr>
        <w:t xml:space="preserve"> ،</w:t>
      </w:r>
      <w:r w:rsidRPr="00DC0143">
        <w:rPr>
          <w:rFonts w:cs="Traditional Arabic" w:hint="cs"/>
          <w:color w:val="000000"/>
          <w:sz w:val="24"/>
          <w:szCs w:val="28"/>
          <w:rtl/>
        </w:rPr>
        <w:t xml:space="preserve"> لم ينقطع التقادم ضد المدين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ويترتب على ذلك أن التقادم قد لا يكتمل بالنسبة إلى الكفيل بسبب انقطاعه</w:t>
      </w:r>
      <w:r>
        <w:rPr>
          <w:rFonts w:cs="Traditional Arabic" w:hint="cs"/>
          <w:color w:val="000000"/>
          <w:sz w:val="24"/>
          <w:szCs w:val="28"/>
          <w:rtl/>
        </w:rPr>
        <w:t xml:space="preserve"> ،</w:t>
      </w:r>
      <w:r w:rsidRPr="00DC0143">
        <w:rPr>
          <w:rFonts w:cs="Traditional Arabic" w:hint="cs"/>
          <w:color w:val="000000"/>
          <w:sz w:val="24"/>
          <w:szCs w:val="28"/>
          <w:rtl/>
        </w:rPr>
        <w:t xml:space="preserve"> ويكتمل التقادم بالنسبة إلى المدين الأصلي إذ هو لم ينقطع بانقطاع التقادم ضد 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فعند ذلك يسقط دين المدين الأصلي بالتقادم</w:t>
      </w:r>
      <w:r>
        <w:rPr>
          <w:rFonts w:cs="Traditional Arabic" w:hint="cs"/>
          <w:color w:val="000000"/>
          <w:sz w:val="24"/>
          <w:szCs w:val="28"/>
          <w:rtl/>
        </w:rPr>
        <w:t xml:space="preserve"> ،</w:t>
      </w:r>
      <w:r w:rsidRPr="00DC0143">
        <w:rPr>
          <w:rFonts w:cs="Traditional Arabic" w:hint="cs"/>
          <w:color w:val="000000"/>
          <w:sz w:val="24"/>
          <w:szCs w:val="28"/>
          <w:rtl/>
        </w:rPr>
        <w:t xml:space="preserve"> ويسقط تبعا له التزام الكفيل بالرغم من عدم تقادمه</w:t>
      </w:r>
      <w:r>
        <w:rPr>
          <w:rFonts w:cs="Traditional Arabic" w:hint="cs"/>
          <w:color w:val="000000"/>
          <w:sz w:val="24"/>
          <w:szCs w:val="28"/>
          <w:rtl/>
        </w:rPr>
        <w:t xml:space="preserve"> ،</w:t>
      </w:r>
      <w:r w:rsidRPr="00DC0143">
        <w:rPr>
          <w:rFonts w:cs="Traditional Arabic" w:hint="cs"/>
          <w:color w:val="000000"/>
          <w:sz w:val="24"/>
          <w:szCs w:val="28"/>
          <w:rtl/>
        </w:rPr>
        <w:t xml:space="preserve"> إذ هو التزام تبعي يسقط بسقوط الالتزام الأصلي" </w:t>
      </w:r>
      <w:r>
        <w:rPr>
          <w:rFonts w:cs="Traditional Arabic" w:hint="cs"/>
          <w:color w:val="000000"/>
          <w:sz w:val="24"/>
          <w:szCs w:val="28"/>
          <w:rtl/>
        </w:rPr>
        <w:t xml:space="preserve">( </w:t>
      </w:r>
      <w:r w:rsidRPr="00DC0143">
        <w:rPr>
          <w:rFonts w:cs="Traditional Arabic" w:hint="cs"/>
          <w:color w:val="000000"/>
          <w:sz w:val="24"/>
          <w:szCs w:val="28"/>
          <w:rtl/>
        </w:rPr>
        <w:t>الوسيط 3 فقرة 639 ص 122 وهامش 3</w:t>
      </w:r>
      <w:r>
        <w:rPr>
          <w:rFonts w:cs="Traditional Arabic" w:hint="cs"/>
          <w:color w:val="000000"/>
          <w:sz w:val="24"/>
          <w:szCs w:val="28"/>
          <w:rtl/>
        </w:rPr>
        <w:t xml:space="preserve"> ) .</w:t>
      </w:r>
    </w:p>
  </w:footnote>
  <w:footnote w:id="51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وهذا على خلاف التقنين المدني الفرنسي </w:t>
      </w:r>
      <w:r>
        <w:rPr>
          <w:rFonts w:cs="Traditional Arabic" w:hint="cs"/>
          <w:color w:val="000000"/>
          <w:sz w:val="24"/>
          <w:szCs w:val="28"/>
          <w:rtl/>
        </w:rPr>
        <w:t xml:space="preserve">( </w:t>
      </w:r>
      <w:r w:rsidRPr="00DC0143">
        <w:rPr>
          <w:rFonts w:cs="Traditional Arabic" w:hint="cs"/>
          <w:color w:val="000000"/>
          <w:sz w:val="24"/>
          <w:szCs w:val="28"/>
          <w:rtl/>
        </w:rPr>
        <w:t>م 2250</w:t>
      </w:r>
      <w:r>
        <w:rPr>
          <w:rFonts w:cs="Traditional Arabic" w:hint="cs"/>
          <w:color w:val="000000"/>
          <w:sz w:val="24"/>
          <w:szCs w:val="28"/>
          <w:rtl/>
        </w:rPr>
        <w:t xml:space="preserve"> ) ،</w:t>
      </w:r>
      <w:r w:rsidRPr="00DC0143">
        <w:rPr>
          <w:rFonts w:cs="Traditional Arabic" w:hint="cs"/>
          <w:color w:val="000000"/>
          <w:sz w:val="24"/>
          <w:szCs w:val="28"/>
          <w:rtl/>
        </w:rPr>
        <w:t xml:space="preserve"> فإن قطع التقادم بالنسبة إلى المدين الأصلي بقطع التقادم بالنسبة إلى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وتنص المادة 1095 لبناني على "أن انقطاع حكم مرور الزمن على المديون الأصلي يجري مفعوله على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ومرور الزمن الذي تم لمصلحة المديون الأصلي يستفيد منه الكفيل"</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وقد سبق أن قررنا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"وإذا قطع الدائن التقادم ضد المدين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لم ينقطع التقادم ضد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وقد قضت محكمة النقض بأن مالية المدين واستصدار حكم عليه بالدين لا يغير مدة التقادم بالنسبة إلى الكفيل المتضامن إذا كان لم يطالب ولم يحكم عليه معه </w:t>
      </w:r>
      <w:r>
        <w:rPr>
          <w:rFonts w:cs="Traditional Arabic" w:hint="cs"/>
          <w:color w:val="000000"/>
          <w:sz w:val="24"/>
          <w:szCs w:val="28"/>
          <w:rtl/>
        </w:rPr>
        <w:t xml:space="preserve">( </w:t>
      </w:r>
      <w:r w:rsidRPr="00DC0143">
        <w:rPr>
          <w:rFonts w:cs="Traditional Arabic" w:hint="cs"/>
          <w:color w:val="000000"/>
          <w:sz w:val="24"/>
          <w:szCs w:val="28"/>
          <w:rtl/>
        </w:rPr>
        <w:t xml:space="preserve">نقض مدني 6 يونيه 1944 مجموعة عمر 3 رقم 67 ص 239 </w:t>
      </w:r>
      <w:r w:rsidRPr="00DC0143">
        <w:rPr>
          <w:rFonts w:cs="Traditional Arabic"/>
          <w:color w:val="000000"/>
          <w:sz w:val="24"/>
          <w:szCs w:val="28"/>
          <w:rtl/>
        </w:rPr>
        <w:t>–</w:t>
      </w:r>
      <w:r w:rsidRPr="00DC0143">
        <w:rPr>
          <w:rFonts w:cs="Traditional Arabic" w:hint="cs"/>
          <w:color w:val="000000"/>
          <w:sz w:val="24"/>
          <w:szCs w:val="28"/>
          <w:rtl/>
        </w:rPr>
        <w:t xml:space="preserve"> انظر عكس ذلك المادة 2250 مدني فرنسي</w:t>
      </w:r>
      <w:r>
        <w:rPr>
          <w:rFonts w:cs="Traditional Arabic" w:hint="cs"/>
          <w:color w:val="000000"/>
          <w:sz w:val="24"/>
          <w:szCs w:val="28"/>
          <w:rtl/>
        </w:rPr>
        <w:t xml:space="preserve"> ،</w:t>
      </w:r>
      <w:r w:rsidRPr="00DC0143">
        <w:rPr>
          <w:rFonts w:cs="Traditional Arabic" w:hint="cs"/>
          <w:color w:val="000000"/>
          <w:sz w:val="24"/>
          <w:szCs w:val="28"/>
          <w:rtl/>
        </w:rPr>
        <w:t xml:space="preserve"> وينتقد الفقه الفرنسي ما ورد في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بودري وتيسييه فقرة 565" </w:t>
      </w:r>
      <w:r>
        <w:rPr>
          <w:rFonts w:cs="Traditional Arabic" w:hint="cs"/>
          <w:color w:val="000000"/>
          <w:sz w:val="24"/>
          <w:szCs w:val="28"/>
          <w:rtl/>
        </w:rPr>
        <w:t xml:space="preserve">( </w:t>
      </w:r>
      <w:r w:rsidRPr="00DC0143">
        <w:rPr>
          <w:rFonts w:cs="Traditional Arabic" w:hint="cs"/>
          <w:color w:val="000000"/>
          <w:sz w:val="24"/>
          <w:szCs w:val="28"/>
          <w:rtl/>
        </w:rPr>
        <w:t>الوسيط 3 فقرة 639 ص 1122 هامش4</w:t>
      </w:r>
      <w:r>
        <w:rPr>
          <w:rFonts w:cs="Traditional Arabic" w:hint="cs"/>
          <w:color w:val="000000"/>
          <w:sz w:val="24"/>
          <w:szCs w:val="28"/>
          <w:rtl/>
        </w:rPr>
        <w:t xml:space="preserve"> ) .</w:t>
      </w:r>
    </w:p>
  </w:footnote>
  <w:footnote w:id="51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161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1165</w:t>
      </w:r>
      <w:r>
        <w:rPr>
          <w:rFonts w:cs="Traditional Arabic" w:hint="cs"/>
          <w:color w:val="000000"/>
          <w:sz w:val="24"/>
          <w:szCs w:val="28"/>
          <w:rtl/>
        </w:rPr>
        <w:t xml:space="preserve"> .</w:t>
      </w:r>
    </w:p>
  </w:footnote>
  <w:footnote w:id="51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141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142</w:t>
      </w:r>
      <w:r>
        <w:rPr>
          <w:rFonts w:cs="Traditional Arabic" w:hint="cs"/>
          <w:color w:val="000000"/>
          <w:sz w:val="24"/>
          <w:szCs w:val="28"/>
          <w:rtl/>
        </w:rPr>
        <w:t xml:space="preserve"> .</w:t>
      </w:r>
    </w:p>
  </w:footnote>
  <w:footnote w:id="51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228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1168</w:t>
      </w:r>
      <w:r>
        <w:rPr>
          <w:rFonts w:cs="Traditional Arabic" w:hint="cs"/>
          <w:color w:val="000000"/>
          <w:sz w:val="24"/>
          <w:szCs w:val="28"/>
          <w:rtl/>
        </w:rPr>
        <w:t xml:space="preserve"> .</w:t>
      </w:r>
    </w:p>
  </w:footnote>
  <w:footnote w:id="52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وسافاتييه فقرة 1552 ص 1002</w:t>
      </w:r>
      <w:r>
        <w:rPr>
          <w:rFonts w:cs="Traditional Arabic" w:hint="cs"/>
          <w:color w:val="000000"/>
          <w:sz w:val="24"/>
          <w:szCs w:val="28"/>
          <w:rtl/>
        </w:rPr>
        <w:t xml:space="preserve"> .</w:t>
      </w:r>
    </w:p>
  </w:footnote>
  <w:footnote w:id="52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1169</w:t>
      </w:r>
      <w:r>
        <w:rPr>
          <w:rFonts w:cs="Traditional Arabic" w:hint="cs"/>
          <w:color w:val="000000"/>
          <w:sz w:val="24"/>
          <w:szCs w:val="28"/>
          <w:rtl/>
        </w:rPr>
        <w:t xml:space="preserve"> .</w:t>
      </w:r>
    </w:p>
  </w:footnote>
  <w:footnote w:id="52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ولا تقع المقاصة بين دين للدائن في ذمة الكفيل ودين لكفيل غير متضامن في ذمة الدائن</w:t>
      </w:r>
      <w:r>
        <w:rPr>
          <w:rFonts w:cs="Traditional Arabic" w:hint="cs"/>
          <w:color w:val="000000"/>
          <w:sz w:val="24"/>
          <w:szCs w:val="28"/>
          <w:rtl/>
        </w:rPr>
        <w:t xml:space="preserve"> ،</w:t>
      </w:r>
      <w:r w:rsidRPr="00DC0143">
        <w:rPr>
          <w:rFonts w:cs="Traditional Arabic" w:hint="cs"/>
          <w:color w:val="000000"/>
          <w:sz w:val="24"/>
          <w:szCs w:val="28"/>
          <w:rtl/>
        </w:rPr>
        <w:t xml:space="preserve"> إذ الدينان هنا غير متقابلين</w:t>
      </w:r>
      <w:r>
        <w:rPr>
          <w:rFonts w:cs="Traditional Arabic" w:hint="cs"/>
          <w:color w:val="000000"/>
          <w:sz w:val="24"/>
          <w:szCs w:val="28"/>
          <w:rtl/>
        </w:rPr>
        <w:t xml:space="preserve"> ،</w:t>
      </w:r>
      <w:r w:rsidRPr="00DC0143">
        <w:rPr>
          <w:rFonts w:cs="Traditional Arabic" w:hint="cs"/>
          <w:color w:val="000000"/>
          <w:sz w:val="24"/>
          <w:szCs w:val="28"/>
          <w:rtl/>
        </w:rPr>
        <w:t xml:space="preserve"> فأحدهما في ذمة المدين للدائن والآخر في ذمة الدائن الكفيل لا للمدين</w:t>
      </w:r>
      <w:r>
        <w:rPr>
          <w:rFonts w:cs="Traditional Arabic" w:hint="cs"/>
          <w:color w:val="000000"/>
          <w:sz w:val="24"/>
          <w:szCs w:val="28"/>
          <w:rtl/>
        </w:rPr>
        <w:t xml:space="preserve"> .</w:t>
      </w:r>
      <w:r w:rsidRPr="00DC0143">
        <w:rPr>
          <w:rFonts w:cs="Traditional Arabic" w:hint="cs"/>
          <w:color w:val="000000"/>
          <w:sz w:val="24"/>
          <w:szCs w:val="28"/>
          <w:rtl/>
        </w:rPr>
        <w:t xml:space="preserve"> ولكن يجوز للكفيل أن يتمسك بالمقاصة في دين له على الدائن</w:t>
      </w:r>
      <w:r>
        <w:rPr>
          <w:rFonts w:cs="Traditional Arabic" w:hint="cs"/>
          <w:color w:val="000000"/>
          <w:sz w:val="24"/>
          <w:szCs w:val="28"/>
          <w:rtl/>
        </w:rPr>
        <w:t xml:space="preserve"> ،</w:t>
      </w:r>
      <w:r w:rsidRPr="00DC0143">
        <w:rPr>
          <w:rFonts w:cs="Traditional Arabic" w:hint="cs"/>
          <w:color w:val="000000"/>
          <w:sz w:val="24"/>
          <w:szCs w:val="28"/>
          <w:rtl/>
        </w:rPr>
        <w:t xml:space="preserve"> إذ هو يفي بالدين المكفول عن طريق المقصاة</w:t>
      </w:r>
      <w:r>
        <w:rPr>
          <w:rFonts w:cs="Traditional Arabic" w:hint="cs"/>
          <w:color w:val="000000"/>
          <w:sz w:val="24"/>
          <w:szCs w:val="28"/>
          <w:rtl/>
        </w:rPr>
        <w:t xml:space="preserve"> .</w:t>
      </w:r>
      <w:r w:rsidRPr="00DC0143">
        <w:rPr>
          <w:rFonts w:cs="Traditional Arabic" w:hint="cs"/>
          <w:color w:val="000000"/>
          <w:sz w:val="24"/>
          <w:szCs w:val="28"/>
          <w:rtl/>
        </w:rPr>
        <w:t xml:space="preserve"> ولكن المقاصة هنا اختيارية القانونية</w:t>
      </w:r>
      <w:r>
        <w:rPr>
          <w:rFonts w:cs="Traditional Arabic" w:hint="cs"/>
          <w:color w:val="000000"/>
          <w:sz w:val="24"/>
          <w:szCs w:val="28"/>
          <w:rtl/>
        </w:rPr>
        <w:t xml:space="preserve"> ،</w:t>
      </w:r>
      <w:r w:rsidRPr="00DC0143">
        <w:rPr>
          <w:rFonts w:cs="Traditional Arabic" w:hint="cs"/>
          <w:color w:val="000000"/>
          <w:sz w:val="24"/>
          <w:szCs w:val="28"/>
          <w:rtl/>
        </w:rPr>
        <w:t xml:space="preserve"> فلا ينقضي الدينان إلا م وقت التمسك بالمقاصة</w:t>
      </w:r>
      <w:r>
        <w:rPr>
          <w:rFonts w:cs="Traditional Arabic" w:hint="cs"/>
          <w:color w:val="000000"/>
          <w:sz w:val="24"/>
          <w:szCs w:val="28"/>
          <w:rtl/>
        </w:rPr>
        <w:t xml:space="preserve"> .</w:t>
      </w:r>
      <w:r w:rsidRPr="00DC0143">
        <w:rPr>
          <w:rFonts w:cs="Traditional Arabic" w:hint="cs"/>
          <w:color w:val="000000"/>
          <w:sz w:val="24"/>
          <w:szCs w:val="28"/>
          <w:rtl/>
        </w:rPr>
        <w:t xml:space="preserve"> ولا يجوز للدائن أن يرجع على المدين بعد ذلك</w:t>
      </w:r>
      <w:r>
        <w:rPr>
          <w:rFonts w:cs="Traditional Arabic" w:hint="cs"/>
          <w:color w:val="000000"/>
          <w:sz w:val="24"/>
          <w:szCs w:val="28"/>
          <w:rtl/>
        </w:rPr>
        <w:t xml:space="preserve"> ،</w:t>
      </w:r>
      <w:r w:rsidRPr="00DC0143">
        <w:rPr>
          <w:rFonts w:cs="Traditional Arabic" w:hint="cs"/>
          <w:color w:val="000000"/>
          <w:sz w:val="24"/>
          <w:szCs w:val="28"/>
          <w:rtl/>
        </w:rPr>
        <w:t xml:space="preserve"> فقد استوفى حقه من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ويستطيع الكفيل أن يتمسك بالمقاصة بين الدين الذي كفله ودين للمدين في ذمة الدائن</w:t>
      </w:r>
      <w:r>
        <w:rPr>
          <w:rFonts w:cs="Traditional Arabic" w:hint="cs"/>
          <w:color w:val="000000"/>
          <w:sz w:val="24"/>
          <w:szCs w:val="28"/>
          <w:rtl/>
        </w:rPr>
        <w:t xml:space="preserve"> ،</w:t>
      </w:r>
      <w:r w:rsidRPr="00DC0143">
        <w:rPr>
          <w:rFonts w:cs="Traditional Arabic" w:hint="cs"/>
          <w:color w:val="000000"/>
          <w:sz w:val="24"/>
          <w:szCs w:val="28"/>
          <w:rtl/>
        </w:rPr>
        <w:t xml:space="preserve"> لأن مديونيته تابعة لمديونية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فإذا تخلص المدين من مديونيته عن طريق المقاصة تخلص الكفيل تبعاً لذلك</w:t>
      </w:r>
      <w:r>
        <w:rPr>
          <w:rFonts w:cs="Traditional Arabic" w:hint="cs"/>
          <w:color w:val="000000"/>
          <w:sz w:val="24"/>
          <w:szCs w:val="28"/>
          <w:rtl/>
        </w:rPr>
        <w:t xml:space="preserve"> .</w:t>
      </w:r>
      <w:r w:rsidRPr="00DC0143">
        <w:rPr>
          <w:rFonts w:cs="Traditional Arabic" w:hint="cs"/>
          <w:color w:val="000000"/>
          <w:sz w:val="24"/>
          <w:szCs w:val="28"/>
          <w:rtl/>
        </w:rPr>
        <w:t xml:space="preserve"> وقد نصت المادة 1294 مدني فرنسي على هذه الأحكام صراحة</w:t>
      </w:r>
      <w:r>
        <w:rPr>
          <w:rFonts w:cs="Traditional Arabic" w:hint="cs"/>
          <w:color w:val="000000"/>
          <w:sz w:val="24"/>
          <w:szCs w:val="28"/>
          <w:rtl/>
        </w:rPr>
        <w:t xml:space="preserve"> ،</w:t>
      </w:r>
      <w:r w:rsidRPr="00DC0143">
        <w:rPr>
          <w:rFonts w:cs="Traditional Arabic" w:hint="cs"/>
          <w:color w:val="000000"/>
          <w:sz w:val="24"/>
          <w:szCs w:val="28"/>
          <w:rtl/>
        </w:rPr>
        <w:t xml:space="preserve"> إذ تقول</w:t>
      </w:r>
      <w:r>
        <w:rPr>
          <w:rFonts w:cs="Traditional Arabic" w:hint="cs"/>
          <w:color w:val="000000"/>
          <w:sz w:val="24"/>
          <w:szCs w:val="28"/>
          <w:rtl/>
        </w:rPr>
        <w:t xml:space="preserve"> :</w:t>
      </w:r>
      <w:r w:rsidRPr="00DC0143">
        <w:rPr>
          <w:rFonts w:cs="Traditional Arabic" w:hint="cs"/>
          <w:color w:val="000000"/>
          <w:sz w:val="24"/>
          <w:szCs w:val="28"/>
          <w:rtl/>
        </w:rPr>
        <w:t xml:space="preserve"> "يجوز الكفيل أن يتمسك بالمقاصة في دين على الدائن للمدين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ولكن لا يجوز للمدين الأصلي أن يتمسك بالمقاصة في دين على الدائن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3 فقرة 593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429 ص 297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1554</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ولا يجوز للدائن أن يتمسك بالمقاصة بين حقه ودين له على الكفيل</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لم يكن للكفيل الحق في التمسك بعدم جواز مطالبه أولا أو بالدفع بالتجريد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144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143 ص 157</w:t>
      </w:r>
      <w:r>
        <w:rPr>
          <w:rFonts w:cs="Traditional Arabic" w:hint="cs"/>
          <w:color w:val="000000"/>
          <w:sz w:val="24"/>
          <w:szCs w:val="28"/>
          <w:rtl/>
        </w:rPr>
        <w:t xml:space="preserve"> ) .</w:t>
      </w:r>
    </w:p>
  </w:footnote>
  <w:footnote w:id="52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قضت المادة 1090 لبناني على "أن إيفاء الكفيل للدين يبرئ ذمة الكفيل والمديون الأصلي معاً</w:t>
      </w:r>
      <w:r>
        <w:rPr>
          <w:rFonts w:cs="Traditional Arabic" w:hint="cs"/>
          <w:color w:val="000000"/>
          <w:sz w:val="24"/>
          <w:szCs w:val="28"/>
          <w:rtl/>
        </w:rPr>
        <w:t xml:space="preserve"> .</w:t>
      </w:r>
      <w:r w:rsidRPr="00DC0143">
        <w:rPr>
          <w:rFonts w:cs="Traditional Arabic" w:hint="cs"/>
          <w:color w:val="000000"/>
          <w:sz w:val="24"/>
          <w:szCs w:val="28"/>
          <w:rtl/>
        </w:rPr>
        <w:t xml:space="preserve"> وكذلك إحالة الكفيل للدائن على شخص ثالث إذا قبل الدائن والشخص الثالث هذه الإحالة </w:t>
      </w:r>
      <w:r w:rsidRPr="00DC0143">
        <w:rPr>
          <w:rFonts w:cs="Traditional Arabic"/>
          <w:color w:val="000000"/>
          <w:sz w:val="24"/>
          <w:szCs w:val="28"/>
          <w:rtl/>
        </w:rPr>
        <w:t>–</w:t>
      </w:r>
      <w:r w:rsidRPr="00DC0143">
        <w:rPr>
          <w:rFonts w:cs="Traditional Arabic" w:hint="cs"/>
          <w:color w:val="000000"/>
          <w:sz w:val="24"/>
          <w:szCs w:val="28"/>
          <w:rtl/>
        </w:rPr>
        <w:t xml:space="preserve"> وإيداع الشيء الواجب إذا تم على وجه صحيح</w:t>
      </w:r>
      <w:r>
        <w:rPr>
          <w:rFonts w:cs="Traditional Arabic" w:hint="cs"/>
          <w:color w:val="000000"/>
          <w:sz w:val="24"/>
          <w:szCs w:val="28"/>
          <w:rtl/>
        </w:rPr>
        <w:t xml:space="preserve"> ،</w:t>
      </w:r>
      <w:r w:rsidRPr="00DC0143">
        <w:rPr>
          <w:rFonts w:cs="Traditional Arabic" w:hint="cs"/>
          <w:color w:val="000000"/>
          <w:sz w:val="24"/>
          <w:szCs w:val="28"/>
          <w:rtl/>
        </w:rPr>
        <w:t xml:space="preserve"> والإيفاء بأداء العرض</w:t>
      </w:r>
      <w:r>
        <w:rPr>
          <w:rFonts w:cs="Traditional Arabic" w:hint="cs"/>
          <w:color w:val="000000"/>
          <w:sz w:val="24"/>
          <w:szCs w:val="28"/>
          <w:rtl/>
        </w:rPr>
        <w:t xml:space="preserve"> ،</w:t>
      </w:r>
      <w:r w:rsidRPr="00DC0143">
        <w:rPr>
          <w:rFonts w:cs="Traditional Arabic" w:hint="cs"/>
          <w:color w:val="000000"/>
          <w:sz w:val="24"/>
          <w:szCs w:val="28"/>
          <w:rtl/>
        </w:rPr>
        <w:t xml:space="preserve"> وتجديد الدين بين الدائن والكفيل"</w:t>
      </w:r>
      <w:r>
        <w:rPr>
          <w:rFonts w:cs="Traditional Arabic" w:hint="cs"/>
          <w:color w:val="000000"/>
          <w:sz w:val="24"/>
          <w:szCs w:val="28"/>
          <w:rtl/>
        </w:rPr>
        <w:t xml:space="preserve"> .</w:t>
      </w:r>
    </w:p>
  </w:footnote>
  <w:footnote w:id="52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أوبري ورو 6 فقرة 429 ص 296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1170 بلانيول وريبير وسافاتييه فقرة 1553</w:t>
      </w:r>
      <w:r>
        <w:rPr>
          <w:rFonts w:cs="Traditional Arabic" w:hint="cs"/>
          <w:color w:val="000000"/>
          <w:sz w:val="24"/>
          <w:szCs w:val="28"/>
          <w:rtl/>
        </w:rPr>
        <w:t xml:space="preserve"> .</w:t>
      </w:r>
    </w:p>
  </w:footnote>
  <w:footnote w:id="52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أما موت الكفيل فلا تنقضي به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بل يبقى التزام الكفيل في تركته</w:t>
      </w:r>
      <w:r>
        <w:rPr>
          <w:rFonts w:cs="Traditional Arabic" w:hint="cs"/>
          <w:color w:val="000000"/>
          <w:sz w:val="24"/>
          <w:szCs w:val="28"/>
          <w:rtl/>
        </w:rPr>
        <w:t xml:space="preserve"> .</w:t>
      </w:r>
      <w:r w:rsidRPr="00DC0143">
        <w:rPr>
          <w:rFonts w:cs="Traditional Arabic" w:hint="cs"/>
          <w:color w:val="000000"/>
          <w:sz w:val="24"/>
          <w:szCs w:val="28"/>
          <w:rtl/>
        </w:rPr>
        <w:t xml:space="preserve"> وفي التقنينات التي يرث فيها الورثة دين مورثهم</w:t>
      </w:r>
      <w:r>
        <w:rPr>
          <w:rFonts w:cs="Traditional Arabic" w:hint="cs"/>
          <w:color w:val="000000"/>
          <w:sz w:val="24"/>
          <w:szCs w:val="28"/>
          <w:rtl/>
        </w:rPr>
        <w:t xml:space="preserve"> ،</w:t>
      </w:r>
      <w:r w:rsidRPr="00DC0143">
        <w:rPr>
          <w:rFonts w:cs="Traditional Arabic" w:hint="cs"/>
          <w:color w:val="000000"/>
          <w:sz w:val="24"/>
          <w:szCs w:val="28"/>
          <w:rtl/>
        </w:rPr>
        <w:t xml:space="preserve"> ينتقل التزام الكفيل إلى ورثته</w:t>
      </w:r>
      <w:r>
        <w:rPr>
          <w:rFonts w:cs="Traditional Arabic" w:hint="cs"/>
          <w:color w:val="000000"/>
          <w:sz w:val="24"/>
          <w:szCs w:val="28"/>
          <w:rtl/>
        </w:rPr>
        <w:t xml:space="preserve"> ،</w:t>
      </w:r>
      <w:r w:rsidRPr="00DC0143">
        <w:rPr>
          <w:rFonts w:cs="Traditional Arabic" w:hint="cs"/>
          <w:color w:val="000000"/>
          <w:sz w:val="24"/>
          <w:szCs w:val="28"/>
          <w:rtl/>
        </w:rPr>
        <w:t xml:space="preserve"> وقد قضت المادة 1097 لبناني على "أن وفاة الكفيل لا تسقط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بل ينتقل موجب الكفيل إلى ورثته"</w:t>
      </w:r>
      <w:r>
        <w:rPr>
          <w:rFonts w:cs="Traditional Arabic" w:hint="cs"/>
          <w:color w:val="000000"/>
          <w:sz w:val="24"/>
          <w:szCs w:val="28"/>
          <w:rtl/>
        </w:rPr>
        <w:t xml:space="preserve"> .</w:t>
      </w:r>
    </w:p>
  </w:footnote>
  <w:footnote w:id="52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89</w:t>
      </w:r>
      <w:r>
        <w:rPr>
          <w:rFonts w:cs="Traditional Arabic" w:hint="cs"/>
          <w:color w:val="000000"/>
          <w:sz w:val="24"/>
          <w:szCs w:val="28"/>
          <w:rtl/>
        </w:rPr>
        <w:t xml:space="preserve"> .</w:t>
      </w:r>
    </w:p>
  </w:footnote>
  <w:footnote w:id="52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وتطفي صفة المدين الأصلي على صفة الكفيل في العلاقة مع الدائن</w:t>
      </w:r>
      <w:r>
        <w:rPr>
          <w:rFonts w:cs="Traditional Arabic" w:hint="cs"/>
          <w:color w:val="000000"/>
          <w:sz w:val="24"/>
          <w:szCs w:val="28"/>
          <w:rtl/>
        </w:rPr>
        <w:t xml:space="preserve"> ،</w:t>
      </w:r>
      <w:r w:rsidRPr="00DC0143">
        <w:rPr>
          <w:rFonts w:cs="Traditional Arabic" w:hint="cs"/>
          <w:color w:val="000000"/>
          <w:sz w:val="24"/>
          <w:szCs w:val="28"/>
          <w:rtl/>
        </w:rPr>
        <w:t xml:space="preserve"> فلا يجوز الدفع بالتقسيم ولا بالتجرد ولا بإضاعة التأمينات </w:t>
      </w:r>
      <w:r>
        <w:rPr>
          <w:rFonts w:cs="Traditional Arabic" w:hint="cs"/>
          <w:color w:val="000000"/>
          <w:sz w:val="24"/>
          <w:szCs w:val="28"/>
          <w:rtl/>
        </w:rPr>
        <w:t xml:space="preserve">( </w:t>
      </w:r>
      <w:r w:rsidRPr="00DC0143">
        <w:rPr>
          <w:rFonts w:cs="Traditional Arabic" w:hint="cs"/>
          <w:color w:val="000000"/>
          <w:sz w:val="24"/>
          <w:szCs w:val="28"/>
          <w:rtl/>
        </w:rPr>
        <w:t>عبد الفتاح عبد الباقي فقرة 144</w:t>
      </w:r>
      <w:r>
        <w:rPr>
          <w:rFonts w:cs="Traditional Arabic" w:hint="cs"/>
          <w:color w:val="000000"/>
          <w:sz w:val="24"/>
          <w:szCs w:val="28"/>
          <w:rtl/>
        </w:rPr>
        <w:t xml:space="preserve"> ) .</w:t>
      </w:r>
    </w:p>
  </w:footnote>
  <w:footnote w:id="52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89 </w:t>
      </w:r>
      <w:r w:rsidRPr="00DC0143">
        <w:rPr>
          <w:rFonts w:cs="Traditional Arabic"/>
          <w:color w:val="000000"/>
          <w:sz w:val="24"/>
          <w:szCs w:val="28"/>
          <w:rtl/>
        </w:rPr>
        <w:t>–</w:t>
      </w:r>
      <w:r w:rsidRPr="00DC0143">
        <w:rPr>
          <w:rFonts w:cs="Traditional Arabic" w:hint="cs"/>
          <w:color w:val="000000"/>
          <w:sz w:val="24"/>
          <w:szCs w:val="28"/>
          <w:rtl/>
        </w:rPr>
        <w:t xml:space="preserve"> وانظر أوبري ورو 6 فقرة 429 ص 297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1556</w:t>
      </w:r>
      <w:r>
        <w:rPr>
          <w:rFonts w:cs="Traditional Arabic" w:hint="cs"/>
          <w:color w:val="000000"/>
          <w:sz w:val="24"/>
          <w:szCs w:val="28"/>
          <w:rtl/>
        </w:rPr>
        <w:t xml:space="preserve"> .</w:t>
      </w:r>
    </w:p>
  </w:footnote>
  <w:footnote w:id="52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90</w:t>
      </w:r>
      <w:r>
        <w:rPr>
          <w:rFonts w:cs="Traditional Arabic" w:hint="cs"/>
          <w:color w:val="000000"/>
          <w:sz w:val="24"/>
          <w:szCs w:val="28"/>
          <w:rtl/>
        </w:rPr>
        <w:t xml:space="preserve"> .</w:t>
      </w:r>
    </w:p>
  </w:footnote>
  <w:footnote w:id="53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وتنص المادة 1288 مدني فرنسي على أن "ما أخذه الدائن من الكفيل لإبراء ذمته من الكفالة يستنزل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وتبرأ بمقداره ذمة المدين الأصلي وذمة الباقي من الكفلاء"</w:t>
      </w:r>
      <w:r>
        <w:rPr>
          <w:rFonts w:cs="Traditional Arabic" w:hint="cs"/>
          <w:color w:val="000000"/>
          <w:sz w:val="24"/>
          <w:szCs w:val="28"/>
          <w:rtl/>
        </w:rPr>
        <w:t xml:space="preserve"> .</w:t>
      </w:r>
      <w:r w:rsidRPr="00DC0143">
        <w:rPr>
          <w:rFonts w:cs="Traditional Arabic" w:hint="cs"/>
          <w:color w:val="000000"/>
          <w:sz w:val="24"/>
          <w:szCs w:val="28"/>
          <w:rtl/>
        </w:rPr>
        <w:t xml:space="preserve"> وهذا نص ينتقده الفقه الفرنسي لمخالفته للقواعد العامة</w:t>
      </w:r>
      <w:r>
        <w:rPr>
          <w:rFonts w:cs="Traditional Arabic" w:hint="cs"/>
          <w:color w:val="000000"/>
          <w:sz w:val="24"/>
          <w:szCs w:val="28"/>
          <w:rtl/>
        </w:rPr>
        <w:t xml:space="preserve"> ،</w:t>
      </w:r>
      <w:r w:rsidRPr="00DC0143">
        <w:rPr>
          <w:rFonts w:cs="Traditional Arabic" w:hint="cs"/>
          <w:color w:val="000000"/>
          <w:sz w:val="24"/>
          <w:szCs w:val="28"/>
          <w:rtl/>
        </w:rPr>
        <w:t xml:space="preserve"> إذ أن نية الطرفين</w:t>
      </w:r>
      <w:r>
        <w:rPr>
          <w:rFonts w:cs="Traditional Arabic" w:hint="cs"/>
          <w:color w:val="000000"/>
          <w:sz w:val="24"/>
          <w:szCs w:val="28"/>
          <w:rtl/>
        </w:rPr>
        <w:t xml:space="preserve"> ،</w:t>
      </w:r>
      <w:r w:rsidRPr="00DC0143">
        <w:rPr>
          <w:rFonts w:cs="Traditional Arabic" w:hint="cs"/>
          <w:color w:val="000000"/>
          <w:sz w:val="24"/>
          <w:szCs w:val="28"/>
          <w:rtl/>
        </w:rPr>
        <w:t xml:space="preserve"> الدائن والكيل</w:t>
      </w:r>
      <w:r>
        <w:rPr>
          <w:rFonts w:cs="Traditional Arabic" w:hint="cs"/>
          <w:color w:val="000000"/>
          <w:sz w:val="24"/>
          <w:szCs w:val="28"/>
          <w:rtl/>
        </w:rPr>
        <w:t xml:space="preserve"> ،</w:t>
      </w:r>
      <w:r w:rsidRPr="00DC0143">
        <w:rPr>
          <w:rFonts w:cs="Traditional Arabic" w:hint="cs"/>
          <w:color w:val="000000"/>
          <w:sz w:val="24"/>
          <w:szCs w:val="28"/>
          <w:rtl/>
        </w:rPr>
        <w:t xml:space="preserve"> قد انصرفت في هذه الحالة إلى أن الكفيل دفع مقابلا لإبراء ذمته من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وقد رضي الدائن بذلك معرضا نفسه لخطر ألا يستوفي الدين كله أو بعضه من المدين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وقد ينتهي به إلى الخاسرة فيما إذا لم يستوف حقه أو لم يستوف إلا جزءاً منه</w:t>
      </w:r>
      <w:r>
        <w:rPr>
          <w:rFonts w:cs="Traditional Arabic" w:hint="cs"/>
          <w:color w:val="000000"/>
          <w:sz w:val="24"/>
          <w:szCs w:val="28"/>
          <w:rtl/>
        </w:rPr>
        <w:t xml:space="preserve"> .</w:t>
      </w:r>
      <w:r w:rsidRPr="00DC0143">
        <w:rPr>
          <w:rFonts w:cs="Traditional Arabic" w:hint="cs"/>
          <w:color w:val="000000"/>
          <w:sz w:val="24"/>
          <w:szCs w:val="28"/>
          <w:rtl/>
        </w:rPr>
        <w:t xml:space="preserve"> فما أخذه من الكفيل هو المقابل لهذا الغرض الذي عرض نفسه له</w:t>
      </w:r>
      <w:r>
        <w:rPr>
          <w:rFonts w:cs="Traditional Arabic" w:hint="cs"/>
          <w:color w:val="000000"/>
          <w:sz w:val="24"/>
          <w:szCs w:val="28"/>
          <w:rtl/>
        </w:rPr>
        <w:t xml:space="preserve"> ،</w:t>
      </w:r>
      <w:r w:rsidRPr="00DC0143">
        <w:rPr>
          <w:rFonts w:cs="Traditional Arabic" w:hint="cs"/>
          <w:color w:val="000000"/>
          <w:sz w:val="24"/>
          <w:szCs w:val="28"/>
          <w:rtl/>
        </w:rPr>
        <w:t xml:space="preserve"> فهو ضرب من التأمين </w:t>
      </w:r>
      <w:r>
        <w:rPr>
          <w:rFonts w:cs="Traditional Arabic" w:hint="cs"/>
          <w:color w:val="000000"/>
          <w:sz w:val="24"/>
          <w:szCs w:val="28"/>
          <w:rtl/>
        </w:rPr>
        <w:t xml:space="preserve">( </w:t>
      </w:r>
      <w:r w:rsidRPr="00DC0143">
        <w:rPr>
          <w:rFonts w:cs="Traditional Arabic" w:hint="cs"/>
          <w:color w:val="000000"/>
          <w:sz w:val="24"/>
          <w:szCs w:val="28"/>
          <w:rtl/>
        </w:rPr>
        <w:t xml:space="preserve">ديرانتون 12 فقرة 379 </w:t>
      </w:r>
      <w:r w:rsidRPr="00DC0143">
        <w:rPr>
          <w:rFonts w:cs="Traditional Arabic"/>
          <w:color w:val="000000"/>
          <w:sz w:val="24"/>
          <w:szCs w:val="28"/>
          <w:rtl/>
        </w:rPr>
        <w:t>–</w:t>
      </w:r>
      <w:r w:rsidRPr="00DC0143">
        <w:rPr>
          <w:rFonts w:cs="Traditional Arabic" w:hint="cs"/>
          <w:color w:val="000000"/>
          <w:sz w:val="24"/>
          <w:szCs w:val="28"/>
          <w:rtl/>
        </w:rPr>
        <w:t xml:space="preserve"> ديمولومب 28 فقرة 469 </w:t>
      </w:r>
      <w:r w:rsidRPr="00DC0143">
        <w:rPr>
          <w:rFonts w:cs="Traditional Arabic"/>
          <w:color w:val="000000"/>
          <w:sz w:val="24"/>
          <w:szCs w:val="28"/>
          <w:rtl/>
        </w:rPr>
        <w:t>–</w:t>
      </w:r>
      <w:r w:rsidRPr="00DC0143">
        <w:rPr>
          <w:rFonts w:cs="Traditional Arabic" w:hint="cs"/>
          <w:color w:val="000000"/>
          <w:sz w:val="24"/>
          <w:szCs w:val="28"/>
          <w:rtl/>
        </w:rPr>
        <w:t xml:space="preserve"> فقرة 469 </w:t>
      </w:r>
      <w:r w:rsidRPr="00DC0143">
        <w:rPr>
          <w:rFonts w:cs="Traditional Arabic"/>
          <w:color w:val="000000"/>
          <w:sz w:val="24"/>
          <w:szCs w:val="28"/>
          <w:rtl/>
        </w:rPr>
        <w:t>–</w:t>
      </w:r>
      <w:r w:rsidRPr="00DC0143">
        <w:rPr>
          <w:rFonts w:cs="Traditional Arabic" w:hint="cs"/>
          <w:color w:val="000000"/>
          <w:sz w:val="24"/>
          <w:szCs w:val="28"/>
          <w:rtl/>
        </w:rPr>
        <w:t xml:space="preserve"> فقرة 471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374 </w:t>
      </w:r>
      <w:r w:rsidRPr="00DC0143">
        <w:rPr>
          <w:rFonts w:cs="Traditional Arabic"/>
          <w:color w:val="000000"/>
          <w:sz w:val="24"/>
          <w:szCs w:val="28"/>
          <w:rtl/>
        </w:rPr>
        <w:t>–</w:t>
      </w:r>
      <w:r w:rsidRPr="00DC0143">
        <w:rPr>
          <w:rFonts w:cs="Traditional Arabic" w:hint="cs"/>
          <w:color w:val="000000"/>
          <w:sz w:val="24"/>
          <w:szCs w:val="28"/>
          <w:rtl/>
        </w:rPr>
        <w:t xml:space="preserve"> هيك 8 فقرة 141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وردوان 7 فقرة 1312 ص 724 </w:t>
      </w:r>
      <w:r w:rsidRPr="00DC0143">
        <w:rPr>
          <w:rFonts w:cs="Traditional Arabic"/>
          <w:color w:val="000000"/>
          <w:sz w:val="24"/>
          <w:szCs w:val="28"/>
          <w:rtl/>
        </w:rPr>
        <w:t>–</w:t>
      </w:r>
      <w:r w:rsidRPr="00DC0143">
        <w:rPr>
          <w:rFonts w:cs="Traditional Arabic" w:hint="cs"/>
          <w:color w:val="000000"/>
          <w:sz w:val="24"/>
          <w:szCs w:val="28"/>
          <w:rtl/>
        </w:rPr>
        <w:t xml:space="preserve"> ص 725</w:t>
      </w:r>
      <w:r>
        <w:rPr>
          <w:rFonts w:cs="Traditional Arabic" w:hint="cs"/>
          <w:color w:val="000000"/>
          <w:sz w:val="24"/>
          <w:szCs w:val="28"/>
          <w:rtl/>
        </w:rPr>
        <w:t xml:space="preserve"> ) .</w:t>
      </w:r>
      <w:r w:rsidRPr="00DC0143">
        <w:rPr>
          <w:rFonts w:cs="Traditional Arabic" w:hint="cs"/>
          <w:color w:val="000000"/>
          <w:sz w:val="24"/>
          <w:szCs w:val="28"/>
          <w:rtl/>
        </w:rPr>
        <w:t xml:space="preserve"> ولم ينتقل التقنين المصري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فيجب تطبيق القواعد العامة</w:t>
      </w:r>
      <w:r>
        <w:rPr>
          <w:rFonts w:cs="Traditional Arabic" w:hint="cs"/>
          <w:color w:val="000000"/>
          <w:sz w:val="24"/>
          <w:szCs w:val="28"/>
          <w:rtl/>
        </w:rPr>
        <w:t xml:space="preserve"> .</w:t>
      </w:r>
      <w:r w:rsidRPr="00DC0143">
        <w:rPr>
          <w:rFonts w:cs="Traditional Arabic" w:hint="cs"/>
          <w:color w:val="000000"/>
          <w:sz w:val="24"/>
          <w:szCs w:val="28"/>
          <w:rtl/>
        </w:rPr>
        <w:t xml:space="preserve"> ومقتضى تطبيقها أن تكون العبرة بنية الطرفين</w:t>
      </w:r>
      <w:r>
        <w:rPr>
          <w:rFonts w:cs="Traditional Arabic" w:hint="cs"/>
          <w:color w:val="000000"/>
          <w:sz w:val="24"/>
          <w:szCs w:val="28"/>
          <w:rtl/>
        </w:rPr>
        <w:t xml:space="preserve"> ،</w:t>
      </w:r>
      <w:r w:rsidRPr="00DC0143">
        <w:rPr>
          <w:rFonts w:cs="Traditional Arabic" w:hint="cs"/>
          <w:color w:val="000000"/>
          <w:sz w:val="24"/>
          <w:szCs w:val="28"/>
          <w:rtl/>
        </w:rPr>
        <w:t xml:space="preserve"> الدائن والكفيل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فإن قصد أن يفتدي الكفيل ذمته بما دفعه للدائن من المقابل ويكون للدائن بعد ذلك أن يرجع على المدين بكل الدين</w:t>
      </w:r>
      <w:r>
        <w:rPr>
          <w:rFonts w:cs="Traditional Arabic" w:hint="cs"/>
          <w:color w:val="000000"/>
          <w:sz w:val="24"/>
          <w:szCs w:val="28"/>
          <w:rtl/>
        </w:rPr>
        <w:t xml:space="preserve"> ،</w:t>
      </w:r>
      <w:r w:rsidRPr="00DC0143">
        <w:rPr>
          <w:rFonts w:cs="Traditional Arabic" w:hint="cs"/>
          <w:color w:val="000000"/>
          <w:sz w:val="24"/>
          <w:szCs w:val="28"/>
          <w:rtl/>
        </w:rPr>
        <w:t xml:space="preserve"> برئت ذمة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ولا يرجع عليه الدائن إذا لم يستوف كل حقه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ولا يرجع هو على المدين بما أعطاه للدائن</w:t>
      </w:r>
      <w:r>
        <w:rPr>
          <w:rFonts w:cs="Traditional Arabic" w:hint="cs"/>
          <w:color w:val="000000"/>
          <w:sz w:val="24"/>
          <w:szCs w:val="28"/>
          <w:rtl/>
        </w:rPr>
        <w:t xml:space="preserve"> ،</w:t>
      </w:r>
      <w:r w:rsidRPr="00DC0143">
        <w:rPr>
          <w:rFonts w:cs="Traditional Arabic" w:hint="cs"/>
          <w:color w:val="000000"/>
          <w:sz w:val="24"/>
          <w:szCs w:val="28"/>
          <w:rtl/>
        </w:rPr>
        <w:t xml:space="preserve"> وكذل لا يرجع على الدائن حتى لا استوفى هذا كل حقه من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وإن قصدا أن يستنزل المقابل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لم تبرأ ذمة الكفيل من باقي الدين</w:t>
      </w:r>
      <w:r>
        <w:rPr>
          <w:rFonts w:cs="Traditional Arabic" w:hint="cs"/>
          <w:color w:val="000000"/>
          <w:sz w:val="24"/>
          <w:szCs w:val="28"/>
          <w:rtl/>
        </w:rPr>
        <w:t xml:space="preserve"> ،</w:t>
      </w:r>
      <w:r w:rsidRPr="00DC0143">
        <w:rPr>
          <w:rFonts w:cs="Traditional Arabic" w:hint="cs"/>
          <w:color w:val="000000"/>
          <w:sz w:val="24"/>
          <w:szCs w:val="28"/>
          <w:rtl/>
        </w:rPr>
        <w:t xml:space="preserve"> ويرجع عليه الدائن إذا لم يستوف من المدين ما يبقي من حقه</w:t>
      </w:r>
      <w:r>
        <w:rPr>
          <w:rFonts w:cs="Traditional Arabic" w:hint="cs"/>
          <w:color w:val="000000"/>
          <w:sz w:val="24"/>
          <w:szCs w:val="28"/>
          <w:rtl/>
        </w:rPr>
        <w:t xml:space="preserve"> ،</w:t>
      </w:r>
      <w:r w:rsidRPr="00DC0143">
        <w:rPr>
          <w:rFonts w:cs="Traditional Arabic" w:hint="cs"/>
          <w:color w:val="000000"/>
          <w:sz w:val="24"/>
          <w:szCs w:val="28"/>
          <w:rtl/>
        </w:rPr>
        <w:t xml:space="preserve"> ويرجع هو على المدين بما أعطاه للدائن</w:t>
      </w:r>
      <w:r>
        <w:rPr>
          <w:rFonts w:cs="Traditional Arabic" w:hint="cs"/>
          <w:color w:val="000000"/>
          <w:sz w:val="24"/>
          <w:szCs w:val="28"/>
          <w:rtl/>
        </w:rPr>
        <w:t xml:space="preserve"> .</w:t>
      </w:r>
      <w:r w:rsidRPr="00DC0143">
        <w:rPr>
          <w:rFonts w:cs="Traditional Arabic" w:hint="cs"/>
          <w:color w:val="000000"/>
          <w:sz w:val="24"/>
          <w:szCs w:val="28"/>
          <w:rtl/>
        </w:rPr>
        <w:t xml:space="preserve"> وعند الشك يكون المفروض أن الدائن بأخذه المقابل من الكفيل أراد إبراء ذمته من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ويكون الدائن قد احتفظ بحقه في الرجوع بكل الدين على المدين</w:t>
      </w:r>
      <w:r>
        <w:rPr>
          <w:rFonts w:cs="Traditional Arabic" w:hint="cs"/>
          <w:color w:val="000000"/>
          <w:sz w:val="24"/>
          <w:szCs w:val="28"/>
          <w:rtl/>
        </w:rPr>
        <w:t xml:space="preserve"> .</w:t>
      </w:r>
      <w:r w:rsidRPr="00DC0143">
        <w:rPr>
          <w:rFonts w:cs="Traditional Arabic" w:hint="cs"/>
          <w:color w:val="000000"/>
          <w:sz w:val="24"/>
          <w:szCs w:val="28"/>
          <w:rtl/>
        </w:rPr>
        <w:t xml:space="preserve"> إذ لو أراد استنزال المقابل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لاستبقى الكفيل يرجع عليه فيما إذا لم يستوف من المدين الباقي من حقه </w:t>
      </w:r>
      <w:r>
        <w:rPr>
          <w:rFonts w:cs="Traditional Arabic" w:hint="cs"/>
          <w:color w:val="000000"/>
          <w:sz w:val="24"/>
          <w:szCs w:val="28"/>
          <w:rtl/>
        </w:rPr>
        <w:t xml:space="preserve">( </w:t>
      </w:r>
      <w:r w:rsidRPr="00DC0143">
        <w:rPr>
          <w:rFonts w:cs="Traditional Arabic" w:hint="cs"/>
          <w:color w:val="000000"/>
          <w:sz w:val="24"/>
          <w:szCs w:val="28"/>
          <w:rtl/>
        </w:rPr>
        <w:t>انظر الوسيط 3 فقرة 583 ص 979 هامش 1</w:t>
      </w:r>
      <w:r>
        <w:rPr>
          <w:rFonts w:cs="Traditional Arabic" w:hint="cs"/>
          <w:color w:val="000000"/>
          <w:sz w:val="24"/>
          <w:szCs w:val="28"/>
          <w:rtl/>
        </w:rPr>
        <w:t xml:space="preserve"> ) .</w:t>
      </w:r>
    </w:p>
  </w:footnote>
  <w:footnote w:id="53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90 </w:t>
      </w:r>
      <w:r w:rsidRPr="00DC0143">
        <w:rPr>
          <w:rFonts w:cs="Traditional Arabic"/>
          <w:color w:val="000000"/>
          <w:sz w:val="24"/>
          <w:szCs w:val="28"/>
          <w:rtl/>
        </w:rPr>
        <w:t>–</w:t>
      </w:r>
      <w:r w:rsidRPr="00DC0143">
        <w:rPr>
          <w:rFonts w:cs="Traditional Arabic" w:hint="cs"/>
          <w:color w:val="000000"/>
          <w:sz w:val="24"/>
          <w:szCs w:val="28"/>
          <w:rtl/>
        </w:rPr>
        <w:t xml:space="preserve"> وانظر أوبري ورو 6 فقرة 429 ص 297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1550</w:t>
      </w:r>
      <w:r>
        <w:rPr>
          <w:rFonts w:cs="Traditional Arabic" w:hint="cs"/>
          <w:color w:val="000000"/>
          <w:sz w:val="24"/>
          <w:szCs w:val="28"/>
          <w:rtl/>
        </w:rPr>
        <w:t xml:space="preserve"> .</w:t>
      </w:r>
    </w:p>
  </w:footnote>
  <w:footnote w:id="53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92</w:t>
      </w:r>
      <w:r>
        <w:rPr>
          <w:rFonts w:cs="Traditional Arabic" w:hint="cs"/>
          <w:color w:val="000000"/>
          <w:sz w:val="24"/>
          <w:szCs w:val="28"/>
          <w:rtl/>
        </w:rPr>
        <w:t xml:space="preserve"> .</w:t>
      </w:r>
    </w:p>
  </w:footnote>
  <w:footnote w:id="53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مدني 6 يونيه سنة 1940 مجموعة عمر 3 رقم 67 ص 239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143</w:t>
      </w:r>
      <w:r>
        <w:rPr>
          <w:rFonts w:cs="Traditional Arabic" w:hint="cs"/>
          <w:color w:val="000000"/>
          <w:sz w:val="24"/>
          <w:szCs w:val="28"/>
          <w:rtl/>
        </w:rPr>
        <w:t xml:space="preserve"> .</w:t>
      </w:r>
    </w:p>
  </w:footnote>
  <w:footnote w:id="53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92 </w:t>
      </w:r>
      <w:r w:rsidRPr="00DC0143">
        <w:rPr>
          <w:rFonts w:cs="Traditional Arabic"/>
          <w:color w:val="000000"/>
          <w:sz w:val="24"/>
          <w:szCs w:val="28"/>
          <w:rtl/>
        </w:rPr>
        <w:t>–</w:t>
      </w:r>
      <w:r w:rsidRPr="00DC0143">
        <w:rPr>
          <w:rFonts w:cs="Traditional Arabic" w:hint="cs"/>
          <w:color w:val="000000"/>
          <w:sz w:val="24"/>
          <w:szCs w:val="28"/>
          <w:rtl/>
        </w:rPr>
        <w:t xml:space="preserve"> وإذا تقادم الدين الأصلي دون أن يتقادم التزام الكفيل</w:t>
      </w:r>
      <w:r>
        <w:rPr>
          <w:rFonts w:cs="Traditional Arabic" w:hint="cs"/>
          <w:color w:val="000000"/>
          <w:sz w:val="24"/>
          <w:szCs w:val="28"/>
          <w:rtl/>
        </w:rPr>
        <w:t xml:space="preserve"> ،</w:t>
      </w:r>
      <w:r w:rsidRPr="00DC0143">
        <w:rPr>
          <w:rFonts w:cs="Traditional Arabic" w:hint="cs"/>
          <w:color w:val="000000"/>
          <w:sz w:val="24"/>
          <w:szCs w:val="28"/>
          <w:rtl/>
        </w:rPr>
        <w:t xml:space="preserve"> فإن التزام الكفيل لا ينقضي بصفة أصلية</w:t>
      </w:r>
      <w:r>
        <w:rPr>
          <w:rFonts w:cs="Traditional Arabic" w:hint="cs"/>
          <w:color w:val="000000"/>
          <w:sz w:val="24"/>
          <w:szCs w:val="28"/>
          <w:rtl/>
        </w:rPr>
        <w:t xml:space="preserve"> ،</w:t>
      </w:r>
      <w:r w:rsidRPr="00DC0143">
        <w:rPr>
          <w:rFonts w:cs="Traditional Arabic" w:hint="cs"/>
          <w:color w:val="000000"/>
          <w:sz w:val="24"/>
          <w:szCs w:val="28"/>
          <w:rtl/>
        </w:rPr>
        <w:t xml:space="preserve"> ولكنه ينقضي بصفة تبعية تبعا لانقضاء الدين الأصلي بالتقادم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144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143 ص 158</w:t>
      </w:r>
      <w:r>
        <w:rPr>
          <w:rFonts w:cs="Traditional Arabic" w:hint="cs"/>
          <w:color w:val="000000"/>
          <w:sz w:val="24"/>
          <w:szCs w:val="28"/>
          <w:rtl/>
        </w:rPr>
        <w:t xml:space="preserve"> ) .</w:t>
      </w:r>
    </w:p>
  </w:footnote>
  <w:footnote w:id="53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92</w:t>
      </w:r>
      <w:r>
        <w:rPr>
          <w:rFonts w:cs="Traditional Arabic" w:hint="cs"/>
          <w:color w:val="000000"/>
          <w:sz w:val="24"/>
          <w:szCs w:val="28"/>
          <w:rtl/>
        </w:rPr>
        <w:t xml:space="preserve"> .</w:t>
      </w:r>
    </w:p>
  </w:footnote>
  <w:footnote w:id="53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6 فقرة 429 ص 297</w:t>
      </w:r>
      <w:r>
        <w:rPr>
          <w:rFonts w:cs="Traditional Arabic" w:hint="cs"/>
          <w:color w:val="000000"/>
          <w:sz w:val="24"/>
          <w:szCs w:val="28"/>
          <w:rtl/>
        </w:rPr>
        <w:t xml:space="preserve"> .</w:t>
      </w:r>
    </w:p>
  </w:footnote>
  <w:footnote w:id="53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تنقضي الكفالة دون أن ينقضي الدين الأصلي لأسباب أخرى</w:t>
      </w:r>
      <w:r>
        <w:rPr>
          <w:rFonts w:cs="Traditional Arabic" w:hint="cs"/>
          <w:color w:val="000000"/>
          <w:sz w:val="24"/>
          <w:szCs w:val="28"/>
          <w:rtl/>
        </w:rPr>
        <w:t xml:space="preserve"> .</w:t>
      </w:r>
      <w:r w:rsidRPr="00DC0143">
        <w:rPr>
          <w:rFonts w:cs="Traditional Arabic" w:hint="cs"/>
          <w:color w:val="000000"/>
          <w:sz w:val="24"/>
          <w:szCs w:val="28"/>
          <w:rtl/>
        </w:rPr>
        <w:t xml:space="preserve"> من ذلك إذا علق الكفيل كفالته على شرط استخدام المدين المبلغ الذي اقترضه</w:t>
      </w:r>
      <w:r>
        <w:rPr>
          <w:rFonts w:cs="Traditional Arabic" w:hint="cs"/>
          <w:color w:val="000000"/>
          <w:sz w:val="24"/>
          <w:szCs w:val="28"/>
          <w:rtl/>
        </w:rPr>
        <w:t xml:space="preserve"> ،</w:t>
      </w:r>
      <w:r w:rsidRPr="00DC0143">
        <w:rPr>
          <w:rFonts w:cs="Traditional Arabic" w:hint="cs"/>
          <w:color w:val="000000"/>
          <w:sz w:val="24"/>
          <w:szCs w:val="28"/>
          <w:rtl/>
        </w:rPr>
        <w:t xml:space="preserve"> والذي ضمنه الكفيل</w:t>
      </w:r>
      <w:r>
        <w:rPr>
          <w:rFonts w:cs="Traditional Arabic" w:hint="cs"/>
          <w:color w:val="000000"/>
          <w:sz w:val="24"/>
          <w:szCs w:val="28"/>
          <w:rtl/>
        </w:rPr>
        <w:t xml:space="preserve"> ،</w:t>
      </w:r>
      <w:r w:rsidRPr="00DC0143">
        <w:rPr>
          <w:rFonts w:cs="Traditional Arabic" w:hint="cs"/>
          <w:color w:val="000000"/>
          <w:sz w:val="24"/>
          <w:szCs w:val="28"/>
          <w:rtl/>
        </w:rPr>
        <w:t xml:space="preserve"> لفرض معين</w:t>
      </w:r>
      <w:r>
        <w:rPr>
          <w:rFonts w:cs="Traditional Arabic" w:hint="cs"/>
          <w:color w:val="000000"/>
          <w:sz w:val="24"/>
          <w:szCs w:val="28"/>
          <w:rtl/>
        </w:rPr>
        <w:t xml:space="preserve"> ،</w:t>
      </w:r>
      <w:r w:rsidRPr="00DC0143">
        <w:rPr>
          <w:rFonts w:cs="Traditional Arabic" w:hint="cs"/>
          <w:color w:val="000000"/>
          <w:sz w:val="24"/>
          <w:szCs w:val="28"/>
          <w:rtl/>
        </w:rPr>
        <w:t xml:space="preserve"> فلم يستعمله المدين لهذا الفرض</w:t>
      </w:r>
      <w:r>
        <w:rPr>
          <w:rFonts w:cs="Traditional Arabic" w:hint="cs"/>
          <w:color w:val="000000"/>
          <w:sz w:val="24"/>
          <w:szCs w:val="28"/>
          <w:rtl/>
        </w:rPr>
        <w:t xml:space="preserve"> .</w:t>
      </w:r>
      <w:r w:rsidRPr="00DC0143">
        <w:rPr>
          <w:rFonts w:cs="Traditional Arabic" w:hint="cs"/>
          <w:color w:val="000000"/>
          <w:sz w:val="24"/>
          <w:szCs w:val="28"/>
          <w:rtl/>
        </w:rPr>
        <w:t xml:space="preserve"> فإن الكفالة تزول ويبقى الدين الأصلي </w:t>
      </w:r>
      <w:r>
        <w:rPr>
          <w:rFonts w:cs="Traditional Arabic" w:hint="cs"/>
          <w:color w:val="000000"/>
          <w:sz w:val="24"/>
          <w:szCs w:val="28"/>
          <w:rtl/>
        </w:rPr>
        <w:t xml:space="preserve">( </w:t>
      </w:r>
      <w:r w:rsidRPr="00DC0143">
        <w:rPr>
          <w:rFonts w:cs="Traditional Arabic" w:hint="cs"/>
          <w:color w:val="000000"/>
          <w:sz w:val="24"/>
          <w:szCs w:val="28"/>
          <w:rtl/>
        </w:rPr>
        <w:t xml:space="preserve">أوبري ورو 6 فقرة 429 ص 297 </w:t>
      </w:r>
      <w:r w:rsidRPr="00DC0143">
        <w:rPr>
          <w:rFonts w:cs="Traditional Arabic"/>
          <w:color w:val="000000"/>
          <w:sz w:val="24"/>
          <w:szCs w:val="28"/>
          <w:rtl/>
        </w:rPr>
        <w:t>–</w:t>
      </w:r>
      <w:r w:rsidRPr="00DC0143">
        <w:rPr>
          <w:rFonts w:cs="Traditional Arabic" w:hint="cs"/>
          <w:color w:val="000000"/>
          <w:sz w:val="24"/>
          <w:szCs w:val="28"/>
          <w:rtl/>
        </w:rPr>
        <w:t xml:space="preserve"> ص 298</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وقد يحل التزام الكفيل قبل أن يحل الدين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بأن يشهر إفلاس الكفيل قبل حلول الدين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وعندئذ يصبح التزام الكفيل مستحق الأداء حتى قبل موعد استحقاق الدين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وللدائن أن يتقدم ضمن سائر الدائنين في تفليسة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وفي ذلك تنص 1071/2 لبناني على "أن إعلان عدم ملاءة الكفيل يجعل الدين مستحق الأداء عليه حتى قبل موعد استحقاق الدين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وللدائن في هذه الحالة أن يطلب إدخال دينه في ديون جماعة الدائنين"</w:t>
      </w:r>
      <w:r>
        <w:rPr>
          <w:rFonts w:cs="Traditional Arabic" w:hint="cs"/>
          <w:color w:val="000000"/>
          <w:sz w:val="24"/>
          <w:szCs w:val="28"/>
          <w:rtl/>
        </w:rPr>
        <w:t xml:space="preserve"> .</w:t>
      </w:r>
    </w:p>
  </w:footnote>
  <w:footnote w:id="53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1156/ 1 و 2 من المشروع التمهيدي إلى وجه مطابق لما استقر لعيه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 تحت رقم 853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مع فقرتين أخريين</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 تحت رقم 851</w:t>
      </w:r>
      <w:r>
        <w:rPr>
          <w:rFonts w:cs="Traditional Arabic" w:hint="cs"/>
          <w:color w:val="000000"/>
          <w:sz w:val="24"/>
          <w:szCs w:val="28"/>
          <w:rtl/>
        </w:rPr>
        <w:t xml:space="preserve"> ،</w:t>
      </w:r>
      <w:r w:rsidRPr="00DC0143">
        <w:rPr>
          <w:rFonts w:cs="Traditional Arabic" w:hint="cs"/>
          <w:color w:val="000000"/>
          <w:sz w:val="24"/>
          <w:szCs w:val="28"/>
          <w:rtl/>
        </w:rPr>
        <w:t xml:space="preserve"> بعد فصل الفقرتين الأخريين وجعلهما مادة مستقلة هي المادة التالي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النص بعد التعديل المتقدم الذكر</w:t>
      </w:r>
      <w:r>
        <w:rPr>
          <w:rFonts w:cs="Traditional Arabic" w:hint="cs"/>
          <w:color w:val="000000"/>
          <w:sz w:val="24"/>
          <w:szCs w:val="28"/>
          <w:rtl/>
        </w:rPr>
        <w:t xml:space="preserve"> ،</w:t>
      </w:r>
      <w:r w:rsidRPr="00DC0143">
        <w:rPr>
          <w:rFonts w:cs="Traditional Arabic" w:hint="cs"/>
          <w:color w:val="000000"/>
          <w:sz w:val="24"/>
          <w:szCs w:val="28"/>
          <w:rtl/>
        </w:rPr>
        <w:t xml:space="preserve"> تحت رقم 784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5 ص 473 </w:t>
      </w:r>
      <w:r w:rsidRPr="00DC0143">
        <w:rPr>
          <w:rFonts w:cs="Traditional Arabic"/>
          <w:color w:val="000000"/>
          <w:sz w:val="24"/>
          <w:szCs w:val="28"/>
          <w:rtl/>
        </w:rPr>
        <w:t>–</w:t>
      </w:r>
      <w:r w:rsidRPr="00DC0143">
        <w:rPr>
          <w:rFonts w:cs="Traditional Arabic" w:hint="cs"/>
          <w:color w:val="000000"/>
          <w:sz w:val="24"/>
          <w:szCs w:val="28"/>
          <w:rtl/>
        </w:rPr>
        <w:t xml:space="preserve"> ص 478</w:t>
      </w:r>
      <w:r>
        <w:rPr>
          <w:rFonts w:cs="Traditional Arabic" w:hint="cs"/>
          <w:color w:val="000000"/>
          <w:sz w:val="24"/>
          <w:szCs w:val="28"/>
          <w:rtl/>
        </w:rPr>
        <w:t xml:space="preserve"> ) .</w:t>
      </w:r>
    </w:p>
  </w:footnote>
  <w:footnote w:id="53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التقنيني المدني السابق</w:t>
      </w:r>
      <w:r w:rsidRPr="00DC0143">
        <w:rPr>
          <w:rFonts w:cs="Traditional Arabic" w:hint="cs"/>
          <w:color w:val="000000"/>
          <w:sz w:val="24"/>
          <w:szCs w:val="28"/>
          <w:rtl/>
        </w:rPr>
        <w:t xml:space="preserve"> م 510/623</w:t>
      </w:r>
      <w:r>
        <w:rPr>
          <w:rFonts w:cs="Traditional Arabic" w:hint="cs"/>
          <w:color w:val="000000"/>
          <w:sz w:val="24"/>
          <w:szCs w:val="28"/>
          <w:rtl/>
        </w:rPr>
        <w:t xml:space="preserve"> :</w:t>
      </w:r>
      <w:r w:rsidRPr="00DC0143">
        <w:rPr>
          <w:rFonts w:cs="Traditional Arabic" w:hint="cs"/>
          <w:color w:val="000000"/>
          <w:sz w:val="24"/>
          <w:szCs w:val="28"/>
          <w:rtl/>
        </w:rPr>
        <w:t xml:space="preserve"> يبرأ الكفيل بقد رما أضاع الدائن بتقصيره من التأمينات التي كانت له</w:t>
      </w:r>
      <w:r>
        <w:rPr>
          <w:rFonts w:cs="Traditional Arabic" w:hint="cs"/>
          <w:color w:val="000000"/>
          <w:sz w:val="24"/>
          <w:szCs w:val="28"/>
          <w:rtl/>
        </w:rPr>
        <w:t xml:space="preserve"> .</w:t>
      </w:r>
    </w:p>
  </w:footnote>
  <w:footnote w:id="54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750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الليبي</w:t>
      </w:r>
      <w:r w:rsidRPr="00DC0143">
        <w:rPr>
          <w:rFonts w:cs="Traditional Arabic" w:hint="cs"/>
          <w:color w:val="000000"/>
          <w:sz w:val="24"/>
          <w:szCs w:val="28"/>
          <w:rtl/>
        </w:rPr>
        <w:t xml:space="preserve"> م 793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1027 </w:t>
      </w:r>
      <w:r>
        <w:rPr>
          <w:rFonts w:cs="Traditional Arabic" w:hint="cs"/>
          <w:color w:val="000000"/>
          <w:sz w:val="24"/>
          <w:szCs w:val="28"/>
          <w:rtl/>
        </w:rPr>
        <w:t xml:space="preserve">( </w:t>
      </w:r>
      <w:r w:rsidRPr="00DC0143">
        <w:rPr>
          <w:rFonts w:cs="Traditional Arabic" w:hint="cs"/>
          <w:color w:val="000000"/>
          <w:sz w:val="24"/>
          <w:szCs w:val="28"/>
          <w:rtl/>
        </w:rPr>
        <w:t>موافق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قانون الموجبات والعقود اللبناني</w:t>
      </w:r>
      <w:r w:rsidRPr="00DC0143">
        <w:rPr>
          <w:rFonts w:cs="Traditional Arabic" w:hint="cs"/>
          <w:color w:val="000000"/>
          <w:sz w:val="24"/>
          <w:szCs w:val="28"/>
          <w:rtl/>
        </w:rPr>
        <w:t xml:space="preserve"> م 1089</w:t>
      </w:r>
      <w:r>
        <w:rPr>
          <w:rFonts w:cs="Traditional Arabic" w:hint="cs"/>
          <w:color w:val="000000"/>
          <w:sz w:val="24"/>
          <w:szCs w:val="28"/>
          <w:rtl/>
        </w:rPr>
        <w:t xml:space="preserve"> :</w:t>
      </w:r>
      <w:r w:rsidRPr="00DC0143">
        <w:rPr>
          <w:rFonts w:cs="Traditional Arabic" w:hint="cs"/>
          <w:color w:val="000000"/>
          <w:sz w:val="24"/>
          <w:szCs w:val="28"/>
          <w:rtl/>
        </w:rPr>
        <w:t xml:space="preserve"> تبرأ ذمة الكفيل إذا أصبح حلوله محل الدائن في الحقوق غير ممكن بسبب فعل من الدائن</w:t>
      </w:r>
      <w:r>
        <w:rPr>
          <w:rFonts w:cs="Traditional Arabic" w:hint="cs"/>
          <w:color w:val="000000"/>
          <w:sz w:val="24"/>
          <w:szCs w:val="28"/>
          <w:rtl/>
        </w:rPr>
        <w:t xml:space="preserve"> .</w:t>
      </w:r>
    </w:p>
  </w:footnote>
  <w:footnote w:id="54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2 فقرة 368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304 </w:t>
      </w:r>
      <w:r w:rsidRPr="00DC0143">
        <w:rPr>
          <w:rFonts w:cs="Traditional Arabic"/>
          <w:color w:val="000000"/>
          <w:sz w:val="24"/>
          <w:szCs w:val="28"/>
          <w:rtl/>
        </w:rPr>
        <w:t>–</w:t>
      </w:r>
      <w:r w:rsidRPr="00DC0143">
        <w:rPr>
          <w:rFonts w:cs="Traditional Arabic" w:hint="cs"/>
          <w:color w:val="000000"/>
          <w:sz w:val="24"/>
          <w:szCs w:val="28"/>
          <w:rtl/>
        </w:rPr>
        <w:t xml:space="preserve"> جيوار فقرة 243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429 ص 302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1558 </w:t>
      </w:r>
      <w:r w:rsidRPr="00DC0143">
        <w:rPr>
          <w:rFonts w:cs="Traditional Arabic"/>
          <w:color w:val="000000"/>
          <w:sz w:val="24"/>
          <w:szCs w:val="28"/>
          <w:rtl/>
        </w:rPr>
        <w:t>–</w:t>
      </w:r>
      <w:r w:rsidRPr="00DC0143">
        <w:rPr>
          <w:rFonts w:cs="Traditional Arabic" w:hint="cs"/>
          <w:color w:val="000000"/>
          <w:sz w:val="24"/>
          <w:szCs w:val="28"/>
          <w:rtl/>
        </w:rPr>
        <w:t xml:space="preserve"> وانظر استئناف وطني 20 مارس سنة 1918 المجموعة الرسمية 19 رقم 76 ص 107 </w:t>
      </w:r>
      <w:r w:rsidRPr="00DC0143">
        <w:rPr>
          <w:rFonts w:cs="Traditional Arabic"/>
          <w:color w:val="000000"/>
          <w:sz w:val="24"/>
          <w:szCs w:val="28"/>
          <w:rtl/>
        </w:rPr>
        <w:t>–</w:t>
      </w:r>
      <w:r w:rsidRPr="00DC0143">
        <w:rPr>
          <w:rFonts w:cs="Traditional Arabic" w:hint="cs"/>
          <w:color w:val="000000"/>
          <w:sz w:val="24"/>
          <w:szCs w:val="28"/>
          <w:rtl/>
        </w:rPr>
        <w:t xml:space="preserve"> محكمة استئناف مصر 20 ديسمبر سنة 1925 المجموعة الرسمية 28 رقم 56 </w:t>
      </w:r>
      <w:r w:rsidRPr="00DC0143">
        <w:rPr>
          <w:rFonts w:cs="Traditional Arabic"/>
          <w:color w:val="000000"/>
          <w:sz w:val="24"/>
          <w:szCs w:val="28"/>
          <w:rtl/>
        </w:rPr>
        <w:t>–</w:t>
      </w:r>
      <w:r w:rsidRPr="00DC0143">
        <w:rPr>
          <w:rFonts w:cs="Traditional Arabic" w:hint="cs"/>
          <w:color w:val="000000"/>
          <w:sz w:val="24"/>
          <w:szCs w:val="28"/>
          <w:rtl/>
        </w:rPr>
        <w:t xml:space="preserve"> 24 مارس سنة 1922 المحاماة 13 رقم 75 ص 176 </w:t>
      </w:r>
      <w:r w:rsidRPr="00DC0143">
        <w:rPr>
          <w:rFonts w:cs="Traditional Arabic"/>
          <w:color w:val="000000"/>
          <w:sz w:val="24"/>
          <w:szCs w:val="28"/>
          <w:rtl/>
        </w:rPr>
        <w:t>–</w:t>
      </w:r>
      <w:r w:rsidRPr="00DC0143">
        <w:rPr>
          <w:rFonts w:cs="Traditional Arabic" w:hint="cs"/>
          <w:color w:val="000000"/>
          <w:sz w:val="24"/>
          <w:szCs w:val="28"/>
          <w:rtl/>
        </w:rPr>
        <w:t xml:space="preserve"> عكس ذلك استئناف مختلط 20 فبراير سنة 1935 </w:t>
      </w:r>
      <w:smartTag w:uri="urn:schemas-microsoft-com:office:smarttags" w:element="metricconverter">
        <w:smartTagPr>
          <w:attr w:name="ProductID" w:val="47 م"/>
        </w:smartTagPr>
        <w:r w:rsidRPr="00DC0143">
          <w:rPr>
            <w:rFonts w:cs="Traditional Arabic" w:hint="cs"/>
            <w:color w:val="000000"/>
            <w:sz w:val="24"/>
            <w:szCs w:val="28"/>
            <w:rtl/>
          </w:rPr>
          <w:t>47 م</w:t>
        </w:r>
      </w:smartTag>
      <w:r w:rsidRPr="00DC0143">
        <w:rPr>
          <w:rFonts w:cs="Traditional Arabic" w:hint="cs"/>
          <w:color w:val="000000"/>
          <w:sz w:val="24"/>
          <w:szCs w:val="28"/>
          <w:rtl/>
        </w:rPr>
        <w:t xml:space="preserve"> ص 160 </w:t>
      </w:r>
      <w:r w:rsidRPr="00DC0143">
        <w:rPr>
          <w:rFonts w:cs="Traditional Arabic"/>
          <w:color w:val="000000"/>
          <w:sz w:val="24"/>
          <w:szCs w:val="28"/>
          <w:rtl/>
        </w:rPr>
        <w:t>–</w:t>
      </w:r>
      <w:r w:rsidRPr="00DC0143">
        <w:rPr>
          <w:rFonts w:cs="Traditional Arabic" w:hint="cs"/>
          <w:color w:val="000000"/>
          <w:sz w:val="24"/>
          <w:szCs w:val="28"/>
          <w:rtl/>
        </w:rPr>
        <w:t xml:space="preserve"> 29 يناير سنة </w:t>
      </w:r>
      <w:smartTag w:uri="urn:schemas-microsoft-com:office:smarttags" w:element="metricconverter">
        <w:smartTagPr>
          <w:attr w:name="ProductID" w:val="1936 م"/>
        </w:smartTagPr>
        <w:r w:rsidRPr="00DC0143">
          <w:rPr>
            <w:rFonts w:cs="Traditional Arabic" w:hint="cs"/>
            <w:color w:val="000000"/>
            <w:sz w:val="24"/>
            <w:szCs w:val="28"/>
            <w:rtl/>
          </w:rPr>
          <w:t>1936 م</w:t>
        </w:r>
      </w:smartTag>
      <w:r w:rsidRPr="00DC0143">
        <w:rPr>
          <w:rFonts w:cs="Traditional Arabic" w:hint="cs"/>
          <w:color w:val="000000"/>
          <w:sz w:val="24"/>
          <w:szCs w:val="28"/>
          <w:rtl/>
        </w:rPr>
        <w:t xml:space="preserve"> 48 ص 95</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وقد قضت محكمة استئناف مصر بأنه إذا قصر الدائن المؤجر في توقيع الحجز الامتيازي على زراعة المستأجر</w:t>
      </w:r>
      <w:r>
        <w:rPr>
          <w:rFonts w:cs="Traditional Arabic" w:hint="cs"/>
          <w:color w:val="000000"/>
          <w:sz w:val="24"/>
          <w:szCs w:val="28"/>
          <w:rtl/>
        </w:rPr>
        <w:t xml:space="preserve"> ،</w:t>
      </w:r>
      <w:r w:rsidRPr="00DC0143">
        <w:rPr>
          <w:rFonts w:cs="Traditional Arabic" w:hint="cs"/>
          <w:color w:val="000000"/>
          <w:sz w:val="24"/>
          <w:szCs w:val="28"/>
          <w:rtl/>
        </w:rPr>
        <w:t xml:space="preserve"> كان هذا تقصيرا منه في إضاعة التأمينات الخاصة يبرئ ذمة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ولكن لا تقصير فيما إذا جاء الدائن وعمل من الطريق الودي على الاستفادة من هذا الامتياز ببيع المحصول بالتراضي مع المدين </w:t>
      </w:r>
      <w:r>
        <w:rPr>
          <w:rFonts w:cs="Traditional Arabic" w:hint="cs"/>
          <w:color w:val="000000"/>
          <w:sz w:val="24"/>
          <w:szCs w:val="28"/>
          <w:rtl/>
        </w:rPr>
        <w:t xml:space="preserve">( </w:t>
      </w:r>
      <w:r w:rsidRPr="00DC0143">
        <w:rPr>
          <w:rFonts w:cs="Traditional Arabic" w:hint="cs"/>
          <w:color w:val="000000"/>
          <w:sz w:val="24"/>
          <w:szCs w:val="28"/>
          <w:rtl/>
        </w:rPr>
        <w:t>استئناف مصر 29 يونيه سنة 1931 المحاماة 12 رقم 265 ص 534</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وانظر استئناف مختلط 18 مارس سنة </w:t>
      </w:r>
      <w:smartTag w:uri="urn:schemas-microsoft-com:office:smarttags" w:element="metricconverter">
        <w:smartTagPr>
          <w:attr w:name="ProductID" w:val="1891 م"/>
        </w:smartTagPr>
        <w:r w:rsidRPr="00DC0143">
          <w:rPr>
            <w:rFonts w:cs="Traditional Arabic" w:hint="cs"/>
            <w:color w:val="000000"/>
            <w:sz w:val="24"/>
            <w:szCs w:val="28"/>
            <w:rtl/>
          </w:rPr>
          <w:t>1891 م</w:t>
        </w:r>
      </w:smartTag>
      <w:r w:rsidRPr="00DC0143">
        <w:rPr>
          <w:rFonts w:cs="Traditional Arabic" w:hint="cs"/>
          <w:color w:val="000000"/>
          <w:sz w:val="24"/>
          <w:szCs w:val="28"/>
          <w:rtl/>
        </w:rPr>
        <w:t xml:space="preserve"> 3 ص 274 </w:t>
      </w:r>
      <w:r w:rsidRPr="00DC0143">
        <w:rPr>
          <w:rFonts w:cs="Traditional Arabic"/>
          <w:color w:val="000000"/>
          <w:sz w:val="24"/>
          <w:szCs w:val="28"/>
          <w:rtl/>
        </w:rPr>
        <w:t>–</w:t>
      </w:r>
      <w:r w:rsidRPr="00DC0143">
        <w:rPr>
          <w:rFonts w:cs="Traditional Arabic" w:hint="cs"/>
          <w:color w:val="000000"/>
          <w:sz w:val="24"/>
          <w:szCs w:val="28"/>
          <w:rtl/>
        </w:rPr>
        <w:t xml:space="preserve"> 15 ديسمبر سنة </w:t>
      </w:r>
      <w:smartTag w:uri="urn:schemas-microsoft-com:office:smarttags" w:element="metricconverter">
        <w:smartTagPr>
          <w:attr w:name="ProductID" w:val="1892 م"/>
        </w:smartTagPr>
        <w:r w:rsidRPr="00DC0143">
          <w:rPr>
            <w:rFonts w:cs="Traditional Arabic" w:hint="cs"/>
            <w:color w:val="000000"/>
            <w:sz w:val="24"/>
            <w:szCs w:val="28"/>
            <w:rtl/>
          </w:rPr>
          <w:t>1892 م</w:t>
        </w:r>
      </w:smartTag>
      <w:r w:rsidRPr="00DC0143">
        <w:rPr>
          <w:rFonts w:cs="Traditional Arabic" w:hint="cs"/>
          <w:color w:val="000000"/>
          <w:sz w:val="24"/>
          <w:szCs w:val="28"/>
          <w:rtl/>
        </w:rPr>
        <w:t xml:space="preserve"> 5 ص 53 </w:t>
      </w:r>
      <w:r w:rsidRPr="00DC0143">
        <w:rPr>
          <w:rFonts w:cs="Traditional Arabic"/>
          <w:color w:val="000000"/>
          <w:sz w:val="24"/>
          <w:szCs w:val="28"/>
          <w:rtl/>
        </w:rPr>
        <w:t>–</w:t>
      </w:r>
      <w:r w:rsidRPr="00DC0143">
        <w:rPr>
          <w:rFonts w:cs="Traditional Arabic" w:hint="cs"/>
          <w:color w:val="000000"/>
          <w:sz w:val="24"/>
          <w:szCs w:val="28"/>
          <w:rtl/>
        </w:rPr>
        <w:t xml:space="preserve"> 2 ماس سنة </w:t>
      </w:r>
      <w:smartTag w:uri="urn:schemas-microsoft-com:office:smarttags" w:element="metricconverter">
        <w:smartTagPr>
          <w:attr w:name="ProductID" w:val="1898 م"/>
        </w:smartTagPr>
        <w:r w:rsidRPr="00DC0143">
          <w:rPr>
            <w:rFonts w:cs="Traditional Arabic" w:hint="cs"/>
            <w:color w:val="000000"/>
            <w:sz w:val="24"/>
            <w:szCs w:val="28"/>
            <w:rtl/>
          </w:rPr>
          <w:t>1898 م</w:t>
        </w:r>
      </w:smartTag>
      <w:r w:rsidRPr="00DC0143">
        <w:rPr>
          <w:rFonts w:cs="Traditional Arabic" w:hint="cs"/>
          <w:color w:val="000000"/>
          <w:sz w:val="24"/>
          <w:szCs w:val="28"/>
          <w:rtl/>
        </w:rPr>
        <w:t xml:space="preserve"> 10 ص 168 </w:t>
      </w:r>
      <w:r w:rsidRPr="00DC0143">
        <w:rPr>
          <w:rFonts w:cs="Traditional Arabic"/>
          <w:color w:val="000000"/>
          <w:sz w:val="24"/>
          <w:szCs w:val="28"/>
          <w:rtl/>
        </w:rPr>
        <w:t>–</w:t>
      </w:r>
      <w:r w:rsidRPr="00DC0143">
        <w:rPr>
          <w:rFonts w:cs="Traditional Arabic" w:hint="cs"/>
          <w:color w:val="000000"/>
          <w:sz w:val="24"/>
          <w:szCs w:val="28"/>
          <w:rtl/>
        </w:rPr>
        <w:t xml:space="preserve"> أول مايو سنة </w:t>
      </w:r>
      <w:smartTag w:uri="urn:schemas-microsoft-com:office:smarttags" w:element="metricconverter">
        <w:smartTagPr>
          <w:attr w:name="ProductID" w:val="1907 م"/>
        </w:smartTagPr>
        <w:r w:rsidRPr="00DC0143">
          <w:rPr>
            <w:rFonts w:cs="Traditional Arabic" w:hint="cs"/>
            <w:color w:val="000000"/>
            <w:sz w:val="24"/>
            <w:szCs w:val="28"/>
            <w:rtl/>
          </w:rPr>
          <w:t>1907 م</w:t>
        </w:r>
      </w:smartTag>
      <w:r w:rsidRPr="00DC0143">
        <w:rPr>
          <w:rFonts w:cs="Traditional Arabic" w:hint="cs"/>
          <w:color w:val="000000"/>
          <w:sz w:val="24"/>
          <w:szCs w:val="28"/>
          <w:rtl/>
        </w:rPr>
        <w:t xml:space="preserve"> 19 ص 228 </w:t>
      </w:r>
      <w:r w:rsidRPr="00DC0143">
        <w:rPr>
          <w:rFonts w:cs="Traditional Arabic"/>
          <w:color w:val="000000"/>
          <w:sz w:val="24"/>
          <w:szCs w:val="28"/>
          <w:rtl/>
        </w:rPr>
        <w:t>–</w:t>
      </w:r>
      <w:r w:rsidRPr="00DC0143">
        <w:rPr>
          <w:rFonts w:cs="Traditional Arabic" w:hint="cs"/>
          <w:color w:val="000000"/>
          <w:sz w:val="24"/>
          <w:szCs w:val="28"/>
          <w:rtl/>
        </w:rPr>
        <w:t xml:space="preserve"> 31 يناير سنة </w:t>
      </w:r>
      <w:smartTag w:uri="urn:schemas-microsoft-com:office:smarttags" w:element="metricconverter">
        <w:smartTagPr>
          <w:attr w:name="ProductID" w:val="1912 م"/>
        </w:smartTagPr>
        <w:r w:rsidRPr="00DC0143">
          <w:rPr>
            <w:rFonts w:cs="Traditional Arabic" w:hint="cs"/>
            <w:color w:val="000000"/>
            <w:sz w:val="24"/>
            <w:szCs w:val="28"/>
            <w:rtl/>
          </w:rPr>
          <w:t>1912 م</w:t>
        </w:r>
      </w:smartTag>
      <w:r w:rsidRPr="00DC0143">
        <w:rPr>
          <w:rFonts w:cs="Traditional Arabic" w:hint="cs"/>
          <w:color w:val="000000"/>
          <w:sz w:val="24"/>
          <w:szCs w:val="28"/>
          <w:rtl/>
        </w:rPr>
        <w:t xml:space="preserve"> 24 ص 118 </w:t>
      </w:r>
      <w:r w:rsidRPr="00DC0143">
        <w:rPr>
          <w:rFonts w:cs="Traditional Arabic"/>
          <w:color w:val="000000"/>
          <w:sz w:val="24"/>
          <w:szCs w:val="28"/>
          <w:rtl/>
        </w:rPr>
        <w:t>–</w:t>
      </w:r>
      <w:r w:rsidRPr="00DC0143">
        <w:rPr>
          <w:rFonts w:cs="Traditional Arabic" w:hint="cs"/>
          <w:color w:val="000000"/>
          <w:sz w:val="24"/>
          <w:szCs w:val="28"/>
          <w:rtl/>
        </w:rPr>
        <w:t xml:space="preserve"> 8 يناير سنة </w:t>
      </w:r>
      <w:smartTag w:uri="urn:schemas-microsoft-com:office:smarttags" w:element="metricconverter">
        <w:smartTagPr>
          <w:attr w:name="ProductID" w:val="1914 م"/>
        </w:smartTagPr>
        <w:r w:rsidRPr="00DC0143">
          <w:rPr>
            <w:rFonts w:cs="Traditional Arabic" w:hint="cs"/>
            <w:color w:val="000000"/>
            <w:sz w:val="24"/>
            <w:szCs w:val="28"/>
            <w:rtl/>
          </w:rPr>
          <w:t>1914 م</w:t>
        </w:r>
      </w:smartTag>
      <w:r w:rsidRPr="00DC0143">
        <w:rPr>
          <w:rFonts w:cs="Traditional Arabic" w:hint="cs"/>
          <w:color w:val="000000"/>
          <w:sz w:val="24"/>
          <w:szCs w:val="28"/>
          <w:rtl/>
        </w:rPr>
        <w:t xml:space="preserve"> 26 ص 104 </w:t>
      </w:r>
      <w:r w:rsidRPr="00DC0143">
        <w:rPr>
          <w:rFonts w:cs="Traditional Arabic"/>
          <w:color w:val="000000"/>
          <w:sz w:val="24"/>
          <w:szCs w:val="28"/>
          <w:rtl/>
        </w:rPr>
        <w:t>–</w:t>
      </w:r>
      <w:r w:rsidRPr="00DC0143">
        <w:rPr>
          <w:rFonts w:cs="Traditional Arabic" w:hint="cs"/>
          <w:color w:val="000000"/>
          <w:sz w:val="24"/>
          <w:szCs w:val="28"/>
          <w:rtl/>
        </w:rPr>
        <w:t xml:space="preserve"> 7 ديسمبر سنة </w:t>
      </w:r>
      <w:smartTag w:uri="urn:schemas-microsoft-com:office:smarttags" w:element="metricconverter">
        <w:smartTagPr>
          <w:attr w:name="ProductID" w:val="1915 م"/>
        </w:smartTagPr>
        <w:r w:rsidRPr="00DC0143">
          <w:rPr>
            <w:rFonts w:cs="Traditional Arabic" w:hint="cs"/>
            <w:color w:val="000000"/>
            <w:sz w:val="24"/>
            <w:szCs w:val="28"/>
            <w:rtl/>
          </w:rPr>
          <w:t>1915 م</w:t>
        </w:r>
      </w:smartTag>
      <w:r w:rsidRPr="00DC0143">
        <w:rPr>
          <w:rFonts w:cs="Traditional Arabic" w:hint="cs"/>
          <w:color w:val="000000"/>
          <w:sz w:val="24"/>
          <w:szCs w:val="28"/>
          <w:rtl/>
        </w:rPr>
        <w:t xml:space="preserve"> 28 ص 46 </w:t>
      </w:r>
      <w:r w:rsidRPr="00DC0143">
        <w:rPr>
          <w:rFonts w:cs="Traditional Arabic"/>
          <w:color w:val="000000"/>
          <w:sz w:val="24"/>
          <w:szCs w:val="28"/>
          <w:rtl/>
        </w:rPr>
        <w:t>–</w:t>
      </w:r>
      <w:r w:rsidRPr="00DC0143">
        <w:rPr>
          <w:rFonts w:cs="Traditional Arabic" w:hint="cs"/>
          <w:color w:val="000000"/>
          <w:sz w:val="24"/>
          <w:szCs w:val="28"/>
          <w:rtl/>
        </w:rPr>
        <w:t xml:space="preserve"> 15 نوفمبر سنة </w:t>
      </w:r>
      <w:smartTag w:uri="urn:schemas-microsoft-com:office:smarttags" w:element="metricconverter">
        <w:smartTagPr>
          <w:attr w:name="ProductID" w:val="1916 م"/>
        </w:smartTagPr>
        <w:r w:rsidRPr="00DC0143">
          <w:rPr>
            <w:rFonts w:cs="Traditional Arabic" w:hint="cs"/>
            <w:color w:val="000000"/>
            <w:sz w:val="24"/>
            <w:szCs w:val="28"/>
            <w:rtl/>
          </w:rPr>
          <w:t>1916 م</w:t>
        </w:r>
      </w:smartTag>
      <w:r w:rsidRPr="00DC0143">
        <w:rPr>
          <w:rFonts w:cs="Traditional Arabic" w:hint="cs"/>
          <w:color w:val="000000"/>
          <w:sz w:val="24"/>
          <w:szCs w:val="28"/>
          <w:rtl/>
        </w:rPr>
        <w:t xml:space="preserve"> 29 ص 49 </w:t>
      </w:r>
      <w:r w:rsidRPr="00DC0143">
        <w:rPr>
          <w:rFonts w:cs="Traditional Arabic"/>
          <w:color w:val="000000"/>
          <w:sz w:val="24"/>
          <w:szCs w:val="28"/>
          <w:rtl/>
        </w:rPr>
        <w:t>–</w:t>
      </w:r>
      <w:r w:rsidRPr="00DC0143">
        <w:rPr>
          <w:rFonts w:cs="Traditional Arabic" w:hint="cs"/>
          <w:color w:val="000000"/>
          <w:sz w:val="24"/>
          <w:szCs w:val="28"/>
          <w:rtl/>
        </w:rPr>
        <w:t xml:space="preserve"> 10 ديسمبر سنة </w:t>
      </w:r>
      <w:smartTag w:uri="urn:schemas-microsoft-com:office:smarttags" w:element="metricconverter">
        <w:smartTagPr>
          <w:attr w:name="ProductID" w:val="1918 م"/>
        </w:smartTagPr>
        <w:r w:rsidRPr="00DC0143">
          <w:rPr>
            <w:rFonts w:cs="Traditional Arabic" w:hint="cs"/>
            <w:color w:val="000000"/>
            <w:sz w:val="24"/>
            <w:szCs w:val="28"/>
            <w:rtl/>
          </w:rPr>
          <w:t>1918 م</w:t>
        </w:r>
      </w:smartTag>
      <w:r w:rsidRPr="00DC0143">
        <w:rPr>
          <w:rFonts w:cs="Traditional Arabic" w:hint="cs"/>
          <w:color w:val="000000"/>
          <w:sz w:val="24"/>
          <w:szCs w:val="28"/>
          <w:rtl/>
        </w:rPr>
        <w:t xml:space="preserve"> 31 ص 54 </w:t>
      </w:r>
      <w:r w:rsidRPr="00DC0143">
        <w:rPr>
          <w:rFonts w:cs="Traditional Arabic"/>
          <w:color w:val="000000"/>
          <w:sz w:val="24"/>
          <w:szCs w:val="28"/>
          <w:rtl/>
        </w:rPr>
        <w:t>–</w:t>
      </w:r>
      <w:r w:rsidRPr="00DC0143">
        <w:rPr>
          <w:rFonts w:cs="Traditional Arabic" w:hint="cs"/>
          <w:color w:val="000000"/>
          <w:sz w:val="24"/>
          <w:szCs w:val="28"/>
          <w:rtl/>
        </w:rPr>
        <w:t xml:space="preserve"> 13 مارس سن </w:t>
      </w:r>
      <w:smartTag w:uri="urn:schemas-microsoft-com:office:smarttags" w:element="metricconverter">
        <w:smartTagPr>
          <w:attr w:name="ProductID" w:val="1923 م"/>
        </w:smartTagPr>
        <w:r w:rsidRPr="00DC0143">
          <w:rPr>
            <w:rFonts w:cs="Traditional Arabic" w:hint="cs"/>
            <w:color w:val="000000"/>
            <w:sz w:val="24"/>
            <w:szCs w:val="28"/>
            <w:rtl/>
          </w:rPr>
          <w:t>1923 م</w:t>
        </w:r>
      </w:smartTag>
      <w:r w:rsidRPr="00DC0143">
        <w:rPr>
          <w:rFonts w:cs="Traditional Arabic" w:hint="cs"/>
          <w:color w:val="000000"/>
          <w:sz w:val="24"/>
          <w:szCs w:val="28"/>
          <w:rtl/>
        </w:rPr>
        <w:t xml:space="preserve"> 44 ص 179 </w:t>
      </w:r>
      <w:r w:rsidRPr="00DC0143">
        <w:rPr>
          <w:rFonts w:cs="Traditional Arabic"/>
          <w:color w:val="000000"/>
          <w:sz w:val="24"/>
          <w:szCs w:val="28"/>
          <w:rtl/>
        </w:rPr>
        <w:t>–</w:t>
      </w:r>
      <w:r w:rsidRPr="00DC0143">
        <w:rPr>
          <w:rFonts w:cs="Traditional Arabic" w:hint="cs"/>
          <w:color w:val="000000"/>
          <w:sz w:val="24"/>
          <w:szCs w:val="28"/>
          <w:rtl/>
        </w:rPr>
        <w:t xml:space="preserve"> 21 ديسمبر سنة </w:t>
      </w:r>
      <w:smartTag w:uri="urn:schemas-microsoft-com:office:smarttags" w:element="metricconverter">
        <w:smartTagPr>
          <w:attr w:name="ProductID" w:val="1936 م"/>
        </w:smartTagPr>
        <w:r w:rsidRPr="00DC0143">
          <w:rPr>
            <w:rFonts w:cs="Traditional Arabic" w:hint="cs"/>
            <w:color w:val="000000"/>
            <w:sz w:val="24"/>
            <w:szCs w:val="28"/>
            <w:rtl/>
          </w:rPr>
          <w:t>1936 م</w:t>
        </w:r>
      </w:smartTag>
      <w:r w:rsidRPr="00DC0143">
        <w:rPr>
          <w:rFonts w:cs="Traditional Arabic" w:hint="cs"/>
          <w:color w:val="000000"/>
          <w:sz w:val="24"/>
          <w:szCs w:val="28"/>
          <w:rtl/>
        </w:rPr>
        <w:t xml:space="preserve"> 49 ص 48 </w:t>
      </w:r>
      <w:r w:rsidRPr="00DC0143">
        <w:rPr>
          <w:rFonts w:cs="Traditional Arabic"/>
          <w:color w:val="000000"/>
          <w:sz w:val="24"/>
          <w:szCs w:val="28"/>
          <w:rtl/>
        </w:rPr>
        <w:t>–</w:t>
      </w:r>
      <w:r w:rsidRPr="00DC0143">
        <w:rPr>
          <w:rFonts w:cs="Traditional Arabic" w:hint="cs"/>
          <w:color w:val="000000"/>
          <w:sz w:val="24"/>
          <w:szCs w:val="28"/>
          <w:rtl/>
        </w:rPr>
        <w:t xml:space="preserve"> 11 يناير سنة </w:t>
      </w:r>
      <w:smartTag w:uri="urn:schemas-microsoft-com:office:smarttags" w:element="metricconverter">
        <w:smartTagPr>
          <w:attr w:name="ProductID" w:val="1938 م"/>
        </w:smartTagPr>
        <w:r w:rsidRPr="00DC0143">
          <w:rPr>
            <w:rFonts w:cs="Traditional Arabic" w:hint="cs"/>
            <w:color w:val="000000"/>
            <w:sz w:val="24"/>
            <w:szCs w:val="28"/>
            <w:rtl/>
          </w:rPr>
          <w:t>1938 م</w:t>
        </w:r>
      </w:smartTag>
      <w:r w:rsidRPr="00DC0143">
        <w:rPr>
          <w:rFonts w:cs="Traditional Arabic" w:hint="cs"/>
          <w:color w:val="000000"/>
          <w:sz w:val="24"/>
          <w:szCs w:val="28"/>
          <w:rtl/>
        </w:rPr>
        <w:t xml:space="preserve"> 50 ص 90 </w:t>
      </w:r>
      <w:r w:rsidRPr="00DC0143">
        <w:rPr>
          <w:rFonts w:cs="Traditional Arabic"/>
          <w:color w:val="000000"/>
          <w:sz w:val="24"/>
          <w:szCs w:val="28"/>
          <w:rtl/>
        </w:rPr>
        <w:t>–</w:t>
      </w:r>
      <w:r w:rsidRPr="00DC0143">
        <w:rPr>
          <w:rFonts w:cs="Traditional Arabic" w:hint="cs"/>
          <w:color w:val="000000"/>
          <w:sz w:val="24"/>
          <w:szCs w:val="28"/>
          <w:rtl/>
        </w:rPr>
        <w:t xml:space="preserve"> 7 مارس سنة </w:t>
      </w:r>
      <w:smartTag w:uri="urn:schemas-microsoft-com:office:smarttags" w:element="metricconverter">
        <w:smartTagPr>
          <w:attr w:name="ProductID" w:val="1939 م"/>
        </w:smartTagPr>
        <w:r w:rsidRPr="00DC0143">
          <w:rPr>
            <w:rFonts w:cs="Traditional Arabic" w:hint="cs"/>
            <w:color w:val="000000"/>
            <w:sz w:val="24"/>
            <w:szCs w:val="28"/>
            <w:rtl/>
          </w:rPr>
          <w:t>1939 م</w:t>
        </w:r>
      </w:smartTag>
      <w:r w:rsidRPr="00DC0143">
        <w:rPr>
          <w:rFonts w:cs="Traditional Arabic" w:hint="cs"/>
          <w:color w:val="000000"/>
          <w:sz w:val="24"/>
          <w:szCs w:val="28"/>
          <w:rtl/>
        </w:rPr>
        <w:t xml:space="preserve"> 51 ص 186 </w:t>
      </w:r>
      <w:r w:rsidRPr="00DC0143">
        <w:rPr>
          <w:rFonts w:cs="Traditional Arabic"/>
          <w:color w:val="000000"/>
          <w:sz w:val="24"/>
          <w:szCs w:val="28"/>
          <w:rtl/>
        </w:rPr>
        <w:t>–</w:t>
      </w:r>
      <w:r w:rsidRPr="00DC0143">
        <w:rPr>
          <w:rFonts w:cs="Traditional Arabic" w:hint="cs"/>
          <w:color w:val="000000"/>
          <w:sz w:val="24"/>
          <w:szCs w:val="28"/>
          <w:rtl/>
        </w:rPr>
        <w:t xml:space="preserve"> 11 يونيه سنة </w:t>
      </w:r>
      <w:smartTag w:uri="urn:schemas-microsoft-com:office:smarttags" w:element="metricconverter">
        <w:smartTagPr>
          <w:attr w:name="ProductID" w:val="1940 م"/>
        </w:smartTagPr>
        <w:r w:rsidRPr="00DC0143">
          <w:rPr>
            <w:rFonts w:cs="Traditional Arabic" w:hint="cs"/>
            <w:color w:val="000000"/>
            <w:sz w:val="24"/>
            <w:szCs w:val="28"/>
            <w:rtl/>
          </w:rPr>
          <w:t>1940 م</w:t>
        </w:r>
      </w:smartTag>
      <w:r w:rsidRPr="00DC0143">
        <w:rPr>
          <w:rFonts w:cs="Traditional Arabic" w:hint="cs"/>
          <w:color w:val="000000"/>
          <w:sz w:val="24"/>
          <w:szCs w:val="28"/>
          <w:rtl/>
        </w:rPr>
        <w:t xml:space="preserve"> 52 ص 299 </w:t>
      </w:r>
      <w:r w:rsidRPr="00DC0143">
        <w:rPr>
          <w:rFonts w:cs="Traditional Arabic"/>
          <w:color w:val="000000"/>
          <w:sz w:val="24"/>
          <w:szCs w:val="28"/>
          <w:rtl/>
        </w:rPr>
        <w:t>–</w:t>
      </w:r>
      <w:r w:rsidRPr="00DC0143">
        <w:rPr>
          <w:rFonts w:cs="Traditional Arabic" w:hint="cs"/>
          <w:color w:val="000000"/>
          <w:sz w:val="24"/>
          <w:szCs w:val="28"/>
          <w:rtl/>
        </w:rPr>
        <w:t xml:space="preserve"> 2 مايو سنة </w:t>
      </w:r>
      <w:smartTag w:uri="urn:schemas-microsoft-com:office:smarttags" w:element="metricconverter">
        <w:smartTagPr>
          <w:attr w:name="ProductID" w:val="1946 م"/>
        </w:smartTagPr>
        <w:r w:rsidRPr="00DC0143">
          <w:rPr>
            <w:rFonts w:cs="Traditional Arabic" w:hint="cs"/>
            <w:color w:val="000000"/>
            <w:sz w:val="24"/>
            <w:szCs w:val="28"/>
            <w:rtl/>
          </w:rPr>
          <w:t>1946 م</w:t>
        </w:r>
      </w:smartTag>
      <w:r w:rsidRPr="00DC0143">
        <w:rPr>
          <w:rFonts w:cs="Traditional Arabic" w:hint="cs"/>
          <w:color w:val="000000"/>
          <w:sz w:val="24"/>
          <w:szCs w:val="28"/>
          <w:rtl/>
        </w:rPr>
        <w:t xml:space="preserve"> 58 ص 138 </w:t>
      </w:r>
      <w:r w:rsidRPr="00DC0143">
        <w:rPr>
          <w:rFonts w:cs="Traditional Arabic"/>
          <w:color w:val="000000"/>
          <w:sz w:val="24"/>
          <w:szCs w:val="28"/>
          <w:rtl/>
        </w:rPr>
        <w:t>–</w:t>
      </w:r>
      <w:r w:rsidRPr="00DC0143">
        <w:rPr>
          <w:rFonts w:cs="Traditional Arabic" w:hint="cs"/>
          <w:color w:val="000000"/>
          <w:sz w:val="24"/>
          <w:szCs w:val="28"/>
          <w:rtl/>
        </w:rPr>
        <w:t xml:space="preserve"> 3 نوفمبر سنة </w:t>
      </w:r>
      <w:smartTag w:uri="urn:schemas-microsoft-com:office:smarttags" w:element="metricconverter">
        <w:smartTagPr>
          <w:attr w:name="ProductID" w:val="1948 م"/>
        </w:smartTagPr>
        <w:r w:rsidRPr="00DC0143">
          <w:rPr>
            <w:rFonts w:cs="Traditional Arabic" w:hint="cs"/>
            <w:color w:val="000000"/>
            <w:sz w:val="24"/>
            <w:szCs w:val="28"/>
            <w:rtl/>
          </w:rPr>
          <w:t>1948 م</w:t>
        </w:r>
      </w:smartTag>
      <w:r w:rsidRPr="00DC0143">
        <w:rPr>
          <w:rFonts w:cs="Traditional Arabic" w:hint="cs"/>
          <w:color w:val="000000"/>
          <w:sz w:val="24"/>
          <w:szCs w:val="28"/>
          <w:rtl/>
        </w:rPr>
        <w:t xml:space="preserve"> 61 ص 14</w:t>
      </w:r>
      <w:r>
        <w:rPr>
          <w:rFonts w:cs="Traditional Arabic" w:hint="cs"/>
          <w:color w:val="000000"/>
          <w:sz w:val="24"/>
          <w:szCs w:val="28"/>
          <w:rtl/>
        </w:rPr>
        <w:t xml:space="preserve"> .</w:t>
      </w:r>
    </w:p>
  </w:footnote>
  <w:footnote w:id="54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2 فقرة 367 </w:t>
      </w:r>
      <w:r w:rsidRPr="00DC0143">
        <w:rPr>
          <w:rFonts w:cs="Traditional Arabic"/>
          <w:color w:val="000000"/>
          <w:sz w:val="24"/>
          <w:szCs w:val="28"/>
          <w:rtl/>
        </w:rPr>
        <w:t>–</w:t>
      </w:r>
      <w:r w:rsidRPr="00DC0143">
        <w:rPr>
          <w:rFonts w:cs="Traditional Arabic" w:hint="cs"/>
          <w:color w:val="000000"/>
          <w:sz w:val="24"/>
          <w:szCs w:val="28"/>
          <w:rtl/>
        </w:rPr>
        <w:t xml:space="preserve"> جيوار فقرة 243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1188 ص 624</w:t>
      </w:r>
      <w:r>
        <w:rPr>
          <w:rFonts w:cs="Traditional Arabic" w:hint="cs"/>
          <w:color w:val="000000"/>
          <w:sz w:val="24"/>
          <w:szCs w:val="28"/>
          <w:rtl/>
        </w:rPr>
        <w:t xml:space="preserve"> .</w:t>
      </w:r>
    </w:p>
  </w:footnote>
  <w:footnote w:id="54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6 فقرة 429 ص 302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1558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148 ص 220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116 ص 184 </w:t>
      </w:r>
      <w:r w:rsidRPr="00DC0143">
        <w:rPr>
          <w:rFonts w:cs="Traditional Arabic"/>
          <w:color w:val="000000"/>
          <w:sz w:val="24"/>
          <w:szCs w:val="28"/>
          <w:rtl/>
        </w:rPr>
        <w:t>–</w:t>
      </w:r>
      <w:r w:rsidRPr="00DC0143">
        <w:rPr>
          <w:rFonts w:cs="Traditional Arabic" w:hint="cs"/>
          <w:color w:val="000000"/>
          <w:sz w:val="24"/>
          <w:szCs w:val="28"/>
          <w:rtl/>
        </w:rPr>
        <w:t xml:space="preserve"> جمال الدين زكي فقرة 46 ص 92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38 ص 72</w:t>
      </w:r>
      <w:r>
        <w:rPr>
          <w:rFonts w:cs="Traditional Arabic" w:hint="cs"/>
          <w:color w:val="000000"/>
          <w:sz w:val="24"/>
          <w:szCs w:val="28"/>
          <w:rtl/>
        </w:rPr>
        <w:t xml:space="preserve"> .</w:t>
      </w:r>
      <w:r w:rsidRPr="00DC0143">
        <w:rPr>
          <w:rFonts w:cs="Traditional Arabic" w:hint="cs"/>
          <w:color w:val="000000"/>
          <w:sz w:val="24"/>
          <w:szCs w:val="28"/>
          <w:rtl/>
        </w:rPr>
        <w:t xml:space="preserve"> وانظر عكس ذلك بون 2 فقرة 371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151 </w:t>
      </w:r>
      <w:r w:rsidRPr="00DC0143">
        <w:rPr>
          <w:rFonts w:cs="Traditional Arabic"/>
          <w:color w:val="000000"/>
          <w:sz w:val="24"/>
          <w:szCs w:val="28"/>
          <w:rtl/>
        </w:rPr>
        <w:t>–</w:t>
      </w:r>
      <w:r w:rsidRPr="00DC0143">
        <w:rPr>
          <w:rFonts w:cs="Traditional Arabic" w:hint="cs"/>
          <w:color w:val="000000"/>
          <w:sz w:val="24"/>
          <w:szCs w:val="28"/>
          <w:rtl/>
        </w:rPr>
        <w:t xml:space="preserve"> جيوار فقرة 246</w:t>
      </w:r>
      <w:r>
        <w:rPr>
          <w:rFonts w:cs="Traditional Arabic" w:hint="cs"/>
          <w:color w:val="000000"/>
          <w:sz w:val="24"/>
          <w:szCs w:val="28"/>
          <w:rtl/>
        </w:rPr>
        <w:t xml:space="preserve"> .</w:t>
      </w:r>
    </w:p>
  </w:footnote>
  <w:footnote w:id="54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فقرة 372 </w:t>
      </w:r>
      <w:r w:rsidRPr="00DC0143">
        <w:rPr>
          <w:rFonts w:cs="Traditional Arabic"/>
          <w:color w:val="000000"/>
          <w:sz w:val="24"/>
          <w:szCs w:val="28"/>
          <w:rtl/>
        </w:rPr>
        <w:t>–</w:t>
      </w:r>
      <w:r w:rsidRPr="00DC0143">
        <w:rPr>
          <w:rFonts w:cs="Traditional Arabic" w:hint="cs"/>
          <w:color w:val="000000"/>
          <w:sz w:val="24"/>
          <w:szCs w:val="28"/>
          <w:rtl/>
        </w:rPr>
        <w:t xml:space="preserve"> جيوار فقرة 247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429 ص 302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1558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148 ص 219</w:t>
      </w:r>
      <w:r>
        <w:rPr>
          <w:rFonts w:cs="Traditional Arabic" w:hint="cs"/>
          <w:color w:val="000000"/>
          <w:sz w:val="24"/>
          <w:szCs w:val="28"/>
          <w:rtl/>
        </w:rPr>
        <w:t xml:space="preserve"> .</w:t>
      </w:r>
    </w:p>
  </w:footnote>
  <w:footnote w:id="54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2 فقرة 269 </w:t>
      </w:r>
      <w:r w:rsidRPr="00DC0143">
        <w:rPr>
          <w:rFonts w:cs="Traditional Arabic"/>
          <w:color w:val="000000"/>
          <w:sz w:val="24"/>
          <w:szCs w:val="28"/>
          <w:rtl/>
        </w:rPr>
        <w:t>–</w:t>
      </w:r>
      <w:r w:rsidRPr="00DC0143">
        <w:rPr>
          <w:rFonts w:cs="Traditional Arabic" w:hint="cs"/>
          <w:color w:val="000000"/>
          <w:sz w:val="24"/>
          <w:szCs w:val="28"/>
          <w:rtl/>
        </w:rPr>
        <w:t xml:space="preserve"> جيوار فقرة 245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429 هامش 21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1558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148 ص 218 ص 218 ص 219</w:t>
      </w:r>
      <w:r>
        <w:rPr>
          <w:rFonts w:cs="Traditional Arabic" w:hint="cs"/>
          <w:color w:val="000000"/>
          <w:sz w:val="24"/>
          <w:szCs w:val="28"/>
          <w:rtl/>
        </w:rPr>
        <w:t xml:space="preserve"> .</w:t>
      </w:r>
    </w:p>
  </w:footnote>
  <w:footnote w:id="54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1190 ص 626</w:t>
      </w:r>
      <w:r>
        <w:rPr>
          <w:rFonts w:cs="Traditional Arabic" w:hint="cs"/>
          <w:color w:val="000000"/>
          <w:sz w:val="24"/>
          <w:szCs w:val="28"/>
          <w:rtl/>
        </w:rPr>
        <w:t xml:space="preserve"> .</w:t>
      </w:r>
    </w:p>
  </w:footnote>
  <w:footnote w:id="54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1174 ص 611</w:t>
      </w:r>
      <w:r>
        <w:rPr>
          <w:rFonts w:cs="Traditional Arabic" w:hint="cs"/>
          <w:color w:val="000000"/>
          <w:sz w:val="24"/>
          <w:szCs w:val="28"/>
          <w:rtl/>
        </w:rPr>
        <w:t xml:space="preserve"> .</w:t>
      </w:r>
    </w:p>
  </w:footnote>
  <w:footnote w:id="54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w:t>
      </w:r>
      <w:r w:rsidRPr="00DC0143">
        <w:rPr>
          <w:rFonts w:cs="Traditional Arabic"/>
          <w:color w:val="000000"/>
          <w:sz w:val="24"/>
          <w:szCs w:val="28"/>
        </w:rPr>
        <w:t>Labbe</w:t>
      </w:r>
      <w:r w:rsidRPr="00DC0143">
        <w:rPr>
          <w:rFonts w:cs="Traditional Arabic" w:hint="cs"/>
          <w:color w:val="000000"/>
          <w:sz w:val="24"/>
          <w:szCs w:val="28"/>
          <w:rtl/>
        </w:rPr>
        <w:t xml:space="preserve"> في تعليقه على سيره 87 </w:t>
      </w:r>
      <w:r w:rsidRPr="00DC0143">
        <w:rPr>
          <w:rFonts w:cs="Traditional Arabic"/>
          <w:color w:val="000000"/>
          <w:sz w:val="24"/>
          <w:szCs w:val="28"/>
          <w:rtl/>
        </w:rPr>
        <w:t>–</w:t>
      </w:r>
      <w:r w:rsidRPr="00DC0143">
        <w:rPr>
          <w:rFonts w:cs="Traditional Arabic" w:hint="cs"/>
          <w:color w:val="000000"/>
          <w:sz w:val="24"/>
          <w:szCs w:val="28"/>
          <w:rtl/>
        </w:rPr>
        <w:t xml:space="preserve"> 1- 5 </w:t>
      </w:r>
      <w:r w:rsidRPr="00DC0143">
        <w:rPr>
          <w:rFonts w:cs="Traditional Arabic"/>
          <w:color w:val="000000"/>
          <w:sz w:val="24"/>
          <w:szCs w:val="28"/>
          <w:rtl/>
        </w:rPr>
        <w:t>–</w:t>
      </w:r>
      <w:r w:rsidRPr="00DC0143">
        <w:rPr>
          <w:rFonts w:cs="Traditional Arabic" w:hint="cs"/>
          <w:color w:val="000000"/>
          <w:sz w:val="24"/>
          <w:szCs w:val="28"/>
          <w:rtl/>
        </w:rPr>
        <w:t xml:space="preserve"> </w:t>
      </w:r>
      <w:r w:rsidRPr="00DC0143">
        <w:rPr>
          <w:rFonts w:cs="Traditional Arabic"/>
          <w:color w:val="000000"/>
          <w:sz w:val="24"/>
          <w:szCs w:val="28"/>
        </w:rPr>
        <w:t>Fournier</w:t>
      </w:r>
      <w:r w:rsidRPr="00DC0143">
        <w:rPr>
          <w:rFonts w:cs="Traditional Arabic" w:hint="cs"/>
          <w:color w:val="000000"/>
          <w:sz w:val="24"/>
          <w:szCs w:val="28"/>
          <w:rtl/>
        </w:rPr>
        <w:t xml:space="preserve"> في تلكدلو تلامنقت</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 xml:space="preserve">يو سمو 1997 </w:t>
      </w:r>
      <w:r>
        <w:rPr>
          <w:rFonts w:cs="Traditional Arabic" w:hint="cs"/>
          <w:color w:val="000000"/>
          <w:sz w:val="24"/>
          <w:szCs w:val="28"/>
          <w:rtl/>
        </w:rPr>
        <w:t xml:space="preserve"> :</w:t>
      </w:r>
      <w:r w:rsidRPr="00DC0143">
        <w:rPr>
          <w:rFonts w:cs="Traditional Arabic" w:hint="cs"/>
          <w:color w:val="000000"/>
          <w:sz w:val="24"/>
          <w:szCs w:val="28"/>
          <w:rtl/>
        </w:rPr>
        <w:t xml:space="preserve"> 16 فقرة 41 ص 55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1174</w:t>
      </w:r>
      <w:r>
        <w:rPr>
          <w:rFonts w:cs="Traditional Arabic" w:hint="cs"/>
          <w:color w:val="000000"/>
          <w:sz w:val="24"/>
          <w:szCs w:val="28"/>
          <w:rtl/>
        </w:rPr>
        <w:t xml:space="preserve"> .</w:t>
      </w:r>
    </w:p>
  </w:footnote>
  <w:footnote w:id="54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1174 ص 617</w:t>
      </w:r>
      <w:r>
        <w:rPr>
          <w:rFonts w:cs="Traditional Arabic" w:hint="cs"/>
          <w:color w:val="000000"/>
          <w:sz w:val="24"/>
          <w:szCs w:val="28"/>
          <w:rtl/>
        </w:rPr>
        <w:t xml:space="preserve"> .</w:t>
      </w:r>
    </w:p>
  </w:footnote>
  <w:footnote w:id="55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16 نوفمبر سن 1938 جازيت دي باليه 1939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40 </w:t>
      </w:r>
      <w:r w:rsidRPr="00DC0143">
        <w:rPr>
          <w:rFonts w:cs="Traditional Arabic"/>
          <w:color w:val="000000"/>
          <w:sz w:val="24"/>
          <w:szCs w:val="28"/>
          <w:rtl/>
        </w:rPr>
        <w:t>–</w:t>
      </w:r>
      <w:r w:rsidRPr="00DC0143">
        <w:rPr>
          <w:rFonts w:cs="Traditional Arabic" w:hint="cs"/>
          <w:color w:val="000000"/>
          <w:sz w:val="24"/>
          <w:szCs w:val="28"/>
          <w:rtl/>
        </w:rPr>
        <w:t xml:space="preserve"> 3 ديسمبر سنة 1941 </w:t>
      </w:r>
      <w:r w:rsidRPr="00DC0143">
        <w:rPr>
          <w:rFonts w:cs="Traditional Arabic"/>
          <w:color w:val="000000"/>
          <w:sz w:val="24"/>
          <w:szCs w:val="24"/>
        </w:rPr>
        <w:t>D</w:t>
      </w:r>
      <w:r>
        <w:rPr>
          <w:rFonts w:cs="Traditional Arabic"/>
          <w:color w:val="000000"/>
          <w:sz w:val="24"/>
          <w:szCs w:val="24"/>
        </w:rPr>
        <w:t xml:space="preserve"> .</w:t>
      </w:r>
      <w:r w:rsidRPr="00DC0143">
        <w:rPr>
          <w:rFonts w:cs="Traditional Arabic"/>
          <w:color w:val="000000"/>
          <w:sz w:val="24"/>
          <w:szCs w:val="24"/>
        </w:rPr>
        <w:t xml:space="preserve"> A</w:t>
      </w:r>
      <w:r>
        <w:rPr>
          <w:rFonts w:cs="Traditional Arabic"/>
          <w:color w:val="000000"/>
          <w:sz w:val="24"/>
          <w:szCs w:val="24"/>
          <w:rtl/>
        </w:rPr>
        <w:t xml:space="preserve"> .</w:t>
      </w:r>
      <w:r w:rsidRPr="00DC0143">
        <w:rPr>
          <w:rFonts w:cs="Traditional Arabic" w:hint="cs"/>
          <w:color w:val="000000"/>
          <w:sz w:val="24"/>
          <w:szCs w:val="28"/>
          <w:rtl/>
        </w:rPr>
        <w:t xml:space="preserve"> 1942 </w:t>
      </w:r>
      <w:r w:rsidRPr="00DC0143">
        <w:rPr>
          <w:rFonts w:cs="Traditional Arabic"/>
          <w:color w:val="000000"/>
          <w:sz w:val="24"/>
          <w:szCs w:val="28"/>
          <w:rtl/>
        </w:rPr>
        <w:t>–</w:t>
      </w:r>
      <w:r w:rsidRPr="00DC0143">
        <w:rPr>
          <w:rFonts w:cs="Traditional Arabic" w:hint="cs"/>
          <w:color w:val="000000"/>
          <w:sz w:val="24"/>
          <w:szCs w:val="28"/>
          <w:rtl/>
        </w:rPr>
        <w:t xml:space="preserve"> </w:t>
      </w:r>
      <w:r w:rsidRPr="00DC0143">
        <w:rPr>
          <w:rFonts w:cs="Traditional Arabic"/>
          <w:color w:val="000000"/>
          <w:sz w:val="24"/>
          <w:szCs w:val="24"/>
        </w:rPr>
        <w:t>J</w:t>
      </w:r>
      <w:r>
        <w:rPr>
          <w:rFonts w:cs="Traditional Arabic"/>
          <w:color w:val="000000"/>
          <w:sz w:val="24"/>
          <w:szCs w:val="24"/>
          <w:rtl/>
        </w:rPr>
        <w:t xml:space="preserve"> .</w:t>
      </w:r>
      <w:r w:rsidRPr="00DC0143">
        <w:rPr>
          <w:rFonts w:cs="Traditional Arabic" w:hint="cs"/>
          <w:color w:val="000000"/>
          <w:sz w:val="24"/>
          <w:szCs w:val="28"/>
          <w:rtl/>
        </w:rPr>
        <w:t xml:space="preserve"> 94 </w:t>
      </w:r>
      <w:r w:rsidRPr="00DC0143">
        <w:rPr>
          <w:rFonts w:cs="Traditional Arabic"/>
          <w:color w:val="000000"/>
          <w:sz w:val="24"/>
          <w:szCs w:val="28"/>
          <w:rtl/>
        </w:rPr>
        <w:t>–</w:t>
      </w:r>
      <w:r w:rsidRPr="00DC0143">
        <w:rPr>
          <w:rFonts w:cs="Traditional Arabic" w:hint="cs"/>
          <w:color w:val="000000"/>
          <w:sz w:val="24"/>
          <w:szCs w:val="28"/>
          <w:rtl/>
        </w:rPr>
        <w:t xml:space="preserve"> 5 يونيه سنة 1945 </w:t>
      </w:r>
      <w:r w:rsidRPr="00DC0143">
        <w:rPr>
          <w:rFonts w:cs="Traditional Arabic"/>
          <w:color w:val="000000"/>
          <w:sz w:val="24"/>
          <w:szCs w:val="28"/>
          <w:rtl/>
        </w:rPr>
        <w:t>–</w:t>
      </w:r>
      <w:r w:rsidRPr="00DC0143">
        <w:rPr>
          <w:rFonts w:cs="Traditional Arabic" w:hint="cs"/>
          <w:color w:val="000000"/>
          <w:sz w:val="24"/>
          <w:szCs w:val="28"/>
          <w:rtl/>
        </w:rPr>
        <w:t xml:space="preserve"> 4</w:t>
      </w:r>
      <w:r>
        <w:rPr>
          <w:rFonts w:cs="Traditional Arabic" w:hint="cs"/>
          <w:color w:val="000000"/>
          <w:sz w:val="24"/>
          <w:szCs w:val="28"/>
          <w:rtl/>
        </w:rPr>
        <w:t xml:space="preserve"> .</w:t>
      </w:r>
      <w:r w:rsidRPr="00DC0143">
        <w:rPr>
          <w:rFonts w:cs="Traditional Arabic" w:hint="cs"/>
          <w:color w:val="000000"/>
          <w:sz w:val="24"/>
          <w:szCs w:val="28"/>
          <w:rtl/>
        </w:rPr>
        <w:t xml:space="preserve"> وانظر بلانيول وريبير وسافاتييه فقرة 1560 ص 1006</w:t>
      </w:r>
    </w:p>
  </w:footnote>
  <w:footnote w:id="55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288</w:t>
      </w:r>
      <w:r>
        <w:rPr>
          <w:rFonts w:cs="Traditional Arabic" w:hint="cs"/>
          <w:color w:val="000000"/>
          <w:sz w:val="24"/>
          <w:szCs w:val="28"/>
          <w:rtl/>
        </w:rPr>
        <w:t xml:space="preserve"> .</w:t>
      </w:r>
    </w:p>
  </w:footnote>
  <w:footnote w:id="55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234 وفقرة 238 </w:t>
      </w:r>
      <w:r w:rsidRPr="00DC0143">
        <w:rPr>
          <w:rFonts w:cs="Traditional Arabic"/>
          <w:color w:val="000000"/>
          <w:sz w:val="24"/>
          <w:szCs w:val="28"/>
          <w:rtl/>
        </w:rPr>
        <w:t>–</w:t>
      </w:r>
      <w:r w:rsidRPr="00DC0143">
        <w:rPr>
          <w:rFonts w:cs="Traditional Arabic" w:hint="cs"/>
          <w:color w:val="000000"/>
          <w:sz w:val="24"/>
          <w:szCs w:val="28"/>
          <w:rtl/>
        </w:rPr>
        <w:t xml:space="preserve"> نقض فرنسي 4 نوفمبر سنة 1896 داللوز 97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569</w:t>
      </w:r>
      <w:r>
        <w:rPr>
          <w:rFonts w:cs="Traditional Arabic" w:hint="cs"/>
          <w:color w:val="000000"/>
          <w:sz w:val="24"/>
          <w:szCs w:val="28"/>
          <w:rtl/>
        </w:rPr>
        <w:t xml:space="preserve"> .</w:t>
      </w:r>
    </w:p>
  </w:footnote>
  <w:footnote w:id="55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 ديسمبر سنة 1895 داللوز 96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255 </w:t>
      </w:r>
      <w:r w:rsidRPr="00DC0143">
        <w:rPr>
          <w:rFonts w:cs="Traditional Arabic"/>
          <w:color w:val="000000"/>
          <w:sz w:val="24"/>
          <w:szCs w:val="28"/>
          <w:rtl/>
        </w:rPr>
        <w:t>–</w:t>
      </w:r>
      <w:r w:rsidRPr="00DC0143">
        <w:rPr>
          <w:rFonts w:cs="Traditional Arabic" w:hint="cs"/>
          <w:color w:val="000000"/>
          <w:sz w:val="24"/>
          <w:szCs w:val="28"/>
          <w:rtl/>
        </w:rPr>
        <w:t xml:space="preserve"> 18 ماس سنة 1907 داللوز 3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345 </w:t>
      </w:r>
      <w:r w:rsidRPr="00DC0143">
        <w:rPr>
          <w:rFonts w:cs="Traditional Arabic"/>
          <w:color w:val="000000"/>
          <w:sz w:val="24"/>
          <w:szCs w:val="28"/>
          <w:rtl/>
        </w:rPr>
        <w:t>–</w:t>
      </w:r>
      <w:r w:rsidRPr="00DC0143">
        <w:rPr>
          <w:rFonts w:cs="Traditional Arabic" w:hint="cs"/>
          <w:color w:val="000000"/>
          <w:sz w:val="24"/>
          <w:szCs w:val="28"/>
          <w:rtl/>
        </w:rPr>
        <w:t xml:space="preserve"> ديرانتون 18 فقرة 382 </w:t>
      </w:r>
      <w:r w:rsidRPr="00DC0143">
        <w:rPr>
          <w:rFonts w:cs="Traditional Arabic"/>
          <w:color w:val="000000"/>
          <w:sz w:val="24"/>
          <w:szCs w:val="28"/>
          <w:rtl/>
        </w:rPr>
        <w:t>–</w:t>
      </w:r>
      <w:r w:rsidRPr="00DC0143">
        <w:rPr>
          <w:rFonts w:cs="Traditional Arabic" w:hint="cs"/>
          <w:color w:val="000000"/>
          <w:sz w:val="24"/>
          <w:szCs w:val="28"/>
          <w:rtl/>
        </w:rPr>
        <w:t xml:space="preserve"> بون 20 فقرة 380 </w:t>
      </w:r>
      <w:r w:rsidRPr="00DC0143">
        <w:rPr>
          <w:rFonts w:cs="Traditional Arabic"/>
          <w:color w:val="000000"/>
          <w:sz w:val="24"/>
          <w:szCs w:val="28"/>
          <w:rtl/>
        </w:rPr>
        <w:t>–</w:t>
      </w:r>
      <w:r w:rsidRPr="00DC0143">
        <w:rPr>
          <w:rFonts w:cs="Traditional Arabic" w:hint="cs"/>
          <w:color w:val="000000"/>
          <w:sz w:val="24"/>
          <w:szCs w:val="28"/>
          <w:rtl/>
        </w:rPr>
        <w:t xml:space="preserve"> فقرة 381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310 </w:t>
      </w:r>
      <w:r w:rsidRPr="00DC0143">
        <w:rPr>
          <w:rFonts w:cs="Traditional Arabic"/>
          <w:color w:val="000000"/>
          <w:sz w:val="24"/>
          <w:szCs w:val="28"/>
          <w:rtl/>
        </w:rPr>
        <w:t>–</w:t>
      </w:r>
      <w:r w:rsidRPr="00DC0143">
        <w:rPr>
          <w:rFonts w:cs="Traditional Arabic" w:hint="cs"/>
          <w:color w:val="000000"/>
          <w:sz w:val="24"/>
          <w:szCs w:val="28"/>
          <w:rtl/>
        </w:rPr>
        <w:t xml:space="preserve"> فقرة 343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1176 ص 613 أوبري ورو 6 فقرة 722 هامش 12</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55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باريس 14 فبراير سنة 1891 جازيت دي تريبينو 19 أغسطس سنة 1894</w:t>
      </w:r>
      <w:r>
        <w:rPr>
          <w:rFonts w:cs="Traditional Arabic" w:hint="cs"/>
          <w:color w:val="000000"/>
          <w:sz w:val="24"/>
          <w:szCs w:val="28"/>
          <w:rtl/>
        </w:rPr>
        <w:t xml:space="preserve"> .</w:t>
      </w:r>
    </w:p>
  </w:footnote>
  <w:footnote w:id="55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238 </w:t>
      </w:r>
      <w:r w:rsidRPr="00DC0143">
        <w:rPr>
          <w:rFonts w:cs="Traditional Arabic"/>
          <w:color w:val="000000"/>
          <w:sz w:val="24"/>
          <w:szCs w:val="28"/>
          <w:rtl/>
        </w:rPr>
        <w:t>–</w:t>
      </w:r>
      <w:r w:rsidRPr="00DC0143">
        <w:rPr>
          <w:rFonts w:cs="Traditional Arabic" w:hint="cs"/>
          <w:color w:val="000000"/>
          <w:sz w:val="24"/>
          <w:szCs w:val="28"/>
          <w:rtl/>
        </w:rPr>
        <w:t xml:space="preserve"> ديجون 11 مارس سنة 1886 منشور تحت حكم محكمة النقض الفرنسية في 3 يناير سنة 1888 داللوز 88 </w:t>
      </w:r>
      <w:r w:rsidRPr="00DC0143">
        <w:rPr>
          <w:rFonts w:cs="Traditional Arabic"/>
          <w:color w:val="000000"/>
          <w:sz w:val="24"/>
          <w:szCs w:val="28"/>
          <w:rtl/>
        </w:rPr>
        <w:t>–</w:t>
      </w:r>
      <w:r w:rsidRPr="00DC0143">
        <w:rPr>
          <w:rFonts w:cs="Traditional Arabic" w:hint="cs"/>
          <w:color w:val="000000"/>
          <w:sz w:val="24"/>
          <w:szCs w:val="28"/>
          <w:rtl/>
        </w:rPr>
        <w:t xml:space="preserve"> 1- 36</w:t>
      </w:r>
      <w:r>
        <w:rPr>
          <w:rFonts w:cs="Traditional Arabic" w:hint="cs"/>
          <w:color w:val="000000"/>
          <w:sz w:val="24"/>
          <w:szCs w:val="28"/>
          <w:rtl/>
        </w:rPr>
        <w:t xml:space="preserve"> .</w:t>
      </w:r>
    </w:p>
  </w:footnote>
  <w:footnote w:id="55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238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1560</w:t>
      </w:r>
      <w:r>
        <w:rPr>
          <w:rFonts w:cs="Traditional Arabic" w:hint="cs"/>
          <w:color w:val="000000"/>
          <w:sz w:val="24"/>
          <w:szCs w:val="28"/>
          <w:rtl/>
        </w:rPr>
        <w:t xml:space="preserve"> .</w:t>
      </w:r>
    </w:p>
  </w:footnote>
  <w:footnote w:id="55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237</w:t>
      </w:r>
      <w:r>
        <w:rPr>
          <w:rFonts w:cs="Traditional Arabic" w:hint="cs"/>
          <w:color w:val="000000"/>
          <w:sz w:val="24"/>
          <w:szCs w:val="28"/>
          <w:rtl/>
        </w:rPr>
        <w:t xml:space="preserve"> .</w:t>
      </w:r>
    </w:p>
  </w:footnote>
  <w:footnote w:id="55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هيك 12 فقرة 251 </w:t>
      </w:r>
      <w:r w:rsidRPr="00DC0143">
        <w:rPr>
          <w:rFonts w:cs="Traditional Arabic"/>
          <w:color w:val="000000"/>
          <w:sz w:val="24"/>
          <w:szCs w:val="28"/>
          <w:rtl/>
        </w:rPr>
        <w:t>–</w:t>
      </w:r>
      <w:r w:rsidRPr="00DC0143">
        <w:rPr>
          <w:rFonts w:cs="Traditional Arabic" w:hint="cs"/>
          <w:color w:val="000000"/>
          <w:sz w:val="24"/>
          <w:szCs w:val="28"/>
          <w:rtl/>
        </w:rPr>
        <w:t xml:space="preserve"> جيوار فقرة 237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1177</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55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6 فقرة 429 هامش 13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1177 ص 617 - محمد كامل مرسي فقرة 71 ص 95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151 </w:t>
      </w:r>
      <w:r w:rsidRPr="00DC0143">
        <w:rPr>
          <w:rFonts w:cs="Traditional Arabic"/>
          <w:color w:val="000000"/>
          <w:sz w:val="24"/>
          <w:szCs w:val="28"/>
          <w:rtl/>
        </w:rPr>
        <w:t>–</w:t>
      </w:r>
      <w:r w:rsidRPr="00DC0143">
        <w:rPr>
          <w:rFonts w:cs="Traditional Arabic" w:hint="cs"/>
          <w:color w:val="000000"/>
          <w:sz w:val="24"/>
          <w:szCs w:val="28"/>
          <w:rtl/>
        </w:rPr>
        <w:t xml:space="preserve"> استئناف مختلط 27 يونيه سنة </w:t>
      </w:r>
      <w:smartTag w:uri="urn:schemas-microsoft-com:office:smarttags" w:element="metricconverter">
        <w:smartTagPr>
          <w:attr w:name="ProductID" w:val="1937 م"/>
        </w:smartTagPr>
        <w:r w:rsidRPr="00DC0143">
          <w:rPr>
            <w:rFonts w:cs="Traditional Arabic" w:hint="cs"/>
            <w:color w:val="000000"/>
            <w:sz w:val="24"/>
            <w:szCs w:val="28"/>
            <w:rtl/>
          </w:rPr>
          <w:t>1937 م</w:t>
        </w:r>
      </w:smartTag>
      <w:r w:rsidRPr="00DC0143">
        <w:rPr>
          <w:rFonts w:cs="Traditional Arabic" w:hint="cs"/>
          <w:color w:val="000000"/>
          <w:sz w:val="24"/>
          <w:szCs w:val="28"/>
          <w:rtl/>
        </w:rPr>
        <w:t xml:space="preserve"> 49 ص 272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سليمان مرقس فقرة 70 ص 74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38 ص 77 </w:t>
      </w:r>
      <w:r w:rsidRPr="00DC0143">
        <w:rPr>
          <w:rFonts w:cs="Traditional Arabic"/>
          <w:color w:val="000000"/>
          <w:sz w:val="24"/>
          <w:szCs w:val="28"/>
          <w:rtl/>
        </w:rPr>
        <w:t>–</w:t>
      </w:r>
      <w:r w:rsidRPr="00DC0143">
        <w:rPr>
          <w:rFonts w:cs="Traditional Arabic" w:hint="cs"/>
          <w:color w:val="000000"/>
          <w:sz w:val="24"/>
          <w:szCs w:val="28"/>
          <w:rtl/>
        </w:rPr>
        <w:t xml:space="preserve"> ود ذهب بعض الفقهاء إلى أنه لما كان الخطأ مشتركا بين الكفيل والدائن</w:t>
      </w:r>
      <w:r>
        <w:rPr>
          <w:rFonts w:cs="Traditional Arabic" w:hint="cs"/>
          <w:color w:val="000000"/>
          <w:sz w:val="24"/>
          <w:szCs w:val="28"/>
          <w:rtl/>
        </w:rPr>
        <w:t xml:space="preserve"> ،</w:t>
      </w:r>
      <w:r w:rsidRPr="00DC0143">
        <w:rPr>
          <w:rFonts w:cs="Traditional Arabic" w:hint="cs"/>
          <w:color w:val="000000"/>
          <w:sz w:val="24"/>
          <w:szCs w:val="28"/>
          <w:rtl/>
        </w:rPr>
        <w:t xml:space="preserve"> فإن الكفيل يتخفف من بعض التزامه </w:t>
      </w:r>
      <w:r>
        <w:rPr>
          <w:rFonts w:cs="Traditional Arabic" w:hint="cs"/>
          <w:color w:val="000000"/>
          <w:sz w:val="24"/>
          <w:szCs w:val="28"/>
          <w:rtl/>
        </w:rPr>
        <w:t xml:space="preserve">( </w:t>
      </w:r>
      <w:r w:rsidRPr="00DC0143">
        <w:rPr>
          <w:rFonts w:cs="Traditional Arabic" w:hint="cs"/>
          <w:color w:val="000000"/>
          <w:sz w:val="24"/>
          <w:szCs w:val="28"/>
          <w:rtl/>
        </w:rPr>
        <w:t xml:space="preserve">لوران 28 فقرة 312 وفقرة 314 </w:t>
      </w:r>
      <w:r w:rsidRPr="00DC0143">
        <w:rPr>
          <w:rFonts w:cs="Traditional Arabic"/>
          <w:color w:val="000000"/>
          <w:sz w:val="24"/>
          <w:szCs w:val="28"/>
          <w:rtl/>
        </w:rPr>
        <w:t>–</w:t>
      </w:r>
      <w:r w:rsidRPr="00DC0143">
        <w:rPr>
          <w:rFonts w:cs="Traditional Arabic" w:hint="cs"/>
          <w:color w:val="000000"/>
          <w:sz w:val="24"/>
          <w:szCs w:val="28"/>
          <w:rtl/>
        </w:rPr>
        <w:t xml:space="preserve"> جيوار فقرة 237 </w:t>
      </w:r>
      <w:r w:rsidRPr="00DC0143">
        <w:rPr>
          <w:rFonts w:cs="Traditional Arabic"/>
          <w:color w:val="000000"/>
          <w:sz w:val="24"/>
          <w:szCs w:val="28"/>
          <w:rtl/>
        </w:rPr>
        <w:t>–</w:t>
      </w:r>
      <w:r w:rsidRPr="00DC0143">
        <w:rPr>
          <w:rFonts w:cs="Traditional Arabic" w:hint="cs"/>
          <w:color w:val="000000"/>
          <w:sz w:val="24"/>
          <w:szCs w:val="28"/>
          <w:rtl/>
        </w:rPr>
        <w:t xml:space="preserve"> وهذا ما كان يذهب إليه بودري وفال في الطبعات السابقة</w:t>
      </w:r>
      <w:r>
        <w:rPr>
          <w:rFonts w:cs="Traditional Arabic" w:hint="cs"/>
          <w:color w:val="000000"/>
          <w:sz w:val="24"/>
          <w:szCs w:val="28"/>
          <w:rtl/>
        </w:rPr>
        <w:t xml:space="preserve"> ) .</w:t>
      </w:r>
    </w:p>
  </w:footnote>
  <w:footnote w:id="56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6 فقرة 429 هامش 1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1179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1559 ص 1005 </w:t>
      </w:r>
      <w:r w:rsidRPr="00DC0143">
        <w:rPr>
          <w:rFonts w:cs="Traditional Arabic"/>
          <w:color w:val="000000"/>
          <w:sz w:val="24"/>
          <w:szCs w:val="28"/>
          <w:rtl/>
        </w:rPr>
        <w:t>–</w:t>
      </w:r>
      <w:r w:rsidRPr="00DC0143">
        <w:rPr>
          <w:rFonts w:cs="Traditional Arabic" w:hint="cs"/>
          <w:color w:val="000000"/>
          <w:sz w:val="24"/>
          <w:szCs w:val="28"/>
          <w:rtl/>
        </w:rPr>
        <w:t xml:space="preserve"> بولانيول وريبير وبولانجيه 2 فقرة 1980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1491</w:t>
      </w:r>
      <w:r>
        <w:rPr>
          <w:rFonts w:cs="Traditional Arabic" w:hint="cs"/>
          <w:color w:val="000000"/>
          <w:sz w:val="24"/>
          <w:szCs w:val="28"/>
          <w:rtl/>
        </w:rPr>
        <w:t xml:space="preserve"> .</w:t>
      </w:r>
    </w:p>
  </w:footnote>
  <w:footnote w:id="56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المادة 784/2 مدني آنفا فقرة 100</w:t>
      </w:r>
      <w:r>
        <w:rPr>
          <w:rFonts w:cs="Traditional Arabic" w:hint="cs"/>
          <w:color w:val="000000"/>
          <w:sz w:val="24"/>
          <w:szCs w:val="28"/>
          <w:rtl/>
        </w:rPr>
        <w:t xml:space="preserve"> .</w:t>
      </w:r>
    </w:p>
  </w:footnote>
  <w:footnote w:id="56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 يدخل أيضاً الحق في الحبس </w:t>
      </w:r>
      <w:r>
        <w:rPr>
          <w:rFonts w:cs="Traditional Arabic" w:hint="cs"/>
          <w:color w:val="000000"/>
          <w:sz w:val="24"/>
          <w:szCs w:val="28"/>
          <w:rtl/>
        </w:rPr>
        <w:t xml:space="preserve">( </w:t>
      </w:r>
      <w:r w:rsidRPr="00DC0143">
        <w:rPr>
          <w:rFonts w:cs="Traditional Arabic" w:hint="cs"/>
          <w:color w:val="000000"/>
          <w:sz w:val="24"/>
          <w:szCs w:val="28"/>
          <w:rtl/>
        </w:rPr>
        <w:t xml:space="preserve">نقص فرنسي 8 يوليه 1913 داللوز 1914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241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1776</w:t>
      </w:r>
      <w:r>
        <w:rPr>
          <w:rFonts w:cs="Traditional Arabic" w:hint="cs"/>
          <w:color w:val="000000"/>
          <w:sz w:val="24"/>
          <w:szCs w:val="28"/>
          <w:rtl/>
        </w:rPr>
        <w:t xml:space="preserve"> ) ،</w:t>
      </w:r>
      <w:r w:rsidRPr="00DC0143">
        <w:rPr>
          <w:rFonts w:cs="Traditional Arabic" w:hint="cs"/>
          <w:color w:val="000000"/>
          <w:sz w:val="24"/>
          <w:szCs w:val="28"/>
          <w:rtl/>
        </w:rPr>
        <w:t xml:space="preserve"> وحق الدائن في الفسخ </w:t>
      </w:r>
      <w:r>
        <w:rPr>
          <w:rFonts w:cs="Traditional Arabic" w:hint="cs"/>
          <w:color w:val="000000"/>
          <w:sz w:val="24"/>
          <w:szCs w:val="28"/>
          <w:rtl/>
        </w:rPr>
        <w:t xml:space="preserve">( </w:t>
      </w:r>
      <w:r w:rsidRPr="00DC0143">
        <w:rPr>
          <w:rFonts w:cs="Traditional Arabic" w:hint="cs"/>
          <w:color w:val="000000"/>
          <w:sz w:val="24"/>
          <w:szCs w:val="28"/>
          <w:rtl/>
        </w:rPr>
        <w:t>بلانيول وريبير وسافاتييه فقرة 1559</w:t>
      </w:r>
      <w:r>
        <w:rPr>
          <w:rFonts w:cs="Traditional Arabic" w:hint="cs"/>
          <w:color w:val="000000"/>
          <w:sz w:val="24"/>
          <w:szCs w:val="28"/>
          <w:rtl/>
        </w:rPr>
        <w:t xml:space="preserve"> .</w:t>
      </w:r>
    </w:p>
  </w:footnote>
  <w:footnote w:id="56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6 فقرة 429 هامش 15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559 ص 1005 </w:t>
      </w:r>
      <w:r w:rsidRPr="00DC0143">
        <w:rPr>
          <w:rFonts w:cs="Traditional Arabic"/>
          <w:color w:val="000000"/>
          <w:sz w:val="24"/>
          <w:szCs w:val="28"/>
          <w:rtl/>
        </w:rPr>
        <w:t>–</w:t>
      </w:r>
      <w:r w:rsidRPr="00DC0143">
        <w:rPr>
          <w:rFonts w:cs="Traditional Arabic" w:hint="cs"/>
          <w:color w:val="000000"/>
          <w:sz w:val="24"/>
          <w:szCs w:val="28"/>
          <w:rtl/>
        </w:rPr>
        <w:t xml:space="preserve"> نقض فرنسي 8 يوليه سنة 1913 داللوز 1914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241 </w:t>
      </w:r>
      <w:r>
        <w:rPr>
          <w:rFonts w:cs="Traditional Arabic" w:hint="cs"/>
          <w:color w:val="000000"/>
          <w:sz w:val="24"/>
          <w:szCs w:val="28"/>
          <w:rtl/>
        </w:rPr>
        <w:t xml:space="preserve"> .</w:t>
      </w:r>
    </w:p>
  </w:footnote>
  <w:footnote w:id="56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المادة 784/2 مدني آنفا فقرة 100</w:t>
      </w:r>
      <w:r>
        <w:rPr>
          <w:rFonts w:cs="Traditional Arabic" w:hint="cs"/>
          <w:color w:val="000000"/>
          <w:sz w:val="24"/>
          <w:szCs w:val="28"/>
          <w:rtl/>
        </w:rPr>
        <w:t xml:space="preserve"> .</w:t>
      </w:r>
    </w:p>
  </w:footnote>
  <w:footnote w:id="56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1179 </w:t>
      </w:r>
      <w:r w:rsidRPr="00DC0143">
        <w:rPr>
          <w:rFonts w:cs="Traditional Arabic"/>
          <w:color w:val="000000"/>
          <w:sz w:val="24"/>
          <w:szCs w:val="28"/>
          <w:rtl/>
        </w:rPr>
        <w:t>–</w:t>
      </w:r>
      <w:r w:rsidRPr="00DC0143">
        <w:rPr>
          <w:rFonts w:cs="Traditional Arabic" w:hint="cs"/>
          <w:color w:val="000000"/>
          <w:sz w:val="24"/>
          <w:szCs w:val="28"/>
          <w:rtl/>
        </w:rPr>
        <w:t xml:space="preserve"> نقض مدني 23 يوليه سنة 1883 داللوز 84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180</w:t>
      </w:r>
      <w:r>
        <w:rPr>
          <w:rFonts w:cs="Traditional Arabic" w:hint="cs"/>
          <w:color w:val="000000"/>
          <w:sz w:val="24"/>
          <w:szCs w:val="28"/>
          <w:rtl/>
        </w:rPr>
        <w:t xml:space="preserve"> .</w:t>
      </w:r>
    </w:p>
  </w:footnote>
  <w:footnote w:id="56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5 ص 474 </w:t>
      </w:r>
      <w:r w:rsidRPr="00DC0143">
        <w:rPr>
          <w:rFonts w:cs="Traditional Arabic"/>
          <w:color w:val="000000"/>
          <w:sz w:val="24"/>
          <w:szCs w:val="28"/>
          <w:rtl/>
        </w:rPr>
        <w:t>–</w:t>
      </w:r>
      <w:r w:rsidRPr="00DC0143">
        <w:rPr>
          <w:rFonts w:cs="Traditional Arabic" w:hint="cs"/>
          <w:color w:val="000000"/>
          <w:sz w:val="24"/>
          <w:szCs w:val="28"/>
          <w:rtl/>
        </w:rPr>
        <w:t xml:space="preserve"> ص 475 </w:t>
      </w:r>
      <w:r w:rsidRPr="00DC0143">
        <w:rPr>
          <w:rFonts w:cs="Traditional Arabic"/>
          <w:color w:val="000000"/>
          <w:sz w:val="24"/>
          <w:szCs w:val="28"/>
          <w:rtl/>
        </w:rPr>
        <w:t>–</w:t>
      </w:r>
      <w:r w:rsidRPr="00DC0143">
        <w:rPr>
          <w:rFonts w:cs="Traditional Arabic" w:hint="cs"/>
          <w:color w:val="000000"/>
          <w:sz w:val="24"/>
          <w:szCs w:val="28"/>
          <w:rtl/>
        </w:rPr>
        <w:t xml:space="preserve"> فإذا كان الدين المكفول ليبس مضمونا بغير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لم يثبت التمسك بإضاعة التأمينات للكفيل</w:t>
      </w:r>
      <w:r>
        <w:rPr>
          <w:rFonts w:cs="Traditional Arabic" w:hint="cs"/>
          <w:color w:val="000000"/>
          <w:sz w:val="24"/>
          <w:szCs w:val="28"/>
          <w:rtl/>
        </w:rPr>
        <w:t xml:space="preserve"> ،</w:t>
      </w:r>
      <w:r w:rsidRPr="00DC0143">
        <w:rPr>
          <w:rFonts w:cs="Traditional Arabic" w:hint="cs"/>
          <w:color w:val="000000"/>
          <w:sz w:val="24"/>
          <w:szCs w:val="28"/>
          <w:rtl/>
        </w:rPr>
        <w:t xml:space="preserve"> حتى لو تهاون الدائن فأعسر المدين</w:t>
      </w:r>
      <w:r>
        <w:rPr>
          <w:rFonts w:cs="Traditional Arabic" w:hint="cs"/>
          <w:color w:val="000000"/>
          <w:sz w:val="24"/>
          <w:szCs w:val="28"/>
          <w:rtl/>
        </w:rPr>
        <w:t xml:space="preserve"> ،</w:t>
      </w:r>
      <w:r w:rsidRPr="00DC0143">
        <w:rPr>
          <w:rFonts w:cs="Traditional Arabic" w:hint="cs"/>
          <w:color w:val="000000"/>
          <w:sz w:val="24"/>
          <w:szCs w:val="28"/>
          <w:rtl/>
        </w:rPr>
        <w:t xml:space="preserve"> أو قصر الدائن في الطعن في تصرفات المدين بعدم نفاذها في حقه</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 الدين المكفول مضمونا أيضاً بتأمين خاص</w:t>
      </w:r>
      <w:r>
        <w:rPr>
          <w:rFonts w:cs="Traditional Arabic" w:hint="cs"/>
          <w:color w:val="000000"/>
          <w:sz w:val="24"/>
          <w:szCs w:val="28"/>
          <w:rtl/>
        </w:rPr>
        <w:t xml:space="preserve"> ،</w:t>
      </w:r>
      <w:r w:rsidRPr="00DC0143">
        <w:rPr>
          <w:rFonts w:cs="Traditional Arabic" w:hint="cs"/>
          <w:color w:val="000000"/>
          <w:sz w:val="24"/>
          <w:szCs w:val="28"/>
          <w:rtl/>
        </w:rPr>
        <w:t xml:space="preserve"> شخصي أو عيني</w:t>
      </w:r>
      <w:r>
        <w:rPr>
          <w:rFonts w:cs="Traditional Arabic" w:hint="cs"/>
          <w:color w:val="000000"/>
          <w:sz w:val="24"/>
          <w:szCs w:val="28"/>
          <w:rtl/>
        </w:rPr>
        <w:t xml:space="preserve"> ،</w:t>
      </w:r>
      <w:r w:rsidRPr="00DC0143">
        <w:rPr>
          <w:rFonts w:cs="Traditional Arabic" w:hint="cs"/>
          <w:color w:val="000000"/>
          <w:sz w:val="24"/>
          <w:szCs w:val="28"/>
          <w:rtl/>
        </w:rPr>
        <w:t xml:space="preserve"> إنفاقي أو قضائي أو قانوني</w:t>
      </w:r>
      <w:r>
        <w:rPr>
          <w:rFonts w:cs="Traditional Arabic" w:hint="cs"/>
          <w:color w:val="000000"/>
          <w:sz w:val="24"/>
          <w:szCs w:val="28"/>
          <w:rtl/>
        </w:rPr>
        <w:t xml:space="preserve"> ،</w:t>
      </w:r>
      <w:r w:rsidRPr="00DC0143">
        <w:rPr>
          <w:rFonts w:cs="Traditional Arabic" w:hint="cs"/>
          <w:color w:val="000000"/>
          <w:sz w:val="24"/>
          <w:szCs w:val="28"/>
          <w:rtl/>
        </w:rPr>
        <w:t xml:space="preserve"> مقرر على ما المدين أو على مال غيره كالكفيل العيني والحائز للعقار</w:t>
      </w:r>
      <w:r>
        <w:rPr>
          <w:rFonts w:cs="Traditional Arabic" w:hint="cs"/>
          <w:color w:val="000000"/>
          <w:sz w:val="24"/>
          <w:szCs w:val="28"/>
          <w:rtl/>
        </w:rPr>
        <w:t xml:space="preserve"> ،</w:t>
      </w:r>
      <w:r w:rsidRPr="00DC0143">
        <w:rPr>
          <w:rFonts w:cs="Traditional Arabic" w:hint="cs"/>
          <w:color w:val="000000"/>
          <w:sz w:val="24"/>
          <w:szCs w:val="28"/>
          <w:rtl/>
        </w:rPr>
        <w:t xml:space="preserve"> ثابت وقت نشوء الدين المكفول أو وقت الكفالة أو بعد ذلك</w:t>
      </w:r>
      <w:r>
        <w:rPr>
          <w:rFonts w:cs="Traditional Arabic" w:hint="cs"/>
          <w:color w:val="000000"/>
          <w:sz w:val="24"/>
          <w:szCs w:val="28"/>
          <w:rtl/>
        </w:rPr>
        <w:t xml:space="preserve"> ،</w:t>
      </w:r>
      <w:r w:rsidRPr="00DC0143">
        <w:rPr>
          <w:rFonts w:cs="Traditional Arabic" w:hint="cs"/>
          <w:color w:val="000000"/>
          <w:sz w:val="24"/>
          <w:szCs w:val="28"/>
          <w:rtl/>
        </w:rPr>
        <w:t xml:space="preserve"> فأضاع الدائن بخطأه هذا التأمين</w:t>
      </w:r>
      <w:r>
        <w:rPr>
          <w:rFonts w:cs="Traditional Arabic" w:hint="cs"/>
          <w:color w:val="000000"/>
          <w:sz w:val="24"/>
          <w:szCs w:val="28"/>
          <w:rtl/>
        </w:rPr>
        <w:t xml:space="preserve"> ،</w:t>
      </w:r>
      <w:r w:rsidRPr="00DC0143">
        <w:rPr>
          <w:rFonts w:cs="Traditional Arabic" w:hint="cs"/>
          <w:color w:val="000000"/>
          <w:sz w:val="24"/>
          <w:szCs w:val="28"/>
          <w:rtl/>
        </w:rPr>
        <w:t xml:space="preserve"> فإن الكفيل تبرأ ذمته بمقداره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مصر 24 نوفمبر سن 1926 المحاماة 7 رقم 337 ص 474 </w:t>
      </w:r>
      <w:r w:rsidRPr="00DC0143">
        <w:rPr>
          <w:rFonts w:cs="Traditional Arabic"/>
          <w:color w:val="000000"/>
          <w:sz w:val="24"/>
          <w:szCs w:val="28"/>
          <w:rtl/>
        </w:rPr>
        <w:t>–</w:t>
      </w:r>
      <w:r w:rsidRPr="00DC0143">
        <w:rPr>
          <w:rFonts w:cs="Traditional Arabic" w:hint="cs"/>
          <w:color w:val="000000"/>
          <w:sz w:val="24"/>
          <w:szCs w:val="28"/>
          <w:rtl/>
        </w:rPr>
        <w:t xml:space="preserve"> 17 مارس سن 1932 المحاماة 13 رقم 75 ص 176</w:t>
      </w:r>
      <w:r>
        <w:rPr>
          <w:rFonts w:cs="Traditional Arabic" w:hint="cs"/>
          <w:color w:val="000000"/>
          <w:sz w:val="24"/>
          <w:szCs w:val="28"/>
          <w:rtl/>
        </w:rPr>
        <w:t xml:space="preserve"> :</w:t>
      </w:r>
      <w:r w:rsidRPr="00DC0143">
        <w:rPr>
          <w:rFonts w:cs="Traditional Arabic" w:hint="cs"/>
          <w:color w:val="000000"/>
          <w:sz w:val="24"/>
          <w:szCs w:val="28"/>
          <w:rtl/>
        </w:rPr>
        <w:t xml:space="preserve"> قصر المؤجر في توقيع الحجز التحفظي على المحصولات </w:t>
      </w:r>
      <w:r w:rsidRPr="00DC0143">
        <w:rPr>
          <w:rFonts w:cs="Traditional Arabic"/>
          <w:color w:val="000000"/>
          <w:sz w:val="24"/>
          <w:szCs w:val="28"/>
          <w:rtl/>
        </w:rPr>
        <w:t>–</w:t>
      </w:r>
      <w:r w:rsidRPr="00DC0143">
        <w:rPr>
          <w:rFonts w:cs="Traditional Arabic" w:hint="cs"/>
          <w:color w:val="000000"/>
          <w:sz w:val="24"/>
          <w:szCs w:val="28"/>
          <w:rtl/>
        </w:rPr>
        <w:t xml:space="preserve"> 24 مارس سن 1932 المحاماة 13 رقم 75 ص 176</w:t>
      </w:r>
      <w:r>
        <w:rPr>
          <w:rFonts w:cs="Traditional Arabic" w:hint="cs"/>
          <w:color w:val="000000"/>
          <w:sz w:val="24"/>
          <w:szCs w:val="28"/>
          <w:rtl/>
        </w:rPr>
        <w:t xml:space="preserve"> ) .</w:t>
      </w:r>
    </w:p>
  </w:footnote>
  <w:footnote w:id="56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2 فقرة 374 وفقرة 376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306 وما بعدها </w:t>
      </w:r>
      <w:r w:rsidRPr="00DC0143">
        <w:rPr>
          <w:rFonts w:cs="Traditional Arabic"/>
          <w:color w:val="000000"/>
          <w:sz w:val="24"/>
          <w:szCs w:val="28"/>
          <w:rtl/>
        </w:rPr>
        <w:t>–</w:t>
      </w:r>
      <w:r w:rsidRPr="00DC0143">
        <w:rPr>
          <w:rFonts w:cs="Traditional Arabic" w:hint="cs"/>
          <w:color w:val="000000"/>
          <w:sz w:val="24"/>
          <w:szCs w:val="28"/>
          <w:rtl/>
        </w:rPr>
        <w:t xml:space="preserve"> جيوار فقرة 204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1881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1561 </w:t>
      </w:r>
      <w:r w:rsidRPr="00DC0143">
        <w:rPr>
          <w:rFonts w:cs="Traditional Arabic"/>
          <w:color w:val="000000"/>
          <w:sz w:val="24"/>
          <w:szCs w:val="28"/>
          <w:rtl/>
        </w:rPr>
        <w:t>–</w:t>
      </w:r>
      <w:r w:rsidRPr="00DC0143">
        <w:rPr>
          <w:rFonts w:cs="Traditional Arabic" w:hint="cs"/>
          <w:color w:val="000000"/>
          <w:sz w:val="24"/>
          <w:szCs w:val="28"/>
          <w:rtl/>
        </w:rPr>
        <w:t xml:space="preserve"> نقض فرنسي 2 ديسمبر سنة 1903 داللوز 1905 </w:t>
      </w:r>
      <w:r w:rsidRPr="00DC0143">
        <w:rPr>
          <w:rFonts w:cs="Traditional Arabic"/>
          <w:color w:val="000000"/>
          <w:sz w:val="24"/>
          <w:szCs w:val="28"/>
          <w:rtl/>
        </w:rPr>
        <w:t>–</w:t>
      </w:r>
      <w:r w:rsidRPr="00DC0143">
        <w:rPr>
          <w:rFonts w:cs="Traditional Arabic" w:hint="cs"/>
          <w:color w:val="000000"/>
          <w:sz w:val="24"/>
          <w:szCs w:val="28"/>
          <w:rtl/>
        </w:rPr>
        <w:t xml:space="preserve"> 1- 9 </w:t>
      </w:r>
      <w:r w:rsidRPr="00DC0143">
        <w:rPr>
          <w:rFonts w:cs="Traditional Arabic"/>
          <w:color w:val="000000"/>
          <w:sz w:val="24"/>
          <w:szCs w:val="28"/>
          <w:rtl/>
        </w:rPr>
        <w:t>–</w:t>
      </w:r>
      <w:r w:rsidRPr="00DC0143">
        <w:rPr>
          <w:rFonts w:cs="Traditional Arabic" w:hint="cs"/>
          <w:color w:val="000000"/>
          <w:sz w:val="24"/>
          <w:szCs w:val="28"/>
          <w:rtl/>
        </w:rPr>
        <w:t xml:space="preserve"> 9 نوفمبر سن 1914 داللوز 1917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171</w:t>
      </w:r>
      <w:r>
        <w:rPr>
          <w:rFonts w:cs="Traditional Arabic" w:hint="cs"/>
          <w:color w:val="000000"/>
          <w:sz w:val="24"/>
          <w:szCs w:val="28"/>
          <w:rtl/>
        </w:rPr>
        <w:t xml:space="preserve"> .</w:t>
      </w:r>
    </w:p>
  </w:footnote>
  <w:footnote w:id="56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240 </w:t>
      </w:r>
      <w:r w:rsidRPr="00DC0143">
        <w:rPr>
          <w:rFonts w:cs="Traditional Arabic"/>
          <w:color w:val="000000"/>
          <w:sz w:val="24"/>
          <w:szCs w:val="28"/>
          <w:rtl/>
        </w:rPr>
        <w:t>–</w:t>
      </w:r>
      <w:r w:rsidRPr="00DC0143">
        <w:rPr>
          <w:rFonts w:cs="Traditional Arabic" w:hint="cs"/>
          <w:color w:val="000000"/>
          <w:sz w:val="24"/>
          <w:szCs w:val="28"/>
          <w:rtl/>
        </w:rPr>
        <w:t xml:space="preserve"> ليون كان في تعليقه في سريه 96 </w:t>
      </w:r>
      <w:r w:rsidRPr="00DC0143">
        <w:rPr>
          <w:rFonts w:cs="Traditional Arabic"/>
          <w:color w:val="000000"/>
          <w:sz w:val="24"/>
          <w:szCs w:val="28"/>
          <w:rtl/>
        </w:rPr>
        <w:t>–</w:t>
      </w:r>
      <w:r w:rsidRPr="00DC0143">
        <w:rPr>
          <w:rFonts w:cs="Traditional Arabic" w:hint="cs"/>
          <w:color w:val="000000"/>
          <w:sz w:val="24"/>
          <w:szCs w:val="28"/>
          <w:rtl/>
        </w:rPr>
        <w:t xml:space="preserve"> 1- 65</w:t>
      </w:r>
      <w:r>
        <w:rPr>
          <w:rFonts w:cs="Traditional Arabic" w:hint="cs"/>
          <w:color w:val="000000"/>
          <w:sz w:val="24"/>
          <w:szCs w:val="28"/>
          <w:rtl/>
        </w:rPr>
        <w:t xml:space="preserve"> .</w:t>
      </w:r>
    </w:p>
  </w:footnote>
  <w:footnote w:id="56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شامبري 15 يوليه سنة 1901 داللوز 1903 </w:t>
      </w:r>
      <w:r w:rsidRPr="00DC0143">
        <w:rPr>
          <w:rFonts w:cs="Traditional Arabic"/>
          <w:color w:val="000000"/>
          <w:sz w:val="24"/>
          <w:szCs w:val="28"/>
          <w:rtl/>
        </w:rPr>
        <w:t>–</w:t>
      </w:r>
      <w:r w:rsidRPr="00DC0143">
        <w:rPr>
          <w:rFonts w:cs="Traditional Arabic" w:hint="cs"/>
          <w:color w:val="000000"/>
          <w:sz w:val="24"/>
          <w:szCs w:val="28"/>
          <w:rtl/>
        </w:rPr>
        <w:t xml:space="preserve"> 2- 341</w:t>
      </w:r>
      <w:r>
        <w:rPr>
          <w:rFonts w:cs="Traditional Arabic" w:hint="cs"/>
          <w:color w:val="000000"/>
          <w:sz w:val="24"/>
          <w:szCs w:val="28"/>
          <w:rtl/>
        </w:rPr>
        <w:t xml:space="preserve"> .</w:t>
      </w:r>
    </w:p>
  </w:footnote>
  <w:footnote w:id="57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 نسي 2 ديسمبر سنة 1903 داللوز 1905 </w:t>
      </w:r>
      <w:r w:rsidRPr="00DC0143">
        <w:rPr>
          <w:rFonts w:cs="Traditional Arabic"/>
          <w:color w:val="000000"/>
          <w:sz w:val="24"/>
          <w:szCs w:val="28"/>
          <w:rtl/>
        </w:rPr>
        <w:t>–</w:t>
      </w:r>
      <w:r w:rsidRPr="00DC0143">
        <w:rPr>
          <w:rFonts w:cs="Traditional Arabic" w:hint="cs"/>
          <w:color w:val="000000"/>
          <w:sz w:val="24"/>
          <w:szCs w:val="28"/>
          <w:rtl/>
        </w:rPr>
        <w:t xml:space="preserve"> 1- 9 </w:t>
      </w:r>
      <w:r w:rsidRPr="00DC0143">
        <w:rPr>
          <w:rFonts w:cs="Traditional Arabic"/>
          <w:color w:val="000000"/>
          <w:sz w:val="24"/>
          <w:szCs w:val="28"/>
          <w:rtl/>
        </w:rPr>
        <w:t>–</w:t>
      </w:r>
      <w:r w:rsidRPr="00DC0143">
        <w:rPr>
          <w:rFonts w:cs="Traditional Arabic" w:hint="cs"/>
          <w:color w:val="000000"/>
          <w:sz w:val="24"/>
          <w:szCs w:val="28"/>
          <w:rtl/>
        </w:rPr>
        <w:t xml:space="preserve"> جيوار فقرة </w:t>
      </w:r>
      <w:r w:rsidRPr="00DC0143">
        <w:rPr>
          <w:rFonts w:cs="Traditional Arabic"/>
          <w:color w:val="000000"/>
          <w:sz w:val="24"/>
          <w:szCs w:val="28"/>
          <w:rtl/>
        </w:rPr>
        <w:t>–</w:t>
      </w:r>
      <w:r w:rsidRPr="00DC0143">
        <w:rPr>
          <w:rFonts w:cs="Traditional Arabic" w:hint="cs"/>
          <w:color w:val="000000"/>
          <w:sz w:val="24"/>
          <w:szCs w:val="28"/>
          <w:rtl/>
        </w:rPr>
        <w:t xml:space="preserve"> 248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1885</w:t>
      </w:r>
      <w:r>
        <w:rPr>
          <w:rFonts w:cs="Traditional Arabic" w:hint="cs"/>
          <w:color w:val="000000"/>
          <w:sz w:val="24"/>
          <w:szCs w:val="28"/>
          <w:rtl/>
        </w:rPr>
        <w:t xml:space="preserve"> .</w:t>
      </w:r>
    </w:p>
  </w:footnote>
  <w:footnote w:id="57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لبون كان في تعليقه في سيريه 96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65</w:t>
      </w:r>
      <w:r>
        <w:rPr>
          <w:rFonts w:cs="Traditional Arabic" w:hint="cs"/>
          <w:color w:val="000000"/>
          <w:sz w:val="24"/>
          <w:szCs w:val="28"/>
          <w:rtl/>
        </w:rPr>
        <w:t xml:space="preserve"> .</w:t>
      </w:r>
    </w:p>
  </w:footnote>
  <w:footnote w:id="57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ترولون فقرة 572 </w:t>
      </w:r>
      <w:r w:rsidRPr="00DC0143">
        <w:rPr>
          <w:rFonts w:cs="Traditional Arabic"/>
          <w:color w:val="000000"/>
          <w:sz w:val="24"/>
          <w:szCs w:val="28"/>
          <w:rtl/>
        </w:rPr>
        <w:t>–</w:t>
      </w:r>
      <w:r w:rsidRPr="00DC0143">
        <w:rPr>
          <w:rFonts w:cs="Traditional Arabic" w:hint="cs"/>
          <w:color w:val="000000"/>
          <w:sz w:val="24"/>
          <w:szCs w:val="28"/>
          <w:rtl/>
        </w:rPr>
        <w:t xml:space="preserve"> بون 2 فقرة 374 </w:t>
      </w:r>
      <w:r w:rsidRPr="00DC0143">
        <w:rPr>
          <w:rFonts w:cs="Traditional Arabic"/>
          <w:color w:val="000000"/>
          <w:sz w:val="24"/>
          <w:szCs w:val="28"/>
          <w:rtl/>
        </w:rPr>
        <w:t>–</w:t>
      </w:r>
      <w:r w:rsidRPr="00DC0143">
        <w:rPr>
          <w:rFonts w:cs="Traditional Arabic" w:hint="cs"/>
          <w:color w:val="000000"/>
          <w:sz w:val="24"/>
          <w:szCs w:val="28"/>
          <w:rtl/>
        </w:rPr>
        <w:t xml:space="preserve"> فقرة 375 </w:t>
      </w:r>
      <w:r w:rsidRPr="00DC0143">
        <w:rPr>
          <w:rFonts w:cs="Traditional Arabic"/>
          <w:color w:val="000000"/>
          <w:sz w:val="24"/>
          <w:szCs w:val="28"/>
          <w:rtl/>
        </w:rPr>
        <w:t>–</w:t>
      </w:r>
      <w:r w:rsidRPr="00DC0143">
        <w:rPr>
          <w:rFonts w:cs="Traditional Arabic" w:hint="cs"/>
          <w:color w:val="000000"/>
          <w:sz w:val="24"/>
          <w:szCs w:val="28"/>
          <w:rtl/>
        </w:rPr>
        <w:t xml:space="preserve"> لوران 28 فقرة 306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429 هامش 17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وسافاتييه فقرة 1561 ص 1009 </w:t>
      </w:r>
      <w:r w:rsidRPr="00DC0143">
        <w:rPr>
          <w:rFonts w:cs="Traditional Arabic"/>
          <w:color w:val="000000"/>
          <w:sz w:val="24"/>
          <w:szCs w:val="28"/>
          <w:rtl/>
        </w:rPr>
        <w:t>–</w:t>
      </w:r>
      <w:r w:rsidRPr="00DC0143">
        <w:rPr>
          <w:rFonts w:cs="Traditional Arabic" w:hint="cs"/>
          <w:color w:val="000000"/>
          <w:sz w:val="24"/>
          <w:szCs w:val="28"/>
          <w:rtl/>
        </w:rPr>
        <w:t xml:space="preserve"> نقض فرنسي 13 يونيه سنة 1939 داللوز الأسبوع 1939 </w:t>
      </w:r>
      <w:r w:rsidRPr="00DC0143">
        <w:rPr>
          <w:rFonts w:cs="Traditional Arabic"/>
          <w:color w:val="000000"/>
          <w:sz w:val="24"/>
          <w:szCs w:val="28"/>
          <w:rtl/>
        </w:rPr>
        <w:t>–</w:t>
      </w:r>
      <w:r w:rsidRPr="00DC0143">
        <w:rPr>
          <w:rFonts w:cs="Traditional Arabic" w:hint="cs"/>
          <w:color w:val="000000"/>
          <w:sz w:val="24"/>
          <w:szCs w:val="28"/>
          <w:rtl/>
        </w:rPr>
        <w:t xml:space="preserve"> 427 </w:t>
      </w:r>
      <w:r w:rsidRPr="00DC0143">
        <w:rPr>
          <w:rFonts w:cs="Traditional Arabic"/>
          <w:color w:val="000000"/>
          <w:sz w:val="24"/>
          <w:szCs w:val="28"/>
          <w:rtl/>
        </w:rPr>
        <w:t>–</w:t>
      </w:r>
      <w:r w:rsidRPr="00DC0143">
        <w:rPr>
          <w:rFonts w:cs="Traditional Arabic" w:hint="cs"/>
          <w:color w:val="000000"/>
          <w:sz w:val="24"/>
          <w:szCs w:val="28"/>
          <w:rtl/>
        </w:rPr>
        <w:t xml:space="preserve"> 3 ديسمبر سنة 1941 </w:t>
      </w:r>
      <w:r w:rsidRPr="00DC0143">
        <w:rPr>
          <w:rFonts w:cs="Traditional Arabic"/>
          <w:color w:val="000000"/>
          <w:sz w:val="24"/>
          <w:szCs w:val="24"/>
        </w:rPr>
        <w:t>D</w:t>
      </w:r>
      <w:r>
        <w:rPr>
          <w:rFonts w:cs="Traditional Arabic"/>
          <w:color w:val="000000"/>
          <w:sz w:val="24"/>
          <w:szCs w:val="24"/>
        </w:rPr>
        <w:t xml:space="preserve"> .</w:t>
      </w:r>
      <w:r w:rsidRPr="00DC0143">
        <w:rPr>
          <w:rFonts w:cs="Traditional Arabic"/>
          <w:color w:val="000000"/>
          <w:sz w:val="24"/>
          <w:szCs w:val="24"/>
        </w:rPr>
        <w:t xml:space="preserve"> S</w:t>
      </w:r>
      <w:r>
        <w:rPr>
          <w:rFonts w:cs="Traditional Arabic"/>
          <w:color w:val="000000"/>
          <w:sz w:val="24"/>
          <w:szCs w:val="24"/>
          <w:rtl/>
        </w:rPr>
        <w:t xml:space="preserve"> .</w:t>
      </w:r>
      <w:r w:rsidRPr="00DC0143">
        <w:rPr>
          <w:rFonts w:cs="Traditional Arabic" w:hint="cs"/>
          <w:color w:val="000000"/>
          <w:sz w:val="24"/>
          <w:szCs w:val="28"/>
          <w:rtl/>
        </w:rPr>
        <w:t xml:space="preserve"> 1942 </w:t>
      </w:r>
      <w:r w:rsidRPr="00DC0143">
        <w:rPr>
          <w:rFonts w:cs="Traditional Arabic"/>
          <w:color w:val="000000"/>
          <w:sz w:val="24"/>
          <w:szCs w:val="28"/>
          <w:rtl/>
        </w:rPr>
        <w:t>–</w:t>
      </w:r>
      <w:r w:rsidRPr="00DC0143">
        <w:rPr>
          <w:rFonts w:cs="Traditional Arabic" w:hint="cs"/>
          <w:color w:val="000000"/>
          <w:sz w:val="24"/>
          <w:szCs w:val="28"/>
          <w:rtl/>
        </w:rPr>
        <w:t xml:space="preserve"> 49</w:t>
      </w:r>
      <w:r>
        <w:rPr>
          <w:rFonts w:cs="Traditional Arabic" w:hint="cs"/>
          <w:color w:val="000000"/>
          <w:sz w:val="24"/>
          <w:szCs w:val="28"/>
          <w:rtl/>
        </w:rPr>
        <w:t xml:space="preserve"> .</w:t>
      </w:r>
    </w:p>
  </w:footnote>
  <w:footnote w:id="57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نانسي أول أبريل سنة 1905 </w:t>
      </w:r>
      <w:r w:rsidRPr="00DC0143">
        <w:rPr>
          <w:rFonts w:cs="Traditional Arabic"/>
          <w:color w:val="000000"/>
          <w:sz w:val="24"/>
          <w:szCs w:val="28"/>
          <w:rtl/>
        </w:rPr>
        <w:t>–</w:t>
      </w:r>
      <w:r w:rsidRPr="00DC0143">
        <w:rPr>
          <w:rFonts w:cs="Traditional Arabic" w:hint="cs"/>
          <w:color w:val="000000"/>
          <w:sz w:val="24"/>
          <w:szCs w:val="28"/>
          <w:rtl/>
        </w:rPr>
        <w:t xml:space="preserve"> 167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1184 </w:t>
      </w:r>
      <w:r w:rsidRPr="00DC0143">
        <w:rPr>
          <w:rFonts w:cs="Traditional Arabic"/>
          <w:color w:val="000000"/>
          <w:sz w:val="24"/>
          <w:szCs w:val="28"/>
          <w:rtl/>
        </w:rPr>
        <w:t>–</w:t>
      </w:r>
      <w:r w:rsidRPr="00DC0143">
        <w:rPr>
          <w:rFonts w:cs="Traditional Arabic" w:hint="cs"/>
          <w:color w:val="000000"/>
          <w:sz w:val="24"/>
          <w:szCs w:val="28"/>
          <w:rtl/>
        </w:rPr>
        <w:t xml:space="preserve"> عكس ذلك عبد الفتاح عبد الباقي فقرة 153</w:t>
      </w:r>
      <w:r>
        <w:rPr>
          <w:rFonts w:cs="Traditional Arabic" w:hint="cs"/>
          <w:color w:val="000000"/>
          <w:sz w:val="24"/>
          <w:szCs w:val="28"/>
          <w:rtl/>
        </w:rPr>
        <w:t xml:space="preserve"> .</w:t>
      </w:r>
    </w:p>
  </w:footnote>
  <w:footnote w:id="57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فقرة 242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1180</w:t>
      </w:r>
      <w:r>
        <w:rPr>
          <w:rFonts w:cs="Traditional Arabic" w:hint="cs"/>
          <w:color w:val="000000"/>
          <w:sz w:val="24"/>
          <w:szCs w:val="28"/>
          <w:rtl/>
        </w:rPr>
        <w:t xml:space="preserve"> .</w:t>
      </w:r>
    </w:p>
  </w:footnote>
  <w:footnote w:id="57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وفال فقرة 1180 بلانيول وريبير وسافاتييه فقرة 1562 ص 1010</w:t>
      </w:r>
      <w:r>
        <w:rPr>
          <w:rFonts w:cs="Traditional Arabic" w:hint="cs"/>
          <w:color w:val="000000"/>
          <w:sz w:val="24"/>
          <w:szCs w:val="28"/>
          <w:rtl/>
        </w:rPr>
        <w:t xml:space="preserve"> .</w:t>
      </w:r>
    </w:p>
  </w:footnote>
  <w:footnote w:id="57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Pr>
        <w:t>Labbe</w:t>
      </w:r>
      <w:r w:rsidRPr="00DC0143">
        <w:rPr>
          <w:rFonts w:cs="Traditional Arabic" w:hint="cs"/>
          <w:color w:val="000000"/>
          <w:sz w:val="24"/>
          <w:szCs w:val="28"/>
          <w:rtl/>
        </w:rPr>
        <w:t xml:space="preserve"> في سيريه 73 </w:t>
      </w:r>
      <w:r w:rsidRPr="00DC0143">
        <w:rPr>
          <w:rFonts w:cs="Traditional Arabic"/>
          <w:color w:val="000000"/>
          <w:sz w:val="24"/>
          <w:szCs w:val="28"/>
          <w:rtl/>
        </w:rPr>
        <w:t>–</w:t>
      </w:r>
      <w:r w:rsidRPr="00DC0143">
        <w:rPr>
          <w:rFonts w:cs="Traditional Arabic" w:hint="cs"/>
          <w:color w:val="000000"/>
          <w:sz w:val="24"/>
          <w:szCs w:val="28"/>
          <w:rtl/>
        </w:rPr>
        <w:t xml:space="preserve"> 2 </w:t>
      </w:r>
      <w:r w:rsidRPr="00DC0143">
        <w:rPr>
          <w:rFonts w:cs="Traditional Arabic"/>
          <w:color w:val="000000"/>
          <w:sz w:val="24"/>
          <w:szCs w:val="28"/>
          <w:rtl/>
        </w:rPr>
        <w:t>–</w:t>
      </w:r>
      <w:r w:rsidRPr="00DC0143">
        <w:rPr>
          <w:rFonts w:cs="Traditional Arabic" w:hint="cs"/>
          <w:color w:val="000000"/>
          <w:sz w:val="24"/>
          <w:szCs w:val="28"/>
          <w:rtl/>
        </w:rPr>
        <w:t xml:space="preserve"> 194 </w:t>
      </w:r>
      <w:r w:rsidRPr="00DC0143">
        <w:rPr>
          <w:rFonts w:cs="Traditional Arabic"/>
          <w:color w:val="000000"/>
          <w:sz w:val="24"/>
          <w:szCs w:val="28"/>
          <w:rtl/>
        </w:rPr>
        <w:t>–</w:t>
      </w:r>
      <w:r w:rsidRPr="00DC0143">
        <w:rPr>
          <w:rFonts w:cs="Traditional Arabic" w:hint="cs"/>
          <w:color w:val="000000"/>
          <w:sz w:val="24"/>
          <w:szCs w:val="28"/>
          <w:rtl/>
        </w:rPr>
        <w:t xml:space="preserve"> جيوار فقرة 242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فقرة 76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153</w:t>
      </w:r>
      <w:r>
        <w:rPr>
          <w:rFonts w:cs="Traditional Arabic" w:hint="cs"/>
          <w:color w:val="000000"/>
          <w:sz w:val="24"/>
          <w:szCs w:val="28"/>
          <w:rtl/>
        </w:rPr>
        <w:t xml:space="preserve"> .</w:t>
      </w:r>
    </w:p>
  </w:footnote>
  <w:footnote w:id="57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وسافاتييه فقرة 1562 </w:t>
      </w:r>
      <w:r w:rsidRPr="00DC0143">
        <w:rPr>
          <w:rFonts w:cs="Traditional Arabic"/>
          <w:color w:val="000000"/>
          <w:sz w:val="24"/>
          <w:szCs w:val="28"/>
          <w:rtl/>
        </w:rPr>
        <w:t>–</w:t>
      </w:r>
      <w:r w:rsidRPr="00DC0143">
        <w:rPr>
          <w:rFonts w:cs="Traditional Arabic" w:hint="cs"/>
          <w:color w:val="000000"/>
          <w:sz w:val="24"/>
          <w:szCs w:val="28"/>
          <w:rtl/>
        </w:rPr>
        <w:t xml:space="preserve"> نقض فرنسي 24 أكتوبر سنة 1888 داللوز 89 </w:t>
      </w:r>
      <w:r w:rsidRPr="00DC0143">
        <w:rPr>
          <w:rFonts w:cs="Traditional Arabic"/>
          <w:color w:val="000000"/>
          <w:sz w:val="24"/>
          <w:szCs w:val="28"/>
          <w:rtl/>
        </w:rPr>
        <w:t>–</w:t>
      </w:r>
      <w:r w:rsidRPr="00DC0143">
        <w:rPr>
          <w:rFonts w:cs="Traditional Arabic" w:hint="cs"/>
          <w:color w:val="000000"/>
          <w:sz w:val="24"/>
          <w:szCs w:val="28"/>
          <w:rtl/>
        </w:rPr>
        <w:t xml:space="preserve"> 1- 52</w:t>
      </w:r>
      <w:r>
        <w:rPr>
          <w:rFonts w:cs="Traditional Arabic" w:hint="cs"/>
          <w:color w:val="000000"/>
          <w:sz w:val="24"/>
          <w:szCs w:val="28"/>
          <w:rtl/>
        </w:rPr>
        <w:t xml:space="preserve"> .</w:t>
      </w:r>
    </w:p>
  </w:footnote>
  <w:footnote w:id="57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Pr>
        <w:t>Labbe</w:t>
      </w:r>
      <w:r w:rsidRPr="00DC0143">
        <w:rPr>
          <w:rFonts w:cs="Traditional Arabic" w:hint="cs"/>
          <w:color w:val="000000"/>
          <w:sz w:val="24"/>
          <w:szCs w:val="28"/>
          <w:rtl/>
        </w:rPr>
        <w:t xml:space="preserve"> في تعليقه في سيريه 87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5 </w:t>
      </w:r>
      <w:r w:rsidRPr="00DC0143">
        <w:rPr>
          <w:rFonts w:cs="Traditional Arabic"/>
          <w:color w:val="000000"/>
          <w:sz w:val="24"/>
          <w:szCs w:val="28"/>
          <w:rtl/>
        </w:rPr>
        <w:t>–</w:t>
      </w:r>
      <w:r w:rsidRPr="00DC0143">
        <w:rPr>
          <w:rFonts w:cs="Traditional Arabic" w:hint="cs"/>
          <w:color w:val="000000"/>
          <w:sz w:val="24"/>
          <w:szCs w:val="28"/>
          <w:rtl/>
        </w:rPr>
        <w:t xml:space="preserve"> بودري وفال فقرة 1186 وانظر أيضاً فقرة 118 مكررة</w:t>
      </w:r>
      <w:r>
        <w:rPr>
          <w:rFonts w:cs="Traditional Arabic" w:hint="cs"/>
          <w:color w:val="000000"/>
          <w:sz w:val="24"/>
          <w:szCs w:val="28"/>
          <w:rtl/>
        </w:rPr>
        <w:t xml:space="preserve"> .</w:t>
      </w:r>
    </w:p>
  </w:footnote>
  <w:footnote w:id="57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1156/ 3 و 4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"3- ولا تبرأ ذمة الكفيل لمجرد أن الدائن تأخر في اتخاذ الإجراءات أو لمجرد أنه لم يتخذها</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ترتب على خطأه ضرر للكفيل وبقدر هذا الضرر</w:t>
      </w:r>
      <w:r>
        <w:rPr>
          <w:rFonts w:cs="Traditional Arabic" w:hint="cs"/>
          <w:color w:val="000000"/>
          <w:sz w:val="24"/>
          <w:szCs w:val="28"/>
          <w:rtl/>
        </w:rPr>
        <w:t xml:space="preserve"> .</w:t>
      </w:r>
      <w:r w:rsidRPr="00DC0143">
        <w:rPr>
          <w:rFonts w:cs="Traditional Arabic" w:hint="cs"/>
          <w:color w:val="000000"/>
          <w:sz w:val="24"/>
          <w:szCs w:val="28"/>
          <w:rtl/>
        </w:rPr>
        <w:t xml:space="preserve"> 4- على أنه تبرأ ذمة الكفيل إذا لم يقم الدائن باتخاذ الإجراءات ضد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في خلال ستة أشهر م إنذار الكفيل له"</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أضيفت عبارة "ما لم يقدم المدين للكفيل ضماناً كافياً" في آخر الفقرة الرابعة وذلك استيفاء لحكم هذه الفقرة</w:t>
      </w:r>
      <w:r>
        <w:rPr>
          <w:rFonts w:cs="Traditional Arabic" w:hint="cs"/>
          <w:color w:val="000000"/>
          <w:sz w:val="24"/>
          <w:szCs w:val="28"/>
          <w:rtl/>
        </w:rPr>
        <w:t xml:space="preserve"> ،</w:t>
      </w:r>
      <w:r w:rsidRPr="00DC0143">
        <w:rPr>
          <w:rFonts w:cs="Traditional Arabic" w:hint="cs"/>
          <w:color w:val="000000"/>
          <w:sz w:val="24"/>
          <w:szCs w:val="28"/>
          <w:rtl/>
        </w:rPr>
        <w:t xml:space="preserve"> لأن ذمة الكفيل لا تبرأ غلا في الحالة التي يترتب على تأخير الدائن في اتخاذ الإجراءات فيها ضياع حق الكفيل في الرجوع على الدين أو انتقاصه</w:t>
      </w:r>
      <w:r>
        <w:rPr>
          <w:rFonts w:cs="Traditional Arabic" w:hint="cs"/>
          <w:color w:val="000000"/>
          <w:sz w:val="24"/>
          <w:szCs w:val="28"/>
          <w:rtl/>
        </w:rPr>
        <w:t xml:space="preserve"> ،</w:t>
      </w:r>
      <w:r w:rsidRPr="00DC0143">
        <w:rPr>
          <w:rFonts w:cs="Traditional Arabic" w:hint="cs"/>
          <w:color w:val="000000"/>
          <w:sz w:val="24"/>
          <w:szCs w:val="28"/>
          <w:rtl/>
        </w:rPr>
        <w:t xml:space="preserve"> وتقديم المدين ضماناً للكفيل ينتفي معه الضرر الذي يلحق الكفيل من إهمال الدائن في هذه الحالة</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853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وفي مجلس النواب جعلت الفقرتان 1 و 2 مادة مستقلة تحت رقم 851 </w:t>
      </w:r>
      <w:r>
        <w:rPr>
          <w:rFonts w:cs="Traditional Arabic" w:hint="cs"/>
          <w:color w:val="000000"/>
          <w:sz w:val="24"/>
          <w:szCs w:val="28"/>
          <w:rtl/>
        </w:rPr>
        <w:t xml:space="preserve">( </w:t>
      </w:r>
      <w:r w:rsidRPr="00DC0143">
        <w:rPr>
          <w:rFonts w:cs="Traditional Arabic" w:hint="cs"/>
          <w:color w:val="000000"/>
          <w:sz w:val="24"/>
          <w:szCs w:val="28"/>
          <w:rtl/>
        </w:rPr>
        <w:t>وهي المادة السابقة</w:t>
      </w:r>
      <w:r>
        <w:rPr>
          <w:rFonts w:cs="Traditional Arabic" w:hint="cs"/>
          <w:color w:val="000000"/>
          <w:sz w:val="24"/>
          <w:szCs w:val="28"/>
          <w:rtl/>
        </w:rPr>
        <w:t xml:space="preserve"> ) ،</w:t>
      </w:r>
      <w:r w:rsidRPr="00DC0143">
        <w:rPr>
          <w:rFonts w:cs="Traditional Arabic" w:hint="cs"/>
          <w:color w:val="000000"/>
          <w:sz w:val="24"/>
          <w:szCs w:val="28"/>
          <w:rtl/>
        </w:rPr>
        <w:t xml:space="preserve"> وجعلت الفقرتان 3 و 4 مادة مستقلة أخرى تحت رقم 852 </w:t>
      </w:r>
      <w:r>
        <w:rPr>
          <w:rFonts w:cs="Traditional Arabic" w:hint="cs"/>
          <w:color w:val="000000"/>
          <w:sz w:val="24"/>
          <w:szCs w:val="28"/>
          <w:rtl/>
        </w:rPr>
        <w:t xml:space="preserve">( </w:t>
      </w:r>
      <w:r w:rsidRPr="00DC0143">
        <w:rPr>
          <w:rFonts w:cs="Traditional Arabic" w:hint="cs"/>
          <w:color w:val="000000"/>
          <w:sz w:val="24"/>
          <w:szCs w:val="28"/>
          <w:rtl/>
        </w:rPr>
        <w:t>وهي هذه المادة</w:t>
      </w:r>
      <w:r>
        <w:rPr>
          <w:rFonts w:cs="Traditional Arabic" w:hint="cs"/>
          <w:color w:val="000000"/>
          <w:sz w:val="24"/>
          <w:szCs w:val="28"/>
          <w:rtl/>
        </w:rPr>
        <w:t xml:space="preserve"> ) .</w:t>
      </w:r>
      <w:r w:rsidRPr="00DC0143">
        <w:rPr>
          <w:rFonts w:cs="Traditional Arabic" w:hint="cs"/>
          <w:color w:val="000000"/>
          <w:sz w:val="24"/>
          <w:szCs w:val="28"/>
          <w:rtl/>
        </w:rPr>
        <w:t xml:space="preserve"> وفي لجنة مجلس الشيوخ أخذ بالتعديل الذي أقره مجلس النواب</w:t>
      </w:r>
      <w:r>
        <w:rPr>
          <w:rFonts w:cs="Traditional Arabic" w:hint="cs"/>
          <w:color w:val="000000"/>
          <w:sz w:val="24"/>
          <w:szCs w:val="28"/>
          <w:rtl/>
        </w:rPr>
        <w:t xml:space="preserve"> ،</w:t>
      </w:r>
      <w:r w:rsidRPr="00DC0143">
        <w:rPr>
          <w:rFonts w:cs="Traditional Arabic" w:hint="cs"/>
          <w:color w:val="000000"/>
          <w:sz w:val="24"/>
          <w:szCs w:val="28"/>
          <w:rtl/>
        </w:rPr>
        <w:t xml:space="preserve"> إلا أنه حذف م نهاية الفقرة الأولى عبارة "إلا إذا ترتب على خطأه ضرر وبقدر هذا الضرر" لأن في القواعد العامة في المسئولية التقصيرية ما يغني عن المعنى الذي قصدت هذه العبارة إلى استظهاره</w:t>
      </w:r>
      <w:r>
        <w:rPr>
          <w:rFonts w:cs="Traditional Arabic" w:hint="cs"/>
          <w:color w:val="000000"/>
          <w:sz w:val="24"/>
          <w:szCs w:val="28"/>
          <w:rtl/>
        </w:rPr>
        <w:t xml:space="preserve"> ،</w:t>
      </w:r>
      <w:r w:rsidRPr="00DC0143">
        <w:rPr>
          <w:rFonts w:cs="Traditional Arabic" w:hint="cs"/>
          <w:color w:val="000000"/>
          <w:sz w:val="24"/>
          <w:szCs w:val="28"/>
          <w:rtl/>
        </w:rPr>
        <w:t xml:space="preserve"> ووافقت اللجنة على النص بعد هذا التعديل تحت رقم 785</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النص كما عدلته لجنته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5 ص 478 </w:t>
      </w:r>
      <w:r w:rsidRPr="00DC0143">
        <w:rPr>
          <w:rFonts w:cs="Traditional Arabic"/>
          <w:color w:val="000000"/>
          <w:sz w:val="24"/>
          <w:szCs w:val="28"/>
          <w:rtl/>
        </w:rPr>
        <w:t>–</w:t>
      </w:r>
      <w:r w:rsidRPr="00DC0143">
        <w:rPr>
          <w:rFonts w:cs="Traditional Arabic" w:hint="cs"/>
          <w:color w:val="000000"/>
          <w:sz w:val="24"/>
          <w:szCs w:val="28"/>
          <w:rtl/>
        </w:rPr>
        <w:t xml:space="preserve"> ص 481</w:t>
      </w:r>
      <w:r>
        <w:rPr>
          <w:rFonts w:cs="Traditional Arabic" w:hint="cs"/>
          <w:color w:val="000000"/>
          <w:sz w:val="24"/>
          <w:szCs w:val="28"/>
          <w:rtl/>
        </w:rPr>
        <w:t xml:space="preserve"> ) .</w:t>
      </w:r>
    </w:p>
  </w:footnote>
  <w:footnote w:id="58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503/613</w:t>
      </w:r>
      <w:r>
        <w:rPr>
          <w:rFonts w:cs="Traditional Arabic" w:hint="cs"/>
          <w:color w:val="000000"/>
          <w:sz w:val="24"/>
          <w:szCs w:val="28"/>
          <w:rtl/>
        </w:rPr>
        <w:t xml:space="preserve"> :</w:t>
      </w:r>
      <w:r w:rsidRPr="00DC0143">
        <w:rPr>
          <w:rFonts w:cs="Traditional Arabic" w:hint="cs"/>
          <w:color w:val="000000"/>
          <w:sz w:val="24"/>
          <w:szCs w:val="28"/>
          <w:rtl/>
        </w:rPr>
        <w:t xml:space="preserve"> للكفيل الحق في مطالبة المدين عند حلول الأجل</w:t>
      </w:r>
      <w:r>
        <w:rPr>
          <w:rFonts w:cs="Traditional Arabic" w:hint="cs"/>
          <w:color w:val="000000"/>
          <w:sz w:val="24"/>
          <w:szCs w:val="28"/>
          <w:rtl/>
        </w:rPr>
        <w:t xml:space="preserve"> ،</w:t>
      </w:r>
      <w:r w:rsidRPr="00DC0143">
        <w:rPr>
          <w:rFonts w:cs="Traditional Arabic" w:hint="cs"/>
          <w:color w:val="000000"/>
          <w:sz w:val="24"/>
          <w:szCs w:val="28"/>
          <w:rtl/>
        </w:rPr>
        <w:t xml:space="preserve"> ولو منح رب الدين المدين أجلا جديدا ولم يبرئ الكفيل من الكفالة</w:t>
      </w:r>
      <w:r>
        <w:rPr>
          <w:rFonts w:cs="Traditional Arabic" w:hint="cs"/>
          <w:color w:val="000000"/>
          <w:sz w:val="24"/>
          <w:szCs w:val="28"/>
          <w:rtl/>
        </w:rPr>
        <w:t xml:space="preserve"> .</w:t>
      </w:r>
    </w:p>
  </w:footnote>
  <w:footnote w:id="58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751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الليبي</w:t>
      </w:r>
      <w:r w:rsidRPr="00DC0143">
        <w:rPr>
          <w:rFonts w:cs="Traditional Arabic" w:hint="cs"/>
          <w:color w:val="000000"/>
          <w:sz w:val="24"/>
          <w:szCs w:val="28"/>
          <w:rtl/>
        </w:rPr>
        <w:t xml:space="preserve"> م 794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1036</w:t>
      </w:r>
      <w:r>
        <w:rPr>
          <w:rFonts w:cs="Traditional Arabic" w:hint="cs"/>
          <w:color w:val="000000"/>
          <w:sz w:val="24"/>
          <w:szCs w:val="28"/>
          <w:rtl/>
        </w:rPr>
        <w:t xml:space="preserve"> :</w:t>
      </w:r>
      <w:r w:rsidRPr="00DC0143">
        <w:rPr>
          <w:rFonts w:cs="Traditional Arabic" w:hint="cs"/>
          <w:color w:val="000000"/>
          <w:sz w:val="24"/>
          <w:szCs w:val="28"/>
          <w:rtl/>
        </w:rPr>
        <w:t xml:space="preserve"> 1- يجوز للكفيل عند استحقاق الدين وعدم وفاء المدين به أن يطاب المدين بتخليص ذمته من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أو بأن يقدم له ضمانا</w:t>
      </w:r>
      <w:r>
        <w:rPr>
          <w:rFonts w:cs="Traditional Arabic" w:hint="cs"/>
          <w:color w:val="000000"/>
          <w:sz w:val="24"/>
          <w:szCs w:val="28"/>
          <w:rtl/>
        </w:rPr>
        <w:t xml:space="preserve"> ،</w:t>
      </w:r>
      <w:r w:rsidRPr="00DC0143">
        <w:rPr>
          <w:rFonts w:cs="Traditional Arabic" w:hint="cs"/>
          <w:color w:val="000000"/>
          <w:sz w:val="24"/>
          <w:szCs w:val="28"/>
          <w:rtl/>
        </w:rPr>
        <w:t xml:space="preserve"> ويبقى له هذا الحق حتى لو منح الدائن للمدين مهلة دون رضاء الكفيل</w:t>
      </w:r>
      <w:r>
        <w:rPr>
          <w:rFonts w:cs="Traditional Arabic" w:hint="cs"/>
          <w:color w:val="000000"/>
          <w:sz w:val="24"/>
          <w:szCs w:val="28"/>
          <w:rtl/>
        </w:rPr>
        <w:t xml:space="preserve"> .</w:t>
      </w:r>
      <w:r w:rsidRPr="00DC0143">
        <w:rPr>
          <w:rFonts w:cs="Traditional Arabic" w:hint="cs"/>
          <w:color w:val="000000"/>
          <w:sz w:val="24"/>
          <w:szCs w:val="28"/>
          <w:rtl/>
        </w:rPr>
        <w:t xml:space="preserve"> ويكون للكفيل أيضاً هذا الحق قبل حلول الدين إذا أفلس المدين أو أعسر</w:t>
      </w:r>
      <w:r>
        <w:rPr>
          <w:rFonts w:cs="Traditional Arabic" w:hint="cs"/>
          <w:color w:val="000000"/>
          <w:sz w:val="24"/>
          <w:szCs w:val="28"/>
          <w:rtl/>
        </w:rPr>
        <w:t xml:space="preserve"> .</w:t>
      </w:r>
      <w:r w:rsidRPr="00DC0143">
        <w:rPr>
          <w:rFonts w:cs="Traditional Arabic" w:hint="cs"/>
          <w:color w:val="000000"/>
          <w:sz w:val="24"/>
          <w:szCs w:val="28"/>
          <w:rtl/>
        </w:rPr>
        <w:t xml:space="preserve"> 2- ويجوز للكفيل عند استحقاق الدين وعدم مطالبة الدائن به أن ينذر الدائن بلزوم اتخاذ الإجراءات القانونية لاستيفاء دينه خلال مدة مطالبة الدائن به أن ينذر الدائن بلزوم اتخاذ الإجراءات القانونية لاستيفاء دينه خلال مدة لا تقل عن شهر</w:t>
      </w:r>
      <w:r>
        <w:rPr>
          <w:rFonts w:cs="Traditional Arabic" w:hint="cs"/>
          <w:color w:val="000000"/>
          <w:sz w:val="24"/>
          <w:szCs w:val="28"/>
          <w:rtl/>
        </w:rPr>
        <w:t xml:space="preserve"> ،</w:t>
      </w:r>
      <w:r w:rsidRPr="00DC0143">
        <w:rPr>
          <w:rFonts w:cs="Traditional Arabic" w:hint="cs"/>
          <w:color w:val="000000"/>
          <w:sz w:val="24"/>
          <w:szCs w:val="28"/>
          <w:rtl/>
        </w:rPr>
        <w:t xml:space="preserve"> فإذا انتهت المدة ولم يطالب المدين بدينه خرج الكفيل من الكفالة</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قانون الموجبات والعقود اللبناني</w:t>
      </w:r>
      <w:r w:rsidRPr="00DC0143">
        <w:rPr>
          <w:rFonts w:cs="Traditional Arabic" w:hint="cs"/>
          <w:color w:val="000000"/>
          <w:sz w:val="24"/>
          <w:szCs w:val="28"/>
          <w:rtl/>
        </w:rPr>
        <w:t xml:space="preserve"> م 1079</w:t>
      </w:r>
      <w:r>
        <w:rPr>
          <w:rFonts w:cs="Traditional Arabic" w:hint="cs"/>
          <w:color w:val="000000"/>
          <w:sz w:val="24"/>
          <w:szCs w:val="28"/>
          <w:rtl/>
        </w:rPr>
        <w:t xml:space="preserve"> :</w:t>
      </w:r>
      <w:r w:rsidRPr="00DC0143">
        <w:rPr>
          <w:rFonts w:cs="Traditional Arabic" w:hint="cs"/>
          <w:color w:val="000000"/>
          <w:sz w:val="24"/>
          <w:szCs w:val="28"/>
          <w:rtl/>
        </w:rPr>
        <w:t xml:space="preserve"> يحق للكفيل</w:t>
      </w:r>
      <w:r>
        <w:rPr>
          <w:rFonts w:cs="Traditional Arabic" w:hint="cs"/>
          <w:color w:val="000000"/>
          <w:sz w:val="24"/>
          <w:szCs w:val="28"/>
          <w:rtl/>
        </w:rPr>
        <w:t xml:space="preserve"> ،</w:t>
      </w:r>
      <w:r w:rsidRPr="00DC0143">
        <w:rPr>
          <w:rFonts w:cs="Traditional Arabic" w:hint="cs"/>
          <w:color w:val="000000"/>
          <w:sz w:val="24"/>
          <w:szCs w:val="28"/>
          <w:rtl/>
        </w:rPr>
        <w:t xml:space="preserve"> لكي يبرأ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أن يداعي الدائن إذا تأخر عن المطالبة بتنفيذ الموجب الذي أصبح مستحق الأداء</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p>
  </w:footnote>
  <w:footnote w:id="58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5 ص 479 </w:t>
      </w:r>
      <w:r w:rsidRPr="00DC0143">
        <w:rPr>
          <w:rFonts w:cs="Traditional Arabic"/>
          <w:color w:val="000000"/>
          <w:sz w:val="24"/>
          <w:szCs w:val="28"/>
          <w:rtl/>
        </w:rPr>
        <w:t>–</w:t>
      </w:r>
      <w:r w:rsidRPr="00DC0143">
        <w:rPr>
          <w:rFonts w:cs="Traditional Arabic" w:hint="cs"/>
          <w:color w:val="000000"/>
          <w:sz w:val="24"/>
          <w:szCs w:val="28"/>
          <w:rtl/>
        </w:rPr>
        <w:t xml:space="preserve"> وانظر في عهد التقنين المدني السابق نقض مدني 2 فبراير سن 1933 مجموعة القواعد القانونية التي قررتها محكمة النقض في 25 عاماً الجزء ص 937 رقم 6</w:t>
      </w:r>
      <w:r>
        <w:rPr>
          <w:rFonts w:cs="Traditional Arabic" w:hint="cs"/>
          <w:color w:val="000000"/>
          <w:sz w:val="24"/>
          <w:szCs w:val="28"/>
          <w:rtl/>
        </w:rPr>
        <w:t xml:space="preserve"> .</w:t>
      </w:r>
    </w:p>
  </w:footnote>
  <w:footnote w:id="58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المشروع الفرنسي الإيطالي م 739</w:t>
      </w:r>
      <w:r>
        <w:rPr>
          <w:rFonts w:cs="Traditional Arabic" w:hint="cs"/>
          <w:color w:val="000000"/>
          <w:sz w:val="24"/>
          <w:szCs w:val="28"/>
          <w:rtl/>
        </w:rPr>
        <w:t xml:space="preserve"> :</w:t>
      </w:r>
      <w:r w:rsidRPr="00DC0143">
        <w:rPr>
          <w:rFonts w:cs="Traditional Arabic" w:hint="cs"/>
          <w:color w:val="000000"/>
          <w:sz w:val="24"/>
          <w:szCs w:val="28"/>
          <w:rtl/>
        </w:rPr>
        <w:t xml:space="preserve"> يبقى الكفيل ملتزماً حتى بعد حلول أجل الالتزام الأصلي</w:t>
      </w:r>
      <w:r>
        <w:rPr>
          <w:rFonts w:cs="Traditional Arabic" w:hint="cs"/>
          <w:color w:val="000000"/>
          <w:sz w:val="24"/>
          <w:szCs w:val="28"/>
          <w:rtl/>
        </w:rPr>
        <w:t xml:space="preserve"> ،</w:t>
      </w:r>
      <w:r w:rsidRPr="00DC0143">
        <w:rPr>
          <w:rFonts w:cs="Traditional Arabic" w:hint="cs"/>
          <w:color w:val="000000"/>
          <w:sz w:val="24"/>
          <w:szCs w:val="28"/>
          <w:rtl/>
        </w:rPr>
        <w:t xml:space="preserve"> بشرط أن يكون الدائن قد  اتخذ الإجراءات ضد المدين في خلال شهرين من وقت هذا الحلول واستمر فيها بعناية</w:t>
      </w:r>
      <w:r>
        <w:rPr>
          <w:rFonts w:cs="Traditional Arabic" w:hint="cs"/>
          <w:color w:val="000000"/>
          <w:sz w:val="24"/>
          <w:szCs w:val="28"/>
          <w:rtl/>
        </w:rPr>
        <w:t xml:space="preserve"> .</w:t>
      </w:r>
      <w:r w:rsidRPr="00DC0143">
        <w:rPr>
          <w:rFonts w:cs="Traditional Arabic" w:hint="cs"/>
          <w:color w:val="000000"/>
          <w:sz w:val="24"/>
          <w:szCs w:val="28"/>
          <w:rtl/>
        </w:rPr>
        <w:t xml:space="preserve"> ويطبق هذا النص حتى في حالة ما إذا حدد الكفيل صراحة أحل كفالته بنفس أجل الالتزام الأصلي</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تقنين الالتزامات السويسري م 502</w:t>
      </w:r>
      <w:r>
        <w:rPr>
          <w:rFonts w:cs="Traditional Arabic" w:hint="cs"/>
          <w:color w:val="000000"/>
          <w:sz w:val="24"/>
          <w:szCs w:val="28"/>
          <w:rtl/>
        </w:rPr>
        <w:t xml:space="preserve"> :</w:t>
      </w:r>
      <w:r w:rsidRPr="00DC0143">
        <w:rPr>
          <w:rFonts w:cs="Traditional Arabic" w:hint="cs"/>
          <w:color w:val="000000"/>
          <w:sz w:val="24"/>
          <w:szCs w:val="28"/>
          <w:rtl/>
        </w:rPr>
        <w:t xml:space="preserve"> يبرأ الكفيل الذي لم يلتزم إلا لأجل محدد إذا لم يتخذ الدائن الإجراءات التنفيذية التي يخولها له القانون في خلال الأربعة الأسابيع لانقضاء هذا الأجل</w:t>
      </w:r>
      <w:r>
        <w:rPr>
          <w:rFonts w:cs="Traditional Arabic" w:hint="cs"/>
          <w:color w:val="000000"/>
          <w:sz w:val="24"/>
          <w:szCs w:val="28"/>
          <w:rtl/>
        </w:rPr>
        <w:t xml:space="preserve"> ،</w:t>
      </w:r>
      <w:r w:rsidRPr="00DC0143">
        <w:rPr>
          <w:rFonts w:cs="Traditional Arabic" w:hint="cs"/>
          <w:color w:val="000000"/>
          <w:sz w:val="24"/>
          <w:szCs w:val="28"/>
          <w:rtl/>
        </w:rPr>
        <w:t xml:space="preserve"> وإذا لم يستمر في هذه الإجراءات بدون انقطاع جسيم</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تقنين الالتزامات البولوني م 637</w:t>
      </w:r>
      <w:r>
        <w:rPr>
          <w:rFonts w:cs="Traditional Arabic" w:hint="cs"/>
          <w:color w:val="000000"/>
          <w:sz w:val="24"/>
          <w:szCs w:val="28"/>
          <w:rtl/>
        </w:rPr>
        <w:t xml:space="preserve"> :</w:t>
      </w:r>
      <w:r w:rsidRPr="00DC0143">
        <w:rPr>
          <w:rFonts w:cs="Traditional Arabic" w:hint="cs"/>
          <w:color w:val="000000"/>
          <w:sz w:val="24"/>
          <w:szCs w:val="28"/>
          <w:rtl/>
        </w:rPr>
        <w:t xml:space="preserve"> يتقادم التزام الكفيل بمضي سنة من تاريخ استحقاق 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ولا تسري هذه القاعدة على الكفيل الذي التزم بصفة كفيل متضامن أو الذي التزم بالكفالة في مقابل جعل</w:t>
      </w:r>
      <w:r>
        <w:rPr>
          <w:rFonts w:cs="Traditional Arabic" w:hint="cs"/>
          <w:color w:val="000000"/>
          <w:sz w:val="24"/>
          <w:szCs w:val="28"/>
          <w:rtl/>
        </w:rPr>
        <w:t xml:space="preserve"> .</w:t>
      </w:r>
    </w:p>
  </w:footnote>
  <w:footnote w:id="58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39 ص 80</w:t>
      </w:r>
      <w:r>
        <w:rPr>
          <w:rFonts w:cs="Traditional Arabic" w:hint="cs"/>
          <w:color w:val="000000"/>
          <w:sz w:val="24"/>
          <w:szCs w:val="28"/>
          <w:rtl/>
        </w:rPr>
        <w:t xml:space="preserve"> .</w:t>
      </w:r>
    </w:p>
  </w:footnote>
  <w:footnote w:id="58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156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39 ص 80</w:t>
      </w:r>
      <w:r>
        <w:rPr>
          <w:rFonts w:cs="Traditional Arabic" w:hint="cs"/>
          <w:color w:val="000000"/>
          <w:sz w:val="24"/>
          <w:szCs w:val="28"/>
          <w:rtl/>
        </w:rPr>
        <w:t xml:space="preserve"> .</w:t>
      </w:r>
    </w:p>
  </w:footnote>
  <w:footnote w:id="58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1156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 تحت رقم 854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853</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786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5 ص 482 </w:t>
      </w:r>
      <w:r w:rsidRPr="00DC0143">
        <w:rPr>
          <w:rFonts w:cs="Traditional Arabic"/>
          <w:color w:val="000000"/>
          <w:sz w:val="24"/>
          <w:szCs w:val="28"/>
          <w:rtl/>
        </w:rPr>
        <w:t>–</w:t>
      </w:r>
      <w:r w:rsidRPr="00DC0143">
        <w:rPr>
          <w:rFonts w:cs="Traditional Arabic" w:hint="cs"/>
          <w:color w:val="000000"/>
          <w:sz w:val="24"/>
          <w:szCs w:val="28"/>
          <w:rtl/>
        </w:rPr>
        <w:t xml:space="preserve"> ص 490</w:t>
      </w:r>
      <w:r>
        <w:rPr>
          <w:rFonts w:cs="Traditional Arabic" w:hint="cs"/>
          <w:color w:val="000000"/>
          <w:sz w:val="24"/>
          <w:szCs w:val="28"/>
          <w:rtl/>
        </w:rPr>
        <w:t xml:space="preserve"> ) .</w:t>
      </w:r>
    </w:p>
  </w:footnote>
  <w:footnote w:id="58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503/614</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 . .</w:t>
      </w:r>
      <w:r w:rsidRPr="00DC0143">
        <w:rPr>
          <w:rFonts w:cs="Traditional Arabic" w:hint="cs"/>
          <w:color w:val="000000"/>
          <w:sz w:val="24"/>
          <w:szCs w:val="28"/>
          <w:rtl/>
        </w:rPr>
        <w:t xml:space="preserve"> وله </w:t>
      </w:r>
      <w:r>
        <w:rPr>
          <w:rFonts w:cs="Traditional Arabic" w:hint="cs"/>
          <w:color w:val="000000"/>
          <w:sz w:val="24"/>
          <w:szCs w:val="28"/>
          <w:rtl/>
        </w:rPr>
        <w:t xml:space="preserve">( </w:t>
      </w:r>
      <w:r w:rsidRPr="00DC0143">
        <w:rPr>
          <w:rFonts w:cs="Traditional Arabic" w:hint="cs"/>
          <w:color w:val="000000"/>
          <w:sz w:val="24"/>
          <w:szCs w:val="28"/>
          <w:rtl/>
        </w:rPr>
        <w:t>للكفيل</w:t>
      </w:r>
      <w:r>
        <w:rPr>
          <w:rFonts w:cs="Traditional Arabic" w:hint="cs"/>
          <w:color w:val="000000"/>
          <w:sz w:val="24"/>
          <w:szCs w:val="28"/>
          <w:rtl/>
        </w:rPr>
        <w:t xml:space="preserve"> )</w:t>
      </w:r>
      <w:r w:rsidRPr="00DC0143">
        <w:rPr>
          <w:rFonts w:cs="Traditional Arabic" w:hint="cs"/>
          <w:color w:val="000000"/>
          <w:sz w:val="24"/>
          <w:szCs w:val="28"/>
          <w:rtl/>
        </w:rPr>
        <w:t xml:space="preserve"> أيضاً مطالبة المدين بالدين إذا أفلس قبل حلول أجل الدين المكفول به</w:t>
      </w:r>
      <w:r>
        <w:rPr>
          <w:rFonts w:cs="Traditional Arabic" w:hint="cs"/>
          <w:color w:val="000000"/>
          <w:sz w:val="24"/>
          <w:szCs w:val="28"/>
          <w:rtl/>
        </w:rPr>
        <w:t xml:space="preserve"> .</w:t>
      </w:r>
    </w:p>
  </w:footnote>
  <w:footnote w:id="58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752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الليبي</w:t>
      </w:r>
      <w:r w:rsidRPr="00DC0143">
        <w:rPr>
          <w:rFonts w:cs="Traditional Arabic" w:hint="cs"/>
          <w:color w:val="000000"/>
          <w:sz w:val="24"/>
          <w:szCs w:val="28"/>
          <w:rtl/>
        </w:rPr>
        <w:t xml:space="preserve"> م 795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1028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قانون الموجبات والعقود اللبناني</w:t>
      </w:r>
      <w:r w:rsidRPr="00DC0143">
        <w:rPr>
          <w:rFonts w:cs="Traditional Arabic" w:hint="cs"/>
          <w:color w:val="000000"/>
          <w:sz w:val="24"/>
          <w:szCs w:val="28"/>
          <w:rtl/>
        </w:rPr>
        <w:t xml:space="preserve"> م 1073</w:t>
      </w:r>
      <w:r>
        <w:rPr>
          <w:rFonts w:cs="Traditional Arabic" w:hint="cs"/>
          <w:color w:val="000000"/>
          <w:sz w:val="24"/>
          <w:szCs w:val="28"/>
          <w:rtl/>
        </w:rPr>
        <w:t xml:space="preserve"> :</w:t>
      </w:r>
      <w:r w:rsidRPr="00DC0143">
        <w:rPr>
          <w:rFonts w:cs="Traditional Arabic" w:hint="cs"/>
          <w:color w:val="000000"/>
          <w:sz w:val="24"/>
          <w:szCs w:val="28"/>
          <w:rtl/>
        </w:rPr>
        <w:t xml:space="preserve"> لا يجوز للكفيل أن يتشبث بتقديم مراعاة المديون الأصلي</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 .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2</w:t>
      </w:r>
      <w:r>
        <w:rPr>
          <w:rFonts w:cs="Traditional Arabic" w:hint="cs"/>
          <w:color w:val="000000"/>
          <w:sz w:val="24"/>
          <w:szCs w:val="28"/>
          <w:rtl/>
        </w:rPr>
        <w:t xml:space="preserve"> )</w:t>
      </w:r>
      <w:r w:rsidRPr="00DC0143">
        <w:rPr>
          <w:rFonts w:cs="Traditional Arabic" w:hint="cs"/>
          <w:color w:val="000000"/>
          <w:sz w:val="24"/>
          <w:szCs w:val="28"/>
          <w:rtl/>
        </w:rPr>
        <w:t xml:space="preserve"> إذا أصبح المدين الأصلي في حالة إعسار مشهرو أو أعلن عجزه </w:t>
      </w:r>
      <w:r>
        <w:rPr>
          <w:rFonts w:cs="Traditional Arabic" w:hint="cs"/>
          <w:color w:val="000000"/>
          <w:sz w:val="24"/>
          <w:szCs w:val="28"/>
          <w:rtl/>
        </w:rPr>
        <w:t xml:space="preserve">( </w:t>
      </w:r>
      <w:r w:rsidRPr="00DC0143">
        <w:rPr>
          <w:rFonts w:cs="Traditional Arabic" w:hint="cs"/>
          <w:color w:val="000000"/>
          <w:sz w:val="24"/>
          <w:szCs w:val="28"/>
          <w:rtl/>
        </w:rPr>
        <w:t>3</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 . .</w:t>
      </w:r>
    </w:p>
  </w:footnote>
  <w:footnote w:id="58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110</w:t>
      </w:r>
      <w:r>
        <w:rPr>
          <w:rFonts w:cs="Traditional Arabic" w:hint="cs"/>
          <w:color w:val="000000"/>
          <w:sz w:val="24"/>
          <w:szCs w:val="28"/>
          <w:rtl/>
        </w:rPr>
        <w:t xml:space="preserve"> .</w:t>
      </w:r>
    </w:p>
  </w:footnote>
  <w:footnote w:id="59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تقنين الالتزامات السويسري م 511</w:t>
      </w:r>
      <w:r>
        <w:rPr>
          <w:rFonts w:cs="Traditional Arabic" w:hint="cs"/>
          <w:color w:val="000000"/>
          <w:sz w:val="24"/>
          <w:szCs w:val="28"/>
          <w:rtl/>
        </w:rPr>
        <w:t xml:space="preserve"> :</w:t>
      </w:r>
      <w:r w:rsidRPr="00DC0143">
        <w:rPr>
          <w:rFonts w:cs="Traditional Arabic" w:hint="cs"/>
          <w:color w:val="000000"/>
          <w:sz w:val="24"/>
          <w:szCs w:val="28"/>
          <w:rtl/>
        </w:rPr>
        <w:t xml:space="preserve"> إذا أفلس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وجب على الدائن أن يتقدم بدينه في التفليسة</w:t>
      </w:r>
      <w:r>
        <w:rPr>
          <w:rFonts w:cs="Traditional Arabic" w:hint="cs"/>
          <w:color w:val="000000"/>
          <w:sz w:val="24"/>
          <w:szCs w:val="28"/>
          <w:rtl/>
        </w:rPr>
        <w:t xml:space="preserve"> ،</w:t>
      </w:r>
      <w:r w:rsidRPr="00DC0143">
        <w:rPr>
          <w:rFonts w:cs="Traditional Arabic" w:hint="cs"/>
          <w:color w:val="000000"/>
          <w:sz w:val="24"/>
          <w:szCs w:val="28"/>
          <w:rtl/>
        </w:rPr>
        <w:t xml:space="preserve"> ووجب عليه كذلك إخطار الكفيل بالإفلاس بمجرد علمه</w:t>
      </w:r>
      <w:r>
        <w:rPr>
          <w:rFonts w:cs="Traditional Arabic" w:hint="cs"/>
          <w:color w:val="000000"/>
          <w:sz w:val="24"/>
          <w:szCs w:val="28"/>
          <w:rtl/>
        </w:rPr>
        <w:t xml:space="preserve"> .</w:t>
      </w:r>
      <w:r w:rsidRPr="00DC0143">
        <w:rPr>
          <w:rFonts w:cs="Traditional Arabic" w:hint="cs"/>
          <w:color w:val="000000"/>
          <w:sz w:val="24"/>
          <w:szCs w:val="28"/>
          <w:rtl/>
        </w:rPr>
        <w:t xml:space="preserve"> وإذا لم يفعل الدائن ذلك</w:t>
      </w:r>
      <w:r>
        <w:rPr>
          <w:rFonts w:cs="Traditional Arabic" w:hint="cs"/>
          <w:color w:val="000000"/>
          <w:sz w:val="24"/>
          <w:szCs w:val="28"/>
          <w:rtl/>
        </w:rPr>
        <w:t xml:space="preserve"> ،</w:t>
      </w:r>
      <w:r w:rsidRPr="00DC0143">
        <w:rPr>
          <w:rFonts w:cs="Traditional Arabic" w:hint="cs"/>
          <w:color w:val="000000"/>
          <w:sz w:val="24"/>
          <w:szCs w:val="28"/>
          <w:rtl/>
        </w:rPr>
        <w:t xml:space="preserve"> فقد حقه قبل الكفيل بقدر ما نال هذا من ضرر من جراء هذا الإهمال</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تقنين الالتزامات البولوني م 643</w:t>
      </w:r>
      <w:r>
        <w:rPr>
          <w:rFonts w:cs="Traditional Arabic" w:hint="cs"/>
          <w:color w:val="000000"/>
          <w:sz w:val="24"/>
          <w:szCs w:val="28"/>
          <w:rtl/>
        </w:rPr>
        <w:t xml:space="preserve"> :</w:t>
      </w:r>
      <w:r w:rsidRPr="00DC0143">
        <w:rPr>
          <w:rFonts w:cs="Traditional Arabic" w:hint="cs"/>
          <w:color w:val="000000"/>
          <w:sz w:val="24"/>
          <w:szCs w:val="28"/>
          <w:rtl/>
        </w:rPr>
        <w:t xml:space="preserve"> يضمن الدائن الذي لم يتقدم في تفليسة المدين الضرر الحاصل من جراء ذلك للكفيل</w:t>
      </w:r>
      <w:r>
        <w:rPr>
          <w:rFonts w:cs="Traditional Arabic" w:hint="cs"/>
          <w:color w:val="000000"/>
          <w:sz w:val="24"/>
          <w:szCs w:val="28"/>
          <w:rtl/>
        </w:rPr>
        <w:t xml:space="preserve"> .</w:t>
      </w:r>
    </w:p>
  </w:footnote>
  <w:footnote w:id="59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عبد الفتاح عبد الباقي فقرة 157</w:t>
      </w:r>
      <w:r>
        <w:rPr>
          <w:rFonts w:cs="Traditional Arabic" w:hint="cs"/>
          <w:color w:val="000000"/>
          <w:sz w:val="24"/>
          <w:szCs w:val="28"/>
          <w:rtl/>
        </w:rPr>
        <w:t xml:space="preserve"> .</w:t>
      </w:r>
    </w:p>
  </w:footnote>
  <w:footnote w:id="59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157 ص 237 هامش 1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49 ص 55</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وقد كان المشروع التمهيدي يتضمن نصا هو نص المادة 1143</w:t>
      </w:r>
      <w:r>
        <w:rPr>
          <w:rFonts w:cs="Traditional Arabic" w:hint="cs"/>
          <w:color w:val="000000"/>
          <w:sz w:val="24"/>
          <w:szCs w:val="28"/>
          <w:rtl/>
        </w:rPr>
        <w:t xml:space="preserve"> ،</w:t>
      </w:r>
      <w:r w:rsidRPr="00DC0143">
        <w:rPr>
          <w:rFonts w:cs="Traditional Arabic" w:hint="cs"/>
          <w:color w:val="000000"/>
          <w:sz w:val="24"/>
          <w:szCs w:val="28"/>
          <w:rtl/>
        </w:rPr>
        <w:t xml:space="preserve"> وقد كان يقضي بما يأتي</w:t>
      </w:r>
      <w:r>
        <w:rPr>
          <w:rFonts w:cs="Traditional Arabic" w:hint="cs"/>
          <w:color w:val="000000"/>
          <w:sz w:val="24"/>
          <w:szCs w:val="28"/>
          <w:rtl/>
        </w:rPr>
        <w:t xml:space="preserve"> :</w:t>
      </w:r>
      <w:r w:rsidRPr="00DC0143">
        <w:rPr>
          <w:rFonts w:cs="Traditional Arabic" w:hint="cs"/>
          <w:color w:val="000000"/>
          <w:sz w:val="24"/>
          <w:szCs w:val="28"/>
          <w:rtl/>
        </w:rPr>
        <w:t xml:space="preserve"> "الكفيل</w:t>
      </w:r>
      <w:r>
        <w:rPr>
          <w:rFonts w:cs="Traditional Arabic" w:hint="cs"/>
          <w:color w:val="000000"/>
          <w:sz w:val="24"/>
          <w:szCs w:val="28"/>
          <w:rtl/>
        </w:rPr>
        <w:t xml:space="preserve"> ،</w:t>
      </w:r>
      <w:r w:rsidRPr="00DC0143">
        <w:rPr>
          <w:rFonts w:cs="Traditional Arabic" w:hint="cs"/>
          <w:color w:val="000000"/>
          <w:sz w:val="24"/>
          <w:szCs w:val="28"/>
          <w:rtl/>
        </w:rPr>
        <w:t xml:space="preserve"> حتى قبل أن يقوم بالوفاء</w:t>
      </w:r>
      <w:r>
        <w:rPr>
          <w:rFonts w:cs="Traditional Arabic" w:hint="cs"/>
          <w:color w:val="000000"/>
          <w:sz w:val="24"/>
          <w:szCs w:val="28"/>
          <w:rtl/>
        </w:rPr>
        <w:t xml:space="preserve"> ،</w:t>
      </w:r>
      <w:r w:rsidRPr="00DC0143">
        <w:rPr>
          <w:rFonts w:cs="Traditional Arabic" w:hint="cs"/>
          <w:color w:val="000000"/>
          <w:sz w:val="24"/>
          <w:szCs w:val="28"/>
          <w:rtl/>
        </w:rPr>
        <w:t xml:space="preserve"> أن يطالب المدين بتأمينه في الحالات الآتية</w:t>
      </w:r>
      <w:r>
        <w:rPr>
          <w:rFonts w:cs="Traditional Arabic" w:hint="cs"/>
          <w:color w:val="000000"/>
          <w:sz w:val="24"/>
          <w:szCs w:val="28"/>
          <w:rtl/>
        </w:rPr>
        <w:t xml:space="preserve"> :</w:t>
      </w:r>
      <w:r w:rsidRPr="00DC0143">
        <w:rPr>
          <w:rFonts w:cs="Traditional Arabic" w:hint="cs"/>
          <w:color w:val="000000"/>
          <w:sz w:val="24"/>
          <w:szCs w:val="28"/>
          <w:rtl/>
        </w:rPr>
        <w:t xml:space="preserve"> أولا </w:t>
      </w:r>
      <w:r w:rsidRPr="00DC0143">
        <w:rPr>
          <w:rFonts w:cs="Traditional Arabic"/>
          <w:color w:val="000000"/>
          <w:sz w:val="24"/>
          <w:szCs w:val="28"/>
          <w:rtl/>
        </w:rPr>
        <w:t>–</w:t>
      </w:r>
      <w:r w:rsidRPr="00DC0143">
        <w:rPr>
          <w:rFonts w:cs="Traditional Arabic" w:hint="cs"/>
          <w:color w:val="000000"/>
          <w:sz w:val="24"/>
          <w:szCs w:val="28"/>
          <w:rtl/>
        </w:rPr>
        <w:t xml:space="preserve"> إذا طولب قضائياً بالوفاء</w:t>
      </w:r>
      <w:r>
        <w:rPr>
          <w:rFonts w:cs="Traditional Arabic" w:hint="cs"/>
          <w:color w:val="000000"/>
          <w:sz w:val="24"/>
          <w:szCs w:val="28"/>
          <w:rtl/>
        </w:rPr>
        <w:t xml:space="preserve"> .</w:t>
      </w:r>
      <w:r w:rsidRPr="00DC0143">
        <w:rPr>
          <w:rFonts w:cs="Traditional Arabic" w:hint="cs"/>
          <w:color w:val="000000"/>
          <w:sz w:val="24"/>
          <w:szCs w:val="28"/>
          <w:rtl/>
        </w:rPr>
        <w:t xml:space="preserve"> ثانياً </w:t>
      </w:r>
      <w:r w:rsidRPr="00DC0143">
        <w:rPr>
          <w:rFonts w:cs="Traditional Arabic"/>
          <w:color w:val="000000"/>
          <w:sz w:val="24"/>
          <w:szCs w:val="28"/>
          <w:rtl/>
        </w:rPr>
        <w:t>–</w:t>
      </w:r>
      <w:r w:rsidRPr="00DC0143">
        <w:rPr>
          <w:rFonts w:cs="Traditional Arabic" w:hint="cs"/>
          <w:color w:val="000000"/>
          <w:sz w:val="24"/>
          <w:szCs w:val="28"/>
          <w:rtl/>
        </w:rPr>
        <w:t xml:space="preserve"> إذا أفلس المدين أو صفيت أمواله أو كان في حالة إعسار</w:t>
      </w:r>
      <w:r>
        <w:rPr>
          <w:rFonts w:cs="Traditional Arabic" w:hint="cs"/>
          <w:color w:val="000000"/>
          <w:sz w:val="24"/>
          <w:szCs w:val="28"/>
          <w:rtl/>
        </w:rPr>
        <w:t xml:space="preserve"> .</w:t>
      </w:r>
      <w:r w:rsidRPr="00DC0143">
        <w:rPr>
          <w:rFonts w:cs="Traditional Arabic" w:hint="cs"/>
          <w:color w:val="000000"/>
          <w:sz w:val="24"/>
          <w:szCs w:val="28"/>
          <w:rtl/>
        </w:rPr>
        <w:t xml:space="preserve"> ثالثا </w:t>
      </w:r>
      <w:r w:rsidRPr="00DC0143">
        <w:rPr>
          <w:rFonts w:cs="Traditional Arabic"/>
          <w:color w:val="000000"/>
          <w:sz w:val="24"/>
          <w:szCs w:val="28"/>
          <w:rtl/>
        </w:rPr>
        <w:t>–</w:t>
      </w:r>
      <w:r w:rsidRPr="00DC0143">
        <w:rPr>
          <w:rFonts w:cs="Traditional Arabic" w:hint="cs"/>
          <w:color w:val="000000"/>
          <w:sz w:val="24"/>
          <w:szCs w:val="28"/>
          <w:rtl/>
        </w:rPr>
        <w:t xml:space="preserve"> إذا كان المدين قد تعهد بإبراء الكفيل في وقت معين</w:t>
      </w:r>
      <w:r>
        <w:rPr>
          <w:rFonts w:cs="Traditional Arabic" w:hint="cs"/>
          <w:color w:val="000000"/>
          <w:sz w:val="24"/>
          <w:szCs w:val="28"/>
          <w:rtl/>
        </w:rPr>
        <w:t xml:space="preserve"> .</w:t>
      </w:r>
      <w:r w:rsidRPr="00DC0143">
        <w:rPr>
          <w:rFonts w:cs="Traditional Arabic" w:hint="cs"/>
          <w:color w:val="000000"/>
          <w:sz w:val="24"/>
          <w:szCs w:val="28"/>
          <w:rtl/>
        </w:rPr>
        <w:t xml:space="preserve"> رابعاً </w:t>
      </w:r>
      <w:r w:rsidRPr="00DC0143">
        <w:rPr>
          <w:rFonts w:cs="Traditional Arabic"/>
          <w:color w:val="000000"/>
          <w:sz w:val="24"/>
          <w:szCs w:val="28"/>
          <w:rtl/>
        </w:rPr>
        <w:t>–</w:t>
      </w:r>
      <w:r w:rsidRPr="00DC0143">
        <w:rPr>
          <w:rFonts w:cs="Traditional Arabic" w:hint="cs"/>
          <w:color w:val="000000"/>
          <w:sz w:val="24"/>
          <w:szCs w:val="28"/>
          <w:rtl/>
        </w:rPr>
        <w:t xml:space="preserve"> إذا أصبح الدين مستحقاً بحلول الأجل المتفق عليه</w:t>
      </w:r>
      <w:r>
        <w:rPr>
          <w:rFonts w:cs="Traditional Arabic" w:hint="cs"/>
          <w:color w:val="000000"/>
          <w:sz w:val="24"/>
          <w:szCs w:val="28"/>
          <w:rtl/>
        </w:rPr>
        <w:t xml:space="preserve"> ،</w:t>
      </w:r>
      <w:r w:rsidRPr="00DC0143">
        <w:rPr>
          <w:rFonts w:cs="Traditional Arabic" w:hint="cs"/>
          <w:color w:val="000000"/>
          <w:sz w:val="24"/>
          <w:szCs w:val="28"/>
          <w:rtl/>
        </w:rPr>
        <w:t xml:space="preserve"> ولو قبل الدائن صراحة مد الأجل</w:t>
      </w:r>
      <w:r>
        <w:rPr>
          <w:rFonts w:cs="Traditional Arabic" w:hint="cs"/>
          <w:color w:val="000000"/>
          <w:sz w:val="24"/>
          <w:szCs w:val="28"/>
          <w:rtl/>
        </w:rPr>
        <w:t xml:space="preserve"> .</w:t>
      </w:r>
      <w:r w:rsidRPr="00DC0143">
        <w:rPr>
          <w:rFonts w:cs="Traditional Arabic" w:hint="cs"/>
          <w:color w:val="000000"/>
          <w:sz w:val="24"/>
          <w:szCs w:val="28"/>
          <w:rtl/>
        </w:rPr>
        <w:t xml:space="preserve"> خامساً </w:t>
      </w:r>
      <w:r w:rsidRPr="00DC0143">
        <w:rPr>
          <w:rFonts w:cs="Traditional Arabic"/>
          <w:color w:val="000000"/>
          <w:sz w:val="24"/>
          <w:szCs w:val="28"/>
          <w:rtl/>
        </w:rPr>
        <w:t>–</w:t>
      </w:r>
      <w:r w:rsidRPr="00DC0143">
        <w:rPr>
          <w:rFonts w:cs="Traditional Arabic" w:hint="cs"/>
          <w:color w:val="000000"/>
          <w:sz w:val="24"/>
          <w:szCs w:val="28"/>
          <w:rtl/>
        </w:rPr>
        <w:t xml:space="preserve"> بانتهاء خمس سنين إذا لم يكن للالتزام الأصلي أجل محدد</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يكن هذا الالتزام بحسب طبيعة مما لا يسقط قبل وقت معين كالتزام الوصي"</w:t>
      </w:r>
      <w:r>
        <w:rPr>
          <w:rFonts w:cs="Traditional Arabic" w:hint="cs"/>
          <w:color w:val="000000"/>
          <w:sz w:val="24"/>
          <w:szCs w:val="28"/>
          <w:rtl/>
        </w:rPr>
        <w:t xml:space="preserve"> .</w:t>
      </w:r>
      <w:r w:rsidRPr="00DC0143">
        <w:rPr>
          <w:rFonts w:cs="Traditional Arabic" w:hint="cs"/>
          <w:color w:val="000000"/>
          <w:sz w:val="24"/>
          <w:szCs w:val="28"/>
          <w:rtl/>
        </w:rPr>
        <w:t xml:space="preserve"> وانظر المادة 503/613 </w:t>
      </w:r>
      <w:r w:rsidRPr="00DC0143">
        <w:rPr>
          <w:rFonts w:cs="Traditional Arabic"/>
          <w:color w:val="000000"/>
          <w:sz w:val="24"/>
          <w:szCs w:val="28"/>
          <w:rtl/>
        </w:rPr>
        <w:t>–</w:t>
      </w:r>
      <w:r w:rsidRPr="00DC0143">
        <w:rPr>
          <w:rFonts w:cs="Traditional Arabic" w:hint="cs"/>
          <w:color w:val="000000"/>
          <w:sz w:val="24"/>
          <w:szCs w:val="28"/>
          <w:rtl/>
        </w:rPr>
        <w:t xml:space="preserve"> 614 من التقنين المدني السابق</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وجاء في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في خصوص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ما يأتي</w:t>
      </w:r>
      <w:r>
        <w:rPr>
          <w:rFonts w:cs="Traditional Arabic" w:hint="cs"/>
          <w:color w:val="000000"/>
          <w:sz w:val="24"/>
          <w:szCs w:val="28"/>
          <w:rtl/>
        </w:rPr>
        <w:t xml:space="preserve"> :</w:t>
      </w:r>
      <w:r w:rsidRPr="00DC0143">
        <w:rPr>
          <w:rFonts w:cs="Traditional Arabic" w:hint="cs"/>
          <w:color w:val="000000"/>
          <w:sz w:val="24"/>
          <w:szCs w:val="28"/>
          <w:rtl/>
        </w:rPr>
        <w:t xml:space="preserve"> "تطابق المادة 1143 المادة 732 من المشروع الفرنسي الإيطالي</w:t>
      </w:r>
      <w:r>
        <w:rPr>
          <w:rFonts w:cs="Traditional Arabic" w:hint="cs"/>
          <w:color w:val="000000"/>
          <w:sz w:val="24"/>
          <w:szCs w:val="28"/>
          <w:rtl/>
        </w:rPr>
        <w:t xml:space="preserve"> ،</w:t>
      </w:r>
      <w:r w:rsidRPr="00DC0143">
        <w:rPr>
          <w:rFonts w:cs="Traditional Arabic" w:hint="cs"/>
          <w:color w:val="000000"/>
          <w:sz w:val="24"/>
          <w:szCs w:val="28"/>
          <w:rtl/>
        </w:rPr>
        <w:t xml:space="preserve"> مع إضافة يسيرة وردت بآخر الفقرة الرابعة</w:t>
      </w:r>
      <w:r>
        <w:rPr>
          <w:rFonts w:cs="Traditional Arabic" w:hint="cs"/>
          <w:color w:val="000000"/>
          <w:sz w:val="24"/>
          <w:szCs w:val="28"/>
          <w:rtl/>
        </w:rPr>
        <w:t xml:space="preserve"> .</w:t>
      </w:r>
      <w:r w:rsidRPr="00DC0143">
        <w:rPr>
          <w:rFonts w:cs="Traditional Arabic" w:hint="cs"/>
          <w:color w:val="000000"/>
          <w:sz w:val="24"/>
          <w:szCs w:val="28"/>
          <w:rtl/>
        </w:rPr>
        <w:t xml:space="preserve"> ويقابلها في التقنين الحالي </w:t>
      </w:r>
      <w:r>
        <w:rPr>
          <w:rFonts w:cs="Traditional Arabic" w:hint="cs"/>
          <w:color w:val="000000"/>
          <w:sz w:val="24"/>
          <w:szCs w:val="28"/>
          <w:rtl/>
        </w:rPr>
        <w:t xml:space="preserve">( </w:t>
      </w:r>
      <w:r w:rsidRPr="00DC0143">
        <w:rPr>
          <w:rFonts w:cs="Traditional Arabic" w:hint="cs"/>
          <w:color w:val="000000"/>
          <w:sz w:val="24"/>
          <w:szCs w:val="28"/>
          <w:rtl/>
        </w:rPr>
        <w:t>السابق</w:t>
      </w:r>
      <w:r>
        <w:rPr>
          <w:rFonts w:cs="Traditional Arabic" w:hint="cs"/>
          <w:color w:val="000000"/>
          <w:sz w:val="24"/>
          <w:szCs w:val="28"/>
          <w:rtl/>
        </w:rPr>
        <w:t xml:space="preserve"> )</w:t>
      </w:r>
      <w:r w:rsidRPr="00DC0143">
        <w:rPr>
          <w:rFonts w:cs="Traditional Arabic" w:hint="cs"/>
          <w:color w:val="000000"/>
          <w:sz w:val="24"/>
          <w:szCs w:val="28"/>
          <w:rtl/>
        </w:rPr>
        <w:t xml:space="preserve"> المادة 503/613 </w:t>
      </w:r>
      <w:r w:rsidRPr="00DC0143">
        <w:rPr>
          <w:rFonts w:cs="Traditional Arabic"/>
          <w:color w:val="000000"/>
          <w:sz w:val="24"/>
          <w:szCs w:val="28"/>
          <w:rtl/>
        </w:rPr>
        <w:t>–</w:t>
      </w:r>
      <w:r w:rsidRPr="00DC0143">
        <w:rPr>
          <w:rFonts w:cs="Traditional Arabic" w:hint="cs"/>
          <w:color w:val="000000"/>
          <w:sz w:val="24"/>
          <w:szCs w:val="28"/>
          <w:rtl/>
        </w:rPr>
        <w:t xml:space="preserve"> 614</w:t>
      </w:r>
      <w:r>
        <w:rPr>
          <w:rFonts w:cs="Traditional Arabic" w:hint="cs"/>
          <w:color w:val="000000"/>
          <w:sz w:val="24"/>
          <w:szCs w:val="28"/>
          <w:rtl/>
        </w:rPr>
        <w:t xml:space="preserve"> .</w:t>
      </w:r>
      <w:r w:rsidRPr="00DC0143">
        <w:rPr>
          <w:rFonts w:cs="Traditional Arabic" w:hint="cs"/>
          <w:color w:val="000000"/>
          <w:sz w:val="24"/>
          <w:szCs w:val="28"/>
          <w:rtl/>
        </w:rPr>
        <w:t xml:space="preserve"> على أن نص المشروع أفضل من نص التقنين الحالي </w:t>
      </w:r>
      <w:r>
        <w:rPr>
          <w:rFonts w:cs="Traditional Arabic" w:hint="cs"/>
          <w:color w:val="000000"/>
          <w:sz w:val="24"/>
          <w:szCs w:val="28"/>
          <w:rtl/>
        </w:rPr>
        <w:t xml:space="preserve">( </w:t>
      </w:r>
      <w:r w:rsidRPr="00DC0143">
        <w:rPr>
          <w:rFonts w:cs="Traditional Arabic" w:hint="cs"/>
          <w:color w:val="000000"/>
          <w:sz w:val="24"/>
          <w:szCs w:val="28"/>
          <w:rtl/>
        </w:rPr>
        <w:t>السابق</w:t>
      </w:r>
      <w:r>
        <w:rPr>
          <w:rFonts w:cs="Traditional Arabic" w:hint="cs"/>
          <w:color w:val="000000"/>
          <w:sz w:val="24"/>
          <w:szCs w:val="28"/>
          <w:rtl/>
        </w:rPr>
        <w:t xml:space="preserve"> ) ،</w:t>
      </w:r>
      <w:r w:rsidRPr="00DC0143">
        <w:rPr>
          <w:rFonts w:cs="Traditional Arabic" w:hint="cs"/>
          <w:color w:val="000000"/>
          <w:sz w:val="24"/>
          <w:szCs w:val="28"/>
          <w:rtl/>
        </w:rPr>
        <w:t xml:space="preserve"> فهو لم يقصر حق الكفيل الذي لم يوف الدين بعد</w:t>
      </w:r>
      <w:r>
        <w:rPr>
          <w:rFonts w:cs="Traditional Arabic" w:hint="cs"/>
          <w:color w:val="000000"/>
          <w:sz w:val="24"/>
          <w:szCs w:val="28"/>
          <w:rtl/>
        </w:rPr>
        <w:t xml:space="preserve"> ،</w:t>
      </w:r>
      <w:r w:rsidRPr="00DC0143">
        <w:rPr>
          <w:rFonts w:cs="Traditional Arabic" w:hint="cs"/>
          <w:color w:val="000000"/>
          <w:sz w:val="24"/>
          <w:szCs w:val="28"/>
          <w:rtl/>
        </w:rPr>
        <w:t xml:space="preserve"> في الرجوع على المدين</w:t>
      </w:r>
      <w:r>
        <w:rPr>
          <w:rFonts w:cs="Traditional Arabic" w:hint="cs"/>
          <w:color w:val="000000"/>
          <w:sz w:val="24"/>
          <w:szCs w:val="28"/>
          <w:rtl/>
        </w:rPr>
        <w:t xml:space="preserve"> ،</w:t>
      </w:r>
      <w:r w:rsidRPr="00DC0143">
        <w:rPr>
          <w:rFonts w:cs="Traditional Arabic" w:hint="cs"/>
          <w:color w:val="000000"/>
          <w:sz w:val="24"/>
          <w:szCs w:val="28"/>
          <w:rtl/>
        </w:rPr>
        <w:t xml:space="preserve"> على حالتي الإفلاس وامتداد الأجل</w:t>
      </w:r>
      <w:r>
        <w:rPr>
          <w:rFonts w:cs="Traditional Arabic" w:hint="cs"/>
          <w:color w:val="000000"/>
          <w:sz w:val="24"/>
          <w:szCs w:val="28"/>
          <w:rtl/>
        </w:rPr>
        <w:t xml:space="preserve"> ،</w:t>
      </w:r>
      <w:r w:rsidRPr="00DC0143">
        <w:rPr>
          <w:rFonts w:cs="Traditional Arabic" w:hint="cs"/>
          <w:color w:val="000000"/>
          <w:sz w:val="24"/>
          <w:szCs w:val="28"/>
          <w:rtl/>
        </w:rPr>
        <w:t xml:space="preserve"> بل أعطاه هذا الحق أيضاً في حالة مطالبته بالوفاء أمام القضاء</w:t>
      </w:r>
      <w:r>
        <w:rPr>
          <w:rFonts w:cs="Traditional Arabic" w:hint="cs"/>
          <w:color w:val="000000"/>
          <w:sz w:val="24"/>
          <w:szCs w:val="28"/>
          <w:rtl/>
        </w:rPr>
        <w:t xml:space="preserve"> ،</w:t>
      </w:r>
      <w:r w:rsidRPr="00DC0143">
        <w:rPr>
          <w:rFonts w:cs="Traditional Arabic" w:hint="cs"/>
          <w:color w:val="000000"/>
          <w:sz w:val="24"/>
          <w:szCs w:val="28"/>
          <w:rtl/>
        </w:rPr>
        <w:t xml:space="preserve"> وكذلك في حالة وجود اتفاق بينه وبين المدين على إبرائه من الكفالة في وقت معين</w:t>
      </w:r>
      <w:r>
        <w:rPr>
          <w:rFonts w:cs="Traditional Arabic" w:hint="cs"/>
          <w:color w:val="000000"/>
          <w:sz w:val="24"/>
          <w:szCs w:val="28"/>
          <w:rtl/>
        </w:rPr>
        <w:t xml:space="preserve"> ،</w:t>
      </w:r>
      <w:r w:rsidRPr="00DC0143">
        <w:rPr>
          <w:rFonts w:cs="Traditional Arabic" w:hint="cs"/>
          <w:color w:val="000000"/>
          <w:sz w:val="24"/>
          <w:szCs w:val="28"/>
          <w:rtl/>
        </w:rPr>
        <w:t xml:space="preserve"> وأيضاً بعد مضي خمس سنين إذا لم يكن الالتزام الأصلي ذا أجل محدد كما هو الحال بالنسبة لحق الانتفاع والإبراء لمدى الحياة لأن الالتزام فيهما لا ينقضي قبل وفاءه المنتفع أو صاحب الإيراد</w:t>
      </w:r>
      <w:r>
        <w:rPr>
          <w:rFonts w:cs="Traditional Arabic" w:hint="cs"/>
          <w:color w:val="000000"/>
          <w:sz w:val="24"/>
          <w:szCs w:val="28"/>
          <w:rtl/>
        </w:rPr>
        <w:t xml:space="preserve"> .</w:t>
      </w:r>
      <w:r w:rsidRPr="00DC0143">
        <w:rPr>
          <w:rFonts w:cs="Traditional Arabic" w:hint="cs"/>
          <w:color w:val="000000"/>
          <w:sz w:val="24"/>
          <w:szCs w:val="28"/>
          <w:rtl/>
        </w:rPr>
        <w:t xml:space="preserve"> وسبب النص في هذه الحالة الأخيرة هو أن الكفيل يقدم خدمة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فيجب ألا يبقى ملتزماً بدون تحديد مدة معينة</w:t>
      </w:r>
      <w:r>
        <w:rPr>
          <w:rFonts w:cs="Traditional Arabic" w:hint="cs"/>
          <w:color w:val="000000"/>
          <w:sz w:val="24"/>
          <w:szCs w:val="28"/>
          <w:rtl/>
        </w:rPr>
        <w:t xml:space="preserve"> ،</w:t>
      </w:r>
      <w:r w:rsidRPr="00DC0143">
        <w:rPr>
          <w:rFonts w:cs="Traditional Arabic" w:hint="cs"/>
          <w:color w:val="000000"/>
          <w:sz w:val="24"/>
          <w:szCs w:val="28"/>
          <w:rtl/>
        </w:rPr>
        <w:t xml:space="preserve"> بل يجب عدالة تحديد ميعاد لالتزامه</w:t>
      </w:r>
      <w:r>
        <w:rPr>
          <w:rFonts w:cs="Traditional Arabic" w:hint="cs"/>
          <w:color w:val="000000"/>
          <w:sz w:val="24"/>
          <w:szCs w:val="28"/>
          <w:rtl/>
        </w:rPr>
        <w:t xml:space="preserve"> .</w:t>
      </w:r>
      <w:r w:rsidRPr="00DC0143">
        <w:rPr>
          <w:rFonts w:cs="Traditional Arabic" w:hint="cs"/>
          <w:color w:val="000000"/>
          <w:sz w:val="24"/>
          <w:szCs w:val="28"/>
          <w:rtl/>
        </w:rPr>
        <w:t xml:space="preserve"> ومن المتفق علي أن عبارة "التأمينة" الواردة بصدر المادة يقصد بها أن المدين إما أن يعمل على إبراء الكفيل من الكفالة</w:t>
      </w:r>
      <w:r>
        <w:rPr>
          <w:rFonts w:cs="Traditional Arabic" w:hint="cs"/>
          <w:color w:val="000000"/>
          <w:sz w:val="24"/>
          <w:szCs w:val="28"/>
          <w:rtl/>
        </w:rPr>
        <w:t xml:space="preserve"> ،</w:t>
      </w:r>
      <w:r w:rsidRPr="00DC0143">
        <w:rPr>
          <w:rFonts w:cs="Traditional Arabic" w:hint="cs"/>
          <w:color w:val="000000"/>
          <w:sz w:val="24"/>
          <w:szCs w:val="28"/>
          <w:rtl/>
        </w:rPr>
        <w:t xml:space="preserve"> أو أن يقدم له تأمينات كرهن أو كفالة جديدة تضمن له رجوعه عليه إذا اضطر لدفع الدين</w:t>
      </w:r>
      <w:r>
        <w:rPr>
          <w:rFonts w:cs="Traditional Arabic" w:hint="cs"/>
          <w:color w:val="000000"/>
          <w:sz w:val="24"/>
          <w:szCs w:val="28"/>
          <w:rtl/>
        </w:rPr>
        <w:t xml:space="preserve"> ،</w:t>
      </w:r>
      <w:r w:rsidRPr="00DC0143">
        <w:rPr>
          <w:rFonts w:cs="Traditional Arabic" w:hint="cs"/>
          <w:color w:val="000000"/>
          <w:sz w:val="24"/>
          <w:szCs w:val="28"/>
          <w:rtl/>
        </w:rPr>
        <w:t xml:space="preserve"> أو أن يودع في خزينة المحكمة مبلغاً كافياً لضمان الدين </w:t>
      </w:r>
      <w:r>
        <w:rPr>
          <w:rFonts w:cs="Traditional Arabic" w:hint="cs"/>
          <w:color w:val="000000"/>
          <w:sz w:val="24"/>
          <w:szCs w:val="28"/>
          <w:rtl/>
        </w:rPr>
        <w:t xml:space="preserve">( </w:t>
      </w:r>
      <w:r w:rsidRPr="00DC0143">
        <w:rPr>
          <w:rFonts w:cs="Traditional Arabic" w:hint="cs"/>
          <w:color w:val="000000"/>
          <w:sz w:val="24"/>
          <w:szCs w:val="28"/>
          <w:rtl/>
        </w:rPr>
        <w:t xml:space="preserve">انظر استئناف مختلط 23 ماس سنة </w:t>
      </w:r>
      <w:smartTag w:uri="urn:schemas-microsoft-com:office:smarttags" w:element="metricconverter">
        <w:smartTagPr>
          <w:attr w:name="ProductID" w:val="1893 م"/>
        </w:smartTagPr>
        <w:r w:rsidRPr="00DC0143">
          <w:rPr>
            <w:rFonts w:cs="Traditional Arabic" w:hint="cs"/>
            <w:color w:val="000000"/>
            <w:sz w:val="24"/>
            <w:szCs w:val="28"/>
            <w:rtl/>
          </w:rPr>
          <w:t>1893 م</w:t>
        </w:r>
      </w:smartTag>
      <w:r w:rsidRPr="00DC0143">
        <w:rPr>
          <w:rFonts w:cs="Traditional Arabic" w:hint="cs"/>
          <w:color w:val="000000"/>
          <w:sz w:val="24"/>
          <w:szCs w:val="28"/>
          <w:rtl/>
        </w:rPr>
        <w:t xml:space="preserve"> 5 ص 198 رقم 80 </w:t>
      </w:r>
      <w:r w:rsidRPr="00DC0143">
        <w:rPr>
          <w:rFonts w:cs="Traditional Arabic"/>
          <w:color w:val="000000"/>
          <w:sz w:val="24"/>
          <w:szCs w:val="28"/>
          <w:rtl/>
        </w:rPr>
        <w:t>–</w:t>
      </w:r>
      <w:r w:rsidRPr="00DC0143">
        <w:rPr>
          <w:rFonts w:cs="Traditional Arabic" w:hint="cs"/>
          <w:color w:val="000000"/>
          <w:sz w:val="24"/>
          <w:szCs w:val="28"/>
          <w:rtl/>
        </w:rPr>
        <w:t xml:space="preserve"> أسيوط 9 ماس سنة 1918 مج و 19 ص 113 رقم 80</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وقد تليت المادة 1143 في لجنة المراجعة</w:t>
      </w:r>
      <w:r>
        <w:rPr>
          <w:rFonts w:cs="Traditional Arabic" w:hint="cs"/>
          <w:color w:val="000000"/>
          <w:sz w:val="24"/>
          <w:szCs w:val="28"/>
          <w:rtl/>
        </w:rPr>
        <w:t xml:space="preserve"> ،</w:t>
      </w:r>
      <w:r w:rsidRPr="00DC0143">
        <w:rPr>
          <w:rFonts w:cs="Traditional Arabic" w:hint="cs"/>
          <w:color w:val="000000"/>
          <w:sz w:val="24"/>
          <w:szCs w:val="28"/>
          <w:rtl/>
        </w:rPr>
        <w:t xml:space="preserve"> فرأت الجنة حذفها لعدم الموافقة على حكمها</w:t>
      </w:r>
      <w:r>
        <w:rPr>
          <w:rFonts w:cs="Traditional Arabic" w:hint="cs"/>
          <w:color w:val="000000"/>
          <w:sz w:val="24"/>
          <w:szCs w:val="28"/>
          <w:rtl/>
        </w:rPr>
        <w:t xml:space="preserve"> .</w:t>
      </w:r>
      <w:r w:rsidRPr="00DC0143">
        <w:rPr>
          <w:rFonts w:cs="Traditional Arabic" w:hint="cs"/>
          <w:color w:val="000000"/>
          <w:sz w:val="24"/>
          <w:szCs w:val="28"/>
          <w:rtl/>
        </w:rPr>
        <w:t xml:space="preserve"> انظر مجموعة الأعمال التحضيرية 5 ص 482 </w:t>
      </w:r>
      <w:r w:rsidRPr="00DC0143">
        <w:rPr>
          <w:rFonts w:cs="Traditional Arabic"/>
          <w:color w:val="000000"/>
          <w:sz w:val="24"/>
          <w:szCs w:val="28"/>
          <w:rtl/>
        </w:rPr>
        <w:t>–</w:t>
      </w:r>
      <w:r w:rsidRPr="00DC0143">
        <w:rPr>
          <w:rFonts w:cs="Traditional Arabic" w:hint="cs"/>
          <w:color w:val="000000"/>
          <w:sz w:val="24"/>
          <w:szCs w:val="28"/>
          <w:rtl/>
        </w:rPr>
        <w:t xml:space="preserve"> ص 491 في الهامش</w:t>
      </w:r>
      <w:r>
        <w:rPr>
          <w:rFonts w:cs="Traditional Arabic" w:hint="cs"/>
          <w:color w:val="000000"/>
          <w:sz w:val="24"/>
          <w:szCs w:val="28"/>
          <w:rtl/>
        </w:rPr>
        <w:t xml:space="preserve"> .</w:t>
      </w:r>
    </w:p>
  </w:footnote>
  <w:footnote w:id="59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3</w:t>
      </w:r>
      <w:r>
        <w:rPr>
          <w:rFonts w:cs="Traditional Arabic" w:hint="cs"/>
          <w:color w:val="000000"/>
          <w:sz w:val="24"/>
          <w:szCs w:val="28"/>
          <w:rtl/>
        </w:rPr>
        <w:t xml:space="preserve"> .</w:t>
      </w:r>
    </w:p>
  </w:footnote>
  <w:footnote w:id="59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6</w:t>
      </w:r>
      <w:r>
        <w:rPr>
          <w:rFonts w:cs="Traditional Arabic" w:hint="cs"/>
          <w:color w:val="000000"/>
          <w:sz w:val="24"/>
          <w:szCs w:val="28"/>
          <w:rtl/>
        </w:rPr>
        <w:t xml:space="preserve"> .</w:t>
      </w:r>
    </w:p>
  </w:footnote>
  <w:footnote w:id="59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10 نوفمبر سنة 1914 داللوز 1917 </w:t>
      </w:r>
      <w:r w:rsidRPr="00DC0143">
        <w:rPr>
          <w:rFonts w:cs="Traditional Arabic"/>
          <w:color w:val="000000"/>
          <w:sz w:val="24"/>
          <w:szCs w:val="28"/>
          <w:rtl/>
        </w:rPr>
        <w:t>–</w:t>
      </w:r>
      <w:r w:rsidRPr="00DC0143">
        <w:rPr>
          <w:rFonts w:cs="Traditional Arabic" w:hint="cs"/>
          <w:color w:val="000000"/>
          <w:sz w:val="24"/>
          <w:szCs w:val="28"/>
          <w:rtl/>
        </w:rPr>
        <w:t xml:space="preserve"> 1- 65 </w:t>
      </w:r>
      <w:r w:rsidRPr="00DC0143">
        <w:rPr>
          <w:rFonts w:cs="Traditional Arabic"/>
          <w:color w:val="000000"/>
          <w:sz w:val="24"/>
          <w:szCs w:val="28"/>
          <w:rtl/>
        </w:rPr>
        <w:t>–</w:t>
      </w:r>
      <w:r w:rsidRPr="00DC0143">
        <w:rPr>
          <w:rFonts w:cs="Traditional Arabic" w:hint="cs"/>
          <w:color w:val="000000"/>
          <w:sz w:val="24"/>
          <w:szCs w:val="28"/>
          <w:rtl/>
        </w:rPr>
        <w:t xml:space="preserve"> 20 يونيه سنة 1922 داللوز 1923 </w:t>
      </w:r>
      <w:r w:rsidRPr="00DC0143">
        <w:rPr>
          <w:rFonts w:cs="Traditional Arabic"/>
          <w:color w:val="000000"/>
          <w:sz w:val="24"/>
          <w:szCs w:val="28"/>
          <w:rtl/>
        </w:rPr>
        <w:t>–</w:t>
      </w:r>
      <w:r w:rsidRPr="00DC0143">
        <w:rPr>
          <w:rFonts w:cs="Traditional Arabic" w:hint="cs"/>
          <w:color w:val="000000"/>
          <w:sz w:val="24"/>
          <w:szCs w:val="28"/>
          <w:rtl/>
        </w:rPr>
        <w:t xml:space="preserve"> 1- 186 </w:t>
      </w:r>
      <w:r w:rsidRPr="00DC0143">
        <w:rPr>
          <w:rFonts w:cs="Traditional Arabic"/>
          <w:color w:val="000000"/>
          <w:sz w:val="24"/>
          <w:szCs w:val="28"/>
          <w:rtl/>
        </w:rPr>
        <w:t>–</w:t>
      </w:r>
      <w:r w:rsidRPr="00DC0143">
        <w:rPr>
          <w:rFonts w:cs="Traditional Arabic" w:hint="cs"/>
          <w:color w:val="000000"/>
          <w:sz w:val="24"/>
          <w:szCs w:val="28"/>
          <w:rtl/>
        </w:rPr>
        <w:t xml:space="preserve"> 13 مايو سنة 1931 داللوز الأسبوعي 1931 </w:t>
      </w:r>
      <w:r w:rsidRPr="00DC0143">
        <w:rPr>
          <w:rFonts w:cs="Traditional Arabic"/>
          <w:color w:val="000000"/>
          <w:sz w:val="24"/>
          <w:szCs w:val="28"/>
          <w:rtl/>
        </w:rPr>
        <w:t>–</w:t>
      </w:r>
      <w:r w:rsidRPr="00DC0143">
        <w:rPr>
          <w:rFonts w:cs="Traditional Arabic" w:hint="cs"/>
          <w:color w:val="000000"/>
          <w:sz w:val="24"/>
          <w:szCs w:val="28"/>
          <w:rtl/>
        </w:rPr>
        <w:t xml:space="preserve"> 139 </w:t>
      </w:r>
      <w:r w:rsidRPr="00DC0143">
        <w:rPr>
          <w:rFonts w:cs="Traditional Arabic"/>
          <w:color w:val="000000"/>
          <w:sz w:val="24"/>
          <w:szCs w:val="28"/>
          <w:rtl/>
        </w:rPr>
        <w:t>–</w:t>
      </w:r>
      <w:r w:rsidRPr="00DC0143">
        <w:rPr>
          <w:rFonts w:cs="Traditional Arabic" w:hint="cs"/>
          <w:color w:val="000000"/>
          <w:sz w:val="24"/>
          <w:szCs w:val="28"/>
          <w:rtl/>
        </w:rPr>
        <w:t xml:space="preserve"> 13 يعاير سنة 1937 داللوز 1937 </w:t>
      </w:r>
      <w:r w:rsidRPr="00DC0143">
        <w:rPr>
          <w:rFonts w:cs="Traditional Arabic"/>
          <w:color w:val="000000"/>
          <w:sz w:val="24"/>
          <w:szCs w:val="28"/>
          <w:rtl/>
        </w:rPr>
        <w:t>–</w:t>
      </w:r>
      <w:r w:rsidRPr="00DC0143">
        <w:rPr>
          <w:rFonts w:cs="Traditional Arabic" w:hint="cs"/>
          <w:color w:val="000000"/>
          <w:sz w:val="24"/>
          <w:szCs w:val="28"/>
          <w:rtl/>
        </w:rPr>
        <w:t xml:space="preserve"> داللوز 1937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39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268 وهامش 2 وهامش 5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1 فقرة 300 </w:t>
      </w:r>
      <w:r w:rsidRPr="00DC0143">
        <w:rPr>
          <w:rFonts w:cs="Traditional Arabic"/>
          <w:color w:val="000000"/>
          <w:sz w:val="24"/>
          <w:szCs w:val="28"/>
          <w:rtl/>
        </w:rPr>
        <w:t>–</w:t>
      </w:r>
      <w:r w:rsidRPr="00DC0143">
        <w:rPr>
          <w:rFonts w:cs="Traditional Arabic" w:hint="cs"/>
          <w:color w:val="000000"/>
          <w:sz w:val="24"/>
          <w:szCs w:val="28"/>
          <w:rtl/>
        </w:rPr>
        <w:t xml:space="preserve"> 301 وفقرة 306 </w:t>
      </w:r>
      <w:r w:rsidRPr="00DC0143">
        <w:rPr>
          <w:rFonts w:cs="Traditional Arabic"/>
          <w:color w:val="000000"/>
          <w:sz w:val="24"/>
          <w:szCs w:val="28"/>
          <w:rtl/>
        </w:rPr>
        <w:t>–</w:t>
      </w:r>
      <w:r w:rsidRPr="00DC0143">
        <w:rPr>
          <w:rFonts w:cs="Traditional Arabic" w:hint="cs"/>
          <w:color w:val="000000"/>
          <w:sz w:val="24"/>
          <w:szCs w:val="28"/>
          <w:rtl/>
        </w:rPr>
        <w:t xml:space="preserve"> كولان وكابينتان ودي لامور انديير 2 فقرة 1485 </w:t>
      </w:r>
      <w:r w:rsidRPr="00DC0143">
        <w:rPr>
          <w:rFonts w:cs="Traditional Arabic"/>
          <w:color w:val="000000"/>
          <w:sz w:val="24"/>
          <w:szCs w:val="28"/>
          <w:rtl/>
        </w:rPr>
        <w:t>–</w:t>
      </w:r>
      <w:r w:rsidRPr="00DC0143">
        <w:rPr>
          <w:rFonts w:cs="Traditional Arabic" w:hint="cs"/>
          <w:color w:val="000000"/>
          <w:sz w:val="24"/>
          <w:szCs w:val="28"/>
          <w:rtl/>
        </w:rPr>
        <w:t xml:space="preserve"> 1486 </w:t>
      </w:r>
      <w:r w:rsidRPr="00DC0143">
        <w:rPr>
          <w:rFonts w:cs="Traditional Arabic"/>
          <w:color w:val="000000"/>
          <w:sz w:val="24"/>
          <w:szCs w:val="28"/>
          <w:rtl/>
        </w:rPr>
        <w:t>–</w:t>
      </w:r>
      <w:r w:rsidRPr="00DC0143">
        <w:rPr>
          <w:rFonts w:cs="Traditional Arabic" w:hint="cs"/>
          <w:color w:val="000000"/>
          <w:sz w:val="24"/>
          <w:szCs w:val="28"/>
          <w:rtl/>
        </w:rPr>
        <w:t xml:space="preserve"> بولانيول وريبير وبولانجيه 2 فقرة 2522 وفقرة 3301</w:t>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ص 6 - - ص 7</w:t>
      </w:r>
      <w:r>
        <w:rPr>
          <w:rFonts w:cs="Traditional Arabic" w:hint="cs"/>
          <w:color w:val="000000"/>
          <w:sz w:val="24"/>
          <w:szCs w:val="28"/>
          <w:rtl/>
        </w:rPr>
        <w:t xml:space="preserve"> .</w:t>
      </w:r>
    </w:p>
  </w:footnote>
  <w:footnote w:id="59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ص 8</w:t>
      </w:r>
      <w:r>
        <w:rPr>
          <w:rFonts w:cs="Traditional Arabic" w:hint="cs"/>
          <w:color w:val="000000"/>
          <w:sz w:val="24"/>
          <w:szCs w:val="28"/>
          <w:rtl/>
        </w:rPr>
        <w:t xml:space="preserve"> .</w:t>
      </w:r>
    </w:p>
  </w:footnote>
  <w:footnote w:id="59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ص 7 </w:t>
      </w:r>
      <w:r w:rsidRPr="00DC0143">
        <w:rPr>
          <w:rFonts w:cs="Traditional Arabic"/>
          <w:color w:val="000000"/>
          <w:sz w:val="24"/>
          <w:szCs w:val="28"/>
          <w:rtl/>
        </w:rPr>
        <w:t>–</w:t>
      </w:r>
      <w:r w:rsidRPr="00DC0143">
        <w:rPr>
          <w:rFonts w:cs="Traditional Arabic" w:hint="cs"/>
          <w:color w:val="000000"/>
          <w:sz w:val="24"/>
          <w:szCs w:val="28"/>
          <w:rtl/>
        </w:rPr>
        <w:t xml:space="preserve"> ص 8</w:t>
      </w:r>
      <w:r>
        <w:rPr>
          <w:rFonts w:cs="Traditional Arabic" w:hint="cs"/>
          <w:color w:val="000000"/>
          <w:sz w:val="24"/>
          <w:szCs w:val="28"/>
          <w:rtl/>
        </w:rPr>
        <w:t xml:space="preserve"> .</w:t>
      </w:r>
    </w:p>
  </w:footnote>
  <w:footnote w:id="59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1 فقرة 787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1643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13 فقرة 1026</w:t>
      </w:r>
      <w:r>
        <w:rPr>
          <w:rFonts w:cs="Traditional Arabic" w:hint="cs"/>
          <w:color w:val="000000"/>
          <w:sz w:val="24"/>
          <w:szCs w:val="28"/>
          <w:rtl/>
        </w:rPr>
        <w:t xml:space="preserve"> .</w:t>
      </w:r>
    </w:p>
  </w:footnote>
  <w:footnote w:id="59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ص 12 </w:t>
      </w:r>
      <w:r w:rsidRPr="00DC0143">
        <w:rPr>
          <w:rFonts w:cs="Traditional Arabic"/>
          <w:color w:val="000000"/>
          <w:sz w:val="24"/>
          <w:szCs w:val="28"/>
          <w:rtl/>
        </w:rPr>
        <w:t>–</w:t>
      </w:r>
      <w:r w:rsidRPr="00DC0143">
        <w:rPr>
          <w:rFonts w:cs="Traditional Arabic" w:hint="cs"/>
          <w:color w:val="000000"/>
          <w:sz w:val="24"/>
          <w:szCs w:val="28"/>
          <w:rtl/>
        </w:rPr>
        <w:t xml:space="preserve"> ص 14</w:t>
      </w:r>
      <w:r>
        <w:rPr>
          <w:rFonts w:cs="Traditional Arabic" w:hint="cs"/>
          <w:color w:val="000000"/>
          <w:sz w:val="24"/>
          <w:szCs w:val="28"/>
          <w:rtl/>
        </w:rPr>
        <w:t xml:space="preserve"> .</w:t>
      </w:r>
    </w:p>
  </w:footnote>
  <w:footnote w:id="60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3</w:t>
      </w:r>
      <w:r>
        <w:rPr>
          <w:rFonts w:cs="Traditional Arabic" w:hint="cs"/>
          <w:color w:val="000000"/>
          <w:sz w:val="24"/>
          <w:szCs w:val="28"/>
          <w:rtl/>
        </w:rPr>
        <w:t xml:space="preserve"> .</w:t>
      </w:r>
    </w:p>
  </w:footnote>
  <w:footnote w:id="60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فلي المادة 1437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"الرهن الرسمي عقد به يكسب الدائن المرتهن حقا عينيا على العقار الضامن لوفاء الدين</w:t>
      </w:r>
      <w:r>
        <w:rPr>
          <w:rFonts w:cs="Traditional Arabic" w:hint="cs"/>
          <w:color w:val="000000"/>
          <w:sz w:val="24"/>
          <w:szCs w:val="28"/>
          <w:rtl/>
        </w:rPr>
        <w:t xml:space="preserve"> ،</w:t>
      </w:r>
      <w:r w:rsidRPr="00DC0143">
        <w:rPr>
          <w:rFonts w:cs="Traditional Arabic" w:hint="cs"/>
          <w:color w:val="000000"/>
          <w:sz w:val="24"/>
          <w:szCs w:val="28"/>
          <w:rtl/>
        </w:rPr>
        <w:t xml:space="preserve"> ويكون للدائن بمقتضى هذا الحق أن يتقدم على الدائنين العاديين والدائنين التالين له في المرتبة في استيفاء حقه من ثمن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ولو انتقل هذا العقار إلى أي شخص آخر"</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أجرى تعديل لفظي في النص</w:t>
      </w:r>
      <w:r>
        <w:rPr>
          <w:rFonts w:cs="Traditional Arabic" w:hint="cs"/>
          <w:color w:val="000000"/>
          <w:sz w:val="24"/>
          <w:szCs w:val="28"/>
          <w:rtl/>
        </w:rPr>
        <w:t xml:space="preserve"> ،</w:t>
      </w:r>
      <w:r w:rsidRPr="00DC0143">
        <w:rPr>
          <w:rFonts w:cs="Traditional Arabic" w:hint="cs"/>
          <w:color w:val="000000"/>
          <w:sz w:val="24"/>
          <w:szCs w:val="28"/>
          <w:rtl/>
        </w:rPr>
        <w:t xml:space="preserve"> فصار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اللجنة بهذا التعديل تحت رقم 1125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1111</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1030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7 </w:t>
      </w:r>
      <w:r w:rsidRPr="00DC0143">
        <w:rPr>
          <w:rFonts w:cs="Traditional Arabic"/>
          <w:color w:val="000000"/>
          <w:sz w:val="24"/>
          <w:szCs w:val="28"/>
          <w:rtl/>
        </w:rPr>
        <w:t>–</w:t>
      </w:r>
      <w:r w:rsidRPr="00DC0143">
        <w:rPr>
          <w:rFonts w:cs="Traditional Arabic" w:hint="cs"/>
          <w:color w:val="000000"/>
          <w:sz w:val="24"/>
          <w:szCs w:val="28"/>
          <w:rtl/>
        </w:rPr>
        <w:t xml:space="preserve"> 8</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ويقابل النص في التقنين المدني السابق م 554/678</w:t>
      </w:r>
      <w:r>
        <w:rPr>
          <w:rFonts w:cs="Traditional Arabic" w:hint="cs"/>
          <w:color w:val="000000"/>
          <w:sz w:val="24"/>
          <w:szCs w:val="28"/>
          <w:rtl/>
        </w:rPr>
        <w:t xml:space="preserve"> :</w:t>
      </w:r>
      <w:r w:rsidRPr="00DC0143">
        <w:rPr>
          <w:rFonts w:cs="Traditional Arabic" w:hint="cs"/>
          <w:color w:val="000000"/>
          <w:sz w:val="24"/>
          <w:szCs w:val="28"/>
          <w:rtl/>
        </w:rPr>
        <w:t xml:space="preserve"> الدائنون المرتهنون للعقار الذين لهم بواسطة الإجراءات الرسمية حق على عقار مدينهم أو عقاراته صالح لاحتياجهم به على الغير</w:t>
      </w:r>
      <w:r>
        <w:rPr>
          <w:rFonts w:cs="Traditional Arabic" w:hint="cs"/>
          <w:color w:val="000000"/>
          <w:sz w:val="24"/>
          <w:szCs w:val="28"/>
          <w:rtl/>
        </w:rPr>
        <w:t xml:space="preserve"> ،</w:t>
      </w:r>
      <w:r w:rsidRPr="00DC0143">
        <w:rPr>
          <w:rFonts w:cs="Traditional Arabic" w:hint="cs"/>
          <w:color w:val="000000"/>
          <w:sz w:val="24"/>
          <w:szCs w:val="28"/>
          <w:rtl/>
        </w:rPr>
        <w:t xml:space="preserve"> في كونهم يستوفون ديونهم بالأولوية والتقدم على الدائنين من ثمن ذلك العقار أو العقارات ولو انتقلت لأي يد كانت</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ويقابل النص في 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1071</w:t>
      </w:r>
      <w:r>
        <w:rPr>
          <w:rFonts w:cs="Traditional Arabic" w:hint="cs"/>
          <w:color w:val="000000"/>
          <w:sz w:val="24"/>
          <w:szCs w:val="28"/>
          <w:rtl/>
        </w:rPr>
        <w:t xml:space="preserve"> :</w:t>
      </w:r>
      <w:r w:rsidRPr="00DC0143">
        <w:rPr>
          <w:rFonts w:cs="Traditional Arabic" w:hint="cs"/>
          <w:color w:val="000000"/>
          <w:sz w:val="24"/>
          <w:szCs w:val="28"/>
          <w:rtl/>
        </w:rPr>
        <w:t xml:space="preserve"> التأمين هو حق عيني على العقارات المخصصة لضمان وفاء التزام</w:t>
      </w:r>
      <w:r>
        <w:rPr>
          <w:rFonts w:cs="Traditional Arabic" w:hint="cs"/>
          <w:color w:val="000000"/>
          <w:sz w:val="24"/>
          <w:szCs w:val="28"/>
          <w:rtl/>
        </w:rPr>
        <w:t xml:space="preserve"> .</w:t>
      </w:r>
      <w:r w:rsidRPr="00DC0143">
        <w:rPr>
          <w:rFonts w:cs="Traditional Arabic" w:hint="cs"/>
          <w:color w:val="000000"/>
          <w:sz w:val="24"/>
          <w:szCs w:val="28"/>
          <w:rtl/>
        </w:rPr>
        <w:t xml:space="preserve"> وهو بطبيعته غير قابل للتجزئة</w:t>
      </w:r>
      <w:r>
        <w:rPr>
          <w:rFonts w:cs="Traditional Arabic" w:hint="cs"/>
          <w:color w:val="000000"/>
          <w:sz w:val="24"/>
          <w:szCs w:val="28"/>
          <w:rtl/>
        </w:rPr>
        <w:t xml:space="preserve"> ،</w:t>
      </w:r>
      <w:r w:rsidRPr="00DC0143">
        <w:rPr>
          <w:rFonts w:cs="Traditional Arabic" w:hint="cs"/>
          <w:color w:val="000000"/>
          <w:sz w:val="24"/>
          <w:szCs w:val="28"/>
          <w:rtl/>
        </w:rPr>
        <w:t xml:space="preserve"> ويبقى بكامله على العقارات المخصصة له وعلى كل عقار منها وعلى كل قسم من هذه العقارات</w:t>
      </w:r>
      <w:r>
        <w:rPr>
          <w:rFonts w:cs="Traditional Arabic" w:hint="cs"/>
          <w:color w:val="000000"/>
          <w:sz w:val="24"/>
          <w:szCs w:val="28"/>
          <w:rtl/>
        </w:rPr>
        <w:t xml:space="preserve"> ،</w:t>
      </w:r>
      <w:r w:rsidRPr="00DC0143">
        <w:rPr>
          <w:rFonts w:cs="Traditional Arabic" w:hint="cs"/>
          <w:color w:val="000000"/>
          <w:sz w:val="24"/>
          <w:szCs w:val="28"/>
          <w:rtl/>
        </w:rPr>
        <w:t xml:space="preserve"> ويتبعها في أية في أية يد تنتقل إليها للعقارات</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الليبي</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1285 </w:t>
      </w:r>
      <w:r>
        <w:rPr>
          <w:rFonts w:cs="Traditional Arabic" w:hint="cs"/>
          <w:color w:val="000000"/>
          <w:sz w:val="24"/>
          <w:szCs w:val="28"/>
          <w:rtl/>
        </w:rPr>
        <w:t xml:space="preserve">( </w:t>
      </w:r>
      <w:r w:rsidRPr="00DC0143">
        <w:rPr>
          <w:rFonts w:cs="Traditional Arabic" w:hint="cs"/>
          <w:color w:val="000000"/>
          <w:sz w:val="24"/>
          <w:szCs w:val="28"/>
          <w:rtl/>
        </w:rPr>
        <w:t>مطابق ويسميه الرهن التأميني</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قانون الموجبات والعقود اللبناني</w:t>
      </w:r>
      <w:r w:rsidRPr="00DC0143">
        <w:rPr>
          <w:rFonts w:cs="Traditional Arabic" w:hint="cs"/>
          <w:color w:val="000000"/>
          <w:sz w:val="24"/>
          <w:szCs w:val="28"/>
          <w:rtl/>
        </w:rPr>
        <w:t xml:space="preserve"> م 120</w:t>
      </w:r>
      <w:r>
        <w:rPr>
          <w:rFonts w:cs="Traditional Arabic" w:hint="cs"/>
          <w:color w:val="000000"/>
          <w:sz w:val="24"/>
          <w:szCs w:val="28"/>
          <w:rtl/>
        </w:rPr>
        <w:t xml:space="preserve"> :</w:t>
      </w:r>
      <w:r w:rsidRPr="00DC0143">
        <w:rPr>
          <w:rFonts w:cs="Traditional Arabic" w:hint="cs"/>
          <w:color w:val="000000"/>
          <w:sz w:val="24"/>
          <w:szCs w:val="28"/>
          <w:rtl/>
        </w:rPr>
        <w:t xml:space="preserve"> التأمين هو حق عيني على العقارات المخصصة لضمان القيام بموجب </w:t>
      </w:r>
      <w:r w:rsidRPr="00DC0143">
        <w:rPr>
          <w:rFonts w:cs="Traditional Arabic"/>
          <w:color w:val="000000"/>
          <w:sz w:val="24"/>
          <w:szCs w:val="28"/>
          <w:rtl/>
        </w:rPr>
        <w:t>–</w:t>
      </w:r>
      <w:r w:rsidRPr="00DC0143">
        <w:rPr>
          <w:rFonts w:cs="Traditional Arabic" w:hint="cs"/>
          <w:color w:val="000000"/>
          <w:sz w:val="24"/>
          <w:szCs w:val="28"/>
          <w:rtl/>
        </w:rPr>
        <w:t xml:space="preserve"> وهو بطبيعته غير قابل للتجزئة</w:t>
      </w:r>
      <w:r>
        <w:rPr>
          <w:rFonts w:cs="Traditional Arabic" w:hint="cs"/>
          <w:color w:val="000000"/>
          <w:sz w:val="24"/>
          <w:szCs w:val="28"/>
          <w:rtl/>
        </w:rPr>
        <w:t xml:space="preserve"> ،</w:t>
      </w:r>
      <w:r w:rsidRPr="00DC0143">
        <w:rPr>
          <w:rFonts w:cs="Traditional Arabic" w:hint="cs"/>
          <w:color w:val="000000"/>
          <w:sz w:val="24"/>
          <w:szCs w:val="28"/>
          <w:rtl/>
        </w:rPr>
        <w:t xml:space="preserve"> ويبقى بكامله على العقارات</w:t>
      </w:r>
      <w:r>
        <w:rPr>
          <w:rFonts w:cs="Traditional Arabic" w:hint="cs"/>
          <w:color w:val="000000"/>
          <w:sz w:val="24"/>
          <w:szCs w:val="28"/>
          <w:rtl/>
        </w:rPr>
        <w:t xml:space="preserve"> ،</w:t>
      </w:r>
      <w:r w:rsidRPr="00DC0143">
        <w:rPr>
          <w:rFonts w:cs="Traditional Arabic" w:hint="cs"/>
          <w:color w:val="000000"/>
          <w:sz w:val="24"/>
          <w:szCs w:val="28"/>
          <w:rtl/>
        </w:rPr>
        <w:t xml:space="preserve"> فيبيعها في أية يد تنتقل إليها العقارات</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 xml:space="preserve"> </w:t>
      </w:r>
    </w:p>
  </w:footnote>
  <w:footnote w:id="60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10</w:t>
      </w:r>
      <w:r>
        <w:rPr>
          <w:rFonts w:cs="Traditional Arabic" w:hint="cs"/>
          <w:color w:val="000000"/>
          <w:sz w:val="24"/>
          <w:szCs w:val="28"/>
          <w:rtl/>
        </w:rPr>
        <w:t xml:space="preserve"> .</w:t>
      </w:r>
    </w:p>
  </w:footnote>
  <w:footnote w:id="60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قارن تناغر في التأمينات العينية في 5 ص 18</w:t>
      </w:r>
      <w:r>
        <w:rPr>
          <w:rFonts w:cs="Traditional Arabic" w:hint="cs"/>
          <w:color w:val="000000"/>
          <w:sz w:val="24"/>
          <w:szCs w:val="28"/>
          <w:rtl/>
        </w:rPr>
        <w:t xml:space="preserve"> .</w:t>
      </w:r>
    </w:p>
  </w:footnote>
  <w:footnote w:id="60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سمير تناغر في التأمينات العينية فقرة 5 ص 19 </w:t>
      </w:r>
      <w:r w:rsidRPr="00DC0143">
        <w:rPr>
          <w:rFonts w:cs="Traditional Arabic"/>
          <w:color w:val="000000"/>
          <w:sz w:val="24"/>
          <w:szCs w:val="28"/>
          <w:rtl/>
        </w:rPr>
        <w:t>–</w:t>
      </w:r>
      <w:r w:rsidRPr="00DC0143">
        <w:rPr>
          <w:rFonts w:cs="Traditional Arabic" w:hint="cs"/>
          <w:color w:val="000000"/>
          <w:sz w:val="24"/>
          <w:szCs w:val="28"/>
          <w:rtl/>
        </w:rPr>
        <w:t xml:space="preserve"> ويلاحظ أن الدائن المرتهن يستوفي حقه من ثمن هذا العقار المرهون أو مما يحل محل هذا العقار من تعويض أو مبلغ تأمين أو مقابل لنزع الملكية أو غير ذلك</w:t>
      </w:r>
      <w:r>
        <w:rPr>
          <w:rFonts w:cs="Traditional Arabic" w:hint="cs"/>
          <w:color w:val="000000"/>
          <w:sz w:val="24"/>
          <w:szCs w:val="28"/>
          <w:rtl/>
        </w:rPr>
        <w:t xml:space="preserve"> .</w:t>
      </w:r>
      <w:r w:rsidRPr="00DC0143">
        <w:rPr>
          <w:rFonts w:cs="Traditional Arabic" w:hint="cs"/>
          <w:color w:val="000000"/>
          <w:sz w:val="24"/>
          <w:szCs w:val="28"/>
          <w:rtl/>
        </w:rPr>
        <w:t xml:space="preserve"> فلفظ "الثمن" هنا مستعمل بهذا المعنى الواسع</w:t>
      </w:r>
      <w:r>
        <w:rPr>
          <w:rFonts w:cs="Traditional Arabic" w:hint="cs"/>
          <w:color w:val="000000"/>
          <w:sz w:val="24"/>
          <w:szCs w:val="28"/>
          <w:rtl/>
        </w:rPr>
        <w:t xml:space="preserve"> ،</w:t>
      </w:r>
      <w:r w:rsidRPr="00DC0143">
        <w:rPr>
          <w:rFonts w:cs="Traditional Arabic" w:hint="cs"/>
          <w:color w:val="000000"/>
          <w:sz w:val="24"/>
          <w:szCs w:val="28"/>
          <w:rtl/>
        </w:rPr>
        <w:t xml:space="preserve"> بعد أن تقرن المادة 1056 مدني إلى المادة 1030 مدني التي تعرف الرهن السمي </w:t>
      </w:r>
      <w:r>
        <w:rPr>
          <w:rFonts w:cs="Traditional Arabic" w:hint="cs"/>
          <w:color w:val="000000"/>
          <w:sz w:val="24"/>
          <w:szCs w:val="28"/>
          <w:rtl/>
        </w:rPr>
        <w:t xml:space="preserve">( </w:t>
      </w:r>
      <w:r w:rsidRPr="00DC0143">
        <w:rPr>
          <w:rFonts w:cs="Traditional Arabic" w:hint="cs"/>
          <w:color w:val="000000"/>
          <w:sz w:val="24"/>
          <w:szCs w:val="28"/>
          <w:rtl/>
        </w:rPr>
        <w:t>انظر منصور مصطفى منصور فقرة 5</w:t>
      </w:r>
      <w:r>
        <w:rPr>
          <w:rFonts w:cs="Traditional Arabic" w:hint="cs"/>
          <w:color w:val="000000"/>
          <w:sz w:val="24"/>
          <w:szCs w:val="28"/>
          <w:rtl/>
        </w:rPr>
        <w:t xml:space="preserve"> ) .</w:t>
      </w:r>
    </w:p>
  </w:footnote>
  <w:footnote w:id="60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لوران 30 فقرة 173 جيوار 2 فقرة 631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893 </w:t>
      </w:r>
      <w:r w:rsidRPr="00DC0143">
        <w:rPr>
          <w:rFonts w:cs="Traditional Arabic"/>
          <w:color w:val="000000"/>
          <w:sz w:val="24"/>
          <w:szCs w:val="28"/>
          <w:rtl/>
        </w:rPr>
        <w:t>–</w:t>
      </w:r>
      <w:r w:rsidRPr="00DC0143">
        <w:rPr>
          <w:rFonts w:cs="Traditional Arabic" w:hint="cs"/>
          <w:color w:val="000000"/>
          <w:sz w:val="24"/>
          <w:szCs w:val="28"/>
          <w:rtl/>
        </w:rPr>
        <w:t xml:space="preserve"> بيدان وفوران فقرة 291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328 ص 375</w:t>
      </w:r>
      <w:r>
        <w:rPr>
          <w:rFonts w:cs="Traditional Arabic" w:hint="cs"/>
          <w:color w:val="000000"/>
          <w:sz w:val="24"/>
          <w:szCs w:val="28"/>
          <w:rtl/>
        </w:rPr>
        <w:t xml:space="preserve"> .</w:t>
      </w:r>
    </w:p>
  </w:footnote>
  <w:footnote w:id="60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يحكم بصحة الرهن</w:t>
      </w:r>
      <w:r>
        <w:rPr>
          <w:rFonts w:cs="Traditional Arabic" w:hint="cs"/>
          <w:color w:val="000000"/>
          <w:sz w:val="24"/>
          <w:szCs w:val="28"/>
          <w:rtl/>
        </w:rPr>
        <w:t xml:space="preserve"> ،</w:t>
      </w:r>
      <w:r w:rsidRPr="00DC0143">
        <w:rPr>
          <w:rFonts w:cs="Traditional Arabic" w:hint="cs"/>
          <w:color w:val="000000"/>
          <w:sz w:val="24"/>
          <w:szCs w:val="28"/>
          <w:rtl/>
        </w:rPr>
        <w:t xml:space="preserve"> فيستتبع ذلك ضمنا صحة الدين المضمون بالرهن</w:t>
      </w:r>
      <w:r>
        <w:rPr>
          <w:rFonts w:cs="Traditional Arabic" w:hint="cs"/>
          <w:color w:val="000000"/>
          <w:sz w:val="24"/>
          <w:szCs w:val="28"/>
          <w:rtl/>
        </w:rPr>
        <w:t xml:space="preserve"> ،</w:t>
      </w:r>
      <w:r w:rsidRPr="00DC0143">
        <w:rPr>
          <w:rFonts w:cs="Traditional Arabic" w:hint="cs"/>
          <w:color w:val="000000"/>
          <w:sz w:val="24"/>
          <w:szCs w:val="28"/>
          <w:rtl/>
        </w:rPr>
        <w:t xml:space="preserve"> وقد قضت محكمة النقض بأنه إذا طلب الدائن الحكم ببطلان الرهن الصادر من مدينة إلى دائن آخر</w:t>
      </w:r>
      <w:r>
        <w:rPr>
          <w:rFonts w:cs="Traditional Arabic" w:hint="cs"/>
          <w:color w:val="000000"/>
          <w:sz w:val="24"/>
          <w:szCs w:val="28"/>
          <w:rtl/>
        </w:rPr>
        <w:t xml:space="preserve"> ،</w:t>
      </w:r>
      <w:r w:rsidRPr="00DC0143">
        <w:rPr>
          <w:rFonts w:cs="Traditional Arabic" w:hint="cs"/>
          <w:color w:val="000000"/>
          <w:sz w:val="24"/>
          <w:szCs w:val="28"/>
          <w:rtl/>
        </w:rPr>
        <w:t xml:space="preserve"> وكان الطلب مقصوداً به القضاء ضمنا ببطلان القرض أيضاً</w:t>
      </w:r>
      <w:r>
        <w:rPr>
          <w:rFonts w:cs="Traditional Arabic" w:hint="cs"/>
          <w:color w:val="000000"/>
          <w:sz w:val="24"/>
          <w:szCs w:val="28"/>
          <w:rtl/>
        </w:rPr>
        <w:t xml:space="preserve"> ،</w:t>
      </w:r>
      <w:r w:rsidRPr="00DC0143">
        <w:rPr>
          <w:rFonts w:cs="Traditional Arabic" w:hint="cs"/>
          <w:color w:val="000000"/>
          <w:sz w:val="24"/>
          <w:szCs w:val="28"/>
          <w:rtl/>
        </w:rPr>
        <w:t xml:space="preserve"> وقضى برفض الدعوى لانعدام الدليل</w:t>
      </w:r>
      <w:r>
        <w:rPr>
          <w:rFonts w:cs="Traditional Arabic" w:hint="cs"/>
          <w:color w:val="000000"/>
          <w:sz w:val="24"/>
          <w:szCs w:val="28"/>
          <w:rtl/>
        </w:rPr>
        <w:t xml:space="preserve"> ،</w:t>
      </w:r>
      <w:r w:rsidRPr="00DC0143">
        <w:rPr>
          <w:rFonts w:cs="Traditional Arabic" w:hint="cs"/>
          <w:color w:val="000000"/>
          <w:sz w:val="24"/>
          <w:szCs w:val="28"/>
          <w:rtl/>
        </w:rPr>
        <w:t xml:space="preserve"> كان هذا قضاء ضمنيا بصحة القرض المضمون بالرهن </w:t>
      </w:r>
      <w:r>
        <w:rPr>
          <w:rFonts w:cs="Traditional Arabic" w:hint="cs"/>
          <w:color w:val="000000"/>
          <w:sz w:val="24"/>
          <w:szCs w:val="28"/>
          <w:rtl/>
        </w:rPr>
        <w:t xml:space="preserve">( </w:t>
      </w:r>
      <w:r w:rsidRPr="00DC0143">
        <w:rPr>
          <w:rFonts w:cs="Traditional Arabic" w:hint="cs"/>
          <w:color w:val="000000"/>
          <w:sz w:val="24"/>
          <w:szCs w:val="28"/>
          <w:rtl/>
        </w:rPr>
        <w:t>نقض مدني 18 يناير سن 1944 مجموعة أحكام النقض في 25 عاماً ص 67</w:t>
      </w:r>
      <w:r>
        <w:rPr>
          <w:rFonts w:cs="Traditional Arabic" w:hint="cs"/>
          <w:color w:val="000000"/>
          <w:sz w:val="24"/>
          <w:szCs w:val="28"/>
          <w:rtl/>
        </w:rPr>
        <w:t xml:space="preserve"> ) .</w:t>
      </w:r>
    </w:p>
  </w:footnote>
  <w:footnote w:id="60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فقرة 329 ص 377</w:t>
      </w:r>
      <w:r>
        <w:rPr>
          <w:rFonts w:cs="Traditional Arabic" w:hint="cs"/>
          <w:color w:val="000000"/>
          <w:sz w:val="24"/>
          <w:szCs w:val="28"/>
          <w:rtl/>
        </w:rPr>
        <w:t xml:space="preserve"> .</w:t>
      </w:r>
    </w:p>
  </w:footnote>
  <w:footnote w:id="60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لوران 30 فقرة 173 </w:t>
      </w:r>
      <w:r w:rsidRPr="00DC0143">
        <w:rPr>
          <w:rFonts w:cs="Traditional Arabic"/>
          <w:color w:val="000000"/>
          <w:sz w:val="24"/>
          <w:szCs w:val="28"/>
          <w:rtl/>
        </w:rPr>
        <w:t>–</w:t>
      </w:r>
      <w:r w:rsidRPr="00DC0143">
        <w:rPr>
          <w:rFonts w:cs="Traditional Arabic" w:hint="cs"/>
          <w:color w:val="000000"/>
          <w:sz w:val="24"/>
          <w:szCs w:val="28"/>
          <w:rtl/>
        </w:rPr>
        <w:t xml:space="preserve"> جيوار 2 فقرة 633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902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660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303 بلانيول وريبير وبيكيه 12 فقرة 330 ص 377</w:t>
      </w:r>
      <w:r>
        <w:rPr>
          <w:rFonts w:cs="Traditional Arabic" w:hint="cs"/>
          <w:color w:val="000000"/>
          <w:sz w:val="24"/>
          <w:szCs w:val="28"/>
          <w:rtl/>
        </w:rPr>
        <w:t xml:space="preserve"> .</w:t>
      </w:r>
    </w:p>
  </w:footnote>
  <w:footnote w:id="60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4 ديسمبر سنة 1930 سيريه 1931 </w:t>
      </w:r>
      <w:r w:rsidRPr="00DC0143">
        <w:rPr>
          <w:rFonts w:cs="Traditional Arabic"/>
          <w:color w:val="000000"/>
          <w:sz w:val="24"/>
          <w:szCs w:val="28"/>
          <w:rtl/>
        </w:rPr>
        <w:t>–</w:t>
      </w:r>
      <w:r w:rsidRPr="00DC0143">
        <w:rPr>
          <w:rFonts w:cs="Traditional Arabic" w:hint="cs"/>
          <w:color w:val="000000"/>
          <w:sz w:val="24"/>
          <w:szCs w:val="28"/>
          <w:rtl/>
        </w:rPr>
        <w:t xml:space="preserve"> 1- 107</w:t>
      </w:r>
      <w:r>
        <w:rPr>
          <w:rFonts w:cs="Traditional Arabic" w:hint="cs"/>
          <w:color w:val="000000"/>
          <w:sz w:val="24"/>
          <w:szCs w:val="28"/>
          <w:rtl/>
        </w:rPr>
        <w:t xml:space="preserve"> .</w:t>
      </w:r>
    </w:p>
  </w:footnote>
  <w:footnote w:id="61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903</w:t>
      </w:r>
      <w:r>
        <w:rPr>
          <w:rFonts w:cs="Traditional Arabic" w:hint="cs"/>
          <w:color w:val="000000"/>
          <w:sz w:val="24"/>
          <w:szCs w:val="28"/>
          <w:rtl/>
        </w:rPr>
        <w:t xml:space="preserve"> .</w:t>
      </w:r>
    </w:p>
  </w:footnote>
  <w:footnote w:id="61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لون 3 فقرة 1933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283 ص 666</w:t>
      </w:r>
      <w:r>
        <w:rPr>
          <w:rFonts w:cs="Traditional Arabic" w:hint="cs"/>
          <w:color w:val="000000"/>
          <w:sz w:val="24"/>
          <w:szCs w:val="28"/>
          <w:rtl/>
        </w:rPr>
        <w:t xml:space="preserve"> .</w:t>
      </w:r>
    </w:p>
  </w:footnote>
  <w:footnote w:id="61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330 ص 378</w:t>
      </w:r>
      <w:r>
        <w:rPr>
          <w:rFonts w:cs="Traditional Arabic" w:hint="cs"/>
          <w:color w:val="000000"/>
          <w:sz w:val="24"/>
          <w:szCs w:val="28"/>
          <w:rtl/>
        </w:rPr>
        <w:t xml:space="preserve"> .</w:t>
      </w:r>
    </w:p>
  </w:footnote>
  <w:footnote w:id="61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2 فقرة 1030 </w:t>
      </w:r>
      <w:r w:rsidRPr="00DC0143">
        <w:rPr>
          <w:rFonts w:cs="Traditional Arabic"/>
          <w:color w:val="000000"/>
          <w:sz w:val="24"/>
          <w:szCs w:val="28"/>
          <w:rtl/>
        </w:rPr>
        <w:t>–</w:t>
      </w:r>
      <w:r w:rsidRPr="00DC0143">
        <w:rPr>
          <w:rFonts w:cs="Traditional Arabic" w:hint="cs"/>
          <w:color w:val="000000"/>
          <w:sz w:val="24"/>
          <w:szCs w:val="28"/>
          <w:rtl/>
        </w:rPr>
        <w:t xml:space="preserve"> أوبري ورو 6 فقرة 266 ص 391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1280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ولكن لا يجوز أن يضمن الرهن الرسمي التزاماً طبيعياً</w:t>
      </w:r>
      <w:r>
        <w:rPr>
          <w:rFonts w:cs="Traditional Arabic" w:hint="cs"/>
          <w:color w:val="000000"/>
          <w:sz w:val="24"/>
          <w:szCs w:val="28"/>
          <w:rtl/>
        </w:rPr>
        <w:t xml:space="preserve"> ،</w:t>
      </w:r>
      <w:r w:rsidRPr="00DC0143">
        <w:rPr>
          <w:rFonts w:cs="Traditional Arabic" w:hint="cs"/>
          <w:color w:val="000000"/>
          <w:sz w:val="24"/>
          <w:szCs w:val="28"/>
          <w:rtl/>
        </w:rPr>
        <w:t xml:space="preserve"> لأن الالتزام الطبيعي لا يجبر المدين على أدائه في حين أن الرهن الرسمي يجبر مالك العقار المرهون على الوفاء به </w:t>
      </w:r>
      <w:r>
        <w:rPr>
          <w:rFonts w:cs="Traditional Arabic" w:hint="cs"/>
          <w:color w:val="000000"/>
          <w:sz w:val="24"/>
          <w:szCs w:val="28"/>
          <w:rtl/>
        </w:rPr>
        <w:t xml:space="preserve">( </w:t>
      </w:r>
      <w:r w:rsidRPr="00DC0143">
        <w:rPr>
          <w:rFonts w:cs="Traditional Arabic" w:hint="cs"/>
          <w:color w:val="000000"/>
          <w:sz w:val="24"/>
          <w:szCs w:val="28"/>
          <w:rtl/>
        </w:rPr>
        <w:t xml:space="preserve">انظر في هذا المعنى بلانيول وريبير وبيكيه 12 فقرة 331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وجواز أن يضمن الرهن السمي التزاماً طبيعياً بودري ودي لوان 2 فقرة 1280 </w:t>
      </w:r>
      <w:r w:rsidRPr="00DC0143">
        <w:rPr>
          <w:rFonts w:cs="Traditional Arabic"/>
          <w:color w:val="000000"/>
          <w:sz w:val="24"/>
          <w:szCs w:val="28"/>
          <w:rtl/>
        </w:rPr>
        <w:t>–</w:t>
      </w:r>
      <w:r w:rsidRPr="00DC0143">
        <w:rPr>
          <w:rFonts w:cs="Traditional Arabic" w:hint="cs"/>
          <w:color w:val="000000"/>
          <w:sz w:val="24"/>
          <w:szCs w:val="28"/>
          <w:rtl/>
        </w:rPr>
        <w:t xml:space="preserve"> بودري وبارد 2 فقرة 1677 </w:t>
      </w:r>
      <w:r w:rsidRPr="00DC0143">
        <w:rPr>
          <w:rFonts w:cs="Traditional Arabic"/>
          <w:color w:val="000000"/>
          <w:sz w:val="24"/>
          <w:szCs w:val="28"/>
          <w:rtl/>
        </w:rPr>
        <w:t>–</w:t>
      </w:r>
      <w:r w:rsidRPr="00DC0143">
        <w:rPr>
          <w:rFonts w:cs="Traditional Arabic" w:hint="cs"/>
          <w:color w:val="000000"/>
          <w:sz w:val="24"/>
          <w:szCs w:val="28"/>
          <w:rtl/>
        </w:rPr>
        <w:t xml:space="preserve"> لوران 17 فقرة 28</w:t>
      </w:r>
      <w:r>
        <w:rPr>
          <w:rFonts w:cs="Traditional Arabic" w:hint="cs"/>
          <w:color w:val="000000"/>
          <w:sz w:val="24"/>
          <w:szCs w:val="28"/>
          <w:rtl/>
        </w:rPr>
        <w:t xml:space="preserve"> ) .</w:t>
      </w:r>
      <w:r w:rsidRPr="00DC0143">
        <w:rPr>
          <w:rFonts w:cs="Traditional Arabic" w:hint="cs"/>
          <w:color w:val="000000"/>
          <w:sz w:val="24"/>
          <w:szCs w:val="28"/>
          <w:rtl/>
        </w:rPr>
        <w:t xml:space="preserve"> ولكن يجوز أن يضمن الرهن الرسمي التزاما عقده قاصر</w:t>
      </w:r>
      <w:r>
        <w:rPr>
          <w:rFonts w:cs="Traditional Arabic" w:hint="cs"/>
          <w:color w:val="000000"/>
          <w:sz w:val="24"/>
          <w:szCs w:val="28"/>
          <w:rtl/>
        </w:rPr>
        <w:t xml:space="preserve"> ،</w:t>
      </w:r>
      <w:r w:rsidRPr="00DC0143">
        <w:rPr>
          <w:rFonts w:cs="Traditional Arabic" w:hint="cs"/>
          <w:color w:val="000000"/>
          <w:sz w:val="24"/>
          <w:szCs w:val="28"/>
          <w:rtl/>
        </w:rPr>
        <w:t xml:space="preserve"> لأن مثل هذا الالتزام تجوز كفالته</w:t>
      </w:r>
      <w:r>
        <w:rPr>
          <w:rFonts w:cs="Traditional Arabic" w:hint="cs"/>
          <w:color w:val="000000"/>
          <w:sz w:val="24"/>
          <w:szCs w:val="28"/>
          <w:rtl/>
        </w:rPr>
        <w:t xml:space="preserve"> ،</w:t>
      </w:r>
      <w:r w:rsidRPr="00DC0143">
        <w:rPr>
          <w:rFonts w:cs="Traditional Arabic" w:hint="cs"/>
          <w:color w:val="000000"/>
          <w:sz w:val="24"/>
          <w:szCs w:val="28"/>
          <w:rtl/>
        </w:rPr>
        <w:t xml:space="preserve"> ويصبح من قرر الرهن على عقار ضمانا لهذا الالتزام كفيلا عينيا </w:t>
      </w:r>
      <w:r>
        <w:rPr>
          <w:rFonts w:cs="Traditional Arabic" w:hint="cs"/>
          <w:color w:val="000000"/>
          <w:sz w:val="24"/>
          <w:szCs w:val="28"/>
          <w:rtl/>
        </w:rPr>
        <w:t xml:space="preserve">( </w:t>
      </w:r>
      <w:r w:rsidRPr="00DC0143">
        <w:rPr>
          <w:rFonts w:cs="Traditional Arabic" w:hint="cs"/>
          <w:color w:val="000000"/>
          <w:sz w:val="24"/>
          <w:szCs w:val="28"/>
          <w:rtl/>
        </w:rPr>
        <w:t>بلانيول وريبير وبيكيه 12 فقرة 331</w:t>
      </w:r>
      <w:r>
        <w:rPr>
          <w:rFonts w:cs="Traditional Arabic" w:hint="cs"/>
          <w:color w:val="000000"/>
          <w:sz w:val="24"/>
          <w:szCs w:val="28"/>
          <w:rtl/>
        </w:rPr>
        <w:t xml:space="preserve"> ) .</w:t>
      </w:r>
    </w:p>
  </w:footnote>
  <w:footnote w:id="61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20 ديسمبر سن 1911 داللوز 1912 </w:t>
      </w:r>
      <w:r w:rsidRPr="00DC0143">
        <w:rPr>
          <w:rFonts w:cs="Traditional Arabic"/>
          <w:color w:val="000000"/>
          <w:sz w:val="24"/>
          <w:szCs w:val="28"/>
          <w:rtl/>
        </w:rPr>
        <w:t>–</w:t>
      </w:r>
      <w:r w:rsidRPr="00DC0143">
        <w:rPr>
          <w:rFonts w:cs="Traditional Arabic" w:hint="cs"/>
          <w:color w:val="000000"/>
          <w:sz w:val="24"/>
          <w:szCs w:val="28"/>
          <w:rtl/>
        </w:rPr>
        <w:t xml:space="preserve"> 1- 486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334 ص 381</w:t>
      </w:r>
      <w:r>
        <w:rPr>
          <w:rFonts w:cs="Traditional Arabic" w:hint="cs"/>
          <w:color w:val="000000"/>
          <w:sz w:val="24"/>
          <w:szCs w:val="28"/>
          <w:rtl/>
        </w:rPr>
        <w:t xml:space="preserve"> .</w:t>
      </w:r>
    </w:p>
  </w:footnote>
  <w:footnote w:id="61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أول أبريل سنة 1935 سيريه 1937 </w:t>
      </w:r>
      <w:r w:rsidRPr="00DC0143">
        <w:rPr>
          <w:rFonts w:cs="Traditional Arabic"/>
          <w:color w:val="000000"/>
          <w:sz w:val="24"/>
          <w:szCs w:val="28"/>
          <w:rtl/>
        </w:rPr>
        <w:t>–</w:t>
      </w:r>
      <w:r w:rsidRPr="00DC0143">
        <w:rPr>
          <w:rFonts w:cs="Traditional Arabic" w:hint="cs"/>
          <w:color w:val="000000"/>
          <w:sz w:val="24"/>
          <w:szCs w:val="28"/>
          <w:rtl/>
        </w:rPr>
        <w:t xml:space="preserve"> 1- 213 </w:t>
      </w:r>
      <w:r w:rsidRPr="00DC0143">
        <w:rPr>
          <w:rFonts w:cs="Traditional Arabic"/>
          <w:color w:val="000000"/>
          <w:sz w:val="24"/>
          <w:szCs w:val="28"/>
          <w:rtl/>
        </w:rPr>
        <w:t>–</w:t>
      </w:r>
      <w:r w:rsidRPr="00DC0143">
        <w:rPr>
          <w:rFonts w:cs="Traditional Arabic" w:hint="cs"/>
          <w:color w:val="000000"/>
          <w:sz w:val="24"/>
          <w:szCs w:val="28"/>
          <w:rtl/>
        </w:rPr>
        <w:t xml:space="preserve"> جيوار 2 فقرة 1032 </w:t>
      </w:r>
      <w:r w:rsidRPr="00DC0143">
        <w:rPr>
          <w:rFonts w:cs="Traditional Arabic"/>
          <w:color w:val="000000"/>
          <w:sz w:val="24"/>
          <w:szCs w:val="28"/>
          <w:rtl/>
        </w:rPr>
        <w:t>–</w:t>
      </w:r>
      <w:r w:rsidRPr="00DC0143">
        <w:rPr>
          <w:rFonts w:cs="Traditional Arabic" w:hint="cs"/>
          <w:color w:val="000000"/>
          <w:sz w:val="24"/>
          <w:szCs w:val="28"/>
          <w:rtl/>
        </w:rPr>
        <w:t xml:space="preserve"> 1033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1286 </w:t>
      </w:r>
      <w:r w:rsidRPr="00DC0143">
        <w:rPr>
          <w:rFonts w:cs="Traditional Arabic"/>
          <w:color w:val="000000"/>
          <w:sz w:val="24"/>
          <w:szCs w:val="28"/>
          <w:rtl/>
        </w:rPr>
        <w:t>–</w:t>
      </w:r>
      <w:r w:rsidRPr="00DC0143">
        <w:rPr>
          <w:rFonts w:cs="Traditional Arabic" w:hint="cs"/>
          <w:color w:val="000000"/>
          <w:sz w:val="24"/>
          <w:szCs w:val="28"/>
          <w:rtl/>
        </w:rPr>
        <w:t xml:space="preserve"> بولانيول وريبير وبولانجيه 2 فقرة 3700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1660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1637 وفقرة 1832 </w:t>
      </w:r>
      <w:r w:rsidRPr="00DC0143">
        <w:rPr>
          <w:rFonts w:cs="Traditional Arabic"/>
          <w:color w:val="000000"/>
          <w:sz w:val="24"/>
          <w:szCs w:val="28"/>
          <w:rtl/>
        </w:rPr>
        <w:t>–</w:t>
      </w:r>
      <w:r w:rsidRPr="00DC0143">
        <w:rPr>
          <w:rFonts w:cs="Traditional Arabic" w:hint="cs"/>
          <w:color w:val="000000"/>
          <w:sz w:val="24"/>
          <w:szCs w:val="28"/>
          <w:rtl/>
        </w:rPr>
        <w:t xml:space="preserve"> بيدان وفوران فقرة 303 </w:t>
      </w:r>
      <w:r w:rsidRPr="00DC0143">
        <w:rPr>
          <w:rFonts w:cs="Traditional Arabic"/>
          <w:color w:val="000000"/>
          <w:sz w:val="24"/>
          <w:szCs w:val="28"/>
          <w:rtl/>
        </w:rPr>
        <w:t>–</w:t>
      </w:r>
      <w:r w:rsidRPr="00DC0143">
        <w:rPr>
          <w:rFonts w:cs="Traditional Arabic" w:hint="cs"/>
          <w:color w:val="000000"/>
          <w:sz w:val="24"/>
          <w:szCs w:val="28"/>
          <w:rtl/>
        </w:rPr>
        <w:t xml:space="preserve"> ولكن الرهن المنشأ ضمانا لحق مستقبل لا ينتج أثراً إلا عند وجود هذا الحق</w:t>
      </w:r>
      <w:r>
        <w:rPr>
          <w:rFonts w:cs="Traditional Arabic" w:hint="cs"/>
          <w:color w:val="000000"/>
          <w:sz w:val="24"/>
          <w:szCs w:val="28"/>
          <w:rtl/>
        </w:rPr>
        <w:t xml:space="preserve"> ،</w:t>
      </w:r>
      <w:r w:rsidRPr="00DC0143">
        <w:rPr>
          <w:rFonts w:cs="Traditional Arabic" w:hint="cs"/>
          <w:color w:val="000000"/>
          <w:sz w:val="24"/>
          <w:szCs w:val="28"/>
          <w:rtl/>
        </w:rPr>
        <w:t xml:space="preserve"> فهو إذن يتبع هذا الحق في وجوده </w:t>
      </w:r>
      <w:r>
        <w:rPr>
          <w:rFonts w:cs="Traditional Arabic" w:hint="cs"/>
          <w:color w:val="000000"/>
          <w:sz w:val="24"/>
          <w:szCs w:val="28"/>
          <w:rtl/>
        </w:rPr>
        <w:t xml:space="preserve">( </w:t>
      </w:r>
      <w:r w:rsidRPr="00DC0143">
        <w:rPr>
          <w:rFonts w:cs="Traditional Arabic" w:hint="cs"/>
          <w:color w:val="000000"/>
          <w:sz w:val="24"/>
          <w:szCs w:val="28"/>
          <w:rtl/>
        </w:rPr>
        <w:t>بلانيول وريبير وبيكيه 12 فقرة 336 ص 383</w:t>
      </w:r>
      <w:r>
        <w:rPr>
          <w:rFonts w:cs="Traditional Arabic" w:hint="cs"/>
          <w:color w:val="000000"/>
          <w:sz w:val="24"/>
          <w:szCs w:val="28"/>
          <w:rtl/>
        </w:rPr>
        <w:t xml:space="preserve"> ) .</w:t>
      </w:r>
    </w:p>
  </w:footnote>
  <w:footnote w:id="61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240 ص 386</w:t>
      </w:r>
      <w:r>
        <w:rPr>
          <w:rFonts w:cs="Traditional Arabic" w:hint="cs"/>
          <w:color w:val="000000"/>
          <w:sz w:val="24"/>
          <w:szCs w:val="28"/>
          <w:rtl/>
        </w:rPr>
        <w:t xml:space="preserve"> .</w:t>
      </w:r>
    </w:p>
  </w:footnote>
  <w:footnote w:id="61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ويجوز مع ذلك النزول عن عدم تجزئة الرهن</w:t>
      </w:r>
      <w:r>
        <w:rPr>
          <w:rFonts w:cs="Traditional Arabic" w:hint="cs"/>
          <w:color w:val="000000"/>
          <w:sz w:val="24"/>
          <w:szCs w:val="28"/>
          <w:rtl/>
        </w:rPr>
        <w:t xml:space="preserve"> ،</w:t>
      </w:r>
      <w:r w:rsidRPr="00DC0143">
        <w:rPr>
          <w:rFonts w:cs="Traditional Arabic" w:hint="cs"/>
          <w:color w:val="000000"/>
          <w:sz w:val="24"/>
          <w:szCs w:val="28"/>
          <w:rtl/>
        </w:rPr>
        <w:t xml:space="preserve"> فيصبح الرهن متجزئا على عدد ورثة الدائن أو على عدد ورثة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والذي ينزل عن عدم تجزئة الرهن هو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صراحة أو ضمنا</w:t>
      </w:r>
      <w:r>
        <w:rPr>
          <w:rFonts w:cs="Traditional Arabic" w:hint="cs"/>
          <w:color w:val="000000"/>
          <w:sz w:val="24"/>
          <w:szCs w:val="28"/>
          <w:rtl/>
        </w:rPr>
        <w:t xml:space="preserve"> ،</w:t>
      </w:r>
      <w:r w:rsidRPr="00DC0143">
        <w:rPr>
          <w:rFonts w:cs="Traditional Arabic" w:hint="cs"/>
          <w:color w:val="000000"/>
          <w:sz w:val="24"/>
          <w:szCs w:val="28"/>
          <w:rtl/>
        </w:rPr>
        <w:t xml:space="preserve"> فينقسم الرهن على ورثته أو على ورثة المدين </w:t>
      </w:r>
      <w:r>
        <w:rPr>
          <w:rFonts w:cs="Traditional Arabic" w:hint="cs"/>
          <w:color w:val="000000"/>
          <w:sz w:val="24"/>
          <w:szCs w:val="28"/>
          <w:rtl/>
        </w:rPr>
        <w:t xml:space="preserve">( </w:t>
      </w:r>
      <w:r w:rsidRPr="00DC0143">
        <w:rPr>
          <w:rFonts w:cs="Traditional Arabic" w:hint="cs"/>
          <w:color w:val="000000"/>
          <w:sz w:val="24"/>
          <w:szCs w:val="28"/>
          <w:rtl/>
        </w:rPr>
        <w:t>بلانيول وريبير وبيكيه فقرة 442</w:t>
      </w:r>
      <w:r>
        <w:rPr>
          <w:rFonts w:cs="Traditional Arabic" w:hint="cs"/>
          <w:color w:val="000000"/>
          <w:sz w:val="24"/>
          <w:szCs w:val="28"/>
          <w:rtl/>
        </w:rPr>
        <w:t xml:space="preserve"> ) .</w:t>
      </w:r>
    </w:p>
  </w:footnote>
  <w:footnote w:id="61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جاء في المذكرة الإيضاحية للمشروع التمهيدين في خصوص أحكام الرهن الرسم واستحداث ما حقق كثيراً من الإصلاح</w:t>
      </w:r>
      <w:r>
        <w:rPr>
          <w:rFonts w:cs="Traditional Arabic" w:hint="cs"/>
          <w:color w:val="000000"/>
          <w:sz w:val="24"/>
          <w:szCs w:val="28"/>
          <w:rtl/>
        </w:rPr>
        <w:t xml:space="preserve"> ،</w:t>
      </w:r>
      <w:r w:rsidRPr="00DC0143">
        <w:rPr>
          <w:rFonts w:cs="Traditional Arabic" w:hint="cs"/>
          <w:color w:val="000000"/>
          <w:sz w:val="24"/>
          <w:szCs w:val="28"/>
          <w:rtl/>
        </w:rPr>
        <w:t xml:space="preserve"> ما يأتي</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 xml:space="preserve">"رتب المشروع أحكام الرهن الرسمي ترتيبا لا نجده في التقنين الحالي </w:t>
      </w:r>
      <w:r>
        <w:rPr>
          <w:rFonts w:cs="Traditional Arabic" w:hint="cs"/>
          <w:color w:val="000000"/>
          <w:sz w:val="24"/>
          <w:szCs w:val="28"/>
          <w:rtl/>
        </w:rPr>
        <w:t xml:space="preserve">( </w:t>
      </w:r>
      <w:r w:rsidRPr="00DC0143">
        <w:rPr>
          <w:rFonts w:cs="Traditional Arabic" w:hint="cs"/>
          <w:color w:val="000000"/>
          <w:sz w:val="24"/>
          <w:szCs w:val="28"/>
          <w:rtl/>
        </w:rPr>
        <w:t>السابق</w:t>
      </w:r>
      <w:r>
        <w:rPr>
          <w:rFonts w:cs="Traditional Arabic" w:hint="cs"/>
          <w:color w:val="000000"/>
          <w:sz w:val="24"/>
          <w:szCs w:val="28"/>
          <w:rtl/>
        </w:rPr>
        <w:t xml:space="preserve"> ) ،</w:t>
      </w:r>
      <w:r w:rsidRPr="00DC0143">
        <w:rPr>
          <w:rFonts w:cs="Traditional Arabic" w:hint="cs"/>
          <w:color w:val="000000"/>
          <w:sz w:val="24"/>
          <w:szCs w:val="28"/>
          <w:rtl/>
        </w:rPr>
        <w:t xml:space="preserve"> واستحدث من النصوص ما حقق كثيراً م الإصلاح وعالج كثيراً من العيوب</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أ</w:t>
      </w:r>
      <w:r>
        <w:rPr>
          <w:rFonts w:cs="Traditional Arabic" w:hint="cs"/>
          <w:color w:val="000000"/>
          <w:sz w:val="24"/>
          <w:szCs w:val="28"/>
          <w:rtl/>
        </w:rPr>
        <w:t xml:space="preserve"> )</w:t>
      </w:r>
      <w:r w:rsidRPr="00DC0143">
        <w:rPr>
          <w:rFonts w:cs="Traditional Arabic" w:hint="cs"/>
          <w:color w:val="000000"/>
          <w:sz w:val="24"/>
          <w:szCs w:val="28"/>
          <w:rtl/>
        </w:rPr>
        <w:t xml:space="preserve"> أما الترتيب الذي أبعه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فمنطقه واضح</w:t>
      </w:r>
      <w:r>
        <w:rPr>
          <w:rFonts w:cs="Traditional Arabic" w:hint="cs"/>
          <w:color w:val="000000"/>
          <w:sz w:val="24"/>
          <w:szCs w:val="28"/>
          <w:rtl/>
        </w:rPr>
        <w:t xml:space="preserve"> .</w:t>
      </w:r>
      <w:r w:rsidRPr="00DC0143">
        <w:rPr>
          <w:rFonts w:cs="Traditional Arabic" w:hint="cs"/>
          <w:color w:val="000000"/>
          <w:sz w:val="24"/>
          <w:szCs w:val="28"/>
          <w:rtl/>
        </w:rPr>
        <w:t xml:space="preserve"> فقد بسط أحكام الرهن في فصول ثلاثة</w:t>
      </w:r>
      <w:r>
        <w:rPr>
          <w:rFonts w:cs="Traditional Arabic" w:hint="cs"/>
          <w:color w:val="000000"/>
          <w:sz w:val="24"/>
          <w:szCs w:val="28"/>
          <w:rtl/>
        </w:rPr>
        <w:t xml:space="preserve"> :</w:t>
      </w:r>
      <w:r w:rsidRPr="00DC0143">
        <w:rPr>
          <w:rFonts w:cs="Traditional Arabic" w:hint="cs"/>
          <w:color w:val="000000"/>
          <w:sz w:val="24"/>
          <w:szCs w:val="28"/>
          <w:rtl/>
        </w:rPr>
        <w:t xml:space="preserve"> تناول الفصل الأول منها إنشاء الرهن</w:t>
      </w:r>
      <w:r>
        <w:rPr>
          <w:rFonts w:cs="Traditional Arabic" w:hint="cs"/>
          <w:color w:val="000000"/>
          <w:sz w:val="24"/>
          <w:szCs w:val="28"/>
          <w:rtl/>
        </w:rPr>
        <w:t xml:space="preserve"> ،</w:t>
      </w:r>
      <w:r w:rsidRPr="00DC0143">
        <w:rPr>
          <w:rFonts w:cs="Traditional Arabic" w:hint="cs"/>
          <w:color w:val="000000"/>
          <w:sz w:val="24"/>
          <w:szCs w:val="28"/>
          <w:rtl/>
        </w:rPr>
        <w:t xml:space="preserve"> فعرف العقد وقرر رسميته</w:t>
      </w:r>
      <w:r>
        <w:rPr>
          <w:rFonts w:cs="Traditional Arabic" w:hint="cs"/>
          <w:color w:val="000000"/>
          <w:sz w:val="24"/>
          <w:szCs w:val="28"/>
          <w:rtl/>
        </w:rPr>
        <w:t xml:space="preserve"> ،</w:t>
      </w:r>
      <w:r w:rsidRPr="00DC0143">
        <w:rPr>
          <w:rFonts w:cs="Traditional Arabic" w:hint="cs"/>
          <w:color w:val="000000"/>
          <w:sz w:val="24"/>
          <w:szCs w:val="28"/>
          <w:rtl/>
        </w:rPr>
        <w:t xml:space="preserve"> وذكر من عناصره الراهن والعقار المرهون والدين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وتناول الفصل الثاني آثار الرهن</w:t>
      </w:r>
      <w:r>
        <w:rPr>
          <w:rFonts w:cs="Traditional Arabic" w:hint="cs"/>
          <w:color w:val="000000"/>
          <w:sz w:val="24"/>
          <w:szCs w:val="28"/>
          <w:rtl/>
        </w:rPr>
        <w:t xml:space="preserve"> ،</w:t>
      </w:r>
      <w:r w:rsidRPr="00DC0143">
        <w:rPr>
          <w:rFonts w:cs="Traditional Arabic" w:hint="cs"/>
          <w:color w:val="000000"/>
          <w:sz w:val="24"/>
          <w:szCs w:val="28"/>
          <w:rtl/>
        </w:rPr>
        <w:t xml:space="preserve"> فقرر أثر الرهن فيما بين العاقدين</w:t>
      </w:r>
      <w:r>
        <w:rPr>
          <w:rFonts w:cs="Traditional Arabic" w:hint="cs"/>
          <w:color w:val="000000"/>
          <w:sz w:val="24"/>
          <w:szCs w:val="28"/>
          <w:rtl/>
        </w:rPr>
        <w:t xml:space="preserve"> ،</w:t>
      </w:r>
      <w:r w:rsidRPr="00DC0143">
        <w:rPr>
          <w:rFonts w:cs="Traditional Arabic" w:hint="cs"/>
          <w:color w:val="000000"/>
          <w:sz w:val="24"/>
          <w:szCs w:val="28"/>
          <w:rtl/>
        </w:rPr>
        <w:t xml:space="preserve"> ثم أثره بالنسبة للغير</w:t>
      </w:r>
      <w:r>
        <w:rPr>
          <w:rFonts w:cs="Traditional Arabic" w:hint="cs"/>
          <w:color w:val="000000"/>
          <w:sz w:val="24"/>
          <w:szCs w:val="28"/>
          <w:rtl/>
        </w:rPr>
        <w:t xml:space="preserve"> .</w:t>
      </w:r>
      <w:r w:rsidRPr="00DC0143">
        <w:rPr>
          <w:rFonts w:cs="Traditional Arabic" w:hint="cs"/>
          <w:color w:val="000000"/>
          <w:sz w:val="24"/>
          <w:szCs w:val="28"/>
          <w:rtl/>
        </w:rPr>
        <w:t xml:space="preserve"> ويستخلص من مجموع هذه الأحكام أن عقد الرهن يترتب حقا عينيا على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ويترتب هذا الحق دون حاجة إلى القيد فيما بين المتعاقدين</w:t>
      </w:r>
      <w:r>
        <w:rPr>
          <w:rFonts w:cs="Traditional Arabic" w:hint="cs"/>
          <w:color w:val="000000"/>
          <w:sz w:val="24"/>
          <w:szCs w:val="28"/>
          <w:rtl/>
        </w:rPr>
        <w:t xml:space="preserve"> ،</w:t>
      </w:r>
      <w:r w:rsidRPr="00DC0143">
        <w:rPr>
          <w:rFonts w:cs="Traditional Arabic" w:hint="cs"/>
          <w:color w:val="000000"/>
          <w:sz w:val="24"/>
          <w:szCs w:val="28"/>
          <w:rtl/>
        </w:rPr>
        <w:t xml:space="preserve"> ولا ينفذ في حق الغير إلا بالقيد</w:t>
      </w:r>
      <w:r>
        <w:rPr>
          <w:rFonts w:cs="Traditional Arabic" w:hint="cs"/>
          <w:color w:val="000000"/>
          <w:sz w:val="24"/>
          <w:szCs w:val="28"/>
          <w:rtl/>
        </w:rPr>
        <w:t xml:space="preserve"> .</w:t>
      </w:r>
      <w:r w:rsidRPr="00DC0143">
        <w:rPr>
          <w:rFonts w:cs="Traditional Arabic" w:hint="cs"/>
          <w:color w:val="000000"/>
          <w:sz w:val="24"/>
          <w:szCs w:val="28"/>
          <w:rtl/>
        </w:rPr>
        <w:t xml:space="preserve"> ويمكن تعريف حق الرهن بأنه سلطة يرتبها القانون للدائن المرتهن على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يستطيع بها أن يستوفي حقه من ثمن هذا العقار</w:t>
      </w:r>
      <w:r>
        <w:rPr>
          <w:rFonts w:cs="Traditional Arabic" w:hint="cs"/>
          <w:color w:val="000000"/>
          <w:sz w:val="24"/>
          <w:szCs w:val="28"/>
          <w:rtl/>
        </w:rPr>
        <w:t xml:space="preserve"> .</w:t>
      </w:r>
      <w:r w:rsidRPr="00DC0143">
        <w:rPr>
          <w:rFonts w:cs="Traditional Arabic" w:hint="cs"/>
          <w:color w:val="000000"/>
          <w:sz w:val="24"/>
          <w:szCs w:val="28"/>
          <w:rtl/>
        </w:rPr>
        <w:t xml:space="preserve"> فإذا استعمل هذه السلطة في مواجهة الراهن لم يكن هذا استعمالا لضمانه العام بل استعمالا لحق الرهن</w:t>
      </w:r>
      <w:r>
        <w:rPr>
          <w:rFonts w:cs="Traditional Arabic" w:hint="cs"/>
          <w:color w:val="000000"/>
          <w:sz w:val="24"/>
          <w:szCs w:val="28"/>
          <w:rtl/>
        </w:rPr>
        <w:t xml:space="preserve"> ،</w:t>
      </w:r>
      <w:r w:rsidRPr="00DC0143">
        <w:rPr>
          <w:rFonts w:cs="Traditional Arabic" w:hint="cs"/>
          <w:color w:val="000000"/>
          <w:sz w:val="24"/>
          <w:szCs w:val="28"/>
          <w:rtl/>
        </w:rPr>
        <w:t xml:space="preserve"> أو في مواجهة الغير كان هذا أيضاً استعمالا لحق الرهن</w:t>
      </w:r>
      <w:r>
        <w:rPr>
          <w:rFonts w:cs="Traditional Arabic" w:hint="cs"/>
          <w:color w:val="000000"/>
          <w:sz w:val="24"/>
          <w:szCs w:val="28"/>
          <w:rtl/>
        </w:rPr>
        <w:t xml:space="preserve"> ،</w:t>
      </w:r>
      <w:r w:rsidRPr="00DC0143">
        <w:rPr>
          <w:rFonts w:cs="Traditional Arabic" w:hint="cs"/>
          <w:color w:val="000000"/>
          <w:sz w:val="24"/>
          <w:szCs w:val="28"/>
          <w:rtl/>
        </w:rPr>
        <w:t xml:space="preserve"> إلا أن هذا الاستعمال يتخذ صورة خاصة يسمونها تقدما إذا كان الغير دائنا آخر</w:t>
      </w:r>
      <w:r>
        <w:rPr>
          <w:rFonts w:cs="Traditional Arabic" w:hint="cs"/>
          <w:color w:val="000000"/>
          <w:sz w:val="24"/>
          <w:szCs w:val="28"/>
          <w:rtl/>
        </w:rPr>
        <w:t xml:space="preserve"> ،</w:t>
      </w:r>
      <w:r w:rsidRPr="00DC0143">
        <w:rPr>
          <w:rFonts w:cs="Traditional Arabic" w:hint="cs"/>
          <w:color w:val="000000"/>
          <w:sz w:val="24"/>
          <w:szCs w:val="28"/>
          <w:rtl/>
        </w:rPr>
        <w:t xml:space="preserve"> وتتبعا إذاً كان الغير شخصاً انتقلت إليه ملكية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وتناول الفصل الثالث الأسباب التي ينقضي بها الرهن الرسمي بصفة تبعية مع 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أو بصفة أصلية مستقلا عن انقضاء هذا الدين</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ب</w:t>
      </w:r>
      <w:r>
        <w:rPr>
          <w:rFonts w:cs="Traditional Arabic" w:hint="cs"/>
          <w:color w:val="000000"/>
          <w:sz w:val="24"/>
          <w:szCs w:val="28"/>
          <w:rtl/>
        </w:rPr>
        <w:t xml:space="preserve"> )</w:t>
      </w:r>
      <w:r w:rsidRPr="00DC0143">
        <w:rPr>
          <w:rFonts w:cs="Traditional Arabic" w:hint="cs"/>
          <w:color w:val="000000"/>
          <w:sz w:val="24"/>
          <w:szCs w:val="28"/>
          <w:rtl/>
        </w:rPr>
        <w:t xml:space="preserve"> أما النصوص التي استحثها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فيمكن إجمال أنهمها فيما يأتي</w:t>
      </w:r>
      <w:r>
        <w:rPr>
          <w:rFonts w:cs="Traditional Arabic" w:hint="cs"/>
          <w:color w:val="000000"/>
          <w:sz w:val="24"/>
          <w:szCs w:val="28"/>
          <w:rtl/>
        </w:rPr>
        <w:t xml:space="preserve"> :</w:t>
      </w:r>
      <w:r w:rsidRPr="00DC0143">
        <w:rPr>
          <w:rFonts w:cs="Traditional Arabic" w:hint="cs"/>
          <w:color w:val="000000"/>
          <w:sz w:val="24"/>
          <w:szCs w:val="28"/>
          <w:rtl/>
        </w:rPr>
        <w:t xml:space="preserve"> أولا </w:t>
      </w:r>
      <w:r w:rsidRPr="00DC0143">
        <w:rPr>
          <w:rFonts w:cs="Traditional Arabic"/>
          <w:color w:val="000000"/>
          <w:sz w:val="24"/>
          <w:szCs w:val="28"/>
          <w:rtl/>
        </w:rPr>
        <w:t>–</w:t>
      </w:r>
      <w:r w:rsidRPr="00DC0143">
        <w:rPr>
          <w:rFonts w:cs="Traditional Arabic" w:hint="cs"/>
          <w:color w:val="000000"/>
          <w:sz w:val="24"/>
          <w:szCs w:val="28"/>
          <w:rtl/>
        </w:rPr>
        <w:t xml:space="preserve"> من حيث إنشاء الرهن</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ميز المشروع في الرهن الذي يصدر من غير المالك بين رهن مالك الغير ورهن الأموال المستقبلة</w:t>
      </w:r>
      <w:r>
        <w:rPr>
          <w:rFonts w:cs="Traditional Arabic" w:hint="cs"/>
          <w:color w:val="000000"/>
          <w:sz w:val="24"/>
          <w:szCs w:val="28"/>
          <w:rtl/>
        </w:rPr>
        <w:t xml:space="preserve"> ،</w:t>
      </w:r>
      <w:r w:rsidRPr="00DC0143">
        <w:rPr>
          <w:rFonts w:cs="Traditional Arabic" w:hint="cs"/>
          <w:color w:val="000000"/>
          <w:sz w:val="24"/>
          <w:szCs w:val="28"/>
          <w:rtl/>
        </w:rPr>
        <w:t xml:space="preserve"> فجعل رهن مالك الغير باطلا بطلانا نسبياً كبيع ملك الغير ورهن الأموال المستقبلة</w:t>
      </w:r>
      <w:r>
        <w:rPr>
          <w:rFonts w:cs="Traditional Arabic" w:hint="cs"/>
          <w:color w:val="000000"/>
          <w:sz w:val="24"/>
          <w:szCs w:val="28"/>
          <w:rtl/>
        </w:rPr>
        <w:t xml:space="preserve"> ،</w:t>
      </w:r>
      <w:r w:rsidRPr="00DC0143">
        <w:rPr>
          <w:rFonts w:cs="Traditional Arabic" w:hint="cs"/>
          <w:color w:val="000000"/>
          <w:sz w:val="24"/>
          <w:szCs w:val="28"/>
          <w:rtl/>
        </w:rPr>
        <w:t xml:space="preserve"> فجعل رهن ملك الغير باطلا بطلانا نسبياً كبيع ملك الغير حتى يتسق التشريع في عقدين من عقود التصرف </w:t>
      </w:r>
      <w:r w:rsidRPr="00DC0143">
        <w:rPr>
          <w:rFonts w:cs="Traditional Arabic"/>
          <w:color w:val="000000"/>
          <w:sz w:val="24"/>
          <w:szCs w:val="28"/>
          <w:rtl/>
        </w:rPr>
        <w:t>–</w:t>
      </w:r>
      <w:r w:rsidRPr="00DC0143">
        <w:rPr>
          <w:rFonts w:cs="Traditional Arabic" w:hint="cs"/>
          <w:color w:val="000000"/>
          <w:sz w:val="24"/>
          <w:szCs w:val="28"/>
          <w:rtl/>
        </w:rPr>
        <w:t xml:space="preserve"> البيع والرهن </w:t>
      </w:r>
      <w:r w:rsidRPr="00DC0143">
        <w:rPr>
          <w:rFonts w:cs="Traditional Arabic"/>
          <w:color w:val="000000"/>
          <w:sz w:val="24"/>
          <w:szCs w:val="28"/>
          <w:rtl/>
        </w:rPr>
        <w:t>–</w:t>
      </w:r>
      <w:r w:rsidRPr="00DC0143">
        <w:rPr>
          <w:rFonts w:cs="Traditional Arabic" w:hint="cs"/>
          <w:color w:val="000000"/>
          <w:sz w:val="24"/>
          <w:szCs w:val="28"/>
          <w:rtl/>
        </w:rPr>
        <w:t xml:space="preserve"> لا مبرر للتفرقة بينهما في هذه المسألة</w:t>
      </w:r>
      <w:r>
        <w:rPr>
          <w:rFonts w:cs="Traditional Arabic" w:hint="cs"/>
          <w:color w:val="000000"/>
          <w:sz w:val="24"/>
          <w:szCs w:val="28"/>
          <w:rtl/>
        </w:rPr>
        <w:t xml:space="preserve"> ،</w:t>
      </w:r>
      <w:r w:rsidRPr="00DC0143">
        <w:rPr>
          <w:rFonts w:cs="Traditional Arabic" w:hint="cs"/>
          <w:color w:val="000000"/>
          <w:sz w:val="24"/>
          <w:szCs w:val="28"/>
          <w:rtl/>
        </w:rPr>
        <w:t xml:space="preserve"> أما رهن الأموال المستقبلة وهي الأموال التي تؤول إلى الراهن في المستقبل دون أن تتحدد في عقار بالذات فباطل بطلانا مطلقا</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2</w:t>
      </w:r>
      <w:r>
        <w:rPr>
          <w:rFonts w:cs="Traditional Arabic" w:hint="cs"/>
          <w:color w:val="000000"/>
          <w:sz w:val="24"/>
          <w:szCs w:val="28"/>
          <w:rtl/>
        </w:rPr>
        <w:t xml:space="preserve"> )</w:t>
      </w:r>
      <w:r w:rsidRPr="00DC0143">
        <w:rPr>
          <w:rFonts w:cs="Traditional Arabic" w:hint="cs"/>
          <w:color w:val="000000"/>
          <w:sz w:val="24"/>
          <w:szCs w:val="28"/>
          <w:rtl/>
        </w:rPr>
        <w:t xml:space="preserve"> ذكر المشروع حكم رهن الأموال الشائعة بتفصيل يتفق مع أهمية هذا الحكم من الناحية العلمية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3</w:t>
      </w:r>
      <w:r>
        <w:rPr>
          <w:rFonts w:cs="Traditional Arabic" w:hint="cs"/>
          <w:color w:val="000000"/>
          <w:sz w:val="24"/>
          <w:szCs w:val="28"/>
          <w:rtl/>
        </w:rPr>
        <w:t xml:space="preserve"> )</w:t>
      </w:r>
      <w:r w:rsidRPr="00DC0143">
        <w:rPr>
          <w:rFonts w:cs="Traditional Arabic" w:hint="cs"/>
          <w:color w:val="000000"/>
          <w:sz w:val="24"/>
          <w:szCs w:val="28"/>
          <w:rtl/>
        </w:rPr>
        <w:t xml:space="preserve"> بين المشروع حكم رهن المباني القائمة على ارض الغير</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4</w:t>
      </w:r>
      <w:r>
        <w:rPr>
          <w:rFonts w:cs="Traditional Arabic" w:hint="cs"/>
          <w:color w:val="000000"/>
          <w:sz w:val="24"/>
          <w:szCs w:val="28"/>
          <w:rtl/>
        </w:rPr>
        <w:t xml:space="preserve"> )</w:t>
      </w:r>
      <w:r w:rsidRPr="00DC0143">
        <w:rPr>
          <w:rFonts w:cs="Traditional Arabic" w:hint="cs"/>
          <w:color w:val="000000"/>
          <w:sz w:val="24"/>
          <w:szCs w:val="28"/>
          <w:rtl/>
        </w:rPr>
        <w:t xml:space="preserve"> وضع المشروع مبدأ عدم تجزئة الرهن في ألفاظ واضحة</w:t>
      </w:r>
      <w:r>
        <w:rPr>
          <w:rFonts w:cs="Traditional Arabic" w:hint="cs"/>
          <w:color w:val="000000"/>
          <w:sz w:val="24"/>
          <w:szCs w:val="28"/>
          <w:rtl/>
        </w:rPr>
        <w:t xml:space="preserve"> ،</w:t>
      </w:r>
      <w:r w:rsidRPr="00DC0143">
        <w:rPr>
          <w:rFonts w:cs="Traditional Arabic" w:hint="cs"/>
          <w:color w:val="000000"/>
          <w:sz w:val="24"/>
          <w:szCs w:val="28"/>
          <w:rtl/>
        </w:rPr>
        <w:t xml:space="preserve"> وبين الشقين اللذين يتضمنهما هذا المبدأ</w:t>
      </w:r>
      <w:r>
        <w:rPr>
          <w:rFonts w:cs="Traditional Arabic" w:hint="cs"/>
          <w:color w:val="000000"/>
          <w:sz w:val="24"/>
          <w:szCs w:val="28"/>
          <w:rtl/>
        </w:rPr>
        <w:t xml:space="preserve"> ،</w:t>
      </w:r>
      <w:r w:rsidRPr="00DC0143">
        <w:rPr>
          <w:rFonts w:cs="Traditional Arabic" w:hint="cs"/>
          <w:color w:val="000000"/>
          <w:sz w:val="24"/>
          <w:szCs w:val="28"/>
          <w:rtl/>
        </w:rPr>
        <w:t xml:space="preserve"> فكل جزء من العقار ضامن لكل الدين</w:t>
      </w:r>
      <w:r>
        <w:rPr>
          <w:rFonts w:cs="Traditional Arabic" w:hint="cs"/>
          <w:color w:val="000000"/>
          <w:sz w:val="24"/>
          <w:szCs w:val="28"/>
          <w:rtl/>
        </w:rPr>
        <w:t xml:space="preserve"> ،</w:t>
      </w:r>
      <w:r w:rsidRPr="00DC0143">
        <w:rPr>
          <w:rFonts w:cs="Traditional Arabic" w:hint="cs"/>
          <w:color w:val="000000"/>
          <w:sz w:val="24"/>
          <w:szCs w:val="28"/>
          <w:rtl/>
        </w:rPr>
        <w:t xml:space="preserve"> وكل جزء من الدين مضمون بكل العقار</w:t>
      </w:r>
      <w:r>
        <w:rPr>
          <w:rFonts w:cs="Traditional Arabic" w:hint="cs"/>
          <w:color w:val="000000"/>
          <w:sz w:val="24"/>
          <w:szCs w:val="28"/>
          <w:rtl/>
        </w:rPr>
        <w:t xml:space="preserve"> .</w:t>
      </w:r>
      <w:r w:rsidRPr="00DC0143">
        <w:rPr>
          <w:rFonts w:cs="Traditional Arabic" w:hint="cs"/>
          <w:color w:val="000000"/>
          <w:sz w:val="24"/>
          <w:szCs w:val="28"/>
          <w:rtl/>
        </w:rPr>
        <w:t xml:space="preserve"> ثانياً </w:t>
      </w:r>
      <w:r w:rsidRPr="00DC0143">
        <w:rPr>
          <w:rFonts w:cs="Traditional Arabic"/>
          <w:color w:val="000000"/>
          <w:sz w:val="24"/>
          <w:szCs w:val="28"/>
          <w:rtl/>
        </w:rPr>
        <w:t>–</w:t>
      </w:r>
      <w:r w:rsidRPr="00DC0143">
        <w:rPr>
          <w:rFonts w:cs="Traditional Arabic" w:hint="cs"/>
          <w:color w:val="000000"/>
          <w:sz w:val="24"/>
          <w:szCs w:val="28"/>
          <w:rtl/>
        </w:rPr>
        <w:t xml:space="preserve"> من حيث آثار الرهن</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بين المشروع القيود التي ترد على حقوق الراهن في الإيجار وفي قبض الأجرة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2</w:t>
      </w:r>
      <w:r>
        <w:rPr>
          <w:rFonts w:cs="Traditional Arabic" w:hint="cs"/>
          <w:color w:val="000000"/>
          <w:sz w:val="24"/>
          <w:szCs w:val="28"/>
          <w:rtl/>
        </w:rPr>
        <w:t xml:space="preserve"> )</w:t>
      </w:r>
      <w:r w:rsidRPr="00DC0143">
        <w:rPr>
          <w:rFonts w:cs="Traditional Arabic" w:hint="cs"/>
          <w:color w:val="000000"/>
          <w:sz w:val="24"/>
          <w:szCs w:val="28"/>
          <w:rtl/>
        </w:rPr>
        <w:t xml:space="preserve"> عرض المشروع لشروط التملك عند عدم الوفاء وشرط البيع دون إجراءات</w:t>
      </w:r>
      <w:r>
        <w:rPr>
          <w:rFonts w:cs="Traditional Arabic" w:hint="cs"/>
          <w:color w:val="000000"/>
          <w:sz w:val="24"/>
          <w:szCs w:val="28"/>
          <w:rtl/>
        </w:rPr>
        <w:t xml:space="preserve"> ،</w:t>
      </w:r>
      <w:r w:rsidRPr="00DC0143">
        <w:rPr>
          <w:rFonts w:cs="Traditional Arabic" w:hint="cs"/>
          <w:color w:val="000000"/>
          <w:sz w:val="24"/>
          <w:szCs w:val="28"/>
          <w:rtl/>
        </w:rPr>
        <w:t xml:space="preserve"> وجعل حكمهما البطلان</w:t>
      </w:r>
      <w:r>
        <w:rPr>
          <w:rFonts w:cs="Traditional Arabic" w:hint="cs"/>
          <w:color w:val="000000"/>
          <w:sz w:val="24"/>
          <w:szCs w:val="28"/>
          <w:rtl/>
        </w:rPr>
        <w:t xml:space="preserve"> ،</w:t>
      </w:r>
      <w:r w:rsidRPr="00DC0143">
        <w:rPr>
          <w:rFonts w:cs="Traditional Arabic" w:hint="cs"/>
          <w:color w:val="000000"/>
          <w:sz w:val="24"/>
          <w:szCs w:val="28"/>
          <w:rtl/>
        </w:rPr>
        <w:t xml:space="preserve"> والتقنين الحالي </w:t>
      </w:r>
      <w:r>
        <w:rPr>
          <w:rFonts w:cs="Traditional Arabic" w:hint="cs"/>
          <w:color w:val="000000"/>
          <w:sz w:val="24"/>
          <w:szCs w:val="28"/>
          <w:rtl/>
        </w:rPr>
        <w:t xml:space="preserve">( </w:t>
      </w:r>
      <w:r w:rsidRPr="00DC0143">
        <w:rPr>
          <w:rFonts w:cs="Traditional Arabic" w:hint="cs"/>
          <w:color w:val="000000"/>
          <w:sz w:val="24"/>
          <w:szCs w:val="28"/>
          <w:rtl/>
        </w:rPr>
        <w:t>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يذكر هذا الحكم إلا في رهن الحيازة ويقصره على شرط التملك عند عدم الوفاء</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3</w:t>
      </w:r>
      <w:r>
        <w:rPr>
          <w:rFonts w:cs="Traditional Arabic" w:hint="cs"/>
          <w:color w:val="000000"/>
          <w:sz w:val="24"/>
          <w:szCs w:val="28"/>
          <w:rtl/>
        </w:rPr>
        <w:t xml:space="preserve"> )</w:t>
      </w:r>
      <w:r w:rsidRPr="00DC0143">
        <w:rPr>
          <w:rFonts w:cs="Traditional Arabic" w:hint="cs"/>
          <w:color w:val="000000"/>
          <w:sz w:val="24"/>
          <w:szCs w:val="28"/>
          <w:rtl/>
        </w:rPr>
        <w:t xml:space="preserve"> خص المشروع الكفيل العيني ببعض الأحكام</w:t>
      </w:r>
      <w:r>
        <w:rPr>
          <w:rFonts w:cs="Traditional Arabic" w:hint="cs"/>
          <w:color w:val="000000"/>
          <w:sz w:val="24"/>
          <w:szCs w:val="28"/>
          <w:rtl/>
        </w:rPr>
        <w:t xml:space="preserve"> ،</w:t>
      </w:r>
      <w:r w:rsidRPr="00DC0143">
        <w:rPr>
          <w:rFonts w:cs="Traditional Arabic" w:hint="cs"/>
          <w:color w:val="000000"/>
          <w:sz w:val="24"/>
          <w:szCs w:val="28"/>
          <w:rtl/>
        </w:rPr>
        <w:t xml:space="preserve"> من ذلك تمسك هذا الكفيل بأوجه الدفع الخاصة به وبأوجه الدفع المتعلقة بالدين</w:t>
      </w:r>
      <w:r>
        <w:rPr>
          <w:rFonts w:cs="Traditional Arabic" w:hint="cs"/>
          <w:color w:val="000000"/>
          <w:sz w:val="24"/>
          <w:szCs w:val="28"/>
          <w:rtl/>
        </w:rPr>
        <w:t xml:space="preserve"> ،</w:t>
      </w:r>
      <w:r w:rsidRPr="00DC0143">
        <w:rPr>
          <w:rFonts w:cs="Traditional Arabic" w:hint="cs"/>
          <w:color w:val="000000"/>
          <w:sz w:val="24"/>
          <w:szCs w:val="28"/>
          <w:rtl/>
        </w:rPr>
        <w:t xml:space="preserve"> وعدم جواز التنفيذ على ماله إلا ما رهن من هذا المال دون أن يكون له حق الدفع بالتجريد</w:t>
      </w:r>
      <w:r>
        <w:rPr>
          <w:rFonts w:cs="Traditional Arabic" w:hint="cs"/>
          <w:color w:val="000000"/>
          <w:sz w:val="24"/>
          <w:szCs w:val="28"/>
          <w:rtl/>
        </w:rPr>
        <w:t xml:space="preserve"> ،</w:t>
      </w:r>
      <w:r w:rsidRPr="00DC0143">
        <w:rPr>
          <w:rFonts w:cs="Traditional Arabic" w:hint="cs"/>
          <w:color w:val="000000"/>
          <w:sz w:val="24"/>
          <w:szCs w:val="28"/>
          <w:rtl/>
        </w:rPr>
        <w:t xml:space="preserve"> وجواز تخليه عن العقار المرهون ليتفادى توجيه أي إجراء ضده</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4</w:t>
      </w:r>
      <w:r>
        <w:rPr>
          <w:rFonts w:cs="Traditional Arabic" w:hint="cs"/>
          <w:color w:val="000000"/>
          <w:sz w:val="24"/>
          <w:szCs w:val="28"/>
          <w:rtl/>
        </w:rPr>
        <w:t xml:space="preserve"> )</w:t>
      </w:r>
      <w:r w:rsidRPr="00DC0143">
        <w:rPr>
          <w:rFonts w:cs="Traditional Arabic" w:hint="cs"/>
          <w:color w:val="000000"/>
          <w:sz w:val="24"/>
          <w:szCs w:val="28"/>
          <w:rtl/>
        </w:rPr>
        <w:t xml:space="preserve"> وضع قواعد تمنع الدائن المرتهن من التلاعب برتبة رهنه والاحتيال في ذلك سعيا وراء محاباة بعض الدائنين على حساب الآخرين</w:t>
      </w:r>
      <w:r>
        <w:rPr>
          <w:rFonts w:cs="Traditional Arabic" w:hint="cs"/>
          <w:color w:val="000000"/>
          <w:sz w:val="24"/>
          <w:szCs w:val="28"/>
          <w:rtl/>
        </w:rPr>
        <w:t xml:space="preserve"> ،</w:t>
      </w:r>
      <w:r w:rsidRPr="00DC0143">
        <w:rPr>
          <w:rFonts w:cs="Traditional Arabic" w:hint="cs"/>
          <w:color w:val="000000"/>
          <w:sz w:val="24"/>
          <w:szCs w:val="28"/>
          <w:rtl/>
        </w:rPr>
        <w:t xml:space="preserve"> كما أجاز للدائن المرتهن أن يتنازل عن مرتبة رهنه في حدود الدين المضمون بهذا الرهن لمصلحة دائن آخر له رهن مقيد على نفس العقار</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5</w:t>
      </w:r>
      <w:r>
        <w:rPr>
          <w:rFonts w:cs="Traditional Arabic" w:hint="cs"/>
          <w:color w:val="000000"/>
          <w:sz w:val="24"/>
          <w:szCs w:val="28"/>
          <w:rtl/>
        </w:rPr>
        <w:t xml:space="preserve"> )</w:t>
      </w:r>
      <w:r w:rsidRPr="00DC0143">
        <w:rPr>
          <w:rFonts w:cs="Traditional Arabic" w:hint="cs"/>
          <w:color w:val="000000"/>
          <w:sz w:val="24"/>
          <w:szCs w:val="28"/>
          <w:rtl/>
        </w:rPr>
        <w:t xml:space="preserve"> أدخل المشروع في إجراءات التطهير تعديلا جوهرياً من شأنه أن يسقط عن الدائن</w:t>
      </w:r>
      <w:r>
        <w:rPr>
          <w:rFonts w:cs="Traditional Arabic" w:hint="cs"/>
          <w:color w:val="000000"/>
          <w:sz w:val="24"/>
          <w:szCs w:val="28"/>
          <w:rtl/>
        </w:rPr>
        <w:t xml:space="preserve"> ،</w:t>
      </w:r>
      <w:r w:rsidRPr="00DC0143">
        <w:rPr>
          <w:rFonts w:cs="Traditional Arabic" w:hint="cs"/>
          <w:color w:val="000000"/>
          <w:sz w:val="24"/>
          <w:szCs w:val="28"/>
          <w:rtl/>
        </w:rPr>
        <w:t xml:space="preserve"> إذا هو لم يقبل القيمة التي عرضها الحائز للعقار</w:t>
      </w:r>
      <w:r>
        <w:rPr>
          <w:rFonts w:cs="Traditional Arabic" w:hint="cs"/>
          <w:color w:val="000000"/>
          <w:sz w:val="24"/>
          <w:szCs w:val="28"/>
          <w:rtl/>
        </w:rPr>
        <w:t xml:space="preserve"> ،</w:t>
      </w:r>
      <w:r w:rsidRPr="00DC0143">
        <w:rPr>
          <w:rFonts w:cs="Traditional Arabic" w:hint="cs"/>
          <w:color w:val="000000"/>
          <w:sz w:val="24"/>
          <w:szCs w:val="28"/>
          <w:rtl/>
        </w:rPr>
        <w:t xml:space="preserve"> الالتزام بزيادة العشر</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6</w:t>
      </w:r>
      <w:r>
        <w:rPr>
          <w:rFonts w:cs="Traditional Arabic" w:hint="cs"/>
          <w:color w:val="000000"/>
          <w:sz w:val="24"/>
          <w:szCs w:val="28"/>
          <w:rtl/>
        </w:rPr>
        <w:t xml:space="preserve"> )</w:t>
      </w:r>
      <w:r w:rsidRPr="00DC0143">
        <w:rPr>
          <w:rFonts w:cs="Traditional Arabic" w:hint="cs"/>
          <w:color w:val="000000"/>
          <w:sz w:val="24"/>
          <w:szCs w:val="28"/>
          <w:rtl/>
        </w:rPr>
        <w:t xml:space="preserve"> أتى المشرع بنصوص واضحة في تصفية مركز الحائز للعقار بعد نزع الملكية ثالثا </w:t>
      </w:r>
      <w:r w:rsidRPr="00DC0143">
        <w:rPr>
          <w:rFonts w:cs="Traditional Arabic"/>
          <w:color w:val="000000"/>
          <w:sz w:val="24"/>
          <w:szCs w:val="28"/>
          <w:rtl/>
        </w:rPr>
        <w:t>–</w:t>
      </w:r>
      <w:r w:rsidRPr="00DC0143">
        <w:rPr>
          <w:rFonts w:cs="Traditional Arabic" w:hint="cs"/>
          <w:color w:val="000000"/>
          <w:sz w:val="24"/>
          <w:szCs w:val="28"/>
          <w:rtl/>
        </w:rPr>
        <w:t xml:space="preserve"> من حيث انقضاء الرهن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ذكر المشروع أسباب انقضاء الرهن مرتبة</w:t>
      </w:r>
      <w:r>
        <w:rPr>
          <w:rFonts w:cs="Traditional Arabic" w:hint="cs"/>
          <w:color w:val="000000"/>
          <w:sz w:val="24"/>
          <w:szCs w:val="28"/>
          <w:rtl/>
        </w:rPr>
        <w:t xml:space="preserve"> ،</w:t>
      </w:r>
      <w:r w:rsidRPr="00DC0143">
        <w:rPr>
          <w:rFonts w:cs="Traditional Arabic" w:hint="cs"/>
          <w:color w:val="000000"/>
          <w:sz w:val="24"/>
          <w:szCs w:val="28"/>
          <w:rtl/>
        </w:rPr>
        <w:t xml:space="preserve"> وأورد في هذا الصدد بعض أحكام هامة كانقضاء الرهن بالتطهير حتى لو فسخت ملكية الحائز الذي ظهر الرهن وكانقضائه بالبيع الجبري</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2</w:t>
      </w:r>
      <w:r>
        <w:rPr>
          <w:rFonts w:cs="Traditional Arabic" w:hint="cs"/>
          <w:color w:val="000000"/>
          <w:sz w:val="24"/>
          <w:szCs w:val="28"/>
          <w:rtl/>
        </w:rPr>
        <w:t xml:space="preserve"> )</w:t>
      </w:r>
      <w:r w:rsidRPr="00DC0143">
        <w:rPr>
          <w:rFonts w:cs="Traditional Arabic" w:hint="cs"/>
          <w:color w:val="000000"/>
          <w:sz w:val="24"/>
          <w:szCs w:val="28"/>
          <w:rtl/>
        </w:rPr>
        <w:t xml:space="preserve"> أورد المشروع الحكم في تقادم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فنصت المادة </w:t>
      </w:r>
      <w:r>
        <w:rPr>
          <w:rFonts w:cs="Traditional Arabic" w:hint="cs"/>
          <w:color w:val="000000"/>
          <w:sz w:val="24"/>
          <w:szCs w:val="28"/>
          <w:rtl/>
        </w:rPr>
        <w:t xml:space="preserve"> . . .</w:t>
      </w:r>
      <w:r w:rsidRPr="00DC0143">
        <w:rPr>
          <w:rFonts w:cs="Traditional Arabic" w:hint="cs"/>
          <w:color w:val="000000"/>
          <w:sz w:val="24"/>
          <w:szCs w:val="28"/>
          <w:rtl/>
        </w:rPr>
        <w:t xml:space="preserve"> على أنه لا ينقضي الرهن الرسمي بالتقادم مستقلا عن الدين</w:t>
      </w:r>
      <w:r>
        <w:rPr>
          <w:rFonts w:cs="Traditional Arabic" w:hint="cs"/>
          <w:color w:val="000000"/>
          <w:sz w:val="24"/>
          <w:szCs w:val="28"/>
          <w:rtl/>
        </w:rPr>
        <w:t xml:space="preserve"> ،</w:t>
      </w:r>
      <w:r w:rsidRPr="00DC0143">
        <w:rPr>
          <w:rFonts w:cs="Traditional Arabic" w:hint="cs"/>
          <w:color w:val="000000"/>
          <w:sz w:val="24"/>
          <w:szCs w:val="28"/>
          <w:rtl/>
        </w:rPr>
        <w:t xml:space="preserve"> ومع ذلك إذا انتقل العقار المرهون إلى حائز فإن حق الرهن بالنسبة له يسقط بالتقادم إذا لم يرفع الدائن المرتهن دعوى الرهن عليه في خلال خمس عشر سنة تبدأ من وقت تمكن الدائن من رفع هذه الدعوى</w:t>
      </w:r>
      <w:r>
        <w:rPr>
          <w:rFonts w:cs="Traditional Arabic" w:hint="cs"/>
          <w:color w:val="000000"/>
          <w:sz w:val="24"/>
          <w:szCs w:val="28"/>
          <w:rtl/>
        </w:rPr>
        <w:t xml:space="preserve"> ،</w:t>
      </w:r>
      <w:r w:rsidRPr="00DC0143">
        <w:rPr>
          <w:rFonts w:cs="Traditional Arabic" w:hint="cs"/>
          <w:color w:val="000000"/>
          <w:sz w:val="24"/>
          <w:szCs w:val="28"/>
          <w:rtl/>
        </w:rPr>
        <w:t xml:space="preserve"> وينقطع التقادم بإنذار الحائز بالدفع أو التخلية</w:t>
      </w:r>
      <w:r>
        <w:rPr>
          <w:rFonts w:cs="Traditional Arabic" w:hint="cs"/>
          <w:color w:val="000000"/>
          <w:sz w:val="24"/>
          <w:szCs w:val="28"/>
          <w:rtl/>
        </w:rPr>
        <w:t xml:space="preserve"> .</w:t>
      </w:r>
      <w:r w:rsidRPr="00DC0143">
        <w:rPr>
          <w:rFonts w:cs="Traditional Arabic" w:hint="cs"/>
          <w:color w:val="000000"/>
          <w:sz w:val="24"/>
          <w:szCs w:val="28"/>
          <w:rtl/>
        </w:rPr>
        <w:t xml:space="preserve"> وقد اضطرب القضاء المصري في هذه المسألة</w:t>
      </w:r>
      <w:r>
        <w:rPr>
          <w:rFonts w:cs="Traditional Arabic" w:hint="cs"/>
          <w:color w:val="000000"/>
          <w:sz w:val="24"/>
          <w:szCs w:val="28"/>
          <w:rtl/>
        </w:rPr>
        <w:t xml:space="preserve"> ،</w:t>
      </w:r>
      <w:r w:rsidRPr="00DC0143">
        <w:rPr>
          <w:rFonts w:cs="Traditional Arabic" w:hint="cs"/>
          <w:color w:val="000000"/>
          <w:sz w:val="24"/>
          <w:szCs w:val="28"/>
          <w:rtl/>
        </w:rPr>
        <w:t xml:space="preserve"> فحسم المشروع الخلاف بهذا الحكم" مجموعة الأعمال التحضيرية 7 ص 4 </w:t>
      </w:r>
      <w:r w:rsidRPr="00DC0143">
        <w:rPr>
          <w:rFonts w:cs="Traditional Arabic"/>
          <w:color w:val="000000"/>
          <w:sz w:val="24"/>
          <w:szCs w:val="28"/>
          <w:rtl/>
        </w:rPr>
        <w:t>–</w:t>
      </w:r>
      <w:r w:rsidRPr="00DC0143">
        <w:rPr>
          <w:rFonts w:cs="Traditional Arabic" w:hint="cs"/>
          <w:color w:val="000000"/>
          <w:sz w:val="24"/>
          <w:szCs w:val="28"/>
          <w:rtl/>
        </w:rPr>
        <w:t xml:space="preserve"> ص 6</w:t>
      </w:r>
      <w:r>
        <w:rPr>
          <w:rFonts w:cs="Traditional Arabic" w:hint="cs"/>
          <w:color w:val="000000"/>
          <w:sz w:val="24"/>
          <w:szCs w:val="28"/>
          <w:rtl/>
        </w:rPr>
        <w:t xml:space="preserve"> ) .</w:t>
      </w:r>
    </w:p>
  </w:footnote>
  <w:footnote w:id="61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1438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"لا يتم الرهن إلا إذا كان بعقد رسمي يبرم بين الدائن والمالك للعقار الضامن لوفاء الدين</w:t>
      </w:r>
      <w:r>
        <w:rPr>
          <w:rFonts w:cs="Traditional Arabic" w:hint="cs"/>
          <w:color w:val="000000"/>
          <w:sz w:val="24"/>
          <w:szCs w:val="28"/>
          <w:rtl/>
        </w:rPr>
        <w:t xml:space="preserve"> .</w:t>
      </w:r>
      <w:r w:rsidRPr="00DC0143">
        <w:rPr>
          <w:rFonts w:cs="Traditional Arabic" w:hint="cs"/>
          <w:color w:val="000000"/>
          <w:sz w:val="24"/>
          <w:szCs w:val="28"/>
          <w:rtl/>
        </w:rPr>
        <w:t xml:space="preserve"> ونفقات العقد على الراهن</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انفق على غير ذلك"</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جعل النص فقرتين</w:t>
      </w:r>
      <w:r>
        <w:rPr>
          <w:rFonts w:cs="Traditional Arabic" w:hint="cs"/>
          <w:color w:val="000000"/>
          <w:sz w:val="24"/>
          <w:szCs w:val="28"/>
          <w:rtl/>
        </w:rPr>
        <w:t xml:space="preserve"> ،</w:t>
      </w:r>
      <w:r w:rsidRPr="00DC0143">
        <w:rPr>
          <w:rFonts w:cs="Traditional Arabic" w:hint="cs"/>
          <w:color w:val="000000"/>
          <w:sz w:val="24"/>
          <w:szCs w:val="28"/>
          <w:rtl/>
        </w:rPr>
        <w:t xml:space="preserve"> وأدخل عليه تعديل لفظي</w:t>
      </w:r>
      <w:r>
        <w:rPr>
          <w:rFonts w:cs="Traditional Arabic" w:hint="cs"/>
          <w:color w:val="000000"/>
          <w:sz w:val="24"/>
          <w:szCs w:val="28"/>
          <w:rtl/>
        </w:rPr>
        <w:t xml:space="preserve"> ،</w:t>
      </w:r>
      <w:r w:rsidRPr="00DC0143">
        <w:rPr>
          <w:rFonts w:cs="Traditional Arabic" w:hint="cs"/>
          <w:color w:val="000000"/>
          <w:sz w:val="24"/>
          <w:szCs w:val="28"/>
          <w:rtl/>
        </w:rPr>
        <w:t xml:space="preserve"> فأصبح مطابقاً لما استقر عليه في التقنين المدين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ورافقت عليه اللجنة تحت رقم 1126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1112</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1031 </w:t>
      </w:r>
      <w:r w:rsidRPr="00DC0143">
        <w:rPr>
          <w:rFonts w:cs="Traditional Arabic"/>
          <w:color w:val="000000"/>
          <w:sz w:val="24"/>
          <w:szCs w:val="28"/>
          <w:rtl/>
        </w:rPr>
        <w:t>–</w:t>
      </w:r>
      <w:r w:rsidRPr="00DC0143">
        <w:rPr>
          <w:rFonts w:cs="Traditional Arabic" w:hint="cs"/>
          <w:color w:val="000000"/>
          <w:sz w:val="24"/>
          <w:szCs w:val="28"/>
          <w:rtl/>
        </w:rPr>
        <w:t xml:space="preserve"> وقد اقترح بعض مستشاري محكمة النقض أن يضاف إلى الفقرة الأولى من النص العبارة الآتية</w:t>
      </w:r>
      <w:r>
        <w:rPr>
          <w:rFonts w:cs="Traditional Arabic" w:hint="cs"/>
          <w:color w:val="000000"/>
          <w:sz w:val="24"/>
          <w:szCs w:val="28"/>
          <w:rtl/>
        </w:rPr>
        <w:t xml:space="preserve"> :</w:t>
      </w:r>
      <w:r w:rsidRPr="00DC0143">
        <w:rPr>
          <w:rFonts w:cs="Traditional Arabic" w:hint="cs"/>
          <w:color w:val="000000"/>
          <w:sz w:val="24"/>
          <w:szCs w:val="28"/>
          <w:rtl/>
        </w:rPr>
        <w:t xml:space="preserve"> "وصادرا من مالك"</w:t>
      </w:r>
      <w:r>
        <w:rPr>
          <w:rFonts w:cs="Traditional Arabic" w:hint="cs"/>
          <w:color w:val="000000"/>
          <w:sz w:val="24"/>
          <w:szCs w:val="28"/>
          <w:rtl/>
        </w:rPr>
        <w:t xml:space="preserve"> .</w:t>
      </w:r>
      <w:r w:rsidRPr="00DC0143">
        <w:rPr>
          <w:rFonts w:cs="Traditional Arabic" w:hint="cs"/>
          <w:color w:val="000000"/>
          <w:sz w:val="24"/>
          <w:szCs w:val="28"/>
          <w:rtl/>
        </w:rPr>
        <w:t xml:space="preserve"> فذكرت لجنة مجلس الشيوخ في تقريرها أنها لا ترى الأخذ بها الاقتراح</w:t>
      </w:r>
      <w:r>
        <w:rPr>
          <w:rFonts w:cs="Traditional Arabic" w:hint="cs"/>
          <w:color w:val="000000"/>
          <w:sz w:val="24"/>
          <w:szCs w:val="28"/>
          <w:rtl/>
        </w:rPr>
        <w:t xml:space="preserve"> ،</w:t>
      </w:r>
      <w:r w:rsidRPr="00DC0143">
        <w:rPr>
          <w:rFonts w:cs="Traditional Arabic" w:hint="cs"/>
          <w:color w:val="000000"/>
          <w:sz w:val="24"/>
          <w:szCs w:val="28"/>
          <w:rtl/>
        </w:rPr>
        <w:t xml:space="preserve"> لأن حكم التقنين السابق منتقد في خصوص التفريق بين بيع ملك الغير ورهن ملك الغير</w:t>
      </w:r>
      <w:r>
        <w:rPr>
          <w:rFonts w:cs="Traditional Arabic" w:hint="cs"/>
          <w:color w:val="000000"/>
          <w:sz w:val="24"/>
          <w:szCs w:val="28"/>
          <w:rtl/>
        </w:rPr>
        <w:t xml:space="preserve"> .</w:t>
      </w:r>
      <w:r w:rsidRPr="00DC0143">
        <w:rPr>
          <w:rFonts w:cs="Traditional Arabic" w:hint="cs"/>
          <w:color w:val="000000"/>
          <w:sz w:val="24"/>
          <w:szCs w:val="28"/>
          <w:rtl/>
        </w:rPr>
        <w:t xml:space="preserve"> فمنطق القانون لا يبيح مثل هذا الفريق</w:t>
      </w:r>
      <w:r>
        <w:rPr>
          <w:rFonts w:cs="Traditional Arabic" w:hint="cs"/>
          <w:color w:val="000000"/>
          <w:sz w:val="24"/>
          <w:szCs w:val="28"/>
          <w:rtl/>
        </w:rPr>
        <w:t xml:space="preserve"> ،</w:t>
      </w:r>
      <w:r w:rsidRPr="00DC0143">
        <w:rPr>
          <w:rFonts w:cs="Traditional Arabic" w:hint="cs"/>
          <w:color w:val="000000"/>
          <w:sz w:val="24"/>
          <w:szCs w:val="28"/>
          <w:rtl/>
        </w:rPr>
        <w:t xml:space="preserve"> وليس في الاعتبارات العلية ما يبرره أيضاً</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9 ص 11</w:t>
      </w:r>
      <w:r>
        <w:rPr>
          <w:rFonts w:cs="Traditional Arabic" w:hint="cs"/>
          <w:color w:val="000000"/>
          <w:sz w:val="24"/>
          <w:szCs w:val="28"/>
          <w:rtl/>
        </w:rPr>
        <w:t xml:space="preserve"> ) .</w:t>
      </w:r>
    </w:p>
  </w:footnote>
  <w:footnote w:id="62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التقنين المدني السابق م 557/681</w:t>
      </w:r>
      <w:r>
        <w:rPr>
          <w:rFonts w:cs="Traditional Arabic" w:hint="cs"/>
          <w:color w:val="000000"/>
          <w:sz w:val="24"/>
          <w:szCs w:val="28"/>
          <w:rtl/>
        </w:rPr>
        <w:t xml:space="preserve"> :</w:t>
      </w:r>
      <w:r w:rsidRPr="00DC0143">
        <w:rPr>
          <w:rFonts w:cs="Traditional Arabic" w:hint="cs"/>
          <w:color w:val="000000"/>
          <w:sz w:val="24"/>
          <w:szCs w:val="28"/>
          <w:rtl/>
        </w:rPr>
        <w:t xml:space="preserve"> لا يعتبر رهن العقار إلا إذا كان بموجب عقد رسمي محرر في قلم كتاب إحدى المحاكم بين الدائن ومالك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تأميناً لوفاء الدين</w:t>
      </w:r>
      <w:r>
        <w:rPr>
          <w:rFonts w:cs="Traditional Arabic" w:hint="cs"/>
          <w:color w:val="000000"/>
          <w:sz w:val="24"/>
          <w:szCs w:val="28"/>
          <w:rtl/>
        </w:rPr>
        <w:t xml:space="preserve"> .</w:t>
      </w:r>
    </w:p>
  </w:footnote>
  <w:footnote w:id="62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التقنينات المدنية العربية الأخرى</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 xml:space="preserve">التقنين المدني السوري </w:t>
      </w:r>
      <w:r w:rsidRPr="00DC0143">
        <w:rPr>
          <w:rFonts w:cs="Traditional Arabic" w:hint="cs"/>
          <w:color w:val="000000"/>
          <w:sz w:val="24"/>
          <w:szCs w:val="28"/>
          <w:rtl/>
        </w:rPr>
        <w:t>م 1091</w:t>
      </w:r>
      <w:r>
        <w:rPr>
          <w:rFonts w:cs="Traditional Arabic" w:hint="cs"/>
          <w:color w:val="000000"/>
          <w:sz w:val="24"/>
          <w:szCs w:val="28"/>
          <w:rtl/>
        </w:rPr>
        <w:t xml:space="preserve"> :</w:t>
      </w:r>
      <w:r w:rsidRPr="00DC0143">
        <w:rPr>
          <w:rFonts w:cs="Traditional Arabic" w:hint="cs"/>
          <w:color w:val="000000"/>
          <w:sz w:val="24"/>
          <w:szCs w:val="28"/>
          <w:rtl/>
        </w:rPr>
        <w:t xml:space="preserve"> 1- يحرر سند التأمين بالشكل المعتاد</w:t>
      </w:r>
      <w:r>
        <w:rPr>
          <w:rFonts w:cs="Traditional Arabic" w:hint="cs"/>
          <w:color w:val="000000"/>
          <w:sz w:val="24"/>
          <w:szCs w:val="28"/>
          <w:rtl/>
        </w:rPr>
        <w:t xml:space="preserve"> ،</w:t>
      </w:r>
      <w:r w:rsidRPr="00DC0143">
        <w:rPr>
          <w:rFonts w:cs="Traditional Arabic" w:hint="cs"/>
          <w:color w:val="000000"/>
          <w:sz w:val="24"/>
          <w:szCs w:val="28"/>
          <w:rtl/>
        </w:rPr>
        <w:t xml:space="preserve"> وتسلم صورته الأصلية أو نسخة عنه مع سند الملكية إلى الدائن المؤمن له</w:t>
      </w:r>
      <w:r>
        <w:rPr>
          <w:rFonts w:cs="Traditional Arabic" w:hint="cs"/>
          <w:color w:val="000000"/>
          <w:sz w:val="24"/>
          <w:szCs w:val="28"/>
          <w:rtl/>
        </w:rPr>
        <w:t xml:space="preserve"> .</w:t>
      </w:r>
      <w:r w:rsidRPr="00DC0143">
        <w:rPr>
          <w:rFonts w:cs="Traditional Arabic" w:hint="cs"/>
          <w:color w:val="000000"/>
          <w:sz w:val="24"/>
          <w:szCs w:val="28"/>
          <w:rtl/>
        </w:rPr>
        <w:t xml:space="preserve"> 2- يعمد الدائن إلى إيداعهما المكتب العقاري</w:t>
      </w:r>
      <w:r>
        <w:rPr>
          <w:rFonts w:cs="Traditional Arabic" w:hint="cs"/>
          <w:color w:val="000000"/>
          <w:sz w:val="24"/>
          <w:szCs w:val="28"/>
          <w:rtl/>
        </w:rPr>
        <w:t xml:space="preserve"> ،</w:t>
      </w:r>
      <w:r w:rsidRPr="00DC0143">
        <w:rPr>
          <w:rFonts w:cs="Traditional Arabic" w:hint="cs"/>
          <w:color w:val="000000"/>
          <w:sz w:val="24"/>
          <w:szCs w:val="28"/>
          <w:rtl/>
        </w:rPr>
        <w:t xml:space="preserve"> ويحظر على رئيس المكتب العقاري خطأ إجابة أي طلب تسجيل يضر بحقه في أثناء مدة لا تتجاوز تسعين يوما</w:t>
      </w:r>
      <w:r>
        <w:rPr>
          <w:rFonts w:cs="Traditional Arabic" w:hint="cs"/>
          <w:color w:val="000000"/>
          <w:sz w:val="24"/>
          <w:szCs w:val="28"/>
          <w:rtl/>
        </w:rPr>
        <w:t xml:space="preserve"> .</w:t>
      </w:r>
      <w:r w:rsidRPr="00DC0143">
        <w:rPr>
          <w:rFonts w:cs="Traditional Arabic" w:hint="cs"/>
          <w:color w:val="000000"/>
          <w:sz w:val="24"/>
          <w:szCs w:val="28"/>
          <w:rtl/>
        </w:rPr>
        <w:t xml:space="preserve"> 3- إن هذا الإيداع</w:t>
      </w:r>
      <w:r>
        <w:rPr>
          <w:rFonts w:cs="Traditional Arabic" w:hint="cs"/>
          <w:color w:val="000000"/>
          <w:sz w:val="24"/>
          <w:szCs w:val="28"/>
          <w:rtl/>
        </w:rPr>
        <w:t xml:space="preserve"> ،</w:t>
      </w:r>
      <w:r w:rsidRPr="00DC0143">
        <w:rPr>
          <w:rFonts w:cs="Traditional Arabic" w:hint="cs"/>
          <w:color w:val="000000"/>
          <w:sz w:val="24"/>
          <w:szCs w:val="28"/>
          <w:rtl/>
        </w:rPr>
        <w:t xml:space="preserve"> الذي يعتبر في أثناء المدة المذكورة بمثابة اعتراض</w:t>
      </w:r>
      <w:r>
        <w:rPr>
          <w:rFonts w:cs="Traditional Arabic" w:hint="cs"/>
          <w:color w:val="000000"/>
          <w:sz w:val="24"/>
          <w:szCs w:val="28"/>
          <w:rtl/>
        </w:rPr>
        <w:t xml:space="preserve"> ،</w:t>
      </w:r>
      <w:r w:rsidRPr="00DC0143">
        <w:rPr>
          <w:rFonts w:cs="Traditional Arabic" w:hint="cs"/>
          <w:color w:val="000000"/>
          <w:sz w:val="24"/>
          <w:szCs w:val="28"/>
          <w:rtl/>
        </w:rPr>
        <w:t xml:space="preserve"> يجري قيده في السجل اليومي</w:t>
      </w:r>
      <w:r>
        <w:rPr>
          <w:rFonts w:cs="Traditional Arabic" w:hint="cs"/>
          <w:color w:val="000000"/>
          <w:sz w:val="24"/>
          <w:szCs w:val="28"/>
          <w:rtl/>
        </w:rPr>
        <w:t xml:space="preserve"> ،</w:t>
      </w:r>
      <w:r w:rsidRPr="00DC0143">
        <w:rPr>
          <w:rFonts w:cs="Traditional Arabic" w:hint="cs"/>
          <w:color w:val="000000"/>
          <w:sz w:val="24"/>
          <w:szCs w:val="28"/>
          <w:rtl/>
        </w:rPr>
        <w:t xml:space="preserve"> كما يشار إليه بقيد موقت في الصحيفة العقارية</w:t>
      </w:r>
      <w:r>
        <w:rPr>
          <w:rFonts w:cs="Traditional Arabic" w:hint="cs"/>
          <w:color w:val="000000"/>
          <w:sz w:val="24"/>
          <w:szCs w:val="28"/>
          <w:rtl/>
        </w:rPr>
        <w:t xml:space="preserve"> .</w:t>
      </w:r>
      <w:r w:rsidRPr="00DC0143">
        <w:rPr>
          <w:rFonts w:cs="Traditional Arabic" w:hint="cs"/>
          <w:color w:val="000000"/>
          <w:sz w:val="24"/>
          <w:szCs w:val="28"/>
          <w:rtl/>
        </w:rPr>
        <w:t xml:space="preserve"> وبصورة استثنائية لا بدون هذا القيد في سند الملكية المحفوظة بالمكتب العقاري</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 xml:space="preserve">التقنين المدني الليبي </w:t>
      </w:r>
      <w:r w:rsidRPr="00DC0143">
        <w:rPr>
          <w:rFonts w:cs="Traditional Arabic" w:hint="cs"/>
          <w:color w:val="000000"/>
          <w:sz w:val="24"/>
          <w:szCs w:val="28"/>
          <w:rtl/>
        </w:rPr>
        <w:t xml:space="preserve"> م 1034</w:t>
      </w:r>
      <w:r>
        <w:rPr>
          <w:rFonts w:cs="Traditional Arabic" w:hint="cs"/>
          <w:color w:val="000000"/>
          <w:sz w:val="24"/>
          <w:szCs w:val="28"/>
          <w:rtl/>
        </w:rPr>
        <w:t xml:space="preserve"> :</w:t>
      </w:r>
      <w:r w:rsidRPr="00DC0143">
        <w:rPr>
          <w:rFonts w:cs="Traditional Arabic" w:hint="cs"/>
          <w:color w:val="000000"/>
          <w:sz w:val="24"/>
          <w:szCs w:val="28"/>
          <w:rtl/>
        </w:rPr>
        <w:t xml:space="preserve"> 1- لا ينعقد الرهن إلا إذا كان بورقة أصلية وفقاً لأحكام النظام العقاري</w:t>
      </w:r>
      <w:r>
        <w:rPr>
          <w:rFonts w:cs="Traditional Arabic" w:hint="cs"/>
          <w:color w:val="000000"/>
          <w:sz w:val="24"/>
          <w:szCs w:val="28"/>
          <w:rtl/>
        </w:rPr>
        <w:t xml:space="preserve"> .</w:t>
      </w:r>
      <w:r w:rsidRPr="00DC0143">
        <w:rPr>
          <w:rFonts w:cs="Traditional Arabic" w:hint="cs"/>
          <w:color w:val="000000"/>
          <w:sz w:val="24"/>
          <w:szCs w:val="28"/>
          <w:rtl/>
        </w:rPr>
        <w:t xml:space="preserve"> 2- ونفقات العقد على الراهن إلا إذا اتفق على غير ذلك</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 xml:space="preserve">التقنين المدني العراقي </w:t>
      </w:r>
      <w:r w:rsidRPr="00DC0143">
        <w:rPr>
          <w:rFonts w:cs="Traditional Arabic" w:hint="cs"/>
          <w:color w:val="000000"/>
          <w:sz w:val="24"/>
          <w:szCs w:val="28"/>
          <w:rtl/>
        </w:rPr>
        <w:t>م 1286</w:t>
      </w:r>
      <w:r>
        <w:rPr>
          <w:rFonts w:cs="Traditional Arabic" w:hint="cs"/>
          <w:color w:val="000000"/>
          <w:sz w:val="24"/>
          <w:szCs w:val="28"/>
          <w:rtl/>
        </w:rPr>
        <w:t xml:space="preserve"> :</w:t>
      </w:r>
      <w:r w:rsidRPr="00DC0143">
        <w:rPr>
          <w:rFonts w:cs="Traditional Arabic" w:hint="cs"/>
          <w:color w:val="000000"/>
          <w:sz w:val="24"/>
          <w:szCs w:val="28"/>
          <w:rtl/>
        </w:rPr>
        <w:t xml:space="preserve"> 1- لا ينعقد الرهن التأميني إلا بتسجيله في دائرة الطابور</w:t>
      </w:r>
      <w:r>
        <w:rPr>
          <w:rFonts w:cs="Traditional Arabic" w:hint="cs"/>
          <w:color w:val="000000"/>
          <w:sz w:val="24"/>
          <w:szCs w:val="28"/>
          <w:rtl/>
        </w:rPr>
        <w:t xml:space="preserve"> ،</w:t>
      </w:r>
      <w:r w:rsidRPr="00DC0143">
        <w:rPr>
          <w:rFonts w:cs="Traditional Arabic" w:hint="cs"/>
          <w:color w:val="000000"/>
          <w:sz w:val="24"/>
          <w:szCs w:val="28"/>
          <w:rtl/>
        </w:rPr>
        <w:t xml:space="preserve"> وعلى كل من المتعاقدين أن يعين محل إقامته في البلد الذي تم فيه التسجيل</w:t>
      </w:r>
      <w:r>
        <w:rPr>
          <w:rFonts w:cs="Traditional Arabic" w:hint="cs"/>
          <w:color w:val="000000"/>
          <w:sz w:val="24"/>
          <w:szCs w:val="28"/>
          <w:rtl/>
        </w:rPr>
        <w:t xml:space="preserve"> .</w:t>
      </w:r>
      <w:r w:rsidRPr="00DC0143">
        <w:rPr>
          <w:rFonts w:cs="Traditional Arabic" w:hint="cs"/>
          <w:color w:val="000000"/>
          <w:sz w:val="24"/>
          <w:szCs w:val="28"/>
          <w:rtl/>
        </w:rPr>
        <w:t xml:space="preserve"> ويعطي لكل منهما نسخة من سند عقد الرهن موقع عليها منهما</w:t>
      </w:r>
      <w:r>
        <w:rPr>
          <w:rFonts w:cs="Traditional Arabic" w:hint="cs"/>
          <w:color w:val="000000"/>
          <w:sz w:val="24"/>
          <w:szCs w:val="28"/>
          <w:rtl/>
        </w:rPr>
        <w:t xml:space="preserve"> ،</w:t>
      </w:r>
      <w:r w:rsidRPr="00DC0143">
        <w:rPr>
          <w:rFonts w:cs="Traditional Arabic" w:hint="cs"/>
          <w:color w:val="000000"/>
          <w:sz w:val="24"/>
          <w:szCs w:val="28"/>
          <w:rtl/>
        </w:rPr>
        <w:t xml:space="preserve"> بعد أخذ تقريرهما في مواجهة الشهود</w:t>
      </w:r>
      <w:r>
        <w:rPr>
          <w:rFonts w:cs="Traditional Arabic" w:hint="cs"/>
          <w:color w:val="000000"/>
          <w:sz w:val="24"/>
          <w:szCs w:val="28"/>
          <w:rtl/>
        </w:rPr>
        <w:t xml:space="preserve"> .</w:t>
      </w:r>
      <w:r w:rsidRPr="00DC0143">
        <w:rPr>
          <w:rFonts w:cs="Traditional Arabic" w:hint="cs"/>
          <w:color w:val="000000"/>
          <w:sz w:val="24"/>
          <w:szCs w:val="28"/>
          <w:rtl/>
        </w:rPr>
        <w:t xml:space="preserve"> 2- ونفقات العقد على الراهن</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اتفق على غير ذلك</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 xml:space="preserve">قانون الملكية العقارية اللبناني </w:t>
      </w:r>
      <w:r w:rsidRPr="00DC0143">
        <w:rPr>
          <w:rFonts w:cs="Traditional Arabic" w:hint="cs"/>
          <w:color w:val="000000"/>
          <w:sz w:val="24"/>
          <w:szCs w:val="28"/>
          <w:rtl/>
        </w:rPr>
        <w:t xml:space="preserve"> م 126 يكون التأمين جبريا أو قضائيا</w:t>
      </w:r>
      <w:r>
        <w:rPr>
          <w:rFonts w:cs="Traditional Arabic" w:hint="cs"/>
          <w:color w:val="000000"/>
          <w:sz w:val="24"/>
          <w:szCs w:val="28"/>
          <w:rtl/>
        </w:rPr>
        <w:t xml:space="preserve"> .</w:t>
      </w:r>
      <w:r w:rsidRPr="00DC0143">
        <w:rPr>
          <w:rFonts w:cs="Traditional Arabic" w:hint="cs"/>
          <w:color w:val="000000"/>
          <w:sz w:val="24"/>
          <w:szCs w:val="28"/>
          <w:rtl/>
        </w:rPr>
        <w:t xml:space="preserve"> وفي كلا الحالين لا يكون له مفعول قانوني إلا بعد تسجيله</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م 127</w:t>
      </w:r>
      <w:r>
        <w:rPr>
          <w:rFonts w:cs="Traditional Arabic" w:hint="cs"/>
          <w:color w:val="000000"/>
          <w:sz w:val="24"/>
          <w:szCs w:val="28"/>
          <w:rtl/>
        </w:rPr>
        <w:t xml:space="preserve"> :</w:t>
      </w:r>
      <w:r w:rsidRPr="00DC0143">
        <w:rPr>
          <w:rFonts w:cs="Traditional Arabic" w:hint="cs"/>
          <w:color w:val="000000"/>
          <w:sz w:val="24"/>
          <w:szCs w:val="28"/>
          <w:rtl/>
        </w:rPr>
        <w:t xml:space="preserve"> يجوز وضع عدة تأمينات على عقار واحد</w:t>
      </w:r>
      <w:r>
        <w:rPr>
          <w:rFonts w:cs="Traditional Arabic" w:hint="cs"/>
          <w:color w:val="000000"/>
          <w:sz w:val="24"/>
          <w:szCs w:val="28"/>
          <w:rtl/>
        </w:rPr>
        <w:t xml:space="preserve"> .</w:t>
      </w:r>
      <w:r w:rsidRPr="00DC0143">
        <w:rPr>
          <w:rFonts w:cs="Traditional Arabic" w:hint="cs"/>
          <w:color w:val="000000"/>
          <w:sz w:val="24"/>
          <w:szCs w:val="28"/>
          <w:rtl/>
        </w:rPr>
        <w:t xml:space="preserve"> وسواء أكانت جبرية أو رضائية</w:t>
      </w:r>
      <w:r>
        <w:rPr>
          <w:rFonts w:cs="Traditional Arabic" w:hint="cs"/>
          <w:color w:val="000000"/>
          <w:sz w:val="24"/>
          <w:szCs w:val="28"/>
          <w:rtl/>
        </w:rPr>
        <w:t xml:space="preserve"> ،</w:t>
      </w:r>
      <w:r w:rsidRPr="00DC0143">
        <w:rPr>
          <w:rFonts w:cs="Traditional Arabic" w:hint="cs"/>
          <w:color w:val="000000"/>
          <w:sz w:val="24"/>
          <w:szCs w:val="28"/>
          <w:rtl/>
        </w:rPr>
        <w:t xml:space="preserve"> فإن رتبها تعين بحسب تاريخ قيدها في السجل العقار</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م 1411</w:t>
      </w:r>
      <w:r>
        <w:rPr>
          <w:rFonts w:cs="Traditional Arabic" w:hint="cs"/>
          <w:color w:val="000000"/>
          <w:sz w:val="24"/>
          <w:szCs w:val="28"/>
          <w:rtl/>
        </w:rPr>
        <w:t xml:space="preserve"> :</w:t>
      </w:r>
      <w:r w:rsidRPr="00DC0143">
        <w:rPr>
          <w:rFonts w:cs="Traditional Arabic" w:hint="cs"/>
          <w:color w:val="000000"/>
          <w:sz w:val="24"/>
          <w:szCs w:val="28"/>
          <w:rtl/>
        </w:rPr>
        <w:t xml:space="preserve"> يحرر سند التأمين بالشكل العادي</w:t>
      </w:r>
      <w:r>
        <w:rPr>
          <w:rFonts w:cs="Traditional Arabic" w:hint="cs"/>
          <w:color w:val="000000"/>
          <w:sz w:val="24"/>
          <w:szCs w:val="28"/>
          <w:rtl/>
        </w:rPr>
        <w:t xml:space="preserve"> ،</w:t>
      </w:r>
      <w:r w:rsidRPr="00DC0143">
        <w:rPr>
          <w:rFonts w:cs="Traditional Arabic" w:hint="cs"/>
          <w:color w:val="000000"/>
          <w:sz w:val="24"/>
          <w:szCs w:val="28"/>
          <w:rtl/>
        </w:rPr>
        <w:t xml:space="preserve"> وتسلم صورته الأصلية أو نسخة عنه مع سند الملكية إلى الدائن المؤمن لهز فيعمد الدائن إلى إيداعها المكتب العقاري</w:t>
      </w:r>
      <w:r>
        <w:rPr>
          <w:rFonts w:cs="Traditional Arabic" w:hint="cs"/>
          <w:color w:val="000000"/>
          <w:sz w:val="24"/>
          <w:szCs w:val="28"/>
          <w:rtl/>
        </w:rPr>
        <w:t xml:space="preserve"> ،</w:t>
      </w:r>
      <w:r w:rsidRPr="00DC0143">
        <w:rPr>
          <w:rFonts w:cs="Traditional Arabic" w:hint="cs"/>
          <w:color w:val="000000"/>
          <w:sz w:val="24"/>
          <w:szCs w:val="28"/>
          <w:rtl/>
        </w:rPr>
        <w:t xml:space="preserve"> ويحظر على رئيس المكتب العقاري خطأ إجابة على أي طلب تسجيل يضر بحقه في أثناء مدة لا يمكن أن تتجاوز تسعين يوماً</w:t>
      </w:r>
      <w:r>
        <w:rPr>
          <w:rFonts w:cs="Traditional Arabic" w:hint="cs"/>
          <w:color w:val="000000"/>
          <w:sz w:val="24"/>
          <w:szCs w:val="28"/>
          <w:rtl/>
        </w:rPr>
        <w:t xml:space="preserve"> .</w:t>
      </w:r>
      <w:r w:rsidRPr="00DC0143">
        <w:rPr>
          <w:rFonts w:cs="Traditional Arabic" w:hint="cs"/>
          <w:color w:val="000000"/>
          <w:sz w:val="24"/>
          <w:szCs w:val="28"/>
          <w:rtl/>
        </w:rPr>
        <w:t xml:space="preserve"> وهذا الإيداع الذي يعتبر في أثناء المدة المذكور بمثابة اعتراض</w:t>
      </w:r>
      <w:r>
        <w:rPr>
          <w:rFonts w:cs="Traditional Arabic" w:hint="cs"/>
          <w:color w:val="000000"/>
          <w:sz w:val="24"/>
          <w:szCs w:val="28"/>
          <w:rtl/>
        </w:rPr>
        <w:t xml:space="preserve"> ،</w:t>
      </w:r>
      <w:r w:rsidRPr="00DC0143">
        <w:rPr>
          <w:rFonts w:cs="Traditional Arabic" w:hint="cs"/>
          <w:color w:val="000000"/>
          <w:sz w:val="24"/>
          <w:szCs w:val="28"/>
          <w:rtl/>
        </w:rPr>
        <w:t xml:space="preserve"> يجرى قيده في السجل اليومي</w:t>
      </w:r>
      <w:r>
        <w:rPr>
          <w:rFonts w:cs="Traditional Arabic" w:hint="cs"/>
          <w:color w:val="000000"/>
          <w:sz w:val="24"/>
          <w:szCs w:val="28"/>
          <w:rtl/>
        </w:rPr>
        <w:t xml:space="preserve"> ،</w:t>
      </w:r>
      <w:r w:rsidRPr="00DC0143">
        <w:rPr>
          <w:rFonts w:cs="Traditional Arabic" w:hint="cs"/>
          <w:color w:val="000000"/>
          <w:sz w:val="24"/>
          <w:szCs w:val="28"/>
          <w:rtl/>
        </w:rPr>
        <w:t xml:space="preserve"> كما يشار إليه بقيد موقت في الصحيفة العينية</w:t>
      </w:r>
      <w:r>
        <w:rPr>
          <w:rFonts w:cs="Traditional Arabic" w:hint="cs"/>
          <w:color w:val="000000"/>
          <w:sz w:val="24"/>
          <w:szCs w:val="28"/>
          <w:rtl/>
        </w:rPr>
        <w:t xml:space="preserve"> .</w:t>
      </w:r>
      <w:r w:rsidRPr="00DC0143">
        <w:rPr>
          <w:rFonts w:cs="Traditional Arabic" w:hint="cs"/>
          <w:color w:val="000000"/>
          <w:sz w:val="24"/>
          <w:szCs w:val="28"/>
          <w:rtl/>
        </w:rPr>
        <w:t xml:space="preserve"> وبصورة استثنائية لا يستوجب تدوين هذا القيد في سند الملكية المحفوظ بالمكتب العقاري</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م 142</w:t>
      </w:r>
      <w:r>
        <w:rPr>
          <w:rFonts w:cs="Traditional Arabic" w:hint="cs"/>
          <w:color w:val="000000"/>
          <w:sz w:val="24"/>
          <w:szCs w:val="28"/>
          <w:rtl/>
        </w:rPr>
        <w:t xml:space="preserve"> :</w:t>
      </w:r>
      <w:r w:rsidRPr="00DC0143">
        <w:rPr>
          <w:rFonts w:cs="Traditional Arabic" w:hint="cs"/>
          <w:color w:val="000000"/>
          <w:sz w:val="24"/>
          <w:szCs w:val="28"/>
          <w:rtl/>
        </w:rPr>
        <w:t xml:space="preserve"> إذا تقدم طلب قيد جديد في أثناء المدة العينية لصحة الاعتراض</w:t>
      </w:r>
      <w:r>
        <w:rPr>
          <w:rFonts w:cs="Traditional Arabic" w:hint="cs"/>
          <w:color w:val="000000"/>
          <w:sz w:val="24"/>
          <w:szCs w:val="28"/>
          <w:rtl/>
        </w:rPr>
        <w:t xml:space="preserve"> ،</w:t>
      </w:r>
      <w:r w:rsidRPr="00DC0143">
        <w:rPr>
          <w:rFonts w:cs="Traditional Arabic" w:hint="cs"/>
          <w:color w:val="000000"/>
          <w:sz w:val="24"/>
          <w:szCs w:val="28"/>
          <w:rtl/>
        </w:rPr>
        <w:t xml:space="preserve"> يعمد رئيس المكتب العقاري أولا إلى قيد التأمين المؤجل قيداً قانونياً</w:t>
      </w:r>
      <w:r>
        <w:rPr>
          <w:rFonts w:cs="Traditional Arabic" w:hint="cs"/>
          <w:color w:val="000000"/>
          <w:sz w:val="24"/>
          <w:szCs w:val="28"/>
          <w:rtl/>
        </w:rPr>
        <w:t xml:space="preserve"> ،</w:t>
      </w:r>
      <w:r w:rsidRPr="00DC0143">
        <w:rPr>
          <w:rFonts w:cs="Traditional Arabic" w:hint="cs"/>
          <w:color w:val="000000"/>
          <w:sz w:val="24"/>
          <w:szCs w:val="28"/>
          <w:rtl/>
        </w:rPr>
        <w:t xml:space="preserve"> ويعطي هذا التأمين رتبته من تاريخ إيداع المعاملة للاعتراض</w:t>
      </w:r>
      <w:r>
        <w:rPr>
          <w:rFonts w:cs="Traditional Arabic" w:hint="cs"/>
          <w:color w:val="000000"/>
          <w:sz w:val="24"/>
          <w:szCs w:val="28"/>
          <w:rtl/>
        </w:rPr>
        <w:t xml:space="preserve"> .</w:t>
      </w:r>
      <w:r w:rsidRPr="00DC0143">
        <w:rPr>
          <w:rFonts w:cs="Traditional Arabic" w:hint="cs"/>
          <w:color w:val="000000"/>
          <w:sz w:val="24"/>
          <w:szCs w:val="28"/>
          <w:rtl/>
        </w:rPr>
        <w:t xml:space="preserve"> وبالعكس يتوجب على الدائن</w:t>
      </w:r>
      <w:r>
        <w:rPr>
          <w:rFonts w:cs="Traditional Arabic" w:hint="cs"/>
          <w:color w:val="000000"/>
          <w:sz w:val="24"/>
          <w:szCs w:val="28"/>
          <w:rtl/>
        </w:rPr>
        <w:t xml:space="preserve"> ،</w:t>
      </w:r>
      <w:r w:rsidRPr="00DC0143">
        <w:rPr>
          <w:rFonts w:cs="Traditional Arabic" w:hint="cs"/>
          <w:color w:val="000000"/>
          <w:sz w:val="24"/>
          <w:szCs w:val="28"/>
          <w:rtl/>
        </w:rPr>
        <w:t xml:space="preserve"> عند انقضاء مدة التسعين يوما</w:t>
      </w:r>
      <w:r>
        <w:rPr>
          <w:rFonts w:cs="Traditional Arabic" w:hint="cs"/>
          <w:color w:val="000000"/>
          <w:sz w:val="24"/>
          <w:szCs w:val="28"/>
          <w:rtl/>
        </w:rPr>
        <w:t xml:space="preserve"> ،</w:t>
      </w:r>
      <w:r w:rsidRPr="00DC0143">
        <w:rPr>
          <w:rFonts w:cs="Traditional Arabic" w:hint="cs"/>
          <w:color w:val="000000"/>
          <w:sz w:val="24"/>
          <w:szCs w:val="28"/>
          <w:rtl/>
        </w:rPr>
        <w:t xml:space="preserve"> أن يسحب أوراق المعادلة أو أن يطلب التسجيل للقانوني لحقه</w:t>
      </w:r>
      <w:r>
        <w:rPr>
          <w:rFonts w:cs="Traditional Arabic" w:hint="cs"/>
          <w:color w:val="000000"/>
          <w:sz w:val="24"/>
          <w:szCs w:val="28"/>
          <w:rtl/>
        </w:rPr>
        <w:t xml:space="preserve"> ،</w:t>
      </w:r>
      <w:r w:rsidRPr="00DC0143">
        <w:rPr>
          <w:rFonts w:cs="Traditional Arabic" w:hint="cs"/>
          <w:color w:val="000000"/>
          <w:sz w:val="24"/>
          <w:szCs w:val="28"/>
          <w:rtl/>
        </w:rPr>
        <w:t xml:space="preserve"> وقد انقطعت عنه الضمانة التي كانت له من إيداع المعاملة للاعتراض</w:t>
      </w:r>
      <w:r>
        <w:rPr>
          <w:rFonts w:cs="Traditional Arabic" w:hint="cs"/>
          <w:color w:val="000000"/>
          <w:sz w:val="24"/>
          <w:szCs w:val="28"/>
          <w:rtl/>
        </w:rPr>
        <w:t xml:space="preserve"> .</w:t>
      </w:r>
    </w:p>
  </w:footnote>
  <w:footnote w:id="62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10</w:t>
      </w:r>
      <w:r>
        <w:rPr>
          <w:rFonts w:cs="Traditional Arabic" w:hint="cs"/>
          <w:color w:val="000000"/>
          <w:sz w:val="24"/>
          <w:szCs w:val="28"/>
          <w:rtl/>
        </w:rPr>
        <w:t xml:space="preserve"> .</w:t>
      </w:r>
    </w:p>
  </w:footnote>
  <w:footnote w:id="62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ويلاحظ أن عقد بيع العقار عقد غير شكلي</w:t>
      </w:r>
      <w:r>
        <w:rPr>
          <w:rFonts w:cs="Traditional Arabic" w:hint="cs"/>
          <w:color w:val="000000"/>
          <w:sz w:val="24"/>
          <w:szCs w:val="28"/>
          <w:rtl/>
        </w:rPr>
        <w:t xml:space="preserve"> ،</w:t>
      </w:r>
      <w:r w:rsidRPr="00DC0143">
        <w:rPr>
          <w:rFonts w:cs="Traditional Arabic" w:hint="cs"/>
          <w:color w:val="000000"/>
          <w:sz w:val="24"/>
          <w:szCs w:val="28"/>
          <w:rtl/>
        </w:rPr>
        <w:t xml:space="preserve"> فلا يشترط إفراغه في ورقة رسمية</w:t>
      </w:r>
      <w:r>
        <w:rPr>
          <w:rFonts w:cs="Traditional Arabic" w:hint="cs"/>
          <w:color w:val="000000"/>
          <w:sz w:val="24"/>
          <w:szCs w:val="28"/>
          <w:rtl/>
        </w:rPr>
        <w:t xml:space="preserve"> .</w:t>
      </w:r>
      <w:r w:rsidRPr="00DC0143">
        <w:rPr>
          <w:rFonts w:cs="Traditional Arabic" w:hint="cs"/>
          <w:color w:val="000000"/>
          <w:sz w:val="24"/>
          <w:szCs w:val="28"/>
          <w:rtl/>
        </w:rPr>
        <w:t xml:space="preserve"> وأما عقد الرهن الرسمي فعقد شكلي كما رأينا</w:t>
      </w:r>
      <w:r>
        <w:rPr>
          <w:rFonts w:cs="Traditional Arabic" w:hint="cs"/>
          <w:color w:val="000000"/>
          <w:sz w:val="24"/>
          <w:szCs w:val="28"/>
          <w:rtl/>
        </w:rPr>
        <w:t xml:space="preserve"> ،</w:t>
      </w:r>
      <w:r w:rsidRPr="00DC0143">
        <w:rPr>
          <w:rFonts w:cs="Traditional Arabic" w:hint="cs"/>
          <w:color w:val="000000"/>
          <w:sz w:val="24"/>
          <w:szCs w:val="28"/>
          <w:rtl/>
        </w:rPr>
        <w:t xml:space="preserve"> تجب فيه الرسمية وإلا كان باطلا</w:t>
      </w:r>
      <w:r>
        <w:rPr>
          <w:rFonts w:cs="Traditional Arabic" w:hint="cs"/>
          <w:color w:val="000000"/>
          <w:sz w:val="24"/>
          <w:szCs w:val="28"/>
          <w:rtl/>
        </w:rPr>
        <w:t xml:space="preserve"> .</w:t>
      </w:r>
      <w:r w:rsidRPr="00DC0143">
        <w:rPr>
          <w:rFonts w:cs="Traditional Arabic" w:hint="cs"/>
          <w:color w:val="000000"/>
          <w:sz w:val="24"/>
          <w:szCs w:val="28"/>
          <w:rtl/>
        </w:rPr>
        <w:t xml:space="preserve"> وقد يقال إن البيع أخطر من الرهن</w:t>
      </w:r>
      <w:r>
        <w:rPr>
          <w:rFonts w:cs="Traditional Arabic" w:hint="cs"/>
          <w:color w:val="000000"/>
          <w:sz w:val="24"/>
          <w:szCs w:val="28"/>
          <w:rtl/>
        </w:rPr>
        <w:t xml:space="preserve"> ،</w:t>
      </w:r>
      <w:r w:rsidRPr="00DC0143">
        <w:rPr>
          <w:rFonts w:cs="Traditional Arabic" w:hint="cs"/>
          <w:color w:val="000000"/>
          <w:sz w:val="24"/>
          <w:szCs w:val="28"/>
          <w:rtl/>
        </w:rPr>
        <w:t xml:space="preserve"> ولكن يمكن الرد على ذلك بأن البيع ينقل ملكية العقار إلى المشتري</w:t>
      </w:r>
      <w:r>
        <w:rPr>
          <w:rFonts w:cs="Traditional Arabic" w:hint="cs"/>
          <w:color w:val="000000"/>
          <w:sz w:val="24"/>
          <w:szCs w:val="28"/>
          <w:rtl/>
        </w:rPr>
        <w:t xml:space="preserve"> ،</w:t>
      </w:r>
      <w:r w:rsidRPr="00DC0143">
        <w:rPr>
          <w:rFonts w:cs="Traditional Arabic" w:hint="cs"/>
          <w:color w:val="000000"/>
          <w:sz w:val="24"/>
          <w:szCs w:val="28"/>
          <w:rtl/>
        </w:rPr>
        <w:t xml:space="preserve"> أما الرهن فيستبقى الملكية للراهن</w:t>
      </w:r>
      <w:r>
        <w:rPr>
          <w:rFonts w:cs="Traditional Arabic" w:hint="cs"/>
          <w:color w:val="000000"/>
          <w:sz w:val="24"/>
          <w:szCs w:val="28"/>
          <w:rtl/>
        </w:rPr>
        <w:t xml:space="preserve"> .</w:t>
      </w:r>
      <w:r w:rsidRPr="00DC0143">
        <w:rPr>
          <w:rFonts w:cs="Traditional Arabic" w:hint="cs"/>
          <w:color w:val="000000"/>
          <w:sz w:val="24"/>
          <w:szCs w:val="28"/>
          <w:rtl/>
        </w:rPr>
        <w:t xml:space="preserve"> فتجب الحيطة في أمر الراهن</w:t>
      </w:r>
      <w:r>
        <w:rPr>
          <w:rFonts w:cs="Traditional Arabic" w:hint="cs"/>
          <w:color w:val="000000"/>
          <w:sz w:val="24"/>
          <w:szCs w:val="28"/>
          <w:rtl/>
        </w:rPr>
        <w:t xml:space="preserve"> ،</w:t>
      </w:r>
      <w:r w:rsidRPr="00DC0143">
        <w:rPr>
          <w:rFonts w:cs="Traditional Arabic" w:hint="cs"/>
          <w:color w:val="000000"/>
          <w:sz w:val="24"/>
          <w:szCs w:val="28"/>
          <w:rtl/>
        </w:rPr>
        <w:t xml:space="preserve"> لا سيما أنه لا ستبقى الملكية فحسب</w:t>
      </w:r>
      <w:r>
        <w:rPr>
          <w:rFonts w:cs="Traditional Arabic" w:hint="cs"/>
          <w:color w:val="000000"/>
          <w:sz w:val="24"/>
          <w:szCs w:val="28"/>
          <w:rtl/>
        </w:rPr>
        <w:t xml:space="preserve"> ،</w:t>
      </w:r>
      <w:r w:rsidRPr="00DC0143">
        <w:rPr>
          <w:rFonts w:cs="Traditional Arabic" w:hint="cs"/>
          <w:color w:val="000000"/>
          <w:sz w:val="24"/>
          <w:szCs w:val="28"/>
          <w:rtl/>
        </w:rPr>
        <w:t xml:space="preserve"> بل يستبقى أيضاً الحيازة</w:t>
      </w:r>
      <w:r>
        <w:rPr>
          <w:rFonts w:cs="Traditional Arabic" w:hint="cs"/>
          <w:color w:val="000000"/>
          <w:sz w:val="24"/>
          <w:szCs w:val="28"/>
          <w:rtl/>
        </w:rPr>
        <w:t xml:space="preserve"> .</w:t>
      </w:r>
      <w:r w:rsidRPr="00DC0143">
        <w:rPr>
          <w:rFonts w:cs="Traditional Arabic" w:hint="cs"/>
          <w:color w:val="000000"/>
          <w:sz w:val="24"/>
          <w:szCs w:val="28"/>
          <w:rtl/>
        </w:rPr>
        <w:t xml:space="preserve"> ولذلك اشترطت الرسمية في عقد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ولم يشترط في عقد الرهن الحيازي </w:t>
      </w:r>
      <w:r>
        <w:rPr>
          <w:rFonts w:cs="Traditional Arabic" w:hint="cs"/>
          <w:color w:val="000000"/>
          <w:sz w:val="24"/>
          <w:szCs w:val="28"/>
          <w:rtl/>
        </w:rPr>
        <w:t xml:space="preserve">( </w:t>
      </w:r>
      <w:r w:rsidRPr="00DC0143">
        <w:rPr>
          <w:rFonts w:cs="Traditional Arabic" w:hint="cs"/>
          <w:color w:val="000000"/>
          <w:sz w:val="24"/>
          <w:szCs w:val="28"/>
          <w:rtl/>
        </w:rPr>
        <w:t xml:space="preserve">انظر ما يلي نفس الفقرة في الهامش </w:t>
      </w:r>
      <w:r w:rsidRPr="00DC0143">
        <w:rPr>
          <w:rFonts w:cs="Traditional Arabic"/>
          <w:color w:val="000000"/>
          <w:sz w:val="24"/>
          <w:szCs w:val="28"/>
          <w:rtl/>
        </w:rPr>
        <w:t>–</w:t>
      </w:r>
      <w:r w:rsidRPr="00DC0143">
        <w:rPr>
          <w:rFonts w:cs="Traditional Arabic" w:hint="cs"/>
          <w:color w:val="000000"/>
          <w:sz w:val="24"/>
          <w:szCs w:val="28"/>
          <w:rtl/>
        </w:rPr>
        <w:t xml:space="preserve"> وقارن بلانيول وريبير وبيكيه 12 فقرة 446 ص 484 </w:t>
      </w:r>
      <w:r w:rsidRPr="00DC0143">
        <w:rPr>
          <w:rFonts w:cs="Traditional Arabic"/>
          <w:color w:val="000000"/>
          <w:sz w:val="24"/>
          <w:szCs w:val="28"/>
          <w:rtl/>
        </w:rPr>
        <w:t>–</w:t>
      </w:r>
      <w:r w:rsidRPr="00DC0143">
        <w:rPr>
          <w:rFonts w:cs="Traditional Arabic" w:hint="cs"/>
          <w:color w:val="000000"/>
          <w:sz w:val="24"/>
          <w:szCs w:val="28"/>
          <w:rtl/>
        </w:rPr>
        <w:t xml:space="preserve"> ص 485</w:t>
      </w:r>
      <w:r>
        <w:rPr>
          <w:rFonts w:cs="Traditional Arabic" w:hint="cs"/>
          <w:color w:val="000000"/>
          <w:sz w:val="24"/>
          <w:szCs w:val="28"/>
          <w:rtl/>
        </w:rPr>
        <w:t xml:space="preserve"> ) .</w:t>
      </w:r>
    </w:p>
  </w:footnote>
  <w:footnote w:id="62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1406 </w:t>
      </w:r>
      <w:r w:rsidRPr="00DC0143">
        <w:rPr>
          <w:rFonts w:cs="Traditional Arabic"/>
          <w:color w:val="000000"/>
          <w:sz w:val="24"/>
          <w:szCs w:val="28"/>
          <w:rtl/>
        </w:rPr>
        <w:t>–</w:t>
      </w:r>
      <w:r w:rsidRPr="00DC0143">
        <w:rPr>
          <w:rFonts w:cs="Traditional Arabic" w:hint="cs"/>
          <w:color w:val="000000"/>
          <w:sz w:val="24"/>
          <w:szCs w:val="28"/>
          <w:rtl/>
        </w:rPr>
        <w:t xml:space="preserve"> بيدان وفوران فقرة 789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1753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446 ص 485 هامش 3</w:t>
      </w:r>
      <w:r>
        <w:rPr>
          <w:rFonts w:cs="Traditional Arabic" w:hint="cs"/>
          <w:color w:val="000000"/>
          <w:sz w:val="24"/>
          <w:szCs w:val="28"/>
          <w:rtl/>
        </w:rPr>
        <w:t xml:space="preserve"> .</w:t>
      </w:r>
    </w:p>
  </w:footnote>
  <w:footnote w:id="62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ويقول الأستاذ سمير تناغر</w:t>
      </w:r>
      <w:r>
        <w:rPr>
          <w:rFonts w:cs="Traditional Arabic" w:hint="cs"/>
          <w:color w:val="000000"/>
          <w:sz w:val="24"/>
          <w:szCs w:val="28"/>
          <w:rtl/>
        </w:rPr>
        <w:t xml:space="preserve"> :</w:t>
      </w:r>
      <w:r w:rsidRPr="00DC0143">
        <w:rPr>
          <w:rFonts w:cs="Traditional Arabic" w:hint="cs"/>
          <w:color w:val="000000"/>
          <w:sz w:val="24"/>
          <w:szCs w:val="28"/>
          <w:rtl/>
        </w:rPr>
        <w:t xml:space="preserve"> "وليس صحيحا أن تعقد المقارنة بين الرهن الرسمي والرهن الحيازي</w:t>
      </w:r>
      <w:r>
        <w:rPr>
          <w:rFonts w:cs="Traditional Arabic" w:hint="cs"/>
          <w:color w:val="000000"/>
          <w:sz w:val="24"/>
          <w:szCs w:val="28"/>
          <w:rtl/>
        </w:rPr>
        <w:t xml:space="preserve"> ،</w:t>
      </w:r>
      <w:r w:rsidRPr="00DC0143">
        <w:rPr>
          <w:rFonts w:cs="Traditional Arabic" w:hint="cs"/>
          <w:color w:val="000000"/>
          <w:sz w:val="24"/>
          <w:szCs w:val="28"/>
          <w:rtl/>
        </w:rPr>
        <w:t xml:space="preserve"> فيقال أن المشرع لا يشترط الرسمية في الرهن الحيازي مع أن له نفس خطورة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ذلك أنه في الرهن الحيازي ينقل الراهن حيازة العقار إلى المرتهن وفي هذا تنبيه كافٍ إلى خطورة تصرفه</w:t>
      </w:r>
      <w:r>
        <w:rPr>
          <w:rFonts w:cs="Traditional Arabic" w:hint="cs"/>
          <w:color w:val="000000"/>
          <w:sz w:val="24"/>
          <w:szCs w:val="28"/>
          <w:rtl/>
        </w:rPr>
        <w:t xml:space="preserve"> ،</w:t>
      </w:r>
      <w:r w:rsidRPr="00DC0143">
        <w:rPr>
          <w:rFonts w:cs="Traditional Arabic" w:hint="cs"/>
          <w:color w:val="000000"/>
          <w:sz w:val="24"/>
          <w:szCs w:val="28"/>
          <w:rtl/>
        </w:rPr>
        <w:t xml:space="preserve"> أما في الرهن الرسمي فيظل الراهن محتفظا بالسيطرة على العقار المرهون بما قد يوحي له أنه لم يفقد شيئاً بالرهن</w:t>
      </w:r>
      <w:r>
        <w:rPr>
          <w:rFonts w:cs="Traditional Arabic" w:hint="cs"/>
          <w:color w:val="000000"/>
          <w:sz w:val="24"/>
          <w:szCs w:val="28"/>
          <w:rtl/>
        </w:rPr>
        <w:t xml:space="preserve"> .</w:t>
      </w:r>
      <w:r w:rsidRPr="00DC0143">
        <w:rPr>
          <w:rFonts w:cs="Traditional Arabic" w:hint="cs"/>
          <w:color w:val="000000"/>
          <w:sz w:val="24"/>
          <w:szCs w:val="28"/>
          <w:rtl/>
        </w:rPr>
        <w:t xml:space="preserve"> وليس صحيحاً ما يقال</w:t>
      </w:r>
      <w:r>
        <w:rPr>
          <w:rFonts w:cs="Traditional Arabic" w:hint="cs"/>
          <w:color w:val="000000"/>
          <w:sz w:val="24"/>
          <w:szCs w:val="28"/>
          <w:rtl/>
        </w:rPr>
        <w:t xml:space="preserve"> ،</w:t>
      </w:r>
      <w:r w:rsidRPr="00DC0143">
        <w:rPr>
          <w:rFonts w:cs="Traditional Arabic" w:hint="cs"/>
          <w:color w:val="000000"/>
          <w:sz w:val="24"/>
          <w:szCs w:val="28"/>
          <w:rtl/>
        </w:rPr>
        <w:t xml:space="preserve"> في مقارنة الرهن الرسمي بالبيع</w:t>
      </w:r>
      <w:r>
        <w:rPr>
          <w:rFonts w:cs="Traditional Arabic" w:hint="cs"/>
          <w:color w:val="000000"/>
          <w:sz w:val="24"/>
          <w:szCs w:val="28"/>
          <w:rtl/>
        </w:rPr>
        <w:t xml:space="preserve"> ،</w:t>
      </w:r>
      <w:r w:rsidRPr="00DC0143">
        <w:rPr>
          <w:rFonts w:cs="Traditional Arabic" w:hint="cs"/>
          <w:color w:val="000000"/>
          <w:sz w:val="24"/>
          <w:szCs w:val="28"/>
          <w:rtl/>
        </w:rPr>
        <w:t xml:space="preserve"> من أن المشرع لم يشترط الرسمية في البيع رغم أنه تصرف أشد خطورة من الرهن إذ بمقتضاه تنتقل الملكية من البائع إلى المشتري</w:t>
      </w:r>
      <w:r>
        <w:rPr>
          <w:rFonts w:cs="Traditional Arabic" w:hint="cs"/>
          <w:color w:val="000000"/>
          <w:sz w:val="24"/>
          <w:szCs w:val="28"/>
          <w:rtl/>
        </w:rPr>
        <w:t xml:space="preserve"> ،</w:t>
      </w:r>
      <w:r w:rsidRPr="00DC0143">
        <w:rPr>
          <w:rFonts w:cs="Traditional Arabic" w:hint="cs"/>
          <w:color w:val="000000"/>
          <w:sz w:val="24"/>
          <w:szCs w:val="28"/>
          <w:rtl/>
        </w:rPr>
        <w:t xml:space="preserve"> لأن في انتقال الملكية وحده ما ينبه البائع إلى خطورة تصرفه</w:t>
      </w:r>
      <w:r>
        <w:rPr>
          <w:rFonts w:cs="Traditional Arabic" w:hint="cs"/>
          <w:color w:val="000000"/>
          <w:sz w:val="24"/>
          <w:szCs w:val="28"/>
          <w:rtl/>
        </w:rPr>
        <w:t xml:space="preserve"> ،</w:t>
      </w:r>
      <w:r w:rsidRPr="00DC0143">
        <w:rPr>
          <w:rFonts w:cs="Traditional Arabic" w:hint="cs"/>
          <w:color w:val="000000"/>
          <w:sz w:val="24"/>
          <w:szCs w:val="28"/>
          <w:rtl/>
        </w:rPr>
        <w:t xml:space="preserve"> أما الراهن فإنه يحتفظ بالملكية وهو غالباً يعتقد أنه سيوفي الدين في أجله فلا شيء يهدد ملكيته ثم يخيب تقديره بعد ذلك" </w:t>
      </w:r>
      <w:r>
        <w:rPr>
          <w:rFonts w:cs="Traditional Arabic" w:hint="cs"/>
          <w:color w:val="000000"/>
          <w:sz w:val="24"/>
          <w:szCs w:val="28"/>
          <w:rtl/>
        </w:rPr>
        <w:t xml:space="preserve">( </w:t>
      </w:r>
      <w:r w:rsidRPr="00DC0143">
        <w:rPr>
          <w:rFonts w:cs="Traditional Arabic" w:hint="cs"/>
          <w:color w:val="000000"/>
          <w:sz w:val="24"/>
          <w:szCs w:val="28"/>
          <w:rtl/>
        </w:rPr>
        <w:t xml:space="preserve">سمير تناغر فقرة 6 ص 22 </w:t>
      </w:r>
      <w:r w:rsidRPr="00DC0143">
        <w:rPr>
          <w:rFonts w:cs="Traditional Arabic"/>
          <w:color w:val="000000"/>
          <w:sz w:val="24"/>
          <w:szCs w:val="28"/>
          <w:rtl/>
        </w:rPr>
        <w:t>–</w:t>
      </w:r>
      <w:r w:rsidRPr="00DC0143">
        <w:rPr>
          <w:rFonts w:cs="Traditional Arabic" w:hint="cs"/>
          <w:color w:val="000000"/>
          <w:sz w:val="24"/>
          <w:szCs w:val="28"/>
          <w:rtl/>
        </w:rPr>
        <w:t xml:space="preserve"> ص 23 </w:t>
      </w:r>
      <w:r w:rsidRPr="00DC0143">
        <w:rPr>
          <w:rFonts w:cs="Traditional Arabic"/>
          <w:color w:val="000000"/>
          <w:sz w:val="24"/>
          <w:szCs w:val="28"/>
          <w:rtl/>
        </w:rPr>
        <w:t>–</w:t>
      </w:r>
      <w:r w:rsidRPr="00DC0143">
        <w:rPr>
          <w:rFonts w:cs="Traditional Arabic" w:hint="cs"/>
          <w:color w:val="000000"/>
          <w:sz w:val="24"/>
          <w:szCs w:val="28"/>
          <w:rtl/>
        </w:rPr>
        <w:t xml:space="preserve"> وانظر آنفاً نفس الفقرة في الهامش</w:t>
      </w:r>
      <w:r>
        <w:rPr>
          <w:rFonts w:cs="Traditional Arabic" w:hint="cs"/>
          <w:color w:val="000000"/>
          <w:sz w:val="24"/>
          <w:szCs w:val="28"/>
          <w:rtl/>
        </w:rPr>
        <w:t xml:space="preserve"> ) .</w:t>
      </w:r>
    </w:p>
  </w:footnote>
  <w:footnote w:id="62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بلانيول وريبير وبيكيه 12 فقرة 446 ص 485 </w:t>
      </w:r>
      <w:r w:rsidRPr="00DC0143">
        <w:rPr>
          <w:rFonts w:cs="Traditional Arabic"/>
          <w:color w:val="000000"/>
          <w:sz w:val="24"/>
          <w:szCs w:val="28"/>
          <w:rtl/>
        </w:rPr>
        <w:t>–</w:t>
      </w:r>
      <w:r w:rsidRPr="00DC0143">
        <w:rPr>
          <w:rFonts w:cs="Traditional Arabic" w:hint="cs"/>
          <w:color w:val="000000"/>
          <w:sz w:val="24"/>
          <w:szCs w:val="28"/>
          <w:rtl/>
        </w:rPr>
        <w:t xml:space="preserve"> ص 486</w:t>
      </w:r>
      <w:r>
        <w:rPr>
          <w:rFonts w:cs="Traditional Arabic" w:hint="cs"/>
          <w:color w:val="000000"/>
          <w:sz w:val="24"/>
          <w:szCs w:val="28"/>
          <w:rtl/>
        </w:rPr>
        <w:t xml:space="preserve"> ) .</w:t>
      </w:r>
    </w:p>
  </w:footnote>
  <w:footnote w:id="62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بيدان وفوران فقرة 14 ص 200 مازو 3 ص 228</w:t>
      </w:r>
      <w:r>
        <w:rPr>
          <w:rFonts w:cs="Traditional Arabic" w:hint="cs"/>
          <w:color w:val="000000"/>
          <w:sz w:val="24"/>
          <w:szCs w:val="28"/>
          <w:rtl/>
        </w:rPr>
        <w:t xml:space="preserve"> .</w:t>
      </w:r>
    </w:p>
  </w:footnote>
  <w:footnote w:id="62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محمد كامل مرسي فقرة 62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191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180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63</w:t>
      </w:r>
      <w:r>
        <w:rPr>
          <w:rFonts w:cs="Traditional Arabic" w:hint="cs"/>
          <w:color w:val="000000"/>
          <w:sz w:val="24"/>
          <w:szCs w:val="28"/>
          <w:rtl/>
        </w:rPr>
        <w:t xml:space="preserve"> .</w:t>
      </w:r>
    </w:p>
  </w:footnote>
  <w:footnote w:id="62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124</w:t>
      </w:r>
      <w:r>
        <w:rPr>
          <w:rFonts w:cs="Traditional Arabic" w:hint="cs"/>
          <w:color w:val="000000"/>
          <w:sz w:val="24"/>
          <w:szCs w:val="28"/>
          <w:rtl/>
        </w:rPr>
        <w:t xml:space="preserve"> .</w:t>
      </w:r>
    </w:p>
  </w:footnote>
  <w:footnote w:id="63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شفيق شحاته فقرة 51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54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7 </w:t>
      </w:r>
      <w:r w:rsidRPr="00DC0143">
        <w:rPr>
          <w:rFonts w:cs="Traditional Arabic"/>
          <w:color w:val="000000"/>
          <w:sz w:val="24"/>
          <w:szCs w:val="28"/>
          <w:rtl/>
        </w:rPr>
        <w:t>–</w:t>
      </w:r>
      <w:r w:rsidRPr="00DC0143">
        <w:rPr>
          <w:rFonts w:cs="Traditional Arabic" w:hint="cs"/>
          <w:color w:val="000000"/>
          <w:sz w:val="24"/>
          <w:szCs w:val="28"/>
          <w:rtl/>
        </w:rPr>
        <w:t xml:space="preserve"> وانظر منصور مصطفى منصور حيث يعرض الرأيين دون ترجيح فقرة 24 ص 67 </w:t>
      </w:r>
      <w:r w:rsidRPr="00DC0143">
        <w:rPr>
          <w:rFonts w:cs="Traditional Arabic"/>
          <w:color w:val="000000"/>
          <w:sz w:val="24"/>
          <w:szCs w:val="28"/>
          <w:rtl/>
        </w:rPr>
        <w:t>–</w:t>
      </w:r>
      <w:r w:rsidRPr="00DC0143">
        <w:rPr>
          <w:rFonts w:cs="Traditional Arabic" w:hint="cs"/>
          <w:color w:val="000000"/>
          <w:sz w:val="24"/>
          <w:szCs w:val="28"/>
          <w:rtl/>
        </w:rPr>
        <w:t xml:space="preserve"> ص 68</w:t>
      </w:r>
      <w:r>
        <w:rPr>
          <w:rFonts w:cs="Traditional Arabic" w:hint="cs"/>
          <w:color w:val="000000"/>
          <w:sz w:val="24"/>
          <w:szCs w:val="28"/>
          <w:rtl/>
        </w:rPr>
        <w:t xml:space="preserve"> .</w:t>
      </w:r>
    </w:p>
  </w:footnote>
  <w:footnote w:id="63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ما يلي فقرة 130</w:t>
      </w:r>
      <w:r>
        <w:rPr>
          <w:rFonts w:cs="Traditional Arabic" w:hint="cs"/>
          <w:color w:val="000000"/>
          <w:sz w:val="24"/>
          <w:szCs w:val="28"/>
          <w:rtl/>
        </w:rPr>
        <w:t xml:space="preserve"> .</w:t>
      </w:r>
    </w:p>
  </w:footnote>
  <w:footnote w:id="63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ولكن يبقى عقدا ملزماً</w:t>
      </w:r>
      <w:r>
        <w:rPr>
          <w:rFonts w:cs="Traditional Arabic" w:hint="cs"/>
          <w:color w:val="000000"/>
          <w:sz w:val="24"/>
          <w:szCs w:val="28"/>
          <w:rtl/>
        </w:rPr>
        <w:t xml:space="preserve"> ،</w:t>
      </w:r>
      <w:r w:rsidRPr="00DC0143">
        <w:rPr>
          <w:rFonts w:cs="Traditional Arabic" w:hint="cs"/>
          <w:color w:val="000000"/>
          <w:sz w:val="24"/>
          <w:szCs w:val="28"/>
          <w:rtl/>
        </w:rPr>
        <w:t xml:space="preserve"> فيجب على الواعد أن يقوم بدفع التعويض</w:t>
      </w:r>
      <w:r>
        <w:rPr>
          <w:rFonts w:cs="Traditional Arabic" w:hint="cs"/>
          <w:color w:val="000000"/>
          <w:sz w:val="24"/>
          <w:szCs w:val="28"/>
          <w:rtl/>
        </w:rPr>
        <w:t xml:space="preserve"> ،</w:t>
      </w:r>
      <w:r w:rsidRPr="00DC0143">
        <w:rPr>
          <w:rFonts w:cs="Traditional Arabic" w:hint="cs"/>
          <w:color w:val="000000"/>
          <w:sz w:val="24"/>
          <w:szCs w:val="28"/>
          <w:rtl/>
        </w:rPr>
        <w:t xml:space="preserve"> ويجوز للموعود له أن يعتب ران أجل القرض قد سقط كما قدمنا فيطالب بالدين في الحال</w:t>
      </w:r>
      <w:r>
        <w:rPr>
          <w:rFonts w:cs="Traditional Arabic" w:hint="cs"/>
          <w:color w:val="000000"/>
          <w:sz w:val="24"/>
          <w:szCs w:val="28"/>
          <w:rtl/>
        </w:rPr>
        <w:t xml:space="preserve"> .</w:t>
      </w:r>
    </w:p>
  </w:footnote>
  <w:footnote w:id="63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على أن عقد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إذا كان طرفاه فرنسي الجنسية</w:t>
      </w:r>
      <w:r>
        <w:rPr>
          <w:rFonts w:cs="Traditional Arabic" w:hint="cs"/>
          <w:color w:val="000000"/>
          <w:sz w:val="24"/>
          <w:szCs w:val="28"/>
          <w:rtl/>
        </w:rPr>
        <w:t xml:space="preserve"> ،</w:t>
      </w:r>
      <w:r w:rsidRPr="00DC0143">
        <w:rPr>
          <w:rFonts w:cs="Traditional Arabic" w:hint="cs"/>
          <w:color w:val="000000"/>
          <w:sz w:val="24"/>
          <w:szCs w:val="28"/>
          <w:rtl/>
        </w:rPr>
        <w:t xml:space="preserve"> يمكن تحريره في القنصليات الفرنسية خارج فرنسا</w:t>
      </w:r>
      <w:r>
        <w:rPr>
          <w:rFonts w:cs="Traditional Arabic" w:hint="cs"/>
          <w:color w:val="000000"/>
          <w:sz w:val="24"/>
          <w:szCs w:val="28"/>
          <w:rtl/>
        </w:rPr>
        <w:t xml:space="preserve"> ،</w:t>
      </w:r>
      <w:r w:rsidRPr="00DC0143">
        <w:rPr>
          <w:rFonts w:cs="Traditional Arabic" w:hint="cs"/>
          <w:color w:val="000000"/>
          <w:sz w:val="24"/>
          <w:szCs w:val="28"/>
          <w:rtl/>
        </w:rPr>
        <w:t xml:space="preserve"> لأن هذه القنصليات لها هذا الحق بموجب القانون </w:t>
      </w:r>
      <w:r>
        <w:rPr>
          <w:rFonts w:cs="Traditional Arabic" w:hint="cs"/>
          <w:color w:val="000000"/>
          <w:sz w:val="24"/>
          <w:szCs w:val="28"/>
          <w:rtl/>
        </w:rPr>
        <w:t xml:space="preserve">( </w:t>
      </w:r>
      <w:r w:rsidRPr="00DC0143">
        <w:rPr>
          <w:rFonts w:cs="Traditional Arabic" w:hint="cs"/>
          <w:color w:val="000000"/>
          <w:sz w:val="24"/>
          <w:szCs w:val="28"/>
          <w:rtl/>
        </w:rPr>
        <w:t xml:space="preserve">بودري ودي لوان 2 فقرة 1419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1757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1679</w:t>
      </w:r>
      <w:r>
        <w:rPr>
          <w:rFonts w:cs="Traditional Arabic" w:hint="cs"/>
          <w:color w:val="000000"/>
          <w:sz w:val="24"/>
          <w:szCs w:val="28"/>
          <w:rtl/>
        </w:rPr>
        <w:t xml:space="preserve"> ) .</w:t>
      </w:r>
      <w:r w:rsidRPr="00DC0143">
        <w:rPr>
          <w:rFonts w:cs="Traditional Arabic" w:hint="cs"/>
          <w:color w:val="000000"/>
          <w:sz w:val="24"/>
          <w:szCs w:val="28"/>
          <w:rtl/>
        </w:rPr>
        <w:t xml:space="preserve"> ويجوز لكل شخص</w:t>
      </w:r>
      <w:r>
        <w:rPr>
          <w:rFonts w:cs="Traditional Arabic" w:hint="cs"/>
          <w:color w:val="000000"/>
          <w:sz w:val="24"/>
          <w:szCs w:val="28"/>
          <w:rtl/>
        </w:rPr>
        <w:t xml:space="preserve"> ،</w:t>
      </w:r>
      <w:r w:rsidRPr="00DC0143">
        <w:rPr>
          <w:rFonts w:cs="Traditional Arabic" w:hint="cs"/>
          <w:color w:val="000000"/>
          <w:sz w:val="24"/>
          <w:szCs w:val="28"/>
          <w:rtl/>
        </w:rPr>
        <w:t xml:space="preserve"> ولو كان غير فرنسي الجنسية</w:t>
      </w:r>
      <w:r>
        <w:rPr>
          <w:rFonts w:cs="Traditional Arabic" w:hint="cs"/>
          <w:color w:val="000000"/>
          <w:sz w:val="24"/>
          <w:szCs w:val="28"/>
          <w:rtl/>
        </w:rPr>
        <w:t xml:space="preserve"> ،</w:t>
      </w:r>
      <w:r w:rsidRPr="00DC0143">
        <w:rPr>
          <w:rFonts w:cs="Traditional Arabic" w:hint="cs"/>
          <w:color w:val="000000"/>
          <w:sz w:val="24"/>
          <w:szCs w:val="28"/>
          <w:rtl/>
        </w:rPr>
        <w:t xml:space="preserve"> أن يبرم توكيلا رسمياً</w:t>
      </w:r>
      <w:r>
        <w:rPr>
          <w:rFonts w:cs="Traditional Arabic" w:hint="cs"/>
          <w:color w:val="000000"/>
          <w:sz w:val="24"/>
          <w:szCs w:val="28"/>
          <w:rtl/>
        </w:rPr>
        <w:t xml:space="preserve"> ،</w:t>
      </w:r>
      <w:r w:rsidRPr="00DC0143">
        <w:rPr>
          <w:rFonts w:cs="Traditional Arabic" w:hint="cs"/>
          <w:color w:val="000000"/>
          <w:sz w:val="24"/>
          <w:szCs w:val="28"/>
          <w:rtl/>
        </w:rPr>
        <w:t xml:space="preserve"> بحسب رسوم البلد الذي أبرم فيه التوكيل لشخص في فرنسا يفوض له أن يبرم عق رهن رسمي على عقار موجود في فرنسا</w:t>
      </w:r>
      <w:r>
        <w:rPr>
          <w:rFonts w:cs="Traditional Arabic" w:hint="cs"/>
          <w:color w:val="000000"/>
          <w:sz w:val="24"/>
          <w:szCs w:val="28"/>
          <w:rtl/>
        </w:rPr>
        <w:t xml:space="preserve"> .</w:t>
      </w:r>
      <w:r w:rsidRPr="00DC0143">
        <w:rPr>
          <w:rFonts w:cs="Traditional Arabic" w:hint="cs"/>
          <w:color w:val="000000"/>
          <w:sz w:val="24"/>
          <w:szCs w:val="28"/>
          <w:rtl/>
        </w:rPr>
        <w:t xml:space="preserve"> ويجوز أخيراً</w:t>
      </w:r>
      <w:r>
        <w:rPr>
          <w:rFonts w:cs="Traditional Arabic" w:hint="cs"/>
          <w:color w:val="000000"/>
          <w:sz w:val="24"/>
          <w:szCs w:val="28"/>
          <w:rtl/>
        </w:rPr>
        <w:t xml:space="preserve"> ،</w:t>
      </w:r>
      <w:r w:rsidRPr="00DC0143">
        <w:rPr>
          <w:rFonts w:cs="Traditional Arabic" w:hint="cs"/>
          <w:color w:val="000000"/>
          <w:sz w:val="24"/>
          <w:szCs w:val="28"/>
          <w:rtl/>
        </w:rPr>
        <w:t xml:space="preserve"> بموجب معاهدات معينة</w:t>
      </w:r>
      <w:r>
        <w:rPr>
          <w:rFonts w:cs="Traditional Arabic" w:hint="cs"/>
          <w:color w:val="000000"/>
          <w:sz w:val="24"/>
          <w:szCs w:val="28"/>
          <w:rtl/>
        </w:rPr>
        <w:t xml:space="preserve"> ،</w:t>
      </w:r>
      <w:r w:rsidRPr="00DC0143">
        <w:rPr>
          <w:rFonts w:cs="Traditional Arabic" w:hint="cs"/>
          <w:color w:val="000000"/>
          <w:sz w:val="24"/>
          <w:szCs w:val="28"/>
          <w:rtl/>
        </w:rPr>
        <w:t xml:space="preserve"> إبرام عقد رهن رسمي خارج فرنسا على عقار موجود في فرنسا</w:t>
      </w:r>
      <w:r>
        <w:rPr>
          <w:rFonts w:cs="Traditional Arabic" w:hint="cs"/>
          <w:color w:val="000000"/>
          <w:sz w:val="24"/>
          <w:szCs w:val="28"/>
          <w:rtl/>
        </w:rPr>
        <w:t xml:space="preserve"> ،</w:t>
      </w:r>
      <w:r w:rsidRPr="00DC0143">
        <w:rPr>
          <w:rFonts w:cs="Traditional Arabic" w:hint="cs"/>
          <w:color w:val="000000"/>
          <w:sz w:val="24"/>
          <w:szCs w:val="28"/>
          <w:rtl/>
        </w:rPr>
        <w:t xml:space="preserve"> ومن ذلك المعاهدات المبرمة بين فرنسا وإيطاليا وفرنسا وسويسرا </w:t>
      </w:r>
      <w:r>
        <w:rPr>
          <w:rFonts w:cs="Traditional Arabic" w:hint="cs"/>
          <w:color w:val="000000"/>
          <w:sz w:val="24"/>
          <w:szCs w:val="28"/>
          <w:rtl/>
        </w:rPr>
        <w:t xml:space="preserve">( </w:t>
      </w:r>
      <w:r w:rsidRPr="00DC0143">
        <w:rPr>
          <w:rFonts w:cs="Traditional Arabic" w:hint="cs"/>
          <w:color w:val="000000"/>
          <w:sz w:val="24"/>
          <w:szCs w:val="28"/>
          <w:rtl/>
        </w:rPr>
        <w:t>انظر بلانيول وريبير وبيكيه 12 فقرة 456 ص 459</w:t>
      </w:r>
      <w:r>
        <w:rPr>
          <w:rFonts w:cs="Traditional Arabic" w:hint="cs"/>
          <w:color w:val="000000"/>
          <w:sz w:val="24"/>
          <w:szCs w:val="28"/>
          <w:rtl/>
        </w:rPr>
        <w:t xml:space="preserve"> ) .</w:t>
      </w:r>
    </w:p>
  </w:footnote>
  <w:footnote w:id="63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في هذا المعنى سليمان مرقس فقرة 64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25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68 ص 94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10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محمد كامل مرسي فقرة 65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54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193  - محمد علي إمام فقرة 181</w:t>
      </w:r>
      <w:r>
        <w:rPr>
          <w:rFonts w:cs="Traditional Arabic" w:hint="cs"/>
          <w:color w:val="000000"/>
          <w:sz w:val="24"/>
          <w:szCs w:val="28"/>
          <w:rtl/>
        </w:rPr>
        <w:t xml:space="preserve"> .</w:t>
      </w:r>
    </w:p>
  </w:footnote>
  <w:footnote w:id="63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وإذا عقد الرهن الرسمي في بلد أجنبي طبقاً لقانون الشكل في هذا البلد</w:t>
      </w:r>
      <w:r>
        <w:rPr>
          <w:rFonts w:cs="Traditional Arabic" w:hint="cs"/>
          <w:color w:val="000000"/>
          <w:sz w:val="24"/>
          <w:szCs w:val="28"/>
          <w:rtl/>
        </w:rPr>
        <w:t xml:space="preserve"> ،</w:t>
      </w:r>
      <w:r w:rsidRPr="00DC0143">
        <w:rPr>
          <w:rFonts w:cs="Traditional Arabic" w:hint="cs"/>
          <w:color w:val="000000"/>
          <w:sz w:val="24"/>
          <w:szCs w:val="28"/>
          <w:rtl/>
        </w:rPr>
        <w:t xml:space="preserve"> فإن العقد يترتب عليه نشوء حق الرهن الرسمي على العقار الموجود في مصر</w:t>
      </w:r>
      <w:r>
        <w:rPr>
          <w:rFonts w:cs="Traditional Arabic" w:hint="cs"/>
          <w:color w:val="000000"/>
          <w:sz w:val="24"/>
          <w:szCs w:val="28"/>
          <w:rtl/>
        </w:rPr>
        <w:t xml:space="preserve"> .</w:t>
      </w:r>
      <w:r w:rsidRPr="00DC0143">
        <w:rPr>
          <w:rFonts w:cs="Traditional Arabic" w:hint="cs"/>
          <w:color w:val="000000"/>
          <w:sz w:val="24"/>
          <w:szCs w:val="28"/>
          <w:rtl/>
        </w:rPr>
        <w:t xml:space="preserve"> ولكن لا تثبت للعقد القوة التنفيذية في مصر من تلقاء نفسه</w:t>
      </w:r>
      <w:r>
        <w:rPr>
          <w:rFonts w:cs="Traditional Arabic" w:hint="cs"/>
          <w:color w:val="000000"/>
          <w:sz w:val="24"/>
          <w:szCs w:val="28"/>
          <w:rtl/>
        </w:rPr>
        <w:t xml:space="preserve"> ،</w:t>
      </w:r>
      <w:r w:rsidRPr="00DC0143">
        <w:rPr>
          <w:rFonts w:cs="Traditional Arabic" w:hint="cs"/>
          <w:color w:val="000000"/>
          <w:sz w:val="24"/>
          <w:szCs w:val="28"/>
          <w:rtl/>
        </w:rPr>
        <w:t xml:space="preserve"> فيتعين على الدائن أن يحصل على أمر تنفيذه</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يكن دينه ثابتاً قبل الرهن المعقود في الخارج بحكم واجب التنفيذ أو بعقد رسمي محرر من جهة اختصاص </w:t>
      </w:r>
      <w:r>
        <w:rPr>
          <w:rFonts w:cs="Traditional Arabic" w:hint="cs"/>
          <w:color w:val="000000"/>
          <w:sz w:val="24"/>
          <w:szCs w:val="28"/>
          <w:rtl/>
        </w:rPr>
        <w:t xml:space="preserve">( </w:t>
      </w:r>
      <w:r w:rsidRPr="00DC0143">
        <w:rPr>
          <w:rFonts w:cs="Traditional Arabic" w:hint="cs"/>
          <w:color w:val="000000"/>
          <w:sz w:val="24"/>
          <w:szCs w:val="28"/>
          <w:rtl/>
        </w:rPr>
        <w:t>سليمان مرقس فقرة 64 ص 111</w:t>
      </w:r>
      <w:r>
        <w:rPr>
          <w:rFonts w:cs="Traditional Arabic" w:hint="cs"/>
          <w:color w:val="000000"/>
          <w:sz w:val="24"/>
          <w:szCs w:val="28"/>
          <w:rtl/>
        </w:rPr>
        <w:t xml:space="preserve"> ) .</w:t>
      </w:r>
    </w:p>
  </w:footnote>
  <w:footnote w:id="63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123</w:t>
      </w:r>
      <w:r>
        <w:rPr>
          <w:rFonts w:cs="Traditional Arabic" w:hint="cs"/>
          <w:color w:val="000000"/>
          <w:sz w:val="24"/>
          <w:szCs w:val="28"/>
          <w:rtl/>
        </w:rPr>
        <w:t xml:space="preserve"> ) .</w:t>
      </w:r>
    </w:p>
  </w:footnote>
  <w:footnote w:id="63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يتضح من الظروف أن مالك العقار المرهون إنما أراد أن يدفع نفقات العقد</w:t>
      </w:r>
      <w:r>
        <w:rPr>
          <w:rFonts w:cs="Traditional Arabic" w:hint="cs"/>
          <w:color w:val="000000"/>
          <w:sz w:val="24"/>
          <w:szCs w:val="28"/>
          <w:rtl/>
        </w:rPr>
        <w:t xml:space="preserve"> ،</w:t>
      </w:r>
      <w:r w:rsidRPr="00DC0143">
        <w:rPr>
          <w:rFonts w:cs="Traditional Arabic" w:hint="cs"/>
          <w:color w:val="000000"/>
          <w:sz w:val="24"/>
          <w:szCs w:val="28"/>
          <w:rtl/>
        </w:rPr>
        <w:t xml:space="preserve"> دون أن يرجع بها على المدين </w:t>
      </w:r>
      <w:r>
        <w:rPr>
          <w:rFonts w:cs="Traditional Arabic" w:hint="cs"/>
          <w:color w:val="000000"/>
          <w:sz w:val="24"/>
          <w:szCs w:val="28"/>
          <w:rtl/>
        </w:rPr>
        <w:t xml:space="preserve">( </w:t>
      </w:r>
      <w:r w:rsidRPr="00DC0143">
        <w:rPr>
          <w:rFonts w:cs="Traditional Arabic" w:hint="cs"/>
          <w:color w:val="000000"/>
          <w:sz w:val="24"/>
          <w:szCs w:val="28"/>
          <w:rtl/>
        </w:rPr>
        <w:t>منصور مصطفى منصور فقرة 29</w:t>
      </w:r>
      <w:r>
        <w:rPr>
          <w:rFonts w:cs="Traditional Arabic" w:hint="cs"/>
          <w:color w:val="000000"/>
          <w:sz w:val="24"/>
          <w:szCs w:val="28"/>
          <w:rtl/>
        </w:rPr>
        <w:t xml:space="preserve"> ) .</w:t>
      </w:r>
    </w:p>
  </w:footnote>
  <w:footnote w:id="63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بيدان وفوران 14 فقرة 799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452</w:t>
      </w:r>
      <w:r>
        <w:rPr>
          <w:rFonts w:cs="Traditional Arabic" w:hint="cs"/>
          <w:color w:val="000000"/>
          <w:sz w:val="24"/>
          <w:szCs w:val="28"/>
          <w:rtl/>
        </w:rPr>
        <w:t xml:space="preserve"> .</w:t>
      </w:r>
    </w:p>
  </w:footnote>
  <w:footnote w:id="63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125</w:t>
      </w:r>
      <w:r>
        <w:rPr>
          <w:rFonts w:cs="Traditional Arabic" w:hint="cs"/>
          <w:color w:val="000000"/>
          <w:sz w:val="24"/>
          <w:szCs w:val="28"/>
          <w:rtl/>
        </w:rPr>
        <w:t xml:space="preserve"> .</w:t>
      </w:r>
    </w:p>
  </w:footnote>
  <w:footnote w:id="64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8 ص 27</w:t>
      </w:r>
      <w:r>
        <w:rPr>
          <w:rFonts w:cs="Traditional Arabic" w:hint="cs"/>
          <w:color w:val="000000"/>
          <w:sz w:val="24"/>
          <w:szCs w:val="28"/>
          <w:rtl/>
        </w:rPr>
        <w:t xml:space="preserve"> .</w:t>
      </w:r>
    </w:p>
  </w:footnote>
  <w:footnote w:id="64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المذكرة الإيضاحية للمشروع التمهيدي في مجموعة الأعمال التحضيرية 2 ص 74</w:t>
      </w:r>
      <w:r>
        <w:rPr>
          <w:rFonts w:cs="Traditional Arabic" w:hint="cs"/>
          <w:color w:val="000000"/>
          <w:sz w:val="24"/>
          <w:szCs w:val="28"/>
          <w:rtl/>
        </w:rPr>
        <w:t xml:space="preserve"> .</w:t>
      </w:r>
    </w:p>
  </w:footnote>
  <w:footnote w:id="64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2 ص 75</w:t>
      </w:r>
      <w:r>
        <w:rPr>
          <w:rFonts w:cs="Traditional Arabic" w:hint="cs"/>
          <w:color w:val="000000"/>
          <w:sz w:val="24"/>
          <w:szCs w:val="28"/>
          <w:rtl/>
        </w:rPr>
        <w:t xml:space="preserve"> .</w:t>
      </w:r>
    </w:p>
  </w:footnote>
  <w:footnote w:id="64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الوسيط جزء أول فقرة 135 </w:t>
      </w:r>
      <w:r w:rsidRPr="00DC0143">
        <w:rPr>
          <w:rFonts w:cs="Traditional Arabic"/>
          <w:color w:val="000000"/>
          <w:sz w:val="24"/>
          <w:szCs w:val="28"/>
          <w:rtl/>
        </w:rPr>
        <w:t>–</w:t>
      </w:r>
      <w:r w:rsidRPr="00DC0143">
        <w:rPr>
          <w:rFonts w:cs="Traditional Arabic" w:hint="cs"/>
          <w:color w:val="000000"/>
          <w:sz w:val="24"/>
          <w:szCs w:val="28"/>
          <w:rtl/>
        </w:rPr>
        <w:t xml:space="preserve"> وانظر محمد كامل مرسي فقرة 64 وفقرة 67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196 </w:t>
      </w:r>
      <w:r w:rsidRPr="00DC0143">
        <w:rPr>
          <w:rFonts w:cs="Traditional Arabic"/>
          <w:color w:val="000000"/>
          <w:sz w:val="24"/>
          <w:szCs w:val="28"/>
          <w:rtl/>
        </w:rPr>
        <w:t>–</w:t>
      </w:r>
      <w:r w:rsidRPr="00DC0143">
        <w:rPr>
          <w:rFonts w:cs="Traditional Arabic" w:hint="cs"/>
          <w:color w:val="000000"/>
          <w:sz w:val="24"/>
          <w:szCs w:val="28"/>
          <w:rtl/>
        </w:rPr>
        <w:t xml:space="preserve"> أنور سلطان في مصادر الالتزام ص 119 </w:t>
      </w:r>
      <w:r w:rsidRPr="00DC0143">
        <w:rPr>
          <w:rFonts w:cs="Traditional Arabic"/>
          <w:color w:val="000000"/>
          <w:sz w:val="24"/>
          <w:szCs w:val="28"/>
          <w:rtl/>
        </w:rPr>
        <w:t>–</w:t>
      </w:r>
      <w:r w:rsidRPr="00DC0143">
        <w:rPr>
          <w:rFonts w:cs="Traditional Arabic" w:hint="cs"/>
          <w:color w:val="000000"/>
          <w:sz w:val="24"/>
          <w:szCs w:val="28"/>
          <w:rtl/>
        </w:rPr>
        <w:t xml:space="preserve"> شمس الوكيل فقرة 55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69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9 ص 29</w:t>
      </w:r>
      <w:r>
        <w:rPr>
          <w:rFonts w:cs="Traditional Arabic" w:hint="cs"/>
          <w:color w:val="000000"/>
          <w:sz w:val="24"/>
          <w:szCs w:val="28"/>
          <w:rtl/>
        </w:rPr>
        <w:t xml:space="preserve"> .</w:t>
      </w:r>
    </w:p>
  </w:footnote>
  <w:footnote w:id="64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266 ص 382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25 </w:t>
      </w:r>
      <w:r w:rsidRPr="00DC0143">
        <w:rPr>
          <w:rFonts w:cs="Traditional Arabic"/>
          <w:color w:val="000000"/>
          <w:sz w:val="24"/>
          <w:szCs w:val="28"/>
          <w:rtl/>
        </w:rPr>
        <w:t>–</w:t>
      </w:r>
      <w:r w:rsidRPr="00DC0143">
        <w:rPr>
          <w:rFonts w:cs="Traditional Arabic" w:hint="cs"/>
          <w:color w:val="000000"/>
          <w:sz w:val="24"/>
          <w:szCs w:val="28"/>
          <w:rtl/>
        </w:rPr>
        <w:t xml:space="preserve"> مازو 3 ص 231</w:t>
      </w:r>
      <w:r>
        <w:rPr>
          <w:rFonts w:cs="Traditional Arabic" w:hint="cs"/>
          <w:color w:val="000000"/>
          <w:sz w:val="24"/>
          <w:szCs w:val="28"/>
          <w:rtl/>
        </w:rPr>
        <w:t xml:space="preserve"> .</w:t>
      </w:r>
    </w:p>
  </w:footnote>
  <w:footnote w:id="64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شفيق شحاته فقرة 59 ص 60 </w:t>
      </w:r>
      <w:r w:rsidRPr="00DC0143">
        <w:rPr>
          <w:rFonts w:cs="Traditional Arabic"/>
          <w:color w:val="000000"/>
          <w:sz w:val="24"/>
          <w:szCs w:val="28"/>
          <w:rtl/>
        </w:rPr>
        <w:t>–</w:t>
      </w:r>
      <w:r w:rsidRPr="00DC0143">
        <w:rPr>
          <w:rFonts w:cs="Traditional Arabic" w:hint="cs"/>
          <w:color w:val="000000"/>
          <w:sz w:val="24"/>
          <w:szCs w:val="28"/>
          <w:rtl/>
        </w:rPr>
        <w:t xml:space="preserve"> جمال الدين زكي ص 257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28 ص 73</w:t>
      </w:r>
      <w:r>
        <w:rPr>
          <w:rFonts w:cs="Traditional Arabic" w:hint="cs"/>
          <w:color w:val="000000"/>
          <w:sz w:val="24"/>
          <w:szCs w:val="28"/>
          <w:rtl/>
        </w:rPr>
        <w:t xml:space="preserve"> .</w:t>
      </w:r>
    </w:p>
  </w:footnote>
  <w:footnote w:id="646">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177 ص 295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143 ص 234 </w:t>
      </w:r>
      <w:r w:rsidRPr="00DC0143">
        <w:rPr>
          <w:rFonts w:cs="Traditional Arabic"/>
          <w:color w:val="000000"/>
          <w:sz w:val="24"/>
          <w:szCs w:val="28"/>
          <w:rtl/>
        </w:rPr>
        <w:t>–</w:t>
      </w:r>
      <w:r w:rsidRPr="00DC0143">
        <w:rPr>
          <w:rFonts w:cs="Traditional Arabic" w:hint="cs"/>
          <w:color w:val="000000"/>
          <w:sz w:val="24"/>
          <w:szCs w:val="28"/>
          <w:rtl/>
        </w:rPr>
        <w:t xml:space="preserve"> جمال الدين زكي ص 167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23 ص 32 </w:t>
      </w:r>
      <w:r w:rsidRPr="00DC0143">
        <w:rPr>
          <w:rFonts w:cs="Traditional Arabic"/>
          <w:color w:val="000000"/>
          <w:sz w:val="24"/>
          <w:szCs w:val="28"/>
          <w:rtl/>
        </w:rPr>
        <w:t>–</w:t>
      </w:r>
      <w:r w:rsidRPr="00DC0143">
        <w:rPr>
          <w:rFonts w:cs="Traditional Arabic" w:hint="cs"/>
          <w:color w:val="000000"/>
          <w:sz w:val="24"/>
          <w:szCs w:val="28"/>
          <w:rtl/>
        </w:rPr>
        <w:t xml:space="preserve"> أحمد سمة فقرة 23 ص 79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25 ص 28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20</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rtl/>
        </w:rPr>
        <w:t>وهناك رأي يذهب إلى أن الرهن الرسمي كالرهن الحيازي يعتبر بالنسبة إلى الدائن المرتهن من التصرفات الدائرة بين النفع والضرر</w:t>
      </w:r>
      <w:r>
        <w:rPr>
          <w:rFonts w:cs="Traditional Arabic" w:hint="cs"/>
          <w:color w:val="000000"/>
          <w:sz w:val="24"/>
          <w:szCs w:val="28"/>
          <w:rtl/>
        </w:rPr>
        <w:t xml:space="preserve"> ،</w:t>
      </w:r>
      <w:r w:rsidRPr="00DC0143">
        <w:rPr>
          <w:rFonts w:cs="Traditional Arabic" w:hint="cs"/>
          <w:color w:val="000000"/>
          <w:sz w:val="24"/>
          <w:szCs w:val="28"/>
          <w:rtl/>
        </w:rPr>
        <w:t xml:space="preserve"> على أساس أن الارتهان استيفاء للدين من وجه ولا يستوفي الدين إلا من توافرت فيه أهلية المعاوضة</w:t>
      </w:r>
      <w:r>
        <w:rPr>
          <w:rFonts w:cs="Traditional Arabic" w:hint="cs"/>
          <w:color w:val="000000"/>
          <w:sz w:val="24"/>
          <w:szCs w:val="28"/>
          <w:rtl/>
        </w:rPr>
        <w:t xml:space="preserve"> .</w:t>
      </w:r>
      <w:r w:rsidRPr="00DC0143">
        <w:rPr>
          <w:rFonts w:cs="Traditional Arabic" w:hint="cs"/>
          <w:color w:val="000000"/>
          <w:sz w:val="24"/>
          <w:szCs w:val="28"/>
          <w:rtl/>
        </w:rPr>
        <w:t xml:space="preserve"> فيجب أن يكون الدائن المرتهن أهلا أهلية كاملة</w:t>
      </w:r>
      <w:r>
        <w:rPr>
          <w:rFonts w:cs="Traditional Arabic" w:hint="cs"/>
          <w:color w:val="000000"/>
          <w:sz w:val="24"/>
          <w:szCs w:val="28"/>
          <w:rtl/>
        </w:rPr>
        <w:t xml:space="preserve"> ،</w:t>
      </w:r>
      <w:r w:rsidRPr="00DC0143">
        <w:rPr>
          <w:rFonts w:cs="Traditional Arabic" w:hint="cs"/>
          <w:color w:val="000000"/>
          <w:sz w:val="24"/>
          <w:szCs w:val="28"/>
          <w:rtl/>
        </w:rPr>
        <w:t xml:space="preserve"> ويكون العقد قابلا للإبطال إذا كان صبياً مميزاً أو كان في حكمة </w:t>
      </w:r>
      <w:r>
        <w:rPr>
          <w:rFonts w:cs="Traditional Arabic" w:hint="cs"/>
          <w:color w:val="000000"/>
          <w:sz w:val="24"/>
          <w:szCs w:val="28"/>
          <w:rtl/>
        </w:rPr>
        <w:t xml:space="preserve">( </w:t>
      </w:r>
      <w:r w:rsidRPr="00DC0143">
        <w:rPr>
          <w:rFonts w:cs="Traditional Arabic" w:hint="cs"/>
          <w:color w:val="000000"/>
          <w:sz w:val="24"/>
          <w:szCs w:val="28"/>
          <w:rtl/>
        </w:rPr>
        <w:t xml:space="preserve">شفيق شحاته فقرة 78 ص 75 </w:t>
      </w:r>
      <w:r w:rsidRPr="00DC0143">
        <w:rPr>
          <w:rFonts w:cs="Traditional Arabic"/>
          <w:color w:val="000000"/>
          <w:sz w:val="24"/>
          <w:szCs w:val="28"/>
          <w:rtl/>
        </w:rPr>
        <w:t>–</w:t>
      </w:r>
      <w:r w:rsidRPr="00DC0143">
        <w:rPr>
          <w:rFonts w:cs="Traditional Arabic" w:hint="cs"/>
          <w:color w:val="000000"/>
          <w:sz w:val="24"/>
          <w:szCs w:val="28"/>
          <w:rtl/>
        </w:rPr>
        <w:t xml:space="preserve"> ويقول إن الرهن الرسمي كالرهن الحيازي مؤداه استيفاء الدائن لدينه من المدين ولا يؤثر انتقال الحيازة أو عدم انتقالها في هذا المعنى</w:t>
      </w:r>
      <w:r>
        <w:rPr>
          <w:rFonts w:cs="Traditional Arabic" w:hint="cs"/>
          <w:color w:val="000000"/>
          <w:sz w:val="24"/>
          <w:szCs w:val="28"/>
          <w:rtl/>
        </w:rPr>
        <w:t xml:space="preserve"> :</w:t>
      </w:r>
      <w:r w:rsidRPr="00DC0143">
        <w:rPr>
          <w:rFonts w:cs="Traditional Arabic" w:hint="cs"/>
          <w:color w:val="000000"/>
          <w:sz w:val="24"/>
          <w:szCs w:val="28"/>
          <w:rtl/>
        </w:rPr>
        <w:t xml:space="preserve"> ص 75 هامش 3</w:t>
      </w:r>
      <w:r>
        <w:rPr>
          <w:rFonts w:cs="Traditional Arabic" w:hint="cs"/>
          <w:color w:val="000000"/>
          <w:sz w:val="24"/>
          <w:szCs w:val="28"/>
          <w:rtl/>
        </w:rPr>
        <w:t xml:space="preserve"> ) .</w:t>
      </w:r>
      <w:r w:rsidRPr="00DC0143">
        <w:rPr>
          <w:rFonts w:cs="Traditional Arabic" w:hint="cs"/>
          <w:color w:val="000000"/>
          <w:sz w:val="24"/>
          <w:szCs w:val="28"/>
          <w:rtl/>
        </w:rPr>
        <w:t xml:space="preserve"> ويقال في نفقد هذا الرأي إن الشريعة الإسلامية لا تعرف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فلا يصدق اعتبار الارتهان استيفاء للدين بما يترتب عليه من اعتباره تصرفا دائراً بين النفع والضرر إلا على الرهن الحيازي وما يستتبعه من انتقال الحيازة إلى الدائن</w:t>
      </w:r>
      <w:r>
        <w:rPr>
          <w:rFonts w:cs="Traditional Arabic" w:hint="cs"/>
          <w:color w:val="000000"/>
          <w:sz w:val="24"/>
          <w:szCs w:val="28"/>
          <w:rtl/>
        </w:rPr>
        <w:t xml:space="preserve"> .</w:t>
      </w:r>
      <w:r w:rsidRPr="00DC0143">
        <w:rPr>
          <w:rFonts w:cs="Traditional Arabic" w:hint="cs"/>
          <w:color w:val="000000"/>
          <w:sz w:val="24"/>
          <w:szCs w:val="28"/>
          <w:rtl/>
        </w:rPr>
        <w:t xml:space="preserve"> أما الرهن الرسمي فلس استيفاء</w:t>
      </w:r>
      <w:r>
        <w:rPr>
          <w:rFonts w:cs="Traditional Arabic" w:hint="cs"/>
          <w:color w:val="000000"/>
          <w:sz w:val="24"/>
          <w:szCs w:val="28"/>
          <w:rtl/>
        </w:rPr>
        <w:t xml:space="preserve"> ،</w:t>
      </w:r>
      <w:r w:rsidRPr="00DC0143">
        <w:rPr>
          <w:rFonts w:cs="Traditional Arabic" w:hint="cs"/>
          <w:color w:val="000000"/>
          <w:sz w:val="24"/>
          <w:szCs w:val="28"/>
          <w:rtl/>
        </w:rPr>
        <w:t xml:space="preserve"> وإنما هو استيثاق فحسب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187 ص 295 هامش 2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23 ص 32 هامش 2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21 هامش 1</w:t>
      </w:r>
      <w:r>
        <w:rPr>
          <w:rFonts w:cs="Traditional Arabic" w:hint="cs"/>
          <w:color w:val="000000"/>
          <w:sz w:val="24"/>
          <w:szCs w:val="28"/>
          <w:rtl/>
        </w:rPr>
        <w:t xml:space="preserve"> ) .</w:t>
      </w:r>
    </w:p>
  </w:footnote>
  <w:footnote w:id="647">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401 ص 435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187 ص 295 هامش 2</w:t>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19 ص 24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21</w:t>
      </w:r>
      <w:r>
        <w:rPr>
          <w:rFonts w:cs="Traditional Arabic" w:hint="cs"/>
          <w:color w:val="000000"/>
          <w:sz w:val="24"/>
          <w:szCs w:val="28"/>
          <w:rtl/>
        </w:rPr>
        <w:t xml:space="preserve"> .</w:t>
      </w:r>
    </w:p>
  </w:footnote>
  <w:footnote w:id="648">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محمد كامل مرسي فقرة 27 ص 45 وفقرة 293 ص 381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ص 235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21 ص 74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21 </w:t>
      </w:r>
      <w:r w:rsidRPr="00DC0143">
        <w:rPr>
          <w:rFonts w:cs="Traditional Arabic"/>
          <w:color w:val="000000"/>
          <w:sz w:val="24"/>
          <w:szCs w:val="28"/>
          <w:rtl/>
        </w:rPr>
        <w:t>–</w:t>
      </w:r>
      <w:r w:rsidRPr="00DC0143">
        <w:rPr>
          <w:rFonts w:cs="Traditional Arabic" w:hint="cs"/>
          <w:color w:val="000000"/>
          <w:sz w:val="24"/>
          <w:szCs w:val="28"/>
          <w:rtl/>
        </w:rPr>
        <w:t xml:space="preserve"> ص 22 </w:t>
      </w:r>
      <w:r w:rsidRPr="00DC0143">
        <w:rPr>
          <w:rFonts w:cs="Traditional Arabic"/>
          <w:color w:val="000000"/>
          <w:sz w:val="24"/>
          <w:szCs w:val="28"/>
          <w:rtl/>
        </w:rPr>
        <w:t>–</w:t>
      </w:r>
      <w:r w:rsidRPr="00DC0143">
        <w:rPr>
          <w:rFonts w:cs="Traditional Arabic" w:hint="cs"/>
          <w:color w:val="000000"/>
          <w:sz w:val="24"/>
          <w:szCs w:val="28"/>
          <w:rtl/>
        </w:rPr>
        <w:t xml:space="preserve"> وهناك رأي يذهب إلى أن الصبي المميز المأذون له بالإدارة له أن يرهن عقاره رهناً رسمياً ضماناً للوفاء بالتزاماته الناتجة عن إدارة أمواله </w:t>
      </w:r>
      <w:r>
        <w:rPr>
          <w:rFonts w:cs="Traditional Arabic" w:hint="cs"/>
          <w:color w:val="000000"/>
          <w:sz w:val="24"/>
          <w:szCs w:val="28"/>
          <w:rtl/>
        </w:rPr>
        <w:t xml:space="preserve">( </w:t>
      </w:r>
      <w:r w:rsidRPr="00DC0143">
        <w:rPr>
          <w:rFonts w:cs="Traditional Arabic" w:hint="cs"/>
          <w:color w:val="000000"/>
          <w:sz w:val="24"/>
          <w:szCs w:val="28"/>
          <w:rtl/>
        </w:rPr>
        <w:t xml:space="preserve">شفيق شحاته فقرة 77 ص 74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187 ص 295 هامش 3</w:t>
      </w:r>
      <w:r>
        <w:rPr>
          <w:rFonts w:cs="Traditional Arabic" w:hint="cs"/>
          <w:color w:val="000000"/>
          <w:sz w:val="24"/>
          <w:szCs w:val="28"/>
          <w:rtl/>
        </w:rPr>
        <w:t xml:space="preserve"> ) .</w:t>
      </w:r>
      <w:r w:rsidRPr="00DC0143">
        <w:rPr>
          <w:rFonts w:cs="Traditional Arabic" w:hint="cs"/>
          <w:color w:val="000000"/>
          <w:sz w:val="24"/>
          <w:szCs w:val="28"/>
          <w:rtl/>
        </w:rPr>
        <w:t xml:space="preserve"> ولكن المقصود في هذا القول هو مباشرة التصرفات الملحقة بأعمال الإدارة</w:t>
      </w:r>
      <w:r>
        <w:rPr>
          <w:rFonts w:cs="Traditional Arabic" w:hint="cs"/>
          <w:color w:val="000000"/>
          <w:sz w:val="24"/>
          <w:szCs w:val="28"/>
          <w:rtl/>
        </w:rPr>
        <w:t xml:space="preserve"> ،</w:t>
      </w:r>
      <w:r w:rsidRPr="00DC0143">
        <w:rPr>
          <w:rFonts w:cs="Traditional Arabic" w:hint="cs"/>
          <w:color w:val="000000"/>
          <w:sz w:val="24"/>
          <w:szCs w:val="28"/>
          <w:rtl/>
        </w:rPr>
        <w:t xml:space="preserve"> كشراء الأسمدة وبيع المحصول أو رهنه </w:t>
      </w:r>
      <w:r>
        <w:rPr>
          <w:rFonts w:cs="Traditional Arabic" w:hint="cs"/>
          <w:color w:val="000000"/>
          <w:sz w:val="24"/>
          <w:szCs w:val="28"/>
          <w:rtl/>
        </w:rPr>
        <w:t xml:space="preserve">( </w:t>
      </w:r>
      <w:r w:rsidRPr="00DC0143">
        <w:rPr>
          <w:rFonts w:cs="Traditional Arabic" w:hint="cs"/>
          <w:color w:val="000000"/>
          <w:sz w:val="24"/>
          <w:szCs w:val="28"/>
          <w:rtl/>
        </w:rPr>
        <w:t>منصور مصطفى منصور فقرة 8 ص 22</w:t>
      </w:r>
      <w:r>
        <w:rPr>
          <w:rFonts w:cs="Traditional Arabic" w:hint="cs"/>
          <w:color w:val="000000"/>
          <w:sz w:val="24"/>
          <w:szCs w:val="28"/>
          <w:rtl/>
        </w:rPr>
        <w:t xml:space="preserve"> ) .</w:t>
      </w:r>
    </w:p>
  </w:footnote>
  <w:footnote w:id="649">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187 ص 296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 25 ص 28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22 </w:t>
      </w:r>
      <w:r w:rsidRPr="00DC0143">
        <w:rPr>
          <w:rFonts w:cs="Traditional Arabic"/>
          <w:color w:val="000000"/>
          <w:sz w:val="24"/>
          <w:szCs w:val="28"/>
          <w:rtl/>
        </w:rPr>
        <w:t>–</w:t>
      </w:r>
      <w:r w:rsidRPr="00DC0143">
        <w:rPr>
          <w:rFonts w:cs="Traditional Arabic" w:hint="cs"/>
          <w:color w:val="000000"/>
          <w:sz w:val="24"/>
          <w:szCs w:val="28"/>
          <w:rtl/>
        </w:rPr>
        <w:t xml:space="preserve"> ص 23</w:t>
      </w:r>
      <w:r>
        <w:rPr>
          <w:rFonts w:cs="Traditional Arabic" w:hint="cs"/>
          <w:color w:val="000000"/>
          <w:sz w:val="24"/>
          <w:szCs w:val="28"/>
          <w:rtl/>
        </w:rPr>
        <w:t xml:space="preserve"> .</w:t>
      </w:r>
    </w:p>
  </w:footnote>
  <w:footnote w:id="650">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ويعتبر الرهن تابعاً للدين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فيسير معه </w:t>
      </w:r>
      <w:r>
        <w:rPr>
          <w:rFonts w:cs="Traditional Arabic" w:hint="cs"/>
          <w:color w:val="000000"/>
          <w:sz w:val="24"/>
          <w:szCs w:val="28"/>
          <w:rtl/>
        </w:rPr>
        <w:t xml:space="preserve">( </w:t>
      </w:r>
      <w:r w:rsidRPr="00DC0143">
        <w:rPr>
          <w:rFonts w:cs="Traditional Arabic" w:hint="cs"/>
          <w:color w:val="000000"/>
          <w:sz w:val="24"/>
          <w:szCs w:val="28"/>
          <w:rtl/>
        </w:rPr>
        <w:t xml:space="preserve">جيوار 2 فقرة 633 </w:t>
      </w:r>
      <w:r w:rsidRPr="00DC0143">
        <w:rPr>
          <w:rFonts w:cs="Traditional Arabic"/>
          <w:color w:val="000000"/>
          <w:sz w:val="24"/>
          <w:szCs w:val="28"/>
          <w:rtl/>
        </w:rPr>
        <w:t>–</w:t>
      </w:r>
      <w:r w:rsidRPr="00DC0143">
        <w:rPr>
          <w:rFonts w:cs="Traditional Arabic" w:hint="cs"/>
          <w:color w:val="000000"/>
          <w:sz w:val="24"/>
          <w:szCs w:val="28"/>
          <w:rtl/>
        </w:rPr>
        <w:t xml:space="preserve"> لوران 30 فقرة 173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902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2 فقرة 1660 </w:t>
      </w:r>
      <w:r w:rsidRPr="00DC0143">
        <w:rPr>
          <w:rFonts w:cs="Traditional Arabic"/>
          <w:color w:val="000000"/>
          <w:sz w:val="24"/>
          <w:szCs w:val="28"/>
          <w:rtl/>
        </w:rPr>
        <w:t>–</w:t>
      </w:r>
      <w:r w:rsidRPr="00DC0143">
        <w:rPr>
          <w:rFonts w:cs="Traditional Arabic" w:hint="cs"/>
          <w:color w:val="000000"/>
          <w:sz w:val="24"/>
          <w:szCs w:val="28"/>
          <w:rtl/>
        </w:rPr>
        <w:t xml:space="preserve"> بيدان وثواران فقرة 303</w:t>
      </w:r>
      <w:r>
        <w:rPr>
          <w:rFonts w:cs="Traditional Arabic" w:hint="cs"/>
          <w:color w:val="000000"/>
          <w:sz w:val="24"/>
          <w:szCs w:val="28"/>
          <w:rtl/>
        </w:rPr>
        <w:t xml:space="preserve"> ) .</w:t>
      </w:r>
      <w:r w:rsidRPr="00DC0143">
        <w:rPr>
          <w:rFonts w:cs="Traditional Arabic" w:hint="cs"/>
          <w:color w:val="000000"/>
          <w:sz w:val="24"/>
          <w:szCs w:val="28"/>
          <w:rtl/>
        </w:rPr>
        <w:t xml:space="preserve"> وعلى ذلك يفترض الرهن الرسمي قيام التزام صحيح وجد الرهن لضمان الوفاء به</w:t>
      </w:r>
      <w:r>
        <w:rPr>
          <w:rFonts w:cs="Traditional Arabic" w:hint="cs"/>
          <w:color w:val="000000"/>
          <w:sz w:val="24"/>
          <w:szCs w:val="28"/>
          <w:rtl/>
        </w:rPr>
        <w:t xml:space="preserve"> ،</w:t>
      </w:r>
      <w:r w:rsidRPr="00DC0143">
        <w:rPr>
          <w:rFonts w:cs="Traditional Arabic" w:hint="cs"/>
          <w:color w:val="000000"/>
          <w:sz w:val="24"/>
          <w:szCs w:val="28"/>
          <w:rtl/>
        </w:rPr>
        <w:t xml:space="preserve"> فإذا كان هذا الالتزام باطلا أو قابلا للإبطال أو للنقض كان الرهن مثله </w:t>
      </w:r>
      <w:r>
        <w:rPr>
          <w:rFonts w:cs="Traditional Arabic" w:hint="cs"/>
          <w:color w:val="000000"/>
          <w:sz w:val="24"/>
          <w:szCs w:val="28"/>
          <w:rtl/>
        </w:rPr>
        <w:t xml:space="preserve">( </w:t>
      </w:r>
      <w:r w:rsidRPr="00DC0143">
        <w:rPr>
          <w:rFonts w:cs="Traditional Arabic" w:hint="cs"/>
          <w:color w:val="000000"/>
          <w:sz w:val="24"/>
          <w:szCs w:val="28"/>
          <w:rtl/>
        </w:rPr>
        <w:t xml:space="preserve">نقض فرنسي 9 ديسمبر سن 1930 سبريه 1931 </w:t>
      </w:r>
      <w:r w:rsidRPr="00DC0143">
        <w:rPr>
          <w:rFonts w:cs="Traditional Arabic"/>
          <w:color w:val="000000"/>
          <w:sz w:val="24"/>
          <w:szCs w:val="28"/>
          <w:rtl/>
        </w:rPr>
        <w:t>–</w:t>
      </w:r>
      <w:r w:rsidRPr="00DC0143">
        <w:rPr>
          <w:rFonts w:cs="Traditional Arabic" w:hint="cs"/>
          <w:color w:val="000000"/>
          <w:sz w:val="24"/>
          <w:szCs w:val="28"/>
          <w:rtl/>
        </w:rPr>
        <w:t xml:space="preserve"> 1- 107</w:t>
      </w:r>
      <w:r>
        <w:rPr>
          <w:rFonts w:cs="Traditional Arabic" w:hint="cs"/>
          <w:color w:val="000000"/>
          <w:sz w:val="24"/>
          <w:szCs w:val="28"/>
          <w:rtl/>
        </w:rPr>
        <w:t xml:space="preserve"> ) .</w:t>
      </w:r>
      <w:r w:rsidRPr="00DC0143">
        <w:rPr>
          <w:rFonts w:cs="Traditional Arabic" w:hint="cs"/>
          <w:color w:val="000000"/>
          <w:sz w:val="24"/>
          <w:szCs w:val="28"/>
          <w:rtl/>
        </w:rPr>
        <w:t xml:space="preserve"> وينتقل الرهن مع الالتزام المضمون إلى الخلف العام أو الخلف الخاص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3 فقرة 1933</w:t>
      </w:r>
      <w:r>
        <w:rPr>
          <w:rFonts w:cs="Traditional Arabic" w:hint="cs"/>
          <w:color w:val="000000"/>
          <w:sz w:val="24"/>
          <w:szCs w:val="28"/>
          <w:rtl/>
        </w:rPr>
        <w:t xml:space="preserve"> ) ،</w:t>
      </w:r>
      <w:r w:rsidRPr="00DC0143">
        <w:rPr>
          <w:rFonts w:cs="Traditional Arabic" w:hint="cs"/>
          <w:color w:val="000000"/>
          <w:sz w:val="24"/>
          <w:szCs w:val="28"/>
          <w:rtl/>
        </w:rPr>
        <w:t xml:space="preserve"> وكذلك ينقضي الرهن انقضاء الالتزام المضمون </w:t>
      </w:r>
      <w:r>
        <w:rPr>
          <w:rFonts w:cs="Traditional Arabic" w:hint="cs"/>
          <w:color w:val="000000"/>
          <w:sz w:val="24"/>
          <w:szCs w:val="28"/>
          <w:rtl/>
        </w:rPr>
        <w:t xml:space="preserve">( </w:t>
      </w:r>
      <w:r w:rsidRPr="00DC0143">
        <w:rPr>
          <w:rFonts w:cs="Traditional Arabic" w:hint="cs"/>
          <w:color w:val="000000"/>
          <w:sz w:val="24"/>
          <w:szCs w:val="28"/>
          <w:rtl/>
        </w:rPr>
        <w:t>بلانيول وريبير وبيكيه 12 فقرة 12 فقرة 330</w:t>
      </w:r>
      <w:r>
        <w:rPr>
          <w:rFonts w:cs="Traditional Arabic" w:hint="cs"/>
          <w:color w:val="000000"/>
          <w:sz w:val="24"/>
          <w:szCs w:val="28"/>
          <w:rtl/>
        </w:rPr>
        <w:t xml:space="preserve"> ) .</w:t>
      </w:r>
    </w:p>
  </w:footnote>
  <w:footnote w:id="651">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59 ص 105</w:t>
      </w:r>
      <w:r>
        <w:rPr>
          <w:rFonts w:cs="Traditional Arabic" w:hint="cs"/>
          <w:color w:val="000000"/>
          <w:sz w:val="24"/>
          <w:szCs w:val="28"/>
          <w:rtl/>
        </w:rPr>
        <w:t xml:space="preserve"> .</w:t>
      </w:r>
    </w:p>
  </w:footnote>
  <w:footnote w:id="652">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استئناف مختلط 22 يونيه سنة </w:t>
      </w:r>
      <w:smartTag w:uri="urn:schemas-microsoft-com:office:smarttags" w:element="metricconverter">
        <w:smartTagPr>
          <w:attr w:name="ProductID" w:val="1911 م"/>
        </w:smartTagPr>
        <w:r w:rsidRPr="00DC0143">
          <w:rPr>
            <w:rFonts w:cs="Traditional Arabic" w:hint="cs"/>
            <w:color w:val="000000"/>
            <w:sz w:val="24"/>
            <w:szCs w:val="28"/>
            <w:rtl/>
          </w:rPr>
          <w:t>1911 م</w:t>
        </w:r>
      </w:smartTag>
      <w:r w:rsidRPr="00DC0143">
        <w:rPr>
          <w:rFonts w:cs="Traditional Arabic" w:hint="cs"/>
          <w:color w:val="000000"/>
          <w:sz w:val="24"/>
          <w:szCs w:val="28"/>
          <w:rtl/>
        </w:rPr>
        <w:t xml:space="preserve"> 23 ص 382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59 ص 106</w:t>
      </w:r>
      <w:r>
        <w:rPr>
          <w:rFonts w:cs="Traditional Arabic" w:hint="cs"/>
          <w:color w:val="000000"/>
          <w:sz w:val="24"/>
          <w:szCs w:val="28"/>
          <w:rtl/>
        </w:rPr>
        <w:t xml:space="preserve"> .</w:t>
      </w:r>
    </w:p>
  </w:footnote>
  <w:footnote w:id="653">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1439 من المشروع التمهيدي على وجه مطابق لما استقر لعيه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 تحت رقم 1127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ثم وافق عليه مجلس النواب تحت رقم 1113</w:t>
      </w:r>
      <w:r>
        <w:rPr>
          <w:rFonts w:cs="Traditional Arabic" w:hint="cs"/>
          <w:color w:val="000000"/>
          <w:sz w:val="24"/>
          <w:szCs w:val="28"/>
          <w:rtl/>
        </w:rPr>
        <w:t xml:space="preserve"> ،</w:t>
      </w:r>
      <w:r w:rsidRPr="00DC0143">
        <w:rPr>
          <w:rFonts w:cs="Traditional Arabic" w:hint="cs"/>
          <w:color w:val="000000"/>
          <w:sz w:val="24"/>
          <w:szCs w:val="28"/>
          <w:rtl/>
        </w:rPr>
        <w:t xml:space="preserve"> ومجلس الشيوخ تحت رقم 1032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12 </w:t>
      </w:r>
      <w:r w:rsidRPr="00DC0143">
        <w:rPr>
          <w:rFonts w:cs="Traditional Arabic"/>
          <w:color w:val="000000"/>
          <w:sz w:val="24"/>
          <w:szCs w:val="28"/>
          <w:rtl/>
        </w:rPr>
        <w:t>–</w:t>
      </w:r>
      <w:r w:rsidRPr="00DC0143">
        <w:rPr>
          <w:rFonts w:cs="Traditional Arabic" w:hint="cs"/>
          <w:color w:val="000000"/>
          <w:sz w:val="24"/>
          <w:szCs w:val="28"/>
          <w:rtl/>
        </w:rPr>
        <w:t xml:space="preserve"> ص 13</w:t>
      </w:r>
      <w:r>
        <w:rPr>
          <w:rFonts w:cs="Traditional Arabic" w:hint="cs"/>
          <w:color w:val="000000"/>
          <w:sz w:val="24"/>
          <w:szCs w:val="28"/>
          <w:rtl/>
        </w:rPr>
        <w:t xml:space="preserve"> ) .</w:t>
      </w:r>
    </w:p>
  </w:footnote>
  <w:footnote w:id="654">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558/682</w:t>
      </w:r>
      <w:r>
        <w:rPr>
          <w:rFonts w:cs="Traditional Arabic" w:hint="cs"/>
          <w:color w:val="000000"/>
          <w:sz w:val="24"/>
          <w:szCs w:val="28"/>
          <w:rtl/>
        </w:rPr>
        <w:t xml:space="preserve"> :</w:t>
      </w:r>
      <w:r w:rsidRPr="00DC0143">
        <w:rPr>
          <w:rFonts w:cs="Traditional Arabic" w:hint="cs"/>
          <w:color w:val="000000"/>
          <w:sz w:val="24"/>
          <w:szCs w:val="28"/>
          <w:rtl/>
        </w:rPr>
        <w:t xml:space="preserve"> لا يصح رهن العقار ممن لم يكن أهلا للتصرف</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وفي التقنين المدني السابق رهن عقار ملك الغير كرهن العقار المستقبل</w:t>
      </w:r>
      <w:r>
        <w:rPr>
          <w:rFonts w:cs="Traditional Arabic" w:hint="cs"/>
          <w:color w:val="000000"/>
          <w:sz w:val="24"/>
          <w:szCs w:val="28"/>
          <w:rtl/>
        </w:rPr>
        <w:t xml:space="preserve"> ،</w:t>
      </w:r>
      <w:r w:rsidRPr="00DC0143">
        <w:rPr>
          <w:rFonts w:cs="Traditional Arabic" w:hint="cs"/>
          <w:color w:val="000000"/>
          <w:sz w:val="24"/>
          <w:szCs w:val="28"/>
          <w:rtl/>
        </w:rPr>
        <w:t xml:space="preserve"> كلاهما باطل</w:t>
      </w:r>
      <w:r>
        <w:rPr>
          <w:rFonts w:cs="Traditional Arabic" w:hint="cs"/>
          <w:color w:val="000000"/>
          <w:sz w:val="24"/>
          <w:szCs w:val="28"/>
          <w:rtl/>
        </w:rPr>
        <w:t xml:space="preserve"> .</w:t>
      </w:r>
      <w:r w:rsidRPr="00DC0143">
        <w:rPr>
          <w:rFonts w:cs="Traditional Arabic" w:hint="cs"/>
          <w:color w:val="000000"/>
          <w:sz w:val="24"/>
          <w:szCs w:val="28"/>
          <w:rtl/>
        </w:rPr>
        <w:t xml:space="preserve"> أما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الأول قابل للإبطال</w:t>
      </w:r>
      <w:r>
        <w:rPr>
          <w:rFonts w:cs="Traditional Arabic" w:hint="cs"/>
          <w:color w:val="000000"/>
          <w:sz w:val="24"/>
          <w:szCs w:val="28"/>
          <w:rtl/>
        </w:rPr>
        <w:t xml:space="preserve"> ،</w:t>
      </w:r>
      <w:r w:rsidRPr="00DC0143">
        <w:rPr>
          <w:rFonts w:cs="Traditional Arabic" w:hint="cs"/>
          <w:color w:val="000000"/>
          <w:sz w:val="24"/>
          <w:szCs w:val="28"/>
          <w:rtl/>
        </w:rPr>
        <w:t xml:space="preserve"> والرهن الثاني باطل</w:t>
      </w:r>
      <w:r>
        <w:rPr>
          <w:rFonts w:cs="Traditional Arabic" w:hint="cs"/>
          <w:color w:val="000000"/>
          <w:sz w:val="24"/>
          <w:szCs w:val="28"/>
          <w:rtl/>
        </w:rPr>
        <w:t xml:space="preserve"> ) .</w:t>
      </w:r>
    </w:p>
  </w:footnote>
  <w:footnote w:id="655">
    <w:p w:rsidR="00F72742" w:rsidRPr="00DC0143" w:rsidRDefault="00F72742" w:rsidP="00F72742">
      <w:pPr>
        <w:pStyle w:val="aa"/>
        <w:ind w:firstLine="565"/>
        <w:jc w:val="lowKashida"/>
        <w:rPr>
          <w:rFonts w:cs="Traditional Arabic" w:hint="cs"/>
          <w:color w:val="000000"/>
          <w:sz w:val="24"/>
          <w:szCs w:val="28"/>
          <w:rtl/>
        </w:rPr>
      </w:pPr>
      <w:r>
        <w:rPr>
          <w:rFonts w:cs="Traditional Arabic" w:hint="cs"/>
          <w:color w:val="000000"/>
          <w:sz w:val="24"/>
          <w:szCs w:val="28"/>
          <w:rtl/>
        </w:rPr>
        <w:t xml:space="preserve">( </w:t>
      </w:r>
      <w:r w:rsidRPr="00DC0143">
        <w:rPr>
          <w:rFonts w:cs="Traditional Arabic"/>
          <w:color w:val="000000"/>
          <w:sz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التقنين المدنية العربية الأخرى</w:t>
      </w:r>
      <w:r>
        <w:rPr>
          <w:rFonts w:cs="Traditional Arabic" w:hint="cs"/>
          <w:color w:val="000000"/>
          <w:sz w:val="24"/>
          <w:szCs w:val="28"/>
          <w:u w:val="single"/>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السوري</w:t>
      </w:r>
      <w:r w:rsidRPr="00DC0143">
        <w:rPr>
          <w:rFonts w:cs="Traditional Arabic" w:hint="cs"/>
          <w:color w:val="000000"/>
          <w:sz w:val="24"/>
          <w:szCs w:val="28"/>
          <w:rtl/>
        </w:rPr>
        <w:t xml:space="preserve"> م 1079</w:t>
      </w:r>
      <w:r>
        <w:rPr>
          <w:rFonts w:cs="Traditional Arabic" w:hint="cs"/>
          <w:color w:val="000000"/>
          <w:sz w:val="24"/>
          <w:szCs w:val="28"/>
          <w:rtl/>
        </w:rPr>
        <w:t xml:space="preserve"> :</w:t>
      </w:r>
      <w:r w:rsidRPr="00DC0143">
        <w:rPr>
          <w:rFonts w:cs="Traditional Arabic" w:hint="cs"/>
          <w:color w:val="000000"/>
          <w:sz w:val="24"/>
          <w:szCs w:val="28"/>
          <w:rtl/>
        </w:rPr>
        <w:t xml:space="preserve"> يشترط فيمن يعقد التأمين الرضائي أن يكون حائزاً على أهلية التصرف بالعقار</w:t>
      </w:r>
      <w:r>
        <w:rPr>
          <w:rFonts w:cs="Traditional Arabic" w:hint="cs"/>
          <w:color w:val="000000"/>
          <w:sz w:val="24"/>
          <w:szCs w:val="28"/>
          <w:rtl/>
        </w:rPr>
        <w:t xml:space="preserve"> ،</w:t>
      </w:r>
      <w:r w:rsidRPr="00DC0143">
        <w:rPr>
          <w:rFonts w:cs="Traditional Arabic" w:hint="cs"/>
          <w:color w:val="000000"/>
          <w:sz w:val="24"/>
          <w:szCs w:val="28"/>
          <w:rtl/>
        </w:rPr>
        <w:t xml:space="preserve"> أو بالحق المعقود عليه التأمين</w:t>
      </w:r>
      <w:r>
        <w:rPr>
          <w:rFonts w:cs="Traditional Arabic" w:hint="cs"/>
          <w:color w:val="000000"/>
          <w:sz w:val="24"/>
          <w:szCs w:val="28"/>
          <w:rtl/>
        </w:rPr>
        <w:t xml:space="preserve">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المدين الليبي</w:t>
      </w:r>
      <w:r w:rsidRPr="00DC0143">
        <w:rPr>
          <w:rFonts w:cs="Traditional Arabic" w:hint="cs"/>
          <w:color w:val="000000"/>
          <w:sz w:val="24"/>
          <w:szCs w:val="28"/>
          <w:rtl/>
        </w:rPr>
        <w:t xml:space="preserve"> م 1035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العراقي</w:t>
      </w:r>
      <w:r w:rsidRPr="00DC0143">
        <w:rPr>
          <w:rFonts w:cs="Traditional Arabic" w:hint="cs"/>
          <w:color w:val="000000"/>
          <w:sz w:val="24"/>
          <w:szCs w:val="28"/>
          <w:rtl/>
        </w:rPr>
        <w:t xml:space="preserve"> م 1287 </w:t>
      </w:r>
      <w:r>
        <w:rPr>
          <w:rFonts w:cs="Traditional Arabic" w:hint="cs"/>
          <w:color w:val="000000"/>
          <w:sz w:val="24"/>
          <w:szCs w:val="28"/>
          <w:rtl/>
        </w:rPr>
        <w:t xml:space="preserve">( </w:t>
      </w:r>
      <w:r w:rsidRPr="00DC0143">
        <w:rPr>
          <w:rFonts w:cs="Traditional Arabic" w:hint="cs"/>
          <w:color w:val="000000"/>
          <w:sz w:val="24"/>
          <w:szCs w:val="28"/>
          <w:rtl/>
        </w:rPr>
        <w:t>مطابق</w:t>
      </w:r>
      <w:r>
        <w:rPr>
          <w:rFonts w:cs="Traditional Arabic" w:hint="cs"/>
          <w:color w:val="000000"/>
          <w:sz w:val="24"/>
          <w:szCs w:val="28"/>
          <w:rtl/>
        </w:rPr>
        <w:t xml:space="preserve"> ) .</w:t>
      </w:r>
    </w:p>
    <w:p w:rsidR="00F72742" w:rsidRPr="00DC0143" w:rsidRDefault="00F72742" w:rsidP="00F72742">
      <w:pPr>
        <w:pStyle w:val="aa"/>
        <w:ind w:firstLine="565"/>
        <w:jc w:val="lowKashida"/>
        <w:rPr>
          <w:rFonts w:hint="cs"/>
          <w:color w:val="000000"/>
          <w:sz w:val="24"/>
          <w:rtl/>
        </w:rPr>
      </w:pPr>
      <w:r w:rsidRPr="00DC0143">
        <w:rPr>
          <w:rFonts w:cs="Traditional Arabic" w:hint="cs"/>
          <w:color w:val="000000"/>
          <w:sz w:val="24"/>
          <w:szCs w:val="28"/>
          <w:u w:val="single"/>
          <w:rtl/>
        </w:rPr>
        <w:t>قانون الملكية العقارية اللبناني م 128</w:t>
      </w:r>
      <w:r>
        <w:rPr>
          <w:rFonts w:cs="Traditional Arabic" w:hint="cs"/>
          <w:color w:val="000000"/>
          <w:sz w:val="24"/>
          <w:szCs w:val="28"/>
          <w:rtl/>
        </w:rPr>
        <w:t xml:space="preserve"> :</w:t>
      </w:r>
      <w:r w:rsidRPr="00DC0143">
        <w:rPr>
          <w:rFonts w:cs="Traditional Arabic" w:hint="cs"/>
          <w:color w:val="000000"/>
          <w:sz w:val="24"/>
          <w:szCs w:val="28"/>
          <w:rtl/>
        </w:rPr>
        <w:t xml:space="preserve"> لا يعقد بالتأمين الرضائي إلا من أن له الأهلية بأن يتصرف بالعقار أو بالحق الذي يخضعه للتامين</w:t>
      </w:r>
      <w:r>
        <w:rPr>
          <w:rFonts w:cs="Traditional Arabic" w:hint="cs"/>
          <w:color w:val="000000"/>
          <w:sz w:val="24"/>
          <w:szCs w:val="28"/>
          <w:rtl/>
        </w:rPr>
        <w:t xml:space="preserve"> .</w:t>
      </w:r>
    </w:p>
  </w:footnote>
  <w:footnote w:id="65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ويعتبر الراهن مالكا للعقار المرهون إذا كان وقت رهنه يملكه تحت شرط فاسخ أو تحت شرط واقف</w:t>
      </w:r>
      <w:r>
        <w:rPr>
          <w:rFonts w:cs="Traditional Arabic" w:hint="cs"/>
          <w:color w:val="000000"/>
          <w:sz w:val="24"/>
          <w:szCs w:val="28"/>
          <w:rtl/>
        </w:rPr>
        <w:t xml:space="preserve"> ،</w:t>
      </w:r>
      <w:r w:rsidRPr="00DC0143">
        <w:rPr>
          <w:rFonts w:cs="Traditional Arabic" w:hint="cs"/>
          <w:color w:val="000000"/>
          <w:sz w:val="24"/>
          <w:szCs w:val="28"/>
          <w:rtl/>
        </w:rPr>
        <w:t xml:space="preserve"> فيكون رهنه في  هذه الحالة صحيحا ولكن مصير الرهن يتوقف على نتيجة الشرط</w:t>
      </w:r>
      <w:r>
        <w:rPr>
          <w:rFonts w:cs="Traditional Arabic" w:hint="cs"/>
          <w:color w:val="000000"/>
          <w:sz w:val="24"/>
          <w:szCs w:val="28"/>
          <w:rtl/>
        </w:rPr>
        <w:t xml:space="preserve"> .</w:t>
      </w:r>
      <w:r w:rsidRPr="00DC0143">
        <w:rPr>
          <w:rFonts w:cs="Traditional Arabic" w:hint="cs"/>
          <w:color w:val="000000"/>
          <w:sz w:val="24"/>
          <w:szCs w:val="28"/>
          <w:rtl/>
        </w:rPr>
        <w:t xml:space="preserve"> فإن كان الشرط فاسخا وتحقق</w:t>
      </w:r>
      <w:r>
        <w:rPr>
          <w:rFonts w:cs="Traditional Arabic" w:hint="cs"/>
          <w:color w:val="000000"/>
          <w:sz w:val="24"/>
          <w:szCs w:val="28"/>
          <w:rtl/>
        </w:rPr>
        <w:t xml:space="preserve"> ،</w:t>
      </w:r>
      <w:r w:rsidRPr="00DC0143">
        <w:rPr>
          <w:rFonts w:cs="Traditional Arabic" w:hint="cs"/>
          <w:color w:val="000000"/>
          <w:sz w:val="24"/>
          <w:szCs w:val="28"/>
          <w:rtl/>
        </w:rPr>
        <w:t xml:space="preserve"> فإن الراهن يزول ملكه بأثر رجعي ويعتبر  غير مالك للعقار من أول الأمر فيعتبر رهنه كأن لم يكن</w:t>
      </w:r>
      <w:r>
        <w:rPr>
          <w:rFonts w:cs="Traditional Arabic" w:hint="cs"/>
          <w:color w:val="000000"/>
          <w:sz w:val="24"/>
          <w:szCs w:val="28"/>
          <w:rtl/>
        </w:rPr>
        <w:t xml:space="preserve"> .</w:t>
      </w:r>
      <w:r w:rsidRPr="00DC0143">
        <w:rPr>
          <w:rFonts w:cs="Traditional Arabic" w:hint="cs"/>
          <w:color w:val="000000"/>
          <w:sz w:val="24"/>
          <w:szCs w:val="28"/>
          <w:rtl/>
        </w:rPr>
        <w:t xml:space="preserve"> وإذا لم يتحقق الشرط الواقف</w:t>
      </w:r>
      <w:r>
        <w:rPr>
          <w:rFonts w:cs="Traditional Arabic" w:hint="cs"/>
          <w:color w:val="000000"/>
          <w:sz w:val="24"/>
          <w:szCs w:val="28"/>
          <w:rtl/>
        </w:rPr>
        <w:t xml:space="preserve"> ،</w:t>
      </w:r>
      <w:r w:rsidRPr="00DC0143">
        <w:rPr>
          <w:rFonts w:cs="Traditional Arabic" w:hint="cs"/>
          <w:color w:val="000000"/>
          <w:sz w:val="24"/>
          <w:szCs w:val="28"/>
          <w:rtl/>
        </w:rPr>
        <w:t xml:space="preserve"> فإن الراهن يعتبر غير مالك للعقار المرهون من أول الأمر</w:t>
      </w:r>
      <w:r>
        <w:rPr>
          <w:rFonts w:cs="Traditional Arabic" w:hint="cs"/>
          <w:color w:val="000000"/>
          <w:sz w:val="24"/>
          <w:szCs w:val="28"/>
          <w:rtl/>
        </w:rPr>
        <w:t xml:space="preserve"> ،</w:t>
      </w:r>
      <w:r w:rsidRPr="00DC0143">
        <w:rPr>
          <w:rFonts w:cs="Traditional Arabic" w:hint="cs"/>
          <w:color w:val="000000"/>
          <w:sz w:val="24"/>
          <w:szCs w:val="28"/>
          <w:rtl/>
        </w:rPr>
        <w:t xml:space="preserve"> ويعتبر رهنه كأن لم يكن </w:t>
      </w:r>
      <w:r w:rsidRPr="00DC0143">
        <w:rPr>
          <w:rFonts w:cs="Traditional Arabic"/>
          <w:color w:val="000000"/>
          <w:sz w:val="24"/>
          <w:szCs w:val="28"/>
          <w:rtl/>
        </w:rPr>
        <w:t>–</w:t>
      </w:r>
      <w:r w:rsidRPr="00DC0143">
        <w:rPr>
          <w:rFonts w:cs="Traditional Arabic" w:hint="cs"/>
          <w:color w:val="000000"/>
          <w:sz w:val="24"/>
          <w:szCs w:val="28"/>
          <w:rtl/>
        </w:rPr>
        <w:t xml:space="preserve"> بعدم تحقق الشرط الواقف</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ولما كأن عقد بيع الوفاء جائزا</w:t>
      </w:r>
      <w:r>
        <w:rPr>
          <w:rFonts w:cs="Traditional Arabic" w:hint="cs"/>
          <w:color w:val="000000"/>
          <w:sz w:val="24"/>
          <w:szCs w:val="28"/>
          <w:rtl/>
        </w:rPr>
        <w:t xml:space="preserve"> ،</w:t>
      </w:r>
      <w:r w:rsidRPr="00DC0143">
        <w:rPr>
          <w:rFonts w:cs="Traditional Arabic" w:hint="cs"/>
          <w:color w:val="000000"/>
          <w:sz w:val="24"/>
          <w:szCs w:val="28"/>
          <w:rtl/>
        </w:rPr>
        <w:t xml:space="preserve"> فقد كأن البائع للعقار مالكا تحت شرط واقف</w:t>
      </w:r>
      <w:r>
        <w:rPr>
          <w:rFonts w:cs="Traditional Arabic" w:hint="cs"/>
          <w:color w:val="000000"/>
          <w:sz w:val="24"/>
          <w:szCs w:val="28"/>
          <w:rtl/>
        </w:rPr>
        <w:t xml:space="preserve"> ،</w:t>
      </w:r>
      <w:r w:rsidRPr="00DC0143">
        <w:rPr>
          <w:rFonts w:cs="Traditional Arabic" w:hint="cs"/>
          <w:color w:val="000000"/>
          <w:sz w:val="24"/>
          <w:szCs w:val="28"/>
          <w:rtl/>
        </w:rPr>
        <w:t xml:space="preserve"> وكان المشتري مالكا تحت شرط فاسخ</w:t>
      </w:r>
      <w:r>
        <w:rPr>
          <w:rFonts w:cs="Traditional Arabic" w:hint="cs"/>
          <w:color w:val="000000"/>
          <w:sz w:val="24"/>
          <w:szCs w:val="28"/>
          <w:rtl/>
        </w:rPr>
        <w:t xml:space="preserve"> .</w:t>
      </w:r>
      <w:r w:rsidRPr="00DC0143">
        <w:rPr>
          <w:rFonts w:cs="Traditional Arabic" w:hint="cs"/>
          <w:color w:val="000000"/>
          <w:sz w:val="24"/>
          <w:szCs w:val="28"/>
          <w:rtl/>
        </w:rPr>
        <w:t xml:space="preserve"> وكان لكل منهما أن يرهن العقار رهنا رسميا</w:t>
      </w:r>
      <w:r>
        <w:rPr>
          <w:rFonts w:cs="Traditional Arabic" w:hint="cs"/>
          <w:color w:val="000000"/>
          <w:sz w:val="24"/>
          <w:szCs w:val="28"/>
          <w:rtl/>
        </w:rPr>
        <w:t xml:space="preserve"> ،</w:t>
      </w:r>
      <w:r w:rsidRPr="00DC0143">
        <w:rPr>
          <w:rFonts w:cs="Traditional Arabic" w:hint="cs"/>
          <w:color w:val="000000"/>
          <w:sz w:val="24"/>
          <w:szCs w:val="28"/>
          <w:rtl/>
        </w:rPr>
        <w:t xml:space="preserve"> ويكون حكم الرهن هو ما قدمناه</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 xml:space="preserve">انظر في ذلك بيدان وثواران فقرة 379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فقرة 370 </w:t>
      </w:r>
      <w:r w:rsidRPr="00DC0143">
        <w:rPr>
          <w:rFonts w:cs="Traditional Arabic"/>
          <w:color w:val="000000"/>
          <w:sz w:val="24"/>
          <w:szCs w:val="28"/>
          <w:rtl/>
        </w:rPr>
        <w:t>–</w:t>
      </w:r>
      <w:r w:rsidRPr="00DC0143">
        <w:rPr>
          <w:rFonts w:cs="Traditional Arabic" w:hint="cs"/>
          <w:color w:val="000000"/>
          <w:sz w:val="24"/>
          <w:szCs w:val="28"/>
          <w:rtl/>
        </w:rPr>
        <w:t xml:space="preserve"> دي هلتس في الرهن الرسمي فقرة 33 </w:t>
      </w:r>
      <w:r w:rsidRPr="00DC0143">
        <w:rPr>
          <w:rFonts w:cs="Traditional Arabic"/>
          <w:color w:val="000000"/>
          <w:sz w:val="24"/>
          <w:szCs w:val="28"/>
          <w:rtl/>
        </w:rPr>
        <w:t>–</w:t>
      </w:r>
      <w:r w:rsidRPr="00DC0143">
        <w:rPr>
          <w:rFonts w:cs="Traditional Arabic" w:hint="cs"/>
          <w:color w:val="000000"/>
          <w:sz w:val="24"/>
          <w:szCs w:val="28"/>
          <w:rtl/>
        </w:rPr>
        <w:t xml:space="preserve"> جرانمولان فقرة 311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فقرة 37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44 </w:t>
      </w:r>
      <w:r w:rsidRPr="00DC0143">
        <w:rPr>
          <w:rFonts w:cs="Traditional Arabic"/>
          <w:color w:val="000000"/>
          <w:sz w:val="24"/>
          <w:szCs w:val="28"/>
          <w:rtl/>
        </w:rPr>
        <w:t>–</w:t>
      </w:r>
      <w:r w:rsidRPr="00DC0143">
        <w:rPr>
          <w:rFonts w:cs="Traditional Arabic" w:hint="cs"/>
          <w:color w:val="000000"/>
          <w:sz w:val="24"/>
          <w:szCs w:val="28"/>
          <w:rtl/>
        </w:rPr>
        <w:t xml:space="preserve"> استئناف مختلط 5 مايو سنة 1898م 10 ص 265</w:t>
      </w:r>
      <w:r>
        <w:rPr>
          <w:rFonts w:cs="Traditional Arabic" w:hint="cs"/>
          <w:color w:val="000000"/>
          <w:sz w:val="24"/>
          <w:szCs w:val="28"/>
          <w:rtl/>
        </w:rPr>
        <w:t xml:space="preserve"> .</w:t>
      </w:r>
    </w:p>
  </w:footnote>
  <w:footnote w:id="65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129</w:t>
      </w:r>
      <w:r>
        <w:rPr>
          <w:rFonts w:cs="Traditional Arabic" w:hint="cs"/>
          <w:color w:val="000000"/>
          <w:sz w:val="24"/>
          <w:szCs w:val="28"/>
          <w:rtl/>
        </w:rPr>
        <w:t xml:space="preserve"> .</w:t>
      </w:r>
    </w:p>
  </w:footnote>
  <w:footnote w:id="65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1440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غير أن نص المشروع التمهيدي لم يكن يتضمن عبارة "بورقة رسمية"</w:t>
      </w:r>
      <w:r>
        <w:rPr>
          <w:rFonts w:cs="Traditional Arabic" w:hint="cs"/>
          <w:color w:val="000000"/>
          <w:sz w:val="24"/>
          <w:szCs w:val="28"/>
          <w:rtl/>
        </w:rPr>
        <w:t xml:space="preserve"> .</w:t>
      </w:r>
      <w:r w:rsidRPr="00DC0143">
        <w:rPr>
          <w:rFonts w:cs="Traditional Arabic" w:hint="cs"/>
          <w:color w:val="000000"/>
          <w:sz w:val="24"/>
          <w:szCs w:val="28"/>
          <w:rtl/>
        </w:rPr>
        <w:t xml:space="preserve"> ورأت لجنة المراجعة جعل المادة فقرتين تبدأ الثانية منهما بعبارة "وإذا لم يصدر"</w:t>
      </w:r>
      <w:r>
        <w:rPr>
          <w:rFonts w:cs="Traditional Arabic" w:hint="cs"/>
          <w:color w:val="000000"/>
          <w:sz w:val="24"/>
          <w:szCs w:val="28"/>
          <w:rtl/>
        </w:rPr>
        <w:t xml:space="preserve"> ،</w:t>
      </w:r>
      <w:r w:rsidRPr="00DC0143">
        <w:rPr>
          <w:rFonts w:cs="Traditional Arabic" w:hint="cs"/>
          <w:color w:val="000000"/>
          <w:sz w:val="24"/>
          <w:szCs w:val="28"/>
          <w:rtl/>
        </w:rPr>
        <w:t xml:space="preserve"> مع حذف كلمة "أما"  السابقة لهذه العبارة</w:t>
      </w:r>
      <w:r>
        <w:rPr>
          <w:rFonts w:cs="Traditional Arabic" w:hint="cs"/>
          <w:color w:val="000000"/>
          <w:sz w:val="24"/>
          <w:szCs w:val="28"/>
          <w:rtl/>
        </w:rPr>
        <w:t xml:space="preserve"> ،</w:t>
      </w:r>
      <w:r w:rsidRPr="00DC0143">
        <w:rPr>
          <w:rFonts w:cs="Traditional Arabic" w:hint="cs"/>
          <w:color w:val="000000"/>
          <w:sz w:val="24"/>
          <w:szCs w:val="28"/>
          <w:rtl/>
        </w:rPr>
        <w:t xml:space="preserve"> ووافقت اللجنة على النص بعد هذا التعديل تحت رقم 1128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بعد إدماج الفقرتين في فقرة واحدة للارتباط الوثيق بينهما</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1114</w:t>
      </w:r>
      <w:r>
        <w:rPr>
          <w:rFonts w:cs="Traditional Arabic" w:hint="cs"/>
          <w:color w:val="000000"/>
          <w:sz w:val="24"/>
          <w:szCs w:val="28"/>
          <w:rtl/>
        </w:rPr>
        <w:t xml:space="preserve"> .</w:t>
      </w:r>
      <w:r w:rsidRPr="00DC0143">
        <w:rPr>
          <w:rFonts w:cs="Traditional Arabic" w:hint="cs"/>
          <w:color w:val="000000"/>
          <w:sz w:val="24"/>
          <w:szCs w:val="28"/>
          <w:rtl/>
        </w:rPr>
        <w:t xml:space="preserve"> وأضافت لجنة مجلس الشيوخ عبارة "بورقة رسمية" لأن الرهن لا يتم إلا باستيفاء الرسمية</w:t>
      </w:r>
      <w:r>
        <w:rPr>
          <w:rFonts w:cs="Traditional Arabic" w:hint="cs"/>
          <w:color w:val="000000"/>
          <w:sz w:val="24"/>
          <w:szCs w:val="28"/>
          <w:rtl/>
        </w:rPr>
        <w:t xml:space="preserve"> ،</w:t>
      </w:r>
      <w:r w:rsidRPr="00DC0143">
        <w:rPr>
          <w:rFonts w:cs="Traditional Arabic" w:hint="cs"/>
          <w:color w:val="000000"/>
          <w:sz w:val="24"/>
          <w:szCs w:val="28"/>
          <w:rtl/>
        </w:rPr>
        <w:t xml:space="preserve"> فمن الواجب أن ينسحب هذا الحكم على إقرار المالك للرهن فيما لو كأن الرهن قد صدر من شخص آخر</w:t>
      </w:r>
      <w:r>
        <w:rPr>
          <w:rFonts w:cs="Traditional Arabic" w:hint="cs"/>
          <w:color w:val="000000"/>
          <w:sz w:val="24"/>
          <w:szCs w:val="28"/>
          <w:rtl/>
        </w:rPr>
        <w:t xml:space="preserve"> .</w:t>
      </w:r>
      <w:r w:rsidRPr="00DC0143">
        <w:rPr>
          <w:rFonts w:cs="Traditional Arabic" w:hint="cs"/>
          <w:color w:val="000000"/>
          <w:sz w:val="24"/>
          <w:szCs w:val="28"/>
          <w:rtl/>
        </w:rPr>
        <w:t xml:space="preserve"> وكان بعض مستشاري محكمة النقض  قد اقترح حذف النص</w:t>
      </w:r>
      <w:r>
        <w:rPr>
          <w:rFonts w:cs="Traditional Arabic" w:hint="cs"/>
          <w:color w:val="000000"/>
          <w:sz w:val="24"/>
          <w:szCs w:val="28"/>
          <w:rtl/>
        </w:rPr>
        <w:t xml:space="preserve"> ،</w:t>
      </w:r>
      <w:r w:rsidRPr="00DC0143">
        <w:rPr>
          <w:rFonts w:cs="Traditional Arabic" w:hint="cs"/>
          <w:color w:val="000000"/>
          <w:sz w:val="24"/>
          <w:szCs w:val="28"/>
          <w:rtl/>
        </w:rPr>
        <w:t xml:space="preserve"> حتى يكون بطلان الرهن الرسمي الصادر من غير المالك بطلاناً مطلقاً</w:t>
      </w:r>
      <w:r>
        <w:rPr>
          <w:rFonts w:cs="Traditional Arabic" w:hint="cs"/>
          <w:color w:val="000000"/>
          <w:sz w:val="24"/>
          <w:szCs w:val="28"/>
          <w:rtl/>
        </w:rPr>
        <w:t xml:space="preserve"> .</w:t>
      </w:r>
      <w:r w:rsidRPr="00DC0143">
        <w:rPr>
          <w:rFonts w:cs="Traditional Arabic" w:hint="cs"/>
          <w:color w:val="000000"/>
          <w:sz w:val="24"/>
          <w:szCs w:val="28"/>
          <w:rtl/>
        </w:rPr>
        <w:t xml:space="preserve"> ولكن الحكومة أجابت بأن التقنين السابق يجعل بيع ملك الغير باطلا بطلاناً نسبياً ورهن ملك الغير باطلا بطلاناً مطلقاً والواجب توحيد الحكم</w:t>
      </w:r>
      <w:r>
        <w:rPr>
          <w:rFonts w:cs="Traditional Arabic" w:hint="cs"/>
          <w:color w:val="000000"/>
          <w:sz w:val="24"/>
          <w:szCs w:val="28"/>
          <w:rtl/>
        </w:rPr>
        <w:t xml:space="preserve"> ،</w:t>
      </w:r>
      <w:r w:rsidRPr="00DC0143">
        <w:rPr>
          <w:rFonts w:cs="Traditional Arabic" w:hint="cs"/>
          <w:color w:val="000000"/>
          <w:sz w:val="24"/>
          <w:szCs w:val="28"/>
          <w:rtl/>
        </w:rPr>
        <w:t xml:space="preserve"> وقد اقتبس نص مشروع التقنين الإيطالي الذي يجعل رهن ملك الغير باطلا بطلانا نسبياً</w:t>
      </w:r>
      <w:r>
        <w:rPr>
          <w:rFonts w:cs="Traditional Arabic" w:hint="cs"/>
          <w:color w:val="000000"/>
          <w:sz w:val="24"/>
          <w:szCs w:val="28"/>
          <w:rtl/>
        </w:rPr>
        <w:t xml:space="preserve"> .</w:t>
      </w:r>
      <w:r w:rsidRPr="00DC0143">
        <w:rPr>
          <w:rFonts w:cs="Traditional Arabic" w:hint="cs"/>
          <w:color w:val="000000"/>
          <w:sz w:val="24"/>
          <w:szCs w:val="28"/>
          <w:rtl/>
        </w:rPr>
        <w:t xml:space="preserve"> فرأت اللجنة رفض اقتراح مستشاري محكمة النقض</w:t>
      </w:r>
      <w:r>
        <w:rPr>
          <w:rFonts w:cs="Traditional Arabic" w:hint="cs"/>
          <w:color w:val="000000"/>
          <w:sz w:val="24"/>
          <w:szCs w:val="28"/>
          <w:rtl/>
        </w:rPr>
        <w:t xml:space="preserve"> ،</w:t>
      </w:r>
      <w:r w:rsidRPr="00DC0143">
        <w:rPr>
          <w:rFonts w:cs="Traditional Arabic" w:hint="cs"/>
          <w:color w:val="000000"/>
          <w:sz w:val="24"/>
          <w:szCs w:val="28"/>
          <w:rtl/>
        </w:rPr>
        <w:t xml:space="preserve"> لأن إلغاء النص يوجد الشذوذ الذي كأن قائماً في التقنين السابق</w:t>
      </w:r>
      <w:r>
        <w:rPr>
          <w:rFonts w:cs="Traditional Arabic" w:hint="cs"/>
          <w:color w:val="000000"/>
          <w:sz w:val="24"/>
          <w:szCs w:val="28"/>
          <w:rtl/>
        </w:rPr>
        <w:t xml:space="preserve"> ،</w:t>
      </w:r>
      <w:r w:rsidRPr="00DC0143">
        <w:rPr>
          <w:rFonts w:cs="Traditional Arabic" w:hint="cs"/>
          <w:color w:val="000000"/>
          <w:sz w:val="24"/>
          <w:szCs w:val="28"/>
          <w:rtl/>
        </w:rPr>
        <w:t xml:space="preserve"> ويجعل بيع ملك الغير قابلا للإبطال في حين أنه يجعل رهن ملك الغير باطلا بطلانا مطلقا</w:t>
      </w:r>
      <w:r>
        <w:rPr>
          <w:rFonts w:cs="Traditional Arabic" w:hint="cs"/>
          <w:color w:val="000000"/>
          <w:sz w:val="24"/>
          <w:szCs w:val="28"/>
          <w:rtl/>
        </w:rPr>
        <w:t xml:space="preserve"> .</w:t>
      </w:r>
      <w:r w:rsidRPr="00DC0143">
        <w:rPr>
          <w:rFonts w:cs="Traditional Arabic" w:hint="cs"/>
          <w:color w:val="000000"/>
          <w:sz w:val="24"/>
          <w:szCs w:val="28"/>
          <w:rtl/>
        </w:rPr>
        <w:t xml:space="preserve"> فأزال المشروع هذا الشذوذ يجعل الحكم واحدا في الحالتين</w:t>
      </w:r>
      <w:r>
        <w:rPr>
          <w:rFonts w:cs="Traditional Arabic" w:hint="cs"/>
          <w:color w:val="000000"/>
          <w:sz w:val="24"/>
          <w:szCs w:val="28"/>
          <w:rtl/>
        </w:rPr>
        <w:t xml:space="preserve"> ،</w:t>
      </w:r>
      <w:r w:rsidRPr="00DC0143">
        <w:rPr>
          <w:rFonts w:cs="Traditional Arabic" w:hint="cs"/>
          <w:color w:val="000000"/>
          <w:sz w:val="24"/>
          <w:szCs w:val="28"/>
          <w:rtl/>
        </w:rPr>
        <w:t xml:space="preserve"> وفي هذا تيسير للمعاملات إذا يحصل في العمل أن شخصا يرهن ملك غيره ثم يقر المالك هذا العمل</w:t>
      </w:r>
      <w:r>
        <w:rPr>
          <w:rFonts w:cs="Traditional Arabic" w:hint="cs"/>
          <w:color w:val="000000"/>
          <w:sz w:val="24"/>
          <w:szCs w:val="28"/>
          <w:rtl/>
        </w:rPr>
        <w:t xml:space="preserve"> .</w:t>
      </w:r>
      <w:r w:rsidRPr="00DC0143">
        <w:rPr>
          <w:rFonts w:cs="Traditional Arabic" w:hint="cs"/>
          <w:color w:val="000000"/>
          <w:sz w:val="24"/>
          <w:szCs w:val="28"/>
          <w:rtl/>
        </w:rPr>
        <w:t xml:space="preserve"> وأقرت اللجنة النص تحت رقم 1033</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النص كما أقرته لجنته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w:t>
      </w:r>
      <w:r w:rsidRPr="00DC0143">
        <w:rPr>
          <w:rFonts w:cs="Traditional Arabic"/>
          <w:color w:val="000000"/>
          <w:sz w:val="24"/>
          <w:szCs w:val="28"/>
          <w:rtl/>
        </w:rPr>
        <w:t>–</w:t>
      </w:r>
      <w:r w:rsidRPr="00DC0143">
        <w:rPr>
          <w:rFonts w:cs="Traditional Arabic" w:hint="cs"/>
          <w:color w:val="000000"/>
          <w:sz w:val="24"/>
          <w:szCs w:val="28"/>
          <w:rtl/>
        </w:rPr>
        <w:t xml:space="preserve"> 17</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ولا مقابل للنص في التقنين المدني السابق</w:t>
      </w:r>
      <w:r>
        <w:rPr>
          <w:rFonts w:cs="Traditional Arabic" w:hint="cs"/>
          <w:color w:val="000000"/>
          <w:sz w:val="24"/>
          <w:szCs w:val="28"/>
          <w:rtl/>
        </w:rPr>
        <w:t xml:space="preserve"> .</w:t>
      </w:r>
    </w:p>
  </w:footnote>
  <w:footnote w:id="65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14 </w:t>
      </w:r>
      <w:r w:rsidRPr="00DC0143">
        <w:rPr>
          <w:rFonts w:cs="Traditional Arabic"/>
          <w:color w:val="000000"/>
          <w:sz w:val="24"/>
          <w:szCs w:val="28"/>
          <w:rtl/>
        </w:rPr>
        <w:t>–</w:t>
      </w:r>
      <w:r w:rsidRPr="00DC0143">
        <w:rPr>
          <w:rFonts w:cs="Traditional Arabic" w:hint="cs"/>
          <w:color w:val="000000"/>
          <w:sz w:val="24"/>
          <w:szCs w:val="28"/>
          <w:rtl/>
        </w:rPr>
        <w:t xml:space="preserve"> ص 15</w:t>
      </w:r>
      <w:r>
        <w:rPr>
          <w:rFonts w:cs="Traditional Arabic" w:hint="cs"/>
          <w:color w:val="000000"/>
          <w:sz w:val="24"/>
          <w:szCs w:val="28"/>
          <w:rtl/>
        </w:rPr>
        <w:t xml:space="preserve"> .</w:t>
      </w:r>
    </w:p>
  </w:footnote>
  <w:footnote w:id="66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2 فقرة 937 </w:t>
      </w:r>
      <w:r w:rsidRPr="00DC0143">
        <w:rPr>
          <w:rFonts w:cs="Traditional Arabic"/>
          <w:color w:val="000000"/>
          <w:sz w:val="24"/>
          <w:szCs w:val="28"/>
          <w:rtl/>
        </w:rPr>
        <w:t>–</w:t>
      </w:r>
      <w:r w:rsidRPr="00DC0143">
        <w:rPr>
          <w:rFonts w:cs="Traditional Arabic" w:hint="cs"/>
          <w:color w:val="000000"/>
          <w:sz w:val="24"/>
          <w:szCs w:val="28"/>
          <w:rtl/>
        </w:rPr>
        <w:t xml:space="preserve"> فقرة 938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w:t>
      </w:r>
      <w:r w:rsidRPr="00DC0143">
        <w:rPr>
          <w:rFonts w:cs="Traditional Arabic"/>
          <w:color w:val="000000"/>
          <w:sz w:val="24"/>
          <w:szCs w:val="28"/>
          <w:rtl/>
        </w:rPr>
        <w:t>–</w:t>
      </w:r>
      <w:r w:rsidRPr="00DC0143">
        <w:rPr>
          <w:rFonts w:cs="Traditional Arabic" w:hint="cs"/>
          <w:color w:val="000000"/>
          <w:sz w:val="24"/>
          <w:szCs w:val="28"/>
          <w:rtl/>
        </w:rPr>
        <w:t xml:space="preserve"> ص 364 وهامش 4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1304 </w:t>
      </w:r>
      <w:r w:rsidRPr="00DC0143">
        <w:rPr>
          <w:rFonts w:cs="Traditional Arabic"/>
          <w:color w:val="000000"/>
          <w:sz w:val="24"/>
          <w:szCs w:val="28"/>
          <w:rtl/>
        </w:rPr>
        <w:t>–</w:t>
      </w:r>
      <w:r w:rsidRPr="00DC0143">
        <w:rPr>
          <w:rFonts w:cs="Traditional Arabic" w:hint="cs"/>
          <w:color w:val="000000"/>
          <w:sz w:val="24"/>
          <w:szCs w:val="28"/>
          <w:rtl/>
        </w:rPr>
        <w:t xml:space="preserve"> فقرة 1308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2 فقرة 3674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1746 </w:t>
      </w:r>
      <w:r w:rsidRPr="00DC0143">
        <w:rPr>
          <w:rFonts w:cs="Traditional Arabic"/>
          <w:color w:val="000000"/>
          <w:sz w:val="24"/>
          <w:szCs w:val="28"/>
          <w:rtl/>
        </w:rPr>
        <w:t>–</w:t>
      </w:r>
      <w:r w:rsidRPr="00DC0143">
        <w:rPr>
          <w:rFonts w:cs="Traditional Arabic" w:hint="cs"/>
          <w:color w:val="000000"/>
          <w:sz w:val="24"/>
          <w:szCs w:val="28"/>
          <w:rtl/>
        </w:rPr>
        <w:t xml:space="preserve"> جوسوان 2 فقرة 1680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2 فقرة 419</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66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24 مايو سنة 1892 داللوز 92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327 </w:t>
      </w:r>
      <w:r w:rsidRPr="00DC0143">
        <w:rPr>
          <w:rFonts w:cs="Traditional Arabic"/>
          <w:color w:val="000000"/>
          <w:sz w:val="24"/>
          <w:szCs w:val="28"/>
          <w:rtl/>
        </w:rPr>
        <w:t>–</w:t>
      </w:r>
      <w:r w:rsidRPr="00DC0143">
        <w:rPr>
          <w:rFonts w:cs="Traditional Arabic" w:hint="cs"/>
          <w:color w:val="000000"/>
          <w:sz w:val="24"/>
          <w:szCs w:val="28"/>
          <w:rtl/>
        </w:rPr>
        <w:t xml:space="preserve"> 13 نوفمبر سنة 1912 داللوز 1913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433  - أوبري ورو 3 فقرة 266 ص 364 وهامش 3 مكرر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1306 وفقرة 1308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2 فقرة  1686 </w:t>
      </w:r>
      <w:r w:rsidRPr="00DC0143">
        <w:rPr>
          <w:rFonts w:cs="Traditional Arabic"/>
          <w:color w:val="000000"/>
          <w:sz w:val="24"/>
          <w:szCs w:val="28"/>
          <w:rtl/>
        </w:rPr>
        <w:t>–</w:t>
      </w:r>
      <w:r w:rsidRPr="00DC0143">
        <w:rPr>
          <w:rFonts w:cs="Traditional Arabic" w:hint="cs"/>
          <w:color w:val="000000"/>
          <w:sz w:val="24"/>
          <w:szCs w:val="28"/>
          <w:rtl/>
        </w:rPr>
        <w:t xml:space="preserve"> بيدان وثواران فقرة 781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421 </w:t>
      </w:r>
      <w:r w:rsidRPr="00DC0143">
        <w:rPr>
          <w:rFonts w:cs="Traditional Arabic"/>
          <w:color w:val="000000"/>
          <w:sz w:val="24"/>
          <w:szCs w:val="28"/>
          <w:rtl/>
        </w:rPr>
        <w:t>–</w:t>
      </w:r>
      <w:r w:rsidRPr="00DC0143">
        <w:rPr>
          <w:rFonts w:cs="Traditional Arabic" w:hint="cs"/>
          <w:color w:val="000000"/>
          <w:sz w:val="24"/>
          <w:szCs w:val="28"/>
          <w:rtl/>
        </w:rPr>
        <w:t xml:space="preserve"> 454</w:t>
      </w:r>
      <w:r>
        <w:rPr>
          <w:rFonts w:cs="Traditional Arabic" w:hint="cs"/>
          <w:color w:val="000000"/>
          <w:sz w:val="24"/>
          <w:szCs w:val="28"/>
          <w:rtl/>
        </w:rPr>
        <w:t xml:space="preserve"> .</w:t>
      </w:r>
    </w:p>
  </w:footnote>
  <w:footnote w:id="66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266 ص 266 هامش 7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1311</w:t>
      </w:r>
      <w:r>
        <w:rPr>
          <w:rFonts w:cs="Traditional Arabic" w:hint="cs"/>
          <w:color w:val="000000"/>
          <w:sz w:val="24"/>
          <w:szCs w:val="28"/>
          <w:rtl/>
        </w:rPr>
        <w:t xml:space="preserve"> .</w:t>
      </w:r>
    </w:p>
  </w:footnote>
  <w:footnote w:id="66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1312</w:t>
      </w:r>
      <w:r>
        <w:rPr>
          <w:rFonts w:cs="Traditional Arabic" w:hint="cs"/>
          <w:color w:val="000000"/>
          <w:sz w:val="24"/>
          <w:szCs w:val="28"/>
          <w:rtl/>
        </w:rPr>
        <w:t xml:space="preserve"> .</w:t>
      </w:r>
    </w:p>
  </w:footnote>
  <w:footnote w:id="66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266 ص 366 وهامش 8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1312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2 فقرة  3674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1746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1686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421 ص 456</w:t>
      </w:r>
      <w:r>
        <w:rPr>
          <w:rFonts w:cs="Traditional Arabic" w:hint="cs"/>
          <w:color w:val="000000"/>
          <w:sz w:val="24"/>
          <w:szCs w:val="28"/>
          <w:rtl/>
        </w:rPr>
        <w:t xml:space="preserve"> .</w:t>
      </w:r>
    </w:p>
  </w:footnote>
  <w:footnote w:id="66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26 يوليه سنة 1926 داللوز الأسبوعي 1926 </w:t>
      </w:r>
      <w:r w:rsidRPr="00DC0143">
        <w:rPr>
          <w:rFonts w:cs="Traditional Arabic"/>
          <w:color w:val="000000"/>
          <w:sz w:val="24"/>
          <w:szCs w:val="28"/>
          <w:rtl/>
        </w:rPr>
        <w:t>–</w:t>
      </w:r>
      <w:r w:rsidRPr="00DC0143">
        <w:rPr>
          <w:rFonts w:cs="Traditional Arabic" w:hint="cs"/>
          <w:color w:val="000000"/>
          <w:sz w:val="24"/>
          <w:szCs w:val="28"/>
          <w:rtl/>
        </w:rPr>
        <w:t xml:space="preserve"> 434 </w:t>
      </w:r>
      <w:r w:rsidRPr="00DC0143">
        <w:rPr>
          <w:rFonts w:cs="Traditional Arabic"/>
          <w:color w:val="000000"/>
          <w:sz w:val="24"/>
          <w:szCs w:val="28"/>
          <w:rtl/>
        </w:rPr>
        <w:t>–</w:t>
      </w:r>
      <w:r w:rsidRPr="00DC0143">
        <w:rPr>
          <w:rFonts w:cs="Traditional Arabic" w:hint="cs"/>
          <w:color w:val="000000"/>
          <w:sz w:val="24"/>
          <w:szCs w:val="28"/>
          <w:rtl/>
        </w:rPr>
        <w:t xml:space="preserve"> 15 يناير سنة 1934 داللوز الأسبوعي 1934 </w:t>
      </w:r>
      <w:r w:rsidRPr="00DC0143">
        <w:rPr>
          <w:rFonts w:cs="Traditional Arabic"/>
          <w:color w:val="000000"/>
          <w:sz w:val="24"/>
          <w:szCs w:val="28"/>
          <w:rtl/>
        </w:rPr>
        <w:t>–</w:t>
      </w:r>
      <w:r w:rsidRPr="00DC0143">
        <w:rPr>
          <w:rFonts w:cs="Traditional Arabic" w:hint="cs"/>
          <w:color w:val="000000"/>
          <w:sz w:val="24"/>
          <w:szCs w:val="28"/>
          <w:rtl/>
        </w:rPr>
        <w:t xml:space="preserve"> 97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421 ص 456</w:t>
      </w:r>
      <w:r>
        <w:rPr>
          <w:rFonts w:cs="Traditional Arabic" w:hint="cs"/>
          <w:color w:val="000000"/>
          <w:sz w:val="24"/>
          <w:szCs w:val="28"/>
          <w:rtl/>
        </w:rPr>
        <w:t xml:space="preserve"> .</w:t>
      </w:r>
    </w:p>
  </w:footnote>
  <w:footnote w:id="66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دي هلتس في الرهن الرسمي فقرة 30 </w:t>
      </w:r>
      <w:r w:rsidRPr="00DC0143">
        <w:rPr>
          <w:rFonts w:cs="Traditional Arabic"/>
          <w:color w:val="000000"/>
          <w:sz w:val="24"/>
          <w:szCs w:val="28"/>
          <w:rtl/>
        </w:rPr>
        <w:t>–</w:t>
      </w:r>
      <w:r w:rsidRPr="00DC0143">
        <w:rPr>
          <w:rFonts w:cs="Traditional Arabic" w:hint="cs"/>
          <w:color w:val="000000"/>
          <w:sz w:val="24"/>
          <w:szCs w:val="28"/>
          <w:rtl/>
        </w:rPr>
        <w:t xml:space="preserve"> جرانمولان فقرة 309 </w:t>
      </w:r>
      <w:r w:rsidRPr="00DC0143">
        <w:rPr>
          <w:rFonts w:cs="Traditional Arabic"/>
          <w:color w:val="000000"/>
          <w:sz w:val="24"/>
          <w:szCs w:val="28"/>
          <w:rtl/>
        </w:rPr>
        <w:t>–</w:t>
      </w:r>
      <w:r w:rsidRPr="00DC0143">
        <w:rPr>
          <w:rFonts w:cs="Traditional Arabic" w:hint="cs"/>
          <w:color w:val="000000"/>
          <w:sz w:val="24"/>
          <w:szCs w:val="28"/>
          <w:rtl/>
        </w:rPr>
        <w:t xml:space="preserve"> استئناف مختلط 3 فبراير سنة </w:t>
      </w:r>
      <w:smartTag w:uri="urn:schemas-microsoft-com:office:smarttags" w:element="metricconverter">
        <w:smartTagPr>
          <w:attr w:name="ProductID" w:val="1892 م"/>
        </w:smartTagPr>
        <w:r w:rsidRPr="00DC0143">
          <w:rPr>
            <w:rFonts w:cs="Traditional Arabic" w:hint="cs"/>
            <w:color w:val="000000"/>
            <w:sz w:val="24"/>
            <w:szCs w:val="28"/>
            <w:rtl/>
          </w:rPr>
          <w:t>1892 م</w:t>
        </w:r>
      </w:smartTag>
      <w:r w:rsidRPr="00DC0143">
        <w:rPr>
          <w:rFonts w:cs="Traditional Arabic" w:hint="cs"/>
          <w:color w:val="000000"/>
          <w:sz w:val="24"/>
          <w:szCs w:val="28"/>
          <w:rtl/>
        </w:rPr>
        <w:t xml:space="preserve"> 4 ص 102 </w:t>
      </w:r>
      <w:r w:rsidRPr="00DC0143">
        <w:rPr>
          <w:rFonts w:cs="Traditional Arabic"/>
          <w:color w:val="000000"/>
          <w:sz w:val="24"/>
          <w:szCs w:val="28"/>
          <w:rtl/>
        </w:rPr>
        <w:t>–</w:t>
      </w:r>
      <w:r w:rsidRPr="00DC0143">
        <w:rPr>
          <w:rFonts w:cs="Traditional Arabic" w:hint="cs"/>
          <w:color w:val="000000"/>
          <w:sz w:val="24"/>
          <w:szCs w:val="28"/>
          <w:rtl/>
        </w:rPr>
        <w:t xml:space="preserve"> 9 نوفمبر سن ة1892 م 5 ص 5 </w:t>
      </w:r>
      <w:r w:rsidRPr="00DC0143">
        <w:rPr>
          <w:rFonts w:cs="Traditional Arabic"/>
          <w:color w:val="000000"/>
          <w:sz w:val="24"/>
          <w:szCs w:val="28"/>
          <w:rtl/>
        </w:rPr>
        <w:t>–</w:t>
      </w:r>
      <w:r w:rsidRPr="00DC0143">
        <w:rPr>
          <w:rFonts w:cs="Traditional Arabic" w:hint="cs"/>
          <w:color w:val="000000"/>
          <w:sz w:val="24"/>
          <w:szCs w:val="28"/>
          <w:rtl/>
        </w:rPr>
        <w:t xml:space="preserve"> 22 نوفمبر سنة </w:t>
      </w:r>
      <w:smartTag w:uri="urn:schemas-microsoft-com:office:smarttags" w:element="metricconverter">
        <w:smartTagPr>
          <w:attr w:name="ProductID" w:val="1906 م"/>
        </w:smartTagPr>
        <w:r w:rsidRPr="00DC0143">
          <w:rPr>
            <w:rFonts w:cs="Traditional Arabic" w:hint="cs"/>
            <w:color w:val="000000"/>
            <w:sz w:val="24"/>
            <w:szCs w:val="28"/>
            <w:rtl/>
          </w:rPr>
          <w:t>1906 م</w:t>
        </w:r>
      </w:smartTag>
      <w:r w:rsidRPr="00DC0143">
        <w:rPr>
          <w:rFonts w:cs="Traditional Arabic" w:hint="cs"/>
          <w:color w:val="000000"/>
          <w:sz w:val="24"/>
          <w:szCs w:val="28"/>
          <w:rtl/>
        </w:rPr>
        <w:t xml:space="preserve"> 19 ص 19</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 xml:space="preserve">بل ذهبت محكمة الاستئناف المختلط في حكم لها إلى أن رهن ملك الغير رهناً رسمياً غير موجود </w:t>
      </w:r>
      <w:r>
        <w:rPr>
          <w:rFonts w:cs="Traditional Arabic"/>
          <w:color w:val="000000"/>
          <w:sz w:val="24"/>
          <w:szCs w:val="28"/>
          <w:rtl/>
        </w:rPr>
        <w:t xml:space="preserve">( </w:t>
      </w:r>
      <w:r w:rsidRPr="00DC0143">
        <w:rPr>
          <w:rFonts w:cs="Traditional Arabic"/>
          <w:color w:val="000000"/>
          <w:sz w:val="24"/>
          <w:szCs w:val="28"/>
        </w:rPr>
        <w:t>inexistant</w:t>
      </w:r>
      <w:r>
        <w:rPr>
          <w:rFonts w:cs="Traditional Arabic"/>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 xml:space="preserve"> لأن النص الفرنسي للمادة 681 من التقنين المدني المختلط يقول</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Pr>
        <w:t xml:space="preserve">"Le droit d'hpotheque n'existe que quand il a ete stipule </w:t>
      </w:r>
      <w:r>
        <w:rPr>
          <w:rFonts w:cs="Traditional Arabic"/>
          <w:color w:val="000000"/>
          <w:sz w:val="24"/>
          <w:szCs w:val="28"/>
        </w:rPr>
        <w:t xml:space="preserve"> . .</w:t>
      </w:r>
      <w:r w:rsidRPr="00DC0143">
        <w:rPr>
          <w:rFonts w:cs="Traditional Arabic"/>
          <w:color w:val="000000"/>
          <w:sz w:val="24"/>
          <w:szCs w:val="28"/>
        </w:rPr>
        <w:t xml:space="preserve"> contre le creancier et le propietaire"</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استنئاف مختلط أول يونيه سنة 1937م 49 ص 241</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66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والى هذه الحجة يضيف الأستاذ سلميان مرقس حجتين أخريين</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أ</w:t>
      </w:r>
      <w:r>
        <w:rPr>
          <w:rFonts w:cs="Traditional Arabic" w:hint="cs"/>
          <w:color w:val="000000"/>
          <w:sz w:val="24"/>
          <w:szCs w:val="28"/>
          <w:rtl/>
        </w:rPr>
        <w:t xml:space="preserve"> )</w:t>
      </w:r>
      <w:r w:rsidRPr="00DC0143">
        <w:rPr>
          <w:rFonts w:cs="Traditional Arabic" w:hint="cs"/>
          <w:color w:val="000000"/>
          <w:sz w:val="24"/>
          <w:szCs w:val="28"/>
          <w:rtl/>
        </w:rPr>
        <w:t xml:space="preserve"> إن المادة 557/681 من التقنين المدني السابق إنما قررت بطلان الرهن الرسمي بطلاناً مطلقاً جزاء لعدم ملكية الراهن للعقار المرهون أيضاً</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ب</w:t>
      </w:r>
      <w:r>
        <w:rPr>
          <w:rFonts w:cs="Traditional Arabic" w:hint="cs"/>
          <w:color w:val="000000"/>
          <w:sz w:val="24"/>
          <w:szCs w:val="28"/>
          <w:rtl/>
        </w:rPr>
        <w:t xml:space="preserve"> )</w:t>
      </w:r>
      <w:r w:rsidRPr="00DC0143">
        <w:rPr>
          <w:rFonts w:cs="Traditional Arabic" w:hint="cs"/>
          <w:color w:val="000000"/>
          <w:sz w:val="24"/>
          <w:szCs w:val="28"/>
          <w:rtl/>
        </w:rPr>
        <w:t xml:space="preserve"> إن المادة 563/687</w:t>
      </w:r>
      <w:r>
        <w:rPr>
          <w:rFonts w:cs="Traditional Arabic" w:hint="cs"/>
          <w:color w:val="000000"/>
          <w:sz w:val="24"/>
          <w:szCs w:val="28"/>
          <w:rtl/>
        </w:rPr>
        <w:t xml:space="preserve"> ،</w:t>
      </w:r>
      <w:r w:rsidRPr="00DC0143">
        <w:rPr>
          <w:rFonts w:cs="Traditional Arabic" w:hint="cs"/>
          <w:color w:val="000000"/>
          <w:sz w:val="24"/>
          <w:szCs w:val="28"/>
          <w:rtl/>
        </w:rPr>
        <w:t xml:space="preserve"> عندما جعلت الرهن الرسمي باطلا</w:t>
      </w:r>
      <w:r>
        <w:rPr>
          <w:rFonts w:cs="Traditional Arabic" w:hint="cs"/>
          <w:color w:val="000000"/>
          <w:sz w:val="24"/>
          <w:szCs w:val="28"/>
          <w:rtl/>
        </w:rPr>
        <w:t xml:space="preserve"> ،</w:t>
      </w:r>
      <w:r w:rsidRPr="00DC0143">
        <w:rPr>
          <w:rFonts w:cs="Traditional Arabic" w:hint="cs"/>
          <w:color w:val="000000"/>
          <w:sz w:val="24"/>
          <w:szCs w:val="28"/>
          <w:rtl/>
        </w:rPr>
        <w:t xml:space="preserve"> قررت ذلك جزاء لمخالفته مبدأ تخصيص الرهن</w:t>
      </w:r>
      <w:r>
        <w:rPr>
          <w:rFonts w:cs="Traditional Arabic" w:hint="cs"/>
          <w:color w:val="000000"/>
          <w:sz w:val="24"/>
          <w:szCs w:val="28"/>
          <w:rtl/>
        </w:rPr>
        <w:t xml:space="preserve"> ،</w:t>
      </w:r>
      <w:r w:rsidRPr="00DC0143">
        <w:rPr>
          <w:rFonts w:cs="Traditional Arabic" w:hint="cs"/>
          <w:color w:val="000000"/>
          <w:sz w:val="24"/>
          <w:szCs w:val="28"/>
          <w:rtl/>
        </w:rPr>
        <w:t xml:space="preserve"> أما إذا رهن شخص عقاراً معينا قبل أن يملكه فإن علة البطلان هنا تكون منعدمة لأن مبدأ تخصيص الرهن في هذه الحالة لا يختل </w:t>
      </w:r>
      <w:r>
        <w:rPr>
          <w:rFonts w:cs="Traditional Arabic" w:hint="cs"/>
          <w:color w:val="000000"/>
          <w:sz w:val="24"/>
          <w:szCs w:val="28"/>
          <w:rtl/>
        </w:rPr>
        <w:t xml:space="preserve">( </w:t>
      </w:r>
      <w:r w:rsidRPr="00DC0143">
        <w:rPr>
          <w:rFonts w:cs="Traditional Arabic" w:hint="cs"/>
          <w:color w:val="000000"/>
          <w:sz w:val="24"/>
          <w:szCs w:val="28"/>
          <w:rtl/>
        </w:rPr>
        <w:t>سليمان مرقس فقرة 42 ص 61</w:t>
      </w:r>
      <w:r>
        <w:rPr>
          <w:rFonts w:cs="Traditional Arabic" w:hint="cs"/>
          <w:color w:val="000000"/>
          <w:sz w:val="24"/>
          <w:szCs w:val="28"/>
          <w:rtl/>
        </w:rPr>
        <w:t xml:space="preserve"> ) .</w:t>
      </w:r>
    </w:p>
  </w:footnote>
  <w:footnote w:id="66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استئناف مختلط 12 مايو سنة 1887 بوريللي على المادة 333 نبذة 1</w:t>
      </w:r>
      <w:r>
        <w:rPr>
          <w:rFonts w:cs="Traditional Arabic" w:hint="cs"/>
          <w:color w:val="000000"/>
          <w:sz w:val="24"/>
          <w:szCs w:val="28"/>
          <w:rtl/>
        </w:rPr>
        <w:t xml:space="preserve"> .</w:t>
      </w:r>
    </w:p>
  </w:footnote>
  <w:footnote w:id="66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42 ص 62</w:t>
      </w:r>
      <w:r>
        <w:rPr>
          <w:rFonts w:cs="Traditional Arabic" w:hint="cs"/>
          <w:color w:val="000000"/>
          <w:sz w:val="24"/>
          <w:szCs w:val="28"/>
          <w:rtl/>
        </w:rPr>
        <w:t xml:space="preserve"> .</w:t>
      </w:r>
    </w:p>
  </w:footnote>
  <w:footnote w:id="67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135</w:t>
      </w:r>
      <w:r>
        <w:rPr>
          <w:rFonts w:cs="Traditional Arabic" w:hint="cs"/>
          <w:color w:val="000000"/>
          <w:sz w:val="24"/>
          <w:szCs w:val="28"/>
          <w:rtl/>
        </w:rPr>
        <w:t xml:space="preserve"> .</w:t>
      </w:r>
    </w:p>
  </w:footnote>
  <w:footnote w:id="67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135</w:t>
      </w:r>
      <w:r>
        <w:rPr>
          <w:rFonts w:cs="Traditional Arabic" w:hint="cs"/>
          <w:color w:val="000000"/>
          <w:sz w:val="24"/>
          <w:szCs w:val="28"/>
          <w:rtl/>
        </w:rPr>
        <w:t xml:space="preserve"> .</w:t>
      </w:r>
    </w:p>
  </w:footnote>
  <w:footnote w:id="67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رأينا فيما تقدم </w:t>
      </w:r>
      <w:r>
        <w:rPr>
          <w:rFonts w:cs="Traditional Arabic" w:hint="cs"/>
          <w:color w:val="000000"/>
          <w:sz w:val="24"/>
          <w:szCs w:val="28"/>
          <w:rtl/>
        </w:rPr>
        <w:t xml:space="preserve">( </w:t>
      </w:r>
      <w:r w:rsidRPr="00DC0143">
        <w:rPr>
          <w:rFonts w:cs="Traditional Arabic" w:hint="cs"/>
          <w:color w:val="000000"/>
          <w:sz w:val="24"/>
          <w:szCs w:val="28"/>
          <w:rtl/>
        </w:rPr>
        <w:t>انظر آنفاً فقرة 135 في الهامش</w:t>
      </w:r>
      <w:r>
        <w:rPr>
          <w:rFonts w:cs="Traditional Arabic" w:hint="cs"/>
          <w:color w:val="000000"/>
          <w:sz w:val="24"/>
          <w:szCs w:val="28"/>
          <w:rtl/>
        </w:rPr>
        <w:t xml:space="preserve"> )</w:t>
      </w:r>
      <w:r w:rsidRPr="00DC0143">
        <w:rPr>
          <w:rFonts w:cs="Traditional Arabic" w:hint="cs"/>
          <w:color w:val="000000"/>
          <w:sz w:val="24"/>
          <w:szCs w:val="28"/>
          <w:rtl/>
        </w:rPr>
        <w:t xml:space="preserve"> أن لجنة مجلس الشيوخ ضافت عبارة "بورقة رسمية"  لأن الرهن لا يتم إلا باستيفاء الرسمية</w:t>
      </w:r>
      <w:r>
        <w:rPr>
          <w:rFonts w:cs="Traditional Arabic" w:hint="cs"/>
          <w:color w:val="000000"/>
          <w:sz w:val="24"/>
          <w:szCs w:val="28"/>
          <w:rtl/>
        </w:rPr>
        <w:t xml:space="preserve"> ،</w:t>
      </w:r>
      <w:r w:rsidRPr="00DC0143">
        <w:rPr>
          <w:rFonts w:cs="Traditional Arabic" w:hint="cs"/>
          <w:color w:val="000000"/>
          <w:sz w:val="24"/>
          <w:szCs w:val="28"/>
          <w:rtl/>
        </w:rPr>
        <w:t xml:space="preserve"> فمن الواجب أن ينسحب هذا الحكم على إقرار المالك للرهن فيما لو كان لرهن قد صدر من شخص آخر</w:t>
      </w:r>
      <w:r>
        <w:rPr>
          <w:rFonts w:cs="Traditional Arabic" w:hint="cs"/>
          <w:color w:val="000000"/>
          <w:sz w:val="24"/>
          <w:szCs w:val="28"/>
          <w:rtl/>
        </w:rPr>
        <w:t xml:space="preserve"> .</w:t>
      </w:r>
    </w:p>
  </w:footnote>
  <w:footnote w:id="67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مع ذلك فيما يوجهه بعض الفقهاء من انتقاء حكم القابلية للإبطال لرهن ملك الغير وعصيان هذا الحكم عن الاستجابة إلى أحكام رهن ملك الغير</w:t>
      </w:r>
      <w:r>
        <w:rPr>
          <w:rFonts w:cs="Traditional Arabic" w:hint="cs"/>
          <w:color w:val="000000"/>
          <w:sz w:val="24"/>
          <w:szCs w:val="28"/>
          <w:rtl/>
        </w:rPr>
        <w:t xml:space="preserve"> :</w:t>
      </w:r>
      <w:r w:rsidRPr="00DC0143">
        <w:rPr>
          <w:rFonts w:cs="Traditional Arabic" w:hint="cs"/>
          <w:color w:val="000000"/>
          <w:sz w:val="24"/>
          <w:szCs w:val="28"/>
          <w:rtl/>
        </w:rPr>
        <w:t xml:space="preserve"> شمس الدين الويل فقرة 40 ص 88 </w:t>
      </w:r>
      <w:r w:rsidRPr="00DC0143">
        <w:rPr>
          <w:rFonts w:cs="Traditional Arabic"/>
          <w:color w:val="000000"/>
          <w:sz w:val="24"/>
          <w:szCs w:val="28"/>
          <w:rtl/>
        </w:rPr>
        <w:t>–</w:t>
      </w:r>
      <w:r w:rsidRPr="00DC0143">
        <w:rPr>
          <w:rFonts w:cs="Traditional Arabic" w:hint="cs"/>
          <w:color w:val="000000"/>
          <w:sz w:val="24"/>
          <w:szCs w:val="28"/>
          <w:rtl/>
        </w:rPr>
        <w:t xml:space="preserve"> ص 94</w:t>
      </w:r>
      <w:r>
        <w:rPr>
          <w:rFonts w:cs="Traditional Arabic" w:hint="cs"/>
          <w:color w:val="000000"/>
          <w:sz w:val="24"/>
          <w:szCs w:val="28"/>
          <w:rtl/>
        </w:rPr>
        <w:t xml:space="preserve"> .</w:t>
      </w:r>
    </w:p>
  </w:footnote>
  <w:footnote w:id="67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الوسيط 4 فقرة 155 </w:t>
      </w:r>
      <w:r w:rsidRPr="00DC0143">
        <w:rPr>
          <w:rFonts w:cs="Traditional Arabic"/>
          <w:color w:val="000000"/>
          <w:sz w:val="24"/>
          <w:szCs w:val="28"/>
          <w:rtl/>
        </w:rPr>
        <w:t>–</w:t>
      </w:r>
      <w:r w:rsidRPr="00DC0143">
        <w:rPr>
          <w:rFonts w:cs="Traditional Arabic" w:hint="cs"/>
          <w:color w:val="000000"/>
          <w:sz w:val="24"/>
          <w:szCs w:val="28"/>
          <w:rtl/>
        </w:rPr>
        <w:t xml:space="preserve"> فقرة 158</w:t>
      </w:r>
      <w:r>
        <w:rPr>
          <w:rFonts w:cs="Traditional Arabic" w:hint="cs"/>
          <w:color w:val="000000"/>
          <w:sz w:val="24"/>
          <w:szCs w:val="28"/>
          <w:rtl/>
        </w:rPr>
        <w:t xml:space="preserve"> .</w:t>
      </w:r>
    </w:p>
  </w:footnote>
  <w:footnote w:id="67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43 </w:t>
      </w:r>
      <w:r w:rsidRPr="00DC0143">
        <w:rPr>
          <w:rFonts w:cs="Traditional Arabic"/>
          <w:color w:val="000000"/>
          <w:sz w:val="24"/>
          <w:szCs w:val="28"/>
          <w:rtl/>
        </w:rPr>
        <w:t>–</w:t>
      </w:r>
      <w:r w:rsidRPr="00DC0143">
        <w:rPr>
          <w:rFonts w:cs="Traditional Arabic" w:hint="cs"/>
          <w:color w:val="000000"/>
          <w:sz w:val="24"/>
          <w:szCs w:val="28"/>
          <w:rtl/>
        </w:rPr>
        <w:t xml:space="preserve"> 66 </w:t>
      </w:r>
      <w:r w:rsidRPr="00DC0143">
        <w:rPr>
          <w:rFonts w:cs="Traditional Arabic"/>
          <w:color w:val="000000"/>
          <w:sz w:val="24"/>
          <w:szCs w:val="28"/>
          <w:rtl/>
        </w:rPr>
        <w:t>–</w:t>
      </w:r>
      <w:r w:rsidRPr="00DC0143">
        <w:rPr>
          <w:rFonts w:cs="Traditional Arabic" w:hint="cs"/>
          <w:color w:val="000000"/>
          <w:sz w:val="24"/>
          <w:szCs w:val="28"/>
          <w:rtl/>
        </w:rPr>
        <w:t xml:space="preserve"> ص 67</w:t>
      </w:r>
      <w:r>
        <w:rPr>
          <w:rFonts w:cs="Traditional Arabic" w:hint="cs"/>
          <w:color w:val="000000"/>
          <w:sz w:val="24"/>
          <w:szCs w:val="28"/>
          <w:rtl/>
        </w:rPr>
        <w:t xml:space="preserve"> .</w:t>
      </w:r>
    </w:p>
  </w:footnote>
  <w:footnote w:id="67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4 فقرة 156</w:t>
      </w:r>
      <w:r>
        <w:rPr>
          <w:rFonts w:cs="Traditional Arabic" w:hint="cs"/>
          <w:color w:val="000000"/>
          <w:sz w:val="24"/>
          <w:szCs w:val="28"/>
          <w:rtl/>
        </w:rPr>
        <w:t xml:space="preserve"> .</w:t>
      </w:r>
    </w:p>
  </w:footnote>
  <w:footnote w:id="67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شفيق شحاته في النظرية العامة للتأمين العيني فقرة 92 </w:t>
      </w:r>
      <w:r w:rsidRPr="00DC0143">
        <w:rPr>
          <w:rFonts w:cs="Traditional Arabic"/>
          <w:color w:val="000000"/>
          <w:sz w:val="24"/>
          <w:szCs w:val="28"/>
          <w:rtl/>
        </w:rPr>
        <w:t>–</w:t>
      </w:r>
      <w:r w:rsidRPr="00DC0143">
        <w:rPr>
          <w:rFonts w:cs="Traditional Arabic" w:hint="cs"/>
          <w:color w:val="000000"/>
          <w:sz w:val="24"/>
          <w:szCs w:val="28"/>
          <w:rtl/>
        </w:rPr>
        <w:t xml:space="preserve"> فقرة 93</w:t>
      </w:r>
      <w:r>
        <w:rPr>
          <w:rFonts w:cs="Traditional Arabic" w:hint="cs"/>
          <w:color w:val="000000"/>
          <w:sz w:val="24"/>
          <w:szCs w:val="28"/>
          <w:rtl/>
        </w:rPr>
        <w:t xml:space="preserve"> .</w:t>
      </w:r>
    </w:p>
  </w:footnote>
  <w:footnote w:id="67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4 فقرة 157</w:t>
      </w:r>
      <w:r>
        <w:rPr>
          <w:rFonts w:cs="Traditional Arabic" w:hint="cs"/>
          <w:color w:val="000000"/>
          <w:sz w:val="24"/>
          <w:szCs w:val="28"/>
          <w:rtl/>
        </w:rPr>
        <w:t xml:space="preserve"> .</w:t>
      </w:r>
    </w:p>
  </w:footnote>
  <w:footnote w:id="67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الوسيط 4 فقرة 198</w:t>
      </w:r>
      <w:r>
        <w:rPr>
          <w:rFonts w:cs="Traditional Arabic" w:hint="cs"/>
          <w:color w:val="000000"/>
          <w:sz w:val="24"/>
          <w:szCs w:val="28"/>
          <w:rtl/>
        </w:rPr>
        <w:t xml:space="preserve"> .</w:t>
      </w:r>
    </w:p>
  </w:footnote>
  <w:footnote w:id="68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1447 من المروع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"يكون الرهن باطلا إذا وقع على أموال مستقبلة</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يكن العقار المرهون معيناً بالذات</w:t>
      </w:r>
      <w:r>
        <w:rPr>
          <w:rFonts w:cs="Traditional Arabic" w:hint="cs"/>
          <w:color w:val="000000"/>
          <w:sz w:val="24"/>
          <w:szCs w:val="28"/>
          <w:rtl/>
        </w:rPr>
        <w:t xml:space="preserve"> ،</w:t>
      </w:r>
      <w:r w:rsidRPr="00DC0143">
        <w:rPr>
          <w:rFonts w:cs="Traditional Arabic" w:hint="cs"/>
          <w:color w:val="000000"/>
          <w:sz w:val="24"/>
          <w:szCs w:val="28"/>
          <w:rtl/>
        </w:rPr>
        <w:t xml:space="preserve"> ففي هذه الحالة تسري أحكام المادة 1440"</w:t>
      </w:r>
      <w:r>
        <w:rPr>
          <w:rFonts w:cs="Traditional Arabic" w:hint="cs"/>
          <w:color w:val="000000"/>
          <w:sz w:val="24"/>
          <w:szCs w:val="28"/>
          <w:rtl/>
        </w:rPr>
        <w:t xml:space="preserve"> .</w:t>
      </w:r>
      <w:r w:rsidRPr="00DC0143">
        <w:rPr>
          <w:rFonts w:cs="Traditional Arabic" w:hint="cs"/>
          <w:color w:val="000000"/>
          <w:sz w:val="24"/>
          <w:szCs w:val="28"/>
          <w:rtl/>
        </w:rPr>
        <w:t xml:space="preserve"> وقررت لجنة المراجعة حذف هذه المادة</w:t>
      </w:r>
      <w:r>
        <w:rPr>
          <w:rFonts w:cs="Traditional Arabic" w:hint="cs"/>
          <w:color w:val="000000"/>
          <w:sz w:val="24"/>
          <w:szCs w:val="28"/>
          <w:rtl/>
        </w:rPr>
        <w:t xml:space="preserve"> .</w:t>
      </w:r>
      <w:r w:rsidRPr="00DC0143">
        <w:rPr>
          <w:rFonts w:cs="Traditional Arabic" w:hint="cs"/>
          <w:color w:val="000000"/>
          <w:sz w:val="24"/>
          <w:szCs w:val="28"/>
          <w:rtl/>
        </w:rPr>
        <w:t xml:space="preserve"> ولكن مجلس النواب أضاف فقرة جديدة </w:t>
      </w:r>
      <w:r>
        <w:rPr>
          <w:rFonts w:cs="Traditional Arabic" w:hint="cs"/>
          <w:color w:val="000000"/>
          <w:sz w:val="24"/>
          <w:szCs w:val="28"/>
          <w:rtl/>
        </w:rPr>
        <w:t xml:space="preserve">( </w:t>
      </w:r>
      <w:r w:rsidRPr="00DC0143">
        <w:rPr>
          <w:rFonts w:cs="Traditional Arabic" w:hint="cs"/>
          <w:color w:val="000000"/>
          <w:sz w:val="24"/>
          <w:szCs w:val="28"/>
          <w:rtl/>
        </w:rPr>
        <w:t>إلى المادة 1033 مدني9 ضمنها حكم رهن المال المستقبل</w:t>
      </w:r>
      <w:r>
        <w:rPr>
          <w:rFonts w:cs="Traditional Arabic" w:hint="cs"/>
          <w:color w:val="000000"/>
          <w:sz w:val="24"/>
          <w:szCs w:val="28"/>
          <w:rtl/>
        </w:rPr>
        <w:t xml:space="preserve"> ،</w:t>
      </w:r>
      <w:r w:rsidRPr="00DC0143">
        <w:rPr>
          <w:rFonts w:cs="Traditional Arabic" w:hint="cs"/>
          <w:color w:val="000000"/>
          <w:sz w:val="24"/>
          <w:szCs w:val="28"/>
          <w:rtl/>
        </w:rPr>
        <w:t xml:space="preserve"> على الوجه الذي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حتى يظهر الفرق بين رهن ملك الغير ورهن المال المستقبل فالأول قابل للإبطال والاني باطل</w:t>
      </w:r>
      <w:r>
        <w:rPr>
          <w:rFonts w:cs="Traditional Arabic" w:hint="cs"/>
          <w:color w:val="000000"/>
          <w:sz w:val="24"/>
          <w:szCs w:val="28"/>
          <w:rtl/>
        </w:rPr>
        <w:t xml:space="preserve"> ،</w:t>
      </w:r>
      <w:r w:rsidRPr="00DC0143">
        <w:rPr>
          <w:rFonts w:cs="Traditional Arabic" w:hint="cs"/>
          <w:color w:val="000000"/>
          <w:sz w:val="24"/>
          <w:szCs w:val="28"/>
          <w:rtl/>
        </w:rPr>
        <w:t xml:space="preserve"> وذلك تحت رقم المادة 114/2</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النص تحت رقم 1033/2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13 </w:t>
      </w:r>
      <w:r w:rsidRPr="00DC0143">
        <w:rPr>
          <w:rFonts w:cs="Traditional Arabic"/>
          <w:color w:val="000000"/>
          <w:sz w:val="24"/>
          <w:szCs w:val="28"/>
          <w:rtl/>
        </w:rPr>
        <w:t>–</w:t>
      </w:r>
      <w:r w:rsidRPr="00DC0143">
        <w:rPr>
          <w:rFonts w:cs="Traditional Arabic" w:hint="cs"/>
          <w:color w:val="000000"/>
          <w:sz w:val="24"/>
          <w:szCs w:val="28"/>
          <w:rtl/>
        </w:rPr>
        <w:t xml:space="preserve"> ص 17</w:t>
      </w:r>
      <w:r>
        <w:rPr>
          <w:rFonts w:cs="Traditional Arabic" w:hint="cs"/>
          <w:color w:val="000000"/>
          <w:sz w:val="24"/>
          <w:szCs w:val="28"/>
          <w:rtl/>
        </w:rPr>
        <w:t xml:space="preserve"> ) .</w:t>
      </w:r>
    </w:p>
  </w:footnote>
  <w:footnote w:id="68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135</w:t>
      </w:r>
      <w:r>
        <w:rPr>
          <w:rFonts w:cs="Traditional Arabic" w:hint="cs"/>
          <w:color w:val="000000"/>
          <w:sz w:val="24"/>
          <w:szCs w:val="28"/>
          <w:rtl/>
        </w:rPr>
        <w:t xml:space="preserve"> .</w:t>
      </w:r>
    </w:p>
  </w:footnote>
  <w:footnote w:id="68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بيان وثواران 2 فقرة 808</w:t>
      </w:r>
      <w:r>
        <w:rPr>
          <w:rFonts w:cs="Traditional Arabic" w:hint="cs"/>
          <w:color w:val="000000"/>
          <w:sz w:val="24"/>
          <w:szCs w:val="28"/>
          <w:rtl/>
        </w:rPr>
        <w:t xml:space="preserve"> .</w:t>
      </w:r>
    </w:p>
  </w:footnote>
  <w:footnote w:id="68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31 ص 45</w:t>
      </w:r>
      <w:r>
        <w:rPr>
          <w:rFonts w:cs="Traditional Arabic" w:hint="cs"/>
          <w:color w:val="000000"/>
          <w:sz w:val="24"/>
          <w:szCs w:val="28"/>
          <w:rtl/>
        </w:rPr>
        <w:t xml:space="preserve"> .</w:t>
      </w:r>
    </w:p>
  </w:footnote>
  <w:footnote w:id="68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215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31 ص 46</w:t>
      </w:r>
      <w:r>
        <w:rPr>
          <w:rFonts w:cs="Traditional Arabic" w:hint="cs"/>
          <w:color w:val="000000"/>
          <w:sz w:val="24"/>
          <w:szCs w:val="28"/>
          <w:rtl/>
        </w:rPr>
        <w:t xml:space="preserve"> .</w:t>
      </w:r>
    </w:p>
  </w:footnote>
  <w:footnote w:id="68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26 يناير سنة 1897 داللوز 1900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33 </w:t>
      </w:r>
      <w:r w:rsidRPr="00DC0143">
        <w:rPr>
          <w:rFonts w:cs="Traditional Arabic"/>
          <w:color w:val="000000"/>
          <w:sz w:val="24"/>
          <w:szCs w:val="28"/>
          <w:rtl/>
        </w:rPr>
        <w:t>–</w:t>
      </w:r>
      <w:r w:rsidRPr="00DC0143">
        <w:rPr>
          <w:rFonts w:cs="Traditional Arabic" w:hint="cs"/>
          <w:color w:val="000000"/>
          <w:sz w:val="24"/>
          <w:szCs w:val="28"/>
          <w:rtl/>
        </w:rPr>
        <w:t xml:space="preserve"> 14 أكتوبر سنة 1940 جازيت دي باليه 1940 </w:t>
      </w:r>
      <w:r w:rsidRPr="00DC0143">
        <w:rPr>
          <w:rFonts w:cs="Traditional Arabic"/>
          <w:color w:val="000000"/>
          <w:sz w:val="24"/>
          <w:szCs w:val="28"/>
          <w:rtl/>
        </w:rPr>
        <w:t>–</w:t>
      </w:r>
      <w:r w:rsidRPr="00DC0143">
        <w:rPr>
          <w:rFonts w:cs="Traditional Arabic" w:hint="cs"/>
          <w:color w:val="000000"/>
          <w:sz w:val="24"/>
          <w:szCs w:val="28"/>
          <w:rtl/>
        </w:rPr>
        <w:t xml:space="preserve"> 2 </w:t>
      </w:r>
      <w:r w:rsidRPr="00DC0143">
        <w:rPr>
          <w:rFonts w:cs="Traditional Arabic"/>
          <w:color w:val="000000"/>
          <w:sz w:val="24"/>
          <w:szCs w:val="28"/>
          <w:rtl/>
        </w:rPr>
        <w:t>–</w:t>
      </w:r>
      <w:r w:rsidRPr="00DC0143">
        <w:rPr>
          <w:rFonts w:cs="Traditional Arabic" w:hint="cs"/>
          <w:color w:val="000000"/>
          <w:sz w:val="24"/>
          <w:szCs w:val="28"/>
          <w:rtl/>
        </w:rPr>
        <w:t xml:space="preserve"> 15 </w:t>
      </w:r>
      <w:r w:rsidRPr="00DC0143">
        <w:rPr>
          <w:rFonts w:cs="Traditional Arabic"/>
          <w:color w:val="000000"/>
          <w:sz w:val="24"/>
          <w:szCs w:val="28"/>
          <w:rtl/>
        </w:rPr>
        <w:t>–</w:t>
      </w:r>
      <w:r w:rsidRPr="00DC0143">
        <w:rPr>
          <w:rFonts w:cs="Traditional Arabic" w:hint="cs"/>
          <w:color w:val="000000"/>
          <w:sz w:val="24"/>
          <w:szCs w:val="28"/>
          <w:rtl/>
        </w:rPr>
        <w:t xml:space="preserve"> 19 مارس سنة 1946 الأسبوع القضائي 1946 </w:t>
      </w:r>
      <w:r w:rsidRPr="00DC0143">
        <w:rPr>
          <w:rFonts w:cs="Traditional Arabic"/>
          <w:color w:val="000000"/>
          <w:sz w:val="24"/>
          <w:szCs w:val="28"/>
          <w:rtl/>
        </w:rPr>
        <w:t>–</w:t>
      </w:r>
      <w:r w:rsidRPr="00DC0143">
        <w:rPr>
          <w:rFonts w:cs="Traditional Arabic" w:hint="cs"/>
          <w:color w:val="000000"/>
          <w:sz w:val="24"/>
          <w:szCs w:val="28"/>
          <w:rtl/>
        </w:rPr>
        <w:t xml:space="preserve"> 2 </w:t>
      </w:r>
      <w:r w:rsidRPr="00DC0143">
        <w:rPr>
          <w:rFonts w:cs="Traditional Arabic"/>
          <w:color w:val="000000"/>
          <w:sz w:val="24"/>
          <w:szCs w:val="28"/>
          <w:rtl/>
        </w:rPr>
        <w:t>–</w:t>
      </w:r>
      <w:r w:rsidRPr="00DC0143">
        <w:rPr>
          <w:rFonts w:cs="Traditional Arabic" w:hint="cs"/>
          <w:color w:val="000000"/>
          <w:sz w:val="24"/>
          <w:szCs w:val="28"/>
          <w:rtl/>
        </w:rPr>
        <w:t xml:space="preserve"> 3125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ص 373 ص 334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1303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1750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1690 </w:t>
      </w:r>
      <w:r w:rsidRPr="00DC0143">
        <w:rPr>
          <w:rFonts w:cs="Traditional Arabic"/>
          <w:color w:val="000000"/>
          <w:sz w:val="24"/>
          <w:szCs w:val="28"/>
          <w:rtl/>
        </w:rPr>
        <w:t>–</w:t>
      </w:r>
      <w:r w:rsidRPr="00DC0143">
        <w:rPr>
          <w:rFonts w:cs="Traditional Arabic" w:hint="cs"/>
          <w:color w:val="000000"/>
          <w:sz w:val="24"/>
          <w:szCs w:val="28"/>
          <w:rtl/>
        </w:rPr>
        <w:t xml:space="preserve"> بيدان وثواران فقرة 780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426 ص 462</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 xml:space="preserve">وانظر في هذا المعنى أيضاً شمس الدين الوكيل فقرة 46 ص 126 </w:t>
      </w:r>
      <w:r w:rsidRPr="00DC0143">
        <w:rPr>
          <w:rFonts w:cs="Traditional Arabic"/>
          <w:color w:val="000000"/>
          <w:sz w:val="24"/>
          <w:szCs w:val="28"/>
          <w:rtl/>
        </w:rPr>
        <w:t>–</w:t>
      </w:r>
      <w:r w:rsidRPr="00DC0143">
        <w:rPr>
          <w:rFonts w:cs="Traditional Arabic" w:hint="cs"/>
          <w:color w:val="000000"/>
          <w:sz w:val="24"/>
          <w:szCs w:val="28"/>
          <w:rtl/>
        </w:rPr>
        <w:t xml:space="preserve"> ص 131 </w:t>
      </w:r>
      <w:r w:rsidRPr="00DC0143">
        <w:rPr>
          <w:rFonts w:cs="Traditional Arabic"/>
          <w:color w:val="000000"/>
          <w:sz w:val="24"/>
          <w:szCs w:val="28"/>
          <w:rtl/>
        </w:rPr>
        <w:t>–</w:t>
      </w:r>
      <w:r w:rsidRPr="00DC0143">
        <w:rPr>
          <w:rFonts w:cs="Traditional Arabic" w:hint="cs"/>
          <w:color w:val="000000"/>
          <w:sz w:val="24"/>
          <w:szCs w:val="28"/>
          <w:rtl/>
        </w:rPr>
        <w:t xml:space="preserve"> وانظر مع ذلك سليمان مرقس فقرة 46 ص 73 </w:t>
      </w:r>
      <w:r w:rsidRPr="00DC0143">
        <w:rPr>
          <w:rFonts w:cs="Traditional Arabic"/>
          <w:color w:val="000000"/>
          <w:sz w:val="24"/>
          <w:szCs w:val="28"/>
          <w:rtl/>
        </w:rPr>
        <w:t>–</w:t>
      </w:r>
      <w:r w:rsidRPr="00DC0143">
        <w:rPr>
          <w:rFonts w:cs="Traditional Arabic" w:hint="cs"/>
          <w:color w:val="000000"/>
          <w:sz w:val="24"/>
          <w:szCs w:val="28"/>
          <w:rtl/>
        </w:rPr>
        <w:t xml:space="preserve"> ص 74 </w:t>
      </w:r>
      <w:r w:rsidRPr="00DC0143">
        <w:rPr>
          <w:rFonts w:cs="Traditional Arabic"/>
          <w:color w:val="000000"/>
          <w:sz w:val="24"/>
          <w:szCs w:val="28"/>
          <w:rtl/>
        </w:rPr>
        <w:t>–</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ويذهب إلى عدم جواز الاحتجاج يتصرف الوارث الظاهر على الوارث الحقيقي لصدوره من غير مالك</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عز الدين عبد الله في حماية خاصة بالدائن المرتهن في القانون المصري ص 308 </w:t>
      </w:r>
      <w:r>
        <w:rPr>
          <w:rFonts w:cs="Traditional Arabic" w:hint="cs"/>
          <w:color w:val="000000"/>
          <w:sz w:val="24"/>
          <w:szCs w:val="28"/>
          <w:rtl/>
        </w:rPr>
        <w:t xml:space="preserve">( </w:t>
      </w:r>
      <w:r w:rsidRPr="00DC0143">
        <w:rPr>
          <w:rFonts w:cs="Traditional Arabic" w:hint="cs"/>
          <w:color w:val="000000"/>
          <w:sz w:val="24"/>
          <w:szCs w:val="28"/>
          <w:rtl/>
        </w:rPr>
        <w:t>ويستبعد الأخذ بنظرية الوارث الظاهر لأنها نظرية مجهولة في القضاء المصري</w:t>
      </w:r>
      <w:r>
        <w:rPr>
          <w:rFonts w:cs="Traditional Arabic" w:hint="cs"/>
          <w:color w:val="000000"/>
          <w:sz w:val="24"/>
          <w:szCs w:val="28"/>
          <w:rtl/>
        </w:rPr>
        <w:t xml:space="preserve"> .</w:t>
      </w:r>
    </w:p>
  </w:footnote>
  <w:footnote w:id="68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25 يناير سنة 1847 داللوز 47 </w:t>
      </w:r>
      <w:r w:rsidRPr="00DC0143">
        <w:rPr>
          <w:rFonts w:cs="Traditional Arabic"/>
          <w:color w:val="000000"/>
          <w:sz w:val="24"/>
          <w:szCs w:val="28"/>
          <w:rtl/>
        </w:rPr>
        <w:t>–</w:t>
      </w:r>
      <w:r w:rsidRPr="00DC0143">
        <w:rPr>
          <w:rFonts w:cs="Traditional Arabic" w:hint="cs"/>
          <w:color w:val="000000"/>
          <w:sz w:val="24"/>
          <w:szCs w:val="28"/>
          <w:rtl/>
        </w:rPr>
        <w:t xml:space="preserve"> 4 </w:t>
      </w:r>
      <w:r w:rsidRPr="00DC0143">
        <w:rPr>
          <w:rFonts w:cs="Traditional Arabic"/>
          <w:color w:val="000000"/>
          <w:sz w:val="24"/>
          <w:szCs w:val="28"/>
          <w:rtl/>
        </w:rPr>
        <w:t>–</w:t>
      </w:r>
      <w:r w:rsidRPr="00DC0143">
        <w:rPr>
          <w:rFonts w:cs="Traditional Arabic" w:hint="cs"/>
          <w:color w:val="000000"/>
          <w:sz w:val="24"/>
          <w:szCs w:val="28"/>
          <w:rtl/>
        </w:rPr>
        <w:t xml:space="preserve"> 342 </w:t>
      </w:r>
      <w:r w:rsidRPr="00DC0143">
        <w:rPr>
          <w:rFonts w:cs="Traditional Arabic"/>
          <w:color w:val="000000"/>
          <w:sz w:val="24"/>
          <w:szCs w:val="28"/>
          <w:rtl/>
        </w:rPr>
        <w:t>–</w:t>
      </w:r>
      <w:r w:rsidRPr="00DC0143">
        <w:rPr>
          <w:rFonts w:cs="Traditional Arabic" w:hint="cs"/>
          <w:color w:val="000000"/>
          <w:sz w:val="24"/>
          <w:szCs w:val="28"/>
          <w:rtl/>
        </w:rPr>
        <w:t xml:space="preserve"> 20 يوليه سنة 1910 داللوز 1910 </w:t>
      </w:r>
      <w:r w:rsidRPr="00DC0143">
        <w:rPr>
          <w:rFonts w:cs="Traditional Arabic"/>
          <w:color w:val="000000"/>
          <w:sz w:val="24"/>
          <w:szCs w:val="28"/>
          <w:rtl/>
        </w:rPr>
        <w:t>–</w:t>
      </w:r>
      <w:r w:rsidRPr="00DC0143">
        <w:rPr>
          <w:rFonts w:cs="Traditional Arabic" w:hint="cs"/>
          <w:color w:val="000000"/>
          <w:sz w:val="24"/>
          <w:szCs w:val="28"/>
          <w:rtl/>
        </w:rPr>
        <w:t xml:space="preserve"> 1- 392 </w:t>
      </w:r>
      <w:r w:rsidRPr="00DC0143">
        <w:rPr>
          <w:rFonts w:cs="Traditional Arabic"/>
          <w:color w:val="000000"/>
          <w:sz w:val="24"/>
          <w:szCs w:val="28"/>
          <w:rtl/>
        </w:rPr>
        <w:t>–</w:t>
      </w:r>
      <w:r w:rsidRPr="00DC0143">
        <w:rPr>
          <w:rFonts w:cs="Traditional Arabic" w:hint="cs"/>
          <w:color w:val="000000"/>
          <w:sz w:val="24"/>
          <w:szCs w:val="28"/>
          <w:rtl/>
        </w:rPr>
        <w:t xml:space="preserve"> 25 أبريل سنة 1939 داللوز 1940 </w:t>
      </w:r>
      <w:r w:rsidRPr="00DC0143">
        <w:rPr>
          <w:rFonts w:cs="Traditional Arabic"/>
          <w:color w:val="000000"/>
          <w:sz w:val="24"/>
          <w:szCs w:val="28"/>
          <w:rtl/>
        </w:rPr>
        <w:t>–</w:t>
      </w:r>
      <w:r w:rsidRPr="00DC0143">
        <w:rPr>
          <w:rFonts w:cs="Traditional Arabic" w:hint="cs"/>
          <w:color w:val="000000"/>
          <w:sz w:val="24"/>
          <w:szCs w:val="28"/>
          <w:rtl/>
        </w:rPr>
        <w:t xml:space="preserve"> 1- 12 </w:t>
      </w:r>
      <w:r w:rsidRPr="00DC0143">
        <w:rPr>
          <w:rFonts w:cs="Traditional Arabic"/>
          <w:color w:val="000000"/>
          <w:sz w:val="24"/>
          <w:szCs w:val="28"/>
          <w:rtl/>
        </w:rPr>
        <w:t>–</w:t>
      </w:r>
      <w:r w:rsidRPr="00DC0143">
        <w:rPr>
          <w:rFonts w:cs="Traditional Arabic" w:hint="cs"/>
          <w:color w:val="000000"/>
          <w:sz w:val="24"/>
          <w:szCs w:val="28"/>
          <w:rtl/>
        </w:rPr>
        <w:t xml:space="preserve"> أول مايو سنة 1939 داللوز الأسبوعي 1939 </w:t>
      </w:r>
      <w:r w:rsidRPr="00DC0143">
        <w:rPr>
          <w:rFonts w:cs="Traditional Arabic"/>
          <w:color w:val="000000"/>
          <w:sz w:val="24"/>
          <w:szCs w:val="28"/>
          <w:rtl/>
        </w:rPr>
        <w:t>–</w:t>
      </w:r>
      <w:r w:rsidRPr="00DC0143">
        <w:rPr>
          <w:rFonts w:cs="Traditional Arabic" w:hint="cs"/>
          <w:color w:val="000000"/>
          <w:sz w:val="24"/>
          <w:szCs w:val="28"/>
          <w:rtl/>
        </w:rPr>
        <w:t xml:space="preserve"> 1750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1303 </w:t>
      </w:r>
      <w:r w:rsidRPr="00DC0143">
        <w:rPr>
          <w:rFonts w:cs="Traditional Arabic"/>
          <w:color w:val="000000"/>
          <w:sz w:val="24"/>
          <w:szCs w:val="28"/>
          <w:rtl/>
        </w:rPr>
        <w:t>–</w:t>
      </w:r>
      <w:r w:rsidRPr="00DC0143">
        <w:rPr>
          <w:rFonts w:cs="Traditional Arabic" w:hint="cs"/>
          <w:color w:val="000000"/>
          <w:sz w:val="24"/>
          <w:szCs w:val="28"/>
          <w:rtl/>
        </w:rPr>
        <w:t xml:space="preserve"> 1- - بلانيول وريبير وبيكيه 12 فقرة 426 ص 464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فقرة 2 3673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ودي لامور انديير 2 فقرة 1750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22 ص 70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أوبري ورو 3 فقرة 266 ص 373 وهامش 25 مكرر</w:t>
      </w:r>
      <w:r>
        <w:rPr>
          <w:rFonts w:cs="Traditional Arabic" w:hint="cs"/>
          <w:color w:val="000000"/>
          <w:sz w:val="24"/>
          <w:szCs w:val="28"/>
          <w:rtl/>
        </w:rPr>
        <w:t xml:space="preserve"> .</w:t>
      </w:r>
    </w:p>
  </w:footnote>
  <w:footnote w:id="68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17 يوليه سنة 1907 داللوز 1908 </w:t>
      </w:r>
      <w:r w:rsidRPr="00DC0143">
        <w:rPr>
          <w:rFonts w:cs="Traditional Arabic"/>
          <w:color w:val="000000"/>
          <w:sz w:val="24"/>
          <w:szCs w:val="28"/>
          <w:rtl/>
        </w:rPr>
        <w:t>–</w:t>
      </w:r>
      <w:r w:rsidRPr="00DC0143">
        <w:rPr>
          <w:rFonts w:cs="Traditional Arabic" w:hint="cs"/>
          <w:color w:val="000000"/>
          <w:sz w:val="24"/>
          <w:szCs w:val="28"/>
          <w:rtl/>
        </w:rPr>
        <w:t xml:space="preserve"> 1- 11 </w:t>
      </w:r>
      <w:r w:rsidRPr="00DC0143">
        <w:rPr>
          <w:rFonts w:cs="Traditional Arabic"/>
          <w:color w:val="000000"/>
          <w:sz w:val="24"/>
          <w:szCs w:val="28"/>
          <w:rtl/>
        </w:rPr>
        <w:t>–</w:t>
      </w:r>
      <w:r w:rsidRPr="00DC0143">
        <w:rPr>
          <w:rFonts w:cs="Traditional Arabic" w:hint="cs"/>
          <w:color w:val="000000"/>
          <w:sz w:val="24"/>
          <w:szCs w:val="28"/>
          <w:rtl/>
        </w:rPr>
        <w:t xml:space="preserve"> 17 ديسمبر سنة 1907 سيريه 1908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396 </w:t>
      </w:r>
      <w:r w:rsidRPr="00DC0143">
        <w:rPr>
          <w:rFonts w:cs="Traditional Arabic"/>
          <w:color w:val="000000"/>
          <w:sz w:val="24"/>
          <w:szCs w:val="28"/>
          <w:rtl/>
        </w:rPr>
        <w:t>–</w:t>
      </w:r>
      <w:r w:rsidRPr="00DC0143">
        <w:rPr>
          <w:rFonts w:cs="Traditional Arabic" w:hint="cs"/>
          <w:color w:val="000000"/>
          <w:sz w:val="24"/>
          <w:szCs w:val="28"/>
          <w:rtl/>
        </w:rPr>
        <w:t xml:space="preserve"> 23 مارس سنة 1909 داللوز 1910 </w:t>
      </w:r>
      <w:r w:rsidRPr="00DC0143">
        <w:rPr>
          <w:rFonts w:cs="Traditional Arabic"/>
          <w:color w:val="000000"/>
          <w:sz w:val="24"/>
          <w:szCs w:val="28"/>
          <w:rtl/>
        </w:rPr>
        <w:t>–</w:t>
      </w:r>
      <w:r w:rsidRPr="00DC0143">
        <w:rPr>
          <w:rFonts w:cs="Traditional Arabic" w:hint="cs"/>
          <w:color w:val="000000"/>
          <w:sz w:val="24"/>
          <w:szCs w:val="28"/>
          <w:rtl/>
        </w:rPr>
        <w:t xml:space="preserve"> 1- 114 </w:t>
      </w:r>
      <w:r w:rsidRPr="00DC0143">
        <w:rPr>
          <w:rFonts w:cs="Traditional Arabic"/>
          <w:color w:val="000000"/>
          <w:sz w:val="24"/>
          <w:szCs w:val="28"/>
          <w:rtl/>
        </w:rPr>
        <w:t>–</w:t>
      </w:r>
      <w:r w:rsidRPr="00DC0143">
        <w:rPr>
          <w:rFonts w:cs="Traditional Arabic" w:hint="cs"/>
          <w:color w:val="000000"/>
          <w:sz w:val="24"/>
          <w:szCs w:val="28"/>
          <w:rtl/>
        </w:rPr>
        <w:t xml:space="preserve"> 12 يوليه سنة 1909 داللوز 1910 </w:t>
      </w:r>
      <w:r w:rsidRPr="00DC0143">
        <w:rPr>
          <w:rFonts w:cs="Traditional Arabic"/>
          <w:color w:val="000000"/>
          <w:sz w:val="24"/>
          <w:szCs w:val="28"/>
          <w:rtl/>
        </w:rPr>
        <w:t>–</w:t>
      </w:r>
      <w:r w:rsidRPr="00DC0143">
        <w:rPr>
          <w:rFonts w:cs="Traditional Arabic" w:hint="cs"/>
          <w:color w:val="000000"/>
          <w:sz w:val="24"/>
          <w:szCs w:val="28"/>
          <w:rtl/>
        </w:rPr>
        <w:t xml:space="preserve"> 1- 372 </w:t>
      </w:r>
      <w:r w:rsidRPr="00DC0143">
        <w:rPr>
          <w:rFonts w:cs="Traditional Arabic"/>
          <w:color w:val="000000"/>
          <w:sz w:val="24"/>
          <w:szCs w:val="28"/>
          <w:rtl/>
        </w:rPr>
        <w:t>–</w:t>
      </w:r>
      <w:r w:rsidRPr="00DC0143">
        <w:rPr>
          <w:rFonts w:cs="Traditional Arabic" w:hint="cs"/>
          <w:color w:val="000000"/>
          <w:sz w:val="24"/>
          <w:szCs w:val="28"/>
          <w:rtl/>
        </w:rPr>
        <w:t xml:space="preserve"> ولكن انظر نقض فرنسي أول مارس سنة 1938 داللوز الأسبوعي 1938 </w:t>
      </w:r>
      <w:r w:rsidRPr="00DC0143">
        <w:rPr>
          <w:rFonts w:cs="Traditional Arabic"/>
          <w:color w:val="000000"/>
          <w:sz w:val="24"/>
          <w:szCs w:val="28"/>
          <w:rtl/>
        </w:rPr>
        <w:t>–</w:t>
      </w:r>
      <w:r w:rsidRPr="00DC0143">
        <w:rPr>
          <w:rFonts w:cs="Traditional Arabic" w:hint="cs"/>
          <w:color w:val="000000"/>
          <w:sz w:val="24"/>
          <w:szCs w:val="28"/>
          <w:rtl/>
        </w:rPr>
        <w:t xml:space="preserve"> 259 </w:t>
      </w:r>
      <w:r w:rsidRPr="00DC0143">
        <w:rPr>
          <w:rFonts w:cs="Traditional Arabic"/>
          <w:color w:val="000000"/>
          <w:sz w:val="24"/>
          <w:szCs w:val="28"/>
          <w:rtl/>
        </w:rPr>
        <w:t>–</w:t>
      </w:r>
      <w:r w:rsidRPr="00DC0143">
        <w:rPr>
          <w:rFonts w:cs="Traditional Arabic" w:hint="cs"/>
          <w:color w:val="000000"/>
          <w:sz w:val="24"/>
          <w:szCs w:val="28"/>
          <w:rtl/>
        </w:rPr>
        <w:t xml:space="preserve"> ومن الرأي السائد بودري ودي لوان 2 فقرة 1303 </w:t>
      </w:r>
      <w:r w:rsidRPr="00DC0143">
        <w:rPr>
          <w:rFonts w:cs="Traditional Arabic"/>
          <w:color w:val="000000"/>
          <w:sz w:val="24"/>
          <w:szCs w:val="28"/>
          <w:rtl/>
        </w:rPr>
        <w:t>–</w:t>
      </w:r>
      <w:r w:rsidRPr="00DC0143">
        <w:rPr>
          <w:rFonts w:cs="Traditional Arabic" w:hint="cs"/>
          <w:color w:val="000000"/>
          <w:sz w:val="24"/>
          <w:szCs w:val="28"/>
          <w:rtl/>
        </w:rPr>
        <w:t xml:space="preserve"> 1- - بلانيول وريبير وبيكيه 12 فقرة 426 ص 462</w:t>
      </w:r>
      <w:r>
        <w:rPr>
          <w:rFonts w:cs="Traditional Arabic" w:hint="cs"/>
          <w:color w:val="000000"/>
          <w:sz w:val="24"/>
          <w:szCs w:val="28"/>
          <w:rtl/>
        </w:rPr>
        <w:t xml:space="preserve"> .</w:t>
      </w:r>
    </w:p>
  </w:footnote>
  <w:footnote w:id="68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فقرة 1295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426 ص 464</w:t>
      </w:r>
      <w:r>
        <w:rPr>
          <w:rFonts w:cs="Traditional Arabic" w:hint="cs"/>
          <w:color w:val="000000"/>
          <w:sz w:val="24"/>
          <w:szCs w:val="28"/>
          <w:rtl/>
        </w:rPr>
        <w:t xml:space="preserve"> .</w:t>
      </w:r>
    </w:p>
  </w:footnote>
  <w:footnote w:id="68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كان عقد الرهن يعتبر باطلا بطلانا مطلقا قبل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لأن رهن ملك الغير كان يعتبر باطلا في عهد التقنين  المدني السابق كما قدمنا </w:t>
      </w:r>
      <w:r>
        <w:rPr>
          <w:rFonts w:cs="Traditional Arabic" w:hint="cs"/>
          <w:color w:val="000000"/>
          <w:sz w:val="24"/>
          <w:szCs w:val="28"/>
          <w:rtl/>
        </w:rPr>
        <w:t xml:space="preserve">( </w:t>
      </w:r>
      <w:r w:rsidRPr="00DC0143">
        <w:rPr>
          <w:rFonts w:cs="Traditional Arabic" w:hint="cs"/>
          <w:color w:val="000000"/>
          <w:sz w:val="24"/>
          <w:szCs w:val="28"/>
          <w:rtl/>
        </w:rPr>
        <w:t xml:space="preserve">انظر استئناف مختلط 8 يونيه سنة </w:t>
      </w:r>
      <w:smartTag w:uri="urn:schemas-microsoft-com:office:smarttags" w:element="metricconverter">
        <w:smartTagPr>
          <w:attr w:name="ProductID" w:val="1935 م"/>
        </w:smartTagPr>
        <w:r w:rsidRPr="00DC0143">
          <w:rPr>
            <w:rFonts w:cs="Traditional Arabic" w:hint="cs"/>
            <w:color w:val="000000"/>
            <w:sz w:val="24"/>
            <w:szCs w:val="28"/>
            <w:rtl/>
          </w:rPr>
          <w:t>1935 م</w:t>
        </w:r>
      </w:smartTag>
      <w:r w:rsidRPr="00DC0143">
        <w:rPr>
          <w:rFonts w:cs="Traditional Arabic" w:hint="cs"/>
          <w:color w:val="000000"/>
          <w:sz w:val="24"/>
          <w:szCs w:val="28"/>
          <w:rtl/>
        </w:rPr>
        <w:t xml:space="preserve"> 47 ص 362 </w:t>
      </w:r>
      <w:r w:rsidRPr="00DC0143">
        <w:rPr>
          <w:rFonts w:cs="Traditional Arabic"/>
          <w:color w:val="000000"/>
          <w:sz w:val="24"/>
          <w:szCs w:val="28"/>
          <w:rtl/>
        </w:rPr>
        <w:t>–</w:t>
      </w:r>
      <w:r w:rsidRPr="00DC0143">
        <w:rPr>
          <w:rFonts w:cs="Traditional Arabic" w:hint="cs"/>
          <w:color w:val="000000"/>
          <w:sz w:val="24"/>
          <w:szCs w:val="28"/>
          <w:rtl/>
        </w:rPr>
        <w:t xml:space="preserve"> 16 فبراير سنة </w:t>
      </w:r>
      <w:smartTag w:uri="urn:schemas-microsoft-com:office:smarttags" w:element="metricconverter">
        <w:smartTagPr>
          <w:attr w:name="ProductID" w:val="1939 م"/>
        </w:smartTagPr>
        <w:r w:rsidRPr="00DC0143">
          <w:rPr>
            <w:rFonts w:cs="Traditional Arabic" w:hint="cs"/>
            <w:color w:val="000000"/>
            <w:sz w:val="24"/>
            <w:szCs w:val="28"/>
            <w:rtl/>
          </w:rPr>
          <w:t>1939 م</w:t>
        </w:r>
      </w:smartTag>
      <w:r w:rsidRPr="00DC0143">
        <w:rPr>
          <w:rFonts w:cs="Traditional Arabic" w:hint="cs"/>
          <w:color w:val="000000"/>
          <w:sz w:val="24"/>
          <w:szCs w:val="28"/>
          <w:rtl/>
        </w:rPr>
        <w:t xml:space="preserve"> 51 ص 167 </w:t>
      </w:r>
      <w:r w:rsidRPr="00DC0143">
        <w:rPr>
          <w:rFonts w:cs="Traditional Arabic"/>
          <w:color w:val="000000"/>
          <w:sz w:val="24"/>
          <w:szCs w:val="28"/>
          <w:rtl/>
        </w:rPr>
        <w:t>–</w:t>
      </w:r>
      <w:r w:rsidRPr="00DC0143">
        <w:rPr>
          <w:rFonts w:cs="Traditional Arabic" w:hint="cs"/>
          <w:color w:val="000000"/>
          <w:sz w:val="24"/>
          <w:szCs w:val="28"/>
          <w:rtl/>
        </w:rPr>
        <w:t xml:space="preserve"> 28 مايو سنة </w:t>
      </w:r>
      <w:smartTag w:uri="urn:schemas-microsoft-com:office:smarttags" w:element="metricconverter">
        <w:smartTagPr>
          <w:attr w:name="ProductID" w:val="1940 م"/>
        </w:smartTagPr>
        <w:r w:rsidRPr="00DC0143">
          <w:rPr>
            <w:rFonts w:cs="Traditional Arabic" w:hint="cs"/>
            <w:color w:val="000000"/>
            <w:sz w:val="24"/>
            <w:szCs w:val="28"/>
            <w:rtl/>
          </w:rPr>
          <w:t>1940 م</w:t>
        </w:r>
      </w:smartTag>
      <w:r w:rsidRPr="00DC0143">
        <w:rPr>
          <w:rFonts w:cs="Traditional Arabic" w:hint="cs"/>
          <w:color w:val="000000"/>
          <w:sz w:val="24"/>
          <w:szCs w:val="28"/>
          <w:rtl/>
        </w:rPr>
        <w:t xml:space="preserve"> 52 ص 287</w:t>
      </w:r>
      <w:r>
        <w:rPr>
          <w:rFonts w:cs="Traditional Arabic" w:hint="cs"/>
          <w:color w:val="000000"/>
          <w:sz w:val="24"/>
          <w:szCs w:val="28"/>
          <w:rtl/>
        </w:rPr>
        <w:t xml:space="preserve"> ) .</w:t>
      </w:r>
      <w:r w:rsidRPr="00DC0143">
        <w:rPr>
          <w:rFonts w:cs="Traditional Arabic" w:hint="cs"/>
          <w:color w:val="000000"/>
          <w:sz w:val="24"/>
          <w:szCs w:val="28"/>
          <w:rtl/>
        </w:rPr>
        <w:t xml:space="preserve"> وإذا سجل الراهن عقد  شرائه</w:t>
      </w:r>
      <w:r>
        <w:rPr>
          <w:rFonts w:cs="Traditional Arabic" w:hint="cs"/>
          <w:color w:val="000000"/>
          <w:sz w:val="24"/>
          <w:szCs w:val="28"/>
          <w:rtl/>
        </w:rPr>
        <w:t xml:space="preserve"> ،</w:t>
      </w:r>
      <w:r w:rsidRPr="00DC0143">
        <w:rPr>
          <w:rFonts w:cs="Traditional Arabic" w:hint="cs"/>
          <w:color w:val="000000"/>
          <w:sz w:val="24"/>
          <w:szCs w:val="28"/>
          <w:rtl/>
        </w:rPr>
        <w:t xml:space="preserve"> فإن هذا التسجيل كان لا يجيز للدائن المرتهن التمسك برهنه وقيده حتى من تاريخ هذا التسجيل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مختلف 15 يونيه سنة </w:t>
      </w:r>
      <w:smartTag w:uri="urn:schemas-microsoft-com:office:smarttags" w:element="metricconverter">
        <w:smartTagPr>
          <w:attr w:name="ProductID" w:val="1933 م"/>
        </w:smartTagPr>
        <w:r w:rsidRPr="00DC0143">
          <w:rPr>
            <w:rFonts w:cs="Traditional Arabic" w:hint="cs"/>
            <w:color w:val="000000"/>
            <w:sz w:val="24"/>
            <w:szCs w:val="28"/>
            <w:rtl/>
          </w:rPr>
          <w:t>1933 م</w:t>
        </w:r>
      </w:smartTag>
      <w:r w:rsidRPr="00DC0143">
        <w:rPr>
          <w:rFonts w:cs="Traditional Arabic" w:hint="cs"/>
          <w:color w:val="000000"/>
          <w:sz w:val="24"/>
          <w:szCs w:val="28"/>
          <w:rtl/>
        </w:rPr>
        <w:t xml:space="preserve"> 45 ص 328 </w:t>
      </w:r>
      <w:r w:rsidRPr="00DC0143">
        <w:rPr>
          <w:rFonts w:cs="Traditional Arabic"/>
          <w:color w:val="000000"/>
          <w:sz w:val="24"/>
          <w:szCs w:val="28"/>
          <w:rtl/>
        </w:rPr>
        <w:t>–</w:t>
      </w:r>
      <w:r w:rsidRPr="00DC0143">
        <w:rPr>
          <w:rFonts w:cs="Traditional Arabic" w:hint="cs"/>
          <w:color w:val="000000"/>
          <w:sz w:val="24"/>
          <w:szCs w:val="28"/>
          <w:rtl/>
        </w:rPr>
        <w:t xml:space="preserve"> 5 مايو سنة </w:t>
      </w:r>
      <w:smartTag w:uri="urn:schemas-microsoft-com:office:smarttags" w:element="metricconverter">
        <w:smartTagPr>
          <w:attr w:name="ProductID" w:val="1936 م"/>
        </w:smartTagPr>
        <w:r w:rsidRPr="00DC0143">
          <w:rPr>
            <w:rFonts w:cs="Traditional Arabic" w:hint="cs"/>
            <w:color w:val="000000"/>
            <w:sz w:val="24"/>
            <w:szCs w:val="28"/>
            <w:rtl/>
          </w:rPr>
          <w:t>1936 م</w:t>
        </w:r>
      </w:smartTag>
      <w:r w:rsidRPr="00DC0143">
        <w:rPr>
          <w:rFonts w:cs="Traditional Arabic" w:hint="cs"/>
          <w:color w:val="000000"/>
          <w:sz w:val="24"/>
          <w:szCs w:val="28"/>
          <w:rtl/>
        </w:rPr>
        <w:t xml:space="preserve"> 48 ص 254</w:t>
      </w:r>
      <w:r>
        <w:rPr>
          <w:rFonts w:cs="Traditional Arabic" w:hint="cs"/>
          <w:color w:val="000000"/>
          <w:sz w:val="24"/>
          <w:szCs w:val="28"/>
          <w:rtl/>
        </w:rPr>
        <w:t xml:space="preserve"> ) .</w:t>
      </w:r>
    </w:p>
  </w:footnote>
  <w:footnote w:id="69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سليمان مرقس فقرة 45</w:t>
      </w:r>
      <w:r>
        <w:rPr>
          <w:rFonts w:cs="Traditional Arabic" w:hint="cs"/>
          <w:color w:val="000000"/>
          <w:sz w:val="24"/>
          <w:szCs w:val="28"/>
          <w:rtl/>
        </w:rPr>
        <w:t xml:space="preserve"> .</w:t>
      </w:r>
    </w:p>
  </w:footnote>
  <w:footnote w:id="69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سليمان مرقس فقرة 46</w:t>
      </w:r>
      <w:r>
        <w:rPr>
          <w:rFonts w:cs="Traditional Arabic" w:hint="cs"/>
          <w:color w:val="000000"/>
          <w:sz w:val="24"/>
          <w:szCs w:val="28"/>
          <w:rtl/>
        </w:rPr>
        <w:t xml:space="preserve"> .</w:t>
      </w:r>
    </w:p>
  </w:footnote>
  <w:footnote w:id="69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1441 من المشروع التمهيدي على وجه مطابق لما استقر عليه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إلا أن نص المشروع التمهيدي كان يتضمن فقرة ثانية تجري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"ويكون صحيحا كذلك الرهن الصادر من غير المالك</w:t>
      </w:r>
      <w:r>
        <w:rPr>
          <w:rFonts w:cs="Traditional Arabic" w:hint="cs"/>
          <w:color w:val="000000"/>
          <w:sz w:val="24"/>
          <w:szCs w:val="28"/>
          <w:rtl/>
        </w:rPr>
        <w:t xml:space="preserve"> ،</w:t>
      </w:r>
      <w:r w:rsidRPr="00DC0143">
        <w:rPr>
          <w:rFonts w:cs="Traditional Arabic" w:hint="cs"/>
          <w:color w:val="000000"/>
          <w:sz w:val="24"/>
          <w:szCs w:val="28"/>
          <w:rtl/>
        </w:rPr>
        <w:t xml:space="preserve"> إذا ثبت أن الراهن كان وقت الرهن حائزاً للعقار المرهون منذ خمس سنوات</w:t>
      </w:r>
      <w:r>
        <w:rPr>
          <w:rFonts w:cs="Traditional Arabic" w:hint="cs"/>
          <w:color w:val="000000"/>
          <w:sz w:val="24"/>
          <w:szCs w:val="28"/>
          <w:rtl/>
        </w:rPr>
        <w:t xml:space="preserve"> ،</w:t>
      </w:r>
      <w:r w:rsidRPr="00DC0143">
        <w:rPr>
          <w:rFonts w:cs="Traditional Arabic" w:hint="cs"/>
          <w:color w:val="000000"/>
          <w:sz w:val="24"/>
          <w:szCs w:val="28"/>
          <w:rtl/>
        </w:rPr>
        <w:t xml:space="preserve"> على أن يثبت الدائن المرتهن أن لديه أسباباً معقولة كانت جعله يعتقد أن الراهن مالك للعقار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w:t>
      </w:r>
      <w:r>
        <w:rPr>
          <w:rFonts w:cs="Traditional Arabic" w:hint="cs"/>
          <w:color w:val="000000"/>
          <w:sz w:val="24"/>
          <w:szCs w:val="28"/>
          <w:rtl/>
        </w:rPr>
        <w:t xml:space="preserve"> ،</w:t>
      </w:r>
      <w:r w:rsidRPr="00DC0143">
        <w:rPr>
          <w:rFonts w:cs="Traditional Arabic" w:hint="cs"/>
          <w:color w:val="000000"/>
          <w:sz w:val="24"/>
          <w:szCs w:val="28"/>
          <w:rtl/>
        </w:rPr>
        <w:t xml:space="preserve"> حذفت هذه الفقرة الثانية "لأن حكمها متطرف في مخالفة القواعد العامة لغير مسوغ"</w:t>
      </w:r>
      <w:r>
        <w:rPr>
          <w:rFonts w:cs="Traditional Arabic" w:hint="cs"/>
          <w:color w:val="000000"/>
          <w:sz w:val="24"/>
          <w:szCs w:val="28"/>
          <w:rtl/>
        </w:rPr>
        <w:t xml:space="preserve"> ،</w:t>
      </w:r>
      <w:r w:rsidRPr="00DC0143">
        <w:rPr>
          <w:rFonts w:cs="Traditional Arabic" w:hint="cs"/>
          <w:color w:val="000000"/>
          <w:sz w:val="24"/>
          <w:szCs w:val="28"/>
          <w:rtl/>
        </w:rPr>
        <w:t xml:space="preserve"> وأقرت الفقرة الأولى وأصبح رقمها 1129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 تحت رقم 1115</w:t>
      </w:r>
      <w:r>
        <w:rPr>
          <w:rFonts w:cs="Traditional Arabic" w:hint="cs"/>
          <w:color w:val="000000"/>
          <w:sz w:val="24"/>
          <w:szCs w:val="28"/>
          <w:rtl/>
        </w:rPr>
        <w:t xml:space="preserve"> ،</w:t>
      </w:r>
      <w:r w:rsidRPr="00DC0143">
        <w:rPr>
          <w:rFonts w:cs="Traditional Arabic" w:hint="cs"/>
          <w:color w:val="000000"/>
          <w:sz w:val="24"/>
          <w:szCs w:val="28"/>
          <w:rtl/>
        </w:rPr>
        <w:t xml:space="preserve"> ثم وافق عليه مجلس الشيوخ تحت رقم 1024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18 </w:t>
      </w:r>
      <w:r w:rsidRPr="00DC0143">
        <w:rPr>
          <w:rFonts w:cs="Traditional Arabic"/>
          <w:color w:val="000000"/>
          <w:sz w:val="24"/>
          <w:szCs w:val="28"/>
          <w:rtl/>
        </w:rPr>
        <w:t>–</w:t>
      </w:r>
      <w:r w:rsidRPr="00DC0143">
        <w:rPr>
          <w:rFonts w:cs="Traditional Arabic" w:hint="cs"/>
          <w:color w:val="000000"/>
          <w:sz w:val="24"/>
          <w:szCs w:val="28"/>
          <w:rtl/>
        </w:rPr>
        <w:t xml:space="preserve"> ص 21</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ويقابل النص في التنين المدني السابق نصوصاً عديدة هي ما يأتي</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27/46</w:t>
      </w:r>
      <w:r>
        <w:rPr>
          <w:rFonts w:cs="Traditional Arabic" w:hint="cs"/>
          <w:color w:val="000000"/>
          <w:sz w:val="24"/>
          <w:szCs w:val="28"/>
          <w:rtl/>
        </w:rPr>
        <w:t xml:space="preserve"> :</w:t>
      </w:r>
      <w:r w:rsidRPr="00DC0143">
        <w:rPr>
          <w:rFonts w:cs="Traditional Arabic" w:hint="cs"/>
          <w:color w:val="000000"/>
          <w:sz w:val="24"/>
          <w:szCs w:val="28"/>
          <w:rtl/>
        </w:rPr>
        <w:t xml:space="preserve"> ينتهي حق الانتفاع بانقضاء الزمن المعين له أو بترك المنتفع حقه فيه أو بانعدام المال المقرر عليه حق الانتفاع أو باستعماله استعمالا غير جائز</w:t>
      </w:r>
      <w:r>
        <w:rPr>
          <w:rFonts w:cs="Traditional Arabic" w:hint="cs"/>
          <w:color w:val="000000"/>
          <w:sz w:val="24"/>
          <w:szCs w:val="28"/>
          <w:rtl/>
        </w:rPr>
        <w:t xml:space="preserve"> ،</w:t>
      </w:r>
      <w:r w:rsidRPr="00DC0143">
        <w:rPr>
          <w:rFonts w:cs="Traditional Arabic" w:hint="cs"/>
          <w:color w:val="000000"/>
          <w:sz w:val="24"/>
          <w:szCs w:val="28"/>
          <w:rtl/>
        </w:rPr>
        <w:t xml:space="preserve"> هذا مع مراعاة حقوق الدائنين المرتهنين</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55 فقرة ثانية /78 فقرة ثانية</w:t>
      </w:r>
      <w:r>
        <w:rPr>
          <w:rFonts w:cs="Traditional Arabic" w:hint="cs"/>
          <w:color w:val="000000"/>
          <w:sz w:val="24"/>
          <w:szCs w:val="28"/>
          <w:rtl/>
        </w:rPr>
        <w:t xml:space="preserve"> :</w:t>
      </w:r>
      <w:r w:rsidRPr="00DC0143">
        <w:rPr>
          <w:rFonts w:cs="Traditional Arabic" w:hint="cs"/>
          <w:color w:val="000000"/>
          <w:sz w:val="24"/>
          <w:szCs w:val="28"/>
          <w:rtl/>
        </w:rPr>
        <w:t xml:space="preserve"> أما الأحكام المتعلقة بفسخ الملكية في الأموال الثابتة بسبب تجاوز النصاب الشرعي أو عدم إبقاء القدر المفروض شرعاً أو نحو ذلك</w:t>
      </w:r>
      <w:r>
        <w:rPr>
          <w:rFonts w:cs="Traditional Arabic" w:hint="cs"/>
          <w:color w:val="000000"/>
          <w:sz w:val="24"/>
          <w:szCs w:val="28"/>
          <w:rtl/>
        </w:rPr>
        <w:t xml:space="preserve"> ،</w:t>
      </w:r>
      <w:r w:rsidRPr="00DC0143">
        <w:rPr>
          <w:rFonts w:cs="Traditional Arabic" w:hint="cs"/>
          <w:color w:val="000000"/>
          <w:sz w:val="24"/>
          <w:szCs w:val="28"/>
          <w:rtl/>
        </w:rPr>
        <w:t xml:space="preserve"> فلا يضر بحقوق من انتقلت إليهم الملكية ولا بحقوق الدائنين المرتهنين الحسنى النية</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79 مكررة / 107</w:t>
      </w:r>
      <w:r>
        <w:rPr>
          <w:rFonts w:cs="Traditional Arabic" w:hint="cs"/>
          <w:color w:val="000000"/>
          <w:sz w:val="24"/>
          <w:szCs w:val="28"/>
          <w:rtl/>
        </w:rPr>
        <w:t xml:space="preserve"> :</w:t>
      </w:r>
      <w:r w:rsidRPr="00DC0143">
        <w:rPr>
          <w:rFonts w:cs="Traditional Arabic" w:hint="cs"/>
          <w:color w:val="000000"/>
          <w:sz w:val="24"/>
          <w:szCs w:val="28"/>
          <w:rtl/>
        </w:rPr>
        <w:t xml:space="preserve"> بالرغم من القيود السابقة يجوز للدائن المرتهن للعقار إذا كان حسن النية أن يتمسك بوضع اليد الحاصل من المدين الراهن مدة خمس سنوات</w:t>
      </w:r>
      <w:r>
        <w:rPr>
          <w:rFonts w:cs="Traditional Arabic" w:hint="cs"/>
          <w:color w:val="000000"/>
          <w:sz w:val="24"/>
          <w:szCs w:val="28"/>
          <w:rtl/>
        </w:rPr>
        <w:t xml:space="preserve"> ،</w:t>
      </w:r>
      <w:r w:rsidRPr="00DC0143">
        <w:rPr>
          <w:rFonts w:cs="Traditional Arabic" w:hint="cs"/>
          <w:color w:val="000000"/>
          <w:sz w:val="24"/>
          <w:szCs w:val="28"/>
          <w:rtl/>
        </w:rPr>
        <w:t xml:space="preserve"> إذا ثبت وجود أسباب قوية أوجبت اعتقاده وقت الارتهان ملكية الراهن</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118 مكررة / 197</w:t>
      </w:r>
      <w:r>
        <w:rPr>
          <w:rFonts w:cs="Traditional Arabic" w:hint="cs"/>
          <w:color w:val="000000"/>
          <w:sz w:val="24"/>
          <w:szCs w:val="28"/>
          <w:rtl/>
        </w:rPr>
        <w:t xml:space="preserve"> :</w:t>
      </w:r>
      <w:r w:rsidRPr="00DC0143">
        <w:rPr>
          <w:rFonts w:cs="Traditional Arabic" w:hint="cs"/>
          <w:color w:val="000000"/>
          <w:sz w:val="24"/>
          <w:szCs w:val="28"/>
          <w:rtl/>
        </w:rPr>
        <w:t xml:space="preserve"> بطلان المشارطة الناقلة للملكية لا يضر بحقوق الدائنين برهون مسجلة إذا كانوا حسني النية</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269 مكررة / 340</w:t>
      </w:r>
      <w:r>
        <w:rPr>
          <w:rFonts w:cs="Traditional Arabic" w:hint="cs"/>
          <w:color w:val="000000"/>
          <w:sz w:val="24"/>
          <w:szCs w:val="28"/>
          <w:rtl/>
        </w:rPr>
        <w:t xml:space="preserve"> :</w:t>
      </w:r>
      <w:r w:rsidRPr="00DC0143">
        <w:rPr>
          <w:rFonts w:cs="Traditional Arabic" w:hint="cs"/>
          <w:color w:val="000000"/>
          <w:sz w:val="24"/>
          <w:szCs w:val="28"/>
          <w:rtl/>
        </w:rPr>
        <w:t xml:space="preserve"> وفي الحالتين المبينتين في المادة السابقة لا يضر وقوع الشرط الذي يجهله الدائن المرتهن لعقار بالحقوق الآيلة إليه من البائع تحت شرط توقيفي أو من المشتري تحت شرط الفسخ</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289 / 372</w:t>
      </w:r>
      <w:r>
        <w:rPr>
          <w:rFonts w:cs="Traditional Arabic" w:hint="cs"/>
          <w:color w:val="000000"/>
          <w:sz w:val="24"/>
          <w:szCs w:val="28"/>
          <w:rtl/>
        </w:rPr>
        <w:t xml:space="preserve"> :</w:t>
      </w:r>
      <w:r w:rsidRPr="00DC0143">
        <w:rPr>
          <w:rFonts w:cs="Traditional Arabic" w:hint="cs"/>
          <w:color w:val="000000"/>
          <w:sz w:val="24"/>
          <w:szCs w:val="28"/>
          <w:rtl/>
        </w:rPr>
        <w:t xml:space="preserve"> إذا نقصت قيمة المبيع بعيب حدث فيه قبل استلامه</w:t>
      </w:r>
      <w:r>
        <w:rPr>
          <w:rFonts w:cs="Traditional Arabic" w:hint="cs"/>
          <w:color w:val="000000"/>
          <w:sz w:val="24"/>
          <w:szCs w:val="28"/>
          <w:rtl/>
        </w:rPr>
        <w:t xml:space="preserve"> ،</w:t>
      </w:r>
      <w:r w:rsidRPr="00DC0143">
        <w:rPr>
          <w:rFonts w:cs="Traditional Arabic" w:hint="cs"/>
          <w:color w:val="000000"/>
          <w:sz w:val="24"/>
          <w:szCs w:val="28"/>
          <w:rtl/>
        </w:rPr>
        <w:t xml:space="preserve"> بحيث لو كان هذا العيب موجوداً قبل العقد لامتنع المشتري عن الشراء</w:t>
      </w:r>
      <w:r>
        <w:rPr>
          <w:rFonts w:cs="Traditional Arabic" w:hint="cs"/>
          <w:color w:val="000000"/>
          <w:sz w:val="24"/>
          <w:szCs w:val="28"/>
          <w:rtl/>
        </w:rPr>
        <w:t xml:space="preserve"> ،</w:t>
      </w:r>
      <w:r w:rsidRPr="00DC0143">
        <w:rPr>
          <w:rFonts w:cs="Traditional Arabic" w:hint="cs"/>
          <w:color w:val="000000"/>
          <w:sz w:val="24"/>
          <w:szCs w:val="28"/>
          <w:rtl/>
        </w:rPr>
        <w:t xml:space="preserve"> كان المشتري مخيراً بين الفسخ وبين إبقاء المبيع بالثمن المتفق عليه</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سبق منه رهنه</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337 / 420</w:t>
      </w:r>
      <w:r>
        <w:rPr>
          <w:rFonts w:cs="Traditional Arabic" w:hint="cs"/>
          <w:color w:val="000000"/>
          <w:sz w:val="24"/>
          <w:szCs w:val="28"/>
          <w:rtl/>
        </w:rPr>
        <w:t xml:space="preserve"> :</w:t>
      </w:r>
      <w:r w:rsidRPr="00DC0143">
        <w:rPr>
          <w:rFonts w:cs="Traditional Arabic" w:hint="cs"/>
          <w:color w:val="000000"/>
          <w:sz w:val="24"/>
          <w:szCs w:val="28"/>
          <w:rtl/>
        </w:rPr>
        <w:t xml:space="preserve"> يسقط حق إقامة الدعوى بالغبن الفاحش بعد بلوغ البائع من الرشد أو وفاته بسنتين</w:t>
      </w:r>
      <w:r>
        <w:rPr>
          <w:rFonts w:cs="Traditional Arabic" w:hint="cs"/>
          <w:color w:val="000000"/>
          <w:sz w:val="24"/>
          <w:szCs w:val="28"/>
          <w:rtl/>
        </w:rPr>
        <w:t xml:space="preserve"> ،</w:t>
      </w:r>
      <w:r w:rsidRPr="00DC0143">
        <w:rPr>
          <w:rFonts w:cs="Traditional Arabic" w:hint="cs"/>
          <w:color w:val="000000"/>
          <w:sz w:val="24"/>
          <w:szCs w:val="28"/>
          <w:rtl/>
        </w:rPr>
        <w:t xml:space="preserve"> ولا يترتب على ذلك الحق إخلال بحقوق أصحاب الرهون العقارية المسجلة</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p>
  </w:footnote>
  <w:footnote w:id="69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شمس  الدين الوكيل فقرة 47 ص 133 وهامش 2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عبد الباسط جميعي في نظرية الأوضاع الظاهرة على الآلة الكاتبة ص 350</w:t>
      </w:r>
      <w:r>
        <w:rPr>
          <w:rFonts w:cs="Traditional Arabic" w:hint="cs"/>
          <w:color w:val="000000"/>
          <w:sz w:val="24"/>
          <w:szCs w:val="28"/>
          <w:rtl/>
        </w:rPr>
        <w:t xml:space="preserve"> .</w:t>
      </w:r>
    </w:p>
  </w:footnote>
  <w:footnote w:id="69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كذلك إذا كان المشتري لم يسجل عقده</w:t>
      </w:r>
      <w:r>
        <w:rPr>
          <w:rFonts w:cs="Traditional Arabic" w:hint="cs"/>
          <w:color w:val="000000"/>
          <w:sz w:val="24"/>
          <w:szCs w:val="28"/>
          <w:rtl/>
        </w:rPr>
        <w:t xml:space="preserve"> ،</w:t>
      </w:r>
      <w:r w:rsidRPr="00DC0143">
        <w:rPr>
          <w:rFonts w:cs="Traditional Arabic" w:hint="cs"/>
          <w:color w:val="000000"/>
          <w:sz w:val="24"/>
          <w:szCs w:val="28"/>
          <w:rtl/>
        </w:rPr>
        <w:t xml:space="preserve"> ورهن العقار الذي اشتراه</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يكون قابلا للإبطال لأنه رهن لملك الغير</w:t>
      </w:r>
      <w:r>
        <w:rPr>
          <w:rFonts w:cs="Traditional Arabic" w:hint="cs"/>
          <w:color w:val="000000"/>
          <w:sz w:val="24"/>
          <w:szCs w:val="28"/>
          <w:rtl/>
        </w:rPr>
        <w:t xml:space="preserve"> ،</w:t>
      </w:r>
      <w:r w:rsidRPr="00DC0143">
        <w:rPr>
          <w:rFonts w:cs="Traditional Arabic" w:hint="cs"/>
          <w:color w:val="000000"/>
          <w:sz w:val="24"/>
          <w:szCs w:val="28"/>
          <w:rtl/>
        </w:rPr>
        <w:t xml:space="preserve"> والرهن في الوقت ذاته لا يكون نافذا في حق البائع للعقار</w:t>
      </w:r>
      <w:r>
        <w:rPr>
          <w:rFonts w:cs="Traditional Arabic" w:hint="cs"/>
          <w:color w:val="000000"/>
          <w:sz w:val="24"/>
          <w:szCs w:val="28"/>
          <w:rtl/>
        </w:rPr>
        <w:t xml:space="preserve"> .</w:t>
      </w:r>
      <w:r w:rsidRPr="00DC0143">
        <w:rPr>
          <w:rFonts w:cs="Traditional Arabic" w:hint="cs"/>
          <w:color w:val="000000"/>
          <w:sz w:val="24"/>
          <w:szCs w:val="28"/>
          <w:rtl/>
        </w:rPr>
        <w:t xml:space="preserve"> فإذا فسخ الشراء فإن الدائن المرتهن لا يستطيع أن يحتج بعقد الرهن في مواجهة البائع للعقار</w:t>
      </w:r>
      <w:r>
        <w:rPr>
          <w:rFonts w:cs="Traditional Arabic" w:hint="cs"/>
          <w:color w:val="000000"/>
          <w:sz w:val="24"/>
          <w:szCs w:val="28"/>
          <w:rtl/>
        </w:rPr>
        <w:t xml:space="preserve"> ،</w:t>
      </w:r>
      <w:r w:rsidRPr="00DC0143">
        <w:rPr>
          <w:rFonts w:cs="Traditional Arabic" w:hint="cs"/>
          <w:color w:val="000000"/>
          <w:sz w:val="24"/>
          <w:szCs w:val="28"/>
          <w:rtl/>
        </w:rPr>
        <w:t xml:space="preserve"> لا لأن الرهن غير صحيح إذ هو قابل للإبطال وليس بباطل</w:t>
      </w:r>
      <w:r>
        <w:rPr>
          <w:rFonts w:cs="Traditional Arabic" w:hint="cs"/>
          <w:color w:val="000000"/>
          <w:sz w:val="24"/>
          <w:szCs w:val="28"/>
          <w:rtl/>
        </w:rPr>
        <w:t xml:space="preserve"> ،</w:t>
      </w:r>
      <w:r w:rsidRPr="00DC0143">
        <w:rPr>
          <w:rFonts w:cs="Traditional Arabic" w:hint="cs"/>
          <w:color w:val="000000"/>
          <w:sz w:val="24"/>
          <w:szCs w:val="28"/>
          <w:rtl/>
        </w:rPr>
        <w:t xml:space="preserve"> بل لأنه ليس نافذا في حق البائع قبل الفسخ ويبقى كذلك من باب أولى  بعد الفسخ</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5 مايو سنة </w:t>
      </w:r>
      <w:smartTag w:uri="urn:schemas-microsoft-com:office:smarttags" w:element="metricconverter">
        <w:smartTagPr>
          <w:attr w:name="ProductID" w:val="1936 م"/>
        </w:smartTagPr>
        <w:r w:rsidRPr="00DC0143">
          <w:rPr>
            <w:rFonts w:cs="Traditional Arabic" w:hint="cs"/>
            <w:color w:val="000000"/>
            <w:sz w:val="24"/>
            <w:szCs w:val="28"/>
            <w:rtl/>
          </w:rPr>
          <w:t>1936 م</w:t>
        </w:r>
      </w:smartTag>
      <w:r w:rsidRPr="00DC0143">
        <w:rPr>
          <w:rFonts w:cs="Traditional Arabic" w:hint="cs"/>
          <w:color w:val="000000"/>
          <w:sz w:val="24"/>
          <w:szCs w:val="28"/>
          <w:rtl/>
        </w:rPr>
        <w:t xml:space="preserve"> 48 ص 254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47 ص 134</w:t>
      </w:r>
      <w:r>
        <w:rPr>
          <w:rFonts w:cs="Traditional Arabic" w:hint="cs"/>
          <w:color w:val="000000"/>
          <w:sz w:val="24"/>
          <w:szCs w:val="28"/>
          <w:rtl/>
        </w:rPr>
        <w:t xml:space="preserve"> .</w:t>
      </w:r>
    </w:p>
  </w:footnote>
  <w:footnote w:id="69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وإذا كان قد ذكر في سند ملية الراهن أنه لا يزال مدينا ببعض الثمن</w:t>
      </w:r>
      <w:r>
        <w:rPr>
          <w:rFonts w:cs="Traditional Arabic" w:hint="cs"/>
          <w:color w:val="000000"/>
          <w:sz w:val="24"/>
          <w:szCs w:val="28"/>
          <w:rtl/>
        </w:rPr>
        <w:t xml:space="preserve"> ،</w:t>
      </w:r>
      <w:r w:rsidRPr="00DC0143">
        <w:rPr>
          <w:rFonts w:cs="Traditional Arabic" w:hint="cs"/>
          <w:color w:val="000000"/>
          <w:sz w:val="24"/>
          <w:szCs w:val="28"/>
          <w:rtl/>
        </w:rPr>
        <w:t xml:space="preserve"> فعلى الدائن المرتهن أن يثبت علمه اليقيني بأن الباقي من الثمن قد دفع</w:t>
      </w:r>
      <w:r>
        <w:rPr>
          <w:rFonts w:cs="Traditional Arabic" w:hint="cs"/>
          <w:color w:val="000000"/>
          <w:sz w:val="24"/>
          <w:szCs w:val="28"/>
          <w:rtl/>
        </w:rPr>
        <w:t xml:space="preserve"> ،</w:t>
      </w:r>
      <w:r w:rsidRPr="00DC0143">
        <w:rPr>
          <w:rFonts w:cs="Traditional Arabic" w:hint="cs"/>
          <w:color w:val="000000"/>
          <w:sz w:val="24"/>
          <w:szCs w:val="28"/>
          <w:rtl/>
        </w:rPr>
        <w:t xml:space="preserve"> وإلا كان سيء النية </w:t>
      </w:r>
      <w:r>
        <w:rPr>
          <w:rFonts w:cs="Traditional Arabic" w:hint="cs"/>
          <w:color w:val="000000"/>
          <w:sz w:val="24"/>
          <w:szCs w:val="28"/>
          <w:rtl/>
        </w:rPr>
        <w:t xml:space="preserve">( </w:t>
      </w:r>
      <w:r w:rsidRPr="00DC0143">
        <w:rPr>
          <w:rFonts w:cs="Traditional Arabic" w:hint="cs"/>
          <w:color w:val="000000"/>
          <w:sz w:val="24"/>
          <w:szCs w:val="28"/>
          <w:rtl/>
        </w:rPr>
        <w:t xml:space="preserve">شمس الدين الوكيل فقرة 47 ص 138 </w:t>
      </w:r>
      <w:r w:rsidRPr="00DC0143">
        <w:rPr>
          <w:rFonts w:cs="Traditional Arabic"/>
          <w:color w:val="000000"/>
          <w:sz w:val="24"/>
          <w:szCs w:val="28"/>
          <w:rtl/>
        </w:rPr>
        <w:t>–</w:t>
      </w:r>
      <w:r w:rsidRPr="00DC0143">
        <w:rPr>
          <w:rFonts w:cs="Traditional Arabic" w:hint="cs"/>
          <w:color w:val="000000"/>
          <w:sz w:val="24"/>
          <w:szCs w:val="28"/>
          <w:rtl/>
        </w:rPr>
        <w:t xml:space="preserve"> ص 139</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وقد قضت محكمة النقض بأن حسن النية التي تقتضيه الحماية التي أضافاها المشرع في المادة 1034 من القانون المدني على الدائن المرتهن في حالة إبطال أو فسخ سند ملكية الراهن</w:t>
      </w:r>
      <w:r>
        <w:rPr>
          <w:rFonts w:cs="Traditional Arabic" w:hint="cs"/>
          <w:color w:val="000000"/>
          <w:sz w:val="24"/>
          <w:szCs w:val="28"/>
          <w:rtl/>
        </w:rPr>
        <w:t xml:space="preserve"> ،</w:t>
      </w:r>
      <w:r w:rsidRPr="00DC0143">
        <w:rPr>
          <w:rFonts w:cs="Traditional Arabic" w:hint="cs"/>
          <w:color w:val="000000"/>
          <w:sz w:val="24"/>
          <w:szCs w:val="28"/>
          <w:rtl/>
        </w:rPr>
        <w:t xml:space="preserve"> ينتفي متى كان هذا الدائن يعلم وقت إبرام الرهن</w:t>
      </w:r>
      <w:r>
        <w:rPr>
          <w:rFonts w:cs="Traditional Arabic" w:hint="cs"/>
          <w:color w:val="000000"/>
          <w:sz w:val="24"/>
          <w:szCs w:val="28"/>
          <w:rtl/>
        </w:rPr>
        <w:t xml:space="preserve"> ،</w:t>
      </w:r>
      <w:r w:rsidRPr="00DC0143">
        <w:rPr>
          <w:rFonts w:cs="Traditional Arabic" w:hint="cs"/>
          <w:color w:val="000000"/>
          <w:sz w:val="24"/>
          <w:szCs w:val="28"/>
          <w:rtl/>
        </w:rPr>
        <w:t xml:space="preserve"> أو كان في مقدوره أن يعلم</w:t>
      </w:r>
      <w:r>
        <w:rPr>
          <w:rFonts w:cs="Traditional Arabic" w:hint="cs"/>
          <w:color w:val="000000"/>
          <w:sz w:val="24"/>
          <w:szCs w:val="28"/>
          <w:rtl/>
        </w:rPr>
        <w:t xml:space="preserve"> ،</w:t>
      </w:r>
      <w:r w:rsidRPr="00DC0143">
        <w:rPr>
          <w:rFonts w:cs="Traditional Arabic" w:hint="cs"/>
          <w:color w:val="000000"/>
          <w:sz w:val="24"/>
          <w:szCs w:val="28"/>
          <w:rtl/>
        </w:rPr>
        <w:t xml:space="preserve"> بأن ملكية الراهن للعين المرهونة مهددة بالزوال لأي سبب من الأسباب</w:t>
      </w:r>
      <w:r>
        <w:rPr>
          <w:rFonts w:cs="Traditional Arabic" w:hint="cs"/>
          <w:color w:val="000000"/>
          <w:sz w:val="24"/>
          <w:szCs w:val="28"/>
          <w:rtl/>
        </w:rPr>
        <w:t xml:space="preserve"> .</w:t>
      </w:r>
      <w:r w:rsidRPr="00DC0143">
        <w:rPr>
          <w:rFonts w:cs="Traditional Arabic" w:hint="cs"/>
          <w:color w:val="000000"/>
          <w:sz w:val="24"/>
          <w:szCs w:val="28"/>
          <w:rtl/>
        </w:rPr>
        <w:t xml:space="preserve"> واستخلاص قاضي الموضوع لسوء النية لا يخضع لرقابة محكمة النقض</w:t>
      </w:r>
      <w:r>
        <w:rPr>
          <w:rFonts w:cs="Traditional Arabic" w:hint="cs"/>
          <w:color w:val="000000"/>
          <w:sz w:val="24"/>
          <w:szCs w:val="28"/>
          <w:rtl/>
        </w:rPr>
        <w:t xml:space="preserve"> ،</w:t>
      </w:r>
      <w:r w:rsidRPr="00DC0143">
        <w:rPr>
          <w:rFonts w:cs="Traditional Arabic" w:hint="cs"/>
          <w:color w:val="000000"/>
          <w:sz w:val="24"/>
          <w:szCs w:val="28"/>
          <w:rtl/>
        </w:rPr>
        <w:t xml:space="preserve"> إلا من جهة مطابقته للتعريف القانوني لسوء النية</w:t>
      </w:r>
      <w:r>
        <w:rPr>
          <w:rFonts w:cs="Traditional Arabic" w:hint="cs"/>
          <w:color w:val="000000"/>
          <w:sz w:val="24"/>
          <w:szCs w:val="28"/>
          <w:rtl/>
        </w:rPr>
        <w:t xml:space="preserve"> .</w:t>
      </w:r>
      <w:r w:rsidRPr="00DC0143">
        <w:rPr>
          <w:rFonts w:cs="Traditional Arabic" w:hint="cs"/>
          <w:color w:val="000000"/>
          <w:sz w:val="24"/>
          <w:szCs w:val="28"/>
          <w:rtl/>
        </w:rPr>
        <w:t xml:space="preserve"> فإذا كان الحكم المطعون فيه قد استخلص من تضمين عقد البيع المسجل </w:t>
      </w:r>
      <w:r w:rsidRPr="00DC0143">
        <w:rPr>
          <w:rFonts w:cs="Traditional Arabic"/>
          <w:color w:val="000000"/>
          <w:sz w:val="24"/>
          <w:szCs w:val="28"/>
          <w:rtl/>
        </w:rPr>
        <w:t>–</w:t>
      </w:r>
      <w:r w:rsidRPr="00DC0143">
        <w:rPr>
          <w:rFonts w:cs="Traditional Arabic" w:hint="cs"/>
          <w:color w:val="000000"/>
          <w:sz w:val="24"/>
          <w:szCs w:val="28"/>
          <w:rtl/>
        </w:rPr>
        <w:t xml:space="preserve"> سند ملكية الراهن</w:t>
      </w:r>
      <w:r>
        <w:rPr>
          <w:rFonts w:cs="Traditional Arabic" w:hint="cs"/>
          <w:color w:val="000000"/>
          <w:sz w:val="24"/>
          <w:szCs w:val="28"/>
          <w:rtl/>
        </w:rPr>
        <w:t xml:space="preserve"> ،</w:t>
      </w:r>
      <w:r w:rsidRPr="00DC0143">
        <w:rPr>
          <w:rFonts w:cs="Traditional Arabic" w:hint="cs"/>
          <w:color w:val="000000"/>
          <w:sz w:val="24"/>
          <w:szCs w:val="28"/>
          <w:rtl/>
        </w:rPr>
        <w:t xml:space="preserve"> وجود باقي من الثمن قدره أربعة آلاف من الجنيهات لم يدفع</w:t>
      </w:r>
      <w:r>
        <w:rPr>
          <w:rFonts w:cs="Traditional Arabic" w:hint="cs"/>
          <w:color w:val="000000"/>
          <w:sz w:val="24"/>
          <w:szCs w:val="28"/>
          <w:rtl/>
        </w:rPr>
        <w:t xml:space="preserve"> ،</w:t>
      </w:r>
      <w:r w:rsidRPr="00DC0143">
        <w:rPr>
          <w:rFonts w:cs="Traditional Arabic" w:hint="cs"/>
          <w:color w:val="000000"/>
          <w:sz w:val="24"/>
          <w:szCs w:val="28"/>
          <w:rtl/>
        </w:rPr>
        <w:t xml:space="preserve"> أن البنك المرتهن كان في مكنته أن يعلم بأن هذا العقد مهدد بالزوال عن طريق الفسخ إذا ما تخلف المشتري </w:t>
      </w:r>
      <w:r>
        <w:rPr>
          <w:rFonts w:cs="Traditional Arabic" w:hint="cs"/>
          <w:color w:val="000000"/>
          <w:sz w:val="24"/>
          <w:szCs w:val="28"/>
          <w:rtl/>
        </w:rPr>
        <w:t xml:space="preserve">( </w:t>
      </w:r>
      <w:r w:rsidRPr="00DC0143">
        <w:rPr>
          <w:rFonts w:cs="Traditional Arabic" w:hint="cs"/>
          <w:color w:val="000000"/>
          <w:sz w:val="24"/>
          <w:szCs w:val="28"/>
          <w:rtl/>
        </w:rPr>
        <w:t>الراهن</w:t>
      </w:r>
      <w:r>
        <w:rPr>
          <w:rFonts w:cs="Traditional Arabic" w:hint="cs"/>
          <w:color w:val="000000"/>
          <w:sz w:val="24"/>
          <w:szCs w:val="28"/>
          <w:rtl/>
        </w:rPr>
        <w:t xml:space="preserve"> )</w:t>
      </w:r>
      <w:r w:rsidRPr="00DC0143">
        <w:rPr>
          <w:rFonts w:cs="Traditional Arabic" w:hint="cs"/>
          <w:color w:val="000000"/>
          <w:sz w:val="24"/>
          <w:szCs w:val="28"/>
          <w:rtl/>
        </w:rPr>
        <w:t xml:space="preserve"> عن الوفاء بهذا المبلغ</w:t>
      </w:r>
      <w:r>
        <w:rPr>
          <w:rFonts w:cs="Traditional Arabic" w:hint="cs"/>
          <w:color w:val="000000"/>
          <w:sz w:val="24"/>
          <w:szCs w:val="28"/>
          <w:rtl/>
        </w:rPr>
        <w:t xml:space="preserve"> ،</w:t>
      </w:r>
      <w:r w:rsidRPr="00DC0143">
        <w:rPr>
          <w:rFonts w:cs="Traditional Arabic" w:hint="cs"/>
          <w:color w:val="000000"/>
          <w:sz w:val="24"/>
          <w:szCs w:val="28"/>
          <w:rtl/>
        </w:rPr>
        <w:t xml:space="preserve"> وأنه لذلك يعتبر البنك سيء النية غير جدير بالحماية المقررة في المادة 1034 من القانون المدني</w:t>
      </w:r>
      <w:r>
        <w:rPr>
          <w:rFonts w:cs="Traditional Arabic" w:hint="cs"/>
          <w:color w:val="000000"/>
          <w:sz w:val="24"/>
          <w:szCs w:val="28"/>
          <w:rtl/>
        </w:rPr>
        <w:t xml:space="preserve"> ،</w:t>
      </w:r>
      <w:r w:rsidRPr="00DC0143">
        <w:rPr>
          <w:rFonts w:cs="Traditional Arabic" w:hint="cs"/>
          <w:color w:val="000000"/>
          <w:sz w:val="24"/>
          <w:szCs w:val="28"/>
          <w:rtl/>
        </w:rPr>
        <w:t xml:space="preserve"> فإن الحكم يكون قد أقام استخلاصه لسوء نية البنك المرتهن على أسباب من شأنها أن تؤدي عقلا إلى ما انتهى إليه في هذا الخصوص </w:t>
      </w:r>
      <w:r>
        <w:rPr>
          <w:rFonts w:cs="Traditional Arabic" w:hint="cs"/>
          <w:color w:val="000000"/>
          <w:sz w:val="24"/>
          <w:szCs w:val="28"/>
          <w:rtl/>
        </w:rPr>
        <w:t xml:space="preserve">( </w:t>
      </w:r>
      <w:r w:rsidRPr="00DC0143">
        <w:rPr>
          <w:rFonts w:cs="Traditional Arabic" w:hint="cs"/>
          <w:color w:val="000000"/>
          <w:sz w:val="24"/>
          <w:szCs w:val="28"/>
          <w:rtl/>
        </w:rPr>
        <w:t>نقض مدني 12 نوفمبر سنة 1964 مجموعة أحكام النقض 15 رقم 1533 ص 1028</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69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ذلك لأن الرهن يجب أن يكون مقيداً قبل شهر في صحته الدعوى التي طعن بها في سند ملكية الراهن</w:t>
      </w:r>
      <w:r>
        <w:rPr>
          <w:rFonts w:cs="Traditional Arabic" w:hint="cs"/>
          <w:color w:val="000000"/>
          <w:sz w:val="24"/>
          <w:szCs w:val="28"/>
          <w:rtl/>
        </w:rPr>
        <w:t xml:space="preserve"> ،</w:t>
      </w:r>
      <w:r w:rsidRPr="00DC0143">
        <w:rPr>
          <w:rFonts w:cs="Traditional Arabic" w:hint="cs"/>
          <w:color w:val="000000"/>
          <w:sz w:val="24"/>
          <w:szCs w:val="28"/>
          <w:rtl/>
        </w:rPr>
        <w:t xml:space="preserve"> إذ يعتبر افع الدعوى من الغير فيجب قيد الرهن حتى يحتج عليه به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218 ص 331 </w:t>
      </w:r>
      <w:r w:rsidRPr="00DC0143">
        <w:rPr>
          <w:rFonts w:cs="Traditional Arabic"/>
          <w:color w:val="000000"/>
          <w:sz w:val="24"/>
          <w:szCs w:val="28"/>
          <w:rtl/>
        </w:rPr>
        <w:t>–</w:t>
      </w:r>
      <w:r w:rsidRPr="00DC0143">
        <w:rPr>
          <w:rFonts w:cs="Traditional Arabic" w:hint="cs"/>
          <w:color w:val="000000"/>
          <w:sz w:val="24"/>
          <w:szCs w:val="28"/>
          <w:rtl/>
        </w:rPr>
        <w:t xml:space="preserve"> محمد علي أمام فقرة 150 </w:t>
      </w:r>
      <w:r w:rsidRPr="00DC0143">
        <w:rPr>
          <w:rFonts w:cs="Traditional Arabic"/>
          <w:color w:val="000000"/>
          <w:sz w:val="24"/>
          <w:szCs w:val="28"/>
          <w:rtl/>
        </w:rPr>
        <w:t>–</w:t>
      </w:r>
      <w:r w:rsidRPr="00DC0143">
        <w:rPr>
          <w:rFonts w:cs="Traditional Arabic" w:hint="cs"/>
          <w:color w:val="000000"/>
          <w:sz w:val="24"/>
          <w:szCs w:val="28"/>
          <w:rtl/>
        </w:rPr>
        <w:t xml:space="preserve"> ص 244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47 ص 139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33  ص 46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54 </w:t>
      </w:r>
      <w:r w:rsidRPr="00DC0143">
        <w:rPr>
          <w:rFonts w:cs="Traditional Arabic"/>
          <w:color w:val="000000"/>
          <w:sz w:val="24"/>
          <w:szCs w:val="28"/>
          <w:rtl/>
        </w:rPr>
        <w:t>–</w:t>
      </w:r>
      <w:r w:rsidRPr="00DC0143">
        <w:rPr>
          <w:rFonts w:cs="Traditional Arabic" w:hint="cs"/>
          <w:color w:val="000000"/>
          <w:sz w:val="24"/>
          <w:szCs w:val="28"/>
          <w:rtl/>
        </w:rPr>
        <w:t xml:space="preserve"> ص 182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21 ص 61</w:t>
      </w:r>
      <w:r>
        <w:rPr>
          <w:rFonts w:cs="Traditional Arabic" w:hint="cs"/>
          <w:color w:val="000000"/>
          <w:sz w:val="24"/>
          <w:szCs w:val="28"/>
          <w:rtl/>
        </w:rPr>
        <w:t xml:space="preserve"> .</w:t>
      </w:r>
    </w:p>
  </w:footnote>
  <w:footnote w:id="69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وإذا كان الدائن المرتهن يجب أن يكون حسن النية وقت إبرام عقد الرهن</w:t>
      </w:r>
      <w:r>
        <w:rPr>
          <w:rFonts w:cs="Traditional Arabic" w:hint="cs"/>
          <w:color w:val="000000"/>
          <w:sz w:val="24"/>
          <w:szCs w:val="28"/>
          <w:rtl/>
        </w:rPr>
        <w:t xml:space="preserve"> ،</w:t>
      </w:r>
      <w:r w:rsidRPr="00DC0143">
        <w:rPr>
          <w:rFonts w:cs="Traditional Arabic" w:hint="cs"/>
          <w:color w:val="000000"/>
          <w:sz w:val="24"/>
          <w:szCs w:val="28"/>
          <w:rtl/>
        </w:rPr>
        <w:t xml:space="preserve"> إلا أنه إذا تقرر الرهن ضمانا لدين مستقبل فالعبرة بوقت وجود الدين المضمون بالرهن</w:t>
      </w:r>
      <w:r>
        <w:rPr>
          <w:rFonts w:cs="Traditional Arabic" w:hint="cs"/>
          <w:color w:val="000000"/>
          <w:sz w:val="24"/>
          <w:szCs w:val="28"/>
          <w:rtl/>
        </w:rPr>
        <w:t xml:space="preserve"> .</w:t>
      </w:r>
      <w:r w:rsidRPr="00DC0143">
        <w:rPr>
          <w:rFonts w:cs="Traditional Arabic" w:hint="cs"/>
          <w:color w:val="000000"/>
          <w:sz w:val="24"/>
          <w:szCs w:val="28"/>
          <w:rtl/>
        </w:rPr>
        <w:t xml:space="preserve"> أما أن مرتبة الرهن تثبت من تاريخ القيد حتى لو تم هذا القيد قبل وجود الدين</w:t>
      </w:r>
      <w:r>
        <w:rPr>
          <w:rFonts w:cs="Traditional Arabic" w:hint="cs"/>
          <w:color w:val="000000"/>
          <w:sz w:val="24"/>
          <w:szCs w:val="28"/>
          <w:rtl/>
        </w:rPr>
        <w:t xml:space="preserve"> ،</w:t>
      </w:r>
      <w:r w:rsidRPr="00DC0143">
        <w:rPr>
          <w:rFonts w:cs="Traditional Arabic" w:hint="cs"/>
          <w:color w:val="000000"/>
          <w:sz w:val="24"/>
          <w:szCs w:val="28"/>
          <w:rtl/>
        </w:rPr>
        <w:t xml:space="preserve"> فهذه الأفضلية استثناء مقرر بنص في القانون جيب أن يقف عند الغاية المقصودة منه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329 هامش 3 في التعليق على استئناف مختلط 28 مايو سنة </w:t>
      </w:r>
      <w:smartTag w:uri="urn:schemas-microsoft-com:office:smarttags" w:element="metricconverter">
        <w:smartTagPr>
          <w:attr w:name="ProductID" w:val="1942 م"/>
        </w:smartTagPr>
        <w:r w:rsidRPr="00DC0143">
          <w:rPr>
            <w:rFonts w:cs="Traditional Arabic" w:hint="cs"/>
            <w:color w:val="000000"/>
            <w:sz w:val="24"/>
            <w:szCs w:val="28"/>
            <w:rtl/>
          </w:rPr>
          <w:t>1942 م</w:t>
        </w:r>
      </w:smartTag>
      <w:r w:rsidRPr="00DC0143">
        <w:rPr>
          <w:rFonts w:cs="Traditional Arabic" w:hint="cs"/>
          <w:color w:val="000000"/>
          <w:sz w:val="24"/>
          <w:szCs w:val="28"/>
          <w:rtl/>
        </w:rPr>
        <w:t xml:space="preserve"> 54 ص 213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47 ص 139 هامش 3</w:t>
      </w:r>
      <w:r>
        <w:rPr>
          <w:rFonts w:cs="Traditional Arabic" w:hint="cs"/>
          <w:color w:val="000000"/>
          <w:sz w:val="24"/>
          <w:szCs w:val="28"/>
          <w:rtl/>
        </w:rPr>
        <w:t xml:space="preserve"> ) .</w:t>
      </w:r>
    </w:p>
  </w:footnote>
  <w:footnote w:id="69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ويمكن إطلاق الحماية المقررة في المادة 1034</w:t>
      </w:r>
      <w:r>
        <w:rPr>
          <w:rFonts w:cs="Traditional Arabic" w:hint="cs"/>
          <w:color w:val="000000"/>
          <w:sz w:val="24"/>
          <w:szCs w:val="28"/>
          <w:rtl/>
        </w:rPr>
        <w:t xml:space="preserve"> ،</w:t>
      </w:r>
      <w:r w:rsidRPr="00DC0143">
        <w:rPr>
          <w:rFonts w:cs="Traditional Arabic" w:hint="cs"/>
          <w:color w:val="000000"/>
          <w:sz w:val="24"/>
          <w:szCs w:val="28"/>
          <w:rtl/>
        </w:rPr>
        <w:t xml:space="preserve"> فلا تقتصر على الرهن الرسمي وحده</w:t>
      </w:r>
      <w:r>
        <w:rPr>
          <w:rFonts w:cs="Traditional Arabic" w:hint="cs"/>
          <w:color w:val="000000"/>
          <w:sz w:val="24"/>
          <w:szCs w:val="28"/>
          <w:rtl/>
        </w:rPr>
        <w:t xml:space="preserve"> ،</w:t>
      </w:r>
      <w:r w:rsidRPr="00DC0143">
        <w:rPr>
          <w:rFonts w:cs="Traditional Arabic" w:hint="cs"/>
          <w:color w:val="000000"/>
          <w:sz w:val="24"/>
          <w:szCs w:val="28"/>
          <w:rtl/>
        </w:rPr>
        <w:t xml:space="preserve"> بل تشمل كل حق يماثل الرهن الرسمي كحق الاختصاص وحق الرهن الحيازي </w:t>
      </w:r>
      <w:r>
        <w:rPr>
          <w:rFonts w:cs="Traditional Arabic" w:hint="cs"/>
          <w:color w:val="000000"/>
          <w:sz w:val="24"/>
          <w:szCs w:val="28"/>
          <w:rtl/>
        </w:rPr>
        <w:t xml:space="preserve">( </w:t>
      </w:r>
      <w:r w:rsidRPr="00DC0143">
        <w:rPr>
          <w:rFonts w:cs="Traditional Arabic" w:hint="cs"/>
          <w:color w:val="000000"/>
          <w:sz w:val="24"/>
          <w:szCs w:val="28"/>
          <w:rtl/>
        </w:rPr>
        <w:t xml:space="preserve">شفيق شحاته فقرة 99 ص 86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217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47 ص 140</w:t>
      </w:r>
      <w:r>
        <w:rPr>
          <w:rFonts w:cs="Traditional Arabic" w:hint="cs"/>
          <w:color w:val="000000"/>
          <w:sz w:val="24"/>
          <w:szCs w:val="28"/>
          <w:rtl/>
        </w:rPr>
        <w:t xml:space="preserve"> ) .</w:t>
      </w:r>
    </w:p>
  </w:footnote>
  <w:footnote w:id="69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والأثر الرجعي هنا هو حكم القانون</w:t>
      </w:r>
      <w:r>
        <w:rPr>
          <w:rFonts w:cs="Traditional Arabic" w:hint="cs"/>
          <w:color w:val="000000"/>
          <w:sz w:val="24"/>
          <w:szCs w:val="28"/>
          <w:rtl/>
        </w:rPr>
        <w:t xml:space="preserve"> .</w:t>
      </w:r>
      <w:r w:rsidRPr="00DC0143">
        <w:rPr>
          <w:rFonts w:cs="Traditional Arabic" w:hint="cs"/>
          <w:color w:val="000000"/>
          <w:sz w:val="24"/>
          <w:szCs w:val="28"/>
          <w:rtl/>
        </w:rPr>
        <w:t xml:space="preserve"> وقد يكون هناك أثر رجعي بحكم الاتفاق</w:t>
      </w:r>
      <w:r>
        <w:rPr>
          <w:rFonts w:cs="Traditional Arabic" w:hint="cs"/>
          <w:color w:val="000000"/>
          <w:sz w:val="24"/>
          <w:szCs w:val="28"/>
          <w:rtl/>
        </w:rPr>
        <w:t xml:space="preserve"> ،</w:t>
      </w:r>
      <w:r w:rsidRPr="00DC0143">
        <w:rPr>
          <w:rFonts w:cs="Traditional Arabic" w:hint="cs"/>
          <w:color w:val="000000"/>
          <w:sz w:val="24"/>
          <w:szCs w:val="28"/>
          <w:rtl/>
        </w:rPr>
        <w:t xml:space="preserve"> كما في التقابل</w:t>
      </w:r>
      <w:r>
        <w:rPr>
          <w:rFonts w:cs="Traditional Arabic" w:hint="cs"/>
          <w:color w:val="000000"/>
          <w:sz w:val="24"/>
          <w:szCs w:val="28"/>
          <w:rtl/>
        </w:rPr>
        <w:t xml:space="preserve"> ،</w:t>
      </w:r>
      <w:r w:rsidRPr="00DC0143">
        <w:rPr>
          <w:rFonts w:cs="Traditional Arabic" w:hint="cs"/>
          <w:color w:val="000000"/>
          <w:sz w:val="24"/>
          <w:szCs w:val="28"/>
          <w:rtl/>
        </w:rPr>
        <w:t xml:space="preserve"> فإذا اتفق البائع والمشتري على التقابل من البيع بأثر رجعي</w:t>
      </w:r>
      <w:r>
        <w:rPr>
          <w:rFonts w:cs="Traditional Arabic" w:hint="cs"/>
          <w:color w:val="000000"/>
          <w:sz w:val="24"/>
          <w:szCs w:val="28"/>
          <w:rtl/>
        </w:rPr>
        <w:t xml:space="preserve"> ،</w:t>
      </w:r>
      <w:r w:rsidRPr="00DC0143">
        <w:rPr>
          <w:rFonts w:cs="Traditional Arabic" w:hint="cs"/>
          <w:color w:val="000000"/>
          <w:sz w:val="24"/>
          <w:szCs w:val="28"/>
          <w:rtl/>
        </w:rPr>
        <w:t xml:space="preserve"> فإن تقابلهما يعيد الحالة إلى ما كانت عليه قبل البيع وكأن البيع لم يكن </w:t>
      </w:r>
      <w:r>
        <w:rPr>
          <w:rFonts w:cs="Traditional Arabic" w:hint="cs"/>
          <w:color w:val="000000"/>
          <w:sz w:val="24"/>
          <w:szCs w:val="28"/>
          <w:rtl/>
        </w:rPr>
        <w:t xml:space="preserve">( </w:t>
      </w:r>
      <w:r w:rsidRPr="00DC0143">
        <w:rPr>
          <w:rFonts w:cs="Traditional Arabic" w:hint="cs"/>
          <w:color w:val="000000"/>
          <w:sz w:val="24"/>
          <w:szCs w:val="28"/>
          <w:rtl/>
        </w:rPr>
        <w:t>نقض مدني 26 مارس سنة 1953 مجموعة أحام النقض 4 ص 698</w:t>
      </w:r>
      <w:r>
        <w:rPr>
          <w:rFonts w:cs="Traditional Arabic" w:hint="cs"/>
          <w:color w:val="000000"/>
          <w:sz w:val="24"/>
          <w:szCs w:val="28"/>
          <w:rtl/>
        </w:rPr>
        <w:t xml:space="preserve"> ) .</w:t>
      </w:r>
      <w:r w:rsidRPr="00DC0143">
        <w:rPr>
          <w:rFonts w:cs="Traditional Arabic" w:hint="cs"/>
          <w:color w:val="000000"/>
          <w:sz w:val="24"/>
          <w:szCs w:val="28"/>
          <w:rtl/>
        </w:rPr>
        <w:t xml:space="preserve"> وهذا الأثر الرجعي بحكم الاتفاق لا يؤثر في صحة الرهن الصادر من المشتري قبل التقابل </w:t>
      </w:r>
      <w:r>
        <w:rPr>
          <w:rFonts w:cs="Traditional Arabic" w:hint="cs"/>
          <w:color w:val="000000"/>
          <w:sz w:val="24"/>
          <w:szCs w:val="28"/>
          <w:rtl/>
        </w:rPr>
        <w:t xml:space="preserve">( </w:t>
      </w:r>
      <w:r w:rsidRPr="00DC0143">
        <w:rPr>
          <w:rFonts w:cs="Traditional Arabic" w:hint="cs"/>
          <w:color w:val="000000"/>
          <w:sz w:val="24"/>
          <w:szCs w:val="28"/>
          <w:rtl/>
        </w:rPr>
        <w:t>جيجو</w:t>
      </w:r>
      <w:r>
        <w:rPr>
          <w:rFonts w:cs="Traditional Arabic" w:hint="cs"/>
          <w:color w:val="000000"/>
          <w:sz w:val="24"/>
          <w:szCs w:val="28"/>
          <w:rtl/>
        </w:rPr>
        <w:t xml:space="preserve"> :</w:t>
      </w:r>
      <w:r w:rsidRPr="00DC0143">
        <w:rPr>
          <w:rFonts w:cs="Traditional Arabic" w:hint="cs"/>
          <w:color w:val="000000"/>
          <w:sz w:val="24"/>
          <w:szCs w:val="28"/>
          <w:rtl/>
        </w:rPr>
        <w:t xml:space="preserve"> دراسة في الأثر الرجعي الاتفاقي في المجلة الفصلية للقانون المدني سنة 1931 ص 92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47 ص 134 </w:t>
      </w:r>
      <w:r w:rsidRPr="00DC0143">
        <w:rPr>
          <w:rFonts w:cs="Traditional Arabic"/>
          <w:color w:val="000000"/>
          <w:sz w:val="24"/>
          <w:szCs w:val="28"/>
          <w:rtl/>
        </w:rPr>
        <w:t>–</w:t>
      </w:r>
      <w:r w:rsidRPr="00DC0143">
        <w:rPr>
          <w:rFonts w:cs="Traditional Arabic" w:hint="cs"/>
          <w:color w:val="000000"/>
          <w:sz w:val="24"/>
          <w:szCs w:val="28"/>
          <w:rtl/>
        </w:rPr>
        <w:t xml:space="preserve"> ص 135</w:t>
      </w:r>
      <w:r>
        <w:rPr>
          <w:rFonts w:cs="Traditional Arabic" w:hint="cs"/>
          <w:color w:val="000000"/>
          <w:sz w:val="24"/>
          <w:szCs w:val="28"/>
          <w:rtl/>
        </w:rPr>
        <w:t xml:space="preserve"> ) .</w:t>
      </w:r>
    </w:p>
  </w:footnote>
  <w:footnote w:id="70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20 </w:t>
      </w:r>
      <w:r w:rsidRPr="00DC0143">
        <w:rPr>
          <w:rFonts w:cs="Traditional Arabic"/>
          <w:color w:val="000000"/>
          <w:sz w:val="24"/>
          <w:szCs w:val="28"/>
          <w:rtl/>
        </w:rPr>
        <w:t>–</w:t>
      </w:r>
      <w:r w:rsidRPr="00DC0143">
        <w:rPr>
          <w:rFonts w:cs="Traditional Arabic" w:hint="cs"/>
          <w:color w:val="000000"/>
          <w:sz w:val="24"/>
          <w:szCs w:val="28"/>
          <w:rtl/>
        </w:rPr>
        <w:t xml:space="preserve"> وتقول المذكرة الإيضاحية للمشروع التمهيدي في هذا الصدد أيضاً ما يأتي</w:t>
      </w:r>
      <w:r>
        <w:rPr>
          <w:rFonts w:cs="Traditional Arabic" w:hint="cs"/>
          <w:color w:val="000000"/>
          <w:sz w:val="24"/>
          <w:szCs w:val="28"/>
          <w:rtl/>
        </w:rPr>
        <w:t xml:space="preserve"> :</w:t>
      </w:r>
      <w:r w:rsidRPr="00DC0143">
        <w:rPr>
          <w:rFonts w:cs="Traditional Arabic" w:hint="cs"/>
          <w:color w:val="000000"/>
          <w:sz w:val="24"/>
          <w:szCs w:val="28"/>
          <w:rtl/>
        </w:rPr>
        <w:t xml:space="preserve"> "جمع المشروع في المادة 1441 </w:t>
      </w:r>
      <w:r>
        <w:rPr>
          <w:rFonts w:cs="Traditional Arabic" w:hint="cs"/>
          <w:color w:val="000000"/>
          <w:sz w:val="24"/>
          <w:szCs w:val="28"/>
          <w:rtl/>
        </w:rPr>
        <w:t xml:space="preserve">( </w:t>
      </w:r>
      <w:r w:rsidRPr="00DC0143">
        <w:rPr>
          <w:rFonts w:cs="Traditional Arabic" w:hint="cs"/>
          <w:color w:val="000000"/>
          <w:sz w:val="24"/>
          <w:szCs w:val="28"/>
          <w:rtl/>
        </w:rPr>
        <w:t>رقم 1034 مدني</w:t>
      </w:r>
      <w:r>
        <w:rPr>
          <w:rFonts w:cs="Traditional Arabic" w:hint="cs"/>
          <w:color w:val="000000"/>
          <w:sz w:val="24"/>
          <w:szCs w:val="28"/>
          <w:rtl/>
        </w:rPr>
        <w:t xml:space="preserve"> )</w:t>
      </w:r>
      <w:r w:rsidRPr="00DC0143">
        <w:rPr>
          <w:rFonts w:cs="Traditional Arabic" w:hint="cs"/>
          <w:color w:val="000000"/>
          <w:sz w:val="24"/>
          <w:szCs w:val="28"/>
          <w:rtl/>
        </w:rPr>
        <w:t xml:space="preserve"> ما تناثر في التقنين الحالي </w:t>
      </w:r>
      <w:r>
        <w:rPr>
          <w:rFonts w:cs="Traditional Arabic" w:hint="cs"/>
          <w:color w:val="000000"/>
          <w:sz w:val="24"/>
          <w:szCs w:val="28"/>
          <w:rtl/>
        </w:rPr>
        <w:t xml:space="preserve">( </w:t>
      </w:r>
      <w:r w:rsidRPr="00DC0143">
        <w:rPr>
          <w:rFonts w:cs="Traditional Arabic" w:hint="cs"/>
          <w:color w:val="000000"/>
          <w:sz w:val="24"/>
          <w:szCs w:val="28"/>
          <w:rtl/>
        </w:rPr>
        <w:t>السابق</w:t>
      </w:r>
      <w:r>
        <w:rPr>
          <w:rFonts w:cs="Traditional Arabic" w:hint="cs"/>
          <w:color w:val="000000"/>
          <w:sz w:val="24"/>
          <w:szCs w:val="28"/>
          <w:rtl/>
        </w:rPr>
        <w:t xml:space="preserve"> )</w:t>
      </w:r>
      <w:r w:rsidRPr="00DC0143">
        <w:rPr>
          <w:rFonts w:cs="Traditional Arabic" w:hint="cs"/>
          <w:color w:val="000000"/>
          <w:sz w:val="24"/>
          <w:szCs w:val="28"/>
          <w:rtl/>
        </w:rPr>
        <w:t xml:space="preserve"> من نصوص أريد بها حماية الدائن المرتهن حسن النية</w:t>
      </w:r>
      <w:r>
        <w:rPr>
          <w:rFonts w:cs="Traditional Arabic" w:hint="cs"/>
          <w:color w:val="000000"/>
          <w:sz w:val="24"/>
          <w:szCs w:val="28"/>
          <w:rtl/>
        </w:rPr>
        <w:t xml:space="preserve"> ،</w:t>
      </w:r>
      <w:r w:rsidRPr="00DC0143">
        <w:rPr>
          <w:rFonts w:cs="Traditional Arabic" w:hint="cs"/>
          <w:color w:val="000000"/>
          <w:sz w:val="24"/>
          <w:szCs w:val="28"/>
          <w:rtl/>
        </w:rPr>
        <w:t xml:space="preserve"> فنص على أن الرهن يبقى صحيحاً إذا صدر من مالك تقرر من ذلك بطلان سند ملكيته </w:t>
      </w:r>
      <w:r>
        <w:rPr>
          <w:rFonts w:cs="Traditional Arabic" w:hint="cs"/>
          <w:color w:val="000000"/>
          <w:sz w:val="24"/>
          <w:szCs w:val="28"/>
          <w:rtl/>
        </w:rPr>
        <w:t xml:space="preserve"> . . .</w:t>
      </w:r>
      <w:r w:rsidRPr="00DC0143">
        <w:rPr>
          <w:rFonts w:cs="Traditional Arabic" w:hint="cs"/>
          <w:color w:val="000000"/>
          <w:sz w:val="24"/>
          <w:szCs w:val="28"/>
          <w:rtl/>
        </w:rPr>
        <w:t xml:space="preserve"> أو فسخه </w:t>
      </w:r>
      <w:r>
        <w:rPr>
          <w:rFonts w:cs="Traditional Arabic" w:hint="cs"/>
          <w:color w:val="000000"/>
          <w:sz w:val="24"/>
          <w:szCs w:val="28"/>
          <w:rtl/>
        </w:rPr>
        <w:t xml:space="preserve"> . . .</w:t>
      </w:r>
      <w:r w:rsidRPr="00DC0143">
        <w:rPr>
          <w:rFonts w:cs="Traditional Arabic" w:hint="cs"/>
          <w:color w:val="000000"/>
          <w:sz w:val="24"/>
          <w:szCs w:val="28"/>
          <w:rtl/>
        </w:rPr>
        <w:t xml:space="preserve"> أو إلغاؤه أو زواله لأي سبب آخر </w:t>
      </w:r>
      <w:r>
        <w:rPr>
          <w:rFonts w:cs="Traditional Arabic" w:hint="cs"/>
          <w:color w:val="000000"/>
          <w:sz w:val="24"/>
          <w:szCs w:val="28"/>
          <w:rtl/>
        </w:rPr>
        <w:t xml:space="preserve">( </w:t>
      </w:r>
      <w:r w:rsidRPr="00DC0143">
        <w:rPr>
          <w:rFonts w:cs="Traditional Arabic" w:hint="cs"/>
          <w:color w:val="000000"/>
          <w:sz w:val="24"/>
          <w:szCs w:val="28"/>
          <w:rtl/>
        </w:rPr>
        <w:t>انظر مثلين لذلك في المادة 645 وتناول رهن ما باعه المريض مرض الموت</w:t>
      </w:r>
      <w:r>
        <w:rPr>
          <w:rFonts w:cs="Traditional Arabic" w:hint="cs"/>
          <w:color w:val="000000"/>
          <w:sz w:val="24"/>
          <w:szCs w:val="28"/>
          <w:rtl/>
        </w:rPr>
        <w:t xml:space="preserve"> ،</w:t>
      </w:r>
      <w:r w:rsidRPr="00DC0143">
        <w:rPr>
          <w:rFonts w:cs="Traditional Arabic" w:hint="cs"/>
          <w:color w:val="000000"/>
          <w:sz w:val="24"/>
          <w:szCs w:val="28"/>
          <w:rtl/>
        </w:rPr>
        <w:t xml:space="preserve"> والمادة 1352 وتتناول رهن ما يجاوز نصاب الوصية</w:t>
      </w:r>
      <w:r>
        <w:rPr>
          <w:rFonts w:cs="Traditional Arabic" w:hint="cs"/>
          <w:color w:val="000000"/>
          <w:sz w:val="24"/>
          <w:szCs w:val="28"/>
          <w:rtl/>
        </w:rPr>
        <w:t xml:space="preserve"> ) ،</w:t>
      </w:r>
      <w:r w:rsidRPr="00DC0143">
        <w:rPr>
          <w:rFonts w:cs="Traditional Arabic" w:hint="cs"/>
          <w:color w:val="000000"/>
          <w:sz w:val="24"/>
          <w:szCs w:val="28"/>
          <w:rtl/>
        </w:rPr>
        <w:t xml:space="preserve"> على أن يكون الدائن المرتهن حسن النية وقت الرهن </w:t>
      </w:r>
      <w:r>
        <w:rPr>
          <w:rFonts w:cs="Traditional Arabic" w:hint="cs"/>
          <w:color w:val="000000"/>
          <w:sz w:val="24"/>
          <w:szCs w:val="28"/>
          <w:rtl/>
        </w:rPr>
        <w:t xml:space="preserve"> . . .</w:t>
      </w:r>
      <w:r w:rsidRPr="00DC0143">
        <w:rPr>
          <w:rFonts w:cs="Traditional Arabic" w:hint="cs"/>
          <w:color w:val="000000"/>
          <w:sz w:val="24"/>
          <w:szCs w:val="28"/>
          <w:rtl/>
        </w:rPr>
        <w:t xml:space="preserve"> وفي الأحوال التي يصح فيها الرهن الصادر من غير مالك </w:t>
      </w:r>
      <w:r>
        <w:rPr>
          <w:rFonts w:cs="Traditional Arabic" w:hint="cs"/>
          <w:color w:val="000000"/>
          <w:sz w:val="24"/>
          <w:szCs w:val="28"/>
          <w:rtl/>
        </w:rPr>
        <w:t xml:space="preserve">( </w:t>
      </w:r>
      <w:r w:rsidRPr="00DC0143">
        <w:rPr>
          <w:rFonts w:cs="Traditional Arabic" w:hint="cs"/>
          <w:color w:val="000000"/>
          <w:sz w:val="24"/>
          <w:szCs w:val="28"/>
          <w:rtl/>
        </w:rPr>
        <w:t>وهي الأحوال المتقدمة الذكر</w:t>
      </w:r>
      <w:r>
        <w:rPr>
          <w:rFonts w:cs="Traditional Arabic" w:hint="cs"/>
          <w:color w:val="000000"/>
          <w:sz w:val="24"/>
          <w:szCs w:val="28"/>
          <w:rtl/>
        </w:rPr>
        <w:t xml:space="preserve"> ) ،</w:t>
      </w:r>
      <w:r w:rsidRPr="00DC0143">
        <w:rPr>
          <w:rFonts w:cs="Traditional Arabic" w:hint="cs"/>
          <w:color w:val="000000"/>
          <w:sz w:val="24"/>
          <w:szCs w:val="28"/>
          <w:rtl/>
        </w:rPr>
        <w:t xml:space="preserve"> يمكن القول إن غير المالك الذي صدر منه الرهن هو نائب عن المالك نيابة قانونية تبررها حماية الدائن المرتهن حسن النية</w:t>
      </w:r>
      <w:r>
        <w:rPr>
          <w:rFonts w:cs="Traditional Arabic" w:hint="cs"/>
          <w:color w:val="000000"/>
          <w:sz w:val="24"/>
          <w:szCs w:val="28"/>
          <w:rtl/>
        </w:rPr>
        <w:t xml:space="preserve"> .</w:t>
      </w:r>
      <w:r w:rsidRPr="00DC0143">
        <w:rPr>
          <w:rFonts w:cs="Traditional Arabic" w:hint="cs"/>
          <w:color w:val="000000"/>
          <w:sz w:val="24"/>
          <w:szCs w:val="28"/>
          <w:rtl/>
        </w:rPr>
        <w:t xml:space="preserve"> أو يقال إن الرهن الرسمي</w:t>
      </w:r>
      <w:r>
        <w:rPr>
          <w:rFonts w:cs="Traditional Arabic" w:hint="cs"/>
          <w:color w:val="000000"/>
          <w:sz w:val="24"/>
          <w:szCs w:val="28"/>
          <w:rtl/>
        </w:rPr>
        <w:t xml:space="preserve"> ،</w:t>
      </w:r>
      <w:r w:rsidRPr="00DC0143">
        <w:rPr>
          <w:rFonts w:cs="Traditional Arabic" w:hint="cs"/>
          <w:color w:val="000000"/>
          <w:sz w:val="24"/>
          <w:szCs w:val="28"/>
          <w:rtl/>
        </w:rPr>
        <w:t xml:space="preserve"> كما يكسب بالعقد</w:t>
      </w:r>
      <w:r>
        <w:rPr>
          <w:rFonts w:cs="Traditional Arabic" w:hint="cs"/>
          <w:color w:val="000000"/>
          <w:sz w:val="24"/>
          <w:szCs w:val="28"/>
          <w:rtl/>
        </w:rPr>
        <w:t xml:space="preserve"> ،</w:t>
      </w:r>
      <w:r w:rsidRPr="00DC0143">
        <w:rPr>
          <w:rFonts w:cs="Traditional Arabic" w:hint="cs"/>
          <w:color w:val="000000"/>
          <w:sz w:val="24"/>
          <w:szCs w:val="28"/>
          <w:rtl/>
        </w:rPr>
        <w:t xml:space="preserve"> يكسب كذلك بالسبب الصحيح الصادر من غير المالك في أحوال معينة</w:t>
      </w:r>
      <w:r>
        <w:rPr>
          <w:rFonts w:cs="Traditional Arabic" w:hint="cs"/>
          <w:color w:val="000000"/>
          <w:sz w:val="24"/>
          <w:szCs w:val="28"/>
          <w:rtl/>
        </w:rPr>
        <w:t xml:space="preserve"> ،</w:t>
      </w:r>
      <w:r w:rsidRPr="00DC0143">
        <w:rPr>
          <w:rFonts w:cs="Traditional Arabic" w:hint="cs"/>
          <w:color w:val="000000"/>
          <w:sz w:val="24"/>
          <w:szCs w:val="28"/>
          <w:rtl/>
        </w:rPr>
        <w:t xml:space="preserve"> إذا اقترن السبب الصحيح بحسن النية</w:t>
      </w:r>
      <w:r>
        <w:rPr>
          <w:rFonts w:cs="Traditional Arabic" w:hint="cs"/>
          <w:color w:val="000000"/>
          <w:sz w:val="24"/>
          <w:szCs w:val="28"/>
          <w:rtl/>
        </w:rPr>
        <w:t xml:space="preserve"> .</w:t>
      </w:r>
      <w:r w:rsidRPr="00DC0143">
        <w:rPr>
          <w:rFonts w:cs="Traditional Arabic" w:hint="cs"/>
          <w:color w:val="000000"/>
          <w:sz w:val="24"/>
          <w:szCs w:val="28"/>
          <w:rtl/>
        </w:rPr>
        <w:t xml:space="preserve"> وعلى كل حال يجب اعتبار المالك الحقيقي للعقار لا الشخص الذي يصدر منه الرهن</w:t>
      </w:r>
      <w:r>
        <w:rPr>
          <w:rFonts w:cs="Traditional Arabic" w:hint="cs"/>
          <w:color w:val="000000"/>
          <w:sz w:val="24"/>
          <w:szCs w:val="28"/>
          <w:rtl/>
        </w:rPr>
        <w:t xml:space="preserve"> ،</w:t>
      </w:r>
      <w:r w:rsidRPr="00DC0143">
        <w:rPr>
          <w:rFonts w:cs="Traditional Arabic" w:hint="cs"/>
          <w:color w:val="000000"/>
          <w:sz w:val="24"/>
          <w:szCs w:val="28"/>
          <w:rtl/>
        </w:rPr>
        <w:t xml:space="preserve"> هو الراهن</w:t>
      </w:r>
      <w:r>
        <w:rPr>
          <w:rFonts w:cs="Traditional Arabic" w:hint="cs"/>
          <w:color w:val="000000"/>
          <w:sz w:val="24"/>
          <w:szCs w:val="28"/>
          <w:rtl/>
        </w:rPr>
        <w:t xml:space="preserve"> ،</w:t>
      </w:r>
      <w:r w:rsidRPr="00DC0143">
        <w:rPr>
          <w:rFonts w:cs="Traditional Arabic" w:hint="cs"/>
          <w:color w:val="000000"/>
          <w:sz w:val="24"/>
          <w:szCs w:val="28"/>
          <w:rtl/>
        </w:rPr>
        <w:t xml:space="preserve"> وهو الذي يتخذ المرتهن ضده إجراءات نزع الملكية</w:t>
      </w:r>
      <w:r>
        <w:rPr>
          <w:rFonts w:cs="Traditional Arabic" w:hint="cs"/>
          <w:color w:val="000000"/>
          <w:sz w:val="24"/>
          <w:szCs w:val="28"/>
          <w:rtl/>
        </w:rPr>
        <w:t xml:space="preserve"> ،</w:t>
      </w:r>
      <w:r w:rsidRPr="00DC0143">
        <w:rPr>
          <w:rFonts w:cs="Traditional Arabic" w:hint="cs"/>
          <w:color w:val="000000"/>
          <w:sz w:val="24"/>
          <w:szCs w:val="28"/>
          <w:rtl/>
        </w:rPr>
        <w:t xml:space="preserve"> أو يستمر في اتخاذها إذا كان قد بدأ هذه الإجراءات في من صدر منه الرهن</w:t>
      </w:r>
      <w:r>
        <w:rPr>
          <w:rFonts w:cs="Traditional Arabic" w:hint="cs"/>
          <w:color w:val="000000"/>
          <w:sz w:val="24"/>
          <w:szCs w:val="28"/>
          <w:rtl/>
        </w:rPr>
        <w:t xml:space="preserve"> .</w:t>
      </w:r>
      <w:r w:rsidRPr="00DC0143">
        <w:rPr>
          <w:rFonts w:cs="Traditional Arabic" w:hint="cs"/>
          <w:color w:val="000000"/>
          <w:sz w:val="24"/>
          <w:szCs w:val="28"/>
          <w:rtl/>
        </w:rPr>
        <w:t xml:space="preserve"> ويلاحظ في هذا الصدد أن الشخص قد يجد عقاره مرهونا في دين ليس في ذمته</w:t>
      </w:r>
      <w:r>
        <w:rPr>
          <w:rFonts w:cs="Traditional Arabic" w:hint="cs"/>
          <w:color w:val="000000"/>
          <w:sz w:val="24"/>
          <w:szCs w:val="28"/>
          <w:rtl/>
        </w:rPr>
        <w:t xml:space="preserve"> ،</w:t>
      </w:r>
      <w:r w:rsidRPr="00DC0143">
        <w:rPr>
          <w:rFonts w:cs="Traditional Arabic" w:hint="cs"/>
          <w:color w:val="000000"/>
          <w:sz w:val="24"/>
          <w:szCs w:val="28"/>
          <w:rtl/>
        </w:rPr>
        <w:t xml:space="preserve"> ويتدرج مركز هذا المالك من شخص هو الذي رتب الرهن وهذا هو الكفيل العيني</w:t>
      </w:r>
      <w:r>
        <w:rPr>
          <w:rFonts w:cs="Traditional Arabic" w:hint="cs"/>
          <w:color w:val="000000"/>
          <w:sz w:val="24"/>
          <w:szCs w:val="28"/>
          <w:rtl/>
        </w:rPr>
        <w:t xml:space="preserve"> ،</w:t>
      </w:r>
      <w:r w:rsidRPr="00DC0143">
        <w:rPr>
          <w:rFonts w:cs="Traditional Arabic" w:hint="cs"/>
          <w:color w:val="000000"/>
          <w:sz w:val="24"/>
          <w:szCs w:val="28"/>
          <w:rtl/>
        </w:rPr>
        <w:t xml:space="preserve"> إلى شخص لم يترتب الرهن ولكن الرهن نشأ والعقار في ملكيته وهذا هو مركز المالك الذي يسري في حقه الرهن الصادر من غير مالك كما في الفرض المتقدم</w:t>
      </w:r>
      <w:r>
        <w:rPr>
          <w:rFonts w:cs="Traditional Arabic" w:hint="cs"/>
          <w:color w:val="000000"/>
          <w:sz w:val="24"/>
          <w:szCs w:val="28"/>
          <w:rtl/>
        </w:rPr>
        <w:t xml:space="preserve"> ،</w:t>
      </w:r>
      <w:r w:rsidRPr="00DC0143">
        <w:rPr>
          <w:rFonts w:cs="Traditional Arabic" w:hint="cs"/>
          <w:color w:val="000000"/>
          <w:sz w:val="24"/>
          <w:szCs w:val="28"/>
          <w:rtl/>
        </w:rPr>
        <w:t xml:space="preserve"> إلى شخص لم يرتب الرهن ولم ينشأ الرهن والعقار في ملكيته بل انتقلت إليه ملكية العقار وهو مرهون وهذا هو الحائز للعقار</w:t>
      </w:r>
      <w:r>
        <w:rPr>
          <w:rFonts w:cs="Traditional Arabic" w:hint="cs"/>
          <w:color w:val="000000"/>
          <w:sz w:val="24"/>
          <w:szCs w:val="28"/>
          <w:rtl/>
        </w:rPr>
        <w:t xml:space="preserve"> .</w:t>
      </w:r>
      <w:r w:rsidRPr="00DC0143">
        <w:rPr>
          <w:rFonts w:cs="Traditional Arabic" w:hint="cs"/>
          <w:color w:val="000000"/>
          <w:sz w:val="24"/>
          <w:szCs w:val="28"/>
          <w:rtl/>
        </w:rPr>
        <w:t xml:space="preserve"> ويحسن تمييز هذه الحالات بعضها عن بعض</w:t>
      </w:r>
      <w:r>
        <w:rPr>
          <w:rFonts w:cs="Traditional Arabic" w:hint="cs"/>
          <w:color w:val="000000"/>
          <w:sz w:val="24"/>
          <w:szCs w:val="28"/>
          <w:rtl/>
        </w:rPr>
        <w:t xml:space="preserve"> ،</w:t>
      </w:r>
      <w:r w:rsidRPr="00DC0143">
        <w:rPr>
          <w:rFonts w:cs="Traditional Arabic" w:hint="cs"/>
          <w:color w:val="000000"/>
          <w:sz w:val="24"/>
          <w:szCs w:val="28"/>
          <w:rtl/>
        </w:rPr>
        <w:t xml:space="preserve"> فقد تختلف الأحكام التي تطبق في كل حالة"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19 </w:t>
      </w:r>
      <w:r w:rsidRPr="00DC0143">
        <w:rPr>
          <w:rFonts w:cs="Traditional Arabic"/>
          <w:color w:val="000000"/>
          <w:sz w:val="24"/>
          <w:szCs w:val="28"/>
          <w:rtl/>
        </w:rPr>
        <w:t>–</w:t>
      </w:r>
      <w:r w:rsidRPr="00DC0143">
        <w:rPr>
          <w:rFonts w:cs="Traditional Arabic" w:hint="cs"/>
          <w:color w:val="000000"/>
          <w:sz w:val="24"/>
          <w:szCs w:val="28"/>
          <w:rtl/>
        </w:rPr>
        <w:t xml:space="preserve"> ص 20</w:t>
      </w:r>
      <w:r>
        <w:rPr>
          <w:rFonts w:cs="Traditional Arabic" w:hint="cs"/>
          <w:color w:val="000000"/>
          <w:sz w:val="24"/>
          <w:szCs w:val="28"/>
          <w:rtl/>
        </w:rPr>
        <w:t xml:space="preserve"> ) .</w:t>
      </w:r>
    </w:p>
  </w:footnote>
  <w:footnote w:id="70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شفيق شحاته ص 88</w:t>
      </w:r>
      <w:r>
        <w:rPr>
          <w:rFonts w:cs="Traditional Arabic" w:hint="cs"/>
          <w:color w:val="000000"/>
          <w:sz w:val="24"/>
          <w:szCs w:val="28"/>
          <w:rtl/>
        </w:rPr>
        <w:t xml:space="preserve"> .</w:t>
      </w:r>
    </w:p>
  </w:footnote>
  <w:footnote w:id="70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23 ص 76 </w:t>
      </w:r>
      <w:r w:rsidRPr="00DC0143">
        <w:rPr>
          <w:rFonts w:cs="Traditional Arabic"/>
          <w:color w:val="000000"/>
          <w:sz w:val="24"/>
          <w:szCs w:val="28"/>
          <w:rtl/>
        </w:rPr>
        <w:t>–</w:t>
      </w:r>
      <w:r w:rsidRPr="00DC0143">
        <w:rPr>
          <w:rFonts w:cs="Traditional Arabic" w:hint="cs"/>
          <w:color w:val="000000"/>
          <w:sz w:val="24"/>
          <w:szCs w:val="28"/>
          <w:rtl/>
        </w:rPr>
        <w:t xml:space="preserve"> ص 77 </w:t>
      </w:r>
      <w:r w:rsidRPr="00DC0143">
        <w:rPr>
          <w:rFonts w:cs="Traditional Arabic"/>
          <w:color w:val="000000"/>
          <w:sz w:val="24"/>
          <w:szCs w:val="28"/>
          <w:rtl/>
        </w:rPr>
        <w:t>–</w:t>
      </w:r>
      <w:r w:rsidRPr="00DC0143">
        <w:rPr>
          <w:rFonts w:cs="Traditional Arabic" w:hint="cs"/>
          <w:color w:val="000000"/>
          <w:sz w:val="24"/>
          <w:szCs w:val="28"/>
          <w:rtl/>
        </w:rPr>
        <w:t xml:space="preserve"> وقد كان المشروع التمهيدي للتقنين المدني الجديد يجيز الرهن الصادر من غير المالك إذا وضع يده خمس سنوات متواليات على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إذا كانت هذه السنوات سابقة مباشرة على الرهن</w:t>
      </w:r>
      <w:r>
        <w:rPr>
          <w:rFonts w:cs="Traditional Arabic" w:hint="cs"/>
          <w:color w:val="000000"/>
          <w:sz w:val="24"/>
          <w:szCs w:val="28"/>
          <w:rtl/>
        </w:rPr>
        <w:t xml:space="preserve"> ،</w:t>
      </w:r>
      <w:r w:rsidRPr="00DC0143">
        <w:rPr>
          <w:rFonts w:cs="Traditional Arabic" w:hint="cs"/>
          <w:color w:val="000000"/>
          <w:sz w:val="24"/>
          <w:szCs w:val="28"/>
          <w:rtl/>
        </w:rPr>
        <w:t xml:space="preserve"> وأثبت الدائن المرتهن أن لديه أسبابا معقولة كانت تجعله يعتقد أن الراهن مالك للعقار المرهون </w:t>
      </w:r>
      <w:r>
        <w:rPr>
          <w:rFonts w:cs="Traditional Arabic" w:hint="cs"/>
          <w:color w:val="000000"/>
          <w:sz w:val="24"/>
          <w:szCs w:val="28"/>
          <w:rtl/>
        </w:rPr>
        <w:t xml:space="preserve">( </w:t>
      </w:r>
      <w:r w:rsidRPr="00DC0143">
        <w:rPr>
          <w:rFonts w:cs="Traditional Arabic" w:hint="cs"/>
          <w:color w:val="000000"/>
          <w:sz w:val="24"/>
          <w:szCs w:val="28"/>
          <w:rtl/>
        </w:rPr>
        <w:t>انظر أيضاً في هذا المعنى م 79 مكررة / 107 من التقنين المدني السابق</w:t>
      </w:r>
      <w:r>
        <w:rPr>
          <w:rFonts w:cs="Traditional Arabic" w:hint="cs"/>
          <w:color w:val="000000"/>
          <w:sz w:val="24"/>
          <w:szCs w:val="28"/>
          <w:rtl/>
        </w:rPr>
        <w:t xml:space="preserve"> ) .</w:t>
      </w:r>
      <w:r w:rsidRPr="00DC0143">
        <w:rPr>
          <w:rFonts w:cs="Traditional Arabic" w:hint="cs"/>
          <w:color w:val="000000"/>
          <w:sz w:val="24"/>
          <w:szCs w:val="28"/>
          <w:rtl/>
        </w:rPr>
        <w:t xml:space="preserve"> ولكن لجنة المراجعة حذفت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"لأن حكم متطرف في محالفة القواعد العامة لغير مسوغ" </w:t>
      </w:r>
      <w:r>
        <w:rPr>
          <w:rFonts w:cs="Traditional Arabic" w:hint="cs"/>
          <w:color w:val="000000"/>
          <w:sz w:val="24"/>
          <w:szCs w:val="28"/>
          <w:rtl/>
        </w:rPr>
        <w:t xml:space="preserve">( </w:t>
      </w:r>
      <w:r w:rsidRPr="00DC0143">
        <w:rPr>
          <w:rFonts w:cs="Traditional Arabic" w:hint="cs"/>
          <w:color w:val="000000"/>
          <w:sz w:val="24"/>
          <w:szCs w:val="28"/>
          <w:rtl/>
        </w:rPr>
        <w:t xml:space="preserve">انظر آنفاً فقرة 143 في الهامش </w:t>
      </w:r>
      <w:r w:rsidRPr="00DC0143">
        <w:rPr>
          <w:rFonts w:cs="Traditional Arabic"/>
          <w:color w:val="000000"/>
          <w:sz w:val="24"/>
          <w:szCs w:val="28"/>
          <w:rtl/>
        </w:rPr>
        <w:t>–</w:t>
      </w:r>
      <w:r w:rsidRPr="00DC0143">
        <w:rPr>
          <w:rFonts w:cs="Traditional Arabic" w:hint="cs"/>
          <w:color w:val="000000"/>
          <w:sz w:val="24"/>
          <w:szCs w:val="28"/>
          <w:rtl/>
        </w:rPr>
        <w:t xml:space="preserve"> وانظر أيضاً هذا الحكم في التقنين المدني السابق في سليمان مرقس فقرة 54</w:t>
      </w:r>
      <w:r>
        <w:rPr>
          <w:rFonts w:cs="Traditional Arabic" w:hint="cs"/>
          <w:color w:val="000000"/>
          <w:sz w:val="24"/>
          <w:szCs w:val="28"/>
          <w:rtl/>
        </w:rPr>
        <w:t xml:space="preserve"> ) .</w:t>
      </w:r>
    </w:p>
  </w:footnote>
  <w:footnote w:id="70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1446 من المشروع التمهيدي على وجه مطابق لما استقر لعيه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فيما عدا أن المشروع التمهيدي لم يكن يتضمن النص بأن يكون تعيين القدر الذي ينتقل إليه الرهن بأمر على عريضة</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أضيف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1134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المادة تحت رقم 1120</w:t>
      </w:r>
      <w:r>
        <w:rPr>
          <w:rFonts w:cs="Traditional Arabic" w:hint="cs"/>
          <w:color w:val="000000"/>
          <w:sz w:val="24"/>
          <w:szCs w:val="28"/>
          <w:rtl/>
        </w:rPr>
        <w:t xml:space="preserve"> ،</w:t>
      </w:r>
      <w:r w:rsidRPr="00DC0143">
        <w:rPr>
          <w:rFonts w:cs="Traditional Arabic" w:hint="cs"/>
          <w:color w:val="000000"/>
          <w:sz w:val="24"/>
          <w:szCs w:val="28"/>
          <w:rtl/>
        </w:rPr>
        <w:t xml:space="preserve"> ثم وافق عليها مجلس الشيوخ تحت رقم 1039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29 </w:t>
      </w:r>
      <w:r w:rsidRPr="00DC0143">
        <w:rPr>
          <w:rFonts w:cs="Traditional Arabic"/>
          <w:color w:val="000000"/>
          <w:sz w:val="24"/>
          <w:szCs w:val="28"/>
          <w:rtl/>
        </w:rPr>
        <w:t>–</w:t>
      </w:r>
      <w:r w:rsidRPr="00DC0143">
        <w:rPr>
          <w:rFonts w:cs="Traditional Arabic" w:hint="cs"/>
          <w:color w:val="000000"/>
          <w:sz w:val="24"/>
          <w:szCs w:val="28"/>
          <w:rtl/>
        </w:rPr>
        <w:t xml:space="preserve"> ص 32</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u w:val="single"/>
          <w:rtl/>
        </w:rPr>
      </w:pPr>
      <w:r w:rsidRPr="00DC0143">
        <w:rPr>
          <w:rFonts w:cs="Traditional Arabic" w:hint="cs"/>
          <w:color w:val="000000"/>
          <w:sz w:val="24"/>
          <w:szCs w:val="28"/>
          <w:rtl/>
        </w:rPr>
        <w:t>ولا مقابل للنص في التقنين المدني السابق</w:t>
      </w:r>
      <w:r>
        <w:rPr>
          <w:rFonts w:cs="Traditional Arabic" w:hint="cs"/>
          <w:color w:val="000000"/>
          <w:sz w:val="24"/>
          <w:szCs w:val="28"/>
          <w:rtl/>
        </w:rPr>
        <w:t xml:space="preserve"> .</w:t>
      </w:r>
    </w:p>
  </w:footnote>
  <w:footnote w:id="70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144</w:t>
      </w:r>
      <w:r>
        <w:rPr>
          <w:rFonts w:cs="Traditional Arabic" w:hint="cs"/>
          <w:color w:val="000000"/>
          <w:sz w:val="24"/>
          <w:szCs w:val="28"/>
          <w:rtl/>
        </w:rPr>
        <w:t xml:space="preserve"> .</w:t>
      </w:r>
    </w:p>
  </w:footnote>
  <w:footnote w:id="70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نقض فرنسي 12 يناير سنة 1909 داللوز 1910 </w:t>
      </w:r>
      <w:r w:rsidRPr="00DC0143">
        <w:rPr>
          <w:rFonts w:cs="Traditional Arabic"/>
          <w:color w:val="000000"/>
          <w:sz w:val="24"/>
          <w:szCs w:val="28"/>
          <w:rtl/>
        </w:rPr>
        <w:t>–</w:t>
      </w:r>
      <w:r w:rsidRPr="00DC0143">
        <w:rPr>
          <w:rFonts w:cs="Traditional Arabic" w:hint="cs"/>
          <w:color w:val="000000"/>
          <w:sz w:val="24"/>
          <w:szCs w:val="28"/>
          <w:rtl/>
        </w:rPr>
        <w:t xml:space="preserve"> 1- 33</w:t>
      </w:r>
      <w:r>
        <w:rPr>
          <w:rFonts w:cs="Traditional Arabic" w:hint="cs"/>
          <w:color w:val="000000"/>
          <w:sz w:val="24"/>
          <w:szCs w:val="28"/>
          <w:rtl/>
        </w:rPr>
        <w:t xml:space="preserve"> .</w:t>
      </w:r>
    </w:p>
  </w:footnote>
  <w:footnote w:id="70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ورد في المذكرة الإيضاحية للمشروع التمهيدي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"ويتبين مما تقدم أن المروع لجأ إلى تطبيق مبدأ الحلول العيني فيسر كثيرا من أمر الرهن في الشيوع</w:t>
      </w:r>
      <w:r>
        <w:rPr>
          <w:rFonts w:cs="Traditional Arabic" w:hint="cs"/>
          <w:color w:val="000000"/>
          <w:sz w:val="24"/>
          <w:szCs w:val="28"/>
          <w:rtl/>
        </w:rPr>
        <w:t xml:space="preserve"> ،</w:t>
      </w:r>
      <w:r w:rsidRPr="00DC0143">
        <w:rPr>
          <w:rFonts w:cs="Traditional Arabic" w:hint="cs"/>
          <w:color w:val="000000"/>
          <w:sz w:val="24"/>
          <w:szCs w:val="28"/>
          <w:rtl/>
        </w:rPr>
        <w:t xml:space="preserve"> ولم يقتصر على ذلك بل أضاف حكما نقله عن التقنين الفرنسي</w:t>
      </w:r>
      <w:r>
        <w:rPr>
          <w:rFonts w:cs="Traditional Arabic" w:hint="cs"/>
          <w:color w:val="000000"/>
          <w:sz w:val="24"/>
          <w:szCs w:val="28"/>
          <w:rtl/>
        </w:rPr>
        <w:t xml:space="preserve"> ،</w:t>
      </w:r>
      <w:r w:rsidRPr="00DC0143">
        <w:rPr>
          <w:rFonts w:cs="Traditional Arabic" w:hint="cs"/>
          <w:color w:val="000000"/>
          <w:sz w:val="24"/>
          <w:szCs w:val="28"/>
          <w:rtl/>
        </w:rPr>
        <w:t xml:space="preserve"> فقرر أن الرهن إذا صدر من جميع الملاك على الشيوع كان صحيحا</w:t>
      </w:r>
      <w:r>
        <w:rPr>
          <w:rFonts w:cs="Traditional Arabic" w:hint="cs"/>
          <w:color w:val="000000"/>
          <w:sz w:val="24"/>
          <w:szCs w:val="28"/>
          <w:rtl/>
        </w:rPr>
        <w:t xml:space="preserve"> ،</w:t>
      </w:r>
      <w:r w:rsidRPr="00DC0143">
        <w:rPr>
          <w:rFonts w:cs="Traditional Arabic" w:hint="cs"/>
          <w:color w:val="000000"/>
          <w:sz w:val="24"/>
          <w:szCs w:val="28"/>
          <w:rtl/>
        </w:rPr>
        <w:t xml:space="preserve"> حتى لو وقع المال بعد ذلك في نصيب واحد منهم</w:t>
      </w:r>
      <w:r>
        <w:rPr>
          <w:rFonts w:cs="Traditional Arabic" w:hint="cs"/>
          <w:color w:val="000000"/>
          <w:sz w:val="24"/>
          <w:szCs w:val="28"/>
          <w:rtl/>
        </w:rPr>
        <w:t xml:space="preserve"> ،</w:t>
      </w:r>
      <w:r w:rsidRPr="00DC0143">
        <w:rPr>
          <w:rFonts w:cs="Traditional Arabic" w:hint="cs"/>
          <w:color w:val="000000"/>
          <w:sz w:val="24"/>
          <w:szCs w:val="28"/>
          <w:rtl/>
        </w:rPr>
        <w:t xml:space="preserve"> أو بيع لأجنبي لعدم إمكان القسمة"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31</w:t>
      </w:r>
      <w:r>
        <w:rPr>
          <w:rFonts w:cs="Traditional Arabic" w:hint="cs"/>
          <w:color w:val="000000"/>
          <w:sz w:val="24"/>
          <w:szCs w:val="28"/>
          <w:rtl/>
        </w:rPr>
        <w:t xml:space="preserve"> ) .</w:t>
      </w:r>
    </w:p>
  </w:footnote>
  <w:footnote w:id="70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إسماعيل غانم في الحقوق العينية الأصلية 1 فقرة 65 </w:t>
      </w:r>
      <w:r w:rsidRPr="00DC0143">
        <w:rPr>
          <w:rFonts w:cs="Traditional Arabic"/>
          <w:color w:val="000000"/>
          <w:sz w:val="24"/>
          <w:szCs w:val="28"/>
          <w:rtl/>
        </w:rPr>
        <w:t>–</w:t>
      </w:r>
      <w:r w:rsidRPr="00DC0143">
        <w:rPr>
          <w:rFonts w:cs="Traditional Arabic" w:hint="cs"/>
          <w:color w:val="000000"/>
          <w:sz w:val="24"/>
          <w:szCs w:val="28"/>
          <w:rtl/>
        </w:rPr>
        <w:t xml:space="preserve"> حسن كيرة في الحقوق العينية الأصلية 1 فقرة 118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50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20 ص 51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25 ص 83 </w:t>
      </w:r>
      <w:r w:rsidRPr="00DC0143">
        <w:rPr>
          <w:rFonts w:cs="Traditional Arabic"/>
          <w:color w:val="000000"/>
          <w:sz w:val="24"/>
          <w:szCs w:val="28"/>
          <w:rtl/>
        </w:rPr>
        <w:t>–</w:t>
      </w:r>
      <w:r w:rsidRPr="00DC0143">
        <w:rPr>
          <w:rFonts w:cs="Traditional Arabic" w:hint="cs"/>
          <w:color w:val="000000"/>
          <w:sz w:val="24"/>
          <w:szCs w:val="28"/>
          <w:rtl/>
        </w:rPr>
        <w:t xml:space="preserve"> ص 84</w:t>
      </w:r>
      <w:r>
        <w:rPr>
          <w:rFonts w:cs="Traditional Arabic" w:hint="cs"/>
          <w:color w:val="000000"/>
          <w:sz w:val="24"/>
          <w:szCs w:val="28"/>
          <w:rtl/>
        </w:rPr>
        <w:t xml:space="preserve"> .</w:t>
      </w:r>
    </w:p>
  </w:footnote>
  <w:footnote w:id="70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سليمان مرقس فقرة 50 ص 83</w:t>
      </w:r>
      <w:r>
        <w:rPr>
          <w:rFonts w:cs="Traditional Arabic" w:hint="cs"/>
          <w:color w:val="000000"/>
          <w:sz w:val="24"/>
          <w:szCs w:val="28"/>
          <w:rtl/>
        </w:rPr>
        <w:t xml:space="preserve"> .</w:t>
      </w:r>
    </w:p>
  </w:footnote>
  <w:footnote w:id="70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إسماعيل غانم في الحقوق العينية الأصلية فقرة 74 ص 161 </w:t>
      </w:r>
      <w:r w:rsidRPr="00DC0143">
        <w:rPr>
          <w:rFonts w:cs="Traditional Arabic"/>
          <w:color w:val="000000"/>
          <w:sz w:val="24"/>
          <w:szCs w:val="28"/>
          <w:rtl/>
        </w:rPr>
        <w:t>–</w:t>
      </w:r>
      <w:r w:rsidRPr="00DC0143">
        <w:rPr>
          <w:rFonts w:cs="Traditional Arabic" w:hint="cs"/>
          <w:color w:val="000000"/>
          <w:sz w:val="24"/>
          <w:szCs w:val="28"/>
          <w:rtl/>
        </w:rPr>
        <w:t xml:space="preserve"> حسن كيرة في الحقوق العينية الأصلية فقرة 118 ص 326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44 ص 108 </w:t>
      </w:r>
      <w:r w:rsidRPr="00DC0143">
        <w:rPr>
          <w:rFonts w:cs="Traditional Arabic"/>
          <w:color w:val="000000"/>
          <w:sz w:val="24"/>
          <w:szCs w:val="28"/>
          <w:rtl/>
        </w:rPr>
        <w:t>–</w:t>
      </w:r>
      <w:r w:rsidRPr="00DC0143">
        <w:rPr>
          <w:rFonts w:cs="Traditional Arabic" w:hint="cs"/>
          <w:color w:val="000000"/>
          <w:sz w:val="24"/>
          <w:szCs w:val="28"/>
          <w:rtl/>
        </w:rPr>
        <w:t xml:space="preserve"> احمد سلامة فقرة 48 ص 157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38 ص 56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10 ص 51 </w:t>
      </w:r>
      <w:r w:rsidRPr="00DC0143">
        <w:rPr>
          <w:rFonts w:cs="Traditional Arabic"/>
          <w:color w:val="000000"/>
          <w:sz w:val="24"/>
          <w:szCs w:val="28"/>
          <w:rtl/>
        </w:rPr>
        <w:t>–</w:t>
      </w:r>
      <w:r w:rsidRPr="00DC0143">
        <w:rPr>
          <w:rFonts w:cs="Traditional Arabic" w:hint="cs"/>
          <w:color w:val="000000"/>
          <w:sz w:val="24"/>
          <w:szCs w:val="28"/>
          <w:rtl/>
        </w:rPr>
        <w:t xml:space="preserve"> ص 52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25 ص 84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شفيق شحاته فقرة 110 ص 101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435 مكرر ص 555 </w:t>
      </w:r>
      <w:r w:rsidRPr="00DC0143">
        <w:rPr>
          <w:rFonts w:cs="Traditional Arabic"/>
          <w:color w:val="000000"/>
          <w:sz w:val="24"/>
          <w:szCs w:val="28"/>
          <w:rtl/>
        </w:rPr>
        <w:t>–</w:t>
      </w:r>
      <w:r w:rsidRPr="00DC0143">
        <w:rPr>
          <w:rFonts w:cs="Traditional Arabic" w:hint="cs"/>
          <w:color w:val="000000"/>
          <w:sz w:val="24"/>
          <w:szCs w:val="28"/>
          <w:rtl/>
        </w:rPr>
        <w:t xml:space="preserve"> مجمد علي إمام فقرة 328 ص 472 </w:t>
      </w:r>
      <w:r w:rsidRPr="00DC0143">
        <w:rPr>
          <w:rFonts w:cs="Traditional Arabic"/>
          <w:color w:val="000000"/>
          <w:sz w:val="24"/>
          <w:szCs w:val="28"/>
          <w:rtl/>
        </w:rPr>
        <w:t>–</w:t>
      </w:r>
      <w:r w:rsidRPr="00DC0143">
        <w:rPr>
          <w:rFonts w:cs="Traditional Arabic" w:hint="cs"/>
          <w:color w:val="000000"/>
          <w:sz w:val="24"/>
          <w:szCs w:val="28"/>
          <w:rtl/>
        </w:rPr>
        <w:t xml:space="preserve"> عبد المنعم البدراوي في الحقوق العينية الأصلية فقرة 136 ص 166- سليمان مرقس فقرة 240 ص 376</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71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منصور مصطفى منصور فقرة 20 ص 52 </w:t>
      </w:r>
      <w:r w:rsidRPr="00DC0143">
        <w:rPr>
          <w:rFonts w:cs="Traditional Arabic"/>
          <w:color w:val="000000"/>
          <w:sz w:val="24"/>
          <w:szCs w:val="28"/>
          <w:rtl/>
        </w:rPr>
        <w:t>–</w:t>
      </w:r>
      <w:r w:rsidRPr="00DC0143">
        <w:rPr>
          <w:rFonts w:cs="Traditional Arabic" w:hint="cs"/>
          <w:color w:val="000000"/>
          <w:sz w:val="24"/>
          <w:szCs w:val="28"/>
          <w:rtl/>
        </w:rPr>
        <w:t xml:space="preserve"> وقارن شمس الدين الوكيل فقرة 40 ص 109</w:t>
      </w:r>
      <w:r>
        <w:rPr>
          <w:rFonts w:cs="Traditional Arabic" w:hint="cs"/>
          <w:color w:val="000000"/>
          <w:sz w:val="24"/>
          <w:szCs w:val="28"/>
          <w:rtl/>
        </w:rPr>
        <w:t xml:space="preserve"> .</w:t>
      </w:r>
    </w:p>
  </w:footnote>
  <w:footnote w:id="71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استئناف مختلط 18 يونيه سنة </w:t>
      </w:r>
      <w:smartTag w:uri="urn:schemas-microsoft-com:office:smarttags" w:element="metricconverter">
        <w:smartTagPr>
          <w:attr w:name="ProductID" w:val="1891 م"/>
        </w:smartTagPr>
        <w:r w:rsidRPr="00DC0143">
          <w:rPr>
            <w:rFonts w:cs="Traditional Arabic" w:hint="cs"/>
            <w:color w:val="000000"/>
            <w:sz w:val="24"/>
            <w:szCs w:val="28"/>
            <w:rtl/>
          </w:rPr>
          <w:t>1891 م</w:t>
        </w:r>
      </w:smartTag>
      <w:r w:rsidRPr="00DC0143">
        <w:rPr>
          <w:rFonts w:cs="Traditional Arabic" w:hint="cs"/>
          <w:color w:val="000000"/>
          <w:sz w:val="24"/>
          <w:szCs w:val="28"/>
          <w:rtl/>
        </w:rPr>
        <w:t xml:space="preserve"> 3 ص 399 </w:t>
      </w:r>
      <w:r w:rsidRPr="00DC0143">
        <w:rPr>
          <w:rFonts w:cs="Traditional Arabic"/>
          <w:color w:val="000000"/>
          <w:sz w:val="24"/>
          <w:szCs w:val="28"/>
          <w:rtl/>
        </w:rPr>
        <w:t>–</w:t>
      </w:r>
      <w:r w:rsidRPr="00DC0143">
        <w:rPr>
          <w:rFonts w:cs="Traditional Arabic" w:hint="cs"/>
          <w:color w:val="000000"/>
          <w:sz w:val="24"/>
          <w:szCs w:val="28"/>
          <w:rtl/>
        </w:rPr>
        <w:t xml:space="preserve"> 10 يونيه سنة </w:t>
      </w:r>
      <w:smartTag w:uri="urn:schemas-microsoft-com:office:smarttags" w:element="metricconverter">
        <w:smartTagPr>
          <w:attr w:name="ProductID" w:val="1903 م"/>
        </w:smartTagPr>
        <w:r w:rsidRPr="00DC0143">
          <w:rPr>
            <w:rFonts w:cs="Traditional Arabic" w:hint="cs"/>
            <w:color w:val="000000"/>
            <w:sz w:val="24"/>
            <w:szCs w:val="28"/>
            <w:rtl/>
          </w:rPr>
          <w:t>1903 م</w:t>
        </w:r>
      </w:smartTag>
      <w:r w:rsidRPr="00DC0143">
        <w:rPr>
          <w:rFonts w:cs="Traditional Arabic" w:hint="cs"/>
          <w:color w:val="000000"/>
          <w:sz w:val="24"/>
          <w:szCs w:val="28"/>
          <w:rtl/>
        </w:rPr>
        <w:t xml:space="preserve"> 15 ص 343 </w:t>
      </w:r>
      <w:r w:rsidRPr="00DC0143">
        <w:rPr>
          <w:rFonts w:cs="Traditional Arabic"/>
          <w:color w:val="000000"/>
          <w:sz w:val="24"/>
          <w:szCs w:val="28"/>
          <w:rtl/>
        </w:rPr>
        <w:t>–</w:t>
      </w:r>
      <w:r w:rsidRPr="00DC0143">
        <w:rPr>
          <w:rFonts w:cs="Traditional Arabic" w:hint="cs"/>
          <w:color w:val="000000"/>
          <w:sz w:val="24"/>
          <w:szCs w:val="28"/>
          <w:rtl/>
        </w:rPr>
        <w:t xml:space="preserve"> 8 أبريل سنة </w:t>
      </w:r>
      <w:smartTag w:uri="urn:schemas-microsoft-com:office:smarttags" w:element="metricconverter">
        <w:smartTagPr>
          <w:attr w:name="ProductID" w:val="1914 م"/>
        </w:smartTagPr>
        <w:r w:rsidRPr="00DC0143">
          <w:rPr>
            <w:rFonts w:cs="Traditional Arabic" w:hint="cs"/>
            <w:color w:val="000000"/>
            <w:sz w:val="24"/>
            <w:szCs w:val="28"/>
            <w:rtl/>
          </w:rPr>
          <w:t>1914 م</w:t>
        </w:r>
      </w:smartTag>
      <w:r w:rsidRPr="00DC0143">
        <w:rPr>
          <w:rFonts w:cs="Traditional Arabic" w:hint="cs"/>
          <w:color w:val="000000"/>
          <w:sz w:val="24"/>
          <w:szCs w:val="28"/>
          <w:rtl/>
        </w:rPr>
        <w:t xml:space="preserve"> 26 ص 311 </w:t>
      </w:r>
      <w:r w:rsidRPr="00DC0143">
        <w:rPr>
          <w:rFonts w:cs="Traditional Arabic"/>
          <w:color w:val="000000"/>
          <w:sz w:val="24"/>
          <w:szCs w:val="28"/>
          <w:rtl/>
        </w:rPr>
        <w:t>–</w:t>
      </w:r>
      <w:r w:rsidRPr="00DC0143">
        <w:rPr>
          <w:rFonts w:cs="Traditional Arabic" w:hint="cs"/>
          <w:color w:val="000000"/>
          <w:sz w:val="24"/>
          <w:szCs w:val="28"/>
          <w:rtl/>
        </w:rPr>
        <w:t xml:space="preserve"> 4 مايو سنة </w:t>
      </w:r>
      <w:smartTag w:uri="urn:schemas-microsoft-com:office:smarttags" w:element="metricconverter">
        <w:smartTagPr>
          <w:attr w:name="ProductID" w:val="1916 م"/>
        </w:smartTagPr>
        <w:r w:rsidRPr="00DC0143">
          <w:rPr>
            <w:rFonts w:cs="Traditional Arabic" w:hint="cs"/>
            <w:color w:val="000000"/>
            <w:sz w:val="24"/>
            <w:szCs w:val="28"/>
            <w:rtl/>
          </w:rPr>
          <w:t>1916 م</w:t>
        </w:r>
      </w:smartTag>
      <w:r w:rsidRPr="00DC0143">
        <w:rPr>
          <w:rFonts w:cs="Traditional Arabic" w:hint="cs"/>
          <w:color w:val="000000"/>
          <w:sz w:val="24"/>
          <w:szCs w:val="28"/>
          <w:rtl/>
        </w:rPr>
        <w:t xml:space="preserve"> 28 ص 300 </w:t>
      </w:r>
      <w:r w:rsidRPr="00DC0143">
        <w:rPr>
          <w:rFonts w:cs="Traditional Arabic"/>
          <w:color w:val="000000"/>
          <w:sz w:val="24"/>
          <w:szCs w:val="28"/>
          <w:rtl/>
        </w:rPr>
        <w:t>–</w:t>
      </w:r>
      <w:r w:rsidRPr="00DC0143">
        <w:rPr>
          <w:rFonts w:cs="Traditional Arabic" w:hint="cs"/>
          <w:color w:val="000000"/>
          <w:sz w:val="24"/>
          <w:szCs w:val="28"/>
          <w:rtl/>
        </w:rPr>
        <w:t xml:space="preserve"> 25 يناير سنة </w:t>
      </w:r>
      <w:smartTag w:uri="urn:schemas-microsoft-com:office:smarttags" w:element="metricconverter">
        <w:smartTagPr>
          <w:attr w:name="ProductID" w:val="1940 م"/>
        </w:smartTagPr>
        <w:r w:rsidRPr="00DC0143">
          <w:rPr>
            <w:rFonts w:cs="Traditional Arabic" w:hint="cs"/>
            <w:color w:val="000000"/>
            <w:sz w:val="24"/>
            <w:szCs w:val="28"/>
            <w:rtl/>
          </w:rPr>
          <w:t>1940 م</w:t>
        </w:r>
      </w:smartTag>
      <w:r w:rsidRPr="00DC0143">
        <w:rPr>
          <w:rFonts w:cs="Traditional Arabic" w:hint="cs"/>
          <w:color w:val="000000"/>
          <w:sz w:val="24"/>
          <w:szCs w:val="28"/>
          <w:rtl/>
        </w:rPr>
        <w:t xml:space="preserve"> 52 ص 111 </w:t>
      </w:r>
      <w:r w:rsidRPr="00DC0143">
        <w:rPr>
          <w:rFonts w:cs="Traditional Arabic"/>
          <w:color w:val="000000"/>
          <w:sz w:val="24"/>
          <w:szCs w:val="28"/>
          <w:rtl/>
        </w:rPr>
        <w:t>–</w:t>
      </w:r>
      <w:r w:rsidRPr="00DC0143">
        <w:rPr>
          <w:rFonts w:cs="Traditional Arabic" w:hint="cs"/>
          <w:color w:val="000000"/>
          <w:sz w:val="24"/>
          <w:szCs w:val="28"/>
          <w:rtl/>
        </w:rPr>
        <w:t xml:space="preserve"> 15 يناير سنة </w:t>
      </w:r>
      <w:smartTag w:uri="urn:schemas-microsoft-com:office:smarttags" w:element="metricconverter">
        <w:smartTagPr>
          <w:attr w:name="ProductID" w:val="1942 م"/>
        </w:smartTagPr>
        <w:r w:rsidRPr="00DC0143">
          <w:rPr>
            <w:rFonts w:cs="Traditional Arabic" w:hint="cs"/>
            <w:color w:val="000000"/>
            <w:sz w:val="24"/>
            <w:szCs w:val="28"/>
            <w:rtl/>
          </w:rPr>
          <w:t>1942 م</w:t>
        </w:r>
      </w:smartTag>
      <w:r w:rsidRPr="00DC0143">
        <w:rPr>
          <w:rFonts w:cs="Traditional Arabic" w:hint="cs"/>
          <w:color w:val="000000"/>
          <w:sz w:val="24"/>
          <w:szCs w:val="28"/>
          <w:rtl/>
        </w:rPr>
        <w:t xml:space="preserve"> 54 ص 44</w:t>
      </w:r>
      <w:r>
        <w:rPr>
          <w:rFonts w:cs="Traditional Arabic" w:hint="cs"/>
          <w:color w:val="000000"/>
          <w:sz w:val="24"/>
          <w:szCs w:val="28"/>
          <w:rtl/>
        </w:rPr>
        <w:t xml:space="preserve"> .</w:t>
      </w:r>
    </w:p>
  </w:footnote>
  <w:footnote w:id="71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266 ص 446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1321 ص 422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423 ص 457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224 ص 336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49 ص 79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157 ص 250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20 ص 54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25 ص 90 </w:t>
      </w:r>
      <w:r w:rsidRPr="00DC0143">
        <w:rPr>
          <w:rFonts w:cs="Traditional Arabic"/>
          <w:color w:val="000000"/>
          <w:sz w:val="24"/>
          <w:szCs w:val="28"/>
          <w:rtl/>
        </w:rPr>
        <w:t>–</w:t>
      </w:r>
      <w:r w:rsidRPr="00DC0143">
        <w:rPr>
          <w:rFonts w:cs="Traditional Arabic" w:hint="cs"/>
          <w:color w:val="000000"/>
          <w:sz w:val="24"/>
          <w:szCs w:val="28"/>
          <w:rtl/>
        </w:rPr>
        <w:t xml:space="preserve"> وانظر في أن الرهن يمتد فيشمل العقار كله</w:t>
      </w:r>
      <w:r>
        <w:rPr>
          <w:rFonts w:cs="Traditional Arabic" w:hint="cs"/>
          <w:color w:val="000000"/>
          <w:sz w:val="24"/>
          <w:szCs w:val="28"/>
          <w:rtl/>
        </w:rPr>
        <w:t xml:space="preserve"> :</w:t>
      </w:r>
      <w:r w:rsidRPr="00DC0143">
        <w:rPr>
          <w:rFonts w:cs="Traditional Arabic" w:hint="cs"/>
          <w:color w:val="000000"/>
          <w:sz w:val="24"/>
          <w:szCs w:val="28"/>
          <w:rtl/>
        </w:rPr>
        <w:t xml:space="preserve"> دي باج 7 فقرة 483 ص 406 </w:t>
      </w:r>
      <w:r w:rsidRPr="00DC0143">
        <w:rPr>
          <w:rFonts w:cs="Traditional Arabic"/>
          <w:color w:val="000000"/>
          <w:sz w:val="24"/>
          <w:szCs w:val="28"/>
          <w:rtl/>
        </w:rPr>
        <w:t>–</w:t>
      </w:r>
      <w:r w:rsidRPr="00DC0143">
        <w:rPr>
          <w:rFonts w:cs="Traditional Arabic" w:hint="cs"/>
          <w:color w:val="000000"/>
          <w:sz w:val="24"/>
          <w:szCs w:val="28"/>
          <w:rtl/>
        </w:rPr>
        <w:t xml:space="preserve"> احمد سلامة فقرة 50 ص 173 </w:t>
      </w:r>
      <w:r w:rsidRPr="00DC0143">
        <w:rPr>
          <w:rFonts w:cs="Traditional Arabic"/>
          <w:color w:val="000000"/>
          <w:sz w:val="24"/>
          <w:szCs w:val="28"/>
          <w:rtl/>
        </w:rPr>
        <w:t>–</w:t>
      </w:r>
      <w:r w:rsidRPr="00DC0143">
        <w:rPr>
          <w:rFonts w:cs="Traditional Arabic" w:hint="cs"/>
          <w:color w:val="000000"/>
          <w:sz w:val="24"/>
          <w:szCs w:val="28"/>
          <w:rtl/>
        </w:rPr>
        <w:t xml:space="preserve"> وف أن الرهن يمتد إلى كل العقار فيما إذا انصرفت نية المتعاقدين إلى أن الرهن ينعقد تحت شرط وقوع العقار كله في نصيب الراهن</w:t>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وبولانجيه 3 فقرة 507 </w:t>
      </w:r>
      <w:r w:rsidRPr="00DC0143">
        <w:rPr>
          <w:rFonts w:cs="Traditional Arabic"/>
          <w:color w:val="000000"/>
          <w:sz w:val="24"/>
          <w:szCs w:val="28"/>
          <w:rtl/>
        </w:rPr>
        <w:t>–</w:t>
      </w:r>
      <w:r w:rsidRPr="00DC0143">
        <w:rPr>
          <w:rFonts w:cs="Traditional Arabic" w:hint="cs"/>
          <w:color w:val="000000"/>
          <w:sz w:val="24"/>
          <w:szCs w:val="28"/>
          <w:rtl/>
        </w:rPr>
        <w:t xml:space="preserve"> ص 191</w:t>
      </w:r>
      <w:r>
        <w:rPr>
          <w:rFonts w:cs="Traditional Arabic" w:hint="cs"/>
          <w:color w:val="000000"/>
          <w:sz w:val="24"/>
          <w:szCs w:val="28"/>
          <w:rtl/>
        </w:rPr>
        <w:t xml:space="preserve"> .</w:t>
      </w:r>
    </w:p>
  </w:footnote>
  <w:footnote w:id="71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ويتركز الرهن في هذا الجزء المفرز</w:t>
      </w:r>
      <w:r>
        <w:rPr>
          <w:rFonts w:cs="Traditional Arabic" w:hint="cs"/>
          <w:color w:val="000000"/>
          <w:sz w:val="24"/>
          <w:szCs w:val="28"/>
          <w:rtl/>
        </w:rPr>
        <w:t xml:space="preserve"> ،</w:t>
      </w:r>
      <w:r w:rsidRPr="00DC0143">
        <w:rPr>
          <w:rFonts w:cs="Traditional Arabic" w:hint="cs"/>
          <w:color w:val="000000"/>
          <w:sz w:val="24"/>
          <w:szCs w:val="28"/>
          <w:rtl/>
        </w:rPr>
        <w:t xml:space="preserve"> ويتم ذلك لا على أساس فكرة الحلول العيني وإنما هو متقضى القسمة</w:t>
      </w:r>
      <w:r>
        <w:rPr>
          <w:rFonts w:cs="Traditional Arabic" w:hint="cs"/>
          <w:color w:val="000000"/>
          <w:sz w:val="24"/>
          <w:szCs w:val="28"/>
          <w:rtl/>
        </w:rPr>
        <w:t xml:space="preserve"> :</w:t>
      </w:r>
      <w:r w:rsidRPr="00DC0143">
        <w:rPr>
          <w:rFonts w:cs="Traditional Arabic" w:hint="cs"/>
          <w:color w:val="000000"/>
          <w:sz w:val="24"/>
          <w:szCs w:val="28"/>
          <w:rtl/>
        </w:rPr>
        <w:t xml:space="preserve"> حسن كيرة في الحقوق العينية الأصلية فقرة 123 هامش 2 </w:t>
      </w:r>
      <w:r w:rsidRPr="00DC0143">
        <w:rPr>
          <w:rFonts w:cs="Traditional Arabic"/>
          <w:color w:val="000000"/>
          <w:sz w:val="24"/>
          <w:szCs w:val="28"/>
          <w:rtl/>
        </w:rPr>
        <w:t>–</w:t>
      </w:r>
      <w:r w:rsidRPr="00DC0143">
        <w:rPr>
          <w:rFonts w:cs="Traditional Arabic" w:hint="cs"/>
          <w:color w:val="000000"/>
          <w:sz w:val="24"/>
          <w:szCs w:val="28"/>
          <w:rtl/>
        </w:rPr>
        <w:t xml:space="preserve"> إسماعيل غانم في الحقوق العينية الأصلية فقرة 81 </w:t>
      </w:r>
      <w:r w:rsidRPr="00DC0143">
        <w:rPr>
          <w:rFonts w:cs="Traditional Arabic"/>
          <w:color w:val="000000"/>
          <w:sz w:val="24"/>
          <w:szCs w:val="28"/>
          <w:rtl/>
        </w:rPr>
        <w:t>–</w:t>
      </w:r>
      <w:r w:rsidRPr="00DC0143">
        <w:rPr>
          <w:rFonts w:cs="Traditional Arabic" w:hint="cs"/>
          <w:color w:val="000000"/>
          <w:sz w:val="24"/>
          <w:szCs w:val="28"/>
          <w:rtl/>
        </w:rPr>
        <w:t xml:space="preserve"> ص 183 = شمس الدين الوكيل فقرة 45 ص 112 هامش 1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39 ص 53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50 ص 173 </w:t>
      </w:r>
      <w:r w:rsidRPr="00DC0143">
        <w:rPr>
          <w:rFonts w:cs="Traditional Arabic"/>
          <w:color w:val="000000"/>
          <w:sz w:val="24"/>
          <w:szCs w:val="28"/>
          <w:rtl/>
        </w:rPr>
        <w:t>–</w:t>
      </w:r>
      <w:r w:rsidRPr="00DC0143">
        <w:rPr>
          <w:rFonts w:cs="Traditional Arabic" w:hint="cs"/>
          <w:color w:val="000000"/>
          <w:sz w:val="24"/>
          <w:szCs w:val="28"/>
          <w:rtl/>
        </w:rPr>
        <w:t xml:space="preserve"> وانظر في أن الرهن يتركز في الجزء المفرز بموج بالحول العيني فيحل الجزء المفرز كل الحصة الشائعة</w:t>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في رسالته في الحلول العيني فقرة 138</w:t>
      </w:r>
      <w:r>
        <w:rPr>
          <w:rFonts w:cs="Traditional Arabic" w:hint="cs"/>
          <w:color w:val="000000"/>
          <w:sz w:val="24"/>
          <w:szCs w:val="28"/>
          <w:rtl/>
        </w:rPr>
        <w:t xml:space="preserve"> ،</w:t>
      </w:r>
      <w:r w:rsidRPr="00DC0143">
        <w:rPr>
          <w:rFonts w:cs="Traditional Arabic" w:hint="cs"/>
          <w:color w:val="000000"/>
          <w:sz w:val="24"/>
          <w:szCs w:val="28"/>
          <w:rtl/>
        </w:rPr>
        <w:t xml:space="preserve"> ولكن انظر ما يقوله بعد ذلك من أن الرأي السائد هو أن تركز الرهن في الجزء المفرز لا يتم على أساس فكرة الحلول العيني وإنما هو متقضى القسمة</w:t>
      </w:r>
      <w:r>
        <w:rPr>
          <w:rFonts w:cs="Traditional Arabic" w:hint="cs"/>
          <w:color w:val="000000"/>
          <w:sz w:val="24"/>
          <w:szCs w:val="28"/>
          <w:rtl/>
        </w:rPr>
        <w:t xml:space="preserve"> :</w:t>
      </w:r>
      <w:r w:rsidRPr="00DC0143">
        <w:rPr>
          <w:rFonts w:cs="Traditional Arabic" w:hint="cs"/>
          <w:color w:val="000000"/>
          <w:sz w:val="24"/>
          <w:szCs w:val="28"/>
          <w:rtl/>
        </w:rPr>
        <w:t xml:space="preserve"> كتابه في التأمينات العينية فقرة 20 ص 53 وهامش 1</w:t>
      </w:r>
      <w:r>
        <w:rPr>
          <w:rFonts w:cs="Traditional Arabic" w:hint="cs"/>
          <w:color w:val="000000"/>
          <w:sz w:val="24"/>
          <w:szCs w:val="28"/>
          <w:rtl/>
        </w:rPr>
        <w:t xml:space="preserve"> .</w:t>
      </w:r>
      <w:r w:rsidRPr="00DC0143">
        <w:rPr>
          <w:rFonts w:cs="Traditional Arabic" w:hint="cs"/>
          <w:color w:val="000000"/>
          <w:sz w:val="24"/>
          <w:szCs w:val="28"/>
          <w:rtl/>
        </w:rPr>
        <w:t xml:space="preserve"> وانظر في تأييد رأي الأستاذ منصور مصطفى منصور في الحلول العيني سمير تناغر فقرة 25 ص 89 وهامش 1</w:t>
      </w:r>
      <w:r>
        <w:rPr>
          <w:rFonts w:cs="Traditional Arabic" w:hint="cs"/>
          <w:color w:val="000000"/>
          <w:sz w:val="24"/>
          <w:szCs w:val="28"/>
          <w:rtl/>
        </w:rPr>
        <w:t xml:space="preserve"> .</w:t>
      </w:r>
    </w:p>
  </w:footnote>
  <w:footnote w:id="71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أما في 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فيكون الرهن باطلا بطلانا مطلقا لأنه صادر من غير مالك </w:t>
      </w:r>
      <w:r>
        <w:rPr>
          <w:rFonts w:cs="Traditional Arabic" w:hint="cs"/>
          <w:color w:val="000000"/>
          <w:sz w:val="24"/>
          <w:szCs w:val="28"/>
          <w:rtl/>
        </w:rPr>
        <w:t xml:space="preserve">( </w:t>
      </w:r>
      <w:r w:rsidRPr="00DC0143">
        <w:rPr>
          <w:rFonts w:cs="Traditional Arabic" w:hint="cs"/>
          <w:color w:val="000000"/>
          <w:sz w:val="24"/>
          <w:szCs w:val="28"/>
          <w:rtl/>
        </w:rPr>
        <w:t>انظر سليمان مرقس فقرة 38 ص 76</w:t>
      </w:r>
      <w:r>
        <w:rPr>
          <w:rFonts w:cs="Traditional Arabic" w:hint="cs"/>
          <w:color w:val="000000"/>
          <w:sz w:val="24"/>
          <w:szCs w:val="28"/>
          <w:rtl/>
        </w:rPr>
        <w:t xml:space="preserve"> ) .</w:t>
      </w:r>
    </w:p>
  </w:footnote>
  <w:footnote w:id="71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25 ص 91</w:t>
      </w:r>
      <w:r>
        <w:rPr>
          <w:rFonts w:cs="Traditional Arabic" w:hint="cs"/>
          <w:color w:val="000000"/>
          <w:sz w:val="24"/>
          <w:szCs w:val="28"/>
          <w:rtl/>
        </w:rPr>
        <w:t xml:space="preserve"> .</w:t>
      </w:r>
    </w:p>
  </w:footnote>
  <w:footnote w:id="71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إسماعيل غانم في الحقوق العينية الأصلية فقرة 81 ص 184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45 ص 112 هامش 2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39 ص 53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25 ص 92</w:t>
      </w:r>
      <w:r>
        <w:rPr>
          <w:rFonts w:cs="Traditional Arabic" w:hint="cs"/>
          <w:color w:val="000000"/>
          <w:sz w:val="24"/>
          <w:szCs w:val="28"/>
          <w:rtl/>
        </w:rPr>
        <w:t xml:space="preserve"> .</w:t>
      </w:r>
      <w:r w:rsidRPr="00DC0143">
        <w:rPr>
          <w:rFonts w:cs="Traditional Arabic" w:hint="cs"/>
          <w:color w:val="000000"/>
          <w:sz w:val="24"/>
          <w:szCs w:val="28"/>
          <w:rtl/>
        </w:rPr>
        <w:t xml:space="preserve"> وهناك رأي يذهب إلى أن الرهن ينتقل إلى المنقول ويصبح رهن حيازة</w:t>
      </w:r>
      <w:r>
        <w:rPr>
          <w:rFonts w:cs="Traditional Arabic" w:hint="cs"/>
          <w:color w:val="000000"/>
          <w:sz w:val="24"/>
          <w:szCs w:val="28"/>
          <w:rtl/>
        </w:rPr>
        <w:t xml:space="preserve"> :</w:t>
      </w:r>
      <w:r w:rsidRPr="00DC0143">
        <w:rPr>
          <w:rFonts w:cs="Traditional Arabic" w:hint="cs"/>
          <w:color w:val="000000"/>
          <w:sz w:val="24"/>
          <w:szCs w:val="28"/>
          <w:rtl/>
        </w:rPr>
        <w:t xml:space="preserve"> احمد سلامة فقرة 49 ص 170 وفقرة 50 ص 174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20 ص 55</w:t>
      </w:r>
      <w:r>
        <w:rPr>
          <w:rFonts w:cs="Traditional Arabic" w:hint="cs"/>
          <w:color w:val="000000"/>
          <w:sz w:val="24"/>
          <w:szCs w:val="28"/>
          <w:rtl/>
        </w:rPr>
        <w:t xml:space="preserve"> .</w:t>
      </w:r>
    </w:p>
  </w:footnote>
  <w:footnote w:id="71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القانون البلجيكي في 15 أغسطس سنة 1958 </w:t>
      </w:r>
      <w:r>
        <w:rPr>
          <w:rFonts w:cs="Traditional Arabic" w:hint="cs"/>
          <w:color w:val="000000"/>
          <w:sz w:val="24"/>
          <w:szCs w:val="28"/>
          <w:rtl/>
        </w:rPr>
        <w:t xml:space="preserve">( </w:t>
      </w:r>
      <w:r w:rsidRPr="00DC0143">
        <w:rPr>
          <w:rFonts w:cs="Traditional Arabic" w:hint="cs"/>
          <w:color w:val="000000"/>
          <w:sz w:val="24"/>
          <w:szCs w:val="28"/>
          <w:rtl/>
        </w:rPr>
        <w:t>المادة 2</w:t>
      </w:r>
      <w:r>
        <w:rPr>
          <w:rFonts w:cs="Traditional Arabic" w:hint="cs"/>
          <w:color w:val="000000"/>
          <w:sz w:val="24"/>
          <w:szCs w:val="28"/>
          <w:rtl/>
        </w:rPr>
        <w:t xml:space="preserve"> ) .</w:t>
      </w:r>
      <w:r w:rsidRPr="00DC0143">
        <w:rPr>
          <w:rFonts w:cs="Traditional Arabic" w:hint="cs"/>
          <w:color w:val="000000"/>
          <w:sz w:val="24"/>
          <w:szCs w:val="28"/>
          <w:rtl/>
        </w:rPr>
        <w:t xml:space="preserve"> ويقول بيكيه إن هذا هو أفضل حل من الناحية التشريعية </w:t>
      </w:r>
      <w:r>
        <w:rPr>
          <w:rFonts w:cs="Traditional Arabic" w:hint="cs"/>
          <w:color w:val="000000"/>
          <w:sz w:val="24"/>
          <w:szCs w:val="28"/>
          <w:rtl/>
        </w:rPr>
        <w:t xml:space="preserve">( </w:t>
      </w:r>
      <w:r w:rsidRPr="00DC0143">
        <w:rPr>
          <w:rFonts w:cs="Traditional Arabic" w:hint="cs"/>
          <w:color w:val="000000"/>
          <w:sz w:val="24"/>
          <w:szCs w:val="28"/>
          <w:rtl/>
        </w:rPr>
        <w:t>بيكيه فقرة 323 ص 458</w:t>
      </w:r>
      <w:r>
        <w:rPr>
          <w:rFonts w:cs="Traditional Arabic" w:hint="cs"/>
          <w:color w:val="000000"/>
          <w:sz w:val="24"/>
          <w:szCs w:val="28"/>
          <w:rtl/>
        </w:rPr>
        <w:t xml:space="preserve"> ) .</w:t>
      </w:r>
      <w:r w:rsidRPr="00DC0143">
        <w:rPr>
          <w:rFonts w:cs="Traditional Arabic" w:hint="cs"/>
          <w:color w:val="000000"/>
          <w:sz w:val="24"/>
          <w:szCs w:val="28"/>
          <w:rtl/>
        </w:rPr>
        <w:t xml:space="preserve"> وهناك رأي يذهب إلى أنه إذا كان الدين المضمون بالرهن لم يحل</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الرسمي يؤول إلى صورة من صور رهن الدين </w:t>
      </w:r>
      <w:r>
        <w:rPr>
          <w:rFonts w:cs="Traditional Arabic" w:hint="cs"/>
          <w:color w:val="000000"/>
          <w:sz w:val="24"/>
          <w:szCs w:val="28"/>
          <w:rtl/>
        </w:rPr>
        <w:t xml:space="preserve">( </w:t>
      </w:r>
      <w:r w:rsidRPr="00DC0143">
        <w:rPr>
          <w:rFonts w:cs="Traditional Arabic" w:hint="cs"/>
          <w:color w:val="000000"/>
          <w:sz w:val="24"/>
          <w:szCs w:val="28"/>
          <w:rtl/>
        </w:rPr>
        <w:t>منصور مصطفى منصور فقرة 20 ص 55</w:t>
      </w:r>
      <w:r>
        <w:rPr>
          <w:rFonts w:cs="Traditional Arabic" w:hint="cs"/>
          <w:color w:val="000000"/>
          <w:sz w:val="24"/>
          <w:szCs w:val="28"/>
          <w:rtl/>
        </w:rPr>
        <w:t xml:space="preserve"> ) .</w:t>
      </w:r>
    </w:p>
  </w:footnote>
  <w:footnote w:id="71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145</w:t>
      </w:r>
      <w:r>
        <w:rPr>
          <w:rFonts w:cs="Traditional Arabic" w:hint="cs"/>
          <w:color w:val="000000"/>
          <w:sz w:val="24"/>
          <w:szCs w:val="28"/>
          <w:rtl/>
        </w:rPr>
        <w:t xml:space="preserve"> .</w:t>
      </w:r>
    </w:p>
  </w:footnote>
  <w:footnote w:id="71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سمير تناغر فقرة 25 ص 91</w:t>
      </w:r>
      <w:r>
        <w:rPr>
          <w:rFonts w:cs="Traditional Arabic" w:hint="cs"/>
          <w:color w:val="000000"/>
          <w:sz w:val="24"/>
          <w:szCs w:val="28"/>
          <w:rtl/>
        </w:rPr>
        <w:t xml:space="preserve"> .</w:t>
      </w:r>
    </w:p>
  </w:footnote>
  <w:footnote w:id="72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ولكن يجوز لسائر الشركاء قبل القسمة رفع دعوى الاستحقاق لتأكيد حقوقهم الشائعة في هذا الجزء المفرز</w:t>
      </w:r>
      <w:r>
        <w:rPr>
          <w:rFonts w:cs="Traditional Arabic" w:hint="cs"/>
          <w:color w:val="000000"/>
          <w:sz w:val="24"/>
          <w:szCs w:val="28"/>
          <w:rtl/>
        </w:rPr>
        <w:t xml:space="preserve"> ،</w:t>
      </w:r>
      <w:r w:rsidRPr="00DC0143">
        <w:rPr>
          <w:rFonts w:cs="Traditional Arabic" w:hint="cs"/>
          <w:color w:val="000000"/>
          <w:sz w:val="24"/>
          <w:szCs w:val="28"/>
          <w:rtl/>
        </w:rPr>
        <w:t xml:space="preserve"> ويجوز لهم إقرار الرهن فيصبح الرهن صادراً من جميع الشركاء وينفذ في حقهم جميعاً أيا كانت نتيجة القسمة </w:t>
      </w:r>
      <w:r>
        <w:rPr>
          <w:rFonts w:cs="Traditional Arabic" w:hint="cs"/>
          <w:color w:val="000000"/>
          <w:sz w:val="24"/>
          <w:szCs w:val="28"/>
          <w:rtl/>
        </w:rPr>
        <w:t xml:space="preserve">( </w:t>
      </w:r>
      <w:r w:rsidRPr="00DC0143">
        <w:rPr>
          <w:rFonts w:cs="Traditional Arabic" w:hint="cs"/>
          <w:color w:val="000000"/>
          <w:sz w:val="24"/>
          <w:szCs w:val="28"/>
          <w:rtl/>
        </w:rPr>
        <w:t xml:space="preserve">إسماعيل غانم في الحقوق العينية الأصلية 1 ص 138 </w:t>
      </w:r>
      <w:r w:rsidRPr="00DC0143">
        <w:rPr>
          <w:rFonts w:cs="Traditional Arabic"/>
          <w:color w:val="000000"/>
          <w:sz w:val="24"/>
          <w:szCs w:val="28"/>
          <w:rtl/>
        </w:rPr>
        <w:t>–</w:t>
      </w:r>
      <w:r w:rsidRPr="00DC0143">
        <w:rPr>
          <w:rFonts w:cs="Traditional Arabic" w:hint="cs"/>
          <w:color w:val="000000"/>
          <w:sz w:val="24"/>
          <w:szCs w:val="28"/>
          <w:rtl/>
        </w:rPr>
        <w:t xml:space="preserve"> حسن كيرة في الحقوق العينية الأصلية 1 ص 138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45 </w:t>
      </w:r>
      <w:r w:rsidRPr="00DC0143">
        <w:rPr>
          <w:rFonts w:cs="Traditional Arabic"/>
          <w:color w:val="000000"/>
          <w:sz w:val="24"/>
          <w:szCs w:val="28"/>
          <w:rtl/>
        </w:rPr>
        <w:t>–</w:t>
      </w:r>
      <w:r w:rsidRPr="00DC0143">
        <w:rPr>
          <w:rFonts w:cs="Traditional Arabic" w:hint="cs"/>
          <w:color w:val="000000"/>
          <w:sz w:val="24"/>
          <w:szCs w:val="28"/>
          <w:rtl/>
        </w:rPr>
        <w:t xml:space="preserve"> ص 113 </w:t>
      </w:r>
      <w:r w:rsidRPr="00DC0143">
        <w:rPr>
          <w:rFonts w:cs="Traditional Arabic"/>
          <w:color w:val="000000"/>
          <w:sz w:val="24"/>
          <w:szCs w:val="28"/>
          <w:rtl/>
        </w:rPr>
        <w:t>–</w:t>
      </w:r>
      <w:r w:rsidRPr="00DC0143">
        <w:rPr>
          <w:rFonts w:cs="Traditional Arabic" w:hint="cs"/>
          <w:color w:val="000000"/>
          <w:sz w:val="24"/>
          <w:szCs w:val="28"/>
          <w:rtl/>
        </w:rPr>
        <w:t xml:space="preserve"> أنور سلطان في البيع والمقايضة طبعة ثانية فقرة 416</w:t>
      </w:r>
      <w:r>
        <w:rPr>
          <w:rFonts w:cs="Traditional Arabic" w:hint="cs"/>
          <w:color w:val="000000"/>
          <w:sz w:val="24"/>
          <w:szCs w:val="28"/>
          <w:rtl/>
        </w:rPr>
        <w:t xml:space="preserve"> .</w:t>
      </w:r>
    </w:p>
  </w:footnote>
  <w:footnote w:id="72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4"/>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شمس الدين الوكيل فقرة 45 ص 114</w:t>
      </w:r>
      <w:r>
        <w:rPr>
          <w:rFonts w:cs="Traditional Arabic" w:hint="cs"/>
          <w:color w:val="000000"/>
          <w:sz w:val="24"/>
          <w:szCs w:val="28"/>
          <w:rtl/>
        </w:rPr>
        <w:t xml:space="preserve"> .</w:t>
      </w:r>
    </w:p>
  </w:footnote>
  <w:footnote w:id="72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شمس الدين الوكيل فقرة 45 ص 116 </w:t>
      </w:r>
      <w:r w:rsidRPr="00DC0143">
        <w:rPr>
          <w:rFonts w:cs="Traditional Arabic"/>
          <w:color w:val="000000"/>
          <w:sz w:val="24"/>
          <w:szCs w:val="28"/>
          <w:rtl/>
        </w:rPr>
        <w:t>–</w:t>
      </w:r>
      <w:r w:rsidRPr="00DC0143">
        <w:rPr>
          <w:rFonts w:cs="Traditional Arabic" w:hint="cs"/>
          <w:color w:val="000000"/>
          <w:sz w:val="24"/>
          <w:szCs w:val="28"/>
          <w:rtl/>
        </w:rPr>
        <w:t xml:space="preserve"> ص 117</w:t>
      </w:r>
      <w:r>
        <w:rPr>
          <w:rFonts w:cs="Traditional Arabic" w:hint="cs"/>
          <w:color w:val="000000"/>
          <w:sz w:val="24"/>
          <w:szCs w:val="28"/>
          <w:rtl/>
        </w:rPr>
        <w:t xml:space="preserve"> .</w:t>
      </w:r>
    </w:p>
  </w:footnote>
  <w:footnote w:id="72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146</w:t>
      </w:r>
      <w:r>
        <w:rPr>
          <w:rFonts w:cs="Traditional Arabic" w:hint="cs"/>
          <w:color w:val="000000"/>
          <w:sz w:val="24"/>
          <w:szCs w:val="28"/>
          <w:rtl/>
        </w:rPr>
        <w:t xml:space="preserve"> .</w:t>
      </w:r>
      <w:r w:rsidRPr="00DC0143">
        <w:rPr>
          <w:rFonts w:cs="Traditional Arabic" w:hint="cs"/>
          <w:color w:val="000000"/>
          <w:sz w:val="24"/>
          <w:szCs w:val="28"/>
          <w:rtl/>
        </w:rPr>
        <w:t xml:space="preserve"> وانظر شمس الدين الوكيل فقرة 45 ص 115 </w:t>
      </w:r>
      <w:r w:rsidRPr="00DC0143">
        <w:rPr>
          <w:rFonts w:cs="Traditional Arabic"/>
          <w:color w:val="000000"/>
          <w:sz w:val="24"/>
          <w:szCs w:val="28"/>
          <w:rtl/>
        </w:rPr>
        <w:t>–</w:t>
      </w:r>
      <w:r w:rsidRPr="00DC0143">
        <w:rPr>
          <w:rFonts w:cs="Traditional Arabic" w:hint="cs"/>
          <w:color w:val="000000"/>
          <w:sz w:val="24"/>
          <w:szCs w:val="28"/>
          <w:rtl/>
        </w:rPr>
        <w:t xml:space="preserve"> ص 116</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72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لم يرد هذا الفرض في المادة 1039 مدني</w:t>
      </w:r>
      <w:r>
        <w:rPr>
          <w:rFonts w:cs="Traditional Arabic" w:hint="cs"/>
          <w:color w:val="000000"/>
          <w:sz w:val="24"/>
          <w:szCs w:val="28"/>
          <w:rtl/>
        </w:rPr>
        <w:t xml:space="preserve"> ،</w:t>
      </w:r>
      <w:r w:rsidRPr="00DC0143">
        <w:rPr>
          <w:rFonts w:cs="Traditional Arabic" w:hint="cs"/>
          <w:color w:val="000000"/>
          <w:sz w:val="24"/>
          <w:szCs w:val="28"/>
          <w:rtl/>
        </w:rPr>
        <w:t xml:space="preserve"> فوجب إذن تطبيق القواعد العامة</w:t>
      </w:r>
      <w:r>
        <w:rPr>
          <w:rFonts w:cs="Traditional Arabic" w:hint="cs"/>
          <w:color w:val="000000"/>
          <w:sz w:val="24"/>
          <w:szCs w:val="28"/>
          <w:rtl/>
        </w:rPr>
        <w:t xml:space="preserve"> .</w:t>
      </w:r>
    </w:p>
  </w:footnote>
  <w:footnote w:id="72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شمس الدين الوكيل فقرة 45 ص 110</w:t>
      </w:r>
      <w:r>
        <w:rPr>
          <w:rFonts w:cs="Traditional Arabic" w:hint="cs"/>
          <w:color w:val="000000"/>
          <w:sz w:val="24"/>
          <w:szCs w:val="28"/>
          <w:rtl/>
        </w:rPr>
        <w:t xml:space="preserve"> .</w:t>
      </w:r>
    </w:p>
  </w:footnote>
  <w:footnote w:id="72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شمس الدين الوكيل فقرة 45 ص 110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20 ص 58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25 ص 92 </w:t>
      </w:r>
      <w:r w:rsidRPr="00DC0143">
        <w:rPr>
          <w:rFonts w:cs="Traditional Arabic"/>
          <w:color w:val="000000"/>
          <w:sz w:val="24"/>
          <w:szCs w:val="28"/>
          <w:rtl/>
        </w:rPr>
        <w:t>–</w:t>
      </w:r>
      <w:r w:rsidRPr="00DC0143">
        <w:rPr>
          <w:rFonts w:cs="Traditional Arabic" w:hint="cs"/>
          <w:color w:val="000000"/>
          <w:sz w:val="24"/>
          <w:szCs w:val="28"/>
          <w:rtl/>
        </w:rPr>
        <w:t xml:space="preserve"> حسن كيرة في الحقوق العينية الأصلية 1 فقرة  121 </w:t>
      </w:r>
      <w:r w:rsidRPr="00DC0143">
        <w:rPr>
          <w:rFonts w:cs="Traditional Arabic"/>
          <w:color w:val="000000"/>
          <w:sz w:val="24"/>
          <w:szCs w:val="28"/>
          <w:rtl/>
        </w:rPr>
        <w:t>–</w:t>
      </w:r>
      <w:r w:rsidRPr="00DC0143">
        <w:rPr>
          <w:rFonts w:cs="Traditional Arabic" w:hint="cs"/>
          <w:color w:val="000000"/>
          <w:sz w:val="24"/>
          <w:szCs w:val="28"/>
          <w:rtl/>
        </w:rPr>
        <w:t xml:space="preserve"> إسماعيل غانم في الحقوق العينية الأصلية 1 فقرة  69 </w:t>
      </w:r>
      <w:r w:rsidRPr="00DC0143">
        <w:rPr>
          <w:rFonts w:cs="Traditional Arabic"/>
          <w:color w:val="000000"/>
          <w:sz w:val="24"/>
          <w:szCs w:val="28"/>
          <w:rtl/>
        </w:rPr>
        <w:t>–</w:t>
      </w:r>
      <w:r w:rsidRPr="00DC0143">
        <w:rPr>
          <w:rFonts w:cs="Traditional Arabic" w:hint="cs"/>
          <w:color w:val="000000"/>
          <w:sz w:val="24"/>
          <w:szCs w:val="28"/>
          <w:rtl/>
        </w:rPr>
        <w:t xml:space="preserve"> وهناك رأي يذهب إلى أن الرهن</w:t>
      </w:r>
      <w:r>
        <w:rPr>
          <w:rFonts w:cs="Traditional Arabic" w:hint="cs"/>
          <w:color w:val="000000"/>
          <w:sz w:val="24"/>
          <w:szCs w:val="28"/>
          <w:rtl/>
        </w:rPr>
        <w:t xml:space="preserve"> ،</w:t>
      </w:r>
      <w:r w:rsidRPr="00DC0143">
        <w:rPr>
          <w:rFonts w:cs="Traditional Arabic" w:hint="cs"/>
          <w:color w:val="000000"/>
          <w:sz w:val="24"/>
          <w:szCs w:val="28"/>
          <w:rtl/>
        </w:rPr>
        <w:t xml:space="preserve"> فيما يتعلق بما لم يقع في نصيب الشريك الراهن من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يكون قابلا للإبطال على أساس صدوره من غير مالك </w:t>
      </w:r>
      <w:r>
        <w:rPr>
          <w:rFonts w:cs="Traditional Arabic" w:hint="cs"/>
          <w:color w:val="000000"/>
          <w:sz w:val="24"/>
          <w:szCs w:val="28"/>
          <w:rtl/>
        </w:rPr>
        <w:t xml:space="preserve">( </w:t>
      </w:r>
      <w:r w:rsidRPr="00DC0143">
        <w:rPr>
          <w:rFonts w:cs="Traditional Arabic" w:hint="cs"/>
          <w:color w:val="000000"/>
          <w:sz w:val="24"/>
          <w:szCs w:val="28"/>
          <w:rtl/>
        </w:rPr>
        <w:t xml:space="preserve">شفيق شحاته في الحق العيني فقرة 143 وفي التأمينات العينية فقرة 109 </w:t>
      </w:r>
      <w:r w:rsidRPr="00DC0143">
        <w:rPr>
          <w:rFonts w:cs="Traditional Arabic"/>
          <w:color w:val="000000"/>
          <w:sz w:val="24"/>
          <w:szCs w:val="28"/>
          <w:rtl/>
        </w:rPr>
        <w:t>–</w:t>
      </w:r>
      <w:r w:rsidRPr="00DC0143">
        <w:rPr>
          <w:rFonts w:cs="Traditional Arabic" w:hint="cs"/>
          <w:color w:val="000000"/>
          <w:sz w:val="24"/>
          <w:szCs w:val="28"/>
          <w:rtl/>
        </w:rPr>
        <w:t xml:space="preserve"> أنور سلطان في البيع والمقايضة طبعة ثانية فقرة 415 </w:t>
      </w:r>
      <w:r w:rsidRPr="00DC0143">
        <w:rPr>
          <w:rFonts w:cs="Traditional Arabic"/>
          <w:color w:val="000000"/>
          <w:sz w:val="24"/>
          <w:szCs w:val="28"/>
          <w:rtl/>
        </w:rPr>
        <w:t>–</w:t>
      </w:r>
      <w:r w:rsidRPr="00DC0143">
        <w:rPr>
          <w:rFonts w:cs="Traditional Arabic" w:hint="cs"/>
          <w:color w:val="000000"/>
          <w:sz w:val="24"/>
          <w:szCs w:val="28"/>
          <w:rtl/>
        </w:rPr>
        <w:t xml:space="preserve"> محمد علي عرفة في الملكية فقرة 302 </w:t>
      </w:r>
      <w:r w:rsidRPr="00DC0143">
        <w:rPr>
          <w:rFonts w:cs="Traditional Arabic"/>
          <w:color w:val="000000"/>
          <w:sz w:val="24"/>
          <w:szCs w:val="28"/>
          <w:rtl/>
        </w:rPr>
        <w:t>–</w:t>
      </w:r>
      <w:r w:rsidRPr="00DC0143">
        <w:rPr>
          <w:rFonts w:cs="Traditional Arabic" w:hint="cs"/>
          <w:color w:val="000000"/>
          <w:sz w:val="24"/>
          <w:szCs w:val="28"/>
          <w:rtl/>
        </w:rPr>
        <w:t xml:space="preserve"> عبد المنعم البدراوي في الحقوق العينية الأصلية فقرة 135</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72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أما إذا وقع في نصيب الشريك الراهن عقار آخر غير العقار الذي رهنه</w:t>
      </w:r>
      <w:r>
        <w:rPr>
          <w:rFonts w:cs="Traditional Arabic" w:hint="cs"/>
          <w:color w:val="000000"/>
          <w:sz w:val="24"/>
          <w:szCs w:val="28"/>
          <w:rtl/>
        </w:rPr>
        <w:t xml:space="preserve"> ،</w:t>
      </w:r>
      <w:r w:rsidRPr="00DC0143">
        <w:rPr>
          <w:rFonts w:cs="Traditional Arabic" w:hint="cs"/>
          <w:color w:val="000000"/>
          <w:sz w:val="24"/>
          <w:szCs w:val="28"/>
          <w:rtl/>
        </w:rPr>
        <w:t xml:space="preserve"> انتقل الرهن بحكم الحلول العيني إلى قدر من هذا العقار يساوي ما كان الشريك الراهن يملكه في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ويبدو أن الدائن المرتهن يجب عليه إجراء قيد جديد</w:t>
      </w:r>
      <w:r>
        <w:rPr>
          <w:rFonts w:cs="Traditional Arabic" w:hint="cs"/>
          <w:color w:val="000000"/>
          <w:sz w:val="24"/>
          <w:szCs w:val="28"/>
          <w:rtl/>
        </w:rPr>
        <w:t xml:space="preserve"> ،</w:t>
      </w:r>
      <w:r w:rsidRPr="00DC0143">
        <w:rPr>
          <w:rFonts w:cs="Traditional Arabic" w:hint="cs"/>
          <w:color w:val="000000"/>
          <w:sz w:val="24"/>
          <w:szCs w:val="28"/>
          <w:rtl/>
        </w:rPr>
        <w:t xml:space="preserve"> فيلجأ إلى الإجراءات التي سبق ذكرها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وفي المواعيد المقررة</w:t>
      </w:r>
      <w:r>
        <w:rPr>
          <w:rFonts w:cs="Traditional Arabic" w:hint="cs"/>
          <w:color w:val="000000"/>
          <w:sz w:val="24"/>
          <w:szCs w:val="28"/>
          <w:rtl/>
        </w:rPr>
        <w:t xml:space="preserve"> .</w:t>
      </w:r>
      <w:r w:rsidRPr="00DC0143">
        <w:rPr>
          <w:rFonts w:cs="Traditional Arabic" w:hint="cs"/>
          <w:color w:val="000000"/>
          <w:sz w:val="24"/>
          <w:szCs w:val="28"/>
          <w:rtl/>
        </w:rPr>
        <w:t xml:space="preserve"> ولم يرد نص صريح في ذلك</w:t>
      </w:r>
      <w:r>
        <w:rPr>
          <w:rFonts w:cs="Traditional Arabic" w:hint="cs"/>
          <w:color w:val="000000"/>
          <w:sz w:val="24"/>
          <w:szCs w:val="28"/>
          <w:rtl/>
        </w:rPr>
        <w:t xml:space="preserve"> ،</w:t>
      </w:r>
      <w:r w:rsidRPr="00DC0143">
        <w:rPr>
          <w:rFonts w:cs="Traditional Arabic" w:hint="cs"/>
          <w:color w:val="000000"/>
          <w:sz w:val="24"/>
          <w:szCs w:val="28"/>
          <w:rtl/>
        </w:rPr>
        <w:t xml:space="preserve"> ولكن يمكن قياس هذه الحالة على الحالات الأخرى التي ورد فهيا نص صريح </w:t>
      </w:r>
      <w:r>
        <w:rPr>
          <w:rFonts w:cs="Traditional Arabic" w:hint="cs"/>
          <w:color w:val="000000"/>
          <w:sz w:val="24"/>
          <w:szCs w:val="28"/>
          <w:rtl/>
        </w:rPr>
        <w:t xml:space="preserve">( </w:t>
      </w:r>
      <w:r w:rsidRPr="00DC0143">
        <w:rPr>
          <w:rFonts w:cs="Traditional Arabic" w:hint="cs"/>
          <w:color w:val="000000"/>
          <w:sz w:val="24"/>
          <w:szCs w:val="28"/>
          <w:rtl/>
        </w:rPr>
        <w:t xml:space="preserve">انظر منصور مصطفى منصور فقرة 20 ص 58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49 ص 82</w:t>
      </w:r>
      <w:r>
        <w:rPr>
          <w:rFonts w:cs="Traditional Arabic" w:hint="cs"/>
          <w:color w:val="000000"/>
          <w:sz w:val="24"/>
          <w:szCs w:val="28"/>
          <w:rtl/>
        </w:rPr>
        <w:t xml:space="preserve"> ) .</w:t>
      </w:r>
    </w:p>
  </w:footnote>
  <w:footnote w:id="72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سمير تناغر فقرة 25 ص 92</w:t>
      </w:r>
      <w:r>
        <w:rPr>
          <w:rFonts w:cs="Traditional Arabic" w:hint="cs"/>
          <w:color w:val="000000"/>
          <w:sz w:val="24"/>
          <w:szCs w:val="28"/>
          <w:rtl/>
        </w:rPr>
        <w:t xml:space="preserve"> .</w:t>
      </w:r>
    </w:p>
  </w:footnote>
  <w:footnote w:id="72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133</w:t>
      </w:r>
      <w:r>
        <w:rPr>
          <w:rFonts w:cs="Traditional Arabic" w:hint="cs"/>
          <w:color w:val="000000"/>
          <w:sz w:val="24"/>
          <w:szCs w:val="28"/>
          <w:rtl/>
        </w:rPr>
        <w:t xml:space="preserve"> .</w:t>
      </w:r>
    </w:p>
  </w:footnote>
  <w:footnote w:id="73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187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73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38 ص 83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19 ص 24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21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20 ص 62 </w:t>
      </w:r>
      <w:r w:rsidRPr="00DC0143">
        <w:rPr>
          <w:rFonts w:cs="Traditional Arabic"/>
          <w:color w:val="000000"/>
          <w:sz w:val="24"/>
          <w:szCs w:val="28"/>
          <w:rtl/>
        </w:rPr>
        <w:t>–</w:t>
      </w:r>
      <w:r w:rsidRPr="00DC0143">
        <w:rPr>
          <w:rFonts w:cs="Traditional Arabic" w:hint="cs"/>
          <w:color w:val="000000"/>
          <w:sz w:val="24"/>
          <w:szCs w:val="28"/>
          <w:rtl/>
        </w:rPr>
        <w:t xml:space="preserve"> والعلة في ذلك أن الرهن الرسمي دائر بين النفع والضرر</w:t>
      </w:r>
      <w:r>
        <w:rPr>
          <w:rFonts w:cs="Traditional Arabic" w:hint="cs"/>
          <w:color w:val="000000"/>
          <w:sz w:val="24"/>
          <w:szCs w:val="28"/>
          <w:rtl/>
        </w:rPr>
        <w:t xml:space="preserve"> ،</w:t>
      </w:r>
      <w:r w:rsidRPr="00DC0143">
        <w:rPr>
          <w:rFonts w:cs="Traditional Arabic" w:hint="cs"/>
          <w:color w:val="000000"/>
          <w:sz w:val="24"/>
          <w:szCs w:val="28"/>
          <w:rtl/>
        </w:rPr>
        <w:t xml:space="preserve"> لا أنه قد يؤدي إلى بيع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فإن أي دين ولو كان ديناً عادياً قد يؤدي إلى بيع  عقارات المدين </w:t>
      </w:r>
      <w:r>
        <w:rPr>
          <w:rFonts w:cs="Traditional Arabic" w:hint="cs"/>
          <w:color w:val="000000"/>
          <w:sz w:val="24"/>
          <w:szCs w:val="28"/>
          <w:rtl/>
        </w:rPr>
        <w:t xml:space="preserve">( </w:t>
      </w:r>
      <w:r w:rsidRPr="00DC0143">
        <w:rPr>
          <w:rFonts w:cs="Traditional Arabic" w:hint="cs"/>
          <w:color w:val="000000"/>
          <w:sz w:val="24"/>
          <w:szCs w:val="28"/>
          <w:rtl/>
        </w:rPr>
        <w:t>انظر بلانيول وريبير وبيكيه 12 فقرة 401 ص 435</w:t>
      </w:r>
      <w:r>
        <w:rPr>
          <w:rFonts w:cs="Traditional Arabic" w:hint="cs"/>
          <w:color w:val="000000"/>
          <w:sz w:val="24"/>
          <w:szCs w:val="28"/>
          <w:rtl/>
        </w:rPr>
        <w:t xml:space="preserve"> ) .</w:t>
      </w:r>
    </w:p>
  </w:footnote>
  <w:footnote w:id="73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ولا يكون صحيحاً حتى لو بلغ القاصر وقت الرهن الثامنة عشرة وأذن له في تسليم أمواله وإدارتها</w:t>
      </w:r>
      <w:r>
        <w:rPr>
          <w:rFonts w:cs="Traditional Arabic" w:hint="cs"/>
          <w:color w:val="000000"/>
          <w:sz w:val="24"/>
          <w:szCs w:val="28"/>
          <w:rtl/>
        </w:rPr>
        <w:t xml:space="preserve"> ،</w:t>
      </w:r>
      <w:r w:rsidRPr="00DC0143">
        <w:rPr>
          <w:rFonts w:cs="Traditional Arabic" w:hint="cs"/>
          <w:color w:val="000000"/>
          <w:sz w:val="24"/>
          <w:szCs w:val="28"/>
          <w:rtl/>
        </w:rPr>
        <w:t xml:space="preserve"> لأن هذا إنما يعطي القاصر أهلية الإدارة لا أهلية التصرف</w:t>
      </w:r>
      <w:r>
        <w:rPr>
          <w:rFonts w:cs="Traditional Arabic" w:hint="cs"/>
          <w:color w:val="000000"/>
          <w:sz w:val="24"/>
          <w:szCs w:val="28"/>
          <w:rtl/>
        </w:rPr>
        <w:t xml:space="preserve"> ،</w:t>
      </w:r>
      <w:r w:rsidRPr="00DC0143">
        <w:rPr>
          <w:rFonts w:cs="Traditional Arabic" w:hint="cs"/>
          <w:color w:val="000000"/>
          <w:sz w:val="24"/>
          <w:szCs w:val="28"/>
          <w:rtl/>
        </w:rPr>
        <w:t xml:space="preserve"> والرهن من أعمال التصرف</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ويرى بعض الفقهاء أن المأذون له في تسلم الأموال وأداتها له رهن العقار إذا كان الرهن مما نقتضيه أعمال الإدارة</w:t>
      </w:r>
      <w:r>
        <w:rPr>
          <w:rFonts w:cs="Traditional Arabic" w:hint="cs"/>
          <w:color w:val="000000"/>
          <w:sz w:val="24"/>
          <w:szCs w:val="28"/>
          <w:rtl/>
        </w:rPr>
        <w:t xml:space="preserve"> ،</w:t>
      </w:r>
      <w:r w:rsidRPr="00DC0143">
        <w:rPr>
          <w:rFonts w:cs="Traditional Arabic" w:hint="cs"/>
          <w:color w:val="000000"/>
          <w:sz w:val="24"/>
          <w:szCs w:val="28"/>
          <w:rtl/>
        </w:rPr>
        <w:t xml:space="preserve"> وذلك كالرهن ضمانة للوفاء بالالتزامات الناتجة عن إدارة الأموال </w:t>
      </w:r>
      <w:r>
        <w:rPr>
          <w:rFonts w:cs="Traditional Arabic" w:hint="cs"/>
          <w:color w:val="000000"/>
          <w:sz w:val="24"/>
          <w:szCs w:val="28"/>
          <w:rtl/>
        </w:rPr>
        <w:t xml:space="preserve">( </w:t>
      </w:r>
      <w:r w:rsidRPr="00DC0143">
        <w:rPr>
          <w:rFonts w:cs="Traditional Arabic" w:hint="cs"/>
          <w:color w:val="000000"/>
          <w:sz w:val="24"/>
          <w:szCs w:val="28"/>
          <w:rtl/>
        </w:rPr>
        <w:t xml:space="preserve">شفيق شحاته فقرة 77 ص 74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187 ص 295 هامش 3</w:t>
      </w:r>
      <w:r>
        <w:rPr>
          <w:rFonts w:cs="Traditional Arabic" w:hint="cs"/>
          <w:color w:val="000000"/>
          <w:sz w:val="24"/>
          <w:szCs w:val="28"/>
          <w:rtl/>
        </w:rPr>
        <w:t xml:space="preserve"> ) .</w:t>
      </w:r>
      <w:r w:rsidRPr="00DC0143">
        <w:rPr>
          <w:rFonts w:cs="Traditional Arabic" w:hint="cs"/>
          <w:color w:val="000000"/>
          <w:sz w:val="24"/>
          <w:szCs w:val="28"/>
          <w:rtl/>
        </w:rPr>
        <w:t xml:space="preserve"> ولكن الواضح أن الإذن للصبي في مباشرة أعمال التصرف إنما قصد به التصرفات الملحقة بأعمال الإدارة كشراء الأسمدة والبذور وبيع المحصول أو رهنه </w:t>
      </w:r>
      <w:r>
        <w:rPr>
          <w:rFonts w:cs="Traditional Arabic" w:hint="cs"/>
          <w:color w:val="000000"/>
          <w:sz w:val="24"/>
          <w:szCs w:val="28"/>
          <w:rtl/>
        </w:rPr>
        <w:t xml:space="preserve">( </w:t>
      </w:r>
      <w:r w:rsidRPr="00DC0143">
        <w:rPr>
          <w:rFonts w:cs="Traditional Arabic" w:hint="cs"/>
          <w:color w:val="000000"/>
          <w:sz w:val="24"/>
          <w:szCs w:val="28"/>
          <w:rtl/>
        </w:rPr>
        <w:t xml:space="preserve">محمد كامل مرسي فقرة 27 ص 45 وفقرة 293 ص 281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21 ص 74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22</w:t>
      </w:r>
      <w:r>
        <w:rPr>
          <w:rFonts w:cs="Traditional Arabic" w:hint="cs"/>
          <w:color w:val="000000"/>
          <w:sz w:val="24"/>
          <w:szCs w:val="28"/>
          <w:rtl/>
        </w:rPr>
        <w:t xml:space="preserve"> ) .</w:t>
      </w:r>
    </w:p>
  </w:footnote>
  <w:footnote w:id="73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على أن الأب لا يلزم بتقديم حساب للمحكمة عن مال آل القاصر بطريق التبرع من الأب</w:t>
      </w:r>
      <w:r>
        <w:rPr>
          <w:rFonts w:cs="Traditional Arabic" w:hint="cs"/>
          <w:color w:val="000000"/>
          <w:sz w:val="24"/>
          <w:szCs w:val="28"/>
          <w:rtl/>
        </w:rPr>
        <w:t xml:space="preserve"> ،</w:t>
      </w:r>
      <w:r w:rsidRPr="00DC0143">
        <w:rPr>
          <w:rFonts w:cs="Traditional Arabic" w:hint="cs"/>
          <w:color w:val="000000"/>
          <w:sz w:val="24"/>
          <w:szCs w:val="28"/>
          <w:rtl/>
        </w:rPr>
        <w:t xml:space="preserve"> صريحا كان التبرع أو مستترا </w:t>
      </w:r>
      <w:r>
        <w:rPr>
          <w:rFonts w:cs="Traditional Arabic" w:hint="cs"/>
          <w:color w:val="000000"/>
          <w:sz w:val="24"/>
          <w:szCs w:val="28"/>
          <w:rtl/>
        </w:rPr>
        <w:t xml:space="preserve">( </w:t>
      </w:r>
      <w:r w:rsidRPr="00DC0143">
        <w:rPr>
          <w:rFonts w:cs="Traditional Arabic" w:hint="cs"/>
          <w:color w:val="000000"/>
          <w:sz w:val="24"/>
          <w:szCs w:val="28"/>
          <w:rtl/>
        </w:rPr>
        <w:t>م 3 من قانون الولاية على المال</w:t>
      </w:r>
      <w:r>
        <w:rPr>
          <w:rFonts w:cs="Traditional Arabic" w:hint="cs"/>
          <w:color w:val="000000"/>
          <w:sz w:val="24"/>
          <w:szCs w:val="28"/>
          <w:rtl/>
        </w:rPr>
        <w:t xml:space="preserve"> ) .</w:t>
      </w:r>
    </w:p>
  </w:footnote>
  <w:footnote w:id="73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وإذا أقر الرهن من يملك إقراره وانقلب صحيحا بالإقرار</w:t>
      </w:r>
      <w:r>
        <w:rPr>
          <w:rFonts w:cs="Traditional Arabic" w:hint="cs"/>
          <w:color w:val="000000"/>
          <w:sz w:val="24"/>
          <w:szCs w:val="28"/>
          <w:rtl/>
        </w:rPr>
        <w:t xml:space="preserve"> ،</w:t>
      </w:r>
      <w:r w:rsidRPr="00DC0143">
        <w:rPr>
          <w:rFonts w:cs="Traditional Arabic" w:hint="cs"/>
          <w:color w:val="000000"/>
          <w:sz w:val="24"/>
          <w:szCs w:val="28"/>
          <w:rtl/>
        </w:rPr>
        <w:t xml:space="preserve"> فهل يصر هذا الإقرار بدائن متأخر رهنه فيتقدم لعيه الدائن المرتهن الذي أقر رهنه؟ يرى الأستاذان بودري ودي لوان أن الدائن المرتهن المتأخر لا يضره الإقرار</w:t>
      </w:r>
      <w:r>
        <w:rPr>
          <w:rFonts w:cs="Traditional Arabic" w:hint="cs"/>
          <w:color w:val="000000"/>
          <w:sz w:val="24"/>
          <w:szCs w:val="28"/>
          <w:rtl/>
        </w:rPr>
        <w:t xml:space="preserve"> ،</w:t>
      </w:r>
      <w:r w:rsidRPr="00DC0143">
        <w:rPr>
          <w:rFonts w:cs="Traditional Arabic" w:hint="cs"/>
          <w:color w:val="000000"/>
          <w:sz w:val="24"/>
          <w:szCs w:val="28"/>
          <w:rtl/>
        </w:rPr>
        <w:t xml:space="preserve"> ويستطيع أن يطالب بعدم نفاذ الرهن الأول في حقه فيتقدم على الدائن المرتهن الأول </w:t>
      </w:r>
      <w:r>
        <w:rPr>
          <w:rFonts w:cs="Traditional Arabic" w:hint="cs"/>
          <w:color w:val="000000"/>
          <w:sz w:val="24"/>
          <w:szCs w:val="28"/>
          <w:rtl/>
        </w:rPr>
        <w:t xml:space="preserve">( </w:t>
      </w:r>
      <w:r w:rsidRPr="00DC0143">
        <w:rPr>
          <w:rFonts w:cs="Traditional Arabic" w:hint="cs"/>
          <w:color w:val="000000"/>
          <w:sz w:val="24"/>
          <w:szCs w:val="28"/>
          <w:rtl/>
        </w:rPr>
        <w:t xml:space="preserve">بودري ودي لوان 2 فقرة 1333 وفقرة 1335 </w:t>
      </w:r>
      <w:r w:rsidRPr="00DC0143">
        <w:rPr>
          <w:rFonts w:cs="Traditional Arabic"/>
          <w:color w:val="000000"/>
          <w:sz w:val="24"/>
          <w:szCs w:val="28"/>
          <w:rtl/>
        </w:rPr>
        <w:t>–</w:t>
      </w:r>
      <w:r w:rsidRPr="00DC0143">
        <w:rPr>
          <w:rFonts w:cs="Traditional Arabic" w:hint="cs"/>
          <w:color w:val="000000"/>
          <w:sz w:val="24"/>
          <w:szCs w:val="28"/>
          <w:rtl/>
        </w:rPr>
        <w:t xml:space="preserve"> 1337 </w:t>
      </w:r>
      <w:r w:rsidRPr="00DC0143">
        <w:rPr>
          <w:rFonts w:cs="Traditional Arabic"/>
          <w:color w:val="000000"/>
          <w:sz w:val="24"/>
          <w:szCs w:val="28"/>
          <w:rtl/>
        </w:rPr>
        <w:t>–</w:t>
      </w:r>
      <w:r w:rsidRPr="00DC0143">
        <w:rPr>
          <w:rFonts w:cs="Traditional Arabic" w:hint="cs"/>
          <w:color w:val="000000"/>
          <w:sz w:val="24"/>
          <w:szCs w:val="28"/>
          <w:rtl/>
        </w:rPr>
        <w:t xml:space="preserve"> وانظر أيضاً في هذا المعنى ديمو لومب في العقود 6 فقرة 797 وما بعدها </w:t>
      </w:r>
      <w:r w:rsidRPr="00DC0143">
        <w:rPr>
          <w:rFonts w:cs="Traditional Arabic"/>
          <w:color w:val="000000"/>
          <w:sz w:val="24"/>
          <w:szCs w:val="28"/>
          <w:rtl/>
        </w:rPr>
        <w:t>–</w:t>
      </w:r>
      <w:r w:rsidRPr="00DC0143">
        <w:rPr>
          <w:rFonts w:cs="Traditional Arabic" w:hint="cs"/>
          <w:color w:val="000000"/>
          <w:sz w:val="24"/>
          <w:szCs w:val="28"/>
          <w:rtl/>
        </w:rPr>
        <w:t xml:space="preserve"> جيوار 2 فقرة 979</w:t>
      </w:r>
      <w:r>
        <w:rPr>
          <w:rFonts w:cs="Traditional Arabic" w:hint="cs"/>
          <w:color w:val="000000"/>
          <w:sz w:val="24"/>
          <w:szCs w:val="28"/>
          <w:rtl/>
        </w:rPr>
        <w:t xml:space="preserve"> ) .</w:t>
      </w:r>
      <w:r w:rsidRPr="00DC0143">
        <w:rPr>
          <w:rFonts w:cs="Traditional Arabic" w:hint="cs"/>
          <w:color w:val="000000"/>
          <w:sz w:val="24"/>
          <w:szCs w:val="28"/>
          <w:rtl/>
        </w:rPr>
        <w:t xml:space="preserve"> وانظر أيضاً سليمان مرقس فقرة 19 ص 25 هامش 2 حيث يرى أن الرأي الأول عمل للنظر</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73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جوسران 2 فقرة 1693</w:t>
      </w:r>
      <w:r>
        <w:rPr>
          <w:rFonts w:cs="Traditional Arabic" w:hint="cs"/>
          <w:color w:val="000000"/>
          <w:sz w:val="24"/>
          <w:szCs w:val="28"/>
          <w:rtl/>
        </w:rPr>
        <w:t xml:space="preserve"> .</w:t>
      </w:r>
    </w:p>
  </w:footnote>
  <w:footnote w:id="73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فقرة 1337 ص 454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19 ص 26 </w:t>
      </w:r>
      <w:r w:rsidRPr="00DC0143">
        <w:rPr>
          <w:rFonts w:cs="Traditional Arabic"/>
          <w:color w:val="000000"/>
          <w:sz w:val="24"/>
          <w:szCs w:val="28"/>
          <w:rtl/>
        </w:rPr>
        <w:t>–</w:t>
      </w:r>
      <w:r w:rsidRPr="00DC0143">
        <w:rPr>
          <w:rFonts w:cs="Traditional Arabic" w:hint="cs"/>
          <w:color w:val="000000"/>
          <w:sz w:val="24"/>
          <w:szCs w:val="28"/>
          <w:rtl/>
        </w:rPr>
        <w:t xml:space="preserve"> ص 27 </w:t>
      </w:r>
      <w:r w:rsidRPr="00DC0143">
        <w:rPr>
          <w:rFonts w:cs="Traditional Arabic"/>
          <w:color w:val="000000"/>
          <w:sz w:val="24"/>
          <w:szCs w:val="28"/>
          <w:rtl/>
        </w:rPr>
        <w:t>–</w:t>
      </w:r>
      <w:r w:rsidRPr="00DC0143">
        <w:rPr>
          <w:rFonts w:cs="Traditional Arabic" w:hint="cs"/>
          <w:color w:val="000000"/>
          <w:sz w:val="24"/>
          <w:szCs w:val="28"/>
          <w:rtl/>
        </w:rPr>
        <w:t xml:space="preserve"> أما إذا رهن القاصر عقاره</w:t>
      </w:r>
      <w:r>
        <w:rPr>
          <w:rFonts w:cs="Traditional Arabic" w:hint="cs"/>
          <w:color w:val="000000"/>
          <w:sz w:val="24"/>
          <w:szCs w:val="28"/>
          <w:rtl/>
        </w:rPr>
        <w:t xml:space="preserve"> ،</w:t>
      </w:r>
      <w:r w:rsidRPr="00DC0143">
        <w:rPr>
          <w:rFonts w:cs="Traditional Arabic" w:hint="cs"/>
          <w:color w:val="000000"/>
          <w:sz w:val="24"/>
          <w:szCs w:val="28"/>
          <w:rtl/>
        </w:rPr>
        <w:t xml:space="preserve"> ورهنه مرة ثانية بعد أن بلغ سن الرشد</w:t>
      </w:r>
      <w:r>
        <w:rPr>
          <w:rFonts w:cs="Traditional Arabic" w:hint="cs"/>
          <w:color w:val="000000"/>
          <w:sz w:val="24"/>
          <w:szCs w:val="28"/>
          <w:rtl/>
        </w:rPr>
        <w:t xml:space="preserve"> ،</w:t>
      </w:r>
      <w:r w:rsidRPr="00DC0143">
        <w:rPr>
          <w:rFonts w:cs="Traditional Arabic" w:hint="cs"/>
          <w:color w:val="000000"/>
          <w:sz w:val="24"/>
          <w:szCs w:val="28"/>
          <w:rtl/>
        </w:rPr>
        <w:t xml:space="preserve"> ثم أجاز الرهن الأول</w:t>
      </w:r>
      <w:r>
        <w:rPr>
          <w:rFonts w:cs="Traditional Arabic" w:hint="cs"/>
          <w:color w:val="000000"/>
          <w:sz w:val="24"/>
          <w:szCs w:val="28"/>
          <w:rtl/>
        </w:rPr>
        <w:t xml:space="preserve"> ،</w:t>
      </w:r>
      <w:r w:rsidRPr="00DC0143">
        <w:rPr>
          <w:rFonts w:cs="Traditional Arabic" w:hint="cs"/>
          <w:color w:val="000000"/>
          <w:sz w:val="24"/>
          <w:szCs w:val="28"/>
          <w:rtl/>
        </w:rPr>
        <w:t xml:space="preserve"> فإن هذه الإجازة تجعل الرهن الأول صحيحا منذ البداية</w:t>
      </w:r>
      <w:r>
        <w:rPr>
          <w:rFonts w:cs="Traditional Arabic" w:hint="cs"/>
          <w:color w:val="000000"/>
          <w:sz w:val="24"/>
          <w:szCs w:val="28"/>
          <w:rtl/>
        </w:rPr>
        <w:t xml:space="preserve"> ،</w:t>
      </w:r>
      <w:r w:rsidRPr="00DC0143">
        <w:rPr>
          <w:rFonts w:cs="Traditional Arabic" w:hint="cs"/>
          <w:color w:val="000000"/>
          <w:sz w:val="24"/>
          <w:szCs w:val="28"/>
          <w:rtl/>
        </w:rPr>
        <w:t xml:space="preserve"> ويتقدم الدائن المرتهن الأول على الدائن المرتهن الثاني </w:t>
      </w:r>
      <w:r>
        <w:rPr>
          <w:rFonts w:cs="Traditional Arabic" w:hint="cs"/>
          <w:color w:val="000000"/>
          <w:sz w:val="24"/>
          <w:szCs w:val="28"/>
          <w:rtl/>
        </w:rPr>
        <w:t xml:space="preserve">( </w:t>
      </w:r>
      <w:r w:rsidRPr="00DC0143">
        <w:rPr>
          <w:rFonts w:cs="Traditional Arabic" w:hint="cs"/>
          <w:color w:val="000000"/>
          <w:sz w:val="24"/>
          <w:szCs w:val="28"/>
          <w:rtl/>
        </w:rPr>
        <w:t>سليمان مرقس فقرة 18 ص 26 وهامش 2</w:t>
      </w:r>
      <w:r>
        <w:rPr>
          <w:rFonts w:cs="Traditional Arabic" w:hint="cs"/>
          <w:color w:val="000000"/>
          <w:sz w:val="24"/>
          <w:szCs w:val="28"/>
          <w:rtl/>
        </w:rPr>
        <w:t xml:space="preserve"> ) .</w:t>
      </w:r>
    </w:p>
  </w:footnote>
  <w:footnote w:id="73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فقرة 1334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19 ص 26</w:t>
      </w:r>
      <w:r>
        <w:rPr>
          <w:rFonts w:cs="Traditional Arabic" w:hint="cs"/>
          <w:color w:val="000000"/>
          <w:sz w:val="24"/>
          <w:szCs w:val="28"/>
          <w:rtl/>
        </w:rPr>
        <w:t xml:space="preserve"> .</w:t>
      </w:r>
    </w:p>
  </w:footnote>
  <w:footnote w:id="73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قارن في هذه المسألة سليمان مرقس فقرة 20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38 ص 83 هامش 1</w:t>
      </w:r>
      <w:r>
        <w:rPr>
          <w:rFonts w:cs="Traditional Arabic" w:hint="cs"/>
          <w:color w:val="000000"/>
          <w:sz w:val="24"/>
          <w:szCs w:val="28"/>
          <w:rtl/>
        </w:rPr>
        <w:t xml:space="preserve"> .</w:t>
      </w:r>
    </w:p>
  </w:footnote>
  <w:footnote w:id="73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بودري ودي لوان 2 فقرة 1342 وما بعدها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21</w:t>
      </w:r>
      <w:r>
        <w:rPr>
          <w:rFonts w:cs="Traditional Arabic" w:hint="cs"/>
          <w:color w:val="000000"/>
          <w:sz w:val="24"/>
          <w:szCs w:val="28"/>
          <w:rtl/>
        </w:rPr>
        <w:t xml:space="preserve"> .</w:t>
      </w:r>
    </w:p>
  </w:footnote>
  <w:footnote w:id="73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سليمان مرقس فقرة 21</w:t>
      </w:r>
      <w:r>
        <w:rPr>
          <w:rFonts w:cs="Traditional Arabic" w:hint="cs"/>
          <w:color w:val="000000"/>
          <w:sz w:val="24"/>
          <w:szCs w:val="28"/>
          <w:rtl/>
        </w:rPr>
        <w:t xml:space="preserve"> .</w:t>
      </w:r>
    </w:p>
  </w:footnote>
  <w:footnote w:id="74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محمد كامل مرسي فقرة 27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187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23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143 </w:t>
      </w:r>
      <w:r w:rsidRPr="00DC0143">
        <w:rPr>
          <w:rFonts w:cs="Traditional Arabic"/>
          <w:color w:val="000000"/>
          <w:sz w:val="24"/>
          <w:szCs w:val="28"/>
          <w:rtl/>
        </w:rPr>
        <w:t>–</w:t>
      </w:r>
      <w:r w:rsidRPr="00DC0143">
        <w:rPr>
          <w:rFonts w:cs="Traditional Arabic" w:hint="cs"/>
          <w:color w:val="000000"/>
          <w:sz w:val="24"/>
          <w:szCs w:val="28"/>
          <w:rtl/>
        </w:rPr>
        <w:t xml:space="preserve"> جمال الدين زكي ص 167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25 - - أحمد سلامة فقرة 23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7 ص 20 </w:t>
      </w:r>
      <w:r w:rsidRPr="00DC0143">
        <w:rPr>
          <w:rFonts w:cs="Traditional Arabic"/>
          <w:color w:val="000000"/>
          <w:sz w:val="24"/>
          <w:szCs w:val="28"/>
          <w:rtl/>
        </w:rPr>
        <w:t>–</w:t>
      </w:r>
      <w:r w:rsidRPr="00DC0143">
        <w:rPr>
          <w:rFonts w:cs="Traditional Arabic" w:hint="cs"/>
          <w:color w:val="000000"/>
          <w:sz w:val="24"/>
          <w:szCs w:val="28"/>
          <w:rtl/>
        </w:rPr>
        <w:t xml:space="preserve"> 21</w:t>
      </w:r>
      <w:r>
        <w:rPr>
          <w:rFonts w:cs="Traditional Arabic" w:hint="cs"/>
          <w:color w:val="000000"/>
          <w:sz w:val="24"/>
          <w:szCs w:val="28"/>
          <w:rtl/>
        </w:rPr>
        <w:t xml:space="preserve"> .</w:t>
      </w:r>
    </w:p>
  </w:footnote>
  <w:footnote w:id="74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شفيق شحاته فقرة 78 </w:t>
      </w:r>
      <w:r w:rsidRPr="00DC0143">
        <w:rPr>
          <w:rFonts w:cs="Traditional Arabic"/>
          <w:color w:val="000000"/>
          <w:sz w:val="24"/>
          <w:szCs w:val="28"/>
          <w:rtl/>
        </w:rPr>
        <w:t>–</w:t>
      </w:r>
      <w:r w:rsidRPr="00DC0143">
        <w:rPr>
          <w:rFonts w:cs="Traditional Arabic" w:hint="cs"/>
          <w:color w:val="000000"/>
          <w:sz w:val="24"/>
          <w:szCs w:val="28"/>
          <w:rtl/>
        </w:rPr>
        <w:t xml:space="preserve"> ص 75 </w:t>
      </w:r>
      <w:r w:rsidRPr="00DC0143">
        <w:rPr>
          <w:rFonts w:cs="Traditional Arabic"/>
          <w:color w:val="000000"/>
          <w:sz w:val="24"/>
          <w:szCs w:val="28"/>
          <w:rtl/>
        </w:rPr>
        <w:t>–</w:t>
      </w:r>
      <w:r w:rsidRPr="00DC0143">
        <w:rPr>
          <w:rFonts w:cs="Traditional Arabic" w:hint="cs"/>
          <w:color w:val="000000"/>
          <w:sz w:val="24"/>
          <w:szCs w:val="28"/>
          <w:rtl/>
        </w:rPr>
        <w:t xml:space="preserve"> والظاهر أن رهن الحيازة يتضمن حتما استيفاء الدين</w:t>
      </w:r>
      <w:r>
        <w:rPr>
          <w:rFonts w:cs="Traditional Arabic" w:hint="cs"/>
          <w:color w:val="000000"/>
          <w:sz w:val="24"/>
          <w:szCs w:val="28"/>
          <w:rtl/>
        </w:rPr>
        <w:t xml:space="preserve"> ،</w:t>
      </w:r>
      <w:r w:rsidRPr="00DC0143">
        <w:rPr>
          <w:rFonts w:cs="Traditional Arabic" w:hint="cs"/>
          <w:color w:val="000000"/>
          <w:sz w:val="24"/>
          <w:szCs w:val="28"/>
          <w:rtl/>
        </w:rPr>
        <w:t xml:space="preserve"> إذ يحسب إيراد العين ضمن الفوائد ورأس المال</w:t>
      </w:r>
      <w:r>
        <w:rPr>
          <w:rFonts w:cs="Traditional Arabic" w:hint="cs"/>
          <w:color w:val="000000"/>
          <w:sz w:val="24"/>
          <w:szCs w:val="28"/>
          <w:rtl/>
        </w:rPr>
        <w:t xml:space="preserve"> ،</w:t>
      </w:r>
      <w:r w:rsidRPr="00DC0143">
        <w:rPr>
          <w:rFonts w:cs="Traditional Arabic" w:hint="cs"/>
          <w:color w:val="000000"/>
          <w:sz w:val="24"/>
          <w:szCs w:val="28"/>
          <w:rtl/>
        </w:rPr>
        <w:t xml:space="preserve"> ولا هكذا الرهن الرسمي</w:t>
      </w:r>
      <w:r>
        <w:rPr>
          <w:rFonts w:cs="Traditional Arabic" w:hint="cs"/>
          <w:color w:val="000000"/>
          <w:sz w:val="24"/>
          <w:szCs w:val="28"/>
          <w:rtl/>
        </w:rPr>
        <w:t xml:space="preserve"> .</w:t>
      </w:r>
    </w:p>
  </w:footnote>
  <w:footnote w:id="74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سمير تناغر فقرة 20 ص 63</w:t>
      </w:r>
      <w:r>
        <w:rPr>
          <w:rFonts w:cs="Traditional Arabic" w:hint="cs"/>
          <w:color w:val="000000"/>
          <w:sz w:val="24"/>
          <w:szCs w:val="28"/>
          <w:rtl/>
        </w:rPr>
        <w:t xml:space="preserve"> .</w:t>
      </w:r>
    </w:p>
  </w:footnote>
  <w:footnote w:id="74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125</w:t>
      </w:r>
      <w:r>
        <w:rPr>
          <w:rFonts w:cs="Traditional Arabic" w:hint="cs"/>
          <w:color w:val="000000"/>
          <w:sz w:val="24"/>
          <w:szCs w:val="28"/>
          <w:rtl/>
        </w:rPr>
        <w:t xml:space="preserve"> .</w:t>
      </w:r>
    </w:p>
  </w:footnote>
  <w:footnote w:id="74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124 </w:t>
      </w:r>
      <w:r w:rsidRPr="00DC0143">
        <w:rPr>
          <w:rFonts w:cs="Traditional Arabic"/>
          <w:color w:val="000000"/>
          <w:sz w:val="24"/>
          <w:szCs w:val="28"/>
          <w:rtl/>
        </w:rPr>
        <w:t>–</w:t>
      </w:r>
      <w:r w:rsidRPr="00DC0143">
        <w:rPr>
          <w:rFonts w:cs="Traditional Arabic" w:hint="cs"/>
          <w:color w:val="000000"/>
          <w:sz w:val="24"/>
          <w:szCs w:val="28"/>
          <w:rtl/>
        </w:rPr>
        <w:t xml:space="preserve"> 125</w:t>
      </w:r>
      <w:r>
        <w:rPr>
          <w:rFonts w:cs="Traditional Arabic" w:hint="cs"/>
          <w:color w:val="000000"/>
          <w:sz w:val="24"/>
          <w:szCs w:val="28"/>
          <w:rtl/>
        </w:rPr>
        <w:t xml:space="preserve"> .</w:t>
      </w:r>
    </w:p>
  </w:footnote>
  <w:footnote w:id="74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مدني أول أبريل سنة 1937 المحاماة 17 رقم 581 ص 1147</w:t>
      </w:r>
      <w:r>
        <w:rPr>
          <w:rFonts w:cs="Traditional Arabic" w:hint="cs"/>
          <w:color w:val="000000"/>
          <w:sz w:val="24"/>
          <w:szCs w:val="28"/>
          <w:rtl/>
        </w:rPr>
        <w:t xml:space="preserve"> .</w:t>
      </w:r>
    </w:p>
  </w:footnote>
  <w:footnote w:id="74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محمد كامل مرسي 30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ص 305 هامش 1 </w:t>
      </w:r>
      <w:r w:rsidRPr="00DC0143">
        <w:rPr>
          <w:rFonts w:cs="Traditional Arabic"/>
          <w:color w:val="000000"/>
          <w:sz w:val="24"/>
          <w:szCs w:val="28"/>
          <w:rtl/>
        </w:rPr>
        <w:t>–</w:t>
      </w:r>
      <w:r w:rsidRPr="00DC0143">
        <w:rPr>
          <w:rFonts w:cs="Traditional Arabic" w:hint="cs"/>
          <w:color w:val="000000"/>
          <w:sz w:val="24"/>
          <w:szCs w:val="28"/>
          <w:rtl/>
        </w:rPr>
        <w:t xml:space="preserve"> شفيق شحاته 53 هامش 3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24</w:t>
      </w:r>
      <w:r>
        <w:rPr>
          <w:rFonts w:cs="Traditional Arabic" w:hint="cs"/>
          <w:color w:val="000000"/>
          <w:sz w:val="24"/>
          <w:szCs w:val="28"/>
          <w:rtl/>
        </w:rPr>
        <w:t xml:space="preserve"> .</w:t>
      </w:r>
    </w:p>
  </w:footnote>
  <w:footnote w:id="74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24 ص 34</w:t>
      </w:r>
      <w:r>
        <w:rPr>
          <w:rFonts w:cs="Traditional Arabic" w:hint="cs"/>
          <w:color w:val="000000"/>
          <w:sz w:val="24"/>
          <w:szCs w:val="28"/>
          <w:rtl/>
        </w:rPr>
        <w:t xml:space="preserve"> .</w:t>
      </w:r>
    </w:p>
  </w:footnote>
  <w:footnote w:id="74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151</w:t>
      </w:r>
      <w:r>
        <w:rPr>
          <w:rFonts w:cs="Traditional Arabic" w:hint="cs"/>
          <w:color w:val="000000"/>
          <w:sz w:val="24"/>
          <w:szCs w:val="28"/>
          <w:rtl/>
        </w:rPr>
        <w:t xml:space="preserve"> .</w:t>
      </w:r>
    </w:p>
  </w:footnote>
  <w:footnote w:id="74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عكس ذلك وأنه يلزم توكيل خاص بالارتهان لأن الرهن حتى بالنسبة إلى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في نظر هذا الرأي</w:t>
      </w:r>
      <w:r>
        <w:rPr>
          <w:rFonts w:cs="Traditional Arabic" w:hint="cs"/>
          <w:color w:val="000000"/>
          <w:sz w:val="24"/>
          <w:szCs w:val="28"/>
          <w:rtl/>
        </w:rPr>
        <w:t xml:space="preserve"> ،</w:t>
      </w:r>
      <w:r w:rsidRPr="00DC0143">
        <w:rPr>
          <w:rFonts w:cs="Traditional Arabic" w:hint="cs"/>
          <w:color w:val="000000"/>
          <w:sz w:val="24"/>
          <w:szCs w:val="28"/>
          <w:rtl/>
        </w:rPr>
        <w:t xml:space="preserve"> يعتبر من أعمال التصرف</w:t>
      </w:r>
      <w:r>
        <w:rPr>
          <w:rFonts w:cs="Traditional Arabic" w:hint="cs"/>
          <w:color w:val="000000"/>
          <w:sz w:val="24"/>
          <w:szCs w:val="28"/>
          <w:rtl/>
        </w:rPr>
        <w:t xml:space="preserve"> :</w:t>
      </w:r>
      <w:r w:rsidRPr="00DC0143">
        <w:rPr>
          <w:rFonts w:cs="Traditional Arabic" w:hint="cs"/>
          <w:color w:val="000000"/>
          <w:sz w:val="24"/>
          <w:szCs w:val="28"/>
          <w:rtl/>
        </w:rPr>
        <w:t xml:space="preserve"> شفيق شحاته فقرة 89</w:t>
      </w:r>
      <w:r>
        <w:rPr>
          <w:rFonts w:cs="Traditional Arabic" w:hint="cs"/>
          <w:color w:val="000000"/>
          <w:sz w:val="24"/>
          <w:szCs w:val="28"/>
          <w:rtl/>
        </w:rPr>
        <w:t xml:space="preserve"> .</w:t>
      </w:r>
    </w:p>
  </w:footnote>
  <w:footnote w:id="75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25</w:t>
      </w:r>
      <w:r>
        <w:rPr>
          <w:rFonts w:cs="Traditional Arabic" w:hint="cs"/>
          <w:color w:val="000000"/>
          <w:sz w:val="24"/>
          <w:szCs w:val="28"/>
          <w:rtl/>
        </w:rPr>
        <w:t xml:space="preserve"> .</w:t>
      </w:r>
    </w:p>
  </w:footnote>
  <w:footnote w:id="75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كل ذلك شمس الدين الوكيل فقرة 38 ص 84 هامش 1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187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25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8 ص 22 </w:t>
      </w:r>
      <w:r w:rsidRPr="00DC0143">
        <w:rPr>
          <w:rFonts w:cs="Traditional Arabic"/>
          <w:color w:val="000000"/>
          <w:sz w:val="24"/>
          <w:szCs w:val="28"/>
          <w:rtl/>
        </w:rPr>
        <w:t>–</w:t>
      </w:r>
      <w:r w:rsidRPr="00DC0143">
        <w:rPr>
          <w:rFonts w:cs="Traditional Arabic" w:hint="cs"/>
          <w:color w:val="000000"/>
          <w:sz w:val="24"/>
          <w:szCs w:val="28"/>
          <w:rtl/>
        </w:rPr>
        <w:t xml:space="preserve"> ص 23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20 ص 62</w:t>
      </w:r>
      <w:r>
        <w:rPr>
          <w:rFonts w:cs="Traditional Arabic" w:hint="cs"/>
          <w:color w:val="000000"/>
          <w:sz w:val="24"/>
          <w:szCs w:val="28"/>
          <w:rtl/>
        </w:rPr>
        <w:t xml:space="preserve"> .</w:t>
      </w:r>
    </w:p>
  </w:footnote>
  <w:footnote w:id="75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فينيه </w:t>
      </w:r>
      <w:r>
        <w:rPr>
          <w:rFonts w:cs="Traditional Arabic"/>
          <w:color w:val="000000"/>
          <w:sz w:val="24"/>
          <w:szCs w:val="28"/>
          <w:rtl/>
        </w:rPr>
        <w:t xml:space="preserve">( </w:t>
      </w:r>
      <w:r w:rsidRPr="00DC0143">
        <w:rPr>
          <w:rFonts w:cs="Traditional Arabic"/>
          <w:color w:val="000000"/>
          <w:sz w:val="24"/>
          <w:szCs w:val="28"/>
        </w:rPr>
        <w:t>fenet</w:t>
      </w:r>
      <w:r>
        <w:rPr>
          <w:rFonts w:cs="Traditional Arabic"/>
          <w:color w:val="000000"/>
          <w:sz w:val="24"/>
          <w:szCs w:val="28"/>
          <w:rtl/>
        </w:rPr>
        <w:t xml:space="preserve"> )</w:t>
      </w:r>
      <w:r w:rsidRPr="00DC0143">
        <w:rPr>
          <w:rFonts w:cs="Traditional Arabic" w:hint="cs"/>
          <w:color w:val="000000"/>
          <w:sz w:val="24"/>
          <w:szCs w:val="28"/>
          <w:rtl/>
        </w:rPr>
        <w:t xml:space="preserve"> 2 ص 615 وما بعدها</w:t>
      </w:r>
      <w:r>
        <w:rPr>
          <w:rFonts w:cs="Traditional Arabic" w:hint="cs"/>
          <w:color w:val="000000"/>
          <w:sz w:val="24"/>
          <w:szCs w:val="28"/>
          <w:rtl/>
        </w:rPr>
        <w:t xml:space="preserve"> .</w:t>
      </w:r>
    </w:p>
  </w:footnote>
  <w:footnote w:id="75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ويذهب الفقه الفرنسي إلى أن مبدأ تخصيص الرهن مقيد من حيث المدين الراهن</w:t>
      </w:r>
      <w:r>
        <w:rPr>
          <w:rFonts w:cs="Traditional Arabic" w:hint="cs"/>
          <w:color w:val="000000"/>
          <w:sz w:val="24"/>
          <w:szCs w:val="28"/>
          <w:rtl/>
        </w:rPr>
        <w:t xml:space="preserve"> ،</w:t>
      </w:r>
      <w:r w:rsidRPr="00DC0143">
        <w:rPr>
          <w:rFonts w:cs="Traditional Arabic" w:hint="cs"/>
          <w:color w:val="000000"/>
          <w:sz w:val="24"/>
          <w:szCs w:val="28"/>
          <w:rtl/>
        </w:rPr>
        <w:t xml:space="preserve"> ومن حيث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ومن حيث المصلحة العامة</w:t>
      </w:r>
      <w:r>
        <w:rPr>
          <w:rFonts w:cs="Traditional Arabic" w:hint="cs"/>
          <w:color w:val="000000"/>
          <w:sz w:val="24"/>
          <w:szCs w:val="28"/>
          <w:rtl/>
        </w:rPr>
        <w:t xml:space="preserve"> .</w:t>
      </w:r>
      <w:r w:rsidRPr="00DC0143">
        <w:rPr>
          <w:rFonts w:cs="Traditional Arabic" w:hint="cs"/>
          <w:color w:val="000000"/>
          <w:sz w:val="24"/>
          <w:szCs w:val="28"/>
          <w:rtl/>
        </w:rPr>
        <w:t xml:space="preserve"> فمن حيث المدين الراهن</w:t>
      </w:r>
      <w:r>
        <w:rPr>
          <w:rFonts w:cs="Traditional Arabic" w:hint="cs"/>
          <w:color w:val="000000"/>
          <w:sz w:val="24"/>
          <w:szCs w:val="28"/>
          <w:rtl/>
        </w:rPr>
        <w:t xml:space="preserve"> ،</w:t>
      </w:r>
      <w:r w:rsidRPr="00DC0143">
        <w:rPr>
          <w:rFonts w:cs="Traditional Arabic" w:hint="cs"/>
          <w:color w:val="000000"/>
          <w:sz w:val="24"/>
          <w:szCs w:val="28"/>
          <w:rtl/>
        </w:rPr>
        <w:t xml:space="preserve"> يحسن أن يخصص المدين العقار المرهون والدين المضمون حتى لا يشل جميع عقاراته عن طريق الرهن العام الشامل لجميع هذه العقارات</w:t>
      </w:r>
      <w:r>
        <w:rPr>
          <w:rFonts w:cs="Traditional Arabic" w:hint="cs"/>
          <w:color w:val="000000"/>
          <w:sz w:val="24"/>
          <w:szCs w:val="28"/>
          <w:rtl/>
        </w:rPr>
        <w:t xml:space="preserve"> .</w:t>
      </w:r>
      <w:r w:rsidRPr="00DC0143">
        <w:rPr>
          <w:rFonts w:cs="Traditional Arabic" w:hint="cs"/>
          <w:color w:val="000000"/>
          <w:sz w:val="24"/>
          <w:szCs w:val="28"/>
          <w:rtl/>
        </w:rPr>
        <w:t xml:space="preserve"> ومن حيث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يحسن أيضاً تخصيص الرهن</w:t>
      </w:r>
      <w:r>
        <w:rPr>
          <w:rFonts w:cs="Traditional Arabic" w:hint="cs"/>
          <w:color w:val="000000"/>
          <w:sz w:val="24"/>
          <w:szCs w:val="28"/>
          <w:rtl/>
        </w:rPr>
        <w:t xml:space="preserve"> ،</w:t>
      </w:r>
      <w:r w:rsidRPr="00DC0143">
        <w:rPr>
          <w:rFonts w:cs="Traditional Arabic" w:hint="cs"/>
          <w:color w:val="000000"/>
          <w:sz w:val="24"/>
          <w:szCs w:val="28"/>
          <w:rtl/>
        </w:rPr>
        <w:t xml:space="preserve"> حتى لا يتوالى الدائنون المرتهنون الواحد بين الآخر في ارتهان جميع عقارات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وما ينجم عن ذلك من صعاب تأتي من عدم تخصيص عقار بالذات لكل دائن منهم</w:t>
      </w:r>
      <w:r>
        <w:rPr>
          <w:rFonts w:cs="Traditional Arabic" w:hint="cs"/>
          <w:color w:val="000000"/>
          <w:sz w:val="24"/>
          <w:szCs w:val="28"/>
          <w:rtl/>
        </w:rPr>
        <w:t xml:space="preserve"> ،</w:t>
      </w:r>
      <w:r w:rsidRPr="00DC0143">
        <w:rPr>
          <w:rFonts w:cs="Traditional Arabic" w:hint="cs"/>
          <w:color w:val="000000"/>
          <w:sz w:val="24"/>
          <w:szCs w:val="28"/>
          <w:rtl/>
        </w:rPr>
        <w:t xml:space="preserve"> فيكسب الدائن تأكيدا لضمان دينه ما يزيد على ما يفقده من اتساع رقعة العقارات المرهونة</w:t>
      </w:r>
      <w:r>
        <w:rPr>
          <w:rFonts w:cs="Traditional Arabic" w:hint="cs"/>
          <w:color w:val="000000"/>
          <w:sz w:val="24"/>
          <w:szCs w:val="28"/>
          <w:rtl/>
        </w:rPr>
        <w:t xml:space="preserve"> .</w:t>
      </w:r>
      <w:r w:rsidRPr="00DC0143">
        <w:rPr>
          <w:rFonts w:cs="Traditional Arabic" w:hint="cs"/>
          <w:color w:val="000000"/>
          <w:sz w:val="24"/>
          <w:szCs w:val="28"/>
          <w:rtl/>
        </w:rPr>
        <w:t xml:space="preserve"> ومن حيث المصلحة العامة</w:t>
      </w:r>
      <w:r>
        <w:rPr>
          <w:rFonts w:cs="Traditional Arabic" w:hint="cs"/>
          <w:color w:val="000000"/>
          <w:sz w:val="24"/>
          <w:szCs w:val="28"/>
          <w:rtl/>
        </w:rPr>
        <w:t xml:space="preserve"> ،</w:t>
      </w:r>
      <w:r w:rsidRPr="00DC0143">
        <w:rPr>
          <w:rFonts w:cs="Traditional Arabic" w:hint="cs"/>
          <w:color w:val="000000"/>
          <w:sz w:val="24"/>
          <w:szCs w:val="28"/>
          <w:rtl/>
        </w:rPr>
        <w:t xml:space="preserve"> تتجمد الثروات العقارية من جراء الرهون العامة التي تشمل جميع العقارات</w:t>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بودري ودي لوان 2 فقرة 1366</w:t>
      </w:r>
      <w:r>
        <w:rPr>
          <w:rFonts w:cs="Traditional Arabic" w:hint="cs"/>
          <w:color w:val="000000"/>
          <w:sz w:val="24"/>
          <w:szCs w:val="28"/>
          <w:rtl/>
        </w:rPr>
        <w:t xml:space="preserve"> .</w:t>
      </w:r>
    </w:p>
  </w:footnote>
  <w:footnote w:id="75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"1- لا يجوز أن يرهن إلا العقار الذي يصح التعامل فيه ويجوز بيعه في المزاد العلني</w:t>
      </w:r>
      <w:r>
        <w:rPr>
          <w:rFonts w:cs="Traditional Arabic" w:hint="cs"/>
          <w:color w:val="000000"/>
          <w:sz w:val="24"/>
          <w:szCs w:val="28"/>
          <w:rtl/>
        </w:rPr>
        <w:t xml:space="preserve"> ،</w:t>
      </w:r>
      <w:r w:rsidRPr="00DC0143">
        <w:rPr>
          <w:rFonts w:cs="Traditional Arabic" w:hint="cs"/>
          <w:color w:val="000000"/>
          <w:sz w:val="24"/>
          <w:szCs w:val="28"/>
          <w:rtl/>
        </w:rPr>
        <w:t xml:space="preserve"> ما لم يوجد نص يقضي بغير ذلك</w:t>
      </w:r>
      <w:r>
        <w:rPr>
          <w:rFonts w:cs="Traditional Arabic" w:hint="cs"/>
          <w:color w:val="000000"/>
          <w:sz w:val="24"/>
          <w:szCs w:val="28"/>
          <w:rtl/>
        </w:rPr>
        <w:t xml:space="preserve"> .</w:t>
      </w:r>
      <w:r w:rsidRPr="00DC0143">
        <w:rPr>
          <w:rFonts w:cs="Traditional Arabic" w:hint="cs"/>
          <w:color w:val="000000"/>
          <w:sz w:val="24"/>
          <w:szCs w:val="28"/>
          <w:rtl/>
        </w:rPr>
        <w:t xml:space="preserve"> 2- يجب أن يكون العقار المرهون معينا بالذات تعييناً دقيقا من حيث طبيعته وموقعه</w:t>
      </w:r>
      <w:r>
        <w:rPr>
          <w:rFonts w:cs="Traditional Arabic" w:hint="cs"/>
          <w:color w:val="000000"/>
          <w:sz w:val="24"/>
          <w:szCs w:val="28"/>
          <w:rtl/>
        </w:rPr>
        <w:t xml:space="preserve"> ،</w:t>
      </w:r>
      <w:r w:rsidRPr="00DC0143">
        <w:rPr>
          <w:rFonts w:cs="Traditional Arabic" w:hint="cs"/>
          <w:color w:val="000000"/>
          <w:sz w:val="24"/>
          <w:szCs w:val="28"/>
          <w:rtl/>
        </w:rPr>
        <w:t xml:space="preserve"> وأن يكون التعيين واردا إما في عقد الرهن ذاه أو في عقد رسمي لاحق</w:t>
      </w:r>
      <w:r>
        <w:rPr>
          <w:rFonts w:cs="Traditional Arabic" w:hint="cs"/>
          <w:color w:val="000000"/>
          <w:sz w:val="24"/>
          <w:szCs w:val="28"/>
          <w:rtl/>
        </w:rPr>
        <w:t xml:space="preserve"> ،</w:t>
      </w:r>
      <w:r w:rsidRPr="00DC0143">
        <w:rPr>
          <w:rFonts w:cs="Traditional Arabic" w:hint="cs"/>
          <w:color w:val="000000"/>
          <w:sz w:val="24"/>
          <w:szCs w:val="28"/>
          <w:rtl/>
        </w:rPr>
        <w:t xml:space="preserve"> وإلا وقع الرهن باطلاً"</w:t>
      </w:r>
      <w:r>
        <w:rPr>
          <w:rFonts w:cs="Traditional Arabic" w:hint="cs"/>
          <w:color w:val="000000"/>
          <w:sz w:val="24"/>
          <w:szCs w:val="28"/>
          <w:rtl/>
        </w:rPr>
        <w:t xml:space="preserve"> .</w:t>
      </w:r>
      <w:r w:rsidRPr="00DC0143">
        <w:rPr>
          <w:rFonts w:cs="Traditional Arabic" w:hint="cs"/>
          <w:color w:val="000000"/>
          <w:sz w:val="24"/>
          <w:szCs w:val="28"/>
          <w:rtl/>
        </w:rPr>
        <w:t xml:space="preserve"> وقد عدلت لجنة المراجعة النص تعديلا لفظيا</w:t>
      </w:r>
      <w:r>
        <w:rPr>
          <w:rFonts w:cs="Traditional Arabic" w:hint="cs"/>
          <w:color w:val="000000"/>
          <w:sz w:val="24"/>
          <w:szCs w:val="28"/>
          <w:rtl/>
        </w:rPr>
        <w:t xml:space="preserve"> ،</w:t>
      </w:r>
      <w:r w:rsidRPr="00DC0143">
        <w:rPr>
          <w:rFonts w:cs="Traditional Arabic" w:hint="cs"/>
          <w:color w:val="000000"/>
          <w:sz w:val="24"/>
          <w:szCs w:val="28"/>
          <w:rtl/>
        </w:rPr>
        <w:t xml:space="preserve"> فأصبح تحت رقم 1130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عليه تحت رقم 1116ن ثم مجلس الشيوخ تحت رقم 1035 </w:t>
      </w:r>
      <w:r w:rsidRPr="00DC0143">
        <w:rPr>
          <w:rFonts w:cs="Traditional Arabic"/>
          <w:color w:val="000000"/>
          <w:sz w:val="24"/>
          <w:szCs w:val="28"/>
          <w:rtl/>
        </w:rPr>
        <w:t>–</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21 </w:t>
      </w:r>
      <w:r w:rsidRPr="00DC0143">
        <w:rPr>
          <w:rFonts w:cs="Traditional Arabic"/>
          <w:color w:val="000000"/>
          <w:sz w:val="24"/>
          <w:szCs w:val="28"/>
          <w:rtl/>
        </w:rPr>
        <w:t>–</w:t>
      </w:r>
      <w:r w:rsidRPr="00DC0143">
        <w:rPr>
          <w:rFonts w:cs="Traditional Arabic" w:hint="cs"/>
          <w:color w:val="000000"/>
          <w:sz w:val="24"/>
          <w:szCs w:val="28"/>
          <w:rtl/>
        </w:rPr>
        <w:t xml:space="preserve"> ص 23</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559/683</w:t>
      </w:r>
      <w:r>
        <w:rPr>
          <w:rFonts w:cs="Traditional Arabic" w:hint="cs"/>
          <w:color w:val="000000"/>
          <w:sz w:val="24"/>
          <w:szCs w:val="28"/>
          <w:rtl/>
        </w:rPr>
        <w:t xml:space="preserve"> :</w:t>
      </w:r>
      <w:r w:rsidRPr="00DC0143">
        <w:rPr>
          <w:rFonts w:cs="Traditional Arabic" w:hint="cs"/>
          <w:color w:val="000000"/>
          <w:sz w:val="24"/>
          <w:szCs w:val="28"/>
          <w:rtl/>
        </w:rPr>
        <w:t xml:space="preserve"> العقار الذي من شأنه جواز بيعه بالمزاد العلني هو الذي يجوز رهنه ورد غيره</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560/864</w:t>
      </w:r>
      <w:r>
        <w:rPr>
          <w:rFonts w:cs="Traditional Arabic" w:hint="cs"/>
          <w:color w:val="000000"/>
          <w:sz w:val="24"/>
          <w:szCs w:val="28"/>
          <w:rtl/>
        </w:rPr>
        <w:t xml:space="preserve"> :</w:t>
      </w:r>
      <w:r w:rsidRPr="00DC0143">
        <w:rPr>
          <w:rFonts w:cs="Traditional Arabic" w:hint="cs"/>
          <w:color w:val="000000"/>
          <w:sz w:val="24"/>
          <w:szCs w:val="28"/>
          <w:rtl/>
        </w:rPr>
        <w:t xml:space="preserve"> العقارات المرهونة يلزم تعيينها تعيينا كافيا جنسا ومحلا في عقد الرهن المتفق عليه وإلا كان الرهن لاغيا</w:t>
      </w:r>
      <w:r>
        <w:rPr>
          <w:rFonts w:cs="Traditional Arabic" w:hint="cs"/>
          <w:color w:val="000000"/>
          <w:sz w:val="24"/>
          <w:szCs w:val="28"/>
          <w:rtl/>
        </w:rPr>
        <w:t xml:space="preserve"> ،</w:t>
      </w:r>
      <w:r w:rsidRPr="00DC0143">
        <w:rPr>
          <w:rFonts w:cs="Traditional Arabic" w:hint="cs"/>
          <w:color w:val="000000"/>
          <w:sz w:val="24"/>
          <w:szCs w:val="28"/>
          <w:rtl/>
        </w:rPr>
        <w:t xml:space="preserve"> وكذلك يجب تعيين مقدار الدين في العقد</w:t>
      </w:r>
      <w:r>
        <w:rPr>
          <w:rFonts w:cs="Traditional Arabic" w:hint="cs"/>
          <w:color w:val="000000"/>
          <w:sz w:val="24"/>
          <w:szCs w:val="28"/>
          <w:rtl/>
        </w:rPr>
        <w:t xml:space="preserve"> .</w:t>
      </w:r>
    </w:p>
  </w:footnote>
  <w:footnote w:id="75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بيدان وفواران 13 فقرة 326 وما بعد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253 وما بعدها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51 ص 150 هامش 1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ص 36</w:t>
      </w:r>
      <w:r>
        <w:rPr>
          <w:rFonts w:cs="Traditional Arabic" w:hint="cs"/>
          <w:color w:val="000000"/>
          <w:sz w:val="24"/>
          <w:szCs w:val="28"/>
          <w:rtl/>
        </w:rPr>
        <w:t xml:space="preserve"> .</w:t>
      </w:r>
    </w:p>
  </w:footnote>
  <w:footnote w:id="75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مصطفى كمال طه في أصول القانون البحري فقرة 748 ص 737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51 ص 150 هامش 1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ص 36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10 ص 25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13</w:t>
      </w:r>
      <w:r>
        <w:rPr>
          <w:rFonts w:cs="Traditional Arabic" w:hint="cs"/>
          <w:color w:val="000000"/>
          <w:sz w:val="24"/>
          <w:szCs w:val="28"/>
          <w:rtl/>
        </w:rPr>
        <w:t xml:space="preserve"> .</w:t>
      </w:r>
    </w:p>
  </w:footnote>
  <w:footnote w:id="75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عدم جواز رهن حق الانتفاع شمس الدين الوكيل فقرة 52 </w:t>
      </w:r>
      <w:r w:rsidRPr="00DC0143">
        <w:rPr>
          <w:rFonts w:cs="Traditional Arabic"/>
          <w:color w:val="000000"/>
          <w:sz w:val="24"/>
          <w:szCs w:val="28"/>
          <w:rtl/>
        </w:rPr>
        <w:t>–</w:t>
      </w:r>
      <w:r w:rsidRPr="00DC0143">
        <w:rPr>
          <w:rFonts w:cs="Traditional Arabic" w:hint="cs"/>
          <w:color w:val="000000"/>
          <w:sz w:val="24"/>
          <w:szCs w:val="28"/>
          <w:rtl/>
        </w:rPr>
        <w:t xml:space="preserve"> ص 153 </w:t>
      </w:r>
      <w:r w:rsidRPr="00DC0143">
        <w:rPr>
          <w:rFonts w:cs="Traditional Arabic"/>
          <w:color w:val="000000"/>
          <w:sz w:val="24"/>
          <w:szCs w:val="28"/>
          <w:rtl/>
        </w:rPr>
        <w:t>–</w:t>
      </w:r>
      <w:r w:rsidRPr="00DC0143">
        <w:rPr>
          <w:rFonts w:cs="Traditional Arabic" w:hint="cs"/>
          <w:color w:val="000000"/>
          <w:sz w:val="24"/>
          <w:szCs w:val="28"/>
          <w:rtl/>
        </w:rPr>
        <w:t xml:space="preserve"> ص 156 </w:t>
      </w:r>
      <w:r w:rsidRPr="00DC0143">
        <w:rPr>
          <w:rFonts w:cs="Traditional Arabic"/>
          <w:color w:val="000000"/>
          <w:sz w:val="24"/>
          <w:szCs w:val="28"/>
          <w:rtl/>
        </w:rPr>
        <w:t>–</w:t>
      </w:r>
      <w:r w:rsidRPr="00DC0143">
        <w:rPr>
          <w:rFonts w:cs="Traditional Arabic" w:hint="cs"/>
          <w:color w:val="000000"/>
          <w:sz w:val="24"/>
          <w:szCs w:val="28"/>
          <w:rtl/>
        </w:rPr>
        <w:t xml:space="preserve"> ولكن لا شك في أن حق الانتفاع العقاري عقار</w:t>
      </w:r>
      <w:r>
        <w:rPr>
          <w:rFonts w:cs="Traditional Arabic" w:hint="cs"/>
          <w:color w:val="000000"/>
          <w:sz w:val="24"/>
          <w:szCs w:val="28"/>
          <w:rtl/>
        </w:rPr>
        <w:t xml:space="preserve"> ،</w:t>
      </w:r>
      <w:r w:rsidRPr="00DC0143">
        <w:rPr>
          <w:rFonts w:cs="Traditional Arabic" w:hint="cs"/>
          <w:color w:val="000000"/>
          <w:sz w:val="24"/>
          <w:szCs w:val="28"/>
          <w:rtl/>
        </w:rPr>
        <w:t xml:space="preserve"> يجوز رهنه رهناً رسمياً</w:t>
      </w:r>
      <w:r>
        <w:rPr>
          <w:rFonts w:cs="Traditional Arabic" w:hint="cs"/>
          <w:color w:val="000000"/>
          <w:sz w:val="24"/>
          <w:szCs w:val="28"/>
          <w:rtl/>
        </w:rPr>
        <w:t xml:space="preserve"> ،</w:t>
      </w:r>
      <w:r w:rsidRPr="00DC0143">
        <w:rPr>
          <w:rFonts w:cs="Traditional Arabic" w:hint="cs"/>
          <w:color w:val="000000"/>
          <w:sz w:val="24"/>
          <w:szCs w:val="28"/>
          <w:rtl/>
        </w:rPr>
        <w:t xml:space="preserve"> وهذا هو الرأي السائد في مصر </w:t>
      </w:r>
      <w:r>
        <w:rPr>
          <w:rFonts w:cs="Traditional Arabic" w:hint="cs"/>
          <w:color w:val="000000"/>
          <w:sz w:val="24"/>
          <w:szCs w:val="28"/>
          <w:rtl/>
        </w:rPr>
        <w:t xml:space="preserve">( </w:t>
      </w:r>
      <w:r w:rsidRPr="00DC0143">
        <w:rPr>
          <w:rFonts w:cs="Traditional Arabic" w:hint="cs"/>
          <w:color w:val="000000"/>
          <w:sz w:val="24"/>
          <w:szCs w:val="28"/>
          <w:rtl/>
        </w:rPr>
        <w:t xml:space="preserve">سليمان مرقس فقرة 27 ص 37 </w:t>
      </w:r>
      <w:r w:rsidRPr="00DC0143">
        <w:rPr>
          <w:rFonts w:cs="Traditional Arabic"/>
          <w:color w:val="000000"/>
          <w:sz w:val="24"/>
          <w:szCs w:val="28"/>
          <w:rtl/>
        </w:rPr>
        <w:t>–</w:t>
      </w:r>
      <w:r w:rsidRPr="00DC0143">
        <w:rPr>
          <w:rFonts w:cs="Traditional Arabic" w:hint="cs"/>
          <w:color w:val="000000"/>
          <w:sz w:val="24"/>
          <w:szCs w:val="28"/>
          <w:rtl/>
        </w:rPr>
        <w:t xml:space="preserve"> ص 38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ص 33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210 ص 315</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وحق الانتفاع يزول حتما بموت المنتفع</w:t>
      </w:r>
      <w:r>
        <w:rPr>
          <w:rFonts w:cs="Traditional Arabic" w:hint="cs"/>
          <w:color w:val="000000"/>
          <w:sz w:val="24"/>
          <w:szCs w:val="28"/>
          <w:rtl/>
        </w:rPr>
        <w:t xml:space="preserve"> ،</w:t>
      </w:r>
      <w:r w:rsidRPr="00DC0143">
        <w:rPr>
          <w:rFonts w:cs="Traditional Arabic" w:hint="cs"/>
          <w:color w:val="000000"/>
          <w:sz w:val="24"/>
          <w:szCs w:val="28"/>
          <w:rtl/>
        </w:rPr>
        <w:t xml:space="preserve"> فيزول الرهن بزوال محله </w:t>
      </w:r>
      <w:r w:rsidRPr="00DC0143">
        <w:rPr>
          <w:rFonts w:cs="Traditional Arabic"/>
          <w:color w:val="000000"/>
          <w:sz w:val="24"/>
          <w:szCs w:val="28"/>
          <w:rtl/>
        </w:rPr>
        <w:t>–</w:t>
      </w:r>
      <w:r w:rsidRPr="00DC0143">
        <w:rPr>
          <w:rFonts w:cs="Traditional Arabic" w:hint="cs"/>
          <w:color w:val="000000"/>
          <w:sz w:val="24"/>
          <w:szCs w:val="28"/>
          <w:rtl/>
        </w:rPr>
        <w:t xml:space="preserve"> وكذلك ينتهي بانتهاء أجله</w:t>
      </w:r>
      <w:r>
        <w:rPr>
          <w:rFonts w:cs="Traditional Arabic" w:hint="cs"/>
          <w:color w:val="000000"/>
          <w:sz w:val="24"/>
          <w:szCs w:val="28"/>
          <w:rtl/>
        </w:rPr>
        <w:t xml:space="preserve"> ،</w:t>
      </w:r>
      <w:r w:rsidRPr="00DC0143">
        <w:rPr>
          <w:rFonts w:cs="Traditional Arabic" w:hint="cs"/>
          <w:color w:val="000000"/>
          <w:sz w:val="24"/>
          <w:szCs w:val="28"/>
          <w:rtl/>
        </w:rPr>
        <w:t xml:space="preserve"> فيزول الرهن كذلك</w:t>
      </w:r>
      <w:r>
        <w:rPr>
          <w:rFonts w:cs="Traditional Arabic" w:hint="cs"/>
          <w:color w:val="000000"/>
          <w:sz w:val="24"/>
          <w:szCs w:val="28"/>
          <w:rtl/>
        </w:rPr>
        <w:t xml:space="preserve"> ،</w:t>
      </w:r>
      <w:r w:rsidRPr="00DC0143">
        <w:rPr>
          <w:rFonts w:cs="Traditional Arabic" w:hint="cs"/>
          <w:color w:val="000000"/>
          <w:sz w:val="24"/>
          <w:szCs w:val="28"/>
          <w:rtl/>
        </w:rPr>
        <w:t xml:space="preserve"> وإذا رهن حق الانتفاع</w:t>
      </w:r>
      <w:r>
        <w:rPr>
          <w:rFonts w:cs="Traditional Arabic" w:hint="cs"/>
          <w:color w:val="000000"/>
          <w:sz w:val="24"/>
          <w:szCs w:val="28"/>
          <w:rtl/>
        </w:rPr>
        <w:t xml:space="preserve"> ،</w:t>
      </w:r>
      <w:r w:rsidRPr="00DC0143">
        <w:rPr>
          <w:rFonts w:cs="Traditional Arabic" w:hint="cs"/>
          <w:color w:val="000000"/>
          <w:sz w:val="24"/>
          <w:szCs w:val="28"/>
          <w:rtl/>
        </w:rPr>
        <w:t xml:space="preserve"> وجيب إلا يكون ذلك لأزيد من مدته</w:t>
      </w:r>
      <w:r>
        <w:rPr>
          <w:rFonts w:cs="Traditional Arabic" w:hint="cs"/>
          <w:color w:val="000000"/>
          <w:sz w:val="24"/>
          <w:szCs w:val="28"/>
          <w:rtl/>
        </w:rPr>
        <w:t xml:space="preserve"> .</w:t>
      </w:r>
      <w:r w:rsidRPr="00DC0143">
        <w:rPr>
          <w:rFonts w:cs="Traditional Arabic" w:hint="cs"/>
          <w:color w:val="000000"/>
          <w:sz w:val="24"/>
          <w:szCs w:val="28"/>
          <w:rtl/>
        </w:rPr>
        <w:t xml:space="preserve"> ولا يدخل في الرهن حق المنتفع في جني الثمار وقبضها</w:t>
      </w:r>
      <w:r>
        <w:rPr>
          <w:rFonts w:cs="Traditional Arabic" w:hint="cs"/>
          <w:color w:val="000000"/>
          <w:sz w:val="24"/>
          <w:szCs w:val="28"/>
          <w:rtl/>
        </w:rPr>
        <w:t xml:space="preserve"> ،</w:t>
      </w:r>
      <w:r w:rsidRPr="00DC0143">
        <w:rPr>
          <w:rFonts w:cs="Traditional Arabic" w:hint="cs"/>
          <w:color w:val="000000"/>
          <w:sz w:val="24"/>
          <w:szCs w:val="28"/>
          <w:rtl/>
        </w:rPr>
        <w:t xml:space="preserve"> ولا يتقدم الدائن المرتهن في ثمن هذه الثمار</w:t>
      </w:r>
      <w:r>
        <w:rPr>
          <w:rFonts w:cs="Traditional Arabic" w:hint="cs"/>
          <w:color w:val="000000"/>
          <w:sz w:val="24"/>
          <w:szCs w:val="28"/>
          <w:rtl/>
        </w:rPr>
        <w:t xml:space="preserve"> ،</w:t>
      </w:r>
      <w:r w:rsidRPr="00DC0143">
        <w:rPr>
          <w:rFonts w:cs="Traditional Arabic" w:hint="cs"/>
          <w:color w:val="000000"/>
          <w:sz w:val="24"/>
          <w:szCs w:val="28"/>
          <w:rtl/>
        </w:rPr>
        <w:t xml:space="preserve"> وإنما يتركز حقه في حق الانتفاع ذاته لا فيما ينتجه من ثمار</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التحقت الثمار بحق الانتفاع عند نزع ملكية هذا الحق</w:t>
      </w:r>
      <w:r>
        <w:rPr>
          <w:rFonts w:cs="Traditional Arabic" w:hint="cs"/>
          <w:color w:val="000000"/>
          <w:sz w:val="24"/>
          <w:szCs w:val="28"/>
          <w:rtl/>
        </w:rPr>
        <w:t xml:space="preserve"> .</w:t>
      </w:r>
      <w:r w:rsidRPr="00DC0143">
        <w:rPr>
          <w:rFonts w:cs="Traditional Arabic" w:hint="cs"/>
          <w:color w:val="000000"/>
          <w:sz w:val="24"/>
          <w:szCs w:val="28"/>
          <w:rtl/>
        </w:rPr>
        <w:t xml:space="preserve"> ولا يجوز للمالك أن يرهن من ملكه حق الانتفاع</w:t>
      </w:r>
      <w:r>
        <w:rPr>
          <w:rFonts w:cs="Traditional Arabic" w:hint="cs"/>
          <w:color w:val="000000"/>
          <w:sz w:val="24"/>
          <w:szCs w:val="28"/>
          <w:rtl/>
        </w:rPr>
        <w:t xml:space="preserve"> ،</w:t>
      </w:r>
      <w:r w:rsidRPr="00DC0143">
        <w:rPr>
          <w:rFonts w:cs="Traditional Arabic" w:hint="cs"/>
          <w:color w:val="000000"/>
          <w:sz w:val="24"/>
          <w:szCs w:val="28"/>
          <w:rtl/>
        </w:rPr>
        <w:t xml:space="preserve"> لأن حق الملكية للكامل لا يقبل ظهورا لحق الانتفاع </w:t>
      </w:r>
      <w:r>
        <w:rPr>
          <w:rFonts w:cs="Traditional Arabic" w:hint="cs"/>
          <w:color w:val="000000"/>
          <w:sz w:val="24"/>
          <w:szCs w:val="28"/>
          <w:rtl/>
        </w:rPr>
        <w:t xml:space="preserve">( </w:t>
      </w:r>
      <w:r w:rsidRPr="00DC0143">
        <w:rPr>
          <w:rFonts w:cs="Traditional Arabic" w:hint="cs"/>
          <w:color w:val="000000"/>
          <w:sz w:val="24"/>
          <w:szCs w:val="28"/>
          <w:rtl/>
        </w:rPr>
        <w:t xml:space="preserve">بلانيول وريبير وبيكيه 12 فقرة 355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ص 38 هامش 2</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فإذا انضم إلى الرقبة حق الانتفاع وأصبحت الملية كاملة</w:t>
      </w:r>
      <w:r>
        <w:rPr>
          <w:rFonts w:cs="Traditional Arabic" w:hint="cs"/>
          <w:color w:val="000000"/>
          <w:sz w:val="24"/>
          <w:szCs w:val="28"/>
          <w:rtl/>
        </w:rPr>
        <w:t xml:space="preserve"> ،</w:t>
      </w:r>
      <w:r w:rsidRPr="00DC0143">
        <w:rPr>
          <w:rFonts w:cs="Traditional Arabic" w:hint="cs"/>
          <w:color w:val="000000"/>
          <w:sz w:val="24"/>
          <w:szCs w:val="28"/>
          <w:rtl/>
        </w:rPr>
        <w:t xml:space="preserve"> شمل رهن الرقبة هذه الملكية الكاملة</w:t>
      </w:r>
      <w:r>
        <w:rPr>
          <w:rFonts w:cs="Traditional Arabic" w:hint="cs"/>
          <w:color w:val="000000"/>
          <w:sz w:val="24"/>
          <w:szCs w:val="28"/>
          <w:rtl/>
        </w:rPr>
        <w:t xml:space="preserve"> ،</w:t>
      </w:r>
      <w:r w:rsidRPr="00DC0143">
        <w:rPr>
          <w:rFonts w:cs="Traditional Arabic" w:hint="cs"/>
          <w:color w:val="000000"/>
          <w:sz w:val="24"/>
          <w:szCs w:val="28"/>
          <w:rtl/>
        </w:rPr>
        <w:t xml:space="preserve"> ذلك لأن حق الانتفاع يعتبر من ملحقات الرقبة</w:t>
      </w:r>
      <w:r>
        <w:rPr>
          <w:rFonts w:cs="Traditional Arabic" w:hint="cs"/>
          <w:color w:val="000000"/>
          <w:sz w:val="24"/>
          <w:szCs w:val="28"/>
          <w:rtl/>
        </w:rPr>
        <w:t xml:space="preserve"> ،</w:t>
      </w:r>
      <w:r w:rsidRPr="00DC0143">
        <w:rPr>
          <w:rFonts w:cs="Traditional Arabic" w:hint="cs"/>
          <w:color w:val="000000"/>
          <w:sz w:val="24"/>
          <w:szCs w:val="28"/>
          <w:rtl/>
        </w:rPr>
        <w:t xml:space="preserve"> إذ انضم إليها</w:t>
      </w:r>
      <w:r>
        <w:rPr>
          <w:rFonts w:cs="Traditional Arabic" w:hint="cs"/>
          <w:color w:val="000000"/>
          <w:sz w:val="24"/>
          <w:szCs w:val="28"/>
          <w:rtl/>
        </w:rPr>
        <w:t xml:space="preserve"> ،</w:t>
      </w:r>
      <w:r w:rsidRPr="00DC0143">
        <w:rPr>
          <w:rFonts w:cs="Traditional Arabic" w:hint="cs"/>
          <w:color w:val="000000"/>
          <w:sz w:val="24"/>
          <w:szCs w:val="28"/>
          <w:rtl/>
        </w:rPr>
        <w:t xml:space="preserve"> فيشمله الرهن</w:t>
      </w:r>
      <w:r>
        <w:rPr>
          <w:rFonts w:cs="Traditional Arabic" w:hint="cs"/>
          <w:color w:val="000000"/>
          <w:sz w:val="24"/>
          <w:szCs w:val="28"/>
          <w:rtl/>
        </w:rPr>
        <w:t xml:space="preserve"> .</w:t>
      </w:r>
      <w:r w:rsidRPr="00DC0143">
        <w:rPr>
          <w:rFonts w:cs="Traditional Arabic" w:hint="cs"/>
          <w:color w:val="000000"/>
          <w:sz w:val="24"/>
          <w:szCs w:val="28"/>
          <w:rtl/>
        </w:rPr>
        <w:t xml:space="preserve"> ولكن العكس غير صحيح</w:t>
      </w:r>
      <w:r>
        <w:rPr>
          <w:rFonts w:cs="Traditional Arabic" w:hint="cs"/>
          <w:color w:val="000000"/>
          <w:sz w:val="24"/>
          <w:szCs w:val="28"/>
          <w:rtl/>
        </w:rPr>
        <w:t xml:space="preserve"> ،</w:t>
      </w:r>
      <w:r w:rsidRPr="00DC0143">
        <w:rPr>
          <w:rFonts w:cs="Traditional Arabic" w:hint="cs"/>
          <w:color w:val="000000"/>
          <w:sz w:val="24"/>
          <w:szCs w:val="28"/>
          <w:rtl/>
        </w:rPr>
        <w:t xml:space="preserve"> فإذا ملك صاحب حق الانتفاع المرهون الرقبة</w:t>
      </w:r>
      <w:r>
        <w:rPr>
          <w:rFonts w:cs="Traditional Arabic" w:hint="cs"/>
          <w:color w:val="000000"/>
          <w:sz w:val="24"/>
          <w:szCs w:val="28"/>
          <w:rtl/>
        </w:rPr>
        <w:t xml:space="preserve"> ،</w:t>
      </w:r>
      <w:r w:rsidRPr="00DC0143">
        <w:rPr>
          <w:rFonts w:cs="Traditional Arabic" w:hint="cs"/>
          <w:color w:val="000000"/>
          <w:sz w:val="24"/>
          <w:szCs w:val="28"/>
          <w:rtl/>
        </w:rPr>
        <w:t xml:space="preserve"> أصبح مالكاً ملكية كاملة</w:t>
      </w:r>
      <w:r>
        <w:rPr>
          <w:rFonts w:cs="Traditional Arabic" w:hint="cs"/>
          <w:color w:val="000000"/>
          <w:sz w:val="24"/>
          <w:szCs w:val="28"/>
          <w:rtl/>
        </w:rPr>
        <w:t xml:space="preserve"> ،</w:t>
      </w:r>
      <w:r w:rsidRPr="00DC0143">
        <w:rPr>
          <w:rFonts w:cs="Traditional Arabic" w:hint="cs"/>
          <w:color w:val="000000"/>
          <w:sz w:val="24"/>
          <w:szCs w:val="28"/>
          <w:rtl/>
        </w:rPr>
        <w:t xml:space="preserve"> ولكن حق الانتفاع وحده يبقى مرهونا </w:t>
      </w:r>
      <w:r>
        <w:rPr>
          <w:rFonts w:cs="Traditional Arabic" w:hint="cs"/>
          <w:color w:val="000000"/>
          <w:sz w:val="24"/>
          <w:szCs w:val="28"/>
          <w:rtl/>
        </w:rPr>
        <w:t xml:space="preserve">( </w:t>
      </w:r>
      <w:r w:rsidRPr="00DC0143">
        <w:rPr>
          <w:rFonts w:cs="Traditional Arabic" w:hint="cs"/>
          <w:color w:val="000000"/>
          <w:sz w:val="24"/>
          <w:szCs w:val="28"/>
          <w:rtl/>
        </w:rPr>
        <w:t xml:space="preserve">سليمان مرقس فقرة 27 ص 38 </w:t>
      </w:r>
      <w:r w:rsidRPr="00DC0143">
        <w:rPr>
          <w:rFonts w:cs="Traditional Arabic"/>
          <w:color w:val="000000"/>
          <w:sz w:val="24"/>
          <w:szCs w:val="28"/>
          <w:rtl/>
        </w:rPr>
        <w:t>–</w:t>
      </w:r>
      <w:r w:rsidRPr="00DC0143">
        <w:rPr>
          <w:rFonts w:cs="Traditional Arabic" w:hint="cs"/>
          <w:color w:val="000000"/>
          <w:sz w:val="24"/>
          <w:szCs w:val="28"/>
          <w:rtl/>
        </w:rPr>
        <w:t xml:space="preserve"> 39</w:t>
      </w:r>
      <w:r>
        <w:rPr>
          <w:rFonts w:cs="Traditional Arabic" w:hint="cs"/>
          <w:color w:val="000000"/>
          <w:sz w:val="24"/>
          <w:szCs w:val="28"/>
          <w:rtl/>
        </w:rPr>
        <w:t xml:space="preserve"> ) .</w:t>
      </w:r>
    </w:p>
  </w:footnote>
  <w:footnote w:id="75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944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1660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w:t>
      </w:r>
      <w:r w:rsidRPr="00DC0143">
        <w:rPr>
          <w:rFonts w:cs="Traditional Arabic"/>
          <w:color w:val="000000"/>
          <w:sz w:val="24"/>
          <w:szCs w:val="28"/>
          <w:rtl/>
        </w:rPr>
        <w:t>–</w:t>
      </w:r>
      <w:r w:rsidRPr="00DC0143">
        <w:rPr>
          <w:rFonts w:cs="Traditional Arabic" w:hint="cs"/>
          <w:color w:val="000000"/>
          <w:sz w:val="24"/>
          <w:szCs w:val="28"/>
          <w:rtl/>
        </w:rPr>
        <w:t xml:space="preserve"> ص 39</w:t>
      </w:r>
      <w:r>
        <w:rPr>
          <w:rFonts w:cs="Traditional Arabic" w:hint="cs"/>
          <w:color w:val="000000"/>
          <w:sz w:val="24"/>
          <w:szCs w:val="28"/>
          <w:rtl/>
        </w:rPr>
        <w:t xml:space="preserve"> .</w:t>
      </w:r>
    </w:p>
  </w:footnote>
  <w:footnote w:id="75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947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1659</w:t>
      </w:r>
      <w:r>
        <w:rPr>
          <w:rFonts w:cs="Traditional Arabic" w:hint="cs"/>
          <w:color w:val="000000"/>
          <w:sz w:val="24"/>
          <w:szCs w:val="28"/>
          <w:rtl/>
        </w:rPr>
        <w:t xml:space="preserve"> .</w:t>
      </w:r>
    </w:p>
  </w:footnote>
  <w:footnote w:id="76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جرانمولان فقرة 332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51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52 ص 156 هامش 1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35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28 ص 40 </w:t>
      </w:r>
      <w:r w:rsidRPr="00DC0143">
        <w:rPr>
          <w:rFonts w:cs="Traditional Arabic"/>
          <w:color w:val="000000"/>
          <w:sz w:val="24"/>
          <w:szCs w:val="28"/>
          <w:rtl/>
        </w:rPr>
        <w:t>–</w:t>
      </w:r>
      <w:r w:rsidRPr="00DC0143">
        <w:rPr>
          <w:rFonts w:cs="Traditional Arabic" w:hint="cs"/>
          <w:color w:val="000000"/>
          <w:sz w:val="24"/>
          <w:szCs w:val="28"/>
          <w:rtl/>
        </w:rPr>
        <w:t xml:space="preserve"> وإن كان الأستاذ سليمان مرقس يرى إعادة النظر في هذا الرأي</w:t>
      </w:r>
      <w:r>
        <w:rPr>
          <w:rFonts w:cs="Traditional Arabic" w:hint="cs"/>
          <w:color w:val="000000"/>
          <w:sz w:val="24"/>
          <w:szCs w:val="28"/>
          <w:rtl/>
        </w:rPr>
        <w:t xml:space="preserve"> ،</w:t>
      </w:r>
      <w:r w:rsidRPr="00DC0143">
        <w:rPr>
          <w:rFonts w:cs="Traditional Arabic" w:hint="cs"/>
          <w:color w:val="000000"/>
          <w:sz w:val="24"/>
          <w:szCs w:val="28"/>
          <w:rtl/>
        </w:rPr>
        <w:t xml:space="preserve"> ويقدم الأدلة التي تدعو لذلك </w:t>
      </w:r>
      <w:r>
        <w:rPr>
          <w:rFonts w:cs="Traditional Arabic" w:hint="cs"/>
          <w:color w:val="000000"/>
          <w:sz w:val="24"/>
          <w:szCs w:val="28"/>
          <w:rtl/>
        </w:rPr>
        <w:t xml:space="preserve">( </w:t>
      </w:r>
      <w:r w:rsidRPr="00DC0143">
        <w:rPr>
          <w:rFonts w:cs="Traditional Arabic" w:hint="cs"/>
          <w:color w:val="000000"/>
          <w:sz w:val="24"/>
          <w:szCs w:val="28"/>
          <w:rtl/>
        </w:rPr>
        <w:t>سليمان مرقس فقرة 28 ص 40 هامش 2</w:t>
      </w:r>
      <w:r>
        <w:rPr>
          <w:rFonts w:cs="Traditional Arabic" w:hint="cs"/>
          <w:color w:val="000000"/>
          <w:sz w:val="24"/>
          <w:szCs w:val="28"/>
          <w:rtl/>
        </w:rPr>
        <w:t xml:space="preserve"> ) .</w:t>
      </w:r>
    </w:p>
  </w:footnote>
  <w:footnote w:id="76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366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13 فقرة 357 ص 368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35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52 ص 156 هامش 1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28 ص 40 </w:t>
      </w:r>
      <w:r w:rsidRPr="00DC0143">
        <w:rPr>
          <w:rFonts w:cs="Traditional Arabic"/>
          <w:color w:val="000000"/>
          <w:sz w:val="24"/>
          <w:szCs w:val="28"/>
          <w:rtl/>
        </w:rPr>
        <w:t>–</w:t>
      </w:r>
      <w:r w:rsidRPr="00DC0143">
        <w:rPr>
          <w:rFonts w:cs="Traditional Arabic" w:hint="cs"/>
          <w:color w:val="000000"/>
          <w:sz w:val="24"/>
          <w:szCs w:val="28"/>
          <w:rtl/>
        </w:rPr>
        <w:t xml:space="preserve"> ص 41</w:t>
      </w:r>
      <w:r>
        <w:rPr>
          <w:rFonts w:cs="Traditional Arabic" w:hint="cs"/>
          <w:color w:val="000000"/>
          <w:sz w:val="24"/>
          <w:szCs w:val="28"/>
          <w:rtl/>
        </w:rPr>
        <w:t xml:space="preserve"> .</w:t>
      </w:r>
    </w:p>
  </w:footnote>
  <w:footnote w:id="76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ص 22</w:t>
      </w:r>
      <w:r>
        <w:rPr>
          <w:rFonts w:cs="Traditional Arabic" w:hint="cs"/>
          <w:color w:val="000000"/>
          <w:sz w:val="24"/>
          <w:szCs w:val="28"/>
          <w:rtl/>
        </w:rPr>
        <w:t xml:space="preserve"> .</w:t>
      </w:r>
    </w:p>
  </w:footnote>
  <w:footnote w:id="76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عبد الفتاح عبد الباقي فقرة 208 ص 313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25 ص 28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ص 36 </w:t>
      </w:r>
      <w:r w:rsidRPr="00DC0143">
        <w:rPr>
          <w:rFonts w:cs="Traditional Arabic"/>
          <w:color w:val="000000"/>
          <w:sz w:val="24"/>
          <w:szCs w:val="28"/>
          <w:rtl/>
        </w:rPr>
        <w:t>–</w:t>
      </w:r>
      <w:r w:rsidRPr="00DC0143">
        <w:rPr>
          <w:rFonts w:cs="Traditional Arabic" w:hint="cs"/>
          <w:color w:val="000000"/>
          <w:sz w:val="24"/>
          <w:szCs w:val="28"/>
          <w:rtl/>
        </w:rPr>
        <w:t xml:space="preserve"> ويلاحظ أنه قد يكون الغرض من شروط المنع من التصرف لا يتعارض مع بيع العقار في المزاد</w:t>
      </w:r>
      <w:r>
        <w:rPr>
          <w:rFonts w:cs="Traditional Arabic" w:hint="cs"/>
          <w:color w:val="000000"/>
          <w:sz w:val="24"/>
          <w:szCs w:val="28"/>
          <w:rtl/>
        </w:rPr>
        <w:t xml:space="preserve"> ،</w:t>
      </w:r>
      <w:r w:rsidRPr="00DC0143">
        <w:rPr>
          <w:rFonts w:cs="Traditional Arabic" w:hint="cs"/>
          <w:color w:val="000000"/>
          <w:sz w:val="24"/>
          <w:szCs w:val="28"/>
          <w:rtl/>
        </w:rPr>
        <w:t xml:space="preserve"> وعندئذ يجوز رهن العقار المبيع حتى يفي المشتري بالثمن</w:t>
      </w:r>
      <w:r>
        <w:rPr>
          <w:rFonts w:cs="Traditional Arabic" w:hint="cs"/>
          <w:color w:val="000000"/>
          <w:sz w:val="24"/>
          <w:szCs w:val="28"/>
          <w:rtl/>
        </w:rPr>
        <w:t xml:space="preserve"> ،</w:t>
      </w:r>
      <w:r w:rsidRPr="00DC0143">
        <w:rPr>
          <w:rFonts w:cs="Traditional Arabic" w:hint="cs"/>
          <w:color w:val="000000"/>
          <w:sz w:val="24"/>
          <w:szCs w:val="28"/>
          <w:rtl/>
        </w:rPr>
        <w:t xml:space="preserve"> فهنا يجوز للمشتري أن يرهن العقار المبيع</w:t>
      </w:r>
      <w:r>
        <w:rPr>
          <w:rFonts w:cs="Traditional Arabic" w:hint="cs"/>
          <w:color w:val="000000"/>
          <w:sz w:val="24"/>
          <w:szCs w:val="28"/>
          <w:rtl/>
        </w:rPr>
        <w:t xml:space="preserve"> ،</w:t>
      </w:r>
      <w:r w:rsidRPr="00DC0143">
        <w:rPr>
          <w:rFonts w:cs="Traditional Arabic" w:hint="cs"/>
          <w:color w:val="000000"/>
          <w:sz w:val="24"/>
          <w:szCs w:val="28"/>
          <w:rtl/>
        </w:rPr>
        <w:t xml:space="preserve"> لأن الدائن المرتهن إذا أراد بيع العقار طهره حتما مما عليه من تأمينات بما في ذلك امتياز البائع</w:t>
      </w:r>
      <w:r>
        <w:rPr>
          <w:rFonts w:cs="Traditional Arabic" w:hint="cs"/>
          <w:color w:val="000000"/>
          <w:sz w:val="24"/>
          <w:szCs w:val="28"/>
          <w:rtl/>
        </w:rPr>
        <w:t xml:space="preserve"> .</w:t>
      </w:r>
      <w:r w:rsidRPr="00DC0143">
        <w:rPr>
          <w:rFonts w:cs="Traditional Arabic" w:hint="cs"/>
          <w:color w:val="000000"/>
          <w:sz w:val="24"/>
          <w:szCs w:val="28"/>
          <w:rtl/>
        </w:rPr>
        <w:t xml:space="preserve"> فيستوفي البائع حقه أولا دون أن يتتبع العقار</w:t>
      </w:r>
      <w:r>
        <w:rPr>
          <w:rFonts w:cs="Traditional Arabic" w:hint="cs"/>
          <w:color w:val="000000"/>
          <w:sz w:val="24"/>
          <w:szCs w:val="28"/>
          <w:rtl/>
        </w:rPr>
        <w:t xml:space="preserve"> ،</w:t>
      </w:r>
      <w:r w:rsidRPr="00DC0143">
        <w:rPr>
          <w:rFonts w:cs="Traditional Arabic" w:hint="cs"/>
          <w:color w:val="000000"/>
          <w:sz w:val="24"/>
          <w:szCs w:val="28"/>
          <w:rtl/>
        </w:rPr>
        <w:t xml:space="preserve"> ثم يستوفي الدائن المرتهن بعد ذلك حقه المضمون بالرهن </w:t>
      </w:r>
      <w:r>
        <w:rPr>
          <w:rFonts w:cs="Traditional Arabic" w:hint="cs"/>
          <w:color w:val="000000"/>
          <w:sz w:val="24"/>
          <w:szCs w:val="28"/>
          <w:rtl/>
        </w:rPr>
        <w:t xml:space="preserve">( </w:t>
      </w:r>
      <w:r w:rsidRPr="00DC0143">
        <w:rPr>
          <w:rFonts w:cs="Traditional Arabic" w:hint="cs"/>
          <w:color w:val="000000"/>
          <w:sz w:val="24"/>
          <w:szCs w:val="28"/>
          <w:rtl/>
        </w:rPr>
        <w:t xml:space="preserve">إسماعيل غانم في الحقوق العينية الأصلية 2 ص 69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52 ص 156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51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42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11 ص 26 </w:t>
      </w:r>
      <w:r w:rsidRPr="00DC0143">
        <w:rPr>
          <w:rFonts w:cs="Traditional Arabic"/>
          <w:color w:val="000000"/>
          <w:sz w:val="24"/>
          <w:szCs w:val="28"/>
          <w:rtl/>
        </w:rPr>
        <w:t>–</w:t>
      </w:r>
      <w:r w:rsidRPr="00DC0143">
        <w:rPr>
          <w:rFonts w:cs="Traditional Arabic" w:hint="cs"/>
          <w:color w:val="000000"/>
          <w:sz w:val="24"/>
          <w:szCs w:val="28"/>
          <w:rtl/>
        </w:rPr>
        <w:t xml:space="preserve"> ص 27</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76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22</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ونرى مع بعض الفقهاء أن جواز التعامل في العقار المرهون معناه</w:t>
      </w:r>
      <w:r>
        <w:rPr>
          <w:rFonts w:cs="Traditional Arabic" w:hint="cs"/>
          <w:color w:val="000000"/>
          <w:sz w:val="24"/>
          <w:szCs w:val="28"/>
          <w:rtl/>
        </w:rPr>
        <w:t xml:space="preserve"> ،</w:t>
      </w:r>
      <w:r w:rsidRPr="00DC0143">
        <w:rPr>
          <w:rFonts w:cs="Traditional Arabic" w:hint="cs"/>
          <w:color w:val="000000"/>
          <w:sz w:val="24"/>
          <w:szCs w:val="28"/>
          <w:rtl/>
        </w:rPr>
        <w:t xml:space="preserve"> أن هذا العقار يجوز بيعه بالمزاد العلني </w:t>
      </w:r>
      <w:r>
        <w:rPr>
          <w:rFonts w:cs="Traditional Arabic" w:hint="cs"/>
          <w:color w:val="000000"/>
          <w:sz w:val="24"/>
          <w:szCs w:val="28"/>
          <w:rtl/>
        </w:rPr>
        <w:t xml:space="preserve">( </w:t>
      </w:r>
      <w:r w:rsidRPr="00DC0143">
        <w:rPr>
          <w:rFonts w:cs="Traditional Arabic" w:hint="cs"/>
          <w:color w:val="000000"/>
          <w:sz w:val="24"/>
          <w:szCs w:val="28"/>
          <w:rtl/>
        </w:rPr>
        <w:t xml:space="preserve">انظر شفيق شحاته فقرة 27 </w:t>
      </w:r>
      <w:r w:rsidRPr="00DC0143">
        <w:rPr>
          <w:rFonts w:cs="Traditional Arabic"/>
          <w:color w:val="000000"/>
          <w:sz w:val="24"/>
          <w:szCs w:val="28"/>
          <w:rtl/>
        </w:rPr>
        <w:t>–</w:t>
      </w:r>
      <w:r w:rsidRPr="00DC0143">
        <w:rPr>
          <w:rFonts w:cs="Traditional Arabic" w:hint="cs"/>
          <w:color w:val="000000"/>
          <w:sz w:val="24"/>
          <w:szCs w:val="28"/>
          <w:rtl/>
        </w:rPr>
        <w:t xml:space="preserve"> وانظر شمس الدين الوكيل فقرة 52 </w:t>
      </w:r>
      <w:r w:rsidRPr="00DC0143">
        <w:rPr>
          <w:rFonts w:cs="Traditional Arabic"/>
          <w:color w:val="000000"/>
          <w:sz w:val="24"/>
          <w:szCs w:val="28"/>
          <w:rtl/>
        </w:rPr>
        <w:t>–</w:t>
      </w:r>
      <w:r w:rsidRPr="00DC0143">
        <w:rPr>
          <w:rFonts w:cs="Traditional Arabic" w:hint="cs"/>
          <w:color w:val="000000"/>
          <w:sz w:val="24"/>
          <w:szCs w:val="28"/>
          <w:rtl/>
        </w:rPr>
        <w:t xml:space="preserve"> ص 157 </w:t>
      </w:r>
      <w:r w:rsidRPr="00DC0143">
        <w:rPr>
          <w:rFonts w:cs="Traditional Arabic"/>
          <w:color w:val="000000"/>
          <w:sz w:val="24"/>
          <w:szCs w:val="28"/>
          <w:rtl/>
        </w:rPr>
        <w:t>–</w:t>
      </w:r>
      <w:r w:rsidRPr="00DC0143">
        <w:rPr>
          <w:rFonts w:cs="Traditional Arabic" w:hint="cs"/>
          <w:color w:val="000000"/>
          <w:sz w:val="24"/>
          <w:szCs w:val="28"/>
          <w:rtl/>
        </w:rPr>
        <w:t xml:space="preserve"> ص 159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27 ص 327 هامش 2 </w:t>
      </w:r>
      <w:r w:rsidRPr="00DC0143">
        <w:rPr>
          <w:rFonts w:cs="Traditional Arabic"/>
          <w:color w:val="000000"/>
          <w:sz w:val="24"/>
          <w:szCs w:val="28"/>
          <w:rtl/>
        </w:rPr>
        <w:t>–</w:t>
      </w:r>
      <w:r w:rsidRPr="00DC0143">
        <w:rPr>
          <w:rFonts w:cs="Traditional Arabic" w:hint="cs"/>
          <w:color w:val="000000"/>
          <w:sz w:val="24"/>
          <w:szCs w:val="28"/>
          <w:rtl/>
        </w:rPr>
        <w:t xml:space="preserve"> وقارن عبد الفتاح عبد الباقي فقرة 313 هامش 4</w:t>
      </w:r>
      <w:r>
        <w:rPr>
          <w:rFonts w:cs="Traditional Arabic" w:hint="cs"/>
          <w:color w:val="000000"/>
          <w:sz w:val="24"/>
          <w:szCs w:val="28"/>
          <w:rtl/>
        </w:rPr>
        <w:t xml:space="preserve"> ) .</w:t>
      </w:r>
    </w:p>
  </w:footnote>
  <w:footnote w:id="76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قضت محكمة الاستئناف المختلطة بأنه لا يوجد نص في القانون يحد من حق الدائن المرتهن الذي أصبح رهنه غير كافٍ لسداد الدين من طلب ضمان إضافي من طريق استصدار حكم بالدين يجيز له أخذ اختصاص على عقارات لمدينه</w:t>
      </w:r>
      <w:r>
        <w:rPr>
          <w:rFonts w:cs="Traditional Arabic" w:hint="cs"/>
          <w:color w:val="000000"/>
          <w:sz w:val="24"/>
          <w:szCs w:val="28"/>
          <w:rtl/>
        </w:rPr>
        <w:t xml:space="preserve"> .</w:t>
      </w:r>
      <w:r w:rsidRPr="00DC0143">
        <w:rPr>
          <w:rFonts w:cs="Traditional Arabic" w:hint="cs"/>
          <w:color w:val="000000"/>
          <w:sz w:val="24"/>
          <w:szCs w:val="28"/>
          <w:rtl/>
        </w:rPr>
        <w:t xml:space="preserve"> وقد تنشأ ضرورة الالتجاء لإجراء كهذا</w:t>
      </w:r>
      <w:r>
        <w:rPr>
          <w:rFonts w:cs="Traditional Arabic" w:hint="cs"/>
          <w:color w:val="000000"/>
          <w:sz w:val="24"/>
          <w:szCs w:val="28"/>
          <w:rtl/>
        </w:rPr>
        <w:t xml:space="preserve"> ،</w:t>
      </w:r>
      <w:r w:rsidRPr="00DC0143">
        <w:rPr>
          <w:rFonts w:cs="Traditional Arabic" w:hint="cs"/>
          <w:color w:val="000000"/>
          <w:sz w:val="24"/>
          <w:szCs w:val="28"/>
          <w:rtl/>
        </w:rPr>
        <w:t xml:space="preserve"> سواء لعدم كفاية الثمن الناتج من بيع الأعيان المنزوع ملكيتها</w:t>
      </w:r>
      <w:r>
        <w:rPr>
          <w:rFonts w:cs="Traditional Arabic" w:hint="cs"/>
          <w:color w:val="000000"/>
          <w:sz w:val="24"/>
          <w:szCs w:val="28"/>
          <w:rtl/>
        </w:rPr>
        <w:t xml:space="preserve"> ،</w:t>
      </w:r>
      <w:r w:rsidRPr="00DC0143">
        <w:rPr>
          <w:rFonts w:cs="Traditional Arabic" w:hint="cs"/>
          <w:color w:val="000000"/>
          <w:sz w:val="24"/>
          <w:szCs w:val="28"/>
          <w:rtl/>
        </w:rPr>
        <w:t xml:space="preserve"> أو من هبوط قيمة الأعيان المرهونة لدرجة تؤثر في سداد 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أو بسبب خشية استحقاق الغير لها</w:t>
      </w:r>
      <w:r>
        <w:rPr>
          <w:rFonts w:cs="Traditional Arabic" w:hint="cs"/>
          <w:color w:val="000000"/>
          <w:sz w:val="24"/>
          <w:szCs w:val="28"/>
          <w:rtl/>
        </w:rPr>
        <w:t xml:space="preserve"> ،</w:t>
      </w:r>
      <w:r w:rsidRPr="00DC0143">
        <w:rPr>
          <w:rFonts w:cs="Traditional Arabic" w:hint="cs"/>
          <w:color w:val="000000"/>
          <w:sz w:val="24"/>
          <w:szCs w:val="28"/>
          <w:rtl/>
        </w:rPr>
        <w:t xml:space="preserve"> وبصفة عامة بسبب ضياع أو نقصان التأمينات المعطاة</w:t>
      </w:r>
      <w:r>
        <w:rPr>
          <w:rFonts w:cs="Traditional Arabic" w:hint="cs"/>
          <w:color w:val="000000"/>
          <w:sz w:val="24"/>
          <w:szCs w:val="28"/>
          <w:rtl/>
        </w:rPr>
        <w:t xml:space="preserve"> .</w:t>
      </w:r>
      <w:r w:rsidRPr="00DC0143">
        <w:rPr>
          <w:rFonts w:cs="Traditional Arabic" w:hint="cs"/>
          <w:color w:val="000000"/>
          <w:sz w:val="24"/>
          <w:szCs w:val="28"/>
          <w:rtl/>
        </w:rPr>
        <w:t xml:space="preserve"> وحق الأولوية الذي للدائن المرتهن على بعض أملاك مدينه</w:t>
      </w:r>
      <w:r>
        <w:rPr>
          <w:rFonts w:cs="Traditional Arabic" w:hint="cs"/>
          <w:color w:val="000000"/>
          <w:sz w:val="24"/>
          <w:szCs w:val="28"/>
          <w:rtl/>
        </w:rPr>
        <w:t xml:space="preserve"> ،</w:t>
      </w:r>
      <w:r w:rsidRPr="00DC0143">
        <w:rPr>
          <w:rFonts w:cs="Traditional Arabic" w:hint="cs"/>
          <w:color w:val="000000"/>
          <w:sz w:val="24"/>
          <w:szCs w:val="28"/>
          <w:rtl/>
        </w:rPr>
        <w:t xml:space="preserve"> لا يمنع من حقه العام على جمع أملاكه الأخرى التي تعتبر منضمة لها </w:t>
      </w:r>
      <w:r>
        <w:rPr>
          <w:rFonts w:cs="Traditional Arabic" w:hint="cs"/>
          <w:color w:val="000000"/>
          <w:sz w:val="24"/>
          <w:szCs w:val="28"/>
          <w:rtl/>
        </w:rPr>
        <w:t xml:space="preserve">( </w:t>
      </w:r>
      <w:r w:rsidRPr="00DC0143">
        <w:rPr>
          <w:rFonts w:cs="Traditional Arabic" w:hint="cs"/>
          <w:color w:val="000000"/>
          <w:sz w:val="24"/>
          <w:szCs w:val="28"/>
          <w:rtl/>
        </w:rPr>
        <w:t>استئناف مختلط 17 يناير سنة 1935 المحاماة 16 رقم 201 ص 451</w:t>
      </w:r>
      <w:r>
        <w:rPr>
          <w:rFonts w:cs="Traditional Arabic" w:hint="cs"/>
          <w:color w:val="000000"/>
          <w:sz w:val="24"/>
          <w:szCs w:val="28"/>
          <w:rtl/>
        </w:rPr>
        <w:t xml:space="preserve"> ) .</w:t>
      </w:r>
    </w:p>
  </w:footnote>
  <w:footnote w:id="76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156</w:t>
      </w:r>
      <w:r>
        <w:rPr>
          <w:rFonts w:cs="Traditional Arabic" w:hint="cs"/>
          <w:color w:val="000000"/>
          <w:sz w:val="24"/>
          <w:szCs w:val="28"/>
          <w:rtl/>
        </w:rPr>
        <w:t xml:space="preserve"> .</w:t>
      </w:r>
    </w:p>
  </w:footnote>
  <w:footnote w:id="76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22</w:t>
      </w:r>
      <w:r>
        <w:rPr>
          <w:rFonts w:cs="Traditional Arabic" w:hint="cs"/>
          <w:color w:val="000000"/>
          <w:sz w:val="24"/>
          <w:szCs w:val="28"/>
          <w:rtl/>
        </w:rPr>
        <w:t xml:space="preserve"> .</w:t>
      </w:r>
    </w:p>
  </w:footnote>
  <w:footnote w:id="76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Pr>
        <w:t>Principe de specialite</w:t>
      </w:r>
      <w:r>
        <w:rPr>
          <w:rFonts w:cs="Traditional Arabic" w:hint="cs"/>
          <w:color w:val="000000"/>
          <w:sz w:val="24"/>
          <w:szCs w:val="28"/>
          <w:rtl/>
        </w:rPr>
        <w:t xml:space="preserve"> .</w:t>
      </w:r>
    </w:p>
  </w:footnote>
  <w:footnote w:id="76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1370 ص 489 وفقرة 1371 ص 491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هامش 57 ثالثا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432</w:t>
      </w:r>
      <w:r>
        <w:rPr>
          <w:rFonts w:cs="Traditional Arabic" w:hint="cs"/>
          <w:color w:val="000000"/>
          <w:sz w:val="24"/>
          <w:szCs w:val="28"/>
          <w:rtl/>
        </w:rPr>
        <w:t xml:space="preserve"> .</w:t>
      </w:r>
    </w:p>
  </w:footnote>
  <w:footnote w:id="77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137 ص 489 وفقرة 1371 ص 490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429 </w:t>
      </w:r>
      <w:r>
        <w:rPr>
          <w:rFonts w:cs="Traditional Arabic" w:hint="cs"/>
          <w:color w:val="000000"/>
          <w:sz w:val="24"/>
          <w:szCs w:val="28"/>
          <w:rtl/>
        </w:rPr>
        <w:t xml:space="preserve">( </w:t>
      </w:r>
      <w:r w:rsidRPr="00DC0143">
        <w:rPr>
          <w:rFonts w:cs="Traditional Arabic" w:hint="cs"/>
          <w:color w:val="000000"/>
          <w:sz w:val="24"/>
          <w:szCs w:val="28"/>
          <w:rtl/>
        </w:rPr>
        <w:t>ذكر اسم الشارع الذي يوجد فهي المنزل ورقم هذا المنزل</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52 ص 159 </w:t>
      </w:r>
      <w:r w:rsidRPr="00DC0143">
        <w:rPr>
          <w:rFonts w:cs="Traditional Arabic"/>
          <w:color w:val="000000"/>
          <w:sz w:val="24"/>
          <w:szCs w:val="28"/>
          <w:rtl/>
        </w:rPr>
        <w:t>–</w:t>
      </w:r>
      <w:r w:rsidRPr="00DC0143">
        <w:rPr>
          <w:rFonts w:cs="Traditional Arabic" w:hint="cs"/>
          <w:color w:val="000000"/>
          <w:sz w:val="24"/>
          <w:szCs w:val="28"/>
          <w:rtl/>
        </w:rPr>
        <w:t xml:space="preserve"> ص 160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12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14</w:t>
      </w:r>
      <w:r>
        <w:rPr>
          <w:rFonts w:cs="Traditional Arabic" w:hint="cs"/>
          <w:color w:val="000000"/>
          <w:sz w:val="24"/>
          <w:szCs w:val="28"/>
          <w:rtl/>
        </w:rPr>
        <w:t xml:space="preserve"> .</w:t>
      </w:r>
    </w:p>
  </w:footnote>
  <w:footnote w:id="77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2 فقرة 1028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1379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1682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431</w:t>
      </w:r>
      <w:r>
        <w:rPr>
          <w:rFonts w:cs="Traditional Arabic" w:hint="cs"/>
          <w:color w:val="000000"/>
          <w:sz w:val="24"/>
          <w:szCs w:val="28"/>
          <w:rtl/>
        </w:rPr>
        <w:t xml:space="preserve"> .</w:t>
      </w:r>
    </w:p>
  </w:footnote>
  <w:footnote w:id="77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هيك 13 فقرة 216 </w:t>
      </w:r>
      <w:r w:rsidRPr="00DC0143">
        <w:rPr>
          <w:rFonts w:cs="Traditional Arabic"/>
          <w:color w:val="000000"/>
          <w:sz w:val="24"/>
          <w:szCs w:val="28"/>
          <w:rtl/>
        </w:rPr>
        <w:t>–</w:t>
      </w:r>
      <w:r w:rsidRPr="00DC0143">
        <w:rPr>
          <w:rFonts w:cs="Traditional Arabic" w:hint="cs"/>
          <w:color w:val="000000"/>
          <w:sz w:val="24"/>
          <w:szCs w:val="28"/>
          <w:rtl/>
        </w:rPr>
        <w:t xml:space="preserve"> لوران 30 فقرة 512 </w:t>
      </w:r>
      <w:r w:rsidRPr="00DC0143">
        <w:rPr>
          <w:rFonts w:cs="Traditional Arabic"/>
          <w:color w:val="000000"/>
          <w:sz w:val="24"/>
          <w:szCs w:val="28"/>
          <w:rtl/>
        </w:rPr>
        <w:t>–</w:t>
      </w:r>
      <w:r w:rsidRPr="00DC0143">
        <w:rPr>
          <w:rFonts w:cs="Traditional Arabic" w:hint="cs"/>
          <w:color w:val="000000"/>
          <w:sz w:val="24"/>
          <w:szCs w:val="28"/>
          <w:rtl/>
        </w:rPr>
        <w:t xml:space="preserve"> جيوار 3 فقرة 1027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هامش 63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1377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431</w:t>
      </w:r>
      <w:r>
        <w:rPr>
          <w:rFonts w:cs="Traditional Arabic" w:hint="cs"/>
          <w:color w:val="000000"/>
          <w:sz w:val="24"/>
          <w:szCs w:val="28"/>
          <w:rtl/>
        </w:rPr>
        <w:t xml:space="preserve"> .</w:t>
      </w:r>
    </w:p>
  </w:footnote>
  <w:footnote w:id="77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لوران 30 فقرة 513 </w:t>
      </w:r>
      <w:r w:rsidRPr="00DC0143">
        <w:rPr>
          <w:rFonts w:cs="Traditional Arabic"/>
          <w:color w:val="000000"/>
          <w:sz w:val="24"/>
          <w:szCs w:val="28"/>
          <w:rtl/>
        </w:rPr>
        <w:t>–</w:t>
      </w:r>
      <w:r w:rsidRPr="00DC0143">
        <w:rPr>
          <w:rFonts w:cs="Traditional Arabic" w:hint="cs"/>
          <w:color w:val="000000"/>
          <w:sz w:val="24"/>
          <w:szCs w:val="28"/>
          <w:rtl/>
        </w:rPr>
        <w:t xml:space="preserve"> جيوار 3 فقرة 1029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هامش 65 مكرر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3 فقرة 1478 </w:t>
      </w:r>
      <w:r w:rsidRPr="00DC0143">
        <w:rPr>
          <w:rFonts w:cs="Traditional Arabic"/>
          <w:color w:val="000000"/>
          <w:sz w:val="24"/>
          <w:szCs w:val="28"/>
          <w:rtl/>
        </w:rPr>
        <w:t>–</w:t>
      </w:r>
      <w:r w:rsidRPr="00DC0143">
        <w:rPr>
          <w:rFonts w:cs="Traditional Arabic" w:hint="cs"/>
          <w:color w:val="000000"/>
          <w:sz w:val="24"/>
          <w:szCs w:val="28"/>
          <w:rtl/>
        </w:rPr>
        <w:t xml:space="preserve"> جوسران 3 فقرة 1682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431</w:t>
      </w:r>
      <w:r>
        <w:rPr>
          <w:rFonts w:cs="Traditional Arabic" w:hint="cs"/>
          <w:color w:val="000000"/>
          <w:sz w:val="24"/>
          <w:szCs w:val="28"/>
          <w:rtl/>
        </w:rPr>
        <w:t xml:space="preserve"> .</w:t>
      </w:r>
    </w:p>
  </w:footnote>
  <w:footnote w:id="77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1443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"1- يشمل الرهن ملحقات العقار المرهون التي تعتبر عقارا</w:t>
      </w:r>
      <w:r>
        <w:rPr>
          <w:rFonts w:cs="Traditional Arabic" w:hint="cs"/>
          <w:color w:val="000000"/>
          <w:sz w:val="24"/>
          <w:szCs w:val="28"/>
          <w:rtl/>
        </w:rPr>
        <w:t xml:space="preserve"> ،</w:t>
      </w:r>
      <w:r w:rsidRPr="00DC0143">
        <w:rPr>
          <w:rFonts w:cs="Traditional Arabic" w:hint="cs"/>
          <w:color w:val="000000"/>
          <w:sz w:val="24"/>
          <w:szCs w:val="28"/>
          <w:rtl/>
        </w:rPr>
        <w:t xml:space="preserve"> ويشمل بوجه خاص حقوق الارتفاق والعقارات بالتخصيص والتحسينات والإنشاءات التي تعود بمنفعة على المالك</w:t>
      </w:r>
      <w:r>
        <w:rPr>
          <w:rFonts w:cs="Traditional Arabic" w:hint="cs"/>
          <w:color w:val="000000"/>
          <w:sz w:val="24"/>
          <w:szCs w:val="28"/>
          <w:rtl/>
        </w:rPr>
        <w:t xml:space="preserve"> ،</w:t>
      </w:r>
      <w:r w:rsidRPr="00DC0143">
        <w:rPr>
          <w:rFonts w:cs="Traditional Arabic" w:hint="cs"/>
          <w:color w:val="000000"/>
          <w:sz w:val="24"/>
          <w:szCs w:val="28"/>
          <w:rtl/>
        </w:rPr>
        <w:t xml:space="preserve"> ما لم يتفق على غير ذلك</w:t>
      </w:r>
      <w:r>
        <w:rPr>
          <w:rFonts w:cs="Traditional Arabic" w:hint="cs"/>
          <w:color w:val="000000"/>
          <w:sz w:val="24"/>
          <w:szCs w:val="28"/>
          <w:rtl/>
        </w:rPr>
        <w:t xml:space="preserve"> .</w:t>
      </w:r>
      <w:r w:rsidRPr="00DC0143">
        <w:rPr>
          <w:rFonts w:cs="Traditional Arabic" w:hint="cs"/>
          <w:color w:val="000000"/>
          <w:sz w:val="24"/>
          <w:szCs w:val="28"/>
          <w:rtl/>
        </w:rPr>
        <w:t xml:space="preserve"> فإن كان الرهن مرتبا على حق الرقبة</w:t>
      </w:r>
      <w:r>
        <w:rPr>
          <w:rFonts w:cs="Traditional Arabic" w:hint="cs"/>
          <w:color w:val="000000"/>
          <w:sz w:val="24"/>
          <w:szCs w:val="28"/>
          <w:rtl/>
        </w:rPr>
        <w:t xml:space="preserve"> ،</w:t>
      </w:r>
      <w:r w:rsidRPr="00DC0143">
        <w:rPr>
          <w:rFonts w:cs="Traditional Arabic" w:hint="cs"/>
          <w:color w:val="000000"/>
          <w:sz w:val="24"/>
          <w:szCs w:val="28"/>
          <w:rtl/>
        </w:rPr>
        <w:t xml:space="preserve"> ثم آل حق الانتفاع إلى مالك الرقبة</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يمتد إلى حق الانتفاع</w:t>
      </w:r>
      <w:r>
        <w:rPr>
          <w:rFonts w:cs="Traditional Arabic" w:hint="cs"/>
          <w:color w:val="000000"/>
          <w:sz w:val="24"/>
          <w:szCs w:val="28"/>
          <w:rtl/>
        </w:rPr>
        <w:t xml:space="preserve"> ،</w:t>
      </w:r>
      <w:r w:rsidRPr="00DC0143">
        <w:rPr>
          <w:rFonts w:cs="Traditional Arabic" w:hint="cs"/>
          <w:color w:val="000000"/>
          <w:sz w:val="24"/>
          <w:szCs w:val="28"/>
          <w:rtl/>
        </w:rPr>
        <w:t xml:space="preserve"> وذلك دون إخلال بما يكون هذا الحق مثقلا به من حقوق عينية</w:t>
      </w:r>
      <w:r>
        <w:rPr>
          <w:rFonts w:cs="Traditional Arabic" w:hint="cs"/>
          <w:color w:val="000000"/>
          <w:sz w:val="24"/>
          <w:szCs w:val="28"/>
          <w:rtl/>
        </w:rPr>
        <w:t xml:space="preserve"> .</w:t>
      </w:r>
      <w:r w:rsidRPr="00DC0143">
        <w:rPr>
          <w:rFonts w:cs="Traditional Arabic" w:hint="cs"/>
          <w:color w:val="000000"/>
          <w:sz w:val="24"/>
          <w:szCs w:val="28"/>
          <w:rtl/>
        </w:rPr>
        <w:t xml:space="preserve"> 2- لا أثر للرهن في الحقوق التي كسبها الغير</w:t>
      </w:r>
      <w:r>
        <w:rPr>
          <w:rFonts w:cs="Traditional Arabic" w:hint="cs"/>
          <w:color w:val="000000"/>
          <w:sz w:val="24"/>
          <w:szCs w:val="28"/>
          <w:rtl/>
        </w:rPr>
        <w:t xml:space="preserve"> ،</w:t>
      </w:r>
      <w:r w:rsidRPr="00DC0143">
        <w:rPr>
          <w:rFonts w:cs="Traditional Arabic" w:hint="cs"/>
          <w:color w:val="000000"/>
          <w:sz w:val="24"/>
          <w:szCs w:val="28"/>
          <w:rtl/>
        </w:rPr>
        <w:t xml:space="preserve"> قبل إبرام الرهن</w:t>
      </w:r>
      <w:r>
        <w:rPr>
          <w:rFonts w:cs="Traditional Arabic" w:hint="cs"/>
          <w:color w:val="000000"/>
          <w:sz w:val="24"/>
          <w:szCs w:val="28"/>
          <w:rtl/>
        </w:rPr>
        <w:t xml:space="preserve"> ،</w:t>
      </w:r>
      <w:r w:rsidRPr="00DC0143">
        <w:rPr>
          <w:rFonts w:cs="Traditional Arabic" w:hint="cs"/>
          <w:color w:val="000000"/>
          <w:sz w:val="24"/>
          <w:szCs w:val="28"/>
          <w:rtl/>
        </w:rPr>
        <w:t xml:space="preserve"> على ملحقات العين المرهونة"</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حذفت الفقرة الثانية والجزء الأخير من الفقرة الأولى</w:t>
      </w:r>
      <w:r>
        <w:rPr>
          <w:rFonts w:cs="Traditional Arabic" w:hint="cs"/>
          <w:color w:val="000000"/>
          <w:sz w:val="24"/>
          <w:szCs w:val="28"/>
          <w:rtl/>
        </w:rPr>
        <w:t xml:space="preserve"> ،</w:t>
      </w:r>
      <w:r w:rsidRPr="00DC0143">
        <w:rPr>
          <w:rFonts w:cs="Traditional Arabic" w:hint="cs"/>
          <w:color w:val="000000"/>
          <w:sz w:val="24"/>
          <w:szCs w:val="28"/>
          <w:rtl/>
        </w:rPr>
        <w:t xml:space="preserve"> مع النص على عدم الإخلال بحق امتياز المبالغ المستحقة للمقاولين والمهندسين المعماريين المنصوص عليه في المادة 1252</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1131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 تحت رقم 1117</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1036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23 </w:t>
      </w:r>
      <w:r w:rsidRPr="00DC0143">
        <w:rPr>
          <w:rFonts w:cs="Traditional Arabic"/>
          <w:color w:val="000000"/>
          <w:sz w:val="24"/>
          <w:szCs w:val="28"/>
          <w:rtl/>
        </w:rPr>
        <w:t>–</w:t>
      </w:r>
      <w:r w:rsidRPr="00DC0143">
        <w:rPr>
          <w:rFonts w:cs="Traditional Arabic" w:hint="cs"/>
          <w:color w:val="000000"/>
          <w:sz w:val="24"/>
          <w:szCs w:val="28"/>
          <w:rtl/>
        </w:rPr>
        <w:t xml:space="preserve"> ص 26</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564 / 688</w:t>
      </w:r>
      <w:r>
        <w:rPr>
          <w:rFonts w:cs="Traditional Arabic" w:hint="cs"/>
          <w:color w:val="000000"/>
          <w:sz w:val="24"/>
          <w:szCs w:val="28"/>
          <w:rtl/>
        </w:rPr>
        <w:t xml:space="preserve"> :</w:t>
      </w:r>
      <w:r w:rsidRPr="00DC0143">
        <w:rPr>
          <w:rFonts w:cs="Traditional Arabic" w:hint="cs"/>
          <w:color w:val="000000"/>
          <w:sz w:val="24"/>
          <w:szCs w:val="28"/>
          <w:rtl/>
        </w:rPr>
        <w:t xml:space="preserve"> الرهن يشمل جميع أجزاء العقار المرهون بغير تعيين حصته منه</w:t>
      </w:r>
      <w:r>
        <w:rPr>
          <w:rFonts w:cs="Traditional Arabic" w:hint="cs"/>
          <w:color w:val="000000"/>
          <w:sz w:val="24"/>
          <w:szCs w:val="28"/>
          <w:rtl/>
        </w:rPr>
        <w:t xml:space="preserve"> ،</w:t>
      </w:r>
      <w:r w:rsidRPr="00DC0143">
        <w:rPr>
          <w:rFonts w:cs="Traditional Arabic" w:hint="cs"/>
          <w:color w:val="000000"/>
          <w:sz w:val="24"/>
          <w:szCs w:val="28"/>
          <w:rtl/>
        </w:rPr>
        <w:t xml:space="preserve"> وجميع ملحقاته وما يحدث فيه من الإصلاحات</w:t>
      </w:r>
      <w:r>
        <w:rPr>
          <w:rFonts w:cs="Traditional Arabic" w:hint="cs"/>
          <w:color w:val="000000"/>
          <w:sz w:val="24"/>
          <w:szCs w:val="28"/>
          <w:rtl/>
        </w:rPr>
        <w:t xml:space="preserve"> ،</w:t>
      </w:r>
      <w:r w:rsidRPr="00DC0143">
        <w:rPr>
          <w:rFonts w:cs="Traditional Arabic" w:hint="cs"/>
          <w:color w:val="000000"/>
          <w:sz w:val="24"/>
          <w:szCs w:val="28"/>
          <w:rtl/>
        </w:rPr>
        <w:t xml:space="preserve"> والأبنية التي تعود منفعتها على مالكه</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وجد شرط يخالف ذلك</w:t>
      </w:r>
      <w:r>
        <w:rPr>
          <w:rFonts w:cs="Traditional Arabic" w:hint="cs"/>
          <w:color w:val="000000"/>
          <w:sz w:val="24"/>
          <w:szCs w:val="28"/>
          <w:rtl/>
        </w:rPr>
        <w:t xml:space="preserve"> .</w:t>
      </w:r>
    </w:p>
  </w:footnote>
  <w:footnote w:id="77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2 فقرة 673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928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382 ص 417</w:t>
      </w:r>
      <w:r>
        <w:rPr>
          <w:rFonts w:cs="Traditional Arabic" w:hint="cs"/>
          <w:color w:val="000000"/>
          <w:sz w:val="24"/>
          <w:szCs w:val="28"/>
          <w:rtl/>
        </w:rPr>
        <w:t xml:space="preserve"> .</w:t>
      </w:r>
    </w:p>
  </w:footnote>
  <w:footnote w:id="77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14 ص 33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48</w:t>
      </w:r>
      <w:r>
        <w:rPr>
          <w:rFonts w:cs="Traditional Arabic" w:hint="cs"/>
          <w:color w:val="000000"/>
          <w:sz w:val="24"/>
          <w:szCs w:val="28"/>
          <w:rtl/>
        </w:rPr>
        <w:t xml:space="preserve"> .</w:t>
      </w:r>
    </w:p>
  </w:footnote>
  <w:footnote w:id="77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أوبري ورو 3 فقرة 259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916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352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2 فقرة 3646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2 فقرة 1668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1656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382 </w:t>
      </w:r>
      <w:r w:rsidRPr="00DC0143">
        <w:rPr>
          <w:rFonts w:cs="Traditional Arabic"/>
          <w:color w:val="000000"/>
          <w:sz w:val="24"/>
          <w:szCs w:val="28"/>
          <w:rtl/>
        </w:rPr>
        <w:t>–</w:t>
      </w:r>
      <w:r w:rsidRPr="00DC0143">
        <w:rPr>
          <w:rFonts w:cs="Traditional Arabic" w:hint="cs"/>
          <w:color w:val="000000"/>
          <w:sz w:val="24"/>
          <w:szCs w:val="28"/>
          <w:rtl/>
        </w:rPr>
        <w:t xml:space="preserve"> ص 416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14 ص 34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49 </w:t>
      </w:r>
      <w:r w:rsidRPr="00DC0143">
        <w:rPr>
          <w:rFonts w:cs="Traditional Arabic"/>
          <w:color w:val="000000"/>
          <w:sz w:val="24"/>
          <w:szCs w:val="28"/>
          <w:rtl/>
        </w:rPr>
        <w:t>–</w:t>
      </w:r>
      <w:r w:rsidRPr="00DC0143">
        <w:rPr>
          <w:rFonts w:cs="Traditional Arabic" w:hint="cs"/>
          <w:color w:val="000000"/>
          <w:sz w:val="24"/>
          <w:szCs w:val="28"/>
          <w:rtl/>
        </w:rPr>
        <w:t xml:space="preserve"> وذلك ما لم يتفق على غيره </w:t>
      </w:r>
      <w:r>
        <w:rPr>
          <w:rFonts w:cs="Traditional Arabic" w:hint="cs"/>
          <w:color w:val="000000"/>
          <w:sz w:val="24"/>
          <w:szCs w:val="28"/>
          <w:rtl/>
        </w:rPr>
        <w:t xml:space="preserve">( </w:t>
      </w:r>
      <w:r w:rsidRPr="00DC0143">
        <w:rPr>
          <w:rFonts w:cs="Traditional Arabic" w:hint="cs"/>
          <w:color w:val="000000"/>
          <w:sz w:val="24"/>
          <w:szCs w:val="28"/>
          <w:rtl/>
        </w:rPr>
        <w:t xml:space="preserve">نقض مدني 14 يناير سنة 1954 مجموعة أحكام النقض 5 رقم 62 ص 420 </w:t>
      </w:r>
      <w:r w:rsidRPr="00DC0143">
        <w:rPr>
          <w:rFonts w:cs="Traditional Arabic"/>
          <w:color w:val="000000"/>
          <w:sz w:val="24"/>
          <w:szCs w:val="28"/>
          <w:rtl/>
        </w:rPr>
        <w:t>–</w:t>
      </w:r>
      <w:r w:rsidRPr="00DC0143">
        <w:rPr>
          <w:rFonts w:cs="Traditional Arabic" w:hint="cs"/>
          <w:color w:val="000000"/>
          <w:sz w:val="24"/>
          <w:szCs w:val="28"/>
          <w:rtl/>
        </w:rPr>
        <w:t xml:space="preserve"> 13 مايو سنة 1954 مجموعة أحكام النقض 5 رقم 127 ص 851</w:t>
      </w:r>
      <w:r>
        <w:rPr>
          <w:rFonts w:cs="Traditional Arabic" w:hint="cs"/>
          <w:color w:val="000000"/>
          <w:sz w:val="24"/>
          <w:szCs w:val="28"/>
          <w:rtl/>
        </w:rPr>
        <w:t xml:space="preserve"> ) ،</w:t>
      </w:r>
      <w:r w:rsidRPr="00DC0143">
        <w:rPr>
          <w:rFonts w:cs="Traditional Arabic" w:hint="cs"/>
          <w:color w:val="000000"/>
          <w:sz w:val="24"/>
          <w:szCs w:val="28"/>
          <w:rtl/>
        </w:rPr>
        <w:t xml:space="preserve"> ويقع عبء إثبات ذلك على من يدعيه </w:t>
      </w:r>
      <w:r>
        <w:rPr>
          <w:rFonts w:cs="Traditional Arabic" w:hint="cs"/>
          <w:color w:val="000000"/>
          <w:sz w:val="24"/>
          <w:szCs w:val="28"/>
          <w:rtl/>
        </w:rPr>
        <w:t xml:space="preserve">( </w:t>
      </w:r>
      <w:r w:rsidRPr="00DC0143">
        <w:rPr>
          <w:rFonts w:cs="Traditional Arabic" w:hint="cs"/>
          <w:color w:val="000000"/>
          <w:sz w:val="24"/>
          <w:szCs w:val="28"/>
          <w:rtl/>
        </w:rPr>
        <w:t>سليمان مرقس فقرة 33 ص 48</w:t>
      </w:r>
      <w:r>
        <w:rPr>
          <w:rFonts w:cs="Traditional Arabic" w:hint="cs"/>
          <w:color w:val="000000"/>
          <w:sz w:val="24"/>
          <w:szCs w:val="28"/>
          <w:rtl/>
        </w:rPr>
        <w:t xml:space="preserve"> ) .</w:t>
      </w:r>
    </w:p>
  </w:footnote>
  <w:footnote w:id="77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16 ص 48</w:t>
      </w:r>
      <w:r>
        <w:rPr>
          <w:rFonts w:cs="Traditional Arabic" w:hint="cs"/>
          <w:color w:val="000000"/>
          <w:sz w:val="24"/>
          <w:szCs w:val="28"/>
          <w:rtl/>
        </w:rPr>
        <w:t xml:space="preserve"> .</w:t>
      </w:r>
    </w:p>
  </w:footnote>
  <w:footnote w:id="77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917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354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383 </w:t>
      </w:r>
      <w:r w:rsidRPr="00DC0143">
        <w:rPr>
          <w:rFonts w:cs="Traditional Arabic"/>
          <w:color w:val="000000"/>
          <w:sz w:val="24"/>
          <w:szCs w:val="28"/>
          <w:rtl/>
        </w:rPr>
        <w:t>–</w:t>
      </w:r>
      <w:r w:rsidRPr="00DC0143">
        <w:rPr>
          <w:rFonts w:cs="Traditional Arabic" w:hint="cs"/>
          <w:color w:val="000000"/>
          <w:sz w:val="24"/>
          <w:szCs w:val="28"/>
          <w:rtl/>
        </w:rPr>
        <w:t xml:space="preserve"> أنسيكلوبيدي داللوز 2 لفظ</w:t>
      </w:r>
      <w:r w:rsidRPr="00DC0143">
        <w:rPr>
          <w:rFonts w:cs="Traditional Arabic"/>
          <w:color w:val="000000"/>
          <w:sz w:val="24"/>
          <w:szCs w:val="28"/>
        </w:rPr>
        <w:t xml:space="preserve">hypotheque  </w:t>
      </w:r>
      <w:r w:rsidRPr="00DC0143">
        <w:rPr>
          <w:rFonts w:cs="Traditional Arabic" w:hint="cs"/>
          <w:color w:val="000000"/>
          <w:sz w:val="24"/>
          <w:szCs w:val="28"/>
          <w:rtl/>
        </w:rPr>
        <w:t xml:space="preserve"> فقرة 170 ص 916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فقرة 58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36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33 ص 49 </w:t>
      </w:r>
      <w:r w:rsidRPr="00DC0143">
        <w:rPr>
          <w:rFonts w:cs="Traditional Arabic"/>
          <w:color w:val="000000"/>
          <w:sz w:val="24"/>
          <w:szCs w:val="28"/>
          <w:rtl/>
        </w:rPr>
        <w:t>–</w:t>
      </w:r>
      <w:r w:rsidRPr="00DC0143">
        <w:rPr>
          <w:rFonts w:cs="Traditional Arabic" w:hint="cs"/>
          <w:color w:val="000000"/>
          <w:sz w:val="24"/>
          <w:szCs w:val="28"/>
          <w:rtl/>
        </w:rPr>
        <w:t xml:space="preserve"> س ت 16 ص 49</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ويشمل الرهن العقار بالتخصيص حتى لو كان الراهن لم يدفع ثمن المنقول الذي أصبح عقارا بالتخصيص</w:t>
      </w:r>
      <w:r>
        <w:rPr>
          <w:rFonts w:cs="Traditional Arabic" w:hint="cs"/>
          <w:color w:val="000000"/>
          <w:sz w:val="24"/>
          <w:szCs w:val="28"/>
          <w:rtl/>
        </w:rPr>
        <w:t xml:space="preserve"> ،</w:t>
      </w:r>
      <w:r w:rsidRPr="00DC0143">
        <w:rPr>
          <w:rFonts w:cs="Traditional Arabic" w:hint="cs"/>
          <w:color w:val="000000"/>
          <w:sz w:val="24"/>
          <w:szCs w:val="28"/>
          <w:rtl/>
        </w:rPr>
        <w:t xml:space="preserve"> ويتأخر امتياز بائع المنقول على حق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كان الدائن المرتهن يعلم وقت تخصيص المنقول لخدمة العقار بوجود امتياز للبائع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18 يونيه سنة </w:t>
      </w:r>
      <w:smartTag w:uri="urn:schemas-microsoft-com:office:smarttags" w:element="metricconverter">
        <w:smartTagPr>
          <w:attr w:name="ProductID" w:val="1935 م"/>
        </w:smartTagPr>
        <w:r w:rsidRPr="00DC0143">
          <w:rPr>
            <w:rFonts w:cs="Traditional Arabic" w:hint="cs"/>
            <w:color w:val="000000"/>
            <w:sz w:val="24"/>
            <w:szCs w:val="28"/>
            <w:rtl/>
          </w:rPr>
          <w:t>1935 م</w:t>
        </w:r>
      </w:smartTag>
      <w:r w:rsidRPr="00DC0143">
        <w:rPr>
          <w:rFonts w:cs="Traditional Arabic" w:hint="cs"/>
          <w:color w:val="000000"/>
          <w:sz w:val="24"/>
          <w:szCs w:val="28"/>
          <w:rtl/>
        </w:rPr>
        <w:t xml:space="preserve"> 47 ص 378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33 ص 48 هامش 5</w:t>
      </w:r>
      <w:r>
        <w:rPr>
          <w:rFonts w:cs="Traditional Arabic" w:hint="cs"/>
          <w:color w:val="000000"/>
          <w:sz w:val="24"/>
          <w:szCs w:val="28"/>
          <w:rtl/>
        </w:rPr>
        <w:t xml:space="preserve"> .</w:t>
      </w:r>
      <w:r w:rsidRPr="00DC0143">
        <w:rPr>
          <w:rFonts w:cs="Traditional Arabic" w:hint="cs"/>
          <w:color w:val="000000"/>
          <w:sz w:val="24"/>
          <w:szCs w:val="28"/>
          <w:rtl/>
        </w:rPr>
        <w:t xml:space="preserve"> وقارن المذكرة الإيضاحية للمشروع التمهيدي في مجموعة الأعمال التحضيرية 7 ص 25</w:t>
      </w:r>
      <w:r>
        <w:rPr>
          <w:rFonts w:cs="Traditional Arabic" w:hint="cs"/>
          <w:color w:val="000000"/>
          <w:sz w:val="24"/>
          <w:szCs w:val="28"/>
          <w:rtl/>
        </w:rPr>
        <w:t xml:space="preserve"> ) .</w:t>
      </w:r>
    </w:p>
  </w:footnote>
  <w:footnote w:id="78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16 ص 49 </w:t>
      </w:r>
      <w:r w:rsidRPr="00DC0143">
        <w:rPr>
          <w:rFonts w:cs="Traditional Arabic"/>
          <w:color w:val="000000"/>
          <w:sz w:val="24"/>
          <w:szCs w:val="28"/>
          <w:rtl/>
        </w:rPr>
        <w:t>–</w:t>
      </w:r>
      <w:r w:rsidRPr="00DC0143">
        <w:rPr>
          <w:rFonts w:cs="Traditional Arabic" w:hint="cs"/>
          <w:color w:val="000000"/>
          <w:sz w:val="24"/>
          <w:szCs w:val="28"/>
          <w:rtl/>
        </w:rPr>
        <w:t xml:space="preserve"> ص 50</w:t>
      </w:r>
      <w:r>
        <w:rPr>
          <w:rFonts w:cs="Traditional Arabic" w:hint="cs"/>
          <w:color w:val="000000"/>
          <w:sz w:val="24"/>
          <w:szCs w:val="28"/>
          <w:rtl/>
        </w:rPr>
        <w:t xml:space="preserve"> .</w:t>
      </w:r>
    </w:p>
  </w:footnote>
  <w:footnote w:id="78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ويعتبر تحسينا ما ينقضي من حقوق كانت تثقل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كحق ارتفاق أو حق انتفاع </w:t>
      </w:r>
      <w:r>
        <w:rPr>
          <w:rFonts w:cs="Traditional Arabic" w:hint="cs"/>
          <w:color w:val="000000"/>
          <w:sz w:val="24"/>
          <w:szCs w:val="28"/>
          <w:rtl/>
        </w:rPr>
        <w:t xml:space="preserve">( </w:t>
      </w:r>
      <w:r w:rsidRPr="00DC0143">
        <w:rPr>
          <w:rFonts w:cs="Traditional Arabic" w:hint="cs"/>
          <w:color w:val="000000"/>
          <w:sz w:val="24"/>
          <w:szCs w:val="28"/>
          <w:rtl/>
        </w:rPr>
        <w:t xml:space="preserve">بلانيول وريبير وبيكيه 12 فقرة 386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50 هامش 2</w:t>
      </w:r>
      <w:r>
        <w:rPr>
          <w:rFonts w:cs="Traditional Arabic" w:hint="cs"/>
          <w:color w:val="000000"/>
          <w:sz w:val="24"/>
          <w:szCs w:val="28"/>
          <w:rtl/>
        </w:rPr>
        <w:t xml:space="preserve"> ) .</w:t>
      </w:r>
      <w:r w:rsidRPr="00DC0143">
        <w:rPr>
          <w:rFonts w:cs="Traditional Arabic" w:hint="cs"/>
          <w:color w:val="000000"/>
          <w:sz w:val="24"/>
          <w:szCs w:val="28"/>
          <w:rtl/>
        </w:rPr>
        <w:t xml:space="preserve"> وإذا نص صريحا في عقد الرهن أنه لا يشمل فحسب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بل وجميع التحسينات والزيادات الحاصلة فيه</w:t>
      </w:r>
      <w:r>
        <w:rPr>
          <w:rFonts w:cs="Traditional Arabic" w:hint="cs"/>
          <w:color w:val="000000"/>
          <w:sz w:val="24"/>
          <w:szCs w:val="28"/>
          <w:rtl/>
        </w:rPr>
        <w:t xml:space="preserve"> ،</w:t>
      </w:r>
      <w:r w:rsidRPr="00DC0143">
        <w:rPr>
          <w:rFonts w:cs="Traditional Arabic" w:hint="cs"/>
          <w:color w:val="000000"/>
          <w:sz w:val="24"/>
          <w:szCs w:val="28"/>
          <w:rtl/>
        </w:rPr>
        <w:t xml:space="preserve"> فإن هذا الرهن يشمل الطابق الجديد المبني في العقار</w:t>
      </w:r>
      <w:r>
        <w:rPr>
          <w:rFonts w:cs="Traditional Arabic" w:hint="cs"/>
          <w:color w:val="000000"/>
          <w:sz w:val="24"/>
          <w:szCs w:val="28"/>
          <w:rtl/>
        </w:rPr>
        <w:t xml:space="preserve"> ،</w:t>
      </w:r>
      <w:r w:rsidRPr="00DC0143">
        <w:rPr>
          <w:rFonts w:cs="Traditional Arabic" w:hint="cs"/>
          <w:color w:val="000000"/>
          <w:sz w:val="24"/>
          <w:szCs w:val="28"/>
          <w:rtl/>
        </w:rPr>
        <w:t xml:space="preserve"> ويدخل في نزع الملكية </w:t>
      </w:r>
      <w:r>
        <w:rPr>
          <w:rFonts w:cs="Traditional Arabic" w:hint="cs"/>
          <w:color w:val="000000"/>
          <w:sz w:val="24"/>
          <w:szCs w:val="28"/>
          <w:rtl/>
        </w:rPr>
        <w:t xml:space="preserve">( </w:t>
      </w:r>
      <w:r w:rsidRPr="00DC0143">
        <w:rPr>
          <w:rFonts w:cs="Traditional Arabic" w:hint="cs"/>
          <w:color w:val="000000"/>
          <w:sz w:val="24"/>
          <w:szCs w:val="28"/>
          <w:rtl/>
        </w:rPr>
        <w:t>استئناف مختلط 19 مارس سنة 1936 المحاماة 17 رقم 472 ص 936</w:t>
      </w:r>
      <w:r>
        <w:rPr>
          <w:rFonts w:cs="Traditional Arabic" w:hint="cs"/>
          <w:color w:val="000000"/>
          <w:sz w:val="24"/>
          <w:szCs w:val="28"/>
          <w:rtl/>
        </w:rPr>
        <w:t xml:space="preserve"> )</w:t>
      </w:r>
      <w:r w:rsidRPr="00DC0143">
        <w:rPr>
          <w:rFonts w:cs="Traditional Arabic" w:hint="cs"/>
          <w:color w:val="000000"/>
          <w:sz w:val="24"/>
          <w:szCs w:val="28"/>
          <w:rtl/>
        </w:rPr>
        <w:t>*</w:t>
      </w:r>
      <w:r>
        <w:rPr>
          <w:rFonts w:cs="Traditional Arabic" w:hint="cs"/>
          <w:color w:val="000000"/>
          <w:sz w:val="24"/>
          <w:szCs w:val="28"/>
          <w:rtl/>
        </w:rPr>
        <w:t xml:space="preserve"> .</w:t>
      </w:r>
    </w:p>
  </w:footnote>
  <w:footnote w:id="78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فتدخل المباني المستحدثة فوق الأرض كجزء من الأرض المرهونة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20 أبريل سنة </w:t>
      </w:r>
      <w:smartTag w:uri="urn:schemas-microsoft-com:office:smarttags" w:element="metricconverter">
        <w:smartTagPr>
          <w:attr w:name="ProductID" w:val="1939 م"/>
        </w:smartTagPr>
        <w:r w:rsidRPr="00DC0143">
          <w:rPr>
            <w:rFonts w:cs="Traditional Arabic" w:hint="cs"/>
            <w:color w:val="000000"/>
            <w:sz w:val="24"/>
            <w:szCs w:val="28"/>
            <w:rtl/>
          </w:rPr>
          <w:t>1939 م</w:t>
        </w:r>
      </w:smartTag>
      <w:r w:rsidRPr="00DC0143">
        <w:rPr>
          <w:rFonts w:cs="Traditional Arabic" w:hint="cs"/>
          <w:color w:val="000000"/>
          <w:sz w:val="24"/>
          <w:szCs w:val="28"/>
          <w:rtl/>
        </w:rPr>
        <w:t xml:space="preserve"> 51 ص 269</w:t>
      </w:r>
      <w:r>
        <w:rPr>
          <w:rFonts w:cs="Traditional Arabic" w:hint="cs"/>
          <w:color w:val="000000"/>
          <w:sz w:val="24"/>
          <w:szCs w:val="28"/>
          <w:rtl/>
        </w:rPr>
        <w:t xml:space="preserve"> ) ،</w:t>
      </w:r>
      <w:r w:rsidRPr="00DC0143">
        <w:rPr>
          <w:rFonts w:cs="Traditional Arabic" w:hint="cs"/>
          <w:color w:val="000000"/>
          <w:sz w:val="24"/>
          <w:szCs w:val="28"/>
          <w:rtl/>
        </w:rPr>
        <w:t xml:space="preserve"> وكذلك ريع هذه المباني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14 مايو سنة </w:t>
      </w:r>
      <w:smartTag w:uri="urn:schemas-microsoft-com:office:smarttags" w:element="metricconverter">
        <w:smartTagPr>
          <w:attr w:name="ProductID" w:val="1940 م"/>
        </w:smartTagPr>
        <w:r w:rsidRPr="00DC0143">
          <w:rPr>
            <w:rFonts w:cs="Traditional Arabic" w:hint="cs"/>
            <w:color w:val="000000"/>
            <w:sz w:val="24"/>
            <w:szCs w:val="28"/>
            <w:rtl/>
          </w:rPr>
          <w:t>1940 م</w:t>
        </w:r>
      </w:smartTag>
      <w:r w:rsidRPr="00DC0143">
        <w:rPr>
          <w:rFonts w:cs="Traditional Arabic" w:hint="cs"/>
          <w:color w:val="000000"/>
          <w:sz w:val="24"/>
          <w:szCs w:val="28"/>
          <w:rtl/>
        </w:rPr>
        <w:t xml:space="preserve"> 52 ص 268</w:t>
      </w:r>
      <w:r>
        <w:rPr>
          <w:rFonts w:cs="Traditional Arabic" w:hint="cs"/>
          <w:color w:val="000000"/>
          <w:sz w:val="24"/>
          <w:szCs w:val="28"/>
          <w:rtl/>
        </w:rPr>
        <w:t xml:space="preserve"> ) .</w:t>
      </w:r>
    </w:p>
  </w:footnote>
  <w:footnote w:id="78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14 ص 34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50</w:t>
      </w:r>
    </w:p>
  </w:footnote>
  <w:footnote w:id="78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ويجوز للمستأجر رهن هذه الإنشاءات</w:t>
      </w:r>
      <w:r>
        <w:rPr>
          <w:rFonts w:cs="Traditional Arabic" w:hint="cs"/>
          <w:color w:val="000000"/>
          <w:sz w:val="24"/>
          <w:szCs w:val="28"/>
          <w:rtl/>
        </w:rPr>
        <w:t xml:space="preserve"> ،</w:t>
      </w:r>
      <w:r w:rsidRPr="00DC0143">
        <w:rPr>
          <w:rFonts w:cs="Traditional Arabic" w:hint="cs"/>
          <w:color w:val="000000"/>
          <w:sz w:val="24"/>
          <w:szCs w:val="28"/>
          <w:rtl/>
        </w:rPr>
        <w:t xml:space="preserve"> ما دامت في ملكه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8 أبريل سنة </w:t>
      </w:r>
      <w:smartTag w:uri="urn:schemas-microsoft-com:office:smarttags" w:element="metricconverter">
        <w:smartTagPr>
          <w:attr w:name="ProductID" w:val="1920 م"/>
        </w:smartTagPr>
        <w:r w:rsidRPr="00DC0143">
          <w:rPr>
            <w:rFonts w:cs="Traditional Arabic" w:hint="cs"/>
            <w:color w:val="000000"/>
            <w:sz w:val="24"/>
            <w:szCs w:val="28"/>
            <w:rtl/>
          </w:rPr>
          <w:t>1920 م</w:t>
        </w:r>
      </w:smartTag>
      <w:r w:rsidRPr="00DC0143">
        <w:rPr>
          <w:rFonts w:cs="Traditional Arabic" w:hint="cs"/>
          <w:color w:val="000000"/>
          <w:sz w:val="24"/>
          <w:szCs w:val="28"/>
          <w:rtl/>
        </w:rPr>
        <w:t xml:space="preserve"> 32 ص 263 مايو سن </w:t>
      </w:r>
      <w:smartTag w:uri="urn:schemas-microsoft-com:office:smarttags" w:element="metricconverter">
        <w:smartTagPr>
          <w:attr w:name="ProductID" w:val="1927 م"/>
        </w:smartTagPr>
        <w:r w:rsidRPr="00DC0143">
          <w:rPr>
            <w:rFonts w:cs="Traditional Arabic" w:hint="cs"/>
            <w:color w:val="000000"/>
            <w:sz w:val="24"/>
            <w:szCs w:val="28"/>
            <w:rtl/>
          </w:rPr>
          <w:t>1927 م</w:t>
        </w:r>
      </w:smartTag>
      <w:r w:rsidRPr="00DC0143">
        <w:rPr>
          <w:rFonts w:cs="Traditional Arabic" w:hint="cs"/>
          <w:color w:val="000000"/>
          <w:sz w:val="24"/>
          <w:szCs w:val="28"/>
          <w:rtl/>
        </w:rPr>
        <w:t xml:space="preserve"> 39 ص 512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34 ص 52</w:t>
      </w:r>
      <w:r>
        <w:rPr>
          <w:rFonts w:cs="Traditional Arabic" w:hint="cs"/>
          <w:color w:val="000000"/>
          <w:sz w:val="24"/>
          <w:szCs w:val="28"/>
          <w:rtl/>
        </w:rPr>
        <w:t xml:space="preserve"> ) .</w:t>
      </w:r>
    </w:p>
  </w:footnote>
  <w:footnote w:id="78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14 ص 34 </w:t>
      </w:r>
      <w:r w:rsidRPr="00DC0143">
        <w:rPr>
          <w:rFonts w:cs="Traditional Arabic"/>
          <w:color w:val="000000"/>
          <w:sz w:val="24"/>
          <w:szCs w:val="28"/>
          <w:rtl/>
        </w:rPr>
        <w:t>–</w:t>
      </w:r>
      <w:r w:rsidRPr="00DC0143">
        <w:rPr>
          <w:rFonts w:cs="Traditional Arabic" w:hint="cs"/>
          <w:color w:val="000000"/>
          <w:sz w:val="24"/>
          <w:szCs w:val="28"/>
          <w:rtl/>
        </w:rPr>
        <w:t xml:space="preserve"> ص 35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50 </w:t>
      </w:r>
      <w:r w:rsidRPr="00DC0143">
        <w:rPr>
          <w:rFonts w:cs="Traditional Arabic"/>
          <w:color w:val="000000"/>
          <w:sz w:val="24"/>
          <w:szCs w:val="28"/>
          <w:rtl/>
        </w:rPr>
        <w:t>–</w:t>
      </w:r>
      <w:r w:rsidRPr="00DC0143">
        <w:rPr>
          <w:rFonts w:cs="Traditional Arabic" w:hint="cs"/>
          <w:color w:val="000000"/>
          <w:sz w:val="24"/>
          <w:szCs w:val="28"/>
          <w:rtl/>
        </w:rPr>
        <w:t xml:space="preserve"> وإذا كان الباني على العقار المرهون يستحق تعويضا</w:t>
      </w:r>
      <w:r>
        <w:rPr>
          <w:rFonts w:cs="Traditional Arabic" w:hint="cs"/>
          <w:color w:val="000000"/>
          <w:sz w:val="24"/>
          <w:szCs w:val="28"/>
          <w:rtl/>
        </w:rPr>
        <w:t xml:space="preserve"> ،</w:t>
      </w:r>
      <w:r w:rsidRPr="00DC0143">
        <w:rPr>
          <w:rFonts w:cs="Traditional Arabic" w:hint="cs"/>
          <w:color w:val="000000"/>
          <w:sz w:val="24"/>
          <w:szCs w:val="28"/>
          <w:rtl/>
        </w:rPr>
        <w:t xml:space="preserve"> أخذه من مالك العقار المرهون لأن هذا المالك قد زاد البناء في قيمة ملكه</w:t>
      </w:r>
      <w:r>
        <w:rPr>
          <w:rFonts w:cs="Traditional Arabic" w:hint="cs"/>
          <w:color w:val="000000"/>
          <w:sz w:val="24"/>
          <w:szCs w:val="28"/>
          <w:rtl/>
        </w:rPr>
        <w:t xml:space="preserve"> ،</w:t>
      </w:r>
      <w:r w:rsidRPr="00DC0143">
        <w:rPr>
          <w:rFonts w:cs="Traditional Arabic" w:hint="cs"/>
          <w:color w:val="000000"/>
          <w:sz w:val="24"/>
          <w:szCs w:val="28"/>
          <w:rtl/>
        </w:rPr>
        <w:t xml:space="preserve"> ولا يرجع الباني بدعوى الإثراء بلا سبب على الدائن المرتهن إذا نزع هذا ملكية البناء مع العقار المرهون وحصل بذلك على حقه </w:t>
      </w:r>
      <w:r>
        <w:rPr>
          <w:rFonts w:cs="Traditional Arabic" w:hint="cs"/>
          <w:color w:val="000000"/>
          <w:sz w:val="24"/>
          <w:szCs w:val="28"/>
          <w:rtl/>
        </w:rPr>
        <w:t xml:space="preserve">( </w:t>
      </w:r>
      <w:r w:rsidRPr="00DC0143">
        <w:rPr>
          <w:rFonts w:cs="Traditional Arabic" w:hint="cs"/>
          <w:color w:val="000000"/>
          <w:sz w:val="24"/>
          <w:szCs w:val="28"/>
          <w:rtl/>
        </w:rPr>
        <w:t xml:space="preserve">سليمان مرقس فقرة 34 ص 51 هامش 4 </w:t>
      </w:r>
      <w:r w:rsidRPr="00DC0143">
        <w:rPr>
          <w:rFonts w:cs="Traditional Arabic"/>
          <w:color w:val="000000"/>
          <w:sz w:val="24"/>
          <w:szCs w:val="28"/>
          <w:rtl/>
        </w:rPr>
        <w:t>–</w:t>
      </w:r>
      <w:r w:rsidRPr="00DC0143">
        <w:rPr>
          <w:rFonts w:cs="Traditional Arabic" w:hint="cs"/>
          <w:color w:val="000000"/>
          <w:sz w:val="24"/>
          <w:szCs w:val="28"/>
          <w:rtl/>
        </w:rPr>
        <w:t xml:space="preserve"> عكس ذلك شفيق شحاته فقرة 30</w:t>
      </w:r>
      <w:r>
        <w:rPr>
          <w:rFonts w:cs="Traditional Arabic" w:hint="cs"/>
          <w:color w:val="000000"/>
          <w:sz w:val="24"/>
          <w:szCs w:val="28"/>
          <w:rtl/>
        </w:rPr>
        <w:t xml:space="preserve"> ) .</w:t>
      </w:r>
    </w:p>
  </w:footnote>
  <w:footnote w:id="78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16 ص 51</w:t>
      </w:r>
      <w:r>
        <w:rPr>
          <w:rFonts w:cs="Traditional Arabic" w:hint="cs"/>
          <w:color w:val="000000"/>
          <w:sz w:val="24"/>
          <w:szCs w:val="28"/>
          <w:rtl/>
        </w:rPr>
        <w:t xml:space="preserve"> .</w:t>
      </w:r>
    </w:p>
  </w:footnote>
  <w:footnote w:id="78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16 ص 51</w:t>
      </w:r>
      <w:r>
        <w:rPr>
          <w:rFonts w:cs="Traditional Arabic" w:hint="cs"/>
          <w:color w:val="000000"/>
          <w:sz w:val="24"/>
          <w:szCs w:val="28"/>
          <w:rtl/>
        </w:rPr>
        <w:t xml:space="preserve"> .</w:t>
      </w:r>
    </w:p>
  </w:footnote>
  <w:footnote w:id="78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386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16 ص 52</w:t>
      </w:r>
      <w:r>
        <w:rPr>
          <w:rFonts w:cs="Traditional Arabic" w:hint="cs"/>
          <w:color w:val="000000"/>
          <w:sz w:val="24"/>
          <w:szCs w:val="28"/>
          <w:rtl/>
        </w:rPr>
        <w:t xml:space="preserve"> .</w:t>
      </w:r>
    </w:p>
  </w:footnote>
  <w:footnote w:id="78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سليمان مرقس فقرة 37</w:t>
      </w:r>
      <w:r>
        <w:rPr>
          <w:rFonts w:cs="Traditional Arabic" w:hint="cs"/>
          <w:color w:val="000000"/>
          <w:sz w:val="24"/>
          <w:szCs w:val="28"/>
          <w:rtl/>
        </w:rPr>
        <w:t xml:space="preserve"> .</w:t>
      </w:r>
    </w:p>
  </w:footnote>
  <w:footnote w:id="79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كولان وكابيتان 2 فقرة 1668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382 ص 417</w:t>
      </w:r>
      <w:r>
        <w:rPr>
          <w:rFonts w:cs="Traditional Arabic" w:hint="cs"/>
          <w:color w:val="000000"/>
          <w:sz w:val="24"/>
          <w:szCs w:val="28"/>
          <w:rtl/>
        </w:rPr>
        <w:t xml:space="preserve"> .</w:t>
      </w:r>
    </w:p>
  </w:footnote>
  <w:footnote w:id="79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382 ص 417</w:t>
      </w:r>
      <w:r>
        <w:rPr>
          <w:rFonts w:cs="Traditional Arabic" w:hint="cs"/>
          <w:color w:val="000000"/>
          <w:sz w:val="24"/>
          <w:szCs w:val="28"/>
          <w:rtl/>
        </w:rPr>
        <w:t xml:space="preserve"> .</w:t>
      </w:r>
    </w:p>
  </w:footnote>
  <w:footnote w:id="79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فلا يدخل في الرهن ما استحدث المستأجر من منشآت في العين المرهونة ما دامت المنشآت مملوكة للمستأجر</w:t>
      </w:r>
      <w:r>
        <w:rPr>
          <w:rFonts w:cs="Traditional Arabic" w:hint="cs"/>
          <w:color w:val="000000"/>
          <w:sz w:val="24"/>
          <w:szCs w:val="28"/>
          <w:rtl/>
        </w:rPr>
        <w:t xml:space="preserve"> ،</w:t>
      </w:r>
      <w:r w:rsidRPr="00DC0143">
        <w:rPr>
          <w:rFonts w:cs="Traditional Arabic" w:hint="cs"/>
          <w:color w:val="000000"/>
          <w:sz w:val="24"/>
          <w:szCs w:val="28"/>
          <w:rtl/>
        </w:rPr>
        <w:t xml:space="preserve"> فإذا ما آلت ملكيتها للمالك وأصبح يستطيع الانتفاع بها</w:t>
      </w:r>
      <w:r>
        <w:rPr>
          <w:rFonts w:cs="Traditional Arabic" w:hint="cs"/>
          <w:color w:val="000000"/>
          <w:sz w:val="24"/>
          <w:szCs w:val="28"/>
          <w:rtl/>
        </w:rPr>
        <w:t xml:space="preserve"> ،</w:t>
      </w:r>
      <w:r w:rsidRPr="00DC0143">
        <w:rPr>
          <w:rFonts w:cs="Traditional Arabic" w:hint="cs"/>
          <w:color w:val="000000"/>
          <w:sz w:val="24"/>
          <w:szCs w:val="28"/>
          <w:rtl/>
        </w:rPr>
        <w:t xml:space="preserve"> دخل في الرهن كما قدمنا</w:t>
      </w:r>
      <w:r>
        <w:rPr>
          <w:rFonts w:cs="Traditional Arabic" w:hint="cs"/>
          <w:color w:val="000000"/>
          <w:sz w:val="24"/>
          <w:szCs w:val="28"/>
          <w:rtl/>
        </w:rPr>
        <w:t xml:space="preserve"> .</w:t>
      </w:r>
    </w:p>
  </w:footnote>
  <w:footnote w:id="79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فلا يدخل في الرهن ما يعتبر منقولا من ملحقات العقار</w:t>
      </w:r>
      <w:r>
        <w:rPr>
          <w:rFonts w:cs="Traditional Arabic" w:hint="cs"/>
          <w:color w:val="000000"/>
          <w:sz w:val="24"/>
          <w:szCs w:val="28"/>
          <w:rtl/>
        </w:rPr>
        <w:t xml:space="preserve"> ،</w:t>
      </w:r>
      <w:r w:rsidRPr="00DC0143">
        <w:rPr>
          <w:rFonts w:cs="Traditional Arabic" w:hint="cs"/>
          <w:color w:val="000000"/>
          <w:sz w:val="24"/>
          <w:szCs w:val="28"/>
          <w:rtl/>
        </w:rPr>
        <w:t xml:space="preserve"> كالعربات المخصصة لركوب صاحب هذا العقار وأثاث المنزل المخصص لسكنى الراهن والمواشي والآلات التي يستأجرها الراهن لخدمة العقار </w:t>
      </w:r>
      <w:r>
        <w:rPr>
          <w:rFonts w:cs="Traditional Arabic" w:hint="cs"/>
          <w:color w:val="000000"/>
          <w:sz w:val="24"/>
          <w:szCs w:val="28"/>
          <w:rtl/>
        </w:rPr>
        <w:t xml:space="preserve">( </w:t>
      </w:r>
      <w:r w:rsidRPr="00DC0143">
        <w:rPr>
          <w:rFonts w:cs="Traditional Arabic" w:hint="cs"/>
          <w:color w:val="000000"/>
          <w:sz w:val="24"/>
          <w:szCs w:val="28"/>
          <w:rtl/>
        </w:rPr>
        <w:t xml:space="preserve">منصور مصطفى منصور فقرة 14 ص 33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32 ص 47</w:t>
      </w:r>
      <w:r>
        <w:rPr>
          <w:rFonts w:cs="Traditional Arabic" w:hint="cs"/>
          <w:color w:val="000000"/>
          <w:sz w:val="24"/>
          <w:szCs w:val="28"/>
          <w:rtl/>
        </w:rPr>
        <w:t xml:space="preserve"> ) .</w:t>
      </w:r>
    </w:p>
  </w:footnote>
  <w:footnote w:id="79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ورد في المذكرة الإيضاحية للمشروع التمهيدي للمادة 1036 مدني ما يأتي</w:t>
      </w:r>
      <w:r>
        <w:rPr>
          <w:rFonts w:cs="Traditional Arabic" w:hint="cs"/>
          <w:color w:val="000000"/>
          <w:sz w:val="24"/>
          <w:szCs w:val="28"/>
          <w:rtl/>
        </w:rPr>
        <w:t xml:space="preserve"> :</w:t>
      </w:r>
      <w:r w:rsidRPr="00DC0143">
        <w:rPr>
          <w:rFonts w:cs="Traditional Arabic" w:hint="cs"/>
          <w:color w:val="000000"/>
          <w:sz w:val="24"/>
          <w:szCs w:val="28"/>
          <w:rtl/>
        </w:rPr>
        <w:t xml:space="preserve"> "يلحق بالعقار في الرهن</w:t>
      </w:r>
      <w:r>
        <w:rPr>
          <w:rFonts w:cs="Traditional Arabic" w:hint="cs"/>
          <w:color w:val="000000"/>
          <w:sz w:val="24"/>
          <w:szCs w:val="28"/>
          <w:rtl/>
        </w:rPr>
        <w:t xml:space="preserve"> ،</w:t>
      </w:r>
      <w:r w:rsidRPr="00DC0143">
        <w:rPr>
          <w:rFonts w:cs="Traditional Arabic" w:hint="cs"/>
          <w:color w:val="000000"/>
          <w:sz w:val="24"/>
          <w:szCs w:val="28"/>
          <w:rtl/>
        </w:rPr>
        <w:t xml:space="preserve"> فيكون مرهونا مثله في نفس الدين</w:t>
      </w:r>
      <w:r>
        <w:rPr>
          <w:rFonts w:cs="Traditional Arabic" w:hint="cs"/>
          <w:color w:val="000000"/>
          <w:sz w:val="24"/>
          <w:szCs w:val="28"/>
          <w:rtl/>
        </w:rPr>
        <w:t xml:space="preserve"> ،</w:t>
      </w:r>
      <w:r w:rsidRPr="00DC0143">
        <w:rPr>
          <w:rFonts w:cs="Traditional Arabic" w:hint="cs"/>
          <w:color w:val="000000"/>
          <w:sz w:val="24"/>
          <w:szCs w:val="28"/>
          <w:rtl/>
        </w:rPr>
        <w:t xml:space="preserve"> دون حاجة إلى ذكره في العقد</w:t>
      </w:r>
      <w:r>
        <w:rPr>
          <w:rFonts w:cs="Traditional Arabic" w:hint="cs"/>
          <w:color w:val="000000"/>
          <w:sz w:val="24"/>
          <w:szCs w:val="28"/>
          <w:rtl/>
        </w:rPr>
        <w:t xml:space="preserve"> ،</w:t>
      </w:r>
      <w:r w:rsidRPr="00DC0143">
        <w:rPr>
          <w:rFonts w:cs="Traditional Arabic" w:hint="cs"/>
          <w:color w:val="000000"/>
          <w:sz w:val="24"/>
          <w:szCs w:val="28"/>
          <w:rtl/>
        </w:rPr>
        <w:t xml:space="preserve"> كل ما يكون من ملحقات العقار ويعتبر عقارا</w:t>
      </w:r>
      <w:r>
        <w:rPr>
          <w:rFonts w:cs="Traditional Arabic" w:hint="cs"/>
          <w:color w:val="000000"/>
          <w:sz w:val="24"/>
          <w:szCs w:val="28"/>
          <w:rtl/>
        </w:rPr>
        <w:t xml:space="preserve"> .</w:t>
      </w:r>
      <w:r w:rsidRPr="00DC0143">
        <w:rPr>
          <w:rFonts w:cs="Traditional Arabic" w:hint="cs"/>
          <w:color w:val="000000"/>
          <w:sz w:val="24"/>
          <w:szCs w:val="28"/>
          <w:rtl/>
        </w:rPr>
        <w:t xml:space="preserve"> مثل ذلك ما يكون للعقار المرهون من حقوق الارتفاق</w:t>
      </w:r>
      <w:r>
        <w:rPr>
          <w:rFonts w:cs="Traditional Arabic" w:hint="cs"/>
          <w:color w:val="000000"/>
          <w:sz w:val="24"/>
          <w:szCs w:val="28"/>
          <w:rtl/>
        </w:rPr>
        <w:t xml:space="preserve"> ،</w:t>
      </w:r>
      <w:r w:rsidRPr="00DC0143">
        <w:rPr>
          <w:rFonts w:cs="Traditional Arabic" w:hint="cs"/>
          <w:color w:val="000000"/>
          <w:sz w:val="24"/>
          <w:szCs w:val="28"/>
          <w:rtl/>
        </w:rPr>
        <w:t xml:space="preserve"> ومثل ذلك أيضاً العقارات بالتخصيص التي أعدها المالك لخدمة العقار</w:t>
      </w:r>
      <w:r>
        <w:rPr>
          <w:rFonts w:cs="Traditional Arabic" w:hint="cs"/>
          <w:color w:val="000000"/>
          <w:sz w:val="24"/>
          <w:szCs w:val="28"/>
          <w:rtl/>
        </w:rPr>
        <w:t xml:space="preserve"> ،</w:t>
      </w:r>
      <w:r w:rsidRPr="00DC0143">
        <w:rPr>
          <w:rFonts w:cs="Traditional Arabic" w:hint="cs"/>
          <w:color w:val="000000"/>
          <w:sz w:val="24"/>
          <w:szCs w:val="28"/>
          <w:rtl/>
        </w:rPr>
        <w:t xml:space="preserve"> سواء كانت من قبل الرهن أو أعدت بعده</w:t>
      </w:r>
      <w:r>
        <w:rPr>
          <w:rFonts w:cs="Traditional Arabic" w:hint="cs"/>
          <w:color w:val="000000"/>
          <w:sz w:val="24"/>
          <w:szCs w:val="28"/>
          <w:rtl/>
        </w:rPr>
        <w:t xml:space="preserve"> ،</w:t>
      </w:r>
      <w:r w:rsidRPr="00DC0143">
        <w:rPr>
          <w:rFonts w:cs="Traditional Arabic" w:hint="cs"/>
          <w:color w:val="000000"/>
          <w:sz w:val="24"/>
          <w:szCs w:val="28"/>
          <w:rtl/>
        </w:rPr>
        <w:t xml:space="preserve"> ومثل ذلك أخيراً ما أدخل على العقار لو بعد الرهن من تحسينات مهما زادت في قيمته وما أقيم من منشآت تعود بالمنفعة على المالك كما إذا أقام المالك على الأرض المرهونة بناء فإن الرهن يشمله مهما كان كبيراً</w:t>
      </w:r>
      <w:r>
        <w:rPr>
          <w:rFonts w:cs="Traditional Arabic" w:hint="cs"/>
          <w:color w:val="000000"/>
          <w:sz w:val="24"/>
          <w:szCs w:val="28"/>
          <w:rtl/>
        </w:rPr>
        <w:t xml:space="preserve"> .</w:t>
      </w:r>
      <w:r w:rsidRPr="00DC0143">
        <w:rPr>
          <w:rFonts w:cs="Traditional Arabic" w:hint="cs"/>
          <w:color w:val="000000"/>
          <w:sz w:val="24"/>
          <w:szCs w:val="28"/>
          <w:rtl/>
        </w:rPr>
        <w:t xml:space="preserve"> كذلك لو أقام الغير بناء على أرض مرهونة وملك الراهن البناء بالالتصاق</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يشمل البناء</w:t>
      </w:r>
      <w:r>
        <w:rPr>
          <w:rFonts w:cs="Traditional Arabic" w:hint="cs"/>
          <w:color w:val="000000"/>
          <w:sz w:val="24"/>
          <w:szCs w:val="28"/>
          <w:rtl/>
        </w:rPr>
        <w:t xml:space="preserve"> .</w:t>
      </w:r>
      <w:r w:rsidRPr="00DC0143">
        <w:rPr>
          <w:rFonts w:cs="Traditional Arabic" w:hint="cs"/>
          <w:color w:val="000000"/>
          <w:sz w:val="24"/>
          <w:szCs w:val="28"/>
          <w:rtl/>
        </w:rPr>
        <w:t xml:space="preserve"> وتطبيقا لما تقدم إذا كان المرهون هو حق الرقبة</w:t>
      </w:r>
      <w:r>
        <w:rPr>
          <w:rFonts w:cs="Traditional Arabic" w:hint="cs"/>
          <w:color w:val="000000"/>
          <w:sz w:val="24"/>
          <w:szCs w:val="28"/>
          <w:rtl/>
        </w:rPr>
        <w:t xml:space="preserve"> ،</w:t>
      </w:r>
      <w:r w:rsidRPr="00DC0143">
        <w:rPr>
          <w:rFonts w:cs="Traditional Arabic" w:hint="cs"/>
          <w:color w:val="000000"/>
          <w:sz w:val="24"/>
          <w:szCs w:val="28"/>
          <w:rtl/>
        </w:rPr>
        <w:t xml:space="preserve"> ثم آل حق الانتفاع إلى المالك</w:t>
      </w:r>
      <w:r>
        <w:rPr>
          <w:rFonts w:cs="Traditional Arabic" w:hint="cs"/>
          <w:color w:val="000000"/>
          <w:sz w:val="24"/>
          <w:szCs w:val="28"/>
          <w:rtl/>
        </w:rPr>
        <w:t xml:space="preserve"> ،</w:t>
      </w:r>
      <w:r w:rsidRPr="00DC0143">
        <w:rPr>
          <w:rFonts w:cs="Traditional Arabic" w:hint="cs"/>
          <w:color w:val="000000"/>
          <w:sz w:val="24"/>
          <w:szCs w:val="28"/>
          <w:rtl/>
        </w:rPr>
        <w:t xml:space="preserve"> شمل الرهن حق الانتفاع باعتباره تابعا للرقبة</w:t>
      </w:r>
      <w:r>
        <w:rPr>
          <w:rFonts w:cs="Traditional Arabic" w:hint="cs"/>
          <w:color w:val="000000"/>
          <w:sz w:val="24"/>
          <w:szCs w:val="28"/>
          <w:rtl/>
        </w:rPr>
        <w:t xml:space="preserve"> ،</w:t>
      </w:r>
      <w:r w:rsidRPr="00DC0143">
        <w:rPr>
          <w:rFonts w:cs="Traditional Arabic" w:hint="cs"/>
          <w:color w:val="000000"/>
          <w:sz w:val="24"/>
          <w:szCs w:val="28"/>
          <w:rtl/>
        </w:rPr>
        <w:t xml:space="preserve"> مع مراعاة حقوق الغير كما لو كان حق الانتفاع نفسه مرهونا واشتراه مالك الرقبة المرهونة</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على الرقبة يشمل حق الانتفاع ولكنه يتأخر عن الرهن الذي رتب على حق الانتفاع من قبل</w:t>
      </w:r>
      <w:r>
        <w:rPr>
          <w:rFonts w:cs="Traditional Arabic" w:hint="cs"/>
          <w:color w:val="000000"/>
          <w:sz w:val="24"/>
          <w:szCs w:val="28"/>
          <w:rtl/>
        </w:rPr>
        <w:t xml:space="preserve"> .</w:t>
      </w:r>
      <w:r w:rsidRPr="00DC0143">
        <w:rPr>
          <w:rFonts w:cs="Traditional Arabic" w:hint="cs"/>
          <w:color w:val="000000"/>
          <w:sz w:val="24"/>
          <w:szCs w:val="28"/>
          <w:rtl/>
        </w:rPr>
        <w:t xml:space="preserve"> وكذلك الأمر في ملحقات العقار  المرهون إذا كان للغير حقوق عليها</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الذي يمتد إلى هذه الملحقات لا يؤثر في هذه الحقوق</w:t>
      </w:r>
      <w:r>
        <w:rPr>
          <w:rFonts w:cs="Traditional Arabic" w:hint="cs"/>
          <w:color w:val="000000"/>
          <w:sz w:val="24"/>
          <w:szCs w:val="28"/>
          <w:rtl/>
        </w:rPr>
        <w:t xml:space="preserve"> ،</w:t>
      </w:r>
      <w:r w:rsidRPr="00DC0143">
        <w:rPr>
          <w:rFonts w:cs="Traditional Arabic" w:hint="cs"/>
          <w:color w:val="000000"/>
          <w:sz w:val="24"/>
          <w:szCs w:val="28"/>
          <w:rtl/>
        </w:rPr>
        <w:t xml:space="preserve"> فلو اشترى مالك الأرض المرهونة مواشي لم يدفع ثمنها وخصصها لخدمة الأرض</w:t>
      </w:r>
      <w:r>
        <w:rPr>
          <w:rFonts w:cs="Traditional Arabic" w:hint="cs"/>
          <w:color w:val="000000"/>
          <w:sz w:val="24"/>
          <w:szCs w:val="28"/>
          <w:rtl/>
        </w:rPr>
        <w:t xml:space="preserve"> ،</w:t>
      </w:r>
      <w:r w:rsidRPr="00DC0143">
        <w:rPr>
          <w:rFonts w:cs="Traditional Arabic" w:hint="cs"/>
          <w:color w:val="000000"/>
          <w:sz w:val="24"/>
          <w:szCs w:val="28"/>
          <w:rtl/>
        </w:rPr>
        <w:t xml:space="preserve"> فإن الرهن يشملها ولكنه يتأخر عن امتياز بائع المواشي"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24 </w:t>
      </w:r>
      <w:r w:rsidRPr="00DC0143">
        <w:rPr>
          <w:rFonts w:cs="Traditional Arabic"/>
          <w:color w:val="000000"/>
          <w:sz w:val="24"/>
          <w:szCs w:val="28"/>
          <w:rtl/>
        </w:rPr>
        <w:t>–</w:t>
      </w:r>
      <w:r w:rsidRPr="00DC0143">
        <w:rPr>
          <w:rFonts w:cs="Traditional Arabic" w:hint="cs"/>
          <w:color w:val="000000"/>
          <w:sz w:val="24"/>
          <w:szCs w:val="28"/>
          <w:rtl/>
        </w:rPr>
        <w:t xml:space="preserve"> ص 25</w:t>
      </w:r>
      <w:r>
        <w:rPr>
          <w:rFonts w:cs="Traditional Arabic" w:hint="cs"/>
          <w:color w:val="000000"/>
          <w:sz w:val="24"/>
          <w:szCs w:val="28"/>
          <w:rtl/>
        </w:rPr>
        <w:t xml:space="preserve"> ) .</w:t>
      </w:r>
    </w:p>
  </w:footnote>
  <w:footnote w:id="79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1444 من المشروع التمهيدي على وجه مطابق لما استقر عليه في التقنين المدنين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1132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1118</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1037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26 </w:t>
      </w:r>
      <w:r w:rsidRPr="00DC0143">
        <w:rPr>
          <w:rFonts w:cs="Traditional Arabic"/>
          <w:color w:val="000000"/>
          <w:sz w:val="24"/>
          <w:szCs w:val="28"/>
          <w:rtl/>
        </w:rPr>
        <w:t>–</w:t>
      </w:r>
      <w:r w:rsidRPr="00DC0143">
        <w:rPr>
          <w:rFonts w:cs="Traditional Arabic" w:hint="cs"/>
          <w:color w:val="000000"/>
          <w:sz w:val="24"/>
          <w:szCs w:val="28"/>
          <w:rtl/>
        </w:rPr>
        <w:t xml:space="preserve"> ص 27</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ولا مقابل في 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ولكن يقابله في تقنين المرافعات الأسبق م 545 / 633</w:t>
      </w:r>
      <w:r>
        <w:rPr>
          <w:rFonts w:cs="Traditional Arabic" w:hint="cs"/>
          <w:color w:val="000000"/>
          <w:sz w:val="24"/>
          <w:szCs w:val="28"/>
          <w:rtl/>
        </w:rPr>
        <w:t xml:space="preserve"> :</w:t>
      </w:r>
      <w:r w:rsidRPr="00DC0143">
        <w:rPr>
          <w:rFonts w:cs="Traditional Arabic" w:hint="cs"/>
          <w:color w:val="000000"/>
          <w:sz w:val="24"/>
          <w:szCs w:val="28"/>
          <w:rtl/>
        </w:rPr>
        <w:t xml:space="preserve"> يترتب على تسجيل التنبيه إلحاق إيراد العقار المقصود نزعه من يد المدين وثمراته به</w:t>
      </w:r>
      <w:r>
        <w:rPr>
          <w:rFonts w:cs="Traditional Arabic" w:hint="cs"/>
          <w:color w:val="000000"/>
          <w:sz w:val="24"/>
          <w:szCs w:val="28"/>
          <w:rtl/>
        </w:rPr>
        <w:t xml:space="preserve"> ،</w:t>
      </w:r>
      <w:r w:rsidRPr="00DC0143">
        <w:rPr>
          <w:rFonts w:cs="Traditional Arabic" w:hint="cs"/>
          <w:color w:val="000000"/>
          <w:sz w:val="24"/>
          <w:szCs w:val="28"/>
          <w:rtl/>
        </w:rPr>
        <w:t xml:space="preserve"> ويوزع ما يخص المدة التي أعقبت ذلك التسجيل من كل منها كما يوزع ثمن العقار</w:t>
      </w:r>
      <w:r>
        <w:rPr>
          <w:rFonts w:cs="Traditional Arabic" w:hint="cs"/>
          <w:color w:val="000000"/>
          <w:sz w:val="24"/>
          <w:szCs w:val="28"/>
          <w:rtl/>
        </w:rPr>
        <w:t xml:space="preserve"> .</w:t>
      </w:r>
    </w:p>
  </w:footnote>
  <w:footnote w:id="79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وتشمل ثمار العقار ثمار ملحقاته ولو أنشئت بعد الرهن</w:t>
      </w:r>
      <w:r>
        <w:rPr>
          <w:rFonts w:cs="Traditional Arabic" w:hint="cs"/>
          <w:color w:val="000000"/>
          <w:sz w:val="24"/>
          <w:szCs w:val="28"/>
          <w:rtl/>
        </w:rPr>
        <w:t xml:space="preserve"> ،</w:t>
      </w:r>
      <w:r w:rsidRPr="00DC0143">
        <w:rPr>
          <w:rFonts w:cs="Traditional Arabic" w:hint="cs"/>
          <w:color w:val="000000"/>
          <w:sz w:val="24"/>
          <w:szCs w:val="28"/>
          <w:rtl/>
        </w:rPr>
        <w:t xml:space="preserve"> كبناء طابق جديد بعد الرهن فوق المنزل المرهون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14 مايو سنة </w:t>
      </w:r>
      <w:smartTag w:uri="urn:schemas-microsoft-com:office:smarttags" w:element="metricconverter">
        <w:smartTagPr>
          <w:attr w:name="ProductID" w:val="1940 م"/>
        </w:smartTagPr>
        <w:r w:rsidRPr="00DC0143">
          <w:rPr>
            <w:rFonts w:cs="Traditional Arabic" w:hint="cs"/>
            <w:color w:val="000000"/>
            <w:sz w:val="24"/>
            <w:szCs w:val="28"/>
            <w:rtl/>
          </w:rPr>
          <w:t>1940 م</w:t>
        </w:r>
      </w:smartTag>
      <w:r w:rsidRPr="00DC0143">
        <w:rPr>
          <w:rFonts w:cs="Traditional Arabic" w:hint="cs"/>
          <w:color w:val="000000"/>
          <w:sz w:val="24"/>
          <w:szCs w:val="28"/>
          <w:rtl/>
        </w:rPr>
        <w:t xml:space="preserve"> 52 ص 268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35 ص 53</w:t>
      </w:r>
      <w:r>
        <w:rPr>
          <w:rFonts w:cs="Traditional Arabic" w:hint="cs"/>
          <w:color w:val="000000"/>
          <w:sz w:val="24"/>
          <w:szCs w:val="28"/>
          <w:rtl/>
        </w:rPr>
        <w:t xml:space="preserve"> ) .</w:t>
      </w:r>
      <w:r w:rsidRPr="00DC0143">
        <w:rPr>
          <w:rFonts w:cs="Traditional Arabic" w:hint="cs"/>
          <w:color w:val="000000"/>
          <w:sz w:val="24"/>
          <w:szCs w:val="28"/>
          <w:rtl/>
        </w:rPr>
        <w:t xml:space="preserve"> وإذا باع الراهن الثمار قبل إلحاقها بالعقار</w:t>
      </w:r>
      <w:r>
        <w:rPr>
          <w:rFonts w:cs="Traditional Arabic" w:hint="cs"/>
          <w:color w:val="000000"/>
          <w:sz w:val="24"/>
          <w:szCs w:val="28"/>
          <w:rtl/>
        </w:rPr>
        <w:t xml:space="preserve"> ،</w:t>
      </w:r>
      <w:r w:rsidRPr="00DC0143">
        <w:rPr>
          <w:rFonts w:cs="Traditional Arabic" w:hint="cs"/>
          <w:color w:val="000000"/>
          <w:sz w:val="24"/>
          <w:szCs w:val="28"/>
          <w:rtl/>
        </w:rPr>
        <w:t xml:space="preserve"> ثم جنيت بعد ذلك</w:t>
      </w:r>
      <w:r>
        <w:rPr>
          <w:rFonts w:cs="Traditional Arabic" w:hint="cs"/>
          <w:color w:val="000000"/>
          <w:sz w:val="24"/>
          <w:szCs w:val="28"/>
          <w:rtl/>
        </w:rPr>
        <w:t xml:space="preserve"> ،</w:t>
      </w:r>
      <w:r w:rsidRPr="00DC0143">
        <w:rPr>
          <w:rFonts w:cs="Traditional Arabic" w:hint="cs"/>
          <w:color w:val="000000"/>
          <w:sz w:val="24"/>
          <w:szCs w:val="28"/>
          <w:rtl/>
        </w:rPr>
        <w:t xml:space="preserve"> فإنها تكون ملكا للمشتري </w:t>
      </w:r>
      <w:r>
        <w:rPr>
          <w:rFonts w:cs="Traditional Arabic" w:hint="cs"/>
          <w:color w:val="000000"/>
          <w:sz w:val="24"/>
          <w:szCs w:val="28"/>
          <w:rtl/>
        </w:rPr>
        <w:t xml:space="preserve">( </w:t>
      </w:r>
      <w:r w:rsidRPr="00DC0143">
        <w:rPr>
          <w:rFonts w:cs="Traditional Arabic" w:hint="cs"/>
          <w:color w:val="000000"/>
          <w:sz w:val="24"/>
          <w:szCs w:val="28"/>
          <w:rtl/>
        </w:rPr>
        <w:t xml:space="preserve">المذكرة الإيضاحية للمشروع التمهيدي في مجموعة الأعمال التحضيرية 7 ص 27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53 ص 168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35 ص 53</w:t>
      </w:r>
      <w:r>
        <w:rPr>
          <w:rFonts w:cs="Traditional Arabic" w:hint="cs"/>
          <w:color w:val="000000"/>
          <w:sz w:val="24"/>
          <w:szCs w:val="28"/>
          <w:rtl/>
        </w:rPr>
        <w:t xml:space="preserve"> ) .</w:t>
      </w:r>
    </w:p>
  </w:footnote>
  <w:footnote w:id="79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14 ص 36</w:t>
      </w:r>
      <w:r>
        <w:rPr>
          <w:rFonts w:cs="Traditional Arabic" w:hint="cs"/>
          <w:color w:val="000000"/>
          <w:sz w:val="24"/>
          <w:szCs w:val="28"/>
          <w:rtl/>
        </w:rPr>
        <w:t xml:space="preserve"> .</w:t>
      </w:r>
    </w:p>
  </w:footnote>
  <w:footnote w:id="79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محمد حامد فهمي في التنفيذ فقرة 352 </w:t>
      </w:r>
      <w:r w:rsidRPr="00DC0143">
        <w:rPr>
          <w:rFonts w:cs="Traditional Arabic"/>
          <w:color w:val="000000"/>
          <w:sz w:val="24"/>
          <w:szCs w:val="28"/>
          <w:rtl/>
        </w:rPr>
        <w:t>–</w:t>
      </w:r>
      <w:r w:rsidRPr="00DC0143">
        <w:rPr>
          <w:rFonts w:cs="Traditional Arabic" w:hint="cs"/>
          <w:color w:val="000000"/>
          <w:sz w:val="24"/>
          <w:szCs w:val="28"/>
          <w:rtl/>
        </w:rPr>
        <w:t xml:space="preserve"> شفيق شحاته فقرة 125 ص 114</w:t>
      </w:r>
      <w:r>
        <w:rPr>
          <w:rFonts w:cs="Traditional Arabic" w:hint="cs"/>
          <w:color w:val="000000"/>
          <w:sz w:val="24"/>
          <w:szCs w:val="28"/>
          <w:rtl/>
        </w:rPr>
        <w:t xml:space="preserve"> .</w:t>
      </w:r>
    </w:p>
  </w:footnote>
  <w:footnote w:id="79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عبد الفتاح عبد الباقي فقرة 228 ص 346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172 ص 270- جمال الدين زكي ص 116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53 </w:t>
      </w:r>
      <w:r w:rsidRPr="00DC0143">
        <w:rPr>
          <w:rFonts w:cs="Traditional Arabic"/>
          <w:color w:val="000000"/>
          <w:sz w:val="24"/>
          <w:szCs w:val="28"/>
          <w:rtl/>
        </w:rPr>
        <w:t>–</w:t>
      </w:r>
      <w:r w:rsidRPr="00DC0143">
        <w:rPr>
          <w:rFonts w:cs="Traditional Arabic" w:hint="cs"/>
          <w:color w:val="000000"/>
          <w:sz w:val="24"/>
          <w:szCs w:val="28"/>
          <w:rtl/>
        </w:rPr>
        <w:t xml:space="preserve"> ص 167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35 ص 53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58 ص 81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61 ص 198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14 ص 46 </w:t>
      </w:r>
      <w:r w:rsidRPr="00DC0143">
        <w:rPr>
          <w:rFonts w:cs="Traditional Arabic"/>
          <w:color w:val="000000"/>
          <w:sz w:val="24"/>
          <w:szCs w:val="28"/>
          <w:rtl/>
        </w:rPr>
        <w:t>–</w:t>
      </w:r>
      <w:r w:rsidRPr="00DC0143">
        <w:rPr>
          <w:rFonts w:cs="Traditional Arabic" w:hint="cs"/>
          <w:color w:val="000000"/>
          <w:sz w:val="24"/>
          <w:szCs w:val="28"/>
          <w:rtl/>
        </w:rPr>
        <w:t xml:space="preserve"> ص 37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17 ص 54 </w:t>
      </w:r>
      <w:r w:rsidRPr="00DC0143">
        <w:rPr>
          <w:rFonts w:cs="Traditional Arabic"/>
          <w:color w:val="000000"/>
          <w:sz w:val="24"/>
          <w:szCs w:val="28"/>
          <w:rtl/>
        </w:rPr>
        <w:t>–</w:t>
      </w:r>
      <w:r w:rsidRPr="00DC0143">
        <w:rPr>
          <w:rFonts w:cs="Traditional Arabic" w:hint="cs"/>
          <w:color w:val="000000"/>
          <w:sz w:val="24"/>
          <w:szCs w:val="28"/>
          <w:rtl/>
        </w:rPr>
        <w:t xml:space="preserve"> ص 55 </w:t>
      </w:r>
      <w:r w:rsidRPr="00DC0143">
        <w:rPr>
          <w:rFonts w:cs="Traditional Arabic"/>
          <w:color w:val="000000"/>
          <w:sz w:val="24"/>
          <w:szCs w:val="28"/>
          <w:rtl/>
        </w:rPr>
        <w:t>–</w:t>
      </w:r>
      <w:r w:rsidRPr="00DC0143">
        <w:rPr>
          <w:rFonts w:cs="Traditional Arabic" w:hint="cs"/>
          <w:color w:val="000000"/>
          <w:sz w:val="24"/>
          <w:szCs w:val="28"/>
          <w:rtl/>
        </w:rPr>
        <w:t xml:space="preserve"> وتقول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"ولا يلحق بالعقار من الثمار إلا بقدر المدة التي أعقبت التسجيل"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27</w:t>
      </w:r>
      <w:r>
        <w:rPr>
          <w:rFonts w:cs="Traditional Arabic" w:hint="cs"/>
          <w:color w:val="000000"/>
          <w:sz w:val="24"/>
          <w:szCs w:val="28"/>
          <w:rtl/>
        </w:rPr>
        <w:t xml:space="preserve"> ) .</w:t>
      </w:r>
    </w:p>
  </w:footnote>
  <w:footnote w:id="80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1445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1133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1119ن ثم مجلس الشيوخ تحت رقم 1038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28 </w:t>
      </w:r>
      <w:r w:rsidRPr="00DC0143">
        <w:rPr>
          <w:rFonts w:cs="Traditional Arabic"/>
          <w:color w:val="000000"/>
          <w:sz w:val="24"/>
          <w:szCs w:val="28"/>
          <w:rtl/>
        </w:rPr>
        <w:t>–</w:t>
      </w:r>
      <w:r w:rsidRPr="00DC0143">
        <w:rPr>
          <w:rFonts w:cs="Traditional Arabic" w:hint="cs"/>
          <w:color w:val="000000"/>
          <w:sz w:val="24"/>
          <w:szCs w:val="28"/>
          <w:rtl/>
        </w:rPr>
        <w:t xml:space="preserve"> ص 29</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0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19 يوليه سنة 1893 داللوز 93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603 </w:t>
      </w:r>
      <w:r w:rsidRPr="00DC0143">
        <w:rPr>
          <w:rFonts w:cs="Traditional Arabic"/>
          <w:color w:val="000000"/>
          <w:sz w:val="24"/>
          <w:szCs w:val="28"/>
          <w:rtl/>
        </w:rPr>
        <w:t>–</w:t>
      </w:r>
      <w:r w:rsidRPr="00DC0143">
        <w:rPr>
          <w:rFonts w:cs="Traditional Arabic" w:hint="cs"/>
          <w:color w:val="000000"/>
          <w:sz w:val="24"/>
          <w:szCs w:val="28"/>
          <w:rtl/>
        </w:rPr>
        <w:t xml:space="preserve"> 19 يونيه سنة 1895 سيريه 96 </w:t>
      </w:r>
      <w:r w:rsidRPr="00DC0143">
        <w:rPr>
          <w:rFonts w:cs="Traditional Arabic"/>
          <w:color w:val="000000"/>
          <w:sz w:val="24"/>
          <w:szCs w:val="28"/>
          <w:rtl/>
        </w:rPr>
        <w:t>–</w:t>
      </w:r>
      <w:r w:rsidRPr="00DC0143">
        <w:rPr>
          <w:rFonts w:cs="Traditional Arabic" w:hint="cs"/>
          <w:color w:val="000000"/>
          <w:sz w:val="24"/>
          <w:szCs w:val="28"/>
          <w:rtl/>
        </w:rPr>
        <w:t xml:space="preserve"> 1- 195 </w:t>
      </w:r>
      <w:r w:rsidRPr="00DC0143">
        <w:rPr>
          <w:rFonts w:cs="Traditional Arabic"/>
          <w:color w:val="000000"/>
          <w:sz w:val="24"/>
          <w:szCs w:val="28"/>
          <w:rtl/>
        </w:rPr>
        <w:t>–</w:t>
      </w:r>
      <w:r w:rsidRPr="00DC0143">
        <w:rPr>
          <w:rFonts w:cs="Traditional Arabic" w:hint="cs"/>
          <w:color w:val="000000"/>
          <w:sz w:val="24"/>
          <w:szCs w:val="28"/>
          <w:rtl/>
        </w:rPr>
        <w:t xml:space="preserve"> استئناف مختلط 28 مايو سنة </w:t>
      </w:r>
      <w:smartTag w:uri="urn:schemas-microsoft-com:office:smarttags" w:element="metricconverter">
        <w:smartTagPr>
          <w:attr w:name="ProductID" w:val="1927 م"/>
        </w:smartTagPr>
        <w:r w:rsidRPr="00DC0143">
          <w:rPr>
            <w:rFonts w:cs="Traditional Arabic" w:hint="cs"/>
            <w:color w:val="000000"/>
            <w:sz w:val="24"/>
            <w:szCs w:val="28"/>
            <w:rtl/>
          </w:rPr>
          <w:t>1927 م</w:t>
        </w:r>
      </w:smartTag>
      <w:r w:rsidRPr="00DC0143">
        <w:rPr>
          <w:rFonts w:cs="Traditional Arabic" w:hint="cs"/>
          <w:color w:val="000000"/>
          <w:sz w:val="24"/>
          <w:szCs w:val="28"/>
          <w:rtl/>
        </w:rPr>
        <w:t xml:space="preserve"> 39 ص 512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164 ص 6 وفقرة 223 ص 627 و 3 فقرة 259 هامش 5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1301 </w:t>
      </w:r>
      <w:r>
        <w:rPr>
          <w:rFonts w:cs="Traditional Arabic" w:hint="cs"/>
          <w:color w:val="000000"/>
          <w:sz w:val="24"/>
          <w:szCs w:val="28"/>
          <w:rtl/>
        </w:rPr>
        <w:t xml:space="preserve">( </w:t>
      </w:r>
      <w:r w:rsidRPr="00DC0143">
        <w:rPr>
          <w:rFonts w:cs="Traditional Arabic" w:hint="cs"/>
          <w:color w:val="000000"/>
          <w:sz w:val="24"/>
          <w:szCs w:val="28"/>
          <w:rtl/>
        </w:rPr>
        <w:t>1</w:t>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378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3068 ص 404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48 ص 142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19 ص 48 وهامش 1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24 ص 78</w:t>
      </w:r>
      <w:r>
        <w:rPr>
          <w:rFonts w:cs="Traditional Arabic" w:hint="cs"/>
          <w:color w:val="000000"/>
          <w:sz w:val="24"/>
          <w:szCs w:val="28"/>
          <w:rtl/>
        </w:rPr>
        <w:t xml:space="preserve"> .</w:t>
      </w:r>
    </w:p>
  </w:footnote>
  <w:footnote w:id="80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1300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368 ص 405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24 ص 78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51</w:t>
      </w:r>
      <w:r>
        <w:rPr>
          <w:rFonts w:cs="Traditional Arabic" w:hint="cs"/>
          <w:color w:val="000000"/>
          <w:sz w:val="24"/>
          <w:szCs w:val="28"/>
          <w:rtl/>
        </w:rPr>
        <w:t xml:space="preserve"> .</w:t>
      </w:r>
    </w:p>
  </w:footnote>
  <w:footnote w:id="80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368 ص 405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24 ص 78</w:t>
      </w:r>
      <w:r>
        <w:rPr>
          <w:rFonts w:cs="Traditional Arabic" w:hint="cs"/>
          <w:color w:val="000000"/>
          <w:sz w:val="24"/>
          <w:szCs w:val="28"/>
          <w:rtl/>
        </w:rPr>
        <w:t xml:space="preserve"> .</w:t>
      </w:r>
    </w:p>
  </w:footnote>
  <w:footnote w:id="80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1301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368 ص 405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24 ص 79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48 ص 144</w:t>
      </w:r>
      <w:r>
        <w:rPr>
          <w:rFonts w:cs="Traditional Arabic" w:hint="cs"/>
          <w:color w:val="000000"/>
          <w:sz w:val="24"/>
          <w:szCs w:val="28"/>
          <w:rtl/>
        </w:rPr>
        <w:t xml:space="preserve"> .</w:t>
      </w:r>
    </w:p>
  </w:footnote>
  <w:footnote w:id="80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28 </w:t>
      </w:r>
      <w:r w:rsidRPr="00DC0143">
        <w:rPr>
          <w:rFonts w:cs="Traditional Arabic"/>
          <w:color w:val="000000"/>
          <w:sz w:val="24"/>
          <w:szCs w:val="28"/>
          <w:rtl/>
        </w:rPr>
        <w:t>–</w:t>
      </w:r>
      <w:r w:rsidRPr="00DC0143">
        <w:rPr>
          <w:rFonts w:cs="Traditional Arabic" w:hint="cs"/>
          <w:color w:val="000000"/>
          <w:sz w:val="24"/>
          <w:szCs w:val="28"/>
          <w:rtl/>
        </w:rPr>
        <w:t xml:space="preserve"> ويميز الفقهاء في مصر بين ما إذا كان الدين مستحق الأداء وقت استبدال المقابل بالمباني فنون أمام حق تقدم بموجب حق الرهن نفسه</w:t>
      </w:r>
      <w:r>
        <w:rPr>
          <w:rFonts w:cs="Traditional Arabic" w:hint="cs"/>
          <w:color w:val="000000"/>
          <w:sz w:val="24"/>
          <w:szCs w:val="28"/>
          <w:rtl/>
        </w:rPr>
        <w:t xml:space="preserve"> ،</w:t>
      </w:r>
      <w:r w:rsidRPr="00DC0143">
        <w:rPr>
          <w:rFonts w:cs="Traditional Arabic" w:hint="cs"/>
          <w:color w:val="000000"/>
          <w:sz w:val="24"/>
          <w:szCs w:val="28"/>
          <w:rtl/>
        </w:rPr>
        <w:t xml:space="preserve"> وبين ما إذا لم يكن الدين مستحق الأداء إلا بعد ذلك فنكون بصدد حلول عيني للمقابل الذي استحق محل العقار المرهون </w:t>
      </w:r>
      <w:r>
        <w:rPr>
          <w:rFonts w:cs="Traditional Arabic" w:hint="cs"/>
          <w:color w:val="000000"/>
          <w:sz w:val="24"/>
          <w:szCs w:val="28"/>
          <w:rtl/>
        </w:rPr>
        <w:t xml:space="preserve">( </w:t>
      </w:r>
      <w:r w:rsidRPr="00DC0143">
        <w:rPr>
          <w:rFonts w:cs="Traditional Arabic" w:hint="cs"/>
          <w:color w:val="000000"/>
          <w:sz w:val="24"/>
          <w:szCs w:val="28"/>
          <w:rtl/>
        </w:rPr>
        <w:t xml:space="preserve">منصور مصطفى منصور فقرة 19 ص 49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24 ص 80 </w:t>
      </w:r>
      <w:r w:rsidRPr="00DC0143">
        <w:rPr>
          <w:rFonts w:cs="Traditional Arabic"/>
          <w:color w:val="000000"/>
          <w:sz w:val="24"/>
          <w:szCs w:val="28"/>
          <w:rtl/>
        </w:rPr>
        <w:t>–</w:t>
      </w:r>
      <w:r w:rsidRPr="00DC0143">
        <w:rPr>
          <w:rFonts w:cs="Traditional Arabic" w:hint="cs"/>
          <w:color w:val="000000"/>
          <w:sz w:val="24"/>
          <w:szCs w:val="28"/>
          <w:rtl/>
        </w:rPr>
        <w:t xml:space="preserve"> وقارن شمس الدين الوكيل فقرة 48 ص 145 هامش 1</w:t>
      </w:r>
      <w:r>
        <w:rPr>
          <w:rFonts w:cs="Traditional Arabic" w:hint="cs"/>
          <w:color w:val="000000"/>
          <w:sz w:val="24"/>
          <w:szCs w:val="28"/>
          <w:rtl/>
        </w:rPr>
        <w:t xml:space="preserve"> ) .</w:t>
      </w:r>
    </w:p>
  </w:footnote>
  <w:footnote w:id="80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33</w:t>
      </w:r>
      <w:r>
        <w:rPr>
          <w:rFonts w:cs="Traditional Arabic" w:hint="cs"/>
          <w:color w:val="000000"/>
          <w:sz w:val="24"/>
          <w:szCs w:val="28"/>
          <w:rtl/>
        </w:rPr>
        <w:t xml:space="preserve"> .</w:t>
      </w:r>
    </w:p>
  </w:footnote>
  <w:footnote w:id="80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 إن تخصيص الرهن الرسمي من ناحية الدين المضمون أهم من تخصيصه من ناحية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فمهما رهن الشخص من عقارات لم يكن رهنه ذا بال إذا كان الدين المضمون قليلا محددا </w:t>
      </w:r>
      <w:r>
        <w:rPr>
          <w:rFonts w:cs="Traditional Arabic" w:hint="cs"/>
          <w:color w:val="000000"/>
          <w:sz w:val="24"/>
          <w:szCs w:val="28"/>
          <w:rtl/>
        </w:rPr>
        <w:t xml:space="preserve">( </w:t>
      </w:r>
      <w:r w:rsidRPr="00DC0143">
        <w:rPr>
          <w:rFonts w:cs="Traditional Arabic" w:hint="cs"/>
          <w:color w:val="000000"/>
          <w:sz w:val="24"/>
          <w:szCs w:val="28"/>
          <w:rtl/>
        </w:rPr>
        <w:t xml:space="preserve">بيدان وفواران 14 فقرة 813 وما بعدها </w:t>
      </w:r>
      <w:r w:rsidRPr="00DC0143">
        <w:rPr>
          <w:rFonts w:cs="Traditional Arabic"/>
          <w:color w:val="000000"/>
          <w:sz w:val="24"/>
          <w:szCs w:val="28"/>
          <w:rtl/>
        </w:rPr>
        <w:t>–</w:t>
      </w:r>
      <w:r w:rsidRPr="00DC0143">
        <w:rPr>
          <w:rFonts w:cs="Traditional Arabic" w:hint="cs"/>
          <w:color w:val="000000"/>
          <w:sz w:val="24"/>
          <w:szCs w:val="28"/>
          <w:rtl/>
        </w:rPr>
        <w:t xml:space="preserve"> كولان وكيبتان 2 فقرة 1760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1684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416 وما بعدها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19 ص 59 </w:t>
      </w:r>
      <w:r w:rsidRPr="00DC0143">
        <w:rPr>
          <w:rFonts w:cs="Traditional Arabic"/>
          <w:color w:val="000000"/>
          <w:sz w:val="24"/>
          <w:szCs w:val="28"/>
          <w:rtl/>
        </w:rPr>
        <w:t>–</w:t>
      </w:r>
      <w:r w:rsidRPr="00DC0143">
        <w:rPr>
          <w:rFonts w:cs="Traditional Arabic" w:hint="cs"/>
          <w:color w:val="000000"/>
          <w:sz w:val="24"/>
          <w:szCs w:val="28"/>
          <w:rtl/>
        </w:rPr>
        <w:t xml:space="preserve"> ص 60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ص 272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50 ص 147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16</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80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فقرة 120</w:t>
      </w:r>
      <w:r>
        <w:rPr>
          <w:rFonts w:cs="Traditional Arabic" w:hint="cs"/>
          <w:color w:val="000000"/>
          <w:sz w:val="24"/>
          <w:szCs w:val="28"/>
          <w:rtl/>
        </w:rPr>
        <w:t xml:space="preserve"> .</w:t>
      </w:r>
    </w:p>
  </w:footnote>
  <w:footnote w:id="80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1448 من المشروع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1135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1121</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1040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32 </w:t>
      </w:r>
      <w:r w:rsidRPr="00DC0143">
        <w:rPr>
          <w:rFonts w:cs="Traditional Arabic"/>
          <w:color w:val="000000"/>
          <w:sz w:val="24"/>
          <w:szCs w:val="28"/>
          <w:rtl/>
        </w:rPr>
        <w:t>–</w:t>
      </w:r>
      <w:r w:rsidRPr="00DC0143">
        <w:rPr>
          <w:rFonts w:cs="Traditional Arabic" w:hint="cs"/>
          <w:color w:val="000000"/>
          <w:sz w:val="24"/>
          <w:szCs w:val="28"/>
          <w:rtl/>
        </w:rPr>
        <w:t xml:space="preserve"> ص 34</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م 560 / 684</w:t>
      </w:r>
      <w:r>
        <w:rPr>
          <w:rFonts w:cs="Traditional Arabic" w:hint="cs"/>
          <w:color w:val="000000"/>
          <w:sz w:val="24"/>
          <w:szCs w:val="28"/>
          <w:rtl/>
        </w:rPr>
        <w:t xml:space="preserve"> :</w:t>
      </w:r>
      <w:r w:rsidRPr="00DC0143">
        <w:rPr>
          <w:rFonts w:cs="Traditional Arabic" w:hint="cs"/>
          <w:color w:val="000000"/>
          <w:sz w:val="24"/>
          <w:szCs w:val="28"/>
          <w:rtl/>
        </w:rPr>
        <w:t xml:space="preserve"> العقارات المرهونة يجب تعيينها تعييناً كافياً جنساً ومحلا في عقد الرهن المتفق عليه وإلا كان الرهن لاغياً</w:t>
      </w:r>
      <w:r>
        <w:rPr>
          <w:rFonts w:cs="Traditional Arabic" w:hint="cs"/>
          <w:color w:val="000000"/>
          <w:sz w:val="24"/>
          <w:szCs w:val="28"/>
          <w:rtl/>
        </w:rPr>
        <w:t xml:space="preserve"> ،</w:t>
      </w:r>
      <w:r w:rsidRPr="00DC0143">
        <w:rPr>
          <w:rFonts w:cs="Traditional Arabic" w:hint="cs"/>
          <w:color w:val="000000"/>
          <w:sz w:val="24"/>
          <w:szCs w:val="28"/>
          <w:rtl/>
        </w:rPr>
        <w:t xml:space="preserve"> وكذلك يجب تعيين مقدار الدين في العقد</w:t>
      </w:r>
      <w:r>
        <w:rPr>
          <w:rFonts w:cs="Traditional Arabic" w:hint="cs"/>
          <w:color w:val="000000"/>
          <w:sz w:val="24"/>
          <w:szCs w:val="28"/>
          <w:rtl/>
        </w:rPr>
        <w:t xml:space="preserve"> .</w:t>
      </w:r>
      <w:r w:rsidRPr="00DC0143">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561 / 685</w:t>
      </w:r>
      <w:r>
        <w:rPr>
          <w:rFonts w:cs="Traditional Arabic" w:hint="cs"/>
          <w:color w:val="000000"/>
          <w:sz w:val="24"/>
          <w:szCs w:val="28"/>
          <w:rtl/>
        </w:rPr>
        <w:t xml:space="preserve"> :</w:t>
      </w:r>
      <w:r w:rsidRPr="00DC0143">
        <w:rPr>
          <w:rFonts w:cs="Traditional Arabic" w:hint="cs"/>
          <w:color w:val="000000"/>
          <w:sz w:val="24"/>
          <w:szCs w:val="28"/>
          <w:rtl/>
        </w:rPr>
        <w:t xml:space="preserve"> الرهن العقاري الواقع تأميناً لمبلغ موعود بإقراضه يأخذه المستقرض شيئاً فشيئاً عند الاقتضاء</w:t>
      </w:r>
      <w:r>
        <w:rPr>
          <w:rFonts w:cs="Traditional Arabic" w:hint="cs"/>
          <w:color w:val="000000"/>
          <w:sz w:val="24"/>
          <w:szCs w:val="28"/>
          <w:rtl/>
        </w:rPr>
        <w:t xml:space="preserve"> ،</w:t>
      </w:r>
      <w:r w:rsidRPr="00DC0143">
        <w:rPr>
          <w:rFonts w:cs="Traditional Arabic" w:hint="cs"/>
          <w:color w:val="000000"/>
          <w:sz w:val="24"/>
          <w:szCs w:val="28"/>
          <w:rtl/>
        </w:rPr>
        <w:t xml:space="preserve"> أو تأميناً لحساب جار بين المتعاملين</w:t>
      </w:r>
      <w:r>
        <w:rPr>
          <w:rFonts w:cs="Traditional Arabic" w:hint="cs"/>
          <w:color w:val="000000"/>
          <w:sz w:val="24"/>
          <w:szCs w:val="28"/>
          <w:rtl/>
        </w:rPr>
        <w:t xml:space="preserve"> ،</w:t>
      </w:r>
      <w:r w:rsidRPr="00DC0143">
        <w:rPr>
          <w:rFonts w:cs="Traditional Arabic" w:hint="cs"/>
          <w:color w:val="000000"/>
          <w:sz w:val="24"/>
          <w:szCs w:val="28"/>
          <w:rtl/>
        </w:rPr>
        <w:t xml:space="preserve"> يكون صحيحا إذا تحددت غاية المبلغ الذي ينتهي الأخذ أو الحساب الجاري</w:t>
      </w:r>
      <w:r>
        <w:rPr>
          <w:rFonts w:cs="Traditional Arabic" w:hint="cs"/>
          <w:color w:val="000000"/>
          <w:sz w:val="24"/>
          <w:szCs w:val="28"/>
          <w:rtl/>
        </w:rPr>
        <w:t xml:space="preserve"> .</w:t>
      </w:r>
      <w:r w:rsidRPr="00DC0143">
        <w:rPr>
          <w:rFonts w:cs="Traditional Arabic" w:hint="cs"/>
          <w:color w:val="000000"/>
          <w:sz w:val="24"/>
          <w:szCs w:val="28"/>
          <w:rtl/>
        </w:rPr>
        <w:t xml:space="preserve"> </w:t>
      </w:r>
    </w:p>
  </w:footnote>
  <w:footnote w:id="81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416 ص 449</w:t>
      </w:r>
      <w:r>
        <w:rPr>
          <w:rFonts w:cs="Traditional Arabic" w:hint="cs"/>
          <w:color w:val="000000"/>
          <w:sz w:val="24"/>
          <w:szCs w:val="28"/>
          <w:rtl/>
        </w:rPr>
        <w:t xml:space="preserve"> .</w:t>
      </w:r>
    </w:p>
  </w:footnote>
  <w:footnote w:id="81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23 مارس سنة 1874 داللوز 74 </w:t>
      </w:r>
      <w:r w:rsidRPr="00DC0143">
        <w:rPr>
          <w:rFonts w:cs="Traditional Arabic"/>
          <w:color w:val="000000"/>
          <w:sz w:val="24"/>
          <w:szCs w:val="28"/>
          <w:rtl/>
        </w:rPr>
        <w:t>–</w:t>
      </w:r>
      <w:r w:rsidRPr="00DC0143">
        <w:rPr>
          <w:rFonts w:cs="Traditional Arabic" w:hint="cs"/>
          <w:color w:val="000000"/>
          <w:sz w:val="24"/>
          <w:szCs w:val="28"/>
          <w:rtl/>
        </w:rPr>
        <w:t xml:space="preserve"> 1- 316 </w:t>
      </w:r>
      <w:r w:rsidRPr="00DC0143">
        <w:rPr>
          <w:rFonts w:cs="Traditional Arabic"/>
          <w:color w:val="000000"/>
          <w:sz w:val="24"/>
          <w:szCs w:val="28"/>
          <w:rtl/>
        </w:rPr>
        <w:t>–</w:t>
      </w:r>
      <w:r w:rsidRPr="00DC0143">
        <w:rPr>
          <w:rFonts w:cs="Traditional Arabic" w:hint="cs"/>
          <w:color w:val="000000"/>
          <w:sz w:val="24"/>
          <w:szCs w:val="28"/>
          <w:rtl/>
        </w:rPr>
        <w:t xml:space="preserve"> 6 فبراير سنة 1939 داللوز 1939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53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416 ص 449</w:t>
      </w:r>
      <w:r>
        <w:rPr>
          <w:rFonts w:cs="Traditional Arabic" w:hint="cs"/>
          <w:color w:val="000000"/>
          <w:sz w:val="24"/>
          <w:szCs w:val="28"/>
          <w:rtl/>
        </w:rPr>
        <w:t xml:space="preserve"> .</w:t>
      </w:r>
    </w:p>
  </w:footnote>
  <w:footnote w:id="81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والدين المعلق على شرط قد يكون مقداره معروفاً</w:t>
      </w:r>
      <w:r>
        <w:rPr>
          <w:rFonts w:cs="Traditional Arabic" w:hint="cs"/>
          <w:color w:val="000000"/>
          <w:sz w:val="24"/>
          <w:szCs w:val="28"/>
          <w:rtl/>
        </w:rPr>
        <w:t xml:space="preserve"> ،</w:t>
      </w:r>
      <w:r w:rsidRPr="00DC0143">
        <w:rPr>
          <w:rFonts w:cs="Traditional Arabic" w:hint="cs"/>
          <w:color w:val="000000"/>
          <w:sz w:val="24"/>
          <w:szCs w:val="28"/>
          <w:rtl/>
        </w:rPr>
        <w:t xml:space="preserve"> وفي هذه الحالة يجب ذكره</w:t>
      </w:r>
      <w:r>
        <w:rPr>
          <w:rFonts w:cs="Traditional Arabic" w:hint="cs"/>
          <w:color w:val="000000"/>
          <w:sz w:val="24"/>
          <w:szCs w:val="28"/>
          <w:rtl/>
        </w:rPr>
        <w:t xml:space="preserve"> ،</w:t>
      </w:r>
      <w:r w:rsidRPr="00DC0143">
        <w:rPr>
          <w:rFonts w:cs="Traditional Arabic" w:hint="cs"/>
          <w:color w:val="000000"/>
          <w:sz w:val="24"/>
          <w:szCs w:val="28"/>
          <w:rtl/>
        </w:rPr>
        <w:t xml:space="preserve"> العقد الرسمي</w:t>
      </w:r>
      <w:r>
        <w:rPr>
          <w:rFonts w:cs="Traditional Arabic" w:hint="cs"/>
          <w:color w:val="000000"/>
          <w:sz w:val="24"/>
          <w:szCs w:val="28"/>
          <w:rtl/>
        </w:rPr>
        <w:t xml:space="preserve"> ،</w:t>
      </w:r>
      <w:r w:rsidRPr="00DC0143">
        <w:rPr>
          <w:rFonts w:cs="Traditional Arabic" w:hint="cs"/>
          <w:color w:val="000000"/>
          <w:sz w:val="24"/>
          <w:szCs w:val="28"/>
          <w:rtl/>
        </w:rPr>
        <w:t xml:space="preserve"> وذلك بخلاف الدين المستقبل والدين الاحتمالي</w:t>
      </w:r>
      <w:r>
        <w:rPr>
          <w:rFonts w:cs="Traditional Arabic" w:hint="cs"/>
          <w:color w:val="000000"/>
          <w:sz w:val="24"/>
          <w:szCs w:val="28"/>
          <w:rtl/>
        </w:rPr>
        <w:t xml:space="preserve"> ،</w:t>
      </w:r>
      <w:r w:rsidRPr="00DC0143">
        <w:rPr>
          <w:rFonts w:cs="Traditional Arabic" w:hint="cs"/>
          <w:color w:val="000000"/>
          <w:sz w:val="24"/>
          <w:szCs w:val="28"/>
          <w:rtl/>
        </w:rPr>
        <w:t xml:space="preserve"> فهذه ديون يكون مقدارها عادة غير معروف </w:t>
      </w:r>
      <w:r>
        <w:rPr>
          <w:rFonts w:cs="Traditional Arabic" w:hint="cs"/>
          <w:color w:val="000000"/>
          <w:sz w:val="24"/>
          <w:szCs w:val="28"/>
          <w:rtl/>
        </w:rPr>
        <w:t xml:space="preserve">( </w:t>
      </w:r>
      <w:r w:rsidRPr="00DC0143">
        <w:rPr>
          <w:rFonts w:cs="Traditional Arabic" w:hint="cs"/>
          <w:color w:val="000000"/>
          <w:sz w:val="24"/>
          <w:szCs w:val="28"/>
          <w:rtl/>
        </w:rPr>
        <w:t xml:space="preserve">بلانيول وريبير وبيكيه 12 فقرة 417 ص 451 </w:t>
      </w:r>
      <w:r w:rsidRPr="00DC0143">
        <w:rPr>
          <w:rFonts w:cs="Traditional Arabic"/>
          <w:color w:val="000000"/>
          <w:sz w:val="24"/>
          <w:szCs w:val="28"/>
          <w:rtl/>
        </w:rPr>
        <w:t>–</w:t>
      </w:r>
      <w:r w:rsidRPr="00DC0143">
        <w:rPr>
          <w:rFonts w:cs="Traditional Arabic" w:hint="cs"/>
          <w:color w:val="000000"/>
          <w:sz w:val="24"/>
          <w:szCs w:val="28"/>
          <w:rtl/>
        </w:rPr>
        <w:t xml:space="preserve"> أوبري ورو 3 فقرة 266 هامش 57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1402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815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2 فقرة 1760</w:t>
      </w:r>
      <w:r>
        <w:rPr>
          <w:rFonts w:cs="Traditional Arabic" w:hint="cs"/>
          <w:color w:val="000000"/>
          <w:sz w:val="24"/>
          <w:szCs w:val="28"/>
          <w:rtl/>
        </w:rPr>
        <w:t xml:space="preserve"> )</w:t>
      </w:r>
    </w:p>
  </w:footnote>
  <w:footnote w:id="81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"يجب أن يكون الدين المضمون محدداً تحديداً دقيقاً</w:t>
      </w:r>
      <w:r>
        <w:rPr>
          <w:rFonts w:cs="Traditional Arabic" w:hint="cs"/>
          <w:color w:val="000000"/>
          <w:sz w:val="24"/>
          <w:szCs w:val="28"/>
          <w:rtl/>
        </w:rPr>
        <w:t xml:space="preserve"> ،</w:t>
      </w:r>
      <w:r w:rsidRPr="00DC0143">
        <w:rPr>
          <w:rFonts w:cs="Traditional Arabic" w:hint="cs"/>
          <w:color w:val="000000"/>
          <w:sz w:val="24"/>
          <w:szCs w:val="28"/>
          <w:rtl/>
        </w:rPr>
        <w:t xml:space="preserve"> وهذا هو الشطر الثاني من مبدأ تخصيص الرهن</w:t>
      </w:r>
      <w:r>
        <w:rPr>
          <w:rFonts w:cs="Traditional Arabic" w:hint="cs"/>
          <w:color w:val="000000"/>
          <w:sz w:val="24"/>
          <w:szCs w:val="28"/>
          <w:rtl/>
        </w:rPr>
        <w:t xml:space="preserve"> .</w:t>
      </w:r>
      <w:r w:rsidRPr="00DC0143">
        <w:rPr>
          <w:rFonts w:cs="Traditional Arabic" w:hint="cs"/>
          <w:color w:val="000000"/>
          <w:sz w:val="24"/>
          <w:szCs w:val="28"/>
          <w:rtl/>
        </w:rPr>
        <w:t xml:space="preserve"> على أن تحديد الدين لا يمنع من أن يكون معلقاً على شرط أو يكون ديناً مستقبلا أو ديناً احتمالياً</w:t>
      </w:r>
      <w:r>
        <w:rPr>
          <w:rFonts w:cs="Traditional Arabic" w:hint="cs"/>
          <w:color w:val="000000"/>
          <w:sz w:val="24"/>
          <w:szCs w:val="28"/>
          <w:rtl/>
        </w:rPr>
        <w:t xml:space="preserve"> ،</w:t>
      </w:r>
      <w:r w:rsidRPr="00DC0143">
        <w:rPr>
          <w:rFonts w:cs="Traditional Arabic" w:hint="cs"/>
          <w:color w:val="000000"/>
          <w:sz w:val="24"/>
          <w:szCs w:val="28"/>
          <w:rtl/>
        </w:rPr>
        <w:t xml:space="preserve"> وتطبيقاً لذلك يجوز أن يكون الدين اعتماداً مفتوحاً وهذا هو الدين المستقبل</w:t>
      </w:r>
      <w:r>
        <w:rPr>
          <w:rFonts w:cs="Traditional Arabic" w:hint="cs"/>
          <w:color w:val="000000"/>
          <w:sz w:val="24"/>
          <w:szCs w:val="28"/>
          <w:rtl/>
        </w:rPr>
        <w:t xml:space="preserve"> ،</w:t>
      </w:r>
      <w:r w:rsidRPr="00DC0143">
        <w:rPr>
          <w:rFonts w:cs="Traditional Arabic" w:hint="cs"/>
          <w:color w:val="000000"/>
          <w:sz w:val="24"/>
          <w:szCs w:val="28"/>
          <w:rtl/>
        </w:rPr>
        <w:t xml:space="preserve"> أو حساباً جارياً هذا هو الدين الاحتمالي</w:t>
      </w:r>
      <w:r>
        <w:rPr>
          <w:rFonts w:cs="Traditional Arabic" w:hint="cs"/>
          <w:color w:val="000000"/>
          <w:sz w:val="24"/>
          <w:szCs w:val="28"/>
          <w:rtl/>
        </w:rPr>
        <w:t xml:space="preserve"> ،</w:t>
      </w:r>
      <w:r w:rsidRPr="00DC0143">
        <w:rPr>
          <w:rFonts w:cs="Traditional Arabic" w:hint="cs"/>
          <w:color w:val="000000"/>
          <w:sz w:val="24"/>
          <w:szCs w:val="28"/>
          <w:rtl/>
        </w:rPr>
        <w:t xml:space="preserve"> ولكن يجب في كل حال أن يتحدد مبلغ 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فإن ليم يمكن تحديده وجب أن يعين حد أقصى ينتهي إليه"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33</w:t>
      </w:r>
      <w:r>
        <w:rPr>
          <w:rFonts w:cs="Traditional Arabic" w:hint="cs"/>
          <w:color w:val="000000"/>
          <w:sz w:val="24"/>
          <w:szCs w:val="28"/>
          <w:rtl/>
        </w:rPr>
        <w:t xml:space="preserve"> ) .</w:t>
      </w:r>
      <w:r w:rsidRPr="00DC0143">
        <w:rPr>
          <w:rFonts w:cs="Traditional Arabic" w:hint="cs"/>
          <w:color w:val="000000"/>
          <w:sz w:val="24"/>
          <w:szCs w:val="28"/>
          <w:rtl/>
        </w:rPr>
        <w:t xml:space="preserve"> وانظر نقض فرنسي 3 فبراير سنة </w:t>
      </w:r>
      <w:smartTag w:uri="urn:schemas-microsoft-com:office:smarttags" w:element="metricconverter">
        <w:smartTagPr>
          <w:attr w:name="ProductID" w:val="1937 م"/>
        </w:smartTagPr>
        <w:r w:rsidRPr="00DC0143">
          <w:rPr>
            <w:rFonts w:cs="Traditional Arabic" w:hint="cs"/>
            <w:color w:val="000000"/>
            <w:sz w:val="24"/>
            <w:szCs w:val="28"/>
            <w:rtl/>
          </w:rPr>
          <w:t>1937 م</w:t>
        </w:r>
      </w:smartTag>
      <w:r w:rsidRPr="00DC0143">
        <w:rPr>
          <w:rFonts w:cs="Traditional Arabic" w:hint="cs"/>
          <w:color w:val="000000"/>
          <w:sz w:val="24"/>
          <w:szCs w:val="28"/>
          <w:rtl/>
        </w:rPr>
        <w:t xml:space="preserve"> داللوز الأسبوعي 1937 </w:t>
      </w:r>
      <w:r w:rsidRPr="00DC0143">
        <w:rPr>
          <w:rFonts w:cs="Traditional Arabic"/>
          <w:color w:val="000000"/>
          <w:sz w:val="24"/>
          <w:szCs w:val="28"/>
          <w:rtl/>
        </w:rPr>
        <w:t>–</w:t>
      </w:r>
      <w:r w:rsidRPr="00DC0143">
        <w:rPr>
          <w:rFonts w:cs="Traditional Arabic" w:hint="cs"/>
          <w:color w:val="000000"/>
          <w:sz w:val="24"/>
          <w:szCs w:val="28"/>
          <w:rtl/>
        </w:rPr>
        <w:t xml:space="preserve"> 177</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81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وتكون مرتبة الرهن من يوم قيد÷ لا من يوم تحقق الدين </w:t>
      </w:r>
      <w:r>
        <w:rPr>
          <w:rFonts w:cs="Traditional Arabic" w:hint="cs"/>
          <w:color w:val="000000"/>
          <w:sz w:val="24"/>
          <w:szCs w:val="28"/>
          <w:rtl/>
        </w:rPr>
        <w:t xml:space="preserve">( </w:t>
      </w:r>
      <w:r w:rsidRPr="00DC0143">
        <w:rPr>
          <w:rFonts w:cs="Traditional Arabic" w:hint="cs"/>
          <w:color w:val="000000"/>
          <w:sz w:val="24"/>
          <w:szCs w:val="28"/>
          <w:rtl/>
        </w:rPr>
        <w:t xml:space="preserve">استئناف مختلط 22 يونيه سنة </w:t>
      </w:r>
      <w:smartTag w:uri="urn:schemas-microsoft-com:office:smarttags" w:element="metricconverter">
        <w:smartTagPr>
          <w:attr w:name="ProductID" w:val="1911 م"/>
        </w:smartTagPr>
        <w:r w:rsidRPr="00DC0143">
          <w:rPr>
            <w:rFonts w:cs="Traditional Arabic" w:hint="cs"/>
            <w:color w:val="000000"/>
            <w:sz w:val="24"/>
            <w:szCs w:val="28"/>
            <w:rtl/>
          </w:rPr>
          <w:t>1911 م</w:t>
        </w:r>
      </w:smartTag>
      <w:r w:rsidRPr="00DC0143">
        <w:rPr>
          <w:rFonts w:cs="Traditional Arabic" w:hint="cs"/>
          <w:color w:val="000000"/>
          <w:sz w:val="24"/>
          <w:szCs w:val="28"/>
          <w:rtl/>
        </w:rPr>
        <w:t xml:space="preserve"> 23 ص 382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59 ص 106</w:t>
      </w:r>
      <w:r>
        <w:rPr>
          <w:rFonts w:cs="Traditional Arabic" w:hint="cs"/>
          <w:color w:val="000000"/>
          <w:sz w:val="24"/>
          <w:szCs w:val="28"/>
          <w:rtl/>
        </w:rPr>
        <w:t xml:space="preserve"> ) .</w:t>
      </w:r>
    </w:p>
  </w:footnote>
  <w:footnote w:id="81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266 ص 386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1400 </w:t>
      </w:r>
      <w:r w:rsidRPr="00DC0143">
        <w:rPr>
          <w:rFonts w:cs="Traditional Arabic"/>
          <w:color w:val="000000"/>
          <w:sz w:val="24"/>
          <w:szCs w:val="28"/>
          <w:rtl/>
        </w:rPr>
        <w:t>–</w:t>
      </w:r>
      <w:r w:rsidRPr="00DC0143">
        <w:rPr>
          <w:rFonts w:cs="Traditional Arabic" w:hint="cs"/>
          <w:color w:val="000000"/>
          <w:sz w:val="24"/>
          <w:szCs w:val="28"/>
          <w:rtl/>
        </w:rPr>
        <w:t xml:space="preserve"> 1401 كولان وكابيتان 2 فقرة 1760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2 فقرة 3701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417 ص 451</w:t>
      </w:r>
      <w:r>
        <w:rPr>
          <w:rFonts w:cs="Traditional Arabic" w:hint="cs"/>
          <w:color w:val="000000"/>
          <w:sz w:val="24"/>
          <w:szCs w:val="28"/>
          <w:rtl/>
        </w:rPr>
        <w:t xml:space="preserve"> .</w:t>
      </w:r>
    </w:p>
  </w:footnote>
  <w:footnote w:id="81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6 فبراير سنة 1939 داللوز 1939 </w:t>
      </w:r>
      <w:r w:rsidRPr="00DC0143">
        <w:rPr>
          <w:rFonts w:cs="Traditional Arabic"/>
          <w:color w:val="000000"/>
          <w:sz w:val="24"/>
          <w:szCs w:val="28"/>
          <w:rtl/>
        </w:rPr>
        <w:t>–</w:t>
      </w:r>
      <w:r w:rsidRPr="00DC0143">
        <w:rPr>
          <w:rFonts w:cs="Traditional Arabic" w:hint="cs"/>
          <w:color w:val="000000"/>
          <w:sz w:val="24"/>
          <w:szCs w:val="28"/>
          <w:rtl/>
        </w:rPr>
        <w:t xml:space="preserve"> 1- 53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1400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816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417 ص 450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50 ص 148 </w:t>
      </w:r>
      <w:r w:rsidRPr="00DC0143">
        <w:rPr>
          <w:rFonts w:cs="Traditional Arabic"/>
          <w:color w:val="000000"/>
          <w:sz w:val="24"/>
          <w:szCs w:val="28"/>
          <w:rtl/>
        </w:rPr>
        <w:t>–</w:t>
      </w:r>
      <w:r w:rsidRPr="00DC0143">
        <w:rPr>
          <w:rFonts w:cs="Traditional Arabic" w:hint="cs"/>
          <w:color w:val="000000"/>
          <w:sz w:val="24"/>
          <w:szCs w:val="28"/>
          <w:rtl/>
        </w:rPr>
        <w:t xml:space="preserve"> ص 149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16 ص 41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19 ص 610</w:t>
      </w:r>
    </w:p>
  </w:footnote>
  <w:footnote w:id="81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1399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813 وفقرة 818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416 ص 450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فقرة 3699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2 فقرة 1760 </w:t>
      </w:r>
      <w:r w:rsidRPr="00DC0143">
        <w:rPr>
          <w:rFonts w:cs="Traditional Arabic"/>
          <w:color w:val="000000"/>
          <w:sz w:val="24"/>
          <w:szCs w:val="28"/>
          <w:rtl/>
        </w:rPr>
        <w:t>–</w:t>
      </w:r>
      <w:r w:rsidRPr="00DC0143">
        <w:rPr>
          <w:rFonts w:cs="Traditional Arabic" w:hint="cs"/>
          <w:color w:val="000000"/>
          <w:sz w:val="24"/>
          <w:szCs w:val="28"/>
          <w:rtl/>
        </w:rPr>
        <w:t xml:space="preserve"> جـ سران 2 فقرة 1684</w:t>
      </w:r>
      <w:r>
        <w:rPr>
          <w:rFonts w:cs="Traditional Arabic" w:hint="cs"/>
          <w:color w:val="000000"/>
          <w:sz w:val="24"/>
          <w:szCs w:val="28"/>
          <w:rtl/>
        </w:rPr>
        <w:t xml:space="preserve"> .</w:t>
      </w:r>
    </w:p>
  </w:footnote>
  <w:footnote w:id="81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418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وبولانجيه فقرة 3703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2 فقرة 1765</w:t>
      </w:r>
      <w:r>
        <w:rPr>
          <w:rFonts w:cs="Traditional Arabic" w:hint="cs"/>
          <w:color w:val="000000"/>
          <w:sz w:val="24"/>
          <w:szCs w:val="28"/>
          <w:rtl/>
        </w:rPr>
        <w:t xml:space="preserve"> .</w:t>
      </w:r>
    </w:p>
  </w:footnote>
  <w:footnote w:id="81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النص في المادة 1449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1136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ثم وافق عليه مجلس النواب تحت رقم 1122</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1041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34 </w:t>
      </w:r>
      <w:r w:rsidRPr="00DC0143">
        <w:rPr>
          <w:rFonts w:cs="Traditional Arabic"/>
          <w:color w:val="000000"/>
          <w:sz w:val="24"/>
          <w:szCs w:val="28"/>
          <w:rtl/>
        </w:rPr>
        <w:t>–</w:t>
      </w:r>
      <w:r w:rsidRPr="00DC0143">
        <w:rPr>
          <w:rFonts w:cs="Traditional Arabic" w:hint="cs"/>
          <w:color w:val="000000"/>
          <w:sz w:val="24"/>
          <w:szCs w:val="28"/>
          <w:rtl/>
        </w:rPr>
        <w:t xml:space="preserve"> 36</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564 / 688</w:t>
      </w:r>
      <w:r>
        <w:rPr>
          <w:rFonts w:cs="Traditional Arabic" w:hint="cs"/>
          <w:color w:val="000000"/>
          <w:sz w:val="24"/>
          <w:szCs w:val="28"/>
          <w:rtl/>
        </w:rPr>
        <w:t xml:space="preserve"> :</w:t>
      </w:r>
      <w:r w:rsidRPr="00DC0143">
        <w:rPr>
          <w:rFonts w:cs="Traditional Arabic" w:hint="cs"/>
          <w:color w:val="000000"/>
          <w:sz w:val="24"/>
          <w:szCs w:val="28"/>
          <w:rtl/>
        </w:rPr>
        <w:t xml:space="preserve"> الرهن يشمل جميع أجزاء العقار المرهون بغير تعيين حصة منه وجميع ملحقاته وما يحدث فيه من الإصلاحات والأبنية التي تعود منفعتها على مالكها</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وجد شرط يخالف ذلك</w:t>
      </w:r>
      <w:r>
        <w:rPr>
          <w:rFonts w:cs="Traditional Arabic" w:hint="cs"/>
          <w:color w:val="000000"/>
          <w:sz w:val="24"/>
          <w:szCs w:val="28"/>
          <w:rtl/>
        </w:rPr>
        <w:t xml:space="preserve"> .</w:t>
      </w:r>
    </w:p>
  </w:footnote>
  <w:footnote w:id="82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120</w:t>
      </w:r>
      <w:r>
        <w:rPr>
          <w:rFonts w:cs="Traditional Arabic" w:hint="cs"/>
          <w:color w:val="000000"/>
          <w:sz w:val="24"/>
          <w:szCs w:val="28"/>
          <w:rtl/>
        </w:rPr>
        <w:t xml:space="preserve"> .</w:t>
      </w:r>
    </w:p>
  </w:footnote>
  <w:footnote w:id="82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284 ص 561 </w:t>
      </w:r>
      <w:r w:rsidRPr="00DC0143">
        <w:rPr>
          <w:rFonts w:cs="Traditional Arabic"/>
          <w:color w:val="000000"/>
          <w:sz w:val="24"/>
          <w:szCs w:val="28"/>
          <w:rtl/>
        </w:rPr>
        <w:t>–</w:t>
      </w:r>
      <w:r w:rsidRPr="00DC0143">
        <w:rPr>
          <w:rFonts w:cs="Traditional Arabic" w:hint="cs"/>
          <w:color w:val="000000"/>
          <w:sz w:val="24"/>
          <w:szCs w:val="28"/>
          <w:rtl/>
        </w:rPr>
        <w:t xml:space="preserve"> ص 562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897 وما بعدها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307 وما بعدها </w:t>
      </w:r>
      <w:r w:rsidRPr="00DC0143">
        <w:rPr>
          <w:rFonts w:cs="Traditional Arabic"/>
          <w:color w:val="000000"/>
          <w:sz w:val="24"/>
          <w:szCs w:val="28"/>
          <w:rtl/>
        </w:rPr>
        <w:t>–</w:t>
      </w:r>
      <w:r w:rsidRPr="00DC0143">
        <w:rPr>
          <w:rFonts w:cs="Traditional Arabic" w:hint="cs"/>
          <w:color w:val="000000"/>
          <w:sz w:val="24"/>
          <w:szCs w:val="28"/>
          <w:rtl/>
        </w:rPr>
        <w:t xml:space="preserve"> كولان وكابيتان 2 فقرة 1663 </w:t>
      </w:r>
      <w:r w:rsidRPr="00DC0143">
        <w:rPr>
          <w:rFonts w:cs="Traditional Arabic"/>
          <w:color w:val="000000"/>
          <w:sz w:val="24"/>
          <w:szCs w:val="28"/>
          <w:rtl/>
        </w:rPr>
        <w:t>–</w:t>
      </w:r>
      <w:r w:rsidRPr="00DC0143">
        <w:rPr>
          <w:rFonts w:cs="Traditional Arabic" w:hint="cs"/>
          <w:color w:val="000000"/>
          <w:sz w:val="24"/>
          <w:szCs w:val="28"/>
          <w:rtl/>
        </w:rPr>
        <w:t xml:space="preserve"> جوسران 2 فقرة 1647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339</w:t>
      </w:r>
      <w:r>
        <w:rPr>
          <w:rFonts w:cs="Traditional Arabic" w:hint="cs"/>
          <w:color w:val="000000"/>
          <w:sz w:val="24"/>
          <w:szCs w:val="28"/>
          <w:rtl/>
        </w:rPr>
        <w:t xml:space="preserve"> .</w:t>
      </w:r>
    </w:p>
  </w:footnote>
  <w:footnote w:id="82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35</w:t>
      </w:r>
      <w:r>
        <w:rPr>
          <w:rFonts w:cs="Traditional Arabic" w:hint="cs"/>
          <w:color w:val="000000"/>
          <w:sz w:val="24"/>
          <w:szCs w:val="28"/>
          <w:rtl/>
        </w:rPr>
        <w:t xml:space="preserve"> .</w:t>
      </w:r>
    </w:p>
  </w:footnote>
  <w:footnote w:id="82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900</w:t>
      </w:r>
      <w:r>
        <w:rPr>
          <w:rFonts w:cs="Traditional Arabic" w:hint="cs"/>
          <w:color w:val="000000"/>
          <w:sz w:val="24"/>
          <w:szCs w:val="28"/>
          <w:rtl/>
        </w:rPr>
        <w:t xml:space="preserve"> .</w:t>
      </w:r>
    </w:p>
  </w:footnote>
  <w:footnote w:id="82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19 ديسمبر سنة 1911 داللوز 1913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505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900 </w:t>
      </w:r>
      <w:r w:rsidRPr="00DC0143">
        <w:rPr>
          <w:rFonts w:cs="Traditional Arabic"/>
          <w:color w:val="000000"/>
          <w:sz w:val="24"/>
          <w:szCs w:val="28"/>
          <w:rtl/>
        </w:rPr>
        <w:t>–</w:t>
      </w:r>
      <w:r w:rsidRPr="00DC0143">
        <w:rPr>
          <w:rFonts w:cs="Traditional Arabic" w:hint="cs"/>
          <w:color w:val="000000"/>
          <w:sz w:val="24"/>
          <w:szCs w:val="28"/>
          <w:rtl/>
        </w:rPr>
        <w:t xml:space="preserve"> بيدان وفواران فقرة 311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342</w:t>
      </w:r>
      <w:r>
        <w:rPr>
          <w:rFonts w:cs="Traditional Arabic" w:hint="cs"/>
          <w:color w:val="000000"/>
          <w:sz w:val="24"/>
          <w:szCs w:val="28"/>
          <w:rtl/>
        </w:rPr>
        <w:t xml:space="preserve"> .</w:t>
      </w:r>
    </w:p>
  </w:footnote>
  <w:footnote w:id="82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بون 1 فقرة 333 </w:t>
      </w:r>
      <w:r w:rsidRPr="00DC0143">
        <w:rPr>
          <w:rFonts w:cs="Traditional Arabic"/>
          <w:color w:val="000000"/>
          <w:sz w:val="24"/>
          <w:szCs w:val="28"/>
          <w:rtl/>
        </w:rPr>
        <w:t>–</w:t>
      </w:r>
      <w:r w:rsidRPr="00DC0143">
        <w:rPr>
          <w:rFonts w:cs="Traditional Arabic" w:hint="cs"/>
          <w:color w:val="000000"/>
          <w:sz w:val="24"/>
          <w:szCs w:val="28"/>
          <w:rtl/>
        </w:rPr>
        <w:t xml:space="preserve"> جيوار 2 فقرة 639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901 </w:t>
      </w:r>
      <w:r w:rsidRPr="00DC0143">
        <w:rPr>
          <w:rFonts w:cs="Traditional Arabic"/>
          <w:color w:val="000000"/>
          <w:sz w:val="24"/>
          <w:szCs w:val="28"/>
          <w:rtl/>
        </w:rPr>
        <w:t>–</w:t>
      </w:r>
      <w:r w:rsidRPr="00DC0143">
        <w:rPr>
          <w:rFonts w:cs="Traditional Arabic" w:hint="cs"/>
          <w:color w:val="000000"/>
          <w:sz w:val="24"/>
          <w:szCs w:val="28"/>
          <w:rtl/>
        </w:rPr>
        <w:t xml:space="preserve"> نقض فرنسي 9 نوفمبر سنة 1848 داللوز 48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49</w:t>
      </w:r>
      <w:r>
        <w:rPr>
          <w:rFonts w:cs="Traditional Arabic" w:hint="cs"/>
          <w:color w:val="000000"/>
          <w:sz w:val="24"/>
          <w:szCs w:val="28"/>
          <w:rtl/>
        </w:rPr>
        <w:t xml:space="preserve"> .</w:t>
      </w:r>
    </w:p>
  </w:footnote>
  <w:footnote w:id="82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وفي هذا تقول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"فلو وفى المدين الجزء الأكبر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فإن كل العقا راو العقارات المرهونة تبقى مع ذلك ضامنة للجزء الباقي</w:t>
      </w:r>
      <w:r>
        <w:rPr>
          <w:rFonts w:cs="Traditional Arabic" w:hint="cs"/>
          <w:color w:val="000000"/>
          <w:sz w:val="24"/>
          <w:szCs w:val="28"/>
          <w:rtl/>
        </w:rPr>
        <w:t xml:space="preserve"> ،</w:t>
      </w:r>
      <w:r w:rsidRPr="00DC0143">
        <w:rPr>
          <w:rFonts w:cs="Traditional Arabic" w:hint="cs"/>
          <w:color w:val="000000"/>
          <w:sz w:val="24"/>
          <w:szCs w:val="28"/>
          <w:rtl/>
        </w:rPr>
        <w:t xml:space="preserve"> ولا تتخلص من الرهن بنسبة ما وفى الدين"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35</w:t>
      </w:r>
      <w:r>
        <w:rPr>
          <w:rFonts w:cs="Traditional Arabic" w:hint="cs"/>
          <w:color w:val="000000"/>
          <w:sz w:val="24"/>
          <w:szCs w:val="28"/>
          <w:rtl/>
        </w:rPr>
        <w:t xml:space="preserve"> ) .</w:t>
      </w:r>
    </w:p>
  </w:footnote>
  <w:footnote w:id="82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120</w:t>
      </w:r>
      <w:r>
        <w:rPr>
          <w:rFonts w:cs="Traditional Arabic" w:hint="cs"/>
          <w:color w:val="000000"/>
          <w:sz w:val="24"/>
          <w:szCs w:val="28"/>
          <w:rtl/>
        </w:rPr>
        <w:t xml:space="preserve"> .</w:t>
      </w:r>
    </w:p>
  </w:footnote>
  <w:footnote w:id="82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"أي جزء من العقار المرهون ضامن لكل الدين</w:t>
      </w:r>
      <w:r>
        <w:rPr>
          <w:rFonts w:cs="Traditional Arabic" w:hint="cs"/>
          <w:color w:val="000000"/>
          <w:sz w:val="24"/>
          <w:szCs w:val="28"/>
          <w:rtl/>
        </w:rPr>
        <w:t xml:space="preserve"> ،</w:t>
      </w:r>
      <w:r w:rsidRPr="00DC0143">
        <w:rPr>
          <w:rFonts w:cs="Traditional Arabic" w:hint="cs"/>
          <w:color w:val="000000"/>
          <w:sz w:val="24"/>
          <w:szCs w:val="28"/>
          <w:rtl/>
        </w:rPr>
        <w:t xml:space="preserve"> فلو باع الراهن جزءا من العقار المرهون أو أحد العقارات المرهونة</w:t>
      </w:r>
      <w:r>
        <w:rPr>
          <w:rFonts w:cs="Traditional Arabic" w:hint="cs"/>
          <w:color w:val="000000"/>
          <w:sz w:val="24"/>
          <w:szCs w:val="28"/>
          <w:rtl/>
        </w:rPr>
        <w:t xml:space="preserve"> ،</w:t>
      </w:r>
      <w:r w:rsidRPr="00DC0143">
        <w:rPr>
          <w:rFonts w:cs="Traditional Arabic" w:hint="cs"/>
          <w:color w:val="000000"/>
          <w:sz w:val="24"/>
          <w:szCs w:val="28"/>
          <w:rtl/>
        </w:rPr>
        <w:t xml:space="preserve"> كان للدائن المرتهن أن يرجع بكل الدين على العقار المبيع في يد الحائز</w:t>
      </w:r>
      <w:r>
        <w:rPr>
          <w:rFonts w:cs="Traditional Arabic" w:hint="cs"/>
          <w:color w:val="000000"/>
          <w:sz w:val="24"/>
          <w:szCs w:val="28"/>
          <w:rtl/>
        </w:rPr>
        <w:t xml:space="preserve"> ،</w:t>
      </w:r>
      <w:r w:rsidRPr="00DC0143">
        <w:rPr>
          <w:rFonts w:cs="Traditional Arabic" w:hint="cs"/>
          <w:color w:val="000000"/>
          <w:sz w:val="24"/>
          <w:szCs w:val="28"/>
          <w:rtl/>
        </w:rPr>
        <w:t xml:space="preserve"> ولا يقتصر على الجزء من الدين الذي يتناسب مع قيمة هذا العقار"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35</w:t>
      </w:r>
      <w:r>
        <w:rPr>
          <w:rFonts w:cs="Traditional Arabic" w:hint="cs"/>
          <w:color w:val="000000"/>
          <w:sz w:val="24"/>
          <w:szCs w:val="28"/>
          <w:rtl/>
        </w:rPr>
        <w:t xml:space="preserve"> ) .</w:t>
      </w:r>
    </w:p>
  </w:footnote>
  <w:footnote w:id="82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120</w:t>
      </w:r>
      <w:r>
        <w:rPr>
          <w:rFonts w:cs="Traditional Arabic" w:hint="cs"/>
          <w:color w:val="000000"/>
          <w:sz w:val="24"/>
          <w:szCs w:val="28"/>
          <w:rtl/>
        </w:rPr>
        <w:t xml:space="preserve"> .</w:t>
      </w:r>
    </w:p>
  </w:footnote>
  <w:footnote w:id="83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9 مايو سنة 1905 داللوز 1909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225 </w:t>
      </w:r>
      <w:r w:rsidRPr="00DC0143">
        <w:rPr>
          <w:rFonts w:cs="Traditional Arabic"/>
          <w:color w:val="000000"/>
          <w:sz w:val="24"/>
          <w:szCs w:val="28"/>
          <w:rtl/>
        </w:rPr>
        <w:t>–</w:t>
      </w:r>
      <w:r w:rsidRPr="00DC0143">
        <w:rPr>
          <w:rFonts w:cs="Traditional Arabic" w:hint="cs"/>
          <w:color w:val="000000"/>
          <w:sz w:val="24"/>
          <w:szCs w:val="28"/>
          <w:rtl/>
        </w:rPr>
        <w:t xml:space="preserve"> بور دو 8 أبريل سنة 1908 داللوز 1911 </w:t>
      </w:r>
      <w:r w:rsidRPr="00DC0143">
        <w:rPr>
          <w:rFonts w:cs="Traditional Arabic"/>
          <w:color w:val="000000"/>
          <w:sz w:val="24"/>
          <w:szCs w:val="28"/>
          <w:rtl/>
        </w:rPr>
        <w:t>–</w:t>
      </w:r>
      <w:r w:rsidRPr="00DC0143">
        <w:rPr>
          <w:rFonts w:cs="Traditional Arabic" w:hint="cs"/>
          <w:color w:val="000000"/>
          <w:sz w:val="24"/>
          <w:szCs w:val="28"/>
          <w:rtl/>
        </w:rPr>
        <w:t xml:space="preserve"> 2 </w:t>
      </w:r>
      <w:r w:rsidRPr="00DC0143">
        <w:rPr>
          <w:rFonts w:cs="Traditional Arabic"/>
          <w:color w:val="000000"/>
          <w:sz w:val="24"/>
          <w:szCs w:val="28"/>
          <w:rtl/>
        </w:rPr>
        <w:t>–</w:t>
      </w:r>
      <w:r w:rsidRPr="00DC0143">
        <w:rPr>
          <w:rFonts w:cs="Traditional Arabic" w:hint="cs"/>
          <w:color w:val="000000"/>
          <w:sz w:val="24"/>
          <w:szCs w:val="28"/>
          <w:rtl/>
        </w:rPr>
        <w:t xml:space="preserve"> 377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12 فقرة 340 ص 386</w:t>
      </w:r>
      <w:r>
        <w:rPr>
          <w:rFonts w:cs="Traditional Arabic" w:hint="cs"/>
          <w:color w:val="000000"/>
          <w:sz w:val="24"/>
          <w:szCs w:val="28"/>
          <w:rtl/>
        </w:rPr>
        <w:t xml:space="preserve"> .</w:t>
      </w:r>
    </w:p>
  </w:footnote>
  <w:footnote w:id="83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النقص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1450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فيما عدا بعض تعديلات لفظية</w:t>
      </w:r>
      <w:r>
        <w:rPr>
          <w:rFonts w:cs="Traditional Arabic" w:hint="cs"/>
          <w:color w:val="000000"/>
          <w:sz w:val="24"/>
          <w:szCs w:val="28"/>
          <w:rtl/>
        </w:rPr>
        <w:t xml:space="preserve"> .</w:t>
      </w:r>
      <w:r w:rsidRPr="00DC0143">
        <w:rPr>
          <w:rFonts w:cs="Traditional Arabic" w:hint="cs"/>
          <w:color w:val="000000"/>
          <w:sz w:val="24"/>
          <w:szCs w:val="28"/>
          <w:rtl/>
        </w:rPr>
        <w:t xml:space="preserve"> وقد أدخلت لجنة المراجعة تعديلات لفظية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فأصبح سابقا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اللجنة تحت رقم 1137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1123</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1042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36 </w:t>
      </w:r>
      <w:r w:rsidRPr="00DC0143">
        <w:rPr>
          <w:rFonts w:cs="Traditional Arabic"/>
          <w:color w:val="000000"/>
          <w:sz w:val="24"/>
          <w:szCs w:val="28"/>
          <w:rtl/>
        </w:rPr>
        <w:t>–</w:t>
      </w:r>
      <w:r w:rsidRPr="00DC0143">
        <w:rPr>
          <w:rFonts w:cs="Traditional Arabic" w:hint="cs"/>
          <w:color w:val="000000"/>
          <w:sz w:val="24"/>
          <w:szCs w:val="28"/>
          <w:rtl/>
        </w:rPr>
        <w:t xml:space="preserve"> ص 37</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3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119</w:t>
      </w:r>
      <w:r>
        <w:rPr>
          <w:rFonts w:cs="Traditional Arabic" w:hint="cs"/>
          <w:color w:val="000000"/>
          <w:sz w:val="24"/>
          <w:szCs w:val="28"/>
          <w:rtl/>
        </w:rPr>
        <w:t xml:space="preserve"> .</w:t>
      </w:r>
    </w:p>
  </w:footnote>
  <w:footnote w:id="83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بودري ودي لوان 2 فقرة 902</w:t>
      </w:r>
      <w:r>
        <w:rPr>
          <w:rFonts w:cs="Traditional Arabic" w:hint="cs"/>
          <w:color w:val="000000"/>
          <w:sz w:val="24"/>
          <w:szCs w:val="28"/>
          <w:rtl/>
        </w:rPr>
        <w:t xml:space="preserve"> .</w:t>
      </w:r>
    </w:p>
  </w:footnote>
  <w:footnote w:id="83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"الارتباط ما بين الرهن والدين المضمون هو ارتباط التابع بالمتبوع</w:t>
      </w:r>
      <w:r>
        <w:rPr>
          <w:rFonts w:cs="Traditional Arabic" w:hint="cs"/>
          <w:color w:val="000000"/>
          <w:sz w:val="24"/>
          <w:szCs w:val="28"/>
          <w:rtl/>
        </w:rPr>
        <w:t xml:space="preserve"> ،</w:t>
      </w:r>
      <w:r w:rsidRPr="00DC0143">
        <w:rPr>
          <w:rFonts w:cs="Traditional Arabic" w:hint="cs"/>
          <w:color w:val="000000"/>
          <w:sz w:val="24"/>
          <w:szCs w:val="28"/>
          <w:rtl/>
        </w:rPr>
        <w:t xml:space="preserve"> فإذا كان الدين صحيحاً صح الرهن وإلا فهو باطل</w:t>
      </w:r>
      <w:r>
        <w:rPr>
          <w:rFonts w:cs="Traditional Arabic" w:hint="cs"/>
          <w:color w:val="000000"/>
          <w:sz w:val="24"/>
          <w:szCs w:val="28"/>
          <w:rtl/>
        </w:rPr>
        <w:t xml:space="preserve"> .</w:t>
      </w:r>
      <w:r w:rsidRPr="00DC0143">
        <w:rPr>
          <w:rFonts w:cs="Traditional Arabic" w:hint="cs"/>
          <w:color w:val="000000"/>
          <w:sz w:val="24"/>
          <w:szCs w:val="28"/>
          <w:rtl/>
        </w:rPr>
        <w:t xml:space="preserve"> وإذا انقضى الدين</w:t>
      </w:r>
      <w:r>
        <w:rPr>
          <w:rFonts w:cs="Traditional Arabic" w:hint="cs"/>
          <w:color w:val="000000"/>
          <w:sz w:val="24"/>
          <w:szCs w:val="28"/>
          <w:rtl/>
        </w:rPr>
        <w:t xml:space="preserve"> ،</w:t>
      </w:r>
      <w:r w:rsidRPr="00DC0143">
        <w:rPr>
          <w:rFonts w:cs="Traditional Arabic" w:hint="cs"/>
          <w:color w:val="000000"/>
          <w:sz w:val="24"/>
          <w:szCs w:val="28"/>
          <w:rtl/>
        </w:rPr>
        <w:t xml:space="preserve"> انقضى الرهن تبعاً له"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37</w:t>
      </w:r>
      <w:r>
        <w:rPr>
          <w:rFonts w:cs="Traditional Arabic" w:hint="cs"/>
          <w:color w:val="000000"/>
          <w:sz w:val="24"/>
          <w:szCs w:val="28"/>
          <w:rtl/>
        </w:rPr>
        <w:t xml:space="preserve"> ) .</w:t>
      </w:r>
    </w:p>
  </w:footnote>
  <w:footnote w:id="83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والرهن عمل مدنين في حين أن الدين المضمون قد يكون عملا تجاريا</w:t>
      </w:r>
      <w:r>
        <w:rPr>
          <w:rFonts w:cs="Traditional Arabic" w:hint="cs"/>
          <w:color w:val="000000"/>
          <w:sz w:val="24"/>
          <w:szCs w:val="28"/>
          <w:rtl/>
        </w:rPr>
        <w:t xml:space="preserve"> .</w:t>
      </w:r>
      <w:r w:rsidRPr="00DC0143">
        <w:rPr>
          <w:rFonts w:cs="Traditional Arabic" w:hint="cs"/>
          <w:color w:val="000000"/>
          <w:sz w:val="24"/>
          <w:szCs w:val="28"/>
          <w:rtl/>
        </w:rPr>
        <w:t xml:space="preserve"> وقد قضت محكمة شبين الكوم الجزئية بأن يعتبر للرهن الضامن لعمل تجاري عقدا مدنيا طبقا للمادة 76 من قانون التجارة</w:t>
      </w:r>
      <w:r>
        <w:rPr>
          <w:rFonts w:cs="Traditional Arabic" w:hint="cs"/>
          <w:color w:val="000000"/>
          <w:sz w:val="24"/>
          <w:szCs w:val="28"/>
          <w:rtl/>
        </w:rPr>
        <w:t xml:space="preserve"> ،</w:t>
      </w:r>
      <w:r w:rsidRPr="00DC0143">
        <w:rPr>
          <w:rFonts w:cs="Traditional Arabic" w:hint="cs"/>
          <w:color w:val="000000"/>
          <w:sz w:val="24"/>
          <w:szCs w:val="28"/>
          <w:rtl/>
        </w:rPr>
        <w:t xml:space="preserve"> التي نصت على أنه إذا رهن تاجر أو غيره شيئا تأمينا على عمل من الأعمال التجارية</w:t>
      </w:r>
      <w:r>
        <w:rPr>
          <w:rFonts w:cs="Traditional Arabic" w:hint="cs"/>
          <w:color w:val="000000"/>
          <w:sz w:val="24"/>
          <w:szCs w:val="28"/>
          <w:rtl/>
        </w:rPr>
        <w:t xml:space="preserve"> ،</w:t>
      </w:r>
      <w:r w:rsidRPr="00DC0143">
        <w:rPr>
          <w:rFonts w:cs="Traditional Arabic" w:hint="cs"/>
          <w:color w:val="000000"/>
          <w:sz w:val="24"/>
          <w:szCs w:val="28"/>
          <w:rtl/>
        </w:rPr>
        <w:t xml:space="preserve"> فيثبت الرهن بالنسبة إلى المتعاقدين وغيرهم بالطرق المبينة في القانون المدني </w:t>
      </w:r>
      <w:r>
        <w:rPr>
          <w:rFonts w:cs="Traditional Arabic" w:hint="cs"/>
          <w:color w:val="000000"/>
          <w:sz w:val="24"/>
          <w:szCs w:val="28"/>
          <w:rtl/>
        </w:rPr>
        <w:t xml:space="preserve">( </w:t>
      </w:r>
      <w:r w:rsidRPr="00DC0143">
        <w:rPr>
          <w:rFonts w:cs="Traditional Arabic" w:hint="cs"/>
          <w:color w:val="000000"/>
          <w:sz w:val="24"/>
          <w:szCs w:val="28"/>
          <w:rtl/>
        </w:rPr>
        <w:t>محكمة شبين الكوم الجزئية 14 يونيه سنة 1937 المحاماة 18 رقم 143 ص 285</w:t>
      </w:r>
      <w:r>
        <w:rPr>
          <w:rFonts w:cs="Traditional Arabic" w:hint="cs"/>
          <w:color w:val="000000"/>
          <w:sz w:val="24"/>
          <w:szCs w:val="28"/>
          <w:rtl/>
        </w:rPr>
        <w:t xml:space="preserve"> ) .</w:t>
      </w:r>
    </w:p>
  </w:footnote>
  <w:footnote w:id="83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37</w:t>
      </w:r>
      <w:r>
        <w:rPr>
          <w:rFonts w:cs="Traditional Arabic" w:hint="cs"/>
          <w:color w:val="000000"/>
          <w:sz w:val="24"/>
          <w:szCs w:val="28"/>
          <w:rtl/>
        </w:rPr>
        <w:t xml:space="preserve"> .</w:t>
      </w:r>
    </w:p>
  </w:footnote>
  <w:footnote w:id="83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45 </w:t>
      </w:r>
      <w:r w:rsidRPr="00DC0143">
        <w:rPr>
          <w:rFonts w:cs="Traditional Arabic"/>
          <w:color w:val="000000"/>
          <w:sz w:val="24"/>
          <w:szCs w:val="28"/>
          <w:rtl/>
        </w:rPr>
        <w:t>–</w:t>
      </w:r>
      <w:r w:rsidRPr="00DC0143">
        <w:rPr>
          <w:rFonts w:cs="Traditional Arabic" w:hint="cs"/>
          <w:color w:val="000000"/>
          <w:sz w:val="24"/>
          <w:szCs w:val="28"/>
          <w:rtl/>
        </w:rPr>
        <w:t xml:space="preserve"> فقرة 46</w:t>
      </w:r>
      <w:r>
        <w:rPr>
          <w:rFonts w:cs="Traditional Arabic" w:hint="cs"/>
          <w:color w:val="000000"/>
          <w:sz w:val="24"/>
          <w:szCs w:val="28"/>
          <w:rtl/>
        </w:rPr>
        <w:t xml:space="preserve"> .</w:t>
      </w:r>
    </w:p>
  </w:footnote>
  <w:footnote w:id="83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"يلتزم الراهن بترتيب حق الرهن على العقار المرهون لمصلحة الدائن</w:t>
      </w:r>
      <w:r>
        <w:rPr>
          <w:rFonts w:cs="Traditional Arabic" w:hint="cs"/>
          <w:color w:val="000000"/>
          <w:sz w:val="24"/>
          <w:szCs w:val="28"/>
          <w:rtl/>
        </w:rPr>
        <w:t xml:space="preserve"> ،</w:t>
      </w:r>
      <w:r w:rsidRPr="00DC0143">
        <w:rPr>
          <w:rFonts w:cs="Traditional Arabic" w:hint="cs"/>
          <w:color w:val="000000"/>
          <w:sz w:val="24"/>
          <w:szCs w:val="28"/>
          <w:rtl/>
        </w:rPr>
        <w:t xml:space="preserve"> كما يلتزم البائع بنقل حق الملكية إلى المشتري</w:t>
      </w:r>
      <w:r>
        <w:rPr>
          <w:rFonts w:cs="Traditional Arabic" w:hint="cs"/>
          <w:color w:val="000000"/>
          <w:sz w:val="24"/>
          <w:szCs w:val="28"/>
          <w:rtl/>
        </w:rPr>
        <w:t xml:space="preserve"> .</w:t>
      </w:r>
      <w:r w:rsidRPr="00DC0143">
        <w:rPr>
          <w:rFonts w:cs="Traditional Arabic" w:hint="cs"/>
          <w:color w:val="000000"/>
          <w:sz w:val="24"/>
          <w:szCs w:val="28"/>
          <w:rtl/>
        </w:rPr>
        <w:t xml:space="preserve"> ويظهر ذلك بوضوح في رهن ملك الغير</w:t>
      </w:r>
      <w:r>
        <w:rPr>
          <w:rFonts w:cs="Traditional Arabic" w:hint="cs"/>
          <w:color w:val="000000"/>
          <w:sz w:val="24"/>
          <w:szCs w:val="28"/>
          <w:rtl/>
        </w:rPr>
        <w:t xml:space="preserve"> ،</w:t>
      </w:r>
      <w:r w:rsidRPr="00DC0143">
        <w:rPr>
          <w:rFonts w:cs="Traditional Arabic" w:hint="cs"/>
          <w:color w:val="000000"/>
          <w:sz w:val="24"/>
          <w:szCs w:val="28"/>
          <w:rtl/>
        </w:rPr>
        <w:t xml:space="preserve"> فإن الراهن لا يستطيع أن يقوم بالتزامه من ترتيب حق الرهن</w:t>
      </w:r>
      <w:r>
        <w:rPr>
          <w:rFonts w:cs="Traditional Arabic" w:hint="cs"/>
          <w:color w:val="000000"/>
          <w:sz w:val="24"/>
          <w:szCs w:val="28"/>
          <w:rtl/>
        </w:rPr>
        <w:t xml:space="preserve"> ،</w:t>
      </w:r>
      <w:r w:rsidRPr="00DC0143">
        <w:rPr>
          <w:rFonts w:cs="Traditional Arabic" w:hint="cs"/>
          <w:color w:val="000000"/>
          <w:sz w:val="24"/>
          <w:szCs w:val="28"/>
          <w:rtl/>
        </w:rPr>
        <w:t xml:space="preserve"> فإذا أجاز الدائن المرتهن العقد جاز له بعد ذلك نسخه لعدم قيام الراهن بالتزامه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49</w:t>
      </w:r>
      <w:r>
        <w:rPr>
          <w:rFonts w:cs="Traditional Arabic" w:hint="cs"/>
          <w:color w:val="000000"/>
          <w:sz w:val="24"/>
          <w:szCs w:val="28"/>
          <w:rtl/>
        </w:rPr>
        <w:t xml:space="preserve"> ) .</w:t>
      </w:r>
    </w:p>
  </w:footnote>
  <w:footnote w:id="83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4 </w:t>
      </w:r>
      <w:r w:rsidRPr="00DC0143">
        <w:rPr>
          <w:rFonts w:cs="Traditional Arabic"/>
          <w:color w:val="000000"/>
          <w:sz w:val="24"/>
          <w:szCs w:val="28"/>
          <w:rtl/>
        </w:rPr>
        <w:t>–</w:t>
      </w:r>
      <w:r w:rsidRPr="00DC0143">
        <w:rPr>
          <w:rFonts w:cs="Traditional Arabic" w:hint="cs"/>
          <w:color w:val="000000"/>
          <w:sz w:val="24"/>
          <w:szCs w:val="28"/>
          <w:rtl/>
        </w:rPr>
        <w:t xml:space="preserve"> وانظر عبد الفتاح عبد الباقي فقرة 185 ص 294 </w:t>
      </w:r>
      <w:r w:rsidRPr="00DC0143">
        <w:rPr>
          <w:rFonts w:cs="Traditional Arabic"/>
          <w:color w:val="000000"/>
          <w:sz w:val="24"/>
          <w:szCs w:val="28"/>
          <w:rtl/>
        </w:rPr>
        <w:t>–</w:t>
      </w:r>
      <w:r w:rsidRPr="00DC0143">
        <w:rPr>
          <w:rFonts w:cs="Traditional Arabic" w:hint="cs"/>
          <w:color w:val="000000"/>
          <w:sz w:val="24"/>
          <w:szCs w:val="28"/>
          <w:rtl/>
        </w:rPr>
        <w:t xml:space="preserve"> جمال الدين زكي ص 307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218 ص 324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72 ص 120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69 ص 226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77 ص 103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72 ص 239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26 </w:t>
      </w:r>
      <w:r w:rsidRPr="00DC0143">
        <w:rPr>
          <w:rFonts w:cs="Traditional Arabic"/>
          <w:color w:val="000000"/>
          <w:sz w:val="24"/>
          <w:szCs w:val="28"/>
          <w:rtl/>
        </w:rPr>
        <w:t>–</w:t>
      </w:r>
      <w:r w:rsidRPr="00DC0143">
        <w:rPr>
          <w:rFonts w:cs="Traditional Arabic" w:hint="cs"/>
          <w:color w:val="000000"/>
          <w:sz w:val="24"/>
          <w:szCs w:val="28"/>
          <w:rtl/>
        </w:rPr>
        <w:t xml:space="preserve"> المؤلف</w:t>
      </w:r>
      <w:r>
        <w:rPr>
          <w:rFonts w:cs="Traditional Arabic" w:hint="cs"/>
          <w:color w:val="000000"/>
          <w:sz w:val="24"/>
          <w:szCs w:val="28"/>
          <w:rtl/>
        </w:rPr>
        <w:t xml:space="preserve"> :</w:t>
      </w:r>
      <w:r w:rsidRPr="00DC0143">
        <w:rPr>
          <w:rFonts w:cs="Traditional Arabic" w:hint="cs"/>
          <w:color w:val="000000"/>
          <w:sz w:val="24"/>
          <w:szCs w:val="28"/>
          <w:rtl/>
        </w:rPr>
        <w:t xml:space="preserve"> الوسيط 2 ص 772 </w:t>
      </w:r>
      <w:r w:rsidRPr="00DC0143">
        <w:rPr>
          <w:rFonts w:cs="Traditional Arabic"/>
          <w:color w:val="000000"/>
          <w:sz w:val="24"/>
          <w:szCs w:val="28"/>
          <w:rtl/>
        </w:rPr>
        <w:t>–</w:t>
      </w:r>
      <w:r w:rsidRPr="00DC0143">
        <w:rPr>
          <w:rFonts w:cs="Traditional Arabic" w:hint="cs"/>
          <w:color w:val="000000"/>
          <w:sz w:val="24"/>
          <w:szCs w:val="28"/>
          <w:rtl/>
        </w:rPr>
        <w:t xml:space="preserve"> التصرف القانوني والواقعة القانونية ص 128</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وإذا كان الراهن لا يملك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لم ينشأ حق الرهن إلا إذا أقر المالك الرهن أو امتلك الراهن العقار </w:t>
      </w:r>
      <w:r>
        <w:rPr>
          <w:rFonts w:cs="Traditional Arabic" w:hint="cs"/>
          <w:color w:val="000000"/>
          <w:sz w:val="24"/>
          <w:szCs w:val="28"/>
          <w:rtl/>
        </w:rPr>
        <w:t xml:space="preserve">( </w:t>
      </w:r>
      <w:r w:rsidRPr="00DC0143">
        <w:rPr>
          <w:rFonts w:cs="Traditional Arabic" w:hint="cs"/>
          <w:color w:val="000000"/>
          <w:sz w:val="24"/>
          <w:szCs w:val="28"/>
          <w:rtl/>
        </w:rPr>
        <w:t>م 1033 / 1 مدني</w:t>
      </w:r>
      <w:r>
        <w:rPr>
          <w:rFonts w:cs="Traditional Arabic" w:hint="cs"/>
          <w:color w:val="000000"/>
          <w:sz w:val="24"/>
          <w:szCs w:val="28"/>
          <w:rtl/>
        </w:rPr>
        <w:t xml:space="preserve"> ) .</w:t>
      </w:r>
      <w:r w:rsidRPr="00DC0143">
        <w:rPr>
          <w:rFonts w:cs="Traditional Arabic" w:hint="cs"/>
          <w:color w:val="000000"/>
          <w:sz w:val="24"/>
          <w:szCs w:val="28"/>
          <w:rtl/>
        </w:rPr>
        <w:t xml:space="preserve"> فإذا لم يحصل شيء من ذلك</w:t>
      </w:r>
      <w:r>
        <w:rPr>
          <w:rFonts w:cs="Traditional Arabic" w:hint="cs"/>
          <w:color w:val="000000"/>
          <w:sz w:val="24"/>
          <w:szCs w:val="28"/>
          <w:rtl/>
        </w:rPr>
        <w:t xml:space="preserve"> ،</w:t>
      </w:r>
      <w:r w:rsidRPr="00DC0143">
        <w:rPr>
          <w:rFonts w:cs="Traditional Arabic" w:hint="cs"/>
          <w:color w:val="000000"/>
          <w:sz w:val="24"/>
          <w:szCs w:val="28"/>
          <w:rtl/>
        </w:rPr>
        <w:t xml:space="preserve"> بقي الراهن ملتزما بإنشاء حق الرهن</w:t>
      </w:r>
      <w:r>
        <w:rPr>
          <w:rFonts w:cs="Traditional Arabic" w:hint="cs"/>
          <w:color w:val="000000"/>
          <w:sz w:val="24"/>
          <w:szCs w:val="28"/>
          <w:rtl/>
        </w:rPr>
        <w:t xml:space="preserve"> ،</w:t>
      </w:r>
      <w:r w:rsidRPr="00DC0143">
        <w:rPr>
          <w:rFonts w:cs="Traditional Arabic" w:hint="cs"/>
          <w:color w:val="000000"/>
          <w:sz w:val="24"/>
          <w:szCs w:val="28"/>
          <w:rtl/>
        </w:rPr>
        <w:t xml:space="preserve"> وجاز للدائن المرتهن أن يطالبه بتعويض ولا يطلب سقوط أجل الدين </w:t>
      </w:r>
      <w:r>
        <w:rPr>
          <w:rFonts w:cs="Traditional Arabic" w:hint="cs"/>
          <w:color w:val="000000"/>
          <w:sz w:val="24"/>
          <w:szCs w:val="28"/>
          <w:rtl/>
        </w:rPr>
        <w:t xml:space="preserve">( </w:t>
      </w:r>
      <w:r w:rsidRPr="00DC0143">
        <w:rPr>
          <w:rFonts w:cs="Traditional Arabic" w:hint="cs"/>
          <w:color w:val="000000"/>
          <w:sz w:val="24"/>
          <w:szCs w:val="28"/>
          <w:rtl/>
        </w:rPr>
        <w:t>منصور مصطفى منصور فقرة 31 ص 77</w:t>
      </w:r>
      <w:r>
        <w:rPr>
          <w:rFonts w:cs="Traditional Arabic" w:hint="cs"/>
          <w:color w:val="000000"/>
          <w:sz w:val="24"/>
          <w:szCs w:val="28"/>
          <w:rtl/>
        </w:rPr>
        <w:t xml:space="preserve"> ) .</w:t>
      </w:r>
    </w:p>
  </w:footnote>
  <w:footnote w:id="84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شفيق شحاته فقرة 43</w:t>
      </w:r>
      <w:r>
        <w:rPr>
          <w:rFonts w:cs="Traditional Arabic" w:hint="cs"/>
          <w:color w:val="000000"/>
          <w:sz w:val="24"/>
          <w:szCs w:val="28"/>
          <w:rtl/>
        </w:rPr>
        <w:t xml:space="preserve"> .</w:t>
      </w:r>
    </w:p>
  </w:footnote>
  <w:footnote w:id="84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31 ص 76 </w:t>
      </w:r>
      <w:r w:rsidRPr="00DC0143">
        <w:rPr>
          <w:rFonts w:cs="Traditional Arabic"/>
          <w:color w:val="000000"/>
          <w:sz w:val="24"/>
          <w:szCs w:val="28"/>
          <w:rtl/>
        </w:rPr>
        <w:t>–</w:t>
      </w:r>
      <w:r w:rsidRPr="00DC0143">
        <w:rPr>
          <w:rFonts w:cs="Traditional Arabic" w:hint="cs"/>
          <w:color w:val="000000"/>
          <w:sz w:val="24"/>
          <w:szCs w:val="28"/>
          <w:rtl/>
        </w:rPr>
        <w:t xml:space="preserve"> ص 77</w:t>
      </w:r>
      <w:r>
        <w:rPr>
          <w:rFonts w:cs="Traditional Arabic" w:hint="cs"/>
          <w:color w:val="000000"/>
          <w:sz w:val="24"/>
          <w:szCs w:val="28"/>
          <w:rtl/>
        </w:rPr>
        <w:t xml:space="preserve"> .</w:t>
      </w:r>
    </w:p>
  </w:footnote>
  <w:footnote w:id="84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26 ص 98 </w:t>
      </w:r>
      <w:r w:rsidRPr="00DC0143">
        <w:rPr>
          <w:rFonts w:cs="Traditional Arabic"/>
          <w:color w:val="000000"/>
          <w:sz w:val="24"/>
          <w:szCs w:val="28"/>
          <w:rtl/>
        </w:rPr>
        <w:t>–</w:t>
      </w:r>
      <w:r w:rsidRPr="00DC0143">
        <w:rPr>
          <w:rFonts w:cs="Traditional Arabic" w:hint="cs"/>
          <w:color w:val="000000"/>
          <w:sz w:val="24"/>
          <w:szCs w:val="28"/>
          <w:rtl/>
        </w:rPr>
        <w:t xml:space="preserve"> ويقول لتأكيد ذلك</w:t>
      </w:r>
      <w:r>
        <w:rPr>
          <w:rFonts w:cs="Traditional Arabic" w:hint="cs"/>
          <w:color w:val="000000"/>
          <w:sz w:val="24"/>
          <w:szCs w:val="28"/>
          <w:rtl/>
        </w:rPr>
        <w:t xml:space="preserve"> :</w:t>
      </w:r>
      <w:r w:rsidRPr="00DC0143">
        <w:rPr>
          <w:rFonts w:cs="Traditional Arabic" w:hint="cs"/>
          <w:color w:val="000000"/>
          <w:sz w:val="24"/>
          <w:szCs w:val="28"/>
          <w:rtl/>
        </w:rPr>
        <w:t xml:space="preserve"> "وعلى هذا إذا ثبت أن الدائن المرتهن يستطيع أن يتخذ إجراءات التنفيذ على العقار المرهون قبل شهر الرهن</w:t>
      </w:r>
      <w:r>
        <w:rPr>
          <w:rFonts w:cs="Traditional Arabic" w:hint="cs"/>
          <w:color w:val="000000"/>
          <w:sz w:val="24"/>
          <w:szCs w:val="28"/>
          <w:rtl/>
        </w:rPr>
        <w:t xml:space="preserve"> ،</w:t>
      </w:r>
      <w:r w:rsidRPr="00DC0143">
        <w:rPr>
          <w:rFonts w:cs="Traditional Arabic" w:hint="cs"/>
          <w:color w:val="000000"/>
          <w:sz w:val="24"/>
          <w:szCs w:val="28"/>
          <w:rtl/>
        </w:rPr>
        <w:t xml:space="preserve"> وأن هذا الحق مترتب على حق الرهن وليس على الضمان العام</w:t>
      </w:r>
      <w:r>
        <w:rPr>
          <w:rFonts w:cs="Traditional Arabic" w:hint="cs"/>
          <w:color w:val="000000"/>
          <w:sz w:val="24"/>
          <w:szCs w:val="28"/>
          <w:rtl/>
        </w:rPr>
        <w:t xml:space="preserve"> ،</w:t>
      </w:r>
      <w:r w:rsidRPr="00DC0143">
        <w:rPr>
          <w:rFonts w:cs="Traditional Arabic" w:hint="cs"/>
          <w:color w:val="000000"/>
          <w:sz w:val="24"/>
          <w:szCs w:val="28"/>
          <w:rtl/>
        </w:rPr>
        <w:t xml:space="preserve"> كان معنى هذا أنه لا يلزم لنشأة حق الرهن إجراء القيد</w:t>
      </w:r>
      <w:r>
        <w:rPr>
          <w:rFonts w:cs="Traditional Arabic" w:hint="cs"/>
          <w:color w:val="000000"/>
          <w:sz w:val="24"/>
          <w:szCs w:val="28"/>
          <w:rtl/>
        </w:rPr>
        <w:t xml:space="preserve"> ،</w:t>
      </w:r>
      <w:r w:rsidRPr="00DC0143">
        <w:rPr>
          <w:rFonts w:cs="Traditional Arabic" w:hint="cs"/>
          <w:color w:val="000000"/>
          <w:sz w:val="24"/>
          <w:szCs w:val="28"/>
          <w:rtl/>
        </w:rPr>
        <w:t xml:space="preserve"> وأن الحق ينشأ من العقد مباشرة</w:t>
      </w:r>
      <w:r>
        <w:rPr>
          <w:rFonts w:cs="Traditional Arabic" w:hint="cs"/>
          <w:color w:val="000000"/>
          <w:sz w:val="24"/>
          <w:szCs w:val="28"/>
          <w:rtl/>
        </w:rPr>
        <w:t xml:space="preserve"> ،</w:t>
      </w:r>
      <w:r w:rsidRPr="00DC0143">
        <w:rPr>
          <w:rFonts w:cs="Traditional Arabic" w:hint="cs"/>
          <w:color w:val="000000"/>
          <w:sz w:val="24"/>
          <w:szCs w:val="28"/>
          <w:rtl/>
        </w:rPr>
        <w:t xml:space="preserve"> أما الشهر فهو لازم فقط لنفاذه في حق الغير" </w:t>
      </w:r>
      <w:r>
        <w:rPr>
          <w:rFonts w:cs="Traditional Arabic" w:hint="cs"/>
          <w:color w:val="000000"/>
          <w:sz w:val="24"/>
          <w:szCs w:val="28"/>
          <w:rtl/>
        </w:rPr>
        <w:t xml:space="preserve">( </w:t>
      </w:r>
      <w:r w:rsidRPr="00DC0143">
        <w:rPr>
          <w:rFonts w:cs="Traditional Arabic" w:hint="cs"/>
          <w:color w:val="000000"/>
          <w:sz w:val="24"/>
          <w:szCs w:val="28"/>
          <w:rtl/>
        </w:rPr>
        <w:t>سمير تناغر فقرة  26 ص 98</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ويقرب من هذا ما يقوله الأستاذ سليمان مرقس "وأما حق التنفيذ على المال المرهون فيغني عنه ما يثبت للمرتهن بصفته دائنا من حق الضمان العام على أموال  مدينه</w:t>
      </w:r>
      <w:r>
        <w:rPr>
          <w:rFonts w:cs="Traditional Arabic" w:hint="cs"/>
          <w:color w:val="000000"/>
          <w:sz w:val="24"/>
          <w:szCs w:val="28"/>
          <w:rtl/>
        </w:rPr>
        <w:t xml:space="preserve"> .</w:t>
      </w:r>
      <w:r w:rsidRPr="00DC0143">
        <w:rPr>
          <w:rFonts w:cs="Traditional Arabic" w:hint="cs"/>
          <w:color w:val="000000"/>
          <w:sz w:val="24"/>
          <w:szCs w:val="28"/>
          <w:rtl/>
        </w:rPr>
        <w:t xml:space="preserve"> ولا تظهر أهميته عملا إلا في حالة صدور الرهن من غير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فيكون التنفيذ على المال المرهون بمقتضى حق الرهن لا بمقتضى حق الضمان العام</w:t>
      </w:r>
      <w:r>
        <w:rPr>
          <w:rFonts w:cs="Traditional Arabic" w:hint="cs"/>
          <w:color w:val="000000"/>
          <w:sz w:val="24"/>
          <w:szCs w:val="28"/>
          <w:rtl/>
        </w:rPr>
        <w:t xml:space="preserve"> ،</w:t>
      </w:r>
      <w:r w:rsidRPr="00DC0143">
        <w:rPr>
          <w:rFonts w:cs="Traditional Arabic" w:hint="cs"/>
          <w:color w:val="000000"/>
          <w:sz w:val="24"/>
          <w:szCs w:val="28"/>
          <w:rtl/>
        </w:rPr>
        <w:t xml:space="preserve"> وأما مزيتا التقدم والتتبع فهما غير موجهتين ضد الراهن</w:t>
      </w:r>
      <w:r>
        <w:rPr>
          <w:rFonts w:cs="Traditional Arabic" w:hint="cs"/>
          <w:color w:val="000000"/>
          <w:sz w:val="24"/>
          <w:szCs w:val="28"/>
          <w:rtl/>
        </w:rPr>
        <w:t xml:space="preserve"> ،</w:t>
      </w:r>
      <w:r w:rsidRPr="00DC0143">
        <w:rPr>
          <w:rFonts w:cs="Traditional Arabic" w:hint="cs"/>
          <w:color w:val="000000"/>
          <w:sz w:val="24"/>
          <w:szCs w:val="28"/>
          <w:rtl/>
        </w:rPr>
        <w:t xml:space="preserve"> بل ضد الغير" </w:t>
      </w:r>
      <w:r>
        <w:rPr>
          <w:rFonts w:cs="Traditional Arabic" w:hint="cs"/>
          <w:color w:val="000000"/>
          <w:sz w:val="24"/>
          <w:szCs w:val="28"/>
          <w:rtl/>
        </w:rPr>
        <w:t xml:space="preserve">( </w:t>
      </w:r>
      <w:r w:rsidRPr="00DC0143">
        <w:rPr>
          <w:rFonts w:cs="Traditional Arabic" w:hint="cs"/>
          <w:color w:val="000000"/>
          <w:sz w:val="24"/>
          <w:szCs w:val="28"/>
          <w:rtl/>
        </w:rPr>
        <w:t>سليمان مرقس فقرة 80 ص 130</w:t>
      </w:r>
      <w:r>
        <w:rPr>
          <w:rFonts w:cs="Traditional Arabic" w:hint="cs"/>
          <w:color w:val="000000"/>
          <w:sz w:val="24"/>
          <w:szCs w:val="28"/>
          <w:rtl/>
        </w:rPr>
        <w:t xml:space="preserve"> ) .</w:t>
      </w:r>
    </w:p>
  </w:footnote>
  <w:footnote w:id="84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1455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"يلتزم الراهن بضمان الرهن</w:t>
      </w:r>
      <w:r>
        <w:rPr>
          <w:rFonts w:cs="Traditional Arabic" w:hint="cs"/>
          <w:color w:val="000000"/>
          <w:sz w:val="24"/>
          <w:szCs w:val="28"/>
          <w:rtl/>
        </w:rPr>
        <w:t xml:space="preserve"> ،</w:t>
      </w:r>
      <w:r w:rsidRPr="00DC0143">
        <w:rPr>
          <w:rFonts w:cs="Traditional Arabic" w:hint="cs"/>
          <w:color w:val="000000"/>
          <w:sz w:val="24"/>
          <w:szCs w:val="28"/>
          <w:rtl/>
        </w:rPr>
        <w:t xml:space="preserve"> وللدائن المرتهن أن يعترض على كل عمل يكون من شانه إنقاص ضمانه</w:t>
      </w:r>
      <w:r>
        <w:rPr>
          <w:rFonts w:cs="Traditional Arabic" w:hint="cs"/>
          <w:color w:val="000000"/>
          <w:sz w:val="24"/>
          <w:szCs w:val="28"/>
          <w:rtl/>
        </w:rPr>
        <w:t xml:space="preserve"> .</w:t>
      </w:r>
      <w:r w:rsidRPr="00DC0143">
        <w:rPr>
          <w:rFonts w:cs="Traditional Arabic" w:hint="cs"/>
          <w:color w:val="000000"/>
          <w:sz w:val="24"/>
          <w:szCs w:val="28"/>
          <w:rtl/>
        </w:rPr>
        <w:t xml:space="preserve"> وله في حالة الاستعجال أن يتخذ ما يلزم من الوسائل التحفظية</w:t>
      </w:r>
      <w:r>
        <w:rPr>
          <w:rFonts w:cs="Traditional Arabic" w:hint="cs"/>
          <w:color w:val="000000"/>
          <w:sz w:val="24"/>
          <w:szCs w:val="28"/>
          <w:rtl/>
        </w:rPr>
        <w:t xml:space="preserve"> ،</w:t>
      </w:r>
      <w:r w:rsidRPr="00DC0143">
        <w:rPr>
          <w:rFonts w:cs="Traditional Arabic" w:hint="cs"/>
          <w:color w:val="000000"/>
          <w:sz w:val="24"/>
          <w:szCs w:val="28"/>
          <w:rtl/>
        </w:rPr>
        <w:t xml:space="preserve"> وأن يرجع على الراهن بما يتفق في ذلك"</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بعد إضافة كلمة "سلامة" بعد كلمة "ضمان" في صدر المادة</w:t>
      </w:r>
      <w:r>
        <w:rPr>
          <w:rFonts w:cs="Traditional Arabic" w:hint="cs"/>
          <w:color w:val="000000"/>
          <w:sz w:val="24"/>
          <w:szCs w:val="28"/>
          <w:rtl/>
        </w:rPr>
        <w:t xml:space="preserve"> ،</w:t>
      </w:r>
      <w:r w:rsidRPr="00DC0143">
        <w:rPr>
          <w:rFonts w:cs="Traditional Arabic" w:hint="cs"/>
          <w:color w:val="000000"/>
          <w:sz w:val="24"/>
          <w:szCs w:val="28"/>
          <w:rtl/>
        </w:rPr>
        <w:t xml:space="preserve"> وذلك تحت رقم 1142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تحت رقم 1128</w:t>
      </w:r>
      <w:r>
        <w:rPr>
          <w:rFonts w:cs="Traditional Arabic" w:hint="cs"/>
          <w:color w:val="000000"/>
          <w:sz w:val="24"/>
          <w:szCs w:val="28"/>
          <w:rtl/>
        </w:rPr>
        <w:t xml:space="preserve"> .</w:t>
      </w:r>
      <w:r w:rsidRPr="00DC0143">
        <w:rPr>
          <w:rFonts w:cs="Traditional Arabic" w:hint="cs"/>
          <w:color w:val="000000"/>
          <w:sz w:val="24"/>
          <w:szCs w:val="28"/>
          <w:rtl/>
        </w:rPr>
        <w:t xml:space="preserve"> وأضافت لجن مجلس الشيوخ إلى النص عبارة "أو تقصير" بعد كلم "عمل" وعبارة "إنقاصا كبيراً" بعد عبارة "إنقاص ضمانه"</w:t>
      </w:r>
      <w:r>
        <w:rPr>
          <w:rFonts w:cs="Traditional Arabic" w:hint="cs"/>
          <w:color w:val="000000"/>
          <w:sz w:val="24"/>
          <w:szCs w:val="28"/>
          <w:rtl/>
        </w:rPr>
        <w:t xml:space="preserve"> ،</w:t>
      </w:r>
      <w:r w:rsidRPr="00DC0143">
        <w:rPr>
          <w:rFonts w:cs="Traditional Arabic" w:hint="cs"/>
          <w:color w:val="000000"/>
          <w:sz w:val="24"/>
          <w:szCs w:val="28"/>
          <w:rtl/>
        </w:rPr>
        <w:t xml:space="preserve"> وقصدت اللجنة بذلك تقييد تدخل الدائن المرتهن لضمان سلامة الرهن</w:t>
      </w:r>
      <w:r>
        <w:rPr>
          <w:rFonts w:cs="Traditional Arabic" w:hint="cs"/>
          <w:color w:val="000000"/>
          <w:sz w:val="24"/>
          <w:szCs w:val="28"/>
          <w:rtl/>
        </w:rPr>
        <w:t xml:space="preserve"> ،</w:t>
      </w:r>
      <w:r w:rsidRPr="00DC0143">
        <w:rPr>
          <w:rFonts w:cs="Traditional Arabic" w:hint="cs"/>
          <w:color w:val="000000"/>
          <w:sz w:val="24"/>
          <w:szCs w:val="28"/>
          <w:rtl/>
        </w:rPr>
        <w:t xml:space="preserve"> حتى لا يعرض المدين إلى الإرهاق والعنت من جراء هذا التدخل</w:t>
      </w:r>
      <w:r>
        <w:rPr>
          <w:rFonts w:cs="Traditional Arabic" w:hint="cs"/>
          <w:color w:val="000000"/>
          <w:sz w:val="24"/>
          <w:szCs w:val="28"/>
          <w:rtl/>
        </w:rPr>
        <w:t xml:space="preserve"> .</w:t>
      </w:r>
      <w:r w:rsidRPr="00DC0143">
        <w:rPr>
          <w:rFonts w:cs="Traditional Arabic" w:hint="cs"/>
          <w:color w:val="000000"/>
          <w:sz w:val="24"/>
          <w:szCs w:val="28"/>
          <w:rtl/>
        </w:rPr>
        <w:t xml:space="preserve"> ووافقت اللجنة على النص بعد هذا التعديل</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1047</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المادة كما عدلتها لجنته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48 </w:t>
      </w:r>
      <w:r w:rsidRPr="00DC0143">
        <w:rPr>
          <w:rFonts w:cs="Traditional Arabic"/>
          <w:color w:val="000000"/>
          <w:sz w:val="24"/>
          <w:szCs w:val="28"/>
          <w:rtl/>
        </w:rPr>
        <w:t>–</w:t>
      </w:r>
      <w:r w:rsidRPr="00DC0143">
        <w:rPr>
          <w:rFonts w:cs="Traditional Arabic" w:hint="cs"/>
          <w:color w:val="000000"/>
          <w:sz w:val="24"/>
          <w:szCs w:val="28"/>
          <w:rtl/>
        </w:rPr>
        <w:t xml:space="preserve"> ص 50</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4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وكان المشروع التمهيدي يتضمن نصا</w:t>
      </w:r>
      <w:r>
        <w:rPr>
          <w:rFonts w:cs="Traditional Arabic" w:hint="cs"/>
          <w:color w:val="000000"/>
          <w:sz w:val="24"/>
          <w:szCs w:val="28"/>
          <w:rtl/>
        </w:rPr>
        <w:t xml:space="preserve"> ،</w:t>
      </w:r>
      <w:r w:rsidRPr="00DC0143">
        <w:rPr>
          <w:rFonts w:cs="Traditional Arabic" w:hint="cs"/>
          <w:color w:val="000000"/>
          <w:sz w:val="24"/>
          <w:szCs w:val="28"/>
          <w:rtl/>
        </w:rPr>
        <w:t xml:space="preserve"> هو المادة 1456 من هذا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يجري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"إذا تصرف الراهن في شيء من العناصر التي يتكون منها العقار المرهون أو في شيء من ملحقاته إلى شخص حسن النية</w:t>
      </w:r>
      <w:r>
        <w:rPr>
          <w:rFonts w:cs="Traditional Arabic" w:hint="cs"/>
          <w:color w:val="000000"/>
          <w:sz w:val="24"/>
          <w:szCs w:val="28"/>
          <w:rtl/>
        </w:rPr>
        <w:t xml:space="preserve"> ،</w:t>
      </w:r>
      <w:r w:rsidRPr="00DC0143">
        <w:rPr>
          <w:rFonts w:cs="Traditional Arabic" w:hint="cs"/>
          <w:color w:val="000000"/>
          <w:sz w:val="24"/>
          <w:szCs w:val="28"/>
          <w:rtl/>
        </w:rPr>
        <w:t xml:space="preserve"> وتم النقل والتسليم</w:t>
      </w:r>
      <w:r>
        <w:rPr>
          <w:rFonts w:cs="Traditional Arabic" w:hint="cs"/>
          <w:color w:val="000000"/>
          <w:sz w:val="24"/>
          <w:szCs w:val="28"/>
          <w:rtl/>
        </w:rPr>
        <w:t xml:space="preserve"> ،</w:t>
      </w:r>
      <w:r w:rsidRPr="00DC0143">
        <w:rPr>
          <w:rFonts w:cs="Traditional Arabic" w:hint="cs"/>
          <w:color w:val="000000"/>
          <w:sz w:val="24"/>
          <w:szCs w:val="28"/>
          <w:rtl/>
        </w:rPr>
        <w:t xml:space="preserve"> فإن هذا الشيء ينتقل خالصاً من حق الرهن</w:t>
      </w:r>
      <w:r>
        <w:rPr>
          <w:rFonts w:cs="Traditional Arabic" w:hint="cs"/>
          <w:color w:val="000000"/>
          <w:sz w:val="24"/>
          <w:szCs w:val="28"/>
          <w:rtl/>
        </w:rPr>
        <w:t xml:space="preserve"> ،</w:t>
      </w:r>
      <w:r w:rsidRPr="00DC0143">
        <w:rPr>
          <w:rFonts w:cs="Traditional Arabic" w:hint="cs"/>
          <w:color w:val="000000"/>
          <w:sz w:val="24"/>
          <w:szCs w:val="28"/>
          <w:rtl/>
        </w:rPr>
        <w:t xml:space="preserve"> ويكون للدائن المرتهن في هذه الحالة حق الرجوع على الراهن بالضمان وفقا للمادة السابقة"</w:t>
      </w:r>
      <w:r>
        <w:rPr>
          <w:rFonts w:cs="Traditional Arabic" w:hint="cs"/>
          <w:color w:val="000000"/>
          <w:sz w:val="24"/>
          <w:szCs w:val="28"/>
          <w:rtl/>
        </w:rPr>
        <w:t xml:space="preserve"> .</w:t>
      </w:r>
      <w:r w:rsidRPr="00DC0143">
        <w:rPr>
          <w:rFonts w:cs="Traditional Arabic" w:hint="cs"/>
          <w:color w:val="000000"/>
          <w:sz w:val="24"/>
          <w:szCs w:val="28"/>
          <w:rtl/>
        </w:rPr>
        <w:t xml:space="preserve"> وقد حذفت لجنة المراجعة هذا النص</w:t>
      </w:r>
      <w:r>
        <w:rPr>
          <w:rFonts w:cs="Traditional Arabic" w:hint="cs"/>
          <w:color w:val="000000"/>
          <w:sz w:val="24"/>
          <w:szCs w:val="28"/>
          <w:rtl/>
        </w:rPr>
        <w:t xml:space="preserve"> ،</w:t>
      </w:r>
      <w:r w:rsidRPr="00DC0143">
        <w:rPr>
          <w:rFonts w:cs="Traditional Arabic" w:hint="cs"/>
          <w:color w:val="000000"/>
          <w:sz w:val="24"/>
          <w:szCs w:val="28"/>
          <w:rtl/>
        </w:rPr>
        <w:t xml:space="preserve"> "اكتفاء بالقواعد العامة"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48 في الهامش</w:t>
      </w:r>
      <w:r>
        <w:rPr>
          <w:rFonts w:cs="Traditional Arabic" w:hint="cs"/>
          <w:color w:val="000000"/>
          <w:sz w:val="24"/>
          <w:szCs w:val="28"/>
          <w:rtl/>
        </w:rPr>
        <w:t xml:space="preserve"> ) .</w:t>
      </w:r>
    </w:p>
  </w:footnote>
  <w:footnote w:id="84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"ويلتزم </w:t>
      </w:r>
      <w:r>
        <w:rPr>
          <w:rFonts w:cs="Traditional Arabic" w:hint="cs"/>
          <w:color w:val="000000"/>
          <w:sz w:val="24"/>
          <w:szCs w:val="28"/>
          <w:rtl/>
        </w:rPr>
        <w:t xml:space="preserve">( </w:t>
      </w:r>
      <w:r w:rsidRPr="00DC0143">
        <w:rPr>
          <w:rFonts w:cs="Traditional Arabic" w:hint="cs"/>
          <w:color w:val="000000"/>
          <w:sz w:val="24"/>
          <w:szCs w:val="28"/>
          <w:rtl/>
        </w:rPr>
        <w:t>الراهن</w:t>
      </w:r>
      <w:r>
        <w:rPr>
          <w:rFonts w:cs="Traditional Arabic" w:hint="cs"/>
          <w:color w:val="000000"/>
          <w:sz w:val="24"/>
          <w:szCs w:val="28"/>
          <w:rtl/>
        </w:rPr>
        <w:t xml:space="preserve"> ) ،</w:t>
      </w:r>
      <w:r w:rsidRPr="00DC0143">
        <w:rPr>
          <w:rFonts w:cs="Traditional Arabic" w:hint="cs"/>
          <w:color w:val="000000"/>
          <w:sz w:val="24"/>
          <w:szCs w:val="28"/>
          <w:rtl/>
        </w:rPr>
        <w:t xml:space="preserve"> كالبائع أيضاً</w:t>
      </w:r>
      <w:r>
        <w:rPr>
          <w:rFonts w:cs="Traditional Arabic" w:hint="cs"/>
          <w:color w:val="000000"/>
          <w:sz w:val="24"/>
          <w:szCs w:val="28"/>
          <w:rtl/>
        </w:rPr>
        <w:t xml:space="preserve"> ،</w:t>
      </w:r>
      <w:r w:rsidRPr="00DC0143">
        <w:rPr>
          <w:rFonts w:cs="Traditional Arabic" w:hint="cs"/>
          <w:color w:val="000000"/>
          <w:sz w:val="24"/>
          <w:szCs w:val="28"/>
          <w:rtl/>
        </w:rPr>
        <w:t xml:space="preserve"> بضمان التعرض والاستحقاق</w:t>
      </w:r>
      <w:r>
        <w:rPr>
          <w:rFonts w:cs="Traditional Arabic" w:hint="cs"/>
          <w:color w:val="000000"/>
          <w:sz w:val="24"/>
          <w:szCs w:val="28"/>
          <w:rtl/>
        </w:rPr>
        <w:t xml:space="preserve"> .</w:t>
      </w:r>
      <w:r w:rsidRPr="00DC0143">
        <w:rPr>
          <w:rFonts w:cs="Traditional Arabic" w:hint="cs"/>
          <w:color w:val="000000"/>
          <w:sz w:val="24"/>
          <w:szCs w:val="28"/>
          <w:rtl/>
        </w:rPr>
        <w:t xml:space="preserve"> فلا يجوز له أن يقوم بأي عمل يكون من شانه إنقاص ضمان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كأن يخرب العقار المرهون أو أن يتركه يتخرب</w:t>
      </w:r>
      <w:r>
        <w:rPr>
          <w:rFonts w:cs="Traditional Arabic" w:hint="cs"/>
          <w:color w:val="000000"/>
          <w:sz w:val="24"/>
          <w:szCs w:val="28"/>
          <w:rtl/>
        </w:rPr>
        <w:t xml:space="preserve"> .</w:t>
      </w:r>
      <w:r w:rsidRPr="00DC0143">
        <w:rPr>
          <w:rFonts w:cs="Traditional Arabic" w:hint="cs"/>
          <w:color w:val="000000"/>
          <w:sz w:val="24"/>
          <w:szCs w:val="28"/>
          <w:rtl/>
        </w:rPr>
        <w:t xml:space="preserve"> وللدائن المرتهن أن يتخذ ما يلزم من الوسائل التحفظية</w:t>
      </w:r>
      <w:r>
        <w:rPr>
          <w:rFonts w:cs="Traditional Arabic" w:hint="cs"/>
          <w:color w:val="000000"/>
          <w:sz w:val="24"/>
          <w:szCs w:val="28"/>
          <w:rtl/>
        </w:rPr>
        <w:t xml:space="preserve"> ،</w:t>
      </w:r>
      <w:r w:rsidRPr="00DC0143">
        <w:rPr>
          <w:rFonts w:cs="Traditional Arabic" w:hint="cs"/>
          <w:color w:val="000000"/>
          <w:sz w:val="24"/>
          <w:szCs w:val="28"/>
          <w:rtl/>
        </w:rPr>
        <w:t xml:space="preserve"> كأن يقيم حارسا ويرجع على الراهن بما أنفق</w:t>
      </w:r>
      <w:r>
        <w:rPr>
          <w:rFonts w:cs="Traditional Arabic" w:hint="cs"/>
          <w:color w:val="000000"/>
          <w:sz w:val="24"/>
          <w:szCs w:val="28"/>
          <w:rtl/>
        </w:rPr>
        <w:t xml:space="preserve"> .</w:t>
      </w:r>
      <w:r w:rsidRPr="00DC0143">
        <w:rPr>
          <w:rFonts w:cs="Traditional Arabic" w:hint="cs"/>
          <w:color w:val="000000"/>
          <w:sz w:val="24"/>
          <w:szCs w:val="28"/>
          <w:rtl/>
        </w:rPr>
        <w:t xml:space="preserve"> وإذا نزع الراهن شيئا من العقار المرهون أو من ملحقاته</w:t>
      </w:r>
      <w:r>
        <w:rPr>
          <w:rFonts w:cs="Traditional Arabic" w:hint="cs"/>
          <w:color w:val="000000"/>
          <w:sz w:val="24"/>
          <w:szCs w:val="28"/>
          <w:rtl/>
        </w:rPr>
        <w:t xml:space="preserve"> ،</w:t>
      </w:r>
      <w:r w:rsidRPr="00DC0143">
        <w:rPr>
          <w:rFonts w:cs="Traditional Arabic" w:hint="cs"/>
          <w:color w:val="000000"/>
          <w:sz w:val="24"/>
          <w:szCs w:val="28"/>
          <w:rtl/>
        </w:rPr>
        <w:t xml:space="preserve"> كما إذا هدم جانبا منه وباع الأنقاض أو باع مواشي كانت قد خصصت لخدمة الأرض المرهونة</w:t>
      </w:r>
      <w:r>
        <w:rPr>
          <w:rFonts w:cs="Traditional Arabic" w:hint="cs"/>
          <w:color w:val="000000"/>
          <w:sz w:val="24"/>
          <w:szCs w:val="28"/>
          <w:rtl/>
        </w:rPr>
        <w:t xml:space="preserve"> ،</w:t>
      </w:r>
      <w:r w:rsidRPr="00DC0143">
        <w:rPr>
          <w:rFonts w:cs="Traditional Arabic" w:hint="cs"/>
          <w:color w:val="000000"/>
          <w:sz w:val="24"/>
          <w:szCs w:val="28"/>
          <w:rtl/>
        </w:rPr>
        <w:t xml:space="preserve"> فوقعت في حيازة مشتر حسن النية</w:t>
      </w:r>
      <w:r>
        <w:rPr>
          <w:rFonts w:cs="Traditional Arabic" w:hint="cs"/>
          <w:color w:val="000000"/>
          <w:sz w:val="24"/>
          <w:szCs w:val="28"/>
          <w:rtl/>
        </w:rPr>
        <w:t xml:space="preserve"> ،</w:t>
      </w:r>
      <w:r w:rsidRPr="00DC0143">
        <w:rPr>
          <w:rFonts w:cs="Traditional Arabic" w:hint="cs"/>
          <w:color w:val="000000"/>
          <w:sz w:val="24"/>
          <w:szCs w:val="28"/>
          <w:rtl/>
        </w:rPr>
        <w:t xml:space="preserve"> ملكها بالحيازة خالصة من الرهن</w:t>
      </w:r>
      <w:r>
        <w:rPr>
          <w:rFonts w:cs="Traditional Arabic" w:hint="cs"/>
          <w:color w:val="000000"/>
          <w:sz w:val="24"/>
          <w:szCs w:val="28"/>
          <w:rtl/>
        </w:rPr>
        <w:t xml:space="preserve"> ،</w:t>
      </w:r>
      <w:r w:rsidRPr="00DC0143">
        <w:rPr>
          <w:rFonts w:cs="Traditional Arabic" w:hint="cs"/>
          <w:color w:val="000000"/>
          <w:sz w:val="24"/>
          <w:szCs w:val="28"/>
          <w:rtl/>
        </w:rPr>
        <w:t xml:space="preserve"> ويكون للدائن المرتهن حق الرجوع على الراهن بالضمان</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لم يتسلمها المشتري أو تسلمها وهو سيء النية</w:t>
      </w:r>
      <w:r>
        <w:rPr>
          <w:rFonts w:cs="Traditional Arabic" w:hint="cs"/>
          <w:color w:val="000000"/>
          <w:sz w:val="24"/>
          <w:szCs w:val="28"/>
          <w:rtl/>
        </w:rPr>
        <w:t xml:space="preserve"> ،</w:t>
      </w:r>
      <w:r w:rsidRPr="00DC0143">
        <w:rPr>
          <w:rFonts w:cs="Traditional Arabic" w:hint="cs"/>
          <w:color w:val="000000"/>
          <w:sz w:val="24"/>
          <w:szCs w:val="28"/>
          <w:rtl/>
        </w:rPr>
        <w:t xml:space="preserve"> فإنها تبقى مثقلة بحق الرهن"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49</w:t>
      </w:r>
      <w:r>
        <w:rPr>
          <w:rFonts w:cs="Traditional Arabic" w:hint="cs"/>
          <w:color w:val="000000"/>
          <w:sz w:val="24"/>
          <w:szCs w:val="28"/>
          <w:rtl/>
        </w:rPr>
        <w:t xml:space="preserve"> ) .</w:t>
      </w:r>
    </w:p>
  </w:footnote>
  <w:footnote w:id="84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1457 من المشروع التمهيدي على وجه يكاد يكون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بعد استبدال عبارة "بسبب أجنبي ولم يقبل الدائن بقاء المدين بلا تأمين" بعبارة "حادث قهري" في الفقرة الثانية</w:t>
      </w:r>
      <w:r>
        <w:rPr>
          <w:rFonts w:cs="Traditional Arabic" w:hint="cs"/>
          <w:color w:val="000000"/>
          <w:sz w:val="24"/>
          <w:szCs w:val="28"/>
          <w:rtl/>
        </w:rPr>
        <w:t xml:space="preserve"> ،</w:t>
      </w:r>
      <w:r w:rsidRPr="00DC0143">
        <w:rPr>
          <w:rFonts w:cs="Traditional Arabic" w:hint="cs"/>
          <w:color w:val="000000"/>
          <w:sz w:val="24"/>
          <w:szCs w:val="28"/>
          <w:rtl/>
        </w:rPr>
        <w:t xml:space="preserve"> فأصبح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وصار رقمه 1143 في المشروع لانهائي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1129 </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1048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51 ص 53</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562 / 686</w:t>
      </w:r>
      <w:r>
        <w:rPr>
          <w:rFonts w:cs="Traditional Arabic" w:hint="cs"/>
          <w:color w:val="000000"/>
          <w:sz w:val="24"/>
          <w:szCs w:val="28"/>
          <w:rtl/>
        </w:rPr>
        <w:t xml:space="preserve"> :</w:t>
      </w:r>
      <w:r w:rsidRPr="00DC0143">
        <w:rPr>
          <w:rFonts w:cs="Traditional Arabic" w:hint="cs"/>
          <w:color w:val="000000"/>
          <w:sz w:val="24"/>
          <w:szCs w:val="28"/>
          <w:rtl/>
        </w:rPr>
        <w:t xml:space="preserve"> إذا هلك العقار المرهون على المدين أو حصل فيه خلل بحادثة قهرية أوجبت الشك في كفايته للتأمين</w:t>
      </w:r>
      <w:r>
        <w:rPr>
          <w:rFonts w:cs="Traditional Arabic" w:hint="cs"/>
          <w:color w:val="000000"/>
          <w:sz w:val="24"/>
          <w:szCs w:val="28"/>
          <w:rtl/>
        </w:rPr>
        <w:t xml:space="preserve"> ،</w:t>
      </w:r>
      <w:r w:rsidRPr="00DC0143">
        <w:rPr>
          <w:rFonts w:cs="Traditional Arabic" w:hint="cs"/>
          <w:color w:val="000000"/>
          <w:sz w:val="24"/>
          <w:szCs w:val="28"/>
          <w:rtl/>
        </w:rPr>
        <w:t xml:space="preserve"> فعلى المدين أن يرهن عقاراً غيره كافيا للتأمين أو أن يؤدي الدين قبل حلول أجله</w:t>
      </w:r>
      <w:r>
        <w:rPr>
          <w:rFonts w:cs="Traditional Arabic" w:hint="cs"/>
          <w:color w:val="000000"/>
          <w:sz w:val="24"/>
          <w:szCs w:val="28"/>
          <w:rtl/>
        </w:rPr>
        <w:t xml:space="preserve"> ،</w:t>
      </w:r>
      <w:r w:rsidRPr="00DC0143">
        <w:rPr>
          <w:rFonts w:cs="Traditional Arabic" w:hint="cs"/>
          <w:color w:val="000000"/>
          <w:sz w:val="24"/>
          <w:szCs w:val="28"/>
          <w:rtl/>
        </w:rPr>
        <w:t xml:space="preserve"> وله الخيار في ذلك</w:t>
      </w:r>
      <w:r>
        <w:rPr>
          <w:rFonts w:cs="Traditional Arabic" w:hint="cs"/>
          <w:color w:val="000000"/>
          <w:sz w:val="24"/>
          <w:szCs w:val="28"/>
          <w:rtl/>
        </w:rPr>
        <w:t xml:space="preserve"> .</w:t>
      </w:r>
      <w:r w:rsidRPr="00DC0143">
        <w:rPr>
          <w:rFonts w:cs="Traditional Arabic" w:hint="cs"/>
          <w:color w:val="000000"/>
          <w:sz w:val="24"/>
          <w:szCs w:val="28"/>
          <w:rtl/>
        </w:rPr>
        <w:t xml:space="preserve"> ويكون الخيار لرب الدين</w:t>
      </w:r>
      <w:r>
        <w:rPr>
          <w:rFonts w:cs="Traditional Arabic" w:hint="cs"/>
          <w:color w:val="000000"/>
          <w:sz w:val="24"/>
          <w:szCs w:val="28"/>
          <w:rtl/>
        </w:rPr>
        <w:t xml:space="preserve"> ،</w:t>
      </w:r>
      <w:r w:rsidRPr="00DC0143">
        <w:rPr>
          <w:rFonts w:cs="Traditional Arabic" w:hint="cs"/>
          <w:color w:val="000000"/>
          <w:sz w:val="24"/>
          <w:szCs w:val="28"/>
          <w:rtl/>
        </w:rPr>
        <w:t xml:space="preserve"> إذا كان الهلاك أو الخلل حاصلا بتقصير المدين أو الحائز للعقار</w:t>
      </w:r>
      <w:r>
        <w:rPr>
          <w:rFonts w:cs="Traditional Arabic" w:hint="cs"/>
          <w:color w:val="000000"/>
          <w:sz w:val="24"/>
          <w:szCs w:val="28"/>
          <w:rtl/>
        </w:rPr>
        <w:t xml:space="preserve"> .</w:t>
      </w:r>
    </w:p>
  </w:footnote>
  <w:footnote w:id="84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"فإن هلك العقار أو تلف بخطأ الراهن</w:t>
      </w:r>
      <w:r>
        <w:rPr>
          <w:rFonts w:cs="Traditional Arabic" w:hint="cs"/>
          <w:color w:val="000000"/>
          <w:sz w:val="24"/>
          <w:szCs w:val="28"/>
          <w:rtl/>
        </w:rPr>
        <w:t xml:space="preserve"> ،</w:t>
      </w:r>
      <w:r w:rsidRPr="00DC0143">
        <w:rPr>
          <w:rFonts w:cs="Traditional Arabic" w:hint="cs"/>
          <w:color w:val="000000"/>
          <w:sz w:val="24"/>
          <w:szCs w:val="28"/>
          <w:rtl/>
        </w:rPr>
        <w:t xml:space="preserve"> كان الدائن المرتهن مخبراً بين اعتبار حقه قد حل فوراً فيقتضيه</w:t>
      </w:r>
      <w:r>
        <w:rPr>
          <w:rFonts w:cs="Traditional Arabic" w:hint="cs"/>
          <w:color w:val="000000"/>
          <w:sz w:val="24"/>
          <w:szCs w:val="28"/>
          <w:rtl/>
        </w:rPr>
        <w:t xml:space="preserve"> ،</w:t>
      </w:r>
      <w:r w:rsidRPr="00DC0143">
        <w:rPr>
          <w:rFonts w:cs="Traditional Arabic" w:hint="cs"/>
          <w:color w:val="000000"/>
          <w:sz w:val="24"/>
          <w:szCs w:val="28"/>
          <w:rtl/>
        </w:rPr>
        <w:t xml:space="preserve"> أو قانون الملكية العقارية اللبناني م تأمين كافٍ يحل محل العقار المرهون"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52</w:t>
      </w:r>
      <w:r>
        <w:rPr>
          <w:rFonts w:cs="Traditional Arabic" w:hint="cs"/>
          <w:color w:val="000000"/>
          <w:sz w:val="24"/>
          <w:szCs w:val="28"/>
          <w:rtl/>
        </w:rPr>
        <w:t xml:space="preserve"> ) .</w:t>
      </w:r>
    </w:p>
  </w:footnote>
  <w:footnote w:id="84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 الهلاك بخطأ الدائن المرتهن فليس له أن يطلب شيئاً</w:t>
      </w:r>
      <w:r>
        <w:rPr>
          <w:rFonts w:cs="Traditional Arabic" w:hint="cs"/>
          <w:color w:val="000000"/>
          <w:sz w:val="24"/>
          <w:szCs w:val="28"/>
          <w:rtl/>
        </w:rPr>
        <w:t xml:space="preserve"> ،</w:t>
      </w:r>
      <w:r w:rsidRPr="00DC0143">
        <w:rPr>
          <w:rFonts w:cs="Traditional Arabic" w:hint="cs"/>
          <w:color w:val="000000"/>
          <w:sz w:val="24"/>
          <w:szCs w:val="28"/>
          <w:rtl/>
        </w:rPr>
        <w:t xml:space="preserve"> بل يجب أن يدفع هو تعويضاً عما أتلفه بخطأه</w:t>
      </w:r>
      <w:r>
        <w:rPr>
          <w:rFonts w:cs="Traditional Arabic" w:hint="cs"/>
          <w:color w:val="000000"/>
          <w:sz w:val="24"/>
          <w:szCs w:val="28"/>
          <w:rtl/>
        </w:rPr>
        <w:t xml:space="preserve"> ،</w:t>
      </w:r>
      <w:r w:rsidRPr="00DC0143">
        <w:rPr>
          <w:rFonts w:cs="Traditional Arabic" w:hint="cs"/>
          <w:color w:val="000000"/>
          <w:sz w:val="24"/>
          <w:szCs w:val="28"/>
          <w:rtl/>
        </w:rPr>
        <w:t xml:space="preserve"> وينتقل حق الرهن إلى هذا التعويض"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52 </w:t>
      </w:r>
      <w:r w:rsidRPr="00DC0143">
        <w:rPr>
          <w:rFonts w:cs="Traditional Arabic"/>
          <w:color w:val="000000"/>
          <w:sz w:val="24"/>
          <w:szCs w:val="28"/>
          <w:rtl/>
        </w:rPr>
        <w:t>–</w:t>
      </w:r>
      <w:r w:rsidRPr="00DC0143">
        <w:rPr>
          <w:rFonts w:cs="Traditional Arabic" w:hint="cs"/>
          <w:color w:val="000000"/>
          <w:sz w:val="24"/>
          <w:szCs w:val="28"/>
          <w:rtl/>
        </w:rPr>
        <w:t xml:space="preserve"> ص 53</w:t>
      </w:r>
      <w:r>
        <w:rPr>
          <w:rFonts w:cs="Traditional Arabic" w:hint="cs"/>
          <w:color w:val="000000"/>
          <w:sz w:val="24"/>
          <w:szCs w:val="28"/>
          <w:rtl/>
        </w:rPr>
        <w:t xml:space="preserve"> ) .</w:t>
      </w:r>
    </w:p>
  </w:footnote>
  <w:footnote w:id="84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ولا تستنزل فوائد الدين في الفرض الأول</w:t>
      </w:r>
      <w:r>
        <w:rPr>
          <w:rFonts w:cs="Traditional Arabic" w:hint="cs"/>
          <w:color w:val="000000"/>
          <w:sz w:val="24"/>
          <w:szCs w:val="28"/>
          <w:rtl/>
        </w:rPr>
        <w:t xml:space="preserve"> ،</w:t>
      </w:r>
      <w:r w:rsidRPr="00DC0143">
        <w:rPr>
          <w:rFonts w:cs="Traditional Arabic" w:hint="cs"/>
          <w:color w:val="000000"/>
          <w:sz w:val="24"/>
          <w:szCs w:val="28"/>
          <w:rtl/>
        </w:rPr>
        <w:t xml:space="preserve"> إذا كان الهلاك أو التلف بخطأ المدين</w:t>
      </w:r>
      <w:r>
        <w:rPr>
          <w:rFonts w:cs="Traditional Arabic" w:hint="cs"/>
          <w:color w:val="000000"/>
          <w:sz w:val="24"/>
          <w:szCs w:val="28"/>
          <w:rtl/>
        </w:rPr>
        <w:t xml:space="preserve"> ،</w:t>
      </w:r>
      <w:r w:rsidRPr="00DC0143">
        <w:rPr>
          <w:rFonts w:cs="Traditional Arabic" w:hint="cs"/>
          <w:color w:val="000000"/>
          <w:sz w:val="24"/>
          <w:szCs w:val="28"/>
          <w:rtl/>
        </w:rPr>
        <w:t xml:space="preserve"> بل إن الدائن المرتهن إذا اختار استيفاء الدين</w:t>
      </w:r>
      <w:r>
        <w:rPr>
          <w:rFonts w:cs="Traditional Arabic" w:hint="cs"/>
          <w:color w:val="000000"/>
          <w:sz w:val="24"/>
          <w:szCs w:val="28"/>
          <w:rtl/>
        </w:rPr>
        <w:t xml:space="preserve"> ،</w:t>
      </w:r>
      <w:r w:rsidRPr="00DC0143">
        <w:rPr>
          <w:rFonts w:cs="Traditional Arabic" w:hint="cs"/>
          <w:color w:val="000000"/>
          <w:sz w:val="24"/>
          <w:szCs w:val="28"/>
          <w:rtl/>
        </w:rPr>
        <w:t xml:space="preserve"> استوفاه دون أن يستنزل منه شيئاً في مقابل الفوائد</w:t>
      </w:r>
      <w:r>
        <w:rPr>
          <w:rFonts w:cs="Traditional Arabic" w:hint="cs"/>
          <w:color w:val="000000"/>
          <w:sz w:val="24"/>
          <w:szCs w:val="28"/>
          <w:rtl/>
        </w:rPr>
        <w:t xml:space="preserve"> ،</w:t>
      </w:r>
      <w:r w:rsidRPr="00DC0143">
        <w:rPr>
          <w:rFonts w:cs="Traditional Arabic" w:hint="cs"/>
          <w:color w:val="000000"/>
          <w:sz w:val="24"/>
          <w:szCs w:val="28"/>
          <w:rtl/>
        </w:rPr>
        <w:t xml:space="preserve"> وسبب ذلك أن الهلاك أو التلف كان بخطأ المدين </w:t>
      </w:r>
      <w:r>
        <w:rPr>
          <w:rFonts w:cs="Traditional Arabic" w:hint="cs"/>
          <w:color w:val="000000"/>
          <w:sz w:val="24"/>
          <w:szCs w:val="28"/>
          <w:rtl/>
        </w:rPr>
        <w:t xml:space="preserve">( </w:t>
      </w:r>
      <w:r w:rsidRPr="00DC0143">
        <w:rPr>
          <w:rFonts w:cs="Traditional Arabic" w:hint="cs"/>
          <w:color w:val="000000"/>
          <w:sz w:val="24"/>
          <w:szCs w:val="28"/>
          <w:rtl/>
        </w:rPr>
        <w:t xml:space="preserve">منصور مصطفى منصور فقرة 32 ص 83 </w:t>
      </w:r>
      <w:r w:rsidRPr="00DC0143">
        <w:rPr>
          <w:rFonts w:cs="Traditional Arabic"/>
          <w:color w:val="000000"/>
          <w:sz w:val="24"/>
          <w:szCs w:val="28"/>
          <w:rtl/>
        </w:rPr>
        <w:t>–</w:t>
      </w:r>
      <w:r w:rsidRPr="00DC0143">
        <w:rPr>
          <w:rFonts w:cs="Traditional Arabic" w:hint="cs"/>
          <w:color w:val="000000"/>
          <w:sz w:val="24"/>
          <w:szCs w:val="28"/>
          <w:rtl/>
        </w:rPr>
        <w:t xml:space="preserve"> ويرى أن المشرع قد راعى جانب الدائنالمرتهن أكثر مما يجب بعد السماح له باستنزال الفوائد</w:t>
      </w:r>
      <w:r>
        <w:rPr>
          <w:rFonts w:cs="Traditional Arabic" w:hint="cs"/>
          <w:color w:val="000000"/>
          <w:sz w:val="24"/>
          <w:szCs w:val="28"/>
          <w:rtl/>
        </w:rPr>
        <w:t xml:space="preserve"> :</w:t>
      </w:r>
      <w:r w:rsidRPr="00DC0143">
        <w:rPr>
          <w:rFonts w:cs="Traditional Arabic" w:hint="cs"/>
          <w:color w:val="000000"/>
          <w:sz w:val="24"/>
          <w:szCs w:val="28"/>
          <w:rtl/>
        </w:rPr>
        <w:t xml:space="preserve"> فقرة 32 ص 83</w:t>
      </w:r>
      <w:r>
        <w:rPr>
          <w:rFonts w:cs="Traditional Arabic" w:hint="cs"/>
          <w:color w:val="000000"/>
          <w:sz w:val="24"/>
          <w:szCs w:val="28"/>
          <w:rtl/>
        </w:rPr>
        <w:t xml:space="preserve"> ) .</w:t>
      </w:r>
    </w:p>
  </w:footnote>
  <w:footnote w:id="85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"وإذا كان الهلاك بسبب أجنبي</w:t>
      </w:r>
      <w:r>
        <w:rPr>
          <w:rFonts w:cs="Traditional Arabic" w:hint="cs"/>
          <w:color w:val="000000"/>
          <w:sz w:val="24"/>
          <w:szCs w:val="28"/>
          <w:rtl/>
        </w:rPr>
        <w:t xml:space="preserve"> ،</w:t>
      </w:r>
      <w:r w:rsidRPr="00DC0143">
        <w:rPr>
          <w:rFonts w:cs="Traditional Arabic" w:hint="cs"/>
          <w:color w:val="000000"/>
          <w:sz w:val="24"/>
          <w:szCs w:val="28"/>
          <w:rtl/>
        </w:rPr>
        <w:t xml:space="preserve"> كان المدين هو المخبر بين وفاء الدين فورا قبل حلول الأجل بعد انتقاصه الفائدة محسوبة بالسعر القانوني إذا لم تكن هناك فائدة اتفاقية أو تقديم تأمين كافٍ</w:t>
      </w:r>
      <w:r>
        <w:rPr>
          <w:rFonts w:cs="Traditional Arabic" w:hint="cs"/>
          <w:color w:val="000000"/>
          <w:sz w:val="24"/>
          <w:szCs w:val="28"/>
          <w:rtl/>
        </w:rPr>
        <w:t xml:space="preserve"> .</w:t>
      </w:r>
      <w:r w:rsidRPr="00DC0143">
        <w:rPr>
          <w:rFonts w:cs="Traditional Arabic" w:hint="cs"/>
          <w:color w:val="000000"/>
          <w:sz w:val="24"/>
          <w:szCs w:val="28"/>
          <w:rtl/>
        </w:rPr>
        <w:t xml:space="preserve"> وكل هذه الأحكام مع المبادئ الخاصة بسقوط الأجل ضعاف التأمينات"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53</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ونحن نفرض فيما تقدم أن الراهن هو المدين</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 الراهن غير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وهلك العقار المرهون أو تلف بسبب أجنبي</w:t>
      </w:r>
      <w:r>
        <w:rPr>
          <w:rFonts w:cs="Traditional Arabic" w:hint="cs"/>
          <w:color w:val="000000"/>
          <w:sz w:val="24"/>
          <w:szCs w:val="28"/>
          <w:rtl/>
        </w:rPr>
        <w:t xml:space="preserve"> ،</w:t>
      </w:r>
      <w:r w:rsidRPr="00DC0143">
        <w:rPr>
          <w:rFonts w:cs="Traditional Arabic" w:hint="cs"/>
          <w:color w:val="000000"/>
          <w:sz w:val="24"/>
          <w:szCs w:val="28"/>
          <w:rtl/>
        </w:rPr>
        <w:t xml:space="preserve"> اتفق الراهن والمدين على إسقاط أجل الدين وانتقاص الفوائد على النحو الذي قدمنا</w:t>
      </w:r>
      <w:r>
        <w:rPr>
          <w:rFonts w:cs="Traditional Arabic" w:hint="cs"/>
          <w:color w:val="000000"/>
          <w:sz w:val="24"/>
          <w:szCs w:val="28"/>
          <w:rtl/>
        </w:rPr>
        <w:t xml:space="preserve"> ،</w:t>
      </w:r>
      <w:r w:rsidRPr="00DC0143">
        <w:rPr>
          <w:rFonts w:cs="Traditional Arabic" w:hint="cs"/>
          <w:color w:val="000000"/>
          <w:sz w:val="24"/>
          <w:szCs w:val="28"/>
          <w:rtl/>
        </w:rPr>
        <w:t xml:space="preserve"> فإن ليم يتفقا على ذلك</w:t>
      </w:r>
      <w:r>
        <w:rPr>
          <w:rFonts w:cs="Traditional Arabic" w:hint="cs"/>
          <w:color w:val="000000"/>
          <w:sz w:val="24"/>
          <w:szCs w:val="28"/>
          <w:rtl/>
        </w:rPr>
        <w:t xml:space="preserve"> ،</w:t>
      </w:r>
      <w:r w:rsidRPr="00DC0143">
        <w:rPr>
          <w:rFonts w:cs="Traditional Arabic" w:hint="cs"/>
          <w:color w:val="000000"/>
          <w:sz w:val="24"/>
          <w:szCs w:val="28"/>
          <w:rtl/>
        </w:rPr>
        <w:t xml:space="preserve"> جاز للراهن أن يدفع هو الدين مع انتقاص الفوائد</w:t>
      </w:r>
      <w:r>
        <w:rPr>
          <w:rFonts w:cs="Traditional Arabic" w:hint="cs"/>
          <w:color w:val="000000"/>
          <w:sz w:val="24"/>
          <w:szCs w:val="28"/>
          <w:rtl/>
        </w:rPr>
        <w:t xml:space="preserve"> ،</w:t>
      </w:r>
      <w:r w:rsidRPr="00DC0143">
        <w:rPr>
          <w:rFonts w:cs="Traditional Arabic" w:hint="cs"/>
          <w:color w:val="000000"/>
          <w:sz w:val="24"/>
          <w:szCs w:val="28"/>
          <w:rtl/>
        </w:rPr>
        <w:t xml:space="preserve"> ويرجع بالدين كاملا عند حلول أجله الأصلي على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فإن لم يفعل الراهن ذلك</w:t>
      </w:r>
      <w:r>
        <w:rPr>
          <w:rFonts w:cs="Traditional Arabic" w:hint="cs"/>
          <w:color w:val="000000"/>
          <w:sz w:val="24"/>
          <w:szCs w:val="28"/>
          <w:rtl/>
        </w:rPr>
        <w:t xml:space="preserve"> ،</w:t>
      </w:r>
      <w:r w:rsidRPr="00DC0143">
        <w:rPr>
          <w:rFonts w:cs="Traditional Arabic" w:hint="cs"/>
          <w:color w:val="000000"/>
          <w:sz w:val="24"/>
          <w:szCs w:val="28"/>
          <w:rtl/>
        </w:rPr>
        <w:t xml:space="preserve"> وجب عليه أن يقدم تأمينا كافيا بدلا من التأمين الهالك أو التالف</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وإذا كمان الغير هو الذي تسبب بخطأه في الهلاك أو التلف</w:t>
      </w:r>
      <w:r>
        <w:rPr>
          <w:rFonts w:cs="Traditional Arabic" w:hint="cs"/>
          <w:color w:val="000000"/>
          <w:sz w:val="24"/>
          <w:szCs w:val="28"/>
          <w:rtl/>
        </w:rPr>
        <w:t xml:space="preserve"> ،</w:t>
      </w:r>
      <w:r w:rsidRPr="00DC0143">
        <w:rPr>
          <w:rFonts w:cs="Traditional Arabic" w:hint="cs"/>
          <w:color w:val="000000"/>
          <w:sz w:val="24"/>
          <w:szCs w:val="28"/>
          <w:rtl/>
        </w:rPr>
        <w:t xml:space="preserve"> ففيما بين الراهن والدائن المرتهن يكون هذا هو الحكم</w:t>
      </w:r>
      <w:r>
        <w:rPr>
          <w:rFonts w:cs="Traditional Arabic" w:hint="cs"/>
          <w:color w:val="000000"/>
          <w:sz w:val="24"/>
          <w:szCs w:val="28"/>
          <w:rtl/>
        </w:rPr>
        <w:t xml:space="preserve"> .</w:t>
      </w:r>
      <w:r w:rsidRPr="00DC0143">
        <w:rPr>
          <w:rFonts w:cs="Traditional Arabic" w:hint="cs"/>
          <w:color w:val="000000"/>
          <w:sz w:val="24"/>
          <w:szCs w:val="28"/>
          <w:rtl/>
        </w:rPr>
        <w:t xml:space="preserve"> أما فيما بين الراهن والغير الذي تسبب بخطأه في الهلاك أو التلف</w:t>
      </w:r>
      <w:r>
        <w:rPr>
          <w:rFonts w:cs="Traditional Arabic" w:hint="cs"/>
          <w:color w:val="000000"/>
          <w:sz w:val="24"/>
          <w:szCs w:val="28"/>
          <w:rtl/>
        </w:rPr>
        <w:t xml:space="preserve"> ،</w:t>
      </w:r>
      <w:r w:rsidRPr="00DC0143">
        <w:rPr>
          <w:rFonts w:cs="Traditional Arabic" w:hint="cs"/>
          <w:color w:val="000000"/>
          <w:sz w:val="24"/>
          <w:szCs w:val="28"/>
          <w:rtl/>
        </w:rPr>
        <w:t xml:space="preserve"> يرجع الراهن على الغير بالتعويض بناء على قواعد المسئولية التقصيرية</w:t>
      </w:r>
      <w:r>
        <w:rPr>
          <w:rFonts w:cs="Traditional Arabic" w:hint="cs"/>
          <w:color w:val="000000"/>
          <w:sz w:val="24"/>
          <w:szCs w:val="28"/>
          <w:rtl/>
        </w:rPr>
        <w:t xml:space="preserve"> .</w:t>
      </w:r>
    </w:p>
  </w:footnote>
  <w:footnote w:id="85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32 ص 81 </w:t>
      </w:r>
      <w:r w:rsidRPr="00DC0143">
        <w:rPr>
          <w:rFonts w:cs="Traditional Arabic"/>
          <w:color w:val="000000"/>
          <w:sz w:val="24"/>
          <w:szCs w:val="28"/>
          <w:rtl/>
        </w:rPr>
        <w:t>–</w:t>
      </w:r>
      <w:r w:rsidRPr="00DC0143">
        <w:rPr>
          <w:rFonts w:cs="Traditional Arabic" w:hint="cs"/>
          <w:color w:val="000000"/>
          <w:sz w:val="24"/>
          <w:szCs w:val="28"/>
          <w:rtl/>
        </w:rPr>
        <w:t xml:space="preserve"> ص 82</w:t>
      </w:r>
      <w:r>
        <w:rPr>
          <w:rFonts w:cs="Traditional Arabic" w:hint="cs"/>
          <w:color w:val="000000"/>
          <w:sz w:val="24"/>
          <w:szCs w:val="28"/>
          <w:rtl/>
        </w:rPr>
        <w:t xml:space="preserve"> .</w:t>
      </w:r>
    </w:p>
  </w:footnote>
  <w:footnote w:id="85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1458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"إذا هلك العقار المرهون أو تلف لأي سبب كان</w:t>
      </w:r>
      <w:r>
        <w:rPr>
          <w:rFonts w:cs="Traditional Arabic" w:hint="cs"/>
          <w:color w:val="000000"/>
          <w:sz w:val="24"/>
          <w:szCs w:val="28"/>
          <w:rtl/>
        </w:rPr>
        <w:t xml:space="preserve"> ،</w:t>
      </w:r>
      <w:r w:rsidRPr="00DC0143">
        <w:rPr>
          <w:rFonts w:cs="Traditional Arabic" w:hint="cs"/>
          <w:color w:val="000000"/>
          <w:sz w:val="24"/>
          <w:szCs w:val="28"/>
          <w:rtl/>
        </w:rPr>
        <w:t xml:space="preserve"> انتقل الرهن إلى الحق الذي حل محل العقار</w:t>
      </w:r>
      <w:r>
        <w:rPr>
          <w:rFonts w:cs="Traditional Arabic" w:hint="cs"/>
          <w:color w:val="000000"/>
          <w:sz w:val="24"/>
          <w:szCs w:val="28"/>
          <w:rtl/>
        </w:rPr>
        <w:t xml:space="preserve"> ،</w:t>
      </w:r>
      <w:r w:rsidRPr="00DC0143">
        <w:rPr>
          <w:rFonts w:cs="Traditional Arabic" w:hint="cs"/>
          <w:color w:val="000000"/>
          <w:sz w:val="24"/>
          <w:szCs w:val="28"/>
          <w:rtl/>
        </w:rPr>
        <w:t xml:space="preserve"> كالتعويض أو التأمين أو الثمن الذي رسا به المزاد أو ثمن الملحقات التي تم تسليمها</w:t>
      </w:r>
      <w:r>
        <w:rPr>
          <w:rFonts w:cs="Traditional Arabic" w:hint="cs"/>
          <w:color w:val="000000"/>
          <w:sz w:val="24"/>
          <w:szCs w:val="28"/>
          <w:rtl/>
        </w:rPr>
        <w:t xml:space="preserve"> ،</w:t>
      </w:r>
      <w:r w:rsidRPr="00DC0143">
        <w:rPr>
          <w:rFonts w:cs="Traditional Arabic" w:hint="cs"/>
          <w:color w:val="000000"/>
          <w:sz w:val="24"/>
          <w:szCs w:val="28"/>
          <w:rtl/>
        </w:rPr>
        <w:t xml:space="preserve"> وللدائن أن يستوفي حقه بعد ذلك بحسب مرتبته" وقد عدلت لجنة المراجعة النص</w:t>
      </w:r>
      <w:r>
        <w:rPr>
          <w:rFonts w:cs="Traditional Arabic" w:hint="cs"/>
          <w:color w:val="000000"/>
          <w:sz w:val="24"/>
          <w:szCs w:val="28"/>
          <w:rtl/>
        </w:rPr>
        <w:t xml:space="preserve"> ،</w:t>
      </w:r>
      <w:r w:rsidRPr="00DC0143">
        <w:rPr>
          <w:rFonts w:cs="Traditional Arabic" w:hint="cs"/>
          <w:color w:val="000000"/>
          <w:sz w:val="24"/>
          <w:szCs w:val="28"/>
          <w:rtl/>
        </w:rPr>
        <w:t xml:space="preserve"> فجعلته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وصار رقمه 1144 في المشروع النهائي ووافق عليه مجلس النواب تحت رقم 1130</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1049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54 </w:t>
      </w:r>
      <w:r w:rsidRPr="00DC0143">
        <w:rPr>
          <w:rFonts w:cs="Traditional Arabic"/>
          <w:color w:val="000000"/>
          <w:sz w:val="24"/>
          <w:szCs w:val="28"/>
          <w:rtl/>
        </w:rPr>
        <w:t>–</w:t>
      </w:r>
      <w:r w:rsidRPr="00DC0143">
        <w:rPr>
          <w:rFonts w:cs="Traditional Arabic" w:hint="cs"/>
          <w:color w:val="000000"/>
          <w:sz w:val="24"/>
          <w:szCs w:val="28"/>
          <w:rtl/>
        </w:rPr>
        <w:t xml:space="preserve"> ص 55</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567 / 691</w:t>
      </w:r>
      <w:r>
        <w:rPr>
          <w:rFonts w:cs="Traditional Arabic" w:hint="cs"/>
          <w:color w:val="000000"/>
          <w:sz w:val="24"/>
          <w:szCs w:val="28"/>
          <w:rtl/>
        </w:rPr>
        <w:t xml:space="preserve"> :</w:t>
      </w:r>
      <w:r w:rsidRPr="00DC0143">
        <w:rPr>
          <w:rFonts w:cs="Traditional Arabic" w:hint="cs"/>
          <w:color w:val="000000"/>
          <w:sz w:val="24"/>
          <w:szCs w:val="28"/>
          <w:rtl/>
        </w:rPr>
        <w:t xml:space="preserve"> يستوفي أرباب الرهون العقارية مطلوباتهم من ثم العقار المرهون أو من مبلغ تأمينه من الحريق إذا احترق</w:t>
      </w:r>
      <w:r>
        <w:rPr>
          <w:rFonts w:cs="Traditional Arabic" w:hint="cs"/>
          <w:color w:val="000000"/>
          <w:sz w:val="24"/>
          <w:szCs w:val="28"/>
          <w:rtl/>
        </w:rPr>
        <w:t xml:space="preserve"> ،</w:t>
      </w:r>
      <w:r w:rsidRPr="00DC0143">
        <w:rPr>
          <w:rFonts w:cs="Traditional Arabic" w:hint="cs"/>
          <w:color w:val="000000"/>
          <w:sz w:val="24"/>
          <w:szCs w:val="28"/>
          <w:rtl/>
        </w:rPr>
        <w:t xml:space="preserve"> ويكون استيفاؤهم ذلك بحسب ترتيبه تسجيلهم رهونهم في ويم واحد</w:t>
      </w:r>
      <w:r>
        <w:rPr>
          <w:rFonts w:cs="Traditional Arabic" w:hint="cs"/>
          <w:color w:val="000000"/>
          <w:sz w:val="24"/>
          <w:szCs w:val="28"/>
          <w:rtl/>
        </w:rPr>
        <w:t xml:space="preserve"> .</w:t>
      </w:r>
    </w:p>
  </w:footnote>
  <w:footnote w:id="85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54</w:t>
      </w:r>
      <w:r>
        <w:rPr>
          <w:rFonts w:cs="Traditional Arabic" w:hint="cs"/>
          <w:color w:val="000000"/>
          <w:sz w:val="24"/>
          <w:szCs w:val="28"/>
          <w:rtl/>
        </w:rPr>
        <w:t xml:space="preserve"> .</w:t>
      </w:r>
    </w:p>
  </w:footnote>
  <w:footnote w:id="85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حسن كيرة في الحقوق العينية الأصلية فقرة 45 ص 138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80 ص 111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124 ص 413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32 ص 80 ورسالته في نظرية الحلول العيني فقرة 123 وما بعدها</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وهناك رأي يذهب إلى عدم فائدة الالتجاء إلى فكرة الحلول  العيني</w:t>
      </w:r>
      <w:r>
        <w:rPr>
          <w:rFonts w:cs="Traditional Arabic" w:hint="cs"/>
          <w:color w:val="000000"/>
          <w:sz w:val="24"/>
          <w:szCs w:val="28"/>
          <w:rtl/>
        </w:rPr>
        <w:t xml:space="preserve"> ،</w:t>
      </w:r>
      <w:r w:rsidRPr="00DC0143">
        <w:rPr>
          <w:rFonts w:cs="Traditional Arabic" w:hint="cs"/>
          <w:color w:val="000000"/>
          <w:sz w:val="24"/>
          <w:szCs w:val="28"/>
          <w:rtl/>
        </w:rPr>
        <w:t xml:space="preserve"> ويكفي أن يقال إن الدائنالمرتهن يبني حقه في التقدم على المقابل الذي حل محل العقار ذلك بموجب الرهن نفسه </w:t>
      </w:r>
      <w:r>
        <w:rPr>
          <w:rFonts w:cs="Traditional Arabic" w:hint="cs"/>
          <w:color w:val="000000"/>
          <w:sz w:val="24"/>
          <w:szCs w:val="28"/>
          <w:rtl/>
        </w:rPr>
        <w:t xml:space="preserve">( </w:t>
      </w:r>
      <w:r w:rsidRPr="00DC0143">
        <w:rPr>
          <w:rFonts w:cs="Traditional Arabic" w:hint="cs"/>
          <w:color w:val="000000"/>
          <w:sz w:val="24"/>
          <w:szCs w:val="28"/>
          <w:rtl/>
        </w:rPr>
        <w:t xml:space="preserve">إسماعيل غانم رسالته في الذمة المالية فقرة 55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94 ص 286</w:t>
      </w:r>
      <w:r>
        <w:rPr>
          <w:rFonts w:cs="Traditional Arabic" w:hint="cs"/>
          <w:color w:val="000000"/>
          <w:sz w:val="24"/>
          <w:szCs w:val="28"/>
          <w:rtl/>
        </w:rPr>
        <w:t xml:space="preserve"> ) .</w:t>
      </w:r>
      <w:r w:rsidRPr="00DC0143">
        <w:rPr>
          <w:rFonts w:cs="Traditional Arabic" w:hint="cs"/>
          <w:color w:val="000000"/>
          <w:sz w:val="24"/>
          <w:szCs w:val="28"/>
          <w:rtl/>
        </w:rPr>
        <w:t xml:space="preserve"> ويجيب الأستاذ منصور مصطفى منصور على هذا الرأي بما يأتي</w:t>
      </w:r>
      <w:r>
        <w:rPr>
          <w:rFonts w:cs="Traditional Arabic" w:hint="cs"/>
          <w:color w:val="000000"/>
          <w:sz w:val="24"/>
          <w:szCs w:val="28"/>
          <w:rtl/>
        </w:rPr>
        <w:t xml:space="preserve"> :</w:t>
      </w:r>
      <w:r w:rsidRPr="00DC0143">
        <w:rPr>
          <w:rFonts w:cs="Traditional Arabic" w:hint="cs"/>
          <w:color w:val="000000"/>
          <w:sz w:val="24"/>
          <w:szCs w:val="28"/>
          <w:rtl/>
        </w:rPr>
        <w:t xml:space="preserve"> "وعندنا أنه إذا كان هذا الرأي مقبولا حيث يكون حق الدائن المرتهن مستحق الأداء وقت الاستبدال</w:t>
      </w:r>
      <w:r>
        <w:rPr>
          <w:rFonts w:cs="Traditional Arabic" w:hint="cs"/>
          <w:color w:val="000000"/>
          <w:sz w:val="24"/>
          <w:szCs w:val="28"/>
          <w:rtl/>
        </w:rPr>
        <w:t xml:space="preserve"> ،</w:t>
      </w:r>
      <w:r w:rsidRPr="00DC0143">
        <w:rPr>
          <w:rFonts w:cs="Traditional Arabic" w:hint="cs"/>
          <w:color w:val="000000"/>
          <w:sz w:val="24"/>
          <w:szCs w:val="28"/>
          <w:rtl/>
        </w:rPr>
        <w:t xml:space="preserve"> إلا أنه تتعين الاستعانة بفكرة الحلول العيني إذا لم يكن حق الدائن مستحق الأداء</w:t>
      </w:r>
      <w:r>
        <w:rPr>
          <w:rFonts w:cs="Traditional Arabic" w:hint="cs"/>
          <w:color w:val="000000"/>
          <w:sz w:val="24"/>
          <w:szCs w:val="28"/>
          <w:rtl/>
        </w:rPr>
        <w:t xml:space="preserve"> ،</w:t>
      </w:r>
      <w:r w:rsidRPr="00DC0143">
        <w:rPr>
          <w:rFonts w:cs="Traditional Arabic" w:hint="cs"/>
          <w:color w:val="000000"/>
          <w:sz w:val="24"/>
          <w:szCs w:val="28"/>
          <w:rtl/>
        </w:rPr>
        <w:t xml:space="preserve"> كما لو كان دينا مستقبلا لم يوجد</w:t>
      </w:r>
      <w:r>
        <w:rPr>
          <w:rFonts w:cs="Traditional Arabic" w:hint="cs"/>
          <w:color w:val="000000"/>
          <w:sz w:val="24"/>
          <w:szCs w:val="28"/>
          <w:rtl/>
        </w:rPr>
        <w:t xml:space="preserve"> ،</w:t>
      </w:r>
      <w:r w:rsidRPr="00DC0143">
        <w:rPr>
          <w:rFonts w:cs="Traditional Arabic" w:hint="cs"/>
          <w:color w:val="000000"/>
          <w:sz w:val="24"/>
          <w:szCs w:val="28"/>
          <w:rtl/>
        </w:rPr>
        <w:t xml:space="preserve"> أو دينا شرطيا ولم يتبين مصير الشرط بعد</w:t>
      </w:r>
      <w:r>
        <w:rPr>
          <w:rFonts w:cs="Traditional Arabic" w:hint="cs"/>
          <w:color w:val="000000"/>
          <w:sz w:val="24"/>
          <w:szCs w:val="28"/>
          <w:rtl/>
        </w:rPr>
        <w:t xml:space="preserve"> ،</w:t>
      </w:r>
      <w:r w:rsidRPr="00DC0143">
        <w:rPr>
          <w:rFonts w:cs="Traditional Arabic" w:hint="cs"/>
          <w:color w:val="000000"/>
          <w:sz w:val="24"/>
          <w:szCs w:val="28"/>
          <w:rtl/>
        </w:rPr>
        <w:t xml:space="preserve"> أو كان الأجل لم يحل</w:t>
      </w:r>
      <w:r>
        <w:rPr>
          <w:rFonts w:cs="Traditional Arabic" w:hint="cs"/>
          <w:color w:val="000000"/>
          <w:sz w:val="24"/>
          <w:szCs w:val="28"/>
          <w:rtl/>
        </w:rPr>
        <w:t xml:space="preserve"> .</w:t>
      </w:r>
      <w:r w:rsidRPr="00DC0143">
        <w:rPr>
          <w:rFonts w:cs="Traditional Arabic" w:hint="cs"/>
          <w:color w:val="000000"/>
          <w:sz w:val="24"/>
          <w:szCs w:val="28"/>
          <w:rtl/>
        </w:rPr>
        <w:t xml:space="preserve"> ففي مثل هذه الأحوال يمتنع القول بمباشرة حق التقدم</w:t>
      </w:r>
      <w:r>
        <w:rPr>
          <w:rFonts w:cs="Traditional Arabic" w:hint="cs"/>
          <w:color w:val="000000"/>
          <w:sz w:val="24"/>
          <w:szCs w:val="28"/>
          <w:rtl/>
        </w:rPr>
        <w:t xml:space="preserve"> ،</w:t>
      </w:r>
      <w:r w:rsidRPr="00DC0143">
        <w:rPr>
          <w:rFonts w:cs="Traditional Arabic" w:hint="cs"/>
          <w:color w:val="000000"/>
          <w:sz w:val="24"/>
          <w:szCs w:val="28"/>
          <w:rtl/>
        </w:rPr>
        <w:t xml:space="preserve"> فيبقى المال الذي استبدل بالعقار مخصصا لضمان دين الدائن</w:t>
      </w:r>
      <w:r>
        <w:rPr>
          <w:rFonts w:cs="Traditional Arabic" w:hint="cs"/>
          <w:color w:val="000000"/>
          <w:sz w:val="24"/>
          <w:szCs w:val="28"/>
          <w:rtl/>
        </w:rPr>
        <w:t xml:space="preserve"> ،</w:t>
      </w:r>
      <w:r w:rsidRPr="00DC0143">
        <w:rPr>
          <w:rFonts w:cs="Traditional Arabic" w:hint="cs"/>
          <w:color w:val="000000"/>
          <w:sz w:val="24"/>
          <w:szCs w:val="28"/>
          <w:rtl/>
        </w:rPr>
        <w:t xml:space="preserve"> وهذا هو الحلول العيني" </w:t>
      </w:r>
      <w:r>
        <w:rPr>
          <w:rFonts w:cs="Traditional Arabic" w:hint="cs"/>
          <w:color w:val="000000"/>
          <w:sz w:val="24"/>
          <w:szCs w:val="28"/>
          <w:rtl/>
        </w:rPr>
        <w:t xml:space="preserve">( </w:t>
      </w:r>
      <w:r w:rsidRPr="00DC0143">
        <w:rPr>
          <w:rFonts w:cs="Traditional Arabic" w:hint="cs"/>
          <w:color w:val="000000"/>
          <w:sz w:val="24"/>
          <w:szCs w:val="28"/>
          <w:rtl/>
        </w:rPr>
        <w:t>منصور مصطفى منصور فقرة 32 ص 80</w:t>
      </w:r>
      <w:r>
        <w:rPr>
          <w:rFonts w:cs="Traditional Arabic" w:hint="cs"/>
          <w:color w:val="000000"/>
          <w:sz w:val="24"/>
          <w:szCs w:val="28"/>
          <w:rtl/>
        </w:rPr>
        <w:t xml:space="preserve"> ) .</w:t>
      </w:r>
      <w:r w:rsidRPr="00DC0143">
        <w:rPr>
          <w:rFonts w:cs="Traditional Arabic" w:hint="cs"/>
          <w:color w:val="000000"/>
          <w:sz w:val="24"/>
          <w:szCs w:val="28"/>
          <w:rtl/>
        </w:rPr>
        <w:t xml:space="preserve"> </w:t>
      </w:r>
    </w:p>
  </w:footnote>
  <w:footnote w:id="85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1451 من المروع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"يجوز للراهن أن يتصرف في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ولكن لا يضر هذا التصرف بحق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 مع  تعديل العبارة الأخيرة منه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"وأي تصرف منه لا يمسك أي مساس بحق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وذلك تحت رقم 1138 في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تحت رقم 1124</w:t>
      </w:r>
      <w:r>
        <w:rPr>
          <w:rFonts w:cs="Traditional Arabic" w:hint="cs"/>
          <w:color w:val="000000"/>
          <w:sz w:val="24"/>
          <w:szCs w:val="28"/>
          <w:rtl/>
        </w:rPr>
        <w:t xml:space="preserve"> ،</w:t>
      </w:r>
      <w:r w:rsidRPr="00DC0143">
        <w:rPr>
          <w:rFonts w:cs="Traditional Arabic" w:hint="cs"/>
          <w:color w:val="000000"/>
          <w:sz w:val="24"/>
          <w:szCs w:val="28"/>
          <w:rtl/>
        </w:rPr>
        <w:t xml:space="preserve"> وقد أصبح النص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الشيوخ تحت رقم 1043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38 ص 40</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5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ورد في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"لا يفقد الراهن في الرهن الرسمي ملكية العقار ولا حيازته ولا حق التصرف فيه </w:t>
      </w:r>
      <w:r>
        <w:rPr>
          <w:rFonts w:cs="Traditional Arabic" w:hint="cs"/>
          <w:color w:val="000000"/>
          <w:sz w:val="24"/>
          <w:szCs w:val="28"/>
          <w:rtl/>
        </w:rPr>
        <w:t xml:space="preserve"> . . .</w:t>
      </w:r>
      <w:r w:rsidRPr="00DC0143">
        <w:rPr>
          <w:rFonts w:cs="Traditional Arabic" w:hint="cs"/>
          <w:color w:val="000000"/>
          <w:sz w:val="24"/>
          <w:szCs w:val="28"/>
          <w:rtl/>
        </w:rPr>
        <w:t xml:space="preserve"> ويستطيع الراهن أخيراً أن يرتب على العقار المرهون حق رهن آخر</w:t>
      </w:r>
      <w:r>
        <w:rPr>
          <w:rFonts w:cs="Traditional Arabic" w:hint="cs"/>
          <w:color w:val="000000"/>
          <w:sz w:val="24"/>
          <w:szCs w:val="28"/>
          <w:rtl/>
        </w:rPr>
        <w:t xml:space="preserve"> ،</w:t>
      </w:r>
      <w:r w:rsidRPr="00DC0143">
        <w:rPr>
          <w:rFonts w:cs="Traditional Arabic" w:hint="cs"/>
          <w:color w:val="000000"/>
          <w:sz w:val="24"/>
          <w:szCs w:val="28"/>
          <w:rtl/>
        </w:rPr>
        <w:t xml:space="preserve"> رسميا كان أو حيازياً</w:t>
      </w:r>
      <w:r>
        <w:rPr>
          <w:rFonts w:cs="Traditional Arabic" w:hint="cs"/>
          <w:color w:val="000000"/>
          <w:sz w:val="24"/>
          <w:szCs w:val="28"/>
          <w:rtl/>
        </w:rPr>
        <w:t xml:space="preserve"> ،</w:t>
      </w:r>
      <w:r w:rsidRPr="00DC0143">
        <w:rPr>
          <w:rFonts w:cs="Traditional Arabic" w:hint="cs"/>
          <w:color w:val="000000"/>
          <w:sz w:val="24"/>
          <w:szCs w:val="28"/>
          <w:rtl/>
        </w:rPr>
        <w:t xml:space="preserve"> كما يستطيع دائن له أن يأخذ على العقار حق اختصاص</w:t>
      </w:r>
      <w:r>
        <w:rPr>
          <w:rFonts w:cs="Traditional Arabic" w:hint="cs"/>
          <w:color w:val="000000"/>
          <w:sz w:val="24"/>
          <w:szCs w:val="28"/>
          <w:rtl/>
        </w:rPr>
        <w:t xml:space="preserve"> ،</w:t>
      </w:r>
      <w:r w:rsidRPr="00DC0143">
        <w:rPr>
          <w:rFonts w:cs="Traditional Arabic" w:hint="cs"/>
          <w:color w:val="000000"/>
          <w:sz w:val="24"/>
          <w:szCs w:val="28"/>
          <w:rtl/>
        </w:rPr>
        <w:t xml:space="preserve"> بل يجوز أن يترتب على العقار حق امتياز كما لو دخل في أعيان قسمت وترتب عليها امتياز المتقاسم</w:t>
      </w:r>
      <w:r>
        <w:rPr>
          <w:rFonts w:cs="Traditional Arabic" w:hint="cs"/>
          <w:color w:val="000000"/>
          <w:sz w:val="24"/>
          <w:szCs w:val="28"/>
          <w:rtl/>
        </w:rPr>
        <w:t xml:space="preserve"> ،</w:t>
      </w:r>
      <w:r w:rsidRPr="00DC0143">
        <w:rPr>
          <w:rFonts w:cs="Traditional Arabic" w:hint="cs"/>
          <w:color w:val="000000"/>
          <w:sz w:val="24"/>
          <w:szCs w:val="28"/>
          <w:rtl/>
        </w:rPr>
        <w:t xml:space="preserve"> ولكن حق الرهن الأول يتقدم على كل هذه الحقوق"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39</w:t>
      </w:r>
      <w:r>
        <w:rPr>
          <w:rFonts w:cs="Traditional Arabic" w:hint="cs"/>
          <w:color w:val="000000"/>
          <w:sz w:val="24"/>
          <w:szCs w:val="28"/>
          <w:rtl/>
        </w:rPr>
        <w:t xml:space="preserve"> ) .</w:t>
      </w:r>
    </w:p>
  </w:footnote>
  <w:footnote w:id="85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ورد في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"فهو </w:t>
      </w:r>
      <w:r>
        <w:rPr>
          <w:rFonts w:cs="Traditional Arabic" w:hint="cs"/>
          <w:color w:val="000000"/>
          <w:sz w:val="24"/>
          <w:szCs w:val="28"/>
          <w:rtl/>
        </w:rPr>
        <w:t xml:space="preserve">( </w:t>
      </w:r>
      <w:r w:rsidRPr="00DC0143">
        <w:rPr>
          <w:rFonts w:cs="Traditional Arabic" w:hint="cs"/>
          <w:color w:val="000000"/>
          <w:sz w:val="24"/>
          <w:szCs w:val="28"/>
          <w:rtl/>
        </w:rPr>
        <w:t>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يستطيع أن يبيع العقار أو يقايض عليه أو يهبه</w:t>
      </w:r>
      <w:r>
        <w:rPr>
          <w:rFonts w:cs="Traditional Arabic" w:hint="cs"/>
          <w:color w:val="000000"/>
          <w:sz w:val="24"/>
          <w:szCs w:val="28"/>
          <w:rtl/>
        </w:rPr>
        <w:t xml:space="preserve"> ،</w:t>
      </w:r>
      <w:r w:rsidRPr="00DC0143">
        <w:rPr>
          <w:rFonts w:cs="Traditional Arabic" w:hint="cs"/>
          <w:color w:val="000000"/>
          <w:sz w:val="24"/>
          <w:szCs w:val="28"/>
          <w:rtl/>
        </w:rPr>
        <w:t xml:space="preserve"> ولكن المكلية تنتقل مثقلة بالرهن ما دام الرهن قد قيد قبل تسجيل البيع أو المقايضة أو الهبة</w:t>
      </w:r>
      <w:r>
        <w:rPr>
          <w:rFonts w:cs="Traditional Arabic" w:hint="cs"/>
          <w:color w:val="000000"/>
          <w:sz w:val="24"/>
          <w:szCs w:val="28"/>
          <w:rtl/>
        </w:rPr>
        <w:t xml:space="preserve"> .</w:t>
      </w:r>
      <w:r w:rsidRPr="00DC0143">
        <w:rPr>
          <w:rFonts w:cs="Traditional Arabic" w:hint="cs"/>
          <w:color w:val="000000"/>
          <w:sz w:val="24"/>
          <w:szCs w:val="28"/>
          <w:rtl/>
        </w:rPr>
        <w:t xml:space="preserve"> وكذلك يستطيع الراهن أن يقرر على العقار حقا عينا أصليا كحق انتفاع أو حق ارتفاق</w:t>
      </w:r>
      <w:r>
        <w:rPr>
          <w:rFonts w:cs="Traditional Arabic" w:hint="cs"/>
          <w:color w:val="000000"/>
          <w:sz w:val="24"/>
          <w:szCs w:val="28"/>
          <w:rtl/>
        </w:rPr>
        <w:t xml:space="preserve"> ،</w:t>
      </w:r>
      <w:r w:rsidRPr="00DC0143">
        <w:rPr>
          <w:rFonts w:cs="Traditional Arabic" w:hint="cs"/>
          <w:color w:val="000000"/>
          <w:sz w:val="24"/>
          <w:szCs w:val="28"/>
          <w:rtl/>
        </w:rPr>
        <w:t xml:space="preserve"> ولكن هذه الحقوق لا تنفذ قبل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ولهذا أن ينفذ غالبا هذه الحقوق"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39</w:t>
      </w:r>
      <w:r>
        <w:rPr>
          <w:rFonts w:cs="Traditional Arabic" w:hint="cs"/>
          <w:color w:val="000000"/>
          <w:sz w:val="24"/>
          <w:szCs w:val="28"/>
          <w:rtl/>
        </w:rPr>
        <w:t xml:space="preserve"> ) .</w:t>
      </w:r>
    </w:p>
  </w:footnote>
  <w:footnote w:id="85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قارن شمس الدين الوكيل فقرة 80 ص 248</w:t>
      </w:r>
      <w:r>
        <w:rPr>
          <w:rFonts w:cs="Traditional Arabic" w:hint="cs"/>
          <w:color w:val="000000"/>
          <w:sz w:val="24"/>
          <w:szCs w:val="28"/>
          <w:rtl/>
        </w:rPr>
        <w:t xml:space="preserve"> .</w:t>
      </w:r>
    </w:p>
  </w:footnote>
  <w:footnote w:id="85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أوبري ورو 3 فقرة 586</w:t>
      </w:r>
      <w:r>
        <w:rPr>
          <w:rFonts w:cs="Traditional Arabic" w:hint="cs"/>
          <w:color w:val="000000"/>
          <w:sz w:val="24"/>
          <w:szCs w:val="28"/>
          <w:rtl/>
        </w:rPr>
        <w:t xml:space="preserve"> .</w:t>
      </w:r>
    </w:p>
  </w:footnote>
  <w:footnote w:id="86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شمس الدين الوكيل فقرة 80 ص 249 </w:t>
      </w:r>
      <w:r w:rsidRPr="00DC0143">
        <w:rPr>
          <w:rFonts w:cs="Traditional Arabic"/>
          <w:color w:val="000000"/>
          <w:sz w:val="24"/>
          <w:szCs w:val="28"/>
          <w:rtl/>
        </w:rPr>
        <w:t>–</w:t>
      </w:r>
      <w:r w:rsidRPr="00DC0143">
        <w:rPr>
          <w:rFonts w:cs="Traditional Arabic" w:hint="cs"/>
          <w:color w:val="000000"/>
          <w:sz w:val="24"/>
          <w:szCs w:val="28"/>
          <w:rtl/>
        </w:rPr>
        <w:t xml:space="preserve"> ص 250</w:t>
      </w:r>
      <w:r>
        <w:rPr>
          <w:rFonts w:cs="Traditional Arabic" w:hint="cs"/>
          <w:color w:val="000000"/>
          <w:sz w:val="24"/>
          <w:szCs w:val="28"/>
          <w:rtl/>
        </w:rPr>
        <w:t xml:space="preserve"> .</w:t>
      </w:r>
    </w:p>
  </w:footnote>
  <w:footnote w:id="86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39 </w:t>
      </w:r>
      <w:r w:rsidRPr="00DC0143">
        <w:rPr>
          <w:rFonts w:cs="Traditional Arabic"/>
          <w:color w:val="000000"/>
          <w:sz w:val="24"/>
          <w:szCs w:val="28"/>
          <w:rtl/>
        </w:rPr>
        <w:t>–</w:t>
      </w:r>
      <w:r w:rsidRPr="00DC0143">
        <w:rPr>
          <w:rFonts w:cs="Traditional Arabic" w:hint="cs"/>
          <w:color w:val="000000"/>
          <w:sz w:val="24"/>
          <w:szCs w:val="28"/>
          <w:rtl/>
        </w:rPr>
        <w:t xml:space="preserve"> وانظر في هذا المعنى عبد الفتاح عبد الباقي فقرة 278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33 ص 87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84 ص 139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83 ص 115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29 ص 102 </w:t>
      </w:r>
      <w:r w:rsidRPr="00DC0143">
        <w:rPr>
          <w:rFonts w:cs="Traditional Arabic"/>
          <w:color w:val="000000"/>
          <w:sz w:val="24"/>
          <w:szCs w:val="28"/>
          <w:rtl/>
        </w:rPr>
        <w:t>–</w:t>
      </w:r>
      <w:r w:rsidRPr="00DC0143">
        <w:rPr>
          <w:rFonts w:cs="Traditional Arabic" w:hint="cs"/>
          <w:color w:val="000000"/>
          <w:sz w:val="24"/>
          <w:szCs w:val="28"/>
          <w:rtl/>
        </w:rPr>
        <w:t xml:space="preserve"> إسماعيل غانم في الحقوق العينية الأصلية 2 فقرة 38 ص 79 </w:t>
      </w:r>
      <w:r w:rsidRPr="00DC0143">
        <w:rPr>
          <w:rFonts w:cs="Traditional Arabic"/>
          <w:color w:val="000000"/>
          <w:sz w:val="24"/>
          <w:szCs w:val="28"/>
          <w:rtl/>
        </w:rPr>
        <w:t>–</w:t>
      </w:r>
      <w:r w:rsidRPr="00DC0143">
        <w:rPr>
          <w:rFonts w:cs="Traditional Arabic" w:hint="cs"/>
          <w:color w:val="000000"/>
          <w:sz w:val="24"/>
          <w:szCs w:val="28"/>
          <w:rtl/>
        </w:rPr>
        <w:t xml:space="preserve"> وانظر عكس ذلك وأنه يجوز اتفاق الدائن المرتهن مع الراهن على عدم التصرف في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محمد علي إمام فقرة 214 ص 318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80 ص 249 هامش 2</w:t>
      </w:r>
      <w:r>
        <w:rPr>
          <w:rFonts w:cs="Traditional Arabic" w:hint="cs"/>
          <w:color w:val="000000"/>
          <w:sz w:val="24"/>
          <w:szCs w:val="28"/>
          <w:rtl/>
        </w:rPr>
        <w:t xml:space="preserve"> .</w:t>
      </w:r>
    </w:p>
  </w:footnote>
  <w:footnote w:id="86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نقض فرنسي 7 يناير سنة 1947 داللوز 1947 </w:t>
      </w:r>
      <w:r w:rsidRPr="00DC0143">
        <w:rPr>
          <w:rFonts w:cs="Traditional Arabic"/>
          <w:color w:val="000000"/>
          <w:sz w:val="24"/>
          <w:szCs w:val="28"/>
          <w:rtl/>
        </w:rPr>
        <w:t>–</w:t>
      </w:r>
      <w:r w:rsidRPr="00DC0143">
        <w:rPr>
          <w:rFonts w:cs="Traditional Arabic" w:hint="cs"/>
          <w:color w:val="000000"/>
          <w:sz w:val="24"/>
          <w:szCs w:val="28"/>
          <w:rtl/>
        </w:rPr>
        <w:t xml:space="preserve"> 197 </w:t>
      </w:r>
      <w:r w:rsidRPr="00DC0143">
        <w:rPr>
          <w:rFonts w:cs="Traditional Arabic"/>
          <w:color w:val="000000"/>
          <w:sz w:val="24"/>
          <w:szCs w:val="28"/>
          <w:rtl/>
        </w:rPr>
        <w:t>–</w:t>
      </w:r>
      <w:r w:rsidRPr="00DC0143">
        <w:rPr>
          <w:rFonts w:cs="Traditional Arabic" w:hint="cs"/>
          <w:color w:val="000000"/>
          <w:sz w:val="24"/>
          <w:szCs w:val="28"/>
          <w:rtl/>
        </w:rPr>
        <w:t xml:space="preserve"> 28 نوفمبر سنة 1949 سيريه 1950 </w:t>
      </w:r>
      <w:r w:rsidRPr="00DC0143">
        <w:rPr>
          <w:rFonts w:cs="Traditional Arabic"/>
          <w:color w:val="000000"/>
          <w:sz w:val="24"/>
          <w:szCs w:val="28"/>
          <w:rtl/>
        </w:rPr>
        <w:t>–</w:t>
      </w:r>
      <w:r w:rsidRPr="00DC0143">
        <w:rPr>
          <w:rFonts w:cs="Traditional Arabic" w:hint="cs"/>
          <w:color w:val="000000"/>
          <w:sz w:val="24"/>
          <w:szCs w:val="28"/>
          <w:rtl/>
        </w:rPr>
        <w:t xml:space="preserve"> 1- 100</w:t>
      </w:r>
      <w:r>
        <w:rPr>
          <w:rFonts w:cs="Traditional Arabic" w:hint="cs"/>
          <w:color w:val="000000"/>
          <w:sz w:val="24"/>
          <w:szCs w:val="28"/>
          <w:rtl/>
        </w:rPr>
        <w:t xml:space="preserve"> .</w:t>
      </w:r>
    </w:p>
  </w:footnote>
  <w:footnote w:id="86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قارن في هذه المسألة شمس الدين الوكيل فقرة 82</w:t>
      </w:r>
      <w:r>
        <w:rPr>
          <w:rFonts w:cs="Traditional Arabic" w:hint="cs"/>
          <w:color w:val="000000"/>
          <w:sz w:val="24"/>
          <w:szCs w:val="28"/>
          <w:rtl/>
        </w:rPr>
        <w:t xml:space="preserve"> .</w:t>
      </w:r>
    </w:p>
  </w:footnote>
  <w:footnote w:id="86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170</w:t>
      </w:r>
      <w:r>
        <w:rPr>
          <w:rFonts w:cs="Traditional Arabic" w:hint="cs"/>
          <w:color w:val="000000"/>
          <w:sz w:val="24"/>
          <w:szCs w:val="28"/>
          <w:rtl/>
        </w:rPr>
        <w:t xml:space="preserve"> .</w:t>
      </w:r>
    </w:p>
  </w:footnote>
  <w:footnote w:id="86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شمس الدين الوكيل فقرة 83 ص 259</w:t>
      </w:r>
      <w:r>
        <w:rPr>
          <w:rFonts w:cs="Traditional Arabic" w:hint="cs"/>
          <w:color w:val="000000"/>
          <w:sz w:val="24"/>
          <w:szCs w:val="28"/>
          <w:rtl/>
        </w:rPr>
        <w:t xml:space="preserve"> .</w:t>
      </w:r>
    </w:p>
  </w:footnote>
  <w:footnote w:id="86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قضت محكمة النقص بأن العقار بالتخصيص داخل ضمن الملحقات</w:t>
      </w:r>
      <w:r>
        <w:rPr>
          <w:rFonts w:cs="Traditional Arabic" w:hint="cs"/>
          <w:color w:val="000000"/>
          <w:sz w:val="24"/>
          <w:szCs w:val="28"/>
          <w:rtl/>
        </w:rPr>
        <w:t xml:space="preserve"> ،</w:t>
      </w:r>
      <w:r w:rsidRPr="00DC0143">
        <w:rPr>
          <w:rFonts w:cs="Traditional Arabic" w:hint="cs"/>
          <w:color w:val="000000"/>
          <w:sz w:val="24"/>
          <w:szCs w:val="28"/>
          <w:rtl/>
        </w:rPr>
        <w:t xml:space="preserve"> ويباع مع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ما لم يتفق صراحة على خلاف ذلك</w:t>
      </w:r>
      <w:r>
        <w:rPr>
          <w:rFonts w:cs="Traditional Arabic" w:hint="cs"/>
          <w:color w:val="000000"/>
          <w:sz w:val="24"/>
          <w:szCs w:val="28"/>
          <w:rtl/>
        </w:rPr>
        <w:t xml:space="preserve"> ،</w:t>
      </w:r>
      <w:r w:rsidRPr="00DC0143">
        <w:rPr>
          <w:rFonts w:cs="Traditional Arabic" w:hint="cs"/>
          <w:color w:val="000000"/>
          <w:sz w:val="24"/>
          <w:szCs w:val="28"/>
          <w:rtl/>
        </w:rPr>
        <w:t xml:space="preserve"> ويقع عبء إثبات هذا الاتفاق على من يدعيه </w:t>
      </w:r>
      <w:r>
        <w:rPr>
          <w:rFonts w:cs="Traditional Arabic" w:hint="cs"/>
          <w:color w:val="000000"/>
          <w:sz w:val="24"/>
          <w:szCs w:val="28"/>
          <w:rtl/>
        </w:rPr>
        <w:t xml:space="preserve">( </w:t>
      </w:r>
      <w:r w:rsidRPr="00DC0143">
        <w:rPr>
          <w:rFonts w:cs="Traditional Arabic" w:hint="cs"/>
          <w:color w:val="000000"/>
          <w:sz w:val="24"/>
          <w:szCs w:val="28"/>
          <w:rtl/>
        </w:rPr>
        <w:t xml:space="preserve">نقض مدني 14 يناير سنة 1954 مجموعة أحكام النقض في 25 عاما 1 ص 392 </w:t>
      </w:r>
      <w:r w:rsidRPr="00DC0143">
        <w:rPr>
          <w:rFonts w:cs="Traditional Arabic"/>
          <w:color w:val="000000"/>
          <w:sz w:val="24"/>
          <w:szCs w:val="28"/>
          <w:rtl/>
        </w:rPr>
        <w:t>–</w:t>
      </w:r>
      <w:r w:rsidRPr="00DC0143">
        <w:rPr>
          <w:rFonts w:cs="Traditional Arabic" w:hint="cs"/>
          <w:color w:val="000000"/>
          <w:sz w:val="24"/>
          <w:szCs w:val="28"/>
          <w:rtl/>
        </w:rPr>
        <w:t xml:space="preserve"> وانظر أيضاً نقض مدني 13 يونيه سنة 1954 مجموعة أحمام النقض في 25 عاما 1 ص 392</w:t>
      </w:r>
      <w:r>
        <w:rPr>
          <w:rFonts w:cs="Traditional Arabic" w:hint="cs"/>
          <w:color w:val="000000"/>
          <w:sz w:val="24"/>
          <w:szCs w:val="28"/>
          <w:rtl/>
        </w:rPr>
        <w:t xml:space="preserve"> ) .</w:t>
      </w:r>
    </w:p>
  </w:footnote>
  <w:footnote w:id="86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49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13 فقرة 902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83 ص 262</w:t>
      </w:r>
      <w:r>
        <w:rPr>
          <w:rFonts w:cs="Traditional Arabic" w:hint="cs"/>
          <w:color w:val="000000"/>
          <w:sz w:val="24"/>
          <w:szCs w:val="28"/>
          <w:rtl/>
        </w:rPr>
        <w:t xml:space="preserve"> .</w:t>
      </w:r>
    </w:p>
  </w:footnote>
  <w:footnote w:id="86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ويجب</w:t>
      </w:r>
      <w:r>
        <w:rPr>
          <w:rFonts w:cs="Traditional Arabic" w:hint="cs"/>
          <w:color w:val="000000"/>
          <w:sz w:val="24"/>
          <w:szCs w:val="28"/>
          <w:rtl/>
        </w:rPr>
        <w:t xml:space="preserve"> ،</w:t>
      </w:r>
      <w:r w:rsidRPr="00DC0143">
        <w:rPr>
          <w:rFonts w:cs="Traditional Arabic" w:hint="cs"/>
          <w:color w:val="000000"/>
          <w:sz w:val="24"/>
          <w:szCs w:val="28"/>
          <w:rtl/>
        </w:rPr>
        <w:t xml:space="preserve"> حتى يعتبر المشتري حائزاً للعقار بالتخصيص</w:t>
      </w:r>
      <w:r>
        <w:rPr>
          <w:rFonts w:cs="Traditional Arabic" w:hint="cs"/>
          <w:color w:val="000000"/>
          <w:sz w:val="24"/>
          <w:szCs w:val="28"/>
          <w:rtl/>
        </w:rPr>
        <w:t xml:space="preserve"> ،</w:t>
      </w:r>
      <w:r w:rsidRPr="00DC0143">
        <w:rPr>
          <w:rFonts w:cs="Traditional Arabic" w:hint="cs"/>
          <w:color w:val="000000"/>
          <w:sz w:val="24"/>
          <w:szCs w:val="28"/>
          <w:rtl/>
        </w:rPr>
        <w:t xml:space="preserve"> أن تكون حيازته حيازة غير غامضة لا يشوبها اللبس </w:t>
      </w:r>
      <w:r>
        <w:rPr>
          <w:rFonts w:cs="Traditional Arabic" w:hint="cs"/>
          <w:color w:val="000000"/>
          <w:sz w:val="24"/>
          <w:szCs w:val="28"/>
          <w:rtl/>
        </w:rPr>
        <w:t xml:space="preserve">( </w:t>
      </w:r>
      <w:r w:rsidRPr="00DC0143">
        <w:rPr>
          <w:rFonts w:cs="Traditional Arabic" w:hint="cs"/>
          <w:color w:val="000000"/>
          <w:sz w:val="24"/>
          <w:szCs w:val="28"/>
          <w:rtl/>
        </w:rPr>
        <w:t xml:space="preserve">نقض فرنسي أول مايو سنة 1906 داللوز 1909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345 أنسيكلوبيدي داللوز 2 لفظ </w:t>
      </w:r>
      <w:r w:rsidRPr="00DC0143">
        <w:rPr>
          <w:rFonts w:cs="Traditional Arabic"/>
          <w:color w:val="000000"/>
          <w:sz w:val="24"/>
          <w:szCs w:val="28"/>
        </w:rPr>
        <w:t>hypothequs</w:t>
      </w:r>
      <w:r w:rsidRPr="00DC0143">
        <w:rPr>
          <w:rFonts w:cs="Traditional Arabic" w:hint="cs"/>
          <w:color w:val="000000"/>
          <w:sz w:val="24"/>
          <w:szCs w:val="28"/>
          <w:rtl/>
        </w:rPr>
        <w:t xml:space="preserve"> فقرة 222 وما بعدها </w:t>
      </w:r>
      <w:r w:rsidRPr="00DC0143">
        <w:rPr>
          <w:rFonts w:cs="Traditional Arabic"/>
          <w:color w:val="000000"/>
          <w:sz w:val="24"/>
          <w:szCs w:val="28"/>
          <w:rtl/>
        </w:rPr>
        <w:t>–</w:t>
      </w:r>
      <w:r w:rsidRPr="00DC0143">
        <w:rPr>
          <w:rFonts w:cs="Traditional Arabic" w:hint="cs"/>
          <w:color w:val="000000"/>
          <w:sz w:val="24"/>
          <w:szCs w:val="28"/>
          <w:rtl/>
        </w:rPr>
        <w:t xml:space="preserve"> شو 83 ص 362</w:t>
      </w:r>
      <w:r>
        <w:rPr>
          <w:rFonts w:cs="Traditional Arabic" w:hint="cs"/>
          <w:color w:val="000000"/>
          <w:sz w:val="24"/>
          <w:szCs w:val="28"/>
          <w:rtl/>
        </w:rPr>
        <w:t xml:space="preserve"> ) .</w:t>
      </w:r>
    </w:p>
  </w:footnote>
  <w:footnote w:id="86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1452 من المشروع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DC0143">
        <w:rPr>
          <w:rFonts w:cs="Traditional Arabic" w:hint="cs"/>
          <w:color w:val="000000"/>
          <w:sz w:val="24"/>
          <w:szCs w:val="28"/>
          <w:rtl/>
        </w:rPr>
        <w:t xml:space="preserve"> تحت رقم 1139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عليه مجلس النواب تحت رقم 1125</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1044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40 </w:t>
      </w:r>
      <w:r w:rsidRPr="00DC0143">
        <w:rPr>
          <w:rFonts w:cs="Traditional Arabic"/>
          <w:color w:val="000000"/>
          <w:sz w:val="24"/>
          <w:szCs w:val="28"/>
          <w:rtl/>
        </w:rPr>
        <w:t>–</w:t>
      </w:r>
      <w:r w:rsidRPr="00DC0143">
        <w:rPr>
          <w:rFonts w:cs="Traditional Arabic" w:hint="cs"/>
          <w:color w:val="000000"/>
          <w:sz w:val="24"/>
          <w:szCs w:val="28"/>
          <w:rtl/>
        </w:rPr>
        <w:t xml:space="preserve"> 41</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7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استئناف مختلط 2 يونيه سنة </w:t>
      </w:r>
      <w:smartTag w:uri="urn:schemas-microsoft-com:office:smarttags" w:element="metricconverter">
        <w:smartTagPr>
          <w:attr w:name="ProductID" w:val="1897 م"/>
        </w:smartTagPr>
        <w:r w:rsidRPr="00DC0143">
          <w:rPr>
            <w:rFonts w:cs="Traditional Arabic" w:hint="cs"/>
            <w:color w:val="000000"/>
            <w:sz w:val="24"/>
            <w:szCs w:val="28"/>
            <w:rtl/>
          </w:rPr>
          <w:t>1897 م</w:t>
        </w:r>
      </w:smartTag>
      <w:r w:rsidRPr="00DC0143">
        <w:rPr>
          <w:rFonts w:cs="Traditional Arabic" w:hint="cs"/>
          <w:color w:val="000000"/>
          <w:sz w:val="24"/>
          <w:szCs w:val="28"/>
          <w:rtl/>
        </w:rPr>
        <w:t xml:space="preserve"> 9 ص 377</w:t>
      </w:r>
      <w:r>
        <w:rPr>
          <w:rFonts w:cs="Traditional Arabic" w:hint="cs"/>
          <w:color w:val="000000"/>
          <w:sz w:val="24"/>
          <w:szCs w:val="28"/>
          <w:rtl/>
        </w:rPr>
        <w:t xml:space="preserve"> .</w:t>
      </w:r>
    </w:p>
  </w:footnote>
  <w:footnote w:id="87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شمس الدين الوكيل فقرة 74 ص 235</w:t>
      </w:r>
      <w:r>
        <w:rPr>
          <w:rFonts w:cs="Traditional Arabic" w:hint="cs"/>
          <w:color w:val="000000"/>
          <w:sz w:val="24"/>
          <w:szCs w:val="28"/>
          <w:rtl/>
        </w:rPr>
        <w:t xml:space="preserve"> .</w:t>
      </w:r>
    </w:p>
  </w:footnote>
  <w:footnote w:id="87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160</w:t>
      </w:r>
      <w:r>
        <w:rPr>
          <w:rFonts w:cs="Traditional Arabic" w:hint="cs"/>
          <w:color w:val="000000"/>
          <w:sz w:val="24"/>
          <w:szCs w:val="28"/>
          <w:rtl/>
        </w:rPr>
        <w:t xml:space="preserve"> .</w:t>
      </w:r>
    </w:p>
  </w:footnote>
  <w:footnote w:id="87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1453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"1- مع ذلك فإن الإيجار الصادر من الراهن لا ينفذ في حق الدائن المرتهن إلا إذا كان ثابت التاريخ</w:t>
      </w:r>
      <w:r>
        <w:rPr>
          <w:rFonts w:cs="Traditional Arabic" w:hint="cs"/>
          <w:color w:val="000000"/>
          <w:sz w:val="24"/>
          <w:szCs w:val="28"/>
          <w:rtl/>
        </w:rPr>
        <w:t xml:space="preserve"> ،</w:t>
      </w:r>
      <w:r w:rsidRPr="00DC0143">
        <w:rPr>
          <w:rFonts w:cs="Traditional Arabic" w:hint="cs"/>
          <w:color w:val="000000"/>
          <w:sz w:val="24"/>
          <w:szCs w:val="28"/>
          <w:rtl/>
        </w:rPr>
        <w:t xml:space="preserve"> وكان سابقا على تسجيل تنبيه نزع الملكية</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لم يكن الإيجار ثابت التاريخ</w:t>
      </w:r>
      <w:r>
        <w:rPr>
          <w:rFonts w:cs="Traditional Arabic" w:hint="cs"/>
          <w:color w:val="000000"/>
          <w:sz w:val="24"/>
          <w:szCs w:val="28"/>
          <w:rtl/>
        </w:rPr>
        <w:t xml:space="preserve"> ،</w:t>
      </w:r>
      <w:r w:rsidRPr="00DC0143">
        <w:rPr>
          <w:rFonts w:cs="Traditional Arabic" w:hint="cs"/>
          <w:color w:val="000000"/>
          <w:sz w:val="24"/>
          <w:szCs w:val="28"/>
          <w:rtl/>
        </w:rPr>
        <w:t xml:space="preserve"> أو عقد بعد تسجيل تنبيه فزع الملكية فلا يكون نافذا إلا إذا أمكن اعتباره داخلا في أعمال الإدارة الحسنة ولم تعجل فيه الأجرة</w:t>
      </w:r>
      <w:r>
        <w:rPr>
          <w:rFonts w:cs="Traditional Arabic" w:hint="cs"/>
          <w:color w:val="000000"/>
          <w:sz w:val="24"/>
          <w:szCs w:val="28"/>
          <w:rtl/>
        </w:rPr>
        <w:t xml:space="preserve"> .</w:t>
      </w:r>
      <w:r w:rsidRPr="00DC0143">
        <w:rPr>
          <w:rFonts w:cs="Traditional Arabic" w:hint="cs"/>
          <w:color w:val="000000"/>
          <w:sz w:val="24"/>
          <w:szCs w:val="28"/>
          <w:rtl/>
        </w:rPr>
        <w:t xml:space="preserve"> 2- "وإذا كان الإيجار السابق على تسجيل التنبيه تزيد مدته على ثلاث سنوات</w:t>
      </w:r>
      <w:r>
        <w:rPr>
          <w:rFonts w:cs="Traditional Arabic" w:hint="cs"/>
          <w:color w:val="000000"/>
          <w:sz w:val="24"/>
          <w:szCs w:val="28"/>
          <w:rtl/>
        </w:rPr>
        <w:t xml:space="preserve"> ،</w:t>
      </w:r>
      <w:r w:rsidRPr="00DC0143">
        <w:rPr>
          <w:rFonts w:cs="Traditional Arabic" w:hint="cs"/>
          <w:color w:val="000000"/>
          <w:sz w:val="24"/>
          <w:szCs w:val="28"/>
          <w:rtl/>
        </w:rPr>
        <w:t xml:space="preserve"> فلا يكون نافذا في حق الدائن المرتهن إلا لمدة ثلاث سنوات</w:t>
      </w:r>
      <w:r>
        <w:rPr>
          <w:rFonts w:cs="Traditional Arabic" w:hint="cs"/>
          <w:color w:val="000000"/>
          <w:sz w:val="24"/>
          <w:szCs w:val="28"/>
          <w:rtl/>
        </w:rPr>
        <w:t xml:space="preserve"> ،</w:t>
      </w:r>
      <w:r w:rsidRPr="00DC0143">
        <w:rPr>
          <w:rFonts w:cs="Traditional Arabic" w:hint="cs"/>
          <w:color w:val="000000"/>
          <w:sz w:val="24"/>
          <w:szCs w:val="28"/>
          <w:rtl/>
        </w:rPr>
        <w:t xml:space="preserve"> ما لم يكن الإيجار قد سجل قبل قيد الرهن"</w:t>
      </w:r>
      <w:r>
        <w:rPr>
          <w:rFonts w:cs="Traditional Arabic" w:hint="cs"/>
          <w:color w:val="000000"/>
          <w:sz w:val="24"/>
          <w:szCs w:val="28"/>
          <w:rtl/>
        </w:rPr>
        <w:t xml:space="preserve"> .</w:t>
      </w:r>
      <w:r w:rsidRPr="00DC0143">
        <w:rPr>
          <w:rFonts w:cs="Traditional Arabic" w:hint="cs"/>
          <w:color w:val="000000"/>
          <w:sz w:val="24"/>
          <w:szCs w:val="28"/>
          <w:rtl/>
        </w:rPr>
        <w:t xml:space="preserve"> وعدل النص في لجنة المراجعة فأصبح مطابقاً لما استقر لعيه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وصار رقمه 1140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1126</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1045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42 ص 44</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r w:rsidRPr="00DC0143">
        <w:rPr>
          <w:rFonts w:cs="Traditional Arabic" w:hint="cs"/>
          <w:color w:val="000000"/>
          <w:sz w:val="24"/>
          <w:szCs w:val="28"/>
          <w:rtl/>
        </w:rPr>
        <w:t xml:space="preserve"> ولكن النص يقابل في تقنين المرافعات الأسبق</w:t>
      </w:r>
      <w:r>
        <w:rPr>
          <w:rFonts w:cs="Traditional Arabic" w:hint="cs"/>
          <w:color w:val="000000"/>
          <w:sz w:val="24"/>
          <w:szCs w:val="28"/>
          <w:rtl/>
        </w:rPr>
        <w:t xml:space="preserve"> :</w:t>
      </w:r>
      <w:r w:rsidRPr="00DC0143">
        <w:rPr>
          <w:rFonts w:cs="Traditional Arabic" w:hint="cs"/>
          <w:color w:val="000000"/>
          <w:sz w:val="24"/>
          <w:szCs w:val="28"/>
          <w:rtl/>
        </w:rPr>
        <w:t xml:space="preserve"> م 543 / 612</w:t>
      </w:r>
      <w:r>
        <w:rPr>
          <w:rFonts w:cs="Traditional Arabic" w:hint="cs"/>
          <w:color w:val="000000"/>
          <w:sz w:val="24"/>
          <w:szCs w:val="28"/>
          <w:rtl/>
        </w:rPr>
        <w:t xml:space="preserve"> :</w:t>
      </w:r>
      <w:r w:rsidRPr="00DC0143">
        <w:rPr>
          <w:rFonts w:cs="Traditional Arabic" w:hint="cs"/>
          <w:color w:val="000000"/>
          <w:sz w:val="24"/>
          <w:szCs w:val="28"/>
          <w:rtl/>
        </w:rPr>
        <w:t xml:space="preserve"> لا يعمل بالإيجارات السابقة على تسجيل ورقة التنبيه</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كان تاريخها ثابتا بصفة رسمية </w:t>
      </w:r>
      <w:r w:rsidRPr="00DC0143">
        <w:rPr>
          <w:rFonts w:cs="Traditional Arabic"/>
          <w:color w:val="000000"/>
          <w:sz w:val="24"/>
          <w:szCs w:val="28"/>
          <w:rtl/>
        </w:rPr>
        <w:t>–</w:t>
      </w:r>
      <w:r w:rsidRPr="00DC0143">
        <w:rPr>
          <w:rFonts w:cs="Traditional Arabic" w:hint="cs"/>
          <w:color w:val="000000"/>
          <w:sz w:val="24"/>
          <w:szCs w:val="28"/>
          <w:rtl/>
        </w:rPr>
        <w:t xml:space="preserve"> م 544 / 613</w:t>
      </w:r>
      <w:r>
        <w:rPr>
          <w:rFonts w:cs="Traditional Arabic" w:hint="cs"/>
          <w:color w:val="000000"/>
          <w:sz w:val="24"/>
          <w:szCs w:val="28"/>
          <w:rtl/>
        </w:rPr>
        <w:t xml:space="preserve"> :</w:t>
      </w:r>
      <w:r w:rsidRPr="00DC0143">
        <w:rPr>
          <w:rFonts w:cs="Traditional Arabic" w:hint="cs"/>
          <w:color w:val="000000"/>
          <w:sz w:val="24"/>
          <w:szCs w:val="28"/>
          <w:rtl/>
        </w:rPr>
        <w:t xml:space="preserve"> أما الإيجارات التي يكون تاريخها غير ثابت والتي يكون عقدها بعد تسجي التنبيه ولم تدفع الأجرة أو بعضها مقدماً</w:t>
      </w:r>
      <w:r>
        <w:rPr>
          <w:rFonts w:cs="Traditional Arabic" w:hint="cs"/>
          <w:color w:val="000000"/>
          <w:sz w:val="24"/>
          <w:szCs w:val="28"/>
          <w:rtl/>
        </w:rPr>
        <w:t xml:space="preserve"> ، ،</w:t>
      </w:r>
      <w:r w:rsidRPr="00DC0143">
        <w:rPr>
          <w:rFonts w:cs="Traditional Arabic" w:hint="cs"/>
          <w:color w:val="000000"/>
          <w:sz w:val="24"/>
          <w:szCs w:val="28"/>
          <w:rtl/>
        </w:rPr>
        <w:t xml:space="preserve"> فتعتمد إذا ظهر أنها حاصلة من باب حسن الإدارة</w:t>
      </w:r>
      <w:r>
        <w:rPr>
          <w:rFonts w:cs="Traditional Arabic" w:hint="cs"/>
          <w:color w:val="000000"/>
          <w:sz w:val="24"/>
          <w:szCs w:val="28"/>
          <w:rtl/>
        </w:rPr>
        <w:t xml:space="preserve"> .</w:t>
      </w:r>
    </w:p>
  </w:footnote>
  <w:footnote w:id="87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جاء في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"والحكمة في هذه القيود أن الإيجار إذا زادت مدته على </w:t>
      </w:r>
      <w:r>
        <w:rPr>
          <w:rFonts w:cs="Traditional Arabic" w:hint="cs"/>
          <w:color w:val="000000"/>
          <w:sz w:val="24"/>
          <w:szCs w:val="28"/>
          <w:rtl/>
        </w:rPr>
        <w:t xml:space="preserve">( </w:t>
      </w:r>
      <w:r w:rsidRPr="00DC0143">
        <w:rPr>
          <w:rFonts w:cs="Traditional Arabic" w:hint="cs"/>
          <w:color w:val="000000"/>
          <w:sz w:val="24"/>
          <w:szCs w:val="28"/>
          <w:rtl/>
        </w:rPr>
        <w:t>تسع</w:t>
      </w:r>
      <w:r>
        <w:rPr>
          <w:rFonts w:cs="Traditional Arabic" w:hint="cs"/>
          <w:color w:val="000000"/>
          <w:sz w:val="24"/>
          <w:szCs w:val="28"/>
          <w:rtl/>
        </w:rPr>
        <w:t xml:space="preserve"> )</w:t>
      </w:r>
      <w:r w:rsidRPr="00DC0143">
        <w:rPr>
          <w:rFonts w:cs="Traditional Arabic" w:hint="cs"/>
          <w:color w:val="000000"/>
          <w:sz w:val="24"/>
          <w:szCs w:val="28"/>
          <w:rtl/>
        </w:rPr>
        <w:t xml:space="preserve"> سنوات صار أقرب إلى أعمال التصرف</w:t>
      </w:r>
      <w:r>
        <w:rPr>
          <w:rFonts w:cs="Traditional Arabic" w:hint="cs"/>
          <w:color w:val="000000"/>
          <w:sz w:val="24"/>
          <w:szCs w:val="28"/>
          <w:rtl/>
        </w:rPr>
        <w:t xml:space="preserve"> ،</w:t>
      </w:r>
      <w:r w:rsidRPr="00DC0143">
        <w:rPr>
          <w:rFonts w:cs="Traditional Arabic" w:hint="cs"/>
          <w:color w:val="000000"/>
          <w:sz w:val="24"/>
          <w:szCs w:val="28"/>
          <w:rtl/>
        </w:rPr>
        <w:t xml:space="preserve"> فوجب أن يكون معروفا للدائن المرتهن من طريق التسجيل وذلك قبل أن يقيد الرهن</w:t>
      </w:r>
      <w:r>
        <w:rPr>
          <w:rFonts w:cs="Traditional Arabic" w:hint="cs"/>
          <w:color w:val="000000"/>
          <w:sz w:val="24"/>
          <w:szCs w:val="28"/>
          <w:rtl/>
        </w:rPr>
        <w:t xml:space="preserve"> .</w:t>
      </w:r>
      <w:r w:rsidRPr="00DC0143">
        <w:rPr>
          <w:rFonts w:cs="Traditional Arabic" w:hint="cs"/>
          <w:color w:val="000000"/>
          <w:sz w:val="24"/>
          <w:szCs w:val="28"/>
          <w:rtl/>
        </w:rPr>
        <w:t xml:space="preserve"> ويجب</w:t>
      </w:r>
      <w:r>
        <w:rPr>
          <w:rFonts w:cs="Traditional Arabic" w:hint="cs"/>
          <w:color w:val="000000"/>
          <w:sz w:val="24"/>
          <w:szCs w:val="28"/>
          <w:rtl/>
        </w:rPr>
        <w:t xml:space="preserve"> ،</w:t>
      </w:r>
      <w:r w:rsidRPr="00DC0143">
        <w:rPr>
          <w:rFonts w:cs="Traditional Arabic" w:hint="cs"/>
          <w:color w:val="000000"/>
          <w:sz w:val="24"/>
          <w:szCs w:val="28"/>
          <w:rtl/>
        </w:rPr>
        <w:t>م ناحية أخرى</w:t>
      </w:r>
      <w:r>
        <w:rPr>
          <w:rFonts w:cs="Traditional Arabic" w:hint="cs"/>
          <w:color w:val="000000"/>
          <w:sz w:val="24"/>
          <w:szCs w:val="28"/>
          <w:rtl/>
        </w:rPr>
        <w:t xml:space="preserve"> ،</w:t>
      </w:r>
      <w:r w:rsidRPr="00DC0143">
        <w:rPr>
          <w:rFonts w:cs="Traditional Arabic" w:hint="cs"/>
          <w:color w:val="000000"/>
          <w:sz w:val="24"/>
          <w:szCs w:val="28"/>
          <w:rtl/>
        </w:rPr>
        <w:t xml:space="preserve"> أن يسبق الإيجار مهما كانت مدته تسجيل تنبيه نزع الملكية</w:t>
      </w:r>
      <w:r>
        <w:rPr>
          <w:rFonts w:cs="Traditional Arabic" w:hint="cs"/>
          <w:color w:val="000000"/>
          <w:sz w:val="24"/>
          <w:szCs w:val="28"/>
          <w:rtl/>
        </w:rPr>
        <w:t xml:space="preserve"> ،</w:t>
      </w:r>
      <w:r w:rsidRPr="00DC0143">
        <w:rPr>
          <w:rFonts w:cs="Traditional Arabic" w:hint="cs"/>
          <w:color w:val="000000"/>
          <w:sz w:val="24"/>
          <w:szCs w:val="28"/>
          <w:rtl/>
        </w:rPr>
        <w:t xml:space="preserve"> لأن الثمار تلحق بالعقار من ذلك الوقت</w:t>
      </w:r>
      <w:r>
        <w:rPr>
          <w:rFonts w:cs="Traditional Arabic" w:hint="cs"/>
          <w:color w:val="000000"/>
          <w:sz w:val="24"/>
          <w:szCs w:val="28"/>
          <w:rtl/>
        </w:rPr>
        <w:t xml:space="preserve"> ،</w:t>
      </w:r>
      <w:r w:rsidRPr="00DC0143">
        <w:rPr>
          <w:rFonts w:cs="Traditional Arabic" w:hint="cs"/>
          <w:color w:val="000000"/>
          <w:sz w:val="24"/>
          <w:szCs w:val="28"/>
          <w:rtl/>
        </w:rPr>
        <w:t xml:space="preserve"> والإيجار تصرف في الثمار فلا يسمح به بعد تسجيل التنبيه</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أمكن اعتباره نافعا للدائنين بأن كان داخلا في أعمال الإدارة الحسنة ولم تعجل فيه الأجرة"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43</w:t>
      </w:r>
      <w:r>
        <w:rPr>
          <w:rFonts w:cs="Traditional Arabic" w:hint="cs"/>
          <w:color w:val="000000"/>
          <w:sz w:val="24"/>
          <w:szCs w:val="28"/>
          <w:rtl/>
        </w:rPr>
        <w:t xml:space="preserve"> ) .</w:t>
      </w:r>
    </w:p>
  </w:footnote>
  <w:footnote w:id="87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بلانيول وريبير وبيكيه 12 فقرة 13 فقرة 897 ص 150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79 ص 239</w:t>
      </w:r>
      <w:r>
        <w:rPr>
          <w:rFonts w:cs="Traditional Arabic" w:hint="cs"/>
          <w:color w:val="000000"/>
          <w:sz w:val="24"/>
          <w:szCs w:val="28"/>
          <w:rtl/>
        </w:rPr>
        <w:t xml:space="preserve"> .</w:t>
      </w:r>
    </w:p>
  </w:footnote>
  <w:footnote w:id="87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جاء في المذكرة الإيضاحية للمروع التمهيدي ما يأتي</w:t>
      </w:r>
      <w:r>
        <w:rPr>
          <w:rFonts w:cs="Traditional Arabic" w:hint="cs"/>
          <w:color w:val="000000"/>
          <w:sz w:val="24"/>
          <w:szCs w:val="28"/>
          <w:rtl/>
        </w:rPr>
        <w:t xml:space="preserve"> :</w:t>
      </w:r>
      <w:r w:rsidRPr="00DC0143">
        <w:rPr>
          <w:rFonts w:cs="Traditional Arabic" w:hint="cs"/>
          <w:color w:val="000000"/>
          <w:sz w:val="24"/>
          <w:szCs w:val="28"/>
          <w:rtl/>
        </w:rPr>
        <w:t xml:space="preserve"> "أخص ما يتصل بالعقار المرهون إيجاره وقبض أجرته</w:t>
      </w:r>
      <w:r>
        <w:rPr>
          <w:rFonts w:cs="Traditional Arabic" w:hint="cs"/>
          <w:color w:val="000000"/>
          <w:sz w:val="24"/>
          <w:szCs w:val="28"/>
          <w:rtl/>
        </w:rPr>
        <w:t xml:space="preserve"> .</w:t>
      </w:r>
      <w:r w:rsidRPr="00DC0143">
        <w:rPr>
          <w:rFonts w:cs="Traditional Arabic" w:hint="cs"/>
          <w:color w:val="000000"/>
          <w:sz w:val="24"/>
          <w:szCs w:val="28"/>
          <w:rtl/>
        </w:rPr>
        <w:t xml:space="preserve"> أما الإيجار</w:t>
      </w:r>
      <w:r>
        <w:rPr>
          <w:rFonts w:cs="Traditional Arabic" w:hint="cs"/>
          <w:color w:val="000000"/>
          <w:sz w:val="24"/>
          <w:szCs w:val="28"/>
          <w:rtl/>
        </w:rPr>
        <w:t xml:space="preserve"> ،</w:t>
      </w:r>
      <w:r w:rsidRPr="00DC0143">
        <w:rPr>
          <w:rFonts w:cs="Traditional Arabic" w:hint="cs"/>
          <w:color w:val="000000"/>
          <w:sz w:val="24"/>
          <w:szCs w:val="28"/>
          <w:rtl/>
        </w:rPr>
        <w:t xml:space="preserve"> فإن كانت مدته أزيد م </w:t>
      </w:r>
      <w:r>
        <w:rPr>
          <w:rFonts w:cs="Traditional Arabic" w:hint="cs"/>
          <w:color w:val="000000"/>
          <w:sz w:val="24"/>
          <w:szCs w:val="28"/>
          <w:rtl/>
        </w:rPr>
        <w:t xml:space="preserve">( </w:t>
      </w:r>
      <w:r w:rsidRPr="00DC0143">
        <w:rPr>
          <w:rFonts w:cs="Traditional Arabic" w:hint="cs"/>
          <w:color w:val="000000"/>
          <w:sz w:val="24"/>
          <w:szCs w:val="28"/>
          <w:rtl/>
        </w:rPr>
        <w:t>تسع</w:t>
      </w:r>
      <w:r>
        <w:rPr>
          <w:rFonts w:cs="Traditional Arabic" w:hint="cs"/>
          <w:color w:val="000000"/>
          <w:sz w:val="24"/>
          <w:szCs w:val="28"/>
          <w:rtl/>
        </w:rPr>
        <w:t xml:space="preserve"> )</w:t>
      </w:r>
      <w:r w:rsidRPr="00DC0143">
        <w:rPr>
          <w:rFonts w:cs="Traditional Arabic" w:hint="cs"/>
          <w:color w:val="000000"/>
          <w:sz w:val="24"/>
          <w:szCs w:val="28"/>
          <w:rtl/>
        </w:rPr>
        <w:t xml:space="preserve"> سنوات فلا ينفذ في حق الدائن المرتهن إلا إذا كان مسجلا قبل قيد الرهن</w:t>
      </w:r>
      <w:r>
        <w:rPr>
          <w:rFonts w:cs="Traditional Arabic" w:hint="cs"/>
          <w:color w:val="000000"/>
          <w:sz w:val="24"/>
          <w:szCs w:val="28"/>
          <w:rtl/>
        </w:rPr>
        <w:t xml:space="preserve"> .</w:t>
      </w:r>
      <w:r w:rsidRPr="00DC0143">
        <w:rPr>
          <w:rFonts w:cs="Traditional Arabic" w:hint="cs"/>
          <w:color w:val="000000"/>
          <w:sz w:val="24"/>
          <w:szCs w:val="28"/>
          <w:rtl/>
        </w:rPr>
        <w:t xml:space="preserve"> فإن لم يكن مسجلا أنزل إلى </w:t>
      </w:r>
      <w:r>
        <w:rPr>
          <w:rFonts w:cs="Traditional Arabic" w:hint="cs"/>
          <w:color w:val="000000"/>
          <w:sz w:val="24"/>
          <w:szCs w:val="28"/>
          <w:rtl/>
        </w:rPr>
        <w:t xml:space="preserve">( </w:t>
      </w:r>
      <w:r w:rsidRPr="00DC0143">
        <w:rPr>
          <w:rFonts w:cs="Traditional Arabic" w:hint="cs"/>
          <w:color w:val="000000"/>
          <w:sz w:val="24"/>
          <w:szCs w:val="28"/>
          <w:rtl/>
        </w:rPr>
        <w:t>تسع</w:t>
      </w:r>
      <w:r>
        <w:rPr>
          <w:rFonts w:cs="Traditional Arabic" w:hint="cs"/>
          <w:color w:val="000000"/>
          <w:sz w:val="24"/>
          <w:szCs w:val="28"/>
          <w:rtl/>
        </w:rPr>
        <w:t xml:space="preserve"> )</w:t>
      </w:r>
      <w:r w:rsidRPr="00DC0143">
        <w:rPr>
          <w:rFonts w:cs="Traditional Arabic" w:hint="cs"/>
          <w:color w:val="000000"/>
          <w:sz w:val="24"/>
          <w:szCs w:val="28"/>
          <w:rtl/>
        </w:rPr>
        <w:t xml:space="preserve"> سنوات بشرط أن يكون تاريخه الثابت سابقاً على تسجيل تنبيه الملكية</w:t>
      </w:r>
      <w:r>
        <w:rPr>
          <w:rFonts w:cs="Traditional Arabic" w:hint="cs"/>
          <w:color w:val="000000"/>
          <w:sz w:val="24"/>
          <w:szCs w:val="28"/>
          <w:rtl/>
        </w:rPr>
        <w:t xml:space="preserve"> ،</w:t>
      </w:r>
      <w:r w:rsidRPr="00DC0143">
        <w:rPr>
          <w:rFonts w:cs="Traditional Arabic" w:hint="cs"/>
          <w:color w:val="000000"/>
          <w:sz w:val="24"/>
          <w:szCs w:val="28"/>
          <w:rtl/>
        </w:rPr>
        <w:t xml:space="preserve"> وإلا فلا ينفذ إلا إذا أنزل إلى مدة يمكن اعتباره فيها داخلا في أعمال الإدارة الحسنة ولم تعجل فيه الأجرة</w:t>
      </w:r>
      <w:r>
        <w:rPr>
          <w:rFonts w:cs="Traditional Arabic" w:hint="cs"/>
          <w:color w:val="000000"/>
          <w:sz w:val="24"/>
          <w:szCs w:val="28"/>
          <w:rtl/>
        </w:rPr>
        <w:t xml:space="preserve"> ،</w:t>
      </w:r>
      <w:r w:rsidRPr="00DC0143">
        <w:rPr>
          <w:rFonts w:cs="Traditional Arabic" w:hint="cs"/>
          <w:color w:val="000000"/>
          <w:sz w:val="24"/>
          <w:szCs w:val="28"/>
          <w:rtl/>
        </w:rPr>
        <w:t xml:space="preserve"> فينزل إلى السنة أو السنتين أو الثلاث حسب الظروف</w:t>
      </w:r>
      <w:r>
        <w:rPr>
          <w:rFonts w:cs="Traditional Arabic" w:hint="cs"/>
          <w:color w:val="000000"/>
          <w:sz w:val="24"/>
          <w:szCs w:val="28"/>
          <w:rtl/>
        </w:rPr>
        <w:t xml:space="preserve"> .</w:t>
      </w:r>
      <w:r w:rsidRPr="00DC0143">
        <w:rPr>
          <w:rFonts w:cs="Traditional Arabic" w:hint="cs"/>
          <w:color w:val="000000"/>
          <w:sz w:val="24"/>
          <w:szCs w:val="28"/>
          <w:rtl/>
        </w:rPr>
        <w:t xml:space="preserve"> أما إذا كان الإيجار لا تزيد مدته على </w:t>
      </w:r>
      <w:r>
        <w:rPr>
          <w:rFonts w:cs="Traditional Arabic" w:hint="cs"/>
          <w:color w:val="000000"/>
          <w:sz w:val="24"/>
          <w:szCs w:val="28"/>
          <w:rtl/>
        </w:rPr>
        <w:t xml:space="preserve">( </w:t>
      </w:r>
      <w:r w:rsidRPr="00DC0143">
        <w:rPr>
          <w:rFonts w:cs="Traditional Arabic" w:hint="cs"/>
          <w:color w:val="000000"/>
          <w:sz w:val="24"/>
          <w:szCs w:val="28"/>
          <w:rtl/>
        </w:rPr>
        <w:t>تسع</w:t>
      </w:r>
      <w:r>
        <w:rPr>
          <w:rFonts w:cs="Traditional Arabic" w:hint="cs"/>
          <w:color w:val="000000"/>
          <w:sz w:val="24"/>
          <w:szCs w:val="28"/>
          <w:rtl/>
        </w:rPr>
        <w:t xml:space="preserve"> )</w:t>
      </w:r>
      <w:r w:rsidRPr="00DC0143">
        <w:rPr>
          <w:rFonts w:cs="Traditional Arabic" w:hint="cs"/>
          <w:color w:val="000000"/>
          <w:sz w:val="24"/>
          <w:szCs w:val="28"/>
          <w:rtl/>
        </w:rPr>
        <w:t xml:space="preserve"> سنوات فينفذ في حق الدائن المرتهن ولو غير مسجل ما دام ثابت التاريخ وسابقا على تسجيل تنبيه الملكية</w:t>
      </w:r>
      <w:r>
        <w:rPr>
          <w:rFonts w:cs="Traditional Arabic" w:hint="cs"/>
          <w:color w:val="000000"/>
          <w:sz w:val="24"/>
          <w:szCs w:val="28"/>
          <w:rtl/>
        </w:rPr>
        <w:t xml:space="preserve"> .</w:t>
      </w:r>
      <w:r w:rsidRPr="00DC0143">
        <w:rPr>
          <w:rFonts w:cs="Traditional Arabic" w:hint="cs"/>
          <w:color w:val="000000"/>
          <w:sz w:val="24"/>
          <w:szCs w:val="28"/>
          <w:rtl/>
        </w:rPr>
        <w:t xml:space="preserve"> فإن لم يكن كذلك</w:t>
      </w:r>
      <w:r>
        <w:rPr>
          <w:rFonts w:cs="Traditional Arabic" w:hint="cs"/>
          <w:color w:val="000000"/>
          <w:sz w:val="24"/>
          <w:szCs w:val="28"/>
          <w:rtl/>
        </w:rPr>
        <w:t xml:space="preserve"> ،</w:t>
      </w:r>
      <w:r w:rsidRPr="00DC0143">
        <w:rPr>
          <w:rFonts w:cs="Traditional Arabic" w:hint="cs"/>
          <w:color w:val="000000"/>
          <w:sz w:val="24"/>
          <w:szCs w:val="28"/>
          <w:rtl/>
        </w:rPr>
        <w:t xml:space="preserve"> أنزل إلى حدود الإدارة الحسنة على النحو الذي تقدم"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43</w:t>
      </w:r>
      <w:r>
        <w:rPr>
          <w:rFonts w:cs="Traditional Arabic" w:hint="cs"/>
          <w:color w:val="000000"/>
          <w:sz w:val="24"/>
          <w:szCs w:val="28"/>
          <w:rtl/>
        </w:rPr>
        <w:t xml:space="preserve"> ) .</w:t>
      </w:r>
    </w:p>
  </w:footnote>
  <w:footnote w:id="87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شمس الدين الوكيل فقرة 76 </w:t>
      </w:r>
      <w:r w:rsidRPr="00DC0143">
        <w:rPr>
          <w:rFonts w:cs="Traditional Arabic"/>
          <w:color w:val="000000"/>
          <w:sz w:val="24"/>
          <w:szCs w:val="28"/>
          <w:rtl/>
        </w:rPr>
        <w:t>–</w:t>
      </w:r>
      <w:r w:rsidRPr="00DC0143">
        <w:rPr>
          <w:rFonts w:cs="Traditional Arabic" w:hint="cs"/>
          <w:color w:val="000000"/>
          <w:sz w:val="24"/>
          <w:szCs w:val="28"/>
          <w:rtl/>
        </w:rPr>
        <w:t xml:space="preserve"> ص 240 </w:t>
      </w:r>
      <w:r w:rsidRPr="00DC0143">
        <w:rPr>
          <w:rFonts w:cs="Traditional Arabic"/>
          <w:color w:val="000000"/>
          <w:sz w:val="24"/>
          <w:szCs w:val="28"/>
          <w:rtl/>
        </w:rPr>
        <w:t>–</w:t>
      </w:r>
      <w:r w:rsidRPr="00DC0143">
        <w:rPr>
          <w:rFonts w:cs="Traditional Arabic" w:hint="cs"/>
          <w:color w:val="000000"/>
          <w:sz w:val="24"/>
          <w:szCs w:val="28"/>
          <w:rtl/>
        </w:rPr>
        <w:t xml:space="preserve"> 241 </w:t>
      </w:r>
      <w:r w:rsidRPr="00DC0143">
        <w:rPr>
          <w:rFonts w:cs="Traditional Arabic"/>
          <w:color w:val="000000"/>
          <w:sz w:val="24"/>
          <w:szCs w:val="28"/>
          <w:rtl/>
        </w:rPr>
        <w:t>–</w:t>
      </w:r>
      <w:r w:rsidRPr="00DC0143">
        <w:rPr>
          <w:rFonts w:cs="Traditional Arabic" w:hint="cs"/>
          <w:color w:val="000000"/>
          <w:sz w:val="24"/>
          <w:szCs w:val="28"/>
          <w:rtl/>
        </w:rPr>
        <w:t xml:space="preserve"> ولا يرى الطعن في العقد بالدعوى البولصية ويورد أقوال الفقهاء والفرنسيين في ذلك</w:t>
      </w:r>
      <w:r>
        <w:rPr>
          <w:rFonts w:cs="Traditional Arabic" w:hint="cs"/>
          <w:color w:val="000000"/>
          <w:sz w:val="24"/>
          <w:szCs w:val="28"/>
          <w:rtl/>
        </w:rPr>
        <w:t xml:space="preserve"> .</w:t>
      </w:r>
    </w:p>
  </w:footnote>
  <w:footnote w:id="87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1454 من المروع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فيما عدا أن المشروع التمهيدي كان يجعل مدة المخالصة اوالوالة بالأجرة مقدما سنة واحدة</w:t>
      </w:r>
      <w:r>
        <w:rPr>
          <w:rFonts w:cs="Traditional Arabic" w:hint="cs"/>
          <w:color w:val="000000"/>
          <w:sz w:val="24"/>
          <w:szCs w:val="28"/>
          <w:rtl/>
        </w:rPr>
        <w:t xml:space="preserve"> .</w:t>
      </w:r>
      <w:r w:rsidRPr="00DC0143">
        <w:rPr>
          <w:rFonts w:cs="Traditional Arabic" w:hint="cs"/>
          <w:color w:val="000000"/>
          <w:sz w:val="24"/>
          <w:szCs w:val="28"/>
          <w:rtl/>
        </w:rPr>
        <w:t xml:space="preserve"> وقد وافقت لجنة المراجعة على النص تحت رقم 1141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بعد رفع المدة إلى ثلاث سنوات</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على مجلس النواب تحت رقم 1127</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1046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45 ص 47</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r w:rsidRPr="00DC0143">
        <w:rPr>
          <w:rFonts w:cs="Traditional Arabic" w:hint="cs"/>
          <w:color w:val="000000"/>
          <w:sz w:val="24"/>
          <w:szCs w:val="28"/>
          <w:rtl/>
        </w:rPr>
        <w:t>ولكن يقابله المادة 2 ن قانون التسجيل</w:t>
      </w:r>
      <w:r>
        <w:rPr>
          <w:rFonts w:cs="Traditional Arabic" w:hint="cs"/>
          <w:color w:val="000000"/>
          <w:sz w:val="24"/>
          <w:szCs w:val="28"/>
          <w:rtl/>
        </w:rPr>
        <w:t xml:space="preserve"> :</w:t>
      </w:r>
      <w:r w:rsidRPr="00DC0143">
        <w:rPr>
          <w:rFonts w:cs="Traditional Arabic" w:hint="cs"/>
          <w:color w:val="000000"/>
          <w:sz w:val="24"/>
          <w:szCs w:val="28"/>
          <w:rtl/>
        </w:rPr>
        <w:t xml:space="preserve"> يجب أيضاً تسجيل ما يأتي</w:t>
      </w:r>
      <w:r>
        <w:rPr>
          <w:rFonts w:cs="Traditional Arabic" w:hint="cs"/>
          <w:color w:val="000000"/>
          <w:sz w:val="24"/>
          <w:szCs w:val="28"/>
          <w:rtl/>
        </w:rPr>
        <w:t xml:space="preserve"> :( </w:t>
      </w:r>
      <w:r w:rsidRPr="00DC0143">
        <w:rPr>
          <w:rFonts w:cs="Traditional Arabic" w:hint="cs"/>
          <w:color w:val="000000"/>
          <w:sz w:val="24"/>
          <w:szCs w:val="28"/>
          <w:rtl/>
        </w:rPr>
        <w:t>أولا</w:t>
      </w:r>
      <w:r>
        <w:rPr>
          <w:rFonts w:cs="Traditional Arabic" w:hint="cs"/>
          <w:color w:val="000000"/>
          <w:sz w:val="24"/>
          <w:szCs w:val="28"/>
          <w:rtl/>
        </w:rPr>
        <w:t xml:space="preserve"> )</w:t>
      </w:r>
      <w:r w:rsidRPr="00DC0143">
        <w:rPr>
          <w:rFonts w:cs="Traditional Arabic" w:hint="cs"/>
          <w:color w:val="000000"/>
          <w:sz w:val="24"/>
          <w:szCs w:val="28"/>
          <w:rtl/>
        </w:rPr>
        <w:t xml:space="preserve"> العقود والأحكام النهائية المقررة لحقوق الملكية أو الحقوق العينية العقارية الأخرى المشار إليها في المادة السابقة بما فيها القسمة العقارية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ثانيا</w:t>
      </w:r>
      <w:r>
        <w:rPr>
          <w:rFonts w:cs="Traditional Arabic" w:hint="cs"/>
          <w:color w:val="000000"/>
          <w:sz w:val="24"/>
          <w:szCs w:val="28"/>
          <w:rtl/>
        </w:rPr>
        <w:t xml:space="preserve"> )</w:t>
      </w:r>
      <w:r w:rsidRPr="00DC0143">
        <w:rPr>
          <w:rFonts w:cs="Traditional Arabic" w:hint="cs"/>
          <w:color w:val="000000"/>
          <w:sz w:val="24"/>
          <w:szCs w:val="28"/>
          <w:rtl/>
        </w:rPr>
        <w:t xml:space="preserve"> الإيجارات التي تزيد مدتها على تسع سنوات والمخالصات بأكثر من أجرة ثلاث سنوات مقدما</w:t>
      </w:r>
      <w:r>
        <w:rPr>
          <w:rFonts w:cs="Traditional Arabic" w:hint="cs"/>
          <w:color w:val="000000"/>
          <w:sz w:val="24"/>
          <w:szCs w:val="28"/>
          <w:rtl/>
        </w:rPr>
        <w:t xml:space="preserve"> .</w:t>
      </w:r>
      <w:r w:rsidRPr="00DC0143">
        <w:rPr>
          <w:rFonts w:cs="Traditional Arabic" w:hint="cs"/>
          <w:color w:val="000000"/>
          <w:sz w:val="24"/>
          <w:szCs w:val="28"/>
          <w:rtl/>
        </w:rPr>
        <w:t xml:space="preserve"> فإذا لم تسجل هذه الأحكام والسندات فلا تكون حجة على الغير كما أنها لا تكون حجة كذلك ولو كانت مسجلة إذا داخلها التدليس</w:t>
      </w:r>
      <w:r>
        <w:rPr>
          <w:rFonts w:cs="Traditional Arabic" w:hint="cs"/>
          <w:color w:val="000000"/>
          <w:sz w:val="24"/>
          <w:szCs w:val="28"/>
          <w:rtl/>
        </w:rPr>
        <w:t xml:space="preserve"> ،</w:t>
      </w:r>
      <w:r w:rsidRPr="00DC0143">
        <w:rPr>
          <w:rFonts w:cs="Traditional Arabic" w:hint="cs"/>
          <w:color w:val="000000"/>
          <w:sz w:val="24"/>
          <w:szCs w:val="28"/>
          <w:rtl/>
        </w:rPr>
        <w:t xml:space="preserve"> غير أنه فيما يتعلق بالعقود المشار إليها في الفقرة الثانية من هذه المادة لا يكون للغير سوى حق تخفيض الإجارة إلى تسع سنوات إذا زادت مدتها عن ذلك وعدم اعتماد ما دفع مقدما زائد عن أجرة ثلاثة سنين</w:t>
      </w:r>
      <w:r>
        <w:rPr>
          <w:rFonts w:cs="Traditional Arabic" w:hint="cs"/>
          <w:color w:val="000000"/>
          <w:sz w:val="24"/>
          <w:szCs w:val="28"/>
          <w:rtl/>
        </w:rPr>
        <w:t xml:space="preserve"> .</w:t>
      </w:r>
    </w:p>
  </w:footnote>
  <w:footnote w:id="87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شمس الدين الوكيل فقرة 77 ص 243</w:t>
      </w:r>
      <w:r>
        <w:rPr>
          <w:rFonts w:cs="Traditional Arabic" w:hint="cs"/>
          <w:color w:val="000000"/>
          <w:sz w:val="24"/>
          <w:szCs w:val="28"/>
          <w:rtl/>
        </w:rPr>
        <w:t xml:space="preserve"> .</w:t>
      </w:r>
    </w:p>
  </w:footnote>
  <w:footnote w:id="88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160</w:t>
      </w:r>
      <w:r>
        <w:rPr>
          <w:rFonts w:cs="Traditional Arabic" w:hint="cs"/>
          <w:color w:val="000000"/>
          <w:sz w:val="24"/>
          <w:szCs w:val="28"/>
          <w:rtl/>
        </w:rPr>
        <w:t xml:space="preserve"> .</w:t>
      </w:r>
    </w:p>
  </w:footnote>
  <w:footnote w:id="88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جارسوينيه وسيزاد برو في قانون المرافعات 4 فقرة 363 </w:t>
      </w:r>
      <w:r w:rsidRPr="00DC0143">
        <w:rPr>
          <w:rFonts w:cs="Traditional Arabic"/>
          <w:color w:val="000000"/>
          <w:sz w:val="24"/>
          <w:szCs w:val="28"/>
          <w:rtl/>
        </w:rPr>
        <w:t>–</w:t>
      </w:r>
      <w:r w:rsidRPr="00DC0143">
        <w:rPr>
          <w:rFonts w:cs="Traditional Arabic" w:hint="cs"/>
          <w:color w:val="000000"/>
          <w:sz w:val="24"/>
          <w:szCs w:val="28"/>
          <w:rtl/>
        </w:rPr>
        <w:t xml:space="preserve"> كيش في طرق التنفيذ فقرة 210 </w:t>
      </w:r>
      <w:r>
        <w:rPr>
          <w:rFonts w:cs="Traditional Arabic" w:hint="cs"/>
          <w:color w:val="000000"/>
          <w:sz w:val="24"/>
          <w:szCs w:val="28"/>
          <w:rtl/>
        </w:rPr>
        <w:t xml:space="preserve"> .</w:t>
      </w:r>
    </w:p>
  </w:footnote>
  <w:footnote w:id="88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هذا المعنى بلانيول وريبير وبيكيه 13 فقرة 291 </w:t>
      </w:r>
      <w:r w:rsidRPr="00DC0143">
        <w:rPr>
          <w:rFonts w:cs="Traditional Arabic"/>
          <w:color w:val="000000"/>
          <w:sz w:val="24"/>
          <w:szCs w:val="28"/>
          <w:rtl/>
        </w:rPr>
        <w:t>–</w:t>
      </w:r>
      <w:r w:rsidRPr="00DC0143">
        <w:rPr>
          <w:rFonts w:cs="Traditional Arabic" w:hint="cs"/>
          <w:color w:val="000000"/>
          <w:sz w:val="24"/>
          <w:szCs w:val="28"/>
          <w:rtl/>
        </w:rPr>
        <w:t xml:space="preserve"> أنسيكلوبيدي داللوز 2 لفظ </w:t>
      </w:r>
      <w:r w:rsidRPr="00DC0143">
        <w:rPr>
          <w:rFonts w:cs="Traditional Arabic"/>
          <w:color w:val="000000"/>
          <w:sz w:val="24"/>
          <w:szCs w:val="28"/>
        </w:rPr>
        <w:t>Fruits</w:t>
      </w:r>
      <w:r w:rsidRPr="00DC0143">
        <w:rPr>
          <w:rFonts w:cs="Traditional Arabic" w:hint="cs"/>
          <w:color w:val="000000"/>
          <w:sz w:val="24"/>
          <w:szCs w:val="28"/>
          <w:rtl/>
        </w:rPr>
        <w:t xml:space="preserve"> فقرة 91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228 - شمس الدين الوكيل فقرة 78 ص 245</w:t>
      </w:r>
      <w:r>
        <w:rPr>
          <w:rFonts w:cs="Traditional Arabic" w:hint="cs"/>
          <w:color w:val="000000"/>
          <w:sz w:val="24"/>
          <w:szCs w:val="28"/>
          <w:rtl/>
        </w:rPr>
        <w:t xml:space="preserve"> .</w:t>
      </w:r>
    </w:p>
  </w:footnote>
  <w:footnote w:id="88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في ذلك شمس الدين الوكيل فقرة 78</w:t>
      </w:r>
      <w:r>
        <w:rPr>
          <w:rFonts w:cs="Traditional Arabic" w:hint="cs"/>
          <w:color w:val="000000"/>
          <w:sz w:val="24"/>
          <w:szCs w:val="28"/>
          <w:rtl/>
        </w:rPr>
        <w:t xml:space="preserve"> .</w:t>
      </w:r>
    </w:p>
  </w:footnote>
  <w:footnote w:id="88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"ويستبقى الراهن حق التصرف في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ويستبقى كذلك عنصري الملكية الآخرين</w:t>
      </w:r>
      <w:r>
        <w:rPr>
          <w:rFonts w:cs="Traditional Arabic" w:hint="cs"/>
          <w:color w:val="000000"/>
          <w:sz w:val="24"/>
          <w:szCs w:val="28"/>
          <w:rtl/>
        </w:rPr>
        <w:t xml:space="preserve"> ،</w:t>
      </w:r>
      <w:r w:rsidRPr="00DC0143">
        <w:rPr>
          <w:rFonts w:cs="Traditional Arabic" w:hint="cs"/>
          <w:color w:val="000000"/>
          <w:sz w:val="24"/>
          <w:szCs w:val="28"/>
          <w:rtl/>
        </w:rPr>
        <w:t xml:space="preserve"> حق الاستعمال وحق الاستغلال</w:t>
      </w:r>
      <w:r>
        <w:rPr>
          <w:rFonts w:cs="Traditional Arabic" w:hint="cs"/>
          <w:color w:val="000000"/>
          <w:sz w:val="24"/>
          <w:szCs w:val="28"/>
          <w:rtl/>
        </w:rPr>
        <w:t xml:space="preserve"> .</w:t>
      </w:r>
      <w:r w:rsidRPr="00DC0143">
        <w:rPr>
          <w:rFonts w:cs="Traditional Arabic" w:hint="cs"/>
          <w:color w:val="000000"/>
          <w:sz w:val="24"/>
          <w:szCs w:val="28"/>
          <w:rtl/>
        </w:rPr>
        <w:t xml:space="preserve"> فله أن يستعمل العقار بنفسه</w:t>
      </w:r>
      <w:r>
        <w:rPr>
          <w:rFonts w:cs="Traditional Arabic" w:hint="cs"/>
          <w:color w:val="000000"/>
          <w:sz w:val="24"/>
          <w:szCs w:val="28"/>
          <w:rtl/>
        </w:rPr>
        <w:t xml:space="preserve"> ،</w:t>
      </w:r>
      <w:r w:rsidRPr="00DC0143">
        <w:rPr>
          <w:rFonts w:cs="Traditional Arabic" w:hint="cs"/>
          <w:color w:val="000000"/>
          <w:sz w:val="24"/>
          <w:szCs w:val="28"/>
          <w:rtl/>
        </w:rPr>
        <w:t xml:space="preserve"> وله أن يستغله فيجني ثمراته"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41</w:t>
      </w:r>
      <w:r>
        <w:rPr>
          <w:rFonts w:cs="Traditional Arabic" w:hint="cs"/>
          <w:color w:val="000000"/>
          <w:sz w:val="24"/>
          <w:szCs w:val="28"/>
          <w:rtl/>
        </w:rPr>
        <w:t xml:space="preserve"> ) .</w:t>
      </w:r>
    </w:p>
  </w:footnote>
  <w:footnote w:id="88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30 ص 112</w:t>
      </w:r>
      <w:r>
        <w:rPr>
          <w:rFonts w:cs="Traditional Arabic" w:hint="cs"/>
          <w:color w:val="000000"/>
          <w:sz w:val="24"/>
          <w:szCs w:val="28"/>
          <w:rtl/>
        </w:rPr>
        <w:t xml:space="preserve"> .</w:t>
      </w:r>
    </w:p>
  </w:footnote>
  <w:footnote w:id="88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المذكرة الإيضاحية للمشروع التمهيدي 7 ص 49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73</w:t>
      </w:r>
      <w:r>
        <w:rPr>
          <w:rFonts w:cs="Traditional Arabic" w:hint="cs"/>
          <w:color w:val="000000"/>
          <w:sz w:val="24"/>
          <w:szCs w:val="28"/>
          <w:rtl/>
        </w:rPr>
        <w:t xml:space="preserve"> .</w:t>
      </w:r>
    </w:p>
  </w:footnote>
  <w:footnote w:id="88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1050</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1459 من المروع التمهيدي على وجه مطابق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غير أن المروع التمهيدي كان يحتوي على فقرة أولى تجري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"يجوز للدائن المرتهن أن ينفذ بحقه على أموال المدين ير المخصصة لضمان هذا الحق</w:t>
      </w:r>
      <w:r>
        <w:rPr>
          <w:rFonts w:cs="Traditional Arabic" w:hint="cs"/>
          <w:color w:val="000000"/>
          <w:sz w:val="24"/>
          <w:szCs w:val="28"/>
          <w:rtl/>
        </w:rPr>
        <w:t xml:space="preserve"> ،</w:t>
      </w:r>
      <w:r w:rsidRPr="00DC0143">
        <w:rPr>
          <w:rFonts w:cs="Traditional Arabic" w:hint="cs"/>
          <w:color w:val="000000"/>
          <w:sz w:val="24"/>
          <w:szCs w:val="28"/>
          <w:rtl/>
        </w:rPr>
        <w:t xml:space="preserve"> شأنه في ذلك شأن كل دائن عادي</w:t>
      </w:r>
      <w:r>
        <w:rPr>
          <w:rFonts w:cs="Traditional Arabic" w:hint="cs"/>
          <w:color w:val="000000"/>
          <w:sz w:val="24"/>
          <w:szCs w:val="28"/>
          <w:rtl/>
        </w:rPr>
        <w:t xml:space="preserve"> ،</w:t>
      </w:r>
      <w:r w:rsidRPr="00DC0143">
        <w:rPr>
          <w:rFonts w:cs="Traditional Arabic" w:hint="cs"/>
          <w:color w:val="000000"/>
          <w:sz w:val="24"/>
          <w:szCs w:val="28"/>
          <w:rtl/>
        </w:rPr>
        <w:t xml:space="preserve"> وذلك مع مراعاة أحكام المادتين 328 و 329"</w:t>
      </w:r>
      <w:r>
        <w:rPr>
          <w:rFonts w:cs="Traditional Arabic" w:hint="cs"/>
          <w:color w:val="000000"/>
          <w:sz w:val="24"/>
          <w:szCs w:val="28"/>
          <w:rtl/>
        </w:rPr>
        <w:t xml:space="preserve"> .</w:t>
      </w:r>
      <w:r w:rsidRPr="00DC0143">
        <w:rPr>
          <w:rFonts w:cs="Traditional Arabic" w:hint="cs"/>
          <w:color w:val="000000"/>
          <w:sz w:val="24"/>
          <w:szCs w:val="28"/>
          <w:rtl/>
        </w:rPr>
        <w:t>وحذفت لجنة المراجعة هذه الفقرة"لأن حكمها مستفاد م القواعد العامة"</w:t>
      </w:r>
      <w:r>
        <w:rPr>
          <w:rFonts w:cs="Traditional Arabic" w:hint="cs"/>
          <w:color w:val="000000"/>
          <w:sz w:val="24"/>
          <w:szCs w:val="28"/>
          <w:rtl/>
        </w:rPr>
        <w:t xml:space="preserve"> ،</w:t>
      </w:r>
      <w:r w:rsidRPr="00DC0143">
        <w:rPr>
          <w:rFonts w:cs="Traditional Arabic" w:hint="cs"/>
          <w:color w:val="000000"/>
          <w:sz w:val="24"/>
          <w:szCs w:val="28"/>
          <w:rtl/>
        </w:rPr>
        <w:t xml:space="preserve"> ووافقت على بقية النص تحت رقم 1145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1131</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1050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56 </w:t>
      </w:r>
      <w:r w:rsidRPr="00DC0143">
        <w:rPr>
          <w:rFonts w:cs="Traditional Arabic"/>
          <w:color w:val="000000"/>
          <w:sz w:val="24"/>
          <w:szCs w:val="28"/>
          <w:rtl/>
        </w:rPr>
        <w:t>–</w:t>
      </w:r>
      <w:r w:rsidRPr="00DC0143">
        <w:rPr>
          <w:rFonts w:cs="Traditional Arabic" w:hint="cs"/>
          <w:color w:val="000000"/>
          <w:sz w:val="24"/>
          <w:szCs w:val="28"/>
          <w:rtl/>
        </w:rPr>
        <w:t xml:space="preserve"> ص 57</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1051</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1460 من المشروع التمهيدي على وجه يكاد يكون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ووافقت لجنة المراجعة على النص بعد إدخال بعض تعديلات لفظية لعيه فأصبح مطابقاً لما استقر لعيه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وصار رقمه 1146 في المروع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النواب تحت رقم 1132</w:t>
      </w:r>
      <w:r>
        <w:rPr>
          <w:rFonts w:cs="Traditional Arabic" w:hint="cs"/>
          <w:color w:val="000000"/>
          <w:sz w:val="24"/>
          <w:szCs w:val="28"/>
          <w:rtl/>
        </w:rPr>
        <w:t xml:space="preserve"> ،</w:t>
      </w:r>
      <w:r w:rsidRPr="00DC0143">
        <w:rPr>
          <w:rFonts w:cs="Traditional Arabic" w:hint="cs"/>
          <w:color w:val="000000"/>
          <w:sz w:val="24"/>
          <w:szCs w:val="28"/>
          <w:rtl/>
        </w:rPr>
        <w:t xml:space="preserve"> ثم مجلس الشيوخ تحت رقم 1051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58 </w:t>
      </w:r>
      <w:r w:rsidRPr="00DC0143">
        <w:rPr>
          <w:rFonts w:cs="Traditional Arabic"/>
          <w:color w:val="000000"/>
          <w:sz w:val="24"/>
          <w:szCs w:val="28"/>
          <w:rtl/>
        </w:rPr>
        <w:t>–</w:t>
      </w:r>
      <w:r w:rsidRPr="00DC0143">
        <w:rPr>
          <w:rFonts w:cs="Traditional Arabic" w:hint="cs"/>
          <w:color w:val="000000"/>
          <w:sz w:val="24"/>
          <w:szCs w:val="28"/>
          <w:rtl/>
        </w:rPr>
        <w:t xml:space="preserve"> ص 60</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573 / 697 فقرة أولى</w:t>
      </w:r>
      <w:r>
        <w:rPr>
          <w:rFonts w:cs="Traditional Arabic" w:hint="cs"/>
          <w:color w:val="000000"/>
          <w:sz w:val="24"/>
          <w:szCs w:val="28"/>
          <w:rtl/>
        </w:rPr>
        <w:t xml:space="preserve"> :</w:t>
      </w:r>
      <w:r w:rsidRPr="00DC0143">
        <w:rPr>
          <w:rFonts w:cs="Traditional Arabic" w:hint="cs"/>
          <w:color w:val="000000"/>
          <w:sz w:val="24"/>
          <w:szCs w:val="28"/>
          <w:rtl/>
        </w:rPr>
        <w:t xml:space="preserve"> يجوز للدائن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عند حلول أجل الدين</w:t>
      </w:r>
      <w:r>
        <w:rPr>
          <w:rFonts w:cs="Traditional Arabic" w:hint="cs"/>
          <w:color w:val="000000"/>
          <w:sz w:val="24"/>
          <w:szCs w:val="28"/>
          <w:rtl/>
        </w:rPr>
        <w:t xml:space="preserve"> ،</w:t>
      </w:r>
      <w:r w:rsidRPr="00DC0143">
        <w:rPr>
          <w:rFonts w:cs="Traditional Arabic" w:hint="cs"/>
          <w:color w:val="000000"/>
          <w:sz w:val="24"/>
          <w:szCs w:val="28"/>
          <w:rtl/>
        </w:rPr>
        <w:t xml:space="preserve"> أن يشرع</w:t>
      </w:r>
      <w:r>
        <w:rPr>
          <w:rFonts w:cs="Traditional Arabic" w:hint="cs"/>
          <w:color w:val="000000"/>
          <w:sz w:val="24"/>
          <w:szCs w:val="28"/>
          <w:rtl/>
        </w:rPr>
        <w:t xml:space="preserve"> ،</w:t>
      </w:r>
      <w:r w:rsidRPr="00DC0143">
        <w:rPr>
          <w:rFonts w:cs="Traditional Arabic" w:hint="cs"/>
          <w:color w:val="000000"/>
          <w:sz w:val="24"/>
          <w:szCs w:val="28"/>
          <w:rtl/>
        </w:rPr>
        <w:t xml:space="preserve"> بعد التنبيه على المدين بالوفاء وإنذاره ببيع العقار</w:t>
      </w:r>
      <w:r>
        <w:rPr>
          <w:rFonts w:cs="Traditional Arabic" w:hint="cs"/>
          <w:color w:val="000000"/>
          <w:sz w:val="24"/>
          <w:szCs w:val="28"/>
          <w:rtl/>
        </w:rPr>
        <w:t xml:space="preserve"> ،</w:t>
      </w:r>
      <w:r w:rsidRPr="00DC0143">
        <w:rPr>
          <w:rFonts w:cs="Traditional Arabic" w:hint="cs"/>
          <w:color w:val="000000"/>
          <w:sz w:val="24"/>
          <w:szCs w:val="28"/>
          <w:rtl/>
        </w:rPr>
        <w:t xml:space="preserve"> في نزع ملكية العقار المرهون وبيعه في المواعيد المبينة في قانون المرافعات والأوجه الموضحة به</w:t>
      </w:r>
      <w:r>
        <w:rPr>
          <w:rFonts w:cs="Traditional Arabic" w:hint="cs"/>
          <w:color w:val="000000"/>
          <w:sz w:val="24"/>
          <w:szCs w:val="28"/>
          <w:rtl/>
        </w:rPr>
        <w:t xml:space="preserve"> ،</w:t>
      </w:r>
      <w:r w:rsidRPr="00DC0143">
        <w:rPr>
          <w:rFonts w:cs="Traditional Arabic" w:hint="cs"/>
          <w:color w:val="000000"/>
          <w:sz w:val="24"/>
          <w:szCs w:val="28"/>
          <w:rtl/>
        </w:rPr>
        <w:t xml:space="preserve"> وهذا فضلا عما له م حق المطالبة على المدين شخصيا</w:t>
      </w:r>
      <w:r>
        <w:rPr>
          <w:rFonts w:cs="Traditional Arabic" w:hint="cs"/>
          <w:color w:val="000000"/>
          <w:sz w:val="24"/>
          <w:szCs w:val="28"/>
          <w:rtl/>
        </w:rPr>
        <w:t xml:space="preserve">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م 1052</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1461 من المشروع التمهيدي لم يكن يشتمل على عبارة "أو قسط منه" في الفقرة الثانية</w:t>
      </w:r>
      <w:r>
        <w:rPr>
          <w:rFonts w:cs="Traditional Arabic" w:hint="cs"/>
          <w:color w:val="000000"/>
          <w:sz w:val="24"/>
          <w:szCs w:val="28"/>
          <w:rtl/>
        </w:rPr>
        <w:t xml:space="preserve"> .</w:t>
      </w:r>
      <w:r w:rsidRPr="00DC0143">
        <w:rPr>
          <w:rFonts w:cs="Traditional Arabic" w:hint="cs"/>
          <w:color w:val="000000"/>
          <w:sz w:val="24"/>
          <w:szCs w:val="28"/>
          <w:rtl/>
        </w:rPr>
        <w:t xml:space="preserve"> وأدخلت لجنة المراجعة على النص بعض تعديلات لفظية</w:t>
      </w:r>
      <w:r>
        <w:rPr>
          <w:rFonts w:cs="Traditional Arabic" w:hint="cs"/>
          <w:color w:val="000000"/>
          <w:sz w:val="24"/>
          <w:szCs w:val="28"/>
          <w:rtl/>
        </w:rPr>
        <w:t xml:space="preserve"> ،</w:t>
      </w:r>
      <w:r w:rsidRPr="00DC0143">
        <w:rPr>
          <w:rFonts w:cs="Traditional Arabic" w:hint="cs"/>
          <w:color w:val="000000"/>
          <w:sz w:val="24"/>
          <w:szCs w:val="28"/>
          <w:rtl/>
        </w:rPr>
        <w:t xml:space="preserve"> وأقرته تحت رقم 1147 في المروع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وأضاف مجلس النواب عبارة "أو قسط منه" قبل كلمة "الاتفاق" في الفقرة الثانية</w:t>
      </w:r>
      <w:r>
        <w:rPr>
          <w:rFonts w:cs="Traditional Arabic" w:hint="cs"/>
          <w:color w:val="000000"/>
          <w:sz w:val="24"/>
          <w:szCs w:val="28"/>
          <w:rtl/>
        </w:rPr>
        <w:t xml:space="preserve"> ،</w:t>
      </w:r>
      <w:r w:rsidRPr="00DC0143">
        <w:rPr>
          <w:rFonts w:cs="Traditional Arabic" w:hint="cs"/>
          <w:color w:val="000000"/>
          <w:sz w:val="24"/>
          <w:szCs w:val="28"/>
          <w:rtl/>
        </w:rPr>
        <w:t xml:space="preserve"> فصار النص تحت رقم 1133 مطابقاً لما استقر عليه في التقنين المدني الجديد</w:t>
      </w:r>
      <w:r>
        <w:rPr>
          <w:rFonts w:cs="Traditional Arabic" w:hint="cs"/>
          <w:color w:val="000000"/>
          <w:sz w:val="24"/>
          <w:szCs w:val="28"/>
          <w:rtl/>
        </w:rPr>
        <w:t xml:space="preserve"> .</w:t>
      </w:r>
      <w:r w:rsidRPr="00DC0143">
        <w:rPr>
          <w:rFonts w:cs="Traditional Arabic" w:hint="cs"/>
          <w:color w:val="000000"/>
          <w:sz w:val="24"/>
          <w:szCs w:val="28"/>
          <w:rtl/>
        </w:rPr>
        <w:t xml:space="preserve"> ووافق عليه مجلس الشيوخ تحت رقم 1052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60 </w:t>
      </w:r>
      <w:r w:rsidRPr="00DC0143">
        <w:rPr>
          <w:rFonts w:cs="Traditional Arabic"/>
          <w:color w:val="000000"/>
          <w:sz w:val="24"/>
          <w:szCs w:val="28"/>
          <w:rtl/>
        </w:rPr>
        <w:t>–</w:t>
      </w:r>
      <w:r w:rsidRPr="00DC0143">
        <w:rPr>
          <w:rFonts w:cs="Traditional Arabic" w:hint="cs"/>
          <w:color w:val="000000"/>
          <w:sz w:val="24"/>
          <w:szCs w:val="28"/>
          <w:rtl/>
        </w:rPr>
        <w:t xml:space="preserve"> ص 63</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88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88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 في الهامش</w:t>
      </w:r>
      <w:r>
        <w:rPr>
          <w:rFonts w:cs="Traditional Arabic" w:hint="cs"/>
          <w:color w:val="000000"/>
          <w:sz w:val="24"/>
          <w:szCs w:val="28"/>
          <w:rtl/>
        </w:rPr>
        <w:t xml:space="preserve"> .</w:t>
      </w:r>
    </w:p>
  </w:footnote>
  <w:footnote w:id="89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"للدائن المرتهن صفتان</w:t>
      </w:r>
      <w:r>
        <w:rPr>
          <w:rFonts w:cs="Traditional Arabic" w:hint="cs"/>
          <w:color w:val="000000"/>
          <w:sz w:val="24"/>
          <w:szCs w:val="28"/>
          <w:rtl/>
        </w:rPr>
        <w:t xml:space="preserve"> :</w:t>
      </w:r>
      <w:r w:rsidRPr="00DC0143">
        <w:rPr>
          <w:rFonts w:cs="Traditional Arabic" w:hint="cs"/>
          <w:color w:val="000000"/>
          <w:sz w:val="24"/>
          <w:szCs w:val="28"/>
          <w:rtl/>
        </w:rPr>
        <w:t xml:space="preserve"> "صفته باعتباره دائنا كسائر الدائنين</w:t>
      </w:r>
      <w:r>
        <w:rPr>
          <w:rFonts w:cs="Traditional Arabic" w:hint="cs"/>
          <w:color w:val="000000"/>
          <w:sz w:val="24"/>
          <w:szCs w:val="28"/>
          <w:rtl/>
        </w:rPr>
        <w:t xml:space="preserve"> ،</w:t>
      </w:r>
      <w:r w:rsidRPr="00DC0143">
        <w:rPr>
          <w:rFonts w:cs="Traditional Arabic" w:hint="cs"/>
          <w:color w:val="000000"/>
          <w:sz w:val="24"/>
          <w:szCs w:val="28"/>
          <w:rtl/>
        </w:rPr>
        <w:t xml:space="preserve"> أموال المدين ضمان عام له</w:t>
      </w:r>
      <w:r>
        <w:rPr>
          <w:rFonts w:cs="Traditional Arabic" w:hint="cs"/>
          <w:color w:val="000000"/>
          <w:sz w:val="24"/>
          <w:szCs w:val="28"/>
          <w:rtl/>
        </w:rPr>
        <w:t xml:space="preserve"> ،</w:t>
      </w:r>
      <w:r w:rsidRPr="00DC0143">
        <w:rPr>
          <w:rFonts w:cs="Traditional Arabic" w:hint="cs"/>
          <w:color w:val="000000"/>
          <w:sz w:val="24"/>
          <w:szCs w:val="28"/>
          <w:rtl/>
        </w:rPr>
        <w:t xml:space="preserve"> فله أن ينفذ عليها جميعا دون أن يكون له حق التقدم</w:t>
      </w:r>
      <w:r>
        <w:rPr>
          <w:rFonts w:cs="Traditional Arabic" w:hint="cs"/>
          <w:color w:val="000000"/>
          <w:sz w:val="24"/>
          <w:szCs w:val="28"/>
          <w:rtl/>
        </w:rPr>
        <w:t xml:space="preserve"> .</w:t>
      </w:r>
      <w:r w:rsidRPr="00DC0143">
        <w:rPr>
          <w:rFonts w:cs="Traditional Arabic" w:hint="cs"/>
          <w:color w:val="000000"/>
          <w:sz w:val="24"/>
          <w:szCs w:val="28"/>
          <w:rtl/>
        </w:rPr>
        <w:t xml:space="preserve"> ويراعى في التنفيذ القيود العامة</w:t>
      </w:r>
      <w:r>
        <w:rPr>
          <w:rFonts w:cs="Traditional Arabic" w:hint="cs"/>
          <w:color w:val="000000"/>
          <w:sz w:val="24"/>
          <w:szCs w:val="28"/>
          <w:rtl/>
        </w:rPr>
        <w:t xml:space="preserve"> ،</w:t>
      </w:r>
      <w:r w:rsidRPr="00DC0143">
        <w:rPr>
          <w:rFonts w:cs="Traditional Arabic" w:hint="cs"/>
          <w:color w:val="000000"/>
          <w:sz w:val="24"/>
          <w:szCs w:val="28"/>
          <w:rtl/>
        </w:rPr>
        <w:t xml:space="preserve"> وأهمها أنه لا ينفذ على مال غير مرهون قبل التنفيذ على المال المرهون </w:t>
      </w:r>
      <w:r>
        <w:rPr>
          <w:rFonts w:cs="Traditional Arabic" w:hint="cs"/>
          <w:color w:val="000000"/>
          <w:sz w:val="24"/>
          <w:szCs w:val="28"/>
          <w:rtl/>
        </w:rPr>
        <w:t xml:space="preserve">( </w:t>
      </w:r>
      <w:r w:rsidRPr="00DC0143">
        <w:rPr>
          <w:rFonts w:cs="Traditional Arabic" w:hint="cs"/>
          <w:color w:val="000000"/>
          <w:sz w:val="24"/>
          <w:szCs w:val="28"/>
          <w:rtl/>
        </w:rPr>
        <w:t>م 328 من المشروع</w:t>
      </w:r>
      <w:r>
        <w:rPr>
          <w:rFonts w:cs="Traditional Arabic" w:hint="cs"/>
          <w:color w:val="000000"/>
          <w:sz w:val="24"/>
          <w:szCs w:val="28"/>
          <w:rtl/>
        </w:rPr>
        <w:t xml:space="preserve"> ) ،</w:t>
      </w:r>
      <w:r w:rsidRPr="00DC0143">
        <w:rPr>
          <w:rFonts w:cs="Traditional Arabic" w:hint="cs"/>
          <w:color w:val="000000"/>
          <w:sz w:val="24"/>
          <w:szCs w:val="28"/>
          <w:rtl/>
        </w:rPr>
        <w:t xml:space="preserve">وأنه لا ينفذ على مال تكون قيمته أكبر بكثير من حقه </w:t>
      </w:r>
      <w:r>
        <w:rPr>
          <w:rFonts w:cs="Traditional Arabic" w:hint="cs"/>
          <w:color w:val="000000"/>
          <w:sz w:val="24"/>
          <w:szCs w:val="28"/>
          <w:rtl/>
        </w:rPr>
        <w:t xml:space="preserve">( </w:t>
      </w:r>
      <w:r w:rsidRPr="00DC0143">
        <w:rPr>
          <w:rFonts w:cs="Traditional Arabic" w:hint="cs"/>
          <w:color w:val="000000"/>
          <w:sz w:val="24"/>
          <w:szCs w:val="28"/>
          <w:rtl/>
        </w:rPr>
        <w:t>م 329 من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61</w:t>
      </w:r>
      <w:r>
        <w:rPr>
          <w:rFonts w:cs="Traditional Arabic" w:hint="cs"/>
          <w:color w:val="000000"/>
          <w:sz w:val="24"/>
          <w:szCs w:val="28"/>
          <w:rtl/>
        </w:rPr>
        <w:t xml:space="preserve"> ) .</w:t>
      </w:r>
    </w:p>
  </w:footnote>
  <w:footnote w:id="89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ما يلي فقرة 185</w:t>
      </w:r>
      <w:r>
        <w:rPr>
          <w:rFonts w:cs="Traditional Arabic" w:hint="cs"/>
          <w:color w:val="000000"/>
          <w:sz w:val="24"/>
          <w:szCs w:val="28"/>
          <w:rtl/>
        </w:rPr>
        <w:t xml:space="preserve"> .</w:t>
      </w:r>
    </w:p>
  </w:footnote>
  <w:footnote w:id="89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ما يلي فقرة 186 </w:t>
      </w:r>
      <w:r w:rsidRPr="00DC0143">
        <w:rPr>
          <w:rFonts w:cs="Traditional Arabic"/>
          <w:color w:val="000000"/>
          <w:sz w:val="24"/>
          <w:szCs w:val="28"/>
          <w:rtl/>
        </w:rPr>
        <w:t>–</w:t>
      </w:r>
      <w:r w:rsidRPr="00DC0143">
        <w:rPr>
          <w:rFonts w:cs="Traditional Arabic" w:hint="cs"/>
          <w:color w:val="000000"/>
          <w:sz w:val="24"/>
          <w:szCs w:val="28"/>
          <w:rtl/>
        </w:rPr>
        <w:t xml:space="preserve"> وتقول المذكرة الإيضاحية للمشروع التمهيدي في هذا الخصوص</w:t>
      </w:r>
      <w:r>
        <w:rPr>
          <w:rFonts w:cs="Traditional Arabic" w:hint="cs"/>
          <w:color w:val="000000"/>
          <w:sz w:val="24"/>
          <w:szCs w:val="28"/>
          <w:rtl/>
        </w:rPr>
        <w:t xml:space="preserve"> :</w:t>
      </w:r>
      <w:r w:rsidRPr="00DC0143">
        <w:rPr>
          <w:rFonts w:cs="Traditional Arabic" w:hint="cs"/>
          <w:color w:val="000000"/>
          <w:sz w:val="24"/>
          <w:szCs w:val="28"/>
          <w:rtl/>
        </w:rPr>
        <w:t xml:space="preserve"> للدائن المرتهن صفتان </w:t>
      </w:r>
      <w:r>
        <w:rPr>
          <w:rFonts w:cs="Traditional Arabic" w:hint="cs"/>
          <w:color w:val="000000"/>
          <w:sz w:val="24"/>
          <w:szCs w:val="28"/>
          <w:rtl/>
        </w:rPr>
        <w:t xml:space="preserve">( </w:t>
      </w:r>
      <w:r w:rsidRPr="00DC0143">
        <w:rPr>
          <w:rFonts w:cs="Traditional Arabic" w:hint="cs"/>
          <w:color w:val="000000"/>
          <w:sz w:val="24"/>
          <w:szCs w:val="28"/>
          <w:rtl/>
        </w:rPr>
        <w:t>أ</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 .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ب</w:t>
      </w:r>
      <w:r>
        <w:rPr>
          <w:rFonts w:cs="Traditional Arabic" w:hint="cs"/>
          <w:color w:val="000000"/>
          <w:sz w:val="24"/>
          <w:szCs w:val="28"/>
          <w:rtl/>
        </w:rPr>
        <w:t xml:space="preserve"> )</w:t>
      </w:r>
      <w:r w:rsidRPr="00DC0143">
        <w:rPr>
          <w:rFonts w:cs="Traditional Arabic" w:hint="cs"/>
          <w:color w:val="000000"/>
          <w:sz w:val="24"/>
          <w:szCs w:val="28"/>
          <w:rtl/>
        </w:rPr>
        <w:t xml:space="preserve"> صفته باعتباره دائنا مرتهنا</w:t>
      </w:r>
      <w:r>
        <w:rPr>
          <w:rFonts w:cs="Traditional Arabic" w:hint="cs"/>
          <w:color w:val="000000"/>
          <w:sz w:val="24"/>
          <w:szCs w:val="28"/>
          <w:rtl/>
        </w:rPr>
        <w:t xml:space="preserve"> ،</w:t>
      </w:r>
      <w:r w:rsidRPr="00DC0143">
        <w:rPr>
          <w:rFonts w:cs="Traditional Arabic" w:hint="cs"/>
          <w:color w:val="000000"/>
          <w:sz w:val="24"/>
          <w:szCs w:val="28"/>
          <w:rtl/>
        </w:rPr>
        <w:t xml:space="preserve"> وحق الرهن يتركز في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وهو سلطة تخول الدائنان يستوفي حقه م هذا العقار طبقاً للإجراءات التي نص عليها تقنين المرافعات</w:t>
      </w:r>
      <w:r>
        <w:rPr>
          <w:rFonts w:cs="Traditional Arabic" w:hint="cs"/>
          <w:color w:val="000000"/>
          <w:sz w:val="24"/>
          <w:szCs w:val="28"/>
          <w:rtl/>
        </w:rPr>
        <w:t xml:space="preserve"> ،</w:t>
      </w:r>
      <w:r w:rsidRPr="00DC0143">
        <w:rPr>
          <w:rFonts w:cs="Traditional Arabic" w:hint="cs"/>
          <w:color w:val="000000"/>
          <w:sz w:val="24"/>
          <w:szCs w:val="28"/>
          <w:rtl/>
        </w:rPr>
        <w:t xml:space="preserve"> مع مراعاة ألا ينفذ على العقار إلا بالقدر الذي يفي بالحق </w:t>
      </w:r>
      <w:r>
        <w:rPr>
          <w:rFonts w:cs="Traditional Arabic" w:hint="cs"/>
          <w:color w:val="000000"/>
          <w:sz w:val="24"/>
          <w:szCs w:val="28"/>
          <w:rtl/>
        </w:rPr>
        <w:t xml:space="preserve">( </w:t>
      </w:r>
      <w:r w:rsidRPr="00DC0143">
        <w:rPr>
          <w:rFonts w:cs="Traditional Arabic" w:hint="cs"/>
          <w:color w:val="000000"/>
          <w:sz w:val="24"/>
          <w:szCs w:val="28"/>
          <w:rtl/>
        </w:rPr>
        <w:t>م 329 من المشروع</w:t>
      </w:r>
      <w:r>
        <w:rPr>
          <w:rFonts w:cs="Traditional Arabic" w:hint="cs"/>
          <w:color w:val="000000"/>
          <w:sz w:val="24"/>
          <w:szCs w:val="28"/>
          <w:rtl/>
        </w:rPr>
        <w:t xml:space="preserve"> ) .</w:t>
      </w:r>
      <w:r w:rsidRPr="00DC0143">
        <w:rPr>
          <w:rFonts w:cs="Traditional Arabic" w:hint="cs"/>
          <w:color w:val="000000"/>
          <w:sz w:val="24"/>
          <w:szCs w:val="28"/>
          <w:rtl/>
        </w:rPr>
        <w:t xml:space="preserve"> فالدائن المرتهن لا يستوفي إذن حقه من لعقار المرهون إلا طبقا لإجراءات معينة تنتهي آخر الأمر إلى بيع العقار جبراً في المزاد</w:t>
      </w:r>
      <w:r>
        <w:rPr>
          <w:rFonts w:cs="Traditional Arabic" w:hint="cs"/>
          <w:color w:val="000000"/>
          <w:sz w:val="24"/>
          <w:szCs w:val="28"/>
          <w:rtl/>
        </w:rPr>
        <w:t xml:space="preserve"> ،</w:t>
      </w:r>
      <w:r w:rsidRPr="00DC0143">
        <w:rPr>
          <w:rFonts w:cs="Traditional Arabic" w:hint="cs"/>
          <w:color w:val="000000"/>
          <w:sz w:val="24"/>
          <w:szCs w:val="28"/>
          <w:rtl/>
        </w:rPr>
        <w:t xml:space="preserve"> وكل اتفاق على غير ذلك يكون باطلا لمخالفته للنظم العام</w:t>
      </w:r>
      <w:r>
        <w:rPr>
          <w:rFonts w:cs="Traditional Arabic" w:hint="cs"/>
          <w:color w:val="000000"/>
          <w:sz w:val="24"/>
          <w:szCs w:val="28"/>
          <w:rtl/>
        </w:rPr>
        <w:t xml:space="preserve"> ،</w:t>
      </w:r>
      <w:r w:rsidRPr="00DC0143">
        <w:rPr>
          <w:rFonts w:cs="Traditional Arabic" w:hint="cs"/>
          <w:color w:val="000000"/>
          <w:sz w:val="24"/>
          <w:szCs w:val="28"/>
          <w:rtl/>
        </w:rPr>
        <w:t xml:space="preserve"> لأن الإجراءات التي فرضها القانون قد وضعت لضمان حق كل من الدائن المرتهن والراهن بما يحقق التوازن بين المصالح المتعارضة</w:t>
      </w:r>
      <w:r>
        <w:rPr>
          <w:rFonts w:cs="Traditional Arabic" w:hint="cs"/>
          <w:color w:val="000000"/>
          <w:sz w:val="24"/>
          <w:szCs w:val="28"/>
          <w:rtl/>
        </w:rPr>
        <w:t xml:space="preserve"> ،</w:t>
      </w:r>
      <w:r w:rsidRPr="00DC0143">
        <w:rPr>
          <w:rFonts w:cs="Traditional Arabic" w:hint="cs"/>
          <w:color w:val="000000"/>
          <w:sz w:val="24"/>
          <w:szCs w:val="28"/>
          <w:rtl/>
        </w:rPr>
        <w:t xml:space="preserve"> فالإخلال بشيء من ذلك لا يقره القانون ولو ارتضاه المتعاقدان</w:t>
      </w:r>
      <w:r>
        <w:rPr>
          <w:rFonts w:cs="Traditional Arabic" w:hint="cs"/>
          <w:color w:val="000000"/>
          <w:sz w:val="24"/>
          <w:szCs w:val="28"/>
          <w:rtl/>
        </w:rPr>
        <w:t xml:space="preserve"> ،</w:t>
      </w:r>
      <w:r w:rsidRPr="00DC0143">
        <w:rPr>
          <w:rFonts w:cs="Traditional Arabic" w:hint="cs"/>
          <w:color w:val="000000"/>
          <w:sz w:val="24"/>
          <w:szCs w:val="28"/>
          <w:rtl/>
        </w:rPr>
        <w:t xml:space="preserve"> إذ يخشى أن يكون الدائن المرتهن قد استغل حاجة الراهن وانتزع رضاه"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61 ص 62</w:t>
      </w:r>
      <w:r>
        <w:rPr>
          <w:rFonts w:cs="Traditional Arabic" w:hint="cs"/>
          <w:color w:val="000000"/>
          <w:sz w:val="24"/>
          <w:szCs w:val="28"/>
          <w:rtl/>
        </w:rPr>
        <w:t xml:space="preserve"> ) .</w:t>
      </w:r>
    </w:p>
  </w:footnote>
  <w:footnote w:id="89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89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89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منصور مصطفى منصور فقرة 35 </w:t>
      </w:r>
      <w:r w:rsidRPr="00DC0143">
        <w:rPr>
          <w:rFonts w:cs="Traditional Arabic"/>
          <w:color w:val="000000"/>
          <w:sz w:val="24"/>
          <w:szCs w:val="28"/>
          <w:rtl/>
        </w:rPr>
        <w:t>–</w:t>
      </w:r>
      <w:r w:rsidRPr="00DC0143">
        <w:rPr>
          <w:rFonts w:cs="Traditional Arabic" w:hint="cs"/>
          <w:color w:val="000000"/>
          <w:sz w:val="24"/>
          <w:szCs w:val="28"/>
          <w:rtl/>
        </w:rPr>
        <w:t xml:space="preserve"> ص 93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85 ص 267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87 </w:t>
      </w:r>
      <w:r w:rsidRPr="00DC0143">
        <w:rPr>
          <w:rFonts w:cs="Traditional Arabic"/>
          <w:color w:val="000000"/>
          <w:sz w:val="24"/>
          <w:szCs w:val="28"/>
          <w:rtl/>
        </w:rPr>
        <w:t>–</w:t>
      </w:r>
      <w:r w:rsidRPr="00DC0143">
        <w:rPr>
          <w:rFonts w:cs="Traditional Arabic" w:hint="cs"/>
          <w:color w:val="000000"/>
          <w:sz w:val="24"/>
          <w:szCs w:val="28"/>
          <w:rtl/>
        </w:rPr>
        <w:t xml:space="preserve"> ص 123 </w:t>
      </w:r>
      <w:r w:rsidRPr="00DC0143">
        <w:rPr>
          <w:rFonts w:cs="Traditional Arabic"/>
          <w:color w:val="000000"/>
          <w:sz w:val="24"/>
          <w:szCs w:val="28"/>
          <w:rtl/>
        </w:rPr>
        <w:t>–</w:t>
      </w:r>
      <w:r w:rsidRPr="00DC0143">
        <w:rPr>
          <w:rFonts w:cs="Traditional Arabic" w:hint="cs"/>
          <w:color w:val="000000"/>
          <w:sz w:val="24"/>
          <w:szCs w:val="28"/>
          <w:rtl/>
        </w:rPr>
        <w:t xml:space="preserve"> أحمد سلامة فقرة 75 ص 260</w:t>
      </w:r>
      <w:r>
        <w:rPr>
          <w:rFonts w:cs="Traditional Arabic" w:hint="cs"/>
          <w:color w:val="000000"/>
          <w:sz w:val="24"/>
          <w:szCs w:val="28"/>
          <w:rtl/>
        </w:rPr>
        <w:t xml:space="preserve"> .</w:t>
      </w:r>
    </w:p>
  </w:footnote>
  <w:footnote w:id="89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وسلطة الدائن المرتهن على العقار المرهون واحدة</w:t>
      </w:r>
      <w:r>
        <w:rPr>
          <w:rFonts w:cs="Traditional Arabic" w:hint="cs"/>
          <w:color w:val="000000"/>
          <w:sz w:val="24"/>
          <w:szCs w:val="28"/>
          <w:rtl/>
        </w:rPr>
        <w:t xml:space="preserve"> ،</w:t>
      </w:r>
      <w:r w:rsidRPr="00DC0143">
        <w:rPr>
          <w:rFonts w:cs="Traditional Arabic" w:hint="cs"/>
          <w:color w:val="000000"/>
          <w:sz w:val="24"/>
          <w:szCs w:val="28"/>
          <w:rtl/>
        </w:rPr>
        <w:t xml:space="preserve"> سواء كان العقار المرهون مملوكا للمدين نفسه كما هو الغالب</w:t>
      </w:r>
      <w:r>
        <w:rPr>
          <w:rFonts w:cs="Traditional Arabic" w:hint="cs"/>
          <w:color w:val="000000"/>
          <w:sz w:val="24"/>
          <w:szCs w:val="28"/>
          <w:rtl/>
        </w:rPr>
        <w:t xml:space="preserve"> ،</w:t>
      </w:r>
      <w:r w:rsidRPr="00DC0143">
        <w:rPr>
          <w:rFonts w:cs="Traditional Arabic" w:hint="cs"/>
          <w:color w:val="000000"/>
          <w:sz w:val="24"/>
          <w:szCs w:val="28"/>
          <w:rtl/>
        </w:rPr>
        <w:t xml:space="preserve"> أو كان مملوكا لكفيل عيني</w:t>
      </w:r>
      <w:r>
        <w:rPr>
          <w:rFonts w:cs="Traditional Arabic" w:hint="cs"/>
          <w:color w:val="000000"/>
          <w:sz w:val="24"/>
          <w:szCs w:val="28"/>
          <w:rtl/>
        </w:rPr>
        <w:t xml:space="preserve"> .</w:t>
      </w:r>
      <w:r w:rsidRPr="00DC0143">
        <w:rPr>
          <w:rFonts w:cs="Traditional Arabic" w:hint="cs"/>
          <w:color w:val="000000"/>
          <w:sz w:val="24"/>
          <w:szCs w:val="28"/>
          <w:rtl/>
        </w:rPr>
        <w:t xml:space="preserve"> فيرجع الدائن على العقار المملوك للكفيل ولا يرجع من مال هذا الكفل إلا على هذا العقار</w:t>
      </w:r>
      <w:r>
        <w:rPr>
          <w:rFonts w:cs="Traditional Arabic" w:hint="cs"/>
          <w:color w:val="000000"/>
          <w:sz w:val="24"/>
          <w:szCs w:val="28"/>
          <w:rtl/>
        </w:rPr>
        <w:t xml:space="preserve"> .</w:t>
      </w:r>
      <w:r w:rsidRPr="00DC0143">
        <w:rPr>
          <w:rFonts w:cs="Traditional Arabic" w:hint="cs"/>
          <w:color w:val="000000"/>
          <w:sz w:val="24"/>
          <w:szCs w:val="28"/>
          <w:rtl/>
        </w:rPr>
        <w:t xml:space="preserve"> وهذا ما تقضي به المادة </w:t>
      </w:r>
      <w:r>
        <w:rPr>
          <w:rFonts w:cs="Traditional Arabic" w:hint="cs"/>
          <w:color w:val="000000"/>
          <w:sz w:val="24"/>
          <w:szCs w:val="28"/>
          <w:rtl/>
        </w:rPr>
        <w:t xml:space="preserve">( </w:t>
      </w:r>
      <w:r w:rsidRPr="00DC0143">
        <w:rPr>
          <w:rFonts w:cs="Traditional Arabic" w:hint="cs"/>
          <w:color w:val="000000"/>
          <w:sz w:val="24"/>
          <w:szCs w:val="28"/>
          <w:rtl/>
        </w:rPr>
        <w:t>1050 مدني</w:t>
      </w:r>
      <w:r>
        <w:rPr>
          <w:rFonts w:cs="Traditional Arabic" w:hint="cs"/>
          <w:color w:val="000000"/>
          <w:sz w:val="24"/>
          <w:szCs w:val="28"/>
          <w:rtl/>
        </w:rPr>
        <w:t xml:space="preserve"> ) ،</w:t>
      </w:r>
      <w:r w:rsidRPr="00DC0143">
        <w:rPr>
          <w:rFonts w:cs="Traditional Arabic" w:hint="cs"/>
          <w:color w:val="000000"/>
          <w:sz w:val="24"/>
          <w:szCs w:val="28"/>
          <w:rtl/>
        </w:rPr>
        <w:t xml:space="preserve"> فهي تنص على أنه إذا كان الراهن شخصاً آخر غير المدين</w:t>
      </w:r>
      <w:r>
        <w:rPr>
          <w:rFonts w:cs="Traditional Arabic" w:hint="cs"/>
          <w:color w:val="000000"/>
          <w:sz w:val="24"/>
          <w:szCs w:val="28"/>
          <w:rtl/>
        </w:rPr>
        <w:t xml:space="preserve"> ،</w:t>
      </w:r>
      <w:r w:rsidRPr="00DC0143">
        <w:rPr>
          <w:rFonts w:cs="Traditional Arabic" w:hint="cs"/>
          <w:color w:val="000000"/>
          <w:sz w:val="24"/>
          <w:szCs w:val="28"/>
          <w:rtl/>
        </w:rPr>
        <w:t xml:space="preserve"> فلا يجوز للتنفيذ على ماله إلا ما رهن من هذا المال</w:t>
      </w:r>
      <w:r>
        <w:rPr>
          <w:rFonts w:cs="Traditional Arabic" w:hint="cs"/>
          <w:color w:val="000000"/>
          <w:sz w:val="24"/>
          <w:szCs w:val="28"/>
          <w:rtl/>
        </w:rPr>
        <w:t xml:space="preserve"> .</w:t>
      </w:r>
      <w:r w:rsidRPr="00DC0143">
        <w:rPr>
          <w:rFonts w:cs="Traditional Arabic" w:hint="cs"/>
          <w:color w:val="000000"/>
          <w:sz w:val="24"/>
          <w:szCs w:val="28"/>
          <w:rtl/>
        </w:rPr>
        <w:t xml:space="preserve"> وقد احتاط النص فلم يقل إن التنفيذ لا يجوز إلا على ما رهن الكفيل</w:t>
      </w:r>
      <w:r>
        <w:rPr>
          <w:rFonts w:cs="Traditional Arabic" w:hint="cs"/>
          <w:color w:val="000000"/>
          <w:sz w:val="24"/>
          <w:szCs w:val="28"/>
          <w:rtl/>
        </w:rPr>
        <w:t xml:space="preserve"> ،</w:t>
      </w:r>
      <w:r w:rsidRPr="00DC0143">
        <w:rPr>
          <w:rFonts w:cs="Traditional Arabic" w:hint="cs"/>
          <w:color w:val="000000"/>
          <w:sz w:val="24"/>
          <w:szCs w:val="28"/>
          <w:rtl/>
        </w:rPr>
        <w:t xml:space="preserve"> بل قال إن التنفيذ لا يجوز على مال الكفل إلا ما رهن</w:t>
      </w:r>
      <w:r>
        <w:rPr>
          <w:rFonts w:cs="Traditional Arabic" w:hint="cs"/>
          <w:color w:val="000000"/>
          <w:sz w:val="24"/>
          <w:szCs w:val="28"/>
          <w:rtl/>
        </w:rPr>
        <w:t xml:space="preserve"> ،</w:t>
      </w:r>
      <w:r w:rsidRPr="00DC0143">
        <w:rPr>
          <w:rFonts w:cs="Traditional Arabic" w:hint="cs"/>
          <w:color w:val="000000"/>
          <w:sz w:val="24"/>
          <w:szCs w:val="28"/>
          <w:rtl/>
        </w:rPr>
        <w:t xml:space="preserve"> حتى لا ينفي جواز التنفيذ على مال المدين بما للدائن من ضمان عام</w:t>
      </w:r>
      <w:r>
        <w:rPr>
          <w:rFonts w:cs="Traditional Arabic" w:hint="cs"/>
          <w:color w:val="000000"/>
          <w:sz w:val="24"/>
          <w:szCs w:val="28"/>
          <w:rtl/>
        </w:rPr>
        <w:t xml:space="preserve"> .</w:t>
      </w:r>
      <w:r w:rsidRPr="00DC0143">
        <w:rPr>
          <w:rFonts w:cs="Traditional Arabic" w:hint="cs"/>
          <w:color w:val="000000"/>
          <w:sz w:val="24"/>
          <w:szCs w:val="28"/>
          <w:rtl/>
        </w:rPr>
        <w:t xml:space="preserve">ولكن لا يجوز للكفيل العيني أن يجبر الدائن أن يرجع أولا على مال المدين </w:t>
      </w:r>
      <w:r>
        <w:rPr>
          <w:rFonts w:cs="Traditional Arabic" w:hint="cs"/>
          <w:color w:val="000000"/>
          <w:sz w:val="24"/>
          <w:szCs w:val="28"/>
          <w:rtl/>
        </w:rPr>
        <w:t xml:space="preserve">( </w:t>
      </w:r>
      <w:r w:rsidRPr="00DC0143">
        <w:rPr>
          <w:rFonts w:cs="Traditional Arabic" w:hint="cs"/>
          <w:color w:val="000000"/>
          <w:sz w:val="24"/>
          <w:szCs w:val="28"/>
          <w:rtl/>
        </w:rPr>
        <w:t>وهذا هو حق التجريد</w:t>
      </w:r>
      <w:r>
        <w:rPr>
          <w:rFonts w:cs="Traditional Arabic" w:hint="cs"/>
          <w:color w:val="000000"/>
          <w:sz w:val="24"/>
          <w:szCs w:val="28"/>
          <w:rtl/>
        </w:rPr>
        <w:t xml:space="preserve"> )</w:t>
      </w:r>
      <w:r w:rsidRPr="00DC0143">
        <w:rPr>
          <w:rFonts w:cs="Traditional Arabic" w:hint="cs"/>
          <w:color w:val="000000"/>
          <w:sz w:val="24"/>
          <w:szCs w:val="28"/>
          <w:rtl/>
        </w:rPr>
        <w:t xml:space="preserve">  لأن عقار الكفيل مرهون في الدين</w:t>
      </w:r>
      <w:r>
        <w:rPr>
          <w:rFonts w:cs="Traditional Arabic" w:hint="cs"/>
          <w:color w:val="000000"/>
          <w:sz w:val="24"/>
          <w:szCs w:val="28"/>
          <w:rtl/>
        </w:rPr>
        <w:t xml:space="preserve"> ،</w:t>
      </w:r>
      <w:r w:rsidRPr="00DC0143">
        <w:rPr>
          <w:rFonts w:cs="Traditional Arabic" w:hint="cs"/>
          <w:color w:val="000000"/>
          <w:sz w:val="24"/>
          <w:szCs w:val="28"/>
          <w:rtl/>
        </w:rPr>
        <w:t xml:space="preserve"> ويجوز للدائن أن يبدأ التنفيذ على هذا العقار حتى لو كان في مال المدين عين على أي من العينين المرهونين"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62</w:t>
      </w:r>
      <w:r>
        <w:rPr>
          <w:rFonts w:cs="Traditional Arabic" w:hint="cs"/>
          <w:color w:val="000000"/>
          <w:sz w:val="24"/>
          <w:szCs w:val="28"/>
          <w:rtl/>
        </w:rPr>
        <w:t xml:space="preserve"> ) .</w:t>
      </w:r>
    </w:p>
  </w:footnote>
  <w:footnote w:id="89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م 1051/2 مدني آنفاً فقرة182</w:t>
      </w:r>
      <w:r>
        <w:rPr>
          <w:rFonts w:cs="Traditional Arabic" w:hint="cs"/>
          <w:color w:val="000000"/>
          <w:sz w:val="24"/>
          <w:szCs w:val="28"/>
          <w:rtl/>
        </w:rPr>
        <w:t xml:space="preserve"> .</w:t>
      </w:r>
    </w:p>
  </w:footnote>
  <w:footnote w:id="89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للمروع التمهيد</w:t>
      </w:r>
      <w:r>
        <w:rPr>
          <w:rFonts w:cs="Traditional Arabic" w:hint="cs"/>
          <w:color w:val="000000"/>
          <w:sz w:val="24"/>
          <w:szCs w:val="28"/>
          <w:rtl/>
        </w:rPr>
        <w:t xml:space="preserve"> :</w:t>
      </w:r>
      <w:r w:rsidRPr="00DC0143">
        <w:rPr>
          <w:rFonts w:cs="Traditional Arabic" w:hint="cs"/>
          <w:color w:val="000000"/>
          <w:sz w:val="24"/>
          <w:szCs w:val="28"/>
          <w:rtl/>
        </w:rPr>
        <w:t xml:space="preserve"> "ويستطيع الكفيل العيني أن يتخلص من توجيه الإجراءات ضده</w:t>
      </w:r>
      <w:r>
        <w:rPr>
          <w:rFonts w:cs="Traditional Arabic" w:hint="cs"/>
          <w:color w:val="000000"/>
          <w:sz w:val="24"/>
          <w:szCs w:val="28"/>
          <w:rtl/>
        </w:rPr>
        <w:t xml:space="preserve"> )</w:t>
      </w:r>
      <w:r w:rsidRPr="00DC0143">
        <w:rPr>
          <w:rFonts w:cs="Traditional Arabic" w:hint="cs"/>
          <w:color w:val="000000"/>
          <w:sz w:val="24"/>
          <w:szCs w:val="28"/>
          <w:rtl/>
        </w:rPr>
        <w:t xml:space="preserve"> إذا هو تخلى عن العقار المرهون"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62</w:t>
      </w:r>
      <w:r>
        <w:rPr>
          <w:rFonts w:cs="Traditional Arabic" w:hint="cs"/>
          <w:color w:val="000000"/>
          <w:sz w:val="24"/>
          <w:szCs w:val="28"/>
          <w:rtl/>
        </w:rPr>
        <w:t xml:space="preserve"> ) .</w:t>
      </w:r>
    </w:p>
  </w:footnote>
  <w:footnote w:id="89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90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وبلانيول وريبير وبيكيه 13 فقرة 445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1291</w:t>
      </w:r>
      <w:r>
        <w:rPr>
          <w:rFonts w:cs="Traditional Arabic" w:hint="cs"/>
          <w:color w:val="000000"/>
          <w:sz w:val="24"/>
          <w:szCs w:val="28"/>
          <w:rtl/>
        </w:rPr>
        <w:t xml:space="preserve"> .</w:t>
      </w:r>
    </w:p>
  </w:footnote>
  <w:footnote w:id="90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ويكون أيضاً باطلا بطريق القياس شرط تملك الدائن المرتهن مالا آخر للراهن في مقابل الدين</w:t>
      </w:r>
      <w:r>
        <w:rPr>
          <w:rFonts w:cs="Traditional Arabic" w:hint="cs"/>
          <w:color w:val="000000"/>
          <w:sz w:val="24"/>
          <w:szCs w:val="28"/>
          <w:rtl/>
        </w:rPr>
        <w:t xml:space="preserve"> ،</w:t>
      </w:r>
      <w:r w:rsidRPr="00DC0143">
        <w:rPr>
          <w:rFonts w:cs="Traditional Arabic" w:hint="cs"/>
          <w:color w:val="000000"/>
          <w:sz w:val="24"/>
          <w:szCs w:val="28"/>
          <w:rtl/>
        </w:rPr>
        <w:t xml:space="preserve"> أو شرط حصوله بعد بيع العقار على كل ثمنه ولو كان أكثر من الدين المضمون </w:t>
      </w:r>
      <w:r>
        <w:rPr>
          <w:rFonts w:cs="Traditional Arabic" w:hint="cs"/>
          <w:color w:val="000000"/>
          <w:sz w:val="24"/>
          <w:szCs w:val="28"/>
          <w:rtl/>
        </w:rPr>
        <w:t xml:space="preserve">( </w:t>
      </w:r>
      <w:r w:rsidRPr="00DC0143">
        <w:rPr>
          <w:rFonts w:cs="Traditional Arabic" w:hint="cs"/>
          <w:color w:val="000000"/>
          <w:sz w:val="24"/>
          <w:szCs w:val="28"/>
          <w:rtl/>
        </w:rPr>
        <w:t xml:space="preserve">عبد الفتاح عبد الباقي فقرة 292 ص 407 </w:t>
      </w:r>
      <w:r w:rsidRPr="00DC0143">
        <w:rPr>
          <w:rFonts w:cs="Traditional Arabic"/>
          <w:color w:val="000000"/>
          <w:sz w:val="24"/>
          <w:szCs w:val="28"/>
          <w:rtl/>
        </w:rPr>
        <w:t>–</w:t>
      </w:r>
      <w:r w:rsidRPr="00DC0143">
        <w:rPr>
          <w:rFonts w:cs="Traditional Arabic" w:hint="cs"/>
          <w:color w:val="000000"/>
          <w:sz w:val="24"/>
          <w:szCs w:val="28"/>
          <w:rtl/>
        </w:rPr>
        <w:t xml:space="preserve"> محمد علي إمام فقرة 324 ص 334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89 ص 125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38 ص 95 </w:t>
      </w:r>
      <w:r w:rsidRPr="00DC0143">
        <w:rPr>
          <w:rFonts w:cs="Traditional Arabic"/>
          <w:color w:val="000000"/>
          <w:sz w:val="24"/>
          <w:szCs w:val="28"/>
          <w:rtl/>
        </w:rPr>
        <w:t>–</w:t>
      </w:r>
      <w:r w:rsidRPr="00DC0143">
        <w:rPr>
          <w:rFonts w:cs="Traditional Arabic" w:hint="cs"/>
          <w:color w:val="000000"/>
          <w:sz w:val="24"/>
          <w:szCs w:val="28"/>
          <w:rtl/>
        </w:rPr>
        <w:t xml:space="preserve"> ص 96</w:t>
      </w:r>
      <w:r>
        <w:rPr>
          <w:rFonts w:cs="Traditional Arabic" w:hint="cs"/>
          <w:color w:val="000000"/>
          <w:sz w:val="24"/>
          <w:szCs w:val="28"/>
          <w:rtl/>
        </w:rPr>
        <w:t xml:space="preserve"> ) .</w:t>
      </w:r>
    </w:p>
  </w:footnote>
  <w:footnote w:id="90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وحتى لو كان الثمن يساوي القيمة الحقيقية للعقار المرهون أو كان أكثر من هذه القيمة</w:t>
      </w:r>
      <w:r>
        <w:rPr>
          <w:rFonts w:cs="Traditional Arabic" w:hint="cs"/>
          <w:color w:val="000000"/>
          <w:sz w:val="24"/>
          <w:szCs w:val="28"/>
          <w:rtl/>
        </w:rPr>
        <w:t xml:space="preserve"> ،</w:t>
      </w:r>
      <w:r w:rsidRPr="00DC0143">
        <w:rPr>
          <w:rFonts w:cs="Traditional Arabic" w:hint="cs"/>
          <w:color w:val="000000"/>
          <w:sz w:val="24"/>
          <w:szCs w:val="28"/>
          <w:rtl/>
        </w:rPr>
        <w:t xml:space="preserve"> فإن الاتفاق يكون باطلا</w:t>
      </w:r>
      <w:r>
        <w:rPr>
          <w:rFonts w:cs="Traditional Arabic" w:hint="cs"/>
          <w:color w:val="000000"/>
          <w:sz w:val="24"/>
          <w:szCs w:val="28"/>
          <w:rtl/>
        </w:rPr>
        <w:t xml:space="preserve"> ،</w:t>
      </w:r>
      <w:r w:rsidRPr="00DC0143">
        <w:rPr>
          <w:rFonts w:cs="Traditional Arabic" w:hint="cs"/>
          <w:color w:val="000000"/>
          <w:sz w:val="24"/>
          <w:szCs w:val="28"/>
          <w:rtl/>
        </w:rPr>
        <w:t xml:space="preserve"> لألي المشرع لا يريد أن يكون هذا الأمر محل تحقيق وخبرة طويلة يحتدم فيها الخلاف</w:t>
      </w:r>
      <w:r>
        <w:rPr>
          <w:rFonts w:cs="Traditional Arabic" w:hint="cs"/>
          <w:color w:val="000000"/>
          <w:sz w:val="24"/>
          <w:szCs w:val="28"/>
          <w:rtl/>
        </w:rPr>
        <w:t xml:space="preserve"> .</w:t>
      </w:r>
      <w:r w:rsidRPr="00DC0143">
        <w:rPr>
          <w:rFonts w:cs="Traditional Arabic" w:hint="cs"/>
          <w:color w:val="000000"/>
          <w:sz w:val="24"/>
          <w:szCs w:val="28"/>
          <w:rtl/>
        </w:rPr>
        <w:t xml:space="preserve"> على أن هذا الغرض يكاد لا يتحقق</w:t>
      </w:r>
      <w:r>
        <w:rPr>
          <w:rFonts w:cs="Traditional Arabic" w:hint="cs"/>
          <w:color w:val="000000"/>
          <w:sz w:val="24"/>
          <w:szCs w:val="28"/>
          <w:rtl/>
        </w:rPr>
        <w:t xml:space="preserve"> ،</w:t>
      </w:r>
      <w:r w:rsidRPr="00DC0143">
        <w:rPr>
          <w:rFonts w:cs="Traditional Arabic" w:hint="cs"/>
          <w:color w:val="000000"/>
          <w:sz w:val="24"/>
          <w:szCs w:val="28"/>
          <w:rtl/>
        </w:rPr>
        <w:t xml:space="preserve"> لأن الدائن المرتهن يحرص عادة على جعل الثمن أقل من القيمة الحقيقية للعقار</w:t>
      </w:r>
      <w:r>
        <w:rPr>
          <w:rFonts w:cs="Traditional Arabic" w:hint="cs"/>
          <w:color w:val="000000"/>
          <w:sz w:val="24"/>
          <w:szCs w:val="28"/>
          <w:rtl/>
        </w:rPr>
        <w:t xml:space="preserve"> .</w:t>
      </w:r>
    </w:p>
  </w:footnote>
  <w:footnote w:id="90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جمال الدين زكي فقرة 178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87 ص 273</w:t>
      </w:r>
      <w:r>
        <w:rPr>
          <w:rFonts w:cs="Traditional Arabic" w:hint="cs"/>
          <w:color w:val="000000"/>
          <w:sz w:val="24"/>
          <w:szCs w:val="28"/>
          <w:rtl/>
        </w:rPr>
        <w:t xml:space="preserve"> .</w:t>
      </w:r>
    </w:p>
  </w:footnote>
  <w:footnote w:id="90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بيدان وفواران فقرة 222 </w:t>
      </w:r>
      <w:r w:rsidRPr="00DC0143">
        <w:rPr>
          <w:rFonts w:cs="Traditional Arabic"/>
          <w:color w:val="000000"/>
          <w:sz w:val="24"/>
          <w:szCs w:val="28"/>
          <w:rtl/>
        </w:rPr>
        <w:t>–</w:t>
      </w:r>
      <w:r w:rsidRPr="00DC0143">
        <w:rPr>
          <w:rFonts w:cs="Traditional Arabic" w:hint="cs"/>
          <w:color w:val="000000"/>
          <w:sz w:val="24"/>
          <w:szCs w:val="28"/>
          <w:rtl/>
        </w:rPr>
        <w:t xml:space="preserve"> محمد كامل مرسي 82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293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82 ص 136 </w:t>
      </w:r>
      <w:r w:rsidRPr="00DC0143">
        <w:rPr>
          <w:rFonts w:cs="Traditional Arabic"/>
          <w:color w:val="000000"/>
          <w:sz w:val="24"/>
          <w:szCs w:val="28"/>
          <w:rtl/>
        </w:rPr>
        <w:t>–</w:t>
      </w:r>
      <w:r w:rsidRPr="00DC0143">
        <w:rPr>
          <w:rFonts w:cs="Traditional Arabic" w:hint="cs"/>
          <w:color w:val="000000"/>
          <w:sz w:val="24"/>
          <w:szCs w:val="28"/>
          <w:rtl/>
        </w:rPr>
        <w:t xml:space="preserve"> ولا يمنع بطلان شرط للتملك عند عدم الوفاء من أن يدخل الدائن المرتهن في المزاد الجبري</w:t>
      </w:r>
      <w:r>
        <w:rPr>
          <w:rFonts w:cs="Traditional Arabic" w:hint="cs"/>
          <w:color w:val="000000"/>
          <w:sz w:val="24"/>
          <w:szCs w:val="28"/>
          <w:rtl/>
        </w:rPr>
        <w:t xml:space="preserve"> ،</w:t>
      </w:r>
      <w:r w:rsidRPr="00DC0143">
        <w:rPr>
          <w:rFonts w:cs="Traditional Arabic" w:hint="cs"/>
          <w:color w:val="000000"/>
          <w:sz w:val="24"/>
          <w:szCs w:val="28"/>
          <w:rtl/>
        </w:rPr>
        <w:t xml:space="preserve"> ومن رسو المزاد عليه</w:t>
      </w:r>
      <w:r>
        <w:rPr>
          <w:rFonts w:cs="Traditional Arabic" w:hint="cs"/>
          <w:color w:val="000000"/>
          <w:sz w:val="24"/>
          <w:szCs w:val="28"/>
          <w:rtl/>
        </w:rPr>
        <w:t xml:space="preserve"> ،</w:t>
      </w:r>
      <w:r w:rsidRPr="00DC0143">
        <w:rPr>
          <w:rFonts w:cs="Traditional Arabic" w:hint="cs"/>
          <w:color w:val="000000"/>
          <w:sz w:val="24"/>
          <w:szCs w:val="28"/>
          <w:rtl/>
        </w:rPr>
        <w:t xml:space="preserve"> لأن المزاد الجبري يكون محوطا بالضمانات التي يتطلبها القانون </w:t>
      </w:r>
      <w:r>
        <w:rPr>
          <w:rFonts w:cs="Traditional Arabic" w:hint="cs"/>
          <w:color w:val="000000"/>
          <w:sz w:val="24"/>
          <w:szCs w:val="28"/>
          <w:rtl/>
        </w:rPr>
        <w:t xml:space="preserve">( </w:t>
      </w:r>
      <w:r w:rsidRPr="00DC0143">
        <w:rPr>
          <w:rFonts w:cs="Traditional Arabic" w:hint="cs"/>
          <w:color w:val="000000"/>
          <w:sz w:val="24"/>
          <w:szCs w:val="28"/>
          <w:rtl/>
        </w:rPr>
        <w:t>سليمان مرقس فقرة 82 ص 136</w:t>
      </w:r>
      <w:r>
        <w:rPr>
          <w:rFonts w:cs="Traditional Arabic" w:hint="cs"/>
          <w:color w:val="000000"/>
          <w:sz w:val="24"/>
          <w:szCs w:val="28"/>
          <w:rtl/>
        </w:rPr>
        <w:t xml:space="preserve"> ) .</w:t>
      </w:r>
    </w:p>
  </w:footnote>
  <w:footnote w:id="90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سمير تناغر فقرة 31 ص 124 هامش 1</w:t>
      </w:r>
      <w:r>
        <w:rPr>
          <w:rFonts w:cs="Traditional Arabic" w:hint="cs"/>
          <w:color w:val="000000"/>
          <w:sz w:val="24"/>
          <w:szCs w:val="28"/>
          <w:rtl/>
        </w:rPr>
        <w:t xml:space="preserve"> .</w:t>
      </w:r>
    </w:p>
  </w:footnote>
  <w:footnote w:id="90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90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وتقول المذكرة الإيضاحية للمشروع التمهيدي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"فيقع باطلا كل اتفاق يعطي الدائن الحق</w:t>
      </w:r>
      <w:r>
        <w:rPr>
          <w:rFonts w:cs="Traditional Arabic" w:hint="cs"/>
          <w:color w:val="000000"/>
          <w:sz w:val="24"/>
          <w:szCs w:val="28"/>
          <w:rtl/>
        </w:rPr>
        <w:t xml:space="preserve"> ،</w:t>
      </w:r>
      <w:r w:rsidRPr="00DC0143">
        <w:rPr>
          <w:rFonts w:cs="Traditional Arabic" w:hint="cs"/>
          <w:color w:val="000000"/>
          <w:sz w:val="24"/>
          <w:szCs w:val="28"/>
          <w:rtl/>
        </w:rPr>
        <w:t xml:space="preserve"> إذا لم يستوفي الدين عند حلول أجله</w:t>
      </w:r>
      <w:r>
        <w:rPr>
          <w:rFonts w:cs="Traditional Arabic" w:hint="cs"/>
          <w:color w:val="000000"/>
          <w:sz w:val="24"/>
          <w:szCs w:val="28"/>
          <w:rtl/>
        </w:rPr>
        <w:t xml:space="preserve"> ،</w:t>
      </w:r>
      <w:r w:rsidRPr="00DC0143">
        <w:rPr>
          <w:rFonts w:cs="Traditional Arabic" w:hint="cs"/>
          <w:color w:val="000000"/>
          <w:sz w:val="24"/>
          <w:szCs w:val="28"/>
          <w:rtl/>
        </w:rPr>
        <w:t xml:space="preserve"> في أن يتملك العقار المرهون بأي ثمن كان</w:t>
      </w:r>
      <w:r>
        <w:rPr>
          <w:rFonts w:cs="Traditional Arabic" w:hint="cs"/>
          <w:color w:val="000000"/>
          <w:sz w:val="24"/>
          <w:szCs w:val="28"/>
          <w:rtl/>
        </w:rPr>
        <w:t xml:space="preserve"> ،</w:t>
      </w:r>
      <w:r w:rsidRPr="00DC0143">
        <w:rPr>
          <w:rFonts w:cs="Traditional Arabic" w:hint="cs"/>
          <w:color w:val="000000"/>
          <w:sz w:val="24"/>
          <w:szCs w:val="28"/>
          <w:rtl/>
        </w:rPr>
        <w:t xml:space="preserve"> وهذا هو شرط التملك عند عدم الوفاء</w:t>
      </w:r>
      <w:r>
        <w:rPr>
          <w:rFonts w:cs="Traditional Arabic" w:hint="cs"/>
          <w:color w:val="000000"/>
          <w:sz w:val="24"/>
          <w:szCs w:val="28"/>
          <w:rtl/>
        </w:rPr>
        <w:t xml:space="preserve"> ،</w:t>
      </w:r>
      <w:r w:rsidRPr="00DC0143">
        <w:rPr>
          <w:rFonts w:cs="Traditional Arabic" w:hint="cs"/>
          <w:color w:val="000000"/>
          <w:sz w:val="24"/>
          <w:szCs w:val="28"/>
          <w:rtl/>
        </w:rPr>
        <w:t xml:space="preserve"> أو في أن يبيعه دون أن يراعى الإجراءات التي فرضها القانون</w:t>
      </w:r>
      <w:r>
        <w:rPr>
          <w:rFonts w:cs="Traditional Arabic" w:hint="cs"/>
          <w:color w:val="000000"/>
          <w:sz w:val="24"/>
          <w:szCs w:val="28"/>
          <w:rtl/>
        </w:rPr>
        <w:t xml:space="preserve"> ،</w:t>
      </w:r>
      <w:r w:rsidRPr="00DC0143">
        <w:rPr>
          <w:rFonts w:cs="Traditional Arabic" w:hint="cs"/>
          <w:color w:val="000000"/>
          <w:sz w:val="24"/>
          <w:szCs w:val="28"/>
          <w:rtl/>
        </w:rPr>
        <w:t xml:space="preserve"> وهذا هو شرط الطريق الممهد</w:t>
      </w:r>
      <w:r>
        <w:rPr>
          <w:rFonts w:cs="Traditional Arabic" w:hint="cs"/>
          <w:color w:val="000000"/>
          <w:sz w:val="24"/>
          <w:szCs w:val="28"/>
          <w:rtl/>
        </w:rPr>
        <w:t xml:space="preserve"> ،</w:t>
      </w:r>
      <w:r w:rsidRPr="00DC0143">
        <w:rPr>
          <w:rFonts w:cs="Traditional Arabic" w:hint="cs"/>
          <w:color w:val="000000"/>
          <w:sz w:val="24"/>
          <w:szCs w:val="28"/>
          <w:rtl/>
        </w:rPr>
        <w:t xml:space="preserve"> سواء أبرم الاتفاق في عقد الرهن ذاته أو ابرم بعده ما دام قد تم قبل حلول الدين</w:t>
      </w:r>
      <w:r>
        <w:rPr>
          <w:rFonts w:cs="Traditional Arabic" w:hint="cs"/>
          <w:color w:val="000000"/>
          <w:sz w:val="24"/>
          <w:szCs w:val="28"/>
          <w:rtl/>
        </w:rPr>
        <w:t xml:space="preserve"> .</w:t>
      </w:r>
      <w:r w:rsidRPr="00DC0143">
        <w:rPr>
          <w:rFonts w:cs="Traditional Arabic" w:hint="cs"/>
          <w:color w:val="000000"/>
          <w:sz w:val="24"/>
          <w:szCs w:val="28"/>
          <w:rtl/>
        </w:rPr>
        <w:t xml:space="preserve"> أما إذا حل الدين فقد انعدمت شبهة استغلال الدائن المرتهن لحاجة الراهن</w:t>
      </w:r>
      <w:r>
        <w:rPr>
          <w:rFonts w:cs="Traditional Arabic" w:hint="cs"/>
          <w:color w:val="000000"/>
          <w:sz w:val="24"/>
          <w:szCs w:val="28"/>
          <w:rtl/>
        </w:rPr>
        <w:t xml:space="preserve"> ،</w:t>
      </w:r>
      <w:r w:rsidRPr="00DC0143">
        <w:rPr>
          <w:rFonts w:cs="Traditional Arabic" w:hint="cs"/>
          <w:color w:val="000000"/>
          <w:sz w:val="24"/>
          <w:szCs w:val="28"/>
          <w:rtl/>
        </w:rPr>
        <w:t xml:space="preserve"> وأصبح هذا على بينه من الأمر</w:t>
      </w:r>
      <w:r>
        <w:rPr>
          <w:rFonts w:cs="Traditional Arabic" w:hint="cs"/>
          <w:color w:val="000000"/>
          <w:sz w:val="24"/>
          <w:szCs w:val="28"/>
          <w:rtl/>
        </w:rPr>
        <w:t xml:space="preserve"> .</w:t>
      </w:r>
      <w:r w:rsidRPr="00DC0143">
        <w:rPr>
          <w:rFonts w:cs="Traditional Arabic" w:hint="cs"/>
          <w:color w:val="000000"/>
          <w:sz w:val="24"/>
          <w:szCs w:val="28"/>
          <w:rtl/>
        </w:rPr>
        <w:t xml:space="preserve"> فيجوز الاتفاق حينئذ على أن ينزل الراهن عن العقار المرهون وفاء الدين أو على أن يشتري الدائن العقار بثمن معين أكبر أو أقل من الدين</w:t>
      </w:r>
      <w:r>
        <w:rPr>
          <w:rFonts w:cs="Traditional Arabic" w:hint="cs"/>
          <w:color w:val="000000"/>
          <w:sz w:val="24"/>
          <w:szCs w:val="28"/>
          <w:rtl/>
        </w:rPr>
        <w:t xml:space="preserve"> ،</w:t>
      </w:r>
      <w:r w:rsidRPr="00DC0143">
        <w:rPr>
          <w:rFonts w:cs="Traditional Arabic" w:hint="cs"/>
          <w:color w:val="000000"/>
          <w:sz w:val="24"/>
          <w:szCs w:val="28"/>
          <w:rtl/>
        </w:rPr>
        <w:t xml:space="preserve"> أو على أن يباع العقار بالممارسة لا بالمزاد العلني</w:t>
      </w:r>
      <w:r>
        <w:rPr>
          <w:rFonts w:cs="Traditional Arabic" w:hint="cs"/>
          <w:color w:val="000000"/>
          <w:sz w:val="24"/>
          <w:szCs w:val="28"/>
          <w:rtl/>
        </w:rPr>
        <w:t xml:space="preserve"> ،</w:t>
      </w:r>
      <w:r w:rsidRPr="00DC0143">
        <w:rPr>
          <w:rFonts w:cs="Traditional Arabic" w:hint="cs"/>
          <w:color w:val="000000"/>
          <w:sz w:val="24"/>
          <w:szCs w:val="28"/>
          <w:rtl/>
        </w:rPr>
        <w:t xml:space="preserve"> وقد يكون في هذه الاتفاقات مصلحة للراهن نفسه</w:t>
      </w:r>
      <w:r>
        <w:rPr>
          <w:rFonts w:cs="Traditional Arabic" w:hint="cs"/>
          <w:color w:val="000000"/>
          <w:sz w:val="24"/>
          <w:szCs w:val="28"/>
          <w:rtl/>
        </w:rPr>
        <w:t xml:space="preserve"> ،</w:t>
      </w:r>
      <w:r w:rsidRPr="00DC0143">
        <w:rPr>
          <w:rFonts w:cs="Traditional Arabic" w:hint="cs"/>
          <w:color w:val="000000"/>
          <w:sz w:val="24"/>
          <w:szCs w:val="28"/>
          <w:rtl/>
        </w:rPr>
        <w:t xml:space="preserve"> إذ يتجنب المصروفات التي تنجم عن بيع العقار بالمزاد"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62</w:t>
      </w:r>
      <w:r>
        <w:rPr>
          <w:rFonts w:cs="Traditional Arabic" w:hint="cs"/>
          <w:color w:val="000000"/>
          <w:sz w:val="24"/>
          <w:szCs w:val="28"/>
          <w:rtl/>
        </w:rPr>
        <w:t xml:space="preserve"> ) .</w:t>
      </w:r>
    </w:p>
  </w:footnote>
  <w:footnote w:id="90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ولم يكن مسموحاً في القانون الروماني أن يبيع الدائن المرتهن الشيء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ما لم يوجد اتفاق على إعطائه هذا الحق</w:t>
      </w:r>
      <w:r>
        <w:rPr>
          <w:rFonts w:cs="Traditional Arabic" w:hint="cs"/>
          <w:color w:val="000000"/>
          <w:sz w:val="24"/>
          <w:szCs w:val="28"/>
          <w:rtl/>
        </w:rPr>
        <w:t xml:space="preserve"> .</w:t>
      </w:r>
      <w:r w:rsidRPr="00DC0143">
        <w:rPr>
          <w:rFonts w:cs="Traditional Arabic" w:hint="cs"/>
          <w:color w:val="000000"/>
          <w:sz w:val="24"/>
          <w:szCs w:val="28"/>
          <w:rtl/>
        </w:rPr>
        <w:t xml:space="preserve"> وقد أصبح هذا الاتفاق مفترضا في عهد أولبيان</w:t>
      </w:r>
      <w:r>
        <w:rPr>
          <w:rFonts w:cs="Traditional Arabic" w:hint="cs"/>
          <w:color w:val="000000"/>
          <w:sz w:val="24"/>
          <w:szCs w:val="28"/>
          <w:rtl/>
        </w:rPr>
        <w:t xml:space="preserve"> ،</w:t>
      </w:r>
      <w:r w:rsidRPr="00DC0143">
        <w:rPr>
          <w:rFonts w:cs="Traditional Arabic" w:hint="cs"/>
          <w:color w:val="000000"/>
          <w:sz w:val="24"/>
          <w:szCs w:val="28"/>
          <w:rtl/>
        </w:rPr>
        <w:t xml:space="preserve"> وأصبح للدائن المرتهن الحق في أن يبيع الشيء المرهون بالطريقة التي يختارها</w:t>
      </w:r>
      <w:r>
        <w:rPr>
          <w:rFonts w:cs="Traditional Arabic" w:hint="cs"/>
          <w:color w:val="000000"/>
          <w:sz w:val="24"/>
          <w:szCs w:val="28"/>
          <w:rtl/>
        </w:rPr>
        <w:t xml:space="preserve"> ،</w:t>
      </w:r>
      <w:r w:rsidRPr="00DC0143">
        <w:rPr>
          <w:rFonts w:cs="Traditional Arabic" w:hint="cs"/>
          <w:color w:val="000000"/>
          <w:sz w:val="24"/>
          <w:szCs w:val="28"/>
          <w:rtl/>
        </w:rPr>
        <w:t xml:space="preserve"> بالمزاد أو بالممارسة</w:t>
      </w:r>
      <w:r>
        <w:rPr>
          <w:rFonts w:cs="Traditional Arabic" w:hint="cs"/>
          <w:color w:val="000000"/>
          <w:sz w:val="24"/>
          <w:szCs w:val="28"/>
          <w:rtl/>
        </w:rPr>
        <w:t xml:space="preserve"> .</w:t>
      </w:r>
      <w:r w:rsidRPr="00DC0143">
        <w:rPr>
          <w:rFonts w:cs="Traditional Arabic" w:hint="cs"/>
          <w:color w:val="000000"/>
          <w:sz w:val="24"/>
          <w:szCs w:val="28"/>
          <w:rtl/>
        </w:rPr>
        <w:t xml:space="preserve"> وفي القانون الفرنسي القديم حدث تطور امتنع بموجبه على الدائن المرتهن أن يتملك الشيء المرهون أن يستولي على حيازته</w:t>
      </w:r>
      <w:r>
        <w:rPr>
          <w:rFonts w:cs="Traditional Arabic" w:hint="cs"/>
          <w:color w:val="000000"/>
          <w:sz w:val="24"/>
          <w:szCs w:val="28"/>
          <w:rtl/>
        </w:rPr>
        <w:t xml:space="preserve"> ،</w:t>
      </w:r>
      <w:r w:rsidRPr="00DC0143">
        <w:rPr>
          <w:rFonts w:cs="Traditional Arabic" w:hint="cs"/>
          <w:color w:val="000000"/>
          <w:sz w:val="24"/>
          <w:szCs w:val="28"/>
          <w:rtl/>
        </w:rPr>
        <w:t xml:space="preserve"> وأصبح واجباً عليه أن يتخذ إجراءات التنفيذ على الشيء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شأنه في ذلك شأن أي دائن آخر </w:t>
      </w:r>
      <w:r>
        <w:rPr>
          <w:rFonts w:cs="Traditional Arabic" w:hint="cs"/>
          <w:color w:val="000000"/>
          <w:sz w:val="24"/>
          <w:szCs w:val="28"/>
          <w:rtl/>
        </w:rPr>
        <w:t xml:space="preserve">( </w:t>
      </w:r>
      <w:r w:rsidRPr="00DC0143">
        <w:rPr>
          <w:rFonts w:cs="Traditional Arabic" w:hint="cs"/>
          <w:color w:val="000000"/>
          <w:sz w:val="24"/>
          <w:szCs w:val="28"/>
          <w:rtl/>
        </w:rPr>
        <w:t>بلانيول وريبير وبيكيه 13 فقرة 903</w:t>
      </w:r>
      <w:r>
        <w:rPr>
          <w:rFonts w:cs="Traditional Arabic" w:hint="cs"/>
          <w:color w:val="000000"/>
          <w:sz w:val="24"/>
          <w:szCs w:val="28"/>
          <w:rtl/>
        </w:rPr>
        <w:t xml:space="preserve"> ) .</w:t>
      </w:r>
    </w:p>
  </w:footnote>
  <w:footnote w:id="909">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910">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جيوار 2 فقرة 1038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1289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2 فقرة 444</w:t>
      </w:r>
      <w:r>
        <w:rPr>
          <w:rFonts w:cs="Traditional Arabic" w:hint="cs"/>
          <w:color w:val="000000"/>
          <w:sz w:val="24"/>
          <w:szCs w:val="28"/>
          <w:rtl/>
        </w:rPr>
        <w:t xml:space="preserve"> .</w:t>
      </w:r>
    </w:p>
  </w:footnote>
  <w:footnote w:id="911">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المذكرة الإيضاحية للمشروع التمهيدي في هذا الصدد</w:t>
      </w:r>
      <w:r>
        <w:rPr>
          <w:rFonts w:cs="Traditional Arabic" w:hint="cs"/>
          <w:color w:val="000000"/>
          <w:sz w:val="24"/>
          <w:szCs w:val="28"/>
          <w:rtl/>
        </w:rPr>
        <w:t xml:space="preserve"> ،</w:t>
      </w:r>
      <w:r w:rsidRPr="00DC0143">
        <w:rPr>
          <w:rFonts w:cs="Traditional Arabic" w:hint="cs"/>
          <w:color w:val="000000"/>
          <w:sz w:val="24"/>
          <w:szCs w:val="28"/>
          <w:rtl/>
        </w:rPr>
        <w:t xml:space="preserve"> وقد سبق إيرادها آنفاً فقرة 185 في الهامش</w:t>
      </w:r>
      <w:r>
        <w:rPr>
          <w:rFonts w:cs="Traditional Arabic" w:hint="cs"/>
          <w:color w:val="000000"/>
          <w:sz w:val="24"/>
          <w:szCs w:val="28"/>
          <w:rtl/>
        </w:rPr>
        <w:t xml:space="preserve"> .</w:t>
      </w:r>
      <w:r w:rsidRPr="00DC0143">
        <w:rPr>
          <w:rFonts w:cs="Traditional Arabic" w:hint="cs"/>
          <w:color w:val="000000"/>
          <w:sz w:val="24"/>
          <w:szCs w:val="28"/>
          <w:rtl/>
        </w:rPr>
        <w:t xml:space="preserve"> وانظر بودري ودي لوان 2 فقرة 1289</w:t>
      </w:r>
      <w:r>
        <w:rPr>
          <w:rFonts w:cs="Traditional Arabic" w:hint="cs"/>
          <w:color w:val="000000"/>
          <w:sz w:val="24"/>
          <w:szCs w:val="28"/>
          <w:rtl/>
        </w:rPr>
        <w:t xml:space="preserve"> .</w:t>
      </w:r>
    </w:p>
  </w:footnote>
  <w:footnote w:id="912">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انظر آنفاً فقرة 182</w:t>
      </w:r>
      <w:r>
        <w:rPr>
          <w:rFonts w:cs="Traditional Arabic" w:hint="cs"/>
          <w:color w:val="000000"/>
          <w:sz w:val="24"/>
          <w:szCs w:val="28"/>
          <w:rtl/>
        </w:rPr>
        <w:t xml:space="preserve"> .</w:t>
      </w:r>
    </w:p>
  </w:footnote>
  <w:footnote w:id="913">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وقد أجاز القضاء الفرنسي أن يوكل للراهن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بعد استحقاق أجل الدين</w:t>
      </w:r>
      <w:r>
        <w:rPr>
          <w:rFonts w:cs="Traditional Arabic" w:hint="cs"/>
          <w:color w:val="000000"/>
          <w:sz w:val="24"/>
          <w:szCs w:val="28"/>
          <w:rtl/>
        </w:rPr>
        <w:t xml:space="preserve"> ،</w:t>
      </w:r>
      <w:r w:rsidRPr="00DC0143">
        <w:rPr>
          <w:rFonts w:cs="Traditional Arabic" w:hint="cs"/>
          <w:color w:val="000000"/>
          <w:sz w:val="24"/>
          <w:szCs w:val="28"/>
          <w:rtl/>
        </w:rPr>
        <w:t xml:space="preserve"> في بيع العقار المرهون واستيفاء حقه من ثمنه </w:t>
      </w:r>
      <w:r>
        <w:rPr>
          <w:rFonts w:cs="Traditional Arabic" w:hint="cs"/>
          <w:color w:val="000000"/>
          <w:sz w:val="24"/>
          <w:szCs w:val="28"/>
          <w:rtl/>
        </w:rPr>
        <w:t xml:space="preserve">( </w:t>
      </w:r>
      <w:r w:rsidRPr="00DC0143">
        <w:rPr>
          <w:rFonts w:cs="Traditional Arabic" w:hint="cs"/>
          <w:color w:val="000000"/>
          <w:sz w:val="24"/>
          <w:szCs w:val="28"/>
          <w:rtl/>
        </w:rPr>
        <w:t xml:space="preserve">جيوار 2 فقرة 1-39 </w:t>
      </w:r>
      <w:r w:rsidRPr="00DC0143">
        <w:rPr>
          <w:rFonts w:cs="Traditional Arabic"/>
          <w:color w:val="000000"/>
          <w:sz w:val="24"/>
          <w:szCs w:val="28"/>
          <w:rtl/>
        </w:rPr>
        <w:t>–</w:t>
      </w:r>
      <w:r w:rsidRPr="00DC0143">
        <w:rPr>
          <w:rFonts w:cs="Traditional Arabic" w:hint="cs"/>
          <w:color w:val="000000"/>
          <w:sz w:val="24"/>
          <w:szCs w:val="28"/>
          <w:rtl/>
        </w:rPr>
        <w:t xml:space="preserve"> بودري ودي لوان 2 فقرة 1290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445 و 13 فقرة 908</w:t>
      </w:r>
      <w:r>
        <w:rPr>
          <w:rFonts w:cs="Traditional Arabic" w:hint="cs"/>
          <w:color w:val="000000"/>
          <w:sz w:val="24"/>
          <w:szCs w:val="28"/>
          <w:rtl/>
        </w:rPr>
        <w:t xml:space="preserve"> ) ،</w:t>
      </w:r>
      <w:r w:rsidRPr="00DC0143">
        <w:rPr>
          <w:rFonts w:cs="Traditional Arabic" w:hint="cs"/>
          <w:color w:val="000000"/>
          <w:sz w:val="24"/>
          <w:szCs w:val="28"/>
          <w:rtl/>
        </w:rPr>
        <w:t xml:space="preserve"> حتى لو كانت الوكالة لا يجوز الرجوع فيها بإرادة الراهن وحده إذا أعطيت بعد عقد الرهن بمدة طويلة</w:t>
      </w:r>
      <w:r>
        <w:rPr>
          <w:rFonts w:cs="Traditional Arabic" w:hint="cs"/>
          <w:color w:val="000000"/>
          <w:sz w:val="24"/>
          <w:szCs w:val="28"/>
          <w:rtl/>
        </w:rPr>
        <w:t xml:space="preserve"> ،</w:t>
      </w:r>
      <w:r w:rsidRPr="00DC0143">
        <w:rPr>
          <w:rFonts w:cs="Traditional Arabic" w:hint="cs"/>
          <w:color w:val="000000"/>
          <w:sz w:val="24"/>
          <w:szCs w:val="28"/>
          <w:rtl/>
        </w:rPr>
        <w:t xml:space="preserve"> وبوجه خاص إذا أعطيت بعد حلول الدين المضمون </w:t>
      </w:r>
      <w:r>
        <w:rPr>
          <w:rFonts w:cs="Traditional Arabic" w:hint="cs"/>
          <w:color w:val="000000"/>
          <w:sz w:val="24"/>
          <w:szCs w:val="28"/>
          <w:rtl/>
        </w:rPr>
        <w:t xml:space="preserve">( </w:t>
      </w:r>
      <w:r w:rsidRPr="00DC0143">
        <w:rPr>
          <w:rFonts w:cs="Traditional Arabic" w:hint="cs"/>
          <w:color w:val="000000"/>
          <w:sz w:val="24"/>
          <w:szCs w:val="28"/>
          <w:rtl/>
        </w:rPr>
        <w:t xml:space="preserve">نقض فرنسي 25 مارس سنة 1903 داللوز 1904 </w:t>
      </w:r>
      <w:r w:rsidRPr="00DC0143">
        <w:rPr>
          <w:rFonts w:cs="Traditional Arabic"/>
          <w:color w:val="000000"/>
          <w:sz w:val="24"/>
          <w:szCs w:val="28"/>
          <w:rtl/>
        </w:rPr>
        <w:t>–</w:t>
      </w:r>
      <w:r w:rsidRPr="00DC0143">
        <w:rPr>
          <w:rFonts w:cs="Traditional Arabic" w:hint="cs"/>
          <w:color w:val="000000"/>
          <w:sz w:val="24"/>
          <w:szCs w:val="28"/>
          <w:rtl/>
        </w:rPr>
        <w:t xml:space="preserve"> 1 </w:t>
      </w:r>
      <w:r w:rsidRPr="00DC0143">
        <w:rPr>
          <w:rFonts w:cs="Traditional Arabic"/>
          <w:color w:val="000000"/>
          <w:sz w:val="24"/>
          <w:szCs w:val="28"/>
          <w:rtl/>
        </w:rPr>
        <w:t>–</w:t>
      </w:r>
      <w:r w:rsidRPr="00DC0143">
        <w:rPr>
          <w:rFonts w:cs="Traditional Arabic" w:hint="cs"/>
          <w:color w:val="000000"/>
          <w:sz w:val="24"/>
          <w:szCs w:val="28"/>
          <w:rtl/>
        </w:rPr>
        <w:t xml:space="preserve"> 273 </w:t>
      </w:r>
      <w:r w:rsidRPr="00DC0143">
        <w:rPr>
          <w:rFonts w:cs="Traditional Arabic"/>
          <w:color w:val="000000"/>
          <w:sz w:val="24"/>
          <w:szCs w:val="28"/>
          <w:rtl/>
        </w:rPr>
        <w:t>–</w:t>
      </w:r>
      <w:r w:rsidRPr="00DC0143">
        <w:rPr>
          <w:rFonts w:cs="Traditional Arabic" w:hint="cs"/>
          <w:color w:val="000000"/>
          <w:sz w:val="24"/>
          <w:szCs w:val="28"/>
          <w:rtl/>
        </w:rPr>
        <w:t xml:space="preserve"> بلانيول وريبير وبيكيه 12 فقرة 45 ص 483</w:t>
      </w:r>
      <w:r>
        <w:rPr>
          <w:rFonts w:cs="Traditional Arabic" w:hint="cs"/>
          <w:color w:val="000000"/>
          <w:sz w:val="24"/>
          <w:szCs w:val="28"/>
          <w:rtl/>
        </w:rPr>
        <w:t xml:space="preserve"> ) .</w:t>
      </w:r>
    </w:p>
  </w:footnote>
  <w:footnote w:id="914">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مجموعة الأعمال التحضيرية 7 ص 62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88 ص 275 </w:t>
      </w:r>
      <w:r w:rsidRPr="00DC0143">
        <w:rPr>
          <w:rFonts w:cs="Traditional Arabic"/>
          <w:color w:val="000000"/>
          <w:sz w:val="24"/>
          <w:szCs w:val="28"/>
          <w:rtl/>
        </w:rPr>
        <w:t>–</w:t>
      </w:r>
      <w:r w:rsidRPr="00DC0143">
        <w:rPr>
          <w:rFonts w:cs="Traditional Arabic" w:hint="cs"/>
          <w:color w:val="000000"/>
          <w:sz w:val="24"/>
          <w:szCs w:val="28"/>
          <w:rtl/>
        </w:rPr>
        <w:t xml:space="preserve"> ويجوز بطبيعة الحال لأي دائن آخر يكون طرفا في إجراءات التنفيذ أولا يعمل بهذا الاتفاق لأنه ليس طرفاً فيه</w:t>
      </w:r>
      <w:r>
        <w:rPr>
          <w:rFonts w:cs="Traditional Arabic" w:hint="cs"/>
          <w:color w:val="000000"/>
          <w:sz w:val="24"/>
          <w:szCs w:val="28"/>
          <w:rtl/>
        </w:rPr>
        <w:t xml:space="preserve"> ،</w:t>
      </w:r>
      <w:r w:rsidRPr="00DC0143">
        <w:rPr>
          <w:rFonts w:cs="Traditional Arabic" w:hint="cs"/>
          <w:color w:val="000000"/>
          <w:sz w:val="24"/>
          <w:szCs w:val="28"/>
          <w:rtl/>
        </w:rPr>
        <w:t xml:space="preserve"> وينفذ على العقار المرهون وفقا للإجراءات التي رسمها تقنين المرافعات </w:t>
      </w:r>
      <w:r>
        <w:rPr>
          <w:rFonts w:cs="Traditional Arabic" w:hint="cs"/>
          <w:color w:val="000000"/>
          <w:sz w:val="24"/>
          <w:szCs w:val="28"/>
          <w:rtl/>
        </w:rPr>
        <w:t xml:space="preserve">( </w:t>
      </w:r>
      <w:r w:rsidRPr="00DC0143">
        <w:rPr>
          <w:rFonts w:cs="Traditional Arabic" w:hint="cs"/>
          <w:color w:val="000000"/>
          <w:sz w:val="24"/>
          <w:szCs w:val="28"/>
          <w:rtl/>
        </w:rPr>
        <w:t>شمس الدين الوكيل فقرة 88 ص 275</w:t>
      </w:r>
      <w:r>
        <w:rPr>
          <w:rFonts w:cs="Traditional Arabic" w:hint="cs"/>
          <w:color w:val="000000"/>
          <w:sz w:val="24"/>
          <w:szCs w:val="28"/>
          <w:rtl/>
        </w:rPr>
        <w:t xml:space="preserve"> ) .</w:t>
      </w:r>
    </w:p>
  </w:footnote>
  <w:footnote w:id="915">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بيدان وفواران 14 فقرة 862 بلانيول وريبير وبيكيه 12 فقرة 758 </w:t>
      </w:r>
      <w:r w:rsidRPr="00DC0143">
        <w:rPr>
          <w:rFonts w:cs="Traditional Arabic"/>
          <w:color w:val="000000"/>
          <w:sz w:val="24"/>
          <w:szCs w:val="28"/>
          <w:rtl/>
        </w:rPr>
        <w:t>–</w:t>
      </w:r>
      <w:r w:rsidRPr="00DC0143">
        <w:rPr>
          <w:rFonts w:cs="Traditional Arabic" w:hint="cs"/>
          <w:color w:val="000000"/>
          <w:sz w:val="24"/>
          <w:szCs w:val="28"/>
          <w:rtl/>
        </w:rPr>
        <w:t xml:space="preserve"> عبد الفتاح عبد الباقي فقرة 244 </w:t>
      </w:r>
      <w:r w:rsidRPr="00DC0143">
        <w:rPr>
          <w:rFonts w:cs="Traditional Arabic"/>
          <w:color w:val="000000"/>
          <w:sz w:val="24"/>
          <w:szCs w:val="28"/>
          <w:rtl/>
        </w:rPr>
        <w:t>–</w:t>
      </w:r>
      <w:r w:rsidRPr="00DC0143">
        <w:rPr>
          <w:rFonts w:cs="Traditional Arabic" w:hint="cs"/>
          <w:color w:val="000000"/>
          <w:sz w:val="24"/>
          <w:szCs w:val="28"/>
          <w:rtl/>
        </w:rPr>
        <w:t xml:space="preserve"> سليمان مرقس فقرة 90 </w:t>
      </w:r>
      <w:r w:rsidRPr="00DC0143">
        <w:rPr>
          <w:rFonts w:cs="Traditional Arabic"/>
          <w:color w:val="000000"/>
          <w:sz w:val="24"/>
          <w:szCs w:val="28"/>
          <w:rtl/>
        </w:rPr>
        <w:t>–</w:t>
      </w:r>
      <w:r w:rsidRPr="00DC0143">
        <w:rPr>
          <w:rFonts w:cs="Traditional Arabic" w:hint="cs"/>
          <w:color w:val="000000"/>
          <w:sz w:val="24"/>
          <w:szCs w:val="28"/>
          <w:rtl/>
        </w:rPr>
        <w:t xml:space="preserve"> شمس الدين الوكيل فقرة 63 </w:t>
      </w:r>
      <w:r w:rsidRPr="00DC0143">
        <w:rPr>
          <w:rFonts w:cs="Traditional Arabic"/>
          <w:color w:val="000000"/>
          <w:sz w:val="24"/>
          <w:szCs w:val="28"/>
          <w:rtl/>
        </w:rPr>
        <w:t>–</w:t>
      </w:r>
      <w:r w:rsidRPr="00DC0143">
        <w:rPr>
          <w:rFonts w:cs="Traditional Arabic" w:hint="cs"/>
          <w:color w:val="000000"/>
          <w:sz w:val="24"/>
          <w:szCs w:val="28"/>
          <w:rtl/>
        </w:rPr>
        <w:t xml:space="preserve"> عبد المنعم فرج الصدة فقرة 94 </w:t>
      </w:r>
      <w:r w:rsidRPr="00DC0143">
        <w:rPr>
          <w:rFonts w:cs="Traditional Arabic"/>
          <w:color w:val="000000"/>
          <w:sz w:val="24"/>
          <w:szCs w:val="28"/>
          <w:rtl/>
        </w:rPr>
        <w:t>–</w:t>
      </w:r>
      <w:r w:rsidRPr="00DC0143">
        <w:rPr>
          <w:rFonts w:cs="Traditional Arabic" w:hint="cs"/>
          <w:color w:val="000000"/>
          <w:sz w:val="24"/>
          <w:szCs w:val="28"/>
          <w:rtl/>
        </w:rPr>
        <w:t xml:space="preserve"> منصور مصطفى منصور فقرة 40 </w:t>
      </w:r>
      <w:r w:rsidRPr="00DC0143">
        <w:rPr>
          <w:rFonts w:cs="Traditional Arabic"/>
          <w:color w:val="000000"/>
          <w:sz w:val="24"/>
          <w:szCs w:val="28"/>
          <w:rtl/>
        </w:rPr>
        <w:t>–</w:t>
      </w:r>
      <w:r w:rsidRPr="00DC0143">
        <w:rPr>
          <w:rFonts w:cs="Traditional Arabic" w:hint="cs"/>
          <w:color w:val="000000"/>
          <w:sz w:val="24"/>
          <w:szCs w:val="28"/>
          <w:rtl/>
        </w:rPr>
        <w:t xml:space="preserve"> سمير تناغر فقرة 126</w:t>
      </w:r>
      <w:r>
        <w:rPr>
          <w:rFonts w:cs="Traditional Arabic" w:hint="cs"/>
          <w:color w:val="000000"/>
          <w:sz w:val="24"/>
          <w:szCs w:val="28"/>
          <w:rtl/>
        </w:rPr>
        <w:t xml:space="preserve"> .</w:t>
      </w:r>
    </w:p>
  </w:footnote>
  <w:footnote w:id="916">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المادة 1462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"لا يكون الرهن نافذا في حق الغير إلا إذا قيد العقد بقلم كتاب المحكمة أو المحاكم الابتدائية التي يقع في دارئتها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وتم هذا القيد قبل أن يكسب الغير حقا عينيا على العقار</w:t>
      </w:r>
      <w:r>
        <w:rPr>
          <w:rFonts w:cs="Traditional Arabic" w:hint="cs"/>
          <w:color w:val="000000"/>
          <w:sz w:val="24"/>
          <w:szCs w:val="28"/>
          <w:rtl/>
        </w:rPr>
        <w:t xml:space="preserve"> ،</w:t>
      </w:r>
      <w:r w:rsidRPr="00DC0143">
        <w:rPr>
          <w:rFonts w:cs="Traditional Arabic" w:hint="cs"/>
          <w:color w:val="000000"/>
          <w:sz w:val="24"/>
          <w:szCs w:val="28"/>
          <w:rtl/>
        </w:rPr>
        <w:t xml:space="preserve"> وذلك دون إخلال بالأحكام المقررة في الإفلاس"</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حذفت العبارة الخاصة بجهة حصول القيد مراعاة النسق مع الأحكام الخاصة بالتسجيل من حيث بيان جهة حصوله</w:t>
      </w:r>
      <w:r>
        <w:rPr>
          <w:rFonts w:cs="Traditional Arabic" w:hint="cs"/>
          <w:color w:val="000000"/>
          <w:sz w:val="24"/>
          <w:szCs w:val="28"/>
          <w:rtl/>
        </w:rPr>
        <w:t xml:space="preserve"> ،</w:t>
      </w:r>
      <w:r w:rsidRPr="00DC0143">
        <w:rPr>
          <w:rFonts w:cs="Traditional Arabic" w:hint="cs"/>
          <w:color w:val="000000"/>
          <w:sz w:val="24"/>
          <w:szCs w:val="28"/>
          <w:rtl/>
        </w:rPr>
        <w:t xml:space="preserve"> وأضيفت فقرة ثانية للنص تجري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"لا يصح التمسك قبل الغير بتحول حق مضمون بقيد</w:t>
      </w:r>
      <w:r>
        <w:rPr>
          <w:rFonts w:cs="Traditional Arabic" w:hint="cs"/>
          <w:color w:val="000000"/>
          <w:sz w:val="24"/>
          <w:szCs w:val="28"/>
          <w:rtl/>
        </w:rPr>
        <w:t xml:space="preserve"> ،</w:t>
      </w:r>
      <w:r w:rsidRPr="00DC0143">
        <w:rPr>
          <w:rFonts w:cs="Traditional Arabic" w:hint="cs"/>
          <w:color w:val="000000"/>
          <w:sz w:val="24"/>
          <w:szCs w:val="28"/>
          <w:rtl/>
        </w:rPr>
        <w:t xml:space="preserve"> ولا التمسك بالحق الناشئ من حلول شخص محل الدائن في هذا الحق بحكم القانون أو بالاتفاق</w:t>
      </w:r>
      <w:r>
        <w:rPr>
          <w:rFonts w:cs="Traditional Arabic" w:hint="cs"/>
          <w:color w:val="000000"/>
          <w:sz w:val="24"/>
          <w:szCs w:val="28"/>
          <w:rtl/>
        </w:rPr>
        <w:t xml:space="preserve"> ،</w:t>
      </w:r>
      <w:r w:rsidRPr="00DC0143">
        <w:rPr>
          <w:rFonts w:cs="Traditional Arabic" w:hint="cs"/>
          <w:color w:val="000000"/>
          <w:sz w:val="24"/>
          <w:szCs w:val="28"/>
          <w:rtl/>
        </w:rPr>
        <w:t xml:space="preserve"> ولا التمسك كذلك بالتنازل عن مرتبة القيد</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حصل التأشير بذلك في هامش القيد الأصلي</w:t>
      </w:r>
      <w:r>
        <w:rPr>
          <w:rFonts w:cs="Traditional Arabic" w:hint="cs"/>
          <w:color w:val="000000"/>
          <w:sz w:val="24"/>
          <w:szCs w:val="28"/>
          <w:rtl/>
        </w:rPr>
        <w:t xml:space="preserve"> .</w:t>
      </w:r>
      <w:r w:rsidRPr="00DC0143">
        <w:rPr>
          <w:rFonts w:cs="Traditional Arabic" w:hint="cs"/>
          <w:color w:val="000000"/>
          <w:sz w:val="24"/>
          <w:szCs w:val="28"/>
          <w:rtl/>
        </w:rPr>
        <w:t xml:space="preserve"> كل ذلك مع عدم الإخلال بحكم المادة 1121"</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1148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النص</w:t>
      </w:r>
      <w:r>
        <w:rPr>
          <w:rFonts w:cs="Traditional Arabic" w:hint="cs"/>
          <w:color w:val="000000"/>
          <w:sz w:val="24"/>
          <w:szCs w:val="28"/>
          <w:rtl/>
        </w:rPr>
        <w:t xml:space="preserve"> ،</w:t>
      </w:r>
      <w:r w:rsidRPr="00DC0143">
        <w:rPr>
          <w:rFonts w:cs="Traditional Arabic" w:hint="cs"/>
          <w:color w:val="000000"/>
          <w:sz w:val="24"/>
          <w:szCs w:val="28"/>
          <w:rtl/>
        </w:rPr>
        <w:t xml:space="preserve"> بعد حذف عبارة "كل ذلك مع عدم الإخلال بحكم المادة 1121" من آخر الفقرة الثانية</w:t>
      </w:r>
      <w:r>
        <w:rPr>
          <w:rFonts w:cs="Traditional Arabic" w:hint="cs"/>
          <w:color w:val="000000"/>
          <w:sz w:val="24"/>
          <w:szCs w:val="28"/>
          <w:rtl/>
        </w:rPr>
        <w:t xml:space="preserve"> .</w:t>
      </w:r>
      <w:r w:rsidRPr="00DC0143">
        <w:rPr>
          <w:rFonts w:cs="Traditional Arabic" w:hint="cs"/>
          <w:color w:val="000000"/>
          <w:sz w:val="24"/>
          <w:szCs w:val="28"/>
          <w:rtl/>
        </w:rPr>
        <w:t xml:space="preserve"> وفي مجلس  الشيوخ أضيفت عبارة "لمصلحة دائن آخر" بعد عبارة "مرتبة القيد"</w:t>
      </w:r>
      <w:r>
        <w:rPr>
          <w:rFonts w:cs="Traditional Arabic" w:hint="cs"/>
          <w:color w:val="000000"/>
          <w:sz w:val="24"/>
          <w:szCs w:val="28"/>
          <w:rtl/>
        </w:rPr>
        <w:t xml:space="preserve"> ،</w:t>
      </w:r>
      <w:r w:rsidRPr="00DC0143">
        <w:rPr>
          <w:rFonts w:cs="Traditional Arabic" w:hint="cs"/>
          <w:color w:val="000000"/>
          <w:sz w:val="24"/>
          <w:szCs w:val="28"/>
          <w:rtl/>
        </w:rPr>
        <w:t xml:space="preserve"> وأن تصدر الفقرة المذكورة بكلمتي "ولا" بدلا من "لا" وأصبح رقم المادة 1053 </w:t>
      </w:r>
      <w:r>
        <w:rPr>
          <w:rFonts w:cs="Traditional Arabic" w:hint="cs"/>
          <w:color w:val="000000"/>
          <w:sz w:val="24"/>
          <w:szCs w:val="28"/>
          <w:rtl/>
        </w:rPr>
        <w:t xml:space="preserve">( </w:t>
      </w:r>
      <w:r w:rsidRPr="00DC0143">
        <w:rPr>
          <w:rFonts w:cs="Traditional Arabic" w:hint="cs"/>
          <w:color w:val="000000"/>
          <w:sz w:val="24"/>
          <w:szCs w:val="28"/>
          <w:rtl/>
        </w:rPr>
        <w:t>مجموعة الأعمال التحضيرية 7 ص 64 ص 66</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rtl/>
        </w:rPr>
        <w:t>وقد جاء في المذكرة الإيضاحية للمشروع التمهيدي</w:t>
      </w:r>
      <w:r>
        <w:rPr>
          <w:rFonts w:cs="Traditional Arabic" w:hint="cs"/>
          <w:color w:val="000000"/>
          <w:sz w:val="24"/>
          <w:szCs w:val="28"/>
          <w:rtl/>
        </w:rPr>
        <w:t xml:space="preserve"> :</w:t>
      </w:r>
      <w:r w:rsidRPr="00DC0143">
        <w:rPr>
          <w:rFonts w:cs="Traditional Arabic" w:hint="cs"/>
          <w:color w:val="000000"/>
          <w:sz w:val="24"/>
          <w:szCs w:val="28"/>
          <w:rtl/>
        </w:rPr>
        <w:t xml:space="preserve"> "شهر الرهن يكون بقيده</w:t>
      </w:r>
      <w:r>
        <w:rPr>
          <w:rFonts w:cs="Traditional Arabic" w:hint="cs"/>
          <w:color w:val="000000"/>
          <w:sz w:val="24"/>
          <w:szCs w:val="28"/>
          <w:rtl/>
        </w:rPr>
        <w:t xml:space="preserve"> ،</w:t>
      </w:r>
      <w:r w:rsidRPr="00DC0143">
        <w:rPr>
          <w:rFonts w:cs="Traditional Arabic" w:hint="cs"/>
          <w:color w:val="000000"/>
          <w:sz w:val="24"/>
          <w:szCs w:val="28"/>
          <w:rtl/>
        </w:rPr>
        <w:t xml:space="preserve"> ويتم القيد في المحكمة الابتدائية التي يقع في دائرتها العقار المرهون</w:t>
      </w:r>
      <w:r>
        <w:rPr>
          <w:rFonts w:cs="Traditional Arabic" w:hint="cs"/>
          <w:color w:val="000000"/>
          <w:sz w:val="24"/>
          <w:szCs w:val="28"/>
          <w:rtl/>
        </w:rPr>
        <w:t xml:space="preserve"> ،</w:t>
      </w:r>
      <w:r w:rsidRPr="00DC0143">
        <w:rPr>
          <w:rFonts w:cs="Traditional Arabic" w:hint="cs"/>
          <w:color w:val="000000"/>
          <w:sz w:val="24"/>
          <w:szCs w:val="28"/>
          <w:rtl/>
        </w:rPr>
        <w:t xml:space="preserve"> أما العقد الرسمي فيتم أمام أية محكمة ولو لم تكن محكمة العقار</w:t>
      </w:r>
      <w:r>
        <w:rPr>
          <w:rFonts w:cs="Traditional Arabic" w:hint="cs"/>
          <w:color w:val="000000"/>
          <w:sz w:val="24"/>
          <w:szCs w:val="28"/>
          <w:rtl/>
        </w:rPr>
        <w:t xml:space="preserve"> .</w:t>
      </w:r>
      <w:r w:rsidRPr="00DC0143">
        <w:rPr>
          <w:rFonts w:cs="Traditional Arabic" w:hint="cs"/>
          <w:color w:val="000000"/>
          <w:sz w:val="24"/>
          <w:szCs w:val="28"/>
          <w:rtl/>
        </w:rPr>
        <w:t xml:space="preserve"> وحتى يتم القيد يجب ن يقدم الدائن أو من ينوب عنه نسخة رسمية م عقد الرهن</w:t>
      </w:r>
      <w:r>
        <w:rPr>
          <w:rFonts w:cs="Traditional Arabic" w:hint="cs"/>
          <w:color w:val="000000"/>
          <w:sz w:val="24"/>
          <w:szCs w:val="28"/>
          <w:rtl/>
        </w:rPr>
        <w:t xml:space="preserve"> ،</w:t>
      </w:r>
      <w:r w:rsidRPr="00DC0143">
        <w:rPr>
          <w:rFonts w:cs="Traditional Arabic" w:hint="cs"/>
          <w:color w:val="000000"/>
          <w:sz w:val="24"/>
          <w:szCs w:val="28"/>
          <w:rtl/>
        </w:rPr>
        <w:t xml:space="preserve"> ويرفق بها قائمة </w:t>
      </w:r>
      <w:r>
        <w:rPr>
          <w:rFonts w:cs="Traditional Arabic"/>
          <w:color w:val="000000"/>
          <w:sz w:val="24"/>
          <w:szCs w:val="28"/>
          <w:rtl/>
        </w:rPr>
        <w:t xml:space="preserve">( </w:t>
      </w:r>
      <w:r w:rsidRPr="00DC0143">
        <w:rPr>
          <w:rFonts w:cs="Traditional Arabic"/>
          <w:color w:val="000000"/>
          <w:sz w:val="24"/>
          <w:szCs w:val="28"/>
        </w:rPr>
        <w:t>borderesu</w:t>
      </w:r>
      <w:r>
        <w:rPr>
          <w:rFonts w:cs="Traditional Arabic"/>
          <w:color w:val="000000"/>
          <w:sz w:val="24"/>
          <w:szCs w:val="28"/>
          <w:rtl/>
        </w:rPr>
        <w:t xml:space="preserve"> )</w:t>
      </w:r>
      <w:r w:rsidRPr="00DC0143">
        <w:rPr>
          <w:rFonts w:cs="Traditional Arabic" w:hint="cs"/>
          <w:color w:val="000000"/>
          <w:sz w:val="24"/>
          <w:szCs w:val="28"/>
          <w:rtl/>
        </w:rPr>
        <w:t xml:space="preserve"> تشتمل على البيانات المذكورة في المادة 1463 من المشروع </w:t>
      </w:r>
      <w:r>
        <w:rPr>
          <w:rFonts w:cs="Traditional Arabic" w:hint="cs"/>
          <w:color w:val="000000"/>
          <w:sz w:val="24"/>
          <w:szCs w:val="28"/>
          <w:rtl/>
        </w:rPr>
        <w:t xml:space="preserve"> . . . .</w:t>
      </w:r>
      <w:r w:rsidRPr="00DC0143">
        <w:rPr>
          <w:rFonts w:cs="Traditional Arabic" w:hint="cs"/>
          <w:color w:val="000000"/>
          <w:sz w:val="24"/>
          <w:szCs w:val="28"/>
          <w:rtl/>
        </w:rPr>
        <w:t xml:space="preserve"> من هذه البيانات ما هو جوهري كاسم الراهن ولقبه وموطنه وكتعيين العقار المرهون تعيينا دقيقا</w:t>
      </w:r>
      <w:r>
        <w:rPr>
          <w:rFonts w:cs="Traditional Arabic" w:hint="cs"/>
          <w:color w:val="000000"/>
          <w:sz w:val="24"/>
          <w:szCs w:val="28"/>
          <w:rtl/>
        </w:rPr>
        <w:t xml:space="preserve"> ،</w:t>
      </w:r>
      <w:r w:rsidRPr="00DC0143">
        <w:rPr>
          <w:rFonts w:cs="Traditional Arabic" w:hint="cs"/>
          <w:color w:val="000000"/>
          <w:sz w:val="24"/>
          <w:szCs w:val="28"/>
          <w:rtl/>
        </w:rPr>
        <w:t xml:space="preserve"> فإذا أغفل بيان من هذه البيانات الجوهرية كان القيد باطلا</w:t>
      </w:r>
      <w:r>
        <w:rPr>
          <w:rFonts w:cs="Traditional Arabic" w:hint="cs"/>
          <w:color w:val="000000"/>
          <w:sz w:val="24"/>
          <w:szCs w:val="28"/>
          <w:rtl/>
        </w:rPr>
        <w:t xml:space="preserve"> ،</w:t>
      </w:r>
      <w:r w:rsidRPr="00DC0143">
        <w:rPr>
          <w:rFonts w:cs="Traditional Arabic" w:hint="cs"/>
          <w:color w:val="000000"/>
          <w:sz w:val="24"/>
          <w:szCs w:val="28"/>
          <w:rtl/>
        </w:rPr>
        <w:t xml:space="preserve"> ويطلب البطلان من وقع عليه الضرر</w:t>
      </w:r>
      <w:r>
        <w:rPr>
          <w:rFonts w:cs="Traditional Arabic" w:hint="cs"/>
          <w:color w:val="000000"/>
          <w:sz w:val="24"/>
          <w:szCs w:val="28"/>
          <w:rtl/>
        </w:rPr>
        <w:t xml:space="preserve"> ،</w:t>
      </w:r>
      <w:r w:rsidRPr="00DC0143">
        <w:rPr>
          <w:rFonts w:cs="Traditional Arabic" w:hint="cs"/>
          <w:color w:val="000000"/>
          <w:sz w:val="24"/>
          <w:szCs w:val="28"/>
          <w:rtl/>
        </w:rPr>
        <w:t xml:space="preserve"> ويبقى الرهن على كل حال</w:t>
      </w:r>
      <w:r>
        <w:rPr>
          <w:rFonts w:cs="Traditional Arabic" w:hint="cs"/>
          <w:color w:val="000000"/>
          <w:sz w:val="24"/>
          <w:szCs w:val="28"/>
          <w:rtl/>
        </w:rPr>
        <w:t xml:space="preserve"> ،</w:t>
      </w:r>
      <w:r w:rsidRPr="00DC0143">
        <w:rPr>
          <w:rFonts w:cs="Traditional Arabic" w:hint="cs"/>
          <w:color w:val="000000"/>
          <w:sz w:val="24"/>
          <w:szCs w:val="28"/>
          <w:rtl/>
        </w:rPr>
        <w:t xml:space="preserve"> ولكن يجب إجراء قيد جديد يأخذ مرتبته من وقت إجراء</w:t>
      </w:r>
      <w:r>
        <w:rPr>
          <w:rFonts w:cs="Traditional Arabic" w:hint="cs"/>
          <w:color w:val="000000"/>
          <w:sz w:val="24"/>
          <w:szCs w:val="28"/>
          <w:rtl/>
        </w:rPr>
        <w:t xml:space="preserve"> .</w:t>
      </w:r>
      <w:r w:rsidRPr="00DC0143">
        <w:rPr>
          <w:rFonts w:cs="Traditional Arabic" w:hint="cs"/>
          <w:color w:val="000000"/>
          <w:sz w:val="24"/>
          <w:szCs w:val="28"/>
          <w:rtl/>
        </w:rPr>
        <w:t xml:space="preserve"> ون البيانات ما ليس بجوهري فلا يترتب على إغفاله البطلان</w:t>
      </w:r>
      <w:r>
        <w:rPr>
          <w:rFonts w:cs="Traditional Arabic" w:hint="cs"/>
          <w:color w:val="000000"/>
          <w:sz w:val="24"/>
          <w:szCs w:val="28"/>
          <w:rtl/>
        </w:rPr>
        <w:t xml:space="preserve"> ،</w:t>
      </w:r>
      <w:r w:rsidRPr="00DC0143">
        <w:rPr>
          <w:rFonts w:cs="Traditional Arabic" w:hint="cs"/>
          <w:color w:val="000000"/>
          <w:sz w:val="24"/>
          <w:szCs w:val="28"/>
          <w:rtl/>
        </w:rPr>
        <w:t xml:space="preserve"> ولكن ينتقص من أثر القيد بالقدر الذي يمنع الضرر</w:t>
      </w:r>
      <w:r>
        <w:rPr>
          <w:rFonts w:cs="Traditional Arabic" w:hint="cs"/>
          <w:color w:val="000000"/>
          <w:sz w:val="24"/>
          <w:szCs w:val="28"/>
          <w:rtl/>
        </w:rPr>
        <w:t xml:space="preserve"> .</w:t>
      </w:r>
      <w:r w:rsidRPr="00DC0143">
        <w:rPr>
          <w:rFonts w:cs="Traditional Arabic" w:hint="cs"/>
          <w:color w:val="000000"/>
          <w:sz w:val="24"/>
          <w:szCs w:val="28"/>
          <w:rtl/>
        </w:rPr>
        <w:t xml:space="preserve"> مثل ذلك أن يذكر في القيد مبلغ أقل من الدين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فيقتصر أثر القيد على هذا المبلغ</w:t>
      </w:r>
      <w:r>
        <w:rPr>
          <w:rFonts w:cs="Traditional Arabic" w:hint="cs"/>
          <w:color w:val="000000"/>
          <w:sz w:val="24"/>
          <w:szCs w:val="28"/>
          <w:rtl/>
        </w:rPr>
        <w:t xml:space="preserve"> .</w:t>
      </w:r>
      <w:r w:rsidRPr="00DC0143">
        <w:rPr>
          <w:rFonts w:cs="Traditional Arabic" w:hint="cs"/>
          <w:color w:val="000000"/>
          <w:sz w:val="24"/>
          <w:szCs w:val="28"/>
          <w:rtl/>
        </w:rPr>
        <w:t xml:space="preserve"> أما إذا ذكر في القيد مبلغ أ</w:t>
      </w:r>
      <w:r>
        <w:rPr>
          <w:rFonts w:cs="Traditional Arabic" w:hint="cs"/>
          <w:color w:val="000000"/>
          <w:sz w:val="24"/>
          <w:szCs w:val="28"/>
          <w:rtl/>
        </w:rPr>
        <w:t xml:space="preserve"> :</w:t>
      </w:r>
      <w:r w:rsidRPr="00DC0143">
        <w:rPr>
          <w:rFonts w:cs="Traditional Arabic" w:hint="cs"/>
          <w:color w:val="000000"/>
          <w:sz w:val="24"/>
          <w:szCs w:val="28"/>
          <w:rtl/>
        </w:rPr>
        <w:t>بر</w:t>
      </w:r>
      <w:r>
        <w:rPr>
          <w:rFonts w:cs="Traditional Arabic" w:hint="cs"/>
          <w:color w:val="000000"/>
          <w:sz w:val="24"/>
          <w:szCs w:val="28"/>
          <w:rtl/>
        </w:rPr>
        <w:t xml:space="preserve"> ،</w:t>
      </w:r>
      <w:r w:rsidRPr="00DC0143">
        <w:rPr>
          <w:rFonts w:cs="Traditional Arabic" w:hint="cs"/>
          <w:color w:val="000000"/>
          <w:sz w:val="24"/>
          <w:szCs w:val="28"/>
          <w:rtl/>
        </w:rPr>
        <w:t xml:space="preserve"> فلا ينفذ أثر القيد إلا بقدر الدين</w:t>
      </w:r>
      <w:r>
        <w:rPr>
          <w:rFonts w:cs="Traditional Arabic" w:hint="cs"/>
          <w:color w:val="000000"/>
          <w:sz w:val="24"/>
          <w:szCs w:val="28"/>
          <w:rtl/>
        </w:rPr>
        <w:t xml:space="preserve"> .</w:t>
      </w:r>
      <w:r w:rsidRPr="00DC0143">
        <w:rPr>
          <w:rFonts w:cs="Traditional Arabic" w:hint="cs"/>
          <w:color w:val="000000"/>
          <w:sz w:val="24"/>
          <w:szCs w:val="28"/>
          <w:rtl/>
        </w:rPr>
        <w:t xml:space="preserve"> ومثل ذلك أيضاً أن يغفل ذكر الموطن المختار للدائن</w:t>
      </w:r>
      <w:r>
        <w:rPr>
          <w:rFonts w:cs="Traditional Arabic" w:hint="cs"/>
          <w:color w:val="000000"/>
          <w:sz w:val="24"/>
          <w:szCs w:val="28"/>
          <w:rtl/>
        </w:rPr>
        <w:t xml:space="preserve"> ،</w:t>
      </w:r>
      <w:r w:rsidRPr="00DC0143">
        <w:rPr>
          <w:rFonts w:cs="Traditional Arabic" w:hint="cs"/>
          <w:color w:val="000000"/>
          <w:sz w:val="24"/>
          <w:szCs w:val="28"/>
          <w:rtl/>
        </w:rPr>
        <w:t xml:space="preserve"> فيترتب على ذلك أن إعلان الأوراق في قلم كتاب المحكمة يكون صحيحاً</w:t>
      </w:r>
      <w:r>
        <w:rPr>
          <w:rFonts w:cs="Traditional Arabic" w:hint="cs"/>
          <w:color w:val="000000"/>
          <w:sz w:val="24"/>
          <w:szCs w:val="28"/>
          <w:rtl/>
        </w:rPr>
        <w:t xml:space="preserve"> .</w:t>
      </w:r>
      <w:r w:rsidRPr="00DC0143">
        <w:rPr>
          <w:rFonts w:cs="Traditional Arabic" w:hint="cs"/>
          <w:color w:val="000000"/>
          <w:sz w:val="24"/>
          <w:szCs w:val="28"/>
          <w:rtl/>
        </w:rPr>
        <w:t xml:space="preserve"> ومثل ذلك أخيراً أن يغفل ذكر مصدر الحق المضمون</w:t>
      </w:r>
      <w:r>
        <w:rPr>
          <w:rFonts w:cs="Traditional Arabic" w:hint="cs"/>
          <w:color w:val="000000"/>
          <w:sz w:val="24"/>
          <w:szCs w:val="28"/>
          <w:rtl/>
        </w:rPr>
        <w:t xml:space="preserve"> ،</w:t>
      </w:r>
      <w:r w:rsidRPr="00DC0143">
        <w:rPr>
          <w:rFonts w:cs="Traditional Arabic" w:hint="cs"/>
          <w:color w:val="000000"/>
          <w:sz w:val="24"/>
          <w:szCs w:val="28"/>
          <w:rtl/>
        </w:rPr>
        <w:t xml:space="preserve"> فلا يترتب على ذلك ضرر ما</w:t>
      </w:r>
      <w:r>
        <w:rPr>
          <w:rFonts w:cs="Traditional Arabic" w:hint="cs"/>
          <w:color w:val="000000"/>
          <w:sz w:val="24"/>
          <w:szCs w:val="28"/>
          <w:rtl/>
        </w:rPr>
        <w:t xml:space="preserve"> ،</w:t>
      </w:r>
      <w:r w:rsidRPr="00DC0143">
        <w:rPr>
          <w:rFonts w:cs="Traditional Arabic" w:hint="cs"/>
          <w:color w:val="000000"/>
          <w:sz w:val="24"/>
          <w:szCs w:val="28"/>
          <w:rtl/>
        </w:rPr>
        <w:t xml:space="preserve"> ولا يبطل القيد ولا ينقضي من أثره</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أو بحث المادتان 1463 و 1464 من المشروع</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المادة</w:t>
      </w:r>
      <w:r>
        <w:rPr>
          <w:rFonts w:cs="Traditional Arabic" w:hint="cs"/>
          <w:color w:val="000000"/>
          <w:sz w:val="24"/>
          <w:szCs w:val="28"/>
          <w:rtl/>
        </w:rPr>
        <w:t xml:space="preserve"> .</w:t>
      </w:r>
      <w:r w:rsidRPr="00DC0143">
        <w:rPr>
          <w:rFonts w:cs="Traditional Arabic" w:hint="cs"/>
          <w:color w:val="000000"/>
          <w:sz w:val="24"/>
          <w:szCs w:val="28"/>
          <w:rtl/>
        </w:rPr>
        <w:t>واستعاضت لجنة الشيوخ عن حكم هذه المادة ومواد أخرى بنص عام يحيل</w:t>
      </w:r>
      <w:r>
        <w:rPr>
          <w:rFonts w:cs="Traditional Arabic" w:hint="cs"/>
          <w:color w:val="000000"/>
          <w:sz w:val="24"/>
          <w:szCs w:val="28"/>
          <w:rtl/>
        </w:rPr>
        <w:t xml:space="preserve"> ،</w:t>
      </w:r>
      <w:r w:rsidRPr="00DC0143">
        <w:rPr>
          <w:rFonts w:cs="Traditional Arabic" w:hint="cs"/>
          <w:color w:val="000000"/>
          <w:sz w:val="24"/>
          <w:szCs w:val="28"/>
          <w:rtl/>
        </w:rPr>
        <w:t xml:space="preserve"> في إجراءات القيد وتجديده ومحوه وإلغاء المحو والآثار المترتبة على ذلك كله</w:t>
      </w:r>
      <w:r>
        <w:rPr>
          <w:rFonts w:cs="Traditional Arabic" w:hint="cs"/>
          <w:color w:val="000000"/>
          <w:sz w:val="24"/>
          <w:szCs w:val="28"/>
          <w:rtl/>
        </w:rPr>
        <w:t xml:space="preserve"> ،</w:t>
      </w:r>
      <w:r w:rsidRPr="00DC0143">
        <w:rPr>
          <w:rFonts w:cs="Traditional Arabic" w:hint="cs"/>
          <w:color w:val="000000"/>
          <w:sz w:val="24"/>
          <w:szCs w:val="28"/>
          <w:rtl/>
        </w:rPr>
        <w:t xml:space="preserve"> إلى الأحكام الواردة في قانون الشهر العقاري</w:t>
      </w:r>
      <w:r>
        <w:rPr>
          <w:rFonts w:cs="Traditional Arabic" w:hint="cs"/>
          <w:color w:val="000000"/>
          <w:sz w:val="24"/>
          <w:szCs w:val="28"/>
          <w:rtl/>
        </w:rPr>
        <w:t xml:space="preserve"> ،</w:t>
      </w:r>
      <w:r w:rsidRPr="00DC0143">
        <w:rPr>
          <w:rFonts w:cs="Traditional Arabic" w:hint="cs"/>
          <w:color w:val="000000"/>
          <w:sz w:val="24"/>
          <w:szCs w:val="28"/>
          <w:rtl/>
        </w:rPr>
        <w:t xml:space="preserve"> لأن هذا القانون يتضمن كل التفاصيل</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70 </w:t>
      </w:r>
      <w:r w:rsidRPr="00DC0143">
        <w:rPr>
          <w:rFonts w:cs="Traditional Arabic"/>
          <w:color w:val="000000"/>
          <w:sz w:val="24"/>
          <w:szCs w:val="28"/>
          <w:rtl/>
        </w:rPr>
        <w:t>–</w:t>
      </w:r>
      <w:r w:rsidRPr="00DC0143">
        <w:rPr>
          <w:rFonts w:cs="Traditional Arabic" w:hint="cs"/>
          <w:color w:val="000000"/>
          <w:sz w:val="24"/>
          <w:szCs w:val="28"/>
          <w:rtl/>
        </w:rPr>
        <w:t xml:space="preserve">  ص 78</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DC0143">
        <w:rPr>
          <w:rFonts w:cs="Traditional Arabic" w:hint="cs"/>
          <w:color w:val="000000"/>
          <w:sz w:val="24"/>
          <w:szCs w:val="28"/>
          <w:rtl/>
        </w:rPr>
        <w:t xml:space="preserve"> م 565 / 689</w:t>
      </w:r>
      <w:r>
        <w:rPr>
          <w:rFonts w:cs="Traditional Arabic" w:hint="cs"/>
          <w:color w:val="000000"/>
          <w:sz w:val="24"/>
          <w:szCs w:val="28"/>
          <w:rtl/>
        </w:rPr>
        <w:t xml:space="preserve"> :</w:t>
      </w:r>
      <w:r w:rsidRPr="00DC0143">
        <w:rPr>
          <w:rFonts w:cs="Traditional Arabic" w:hint="cs"/>
          <w:color w:val="000000"/>
          <w:sz w:val="24"/>
          <w:szCs w:val="28"/>
          <w:rtl/>
        </w:rPr>
        <w:t xml:space="preserve"> لا يصح التمسك بحق الرهن العقاري إن لم يسجل في قلم كتاب المحكمة التابع إليها مركز العقار قبل التصرف فيه للغير م قبل مالكه الراهن له</w:t>
      </w:r>
      <w:r>
        <w:rPr>
          <w:rFonts w:cs="Traditional Arabic" w:hint="cs"/>
          <w:color w:val="000000"/>
          <w:sz w:val="24"/>
          <w:szCs w:val="28"/>
          <w:rtl/>
        </w:rPr>
        <w:t xml:space="preserve"> ،</w:t>
      </w:r>
      <w:r w:rsidRPr="00DC0143">
        <w:rPr>
          <w:rFonts w:cs="Traditional Arabic" w:hint="cs"/>
          <w:color w:val="000000"/>
          <w:sz w:val="24"/>
          <w:szCs w:val="28"/>
          <w:rtl/>
        </w:rPr>
        <w:t xml:space="preserve"> وهذا مع عدم الإخلال بالقواعد المقررة في مواد التفليس</w:t>
      </w:r>
      <w:r>
        <w:rPr>
          <w:rFonts w:cs="Traditional Arabic" w:hint="cs"/>
          <w:color w:val="000000"/>
          <w:sz w:val="24"/>
          <w:szCs w:val="28"/>
          <w:rtl/>
        </w:rPr>
        <w:t xml:space="preserve"> .</w:t>
      </w:r>
    </w:p>
  </w:footnote>
  <w:footnote w:id="917">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م 19 من قانون تنظيم الشهر العقار</w:t>
      </w:r>
      <w:r>
        <w:rPr>
          <w:rFonts w:cs="Traditional Arabic" w:hint="cs"/>
          <w:color w:val="000000"/>
          <w:sz w:val="24"/>
          <w:szCs w:val="28"/>
          <w:rtl/>
        </w:rPr>
        <w:t xml:space="preserve"> :</w:t>
      </w:r>
      <w:r w:rsidRPr="00DC0143">
        <w:rPr>
          <w:rFonts w:cs="Traditional Arabic" w:hint="cs"/>
          <w:color w:val="000000"/>
          <w:sz w:val="24"/>
          <w:szCs w:val="28"/>
          <w:rtl/>
        </w:rPr>
        <w:t xml:space="preserve"> لا يصح التمسك قبل الغير بتحويل حق مضمون بقيد أو برهنه</w:t>
      </w:r>
      <w:r>
        <w:rPr>
          <w:rFonts w:cs="Traditional Arabic" w:hint="cs"/>
          <w:color w:val="000000"/>
          <w:sz w:val="24"/>
          <w:szCs w:val="28"/>
          <w:rtl/>
        </w:rPr>
        <w:t xml:space="preserve"> ،</w:t>
      </w:r>
      <w:r w:rsidRPr="00DC0143">
        <w:rPr>
          <w:rFonts w:cs="Traditional Arabic" w:hint="cs"/>
          <w:color w:val="000000"/>
          <w:sz w:val="24"/>
          <w:szCs w:val="28"/>
          <w:rtl/>
        </w:rPr>
        <w:t xml:space="preserve"> ولا التمسك بالحق الناشئ من حلول شخص محل الدائن في هذا الحق بحكم القانون أو بالاتفاق</w:t>
      </w:r>
      <w:r>
        <w:rPr>
          <w:rFonts w:cs="Traditional Arabic" w:hint="cs"/>
          <w:color w:val="000000"/>
          <w:sz w:val="24"/>
          <w:szCs w:val="28"/>
          <w:rtl/>
        </w:rPr>
        <w:t xml:space="preserve"> ،</w:t>
      </w:r>
      <w:r w:rsidRPr="00DC0143">
        <w:rPr>
          <w:rFonts w:cs="Traditional Arabic" w:hint="cs"/>
          <w:color w:val="000000"/>
          <w:sz w:val="24"/>
          <w:szCs w:val="28"/>
          <w:rtl/>
        </w:rPr>
        <w:t xml:space="preserve"> ولا التمسك كذلك بمحو القيد أو بالتنازل عن مرتبة القد</w:t>
      </w:r>
      <w:r>
        <w:rPr>
          <w:rFonts w:cs="Traditional Arabic" w:hint="cs"/>
          <w:color w:val="000000"/>
          <w:sz w:val="24"/>
          <w:szCs w:val="28"/>
          <w:rtl/>
        </w:rPr>
        <w:t xml:space="preserve"> ،</w:t>
      </w:r>
      <w:r w:rsidRPr="00DC0143">
        <w:rPr>
          <w:rFonts w:cs="Traditional Arabic" w:hint="cs"/>
          <w:color w:val="000000"/>
          <w:sz w:val="24"/>
          <w:szCs w:val="28"/>
          <w:rtl/>
        </w:rPr>
        <w:t xml:space="preserve"> إلا إذا حصل التأشير بذل في هامش القيد الأصلي</w:t>
      </w:r>
      <w:r>
        <w:rPr>
          <w:rFonts w:cs="Traditional Arabic" w:hint="cs"/>
          <w:color w:val="000000"/>
          <w:sz w:val="24"/>
          <w:szCs w:val="28"/>
          <w:rtl/>
        </w:rPr>
        <w:t xml:space="preserve"> .</w:t>
      </w:r>
    </w:p>
  </w:footnote>
  <w:footnote w:id="918">
    <w:p w:rsidR="00F72742" w:rsidRPr="00DC0143"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DC0143">
        <w:rPr>
          <w:rStyle w:val="ab"/>
          <w:rFonts w:cs="Traditional Arabic"/>
          <w:color w:val="000000"/>
          <w:sz w:val="24"/>
          <w:szCs w:val="28"/>
        </w:rPr>
        <w:footnoteRef/>
      </w:r>
      <w:r>
        <w:rPr>
          <w:rFonts w:cs="Traditional Arabic" w:hint="cs"/>
          <w:color w:val="000000"/>
          <w:sz w:val="24"/>
          <w:szCs w:val="28"/>
          <w:rtl/>
        </w:rPr>
        <w:t xml:space="preserve"> )</w:t>
      </w:r>
      <w:r w:rsidRPr="00DC0143">
        <w:rPr>
          <w:rFonts w:cs="Traditional Arabic" w:hint="cs"/>
          <w:color w:val="000000"/>
          <w:sz w:val="24"/>
          <w:szCs w:val="28"/>
          <w:rtl/>
        </w:rPr>
        <w:t xml:space="preserve"> </w:t>
      </w:r>
      <w:r w:rsidRPr="00DC0143">
        <w:rPr>
          <w:rFonts w:cs="Traditional Arabic" w:hint="cs"/>
          <w:color w:val="000000"/>
          <w:sz w:val="24"/>
          <w:szCs w:val="28"/>
          <w:u w:val="single"/>
          <w:rtl/>
        </w:rPr>
        <w:t>تاريخ النص</w:t>
      </w:r>
      <w:r>
        <w:rPr>
          <w:rFonts w:cs="Traditional Arabic" w:hint="cs"/>
          <w:color w:val="000000"/>
          <w:sz w:val="24"/>
          <w:szCs w:val="28"/>
          <w:rtl/>
        </w:rPr>
        <w:t xml:space="preserve"> :</w:t>
      </w:r>
      <w:r w:rsidRPr="00DC0143">
        <w:rPr>
          <w:rFonts w:cs="Traditional Arabic" w:hint="cs"/>
          <w:color w:val="000000"/>
          <w:sz w:val="24"/>
          <w:szCs w:val="28"/>
          <w:rtl/>
        </w:rPr>
        <w:t xml:space="preserve"> ورد هذا النص في المادتين 1463 و 1464 من المشروع التمهيدي على الوجه الآتي</w:t>
      </w:r>
      <w:r>
        <w:rPr>
          <w:rFonts w:cs="Traditional Arabic" w:hint="cs"/>
          <w:color w:val="000000"/>
          <w:sz w:val="24"/>
          <w:szCs w:val="28"/>
          <w:rtl/>
        </w:rPr>
        <w:t xml:space="preserve"> :</w:t>
      </w:r>
      <w:r w:rsidRPr="00DC0143">
        <w:rPr>
          <w:rFonts w:cs="Traditional Arabic" w:hint="cs"/>
          <w:color w:val="000000"/>
          <w:sz w:val="24"/>
          <w:szCs w:val="28"/>
          <w:rtl/>
        </w:rPr>
        <w:t xml:space="preserve"> م 1463 "يجب لإجراء القيد أن يقدم الدائن المرتهن</w:t>
      </w:r>
      <w:r>
        <w:rPr>
          <w:rFonts w:cs="Traditional Arabic" w:hint="cs"/>
          <w:color w:val="000000"/>
          <w:sz w:val="24"/>
          <w:szCs w:val="28"/>
          <w:rtl/>
        </w:rPr>
        <w:t xml:space="preserve"> ،</w:t>
      </w:r>
      <w:r w:rsidRPr="00DC0143">
        <w:rPr>
          <w:rFonts w:cs="Traditional Arabic" w:hint="cs"/>
          <w:color w:val="000000"/>
          <w:sz w:val="24"/>
          <w:szCs w:val="28"/>
          <w:rtl/>
        </w:rPr>
        <w:t xml:space="preserve"> أو أي شخص آخر ينوب عنه</w:t>
      </w:r>
      <w:r>
        <w:rPr>
          <w:rFonts w:cs="Traditional Arabic" w:hint="cs"/>
          <w:color w:val="000000"/>
          <w:sz w:val="24"/>
          <w:szCs w:val="28"/>
          <w:rtl/>
        </w:rPr>
        <w:t xml:space="preserve"> ،</w:t>
      </w:r>
      <w:r w:rsidRPr="00DC0143">
        <w:rPr>
          <w:rFonts w:cs="Traditional Arabic" w:hint="cs"/>
          <w:color w:val="000000"/>
          <w:sz w:val="24"/>
          <w:szCs w:val="28"/>
          <w:rtl/>
        </w:rPr>
        <w:t xml:space="preserve"> نسخة رسمية من عقد الرهن</w:t>
      </w:r>
      <w:r>
        <w:rPr>
          <w:rFonts w:cs="Traditional Arabic" w:hint="cs"/>
          <w:color w:val="000000"/>
          <w:sz w:val="24"/>
          <w:szCs w:val="28"/>
          <w:rtl/>
        </w:rPr>
        <w:t xml:space="preserve"> ،</w:t>
      </w:r>
      <w:r w:rsidRPr="00DC0143">
        <w:rPr>
          <w:rFonts w:cs="Traditional Arabic" w:hint="cs"/>
          <w:color w:val="000000"/>
          <w:sz w:val="24"/>
          <w:szCs w:val="28"/>
          <w:rtl/>
        </w:rPr>
        <w:t xml:space="preserve"> وأن يرفق بها قائمة تشتمل البيانات الآتية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أ</w:t>
      </w:r>
      <w:r>
        <w:rPr>
          <w:rFonts w:cs="Traditional Arabic" w:hint="cs"/>
          <w:color w:val="000000"/>
          <w:sz w:val="24"/>
          <w:szCs w:val="28"/>
          <w:rtl/>
        </w:rPr>
        <w:t xml:space="preserve"> )</w:t>
      </w:r>
      <w:r w:rsidRPr="00DC0143">
        <w:rPr>
          <w:rFonts w:cs="Traditional Arabic" w:hint="cs"/>
          <w:color w:val="000000"/>
          <w:sz w:val="24"/>
          <w:szCs w:val="28"/>
          <w:rtl/>
        </w:rPr>
        <w:t xml:space="preserve"> اسم الدائن ولقبه وحرفته ومونه الأصلي</w:t>
      </w:r>
      <w:r>
        <w:rPr>
          <w:rFonts w:cs="Traditional Arabic" w:hint="cs"/>
          <w:color w:val="000000"/>
          <w:sz w:val="24"/>
          <w:szCs w:val="28"/>
          <w:rtl/>
        </w:rPr>
        <w:t xml:space="preserve"> ،</w:t>
      </w:r>
      <w:r w:rsidRPr="00DC0143">
        <w:rPr>
          <w:rFonts w:cs="Traditional Arabic" w:hint="cs"/>
          <w:color w:val="000000"/>
          <w:sz w:val="24"/>
          <w:szCs w:val="28"/>
          <w:rtl/>
        </w:rPr>
        <w:t xml:space="preserve"> وموطنه المختار في دائرة المحكمة</w:t>
      </w:r>
      <w:r>
        <w:rPr>
          <w:rFonts w:cs="Traditional Arabic" w:hint="cs"/>
          <w:color w:val="000000"/>
          <w:sz w:val="24"/>
          <w:szCs w:val="28"/>
          <w:rtl/>
        </w:rPr>
        <w:t xml:space="preserve"> ،</w:t>
      </w:r>
      <w:r w:rsidRPr="00DC0143">
        <w:rPr>
          <w:rFonts w:cs="Traditional Arabic" w:hint="cs"/>
          <w:color w:val="000000"/>
          <w:sz w:val="24"/>
          <w:szCs w:val="28"/>
          <w:rtl/>
        </w:rPr>
        <w:t xml:space="preserve"> على أن يكون للدائن حق تغير هذا الموطن المختار فيما بعد</w:t>
      </w:r>
      <w:r>
        <w:rPr>
          <w:rFonts w:cs="Traditional Arabic" w:hint="cs"/>
          <w:color w:val="000000"/>
          <w:sz w:val="24"/>
          <w:szCs w:val="28"/>
          <w:rtl/>
        </w:rPr>
        <w:t xml:space="preserve"> ،</w:t>
      </w:r>
      <w:r w:rsidRPr="00DC0143">
        <w:rPr>
          <w:rFonts w:cs="Traditional Arabic" w:hint="cs"/>
          <w:color w:val="000000"/>
          <w:sz w:val="24"/>
          <w:szCs w:val="28"/>
          <w:rtl/>
        </w:rPr>
        <w:t xml:space="preserve"> فإن لم يختر له موطنا صح إعلان الأوراق</w:t>
      </w:r>
      <w:r>
        <w:rPr>
          <w:rFonts w:cs="Traditional Arabic" w:hint="cs"/>
          <w:color w:val="000000"/>
          <w:sz w:val="24"/>
          <w:szCs w:val="28"/>
          <w:rtl/>
        </w:rPr>
        <w:t xml:space="preserve"> ،</w:t>
      </w:r>
      <w:r w:rsidRPr="00DC0143">
        <w:rPr>
          <w:rFonts w:cs="Traditional Arabic" w:hint="cs"/>
          <w:color w:val="000000"/>
          <w:sz w:val="24"/>
          <w:szCs w:val="28"/>
          <w:rtl/>
        </w:rPr>
        <w:t xml:space="preserve"> إن وجدت</w:t>
      </w:r>
      <w:r>
        <w:rPr>
          <w:rFonts w:cs="Traditional Arabic" w:hint="cs"/>
          <w:color w:val="000000"/>
          <w:sz w:val="24"/>
          <w:szCs w:val="28"/>
          <w:rtl/>
        </w:rPr>
        <w:t xml:space="preserve"> ،</w:t>
      </w:r>
      <w:r w:rsidRPr="00DC0143">
        <w:rPr>
          <w:rFonts w:cs="Traditional Arabic" w:hint="cs"/>
          <w:color w:val="000000"/>
          <w:sz w:val="24"/>
          <w:szCs w:val="28"/>
          <w:rtl/>
        </w:rPr>
        <w:t xml:space="preserve"> في قلم كتاب المحكمة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ب</w:t>
      </w:r>
      <w:r>
        <w:rPr>
          <w:rFonts w:cs="Traditional Arabic" w:hint="cs"/>
          <w:color w:val="000000"/>
          <w:sz w:val="24"/>
          <w:szCs w:val="28"/>
          <w:rtl/>
        </w:rPr>
        <w:t xml:space="preserve"> )</w:t>
      </w:r>
      <w:r w:rsidRPr="00DC0143">
        <w:rPr>
          <w:rFonts w:cs="Traditional Arabic" w:hint="cs"/>
          <w:color w:val="000000"/>
          <w:sz w:val="24"/>
          <w:szCs w:val="28"/>
          <w:rtl/>
        </w:rPr>
        <w:t xml:space="preserve"> اسم المدين ولقبه وحرفته وموطنه</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ج</w:t>
      </w:r>
      <w:r>
        <w:rPr>
          <w:rFonts w:cs="Traditional Arabic" w:hint="cs"/>
          <w:color w:val="000000"/>
          <w:sz w:val="24"/>
          <w:szCs w:val="28"/>
          <w:rtl/>
        </w:rPr>
        <w:t xml:space="preserve"> )</w:t>
      </w:r>
      <w:r w:rsidRPr="00DC0143">
        <w:rPr>
          <w:rFonts w:cs="Traditional Arabic" w:hint="cs"/>
          <w:color w:val="000000"/>
          <w:sz w:val="24"/>
          <w:szCs w:val="28"/>
          <w:rtl/>
        </w:rPr>
        <w:t xml:space="preserve"> تاريخ عقد الرهن وقلم الكتاب الذي تم أمامه هذا العقد</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د</w:t>
      </w:r>
      <w:r>
        <w:rPr>
          <w:rFonts w:cs="Traditional Arabic" w:hint="cs"/>
          <w:color w:val="000000"/>
          <w:sz w:val="24"/>
          <w:szCs w:val="28"/>
          <w:rtl/>
        </w:rPr>
        <w:t xml:space="preserve"> )</w:t>
      </w:r>
      <w:r w:rsidRPr="00DC0143">
        <w:rPr>
          <w:rFonts w:cs="Traditional Arabic" w:hint="cs"/>
          <w:color w:val="000000"/>
          <w:sz w:val="24"/>
          <w:szCs w:val="28"/>
          <w:rtl/>
        </w:rPr>
        <w:t xml:space="preserve"> مصدر الحق المضمون بالرهن</w:t>
      </w:r>
      <w:r>
        <w:rPr>
          <w:rFonts w:cs="Traditional Arabic" w:hint="cs"/>
          <w:color w:val="000000"/>
          <w:sz w:val="24"/>
          <w:szCs w:val="28"/>
          <w:rtl/>
        </w:rPr>
        <w:t xml:space="preserve"> ،</w:t>
      </w:r>
      <w:r w:rsidRPr="00DC0143">
        <w:rPr>
          <w:rFonts w:cs="Traditional Arabic" w:hint="cs"/>
          <w:color w:val="000000"/>
          <w:sz w:val="24"/>
          <w:szCs w:val="28"/>
          <w:rtl/>
        </w:rPr>
        <w:t xml:space="preserve"> ومقدار هذا الحق كاملا</w:t>
      </w:r>
      <w:r>
        <w:rPr>
          <w:rFonts w:cs="Traditional Arabic" w:hint="cs"/>
          <w:color w:val="000000"/>
          <w:sz w:val="24"/>
          <w:szCs w:val="28"/>
          <w:rtl/>
        </w:rPr>
        <w:t xml:space="preserve"> ،</w:t>
      </w:r>
      <w:r w:rsidRPr="00DC0143">
        <w:rPr>
          <w:rFonts w:cs="Traditional Arabic" w:hint="cs"/>
          <w:color w:val="000000"/>
          <w:sz w:val="24"/>
          <w:szCs w:val="28"/>
          <w:rtl/>
        </w:rPr>
        <w:t xml:space="preserve"> وميعاد استحقاقه</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هـ</w:t>
      </w:r>
      <w:r>
        <w:rPr>
          <w:rFonts w:cs="Traditional Arabic" w:hint="cs"/>
          <w:color w:val="000000"/>
          <w:sz w:val="24"/>
          <w:szCs w:val="28"/>
          <w:rtl/>
        </w:rPr>
        <w:t xml:space="preserve"> )</w:t>
      </w:r>
      <w:r w:rsidRPr="00DC0143">
        <w:rPr>
          <w:rFonts w:cs="Traditional Arabic" w:hint="cs"/>
          <w:color w:val="000000"/>
          <w:sz w:val="24"/>
          <w:szCs w:val="28"/>
          <w:rtl/>
        </w:rPr>
        <w:t xml:space="preserve"> بيان يتضمن تعيين العقار المرهون تعيينا دقيقا"</w:t>
      </w:r>
      <w:r>
        <w:rPr>
          <w:rFonts w:cs="Traditional Arabic" w:hint="cs"/>
          <w:color w:val="000000"/>
          <w:sz w:val="24"/>
          <w:szCs w:val="28"/>
          <w:rtl/>
        </w:rPr>
        <w:t xml:space="preserve"> .</w:t>
      </w:r>
      <w:r w:rsidRPr="00DC0143">
        <w:rPr>
          <w:rFonts w:cs="Traditional Arabic" w:hint="cs"/>
          <w:color w:val="000000"/>
          <w:sz w:val="24"/>
          <w:szCs w:val="28"/>
          <w:rtl/>
        </w:rPr>
        <w:t xml:space="preserve"> م 1464 "لا يترتب على إغفال بيان أو أكثر من البيانات المنصوص لعيها في المادة السابقة بطلان القيد</w:t>
      </w:r>
      <w:r>
        <w:rPr>
          <w:rFonts w:cs="Traditional Arabic" w:hint="cs"/>
          <w:color w:val="000000"/>
          <w:sz w:val="24"/>
          <w:szCs w:val="28"/>
          <w:rtl/>
        </w:rPr>
        <w:t xml:space="preserve"> ،</w:t>
      </w:r>
      <w:r w:rsidRPr="00DC0143">
        <w:rPr>
          <w:rFonts w:cs="Traditional Arabic" w:hint="cs"/>
          <w:color w:val="000000"/>
          <w:sz w:val="24"/>
          <w:szCs w:val="28"/>
          <w:rtl/>
        </w:rPr>
        <w:t xml:space="preserve"> إلا إذا نتج عن ذلك ضرر للغير</w:t>
      </w:r>
      <w:r>
        <w:rPr>
          <w:rFonts w:cs="Traditional Arabic" w:hint="cs"/>
          <w:color w:val="000000"/>
          <w:sz w:val="24"/>
          <w:szCs w:val="28"/>
          <w:rtl/>
        </w:rPr>
        <w:t xml:space="preserve"> ،</w:t>
      </w:r>
      <w:r w:rsidRPr="00DC0143">
        <w:rPr>
          <w:rFonts w:cs="Traditional Arabic" w:hint="cs"/>
          <w:color w:val="000000"/>
          <w:sz w:val="24"/>
          <w:szCs w:val="28"/>
          <w:rtl/>
        </w:rPr>
        <w:t xml:space="preserve"> ولا يجوز أن يطلب البطلان إلا من وقع عليه الضرر بسبب إغفال البيانات أو بسبب عدم ضبطها</w:t>
      </w:r>
      <w:r>
        <w:rPr>
          <w:rFonts w:cs="Traditional Arabic" w:hint="cs"/>
          <w:color w:val="000000"/>
          <w:sz w:val="24"/>
          <w:szCs w:val="28"/>
          <w:rtl/>
        </w:rPr>
        <w:t xml:space="preserve"> .</w:t>
      </w:r>
      <w:r w:rsidRPr="00DC0143">
        <w:rPr>
          <w:rFonts w:cs="Traditional Arabic" w:hint="cs"/>
          <w:color w:val="000000"/>
          <w:sz w:val="24"/>
          <w:szCs w:val="28"/>
          <w:rtl/>
        </w:rPr>
        <w:t xml:space="preserve"> على أنه يجوز للقاضي أن يبطل القيد أو أن ينقص من أثره تبعا لطبيعة الضرر ومداه"</w:t>
      </w:r>
      <w:r>
        <w:rPr>
          <w:rFonts w:cs="Traditional Arabic" w:hint="cs"/>
          <w:color w:val="000000"/>
          <w:sz w:val="24"/>
          <w:szCs w:val="28"/>
          <w:rtl/>
        </w:rPr>
        <w:t xml:space="preserve"> .</w:t>
      </w:r>
      <w:r w:rsidRPr="00DC0143">
        <w:rPr>
          <w:rFonts w:cs="Traditional Arabic" w:hint="cs"/>
          <w:color w:val="000000"/>
          <w:sz w:val="24"/>
          <w:szCs w:val="28"/>
          <w:rtl/>
        </w:rPr>
        <w:t xml:space="preserve"> وفي لجنة المراجعة أدمجت المادتان في مادة واحدة</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1149 في المشروع النهائي</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النواب على المادة</w:t>
      </w:r>
      <w:r>
        <w:rPr>
          <w:rFonts w:cs="Traditional Arabic" w:hint="cs"/>
          <w:color w:val="000000"/>
          <w:sz w:val="24"/>
          <w:szCs w:val="28"/>
          <w:rtl/>
        </w:rPr>
        <w:t xml:space="preserve"> .</w:t>
      </w:r>
      <w:r w:rsidRPr="00DC0143">
        <w:rPr>
          <w:rFonts w:cs="Traditional Arabic" w:hint="cs"/>
          <w:color w:val="000000"/>
          <w:sz w:val="24"/>
          <w:szCs w:val="28"/>
          <w:rtl/>
        </w:rPr>
        <w:t xml:space="preserve"> واستعاضت لجنة مجلس الشيوخ عن حكم هذه المادة ومواد محذوفة أخرى بنص عام</w:t>
      </w:r>
      <w:r>
        <w:rPr>
          <w:rFonts w:cs="Traditional Arabic" w:hint="cs"/>
          <w:color w:val="000000"/>
          <w:sz w:val="24"/>
          <w:szCs w:val="28"/>
          <w:rtl/>
        </w:rPr>
        <w:t xml:space="preserve"> ،</w:t>
      </w:r>
      <w:r w:rsidRPr="00DC0143">
        <w:rPr>
          <w:rFonts w:cs="Traditional Arabic" w:hint="cs"/>
          <w:color w:val="000000"/>
          <w:sz w:val="24"/>
          <w:szCs w:val="28"/>
          <w:rtl/>
        </w:rPr>
        <w:t xml:space="preserve"> يحيل في إجراءات القيد وتجديده ومحوه وإلغاء المحو والآثار المترتبة على ذلك كله إلى الأحكام الواردة في قانون تنظيم الشهر العقاري رقم 114 لسنة 1946</w:t>
      </w:r>
      <w:r>
        <w:rPr>
          <w:rFonts w:cs="Traditional Arabic" w:hint="cs"/>
          <w:color w:val="000000"/>
          <w:sz w:val="24"/>
          <w:szCs w:val="28"/>
          <w:rtl/>
        </w:rPr>
        <w:t xml:space="preserve"> ،</w:t>
      </w:r>
      <w:r w:rsidRPr="00DC0143">
        <w:rPr>
          <w:rFonts w:cs="Traditional Arabic" w:hint="cs"/>
          <w:color w:val="000000"/>
          <w:sz w:val="24"/>
          <w:szCs w:val="28"/>
          <w:rtl/>
        </w:rPr>
        <w:t xml:space="preserve"> لأن هذا القانون تضمن كل التفصيلات الواردة في المواد المتقدم ذكرها</w:t>
      </w:r>
      <w:r>
        <w:rPr>
          <w:rFonts w:cs="Traditional Arabic" w:hint="cs"/>
          <w:color w:val="000000"/>
          <w:sz w:val="24"/>
          <w:szCs w:val="28"/>
          <w:rtl/>
        </w:rPr>
        <w:t xml:space="preserve"> ،</w:t>
      </w:r>
      <w:r w:rsidRPr="00DC0143">
        <w:rPr>
          <w:rFonts w:cs="Traditional Arabic" w:hint="cs"/>
          <w:color w:val="000000"/>
          <w:sz w:val="24"/>
          <w:szCs w:val="28"/>
          <w:rtl/>
        </w:rPr>
        <w:t xml:space="preserve"> وأصبح رقم المادة 1954</w:t>
      </w:r>
      <w:r>
        <w:rPr>
          <w:rFonts w:cs="Traditional Arabic" w:hint="cs"/>
          <w:color w:val="000000"/>
          <w:sz w:val="24"/>
          <w:szCs w:val="28"/>
          <w:rtl/>
        </w:rPr>
        <w:t xml:space="preserve"> .</w:t>
      </w:r>
      <w:r w:rsidRPr="00DC0143">
        <w:rPr>
          <w:rFonts w:cs="Traditional Arabic" w:hint="cs"/>
          <w:color w:val="000000"/>
          <w:sz w:val="24"/>
          <w:szCs w:val="28"/>
          <w:rtl/>
        </w:rPr>
        <w:t xml:space="preserve"> ووافق مجلس الشيوخ على المادة كما عدلتها لجنته </w:t>
      </w:r>
      <w:r>
        <w:rPr>
          <w:rFonts w:cs="Traditional Arabic" w:hint="cs"/>
          <w:color w:val="000000"/>
          <w:sz w:val="24"/>
          <w:szCs w:val="28"/>
          <w:rtl/>
        </w:rPr>
        <w:t xml:space="preserve">( </w:t>
      </w:r>
      <w:r w:rsidRPr="00DC0143">
        <w:rPr>
          <w:rFonts w:cs="Traditional Arabic" w:hint="cs"/>
          <w:color w:val="000000"/>
          <w:sz w:val="24"/>
          <w:szCs w:val="28"/>
          <w:rtl/>
        </w:rPr>
        <w:t xml:space="preserve">مجموعة الأعمال التحضيرية 7 ص 66 </w:t>
      </w:r>
      <w:r w:rsidRPr="00DC0143">
        <w:rPr>
          <w:rFonts w:cs="Traditional Arabic"/>
          <w:color w:val="000000"/>
          <w:sz w:val="24"/>
          <w:szCs w:val="28"/>
          <w:rtl/>
        </w:rPr>
        <w:t>–</w:t>
      </w:r>
      <w:r w:rsidRPr="00DC0143">
        <w:rPr>
          <w:rFonts w:cs="Traditional Arabic" w:hint="cs"/>
          <w:color w:val="000000"/>
          <w:sz w:val="24"/>
          <w:szCs w:val="28"/>
          <w:rtl/>
        </w:rPr>
        <w:t xml:space="preserve"> ص 78</w:t>
      </w:r>
      <w:r>
        <w:rPr>
          <w:rFonts w:cs="Traditional Arabic" w:hint="cs"/>
          <w:color w:val="000000"/>
          <w:sz w:val="24"/>
          <w:szCs w:val="28"/>
          <w:rtl/>
        </w:rPr>
        <w:t xml:space="preserve"> ) .</w:t>
      </w:r>
    </w:p>
    <w:p w:rsidR="00F72742" w:rsidRPr="00DC0143" w:rsidRDefault="00F72742" w:rsidP="00F72742">
      <w:pPr>
        <w:pStyle w:val="aa"/>
        <w:widowControl w:val="0"/>
        <w:ind w:firstLine="567"/>
        <w:jc w:val="lowKashida"/>
        <w:rPr>
          <w:rFonts w:cs="Traditional Arabic" w:hint="cs"/>
          <w:color w:val="000000"/>
          <w:sz w:val="24"/>
          <w:szCs w:val="28"/>
          <w:rtl/>
        </w:rPr>
      </w:pPr>
      <w:r w:rsidRPr="00DC0143">
        <w:rPr>
          <w:rFonts w:cs="Traditional Arabic" w:hint="cs"/>
          <w:color w:val="000000"/>
          <w:sz w:val="24"/>
          <w:szCs w:val="28"/>
          <w:u w:val="single"/>
          <w:rtl/>
        </w:rPr>
        <w:t>التقنين المدني السابق</w:t>
      </w:r>
      <w:r w:rsidRPr="00DC0143">
        <w:rPr>
          <w:rFonts w:cs="Traditional Arabic" w:hint="cs"/>
          <w:color w:val="000000"/>
          <w:sz w:val="24"/>
          <w:szCs w:val="28"/>
          <w:rtl/>
        </w:rPr>
        <w:t xml:space="preserve"> م 566 / 690</w:t>
      </w:r>
      <w:r>
        <w:rPr>
          <w:rFonts w:cs="Traditional Arabic" w:hint="cs"/>
          <w:color w:val="000000"/>
          <w:sz w:val="24"/>
          <w:szCs w:val="28"/>
          <w:rtl/>
        </w:rPr>
        <w:t xml:space="preserve"> :</w:t>
      </w:r>
      <w:r w:rsidRPr="00DC0143">
        <w:rPr>
          <w:rFonts w:cs="Traditional Arabic" w:hint="cs"/>
          <w:color w:val="000000"/>
          <w:sz w:val="24"/>
          <w:szCs w:val="28"/>
          <w:rtl/>
        </w:rPr>
        <w:t xml:space="preserve"> يسجل الرهن بناء على قائمة تقدم في نسختين وتشتمل على</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أولا</w:t>
      </w:r>
      <w:r>
        <w:rPr>
          <w:rFonts w:cs="Traditional Arabic" w:hint="cs"/>
          <w:color w:val="000000"/>
          <w:sz w:val="24"/>
          <w:szCs w:val="28"/>
          <w:rtl/>
        </w:rPr>
        <w:t xml:space="preserve"> )</w:t>
      </w:r>
      <w:r w:rsidRPr="00DC0143">
        <w:rPr>
          <w:rFonts w:cs="Traditional Arabic" w:hint="cs"/>
          <w:color w:val="000000"/>
          <w:sz w:val="24"/>
          <w:szCs w:val="28"/>
          <w:rtl/>
        </w:rPr>
        <w:t xml:space="preserve"> على اسم الدائن ولقبه صفته ومحل سكناه وبيان المحل الذي اختاره في دائرة المحكمة</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ثانياً</w:t>
      </w:r>
      <w:r>
        <w:rPr>
          <w:rFonts w:cs="Traditional Arabic" w:hint="cs"/>
          <w:color w:val="000000"/>
          <w:sz w:val="24"/>
          <w:szCs w:val="28"/>
          <w:rtl/>
        </w:rPr>
        <w:t xml:space="preserve"> )</w:t>
      </w:r>
      <w:r w:rsidRPr="00DC0143">
        <w:rPr>
          <w:rFonts w:cs="Traditional Arabic" w:hint="cs"/>
          <w:color w:val="000000"/>
          <w:sz w:val="24"/>
          <w:szCs w:val="28"/>
          <w:rtl/>
        </w:rPr>
        <w:t xml:space="preserve"> على اسم المدين أو المالك الذي رهن إذا كان غير المدين</w:t>
      </w:r>
      <w:r>
        <w:rPr>
          <w:rFonts w:cs="Traditional Arabic" w:hint="cs"/>
          <w:color w:val="000000"/>
          <w:sz w:val="24"/>
          <w:szCs w:val="28"/>
          <w:rtl/>
        </w:rPr>
        <w:t xml:space="preserve"> ،</w:t>
      </w:r>
      <w:r w:rsidRPr="00DC0143">
        <w:rPr>
          <w:rFonts w:cs="Traditional Arabic" w:hint="cs"/>
          <w:color w:val="000000"/>
          <w:sz w:val="24"/>
          <w:szCs w:val="28"/>
          <w:rtl/>
        </w:rPr>
        <w:t xml:space="preserve"> وعلى لقبه وصناعته ومسكنه</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ثالثا</w:t>
      </w:r>
      <w:r>
        <w:rPr>
          <w:rFonts w:cs="Traditional Arabic" w:hint="cs"/>
          <w:color w:val="000000"/>
          <w:sz w:val="24"/>
          <w:szCs w:val="28"/>
          <w:rtl/>
        </w:rPr>
        <w:t xml:space="preserve"> )</w:t>
      </w:r>
      <w:r w:rsidRPr="00DC0143">
        <w:rPr>
          <w:rFonts w:cs="Traditional Arabic" w:hint="cs"/>
          <w:color w:val="000000"/>
          <w:sz w:val="24"/>
          <w:szCs w:val="28"/>
          <w:rtl/>
        </w:rPr>
        <w:t xml:space="preserve"> على تاريخ عقد الرهن ونوعه وبيان قلم كتاب المحكمة وقع فيه هذا العقد</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رابعاً</w:t>
      </w:r>
      <w:r>
        <w:rPr>
          <w:rFonts w:cs="Traditional Arabic" w:hint="cs"/>
          <w:color w:val="000000"/>
          <w:sz w:val="24"/>
          <w:szCs w:val="28"/>
          <w:rtl/>
        </w:rPr>
        <w:t xml:space="preserve"> )</w:t>
      </w:r>
      <w:r w:rsidRPr="00DC0143">
        <w:rPr>
          <w:rFonts w:cs="Traditional Arabic" w:hint="cs"/>
          <w:color w:val="000000"/>
          <w:sz w:val="24"/>
          <w:szCs w:val="28"/>
          <w:rtl/>
        </w:rPr>
        <w:t xml:space="preserve"> على مقدار مبلغ الدين وبيان أصله</w:t>
      </w:r>
      <w:r>
        <w:rPr>
          <w:rFonts w:cs="Traditional Arabic" w:hint="cs"/>
          <w:color w:val="000000"/>
          <w:sz w:val="24"/>
          <w:szCs w:val="28"/>
          <w:rtl/>
        </w:rPr>
        <w:t xml:space="preserve"> .</w:t>
      </w:r>
      <w:r w:rsidRPr="00DC0143">
        <w:rPr>
          <w:rFonts w:cs="Traditional Arabic" w:hint="cs"/>
          <w:color w:val="000000"/>
          <w:sz w:val="24"/>
          <w:szCs w:val="28"/>
          <w:rtl/>
        </w:rPr>
        <w:t xml:space="preserve"> </w:t>
      </w:r>
      <w:r>
        <w:rPr>
          <w:rFonts w:cs="Traditional Arabic" w:hint="cs"/>
          <w:color w:val="000000"/>
          <w:sz w:val="24"/>
          <w:szCs w:val="28"/>
          <w:rtl/>
        </w:rPr>
        <w:t xml:space="preserve">( </w:t>
      </w:r>
      <w:r w:rsidRPr="00DC0143">
        <w:rPr>
          <w:rFonts w:cs="Traditional Arabic" w:hint="cs"/>
          <w:color w:val="000000"/>
          <w:sz w:val="24"/>
          <w:szCs w:val="28"/>
          <w:rtl/>
        </w:rPr>
        <w:t>خامساً</w:t>
      </w:r>
      <w:r>
        <w:rPr>
          <w:rFonts w:cs="Traditional Arabic" w:hint="cs"/>
          <w:color w:val="000000"/>
          <w:sz w:val="24"/>
          <w:szCs w:val="28"/>
          <w:rtl/>
        </w:rPr>
        <w:t xml:space="preserve"> )</w:t>
      </w:r>
      <w:r w:rsidRPr="00DC0143">
        <w:rPr>
          <w:rFonts w:cs="Traditional Arabic" w:hint="cs"/>
          <w:color w:val="000000"/>
          <w:sz w:val="24"/>
          <w:szCs w:val="28"/>
          <w:rtl/>
        </w:rPr>
        <w:t xml:space="preserve"> على بيان العقار المرهون بياناً كافيا</w:t>
      </w:r>
      <w:r>
        <w:rPr>
          <w:rFonts w:cs="Traditional Arabic" w:hint="cs"/>
          <w:color w:val="000000"/>
          <w:sz w:val="24"/>
          <w:szCs w:val="28"/>
          <w:rtl/>
        </w:rPr>
        <w:t xml:space="preserve"> .</w:t>
      </w:r>
      <w:r w:rsidRPr="00DC0143">
        <w:rPr>
          <w:rFonts w:cs="Traditional Arabic" w:hint="cs"/>
          <w:color w:val="000000"/>
          <w:sz w:val="24"/>
          <w:szCs w:val="28"/>
          <w:rtl/>
        </w:rPr>
        <w:t xml:space="preserve"> وإن لم يعين محل في العقد</w:t>
      </w:r>
      <w:r>
        <w:rPr>
          <w:rFonts w:cs="Traditional Arabic" w:hint="cs"/>
          <w:color w:val="000000"/>
          <w:sz w:val="24"/>
          <w:szCs w:val="28"/>
          <w:rtl/>
        </w:rPr>
        <w:t xml:space="preserve"> ،</w:t>
      </w:r>
      <w:r w:rsidRPr="00DC0143">
        <w:rPr>
          <w:rFonts w:cs="Traditional Arabic" w:hint="cs"/>
          <w:color w:val="000000"/>
          <w:sz w:val="24"/>
          <w:szCs w:val="28"/>
          <w:rtl/>
        </w:rPr>
        <w:t xml:space="preserve"> فتعلن الأوراق عند الاقتضاء بتسليمها لقلم كتاب المحكمة</w:t>
      </w:r>
      <w:r>
        <w:rPr>
          <w:rFonts w:cs="Traditional Arabic" w:hint="cs"/>
          <w:color w:val="000000"/>
          <w:sz w:val="24"/>
          <w:szCs w:val="28"/>
          <w:rtl/>
        </w:rPr>
        <w:t xml:space="preserve"> ،</w:t>
      </w:r>
      <w:r w:rsidRPr="00DC0143">
        <w:rPr>
          <w:rFonts w:cs="Traditional Arabic" w:hint="cs"/>
          <w:color w:val="000000"/>
          <w:sz w:val="24"/>
          <w:szCs w:val="28"/>
          <w:rtl/>
        </w:rPr>
        <w:t xml:space="preserve"> ويعتبر إعلانها على هذا الوجه صحيحا</w:t>
      </w:r>
      <w:r>
        <w:rPr>
          <w:rFonts w:cs="Traditional Arabic" w:hint="cs"/>
          <w:color w:val="000000"/>
          <w:sz w:val="24"/>
          <w:szCs w:val="28"/>
          <w:rtl/>
        </w:rPr>
        <w:t xml:space="preserve"> .</w:t>
      </w:r>
    </w:p>
  </w:footnote>
  <w:footnote w:id="91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هذه المناسبة نظرية الأستاذ شفيق شحاته </w:t>
      </w:r>
      <w:r>
        <w:rPr>
          <w:rFonts w:cs="Traditional Arabic" w:hint="cs"/>
          <w:color w:val="000000"/>
          <w:sz w:val="24"/>
          <w:szCs w:val="28"/>
          <w:rtl/>
        </w:rPr>
        <w:t xml:space="preserve">( </w:t>
      </w:r>
      <w:r w:rsidRPr="009A072C">
        <w:rPr>
          <w:rFonts w:cs="Traditional Arabic" w:hint="cs"/>
          <w:color w:val="000000"/>
          <w:sz w:val="24"/>
          <w:szCs w:val="28"/>
          <w:rtl/>
        </w:rPr>
        <w:t xml:space="preserve">النظرية العامة لتأمين العيني 1 ص 41 </w:t>
      </w:r>
      <w:r w:rsidRPr="009A072C">
        <w:rPr>
          <w:rFonts w:cs="Traditional Arabic"/>
          <w:color w:val="000000"/>
          <w:sz w:val="24"/>
          <w:szCs w:val="28"/>
          <w:rtl/>
        </w:rPr>
        <w:t>–</w:t>
      </w:r>
      <w:r w:rsidRPr="009A072C">
        <w:rPr>
          <w:rFonts w:cs="Traditional Arabic" w:hint="cs"/>
          <w:color w:val="000000"/>
          <w:sz w:val="24"/>
          <w:szCs w:val="28"/>
          <w:rtl/>
        </w:rPr>
        <w:t xml:space="preserve"> ص 43</w:t>
      </w:r>
      <w:r>
        <w:rPr>
          <w:rFonts w:cs="Traditional Arabic" w:hint="cs"/>
          <w:color w:val="000000"/>
          <w:sz w:val="24"/>
          <w:szCs w:val="28"/>
          <w:rtl/>
        </w:rPr>
        <w:t xml:space="preserve"> ) ،</w:t>
      </w:r>
      <w:r w:rsidRPr="009A072C">
        <w:rPr>
          <w:rFonts w:cs="Traditional Arabic" w:hint="cs"/>
          <w:color w:val="000000"/>
          <w:sz w:val="24"/>
          <w:szCs w:val="28"/>
          <w:rtl/>
        </w:rPr>
        <w:t xml:space="preserve"> وردي عليها في </w:t>
      </w:r>
      <w:r>
        <w:rPr>
          <w:rFonts w:cs="Traditional Arabic" w:hint="cs"/>
          <w:color w:val="000000"/>
          <w:sz w:val="24"/>
          <w:szCs w:val="28"/>
          <w:rtl/>
        </w:rPr>
        <w:t xml:space="preserve">( </w:t>
      </w:r>
      <w:r w:rsidRPr="009A072C">
        <w:rPr>
          <w:rFonts w:cs="Traditional Arabic" w:hint="cs"/>
          <w:color w:val="000000"/>
          <w:sz w:val="24"/>
          <w:szCs w:val="28"/>
          <w:rtl/>
        </w:rPr>
        <w:t>الوسيط 2 ص 772 هامش 2</w:t>
      </w:r>
      <w:r>
        <w:rPr>
          <w:rFonts w:cs="Traditional Arabic" w:hint="cs"/>
          <w:color w:val="000000"/>
          <w:sz w:val="24"/>
          <w:szCs w:val="28"/>
          <w:rtl/>
        </w:rPr>
        <w:t xml:space="preserve"> ) .</w:t>
      </w:r>
    </w:p>
  </w:footnote>
  <w:footnote w:id="92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1476 من المشروع التمهيدي على وجه مطابق لما استقر عليه في التقنيني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1155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1141؛ ثم مجلس الشيوخ تحت رقم 1055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79 </w:t>
      </w:r>
      <w:r w:rsidRPr="009A072C">
        <w:rPr>
          <w:rFonts w:cs="Traditional Arabic"/>
          <w:color w:val="000000"/>
          <w:sz w:val="24"/>
          <w:szCs w:val="28"/>
          <w:rtl/>
        </w:rPr>
        <w:t>–</w:t>
      </w:r>
      <w:r w:rsidRPr="009A072C">
        <w:rPr>
          <w:rFonts w:cs="Traditional Arabic" w:hint="cs"/>
          <w:color w:val="000000"/>
          <w:sz w:val="24"/>
          <w:szCs w:val="28"/>
          <w:rtl/>
        </w:rPr>
        <w:t xml:space="preserve"> ص 80</w:t>
      </w:r>
      <w:r>
        <w:rPr>
          <w:rFonts w:cs="Traditional Arabic" w:hint="cs"/>
          <w:color w:val="000000"/>
          <w:sz w:val="24"/>
          <w:szCs w:val="28"/>
          <w:rtl/>
        </w:rPr>
        <w:t xml:space="preserve"> ) .</w:t>
      </w:r>
    </w:p>
  </w:footnote>
  <w:footnote w:id="92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جاء في المذكرة الإيضاحية للمشروع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"مصروفات القيد وتجديده ومحوه تكون على الراهن</w:t>
      </w:r>
      <w:r>
        <w:rPr>
          <w:rFonts w:cs="Traditional Arabic" w:hint="cs"/>
          <w:color w:val="000000"/>
          <w:sz w:val="24"/>
          <w:szCs w:val="28"/>
          <w:rtl/>
        </w:rPr>
        <w:t xml:space="preserve"> .</w:t>
      </w:r>
      <w:r w:rsidRPr="009A072C">
        <w:rPr>
          <w:rFonts w:cs="Traditional Arabic" w:hint="cs"/>
          <w:color w:val="000000"/>
          <w:sz w:val="24"/>
          <w:szCs w:val="28"/>
          <w:rtl/>
        </w:rPr>
        <w:t xml:space="preserve"> ما لم يتفق على غير ذلك</w:t>
      </w:r>
      <w:r>
        <w:rPr>
          <w:rFonts w:cs="Traditional Arabic" w:hint="cs"/>
          <w:color w:val="000000"/>
          <w:sz w:val="24"/>
          <w:szCs w:val="28"/>
          <w:rtl/>
        </w:rPr>
        <w:t xml:space="preserve"> .</w:t>
      </w:r>
      <w:r w:rsidRPr="009A072C">
        <w:rPr>
          <w:rFonts w:cs="Traditional Arabic" w:hint="cs"/>
          <w:color w:val="000000"/>
          <w:sz w:val="24"/>
          <w:szCs w:val="28"/>
          <w:rtl/>
        </w:rPr>
        <w:t xml:space="preserve"> وقد تقدم أن مصروفات عقد الرهن نفسه تكون على الراهن أيضاً</w:t>
      </w:r>
      <w:r>
        <w:rPr>
          <w:rFonts w:cs="Traditional Arabic" w:hint="cs"/>
          <w:color w:val="000000"/>
          <w:sz w:val="24"/>
          <w:szCs w:val="28"/>
          <w:rtl/>
        </w:rPr>
        <w:t xml:space="preserve"> .</w:t>
      </w:r>
      <w:r w:rsidRPr="009A072C">
        <w:rPr>
          <w:rFonts w:cs="Traditional Arabic" w:hint="cs"/>
          <w:color w:val="000000"/>
          <w:sz w:val="24"/>
          <w:szCs w:val="28"/>
          <w:rtl/>
        </w:rPr>
        <w:t xml:space="preserve"> وهذا تطبيق للقاعدة العامة التي تقضي بأن المدين هو الذي يتحمل مصروفات الدين"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79</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ويلاحظ أن مصروفات العقد والقيد والتجديد مضمونة بالرهن وفي مرتبته</w:t>
      </w:r>
      <w:r>
        <w:rPr>
          <w:rFonts w:cs="Traditional Arabic" w:hint="cs"/>
          <w:color w:val="000000"/>
          <w:sz w:val="24"/>
          <w:szCs w:val="28"/>
          <w:rtl/>
        </w:rPr>
        <w:t xml:space="preserve"> ،</w:t>
      </w:r>
      <w:r w:rsidRPr="009A072C">
        <w:rPr>
          <w:rFonts w:cs="Traditional Arabic" w:hint="cs"/>
          <w:color w:val="000000"/>
          <w:sz w:val="24"/>
          <w:szCs w:val="28"/>
          <w:rtl/>
        </w:rPr>
        <w:t xml:space="preserve"> دون حاجة لذكر ذلك</w:t>
      </w:r>
      <w:r>
        <w:rPr>
          <w:rFonts w:cs="Traditional Arabic" w:hint="cs"/>
          <w:color w:val="000000"/>
          <w:sz w:val="24"/>
          <w:szCs w:val="28"/>
          <w:rtl/>
        </w:rPr>
        <w:t xml:space="preserve"> .</w:t>
      </w:r>
      <w:r w:rsidRPr="009A072C">
        <w:rPr>
          <w:rFonts w:cs="Traditional Arabic" w:hint="cs"/>
          <w:color w:val="000000"/>
          <w:sz w:val="24"/>
          <w:szCs w:val="28"/>
          <w:rtl/>
        </w:rPr>
        <w:t xml:space="preserve"> وقد نصت المادة 1058/1 مدني على أنه "يترتب على قيد الرهن إدخال مصروفات العقد والقيد والتجديد إدخالا ضمنيا في التوزيع وفي مرتبة الرهن نفسها </w:t>
      </w:r>
      <w:r>
        <w:rPr>
          <w:rFonts w:cs="Traditional Arabic" w:hint="cs"/>
          <w:color w:val="000000"/>
          <w:sz w:val="24"/>
          <w:szCs w:val="28"/>
          <w:rtl/>
        </w:rPr>
        <w:t xml:space="preserve">( </w:t>
      </w:r>
      <w:r w:rsidRPr="009A072C">
        <w:rPr>
          <w:rFonts w:cs="Traditional Arabic" w:hint="cs"/>
          <w:color w:val="000000"/>
          <w:sz w:val="24"/>
          <w:szCs w:val="28"/>
          <w:rtl/>
        </w:rPr>
        <w:t>انظر ما يلي فقرة 209</w:t>
      </w:r>
      <w:r>
        <w:rPr>
          <w:rFonts w:cs="Traditional Arabic" w:hint="cs"/>
          <w:color w:val="000000"/>
          <w:sz w:val="24"/>
          <w:szCs w:val="28"/>
          <w:rtl/>
        </w:rPr>
        <w:t xml:space="preserve"> ) .</w:t>
      </w:r>
      <w:r w:rsidRPr="009A072C">
        <w:rPr>
          <w:rFonts w:cs="Traditional Arabic" w:hint="cs"/>
          <w:color w:val="000000"/>
          <w:sz w:val="24"/>
          <w:szCs w:val="28"/>
          <w:rtl/>
        </w:rPr>
        <w:t xml:space="preserve"> </w:t>
      </w:r>
    </w:p>
  </w:footnote>
  <w:footnote w:id="92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النقص بأن هدف المشروع بالأحكام الواردة في المادتين 12 و 58 من القانون رقم 1114 لسنة 1946</w:t>
      </w:r>
      <w:r>
        <w:rPr>
          <w:rFonts w:cs="Traditional Arabic" w:hint="cs"/>
          <w:color w:val="000000"/>
          <w:sz w:val="24"/>
          <w:szCs w:val="28"/>
          <w:rtl/>
        </w:rPr>
        <w:t xml:space="preserve"> ،</w:t>
      </w:r>
      <w:r w:rsidRPr="009A072C">
        <w:rPr>
          <w:rFonts w:cs="Traditional Arabic" w:hint="cs"/>
          <w:color w:val="000000"/>
          <w:sz w:val="24"/>
          <w:szCs w:val="28"/>
          <w:rtl/>
        </w:rPr>
        <w:t xml:space="preserve"> والمادتين 1114 و 1054 من التقنين المدنين الجديد</w:t>
      </w:r>
      <w:r>
        <w:rPr>
          <w:rFonts w:cs="Traditional Arabic" w:hint="cs"/>
          <w:color w:val="000000"/>
          <w:sz w:val="24"/>
          <w:szCs w:val="28"/>
          <w:rtl/>
        </w:rPr>
        <w:t xml:space="preserve"> ،</w:t>
      </w:r>
      <w:r w:rsidRPr="009A072C">
        <w:rPr>
          <w:rFonts w:cs="Traditional Arabic" w:hint="cs"/>
          <w:color w:val="000000"/>
          <w:sz w:val="24"/>
          <w:szCs w:val="28"/>
          <w:rtl/>
        </w:rPr>
        <w:t xml:space="preserve"> تنظم شهر التصرفات العقارية</w:t>
      </w:r>
      <w:r>
        <w:rPr>
          <w:rFonts w:cs="Traditional Arabic" w:hint="cs"/>
          <w:color w:val="000000"/>
          <w:sz w:val="24"/>
          <w:szCs w:val="28"/>
          <w:rtl/>
        </w:rPr>
        <w:t xml:space="preserve"> ،</w:t>
      </w:r>
      <w:r w:rsidRPr="009A072C">
        <w:rPr>
          <w:rFonts w:cs="Traditional Arabic" w:hint="cs"/>
          <w:color w:val="000000"/>
          <w:sz w:val="24"/>
          <w:szCs w:val="28"/>
          <w:rtl/>
        </w:rPr>
        <w:t xml:space="preserve"> حماية للائتمان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فتعتبر هذه الأحكام لذلك متعلقة بالنظام العام</w:t>
      </w:r>
      <w:r>
        <w:rPr>
          <w:rFonts w:cs="Traditional Arabic" w:hint="cs"/>
          <w:color w:val="000000"/>
          <w:sz w:val="24"/>
          <w:szCs w:val="28"/>
          <w:rtl/>
        </w:rPr>
        <w:t xml:space="preserve"> ،</w:t>
      </w:r>
      <w:r w:rsidRPr="009A072C">
        <w:rPr>
          <w:rFonts w:cs="Traditional Arabic" w:hint="cs"/>
          <w:color w:val="000000"/>
          <w:sz w:val="24"/>
          <w:szCs w:val="28"/>
          <w:rtl/>
        </w:rPr>
        <w:t xml:space="preserve"> ومن ثم تكون القواعد التي قررتها قواعد آمرة واجبة التطبيق حقا</w:t>
      </w:r>
      <w:r>
        <w:rPr>
          <w:rFonts w:cs="Traditional Arabic" w:hint="cs"/>
          <w:color w:val="000000"/>
          <w:sz w:val="24"/>
          <w:szCs w:val="28"/>
          <w:rtl/>
        </w:rPr>
        <w:t xml:space="preserve"> ،</w:t>
      </w:r>
      <w:r w:rsidRPr="009A072C">
        <w:rPr>
          <w:rFonts w:cs="Traditional Arabic" w:hint="cs"/>
          <w:color w:val="000000"/>
          <w:sz w:val="24"/>
          <w:szCs w:val="28"/>
          <w:rtl/>
        </w:rPr>
        <w:t xml:space="preserve"> ولا تسوغ مخالفتها بمقولة "إن من تبرعت لمصلحته قد تنازل عن التمسك"</w:t>
      </w:r>
      <w:r>
        <w:rPr>
          <w:rFonts w:cs="Traditional Arabic" w:hint="cs"/>
          <w:color w:val="000000"/>
          <w:sz w:val="24"/>
          <w:szCs w:val="28"/>
          <w:rtl/>
        </w:rPr>
        <w:t xml:space="preserve"> .</w:t>
      </w:r>
      <w:r w:rsidRPr="009A072C">
        <w:rPr>
          <w:rFonts w:cs="Traditional Arabic" w:hint="cs"/>
          <w:color w:val="000000"/>
          <w:sz w:val="24"/>
          <w:szCs w:val="28"/>
          <w:rtl/>
        </w:rPr>
        <w:t xml:space="preserve"> فإذا كان الحكم المطعون فيه قد أقام قضاءه على أنه</w:t>
      </w:r>
      <w:r>
        <w:rPr>
          <w:rFonts w:cs="Traditional Arabic" w:hint="cs"/>
          <w:color w:val="000000"/>
          <w:sz w:val="24"/>
          <w:szCs w:val="28"/>
          <w:rtl/>
        </w:rPr>
        <w:t xml:space="preserve"> ،</w:t>
      </w:r>
      <w:r w:rsidRPr="009A072C">
        <w:rPr>
          <w:rFonts w:cs="Traditional Arabic" w:hint="cs"/>
          <w:color w:val="000000"/>
          <w:sz w:val="24"/>
          <w:szCs w:val="28"/>
          <w:rtl/>
        </w:rPr>
        <w:t xml:space="preserve"> وإن كان الطاعن من فريق الغير</w:t>
      </w:r>
      <w:r>
        <w:rPr>
          <w:rFonts w:cs="Traditional Arabic" w:hint="cs"/>
          <w:color w:val="000000"/>
          <w:sz w:val="24"/>
          <w:szCs w:val="28"/>
          <w:rtl/>
        </w:rPr>
        <w:t xml:space="preserve"> ،</w:t>
      </w:r>
      <w:r w:rsidRPr="009A072C">
        <w:rPr>
          <w:rFonts w:cs="Traditional Arabic" w:hint="cs"/>
          <w:color w:val="000000"/>
          <w:sz w:val="24"/>
          <w:szCs w:val="28"/>
          <w:rtl/>
        </w:rPr>
        <w:t xml:space="preserve"> إلا أنه يس له أن يستفيد من عدم قيد الرهن وفقا للقانون</w:t>
      </w:r>
      <w:r>
        <w:rPr>
          <w:rFonts w:cs="Traditional Arabic" w:hint="cs"/>
          <w:color w:val="000000"/>
          <w:sz w:val="24"/>
          <w:szCs w:val="28"/>
          <w:rtl/>
        </w:rPr>
        <w:t xml:space="preserve"> ،</w:t>
      </w:r>
      <w:r w:rsidRPr="009A072C">
        <w:rPr>
          <w:rFonts w:cs="Traditional Arabic" w:hint="cs"/>
          <w:color w:val="000000"/>
          <w:sz w:val="24"/>
          <w:szCs w:val="28"/>
          <w:rtl/>
        </w:rPr>
        <w:t xml:space="preserve"> لتنازله عن حقه في ذلك وقبوله سريان الرهن بالنسبة إليه</w:t>
      </w:r>
      <w:r>
        <w:rPr>
          <w:rFonts w:cs="Traditional Arabic" w:hint="cs"/>
          <w:color w:val="000000"/>
          <w:sz w:val="24"/>
          <w:szCs w:val="28"/>
          <w:rtl/>
        </w:rPr>
        <w:t xml:space="preserve"> ،</w:t>
      </w:r>
      <w:r w:rsidRPr="009A072C">
        <w:rPr>
          <w:rFonts w:cs="Traditional Arabic" w:hint="cs"/>
          <w:color w:val="000000"/>
          <w:sz w:val="24"/>
          <w:szCs w:val="28"/>
          <w:rtl/>
        </w:rPr>
        <w:t xml:space="preserve"> فإن الحكم يكون قد أخطأ في تطبيق القانون </w:t>
      </w:r>
      <w:r>
        <w:rPr>
          <w:rFonts w:cs="Traditional Arabic" w:hint="cs"/>
          <w:color w:val="000000"/>
          <w:sz w:val="24"/>
          <w:szCs w:val="28"/>
          <w:rtl/>
        </w:rPr>
        <w:t xml:space="preserve">( </w:t>
      </w:r>
      <w:r w:rsidRPr="009A072C">
        <w:rPr>
          <w:rFonts w:cs="Traditional Arabic" w:hint="cs"/>
          <w:color w:val="000000"/>
          <w:sz w:val="24"/>
          <w:szCs w:val="28"/>
          <w:rtl/>
        </w:rPr>
        <w:t>نقض 9 يونيه سنة 1960 مجموعة أحكام النقض 11 ص 425</w:t>
      </w:r>
      <w:r>
        <w:rPr>
          <w:rFonts w:cs="Traditional Arabic" w:hint="cs"/>
          <w:color w:val="000000"/>
          <w:sz w:val="24"/>
          <w:szCs w:val="28"/>
          <w:rtl/>
        </w:rPr>
        <w:t xml:space="preserve"> ) .</w:t>
      </w:r>
    </w:p>
  </w:footnote>
  <w:footnote w:id="92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وإنما قد يحدث ما يقف الدائن المرتهن عن إجراء قيده</w:t>
      </w:r>
      <w:r>
        <w:rPr>
          <w:rFonts w:cs="Traditional Arabic" w:hint="cs"/>
          <w:color w:val="000000"/>
          <w:sz w:val="24"/>
          <w:szCs w:val="28"/>
          <w:rtl/>
        </w:rPr>
        <w:t xml:space="preserve"> ،</w:t>
      </w:r>
      <w:r w:rsidRPr="009A072C">
        <w:rPr>
          <w:rFonts w:cs="Traditional Arabic" w:hint="cs"/>
          <w:color w:val="000000"/>
          <w:sz w:val="24"/>
          <w:szCs w:val="28"/>
          <w:rtl/>
        </w:rPr>
        <w:t xml:space="preserve"> كبيع العقار المرهون أو إفلاس الراهن</w:t>
      </w:r>
      <w:r>
        <w:rPr>
          <w:rFonts w:cs="Traditional Arabic" w:hint="cs"/>
          <w:color w:val="000000"/>
          <w:sz w:val="24"/>
          <w:szCs w:val="28"/>
          <w:rtl/>
        </w:rPr>
        <w:t xml:space="preserve"> ،</w:t>
      </w:r>
      <w:r w:rsidRPr="009A072C">
        <w:rPr>
          <w:rFonts w:cs="Traditional Arabic" w:hint="cs"/>
          <w:color w:val="000000"/>
          <w:sz w:val="24"/>
          <w:szCs w:val="28"/>
          <w:rtl/>
        </w:rPr>
        <w:t xml:space="preserve"> وسيأتي بيان ذلك تفصيلا فيما يلي</w:t>
      </w:r>
      <w:r>
        <w:rPr>
          <w:rFonts w:cs="Traditional Arabic" w:hint="cs"/>
          <w:color w:val="000000"/>
          <w:sz w:val="24"/>
          <w:szCs w:val="28"/>
          <w:rtl/>
        </w:rPr>
        <w:t xml:space="preserve"> .</w:t>
      </w:r>
      <w:r w:rsidRPr="009A072C">
        <w:rPr>
          <w:rFonts w:cs="Traditional Arabic" w:hint="cs"/>
          <w:color w:val="000000"/>
          <w:sz w:val="24"/>
          <w:szCs w:val="28"/>
          <w:rtl/>
        </w:rPr>
        <w:t xml:space="preserve"> فإذا حدث شيء من ذلك</w:t>
      </w:r>
      <w:r>
        <w:rPr>
          <w:rFonts w:cs="Traditional Arabic" w:hint="cs"/>
          <w:color w:val="000000"/>
          <w:sz w:val="24"/>
          <w:szCs w:val="28"/>
          <w:rtl/>
        </w:rPr>
        <w:t xml:space="preserve"> ،</w:t>
      </w:r>
      <w:r w:rsidRPr="009A072C">
        <w:rPr>
          <w:rFonts w:cs="Traditional Arabic" w:hint="cs"/>
          <w:color w:val="000000"/>
          <w:sz w:val="24"/>
          <w:szCs w:val="28"/>
          <w:rtl/>
        </w:rPr>
        <w:t xml:space="preserve"> لم يستطع الدائن المرتهن قيد رهنه</w:t>
      </w:r>
      <w:r>
        <w:rPr>
          <w:rFonts w:cs="Traditional Arabic" w:hint="cs"/>
          <w:color w:val="000000"/>
          <w:sz w:val="24"/>
          <w:szCs w:val="28"/>
          <w:rtl/>
        </w:rPr>
        <w:t xml:space="preserve"> ،</w:t>
      </w:r>
      <w:r w:rsidRPr="009A072C">
        <w:rPr>
          <w:rFonts w:cs="Traditional Arabic" w:hint="cs"/>
          <w:color w:val="000000"/>
          <w:sz w:val="24"/>
          <w:szCs w:val="28"/>
          <w:rtl/>
        </w:rPr>
        <w:t xml:space="preserve"> فيتساوى مع الدائن العادي ولا يتقدم عليه</w:t>
      </w:r>
      <w:r>
        <w:rPr>
          <w:rFonts w:cs="Traditional Arabic" w:hint="cs"/>
          <w:color w:val="000000"/>
          <w:sz w:val="24"/>
          <w:szCs w:val="28"/>
          <w:rtl/>
        </w:rPr>
        <w:t xml:space="preserve"> .</w:t>
      </w:r>
    </w:p>
  </w:footnote>
  <w:footnote w:id="92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وإذا قيد الدائن الرهن</w:t>
      </w:r>
      <w:r>
        <w:rPr>
          <w:rFonts w:cs="Traditional Arabic" w:hint="cs"/>
          <w:color w:val="000000"/>
          <w:sz w:val="24"/>
          <w:szCs w:val="28"/>
          <w:rtl/>
        </w:rPr>
        <w:t xml:space="preserve"> ،</w:t>
      </w:r>
      <w:r w:rsidRPr="009A072C">
        <w:rPr>
          <w:rFonts w:cs="Traditional Arabic" w:hint="cs"/>
          <w:color w:val="000000"/>
          <w:sz w:val="24"/>
          <w:szCs w:val="28"/>
          <w:rtl/>
        </w:rPr>
        <w:t xml:space="preserve"> جاز له أن يحتج به على المشتري الذي سجل عقده بعد القيد</w:t>
      </w:r>
      <w:r>
        <w:rPr>
          <w:rFonts w:cs="Traditional Arabic" w:hint="cs"/>
          <w:color w:val="000000"/>
          <w:sz w:val="24"/>
          <w:szCs w:val="28"/>
          <w:rtl/>
        </w:rPr>
        <w:t xml:space="preserve"> ،</w:t>
      </w:r>
      <w:r w:rsidRPr="009A072C">
        <w:rPr>
          <w:rFonts w:cs="Traditional Arabic" w:hint="cs"/>
          <w:color w:val="000000"/>
          <w:sz w:val="24"/>
          <w:szCs w:val="28"/>
          <w:rtl/>
        </w:rPr>
        <w:t xml:space="preserve"> ولو كان هذا العقد ثابت التاريخ قبل القيد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8 يونيه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51 ص 372</w:t>
      </w:r>
      <w:r>
        <w:rPr>
          <w:rFonts w:cs="Traditional Arabic" w:hint="cs"/>
          <w:color w:val="000000"/>
          <w:sz w:val="24"/>
          <w:szCs w:val="28"/>
          <w:rtl/>
        </w:rPr>
        <w:t xml:space="preserve"> ) .</w:t>
      </w:r>
    </w:p>
  </w:footnote>
  <w:footnote w:id="92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وطني 21 أبريل سنة 1896 الحقوق 11 رقم 41 ص 200</w:t>
      </w:r>
      <w:r>
        <w:rPr>
          <w:rFonts w:cs="Traditional Arabic" w:hint="cs"/>
          <w:color w:val="000000"/>
          <w:sz w:val="24"/>
          <w:szCs w:val="28"/>
          <w:rtl/>
        </w:rPr>
        <w:t xml:space="preserve"> .</w:t>
      </w:r>
    </w:p>
  </w:footnote>
  <w:footnote w:id="92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861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90 ص 151</w:t>
      </w:r>
      <w:r>
        <w:rPr>
          <w:rFonts w:cs="Traditional Arabic" w:hint="cs"/>
          <w:color w:val="000000"/>
          <w:sz w:val="24"/>
          <w:szCs w:val="28"/>
          <w:rtl/>
        </w:rPr>
        <w:t xml:space="preserve"> .</w:t>
      </w:r>
    </w:p>
  </w:footnote>
  <w:footnote w:id="92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مصر 18 أكتوبر سنة 1939 المحاماة 20 رقم 118 ص 308</w:t>
      </w:r>
      <w:r>
        <w:rPr>
          <w:rFonts w:cs="Traditional Arabic" w:hint="cs"/>
          <w:color w:val="000000"/>
          <w:sz w:val="24"/>
          <w:szCs w:val="28"/>
          <w:rtl/>
        </w:rPr>
        <w:t xml:space="preserve"> .</w:t>
      </w:r>
    </w:p>
  </w:footnote>
  <w:footnote w:id="92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13 فقرة 719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89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2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فقرة 721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89</w:t>
      </w:r>
      <w:r>
        <w:rPr>
          <w:rFonts w:cs="Traditional Arabic" w:hint="cs"/>
          <w:color w:val="000000"/>
          <w:sz w:val="24"/>
          <w:szCs w:val="28"/>
          <w:rtl/>
        </w:rPr>
        <w:t xml:space="preserve"> .</w:t>
      </w:r>
    </w:p>
  </w:footnote>
  <w:footnote w:id="93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فقرة 722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3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فقرة 710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89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3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30 مايو سنة </w:t>
      </w:r>
      <w:smartTag w:uri="urn:schemas-microsoft-com:office:smarttags" w:element="metricconverter">
        <w:smartTagPr>
          <w:attr w:name="ProductID" w:val="1901 م"/>
        </w:smartTagPr>
        <w:r w:rsidRPr="009A072C">
          <w:rPr>
            <w:rFonts w:cs="Traditional Arabic" w:hint="cs"/>
            <w:color w:val="000000"/>
            <w:sz w:val="24"/>
            <w:szCs w:val="28"/>
            <w:rtl/>
          </w:rPr>
          <w:t>1901 م</w:t>
        </w:r>
      </w:smartTag>
      <w:r w:rsidRPr="009A072C">
        <w:rPr>
          <w:rFonts w:cs="Traditional Arabic" w:hint="cs"/>
          <w:color w:val="000000"/>
          <w:sz w:val="24"/>
          <w:szCs w:val="28"/>
          <w:rtl/>
        </w:rPr>
        <w:t xml:space="preserve"> 13 ص 341 </w:t>
      </w:r>
      <w:r w:rsidRPr="009A072C">
        <w:rPr>
          <w:rFonts w:cs="Traditional Arabic"/>
          <w:color w:val="000000"/>
          <w:sz w:val="24"/>
          <w:szCs w:val="28"/>
          <w:rtl/>
        </w:rPr>
        <w:t>–</w:t>
      </w:r>
      <w:r w:rsidRPr="009A072C">
        <w:rPr>
          <w:rFonts w:cs="Traditional Arabic" w:hint="cs"/>
          <w:color w:val="000000"/>
          <w:sz w:val="24"/>
          <w:szCs w:val="28"/>
          <w:rtl/>
        </w:rPr>
        <w:t xml:space="preserve"> 27 مارس سنة </w:t>
      </w:r>
      <w:smartTag w:uri="urn:schemas-microsoft-com:office:smarttags" w:element="metricconverter">
        <w:smartTagPr>
          <w:attr w:name="ProductID" w:val="1907 م"/>
        </w:smartTagPr>
        <w:r w:rsidRPr="009A072C">
          <w:rPr>
            <w:rFonts w:cs="Traditional Arabic" w:hint="cs"/>
            <w:color w:val="000000"/>
            <w:sz w:val="24"/>
            <w:szCs w:val="28"/>
            <w:rtl/>
          </w:rPr>
          <w:t>1907 م</w:t>
        </w:r>
      </w:smartTag>
      <w:r w:rsidRPr="009A072C">
        <w:rPr>
          <w:rFonts w:cs="Traditional Arabic" w:hint="cs"/>
          <w:color w:val="000000"/>
          <w:sz w:val="24"/>
          <w:szCs w:val="28"/>
          <w:rtl/>
        </w:rPr>
        <w:t xml:space="preserve"> 19 ص 184 </w:t>
      </w:r>
      <w:r w:rsidRPr="009A072C">
        <w:rPr>
          <w:rFonts w:cs="Traditional Arabic"/>
          <w:color w:val="000000"/>
          <w:sz w:val="24"/>
          <w:szCs w:val="28"/>
          <w:rtl/>
        </w:rPr>
        <w:t>–</w:t>
      </w:r>
      <w:r w:rsidRPr="009A072C">
        <w:rPr>
          <w:rFonts w:cs="Traditional Arabic" w:hint="cs"/>
          <w:color w:val="000000"/>
          <w:sz w:val="24"/>
          <w:szCs w:val="28"/>
          <w:rtl/>
        </w:rPr>
        <w:t xml:space="preserve"> 17 يونيه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358 </w:t>
      </w:r>
      <w:r w:rsidRPr="009A072C">
        <w:rPr>
          <w:rFonts w:cs="Traditional Arabic"/>
          <w:color w:val="000000"/>
          <w:sz w:val="24"/>
          <w:szCs w:val="28"/>
          <w:rtl/>
        </w:rPr>
        <w:t>–</w:t>
      </w:r>
      <w:r w:rsidRPr="009A072C">
        <w:rPr>
          <w:rFonts w:cs="Traditional Arabic" w:hint="cs"/>
          <w:color w:val="000000"/>
          <w:sz w:val="24"/>
          <w:szCs w:val="28"/>
          <w:rtl/>
        </w:rPr>
        <w:t xml:space="preserve"> 4 ديسمبر سنة </w:t>
      </w:r>
      <w:smartTag w:uri="urn:schemas-microsoft-com:office:smarttags" w:element="metricconverter">
        <w:smartTagPr>
          <w:attr w:name="ProductID" w:val="1941 م"/>
        </w:smartTagPr>
        <w:r w:rsidRPr="009A072C">
          <w:rPr>
            <w:rFonts w:cs="Traditional Arabic" w:hint="cs"/>
            <w:color w:val="000000"/>
            <w:sz w:val="24"/>
            <w:szCs w:val="28"/>
            <w:rtl/>
          </w:rPr>
          <w:t>1941 م</w:t>
        </w:r>
      </w:smartTag>
      <w:r w:rsidRPr="009A072C">
        <w:rPr>
          <w:rFonts w:cs="Traditional Arabic" w:hint="cs"/>
          <w:color w:val="000000"/>
          <w:sz w:val="24"/>
          <w:szCs w:val="28"/>
          <w:rtl/>
        </w:rPr>
        <w:t xml:space="preserve"> 54 ص 21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3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89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3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فقرة 723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94</w:t>
      </w:r>
      <w:r>
        <w:rPr>
          <w:rFonts w:cs="Traditional Arabic" w:hint="cs"/>
          <w:color w:val="000000"/>
          <w:sz w:val="24"/>
          <w:szCs w:val="28"/>
          <w:rtl/>
        </w:rPr>
        <w:t xml:space="preserve"> .</w:t>
      </w:r>
    </w:p>
  </w:footnote>
  <w:footnote w:id="93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88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95</w:t>
      </w:r>
      <w:r>
        <w:rPr>
          <w:rFonts w:cs="Traditional Arabic" w:hint="cs"/>
          <w:color w:val="000000"/>
          <w:sz w:val="24"/>
          <w:szCs w:val="28"/>
          <w:rtl/>
        </w:rPr>
        <w:t xml:space="preserve"> .</w:t>
      </w:r>
    </w:p>
  </w:footnote>
  <w:footnote w:id="93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ذلك النظام</w:t>
      </w:r>
      <w:r>
        <w:rPr>
          <w:rFonts w:cs="Traditional Arabic" w:hint="cs"/>
          <w:color w:val="000000"/>
          <w:sz w:val="24"/>
          <w:szCs w:val="28"/>
          <w:rtl/>
        </w:rPr>
        <w:t xml:space="preserve"> ،</w:t>
      </w:r>
      <w:r w:rsidRPr="009A072C">
        <w:rPr>
          <w:rFonts w:cs="Traditional Arabic" w:hint="cs"/>
          <w:color w:val="000000"/>
          <w:sz w:val="24"/>
          <w:szCs w:val="28"/>
          <w:rtl/>
        </w:rPr>
        <w:t xml:space="preserve"> وفي أنه قد لا يؤدي إلى الغرض لأن نظام الشهر عندنا نظام شخصي</w:t>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95</w:t>
      </w:r>
      <w:r>
        <w:rPr>
          <w:rFonts w:cs="Traditional Arabic" w:hint="cs"/>
          <w:color w:val="000000"/>
          <w:sz w:val="24"/>
          <w:szCs w:val="28"/>
          <w:rtl/>
        </w:rPr>
        <w:t xml:space="preserve"> .</w:t>
      </w:r>
    </w:p>
  </w:footnote>
  <w:footnote w:id="93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27 مايو سنة </w:t>
      </w:r>
      <w:smartTag w:uri="urn:schemas-microsoft-com:office:smarttags" w:element="metricconverter">
        <w:smartTagPr>
          <w:attr w:name="ProductID" w:val="1915 م"/>
        </w:smartTagPr>
        <w:r w:rsidRPr="009A072C">
          <w:rPr>
            <w:rFonts w:cs="Traditional Arabic" w:hint="cs"/>
            <w:color w:val="000000"/>
            <w:sz w:val="24"/>
            <w:szCs w:val="28"/>
            <w:rtl/>
          </w:rPr>
          <w:t>1915 م</w:t>
        </w:r>
      </w:smartTag>
      <w:r w:rsidRPr="009A072C">
        <w:rPr>
          <w:rFonts w:cs="Traditional Arabic" w:hint="cs"/>
          <w:color w:val="000000"/>
          <w:sz w:val="24"/>
          <w:szCs w:val="28"/>
          <w:rtl/>
        </w:rPr>
        <w:t xml:space="preserve"> 27 ص 373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3726</w:t>
      </w:r>
      <w:r>
        <w:rPr>
          <w:rFonts w:cs="Traditional Arabic" w:hint="cs"/>
          <w:color w:val="000000"/>
          <w:sz w:val="24"/>
          <w:szCs w:val="28"/>
          <w:rtl/>
        </w:rPr>
        <w:t xml:space="preserve"> .</w:t>
      </w:r>
    </w:p>
  </w:footnote>
  <w:footnote w:id="93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94</w:t>
      </w:r>
      <w:r>
        <w:rPr>
          <w:rFonts w:cs="Traditional Arabic" w:hint="cs"/>
          <w:color w:val="000000"/>
          <w:sz w:val="24"/>
          <w:szCs w:val="28"/>
          <w:rtl/>
        </w:rPr>
        <w:t xml:space="preserve"> .</w:t>
      </w:r>
    </w:p>
  </w:footnote>
  <w:footnote w:id="93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وتشترط المادة 2152 مدني فرنسي في هذه الحوالة أن تكون بعقد رسمي</w:t>
      </w:r>
      <w:r>
        <w:rPr>
          <w:rFonts w:cs="Traditional Arabic" w:hint="cs"/>
          <w:color w:val="000000"/>
          <w:sz w:val="24"/>
          <w:szCs w:val="28"/>
          <w:rtl/>
        </w:rPr>
        <w:t xml:space="preserve"> ،</w:t>
      </w:r>
      <w:r w:rsidRPr="009A072C">
        <w:rPr>
          <w:rFonts w:cs="Traditional Arabic" w:hint="cs"/>
          <w:color w:val="000000"/>
          <w:sz w:val="24"/>
          <w:szCs w:val="28"/>
          <w:rtl/>
        </w:rPr>
        <w:t xml:space="preserve"> منعا للأضرار بالدائن الأصلي فيما لو قدم شخص حوالة عرفية مزورة وطلب بموجبها تغيير المحل المختار حتى لا تصل إلى الدائن الأصلي إعلانات الإجراءات المتعلقة بنزع ملكية العقار أو تطهيره </w:t>
      </w:r>
      <w:r>
        <w:rPr>
          <w:rFonts w:cs="Traditional Arabic" w:hint="cs"/>
          <w:color w:val="000000"/>
          <w:sz w:val="24"/>
          <w:szCs w:val="28"/>
          <w:rtl/>
        </w:rPr>
        <w:t xml:space="preserve">( </w:t>
      </w:r>
      <w:r w:rsidRPr="009A072C">
        <w:rPr>
          <w:rFonts w:cs="Traditional Arabic" w:hint="cs"/>
          <w:color w:val="000000"/>
          <w:sz w:val="24"/>
          <w:szCs w:val="28"/>
          <w:rtl/>
        </w:rPr>
        <w:t>بلانيول وريبير وبولانجيه 2 فقرة 3726</w:t>
      </w:r>
      <w:r>
        <w:rPr>
          <w:rFonts w:cs="Traditional Arabic" w:hint="cs"/>
          <w:color w:val="000000"/>
          <w:sz w:val="24"/>
          <w:szCs w:val="28"/>
          <w:rtl/>
        </w:rPr>
        <w:t xml:space="preserve"> ) .</w:t>
      </w:r>
    </w:p>
  </w:footnote>
  <w:footnote w:id="94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فقرة 738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3728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377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96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96</w:t>
      </w:r>
      <w:r>
        <w:rPr>
          <w:rFonts w:cs="Traditional Arabic" w:hint="cs"/>
          <w:color w:val="000000"/>
          <w:sz w:val="24"/>
          <w:szCs w:val="28"/>
          <w:rtl/>
        </w:rPr>
        <w:t xml:space="preserve"> .</w:t>
      </w:r>
    </w:p>
  </w:footnote>
  <w:footnote w:id="94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17 يونيه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358</w:t>
      </w:r>
      <w:r>
        <w:rPr>
          <w:rFonts w:cs="Traditional Arabic" w:hint="cs"/>
          <w:color w:val="000000"/>
          <w:sz w:val="24"/>
          <w:szCs w:val="28"/>
          <w:rtl/>
        </w:rPr>
        <w:t xml:space="preserve"> .</w:t>
      </w:r>
    </w:p>
  </w:footnote>
  <w:footnote w:id="94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بأنه إذا كان الدين المضمون أجرة مستحقة بعقد إيجار قابل للتجديد</w:t>
      </w:r>
      <w:r>
        <w:rPr>
          <w:rFonts w:cs="Traditional Arabic" w:hint="cs"/>
          <w:color w:val="000000"/>
          <w:sz w:val="24"/>
          <w:szCs w:val="28"/>
          <w:rtl/>
        </w:rPr>
        <w:t xml:space="preserve"> ،</w:t>
      </w:r>
      <w:r w:rsidRPr="009A072C">
        <w:rPr>
          <w:rFonts w:cs="Traditional Arabic" w:hint="cs"/>
          <w:color w:val="000000"/>
          <w:sz w:val="24"/>
          <w:szCs w:val="28"/>
          <w:rtl/>
        </w:rPr>
        <w:t xml:space="preserve"> وكان القيد لم يذكر إلا أجرة سنتين معينتين بالذات هما مدة الإيجار الأصلية</w:t>
      </w:r>
      <w:r>
        <w:rPr>
          <w:rFonts w:cs="Traditional Arabic" w:hint="cs"/>
          <w:color w:val="000000"/>
          <w:sz w:val="24"/>
          <w:szCs w:val="28"/>
          <w:rtl/>
        </w:rPr>
        <w:t xml:space="preserve"> ،</w:t>
      </w:r>
      <w:r w:rsidRPr="009A072C">
        <w:rPr>
          <w:rFonts w:cs="Traditional Arabic" w:hint="cs"/>
          <w:color w:val="000000"/>
          <w:sz w:val="24"/>
          <w:szCs w:val="28"/>
          <w:rtl/>
        </w:rPr>
        <w:t xml:space="preserve"> فلا يضمن القيد الأجرة عن المدة المحددة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8 مايو سنة </w:t>
      </w:r>
      <w:smartTag w:uri="urn:schemas-microsoft-com:office:smarttags" w:element="metricconverter">
        <w:smartTagPr>
          <w:attr w:name="ProductID" w:val="1934 م"/>
        </w:smartTagPr>
        <w:r w:rsidRPr="009A072C">
          <w:rPr>
            <w:rFonts w:cs="Traditional Arabic" w:hint="cs"/>
            <w:color w:val="000000"/>
            <w:sz w:val="24"/>
            <w:szCs w:val="28"/>
            <w:rtl/>
          </w:rPr>
          <w:t>1934 م</w:t>
        </w:r>
      </w:smartTag>
      <w:r w:rsidRPr="009A072C">
        <w:rPr>
          <w:rFonts w:cs="Traditional Arabic" w:hint="cs"/>
          <w:color w:val="000000"/>
          <w:sz w:val="24"/>
          <w:szCs w:val="28"/>
          <w:rtl/>
        </w:rPr>
        <w:t xml:space="preserve"> 46 ص 280</w:t>
      </w:r>
      <w:r>
        <w:rPr>
          <w:rFonts w:cs="Traditional Arabic" w:hint="cs"/>
          <w:color w:val="000000"/>
          <w:sz w:val="24"/>
          <w:szCs w:val="28"/>
          <w:rtl/>
        </w:rPr>
        <w:t xml:space="preserve"> ) .</w:t>
      </w:r>
    </w:p>
  </w:footnote>
  <w:footnote w:id="94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23 ديسمبر سنة </w:t>
      </w:r>
      <w:smartTag w:uri="urn:schemas-microsoft-com:office:smarttags" w:element="metricconverter">
        <w:smartTagPr>
          <w:attr w:name="ProductID" w:val="1924 م"/>
        </w:smartTagPr>
        <w:r w:rsidRPr="009A072C">
          <w:rPr>
            <w:rFonts w:cs="Traditional Arabic" w:hint="cs"/>
            <w:color w:val="000000"/>
            <w:sz w:val="24"/>
            <w:szCs w:val="28"/>
            <w:rtl/>
          </w:rPr>
          <w:t>1924 م</w:t>
        </w:r>
      </w:smartTag>
      <w:r w:rsidRPr="009A072C">
        <w:rPr>
          <w:rFonts w:cs="Traditional Arabic" w:hint="cs"/>
          <w:color w:val="000000"/>
          <w:sz w:val="24"/>
          <w:szCs w:val="28"/>
          <w:rtl/>
        </w:rPr>
        <w:t xml:space="preserve"> 37 ص 92 </w:t>
      </w:r>
      <w:r w:rsidRPr="009A072C">
        <w:rPr>
          <w:rFonts w:cs="Traditional Arabic"/>
          <w:color w:val="000000"/>
          <w:sz w:val="24"/>
          <w:szCs w:val="28"/>
          <w:rtl/>
        </w:rPr>
        <w:t>–</w:t>
      </w:r>
      <w:r w:rsidRPr="009A072C">
        <w:rPr>
          <w:rFonts w:cs="Traditional Arabic" w:hint="cs"/>
          <w:color w:val="000000"/>
          <w:sz w:val="24"/>
          <w:szCs w:val="28"/>
          <w:rtl/>
        </w:rPr>
        <w:t xml:space="preserve"> وقد قضي أيضاً بأنه يكفي في القيد ذكر عقد الرهن وتاريخه مكان تحريره</w:t>
      </w:r>
      <w:r>
        <w:rPr>
          <w:rFonts w:cs="Traditional Arabic" w:hint="cs"/>
          <w:color w:val="000000"/>
          <w:sz w:val="24"/>
          <w:szCs w:val="28"/>
          <w:rtl/>
        </w:rPr>
        <w:t xml:space="preserve"> ،</w:t>
      </w:r>
      <w:r w:rsidRPr="009A072C">
        <w:rPr>
          <w:rFonts w:cs="Traditional Arabic" w:hint="cs"/>
          <w:color w:val="000000"/>
          <w:sz w:val="24"/>
          <w:szCs w:val="28"/>
          <w:rtl/>
        </w:rPr>
        <w:t xml:space="preserve"> ولو تضمن بيانات غير دقيقة عن نوع الدين ذاته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17 يونيه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358 </w:t>
      </w:r>
      <w:r w:rsidRPr="009A072C">
        <w:rPr>
          <w:rFonts w:cs="Traditional Arabic"/>
          <w:color w:val="000000"/>
          <w:sz w:val="24"/>
          <w:szCs w:val="28"/>
          <w:rtl/>
        </w:rPr>
        <w:t>–</w:t>
      </w:r>
      <w:r w:rsidRPr="009A072C">
        <w:rPr>
          <w:rFonts w:cs="Traditional Arabic" w:hint="cs"/>
          <w:color w:val="000000"/>
          <w:sz w:val="24"/>
          <w:szCs w:val="28"/>
          <w:rtl/>
        </w:rPr>
        <w:t xml:space="preserve"> 23 ديسمبر سنة </w:t>
      </w:r>
      <w:smartTag w:uri="urn:schemas-microsoft-com:office:smarttags" w:element="metricconverter">
        <w:smartTagPr>
          <w:attr w:name="ProductID" w:val="1924 م"/>
        </w:smartTagPr>
        <w:r w:rsidRPr="009A072C">
          <w:rPr>
            <w:rFonts w:cs="Traditional Arabic" w:hint="cs"/>
            <w:color w:val="000000"/>
            <w:sz w:val="24"/>
            <w:szCs w:val="28"/>
            <w:rtl/>
          </w:rPr>
          <w:t>1924 م</w:t>
        </w:r>
      </w:smartTag>
      <w:r w:rsidRPr="009A072C">
        <w:rPr>
          <w:rFonts w:cs="Traditional Arabic" w:hint="cs"/>
          <w:color w:val="000000"/>
          <w:sz w:val="24"/>
          <w:szCs w:val="28"/>
          <w:rtl/>
        </w:rPr>
        <w:t xml:space="preserve"> 37 ص 92</w:t>
      </w:r>
      <w:r>
        <w:rPr>
          <w:rFonts w:cs="Traditional Arabic" w:hint="cs"/>
          <w:color w:val="000000"/>
          <w:sz w:val="24"/>
          <w:szCs w:val="28"/>
          <w:rtl/>
        </w:rPr>
        <w:t xml:space="preserve"> ) .</w:t>
      </w:r>
    </w:p>
  </w:footnote>
  <w:footnote w:id="94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بأنه يجب في جميع البيانات التي تذكر في قائمة القيد أن تكون مطابقة لما ورد في عقد الرهن</w:t>
      </w:r>
      <w:r>
        <w:rPr>
          <w:rFonts w:cs="Traditional Arabic" w:hint="cs"/>
          <w:color w:val="000000"/>
          <w:sz w:val="24"/>
          <w:szCs w:val="28"/>
          <w:rtl/>
        </w:rPr>
        <w:t xml:space="preserve"> ،</w:t>
      </w:r>
      <w:r w:rsidRPr="009A072C">
        <w:rPr>
          <w:rFonts w:cs="Traditional Arabic" w:hint="cs"/>
          <w:color w:val="000000"/>
          <w:sz w:val="24"/>
          <w:szCs w:val="28"/>
          <w:rtl/>
        </w:rPr>
        <w:t xml:space="preserve"> وإلا فلا عبرة بها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15 يناير سنة </w:t>
      </w:r>
      <w:smartTag w:uri="urn:schemas-microsoft-com:office:smarttags" w:element="metricconverter">
        <w:smartTagPr>
          <w:attr w:name="ProductID" w:val="1918 م"/>
        </w:smartTagPr>
        <w:r w:rsidRPr="009A072C">
          <w:rPr>
            <w:rFonts w:cs="Traditional Arabic" w:hint="cs"/>
            <w:color w:val="000000"/>
            <w:sz w:val="24"/>
            <w:szCs w:val="28"/>
            <w:rtl/>
          </w:rPr>
          <w:t>1918 م</w:t>
        </w:r>
      </w:smartTag>
      <w:r w:rsidRPr="009A072C">
        <w:rPr>
          <w:rFonts w:cs="Traditional Arabic" w:hint="cs"/>
          <w:color w:val="000000"/>
          <w:sz w:val="24"/>
          <w:szCs w:val="28"/>
          <w:rtl/>
        </w:rPr>
        <w:t xml:space="preserve"> 30 ص 154</w:t>
      </w:r>
      <w:r>
        <w:rPr>
          <w:rFonts w:cs="Traditional Arabic" w:hint="cs"/>
          <w:color w:val="000000"/>
          <w:sz w:val="24"/>
          <w:szCs w:val="28"/>
          <w:rtl/>
        </w:rPr>
        <w:t xml:space="preserve"> ) .</w:t>
      </w:r>
    </w:p>
  </w:footnote>
  <w:footnote w:id="94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ص 372 هامش 3 </w:t>
      </w:r>
      <w:r w:rsidRPr="009A072C">
        <w:rPr>
          <w:rFonts w:cs="Traditional Arabic"/>
          <w:color w:val="000000"/>
          <w:sz w:val="24"/>
          <w:szCs w:val="28"/>
          <w:rtl/>
        </w:rPr>
        <w:t>–</w:t>
      </w:r>
      <w:r w:rsidRPr="009A072C">
        <w:rPr>
          <w:rFonts w:cs="Traditional Arabic" w:hint="cs"/>
          <w:color w:val="000000"/>
          <w:sz w:val="24"/>
          <w:szCs w:val="28"/>
          <w:rtl/>
        </w:rPr>
        <w:t xml:space="preserve"> وقد قضت محكمة الاستئناف المختلطة بأنه إذا كان عقد الرهن باطلا لعدم التخصيص</w:t>
      </w:r>
      <w:r>
        <w:rPr>
          <w:rFonts w:cs="Traditional Arabic" w:hint="cs"/>
          <w:color w:val="000000"/>
          <w:sz w:val="24"/>
          <w:szCs w:val="28"/>
          <w:rtl/>
        </w:rPr>
        <w:t xml:space="preserve"> ،</w:t>
      </w:r>
      <w:r w:rsidRPr="009A072C">
        <w:rPr>
          <w:rFonts w:cs="Traditional Arabic" w:hint="cs"/>
          <w:color w:val="000000"/>
          <w:sz w:val="24"/>
          <w:szCs w:val="28"/>
          <w:rtl/>
        </w:rPr>
        <w:t xml:space="preserve"> فإن هذا البطلان لا يزول بالتخصيص الوارد في قائمة القيد</w:t>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18 مايو سنة </w:t>
      </w:r>
      <w:smartTag w:uri="urn:schemas-microsoft-com:office:smarttags" w:element="metricconverter">
        <w:smartTagPr>
          <w:attr w:name="ProductID" w:val="1922 م"/>
        </w:smartTagPr>
        <w:r w:rsidRPr="009A072C">
          <w:rPr>
            <w:rFonts w:cs="Traditional Arabic" w:hint="cs"/>
            <w:color w:val="000000"/>
            <w:sz w:val="24"/>
            <w:szCs w:val="28"/>
            <w:rtl/>
          </w:rPr>
          <w:t>1922 م</w:t>
        </w:r>
      </w:smartTag>
      <w:r w:rsidRPr="009A072C">
        <w:rPr>
          <w:rFonts w:cs="Traditional Arabic" w:hint="cs"/>
          <w:color w:val="000000"/>
          <w:sz w:val="24"/>
          <w:szCs w:val="28"/>
          <w:rtl/>
        </w:rPr>
        <w:t xml:space="preserve"> 34 ص 415</w:t>
      </w:r>
      <w:r>
        <w:rPr>
          <w:rFonts w:cs="Traditional Arabic" w:hint="cs"/>
          <w:color w:val="000000"/>
          <w:sz w:val="24"/>
          <w:szCs w:val="28"/>
          <w:rtl/>
        </w:rPr>
        <w:t xml:space="preserve"> .</w:t>
      </w:r>
    </w:p>
  </w:footnote>
  <w:footnote w:id="94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ويقال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"والمشروع بتقرير الحكم المتقدم أراد حماية الغير من ناحية</w:t>
      </w:r>
      <w:r>
        <w:rPr>
          <w:rFonts w:cs="Traditional Arabic" w:hint="cs"/>
          <w:color w:val="000000"/>
          <w:sz w:val="24"/>
          <w:szCs w:val="28"/>
          <w:rtl/>
        </w:rPr>
        <w:t xml:space="preserve"> ،</w:t>
      </w:r>
      <w:r w:rsidRPr="009A072C">
        <w:rPr>
          <w:rFonts w:cs="Traditional Arabic" w:hint="cs"/>
          <w:color w:val="000000"/>
          <w:sz w:val="24"/>
          <w:szCs w:val="28"/>
          <w:rtl/>
        </w:rPr>
        <w:t xml:space="preserve"> وذلك بالأخذ بقدر الدين الوارد في قائمة القيد</w:t>
      </w:r>
      <w:r>
        <w:rPr>
          <w:rFonts w:cs="Traditional Arabic" w:hint="cs"/>
          <w:color w:val="000000"/>
          <w:sz w:val="24"/>
          <w:szCs w:val="28"/>
          <w:rtl/>
        </w:rPr>
        <w:t xml:space="preserve"> .</w:t>
      </w:r>
      <w:r w:rsidRPr="009A072C">
        <w:rPr>
          <w:rFonts w:cs="Traditional Arabic" w:hint="cs"/>
          <w:color w:val="000000"/>
          <w:sz w:val="24"/>
          <w:szCs w:val="28"/>
          <w:rtl/>
        </w:rPr>
        <w:t xml:space="preserve"> ولكنه من ناحية أخرى</w:t>
      </w:r>
      <w:r>
        <w:rPr>
          <w:rFonts w:cs="Traditional Arabic" w:hint="cs"/>
          <w:color w:val="000000"/>
          <w:sz w:val="24"/>
          <w:szCs w:val="28"/>
          <w:rtl/>
        </w:rPr>
        <w:t xml:space="preserve"> ،</w:t>
      </w:r>
      <w:r w:rsidRPr="009A072C">
        <w:rPr>
          <w:rFonts w:cs="Traditional Arabic" w:hint="cs"/>
          <w:color w:val="000000"/>
          <w:sz w:val="24"/>
          <w:szCs w:val="28"/>
          <w:rtl/>
        </w:rPr>
        <w:t xml:space="preserve"> حرص على عدم تحميل العقار بما يجاوز حقيقة الالتزام</w:t>
      </w:r>
      <w:r>
        <w:rPr>
          <w:rFonts w:cs="Traditional Arabic" w:hint="cs"/>
          <w:color w:val="000000"/>
          <w:sz w:val="24"/>
          <w:szCs w:val="28"/>
          <w:rtl/>
        </w:rPr>
        <w:t xml:space="preserve"> ،</w:t>
      </w:r>
      <w:r w:rsidRPr="009A072C">
        <w:rPr>
          <w:rFonts w:cs="Traditional Arabic" w:hint="cs"/>
          <w:color w:val="000000"/>
          <w:sz w:val="24"/>
          <w:szCs w:val="28"/>
          <w:rtl/>
        </w:rPr>
        <w:t xml:space="preserve"> وعلى هذا النحو اعتد بهذه الحقيقة حتى ولو جاء ما يخالفها في قائمة القيد </w:t>
      </w:r>
      <w:r>
        <w:rPr>
          <w:rFonts w:cs="Traditional Arabic" w:hint="cs"/>
          <w:color w:val="000000"/>
          <w:sz w:val="24"/>
          <w:szCs w:val="28"/>
          <w:rtl/>
        </w:rPr>
        <w:t xml:space="preserve">( </w:t>
      </w:r>
      <w:r w:rsidRPr="009A072C">
        <w:rPr>
          <w:rFonts w:cs="Traditional Arabic" w:hint="cs"/>
          <w:color w:val="000000"/>
          <w:sz w:val="24"/>
          <w:szCs w:val="28"/>
          <w:rtl/>
        </w:rPr>
        <w:t>شمس الدين الوكيل فقرة 62 ص 195</w:t>
      </w:r>
      <w:r>
        <w:rPr>
          <w:rFonts w:cs="Traditional Arabic" w:hint="cs"/>
          <w:color w:val="000000"/>
          <w:sz w:val="24"/>
          <w:szCs w:val="28"/>
          <w:rtl/>
        </w:rPr>
        <w:t xml:space="preserve"> ) .</w:t>
      </w:r>
    </w:p>
  </w:footnote>
  <w:footnote w:id="94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10 يناير سنة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51 ص 107 </w:t>
      </w:r>
      <w:r w:rsidRPr="009A072C">
        <w:rPr>
          <w:rFonts w:cs="Traditional Arabic"/>
          <w:color w:val="000000"/>
          <w:sz w:val="24"/>
          <w:szCs w:val="28"/>
          <w:rtl/>
        </w:rPr>
        <w:t>–</w:t>
      </w:r>
      <w:r w:rsidRPr="009A072C">
        <w:rPr>
          <w:rFonts w:cs="Traditional Arabic" w:hint="cs"/>
          <w:color w:val="000000"/>
          <w:sz w:val="24"/>
          <w:szCs w:val="28"/>
          <w:rtl/>
        </w:rPr>
        <w:t xml:space="preserve"> وقد اعتبر من البيانات الجوهرية تعيين المدين بكيفية واضحة</w:t>
      </w:r>
      <w:r>
        <w:rPr>
          <w:rFonts w:cs="Traditional Arabic" w:hint="cs"/>
          <w:color w:val="000000"/>
          <w:sz w:val="24"/>
          <w:szCs w:val="28"/>
          <w:rtl/>
        </w:rPr>
        <w:t xml:space="preserve"> ،</w:t>
      </w:r>
      <w:r w:rsidRPr="009A072C">
        <w:rPr>
          <w:rFonts w:cs="Traditional Arabic" w:hint="cs"/>
          <w:color w:val="000000"/>
          <w:sz w:val="24"/>
          <w:szCs w:val="28"/>
          <w:rtl/>
        </w:rPr>
        <w:t xml:space="preserve"> وتعيين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وبيان تاريخ العقد ونوعه</w:t>
      </w:r>
      <w:r>
        <w:rPr>
          <w:rFonts w:cs="Traditional Arabic" w:hint="cs"/>
          <w:color w:val="000000"/>
          <w:sz w:val="24"/>
          <w:szCs w:val="28"/>
          <w:rtl/>
        </w:rPr>
        <w:t xml:space="preserve"> ،</w:t>
      </w:r>
      <w:r w:rsidRPr="009A072C">
        <w:rPr>
          <w:rFonts w:cs="Traditional Arabic" w:hint="cs"/>
          <w:color w:val="000000"/>
          <w:sz w:val="24"/>
          <w:szCs w:val="28"/>
          <w:rtl/>
        </w:rPr>
        <w:t xml:space="preserve"> وبيان مقدار الدين وتاريخ حلوله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20 يناير سنة </w:t>
      </w:r>
      <w:smartTag w:uri="urn:schemas-microsoft-com:office:smarttags" w:element="metricconverter">
        <w:smartTagPr>
          <w:attr w:name="ProductID" w:val="1889 م"/>
        </w:smartTagPr>
        <w:r w:rsidRPr="009A072C">
          <w:rPr>
            <w:rFonts w:cs="Traditional Arabic" w:hint="cs"/>
            <w:color w:val="000000"/>
            <w:sz w:val="24"/>
            <w:szCs w:val="28"/>
            <w:rtl/>
          </w:rPr>
          <w:t>1889 م</w:t>
        </w:r>
      </w:smartTag>
      <w:r w:rsidRPr="009A072C">
        <w:rPr>
          <w:rFonts w:cs="Traditional Arabic" w:hint="cs"/>
          <w:color w:val="000000"/>
          <w:sz w:val="24"/>
          <w:szCs w:val="28"/>
          <w:rtl/>
        </w:rPr>
        <w:t xml:space="preserve"> 1 ص 332 </w:t>
      </w:r>
      <w:r w:rsidRPr="009A072C">
        <w:rPr>
          <w:rFonts w:cs="Traditional Arabic"/>
          <w:color w:val="000000"/>
          <w:sz w:val="24"/>
          <w:szCs w:val="28"/>
          <w:rtl/>
        </w:rPr>
        <w:t>–</w:t>
      </w:r>
      <w:r w:rsidRPr="009A072C">
        <w:rPr>
          <w:rFonts w:cs="Traditional Arabic" w:hint="cs"/>
          <w:color w:val="000000"/>
          <w:sz w:val="24"/>
          <w:szCs w:val="28"/>
          <w:rtl/>
        </w:rPr>
        <w:t xml:space="preserve"> 29 مايو سنة </w:t>
      </w:r>
      <w:smartTag w:uri="urn:schemas-microsoft-com:office:smarttags" w:element="metricconverter">
        <w:smartTagPr>
          <w:attr w:name="ProductID" w:val="1895 م"/>
        </w:smartTagPr>
        <w:r w:rsidRPr="009A072C">
          <w:rPr>
            <w:rFonts w:cs="Traditional Arabic" w:hint="cs"/>
            <w:color w:val="000000"/>
            <w:sz w:val="24"/>
            <w:szCs w:val="28"/>
            <w:rtl/>
          </w:rPr>
          <w:t>1895 م</w:t>
        </w:r>
      </w:smartTag>
      <w:r w:rsidRPr="009A072C">
        <w:rPr>
          <w:rFonts w:cs="Traditional Arabic" w:hint="cs"/>
          <w:color w:val="000000"/>
          <w:sz w:val="24"/>
          <w:szCs w:val="28"/>
          <w:rtl/>
        </w:rPr>
        <w:t xml:space="preserve"> 7 ص 307 </w:t>
      </w:r>
      <w:r w:rsidRPr="009A072C">
        <w:rPr>
          <w:rFonts w:cs="Traditional Arabic"/>
          <w:color w:val="000000"/>
          <w:sz w:val="24"/>
          <w:szCs w:val="28"/>
          <w:rtl/>
        </w:rPr>
        <w:t>–</w:t>
      </w:r>
      <w:r w:rsidRPr="009A072C">
        <w:rPr>
          <w:rFonts w:cs="Traditional Arabic" w:hint="cs"/>
          <w:color w:val="000000"/>
          <w:sz w:val="24"/>
          <w:szCs w:val="28"/>
          <w:rtl/>
        </w:rPr>
        <w:t xml:space="preserve"> 27 نوفمبر سنة </w:t>
      </w:r>
      <w:smartTag w:uri="urn:schemas-microsoft-com:office:smarttags" w:element="metricconverter">
        <w:smartTagPr>
          <w:attr w:name="ProductID" w:val="1895 م"/>
        </w:smartTagPr>
        <w:r w:rsidRPr="009A072C">
          <w:rPr>
            <w:rFonts w:cs="Traditional Arabic" w:hint="cs"/>
            <w:color w:val="000000"/>
            <w:sz w:val="24"/>
            <w:szCs w:val="28"/>
            <w:rtl/>
          </w:rPr>
          <w:t>1895 م</w:t>
        </w:r>
      </w:smartTag>
      <w:r w:rsidRPr="009A072C">
        <w:rPr>
          <w:rFonts w:cs="Traditional Arabic" w:hint="cs"/>
          <w:color w:val="000000"/>
          <w:sz w:val="24"/>
          <w:szCs w:val="28"/>
          <w:rtl/>
        </w:rPr>
        <w:t xml:space="preserve"> 8 ص 13 </w:t>
      </w:r>
      <w:r w:rsidRPr="009A072C">
        <w:rPr>
          <w:rFonts w:cs="Traditional Arabic"/>
          <w:color w:val="000000"/>
          <w:sz w:val="24"/>
          <w:szCs w:val="28"/>
          <w:rtl/>
        </w:rPr>
        <w:t>–</w:t>
      </w:r>
      <w:r w:rsidRPr="009A072C">
        <w:rPr>
          <w:rFonts w:cs="Traditional Arabic" w:hint="cs"/>
          <w:color w:val="000000"/>
          <w:sz w:val="24"/>
          <w:szCs w:val="28"/>
          <w:rtl/>
        </w:rPr>
        <w:t xml:space="preserve"> 10 يناير سنة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51 ص 107</w:t>
      </w:r>
      <w:r>
        <w:rPr>
          <w:rFonts w:cs="Traditional Arabic" w:hint="cs"/>
          <w:color w:val="000000"/>
          <w:sz w:val="24"/>
          <w:szCs w:val="28"/>
          <w:rtl/>
        </w:rPr>
        <w:t xml:space="preserve"> ) .</w:t>
      </w:r>
    </w:p>
  </w:footnote>
  <w:footnote w:id="94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بلانيول وريبير وبيكيه 12 فقرة 751</w:t>
      </w:r>
      <w:r>
        <w:rPr>
          <w:rFonts w:cs="Traditional Arabic" w:hint="cs"/>
          <w:color w:val="000000"/>
          <w:sz w:val="24"/>
          <w:szCs w:val="28"/>
          <w:rtl/>
        </w:rPr>
        <w:t xml:space="preserve"> .</w:t>
      </w:r>
    </w:p>
  </w:footnote>
  <w:footnote w:id="94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31 ديسمبر سنة </w:t>
      </w:r>
      <w:smartTag w:uri="urn:schemas-microsoft-com:office:smarttags" w:element="metricconverter">
        <w:smartTagPr>
          <w:attr w:name="ProductID" w:val="1917 م"/>
        </w:smartTagPr>
        <w:r w:rsidRPr="009A072C">
          <w:rPr>
            <w:rFonts w:cs="Traditional Arabic" w:hint="cs"/>
            <w:color w:val="000000"/>
            <w:sz w:val="24"/>
            <w:szCs w:val="28"/>
            <w:rtl/>
          </w:rPr>
          <w:t>1917 م</w:t>
        </w:r>
      </w:smartTag>
      <w:r w:rsidRPr="009A072C">
        <w:rPr>
          <w:rFonts w:cs="Traditional Arabic" w:hint="cs"/>
          <w:color w:val="000000"/>
          <w:sz w:val="24"/>
          <w:szCs w:val="28"/>
          <w:rtl/>
        </w:rPr>
        <w:t xml:space="preserve"> 30 ص 113</w:t>
      </w:r>
      <w:r>
        <w:rPr>
          <w:rFonts w:cs="Traditional Arabic" w:hint="cs"/>
          <w:color w:val="000000"/>
          <w:sz w:val="24"/>
          <w:szCs w:val="28"/>
          <w:rtl/>
        </w:rPr>
        <w:t xml:space="preserve"> .</w:t>
      </w:r>
    </w:p>
  </w:footnote>
  <w:footnote w:id="95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استلهم المشرع الفرنسي قانون أول مارس سنة 1918 من القانون البلجيكي الصادر بهذا المعنى في 16 ديسمبر سنة 1851 </w:t>
      </w:r>
      <w:r>
        <w:rPr>
          <w:rFonts w:cs="Traditional Arabic" w:hint="cs"/>
          <w:color w:val="000000"/>
          <w:sz w:val="24"/>
          <w:szCs w:val="28"/>
          <w:rtl/>
        </w:rPr>
        <w:t xml:space="preserve">( </w:t>
      </w:r>
      <w:r w:rsidRPr="009A072C">
        <w:rPr>
          <w:rFonts w:cs="Traditional Arabic" w:hint="cs"/>
          <w:color w:val="000000"/>
          <w:sz w:val="24"/>
          <w:szCs w:val="28"/>
          <w:rtl/>
        </w:rPr>
        <w:t>شمس الدين الوكيل فقرة 62 ص 192 هامش 4</w:t>
      </w:r>
      <w:r>
        <w:rPr>
          <w:rFonts w:cs="Traditional Arabic" w:hint="cs"/>
          <w:color w:val="000000"/>
          <w:sz w:val="24"/>
          <w:szCs w:val="28"/>
          <w:rtl/>
        </w:rPr>
        <w:t xml:space="preserve"> ) .</w:t>
      </w:r>
    </w:p>
  </w:footnote>
  <w:footnote w:id="95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فالوصف القانوني للجزاء يقترب من عدم النفاذ أو عدم السريان</w:t>
      </w:r>
      <w:r>
        <w:rPr>
          <w:rFonts w:cs="Traditional Arabic" w:hint="cs"/>
          <w:color w:val="000000"/>
          <w:sz w:val="24"/>
          <w:szCs w:val="28"/>
          <w:rtl/>
        </w:rPr>
        <w:t xml:space="preserve"> .</w:t>
      </w:r>
      <w:r w:rsidRPr="009A072C">
        <w:rPr>
          <w:rFonts w:cs="Traditional Arabic" w:hint="cs"/>
          <w:color w:val="000000"/>
          <w:sz w:val="24"/>
          <w:szCs w:val="28"/>
          <w:rtl/>
        </w:rPr>
        <w:t xml:space="preserve"> ذلك أن القاضي لا يبطل القيد</w:t>
      </w:r>
      <w:r>
        <w:rPr>
          <w:rFonts w:cs="Traditional Arabic" w:hint="cs"/>
          <w:color w:val="000000"/>
          <w:sz w:val="24"/>
          <w:szCs w:val="28"/>
          <w:rtl/>
        </w:rPr>
        <w:t xml:space="preserve"> ،</w:t>
      </w:r>
      <w:r w:rsidRPr="009A072C">
        <w:rPr>
          <w:rFonts w:cs="Traditional Arabic" w:hint="cs"/>
          <w:color w:val="000000"/>
          <w:sz w:val="24"/>
          <w:szCs w:val="28"/>
          <w:rtl/>
        </w:rPr>
        <w:t xml:space="preserve"> وإنما يحكم بجزاء لصالح من أصابه ضرر</w:t>
      </w:r>
      <w:r>
        <w:rPr>
          <w:rFonts w:cs="Traditional Arabic" w:hint="cs"/>
          <w:color w:val="000000"/>
          <w:sz w:val="24"/>
          <w:szCs w:val="28"/>
          <w:rtl/>
        </w:rPr>
        <w:t xml:space="preserve"> .</w:t>
      </w:r>
      <w:r w:rsidRPr="009A072C">
        <w:rPr>
          <w:rFonts w:cs="Traditional Arabic" w:hint="cs"/>
          <w:color w:val="000000"/>
          <w:sz w:val="24"/>
          <w:szCs w:val="28"/>
          <w:rtl/>
        </w:rPr>
        <w:t xml:space="preserve"> وقد لا يقضي ببطلان القيد</w:t>
      </w:r>
      <w:r>
        <w:rPr>
          <w:rFonts w:cs="Traditional Arabic" w:hint="cs"/>
          <w:color w:val="000000"/>
          <w:sz w:val="24"/>
          <w:szCs w:val="28"/>
          <w:rtl/>
        </w:rPr>
        <w:t xml:space="preserve"> ،</w:t>
      </w:r>
      <w:r w:rsidRPr="009A072C">
        <w:rPr>
          <w:rFonts w:cs="Traditional Arabic" w:hint="cs"/>
          <w:color w:val="000000"/>
          <w:sz w:val="24"/>
          <w:szCs w:val="28"/>
          <w:rtl/>
        </w:rPr>
        <w:t xml:space="preserve"> بل يحكم بتعويض الضرر</w:t>
      </w:r>
      <w:r>
        <w:rPr>
          <w:rFonts w:cs="Traditional Arabic" w:hint="cs"/>
          <w:color w:val="000000"/>
          <w:sz w:val="24"/>
          <w:szCs w:val="28"/>
          <w:rtl/>
        </w:rPr>
        <w:t xml:space="preserve"> ،</w:t>
      </w:r>
      <w:r w:rsidRPr="009A072C">
        <w:rPr>
          <w:rFonts w:cs="Traditional Arabic" w:hint="cs"/>
          <w:color w:val="000000"/>
          <w:sz w:val="24"/>
          <w:szCs w:val="28"/>
          <w:rtl/>
        </w:rPr>
        <w:t xml:space="preserve"> فيقنع بالجزاء اللازم لرفع الضرر </w:t>
      </w:r>
      <w:r>
        <w:rPr>
          <w:rFonts w:cs="Traditional Arabic" w:hint="cs"/>
          <w:color w:val="000000"/>
          <w:sz w:val="24"/>
          <w:szCs w:val="28"/>
          <w:rtl/>
        </w:rPr>
        <w:t xml:space="preserve">( </w:t>
      </w:r>
      <w:r w:rsidRPr="009A072C">
        <w:rPr>
          <w:rFonts w:cs="Traditional Arabic" w:hint="cs"/>
          <w:color w:val="000000"/>
          <w:sz w:val="24"/>
          <w:szCs w:val="28"/>
          <w:rtl/>
        </w:rPr>
        <w:t>شمس الدين الوكيل فقرة 62 ص 193</w:t>
      </w:r>
      <w:r>
        <w:rPr>
          <w:rFonts w:cs="Traditional Arabic" w:hint="cs"/>
          <w:color w:val="000000"/>
          <w:sz w:val="24"/>
          <w:szCs w:val="28"/>
          <w:rtl/>
        </w:rPr>
        <w:t xml:space="preserve"> ) .</w:t>
      </w:r>
    </w:p>
  </w:footnote>
  <w:footnote w:id="95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شمس الدين الوكيل فقرة 62 ص 193 </w:t>
      </w:r>
      <w:r w:rsidRPr="009A072C">
        <w:rPr>
          <w:rFonts w:cs="Traditional Arabic"/>
          <w:color w:val="000000"/>
          <w:sz w:val="24"/>
          <w:szCs w:val="28"/>
          <w:rtl/>
        </w:rPr>
        <w:t>–</w:t>
      </w:r>
      <w:r w:rsidRPr="009A072C">
        <w:rPr>
          <w:rFonts w:cs="Traditional Arabic" w:hint="cs"/>
          <w:color w:val="000000"/>
          <w:sz w:val="24"/>
          <w:szCs w:val="28"/>
          <w:rtl/>
        </w:rPr>
        <w:t xml:space="preserve"> ص 194 </w:t>
      </w:r>
      <w:r w:rsidRPr="009A072C">
        <w:rPr>
          <w:rFonts w:cs="Traditional Arabic"/>
          <w:color w:val="000000"/>
          <w:sz w:val="24"/>
          <w:szCs w:val="28"/>
          <w:rtl/>
        </w:rPr>
        <w:t>–</w:t>
      </w:r>
      <w:r w:rsidRPr="009A072C">
        <w:rPr>
          <w:rFonts w:cs="Traditional Arabic" w:hint="cs"/>
          <w:color w:val="000000"/>
          <w:sz w:val="24"/>
          <w:szCs w:val="28"/>
          <w:rtl/>
        </w:rPr>
        <w:t xml:space="preserve"> "ويعاب على هذا التصوير الجديد</w:t>
      </w:r>
      <w:r>
        <w:rPr>
          <w:rFonts w:cs="Traditional Arabic" w:hint="cs"/>
          <w:color w:val="000000"/>
          <w:sz w:val="24"/>
          <w:szCs w:val="28"/>
          <w:rtl/>
        </w:rPr>
        <w:t xml:space="preserve"> ،</w:t>
      </w:r>
      <w:r w:rsidRPr="009A072C">
        <w:rPr>
          <w:rFonts w:cs="Traditional Arabic" w:hint="cs"/>
          <w:color w:val="000000"/>
          <w:sz w:val="24"/>
          <w:szCs w:val="28"/>
          <w:rtl/>
        </w:rPr>
        <w:t xml:space="preserve"> كما يقول فقهاء فرنسيون ومصريون </w:t>
      </w:r>
      <w:r>
        <w:rPr>
          <w:rFonts w:cs="Traditional Arabic" w:hint="cs"/>
          <w:color w:val="000000"/>
          <w:sz w:val="24"/>
          <w:szCs w:val="28"/>
          <w:rtl/>
        </w:rPr>
        <w:t xml:space="preserve">( </w:t>
      </w:r>
      <w:r w:rsidRPr="009A072C">
        <w:rPr>
          <w:rFonts w:cs="Traditional Arabic" w:hint="cs"/>
          <w:color w:val="000000"/>
          <w:sz w:val="24"/>
          <w:szCs w:val="28"/>
          <w:rtl/>
        </w:rPr>
        <w:t xml:space="preserve">أوبري ورو 3 فقرة 276 ص 477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12 فقرة 752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62 ص 194</w:t>
      </w:r>
      <w:r>
        <w:rPr>
          <w:rFonts w:cs="Traditional Arabic" w:hint="cs"/>
          <w:color w:val="000000"/>
          <w:sz w:val="24"/>
          <w:szCs w:val="28"/>
          <w:rtl/>
        </w:rPr>
        <w:t xml:space="preserve"> ) ،</w:t>
      </w:r>
      <w:r w:rsidRPr="009A072C">
        <w:rPr>
          <w:rFonts w:cs="Traditional Arabic" w:hint="cs"/>
          <w:color w:val="000000"/>
          <w:sz w:val="24"/>
          <w:szCs w:val="28"/>
          <w:rtl/>
        </w:rPr>
        <w:t xml:space="preserve"> أنه لم يعتد بالحرص على وضع تنظيم آمر يكفل سلامة أحكام الشهر ويضمن صدق المعلومات التي بمكاتب الشهر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وهي المرجع الأساسي للدلالة على حالة الائتمان العقاري في الدولة بصفة عامة</w:t>
      </w:r>
      <w:r>
        <w:rPr>
          <w:rFonts w:cs="Traditional Arabic" w:hint="cs"/>
          <w:color w:val="000000"/>
          <w:sz w:val="24"/>
          <w:szCs w:val="28"/>
          <w:rtl/>
        </w:rPr>
        <w:t xml:space="preserve"> .</w:t>
      </w:r>
      <w:r w:rsidRPr="009A072C">
        <w:rPr>
          <w:rFonts w:cs="Traditional Arabic" w:hint="cs"/>
          <w:color w:val="000000"/>
          <w:sz w:val="24"/>
          <w:szCs w:val="28"/>
          <w:rtl/>
        </w:rPr>
        <w:t xml:space="preserve"> بل وقد يغري بعدم تحري الدقة في ذكر البيانات القانونية في قائمة القيد ما دام الجزاء المترتب عليها لن يتحرك إلا إذا تمسك الغير به وأثبت ما أصابه من أضرار</w:t>
      </w:r>
      <w:r>
        <w:rPr>
          <w:rFonts w:cs="Traditional Arabic" w:hint="cs"/>
          <w:color w:val="000000"/>
          <w:sz w:val="24"/>
          <w:szCs w:val="28"/>
          <w:rtl/>
        </w:rPr>
        <w:t xml:space="preserve"> ،</w:t>
      </w:r>
      <w:r w:rsidRPr="009A072C">
        <w:rPr>
          <w:rFonts w:cs="Traditional Arabic" w:hint="cs"/>
          <w:color w:val="000000"/>
          <w:sz w:val="24"/>
          <w:szCs w:val="28"/>
          <w:rtl/>
        </w:rPr>
        <w:t xml:space="preserve"> ولا يخلو هذا الإثبات من الصعوبة في بعض الأحيان</w:t>
      </w:r>
      <w:r>
        <w:rPr>
          <w:rFonts w:cs="Traditional Arabic" w:hint="cs"/>
          <w:color w:val="000000"/>
          <w:sz w:val="24"/>
          <w:szCs w:val="28"/>
          <w:rtl/>
        </w:rPr>
        <w:t xml:space="preserve"> .</w:t>
      </w:r>
      <w:r w:rsidRPr="009A072C">
        <w:rPr>
          <w:rFonts w:cs="Traditional Arabic" w:hint="cs"/>
          <w:color w:val="000000"/>
          <w:sz w:val="24"/>
          <w:szCs w:val="28"/>
          <w:rtl/>
        </w:rPr>
        <w:t xml:space="preserve"> الأمر الذي قد يفضي إلى الإبقاء على قوائم قيد غير مستوفية للشروط القانونية</w:t>
      </w:r>
      <w:r>
        <w:rPr>
          <w:rFonts w:cs="Traditional Arabic" w:hint="cs"/>
          <w:color w:val="000000"/>
          <w:sz w:val="24"/>
          <w:szCs w:val="28"/>
          <w:rtl/>
        </w:rPr>
        <w:t xml:space="preserve"> ،</w:t>
      </w:r>
      <w:r w:rsidRPr="009A072C">
        <w:rPr>
          <w:rFonts w:cs="Traditional Arabic" w:hint="cs"/>
          <w:color w:val="000000"/>
          <w:sz w:val="24"/>
          <w:szCs w:val="28"/>
          <w:rtl/>
        </w:rPr>
        <w:t xml:space="preserve"> ما دام أحد لم يطالب القضاء بعدم سريانها في مواجهته</w:t>
      </w:r>
      <w:r>
        <w:rPr>
          <w:rFonts w:cs="Traditional Arabic" w:hint="cs"/>
          <w:color w:val="000000"/>
          <w:sz w:val="24"/>
          <w:szCs w:val="28"/>
          <w:rtl/>
        </w:rPr>
        <w:t xml:space="preserve"> .</w:t>
      </w:r>
      <w:r w:rsidRPr="009A072C">
        <w:rPr>
          <w:rFonts w:cs="Traditional Arabic" w:hint="cs"/>
          <w:color w:val="000000"/>
          <w:sz w:val="24"/>
          <w:szCs w:val="28"/>
          <w:rtl/>
        </w:rPr>
        <w:t xml:space="preserve"> ولعله كان من الأفضل الاستعانة بالمعيار القضائي القديم</w:t>
      </w:r>
      <w:r>
        <w:rPr>
          <w:rFonts w:cs="Traditional Arabic" w:hint="cs"/>
          <w:color w:val="000000"/>
          <w:sz w:val="24"/>
          <w:szCs w:val="28"/>
          <w:rtl/>
        </w:rPr>
        <w:t xml:space="preserve"> ،</w:t>
      </w:r>
      <w:r w:rsidRPr="009A072C">
        <w:rPr>
          <w:rFonts w:cs="Traditional Arabic" w:hint="cs"/>
          <w:color w:val="000000"/>
          <w:sz w:val="24"/>
          <w:szCs w:val="28"/>
          <w:rtl/>
        </w:rPr>
        <w:t xml:space="preserve"> وإخضاعه لتنظيم تشريعي يزيل عنه القلق الذي أصابه في التطبيق</w:t>
      </w:r>
      <w:r>
        <w:rPr>
          <w:rFonts w:cs="Traditional Arabic" w:hint="cs"/>
          <w:color w:val="000000"/>
          <w:sz w:val="24"/>
          <w:szCs w:val="28"/>
          <w:rtl/>
        </w:rPr>
        <w:t xml:space="preserve"> ،</w:t>
      </w:r>
      <w:r w:rsidRPr="009A072C">
        <w:rPr>
          <w:rFonts w:cs="Traditional Arabic" w:hint="cs"/>
          <w:color w:val="000000"/>
          <w:sz w:val="24"/>
          <w:szCs w:val="28"/>
          <w:rtl/>
        </w:rPr>
        <w:t xml:space="preserve"> وذلك بوضع نص عام يحدد البيانات الجوهرية التي تتصل بمبدأ تخصيص الرهن وتحقيق هدف الشهر</w:t>
      </w:r>
      <w:r>
        <w:rPr>
          <w:rFonts w:cs="Traditional Arabic" w:hint="cs"/>
          <w:color w:val="000000"/>
          <w:sz w:val="24"/>
          <w:szCs w:val="28"/>
          <w:rtl/>
        </w:rPr>
        <w:t xml:space="preserve"> ،</w:t>
      </w:r>
      <w:r w:rsidRPr="009A072C">
        <w:rPr>
          <w:rFonts w:cs="Traditional Arabic" w:hint="cs"/>
          <w:color w:val="000000"/>
          <w:sz w:val="24"/>
          <w:szCs w:val="28"/>
          <w:rtl/>
        </w:rPr>
        <w:t xml:space="preserve"> ويقرر بطلان القيد بحكم القانون إذا ما تخلف بيان منها أو ذكر على سبيل الخطأ</w:t>
      </w:r>
      <w:r>
        <w:rPr>
          <w:rFonts w:cs="Traditional Arabic" w:hint="cs"/>
          <w:color w:val="000000"/>
          <w:sz w:val="24"/>
          <w:szCs w:val="28"/>
          <w:rtl/>
        </w:rPr>
        <w:t xml:space="preserve"> .</w:t>
      </w:r>
      <w:r w:rsidRPr="009A072C">
        <w:rPr>
          <w:rFonts w:cs="Traditional Arabic" w:hint="cs"/>
          <w:color w:val="000000"/>
          <w:sz w:val="24"/>
          <w:szCs w:val="28"/>
          <w:rtl/>
        </w:rPr>
        <w:t xml:space="preserve"> أما البيانات الثانوية التي تتصل بالتنظيم الإداري لإجراءات الشهر</w:t>
      </w:r>
      <w:r>
        <w:rPr>
          <w:rFonts w:cs="Traditional Arabic" w:hint="cs"/>
          <w:color w:val="000000"/>
          <w:sz w:val="24"/>
          <w:szCs w:val="28"/>
          <w:rtl/>
        </w:rPr>
        <w:t xml:space="preserve"> ،</w:t>
      </w:r>
      <w:r w:rsidRPr="009A072C">
        <w:rPr>
          <w:rFonts w:cs="Traditional Arabic" w:hint="cs"/>
          <w:color w:val="000000"/>
          <w:sz w:val="24"/>
          <w:szCs w:val="28"/>
          <w:rtl/>
        </w:rPr>
        <w:t xml:space="preserve"> فلا يبطل القيد بسبب نقصها</w:t>
      </w:r>
      <w:r>
        <w:rPr>
          <w:rFonts w:cs="Traditional Arabic" w:hint="cs"/>
          <w:color w:val="000000"/>
          <w:sz w:val="24"/>
          <w:szCs w:val="28"/>
          <w:rtl/>
        </w:rPr>
        <w:t xml:space="preserve"> ،</w:t>
      </w:r>
      <w:r w:rsidRPr="009A072C">
        <w:rPr>
          <w:rFonts w:cs="Traditional Arabic" w:hint="cs"/>
          <w:color w:val="000000"/>
          <w:sz w:val="24"/>
          <w:szCs w:val="28"/>
          <w:rtl/>
        </w:rPr>
        <w:t xml:space="preserve"> إلا إذا أثبت الغير ضررا لحقه من ذلك تطبيقا للقواعد العامة في المسئولية"</w:t>
      </w:r>
      <w:r>
        <w:rPr>
          <w:rFonts w:cs="Traditional Arabic" w:hint="cs"/>
          <w:color w:val="000000"/>
          <w:sz w:val="24"/>
          <w:szCs w:val="28"/>
          <w:rtl/>
        </w:rPr>
        <w:t xml:space="preserve"> .</w:t>
      </w:r>
    </w:p>
  </w:footnote>
  <w:footnote w:id="95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وغني عن البيان أنه إذا انتقلت ملكية العقار المرهون إلى شخص آخر</w:t>
      </w:r>
      <w:r>
        <w:rPr>
          <w:rFonts w:cs="Traditional Arabic" w:hint="cs"/>
          <w:color w:val="000000"/>
          <w:sz w:val="24"/>
          <w:szCs w:val="28"/>
          <w:rtl/>
        </w:rPr>
        <w:t xml:space="preserve"> ،</w:t>
      </w:r>
      <w:r w:rsidRPr="009A072C">
        <w:rPr>
          <w:rFonts w:cs="Traditional Arabic" w:hint="cs"/>
          <w:color w:val="000000"/>
          <w:sz w:val="24"/>
          <w:szCs w:val="28"/>
          <w:rtl/>
        </w:rPr>
        <w:t xml:space="preserve"> وسجل هذا الشخص التصرف الصادر له</w:t>
      </w:r>
      <w:r>
        <w:rPr>
          <w:rFonts w:cs="Traditional Arabic" w:hint="cs"/>
          <w:color w:val="000000"/>
          <w:sz w:val="24"/>
          <w:szCs w:val="28"/>
          <w:rtl/>
        </w:rPr>
        <w:t xml:space="preserve"> ،</w:t>
      </w:r>
      <w:r w:rsidRPr="009A072C">
        <w:rPr>
          <w:rFonts w:cs="Traditional Arabic" w:hint="cs"/>
          <w:color w:val="000000"/>
          <w:sz w:val="24"/>
          <w:szCs w:val="28"/>
          <w:rtl/>
        </w:rPr>
        <w:t xml:space="preserve"> فإن هذا التسجيل يمنع قيد الرهن إذا لم يكن قيد</w:t>
      </w:r>
      <w:r>
        <w:rPr>
          <w:rFonts w:cs="Traditional Arabic" w:hint="cs"/>
          <w:color w:val="000000"/>
          <w:sz w:val="24"/>
          <w:szCs w:val="28"/>
          <w:rtl/>
        </w:rPr>
        <w:t xml:space="preserve"> .</w:t>
      </w:r>
      <w:r w:rsidRPr="009A072C">
        <w:rPr>
          <w:rFonts w:cs="Traditional Arabic" w:hint="cs"/>
          <w:color w:val="000000"/>
          <w:sz w:val="24"/>
          <w:szCs w:val="28"/>
          <w:rtl/>
        </w:rPr>
        <w:t xml:space="preserve"> وقد نص صراحة على هذا المنع المادة 6 من قانون 23 مارس سنة 1855 الفرنسي والمعدل بمرسوم بقانون صادر في 30 أكتوبر سنة 1935</w:t>
      </w:r>
      <w:r>
        <w:rPr>
          <w:rFonts w:cs="Traditional Arabic" w:hint="cs"/>
          <w:color w:val="000000"/>
          <w:sz w:val="24"/>
          <w:szCs w:val="28"/>
          <w:rtl/>
        </w:rPr>
        <w:t xml:space="preserve"> .</w:t>
      </w:r>
      <w:r w:rsidRPr="009A072C">
        <w:rPr>
          <w:rFonts w:cs="Traditional Arabic" w:hint="cs"/>
          <w:color w:val="000000"/>
          <w:sz w:val="24"/>
          <w:szCs w:val="28"/>
          <w:rtl/>
        </w:rPr>
        <w:t xml:space="preserve"> وإذا تم قيد الرهن وتسجيل التصرف الناقل للملكية في يوم واحد</w:t>
      </w:r>
      <w:r>
        <w:rPr>
          <w:rFonts w:cs="Traditional Arabic" w:hint="cs"/>
          <w:color w:val="000000"/>
          <w:sz w:val="24"/>
          <w:szCs w:val="28"/>
          <w:rtl/>
        </w:rPr>
        <w:t xml:space="preserve"> ،</w:t>
      </w:r>
      <w:r w:rsidRPr="009A072C">
        <w:rPr>
          <w:rFonts w:cs="Traditional Arabic" w:hint="cs"/>
          <w:color w:val="000000"/>
          <w:sz w:val="24"/>
          <w:szCs w:val="28"/>
          <w:rtl/>
        </w:rPr>
        <w:t xml:space="preserve"> نفذ المتقدم منهما في الترتيب</w:t>
      </w:r>
      <w:r>
        <w:rPr>
          <w:rFonts w:cs="Traditional Arabic" w:hint="cs"/>
          <w:color w:val="000000"/>
          <w:sz w:val="24"/>
          <w:szCs w:val="28"/>
          <w:rtl/>
        </w:rPr>
        <w:t xml:space="preserve"> .</w:t>
      </w:r>
      <w:r w:rsidRPr="009A072C">
        <w:rPr>
          <w:rFonts w:cs="Traditional Arabic" w:hint="cs"/>
          <w:color w:val="000000"/>
          <w:sz w:val="24"/>
          <w:szCs w:val="28"/>
          <w:rtl/>
        </w:rPr>
        <w:t xml:space="preserve"> ولم يكن ذلك سهلا عند ما كان هناك سجلان</w:t>
      </w:r>
      <w:r>
        <w:rPr>
          <w:rFonts w:cs="Traditional Arabic" w:hint="cs"/>
          <w:color w:val="000000"/>
          <w:sz w:val="24"/>
          <w:szCs w:val="28"/>
          <w:rtl/>
        </w:rPr>
        <w:t xml:space="preserve"> ،</w:t>
      </w:r>
      <w:r w:rsidRPr="009A072C">
        <w:rPr>
          <w:rFonts w:cs="Traditional Arabic" w:hint="cs"/>
          <w:color w:val="000000"/>
          <w:sz w:val="24"/>
          <w:szCs w:val="28"/>
          <w:rtl/>
        </w:rPr>
        <w:t xml:space="preserve"> واحد للتسجيل والآخر للقيد</w:t>
      </w:r>
      <w:r>
        <w:rPr>
          <w:rFonts w:cs="Traditional Arabic" w:hint="cs"/>
          <w:color w:val="000000"/>
          <w:sz w:val="24"/>
          <w:szCs w:val="28"/>
          <w:rtl/>
        </w:rPr>
        <w:t xml:space="preserve"> .</w:t>
      </w:r>
      <w:r w:rsidRPr="009A072C">
        <w:rPr>
          <w:rFonts w:cs="Traditional Arabic" w:hint="cs"/>
          <w:color w:val="000000"/>
          <w:sz w:val="24"/>
          <w:szCs w:val="28"/>
          <w:rtl/>
        </w:rPr>
        <w:t xml:space="preserve"> ولكن قانون الشهر العقاري قضى بتوحيد السجلين</w:t>
      </w:r>
      <w:r>
        <w:rPr>
          <w:rFonts w:cs="Traditional Arabic" w:hint="cs"/>
          <w:color w:val="000000"/>
          <w:sz w:val="24"/>
          <w:szCs w:val="28"/>
          <w:rtl/>
        </w:rPr>
        <w:t xml:space="preserve"> ،</w:t>
      </w:r>
      <w:r w:rsidRPr="009A072C">
        <w:rPr>
          <w:rFonts w:cs="Traditional Arabic" w:hint="cs"/>
          <w:color w:val="000000"/>
          <w:sz w:val="24"/>
          <w:szCs w:val="28"/>
          <w:rtl/>
        </w:rPr>
        <w:t xml:space="preserve"> إذ نصت المادة 31 منه على أن "يعد بالمكتب دفتر للشهر</w:t>
      </w:r>
      <w:r>
        <w:rPr>
          <w:rFonts w:cs="Traditional Arabic" w:hint="cs"/>
          <w:color w:val="000000"/>
          <w:sz w:val="24"/>
          <w:szCs w:val="28"/>
          <w:rtl/>
        </w:rPr>
        <w:t xml:space="preserve"> ،</w:t>
      </w:r>
      <w:r w:rsidRPr="009A072C">
        <w:rPr>
          <w:rFonts w:cs="Traditional Arabic" w:hint="cs"/>
          <w:color w:val="000000"/>
          <w:sz w:val="24"/>
          <w:szCs w:val="28"/>
          <w:rtl/>
        </w:rPr>
        <w:t xml:space="preserve"> تثبت فيه المحررات </w:t>
      </w:r>
      <w:r>
        <w:rPr>
          <w:rFonts w:cs="Traditional Arabic" w:hint="cs"/>
          <w:color w:val="000000"/>
          <w:sz w:val="24"/>
          <w:szCs w:val="28"/>
          <w:rtl/>
        </w:rPr>
        <w:t xml:space="preserve">( </w:t>
      </w:r>
      <w:r w:rsidRPr="009A072C">
        <w:rPr>
          <w:rFonts w:cs="Traditional Arabic" w:hint="cs"/>
          <w:color w:val="000000"/>
          <w:sz w:val="24"/>
          <w:szCs w:val="28"/>
          <w:rtl/>
        </w:rPr>
        <w:t>للتسجيل</w:t>
      </w:r>
      <w:r>
        <w:rPr>
          <w:rFonts w:cs="Traditional Arabic" w:hint="cs"/>
          <w:color w:val="000000"/>
          <w:sz w:val="24"/>
          <w:szCs w:val="28"/>
          <w:rtl/>
        </w:rPr>
        <w:t xml:space="preserve"> )</w:t>
      </w:r>
      <w:r w:rsidRPr="009A072C">
        <w:rPr>
          <w:rFonts w:cs="Traditional Arabic" w:hint="cs"/>
          <w:color w:val="000000"/>
          <w:sz w:val="24"/>
          <w:szCs w:val="28"/>
          <w:rtl/>
        </w:rPr>
        <w:t xml:space="preserve"> وقوائم القيد </w:t>
      </w:r>
      <w:r>
        <w:rPr>
          <w:rFonts w:cs="Traditional Arabic" w:hint="cs"/>
          <w:color w:val="000000"/>
          <w:sz w:val="24"/>
          <w:szCs w:val="28"/>
          <w:rtl/>
        </w:rPr>
        <w:t xml:space="preserve">( </w:t>
      </w:r>
      <w:r w:rsidRPr="009A072C">
        <w:rPr>
          <w:rFonts w:cs="Traditional Arabic" w:hint="cs"/>
          <w:color w:val="000000"/>
          <w:sz w:val="24"/>
          <w:szCs w:val="28"/>
          <w:rtl/>
        </w:rPr>
        <w:t>للقيد</w:t>
      </w:r>
      <w:r>
        <w:rPr>
          <w:rFonts w:cs="Traditional Arabic" w:hint="cs"/>
          <w:color w:val="000000"/>
          <w:sz w:val="24"/>
          <w:szCs w:val="28"/>
          <w:rtl/>
        </w:rPr>
        <w:t xml:space="preserve"> )</w:t>
      </w:r>
      <w:r w:rsidRPr="009A072C">
        <w:rPr>
          <w:rFonts w:cs="Traditional Arabic" w:hint="cs"/>
          <w:color w:val="000000"/>
          <w:sz w:val="24"/>
          <w:szCs w:val="28"/>
          <w:rtl/>
        </w:rPr>
        <w:t xml:space="preserve"> على حسب الأحوال بأرقام متتابعة</w:t>
      </w:r>
      <w:r>
        <w:rPr>
          <w:rFonts w:cs="Traditional Arabic" w:hint="cs"/>
          <w:color w:val="000000"/>
          <w:sz w:val="24"/>
          <w:szCs w:val="28"/>
          <w:rtl/>
        </w:rPr>
        <w:t xml:space="preserve"> ،</w:t>
      </w:r>
      <w:r w:rsidRPr="009A072C">
        <w:rPr>
          <w:rFonts w:cs="Traditional Arabic" w:hint="cs"/>
          <w:color w:val="000000"/>
          <w:sz w:val="24"/>
          <w:szCs w:val="28"/>
          <w:rtl/>
        </w:rPr>
        <w:t xml:space="preserve"> وفقا لتواريخ وساعات تقديمها"</w:t>
      </w:r>
      <w:r>
        <w:rPr>
          <w:rFonts w:cs="Traditional Arabic" w:hint="cs"/>
          <w:color w:val="000000"/>
          <w:sz w:val="24"/>
          <w:szCs w:val="28"/>
          <w:rtl/>
        </w:rPr>
        <w:t xml:space="preserve"> .</w:t>
      </w:r>
      <w:r w:rsidRPr="009A072C">
        <w:rPr>
          <w:rFonts w:cs="Traditional Arabic" w:hint="cs"/>
          <w:color w:val="000000"/>
          <w:sz w:val="24"/>
          <w:szCs w:val="28"/>
          <w:rtl/>
        </w:rPr>
        <w:t xml:space="preserve"> </w:t>
      </w:r>
      <w:r>
        <w:rPr>
          <w:rFonts w:cs="Traditional Arabic" w:hint="cs"/>
          <w:color w:val="000000"/>
          <w:sz w:val="24"/>
          <w:szCs w:val="28"/>
          <w:rtl/>
        </w:rPr>
        <w:t xml:space="preserve">( </w:t>
      </w:r>
      <w:r w:rsidRPr="009A072C">
        <w:rPr>
          <w:rFonts w:cs="Traditional Arabic" w:hint="cs"/>
          <w:color w:val="000000"/>
          <w:sz w:val="24"/>
          <w:szCs w:val="28"/>
          <w:rtl/>
        </w:rPr>
        <w:t>انظر في ذلك سليمان مرقس فقرة 100</w:t>
      </w:r>
      <w:r>
        <w:rPr>
          <w:rFonts w:cs="Traditional Arabic" w:hint="cs"/>
          <w:color w:val="000000"/>
          <w:sz w:val="24"/>
          <w:szCs w:val="28"/>
          <w:rtl/>
        </w:rPr>
        <w:t xml:space="preserve"> ) .</w:t>
      </w:r>
    </w:p>
  </w:footnote>
  <w:footnote w:id="95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المنشية 2 يونيه سنة 1937 المحاماة 19 رقم 128 ص 288 </w:t>
      </w:r>
      <w:r>
        <w:rPr>
          <w:rFonts w:cs="Traditional Arabic" w:hint="cs"/>
          <w:color w:val="000000"/>
          <w:sz w:val="24"/>
          <w:szCs w:val="28"/>
          <w:rtl/>
        </w:rPr>
        <w:t xml:space="preserve">( </w:t>
      </w:r>
      <w:r w:rsidRPr="009A072C">
        <w:rPr>
          <w:rFonts w:cs="Traditional Arabic" w:hint="cs"/>
          <w:color w:val="000000"/>
          <w:sz w:val="24"/>
          <w:szCs w:val="28"/>
          <w:rtl/>
        </w:rPr>
        <w:t>وقد قرر الحكم أنه إذا بيع العقار</w:t>
      </w:r>
      <w:r>
        <w:rPr>
          <w:rFonts w:cs="Traditional Arabic" w:hint="cs"/>
          <w:color w:val="000000"/>
          <w:sz w:val="24"/>
          <w:szCs w:val="28"/>
          <w:rtl/>
        </w:rPr>
        <w:t xml:space="preserve"> ،</w:t>
      </w:r>
      <w:r w:rsidRPr="009A072C">
        <w:rPr>
          <w:rFonts w:cs="Traditional Arabic" w:hint="cs"/>
          <w:color w:val="000000"/>
          <w:sz w:val="24"/>
          <w:szCs w:val="28"/>
          <w:rtl/>
        </w:rPr>
        <w:t xml:space="preserve"> وسجل عقد البيع في المدة ما بين قيد الرهن وتجديده</w:t>
      </w:r>
      <w:r>
        <w:rPr>
          <w:rFonts w:cs="Traditional Arabic" w:hint="cs"/>
          <w:color w:val="000000"/>
          <w:sz w:val="24"/>
          <w:szCs w:val="28"/>
          <w:rtl/>
        </w:rPr>
        <w:t xml:space="preserve"> ،</w:t>
      </w:r>
      <w:r w:rsidRPr="009A072C">
        <w:rPr>
          <w:rFonts w:cs="Traditional Arabic" w:hint="cs"/>
          <w:color w:val="000000"/>
          <w:sz w:val="24"/>
          <w:szCs w:val="28"/>
          <w:rtl/>
        </w:rPr>
        <w:t xml:space="preserve"> وكان التجديد ليم يحصل إلا بعد انقضاء عشر سنوات من القيد الأول</w:t>
      </w:r>
      <w:r>
        <w:rPr>
          <w:rFonts w:cs="Traditional Arabic" w:hint="cs"/>
          <w:color w:val="000000"/>
          <w:sz w:val="24"/>
          <w:szCs w:val="28"/>
          <w:rtl/>
        </w:rPr>
        <w:t xml:space="preserve"> ،</w:t>
      </w:r>
      <w:r w:rsidRPr="009A072C">
        <w:rPr>
          <w:rFonts w:cs="Traditional Arabic" w:hint="cs"/>
          <w:color w:val="000000"/>
          <w:sz w:val="24"/>
          <w:szCs w:val="28"/>
          <w:rtl/>
        </w:rPr>
        <w:t xml:space="preserve"> لم يحتج بقيد الرهن على المشتري</w:t>
      </w:r>
      <w:r>
        <w:rPr>
          <w:rFonts w:cs="Traditional Arabic" w:hint="cs"/>
          <w:color w:val="000000"/>
          <w:sz w:val="24"/>
          <w:szCs w:val="28"/>
          <w:rtl/>
        </w:rPr>
        <w:t xml:space="preserve"> ) .</w:t>
      </w:r>
    </w:p>
  </w:footnote>
  <w:footnote w:id="95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105</w:t>
      </w:r>
      <w:r>
        <w:rPr>
          <w:rFonts w:cs="Traditional Arabic" w:hint="cs"/>
          <w:color w:val="000000"/>
          <w:sz w:val="24"/>
          <w:szCs w:val="28"/>
          <w:rtl/>
        </w:rPr>
        <w:t xml:space="preserve"> .</w:t>
      </w:r>
    </w:p>
  </w:footnote>
  <w:footnote w:id="95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2 فقرة 3777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105 ص 171</w:t>
      </w:r>
      <w:r>
        <w:rPr>
          <w:rFonts w:cs="Traditional Arabic" w:hint="cs"/>
          <w:color w:val="000000"/>
          <w:sz w:val="24"/>
          <w:szCs w:val="28"/>
          <w:rtl/>
        </w:rPr>
        <w:t xml:space="preserve"> .</w:t>
      </w:r>
    </w:p>
  </w:footnote>
  <w:footnote w:id="95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4 مايو سنة </w:t>
      </w:r>
      <w:smartTag w:uri="urn:schemas-microsoft-com:office:smarttags" w:element="metricconverter">
        <w:smartTagPr>
          <w:attr w:name="ProductID" w:val="1938 م"/>
        </w:smartTagPr>
        <w:r w:rsidRPr="009A072C">
          <w:rPr>
            <w:rFonts w:cs="Traditional Arabic" w:hint="cs"/>
            <w:color w:val="000000"/>
            <w:sz w:val="24"/>
            <w:szCs w:val="28"/>
            <w:rtl/>
          </w:rPr>
          <w:t>1938 م</w:t>
        </w:r>
      </w:smartTag>
      <w:r w:rsidRPr="009A072C">
        <w:rPr>
          <w:rFonts w:cs="Traditional Arabic" w:hint="cs"/>
          <w:color w:val="000000"/>
          <w:sz w:val="24"/>
          <w:szCs w:val="28"/>
          <w:rtl/>
        </w:rPr>
        <w:t xml:space="preserve"> 50 ص 281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102 ص 165 </w:t>
      </w:r>
      <w:r w:rsidRPr="009A072C">
        <w:rPr>
          <w:rFonts w:cs="Traditional Arabic"/>
          <w:color w:val="000000"/>
          <w:sz w:val="24"/>
          <w:szCs w:val="28"/>
          <w:rtl/>
        </w:rPr>
        <w:t>–</w:t>
      </w:r>
      <w:r w:rsidRPr="009A072C">
        <w:rPr>
          <w:rFonts w:cs="Traditional Arabic" w:hint="cs"/>
          <w:color w:val="000000"/>
          <w:sz w:val="24"/>
          <w:szCs w:val="28"/>
          <w:rtl/>
        </w:rPr>
        <w:t xml:space="preserve"> ص 166</w:t>
      </w:r>
      <w:r>
        <w:rPr>
          <w:rFonts w:cs="Traditional Arabic" w:hint="cs"/>
          <w:color w:val="000000"/>
          <w:sz w:val="24"/>
          <w:szCs w:val="28"/>
          <w:rtl/>
        </w:rPr>
        <w:t xml:space="preserve"> .</w:t>
      </w:r>
    </w:p>
  </w:footnote>
  <w:footnote w:id="95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644</w:t>
      </w:r>
      <w:r>
        <w:rPr>
          <w:rFonts w:cs="Traditional Arabic" w:hint="cs"/>
          <w:color w:val="000000"/>
          <w:sz w:val="24"/>
          <w:szCs w:val="28"/>
          <w:rtl/>
        </w:rPr>
        <w:t xml:space="preserve"> .</w:t>
      </w:r>
    </w:p>
  </w:footnote>
  <w:footnote w:id="95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7 أبريل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258 </w:t>
      </w:r>
      <w:r w:rsidRPr="009A072C">
        <w:rPr>
          <w:rFonts w:cs="Traditional Arabic"/>
          <w:color w:val="000000"/>
          <w:sz w:val="24"/>
          <w:szCs w:val="28"/>
          <w:rtl/>
        </w:rPr>
        <w:t>–</w:t>
      </w:r>
      <w:r w:rsidRPr="009A072C">
        <w:rPr>
          <w:rFonts w:cs="Traditional Arabic" w:hint="cs"/>
          <w:color w:val="000000"/>
          <w:sz w:val="24"/>
          <w:szCs w:val="28"/>
          <w:rtl/>
        </w:rPr>
        <w:t xml:space="preserve"> 18 فبراير سنة </w:t>
      </w:r>
      <w:smartTag w:uri="urn:schemas-microsoft-com:office:smarttags" w:element="metricconverter">
        <w:smartTagPr>
          <w:attr w:name="ProductID" w:val="1948 م"/>
        </w:smartTagPr>
        <w:r w:rsidRPr="009A072C">
          <w:rPr>
            <w:rFonts w:cs="Traditional Arabic" w:hint="cs"/>
            <w:color w:val="000000"/>
            <w:sz w:val="24"/>
            <w:szCs w:val="28"/>
            <w:rtl/>
          </w:rPr>
          <w:t>1948 م</w:t>
        </w:r>
      </w:smartTag>
      <w:r w:rsidRPr="009A072C">
        <w:rPr>
          <w:rFonts w:cs="Traditional Arabic" w:hint="cs"/>
          <w:color w:val="000000"/>
          <w:sz w:val="24"/>
          <w:szCs w:val="28"/>
          <w:rtl/>
        </w:rPr>
        <w:t xml:space="preserve"> 60 ص 60</w:t>
      </w:r>
      <w:r>
        <w:rPr>
          <w:rFonts w:cs="Traditional Arabic" w:hint="cs"/>
          <w:color w:val="000000"/>
          <w:sz w:val="24"/>
          <w:szCs w:val="28"/>
          <w:rtl/>
        </w:rPr>
        <w:t xml:space="preserve"> .</w:t>
      </w:r>
    </w:p>
  </w:footnote>
  <w:footnote w:id="96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أسيوط الابتدائية 10 فبراير سنة 1925 المحاماة 5 رقم 439 ص 531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3773</w:t>
      </w:r>
      <w:r>
        <w:rPr>
          <w:rFonts w:cs="Traditional Arabic" w:hint="cs"/>
          <w:color w:val="000000"/>
          <w:sz w:val="24"/>
          <w:szCs w:val="28"/>
          <w:rtl/>
        </w:rPr>
        <w:t xml:space="preserve"> .</w:t>
      </w:r>
    </w:p>
  </w:footnote>
  <w:footnote w:id="96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فقرة 247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101 ص 164 </w:t>
      </w:r>
      <w:r w:rsidRPr="009A072C">
        <w:rPr>
          <w:rFonts w:cs="Traditional Arabic"/>
          <w:color w:val="000000"/>
          <w:sz w:val="24"/>
          <w:szCs w:val="28"/>
          <w:rtl/>
        </w:rPr>
        <w:t>–</w:t>
      </w:r>
      <w:r w:rsidRPr="009A072C">
        <w:rPr>
          <w:rFonts w:cs="Traditional Arabic" w:hint="cs"/>
          <w:color w:val="000000"/>
          <w:sz w:val="24"/>
          <w:szCs w:val="28"/>
          <w:rtl/>
        </w:rPr>
        <w:t xml:space="preserve"> وقارن شفيق شحاته فقرة 236</w:t>
      </w:r>
      <w:r>
        <w:rPr>
          <w:rFonts w:cs="Traditional Arabic" w:hint="cs"/>
          <w:color w:val="000000"/>
          <w:sz w:val="24"/>
          <w:szCs w:val="28"/>
          <w:rtl/>
        </w:rPr>
        <w:t xml:space="preserve"> .</w:t>
      </w:r>
    </w:p>
  </w:footnote>
  <w:footnote w:id="96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91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102</w:t>
      </w:r>
      <w:r>
        <w:rPr>
          <w:rFonts w:cs="Traditional Arabic" w:hint="cs"/>
          <w:color w:val="000000"/>
          <w:sz w:val="24"/>
          <w:szCs w:val="28"/>
          <w:rtl/>
        </w:rPr>
        <w:t xml:space="preserve"> .</w:t>
      </w:r>
    </w:p>
  </w:footnote>
  <w:footnote w:id="96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91 ص 147 </w:t>
      </w:r>
      <w:r w:rsidRPr="009A072C">
        <w:rPr>
          <w:rFonts w:cs="Traditional Arabic"/>
          <w:color w:val="000000"/>
          <w:sz w:val="24"/>
          <w:szCs w:val="28"/>
          <w:rtl/>
        </w:rPr>
        <w:t>–</w:t>
      </w:r>
      <w:r w:rsidRPr="009A072C">
        <w:rPr>
          <w:rFonts w:cs="Traditional Arabic" w:hint="cs"/>
          <w:color w:val="000000"/>
          <w:sz w:val="24"/>
          <w:szCs w:val="28"/>
          <w:rtl/>
        </w:rPr>
        <w:t xml:space="preserve"> ص 148 </w:t>
      </w:r>
      <w:r w:rsidRPr="009A072C">
        <w:rPr>
          <w:rFonts w:cs="Traditional Arabic"/>
          <w:color w:val="000000"/>
          <w:sz w:val="24"/>
          <w:szCs w:val="28"/>
          <w:rtl/>
        </w:rPr>
        <w:t>–</w:t>
      </w:r>
      <w:r w:rsidRPr="009A072C">
        <w:rPr>
          <w:rFonts w:cs="Traditional Arabic" w:hint="cs"/>
          <w:color w:val="000000"/>
          <w:sz w:val="24"/>
          <w:szCs w:val="28"/>
          <w:rtl/>
        </w:rPr>
        <w:t xml:space="preserve"> شفيق شحاته فقرة 234 </w:t>
      </w:r>
      <w:r w:rsidRPr="009A072C">
        <w:rPr>
          <w:rFonts w:cs="Traditional Arabic"/>
          <w:color w:val="000000"/>
          <w:sz w:val="24"/>
          <w:szCs w:val="28"/>
          <w:rtl/>
        </w:rPr>
        <w:t>–</w:t>
      </w:r>
      <w:r w:rsidRPr="009A072C">
        <w:rPr>
          <w:rFonts w:cs="Traditional Arabic" w:hint="cs"/>
          <w:color w:val="000000"/>
          <w:sz w:val="24"/>
          <w:szCs w:val="28"/>
          <w:rtl/>
        </w:rPr>
        <w:t xml:space="preserve"> محمد علي إمام فقرة 196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103 </w:t>
      </w:r>
      <w:r w:rsidRPr="009A072C">
        <w:rPr>
          <w:rFonts w:cs="Traditional Arabic"/>
          <w:color w:val="000000"/>
          <w:sz w:val="24"/>
          <w:szCs w:val="28"/>
          <w:rtl/>
        </w:rPr>
        <w:t>–</w:t>
      </w:r>
      <w:r w:rsidRPr="009A072C">
        <w:rPr>
          <w:rFonts w:cs="Traditional Arabic" w:hint="cs"/>
          <w:color w:val="000000"/>
          <w:sz w:val="24"/>
          <w:szCs w:val="28"/>
          <w:rtl/>
        </w:rPr>
        <w:t xml:space="preserve"> ويقول الأستاذ سليمان مرقس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"أما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فقد نظم الإعسار بما يكفل المساواة فعلا بين الدائنين</w:t>
      </w:r>
      <w:r>
        <w:rPr>
          <w:rFonts w:cs="Traditional Arabic" w:hint="cs"/>
          <w:color w:val="000000"/>
          <w:sz w:val="24"/>
          <w:szCs w:val="28"/>
          <w:rtl/>
        </w:rPr>
        <w:t xml:space="preserve"> .</w:t>
      </w:r>
      <w:r w:rsidRPr="009A072C">
        <w:rPr>
          <w:rFonts w:cs="Traditional Arabic" w:hint="cs"/>
          <w:color w:val="000000"/>
          <w:sz w:val="24"/>
          <w:szCs w:val="28"/>
          <w:rtl/>
        </w:rPr>
        <w:t xml:space="preserve"> فنص في المادة 257 منه أنه متى سجلت صحيفة دعوى الإعسار فلا يسري في حق الدائنين أي تصرف للمدين يكون من شأنه أن ينقص من حقوقه أو يزيد في التزاماتهن كما لا يسري في حقهم أي وفاء يقوم به المدين</w:t>
      </w:r>
      <w:r>
        <w:rPr>
          <w:rFonts w:cs="Traditional Arabic" w:hint="cs"/>
          <w:color w:val="000000"/>
          <w:sz w:val="24"/>
          <w:szCs w:val="28"/>
          <w:rtl/>
        </w:rPr>
        <w:t xml:space="preserve"> .</w:t>
      </w:r>
      <w:r w:rsidRPr="009A072C">
        <w:rPr>
          <w:rFonts w:cs="Traditional Arabic" w:hint="cs"/>
          <w:color w:val="000000"/>
          <w:sz w:val="24"/>
          <w:szCs w:val="28"/>
          <w:rtl/>
        </w:rPr>
        <w:t xml:space="preserve"> ونص في المادة 256 فقرة ثانية على أنه لا يجوز أن يحتج على الدائنين الذين يكون لهم حقوق سابقة على تسجيل صحيفة دعوى الإعسار بأي اختصاص يقع على عقارات المدين بعد هذا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ويؤخذ من هذا النص أن كل تصرف يصدر من المدين بعد تسجيل صحيفة دعوى الإعسار ويكون من شأنه تسوئ حالة المدين</w:t>
      </w:r>
      <w:r>
        <w:rPr>
          <w:rFonts w:cs="Traditional Arabic" w:hint="cs"/>
          <w:color w:val="000000"/>
          <w:sz w:val="24"/>
          <w:szCs w:val="28"/>
          <w:rtl/>
        </w:rPr>
        <w:t xml:space="preserve"> ،</w:t>
      </w:r>
      <w:r w:rsidRPr="009A072C">
        <w:rPr>
          <w:rFonts w:cs="Traditional Arabic" w:hint="cs"/>
          <w:color w:val="000000"/>
          <w:sz w:val="24"/>
          <w:szCs w:val="28"/>
          <w:rtl/>
        </w:rPr>
        <w:t xml:space="preserve"> وكل اختصاص يؤخذ على عقارات المدين</w:t>
      </w:r>
      <w:r>
        <w:rPr>
          <w:rFonts w:cs="Traditional Arabic" w:hint="cs"/>
          <w:color w:val="000000"/>
          <w:sz w:val="24"/>
          <w:szCs w:val="28"/>
          <w:rtl/>
        </w:rPr>
        <w:t xml:space="preserve"> ،</w:t>
      </w:r>
      <w:r w:rsidRPr="009A072C">
        <w:rPr>
          <w:rFonts w:cs="Traditional Arabic" w:hint="cs"/>
          <w:color w:val="000000"/>
          <w:sz w:val="24"/>
          <w:szCs w:val="28"/>
          <w:rtl/>
        </w:rPr>
        <w:t xml:space="preserve"> بعد تسجيل صحيفة دعوى الإعسار</w:t>
      </w:r>
      <w:r>
        <w:rPr>
          <w:rFonts w:cs="Traditional Arabic" w:hint="cs"/>
          <w:color w:val="000000"/>
          <w:sz w:val="24"/>
          <w:szCs w:val="28"/>
          <w:rtl/>
        </w:rPr>
        <w:t xml:space="preserve"> ،</w:t>
      </w:r>
      <w:r w:rsidRPr="009A072C">
        <w:rPr>
          <w:rFonts w:cs="Traditional Arabic" w:hint="cs"/>
          <w:color w:val="000000"/>
          <w:sz w:val="24"/>
          <w:szCs w:val="28"/>
          <w:rtl/>
        </w:rPr>
        <w:t xml:space="preserve"> لا يكون نافذ في حق دائنيه الذين كانت لهم حقوق سابقة على تسجيل صحيفة دعوى الإعسار</w:t>
      </w:r>
      <w:r>
        <w:rPr>
          <w:rFonts w:cs="Traditional Arabic" w:hint="cs"/>
          <w:color w:val="000000"/>
          <w:sz w:val="24"/>
          <w:szCs w:val="28"/>
          <w:rtl/>
        </w:rPr>
        <w:t xml:space="preserve"> .</w:t>
      </w:r>
      <w:r w:rsidRPr="009A072C">
        <w:rPr>
          <w:rFonts w:cs="Traditional Arabic" w:hint="cs"/>
          <w:color w:val="000000"/>
          <w:sz w:val="24"/>
          <w:szCs w:val="28"/>
          <w:rtl/>
        </w:rPr>
        <w:t xml:space="preserve"> ولأن الرهن لا يختلف عن الاختصاص</w:t>
      </w:r>
      <w:r>
        <w:rPr>
          <w:rFonts w:cs="Traditional Arabic" w:hint="cs"/>
          <w:color w:val="000000"/>
          <w:sz w:val="24"/>
          <w:szCs w:val="28"/>
          <w:rtl/>
        </w:rPr>
        <w:t xml:space="preserve"> ،</w:t>
      </w:r>
      <w:r w:rsidRPr="009A072C">
        <w:rPr>
          <w:rFonts w:cs="Traditional Arabic" w:hint="cs"/>
          <w:color w:val="000000"/>
          <w:sz w:val="24"/>
          <w:szCs w:val="28"/>
          <w:rtl/>
        </w:rPr>
        <w:t xml:space="preserve"> يمكن القول إن قيد الرهن بعد تسجيل صحيفة دعوى الإعسار لا ينفذ في حق الدائنين الذين ترجع حقوقهم إلى ما قبل ذلك التسجيل" </w:t>
      </w:r>
      <w:r>
        <w:rPr>
          <w:rFonts w:cs="Traditional Arabic" w:hint="cs"/>
          <w:color w:val="000000"/>
          <w:sz w:val="24"/>
          <w:szCs w:val="28"/>
          <w:rtl/>
        </w:rPr>
        <w:t xml:space="preserve">( </w:t>
      </w:r>
      <w:r w:rsidRPr="009A072C">
        <w:rPr>
          <w:rFonts w:cs="Traditional Arabic" w:hint="cs"/>
          <w:color w:val="000000"/>
          <w:sz w:val="24"/>
          <w:szCs w:val="28"/>
          <w:rtl/>
        </w:rPr>
        <w:t>سليمان مرقس فقرة 103 ص 167</w:t>
      </w:r>
      <w:r>
        <w:rPr>
          <w:rFonts w:cs="Traditional Arabic" w:hint="cs"/>
          <w:color w:val="000000"/>
          <w:sz w:val="24"/>
          <w:szCs w:val="28"/>
          <w:rtl/>
        </w:rPr>
        <w:t xml:space="preserve"> ) .</w:t>
      </w:r>
    </w:p>
  </w:footnote>
  <w:footnote w:id="96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فقرة 247 </w:t>
      </w:r>
      <w:r w:rsidRPr="009A072C">
        <w:rPr>
          <w:rFonts w:cs="Traditional Arabic"/>
          <w:color w:val="000000"/>
          <w:sz w:val="24"/>
          <w:szCs w:val="28"/>
          <w:rtl/>
        </w:rPr>
        <w:t>–</w:t>
      </w:r>
      <w:r w:rsidRPr="009A072C">
        <w:rPr>
          <w:rFonts w:cs="Traditional Arabic" w:hint="cs"/>
          <w:color w:val="000000"/>
          <w:sz w:val="24"/>
          <w:szCs w:val="28"/>
          <w:rtl/>
        </w:rPr>
        <w:t xml:space="preserve"> جمال الدين زكي ص 278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68 </w:t>
      </w:r>
      <w:r w:rsidRPr="009A072C">
        <w:rPr>
          <w:rFonts w:cs="Traditional Arabic"/>
          <w:color w:val="000000"/>
          <w:sz w:val="24"/>
          <w:szCs w:val="28"/>
          <w:rtl/>
        </w:rPr>
        <w:t>–</w:t>
      </w:r>
      <w:r w:rsidRPr="009A072C">
        <w:rPr>
          <w:rFonts w:cs="Traditional Arabic" w:hint="cs"/>
          <w:color w:val="000000"/>
          <w:sz w:val="24"/>
          <w:szCs w:val="28"/>
          <w:rtl/>
        </w:rPr>
        <w:t xml:space="preserve"> ص 220 </w:t>
      </w:r>
      <w:r w:rsidRPr="009A072C">
        <w:rPr>
          <w:rFonts w:cs="Traditional Arabic"/>
          <w:color w:val="000000"/>
          <w:sz w:val="24"/>
          <w:szCs w:val="28"/>
          <w:rtl/>
        </w:rPr>
        <w:t>–</w:t>
      </w:r>
      <w:r w:rsidRPr="009A072C">
        <w:rPr>
          <w:rFonts w:cs="Traditional Arabic" w:hint="cs"/>
          <w:color w:val="000000"/>
          <w:sz w:val="24"/>
          <w:szCs w:val="28"/>
          <w:rtl/>
        </w:rPr>
        <w:t xml:space="preserve"> ص 22 </w:t>
      </w:r>
      <w:r w:rsidRPr="009A072C">
        <w:rPr>
          <w:rFonts w:cs="Traditional Arabic"/>
          <w:color w:val="000000"/>
          <w:sz w:val="24"/>
          <w:szCs w:val="28"/>
          <w:rtl/>
        </w:rPr>
        <w:t>–</w:t>
      </w:r>
      <w:r w:rsidRPr="009A072C">
        <w:rPr>
          <w:rFonts w:cs="Traditional Arabic" w:hint="cs"/>
          <w:color w:val="000000"/>
          <w:sz w:val="24"/>
          <w:szCs w:val="28"/>
          <w:rtl/>
        </w:rPr>
        <w:t xml:space="preserve"> عبد المنعم فرج الصدة فقرة 109 ص 148 </w:t>
      </w:r>
      <w:r w:rsidRPr="009A072C">
        <w:rPr>
          <w:rFonts w:cs="Traditional Arabic"/>
          <w:color w:val="000000"/>
          <w:sz w:val="24"/>
          <w:szCs w:val="28"/>
          <w:rtl/>
        </w:rPr>
        <w:t>–</w:t>
      </w:r>
      <w:r w:rsidRPr="009A072C">
        <w:rPr>
          <w:rFonts w:cs="Traditional Arabic" w:hint="cs"/>
          <w:color w:val="000000"/>
          <w:sz w:val="24"/>
          <w:szCs w:val="28"/>
          <w:rtl/>
        </w:rPr>
        <w:t xml:space="preserve"> أحمد سلامة فقرة 82 ص278 </w:t>
      </w:r>
      <w:r w:rsidRPr="009A072C">
        <w:rPr>
          <w:rFonts w:cs="Traditional Arabic"/>
          <w:color w:val="000000"/>
          <w:sz w:val="24"/>
          <w:szCs w:val="28"/>
          <w:rtl/>
        </w:rPr>
        <w:t>–</w:t>
      </w:r>
      <w:r w:rsidRPr="009A072C">
        <w:rPr>
          <w:rFonts w:cs="Traditional Arabic" w:hint="cs"/>
          <w:color w:val="000000"/>
          <w:sz w:val="24"/>
          <w:szCs w:val="28"/>
          <w:rtl/>
        </w:rPr>
        <w:t xml:space="preserve"> ص 279 </w:t>
      </w:r>
      <w:r w:rsidRPr="009A072C">
        <w:rPr>
          <w:rFonts w:cs="Traditional Arabic"/>
          <w:color w:val="000000"/>
          <w:sz w:val="24"/>
          <w:szCs w:val="28"/>
          <w:rtl/>
        </w:rPr>
        <w:t>–</w:t>
      </w:r>
      <w:r w:rsidRPr="009A072C">
        <w:rPr>
          <w:rFonts w:cs="Traditional Arabic" w:hint="cs"/>
          <w:color w:val="000000"/>
          <w:sz w:val="24"/>
          <w:szCs w:val="28"/>
          <w:rtl/>
        </w:rPr>
        <w:t xml:space="preserve"> منصور مصطفى منصور فقرة 49 ص 108 </w:t>
      </w:r>
      <w:r w:rsidRPr="009A072C">
        <w:rPr>
          <w:rFonts w:cs="Traditional Arabic"/>
          <w:color w:val="000000"/>
          <w:sz w:val="24"/>
          <w:szCs w:val="28"/>
          <w:rtl/>
        </w:rPr>
        <w:t>–</w:t>
      </w:r>
      <w:r w:rsidRPr="009A072C">
        <w:rPr>
          <w:rFonts w:cs="Traditional Arabic" w:hint="cs"/>
          <w:color w:val="000000"/>
          <w:sz w:val="24"/>
          <w:szCs w:val="28"/>
          <w:rtl/>
        </w:rPr>
        <w:t xml:space="preserve"> ص 109</w:t>
      </w:r>
      <w:r>
        <w:rPr>
          <w:rFonts w:cs="Traditional Arabic" w:hint="cs"/>
          <w:color w:val="000000"/>
          <w:sz w:val="24"/>
          <w:szCs w:val="28"/>
          <w:rtl/>
        </w:rPr>
        <w:t xml:space="preserve"> .</w:t>
      </w:r>
    </w:p>
  </w:footnote>
  <w:footnote w:id="96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منصور مصطفى منصور فقرة 49 ص 108 </w:t>
      </w:r>
      <w:r w:rsidRPr="009A072C">
        <w:rPr>
          <w:rFonts w:cs="Traditional Arabic"/>
          <w:color w:val="000000"/>
          <w:sz w:val="24"/>
          <w:szCs w:val="28"/>
          <w:rtl/>
        </w:rPr>
        <w:t>–</w:t>
      </w:r>
      <w:r w:rsidRPr="009A072C">
        <w:rPr>
          <w:rFonts w:cs="Traditional Arabic" w:hint="cs"/>
          <w:color w:val="000000"/>
          <w:sz w:val="24"/>
          <w:szCs w:val="28"/>
          <w:rtl/>
        </w:rPr>
        <w:t xml:space="preserve"> ص 109</w:t>
      </w:r>
      <w:r>
        <w:rPr>
          <w:rFonts w:cs="Traditional Arabic" w:hint="cs"/>
          <w:color w:val="000000"/>
          <w:sz w:val="24"/>
          <w:szCs w:val="28"/>
          <w:rtl/>
        </w:rPr>
        <w:t xml:space="preserve"> .</w:t>
      </w:r>
    </w:p>
  </w:footnote>
  <w:footnote w:id="96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91 ص 148 </w:t>
      </w:r>
      <w:r w:rsidRPr="009A072C">
        <w:rPr>
          <w:rFonts w:cs="Traditional Arabic"/>
          <w:color w:val="000000"/>
          <w:sz w:val="24"/>
          <w:szCs w:val="28"/>
          <w:rtl/>
        </w:rPr>
        <w:t>–</w:t>
      </w:r>
      <w:r w:rsidRPr="009A072C">
        <w:rPr>
          <w:rFonts w:cs="Traditional Arabic" w:hint="cs"/>
          <w:color w:val="000000"/>
          <w:sz w:val="24"/>
          <w:szCs w:val="28"/>
          <w:rtl/>
        </w:rPr>
        <w:t xml:space="preserve"> ص 149 </w:t>
      </w:r>
      <w:r w:rsidRPr="009A072C">
        <w:rPr>
          <w:rFonts w:cs="Traditional Arabic"/>
          <w:color w:val="000000"/>
          <w:sz w:val="24"/>
          <w:szCs w:val="28"/>
          <w:rtl/>
        </w:rPr>
        <w:t>–</w:t>
      </w:r>
      <w:r w:rsidRPr="009A072C">
        <w:rPr>
          <w:rFonts w:cs="Traditional Arabic" w:hint="cs"/>
          <w:color w:val="000000"/>
          <w:sz w:val="24"/>
          <w:szCs w:val="28"/>
          <w:rtl/>
        </w:rPr>
        <w:t xml:space="preserve"> شفيق شحاته فقرة 235 </w:t>
      </w:r>
      <w:r w:rsidRPr="009A072C">
        <w:rPr>
          <w:rFonts w:cs="Traditional Arabic"/>
          <w:color w:val="000000"/>
          <w:sz w:val="24"/>
          <w:szCs w:val="28"/>
          <w:rtl/>
        </w:rPr>
        <w:t>–</w:t>
      </w:r>
      <w:r w:rsidRPr="009A072C">
        <w:rPr>
          <w:rFonts w:cs="Traditional Arabic" w:hint="cs"/>
          <w:color w:val="000000"/>
          <w:sz w:val="24"/>
          <w:szCs w:val="28"/>
          <w:rtl/>
        </w:rPr>
        <w:t xml:space="preserve"> محمد علي إمام فقرة 196 </w:t>
      </w:r>
      <w:r w:rsidRPr="009A072C">
        <w:rPr>
          <w:rFonts w:cs="Traditional Arabic"/>
          <w:color w:val="000000"/>
          <w:sz w:val="24"/>
          <w:szCs w:val="28"/>
          <w:rtl/>
        </w:rPr>
        <w:t>–</w:t>
      </w:r>
      <w:r w:rsidRPr="009A072C">
        <w:rPr>
          <w:rFonts w:cs="Traditional Arabic" w:hint="cs"/>
          <w:color w:val="000000"/>
          <w:sz w:val="24"/>
          <w:szCs w:val="28"/>
          <w:rtl/>
        </w:rPr>
        <w:t xml:space="preserve"> جمال الدين زكي ص 280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104 </w:t>
      </w:r>
      <w:r w:rsidRPr="009A072C">
        <w:rPr>
          <w:rFonts w:cs="Traditional Arabic"/>
          <w:color w:val="000000"/>
          <w:sz w:val="24"/>
          <w:szCs w:val="28"/>
          <w:rtl/>
        </w:rPr>
        <w:t>–</w:t>
      </w:r>
      <w:r w:rsidRPr="009A072C">
        <w:rPr>
          <w:rFonts w:cs="Traditional Arabic" w:hint="cs"/>
          <w:color w:val="000000"/>
          <w:sz w:val="24"/>
          <w:szCs w:val="28"/>
          <w:rtl/>
        </w:rPr>
        <w:t xml:space="preserve"> ص 168</w:t>
      </w:r>
      <w:r>
        <w:rPr>
          <w:rFonts w:cs="Traditional Arabic" w:hint="cs"/>
          <w:color w:val="000000"/>
          <w:sz w:val="24"/>
          <w:szCs w:val="28"/>
          <w:rtl/>
        </w:rPr>
        <w:t xml:space="preserve"> .</w:t>
      </w:r>
      <w:r w:rsidRPr="009A072C">
        <w:rPr>
          <w:rFonts w:cs="Traditional Arabic" w:hint="cs"/>
          <w:color w:val="000000"/>
          <w:sz w:val="24"/>
          <w:szCs w:val="28"/>
          <w:rtl/>
        </w:rPr>
        <w:t xml:space="preserve"> ويقول الأستاذ سليمان مرقس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"أما الرهن الذي لم يتم قيده قبل وفاة الراهن</w:t>
      </w:r>
      <w:r>
        <w:rPr>
          <w:rFonts w:cs="Traditional Arabic" w:hint="cs"/>
          <w:color w:val="000000"/>
          <w:sz w:val="24"/>
          <w:szCs w:val="28"/>
          <w:rtl/>
        </w:rPr>
        <w:t xml:space="preserve"> ،</w:t>
      </w:r>
      <w:r w:rsidRPr="009A072C">
        <w:rPr>
          <w:rFonts w:cs="Traditional Arabic" w:hint="cs"/>
          <w:color w:val="000000"/>
          <w:sz w:val="24"/>
          <w:szCs w:val="28"/>
          <w:rtl/>
        </w:rPr>
        <w:t xml:space="preserve"> فإنه لا يكون نافذا في حق الدائنين الآخرين </w:t>
      </w:r>
      <w:r>
        <w:rPr>
          <w:rFonts w:cs="Traditional Arabic" w:hint="cs"/>
          <w:color w:val="000000"/>
          <w:sz w:val="24"/>
          <w:szCs w:val="28"/>
          <w:rtl/>
        </w:rPr>
        <w:t xml:space="preserve"> . .</w:t>
      </w:r>
      <w:r w:rsidRPr="009A072C">
        <w:rPr>
          <w:rFonts w:cs="Traditional Arabic" w:hint="cs"/>
          <w:color w:val="000000"/>
          <w:sz w:val="24"/>
          <w:szCs w:val="28"/>
          <w:rtl/>
        </w:rPr>
        <w:t xml:space="preserve"> ومن المبادئ المقررة أن دائنين المتوفى العاديين يتساوون جميعا ولا يمتاز أحدهم على الآخرين بسبب لاحق للوفاة</w:t>
      </w:r>
      <w:r>
        <w:rPr>
          <w:rFonts w:cs="Traditional Arabic" w:hint="cs"/>
          <w:color w:val="000000"/>
          <w:sz w:val="24"/>
          <w:szCs w:val="28"/>
          <w:rtl/>
        </w:rPr>
        <w:t xml:space="preserve"> ،</w:t>
      </w:r>
      <w:r w:rsidRPr="009A072C">
        <w:rPr>
          <w:rFonts w:cs="Traditional Arabic" w:hint="cs"/>
          <w:color w:val="000000"/>
          <w:sz w:val="24"/>
          <w:szCs w:val="28"/>
          <w:rtl/>
        </w:rPr>
        <w:t xml:space="preserve"> فإذا قيد الرهن بعد الوفاة فإنه لا يكون نافذا في حق الدائنين الآخرين ولا يخول صاحبه حق التقدم عليهم</w:t>
      </w:r>
      <w:r>
        <w:rPr>
          <w:rFonts w:cs="Traditional Arabic" w:hint="cs"/>
          <w:color w:val="000000"/>
          <w:sz w:val="24"/>
          <w:szCs w:val="28"/>
          <w:rtl/>
        </w:rPr>
        <w:t xml:space="preserve"> .</w:t>
      </w:r>
      <w:r w:rsidRPr="009A072C">
        <w:rPr>
          <w:rFonts w:cs="Traditional Arabic" w:hint="cs"/>
          <w:color w:val="000000"/>
          <w:sz w:val="24"/>
          <w:szCs w:val="28"/>
          <w:rtl/>
        </w:rPr>
        <w:t xml:space="preserve"> غير أنه مع ذلك كان لإجراء القيد بعد وفاة الراهن فائدة في إحاطة الغير الذي يريدون التعامل مع الوارث عليما بمديونية المورث </w:t>
      </w:r>
      <w:r>
        <w:rPr>
          <w:rFonts w:cs="Traditional Arabic" w:hint="cs"/>
          <w:color w:val="000000"/>
          <w:sz w:val="24"/>
          <w:szCs w:val="28"/>
          <w:rtl/>
        </w:rPr>
        <w:t xml:space="preserve"> . . .</w:t>
      </w:r>
      <w:r w:rsidRPr="009A072C">
        <w:rPr>
          <w:rFonts w:cs="Traditional Arabic" w:hint="cs"/>
          <w:color w:val="000000"/>
          <w:sz w:val="24"/>
          <w:szCs w:val="28"/>
          <w:rtl/>
        </w:rPr>
        <w:t xml:space="preserve"> أي أن القيد كان فيد في جعل الغير سيء النية</w:t>
      </w:r>
      <w:r>
        <w:rPr>
          <w:rFonts w:cs="Traditional Arabic" w:hint="cs"/>
          <w:color w:val="000000"/>
          <w:sz w:val="24"/>
          <w:szCs w:val="28"/>
          <w:rtl/>
        </w:rPr>
        <w:t xml:space="preserve"> ،</w:t>
      </w:r>
      <w:r w:rsidRPr="009A072C">
        <w:rPr>
          <w:rFonts w:cs="Traditional Arabic" w:hint="cs"/>
          <w:color w:val="000000"/>
          <w:sz w:val="24"/>
          <w:szCs w:val="28"/>
          <w:rtl/>
        </w:rPr>
        <w:t xml:space="preserve"> فيمتعه من التمسك مثلا بالتقادم الخمسي لذلك كان يمكن في ظل القانون القديم قبول إجراء القيد بعد وفاة الراهن</w:t>
      </w:r>
      <w:r>
        <w:rPr>
          <w:rFonts w:cs="Traditional Arabic" w:hint="cs"/>
          <w:color w:val="000000"/>
          <w:sz w:val="24"/>
          <w:szCs w:val="28"/>
          <w:rtl/>
        </w:rPr>
        <w:t xml:space="preserve"> ،</w:t>
      </w:r>
      <w:r w:rsidRPr="009A072C">
        <w:rPr>
          <w:rFonts w:cs="Traditional Arabic" w:hint="cs"/>
          <w:color w:val="000000"/>
          <w:sz w:val="24"/>
          <w:szCs w:val="28"/>
          <w:rtl/>
        </w:rPr>
        <w:t xml:space="preserve"> وإن كان هذا القيد لا يجعل الرهن نافذا في حق دائنيه الآخرين</w:t>
      </w:r>
      <w:r>
        <w:rPr>
          <w:rFonts w:cs="Traditional Arabic" w:hint="cs"/>
          <w:color w:val="000000"/>
          <w:sz w:val="24"/>
          <w:szCs w:val="28"/>
          <w:rtl/>
        </w:rPr>
        <w:t xml:space="preserve"> .</w:t>
      </w:r>
      <w:r w:rsidRPr="009A072C">
        <w:rPr>
          <w:rFonts w:cs="Traditional Arabic" w:hint="cs"/>
          <w:color w:val="000000"/>
          <w:sz w:val="24"/>
          <w:szCs w:val="28"/>
          <w:rtl/>
        </w:rPr>
        <w:t xml:space="preserve"> غير أن قانون تنظيم الشهر العقاري قد نظم طريقة لإحاطة الغير علما بديون المتوفى</w:t>
      </w:r>
      <w:r>
        <w:rPr>
          <w:rFonts w:cs="Traditional Arabic" w:hint="cs"/>
          <w:color w:val="000000"/>
          <w:sz w:val="24"/>
          <w:szCs w:val="28"/>
          <w:rtl/>
        </w:rPr>
        <w:t xml:space="preserve"> ،</w:t>
      </w:r>
      <w:r w:rsidRPr="009A072C">
        <w:rPr>
          <w:rFonts w:cs="Traditional Arabic" w:hint="cs"/>
          <w:color w:val="000000"/>
          <w:sz w:val="24"/>
          <w:szCs w:val="28"/>
          <w:rtl/>
        </w:rPr>
        <w:t xml:space="preserve"> إذا أوجب في المادتين 13 و 14 منه على الورثة تسجيل حق الإرث</w:t>
      </w:r>
      <w:r>
        <w:rPr>
          <w:rFonts w:cs="Traditional Arabic" w:hint="cs"/>
          <w:color w:val="000000"/>
          <w:sz w:val="24"/>
          <w:szCs w:val="28"/>
          <w:rtl/>
        </w:rPr>
        <w:t xml:space="preserve"> ،</w:t>
      </w:r>
      <w:r w:rsidRPr="009A072C">
        <w:rPr>
          <w:rFonts w:cs="Traditional Arabic" w:hint="cs"/>
          <w:color w:val="000000"/>
          <w:sz w:val="24"/>
          <w:szCs w:val="28"/>
          <w:rtl/>
        </w:rPr>
        <w:t xml:space="preserve"> وعلى دائني المتوفى العاديين التأشير بديونهم في هامش ذلك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وكذلك وضع التقنين المدني الجديد نظاما اختياريا لتصفية التركات يؤدي إلى سداد ديون المتوفى قبل إعطاء الورثة شهادة التوريث التي يبين فيها ما آل إلى كل منهم من أموال المورث</w:t>
      </w:r>
      <w:r>
        <w:rPr>
          <w:rFonts w:cs="Traditional Arabic" w:hint="cs"/>
          <w:color w:val="000000"/>
          <w:sz w:val="24"/>
          <w:szCs w:val="28"/>
          <w:rtl/>
        </w:rPr>
        <w:t xml:space="preserve"> ،</w:t>
      </w:r>
      <w:r w:rsidRPr="009A072C">
        <w:rPr>
          <w:rFonts w:cs="Traditional Arabic" w:hint="cs"/>
          <w:color w:val="000000"/>
          <w:sz w:val="24"/>
          <w:szCs w:val="28"/>
          <w:rtl/>
        </w:rPr>
        <w:t xml:space="preserve"> ويحقق بذلك المساواة التامة بين دائني المورث العاديين</w:t>
      </w:r>
      <w:r>
        <w:rPr>
          <w:rFonts w:cs="Traditional Arabic" w:hint="cs"/>
          <w:color w:val="000000"/>
          <w:sz w:val="24"/>
          <w:szCs w:val="28"/>
          <w:rtl/>
        </w:rPr>
        <w:t xml:space="preserve"> .</w:t>
      </w:r>
      <w:r w:rsidRPr="009A072C">
        <w:rPr>
          <w:rFonts w:cs="Traditional Arabic" w:hint="cs"/>
          <w:color w:val="000000"/>
          <w:sz w:val="24"/>
          <w:szCs w:val="28"/>
          <w:rtl/>
        </w:rPr>
        <w:t xml:space="preserve"> فانعدمت بهذا التنظيم الجديد كل فائدة لقيد الرهن بعد موت الراهن</w:t>
      </w:r>
      <w:r>
        <w:rPr>
          <w:rFonts w:cs="Traditional Arabic" w:hint="cs"/>
          <w:color w:val="000000"/>
          <w:sz w:val="24"/>
          <w:szCs w:val="28"/>
          <w:rtl/>
        </w:rPr>
        <w:t xml:space="preserve"> ،</w:t>
      </w:r>
      <w:r w:rsidRPr="009A072C">
        <w:rPr>
          <w:rFonts w:cs="Traditional Arabic" w:hint="cs"/>
          <w:color w:val="000000"/>
          <w:sz w:val="24"/>
          <w:szCs w:val="28"/>
          <w:rtl/>
        </w:rPr>
        <w:t xml:space="preserve"> وأصبح يتعين القول بوقف القيد من وقت وفاة الراهن" </w:t>
      </w:r>
      <w:r>
        <w:rPr>
          <w:rFonts w:cs="Traditional Arabic" w:hint="cs"/>
          <w:color w:val="000000"/>
          <w:sz w:val="24"/>
          <w:szCs w:val="28"/>
          <w:rtl/>
        </w:rPr>
        <w:t xml:space="preserve">( </w:t>
      </w:r>
      <w:r w:rsidRPr="009A072C">
        <w:rPr>
          <w:rFonts w:cs="Traditional Arabic" w:hint="cs"/>
          <w:color w:val="000000"/>
          <w:sz w:val="24"/>
          <w:szCs w:val="28"/>
          <w:rtl/>
        </w:rPr>
        <w:t>سليمان مرقس فقرة 104</w:t>
      </w:r>
      <w:r>
        <w:rPr>
          <w:rFonts w:cs="Traditional Arabic" w:hint="cs"/>
          <w:color w:val="000000"/>
          <w:sz w:val="24"/>
          <w:szCs w:val="28"/>
          <w:rtl/>
        </w:rPr>
        <w:t xml:space="preserve"> ) .</w:t>
      </w:r>
    </w:p>
  </w:footnote>
  <w:footnote w:id="96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فقرة 247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68 </w:t>
      </w:r>
      <w:r w:rsidRPr="009A072C">
        <w:rPr>
          <w:rFonts w:cs="Traditional Arabic"/>
          <w:color w:val="000000"/>
          <w:sz w:val="24"/>
          <w:szCs w:val="28"/>
          <w:rtl/>
        </w:rPr>
        <w:t>–</w:t>
      </w:r>
      <w:r w:rsidRPr="009A072C">
        <w:rPr>
          <w:rFonts w:cs="Traditional Arabic" w:hint="cs"/>
          <w:color w:val="000000"/>
          <w:sz w:val="24"/>
          <w:szCs w:val="28"/>
          <w:rtl/>
        </w:rPr>
        <w:t xml:space="preserve"> عبد المنعم فرج الصدة فقرة 110 </w:t>
      </w:r>
      <w:r w:rsidRPr="009A072C">
        <w:rPr>
          <w:rFonts w:cs="Traditional Arabic"/>
          <w:color w:val="000000"/>
          <w:sz w:val="24"/>
          <w:szCs w:val="28"/>
          <w:rtl/>
        </w:rPr>
        <w:t>–</w:t>
      </w:r>
      <w:r w:rsidRPr="009A072C">
        <w:rPr>
          <w:rFonts w:cs="Traditional Arabic" w:hint="cs"/>
          <w:color w:val="000000"/>
          <w:sz w:val="24"/>
          <w:szCs w:val="28"/>
          <w:rtl/>
        </w:rPr>
        <w:t xml:space="preserve"> أحمد سلامة فقرة 82 </w:t>
      </w:r>
      <w:r w:rsidRPr="009A072C">
        <w:rPr>
          <w:rFonts w:cs="Traditional Arabic"/>
          <w:color w:val="000000"/>
          <w:sz w:val="24"/>
          <w:szCs w:val="28"/>
          <w:rtl/>
        </w:rPr>
        <w:t>–</w:t>
      </w:r>
      <w:r w:rsidRPr="009A072C">
        <w:rPr>
          <w:rFonts w:cs="Traditional Arabic" w:hint="cs"/>
          <w:color w:val="000000"/>
          <w:sz w:val="24"/>
          <w:szCs w:val="28"/>
          <w:rtl/>
        </w:rPr>
        <w:t xml:space="preserve"> منصور مصطفى منصور فقرة 49 ص 109 </w:t>
      </w:r>
      <w:r w:rsidRPr="009A072C">
        <w:rPr>
          <w:rFonts w:cs="Traditional Arabic"/>
          <w:color w:val="000000"/>
          <w:sz w:val="24"/>
          <w:szCs w:val="28"/>
          <w:rtl/>
        </w:rPr>
        <w:t>–</w:t>
      </w:r>
      <w:r w:rsidRPr="009A072C">
        <w:rPr>
          <w:rFonts w:cs="Traditional Arabic" w:hint="cs"/>
          <w:color w:val="000000"/>
          <w:sz w:val="24"/>
          <w:szCs w:val="28"/>
          <w:rtl/>
        </w:rPr>
        <w:t xml:space="preserve"> ص 110</w:t>
      </w:r>
      <w:r>
        <w:rPr>
          <w:rFonts w:cs="Traditional Arabic" w:hint="cs"/>
          <w:color w:val="000000"/>
          <w:sz w:val="24"/>
          <w:szCs w:val="28"/>
          <w:rtl/>
        </w:rPr>
        <w:t xml:space="preserve"> .</w:t>
      </w:r>
    </w:p>
  </w:footnote>
  <w:footnote w:id="96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منصور مصطفى منصور فقرة 49 ص 109 </w:t>
      </w:r>
      <w:r w:rsidRPr="009A072C">
        <w:rPr>
          <w:rFonts w:cs="Traditional Arabic"/>
          <w:color w:val="000000"/>
          <w:sz w:val="24"/>
          <w:szCs w:val="28"/>
          <w:rtl/>
        </w:rPr>
        <w:t>–</w:t>
      </w:r>
      <w:r w:rsidRPr="009A072C">
        <w:rPr>
          <w:rFonts w:cs="Traditional Arabic" w:hint="cs"/>
          <w:color w:val="000000"/>
          <w:sz w:val="24"/>
          <w:szCs w:val="28"/>
          <w:rtl/>
        </w:rPr>
        <w:t xml:space="preserve"> ص 110</w:t>
      </w:r>
      <w:r>
        <w:rPr>
          <w:rFonts w:cs="Traditional Arabic" w:hint="cs"/>
          <w:color w:val="000000"/>
          <w:sz w:val="24"/>
          <w:szCs w:val="28"/>
          <w:rtl/>
        </w:rPr>
        <w:t xml:space="preserve"> .</w:t>
      </w:r>
    </w:p>
  </w:footnote>
  <w:footnote w:id="96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شمس الدين الوكيل فقرة 67 ص 223</w:t>
      </w:r>
      <w:r>
        <w:rPr>
          <w:rFonts w:cs="Traditional Arabic" w:hint="cs"/>
          <w:color w:val="000000"/>
          <w:sz w:val="24"/>
          <w:szCs w:val="28"/>
          <w:rtl/>
        </w:rPr>
        <w:t xml:space="preserve"> .</w:t>
      </w:r>
    </w:p>
  </w:footnote>
  <w:footnote w:id="97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1479/1 من المشروع التمهيدي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"يترتب على قيد الرهن أن يدخل في التوزيع وفي نفس مرتبة الرهن</w:t>
      </w:r>
      <w:r>
        <w:rPr>
          <w:rFonts w:cs="Traditional Arabic" w:hint="cs"/>
          <w:color w:val="000000"/>
          <w:sz w:val="24"/>
          <w:szCs w:val="28"/>
          <w:rtl/>
        </w:rPr>
        <w:t xml:space="preserve"> ،</w:t>
      </w:r>
      <w:r w:rsidRPr="009A072C">
        <w:rPr>
          <w:rFonts w:cs="Traditional Arabic" w:hint="cs"/>
          <w:color w:val="000000"/>
          <w:sz w:val="24"/>
          <w:szCs w:val="28"/>
          <w:rtl/>
        </w:rPr>
        <w:t xml:space="preserve"> مصروفات العقد والقيد والتجديد"</w:t>
      </w:r>
      <w:r>
        <w:rPr>
          <w:rFonts w:cs="Traditional Arabic" w:hint="cs"/>
          <w:color w:val="000000"/>
          <w:sz w:val="24"/>
          <w:szCs w:val="28"/>
          <w:rtl/>
        </w:rPr>
        <w:t xml:space="preserve"> .</w:t>
      </w:r>
      <w:r w:rsidRPr="009A072C">
        <w:rPr>
          <w:rFonts w:cs="Traditional Arabic" w:hint="cs"/>
          <w:color w:val="000000"/>
          <w:sz w:val="24"/>
          <w:szCs w:val="28"/>
          <w:rtl/>
        </w:rPr>
        <w:t xml:space="preserve"> وفي لجنة المراجعة أدخل على النص تعديل لفظي فأصبح مطابقاً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وصار رقمه 1158/1 في المشروع النهائي ووافق عليه مجلس النواب تحت رقم 1144/1</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1058/1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84 </w:t>
      </w:r>
      <w:r w:rsidRPr="009A072C">
        <w:rPr>
          <w:rFonts w:cs="Traditional Arabic"/>
          <w:color w:val="000000"/>
          <w:sz w:val="24"/>
          <w:szCs w:val="28"/>
          <w:rtl/>
        </w:rPr>
        <w:t>–</w:t>
      </w:r>
      <w:r w:rsidRPr="009A072C">
        <w:rPr>
          <w:rFonts w:cs="Traditional Arabic" w:hint="cs"/>
          <w:color w:val="000000"/>
          <w:sz w:val="24"/>
          <w:szCs w:val="28"/>
          <w:rtl/>
        </w:rPr>
        <w:t xml:space="preserve"> ص 90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97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17 يونيه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358</w:t>
      </w:r>
      <w:r>
        <w:rPr>
          <w:rFonts w:cs="Traditional Arabic" w:hint="cs"/>
          <w:color w:val="000000"/>
          <w:sz w:val="24"/>
          <w:szCs w:val="28"/>
          <w:rtl/>
        </w:rPr>
        <w:t xml:space="preserve"> .</w:t>
      </w:r>
    </w:p>
  </w:footnote>
  <w:footnote w:id="97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23 ديسمبر سنة </w:t>
      </w:r>
      <w:smartTag w:uri="urn:schemas-microsoft-com:office:smarttags" w:element="metricconverter">
        <w:smartTagPr>
          <w:attr w:name="ProductID" w:val="1924 م"/>
        </w:smartTagPr>
        <w:r w:rsidRPr="009A072C">
          <w:rPr>
            <w:rFonts w:cs="Traditional Arabic" w:hint="cs"/>
            <w:color w:val="000000"/>
            <w:sz w:val="24"/>
            <w:szCs w:val="28"/>
            <w:rtl/>
          </w:rPr>
          <w:t>1924 م</w:t>
        </w:r>
      </w:smartTag>
      <w:r w:rsidRPr="009A072C">
        <w:rPr>
          <w:rFonts w:cs="Traditional Arabic" w:hint="cs"/>
          <w:color w:val="000000"/>
          <w:sz w:val="24"/>
          <w:szCs w:val="28"/>
          <w:rtl/>
        </w:rPr>
        <w:t xml:space="preserve"> 37 ص 92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106</w:t>
      </w:r>
      <w:r>
        <w:rPr>
          <w:rFonts w:cs="Traditional Arabic" w:hint="cs"/>
          <w:color w:val="000000"/>
          <w:sz w:val="24"/>
          <w:szCs w:val="28"/>
          <w:rtl/>
        </w:rPr>
        <w:t xml:space="preserve"> .</w:t>
      </w:r>
    </w:p>
  </w:footnote>
  <w:footnote w:id="97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25 مارس سنة </w:t>
      </w:r>
      <w:smartTag w:uri="urn:schemas-microsoft-com:office:smarttags" w:element="metricconverter">
        <w:smartTagPr>
          <w:attr w:name="ProductID" w:val="1918 م"/>
        </w:smartTagPr>
        <w:r w:rsidRPr="009A072C">
          <w:rPr>
            <w:rFonts w:cs="Traditional Arabic" w:hint="cs"/>
            <w:color w:val="000000"/>
            <w:sz w:val="24"/>
            <w:szCs w:val="28"/>
            <w:rtl/>
          </w:rPr>
          <w:t>1918 م</w:t>
        </w:r>
      </w:smartTag>
      <w:r w:rsidRPr="009A072C">
        <w:rPr>
          <w:rFonts w:cs="Traditional Arabic" w:hint="cs"/>
          <w:color w:val="000000"/>
          <w:sz w:val="24"/>
          <w:szCs w:val="28"/>
          <w:rtl/>
        </w:rPr>
        <w:t xml:space="preserve"> 30 ص 310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106</w:t>
      </w:r>
      <w:r>
        <w:rPr>
          <w:rFonts w:cs="Traditional Arabic" w:hint="cs"/>
          <w:color w:val="000000"/>
          <w:sz w:val="24"/>
          <w:szCs w:val="28"/>
          <w:rtl/>
        </w:rPr>
        <w:t xml:space="preserve"> .</w:t>
      </w:r>
    </w:p>
  </w:footnote>
  <w:footnote w:id="97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الفرة الثانية من المادة 1479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ووافقت عليه لجنة المراجعة تحت رقم 1158/2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1144/2</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1058/2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84 </w:t>
      </w:r>
      <w:r w:rsidRPr="009A072C">
        <w:rPr>
          <w:rFonts w:cs="Traditional Arabic"/>
          <w:color w:val="000000"/>
          <w:sz w:val="24"/>
          <w:szCs w:val="28"/>
          <w:rtl/>
        </w:rPr>
        <w:t>–</w:t>
      </w:r>
      <w:r w:rsidRPr="009A072C">
        <w:rPr>
          <w:rFonts w:cs="Traditional Arabic" w:hint="cs"/>
          <w:color w:val="000000"/>
          <w:sz w:val="24"/>
          <w:szCs w:val="28"/>
          <w:rtl/>
        </w:rPr>
        <w:t xml:space="preserve"> ص 90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م 568/692</w:t>
      </w:r>
      <w:r>
        <w:rPr>
          <w:rFonts w:cs="Traditional Arabic" w:hint="cs"/>
          <w:color w:val="000000"/>
          <w:sz w:val="24"/>
          <w:szCs w:val="28"/>
          <w:rtl/>
        </w:rPr>
        <w:t xml:space="preserve"> :</w:t>
      </w:r>
      <w:r w:rsidRPr="009A072C">
        <w:rPr>
          <w:rFonts w:cs="Traditional Arabic" w:hint="cs"/>
          <w:color w:val="000000"/>
          <w:sz w:val="24"/>
          <w:szCs w:val="28"/>
          <w:rtl/>
        </w:rPr>
        <w:t xml:space="preserve"> يترتب على تسجيل الرهن أن يكون المرهون تامينا على أصل الدين وعلى فوائد سنتين إن كان هناك فوائد مستحقة وقت تسجيل تنبيه 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وعلى ما يستحق من ذلك التاريخ إلى وقت توزيع ثمن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فإذا سجل أحد الدائنين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انتفع باقي الدائنين بهذا التسجيل</w:t>
      </w:r>
      <w:r>
        <w:rPr>
          <w:rFonts w:cs="Traditional Arabic" w:hint="cs"/>
          <w:color w:val="000000"/>
          <w:sz w:val="24"/>
          <w:szCs w:val="28"/>
          <w:rtl/>
        </w:rPr>
        <w:t xml:space="preserve"> .</w:t>
      </w:r>
    </w:p>
  </w:footnote>
  <w:footnote w:id="97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2 فقرة 946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طبعة 1938 في التامينات الشخصية والعينية فقرة 333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107 ص 172</w:t>
      </w:r>
      <w:r>
        <w:rPr>
          <w:rFonts w:cs="Traditional Arabic" w:hint="cs"/>
          <w:color w:val="000000"/>
          <w:sz w:val="24"/>
          <w:szCs w:val="28"/>
          <w:rtl/>
        </w:rPr>
        <w:t xml:space="preserve"> .</w:t>
      </w:r>
    </w:p>
  </w:footnote>
  <w:footnote w:id="97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15 مارس سنة </w:t>
      </w:r>
      <w:smartTag w:uri="urn:schemas-microsoft-com:office:smarttags" w:element="metricconverter">
        <w:smartTagPr>
          <w:attr w:name="ProductID" w:val="1911 م"/>
        </w:smartTagPr>
        <w:r w:rsidRPr="009A072C">
          <w:rPr>
            <w:rFonts w:cs="Traditional Arabic" w:hint="cs"/>
            <w:color w:val="000000"/>
            <w:sz w:val="24"/>
            <w:szCs w:val="28"/>
            <w:rtl/>
          </w:rPr>
          <w:t>1911 م</w:t>
        </w:r>
      </w:smartTag>
      <w:r w:rsidRPr="009A072C">
        <w:rPr>
          <w:rFonts w:cs="Traditional Arabic" w:hint="cs"/>
          <w:color w:val="000000"/>
          <w:sz w:val="24"/>
          <w:szCs w:val="28"/>
          <w:rtl/>
        </w:rPr>
        <w:t xml:space="preserve"> 23 ص 218 </w:t>
      </w:r>
      <w:r w:rsidRPr="009A072C">
        <w:rPr>
          <w:rFonts w:cs="Traditional Arabic"/>
          <w:color w:val="000000"/>
          <w:sz w:val="24"/>
          <w:szCs w:val="28"/>
          <w:rtl/>
        </w:rPr>
        <w:t>–</w:t>
      </w:r>
      <w:r w:rsidRPr="009A072C">
        <w:rPr>
          <w:rFonts w:cs="Traditional Arabic" w:hint="cs"/>
          <w:color w:val="000000"/>
          <w:sz w:val="24"/>
          <w:szCs w:val="28"/>
          <w:rtl/>
        </w:rPr>
        <w:t xml:space="preserve"> 17 مايو سنة </w:t>
      </w:r>
      <w:smartTag w:uri="urn:schemas-microsoft-com:office:smarttags" w:element="metricconverter">
        <w:smartTagPr>
          <w:attr w:name="ProductID" w:val="1911 م"/>
        </w:smartTagPr>
        <w:r w:rsidRPr="009A072C">
          <w:rPr>
            <w:rFonts w:cs="Traditional Arabic" w:hint="cs"/>
            <w:color w:val="000000"/>
            <w:sz w:val="24"/>
            <w:szCs w:val="28"/>
            <w:rtl/>
          </w:rPr>
          <w:t>1911 م</w:t>
        </w:r>
      </w:smartTag>
      <w:r w:rsidRPr="009A072C">
        <w:rPr>
          <w:rFonts w:cs="Traditional Arabic" w:hint="cs"/>
          <w:color w:val="000000"/>
          <w:sz w:val="24"/>
          <w:szCs w:val="28"/>
          <w:rtl/>
        </w:rPr>
        <w:t xml:space="preserve"> 23 ص 324 </w:t>
      </w:r>
      <w:r w:rsidRPr="009A072C">
        <w:rPr>
          <w:rFonts w:cs="Traditional Arabic"/>
          <w:color w:val="000000"/>
          <w:sz w:val="24"/>
          <w:szCs w:val="28"/>
          <w:rtl/>
        </w:rPr>
        <w:t>–</w:t>
      </w:r>
      <w:r w:rsidRPr="009A072C">
        <w:rPr>
          <w:rFonts w:cs="Traditional Arabic" w:hint="cs"/>
          <w:color w:val="000000"/>
          <w:sz w:val="24"/>
          <w:szCs w:val="28"/>
          <w:rtl/>
        </w:rPr>
        <w:t xml:space="preserve"> 22 نوفمبر سنة </w:t>
      </w:r>
      <w:smartTag w:uri="urn:schemas-microsoft-com:office:smarttags" w:element="metricconverter">
        <w:smartTagPr>
          <w:attr w:name="ProductID" w:val="1911 م"/>
        </w:smartTagPr>
        <w:r w:rsidRPr="009A072C">
          <w:rPr>
            <w:rFonts w:cs="Traditional Arabic" w:hint="cs"/>
            <w:color w:val="000000"/>
            <w:sz w:val="24"/>
            <w:szCs w:val="28"/>
            <w:rtl/>
          </w:rPr>
          <w:t>1911 م</w:t>
        </w:r>
      </w:smartTag>
      <w:r w:rsidRPr="009A072C">
        <w:rPr>
          <w:rFonts w:cs="Traditional Arabic" w:hint="cs"/>
          <w:color w:val="000000"/>
          <w:sz w:val="24"/>
          <w:szCs w:val="28"/>
          <w:rtl/>
        </w:rPr>
        <w:t xml:space="preserve"> 24 ص 8 </w:t>
      </w:r>
      <w:r w:rsidRPr="009A072C">
        <w:rPr>
          <w:rFonts w:cs="Traditional Arabic"/>
          <w:color w:val="000000"/>
          <w:sz w:val="24"/>
          <w:szCs w:val="28"/>
          <w:rtl/>
        </w:rPr>
        <w:t>–</w:t>
      </w:r>
      <w:r w:rsidRPr="009A072C">
        <w:rPr>
          <w:rFonts w:cs="Traditional Arabic" w:hint="cs"/>
          <w:color w:val="000000"/>
          <w:sz w:val="24"/>
          <w:szCs w:val="28"/>
          <w:rtl/>
        </w:rPr>
        <w:t xml:space="preserve"> 24 ديسمبر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26 ص 104 </w:t>
      </w:r>
      <w:r w:rsidRPr="009A072C">
        <w:rPr>
          <w:rFonts w:cs="Traditional Arabic"/>
          <w:color w:val="000000"/>
          <w:sz w:val="24"/>
          <w:szCs w:val="28"/>
          <w:rtl/>
        </w:rPr>
        <w:t>–</w:t>
      </w:r>
      <w:r w:rsidRPr="009A072C">
        <w:rPr>
          <w:rFonts w:cs="Traditional Arabic" w:hint="cs"/>
          <w:color w:val="000000"/>
          <w:sz w:val="24"/>
          <w:szCs w:val="28"/>
          <w:rtl/>
        </w:rPr>
        <w:t xml:space="preserve"> 28 ديسمبر </w:t>
      </w:r>
      <w:smartTag w:uri="urn:schemas-microsoft-com:office:smarttags" w:element="metricconverter">
        <w:smartTagPr>
          <w:attr w:name="ProductID" w:val="1915 م"/>
        </w:smartTagPr>
        <w:r w:rsidRPr="009A072C">
          <w:rPr>
            <w:rFonts w:cs="Traditional Arabic" w:hint="cs"/>
            <w:color w:val="000000"/>
            <w:sz w:val="24"/>
            <w:szCs w:val="28"/>
            <w:rtl/>
          </w:rPr>
          <w:t>1915 م</w:t>
        </w:r>
      </w:smartTag>
      <w:r w:rsidRPr="009A072C">
        <w:rPr>
          <w:rFonts w:cs="Traditional Arabic" w:hint="cs"/>
          <w:color w:val="000000"/>
          <w:sz w:val="24"/>
          <w:szCs w:val="28"/>
          <w:rtl/>
        </w:rPr>
        <w:t xml:space="preserve"> 28 ص 79 </w:t>
      </w:r>
      <w:r w:rsidRPr="009A072C">
        <w:rPr>
          <w:rFonts w:cs="Traditional Arabic"/>
          <w:color w:val="000000"/>
          <w:sz w:val="24"/>
          <w:szCs w:val="28"/>
          <w:rtl/>
        </w:rPr>
        <w:t>–</w:t>
      </w:r>
      <w:r w:rsidRPr="009A072C">
        <w:rPr>
          <w:rFonts w:cs="Traditional Arabic" w:hint="cs"/>
          <w:color w:val="000000"/>
          <w:sz w:val="24"/>
          <w:szCs w:val="28"/>
          <w:rtl/>
        </w:rPr>
        <w:t xml:space="preserve"> 25 يونيه سنة </w:t>
      </w:r>
      <w:smartTag w:uri="urn:schemas-microsoft-com:office:smarttags" w:element="metricconverter">
        <w:smartTagPr>
          <w:attr w:name="ProductID" w:val="1918 م"/>
        </w:smartTagPr>
        <w:r w:rsidRPr="009A072C">
          <w:rPr>
            <w:rFonts w:cs="Traditional Arabic" w:hint="cs"/>
            <w:color w:val="000000"/>
            <w:sz w:val="24"/>
            <w:szCs w:val="28"/>
            <w:rtl/>
          </w:rPr>
          <w:t>1918 م</w:t>
        </w:r>
      </w:smartTag>
      <w:r w:rsidRPr="009A072C">
        <w:rPr>
          <w:rFonts w:cs="Traditional Arabic" w:hint="cs"/>
          <w:color w:val="000000"/>
          <w:sz w:val="24"/>
          <w:szCs w:val="28"/>
          <w:rtl/>
        </w:rPr>
        <w:t xml:space="preserve"> 30 ص 401</w:t>
      </w:r>
      <w:r>
        <w:rPr>
          <w:rFonts w:cs="Traditional Arabic" w:hint="cs"/>
          <w:color w:val="000000"/>
          <w:sz w:val="24"/>
          <w:szCs w:val="28"/>
          <w:rtl/>
        </w:rPr>
        <w:t xml:space="preserve"> .</w:t>
      </w:r>
    </w:p>
  </w:footnote>
  <w:footnote w:id="97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دي هلنس فقرة 87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388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طبعة سنة 1938 في التأمينات الشخصية والعينية فقرة 333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8 مارس سنة </w:t>
      </w:r>
      <w:smartTag w:uri="urn:schemas-microsoft-com:office:smarttags" w:element="metricconverter">
        <w:smartTagPr>
          <w:attr w:name="ProductID" w:val="1897 م"/>
        </w:smartTagPr>
        <w:r w:rsidRPr="009A072C">
          <w:rPr>
            <w:rFonts w:cs="Traditional Arabic" w:hint="cs"/>
            <w:color w:val="000000"/>
            <w:sz w:val="24"/>
            <w:szCs w:val="28"/>
            <w:rtl/>
          </w:rPr>
          <w:t>1897 م</w:t>
        </w:r>
      </w:smartTag>
      <w:r w:rsidRPr="009A072C">
        <w:rPr>
          <w:rFonts w:cs="Traditional Arabic" w:hint="cs"/>
          <w:color w:val="000000"/>
          <w:sz w:val="24"/>
          <w:szCs w:val="28"/>
          <w:rtl/>
        </w:rPr>
        <w:t xml:space="preserve"> 10 ص 33 </w:t>
      </w:r>
      <w:r w:rsidRPr="009A072C">
        <w:rPr>
          <w:rFonts w:cs="Traditional Arabic"/>
          <w:color w:val="000000"/>
          <w:sz w:val="24"/>
          <w:szCs w:val="28"/>
          <w:rtl/>
        </w:rPr>
        <w:t>–</w:t>
      </w:r>
      <w:r w:rsidRPr="009A072C">
        <w:rPr>
          <w:rFonts w:cs="Traditional Arabic" w:hint="cs"/>
          <w:color w:val="000000"/>
          <w:sz w:val="24"/>
          <w:szCs w:val="28"/>
          <w:rtl/>
        </w:rPr>
        <w:t xml:space="preserve"> ولكن يشترط في ذلك ألا تكون الفوائد قد سقطت بالتقادم الخمسي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4 يونيه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436</w:t>
      </w:r>
      <w:r>
        <w:rPr>
          <w:rFonts w:cs="Traditional Arabic" w:hint="cs"/>
          <w:color w:val="000000"/>
          <w:sz w:val="24"/>
          <w:szCs w:val="28"/>
          <w:rtl/>
        </w:rPr>
        <w:t xml:space="preserve"> .</w:t>
      </w:r>
    </w:p>
  </w:footnote>
  <w:footnote w:id="97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19 مايو سنة </w:t>
      </w:r>
      <w:smartTag w:uri="urn:schemas-microsoft-com:office:smarttags" w:element="metricconverter">
        <w:smartTagPr>
          <w:attr w:name="ProductID" w:val="1942 مم"/>
        </w:smartTagPr>
        <w:r w:rsidRPr="009A072C">
          <w:rPr>
            <w:rFonts w:cs="Traditional Arabic" w:hint="cs"/>
            <w:color w:val="000000"/>
            <w:sz w:val="24"/>
            <w:szCs w:val="28"/>
            <w:rtl/>
          </w:rPr>
          <w:t>1942 مم</w:t>
        </w:r>
      </w:smartTag>
      <w:r w:rsidRPr="009A072C">
        <w:rPr>
          <w:rFonts w:cs="Traditional Arabic" w:hint="cs"/>
          <w:color w:val="000000"/>
          <w:sz w:val="24"/>
          <w:szCs w:val="28"/>
          <w:rtl/>
        </w:rPr>
        <w:t xml:space="preserve"> 54 ص 199 </w:t>
      </w:r>
      <w:r w:rsidRPr="009A072C">
        <w:rPr>
          <w:rFonts w:cs="Traditional Arabic"/>
          <w:color w:val="000000"/>
          <w:sz w:val="24"/>
          <w:szCs w:val="28"/>
          <w:rtl/>
        </w:rPr>
        <w:t>–</w:t>
      </w:r>
      <w:r w:rsidRPr="009A072C">
        <w:rPr>
          <w:rFonts w:cs="Traditional Arabic" w:hint="cs"/>
          <w:color w:val="000000"/>
          <w:sz w:val="24"/>
          <w:szCs w:val="28"/>
          <w:rtl/>
        </w:rPr>
        <w:t xml:space="preserve"> الإسكندرية الابتدائية المختلطة 12 ديسمبر سنة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52 ص 60</w:t>
      </w:r>
      <w:r>
        <w:rPr>
          <w:rFonts w:cs="Traditional Arabic" w:hint="cs"/>
          <w:color w:val="000000"/>
          <w:sz w:val="24"/>
          <w:szCs w:val="28"/>
          <w:rtl/>
        </w:rPr>
        <w:t xml:space="preserve"> :</w:t>
      </w:r>
      <w:r w:rsidRPr="009A072C">
        <w:rPr>
          <w:rFonts w:cs="Traditional Arabic" w:hint="cs"/>
          <w:color w:val="000000"/>
          <w:sz w:val="24"/>
          <w:szCs w:val="28"/>
          <w:rtl/>
        </w:rPr>
        <w:t>إلى أن يصبح التوزيع نهائيا</w:t>
      </w:r>
      <w:r>
        <w:rPr>
          <w:rFonts w:cs="Traditional Arabic" w:hint="cs"/>
          <w:color w:val="000000"/>
          <w:sz w:val="24"/>
          <w:szCs w:val="28"/>
          <w:rtl/>
        </w:rPr>
        <w:t xml:space="preserve"> .</w:t>
      </w:r>
    </w:p>
  </w:footnote>
  <w:footnote w:id="97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10 يونيه سنة </w:t>
      </w:r>
      <w:smartTag w:uri="urn:schemas-microsoft-com:office:smarttags" w:element="metricconverter">
        <w:smartTagPr>
          <w:attr w:name="ProductID" w:val="1941 م"/>
        </w:smartTagPr>
        <w:r w:rsidRPr="009A072C">
          <w:rPr>
            <w:rFonts w:cs="Traditional Arabic" w:hint="cs"/>
            <w:color w:val="000000"/>
            <w:sz w:val="24"/>
            <w:szCs w:val="28"/>
            <w:rtl/>
          </w:rPr>
          <w:t>1941 م</w:t>
        </w:r>
      </w:smartTag>
      <w:r w:rsidRPr="009A072C">
        <w:rPr>
          <w:rFonts w:cs="Traditional Arabic" w:hint="cs"/>
          <w:color w:val="000000"/>
          <w:sz w:val="24"/>
          <w:szCs w:val="28"/>
          <w:rtl/>
        </w:rPr>
        <w:t xml:space="preserve"> 53 ص 214 </w:t>
      </w:r>
      <w:r w:rsidRPr="009A072C">
        <w:rPr>
          <w:rFonts w:cs="Traditional Arabic"/>
          <w:color w:val="000000"/>
          <w:sz w:val="24"/>
          <w:szCs w:val="28"/>
          <w:rtl/>
        </w:rPr>
        <w:t>–</w:t>
      </w:r>
      <w:r w:rsidRPr="009A072C">
        <w:rPr>
          <w:rFonts w:cs="Traditional Arabic" w:hint="cs"/>
          <w:color w:val="000000"/>
          <w:sz w:val="24"/>
          <w:szCs w:val="28"/>
          <w:rtl/>
        </w:rPr>
        <w:t xml:space="preserve"> استئناف مصر 14 مارس سنة 1934 المحاماة 16 رقم 257 ص 589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107 ص 175 هامش 1</w:t>
      </w:r>
      <w:r>
        <w:rPr>
          <w:rFonts w:cs="Traditional Arabic" w:hint="cs"/>
          <w:color w:val="000000"/>
          <w:sz w:val="24"/>
          <w:szCs w:val="28"/>
          <w:rtl/>
        </w:rPr>
        <w:t xml:space="preserve"> .</w:t>
      </w:r>
    </w:p>
  </w:footnote>
  <w:footnote w:id="98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استئناف مختلط 7 مايو سنة 1898م 10 ص 299 </w:t>
      </w:r>
      <w:r w:rsidRPr="009A072C">
        <w:rPr>
          <w:rFonts w:cs="Traditional Arabic"/>
          <w:color w:val="000000"/>
          <w:sz w:val="24"/>
          <w:szCs w:val="28"/>
          <w:rtl/>
        </w:rPr>
        <w:t>–</w:t>
      </w:r>
      <w:r w:rsidRPr="009A072C">
        <w:rPr>
          <w:rFonts w:cs="Traditional Arabic" w:hint="cs"/>
          <w:color w:val="000000"/>
          <w:sz w:val="24"/>
          <w:szCs w:val="28"/>
          <w:rtl/>
        </w:rPr>
        <w:t xml:space="preserve"> جزانمولان فقرة 484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103</w:t>
      </w:r>
      <w:r>
        <w:rPr>
          <w:rFonts w:cs="Traditional Arabic" w:hint="cs"/>
          <w:color w:val="000000"/>
          <w:sz w:val="24"/>
          <w:szCs w:val="28"/>
          <w:rtl/>
        </w:rPr>
        <w:t xml:space="preserve"> .</w:t>
      </w:r>
    </w:p>
  </w:footnote>
  <w:footnote w:id="98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6 مارس سنة </w:t>
      </w:r>
      <w:smartTag w:uri="urn:schemas-microsoft-com:office:smarttags" w:element="metricconverter">
        <w:smartTagPr>
          <w:attr w:name="ProductID" w:val="1934 م"/>
        </w:smartTagPr>
        <w:r w:rsidRPr="009A072C">
          <w:rPr>
            <w:rFonts w:cs="Traditional Arabic" w:hint="cs"/>
            <w:color w:val="000000"/>
            <w:sz w:val="24"/>
            <w:szCs w:val="28"/>
            <w:rtl/>
          </w:rPr>
          <w:t>1934 م</w:t>
        </w:r>
      </w:smartTag>
      <w:r w:rsidRPr="009A072C">
        <w:rPr>
          <w:rFonts w:cs="Traditional Arabic" w:hint="cs"/>
          <w:color w:val="000000"/>
          <w:sz w:val="24"/>
          <w:szCs w:val="28"/>
          <w:rtl/>
        </w:rPr>
        <w:t xml:space="preserve"> 46 ص 201</w:t>
      </w:r>
      <w:r>
        <w:rPr>
          <w:rFonts w:cs="Traditional Arabic" w:hint="cs"/>
          <w:color w:val="000000"/>
          <w:sz w:val="24"/>
          <w:szCs w:val="28"/>
          <w:rtl/>
        </w:rPr>
        <w:t xml:space="preserve"> .</w:t>
      </w:r>
    </w:p>
  </w:footnote>
  <w:footnote w:id="98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3872</w:t>
      </w:r>
      <w:r>
        <w:rPr>
          <w:rFonts w:cs="Traditional Arabic" w:hint="cs"/>
          <w:color w:val="000000"/>
          <w:sz w:val="24"/>
          <w:szCs w:val="28"/>
          <w:rtl/>
        </w:rPr>
        <w:t xml:space="preserve"> .</w:t>
      </w:r>
    </w:p>
  </w:footnote>
  <w:footnote w:id="98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2 فقرة 931</w:t>
      </w:r>
      <w:r>
        <w:rPr>
          <w:rFonts w:cs="Traditional Arabic" w:hint="cs"/>
          <w:color w:val="000000"/>
          <w:sz w:val="24"/>
          <w:szCs w:val="28"/>
          <w:rtl/>
        </w:rPr>
        <w:t xml:space="preserve"> .</w:t>
      </w:r>
    </w:p>
  </w:footnote>
  <w:footnote w:id="98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مدنية 11 يونيه سنة 1942 مجموعة عمر 2 رم 171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6 مارس سنة 1934 المحاماة 15 رقم 223 ص 477</w:t>
      </w:r>
      <w:r>
        <w:rPr>
          <w:rFonts w:cs="Traditional Arabic" w:hint="cs"/>
          <w:color w:val="000000"/>
          <w:sz w:val="24"/>
          <w:szCs w:val="28"/>
          <w:rtl/>
        </w:rPr>
        <w:t xml:space="preserve"> .</w:t>
      </w:r>
    </w:p>
  </w:footnote>
  <w:footnote w:id="98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31 ارس سنة </w:t>
      </w:r>
      <w:smartTag w:uri="urn:schemas-microsoft-com:office:smarttags" w:element="metricconverter">
        <w:smartTagPr>
          <w:attr w:name="ProductID" w:val="1938 م"/>
        </w:smartTagPr>
        <w:r w:rsidRPr="009A072C">
          <w:rPr>
            <w:rFonts w:cs="Traditional Arabic" w:hint="cs"/>
            <w:color w:val="000000"/>
            <w:sz w:val="24"/>
            <w:szCs w:val="28"/>
            <w:rtl/>
          </w:rPr>
          <w:t>1938 م</w:t>
        </w:r>
      </w:smartTag>
      <w:r w:rsidRPr="009A072C">
        <w:rPr>
          <w:rFonts w:cs="Traditional Arabic" w:hint="cs"/>
          <w:color w:val="000000"/>
          <w:sz w:val="24"/>
          <w:szCs w:val="28"/>
          <w:rtl/>
        </w:rPr>
        <w:t xml:space="preserve"> 50 ص 199 </w:t>
      </w:r>
      <w:r w:rsidRPr="009A072C">
        <w:rPr>
          <w:rFonts w:cs="Traditional Arabic"/>
          <w:color w:val="000000"/>
          <w:sz w:val="24"/>
          <w:szCs w:val="28"/>
          <w:rtl/>
        </w:rPr>
        <w:t>–</w:t>
      </w:r>
      <w:r w:rsidRPr="009A072C">
        <w:rPr>
          <w:rFonts w:cs="Traditional Arabic" w:hint="cs"/>
          <w:color w:val="000000"/>
          <w:sz w:val="24"/>
          <w:szCs w:val="28"/>
          <w:rtl/>
        </w:rPr>
        <w:t xml:space="preserve"> ويجوز لقاضي التوزيع أن يأخذ م تلقاء نفسه بسقوط القيد</w:t>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6 مارس سنة مارس سنة </w:t>
      </w:r>
      <w:smartTag w:uri="urn:schemas-microsoft-com:office:smarttags" w:element="metricconverter">
        <w:smartTagPr>
          <w:attr w:name="ProductID" w:val="1934 م"/>
        </w:smartTagPr>
        <w:r w:rsidRPr="009A072C">
          <w:rPr>
            <w:rFonts w:cs="Traditional Arabic" w:hint="cs"/>
            <w:color w:val="000000"/>
            <w:sz w:val="24"/>
            <w:szCs w:val="28"/>
            <w:rtl/>
          </w:rPr>
          <w:t>1934 م</w:t>
        </w:r>
      </w:smartTag>
      <w:r w:rsidRPr="009A072C">
        <w:rPr>
          <w:rFonts w:cs="Traditional Arabic" w:hint="cs"/>
          <w:color w:val="000000"/>
          <w:sz w:val="24"/>
          <w:szCs w:val="28"/>
          <w:rtl/>
        </w:rPr>
        <w:t xml:space="preserve"> 46 ص 201</w:t>
      </w:r>
      <w:r>
        <w:rPr>
          <w:rFonts w:cs="Traditional Arabic" w:hint="cs"/>
          <w:color w:val="000000"/>
          <w:sz w:val="24"/>
          <w:szCs w:val="28"/>
          <w:rtl/>
        </w:rPr>
        <w:t xml:space="preserve"> .</w:t>
      </w:r>
    </w:p>
  </w:footnote>
  <w:footnote w:id="98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استئناف مصر بأن التمسك بسقوط تسجيل الرهن أو الاختصاص لعدم تجديده في خلال العشر سنوات كما يجوز للدائن المرتهن يجوز للدائن العادي والمشتري الي سجل عقده قبل تجديد تسجيل الرهن</w:t>
      </w:r>
      <w:r>
        <w:rPr>
          <w:rFonts w:cs="Traditional Arabic" w:hint="cs"/>
          <w:color w:val="000000"/>
          <w:sz w:val="24"/>
          <w:szCs w:val="28"/>
          <w:rtl/>
        </w:rPr>
        <w:t xml:space="preserve"> .</w:t>
      </w:r>
      <w:r w:rsidRPr="009A072C">
        <w:rPr>
          <w:rFonts w:cs="Traditional Arabic" w:hint="cs"/>
          <w:color w:val="000000"/>
          <w:sz w:val="24"/>
          <w:szCs w:val="28"/>
          <w:rtl/>
        </w:rPr>
        <w:t xml:space="preserve"> وفي هذه الحالة الأخيرة لا يجوز للدائن المرتهن تجديد تسجيله</w:t>
      </w:r>
      <w:r>
        <w:rPr>
          <w:rFonts w:cs="Traditional Arabic" w:hint="cs"/>
          <w:color w:val="000000"/>
          <w:sz w:val="24"/>
          <w:szCs w:val="28"/>
          <w:rtl/>
        </w:rPr>
        <w:t xml:space="preserve"> ،</w:t>
      </w:r>
      <w:r w:rsidRPr="009A072C">
        <w:rPr>
          <w:rFonts w:cs="Traditional Arabic" w:hint="cs"/>
          <w:color w:val="000000"/>
          <w:sz w:val="24"/>
          <w:szCs w:val="28"/>
          <w:rtl/>
        </w:rPr>
        <w:t xml:space="preserve"> لأن العين تكون قد خرجت من ملك مدين</w:t>
      </w:r>
      <w:r>
        <w:rPr>
          <w:rFonts w:cs="Traditional Arabic" w:hint="cs"/>
          <w:color w:val="000000"/>
          <w:sz w:val="24"/>
          <w:szCs w:val="28"/>
          <w:rtl/>
        </w:rPr>
        <w:t xml:space="preserve"> ،</w:t>
      </w:r>
      <w:r w:rsidRPr="009A072C">
        <w:rPr>
          <w:rFonts w:cs="Traditional Arabic" w:hint="cs"/>
          <w:color w:val="000000"/>
          <w:sz w:val="24"/>
          <w:szCs w:val="28"/>
          <w:rtl/>
        </w:rPr>
        <w:t xml:space="preserve"> ويكون في نفس الحالة التي يكون فيها قد فقد حق الرهن</w:t>
      </w:r>
      <w:r>
        <w:rPr>
          <w:rFonts w:cs="Traditional Arabic" w:hint="cs"/>
          <w:color w:val="000000"/>
          <w:sz w:val="24"/>
          <w:szCs w:val="28"/>
          <w:rtl/>
        </w:rPr>
        <w:t xml:space="preserve"> ،</w:t>
      </w:r>
      <w:r w:rsidRPr="009A072C">
        <w:rPr>
          <w:rFonts w:cs="Traditional Arabic" w:hint="cs"/>
          <w:color w:val="000000"/>
          <w:sz w:val="24"/>
          <w:szCs w:val="28"/>
          <w:rtl/>
        </w:rPr>
        <w:t xml:space="preserve"> وبالتالي يفقد حق البيع ويبقى حقه شخصيا محفوظا ضد مدينه </w:t>
      </w:r>
      <w:r>
        <w:rPr>
          <w:rFonts w:cs="Traditional Arabic" w:hint="cs"/>
          <w:color w:val="000000"/>
          <w:sz w:val="24"/>
          <w:szCs w:val="28"/>
          <w:rtl/>
        </w:rPr>
        <w:t xml:space="preserve">( </w:t>
      </w:r>
      <w:r w:rsidRPr="009A072C">
        <w:rPr>
          <w:rFonts w:cs="Traditional Arabic" w:hint="cs"/>
          <w:color w:val="000000"/>
          <w:sz w:val="24"/>
          <w:szCs w:val="28"/>
          <w:rtl/>
        </w:rPr>
        <w:t>استئناف مصر 21 مارس سنة 34 المحاماة 15 رقم 12 ص 20</w:t>
      </w:r>
      <w:r>
        <w:rPr>
          <w:rFonts w:cs="Traditional Arabic" w:hint="cs"/>
          <w:color w:val="000000"/>
          <w:sz w:val="24"/>
          <w:szCs w:val="28"/>
          <w:rtl/>
        </w:rPr>
        <w:t xml:space="preserve"> ) .</w:t>
      </w:r>
    </w:p>
  </w:footnote>
  <w:footnote w:id="98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5 مايو سنة </w:t>
      </w:r>
      <w:smartTag w:uri="urn:schemas-microsoft-com:office:smarttags" w:element="metricconverter">
        <w:smartTagPr>
          <w:attr w:name="ProductID" w:val="1921 م"/>
        </w:smartTagPr>
        <w:r w:rsidRPr="009A072C">
          <w:rPr>
            <w:rFonts w:cs="Traditional Arabic" w:hint="cs"/>
            <w:color w:val="000000"/>
            <w:sz w:val="24"/>
            <w:szCs w:val="28"/>
            <w:rtl/>
          </w:rPr>
          <w:t>1921 م</w:t>
        </w:r>
      </w:smartTag>
      <w:r w:rsidRPr="009A072C">
        <w:rPr>
          <w:rFonts w:cs="Traditional Arabic" w:hint="cs"/>
          <w:color w:val="000000"/>
          <w:sz w:val="24"/>
          <w:szCs w:val="28"/>
          <w:rtl/>
        </w:rPr>
        <w:t xml:space="preserve"> 34 ص 772</w:t>
      </w:r>
      <w:r>
        <w:rPr>
          <w:rFonts w:cs="Traditional Arabic" w:hint="cs"/>
          <w:color w:val="000000"/>
          <w:sz w:val="24"/>
          <w:szCs w:val="28"/>
          <w:rtl/>
        </w:rPr>
        <w:t xml:space="preserve"> .</w:t>
      </w:r>
    </w:p>
  </w:footnote>
  <w:footnote w:id="98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7 أبريل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332</w:t>
      </w:r>
      <w:r>
        <w:rPr>
          <w:rFonts w:cs="Traditional Arabic" w:hint="cs"/>
          <w:color w:val="000000"/>
          <w:sz w:val="24"/>
          <w:szCs w:val="28"/>
          <w:rtl/>
        </w:rPr>
        <w:t xml:space="preserve"> .</w:t>
      </w:r>
    </w:p>
  </w:footnote>
  <w:footnote w:id="98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8 ديسمبر سنة </w:t>
      </w:r>
      <w:smartTag w:uri="urn:schemas-microsoft-com:office:smarttags" w:element="metricconverter">
        <w:smartTagPr>
          <w:attr w:name="ProductID" w:val="1898 م"/>
        </w:smartTagPr>
        <w:r w:rsidRPr="009A072C">
          <w:rPr>
            <w:rFonts w:cs="Traditional Arabic" w:hint="cs"/>
            <w:color w:val="000000"/>
            <w:sz w:val="24"/>
            <w:szCs w:val="28"/>
            <w:rtl/>
          </w:rPr>
          <w:t>1898 م</w:t>
        </w:r>
      </w:smartTag>
      <w:r w:rsidRPr="009A072C">
        <w:rPr>
          <w:rFonts w:cs="Traditional Arabic" w:hint="cs"/>
          <w:color w:val="000000"/>
          <w:sz w:val="24"/>
          <w:szCs w:val="28"/>
          <w:rtl/>
        </w:rPr>
        <w:t xml:space="preserve"> 11 ص 41 </w:t>
      </w:r>
      <w:r w:rsidRPr="009A072C">
        <w:rPr>
          <w:rFonts w:cs="Traditional Arabic"/>
          <w:color w:val="000000"/>
          <w:sz w:val="24"/>
          <w:szCs w:val="28"/>
          <w:rtl/>
        </w:rPr>
        <w:t>–</w:t>
      </w:r>
      <w:r w:rsidRPr="009A072C">
        <w:rPr>
          <w:rFonts w:cs="Traditional Arabic" w:hint="cs"/>
          <w:color w:val="000000"/>
          <w:sz w:val="24"/>
          <w:szCs w:val="28"/>
          <w:rtl/>
        </w:rPr>
        <w:t xml:space="preserve"> 18 فبراير سنة </w:t>
      </w:r>
      <w:smartTag w:uri="urn:schemas-microsoft-com:office:smarttags" w:element="metricconverter">
        <w:smartTagPr>
          <w:attr w:name="ProductID" w:val="1930 م"/>
        </w:smartTagPr>
        <w:r w:rsidRPr="009A072C">
          <w:rPr>
            <w:rFonts w:cs="Traditional Arabic" w:hint="cs"/>
            <w:color w:val="000000"/>
            <w:sz w:val="24"/>
            <w:szCs w:val="28"/>
            <w:rtl/>
          </w:rPr>
          <w:t>1930 م</w:t>
        </w:r>
      </w:smartTag>
      <w:r w:rsidRPr="009A072C">
        <w:rPr>
          <w:rFonts w:cs="Traditional Arabic" w:hint="cs"/>
          <w:color w:val="000000"/>
          <w:sz w:val="24"/>
          <w:szCs w:val="28"/>
          <w:rtl/>
        </w:rPr>
        <w:t xml:space="preserve"> 42 ص 290 </w:t>
      </w:r>
      <w:r w:rsidRPr="009A072C">
        <w:rPr>
          <w:rFonts w:cs="Traditional Arabic"/>
          <w:color w:val="000000"/>
          <w:sz w:val="24"/>
          <w:szCs w:val="28"/>
          <w:rtl/>
        </w:rPr>
        <w:t>–</w:t>
      </w:r>
      <w:r w:rsidRPr="009A072C">
        <w:rPr>
          <w:rFonts w:cs="Traditional Arabic" w:hint="cs"/>
          <w:color w:val="000000"/>
          <w:sz w:val="24"/>
          <w:szCs w:val="28"/>
          <w:rtl/>
        </w:rPr>
        <w:t xml:space="preserve"> 7 أبريل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332 </w:t>
      </w:r>
      <w:r w:rsidRPr="009A072C">
        <w:rPr>
          <w:rFonts w:cs="Traditional Arabic"/>
          <w:color w:val="000000"/>
          <w:sz w:val="24"/>
          <w:szCs w:val="28"/>
          <w:rtl/>
        </w:rPr>
        <w:t>–</w:t>
      </w:r>
      <w:r w:rsidRPr="009A072C">
        <w:rPr>
          <w:rFonts w:cs="Traditional Arabic" w:hint="cs"/>
          <w:color w:val="000000"/>
          <w:sz w:val="24"/>
          <w:szCs w:val="28"/>
          <w:rtl/>
        </w:rPr>
        <w:t xml:space="preserve"> 9 مايو سنة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51 ص 309 0 استئناف مصر 31 ماس سنة 1934 المحاماة 15 رقم 12 ص 20</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وتقول المادة 43 من قانون تنظيم الشهر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كما رأينا</w:t>
      </w:r>
      <w:r>
        <w:rPr>
          <w:rFonts w:cs="Traditional Arabic" w:hint="cs"/>
          <w:color w:val="000000"/>
          <w:sz w:val="24"/>
          <w:szCs w:val="28"/>
          <w:rtl/>
        </w:rPr>
        <w:t xml:space="preserve"> ،</w:t>
      </w:r>
      <w:r w:rsidRPr="009A072C">
        <w:rPr>
          <w:rFonts w:cs="Traditional Arabic" w:hint="cs"/>
          <w:color w:val="000000"/>
          <w:sz w:val="24"/>
          <w:szCs w:val="28"/>
          <w:rtl/>
        </w:rPr>
        <w:t xml:space="preserve">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"على أن الدائن أن يجري قيدا جديدا</w:t>
      </w:r>
      <w:r>
        <w:rPr>
          <w:rFonts w:cs="Traditional Arabic" w:hint="cs"/>
          <w:color w:val="000000"/>
          <w:sz w:val="24"/>
          <w:szCs w:val="28"/>
          <w:rtl/>
        </w:rPr>
        <w:t xml:space="preserve"> ،</w:t>
      </w:r>
      <w:r w:rsidRPr="009A072C">
        <w:rPr>
          <w:rFonts w:cs="Traditional Arabic" w:hint="cs"/>
          <w:color w:val="000000"/>
          <w:sz w:val="24"/>
          <w:szCs w:val="28"/>
          <w:rtl/>
        </w:rPr>
        <w:t xml:space="preserve"> إن أمكن ذلك قانونا</w:t>
      </w:r>
      <w:r>
        <w:rPr>
          <w:rFonts w:cs="Traditional Arabic" w:hint="cs"/>
          <w:color w:val="000000"/>
          <w:sz w:val="24"/>
          <w:szCs w:val="28"/>
          <w:rtl/>
        </w:rPr>
        <w:t xml:space="preserve"> ،</w:t>
      </w:r>
      <w:r w:rsidRPr="009A072C">
        <w:rPr>
          <w:rFonts w:cs="Traditional Arabic" w:hint="cs"/>
          <w:color w:val="000000"/>
          <w:sz w:val="24"/>
          <w:szCs w:val="28"/>
          <w:rtl/>
        </w:rPr>
        <w:t xml:space="preserve"> تكون مرتبته من وقت إجرائه"</w:t>
      </w:r>
      <w:r>
        <w:rPr>
          <w:rFonts w:cs="Traditional Arabic" w:hint="cs"/>
          <w:color w:val="000000"/>
          <w:sz w:val="24"/>
          <w:szCs w:val="28"/>
          <w:rtl/>
        </w:rPr>
        <w:t xml:space="preserve"> .</w:t>
      </w:r>
    </w:p>
  </w:footnote>
  <w:footnote w:id="99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كان متقرحا تعديل هذا الحكم</w:t>
      </w:r>
      <w:r>
        <w:rPr>
          <w:rFonts w:cs="Traditional Arabic" w:hint="cs"/>
          <w:color w:val="000000"/>
          <w:sz w:val="24"/>
          <w:szCs w:val="28"/>
          <w:rtl/>
        </w:rPr>
        <w:t xml:space="preserve"> ،</w:t>
      </w:r>
      <w:r w:rsidRPr="009A072C">
        <w:rPr>
          <w:rFonts w:cs="Traditional Arabic" w:hint="cs"/>
          <w:color w:val="000000"/>
          <w:sz w:val="24"/>
          <w:szCs w:val="28"/>
          <w:rtl/>
        </w:rPr>
        <w:t xml:space="preserve"> فوضع نص في المشروع التمهيدي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"يجوز تجديد القيد كل عشر سنوا</w:t>
      </w:r>
      <w:r>
        <w:rPr>
          <w:rFonts w:cs="Traditional Arabic" w:hint="cs"/>
          <w:color w:val="000000"/>
          <w:sz w:val="24"/>
          <w:szCs w:val="28"/>
          <w:rtl/>
        </w:rPr>
        <w:t xml:space="preserve"> .</w:t>
      </w:r>
      <w:r w:rsidRPr="009A072C">
        <w:rPr>
          <w:rFonts w:cs="Traditional Arabic" w:hint="cs"/>
          <w:color w:val="000000"/>
          <w:sz w:val="24"/>
          <w:szCs w:val="28"/>
          <w:rtl/>
        </w:rPr>
        <w:t xml:space="preserve"> فإذا أجرى التجديد بعد انقضاء هذه المدة</w:t>
      </w:r>
      <w:r>
        <w:rPr>
          <w:rFonts w:cs="Traditional Arabic" w:hint="cs"/>
          <w:color w:val="000000"/>
          <w:sz w:val="24"/>
          <w:szCs w:val="28"/>
          <w:rtl/>
        </w:rPr>
        <w:t xml:space="preserve"> ،</w:t>
      </w:r>
      <w:r w:rsidRPr="009A072C">
        <w:rPr>
          <w:rFonts w:cs="Traditional Arabic" w:hint="cs"/>
          <w:color w:val="000000"/>
          <w:sz w:val="24"/>
          <w:szCs w:val="28"/>
          <w:rtl/>
        </w:rPr>
        <w:t xml:space="preserve"> فلا تحسب مرتبة الرهن إلا من تاريخ إجراء التجديد بالنسبة إلى الغير الذي كسب حقا عينيا على العقار في المدة ما بين انقضاء عشر السنوات وإجراء التجديد وقام بشهر هذا الحق قبل تجديد القيد</w:t>
      </w:r>
      <w:r>
        <w:rPr>
          <w:rFonts w:cs="Traditional Arabic" w:hint="cs"/>
          <w:color w:val="000000"/>
          <w:sz w:val="24"/>
          <w:szCs w:val="28"/>
          <w:rtl/>
        </w:rPr>
        <w:t xml:space="preserve"> .</w:t>
      </w:r>
      <w:r w:rsidRPr="009A072C">
        <w:rPr>
          <w:rFonts w:cs="Traditional Arabic" w:hint="cs"/>
          <w:color w:val="000000"/>
          <w:sz w:val="24"/>
          <w:szCs w:val="28"/>
          <w:rtl/>
        </w:rPr>
        <w:t xml:space="preserve">  أما بالنسبة إلى أصحاب الحقوق العينية الأخرى</w:t>
      </w:r>
      <w:r>
        <w:rPr>
          <w:rFonts w:cs="Traditional Arabic" w:hint="cs"/>
          <w:color w:val="000000"/>
          <w:sz w:val="24"/>
          <w:szCs w:val="28"/>
          <w:rtl/>
        </w:rPr>
        <w:t xml:space="preserve"> ،</w:t>
      </w:r>
      <w:r w:rsidRPr="009A072C">
        <w:rPr>
          <w:rFonts w:cs="Traditional Arabic" w:hint="cs"/>
          <w:color w:val="000000"/>
          <w:sz w:val="24"/>
          <w:szCs w:val="28"/>
          <w:rtl/>
        </w:rPr>
        <w:t xml:space="preserve"> فتبقى مرتبة الرهن محسوبة من تاريخ إجراء القيد الأصلي" </w:t>
      </w:r>
      <w:r>
        <w:rPr>
          <w:rFonts w:cs="Traditional Arabic" w:hint="cs"/>
          <w:color w:val="000000"/>
          <w:sz w:val="24"/>
          <w:szCs w:val="28"/>
          <w:rtl/>
        </w:rPr>
        <w:t xml:space="preserve">( </w:t>
      </w:r>
      <w:r w:rsidRPr="009A072C">
        <w:rPr>
          <w:rFonts w:cs="Traditional Arabic" w:hint="cs"/>
          <w:color w:val="000000"/>
          <w:sz w:val="24"/>
          <w:szCs w:val="28"/>
          <w:rtl/>
        </w:rPr>
        <w:t>المذكرة الإيضاحية لمشروع تنقيح التقنين المدني جزء 4 ص 297</w:t>
      </w:r>
      <w:r>
        <w:rPr>
          <w:rFonts w:cs="Traditional Arabic" w:hint="cs"/>
          <w:color w:val="000000"/>
          <w:sz w:val="24"/>
          <w:szCs w:val="28"/>
          <w:rtl/>
        </w:rPr>
        <w:t xml:space="preserve"> ) .</w:t>
      </w:r>
      <w:r w:rsidRPr="009A072C">
        <w:rPr>
          <w:rFonts w:cs="Traditional Arabic" w:hint="cs"/>
          <w:color w:val="000000"/>
          <w:sz w:val="24"/>
          <w:szCs w:val="28"/>
          <w:rtl/>
        </w:rPr>
        <w:t xml:space="preserve"> ولما سحب م مشروع التقنين المدني الجديد النص المتعلقة بالقيد لتضمينها قانون الشهر العقاري لم يلتفت إلى اقتراح هذا التعديل</w:t>
      </w:r>
      <w:r>
        <w:rPr>
          <w:rFonts w:cs="Traditional Arabic" w:hint="cs"/>
          <w:color w:val="000000"/>
          <w:sz w:val="24"/>
          <w:szCs w:val="28"/>
          <w:rtl/>
        </w:rPr>
        <w:t xml:space="preserve"> ،</w:t>
      </w:r>
      <w:r w:rsidRPr="009A072C">
        <w:rPr>
          <w:rFonts w:cs="Traditional Arabic" w:hint="cs"/>
          <w:color w:val="000000"/>
          <w:sz w:val="24"/>
          <w:szCs w:val="28"/>
          <w:rtl/>
        </w:rPr>
        <w:t xml:space="preserve"> وصدر قانون الشهر العقاري دون أن يأخذ به </w:t>
      </w:r>
      <w:r>
        <w:rPr>
          <w:rFonts w:cs="Traditional Arabic" w:hint="cs"/>
          <w:color w:val="000000"/>
          <w:sz w:val="24"/>
          <w:szCs w:val="28"/>
          <w:rtl/>
        </w:rPr>
        <w:t xml:space="preserve">( </w:t>
      </w:r>
      <w:r w:rsidRPr="009A072C">
        <w:rPr>
          <w:rFonts w:cs="Traditional Arabic" w:hint="cs"/>
          <w:color w:val="000000"/>
          <w:sz w:val="24"/>
          <w:szCs w:val="28"/>
          <w:rtl/>
        </w:rPr>
        <w:t xml:space="preserve">سليمان مرقس فقرة 110 </w:t>
      </w:r>
      <w:r w:rsidRPr="009A072C">
        <w:rPr>
          <w:rFonts w:cs="Traditional Arabic"/>
          <w:color w:val="000000"/>
          <w:sz w:val="24"/>
          <w:szCs w:val="28"/>
          <w:rtl/>
        </w:rPr>
        <w:t>–</w:t>
      </w:r>
      <w:r w:rsidRPr="009A072C">
        <w:rPr>
          <w:rFonts w:cs="Traditional Arabic" w:hint="cs"/>
          <w:color w:val="000000"/>
          <w:sz w:val="24"/>
          <w:szCs w:val="28"/>
          <w:rtl/>
        </w:rPr>
        <w:t xml:space="preserve"> وانظر محمد كامل مرسي فقرة 107 ص 165 هامش 2</w:t>
      </w:r>
      <w:r>
        <w:rPr>
          <w:rFonts w:cs="Traditional Arabic" w:hint="cs"/>
          <w:color w:val="000000"/>
          <w:sz w:val="24"/>
          <w:szCs w:val="28"/>
          <w:rtl/>
        </w:rPr>
        <w:t xml:space="preserve"> ) .</w:t>
      </w:r>
    </w:p>
  </w:footnote>
  <w:footnote w:id="99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17 يونيه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358</w:t>
      </w:r>
      <w:r>
        <w:rPr>
          <w:rFonts w:cs="Traditional Arabic" w:hint="cs"/>
          <w:color w:val="000000"/>
          <w:sz w:val="24"/>
          <w:szCs w:val="28"/>
          <w:rtl/>
        </w:rPr>
        <w:t xml:space="preserve"> .</w:t>
      </w:r>
    </w:p>
  </w:footnote>
  <w:footnote w:id="99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5 يونيه سنة </w:t>
      </w:r>
      <w:smartTag w:uri="urn:schemas-microsoft-com:office:smarttags" w:element="metricconverter">
        <w:smartTagPr>
          <w:attr w:name="ProductID" w:val="1934 م"/>
        </w:smartTagPr>
        <w:r w:rsidRPr="009A072C">
          <w:rPr>
            <w:rFonts w:cs="Traditional Arabic" w:hint="cs"/>
            <w:color w:val="000000"/>
            <w:sz w:val="24"/>
            <w:szCs w:val="28"/>
            <w:rtl/>
          </w:rPr>
          <w:t>1934 م</w:t>
        </w:r>
      </w:smartTag>
      <w:r w:rsidRPr="009A072C">
        <w:rPr>
          <w:rFonts w:cs="Traditional Arabic" w:hint="cs"/>
          <w:color w:val="000000"/>
          <w:sz w:val="24"/>
          <w:szCs w:val="28"/>
          <w:rtl/>
        </w:rPr>
        <w:t xml:space="preserve"> 46 ص 314</w:t>
      </w:r>
      <w:r>
        <w:rPr>
          <w:rFonts w:cs="Traditional Arabic" w:hint="cs"/>
          <w:color w:val="000000"/>
          <w:sz w:val="24"/>
          <w:szCs w:val="28"/>
          <w:rtl/>
        </w:rPr>
        <w:t xml:space="preserve"> .</w:t>
      </w:r>
    </w:p>
  </w:footnote>
  <w:footnote w:id="99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112 ص 180 هامش 3</w:t>
      </w:r>
      <w:r>
        <w:rPr>
          <w:rFonts w:cs="Traditional Arabic" w:hint="cs"/>
          <w:color w:val="000000"/>
          <w:sz w:val="24"/>
          <w:szCs w:val="28"/>
          <w:rtl/>
        </w:rPr>
        <w:t xml:space="preserve"> .</w:t>
      </w:r>
    </w:p>
  </w:footnote>
  <w:footnote w:id="99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15 يونيه سنة </w:t>
      </w:r>
      <w:smartTag w:uri="urn:schemas-microsoft-com:office:smarttags" w:element="metricconverter">
        <w:smartTagPr>
          <w:attr w:name="ProductID" w:val="1892 م"/>
        </w:smartTagPr>
        <w:r w:rsidRPr="009A072C">
          <w:rPr>
            <w:rFonts w:cs="Traditional Arabic" w:hint="cs"/>
            <w:color w:val="000000"/>
            <w:sz w:val="24"/>
            <w:szCs w:val="28"/>
            <w:rtl/>
          </w:rPr>
          <w:t>1892 م</w:t>
        </w:r>
      </w:smartTag>
      <w:r w:rsidRPr="009A072C">
        <w:rPr>
          <w:rFonts w:cs="Traditional Arabic" w:hint="cs"/>
          <w:color w:val="000000"/>
          <w:sz w:val="24"/>
          <w:szCs w:val="28"/>
          <w:rtl/>
        </w:rPr>
        <w:t xml:space="preserve"> 5 ص 316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112 ص 181</w:t>
      </w:r>
      <w:r>
        <w:rPr>
          <w:rFonts w:cs="Traditional Arabic" w:hint="cs"/>
          <w:color w:val="000000"/>
          <w:sz w:val="24"/>
          <w:szCs w:val="28"/>
          <w:rtl/>
        </w:rPr>
        <w:t xml:space="preserve"> .</w:t>
      </w:r>
    </w:p>
  </w:footnote>
  <w:footnote w:id="99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110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112 ص 181</w:t>
      </w:r>
      <w:r>
        <w:rPr>
          <w:rFonts w:cs="Traditional Arabic" w:hint="cs"/>
          <w:color w:val="000000"/>
          <w:sz w:val="24"/>
          <w:szCs w:val="28"/>
          <w:rtl/>
        </w:rPr>
        <w:t xml:space="preserve"> .</w:t>
      </w:r>
    </w:p>
  </w:footnote>
  <w:footnote w:id="99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3781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112 ص 181</w:t>
      </w:r>
      <w:r>
        <w:rPr>
          <w:rFonts w:cs="Traditional Arabic" w:hint="cs"/>
          <w:color w:val="000000"/>
          <w:sz w:val="24"/>
          <w:szCs w:val="28"/>
          <w:rtl/>
        </w:rPr>
        <w:t xml:space="preserve"> .</w:t>
      </w:r>
    </w:p>
  </w:footnote>
  <w:footnote w:id="99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8 ديسمبر سنة </w:t>
      </w:r>
      <w:smartTag w:uri="urn:schemas-microsoft-com:office:smarttags" w:element="metricconverter">
        <w:smartTagPr>
          <w:attr w:name="ProductID" w:val="1898 م"/>
        </w:smartTagPr>
        <w:r w:rsidRPr="009A072C">
          <w:rPr>
            <w:rFonts w:cs="Traditional Arabic" w:hint="cs"/>
            <w:color w:val="000000"/>
            <w:sz w:val="24"/>
            <w:szCs w:val="28"/>
            <w:rtl/>
          </w:rPr>
          <w:t>1898 م</w:t>
        </w:r>
      </w:smartTag>
      <w:r w:rsidRPr="009A072C">
        <w:rPr>
          <w:rFonts w:cs="Traditional Arabic" w:hint="cs"/>
          <w:color w:val="000000"/>
          <w:sz w:val="24"/>
          <w:szCs w:val="28"/>
          <w:rtl/>
        </w:rPr>
        <w:t xml:space="preserve"> 11 ص 41</w:t>
      </w:r>
      <w:r>
        <w:rPr>
          <w:rFonts w:cs="Traditional Arabic" w:hint="cs"/>
          <w:color w:val="000000"/>
          <w:sz w:val="24"/>
          <w:szCs w:val="28"/>
          <w:rtl/>
        </w:rPr>
        <w:t xml:space="preserve"> .</w:t>
      </w:r>
    </w:p>
  </w:footnote>
  <w:footnote w:id="99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2 فقر ة3787</w:t>
      </w:r>
      <w:r>
        <w:rPr>
          <w:rFonts w:cs="Traditional Arabic" w:hint="cs"/>
          <w:color w:val="000000"/>
          <w:sz w:val="24"/>
          <w:szCs w:val="28"/>
          <w:rtl/>
        </w:rPr>
        <w:t xml:space="preserve"> .</w:t>
      </w:r>
    </w:p>
  </w:footnote>
  <w:footnote w:id="99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25 مارس سنة </w:t>
      </w:r>
      <w:smartTag w:uri="urn:schemas-microsoft-com:office:smarttags" w:element="metricconverter">
        <w:smartTagPr>
          <w:attr w:name="ProductID" w:val="1947 م"/>
        </w:smartTagPr>
        <w:r w:rsidRPr="009A072C">
          <w:rPr>
            <w:rFonts w:cs="Traditional Arabic" w:hint="cs"/>
            <w:color w:val="000000"/>
            <w:sz w:val="24"/>
            <w:szCs w:val="28"/>
            <w:rtl/>
          </w:rPr>
          <w:t>1947 م</w:t>
        </w:r>
      </w:smartTag>
      <w:r w:rsidRPr="009A072C">
        <w:rPr>
          <w:rFonts w:cs="Traditional Arabic" w:hint="cs"/>
          <w:color w:val="000000"/>
          <w:sz w:val="24"/>
          <w:szCs w:val="28"/>
          <w:rtl/>
        </w:rPr>
        <w:t xml:space="preserve"> 59 ص 155</w:t>
      </w:r>
      <w:r>
        <w:rPr>
          <w:rFonts w:cs="Traditional Arabic" w:hint="cs"/>
          <w:color w:val="000000"/>
          <w:sz w:val="24"/>
          <w:szCs w:val="28"/>
          <w:rtl/>
        </w:rPr>
        <w:t xml:space="preserve"> .</w:t>
      </w:r>
    </w:p>
  </w:footnote>
  <w:footnote w:id="100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استئناف مختلط 4 نوفمبر سنة </w:t>
      </w:r>
      <w:smartTag w:uri="urn:schemas-microsoft-com:office:smarttags" w:element="metricconverter">
        <w:smartTagPr>
          <w:attr w:name="ProductID" w:val="1925 م"/>
        </w:smartTagPr>
        <w:r w:rsidRPr="009A072C">
          <w:rPr>
            <w:rFonts w:cs="Traditional Arabic" w:hint="cs"/>
            <w:color w:val="000000"/>
            <w:sz w:val="24"/>
            <w:szCs w:val="28"/>
            <w:rtl/>
          </w:rPr>
          <w:t>1925 م</w:t>
        </w:r>
      </w:smartTag>
      <w:r w:rsidRPr="009A072C">
        <w:rPr>
          <w:rFonts w:cs="Traditional Arabic" w:hint="cs"/>
          <w:color w:val="000000"/>
          <w:sz w:val="24"/>
          <w:szCs w:val="28"/>
          <w:rtl/>
        </w:rPr>
        <w:t xml:space="preserve"> 38 ص 66 </w:t>
      </w:r>
      <w:r w:rsidRPr="009A072C">
        <w:rPr>
          <w:rFonts w:cs="Traditional Arabic"/>
          <w:color w:val="000000"/>
          <w:sz w:val="24"/>
          <w:szCs w:val="28"/>
          <w:rtl/>
        </w:rPr>
        <w:t>–</w:t>
      </w:r>
      <w:r w:rsidRPr="009A072C">
        <w:rPr>
          <w:rFonts w:cs="Traditional Arabic" w:hint="cs"/>
          <w:color w:val="000000"/>
          <w:sz w:val="24"/>
          <w:szCs w:val="28"/>
          <w:rtl/>
        </w:rPr>
        <w:t xml:space="preserve"> 5 مايو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372</w:t>
      </w:r>
      <w:r>
        <w:rPr>
          <w:rFonts w:cs="Traditional Arabic" w:hint="cs"/>
          <w:color w:val="000000"/>
          <w:sz w:val="24"/>
          <w:szCs w:val="28"/>
          <w:rtl/>
        </w:rPr>
        <w:t xml:space="preserve"> .</w:t>
      </w:r>
    </w:p>
  </w:footnote>
  <w:footnote w:id="100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مدني 5 نوفمبر سنة 1953 مجموعة أحكام النقض سنة 1954 ص 121</w:t>
      </w:r>
      <w:r>
        <w:rPr>
          <w:rFonts w:cs="Traditional Arabic" w:hint="cs"/>
          <w:color w:val="000000"/>
          <w:sz w:val="24"/>
          <w:szCs w:val="28"/>
          <w:rtl/>
        </w:rPr>
        <w:t xml:space="preserve"> .</w:t>
      </w:r>
    </w:p>
  </w:footnote>
  <w:footnote w:id="100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نصت المادة 1070 مدني على أنه "إذا لم يطلب بيع العقار في الميعاد والأوضاع المقررة</w:t>
      </w:r>
      <w:r>
        <w:rPr>
          <w:rFonts w:cs="Traditional Arabic" w:hint="cs"/>
          <w:color w:val="000000"/>
          <w:sz w:val="24"/>
          <w:szCs w:val="28"/>
          <w:rtl/>
        </w:rPr>
        <w:t xml:space="preserve"> ،</w:t>
      </w:r>
      <w:r w:rsidRPr="009A072C">
        <w:rPr>
          <w:rFonts w:cs="Traditional Arabic" w:hint="cs"/>
          <w:color w:val="000000"/>
          <w:sz w:val="24"/>
          <w:szCs w:val="28"/>
          <w:rtl/>
        </w:rPr>
        <w:t xml:space="preserve"> استقرت ملكية العقار نهائيا للحائز خالصة من كل حق مقيد إذا هو دفع المبلغ الذي قدم به العقار للدائنين الذين تسمح مرتبتهم باستيفاء حقوقهم منه</w:t>
      </w:r>
      <w:r>
        <w:rPr>
          <w:rFonts w:cs="Traditional Arabic" w:hint="cs"/>
          <w:color w:val="000000"/>
          <w:sz w:val="24"/>
          <w:szCs w:val="28"/>
          <w:rtl/>
        </w:rPr>
        <w:t xml:space="preserve"> ،</w:t>
      </w:r>
      <w:r w:rsidRPr="009A072C">
        <w:rPr>
          <w:rFonts w:cs="Traditional Arabic" w:hint="cs"/>
          <w:color w:val="000000"/>
          <w:sz w:val="24"/>
          <w:szCs w:val="28"/>
          <w:rtl/>
        </w:rPr>
        <w:t xml:space="preserve"> أو إذا هو أودع هذا المبلغ خزانة المحكمة"</w:t>
      </w:r>
      <w:r>
        <w:rPr>
          <w:rFonts w:cs="Traditional Arabic" w:hint="cs"/>
          <w:color w:val="000000"/>
          <w:sz w:val="24"/>
          <w:szCs w:val="28"/>
          <w:rtl/>
        </w:rPr>
        <w:t xml:space="preserve"> .</w:t>
      </w:r>
    </w:p>
  </w:footnote>
  <w:footnote w:id="100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5 مايو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372 </w:t>
      </w:r>
      <w:r w:rsidRPr="009A072C">
        <w:rPr>
          <w:rFonts w:cs="Traditional Arabic"/>
          <w:color w:val="000000"/>
          <w:sz w:val="24"/>
          <w:szCs w:val="28"/>
          <w:rtl/>
        </w:rPr>
        <w:t>–</w:t>
      </w:r>
      <w:r w:rsidRPr="009A072C">
        <w:rPr>
          <w:rFonts w:cs="Traditional Arabic" w:hint="cs"/>
          <w:color w:val="000000"/>
          <w:sz w:val="24"/>
          <w:szCs w:val="28"/>
          <w:rtl/>
        </w:rPr>
        <w:t xml:space="preserve"> وانظر أيضاً استئناف مختلط 24 نوفمبر سنة </w:t>
      </w:r>
      <w:smartTag w:uri="urn:schemas-microsoft-com:office:smarttags" w:element="metricconverter">
        <w:smartTagPr>
          <w:attr w:name="ProductID" w:val="1925 م"/>
        </w:smartTagPr>
        <w:r w:rsidRPr="009A072C">
          <w:rPr>
            <w:rFonts w:cs="Traditional Arabic" w:hint="cs"/>
            <w:color w:val="000000"/>
            <w:sz w:val="24"/>
            <w:szCs w:val="28"/>
            <w:rtl/>
          </w:rPr>
          <w:t>1925 م</w:t>
        </w:r>
      </w:smartTag>
      <w:r w:rsidRPr="009A072C">
        <w:rPr>
          <w:rFonts w:cs="Traditional Arabic" w:hint="cs"/>
          <w:color w:val="000000"/>
          <w:sz w:val="24"/>
          <w:szCs w:val="28"/>
          <w:rtl/>
        </w:rPr>
        <w:t xml:space="preserve"> 38 ص 69</w:t>
      </w:r>
      <w:r>
        <w:rPr>
          <w:rFonts w:cs="Traditional Arabic" w:hint="cs"/>
          <w:color w:val="000000"/>
          <w:sz w:val="24"/>
          <w:szCs w:val="28"/>
          <w:rtl/>
        </w:rPr>
        <w:t xml:space="preserve"> .</w:t>
      </w:r>
    </w:p>
  </w:footnote>
  <w:footnote w:id="100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فقد نصت المادة 1084 مدني عل أنه "إذا بيع العقار المرهون بيعا جبريا بالمزاد العلني</w:t>
      </w:r>
      <w:r>
        <w:rPr>
          <w:rFonts w:cs="Traditional Arabic" w:hint="cs"/>
          <w:color w:val="000000"/>
          <w:sz w:val="24"/>
          <w:szCs w:val="28"/>
          <w:rtl/>
        </w:rPr>
        <w:t xml:space="preserve"> ،</w:t>
      </w:r>
      <w:r w:rsidRPr="009A072C">
        <w:rPr>
          <w:rFonts w:cs="Traditional Arabic" w:hint="cs"/>
          <w:color w:val="000000"/>
          <w:sz w:val="24"/>
          <w:szCs w:val="28"/>
          <w:rtl/>
        </w:rPr>
        <w:t xml:space="preserve"> سواء كان ذلك في مواجهة مالك العقار أو الحائز أو الحارس الذي سلم إليه العقار عند التخلية</w:t>
      </w:r>
      <w:r>
        <w:rPr>
          <w:rFonts w:cs="Traditional Arabic" w:hint="cs"/>
          <w:color w:val="000000"/>
          <w:sz w:val="24"/>
          <w:szCs w:val="28"/>
          <w:rtl/>
        </w:rPr>
        <w:t xml:space="preserve"> ،</w:t>
      </w:r>
      <w:r w:rsidRPr="009A072C">
        <w:rPr>
          <w:rFonts w:cs="Traditional Arabic" w:hint="cs"/>
          <w:color w:val="000000"/>
          <w:sz w:val="24"/>
          <w:szCs w:val="28"/>
          <w:rtl/>
        </w:rPr>
        <w:t xml:space="preserve"> فإن حقوق الرهن على هذا العقار تنقضي بإيداع الثمن الذي رسا به المزاد/ أو بدفعه إلى الدائنين المقيدين الذين تسمح مرتبتهم باستيفاء حقوقهم من هذا الثمن"</w:t>
      </w:r>
    </w:p>
  </w:footnote>
  <w:footnote w:id="100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سليمان مرقس فقرة 113 ص 183 هامش 3</w:t>
      </w:r>
      <w:r>
        <w:rPr>
          <w:rFonts w:cs="Traditional Arabic" w:hint="cs"/>
          <w:color w:val="000000"/>
          <w:sz w:val="24"/>
          <w:szCs w:val="28"/>
          <w:rtl/>
        </w:rPr>
        <w:t xml:space="preserve"> .</w:t>
      </w:r>
    </w:p>
  </w:footnote>
  <w:footnote w:id="100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14 فقرة 940 وما بعدها</w:t>
      </w:r>
      <w:r>
        <w:rPr>
          <w:rFonts w:cs="Traditional Arabic" w:hint="cs"/>
          <w:color w:val="000000"/>
          <w:sz w:val="24"/>
          <w:szCs w:val="28"/>
          <w:rtl/>
        </w:rPr>
        <w:t xml:space="preserve"> .</w:t>
      </w:r>
    </w:p>
  </w:footnote>
  <w:footnote w:id="100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وتنص المادة 19 من قانون تنظيم الشهر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في هذا المعنى</w:t>
      </w:r>
      <w:r>
        <w:rPr>
          <w:rFonts w:cs="Traditional Arabic" w:hint="cs"/>
          <w:color w:val="000000"/>
          <w:sz w:val="24"/>
          <w:szCs w:val="28"/>
          <w:rtl/>
        </w:rPr>
        <w:t xml:space="preserve"> ،</w:t>
      </w:r>
      <w:r w:rsidRPr="009A072C">
        <w:rPr>
          <w:rFonts w:cs="Traditional Arabic" w:hint="cs"/>
          <w:color w:val="000000"/>
          <w:sz w:val="24"/>
          <w:szCs w:val="28"/>
          <w:rtl/>
        </w:rPr>
        <w:t xml:space="preserve"> على أنه "لا يصح التمسك قبل الغير بتحويل حق مضمون بقيد أو برهن</w:t>
      </w:r>
      <w:r>
        <w:rPr>
          <w:rFonts w:cs="Traditional Arabic" w:hint="cs"/>
          <w:color w:val="000000"/>
          <w:sz w:val="24"/>
          <w:szCs w:val="28"/>
          <w:rtl/>
        </w:rPr>
        <w:t xml:space="preserve"> ،</w:t>
      </w:r>
      <w:r w:rsidRPr="009A072C">
        <w:rPr>
          <w:rFonts w:cs="Traditional Arabic" w:hint="cs"/>
          <w:color w:val="000000"/>
          <w:sz w:val="24"/>
          <w:szCs w:val="28"/>
          <w:rtl/>
        </w:rPr>
        <w:t xml:space="preserve"> ولا التمسك بالحق الناشئ من حلول شخص محل الدائن في هذا الحق بحكم القانون أو بالاتفاق</w:t>
      </w:r>
      <w:r>
        <w:rPr>
          <w:rFonts w:cs="Traditional Arabic" w:hint="cs"/>
          <w:color w:val="000000"/>
          <w:sz w:val="24"/>
          <w:szCs w:val="28"/>
          <w:rtl/>
        </w:rPr>
        <w:t xml:space="preserve"> ،</w:t>
      </w:r>
      <w:r w:rsidRPr="009A072C">
        <w:rPr>
          <w:rFonts w:cs="Traditional Arabic" w:hint="cs"/>
          <w:color w:val="000000"/>
          <w:sz w:val="24"/>
          <w:szCs w:val="28"/>
          <w:rtl/>
        </w:rPr>
        <w:t xml:space="preserve"> ولا التمسك كذلك بمحو القيد</w:t>
      </w:r>
      <w:r>
        <w:rPr>
          <w:rFonts w:cs="Traditional Arabic" w:hint="cs"/>
          <w:color w:val="000000"/>
          <w:sz w:val="24"/>
          <w:szCs w:val="28"/>
          <w:rtl/>
        </w:rPr>
        <w:t xml:space="preserve"> ،</w:t>
      </w:r>
      <w:r w:rsidRPr="009A072C">
        <w:rPr>
          <w:rFonts w:cs="Traditional Arabic" w:hint="cs"/>
          <w:color w:val="000000"/>
          <w:sz w:val="24"/>
          <w:szCs w:val="28"/>
          <w:rtl/>
        </w:rPr>
        <w:t xml:space="preserve"> أو بالتنازل عن مرتبة القيد</w:t>
      </w:r>
      <w:r>
        <w:rPr>
          <w:rFonts w:cs="Traditional Arabic" w:hint="cs"/>
          <w:color w:val="000000"/>
          <w:sz w:val="24"/>
          <w:szCs w:val="28"/>
          <w:rtl/>
        </w:rPr>
        <w:t xml:space="preserve"> ،</w:t>
      </w:r>
      <w:r w:rsidRPr="009A072C">
        <w:rPr>
          <w:rFonts w:cs="Traditional Arabic" w:hint="cs"/>
          <w:color w:val="000000"/>
          <w:sz w:val="24"/>
          <w:szCs w:val="28"/>
          <w:rtl/>
        </w:rPr>
        <w:t xml:space="preserve"> إلا إذا حصل التأشير بذلك في هامش القيد الأصلي"</w:t>
      </w:r>
      <w:r>
        <w:rPr>
          <w:rFonts w:cs="Traditional Arabic" w:hint="cs"/>
          <w:color w:val="000000"/>
          <w:sz w:val="24"/>
          <w:szCs w:val="28"/>
          <w:rtl/>
        </w:rPr>
        <w:t xml:space="preserve"> .</w:t>
      </w:r>
    </w:p>
  </w:footnote>
  <w:footnote w:id="100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يعرض من الأسباب ما يقضي بمحو القيد</w:t>
      </w:r>
      <w:r>
        <w:rPr>
          <w:rFonts w:cs="Traditional Arabic" w:hint="cs"/>
          <w:color w:val="000000"/>
          <w:sz w:val="24"/>
          <w:szCs w:val="28"/>
          <w:rtl/>
        </w:rPr>
        <w:t xml:space="preserve"> ،</w:t>
      </w:r>
      <w:r w:rsidRPr="009A072C">
        <w:rPr>
          <w:rFonts w:cs="Traditional Arabic" w:hint="cs"/>
          <w:color w:val="000000"/>
          <w:sz w:val="24"/>
          <w:szCs w:val="28"/>
          <w:rtl/>
        </w:rPr>
        <w:t xml:space="preserve"> وهنا استلزم المشرع أيضاً في المادة 19 من قانون الشهر العقار أن يتم هذا المحو بالتأشير على هامش القيد الأصلي</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وقد نصت المادة 37 من قانون الشهر العقاري على أن "تقدم الطلبات الخاصة بالتأشير الهامشي لمكتب الشهر الذي تم فيه شهر المقرر المراد التأشير على هامش</w:t>
      </w:r>
      <w:r>
        <w:rPr>
          <w:rFonts w:cs="Traditional Arabic" w:hint="cs"/>
          <w:color w:val="000000"/>
          <w:sz w:val="24"/>
          <w:szCs w:val="28"/>
          <w:rtl/>
        </w:rPr>
        <w:t xml:space="preserve"> .</w:t>
      </w:r>
      <w:r w:rsidRPr="009A072C">
        <w:rPr>
          <w:rFonts w:cs="Traditional Arabic" w:hint="cs"/>
          <w:color w:val="000000"/>
          <w:sz w:val="24"/>
          <w:szCs w:val="28"/>
          <w:rtl/>
        </w:rPr>
        <w:t xml:space="preserve"> ويجب أن يكون الطلب مشتملا على اسم الطالب ولقبه وصناعته وصفته ومحل إقامته</w:t>
      </w:r>
      <w:r>
        <w:rPr>
          <w:rFonts w:cs="Traditional Arabic" w:hint="cs"/>
          <w:color w:val="000000"/>
          <w:sz w:val="24"/>
          <w:szCs w:val="28"/>
          <w:rtl/>
        </w:rPr>
        <w:t xml:space="preserve"> ،</w:t>
      </w:r>
      <w:r w:rsidRPr="009A072C">
        <w:rPr>
          <w:rFonts w:cs="Traditional Arabic" w:hint="cs"/>
          <w:color w:val="000000"/>
          <w:sz w:val="24"/>
          <w:szCs w:val="28"/>
          <w:rtl/>
        </w:rPr>
        <w:t xml:space="preserve"> وعلى بيان لفرع المحرر المتقدم ذكره وتاريخ ورقم شهره والسند الذي يبيح التأشير مع إيضاح تاريخه ونوعه ومضمونه والجهة التي صدر منه وأسماء ذوي الشأن فيه</w:t>
      </w:r>
      <w:r>
        <w:rPr>
          <w:rFonts w:cs="Traditional Arabic" w:hint="cs"/>
          <w:color w:val="000000"/>
          <w:sz w:val="24"/>
          <w:szCs w:val="28"/>
          <w:rtl/>
        </w:rPr>
        <w:t xml:space="preserve"> .</w:t>
      </w:r>
      <w:r w:rsidRPr="009A072C">
        <w:rPr>
          <w:rFonts w:cs="Traditional Arabic" w:hint="cs"/>
          <w:color w:val="000000"/>
          <w:sz w:val="24"/>
          <w:szCs w:val="28"/>
          <w:rtl/>
        </w:rPr>
        <w:t xml:space="preserve"> ويجب أن يكون مصحوبا بهذا السند</w:t>
      </w:r>
      <w:r>
        <w:rPr>
          <w:rFonts w:cs="Traditional Arabic" w:hint="cs"/>
          <w:color w:val="000000"/>
          <w:sz w:val="24"/>
          <w:szCs w:val="28"/>
          <w:rtl/>
        </w:rPr>
        <w:t xml:space="preserve"> ،</w:t>
      </w:r>
      <w:r w:rsidRPr="009A072C">
        <w:rPr>
          <w:rFonts w:cs="Traditional Arabic" w:hint="cs"/>
          <w:color w:val="000000"/>
          <w:sz w:val="24"/>
          <w:szCs w:val="28"/>
          <w:rtl/>
        </w:rPr>
        <w:t xml:space="preserve"> وبسائر الأوراق المؤدية له</w:t>
      </w:r>
      <w:r>
        <w:rPr>
          <w:rFonts w:cs="Traditional Arabic" w:hint="cs"/>
          <w:color w:val="000000"/>
          <w:sz w:val="24"/>
          <w:szCs w:val="28"/>
          <w:rtl/>
        </w:rPr>
        <w:t xml:space="preserve"> .</w:t>
      </w:r>
      <w:r w:rsidRPr="009A072C">
        <w:rPr>
          <w:rFonts w:cs="Traditional Arabic" w:hint="cs"/>
          <w:color w:val="000000"/>
          <w:sz w:val="24"/>
          <w:szCs w:val="28"/>
          <w:rtl/>
        </w:rPr>
        <w:t xml:space="preserve"> ولمكتب الشهر أن يحيل الطلب إلى مأمورية الشهر المختصة</w:t>
      </w:r>
      <w:r>
        <w:rPr>
          <w:rFonts w:cs="Traditional Arabic" w:hint="cs"/>
          <w:color w:val="000000"/>
          <w:sz w:val="24"/>
          <w:szCs w:val="28"/>
          <w:rtl/>
        </w:rPr>
        <w:t xml:space="preserve"> ،</w:t>
      </w:r>
      <w:r w:rsidRPr="009A072C">
        <w:rPr>
          <w:rFonts w:cs="Traditional Arabic" w:hint="cs"/>
          <w:color w:val="000000"/>
          <w:sz w:val="24"/>
          <w:szCs w:val="28"/>
          <w:rtl/>
        </w:rPr>
        <w:t xml:space="preserve"> عند الاقتضاء</w:t>
      </w:r>
      <w:r>
        <w:rPr>
          <w:rFonts w:cs="Traditional Arabic" w:hint="cs"/>
          <w:color w:val="000000"/>
          <w:sz w:val="24"/>
          <w:szCs w:val="28"/>
          <w:rtl/>
        </w:rPr>
        <w:t xml:space="preserve"> .</w:t>
      </w:r>
      <w:r w:rsidRPr="009A072C">
        <w:rPr>
          <w:rFonts w:cs="Traditional Arabic" w:hint="cs"/>
          <w:color w:val="000000"/>
          <w:sz w:val="24"/>
          <w:szCs w:val="28"/>
          <w:rtl/>
        </w:rPr>
        <w:t xml:space="preserve"> وتتبع في التأشير الهامشي وحفظ المحررات التي يتم بمقتضاها</w:t>
      </w:r>
      <w:r>
        <w:rPr>
          <w:rFonts w:cs="Traditional Arabic" w:hint="cs"/>
          <w:color w:val="000000"/>
          <w:sz w:val="24"/>
          <w:szCs w:val="28"/>
          <w:rtl/>
        </w:rPr>
        <w:t xml:space="preserve"> ،</w:t>
      </w:r>
      <w:r w:rsidRPr="009A072C">
        <w:rPr>
          <w:rFonts w:cs="Traditional Arabic" w:hint="cs"/>
          <w:color w:val="000000"/>
          <w:sz w:val="24"/>
          <w:szCs w:val="28"/>
          <w:rtl/>
        </w:rPr>
        <w:t xml:space="preserve"> الأحكام الواردة في اللائحة التنفيذية"</w:t>
      </w:r>
      <w:r>
        <w:rPr>
          <w:rFonts w:cs="Traditional Arabic" w:hint="cs"/>
          <w:color w:val="000000"/>
          <w:sz w:val="24"/>
          <w:szCs w:val="28"/>
          <w:rtl/>
        </w:rPr>
        <w:t xml:space="preserve"> .</w:t>
      </w:r>
    </w:p>
  </w:footnote>
  <w:footnote w:id="100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يجب أيضاً إقامة الدليل على السبب القانوني لمحو القيد</w:t>
      </w:r>
      <w:r>
        <w:rPr>
          <w:rFonts w:cs="Traditional Arabic" w:hint="cs"/>
          <w:color w:val="000000"/>
          <w:sz w:val="24"/>
          <w:szCs w:val="28"/>
          <w:rtl/>
        </w:rPr>
        <w:t xml:space="preserve"> ،</w:t>
      </w:r>
      <w:r w:rsidRPr="009A072C">
        <w:rPr>
          <w:rFonts w:cs="Traditional Arabic" w:hint="cs"/>
          <w:color w:val="000000"/>
          <w:sz w:val="24"/>
          <w:szCs w:val="28"/>
          <w:rtl/>
        </w:rPr>
        <w:t xml:space="preserve"> وهل هو محو اختياري أو محو قضائي</w:t>
      </w:r>
      <w:r>
        <w:rPr>
          <w:rFonts w:cs="Traditional Arabic" w:hint="cs"/>
          <w:color w:val="000000"/>
          <w:sz w:val="24"/>
          <w:szCs w:val="28"/>
          <w:rtl/>
        </w:rPr>
        <w:t xml:space="preserve"> .</w:t>
      </w:r>
    </w:p>
  </w:footnote>
  <w:footnote w:id="101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"وإذا تبين أمين مكتب الشهر أن التأشير الهامشي لم يستوف ما يلزم لإجرائه من البيانات</w:t>
      </w:r>
      <w:r>
        <w:rPr>
          <w:rFonts w:cs="Traditional Arabic" w:hint="cs"/>
          <w:color w:val="000000"/>
          <w:sz w:val="24"/>
          <w:szCs w:val="28"/>
          <w:rtl/>
        </w:rPr>
        <w:t xml:space="preserve"> ،</w:t>
      </w:r>
      <w:r w:rsidRPr="009A072C">
        <w:rPr>
          <w:rFonts w:cs="Traditional Arabic" w:hint="cs"/>
          <w:color w:val="000000"/>
          <w:sz w:val="24"/>
          <w:szCs w:val="28"/>
          <w:rtl/>
        </w:rPr>
        <w:t xml:space="preserve"> أبلغ الطالب أوجه النقص بمقتضى كتاب موصي عليه مصحوب بإخطار وصوله</w:t>
      </w:r>
      <w:r>
        <w:rPr>
          <w:rFonts w:cs="Traditional Arabic" w:hint="cs"/>
          <w:color w:val="000000"/>
          <w:sz w:val="24"/>
          <w:szCs w:val="28"/>
          <w:rtl/>
        </w:rPr>
        <w:t xml:space="preserve"> .</w:t>
      </w:r>
      <w:r w:rsidRPr="009A072C">
        <w:rPr>
          <w:rFonts w:cs="Traditional Arabic" w:hint="cs"/>
          <w:color w:val="000000"/>
          <w:sz w:val="24"/>
          <w:szCs w:val="28"/>
          <w:rtl/>
        </w:rPr>
        <w:t xml:space="preserve"> ويعين في هذا الكتاب أجل لتلافي هذه الأوجه لا يجوز شهرا</w:t>
      </w:r>
      <w:r>
        <w:rPr>
          <w:rFonts w:cs="Traditional Arabic" w:hint="cs"/>
          <w:color w:val="000000"/>
          <w:sz w:val="24"/>
          <w:szCs w:val="28"/>
          <w:rtl/>
        </w:rPr>
        <w:t xml:space="preserve"> ،</w:t>
      </w:r>
      <w:r w:rsidRPr="009A072C">
        <w:rPr>
          <w:rFonts w:cs="Traditional Arabic" w:hint="cs"/>
          <w:color w:val="000000"/>
          <w:sz w:val="24"/>
          <w:szCs w:val="28"/>
          <w:rtl/>
        </w:rPr>
        <w:t xml:space="preserve"> فإذا انقضى الأجل دون استيفاء الطلب اشر عليه الأمين بالحفظ مع إبداء الأسباب</w:t>
      </w:r>
      <w:r>
        <w:rPr>
          <w:rFonts w:cs="Traditional Arabic" w:hint="cs"/>
          <w:color w:val="000000"/>
          <w:sz w:val="24"/>
          <w:szCs w:val="28"/>
          <w:rtl/>
        </w:rPr>
        <w:t xml:space="preserve"> ،</w:t>
      </w:r>
      <w:r w:rsidRPr="009A072C">
        <w:rPr>
          <w:rFonts w:cs="Traditional Arabic" w:hint="cs"/>
          <w:color w:val="000000"/>
          <w:sz w:val="24"/>
          <w:szCs w:val="28"/>
          <w:rtl/>
        </w:rPr>
        <w:t xml:space="preserve"> وأبلغ الطالب ذلك بكتاب موصي عليه مصحوب بإخطار وصوله" </w:t>
      </w:r>
      <w:r>
        <w:rPr>
          <w:rFonts w:cs="Traditional Arabic" w:hint="cs"/>
          <w:color w:val="000000"/>
          <w:sz w:val="24"/>
          <w:szCs w:val="28"/>
          <w:rtl/>
        </w:rPr>
        <w:t xml:space="preserve">( </w:t>
      </w:r>
      <w:r w:rsidRPr="009A072C">
        <w:rPr>
          <w:rFonts w:cs="Traditional Arabic" w:hint="cs"/>
          <w:color w:val="000000"/>
          <w:sz w:val="24"/>
          <w:szCs w:val="28"/>
          <w:rtl/>
        </w:rPr>
        <w:t>م 38 شهر</w:t>
      </w:r>
      <w:r>
        <w:rPr>
          <w:rFonts w:cs="Traditional Arabic" w:hint="cs"/>
          <w:color w:val="000000"/>
          <w:sz w:val="24"/>
          <w:szCs w:val="28"/>
          <w:rtl/>
        </w:rPr>
        <w:t xml:space="preserve"> )</w:t>
      </w:r>
      <w:r w:rsidRPr="009A072C">
        <w:rPr>
          <w:rFonts w:cs="Traditional Arabic" w:hint="cs"/>
          <w:color w:val="000000"/>
          <w:sz w:val="24"/>
          <w:szCs w:val="28"/>
          <w:rtl/>
        </w:rPr>
        <w:t xml:space="preserve"> "ولمن حفظ طلبه أن يطلب إلى أمين مكتب الشهر</w:t>
      </w:r>
      <w:r>
        <w:rPr>
          <w:rFonts w:cs="Traditional Arabic" w:hint="cs"/>
          <w:color w:val="000000"/>
          <w:sz w:val="24"/>
          <w:szCs w:val="28"/>
          <w:rtl/>
        </w:rPr>
        <w:t xml:space="preserve"> ،</w:t>
      </w:r>
      <w:r w:rsidRPr="009A072C">
        <w:rPr>
          <w:rFonts w:cs="Traditional Arabic" w:hint="cs"/>
          <w:color w:val="000000"/>
          <w:sz w:val="24"/>
          <w:szCs w:val="28"/>
          <w:rtl/>
        </w:rPr>
        <w:t xml:space="preserve"> في خلال عشرة أيام من تاريخ إبلاغ قرار الحفظ إليه</w:t>
      </w:r>
      <w:r>
        <w:rPr>
          <w:rFonts w:cs="Traditional Arabic" w:hint="cs"/>
          <w:color w:val="000000"/>
          <w:sz w:val="24"/>
          <w:szCs w:val="28"/>
          <w:rtl/>
        </w:rPr>
        <w:t xml:space="preserve"> ،</w:t>
      </w:r>
      <w:r w:rsidRPr="009A072C">
        <w:rPr>
          <w:rFonts w:cs="Traditional Arabic" w:hint="cs"/>
          <w:color w:val="000000"/>
          <w:sz w:val="24"/>
          <w:szCs w:val="28"/>
          <w:rtl/>
        </w:rPr>
        <w:t xml:space="preserve"> رفع الأمر إلى قاضي الأمور الوقتية بالمحكمة الابتدائية التي يقع مكتب الشهر بدائرتها</w:t>
      </w:r>
      <w:r>
        <w:rPr>
          <w:rFonts w:cs="Traditional Arabic" w:hint="cs"/>
          <w:color w:val="000000"/>
          <w:sz w:val="24"/>
          <w:szCs w:val="28"/>
          <w:rtl/>
        </w:rPr>
        <w:t xml:space="preserve"> .</w:t>
      </w:r>
      <w:r w:rsidRPr="009A072C">
        <w:rPr>
          <w:rFonts w:cs="Traditional Arabic" w:hint="cs"/>
          <w:color w:val="000000"/>
          <w:sz w:val="24"/>
          <w:szCs w:val="28"/>
          <w:rtl/>
        </w:rPr>
        <w:t xml:space="preserve"> ويصدر القاضي قراره على وجه السرعة تبعا لتحقق أو تخلف الشروط التي يتطلب القانون توافرها لإجراء التأشير</w:t>
      </w:r>
      <w:r>
        <w:rPr>
          <w:rFonts w:cs="Traditional Arabic" w:hint="cs"/>
          <w:color w:val="000000"/>
          <w:sz w:val="24"/>
          <w:szCs w:val="28"/>
          <w:rtl/>
        </w:rPr>
        <w:t xml:space="preserve"> ،</w:t>
      </w:r>
      <w:r w:rsidRPr="009A072C">
        <w:rPr>
          <w:rFonts w:cs="Traditional Arabic" w:hint="cs"/>
          <w:color w:val="000000"/>
          <w:sz w:val="24"/>
          <w:szCs w:val="28"/>
          <w:rtl/>
        </w:rPr>
        <w:t xml:space="preserve"> ولا يجوز الطعن في القرارات التي تصدر على هذا الوجه بأي طريق" </w:t>
      </w:r>
      <w:r>
        <w:rPr>
          <w:rFonts w:cs="Traditional Arabic" w:hint="cs"/>
          <w:color w:val="000000"/>
          <w:sz w:val="24"/>
          <w:szCs w:val="28"/>
          <w:rtl/>
        </w:rPr>
        <w:t xml:space="preserve">( </w:t>
      </w:r>
      <w:r w:rsidRPr="009A072C">
        <w:rPr>
          <w:rFonts w:cs="Traditional Arabic" w:hint="cs"/>
          <w:color w:val="000000"/>
          <w:sz w:val="24"/>
          <w:szCs w:val="28"/>
          <w:rtl/>
        </w:rPr>
        <w:t>م 39 شهر</w:t>
      </w:r>
      <w:r>
        <w:rPr>
          <w:rFonts w:cs="Traditional Arabic" w:hint="cs"/>
          <w:color w:val="000000"/>
          <w:sz w:val="24"/>
          <w:szCs w:val="28"/>
          <w:rtl/>
        </w:rPr>
        <w:t xml:space="preserve"> ) .</w:t>
      </w:r>
      <w:r w:rsidRPr="009A072C">
        <w:rPr>
          <w:rFonts w:cs="Traditional Arabic" w:hint="cs"/>
          <w:color w:val="000000"/>
          <w:sz w:val="24"/>
          <w:szCs w:val="28"/>
          <w:rtl/>
        </w:rPr>
        <w:t xml:space="preserve"> "ولا يجوز إجراء أي تأشير هامشي بمقتضى طلب لاحق من شأنه الإخلال بحق طالب التأشير</w:t>
      </w:r>
      <w:r>
        <w:rPr>
          <w:rFonts w:cs="Traditional Arabic" w:hint="cs"/>
          <w:color w:val="000000"/>
          <w:sz w:val="24"/>
          <w:szCs w:val="28"/>
          <w:rtl/>
        </w:rPr>
        <w:t xml:space="preserve"> ،</w:t>
      </w:r>
      <w:r w:rsidRPr="009A072C">
        <w:rPr>
          <w:rFonts w:cs="Traditional Arabic" w:hint="cs"/>
          <w:color w:val="000000"/>
          <w:sz w:val="24"/>
          <w:szCs w:val="28"/>
          <w:rtl/>
        </w:rPr>
        <w:t xml:space="preserve"> إلا بعد انقضاء الميعاد المعين في المادة السابقة أو الفصل في تظلم الطالب على الوجه المبين فيها" </w:t>
      </w:r>
      <w:r>
        <w:rPr>
          <w:rFonts w:cs="Traditional Arabic" w:hint="cs"/>
          <w:color w:val="000000"/>
          <w:sz w:val="24"/>
          <w:szCs w:val="28"/>
          <w:rtl/>
        </w:rPr>
        <w:t xml:space="preserve">( </w:t>
      </w:r>
      <w:r w:rsidRPr="009A072C">
        <w:rPr>
          <w:rFonts w:cs="Traditional Arabic" w:hint="cs"/>
          <w:color w:val="000000"/>
          <w:sz w:val="24"/>
          <w:szCs w:val="28"/>
          <w:rtl/>
        </w:rPr>
        <w:t>م 40 شهر</w:t>
      </w:r>
      <w:r>
        <w:rPr>
          <w:rFonts w:cs="Traditional Arabic" w:hint="cs"/>
          <w:color w:val="000000"/>
          <w:sz w:val="24"/>
          <w:szCs w:val="28"/>
          <w:rtl/>
        </w:rPr>
        <w:t xml:space="preserve"> ) .</w:t>
      </w:r>
    </w:p>
  </w:footnote>
  <w:footnote w:id="101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ويجب على مكتب الشهر أن يوافى المكتب الرئيسي بصورة من التأشيرات الهامشية في نهاية كل شهر</w:t>
      </w:r>
      <w:r>
        <w:rPr>
          <w:rFonts w:cs="Traditional Arabic" w:hint="cs"/>
          <w:color w:val="000000"/>
          <w:sz w:val="24"/>
          <w:szCs w:val="28"/>
          <w:rtl/>
        </w:rPr>
        <w:t xml:space="preserve"> ،</w:t>
      </w:r>
      <w:r w:rsidRPr="009A072C">
        <w:rPr>
          <w:rFonts w:cs="Traditional Arabic" w:hint="cs"/>
          <w:color w:val="000000"/>
          <w:sz w:val="24"/>
          <w:szCs w:val="28"/>
          <w:rtl/>
        </w:rPr>
        <w:t xml:space="preserve"> مع بيان رقم وتاريخ شهر المحررات المتعلق</w:t>
      </w:r>
      <w:r>
        <w:rPr>
          <w:rFonts w:cs="Traditional Arabic" w:hint="cs"/>
          <w:color w:val="000000"/>
          <w:sz w:val="24"/>
          <w:szCs w:val="28"/>
          <w:rtl/>
        </w:rPr>
        <w:t xml:space="preserve"> .</w:t>
      </w:r>
      <w:r w:rsidRPr="009A072C">
        <w:rPr>
          <w:rFonts w:cs="Traditional Arabic" w:hint="cs"/>
          <w:color w:val="000000"/>
          <w:sz w:val="24"/>
          <w:szCs w:val="28"/>
          <w:rtl/>
        </w:rPr>
        <w:t xml:space="preserve"> ويقوم المكتب الرئيس بحفظ هذه الصور</w:t>
      </w:r>
      <w:r>
        <w:rPr>
          <w:rFonts w:cs="Traditional Arabic" w:hint="cs"/>
          <w:color w:val="000000"/>
          <w:sz w:val="24"/>
          <w:szCs w:val="28"/>
          <w:rtl/>
        </w:rPr>
        <w:t xml:space="preserve"> ،</w:t>
      </w:r>
      <w:r w:rsidRPr="009A072C">
        <w:rPr>
          <w:rFonts w:cs="Traditional Arabic" w:hint="cs"/>
          <w:color w:val="000000"/>
          <w:sz w:val="24"/>
          <w:szCs w:val="28"/>
          <w:rtl/>
        </w:rPr>
        <w:t xml:space="preserve"> بعد أن تدرج التأشيرات الواردة بها في هامش صور المحررات أو في ورقة تلحق بهذه الصور </w:t>
      </w:r>
      <w:r>
        <w:rPr>
          <w:rFonts w:cs="Traditional Arabic" w:hint="cs"/>
          <w:color w:val="000000"/>
          <w:sz w:val="24"/>
          <w:szCs w:val="28"/>
          <w:rtl/>
        </w:rPr>
        <w:t xml:space="preserve">( </w:t>
      </w:r>
      <w:r w:rsidRPr="009A072C">
        <w:rPr>
          <w:rFonts w:cs="Traditional Arabic" w:hint="cs"/>
          <w:color w:val="000000"/>
          <w:sz w:val="24"/>
          <w:szCs w:val="28"/>
          <w:rtl/>
        </w:rPr>
        <w:t>م 24 من اللائحة التنفيذية لقانون الشهر العقار</w:t>
      </w:r>
      <w:r>
        <w:rPr>
          <w:rFonts w:cs="Traditional Arabic" w:hint="cs"/>
          <w:color w:val="000000"/>
          <w:sz w:val="24"/>
          <w:szCs w:val="28"/>
          <w:rtl/>
        </w:rPr>
        <w:t xml:space="preserve"> ) .</w:t>
      </w:r>
    </w:p>
  </w:footnote>
  <w:footnote w:id="101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1428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1849 -  أوبري ورو 3 فقرة  181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114 </w:t>
      </w:r>
      <w:r w:rsidRPr="009A072C">
        <w:rPr>
          <w:rFonts w:cs="Traditional Arabic"/>
          <w:color w:val="000000"/>
          <w:sz w:val="24"/>
          <w:szCs w:val="28"/>
          <w:rtl/>
        </w:rPr>
        <w:t>–</w:t>
      </w:r>
      <w:r w:rsidRPr="009A072C">
        <w:rPr>
          <w:rFonts w:cs="Traditional Arabic" w:hint="cs"/>
          <w:color w:val="000000"/>
          <w:sz w:val="24"/>
          <w:szCs w:val="28"/>
          <w:rtl/>
        </w:rPr>
        <w:t xml:space="preserve"> ص 175 </w:t>
      </w:r>
      <w:r w:rsidRPr="009A072C">
        <w:rPr>
          <w:rFonts w:cs="Traditional Arabic"/>
          <w:color w:val="000000"/>
          <w:sz w:val="24"/>
          <w:szCs w:val="28"/>
          <w:rtl/>
        </w:rPr>
        <w:t>–</w:t>
      </w:r>
      <w:r w:rsidRPr="009A072C">
        <w:rPr>
          <w:rFonts w:cs="Traditional Arabic" w:hint="cs"/>
          <w:color w:val="000000"/>
          <w:sz w:val="24"/>
          <w:szCs w:val="28"/>
          <w:rtl/>
        </w:rPr>
        <w:t xml:space="preserve"> وإذا حصل اتفاق على فك الرهن بورقة عرفية</w:t>
      </w:r>
      <w:r>
        <w:rPr>
          <w:rFonts w:cs="Traditional Arabic" w:hint="cs"/>
          <w:color w:val="000000"/>
          <w:sz w:val="24"/>
          <w:szCs w:val="28"/>
          <w:rtl/>
        </w:rPr>
        <w:t xml:space="preserve"> ،</w:t>
      </w:r>
      <w:r w:rsidRPr="009A072C">
        <w:rPr>
          <w:rFonts w:cs="Traditional Arabic" w:hint="cs"/>
          <w:color w:val="000000"/>
          <w:sz w:val="24"/>
          <w:szCs w:val="28"/>
          <w:rtl/>
        </w:rPr>
        <w:t xml:space="preserve"> أمكن اعتبار هذا الاتفاق بمثابة وعد بممحو القيد</w:t>
      </w:r>
      <w:r>
        <w:rPr>
          <w:rFonts w:cs="Traditional Arabic" w:hint="cs"/>
          <w:color w:val="000000"/>
          <w:sz w:val="24"/>
          <w:szCs w:val="28"/>
          <w:rtl/>
        </w:rPr>
        <w:t xml:space="preserve"> ،</w:t>
      </w:r>
      <w:r w:rsidRPr="009A072C">
        <w:rPr>
          <w:rFonts w:cs="Traditional Arabic" w:hint="cs"/>
          <w:color w:val="000000"/>
          <w:sz w:val="24"/>
          <w:szCs w:val="28"/>
          <w:rtl/>
        </w:rPr>
        <w:t xml:space="preserve"> وكان للراهن أن يطلب الحكم بالمحو بناء على هذا الاتفاق </w:t>
      </w:r>
      <w:r>
        <w:rPr>
          <w:rFonts w:cs="Traditional Arabic" w:hint="cs"/>
          <w:color w:val="000000"/>
          <w:sz w:val="24"/>
          <w:szCs w:val="28"/>
          <w:rtl/>
        </w:rPr>
        <w:t xml:space="preserve">( </w:t>
      </w:r>
      <w:r w:rsidRPr="009A072C">
        <w:rPr>
          <w:rFonts w:cs="Traditional Arabic" w:hint="cs"/>
          <w:color w:val="000000"/>
          <w:sz w:val="24"/>
          <w:szCs w:val="28"/>
          <w:rtl/>
        </w:rPr>
        <w:t xml:space="preserve">محمد كامل مرسي فقرة 114 ص 175 هامش 1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420</w:t>
      </w:r>
      <w:r>
        <w:rPr>
          <w:rFonts w:cs="Traditional Arabic" w:hint="cs"/>
          <w:color w:val="000000"/>
          <w:sz w:val="24"/>
          <w:szCs w:val="28"/>
          <w:rtl/>
        </w:rPr>
        <w:t xml:space="preserve"> ) .</w:t>
      </w:r>
    </w:p>
  </w:footnote>
  <w:footnote w:id="101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1417 وفقرة 1435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1821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هامش 37</w:t>
      </w:r>
      <w:r>
        <w:rPr>
          <w:rFonts w:cs="Traditional Arabic" w:hint="cs"/>
          <w:color w:val="000000"/>
          <w:sz w:val="24"/>
          <w:szCs w:val="28"/>
          <w:rtl/>
        </w:rPr>
        <w:t xml:space="preserve"> .</w:t>
      </w:r>
      <w:r w:rsidRPr="009A072C">
        <w:rPr>
          <w:rFonts w:cs="Traditional Arabic" w:hint="cs"/>
          <w:color w:val="000000"/>
          <w:sz w:val="24"/>
          <w:szCs w:val="28"/>
          <w:rtl/>
        </w:rPr>
        <w:t xml:space="preserve"> ويطلق في القانون الفرنسي على العقد الذي يرضى به الدائن برفع القيد وفك الرهن </w:t>
      </w:r>
      <w:r>
        <w:rPr>
          <w:rFonts w:cs="Traditional Arabic"/>
          <w:color w:val="000000"/>
          <w:sz w:val="24"/>
          <w:szCs w:val="28"/>
          <w:rtl/>
        </w:rPr>
        <w:t xml:space="preserve">( </w:t>
      </w:r>
      <w:r w:rsidRPr="009A072C">
        <w:rPr>
          <w:rFonts w:cs="Traditional Arabic"/>
          <w:color w:val="000000"/>
          <w:sz w:val="24"/>
          <w:szCs w:val="28"/>
        </w:rPr>
        <w:t>mainlevee</w:t>
      </w:r>
      <w:r>
        <w:rPr>
          <w:rFonts w:cs="Traditional Arabic"/>
          <w:color w:val="000000"/>
          <w:sz w:val="24"/>
          <w:szCs w:val="28"/>
          <w:rtl/>
        </w:rPr>
        <w:t xml:space="preserve"> )</w:t>
      </w:r>
      <w:r>
        <w:rPr>
          <w:rFonts w:cs="Traditional Arabic" w:hint="cs"/>
          <w:color w:val="000000"/>
          <w:sz w:val="24"/>
          <w:szCs w:val="28"/>
          <w:rtl/>
        </w:rPr>
        <w:t xml:space="preserve"> .</w:t>
      </w:r>
    </w:p>
  </w:footnote>
  <w:footnote w:id="101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1418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1825 وفقرة 11826</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وقد قضى بأن أمين الرهونات مكلف بالتحقق من أن مقرر المحو يملكه عن طريق أوراق لا يرقى إليها الشك</w:t>
      </w:r>
      <w:r>
        <w:rPr>
          <w:rFonts w:cs="Traditional Arabic" w:hint="cs"/>
          <w:color w:val="000000"/>
          <w:sz w:val="24"/>
          <w:szCs w:val="28"/>
          <w:rtl/>
        </w:rPr>
        <w:t xml:space="preserve"> ،</w:t>
      </w:r>
      <w:r w:rsidRPr="009A072C">
        <w:rPr>
          <w:rFonts w:cs="Traditional Arabic" w:hint="cs"/>
          <w:color w:val="000000"/>
          <w:sz w:val="24"/>
          <w:szCs w:val="28"/>
          <w:rtl/>
        </w:rPr>
        <w:t xml:space="preserve"> ولا يعتبر من هذا القبيل الوراق العرفية غير المصدق على التوقيعات التي تحملها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29 أبريل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32 ص 299</w:t>
      </w:r>
      <w:r>
        <w:rPr>
          <w:rFonts w:cs="Traditional Arabic" w:hint="cs"/>
          <w:color w:val="000000"/>
          <w:sz w:val="24"/>
          <w:szCs w:val="28"/>
          <w:rtl/>
        </w:rPr>
        <w:t xml:space="preserve"> ) .</w:t>
      </w:r>
    </w:p>
  </w:footnote>
  <w:footnote w:id="101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1842 وفقرة 2260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ص 634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114 ص 177</w:t>
      </w:r>
      <w:r>
        <w:rPr>
          <w:rFonts w:cs="Traditional Arabic" w:hint="cs"/>
          <w:color w:val="000000"/>
          <w:sz w:val="24"/>
          <w:szCs w:val="28"/>
          <w:rtl/>
        </w:rPr>
        <w:t xml:space="preserve"> .</w:t>
      </w:r>
    </w:p>
  </w:footnote>
  <w:footnote w:id="101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116</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وكانت الفقرة الثانية من المادة 1471 من المشروع التمهيدي تنص على أنه " لا يجوز أن يصدر المحو الاختياري من شخص لا يكون أهلا لإبراء ذمة المدين</w:t>
      </w:r>
      <w:r>
        <w:rPr>
          <w:rFonts w:cs="Traditional Arabic" w:hint="cs"/>
          <w:color w:val="000000"/>
          <w:sz w:val="24"/>
          <w:szCs w:val="28"/>
          <w:rtl/>
        </w:rPr>
        <w:t xml:space="preserve"> ،</w:t>
      </w:r>
      <w:r w:rsidRPr="009A072C">
        <w:rPr>
          <w:rFonts w:cs="Traditional Arabic" w:hint="cs"/>
          <w:color w:val="000000"/>
          <w:sz w:val="24"/>
          <w:szCs w:val="28"/>
          <w:rtl/>
        </w:rPr>
        <w:t xml:space="preserve"> إلا إذا تدخل في ذلك ممن يوجب القانون لصحة هذا الإبراء"</w:t>
      </w:r>
      <w:r>
        <w:rPr>
          <w:rFonts w:cs="Traditional Arabic" w:hint="cs"/>
          <w:color w:val="000000"/>
          <w:sz w:val="24"/>
          <w:szCs w:val="28"/>
          <w:rtl/>
        </w:rPr>
        <w:t xml:space="preserve"> .</w:t>
      </w:r>
      <w:r w:rsidRPr="009A072C">
        <w:rPr>
          <w:rFonts w:cs="Traditional Arabic" w:hint="cs"/>
          <w:color w:val="000000"/>
          <w:sz w:val="24"/>
          <w:szCs w:val="28"/>
          <w:rtl/>
        </w:rPr>
        <w:t xml:space="preserve"> وقد رأت لجنة المراجعة حذف هذه الفقرة</w:t>
      </w:r>
      <w:r>
        <w:rPr>
          <w:rFonts w:cs="Traditional Arabic" w:hint="cs"/>
          <w:color w:val="000000"/>
          <w:sz w:val="24"/>
          <w:szCs w:val="28"/>
          <w:rtl/>
        </w:rPr>
        <w:t xml:space="preserve"> ،</w:t>
      </w:r>
      <w:r w:rsidRPr="009A072C">
        <w:rPr>
          <w:rFonts w:cs="Traditional Arabic" w:hint="cs"/>
          <w:color w:val="000000"/>
          <w:sz w:val="24"/>
          <w:szCs w:val="28"/>
          <w:rtl/>
        </w:rPr>
        <w:t xml:space="preserve"> اكتفاء بالقواعد العامة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73 </w:t>
      </w:r>
      <w:r w:rsidRPr="009A072C">
        <w:rPr>
          <w:rFonts w:cs="Traditional Arabic"/>
          <w:color w:val="000000"/>
          <w:sz w:val="24"/>
          <w:szCs w:val="28"/>
          <w:rtl/>
        </w:rPr>
        <w:t>–</w:t>
      </w:r>
      <w:r w:rsidRPr="009A072C">
        <w:rPr>
          <w:rFonts w:cs="Traditional Arabic" w:hint="cs"/>
          <w:color w:val="000000"/>
          <w:sz w:val="24"/>
          <w:szCs w:val="28"/>
          <w:rtl/>
        </w:rPr>
        <w:t xml:space="preserve"> ص 74</w:t>
      </w:r>
      <w:r>
        <w:rPr>
          <w:rFonts w:cs="Traditional Arabic" w:hint="cs"/>
          <w:color w:val="000000"/>
          <w:sz w:val="24"/>
          <w:szCs w:val="28"/>
          <w:rtl/>
        </w:rPr>
        <w:t xml:space="preserve"> ) .</w:t>
      </w:r>
    </w:p>
  </w:footnote>
  <w:footnote w:id="101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1248</w:t>
      </w:r>
      <w:r>
        <w:rPr>
          <w:rFonts w:cs="Traditional Arabic" w:hint="cs"/>
          <w:color w:val="000000"/>
          <w:sz w:val="24"/>
          <w:szCs w:val="28"/>
          <w:rtl/>
        </w:rPr>
        <w:t xml:space="preserve"> .</w:t>
      </w:r>
    </w:p>
  </w:footnote>
  <w:footnote w:id="101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116 ص 187</w:t>
      </w:r>
      <w:r>
        <w:rPr>
          <w:rFonts w:cs="Traditional Arabic" w:hint="cs"/>
          <w:color w:val="000000"/>
          <w:sz w:val="24"/>
          <w:szCs w:val="28"/>
          <w:rtl/>
        </w:rPr>
        <w:t xml:space="preserve"> .</w:t>
      </w:r>
    </w:p>
  </w:footnote>
  <w:footnote w:id="101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1861</w:t>
      </w:r>
      <w:r>
        <w:rPr>
          <w:rFonts w:cs="Traditional Arabic" w:hint="cs"/>
          <w:color w:val="000000"/>
          <w:sz w:val="24"/>
          <w:szCs w:val="28"/>
          <w:rtl/>
        </w:rPr>
        <w:t xml:space="preserve"> .</w:t>
      </w:r>
    </w:p>
  </w:footnote>
  <w:footnote w:id="102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1861</w:t>
      </w:r>
      <w:r>
        <w:rPr>
          <w:rFonts w:cs="Traditional Arabic" w:hint="cs"/>
          <w:color w:val="000000"/>
          <w:sz w:val="24"/>
          <w:szCs w:val="28"/>
          <w:rtl/>
        </w:rPr>
        <w:t xml:space="preserve"> .</w:t>
      </w:r>
    </w:p>
  </w:footnote>
  <w:footnote w:id="102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ولكن الراهن لا يجو له طلب المحو القضائي بسبب بطلان شكل القيد</w:t>
      </w:r>
      <w:r>
        <w:rPr>
          <w:rFonts w:cs="Traditional Arabic" w:hint="cs"/>
          <w:color w:val="000000"/>
          <w:sz w:val="24"/>
          <w:szCs w:val="28"/>
          <w:rtl/>
        </w:rPr>
        <w:t xml:space="preserve"> ،</w:t>
      </w:r>
      <w:r w:rsidRPr="009A072C">
        <w:rPr>
          <w:rFonts w:cs="Traditional Arabic" w:hint="cs"/>
          <w:color w:val="000000"/>
          <w:sz w:val="24"/>
          <w:szCs w:val="28"/>
          <w:rtl/>
        </w:rPr>
        <w:t xml:space="preserve"> لأنه شرع في مصلحة الغير </w:t>
      </w:r>
      <w:r>
        <w:rPr>
          <w:rFonts w:cs="Traditional Arabic" w:hint="cs"/>
          <w:color w:val="000000"/>
          <w:sz w:val="24"/>
          <w:szCs w:val="28"/>
          <w:rtl/>
        </w:rPr>
        <w:t xml:space="preserve">( </w:t>
      </w:r>
      <w:r w:rsidRPr="009A072C">
        <w:rPr>
          <w:rFonts w:cs="Traditional Arabic" w:hint="cs"/>
          <w:color w:val="000000"/>
          <w:sz w:val="24"/>
          <w:szCs w:val="28"/>
          <w:rtl/>
        </w:rPr>
        <w:t xml:space="preserve">جيوار فقرة 1440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1861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ص 638 هامش 21</w:t>
      </w:r>
      <w:r>
        <w:rPr>
          <w:rFonts w:cs="Traditional Arabic" w:hint="cs"/>
          <w:color w:val="000000"/>
          <w:sz w:val="24"/>
          <w:szCs w:val="28"/>
          <w:rtl/>
        </w:rPr>
        <w:t xml:space="preserve"> ) .</w:t>
      </w:r>
      <w:r w:rsidRPr="009A072C">
        <w:rPr>
          <w:rFonts w:cs="Traditional Arabic" w:hint="cs"/>
          <w:color w:val="000000"/>
          <w:sz w:val="24"/>
          <w:szCs w:val="28"/>
          <w:rtl/>
        </w:rPr>
        <w:t xml:space="preserve"> وفي الأحوال الأخرى يجوز للراهن أن يطلب المحو </w:t>
      </w:r>
      <w:r>
        <w:rPr>
          <w:rFonts w:cs="Traditional Arabic" w:hint="cs"/>
          <w:color w:val="000000"/>
          <w:sz w:val="24"/>
          <w:szCs w:val="28"/>
          <w:rtl/>
        </w:rPr>
        <w:t xml:space="preserve">( </w:t>
      </w:r>
      <w:r w:rsidRPr="009A072C">
        <w:rPr>
          <w:rFonts w:cs="Traditional Arabic" w:hint="cs"/>
          <w:color w:val="000000"/>
          <w:sz w:val="24"/>
          <w:szCs w:val="28"/>
          <w:rtl/>
        </w:rPr>
        <w:t xml:space="preserve">نقض فرنسي 29 مايو سنة 1865 داللوز 65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380</w:t>
      </w:r>
      <w:r>
        <w:rPr>
          <w:rFonts w:cs="Traditional Arabic" w:hint="cs"/>
          <w:color w:val="000000"/>
          <w:sz w:val="24"/>
          <w:szCs w:val="28"/>
          <w:rtl/>
        </w:rPr>
        <w:t xml:space="preserve"> ) .</w:t>
      </w:r>
    </w:p>
  </w:footnote>
  <w:footnote w:id="102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1862</w:t>
      </w:r>
      <w:r>
        <w:rPr>
          <w:rFonts w:cs="Traditional Arabic" w:hint="cs"/>
          <w:color w:val="000000"/>
          <w:sz w:val="24"/>
          <w:szCs w:val="28"/>
          <w:rtl/>
        </w:rPr>
        <w:t xml:space="preserve"> .</w:t>
      </w:r>
    </w:p>
  </w:footnote>
  <w:footnote w:id="102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20 يونيه سنة </w:t>
      </w:r>
      <w:smartTag w:uri="urn:schemas-microsoft-com:office:smarttags" w:element="metricconverter">
        <w:smartTagPr>
          <w:attr w:name="ProductID" w:val="1893 م"/>
        </w:smartTagPr>
        <w:r w:rsidRPr="009A072C">
          <w:rPr>
            <w:rFonts w:cs="Traditional Arabic" w:hint="cs"/>
            <w:color w:val="000000"/>
            <w:sz w:val="24"/>
            <w:szCs w:val="28"/>
            <w:rtl/>
          </w:rPr>
          <w:t>1893 م</w:t>
        </w:r>
      </w:smartTag>
      <w:r w:rsidRPr="009A072C">
        <w:rPr>
          <w:rFonts w:cs="Traditional Arabic" w:hint="cs"/>
          <w:color w:val="000000"/>
          <w:sz w:val="24"/>
          <w:szCs w:val="28"/>
          <w:rtl/>
        </w:rPr>
        <w:t xml:space="preserve"> 5 ص 322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1862 </w:t>
      </w:r>
      <w:r w:rsidRPr="009A072C">
        <w:rPr>
          <w:rFonts w:cs="Traditional Arabic"/>
          <w:color w:val="000000"/>
          <w:sz w:val="24"/>
          <w:szCs w:val="28"/>
          <w:rtl/>
        </w:rPr>
        <w:t>–</w:t>
      </w:r>
      <w:r w:rsidRPr="009A072C">
        <w:rPr>
          <w:rFonts w:cs="Traditional Arabic" w:hint="cs"/>
          <w:color w:val="000000"/>
          <w:sz w:val="24"/>
          <w:szCs w:val="28"/>
          <w:rtl/>
        </w:rPr>
        <w:t xml:space="preserve"> وحكم بأنه إذا رفعت دعوى المحو قبل التنبيه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لم يتعين إدخال المدين فيها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2 أبريل سنة </w:t>
      </w:r>
      <w:smartTag w:uri="urn:schemas-microsoft-com:office:smarttags" w:element="metricconverter">
        <w:smartTagPr>
          <w:attr w:name="ProductID" w:val="1891 م"/>
        </w:smartTagPr>
        <w:r w:rsidRPr="009A072C">
          <w:rPr>
            <w:rFonts w:cs="Traditional Arabic" w:hint="cs"/>
            <w:color w:val="000000"/>
            <w:sz w:val="24"/>
            <w:szCs w:val="28"/>
            <w:rtl/>
          </w:rPr>
          <w:t>1891 م</w:t>
        </w:r>
      </w:smartTag>
      <w:r w:rsidRPr="009A072C">
        <w:rPr>
          <w:rFonts w:cs="Traditional Arabic" w:hint="cs"/>
          <w:color w:val="000000"/>
          <w:sz w:val="24"/>
          <w:szCs w:val="28"/>
          <w:rtl/>
        </w:rPr>
        <w:t xml:space="preserve"> 3 ص 283</w:t>
      </w:r>
      <w:r>
        <w:rPr>
          <w:rFonts w:cs="Traditional Arabic" w:hint="cs"/>
          <w:color w:val="000000"/>
          <w:sz w:val="24"/>
          <w:szCs w:val="28"/>
          <w:rtl/>
        </w:rPr>
        <w:t xml:space="preserve"> ) .</w:t>
      </w:r>
    </w:p>
  </w:footnote>
  <w:footnote w:id="102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 أبريل سنة1891 م 3 ص 283 </w:t>
      </w:r>
      <w:r w:rsidRPr="009A072C">
        <w:rPr>
          <w:rFonts w:cs="Traditional Arabic"/>
          <w:color w:val="000000"/>
          <w:sz w:val="24"/>
          <w:szCs w:val="28"/>
          <w:rtl/>
        </w:rPr>
        <w:t>–</w:t>
      </w:r>
      <w:r w:rsidRPr="009A072C">
        <w:rPr>
          <w:rFonts w:cs="Traditional Arabic" w:hint="cs"/>
          <w:color w:val="000000"/>
          <w:sz w:val="24"/>
          <w:szCs w:val="28"/>
          <w:rtl/>
        </w:rPr>
        <w:t xml:space="preserve"> 20 يونيه سنة </w:t>
      </w:r>
      <w:smartTag w:uri="urn:schemas-microsoft-com:office:smarttags" w:element="metricconverter">
        <w:smartTagPr>
          <w:attr w:name="ProductID" w:val="1893 م"/>
        </w:smartTagPr>
        <w:r w:rsidRPr="009A072C">
          <w:rPr>
            <w:rFonts w:cs="Traditional Arabic" w:hint="cs"/>
            <w:color w:val="000000"/>
            <w:sz w:val="24"/>
            <w:szCs w:val="28"/>
            <w:rtl/>
          </w:rPr>
          <w:t>1893 م</w:t>
        </w:r>
      </w:smartTag>
      <w:r w:rsidRPr="009A072C">
        <w:rPr>
          <w:rFonts w:cs="Traditional Arabic" w:hint="cs"/>
          <w:color w:val="000000"/>
          <w:sz w:val="24"/>
          <w:szCs w:val="28"/>
          <w:rtl/>
        </w:rPr>
        <w:t xml:space="preserve"> 5 ص 322</w:t>
      </w:r>
      <w:r>
        <w:rPr>
          <w:rFonts w:cs="Traditional Arabic" w:hint="cs"/>
          <w:color w:val="000000"/>
          <w:sz w:val="24"/>
          <w:szCs w:val="28"/>
          <w:rtl/>
        </w:rPr>
        <w:t xml:space="preserve"> .</w:t>
      </w:r>
    </w:p>
  </w:footnote>
  <w:footnote w:id="102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قضي بأنه إذا اشترى شخصان معا أرضا مرهونة</w:t>
      </w:r>
      <w:r>
        <w:rPr>
          <w:rFonts w:cs="Traditional Arabic" w:hint="cs"/>
          <w:color w:val="000000"/>
          <w:sz w:val="24"/>
          <w:szCs w:val="28"/>
          <w:rtl/>
        </w:rPr>
        <w:t xml:space="preserve"> ،</w:t>
      </w:r>
      <w:r w:rsidRPr="009A072C">
        <w:rPr>
          <w:rFonts w:cs="Traditional Arabic" w:hint="cs"/>
          <w:color w:val="000000"/>
          <w:sz w:val="24"/>
          <w:szCs w:val="28"/>
          <w:rtl/>
        </w:rPr>
        <w:t xml:space="preserve"> وتعهد أحدهما للآخر بمحو تسجيل الرهن</w:t>
      </w:r>
      <w:r>
        <w:rPr>
          <w:rFonts w:cs="Traditional Arabic" w:hint="cs"/>
          <w:color w:val="000000"/>
          <w:sz w:val="24"/>
          <w:szCs w:val="28"/>
          <w:rtl/>
        </w:rPr>
        <w:t xml:space="preserve"> ،</w:t>
      </w:r>
      <w:r w:rsidRPr="009A072C">
        <w:rPr>
          <w:rFonts w:cs="Traditional Arabic" w:hint="cs"/>
          <w:color w:val="000000"/>
          <w:sz w:val="24"/>
          <w:szCs w:val="28"/>
          <w:rtl/>
        </w:rPr>
        <w:t xml:space="preserve"> كانت دعوى هذا المتعهد شخصية من اختصاص محكمة المدعي عليه</w:t>
      </w:r>
      <w:r>
        <w:rPr>
          <w:rFonts w:cs="Traditional Arabic" w:hint="cs"/>
          <w:color w:val="000000"/>
          <w:sz w:val="24"/>
          <w:szCs w:val="28"/>
          <w:rtl/>
        </w:rPr>
        <w:t xml:space="preserve"> ،</w:t>
      </w:r>
      <w:r w:rsidRPr="009A072C">
        <w:rPr>
          <w:rFonts w:cs="Traditional Arabic" w:hint="cs"/>
          <w:color w:val="000000"/>
          <w:sz w:val="24"/>
          <w:szCs w:val="28"/>
          <w:rtl/>
        </w:rPr>
        <w:t xml:space="preserve"> وليست دعوى متعلقة بماشرة بمحو قيد الرهن وهي دعوى عينية عقارية من اختصاص المحكمة الموجود بدائرتها العقار المرهون </w:t>
      </w:r>
      <w:r>
        <w:rPr>
          <w:rFonts w:cs="Traditional Arabic" w:hint="cs"/>
          <w:color w:val="000000"/>
          <w:sz w:val="24"/>
          <w:szCs w:val="28"/>
          <w:rtl/>
        </w:rPr>
        <w:t xml:space="preserve">( </w:t>
      </w:r>
      <w:r w:rsidRPr="009A072C">
        <w:rPr>
          <w:rFonts w:cs="Traditional Arabic" w:hint="cs"/>
          <w:color w:val="000000"/>
          <w:sz w:val="24"/>
          <w:szCs w:val="28"/>
          <w:rtl/>
        </w:rPr>
        <w:t>استئناف مصر 29 يناير سنة 1918 المجموعة الرسمية 19 رقم 50</w:t>
      </w:r>
      <w:r>
        <w:rPr>
          <w:rFonts w:cs="Traditional Arabic" w:hint="cs"/>
          <w:color w:val="000000"/>
          <w:sz w:val="24"/>
          <w:szCs w:val="28"/>
          <w:rtl/>
        </w:rPr>
        <w:t xml:space="preserve"> ) .</w:t>
      </w:r>
    </w:p>
  </w:footnote>
  <w:footnote w:id="102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1865 </w:t>
      </w:r>
      <w:r w:rsidRPr="009A072C">
        <w:rPr>
          <w:rFonts w:cs="Traditional Arabic"/>
          <w:color w:val="000000"/>
          <w:sz w:val="24"/>
          <w:szCs w:val="28"/>
          <w:rtl/>
        </w:rPr>
        <w:t>–</w:t>
      </w:r>
      <w:r w:rsidRPr="009A072C">
        <w:rPr>
          <w:rFonts w:cs="Traditional Arabic" w:hint="cs"/>
          <w:color w:val="000000"/>
          <w:sz w:val="24"/>
          <w:szCs w:val="28"/>
          <w:rtl/>
        </w:rPr>
        <w:t xml:space="preserve"> دي هلتس فقرة 96 </w:t>
      </w:r>
      <w:r w:rsidRPr="009A072C">
        <w:rPr>
          <w:rFonts w:cs="Traditional Arabic"/>
          <w:color w:val="000000"/>
          <w:sz w:val="24"/>
          <w:szCs w:val="28"/>
          <w:rtl/>
        </w:rPr>
        <w:t>–</w:t>
      </w:r>
      <w:r w:rsidRPr="009A072C">
        <w:rPr>
          <w:rFonts w:cs="Traditional Arabic" w:hint="cs"/>
          <w:color w:val="000000"/>
          <w:sz w:val="24"/>
          <w:szCs w:val="28"/>
          <w:rtl/>
        </w:rPr>
        <w:t xml:space="preserve"> جرانمولان فرة 417</w:t>
      </w:r>
      <w:r>
        <w:rPr>
          <w:rFonts w:cs="Traditional Arabic" w:hint="cs"/>
          <w:color w:val="000000"/>
          <w:sz w:val="24"/>
          <w:szCs w:val="28"/>
          <w:rtl/>
        </w:rPr>
        <w:t xml:space="preserve"> .</w:t>
      </w:r>
    </w:p>
  </w:footnote>
  <w:footnote w:id="102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2 فقرة 1252</w:t>
      </w:r>
      <w:r>
        <w:rPr>
          <w:rFonts w:cs="Traditional Arabic" w:hint="cs"/>
          <w:color w:val="000000"/>
          <w:sz w:val="24"/>
          <w:szCs w:val="28"/>
          <w:rtl/>
        </w:rPr>
        <w:t xml:space="preserve"> .</w:t>
      </w:r>
    </w:p>
  </w:footnote>
  <w:footnote w:id="102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112 ص 173</w:t>
      </w:r>
      <w:r>
        <w:rPr>
          <w:rFonts w:cs="Traditional Arabic" w:hint="cs"/>
          <w:color w:val="000000"/>
          <w:sz w:val="24"/>
          <w:szCs w:val="28"/>
          <w:rtl/>
        </w:rPr>
        <w:t xml:space="preserve"> .</w:t>
      </w:r>
    </w:p>
  </w:footnote>
  <w:footnote w:id="102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23 نوفمبر سنة </w:t>
      </w:r>
      <w:smartTag w:uri="urn:schemas-microsoft-com:office:smarttags" w:element="metricconverter">
        <w:smartTagPr>
          <w:attr w:name="ProductID" w:val="1899 م"/>
        </w:smartTagPr>
        <w:r w:rsidRPr="009A072C">
          <w:rPr>
            <w:rFonts w:cs="Traditional Arabic" w:hint="cs"/>
            <w:color w:val="000000"/>
            <w:sz w:val="24"/>
            <w:szCs w:val="28"/>
            <w:rtl/>
          </w:rPr>
          <w:t>1899 م</w:t>
        </w:r>
      </w:smartTag>
      <w:r w:rsidRPr="009A072C">
        <w:rPr>
          <w:rFonts w:cs="Traditional Arabic" w:hint="cs"/>
          <w:color w:val="000000"/>
          <w:sz w:val="24"/>
          <w:szCs w:val="28"/>
          <w:rtl/>
        </w:rPr>
        <w:t xml:space="preserve"> 12 ص 27</w:t>
      </w:r>
      <w:r>
        <w:rPr>
          <w:rFonts w:cs="Traditional Arabic" w:hint="cs"/>
          <w:color w:val="000000"/>
          <w:sz w:val="24"/>
          <w:szCs w:val="28"/>
          <w:rtl/>
        </w:rPr>
        <w:t xml:space="preserve"> .</w:t>
      </w:r>
    </w:p>
  </w:footnote>
  <w:footnote w:id="103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1450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1888 </w:t>
      </w:r>
      <w:r w:rsidRPr="009A072C">
        <w:rPr>
          <w:rFonts w:cs="Traditional Arabic"/>
          <w:color w:val="000000"/>
          <w:sz w:val="24"/>
          <w:szCs w:val="28"/>
          <w:rtl/>
        </w:rPr>
        <w:t>–</w:t>
      </w:r>
      <w:r w:rsidRPr="009A072C">
        <w:rPr>
          <w:rFonts w:cs="Traditional Arabic" w:hint="cs"/>
          <w:color w:val="000000"/>
          <w:sz w:val="24"/>
          <w:szCs w:val="28"/>
          <w:rtl/>
        </w:rPr>
        <w:t xml:space="preserve"> جيرانمولانن فقرة 422 -  محمد كامل مرسي فقرة 119</w:t>
      </w:r>
      <w:r>
        <w:rPr>
          <w:rFonts w:cs="Traditional Arabic" w:hint="cs"/>
          <w:color w:val="000000"/>
          <w:sz w:val="24"/>
          <w:szCs w:val="28"/>
          <w:rtl/>
        </w:rPr>
        <w:t xml:space="preserve"> .</w:t>
      </w:r>
    </w:p>
  </w:footnote>
  <w:footnote w:id="103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بون 3 فقرة 1106 </w:t>
      </w:r>
      <w:r w:rsidRPr="009A072C">
        <w:rPr>
          <w:rFonts w:cs="Traditional Arabic"/>
          <w:color w:val="000000"/>
          <w:sz w:val="24"/>
          <w:szCs w:val="28"/>
          <w:rtl/>
        </w:rPr>
        <w:t>–</w:t>
      </w:r>
      <w:r w:rsidRPr="009A072C">
        <w:rPr>
          <w:rFonts w:cs="Traditional Arabic" w:hint="cs"/>
          <w:color w:val="000000"/>
          <w:sz w:val="24"/>
          <w:szCs w:val="28"/>
          <w:rtl/>
        </w:rPr>
        <w:t xml:space="preserve"> لوران 31 فقرة 223 </w:t>
      </w:r>
      <w:r w:rsidRPr="009A072C">
        <w:rPr>
          <w:rFonts w:cs="Traditional Arabic"/>
          <w:color w:val="000000"/>
          <w:sz w:val="24"/>
          <w:szCs w:val="28"/>
          <w:rtl/>
        </w:rPr>
        <w:t>–</w:t>
      </w:r>
      <w:r w:rsidRPr="009A072C">
        <w:rPr>
          <w:rFonts w:cs="Traditional Arabic" w:hint="cs"/>
          <w:color w:val="000000"/>
          <w:sz w:val="24"/>
          <w:szCs w:val="28"/>
          <w:rtl/>
        </w:rPr>
        <w:t xml:space="preserve"> جيوار فقرة 1458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1887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ص 644</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وكان المشروع التمهيدي ينص في المادة 1474 منه على ما يأتي</w:t>
      </w:r>
      <w:r>
        <w:rPr>
          <w:rFonts w:cs="Traditional Arabic" w:hint="cs"/>
          <w:color w:val="000000"/>
          <w:sz w:val="24"/>
          <w:szCs w:val="28"/>
          <w:rtl/>
        </w:rPr>
        <w:t xml:space="preserve"> :</w:t>
      </w:r>
      <w:r w:rsidRPr="009A072C">
        <w:rPr>
          <w:rFonts w:cs="Traditional Arabic" w:hint="cs"/>
          <w:color w:val="000000"/>
          <w:sz w:val="24"/>
          <w:szCs w:val="28"/>
          <w:rtl/>
        </w:rPr>
        <w:t xml:space="preserve"> "لا يترتب على محو القد في ذاته انقضاء حق الرهن</w:t>
      </w:r>
      <w:r>
        <w:rPr>
          <w:rFonts w:cs="Traditional Arabic" w:hint="cs"/>
          <w:color w:val="000000"/>
          <w:sz w:val="24"/>
          <w:szCs w:val="28"/>
          <w:rtl/>
        </w:rPr>
        <w:t xml:space="preserve"> ،</w:t>
      </w:r>
      <w:r w:rsidRPr="009A072C">
        <w:rPr>
          <w:rFonts w:cs="Traditional Arabic" w:hint="cs"/>
          <w:color w:val="000000"/>
          <w:sz w:val="24"/>
          <w:szCs w:val="28"/>
          <w:rtl/>
        </w:rPr>
        <w:t xml:space="preserve"> فيجوز إجراء قيد جديد تحسب مرتبته من وقت إجرائه</w:t>
      </w:r>
      <w:r>
        <w:rPr>
          <w:rFonts w:cs="Traditional Arabic" w:hint="cs"/>
          <w:color w:val="000000"/>
          <w:sz w:val="24"/>
          <w:szCs w:val="28"/>
          <w:rtl/>
        </w:rPr>
        <w:t xml:space="preserve"> ،</w:t>
      </w:r>
      <w:r w:rsidRPr="009A072C">
        <w:rPr>
          <w:rFonts w:cs="Traditional Arabic" w:hint="cs"/>
          <w:color w:val="000000"/>
          <w:sz w:val="24"/>
          <w:szCs w:val="28"/>
          <w:rtl/>
        </w:rPr>
        <w:t xml:space="preserve"> إلا إذا كان حق الرهن قد انقضى"</w:t>
      </w:r>
      <w:r>
        <w:rPr>
          <w:rFonts w:cs="Traditional Arabic" w:hint="cs"/>
          <w:color w:val="000000"/>
          <w:sz w:val="24"/>
          <w:szCs w:val="28"/>
          <w:rtl/>
        </w:rPr>
        <w:t xml:space="preserve"> .</w:t>
      </w:r>
      <w:r w:rsidRPr="009A072C">
        <w:rPr>
          <w:rFonts w:cs="Traditional Arabic" w:hint="cs"/>
          <w:color w:val="000000"/>
          <w:sz w:val="24"/>
          <w:szCs w:val="28"/>
          <w:rtl/>
        </w:rPr>
        <w:t xml:space="preserve"> وقد جاء في المذكرة الإيضاحية للمشروع التمهيد</w:t>
      </w:r>
      <w:r>
        <w:rPr>
          <w:rFonts w:cs="Traditional Arabic" w:hint="cs"/>
          <w:color w:val="000000"/>
          <w:sz w:val="24"/>
          <w:szCs w:val="28"/>
          <w:rtl/>
        </w:rPr>
        <w:t xml:space="preserve"> :</w:t>
      </w:r>
      <w:r w:rsidRPr="009A072C">
        <w:rPr>
          <w:rFonts w:cs="Traditional Arabic" w:hint="cs"/>
          <w:color w:val="000000"/>
          <w:sz w:val="24"/>
          <w:szCs w:val="28"/>
          <w:rtl/>
        </w:rPr>
        <w:t xml:space="preserve"> "ويكون المحو بالتأشير على هامش القيد</w:t>
      </w:r>
      <w:r>
        <w:rPr>
          <w:rFonts w:cs="Traditional Arabic" w:hint="cs"/>
          <w:color w:val="000000"/>
          <w:sz w:val="24"/>
          <w:szCs w:val="28"/>
          <w:rtl/>
        </w:rPr>
        <w:t xml:space="preserve"> ،</w:t>
      </w:r>
      <w:r w:rsidRPr="009A072C">
        <w:rPr>
          <w:rFonts w:cs="Traditional Arabic" w:hint="cs"/>
          <w:color w:val="000000"/>
          <w:sz w:val="24"/>
          <w:szCs w:val="28"/>
          <w:rtl/>
        </w:rPr>
        <w:t xml:space="preserve"> مع ذكر السند الذي أجري بمقتضاه المحو</w:t>
      </w:r>
      <w:r>
        <w:rPr>
          <w:rFonts w:cs="Traditional Arabic" w:hint="cs"/>
          <w:color w:val="000000"/>
          <w:sz w:val="24"/>
          <w:szCs w:val="28"/>
          <w:rtl/>
        </w:rPr>
        <w:t xml:space="preserve"> ،</w:t>
      </w:r>
      <w:r w:rsidRPr="009A072C">
        <w:rPr>
          <w:rFonts w:cs="Traditional Arabic" w:hint="cs"/>
          <w:color w:val="000000"/>
          <w:sz w:val="24"/>
          <w:szCs w:val="28"/>
          <w:rtl/>
        </w:rPr>
        <w:t xml:space="preserve"> سواء كان التقرير الذي صدر من الدائن في قلم كتاب المحكمة أو كان الحكم النهائي الصادر بالمحو</w:t>
      </w:r>
      <w:r>
        <w:rPr>
          <w:rFonts w:cs="Traditional Arabic" w:hint="cs"/>
          <w:color w:val="000000"/>
          <w:sz w:val="24"/>
          <w:szCs w:val="28"/>
          <w:rtl/>
        </w:rPr>
        <w:t xml:space="preserve"> .</w:t>
      </w:r>
      <w:r w:rsidRPr="009A072C">
        <w:rPr>
          <w:rFonts w:cs="Traditional Arabic" w:hint="cs"/>
          <w:color w:val="000000"/>
          <w:sz w:val="24"/>
          <w:szCs w:val="28"/>
          <w:rtl/>
        </w:rPr>
        <w:t xml:space="preserve"> ويترتب على المحو إزالة القيد نفسه</w:t>
      </w:r>
      <w:r>
        <w:rPr>
          <w:rFonts w:cs="Traditional Arabic" w:hint="cs"/>
          <w:color w:val="000000"/>
          <w:sz w:val="24"/>
          <w:szCs w:val="28"/>
          <w:rtl/>
        </w:rPr>
        <w:t xml:space="preserve"> ،</w:t>
      </w:r>
      <w:r w:rsidRPr="009A072C">
        <w:rPr>
          <w:rFonts w:cs="Traditional Arabic" w:hint="cs"/>
          <w:color w:val="000000"/>
          <w:sz w:val="24"/>
          <w:szCs w:val="28"/>
          <w:rtl/>
        </w:rPr>
        <w:t xml:space="preserve"> ولكن لا يترتب عليه إزالة الرهن إذا كان باقيا</w:t>
      </w:r>
      <w:r>
        <w:rPr>
          <w:rFonts w:cs="Traditional Arabic" w:hint="cs"/>
          <w:color w:val="000000"/>
          <w:sz w:val="24"/>
          <w:szCs w:val="28"/>
          <w:rtl/>
        </w:rPr>
        <w:t xml:space="preserve"> ،</w:t>
      </w:r>
      <w:r w:rsidRPr="009A072C">
        <w:rPr>
          <w:rFonts w:cs="Traditional Arabic" w:hint="cs"/>
          <w:color w:val="000000"/>
          <w:sz w:val="24"/>
          <w:szCs w:val="28"/>
          <w:rtl/>
        </w:rPr>
        <w:t xml:space="preserve"> فيجوز إجراء قيد جديد تحسب مرتبته من وقت إجرائه"</w:t>
      </w:r>
      <w:r>
        <w:rPr>
          <w:rFonts w:cs="Traditional Arabic" w:hint="cs"/>
          <w:color w:val="000000"/>
          <w:sz w:val="24"/>
          <w:szCs w:val="28"/>
          <w:rtl/>
        </w:rPr>
        <w:t xml:space="preserve"> .</w:t>
      </w:r>
      <w:r w:rsidRPr="009A072C">
        <w:rPr>
          <w:rFonts w:cs="Traditional Arabic" w:hint="cs"/>
          <w:color w:val="000000"/>
          <w:sz w:val="24"/>
          <w:szCs w:val="28"/>
          <w:rtl/>
        </w:rPr>
        <w:t xml:space="preserve"> وفي لجنة المراجعة حذفت هذه المادة</w:t>
      </w:r>
      <w:r>
        <w:rPr>
          <w:rFonts w:cs="Traditional Arabic" w:hint="cs"/>
          <w:color w:val="000000"/>
          <w:sz w:val="24"/>
          <w:szCs w:val="28"/>
          <w:rtl/>
        </w:rPr>
        <w:t xml:space="preserve"> ،</w:t>
      </w:r>
      <w:r w:rsidRPr="009A072C">
        <w:rPr>
          <w:rFonts w:cs="Traditional Arabic" w:hint="cs"/>
          <w:color w:val="000000"/>
          <w:sz w:val="24"/>
          <w:szCs w:val="28"/>
          <w:rtl/>
        </w:rPr>
        <w:t xml:space="preserve"> والظاهر أن حذفها يرجع لأنها مجرد تطبيق للقواعد العامة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75 في الهامش</w:t>
      </w:r>
      <w:r>
        <w:rPr>
          <w:rFonts w:cs="Traditional Arabic" w:hint="cs"/>
          <w:color w:val="000000"/>
          <w:sz w:val="24"/>
          <w:szCs w:val="28"/>
          <w:rtl/>
        </w:rPr>
        <w:t xml:space="preserve"> ) .</w:t>
      </w:r>
      <w:r w:rsidRPr="009A072C">
        <w:rPr>
          <w:rFonts w:cs="Traditional Arabic" w:hint="cs"/>
          <w:color w:val="000000"/>
          <w:sz w:val="24"/>
          <w:szCs w:val="28"/>
          <w:rtl/>
        </w:rPr>
        <w:t xml:space="preserve"> </w:t>
      </w:r>
    </w:p>
  </w:footnote>
  <w:footnote w:id="103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1848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118</w:t>
      </w:r>
      <w:r>
        <w:rPr>
          <w:rFonts w:cs="Traditional Arabic" w:hint="cs"/>
          <w:color w:val="000000"/>
          <w:sz w:val="24"/>
          <w:szCs w:val="28"/>
          <w:rtl/>
        </w:rPr>
        <w:t xml:space="preserve"> .</w:t>
      </w:r>
    </w:p>
  </w:footnote>
  <w:footnote w:id="103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فقرة 416 هامش 2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1892</w:t>
      </w:r>
      <w:r>
        <w:rPr>
          <w:rFonts w:cs="Traditional Arabic" w:hint="cs"/>
          <w:color w:val="000000"/>
          <w:sz w:val="24"/>
          <w:szCs w:val="28"/>
          <w:rtl/>
        </w:rPr>
        <w:t xml:space="preserve"> .</w:t>
      </w:r>
    </w:p>
  </w:footnote>
  <w:footnote w:id="103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بون فقرة 1107 </w:t>
      </w:r>
      <w:r w:rsidRPr="009A072C">
        <w:rPr>
          <w:rFonts w:cs="Traditional Arabic"/>
          <w:color w:val="000000"/>
          <w:sz w:val="24"/>
          <w:szCs w:val="28"/>
          <w:rtl/>
        </w:rPr>
        <w:t>–</w:t>
      </w:r>
      <w:r w:rsidRPr="009A072C">
        <w:rPr>
          <w:rFonts w:cs="Traditional Arabic" w:hint="cs"/>
          <w:color w:val="000000"/>
          <w:sz w:val="24"/>
          <w:szCs w:val="28"/>
          <w:rtl/>
        </w:rPr>
        <w:t xml:space="preserve"> هيك 13 فقرة 388 </w:t>
      </w:r>
      <w:r w:rsidRPr="009A072C">
        <w:rPr>
          <w:rFonts w:cs="Traditional Arabic"/>
          <w:color w:val="000000"/>
          <w:sz w:val="24"/>
          <w:szCs w:val="28"/>
          <w:rtl/>
        </w:rPr>
        <w:t>–</w:t>
      </w:r>
      <w:r w:rsidRPr="009A072C">
        <w:rPr>
          <w:rFonts w:cs="Traditional Arabic" w:hint="cs"/>
          <w:color w:val="000000"/>
          <w:sz w:val="24"/>
          <w:szCs w:val="28"/>
          <w:rtl/>
        </w:rPr>
        <w:t xml:space="preserve"> بيدان فقرة 1055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ص 686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120 ص 182</w:t>
      </w:r>
      <w:r>
        <w:rPr>
          <w:rFonts w:cs="Traditional Arabic" w:hint="cs"/>
          <w:color w:val="000000"/>
          <w:sz w:val="24"/>
          <w:szCs w:val="28"/>
          <w:rtl/>
        </w:rPr>
        <w:t xml:space="preserve"> .</w:t>
      </w:r>
    </w:p>
  </w:footnote>
  <w:footnote w:id="103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كان المشروع التمهيدي يحتوي على نص</w:t>
      </w:r>
      <w:r>
        <w:rPr>
          <w:rFonts w:cs="Traditional Arabic" w:hint="cs"/>
          <w:color w:val="000000"/>
          <w:sz w:val="24"/>
          <w:szCs w:val="28"/>
          <w:rtl/>
        </w:rPr>
        <w:t xml:space="preserve"> ،</w:t>
      </w:r>
      <w:r w:rsidRPr="009A072C">
        <w:rPr>
          <w:rFonts w:cs="Traditional Arabic" w:hint="cs"/>
          <w:color w:val="000000"/>
          <w:sz w:val="24"/>
          <w:szCs w:val="28"/>
          <w:rtl/>
        </w:rPr>
        <w:t xml:space="preserve"> هو نص المادة 1475</w:t>
      </w:r>
      <w:r>
        <w:rPr>
          <w:rFonts w:cs="Traditional Arabic" w:hint="cs"/>
          <w:color w:val="000000"/>
          <w:sz w:val="24"/>
          <w:szCs w:val="28"/>
          <w:rtl/>
        </w:rPr>
        <w:t xml:space="preserve"> ،</w:t>
      </w:r>
      <w:r w:rsidRPr="009A072C">
        <w:rPr>
          <w:rFonts w:cs="Traditional Arabic" w:hint="cs"/>
          <w:color w:val="000000"/>
          <w:sz w:val="24"/>
          <w:szCs w:val="28"/>
          <w:rtl/>
        </w:rPr>
        <w:t xml:space="preserve"> وكان يجري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"1- يكون إلغاء المحو بالتأشير به في الهامش</w:t>
      </w:r>
      <w:r>
        <w:rPr>
          <w:rFonts w:cs="Traditional Arabic" w:hint="cs"/>
          <w:color w:val="000000"/>
          <w:sz w:val="24"/>
          <w:szCs w:val="28"/>
          <w:rtl/>
        </w:rPr>
        <w:t xml:space="preserve"> ،</w:t>
      </w:r>
      <w:r w:rsidRPr="009A072C">
        <w:rPr>
          <w:rFonts w:cs="Traditional Arabic" w:hint="cs"/>
          <w:color w:val="000000"/>
          <w:sz w:val="24"/>
          <w:szCs w:val="28"/>
          <w:rtl/>
        </w:rPr>
        <w:t xml:space="preserve"> إذا كان المحو قد أجري بناء على سند قضى بتزويره أو بطلانه</w:t>
      </w:r>
      <w:r>
        <w:rPr>
          <w:rFonts w:cs="Traditional Arabic" w:hint="cs"/>
          <w:color w:val="000000"/>
          <w:sz w:val="24"/>
          <w:szCs w:val="28"/>
          <w:rtl/>
        </w:rPr>
        <w:t xml:space="preserve"> ،</w:t>
      </w:r>
      <w:r w:rsidRPr="009A072C">
        <w:rPr>
          <w:rFonts w:cs="Traditional Arabic" w:hint="cs"/>
          <w:color w:val="000000"/>
          <w:sz w:val="24"/>
          <w:szCs w:val="28"/>
          <w:rtl/>
        </w:rPr>
        <w:t xml:space="preserve"> أو بمقتضى حكم إلغاء حكم سابق</w:t>
      </w:r>
      <w:r>
        <w:rPr>
          <w:rFonts w:cs="Traditional Arabic" w:hint="cs"/>
          <w:color w:val="000000"/>
          <w:sz w:val="24"/>
          <w:szCs w:val="28"/>
          <w:rtl/>
        </w:rPr>
        <w:t xml:space="preserve"> .</w:t>
      </w:r>
      <w:r w:rsidRPr="009A072C">
        <w:rPr>
          <w:rFonts w:cs="Traditional Arabic" w:hint="cs"/>
          <w:color w:val="000000"/>
          <w:sz w:val="24"/>
          <w:szCs w:val="28"/>
          <w:rtl/>
        </w:rPr>
        <w:t xml:space="preserve"> 2- إذا ألغي المحو عادت للقيد مرتبته الأصلية</w:t>
      </w:r>
      <w:r>
        <w:rPr>
          <w:rFonts w:cs="Traditional Arabic" w:hint="cs"/>
          <w:color w:val="000000"/>
          <w:sz w:val="24"/>
          <w:szCs w:val="28"/>
          <w:rtl/>
        </w:rPr>
        <w:t xml:space="preserve"> ،</w:t>
      </w:r>
      <w:r w:rsidRPr="009A072C">
        <w:rPr>
          <w:rFonts w:cs="Traditional Arabic" w:hint="cs"/>
          <w:color w:val="000000"/>
          <w:sz w:val="24"/>
          <w:szCs w:val="28"/>
          <w:rtl/>
        </w:rPr>
        <w:t xml:space="preserve"> مع عدم الإخلال بوجوب تجديد القد طبقاً للقانون</w:t>
      </w:r>
      <w:r>
        <w:rPr>
          <w:rFonts w:cs="Traditional Arabic" w:hint="cs"/>
          <w:color w:val="000000"/>
          <w:sz w:val="24"/>
          <w:szCs w:val="28"/>
          <w:rtl/>
        </w:rPr>
        <w:t xml:space="preserve"> .</w:t>
      </w:r>
      <w:r w:rsidRPr="009A072C">
        <w:rPr>
          <w:rFonts w:cs="Traditional Arabic" w:hint="cs"/>
          <w:color w:val="000000"/>
          <w:sz w:val="24"/>
          <w:szCs w:val="28"/>
          <w:rtl/>
        </w:rPr>
        <w:t xml:space="preserve"> ومع ذلك لا يكون لإلغاء المحو اثر رجعي بالنسبة للقيد والتسجيلات التي أجريت في الفترة ما بين المحو وإلغائه"</w:t>
      </w:r>
      <w:r>
        <w:rPr>
          <w:rFonts w:cs="Traditional Arabic" w:hint="cs"/>
          <w:color w:val="000000"/>
          <w:sz w:val="24"/>
          <w:szCs w:val="28"/>
          <w:rtl/>
        </w:rPr>
        <w:t xml:space="preserve"> .</w:t>
      </w:r>
      <w:r w:rsidRPr="009A072C">
        <w:rPr>
          <w:rFonts w:cs="Traditional Arabic" w:hint="cs"/>
          <w:color w:val="000000"/>
          <w:sz w:val="24"/>
          <w:szCs w:val="28"/>
          <w:rtl/>
        </w:rPr>
        <w:t xml:space="preserve"> وقد وافق على النص لجنة المراجعة ومجلس النواب</w:t>
      </w:r>
      <w:r>
        <w:rPr>
          <w:rFonts w:cs="Traditional Arabic" w:hint="cs"/>
          <w:color w:val="000000"/>
          <w:sz w:val="24"/>
          <w:szCs w:val="28"/>
          <w:rtl/>
        </w:rPr>
        <w:t xml:space="preserve"> ،</w:t>
      </w:r>
      <w:r w:rsidRPr="009A072C">
        <w:rPr>
          <w:rFonts w:cs="Traditional Arabic" w:hint="cs"/>
          <w:color w:val="000000"/>
          <w:sz w:val="24"/>
          <w:szCs w:val="28"/>
          <w:rtl/>
        </w:rPr>
        <w:t xml:space="preserve"> بعد تعديلات لفظية</w:t>
      </w:r>
      <w:r>
        <w:rPr>
          <w:rFonts w:cs="Traditional Arabic" w:hint="cs"/>
          <w:color w:val="000000"/>
          <w:sz w:val="24"/>
          <w:szCs w:val="28"/>
          <w:rtl/>
        </w:rPr>
        <w:t xml:space="preserve"> .</w:t>
      </w:r>
      <w:r w:rsidRPr="009A072C">
        <w:rPr>
          <w:rFonts w:cs="Traditional Arabic" w:hint="cs"/>
          <w:color w:val="000000"/>
          <w:sz w:val="24"/>
          <w:szCs w:val="28"/>
          <w:rtl/>
        </w:rPr>
        <w:t>وفي لجنة مجلس الشيوخ حذفته اللجنة</w:t>
      </w:r>
      <w:r>
        <w:rPr>
          <w:rFonts w:cs="Traditional Arabic" w:hint="cs"/>
          <w:color w:val="000000"/>
          <w:sz w:val="24"/>
          <w:szCs w:val="28"/>
          <w:rtl/>
        </w:rPr>
        <w:t xml:space="preserve"> ،</w:t>
      </w:r>
      <w:r w:rsidRPr="009A072C">
        <w:rPr>
          <w:rFonts w:cs="Traditional Arabic" w:hint="cs"/>
          <w:color w:val="000000"/>
          <w:sz w:val="24"/>
          <w:szCs w:val="28"/>
          <w:rtl/>
        </w:rPr>
        <w:t xml:space="preserve"> واكتفت بنص عام يجعل المرجح في إجراءات القيد وتجديده ومحوه وإلغاء المحو والآثار المترتبة على ذلك كله</w:t>
      </w:r>
      <w:r>
        <w:rPr>
          <w:rFonts w:cs="Traditional Arabic" w:hint="cs"/>
          <w:color w:val="000000"/>
          <w:sz w:val="24"/>
          <w:szCs w:val="28"/>
          <w:rtl/>
        </w:rPr>
        <w:t xml:space="preserve"> ،</w:t>
      </w:r>
      <w:r w:rsidRPr="009A072C">
        <w:rPr>
          <w:rFonts w:cs="Traditional Arabic" w:hint="cs"/>
          <w:color w:val="000000"/>
          <w:sz w:val="24"/>
          <w:szCs w:val="28"/>
          <w:rtl/>
        </w:rPr>
        <w:t xml:space="preserve"> إلى الأحكام الواردة في قانون تنظيم الشهر العقاري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75 </w:t>
      </w:r>
      <w:r w:rsidRPr="009A072C">
        <w:rPr>
          <w:rFonts w:cs="Traditional Arabic"/>
          <w:color w:val="000000"/>
          <w:sz w:val="24"/>
          <w:szCs w:val="28"/>
          <w:rtl/>
        </w:rPr>
        <w:t>–</w:t>
      </w:r>
      <w:r w:rsidRPr="009A072C">
        <w:rPr>
          <w:rFonts w:cs="Traditional Arabic" w:hint="cs"/>
          <w:color w:val="000000"/>
          <w:sz w:val="24"/>
          <w:szCs w:val="28"/>
          <w:rtl/>
        </w:rPr>
        <w:t xml:space="preserve"> ص 76 في الهامش</w:t>
      </w:r>
      <w:r>
        <w:rPr>
          <w:rFonts w:cs="Traditional Arabic" w:hint="cs"/>
          <w:color w:val="000000"/>
          <w:sz w:val="24"/>
          <w:szCs w:val="28"/>
          <w:rtl/>
        </w:rPr>
        <w:t xml:space="preserve"> ) .</w:t>
      </w:r>
    </w:p>
  </w:footnote>
  <w:footnote w:id="103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فبالنسبة إلى القيود التي أجريت ما بين محو القيد الأول وإلغاء المحو</w:t>
      </w:r>
      <w:r>
        <w:rPr>
          <w:rFonts w:cs="Traditional Arabic" w:hint="cs"/>
          <w:color w:val="000000"/>
          <w:sz w:val="24"/>
          <w:szCs w:val="28"/>
          <w:rtl/>
        </w:rPr>
        <w:t xml:space="preserve"> ،</w:t>
      </w:r>
      <w:r w:rsidRPr="009A072C">
        <w:rPr>
          <w:rFonts w:cs="Traditional Arabic" w:hint="cs"/>
          <w:color w:val="000000"/>
          <w:sz w:val="24"/>
          <w:szCs w:val="28"/>
          <w:rtl/>
        </w:rPr>
        <w:t xml:space="preserve"> لا يكون لإلغاء المحو اثر رجعي</w:t>
      </w:r>
      <w:r>
        <w:rPr>
          <w:rFonts w:cs="Traditional Arabic" w:hint="cs"/>
          <w:color w:val="000000"/>
          <w:sz w:val="24"/>
          <w:szCs w:val="28"/>
          <w:rtl/>
        </w:rPr>
        <w:t xml:space="preserve"> ،</w:t>
      </w:r>
      <w:r w:rsidRPr="009A072C">
        <w:rPr>
          <w:rFonts w:cs="Traditional Arabic" w:hint="cs"/>
          <w:color w:val="000000"/>
          <w:sz w:val="24"/>
          <w:szCs w:val="28"/>
          <w:rtl/>
        </w:rPr>
        <w:t xml:space="preserve"> وقد نصت على ذلك صراحة المادة 1475 من المشروع التمهيدي إذ تقول كما رأينا</w:t>
      </w:r>
      <w:r>
        <w:rPr>
          <w:rFonts w:cs="Traditional Arabic" w:hint="cs"/>
          <w:color w:val="000000"/>
          <w:sz w:val="24"/>
          <w:szCs w:val="28"/>
          <w:rtl/>
        </w:rPr>
        <w:t xml:space="preserve"> :</w:t>
      </w:r>
      <w:r w:rsidRPr="009A072C">
        <w:rPr>
          <w:rFonts w:cs="Traditional Arabic" w:hint="cs"/>
          <w:color w:val="000000"/>
          <w:sz w:val="24"/>
          <w:szCs w:val="28"/>
          <w:rtl/>
        </w:rPr>
        <w:t xml:space="preserve"> "ومع ذلك لا يكون لإلغاء المحو اثر رجعي بالنسبة للقيود والتسجيلات التي أجريت ما بين المحو وإلغائه"</w:t>
      </w:r>
      <w:r>
        <w:rPr>
          <w:rFonts w:cs="Traditional Arabic" w:hint="cs"/>
          <w:color w:val="000000"/>
          <w:sz w:val="24"/>
          <w:szCs w:val="28"/>
          <w:rtl/>
        </w:rPr>
        <w:t xml:space="preserve"> .</w:t>
      </w:r>
      <w:r w:rsidRPr="009A072C">
        <w:rPr>
          <w:rFonts w:cs="Traditional Arabic" w:hint="cs"/>
          <w:color w:val="000000"/>
          <w:sz w:val="24"/>
          <w:szCs w:val="28"/>
          <w:rtl/>
        </w:rPr>
        <w:t xml:space="preserve"> وقد جاء في المذكرة الإيضاحية للمشروع التمهيدي في هذا الصدد ما يأتي</w:t>
      </w:r>
      <w:r>
        <w:rPr>
          <w:rFonts w:cs="Traditional Arabic" w:hint="cs"/>
          <w:color w:val="000000"/>
          <w:sz w:val="24"/>
          <w:szCs w:val="28"/>
          <w:rtl/>
        </w:rPr>
        <w:t xml:space="preserve"> :</w:t>
      </w:r>
      <w:r w:rsidRPr="009A072C">
        <w:rPr>
          <w:rFonts w:cs="Traditional Arabic" w:hint="cs"/>
          <w:color w:val="000000"/>
          <w:sz w:val="24"/>
          <w:szCs w:val="28"/>
          <w:rtl/>
        </w:rPr>
        <w:t xml:space="preserve"> "على أنه لا يكون لإلغاء المحو اثر رجعي بالنسبة للقيود والتسجيلات التي أجريت ما بين المحو وإلغائه</w:t>
      </w:r>
      <w:r>
        <w:rPr>
          <w:rFonts w:cs="Traditional Arabic" w:hint="cs"/>
          <w:color w:val="000000"/>
          <w:sz w:val="24"/>
          <w:szCs w:val="28"/>
          <w:rtl/>
        </w:rPr>
        <w:t xml:space="preserve"> .</w:t>
      </w:r>
      <w:r w:rsidRPr="009A072C">
        <w:rPr>
          <w:rFonts w:cs="Traditional Arabic" w:hint="cs"/>
          <w:color w:val="000000"/>
          <w:sz w:val="24"/>
          <w:szCs w:val="28"/>
          <w:rtl/>
        </w:rPr>
        <w:t xml:space="preserve"> فإذا كان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دائنا بألفين وقيد رهنه في سنة 1930</w:t>
      </w:r>
      <w:r>
        <w:rPr>
          <w:rFonts w:cs="Traditional Arabic" w:hint="cs"/>
          <w:color w:val="000000"/>
          <w:sz w:val="24"/>
          <w:szCs w:val="28"/>
          <w:rtl/>
        </w:rPr>
        <w:t xml:space="preserve"> .</w:t>
      </w:r>
      <w:r w:rsidRPr="009A072C">
        <w:rPr>
          <w:rFonts w:cs="Traditional Arabic" w:hint="cs"/>
          <w:color w:val="000000"/>
          <w:sz w:val="24"/>
          <w:szCs w:val="28"/>
          <w:rtl/>
        </w:rPr>
        <w:t xml:space="preserve"> وقيد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وهو دائن بثلاث آلاف رهنه في سنة 1931</w:t>
      </w:r>
      <w:r>
        <w:rPr>
          <w:rFonts w:cs="Traditional Arabic" w:hint="cs"/>
          <w:color w:val="000000"/>
          <w:sz w:val="24"/>
          <w:szCs w:val="28"/>
          <w:rtl/>
        </w:rPr>
        <w:t xml:space="preserve"> .</w:t>
      </w:r>
      <w:r w:rsidRPr="009A072C">
        <w:rPr>
          <w:rFonts w:cs="Traditional Arabic" w:hint="cs"/>
          <w:color w:val="000000"/>
          <w:sz w:val="24"/>
          <w:szCs w:val="28"/>
          <w:rtl/>
        </w:rPr>
        <w:t xml:space="preserve"> ومحي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في سنة 1932</w:t>
      </w:r>
      <w:r>
        <w:rPr>
          <w:rFonts w:cs="Traditional Arabic" w:hint="cs"/>
          <w:color w:val="000000"/>
          <w:sz w:val="24"/>
          <w:szCs w:val="28"/>
          <w:rtl/>
        </w:rPr>
        <w:t xml:space="preserve"> .</w:t>
      </w:r>
      <w:r w:rsidRPr="009A072C">
        <w:rPr>
          <w:rFonts w:cs="Traditional Arabic" w:hint="cs"/>
          <w:color w:val="000000"/>
          <w:sz w:val="24"/>
          <w:szCs w:val="28"/>
          <w:rtl/>
        </w:rPr>
        <w:t xml:space="preserve">وقيد </w:t>
      </w:r>
      <w:r>
        <w:rPr>
          <w:rFonts w:cs="Traditional Arabic" w:hint="cs"/>
          <w:color w:val="000000"/>
          <w:sz w:val="24"/>
          <w:szCs w:val="28"/>
          <w:rtl/>
        </w:rPr>
        <w:t xml:space="preserve">( </w:t>
      </w:r>
      <w:r w:rsidRPr="009A072C">
        <w:rPr>
          <w:rFonts w:cs="Traditional Arabic" w:hint="cs"/>
          <w:color w:val="000000"/>
          <w:sz w:val="24"/>
          <w:szCs w:val="28"/>
          <w:rtl/>
        </w:rPr>
        <w:t>جـ</w:t>
      </w:r>
      <w:r>
        <w:rPr>
          <w:rFonts w:cs="Traditional Arabic" w:hint="cs"/>
          <w:color w:val="000000"/>
          <w:sz w:val="24"/>
          <w:szCs w:val="28"/>
          <w:rtl/>
        </w:rPr>
        <w:t xml:space="preserve"> )</w:t>
      </w:r>
      <w:r w:rsidRPr="009A072C">
        <w:rPr>
          <w:rFonts w:cs="Traditional Arabic" w:hint="cs"/>
          <w:color w:val="000000"/>
          <w:sz w:val="24"/>
          <w:szCs w:val="28"/>
          <w:rtl/>
        </w:rPr>
        <w:t xml:space="preserve"> وهو دائن بألفين رهنه في سنة 1933</w:t>
      </w:r>
      <w:r>
        <w:rPr>
          <w:rFonts w:cs="Traditional Arabic" w:hint="cs"/>
          <w:color w:val="000000"/>
          <w:sz w:val="24"/>
          <w:szCs w:val="28"/>
          <w:rtl/>
        </w:rPr>
        <w:t xml:space="preserve"> .</w:t>
      </w:r>
      <w:r w:rsidRPr="009A072C">
        <w:rPr>
          <w:rFonts w:cs="Traditional Arabic" w:hint="cs"/>
          <w:color w:val="000000"/>
          <w:sz w:val="24"/>
          <w:szCs w:val="28"/>
          <w:rtl/>
        </w:rPr>
        <w:t xml:space="preserve"> وألغي محو القيد في سنة 1934</w:t>
      </w:r>
      <w:r>
        <w:rPr>
          <w:rFonts w:cs="Traditional Arabic" w:hint="cs"/>
          <w:color w:val="000000"/>
          <w:sz w:val="24"/>
          <w:szCs w:val="28"/>
          <w:rtl/>
        </w:rPr>
        <w:t xml:space="preserve"> .</w:t>
      </w:r>
      <w:r w:rsidRPr="009A072C">
        <w:rPr>
          <w:rFonts w:cs="Traditional Arabic" w:hint="cs"/>
          <w:color w:val="000000"/>
          <w:sz w:val="24"/>
          <w:szCs w:val="28"/>
          <w:rtl/>
        </w:rPr>
        <w:t xml:space="preserve"> وكان ثمن العقار المرهون أربعة آلاف</w:t>
      </w:r>
      <w:r>
        <w:rPr>
          <w:rFonts w:cs="Traditional Arabic" w:hint="cs"/>
          <w:color w:val="000000"/>
          <w:sz w:val="24"/>
          <w:szCs w:val="28"/>
          <w:rtl/>
        </w:rPr>
        <w:t xml:space="preserve"> ،</w:t>
      </w:r>
      <w:r w:rsidRPr="009A072C">
        <w:rPr>
          <w:rFonts w:cs="Traditional Arabic" w:hint="cs"/>
          <w:color w:val="000000"/>
          <w:sz w:val="24"/>
          <w:szCs w:val="28"/>
          <w:rtl/>
        </w:rPr>
        <w:t xml:space="preserve"> فإن التوزيع يكون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يعطي </w:t>
      </w:r>
      <w:r>
        <w:rPr>
          <w:rFonts w:cs="Traditional Arabic" w:hint="cs"/>
          <w:color w:val="000000"/>
          <w:sz w:val="24"/>
          <w:szCs w:val="28"/>
          <w:rtl/>
        </w:rPr>
        <w:t xml:space="preserve">( </w:t>
      </w:r>
      <w:r w:rsidRPr="009A072C">
        <w:rPr>
          <w:rFonts w:cs="Traditional Arabic" w:hint="cs"/>
          <w:color w:val="000000"/>
          <w:sz w:val="24"/>
          <w:szCs w:val="28"/>
          <w:rtl/>
        </w:rPr>
        <w:t>جـ</w:t>
      </w:r>
      <w:r>
        <w:rPr>
          <w:rFonts w:cs="Traditional Arabic" w:hint="cs"/>
          <w:color w:val="000000"/>
          <w:sz w:val="24"/>
          <w:szCs w:val="28"/>
          <w:rtl/>
        </w:rPr>
        <w:t xml:space="preserve"> )</w:t>
      </w:r>
      <w:r w:rsidRPr="009A072C">
        <w:rPr>
          <w:rFonts w:cs="Traditional Arabic" w:hint="cs"/>
          <w:color w:val="000000"/>
          <w:sz w:val="24"/>
          <w:szCs w:val="28"/>
          <w:rtl/>
        </w:rPr>
        <w:t xml:space="preserve"> نصيبه باعتبار أن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وحده هو الذي يتقدم عليه</w:t>
      </w:r>
      <w:r>
        <w:rPr>
          <w:rFonts w:cs="Traditional Arabic" w:hint="cs"/>
          <w:color w:val="000000"/>
          <w:sz w:val="24"/>
          <w:szCs w:val="28"/>
          <w:rtl/>
        </w:rPr>
        <w:t xml:space="preserve"> ،</w:t>
      </w:r>
      <w:r w:rsidRPr="009A072C">
        <w:rPr>
          <w:rFonts w:cs="Traditional Arabic" w:hint="cs"/>
          <w:color w:val="000000"/>
          <w:sz w:val="24"/>
          <w:szCs w:val="28"/>
          <w:rtl/>
        </w:rPr>
        <w:t xml:space="preserve"> لأن إلغاء المحو في قيد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ليس له أثر رجعي بالنسبة إلى </w:t>
      </w:r>
      <w:r>
        <w:rPr>
          <w:rFonts w:cs="Traditional Arabic" w:hint="cs"/>
          <w:color w:val="000000"/>
          <w:sz w:val="24"/>
          <w:szCs w:val="28"/>
          <w:rtl/>
        </w:rPr>
        <w:t xml:space="preserve">( </w:t>
      </w:r>
      <w:r w:rsidRPr="009A072C">
        <w:rPr>
          <w:rFonts w:cs="Traditional Arabic" w:hint="cs"/>
          <w:color w:val="000000"/>
          <w:sz w:val="24"/>
          <w:szCs w:val="28"/>
          <w:rtl/>
        </w:rPr>
        <w:t>جـ</w:t>
      </w:r>
      <w:r>
        <w:rPr>
          <w:rFonts w:cs="Traditional Arabic" w:hint="cs"/>
          <w:color w:val="000000"/>
          <w:sz w:val="24"/>
          <w:szCs w:val="28"/>
          <w:rtl/>
        </w:rPr>
        <w:t xml:space="preserve"> )</w:t>
      </w:r>
      <w:r w:rsidRPr="009A072C">
        <w:rPr>
          <w:rFonts w:cs="Traditional Arabic" w:hint="cs"/>
          <w:color w:val="000000"/>
          <w:sz w:val="24"/>
          <w:szCs w:val="28"/>
          <w:rtl/>
        </w:rPr>
        <w:t xml:space="preserve"> كما تقدم</w:t>
      </w:r>
      <w:r>
        <w:rPr>
          <w:rFonts w:cs="Traditional Arabic" w:hint="cs"/>
          <w:color w:val="000000"/>
          <w:sz w:val="24"/>
          <w:szCs w:val="28"/>
          <w:rtl/>
        </w:rPr>
        <w:t xml:space="preserve"> .</w:t>
      </w:r>
      <w:r w:rsidRPr="009A072C">
        <w:rPr>
          <w:rFonts w:cs="Traditional Arabic" w:hint="cs"/>
          <w:color w:val="000000"/>
          <w:sz w:val="24"/>
          <w:szCs w:val="28"/>
          <w:rtl/>
        </w:rPr>
        <w:t xml:space="preserve"> فيكون ما يأخذه من ثمن العقار ألفا</w:t>
      </w:r>
      <w:r>
        <w:rPr>
          <w:rFonts w:cs="Traditional Arabic" w:hint="cs"/>
          <w:color w:val="000000"/>
          <w:sz w:val="24"/>
          <w:szCs w:val="28"/>
          <w:rtl/>
        </w:rPr>
        <w:t xml:space="preserve"> .</w:t>
      </w:r>
      <w:r w:rsidRPr="009A072C">
        <w:rPr>
          <w:rFonts w:cs="Traditional Arabic" w:hint="cs"/>
          <w:color w:val="000000"/>
          <w:sz w:val="24"/>
          <w:szCs w:val="28"/>
          <w:rtl/>
        </w:rPr>
        <w:t xml:space="preserve"> ويوزع الباقي من الثمن</w:t>
      </w:r>
      <w:r>
        <w:rPr>
          <w:rFonts w:cs="Traditional Arabic" w:hint="cs"/>
          <w:color w:val="000000"/>
          <w:sz w:val="24"/>
          <w:szCs w:val="28"/>
          <w:rtl/>
        </w:rPr>
        <w:t xml:space="preserve"> ،</w:t>
      </w:r>
      <w:r w:rsidRPr="009A072C">
        <w:rPr>
          <w:rFonts w:cs="Traditional Arabic" w:hint="cs"/>
          <w:color w:val="000000"/>
          <w:sz w:val="24"/>
          <w:szCs w:val="28"/>
          <w:rtl/>
        </w:rPr>
        <w:t xml:space="preserve"> وهو ثلاثة آلاف</w:t>
      </w:r>
      <w:r>
        <w:rPr>
          <w:rFonts w:cs="Traditional Arabic" w:hint="cs"/>
          <w:color w:val="000000"/>
          <w:sz w:val="24"/>
          <w:szCs w:val="28"/>
          <w:rtl/>
        </w:rPr>
        <w:t xml:space="preserve"> ،</w:t>
      </w:r>
      <w:r w:rsidRPr="009A072C">
        <w:rPr>
          <w:rFonts w:cs="Traditional Arabic" w:hint="cs"/>
          <w:color w:val="000000"/>
          <w:sz w:val="24"/>
          <w:szCs w:val="28"/>
          <w:rtl/>
        </w:rPr>
        <w:t xml:space="preserve"> بين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و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باعتبار أن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يتقدم على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إذ أن إلغاء المحو له أثر رجعي بالنسبة لهذا الأخير</w:t>
      </w:r>
      <w:r>
        <w:rPr>
          <w:rFonts w:cs="Traditional Arabic" w:hint="cs"/>
          <w:color w:val="000000"/>
          <w:sz w:val="24"/>
          <w:szCs w:val="28"/>
          <w:rtl/>
        </w:rPr>
        <w:t xml:space="preserve"> .</w:t>
      </w:r>
      <w:r w:rsidRPr="009A072C">
        <w:rPr>
          <w:rFonts w:cs="Traditional Arabic" w:hint="cs"/>
          <w:color w:val="000000"/>
          <w:sz w:val="24"/>
          <w:szCs w:val="28"/>
          <w:rtl/>
        </w:rPr>
        <w:t xml:space="preserve"> فيكون ما يأخذه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هو ألفان</w:t>
      </w:r>
      <w:r>
        <w:rPr>
          <w:rFonts w:cs="Traditional Arabic" w:hint="cs"/>
          <w:color w:val="000000"/>
          <w:sz w:val="24"/>
          <w:szCs w:val="28"/>
          <w:rtl/>
        </w:rPr>
        <w:t xml:space="preserve"> ،</w:t>
      </w:r>
      <w:r w:rsidRPr="009A072C">
        <w:rPr>
          <w:rFonts w:cs="Traditional Arabic" w:hint="cs"/>
          <w:color w:val="000000"/>
          <w:sz w:val="24"/>
          <w:szCs w:val="28"/>
          <w:rtl/>
        </w:rPr>
        <w:t xml:space="preserve"> وما يأخذه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هو ألف"</w:t>
      </w:r>
      <w:r>
        <w:rPr>
          <w:rFonts w:cs="Traditional Arabic" w:hint="cs"/>
          <w:color w:val="000000"/>
          <w:sz w:val="24"/>
          <w:szCs w:val="28"/>
          <w:rtl/>
        </w:rPr>
        <w:t xml:space="preserve"> .</w:t>
      </w:r>
      <w:r w:rsidRPr="009A072C">
        <w:rPr>
          <w:rFonts w:cs="Traditional Arabic" w:hint="cs"/>
          <w:color w:val="000000"/>
          <w:sz w:val="24"/>
          <w:szCs w:val="28"/>
          <w:rtl/>
        </w:rPr>
        <w:t xml:space="preserve"> </w:t>
      </w:r>
      <w:r>
        <w:rPr>
          <w:rFonts w:cs="Traditional Arabic" w:hint="cs"/>
          <w:color w:val="000000"/>
          <w:sz w:val="24"/>
          <w:szCs w:val="28"/>
          <w:rtl/>
        </w:rPr>
        <w:t xml:space="preserve">( </w:t>
      </w:r>
      <w:r w:rsidRPr="009A072C">
        <w:rPr>
          <w:rFonts w:cs="Traditional Arabic" w:hint="cs"/>
          <w:color w:val="000000"/>
          <w:sz w:val="24"/>
          <w:szCs w:val="28"/>
          <w:rtl/>
        </w:rPr>
        <w:t>المذكرة الإيضاحية في مجموعة الأعمال التحضيرية 7 ص 76 في الهامش</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والرأي الغالب أنه</w:t>
      </w:r>
      <w:r>
        <w:rPr>
          <w:rFonts w:cs="Traditional Arabic" w:hint="cs"/>
          <w:color w:val="000000"/>
          <w:sz w:val="24"/>
          <w:szCs w:val="28"/>
          <w:rtl/>
        </w:rPr>
        <w:t xml:space="preserve"> ،</w:t>
      </w:r>
      <w:r w:rsidRPr="009A072C">
        <w:rPr>
          <w:rFonts w:cs="Traditional Arabic" w:hint="cs"/>
          <w:color w:val="000000"/>
          <w:sz w:val="24"/>
          <w:szCs w:val="28"/>
          <w:rtl/>
        </w:rPr>
        <w:t xml:space="preserve"> عند ما يترك الباقي من الثمن وهو 3000 إلى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و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 ،</w:t>
      </w:r>
      <w:r w:rsidRPr="009A072C">
        <w:rPr>
          <w:rFonts w:cs="Traditional Arabic" w:hint="cs"/>
          <w:color w:val="000000"/>
          <w:sz w:val="24"/>
          <w:szCs w:val="28"/>
          <w:rtl/>
        </w:rPr>
        <w:t xml:space="preserve"> يفرض ا المتقدمين لتوزيع 4000 فيما بينهما هما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و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وحدهما</w:t>
      </w:r>
      <w:r>
        <w:rPr>
          <w:rFonts w:cs="Traditional Arabic" w:hint="cs"/>
          <w:color w:val="000000"/>
          <w:sz w:val="24"/>
          <w:szCs w:val="28"/>
          <w:rtl/>
        </w:rPr>
        <w:t xml:space="preserve"> ،</w:t>
      </w:r>
      <w:r w:rsidRPr="009A072C">
        <w:rPr>
          <w:rFonts w:cs="Traditional Arabic" w:hint="cs"/>
          <w:color w:val="000000"/>
          <w:sz w:val="24"/>
          <w:szCs w:val="28"/>
          <w:rtl/>
        </w:rPr>
        <w:t xml:space="preserve"> فكان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يأخذ 2000 مقدار حقه و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يأخذ الباقي وهو 2000</w:t>
      </w:r>
      <w:r>
        <w:rPr>
          <w:rFonts w:cs="Traditional Arabic" w:hint="cs"/>
          <w:color w:val="000000"/>
          <w:sz w:val="24"/>
          <w:szCs w:val="28"/>
          <w:rtl/>
        </w:rPr>
        <w:t xml:space="preserve"> ،</w:t>
      </w:r>
      <w:r w:rsidRPr="009A072C">
        <w:rPr>
          <w:rFonts w:cs="Traditional Arabic" w:hint="cs"/>
          <w:color w:val="000000"/>
          <w:sz w:val="24"/>
          <w:szCs w:val="28"/>
          <w:rtl/>
        </w:rPr>
        <w:t xml:space="preserve"> فيأخذ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2000</w:t>
      </w:r>
      <w:r>
        <w:rPr>
          <w:rFonts w:cs="Traditional Arabic" w:hint="cs"/>
          <w:color w:val="000000"/>
          <w:sz w:val="24"/>
          <w:szCs w:val="28"/>
          <w:rtl/>
        </w:rPr>
        <w:t xml:space="preserve"> ،</w:t>
      </w:r>
      <w:r w:rsidRPr="009A072C">
        <w:rPr>
          <w:rFonts w:cs="Traditional Arabic" w:hint="cs"/>
          <w:color w:val="000000"/>
          <w:sz w:val="24"/>
          <w:szCs w:val="28"/>
          <w:rtl/>
        </w:rPr>
        <w:t xml:space="preserve"> والباقي من 3000 وهو 1000 يأخذه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 .</w:t>
      </w:r>
      <w:r w:rsidRPr="009A072C">
        <w:rPr>
          <w:rFonts w:cs="Traditional Arabic" w:hint="cs"/>
          <w:color w:val="000000"/>
          <w:sz w:val="24"/>
          <w:szCs w:val="28"/>
          <w:rtl/>
        </w:rPr>
        <w:t xml:space="preserve"> </w:t>
      </w:r>
      <w:r>
        <w:rPr>
          <w:rFonts w:cs="Traditional Arabic" w:hint="cs"/>
          <w:color w:val="000000"/>
          <w:sz w:val="24"/>
          <w:szCs w:val="28"/>
          <w:rtl/>
        </w:rPr>
        <w:t xml:space="preserve">( </w:t>
      </w:r>
      <w:r w:rsidRPr="009A072C">
        <w:rPr>
          <w:rFonts w:cs="Traditional Arabic" w:hint="cs"/>
          <w:color w:val="000000"/>
          <w:sz w:val="24"/>
          <w:szCs w:val="28"/>
          <w:rtl/>
        </w:rPr>
        <w:t xml:space="preserve">انظر محمد كامل مرسي فقرة 120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119</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 xml:space="preserve">انظر ترولون فقرة 746 مكررة </w:t>
      </w:r>
      <w:r w:rsidRPr="009A072C">
        <w:rPr>
          <w:rFonts w:cs="Traditional Arabic"/>
          <w:color w:val="000000"/>
          <w:sz w:val="24"/>
          <w:szCs w:val="28"/>
          <w:rtl/>
        </w:rPr>
        <w:t>–</w:t>
      </w:r>
      <w:r w:rsidRPr="009A072C">
        <w:rPr>
          <w:rFonts w:cs="Traditional Arabic" w:hint="cs"/>
          <w:color w:val="000000"/>
          <w:sz w:val="24"/>
          <w:szCs w:val="28"/>
          <w:rtl/>
        </w:rPr>
        <w:t xml:space="preserve"> بون فقرة 1107 </w:t>
      </w:r>
      <w:r w:rsidRPr="009A072C">
        <w:rPr>
          <w:rFonts w:cs="Traditional Arabic"/>
          <w:color w:val="000000"/>
          <w:sz w:val="24"/>
          <w:szCs w:val="28"/>
          <w:rtl/>
        </w:rPr>
        <w:t>–</w:t>
      </w:r>
      <w:r w:rsidRPr="009A072C">
        <w:rPr>
          <w:rFonts w:cs="Traditional Arabic" w:hint="cs"/>
          <w:color w:val="000000"/>
          <w:sz w:val="24"/>
          <w:szCs w:val="28"/>
          <w:rtl/>
        </w:rPr>
        <w:t xml:space="preserve"> هيك 13 فقرة 388 </w:t>
      </w:r>
      <w:r w:rsidRPr="009A072C">
        <w:rPr>
          <w:rFonts w:cs="Traditional Arabic"/>
          <w:color w:val="000000"/>
          <w:sz w:val="24"/>
          <w:szCs w:val="28"/>
          <w:rtl/>
        </w:rPr>
        <w:t>–</w:t>
      </w:r>
      <w:r w:rsidRPr="009A072C">
        <w:rPr>
          <w:rFonts w:cs="Traditional Arabic" w:hint="cs"/>
          <w:color w:val="000000"/>
          <w:sz w:val="24"/>
          <w:szCs w:val="28"/>
          <w:rtl/>
        </w:rPr>
        <w:t xml:space="preserve"> ديرانتون 20 فقرة 203 </w:t>
      </w:r>
      <w:r w:rsidRPr="009A072C">
        <w:rPr>
          <w:rFonts w:cs="Traditional Arabic"/>
          <w:color w:val="000000"/>
          <w:sz w:val="24"/>
          <w:szCs w:val="28"/>
          <w:rtl/>
        </w:rPr>
        <w:t>–</w:t>
      </w:r>
      <w:r w:rsidRPr="009A072C">
        <w:rPr>
          <w:rFonts w:cs="Traditional Arabic" w:hint="cs"/>
          <w:color w:val="000000"/>
          <w:sz w:val="24"/>
          <w:szCs w:val="28"/>
          <w:rtl/>
        </w:rPr>
        <w:t xml:space="preserve"> جيوار فقرة 1461 </w:t>
      </w:r>
      <w:r w:rsidRPr="009A072C">
        <w:rPr>
          <w:rFonts w:cs="Traditional Arabic"/>
          <w:color w:val="000000"/>
          <w:sz w:val="24"/>
          <w:szCs w:val="28"/>
          <w:rtl/>
        </w:rPr>
        <w:t>–</w:t>
      </w:r>
      <w:r w:rsidRPr="009A072C">
        <w:rPr>
          <w:rFonts w:cs="Traditional Arabic" w:hint="cs"/>
          <w:color w:val="000000"/>
          <w:sz w:val="24"/>
          <w:szCs w:val="28"/>
          <w:rtl/>
        </w:rPr>
        <w:t xml:space="preserve"> فقرة 1462 </w:t>
      </w:r>
      <w:r w:rsidRPr="009A072C">
        <w:rPr>
          <w:rFonts w:cs="Traditional Arabic"/>
          <w:color w:val="000000"/>
          <w:sz w:val="24"/>
          <w:szCs w:val="28"/>
          <w:rtl/>
        </w:rPr>
        <w:t>–</w:t>
      </w:r>
      <w:r w:rsidRPr="009A072C">
        <w:rPr>
          <w:rFonts w:cs="Traditional Arabic" w:hint="cs"/>
          <w:color w:val="000000"/>
          <w:sz w:val="24"/>
          <w:szCs w:val="28"/>
          <w:rtl/>
        </w:rPr>
        <w:t xml:space="preserve"> بيدان فقرة 10053 وما بعدها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1895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281 هامش 40 مكرر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433</w:t>
      </w:r>
      <w:r>
        <w:rPr>
          <w:rFonts w:cs="Traditional Arabic" w:hint="cs"/>
          <w:color w:val="000000"/>
          <w:sz w:val="24"/>
          <w:szCs w:val="28"/>
          <w:rtl/>
        </w:rPr>
        <w:t xml:space="preserve"> .</w:t>
      </w:r>
    </w:p>
  </w:footnote>
  <w:footnote w:id="103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النقض بهذا المعنى</w:t>
      </w:r>
      <w:r>
        <w:rPr>
          <w:rFonts w:cs="Traditional Arabic" w:hint="cs"/>
          <w:color w:val="000000"/>
          <w:sz w:val="24"/>
          <w:szCs w:val="28"/>
          <w:rtl/>
        </w:rPr>
        <w:t xml:space="preserve"> ،</w:t>
      </w:r>
      <w:r w:rsidRPr="009A072C">
        <w:rPr>
          <w:rFonts w:cs="Traditional Arabic" w:hint="cs"/>
          <w:color w:val="000000"/>
          <w:sz w:val="24"/>
          <w:szCs w:val="28"/>
          <w:rtl/>
        </w:rPr>
        <w:t xml:space="preserve"> حتى قبل صدور قانون تنظيم الشهر العقار</w:t>
      </w:r>
      <w:r>
        <w:rPr>
          <w:rFonts w:cs="Traditional Arabic" w:hint="cs"/>
          <w:color w:val="000000"/>
          <w:sz w:val="24"/>
          <w:szCs w:val="28"/>
          <w:rtl/>
        </w:rPr>
        <w:t xml:space="preserve"> ،</w:t>
      </w:r>
      <w:r w:rsidRPr="009A072C">
        <w:rPr>
          <w:rFonts w:cs="Traditional Arabic" w:hint="cs"/>
          <w:color w:val="000000"/>
          <w:sz w:val="24"/>
          <w:szCs w:val="28"/>
          <w:rtl/>
        </w:rPr>
        <w:t xml:space="preserve"> بأ القانون جعل شهر الحقوق العينية عن طريق تسجيلها إعلاما لكل أحد بوجود الحق العيني الذي شهر</w:t>
      </w:r>
      <w:r>
        <w:rPr>
          <w:rFonts w:cs="Traditional Arabic" w:hint="cs"/>
          <w:color w:val="000000"/>
          <w:sz w:val="24"/>
          <w:szCs w:val="28"/>
          <w:rtl/>
        </w:rPr>
        <w:t xml:space="preserve"> ،</w:t>
      </w:r>
      <w:r w:rsidRPr="009A072C">
        <w:rPr>
          <w:rFonts w:cs="Traditional Arabic" w:hint="cs"/>
          <w:color w:val="000000"/>
          <w:sz w:val="24"/>
          <w:szCs w:val="28"/>
          <w:rtl/>
        </w:rPr>
        <w:t xml:space="preserve"> بحيث يكون حجة على كل أرباب الحقوق الذين تلقوا حقوقهم وهو مقيد بالسجل</w:t>
      </w:r>
      <w:r>
        <w:rPr>
          <w:rFonts w:cs="Traditional Arabic" w:hint="cs"/>
          <w:color w:val="000000"/>
          <w:sz w:val="24"/>
          <w:szCs w:val="28"/>
          <w:rtl/>
        </w:rPr>
        <w:t xml:space="preserve"> ،</w:t>
      </w:r>
      <w:r w:rsidRPr="009A072C">
        <w:rPr>
          <w:rFonts w:cs="Traditional Arabic" w:hint="cs"/>
          <w:color w:val="000000"/>
          <w:sz w:val="24"/>
          <w:szCs w:val="28"/>
          <w:rtl/>
        </w:rPr>
        <w:t xml:space="preserve"> إذا أنهم حينئذ يعتبرون قانونا عالمين بوجوده</w:t>
      </w:r>
      <w:r>
        <w:rPr>
          <w:rFonts w:cs="Traditional Arabic" w:hint="cs"/>
          <w:color w:val="000000"/>
          <w:sz w:val="24"/>
          <w:szCs w:val="28"/>
          <w:rtl/>
        </w:rPr>
        <w:t xml:space="preserve"> .</w:t>
      </w:r>
      <w:r w:rsidRPr="009A072C">
        <w:rPr>
          <w:rFonts w:cs="Traditional Arabic" w:hint="cs"/>
          <w:color w:val="000000"/>
          <w:sz w:val="24"/>
          <w:szCs w:val="28"/>
          <w:rtl/>
        </w:rPr>
        <w:t xml:space="preserve"> ولا حجية له على الذين تلقوا حقوقهم وهو غير مقيد بالسجل</w:t>
      </w:r>
      <w:r>
        <w:rPr>
          <w:rFonts w:cs="Traditional Arabic" w:hint="cs"/>
          <w:color w:val="000000"/>
          <w:sz w:val="24"/>
          <w:szCs w:val="28"/>
          <w:rtl/>
        </w:rPr>
        <w:t xml:space="preserve"> ،</w:t>
      </w:r>
      <w:r w:rsidRPr="009A072C">
        <w:rPr>
          <w:rFonts w:cs="Traditional Arabic" w:hint="cs"/>
          <w:color w:val="000000"/>
          <w:sz w:val="24"/>
          <w:szCs w:val="28"/>
          <w:rtl/>
        </w:rPr>
        <w:t xml:space="preserve"> لأنهم حينئذ لم يكونوا عالمين به</w:t>
      </w:r>
      <w:r>
        <w:rPr>
          <w:rFonts w:cs="Traditional Arabic" w:hint="cs"/>
          <w:color w:val="000000"/>
          <w:sz w:val="24"/>
          <w:szCs w:val="28"/>
          <w:rtl/>
        </w:rPr>
        <w:t xml:space="preserve"> .</w:t>
      </w:r>
      <w:r w:rsidRPr="009A072C">
        <w:rPr>
          <w:rFonts w:cs="Traditional Arabic" w:hint="cs"/>
          <w:color w:val="000000"/>
          <w:sz w:val="24"/>
          <w:szCs w:val="28"/>
          <w:rtl/>
        </w:rPr>
        <w:t xml:space="preserve"> ومن ثم فإنه إن محي قيد الحق العيني من السجل</w:t>
      </w:r>
      <w:r>
        <w:rPr>
          <w:rFonts w:cs="Traditional Arabic" w:hint="cs"/>
          <w:color w:val="000000"/>
          <w:sz w:val="24"/>
          <w:szCs w:val="28"/>
          <w:rtl/>
        </w:rPr>
        <w:t xml:space="preserve"> ،</w:t>
      </w:r>
      <w:r w:rsidRPr="009A072C">
        <w:rPr>
          <w:rFonts w:cs="Traditional Arabic" w:hint="cs"/>
          <w:color w:val="000000"/>
          <w:sz w:val="24"/>
          <w:szCs w:val="28"/>
          <w:rtl/>
        </w:rPr>
        <w:t xml:space="preserve"> ثم ألغي المحو</w:t>
      </w:r>
      <w:r>
        <w:rPr>
          <w:rFonts w:cs="Traditional Arabic" w:hint="cs"/>
          <w:color w:val="000000"/>
          <w:sz w:val="24"/>
          <w:szCs w:val="28"/>
          <w:rtl/>
        </w:rPr>
        <w:t xml:space="preserve"> ،</w:t>
      </w:r>
      <w:r w:rsidRPr="009A072C">
        <w:rPr>
          <w:rFonts w:cs="Traditional Arabic" w:hint="cs"/>
          <w:color w:val="000000"/>
          <w:sz w:val="24"/>
          <w:szCs w:val="28"/>
          <w:rtl/>
        </w:rPr>
        <w:t xml:space="preserve"> عادت إلى القيد مرتبته الأصلية التي كانت له قبل محوه</w:t>
      </w:r>
      <w:r>
        <w:rPr>
          <w:rFonts w:cs="Traditional Arabic" w:hint="cs"/>
          <w:color w:val="000000"/>
          <w:sz w:val="24"/>
          <w:szCs w:val="28"/>
          <w:rtl/>
        </w:rPr>
        <w:t xml:space="preserve"> ،</w:t>
      </w:r>
      <w:r w:rsidRPr="009A072C">
        <w:rPr>
          <w:rFonts w:cs="Traditional Arabic" w:hint="cs"/>
          <w:color w:val="000000"/>
          <w:sz w:val="24"/>
          <w:szCs w:val="28"/>
          <w:rtl/>
        </w:rPr>
        <w:t xml:space="preserve"> لكن بدون أن يكون حجة على التسجيلات التي حصلت في الفترة بين المحو وإلغائه </w:t>
      </w:r>
      <w:r>
        <w:rPr>
          <w:rFonts w:cs="Traditional Arabic" w:hint="cs"/>
          <w:color w:val="000000"/>
          <w:sz w:val="24"/>
          <w:szCs w:val="28"/>
          <w:rtl/>
        </w:rPr>
        <w:t xml:space="preserve">( </w:t>
      </w:r>
      <w:r w:rsidRPr="009A072C">
        <w:rPr>
          <w:rFonts w:cs="Traditional Arabic" w:hint="cs"/>
          <w:color w:val="000000"/>
          <w:sz w:val="24"/>
          <w:szCs w:val="28"/>
          <w:rtl/>
        </w:rPr>
        <w:t>نقض مدني 31 يناير سنة 1946 مجموعة عمر رق 35 ص 35</w:t>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tl/>
        </w:rPr>
        <w:t>–</w:t>
      </w:r>
      <w:r w:rsidRPr="009A072C">
        <w:rPr>
          <w:rFonts w:cs="Traditional Arabic" w:hint="cs"/>
          <w:color w:val="000000"/>
          <w:sz w:val="24"/>
          <w:szCs w:val="28"/>
          <w:rtl/>
        </w:rPr>
        <w:t xml:space="preserve"> قارن محمد كامل مرسي فقرة 120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119 0 منصور مصطفى منصور فقرة 53 ص 114 </w:t>
      </w:r>
      <w:r w:rsidRPr="009A072C">
        <w:rPr>
          <w:rFonts w:cs="Traditional Arabic"/>
          <w:color w:val="000000"/>
          <w:sz w:val="24"/>
          <w:szCs w:val="28"/>
          <w:rtl/>
        </w:rPr>
        <w:t>–</w:t>
      </w:r>
      <w:r w:rsidRPr="009A072C">
        <w:rPr>
          <w:rFonts w:cs="Traditional Arabic" w:hint="cs"/>
          <w:color w:val="000000"/>
          <w:sz w:val="24"/>
          <w:szCs w:val="28"/>
          <w:rtl/>
        </w:rPr>
        <w:t xml:space="preserve"> ص 115</w:t>
      </w:r>
      <w:r>
        <w:rPr>
          <w:rFonts w:cs="Traditional Arabic" w:hint="cs"/>
          <w:color w:val="000000"/>
          <w:sz w:val="24"/>
          <w:szCs w:val="28"/>
          <w:rtl/>
        </w:rPr>
        <w:t xml:space="preserve"> .</w:t>
      </w:r>
    </w:p>
  </w:footnote>
  <w:footnote w:id="103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1477 من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1156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1142</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1056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811 </w:t>
      </w:r>
      <w:r w:rsidRPr="009A072C">
        <w:rPr>
          <w:rFonts w:cs="Traditional Arabic"/>
          <w:color w:val="000000"/>
          <w:sz w:val="24"/>
          <w:szCs w:val="28"/>
          <w:rtl/>
        </w:rPr>
        <w:t>–</w:t>
      </w:r>
      <w:r w:rsidRPr="009A072C">
        <w:rPr>
          <w:rFonts w:cs="Traditional Arabic" w:hint="cs"/>
          <w:color w:val="000000"/>
          <w:sz w:val="24"/>
          <w:szCs w:val="28"/>
          <w:rtl/>
        </w:rPr>
        <w:t xml:space="preserve"> ص 82</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567 / 691</w:t>
      </w:r>
      <w:r>
        <w:rPr>
          <w:rFonts w:cs="Traditional Arabic" w:hint="cs"/>
          <w:color w:val="000000"/>
          <w:sz w:val="24"/>
          <w:szCs w:val="28"/>
          <w:rtl/>
        </w:rPr>
        <w:t xml:space="preserve"> :</w:t>
      </w:r>
      <w:r w:rsidRPr="009A072C">
        <w:rPr>
          <w:rFonts w:cs="Traditional Arabic" w:hint="cs"/>
          <w:color w:val="000000"/>
          <w:sz w:val="24"/>
          <w:szCs w:val="28"/>
          <w:rtl/>
        </w:rPr>
        <w:t xml:space="preserve"> يستوفي أرباب الرهون العقارية بمطلوباتهم من ثمن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أو من مبلغ تأمينه ممن المدين إذا احترق</w:t>
      </w:r>
      <w:r>
        <w:rPr>
          <w:rFonts w:cs="Traditional Arabic" w:hint="cs"/>
          <w:color w:val="000000"/>
          <w:sz w:val="24"/>
          <w:szCs w:val="28"/>
          <w:rtl/>
        </w:rPr>
        <w:t xml:space="preserve"> ،</w:t>
      </w:r>
      <w:r w:rsidRPr="009A072C">
        <w:rPr>
          <w:rFonts w:cs="Traditional Arabic" w:hint="cs"/>
          <w:color w:val="000000"/>
          <w:sz w:val="24"/>
          <w:szCs w:val="28"/>
          <w:rtl/>
        </w:rPr>
        <w:t xml:space="preserve"> ويكون استيفاؤهم ذلك بحسب ترتيب تسجيلهم ولو كان تسجيل رهونهم في يوم واحد</w:t>
      </w:r>
      <w:r>
        <w:rPr>
          <w:rFonts w:cs="Traditional Arabic" w:hint="cs"/>
          <w:color w:val="000000"/>
          <w:sz w:val="24"/>
          <w:szCs w:val="28"/>
          <w:rtl/>
        </w:rPr>
        <w:t xml:space="preserve"> .</w:t>
      </w:r>
    </w:p>
  </w:footnote>
  <w:footnote w:id="103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وهذا بخلاف القانون الفرنسي</w:t>
      </w:r>
      <w:r>
        <w:rPr>
          <w:rFonts w:cs="Traditional Arabic" w:hint="cs"/>
          <w:color w:val="000000"/>
          <w:sz w:val="24"/>
          <w:szCs w:val="28"/>
          <w:rtl/>
        </w:rPr>
        <w:t xml:space="preserve"> ،</w:t>
      </w:r>
      <w:r w:rsidRPr="009A072C">
        <w:rPr>
          <w:rFonts w:cs="Traditional Arabic" w:hint="cs"/>
          <w:color w:val="000000"/>
          <w:sz w:val="24"/>
          <w:szCs w:val="28"/>
          <w:rtl/>
        </w:rPr>
        <w:t xml:space="preserve"> حيث  تتحدد الأسبقية باليوم لا بالساعة</w:t>
      </w:r>
      <w:r>
        <w:rPr>
          <w:rFonts w:cs="Traditional Arabic" w:hint="cs"/>
          <w:color w:val="000000"/>
          <w:sz w:val="24"/>
          <w:szCs w:val="28"/>
          <w:rtl/>
        </w:rPr>
        <w:t xml:space="preserve"> ،</w:t>
      </w:r>
      <w:r w:rsidRPr="009A072C">
        <w:rPr>
          <w:rFonts w:cs="Traditional Arabic" w:hint="cs"/>
          <w:color w:val="000000"/>
          <w:sz w:val="24"/>
          <w:szCs w:val="28"/>
          <w:rtl/>
        </w:rPr>
        <w:t xml:space="preserve"> فيتساوى المتقدمون في يوم واحد</w:t>
      </w:r>
      <w:r>
        <w:rPr>
          <w:rFonts w:cs="Traditional Arabic" w:hint="cs"/>
          <w:color w:val="000000"/>
          <w:sz w:val="24"/>
          <w:szCs w:val="28"/>
          <w:rtl/>
        </w:rPr>
        <w:t xml:space="preserve"> ،</w:t>
      </w:r>
      <w:r w:rsidRPr="009A072C">
        <w:rPr>
          <w:rFonts w:cs="Traditional Arabic" w:hint="cs"/>
          <w:color w:val="000000"/>
          <w:sz w:val="24"/>
          <w:szCs w:val="28"/>
          <w:rtl/>
        </w:rPr>
        <w:t xml:space="preserve"> ولو كان احدهم تقدم في المساء والآخر في الصباح</w:t>
      </w:r>
      <w:r>
        <w:rPr>
          <w:rFonts w:cs="Traditional Arabic" w:hint="cs"/>
          <w:color w:val="000000"/>
          <w:sz w:val="24"/>
          <w:szCs w:val="28"/>
          <w:rtl/>
        </w:rPr>
        <w:t xml:space="preserve"> ،</w:t>
      </w:r>
      <w:r w:rsidRPr="009A072C">
        <w:rPr>
          <w:rFonts w:cs="Traditional Arabic" w:hint="cs"/>
          <w:color w:val="000000"/>
          <w:sz w:val="24"/>
          <w:szCs w:val="28"/>
          <w:rtl/>
        </w:rPr>
        <w:t xml:space="preserve"> ومع ذلك فقد صدر قانون حديث في فرنسا سنة 1955</w:t>
      </w:r>
      <w:r>
        <w:rPr>
          <w:rFonts w:cs="Traditional Arabic" w:hint="cs"/>
          <w:color w:val="000000"/>
          <w:sz w:val="24"/>
          <w:szCs w:val="28"/>
          <w:rtl/>
        </w:rPr>
        <w:t xml:space="preserve"> ،</w:t>
      </w:r>
      <w:r w:rsidRPr="009A072C">
        <w:rPr>
          <w:rFonts w:cs="Traditional Arabic" w:hint="cs"/>
          <w:color w:val="000000"/>
          <w:sz w:val="24"/>
          <w:szCs w:val="28"/>
          <w:rtl/>
        </w:rPr>
        <w:t xml:space="preserve"> يقرر أنه في حالة إجراء القيد في يوم واحد</w:t>
      </w:r>
      <w:r>
        <w:rPr>
          <w:rFonts w:cs="Traditional Arabic" w:hint="cs"/>
          <w:color w:val="000000"/>
          <w:sz w:val="24"/>
          <w:szCs w:val="28"/>
          <w:rtl/>
        </w:rPr>
        <w:t xml:space="preserve"> ،</w:t>
      </w:r>
      <w:r w:rsidRPr="009A072C">
        <w:rPr>
          <w:rFonts w:cs="Traditional Arabic" w:hint="cs"/>
          <w:color w:val="000000"/>
          <w:sz w:val="24"/>
          <w:szCs w:val="28"/>
          <w:rtl/>
        </w:rPr>
        <w:t xml:space="preserve"> تحسب الأفضلية بتاريخ نشوء حق الرهن </w:t>
      </w:r>
      <w:r>
        <w:rPr>
          <w:rFonts w:cs="Traditional Arabic" w:hint="cs"/>
          <w:color w:val="000000"/>
          <w:sz w:val="24"/>
          <w:szCs w:val="28"/>
          <w:rtl/>
        </w:rPr>
        <w:t xml:space="preserve">( </w:t>
      </w:r>
      <w:r w:rsidRPr="009A072C">
        <w:rPr>
          <w:rFonts w:cs="Traditional Arabic" w:hint="cs"/>
          <w:color w:val="000000"/>
          <w:sz w:val="24"/>
          <w:szCs w:val="28"/>
          <w:rtl/>
        </w:rPr>
        <w:t>سمير تناغر فقرة 37 ص 139 هامش 1</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وقد نصت المادة 33 من قانون تنظيم الشهر العقار على أنه "إذا قدم للمأمورية أكثر من طلب في شأن عقار واحد</w:t>
      </w:r>
      <w:r>
        <w:rPr>
          <w:rFonts w:cs="Traditional Arabic" w:hint="cs"/>
          <w:color w:val="000000"/>
          <w:sz w:val="24"/>
          <w:szCs w:val="28"/>
          <w:rtl/>
        </w:rPr>
        <w:t xml:space="preserve"> ،</w:t>
      </w:r>
      <w:r w:rsidRPr="009A072C">
        <w:rPr>
          <w:rFonts w:cs="Traditional Arabic" w:hint="cs"/>
          <w:color w:val="000000"/>
          <w:sz w:val="24"/>
          <w:szCs w:val="28"/>
          <w:rtl/>
        </w:rPr>
        <w:t xml:space="preserve"> يجب أن تبحث هذه الطلبات وفقا لأسبقية تدوينها في الدفتر المعد لذلك</w:t>
      </w:r>
      <w:r>
        <w:rPr>
          <w:rFonts w:cs="Traditional Arabic" w:hint="cs"/>
          <w:color w:val="000000"/>
          <w:sz w:val="24"/>
          <w:szCs w:val="28"/>
          <w:rtl/>
        </w:rPr>
        <w:t xml:space="preserve"> ،</w:t>
      </w:r>
      <w:r w:rsidRPr="009A072C">
        <w:rPr>
          <w:rFonts w:cs="Traditional Arabic" w:hint="cs"/>
          <w:color w:val="000000"/>
          <w:sz w:val="24"/>
          <w:szCs w:val="28"/>
          <w:rtl/>
        </w:rPr>
        <w:t xml:space="preserve"> وأن تنقضي بين إعادة الطلب السابق مؤشرا عليه بالقبول وإعادة الطلب اللاحق مؤشراً عليه بذلك فترة معادلة للفقرة التي تقع بين ميعاد تدوين كل منهما</w:t>
      </w:r>
      <w:r>
        <w:rPr>
          <w:rFonts w:cs="Traditional Arabic" w:hint="cs"/>
          <w:color w:val="000000"/>
          <w:sz w:val="24"/>
          <w:szCs w:val="28"/>
          <w:rtl/>
        </w:rPr>
        <w:t xml:space="preserve"> ،</w:t>
      </w:r>
      <w:r w:rsidRPr="009A072C">
        <w:rPr>
          <w:rFonts w:cs="Traditional Arabic" w:hint="cs"/>
          <w:color w:val="000000"/>
          <w:sz w:val="24"/>
          <w:szCs w:val="28"/>
          <w:rtl/>
        </w:rPr>
        <w:t xml:space="preserve"> على ألا تتجاوز هذه الفترة سبعة أيام</w:t>
      </w:r>
      <w:r>
        <w:rPr>
          <w:rFonts w:cs="Traditional Arabic" w:hint="cs"/>
          <w:color w:val="000000"/>
          <w:sz w:val="24"/>
          <w:szCs w:val="28"/>
          <w:rtl/>
        </w:rPr>
        <w:t xml:space="preserve"> .</w:t>
      </w:r>
      <w:r w:rsidRPr="009A072C">
        <w:rPr>
          <w:rFonts w:cs="Traditional Arabic" w:hint="cs"/>
          <w:color w:val="000000"/>
          <w:sz w:val="24"/>
          <w:szCs w:val="28"/>
          <w:rtl/>
        </w:rPr>
        <w:t xml:space="preserve"> وإذا قدم للمأمورية أكثر من مشروع محرر في شأن عقار واحد</w:t>
      </w:r>
      <w:r>
        <w:rPr>
          <w:rFonts w:cs="Traditional Arabic" w:hint="cs"/>
          <w:color w:val="000000"/>
          <w:sz w:val="24"/>
          <w:szCs w:val="28"/>
          <w:rtl/>
        </w:rPr>
        <w:t xml:space="preserve"> ،</w:t>
      </w:r>
      <w:r w:rsidRPr="009A072C">
        <w:rPr>
          <w:rFonts w:cs="Traditional Arabic" w:hint="cs"/>
          <w:color w:val="000000"/>
          <w:sz w:val="24"/>
          <w:szCs w:val="28"/>
          <w:rtl/>
        </w:rPr>
        <w:t xml:space="preserve"> وجب أن تنقضي بين إعادة مشروع المحرر السابق مؤشرا عليه بصلاحيته للشهر وإعادة مشروع المحرر اللاحق مؤشرا عليه بذلك فترة معادلة للفترة التي تقع بين ميعاد تدوين كل منهما</w:t>
      </w:r>
      <w:r>
        <w:rPr>
          <w:rFonts w:cs="Traditional Arabic" w:hint="cs"/>
          <w:color w:val="000000"/>
          <w:sz w:val="24"/>
          <w:szCs w:val="28"/>
          <w:rtl/>
        </w:rPr>
        <w:t xml:space="preserve"> ،</w:t>
      </w:r>
      <w:r w:rsidRPr="009A072C">
        <w:rPr>
          <w:rFonts w:cs="Traditional Arabic" w:hint="cs"/>
          <w:color w:val="000000"/>
          <w:sz w:val="24"/>
          <w:szCs w:val="28"/>
          <w:rtl/>
        </w:rPr>
        <w:t xml:space="preserve"> على ألا تجاز هذه الفترة خمسة أيام"</w:t>
      </w:r>
      <w:r>
        <w:rPr>
          <w:rFonts w:cs="Traditional Arabic" w:hint="cs"/>
          <w:color w:val="000000"/>
          <w:sz w:val="24"/>
          <w:szCs w:val="28"/>
          <w:rtl/>
        </w:rPr>
        <w:t xml:space="preserve"> .</w:t>
      </w:r>
    </w:p>
  </w:footnote>
  <w:footnote w:id="104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أوبري ورو 3 فقرة 285 ص 566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976</w:t>
      </w:r>
      <w:r>
        <w:rPr>
          <w:rFonts w:cs="Traditional Arabic" w:hint="cs"/>
          <w:color w:val="000000"/>
          <w:sz w:val="24"/>
          <w:szCs w:val="28"/>
          <w:rtl/>
        </w:rPr>
        <w:t xml:space="preserve"> .</w:t>
      </w:r>
    </w:p>
  </w:footnote>
  <w:footnote w:id="104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أنسيكلوبيدي داللوز 2 ص 921 فقرة 256 وما بعدها</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04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بأنه إذا اتفق الطرفان فيما بعد على مد الميعاد الذي يقفل فيه الحساب أو الاعتماد</w:t>
      </w:r>
      <w:r>
        <w:rPr>
          <w:rFonts w:cs="Traditional Arabic" w:hint="cs"/>
          <w:color w:val="000000"/>
          <w:sz w:val="24"/>
          <w:szCs w:val="28"/>
          <w:rtl/>
        </w:rPr>
        <w:t xml:space="preserve"> ،</w:t>
      </w:r>
      <w:r w:rsidRPr="009A072C">
        <w:rPr>
          <w:rFonts w:cs="Traditional Arabic" w:hint="cs"/>
          <w:color w:val="000000"/>
          <w:sz w:val="24"/>
          <w:szCs w:val="28"/>
          <w:rtl/>
        </w:rPr>
        <w:t xml:space="preserve"> فإن هذا الاتفاق لا ينفذ في حق الغير</w:t>
      </w:r>
      <w:r>
        <w:rPr>
          <w:rFonts w:cs="Traditional Arabic" w:hint="cs"/>
          <w:color w:val="000000"/>
          <w:sz w:val="24"/>
          <w:szCs w:val="28"/>
          <w:rtl/>
        </w:rPr>
        <w:t xml:space="preserve"> ،</w:t>
      </w:r>
      <w:r w:rsidRPr="009A072C">
        <w:rPr>
          <w:rFonts w:cs="Traditional Arabic" w:hint="cs"/>
          <w:color w:val="000000"/>
          <w:sz w:val="24"/>
          <w:szCs w:val="28"/>
          <w:rtl/>
        </w:rPr>
        <w:t xml:space="preserve"> بمعنى أن الرهن لا يشمل المبالغ التي تسلمها الراهن بعد الميعاد الأصلي المتفق عليه</w:t>
      </w:r>
      <w:r>
        <w:rPr>
          <w:rFonts w:cs="Traditional Arabic" w:hint="cs"/>
          <w:color w:val="000000"/>
          <w:sz w:val="24"/>
          <w:szCs w:val="28"/>
          <w:rtl/>
        </w:rPr>
        <w:t xml:space="preserve"> ،</w:t>
      </w:r>
      <w:r w:rsidRPr="009A072C">
        <w:rPr>
          <w:rFonts w:cs="Traditional Arabic" w:hint="cs"/>
          <w:color w:val="000000"/>
          <w:sz w:val="24"/>
          <w:szCs w:val="28"/>
          <w:rtl/>
        </w:rPr>
        <w:t xml:space="preserve"> ولو كانت جملة هذه المبالغ مضافة إلى ما تسلمه في الميعاد لا تجاوز الحد الأقصى المرخص فيه في العقد الأصلي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مختلف 11 يونيه سنة </w:t>
      </w:r>
      <w:smartTag w:uri="urn:schemas-microsoft-com:office:smarttags" w:element="metricconverter">
        <w:smartTagPr>
          <w:attr w:name="ProductID" w:val="1940 م"/>
        </w:smartTagPr>
        <w:r w:rsidRPr="009A072C">
          <w:rPr>
            <w:rFonts w:cs="Traditional Arabic" w:hint="cs"/>
            <w:color w:val="000000"/>
            <w:sz w:val="24"/>
            <w:szCs w:val="28"/>
            <w:rtl/>
          </w:rPr>
          <w:t>1940 م</w:t>
        </w:r>
      </w:smartTag>
      <w:r w:rsidRPr="009A072C">
        <w:rPr>
          <w:rFonts w:cs="Traditional Arabic" w:hint="cs"/>
          <w:color w:val="000000"/>
          <w:sz w:val="24"/>
          <w:szCs w:val="28"/>
          <w:rtl/>
        </w:rPr>
        <w:t xml:space="preserve"> 52 ص 299</w:t>
      </w:r>
      <w:r>
        <w:rPr>
          <w:rFonts w:cs="Traditional Arabic" w:hint="cs"/>
          <w:color w:val="000000"/>
          <w:sz w:val="24"/>
          <w:szCs w:val="28"/>
          <w:rtl/>
        </w:rPr>
        <w:t xml:space="preserve"> ) .</w:t>
      </w:r>
    </w:p>
  </w:footnote>
  <w:footnote w:id="104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وهنا رأي بتوزيع ثمن العقار على الدائنين الآخرين</w:t>
      </w:r>
      <w:r>
        <w:rPr>
          <w:rFonts w:cs="Traditional Arabic" w:hint="cs"/>
          <w:color w:val="000000"/>
          <w:sz w:val="24"/>
          <w:szCs w:val="28"/>
          <w:rtl/>
        </w:rPr>
        <w:t xml:space="preserve"> ،</w:t>
      </w:r>
      <w:r w:rsidRPr="009A072C">
        <w:rPr>
          <w:rFonts w:cs="Traditional Arabic" w:hint="cs"/>
          <w:color w:val="000000"/>
          <w:sz w:val="24"/>
          <w:szCs w:val="28"/>
          <w:rtl/>
        </w:rPr>
        <w:t xml:space="preserve"> مع إلزامهم بتقديم ضمان عيني يكفل الوفاء بالمبلغ التقدير المحدد في قائمة القيد لحق المصرف</w:t>
      </w:r>
      <w:r>
        <w:rPr>
          <w:rFonts w:cs="Traditional Arabic" w:hint="cs"/>
          <w:color w:val="000000"/>
          <w:sz w:val="24"/>
          <w:szCs w:val="28"/>
          <w:rtl/>
        </w:rPr>
        <w:t xml:space="preserve"> .</w:t>
      </w:r>
      <w:r w:rsidRPr="009A072C">
        <w:rPr>
          <w:rFonts w:cs="Traditional Arabic" w:hint="cs"/>
          <w:color w:val="000000"/>
          <w:sz w:val="24"/>
          <w:szCs w:val="28"/>
          <w:rtl/>
        </w:rPr>
        <w:t xml:space="preserve"> وقيل بإرجاء التوزيع إذا كان التحقق من وجود الدين قريبا</w:t>
      </w:r>
      <w:r>
        <w:rPr>
          <w:rFonts w:cs="Traditional Arabic" w:hint="cs"/>
          <w:color w:val="000000"/>
          <w:sz w:val="24"/>
          <w:szCs w:val="28"/>
          <w:rtl/>
        </w:rPr>
        <w:t xml:space="preserve"> ،</w:t>
      </w:r>
      <w:r w:rsidRPr="009A072C">
        <w:rPr>
          <w:rFonts w:cs="Traditional Arabic" w:hint="cs"/>
          <w:color w:val="000000"/>
          <w:sz w:val="24"/>
          <w:szCs w:val="28"/>
          <w:rtl/>
        </w:rPr>
        <w:t xml:space="preserve"> وقيل توزيع حصص الدائنين السابقين للمصرف في المرتبة</w:t>
      </w:r>
      <w:r>
        <w:rPr>
          <w:rFonts w:cs="Traditional Arabic" w:hint="cs"/>
          <w:color w:val="000000"/>
          <w:sz w:val="24"/>
          <w:szCs w:val="28"/>
          <w:rtl/>
        </w:rPr>
        <w:t xml:space="preserve"> .</w:t>
      </w:r>
      <w:r w:rsidRPr="009A072C">
        <w:rPr>
          <w:rFonts w:cs="Traditional Arabic" w:hint="cs"/>
          <w:color w:val="000000"/>
          <w:sz w:val="24"/>
          <w:szCs w:val="28"/>
          <w:rtl/>
        </w:rPr>
        <w:t xml:space="preserve"> أما الدائنون المتأخرون في المرتبة عن المصرف فتقي حصصهم في التوزيع معلقة</w:t>
      </w:r>
      <w:r>
        <w:rPr>
          <w:rFonts w:cs="Traditional Arabic" w:hint="cs"/>
          <w:color w:val="000000"/>
          <w:sz w:val="24"/>
          <w:szCs w:val="28"/>
          <w:rtl/>
        </w:rPr>
        <w:t xml:space="preserve"> ،</w:t>
      </w:r>
      <w:r w:rsidRPr="009A072C">
        <w:rPr>
          <w:rFonts w:cs="Traditional Arabic" w:hint="cs"/>
          <w:color w:val="000000"/>
          <w:sz w:val="24"/>
          <w:szCs w:val="28"/>
          <w:rtl/>
        </w:rPr>
        <w:t xml:space="preserve"> حتى يتحدد مصير الدين الناشئ عن الحساب الجاري </w:t>
      </w:r>
      <w:r>
        <w:rPr>
          <w:rFonts w:cs="Traditional Arabic" w:hint="cs"/>
          <w:color w:val="000000"/>
          <w:sz w:val="24"/>
          <w:szCs w:val="28"/>
          <w:rtl/>
        </w:rPr>
        <w:t xml:space="preserve">( </w:t>
      </w:r>
      <w:r w:rsidRPr="009A072C">
        <w:rPr>
          <w:rFonts w:cs="Traditional Arabic" w:hint="cs"/>
          <w:color w:val="000000"/>
          <w:sz w:val="24"/>
          <w:szCs w:val="28"/>
          <w:rtl/>
        </w:rPr>
        <w:t>بلانيول وريبير وبيكيه 13 فقرة 976</w:t>
      </w:r>
      <w:r>
        <w:rPr>
          <w:rFonts w:cs="Traditional Arabic" w:hint="cs"/>
          <w:color w:val="000000"/>
          <w:sz w:val="24"/>
          <w:szCs w:val="28"/>
          <w:rtl/>
        </w:rPr>
        <w:t xml:space="preserve"> ) .</w:t>
      </w:r>
    </w:p>
  </w:footnote>
  <w:footnote w:id="104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w:t>
      </w:r>
      <w:smartTag w:uri="urn:schemas-microsoft-com:office:smarttags" w:element="metricconverter">
        <w:smartTagPr>
          <w:attr w:name="ProductID" w:val="1478 م"/>
        </w:smartTagPr>
        <w:r w:rsidRPr="009A072C">
          <w:rPr>
            <w:rFonts w:cs="Traditional Arabic" w:hint="cs"/>
            <w:color w:val="000000"/>
            <w:sz w:val="24"/>
            <w:szCs w:val="28"/>
            <w:rtl/>
          </w:rPr>
          <w:t>1478 م</w:t>
        </w:r>
      </w:smartTag>
      <w:r w:rsidRPr="009A072C">
        <w:rPr>
          <w:rFonts w:cs="Traditional Arabic" w:hint="cs"/>
          <w:color w:val="000000"/>
          <w:sz w:val="24"/>
          <w:szCs w:val="28"/>
          <w:rtl/>
        </w:rPr>
        <w:t xml:space="preserve">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غير أن المشروع التمهيدي كان يتضمن فقرة ثانية تجري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"وتتحدد هذه المرتبة بالرقم المتتابع للقيد</w:t>
      </w:r>
      <w:r>
        <w:rPr>
          <w:rFonts w:cs="Traditional Arabic" w:hint="cs"/>
          <w:color w:val="000000"/>
          <w:sz w:val="24"/>
          <w:szCs w:val="28"/>
          <w:rtl/>
        </w:rPr>
        <w:t xml:space="preserve"> ،</w:t>
      </w:r>
      <w:r w:rsidRPr="009A072C">
        <w:rPr>
          <w:rFonts w:cs="Traditional Arabic" w:hint="cs"/>
          <w:color w:val="000000"/>
          <w:sz w:val="24"/>
          <w:szCs w:val="28"/>
          <w:rtl/>
        </w:rPr>
        <w:t xml:space="preserve"> فذا تقدم أشخاص متعددون في وقت واحد</w:t>
      </w:r>
      <w:r>
        <w:rPr>
          <w:rFonts w:cs="Traditional Arabic" w:hint="cs"/>
          <w:color w:val="000000"/>
          <w:sz w:val="24"/>
          <w:szCs w:val="28"/>
          <w:rtl/>
        </w:rPr>
        <w:t xml:space="preserve"> ،</w:t>
      </w:r>
      <w:r w:rsidRPr="009A072C">
        <w:rPr>
          <w:rFonts w:cs="Traditional Arabic" w:hint="cs"/>
          <w:color w:val="000000"/>
          <w:sz w:val="24"/>
          <w:szCs w:val="28"/>
          <w:rtl/>
        </w:rPr>
        <w:t xml:space="preserve"> لقيد رهونهم ضد مدين واحد</w:t>
      </w:r>
      <w:r>
        <w:rPr>
          <w:rFonts w:cs="Traditional Arabic" w:hint="cs"/>
          <w:color w:val="000000"/>
          <w:sz w:val="24"/>
          <w:szCs w:val="28"/>
          <w:rtl/>
        </w:rPr>
        <w:t xml:space="preserve"> ،</w:t>
      </w:r>
      <w:r w:rsidRPr="009A072C">
        <w:rPr>
          <w:rFonts w:cs="Traditional Arabic" w:hint="cs"/>
          <w:color w:val="000000"/>
          <w:sz w:val="24"/>
          <w:szCs w:val="28"/>
          <w:rtl/>
        </w:rPr>
        <w:t xml:space="preserve"> وعلى عقار واحدن فيكون قيد هذه الرهون تحت رقم واحد</w:t>
      </w:r>
      <w:r>
        <w:rPr>
          <w:rFonts w:cs="Traditional Arabic" w:hint="cs"/>
          <w:color w:val="000000"/>
          <w:sz w:val="24"/>
          <w:szCs w:val="28"/>
          <w:rtl/>
        </w:rPr>
        <w:t xml:space="preserve"> ،</w:t>
      </w:r>
      <w:r w:rsidRPr="009A072C">
        <w:rPr>
          <w:rFonts w:cs="Traditional Arabic" w:hint="cs"/>
          <w:color w:val="000000"/>
          <w:sz w:val="24"/>
          <w:szCs w:val="28"/>
          <w:rtl/>
        </w:rPr>
        <w:t xml:space="preserve"> ويعتبر هؤلاء الدائنون عند التوزيع في مرتبة واحدة"</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على نص المشروع التمهيدي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1157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1143</w:t>
      </w:r>
      <w:r>
        <w:rPr>
          <w:rFonts w:cs="Traditional Arabic" w:hint="cs"/>
          <w:color w:val="000000"/>
          <w:sz w:val="24"/>
          <w:szCs w:val="28"/>
          <w:rtl/>
        </w:rPr>
        <w:t xml:space="preserve"> ،</w:t>
      </w:r>
      <w:r w:rsidRPr="009A072C">
        <w:rPr>
          <w:rFonts w:cs="Traditional Arabic" w:hint="cs"/>
          <w:color w:val="000000"/>
          <w:sz w:val="24"/>
          <w:szCs w:val="28"/>
          <w:rtl/>
        </w:rPr>
        <w:t xml:space="preserve"> وف لجنة مجلس الشيوخ حذفت الفقرة الثانية اكتفاء بالقواعد المقررة في قانون تنظيم الشهر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وأصبح رقم المادة 1057</w:t>
      </w:r>
      <w:r>
        <w:rPr>
          <w:rFonts w:cs="Traditional Arabic" w:hint="cs"/>
          <w:color w:val="000000"/>
          <w:sz w:val="24"/>
          <w:szCs w:val="28"/>
          <w:rtl/>
        </w:rPr>
        <w:t xml:space="preserve"> .</w:t>
      </w:r>
      <w:r w:rsidRPr="009A072C">
        <w:rPr>
          <w:rFonts w:cs="Traditional Arabic" w:hint="cs"/>
          <w:color w:val="000000"/>
          <w:sz w:val="24"/>
          <w:szCs w:val="28"/>
          <w:rtl/>
        </w:rPr>
        <w:t xml:space="preserve"> ووافق مجلس الشيوخ على المادة كما عدلتها لجنته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82- ص 884</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04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بلانيول وريبير وبيكيه 13 فقرة 976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97 ص 296- 297</w:t>
      </w:r>
      <w:r>
        <w:rPr>
          <w:rFonts w:cs="Traditional Arabic" w:hint="cs"/>
          <w:color w:val="000000"/>
          <w:sz w:val="24"/>
          <w:szCs w:val="28"/>
          <w:rtl/>
        </w:rPr>
        <w:t xml:space="preserve"> .</w:t>
      </w:r>
    </w:p>
  </w:footnote>
  <w:footnote w:id="104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1479 من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9A072C">
        <w:rPr>
          <w:rFonts w:cs="Traditional Arabic" w:hint="cs"/>
          <w:color w:val="000000"/>
          <w:sz w:val="24"/>
          <w:szCs w:val="28"/>
          <w:rtl/>
        </w:rPr>
        <w:t xml:space="preserve"> تحت رقم </w:t>
      </w:r>
      <w:smartTag w:uri="urn:schemas-microsoft-com:office:smarttags" w:element="metricconverter">
        <w:smartTagPr>
          <w:attr w:name="ProductID" w:val="1158 م"/>
        </w:smartTagPr>
        <w:r w:rsidRPr="009A072C">
          <w:rPr>
            <w:rFonts w:cs="Traditional Arabic" w:hint="cs"/>
            <w:color w:val="000000"/>
            <w:sz w:val="24"/>
            <w:szCs w:val="28"/>
            <w:rtl/>
          </w:rPr>
          <w:t>1158 م</w:t>
        </w:r>
      </w:smartTag>
      <w:r w:rsidRPr="009A072C">
        <w:rPr>
          <w:rFonts w:cs="Traditional Arabic" w:hint="cs"/>
          <w:color w:val="000000"/>
          <w:sz w:val="24"/>
          <w:szCs w:val="28"/>
          <w:rtl/>
        </w:rPr>
        <w:t xml:space="preserve">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1144</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1058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84 </w:t>
      </w:r>
      <w:r w:rsidRPr="009A072C">
        <w:rPr>
          <w:rFonts w:cs="Traditional Arabic"/>
          <w:color w:val="000000"/>
          <w:sz w:val="24"/>
          <w:szCs w:val="28"/>
          <w:rtl/>
        </w:rPr>
        <w:t>–</w:t>
      </w:r>
      <w:r w:rsidRPr="009A072C">
        <w:rPr>
          <w:rFonts w:cs="Traditional Arabic" w:hint="cs"/>
          <w:color w:val="000000"/>
          <w:sz w:val="24"/>
          <w:szCs w:val="28"/>
          <w:rtl/>
        </w:rPr>
        <w:t xml:space="preserve"> ص 90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568 / 692 يترتب على تسجيل الرهن أن يكون المرهون تأمينا على أصل الدين وعلى فوائد سنتين إن كان هناك فوائد مستحقة وقت تسجيل تنبيه 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وعلى ما يستحق من ذلك التاريخ إلى وقت توزيع ثمن العقار المذكور</w:t>
      </w:r>
      <w:r>
        <w:rPr>
          <w:rFonts w:cs="Traditional Arabic" w:hint="cs"/>
          <w:color w:val="000000"/>
          <w:sz w:val="24"/>
          <w:szCs w:val="28"/>
          <w:rtl/>
        </w:rPr>
        <w:t xml:space="preserve"> .</w:t>
      </w:r>
      <w:r w:rsidRPr="009A072C">
        <w:rPr>
          <w:rFonts w:cs="Traditional Arabic" w:hint="cs"/>
          <w:color w:val="000000"/>
          <w:sz w:val="24"/>
          <w:szCs w:val="28"/>
          <w:rtl/>
        </w:rPr>
        <w:t xml:space="preserve"> فإذا سجل أحد الدائنين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انتفع باقي الدائنين بهذا التسجيل</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Fonts w:cs="Traditional Arabic" w:hint="cs"/>
          <w:color w:val="000000"/>
          <w:sz w:val="24"/>
          <w:szCs w:val="28"/>
          <w:rtl/>
        </w:rPr>
        <w:t>انظر مادتين محذوفتين</w:t>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85 </w:t>
      </w:r>
      <w:r w:rsidRPr="009A072C">
        <w:rPr>
          <w:rFonts w:cs="Traditional Arabic"/>
          <w:color w:val="000000"/>
          <w:sz w:val="24"/>
          <w:szCs w:val="28"/>
          <w:rtl/>
        </w:rPr>
        <w:t>–</w:t>
      </w:r>
      <w:r w:rsidRPr="009A072C">
        <w:rPr>
          <w:rFonts w:cs="Traditional Arabic" w:hint="cs"/>
          <w:color w:val="000000"/>
          <w:sz w:val="24"/>
          <w:szCs w:val="28"/>
          <w:rtl/>
        </w:rPr>
        <w:t xml:space="preserve"> ص 89 في الهامش</w:t>
      </w:r>
      <w:r>
        <w:rPr>
          <w:rFonts w:cs="Traditional Arabic" w:hint="cs"/>
          <w:color w:val="000000"/>
          <w:sz w:val="24"/>
          <w:szCs w:val="28"/>
          <w:rtl/>
        </w:rPr>
        <w:t xml:space="preserve"> ) .</w:t>
      </w:r>
    </w:p>
  </w:footnote>
  <w:footnote w:id="104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2 ص 591</w:t>
      </w:r>
      <w:r>
        <w:rPr>
          <w:rFonts w:cs="Traditional Arabic" w:hint="cs"/>
          <w:color w:val="000000"/>
          <w:sz w:val="24"/>
          <w:szCs w:val="28"/>
          <w:rtl/>
        </w:rPr>
        <w:t xml:space="preserve"> .</w:t>
      </w:r>
    </w:p>
  </w:footnote>
  <w:footnote w:id="104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شمس الدين الوكيل فقرة 103 ص 305</w:t>
      </w:r>
      <w:r>
        <w:rPr>
          <w:rFonts w:cs="Traditional Arabic" w:hint="cs"/>
          <w:color w:val="000000"/>
          <w:sz w:val="24"/>
          <w:szCs w:val="28"/>
          <w:rtl/>
        </w:rPr>
        <w:t xml:space="preserve"> .</w:t>
      </w:r>
    </w:p>
  </w:footnote>
  <w:footnote w:id="104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شمس الدين الوكيل فقرة 103 ص 305</w:t>
      </w:r>
      <w:r>
        <w:rPr>
          <w:rFonts w:cs="Traditional Arabic" w:hint="cs"/>
          <w:color w:val="000000"/>
          <w:sz w:val="24"/>
          <w:szCs w:val="28"/>
          <w:rtl/>
        </w:rPr>
        <w:t xml:space="preserve"> .</w:t>
      </w:r>
    </w:p>
  </w:footnote>
  <w:footnote w:id="105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وهذا الحكم أيضاً ينطبق على حق الاختصاص ورهن الحيازة وحقوق الامتياز</w:t>
      </w:r>
      <w:r>
        <w:rPr>
          <w:rFonts w:cs="Traditional Arabic" w:hint="cs"/>
          <w:color w:val="000000"/>
          <w:sz w:val="24"/>
          <w:szCs w:val="28"/>
          <w:rtl/>
        </w:rPr>
        <w:t xml:space="preserve"> .</w:t>
      </w:r>
      <w:r w:rsidRPr="009A072C">
        <w:rPr>
          <w:rFonts w:cs="Traditional Arabic" w:hint="cs"/>
          <w:color w:val="000000"/>
          <w:sz w:val="24"/>
          <w:szCs w:val="28"/>
          <w:rtl/>
        </w:rPr>
        <w:t xml:space="preserve"> جاء في المادة 1095 مدنين بالنسبة إلى حق الاختصاص أنه يسري عليه ما يتضمنه الرهن الرسمي من أحكام</w:t>
      </w:r>
      <w:r>
        <w:rPr>
          <w:rFonts w:cs="Traditional Arabic" w:hint="cs"/>
          <w:color w:val="000000"/>
          <w:sz w:val="24"/>
          <w:szCs w:val="28"/>
          <w:rtl/>
        </w:rPr>
        <w:t xml:space="preserve"> .</w:t>
      </w:r>
      <w:r w:rsidRPr="009A072C">
        <w:rPr>
          <w:rFonts w:cs="Traditional Arabic" w:hint="cs"/>
          <w:color w:val="000000"/>
          <w:sz w:val="24"/>
          <w:szCs w:val="28"/>
          <w:rtl/>
        </w:rPr>
        <w:t xml:space="preserve"> ونصت المادة 770 مدني على أنه "إذا كان الشيء المؤمن عليه مثلا برهن حيازي أو رهن تأميني أو غير ذلك م التأمينات العينية</w:t>
      </w:r>
      <w:r>
        <w:rPr>
          <w:rFonts w:cs="Traditional Arabic" w:hint="cs"/>
          <w:color w:val="000000"/>
          <w:sz w:val="24"/>
          <w:szCs w:val="28"/>
          <w:rtl/>
        </w:rPr>
        <w:t xml:space="preserve"> ،</w:t>
      </w:r>
      <w:r w:rsidRPr="009A072C">
        <w:rPr>
          <w:rFonts w:cs="Traditional Arabic" w:hint="cs"/>
          <w:color w:val="000000"/>
          <w:sz w:val="24"/>
          <w:szCs w:val="28"/>
          <w:rtl/>
        </w:rPr>
        <w:t xml:space="preserve"> انتقلت هذه الحقوق إلى التعويض المستحق للمدين بمقتضى عقد التأمين"</w:t>
      </w:r>
      <w:r>
        <w:rPr>
          <w:rFonts w:cs="Traditional Arabic" w:hint="cs"/>
          <w:color w:val="000000"/>
          <w:sz w:val="24"/>
          <w:szCs w:val="28"/>
          <w:rtl/>
        </w:rPr>
        <w:t xml:space="preserve"> .</w:t>
      </w:r>
      <w:r w:rsidRPr="009A072C">
        <w:rPr>
          <w:rFonts w:cs="Traditional Arabic" w:hint="cs"/>
          <w:color w:val="000000"/>
          <w:sz w:val="24"/>
          <w:szCs w:val="28"/>
          <w:rtl/>
        </w:rPr>
        <w:t xml:space="preserve"> وقضت الماجة 1102/2 مدني على أنه "تسري على الرهن الحيازي أحكام المادتين 1048 و 1049 المتعلقة بهلاك الشيء المرهون رهناً رسمياً أو تلفه</w:t>
      </w:r>
      <w:r>
        <w:rPr>
          <w:rFonts w:cs="Traditional Arabic" w:hint="cs"/>
          <w:color w:val="000000"/>
          <w:sz w:val="24"/>
          <w:szCs w:val="28"/>
          <w:rtl/>
        </w:rPr>
        <w:t xml:space="preserve"> ،</w:t>
      </w:r>
      <w:r w:rsidRPr="009A072C">
        <w:rPr>
          <w:rFonts w:cs="Traditional Arabic" w:hint="cs"/>
          <w:color w:val="000000"/>
          <w:sz w:val="24"/>
          <w:szCs w:val="28"/>
          <w:rtl/>
        </w:rPr>
        <w:t xml:space="preserve"> وبانتقال حق الدائن من الشيء المرهون إلى ما حل محله من حقوق"</w:t>
      </w:r>
      <w:r>
        <w:rPr>
          <w:rFonts w:cs="Traditional Arabic" w:hint="cs"/>
          <w:color w:val="000000"/>
          <w:sz w:val="24"/>
          <w:szCs w:val="28"/>
          <w:rtl/>
        </w:rPr>
        <w:t xml:space="preserve"> .</w:t>
      </w:r>
      <w:r w:rsidRPr="009A072C">
        <w:rPr>
          <w:rFonts w:cs="Traditional Arabic" w:hint="cs"/>
          <w:color w:val="000000"/>
          <w:sz w:val="24"/>
          <w:szCs w:val="28"/>
          <w:rtl/>
        </w:rPr>
        <w:t xml:space="preserve"> ونصت المادة 1135 مدني على أنه "يسري على الامتياز ما يسري على حق الرهن الرسمي من أحكام متعلقة بهلاك الشيء أو تلفه"</w:t>
      </w:r>
      <w:r>
        <w:rPr>
          <w:rFonts w:cs="Traditional Arabic" w:hint="cs"/>
          <w:color w:val="000000"/>
          <w:sz w:val="24"/>
          <w:szCs w:val="28"/>
          <w:rtl/>
        </w:rPr>
        <w:t xml:space="preserve"> .</w:t>
      </w:r>
    </w:p>
  </w:footnote>
  <w:footnote w:id="105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مدني 14 يناير سنة 1954 مجموعة أحكام النقض 5 ص 420</w:t>
      </w:r>
      <w:r>
        <w:rPr>
          <w:rFonts w:cs="Traditional Arabic" w:hint="cs"/>
          <w:color w:val="000000"/>
          <w:sz w:val="24"/>
          <w:szCs w:val="28"/>
          <w:rtl/>
        </w:rPr>
        <w:t xml:space="preserve"> .</w:t>
      </w:r>
    </w:p>
  </w:footnote>
  <w:footnote w:id="105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جوسران 2 فقرة 1860 </w:t>
      </w:r>
      <w:r w:rsidRPr="009A072C">
        <w:rPr>
          <w:rFonts w:cs="Traditional Arabic"/>
          <w:color w:val="000000"/>
          <w:sz w:val="24"/>
          <w:szCs w:val="28"/>
          <w:rtl/>
        </w:rPr>
        <w:t>–</w:t>
      </w:r>
      <w:r w:rsidRPr="009A072C">
        <w:rPr>
          <w:rFonts w:cs="Traditional Arabic" w:hint="cs"/>
          <w:color w:val="000000"/>
          <w:sz w:val="24"/>
          <w:szCs w:val="28"/>
          <w:rtl/>
        </w:rPr>
        <w:t xml:space="preserve"> ويقول لتدعيم رأيه بأن بائع المنقول يس له م ضمان عيني سوى المنقول المبيع</w:t>
      </w:r>
      <w:r>
        <w:rPr>
          <w:rFonts w:cs="Traditional Arabic" w:hint="cs"/>
          <w:color w:val="000000"/>
          <w:sz w:val="24"/>
          <w:szCs w:val="28"/>
          <w:rtl/>
        </w:rPr>
        <w:t xml:space="preserve"> ،</w:t>
      </w:r>
      <w:r w:rsidRPr="009A072C">
        <w:rPr>
          <w:rFonts w:cs="Traditional Arabic" w:hint="cs"/>
          <w:color w:val="000000"/>
          <w:sz w:val="24"/>
          <w:szCs w:val="28"/>
          <w:rtl/>
        </w:rPr>
        <w:t xml:space="preserve"> في حين أن حق الدائن المرتهن رهناً رسمياً يكفله العقار الأصلي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والعقار بالتخصيص ليس إلا مالا إضافيا </w:t>
      </w:r>
      <w:r w:rsidRPr="009A072C">
        <w:rPr>
          <w:rFonts w:cs="Traditional Arabic"/>
          <w:color w:val="000000"/>
          <w:sz w:val="24"/>
          <w:szCs w:val="28"/>
          <w:rtl/>
        </w:rPr>
        <w:t>–</w:t>
      </w:r>
      <w:r w:rsidRPr="009A072C">
        <w:rPr>
          <w:rFonts w:cs="Traditional Arabic" w:hint="cs"/>
          <w:color w:val="000000"/>
          <w:sz w:val="24"/>
          <w:szCs w:val="28"/>
          <w:rtl/>
        </w:rPr>
        <w:t xml:space="preserve"> وانظر عبد الفتاح عبد الباقي فقرة 229 وفقرة 624 ص 750 </w:t>
      </w:r>
      <w:r w:rsidRPr="009A072C">
        <w:rPr>
          <w:rFonts w:cs="Traditional Arabic"/>
          <w:color w:val="000000"/>
          <w:sz w:val="24"/>
          <w:szCs w:val="28"/>
          <w:rtl/>
        </w:rPr>
        <w:t>–</w:t>
      </w:r>
      <w:r w:rsidRPr="009A072C">
        <w:rPr>
          <w:rFonts w:cs="Traditional Arabic" w:hint="cs"/>
          <w:color w:val="000000"/>
          <w:sz w:val="24"/>
          <w:szCs w:val="28"/>
          <w:rtl/>
        </w:rPr>
        <w:t xml:space="preserve"> ص 752</w:t>
      </w:r>
      <w:r>
        <w:rPr>
          <w:rFonts w:cs="Traditional Arabic" w:hint="cs"/>
          <w:color w:val="000000"/>
          <w:sz w:val="24"/>
          <w:szCs w:val="28"/>
          <w:rtl/>
        </w:rPr>
        <w:t xml:space="preserve"> :</w:t>
      </w:r>
      <w:r w:rsidRPr="009A072C">
        <w:rPr>
          <w:rFonts w:cs="Traditional Arabic" w:hint="cs"/>
          <w:color w:val="000000"/>
          <w:sz w:val="24"/>
          <w:szCs w:val="28"/>
          <w:rtl/>
        </w:rPr>
        <w:t xml:space="preserve"> ويقول إن المادة 1145/1 مدني صريحة في أن امتياز بائع المنقول يبقى قائما ما دام المبيع محتفظا بذاتيته</w:t>
      </w:r>
      <w:r>
        <w:rPr>
          <w:rFonts w:cs="Traditional Arabic" w:hint="cs"/>
          <w:color w:val="000000"/>
          <w:sz w:val="24"/>
          <w:szCs w:val="28"/>
          <w:rtl/>
        </w:rPr>
        <w:t xml:space="preserve"> ،</w:t>
      </w:r>
      <w:r w:rsidRPr="009A072C">
        <w:rPr>
          <w:rFonts w:cs="Traditional Arabic" w:hint="cs"/>
          <w:color w:val="000000"/>
          <w:sz w:val="24"/>
          <w:szCs w:val="28"/>
          <w:rtl/>
        </w:rPr>
        <w:t xml:space="preserve"> والشيء يفقد ذاتيته بمجرد أن يصير عقارا بالتخصيص</w:t>
      </w:r>
      <w:r>
        <w:rPr>
          <w:rFonts w:cs="Traditional Arabic" w:hint="cs"/>
          <w:color w:val="000000"/>
          <w:sz w:val="24"/>
          <w:szCs w:val="28"/>
          <w:rtl/>
        </w:rPr>
        <w:t xml:space="preserve"> :</w:t>
      </w:r>
      <w:r w:rsidRPr="009A072C">
        <w:rPr>
          <w:rFonts w:cs="Traditional Arabic" w:hint="cs"/>
          <w:color w:val="000000"/>
          <w:sz w:val="24"/>
          <w:szCs w:val="28"/>
          <w:rtl/>
        </w:rPr>
        <w:t xml:space="preserve"> فقرة 624 ص 750</w:t>
      </w:r>
      <w:r>
        <w:rPr>
          <w:rFonts w:cs="Traditional Arabic" w:hint="cs"/>
          <w:color w:val="000000"/>
          <w:sz w:val="24"/>
          <w:szCs w:val="28"/>
          <w:rtl/>
        </w:rPr>
        <w:t xml:space="preserve"> .</w:t>
      </w:r>
    </w:p>
  </w:footnote>
  <w:footnote w:id="105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12 فقرة 193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13 فقرة 512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3373 </w:t>
      </w:r>
      <w:r w:rsidRPr="009A072C">
        <w:rPr>
          <w:rFonts w:cs="Traditional Arabic"/>
          <w:color w:val="000000"/>
          <w:sz w:val="24"/>
          <w:szCs w:val="28"/>
          <w:rtl/>
        </w:rPr>
        <w:t>–</w:t>
      </w:r>
      <w:r w:rsidRPr="009A072C">
        <w:rPr>
          <w:rFonts w:cs="Traditional Arabic" w:hint="cs"/>
          <w:color w:val="000000"/>
          <w:sz w:val="24"/>
          <w:szCs w:val="28"/>
          <w:rtl/>
        </w:rPr>
        <w:t xml:space="preserve"> كولان وكابيتان 2 فقرة 1547 </w:t>
      </w:r>
      <w:r w:rsidRPr="009A072C">
        <w:rPr>
          <w:rFonts w:cs="Traditional Arabic"/>
          <w:color w:val="000000"/>
          <w:sz w:val="24"/>
          <w:szCs w:val="28"/>
          <w:rtl/>
        </w:rPr>
        <w:t>–</w:t>
      </w:r>
      <w:r w:rsidRPr="009A072C">
        <w:rPr>
          <w:rFonts w:cs="Traditional Arabic" w:hint="cs"/>
          <w:color w:val="000000"/>
          <w:sz w:val="24"/>
          <w:szCs w:val="28"/>
          <w:rtl/>
        </w:rPr>
        <w:t xml:space="preserve"> أنسيكلوبيدي داللوز 4 ص 248 فقرة 157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479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379 ص 617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92</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 xml:space="preserve">وقد جاء في المادة </w:t>
      </w:r>
      <w:smartTag w:uri="urn:schemas-microsoft-com:office:smarttags" w:element="metricconverter">
        <w:smartTagPr>
          <w:attr w:name="ProductID" w:val="20 م"/>
        </w:smartTagPr>
        <w:r w:rsidRPr="009A072C">
          <w:rPr>
            <w:rFonts w:cs="Traditional Arabic" w:hint="cs"/>
            <w:color w:val="000000"/>
            <w:sz w:val="24"/>
            <w:szCs w:val="28"/>
            <w:rtl/>
          </w:rPr>
          <w:t>20 م</w:t>
        </w:r>
      </w:smartTag>
      <w:r w:rsidRPr="009A072C">
        <w:rPr>
          <w:rFonts w:cs="Traditional Arabic" w:hint="cs"/>
          <w:color w:val="000000"/>
          <w:sz w:val="24"/>
          <w:szCs w:val="28"/>
          <w:rtl/>
        </w:rPr>
        <w:t xml:space="preserve"> قانون الرهن البلجيكي ما يفيد تفضيل حق الدائن المرتهن</w:t>
      </w:r>
      <w:r>
        <w:rPr>
          <w:rFonts w:cs="Traditional Arabic" w:hint="cs"/>
          <w:color w:val="000000"/>
          <w:sz w:val="24"/>
          <w:szCs w:val="28"/>
          <w:rtl/>
        </w:rPr>
        <w:t xml:space="preserve"> ،</w:t>
      </w:r>
      <w:r w:rsidRPr="009A072C">
        <w:rPr>
          <w:rFonts w:cs="Traditional Arabic" w:hint="cs"/>
          <w:color w:val="000000"/>
          <w:sz w:val="24"/>
          <w:szCs w:val="28"/>
          <w:rtl/>
        </w:rPr>
        <w:t xml:space="preserve"> وذلك حماية للائتمان العقاري </w:t>
      </w:r>
      <w:r>
        <w:rPr>
          <w:rFonts w:cs="Traditional Arabic" w:hint="cs"/>
          <w:color w:val="000000"/>
          <w:sz w:val="24"/>
          <w:szCs w:val="28"/>
          <w:rtl/>
        </w:rPr>
        <w:t xml:space="preserve">( </w:t>
      </w:r>
      <w:r w:rsidRPr="009A072C">
        <w:rPr>
          <w:rFonts w:cs="Traditional Arabic" w:hint="cs"/>
          <w:color w:val="000000"/>
          <w:sz w:val="24"/>
          <w:szCs w:val="28"/>
          <w:rtl/>
        </w:rPr>
        <w:t>رينيه ديكرز</w:t>
      </w:r>
      <w:r>
        <w:rPr>
          <w:rFonts w:cs="Traditional Arabic" w:hint="cs"/>
          <w:color w:val="000000"/>
          <w:sz w:val="24"/>
          <w:szCs w:val="28"/>
          <w:rtl/>
        </w:rPr>
        <w:t xml:space="preserve"> :</w:t>
      </w:r>
      <w:r w:rsidRPr="009A072C">
        <w:rPr>
          <w:rFonts w:cs="Traditional Arabic" w:hint="cs"/>
          <w:color w:val="000000"/>
          <w:sz w:val="24"/>
          <w:szCs w:val="28"/>
          <w:rtl/>
        </w:rPr>
        <w:t xml:space="preserve"> الموجز في القانون المدني البلجيكي 1955 جزء 3 فقرة 1529 ص 892</w:t>
      </w:r>
      <w:r>
        <w:rPr>
          <w:rFonts w:cs="Traditional Arabic" w:hint="cs"/>
          <w:color w:val="000000"/>
          <w:sz w:val="24"/>
          <w:szCs w:val="28"/>
          <w:rtl/>
        </w:rPr>
        <w:t xml:space="preserve"> ) .</w:t>
      </w:r>
      <w:r w:rsidRPr="009A072C">
        <w:rPr>
          <w:rFonts w:cs="Traditional Arabic" w:hint="cs"/>
          <w:color w:val="000000"/>
          <w:sz w:val="24"/>
          <w:szCs w:val="28"/>
          <w:rtl/>
        </w:rPr>
        <w:t xml:space="preserve"> </w:t>
      </w:r>
    </w:p>
  </w:footnote>
  <w:footnote w:id="105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كانت المادة 1443/2 من المشروع التمهيدي تنص على ما يأتي</w:t>
      </w:r>
      <w:r>
        <w:rPr>
          <w:rFonts w:cs="Traditional Arabic" w:hint="cs"/>
          <w:color w:val="000000"/>
          <w:sz w:val="24"/>
          <w:szCs w:val="28"/>
          <w:rtl/>
        </w:rPr>
        <w:t xml:space="preserve"> :</w:t>
      </w:r>
      <w:r w:rsidRPr="009A072C">
        <w:rPr>
          <w:rFonts w:cs="Traditional Arabic" w:hint="cs"/>
          <w:color w:val="000000"/>
          <w:sz w:val="24"/>
          <w:szCs w:val="28"/>
          <w:rtl/>
        </w:rPr>
        <w:t xml:space="preserve"> "لا أثر للرهن في الحقوق التي كسبها الغير</w:t>
      </w:r>
      <w:r>
        <w:rPr>
          <w:rFonts w:cs="Traditional Arabic" w:hint="cs"/>
          <w:color w:val="000000"/>
          <w:sz w:val="24"/>
          <w:szCs w:val="28"/>
          <w:rtl/>
        </w:rPr>
        <w:t xml:space="preserve"> ،</w:t>
      </w:r>
      <w:r w:rsidRPr="009A072C">
        <w:rPr>
          <w:rFonts w:cs="Traditional Arabic" w:hint="cs"/>
          <w:color w:val="000000"/>
          <w:sz w:val="24"/>
          <w:szCs w:val="28"/>
          <w:rtl/>
        </w:rPr>
        <w:t xml:space="preserve"> قبل إبرام الرهن</w:t>
      </w:r>
      <w:r>
        <w:rPr>
          <w:rFonts w:cs="Traditional Arabic" w:hint="cs"/>
          <w:color w:val="000000"/>
          <w:sz w:val="24"/>
          <w:szCs w:val="28"/>
          <w:rtl/>
        </w:rPr>
        <w:t xml:space="preserve"> ،</w:t>
      </w:r>
      <w:r w:rsidRPr="009A072C">
        <w:rPr>
          <w:rFonts w:cs="Traditional Arabic" w:hint="cs"/>
          <w:color w:val="000000"/>
          <w:sz w:val="24"/>
          <w:szCs w:val="28"/>
          <w:rtl/>
        </w:rPr>
        <w:t xml:space="preserve"> على ملحقات العين الرهون"</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وقالت المذكرة الإيضاحية للمشروع التمهيدي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"إن الرهن الذي يمتد إلى الملحقات لا يؤثر في حقوق الغير</w:t>
      </w:r>
      <w:r>
        <w:rPr>
          <w:rFonts w:cs="Traditional Arabic" w:hint="cs"/>
          <w:color w:val="000000"/>
          <w:sz w:val="24"/>
          <w:szCs w:val="28"/>
          <w:rtl/>
        </w:rPr>
        <w:t xml:space="preserve"> .</w:t>
      </w:r>
      <w:r w:rsidRPr="009A072C">
        <w:rPr>
          <w:rFonts w:cs="Traditional Arabic" w:hint="cs"/>
          <w:color w:val="000000"/>
          <w:sz w:val="24"/>
          <w:szCs w:val="28"/>
          <w:rtl/>
        </w:rPr>
        <w:t xml:space="preserve"> فلو اشترى مالك الأرض المرهونة مواشي لم يدفع ثمنها</w:t>
      </w:r>
      <w:r>
        <w:rPr>
          <w:rFonts w:cs="Traditional Arabic" w:hint="cs"/>
          <w:color w:val="000000"/>
          <w:sz w:val="24"/>
          <w:szCs w:val="28"/>
          <w:rtl/>
        </w:rPr>
        <w:t xml:space="preserve"> ،</w:t>
      </w:r>
      <w:r w:rsidRPr="009A072C">
        <w:rPr>
          <w:rFonts w:cs="Traditional Arabic" w:hint="cs"/>
          <w:color w:val="000000"/>
          <w:sz w:val="24"/>
          <w:szCs w:val="28"/>
          <w:rtl/>
        </w:rPr>
        <w:t xml:space="preserve"> وخصصها لخدمة الأرض</w:t>
      </w:r>
      <w:r>
        <w:rPr>
          <w:rFonts w:cs="Traditional Arabic" w:hint="cs"/>
          <w:color w:val="000000"/>
          <w:sz w:val="24"/>
          <w:szCs w:val="28"/>
          <w:rtl/>
        </w:rPr>
        <w:t xml:space="preserve"> ،</w:t>
      </w:r>
      <w:r w:rsidRPr="009A072C">
        <w:rPr>
          <w:rFonts w:cs="Traditional Arabic" w:hint="cs"/>
          <w:color w:val="000000"/>
          <w:sz w:val="24"/>
          <w:szCs w:val="28"/>
          <w:rtl/>
        </w:rPr>
        <w:t xml:space="preserve"> فإن الرهن يشملها</w:t>
      </w:r>
      <w:r>
        <w:rPr>
          <w:rFonts w:cs="Traditional Arabic" w:hint="cs"/>
          <w:color w:val="000000"/>
          <w:sz w:val="24"/>
          <w:szCs w:val="28"/>
          <w:rtl/>
        </w:rPr>
        <w:t xml:space="preserve"> ،</w:t>
      </w:r>
      <w:r w:rsidRPr="009A072C">
        <w:rPr>
          <w:rFonts w:cs="Traditional Arabic" w:hint="cs"/>
          <w:color w:val="000000"/>
          <w:sz w:val="24"/>
          <w:szCs w:val="28"/>
          <w:rtl/>
        </w:rPr>
        <w:t xml:space="preserve"> ولكنه يتأخر عن امتياز بائع المواشي"</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وقد تليت هذه المادة على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فحذفت هذه الفقرة الثانية</w:t>
      </w:r>
      <w:r>
        <w:rPr>
          <w:rFonts w:cs="Traditional Arabic" w:hint="cs"/>
          <w:color w:val="000000"/>
          <w:sz w:val="24"/>
          <w:szCs w:val="28"/>
          <w:rtl/>
        </w:rPr>
        <w:t xml:space="preserve"> ،</w:t>
      </w:r>
      <w:r w:rsidRPr="009A072C">
        <w:rPr>
          <w:rFonts w:cs="Traditional Arabic" w:hint="cs"/>
          <w:color w:val="000000"/>
          <w:sz w:val="24"/>
          <w:szCs w:val="28"/>
          <w:rtl/>
        </w:rPr>
        <w:t xml:space="preserve"> وقد نصت على عدم الإخلال بامتياز المبالغ المستحقة للمقاولين والمهندسين المعماريين</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فيظهر مما تقدم أن إرادة المشرع انصرف في البداية إلى حماية كل من كسب حقا على ملحقات العقار قبل رهنه</w:t>
      </w:r>
      <w:r>
        <w:rPr>
          <w:rFonts w:cs="Traditional Arabic" w:hint="cs"/>
          <w:color w:val="000000"/>
          <w:sz w:val="24"/>
          <w:szCs w:val="28"/>
          <w:rtl/>
        </w:rPr>
        <w:t xml:space="preserve"> ،</w:t>
      </w:r>
      <w:r w:rsidRPr="009A072C">
        <w:rPr>
          <w:rFonts w:cs="Traditional Arabic" w:hint="cs"/>
          <w:color w:val="000000"/>
          <w:sz w:val="24"/>
          <w:szCs w:val="28"/>
          <w:rtl/>
        </w:rPr>
        <w:t xml:space="preserve"> مثل بائع المنقول</w:t>
      </w:r>
      <w:r>
        <w:rPr>
          <w:rFonts w:cs="Traditional Arabic" w:hint="cs"/>
          <w:color w:val="000000"/>
          <w:sz w:val="24"/>
          <w:szCs w:val="28"/>
          <w:rtl/>
        </w:rPr>
        <w:t xml:space="preserve"> .</w:t>
      </w:r>
      <w:r w:rsidRPr="009A072C">
        <w:rPr>
          <w:rFonts w:cs="Traditional Arabic" w:hint="cs"/>
          <w:color w:val="000000"/>
          <w:sz w:val="24"/>
          <w:szCs w:val="28"/>
          <w:rtl/>
        </w:rPr>
        <w:t xml:space="preserve"> ثم عدل عن هذا  الاتجاه صراحة</w:t>
      </w:r>
      <w:r>
        <w:rPr>
          <w:rFonts w:cs="Traditional Arabic" w:hint="cs"/>
          <w:color w:val="000000"/>
          <w:sz w:val="24"/>
          <w:szCs w:val="28"/>
          <w:rtl/>
        </w:rPr>
        <w:t xml:space="preserve"> ،</w:t>
      </w:r>
      <w:r w:rsidRPr="009A072C">
        <w:rPr>
          <w:rFonts w:cs="Traditional Arabic" w:hint="cs"/>
          <w:color w:val="000000"/>
          <w:sz w:val="24"/>
          <w:szCs w:val="28"/>
          <w:rtl/>
        </w:rPr>
        <w:t xml:space="preserve"> فعدل الحكم</w:t>
      </w:r>
      <w:r>
        <w:rPr>
          <w:rFonts w:cs="Traditional Arabic" w:hint="cs"/>
          <w:color w:val="000000"/>
          <w:sz w:val="24"/>
          <w:szCs w:val="28"/>
          <w:rtl/>
        </w:rPr>
        <w:t xml:space="preserve"> ،</w:t>
      </w:r>
      <w:r w:rsidRPr="009A072C">
        <w:rPr>
          <w:rFonts w:cs="Traditional Arabic" w:hint="cs"/>
          <w:color w:val="000000"/>
          <w:sz w:val="24"/>
          <w:szCs w:val="28"/>
          <w:rtl/>
        </w:rPr>
        <w:t xml:space="preserve"> ولم يحكم إلا بامتياز المقاول والمهندس المعماري بالنسبة إلى المبالغ المستحقة عن التحسينات والإنشاءات</w:t>
      </w:r>
      <w:r>
        <w:rPr>
          <w:rFonts w:cs="Traditional Arabic" w:hint="cs"/>
          <w:color w:val="000000"/>
          <w:sz w:val="24"/>
          <w:szCs w:val="28"/>
          <w:rtl/>
        </w:rPr>
        <w:t xml:space="preserve"> .</w:t>
      </w:r>
    </w:p>
  </w:footnote>
  <w:footnote w:id="105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ويلاحظ أن بائع المنقول يستطيع أن يتخلص من هذا التزاحم</w:t>
      </w:r>
      <w:r>
        <w:rPr>
          <w:rFonts w:cs="Traditional Arabic" w:hint="cs"/>
          <w:color w:val="000000"/>
          <w:sz w:val="24"/>
          <w:szCs w:val="28"/>
          <w:rtl/>
        </w:rPr>
        <w:t xml:space="preserve"> .</w:t>
      </w:r>
      <w:r w:rsidRPr="009A072C">
        <w:rPr>
          <w:rFonts w:cs="Traditional Arabic" w:hint="cs"/>
          <w:color w:val="000000"/>
          <w:sz w:val="24"/>
          <w:szCs w:val="28"/>
          <w:rtl/>
        </w:rPr>
        <w:t xml:space="preserve"> فما عليه إلا أن يخطر الدائن المرتهن</w:t>
      </w:r>
      <w:r>
        <w:rPr>
          <w:rFonts w:cs="Traditional Arabic" w:hint="cs"/>
          <w:color w:val="000000"/>
          <w:sz w:val="24"/>
          <w:szCs w:val="28"/>
          <w:rtl/>
        </w:rPr>
        <w:t xml:space="preserve"> ،</w:t>
      </w:r>
      <w:r w:rsidRPr="009A072C">
        <w:rPr>
          <w:rFonts w:cs="Traditional Arabic" w:hint="cs"/>
          <w:color w:val="000000"/>
          <w:sz w:val="24"/>
          <w:szCs w:val="28"/>
          <w:rtl/>
        </w:rPr>
        <w:t xml:space="preserve"> قبل أن يأخذ هذا الدائن حق الرهن</w:t>
      </w:r>
      <w:r>
        <w:rPr>
          <w:rFonts w:cs="Traditional Arabic" w:hint="cs"/>
          <w:color w:val="000000"/>
          <w:sz w:val="24"/>
          <w:szCs w:val="28"/>
          <w:rtl/>
        </w:rPr>
        <w:t xml:space="preserve"> ،</w:t>
      </w:r>
      <w:r w:rsidRPr="009A072C">
        <w:rPr>
          <w:rFonts w:cs="Traditional Arabic" w:hint="cs"/>
          <w:color w:val="000000"/>
          <w:sz w:val="24"/>
          <w:szCs w:val="28"/>
          <w:rtl/>
        </w:rPr>
        <w:t xml:space="preserve"> بأنه لم يستوف الثمن وأن امتيازه لا يزال قائماً</w:t>
      </w:r>
      <w:r>
        <w:rPr>
          <w:rFonts w:cs="Traditional Arabic" w:hint="cs"/>
          <w:color w:val="000000"/>
          <w:sz w:val="24"/>
          <w:szCs w:val="28"/>
          <w:rtl/>
        </w:rPr>
        <w:t xml:space="preserve"> .</w:t>
      </w:r>
      <w:r w:rsidRPr="009A072C">
        <w:rPr>
          <w:rFonts w:cs="Traditional Arabic" w:hint="cs"/>
          <w:color w:val="000000"/>
          <w:sz w:val="24"/>
          <w:szCs w:val="28"/>
          <w:rtl/>
        </w:rPr>
        <w:t xml:space="preserve"> فمثل هذا الإجراء ينفي عن الدائن المرتهن حسن النية</w:t>
      </w:r>
      <w:r>
        <w:rPr>
          <w:rFonts w:cs="Traditional Arabic" w:hint="cs"/>
          <w:color w:val="000000"/>
          <w:sz w:val="24"/>
          <w:szCs w:val="28"/>
          <w:rtl/>
        </w:rPr>
        <w:t xml:space="preserve"> ،</w:t>
      </w:r>
      <w:r w:rsidRPr="009A072C">
        <w:rPr>
          <w:rFonts w:cs="Traditional Arabic" w:hint="cs"/>
          <w:color w:val="000000"/>
          <w:sz w:val="24"/>
          <w:szCs w:val="28"/>
          <w:rtl/>
        </w:rPr>
        <w:t xml:space="preserve"> فيتقدم عليه بائع المنقول</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 xml:space="preserve">انظر في هذا الموضوع بيدان وفوران 13 فقرة 512 </w:t>
      </w:r>
      <w:r w:rsidRPr="009A072C">
        <w:rPr>
          <w:rFonts w:cs="Traditional Arabic"/>
          <w:color w:val="000000"/>
          <w:sz w:val="24"/>
          <w:szCs w:val="28"/>
          <w:rtl/>
        </w:rPr>
        <w:t>–</w:t>
      </w:r>
      <w:r w:rsidRPr="009A072C">
        <w:rPr>
          <w:rFonts w:cs="Traditional Arabic" w:hint="cs"/>
          <w:color w:val="000000"/>
          <w:sz w:val="24"/>
          <w:szCs w:val="28"/>
          <w:rtl/>
        </w:rPr>
        <w:t xml:space="preserve"> حسن كيرة في الحقوق العينية الأصلية 1 ص 95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479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379 ص 617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92</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05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نصت المادة 401 من تقنين المرافعات الجديد على أن "يبدأ التنفيذ بإعلان التنبيه بنزع ملكية العقار إلى المدين لشخصه أو لموطنه</w:t>
      </w:r>
      <w:r>
        <w:rPr>
          <w:rFonts w:cs="Traditional Arabic" w:hint="cs"/>
          <w:color w:val="000000"/>
          <w:sz w:val="24"/>
          <w:szCs w:val="28"/>
          <w:rtl/>
        </w:rPr>
        <w:t xml:space="preserve"> . . .</w:t>
      </w:r>
      <w:r w:rsidRPr="009A072C">
        <w:rPr>
          <w:rFonts w:cs="Traditional Arabic" w:hint="cs"/>
          <w:color w:val="000000"/>
          <w:sz w:val="24"/>
          <w:szCs w:val="28"/>
          <w:rtl/>
        </w:rPr>
        <w:t xml:space="preserve"> فإذا كان التنفيذ على عقار مرهونة من غير المدين</w:t>
      </w:r>
      <w:r>
        <w:rPr>
          <w:rFonts w:cs="Traditional Arabic" w:hint="cs"/>
          <w:color w:val="000000"/>
          <w:sz w:val="24"/>
          <w:szCs w:val="28"/>
          <w:rtl/>
        </w:rPr>
        <w:t xml:space="preserve"> ،</w:t>
      </w:r>
      <w:r w:rsidRPr="009A072C">
        <w:rPr>
          <w:rFonts w:cs="Traditional Arabic" w:hint="cs"/>
          <w:color w:val="000000"/>
          <w:sz w:val="24"/>
          <w:szCs w:val="28"/>
          <w:rtl/>
        </w:rPr>
        <w:t xml:space="preserve"> أعلن التنبيه إلى الراهن بعد تكيف المدين بالوفاء للمادة 781"</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وجاء في المذكرة الإيضاحية</w:t>
      </w:r>
      <w:r>
        <w:rPr>
          <w:rFonts w:cs="Traditional Arabic" w:hint="cs"/>
          <w:color w:val="000000"/>
          <w:sz w:val="24"/>
          <w:szCs w:val="28"/>
          <w:rtl/>
        </w:rPr>
        <w:t xml:space="preserve"> :</w:t>
      </w:r>
      <w:r w:rsidRPr="009A072C">
        <w:rPr>
          <w:rFonts w:cs="Traditional Arabic" w:hint="cs"/>
          <w:color w:val="000000"/>
          <w:sz w:val="24"/>
          <w:szCs w:val="28"/>
          <w:rtl/>
        </w:rPr>
        <w:t xml:space="preserve"> " استحدث المشروع الحكم الوارد في الفقرة الأخيرة من المادة 401 منه لمعالجة حالة التنفيذ على عقار الكفيل العيني التي لم يورد القانون القائم تنظيما لها </w:t>
      </w:r>
      <w:r w:rsidRPr="009A072C">
        <w:rPr>
          <w:rFonts w:cs="Traditional Arabic"/>
          <w:color w:val="000000"/>
          <w:sz w:val="24"/>
          <w:szCs w:val="28"/>
          <w:rtl/>
        </w:rPr>
        <w:t>–</w:t>
      </w:r>
      <w:r w:rsidRPr="009A072C">
        <w:rPr>
          <w:rFonts w:cs="Traditional Arabic" w:hint="cs"/>
          <w:color w:val="000000"/>
          <w:sz w:val="24"/>
          <w:szCs w:val="28"/>
          <w:rtl/>
        </w:rPr>
        <w:t xml:space="preserve"> ولم يرد المشروع الأخذ بما ذهبت إليه بعض التشريعات الأجنبية كالتشريع الإيطالي </w:t>
      </w:r>
      <w:r>
        <w:rPr>
          <w:rFonts w:cs="Traditional Arabic" w:hint="cs"/>
          <w:color w:val="000000"/>
          <w:sz w:val="24"/>
          <w:szCs w:val="28"/>
          <w:rtl/>
        </w:rPr>
        <w:t xml:space="preserve">( </w:t>
      </w:r>
      <w:r w:rsidRPr="009A072C">
        <w:rPr>
          <w:rFonts w:cs="Traditional Arabic" w:hint="cs"/>
          <w:color w:val="000000"/>
          <w:sz w:val="24"/>
          <w:szCs w:val="28"/>
          <w:rtl/>
        </w:rPr>
        <w:t xml:space="preserve">م 602 </w:t>
      </w:r>
      <w:r w:rsidRPr="009A072C">
        <w:rPr>
          <w:rFonts w:cs="Traditional Arabic"/>
          <w:color w:val="000000"/>
          <w:sz w:val="24"/>
          <w:szCs w:val="28"/>
          <w:rtl/>
        </w:rPr>
        <w:t>–</w:t>
      </w:r>
      <w:r w:rsidRPr="009A072C">
        <w:rPr>
          <w:rFonts w:cs="Traditional Arabic" w:hint="cs"/>
          <w:color w:val="000000"/>
          <w:sz w:val="24"/>
          <w:szCs w:val="28"/>
          <w:rtl/>
        </w:rPr>
        <w:t xml:space="preserve"> 604</w:t>
      </w:r>
      <w:r>
        <w:rPr>
          <w:rFonts w:cs="Traditional Arabic" w:hint="cs"/>
          <w:color w:val="000000"/>
          <w:sz w:val="24"/>
          <w:szCs w:val="28"/>
          <w:rtl/>
        </w:rPr>
        <w:t xml:space="preserve"> )</w:t>
      </w:r>
      <w:r w:rsidRPr="009A072C">
        <w:rPr>
          <w:rFonts w:cs="Traditional Arabic" w:hint="cs"/>
          <w:color w:val="000000"/>
          <w:sz w:val="24"/>
          <w:szCs w:val="28"/>
          <w:rtl/>
        </w:rPr>
        <w:t xml:space="preserve"> من تطبق قواعد التنفيذ في مواجهة حائز العقار على حالة الكفيل العيني</w:t>
      </w:r>
      <w:r>
        <w:rPr>
          <w:rFonts w:cs="Traditional Arabic" w:hint="cs"/>
          <w:color w:val="000000"/>
          <w:sz w:val="24"/>
          <w:szCs w:val="28"/>
          <w:rtl/>
        </w:rPr>
        <w:t xml:space="preserve"> ،</w:t>
      </w:r>
      <w:r w:rsidRPr="009A072C">
        <w:rPr>
          <w:rFonts w:cs="Traditional Arabic" w:hint="cs"/>
          <w:color w:val="000000"/>
          <w:sz w:val="24"/>
          <w:szCs w:val="28"/>
          <w:rtl/>
        </w:rPr>
        <w:t xml:space="preserve"> ذلك أن حائز العقار قد انتقلت إليه ملكية العقار من المدين</w:t>
      </w:r>
      <w:r>
        <w:rPr>
          <w:rFonts w:cs="Traditional Arabic" w:hint="cs"/>
          <w:color w:val="000000"/>
          <w:sz w:val="24"/>
          <w:szCs w:val="28"/>
          <w:rtl/>
        </w:rPr>
        <w:t xml:space="preserve"> ،</w:t>
      </w:r>
      <w:r w:rsidRPr="009A072C">
        <w:rPr>
          <w:rFonts w:cs="Traditional Arabic" w:hint="cs"/>
          <w:color w:val="000000"/>
          <w:sz w:val="24"/>
          <w:szCs w:val="28"/>
          <w:rtl/>
        </w:rPr>
        <w:t xml:space="preserve"> أما عقار الكفيل العيني فلم يكن قط مملوكا للمدين</w:t>
      </w:r>
      <w:r>
        <w:rPr>
          <w:rFonts w:cs="Traditional Arabic" w:hint="cs"/>
          <w:color w:val="000000"/>
          <w:sz w:val="24"/>
          <w:szCs w:val="28"/>
          <w:rtl/>
        </w:rPr>
        <w:t xml:space="preserve"> ،</w:t>
      </w:r>
      <w:r w:rsidRPr="009A072C">
        <w:rPr>
          <w:rFonts w:cs="Traditional Arabic" w:hint="cs"/>
          <w:color w:val="000000"/>
          <w:sz w:val="24"/>
          <w:szCs w:val="28"/>
          <w:rtl/>
        </w:rPr>
        <w:t xml:space="preserve"> فمن العبث تسجيل تنبيه نزع الملكية باسم المدين إذ لا علاقة للمدين به ولا يتصور أن يتعامل فيه مع أحد</w:t>
      </w:r>
      <w:r>
        <w:rPr>
          <w:rFonts w:cs="Traditional Arabic" w:hint="cs"/>
          <w:color w:val="000000"/>
          <w:sz w:val="24"/>
          <w:szCs w:val="28"/>
          <w:rtl/>
        </w:rPr>
        <w:t xml:space="preserve"> .</w:t>
      </w:r>
      <w:r w:rsidRPr="009A072C">
        <w:rPr>
          <w:rFonts w:cs="Traditional Arabic" w:hint="cs"/>
          <w:color w:val="000000"/>
          <w:sz w:val="24"/>
          <w:szCs w:val="28"/>
          <w:rtl/>
        </w:rPr>
        <w:t xml:space="preserve"> ومن ناحية أخرى</w:t>
      </w:r>
      <w:r>
        <w:rPr>
          <w:rFonts w:cs="Traditional Arabic" w:hint="cs"/>
          <w:color w:val="000000"/>
          <w:sz w:val="24"/>
          <w:szCs w:val="28"/>
          <w:rtl/>
        </w:rPr>
        <w:t xml:space="preserve"> ،</w:t>
      </w:r>
      <w:r w:rsidRPr="009A072C">
        <w:rPr>
          <w:rFonts w:cs="Traditional Arabic" w:hint="cs"/>
          <w:color w:val="000000"/>
          <w:sz w:val="24"/>
          <w:szCs w:val="28"/>
          <w:rtl/>
        </w:rPr>
        <w:t xml:space="preserve"> فإن حماية الغير تقتضي ألا يكون العقار محجوزاً إلا بإجراء يشهر باسم الكفيل العيني</w:t>
      </w:r>
      <w:r>
        <w:rPr>
          <w:rFonts w:cs="Traditional Arabic" w:hint="cs"/>
          <w:color w:val="000000"/>
          <w:sz w:val="24"/>
          <w:szCs w:val="28"/>
          <w:rtl/>
        </w:rPr>
        <w:t xml:space="preserve"> .</w:t>
      </w:r>
      <w:r w:rsidRPr="009A072C">
        <w:rPr>
          <w:rFonts w:cs="Traditional Arabic" w:hint="cs"/>
          <w:color w:val="000000"/>
          <w:sz w:val="24"/>
          <w:szCs w:val="28"/>
          <w:rtl/>
        </w:rPr>
        <w:t xml:space="preserve"> ذلك أنه لو سجل التنبيه باسم المدين واعتبر العقار بهذا محجوزا</w:t>
      </w:r>
      <w:r>
        <w:rPr>
          <w:rFonts w:cs="Traditional Arabic" w:hint="cs"/>
          <w:color w:val="000000"/>
          <w:sz w:val="24"/>
          <w:szCs w:val="28"/>
          <w:rtl/>
        </w:rPr>
        <w:t xml:space="preserve"> ،</w:t>
      </w:r>
      <w:r w:rsidRPr="009A072C">
        <w:rPr>
          <w:rFonts w:cs="Traditional Arabic" w:hint="cs"/>
          <w:color w:val="000000"/>
          <w:sz w:val="24"/>
          <w:szCs w:val="28"/>
          <w:rtl/>
        </w:rPr>
        <w:t xml:space="preserve"> فإن الغير قد يشتري العقار من الكفيل العين</w:t>
      </w:r>
      <w:r>
        <w:rPr>
          <w:rFonts w:cs="Traditional Arabic" w:hint="cs"/>
          <w:color w:val="000000"/>
          <w:sz w:val="24"/>
          <w:szCs w:val="28"/>
          <w:rtl/>
        </w:rPr>
        <w:t xml:space="preserve"> ،</w:t>
      </w:r>
      <w:r w:rsidRPr="009A072C">
        <w:rPr>
          <w:rFonts w:cs="Traditional Arabic" w:hint="cs"/>
          <w:color w:val="000000"/>
          <w:sz w:val="24"/>
          <w:szCs w:val="28"/>
          <w:rtl/>
        </w:rPr>
        <w:t xml:space="preserve"> دون أن يكون في استطاعته أن يعلم بسبق الحجز عليه لهذا رؤى أن يكون التنفيذ بتنبيه نزع الملكية وتسجيل التنبيه باسم الكفيل العيني</w:t>
      </w:r>
      <w:r>
        <w:rPr>
          <w:rFonts w:cs="Traditional Arabic" w:hint="cs"/>
          <w:color w:val="000000"/>
          <w:sz w:val="24"/>
          <w:szCs w:val="28"/>
          <w:rtl/>
        </w:rPr>
        <w:t xml:space="preserve"> .</w:t>
      </w:r>
      <w:r w:rsidRPr="009A072C">
        <w:rPr>
          <w:rFonts w:cs="Traditional Arabic" w:hint="cs"/>
          <w:color w:val="000000"/>
          <w:sz w:val="24"/>
          <w:szCs w:val="28"/>
          <w:rtl/>
        </w:rPr>
        <w:t xml:space="preserve"> وبهذا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وليس بإجراء قبله أياً كان</w:t>
      </w:r>
      <w:r>
        <w:rPr>
          <w:rFonts w:cs="Traditional Arabic" w:hint="cs"/>
          <w:color w:val="000000"/>
          <w:sz w:val="24"/>
          <w:szCs w:val="28"/>
          <w:rtl/>
        </w:rPr>
        <w:t xml:space="preserve"> ،</w:t>
      </w:r>
      <w:r w:rsidRPr="009A072C">
        <w:rPr>
          <w:rFonts w:cs="Traditional Arabic" w:hint="cs"/>
          <w:color w:val="000000"/>
          <w:sz w:val="24"/>
          <w:szCs w:val="28"/>
          <w:rtl/>
        </w:rPr>
        <w:t xml:space="preserve"> تترتب أثار الحجز</w:t>
      </w:r>
      <w:r>
        <w:rPr>
          <w:rFonts w:cs="Traditional Arabic" w:hint="cs"/>
          <w:color w:val="000000"/>
          <w:sz w:val="24"/>
          <w:szCs w:val="28"/>
          <w:rtl/>
        </w:rPr>
        <w:t xml:space="preserve"> .</w:t>
      </w:r>
      <w:r w:rsidRPr="009A072C">
        <w:rPr>
          <w:rFonts w:cs="Traditional Arabic" w:hint="cs"/>
          <w:color w:val="000000"/>
          <w:sz w:val="24"/>
          <w:szCs w:val="28"/>
          <w:rtl/>
        </w:rPr>
        <w:t xml:space="preserve"> وعلى أنه يجب تكليف المدين قبل هذا بالوفاء</w:t>
      </w:r>
      <w:r>
        <w:rPr>
          <w:rFonts w:cs="Traditional Arabic" w:hint="cs"/>
          <w:color w:val="000000"/>
          <w:sz w:val="24"/>
          <w:szCs w:val="28"/>
          <w:rtl/>
        </w:rPr>
        <w:t xml:space="preserve"> ،</w:t>
      </w:r>
      <w:r w:rsidRPr="009A072C">
        <w:rPr>
          <w:rFonts w:cs="Traditional Arabic" w:hint="cs"/>
          <w:color w:val="000000"/>
          <w:sz w:val="24"/>
          <w:szCs w:val="28"/>
          <w:rtl/>
        </w:rPr>
        <w:t xml:space="preserve"> لأنه هو المسئول شخصيا عن الدين"</w:t>
      </w:r>
      <w:r>
        <w:rPr>
          <w:rFonts w:cs="Traditional Arabic" w:hint="cs"/>
          <w:color w:val="000000"/>
          <w:sz w:val="24"/>
          <w:szCs w:val="28"/>
          <w:rtl/>
        </w:rPr>
        <w:t xml:space="preserve"> .</w:t>
      </w:r>
    </w:p>
  </w:footnote>
  <w:footnote w:id="105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16 مارس سنة </w:t>
      </w:r>
      <w:smartTag w:uri="urn:schemas-microsoft-com:office:smarttags" w:element="metricconverter">
        <w:smartTagPr>
          <w:attr w:name="ProductID" w:val="1915 م"/>
        </w:smartTagPr>
        <w:r w:rsidRPr="009A072C">
          <w:rPr>
            <w:rFonts w:cs="Traditional Arabic" w:hint="cs"/>
            <w:color w:val="000000"/>
            <w:sz w:val="24"/>
            <w:szCs w:val="28"/>
            <w:rtl/>
          </w:rPr>
          <w:t>1915 م</w:t>
        </w:r>
      </w:smartTag>
      <w:r w:rsidRPr="009A072C">
        <w:rPr>
          <w:rFonts w:cs="Traditional Arabic" w:hint="cs"/>
          <w:color w:val="000000"/>
          <w:sz w:val="24"/>
          <w:szCs w:val="28"/>
          <w:rtl/>
        </w:rPr>
        <w:t xml:space="preserve"> 27 ص 220</w:t>
      </w:r>
      <w:r>
        <w:rPr>
          <w:rFonts w:cs="Traditional Arabic" w:hint="cs"/>
          <w:color w:val="000000"/>
          <w:sz w:val="24"/>
          <w:szCs w:val="28"/>
          <w:rtl/>
        </w:rPr>
        <w:t xml:space="preserve"> .</w:t>
      </w:r>
    </w:p>
  </w:footnote>
  <w:footnote w:id="105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10 ديسمبر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26 ص 83 </w:t>
      </w:r>
      <w:r w:rsidRPr="009A072C">
        <w:rPr>
          <w:rFonts w:cs="Traditional Arabic"/>
          <w:color w:val="000000"/>
          <w:sz w:val="24"/>
          <w:szCs w:val="28"/>
          <w:rtl/>
        </w:rPr>
        <w:t>–</w:t>
      </w:r>
      <w:r w:rsidRPr="009A072C">
        <w:rPr>
          <w:rFonts w:cs="Traditional Arabic" w:hint="cs"/>
          <w:color w:val="000000"/>
          <w:sz w:val="24"/>
          <w:szCs w:val="28"/>
          <w:rtl/>
        </w:rPr>
        <w:t xml:space="preserve"> 29 أبريل سنة </w:t>
      </w:r>
      <w:smartTag w:uri="urn:schemas-microsoft-com:office:smarttags" w:element="metricconverter">
        <w:smartTagPr>
          <w:attr w:name="ProductID" w:val="1930 م"/>
        </w:smartTagPr>
        <w:r w:rsidRPr="009A072C">
          <w:rPr>
            <w:rFonts w:cs="Traditional Arabic" w:hint="cs"/>
            <w:color w:val="000000"/>
            <w:sz w:val="24"/>
            <w:szCs w:val="28"/>
            <w:rtl/>
          </w:rPr>
          <w:t>1930 م</w:t>
        </w:r>
      </w:smartTag>
      <w:r w:rsidRPr="009A072C">
        <w:rPr>
          <w:rFonts w:cs="Traditional Arabic" w:hint="cs"/>
          <w:color w:val="000000"/>
          <w:sz w:val="24"/>
          <w:szCs w:val="28"/>
          <w:rtl/>
        </w:rPr>
        <w:t xml:space="preserve"> 42 ص 461</w:t>
      </w:r>
      <w:r>
        <w:rPr>
          <w:rFonts w:cs="Traditional Arabic" w:hint="cs"/>
          <w:color w:val="000000"/>
          <w:sz w:val="24"/>
          <w:szCs w:val="28"/>
          <w:rtl/>
        </w:rPr>
        <w:t xml:space="preserve"> .</w:t>
      </w:r>
    </w:p>
  </w:footnote>
  <w:footnote w:id="105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سليمان مرقس فقرة 126</w:t>
      </w:r>
      <w:r>
        <w:rPr>
          <w:rFonts w:cs="Traditional Arabic" w:hint="cs"/>
          <w:color w:val="000000"/>
          <w:sz w:val="24"/>
          <w:szCs w:val="28"/>
          <w:rtl/>
        </w:rPr>
        <w:t xml:space="preserve"> .</w:t>
      </w:r>
    </w:p>
  </w:footnote>
  <w:footnote w:id="106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بأنه إذا نزل الدائن المرتهن عن حق الرهن على بعض العقارات المرهونة له وباشر هذا الحق على بع آخر آلت ملكيته إلى حائز</w:t>
      </w:r>
      <w:r>
        <w:rPr>
          <w:rFonts w:cs="Traditional Arabic" w:hint="cs"/>
          <w:color w:val="000000"/>
          <w:sz w:val="24"/>
          <w:szCs w:val="28"/>
          <w:rtl/>
        </w:rPr>
        <w:t xml:space="preserve"> ،</w:t>
      </w:r>
      <w:r w:rsidRPr="009A072C">
        <w:rPr>
          <w:rFonts w:cs="Traditional Arabic" w:hint="cs"/>
          <w:color w:val="000000"/>
          <w:sz w:val="24"/>
          <w:szCs w:val="28"/>
          <w:rtl/>
        </w:rPr>
        <w:t xml:space="preserve"> فليس للحائز أن يدفع الإجراءات المواجهة ضده بحجة أن الدائن قد أضاع التأمينات الأخرى التي كان يحق للحائز أن يحل فيها محل الدائن المرتهن</w:t>
      </w:r>
      <w:r>
        <w:rPr>
          <w:rFonts w:cs="Traditional Arabic" w:hint="cs"/>
          <w:color w:val="000000"/>
          <w:sz w:val="24"/>
          <w:szCs w:val="28"/>
          <w:rtl/>
        </w:rPr>
        <w:t xml:space="preserve"> ،</w:t>
      </w:r>
      <w:r w:rsidRPr="009A072C">
        <w:rPr>
          <w:rFonts w:cs="Traditional Arabic" w:hint="cs"/>
          <w:color w:val="000000"/>
          <w:sz w:val="24"/>
          <w:szCs w:val="28"/>
          <w:rtl/>
        </w:rPr>
        <w:t xml:space="preserve"> ما لم يثبت أن نزول الدائن عن بعض الرهن كان نتيجة تدليس منه أو حصل بقصد الإضرار بالحائز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10 أبريل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25 ص 308</w:t>
      </w:r>
      <w:r>
        <w:rPr>
          <w:rFonts w:cs="Traditional Arabic" w:hint="cs"/>
          <w:color w:val="000000"/>
          <w:sz w:val="24"/>
          <w:szCs w:val="28"/>
          <w:rtl/>
        </w:rPr>
        <w:t xml:space="preserve"> ) .</w:t>
      </w:r>
    </w:p>
  </w:footnote>
  <w:footnote w:id="106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31 ديسمبر سن </w:t>
      </w:r>
      <w:smartTag w:uri="urn:schemas-microsoft-com:office:smarttags" w:element="metricconverter">
        <w:smartTagPr>
          <w:attr w:name="ProductID" w:val="1936 م"/>
        </w:smartTagPr>
        <w:r w:rsidRPr="009A072C">
          <w:rPr>
            <w:rFonts w:cs="Traditional Arabic" w:hint="cs"/>
            <w:color w:val="000000"/>
            <w:sz w:val="24"/>
            <w:szCs w:val="28"/>
            <w:rtl/>
          </w:rPr>
          <w:t>1936 م</w:t>
        </w:r>
      </w:smartTag>
      <w:r w:rsidRPr="009A072C">
        <w:rPr>
          <w:rFonts w:cs="Traditional Arabic" w:hint="cs"/>
          <w:color w:val="000000"/>
          <w:sz w:val="24"/>
          <w:szCs w:val="28"/>
          <w:rtl/>
        </w:rPr>
        <w:t xml:space="preserve"> 49 ص 59</w:t>
      </w:r>
      <w:r>
        <w:rPr>
          <w:rFonts w:cs="Traditional Arabic" w:hint="cs"/>
          <w:color w:val="000000"/>
          <w:sz w:val="24"/>
          <w:szCs w:val="28"/>
          <w:rtl/>
        </w:rPr>
        <w:t xml:space="preserve"> .</w:t>
      </w:r>
    </w:p>
  </w:footnote>
  <w:footnote w:id="106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كان مشروع التقنين المدني يتضمن نصا هو نص المادة 1480</w:t>
      </w:r>
      <w:r>
        <w:rPr>
          <w:rFonts w:cs="Traditional Arabic" w:hint="cs"/>
          <w:color w:val="000000"/>
          <w:sz w:val="24"/>
          <w:szCs w:val="28"/>
          <w:rtl/>
        </w:rPr>
        <w:t xml:space="preserve"> ،</w:t>
      </w:r>
      <w:r w:rsidRPr="009A072C">
        <w:rPr>
          <w:rFonts w:cs="Traditional Arabic" w:hint="cs"/>
          <w:color w:val="000000"/>
          <w:sz w:val="24"/>
          <w:szCs w:val="28"/>
          <w:rtl/>
        </w:rPr>
        <w:t xml:space="preserve"> وكانت تجري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"لا يجوز لدائن له رهن على عدة عقارات أن يتنازل عن رهنه على أحد هذه العقارات</w:t>
      </w:r>
      <w:r>
        <w:rPr>
          <w:rFonts w:cs="Traditional Arabic" w:hint="cs"/>
          <w:color w:val="000000"/>
          <w:sz w:val="24"/>
          <w:szCs w:val="28"/>
          <w:rtl/>
        </w:rPr>
        <w:t xml:space="preserve"> ،</w:t>
      </w:r>
      <w:r w:rsidRPr="009A072C">
        <w:rPr>
          <w:rFonts w:cs="Traditional Arabic" w:hint="cs"/>
          <w:color w:val="000000"/>
          <w:sz w:val="24"/>
          <w:szCs w:val="28"/>
          <w:rtl/>
        </w:rPr>
        <w:t xml:space="preserve"> أو أن يمنع باختياره عن الدخول في إجراءات التوزيع الخاصة بهذا العقار</w:t>
      </w:r>
      <w:r>
        <w:rPr>
          <w:rFonts w:cs="Traditional Arabic" w:hint="cs"/>
          <w:color w:val="000000"/>
          <w:sz w:val="24"/>
          <w:szCs w:val="28"/>
          <w:rtl/>
        </w:rPr>
        <w:t xml:space="preserve"> ،</w:t>
      </w:r>
      <w:r w:rsidRPr="009A072C">
        <w:rPr>
          <w:rFonts w:cs="Traditional Arabic" w:hint="cs"/>
          <w:color w:val="000000"/>
          <w:sz w:val="24"/>
          <w:szCs w:val="28"/>
          <w:rtl/>
        </w:rPr>
        <w:t xml:space="preserve"> بقصد إيثار دائن على دائن آخر سابق في المرتبة</w:t>
      </w:r>
      <w:r>
        <w:rPr>
          <w:rFonts w:cs="Traditional Arabic" w:hint="cs"/>
          <w:color w:val="000000"/>
          <w:sz w:val="24"/>
          <w:szCs w:val="28"/>
          <w:rtl/>
        </w:rPr>
        <w:t xml:space="preserve"> ،</w:t>
      </w:r>
      <w:r w:rsidRPr="009A072C">
        <w:rPr>
          <w:rFonts w:cs="Traditional Arabic" w:hint="cs"/>
          <w:color w:val="000000"/>
          <w:sz w:val="24"/>
          <w:szCs w:val="28"/>
          <w:rtl/>
        </w:rPr>
        <w:t xml:space="preserve"> وإلا حق عليه التعويض</w:t>
      </w:r>
      <w:r>
        <w:rPr>
          <w:rFonts w:cs="Traditional Arabic" w:hint="cs"/>
          <w:color w:val="000000"/>
          <w:sz w:val="24"/>
          <w:szCs w:val="28"/>
          <w:rtl/>
        </w:rPr>
        <w:t xml:space="preserve"> .</w:t>
      </w:r>
      <w:r w:rsidRPr="009A072C">
        <w:rPr>
          <w:rFonts w:cs="Traditional Arabic" w:hint="cs"/>
          <w:color w:val="000000"/>
          <w:sz w:val="24"/>
          <w:szCs w:val="28"/>
          <w:rtl/>
        </w:rPr>
        <w:t xml:space="preserve"> ويسري هذا الحكم أيضاً إذا كان التنازل أو الامتناع عن الدخول في إجراءات التوزيع مقصودا به إيثار حائز على دائن له رهن سابق في القيد</w:t>
      </w:r>
      <w:r>
        <w:rPr>
          <w:rFonts w:cs="Traditional Arabic" w:hint="cs"/>
          <w:color w:val="000000"/>
          <w:sz w:val="24"/>
          <w:szCs w:val="28"/>
          <w:rtl/>
        </w:rPr>
        <w:t xml:space="preserve"> ،</w:t>
      </w:r>
      <w:r w:rsidRPr="009A072C">
        <w:rPr>
          <w:rFonts w:cs="Traditional Arabic" w:hint="cs"/>
          <w:color w:val="000000"/>
          <w:sz w:val="24"/>
          <w:szCs w:val="28"/>
          <w:rtl/>
        </w:rPr>
        <w:t xml:space="preserve"> أو إيثار حائز على حائز آخر سابق في التسجيل"</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وحتى يكون هذا النص منطبقاً على المثل الذي أوردناه</w:t>
      </w:r>
      <w:r>
        <w:rPr>
          <w:rFonts w:cs="Traditional Arabic" w:hint="cs"/>
          <w:color w:val="000000"/>
          <w:sz w:val="24"/>
          <w:szCs w:val="28"/>
          <w:rtl/>
        </w:rPr>
        <w:t xml:space="preserve"> ،</w:t>
      </w:r>
      <w:r w:rsidRPr="009A072C">
        <w:rPr>
          <w:rFonts w:cs="Traditional Arabic" w:hint="cs"/>
          <w:color w:val="000000"/>
          <w:sz w:val="24"/>
          <w:szCs w:val="28"/>
          <w:rtl/>
        </w:rPr>
        <w:t xml:space="preserve"> ندخل على هذا المثل التعديل الآتي</w:t>
      </w:r>
      <w:r>
        <w:rPr>
          <w:rFonts w:cs="Traditional Arabic" w:hint="cs"/>
          <w:color w:val="000000"/>
          <w:sz w:val="24"/>
          <w:szCs w:val="28"/>
          <w:rtl/>
        </w:rPr>
        <w:t xml:space="preserve"> :</w:t>
      </w:r>
      <w:r w:rsidRPr="009A072C">
        <w:rPr>
          <w:rFonts w:cs="Traditional Arabic" w:hint="cs"/>
          <w:color w:val="000000"/>
          <w:sz w:val="24"/>
          <w:szCs w:val="28"/>
          <w:rtl/>
        </w:rPr>
        <w:t xml:space="preserve"> نفرض أن الدائن الثالث هو الدائن الثاني</w:t>
      </w:r>
      <w:r>
        <w:rPr>
          <w:rFonts w:cs="Traditional Arabic" w:hint="cs"/>
          <w:color w:val="000000"/>
          <w:sz w:val="24"/>
          <w:szCs w:val="28"/>
          <w:rtl/>
        </w:rPr>
        <w:t xml:space="preserve"> ،</w:t>
      </w:r>
      <w:r w:rsidRPr="009A072C">
        <w:rPr>
          <w:rFonts w:cs="Traditional Arabic" w:hint="cs"/>
          <w:color w:val="000000"/>
          <w:sz w:val="24"/>
          <w:szCs w:val="28"/>
          <w:rtl/>
        </w:rPr>
        <w:t xml:space="preserve"> وقد أخذ رهنا على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فقط كان فيه هو الدائن الثاني</w:t>
      </w:r>
      <w:r>
        <w:rPr>
          <w:rFonts w:cs="Traditional Arabic" w:hint="cs"/>
          <w:color w:val="000000"/>
          <w:sz w:val="24"/>
          <w:szCs w:val="28"/>
          <w:rtl/>
        </w:rPr>
        <w:t xml:space="preserve"> ،</w:t>
      </w:r>
      <w:r w:rsidRPr="009A072C">
        <w:rPr>
          <w:rFonts w:cs="Traditional Arabic" w:hint="cs"/>
          <w:color w:val="000000"/>
          <w:sz w:val="24"/>
          <w:szCs w:val="28"/>
          <w:rtl/>
        </w:rPr>
        <w:t xml:space="preserve"> في حين أن الدائن الثالث الذي بعده أخذ رهنا على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ورهنا على العقار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 .</w:t>
      </w:r>
      <w:r w:rsidRPr="009A072C">
        <w:rPr>
          <w:rFonts w:cs="Traditional Arabic" w:hint="cs"/>
          <w:color w:val="000000"/>
          <w:sz w:val="24"/>
          <w:szCs w:val="28"/>
          <w:rtl/>
        </w:rPr>
        <w:t xml:space="preserve"> حينئذ يكون الدائن الثاني سابقا على الدائن الثالث في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 .</w:t>
      </w:r>
      <w:r w:rsidRPr="009A072C">
        <w:rPr>
          <w:rFonts w:cs="Traditional Arabic" w:hint="cs"/>
          <w:color w:val="000000"/>
          <w:sz w:val="24"/>
          <w:szCs w:val="28"/>
          <w:rtl/>
        </w:rPr>
        <w:t xml:space="preserve"> فيأتي الدائن المرتهن الأولى ويستوفي حقه من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وحده</w:t>
      </w:r>
      <w:r>
        <w:rPr>
          <w:rFonts w:cs="Traditional Arabic" w:hint="cs"/>
          <w:color w:val="000000"/>
          <w:sz w:val="24"/>
          <w:szCs w:val="28"/>
          <w:rtl/>
        </w:rPr>
        <w:t xml:space="preserve"> ،</w:t>
      </w:r>
      <w:r w:rsidRPr="009A072C">
        <w:rPr>
          <w:rFonts w:cs="Traditional Arabic" w:hint="cs"/>
          <w:color w:val="000000"/>
          <w:sz w:val="24"/>
          <w:szCs w:val="28"/>
          <w:rtl/>
        </w:rPr>
        <w:t xml:space="preserve"> فيأخذه كله</w:t>
      </w:r>
      <w:r>
        <w:rPr>
          <w:rFonts w:cs="Traditional Arabic" w:hint="cs"/>
          <w:color w:val="000000"/>
          <w:sz w:val="24"/>
          <w:szCs w:val="28"/>
          <w:rtl/>
        </w:rPr>
        <w:t xml:space="preserve"> ،</w:t>
      </w:r>
      <w:r w:rsidRPr="009A072C">
        <w:rPr>
          <w:rFonts w:cs="Traditional Arabic" w:hint="cs"/>
          <w:color w:val="000000"/>
          <w:sz w:val="24"/>
          <w:szCs w:val="28"/>
          <w:rtl/>
        </w:rPr>
        <w:t xml:space="preserve"> ولا يبقى شيئاً للدائنين الثاني والثالث</w:t>
      </w:r>
      <w:r>
        <w:rPr>
          <w:rFonts w:cs="Traditional Arabic" w:hint="cs"/>
          <w:color w:val="000000"/>
          <w:sz w:val="24"/>
          <w:szCs w:val="28"/>
          <w:rtl/>
        </w:rPr>
        <w:t xml:space="preserve"> .</w:t>
      </w:r>
      <w:r w:rsidRPr="009A072C">
        <w:rPr>
          <w:rFonts w:cs="Traditional Arabic" w:hint="cs"/>
          <w:color w:val="000000"/>
          <w:sz w:val="24"/>
          <w:szCs w:val="28"/>
          <w:rtl/>
        </w:rPr>
        <w:t xml:space="preserve"> فحينئذ لا يستطع الدائن الثاني</w:t>
      </w:r>
      <w:r>
        <w:rPr>
          <w:rFonts w:cs="Traditional Arabic" w:hint="cs"/>
          <w:color w:val="000000"/>
          <w:sz w:val="24"/>
          <w:szCs w:val="28"/>
          <w:rtl/>
        </w:rPr>
        <w:t xml:space="preserve"> ،</w:t>
      </w:r>
      <w:r w:rsidRPr="009A072C">
        <w:rPr>
          <w:rFonts w:cs="Traditional Arabic" w:hint="cs"/>
          <w:color w:val="000000"/>
          <w:sz w:val="24"/>
          <w:szCs w:val="28"/>
          <w:rtl/>
        </w:rPr>
        <w:t xml:space="preserve"> وهو أسبق من الدائن الثالث على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أن يأخذ شيئاً</w:t>
      </w:r>
      <w:r>
        <w:rPr>
          <w:rFonts w:cs="Traditional Arabic" w:hint="cs"/>
          <w:color w:val="000000"/>
          <w:sz w:val="24"/>
          <w:szCs w:val="28"/>
          <w:rtl/>
        </w:rPr>
        <w:t xml:space="preserve"> ،</w:t>
      </w:r>
      <w:r w:rsidRPr="009A072C">
        <w:rPr>
          <w:rFonts w:cs="Traditional Arabic" w:hint="cs"/>
          <w:color w:val="000000"/>
          <w:sz w:val="24"/>
          <w:szCs w:val="28"/>
          <w:rtl/>
        </w:rPr>
        <w:t xml:space="preserve"> لأنه لم يكن مرتهنا إلا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 .</w:t>
      </w:r>
      <w:r w:rsidRPr="009A072C">
        <w:rPr>
          <w:rFonts w:cs="Traditional Arabic" w:hint="cs"/>
          <w:color w:val="000000"/>
          <w:sz w:val="24"/>
          <w:szCs w:val="28"/>
          <w:rtl/>
        </w:rPr>
        <w:t xml:space="preserve"> ويأتي للدائن الثالث</w:t>
      </w:r>
      <w:r>
        <w:rPr>
          <w:rFonts w:cs="Traditional Arabic" w:hint="cs"/>
          <w:color w:val="000000"/>
          <w:sz w:val="24"/>
          <w:szCs w:val="28"/>
          <w:rtl/>
        </w:rPr>
        <w:t xml:space="preserve"> ،</w:t>
      </w:r>
      <w:r w:rsidRPr="009A072C">
        <w:rPr>
          <w:rFonts w:cs="Traditional Arabic" w:hint="cs"/>
          <w:color w:val="000000"/>
          <w:sz w:val="24"/>
          <w:szCs w:val="28"/>
          <w:rtl/>
        </w:rPr>
        <w:t xml:space="preserve"> وهو متأخر في الترتيب عن الدائن الثاني في العقار</w:t>
      </w:r>
      <w:r>
        <w:rPr>
          <w:rFonts w:cs="Traditional Arabic" w:hint="cs"/>
          <w:color w:val="000000"/>
          <w:sz w:val="24"/>
          <w:szCs w:val="28"/>
          <w:rtl/>
        </w:rPr>
        <w:t xml:space="preserve"> ،</w:t>
      </w:r>
      <w:r w:rsidRPr="009A072C">
        <w:rPr>
          <w:rFonts w:cs="Traditional Arabic" w:hint="cs"/>
          <w:color w:val="000000"/>
          <w:sz w:val="24"/>
          <w:szCs w:val="28"/>
          <w:rtl/>
        </w:rPr>
        <w:t xml:space="preserve">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فيمجد العقار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الذي ارتهنه</w:t>
      </w:r>
      <w:r>
        <w:rPr>
          <w:rFonts w:cs="Traditional Arabic" w:hint="cs"/>
          <w:color w:val="000000"/>
          <w:sz w:val="24"/>
          <w:szCs w:val="28"/>
          <w:rtl/>
        </w:rPr>
        <w:t xml:space="preserve"> ،</w:t>
      </w:r>
      <w:r w:rsidRPr="009A072C">
        <w:rPr>
          <w:rFonts w:cs="Traditional Arabic" w:hint="cs"/>
          <w:color w:val="000000"/>
          <w:sz w:val="24"/>
          <w:szCs w:val="28"/>
          <w:rtl/>
        </w:rPr>
        <w:t xml:space="preserve"> وقد أصبح فيه الدائن الأول بعد أن استوفى الدائن الأولى كل حقه من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 ،</w:t>
      </w:r>
      <w:r w:rsidRPr="009A072C">
        <w:rPr>
          <w:rFonts w:cs="Traditional Arabic" w:hint="cs"/>
          <w:color w:val="000000"/>
          <w:sz w:val="24"/>
          <w:szCs w:val="28"/>
          <w:rtl/>
        </w:rPr>
        <w:t xml:space="preserve"> فيستوفي منه كل حقه</w:t>
      </w:r>
      <w:r>
        <w:rPr>
          <w:rFonts w:cs="Traditional Arabic" w:hint="cs"/>
          <w:color w:val="000000"/>
          <w:sz w:val="24"/>
          <w:szCs w:val="28"/>
          <w:rtl/>
        </w:rPr>
        <w:t xml:space="preserve"> .</w:t>
      </w:r>
      <w:r w:rsidRPr="009A072C">
        <w:rPr>
          <w:rFonts w:cs="Traditional Arabic" w:hint="cs"/>
          <w:color w:val="000000"/>
          <w:sz w:val="24"/>
          <w:szCs w:val="28"/>
          <w:rtl/>
        </w:rPr>
        <w:t xml:space="preserve"> وبذل يستوفي الدائنان الأولى والثالث كل منهما حقه</w:t>
      </w:r>
      <w:r>
        <w:rPr>
          <w:rFonts w:cs="Traditional Arabic" w:hint="cs"/>
          <w:color w:val="000000"/>
          <w:sz w:val="24"/>
          <w:szCs w:val="28"/>
          <w:rtl/>
        </w:rPr>
        <w:t xml:space="preserve"> ،</w:t>
      </w:r>
      <w:r w:rsidRPr="009A072C">
        <w:rPr>
          <w:rFonts w:cs="Traditional Arabic" w:hint="cs"/>
          <w:color w:val="000000"/>
          <w:sz w:val="24"/>
          <w:szCs w:val="28"/>
          <w:rtl/>
        </w:rPr>
        <w:t xml:space="preserve"> ويضيع الدائن الثاني فلا يأخذ شيئا مع أنه اسبق في الترتيب على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من الدائن الثالث</w:t>
      </w:r>
      <w:r>
        <w:rPr>
          <w:rFonts w:cs="Traditional Arabic" w:hint="cs"/>
          <w:color w:val="000000"/>
          <w:sz w:val="24"/>
          <w:szCs w:val="28"/>
          <w:rtl/>
        </w:rPr>
        <w:t xml:space="preserve"> .</w:t>
      </w:r>
      <w:r w:rsidRPr="009A072C">
        <w:rPr>
          <w:rFonts w:cs="Traditional Arabic" w:hint="cs"/>
          <w:color w:val="000000"/>
          <w:sz w:val="24"/>
          <w:szCs w:val="28"/>
          <w:rtl/>
        </w:rPr>
        <w:t xml:space="preserve"> فلو استوفي الدائن الأول كل حقه من العقا ر</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بدلا من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 ،</w:t>
      </w:r>
      <w:r w:rsidRPr="009A072C">
        <w:rPr>
          <w:rFonts w:cs="Traditional Arabic" w:hint="cs"/>
          <w:color w:val="000000"/>
          <w:sz w:val="24"/>
          <w:szCs w:val="28"/>
          <w:rtl/>
        </w:rPr>
        <w:t xml:space="preserve"> لترك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للدائنين الثاني والثالث</w:t>
      </w:r>
      <w:r>
        <w:rPr>
          <w:rFonts w:cs="Traditional Arabic" w:hint="cs"/>
          <w:color w:val="000000"/>
          <w:sz w:val="24"/>
          <w:szCs w:val="28"/>
          <w:rtl/>
        </w:rPr>
        <w:t xml:space="preserve"> ،</w:t>
      </w:r>
      <w:r w:rsidRPr="009A072C">
        <w:rPr>
          <w:rFonts w:cs="Traditional Arabic" w:hint="cs"/>
          <w:color w:val="000000"/>
          <w:sz w:val="24"/>
          <w:szCs w:val="28"/>
          <w:rtl/>
        </w:rPr>
        <w:t xml:space="preserve"> فيتقدم الثاني على الثالث ويستوفي كل حقه</w:t>
      </w:r>
      <w:r>
        <w:rPr>
          <w:rFonts w:cs="Traditional Arabic" w:hint="cs"/>
          <w:color w:val="000000"/>
          <w:sz w:val="24"/>
          <w:szCs w:val="28"/>
          <w:rtl/>
        </w:rPr>
        <w:t xml:space="preserve"> ،</w:t>
      </w:r>
      <w:r w:rsidRPr="009A072C">
        <w:rPr>
          <w:rFonts w:cs="Traditional Arabic" w:hint="cs"/>
          <w:color w:val="000000"/>
          <w:sz w:val="24"/>
          <w:szCs w:val="28"/>
          <w:rtl/>
        </w:rPr>
        <w:t xml:space="preserve"> ولا يأخذ الدائن الثالث شيئاً</w:t>
      </w:r>
      <w:r>
        <w:rPr>
          <w:rFonts w:cs="Traditional Arabic" w:hint="cs"/>
          <w:color w:val="000000"/>
          <w:sz w:val="24"/>
          <w:szCs w:val="28"/>
          <w:rtl/>
        </w:rPr>
        <w:t xml:space="preserve"> .</w:t>
      </w:r>
      <w:r w:rsidRPr="009A072C">
        <w:rPr>
          <w:rFonts w:cs="Traditional Arabic" w:hint="cs"/>
          <w:color w:val="000000"/>
          <w:sz w:val="24"/>
          <w:szCs w:val="28"/>
          <w:rtl/>
        </w:rPr>
        <w:t xml:space="preserve"> وكان هنا طبيعياًً</w:t>
      </w:r>
      <w:r>
        <w:rPr>
          <w:rFonts w:cs="Traditional Arabic" w:hint="cs"/>
          <w:color w:val="000000"/>
          <w:sz w:val="24"/>
          <w:szCs w:val="28"/>
          <w:rtl/>
        </w:rPr>
        <w:t xml:space="preserve"> ،</w:t>
      </w:r>
      <w:r w:rsidRPr="009A072C">
        <w:rPr>
          <w:rFonts w:cs="Traditional Arabic" w:hint="cs"/>
          <w:color w:val="000000"/>
          <w:sz w:val="24"/>
          <w:szCs w:val="28"/>
          <w:rtl/>
        </w:rPr>
        <w:t xml:space="preserve"> وأكثر اتفاقا مع موقف الدائنين الثلاثة</w:t>
      </w:r>
      <w:r>
        <w:rPr>
          <w:rFonts w:cs="Traditional Arabic" w:hint="cs"/>
          <w:color w:val="000000"/>
          <w:sz w:val="24"/>
          <w:szCs w:val="28"/>
          <w:rtl/>
        </w:rPr>
        <w:t xml:space="preserve"> .</w:t>
      </w:r>
      <w:r w:rsidRPr="009A072C">
        <w:rPr>
          <w:rFonts w:cs="Traditional Arabic" w:hint="cs"/>
          <w:color w:val="000000"/>
          <w:sz w:val="24"/>
          <w:szCs w:val="28"/>
          <w:rtl/>
        </w:rPr>
        <w:t xml:space="preserve"> ولكن لما اختار الدائن الأولى العقار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يأخذ منه كل حقه دون سبب ظاهر</w:t>
      </w:r>
      <w:r>
        <w:rPr>
          <w:rFonts w:cs="Traditional Arabic" w:hint="cs"/>
          <w:color w:val="000000"/>
          <w:sz w:val="24"/>
          <w:szCs w:val="28"/>
          <w:rtl/>
        </w:rPr>
        <w:t xml:space="preserve"> ،</w:t>
      </w:r>
      <w:r w:rsidRPr="009A072C">
        <w:rPr>
          <w:rFonts w:cs="Traditional Arabic" w:hint="cs"/>
          <w:color w:val="000000"/>
          <w:sz w:val="24"/>
          <w:szCs w:val="28"/>
          <w:rtl/>
        </w:rPr>
        <w:t xml:space="preserve"> أضاع الدائن الثاني</w:t>
      </w:r>
      <w:r>
        <w:rPr>
          <w:rFonts w:cs="Traditional Arabic" w:hint="cs"/>
          <w:color w:val="000000"/>
          <w:sz w:val="24"/>
          <w:szCs w:val="28"/>
          <w:rtl/>
        </w:rPr>
        <w:t xml:space="preserve"> ،</w:t>
      </w:r>
      <w:r w:rsidRPr="009A072C">
        <w:rPr>
          <w:rFonts w:cs="Traditional Arabic" w:hint="cs"/>
          <w:color w:val="000000"/>
          <w:sz w:val="24"/>
          <w:szCs w:val="28"/>
          <w:rtl/>
        </w:rPr>
        <w:t xml:space="preserve"> فيعتبر اختيار الدائن الأول للعقار </w:t>
      </w:r>
      <w:r>
        <w:rPr>
          <w:rFonts w:cs="Traditional Arabic" w:hint="cs"/>
          <w:color w:val="000000"/>
          <w:sz w:val="24"/>
          <w:szCs w:val="28"/>
          <w:rtl/>
        </w:rPr>
        <w:t xml:space="preserve">( </w:t>
      </w:r>
      <w:r w:rsidRPr="009A072C">
        <w:rPr>
          <w:rFonts w:cs="Traditional Arabic" w:hint="cs"/>
          <w:color w:val="000000"/>
          <w:sz w:val="24"/>
          <w:szCs w:val="28"/>
          <w:rtl/>
        </w:rPr>
        <w:t>أ</w:t>
      </w:r>
      <w:r>
        <w:rPr>
          <w:rFonts w:cs="Traditional Arabic" w:hint="cs"/>
          <w:color w:val="000000"/>
          <w:sz w:val="24"/>
          <w:szCs w:val="28"/>
          <w:rtl/>
        </w:rPr>
        <w:t xml:space="preserve"> )</w:t>
      </w:r>
      <w:r w:rsidRPr="009A072C">
        <w:rPr>
          <w:rFonts w:cs="Traditional Arabic" w:hint="cs"/>
          <w:color w:val="000000"/>
          <w:sz w:val="24"/>
          <w:szCs w:val="28"/>
          <w:rtl/>
        </w:rPr>
        <w:t xml:space="preserve"> دون العقار </w:t>
      </w:r>
      <w:r>
        <w:rPr>
          <w:rFonts w:cs="Traditional Arabic" w:hint="cs"/>
          <w:color w:val="000000"/>
          <w:sz w:val="24"/>
          <w:szCs w:val="28"/>
          <w:rtl/>
        </w:rPr>
        <w:t xml:space="preserve">( </w:t>
      </w:r>
      <w:r w:rsidRPr="009A072C">
        <w:rPr>
          <w:rFonts w:cs="Traditional Arabic" w:hint="cs"/>
          <w:color w:val="000000"/>
          <w:sz w:val="24"/>
          <w:szCs w:val="28"/>
          <w:rtl/>
        </w:rPr>
        <w:t>ب</w:t>
      </w:r>
      <w:r>
        <w:rPr>
          <w:rFonts w:cs="Traditional Arabic" w:hint="cs"/>
          <w:color w:val="000000"/>
          <w:sz w:val="24"/>
          <w:szCs w:val="28"/>
          <w:rtl/>
        </w:rPr>
        <w:t xml:space="preserve"> )</w:t>
      </w:r>
      <w:r w:rsidRPr="009A072C">
        <w:rPr>
          <w:rFonts w:cs="Traditional Arabic" w:hint="cs"/>
          <w:color w:val="000000"/>
          <w:sz w:val="24"/>
          <w:szCs w:val="28"/>
          <w:rtl/>
        </w:rPr>
        <w:t xml:space="preserve"> من غير سبب ظاهر</w:t>
      </w:r>
      <w:r>
        <w:rPr>
          <w:rFonts w:cs="Traditional Arabic" w:hint="cs"/>
          <w:color w:val="000000"/>
          <w:sz w:val="24"/>
          <w:szCs w:val="28"/>
          <w:rtl/>
        </w:rPr>
        <w:t xml:space="preserve"> ،</w:t>
      </w:r>
      <w:r w:rsidRPr="009A072C">
        <w:rPr>
          <w:rFonts w:cs="Traditional Arabic" w:hint="cs"/>
          <w:color w:val="000000"/>
          <w:sz w:val="24"/>
          <w:szCs w:val="28"/>
          <w:rtl/>
        </w:rPr>
        <w:t xml:space="preserve"> تعسفا من الدائن الأول في استعمال حقه</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ولكن لجنة القانون المدني بمجلس الشيوخ حذفت المادة 1480</w:t>
      </w:r>
      <w:r>
        <w:rPr>
          <w:rFonts w:cs="Traditional Arabic" w:hint="cs"/>
          <w:color w:val="000000"/>
          <w:sz w:val="24"/>
          <w:szCs w:val="28"/>
          <w:rtl/>
        </w:rPr>
        <w:t xml:space="preserve"> ،</w:t>
      </w:r>
      <w:r w:rsidRPr="009A072C">
        <w:rPr>
          <w:rFonts w:cs="Traditional Arabic" w:hint="cs"/>
          <w:color w:val="000000"/>
          <w:sz w:val="24"/>
          <w:szCs w:val="28"/>
          <w:rtl/>
        </w:rPr>
        <w:t xml:space="preserve"> اكتفاء بالقواعد العامة</w:t>
      </w:r>
      <w:r>
        <w:rPr>
          <w:rFonts w:cs="Traditional Arabic" w:hint="cs"/>
          <w:color w:val="000000"/>
          <w:sz w:val="24"/>
          <w:szCs w:val="28"/>
          <w:rtl/>
        </w:rPr>
        <w:t xml:space="preserve"> .</w:t>
      </w:r>
      <w:r w:rsidRPr="009A072C">
        <w:rPr>
          <w:rFonts w:cs="Traditional Arabic" w:hint="cs"/>
          <w:color w:val="000000"/>
          <w:sz w:val="24"/>
          <w:szCs w:val="28"/>
          <w:rtl/>
        </w:rPr>
        <w:t xml:space="preserve"> ويمكن تطبيق القواعد العامة</w:t>
      </w:r>
      <w:r>
        <w:rPr>
          <w:rFonts w:cs="Traditional Arabic" w:hint="cs"/>
          <w:color w:val="000000"/>
          <w:sz w:val="24"/>
          <w:szCs w:val="28"/>
          <w:rtl/>
        </w:rPr>
        <w:t xml:space="preserve"> ،</w:t>
      </w:r>
      <w:r w:rsidRPr="009A072C">
        <w:rPr>
          <w:rFonts w:cs="Traditional Arabic" w:hint="cs"/>
          <w:color w:val="000000"/>
          <w:sz w:val="24"/>
          <w:szCs w:val="28"/>
          <w:rtl/>
        </w:rPr>
        <w:t xml:space="preserve"> بما في ذلك قاعدة التعسف في استعمال الحق</w:t>
      </w:r>
      <w:r>
        <w:rPr>
          <w:rFonts w:cs="Traditional Arabic" w:hint="cs"/>
          <w:color w:val="000000"/>
          <w:sz w:val="24"/>
          <w:szCs w:val="28"/>
          <w:rtl/>
        </w:rPr>
        <w:t xml:space="preserve"> ،</w:t>
      </w:r>
      <w:r w:rsidRPr="009A072C">
        <w:rPr>
          <w:rFonts w:cs="Traditional Arabic" w:hint="cs"/>
          <w:color w:val="000000"/>
          <w:sz w:val="24"/>
          <w:szCs w:val="28"/>
          <w:rtl/>
        </w:rPr>
        <w:t xml:space="preserve"> للوصول إلى هذه النتيجة </w:t>
      </w:r>
      <w:r>
        <w:rPr>
          <w:rFonts w:cs="Traditional Arabic" w:hint="cs"/>
          <w:color w:val="000000"/>
          <w:sz w:val="24"/>
          <w:szCs w:val="28"/>
          <w:rtl/>
        </w:rPr>
        <w:t xml:space="preserve">( </w:t>
      </w:r>
      <w:r w:rsidRPr="009A072C">
        <w:rPr>
          <w:rFonts w:cs="Traditional Arabic" w:hint="cs"/>
          <w:color w:val="000000"/>
          <w:sz w:val="24"/>
          <w:szCs w:val="28"/>
          <w:rtl/>
        </w:rPr>
        <w:t>انظر في ذلك سليمان مرقس فقرة 127 ص 201</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 xml:space="preserve">وقد نصت المادة </w:t>
      </w:r>
      <w:smartTag w:uri="urn:schemas-microsoft-com:office:smarttags" w:element="metricconverter">
        <w:smartTagPr>
          <w:attr w:name="ProductID" w:val="1481 م"/>
        </w:smartTagPr>
        <w:r w:rsidRPr="009A072C">
          <w:rPr>
            <w:rFonts w:cs="Traditional Arabic" w:hint="cs"/>
            <w:color w:val="000000"/>
            <w:sz w:val="24"/>
            <w:szCs w:val="28"/>
            <w:rtl/>
          </w:rPr>
          <w:t>1481 م</w:t>
        </w:r>
      </w:smartTag>
      <w:r w:rsidRPr="009A072C">
        <w:rPr>
          <w:rFonts w:cs="Traditional Arabic" w:hint="cs"/>
          <w:color w:val="000000"/>
          <w:sz w:val="24"/>
          <w:szCs w:val="28"/>
          <w:rtl/>
        </w:rPr>
        <w:t xml:space="preserve"> المشروع التمهيدي على ما يأتي</w:t>
      </w:r>
      <w:r>
        <w:rPr>
          <w:rFonts w:cs="Traditional Arabic" w:hint="cs"/>
          <w:color w:val="000000"/>
          <w:sz w:val="24"/>
          <w:szCs w:val="28"/>
          <w:rtl/>
        </w:rPr>
        <w:t xml:space="preserve"> :</w:t>
      </w:r>
      <w:r w:rsidRPr="009A072C">
        <w:rPr>
          <w:rFonts w:cs="Traditional Arabic" w:hint="cs"/>
          <w:color w:val="000000"/>
          <w:sz w:val="24"/>
          <w:szCs w:val="28"/>
          <w:rtl/>
        </w:rPr>
        <w:t xml:space="preserve"> "1- إذا كان الدائن المرتهن لم يتمكن من استيفاء حقه من ثمن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بسبب أن هذا الثمن قد دفع لدائن مرتهن يسبق في المرتبة</w:t>
      </w:r>
      <w:r>
        <w:rPr>
          <w:rFonts w:cs="Traditional Arabic" w:hint="cs"/>
          <w:color w:val="000000"/>
          <w:sz w:val="24"/>
          <w:szCs w:val="28"/>
          <w:rtl/>
        </w:rPr>
        <w:t xml:space="preserve"> ،</w:t>
      </w:r>
      <w:r w:rsidRPr="009A072C">
        <w:rPr>
          <w:rFonts w:cs="Traditional Arabic" w:hint="cs"/>
          <w:color w:val="000000"/>
          <w:sz w:val="24"/>
          <w:szCs w:val="28"/>
          <w:rtl/>
        </w:rPr>
        <w:t xml:space="preserve"> ولكن رهنه يشمل عقارات أخرى</w:t>
      </w:r>
      <w:r>
        <w:rPr>
          <w:rFonts w:cs="Traditional Arabic" w:hint="cs"/>
          <w:color w:val="000000"/>
          <w:sz w:val="24"/>
          <w:szCs w:val="28"/>
          <w:rtl/>
        </w:rPr>
        <w:t xml:space="preserve"> ،</w:t>
      </w:r>
      <w:r w:rsidRPr="009A072C">
        <w:rPr>
          <w:rFonts w:cs="Traditional Arabic" w:hint="cs"/>
          <w:color w:val="000000"/>
          <w:sz w:val="24"/>
          <w:szCs w:val="28"/>
          <w:rtl/>
        </w:rPr>
        <w:t xml:space="preserve"> فإن الدائن الذي لم يتمكن من استيفاء حقه يحل في الرهن على هذه العقارات الأخرى محل الدائن الذي دفع له الثمن</w:t>
      </w:r>
      <w:r>
        <w:rPr>
          <w:rFonts w:cs="Traditional Arabic" w:hint="cs"/>
          <w:color w:val="000000"/>
          <w:sz w:val="24"/>
          <w:szCs w:val="28"/>
          <w:rtl/>
        </w:rPr>
        <w:t xml:space="preserve"> .</w:t>
      </w:r>
      <w:r w:rsidRPr="009A072C">
        <w:rPr>
          <w:rFonts w:cs="Traditional Arabic" w:hint="cs"/>
          <w:color w:val="000000"/>
          <w:sz w:val="24"/>
          <w:szCs w:val="28"/>
          <w:rtl/>
        </w:rPr>
        <w:t xml:space="preserve"> وعليه أن يؤثر بهذا الحلول ليتمكن من مباشرة دعوى الرهن</w:t>
      </w:r>
      <w:r>
        <w:rPr>
          <w:rFonts w:cs="Traditional Arabic" w:hint="cs"/>
          <w:color w:val="000000"/>
          <w:sz w:val="24"/>
          <w:szCs w:val="28"/>
          <w:rtl/>
        </w:rPr>
        <w:t xml:space="preserve"> ،</w:t>
      </w:r>
      <w:r w:rsidRPr="009A072C">
        <w:rPr>
          <w:rFonts w:cs="Traditional Arabic" w:hint="cs"/>
          <w:color w:val="000000"/>
          <w:sz w:val="24"/>
          <w:szCs w:val="28"/>
          <w:rtl/>
        </w:rPr>
        <w:t xml:space="preserve"> متقدما بمرتبة رهنه الأول على الدائنين نفس الحق إذا هم لم يستطيعوا أيضاً استيفاء حقوقهم بسبب هذا الحلول</w:t>
      </w:r>
      <w:r>
        <w:rPr>
          <w:rFonts w:cs="Traditional Arabic" w:hint="cs"/>
          <w:color w:val="000000"/>
          <w:sz w:val="24"/>
          <w:szCs w:val="28"/>
          <w:rtl/>
        </w:rPr>
        <w:t xml:space="preserve"> .</w:t>
      </w:r>
      <w:r w:rsidRPr="009A072C">
        <w:rPr>
          <w:rFonts w:cs="Traditional Arabic" w:hint="cs"/>
          <w:color w:val="000000"/>
          <w:sz w:val="24"/>
          <w:szCs w:val="28"/>
          <w:rtl/>
        </w:rPr>
        <w:t xml:space="preserve"> 2- ومع ذلك لا يجوز استعمال حق الحلول على عقار تصرف فيه المدين في تاريخ سابق على قيد رهن الدائن الذي لم يتمكن من استيفاء حقه</w:t>
      </w:r>
      <w:r>
        <w:rPr>
          <w:rFonts w:cs="Traditional Arabic" w:hint="cs"/>
          <w:color w:val="000000"/>
          <w:sz w:val="24"/>
          <w:szCs w:val="28"/>
          <w:rtl/>
        </w:rPr>
        <w:t xml:space="preserve"> ،</w:t>
      </w:r>
      <w:r w:rsidRPr="009A072C">
        <w:rPr>
          <w:rFonts w:cs="Traditional Arabic" w:hint="cs"/>
          <w:color w:val="000000"/>
          <w:sz w:val="24"/>
          <w:szCs w:val="28"/>
          <w:rtl/>
        </w:rPr>
        <w:t xml:space="preserve"> أو على عقار رهنه شخص آخر غير المدين"</w:t>
      </w:r>
      <w:r>
        <w:rPr>
          <w:rFonts w:cs="Traditional Arabic" w:hint="cs"/>
          <w:color w:val="000000"/>
          <w:sz w:val="24"/>
          <w:szCs w:val="28"/>
          <w:rtl/>
        </w:rPr>
        <w:t xml:space="preserve"> .</w:t>
      </w:r>
      <w:r w:rsidRPr="009A072C">
        <w:rPr>
          <w:rFonts w:cs="Traditional Arabic" w:hint="cs"/>
          <w:color w:val="000000"/>
          <w:sz w:val="24"/>
          <w:szCs w:val="28"/>
          <w:rtl/>
        </w:rPr>
        <w:t xml:space="preserve"> غير أن لجنة مجلس الشيوخ حذفت هذه المادة "لتفادي الصعوبات العملية التي تعرض في تطبيق أحكامها</w:t>
      </w:r>
      <w:r>
        <w:rPr>
          <w:rFonts w:cs="Traditional Arabic" w:hint="cs"/>
          <w:color w:val="000000"/>
          <w:sz w:val="24"/>
          <w:szCs w:val="28"/>
          <w:rtl/>
        </w:rPr>
        <w:t xml:space="preserve"> ،</w:t>
      </w:r>
      <w:r w:rsidRPr="009A072C">
        <w:rPr>
          <w:rFonts w:cs="Traditional Arabic" w:hint="cs"/>
          <w:color w:val="000000"/>
          <w:sz w:val="24"/>
          <w:szCs w:val="28"/>
          <w:rtl/>
        </w:rPr>
        <w:t xml:space="preserve"> وترك الأمر للقواعد العامة"</w:t>
      </w:r>
      <w:r>
        <w:rPr>
          <w:rFonts w:cs="Traditional Arabic" w:hint="cs"/>
          <w:color w:val="000000"/>
          <w:sz w:val="24"/>
          <w:szCs w:val="28"/>
          <w:rtl/>
        </w:rPr>
        <w:t xml:space="preserve"> .</w:t>
      </w:r>
      <w:r w:rsidRPr="009A072C">
        <w:rPr>
          <w:rFonts w:cs="Traditional Arabic" w:hint="cs"/>
          <w:color w:val="000000"/>
          <w:sz w:val="24"/>
          <w:szCs w:val="28"/>
          <w:rtl/>
        </w:rPr>
        <w:t xml:space="preserve"> ووافق مجلس الشيوخ على ذلك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86 </w:t>
      </w:r>
      <w:r w:rsidRPr="009A072C">
        <w:rPr>
          <w:rFonts w:cs="Traditional Arabic"/>
          <w:color w:val="000000"/>
          <w:sz w:val="24"/>
          <w:szCs w:val="28"/>
          <w:rtl/>
        </w:rPr>
        <w:t>–</w:t>
      </w:r>
      <w:r w:rsidRPr="009A072C">
        <w:rPr>
          <w:rFonts w:cs="Traditional Arabic" w:hint="cs"/>
          <w:color w:val="000000"/>
          <w:sz w:val="24"/>
          <w:szCs w:val="28"/>
          <w:rtl/>
        </w:rPr>
        <w:t xml:space="preserve"> ص 89 في الهامش</w:t>
      </w:r>
      <w:r>
        <w:rPr>
          <w:rFonts w:cs="Traditional Arabic" w:hint="cs"/>
          <w:color w:val="000000"/>
          <w:sz w:val="24"/>
          <w:szCs w:val="28"/>
          <w:rtl/>
        </w:rPr>
        <w:t xml:space="preserve"> ) .</w:t>
      </w:r>
    </w:p>
  </w:footnote>
  <w:footnote w:id="106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1482 من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مجلس النواب تحت رقم 1147</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1059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90 </w:t>
      </w:r>
      <w:r w:rsidRPr="009A072C">
        <w:rPr>
          <w:rFonts w:cs="Traditional Arabic"/>
          <w:color w:val="000000"/>
          <w:sz w:val="24"/>
          <w:szCs w:val="28"/>
          <w:rtl/>
        </w:rPr>
        <w:t>–</w:t>
      </w:r>
      <w:r w:rsidRPr="009A072C">
        <w:rPr>
          <w:rFonts w:cs="Traditional Arabic" w:hint="cs"/>
          <w:color w:val="000000"/>
          <w:sz w:val="24"/>
          <w:szCs w:val="28"/>
          <w:rtl/>
        </w:rPr>
        <w:t xml:space="preserve"> ص 92</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b/>
          <w:b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06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91</w:t>
      </w:r>
      <w:r>
        <w:rPr>
          <w:rFonts w:cs="Traditional Arabic" w:hint="cs"/>
          <w:color w:val="000000"/>
          <w:sz w:val="24"/>
          <w:szCs w:val="28"/>
          <w:rtl/>
        </w:rPr>
        <w:t xml:space="preserve"> .</w:t>
      </w:r>
    </w:p>
  </w:footnote>
  <w:footnote w:id="106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عبد الفتاح عبد الباقي فقرة 483 </w:t>
      </w:r>
      <w:r w:rsidRPr="009A072C">
        <w:rPr>
          <w:rFonts w:cs="Traditional Arabic"/>
          <w:color w:val="000000"/>
          <w:sz w:val="24"/>
          <w:szCs w:val="28"/>
          <w:rtl/>
        </w:rPr>
        <w:t>–</w:t>
      </w:r>
      <w:r w:rsidRPr="009A072C">
        <w:rPr>
          <w:rFonts w:cs="Traditional Arabic" w:hint="cs"/>
          <w:color w:val="000000"/>
          <w:sz w:val="24"/>
          <w:szCs w:val="28"/>
          <w:rtl/>
        </w:rPr>
        <w:t xml:space="preserve"> عبد المنعم فرج الصدة فقرة 126 ص 167 </w:t>
      </w:r>
      <w:r w:rsidRPr="009A072C">
        <w:rPr>
          <w:rFonts w:cs="Traditional Arabic"/>
          <w:color w:val="000000"/>
          <w:sz w:val="24"/>
          <w:szCs w:val="28"/>
          <w:rtl/>
        </w:rPr>
        <w:t>–</w:t>
      </w:r>
      <w:r w:rsidRPr="009A072C">
        <w:rPr>
          <w:rFonts w:cs="Traditional Arabic" w:hint="cs"/>
          <w:color w:val="000000"/>
          <w:sz w:val="24"/>
          <w:szCs w:val="28"/>
          <w:rtl/>
        </w:rPr>
        <w:t xml:space="preserve"> منصور مصطفى منصور فقرة 59 ص 123</w:t>
      </w:r>
      <w:r>
        <w:rPr>
          <w:rFonts w:cs="Traditional Arabic" w:hint="cs"/>
          <w:color w:val="000000"/>
          <w:sz w:val="24"/>
          <w:szCs w:val="28"/>
          <w:rtl/>
        </w:rPr>
        <w:t xml:space="preserve"> .</w:t>
      </w:r>
    </w:p>
  </w:footnote>
  <w:footnote w:id="106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ويجوز الدفع بأن الرهن هو الباطل مع صحة الدين</w:t>
      </w:r>
      <w:r>
        <w:rPr>
          <w:rFonts w:cs="Traditional Arabic" w:hint="cs"/>
          <w:color w:val="000000"/>
          <w:sz w:val="24"/>
          <w:szCs w:val="28"/>
          <w:rtl/>
        </w:rPr>
        <w:t xml:space="preserve"> ،</w:t>
      </w:r>
      <w:r w:rsidRPr="009A072C">
        <w:rPr>
          <w:rFonts w:cs="Traditional Arabic" w:hint="cs"/>
          <w:color w:val="000000"/>
          <w:sz w:val="24"/>
          <w:szCs w:val="28"/>
          <w:rtl/>
        </w:rPr>
        <w:t xml:space="preserve"> أو بأن الرهن قابل للإبطال وقد أبطل</w:t>
      </w:r>
      <w:r>
        <w:rPr>
          <w:rFonts w:cs="Traditional Arabic" w:hint="cs"/>
          <w:color w:val="000000"/>
          <w:sz w:val="24"/>
          <w:szCs w:val="28"/>
          <w:rtl/>
        </w:rPr>
        <w:t xml:space="preserve"> ،</w:t>
      </w:r>
      <w:r w:rsidRPr="009A072C">
        <w:rPr>
          <w:rFonts w:cs="Traditional Arabic" w:hint="cs"/>
          <w:color w:val="000000"/>
          <w:sz w:val="24"/>
          <w:szCs w:val="28"/>
          <w:rtl/>
        </w:rPr>
        <w:t xml:space="preserve"> أو بأن الرهن قد اقتضى بالنزول عنه أو بغير ذلك من أسباب الانقضاء</w:t>
      </w:r>
      <w:r>
        <w:rPr>
          <w:rFonts w:cs="Traditional Arabic" w:hint="cs"/>
          <w:color w:val="000000"/>
          <w:sz w:val="24"/>
          <w:szCs w:val="28"/>
          <w:rtl/>
        </w:rPr>
        <w:t xml:space="preserve"> ،</w:t>
      </w:r>
      <w:r w:rsidRPr="009A072C">
        <w:rPr>
          <w:rFonts w:cs="Traditional Arabic" w:hint="cs"/>
          <w:color w:val="000000"/>
          <w:sz w:val="24"/>
          <w:szCs w:val="28"/>
          <w:rtl/>
        </w:rPr>
        <w:t xml:space="preserve"> دون أن ينقضي الدين</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ويجوز الدفع بأن القيد باطل</w:t>
      </w:r>
      <w:r>
        <w:rPr>
          <w:rFonts w:cs="Traditional Arabic" w:hint="cs"/>
          <w:color w:val="000000"/>
          <w:sz w:val="24"/>
          <w:szCs w:val="28"/>
          <w:rtl/>
        </w:rPr>
        <w:t xml:space="preserve"> ،</w:t>
      </w:r>
      <w:r w:rsidRPr="009A072C">
        <w:rPr>
          <w:rFonts w:cs="Traditional Arabic" w:hint="cs"/>
          <w:color w:val="000000"/>
          <w:sz w:val="24"/>
          <w:szCs w:val="28"/>
          <w:rtl/>
        </w:rPr>
        <w:t xml:space="preserve"> أو بأنه قد زال لأي سبب من أسباب الزوال</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وكل دفع كان يصلح ضد المتنازل يصلح ضد المتنازل له</w:t>
      </w:r>
      <w:r>
        <w:rPr>
          <w:rFonts w:cs="Traditional Arabic" w:hint="cs"/>
          <w:color w:val="000000"/>
          <w:sz w:val="24"/>
          <w:szCs w:val="28"/>
          <w:rtl/>
        </w:rPr>
        <w:t xml:space="preserve"> ،</w:t>
      </w:r>
      <w:r w:rsidRPr="009A072C">
        <w:rPr>
          <w:rFonts w:cs="Traditional Arabic" w:hint="cs"/>
          <w:color w:val="000000"/>
          <w:sz w:val="24"/>
          <w:szCs w:val="28"/>
          <w:rtl/>
        </w:rPr>
        <w:t xml:space="preserve"> لأن الدين واحد وقد انتقل بمرتبته العليا إلى المتنازل له</w:t>
      </w:r>
      <w:r>
        <w:rPr>
          <w:rFonts w:cs="Traditional Arabic" w:hint="cs"/>
          <w:color w:val="000000"/>
          <w:sz w:val="24"/>
          <w:szCs w:val="28"/>
          <w:rtl/>
        </w:rPr>
        <w:t xml:space="preserve"> .</w:t>
      </w:r>
    </w:p>
  </w:footnote>
  <w:footnote w:id="106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قرب بلانيول وريبير وبولانجيه 2 فقرة 4010</w:t>
      </w:r>
      <w:r>
        <w:rPr>
          <w:rFonts w:cs="Traditional Arabic" w:hint="cs"/>
          <w:color w:val="000000"/>
          <w:sz w:val="24"/>
          <w:szCs w:val="28"/>
          <w:rtl/>
        </w:rPr>
        <w:t xml:space="preserve"> .</w:t>
      </w:r>
    </w:p>
  </w:footnote>
  <w:footnote w:id="106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125 ص 197- وقد قضت محكمة الاستئناف المختلطة بأنه إذا كان النزول عن مرتبة الرهن باطلا لأي سبب متعلق بالشكل أو بالموضوع</w:t>
      </w:r>
      <w:r>
        <w:rPr>
          <w:rFonts w:cs="Traditional Arabic" w:hint="cs"/>
          <w:color w:val="000000"/>
          <w:sz w:val="24"/>
          <w:szCs w:val="28"/>
          <w:rtl/>
        </w:rPr>
        <w:t xml:space="preserve"> ،</w:t>
      </w:r>
      <w:r w:rsidRPr="009A072C">
        <w:rPr>
          <w:rFonts w:cs="Traditional Arabic" w:hint="cs"/>
          <w:color w:val="000000"/>
          <w:sz w:val="24"/>
          <w:szCs w:val="28"/>
          <w:rtl/>
        </w:rPr>
        <w:t xml:space="preserve"> فلا يجوز أن يترتب على ذلك استبعاد الدينين من التوزيع</w:t>
      </w:r>
      <w:r>
        <w:rPr>
          <w:rFonts w:cs="Traditional Arabic" w:hint="cs"/>
          <w:color w:val="000000"/>
          <w:sz w:val="24"/>
          <w:szCs w:val="28"/>
          <w:rtl/>
        </w:rPr>
        <w:t xml:space="preserve"> ،</w:t>
      </w:r>
      <w:r w:rsidRPr="009A072C">
        <w:rPr>
          <w:rFonts w:cs="Traditional Arabic" w:hint="cs"/>
          <w:color w:val="000000"/>
          <w:sz w:val="24"/>
          <w:szCs w:val="28"/>
          <w:rtl/>
        </w:rPr>
        <w:t xml:space="preserve"> بل يعتبر النزول كأن لم يكن</w:t>
      </w:r>
      <w:r>
        <w:rPr>
          <w:rFonts w:cs="Traditional Arabic" w:hint="cs"/>
          <w:color w:val="000000"/>
          <w:sz w:val="24"/>
          <w:szCs w:val="28"/>
          <w:rtl/>
        </w:rPr>
        <w:t xml:space="preserve"> ،</w:t>
      </w:r>
      <w:r w:rsidRPr="009A072C">
        <w:rPr>
          <w:rFonts w:cs="Traditional Arabic" w:hint="cs"/>
          <w:color w:val="000000"/>
          <w:sz w:val="24"/>
          <w:szCs w:val="28"/>
          <w:rtl/>
        </w:rPr>
        <w:t xml:space="preserve"> وحساب كل من الدينين وفق ترتيبه الأصلي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أول فبراير سنة </w:t>
      </w:r>
      <w:smartTag w:uri="urn:schemas-microsoft-com:office:smarttags" w:element="metricconverter">
        <w:smartTagPr>
          <w:attr w:name="ProductID" w:val="1927 م"/>
        </w:smartTagPr>
        <w:r w:rsidRPr="009A072C">
          <w:rPr>
            <w:rFonts w:cs="Traditional Arabic" w:hint="cs"/>
            <w:color w:val="000000"/>
            <w:sz w:val="24"/>
            <w:szCs w:val="28"/>
            <w:rtl/>
          </w:rPr>
          <w:t>1927 م</w:t>
        </w:r>
      </w:smartTag>
      <w:r w:rsidRPr="009A072C">
        <w:rPr>
          <w:rFonts w:cs="Traditional Arabic" w:hint="cs"/>
          <w:color w:val="000000"/>
          <w:sz w:val="24"/>
          <w:szCs w:val="28"/>
          <w:rtl/>
        </w:rPr>
        <w:t xml:space="preserve"> 39 ص 206</w:t>
      </w:r>
      <w:r>
        <w:rPr>
          <w:rFonts w:cs="Traditional Arabic" w:hint="cs"/>
          <w:color w:val="000000"/>
          <w:sz w:val="24"/>
          <w:szCs w:val="28"/>
          <w:rtl/>
        </w:rPr>
        <w:t xml:space="preserve"> ) .</w:t>
      </w:r>
    </w:p>
  </w:footnote>
  <w:footnote w:id="106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125 ص 197</w:t>
      </w:r>
      <w:r>
        <w:rPr>
          <w:rFonts w:cs="Traditional Arabic" w:hint="cs"/>
          <w:color w:val="000000"/>
          <w:sz w:val="24"/>
          <w:szCs w:val="28"/>
          <w:rtl/>
        </w:rPr>
        <w:t xml:space="preserve"> .</w:t>
      </w:r>
    </w:p>
  </w:footnote>
  <w:footnote w:id="107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1483 من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1162 في المروع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1148</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1060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93 </w:t>
      </w:r>
      <w:r w:rsidRPr="009A072C">
        <w:rPr>
          <w:rFonts w:cs="Traditional Arabic"/>
          <w:color w:val="000000"/>
          <w:sz w:val="24"/>
          <w:szCs w:val="28"/>
          <w:rtl/>
        </w:rPr>
        <w:t>–</w:t>
      </w:r>
      <w:r w:rsidRPr="009A072C">
        <w:rPr>
          <w:rFonts w:cs="Traditional Arabic" w:hint="cs"/>
          <w:color w:val="000000"/>
          <w:sz w:val="24"/>
          <w:szCs w:val="28"/>
          <w:rtl/>
        </w:rPr>
        <w:t xml:space="preserve"> ص 95</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574 / 697 فقرة ثانية</w:t>
      </w:r>
      <w:r>
        <w:rPr>
          <w:rFonts w:cs="Traditional Arabic" w:hint="cs"/>
          <w:color w:val="000000"/>
          <w:sz w:val="24"/>
          <w:szCs w:val="28"/>
          <w:rtl/>
        </w:rPr>
        <w:t xml:space="preserve"> :</w:t>
      </w:r>
      <w:r w:rsidRPr="009A072C">
        <w:rPr>
          <w:rFonts w:cs="Traditional Arabic" w:hint="cs"/>
          <w:color w:val="000000"/>
          <w:sz w:val="24"/>
          <w:szCs w:val="28"/>
          <w:rtl/>
        </w:rPr>
        <w:t xml:space="preserve"> ومع ذلك إذا كان العقار في يد حائز آخر</w:t>
      </w:r>
      <w:r>
        <w:rPr>
          <w:rFonts w:cs="Traditional Arabic" w:hint="cs"/>
          <w:color w:val="000000"/>
          <w:sz w:val="24"/>
          <w:szCs w:val="28"/>
          <w:rtl/>
        </w:rPr>
        <w:t xml:space="preserve"> ،</w:t>
      </w:r>
      <w:r w:rsidRPr="009A072C">
        <w:rPr>
          <w:rFonts w:cs="Traditional Arabic" w:hint="cs"/>
          <w:color w:val="000000"/>
          <w:sz w:val="24"/>
          <w:szCs w:val="28"/>
          <w:rtl/>
        </w:rPr>
        <w:t xml:space="preserve"> لا يجوز للدائن المرتهن أن يشرع في نزع ملكيته إلا بعد التنبيه على الحائز  المذكور تنبيها رسميا بدفع الدين أو بتخلية العقار</w:t>
      </w:r>
      <w:r>
        <w:rPr>
          <w:rFonts w:cs="Traditional Arabic" w:hint="cs"/>
          <w:color w:val="000000"/>
          <w:sz w:val="24"/>
          <w:szCs w:val="28"/>
          <w:rtl/>
        </w:rPr>
        <w:t xml:space="preserve"> ،</w:t>
      </w:r>
      <w:r w:rsidRPr="009A072C">
        <w:rPr>
          <w:rFonts w:cs="Traditional Arabic" w:hint="cs"/>
          <w:color w:val="000000"/>
          <w:sz w:val="24"/>
          <w:szCs w:val="28"/>
          <w:rtl/>
        </w:rPr>
        <w:t xml:space="preserve"> وبعد مضي الثلاثين يوما المقررة في قانون المرافعات للتنبيه بالوفاء والإنذار بنزع الملكية</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575 / 698</w:t>
      </w:r>
      <w:r>
        <w:rPr>
          <w:rFonts w:cs="Traditional Arabic" w:hint="cs"/>
          <w:color w:val="000000"/>
          <w:sz w:val="24"/>
          <w:szCs w:val="28"/>
          <w:rtl/>
        </w:rPr>
        <w:t xml:space="preserve"> :</w:t>
      </w:r>
      <w:r w:rsidRPr="009A072C">
        <w:rPr>
          <w:rFonts w:cs="Traditional Arabic" w:hint="cs"/>
          <w:color w:val="000000"/>
          <w:sz w:val="24"/>
          <w:szCs w:val="28"/>
          <w:rtl/>
        </w:rPr>
        <w:t xml:space="preserve"> وللحائز المذكور الخيار في أن يدفع الدين ويحل محل الدائن في حقوقه</w:t>
      </w:r>
      <w:r>
        <w:rPr>
          <w:rFonts w:cs="Traditional Arabic" w:hint="cs"/>
          <w:color w:val="000000"/>
          <w:sz w:val="24"/>
          <w:szCs w:val="28"/>
          <w:rtl/>
        </w:rPr>
        <w:t xml:space="preserve"> ،</w:t>
      </w:r>
      <w:r w:rsidRPr="009A072C">
        <w:rPr>
          <w:rFonts w:cs="Traditional Arabic" w:hint="cs"/>
          <w:color w:val="000000"/>
          <w:sz w:val="24"/>
          <w:szCs w:val="28"/>
          <w:rtl/>
        </w:rPr>
        <w:t xml:space="preserve"> أو أن يعرض لوفاء الديون مبلغاً بقدر به قيمة العقار ولا يجوز أن يكون اقل من الباقي في ذمته من ثمنه</w:t>
      </w:r>
      <w:r>
        <w:rPr>
          <w:rFonts w:cs="Traditional Arabic" w:hint="cs"/>
          <w:color w:val="000000"/>
          <w:sz w:val="24"/>
          <w:szCs w:val="28"/>
          <w:rtl/>
        </w:rPr>
        <w:t xml:space="preserve"> ،</w:t>
      </w:r>
      <w:r w:rsidRPr="009A072C">
        <w:rPr>
          <w:rFonts w:cs="Traditional Arabic" w:hint="cs"/>
          <w:color w:val="000000"/>
          <w:sz w:val="24"/>
          <w:szCs w:val="28"/>
          <w:rtl/>
        </w:rPr>
        <w:t xml:space="preserve"> أو يخلي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أو يتحمل الإجراءات الرسمية المتعلقة بنزع الملكية</w:t>
      </w:r>
      <w:r>
        <w:rPr>
          <w:rFonts w:cs="Traditional Arabic" w:hint="cs"/>
          <w:color w:val="000000"/>
          <w:sz w:val="24"/>
          <w:szCs w:val="28"/>
          <w:rtl/>
        </w:rPr>
        <w:t xml:space="preserve"> .</w:t>
      </w:r>
    </w:p>
  </w:footnote>
  <w:footnote w:id="107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94 </w:t>
      </w:r>
      <w:r w:rsidRPr="009A072C">
        <w:rPr>
          <w:rFonts w:cs="Traditional Arabic"/>
          <w:color w:val="000000"/>
          <w:sz w:val="24"/>
          <w:szCs w:val="28"/>
          <w:rtl/>
        </w:rPr>
        <w:t>–</w:t>
      </w:r>
      <w:r w:rsidRPr="009A072C">
        <w:rPr>
          <w:rFonts w:cs="Traditional Arabic" w:hint="cs"/>
          <w:color w:val="000000"/>
          <w:sz w:val="24"/>
          <w:szCs w:val="28"/>
          <w:rtl/>
        </w:rPr>
        <w:t xml:space="preserve"> ص 95</w:t>
      </w:r>
      <w:r>
        <w:rPr>
          <w:rFonts w:cs="Traditional Arabic" w:hint="cs"/>
          <w:color w:val="000000"/>
          <w:sz w:val="24"/>
          <w:szCs w:val="28"/>
          <w:rtl/>
        </w:rPr>
        <w:t xml:space="preserve"> .</w:t>
      </w:r>
    </w:p>
  </w:footnote>
  <w:footnote w:id="107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النقض بأن إنذار الحائز يكون واجبا في صورة ما إذا كان لهذا الحائز وجود</w:t>
      </w:r>
      <w:r>
        <w:rPr>
          <w:rFonts w:cs="Traditional Arabic" w:hint="cs"/>
          <w:color w:val="000000"/>
          <w:sz w:val="24"/>
          <w:szCs w:val="28"/>
          <w:rtl/>
        </w:rPr>
        <w:t xml:space="preserve"> ،</w:t>
      </w:r>
      <w:r w:rsidRPr="009A072C">
        <w:rPr>
          <w:rFonts w:cs="Traditional Arabic" w:hint="cs"/>
          <w:color w:val="000000"/>
          <w:sz w:val="24"/>
          <w:szCs w:val="28"/>
          <w:rtl/>
        </w:rPr>
        <w:t xml:space="preserve"> في ذلك الظرف الزمني الذي ينبه فيه الدائن المرتهن على مدينه بالوفاء وينذره بنزع الملكية </w:t>
      </w:r>
      <w:r>
        <w:rPr>
          <w:rFonts w:cs="Traditional Arabic" w:hint="cs"/>
          <w:color w:val="000000"/>
          <w:sz w:val="24"/>
          <w:szCs w:val="28"/>
          <w:rtl/>
        </w:rPr>
        <w:t xml:space="preserve">( </w:t>
      </w:r>
      <w:r w:rsidRPr="009A072C">
        <w:rPr>
          <w:rFonts w:cs="Traditional Arabic" w:hint="cs"/>
          <w:color w:val="000000"/>
          <w:sz w:val="24"/>
          <w:szCs w:val="28"/>
          <w:rtl/>
        </w:rPr>
        <w:t>نقض مدني 19 ديسمبر سنة 1935 مجموعة عمر 1 ص 988</w:t>
      </w:r>
      <w:r>
        <w:rPr>
          <w:rFonts w:cs="Traditional Arabic" w:hint="cs"/>
          <w:color w:val="000000"/>
          <w:sz w:val="24"/>
          <w:szCs w:val="28"/>
          <w:rtl/>
        </w:rPr>
        <w:t xml:space="preserve"> ) .</w:t>
      </w:r>
    </w:p>
  </w:footnote>
  <w:footnote w:id="107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المذكرة الإيضاحية للمشروع التمهيدي آنفاً فقرة 261</w:t>
      </w:r>
      <w:r>
        <w:rPr>
          <w:rFonts w:cs="Traditional Arabic" w:hint="cs"/>
          <w:color w:val="000000"/>
          <w:sz w:val="24"/>
          <w:szCs w:val="28"/>
          <w:rtl/>
        </w:rPr>
        <w:t xml:space="preserve"> .</w:t>
      </w:r>
    </w:p>
  </w:footnote>
  <w:footnote w:id="107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كذلك المادة </w:t>
      </w:r>
      <w:smartTag w:uri="urn:schemas-microsoft-com:office:smarttags" w:element="metricconverter">
        <w:smartTagPr>
          <w:attr w:name="ProductID" w:val="7 م"/>
        </w:smartTagPr>
        <w:r w:rsidRPr="009A072C">
          <w:rPr>
            <w:rFonts w:cs="Traditional Arabic" w:hint="cs"/>
            <w:color w:val="000000"/>
            <w:sz w:val="24"/>
            <w:szCs w:val="28"/>
            <w:rtl/>
          </w:rPr>
          <w:t>7 م</w:t>
        </w:r>
      </w:smartTag>
      <w:r w:rsidRPr="009A072C">
        <w:rPr>
          <w:rFonts w:cs="Traditional Arabic" w:hint="cs"/>
          <w:color w:val="000000"/>
          <w:sz w:val="24"/>
          <w:szCs w:val="28"/>
          <w:rtl/>
        </w:rPr>
        <w:t xml:space="preserve"> قانون الإصلاح الزراعي</w:t>
      </w:r>
      <w:r>
        <w:rPr>
          <w:rFonts w:cs="Traditional Arabic" w:hint="cs"/>
          <w:color w:val="000000"/>
          <w:sz w:val="24"/>
          <w:szCs w:val="28"/>
          <w:rtl/>
        </w:rPr>
        <w:t xml:space="preserve"> :</w:t>
      </w:r>
      <w:r w:rsidRPr="009A072C">
        <w:rPr>
          <w:rFonts w:cs="Traditional Arabic" w:hint="cs"/>
          <w:color w:val="000000"/>
          <w:sz w:val="24"/>
          <w:szCs w:val="28"/>
          <w:rtl/>
        </w:rPr>
        <w:t xml:space="preserve"> "إذا كانت الأرض التي استولت عليها الحكومة مثقلة بحق رهن أو اختصاص أو امتياز</w:t>
      </w:r>
      <w:r>
        <w:rPr>
          <w:rFonts w:cs="Traditional Arabic" w:hint="cs"/>
          <w:color w:val="000000"/>
          <w:sz w:val="24"/>
          <w:szCs w:val="28"/>
          <w:rtl/>
        </w:rPr>
        <w:t xml:space="preserve"> ،</w:t>
      </w:r>
      <w:r w:rsidRPr="009A072C">
        <w:rPr>
          <w:rFonts w:cs="Traditional Arabic" w:hint="cs"/>
          <w:color w:val="000000"/>
          <w:sz w:val="24"/>
          <w:szCs w:val="28"/>
          <w:rtl/>
        </w:rPr>
        <w:t xml:space="preserve"> استنزل من قيمة المستحق لصاحب الأرض ما يعادل كامل الدين المضمون بهذا الحق</w:t>
      </w:r>
      <w:r>
        <w:rPr>
          <w:rFonts w:cs="Traditional Arabic" w:hint="cs"/>
          <w:color w:val="000000"/>
          <w:sz w:val="24"/>
          <w:szCs w:val="28"/>
          <w:rtl/>
        </w:rPr>
        <w:t xml:space="preserve"> .</w:t>
      </w:r>
      <w:r w:rsidRPr="009A072C">
        <w:rPr>
          <w:rFonts w:cs="Traditional Arabic" w:hint="cs"/>
          <w:color w:val="000000"/>
          <w:sz w:val="24"/>
          <w:szCs w:val="28"/>
          <w:rtl/>
        </w:rPr>
        <w:t xml:space="preserve"> وللحكومة</w:t>
      </w:r>
      <w:r>
        <w:rPr>
          <w:rFonts w:cs="Traditional Arabic" w:hint="cs"/>
          <w:color w:val="000000"/>
          <w:sz w:val="24"/>
          <w:szCs w:val="28"/>
          <w:rtl/>
        </w:rPr>
        <w:t xml:space="preserve"> ،</w:t>
      </w:r>
      <w:r w:rsidRPr="009A072C">
        <w:rPr>
          <w:rFonts w:cs="Traditional Arabic" w:hint="cs"/>
          <w:color w:val="000000"/>
          <w:sz w:val="24"/>
          <w:szCs w:val="28"/>
          <w:rtl/>
        </w:rPr>
        <w:t xml:space="preserve"> إذا ل تحل محل الدين أن تستبدل بها سندات عليها بفائدة تعادل فائدة الدين</w:t>
      </w:r>
      <w:r>
        <w:rPr>
          <w:rFonts w:cs="Traditional Arabic" w:hint="cs"/>
          <w:color w:val="000000"/>
          <w:sz w:val="24"/>
          <w:szCs w:val="28"/>
          <w:rtl/>
        </w:rPr>
        <w:t xml:space="preserve"> ،</w:t>
      </w:r>
      <w:r w:rsidRPr="009A072C">
        <w:rPr>
          <w:rFonts w:cs="Traditional Arabic" w:hint="cs"/>
          <w:color w:val="000000"/>
          <w:sz w:val="24"/>
          <w:szCs w:val="28"/>
          <w:rtl/>
        </w:rPr>
        <w:t xml:space="preserve"> على أن تستهلك هذه السندات في مدة لا تزيد عن ثلاثين سنة </w:t>
      </w:r>
      <w:r>
        <w:rPr>
          <w:rFonts w:cs="Traditional Arabic" w:hint="cs"/>
          <w:color w:val="000000"/>
          <w:sz w:val="24"/>
          <w:szCs w:val="28"/>
          <w:rtl/>
        </w:rPr>
        <w:t xml:space="preserve"> . . .</w:t>
      </w:r>
      <w:r w:rsidRPr="009A072C">
        <w:rPr>
          <w:rFonts w:cs="Traditional Arabic" w:hint="cs"/>
          <w:color w:val="000000"/>
          <w:sz w:val="24"/>
          <w:szCs w:val="28"/>
          <w:rtl/>
        </w:rPr>
        <w:t>"</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والقانون رقم 598 لسنة 1953 بشأن أموال أسرة محمد علي المصادرة م ينقل إلى الدولة ملكية العقارات مطهرة من الرهون المقررة عليها</w:t>
      </w:r>
      <w:r>
        <w:rPr>
          <w:rFonts w:cs="Traditional Arabic" w:hint="cs"/>
          <w:color w:val="000000"/>
          <w:sz w:val="24"/>
          <w:szCs w:val="28"/>
          <w:rtl/>
        </w:rPr>
        <w:t xml:space="preserve"> ،</w:t>
      </w:r>
      <w:r w:rsidRPr="009A072C">
        <w:rPr>
          <w:rFonts w:cs="Traditional Arabic" w:hint="cs"/>
          <w:color w:val="000000"/>
          <w:sz w:val="24"/>
          <w:szCs w:val="28"/>
          <w:rtl/>
        </w:rPr>
        <w:t xml:space="preserve"> وعلى ذلك يجوز للدائنين أن ينفذوا عليها في مواجهة لجنة تصفية الأموال المصادرة</w:t>
      </w:r>
      <w:r>
        <w:rPr>
          <w:rFonts w:cs="Traditional Arabic" w:hint="cs"/>
          <w:color w:val="000000"/>
          <w:sz w:val="24"/>
          <w:szCs w:val="28"/>
          <w:rtl/>
        </w:rPr>
        <w:t xml:space="preserve"> .</w:t>
      </w:r>
    </w:p>
  </w:footnote>
  <w:footnote w:id="107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ونصت المادة 411 من تقنين المرافعات الجديد على أنه "إذا كان العقار مثقلا بتأمين عينين وآل إلى حائز بعقد مسجل قبل تسجيل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وجب إنذاره بدفع الدين أو تخلية العقار وإلا جرى التنفيذ في مواجهته</w:t>
      </w:r>
      <w:r>
        <w:rPr>
          <w:rFonts w:cs="Traditional Arabic" w:hint="cs"/>
          <w:color w:val="000000"/>
          <w:sz w:val="24"/>
          <w:szCs w:val="28"/>
          <w:rtl/>
        </w:rPr>
        <w:t xml:space="preserve"> .</w:t>
      </w:r>
      <w:r w:rsidRPr="009A072C">
        <w:rPr>
          <w:rFonts w:cs="Traditional Arabic" w:hint="cs"/>
          <w:color w:val="000000"/>
          <w:sz w:val="24"/>
          <w:szCs w:val="28"/>
          <w:rtl/>
        </w:rPr>
        <w:t xml:space="preserve"> ويجب أن يكون الإنذار مصحوبا بتبليغ التنبيه إليه</w:t>
      </w:r>
      <w:r>
        <w:rPr>
          <w:rFonts w:cs="Traditional Arabic" w:hint="cs"/>
          <w:color w:val="000000"/>
          <w:sz w:val="24"/>
          <w:szCs w:val="28"/>
          <w:rtl/>
        </w:rPr>
        <w:t xml:space="preserve"> ،</w:t>
      </w:r>
      <w:r w:rsidRPr="009A072C">
        <w:rPr>
          <w:rFonts w:cs="Traditional Arabic" w:hint="cs"/>
          <w:color w:val="000000"/>
          <w:sz w:val="24"/>
          <w:szCs w:val="28"/>
          <w:rtl/>
        </w:rPr>
        <w:t xml:space="preserve"> وإلا كان باطلا</w:t>
      </w:r>
      <w:r>
        <w:rPr>
          <w:rFonts w:cs="Traditional Arabic" w:hint="cs"/>
          <w:color w:val="000000"/>
          <w:sz w:val="24"/>
          <w:szCs w:val="28"/>
          <w:rtl/>
        </w:rPr>
        <w:t xml:space="preserve"> .</w:t>
      </w:r>
      <w:r w:rsidRPr="009A072C">
        <w:rPr>
          <w:rFonts w:cs="Traditional Arabic" w:hint="cs"/>
          <w:color w:val="000000"/>
          <w:sz w:val="24"/>
          <w:szCs w:val="28"/>
          <w:rtl/>
        </w:rPr>
        <w:t xml:space="preserve"> ويترتب على إعلان الإنذار في حق الحائز</w:t>
      </w:r>
      <w:r>
        <w:rPr>
          <w:rFonts w:cs="Traditional Arabic" w:hint="cs"/>
          <w:color w:val="000000"/>
          <w:sz w:val="24"/>
          <w:szCs w:val="28"/>
          <w:rtl/>
        </w:rPr>
        <w:t xml:space="preserve"> ،</w:t>
      </w:r>
      <w:r w:rsidRPr="009A072C">
        <w:rPr>
          <w:rFonts w:cs="Traditional Arabic" w:hint="cs"/>
          <w:color w:val="000000"/>
          <w:sz w:val="24"/>
          <w:szCs w:val="28"/>
          <w:rtl/>
        </w:rPr>
        <w:t xml:space="preserve"> جميع الأحكام المنصوص عليها في المواد م 406 إلى 410"</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ونصت المادة 412 من تقنين المرافعات الجديد أيضاً على أنه "يجب أن يسجل الإنذار</w:t>
      </w:r>
      <w:r>
        <w:rPr>
          <w:rFonts w:cs="Traditional Arabic" w:hint="cs"/>
          <w:color w:val="000000"/>
          <w:sz w:val="24"/>
          <w:szCs w:val="28"/>
          <w:rtl/>
        </w:rPr>
        <w:t xml:space="preserve"> ،</w:t>
      </w:r>
      <w:r w:rsidRPr="009A072C">
        <w:rPr>
          <w:rFonts w:cs="Traditional Arabic" w:hint="cs"/>
          <w:color w:val="000000"/>
          <w:sz w:val="24"/>
          <w:szCs w:val="28"/>
          <w:rtl/>
        </w:rPr>
        <w:t xml:space="preserve"> وأن يؤشر بتسجيله على هامش تسجيل التنبيه خلال خمسة عشر يوما من تاريخ تسجيل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وإلا سقط تسجيل التنبيه"</w:t>
      </w:r>
      <w:r>
        <w:rPr>
          <w:rFonts w:cs="Traditional Arabic" w:hint="cs"/>
          <w:color w:val="000000"/>
          <w:sz w:val="24"/>
          <w:szCs w:val="28"/>
          <w:rtl/>
        </w:rPr>
        <w:t xml:space="preserve"> .</w:t>
      </w:r>
    </w:p>
  </w:footnote>
  <w:footnote w:id="107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أوجبت المادة 412 من تقنين المرافعات الجديد تسجيل الإنذار</w:t>
      </w:r>
      <w:r>
        <w:rPr>
          <w:rFonts w:cs="Traditional Arabic" w:hint="cs"/>
          <w:color w:val="000000"/>
          <w:sz w:val="24"/>
          <w:szCs w:val="28"/>
          <w:rtl/>
        </w:rPr>
        <w:t xml:space="preserve"> ،</w:t>
      </w:r>
      <w:r w:rsidRPr="009A072C">
        <w:rPr>
          <w:rFonts w:cs="Traditional Arabic" w:hint="cs"/>
          <w:color w:val="000000"/>
          <w:sz w:val="24"/>
          <w:szCs w:val="28"/>
          <w:rtl/>
        </w:rPr>
        <w:t xml:space="preserve"> والتأشير بالتسجيل على هامش تسجيل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وإلا سقط تسجيل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وليس المقصود من تسجيل الإنذار توقيع الحجز على اسم الحائز</w:t>
      </w:r>
      <w:r>
        <w:rPr>
          <w:rFonts w:cs="Traditional Arabic" w:hint="cs"/>
          <w:color w:val="000000"/>
          <w:sz w:val="24"/>
          <w:szCs w:val="28"/>
          <w:rtl/>
        </w:rPr>
        <w:t xml:space="preserve"> ،</w:t>
      </w:r>
      <w:r w:rsidRPr="009A072C">
        <w:rPr>
          <w:rFonts w:cs="Traditional Arabic" w:hint="cs"/>
          <w:color w:val="000000"/>
          <w:sz w:val="24"/>
          <w:szCs w:val="28"/>
          <w:rtl/>
        </w:rPr>
        <w:t xml:space="preserve"> فإن حجز العقار يتم بتسجيل التنبيه</w:t>
      </w:r>
      <w:r>
        <w:rPr>
          <w:rFonts w:cs="Traditional Arabic" w:hint="cs"/>
          <w:color w:val="000000"/>
          <w:sz w:val="24"/>
          <w:szCs w:val="28"/>
          <w:rtl/>
        </w:rPr>
        <w:t xml:space="preserve"> ،</w:t>
      </w:r>
      <w:r w:rsidRPr="009A072C">
        <w:rPr>
          <w:rFonts w:cs="Traditional Arabic" w:hint="cs"/>
          <w:color w:val="000000"/>
          <w:sz w:val="24"/>
          <w:szCs w:val="28"/>
          <w:rtl/>
        </w:rPr>
        <w:t xml:space="preserve"> ولكن المقصود به هو استيفاء إجراءات الشهر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حتى يتيسر لمن يتعامل مع الحائز أن يكون على بينة م أمر الإنذار</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ويلاحظ أن وقف الراهن بعد أن ارتهنه الدائن</w:t>
      </w:r>
      <w:r>
        <w:rPr>
          <w:rFonts w:cs="Traditional Arabic" w:hint="cs"/>
          <w:color w:val="000000"/>
          <w:sz w:val="24"/>
          <w:szCs w:val="28"/>
          <w:rtl/>
        </w:rPr>
        <w:t xml:space="preserve"> ،</w:t>
      </w:r>
      <w:r w:rsidRPr="009A072C">
        <w:rPr>
          <w:rFonts w:cs="Traditional Arabic" w:hint="cs"/>
          <w:color w:val="000000"/>
          <w:sz w:val="24"/>
          <w:szCs w:val="28"/>
          <w:rtl/>
        </w:rPr>
        <w:t xml:space="preserve"> يبيع لهذا الدائن تتبع العقار وهو موقوف</w:t>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 للدائن المرتهن حق تتبع العقار</w:t>
      </w:r>
      <w:r>
        <w:rPr>
          <w:rFonts w:cs="Traditional Arabic" w:hint="cs"/>
          <w:color w:val="000000"/>
          <w:sz w:val="24"/>
          <w:szCs w:val="28"/>
          <w:rtl/>
        </w:rPr>
        <w:t xml:space="preserve"> ،</w:t>
      </w:r>
      <w:r w:rsidRPr="009A072C">
        <w:rPr>
          <w:rFonts w:cs="Traditional Arabic" w:hint="cs"/>
          <w:color w:val="000000"/>
          <w:sz w:val="24"/>
          <w:szCs w:val="28"/>
          <w:rtl/>
        </w:rPr>
        <w:t xml:space="preserve"> ولو وقف الراهن العقار بعد أن ارتهنه الدائن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9 مارس سنة </w:t>
      </w:r>
      <w:smartTag w:uri="urn:schemas-microsoft-com:office:smarttags" w:element="metricconverter">
        <w:smartTagPr>
          <w:attr w:name="ProductID" w:val="1916 م"/>
        </w:smartTagPr>
        <w:r w:rsidRPr="009A072C">
          <w:rPr>
            <w:rFonts w:cs="Traditional Arabic" w:hint="cs"/>
            <w:color w:val="000000"/>
            <w:sz w:val="24"/>
            <w:szCs w:val="28"/>
            <w:rtl/>
          </w:rPr>
          <w:t>1916 م</w:t>
        </w:r>
      </w:smartTag>
      <w:r w:rsidRPr="009A072C">
        <w:rPr>
          <w:rFonts w:cs="Traditional Arabic" w:hint="cs"/>
          <w:color w:val="000000"/>
          <w:sz w:val="24"/>
          <w:szCs w:val="28"/>
          <w:rtl/>
        </w:rPr>
        <w:t xml:space="preserve"> 28 ص 195</w:t>
      </w:r>
      <w:r>
        <w:rPr>
          <w:rFonts w:cs="Traditional Arabic" w:hint="cs"/>
          <w:color w:val="000000"/>
          <w:sz w:val="24"/>
          <w:szCs w:val="28"/>
          <w:rtl/>
        </w:rPr>
        <w:t xml:space="preserve"> ) .</w:t>
      </w:r>
    </w:p>
  </w:footnote>
  <w:footnote w:id="107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1484 من المروع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وكانت تجري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"1- يجوز للحائز</w:t>
      </w:r>
      <w:r>
        <w:rPr>
          <w:rFonts w:cs="Traditional Arabic" w:hint="cs"/>
          <w:color w:val="000000"/>
          <w:sz w:val="24"/>
          <w:szCs w:val="28"/>
          <w:rtl/>
        </w:rPr>
        <w:t xml:space="preserve"> ،</w:t>
      </w:r>
      <w:r w:rsidRPr="009A072C">
        <w:rPr>
          <w:rFonts w:cs="Traditional Arabic" w:hint="cs"/>
          <w:color w:val="000000"/>
          <w:sz w:val="24"/>
          <w:szCs w:val="28"/>
          <w:rtl/>
        </w:rPr>
        <w:t xml:space="preserve"> عند حلول الدين المضمون بالرهن</w:t>
      </w:r>
      <w:r>
        <w:rPr>
          <w:rFonts w:cs="Traditional Arabic" w:hint="cs"/>
          <w:color w:val="000000"/>
          <w:sz w:val="24"/>
          <w:szCs w:val="28"/>
          <w:rtl/>
        </w:rPr>
        <w:t xml:space="preserve"> ،</w:t>
      </w:r>
      <w:r w:rsidRPr="009A072C">
        <w:rPr>
          <w:rFonts w:cs="Traditional Arabic" w:hint="cs"/>
          <w:color w:val="000000"/>
          <w:sz w:val="24"/>
          <w:szCs w:val="28"/>
          <w:rtl/>
        </w:rPr>
        <w:t xml:space="preserve"> أن يقضيه هو ملحقاته</w:t>
      </w:r>
      <w:r>
        <w:rPr>
          <w:rFonts w:cs="Traditional Arabic" w:hint="cs"/>
          <w:color w:val="000000"/>
          <w:sz w:val="24"/>
          <w:szCs w:val="28"/>
          <w:rtl/>
        </w:rPr>
        <w:t xml:space="preserve"> .</w:t>
      </w:r>
      <w:r w:rsidRPr="009A072C">
        <w:rPr>
          <w:rFonts w:cs="Traditional Arabic" w:hint="cs"/>
          <w:color w:val="000000"/>
          <w:sz w:val="24"/>
          <w:szCs w:val="28"/>
          <w:rtl/>
        </w:rPr>
        <w:t xml:space="preserve"> ويحل في هذا إحالة محل الدائن الذي استوفى الدين فيما له من حقوق</w:t>
      </w:r>
      <w:r>
        <w:rPr>
          <w:rFonts w:cs="Traditional Arabic" w:hint="cs"/>
          <w:color w:val="000000"/>
          <w:sz w:val="24"/>
          <w:szCs w:val="28"/>
          <w:rtl/>
        </w:rPr>
        <w:t xml:space="preserve"> ،</w:t>
      </w:r>
      <w:r w:rsidRPr="009A072C">
        <w:rPr>
          <w:rFonts w:cs="Traditional Arabic" w:hint="cs"/>
          <w:color w:val="000000"/>
          <w:sz w:val="24"/>
          <w:szCs w:val="28"/>
          <w:rtl/>
        </w:rPr>
        <w:t xml:space="preserve"> إلا ما كان منها متعلقا بتأمينات قدمها شخص آخر غير المدين</w:t>
      </w:r>
      <w:r>
        <w:rPr>
          <w:rFonts w:cs="Traditional Arabic" w:hint="cs"/>
          <w:color w:val="000000"/>
          <w:sz w:val="24"/>
          <w:szCs w:val="28"/>
          <w:rtl/>
        </w:rPr>
        <w:t xml:space="preserve"> .</w:t>
      </w:r>
      <w:r w:rsidRPr="009A072C">
        <w:rPr>
          <w:rFonts w:cs="Traditional Arabic" w:hint="cs"/>
          <w:color w:val="000000"/>
          <w:sz w:val="24"/>
          <w:szCs w:val="28"/>
          <w:rtl/>
        </w:rPr>
        <w:t xml:space="preserve"> 2- ويبقى حق الحائز في عرض مبلغ كافٍ لقضاء الدين قائما إلى يوم رسو الزاد</w:t>
      </w:r>
      <w:r>
        <w:rPr>
          <w:rFonts w:cs="Traditional Arabic" w:hint="cs"/>
          <w:color w:val="000000"/>
          <w:sz w:val="24"/>
          <w:szCs w:val="28"/>
          <w:rtl/>
        </w:rPr>
        <w:t xml:space="preserve"> .</w:t>
      </w:r>
      <w:r w:rsidRPr="009A072C">
        <w:rPr>
          <w:rFonts w:cs="Traditional Arabic" w:hint="cs"/>
          <w:color w:val="000000"/>
          <w:sz w:val="24"/>
          <w:szCs w:val="28"/>
          <w:rtl/>
        </w:rPr>
        <w:t xml:space="preserve"> ولكن يجب عليه أيضاً أن يعوض ما صرف في الإجراءات  وقت إنذاره</w:t>
      </w:r>
      <w:r>
        <w:rPr>
          <w:rFonts w:cs="Traditional Arabic" w:hint="cs"/>
          <w:color w:val="000000"/>
          <w:sz w:val="24"/>
          <w:szCs w:val="28"/>
          <w:rtl/>
        </w:rPr>
        <w:t xml:space="preserve"> .</w:t>
      </w:r>
      <w:r w:rsidRPr="009A072C">
        <w:rPr>
          <w:rFonts w:cs="Traditional Arabic" w:hint="cs"/>
          <w:color w:val="000000"/>
          <w:sz w:val="24"/>
          <w:szCs w:val="28"/>
          <w:rtl/>
        </w:rPr>
        <w:t xml:space="preserve"> على أن يرجع ذلك على المدين وعلى المالك السابق للعقار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وأدمجت لجنة المراجعة الفقرتين في فقرة واحدة مع تعديل لفظي</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1163 في المروع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فأصبحالنص مطابقاً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1149</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1061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96 </w:t>
      </w:r>
      <w:r w:rsidRPr="009A072C">
        <w:rPr>
          <w:rFonts w:cs="Traditional Arabic"/>
          <w:color w:val="000000"/>
          <w:sz w:val="24"/>
          <w:szCs w:val="28"/>
          <w:rtl/>
        </w:rPr>
        <w:t>–</w:t>
      </w:r>
      <w:r w:rsidRPr="009A072C">
        <w:rPr>
          <w:rFonts w:cs="Traditional Arabic" w:hint="cs"/>
          <w:color w:val="000000"/>
          <w:sz w:val="24"/>
          <w:szCs w:val="28"/>
          <w:rtl/>
        </w:rPr>
        <w:t xml:space="preserve"> ص 98</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575 / 698</w:t>
      </w:r>
      <w:r>
        <w:rPr>
          <w:rFonts w:cs="Traditional Arabic" w:hint="cs"/>
          <w:color w:val="000000"/>
          <w:sz w:val="24"/>
          <w:szCs w:val="28"/>
          <w:rtl/>
        </w:rPr>
        <w:t xml:space="preserve"> :</w:t>
      </w:r>
      <w:r w:rsidRPr="009A072C">
        <w:rPr>
          <w:rFonts w:cs="Traditional Arabic" w:hint="cs"/>
          <w:color w:val="000000"/>
          <w:sz w:val="24"/>
          <w:szCs w:val="28"/>
          <w:rtl/>
        </w:rPr>
        <w:t xml:space="preserve"> وللحائز المذكور الخيار في أن يدفع الدين ويحل محلالدائن في حقوقه</w:t>
      </w:r>
      <w:r>
        <w:rPr>
          <w:rFonts w:cs="Traditional Arabic" w:hint="cs"/>
          <w:color w:val="000000"/>
          <w:sz w:val="24"/>
          <w:szCs w:val="28"/>
          <w:rtl/>
        </w:rPr>
        <w:t xml:space="preserve"> ،</w:t>
      </w:r>
      <w:r w:rsidRPr="009A072C">
        <w:rPr>
          <w:rFonts w:cs="Traditional Arabic" w:hint="cs"/>
          <w:color w:val="000000"/>
          <w:sz w:val="24"/>
          <w:szCs w:val="28"/>
          <w:rtl/>
        </w:rPr>
        <w:t xml:space="preserve"> أو أن يعرض لوفاء الديونمبلغا يقدر به قيمة العقار ولا يجوز أن يكون اقل م الباقي في ذمته ن ثمنه أو يخلي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أو يتحمل الإجراءات الرسمية المتعلقة بنزع الملكية</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576 / 699</w:t>
      </w:r>
      <w:r>
        <w:rPr>
          <w:rFonts w:cs="Traditional Arabic" w:hint="cs"/>
          <w:color w:val="000000"/>
          <w:sz w:val="24"/>
          <w:szCs w:val="28"/>
          <w:rtl/>
        </w:rPr>
        <w:t xml:space="preserve"> :</w:t>
      </w:r>
      <w:r w:rsidRPr="009A072C">
        <w:rPr>
          <w:rFonts w:cs="Traditional Arabic" w:hint="cs"/>
          <w:color w:val="000000"/>
          <w:sz w:val="24"/>
          <w:szCs w:val="28"/>
          <w:rtl/>
        </w:rPr>
        <w:t xml:space="preserve"> ويبقى الحق في عرض المبلغ الكافي لوفاء الدين لحين ايقاع بيع العقار في المزاد</w:t>
      </w:r>
      <w:r>
        <w:rPr>
          <w:rFonts w:cs="Traditional Arabic" w:hint="cs"/>
          <w:color w:val="000000"/>
          <w:sz w:val="24"/>
          <w:szCs w:val="28"/>
          <w:rtl/>
        </w:rPr>
        <w:t xml:space="preserve"> ،</w:t>
      </w:r>
      <w:r w:rsidRPr="009A072C">
        <w:rPr>
          <w:rFonts w:cs="Traditional Arabic" w:hint="cs"/>
          <w:color w:val="000000"/>
          <w:sz w:val="24"/>
          <w:szCs w:val="28"/>
          <w:rtl/>
        </w:rPr>
        <w:t xml:space="preserve"> وعلى الحائز المذكور أن يعرض أيضاً قيمة المصاريف المنصرفة من وقت التنبه بالوفاء</w:t>
      </w:r>
      <w:r>
        <w:rPr>
          <w:rFonts w:cs="Traditional Arabic" w:hint="cs"/>
          <w:color w:val="000000"/>
          <w:sz w:val="24"/>
          <w:szCs w:val="28"/>
          <w:rtl/>
        </w:rPr>
        <w:t xml:space="preserve"> ،</w:t>
      </w:r>
      <w:r w:rsidRPr="009A072C">
        <w:rPr>
          <w:rFonts w:cs="Traditional Arabic" w:hint="cs"/>
          <w:color w:val="000000"/>
          <w:sz w:val="24"/>
          <w:szCs w:val="28"/>
          <w:rtl/>
        </w:rPr>
        <w:t xml:space="preserve"> وله الرجوع بها على المدين ومن سبق الحائز في ملكية العقار</w:t>
      </w:r>
      <w:r>
        <w:rPr>
          <w:rFonts w:cs="Traditional Arabic" w:hint="cs"/>
          <w:color w:val="000000"/>
          <w:sz w:val="24"/>
          <w:szCs w:val="28"/>
          <w:rtl/>
        </w:rPr>
        <w:t xml:space="preserve"> .</w:t>
      </w:r>
    </w:p>
  </w:footnote>
  <w:footnote w:id="107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وحتى لو كان الثمن من الدين</w:t>
      </w:r>
      <w:r>
        <w:rPr>
          <w:rFonts w:cs="Traditional Arabic" w:hint="cs"/>
          <w:color w:val="000000"/>
          <w:sz w:val="24"/>
          <w:szCs w:val="28"/>
          <w:rtl/>
        </w:rPr>
        <w:t xml:space="preserve"> ،</w:t>
      </w:r>
      <w:r w:rsidRPr="009A072C">
        <w:rPr>
          <w:rFonts w:cs="Traditional Arabic" w:hint="cs"/>
          <w:color w:val="000000"/>
          <w:sz w:val="24"/>
          <w:szCs w:val="28"/>
          <w:rtl/>
        </w:rPr>
        <w:t xml:space="preserve"> وكان الحائز حريصا على أن يستبقى العقار المرهون في ملكه</w:t>
      </w:r>
      <w:r>
        <w:rPr>
          <w:rFonts w:cs="Traditional Arabic" w:hint="cs"/>
          <w:color w:val="000000"/>
          <w:sz w:val="24"/>
          <w:szCs w:val="28"/>
          <w:rtl/>
        </w:rPr>
        <w:t xml:space="preserve"> ،</w:t>
      </w:r>
      <w:r w:rsidRPr="009A072C">
        <w:rPr>
          <w:rFonts w:cs="Traditional Arabic" w:hint="cs"/>
          <w:color w:val="000000"/>
          <w:sz w:val="24"/>
          <w:szCs w:val="28"/>
          <w:rtl/>
        </w:rPr>
        <w:t xml:space="preserve"> وكان الدين لدائن مرتهن متقدم في المرتبة</w:t>
      </w:r>
      <w:r>
        <w:rPr>
          <w:rFonts w:cs="Traditional Arabic" w:hint="cs"/>
          <w:color w:val="000000"/>
          <w:sz w:val="24"/>
          <w:szCs w:val="28"/>
          <w:rtl/>
        </w:rPr>
        <w:t xml:space="preserve"> ،</w:t>
      </w:r>
      <w:r w:rsidRPr="009A072C">
        <w:rPr>
          <w:rFonts w:cs="Traditional Arabic" w:hint="cs"/>
          <w:color w:val="000000"/>
          <w:sz w:val="24"/>
          <w:szCs w:val="28"/>
          <w:rtl/>
        </w:rPr>
        <w:t xml:space="preserve"> فإنه يدفع الدين للدائن المرتهن ويحل محله في رهنه المتقدم</w:t>
      </w:r>
      <w:r>
        <w:rPr>
          <w:rFonts w:cs="Traditional Arabic" w:hint="cs"/>
          <w:color w:val="000000"/>
          <w:sz w:val="24"/>
          <w:szCs w:val="28"/>
          <w:rtl/>
        </w:rPr>
        <w:t xml:space="preserve"> .</w:t>
      </w:r>
      <w:r w:rsidRPr="009A072C">
        <w:rPr>
          <w:rFonts w:cs="Traditional Arabic" w:hint="cs"/>
          <w:color w:val="000000"/>
          <w:sz w:val="24"/>
          <w:szCs w:val="28"/>
          <w:rtl/>
        </w:rPr>
        <w:t xml:space="preserve"> فيضمن بذلك عدم رجوع الدائنين المتأخرين في المرتبة ويستوفي ما دفعه زيادة على الثمن من المدين</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وقد قضت محكمة الاستئناف المختلطة أن الحائز الذي يدفع دين الدائن المقيد له الحق في أن يستمر في الإجراءات التي بدأها الدائن</w:t>
      </w:r>
      <w:r>
        <w:rPr>
          <w:rFonts w:cs="Traditional Arabic" w:hint="cs"/>
          <w:color w:val="000000"/>
          <w:sz w:val="24"/>
          <w:szCs w:val="28"/>
          <w:rtl/>
        </w:rPr>
        <w:t xml:space="preserve"> ،</w:t>
      </w:r>
      <w:r w:rsidRPr="009A072C">
        <w:rPr>
          <w:rFonts w:cs="Traditional Arabic" w:hint="cs"/>
          <w:color w:val="000000"/>
          <w:sz w:val="24"/>
          <w:szCs w:val="28"/>
          <w:rtl/>
        </w:rPr>
        <w:t xml:space="preserve"> للحصول على ما دفعه أزيد من حصته في الدين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23 سنة </w:t>
      </w:r>
      <w:smartTag w:uri="urn:schemas-microsoft-com:office:smarttags" w:element="metricconverter">
        <w:smartTagPr>
          <w:attr w:name="ProductID" w:val="1933 م"/>
        </w:smartTagPr>
        <w:r w:rsidRPr="009A072C">
          <w:rPr>
            <w:rFonts w:cs="Traditional Arabic" w:hint="cs"/>
            <w:color w:val="000000"/>
            <w:sz w:val="24"/>
            <w:szCs w:val="28"/>
            <w:rtl/>
          </w:rPr>
          <w:t>1933 م</w:t>
        </w:r>
      </w:smartTag>
      <w:r w:rsidRPr="009A072C">
        <w:rPr>
          <w:rFonts w:cs="Traditional Arabic" w:hint="cs"/>
          <w:color w:val="000000"/>
          <w:sz w:val="24"/>
          <w:szCs w:val="28"/>
          <w:rtl/>
        </w:rPr>
        <w:t xml:space="preserve"> 46 ص 52</w:t>
      </w:r>
      <w:r>
        <w:rPr>
          <w:rFonts w:cs="Traditional Arabic" w:hint="cs"/>
          <w:color w:val="000000"/>
          <w:sz w:val="24"/>
          <w:szCs w:val="28"/>
          <w:rtl/>
        </w:rPr>
        <w:t xml:space="preserve"> ) .</w:t>
      </w:r>
    </w:p>
  </w:footnote>
  <w:footnote w:id="107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8 يونيه سنة </w:t>
      </w:r>
      <w:smartTag w:uri="urn:schemas-microsoft-com:office:smarttags" w:element="metricconverter">
        <w:smartTagPr>
          <w:attr w:name="ProductID" w:val="1904 م"/>
        </w:smartTagPr>
        <w:r w:rsidRPr="009A072C">
          <w:rPr>
            <w:rFonts w:cs="Traditional Arabic" w:hint="cs"/>
            <w:color w:val="000000"/>
            <w:sz w:val="24"/>
            <w:szCs w:val="28"/>
            <w:rtl/>
          </w:rPr>
          <w:t>1904 م</w:t>
        </w:r>
      </w:smartTag>
      <w:r w:rsidRPr="009A072C">
        <w:rPr>
          <w:rFonts w:cs="Traditional Arabic" w:hint="cs"/>
          <w:color w:val="000000"/>
          <w:sz w:val="24"/>
          <w:szCs w:val="28"/>
          <w:rtl/>
        </w:rPr>
        <w:t xml:space="preserve"> 16 ص 317 </w:t>
      </w:r>
      <w:r w:rsidRPr="009A072C">
        <w:rPr>
          <w:rFonts w:cs="Traditional Arabic"/>
          <w:color w:val="000000"/>
          <w:sz w:val="24"/>
          <w:szCs w:val="28"/>
          <w:rtl/>
        </w:rPr>
        <w:t>–</w:t>
      </w:r>
      <w:r w:rsidRPr="009A072C">
        <w:rPr>
          <w:rFonts w:cs="Traditional Arabic" w:hint="cs"/>
          <w:color w:val="000000"/>
          <w:sz w:val="24"/>
          <w:szCs w:val="28"/>
          <w:rtl/>
        </w:rPr>
        <w:t xml:space="preserve"> وانظر أيضاً استئناف مختلط 28 نوفمبر سنة </w:t>
      </w:r>
      <w:smartTag w:uri="urn:schemas-microsoft-com:office:smarttags" w:element="metricconverter">
        <w:smartTagPr>
          <w:attr w:name="ProductID" w:val="1900 م"/>
        </w:smartTagPr>
        <w:r w:rsidRPr="009A072C">
          <w:rPr>
            <w:rFonts w:cs="Traditional Arabic" w:hint="cs"/>
            <w:color w:val="000000"/>
            <w:sz w:val="24"/>
            <w:szCs w:val="28"/>
            <w:rtl/>
          </w:rPr>
          <w:t>1900 م</w:t>
        </w:r>
      </w:smartTag>
      <w:r w:rsidRPr="009A072C">
        <w:rPr>
          <w:rFonts w:cs="Traditional Arabic" w:hint="cs"/>
          <w:color w:val="000000"/>
          <w:sz w:val="24"/>
          <w:szCs w:val="28"/>
          <w:rtl/>
        </w:rPr>
        <w:t xml:space="preserve"> 13 ص 22</w:t>
      </w:r>
      <w:r>
        <w:rPr>
          <w:rFonts w:cs="Traditional Arabic" w:hint="cs"/>
          <w:color w:val="000000"/>
          <w:sz w:val="24"/>
          <w:szCs w:val="28"/>
          <w:rtl/>
        </w:rPr>
        <w:t xml:space="preserve"> .</w:t>
      </w:r>
    </w:p>
  </w:footnote>
  <w:footnote w:id="108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15 ديسمبر سنة </w:t>
      </w:r>
      <w:smartTag w:uri="urn:schemas-microsoft-com:office:smarttags" w:element="metricconverter">
        <w:smartTagPr>
          <w:attr w:name="ProductID" w:val="1927 م"/>
        </w:smartTagPr>
        <w:r w:rsidRPr="009A072C">
          <w:rPr>
            <w:rFonts w:cs="Traditional Arabic" w:hint="cs"/>
            <w:color w:val="000000"/>
            <w:sz w:val="24"/>
            <w:szCs w:val="28"/>
            <w:rtl/>
          </w:rPr>
          <w:t>1927 م</w:t>
        </w:r>
      </w:smartTag>
      <w:r w:rsidRPr="009A072C">
        <w:rPr>
          <w:rFonts w:cs="Traditional Arabic" w:hint="cs"/>
          <w:color w:val="000000"/>
          <w:sz w:val="24"/>
          <w:szCs w:val="28"/>
          <w:rtl/>
        </w:rPr>
        <w:t xml:space="preserve"> 40 ص 114</w:t>
      </w:r>
      <w:r>
        <w:rPr>
          <w:rFonts w:cs="Traditional Arabic" w:hint="cs"/>
          <w:color w:val="000000"/>
          <w:sz w:val="24"/>
          <w:szCs w:val="28"/>
          <w:rtl/>
        </w:rPr>
        <w:t xml:space="preserve"> :</w:t>
      </w:r>
      <w:r w:rsidRPr="009A072C">
        <w:rPr>
          <w:rFonts w:cs="Traditional Arabic" w:hint="cs"/>
          <w:color w:val="000000"/>
          <w:sz w:val="24"/>
          <w:szCs w:val="28"/>
          <w:rtl/>
        </w:rPr>
        <w:t xml:space="preserve"> وقد قضي هذا الحكم بأن التعويض المتفق على دفعه في حالة الوفاء قبل الجل بالقرض المضمون بالرهن يجب أن يدفعه بأكمله الحائز الذي يتخذ الدائن ضده إجراءات نزع الملكية</w:t>
      </w:r>
      <w:r>
        <w:rPr>
          <w:rFonts w:cs="Traditional Arabic" w:hint="cs"/>
          <w:color w:val="000000"/>
          <w:sz w:val="24"/>
          <w:szCs w:val="28"/>
          <w:rtl/>
        </w:rPr>
        <w:t xml:space="preserve"> .</w:t>
      </w:r>
    </w:p>
  </w:footnote>
  <w:footnote w:id="108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هالتون 28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476</w:t>
      </w:r>
      <w:r>
        <w:rPr>
          <w:rFonts w:cs="Traditional Arabic" w:hint="cs"/>
          <w:color w:val="000000"/>
          <w:sz w:val="24"/>
          <w:szCs w:val="28"/>
          <w:rtl/>
        </w:rPr>
        <w:t xml:space="preserve"> .</w:t>
      </w:r>
    </w:p>
  </w:footnote>
  <w:footnote w:id="108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 شرط الحرمان من الانتفاع بالأجل </w:t>
      </w:r>
      <w:r>
        <w:rPr>
          <w:rFonts w:cs="Traditional Arabic"/>
          <w:color w:val="000000"/>
          <w:sz w:val="24"/>
          <w:szCs w:val="28"/>
          <w:rtl/>
        </w:rPr>
        <w:t xml:space="preserve">( </w:t>
      </w:r>
      <w:r w:rsidRPr="009A072C">
        <w:rPr>
          <w:rFonts w:cs="Traditional Arabic"/>
          <w:color w:val="000000"/>
          <w:sz w:val="24"/>
          <w:szCs w:val="28"/>
        </w:rPr>
        <w:t>clause de dechleence du benefice du terms</w:t>
      </w:r>
      <w:r>
        <w:rPr>
          <w:rFonts w:cs="Traditional Arabic"/>
          <w:color w:val="000000"/>
          <w:sz w:val="24"/>
          <w:szCs w:val="28"/>
          <w:rtl/>
        </w:rPr>
        <w:t xml:space="preserve"> )</w:t>
      </w:r>
      <w:r w:rsidRPr="009A072C">
        <w:rPr>
          <w:rFonts w:cs="Traditional Arabic" w:hint="cs"/>
          <w:color w:val="000000"/>
          <w:sz w:val="24"/>
          <w:szCs w:val="28"/>
          <w:rtl/>
        </w:rPr>
        <w:t xml:space="preserve"> المتفق عليه في القرض المضمون برهن</w:t>
      </w:r>
      <w:r>
        <w:rPr>
          <w:rFonts w:cs="Traditional Arabic" w:hint="cs"/>
          <w:color w:val="000000"/>
          <w:sz w:val="24"/>
          <w:szCs w:val="28"/>
          <w:rtl/>
        </w:rPr>
        <w:t xml:space="preserve"> ،</w:t>
      </w:r>
      <w:r w:rsidRPr="009A072C">
        <w:rPr>
          <w:rFonts w:cs="Traditional Arabic" w:hint="cs"/>
          <w:color w:val="000000"/>
          <w:sz w:val="24"/>
          <w:szCs w:val="28"/>
          <w:rtl/>
        </w:rPr>
        <w:t xml:space="preserve"> والذي يعلن به الغير بقيد الرهن الرسمي</w:t>
      </w:r>
      <w:r>
        <w:rPr>
          <w:rFonts w:cs="Traditional Arabic" w:hint="cs"/>
          <w:color w:val="000000"/>
          <w:sz w:val="24"/>
          <w:szCs w:val="28"/>
          <w:rtl/>
        </w:rPr>
        <w:t xml:space="preserve"> ،</w:t>
      </w:r>
      <w:r w:rsidRPr="009A072C">
        <w:rPr>
          <w:rFonts w:cs="Traditional Arabic" w:hint="cs"/>
          <w:color w:val="000000"/>
          <w:sz w:val="24"/>
          <w:szCs w:val="28"/>
          <w:rtl/>
        </w:rPr>
        <w:t xml:space="preserve"> يحتج به</w:t>
      </w:r>
      <w:r>
        <w:rPr>
          <w:rFonts w:cs="Traditional Arabic" w:hint="cs"/>
          <w:color w:val="000000"/>
          <w:sz w:val="24"/>
          <w:szCs w:val="28"/>
          <w:rtl/>
        </w:rPr>
        <w:t xml:space="preserve"> ،</w:t>
      </w:r>
      <w:r w:rsidRPr="009A072C">
        <w:rPr>
          <w:rFonts w:cs="Traditional Arabic" w:hint="cs"/>
          <w:color w:val="000000"/>
          <w:sz w:val="24"/>
          <w:szCs w:val="28"/>
          <w:rtl/>
        </w:rPr>
        <w:t xml:space="preserve"> لا على المدين فحسب</w:t>
      </w:r>
      <w:r>
        <w:rPr>
          <w:rFonts w:cs="Traditional Arabic" w:hint="cs"/>
          <w:color w:val="000000"/>
          <w:sz w:val="24"/>
          <w:szCs w:val="28"/>
          <w:rtl/>
        </w:rPr>
        <w:t xml:space="preserve"> ،</w:t>
      </w:r>
      <w:r w:rsidRPr="009A072C">
        <w:rPr>
          <w:rFonts w:cs="Traditional Arabic" w:hint="cs"/>
          <w:color w:val="000000"/>
          <w:sz w:val="24"/>
          <w:szCs w:val="28"/>
          <w:rtl/>
        </w:rPr>
        <w:t xml:space="preserve"> بل أيضاً على الحائز للعقارات المرهونة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18 نوفمبر سنة </w:t>
      </w:r>
      <w:smartTag w:uri="urn:schemas-microsoft-com:office:smarttags" w:element="metricconverter">
        <w:smartTagPr>
          <w:attr w:name="ProductID" w:val="1912 م"/>
        </w:smartTagPr>
        <w:r w:rsidRPr="009A072C">
          <w:rPr>
            <w:rFonts w:cs="Traditional Arabic" w:hint="cs"/>
            <w:color w:val="000000"/>
            <w:sz w:val="24"/>
            <w:szCs w:val="28"/>
            <w:rtl/>
          </w:rPr>
          <w:t>1912 م</w:t>
        </w:r>
      </w:smartTag>
      <w:r w:rsidRPr="009A072C">
        <w:rPr>
          <w:rFonts w:cs="Traditional Arabic" w:hint="cs"/>
          <w:color w:val="000000"/>
          <w:sz w:val="24"/>
          <w:szCs w:val="28"/>
          <w:rtl/>
        </w:rPr>
        <w:t xml:space="preserve"> 25 ص 26</w:t>
      </w:r>
      <w:r>
        <w:rPr>
          <w:rFonts w:cs="Traditional Arabic" w:hint="cs"/>
          <w:color w:val="000000"/>
          <w:sz w:val="24"/>
          <w:szCs w:val="28"/>
          <w:rtl/>
        </w:rPr>
        <w:t xml:space="preserve"> ) .</w:t>
      </w:r>
    </w:p>
  </w:footnote>
  <w:footnote w:id="108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1485 من المشروع التمهيدي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لجنة المراجعة على النص</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1164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مجلس النواب على النص تحت رقم 1150</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1062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98 </w:t>
      </w:r>
      <w:r w:rsidRPr="009A072C">
        <w:rPr>
          <w:rFonts w:cs="Traditional Arabic"/>
          <w:color w:val="000000"/>
          <w:sz w:val="24"/>
          <w:szCs w:val="28"/>
          <w:rtl/>
        </w:rPr>
        <w:t>–</w:t>
      </w:r>
      <w:r w:rsidRPr="009A072C">
        <w:rPr>
          <w:rFonts w:cs="Traditional Arabic" w:hint="cs"/>
          <w:color w:val="000000"/>
          <w:sz w:val="24"/>
          <w:szCs w:val="28"/>
          <w:rtl/>
        </w:rPr>
        <w:t xml:space="preserve"> ص 99</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م 578 / 701</w:t>
      </w:r>
      <w:r>
        <w:rPr>
          <w:rFonts w:cs="Traditional Arabic" w:hint="cs"/>
          <w:color w:val="000000"/>
          <w:sz w:val="24"/>
          <w:szCs w:val="28"/>
          <w:rtl/>
        </w:rPr>
        <w:t xml:space="preserve"> :</w:t>
      </w:r>
      <w:r w:rsidRPr="009A072C">
        <w:rPr>
          <w:rFonts w:cs="Traditional Arabic" w:hint="cs"/>
          <w:color w:val="000000"/>
          <w:sz w:val="24"/>
          <w:szCs w:val="28"/>
          <w:rtl/>
        </w:rPr>
        <w:t xml:space="preserve"> يجب على حائز العقار الذي انتقلت إليه حقوق م وفاه بدينه من الرهن المتعلق بها</w:t>
      </w:r>
      <w:r>
        <w:rPr>
          <w:rFonts w:cs="Traditional Arabic" w:hint="cs"/>
          <w:color w:val="000000"/>
          <w:sz w:val="24"/>
          <w:szCs w:val="28"/>
          <w:rtl/>
        </w:rPr>
        <w:t xml:space="preserve"> ،</w:t>
      </w:r>
      <w:r w:rsidRPr="009A072C">
        <w:rPr>
          <w:rFonts w:cs="Traditional Arabic" w:hint="cs"/>
          <w:color w:val="000000"/>
          <w:sz w:val="24"/>
          <w:szCs w:val="28"/>
          <w:rtl/>
        </w:rPr>
        <w:t xml:space="preserve"> أن يحفظ الرهن المذكور ويجدد تسجيله عند الاقتضاء</w:t>
      </w:r>
      <w:r>
        <w:rPr>
          <w:rFonts w:cs="Traditional Arabic" w:hint="cs"/>
          <w:color w:val="000000"/>
          <w:sz w:val="24"/>
          <w:szCs w:val="28"/>
          <w:rtl/>
        </w:rPr>
        <w:t xml:space="preserve"> ،</w:t>
      </w:r>
      <w:r w:rsidRPr="009A072C">
        <w:rPr>
          <w:rFonts w:cs="Traditional Arabic" w:hint="cs"/>
          <w:color w:val="000000"/>
          <w:sz w:val="24"/>
          <w:szCs w:val="28"/>
          <w:rtl/>
        </w:rPr>
        <w:t xml:space="preserve"> إلى أن تزول الرهون المسجلة الموجودة وقت تسجيل عقد انتقال الملكية إليه في العقار</w:t>
      </w:r>
      <w:r>
        <w:rPr>
          <w:rFonts w:cs="Traditional Arabic" w:hint="cs"/>
          <w:color w:val="000000"/>
          <w:sz w:val="24"/>
          <w:szCs w:val="28"/>
          <w:rtl/>
        </w:rPr>
        <w:t xml:space="preserve"> .</w:t>
      </w:r>
    </w:p>
  </w:footnote>
  <w:footnote w:id="108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 الحائز ليس بحاجة إلى رضا المدين لدفع الدين المضمون بالرهن والحلول محل الدائن في حقه</w:t>
      </w:r>
      <w:r>
        <w:rPr>
          <w:rFonts w:cs="Traditional Arabic" w:hint="cs"/>
          <w:color w:val="000000"/>
          <w:sz w:val="24"/>
          <w:szCs w:val="28"/>
          <w:rtl/>
        </w:rPr>
        <w:t xml:space="preserve"> ،</w:t>
      </w:r>
      <w:r w:rsidRPr="009A072C">
        <w:rPr>
          <w:rFonts w:cs="Traditional Arabic" w:hint="cs"/>
          <w:color w:val="000000"/>
          <w:sz w:val="24"/>
          <w:szCs w:val="28"/>
          <w:rtl/>
        </w:rPr>
        <w:t xml:space="preserve"> فله دائما أن يقوم بالدفع ولو رغم المدين أو الدائن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13 يونيه سنة </w:t>
      </w:r>
      <w:smartTag w:uri="urn:schemas-microsoft-com:office:smarttags" w:element="metricconverter">
        <w:smartTagPr>
          <w:attr w:name="ProductID" w:val="1900 م"/>
        </w:smartTagPr>
        <w:r w:rsidRPr="009A072C">
          <w:rPr>
            <w:rFonts w:cs="Traditional Arabic" w:hint="cs"/>
            <w:color w:val="000000"/>
            <w:sz w:val="24"/>
            <w:szCs w:val="28"/>
            <w:rtl/>
          </w:rPr>
          <w:t>1900 م</w:t>
        </w:r>
      </w:smartTag>
      <w:r w:rsidRPr="009A072C">
        <w:rPr>
          <w:rFonts w:cs="Traditional Arabic" w:hint="cs"/>
          <w:color w:val="000000"/>
          <w:sz w:val="24"/>
          <w:szCs w:val="28"/>
          <w:rtl/>
        </w:rPr>
        <w:t xml:space="preserve"> 12 ص 331</w:t>
      </w:r>
      <w:r>
        <w:rPr>
          <w:rFonts w:cs="Traditional Arabic" w:hint="cs"/>
          <w:color w:val="000000"/>
          <w:sz w:val="24"/>
          <w:szCs w:val="28"/>
          <w:rtl/>
        </w:rPr>
        <w:t xml:space="preserve"> ) .</w:t>
      </w:r>
    </w:p>
  </w:footnote>
  <w:footnote w:id="108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راجع استئناف مختلط 22 يونيه سنة </w:t>
      </w:r>
      <w:smartTag w:uri="urn:schemas-microsoft-com:office:smarttags" w:element="metricconverter">
        <w:smartTagPr>
          <w:attr w:name="ProductID" w:val="1904 م"/>
        </w:smartTagPr>
        <w:r w:rsidRPr="009A072C">
          <w:rPr>
            <w:rFonts w:cs="Traditional Arabic" w:hint="cs"/>
            <w:color w:val="000000"/>
            <w:sz w:val="24"/>
            <w:szCs w:val="28"/>
            <w:rtl/>
          </w:rPr>
          <w:t>1904 م</w:t>
        </w:r>
      </w:smartTag>
      <w:r w:rsidRPr="009A072C">
        <w:rPr>
          <w:rFonts w:cs="Traditional Arabic" w:hint="cs"/>
          <w:color w:val="000000"/>
          <w:sz w:val="24"/>
          <w:szCs w:val="28"/>
          <w:rtl/>
        </w:rPr>
        <w:t xml:space="preserve"> 16 ص 339</w:t>
      </w:r>
      <w:r>
        <w:rPr>
          <w:rFonts w:cs="Traditional Arabic" w:hint="cs"/>
          <w:color w:val="000000"/>
          <w:sz w:val="24"/>
          <w:szCs w:val="28"/>
          <w:rtl/>
        </w:rPr>
        <w:t xml:space="preserve"> .</w:t>
      </w:r>
    </w:p>
  </w:footnote>
  <w:footnote w:id="108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جرانمولان فقرة 479</w:t>
      </w:r>
      <w:r>
        <w:rPr>
          <w:rFonts w:cs="Traditional Arabic" w:hint="cs"/>
          <w:color w:val="000000"/>
          <w:sz w:val="24"/>
          <w:szCs w:val="28"/>
          <w:rtl/>
        </w:rPr>
        <w:t xml:space="preserve"> .</w:t>
      </w:r>
    </w:p>
  </w:footnote>
  <w:footnote w:id="108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148</w:t>
      </w:r>
      <w:r>
        <w:rPr>
          <w:rFonts w:cs="Traditional Arabic" w:hint="cs"/>
          <w:color w:val="000000"/>
          <w:sz w:val="24"/>
          <w:szCs w:val="28"/>
          <w:rtl/>
        </w:rPr>
        <w:t xml:space="preserve"> .</w:t>
      </w:r>
    </w:p>
  </w:footnote>
  <w:footnote w:id="108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1486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استدر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1165 في المشروع النهائي ووافق عليه مجلس النواب تحت رقم 11541</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1063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99 </w:t>
      </w:r>
      <w:r w:rsidRPr="009A072C">
        <w:rPr>
          <w:rFonts w:cs="Traditional Arabic"/>
          <w:color w:val="000000"/>
          <w:sz w:val="24"/>
          <w:szCs w:val="28"/>
          <w:rtl/>
        </w:rPr>
        <w:t>–</w:t>
      </w:r>
      <w:r w:rsidRPr="009A072C">
        <w:rPr>
          <w:rFonts w:cs="Traditional Arabic" w:hint="cs"/>
          <w:color w:val="000000"/>
          <w:sz w:val="24"/>
          <w:szCs w:val="28"/>
          <w:rtl/>
        </w:rPr>
        <w:t xml:space="preserve"> ص 103</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لتقنين المدين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08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102</w:t>
      </w:r>
      <w:r>
        <w:rPr>
          <w:rFonts w:cs="Traditional Arabic" w:hint="cs"/>
          <w:color w:val="000000"/>
          <w:sz w:val="24"/>
          <w:szCs w:val="28"/>
          <w:rtl/>
        </w:rPr>
        <w:t xml:space="preserve"> .</w:t>
      </w:r>
    </w:p>
  </w:footnote>
  <w:footnote w:id="109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نصت المادة 1063 مدني</w:t>
      </w:r>
      <w:r>
        <w:rPr>
          <w:rFonts w:cs="Traditional Arabic" w:hint="cs"/>
          <w:color w:val="000000"/>
          <w:sz w:val="24"/>
          <w:szCs w:val="28"/>
          <w:rtl/>
        </w:rPr>
        <w:t xml:space="preserve"> ،</w:t>
      </w:r>
      <w:r w:rsidRPr="009A072C">
        <w:rPr>
          <w:rFonts w:cs="Traditional Arabic" w:hint="cs"/>
          <w:color w:val="000000"/>
          <w:sz w:val="24"/>
          <w:szCs w:val="28"/>
          <w:rtl/>
        </w:rPr>
        <w:t xml:space="preserve"> في فقرتها الثالثة</w:t>
      </w:r>
      <w:r>
        <w:rPr>
          <w:rFonts w:cs="Traditional Arabic" w:hint="cs"/>
          <w:color w:val="000000"/>
          <w:sz w:val="24"/>
          <w:szCs w:val="28"/>
          <w:rtl/>
        </w:rPr>
        <w:t xml:space="preserve"> ،</w:t>
      </w:r>
      <w:r w:rsidRPr="009A072C">
        <w:rPr>
          <w:rFonts w:cs="Traditional Arabic" w:hint="cs"/>
          <w:color w:val="000000"/>
          <w:sz w:val="24"/>
          <w:szCs w:val="28"/>
          <w:rtl/>
        </w:rPr>
        <w:t xml:space="preserve"> صراحة على ذلك</w:t>
      </w:r>
      <w:r>
        <w:rPr>
          <w:rFonts w:cs="Traditional Arabic" w:hint="cs"/>
          <w:color w:val="000000"/>
          <w:sz w:val="24"/>
          <w:szCs w:val="28"/>
          <w:rtl/>
        </w:rPr>
        <w:t xml:space="preserve"> ،</w:t>
      </w:r>
      <w:r w:rsidRPr="009A072C">
        <w:rPr>
          <w:rFonts w:cs="Traditional Arabic" w:hint="cs"/>
          <w:color w:val="000000"/>
          <w:sz w:val="24"/>
          <w:szCs w:val="28"/>
          <w:rtl/>
        </w:rPr>
        <w:t xml:space="preserve"> فقالت</w:t>
      </w:r>
      <w:r>
        <w:rPr>
          <w:rFonts w:cs="Traditional Arabic" w:hint="cs"/>
          <w:color w:val="000000"/>
          <w:sz w:val="24"/>
          <w:szCs w:val="28"/>
          <w:rtl/>
        </w:rPr>
        <w:t xml:space="preserve"> :</w:t>
      </w:r>
      <w:r w:rsidRPr="009A072C">
        <w:rPr>
          <w:rFonts w:cs="Traditional Arabic" w:hint="cs"/>
          <w:color w:val="000000"/>
          <w:sz w:val="24"/>
          <w:szCs w:val="28"/>
          <w:rtl/>
        </w:rPr>
        <w:t xml:space="preserve"> "لا يجوز للحائز أن يتخلص من التزامه بالوفاء للدائنين بتخليه عن العقار</w:t>
      </w:r>
      <w:r>
        <w:rPr>
          <w:rFonts w:cs="Traditional Arabic" w:hint="cs"/>
          <w:color w:val="000000"/>
          <w:sz w:val="24"/>
          <w:szCs w:val="28"/>
          <w:rtl/>
        </w:rPr>
        <w:t xml:space="preserve"> ،</w:t>
      </w:r>
      <w:r w:rsidRPr="009A072C">
        <w:rPr>
          <w:rFonts w:cs="Traditional Arabic" w:hint="cs"/>
          <w:color w:val="000000"/>
          <w:sz w:val="24"/>
          <w:szCs w:val="28"/>
          <w:rtl/>
        </w:rPr>
        <w:t xml:space="preserve"> ولكن إذا هو وفى لهم فإن العقار يعتبر خالصاً من كل رهن</w:t>
      </w:r>
      <w:r>
        <w:rPr>
          <w:rFonts w:cs="Traditional Arabic" w:hint="cs"/>
          <w:color w:val="000000"/>
          <w:sz w:val="24"/>
          <w:szCs w:val="28"/>
          <w:rtl/>
        </w:rPr>
        <w:t xml:space="preserve"> ،</w:t>
      </w:r>
      <w:r w:rsidRPr="009A072C">
        <w:rPr>
          <w:rFonts w:cs="Traditional Arabic" w:hint="cs"/>
          <w:color w:val="000000"/>
          <w:sz w:val="24"/>
          <w:szCs w:val="28"/>
          <w:rtl/>
        </w:rPr>
        <w:t xml:space="preserve"> ويكون للحائز الحق في طلب محو ما على العقار من القيود",</w:t>
      </w:r>
    </w:p>
  </w:footnote>
  <w:footnote w:id="109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1487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فيما عدا مسألة واحدة</w:t>
      </w:r>
      <w:r>
        <w:rPr>
          <w:rFonts w:cs="Traditional Arabic" w:hint="cs"/>
          <w:color w:val="000000"/>
          <w:sz w:val="24"/>
          <w:szCs w:val="28"/>
          <w:rtl/>
        </w:rPr>
        <w:t xml:space="preserve"> .</w:t>
      </w:r>
      <w:r w:rsidRPr="009A072C">
        <w:rPr>
          <w:rFonts w:cs="Traditional Arabic" w:hint="cs"/>
          <w:color w:val="000000"/>
          <w:sz w:val="24"/>
          <w:szCs w:val="28"/>
          <w:rtl/>
        </w:rPr>
        <w:t xml:space="preserve"> ووافقت لجنة المراجعة على النص تحت رقم 1166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مجلس النواب على هذا النص</w:t>
      </w:r>
      <w:r>
        <w:rPr>
          <w:rFonts w:cs="Traditional Arabic" w:hint="cs"/>
          <w:color w:val="000000"/>
          <w:sz w:val="24"/>
          <w:szCs w:val="28"/>
          <w:rtl/>
        </w:rPr>
        <w:t xml:space="preserve"> ،</w:t>
      </w:r>
      <w:r w:rsidRPr="009A072C">
        <w:rPr>
          <w:rFonts w:cs="Traditional Arabic" w:hint="cs"/>
          <w:color w:val="000000"/>
          <w:sz w:val="24"/>
          <w:szCs w:val="28"/>
          <w:rtl/>
        </w:rPr>
        <w:t xml:space="preserve"> تحتر رقم 1152</w:t>
      </w:r>
      <w:r>
        <w:rPr>
          <w:rFonts w:cs="Traditional Arabic" w:hint="cs"/>
          <w:color w:val="000000"/>
          <w:sz w:val="24"/>
          <w:szCs w:val="28"/>
          <w:rtl/>
        </w:rPr>
        <w:t xml:space="preserve"> .</w:t>
      </w:r>
      <w:r w:rsidRPr="009A072C">
        <w:rPr>
          <w:rFonts w:cs="Traditional Arabic" w:hint="cs"/>
          <w:color w:val="000000"/>
          <w:sz w:val="24"/>
          <w:szCs w:val="28"/>
          <w:rtl/>
        </w:rPr>
        <w:t xml:space="preserve"> وفي لجنة مجلس الشيوع استبدلت اللجنة</w:t>
      </w:r>
      <w:r>
        <w:rPr>
          <w:rFonts w:cs="Traditional Arabic" w:hint="cs"/>
          <w:color w:val="000000"/>
          <w:sz w:val="24"/>
          <w:szCs w:val="28"/>
          <w:rtl/>
        </w:rPr>
        <w:t xml:space="preserve"> ،</w:t>
      </w:r>
      <w:r w:rsidRPr="009A072C">
        <w:rPr>
          <w:rFonts w:cs="Traditional Arabic" w:hint="cs"/>
          <w:color w:val="000000"/>
          <w:sz w:val="24"/>
          <w:szCs w:val="28"/>
          <w:rtl/>
        </w:rPr>
        <w:t xml:space="preserve"> في الفقرة الثانية</w:t>
      </w:r>
      <w:r>
        <w:rPr>
          <w:rFonts w:cs="Traditional Arabic" w:hint="cs"/>
          <w:color w:val="000000"/>
          <w:sz w:val="24"/>
          <w:szCs w:val="28"/>
          <w:rtl/>
        </w:rPr>
        <w:t xml:space="preserve"> ،</w:t>
      </w:r>
      <w:r w:rsidRPr="009A072C">
        <w:rPr>
          <w:rFonts w:cs="Traditional Arabic" w:hint="cs"/>
          <w:color w:val="000000"/>
          <w:sz w:val="24"/>
          <w:szCs w:val="28"/>
          <w:rtl/>
        </w:rPr>
        <w:t xml:space="preserve"> عبارة "إلى يوم إيداع قائمة شروط البيع" بعبارة "إلى يوم توقيع الحجز العقاري أو صدور الحكم بنزع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تمشيا مع أحكام مشروع قانون المرافعات الذي ألغي نظام الحجز العقاري ودعوى نزع الملكية</w:t>
      </w:r>
      <w:r>
        <w:rPr>
          <w:rFonts w:cs="Traditional Arabic" w:hint="cs"/>
          <w:color w:val="000000"/>
          <w:sz w:val="24"/>
          <w:szCs w:val="28"/>
          <w:rtl/>
        </w:rPr>
        <w:t xml:space="preserve"> .</w:t>
      </w:r>
      <w:r w:rsidRPr="009A072C">
        <w:rPr>
          <w:rFonts w:cs="Traditional Arabic" w:hint="cs"/>
          <w:color w:val="000000"/>
          <w:sz w:val="24"/>
          <w:szCs w:val="28"/>
          <w:rtl/>
        </w:rPr>
        <w:t>ووافق مجلس الشيوخ على المادة كما عدلتها لجنته</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1064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103 ص 106</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575 / 698</w:t>
      </w:r>
      <w:r>
        <w:rPr>
          <w:rFonts w:cs="Traditional Arabic" w:hint="cs"/>
          <w:color w:val="000000"/>
          <w:sz w:val="24"/>
          <w:szCs w:val="28"/>
          <w:rtl/>
        </w:rPr>
        <w:t xml:space="preserve"> :</w:t>
      </w:r>
      <w:r w:rsidRPr="009A072C">
        <w:rPr>
          <w:rFonts w:cs="Traditional Arabic" w:hint="cs"/>
          <w:color w:val="000000"/>
          <w:sz w:val="24"/>
          <w:szCs w:val="28"/>
          <w:rtl/>
        </w:rPr>
        <w:t xml:space="preserve"> وللحائز المذكور الخيار في أن يدفع الدين ويحل محل الدائن في حقوه</w:t>
      </w:r>
      <w:r>
        <w:rPr>
          <w:rFonts w:cs="Traditional Arabic" w:hint="cs"/>
          <w:color w:val="000000"/>
          <w:sz w:val="24"/>
          <w:szCs w:val="28"/>
          <w:rtl/>
        </w:rPr>
        <w:t xml:space="preserve"> ،</w:t>
      </w:r>
      <w:r w:rsidRPr="009A072C">
        <w:rPr>
          <w:rFonts w:cs="Traditional Arabic" w:hint="cs"/>
          <w:color w:val="000000"/>
          <w:sz w:val="24"/>
          <w:szCs w:val="28"/>
          <w:rtl/>
        </w:rPr>
        <w:t xml:space="preserve"> أو أن يعرض لوفاء الديون مبلغا يقدر به قيمة العقار ولا يجوز أن يكون أقل من الباقي في ذمته</w:t>
      </w:r>
      <w:r>
        <w:rPr>
          <w:rFonts w:cs="Traditional Arabic" w:hint="cs"/>
          <w:color w:val="000000"/>
          <w:sz w:val="24"/>
          <w:szCs w:val="28"/>
          <w:rtl/>
        </w:rPr>
        <w:t xml:space="preserve"> ،</w:t>
      </w:r>
      <w:r w:rsidRPr="009A072C">
        <w:rPr>
          <w:rFonts w:cs="Traditional Arabic" w:hint="cs"/>
          <w:color w:val="000000"/>
          <w:sz w:val="24"/>
          <w:szCs w:val="28"/>
          <w:rtl/>
        </w:rPr>
        <w:t xml:space="preserve"> أو يخلي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أو يتحمل الإجراءات الرسمية بنزع الملكية</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577 / 700</w:t>
      </w:r>
      <w:r>
        <w:rPr>
          <w:rFonts w:cs="Traditional Arabic" w:hint="cs"/>
          <w:color w:val="000000"/>
          <w:sz w:val="24"/>
          <w:szCs w:val="28"/>
          <w:rtl/>
        </w:rPr>
        <w:t xml:space="preserve"> :</w:t>
      </w:r>
      <w:r w:rsidRPr="009A072C">
        <w:rPr>
          <w:rFonts w:cs="Traditional Arabic" w:hint="cs"/>
          <w:color w:val="000000"/>
          <w:sz w:val="24"/>
          <w:szCs w:val="28"/>
          <w:rtl/>
        </w:rPr>
        <w:t xml:space="preserve"> يبقى حق عرض المبلغ المقدرة به قيمة العقار ليحن صدور الحكم بنزع الملكية</w:t>
      </w:r>
      <w:r>
        <w:rPr>
          <w:rFonts w:cs="Traditional Arabic" w:hint="cs"/>
          <w:color w:val="000000"/>
          <w:sz w:val="24"/>
          <w:szCs w:val="28"/>
          <w:rtl/>
        </w:rPr>
        <w:t xml:space="preserve"> .</w:t>
      </w:r>
    </w:p>
  </w:footnote>
  <w:footnote w:id="109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مجموعة الأعمال التحضيرية 7 ص 117 </w:t>
      </w:r>
      <w:r w:rsidRPr="009A072C">
        <w:rPr>
          <w:rFonts w:cs="Traditional Arabic"/>
          <w:color w:val="000000"/>
          <w:sz w:val="24"/>
          <w:szCs w:val="28"/>
          <w:rtl/>
        </w:rPr>
        <w:t>–</w:t>
      </w:r>
      <w:r w:rsidRPr="009A072C">
        <w:rPr>
          <w:rFonts w:cs="Traditional Arabic" w:hint="cs"/>
          <w:color w:val="000000"/>
          <w:sz w:val="24"/>
          <w:szCs w:val="28"/>
          <w:rtl/>
        </w:rPr>
        <w:t xml:space="preserve"> 120</w:t>
      </w:r>
      <w:r>
        <w:rPr>
          <w:rFonts w:cs="Traditional Arabic" w:hint="cs"/>
          <w:color w:val="000000"/>
          <w:sz w:val="24"/>
          <w:szCs w:val="28"/>
          <w:rtl/>
        </w:rPr>
        <w:t xml:space="preserve"> .</w:t>
      </w:r>
    </w:p>
  </w:footnote>
  <w:footnote w:id="109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جرانمولان فقرة 528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151</w:t>
      </w:r>
      <w:r>
        <w:rPr>
          <w:rFonts w:cs="Traditional Arabic" w:hint="cs"/>
          <w:color w:val="000000"/>
          <w:sz w:val="24"/>
          <w:szCs w:val="28"/>
          <w:rtl/>
        </w:rPr>
        <w:t xml:space="preserve"> .</w:t>
      </w:r>
    </w:p>
  </w:footnote>
  <w:footnote w:id="109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24 أبريل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25 ص 335</w:t>
      </w:r>
      <w:r>
        <w:rPr>
          <w:rFonts w:cs="Traditional Arabic" w:hint="cs"/>
          <w:color w:val="000000"/>
          <w:sz w:val="24"/>
          <w:szCs w:val="28"/>
          <w:rtl/>
        </w:rPr>
        <w:t xml:space="preserve"> .</w:t>
      </w:r>
    </w:p>
  </w:footnote>
  <w:footnote w:id="109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1082 </w:t>
      </w:r>
      <w:r w:rsidRPr="009A072C">
        <w:rPr>
          <w:rFonts w:cs="Traditional Arabic"/>
          <w:color w:val="000000"/>
          <w:sz w:val="24"/>
          <w:szCs w:val="28"/>
          <w:rtl/>
        </w:rPr>
        <w:t>–</w:t>
      </w:r>
      <w:r w:rsidRPr="009A072C">
        <w:rPr>
          <w:rFonts w:cs="Traditional Arabic" w:hint="cs"/>
          <w:color w:val="000000"/>
          <w:sz w:val="24"/>
          <w:szCs w:val="28"/>
          <w:rtl/>
        </w:rPr>
        <w:t xml:space="preserve"> فقرة 1083</w:t>
      </w:r>
      <w:r>
        <w:rPr>
          <w:rFonts w:cs="Traditional Arabic" w:hint="cs"/>
          <w:color w:val="000000"/>
          <w:sz w:val="24"/>
          <w:szCs w:val="28"/>
          <w:rtl/>
        </w:rPr>
        <w:t xml:space="preserve"> .</w:t>
      </w:r>
    </w:p>
  </w:footnote>
  <w:footnote w:id="109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وفال فقرة 1081</w:t>
      </w:r>
      <w:r>
        <w:rPr>
          <w:rFonts w:cs="Traditional Arabic" w:hint="cs"/>
          <w:color w:val="000000"/>
          <w:sz w:val="24"/>
          <w:szCs w:val="28"/>
          <w:rtl/>
        </w:rPr>
        <w:t xml:space="preserve"> .</w:t>
      </w:r>
    </w:p>
  </w:footnote>
  <w:footnote w:id="109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3936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فقرة 1081</w:t>
      </w:r>
      <w:r>
        <w:rPr>
          <w:rFonts w:cs="Traditional Arabic" w:hint="cs"/>
          <w:color w:val="000000"/>
          <w:sz w:val="24"/>
          <w:szCs w:val="28"/>
          <w:rtl/>
        </w:rPr>
        <w:t xml:space="preserve"> .</w:t>
      </w:r>
    </w:p>
  </w:footnote>
  <w:footnote w:id="109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3939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فقرة 1084 </w:t>
      </w:r>
      <w:r w:rsidRPr="009A072C">
        <w:rPr>
          <w:rFonts w:cs="Traditional Arabic"/>
          <w:color w:val="000000"/>
          <w:sz w:val="24"/>
          <w:szCs w:val="28"/>
          <w:rtl/>
        </w:rPr>
        <w:t>–</w:t>
      </w:r>
      <w:r w:rsidRPr="009A072C">
        <w:rPr>
          <w:rFonts w:cs="Traditional Arabic" w:hint="cs"/>
          <w:color w:val="000000"/>
          <w:sz w:val="24"/>
          <w:szCs w:val="28"/>
          <w:rtl/>
        </w:rPr>
        <w:t xml:space="preserve"> دي هلتس فقرة 162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533</w:t>
      </w:r>
      <w:r>
        <w:rPr>
          <w:rFonts w:cs="Traditional Arabic" w:hint="cs"/>
          <w:color w:val="000000"/>
          <w:sz w:val="24"/>
          <w:szCs w:val="28"/>
          <w:rtl/>
        </w:rPr>
        <w:t xml:space="preserve"> .</w:t>
      </w:r>
    </w:p>
  </w:footnote>
  <w:footnote w:id="109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فرنسي 22 أغسطس سنة 1871 داللوز 73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321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فقرة 1084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531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157</w:t>
      </w:r>
      <w:r>
        <w:rPr>
          <w:rFonts w:cs="Traditional Arabic" w:hint="cs"/>
          <w:color w:val="000000"/>
          <w:sz w:val="24"/>
          <w:szCs w:val="28"/>
          <w:rtl/>
        </w:rPr>
        <w:t xml:space="preserve"> .</w:t>
      </w:r>
    </w:p>
  </w:footnote>
  <w:footnote w:id="110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1084</w:t>
      </w:r>
      <w:r>
        <w:rPr>
          <w:rFonts w:cs="Traditional Arabic" w:hint="cs"/>
          <w:color w:val="000000"/>
          <w:sz w:val="24"/>
          <w:szCs w:val="28"/>
          <w:rtl/>
        </w:rPr>
        <w:t xml:space="preserve"> .</w:t>
      </w:r>
    </w:p>
  </w:footnote>
  <w:footnote w:id="110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3941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159</w:t>
      </w:r>
      <w:r>
        <w:rPr>
          <w:rFonts w:cs="Traditional Arabic" w:hint="cs"/>
          <w:color w:val="000000"/>
          <w:sz w:val="24"/>
          <w:szCs w:val="28"/>
          <w:rtl/>
        </w:rPr>
        <w:t xml:space="preserve"> .</w:t>
      </w:r>
    </w:p>
  </w:footnote>
  <w:footnote w:id="110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جيوار فقرة 1988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2350 </w:t>
      </w:r>
      <w:r w:rsidRPr="009A072C">
        <w:rPr>
          <w:rFonts w:cs="Traditional Arabic"/>
          <w:color w:val="000000"/>
          <w:sz w:val="24"/>
          <w:szCs w:val="28"/>
          <w:rtl/>
        </w:rPr>
        <w:t>–</w:t>
      </w:r>
      <w:r w:rsidRPr="009A072C">
        <w:rPr>
          <w:rFonts w:cs="Traditional Arabic" w:hint="cs"/>
          <w:color w:val="000000"/>
          <w:sz w:val="24"/>
          <w:szCs w:val="28"/>
          <w:rtl/>
        </w:rPr>
        <w:t xml:space="preserve"> بيدان فقرة 2350 </w:t>
      </w:r>
      <w:r w:rsidRPr="009A072C">
        <w:rPr>
          <w:rFonts w:cs="Traditional Arabic"/>
          <w:color w:val="000000"/>
          <w:sz w:val="24"/>
          <w:szCs w:val="28"/>
          <w:rtl/>
        </w:rPr>
        <w:t>–</w:t>
      </w:r>
      <w:r w:rsidRPr="009A072C">
        <w:rPr>
          <w:rFonts w:cs="Traditional Arabic" w:hint="cs"/>
          <w:color w:val="000000"/>
          <w:sz w:val="24"/>
          <w:szCs w:val="28"/>
          <w:rtl/>
        </w:rPr>
        <w:t xml:space="preserve"> بيدان فقرة 951 </w:t>
      </w:r>
      <w:r w:rsidRPr="009A072C">
        <w:rPr>
          <w:rFonts w:cs="Traditional Arabic"/>
          <w:color w:val="000000"/>
          <w:sz w:val="24"/>
          <w:szCs w:val="28"/>
          <w:rtl/>
        </w:rPr>
        <w:t>–</w:t>
      </w:r>
      <w:r w:rsidRPr="009A072C">
        <w:rPr>
          <w:rFonts w:cs="Traditional Arabic" w:hint="cs"/>
          <w:color w:val="000000"/>
          <w:sz w:val="24"/>
          <w:szCs w:val="28"/>
          <w:rtl/>
        </w:rPr>
        <w:t xml:space="preserve"> فقرة 952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293 مكررة هامش 17 ثالثا </w:t>
      </w:r>
      <w:r w:rsidRPr="009A072C">
        <w:rPr>
          <w:rFonts w:cs="Traditional Arabic"/>
          <w:color w:val="000000"/>
          <w:sz w:val="24"/>
          <w:szCs w:val="28"/>
          <w:rtl/>
        </w:rPr>
        <w:t>–</w:t>
      </w:r>
      <w:r w:rsidRPr="009A072C">
        <w:rPr>
          <w:rFonts w:cs="Traditional Arabic" w:hint="cs"/>
          <w:color w:val="000000"/>
          <w:sz w:val="24"/>
          <w:szCs w:val="28"/>
          <w:rtl/>
        </w:rPr>
        <w:t xml:space="preserve"> عكس ذلك هيك 14 فقرة89</w:t>
      </w:r>
      <w:r>
        <w:rPr>
          <w:rFonts w:cs="Traditional Arabic" w:hint="cs"/>
          <w:color w:val="000000"/>
          <w:sz w:val="24"/>
          <w:szCs w:val="28"/>
          <w:rtl/>
        </w:rPr>
        <w:t xml:space="preserve"> .</w:t>
      </w:r>
    </w:p>
  </w:footnote>
  <w:footnote w:id="110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محمد كامل مرسي فقرة 155 ص 224 </w:t>
      </w:r>
      <w:r w:rsidRPr="009A072C">
        <w:rPr>
          <w:rFonts w:cs="Traditional Arabic"/>
          <w:color w:val="000000"/>
          <w:sz w:val="24"/>
          <w:szCs w:val="28"/>
          <w:rtl/>
        </w:rPr>
        <w:t>–</w:t>
      </w:r>
      <w:r w:rsidRPr="009A072C">
        <w:rPr>
          <w:rFonts w:cs="Traditional Arabic" w:hint="cs"/>
          <w:color w:val="000000"/>
          <w:sz w:val="24"/>
          <w:szCs w:val="28"/>
          <w:rtl/>
        </w:rPr>
        <w:t xml:space="preserve"> 225</w:t>
      </w:r>
      <w:r>
        <w:rPr>
          <w:rFonts w:cs="Traditional Arabic" w:hint="cs"/>
          <w:color w:val="000000"/>
          <w:sz w:val="24"/>
          <w:szCs w:val="28"/>
          <w:rtl/>
        </w:rPr>
        <w:t xml:space="preserve"> .</w:t>
      </w:r>
    </w:p>
  </w:footnote>
  <w:footnote w:id="110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نص التقنين المدني الجديد على وجوب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فقرر في الفقرة الأولى من المادة 1064 مدني</w:t>
      </w:r>
      <w:r>
        <w:rPr>
          <w:rFonts w:cs="Traditional Arabic" w:hint="cs"/>
          <w:color w:val="000000"/>
          <w:sz w:val="24"/>
          <w:szCs w:val="28"/>
          <w:rtl/>
        </w:rPr>
        <w:t xml:space="preserve"> ،</w:t>
      </w:r>
      <w:r w:rsidRPr="009A072C">
        <w:rPr>
          <w:rFonts w:cs="Traditional Arabic" w:hint="cs"/>
          <w:color w:val="000000"/>
          <w:sz w:val="24"/>
          <w:szCs w:val="28"/>
          <w:rtl/>
        </w:rPr>
        <w:t xml:space="preserve"> كما رأينا</w:t>
      </w:r>
      <w:r>
        <w:rPr>
          <w:rFonts w:cs="Traditional Arabic" w:hint="cs"/>
          <w:color w:val="000000"/>
          <w:sz w:val="24"/>
          <w:szCs w:val="28"/>
          <w:rtl/>
        </w:rPr>
        <w:t xml:space="preserve"> ،</w:t>
      </w:r>
      <w:r w:rsidRPr="009A072C">
        <w:rPr>
          <w:rFonts w:cs="Traditional Arabic" w:hint="cs"/>
          <w:color w:val="000000"/>
          <w:sz w:val="24"/>
          <w:szCs w:val="28"/>
          <w:rtl/>
        </w:rPr>
        <w:t xml:space="preserve"> أنه "يجوز للحائز</w:t>
      </w:r>
      <w:r>
        <w:rPr>
          <w:rFonts w:cs="Traditional Arabic" w:hint="cs"/>
          <w:color w:val="000000"/>
          <w:sz w:val="24"/>
          <w:szCs w:val="28"/>
          <w:rtl/>
        </w:rPr>
        <w:t xml:space="preserve"> ،</w:t>
      </w:r>
      <w:r w:rsidRPr="009A072C">
        <w:rPr>
          <w:rFonts w:cs="Traditional Arabic" w:hint="cs"/>
          <w:color w:val="000000"/>
          <w:sz w:val="24"/>
          <w:szCs w:val="28"/>
          <w:rtl/>
        </w:rPr>
        <w:t xml:space="preserve"> إذا سجل سند ملكيته</w:t>
      </w:r>
      <w:r>
        <w:rPr>
          <w:rFonts w:cs="Traditional Arabic" w:hint="cs"/>
          <w:color w:val="000000"/>
          <w:sz w:val="24"/>
          <w:szCs w:val="28"/>
          <w:rtl/>
        </w:rPr>
        <w:t xml:space="preserve"> ،</w:t>
      </w:r>
      <w:r w:rsidRPr="009A072C">
        <w:rPr>
          <w:rFonts w:cs="Traditional Arabic" w:hint="cs"/>
          <w:color w:val="000000"/>
          <w:sz w:val="24"/>
          <w:szCs w:val="28"/>
          <w:rtl/>
        </w:rPr>
        <w:t xml:space="preserve"> أن يطهر العقار من كل رهن تم قيده قبل تسجيل هذا السند"</w:t>
      </w:r>
      <w:r>
        <w:rPr>
          <w:rFonts w:cs="Traditional Arabic" w:hint="cs"/>
          <w:color w:val="000000"/>
          <w:sz w:val="24"/>
          <w:szCs w:val="28"/>
          <w:rtl/>
        </w:rPr>
        <w:t xml:space="preserve"> .</w:t>
      </w:r>
    </w:p>
  </w:footnote>
  <w:footnote w:id="110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وتقول المذكرة الإيضاحية للمشروع التمهيدي في هذا الصدد</w:t>
      </w:r>
      <w:r>
        <w:rPr>
          <w:rFonts w:cs="Traditional Arabic" w:hint="cs"/>
          <w:color w:val="000000"/>
          <w:sz w:val="24"/>
          <w:szCs w:val="28"/>
          <w:rtl/>
        </w:rPr>
        <w:t xml:space="preserve"> :</w:t>
      </w:r>
      <w:r w:rsidRPr="009A072C">
        <w:rPr>
          <w:rFonts w:cs="Traditional Arabic" w:hint="cs"/>
          <w:color w:val="000000"/>
          <w:sz w:val="24"/>
          <w:szCs w:val="28"/>
          <w:rtl/>
        </w:rPr>
        <w:t xml:space="preserve"> "يسجل الحائز سند ملكيته إذا كان سندا قابلا للتسجيل</w:t>
      </w:r>
      <w:r>
        <w:rPr>
          <w:rFonts w:cs="Traditional Arabic" w:hint="cs"/>
          <w:color w:val="000000"/>
          <w:sz w:val="24"/>
          <w:szCs w:val="28"/>
          <w:rtl/>
        </w:rPr>
        <w:t xml:space="preserve"> ،</w:t>
      </w:r>
      <w:r w:rsidRPr="009A072C">
        <w:rPr>
          <w:rFonts w:cs="Traditional Arabic" w:hint="cs"/>
          <w:color w:val="000000"/>
          <w:sz w:val="24"/>
          <w:szCs w:val="28"/>
          <w:rtl/>
        </w:rPr>
        <w:t xml:space="preserve"> حتى لو لم يكن تسجيله واجبا</w:t>
      </w:r>
      <w:r>
        <w:rPr>
          <w:rFonts w:cs="Traditional Arabic" w:hint="cs"/>
          <w:color w:val="000000"/>
          <w:sz w:val="24"/>
          <w:szCs w:val="28"/>
          <w:rtl/>
        </w:rPr>
        <w:t xml:space="preserve"> .</w:t>
      </w:r>
      <w:r w:rsidRPr="009A072C">
        <w:rPr>
          <w:rFonts w:cs="Traditional Arabic" w:hint="cs"/>
          <w:color w:val="000000"/>
          <w:sz w:val="24"/>
          <w:szCs w:val="28"/>
          <w:rtl/>
        </w:rPr>
        <w:t xml:space="preserve"> فالمشتري يسجل البيع</w:t>
      </w:r>
      <w:r>
        <w:rPr>
          <w:rFonts w:cs="Traditional Arabic" w:hint="cs"/>
          <w:color w:val="000000"/>
          <w:sz w:val="24"/>
          <w:szCs w:val="28"/>
          <w:rtl/>
        </w:rPr>
        <w:t xml:space="preserve"> ،</w:t>
      </w:r>
      <w:r w:rsidRPr="009A072C">
        <w:rPr>
          <w:rFonts w:cs="Traditional Arabic" w:hint="cs"/>
          <w:color w:val="000000"/>
          <w:sz w:val="24"/>
          <w:szCs w:val="28"/>
          <w:rtl/>
        </w:rPr>
        <w:t xml:space="preserve"> والموهوب له يسجل الهبة</w:t>
      </w:r>
      <w:r>
        <w:rPr>
          <w:rFonts w:cs="Traditional Arabic" w:hint="cs"/>
          <w:color w:val="000000"/>
          <w:sz w:val="24"/>
          <w:szCs w:val="28"/>
          <w:rtl/>
        </w:rPr>
        <w:t xml:space="preserve"> ،</w:t>
      </w:r>
      <w:r w:rsidRPr="009A072C">
        <w:rPr>
          <w:rFonts w:cs="Traditional Arabic" w:hint="cs"/>
          <w:color w:val="000000"/>
          <w:sz w:val="24"/>
          <w:szCs w:val="28"/>
          <w:rtl/>
        </w:rPr>
        <w:t xml:space="preserve"> والشفيع يسجل حكم الشفعة </w:t>
      </w:r>
      <w:r>
        <w:rPr>
          <w:rFonts w:cs="Traditional Arabic" w:hint="cs"/>
          <w:color w:val="000000"/>
          <w:sz w:val="24"/>
          <w:szCs w:val="28"/>
          <w:rtl/>
        </w:rPr>
        <w:t xml:space="preserve"> . . . .</w:t>
      </w:r>
      <w:r w:rsidRPr="009A072C">
        <w:rPr>
          <w:rFonts w:cs="Traditional Arabic" w:hint="cs"/>
          <w:color w:val="000000"/>
          <w:sz w:val="24"/>
          <w:szCs w:val="28"/>
          <w:rtl/>
        </w:rPr>
        <w:t xml:space="preserve"> والموصي له يسجل الوصية </w:t>
      </w:r>
      <w:r>
        <w:rPr>
          <w:rFonts w:cs="Traditional Arabic" w:hint="cs"/>
          <w:color w:val="000000"/>
          <w:sz w:val="24"/>
          <w:szCs w:val="28"/>
          <w:rtl/>
        </w:rPr>
        <w:t xml:space="preserve"> . . .</w:t>
      </w:r>
      <w:r w:rsidRPr="009A072C">
        <w:rPr>
          <w:rFonts w:cs="Traditional Arabic" w:hint="cs"/>
          <w:color w:val="000000"/>
          <w:sz w:val="24"/>
          <w:szCs w:val="28"/>
          <w:rtl/>
        </w:rPr>
        <w:t xml:space="preserve"> والغرض من ذلك تحديد الرهون التي يجب تطهيرها</w:t>
      </w:r>
      <w:r>
        <w:rPr>
          <w:rFonts w:cs="Traditional Arabic" w:hint="cs"/>
          <w:color w:val="000000"/>
          <w:sz w:val="24"/>
          <w:szCs w:val="28"/>
          <w:rtl/>
        </w:rPr>
        <w:t xml:space="preserve"> ،</w:t>
      </w:r>
      <w:r w:rsidRPr="009A072C">
        <w:rPr>
          <w:rFonts w:cs="Traditional Arabic" w:hint="cs"/>
          <w:color w:val="000000"/>
          <w:sz w:val="24"/>
          <w:szCs w:val="28"/>
          <w:rtl/>
        </w:rPr>
        <w:t xml:space="preserve"> فإنه متى سجل الحائز سند ملكيته فلا يمكن بعد هذا التسجيل أن يستجد دائن مرتهن يكون رهنه نافذا في حق الحائز</w:t>
      </w:r>
      <w:r>
        <w:rPr>
          <w:rFonts w:cs="Traditional Arabic" w:hint="cs"/>
          <w:color w:val="000000"/>
          <w:sz w:val="24"/>
          <w:szCs w:val="28"/>
          <w:rtl/>
        </w:rPr>
        <w:t xml:space="preserve"> .</w:t>
      </w:r>
      <w:r w:rsidRPr="009A072C">
        <w:rPr>
          <w:rFonts w:cs="Traditional Arabic" w:hint="cs"/>
          <w:color w:val="000000"/>
          <w:sz w:val="24"/>
          <w:szCs w:val="28"/>
          <w:rtl/>
        </w:rPr>
        <w:t xml:space="preserve"> أما إذا كان سند الملكية غير قابل للتسجيل</w:t>
      </w:r>
      <w:r>
        <w:rPr>
          <w:rFonts w:cs="Traditional Arabic" w:hint="cs"/>
          <w:color w:val="000000"/>
          <w:sz w:val="24"/>
          <w:szCs w:val="28"/>
          <w:rtl/>
        </w:rPr>
        <w:t xml:space="preserve"> ،</w:t>
      </w:r>
      <w:r w:rsidRPr="009A072C">
        <w:rPr>
          <w:rFonts w:cs="Traditional Arabic" w:hint="cs"/>
          <w:color w:val="000000"/>
          <w:sz w:val="24"/>
          <w:szCs w:val="28"/>
          <w:rtl/>
        </w:rPr>
        <w:t xml:space="preserve"> بأن كان عملا ماديا لا عملا قانونيا</w:t>
      </w:r>
      <w:r>
        <w:rPr>
          <w:rFonts w:cs="Traditional Arabic" w:hint="cs"/>
          <w:color w:val="000000"/>
          <w:sz w:val="24"/>
          <w:szCs w:val="28"/>
          <w:rtl/>
        </w:rPr>
        <w:t xml:space="preserve"> ،</w:t>
      </w:r>
      <w:r w:rsidRPr="009A072C">
        <w:rPr>
          <w:rFonts w:cs="Traditional Arabic" w:hint="cs"/>
          <w:color w:val="000000"/>
          <w:sz w:val="24"/>
          <w:szCs w:val="28"/>
          <w:rtl/>
        </w:rPr>
        <w:t xml:space="preserve"> فلا سبيل للتسجيل في هذه الحالة</w:t>
      </w:r>
      <w:r>
        <w:rPr>
          <w:rFonts w:cs="Traditional Arabic" w:hint="cs"/>
          <w:color w:val="000000"/>
          <w:sz w:val="24"/>
          <w:szCs w:val="28"/>
          <w:rtl/>
        </w:rPr>
        <w:t xml:space="preserve"> .</w:t>
      </w:r>
      <w:r w:rsidRPr="009A072C">
        <w:rPr>
          <w:rFonts w:cs="Traditional Arabic" w:hint="cs"/>
          <w:color w:val="000000"/>
          <w:sz w:val="24"/>
          <w:szCs w:val="28"/>
          <w:rtl/>
        </w:rPr>
        <w:t xml:space="preserve"> فالحائز الذي ملك بالتقادم عقارا مرهونا ولم يسقط الرهن </w:t>
      </w:r>
      <w:r>
        <w:rPr>
          <w:rFonts w:cs="Traditional Arabic" w:hint="cs"/>
          <w:color w:val="000000"/>
          <w:sz w:val="24"/>
          <w:szCs w:val="28"/>
          <w:rtl/>
        </w:rPr>
        <w:t xml:space="preserve"> . . . .</w:t>
      </w:r>
      <w:r w:rsidRPr="009A072C">
        <w:rPr>
          <w:rFonts w:cs="Traditional Arabic" w:hint="cs"/>
          <w:color w:val="000000"/>
          <w:sz w:val="24"/>
          <w:szCs w:val="28"/>
          <w:rtl/>
        </w:rPr>
        <w:t xml:space="preserve"> يستطيع تطهير العقار دون أن يسجل شيئاً</w:t>
      </w:r>
      <w:r>
        <w:rPr>
          <w:rFonts w:cs="Traditional Arabic" w:hint="cs"/>
          <w:color w:val="000000"/>
          <w:sz w:val="24"/>
          <w:szCs w:val="28"/>
          <w:rtl/>
        </w:rPr>
        <w:t xml:space="preserve"> ،</w:t>
      </w:r>
      <w:r w:rsidRPr="009A072C">
        <w:rPr>
          <w:rFonts w:cs="Traditional Arabic" w:hint="cs"/>
          <w:color w:val="000000"/>
          <w:sz w:val="24"/>
          <w:szCs w:val="28"/>
          <w:rtl/>
        </w:rPr>
        <w:t xml:space="preserve"> لأن التقادم واقعة مادية تستعصي على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على أن التسجيل لا فائدة فيه هنا</w:t>
      </w:r>
      <w:r>
        <w:rPr>
          <w:rFonts w:cs="Traditional Arabic" w:hint="cs"/>
          <w:color w:val="000000"/>
          <w:sz w:val="24"/>
          <w:szCs w:val="28"/>
          <w:rtl/>
        </w:rPr>
        <w:t xml:space="preserve"> ،</w:t>
      </w:r>
      <w:r w:rsidRPr="009A072C">
        <w:rPr>
          <w:rFonts w:cs="Traditional Arabic" w:hint="cs"/>
          <w:color w:val="000000"/>
          <w:sz w:val="24"/>
          <w:szCs w:val="28"/>
          <w:rtl/>
        </w:rPr>
        <w:t xml:space="preserve"> فإنه من وقت تملك الحائز للعقار بالتقادم  يكون لأي رهن يعطي على العقار من غير الحائز قيمة في حق الحائز</w:t>
      </w:r>
      <w:r>
        <w:rPr>
          <w:rFonts w:cs="Traditional Arabic" w:hint="cs"/>
          <w:color w:val="000000"/>
          <w:sz w:val="24"/>
          <w:szCs w:val="28"/>
          <w:rtl/>
        </w:rPr>
        <w:t xml:space="preserve"> ،</w:t>
      </w:r>
      <w:r w:rsidRPr="009A072C">
        <w:rPr>
          <w:rFonts w:cs="Traditional Arabic" w:hint="cs"/>
          <w:color w:val="000000"/>
          <w:sz w:val="24"/>
          <w:szCs w:val="28"/>
          <w:rtl/>
        </w:rPr>
        <w:t xml:space="preserve"> سواء كان التملك بالتقادم الطويل أو بالتقادم القصير</w:t>
      </w:r>
      <w:r>
        <w:rPr>
          <w:rFonts w:cs="Traditional Arabic" w:hint="cs"/>
          <w:color w:val="000000"/>
          <w:sz w:val="24"/>
          <w:szCs w:val="28"/>
          <w:rtl/>
        </w:rPr>
        <w:t xml:space="preserve"> .</w:t>
      </w:r>
      <w:r w:rsidRPr="009A072C">
        <w:rPr>
          <w:rFonts w:cs="Traditional Arabic" w:hint="cs"/>
          <w:color w:val="000000"/>
          <w:sz w:val="24"/>
          <w:szCs w:val="28"/>
          <w:rtl/>
        </w:rPr>
        <w:t xml:space="preserve"> وإذا  كان السبب الصحيح في التقادم القصير واجب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وفقا لأحكام المشروع</w:t>
      </w:r>
      <w:r>
        <w:rPr>
          <w:rFonts w:cs="Traditional Arabic" w:hint="cs"/>
          <w:color w:val="000000"/>
          <w:sz w:val="24"/>
          <w:szCs w:val="28"/>
          <w:rtl/>
        </w:rPr>
        <w:t xml:space="preserve"> ،</w:t>
      </w:r>
      <w:r w:rsidRPr="009A072C">
        <w:rPr>
          <w:rFonts w:cs="Traditional Arabic" w:hint="cs"/>
          <w:color w:val="000000"/>
          <w:sz w:val="24"/>
          <w:szCs w:val="28"/>
          <w:rtl/>
        </w:rPr>
        <w:t xml:space="preserve"> فإن التسجيل واجب لكسب الملكية نفسها بالتقادم</w:t>
      </w:r>
      <w:r>
        <w:rPr>
          <w:rFonts w:cs="Traditional Arabic" w:hint="cs"/>
          <w:color w:val="000000"/>
          <w:sz w:val="24"/>
          <w:szCs w:val="28"/>
          <w:rtl/>
        </w:rPr>
        <w:t xml:space="preserve"> ،</w:t>
      </w:r>
      <w:r w:rsidRPr="009A072C">
        <w:rPr>
          <w:rFonts w:cs="Traditional Arabic" w:hint="cs"/>
          <w:color w:val="000000"/>
          <w:sz w:val="24"/>
          <w:szCs w:val="28"/>
          <w:rtl/>
        </w:rPr>
        <w:t xml:space="preserve"> وليس واجبا للتطهير</w:t>
      </w:r>
      <w:r>
        <w:rPr>
          <w:rFonts w:cs="Traditional Arabic" w:hint="cs"/>
          <w:color w:val="000000"/>
          <w:sz w:val="24"/>
          <w:szCs w:val="28"/>
          <w:rtl/>
        </w:rPr>
        <w:t xml:space="preserve"> .</w:t>
      </w:r>
      <w:r w:rsidRPr="009A072C">
        <w:rPr>
          <w:rFonts w:cs="Traditional Arabic" w:hint="cs"/>
          <w:color w:val="000000"/>
          <w:sz w:val="24"/>
          <w:szCs w:val="28"/>
          <w:rtl/>
        </w:rPr>
        <w:t xml:space="preserve"> ذلك أن من يتملك بالتقادم القصير لا يتملك  بالسبب الصحيح الناقل للملكية</w:t>
      </w:r>
      <w:r>
        <w:rPr>
          <w:rFonts w:cs="Traditional Arabic" w:hint="cs"/>
          <w:color w:val="000000"/>
          <w:sz w:val="24"/>
          <w:szCs w:val="28"/>
          <w:rtl/>
        </w:rPr>
        <w:t xml:space="preserve"> ،</w:t>
      </w:r>
      <w:r w:rsidRPr="009A072C">
        <w:rPr>
          <w:rFonts w:cs="Traditional Arabic" w:hint="cs"/>
          <w:color w:val="000000"/>
          <w:sz w:val="24"/>
          <w:szCs w:val="28"/>
          <w:rtl/>
        </w:rPr>
        <w:t xml:space="preserve"> وإنما يتملك بواقعة مادية تستعصي على التسجيل</w:t>
      </w:r>
      <w:r>
        <w:rPr>
          <w:rFonts w:cs="Traditional Arabic" w:hint="cs"/>
          <w:color w:val="000000"/>
          <w:sz w:val="24"/>
          <w:szCs w:val="28"/>
          <w:rtl/>
        </w:rPr>
        <w:t xml:space="preserve"> ،</w:t>
      </w:r>
      <w:r w:rsidRPr="009A072C">
        <w:rPr>
          <w:rFonts w:cs="Traditional Arabic" w:hint="cs"/>
          <w:color w:val="000000"/>
          <w:sz w:val="24"/>
          <w:szCs w:val="28"/>
          <w:rtl/>
        </w:rPr>
        <w:t xml:space="preserve"> هي الحيازة مقترنة بحسن النية وبها السبب الصحيح"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117 </w:t>
      </w:r>
      <w:r w:rsidRPr="009A072C">
        <w:rPr>
          <w:rFonts w:cs="Traditional Arabic"/>
          <w:color w:val="000000"/>
          <w:sz w:val="24"/>
          <w:szCs w:val="28"/>
          <w:rtl/>
        </w:rPr>
        <w:t>–</w:t>
      </w:r>
      <w:r w:rsidRPr="009A072C">
        <w:rPr>
          <w:rFonts w:cs="Traditional Arabic" w:hint="cs"/>
          <w:color w:val="000000"/>
          <w:sz w:val="24"/>
          <w:szCs w:val="28"/>
          <w:rtl/>
        </w:rPr>
        <w:t xml:space="preserve"> ص 118</w:t>
      </w:r>
      <w:r>
        <w:rPr>
          <w:rFonts w:cs="Traditional Arabic" w:hint="cs"/>
          <w:color w:val="000000"/>
          <w:sz w:val="24"/>
          <w:szCs w:val="28"/>
          <w:rtl/>
        </w:rPr>
        <w:t xml:space="preserve"> ) .</w:t>
      </w:r>
    </w:p>
  </w:footnote>
  <w:footnote w:id="110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160 ص 230</w:t>
      </w:r>
      <w:r>
        <w:rPr>
          <w:rFonts w:cs="Traditional Arabic" w:hint="cs"/>
          <w:color w:val="000000"/>
          <w:sz w:val="24"/>
          <w:szCs w:val="28"/>
          <w:rtl/>
        </w:rPr>
        <w:t xml:space="preserve"> .</w:t>
      </w:r>
    </w:p>
  </w:footnote>
  <w:footnote w:id="110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دي هلتس فقرة 159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538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153 ص 222</w:t>
      </w:r>
      <w:r>
        <w:rPr>
          <w:rFonts w:cs="Traditional Arabic" w:hint="cs"/>
          <w:color w:val="000000"/>
          <w:sz w:val="24"/>
          <w:szCs w:val="28"/>
          <w:rtl/>
        </w:rPr>
        <w:t xml:space="preserve"> .</w:t>
      </w:r>
    </w:p>
  </w:footnote>
  <w:footnote w:id="110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وكان المشروع التمهيدي ينص على أن الحق في التطهير يبقى قائما "يوم صدور الحكم بنزع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فعدلت لجنة المراجعة النص</w:t>
      </w:r>
      <w:r>
        <w:rPr>
          <w:rFonts w:cs="Traditional Arabic" w:hint="cs"/>
          <w:color w:val="000000"/>
          <w:sz w:val="24"/>
          <w:szCs w:val="28"/>
          <w:rtl/>
        </w:rPr>
        <w:t xml:space="preserve"> ،</w:t>
      </w:r>
      <w:r w:rsidRPr="009A072C">
        <w:rPr>
          <w:rFonts w:cs="Traditional Arabic" w:hint="cs"/>
          <w:color w:val="000000"/>
          <w:sz w:val="24"/>
          <w:szCs w:val="28"/>
          <w:rtl/>
        </w:rPr>
        <w:t xml:space="preserve"> فصار "إلى يوم توقيع الحجز العقاري"</w:t>
      </w:r>
      <w:r>
        <w:rPr>
          <w:rFonts w:cs="Traditional Arabic" w:hint="cs"/>
          <w:color w:val="000000"/>
          <w:sz w:val="24"/>
          <w:szCs w:val="28"/>
          <w:rtl/>
        </w:rPr>
        <w:t xml:space="preserve"> .</w:t>
      </w:r>
      <w:r w:rsidRPr="009A072C">
        <w:rPr>
          <w:rFonts w:cs="Traditional Arabic" w:hint="cs"/>
          <w:color w:val="000000"/>
          <w:sz w:val="24"/>
          <w:szCs w:val="28"/>
          <w:rtl/>
        </w:rPr>
        <w:t xml:space="preserve"> وفي مجلس النواب</w:t>
      </w:r>
      <w:r>
        <w:rPr>
          <w:rFonts w:cs="Traditional Arabic" w:hint="cs"/>
          <w:color w:val="000000"/>
          <w:sz w:val="24"/>
          <w:szCs w:val="28"/>
          <w:rtl/>
        </w:rPr>
        <w:t xml:space="preserve"> ،</w:t>
      </w:r>
      <w:r w:rsidRPr="009A072C">
        <w:rPr>
          <w:rFonts w:cs="Traditional Arabic" w:hint="cs"/>
          <w:color w:val="000000"/>
          <w:sz w:val="24"/>
          <w:szCs w:val="28"/>
          <w:rtl/>
        </w:rPr>
        <w:t xml:space="preserve"> أضيفت عبارة "أو صدور الحكم بنزع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ولكن في لجنة مجلس الشيوخ حذفت عبارة "توقيع الحجز العقاري أو صدور حكم بنزع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واستعيض عنها بعبارة "إيداع قائمة شروط البيع"</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"ويودع من يباشر الإجراءات قلم كتاب محكمة التنفيذ قائمة شروط البيع خلال تسعين يوما من تاريخ تسجيل تنبيه 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وإلا اعتبر تسجيل التنبيه كأن لم يكن" </w:t>
      </w:r>
      <w:r>
        <w:rPr>
          <w:rFonts w:cs="Traditional Arabic" w:hint="cs"/>
          <w:color w:val="000000"/>
          <w:sz w:val="24"/>
          <w:szCs w:val="28"/>
          <w:rtl/>
        </w:rPr>
        <w:t xml:space="preserve">( </w:t>
      </w:r>
      <w:r w:rsidRPr="009A072C">
        <w:rPr>
          <w:rFonts w:cs="Traditional Arabic" w:hint="cs"/>
          <w:color w:val="000000"/>
          <w:sz w:val="24"/>
          <w:szCs w:val="28"/>
          <w:rtl/>
        </w:rPr>
        <w:t>م 414 من تقنين المرافعات الجديد</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وظهرت الفقرة الثانية من المادة 1064 مدني أخيرا</w:t>
      </w:r>
      <w:r>
        <w:rPr>
          <w:rFonts w:cs="Traditional Arabic" w:hint="cs"/>
          <w:color w:val="000000"/>
          <w:sz w:val="24"/>
          <w:szCs w:val="28"/>
          <w:rtl/>
        </w:rPr>
        <w:t xml:space="preserve"> ،</w:t>
      </w:r>
      <w:r w:rsidRPr="009A072C">
        <w:rPr>
          <w:rFonts w:cs="Traditional Arabic" w:hint="cs"/>
          <w:color w:val="000000"/>
          <w:sz w:val="24"/>
          <w:szCs w:val="28"/>
          <w:rtl/>
        </w:rPr>
        <w:t xml:space="preserve"> كما رأينا</w:t>
      </w:r>
      <w:r>
        <w:rPr>
          <w:rFonts w:cs="Traditional Arabic" w:hint="cs"/>
          <w:color w:val="000000"/>
          <w:sz w:val="24"/>
          <w:szCs w:val="28"/>
          <w:rtl/>
        </w:rPr>
        <w:t xml:space="preserve"> ،</w:t>
      </w:r>
      <w:r w:rsidRPr="009A072C">
        <w:rPr>
          <w:rFonts w:cs="Traditional Arabic" w:hint="cs"/>
          <w:color w:val="000000"/>
          <w:sz w:val="24"/>
          <w:szCs w:val="28"/>
          <w:rtl/>
        </w:rPr>
        <w:t xml:space="preserve"> على الوجه الآتي</w:t>
      </w:r>
      <w:r>
        <w:rPr>
          <w:rFonts w:cs="Traditional Arabic" w:hint="cs"/>
          <w:color w:val="000000"/>
          <w:sz w:val="24"/>
          <w:szCs w:val="28"/>
          <w:rtl/>
        </w:rPr>
        <w:t xml:space="preserve"> :</w:t>
      </w:r>
      <w:r w:rsidRPr="009A072C">
        <w:rPr>
          <w:rFonts w:cs="Traditional Arabic" w:hint="cs"/>
          <w:color w:val="000000"/>
          <w:sz w:val="24"/>
          <w:szCs w:val="28"/>
          <w:rtl/>
        </w:rPr>
        <w:t xml:space="preserve"> "وللحائز أن يستعمل هذا الحق حتى قبل أن يوجه الدائنون المرتهنون التنبيه إلى المدين</w:t>
      </w:r>
      <w:r>
        <w:rPr>
          <w:rFonts w:cs="Traditional Arabic" w:hint="cs"/>
          <w:color w:val="000000"/>
          <w:sz w:val="24"/>
          <w:szCs w:val="28"/>
          <w:rtl/>
        </w:rPr>
        <w:t xml:space="preserve"> ،</w:t>
      </w:r>
      <w:r w:rsidRPr="009A072C">
        <w:rPr>
          <w:rFonts w:cs="Traditional Arabic" w:hint="cs"/>
          <w:color w:val="000000"/>
          <w:sz w:val="24"/>
          <w:szCs w:val="28"/>
          <w:rtl/>
        </w:rPr>
        <w:t xml:space="preserve"> أو الإنذار إلى هذا الحائز</w:t>
      </w:r>
      <w:r>
        <w:rPr>
          <w:rFonts w:cs="Traditional Arabic" w:hint="cs"/>
          <w:color w:val="000000"/>
          <w:sz w:val="24"/>
          <w:szCs w:val="28"/>
          <w:rtl/>
        </w:rPr>
        <w:t xml:space="preserve"> ،</w:t>
      </w:r>
      <w:r w:rsidRPr="009A072C">
        <w:rPr>
          <w:rFonts w:cs="Traditional Arabic" w:hint="cs"/>
          <w:color w:val="000000"/>
          <w:sz w:val="24"/>
          <w:szCs w:val="28"/>
          <w:rtl/>
        </w:rPr>
        <w:t xml:space="preserve"> ويبقى هذا الق قائما إلى يوم إيداع قائمة شروط البيع"</w:t>
      </w:r>
      <w:r>
        <w:rPr>
          <w:rFonts w:cs="Traditional Arabic" w:hint="cs"/>
          <w:color w:val="000000"/>
          <w:sz w:val="24"/>
          <w:szCs w:val="28"/>
          <w:rtl/>
        </w:rPr>
        <w:t xml:space="preserve"> .</w:t>
      </w:r>
    </w:p>
  </w:footnote>
  <w:footnote w:id="110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1488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تحتر رقم 1167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مجلس النواب تحت رقم 1153</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1065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106 </w:t>
      </w:r>
      <w:r w:rsidRPr="009A072C">
        <w:rPr>
          <w:rFonts w:cs="Traditional Arabic"/>
          <w:color w:val="000000"/>
          <w:sz w:val="24"/>
          <w:szCs w:val="28"/>
          <w:rtl/>
        </w:rPr>
        <w:t>–</w:t>
      </w:r>
      <w:r w:rsidRPr="009A072C">
        <w:rPr>
          <w:rFonts w:cs="Traditional Arabic" w:hint="cs"/>
          <w:color w:val="000000"/>
          <w:sz w:val="24"/>
          <w:szCs w:val="28"/>
          <w:rtl/>
        </w:rPr>
        <w:t xml:space="preserve"> ص 107</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575 / 697</w:t>
      </w:r>
      <w:r>
        <w:rPr>
          <w:rFonts w:cs="Traditional Arabic" w:hint="cs"/>
          <w:color w:val="000000"/>
          <w:sz w:val="24"/>
          <w:szCs w:val="28"/>
          <w:rtl/>
        </w:rPr>
        <w:t xml:space="preserve"> :</w:t>
      </w:r>
      <w:r w:rsidRPr="009A072C">
        <w:rPr>
          <w:rFonts w:cs="Traditional Arabic" w:hint="cs"/>
          <w:color w:val="000000"/>
          <w:sz w:val="24"/>
          <w:szCs w:val="28"/>
          <w:rtl/>
        </w:rPr>
        <w:t xml:space="preserve"> وللحائز المذكور الخيار في أن يدفع الدين ويحل محل الدائن في حقوقه</w:t>
      </w:r>
      <w:r>
        <w:rPr>
          <w:rFonts w:cs="Traditional Arabic" w:hint="cs"/>
          <w:color w:val="000000"/>
          <w:sz w:val="24"/>
          <w:szCs w:val="28"/>
          <w:rtl/>
        </w:rPr>
        <w:t xml:space="preserve"> ،</w:t>
      </w:r>
      <w:r w:rsidRPr="009A072C">
        <w:rPr>
          <w:rFonts w:cs="Traditional Arabic" w:hint="cs"/>
          <w:color w:val="000000"/>
          <w:sz w:val="24"/>
          <w:szCs w:val="28"/>
          <w:rtl/>
        </w:rPr>
        <w:t xml:space="preserve"> أو أن يعرض لوفاء الديون مبلغا يقدر به قيمة العقار ولا يجوز أن يكون أقل من الباقي في ذمته من ثمنه</w:t>
      </w:r>
      <w:r>
        <w:rPr>
          <w:rFonts w:cs="Traditional Arabic" w:hint="cs"/>
          <w:color w:val="000000"/>
          <w:sz w:val="24"/>
          <w:szCs w:val="28"/>
          <w:rtl/>
        </w:rPr>
        <w:t xml:space="preserve"> ،</w:t>
      </w:r>
      <w:r w:rsidRPr="009A072C">
        <w:rPr>
          <w:rFonts w:cs="Traditional Arabic" w:hint="cs"/>
          <w:color w:val="000000"/>
          <w:sz w:val="24"/>
          <w:szCs w:val="28"/>
          <w:rtl/>
        </w:rPr>
        <w:t xml:space="preserve"> أو يخلي العقار المرهون</w:t>
      </w:r>
      <w:r>
        <w:rPr>
          <w:rFonts w:cs="Traditional Arabic" w:hint="cs"/>
          <w:color w:val="000000"/>
          <w:sz w:val="24"/>
          <w:szCs w:val="28"/>
          <w:rtl/>
        </w:rPr>
        <w:t xml:space="preserve"> ،</w:t>
      </w:r>
      <w:r w:rsidRPr="009A072C">
        <w:rPr>
          <w:rFonts w:cs="Traditional Arabic" w:hint="cs"/>
          <w:color w:val="000000"/>
          <w:sz w:val="24"/>
          <w:szCs w:val="28"/>
          <w:rtl/>
        </w:rPr>
        <w:t xml:space="preserve"> أو يتحمل الإجراءات الرسمية المعلقة بنزع الملكية</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580 / 703</w:t>
      </w:r>
      <w:r>
        <w:rPr>
          <w:rFonts w:cs="Traditional Arabic" w:hint="cs"/>
          <w:color w:val="000000"/>
          <w:sz w:val="24"/>
          <w:szCs w:val="28"/>
          <w:rtl/>
        </w:rPr>
        <w:t xml:space="preserve"> :</w:t>
      </w:r>
      <w:r w:rsidRPr="009A072C">
        <w:rPr>
          <w:rFonts w:cs="Traditional Arabic" w:hint="cs"/>
          <w:color w:val="000000"/>
          <w:sz w:val="24"/>
          <w:szCs w:val="28"/>
          <w:rtl/>
        </w:rPr>
        <w:t xml:space="preserve"> إذا كان أجزاء العقار مرهونة كل جزء على انفراده</w:t>
      </w:r>
      <w:r>
        <w:rPr>
          <w:rFonts w:cs="Traditional Arabic" w:hint="cs"/>
          <w:color w:val="000000"/>
          <w:sz w:val="24"/>
          <w:szCs w:val="28"/>
          <w:rtl/>
        </w:rPr>
        <w:t xml:space="preserve"> ،</w:t>
      </w:r>
      <w:r w:rsidRPr="009A072C">
        <w:rPr>
          <w:rFonts w:cs="Traditional Arabic" w:hint="cs"/>
          <w:color w:val="000000"/>
          <w:sz w:val="24"/>
          <w:szCs w:val="28"/>
          <w:rtl/>
        </w:rPr>
        <w:t>وجب تقدير كل منها على حدثه</w:t>
      </w:r>
      <w:r>
        <w:rPr>
          <w:rFonts w:cs="Traditional Arabic" w:hint="cs"/>
          <w:color w:val="000000"/>
          <w:sz w:val="24"/>
          <w:szCs w:val="28"/>
          <w:rtl/>
        </w:rPr>
        <w:t xml:space="preserve"> .</w:t>
      </w:r>
    </w:p>
  </w:footnote>
  <w:footnote w:id="111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2406 وفقرة 2417 </w:t>
      </w:r>
      <w:r w:rsidRPr="009A072C">
        <w:rPr>
          <w:rFonts w:cs="Traditional Arabic"/>
          <w:color w:val="000000"/>
          <w:sz w:val="24"/>
          <w:szCs w:val="28"/>
          <w:rtl/>
        </w:rPr>
        <w:t>–</w:t>
      </w:r>
      <w:r w:rsidRPr="009A072C">
        <w:rPr>
          <w:rFonts w:cs="Traditional Arabic" w:hint="cs"/>
          <w:color w:val="000000"/>
          <w:sz w:val="24"/>
          <w:szCs w:val="28"/>
          <w:rtl/>
        </w:rPr>
        <w:t xml:space="preserve"> دي هلتس فقرة 177 </w:t>
      </w:r>
      <w:r w:rsidRPr="009A072C">
        <w:rPr>
          <w:rFonts w:cs="Traditional Arabic"/>
          <w:color w:val="000000"/>
          <w:sz w:val="24"/>
          <w:szCs w:val="28"/>
          <w:rtl/>
        </w:rPr>
        <w:t>–</w:t>
      </w:r>
      <w:r w:rsidRPr="009A072C">
        <w:rPr>
          <w:rFonts w:cs="Traditional Arabic" w:hint="cs"/>
          <w:color w:val="000000"/>
          <w:sz w:val="24"/>
          <w:szCs w:val="28"/>
          <w:rtl/>
        </w:rPr>
        <w:t xml:space="preserve"> هالتون ص 307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165</w:t>
      </w:r>
      <w:r>
        <w:rPr>
          <w:rFonts w:cs="Traditional Arabic" w:hint="cs"/>
          <w:color w:val="000000"/>
          <w:sz w:val="24"/>
          <w:szCs w:val="28"/>
          <w:rtl/>
        </w:rPr>
        <w:t xml:space="preserve"> .</w:t>
      </w:r>
    </w:p>
  </w:footnote>
  <w:footnote w:id="111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2407</w:t>
      </w:r>
      <w:r>
        <w:rPr>
          <w:rFonts w:cs="Traditional Arabic" w:hint="cs"/>
          <w:color w:val="000000"/>
          <w:sz w:val="24"/>
          <w:szCs w:val="28"/>
          <w:rtl/>
        </w:rPr>
        <w:t xml:space="preserve"> .</w:t>
      </w:r>
    </w:p>
  </w:footnote>
  <w:footnote w:id="111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فرنسي 14 نوفمبر سنة 1894 داللوز 96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513</w:t>
      </w:r>
      <w:r>
        <w:rPr>
          <w:rFonts w:cs="Traditional Arabic" w:hint="cs"/>
          <w:color w:val="000000"/>
          <w:sz w:val="24"/>
          <w:szCs w:val="28"/>
          <w:rtl/>
        </w:rPr>
        <w:t xml:space="preserve"> .</w:t>
      </w:r>
    </w:p>
  </w:footnote>
  <w:footnote w:id="111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2407</w:t>
      </w:r>
      <w:r>
        <w:rPr>
          <w:rFonts w:cs="Traditional Arabic" w:hint="cs"/>
          <w:color w:val="000000"/>
          <w:sz w:val="24"/>
          <w:szCs w:val="28"/>
          <w:rtl/>
        </w:rPr>
        <w:t xml:space="preserve"> .</w:t>
      </w:r>
    </w:p>
  </w:footnote>
  <w:footnote w:id="111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2022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2410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294 ص 854 هامش 14</w:t>
      </w:r>
      <w:r>
        <w:rPr>
          <w:rFonts w:cs="Traditional Arabic" w:hint="cs"/>
          <w:color w:val="000000"/>
          <w:sz w:val="24"/>
          <w:szCs w:val="28"/>
          <w:rtl/>
        </w:rPr>
        <w:t xml:space="preserve"> .</w:t>
      </w:r>
    </w:p>
  </w:footnote>
  <w:footnote w:id="111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2029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2412</w:t>
      </w:r>
      <w:r>
        <w:rPr>
          <w:rFonts w:cs="Traditional Arabic" w:hint="cs"/>
          <w:color w:val="000000"/>
          <w:sz w:val="24"/>
          <w:szCs w:val="28"/>
          <w:rtl/>
        </w:rPr>
        <w:t xml:space="preserve"> .</w:t>
      </w:r>
    </w:p>
  </w:footnote>
  <w:footnote w:id="111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118 </w:t>
      </w:r>
      <w:r w:rsidRPr="009A072C">
        <w:rPr>
          <w:rFonts w:cs="Traditional Arabic"/>
          <w:color w:val="000000"/>
          <w:sz w:val="24"/>
          <w:szCs w:val="28"/>
          <w:rtl/>
        </w:rPr>
        <w:t>–</w:t>
      </w:r>
      <w:r w:rsidRPr="009A072C">
        <w:rPr>
          <w:rFonts w:cs="Traditional Arabic" w:hint="cs"/>
          <w:color w:val="000000"/>
          <w:sz w:val="24"/>
          <w:szCs w:val="28"/>
          <w:rtl/>
        </w:rPr>
        <w:t xml:space="preserve"> ص 119</w:t>
      </w:r>
      <w:r>
        <w:rPr>
          <w:rFonts w:cs="Traditional Arabic" w:hint="cs"/>
          <w:color w:val="000000"/>
          <w:sz w:val="24"/>
          <w:szCs w:val="28"/>
          <w:rtl/>
        </w:rPr>
        <w:t xml:space="preserve"> .</w:t>
      </w:r>
    </w:p>
  </w:footnote>
  <w:footnote w:id="111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164 ص 233 هامش 5 </w:t>
      </w:r>
      <w:r w:rsidRPr="009A072C">
        <w:rPr>
          <w:rFonts w:cs="Traditional Arabic"/>
          <w:color w:val="000000"/>
          <w:sz w:val="24"/>
          <w:szCs w:val="28"/>
          <w:rtl/>
        </w:rPr>
        <w:t>–</w:t>
      </w:r>
      <w:r w:rsidRPr="009A072C">
        <w:rPr>
          <w:rFonts w:cs="Traditional Arabic" w:hint="cs"/>
          <w:color w:val="000000"/>
          <w:sz w:val="24"/>
          <w:szCs w:val="28"/>
          <w:rtl/>
        </w:rPr>
        <w:t xml:space="preserve"> وقارن سليمان مرقس فقرة 164 ص 262 هامش 1</w:t>
      </w:r>
      <w:r>
        <w:rPr>
          <w:rFonts w:cs="Traditional Arabic" w:hint="cs"/>
          <w:color w:val="000000"/>
          <w:sz w:val="24"/>
          <w:szCs w:val="28"/>
          <w:rtl/>
        </w:rPr>
        <w:t xml:space="preserve"> .</w:t>
      </w:r>
    </w:p>
  </w:footnote>
  <w:footnote w:id="111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1489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المدنين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1168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1154 ثم مجلس الشيوخ تحت رقم 1066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109 </w:t>
      </w:r>
      <w:r w:rsidRPr="009A072C">
        <w:rPr>
          <w:rFonts w:cs="Traditional Arabic"/>
          <w:color w:val="000000"/>
          <w:sz w:val="24"/>
          <w:szCs w:val="28"/>
          <w:rtl/>
        </w:rPr>
        <w:t>–</w:t>
      </w:r>
      <w:r w:rsidRPr="009A072C">
        <w:rPr>
          <w:rFonts w:cs="Traditional Arabic" w:hint="cs"/>
          <w:color w:val="000000"/>
          <w:sz w:val="24"/>
          <w:szCs w:val="28"/>
          <w:rtl/>
        </w:rPr>
        <w:t xml:space="preserve"> ص 110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581 / 704</w:t>
      </w:r>
      <w:r>
        <w:rPr>
          <w:rFonts w:cs="Traditional Arabic" w:hint="cs"/>
          <w:color w:val="000000"/>
          <w:sz w:val="24"/>
          <w:szCs w:val="28"/>
          <w:rtl/>
        </w:rPr>
        <w:t xml:space="preserve"> :</w:t>
      </w:r>
      <w:r w:rsidRPr="009A072C">
        <w:rPr>
          <w:rFonts w:cs="Traditional Arabic" w:hint="cs"/>
          <w:color w:val="000000"/>
          <w:sz w:val="24"/>
          <w:szCs w:val="28"/>
          <w:rtl/>
        </w:rPr>
        <w:t xml:space="preserve"> لا يكون عرض المبلغ عينا</w:t>
      </w:r>
      <w:r>
        <w:rPr>
          <w:rFonts w:cs="Traditional Arabic" w:hint="cs"/>
          <w:color w:val="000000"/>
          <w:sz w:val="24"/>
          <w:szCs w:val="28"/>
          <w:rtl/>
        </w:rPr>
        <w:t xml:space="preserve"> ،</w:t>
      </w:r>
      <w:r w:rsidRPr="009A072C">
        <w:rPr>
          <w:rFonts w:cs="Traditional Arabic" w:hint="cs"/>
          <w:color w:val="000000"/>
          <w:sz w:val="24"/>
          <w:szCs w:val="28"/>
          <w:rtl/>
        </w:rPr>
        <w:t xml:space="preserve"> إنما يجب عرض مبلغ يدفع نقدا</w:t>
      </w:r>
      <w:r>
        <w:rPr>
          <w:rFonts w:cs="Traditional Arabic" w:hint="cs"/>
          <w:color w:val="000000"/>
          <w:sz w:val="24"/>
          <w:szCs w:val="28"/>
          <w:rtl/>
        </w:rPr>
        <w:t xml:space="preserve"> ،</w:t>
      </w:r>
      <w:r w:rsidRPr="009A072C">
        <w:rPr>
          <w:rFonts w:cs="Traditional Arabic" w:hint="cs"/>
          <w:color w:val="000000"/>
          <w:sz w:val="24"/>
          <w:szCs w:val="28"/>
          <w:rtl/>
        </w:rPr>
        <w:t xml:space="preserve"> أياً كان ميعاد حلول الديون المسجلة</w:t>
      </w:r>
      <w:r>
        <w:rPr>
          <w:rFonts w:cs="Traditional Arabic" w:hint="cs"/>
          <w:color w:val="000000"/>
          <w:sz w:val="24"/>
          <w:szCs w:val="28"/>
          <w:rtl/>
        </w:rPr>
        <w:t xml:space="preserve"> .</w:t>
      </w:r>
    </w:p>
  </w:footnote>
  <w:footnote w:id="111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119</w:t>
      </w:r>
      <w:r>
        <w:rPr>
          <w:rFonts w:cs="Traditional Arabic" w:hint="cs"/>
          <w:color w:val="000000"/>
          <w:sz w:val="24"/>
          <w:szCs w:val="28"/>
          <w:rtl/>
        </w:rPr>
        <w:t xml:space="preserve"> .</w:t>
      </w:r>
    </w:p>
  </w:footnote>
  <w:footnote w:id="1120">
    <w:p w:rsidR="00F72742" w:rsidRPr="009A072C" w:rsidRDefault="00F72742" w:rsidP="00F72742">
      <w:pPr>
        <w:pStyle w:val="aa"/>
        <w:widowControl w:val="0"/>
        <w:ind w:firstLine="567"/>
        <w:jc w:val="lowKashida"/>
        <w:rPr>
          <w:rFonts w:cs="Traditional Arabic"/>
          <w:color w:val="000000"/>
          <w:sz w:val="24"/>
          <w:szCs w:val="28"/>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Pr>
        <w:t>enoncation substantienlles</w:t>
      </w:r>
    </w:p>
  </w:footnote>
  <w:footnote w:id="1121">
    <w:p w:rsidR="00F72742" w:rsidRPr="009A072C" w:rsidRDefault="00F72742" w:rsidP="00F72742">
      <w:pPr>
        <w:pStyle w:val="aa"/>
        <w:widowControl w:val="0"/>
        <w:ind w:firstLine="567"/>
        <w:jc w:val="lowKashida"/>
        <w:rPr>
          <w:rFonts w:cs="Traditional Arabic"/>
          <w:color w:val="000000"/>
          <w:sz w:val="24"/>
          <w:szCs w:val="28"/>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Pr>
        <w:t>enonciations non – substienlles, secoedaires</w:t>
      </w:r>
    </w:p>
  </w:footnote>
  <w:footnote w:id="112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2053 </w:t>
      </w:r>
      <w:r w:rsidRPr="009A072C">
        <w:rPr>
          <w:rFonts w:cs="Traditional Arabic"/>
          <w:color w:val="000000"/>
          <w:sz w:val="24"/>
          <w:szCs w:val="28"/>
          <w:rtl/>
        </w:rPr>
        <w:t>–</w:t>
      </w:r>
      <w:r w:rsidRPr="009A072C">
        <w:rPr>
          <w:rFonts w:cs="Traditional Arabic" w:hint="cs"/>
          <w:color w:val="000000"/>
          <w:sz w:val="24"/>
          <w:szCs w:val="28"/>
          <w:rtl/>
        </w:rPr>
        <w:t xml:space="preserve"> 2054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2417</w:t>
      </w:r>
      <w:r>
        <w:rPr>
          <w:rFonts w:cs="Traditional Arabic" w:hint="cs"/>
          <w:color w:val="000000"/>
          <w:sz w:val="24"/>
          <w:szCs w:val="28"/>
          <w:rtl/>
        </w:rPr>
        <w:t xml:space="preserve"> .</w:t>
      </w:r>
    </w:p>
  </w:footnote>
  <w:footnote w:id="112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2417</w:t>
      </w:r>
      <w:r>
        <w:rPr>
          <w:rFonts w:cs="Traditional Arabic" w:hint="cs"/>
          <w:color w:val="000000"/>
          <w:sz w:val="24"/>
          <w:szCs w:val="28"/>
          <w:rtl/>
        </w:rPr>
        <w:t xml:space="preserve"> .</w:t>
      </w:r>
    </w:p>
  </w:footnote>
  <w:footnote w:id="112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107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2413</w:t>
      </w:r>
      <w:r>
        <w:rPr>
          <w:rFonts w:cs="Traditional Arabic" w:hint="cs"/>
          <w:color w:val="000000"/>
          <w:sz w:val="24"/>
          <w:szCs w:val="28"/>
          <w:rtl/>
        </w:rPr>
        <w:t xml:space="preserve"> .</w:t>
      </w:r>
    </w:p>
  </w:footnote>
  <w:footnote w:id="112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2419 </w:t>
      </w:r>
      <w:r w:rsidRPr="009A072C">
        <w:rPr>
          <w:rFonts w:cs="Traditional Arabic"/>
          <w:color w:val="000000"/>
          <w:sz w:val="24"/>
          <w:szCs w:val="28"/>
          <w:rtl/>
        </w:rPr>
        <w:t>–</w:t>
      </w:r>
      <w:r w:rsidRPr="009A072C">
        <w:rPr>
          <w:rFonts w:cs="Traditional Arabic" w:hint="cs"/>
          <w:color w:val="000000"/>
          <w:sz w:val="24"/>
          <w:szCs w:val="28"/>
          <w:rtl/>
        </w:rPr>
        <w:t xml:space="preserve"> نقض فرنسي 4 مايو سنة 1882 داللوز 94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84</w:t>
      </w:r>
      <w:r>
        <w:rPr>
          <w:rFonts w:cs="Traditional Arabic" w:hint="cs"/>
          <w:color w:val="000000"/>
          <w:sz w:val="24"/>
          <w:szCs w:val="28"/>
          <w:rtl/>
        </w:rPr>
        <w:t xml:space="preserve"> .</w:t>
      </w:r>
    </w:p>
  </w:footnote>
  <w:footnote w:id="112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2057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2420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294 هامش 47</w:t>
      </w:r>
      <w:r>
        <w:rPr>
          <w:rFonts w:cs="Traditional Arabic" w:hint="cs"/>
          <w:color w:val="000000"/>
          <w:sz w:val="24"/>
          <w:szCs w:val="28"/>
          <w:rtl/>
        </w:rPr>
        <w:t xml:space="preserve"> .</w:t>
      </w:r>
    </w:p>
  </w:footnote>
  <w:footnote w:id="112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2055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2420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166</w:t>
      </w:r>
      <w:r>
        <w:rPr>
          <w:rFonts w:cs="Traditional Arabic" w:hint="cs"/>
          <w:color w:val="000000"/>
          <w:sz w:val="24"/>
          <w:szCs w:val="28"/>
          <w:rtl/>
        </w:rPr>
        <w:t xml:space="preserve"> .</w:t>
      </w:r>
    </w:p>
  </w:footnote>
  <w:footnote w:id="112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 مايو سنة </w:t>
      </w:r>
      <w:smartTag w:uri="urn:schemas-microsoft-com:office:smarttags" w:element="metricconverter">
        <w:smartTagPr>
          <w:attr w:name="ProductID" w:val="1912 م"/>
        </w:smartTagPr>
        <w:r w:rsidRPr="009A072C">
          <w:rPr>
            <w:rFonts w:cs="Traditional Arabic" w:hint="cs"/>
            <w:color w:val="000000"/>
            <w:sz w:val="24"/>
            <w:szCs w:val="28"/>
            <w:rtl/>
          </w:rPr>
          <w:t>1912 م</w:t>
        </w:r>
      </w:smartTag>
      <w:r w:rsidRPr="009A072C">
        <w:rPr>
          <w:rFonts w:cs="Traditional Arabic" w:hint="cs"/>
          <w:color w:val="000000"/>
          <w:sz w:val="24"/>
          <w:szCs w:val="28"/>
          <w:rtl/>
        </w:rPr>
        <w:t xml:space="preserve"> 24 ص 327</w:t>
      </w:r>
      <w:r>
        <w:rPr>
          <w:rFonts w:cs="Traditional Arabic" w:hint="cs"/>
          <w:color w:val="000000"/>
          <w:sz w:val="24"/>
          <w:szCs w:val="28"/>
          <w:rtl/>
        </w:rPr>
        <w:t xml:space="preserve"> .</w:t>
      </w:r>
    </w:p>
  </w:footnote>
  <w:footnote w:id="112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2017 بودري ودي لوان فقرة 2405</w:t>
      </w:r>
      <w:r>
        <w:rPr>
          <w:rFonts w:cs="Traditional Arabic" w:hint="cs"/>
          <w:color w:val="000000"/>
          <w:sz w:val="24"/>
          <w:szCs w:val="28"/>
          <w:rtl/>
        </w:rPr>
        <w:t xml:space="preserve"> .</w:t>
      </w:r>
    </w:p>
  </w:footnote>
  <w:footnote w:id="113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2405</w:t>
      </w:r>
      <w:r>
        <w:rPr>
          <w:rFonts w:cs="Traditional Arabic" w:hint="cs"/>
          <w:color w:val="000000"/>
          <w:sz w:val="24"/>
          <w:szCs w:val="28"/>
          <w:rtl/>
        </w:rPr>
        <w:t xml:space="preserve"> .</w:t>
      </w:r>
    </w:p>
  </w:footnote>
  <w:footnote w:id="113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461 </w:t>
      </w:r>
      <w:r w:rsidRPr="009A072C">
        <w:rPr>
          <w:rFonts w:cs="Traditional Arabic"/>
          <w:color w:val="000000"/>
          <w:sz w:val="24"/>
          <w:szCs w:val="28"/>
          <w:rtl/>
        </w:rPr>
        <w:t>–</w:t>
      </w:r>
      <w:r w:rsidRPr="009A072C">
        <w:rPr>
          <w:rFonts w:cs="Traditional Arabic" w:hint="cs"/>
          <w:color w:val="000000"/>
          <w:sz w:val="24"/>
          <w:szCs w:val="28"/>
          <w:rtl/>
        </w:rPr>
        <w:t xml:space="preserve"> جيوار فقرة 2017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240 </w:t>
      </w:r>
      <w:r w:rsidRPr="009A072C">
        <w:rPr>
          <w:rFonts w:cs="Traditional Arabic"/>
          <w:color w:val="000000"/>
          <w:sz w:val="24"/>
          <w:szCs w:val="28"/>
          <w:rtl/>
        </w:rPr>
        <w:t>–</w:t>
      </w:r>
      <w:r w:rsidRPr="009A072C">
        <w:rPr>
          <w:rFonts w:cs="Traditional Arabic" w:hint="cs"/>
          <w:color w:val="000000"/>
          <w:sz w:val="24"/>
          <w:szCs w:val="28"/>
          <w:rtl/>
        </w:rPr>
        <w:t xml:space="preserve"> نقض فرنسي 25 أبريل سنة 1888 داللوز 89 </w:t>
      </w:r>
      <w:r w:rsidRPr="009A072C">
        <w:rPr>
          <w:rFonts w:cs="Traditional Arabic"/>
          <w:color w:val="000000"/>
          <w:sz w:val="24"/>
          <w:szCs w:val="28"/>
          <w:rtl/>
        </w:rPr>
        <w:t>–</w:t>
      </w:r>
      <w:r w:rsidRPr="009A072C">
        <w:rPr>
          <w:rFonts w:cs="Traditional Arabic" w:hint="cs"/>
          <w:color w:val="000000"/>
          <w:sz w:val="24"/>
          <w:szCs w:val="28"/>
          <w:rtl/>
        </w:rPr>
        <w:t xml:space="preserve"> 1- 102</w:t>
      </w:r>
      <w:r>
        <w:rPr>
          <w:rFonts w:cs="Traditional Arabic" w:hint="cs"/>
          <w:color w:val="000000"/>
          <w:sz w:val="24"/>
          <w:szCs w:val="28"/>
          <w:rtl/>
        </w:rPr>
        <w:t xml:space="preserve"> .</w:t>
      </w:r>
    </w:p>
  </w:footnote>
  <w:footnote w:id="113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2015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294 هامش 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162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161</w:t>
      </w:r>
      <w:r>
        <w:rPr>
          <w:rFonts w:cs="Traditional Arabic" w:hint="cs"/>
          <w:color w:val="000000"/>
          <w:sz w:val="24"/>
          <w:szCs w:val="28"/>
          <w:rtl/>
        </w:rPr>
        <w:t xml:space="preserve"> .</w:t>
      </w:r>
    </w:p>
  </w:footnote>
  <w:footnote w:id="113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3956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فقرة 1105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163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162</w:t>
      </w:r>
      <w:r>
        <w:rPr>
          <w:rFonts w:cs="Traditional Arabic" w:hint="cs"/>
          <w:color w:val="000000"/>
          <w:sz w:val="24"/>
          <w:szCs w:val="28"/>
          <w:rtl/>
        </w:rPr>
        <w:t xml:space="preserve"> .</w:t>
      </w:r>
    </w:p>
  </w:footnote>
  <w:footnote w:id="113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آنفاً فقرة 285</w:t>
      </w:r>
      <w:r>
        <w:rPr>
          <w:rFonts w:cs="Traditional Arabic" w:hint="cs"/>
          <w:color w:val="000000"/>
          <w:sz w:val="24"/>
          <w:szCs w:val="28"/>
          <w:rtl/>
        </w:rPr>
        <w:t xml:space="preserve"> .</w:t>
      </w:r>
    </w:p>
  </w:footnote>
  <w:footnote w:id="113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24 أبريل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25 ص 335</w:t>
      </w:r>
      <w:r>
        <w:rPr>
          <w:rFonts w:cs="Traditional Arabic" w:hint="cs"/>
          <w:color w:val="000000"/>
          <w:sz w:val="24"/>
          <w:szCs w:val="28"/>
          <w:rtl/>
        </w:rPr>
        <w:t xml:space="preserve"> .</w:t>
      </w:r>
    </w:p>
  </w:footnote>
  <w:footnote w:id="113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السلام ذهني في التأمينات فقرة 183 </w:t>
      </w:r>
      <w:r w:rsidRPr="009A072C">
        <w:rPr>
          <w:rFonts w:cs="Traditional Arabic"/>
          <w:color w:val="000000"/>
          <w:sz w:val="24"/>
          <w:szCs w:val="28"/>
          <w:rtl/>
        </w:rPr>
        <w:t>–</w:t>
      </w:r>
      <w:r w:rsidRPr="009A072C">
        <w:rPr>
          <w:rFonts w:cs="Traditional Arabic" w:hint="cs"/>
          <w:color w:val="000000"/>
          <w:sz w:val="24"/>
          <w:szCs w:val="28"/>
          <w:rtl/>
        </w:rPr>
        <w:t xml:space="preserve"> وقارن محكمة الإسكندرية الوطنية 25 مارس سنة 1940 المحاماة 20 رقم 615 ص 1401</w:t>
      </w:r>
      <w:r>
        <w:rPr>
          <w:rFonts w:cs="Traditional Arabic" w:hint="cs"/>
          <w:color w:val="000000"/>
          <w:sz w:val="24"/>
          <w:szCs w:val="28"/>
          <w:rtl/>
        </w:rPr>
        <w:t xml:space="preserve"> .</w:t>
      </w:r>
    </w:p>
  </w:footnote>
  <w:footnote w:id="113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153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163</w:t>
      </w:r>
      <w:r>
        <w:rPr>
          <w:rFonts w:cs="Traditional Arabic" w:hint="cs"/>
          <w:color w:val="000000"/>
          <w:sz w:val="24"/>
          <w:szCs w:val="28"/>
          <w:rtl/>
        </w:rPr>
        <w:t xml:space="preserve"> .</w:t>
      </w:r>
    </w:p>
  </w:footnote>
  <w:footnote w:id="113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2455 </w:t>
      </w:r>
      <w:r w:rsidRPr="009A072C">
        <w:rPr>
          <w:rFonts w:cs="Traditional Arabic"/>
          <w:color w:val="000000"/>
          <w:sz w:val="24"/>
          <w:szCs w:val="28"/>
          <w:rtl/>
        </w:rPr>
        <w:t>–</w:t>
      </w:r>
      <w:r w:rsidRPr="009A072C">
        <w:rPr>
          <w:rFonts w:cs="Traditional Arabic" w:hint="cs"/>
          <w:color w:val="000000"/>
          <w:sz w:val="24"/>
          <w:szCs w:val="28"/>
          <w:rtl/>
        </w:rPr>
        <w:t xml:space="preserve"> نقض فرنسي 26 نوفمبر سنة 1884 داللوز 85 </w:t>
      </w:r>
      <w:r w:rsidRPr="009A072C">
        <w:rPr>
          <w:rFonts w:cs="Traditional Arabic"/>
          <w:color w:val="000000"/>
          <w:sz w:val="24"/>
          <w:szCs w:val="28"/>
          <w:rtl/>
        </w:rPr>
        <w:t>–</w:t>
      </w:r>
      <w:r w:rsidRPr="009A072C">
        <w:rPr>
          <w:rFonts w:cs="Traditional Arabic" w:hint="cs"/>
          <w:color w:val="000000"/>
          <w:sz w:val="24"/>
          <w:szCs w:val="28"/>
          <w:rtl/>
        </w:rPr>
        <w:t xml:space="preserve"> 1- 115</w:t>
      </w:r>
      <w:r>
        <w:rPr>
          <w:rFonts w:cs="Traditional Arabic" w:hint="cs"/>
          <w:color w:val="000000"/>
          <w:sz w:val="24"/>
          <w:szCs w:val="28"/>
          <w:rtl/>
        </w:rPr>
        <w:t xml:space="preserve"> .</w:t>
      </w:r>
    </w:p>
  </w:footnote>
  <w:footnote w:id="113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2455</w:t>
      </w:r>
      <w:r>
        <w:rPr>
          <w:rFonts w:cs="Traditional Arabic" w:hint="cs"/>
          <w:color w:val="000000"/>
          <w:sz w:val="24"/>
          <w:szCs w:val="28"/>
          <w:rtl/>
        </w:rPr>
        <w:t xml:space="preserve"> .</w:t>
      </w:r>
    </w:p>
  </w:footnote>
  <w:footnote w:id="114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2085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2455</w:t>
      </w:r>
      <w:r>
        <w:rPr>
          <w:rFonts w:cs="Traditional Arabic" w:hint="cs"/>
          <w:color w:val="000000"/>
          <w:sz w:val="24"/>
          <w:szCs w:val="28"/>
          <w:rtl/>
        </w:rPr>
        <w:t xml:space="preserve"> .</w:t>
      </w:r>
    </w:p>
  </w:footnote>
  <w:footnote w:id="114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2437</w:t>
      </w:r>
      <w:r>
        <w:rPr>
          <w:rFonts w:cs="Traditional Arabic" w:hint="cs"/>
          <w:color w:val="000000"/>
          <w:sz w:val="24"/>
          <w:szCs w:val="28"/>
          <w:rtl/>
        </w:rPr>
        <w:t xml:space="preserve"> .</w:t>
      </w:r>
    </w:p>
  </w:footnote>
  <w:footnote w:id="114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2845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169</w:t>
      </w:r>
      <w:r>
        <w:rPr>
          <w:rFonts w:cs="Traditional Arabic" w:hint="cs"/>
          <w:color w:val="000000"/>
          <w:sz w:val="24"/>
          <w:szCs w:val="28"/>
          <w:rtl/>
        </w:rPr>
        <w:t xml:space="preserve"> .</w:t>
      </w:r>
    </w:p>
  </w:footnote>
  <w:footnote w:id="114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14 فقرة 144 </w:t>
      </w:r>
      <w:r w:rsidRPr="009A072C">
        <w:rPr>
          <w:rFonts w:cs="Traditional Arabic"/>
          <w:color w:val="000000"/>
          <w:sz w:val="24"/>
          <w:szCs w:val="28"/>
          <w:rtl/>
        </w:rPr>
        <w:t>–</w:t>
      </w:r>
      <w:r w:rsidRPr="009A072C">
        <w:rPr>
          <w:rFonts w:cs="Traditional Arabic" w:hint="cs"/>
          <w:color w:val="000000"/>
          <w:sz w:val="24"/>
          <w:szCs w:val="28"/>
          <w:rtl/>
        </w:rPr>
        <w:t xml:space="preserve"> دي لوان في داللوز 1905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293 </w:t>
      </w:r>
      <w:r w:rsidRPr="009A072C">
        <w:rPr>
          <w:rFonts w:cs="Traditional Arabic"/>
          <w:color w:val="000000"/>
          <w:sz w:val="24"/>
          <w:szCs w:val="28"/>
          <w:rtl/>
        </w:rPr>
        <w:t>–</w:t>
      </w:r>
      <w:r w:rsidRPr="009A072C">
        <w:rPr>
          <w:rFonts w:cs="Traditional Arabic" w:hint="cs"/>
          <w:color w:val="000000"/>
          <w:sz w:val="24"/>
          <w:szCs w:val="28"/>
          <w:rtl/>
        </w:rPr>
        <w:t xml:space="preserve"> جرانمولان 555</w:t>
      </w:r>
      <w:r>
        <w:rPr>
          <w:rFonts w:cs="Traditional Arabic" w:hint="cs"/>
          <w:color w:val="000000"/>
          <w:sz w:val="24"/>
          <w:szCs w:val="28"/>
          <w:rtl/>
        </w:rPr>
        <w:t xml:space="preserve"> .</w:t>
      </w:r>
    </w:p>
  </w:footnote>
  <w:footnote w:id="114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2429 </w:t>
      </w:r>
      <w:r w:rsidRPr="009A072C">
        <w:rPr>
          <w:rFonts w:cs="Traditional Arabic"/>
          <w:color w:val="000000"/>
          <w:sz w:val="24"/>
          <w:szCs w:val="28"/>
          <w:rtl/>
        </w:rPr>
        <w:t>–</w:t>
      </w:r>
      <w:r w:rsidRPr="009A072C">
        <w:rPr>
          <w:rFonts w:cs="Traditional Arabic" w:hint="cs"/>
          <w:color w:val="000000"/>
          <w:sz w:val="24"/>
          <w:szCs w:val="28"/>
          <w:rtl/>
        </w:rPr>
        <w:t xml:space="preserve"> نقض فرنسي 16 أغسطس سنة 1862 </w:t>
      </w:r>
      <w:r w:rsidRPr="009A072C">
        <w:rPr>
          <w:rFonts w:cs="Traditional Arabic"/>
          <w:color w:val="000000"/>
          <w:sz w:val="24"/>
          <w:szCs w:val="28"/>
          <w:rtl/>
        </w:rPr>
        <w:t>–</w:t>
      </w:r>
      <w:r w:rsidRPr="009A072C">
        <w:rPr>
          <w:rFonts w:cs="Traditional Arabic" w:hint="cs"/>
          <w:color w:val="000000"/>
          <w:sz w:val="24"/>
          <w:szCs w:val="28"/>
          <w:rtl/>
        </w:rPr>
        <w:t xml:space="preserve"> داللوز 62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344</w:t>
      </w:r>
      <w:r>
        <w:rPr>
          <w:rFonts w:cs="Traditional Arabic" w:hint="cs"/>
          <w:color w:val="000000"/>
          <w:sz w:val="24"/>
          <w:szCs w:val="28"/>
          <w:rtl/>
        </w:rPr>
        <w:t xml:space="preserve"> .</w:t>
      </w:r>
    </w:p>
  </w:footnote>
  <w:footnote w:id="114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109 </w:t>
      </w:r>
      <w:r w:rsidRPr="009A072C">
        <w:rPr>
          <w:rFonts w:cs="Traditional Arabic"/>
          <w:color w:val="000000"/>
          <w:sz w:val="24"/>
          <w:szCs w:val="28"/>
          <w:rtl/>
        </w:rPr>
        <w:t>–</w:t>
      </w:r>
      <w:r w:rsidRPr="009A072C">
        <w:rPr>
          <w:rFonts w:cs="Traditional Arabic" w:hint="cs"/>
          <w:color w:val="000000"/>
          <w:sz w:val="24"/>
          <w:szCs w:val="28"/>
          <w:rtl/>
        </w:rPr>
        <w:t xml:space="preserve"> جيوار 2041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2434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284 وهامش 12 وفقرة 194 هامش 41 </w:t>
      </w:r>
      <w:r w:rsidRPr="009A072C">
        <w:rPr>
          <w:rFonts w:cs="Traditional Arabic"/>
          <w:color w:val="000000"/>
          <w:sz w:val="24"/>
          <w:szCs w:val="28"/>
          <w:rtl/>
        </w:rPr>
        <w:t>–</w:t>
      </w:r>
      <w:r w:rsidRPr="009A072C">
        <w:rPr>
          <w:rFonts w:cs="Traditional Arabic" w:hint="cs"/>
          <w:color w:val="000000"/>
          <w:sz w:val="24"/>
          <w:szCs w:val="28"/>
          <w:rtl/>
        </w:rPr>
        <w:t xml:space="preserve"> هامش 42</w:t>
      </w:r>
      <w:r>
        <w:rPr>
          <w:rFonts w:cs="Traditional Arabic" w:hint="cs"/>
          <w:color w:val="000000"/>
          <w:sz w:val="24"/>
          <w:szCs w:val="28"/>
          <w:rtl/>
        </w:rPr>
        <w:t xml:space="preserve"> .</w:t>
      </w:r>
    </w:p>
  </w:footnote>
  <w:footnote w:id="114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2435</w:t>
      </w:r>
      <w:r>
        <w:rPr>
          <w:rFonts w:cs="Traditional Arabic" w:hint="cs"/>
          <w:color w:val="000000"/>
          <w:sz w:val="24"/>
          <w:szCs w:val="28"/>
          <w:rtl/>
        </w:rPr>
        <w:t xml:space="preserve"> .</w:t>
      </w:r>
    </w:p>
  </w:footnote>
  <w:footnote w:id="114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2435 </w:t>
      </w:r>
      <w:r w:rsidRPr="009A072C">
        <w:rPr>
          <w:rFonts w:cs="Traditional Arabic"/>
          <w:color w:val="000000"/>
          <w:sz w:val="24"/>
          <w:szCs w:val="28"/>
          <w:rtl/>
        </w:rPr>
        <w:t>–</w:t>
      </w:r>
      <w:r w:rsidRPr="009A072C">
        <w:rPr>
          <w:rFonts w:cs="Traditional Arabic" w:hint="cs"/>
          <w:color w:val="000000"/>
          <w:sz w:val="24"/>
          <w:szCs w:val="28"/>
          <w:rtl/>
        </w:rPr>
        <w:t xml:space="preserve"> 1</w:t>
      </w:r>
      <w:r>
        <w:rPr>
          <w:rFonts w:cs="Traditional Arabic" w:hint="cs"/>
          <w:color w:val="000000"/>
          <w:sz w:val="24"/>
          <w:szCs w:val="28"/>
          <w:rtl/>
        </w:rPr>
        <w:t xml:space="preserve"> .</w:t>
      </w:r>
    </w:p>
  </w:footnote>
  <w:footnote w:id="114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171</w:t>
      </w:r>
      <w:r>
        <w:rPr>
          <w:rFonts w:cs="Traditional Arabic" w:hint="cs"/>
          <w:color w:val="000000"/>
          <w:sz w:val="24"/>
          <w:szCs w:val="28"/>
          <w:rtl/>
        </w:rPr>
        <w:t xml:space="preserve"> .</w:t>
      </w:r>
    </w:p>
  </w:footnote>
  <w:footnote w:id="114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u w:val="single"/>
          <w:rtl/>
        </w:rPr>
        <w:t xml:space="preserve"> :</w:t>
      </w:r>
      <w:r w:rsidRPr="009A072C">
        <w:rPr>
          <w:rFonts w:cs="Traditional Arabic" w:hint="cs"/>
          <w:color w:val="000000"/>
          <w:sz w:val="24"/>
          <w:szCs w:val="28"/>
          <w:rtl/>
        </w:rPr>
        <w:t xml:space="preserve"> ورد هذا النص في المادة 1493 من المشروع التمهيدي على وجه مطابق لما استقر عليه في بالتقنين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غير أن المشروع التمهيدي كان يتضمن العبارة الآتية</w:t>
      </w:r>
      <w:r>
        <w:rPr>
          <w:rFonts w:cs="Traditional Arabic" w:hint="cs"/>
          <w:color w:val="000000"/>
          <w:sz w:val="24"/>
          <w:szCs w:val="28"/>
          <w:rtl/>
        </w:rPr>
        <w:t xml:space="preserve"> :</w:t>
      </w:r>
      <w:r w:rsidRPr="009A072C">
        <w:rPr>
          <w:rFonts w:cs="Traditional Arabic" w:hint="cs"/>
          <w:color w:val="000000"/>
          <w:sz w:val="24"/>
          <w:szCs w:val="28"/>
          <w:rtl/>
        </w:rPr>
        <w:t xml:space="preserve"> "أو طلب البيع ولكن لم يعرض في المزاد ثمن أعلى من المبلغ الذي عرضه الجائز"</w:t>
      </w:r>
      <w:r>
        <w:rPr>
          <w:rFonts w:cs="Traditional Arabic" w:hint="cs"/>
          <w:color w:val="000000"/>
          <w:sz w:val="24"/>
          <w:szCs w:val="28"/>
          <w:rtl/>
        </w:rPr>
        <w:t xml:space="preserve"> .</w:t>
      </w:r>
      <w:r w:rsidRPr="009A072C">
        <w:rPr>
          <w:rFonts w:cs="Traditional Arabic" w:hint="cs"/>
          <w:color w:val="000000"/>
          <w:sz w:val="24"/>
          <w:szCs w:val="28"/>
          <w:rtl/>
        </w:rPr>
        <w:t xml:space="preserve"> وفي لجنة المراجعة حذفت هذه العبارة</w:t>
      </w:r>
      <w:r>
        <w:rPr>
          <w:rFonts w:cs="Traditional Arabic" w:hint="cs"/>
          <w:color w:val="000000"/>
          <w:sz w:val="24"/>
          <w:szCs w:val="28"/>
          <w:rtl/>
        </w:rPr>
        <w:t xml:space="preserve"> ،</w:t>
      </w:r>
      <w:r w:rsidRPr="009A072C">
        <w:rPr>
          <w:rFonts w:cs="Traditional Arabic" w:hint="cs"/>
          <w:color w:val="000000"/>
          <w:sz w:val="24"/>
          <w:szCs w:val="28"/>
          <w:rtl/>
        </w:rPr>
        <w:t xml:space="preserve"> وأقرت اللجنة النص بعد هذا الحذف تحت رقم 1172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 النص مجلس النواب تحت رقم 1158</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1070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117 ص 120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579 / 702</w:t>
      </w:r>
      <w:r>
        <w:rPr>
          <w:rFonts w:cs="Traditional Arabic" w:hint="cs"/>
          <w:color w:val="000000"/>
          <w:sz w:val="24"/>
          <w:szCs w:val="28"/>
          <w:rtl/>
        </w:rPr>
        <w:t xml:space="preserve"> :</w:t>
      </w:r>
      <w:r w:rsidRPr="009A072C">
        <w:rPr>
          <w:rFonts w:cs="Traditional Arabic" w:hint="cs"/>
          <w:color w:val="000000"/>
          <w:sz w:val="24"/>
          <w:szCs w:val="28"/>
          <w:rtl/>
        </w:rPr>
        <w:t xml:space="preserve"> لا يتلخص للحائز العقار بعرض المبلغ الذي قدره قيمة له مما هو ملزم به بصفة كونه حائزاً للعقار</w:t>
      </w:r>
      <w:r>
        <w:rPr>
          <w:rFonts w:cs="Traditional Arabic" w:hint="cs"/>
          <w:color w:val="000000"/>
          <w:sz w:val="24"/>
          <w:szCs w:val="28"/>
          <w:rtl/>
        </w:rPr>
        <w:t xml:space="preserve"> ،</w:t>
      </w:r>
      <w:r w:rsidRPr="009A072C">
        <w:rPr>
          <w:rFonts w:cs="Traditional Arabic" w:hint="cs"/>
          <w:color w:val="000000"/>
          <w:sz w:val="24"/>
          <w:szCs w:val="28"/>
          <w:rtl/>
        </w:rPr>
        <w:t xml:space="preserve"> إلا إذا صار ما عرضه مقبولا</w:t>
      </w:r>
      <w:r>
        <w:rPr>
          <w:rFonts w:cs="Traditional Arabic" w:hint="cs"/>
          <w:color w:val="000000"/>
          <w:sz w:val="24"/>
          <w:szCs w:val="28"/>
          <w:rtl/>
        </w:rPr>
        <w:t xml:space="preserve"> ،</w:t>
      </w:r>
      <w:r w:rsidRPr="009A072C">
        <w:rPr>
          <w:rFonts w:cs="Traditional Arabic" w:hint="cs"/>
          <w:color w:val="000000"/>
          <w:sz w:val="24"/>
          <w:szCs w:val="28"/>
          <w:rtl/>
        </w:rPr>
        <w:t xml:space="preserve"> ويجوز له أن يعرض هذا المبلغ قبل تكليفه تكليفاً رسمياً</w:t>
      </w:r>
      <w:r>
        <w:rPr>
          <w:rFonts w:cs="Traditional Arabic" w:hint="cs"/>
          <w:color w:val="000000"/>
          <w:sz w:val="24"/>
          <w:szCs w:val="28"/>
          <w:rtl/>
        </w:rPr>
        <w:t xml:space="preserve"> .</w:t>
      </w:r>
    </w:p>
  </w:footnote>
  <w:footnote w:id="115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2487</w:t>
      </w:r>
      <w:r>
        <w:rPr>
          <w:rFonts w:cs="Traditional Arabic" w:hint="cs"/>
          <w:color w:val="000000"/>
          <w:sz w:val="24"/>
          <w:szCs w:val="28"/>
          <w:rtl/>
        </w:rPr>
        <w:t xml:space="preserve"> .</w:t>
      </w:r>
    </w:p>
  </w:footnote>
  <w:footnote w:id="115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بون فقرة 1336 مكررة </w:t>
      </w:r>
      <w:r w:rsidRPr="009A072C">
        <w:rPr>
          <w:rFonts w:cs="Traditional Arabic"/>
          <w:color w:val="000000"/>
          <w:sz w:val="24"/>
          <w:szCs w:val="28"/>
          <w:rtl/>
        </w:rPr>
        <w:t>–</w:t>
      </w:r>
      <w:r w:rsidRPr="009A072C">
        <w:rPr>
          <w:rFonts w:cs="Traditional Arabic" w:hint="cs"/>
          <w:color w:val="000000"/>
          <w:sz w:val="24"/>
          <w:szCs w:val="28"/>
          <w:rtl/>
        </w:rPr>
        <w:t xml:space="preserve"> جيوار فقرة 2112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2849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294 ص 882 هامش 100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172</w:t>
      </w:r>
      <w:r>
        <w:rPr>
          <w:rFonts w:cs="Traditional Arabic" w:hint="cs"/>
          <w:color w:val="000000"/>
          <w:sz w:val="24"/>
          <w:szCs w:val="28"/>
          <w:rtl/>
        </w:rPr>
        <w:t xml:space="preserve"> .</w:t>
      </w:r>
    </w:p>
  </w:footnote>
  <w:footnote w:id="115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1490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1169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1155</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1067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111 </w:t>
      </w:r>
      <w:r w:rsidRPr="009A072C">
        <w:rPr>
          <w:rFonts w:cs="Traditional Arabic"/>
          <w:color w:val="000000"/>
          <w:sz w:val="24"/>
          <w:szCs w:val="28"/>
          <w:rtl/>
        </w:rPr>
        <w:t>–</w:t>
      </w:r>
      <w:r w:rsidRPr="009A072C">
        <w:rPr>
          <w:rFonts w:cs="Traditional Arabic" w:hint="cs"/>
          <w:color w:val="000000"/>
          <w:sz w:val="24"/>
          <w:szCs w:val="28"/>
          <w:rtl/>
        </w:rPr>
        <w:t xml:space="preserve"> 112</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15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1491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1170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1156</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1068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112 </w:t>
      </w:r>
      <w:r w:rsidRPr="009A072C">
        <w:rPr>
          <w:rFonts w:cs="Traditional Arabic"/>
          <w:color w:val="000000"/>
          <w:sz w:val="24"/>
          <w:szCs w:val="28"/>
          <w:rtl/>
        </w:rPr>
        <w:t>–</w:t>
      </w:r>
      <w:r w:rsidRPr="009A072C">
        <w:rPr>
          <w:rFonts w:cs="Traditional Arabic" w:hint="cs"/>
          <w:color w:val="000000"/>
          <w:sz w:val="24"/>
          <w:szCs w:val="28"/>
          <w:rtl/>
        </w:rPr>
        <w:t xml:space="preserve"> ص 114</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584 / 708 فقرة ثانية</w:t>
      </w:r>
      <w:r>
        <w:rPr>
          <w:rFonts w:cs="Traditional Arabic" w:hint="cs"/>
          <w:color w:val="000000"/>
          <w:sz w:val="24"/>
          <w:szCs w:val="28"/>
          <w:rtl/>
        </w:rPr>
        <w:t xml:space="preserve"> :</w:t>
      </w:r>
      <w:r w:rsidRPr="009A072C">
        <w:rPr>
          <w:rFonts w:cs="Traditional Arabic" w:hint="cs"/>
          <w:color w:val="000000"/>
          <w:sz w:val="24"/>
          <w:szCs w:val="28"/>
          <w:rtl/>
        </w:rPr>
        <w:t xml:space="preserve"> ولا يجوز الرجوع عن تلك الزيادة ألا برضاء جميع أرباب الديون المسجلة</w:t>
      </w:r>
      <w:r>
        <w:rPr>
          <w:rFonts w:cs="Traditional Arabic" w:hint="cs"/>
          <w:color w:val="000000"/>
          <w:sz w:val="24"/>
          <w:szCs w:val="28"/>
          <w:rtl/>
        </w:rPr>
        <w:t xml:space="preserve"> .</w:t>
      </w:r>
    </w:p>
  </w:footnote>
  <w:footnote w:id="115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175</w:t>
      </w:r>
      <w:r>
        <w:rPr>
          <w:rFonts w:cs="Traditional Arabic" w:hint="cs"/>
          <w:color w:val="000000"/>
          <w:sz w:val="24"/>
          <w:szCs w:val="28"/>
          <w:rtl/>
        </w:rPr>
        <w:t xml:space="preserve"> .</w:t>
      </w:r>
    </w:p>
  </w:footnote>
  <w:footnote w:id="115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173 ص 271</w:t>
      </w:r>
      <w:r>
        <w:rPr>
          <w:rFonts w:cs="Traditional Arabic" w:hint="cs"/>
          <w:color w:val="000000"/>
          <w:sz w:val="24"/>
          <w:szCs w:val="28"/>
          <w:rtl/>
        </w:rPr>
        <w:t xml:space="preserve"> .</w:t>
      </w:r>
    </w:p>
  </w:footnote>
  <w:footnote w:id="115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1117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562 </w:t>
      </w:r>
      <w:r w:rsidRPr="009A072C">
        <w:rPr>
          <w:rFonts w:cs="Traditional Arabic"/>
          <w:color w:val="000000"/>
          <w:sz w:val="24"/>
          <w:szCs w:val="28"/>
          <w:rtl/>
        </w:rPr>
        <w:t>–</w:t>
      </w:r>
      <w:r w:rsidRPr="009A072C">
        <w:rPr>
          <w:rFonts w:cs="Traditional Arabic" w:hint="cs"/>
          <w:color w:val="000000"/>
          <w:sz w:val="24"/>
          <w:szCs w:val="28"/>
          <w:rtl/>
        </w:rPr>
        <w:t xml:space="preserve"> عب 333</w:t>
      </w:r>
      <w:r>
        <w:rPr>
          <w:rFonts w:cs="Traditional Arabic" w:hint="cs"/>
          <w:color w:val="000000"/>
          <w:sz w:val="24"/>
          <w:szCs w:val="28"/>
          <w:rtl/>
        </w:rPr>
        <w:t xml:space="preserve"> .</w:t>
      </w:r>
    </w:p>
  </w:footnote>
  <w:footnote w:id="115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174</w:t>
      </w:r>
      <w:r>
        <w:rPr>
          <w:rFonts w:cs="Traditional Arabic" w:hint="cs"/>
          <w:color w:val="000000"/>
          <w:sz w:val="24"/>
          <w:szCs w:val="28"/>
          <w:rtl/>
        </w:rPr>
        <w:t xml:space="preserve"> .</w:t>
      </w:r>
    </w:p>
  </w:footnote>
  <w:footnote w:id="115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173 ص 272</w:t>
      </w:r>
      <w:r>
        <w:rPr>
          <w:rFonts w:cs="Traditional Arabic" w:hint="cs"/>
          <w:color w:val="000000"/>
          <w:sz w:val="24"/>
          <w:szCs w:val="28"/>
          <w:rtl/>
        </w:rPr>
        <w:t xml:space="preserve"> .</w:t>
      </w:r>
    </w:p>
  </w:footnote>
  <w:footnote w:id="115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1492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1171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1157</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1609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115 </w:t>
      </w:r>
      <w:r w:rsidRPr="009A072C">
        <w:rPr>
          <w:rFonts w:cs="Traditional Arabic"/>
          <w:color w:val="000000"/>
          <w:sz w:val="24"/>
          <w:szCs w:val="28"/>
          <w:rtl/>
        </w:rPr>
        <w:t>–</w:t>
      </w:r>
      <w:r w:rsidRPr="009A072C">
        <w:rPr>
          <w:rFonts w:cs="Traditional Arabic" w:hint="cs"/>
          <w:color w:val="000000"/>
          <w:sz w:val="24"/>
          <w:szCs w:val="28"/>
          <w:rtl/>
        </w:rPr>
        <w:t xml:space="preserve"> ص 116</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16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1126</w:t>
      </w:r>
      <w:r>
        <w:rPr>
          <w:rFonts w:cs="Traditional Arabic" w:hint="cs"/>
          <w:color w:val="000000"/>
          <w:sz w:val="24"/>
          <w:szCs w:val="28"/>
          <w:rtl/>
        </w:rPr>
        <w:t xml:space="preserve"> .</w:t>
      </w:r>
    </w:p>
  </w:footnote>
  <w:footnote w:id="116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فقرة 334</w:t>
      </w:r>
      <w:r>
        <w:rPr>
          <w:rFonts w:cs="Traditional Arabic" w:hint="cs"/>
          <w:color w:val="000000"/>
          <w:sz w:val="24"/>
          <w:szCs w:val="28"/>
          <w:rtl/>
        </w:rPr>
        <w:t xml:space="preserve"> .</w:t>
      </w:r>
    </w:p>
  </w:footnote>
  <w:footnote w:id="116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1127</w:t>
      </w:r>
      <w:r>
        <w:rPr>
          <w:rFonts w:cs="Traditional Arabic" w:hint="cs"/>
          <w:color w:val="000000"/>
          <w:sz w:val="24"/>
          <w:szCs w:val="28"/>
          <w:rtl/>
        </w:rPr>
        <w:t xml:space="preserve"> .</w:t>
      </w:r>
    </w:p>
  </w:footnote>
  <w:footnote w:id="116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3985</w:t>
      </w:r>
      <w:r>
        <w:rPr>
          <w:rFonts w:cs="Traditional Arabic" w:hint="cs"/>
          <w:color w:val="000000"/>
          <w:sz w:val="24"/>
          <w:szCs w:val="28"/>
          <w:rtl/>
        </w:rPr>
        <w:t xml:space="preserve"> .</w:t>
      </w:r>
    </w:p>
  </w:footnote>
  <w:footnote w:id="116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3984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فقرة 1128</w:t>
      </w:r>
      <w:r>
        <w:rPr>
          <w:rFonts w:cs="Traditional Arabic" w:hint="cs"/>
          <w:color w:val="000000"/>
          <w:sz w:val="24"/>
          <w:szCs w:val="28"/>
          <w:rtl/>
        </w:rPr>
        <w:t xml:space="preserve"> .</w:t>
      </w:r>
    </w:p>
  </w:footnote>
  <w:footnote w:id="116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1128</w:t>
      </w:r>
      <w:r>
        <w:rPr>
          <w:rFonts w:cs="Traditional Arabic" w:hint="cs"/>
          <w:color w:val="000000"/>
          <w:sz w:val="24"/>
          <w:szCs w:val="28"/>
          <w:rtl/>
        </w:rPr>
        <w:t xml:space="preserve"> .</w:t>
      </w:r>
    </w:p>
  </w:footnote>
  <w:footnote w:id="116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175 ص 275</w:t>
      </w:r>
      <w:r>
        <w:rPr>
          <w:rFonts w:cs="Traditional Arabic" w:hint="cs"/>
          <w:color w:val="000000"/>
          <w:sz w:val="24"/>
          <w:szCs w:val="28"/>
          <w:rtl/>
        </w:rPr>
        <w:t xml:space="preserve"> .</w:t>
      </w:r>
    </w:p>
  </w:footnote>
  <w:footnote w:id="116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1131</w:t>
      </w:r>
      <w:r>
        <w:rPr>
          <w:rFonts w:cs="Traditional Arabic" w:hint="cs"/>
          <w:color w:val="000000"/>
          <w:sz w:val="24"/>
          <w:szCs w:val="28"/>
          <w:rtl/>
        </w:rPr>
        <w:t xml:space="preserve"> .</w:t>
      </w:r>
    </w:p>
  </w:footnote>
  <w:footnote w:id="116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3988 </w:t>
      </w:r>
      <w:r w:rsidRPr="009A072C">
        <w:rPr>
          <w:rFonts w:cs="Traditional Arabic"/>
          <w:color w:val="000000"/>
          <w:sz w:val="24"/>
          <w:szCs w:val="28"/>
          <w:rtl/>
        </w:rPr>
        <w:t>–</w:t>
      </w:r>
      <w:r w:rsidRPr="009A072C">
        <w:rPr>
          <w:rFonts w:cs="Traditional Arabic" w:hint="cs"/>
          <w:color w:val="000000"/>
          <w:sz w:val="24"/>
          <w:szCs w:val="28"/>
          <w:rtl/>
        </w:rPr>
        <w:t xml:space="preserve"> فقرة 3989</w:t>
      </w:r>
      <w:r>
        <w:rPr>
          <w:rFonts w:cs="Traditional Arabic" w:hint="cs"/>
          <w:color w:val="000000"/>
          <w:sz w:val="24"/>
          <w:szCs w:val="28"/>
          <w:rtl/>
        </w:rPr>
        <w:t xml:space="preserve"> .</w:t>
      </w:r>
    </w:p>
  </w:footnote>
  <w:footnote w:id="116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3990 </w:t>
      </w:r>
      <w:r w:rsidRPr="009A072C">
        <w:rPr>
          <w:rFonts w:cs="Traditional Arabic"/>
          <w:color w:val="000000"/>
          <w:sz w:val="24"/>
          <w:szCs w:val="28"/>
          <w:rtl/>
        </w:rPr>
        <w:t>–</w:t>
      </w:r>
      <w:r w:rsidRPr="009A072C">
        <w:rPr>
          <w:rFonts w:cs="Traditional Arabic" w:hint="cs"/>
          <w:color w:val="000000"/>
          <w:sz w:val="24"/>
          <w:szCs w:val="28"/>
          <w:rtl/>
        </w:rPr>
        <w:t xml:space="preserve"> فقرة 3991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294 هامش 109 وما بعده</w:t>
      </w:r>
      <w:r>
        <w:rPr>
          <w:rFonts w:cs="Traditional Arabic" w:hint="cs"/>
          <w:color w:val="000000"/>
          <w:sz w:val="24"/>
          <w:szCs w:val="28"/>
          <w:rtl/>
        </w:rPr>
        <w:t xml:space="preserve"> .</w:t>
      </w:r>
    </w:p>
  </w:footnote>
  <w:footnote w:id="117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120 </w:t>
      </w:r>
      <w:r w:rsidRPr="009A072C">
        <w:rPr>
          <w:rFonts w:cs="Traditional Arabic"/>
          <w:color w:val="000000"/>
          <w:sz w:val="24"/>
          <w:szCs w:val="28"/>
          <w:rtl/>
        </w:rPr>
        <w:t>–</w:t>
      </w:r>
      <w:r w:rsidRPr="009A072C">
        <w:rPr>
          <w:rFonts w:cs="Traditional Arabic" w:hint="cs"/>
          <w:color w:val="000000"/>
          <w:sz w:val="24"/>
          <w:szCs w:val="28"/>
          <w:rtl/>
        </w:rPr>
        <w:t xml:space="preserve"> انظر في ذلك سليمان مرقس فقرة 176</w:t>
      </w:r>
      <w:r>
        <w:rPr>
          <w:rFonts w:cs="Traditional Arabic" w:hint="cs"/>
          <w:color w:val="000000"/>
          <w:sz w:val="24"/>
          <w:szCs w:val="28"/>
          <w:rtl/>
        </w:rPr>
        <w:t xml:space="preserve"> .</w:t>
      </w:r>
    </w:p>
  </w:footnote>
  <w:footnote w:id="117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Pr>
        <w:t>L'alenation vaut purge</w:t>
      </w:r>
      <w:r>
        <w:rPr>
          <w:rFonts w:cs="Traditional Arabic" w:hint="cs"/>
          <w:color w:val="000000"/>
          <w:sz w:val="24"/>
          <w:szCs w:val="28"/>
          <w:rtl/>
        </w:rPr>
        <w:t xml:space="preserve"> .</w:t>
      </w:r>
    </w:p>
  </w:footnote>
  <w:footnote w:id="117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محمد كامل مرسي فقرة 181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177</w:t>
      </w:r>
      <w:r>
        <w:rPr>
          <w:rFonts w:cs="Traditional Arabic" w:hint="cs"/>
          <w:color w:val="000000"/>
          <w:sz w:val="24"/>
          <w:szCs w:val="28"/>
          <w:rtl/>
        </w:rPr>
        <w:t xml:space="preserve"> .</w:t>
      </w:r>
    </w:p>
  </w:footnote>
  <w:footnote w:id="117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عبد الفتاح عبد الباقي فقرة 324</w:t>
      </w:r>
      <w:r>
        <w:rPr>
          <w:rFonts w:cs="Traditional Arabic" w:hint="cs"/>
          <w:color w:val="000000"/>
          <w:sz w:val="24"/>
          <w:szCs w:val="28"/>
          <w:rtl/>
        </w:rPr>
        <w:t xml:space="preserve"> .</w:t>
      </w:r>
    </w:p>
  </w:footnote>
  <w:footnote w:id="117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عبد الفتاح عبد الباقي فقرة 338</w:t>
      </w:r>
      <w:r>
        <w:rPr>
          <w:rFonts w:cs="Traditional Arabic" w:hint="cs"/>
          <w:color w:val="000000"/>
          <w:sz w:val="24"/>
          <w:szCs w:val="28"/>
          <w:rtl/>
        </w:rPr>
        <w:t xml:space="preserve"> .</w:t>
      </w:r>
    </w:p>
  </w:footnote>
  <w:footnote w:id="117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3363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556 </w:t>
      </w:r>
      <w:r w:rsidRPr="009A072C">
        <w:rPr>
          <w:rFonts w:cs="Traditional Arabic"/>
          <w:color w:val="000000"/>
          <w:sz w:val="24"/>
          <w:szCs w:val="28"/>
          <w:rtl/>
        </w:rPr>
        <w:t>–</w:t>
      </w:r>
      <w:r w:rsidRPr="009A072C">
        <w:rPr>
          <w:rFonts w:cs="Traditional Arabic" w:hint="cs"/>
          <w:color w:val="000000"/>
          <w:sz w:val="24"/>
          <w:szCs w:val="28"/>
          <w:rtl/>
        </w:rPr>
        <w:t xml:space="preserve"> نقض فرنسي 10 يونيه سنة 1907 داللوز 1907 </w:t>
      </w:r>
      <w:r w:rsidRPr="009A072C">
        <w:rPr>
          <w:rFonts w:cs="Traditional Arabic"/>
          <w:color w:val="000000"/>
          <w:sz w:val="24"/>
          <w:szCs w:val="28"/>
          <w:rtl/>
        </w:rPr>
        <w:t>–</w:t>
      </w:r>
      <w:r w:rsidRPr="009A072C">
        <w:rPr>
          <w:rFonts w:cs="Traditional Arabic" w:hint="cs"/>
          <w:color w:val="000000"/>
          <w:sz w:val="24"/>
          <w:szCs w:val="28"/>
          <w:rtl/>
        </w:rPr>
        <w:t xml:space="preserve"> 1- 319</w:t>
      </w:r>
      <w:r>
        <w:rPr>
          <w:rFonts w:cs="Traditional Arabic" w:hint="cs"/>
          <w:color w:val="000000"/>
          <w:sz w:val="24"/>
          <w:szCs w:val="28"/>
          <w:rtl/>
        </w:rPr>
        <w:t xml:space="preserve"> .</w:t>
      </w:r>
    </w:p>
  </w:footnote>
  <w:footnote w:id="117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3363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556 </w:t>
      </w:r>
      <w:r w:rsidRPr="009A072C">
        <w:rPr>
          <w:rFonts w:cs="Traditional Arabic"/>
          <w:color w:val="000000"/>
          <w:sz w:val="24"/>
          <w:szCs w:val="28"/>
          <w:rtl/>
        </w:rPr>
        <w:t>–</w:t>
      </w:r>
      <w:r w:rsidRPr="009A072C">
        <w:rPr>
          <w:rFonts w:cs="Traditional Arabic" w:hint="cs"/>
          <w:color w:val="000000"/>
          <w:sz w:val="24"/>
          <w:szCs w:val="28"/>
          <w:rtl/>
        </w:rPr>
        <w:t xml:space="preserve"> وانظر في ذلك محمد كامل مرسي فقرة 179</w:t>
      </w:r>
      <w:r>
        <w:rPr>
          <w:rFonts w:cs="Traditional Arabic" w:hint="cs"/>
          <w:color w:val="000000"/>
          <w:sz w:val="24"/>
          <w:szCs w:val="28"/>
          <w:rtl/>
        </w:rPr>
        <w:t xml:space="preserve"> .</w:t>
      </w:r>
    </w:p>
  </w:footnote>
  <w:footnote w:id="117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Pr>
        <w:t>sequestre</w:t>
      </w:r>
      <w:r>
        <w:rPr>
          <w:rFonts w:cs="Traditional Arabic" w:hint="cs"/>
          <w:color w:val="000000"/>
          <w:sz w:val="24"/>
          <w:szCs w:val="28"/>
          <w:rtl/>
        </w:rPr>
        <w:t xml:space="preserve"> .</w:t>
      </w:r>
    </w:p>
  </w:footnote>
  <w:footnote w:id="117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Pr>
        <w:t>curateur</w:t>
      </w:r>
      <w:r>
        <w:rPr>
          <w:rFonts w:cs="Traditional Arabic" w:hint="cs"/>
          <w:color w:val="000000"/>
          <w:sz w:val="24"/>
          <w:szCs w:val="28"/>
          <w:rtl/>
        </w:rPr>
        <w:t xml:space="preserve"> .</w:t>
      </w:r>
    </w:p>
  </w:footnote>
  <w:footnote w:id="117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1179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13 فقرة 1144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483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183</w:t>
      </w:r>
      <w:r>
        <w:rPr>
          <w:rFonts w:cs="Traditional Arabic" w:hint="cs"/>
          <w:color w:val="000000"/>
          <w:sz w:val="24"/>
          <w:szCs w:val="28"/>
          <w:rtl/>
        </w:rPr>
        <w:t xml:space="preserve"> .</w:t>
      </w:r>
    </w:p>
  </w:footnote>
  <w:footnote w:id="118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 2186 مدني فرنسي</w:t>
      </w:r>
      <w:r>
        <w:rPr>
          <w:rFonts w:cs="Traditional Arabic" w:hint="cs"/>
          <w:color w:val="000000"/>
          <w:sz w:val="24"/>
          <w:szCs w:val="28"/>
          <w:rtl/>
        </w:rPr>
        <w:t xml:space="preserve"> :</w:t>
      </w:r>
      <w:r w:rsidRPr="009A072C">
        <w:rPr>
          <w:rFonts w:cs="Traditional Arabic" w:hint="cs"/>
          <w:color w:val="000000"/>
          <w:sz w:val="24"/>
          <w:szCs w:val="28"/>
          <w:rtl/>
        </w:rPr>
        <w:t xml:space="preserve"> يجب أن تجرى من غير أن تحفظ </w:t>
      </w:r>
      <w:r>
        <w:rPr>
          <w:rFonts w:cs="Traditional Arabic"/>
          <w:color w:val="000000"/>
          <w:sz w:val="24"/>
          <w:szCs w:val="28"/>
          <w:rtl/>
        </w:rPr>
        <w:t xml:space="preserve">( </w:t>
      </w:r>
      <w:r w:rsidRPr="009A072C">
        <w:rPr>
          <w:rFonts w:cs="Traditional Arabic"/>
          <w:color w:val="000000"/>
          <w:sz w:val="24"/>
          <w:szCs w:val="28"/>
        </w:rPr>
        <w:t>sans aucune reserve</w:t>
      </w:r>
      <w:r>
        <w:rPr>
          <w:rFonts w:cs="Traditional Arabic"/>
          <w:color w:val="000000"/>
          <w:sz w:val="24"/>
          <w:szCs w:val="28"/>
          <w:rtl/>
        </w:rPr>
        <w:t xml:space="preserve"> )</w:t>
      </w:r>
      <w:r>
        <w:rPr>
          <w:rFonts w:cs="Traditional Arabic" w:hint="cs"/>
          <w:color w:val="000000"/>
          <w:sz w:val="24"/>
          <w:szCs w:val="28"/>
          <w:rtl/>
        </w:rPr>
        <w:t xml:space="preserve"> .</w:t>
      </w:r>
    </w:p>
  </w:footnote>
  <w:footnote w:id="118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14 فقرة 35 </w:t>
      </w:r>
      <w:r w:rsidRPr="009A072C">
        <w:rPr>
          <w:rFonts w:cs="Traditional Arabic"/>
          <w:color w:val="000000"/>
          <w:sz w:val="24"/>
          <w:szCs w:val="28"/>
          <w:rtl/>
        </w:rPr>
        <w:t>–</w:t>
      </w:r>
      <w:r w:rsidRPr="009A072C">
        <w:rPr>
          <w:rFonts w:cs="Traditional Arabic" w:hint="cs"/>
          <w:color w:val="000000"/>
          <w:sz w:val="24"/>
          <w:szCs w:val="28"/>
          <w:rtl/>
        </w:rPr>
        <w:t xml:space="preserve"> جيوار فقرة 1673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2181</w:t>
      </w:r>
      <w:r>
        <w:rPr>
          <w:rFonts w:cs="Traditional Arabic" w:hint="cs"/>
          <w:color w:val="000000"/>
          <w:sz w:val="24"/>
          <w:szCs w:val="28"/>
          <w:rtl/>
        </w:rPr>
        <w:t xml:space="preserve"> .</w:t>
      </w:r>
    </w:p>
  </w:footnote>
  <w:footnote w:id="118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أوبري ورو 3 فقرة 287 </w:t>
      </w:r>
      <w:r w:rsidRPr="009A072C">
        <w:rPr>
          <w:rFonts w:cs="Traditional Arabic"/>
          <w:color w:val="000000"/>
          <w:sz w:val="24"/>
          <w:szCs w:val="28"/>
          <w:rtl/>
        </w:rPr>
        <w:t>–</w:t>
      </w:r>
      <w:r w:rsidRPr="009A072C">
        <w:rPr>
          <w:rFonts w:cs="Traditional Arabic" w:hint="cs"/>
          <w:color w:val="000000"/>
          <w:sz w:val="24"/>
          <w:szCs w:val="28"/>
          <w:rtl/>
        </w:rPr>
        <w:t xml:space="preserve"> مازو 3 فقرة 498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58</w:t>
      </w:r>
      <w:r>
        <w:rPr>
          <w:rFonts w:cs="Traditional Arabic" w:hint="cs"/>
          <w:color w:val="000000"/>
          <w:sz w:val="24"/>
          <w:szCs w:val="28"/>
          <w:rtl/>
        </w:rPr>
        <w:t xml:space="preserve"> .</w:t>
      </w:r>
    </w:p>
  </w:footnote>
  <w:footnote w:id="118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14 فقرة 1171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58</w:t>
      </w:r>
      <w:r>
        <w:rPr>
          <w:rFonts w:cs="Traditional Arabic" w:hint="cs"/>
          <w:color w:val="000000"/>
          <w:sz w:val="24"/>
          <w:szCs w:val="28"/>
          <w:rtl/>
        </w:rPr>
        <w:t xml:space="preserve"> .</w:t>
      </w:r>
    </w:p>
  </w:footnote>
  <w:footnote w:id="118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13 نوفمبر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26 ص 21</w:t>
      </w:r>
      <w:r>
        <w:rPr>
          <w:rFonts w:cs="Traditional Arabic" w:hint="cs"/>
          <w:color w:val="000000"/>
          <w:sz w:val="24"/>
          <w:szCs w:val="28"/>
          <w:rtl/>
        </w:rPr>
        <w:t xml:space="preserve"> .</w:t>
      </w:r>
    </w:p>
  </w:footnote>
  <w:footnote w:id="118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أوبري ورو 3 فقرة 287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13 فقرة  1173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13 فقرة 1146 </w:t>
      </w:r>
      <w:r w:rsidRPr="009A072C">
        <w:rPr>
          <w:rFonts w:cs="Traditional Arabic"/>
          <w:color w:val="000000"/>
          <w:sz w:val="24"/>
          <w:szCs w:val="28"/>
          <w:rtl/>
        </w:rPr>
        <w:t>–</w:t>
      </w:r>
      <w:r w:rsidRPr="009A072C">
        <w:rPr>
          <w:rFonts w:cs="Traditional Arabic" w:hint="cs"/>
          <w:color w:val="000000"/>
          <w:sz w:val="24"/>
          <w:szCs w:val="28"/>
          <w:rtl/>
        </w:rPr>
        <w:t xml:space="preserve"> كولان وكابيتان 2 فقرة 1813 </w:t>
      </w:r>
      <w:r w:rsidRPr="009A072C">
        <w:rPr>
          <w:rFonts w:cs="Traditional Arabic"/>
          <w:color w:val="000000"/>
          <w:sz w:val="24"/>
          <w:szCs w:val="28"/>
          <w:rtl/>
        </w:rPr>
        <w:t>–</w:t>
      </w:r>
      <w:r w:rsidRPr="009A072C">
        <w:rPr>
          <w:rFonts w:cs="Traditional Arabic" w:hint="cs"/>
          <w:color w:val="000000"/>
          <w:sz w:val="24"/>
          <w:szCs w:val="28"/>
          <w:rtl/>
        </w:rPr>
        <w:t xml:space="preserve"> جوسران 2 فقرة 1905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59</w:t>
      </w:r>
      <w:r>
        <w:rPr>
          <w:rFonts w:cs="Traditional Arabic" w:hint="cs"/>
          <w:color w:val="000000"/>
          <w:sz w:val="24"/>
          <w:szCs w:val="28"/>
          <w:rtl/>
        </w:rPr>
        <w:t xml:space="preserve"> .</w:t>
      </w:r>
    </w:p>
  </w:footnote>
  <w:footnote w:id="118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أوبري ورو 3 فقرة 287 وهامش 43 </w:t>
      </w:r>
      <w:r w:rsidRPr="009A072C">
        <w:rPr>
          <w:rFonts w:cs="Traditional Arabic"/>
          <w:color w:val="000000"/>
          <w:sz w:val="24"/>
          <w:szCs w:val="28"/>
          <w:rtl/>
        </w:rPr>
        <w:t>–</w:t>
      </w:r>
      <w:r w:rsidRPr="009A072C">
        <w:rPr>
          <w:rFonts w:cs="Traditional Arabic" w:hint="cs"/>
          <w:color w:val="000000"/>
          <w:sz w:val="24"/>
          <w:szCs w:val="28"/>
          <w:rtl/>
        </w:rPr>
        <w:t xml:space="preserve"> بيدان وفواران 14 فقرة 1176 -  بلانيول وريبير وبيكيه 13 فقرة 1147 </w:t>
      </w:r>
      <w:r w:rsidRPr="009A072C">
        <w:rPr>
          <w:rFonts w:cs="Traditional Arabic"/>
          <w:color w:val="000000"/>
          <w:sz w:val="24"/>
          <w:szCs w:val="28"/>
          <w:rtl/>
        </w:rPr>
        <w:t>–</w:t>
      </w:r>
      <w:r w:rsidRPr="009A072C">
        <w:rPr>
          <w:rFonts w:cs="Traditional Arabic" w:hint="cs"/>
          <w:color w:val="000000"/>
          <w:sz w:val="24"/>
          <w:szCs w:val="28"/>
          <w:rtl/>
        </w:rPr>
        <w:t xml:space="preserve"> كولان وكابيتان 2 فقرة 1813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59</w:t>
      </w:r>
      <w:r>
        <w:rPr>
          <w:rFonts w:cs="Traditional Arabic" w:hint="cs"/>
          <w:color w:val="000000"/>
          <w:sz w:val="24"/>
          <w:szCs w:val="28"/>
          <w:rtl/>
        </w:rPr>
        <w:t xml:space="preserve"> .</w:t>
      </w:r>
    </w:p>
  </w:footnote>
  <w:footnote w:id="118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أنسيكلوبيدي داللوز 2 ص 929 فقرة 402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186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177 ص 282</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18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فقرة 35 </w:t>
      </w:r>
      <w:r w:rsidRPr="009A072C">
        <w:rPr>
          <w:rFonts w:cs="Traditional Arabic"/>
          <w:color w:val="000000"/>
          <w:sz w:val="24"/>
          <w:szCs w:val="28"/>
          <w:rtl/>
        </w:rPr>
        <w:t>–</w:t>
      </w:r>
      <w:r w:rsidRPr="009A072C">
        <w:rPr>
          <w:rFonts w:cs="Traditional Arabic" w:hint="cs"/>
          <w:color w:val="000000"/>
          <w:sz w:val="24"/>
          <w:szCs w:val="28"/>
          <w:rtl/>
        </w:rPr>
        <w:t xml:space="preserve"> جيوار فقرة 1677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ص 728 هامش 36 </w:t>
      </w:r>
      <w:r w:rsidRPr="009A072C">
        <w:rPr>
          <w:rFonts w:cs="Traditional Arabic"/>
          <w:color w:val="000000"/>
          <w:sz w:val="24"/>
          <w:szCs w:val="28"/>
          <w:rtl/>
        </w:rPr>
        <w:t>–</w:t>
      </w:r>
      <w:r w:rsidRPr="009A072C">
        <w:rPr>
          <w:rFonts w:cs="Traditional Arabic" w:hint="cs"/>
          <w:color w:val="000000"/>
          <w:sz w:val="24"/>
          <w:szCs w:val="28"/>
          <w:rtl/>
        </w:rPr>
        <w:t xml:space="preserve"> مك 184 ص 252</w:t>
      </w:r>
      <w:r>
        <w:rPr>
          <w:rFonts w:cs="Traditional Arabic" w:hint="cs"/>
          <w:color w:val="000000"/>
          <w:sz w:val="24"/>
          <w:szCs w:val="28"/>
          <w:rtl/>
        </w:rPr>
        <w:t xml:space="preserve"> .</w:t>
      </w:r>
    </w:p>
  </w:footnote>
  <w:footnote w:id="118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فقرة 293 </w:t>
      </w:r>
      <w:r w:rsidRPr="009A072C">
        <w:rPr>
          <w:rFonts w:cs="Traditional Arabic"/>
          <w:color w:val="000000"/>
          <w:sz w:val="24"/>
          <w:szCs w:val="28"/>
          <w:rtl/>
        </w:rPr>
        <w:t>–</w:t>
      </w:r>
      <w:r w:rsidRPr="009A072C">
        <w:rPr>
          <w:rFonts w:cs="Traditional Arabic" w:hint="cs"/>
          <w:color w:val="000000"/>
          <w:sz w:val="24"/>
          <w:szCs w:val="28"/>
          <w:rtl/>
        </w:rPr>
        <w:t xml:space="preserve"> جيوار فقرة 1675 </w:t>
      </w:r>
      <w:r w:rsidRPr="009A072C">
        <w:rPr>
          <w:rFonts w:cs="Traditional Arabic"/>
          <w:color w:val="000000"/>
          <w:sz w:val="24"/>
          <w:szCs w:val="28"/>
          <w:rtl/>
        </w:rPr>
        <w:t>–</w:t>
      </w:r>
      <w:r w:rsidRPr="009A072C">
        <w:rPr>
          <w:rFonts w:cs="Traditional Arabic" w:hint="cs"/>
          <w:color w:val="000000"/>
          <w:sz w:val="24"/>
          <w:szCs w:val="28"/>
          <w:rtl/>
        </w:rPr>
        <w:t xml:space="preserve"> بودي ودي لوان فقرة 184 </w:t>
      </w:r>
      <w:r w:rsidRPr="009A072C">
        <w:rPr>
          <w:rFonts w:cs="Traditional Arabic"/>
          <w:color w:val="000000"/>
          <w:sz w:val="24"/>
          <w:szCs w:val="28"/>
          <w:rtl/>
        </w:rPr>
        <w:t>–</w:t>
      </w:r>
      <w:r w:rsidRPr="009A072C">
        <w:rPr>
          <w:rFonts w:cs="Traditional Arabic" w:hint="cs"/>
          <w:color w:val="000000"/>
          <w:sz w:val="24"/>
          <w:szCs w:val="28"/>
          <w:rtl/>
        </w:rPr>
        <w:t xml:space="preserve"> أوبري ورو 6 فقرة 287 ص 728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184 ص 252</w:t>
      </w:r>
      <w:r>
        <w:rPr>
          <w:rFonts w:cs="Traditional Arabic" w:hint="cs"/>
          <w:color w:val="000000"/>
          <w:sz w:val="24"/>
          <w:szCs w:val="28"/>
          <w:rtl/>
        </w:rPr>
        <w:t xml:space="preserve"> .</w:t>
      </w:r>
    </w:p>
  </w:footnote>
  <w:footnote w:id="119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فقرة 33 </w:t>
      </w:r>
      <w:r w:rsidRPr="009A072C">
        <w:rPr>
          <w:rFonts w:cs="Traditional Arabic"/>
          <w:color w:val="000000"/>
          <w:sz w:val="24"/>
          <w:szCs w:val="28"/>
          <w:rtl/>
        </w:rPr>
        <w:t>–</w:t>
      </w:r>
      <w:r w:rsidRPr="009A072C">
        <w:rPr>
          <w:rFonts w:cs="Traditional Arabic" w:hint="cs"/>
          <w:color w:val="000000"/>
          <w:sz w:val="24"/>
          <w:szCs w:val="28"/>
          <w:rtl/>
        </w:rPr>
        <w:t xml:space="preserve"> بون فقرة 1180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185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هامش 37 وهامش 39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184 ص 253</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19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مدني 9 مارس سنة 1933 مجموعة عمر 1 رقم 110 ص 198</w:t>
      </w:r>
      <w:r>
        <w:rPr>
          <w:rFonts w:cs="Traditional Arabic" w:hint="cs"/>
          <w:color w:val="000000"/>
          <w:sz w:val="24"/>
          <w:szCs w:val="28"/>
          <w:rtl/>
        </w:rPr>
        <w:t xml:space="preserve"> .</w:t>
      </w:r>
    </w:p>
  </w:footnote>
  <w:footnote w:id="119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1678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2187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486</w:t>
      </w:r>
      <w:r>
        <w:rPr>
          <w:rFonts w:cs="Traditional Arabic" w:hint="cs"/>
          <w:color w:val="000000"/>
          <w:sz w:val="24"/>
          <w:szCs w:val="28"/>
          <w:rtl/>
        </w:rPr>
        <w:t xml:space="preserve"> .</w:t>
      </w:r>
    </w:p>
  </w:footnote>
  <w:footnote w:id="119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14 فقرة 33 </w:t>
      </w:r>
      <w:r w:rsidRPr="009A072C">
        <w:rPr>
          <w:rFonts w:cs="Traditional Arabic"/>
          <w:color w:val="000000"/>
          <w:sz w:val="24"/>
          <w:szCs w:val="28"/>
          <w:rtl/>
        </w:rPr>
        <w:t>–</w:t>
      </w:r>
      <w:r w:rsidRPr="009A072C">
        <w:rPr>
          <w:rFonts w:cs="Traditional Arabic" w:hint="cs"/>
          <w:color w:val="000000"/>
          <w:sz w:val="24"/>
          <w:szCs w:val="28"/>
          <w:rtl/>
        </w:rPr>
        <w:t xml:space="preserve"> جيوار فقرة1678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2187 </w:t>
      </w:r>
      <w:r>
        <w:rPr>
          <w:rFonts w:cs="Traditional Arabic" w:hint="cs"/>
          <w:color w:val="000000"/>
          <w:sz w:val="24"/>
          <w:szCs w:val="28"/>
          <w:rtl/>
        </w:rPr>
        <w:t xml:space="preserve"> .</w:t>
      </w:r>
      <w:r w:rsidRPr="009A072C">
        <w:rPr>
          <w:rFonts w:cs="Traditional Arabic" w:hint="cs"/>
          <w:color w:val="000000"/>
          <w:sz w:val="24"/>
          <w:szCs w:val="28"/>
          <w:rtl/>
        </w:rPr>
        <w:t xml:space="preserve"> وانظر في ذلك محمد كامل مرسي فقرة 185</w:t>
      </w:r>
      <w:r>
        <w:rPr>
          <w:rFonts w:cs="Traditional Arabic" w:hint="cs"/>
          <w:color w:val="000000"/>
          <w:sz w:val="24"/>
          <w:szCs w:val="28"/>
          <w:rtl/>
        </w:rPr>
        <w:t xml:space="preserve"> .</w:t>
      </w:r>
    </w:p>
  </w:footnote>
  <w:footnote w:id="119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ويقول الأستاذ شمس الدين الوكيل</w:t>
      </w:r>
      <w:r>
        <w:rPr>
          <w:rFonts w:cs="Traditional Arabic" w:hint="cs"/>
          <w:color w:val="000000"/>
          <w:sz w:val="24"/>
          <w:szCs w:val="28"/>
          <w:rtl/>
        </w:rPr>
        <w:t xml:space="preserve"> :</w:t>
      </w:r>
      <w:r w:rsidRPr="009A072C">
        <w:rPr>
          <w:rFonts w:cs="Traditional Arabic" w:hint="cs"/>
          <w:color w:val="000000"/>
          <w:sz w:val="24"/>
          <w:szCs w:val="28"/>
          <w:rtl/>
        </w:rPr>
        <w:t xml:space="preserve"> "إن الكفيل العيني في تقديرنا تتوافر فيه صفة المديونية</w:t>
      </w:r>
      <w:r>
        <w:rPr>
          <w:rFonts w:cs="Traditional Arabic" w:hint="cs"/>
          <w:color w:val="000000"/>
          <w:sz w:val="24"/>
          <w:szCs w:val="28"/>
          <w:rtl/>
        </w:rPr>
        <w:t xml:space="preserve"> ،</w:t>
      </w:r>
      <w:r w:rsidRPr="009A072C">
        <w:rPr>
          <w:rFonts w:cs="Traditional Arabic" w:hint="cs"/>
          <w:color w:val="000000"/>
          <w:sz w:val="24"/>
          <w:szCs w:val="28"/>
          <w:rtl/>
        </w:rPr>
        <w:t xml:space="preserve"> ولكنه يحدد المسئولية عنها في نطاق العقار المرهون فقط</w:t>
      </w:r>
      <w:r>
        <w:rPr>
          <w:rFonts w:cs="Traditional Arabic" w:hint="cs"/>
          <w:color w:val="000000"/>
          <w:sz w:val="24"/>
          <w:szCs w:val="28"/>
          <w:rtl/>
        </w:rPr>
        <w:t xml:space="preserve"> .</w:t>
      </w:r>
      <w:r w:rsidRPr="009A072C">
        <w:rPr>
          <w:rFonts w:cs="Traditional Arabic" w:hint="cs"/>
          <w:color w:val="000000"/>
          <w:sz w:val="24"/>
          <w:szCs w:val="28"/>
          <w:rtl/>
        </w:rPr>
        <w:t xml:space="preserve"> وهو بذلك يمتنع عليه التطهير باعتبار أنه مسئول عن أداء الدين في الحدود المتقدمة</w:t>
      </w:r>
      <w:r>
        <w:rPr>
          <w:rFonts w:cs="Traditional Arabic" w:hint="cs"/>
          <w:color w:val="000000"/>
          <w:sz w:val="24"/>
          <w:szCs w:val="28"/>
          <w:rtl/>
        </w:rPr>
        <w:t xml:space="preserve"> .</w:t>
      </w:r>
      <w:r w:rsidRPr="009A072C">
        <w:rPr>
          <w:rFonts w:cs="Traditional Arabic" w:hint="cs"/>
          <w:color w:val="000000"/>
          <w:sz w:val="24"/>
          <w:szCs w:val="28"/>
          <w:rtl/>
        </w:rPr>
        <w:t xml:space="preserve"> ولكن ليس ثمة ما يمنع من السماح له بتخلية العقار لتوافر الهدف من تقرير هذه الوسيلة القانونية</w:t>
      </w:r>
      <w:r>
        <w:rPr>
          <w:rFonts w:cs="Traditional Arabic" w:hint="cs"/>
          <w:color w:val="000000"/>
          <w:sz w:val="24"/>
          <w:szCs w:val="28"/>
          <w:rtl/>
        </w:rPr>
        <w:t xml:space="preserve"> .</w:t>
      </w:r>
      <w:r w:rsidRPr="009A072C">
        <w:rPr>
          <w:rFonts w:cs="Traditional Arabic" w:hint="cs"/>
          <w:color w:val="000000"/>
          <w:sz w:val="24"/>
          <w:szCs w:val="28"/>
          <w:rtl/>
        </w:rPr>
        <w:t xml:space="preserve"> فكل ما يسمى إليه الكفيل هنا هو ترك الحيازة العرضية</w:t>
      </w:r>
      <w:r>
        <w:rPr>
          <w:rFonts w:cs="Traditional Arabic" w:hint="cs"/>
          <w:color w:val="000000"/>
          <w:sz w:val="24"/>
          <w:szCs w:val="28"/>
          <w:rtl/>
        </w:rPr>
        <w:t xml:space="preserve"> ،</w:t>
      </w:r>
      <w:r w:rsidRPr="009A072C">
        <w:rPr>
          <w:rFonts w:cs="Traditional Arabic" w:hint="cs"/>
          <w:color w:val="000000"/>
          <w:sz w:val="24"/>
          <w:szCs w:val="28"/>
          <w:rtl/>
        </w:rPr>
        <w:t xml:space="preserve"> حتى يتجنب إشراكه في إجراءات نزع الملكية</w:t>
      </w:r>
      <w:r>
        <w:rPr>
          <w:rFonts w:cs="Traditional Arabic" w:hint="cs"/>
          <w:color w:val="000000"/>
          <w:sz w:val="24"/>
          <w:szCs w:val="28"/>
          <w:rtl/>
        </w:rPr>
        <w:t xml:space="preserve"> .</w:t>
      </w:r>
      <w:r w:rsidRPr="009A072C">
        <w:rPr>
          <w:rFonts w:cs="Traditional Arabic" w:hint="cs"/>
          <w:color w:val="000000"/>
          <w:sz w:val="24"/>
          <w:szCs w:val="28"/>
          <w:rtl/>
        </w:rPr>
        <w:t xml:space="preserve"> وهو باتخاذ هذا الموقف يستند إلى أنه مدين تابع</w:t>
      </w:r>
      <w:r>
        <w:rPr>
          <w:rFonts w:cs="Traditional Arabic" w:hint="cs"/>
          <w:color w:val="000000"/>
          <w:sz w:val="24"/>
          <w:szCs w:val="28"/>
          <w:rtl/>
        </w:rPr>
        <w:t xml:space="preserve"> ،</w:t>
      </w:r>
      <w:r w:rsidRPr="009A072C">
        <w:rPr>
          <w:rFonts w:cs="Traditional Arabic" w:hint="cs"/>
          <w:color w:val="000000"/>
          <w:sz w:val="24"/>
          <w:szCs w:val="28"/>
          <w:rtl/>
        </w:rPr>
        <w:t xml:space="preserve"> وأنه لا ضرر على الدائنين من انسحابه أثناء التنفيذ على العقار" </w:t>
      </w:r>
      <w:r>
        <w:rPr>
          <w:rFonts w:cs="Traditional Arabic" w:hint="cs"/>
          <w:color w:val="000000"/>
          <w:sz w:val="24"/>
          <w:szCs w:val="28"/>
          <w:rtl/>
        </w:rPr>
        <w:t xml:space="preserve">( </w:t>
      </w:r>
      <w:r w:rsidRPr="009A072C">
        <w:rPr>
          <w:rFonts w:cs="Traditional Arabic" w:hint="cs"/>
          <w:color w:val="000000"/>
          <w:sz w:val="24"/>
          <w:szCs w:val="28"/>
          <w:rtl/>
        </w:rPr>
        <w:t xml:space="preserve">شمس الدين الوكيل فقرة 116 ص 359 </w:t>
      </w:r>
      <w:r w:rsidRPr="009A072C">
        <w:rPr>
          <w:rFonts w:cs="Traditional Arabic"/>
          <w:color w:val="000000"/>
          <w:sz w:val="24"/>
          <w:szCs w:val="28"/>
          <w:rtl/>
        </w:rPr>
        <w:t>–</w:t>
      </w:r>
      <w:r w:rsidRPr="009A072C">
        <w:rPr>
          <w:rFonts w:cs="Traditional Arabic" w:hint="cs"/>
          <w:color w:val="000000"/>
          <w:sz w:val="24"/>
          <w:szCs w:val="28"/>
          <w:rtl/>
        </w:rPr>
        <w:t xml:space="preserve"> وانظر أيضاً سمير تناغر فقرة 95</w:t>
      </w:r>
      <w:r>
        <w:rPr>
          <w:rFonts w:cs="Traditional Arabic" w:hint="cs"/>
          <w:color w:val="000000"/>
          <w:sz w:val="24"/>
          <w:szCs w:val="28"/>
          <w:rtl/>
        </w:rPr>
        <w:t xml:space="preserve"> ) .</w:t>
      </w:r>
    </w:p>
  </w:footnote>
  <w:footnote w:id="119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181</w:t>
      </w:r>
      <w:r>
        <w:rPr>
          <w:rFonts w:cs="Traditional Arabic" w:hint="cs"/>
          <w:color w:val="000000"/>
          <w:sz w:val="24"/>
          <w:szCs w:val="28"/>
          <w:rtl/>
        </w:rPr>
        <w:t xml:space="preserve"> .</w:t>
      </w:r>
    </w:p>
  </w:footnote>
  <w:footnote w:id="119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187 </w:t>
      </w:r>
      <w:r w:rsidRPr="009A072C">
        <w:rPr>
          <w:rFonts w:cs="Traditional Arabic"/>
          <w:color w:val="000000"/>
          <w:sz w:val="24"/>
          <w:szCs w:val="28"/>
          <w:rtl/>
        </w:rPr>
        <w:t>–</w:t>
      </w:r>
      <w:r w:rsidRPr="009A072C">
        <w:rPr>
          <w:rFonts w:cs="Traditional Arabic" w:hint="cs"/>
          <w:color w:val="000000"/>
          <w:sz w:val="24"/>
          <w:szCs w:val="28"/>
          <w:rtl/>
        </w:rPr>
        <w:t xml:space="preserve"> عبد الفتاح عبد الباقي فقرة 342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181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60</w:t>
      </w:r>
      <w:r>
        <w:rPr>
          <w:rFonts w:cs="Traditional Arabic" w:hint="cs"/>
          <w:color w:val="000000"/>
          <w:sz w:val="24"/>
          <w:szCs w:val="28"/>
          <w:rtl/>
        </w:rPr>
        <w:t xml:space="preserve"> .</w:t>
      </w:r>
    </w:p>
  </w:footnote>
  <w:footnote w:id="119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1494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1173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وأقره مجلس النواب تحت رقم 1159</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1071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121 </w:t>
      </w:r>
      <w:r w:rsidRPr="009A072C">
        <w:rPr>
          <w:rFonts w:cs="Traditional Arabic"/>
          <w:color w:val="000000"/>
          <w:sz w:val="24"/>
          <w:szCs w:val="28"/>
          <w:rtl/>
        </w:rPr>
        <w:t>–</w:t>
      </w:r>
      <w:r w:rsidRPr="009A072C">
        <w:rPr>
          <w:rFonts w:cs="Traditional Arabic" w:hint="cs"/>
          <w:color w:val="000000"/>
          <w:sz w:val="24"/>
          <w:szCs w:val="28"/>
          <w:rtl/>
        </w:rPr>
        <w:t xml:space="preserve"> ص 124</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585 / 709</w:t>
      </w:r>
      <w:r>
        <w:rPr>
          <w:rFonts w:cs="Traditional Arabic" w:hint="cs"/>
          <w:color w:val="000000"/>
          <w:sz w:val="24"/>
          <w:szCs w:val="28"/>
          <w:rtl/>
        </w:rPr>
        <w:t xml:space="preserve"> :</w:t>
      </w:r>
      <w:r w:rsidRPr="009A072C">
        <w:rPr>
          <w:rFonts w:cs="Traditional Arabic" w:hint="cs"/>
          <w:color w:val="000000"/>
          <w:sz w:val="24"/>
          <w:szCs w:val="28"/>
          <w:rtl/>
        </w:rPr>
        <w:t xml:space="preserve"> تكون تخلية العقار بتقرير من حائزه</w:t>
      </w:r>
      <w:r>
        <w:rPr>
          <w:rFonts w:cs="Traditional Arabic" w:hint="cs"/>
          <w:color w:val="000000"/>
          <w:sz w:val="24"/>
          <w:szCs w:val="28"/>
          <w:rtl/>
        </w:rPr>
        <w:t xml:space="preserve"> ،</w:t>
      </w:r>
      <w:r w:rsidRPr="009A072C">
        <w:rPr>
          <w:rFonts w:cs="Traditional Arabic" w:hint="cs"/>
          <w:color w:val="000000"/>
          <w:sz w:val="24"/>
          <w:szCs w:val="28"/>
          <w:rtl/>
        </w:rPr>
        <w:t xml:space="preserve"> في قلم كتاب المحكمة الابتدائية الكائن بدائرتها العقار</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586 / 711</w:t>
      </w:r>
      <w:r>
        <w:rPr>
          <w:rFonts w:cs="Traditional Arabic" w:hint="cs"/>
          <w:color w:val="000000"/>
          <w:sz w:val="24"/>
          <w:szCs w:val="28"/>
          <w:rtl/>
        </w:rPr>
        <w:t xml:space="preserve"> :</w:t>
      </w:r>
      <w:r w:rsidRPr="009A072C">
        <w:rPr>
          <w:rFonts w:cs="Traditional Arabic" w:hint="cs"/>
          <w:color w:val="000000"/>
          <w:sz w:val="24"/>
          <w:szCs w:val="28"/>
          <w:rtl/>
        </w:rPr>
        <w:t xml:space="preserve"> يعين بمعرفة قاضي المواد الجزئية</w:t>
      </w:r>
      <w:r>
        <w:rPr>
          <w:rFonts w:cs="Traditional Arabic" w:hint="cs"/>
          <w:color w:val="000000"/>
          <w:sz w:val="24"/>
          <w:szCs w:val="28"/>
          <w:rtl/>
        </w:rPr>
        <w:t xml:space="preserve"> ،</w:t>
      </w:r>
      <w:r w:rsidRPr="009A072C">
        <w:rPr>
          <w:rFonts w:cs="Traditional Arabic" w:hint="cs"/>
          <w:color w:val="000000"/>
          <w:sz w:val="24"/>
          <w:szCs w:val="28"/>
          <w:rtl/>
        </w:rPr>
        <w:t xml:space="preserve"> بناء على عريضة من يطلب التعجيل من الأخصام</w:t>
      </w:r>
      <w:r>
        <w:rPr>
          <w:rFonts w:cs="Traditional Arabic" w:hint="cs"/>
          <w:color w:val="000000"/>
          <w:sz w:val="24"/>
          <w:szCs w:val="28"/>
          <w:rtl/>
        </w:rPr>
        <w:t xml:space="preserve"> ،</w:t>
      </w:r>
      <w:r w:rsidRPr="009A072C">
        <w:rPr>
          <w:rFonts w:cs="Traditional Arabic" w:hint="cs"/>
          <w:color w:val="000000"/>
          <w:sz w:val="24"/>
          <w:szCs w:val="28"/>
          <w:rtl/>
        </w:rPr>
        <w:t xml:space="preserve"> أمين للعقار المخلي</w:t>
      </w:r>
      <w:r>
        <w:rPr>
          <w:rFonts w:cs="Traditional Arabic" w:hint="cs"/>
          <w:color w:val="000000"/>
          <w:sz w:val="24"/>
          <w:szCs w:val="28"/>
          <w:rtl/>
        </w:rPr>
        <w:t xml:space="preserve"> ،</w:t>
      </w:r>
      <w:r w:rsidRPr="009A072C">
        <w:rPr>
          <w:rFonts w:cs="Traditional Arabic" w:hint="cs"/>
          <w:color w:val="000000"/>
          <w:sz w:val="24"/>
          <w:szCs w:val="28"/>
          <w:rtl/>
        </w:rPr>
        <w:t xml:space="preserve"> وتحصل في مواجهته الإجراءات المتعلقة بالبيع القهري</w:t>
      </w:r>
      <w:r>
        <w:rPr>
          <w:rFonts w:cs="Traditional Arabic" w:hint="cs"/>
          <w:color w:val="000000"/>
          <w:sz w:val="24"/>
          <w:szCs w:val="28"/>
          <w:rtl/>
        </w:rPr>
        <w:t xml:space="preserve"> ،</w:t>
      </w:r>
      <w:r w:rsidRPr="009A072C">
        <w:rPr>
          <w:rFonts w:cs="Traditional Arabic" w:hint="cs"/>
          <w:color w:val="000000"/>
          <w:sz w:val="24"/>
          <w:szCs w:val="28"/>
          <w:rtl/>
        </w:rPr>
        <w:t xml:space="preserve"> ويعين لتلك المأمورية الحائز للعقار إذا طلبها</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19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122</w:t>
      </w:r>
      <w:r>
        <w:rPr>
          <w:rFonts w:cs="Traditional Arabic" w:hint="cs"/>
          <w:color w:val="000000"/>
          <w:sz w:val="24"/>
          <w:szCs w:val="28"/>
          <w:rtl/>
        </w:rPr>
        <w:t xml:space="preserve"> .</w:t>
      </w:r>
    </w:p>
  </w:footnote>
  <w:footnote w:id="119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12 نوفمبر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26 ص 21</w:t>
      </w:r>
      <w:r>
        <w:rPr>
          <w:rFonts w:cs="Traditional Arabic" w:hint="cs"/>
          <w:color w:val="000000"/>
          <w:sz w:val="24"/>
          <w:szCs w:val="28"/>
          <w:rtl/>
        </w:rPr>
        <w:t xml:space="preserve"> .</w:t>
      </w:r>
    </w:p>
  </w:footnote>
  <w:footnote w:id="120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2192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هامش 43 مكرر وهامس 44</w:t>
      </w:r>
      <w:r>
        <w:rPr>
          <w:rFonts w:cs="Traditional Arabic" w:hint="cs"/>
          <w:color w:val="000000"/>
          <w:sz w:val="24"/>
          <w:szCs w:val="28"/>
          <w:rtl/>
        </w:rPr>
        <w:t xml:space="preserve"> .</w:t>
      </w:r>
    </w:p>
  </w:footnote>
  <w:footnote w:id="120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1180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3890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189 </w:t>
      </w:r>
      <w:r w:rsidRPr="009A072C">
        <w:rPr>
          <w:rFonts w:cs="Traditional Arabic"/>
          <w:color w:val="000000"/>
          <w:sz w:val="24"/>
          <w:szCs w:val="28"/>
          <w:rtl/>
        </w:rPr>
        <w:t>–</w:t>
      </w:r>
      <w:r w:rsidRPr="009A072C">
        <w:rPr>
          <w:rFonts w:cs="Traditional Arabic" w:hint="cs"/>
          <w:color w:val="000000"/>
          <w:sz w:val="24"/>
          <w:szCs w:val="28"/>
          <w:rtl/>
        </w:rPr>
        <w:t xml:space="preserve"> عبد الفتاح عبد الباقي فقرة 344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182</w:t>
      </w:r>
      <w:r>
        <w:rPr>
          <w:rFonts w:cs="Traditional Arabic" w:hint="cs"/>
          <w:color w:val="000000"/>
          <w:sz w:val="24"/>
          <w:szCs w:val="28"/>
          <w:rtl/>
        </w:rPr>
        <w:t xml:space="preserve"> .</w:t>
      </w:r>
    </w:p>
  </w:footnote>
  <w:footnote w:id="120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1180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3890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189 عبد الفتاح عبد الباقي فقرة 344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182</w:t>
      </w:r>
      <w:r>
        <w:rPr>
          <w:rFonts w:cs="Traditional Arabic" w:hint="cs"/>
          <w:color w:val="000000"/>
          <w:sz w:val="24"/>
          <w:szCs w:val="28"/>
          <w:rtl/>
        </w:rPr>
        <w:t xml:space="preserve"> .</w:t>
      </w:r>
    </w:p>
  </w:footnote>
  <w:footnote w:id="120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أوبري ورو 3 فقرة 287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13 فقرة 1153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61</w:t>
      </w:r>
      <w:r>
        <w:rPr>
          <w:rFonts w:cs="Traditional Arabic" w:hint="cs"/>
          <w:color w:val="000000"/>
          <w:sz w:val="24"/>
          <w:szCs w:val="28"/>
          <w:rtl/>
        </w:rPr>
        <w:t xml:space="preserve"> .</w:t>
      </w:r>
    </w:p>
  </w:footnote>
  <w:footnote w:id="120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كولان وكابيتان 2 فقرة 1814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61</w:t>
      </w:r>
      <w:r>
        <w:rPr>
          <w:rFonts w:cs="Traditional Arabic" w:hint="cs"/>
          <w:color w:val="000000"/>
          <w:sz w:val="24"/>
          <w:szCs w:val="28"/>
          <w:rtl/>
        </w:rPr>
        <w:t xml:space="preserve"> .</w:t>
      </w:r>
    </w:p>
  </w:footnote>
  <w:footnote w:id="120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13 فقرة 1153</w:t>
      </w:r>
      <w:r>
        <w:rPr>
          <w:rFonts w:cs="Traditional Arabic" w:hint="cs"/>
          <w:color w:val="000000"/>
          <w:sz w:val="24"/>
          <w:szCs w:val="28"/>
          <w:rtl/>
        </w:rPr>
        <w:t xml:space="preserve"> .</w:t>
      </w:r>
    </w:p>
  </w:footnote>
  <w:footnote w:id="120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14 فقرة 1180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13 فقرة 1153</w:t>
      </w:r>
      <w:r>
        <w:rPr>
          <w:rFonts w:cs="Traditional Arabic" w:hint="cs"/>
          <w:color w:val="000000"/>
          <w:sz w:val="24"/>
          <w:szCs w:val="28"/>
          <w:rtl/>
        </w:rPr>
        <w:t xml:space="preserve"> .</w:t>
      </w:r>
    </w:p>
  </w:footnote>
  <w:footnote w:id="120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وبيكيه 13 فقرة 1144 </w:t>
      </w:r>
      <w:r w:rsidRPr="009A072C">
        <w:rPr>
          <w:rFonts w:cs="Traditional Arabic"/>
          <w:color w:val="000000"/>
          <w:sz w:val="24"/>
          <w:szCs w:val="28"/>
          <w:rtl/>
        </w:rPr>
        <w:t>–</w:t>
      </w:r>
      <w:r w:rsidRPr="009A072C">
        <w:rPr>
          <w:rFonts w:cs="Traditional Arabic" w:hint="cs"/>
          <w:color w:val="000000"/>
          <w:sz w:val="24"/>
          <w:szCs w:val="28"/>
          <w:rtl/>
        </w:rPr>
        <w:t xml:space="preserve"> كولان وكابيتان 2 فقرة 1812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61 ص 188</w:t>
      </w:r>
      <w:r>
        <w:rPr>
          <w:rFonts w:cs="Traditional Arabic" w:hint="cs"/>
          <w:color w:val="000000"/>
          <w:sz w:val="24"/>
          <w:szCs w:val="28"/>
          <w:rtl/>
        </w:rPr>
        <w:t xml:space="preserve"> .</w:t>
      </w:r>
    </w:p>
  </w:footnote>
  <w:footnote w:id="120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2 فقرة 1943</w:t>
      </w:r>
      <w:r>
        <w:rPr>
          <w:rFonts w:cs="Traditional Arabic" w:hint="cs"/>
          <w:color w:val="000000"/>
          <w:sz w:val="24"/>
          <w:szCs w:val="28"/>
          <w:rtl/>
        </w:rPr>
        <w:t xml:space="preserve"> .</w:t>
      </w:r>
    </w:p>
  </w:footnote>
  <w:footnote w:id="120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318 </w:t>
      </w:r>
      <w:r w:rsidRPr="009A072C">
        <w:rPr>
          <w:rFonts w:cs="Traditional Arabic"/>
          <w:color w:val="000000"/>
          <w:sz w:val="24"/>
          <w:szCs w:val="28"/>
          <w:rtl/>
        </w:rPr>
        <w:t>–</w:t>
      </w:r>
      <w:r w:rsidRPr="009A072C">
        <w:rPr>
          <w:rFonts w:cs="Traditional Arabic" w:hint="cs"/>
          <w:color w:val="000000"/>
          <w:sz w:val="24"/>
          <w:szCs w:val="28"/>
          <w:rtl/>
        </w:rPr>
        <w:t xml:space="preserve"> هيك 49 </w:t>
      </w:r>
      <w:r w:rsidRPr="009A072C">
        <w:rPr>
          <w:rFonts w:cs="Traditional Arabic"/>
          <w:color w:val="000000"/>
          <w:sz w:val="24"/>
          <w:szCs w:val="28"/>
          <w:rtl/>
        </w:rPr>
        <w:t>–</w:t>
      </w:r>
      <w:r w:rsidRPr="009A072C">
        <w:rPr>
          <w:rFonts w:cs="Traditional Arabic" w:hint="cs"/>
          <w:color w:val="000000"/>
          <w:sz w:val="24"/>
          <w:szCs w:val="28"/>
          <w:rtl/>
        </w:rPr>
        <w:t xml:space="preserve"> جيوار 1685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2195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190</w:t>
      </w:r>
      <w:r>
        <w:rPr>
          <w:rFonts w:cs="Traditional Arabic" w:hint="cs"/>
          <w:color w:val="000000"/>
          <w:sz w:val="24"/>
          <w:szCs w:val="28"/>
          <w:rtl/>
        </w:rPr>
        <w:t xml:space="preserve"> .</w:t>
      </w:r>
    </w:p>
  </w:footnote>
  <w:footnote w:id="121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بون 1216 </w:t>
      </w:r>
      <w:r w:rsidRPr="009A072C">
        <w:rPr>
          <w:rFonts w:cs="Traditional Arabic"/>
          <w:color w:val="000000"/>
          <w:sz w:val="24"/>
          <w:szCs w:val="28"/>
          <w:rtl/>
        </w:rPr>
        <w:t>–</w:t>
      </w:r>
      <w:r w:rsidRPr="009A072C">
        <w:rPr>
          <w:rFonts w:cs="Traditional Arabic" w:hint="cs"/>
          <w:color w:val="000000"/>
          <w:sz w:val="24"/>
          <w:szCs w:val="28"/>
          <w:rtl/>
        </w:rPr>
        <w:t xml:space="preserve"> جيوار 1685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2195</w:t>
      </w:r>
      <w:r>
        <w:rPr>
          <w:rFonts w:cs="Traditional Arabic" w:hint="cs"/>
          <w:color w:val="000000"/>
          <w:sz w:val="24"/>
          <w:szCs w:val="28"/>
          <w:rtl/>
        </w:rPr>
        <w:t xml:space="preserve"> .</w:t>
      </w:r>
    </w:p>
  </w:footnote>
  <w:footnote w:id="121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298 </w:t>
      </w:r>
      <w:r w:rsidRPr="009A072C">
        <w:rPr>
          <w:rFonts w:cs="Traditional Arabic"/>
          <w:color w:val="000000"/>
          <w:sz w:val="24"/>
          <w:szCs w:val="28"/>
          <w:rtl/>
        </w:rPr>
        <w:t>–</w:t>
      </w:r>
      <w:r w:rsidRPr="009A072C">
        <w:rPr>
          <w:rFonts w:cs="Traditional Arabic" w:hint="cs"/>
          <w:color w:val="000000"/>
          <w:sz w:val="24"/>
          <w:szCs w:val="28"/>
          <w:rtl/>
        </w:rPr>
        <w:t xml:space="preserve"> هيك 37 </w:t>
      </w:r>
      <w:r w:rsidRPr="009A072C">
        <w:rPr>
          <w:rFonts w:cs="Traditional Arabic"/>
          <w:color w:val="000000"/>
          <w:sz w:val="24"/>
          <w:szCs w:val="28"/>
          <w:rtl/>
        </w:rPr>
        <w:t>–</w:t>
      </w:r>
      <w:r w:rsidRPr="009A072C">
        <w:rPr>
          <w:rFonts w:cs="Traditional Arabic" w:hint="cs"/>
          <w:color w:val="000000"/>
          <w:sz w:val="24"/>
          <w:szCs w:val="28"/>
          <w:rtl/>
        </w:rPr>
        <w:t xml:space="preserve"> جيوار 1683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2195 و 2217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ص 238 هامش 45 مكرر وهامش 61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190</w:t>
      </w:r>
      <w:r>
        <w:rPr>
          <w:rFonts w:cs="Traditional Arabic" w:hint="cs"/>
          <w:color w:val="000000"/>
          <w:sz w:val="24"/>
          <w:szCs w:val="28"/>
          <w:rtl/>
        </w:rPr>
        <w:t xml:space="preserve"> .</w:t>
      </w:r>
    </w:p>
  </w:footnote>
  <w:footnote w:id="121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190</w:t>
      </w:r>
      <w:r>
        <w:rPr>
          <w:rFonts w:cs="Traditional Arabic" w:hint="cs"/>
          <w:color w:val="000000"/>
          <w:sz w:val="24"/>
          <w:szCs w:val="28"/>
          <w:rtl/>
        </w:rPr>
        <w:t xml:space="preserve"> .</w:t>
      </w:r>
    </w:p>
  </w:footnote>
  <w:footnote w:id="121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190 ص 258</w:t>
      </w:r>
      <w:r>
        <w:rPr>
          <w:rFonts w:cs="Traditional Arabic" w:hint="cs"/>
          <w:color w:val="000000"/>
          <w:sz w:val="24"/>
          <w:szCs w:val="28"/>
          <w:rtl/>
        </w:rPr>
        <w:t xml:space="preserve"> .</w:t>
      </w:r>
    </w:p>
  </w:footnote>
  <w:footnote w:id="121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1182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184</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وانظر في ذلك سليمان مرقس فقرة 184</w:t>
      </w:r>
      <w:r>
        <w:rPr>
          <w:rFonts w:cs="Traditional Arabic" w:hint="cs"/>
          <w:color w:val="000000"/>
          <w:sz w:val="24"/>
          <w:szCs w:val="28"/>
          <w:rtl/>
        </w:rPr>
        <w:t xml:space="preserve"> .</w:t>
      </w:r>
    </w:p>
  </w:footnote>
  <w:footnote w:id="121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1495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1174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1160</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1072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124 </w:t>
      </w:r>
      <w:r w:rsidRPr="009A072C">
        <w:rPr>
          <w:rFonts w:cs="Traditional Arabic"/>
          <w:color w:val="000000"/>
          <w:sz w:val="24"/>
          <w:szCs w:val="28"/>
          <w:rtl/>
        </w:rPr>
        <w:t>–</w:t>
      </w:r>
      <w:r w:rsidRPr="009A072C">
        <w:rPr>
          <w:rFonts w:cs="Traditional Arabic" w:hint="cs"/>
          <w:color w:val="000000"/>
          <w:sz w:val="24"/>
          <w:szCs w:val="28"/>
          <w:rtl/>
        </w:rPr>
        <w:t xml:space="preserve"> ص 126</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574 / 692 فقرة ثانية</w:t>
      </w:r>
      <w:r>
        <w:rPr>
          <w:rFonts w:cs="Traditional Arabic" w:hint="cs"/>
          <w:color w:val="000000"/>
          <w:sz w:val="24"/>
          <w:szCs w:val="28"/>
          <w:rtl/>
        </w:rPr>
        <w:t xml:space="preserve"> :</w:t>
      </w:r>
      <w:r w:rsidRPr="009A072C">
        <w:rPr>
          <w:rFonts w:cs="Traditional Arabic" w:hint="cs"/>
          <w:color w:val="000000"/>
          <w:sz w:val="24"/>
          <w:szCs w:val="28"/>
          <w:rtl/>
        </w:rPr>
        <w:t xml:space="preserve"> ومع ذلك إذا كان العقار في يد حائز آخر</w:t>
      </w:r>
      <w:r>
        <w:rPr>
          <w:rFonts w:cs="Traditional Arabic" w:hint="cs"/>
          <w:color w:val="000000"/>
          <w:sz w:val="24"/>
          <w:szCs w:val="28"/>
          <w:rtl/>
        </w:rPr>
        <w:t xml:space="preserve"> ،</w:t>
      </w:r>
      <w:r w:rsidRPr="009A072C">
        <w:rPr>
          <w:rFonts w:cs="Traditional Arabic" w:hint="cs"/>
          <w:color w:val="000000"/>
          <w:sz w:val="24"/>
          <w:szCs w:val="28"/>
          <w:rtl/>
        </w:rPr>
        <w:t xml:space="preserve"> لا يجوز للدائن المرتهن أن يشرع في نزع ملكيته إلا بعد التنبيه على الحائز المذكور تنبيها رسميا بدفع الدين أو بتخلية العقار</w:t>
      </w:r>
      <w:r>
        <w:rPr>
          <w:rFonts w:cs="Traditional Arabic" w:hint="cs"/>
          <w:color w:val="000000"/>
          <w:sz w:val="24"/>
          <w:szCs w:val="28"/>
          <w:rtl/>
        </w:rPr>
        <w:t xml:space="preserve"> ،</w:t>
      </w:r>
      <w:r w:rsidRPr="009A072C">
        <w:rPr>
          <w:rFonts w:cs="Traditional Arabic" w:hint="cs"/>
          <w:color w:val="000000"/>
          <w:sz w:val="24"/>
          <w:szCs w:val="28"/>
          <w:rtl/>
        </w:rPr>
        <w:t xml:space="preserve"> وبعد مضي الثلاثين يوما المقررة في قانون المرافعات للتنبيه بالوفاء والإنذار بنزع الملكية</w:t>
      </w:r>
      <w:r>
        <w:rPr>
          <w:rFonts w:cs="Traditional Arabic" w:hint="cs"/>
          <w:color w:val="000000"/>
          <w:sz w:val="24"/>
          <w:szCs w:val="28"/>
          <w:rtl/>
        </w:rPr>
        <w:t xml:space="preserve"> .</w:t>
      </w:r>
    </w:p>
  </w:footnote>
  <w:footnote w:id="121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127</w:t>
      </w:r>
      <w:r>
        <w:rPr>
          <w:rFonts w:cs="Traditional Arabic" w:hint="cs"/>
          <w:color w:val="000000"/>
          <w:sz w:val="24"/>
          <w:szCs w:val="28"/>
          <w:rtl/>
        </w:rPr>
        <w:t xml:space="preserve"> .</w:t>
      </w:r>
    </w:p>
  </w:footnote>
  <w:footnote w:id="121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1026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132 ص 212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18 مايو سنة </w:t>
      </w:r>
      <w:smartTag w:uri="urn:schemas-microsoft-com:office:smarttags" w:element="metricconverter">
        <w:smartTagPr>
          <w:attr w:name="ProductID" w:val="1904 م"/>
        </w:smartTagPr>
        <w:r w:rsidRPr="009A072C">
          <w:rPr>
            <w:rFonts w:cs="Traditional Arabic" w:hint="cs"/>
            <w:color w:val="000000"/>
            <w:sz w:val="24"/>
            <w:szCs w:val="28"/>
            <w:rtl/>
          </w:rPr>
          <w:t>1904 م</w:t>
        </w:r>
      </w:smartTag>
      <w:r w:rsidRPr="009A072C">
        <w:rPr>
          <w:rFonts w:cs="Traditional Arabic" w:hint="cs"/>
          <w:color w:val="000000"/>
          <w:sz w:val="24"/>
          <w:szCs w:val="28"/>
          <w:rtl/>
        </w:rPr>
        <w:t xml:space="preserve"> 16 ص 248</w:t>
      </w:r>
      <w:r>
        <w:rPr>
          <w:rFonts w:cs="Traditional Arabic" w:hint="cs"/>
          <w:color w:val="000000"/>
          <w:sz w:val="24"/>
          <w:szCs w:val="28"/>
          <w:rtl/>
        </w:rPr>
        <w:t xml:space="preserve"> .</w:t>
      </w:r>
    </w:p>
  </w:footnote>
  <w:footnote w:id="121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21 ديسمبر سنة </w:t>
      </w:r>
      <w:smartTag w:uri="urn:schemas-microsoft-com:office:smarttags" w:element="metricconverter">
        <w:smartTagPr>
          <w:attr w:name="ProductID" w:val="1939 م"/>
        </w:smartTagPr>
        <w:r w:rsidRPr="009A072C">
          <w:rPr>
            <w:rFonts w:cs="Traditional Arabic" w:hint="cs"/>
            <w:color w:val="000000"/>
            <w:sz w:val="24"/>
            <w:szCs w:val="28"/>
            <w:rtl/>
          </w:rPr>
          <w:t>1939 م</w:t>
        </w:r>
      </w:smartTag>
      <w:r w:rsidRPr="009A072C">
        <w:rPr>
          <w:rFonts w:cs="Traditional Arabic" w:hint="cs"/>
          <w:color w:val="000000"/>
          <w:sz w:val="24"/>
          <w:szCs w:val="28"/>
          <w:rtl/>
        </w:rPr>
        <w:t xml:space="preserve"> 52 ص 75</w:t>
      </w:r>
      <w:r>
        <w:rPr>
          <w:rFonts w:cs="Traditional Arabic" w:hint="cs"/>
          <w:color w:val="000000"/>
          <w:sz w:val="24"/>
          <w:szCs w:val="28"/>
          <w:rtl/>
        </w:rPr>
        <w:t xml:space="preserve"> .</w:t>
      </w:r>
    </w:p>
  </w:footnote>
  <w:footnote w:id="121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 يونيه سنة </w:t>
      </w:r>
      <w:smartTag w:uri="urn:schemas-microsoft-com:office:smarttags" w:element="metricconverter">
        <w:smartTagPr>
          <w:attr w:name="ProductID" w:val="1909 م"/>
        </w:smartTagPr>
        <w:r w:rsidRPr="009A072C">
          <w:rPr>
            <w:rFonts w:cs="Traditional Arabic" w:hint="cs"/>
            <w:color w:val="000000"/>
            <w:sz w:val="24"/>
            <w:szCs w:val="28"/>
            <w:rtl/>
          </w:rPr>
          <w:t>1909 م</w:t>
        </w:r>
      </w:smartTag>
      <w:r w:rsidRPr="009A072C">
        <w:rPr>
          <w:rFonts w:cs="Traditional Arabic" w:hint="cs"/>
          <w:color w:val="000000"/>
          <w:sz w:val="24"/>
          <w:szCs w:val="28"/>
          <w:rtl/>
        </w:rPr>
        <w:t xml:space="preserve"> 21 ص 371 </w:t>
      </w:r>
      <w:r w:rsidRPr="009A072C">
        <w:rPr>
          <w:rFonts w:cs="Traditional Arabic"/>
          <w:color w:val="000000"/>
          <w:sz w:val="24"/>
          <w:szCs w:val="28"/>
          <w:rtl/>
        </w:rPr>
        <w:t>–</w:t>
      </w:r>
      <w:r w:rsidRPr="009A072C">
        <w:rPr>
          <w:rFonts w:cs="Traditional Arabic" w:hint="cs"/>
          <w:color w:val="000000"/>
          <w:sz w:val="24"/>
          <w:szCs w:val="28"/>
          <w:rtl/>
        </w:rPr>
        <w:t xml:space="preserve"> 11 سنة 1922 </w:t>
      </w:r>
      <w:r w:rsidRPr="009A072C">
        <w:rPr>
          <w:rFonts w:cs="Traditional Arabic"/>
          <w:color w:val="000000"/>
          <w:sz w:val="24"/>
          <w:szCs w:val="28"/>
          <w:rtl/>
        </w:rPr>
        <w:t>–</w:t>
      </w:r>
      <w:r w:rsidRPr="009A072C">
        <w:rPr>
          <w:rFonts w:cs="Traditional Arabic" w:hint="cs"/>
          <w:color w:val="000000"/>
          <w:sz w:val="24"/>
          <w:szCs w:val="28"/>
          <w:rtl/>
        </w:rPr>
        <w:t xml:space="preserve"> م 34 ص 393</w:t>
      </w:r>
      <w:r>
        <w:rPr>
          <w:rFonts w:cs="Traditional Arabic" w:hint="cs"/>
          <w:color w:val="000000"/>
          <w:sz w:val="24"/>
          <w:szCs w:val="28"/>
          <w:rtl/>
        </w:rPr>
        <w:t xml:space="preserve"> .</w:t>
      </w:r>
    </w:p>
  </w:footnote>
  <w:footnote w:id="122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وطني 25 فبراير سنة 1913 المجموعة الرسمية 14 رقم 61 ص 118 </w:t>
      </w:r>
      <w:r w:rsidRPr="009A072C">
        <w:rPr>
          <w:rFonts w:cs="Traditional Arabic"/>
          <w:color w:val="000000"/>
          <w:sz w:val="24"/>
          <w:szCs w:val="28"/>
          <w:rtl/>
        </w:rPr>
        <w:t>–</w:t>
      </w:r>
      <w:r w:rsidRPr="009A072C">
        <w:rPr>
          <w:rFonts w:cs="Traditional Arabic" w:hint="cs"/>
          <w:color w:val="000000"/>
          <w:sz w:val="24"/>
          <w:szCs w:val="28"/>
          <w:rtl/>
        </w:rPr>
        <w:t xml:space="preserve"> 23 مايو سنة 1923 المحاماة 2 رقم 169 ص 501 </w:t>
      </w:r>
      <w:r w:rsidRPr="009A072C">
        <w:rPr>
          <w:rFonts w:cs="Traditional Arabic"/>
          <w:color w:val="000000"/>
          <w:sz w:val="24"/>
          <w:szCs w:val="28"/>
          <w:rtl/>
        </w:rPr>
        <w:t>–</w:t>
      </w:r>
      <w:r w:rsidRPr="009A072C">
        <w:rPr>
          <w:rFonts w:cs="Traditional Arabic" w:hint="cs"/>
          <w:color w:val="000000"/>
          <w:sz w:val="24"/>
          <w:szCs w:val="28"/>
          <w:rtl/>
        </w:rPr>
        <w:t xml:space="preserve"> 8 مايو سنة 1928 المحاماة 9 رقم 218 ص 391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9 يناير سنة </w:t>
      </w:r>
      <w:smartTag w:uri="urn:schemas-microsoft-com:office:smarttags" w:element="metricconverter">
        <w:smartTagPr>
          <w:attr w:name="ProductID" w:val="1895 م"/>
        </w:smartTagPr>
        <w:r w:rsidRPr="009A072C">
          <w:rPr>
            <w:rFonts w:cs="Traditional Arabic" w:hint="cs"/>
            <w:color w:val="000000"/>
            <w:sz w:val="24"/>
            <w:szCs w:val="28"/>
            <w:rtl/>
          </w:rPr>
          <w:t>1895 م</w:t>
        </w:r>
      </w:smartTag>
      <w:r w:rsidRPr="009A072C">
        <w:rPr>
          <w:rFonts w:cs="Traditional Arabic" w:hint="cs"/>
          <w:color w:val="000000"/>
          <w:sz w:val="24"/>
          <w:szCs w:val="28"/>
          <w:rtl/>
        </w:rPr>
        <w:t xml:space="preserve"> 7 ص 77 </w:t>
      </w:r>
      <w:r w:rsidRPr="009A072C">
        <w:rPr>
          <w:rFonts w:cs="Traditional Arabic"/>
          <w:color w:val="000000"/>
          <w:sz w:val="24"/>
          <w:szCs w:val="28"/>
          <w:rtl/>
        </w:rPr>
        <w:t>–</w:t>
      </w:r>
      <w:r w:rsidRPr="009A072C">
        <w:rPr>
          <w:rFonts w:cs="Traditional Arabic" w:hint="cs"/>
          <w:color w:val="000000"/>
          <w:sz w:val="24"/>
          <w:szCs w:val="28"/>
          <w:rtl/>
        </w:rPr>
        <w:t xml:space="preserve"> 21 ديسمبر سنة </w:t>
      </w:r>
      <w:smartTag w:uri="urn:schemas-microsoft-com:office:smarttags" w:element="metricconverter">
        <w:smartTagPr>
          <w:attr w:name="ProductID" w:val="1903 م"/>
        </w:smartTagPr>
        <w:r w:rsidRPr="009A072C">
          <w:rPr>
            <w:rFonts w:cs="Traditional Arabic" w:hint="cs"/>
            <w:color w:val="000000"/>
            <w:sz w:val="24"/>
            <w:szCs w:val="28"/>
            <w:rtl/>
          </w:rPr>
          <w:t>1903 م</w:t>
        </w:r>
      </w:smartTag>
      <w:r w:rsidRPr="009A072C">
        <w:rPr>
          <w:rFonts w:cs="Traditional Arabic" w:hint="cs"/>
          <w:color w:val="000000"/>
          <w:sz w:val="24"/>
          <w:szCs w:val="28"/>
          <w:rtl/>
        </w:rPr>
        <w:t xml:space="preserve"> 16 ص 61 </w:t>
      </w:r>
      <w:r w:rsidRPr="009A072C">
        <w:rPr>
          <w:rFonts w:cs="Traditional Arabic"/>
          <w:color w:val="000000"/>
          <w:sz w:val="24"/>
          <w:szCs w:val="28"/>
          <w:rtl/>
        </w:rPr>
        <w:t>–</w:t>
      </w:r>
      <w:r w:rsidRPr="009A072C">
        <w:rPr>
          <w:rFonts w:cs="Traditional Arabic" w:hint="cs"/>
          <w:color w:val="000000"/>
          <w:sz w:val="24"/>
          <w:szCs w:val="28"/>
          <w:rtl/>
        </w:rPr>
        <w:t xml:space="preserve"> 9 مارس سنة </w:t>
      </w:r>
      <w:smartTag w:uri="urn:schemas-microsoft-com:office:smarttags" w:element="metricconverter">
        <w:smartTagPr>
          <w:attr w:name="ProductID" w:val="1904 م"/>
        </w:smartTagPr>
        <w:r w:rsidRPr="009A072C">
          <w:rPr>
            <w:rFonts w:cs="Traditional Arabic" w:hint="cs"/>
            <w:color w:val="000000"/>
            <w:sz w:val="24"/>
            <w:szCs w:val="28"/>
            <w:rtl/>
          </w:rPr>
          <w:t>1904 م</w:t>
        </w:r>
      </w:smartTag>
      <w:r w:rsidRPr="009A072C">
        <w:rPr>
          <w:rFonts w:cs="Traditional Arabic" w:hint="cs"/>
          <w:color w:val="000000"/>
          <w:sz w:val="24"/>
          <w:szCs w:val="28"/>
          <w:rtl/>
        </w:rPr>
        <w:t xml:space="preserve"> 16 ص 155 </w:t>
      </w:r>
      <w:r w:rsidRPr="009A072C">
        <w:rPr>
          <w:rFonts w:cs="Traditional Arabic"/>
          <w:color w:val="000000"/>
          <w:sz w:val="24"/>
          <w:szCs w:val="28"/>
          <w:rtl/>
        </w:rPr>
        <w:t>–</w:t>
      </w:r>
      <w:r w:rsidRPr="009A072C">
        <w:rPr>
          <w:rFonts w:cs="Traditional Arabic" w:hint="cs"/>
          <w:color w:val="000000"/>
          <w:sz w:val="24"/>
          <w:szCs w:val="28"/>
          <w:rtl/>
        </w:rPr>
        <w:t xml:space="preserve"> 6 يونيه سنة </w:t>
      </w:r>
      <w:smartTag w:uri="urn:schemas-microsoft-com:office:smarttags" w:element="metricconverter">
        <w:smartTagPr>
          <w:attr w:name="ProductID" w:val="1912 م"/>
        </w:smartTagPr>
        <w:r w:rsidRPr="009A072C">
          <w:rPr>
            <w:rFonts w:cs="Traditional Arabic" w:hint="cs"/>
            <w:color w:val="000000"/>
            <w:sz w:val="24"/>
            <w:szCs w:val="28"/>
            <w:rtl/>
          </w:rPr>
          <w:t>1912 م</w:t>
        </w:r>
      </w:smartTag>
      <w:r w:rsidRPr="009A072C">
        <w:rPr>
          <w:rFonts w:cs="Traditional Arabic" w:hint="cs"/>
          <w:color w:val="000000"/>
          <w:sz w:val="24"/>
          <w:szCs w:val="28"/>
          <w:rtl/>
        </w:rPr>
        <w:t xml:space="preserve"> 24 ص 393 </w:t>
      </w:r>
      <w:r w:rsidRPr="009A072C">
        <w:rPr>
          <w:rFonts w:cs="Traditional Arabic"/>
          <w:color w:val="000000"/>
          <w:sz w:val="24"/>
          <w:szCs w:val="28"/>
          <w:rtl/>
        </w:rPr>
        <w:t>–</w:t>
      </w:r>
      <w:r w:rsidRPr="009A072C">
        <w:rPr>
          <w:rFonts w:cs="Traditional Arabic" w:hint="cs"/>
          <w:color w:val="000000"/>
          <w:sz w:val="24"/>
          <w:szCs w:val="28"/>
          <w:rtl/>
        </w:rPr>
        <w:t xml:space="preserve"> 5 فبراير سنة </w:t>
      </w:r>
      <w:smartTag w:uri="urn:schemas-microsoft-com:office:smarttags" w:element="metricconverter">
        <w:smartTagPr>
          <w:attr w:name="ProductID" w:val="1935 م"/>
        </w:smartTagPr>
        <w:r w:rsidRPr="009A072C">
          <w:rPr>
            <w:rFonts w:cs="Traditional Arabic" w:hint="cs"/>
            <w:color w:val="000000"/>
            <w:sz w:val="24"/>
            <w:szCs w:val="28"/>
            <w:rtl/>
          </w:rPr>
          <w:t>1935 م</w:t>
        </w:r>
      </w:smartTag>
      <w:r w:rsidRPr="009A072C">
        <w:rPr>
          <w:rFonts w:cs="Traditional Arabic" w:hint="cs"/>
          <w:color w:val="000000"/>
          <w:sz w:val="24"/>
          <w:szCs w:val="28"/>
          <w:rtl/>
        </w:rPr>
        <w:t xml:space="preserve"> 74 ص 144</w:t>
      </w:r>
      <w:r>
        <w:rPr>
          <w:rFonts w:cs="Traditional Arabic" w:hint="cs"/>
          <w:color w:val="000000"/>
          <w:sz w:val="24"/>
          <w:szCs w:val="28"/>
          <w:rtl/>
        </w:rPr>
        <w:t xml:space="preserve"> .</w:t>
      </w:r>
    </w:p>
  </w:footnote>
  <w:footnote w:id="122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أسيوط الابتدائية 12 ماس سنة 1938 المحاماة 18 رقم 47 ص 926</w:t>
      </w:r>
      <w:r>
        <w:rPr>
          <w:rFonts w:cs="Traditional Arabic" w:hint="cs"/>
          <w:color w:val="000000"/>
          <w:sz w:val="24"/>
          <w:szCs w:val="28"/>
          <w:rtl/>
        </w:rPr>
        <w:t xml:space="preserve"> .</w:t>
      </w:r>
    </w:p>
  </w:footnote>
  <w:footnote w:id="122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مصر 26 نوفمبر سنة 1928 المجموعة الرسمية 29 رقم 144 ص 339</w:t>
      </w:r>
      <w:r>
        <w:rPr>
          <w:rFonts w:cs="Traditional Arabic" w:hint="cs"/>
          <w:color w:val="000000"/>
          <w:sz w:val="24"/>
          <w:szCs w:val="28"/>
          <w:rtl/>
        </w:rPr>
        <w:t xml:space="preserve"> .</w:t>
      </w:r>
    </w:p>
  </w:footnote>
  <w:footnote w:id="122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مصر 12 يونيه سنة 1927 المحاماة 18 رقم 122 ص 233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9 مارس سنة </w:t>
      </w:r>
      <w:smartTag w:uri="urn:schemas-microsoft-com:office:smarttags" w:element="metricconverter">
        <w:smartTagPr>
          <w:attr w:name="ProductID" w:val="1904 م"/>
        </w:smartTagPr>
        <w:r w:rsidRPr="009A072C">
          <w:rPr>
            <w:rFonts w:cs="Traditional Arabic" w:hint="cs"/>
            <w:color w:val="000000"/>
            <w:sz w:val="24"/>
            <w:szCs w:val="28"/>
            <w:rtl/>
          </w:rPr>
          <w:t>1904 م</w:t>
        </w:r>
      </w:smartTag>
      <w:r w:rsidRPr="009A072C">
        <w:rPr>
          <w:rFonts w:cs="Traditional Arabic" w:hint="cs"/>
          <w:color w:val="000000"/>
          <w:sz w:val="24"/>
          <w:szCs w:val="28"/>
          <w:rtl/>
        </w:rPr>
        <w:t xml:space="preserve"> 16 ص 155 </w:t>
      </w:r>
      <w:r w:rsidRPr="009A072C">
        <w:rPr>
          <w:rFonts w:cs="Traditional Arabic"/>
          <w:color w:val="000000"/>
          <w:sz w:val="24"/>
          <w:szCs w:val="28"/>
          <w:rtl/>
        </w:rPr>
        <w:t>–</w:t>
      </w:r>
      <w:r w:rsidRPr="009A072C">
        <w:rPr>
          <w:rFonts w:cs="Traditional Arabic" w:hint="cs"/>
          <w:color w:val="000000"/>
          <w:sz w:val="24"/>
          <w:szCs w:val="28"/>
          <w:rtl/>
        </w:rPr>
        <w:t xml:space="preserve"> 17 يونيه سنة </w:t>
      </w:r>
      <w:smartTag w:uri="urn:schemas-microsoft-com:office:smarttags" w:element="metricconverter">
        <w:smartTagPr>
          <w:attr w:name="ProductID" w:val="1937 م"/>
        </w:smartTagPr>
        <w:r w:rsidRPr="009A072C">
          <w:rPr>
            <w:rFonts w:cs="Traditional Arabic" w:hint="cs"/>
            <w:color w:val="000000"/>
            <w:sz w:val="24"/>
            <w:szCs w:val="28"/>
            <w:rtl/>
          </w:rPr>
          <w:t>1937 م</w:t>
        </w:r>
      </w:smartTag>
      <w:r w:rsidRPr="009A072C">
        <w:rPr>
          <w:rFonts w:cs="Traditional Arabic" w:hint="cs"/>
          <w:color w:val="000000"/>
          <w:sz w:val="24"/>
          <w:szCs w:val="28"/>
          <w:rtl/>
        </w:rPr>
        <w:t xml:space="preserve"> 49 ص 271</w:t>
      </w:r>
      <w:r>
        <w:rPr>
          <w:rFonts w:cs="Traditional Arabic" w:hint="cs"/>
          <w:color w:val="000000"/>
          <w:sz w:val="24"/>
          <w:szCs w:val="28"/>
          <w:rtl/>
        </w:rPr>
        <w:t xml:space="preserve"> .</w:t>
      </w:r>
    </w:p>
  </w:footnote>
  <w:footnote w:id="122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7 ديسمبر سنة </w:t>
      </w:r>
      <w:smartTag w:uri="urn:schemas-microsoft-com:office:smarttags" w:element="metricconverter">
        <w:smartTagPr>
          <w:attr w:name="ProductID" w:val="1916 م"/>
        </w:smartTagPr>
        <w:r w:rsidRPr="009A072C">
          <w:rPr>
            <w:rFonts w:cs="Traditional Arabic" w:hint="cs"/>
            <w:color w:val="000000"/>
            <w:sz w:val="24"/>
            <w:szCs w:val="28"/>
            <w:rtl/>
          </w:rPr>
          <w:t>1916 م</w:t>
        </w:r>
      </w:smartTag>
      <w:r w:rsidRPr="009A072C">
        <w:rPr>
          <w:rFonts w:cs="Traditional Arabic" w:hint="cs"/>
          <w:color w:val="000000"/>
          <w:sz w:val="24"/>
          <w:szCs w:val="28"/>
          <w:rtl/>
        </w:rPr>
        <w:t xml:space="preserve"> 29 ص 93 </w:t>
      </w:r>
      <w:r>
        <w:rPr>
          <w:rFonts w:cs="Traditional Arabic" w:hint="cs"/>
          <w:color w:val="000000"/>
          <w:sz w:val="24"/>
          <w:szCs w:val="28"/>
          <w:rtl/>
        </w:rPr>
        <w:t xml:space="preserve"> .</w:t>
      </w:r>
    </w:p>
  </w:footnote>
  <w:footnote w:id="122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1024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132 ص 216</w:t>
      </w:r>
      <w:r>
        <w:rPr>
          <w:rFonts w:cs="Traditional Arabic" w:hint="cs"/>
          <w:color w:val="000000"/>
          <w:sz w:val="24"/>
          <w:szCs w:val="28"/>
          <w:rtl/>
        </w:rPr>
        <w:t xml:space="preserve"> .</w:t>
      </w:r>
    </w:p>
  </w:footnote>
  <w:footnote w:id="122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1496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1175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وأقره مجلس النواب تحت رقم 1161 ثم مجلس الشيوخ تحت رقم 1073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126 </w:t>
      </w:r>
      <w:r w:rsidRPr="009A072C">
        <w:rPr>
          <w:rFonts w:cs="Traditional Arabic"/>
          <w:color w:val="000000"/>
          <w:sz w:val="24"/>
          <w:szCs w:val="28"/>
          <w:rtl/>
        </w:rPr>
        <w:t>–</w:t>
      </w:r>
      <w:r w:rsidRPr="009A072C">
        <w:rPr>
          <w:rFonts w:cs="Traditional Arabic" w:hint="cs"/>
          <w:color w:val="000000"/>
          <w:sz w:val="24"/>
          <w:szCs w:val="28"/>
          <w:rtl/>
        </w:rPr>
        <w:t xml:space="preserve"> ص 128</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22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128</w:t>
      </w:r>
      <w:r>
        <w:rPr>
          <w:rFonts w:cs="Traditional Arabic" w:hint="cs"/>
          <w:color w:val="000000"/>
          <w:sz w:val="24"/>
          <w:szCs w:val="28"/>
          <w:rtl/>
        </w:rPr>
        <w:t xml:space="preserve"> .</w:t>
      </w:r>
    </w:p>
  </w:footnote>
  <w:footnote w:id="122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11 مايو سنة </w:t>
      </w:r>
      <w:smartTag w:uri="urn:schemas-microsoft-com:office:smarttags" w:element="metricconverter">
        <w:smartTagPr>
          <w:attr w:name="ProductID" w:val="1911 م"/>
        </w:smartTagPr>
        <w:r w:rsidRPr="009A072C">
          <w:rPr>
            <w:rFonts w:cs="Traditional Arabic" w:hint="cs"/>
            <w:color w:val="000000"/>
            <w:sz w:val="24"/>
            <w:szCs w:val="28"/>
            <w:rtl/>
          </w:rPr>
          <w:t>1911 م</w:t>
        </w:r>
      </w:smartTag>
      <w:r w:rsidRPr="009A072C">
        <w:rPr>
          <w:rFonts w:cs="Traditional Arabic" w:hint="cs"/>
          <w:color w:val="000000"/>
          <w:sz w:val="24"/>
          <w:szCs w:val="28"/>
          <w:rtl/>
        </w:rPr>
        <w:t xml:space="preserve"> 12 ص 321 </w:t>
      </w:r>
      <w:r w:rsidRPr="009A072C">
        <w:rPr>
          <w:rFonts w:cs="Traditional Arabic"/>
          <w:color w:val="000000"/>
          <w:sz w:val="24"/>
          <w:szCs w:val="28"/>
          <w:rtl/>
        </w:rPr>
        <w:t>–</w:t>
      </w:r>
      <w:r w:rsidRPr="009A072C">
        <w:rPr>
          <w:rFonts w:cs="Traditional Arabic" w:hint="cs"/>
          <w:color w:val="000000"/>
          <w:sz w:val="24"/>
          <w:szCs w:val="28"/>
          <w:rtl/>
        </w:rPr>
        <w:t xml:space="preserve"> 4 يونيه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435</w:t>
      </w:r>
      <w:r>
        <w:rPr>
          <w:rFonts w:cs="Traditional Arabic" w:hint="cs"/>
          <w:color w:val="000000"/>
          <w:sz w:val="24"/>
          <w:szCs w:val="28"/>
          <w:rtl/>
        </w:rPr>
        <w:t xml:space="preserve"> .</w:t>
      </w:r>
    </w:p>
  </w:footnote>
  <w:footnote w:id="122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مصر 14 مايو سنة 1931 المحاماة 12 رقم 256 ص 521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14 أبريل سنة </w:t>
      </w:r>
      <w:smartTag w:uri="urn:schemas-microsoft-com:office:smarttags" w:element="metricconverter">
        <w:smartTagPr>
          <w:attr w:name="ProductID" w:val="1897 م"/>
        </w:smartTagPr>
        <w:r w:rsidRPr="009A072C">
          <w:rPr>
            <w:rFonts w:cs="Traditional Arabic" w:hint="cs"/>
            <w:color w:val="000000"/>
            <w:sz w:val="24"/>
            <w:szCs w:val="28"/>
            <w:rtl/>
          </w:rPr>
          <w:t>1897 م</w:t>
        </w:r>
      </w:smartTag>
      <w:r w:rsidRPr="009A072C">
        <w:rPr>
          <w:rFonts w:cs="Traditional Arabic" w:hint="cs"/>
          <w:color w:val="000000"/>
          <w:sz w:val="24"/>
          <w:szCs w:val="28"/>
          <w:rtl/>
        </w:rPr>
        <w:t xml:space="preserve"> 9 ص 268</w:t>
      </w:r>
      <w:r>
        <w:rPr>
          <w:rFonts w:cs="Traditional Arabic" w:hint="cs"/>
          <w:color w:val="000000"/>
          <w:sz w:val="24"/>
          <w:szCs w:val="28"/>
          <w:rtl/>
        </w:rPr>
        <w:t xml:space="preserve"> .</w:t>
      </w:r>
    </w:p>
  </w:footnote>
  <w:footnote w:id="123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 مايو سنة </w:t>
      </w:r>
      <w:smartTag w:uri="urn:schemas-microsoft-com:office:smarttags" w:element="metricconverter">
        <w:smartTagPr>
          <w:attr w:name="ProductID" w:val="1935 م"/>
        </w:smartTagPr>
        <w:r w:rsidRPr="009A072C">
          <w:rPr>
            <w:rFonts w:cs="Traditional Arabic" w:hint="cs"/>
            <w:color w:val="000000"/>
            <w:sz w:val="24"/>
            <w:szCs w:val="28"/>
            <w:rtl/>
          </w:rPr>
          <w:t>1935 م</w:t>
        </w:r>
      </w:smartTag>
      <w:r w:rsidRPr="009A072C">
        <w:rPr>
          <w:rFonts w:cs="Traditional Arabic" w:hint="cs"/>
          <w:color w:val="000000"/>
          <w:sz w:val="24"/>
          <w:szCs w:val="28"/>
          <w:rtl/>
        </w:rPr>
        <w:t xml:space="preserve"> 47 ص 291</w:t>
      </w:r>
      <w:r>
        <w:rPr>
          <w:rFonts w:cs="Traditional Arabic" w:hint="cs"/>
          <w:color w:val="000000"/>
          <w:sz w:val="24"/>
          <w:szCs w:val="28"/>
          <w:rtl/>
        </w:rPr>
        <w:t xml:space="preserve"> .</w:t>
      </w:r>
    </w:p>
  </w:footnote>
  <w:footnote w:id="123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 مايو سنة </w:t>
      </w:r>
      <w:smartTag w:uri="urn:schemas-microsoft-com:office:smarttags" w:element="metricconverter">
        <w:smartTagPr>
          <w:attr w:name="ProductID" w:val="1935 م"/>
        </w:smartTagPr>
        <w:r w:rsidRPr="009A072C">
          <w:rPr>
            <w:rFonts w:cs="Traditional Arabic" w:hint="cs"/>
            <w:color w:val="000000"/>
            <w:sz w:val="24"/>
            <w:szCs w:val="28"/>
            <w:rtl/>
          </w:rPr>
          <w:t>1935 م</w:t>
        </w:r>
      </w:smartTag>
      <w:r w:rsidRPr="009A072C">
        <w:rPr>
          <w:rFonts w:cs="Traditional Arabic" w:hint="cs"/>
          <w:color w:val="000000"/>
          <w:sz w:val="24"/>
          <w:szCs w:val="28"/>
          <w:rtl/>
        </w:rPr>
        <w:t xml:space="preserve"> 47 ص 291</w:t>
      </w:r>
      <w:r>
        <w:rPr>
          <w:rFonts w:cs="Traditional Arabic" w:hint="cs"/>
          <w:color w:val="000000"/>
          <w:sz w:val="24"/>
          <w:szCs w:val="28"/>
          <w:rtl/>
        </w:rPr>
        <w:t xml:space="preserve"> .</w:t>
      </w:r>
    </w:p>
  </w:footnote>
  <w:footnote w:id="123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28 نوفمبر سنة </w:t>
      </w:r>
      <w:smartTag w:uri="urn:schemas-microsoft-com:office:smarttags" w:element="metricconverter">
        <w:smartTagPr>
          <w:attr w:name="ProductID" w:val="1900 م"/>
        </w:smartTagPr>
        <w:r w:rsidRPr="009A072C">
          <w:rPr>
            <w:rFonts w:cs="Traditional Arabic" w:hint="cs"/>
            <w:color w:val="000000"/>
            <w:sz w:val="24"/>
            <w:szCs w:val="28"/>
            <w:rtl/>
          </w:rPr>
          <w:t>1900 م</w:t>
        </w:r>
      </w:smartTag>
      <w:r w:rsidRPr="009A072C">
        <w:rPr>
          <w:rFonts w:cs="Traditional Arabic" w:hint="cs"/>
          <w:color w:val="000000"/>
          <w:sz w:val="24"/>
          <w:szCs w:val="28"/>
          <w:rtl/>
        </w:rPr>
        <w:t xml:space="preserve"> 13 ص 22 </w:t>
      </w:r>
      <w:r w:rsidRPr="009A072C">
        <w:rPr>
          <w:rFonts w:cs="Traditional Arabic"/>
          <w:color w:val="000000"/>
          <w:sz w:val="24"/>
          <w:szCs w:val="28"/>
          <w:rtl/>
        </w:rPr>
        <w:t>–</w:t>
      </w:r>
      <w:r w:rsidRPr="009A072C">
        <w:rPr>
          <w:rFonts w:cs="Traditional Arabic" w:hint="cs"/>
          <w:color w:val="000000"/>
          <w:sz w:val="24"/>
          <w:szCs w:val="28"/>
          <w:rtl/>
        </w:rPr>
        <w:t xml:space="preserve"> 4 يونيه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435</w:t>
      </w:r>
      <w:r>
        <w:rPr>
          <w:rFonts w:cs="Traditional Arabic" w:hint="cs"/>
          <w:color w:val="000000"/>
          <w:sz w:val="24"/>
          <w:szCs w:val="28"/>
          <w:rtl/>
        </w:rPr>
        <w:t xml:space="preserve"> .</w:t>
      </w:r>
    </w:p>
  </w:footnote>
  <w:footnote w:id="123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4 يونيه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43 ص 435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133</w:t>
      </w:r>
      <w:r>
        <w:rPr>
          <w:rFonts w:cs="Traditional Arabic" w:hint="cs"/>
          <w:color w:val="000000"/>
          <w:sz w:val="24"/>
          <w:szCs w:val="28"/>
          <w:rtl/>
        </w:rPr>
        <w:t xml:space="preserve"> .</w:t>
      </w:r>
    </w:p>
  </w:footnote>
  <w:footnote w:id="123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لم يرد هذا النص في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واقترحه القائم بوضع المشروع التمهيدي في لجنة المراجعة فوافقت عليه</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1176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1162</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1074 </w:t>
      </w:r>
      <w:r>
        <w:rPr>
          <w:rFonts w:cs="Traditional Arabic" w:hint="cs"/>
          <w:color w:val="000000"/>
          <w:sz w:val="24"/>
          <w:szCs w:val="28"/>
          <w:rtl/>
        </w:rPr>
        <w:t xml:space="preserve">( </w:t>
      </w:r>
      <w:r w:rsidRPr="009A072C">
        <w:rPr>
          <w:rFonts w:cs="Traditional Arabic" w:hint="cs"/>
          <w:color w:val="000000"/>
          <w:sz w:val="24"/>
          <w:szCs w:val="28"/>
          <w:rtl/>
        </w:rPr>
        <w:t>مجموعة الأعمال التحضيرية 7 ص 129</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23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فرنسي 20 أكتوبر سنة 1897 داللوز 98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3 لوران فقرة 319 بودري ودي لوان فقرة 2217</w:t>
      </w:r>
      <w:r>
        <w:rPr>
          <w:rFonts w:cs="Traditional Arabic" w:hint="cs"/>
          <w:color w:val="000000"/>
          <w:sz w:val="24"/>
          <w:szCs w:val="28"/>
          <w:rtl/>
        </w:rPr>
        <w:t xml:space="preserve"> .</w:t>
      </w:r>
    </w:p>
  </w:footnote>
  <w:footnote w:id="123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193 ص 262</w:t>
      </w:r>
      <w:r>
        <w:rPr>
          <w:rFonts w:cs="Traditional Arabic" w:hint="cs"/>
          <w:color w:val="000000"/>
          <w:sz w:val="24"/>
          <w:szCs w:val="28"/>
          <w:rtl/>
        </w:rPr>
        <w:t xml:space="preserve"> .</w:t>
      </w:r>
    </w:p>
  </w:footnote>
  <w:footnote w:id="123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12 يونيه سنة </w:t>
      </w:r>
      <w:smartTag w:uri="urn:schemas-microsoft-com:office:smarttags" w:element="metricconverter">
        <w:smartTagPr>
          <w:attr w:name="ProductID" w:val="1928 م"/>
        </w:smartTagPr>
        <w:r w:rsidRPr="009A072C">
          <w:rPr>
            <w:rFonts w:cs="Traditional Arabic" w:hint="cs"/>
            <w:color w:val="000000"/>
            <w:sz w:val="24"/>
            <w:szCs w:val="28"/>
            <w:rtl/>
          </w:rPr>
          <w:t>1928 م</w:t>
        </w:r>
      </w:smartTag>
      <w:r w:rsidRPr="009A072C">
        <w:rPr>
          <w:rFonts w:cs="Traditional Arabic" w:hint="cs"/>
          <w:color w:val="000000"/>
          <w:sz w:val="24"/>
          <w:szCs w:val="28"/>
          <w:rtl/>
        </w:rPr>
        <w:t xml:space="preserve"> 40 ص 419</w:t>
      </w:r>
      <w:r>
        <w:rPr>
          <w:rFonts w:cs="Traditional Arabic" w:hint="cs"/>
          <w:color w:val="000000"/>
          <w:sz w:val="24"/>
          <w:szCs w:val="28"/>
          <w:rtl/>
        </w:rPr>
        <w:t xml:space="preserve"> .</w:t>
      </w:r>
    </w:p>
  </w:footnote>
  <w:footnote w:id="123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سليمان مرقس فقرة 138</w:t>
      </w:r>
      <w:r>
        <w:rPr>
          <w:rFonts w:cs="Traditional Arabic" w:hint="cs"/>
          <w:color w:val="000000"/>
          <w:sz w:val="24"/>
          <w:szCs w:val="28"/>
          <w:rtl/>
        </w:rPr>
        <w:t xml:space="preserve"> .</w:t>
      </w:r>
    </w:p>
  </w:footnote>
  <w:footnote w:id="123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1497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ووافقت عليه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1177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1163</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1075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130 </w:t>
      </w:r>
      <w:r w:rsidRPr="009A072C">
        <w:rPr>
          <w:rFonts w:cs="Traditional Arabic"/>
          <w:color w:val="000000"/>
          <w:sz w:val="24"/>
          <w:szCs w:val="28"/>
          <w:rtl/>
        </w:rPr>
        <w:t>–</w:t>
      </w:r>
      <w:r w:rsidRPr="009A072C">
        <w:rPr>
          <w:rFonts w:cs="Traditional Arabic" w:hint="cs"/>
          <w:color w:val="000000"/>
          <w:sz w:val="24"/>
          <w:szCs w:val="28"/>
          <w:rtl/>
        </w:rPr>
        <w:t xml:space="preserve"> 131</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24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130 </w:t>
      </w:r>
      <w:r w:rsidRPr="009A072C">
        <w:rPr>
          <w:rFonts w:cs="Traditional Arabic"/>
          <w:color w:val="000000"/>
          <w:sz w:val="24"/>
          <w:szCs w:val="28"/>
          <w:rtl/>
        </w:rPr>
        <w:t>–</w:t>
      </w:r>
      <w:r w:rsidRPr="009A072C">
        <w:rPr>
          <w:rFonts w:cs="Traditional Arabic" w:hint="cs"/>
          <w:color w:val="000000"/>
          <w:sz w:val="24"/>
          <w:szCs w:val="28"/>
          <w:rtl/>
        </w:rPr>
        <w:t xml:space="preserve"> ص 131</w:t>
      </w:r>
      <w:r>
        <w:rPr>
          <w:rFonts w:cs="Traditional Arabic" w:hint="cs"/>
          <w:color w:val="000000"/>
          <w:sz w:val="24"/>
          <w:szCs w:val="28"/>
          <w:rtl/>
        </w:rPr>
        <w:t xml:space="preserve"> .</w:t>
      </w:r>
    </w:p>
  </w:footnote>
  <w:footnote w:id="124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11 ديسمبر سنة </w:t>
      </w:r>
      <w:smartTag w:uri="urn:schemas-microsoft-com:office:smarttags" w:element="metricconverter">
        <w:smartTagPr>
          <w:attr w:name="ProductID" w:val="1928 م"/>
        </w:smartTagPr>
        <w:r w:rsidRPr="009A072C">
          <w:rPr>
            <w:rFonts w:cs="Traditional Arabic" w:hint="cs"/>
            <w:color w:val="000000"/>
            <w:sz w:val="24"/>
            <w:szCs w:val="28"/>
            <w:rtl/>
          </w:rPr>
          <w:t>1928 م</w:t>
        </w:r>
      </w:smartTag>
      <w:r w:rsidRPr="009A072C">
        <w:rPr>
          <w:rFonts w:cs="Traditional Arabic" w:hint="cs"/>
          <w:color w:val="000000"/>
          <w:sz w:val="24"/>
          <w:szCs w:val="28"/>
          <w:rtl/>
        </w:rPr>
        <w:t xml:space="preserve"> 41 ص 84</w:t>
      </w:r>
      <w:r>
        <w:rPr>
          <w:rFonts w:cs="Traditional Arabic" w:hint="cs"/>
          <w:color w:val="000000"/>
          <w:sz w:val="24"/>
          <w:szCs w:val="28"/>
          <w:rtl/>
        </w:rPr>
        <w:t xml:space="preserve"> .</w:t>
      </w:r>
    </w:p>
  </w:footnote>
  <w:footnote w:id="124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سليمان مرقس فقرة 139</w:t>
      </w:r>
      <w:r>
        <w:rPr>
          <w:rFonts w:cs="Traditional Arabic" w:hint="cs"/>
          <w:color w:val="000000"/>
          <w:sz w:val="24"/>
          <w:szCs w:val="28"/>
          <w:rtl/>
        </w:rPr>
        <w:t xml:space="preserve"> .</w:t>
      </w:r>
    </w:p>
  </w:footnote>
  <w:footnote w:id="124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1498 من المشروع التمهيدين على وجه مطابق لما استقر عليه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1178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واقره مجلس النواب تحت رقم 1164</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1076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132 </w:t>
      </w:r>
      <w:r w:rsidRPr="009A072C">
        <w:rPr>
          <w:rFonts w:cs="Traditional Arabic"/>
          <w:color w:val="000000"/>
          <w:sz w:val="24"/>
          <w:szCs w:val="28"/>
          <w:rtl/>
        </w:rPr>
        <w:t>–</w:t>
      </w:r>
      <w:r w:rsidRPr="009A072C">
        <w:rPr>
          <w:rFonts w:cs="Traditional Arabic" w:hint="cs"/>
          <w:color w:val="000000"/>
          <w:sz w:val="24"/>
          <w:szCs w:val="28"/>
          <w:rtl/>
        </w:rPr>
        <w:t xml:space="preserve"> ص 133</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24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194</w:t>
      </w:r>
      <w:r>
        <w:rPr>
          <w:rFonts w:cs="Traditional Arabic" w:hint="cs"/>
          <w:color w:val="000000"/>
          <w:sz w:val="24"/>
          <w:szCs w:val="28"/>
          <w:rtl/>
        </w:rPr>
        <w:t xml:space="preserve"> .</w:t>
      </w:r>
    </w:p>
  </w:footnote>
  <w:footnote w:id="124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1499 من المشرع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1179 في المشروع النهائي وأقره مجلس النواب تحت رقم 1165</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1077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133 </w:t>
      </w:r>
      <w:r w:rsidRPr="009A072C">
        <w:rPr>
          <w:rFonts w:cs="Traditional Arabic"/>
          <w:color w:val="000000"/>
          <w:sz w:val="24"/>
          <w:szCs w:val="28"/>
          <w:rtl/>
        </w:rPr>
        <w:t>–</w:t>
      </w:r>
      <w:r w:rsidRPr="009A072C">
        <w:rPr>
          <w:rFonts w:cs="Traditional Arabic" w:hint="cs"/>
          <w:color w:val="000000"/>
          <w:sz w:val="24"/>
          <w:szCs w:val="28"/>
          <w:rtl/>
        </w:rPr>
        <w:t xml:space="preserve"> ص 134</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u w:val="single"/>
          <w:rtl/>
        </w:rPr>
        <w:t xml:space="preserve"> :</w:t>
      </w:r>
      <w:r w:rsidRPr="009A072C">
        <w:rPr>
          <w:rFonts w:cs="Traditional Arabic" w:hint="cs"/>
          <w:color w:val="000000"/>
          <w:sz w:val="24"/>
          <w:szCs w:val="28"/>
          <w:rtl/>
        </w:rPr>
        <w:t xml:space="preserve"> م 591 / 717</w:t>
      </w:r>
      <w:r>
        <w:rPr>
          <w:rFonts w:cs="Traditional Arabic" w:hint="cs"/>
          <w:color w:val="000000"/>
          <w:sz w:val="24"/>
          <w:szCs w:val="28"/>
          <w:rtl/>
        </w:rPr>
        <w:t xml:space="preserve"> :</w:t>
      </w:r>
      <w:r w:rsidRPr="009A072C">
        <w:rPr>
          <w:rFonts w:cs="Traditional Arabic" w:hint="cs"/>
          <w:color w:val="000000"/>
          <w:sz w:val="24"/>
          <w:szCs w:val="28"/>
          <w:rtl/>
        </w:rPr>
        <w:t xml:space="preserve"> إذا زاد ثمن العقار المبيع بالمزاد على مقدار الديون المطلوبة لأرباب الديون المسجلة</w:t>
      </w:r>
      <w:r>
        <w:rPr>
          <w:rFonts w:cs="Traditional Arabic" w:hint="cs"/>
          <w:color w:val="000000"/>
          <w:sz w:val="24"/>
          <w:szCs w:val="28"/>
          <w:rtl/>
        </w:rPr>
        <w:t xml:space="preserve"> ،</w:t>
      </w:r>
      <w:r w:rsidRPr="009A072C">
        <w:rPr>
          <w:rFonts w:cs="Traditional Arabic" w:hint="cs"/>
          <w:color w:val="000000"/>
          <w:sz w:val="24"/>
          <w:szCs w:val="28"/>
          <w:rtl/>
        </w:rPr>
        <w:t xml:space="preserve"> تكون تلك الزيادة لدائني الحائز للعقار المرتهنين له منه</w:t>
      </w:r>
      <w:r>
        <w:rPr>
          <w:rFonts w:cs="Traditional Arabic" w:hint="cs"/>
          <w:color w:val="000000"/>
          <w:sz w:val="24"/>
          <w:szCs w:val="28"/>
          <w:rtl/>
        </w:rPr>
        <w:t xml:space="preserve"> ،</w:t>
      </w:r>
      <w:r w:rsidRPr="009A072C">
        <w:rPr>
          <w:rFonts w:cs="Traditional Arabic" w:hint="cs"/>
          <w:color w:val="000000"/>
          <w:sz w:val="24"/>
          <w:szCs w:val="28"/>
          <w:rtl/>
        </w:rPr>
        <w:t xml:space="preserve"> إنما لا يستولون عليها إلا بعد أرباب الحقوق على العقار المترتبة لهم على مالكيه السابقين على الحائز المذكور</w:t>
      </w:r>
      <w:r>
        <w:rPr>
          <w:rFonts w:cs="Traditional Arabic" w:hint="cs"/>
          <w:color w:val="000000"/>
          <w:sz w:val="24"/>
          <w:szCs w:val="28"/>
          <w:rtl/>
        </w:rPr>
        <w:t xml:space="preserve"> .</w:t>
      </w:r>
    </w:p>
  </w:footnote>
  <w:footnote w:id="124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141 </w:t>
      </w:r>
      <w:r w:rsidRPr="009A072C">
        <w:rPr>
          <w:rFonts w:cs="Traditional Arabic"/>
          <w:color w:val="000000"/>
          <w:sz w:val="24"/>
          <w:szCs w:val="28"/>
          <w:rtl/>
        </w:rPr>
        <w:t>–</w:t>
      </w:r>
      <w:r w:rsidRPr="009A072C">
        <w:rPr>
          <w:rFonts w:cs="Traditional Arabic" w:hint="cs"/>
          <w:color w:val="000000"/>
          <w:sz w:val="24"/>
          <w:szCs w:val="28"/>
          <w:rtl/>
        </w:rPr>
        <w:t xml:space="preserve"> ص 142</w:t>
      </w:r>
      <w:r>
        <w:rPr>
          <w:rFonts w:cs="Traditional Arabic" w:hint="cs"/>
          <w:color w:val="000000"/>
          <w:sz w:val="24"/>
          <w:szCs w:val="28"/>
          <w:rtl/>
        </w:rPr>
        <w:t xml:space="preserve"> .</w:t>
      </w:r>
    </w:p>
  </w:footnote>
  <w:footnote w:id="124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1687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2217 </w:t>
      </w:r>
      <w:r w:rsidRPr="009A072C">
        <w:rPr>
          <w:rFonts w:cs="Traditional Arabic"/>
          <w:color w:val="000000"/>
          <w:sz w:val="24"/>
          <w:szCs w:val="28"/>
          <w:rtl/>
        </w:rPr>
        <w:t>–</w:t>
      </w:r>
      <w:r w:rsidRPr="009A072C">
        <w:rPr>
          <w:rFonts w:cs="Traditional Arabic" w:hint="cs"/>
          <w:color w:val="000000"/>
          <w:sz w:val="24"/>
          <w:szCs w:val="28"/>
          <w:rtl/>
        </w:rPr>
        <w:t xml:space="preserve"> استئناف مختلط 21 مارس سنة </w:t>
      </w:r>
      <w:smartTag w:uri="urn:schemas-microsoft-com:office:smarttags" w:element="metricconverter">
        <w:smartTagPr>
          <w:attr w:name="ProductID" w:val="1915 م"/>
        </w:smartTagPr>
        <w:r w:rsidRPr="009A072C">
          <w:rPr>
            <w:rFonts w:cs="Traditional Arabic" w:hint="cs"/>
            <w:color w:val="000000"/>
            <w:sz w:val="24"/>
            <w:szCs w:val="28"/>
            <w:rtl/>
          </w:rPr>
          <w:t>1915 م</w:t>
        </w:r>
      </w:smartTag>
      <w:r w:rsidRPr="009A072C">
        <w:rPr>
          <w:rFonts w:cs="Traditional Arabic" w:hint="cs"/>
          <w:color w:val="000000"/>
          <w:sz w:val="24"/>
          <w:szCs w:val="28"/>
          <w:rtl/>
        </w:rPr>
        <w:t xml:space="preserve"> 27 ص 254</w:t>
      </w:r>
      <w:r>
        <w:rPr>
          <w:rFonts w:cs="Traditional Arabic" w:hint="cs"/>
          <w:color w:val="000000"/>
          <w:sz w:val="24"/>
          <w:szCs w:val="28"/>
          <w:rtl/>
        </w:rPr>
        <w:t xml:space="preserve"> .</w:t>
      </w:r>
    </w:p>
  </w:footnote>
  <w:footnote w:id="124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197</w:t>
      </w:r>
      <w:r>
        <w:rPr>
          <w:rFonts w:cs="Traditional Arabic" w:hint="cs"/>
          <w:color w:val="000000"/>
          <w:sz w:val="24"/>
          <w:szCs w:val="28"/>
          <w:rtl/>
        </w:rPr>
        <w:t xml:space="preserve"> .</w:t>
      </w:r>
    </w:p>
  </w:footnote>
  <w:footnote w:id="124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هيك 14 فقرة 49 </w:t>
      </w:r>
      <w:r w:rsidRPr="009A072C">
        <w:rPr>
          <w:rFonts w:cs="Traditional Arabic"/>
          <w:color w:val="000000"/>
          <w:sz w:val="24"/>
          <w:szCs w:val="28"/>
          <w:rtl/>
        </w:rPr>
        <w:t>–</w:t>
      </w:r>
      <w:r w:rsidRPr="009A072C">
        <w:rPr>
          <w:rFonts w:cs="Traditional Arabic" w:hint="cs"/>
          <w:color w:val="000000"/>
          <w:sz w:val="24"/>
          <w:szCs w:val="28"/>
          <w:rtl/>
        </w:rPr>
        <w:t xml:space="preserve"> جيوار فقرة 1685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288 وهامش 60 مكرر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198</w:t>
      </w:r>
      <w:r>
        <w:rPr>
          <w:rFonts w:cs="Traditional Arabic" w:hint="cs"/>
          <w:color w:val="000000"/>
          <w:sz w:val="24"/>
          <w:szCs w:val="28"/>
          <w:rtl/>
        </w:rPr>
        <w:t xml:space="preserve"> .</w:t>
      </w:r>
    </w:p>
  </w:footnote>
  <w:footnote w:id="125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1500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المدين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1180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وأقره مجلس النواب تحت رقم 1166</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1078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135 </w:t>
      </w:r>
      <w:r w:rsidRPr="009A072C">
        <w:rPr>
          <w:rFonts w:cs="Traditional Arabic"/>
          <w:color w:val="000000"/>
          <w:sz w:val="24"/>
          <w:szCs w:val="28"/>
          <w:rtl/>
        </w:rPr>
        <w:t>–</w:t>
      </w:r>
      <w:r w:rsidRPr="009A072C">
        <w:rPr>
          <w:rFonts w:cs="Traditional Arabic" w:hint="cs"/>
          <w:color w:val="000000"/>
          <w:sz w:val="24"/>
          <w:szCs w:val="28"/>
          <w:rtl/>
        </w:rPr>
        <w:t xml:space="preserve"> ص 136</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590 / 716</w:t>
      </w:r>
      <w:r>
        <w:rPr>
          <w:rFonts w:cs="Traditional Arabic" w:hint="cs"/>
          <w:color w:val="000000"/>
          <w:sz w:val="24"/>
          <w:szCs w:val="28"/>
          <w:rtl/>
        </w:rPr>
        <w:t xml:space="preserve"> :</w:t>
      </w:r>
      <w:r w:rsidRPr="009A072C">
        <w:rPr>
          <w:rFonts w:cs="Traditional Arabic" w:hint="cs"/>
          <w:color w:val="000000"/>
          <w:sz w:val="24"/>
          <w:szCs w:val="28"/>
          <w:rtl/>
        </w:rPr>
        <w:t xml:space="preserve"> ما كان لحائز العقار قبل انتقاله إليه من حقوق الارتفاق والحقوق العينية على العقار يعود كما كان بنزع العقار من حائزه المذكورة</w:t>
      </w:r>
      <w:r>
        <w:rPr>
          <w:rFonts w:cs="Traditional Arabic" w:hint="cs"/>
          <w:color w:val="000000"/>
          <w:sz w:val="24"/>
          <w:szCs w:val="28"/>
          <w:rtl/>
        </w:rPr>
        <w:t xml:space="preserve"> ،</w:t>
      </w:r>
      <w:r w:rsidRPr="009A072C">
        <w:rPr>
          <w:rFonts w:cs="Traditional Arabic" w:hint="cs"/>
          <w:color w:val="000000"/>
          <w:sz w:val="24"/>
          <w:szCs w:val="28"/>
          <w:rtl/>
        </w:rPr>
        <w:t xml:space="preserve"> وكذلك حق الاختصاص بالعقار للحصول على الدين وحق الرهن إن كانا له</w:t>
      </w:r>
      <w:r>
        <w:rPr>
          <w:rFonts w:cs="Traditional Arabic" w:hint="cs"/>
          <w:color w:val="000000"/>
          <w:sz w:val="24"/>
          <w:szCs w:val="28"/>
          <w:rtl/>
        </w:rPr>
        <w:t xml:space="preserve"> .</w:t>
      </w:r>
      <w:r w:rsidRPr="009A072C">
        <w:rPr>
          <w:rFonts w:cs="Traditional Arabic" w:hint="cs"/>
          <w:color w:val="000000"/>
          <w:sz w:val="24"/>
          <w:szCs w:val="28"/>
          <w:rtl/>
        </w:rPr>
        <w:t xml:space="preserve"> إنما لا يأتي كل حق من الحقين المذكورين بدرجته إلا إذا كان تسجيلهما </w:t>
      </w:r>
      <w:r>
        <w:rPr>
          <w:rFonts w:cs="Traditional Arabic" w:hint="cs"/>
          <w:color w:val="000000"/>
          <w:sz w:val="24"/>
          <w:szCs w:val="28"/>
          <w:rtl/>
        </w:rPr>
        <w:t xml:space="preserve">( </w:t>
      </w:r>
      <w:r w:rsidRPr="009A072C">
        <w:rPr>
          <w:rFonts w:cs="Traditional Arabic" w:hint="cs"/>
          <w:color w:val="000000"/>
          <w:sz w:val="24"/>
          <w:szCs w:val="28"/>
          <w:rtl/>
        </w:rPr>
        <w:t>قيدهما</w:t>
      </w:r>
      <w:r>
        <w:rPr>
          <w:rFonts w:cs="Traditional Arabic" w:hint="cs"/>
          <w:color w:val="000000"/>
          <w:sz w:val="24"/>
          <w:szCs w:val="28"/>
          <w:rtl/>
        </w:rPr>
        <w:t xml:space="preserve"> )</w:t>
      </w:r>
      <w:r w:rsidRPr="009A072C">
        <w:rPr>
          <w:rFonts w:cs="Traditional Arabic" w:hint="cs"/>
          <w:color w:val="000000"/>
          <w:sz w:val="24"/>
          <w:szCs w:val="28"/>
          <w:rtl/>
        </w:rPr>
        <w:t xml:space="preserve"> محفوظا</w:t>
      </w:r>
      <w:r>
        <w:rPr>
          <w:rFonts w:cs="Traditional Arabic" w:hint="cs"/>
          <w:color w:val="000000"/>
          <w:sz w:val="24"/>
          <w:szCs w:val="28"/>
          <w:rtl/>
        </w:rPr>
        <w:t xml:space="preserve"> ،</w:t>
      </w:r>
      <w:r w:rsidRPr="009A072C">
        <w:rPr>
          <w:rFonts w:cs="Traditional Arabic" w:hint="cs"/>
          <w:color w:val="000000"/>
          <w:sz w:val="24"/>
          <w:szCs w:val="28"/>
          <w:rtl/>
        </w:rPr>
        <w:t xml:space="preserve"> بمعنى أنه لم ينقض حكمه بمضي الزمن ولا يشطبه</w:t>
      </w:r>
      <w:r>
        <w:rPr>
          <w:rFonts w:cs="Traditional Arabic" w:hint="cs"/>
          <w:color w:val="000000"/>
          <w:sz w:val="24"/>
          <w:szCs w:val="28"/>
          <w:rtl/>
        </w:rPr>
        <w:t xml:space="preserve"> .</w:t>
      </w:r>
    </w:p>
  </w:footnote>
  <w:footnote w:id="125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142</w:t>
      </w:r>
      <w:r>
        <w:rPr>
          <w:rFonts w:cs="Traditional Arabic" w:hint="cs"/>
          <w:color w:val="000000"/>
          <w:sz w:val="24"/>
          <w:szCs w:val="28"/>
          <w:rtl/>
        </w:rPr>
        <w:t xml:space="preserve"> .</w:t>
      </w:r>
    </w:p>
  </w:footnote>
  <w:footnote w:id="125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لوران فقرة 318 </w:t>
      </w:r>
      <w:r w:rsidRPr="009A072C">
        <w:rPr>
          <w:rFonts w:cs="Traditional Arabic"/>
          <w:color w:val="000000"/>
          <w:sz w:val="24"/>
          <w:szCs w:val="28"/>
          <w:rtl/>
        </w:rPr>
        <w:t>–</w:t>
      </w:r>
      <w:r w:rsidRPr="009A072C">
        <w:rPr>
          <w:rFonts w:cs="Traditional Arabic" w:hint="cs"/>
          <w:color w:val="000000"/>
          <w:sz w:val="24"/>
          <w:szCs w:val="28"/>
          <w:rtl/>
        </w:rPr>
        <w:t xml:space="preserve"> بون فقرة 1215 </w:t>
      </w:r>
      <w:r w:rsidRPr="009A072C">
        <w:rPr>
          <w:rFonts w:cs="Traditional Arabic"/>
          <w:color w:val="000000"/>
          <w:sz w:val="24"/>
          <w:szCs w:val="28"/>
          <w:rtl/>
        </w:rPr>
        <w:t>–</w:t>
      </w:r>
      <w:r w:rsidRPr="009A072C">
        <w:rPr>
          <w:rFonts w:cs="Traditional Arabic" w:hint="cs"/>
          <w:color w:val="000000"/>
          <w:sz w:val="24"/>
          <w:szCs w:val="28"/>
          <w:rtl/>
        </w:rPr>
        <w:t xml:space="preserve"> هيك فقرة 49 </w:t>
      </w:r>
      <w:r w:rsidRPr="009A072C">
        <w:rPr>
          <w:rFonts w:cs="Traditional Arabic"/>
          <w:color w:val="000000"/>
          <w:sz w:val="24"/>
          <w:szCs w:val="28"/>
          <w:rtl/>
        </w:rPr>
        <w:t>–</w:t>
      </w:r>
      <w:r w:rsidRPr="009A072C">
        <w:rPr>
          <w:rFonts w:cs="Traditional Arabic" w:hint="cs"/>
          <w:color w:val="000000"/>
          <w:sz w:val="24"/>
          <w:szCs w:val="28"/>
          <w:rtl/>
        </w:rPr>
        <w:t xml:space="preserve"> جيوار فقرة 1686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250 ص 126 وص 127 وفقرة 287 ص 739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199</w:t>
      </w:r>
      <w:r>
        <w:rPr>
          <w:rFonts w:cs="Traditional Arabic" w:hint="cs"/>
          <w:color w:val="000000"/>
          <w:sz w:val="24"/>
          <w:szCs w:val="28"/>
          <w:rtl/>
        </w:rPr>
        <w:t xml:space="preserve"> .</w:t>
      </w:r>
    </w:p>
  </w:footnote>
  <w:footnote w:id="125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2213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وهامش 63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205 </w:t>
      </w:r>
      <w:r w:rsidRPr="009A072C">
        <w:rPr>
          <w:rFonts w:cs="Traditional Arabic"/>
          <w:color w:val="000000"/>
          <w:sz w:val="24"/>
          <w:szCs w:val="28"/>
          <w:rtl/>
        </w:rPr>
        <w:t>–</w:t>
      </w:r>
      <w:r w:rsidRPr="009A072C">
        <w:rPr>
          <w:rFonts w:cs="Traditional Arabic" w:hint="cs"/>
          <w:color w:val="000000"/>
          <w:sz w:val="24"/>
          <w:szCs w:val="28"/>
          <w:rtl/>
        </w:rPr>
        <w:t xml:space="preserve"> نقض فرنسي 12 ديسمبر سنة 1887 داللوز 588 </w:t>
      </w:r>
      <w:r w:rsidRPr="009A072C">
        <w:rPr>
          <w:rFonts w:cs="Traditional Arabic"/>
          <w:color w:val="000000"/>
          <w:sz w:val="24"/>
          <w:szCs w:val="28"/>
          <w:rtl/>
        </w:rPr>
        <w:t>–</w:t>
      </w:r>
      <w:r w:rsidRPr="009A072C">
        <w:rPr>
          <w:rFonts w:cs="Traditional Arabic" w:hint="cs"/>
          <w:color w:val="000000"/>
          <w:sz w:val="24"/>
          <w:szCs w:val="28"/>
          <w:rtl/>
        </w:rPr>
        <w:t xml:space="preserve"> 1 </w:t>
      </w:r>
      <w:r w:rsidRPr="009A072C">
        <w:rPr>
          <w:rFonts w:cs="Traditional Arabic"/>
          <w:color w:val="000000"/>
          <w:sz w:val="24"/>
          <w:szCs w:val="28"/>
          <w:rtl/>
        </w:rPr>
        <w:t>–</w:t>
      </w:r>
      <w:r w:rsidRPr="009A072C">
        <w:rPr>
          <w:rFonts w:cs="Traditional Arabic" w:hint="cs"/>
          <w:color w:val="000000"/>
          <w:sz w:val="24"/>
          <w:szCs w:val="28"/>
          <w:rtl/>
        </w:rPr>
        <w:t xml:space="preserve"> 337</w:t>
      </w:r>
      <w:r>
        <w:rPr>
          <w:rFonts w:cs="Traditional Arabic" w:hint="cs"/>
          <w:color w:val="000000"/>
          <w:sz w:val="24"/>
          <w:szCs w:val="28"/>
          <w:rtl/>
        </w:rPr>
        <w:t xml:space="preserve"> .</w:t>
      </w:r>
    </w:p>
  </w:footnote>
  <w:footnote w:id="125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دي هلتس فقرة 128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205</w:t>
      </w:r>
      <w:r>
        <w:rPr>
          <w:rFonts w:cs="Traditional Arabic" w:hint="cs"/>
          <w:color w:val="000000"/>
          <w:sz w:val="24"/>
          <w:szCs w:val="28"/>
          <w:rtl/>
        </w:rPr>
        <w:t xml:space="preserve"> .</w:t>
      </w:r>
    </w:p>
  </w:footnote>
  <w:footnote w:id="125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2212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هامش 62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506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205</w:t>
      </w:r>
      <w:r>
        <w:rPr>
          <w:rFonts w:cs="Traditional Arabic" w:hint="cs"/>
          <w:color w:val="000000"/>
          <w:sz w:val="24"/>
          <w:szCs w:val="28"/>
          <w:rtl/>
        </w:rPr>
        <w:t xml:space="preserve"> .</w:t>
      </w:r>
    </w:p>
  </w:footnote>
  <w:footnote w:id="125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1501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1181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وأقره مجلس النواب تحت رقم 1167</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1079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137 </w:t>
      </w:r>
      <w:r w:rsidRPr="009A072C">
        <w:rPr>
          <w:rFonts w:cs="Traditional Arabic"/>
          <w:color w:val="000000"/>
          <w:sz w:val="24"/>
          <w:szCs w:val="28"/>
          <w:rtl/>
        </w:rPr>
        <w:t>–</w:t>
      </w:r>
      <w:r w:rsidRPr="009A072C">
        <w:rPr>
          <w:rFonts w:cs="Traditional Arabic" w:hint="cs"/>
          <w:color w:val="000000"/>
          <w:sz w:val="24"/>
          <w:szCs w:val="28"/>
          <w:rtl/>
        </w:rPr>
        <w:t xml:space="preserve"> ص 138</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587 / 822</w:t>
      </w:r>
      <w:r>
        <w:rPr>
          <w:rFonts w:cs="Traditional Arabic" w:hint="cs"/>
          <w:color w:val="000000"/>
          <w:sz w:val="24"/>
          <w:szCs w:val="28"/>
          <w:rtl/>
        </w:rPr>
        <w:t xml:space="preserve"> :</w:t>
      </w:r>
      <w:r w:rsidRPr="009A072C">
        <w:rPr>
          <w:rFonts w:cs="Traditional Arabic" w:hint="cs"/>
          <w:color w:val="000000"/>
          <w:sz w:val="24"/>
          <w:szCs w:val="28"/>
          <w:rtl/>
        </w:rPr>
        <w:t xml:space="preserve"> إذا أخلى الحائز العقار من تلقاء نفسه أو نزع منه بالبيع القهري</w:t>
      </w:r>
      <w:r>
        <w:rPr>
          <w:rFonts w:cs="Traditional Arabic" w:hint="cs"/>
          <w:color w:val="000000"/>
          <w:sz w:val="24"/>
          <w:szCs w:val="28"/>
          <w:rtl/>
        </w:rPr>
        <w:t xml:space="preserve"> ،</w:t>
      </w:r>
      <w:r w:rsidRPr="009A072C">
        <w:rPr>
          <w:rFonts w:cs="Traditional Arabic" w:hint="cs"/>
          <w:color w:val="000000"/>
          <w:sz w:val="24"/>
          <w:szCs w:val="28"/>
          <w:rtl/>
        </w:rPr>
        <w:t xml:space="preserve"> وجب عليه رد غلته من وقت التنبيه عليه بالدفع أو بالتخلية</w:t>
      </w:r>
      <w:r>
        <w:rPr>
          <w:rFonts w:cs="Traditional Arabic" w:hint="cs"/>
          <w:color w:val="000000"/>
          <w:sz w:val="24"/>
          <w:szCs w:val="28"/>
          <w:rtl/>
        </w:rPr>
        <w:t xml:space="preserve"> ،</w:t>
      </w:r>
      <w:r w:rsidRPr="009A072C">
        <w:rPr>
          <w:rFonts w:cs="Traditional Arabic" w:hint="cs"/>
          <w:color w:val="000000"/>
          <w:sz w:val="24"/>
          <w:szCs w:val="28"/>
          <w:rtl/>
        </w:rPr>
        <w:t xml:space="preserve"> إلا إذا سقط حق الدعوى بها بمضي الزمان</w:t>
      </w:r>
      <w:r>
        <w:rPr>
          <w:rFonts w:cs="Traditional Arabic" w:hint="cs"/>
          <w:color w:val="000000"/>
          <w:sz w:val="24"/>
          <w:szCs w:val="28"/>
          <w:rtl/>
        </w:rPr>
        <w:t xml:space="preserve"> ،</w:t>
      </w:r>
      <w:r w:rsidRPr="009A072C">
        <w:rPr>
          <w:rFonts w:cs="Traditional Arabic" w:hint="cs"/>
          <w:color w:val="000000"/>
          <w:sz w:val="24"/>
          <w:szCs w:val="28"/>
          <w:rtl/>
        </w:rPr>
        <w:t xml:space="preserve"> ويسقط ذلك الحق بمضي ثلاث سنوات</w:t>
      </w:r>
      <w:r>
        <w:rPr>
          <w:rFonts w:cs="Traditional Arabic" w:hint="cs"/>
          <w:color w:val="000000"/>
          <w:sz w:val="24"/>
          <w:szCs w:val="28"/>
          <w:rtl/>
        </w:rPr>
        <w:t xml:space="preserve"> .</w:t>
      </w:r>
    </w:p>
  </w:footnote>
  <w:footnote w:id="125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142</w:t>
      </w:r>
      <w:r>
        <w:rPr>
          <w:rFonts w:cs="Traditional Arabic" w:hint="cs"/>
          <w:color w:val="000000"/>
          <w:sz w:val="24"/>
          <w:szCs w:val="28"/>
          <w:rtl/>
        </w:rPr>
        <w:t xml:space="preserve"> .</w:t>
      </w:r>
    </w:p>
  </w:footnote>
  <w:footnote w:id="125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21198 وفقرة 2200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200</w:t>
      </w:r>
      <w:r>
        <w:rPr>
          <w:rFonts w:cs="Traditional Arabic" w:hint="cs"/>
          <w:color w:val="000000"/>
          <w:sz w:val="24"/>
          <w:szCs w:val="28"/>
          <w:rtl/>
        </w:rPr>
        <w:t xml:space="preserve"> .</w:t>
      </w:r>
    </w:p>
  </w:footnote>
  <w:footnote w:id="125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11 يناير سنة </w:t>
      </w:r>
      <w:smartTag w:uri="urn:schemas-microsoft-com:office:smarttags" w:element="metricconverter">
        <w:smartTagPr>
          <w:attr w:name="ProductID" w:val="1933 م"/>
        </w:smartTagPr>
        <w:r w:rsidRPr="009A072C">
          <w:rPr>
            <w:rFonts w:cs="Traditional Arabic" w:hint="cs"/>
            <w:color w:val="000000"/>
            <w:sz w:val="24"/>
            <w:szCs w:val="28"/>
            <w:rtl/>
          </w:rPr>
          <w:t>1933 م</w:t>
        </w:r>
      </w:smartTag>
      <w:r w:rsidRPr="009A072C">
        <w:rPr>
          <w:rFonts w:cs="Traditional Arabic" w:hint="cs"/>
          <w:color w:val="000000"/>
          <w:sz w:val="24"/>
          <w:szCs w:val="28"/>
          <w:rtl/>
        </w:rPr>
        <w:t xml:space="preserve"> 45 ص 118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200</w:t>
      </w:r>
      <w:r>
        <w:rPr>
          <w:rFonts w:cs="Traditional Arabic" w:hint="cs"/>
          <w:color w:val="000000"/>
          <w:sz w:val="24"/>
          <w:szCs w:val="28"/>
          <w:rtl/>
        </w:rPr>
        <w:t xml:space="preserve"> .</w:t>
      </w:r>
    </w:p>
  </w:footnote>
  <w:footnote w:id="126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201 </w:t>
      </w:r>
      <w:r w:rsidRPr="009A072C">
        <w:rPr>
          <w:rFonts w:cs="Traditional Arabic"/>
          <w:color w:val="000000"/>
          <w:sz w:val="24"/>
          <w:szCs w:val="28"/>
          <w:rtl/>
        </w:rPr>
        <w:t>–</w:t>
      </w:r>
      <w:r w:rsidRPr="009A072C">
        <w:rPr>
          <w:rFonts w:cs="Traditional Arabic" w:hint="cs"/>
          <w:color w:val="000000"/>
          <w:sz w:val="24"/>
          <w:szCs w:val="28"/>
          <w:rtl/>
        </w:rPr>
        <w:t xml:space="preserve"> ص 269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140</w:t>
      </w:r>
      <w:r>
        <w:rPr>
          <w:rFonts w:cs="Traditional Arabic" w:hint="cs"/>
          <w:color w:val="000000"/>
          <w:sz w:val="24"/>
          <w:szCs w:val="28"/>
          <w:rtl/>
        </w:rPr>
        <w:t xml:space="preserve"> .</w:t>
      </w:r>
    </w:p>
  </w:footnote>
  <w:footnote w:id="126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201 ص 269</w:t>
      </w:r>
      <w:r>
        <w:rPr>
          <w:rFonts w:cs="Traditional Arabic" w:hint="cs"/>
          <w:color w:val="000000"/>
          <w:sz w:val="24"/>
          <w:szCs w:val="28"/>
          <w:rtl/>
        </w:rPr>
        <w:t xml:space="preserve"> .</w:t>
      </w:r>
    </w:p>
  </w:footnote>
  <w:footnote w:id="126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ترولون فقرة 838 </w:t>
      </w:r>
      <w:r w:rsidRPr="009A072C">
        <w:rPr>
          <w:rFonts w:cs="Traditional Arabic"/>
          <w:color w:val="000000"/>
          <w:sz w:val="24"/>
          <w:szCs w:val="28"/>
          <w:rtl/>
        </w:rPr>
        <w:t>–</w:t>
      </w:r>
      <w:r w:rsidRPr="009A072C">
        <w:rPr>
          <w:rFonts w:cs="Traditional Arabic" w:hint="cs"/>
          <w:color w:val="000000"/>
          <w:sz w:val="24"/>
          <w:szCs w:val="28"/>
          <w:rtl/>
        </w:rPr>
        <w:t xml:space="preserve"> هيك 14 فقرة 43 </w:t>
      </w:r>
      <w:r w:rsidRPr="009A072C">
        <w:rPr>
          <w:rFonts w:cs="Traditional Arabic"/>
          <w:color w:val="000000"/>
          <w:sz w:val="24"/>
          <w:szCs w:val="28"/>
          <w:rtl/>
        </w:rPr>
        <w:t>–</w:t>
      </w:r>
      <w:r w:rsidRPr="009A072C">
        <w:rPr>
          <w:rFonts w:cs="Traditional Arabic" w:hint="cs"/>
          <w:color w:val="000000"/>
          <w:sz w:val="24"/>
          <w:szCs w:val="28"/>
          <w:rtl/>
        </w:rPr>
        <w:t xml:space="preserve"> بون فقرة 1207 </w:t>
      </w:r>
      <w:r w:rsidRPr="009A072C">
        <w:rPr>
          <w:rFonts w:cs="Traditional Arabic"/>
          <w:color w:val="000000"/>
          <w:sz w:val="24"/>
          <w:szCs w:val="28"/>
          <w:rtl/>
        </w:rPr>
        <w:t>–</w:t>
      </w:r>
      <w:r w:rsidRPr="009A072C">
        <w:rPr>
          <w:rFonts w:cs="Traditional Arabic" w:hint="cs"/>
          <w:color w:val="000000"/>
          <w:sz w:val="24"/>
          <w:szCs w:val="28"/>
          <w:rtl/>
        </w:rPr>
        <w:t xml:space="preserve"> جيوار فقرة 1640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206</w:t>
      </w:r>
      <w:r>
        <w:rPr>
          <w:rFonts w:cs="Traditional Arabic" w:hint="cs"/>
          <w:color w:val="000000"/>
          <w:sz w:val="24"/>
          <w:szCs w:val="28"/>
          <w:rtl/>
        </w:rPr>
        <w:t xml:space="preserve"> .</w:t>
      </w:r>
    </w:p>
  </w:footnote>
  <w:footnote w:id="126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اوبري ورو 3 فقرة 287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204 ص 272</w:t>
      </w:r>
      <w:r>
        <w:rPr>
          <w:rFonts w:cs="Traditional Arabic" w:hint="cs"/>
          <w:color w:val="000000"/>
          <w:sz w:val="24"/>
          <w:szCs w:val="28"/>
          <w:rtl/>
        </w:rPr>
        <w:t xml:space="preserve"> .</w:t>
      </w:r>
    </w:p>
  </w:footnote>
  <w:footnote w:id="126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204</w:t>
      </w:r>
      <w:r>
        <w:rPr>
          <w:rFonts w:cs="Traditional Arabic" w:hint="cs"/>
          <w:color w:val="000000"/>
          <w:sz w:val="24"/>
          <w:szCs w:val="28"/>
          <w:rtl/>
        </w:rPr>
        <w:t xml:space="preserve"> .</w:t>
      </w:r>
    </w:p>
  </w:footnote>
  <w:footnote w:id="126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1053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1183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واقره مجلس النواب تحت رقم 1169 </w:t>
      </w:r>
      <w:r w:rsidRPr="009A072C">
        <w:rPr>
          <w:rFonts w:cs="Traditional Arabic"/>
          <w:color w:val="000000"/>
          <w:sz w:val="24"/>
          <w:szCs w:val="28"/>
          <w:rtl/>
        </w:rPr>
        <w:t>–</w:t>
      </w:r>
      <w:r w:rsidRPr="009A072C">
        <w:rPr>
          <w:rFonts w:cs="Traditional Arabic" w:hint="cs"/>
          <w:color w:val="000000"/>
          <w:sz w:val="24"/>
          <w:szCs w:val="28"/>
          <w:rtl/>
        </w:rPr>
        <w:t xml:space="preserve"> ثم مجلس الشيوخ تحت رقم 1081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141 </w:t>
      </w:r>
      <w:r w:rsidRPr="009A072C">
        <w:rPr>
          <w:rFonts w:cs="Traditional Arabic"/>
          <w:color w:val="000000"/>
          <w:sz w:val="24"/>
          <w:szCs w:val="28"/>
          <w:rtl/>
        </w:rPr>
        <w:t>–</w:t>
      </w:r>
      <w:r w:rsidRPr="009A072C">
        <w:rPr>
          <w:rFonts w:cs="Traditional Arabic" w:hint="cs"/>
          <w:color w:val="000000"/>
          <w:sz w:val="24"/>
          <w:szCs w:val="28"/>
          <w:rtl/>
        </w:rPr>
        <w:t xml:space="preserve"> ص 142</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sidRPr="009A072C">
        <w:rPr>
          <w:rFonts w:cs="Traditional Arabic" w:hint="cs"/>
          <w:color w:val="000000"/>
          <w:sz w:val="24"/>
          <w:szCs w:val="28"/>
          <w:rtl/>
        </w:rPr>
        <w:t xml:space="preserve"> م 589 / 715</w:t>
      </w:r>
      <w:r>
        <w:rPr>
          <w:rFonts w:cs="Traditional Arabic" w:hint="cs"/>
          <w:color w:val="000000"/>
          <w:sz w:val="24"/>
          <w:szCs w:val="28"/>
          <w:rtl/>
        </w:rPr>
        <w:t xml:space="preserve"> :</w:t>
      </w:r>
      <w:r w:rsidRPr="009A072C">
        <w:rPr>
          <w:rFonts w:cs="Traditional Arabic" w:hint="cs"/>
          <w:color w:val="000000"/>
          <w:sz w:val="24"/>
          <w:szCs w:val="28"/>
          <w:rtl/>
        </w:rPr>
        <w:t xml:space="preserve"> يلزم الحائز للعقار لأرباب الديون بما حصل فيه من الخلل</w:t>
      </w:r>
      <w:r>
        <w:rPr>
          <w:rFonts w:cs="Traditional Arabic" w:hint="cs"/>
          <w:color w:val="000000"/>
          <w:sz w:val="24"/>
          <w:szCs w:val="28"/>
          <w:rtl/>
        </w:rPr>
        <w:t xml:space="preserve"> ،</w:t>
      </w:r>
      <w:r w:rsidRPr="009A072C">
        <w:rPr>
          <w:rFonts w:cs="Traditional Arabic" w:hint="cs"/>
          <w:color w:val="000000"/>
          <w:sz w:val="24"/>
          <w:szCs w:val="28"/>
          <w:rtl/>
        </w:rPr>
        <w:t xml:space="preserve"> سواء كان بفعله أو بإهماله</w:t>
      </w:r>
      <w:r>
        <w:rPr>
          <w:rFonts w:cs="Traditional Arabic" w:hint="cs"/>
          <w:color w:val="000000"/>
          <w:sz w:val="24"/>
          <w:szCs w:val="28"/>
          <w:rtl/>
        </w:rPr>
        <w:t xml:space="preserve"> .</w:t>
      </w:r>
    </w:p>
  </w:footnote>
  <w:footnote w:id="126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143</w:t>
      </w:r>
      <w:r>
        <w:rPr>
          <w:rFonts w:cs="Traditional Arabic" w:hint="cs"/>
          <w:color w:val="000000"/>
          <w:sz w:val="24"/>
          <w:szCs w:val="28"/>
          <w:rtl/>
        </w:rPr>
        <w:t xml:space="preserve"> .</w:t>
      </w:r>
    </w:p>
  </w:footnote>
  <w:footnote w:id="126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202 ص 270</w:t>
      </w:r>
      <w:r>
        <w:rPr>
          <w:rFonts w:cs="Traditional Arabic" w:hint="cs"/>
          <w:color w:val="000000"/>
          <w:sz w:val="24"/>
          <w:szCs w:val="28"/>
          <w:rtl/>
        </w:rPr>
        <w:t xml:space="preserve"> .</w:t>
      </w:r>
    </w:p>
  </w:footnote>
  <w:footnote w:id="126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فقرة 303 </w:t>
      </w:r>
      <w:r w:rsidRPr="009A072C">
        <w:rPr>
          <w:rFonts w:cs="Traditional Arabic"/>
          <w:color w:val="000000"/>
          <w:sz w:val="24"/>
          <w:szCs w:val="28"/>
          <w:rtl/>
        </w:rPr>
        <w:t>–</w:t>
      </w:r>
      <w:r w:rsidRPr="009A072C">
        <w:rPr>
          <w:rFonts w:cs="Traditional Arabic" w:hint="cs"/>
          <w:color w:val="000000"/>
          <w:sz w:val="24"/>
          <w:szCs w:val="28"/>
          <w:rtl/>
        </w:rPr>
        <w:t xml:space="preserve"> جيوار فقرة 1634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2203 وفقرة 2217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202 ص 271</w:t>
      </w:r>
      <w:r>
        <w:rPr>
          <w:rFonts w:cs="Traditional Arabic" w:hint="cs"/>
          <w:color w:val="000000"/>
          <w:sz w:val="24"/>
          <w:szCs w:val="28"/>
          <w:rtl/>
        </w:rPr>
        <w:t xml:space="preserve"> .</w:t>
      </w:r>
    </w:p>
  </w:footnote>
  <w:footnote w:id="126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1634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2203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وهامش 55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202 ص 171</w:t>
      </w:r>
      <w:r>
        <w:rPr>
          <w:rFonts w:cs="Traditional Arabic" w:hint="cs"/>
          <w:color w:val="000000"/>
          <w:sz w:val="24"/>
          <w:szCs w:val="28"/>
          <w:rtl/>
        </w:rPr>
        <w:t xml:space="preserve"> .</w:t>
      </w:r>
    </w:p>
  </w:footnote>
  <w:footnote w:id="127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2203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202 ص 271</w:t>
      </w:r>
      <w:r>
        <w:rPr>
          <w:rFonts w:cs="Traditional Arabic" w:hint="cs"/>
          <w:color w:val="000000"/>
          <w:sz w:val="24"/>
          <w:szCs w:val="28"/>
          <w:rtl/>
        </w:rPr>
        <w:t xml:space="preserve"> .</w:t>
      </w:r>
    </w:p>
  </w:footnote>
  <w:footnote w:id="127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21 ديسمبر سنة </w:t>
      </w:r>
      <w:smartTag w:uri="urn:schemas-microsoft-com:office:smarttags" w:element="metricconverter">
        <w:smartTagPr>
          <w:attr w:name="ProductID" w:val="1892 م"/>
        </w:smartTagPr>
        <w:r w:rsidRPr="009A072C">
          <w:rPr>
            <w:rFonts w:cs="Traditional Arabic" w:hint="cs"/>
            <w:color w:val="000000"/>
            <w:sz w:val="24"/>
            <w:szCs w:val="28"/>
            <w:rtl/>
          </w:rPr>
          <w:t>1892 م</w:t>
        </w:r>
      </w:smartTag>
      <w:r w:rsidRPr="009A072C">
        <w:rPr>
          <w:rFonts w:cs="Traditional Arabic" w:hint="cs"/>
          <w:color w:val="000000"/>
          <w:sz w:val="24"/>
          <w:szCs w:val="28"/>
          <w:rtl/>
        </w:rPr>
        <w:t xml:space="preserve"> 5 ص 54 </w:t>
      </w:r>
      <w:r w:rsidRPr="009A072C">
        <w:rPr>
          <w:rFonts w:cs="Traditional Arabic"/>
          <w:color w:val="000000"/>
          <w:sz w:val="24"/>
          <w:szCs w:val="28"/>
          <w:rtl/>
        </w:rPr>
        <w:t>–</w:t>
      </w:r>
      <w:r w:rsidRPr="009A072C">
        <w:rPr>
          <w:rFonts w:cs="Traditional Arabic" w:hint="cs"/>
          <w:color w:val="000000"/>
          <w:sz w:val="24"/>
          <w:szCs w:val="28"/>
          <w:rtl/>
        </w:rPr>
        <w:t xml:space="preserve"> جيوار فقرة 1633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2203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202</w:t>
      </w:r>
      <w:r>
        <w:rPr>
          <w:rFonts w:cs="Traditional Arabic" w:hint="cs"/>
          <w:color w:val="000000"/>
          <w:sz w:val="24"/>
          <w:szCs w:val="28"/>
          <w:rtl/>
        </w:rPr>
        <w:t xml:space="preserve"> .</w:t>
      </w:r>
    </w:p>
  </w:footnote>
  <w:footnote w:id="127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1052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 النص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1182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واقره مجلس النواب تحت رقم 1168</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1080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138 </w:t>
      </w:r>
      <w:r w:rsidRPr="009A072C">
        <w:rPr>
          <w:rFonts w:cs="Traditional Arabic"/>
          <w:color w:val="000000"/>
          <w:sz w:val="24"/>
          <w:szCs w:val="28"/>
          <w:rtl/>
        </w:rPr>
        <w:t>–</w:t>
      </w:r>
      <w:r w:rsidRPr="009A072C">
        <w:rPr>
          <w:rFonts w:cs="Traditional Arabic" w:hint="cs"/>
          <w:color w:val="000000"/>
          <w:sz w:val="24"/>
          <w:szCs w:val="28"/>
          <w:rtl/>
        </w:rPr>
        <w:t xml:space="preserve"> ص 140</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 xml:space="preserve">التقنين المدني السابق </w:t>
      </w:r>
      <w:r w:rsidRPr="009A072C">
        <w:rPr>
          <w:rFonts w:cs="Traditional Arabic" w:hint="cs"/>
          <w:color w:val="000000"/>
          <w:sz w:val="24"/>
          <w:szCs w:val="28"/>
          <w:rtl/>
        </w:rPr>
        <w:t>م 592 / 718</w:t>
      </w:r>
      <w:r>
        <w:rPr>
          <w:rFonts w:cs="Traditional Arabic" w:hint="cs"/>
          <w:color w:val="000000"/>
          <w:sz w:val="24"/>
          <w:szCs w:val="28"/>
          <w:rtl/>
        </w:rPr>
        <w:t xml:space="preserve"> :</w:t>
      </w:r>
      <w:r w:rsidRPr="009A072C">
        <w:rPr>
          <w:rFonts w:cs="Traditional Arabic" w:hint="cs"/>
          <w:color w:val="000000"/>
          <w:sz w:val="24"/>
          <w:szCs w:val="28"/>
          <w:rtl/>
        </w:rPr>
        <w:t xml:space="preserve"> للحائز الذي انتزع منه العقار أو إخلاءه من تلقاء نفسه حق الرجوع بطريق الضمان على من ملكه إليه إذا كان التمليك بمقابل</w:t>
      </w:r>
      <w:r>
        <w:rPr>
          <w:rFonts w:cs="Traditional Arabic" w:hint="cs"/>
          <w:color w:val="000000"/>
          <w:sz w:val="24"/>
          <w:szCs w:val="28"/>
          <w:rtl/>
        </w:rPr>
        <w:t xml:space="preserve"> ،</w:t>
      </w:r>
      <w:r w:rsidRPr="009A072C">
        <w:rPr>
          <w:rFonts w:cs="Traditional Arabic" w:hint="cs"/>
          <w:color w:val="000000"/>
          <w:sz w:val="24"/>
          <w:szCs w:val="28"/>
          <w:rtl/>
        </w:rPr>
        <w:t xml:space="preserve"> وفي جميع الأحوال له الرجوع على المدين الأصلي بما صرفه بأي صفة كانت</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rtl/>
        </w:rPr>
        <w:t>م 593 / 719</w:t>
      </w:r>
      <w:r>
        <w:rPr>
          <w:rFonts w:cs="Traditional Arabic" w:hint="cs"/>
          <w:color w:val="000000"/>
          <w:sz w:val="24"/>
          <w:szCs w:val="28"/>
          <w:rtl/>
        </w:rPr>
        <w:t xml:space="preserve"> :</w:t>
      </w:r>
      <w:r w:rsidRPr="009A072C">
        <w:rPr>
          <w:rFonts w:cs="Traditional Arabic" w:hint="cs"/>
          <w:color w:val="000000"/>
          <w:sz w:val="24"/>
          <w:szCs w:val="28"/>
          <w:rtl/>
        </w:rPr>
        <w:t xml:space="preserve"> وله أيضاً الرجوع على المدين المذكور بالمبالغ التي دفعها بأي صفة كانت</w:t>
      </w:r>
      <w:r>
        <w:rPr>
          <w:rFonts w:cs="Traditional Arabic" w:hint="cs"/>
          <w:color w:val="000000"/>
          <w:sz w:val="24"/>
          <w:szCs w:val="28"/>
          <w:rtl/>
        </w:rPr>
        <w:t xml:space="preserve"> ،</w:t>
      </w:r>
      <w:r w:rsidRPr="009A072C">
        <w:rPr>
          <w:rFonts w:cs="Traditional Arabic" w:hint="cs"/>
          <w:color w:val="000000"/>
          <w:sz w:val="24"/>
          <w:szCs w:val="28"/>
          <w:rtl/>
        </w:rPr>
        <w:t xml:space="preserve"> زيادة عن المبلغ الذي كان ألزمه به عقد التملك إذا أبقى العقار في يده أو رسا عليه في المزاد</w:t>
      </w:r>
      <w:r>
        <w:rPr>
          <w:rFonts w:cs="Traditional Arabic" w:hint="cs"/>
          <w:color w:val="000000"/>
          <w:sz w:val="24"/>
          <w:szCs w:val="28"/>
          <w:rtl/>
        </w:rPr>
        <w:t xml:space="preserve"> .</w:t>
      </w:r>
    </w:p>
  </w:footnote>
  <w:footnote w:id="127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142</w:t>
      </w:r>
      <w:r>
        <w:rPr>
          <w:rFonts w:cs="Traditional Arabic" w:hint="cs"/>
          <w:color w:val="000000"/>
          <w:sz w:val="24"/>
          <w:szCs w:val="28"/>
          <w:rtl/>
        </w:rPr>
        <w:t xml:space="preserve"> .</w:t>
      </w:r>
    </w:p>
  </w:footnote>
  <w:footnote w:id="127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8 مايو سنة </w:t>
      </w:r>
      <w:smartTag w:uri="urn:schemas-microsoft-com:office:smarttags" w:element="metricconverter">
        <w:smartTagPr>
          <w:attr w:name="ProductID" w:val="1889 م"/>
        </w:smartTagPr>
        <w:r w:rsidRPr="009A072C">
          <w:rPr>
            <w:rFonts w:cs="Traditional Arabic" w:hint="cs"/>
            <w:color w:val="000000"/>
            <w:sz w:val="24"/>
            <w:szCs w:val="28"/>
            <w:rtl/>
          </w:rPr>
          <w:t>1889 م</w:t>
        </w:r>
      </w:smartTag>
      <w:r w:rsidRPr="009A072C">
        <w:rPr>
          <w:rFonts w:cs="Traditional Arabic" w:hint="cs"/>
          <w:color w:val="000000"/>
          <w:sz w:val="24"/>
          <w:szCs w:val="28"/>
          <w:rtl/>
        </w:rPr>
        <w:t xml:space="preserve"> 1 ص 135 </w:t>
      </w:r>
      <w:r w:rsidRPr="009A072C">
        <w:rPr>
          <w:rFonts w:cs="Traditional Arabic"/>
          <w:color w:val="000000"/>
          <w:sz w:val="24"/>
          <w:szCs w:val="28"/>
          <w:rtl/>
        </w:rPr>
        <w:t>–</w:t>
      </w:r>
      <w:r w:rsidRPr="009A072C">
        <w:rPr>
          <w:rFonts w:cs="Traditional Arabic" w:hint="cs"/>
          <w:color w:val="000000"/>
          <w:sz w:val="24"/>
          <w:szCs w:val="28"/>
          <w:rtl/>
        </w:rPr>
        <w:t xml:space="preserve"> وقد قضت محكمة الاستئناف المختلطة أيضاً بأن للحائز الذي نزع الدائن المرتهن عقارهن أن يرجع على من ملكه له إذا كان قد باعه إياه</w:t>
      </w:r>
      <w:r>
        <w:rPr>
          <w:rFonts w:cs="Traditional Arabic" w:hint="cs"/>
          <w:color w:val="000000"/>
          <w:sz w:val="24"/>
          <w:szCs w:val="28"/>
          <w:rtl/>
        </w:rPr>
        <w:t xml:space="preserve"> ،</w:t>
      </w:r>
      <w:r w:rsidRPr="009A072C">
        <w:rPr>
          <w:rFonts w:cs="Traditional Arabic" w:hint="cs"/>
          <w:color w:val="000000"/>
          <w:sz w:val="24"/>
          <w:szCs w:val="28"/>
          <w:rtl/>
        </w:rPr>
        <w:t xml:space="preserve"> ولكن ليس له هذا الحق إذا كان العقار قد انتقل له بالهبة أو الوصية</w:t>
      </w:r>
      <w:r>
        <w:rPr>
          <w:rFonts w:cs="Traditional Arabic" w:hint="cs"/>
          <w:color w:val="000000"/>
          <w:sz w:val="24"/>
          <w:szCs w:val="28"/>
          <w:rtl/>
        </w:rPr>
        <w:t xml:space="preserve"> ،</w:t>
      </w:r>
      <w:r w:rsidRPr="009A072C">
        <w:rPr>
          <w:rFonts w:cs="Traditional Arabic" w:hint="cs"/>
          <w:color w:val="000000"/>
          <w:sz w:val="24"/>
          <w:szCs w:val="28"/>
          <w:rtl/>
        </w:rPr>
        <w:t xml:space="preserve"> إلا إذا كان هناك اتفاق على ذلكاو كان استحقاق العقار حاصلا بفعل الواهب بعد الهبة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9 مارس سنة </w:t>
      </w:r>
      <w:smartTag w:uri="urn:schemas-microsoft-com:office:smarttags" w:element="metricconverter">
        <w:smartTagPr>
          <w:attr w:name="ProductID" w:val="1916 م"/>
        </w:smartTagPr>
        <w:r w:rsidRPr="009A072C">
          <w:rPr>
            <w:rFonts w:cs="Traditional Arabic" w:hint="cs"/>
            <w:color w:val="000000"/>
            <w:sz w:val="24"/>
            <w:szCs w:val="28"/>
            <w:rtl/>
          </w:rPr>
          <w:t>1916 م</w:t>
        </w:r>
      </w:smartTag>
      <w:r w:rsidRPr="009A072C">
        <w:rPr>
          <w:rFonts w:cs="Traditional Arabic" w:hint="cs"/>
          <w:color w:val="000000"/>
          <w:sz w:val="24"/>
          <w:szCs w:val="28"/>
          <w:rtl/>
        </w:rPr>
        <w:t xml:space="preserve"> 28 ص 195</w:t>
      </w:r>
      <w:r>
        <w:rPr>
          <w:rFonts w:cs="Traditional Arabic" w:hint="cs"/>
          <w:color w:val="000000"/>
          <w:sz w:val="24"/>
          <w:szCs w:val="28"/>
          <w:rtl/>
        </w:rPr>
        <w:t xml:space="preserve"> ) .</w:t>
      </w:r>
    </w:p>
  </w:footnote>
  <w:footnote w:id="127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فقرة 320 </w:t>
      </w:r>
      <w:r w:rsidRPr="009A072C">
        <w:rPr>
          <w:rFonts w:cs="Traditional Arabic"/>
          <w:color w:val="000000"/>
          <w:sz w:val="24"/>
          <w:szCs w:val="28"/>
          <w:rtl/>
        </w:rPr>
        <w:t>–</w:t>
      </w:r>
      <w:r w:rsidRPr="009A072C">
        <w:rPr>
          <w:rFonts w:cs="Traditional Arabic" w:hint="cs"/>
          <w:color w:val="000000"/>
          <w:sz w:val="24"/>
          <w:szCs w:val="28"/>
          <w:rtl/>
        </w:rPr>
        <w:t xml:space="preserve"> هيك 14 فقرة 50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2218</w:t>
      </w:r>
      <w:r>
        <w:rPr>
          <w:rFonts w:cs="Traditional Arabic" w:hint="cs"/>
          <w:color w:val="000000"/>
          <w:sz w:val="24"/>
          <w:szCs w:val="28"/>
          <w:rtl/>
        </w:rPr>
        <w:t xml:space="preserve"> .</w:t>
      </w:r>
    </w:p>
  </w:footnote>
  <w:footnote w:id="127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3 مايو سنة </w:t>
      </w:r>
      <w:smartTag w:uri="urn:schemas-microsoft-com:office:smarttags" w:element="metricconverter">
        <w:smartTagPr>
          <w:attr w:name="ProductID" w:val="1916 م"/>
        </w:smartTagPr>
        <w:r w:rsidRPr="009A072C">
          <w:rPr>
            <w:rFonts w:cs="Traditional Arabic" w:hint="cs"/>
            <w:color w:val="000000"/>
            <w:sz w:val="24"/>
            <w:szCs w:val="28"/>
            <w:rtl/>
          </w:rPr>
          <w:t>1916 م</w:t>
        </w:r>
      </w:smartTag>
      <w:r w:rsidRPr="009A072C">
        <w:rPr>
          <w:rFonts w:cs="Traditional Arabic" w:hint="cs"/>
          <w:color w:val="000000"/>
          <w:sz w:val="24"/>
          <w:szCs w:val="28"/>
          <w:rtl/>
        </w:rPr>
        <w:t xml:space="preserve"> 28 ص 195</w:t>
      </w:r>
      <w:r>
        <w:rPr>
          <w:rFonts w:cs="Traditional Arabic" w:hint="cs"/>
          <w:color w:val="000000"/>
          <w:sz w:val="24"/>
          <w:szCs w:val="28"/>
          <w:rtl/>
        </w:rPr>
        <w:t xml:space="preserve"> .</w:t>
      </w:r>
    </w:p>
  </w:footnote>
  <w:footnote w:id="127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دي هلتس فقرة 131 محمد كامل مرسي فقرة 207 ص 176</w:t>
      </w:r>
      <w:r>
        <w:rPr>
          <w:rFonts w:cs="Traditional Arabic" w:hint="cs"/>
          <w:color w:val="000000"/>
          <w:sz w:val="24"/>
          <w:szCs w:val="28"/>
          <w:rtl/>
        </w:rPr>
        <w:t xml:space="preserve"> .</w:t>
      </w:r>
    </w:p>
  </w:footnote>
  <w:footnote w:id="127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207 ص 277</w:t>
      </w:r>
      <w:r>
        <w:rPr>
          <w:rFonts w:cs="Traditional Arabic" w:hint="cs"/>
          <w:color w:val="000000"/>
          <w:sz w:val="24"/>
          <w:szCs w:val="28"/>
          <w:rtl/>
        </w:rPr>
        <w:t xml:space="preserve"> .</w:t>
      </w:r>
    </w:p>
  </w:footnote>
  <w:footnote w:id="127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14 أبريل سنة </w:t>
      </w:r>
      <w:smartTag w:uri="urn:schemas-microsoft-com:office:smarttags" w:element="metricconverter">
        <w:smartTagPr>
          <w:attr w:name="ProductID" w:val="1938 م"/>
        </w:smartTagPr>
        <w:r w:rsidRPr="009A072C">
          <w:rPr>
            <w:rFonts w:cs="Traditional Arabic" w:hint="cs"/>
            <w:color w:val="000000"/>
            <w:sz w:val="24"/>
            <w:szCs w:val="28"/>
            <w:rtl/>
          </w:rPr>
          <w:t>1938 م</w:t>
        </w:r>
      </w:smartTag>
      <w:r w:rsidRPr="009A072C">
        <w:rPr>
          <w:rFonts w:cs="Traditional Arabic" w:hint="cs"/>
          <w:color w:val="000000"/>
          <w:sz w:val="24"/>
          <w:szCs w:val="28"/>
          <w:rtl/>
        </w:rPr>
        <w:t xml:space="preserve"> 50 ص 237 </w:t>
      </w:r>
      <w:r w:rsidRPr="009A072C">
        <w:rPr>
          <w:rFonts w:cs="Traditional Arabic"/>
          <w:color w:val="000000"/>
          <w:sz w:val="24"/>
          <w:szCs w:val="28"/>
          <w:rtl/>
        </w:rPr>
        <w:t>–</w:t>
      </w:r>
      <w:r w:rsidRPr="009A072C">
        <w:rPr>
          <w:rFonts w:cs="Traditional Arabic" w:hint="cs"/>
          <w:color w:val="000000"/>
          <w:sz w:val="24"/>
          <w:szCs w:val="28"/>
          <w:rtl/>
        </w:rPr>
        <w:t xml:space="preserve"> 24 ديسمبر سنة </w:t>
      </w:r>
      <w:smartTag w:uri="urn:schemas-microsoft-com:office:smarttags" w:element="metricconverter">
        <w:smartTagPr>
          <w:attr w:name="ProductID" w:val="1946 م"/>
        </w:smartTagPr>
        <w:r w:rsidRPr="009A072C">
          <w:rPr>
            <w:rFonts w:cs="Traditional Arabic" w:hint="cs"/>
            <w:color w:val="000000"/>
            <w:sz w:val="24"/>
            <w:szCs w:val="28"/>
            <w:rtl/>
          </w:rPr>
          <w:t>1946 م</w:t>
        </w:r>
      </w:smartTag>
      <w:r w:rsidRPr="009A072C">
        <w:rPr>
          <w:rFonts w:cs="Traditional Arabic" w:hint="cs"/>
          <w:color w:val="000000"/>
          <w:sz w:val="24"/>
          <w:szCs w:val="28"/>
          <w:rtl/>
        </w:rPr>
        <w:t xml:space="preserve"> 59 ص 49</w:t>
      </w:r>
      <w:r>
        <w:rPr>
          <w:rFonts w:cs="Traditional Arabic" w:hint="cs"/>
          <w:color w:val="000000"/>
          <w:sz w:val="24"/>
          <w:szCs w:val="28"/>
          <w:rtl/>
        </w:rPr>
        <w:t xml:space="preserve"> .</w:t>
      </w:r>
    </w:p>
  </w:footnote>
  <w:footnote w:id="128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دي هلتس فقرة 134</w:t>
      </w:r>
      <w:r>
        <w:rPr>
          <w:rFonts w:cs="Traditional Arabic" w:hint="cs"/>
          <w:color w:val="000000"/>
          <w:sz w:val="24"/>
          <w:szCs w:val="28"/>
          <w:rtl/>
        </w:rPr>
        <w:t xml:space="preserve"> .</w:t>
      </w:r>
    </w:p>
  </w:footnote>
  <w:footnote w:id="128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18 فقرة 123 </w:t>
      </w:r>
      <w:r w:rsidRPr="009A072C">
        <w:rPr>
          <w:rFonts w:cs="Traditional Arabic"/>
          <w:color w:val="000000"/>
          <w:sz w:val="24"/>
          <w:szCs w:val="28"/>
          <w:rtl/>
        </w:rPr>
        <w:t>–</w:t>
      </w:r>
      <w:r w:rsidRPr="009A072C">
        <w:rPr>
          <w:rFonts w:cs="Traditional Arabic" w:hint="cs"/>
          <w:color w:val="000000"/>
          <w:sz w:val="24"/>
          <w:szCs w:val="28"/>
          <w:rtl/>
        </w:rPr>
        <w:t xml:space="preserve"> فقرة 125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321 هامش 84 </w:t>
      </w:r>
      <w:r w:rsidRPr="009A072C">
        <w:rPr>
          <w:rFonts w:cs="Traditional Arabic"/>
          <w:color w:val="000000"/>
          <w:sz w:val="24"/>
          <w:szCs w:val="28"/>
          <w:rtl/>
        </w:rPr>
        <w:t>–</w:t>
      </w:r>
      <w:r w:rsidRPr="009A072C">
        <w:rPr>
          <w:rFonts w:cs="Traditional Arabic" w:hint="cs"/>
          <w:color w:val="000000"/>
          <w:sz w:val="24"/>
          <w:szCs w:val="28"/>
          <w:rtl/>
        </w:rPr>
        <w:t xml:space="preserve"> هامش 85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513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210</w:t>
      </w:r>
      <w:r>
        <w:rPr>
          <w:rFonts w:cs="Traditional Arabic" w:hint="cs"/>
          <w:color w:val="000000"/>
          <w:sz w:val="24"/>
          <w:szCs w:val="28"/>
          <w:rtl/>
        </w:rPr>
        <w:t xml:space="preserve"> .</w:t>
      </w:r>
    </w:p>
  </w:footnote>
  <w:footnote w:id="128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210</w:t>
      </w:r>
      <w:r>
        <w:rPr>
          <w:rFonts w:cs="Traditional Arabic" w:hint="cs"/>
          <w:color w:val="000000"/>
          <w:sz w:val="24"/>
          <w:szCs w:val="28"/>
          <w:rtl/>
        </w:rPr>
        <w:t xml:space="preserve"> .</w:t>
      </w:r>
    </w:p>
  </w:footnote>
  <w:footnote w:id="128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23 ديسمبر سنة </w:t>
      </w:r>
      <w:smartTag w:uri="urn:schemas-microsoft-com:office:smarttags" w:element="metricconverter">
        <w:smartTagPr>
          <w:attr w:name="ProductID" w:val="1920 م"/>
        </w:smartTagPr>
        <w:r w:rsidRPr="009A072C">
          <w:rPr>
            <w:rFonts w:cs="Traditional Arabic" w:hint="cs"/>
            <w:color w:val="000000"/>
            <w:sz w:val="24"/>
            <w:szCs w:val="28"/>
            <w:rtl/>
          </w:rPr>
          <w:t>1920 م</w:t>
        </w:r>
      </w:smartTag>
      <w:r w:rsidRPr="009A072C">
        <w:rPr>
          <w:rFonts w:cs="Traditional Arabic" w:hint="cs"/>
          <w:color w:val="000000"/>
          <w:sz w:val="24"/>
          <w:szCs w:val="28"/>
          <w:rtl/>
        </w:rPr>
        <w:t xml:space="preserve"> 33 ص 95 </w:t>
      </w:r>
      <w:r w:rsidRPr="009A072C">
        <w:rPr>
          <w:rFonts w:cs="Traditional Arabic"/>
          <w:color w:val="000000"/>
          <w:sz w:val="24"/>
          <w:szCs w:val="28"/>
          <w:rtl/>
        </w:rPr>
        <w:t>–</w:t>
      </w:r>
      <w:r w:rsidRPr="009A072C">
        <w:rPr>
          <w:rFonts w:cs="Traditional Arabic" w:hint="cs"/>
          <w:color w:val="000000"/>
          <w:sz w:val="24"/>
          <w:szCs w:val="28"/>
          <w:rtl/>
        </w:rPr>
        <w:t xml:space="preserve"> 24 أبريل سنة </w:t>
      </w:r>
      <w:smartTag w:uri="urn:schemas-microsoft-com:office:smarttags" w:element="metricconverter">
        <w:smartTagPr>
          <w:attr w:name="ProductID" w:val="1928 م"/>
        </w:smartTagPr>
        <w:r w:rsidRPr="009A072C">
          <w:rPr>
            <w:rFonts w:cs="Traditional Arabic" w:hint="cs"/>
            <w:color w:val="000000"/>
            <w:sz w:val="24"/>
            <w:szCs w:val="28"/>
            <w:rtl/>
          </w:rPr>
          <w:t>1928 م</w:t>
        </w:r>
      </w:smartTag>
      <w:r w:rsidRPr="009A072C">
        <w:rPr>
          <w:rFonts w:cs="Traditional Arabic" w:hint="cs"/>
          <w:color w:val="000000"/>
          <w:sz w:val="24"/>
          <w:szCs w:val="28"/>
          <w:rtl/>
        </w:rPr>
        <w:t xml:space="preserve"> 40 ص 313 </w:t>
      </w:r>
      <w:r w:rsidRPr="009A072C">
        <w:rPr>
          <w:rFonts w:cs="Traditional Arabic"/>
          <w:color w:val="000000"/>
          <w:sz w:val="24"/>
          <w:szCs w:val="28"/>
          <w:rtl/>
        </w:rPr>
        <w:t>–</w:t>
      </w:r>
      <w:r w:rsidRPr="009A072C">
        <w:rPr>
          <w:rFonts w:cs="Traditional Arabic" w:hint="cs"/>
          <w:color w:val="000000"/>
          <w:sz w:val="24"/>
          <w:szCs w:val="28"/>
          <w:rtl/>
        </w:rPr>
        <w:t xml:space="preserve"> 18 يونيه سنة </w:t>
      </w:r>
      <w:smartTag w:uri="urn:schemas-microsoft-com:office:smarttags" w:element="metricconverter">
        <w:smartTagPr>
          <w:attr w:name="ProductID" w:val="1931 م"/>
        </w:smartTagPr>
        <w:r w:rsidRPr="009A072C">
          <w:rPr>
            <w:rFonts w:cs="Traditional Arabic" w:hint="cs"/>
            <w:color w:val="000000"/>
            <w:sz w:val="24"/>
            <w:szCs w:val="28"/>
            <w:rtl/>
          </w:rPr>
          <w:t>1931 م</w:t>
        </w:r>
      </w:smartTag>
      <w:r w:rsidRPr="009A072C">
        <w:rPr>
          <w:rFonts w:cs="Traditional Arabic" w:hint="cs"/>
          <w:color w:val="000000"/>
          <w:sz w:val="24"/>
          <w:szCs w:val="28"/>
          <w:rtl/>
        </w:rPr>
        <w:t xml:space="preserve"> 42 ص 459 </w:t>
      </w:r>
      <w:r w:rsidRPr="009A072C">
        <w:rPr>
          <w:rFonts w:cs="Traditional Arabic"/>
          <w:color w:val="000000"/>
          <w:sz w:val="24"/>
          <w:szCs w:val="28"/>
          <w:rtl/>
        </w:rPr>
        <w:t>–</w:t>
      </w:r>
      <w:r w:rsidRPr="009A072C">
        <w:rPr>
          <w:rFonts w:cs="Traditional Arabic" w:hint="cs"/>
          <w:color w:val="000000"/>
          <w:sz w:val="24"/>
          <w:szCs w:val="28"/>
          <w:rtl/>
        </w:rPr>
        <w:t xml:space="preserve"> جيوار فقرة 1671 وفقرة 1690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2170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287 هامش 34 وهامش 65 </w:t>
      </w:r>
      <w:r w:rsidRPr="009A072C">
        <w:rPr>
          <w:rFonts w:cs="Traditional Arabic"/>
          <w:color w:val="000000"/>
          <w:sz w:val="24"/>
          <w:szCs w:val="28"/>
          <w:rtl/>
        </w:rPr>
        <w:t>–</w:t>
      </w:r>
      <w:r w:rsidRPr="009A072C">
        <w:rPr>
          <w:rFonts w:cs="Traditional Arabic" w:hint="cs"/>
          <w:color w:val="000000"/>
          <w:sz w:val="24"/>
          <w:szCs w:val="28"/>
          <w:rtl/>
        </w:rPr>
        <w:t xml:space="preserve"> جرانمولان فقرة 512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209</w:t>
      </w:r>
      <w:r>
        <w:rPr>
          <w:rFonts w:cs="Traditional Arabic" w:hint="cs"/>
          <w:color w:val="000000"/>
          <w:sz w:val="24"/>
          <w:szCs w:val="28"/>
          <w:rtl/>
        </w:rPr>
        <w:t xml:space="preserve"> .</w:t>
      </w:r>
    </w:p>
  </w:footnote>
  <w:footnote w:id="128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209</w:t>
      </w:r>
      <w:r>
        <w:rPr>
          <w:rFonts w:cs="Traditional Arabic" w:hint="cs"/>
          <w:color w:val="000000"/>
          <w:sz w:val="24"/>
          <w:szCs w:val="28"/>
          <w:rtl/>
        </w:rPr>
        <w:t xml:space="preserve"> .</w:t>
      </w:r>
    </w:p>
  </w:footnote>
  <w:footnote w:id="128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1504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1184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وأقره مجلس النواب تحت رقم 1170</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1082</w:t>
      </w:r>
      <w:r>
        <w:rPr>
          <w:rFonts w:cs="Traditional Arabic" w:hint="cs"/>
          <w:color w:val="000000"/>
          <w:sz w:val="24"/>
          <w:szCs w:val="28"/>
          <w:rtl/>
        </w:rPr>
        <w:t xml:space="preserve">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28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w:t>
      </w:r>
      <w:r w:rsidRPr="009A072C">
        <w:rPr>
          <w:rFonts w:cs="Traditional Arabic"/>
          <w:color w:val="000000"/>
          <w:sz w:val="24"/>
          <w:szCs w:val="28"/>
          <w:rtl/>
        </w:rPr>
        <w:t>–</w:t>
      </w:r>
      <w:r w:rsidRPr="009A072C">
        <w:rPr>
          <w:rFonts w:cs="Traditional Arabic" w:hint="cs"/>
          <w:color w:val="000000"/>
          <w:sz w:val="24"/>
          <w:szCs w:val="28"/>
          <w:rtl/>
        </w:rPr>
        <w:t xml:space="preserve"> ص 149</w:t>
      </w:r>
      <w:r>
        <w:rPr>
          <w:rFonts w:cs="Traditional Arabic" w:hint="cs"/>
          <w:color w:val="000000"/>
          <w:sz w:val="24"/>
          <w:szCs w:val="28"/>
          <w:rtl/>
        </w:rPr>
        <w:t xml:space="preserve"> .</w:t>
      </w:r>
    </w:p>
  </w:footnote>
  <w:footnote w:id="128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الوسيط 3 ص 635 </w:t>
      </w:r>
      <w:r w:rsidRPr="009A072C">
        <w:rPr>
          <w:rFonts w:cs="Traditional Arabic"/>
          <w:color w:val="000000"/>
          <w:sz w:val="24"/>
          <w:szCs w:val="28"/>
          <w:rtl/>
        </w:rPr>
        <w:t>–</w:t>
      </w:r>
      <w:r w:rsidRPr="009A072C">
        <w:rPr>
          <w:rFonts w:cs="Traditional Arabic" w:hint="cs"/>
          <w:color w:val="000000"/>
          <w:sz w:val="24"/>
          <w:szCs w:val="28"/>
          <w:rtl/>
        </w:rPr>
        <w:t xml:space="preserve"> ص 794</w:t>
      </w:r>
      <w:r>
        <w:rPr>
          <w:rFonts w:cs="Traditional Arabic" w:hint="cs"/>
          <w:color w:val="000000"/>
          <w:sz w:val="24"/>
          <w:szCs w:val="28"/>
          <w:rtl/>
        </w:rPr>
        <w:t xml:space="preserve"> .</w:t>
      </w:r>
    </w:p>
  </w:footnote>
  <w:footnote w:id="128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399</w:t>
      </w:r>
      <w:r>
        <w:rPr>
          <w:rFonts w:cs="Traditional Arabic" w:hint="cs"/>
          <w:color w:val="000000"/>
          <w:sz w:val="24"/>
          <w:szCs w:val="28"/>
          <w:rtl/>
        </w:rPr>
        <w:t xml:space="preserve"> .</w:t>
      </w:r>
    </w:p>
  </w:footnote>
  <w:footnote w:id="128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400</w:t>
      </w:r>
      <w:r>
        <w:rPr>
          <w:rFonts w:cs="Traditional Arabic" w:hint="cs"/>
          <w:color w:val="000000"/>
          <w:sz w:val="24"/>
          <w:szCs w:val="28"/>
          <w:rtl/>
        </w:rPr>
        <w:t xml:space="preserve"> .</w:t>
      </w:r>
    </w:p>
  </w:footnote>
  <w:footnote w:id="129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405</w:t>
      </w:r>
      <w:r>
        <w:rPr>
          <w:rFonts w:cs="Traditional Arabic" w:hint="cs"/>
          <w:color w:val="000000"/>
          <w:sz w:val="24"/>
          <w:szCs w:val="28"/>
          <w:rtl/>
        </w:rPr>
        <w:t xml:space="preserve"> .</w:t>
      </w:r>
    </w:p>
  </w:footnote>
  <w:footnote w:id="129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401 ص 696 </w:t>
      </w:r>
      <w:r w:rsidRPr="009A072C">
        <w:rPr>
          <w:rFonts w:cs="Traditional Arabic"/>
          <w:color w:val="000000"/>
          <w:sz w:val="24"/>
          <w:szCs w:val="28"/>
          <w:rtl/>
        </w:rPr>
        <w:t>–</w:t>
      </w:r>
      <w:r w:rsidRPr="009A072C">
        <w:rPr>
          <w:rFonts w:cs="Traditional Arabic" w:hint="cs"/>
          <w:color w:val="000000"/>
          <w:sz w:val="24"/>
          <w:szCs w:val="28"/>
          <w:rtl/>
        </w:rPr>
        <w:t xml:space="preserve"> ص 698</w:t>
      </w:r>
      <w:r>
        <w:rPr>
          <w:rFonts w:cs="Traditional Arabic" w:hint="cs"/>
          <w:color w:val="000000"/>
          <w:sz w:val="24"/>
          <w:szCs w:val="28"/>
          <w:rtl/>
        </w:rPr>
        <w:t xml:space="preserve"> .</w:t>
      </w:r>
    </w:p>
  </w:footnote>
  <w:footnote w:id="129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الوسيط 3 ص 428</w:t>
      </w:r>
      <w:r>
        <w:rPr>
          <w:rFonts w:cs="Traditional Arabic" w:hint="cs"/>
          <w:color w:val="000000"/>
          <w:sz w:val="24"/>
          <w:szCs w:val="28"/>
          <w:rtl/>
        </w:rPr>
        <w:t xml:space="preserve"> .</w:t>
      </w:r>
    </w:p>
  </w:footnote>
  <w:footnote w:id="129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الوسيط 3 ص 428</w:t>
      </w:r>
      <w:r>
        <w:rPr>
          <w:rFonts w:cs="Traditional Arabic" w:hint="cs"/>
          <w:color w:val="000000"/>
          <w:sz w:val="24"/>
          <w:szCs w:val="28"/>
          <w:rtl/>
        </w:rPr>
        <w:t xml:space="preserve"> .</w:t>
      </w:r>
    </w:p>
  </w:footnote>
  <w:footnote w:id="129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180</w:t>
      </w:r>
      <w:r>
        <w:rPr>
          <w:rFonts w:cs="Traditional Arabic" w:hint="cs"/>
          <w:color w:val="000000"/>
          <w:sz w:val="24"/>
          <w:szCs w:val="28"/>
          <w:rtl/>
        </w:rPr>
        <w:t xml:space="preserve"> .</w:t>
      </w:r>
    </w:p>
  </w:footnote>
  <w:footnote w:id="129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482 ص 808 </w:t>
      </w:r>
      <w:r w:rsidRPr="009A072C">
        <w:rPr>
          <w:rFonts w:cs="Traditional Arabic"/>
          <w:color w:val="000000"/>
          <w:sz w:val="24"/>
          <w:szCs w:val="28"/>
          <w:rtl/>
        </w:rPr>
        <w:t>–</w:t>
      </w:r>
      <w:r w:rsidRPr="009A072C">
        <w:rPr>
          <w:rFonts w:cs="Traditional Arabic" w:hint="cs"/>
          <w:color w:val="000000"/>
          <w:sz w:val="24"/>
          <w:szCs w:val="28"/>
          <w:rtl/>
        </w:rPr>
        <w:t xml:space="preserve"> ص 809</w:t>
      </w:r>
      <w:r>
        <w:rPr>
          <w:rFonts w:cs="Traditional Arabic" w:hint="cs"/>
          <w:color w:val="000000"/>
          <w:sz w:val="24"/>
          <w:szCs w:val="28"/>
          <w:rtl/>
        </w:rPr>
        <w:t xml:space="preserve"> .</w:t>
      </w:r>
    </w:p>
  </w:footnote>
  <w:footnote w:id="129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الوسيط 3 فقرة 483</w:t>
      </w:r>
      <w:r>
        <w:rPr>
          <w:rFonts w:cs="Traditional Arabic" w:hint="cs"/>
          <w:color w:val="000000"/>
          <w:sz w:val="24"/>
          <w:szCs w:val="28"/>
          <w:rtl/>
        </w:rPr>
        <w:t xml:space="preserve"> .</w:t>
      </w:r>
    </w:p>
  </w:footnote>
  <w:footnote w:id="129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484 </w:t>
      </w:r>
      <w:r w:rsidRPr="009A072C">
        <w:rPr>
          <w:rFonts w:cs="Traditional Arabic"/>
          <w:color w:val="000000"/>
          <w:sz w:val="24"/>
          <w:szCs w:val="28"/>
          <w:rtl/>
        </w:rPr>
        <w:t>–</w:t>
      </w:r>
      <w:r w:rsidRPr="009A072C">
        <w:rPr>
          <w:rFonts w:cs="Traditional Arabic" w:hint="cs"/>
          <w:color w:val="000000"/>
          <w:sz w:val="24"/>
          <w:szCs w:val="28"/>
          <w:rtl/>
        </w:rPr>
        <w:t xml:space="preserve"> فقرة 524</w:t>
      </w:r>
      <w:r>
        <w:rPr>
          <w:rFonts w:cs="Traditional Arabic" w:hint="cs"/>
          <w:color w:val="000000"/>
          <w:sz w:val="24"/>
          <w:szCs w:val="28"/>
          <w:rtl/>
        </w:rPr>
        <w:t xml:space="preserve"> .</w:t>
      </w:r>
    </w:p>
  </w:footnote>
  <w:footnote w:id="129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490</w:t>
      </w:r>
      <w:r>
        <w:rPr>
          <w:rFonts w:cs="Traditional Arabic" w:hint="cs"/>
          <w:color w:val="000000"/>
          <w:sz w:val="24"/>
          <w:szCs w:val="28"/>
          <w:rtl/>
        </w:rPr>
        <w:t xml:space="preserve"> .</w:t>
      </w:r>
    </w:p>
  </w:footnote>
  <w:footnote w:id="129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498 ص 839 </w:t>
      </w:r>
      <w:r w:rsidRPr="009A072C">
        <w:rPr>
          <w:rFonts w:cs="Traditional Arabic"/>
          <w:color w:val="000000"/>
          <w:sz w:val="24"/>
          <w:szCs w:val="28"/>
          <w:rtl/>
        </w:rPr>
        <w:t>–</w:t>
      </w:r>
      <w:r w:rsidRPr="009A072C">
        <w:rPr>
          <w:rFonts w:cs="Traditional Arabic" w:hint="cs"/>
          <w:color w:val="000000"/>
          <w:sz w:val="24"/>
          <w:szCs w:val="28"/>
          <w:rtl/>
        </w:rPr>
        <w:t xml:space="preserve"> ص 840</w:t>
      </w:r>
      <w:r>
        <w:rPr>
          <w:rFonts w:cs="Traditional Arabic" w:hint="cs"/>
          <w:color w:val="000000"/>
          <w:sz w:val="24"/>
          <w:szCs w:val="28"/>
          <w:rtl/>
        </w:rPr>
        <w:t xml:space="preserve"> .</w:t>
      </w:r>
    </w:p>
  </w:footnote>
  <w:footnote w:id="130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في ذلك الوسيط 3 فقرة 503 </w:t>
      </w:r>
      <w:r w:rsidRPr="009A072C">
        <w:rPr>
          <w:rFonts w:cs="Traditional Arabic"/>
          <w:color w:val="000000"/>
          <w:sz w:val="24"/>
          <w:szCs w:val="28"/>
          <w:rtl/>
        </w:rPr>
        <w:t>–</w:t>
      </w:r>
      <w:r w:rsidRPr="009A072C">
        <w:rPr>
          <w:rFonts w:cs="Traditional Arabic" w:hint="cs"/>
          <w:color w:val="000000"/>
          <w:sz w:val="24"/>
          <w:szCs w:val="28"/>
          <w:rtl/>
        </w:rPr>
        <w:t xml:space="preserve"> فقرة 510</w:t>
      </w:r>
      <w:r>
        <w:rPr>
          <w:rFonts w:cs="Traditional Arabic" w:hint="cs"/>
          <w:color w:val="000000"/>
          <w:sz w:val="24"/>
          <w:szCs w:val="28"/>
          <w:rtl/>
        </w:rPr>
        <w:t xml:space="preserve"> .</w:t>
      </w:r>
    </w:p>
  </w:footnote>
  <w:footnote w:id="130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525 </w:t>
      </w:r>
      <w:r w:rsidRPr="009A072C">
        <w:rPr>
          <w:rFonts w:cs="Traditional Arabic"/>
          <w:color w:val="000000"/>
          <w:sz w:val="24"/>
          <w:szCs w:val="28"/>
          <w:rtl/>
        </w:rPr>
        <w:t>–</w:t>
      </w:r>
      <w:r w:rsidRPr="009A072C">
        <w:rPr>
          <w:rFonts w:cs="Traditional Arabic" w:hint="cs"/>
          <w:color w:val="000000"/>
          <w:sz w:val="24"/>
          <w:szCs w:val="28"/>
          <w:rtl/>
        </w:rPr>
        <w:t xml:space="preserve"> فقرة 560</w:t>
      </w:r>
      <w:r>
        <w:rPr>
          <w:rFonts w:cs="Traditional Arabic" w:hint="cs"/>
          <w:color w:val="000000"/>
          <w:sz w:val="24"/>
          <w:szCs w:val="28"/>
          <w:rtl/>
        </w:rPr>
        <w:t xml:space="preserve"> .</w:t>
      </w:r>
    </w:p>
  </w:footnote>
  <w:footnote w:id="130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الوسيط3  فقرة 525</w:t>
      </w:r>
      <w:r>
        <w:rPr>
          <w:rFonts w:cs="Traditional Arabic" w:hint="cs"/>
          <w:color w:val="000000"/>
          <w:sz w:val="24"/>
          <w:szCs w:val="28"/>
          <w:rtl/>
        </w:rPr>
        <w:t xml:space="preserve"> .</w:t>
      </w:r>
    </w:p>
  </w:footnote>
  <w:footnote w:id="130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546</w:t>
      </w:r>
      <w:r>
        <w:rPr>
          <w:rFonts w:cs="Traditional Arabic" w:hint="cs"/>
          <w:color w:val="000000"/>
          <w:sz w:val="24"/>
          <w:szCs w:val="28"/>
          <w:rtl/>
        </w:rPr>
        <w:t xml:space="preserve"> .</w:t>
      </w:r>
    </w:p>
  </w:footnote>
  <w:footnote w:id="130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547</w:t>
      </w:r>
      <w:r>
        <w:rPr>
          <w:rFonts w:cs="Traditional Arabic" w:hint="cs"/>
          <w:color w:val="000000"/>
          <w:sz w:val="24"/>
          <w:szCs w:val="28"/>
          <w:rtl/>
        </w:rPr>
        <w:t xml:space="preserve"> .</w:t>
      </w:r>
    </w:p>
  </w:footnote>
  <w:footnote w:id="130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561 </w:t>
      </w:r>
      <w:r w:rsidRPr="009A072C">
        <w:rPr>
          <w:rFonts w:cs="Traditional Arabic"/>
          <w:color w:val="000000"/>
          <w:sz w:val="24"/>
          <w:szCs w:val="28"/>
          <w:rtl/>
        </w:rPr>
        <w:t>–</w:t>
      </w:r>
      <w:r w:rsidRPr="009A072C">
        <w:rPr>
          <w:rFonts w:cs="Traditional Arabic" w:hint="cs"/>
          <w:color w:val="000000"/>
          <w:sz w:val="24"/>
          <w:szCs w:val="28"/>
          <w:rtl/>
        </w:rPr>
        <w:t xml:space="preserve"> فقرة 574</w:t>
      </w:r>
      <w:r>
        <w:rPr>
          <w:rFonts w:cs="Traditional Arabic" w:hint="cs"/>
          <w:color w:val="000000"/>
          <w:sz w:val="24"/>
          <w:szCs w:val="28"/>
          <w:rtl/>
        </w:rPr>
        <w:t xml:space="preserve"> .</w:t>
      </w:r>
    </w:p>
  </w:footnote>
  <w:footnote w:id="130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3 ص 291</w:t>
      </w:r>
      <w:r>
        <w:rPr>
          <w:rFonts w:cs="Traditional Arabic" w:hint="cs"/>
          <w:color w:val="000000"/>
          <w:sz w:val="24"/>
          <w:szCs w:val="28"/>
          <w:rtl/>
        </w:rPr>
        <w:t xml:space="preserve"> .</w:t>
      </w:r>
    </w:p>
  </w:footnote>
  <w:footnote w:id="130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565</w:t>
      </w:r>
      <w:r>
        <w:rPr>
          <w:rFonts w:cs="Traditional Arabic" w:hint="cs"/>
          <w:color w:val="000000"/>
          <w:sz w:val="24"/>
          <w:szCs w:val="28"/>
          <w:rtl/>
        </w:rPr>
        <w:t xml:space="preserve"> .</w:t>
      </w:r>
    </w:p>
  </w:footnote>
  <w:footnote w:id="130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573</w:t>
      </w:r>
      <w:r>
        <w:rPr>
          <w:rFonts w:cs="Traditional Arabic" w:hint="cs"/>
          <w:color w:val="000000"/>
          <w:sz w:val="24"/>
          <w:szCs w:val="28"/>
          <w:rtl/>
        </w:rPr>
        <w:t xml:space="preserve"> .</w:t>
      </w:r>
    </w:p>
  </w:footnote>
  <w:footnote w:id="130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574</w:t>
      </w:r>
      <w:r>
        <w:rPr>
          <w:rFonts w:cs="Traditional Arabic" w:hint="cs"/>
          <w:color w:val="000000"/>
          <w:sz w:val="24"/>
          <w:szCs w:val="28"/>
          <w:rtl/>
        </w:rPr>
        <w:t xml:space="preserve"> .</w:t>
      </w:r>
    </w:p>
  </w:footnote>
  <w:footnote w:id="131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576 </w:t>
      </w:r>
      <w:r w:rsidRPr="009A072C">
        <w:rPr>
          <w:rFonts w:cs="Traditional Arabic"/>
          <w:color w:val="000000"/>
          <w:sz w:val="24"/>
          <w:szCs w:val="28"/>
          <w:rtl/>
        </w:rPr>
        <w:t>–</w:t>
      </w:r>
      <w:r w:rsidRPr="009A072C">
        <w:rPr>
          <w:rFonts w:cs="Traditional Arabic" w:hint="cs"/>
          <w:color w:val="000000"/>
          <w:sz w:val="24"/>
          <w:szCs w:val="28"/>
          <w:rtl/>
        </w:rPr>
        <w:t xml:space="preserve"> فقرة 584</w:t>
      </w:r>
      <w:r>
        <w:rPr>
          <w:rFonts w:cs="Traditional Arabic" w:hint="cs"/>
          <w:color w:val="000000"/>
          <w:sz w:val="24"/>
          <w:szCs w:val="28"/>
          <w:rtl/>
        </w:rPr>
        <w:t xml:space="preserve"> .</w:t>
      </w:r>
    </w:p>
  </w:footnote>
  <w:footnote w:id="131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31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585 </w:t>
      </w:r>
      <w:r w:rsidRPr="009A072C">
        <w:rPr>
          <w:rFonts w:cs="Traditional Arabic"/>
          <w:color w:val="000000"/>
          <w:sz w:val="24"/>
          <w:szCs w:val="28"/>
          <w:rtl/>
        </w:rPr>
        <w:t>–</w:t>
      </w:r>
      <w:r w:rsidRPr="009A072C">
        <w:rPr>
          <w:rFonts w:cs="Traditional Arabic" w:hint="cs"/>
          <w:color w:val="000000"/>
          <w:sz w:val="24"/>
          <w:szCs w:val="28"/>
          <w:rtl/>
        </w:rPr>
        <w:t xml:space="preserve"> فقرة 590</w:t>
      </w:r>
      <w:r>
        <w:rPr>
          <w:rFonts w:cs="Traditional Arabic" w:hint="cs"/>
          <w:color w:val="000000"/>
          <w:sz w:val="24"/>
          <w:szCs w:val="28"/>
          <w:rtl/>
        </w:rPr>
        <w:t xml:space="preserve"> .</w:t>
      </w:r>
    </w:p>
  </w:footnote>
  <w:footnote w:id="131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578</w:t>
      </w:r>
      <w:r>
        <w:rPr>
          <w:rFonts w:cs="Traditional Arabic" w:hint="cs"/>
          <w:color w:val="000000"/>
          <w:sz w:val="24"/>
          <w:szCs w:val="28"/>
          <w:rtl/>
        </w:rPr>
        <w:t xml:space="preserve"> .</w:t>
      </w:r>
    </w:p>
  </w:footnote>
  <w:footnote w:id="131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589</w:t>
      </w:r>
      <w:r>
        <w:rPr>
          <w:rFonts w:cs="Traditional Arabic" w:hint="cs"/>
          <w:color w:val="000000"/>
          <w:sz w:val="24"/>
          <w:szCs w:val="28"/>
          <w:rtl/>
        </w:rPr>
        <w:t xml:space="preserve"> .</w:t>
      </w:r>
    </w:p>
  </w:footnote>
  <w:footnote w:id="131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591 </w:t>
      </w:r>
      <w:r w:rsidRPr="009A072C">
        <w:rPr>
          <w:rFonts w:cs="Traditional Arabic"/>
          <w:color w:val="000000"/>
          <w:sz w:val="24"/>
          <w:szCs w:val="28"/>
          <w:rtl/>
        </w:rPr>
        <w:t>–</w:t>
      </w:r>
      <w:r w:rsidRPr="009A072C">
        <w:rPr>
          <w:rFonts w:cs="Traditional Arabic" w:hint="cs"/>
          <w:color w:val="000000"/>
          <w:sz w:val="24"/>
          <w:szCs w:val="28"/>
          <w:rtl/>
        </w:rPr>
        <w:t xml:space="preserve"> فقرة 680</w:t>
      </w:r>
      <w:r>
        <w:rPr>
          <w:rFonts w:cs="Traditional Arabic" w:hint="cs"/>
          <w:color w:val="000000"/>
          <w:sz w:val="24"/>
          <w:szCs w:val="28"/>
          <w:rtl/>
        </w:rPr>
        <w:t xml:space="preserve"> .</w:t>
      </w:r>
    </w:p>
  </w:footnote>
  <w:footnote w:id="131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649 ص 1136</w:t>
      </w:r>
      <w:r>
        <w:rPr>
          <w:rFonts w:cs="Traditional Arabic" w:hint="cs"/>
          <w:color w:val="000000"/>
          <w:sz w:val="24"/>
          <w:szCs w:val="28"/>
          <w:rtl/>
        </w:rPr>
        <w:t xml:space="preserve"> .</w:t>
      </w:r>
    </w:p>
  </w:footnote>
  <w:footnote w:id="131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667</w:t>
      </w:r>
      <w:r>
        <w:rPr>
          <w:rFonts w:cs="Traditional Arabic" w:hint="cs"/>
          <w:color w:val="000000"/>
          <w:sz w:val="24"/>
          <w:szCs w:val="28"/>
          <w:rtl/>
        </w:rPr>
        <w:t xml:space="preserve"> .</w:t>
      </w:r>
    </w:p>
  </w:footnote>
  <w:footnote w:id="131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لوران 32 فقرة 205 </w:t>
      </w:r>
      <w:r w:rsidRPr="009A072C">
        <w:rPr>
          <w:rFonts w:cs="Traditional Arabic"/>
          <w:color w:val="000000"/>
          <w:sz w:val="24"/>
          <w:szCs w:val="28"/>
          <w:rtl/>
        </w:rPr>
        <w:t>–</w:t>
      </w:r>
      <w:r w:rsidRPr="009A072C">
        <w:rPr>
          <w:rFonts w:cs="Traditional Arabic" w:hint="cs"/>
          <w:color w:val="000000"/>
          <w:sz w:val="24"/>
          <w:szCs w:val="28"/>
          <w:rtl/>
        </w:rPr>
        <w:t xml:space="preserve"> هيك 14 فقرة 838 </w:t>
      </w:r>
      <w:r w:rsidRPr="009A072C">
        <w:rPr>
          <w:rFonts w:cs="Traditional Arabic"/>
          <w:color w:val="000000"/>
          <w:sz w:val="24"/>
          <w:szCs w:val="28"/>
          <w:rtl/>
        </w:rPr>
        <w:t>–</w:t>
      </w:r>
      <w:r w:rsidRPr="009A072C">
        <w:rPr>
          <w:rFonts w:cs="Traditional Arabic" w:hint="cs"/>
          <w:color w:val="000000"/>
          <w:sz w:val="24"/>
          <w:szCs w:val="28"/>
          <w:rtl/>
        </w:rPr>
        <w:t xml:space="preserve"> ترولون 1 فقرة 29</w:t>
      </w:r>
      <w:r>
        <w:rPr>
          <w:rFonts w:cs="Traditional Arabic" w:hint="cs"/>
          <w:color w:val="000000"/>
          <w:sz w:val="24"/>
          <w:szCs w:val="28"/>
          <w:rtl/>
        </w:rPr>
        <w:t xml:space="preserve"> .</w:t>
      </w:r>
    </w:p>
  </w:footnote>
  <w:footnote w:id="131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الوسيط 3 فقرة 674</w:t>
      </w:r>
      <w:r>
        <w:rPr>
          <w:rFonts w:cs="Traditional Arabic" w:hint="cs"/>
          <w:color w:val="000000"/>
          <w:sz w:val="24"/>
          <w:szCs w:val="28"/>
          <w:rtl/>
        </w:rPr>
        <w:t xml:space="preserve"> .</w:t>
      </w:r>
    </w:p>
  </w:footnote>
  <w:footnote w:id="132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rtl/>
        </w:rPr>
        <w:t xml:space="preserve"> :</w:t>
      </w:r>
      <w:r w:rsidRPr="009A072C">
        <w:rPr>
          <w:rFonts w:cs="Traditional Arabic" w:hint="cs"/>
          <w:color w:val="000000"/>
          <w:sz w:val="24"/>
          <w:szCs w:val="28"/>
          <w:rtl/>
        </w:rPr>
        <w:t xml:space="preserve"> ورد هذا النص في المادة 1505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w:t>
      </w:r>
      <w:r>
        <w:rPr>
          <w:rFonts w:cs="Traditional Arabic" w:hint="cs"/>
          <w:color w:val="000000"/>
          <w:sz w:val="24"/>
          <w:szCs w:val="28"/>
          <w:rtl/>
        </w:rPr>
        <w:t xml:space="preserve"> ،</w:t>
      </w:r>
      <w:r w:rsidRPr="009A072C">
        <w:rPr>
          <w:rFonts w:cs="Traditional Arabic" w:hint="cs"/>
          <w:color w:val="000000"/>
          <w:sz w:val="24"/>
          <w:szCs w:val="28"/>
          <w:rtl/>
        </w:rPr>
        <w:t xml:space="preserve"> تحت رقم 1185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1171</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1083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144 </w:t>
      </w:r>
      <w:r w:rsidRPr="009A072C">
        <w:rPr>
          <w:rFonts w:cs="Traditional Arabic"/>
          <w:color w:val="000000"/>
          <w:sz w:val="24"/>
          <w:szCs w:val="28"/>
          <w:rtl/>
        </w:rPr>
        <w:t>–</w:t>
      </w:r>
      <w:r w:rsidRPr="009A072C">
        <w:rPr>
          <w:rFonts w:cs="Traditional Arabic" w:hint="cs"/>
          <w:color w:val="000000"/>
          <w:sz w:val="24"/>
          <w:szCs w:val="28"/>
          <w:rtl/>
        </w:rPr>
        <w:t xml:space="preserve"> ص 145</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color w:val="000000"/>
          <w:sz w:val="24"/>
          <w:szCs w:val="28"/>
          <w:rtl/>
        </w:rPr>
      </w:pPr>
      <w:r w:rsidRPr="009A072C">
        <w:rPr>
          <w:rFonts w:cs="Traditional Arabic" w:hint="cs"/>
          <w:color w:val="000000"/>
          <w:sz w:val="24"/>
          <w:szCs w:val="28"/>
          <w:u w:val="single"/>
          <w:rtl/>
        </w:rPr>
        <w:t>التقنين المدني السابق</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p>
  </w:footnote>
  <w:footnote w:id="132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150</w:t>
      </w:r>
      <w:r>
        <w:rPr>
          <w:rFonts w:cs="Traditional Arabic" w:hint="cs"/>
          <w:color w:val="000000"/>
          <w:sz w:val="24"/>
          <w:szCs w:val="28"/>
          <w:rtl/>
        </w:rPr>
        <w:t xml:space="preserve"> .</w:t>
      </w:r>
    </w:p>
  </w:footnote>
  <w:footnote w:id="132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hint="cs"/>
          <w:color w:val="000000"/>
          <w:sz w:val="24"/>
          <w:szCs w:val="28"/>
          <w:u w:val="single"/>
          <w:rtl/>
        </w:rPr>
        <w:t>تاريخ النص</w:t>
      </w:r>
      <w:r>
        <w:rPr>
          <w:rFonts w:cs="Traditional Arabic" w:hint="cs"/>
          <w:color w:val="000000"/>
          <w:sz w:val="24"/>
          <w:szCs w:val="28"/>
          <w:u w:val="single"/>
          <w:rtl/>
        </w:rPr>
        <w:t xml:space="preserve"> :</w:t>
      </w:r>
      <w:r w:rsidRPr="009A072C">
        <w:rPr>
          <w:rFonts w:cs="Traditional Arabic" w:hint="cs"/>
          <w:color w:val="000000"/>
          <w:sz w:val="24"/>
          <w:szCs w:val="28"/>
          <w:rtl/>
        </w:rPr>
        <w:t xml:space="preserve"> ورد هذا النص في المادة 1056 من المشروع التمهيدي</w:t>
      </w:r>
      <w:r>
        <w:rPr>
          <w:rFonts w:cs="Traditional Arabic" w:hint="cs"/>
          <w:color w:val="000000"/>
          <w:sz w:val="24"/>
          <w:szCs w:val="28"/>
          <w:rtl/>
        </w:rPr>
        <w:t xml:space="preserve"> ،</w:t>
      </w:r>
      <w:r w:rsidRPr="009A072C">
        <w:rPr>
          <w:rFonts w:cs="Traditional Arabic" w:hint="cs"/>
          <w:color w:val="000000"/>
          <w:sz w:val="24"/>
          <w:szCs w:val="28"/>
          <w:rtl/>
        </w:rPr>
        <w:t xml:space="preserve"> على وجه مطابق لما استقر عليه في التقنين المدني الجديد</w:t>
      </w:r>
      <w:r>
        <w:rPr>
          <w:rFonts w:cs="Traditional Arabic" w:hint="cs"/>
          <w:color w:val="000000"/>
          <w:sz w:val="24"/>
          <w:szCs w:val="28"/>
          <w:rtl/>
        </w:rPr>
        <w:t xml:space="preserve"> .</w:t>
      </w:r>
      <w:r w:rsidRPr="009A072C">
        <w:rPr>
          <w:rFonts w:cs="Traditional Arabic" w:hint="cs"/>
          <w:color w:val="000000"/>
          <w:sz w:val="24"/>
          <w:szCs w:val="28"/>
          <w:rtl/>
        </w:rPr>
        <w:t xml:space="preserve"> وأقرته لجنة المراجعة تحت رقم 1186 في المشروع النهائي</w:t>
      </w:r>
      <w:r>
        <w:rPr>
          <w:rFonts w:cs="Traditional Arabic" w:hint="cs"/>
          <w:color w:val="000000"/>
          <w:sz w:val="24"/>
          <w:szCs w:val="28"/>
          <w:rtl/>
        </w:rPr>
        <w:t xml:space="preserve"> .</w:t>
      </w:r>
      <w:r w:rsidRPr="009A072C">
        <w:rPr>
          <w:rFonts w:cs="Traditional Arabic" w:hint="cs"/>
          <w:color w:val="000000"/>
          <w:sz w:val="24"/>
          <w:szCs w:val="28"/>
          <w:rtl/>
        </w:rPr>
        <w:t xml:space="preserve"> ووافق عليه مجلس النواب تحت رقم 1172</w:t>
      </w:r>
      <w:r>
        <w:rPr>
          <w:rFonts w:cs="Traditional Arabic" w:hint="cs"/>
          <w:color w:val="000000"/>
          <w:sz w:val="24"/>
          <w:szCs w:val="28"/>
          <w:rtl/>
        </w:rPr>
        <w:t xml:space="preserve"> ،</w:t>
      </w:r>
      <w:r w:rsidRPr="009A072C">
        <w:rPr>
          <w:rFonts w:cs="Traditional Arabic" w:hint="cs"/>
          <w:color w:val="000000"/>
          <w:sz w:val="24"/>
          <w:szCs w:val="28"/>
          <w:rtl/>
        </w:rPr>
        <w:t xml:space="preserve"> ثم مجلس الشيوخ تحت رقم 1084 </w:t>
      </w:r>
      <w:r>
        <w:rPr>
          <w:rFonts w:cs="Traditional Arabic" w:hint="cs"/>
          <w:color w:val="000000"/>
          <w:sz w:val="24"/>
          <w:szCs w:val="28"/>
          <w:rtl/>
        </w:rPr>
        <w:t xml:space="preserve">( </w:t>
      </w:r>
      <w:r w:rsidRPr="009A072C">
        <w:rPr>
          <w:rFonts w:cs="Traditional Arabic" w:hint="cs"/>
          <w:color w:val="000000"/>
          <w:sz w:val="24"/>
          <w:szCs w:val="28"/>
          <w:rtl/>
        </w:rPr>
        <w:t xml:space="preserve">مجموعة الأعمال التحضيرية 7 ص 146 </w:t>
      </w:r>
      <w:r w:rsidRPr="009A072C">
        <w:rPr>
          <w:rFonts w:cs="Traditional Arabic"/>
          <w:color w:val="000000"/>
          <w:sz w:val="24"/>
          <w:szCs w:val="28"/>
          <w:rtl/>
        </w:rPr>
        <w:t>–</w:t>
      </w:r>
      <w:r w:rsidRPr="009A072C">
        <w:rPr>
          <w:rFonts w:cs="Traditional Arabic" w:hint="cs"/>
          <w:color w:val="000000"/>
          <w:sz w:val="24"/>
          <w:szCs w:val="28"/>
          <w:rtl/>
        </w:rPr>
        <w:t xml:space="preserve"> ص 151</w:t>
      </w:r>
      <w:r>
        <w:rPr>
          <w:rFonts w:cs="Traditional Arabic" w:hint="cs"/>
          <w:color w:val="000000"/>
          <w:sz w:val="24"/>
          <w:szCs w:val="28"/>
          <w:rtl/>
        </w:rPr>
        <w:t xml:space="preserve"> ) .</w:t>
      </w:r>
    </w:p>
    <w:p w:rsidR="00F72742" w:rsidRPr="009A072C" w:rsidRDefault="00F72742" w:rsidP="00F72742">
      <w:pPr>
        <w:pStyle w:val="aa"/>
        <w:widowControl w:val="0"/>
        <w:ind w:firstLine="567"/>
        <w:jc w:val="lowKashida"/>
        <w:rPr>
          <w:rFonts w:cs="Traditional Arabic" w:hint="cs"/>
          <w:b/>
          <w:bCs/>
          <w:color w:val="000000"/>
          <w:sz w:val="24"/>
          <w:szCs w:val="28"/>
          <w:u w:val="single"/>
          <w:rtl/>
        </w:rPr>
      </w:pPr>
      <w:r w:rsidRPr="009A072C">
        <w:rPr>
          <w:rFonts w:cs="Traditional Arabic" w:hint="cs"/>
          <w:color w:val="000000"/>
          <w:sz w:val="24"/>
          <w:szCs w:val="28"/>
          <w:u w:val="single"/>
          <w:rtl/>
        </w:rPr>
        <w:t>التقنين المدني الوطني</w:t>
      </w:r>
      <w:r>
        <w:rPr>
          <w:rFonts w:cs="Traditional Arabic" w:hint="cs"/>
          <w:color w:val="000000"/>
          <w:sz w:val="24"/>
          <w:szCs w:val="28"/>
          <w:rtl/>
        </w:rPr>
        <w:t xml:space="preserve"> :</w:t>
      </w:r>
      <w:r w:rsidRPr="009A072C">
        <w:rPr>
          <w:rFonts w:cs="Traditional Arabic" w:hint="cs"/>
          <w:color w:val="000000"/>
          <w:sz w:val="24"/>
          <w:szCs w:val="28"/>
          <w:rtl/>
        </w:rPr>
        <w:t xml:space="preserve"> لا مقابل</w:t>
      </w:r>
      <w:r>
        <w:rPr>
          <w:rFonts w:cs="Traditional Arabic" w:hint="cs"/>
          <w:color w:val="000000"/>
          <w:sz w:val="24"/>
          <w:szCs w:val="28"/>
          <w:rtl/>
        </w:rPr>
        <w:t xml:space="preserve"> .</w:t>
      </w:r>
      <w:r w:rsidRPr="009A072C">
        <w:rPr>
          <w:rFonts w:cs="Traditional Arabic" w:hint="cs"/>
          <w:color w:val="000000"/>
          <w:sz w:val="24"/>
          <w:szCs w:val="28"/>
          <w:rtl/>
        </w:rPr>
        <w:t xml:space="preserve"> ويقابله المادة 675 مرافعات مختلط</w:t>
      </w:r>
      <w:r>
        <w:rPr>
          <w:rFonts w:cs="Traditional Arabic" w:hint="cs"/>
          <w:color w:val="000000"/>
          <w:sz w:val="24"/>
          <w:szCs w:val="28"/>
          <w:rtl/>
        </w:rPr>
        <w:t xml:space="preserve"> .</w:t>
      </w:r>
    </w:p>
  </w:footnote>
  <w:footnote w:id="132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150</w:t>
      </w:r>
      <w:r>
        <w:rPr>
          <w:rFonts w:cs="Traditional Arabic" w:hint="cs"/>
          <w:color w:val="000000"/>
          <w:sz w:val="24"/>
          <w:szCs w:val="28"/>
          <w:rtl/>
        </w:rPr>
        <w:t xml:space="preserve"> .</w:t>
      </w:r>
    </w:p>
  </w:footnote>
  <w:footnote w:id="132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الاستئناف المختلطة بأن بعد انقضاء حق الرهن ببيع العقار المرهون جبرا</w:t>
      </w:r>
      <w:r>
        <w:rPr>
          <w:rFonts w:cs="Traditional Arabic" w:hint="cs"/>
          <w:color w:val="000000"/>
          <w:sz w:val="24"/>
          <w:szCs w:val="28"/>
          <w:rtl/>
        </w:rPr>
        <w:t xml:space="preserve"> .</w:t>
      </w:r>
      <w:r w:rsidRPr="009A072C">
        <w:rPr>
          <w:rFonts w:cs="Traditional Arabic" w:hint="cs"/>
          <w:color w:val="000000"/>
          <w:sz w:val="24"/>
          <w:szCs w:val="28"/>
          <w:rtl/>
        </w:rPr>
        <w:t xml:space="preserve"> لا تجوز إعادة حق الرهن بموجب اتفاق عرفي خاص </w:t>
      </w:r>
      <w:r>
        <w:rPr>
          <w:rFonts w:cs="Traditional Arabic" w:hint="cs"/>
          <w:color w:val="000000"/>
          <w:sz w:val="24"/>
          <w:szCs w:val="28"/>
          <w:rtl/>
        </w:rPr>
        <w:t xml:space="preserve">( </w:t>
      </w:r>
      <w:r w:rsidRPr="009A072C">
        <w:rPr>
          <w:rFonts w:cs="Traditional Arabic" w:hint="cs"/>
          <w:color w:val="000000"/>
          <w:sz w:val="24"/>
          <w:szCs w:val="28"/>
          <w:rtl/>
        </w:rPr>
        <w:t>استئناف مختلط 19 مارس سنة 1931م 43 ص 302</w:t>
      </w:r>
      <w:r>
        <w:rPr>
          <w:rFonts w:cs="Traditional Arabic" w:hint="cs"/>
          <w:color w:val="000000"/>
          <w:sz w:val="24"/>
          <w:szCs w:val="28"/>
          <w:rtl/>
        </w:rPr>
        <w:t xml:space="preserve"> ) .</w:t>
      </w:r>
      <w:r w:rsidRPr="009A072C">
        <w:rPr>
          <w:rFonts w:cs="Traditional Arabic" w:hint="cs"/>
          <w:color w:val="000000"/>
          <w:sz w:val="24"/>
          <w:szCs w:val="28"/>
          <w:rtl/>
        </w:rPr>
        <w:t xml:space="preserve"> وقضت أيضاً بأنه إذا بيع العقار المرهون جبرا ورسا مزاده على الدائن المرتهن فانقضى الرهن</w:t>
      </w:r>
      <w:r>
        <w:rPr>
          <w:rFonts w:cs="Traditional Arabic" w:hint="cs"/>
          <w:color w:val="000000"/>
          <w:sz w:val="24"/>
          <w:szCs w:val="28"/>
          <w:rtl/>
        </w:rPr>
        <w:t xml:space="preserve"> ،</w:t>
      </w:r>
      <w:r w:rsidRPr="009A072C">
        <w:rPr>
          <w:rFonts w:cs="Traditional Arabic" w:hint="cs"/>
          <w:color w:val="000000"/>
          <w:sz w:val="24"/>
          <w:szCs w:val="28"/>
          <w:rtl/>
        </w:rPr>
        <w:t xml:space="preserve"> ثم أبطلت إجراءات نزع الملكية وأعيدت بناء على طلب دائن آخر</w:t>
      </w:r>
      <w:r>
        <w:rPr>
          <w:rFonts w:cs="Traditional Arabic" w:hint="cs"/>
          <w:color w:val="000000"/>
          <w:sz w:val="24"/>
          <w:szCs w:val="28"/>
          <w:rtl/>
        </w:rPr>
        <w:t xml:space="preserve"> ،</w:t>
      </w:r>
      <w:r w:rsidRPr="009A072C">
        <w:rPr>
          <w:rFonts w:cs="Traditional Arabic" w:hint="cs"/>
          <w:color w:val="000000"/>
          <w:sz w:val="24"/>
          <w:szCs w:val="28"/>
          <w:rtl/>
        </w:rPr>
        <w:t xml:space="preserve"> عاد رهن الدائن الأول إلى الظهور ووجب اعتباره عند إعادة التوزيع </w:t>
      </w:r>
      <w:r>
        <w:rPr>
          <w:rFonts w:cs="Traditional Arabic" w:hint="cs"/>
          <w:color w:val="000000"/>
          <w:sz w:val="24"/>
          <w:szCs w:val="28"/>
          <w:rtl/>
        </w:rPr>
        <w:t xml:space="preserve">( </w:t>
      </w:r>
      <w:r w:rsidRPr="009A072C">
        <w:rPr>
          <w:rFonts w:cs="Traditional Arabic" w:hint="cs"/>
          <w:color w:val="000000"/>
          <w:sz w:val="24"/>
          <w:szCs w:val="28"/>
          <w:rtl/>
        </w:rPr>
        <w:t xml:space="preserve">استئناف مختلط 3 ديسمبر سنة </w:t>
      </w:r>
      <w:smartTag w:uri="urn:schemas-microsoft-com:office:smarttags" w:element="metricconverter">
        <w:smartTagPr>
          <w:attr w:name="ProductID" w:val="1910 م"/>
        </w:smartTagPr>
        <w:r w:rsidRPr="009A072C">
          <w:rPr>
            <w:rFonts w:cs="Traditional Arabic" w:hint="cs"/>
            <w:color w:val="000000"/>
            <w:sz w:val="24"/>
            <w:szCs w:val="28"/>
            <w:rtl/>
          </w:rPr>
          <w:t>1910 م</w:t>
        </w:r>
      </w:smartTag>
      <w:r w:rsidRPr="009A072C">
        <w:rPr>
          <w:rFonts w:cs="Traditional Arabic" w:hint="cs"/>
          <w:color w:val="000000"/>
          <w:sz w:val="24"/>
          <w:szCs w:val="28"/>
          <w:rtl/>
        </w:rPr>
        <w:t xml:space="preserve"> 43 ص 69</w:t>
      </w:r>
      <w:r>
        <w:rPr>
          <w:rFonts w:cs="Traditional Arabic" w:hint="cs"/>
          <w:color w:val="000000"/>
          <w:sz w:val="24"/>
          <w:szCs w:val="28"/>
          <w:rtl/>
        </w:rPr>
        <w:t xml:space="preserve"> ) .</w:t>
      </w:r>
    </w:p>
  </w:footnote>
  <w:footnote w:id="132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آنفاً فقرة 371</w:t>
      </w:r>
      <w:r>
        <w:rPr>
          <w:rFonts w:cs="Traditional Arabic" w:hint="cs"/>
          <w:color w:val="000000"/>
          <w:sz w:val="24"/>
          <w:szCs w:val="28"/>
          <w:rtl/>
        </w:rPr>
        <w:t xml:space="preserve"> .</w:t>
      </w:r>
    </w:p>
  </w:footnote>
  <w:footnote w:id="132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146 في الهامش</w:t>
      </w:r>
      <w:r>
        <w:rPr>
          <w:rFonts w:cs="Traditional Arabic" w:hint="cs"/>
          <w:color w:val="000000"/>
          <w:sz w:val="24"/>
          <w:szCs w:val="28"/>
          <w:rtl/>
        </w:rPr>
        <w:t xml:space="preserve"> .</w:t>
      </w:r>
    </w:p>
  </w:footnote>
  <w:footnote w:id="132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في الهامش</w:t>
      </w:r>
      <w:r>
        <w:rPr>
          <w:rFonts w:cs="Traditional Arabic" w:hint="cs"/>
          <w:color w:val="000000"/>
          <w:sz w:val="24"/>
          <w:szCs w:val="28"/>
          <w:rtl/>
        </w:rPr>
        <w:t xml:space="preserve"> .</w:t>
      </w:r>
    </w:p>
  </w:footnote>
  <w:footnote w:id="132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2261</w:t>
      </w:r>
      <w:r>
        <w:rPr>
          <w:rFonts w:cs="Traditional Arabic" w:hint="cs"/>
          <w:color w:val="000000"/>
          <w:sz w:val="24"/>
          <w:szCs w:val="28"/>
          <w:rtl/>
        </w:rPr>
        <w:t xml:space="preserve"> .</w:t>
      </w:r>
    </w:p>
  </w:footnote>
  <w:footnote w:id="132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ترولون 4 فقرة 869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2262</w:t>
      </w:r>
      <w:r>
        <w:rPr>
          <w:rFonts w:cs="Traditional Arabic" w:hint="cs"/>
          <w:color w:val="000000"/>
          <w:sz w:val="24"/>
          <w:szCs w:val="28"/>
          <w:rtl/>
        </w:rPr>
        <w:t xml:space="preserve"> .</w:t>
      </w:r>
    </w:p>
  </w:footnote>
  <w:footnote w:id="133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جيوار فقرة 1908 </w:t>
      </w:r>
      <w:r w:rsidRPr="009A072C">
        <w:rPr>
          <w:rFonts w:cs="Traditional Arabic"/>
          <w:color w:val="000000"/>
          <w:sz w:val="24"/>
          <w:szCs w:val="28"/>
          <w:rtl/>
        </w:rPr>
        <w:t>–</w:t>
      </w:r>
      <w:r w:rsidRPr="009A072C">
        <w:rPr>
          <w:rFonts w:cs="Traditional Arabic" w:hint="cs"/>
          <w:color w:val="000000"/>
          <w:sz w:val="24"/>
          <w:szCs w:val="28"/>
          <w:rtl/>
        </w:rPr>
        <w:t xml:space="preserve"> بودري ودي لوان فقرة 2227 وفقرة 2262 </w:t>
      </w:r>
      <w:r w:rsidRPr="009A072C">
        <w:rPr>
          <w:rFonts w:cs="Traditional Arabic"/>
          <w:color w:val="000000"/>
          <w:sz w:val="24"/>
          <w:szCs w:val="28"/>
          <w:rtl/>
        </w:rPr>
        <w:t>–</w:t>
      </w:r>
      <w:r w:rsidRPr="009A072C">
        <w:rPr>
          <w:rFonts w:cs="Traditional Arabic" w:hint="cs"/>
          <w:color w:val="000000"/>
          <w:sz w:val="24"/>
          <w:szCs w:val="28"/>
          <w:rtl/>
        </w:rPr>
        <w:t xml:space="preserve"> أوبري ورو 3 فقرة 292 وهامش 20 وهامش 32</w:t>
      </w:r>
      <w:r>
        <w:rPr>
          <w:rFonts w:cs="Traditional Arabic" w:hint="cs"/>
          <w:color w:val="000000"/>
          <w:sz w:val="24"/>
          <w:szCs w:val="28"/>
          <w:rtl/>
        </w:rPr>
        <w:t xml:space="preserve"> .</w:t>
      </w:r>
    </w:p>
  </w:footnote>
  <w:footnote w:id="133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9 فبراير سنة </w:t>
      </w:r>
      <w:smartTag w:uri="urn:schemas-microsoft-com:office:smarttags" w:element="metricconverter">
        <w:smartTagPr>
          <w:attr w:name="ProductID" w:val="1898 م"/>
        </w:smartTagPr>
        <w:r w:rsidRPr="009A072C">
          <w:rPr>
            <w:rFonts w:cs="Traditional Arabic" w:hint="cs"/>
            <w:color w:val="000000"/>
            <w:sz w:val="24"/>
            <w:szCs w:val="28"/>
            <w:rtl/>
          </w:rPr>
          <w:t>1898 م</w:t>
        </w:r>
      </w:smartTag>
      <w:r w:rsidRPr="009A072C">
        <w:rPr>
          <w:rFonts w:cs="Traditional Arabic" w:hint="cs"/>
          <w:color w:val="000000"/>
          <w:sz w:val="24"/>
          <w:szCs w:val="28"/>
          <w:rtl/>
        </w:rPr>
        <w:t xml:space="preserve"> 10 ص 124</w:t>
      </w:r>
      <w:r>
        <w:rPr>
          <w:rFonts w:cs="Traditional Arabic" w:hint="cs"/>
          <w:color w:val="000000"/>
          <w:sz w:val="24"/>
          <w:szCs w:val="28"/>
          <w:rtl/>
        </w:rPr>
        <w:t xml:space="preserve"> .</w:t>
      </w:r>
    </w:p>
  </w:footnote>
  <w:footnote w:id="133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10 أبريل سنة </w:t>
      </w:r>
      <w:smartTag w:uri="urn:schemas-microsoft-com:office:smarttags" w:element="metricconverter">
        <w:smartTagPr>
          <w:attr w:name="ProductID" w:val="1913 م"/>
        </w:smartTagPr>
        <w:r w:rsidRPr="009A072C">
          <w:rPr>
            <w:rFonts w:cs="Traditional Arabic" w:hint="cs"/>
            <w:color w:val="000000"/>
            <w:sz w:val="24"/>
            <w:szCs w:val="28"/>
            <w:rtl/>
          </w:rPr>
          <w:t>1913 م</w:t>
        </w:r>
      </w:smartTag>
      <w:r w:rsidRPr="009A072C">
        <w:rPr>
          <w:rFonts w:cs="Traditional Arabic" w:hint="cs"/>
          <w:color w:val="000000"/>
          <w:sz w:val="24"/>
          <w:szCs w:val="28"/>
          <w:rtl/>
        </w:rPr>
        <w:t xml:space="preserve"> 25 ص 308</w:t>
      </w:r>
      <w:r>
        <w:rPr>
          <w:rFonts w:cs="Traditional Arabic" w:hint="cs"/>
          <w:color w:val="000000"/>
          <w:sz w:val="24"/>
          <w:szCs w:val="28"/>
          <w:rtl/>
        </w:rPr>
        <w:t xml:space="preserve"> .</w:t>
      </w:r>
    </w:p>
  </w:footnote>
  <w:footnote w:id="133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ترولون 4 فقرة 868  - بودري ودي لوان فقرة 2259</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33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11 أبريل سنة 1946 مجموعة عمر 5 رقم 61 ص 149</w:t>
      </w:r>
      <w:r>
        <w:rPr>
          <w:rFonts w:cs="Traditional Arabic" w:hint="cs"/>
          <w:color w:val="000000"/>
          <w:sz w:val="24"/>
          <w:szCs w:val="28"/>
          <w:rtl/>
        </w:rPr>
        <w:t xml:space="preserve"> .</w:t>
      </w:r>
      <w:r w:rsidRPr="009A072C">
        <w:rPr>
          <w:rFonts w:cs="Traditional Arabic" w:hint="cs"/>
          <w:color w:val="000000"/>
          <w:sz w:val="24"/>
          <w:szCs w:val="28"/>
          <w:rtl/>
        </w:rPr>
        <w:t xml:space="preserve"> </w:t>
      </w:r>
    </w:p>
  </w:footnote>
  <w:footnote w:id="133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بودري ودي لوان فقرة 2259</w:t>
      </w:r>
      <w:r>
        <w:rPr>
          <w:rFonts w:cs="Traditional Arabic" w:hint="cs"/>
          <w:color w:val="000000"/>
          <w:sz w:val="24"/>
          <w:szCs w:val="28"/>
          <w:rtl/>
        </w:rPr>
        <w:t xml:space="preserve"> .</w:t>
      </w:r>
    </w:p>
  </w:footnote>
  <w:footnote w:id="133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محمد كامل مرسي فقرة 216 ص 286</w:t>
      </w:r>
      <w:r>
        <w:rPr>
          <w:rFonts w:cs="Traditional Arabic" w:hint="cs"/>
          <w:color w:val="000000"/>
          <w:sz w:val="24"/>
          <w:szCs w:val="28"/>
          <w:rtl/>
        </w:rPr>
        <w:t xml:space="preserve"> .</w:t>
      </w:r>
    </w:p>
  </w:footnote>
  <w:footnote w:id="133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147 في الهامش</w:t>
      </w:r>
      <w:r>
        <w:rPr>
          <w:rFonts w:cs="Traditional Arabic" w:hint="cs"/>
          <w:color w:val="000000"/>
          <w:sz w:val="24"/>
          <w:szCs w:val="28"/>
          <w:rtl/>
        </w:rPr>
        <w:t xml:space="preserve"> .</w:t>
      </w:r>
    </w:p>
  </w:footnote>
  <w:footnote w:id="133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في الهامش</w:t>
      </w:r>
      <w:r>
        <w:rPr>
          <w:rFonts w:cs="Traditional Arabic" w:hint="cs"/>
          <w:color w:val="000000"/>
          <w:sz w:val="24"/>
          <w:szCs w:val="28"/>
          <w:rtl/>
        </w:rPr>
        <w:t xml:space="preserve"> .</w:t>
      </w:r>
    </w:p>
  </w:footnote>
  <w:footnote w:id="133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147 في الهامش</w:t>
      </w:r>
      <w:r>
        <w:rPr>
          <w:rFonts w:cs="Traditional Arabic" w:hint="cs"/>
          <w:color w:val="000000"/>
          <w:sz w:val="24"/>
          <w:szCs w:val="28"/>
          <w:rtl/>
        </w:rPr>
        <w:t xml:space="preserve"> .</w:t>
      </w:r>
    </w:p>
  </w:footnote>
  <w:footnote w:id="134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في الهامش</w:t>
      </w:r>
      <w:r>
        <w:rPr>
          <w:rFonts w:cs="Traditional Arabic" w:hint="cs"/>
          <w:color w:val="000000"/>
          <w:sz w:val="24"/>
          <w:szCs w:val="28"/>
          <w:rtl/>
        </w:rPr>
        <w:t xml:space="preserve"> .</w:t>
      </w:r>
    </w:p>
  </w:footnote>
  <w:footnote w:id="134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1228 </w:t>
      </w:r>
      <w:r w:rsidRPr="009A072C">
        <w:rPr>
          <w:rFonts w:cs="Traditional Arabic"/>
          <w:color w:val="000000"/>
          <w:sz w:val="24"/>
          <w:szCs w:val="28"/>
          <w:rtl/>
        </w:rPr>
        <w:t>–</w:t>
      </w:r>
      <w:r w:rsidRPr="009A072C">
        <w:rPr>
          <w:rFonts w:cs="Traditional Arabic" w:hint="cs"/>
          <w:color w:val="000000"/>
          <w:sz w:val="24"/>
          <w:szCs w:val="28"/>
          <w:rtl/>
        </w:rPr>
        <w:t xml:space="preserve"> سليمان مرقس فقرة 192 ص 291</w:t>
      </w:r>
      <w:r>
        <w:rPr>
          <w:rFonts w:cs="Traditional Arabic" w:hint="cs"/>
          <w:color w:val="000000"/>
          <w:sz w:val="24"/>
          <w:szCs w:val="28"/>
          <w:rtl/>
        </w:rPr>
        <w:t xml:space="preserve"> .</w:t>
      </w:r>
    </w:p>
  </w:footnote>
  <w:footnote w:id="134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بيدان وفواران فقرة 1229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وبولانجيه 2 فقرة 6033 </w:t>
      </w:r>
      <w:r w:rsidRPr="009A072C">
        <w:rPr>
          <w:rFonts w:cs="Traditional Arabic"/>
          <w:color w:val="000000"/>
          <w:sz w:val="24"/>
          <w:szCs w:val="28"/>
          <w:rtl/>
        </w:rPr>
        <w:t>–</w:t>
      </w:r>
      <w:r w:rsidRPr="009A072C">
        <w:rPr>
          <w:rFonts w:cs="Traditional Arabic" w:hint="cs"/>
          <w:color w:val="000000"/>
          <w:sz w:val="24"/>
          <w:szCs w:val="28"/>
          <w:rtl/>
        </w:rPr>
        <w:t xml:space="preserve"> محمد كامل مرسي فقرة 192 ص 292</w:t>
      </w:r>
      <w:r>
        <w:rPr>
          <w:rFonts w:cs="Traditional Arabic" w:hint="cs"/>
          <w:color w:val="000000"/>
          <w:sz w:val="24"/>
          <w:szCs w:val="28"/>
          <w:rtl/>
        </w:rPr>
        <w:t xml:space="preserve"> .</w:t>
      </w:r>
    </w:p>
  </w:footnote>
  <w:footnote w:id="134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في الهامش</w:t>
      </w:r>
      <w:r>
        <w:rPr>
          <w:rFonts w:cs="Traditional Arabic" w:hint="cs"/>
          <w:color w:val="000000"/>
          <w:sz w:val="24"/>
          <w:szCs w:val="28"/>
          <w:rtl/>
        </w:rPr>
        <w:t xml:space="preserve"> .</w:t>
      </w:r>
    </w:p>
  </w:footnote>
  <w:footnote w:id="134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148 </w:t>
      </w:r>
      <w:r w:rsidRPr="009A072C">
        <w:rPr>
          <w:rFonts w:cs="Traditional Arabic"/>
          <w:color w:val="000000"/>
          <w:sz w:val="24"/>
          <w:szCs w:val="28"/>
          <w:rtl/>
        </w:rPr>
        <w:t>–</w:t>
      </w:r>
      <w:r w:rsidRPr="009A072C">
        <w:rPr>
          <w:rFonts w:cs="Traditional Arabic" w:hint="cs"/>
          <w:color w:val="000000"/>
          <w:sz w:val="24"/>
          <w:szCs w:val="28"/>
          <w:rtl/>
        </w:rPr>
        <w:t xml:space="preserve"> ص 150 في الهامش</w:t>
      </w:r>
      <w:r>
        <w:rPr>
          <w:rFonts w:cs="Traditional Arabic" w:hint="cs"/>
          <w:color w:val="000000"/>
          <w:sz w:val="24"/>
          <w:szCs w:val="28"/>
          <w:rtl/>
        </w:rPr>
        <w:t xml:space="preserve"> .</w:t>
      </w:r>
    </w:p>
  </w:footnote>
  <w:footnote w:id="1345">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مجموعة الأعمال التحضيرية 7 ص 147 </w:t>
      </w:r>
      <w:r w:rsidRPr="009A072C">
        <w:rPr>
          <w:rFonts w:cs="Traditional Arabic"/>
          <w:color w:val="000000"/>
          <w:sz w:val="24"/>
          <w:szCs w:val="28"/>
          <w:rtl/>
        </w:rPr>
        <w:t>–</w:t>
      </w:r>
      <w:r w:rsidRPr="009A072C">
        <w:rPr>
          <w:rFonts w:cs="Traditional Arabic" w:hint="cs"/>
          <w:color w:val="000000"/>
          <w:sz w:val="24"/>
          <w:szCs w:val="28"/>
          <w:rtl/>
        </w:rPr>
        <w:t xml:space="preserve"> ص 148 في الهامش</w:t>
      </w:r>
      <w:r>
        <w:rPr>
          <w:rFonts w:cs="Traditional Arabic" w:hint="cs"/>
          <w:color w:val="000000"/>
          <w:sz w:val="24"/>
          <w:szCs w:val="28"/>
          <w:rtl/>
        </w:rPr>
        <w:t xml:space="preserve"> .</w:t>
      </w:r>
    </w:p>
  </w:footnote>
  <w:footnote w:id="1346">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بلانيول وريبير وبولانجيه 2 فقرة 4028 </w:t>
      </w:r>
      <w:r w:rsidRPr="009A072C">
        <w:rPr>
          <w:rFonts w:cs="Traditional Arabic"/>
          <w:color w:val="000000"/>
          <w:sz w:val="24"/>
          <w:szCs w:val="28"/>
          <w:rtl/>
        </w:rPr>
        <w:t>–</w:t>
      </w:r>
      <w:r w:rsidRPr="009A072C">
        <w:rPr>
          <w:rFonts w:cs="Traditional Arabic" w:hint="cs"/>
          <w:color w:val="000000"/>
          <w:sz w:val="24"/>
          <w:szCs w:val="28"/>
          <w:rtl/>
        </w:rPr>
        <w:t xml:space="preserve"> فقرة 4031 </w:t>
      </w:r>
      <w:r w:rsidRPr="009A072C">
        <w:rPr>
          <w:rFonts w:cs="Traditional Arabic"/>
          <w:color w:val="000000"/>
          <w:sz w:val="24"/>
          <w:szCs w:val="28"/>
          <w:rtl/>
        </w:rPr>
        <w:t>–</w:t>
      </w:r>
      <w:r w:rsidRPr="009A072C">
        <w:rPr>
          <w:rFonts w:cs="Traditional Arabic" w:hint="cs"/>
          <w:color w:val="000000"/>
          <w:sz w:val="24"/>
          <w:szCs w:val="28"/>
          <w:rtl/>
        </w:rPr>
        <w:t xml:space="preserve"> كولان وكابيتان 2 فقرة 1926 </w:t>
      </w:r>
      <w:r w:rsidRPr="009A072C">
        <w:rPr>
          <w:rFonts w:cs="Traditional Arabic"/>
          <w:color w:val="000000"/>
          <w:sz w:val="24"/>
          <w:szCs w:val="28"/>
          <w:rtl/>
        </w:rPr>
        <w:t>–</w:t>
      </w:r>
      <w:r w:rsidRPr="009A072C">
        <w:rPr>
          <w:rFonts w:cs="Traditional Arabic" w:hint="cs"/>
          <w:color w:val="000000"/>
          <w:sz w:val="24"/>
          <w:szCs w:val="28"/>
          <w:rtl/>
        </w:rPr>
        <w:t xml:space="preserve"> فقرة 1933 </w:t>
      </w:r>
      <w:r>
        <w:rPr>
          <w:rFonts w:cs="Traditional Arabic" w:hint="cs"/>
          <w:color w:val="000000"/>
          <w:sz w:val="24"/>
          <w:szCs w:val="28"/>
          <w:rtl/>
        </w:rPr>
        <w:t xml:space="preserve">( </w:t>
      </w:r>
      <w:r w:rsidRPr="009A072C">
        <w:rPr>
          <w:rFonts w:cs="Traditional Arabic" w:hint="cs"/>
          <w:color w:val="000000"/>
          <w:sz w:val="24"/>
          <w:szCs w:val="28"/>
          <w:rtl/>
        </w:rPr>
        <w:t>ويعترض في الفقرة الأخيرة 1933</w:t>
      </w:r>
      <w:r>
        <w:rPr>
          <w:rFonts w:cs="Traditional Arabic" w:hint="cs"/>
          <w:color w:val="000000"/>
          <w:sz w:val="24"/>
          <w:szCs w:val="28"/>
          <w:rtl/>
        </w:rPr>
        <w:t xml:space="preserve"> )</w:t>
      </w:r>
      <w:r w:rsidRPr="009A072C">
        <w:rPr>
          <w:rFonts w:cs="Traditional Arabic" w:hint="cs"/>
          <w:color w:val="000000"/>
          <w:sz w:val="24"/>
          <w:szCs w:val="28"/>
          <w:rtl/>
        </w:rPr>
        <w:t xml:space="preserve"> </w:t>
      </w:r>
      <w:r w:rsidRPr="009A072C">
        <w:rPr>
          <w:rFonts w:cs="Traditional Arabic"/>
          <w:color w:val="000000"/>
          <w:sz w:val="24"/>
          <w:szCs w:val="28"/>
          <w:rtl/>
        </w:rPr>
        <w:t>–</w:t>
      </w:r>
      <w:r w:rsidRPr="009A072C">
        <w:rPr>
          <w:rFonts w:cs="Traditional Arabic" w:hint="cs"/>
          <w:color w:val="000000"/>
          <w:sz w:val="24"/>
          <w:szCs w:val="28"/>
          <w:rtl/>
        </w:rPr>
        <w:t xml:space="preserve"> جوسران 2 فقرة 1957 </w:t>
      </w:r>
      <w:r w:rsidRPr="009A072C">
        <w:rPr>
          <w:rFonts w:cs="Traditional Arabic"/>
          <w:color w:val="000000"/>
          <w:sz w:val="24"/>
          <w:szCs w:val="28"/>
          <w:rtl/>
        </w:rPr>
        <w:t>–</w:t>
      </w:r>
      <w:r w:rsidRPr="009A072C">
        <w:rPr>
          <w:rFonts w:cs="Traditional Arabic" w:hint="cs"/>
          <w:color w:val="000000"/>
          <w:sz w:val="24"/>
          <w:szCs w:val="28"/>
          <w:rtl/>
        </w:rPr>
        <w:t xml:space="preserve"> فقرة 1961 </w:t>
      </w:r>
      <w:r w:rsidRPr="009A072C">
        <w:rPr>
          <w:rFonts w:cs="Traditional Arabic"/>
          <w:color w:val="000000"/>
          <w:sz w:val="24"/>
          <w:szCs w:val="28"/>
          <w:rtl/>
        </w:rPr>
        <w:t>–</w:t>
      </w:r>
      <w:r w:rsidRPr="009A072C">
        <w:rPr>
          <w:rFonts w:cs="Traditional Arabic" w:hint="cs"/>
          <w:color w:val="000000"/>
          <w:sz w:val="24"/>
          <w:szCs w:val="28"/>
          <w:rtl/>
        </w:rPr>
        <w:t xml:space="preserve"> بلانيول وريبير وبيكيه 13 فقرة 1326 </w:t>
      </w:r>
      <w:r w:rsidRPr="009A072C">
        <w:rPr>
          <w:rFonts w:cs="Traditional Arabic"/>
          <w:color w:val="000000"/>
          <w:sz w:val="24"/>
          <w:szCs w:val="28"/>
          <w:rtl/>
        </w:rPr>
        <w:t>–</w:t>
      </w:r>
      <w:r w:rsidRPr="009A072C">
        <w:rPr>
          <w:rFonts w:cs="Traditional Arabic" w:hint="cs"/>
          <w:color w:val="000000"/>
          <w:sz w:val="24"/>
          <w:szCs w:val="28"/>
          <w:rtl/>
        </w:rPr>
        <w:t xml:space="preserve"> فقرة 1340 </w:t>
      </w:r>
      <w:r>
        <w:rPr>
          <w:rFonts w:cs="Traditional Arabic" w:hint="cs"/>
          <w:color w:val="000000"/>
          <w:sz w:val="24"/>
          <w:szCs w:val="28"/>
          <w:rtl/>
        </w:rPr>
        <w:t xml:space="preserve">( </w:t>
      </w:r>
      <w:r w:rsidRPr="009A072C">
        <w:rPr>
          <w:rFonts w:cs="Traditional Arabic" w:hint="cs"/>
          <w:color w:val="000000"/>
          <w:sz w:val="24"/>
          <w:szCs w:val="28"/>
          <w:rtl/>
        </w:rPr>
        <w:t>ويعترض اعتراضا خفيفا في الفقرة الأخيرة 1340</w:t>
      </w:r>
      <w:r>
        <w:rPr>
          <w:rFonts w:cs="Traditional Arabic" w:hint="cs"/>
          <w:color w:val="000000"/>
          <w:sz w:val="24"/>
          <w:szCs w:val="28"/>
          <w:rtl/>
        </w:rPr>
        <w:t xml:space="preserve"> ) .</w:t>
      </w:r>
    </w:p>
  </w:footnote>
  <w:footnote w:id="1347">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14 نوفمبر سنة </w:t>
      </w:r>
      <w:smartTag w:uri="urn:schemas-microsoft-com:office:smarttags" w:element="metricconverter">
        <w:smartTagPr>
          <w:attr w:name="ProductID" w:val="1912 م"/>
        </w:smartTagPr>
        <w:r w:rsidRPr="009A072C">
          <w:rPr>
            <w:rFonts w:cs="Traditional Arabic" w:hint="cs"/>
            <w:color w:val="000000"/>
            <w:sz w:val="24"/>
            <w:szCs w:val="28"/>
            <w:rtl/>
          </w:rPr>
          <w:t>1912 م</w:t>
        </w:r>
      </w:smartTag>
      <w:r w:rsidRPr="009A072C">
        <w:rPr>
          <w:rFonts w:cs="Traditional Arabic" w:hint="cs"/>
          <w:color w:val="000000"/>
          <w:sz w:val="24"/>
          <w:szCs w:val="28"/>
          <w:rtl/>
        </w:rPr>
        <w:t xml:space="preserve"> 25 ص 5 </w:t>
      </w:r>
      <w:r w:rsidRPr="009A072C">
        <w:rPr>
          <w:rFonts w:cs="Traditional Arabic"/>
          <w:color w:val="000000"/>
          <w:sz w:val="24"/>
          <w:szCs w:val="28"/>
          <w:rtl/>
        </w:rPr>
        <w:t>–</w:t>
      </w:r>
      <w:r w:rsidRPr="009A072C">
        <w:rPr>
          <w:rFonts w:cs="Traditional Arabic" w:hint="cs"/>
          <w:color w:val="000000"/>
          <w:sz w:val="24"/>
          <w:szCs w:val="28"/>
          <w:rtl/>
        </w:rPr>
        <w:t xml:space="preserve"> 5 فبراير سنة </w:t>
      </w:r>
      <w:smartTag w:uri="urn:schemas-microsoft-com:office:smarttags" w:element="metricconverter">
        <w:smartTagPr>
          <w:attr w:name="ProductID" w:val="1914 م"/>
        </w:smartTagPr>
        <w:r w:rsidRPr="009A072C">
          <w:rPr>
            <w:rFonts w:cs="Traditional Arabic" w:hint="cs"/>
            <w:color w:val="000000"/>
            <w:sz w:val="24"/>
            <w:szCs w:val="28"/>
            <w:rtl/>
          </w:rPr>
          <w:t>1914 م</w:t>
        </w:r>
      </w:smartTag>
      <w:r w:rsidRPr="009A072C">
        <w:rPr>
          <w:rFonts w:cs="Traditional Arabic" w:hint="cs"/>
          <w:color w:val="000000"/>
          <w:sz w:val="24"/>
          <w:szCs w:val="28"/>
          <w:rtl/>
        </w:rPr>
        <w:t xml:space="preserve"> 26 ص 213 </w:t>
      </w:r>
      <w:r w:rsidRPr="009A072C">
        <w:rPr>
          <w:rFonts w:cs="Traditional Arabic"/>
          <w:color w:val="000000"/>
          <w:sz w:val="24"/>
          <w:szCs w:val="28"/>
          <w:rtl/>
        </w:rPr>
        <w:t>–</w:t>
      </w:r>
      <w:r w:rsidRPr="009A072C">
        <w:rPr>
          <w:rFonts w:cs="Traditional Arabic" w:hint="cs"/>
          <w:color w:val="000000"/>
          <w:sz w:val="24"/>
          <w:szCs w:val="28"/>
          <w:rtl/>
        </w:rPr>
        <w:t xml:space="preserve"> 25 أبريل سنة </w:t>
      </w:r>
      <w:smartTag w:uri="urn:schemas-microsoft-com:office:smarttags" w:element="metricconverter">
        <w:smartTagPr>
          <w:attr w:name="ProductID" w:val="1918 م"/>
        </w:smartTagPr>
        <w:r w:rsidRPr="009A072C">
          <w:rPr>
            <w:rFonts w:cs="Traditional Arabic" w:hint="cs"/>
            <w:color w:val="000000"/>
            <w:sz w:val="24"/>
            <w:szCs w:val="28"/>
            <w:rtl/>
          </w:rPr>
          <w:t>1918 م</w:t>
        </w:r>
      </w:smartTag>
      <w:r w:rsidRPr="009A072C">
        <w:rPr>
          <w:rFonts w:cs="Traditional Arabic" w:hint="cs"/>
          <w:color w:val="000000"/>
          <w:sz w:val="24"/>
          <w:szCs w:val="28"/>
          <w:rtl/>
        </w:rPr>
        <w:t xml:space="preserve"> 30 ص 387 </w:t>
      </w:r>
      <w:r w:rsidRPr="009A072C">
        <w:rPr>
          <w:rFonts w:cs="Traditional Arabic"/>
          <w:color w:val="000000"/>
          <w:sz w:val="24"/>
          <w:szCs w:val="28"/>
          <w:rtl/>
        </w:rPr>
        <w:t>–</w:t>
      </w:r>
      <w:r w:rsidRPr="009A072C">
        <w:rPr>
          <w:rFonts w:cs="Traditional Arabic" w:hint="cs"/>
          <w:color w:val="000000"/>
          <w:sz w:val="24"/>
          <w:szCs w:val="28"/>
          <w:rtl/>
        </w:rPr>
        <w:t xml:space="preserve"> 20 يونيه سنة </w:t>
      </w:r>
      <w:smartTag w:uri="urn:schemas-microsoft-com:office:smarttags" w:element="metricconverter">
        <w:smartTagPr>
          <w:attr w:name="ProductID" w:val="1921 م"/>
        </w:smartTagPr>
        <w:r w:rsidRPr="009A072C">
          <w:rPr>
            <w:rFonts w:cs="Traditional Arabic" w:hint="cs"/>
            <w:color w:val="000000"/>
            <w:sz w:val="24"/>
            <w:szCs w:val="28"/>
            <w:rtl/>
          </w:rPr>
          <w:t>1921 م</w:t>
        </w:r>
      </w:smartTag>
      <w:r w:rsidRPr="009A072C">
        <w:rPr>
          <w:rFonts w:cs="Traditional Arabic" w:hint="cs"/>
          <w:color w:val="000000"/>
          <w:sz w:val="24"/>
          <w:szCs w:val="28"/>
          <w:rtl/>
        </w:rPr>
        <w:t xml:space="preserve"> 33 ص 365</w:t>
      </w:r>
      <w:r>
        <w:rPr>
          <w:rFonts w:cs="Traditional Arabic" w:hint="cs"/>
          <w:color w:val="000000"/>
          <w:sz w:val="24"/>
          <w:szCs w:val="28"/>
          <w:rtl/>
        </w:rPr>
        <w:t xml:space="preserve"> .</w:t>
      </w:r>
    </w:p>
  </w:footnote>
  <w:footnote w:id="1348">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استئناف مختلط </w:t>
      </w:r>
      <w:r>
        <w:rPr>
          <w:rFonts w:cs="Traditional Arabic" w:hint="cs"/>
          <w:color w:val="000000"/>
          <w:sz w:val="24"/>
          <w:szCs w:val="28"/>
          <w:rtl/>
        </w:rPr>
        <w:t xml:space="preserve">( </w:t>
      </w:r>
      <w:r w:rsidRPr="009A072C">
        <w:rPr>
          <w:rFonts w:cs="Traditional Arabic" w:hint="cs"/>
          <w:color w:val="000000"/>
          <w:sz w:val="24"/>
          <w:szCs w:val="28"/>
          <w:rtl/>
        </w:rPr>
        <w:t>دوائر مجتمعة</w:t>
      </w:r>
      <w:r>
        <w:rPr>
          <w:rFonts w:cs="Traditional Arabic" w:hint="cs"/>
          <w:color w:val="000000"/>
          <w:sz w:val="24"/>
          <w:szCs w:val="28"/>
          <w:rtl/>
        </w:rPr>
        <w:t xml:space="preserve"> )</w:t>
      </w:r>
      <w:r w:rsidRPr="009A072C">
        <w:rPr>
          <w:rFonts w:cs="Traditional Arabic" w:hint="cs"/>
          <w:color w:val="000000"/>
          <w:sz w:val="24"/>
          <w:szCs w:val="28"/>
          <w:rtl/>
        </w:rPr>
        <w:t xml:space="preserve"> 17 مايو سنة </w:t>
      </w:r>
      <w:smartTag w:uri="urn:schemas-microsoft-com:office:smarttags" w:element="metricconverter">
        <w:smartTagPr>
          <w:attr w:name="ProductID" w:val="1947 م"/>
        </w:smartTagPr>
        <w:r w:rsidRPr="009A072C">
          <w:rPr>
            <w:rFonts w:cs="Traditional Arabic" w:hint="cs"/>
            <w:color w:val="000000"/>
            <w:sz w:val="24"/>
            <w:szCs w:val="28"/>
            <w:rtl/>
          </w:rPr>
          <w:t>1947 م</w:t>
        </w:r>
      </w:smartTag>
      <w:r w:rsidRPr="009A072C">
        <w:rPr>
          <w:rFonts w:cs="Traditional Arabic" w:hint="cs"/>
          <w:color w:val="000000"/>
          <w:sz w:val="24"/>
          <w:szCs w:val="28"/>
          <w:rtl/>
        </w:rPr>
        <w:t xml:space="preserve"> 39 ص 577</w:t>
      </w:r>
      <w:r>
        <w:rPr>
          <w:rFonts w:cs="Traditional Arabic" w:hint="cs"/>
          <w:color w:val="000000"/>
          <w:sz w:val="24"/>
          <w:szCs w:val="28"/>
          <w:rtl/>
        </w:rPr>
        <w:t xml:space="preserve"> .</w:t>
      </w:r>
    </w:p>
  </w:footnote>
  <w:footnote w:id="1349">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227</w:t>
      </w:r>
      <w:r>
        <w:rPr>
          <w:rFonts w:cs="Traditional Arabic" w:hint="cs"/>
          <w:color w:val="000000"/>
          <w:sz w:val="24"/>
          <w:szCs w:val="28"/>
          <w:rtl/>
        </w:rPr>
        <w:t xml:space="preserve"> .</w:t>
      </w:r>
    </w:p>
  </w:footnote>
  <w:footnote w:id="1350">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محمد كامل مرسي فقرة 227 في آخرها</w:t>
      </w:r>
      <w:r>
        <w:rPr>
          <w:rFonts w:cs="Traditional Arabic" w:hint="cs"/>
          <w:color w:val="000000"/>
          <w:sz w:val="24"/>
          <w:szCs w:val="28"/>
          <w:rtl/>
        </w:rPr>
        <w:t xml:space="preserve"> .</w:t>
      </w:r>
    </w:p>
  </w:footnote>
  <w:footnote w:id="1351">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سليمان مرقس فقرة 193</w:t>
      </w:r>
      <w:r>
        <w:rPr>
          <w:rFonts w:cs="Traditional Arabic" w:hint="cs"/>
          <w:color w:val="000000"/>
          <w:sz w:val="24"/>
          <w:szCs w:val="28"/>
          <w:rtl/>
        </w:rPr>
        <w:t xml:space="preserve"> .</w:t>
      </w:r>
    </w:p>
  </w:footnote>
  <w:footnote w:id="1352">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نقض 25 مايو سنة 1944 مجموعة عمر 4 رقم 140 ص 386</w:t>
      </w:r>
      <w:r>
        <w:rPr>
          <w:rFonts w:cs="Traditional Arabic" w:hint="cs"/>
          <w:color w:val="000000"/>
          <w:sz w:val="24"/>
          <w:szCs w:val="28"/>
          <w:rtl/>
        </w:rPr>
        <w:t xml:space="preserve"> .</w:t>
      </w:r>
    </w:p>
  </w:footnote>
  <w:footnote w:id="1353">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وقد قضت محكمة النقض بأنه إذا وضع شخص يده على عقار مرهون المدة الطويلة المكسبة للملكية</w:t>
      </w:r>
      <w:r>
        <w:rPr>
          <w:rFonts w:cs="Traditional Arabic" w:hint="cs"/>
          <w:color w:val="000000"/>
          <w:sz w:val="24"/>
          <w:szCs w:val="28"/>
          <w:rtl/>
        </w:rPr>
        <w:t xml:space="preserve"> ،</w:t>
      </w:r>
      <w:r w:rsidRPr="009A072C">
        <w:rPr>
          <w:rFonts w:cs="Traditional Arabic" w:hint="cs"/>
          <w:color w:val="000000"/>
          <w:sz w:val="24"/>
          <w:szCs w:val="28"/>
          <w:rtl/>
        </w:rPr>
        <w:t xml:space="preserve"> فإن تملكه للعقار لا يستتبع حتما انقضاء الرهن</w:t>
      </w:r>
      <w:r>
        <w:rPr>
          <w:rFonts w:cs="Traditional Arabic" w:hint="cs"/>
          <w:color w:val="000000"/>
          <w:sz w:val="24"/>
          <w:szCs w:val="28"/>
          <w:rtl/>
        </w:rPr>
        <w:t xml:space="preserve"> ،</w:t>
      </w:r>
      <w:r w:rsidRPr="009A072C">
        <w:rPr>
          <w:rFonts w:cs="Traditional Arabic" w:hint="cs"/>
          <w:color w:val="000000"/>
          <w:sz w:val="24"/>
          <w:szCs w:val="28"/>
          <w:rtl/>
        </w:rPr>
        <w:t xml:space="preserve"> بل يكون للدائن المرتهن الحق في نزع ملكية العقار وفاء لدينه</w:t>
      </w:r>
      <w:r>
        <w:rPr>
          <w:rFonts w:cs="Traditional Arabic" w:hint="cs"/>
          <w:color w:val="000000"/>
          <w:sz w:val="24"/>
          <w:szCs w:val="28"/>
          <w:rtl/>
        </w:rPr>
        <w:t xml:space="preserve"> .</w:t>
      </w:r>
      <w:r w:rsidRPr="009A072C">
        <w:rPr>
          <w:rFonts w:cs="Traditional Arabic" w:hint="cs"/>
          <w:color w:val="000000"/>
          <w:sz w:val="24"/>
          <w:szCs w:val="28"/>
          <w:rtl/>
        </w:rPr>
        <w:t xml:space="preserve"> ولا يصح القول بأن وضع اليد على ذلك العقار المدة الطويلة يكسب ملكية العقار وملكية الرهن</w:t>
      </w:r>
      <w:r>
        <w:rPr>
          <w:rFonts w:cs="Traditional Arabic" w:hint="cs"/>
          <w:color w:val="000000"/>
          <w:sz w:val="24"/>
          <w:szCs w:val="28"/>
          <w:rtl/>
        </w:rPr>
        <w:t xml:space="preserve"> ،</w:t>
      </w:r>
      <w:r w:rsidRPr="009A072C">
        <w:rPr>
          <w:rFonts w:cs="Traditional Arabic" w:hint="cs"/>
          <w:color w:val="000000"/>
          <w:sz w:val="24"/>
          <w:szCs w:val="28"/>
          <w:rtl/>
        </w:rPr>
        <w:t xml:space="preserve"> إذ هذا يؤدي إلى إهدار حق الدائن الذي كفله نص المادة </w:t>
      </w:r>
      <w:smartTag w:uri="urn:schemas-microsoft-com:office:smarttags" w:element="metricconverter">
        <w:smartTagPr>
          <w:attr w:name="ProductID" w:val="554 م"/>
        </w:smartTagPr>
        <w:r w:rsidRPr="009A072C">
          <w:rPr>
            <w:rFonts w:cs="Traditional Arabic" w:hint="cs"/>
            <w:color w:val="000000"/>
            <w:sz w:val="24"/>
            <w:szCs w:val="28"/>
            <w:rtl/>
          </w:rPr>
          <w:t>554 م</w:t>
        </w:r>
      </w:smartTag>
      <w:r w:rsidRPr="009A072C">
        <w:rPr>
          <w:rFonts w:cs="Traditional Arabic" w:hint="cs"/>
          <w:color w:val="000000"/>
          <w:sz w:val="24"/>
          <w:szCs w:val="28"/>
          <w:rtl/>
        </w:rPr>
        <w:t xml:space="preserve"> القانون المدني من استيفاء دينه بالأولوية والتقدم على الدائنين الآخرين من ثمن ذلك العقار في أي يد يكون</w:t>
      </w:r>
      <w:r>
        <w:rPr>
          <w:rFonts w:cs="Traditional Arabic" w:hint="cs"/>
          <w:color w:val="000000"/>
          <w:sz w:val="24"/>
          <w:szCs w:val="28"/>
          <w:rtl/>
        </w:rPr>
        <w:t xml:space="preserve"> ،</w:t>
      </w:r>
      <w:r w:rsidRPr="009A072C">
        <w:rPr>
          <w:rFonts w:cs="Traditional Arabic" w:hint="cs"/>
          <w:color w:val="000000"/>
          <w:sz w:val="24"/>
          <w:szCs w:val="28"/>
          <w:rtl/>
        </w:rPr>
        <w:t xml:space="preserve"> كما أن فيه إجازة لسقوط حق الرهن استقلالا عن الدين المضمون به مع أنه تابع له لا ينقضي إلا بانقضائه </w:t>
      </w:r>
      <w:r>
        <w:rPr>
          <w:rFonts w:cs="Traditional Arabic" w:hint="cs"/>
          <w:color w:val="000000"/>
          <w:sz w:val="24"/>
          <w:szCs w:val="28"/>
          <w:rtl/>
        </w:rPr>
        <w:t xml:space="preserve">( </w:t>
      </w:r>
      <w:r w:rsidRPr="009A072C">
        <w:rPr>
          <w:rFonts w:cs="Traditional Arabic" w:hint="cs"/>
          <w:color w:val="000000"/>
          <w:sz w:val="24"/>
          <w:szCs w:val="28"/>
          <w:rtl/>
        </w:rPr>
        <w:t>نقض مدني 8 مارس سنة 1956 مجموعة أحكام النقض 7 ص 301</w:t>
      </w:r>
      <w:r>
        <w:rPr>
          <w:rFonts w:cs="Traditional Arabic" w:hint="cs"/>
          <w:color w:val="000000"/>
          <w:sz w:val="24"/>
          <w:szCs w:val="28"/>
          <w:rtl/>
        </w:rPr>
        <w:t xml:space="preserve"> ) .</w:t>
      </w:r>
    </w:p>
  </w:footnote>
  <w:footnote w:id="1354">
    <w:p w:rsidR="00F72742" w:rsidRPr="009A072C" w:rsidRDefault="00F72742" w:rsidP="00F72742">
      <w:pPr>
        <w:pStyle w:val="aa"/>
        <w:widowControl w:val="0"/>
        <w:ind w:firstLine="567"/>
        <w:jc w:val="lowKashida"/>
        <w:rPr>
          <w:rFonts w:cs="Traditional Arabic" w:hint="cs"/>
          <w:color w:val="000000"/>
          <w:sz w:val="24"/>
          <w:szCs w:val="28"/>
          <w:rtl/>
        </w:rPr>
      </w:pPr>
      <w:r>
        <w:rPr>
          <w:rFonts w:cs="Traditional Arabic" w:hint="cs"/>
          <w:color w:val="000000"/>
          <w:sz w:val="24"/>
          <w:szCs w:val="28"/>
          <w:rtl/>
        </w:rPr>
        <w:t xml:space="preserve">( </w:t>
      </w:r>
      <w:r w:rsidRPr="009A072C">
        <w:rPr>
          <w:rStyle w:val="ab"/>
          <w:rFonts w:cs="Traditional Arabic"/>
          <w:color w:val="000000"/>
          <w:sz w:val="24"/>
          <w:szCs w:val="28"/>
        </w:rPr>
        <w:footnoteRef/>
      </w:r>
      <w:r>
        <w:rPr>
          <w:rFonts w:cs="Traditional Arabic" w:hint="cs"/>
          <w:color w:val="000000"/>
          <w:sz w:val="24"/>
          <w:szCs w:val="28"/>
          <w:rtl/>
        </w:rPr>
        <w:t xml:space="preserve"> )</w:t>
      </w:r>
      <w:r w:rsidRPr="009A072C">
        <w:rPr>
          <w:rFonts w:cs="Traditional Arabic" w:hint="cs"/>
          <w:color w:val="000000"/>
          <w:sz w:val="24"/>
          <w:szCs w:val="28"/>
          <w:rtl/>
        </w:rPr>
        <w:t xml:space="preserve">  انظر عبد الفتاح عبد الباقي فقرة 276 </w:t>
      </w:r>
      <w:r w:rsidRPr="009A072C">
        <w:rPr>
          <w:rFonts w:cs="Traditional Arabic"/>
          <w:color w:val="000000"/>
          <w:sz w:val="24"/>
          <w:szCs w:val="28"/>
          <w:rtl/>
        </w:rPr>
        <w:t>–</w:t>
      </w:r>
      <w:r w:rsidRPr="009A072C">
        <w:rPr>
          <w:rFonts w:cs="Traditional Arabic" w:hint="cs"/>
          <w:color w:val="000000"/>
          <w:sz w:val="24"/>
          <w:szCs w:val="28"/>
          <w:rtl/>
        </w:rPr>
        <w:t xml:space="preserve"> شفيق شحاته فقرة 325 ص 280 </w:t>
      </w:r>
      <w:r w:rsidRPr="009A072C">
        <w:rPr>
          <w:rFonts w:cs="Traditional Arabic"/>
          <w:color w:val="000000"/>
          <w:sz w:val="24"/>
          <w:szCs w:val="28"/>
          <w:rtl/>
        </w:rPr>
        <w:t>–</w:t>
      </w:r>
      <w:r w:rsidRPr="009A072C">
        <w:rPr>
          <w:rFonts w:cs="Traditional Arabic" w:hint="cs"/>
          <w:color w:val="000000"/>
          <w:sz w:val="24"/>
          <w:szCs w:val="28"/>
          <w:rtl/>
        </w:rPr>
        <w:t xml:space="preserve"> شمس الدين الوكيل فقرة 132 </w:t>
      </w:r>
      <w:r w:rsidRPr="009A072C">
        <w:rPr>
          <w:rFonts w:cs="Traditional Arabic"/>
          <w:color w:val="000000"/>
          <w:sz w:val="24"/>
          <w:szCs w:val="28"/>
          <w:rtl/>
        </w:rPr>
        <w:t>–</w:t>
      </w:r>
      <w:r w:rsidRPr="009A072C">
        <w:rPr>
          <w:rFonts w:cs="Traditional Arabic" w:hint="cs"/>
          <w:color w:val="000000"/>
          <w:sz w:val="24"/>
          <w:szCs w:val="28"/>
          <w:rtl/>
        </w:rPr>
        <w:t xml:space="preserve"> محمد علي إمام فقرة 290 ص 411 </w:t>
      </w:r>
      <w:r w:rsidRPr="009A072C">
        <w:rPr>
          <w:rFonts w:cs="Traditional Arabic"/>
          <w:color w:val="000000"/>
          <w:sz w:val="24"/>
          <w:szCs w:val="28"/>
          <w:rtl/>
        </w:rPr>
        <w:t>–</w:t>
      </w:r>
      <w:r w:rsidRPr="009A072C">
        <w:rPr>
          <w:rFonts w:cs="Traditional Arabic" w:hint="cs"/>
          <w:color w:val="000000"/>
          <w:sz w:val="24"/>
          <w:szCs w:val="28"/>
          <w:rtl/>
        </w:rPr>
        <w:t xml:space="preserve"> جمال الدين زكي ص 423 </w:t>
      </w:r>
      <w:r w:rsidRPr="009A072C">
        <w:rPr>
          <w:rFonts w:cs="Traditional Arabic"/>
          <w:color w:val="000000"/>
          <w:sz w:val="24"/>
          <w:szCs w:val="28"/>
          <w:rtl/>
        </w:rPr>
        <w:t>–</w:t>
      </w:r>
      <w:r w:rsidRPr="009A072C">
        <w:rPr>
          <w:rFonts w:cs="Traditional Arabic" w:hint="cs"/>
          <w:color w:val="000000"/>
          <w:sz w:val="24"/>
          <w:szCs w:val="28"/>
          <w:rtl/>
        </w:rPr>
        <w:t xml:space="preserve"> أحمد سلامة فقرة 138 </w:t>
      </w:r>
      <w:r w:rsidRPr="009A072C">
        <w:rPr>
          <w:rFonts w:cs="Traditional Arabic"/>
          <w:color w:val="000000"/>
          <w:sz w:val="24"/>
          <w:szCs w:val="28"/>
          <w:rtl/>
        </w:rPr>
        <w:t>–</w:t>
      </w:r>
      <w:r w:rsidRPr="009A072C">
        <w:rPr>
          <w:rFonts w:cs="Traditional Arabic" w:hint="cs"/>
          <w:color w:val="000000"/>
          <w:sz w:val="24"/>
          <w:szCs w:val="28"/>
          <w:rtl/>
        </w:rPr>
        <w:t xml:space="preserve"> ص 450 </w:t>
      </w:r>
      <w:r w:rsidRPr="009A072C">
        <w:rPr>
          <w:rFonts w:cs="Traditional Arabic"/>
          <w:color w:val="000000"/>
          <w:sz w:val="24"/>
          <w:szCs w:val="28"/>
          <w:rtl/>
        </w:rPr>
        <w:t>–</w:t>
      </w:r>
      <w:r w:rsidRPr="009A072C">
        <w:rPr>
          <w:rFonts w:cs="Traditional Arabic" w:hint="cs"/>
          <w:color w:val="000000"/>
          <w:sz w:val="24"/>
          <w:szCs w:val="28"/>
          <w:rtl/>
        </w:rPr>
        <w:t xml:space="preserve"> سمير تناغر فقرة 68 ص 206 ص 207</w:t>
      </w:r>
      <w:r>
        <w:rPr>
          <w:rFonts w:cs="Traditional Arabic" w:hint="cs"/>
          <w:color w:val="000000"/>
          <w:sz w:val="24"/>
          <w:szCs w:val="28"/>
          <w:rtl/>
        </w:rPr>
        <w:t xml:space="preserve"> .</w:t>
      </w:r>
    </w:p>
  </w:footnote>
  <w:footnote w:id="13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2 أبريل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42 ص 397 </w:t>
      </w:r>
      <w:r>
        <w:rPr>
          <w:rFonts w:cs="Traditional Arabic"/>
          <w:color w:val="0000FF"/>
          <w:sz w:val="24"/>
          <w:szCs w:val="28"/>
          <w:rtl/>
        </w:rPr>
        <w:t>–</w:t>
      </w:r>
      <w:r>
        <w:rPr>
          <w:rFonts w:cs="Traditional Arabic" w:hint="cs"/>
          <w:color w:val="0000FF"/>
          <w:sz w:val="24"/>
          <w:szCs w:val="28"/>
          <w:rtl/>
        </w:rPr>
        <w:t xml:space="preserve"> وانظر استئناف مختلط 12 نوفمبر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43 ص 19 </w:t>
      </w:r>
      <w:r>
        <w:rPr>
          <w:rFonts w:cs="Traditional Arabic"/>
          <w:color w:val="0000FF"/>
          <w:sz w:val="24"/>
          <w:szCs w:val="28"/>
          <w:rtl/>
        </w:rPr>
        <w:t>–</w:t>
      </w:r>
      <w:r>
        <w:rPr>
          <w:rFonts w:cs="Traditional Arabic" w:hint="cs"/>
          <w:color w:val="0000FF"/>
          <w:sz w:val="24"/>
          <w:szCs w:val="28"/>
          <w:rtl/>
        </w:rPr>
        <w:t xml:space="preserve"> 4 مايو سنة </w:t>
      </w:r>
      <w:smartTag w:uri="urn:schemas-microsoft-com:office:smarttags" w:element="metricconverter">
        <w:smartTagPr>
          <w:attr w:name="ProductID" w:val="1938 م"/>
        </w:smartTagPr>
        <w:r>
          <w:rPr>
            <w:rFonts w:cs="Traditional Arabic" w:hint="cs"/>
            <w:color w:val="0000FF"/>
            <w:sz w:val="24"/>
            <w:szCs w:val="28"/>
            <w:rtl/>
          </w:rPr>
          <w:t>1938 م</w:t>
        </w:r>
      </w:smartTag>
      <w:r>
        <w:rPr>
          <w:rFonts w:cs="Traditional Arabic" w:hint="cs"/>
          <w:color w:val="0000FF"/>
          <w:sz w:val="24"/>
          <w:szCs w:val="28"/>
          <w:rtl/>
        </w:rPr>
        <w:t xml:space="preserve"> 50 ص 281 .</w:t>
      </w:r>
    </w:p>
  </w:footnote>
  <w:footnote w:id="135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استئناف مختلط 19 يناير سنة </w:t>
      </w:r>
      <w:smartTag w:uri="urn:schemas-microsoft-com:office:smarttags" w:element="metricconverter">
        <w:smartTagPr>
          <w:attr w:name="ProductID" w:val="1926 م"/>
        </w:smartTagPr>
        <w:r>
          <w:rPr>
            <w:rFonts w:cs="Traditional Arabic" w:hint="cs"/>
            <w:color w:val="0000FF"/>
            <w:sz w:val="24"/>
            <w:szCs w:val="28"/>
            <w:rtl/>
          </w:rPr>
          <w:t>1926 م</w:t>
        </w:r>
      </w:smartTag>
      <w:r>
        <w:rPr>
          <w:rFonts w:cs="Traditional Arabic" w:hint="cs"/>
          <w:color w:val="0000FF"/>
          <w:sz w:val="24"/>
          <w:szCs w:val="28"/>
          <w:rtl/>
        </w:rPr>
        <w:t xml:space="preserve"> 38 ص 189 .</w:t>
      </w:r>
    </w:p>
  </w:footnote>
  <w:footnote w:id="135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شفيق شحاته 3 ص 152 هامش 1- سليمان مرقس فقرة 194 ص 289 هامش 1 .</w:t>
      </w:r>
    </w:p>
  </w:footnote>
  <w:footnote w:id="13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وقد أحل دكرتو 5 ديسمبر سنة 1886 المواد 721 </w:t>
      </w:r>
      <w:r>
        <w:rPr>
          <w:rFonts w:cs="Traditional Arabic"/>
          <w:color w:val="0000FF"/>
          <w:sz w:val="24"/>
          <w:szCs w:val="28"/>
          <w:rtl/>
        </w:rPr>
        <w:t>–</w:t>
      </w:r>
      <w:r>
        <w:rPr>
          <w:rFonts w:cs="Traditional Arabic" w:hint="cs"/>
          <w:color w:val="0000FF"/>
          <w:sz w:val="24"/>
          <w:szCs w:val="28"/>
          <w:rtl/>
        </w:rPr>
        <w:t xml:space="preserve"> 726 مدني مختلط على المواد 681 </w:t>
      </w:r>
      <w:r>
        <w:rPr>
          <w:rFonts w:cs="Traditional Arabic"/>
          <w:color w:val="0000FF"/>
          <w:sz w:val="24"/>
          <w:szCs w:val="28"/>
          <w:rtl/>
        </w:rPr>
        <w:t>–</w:t>
      </w:r>
      <w:r>
        <w:rPr>
          <w:rFonts w:cs="Traditional Arabic" w:hint="cs"/>
          <w:color w:val="0000FF"/>
          <w:sz w:val="24"/>
          <w:szCs w:val="28"/>
          <w:rtl/>
        </w:rPr>
        <w:t xml:space="preserve"> 682 مدني مختلط محل المواد 681 </w:t>
      </w:r>
      <w:r>
        <w:rPr>
          <w:rFonts w:cs="Traditional Arabic"/>
          <w:color w:val="0000FF"/>
          <w:sz w:val="24"/>
          <w:szCs w:val="28"/>
          <w:rtl/>
        </w:rPr>
        <w:t>–</w:t>
      </w:r>
      <w:r>
        <w:rPr>
          <w:rFonts w:cs="Traditional Arabic" w:hint="cs"/>
          <w:color w:val="0000FF"/>
          <w:sz w:val="24"/>
          <w:szCs w:val="28"/>
          <w:rtl/>
        </w:rPr>
        <w:t xml:space="preserve"> 682 مدني مختلط .</w:t>
      </w:r>
    </w:p>
  </w:footnote>
  <w:footnote w:id="135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انظر جرانمولان فقرة 574 </w:t>
      </w:r>
      <w:r>
        <w:rPr>
          <w:rFonts w:cs="Traditional Arabic"/>
          <w:color w:val="0000FF"/>
          <w:sz w:val="24"/>
          <w:szCs w:val="28"/>
          <w:rtl/>
        </w:rPr>
        <w:t>–</w:t>
      </w:r>
      <w:r>
        <w:rPr>
          <w:rFonts w:cs="Traditional Arabic" w:hint="cs"/>
          <w:color w:val="0000FF"/>
          <w:sz w:val="24"/>
          <w:szCs w:val="28"/>
          <w:rtl/>
        </w:rPr>
        <w:t xml:space="preserve"> 575 </w:t>
      </w:r>
      <w:r>
        <w:rPr>
          <w:rFonts w:cs="Traditional Arabic"/>
          <w:color w:val="0000FF"/>
          <w:sz w:val="24"/>
          <w:szCs w:val="28"/>
          <w:rtl/>
        </w:rPr>
        <w:t>–</w:t>
      </w:r>
      <w:r>
        <w:rPr>
          <w:rFonts w:cs="Traditional Arabic" w:hint="cs"/>
          <w:color w:val="0000FF"/>
          <w:sz w:val="24"/>
          <w:szCs w:val="28"/>
          <w:rtl/>
        </w:rPr>
        <w:t xml:space="preserve"> محمد كامل مرسي فقرة 232 </w:t>
      </w:r>
      <w:r>
        <w:rPr>
          <w:rFonts w:cs="Traditional Arabic"/>
          <w:color w:val="0000FF"/>
          <w:sz w:val="24"/>
          <w:szCs w:val="28"/>
          <w:rtl/>
        </w:rPr>
        <w:t>–</w:t>
      </w:r>
      <w:r>
        <w:rPr>
          <w:rFonts w:cs="Traditional Arabic" w:hint="cs"/>
          <w:color w:val="0000FF"/>
          <w:sz w:val="24"/>
          <w:szCs w:val="28"/>
          <w:rtl/>
        </w:rPr>
        <w:t xml:space="preserve"> 233 .</w:t>
      </w:r>
    </w:p>
  </w:footnote>
  <w:footnote w:id="136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مجموعة الأعمال التحضيرية 7 ص 157 .</w:t>
      </w:r>
    </w:p>
  </w:footnote>
  <w:footnote w:id="13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مجموعة الأعمال التحضيرية 7 ص 152 </w:t>
      </w:r>
      <w:r>
        <w:rPr>
          <w:rFonts w:cs="Traditional Arabic"/>
          <w:color w:val="0000FF"/>
          <w:sz w:val="24"/>
          <w:szCs w:val="28"/>
          <w:rtl/>
        </w:rPr>
        <w:t>–</w:t>
      </w:r>
      <w:r>
        <w:rPr>
          <w:rFonts w:cs="Traditional Arabic" w:hint="cs"/>
          <w:color w:val="0000FF"/>
          <w:sz w:val="24"/>
          <w:szCs w:val="28"/>
          <w:rtl/>
        </w:rPr>
        <w:t xml:space="preserve"> ص 155 .</w:t>
      </w:r>
    </w:p>
  </w:footnote>
  <w:footnote w:id="136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وقد قضت محكمة النقض بأنه لا يجوز لصاحب اختصاص الاحتجاج يسبق اختصصاه إلا إذا كان حس النية ( نقض مدني 21 يونيه سنة 1936 المجموعة في 25 عاما ص 394 ) .</w:t>
      </w:r>
    </w:p>
  </w:footnote>
  <w:footnote w:id="136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w:t>
      </w:r>
    </w:p>
  </w:footnote>
  <w:footnote w:id="13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w:t>
      </w:r>
    </w:p>
  </w:footnote>
  <w:footnote w:id="13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عبد الفتاح عبد الباقي فقرة 391 </w:t>
      </w:r>
      <w:r>
        <w:rPr>
          <w:rFonts w:cs="Traditional Arabic"/>
          <w:color w:val="0000FF"/>
          <w:sz w:val="24"/>
          <w:szCs w:val="28"/>
          <w:rtl/>
        </w:rPr>
        <w:t>–</w:t>
      </w:r>
      <w:r>
        <w:rPr>
          <w:rFonts w:cs="Traditional Arabic" w:hint="cs"/>
          <w:color w:val="0000FF"/>
          <w:sz w:val="24"/>
          <w:szCs w:val="28"/>
          <w:rtl/>
        </w:rPr>
        <w:t xml:space="preserve"> محمد علي إمام فقرة 297 </w:t>
      </w:r>
      <w:r>
        <w:rPr>
          <w:rFonts w:cs="Traditional Arabic"/>
          <w:color w:val="0000FF"/>
          <w:sz w:val="24"/>
          <w:szCs w:val="28"/>
          <w:rtl/>
        </w:rPr>
        <w:t>–</w:t>
      </w:r>
      <w:r>
        <w:rPr>
          <w:rFonts w:cs="Traditional Arabic" w:hint="cs"/>
          <w:color w:val="0000FF"/>
          <w:sz w:val="24"/>
          <w:szCs w:val="28"/>
          <w:rtl/>
        </w:rPr>
        <w:t xml:space="preserve"> سليمان مرقس فقرة 199 </w:t>
      </w:r>
      <w:r>
        <w:rPr>
          <w:rFonts w:cs="Traditional Arabic"/>
          <w:color w:val="0000FF"/>
          <w:sz w:val="24"/>
          <w:szCs w:val="28"/>
          <w:rtl/>
        </w:rPr>
        <w:t>–</w:t>
      </w:r>
      <w:r>
        <w:rPr>
          <w:rFonts w:cs="Traditional Arabic" w:hint="cs"/>
          <w:color w:val="0000FF"/>
          <w:sz w:val="24"/>
          <w:szCs w:val="28"/>
          <w:rtl/>
        </w:rPr>
        <w:t xml:space="preserve"> شمس الدين الوكيل فقرة 138 </w:t>
      </w:r>
      <w:r>
        <w:rPr>
          <w:rFonts w:cs="Traditional Arabic"/>
          <w:color w:val="0000FF"/>
          <w:sz w:val="24"/>
          <w:szCs w:val="28"/>
          <w:rtl/>
        </w:rPr>
        <w:t>–</w:t>
      </w:r>
      <w:r>
        <w:rPr>
          <w:rFonts w:cs="Traditional Arabic" w:hint="cs"/>
          <w:color w:val="0000FF"/>
          <w:sz w:val="24"/>
          <w:szCs w:val="28"/>
          <w:rtl/>
        </w:rPr>
        <w:t xml:space="preserve"> ويقول الأستاذ سمير تناغر  : "أما إذا كان الدائن صاحب الاختصاص يعلم أن العقار المملوك للمدين قد بيع من قبل بعقد غير مسجل ، فلا يمنعه هذا من التنفيذ عليه ويعتبر تنبيه نزع الملكية مانعا لاحتجاج المشتري بالبيع بعد ذلك ، ولا يمنعه ذلك بالتالي من الحصول على اختصاص على العقار ، والاختصاص أقل من نزع الملكية . ولذل فيكون المقصود بحسن النية هو عدم  صدور غش من الدائن ، على أساس أن الغش يفسد كل شيء : نقض مدني 21 مايو سنة 1936 مجموعة عمر 1 فقرة 169 ص 1127 </w:t>
      </w:r>
      <w:r>
        <w:rPr>
          <w:rFonts w:cs="Traditional Arabic"/>
          <w:color w:val="0000FF"/>
          <w:sz w:val="24"/>
          <w:szCs w:val="28"/>
          <w:rtl/>
        </w:rPr>
        <w:t>–</w:t>
      </w:r>
      <w:r>
        <w:rPr>
          <w:rFonts w:cs="Traditional Arabic" w:hint="cs"/>
          <w:color w:val="0000FF"/>
          <w:sz w:val="24"/>
          <w:szCs w:val="28"/>
          <w:rtl/>
        </w:rPr>
        <w:t xml:space="preserve"> 10 نوفمبر سنة 1938 مجموعة عمر 2 رقم 142 ص 427" ( سمير تناغر فقرة 71 ص 219 ) .</w:t>
      </w:r>
    </w:p>
  </w:footnote>
  <w:footnote w:id="136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w:t>
      </w:r>
      <w:r>
        <w:rPr>
          <w:rFonts w:cs="Traditional Arabic" w:hint="cs"/>
          <w:color w:val="0000FF"/>
          <w:sz w:val="24"/>
          <w:szCs w:val="28"/>
          <w:u w:val="single"/>
          <w:rtl/>
        </w:rPr>
        <w:t>تاريخ النص</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م 1085 :ورد هذا النص في المادة 1511 من المشروع التمهيدي على الوجه الآتي : "1- يجوز لكل دائن بيده حكم موضوعي يلزم المدين بشيء معين ، إذا كان حسن النينة ، أن يحصل على حق اختصاص بعقارات مدينة ، ضمانا لأصل الدين والفوائد والمصروفات ، سواء كان الحكم حضوريا أو غيابيا ، ابتدائيا أو نهائيا . 2- ومع ذلك إذا أخذ حق الاختصاص بمقتضى حكم غيابي ، فإنه يسقط بسقوط هذا الحكم" . وفي لجنة المراجعة عدل النص على الوجه الآتي : "1- يجوز لكل دائن بيده حكم صادر في موضوع الدعوى يلزم المدين بشيء معين ، أن يحصل متى كان حسن النينة  على حق اختصاص بعقارات مدينه ، ضمانا لأصل الدين والفوائد والمصروفات ، سواء كان الحكم حضوريا أو غيابيا ، ابتدائيا أو نهائيا . 2- ولا يجوز للدائن ، بعد موت المدين ، أخذ اختصاص على عقار في التركة" . وأصبح رقم المادة 1188 في المشروع النهائي . ووافق عليها مجلس النواب تحت رقم 1174 . وفي لجنة مجلس الشيوخ طلب أحد الأعضاء أن يدلي باعتراض على حق الاختصاص ، فقال إن هذا الحق يعطي لدائن عادي ، تعجل استصدار حكم ، حق التقدم وحق التتبع على كثيرين من الدائنين العاديين والمرتهنين الذين يقيدون حقوقهم بعده . وصدور الحكم من اختصاص القضاء ، ولا دخل للدائن أو المدين فيه . وفضلا عن هذا فإن حق الأولوية والتتبع ليس منشؤه اتفاقا أو عملا خاصا ، ولذلك فإن هناك كثيرين ينادون بأنه حق من الحقوق التي لا أساس لها . ولذلك فإنه يقترح إلغاء هذا الحق ويكون مرجع الأولوية إلى الاتفاق أو القانون ، وإذا رؤى استبقاؤه فليكن حقا ينتفع به الدائنون جميعا الثابتة حقوقهم قبل صدور الحكم ، ويعتبر الدائن الذي يأخذ حق اختصاص أنه يعمل لنفيه ولغيره  . . . . . ولا يمكن القول إن هذا الحق للدائن هو سبب نشاطه في مبادرته في الالتجاء إلى القضاء ، لأن صدور الأحكام لا يررتبط دائما بالمبادرة إلى رفع الدعوى قبل غيره ، فقد يكون هو السابق ويكون تأخير الحكم راجعا إلى تأخير الدعوى وتاريخ صدور الحكم فيها . فقالت الحكومة إن هذا الرأي له وجاهته ، وعلاج هذه الحالة هو تحريم "أخذ حق اختصاص على المدين المعسر كما هو الشأن في تحريمه بعد موت المدين . وقد استقر الرأي على عرض هذه الآراء على اللجنة في الاجتماع القادم ، لإقرار مبدأ حق الاختصاص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وبعد ذلك أضافت اللجنة عبارة "واجب التنفيذ" بعد كلمة "حكم" في الفقرة الأولى  . . . لأن من يحصل على حق الاختصاص بحكم واجب التنفيذ قد يرتضي إرجاء التنفيذ ما دام قد أمن بالاختصاص على حقه ، ووافق مجلس الشيوخ على المادة كما عدلتها لجنته ، تحت رقم 1085 ( مجموعة الأعمال التحضيرية 7 ص 165 </w:t>
      </w:r>
      <w:r>
        <w:rPr>
          <w:rFonts w:cs="Traditional Arabic"/>
          <w:color w:val="0000FF"/>
          <w:sz w:val="24"/>
          <w:szCs w:val="28"/>
          <w:rtl/>
        </w:rPr>
        <w:t>–</w:t>
      </w:r>
      <w:r>
        <w:rPr>
          <w:rFonts w:cs="Traditional Arabic" w:hint="cs"/>
          <w:color w:val="0000FF"/>
          <w:sz w:val="24"/>
          <w:szCs w:val="28"/>
          <w:rtl/>
        </w:rPr>
        <w:t xml:space="preserve"> ص 160 )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السابق </w:t>
      </w:r>
      <w:r>
        <w:rPr>
          <w:rFonts w:cs="Traditional Arabic" w:hint="cs"/>
          <w:color w:val="0000FF"/>
          <w:sz w:val="24"/>
          <w:szCs w:val="28"/>
          <w:rtl/>
        </w:rPr>
        <w:t>م 595 / 721 : يجوز لكل دائن يده حكم صادر بمواجهة الأخصام أو في غيبة أحدهم ، سواء كان ابتدائيا أو انتهائيا ، أن يتحصل على اختصاصه بعقارات مدينه ، تأمينا على أصل دينه وفوائد والمصاريف ، بشرط مراعاة استيفاء الإجراءات المبينة في قانون المرافعات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1086 : ورد هذا النص في المادة 1512 من المشروع التمهيدي . وعدلته لجنة المراجعة فأصبح مطابقا لما استقر عليه في التقنين المدني الجديد ، وأصبح رقمه 1189 في المشروع النهائي . ووافق عليه مجلس النواب تحت رقم 1175 ، ثم مجلس الشيوخ تحت رقم 1086 ( مجموعة الأعمال التحضيرية 7 ص 161 </w:t>
      </w:r>
      <w:r>
        <w:rPr>
          <w:rFonts w:cs="Traditional Arabic"/>
          <w:color w:val="0000FF"/>
          <w:sz w:val="24"/>
          <w:szCs w:val="28"/>
          <w:rtl/>
        </w:rPr>
        <w:t>–</w:t>
      </w:r>
      <w:r>
        <w:rPr>
          <w:rFonts w:cs="Traditional Arabic" w:hint="cs"/>
          <w:color w:val="0000FF"/>
          <w:sz w:val="24"/>
          <w:szCs w:val="28"/>
          <w:rtl/>
        </w:rPr>
        <w:t xml:space="preserve"> 162 )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1087 : ورد هذا النص في المادة 1513 من المشروع التمهيدي ، وكان المشروع التمهيدي يتضمن فقرة ثانية تجري على الوجه الآتي : "2- حق الاختصاص المأخوذ بناء على حكم ملزم بتقديم حساب يضمن التعويض المستحق بسبب عدم تنفيذ هذا الحكم ، ولا يضمن ما عسى أن يظهر في ذمة المدين من رصيد لهذا الحساب" . وأقرته لجنة المراجعة ، تحت رقم 1190 في المشروع النهائي . ووافق عليه مجلس النواب ، تحت رقم 1176 . وفي للجة مجلس الشيوخ ، حذفت الفقرة الثانية ، وترك أمر ما يضمنه حق الاختصاص للقضاء ، يحكم فيه وفقا لظروف كل حالة بخصوصها ، وأصبح رقم المادة 1087 . ووافق مجلس الشيوخ على المادة كما عدلتها لجنت ( مجموعة الأعمال التحضيرية 7 ص 162 </w:t>
      </w:r>
      <w:r>
        <w:rPr>
          <w:rFonts w:cs="Traditional Arabic"/>
          <w:color w:val="0000FF"/>
          <w:sz w:val="24"/>
          <w:szCs w:val="28"/>
          <w:rtl/>
        </w:rPr>
        <w:t>–</w:t>
      </w:r>
      <w:r>
        <w:rPr>
          <w:rFonts w:cs="Traditional Arabic" w:hint="cs"/>
          <w:color w:val="0000FF"/>
          <w:sz w:val="24"/>
          <w:szCs w:val="28"/>
          <w:rtl/>
        </w:rPr>
        <w:t xml:space="preserve"> 165 ) .</w:t>
      </w:r>
    </w:p>
    <w:p w:rsidR="00F72742" w:rsidRPr="0095675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footnote>
  <w:footnote w:id="13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مجموعة الأعمال التحضيرية 7 ص 163 .</w:t>
      </w:r>
    </w:p>
  </w:footnote>
  <w:footnote w:id="13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طنطا الابتدائية 13 ديسمبر سنة 1917 الحقوق 33 ص 212 </w:t>
      </w:r>
      <w:r>
        <w:rPr>
          <w:rFonts w:cs="Traditional Arabic"/>
          <w:color w:val="0000FF"/>
          <w:sz w:val="24"/>
          <w:szCs w:val="28"/>
          <w:rtl/>
        </w:rPr>
        <w:t>–</w:t>
      </w:r>
      <w:r>
        <w:rPr>
          <w:rFonts w:cs="Traditional Arabic" w:hint="cs"/>
          <w:color w:val="0000FF"/>
          <w:sz w:val="24"/>
          <w:szCs w:val="28"/>
          <w:rtl/>
        </w:rPr>
        <w:t xml:space="preserve"> ومع ذلك قضت محكمة الاستئناف المختلطة بأن البائع الذي له سند تنفيذي لا يقبل منه الحصول على اختصاص على عقار للمشتري إذا لم يقدم الدليل على أن الأموال المحملة بحق امتيازه أصبحت بسبب نقص قيمتها غير كافيا لضمان دينه ، وخصوصاً إذا كان قد تسلم جزءا كبيرا من ثمن المبيع ( استئناف مختلط 16 مايو سنة </w:t>
      </w:r>
      <w:smartTag w:uri="urn:schemas-microsoft-com:office:smarttags" w:element="metricconverter">
        <w:smartTagPr>
          <w:attr w:name="ProductID" w:val="1910 م"/>
        </w:smartTagPr>
        <w:r>
          <w:rPr>
            <w:rFonts w:cs="Traditional Arabic" w:hint="cs"/>
            <w:color w:val="0000FF"/>
            <w:sz w:val="24"/>
            <w:szCs w:val="28"/>
            <w:rtl/>
          </w:rPr>
          <w:t>1910 م</w:t>
        </w:r>
      </w:smartTag>
      <w:r>
        <w:rPr>
          <w:rFonts w:cs="Traditional Arabic" w:hint="cs"/>
          <w:color w:val="0000FF"/>
          <w:sz w:val="24"/>
          <w:szCs w:val="28"/>
          <w:rtl/>
        </w:rPr>
        <w:t xml:space="preserve"> 22 ص 334 ) .</w:t>
      </w:r>
    </w:p>
  </w:footnote>
  <w:footnote w:id="136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شمس الدين الوكيل فقرة 140 </w:t>
      </w:r>
      <w:r>
        <w:rPr>
          <w:rFonts w:cs="Traditional Arabic"/>
          <w:color w:val="0000FF"/>
          <w:sz w:val="24"/>
          <w:szCs w:val="28"/>
          <w:rtl/>
        </w:rPr>
        <w:t>–</w:t>
      </w:r>
      <w:r>
        <w:rPr>
          <w:rFonts w:cs="Traditional Arabic" w:hint="cs"/>
          <w:color w:val="0000FF"/>
          <w:sz w:val="24"/>
          <w:szCs w:val="28"/>
          <w:rtl/>
        </w:rPr>
        <w:t xml:space="preserve"> وانظر عبد الفتاح عبد الباقي فقرة 386 </w:t>
      </w:r>
      <w:r>
        <w:rPr>
          <w:rFonts w:cs="Traditional Arabic"/>
          <w:color w:val="0000FF"/>
          <w:sz w:val="24"/>
          <w:szCs w:val="28"/>
          <w:rtl/>
        </w:rPr>
        <w:t>–</w:t>
      </w:r>
      <w:r>
        <w:rPr>
          <w:rFonts w:cs="Traditional Arabic" w:hint="cs"/>
          <w:color w:val="0000FF"/>
          <w:sz w:val="24"/>
          <w:szCs w:val="28"/>
          <w:rtl/>
        </w:rPr>
        <w:t xml:space="preserve"> سليمان مرقس فقرة 201 </w:t>
      </w:r>
      <w:r>
        <w:rPr>
          <w:rFonts w:cs="Traditional Arabic"/>
          <w:color w:val="0000FF"/>
          <w:sz w:val="24"/>
          <w:szCs w:val="28"/>
          <w:rtl/>
        </w:rPr>
        <w:t>–</w:t>
      </w:r>
      <w:r>
        <w:rPr>
          <w:rFonts w:cs="Traditional Arabic" w:hint="cs"/>
          <w:color w:val="0000FF"/>
          <w:sz w:val="24"/>
          <w:szCs w:val="28"/>
          <w:rtl/>
        </w:rPr>
        <w:t xml:space="preserve"> سمير تناغر فقرة 71 ص 216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قضي بأن الدائن ، إذا أراد الحصول على اختصاص ، يجب عليه أولا الحصول على حكم بالدين ، ثم يحصل على أمر بالاختصاص بناء على هذا الحكم ( استئناف مختلط 3 مارس سنة م 48 ص 171 ) .</w:t>
      </w:r>
    </w:p>
  </w:footnote>
  <w:footnote w:id="13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محمد كامل مرسي فقرة 235 ص 312 </w:t>
      </w:r>
      <w:r>
        <w:rPr>
          <w:rFonts w:cs="Traditional Arabic"/>
          <w:color w:val="0000FF"/>
          <w:sz w:val="24"/>
          <w:szCs w:val="28"/>
          <w:rtl/>
        </w:rPr>
        <w:t>–</w:t>
      </w:r>
      <w:r>
        <w:rPr>
          <w:rFonts w:cs="Traditional Arabic" w:hint="cs"/>
          <w:color w:val="0000FF"/>
          <w:sz w:val="24"/>
          <w:szCs w:val="28"/>
          <w:rtl/>
        </w:rPr>
        <w:t xml:space="preserve"> سليمان مرقس فقرة 201 ص 306 .</w:t>
      </w:r>
    </w:p>
  </w:footnote>
  <w:footnote w:id="13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يؤخذ اختصاص بموجب حكم يلوم المدين بتقديم حساب ( استئناف مختلط 8 يناير سنة </w:t>
      </w:r>
      <w:smartTag w:uri="urn:schemas-microsoft-com:office:smarttags" w:element="metricconverter">
        <w:smartTagPr>
          <w:attr w:name="ProductID" w:val="1918 م"/>
        </w:smartTagPr>
        <w:r>
          <w:rPr>
            <w:rFonts w:cs="Traditional Arabic" w:hint="cs"/>
            <w:color w:val="0000FF"/>
            <w:sz w:val="24"/>
            <w:szCs w:val="28"/>
            <w:rtl/>
          </w:rPr>
          <w:t>1918 م</w:t>
        </w:r>
      </w:smartTag>
      <w:r>
        <w:rPr>
          <w:rFonts w:cs="Traditional Arabic" w:hint="cs"/>
          <w:color w:val="0000FF"/>
          <w:sz w:val="24"/>
          <w:szCs w:val="28"/>
          <w:rtl/>
        </w:rPr>
        <w:t xml:space="preserve"> 30 ص 131 ) .</w:t>
      </w:r>
    </w:p>
  </w:footnote>
  <w:footnote w:id="137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وإذا صدر الحكم ن محكمة جنائية ، كان حق الاختصاص ضامنا التعويض المدني ، والمصروفات المحكوم بها للحكومة ( استئناف وطني 15 مايو سنة 1924 المحاماة 4 رقم 703 ص 925 </w:t>
      </w:r>
      <w:r>
        <w:rPr>
          <w:rFonts w:cs="Traditional Arabic"/>
          <w:color w:val="0000FF"/>
          <w:sz w:val="24"/>
          <w:szCs w:val="28"/>
          <w:rtl/>
        </w:rPr>
        <w:t>–</w:t>
      </w:r>
      <w:r>
        <w:rPr>
          <w:rFonts w:cs="Traditional Arabic" w:hint="cs"/>
          <w:color w:val="0000FF"/>
          <w:sz w:val="24"/>
          <w:szCs w:val="28"/>
          <w:rtl/>
        </w:rPr>
        <w:t xml:space="preserve"> استئناف مختلط 2 يناير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91 </w:t>
      </w:r>
      <w:r>
        <w:rPr>
          <w:rFonts w:cs="Traditional Arabic"/>
          <w:color w:val="0000FF"/>
          <w:sz w:val="24"/>
          <w:szCs w:val="28"/>
          <w:rtl/>
        </w:rPr>
        <w:t>–</w:t>
      </w:r>
      <w:r>
        <w:rPr>
          <w:rFonts w:cs="Traditional Arabic" w:hint="cs"/>
          <w:color w:val="0000FF"/>
          <w:sz w:val="24"/>
          <w:szCs w:val="28"/>
          <w:rtl/>
        </w:rPr>
        <w:t xml:space="preserve"> 18 مايو سنة </w:t>
      </w:r>
      <w:smartTag w:uri="urn:schemas-microsoft-com:office:smarttags" w:element="metricconverter">
        <w:smartTagPr>
          <w:attr w:name="ProductID" w:val="1904 م"/>
        </w:smartTagPr>
        <w:r>
          <w:rPr>
            <w:rFonts w:cs="Traditional Arabic" w:hint="cs"/>
            <w:color w:val="0000FF"/>
            <w:sz w:val="24"/>
            <w:szCs w:val="28"/>
            <w:rtl/>
          </w:rPr>
          <w:t>1904 م</w:t>
        </w:r>
      </w:smartTag>
      <w:r>
        <w:rPr>
          <w:rFonts w:cs="Traditional Arabic" w:hint="cs"/>
          <w:color w:val="0000FF"/>
          <w:sz w:val="24"/>
          <w:szCs w:val="28"/>
          <w:rtl/>
        </w:rPr>
        <w:t xml:space="preserve"> 16 ص 257 ) </w:t>
      </w:r>
      <w:r>
        <w:rPr>
          <w:rFonts w:cs="Traditional Arabic"/>
          <w:color w:val="0000FF"/>
          <w:sz w:val="24"/>
          <w:szCs w:val="28"/>
          <w:rtl/>
        </w:rPr>
        <w:t>–</w:t>
      </w:r>
      <w:r>
        <w:rPr>
          <w:rFonts w:cs="Traditional Arabic" w:hint="cs"/>
          <w:color w:val="0000FF"/>
          <w:sz w:val="24"/>
          <w:szCs w:val="28"/>
          <w:rtl/>
        </w:rPr>
        <w:t xml:space="preserve"> بلانيول وريبير وبيكيه 13 فقرة 575 </w:t>
      </w:r>
      <w:r>
        <w:rPr>
          <w:rFonts w:cs="Traditional Arabic"/>
          <w:color w:val="0000FF"/>
          <w:sz w:val="24"/>
          <w:szCs w:val="28"/>
          <w:rtl/>
        </w:rPr>
        <w:t>–</w:t>
      </w:r>
      <w:r>
        <w:rPr>
          <w:rFonts w:cs="Traditional Arabic" w:hint="cs"/>
          <w:color w:val="0000FF"/>
          <w:sz w:val="24"/>
          <w:szCs w:val="28"/>
          <w:rtl/>
        </w:rPr>
        <w:t xml:space="preserve"> دي هلتس 10 </w:t>
      </w:r>
      <w:r>
        <w:rPr>
          <w:rFonts w:cs="Traditional Arabic"/>
          <w:color w:val="0000FF"/>
          <w:sz w:val="24"/>
          <w:szCs w:val="28"/>
          <w:rtl/>
        </w:rPr>
        <w:t>–</w:t>
      </w:r>
      <w:r>
        <w:rPr>
          <w:rFonts w:cs="Traditional Arabic" w:hint="cs"/>
          <w:color w:val="0000FF"/>
          <w:sz w:val="24"/>
          <w:szCs w:val="28"/>
          <w:rtl/>
        </w:rPr>
        <w:t xml:space="preserve"> جرانمولان فقرة 584 </w:t>
      </w:r>
      <w:r>
        <w:rPr>
          <w:rFonts w:cs="Traditional Arabic"/>
          <w:color w:val="0000FF"/>
          <w:sz w:val="24"/>
          <w:szCs w:val="28"/>
          <w:rtl/>
        </w:rPr>
        <w:t>–</w:t>
      </w:r>
      <w:r>
        <w:rPr>
          <w:rFonts w:cs="Traditional Arabic" w:hint="cs"/>
          <w:color w:val="0000FF"/>
          <w:sz w:val="24"/>
          <w:szCs w:val="28"/>
          <w:rtl/>
        </w:rPr>
        <w:t xml:space="preserve"> محمد كامل مرسي 239 .</w:t>
      </w:r>
    </w:p>
  </w:footnote>
  <w:footnote w:id="13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استئناف مختلط 24 أبريل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42 ص 449 .</w:t>
      </w:r>
    </w:p>
  </w:footnote>
  <w:footnote w:id="137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آنفاً فقرة 409 .</w:t>
      </w:r>
    </w:p>
  </w:footnote>
  <w:footnote w:id="137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 xml:space="preserve"> بيدان وفواران 14 فقرة 358 </w:t>
      </w:r>
      <w:r>
        <w:rPr>
          <w:rFonts w:cs="Traditional Arabic"/>
          <w:color w:val="0000FF"/>
          <w:sz w:val="24"/>
          <w:szCs w:val="28"/>
          <w:rtl/>
        </w:rPr>
        <w:t>–</w:t>
      </w:r>
      <w:r>
        <w:rPr>
          <w:rFonts w:cs="Traditional Arabic" w:hint="cs"/>
          <w:color w:val="0000FF"/>
          <w:sz w:val="24"/>
          <w:szCs w:val="28"/>
          <w:rtl/>
        </w:rPr>
        <w:t xml:space="preserve"> بلانيول وريبير وبيكيه 13 فقرة 589 . لبوديير وبيجونيير الموجز في القانون الدولي الخاص فقرة 354 </w:t>
      </w:r>
      <w:r>
        <w:rPr>
          <w:rFonts w:cs="Traditional Arabic"/>
          <w:color w:val="0000FF"/>
          <w:sz w:val="24"/>
          <w:szCs w:val="28"/>
          <w:rtl/>
        </w:rPr>
        <w:t>–</w:t>
      </w:r>
      <w:r>
        <w:rPr>
          <w:rFonts w:cs="Traditional Arabic" w:hint="cs"/>
          <w:color w:val="0000FF"/>
          <w:sz w:val="24"/>
          <w:szCs w:val="28"/>
          <w:rtl/>
        </w:rPr>
        <w:t xml:space="preserve"> عز الدين عبد الله في القانون الدولي الخاص 2 فقرة 120 وما بعدها </w:t>
      </w:r>
      <w:r>
        <w:rPr>
          <w:rFonts w:cs="Traditional Arabic"/>
          <w:color w:val="0000FF"/>
          <w:sz w:val="24"/>
          <w:szCs w:val="28"/>
          <w:rtl/>
        </w:rPr>
        <w:t>–</w:t>
      </w:r>
      <w:r>
        <w:rPr>
          <w:rFonts w:cs="Traditional Arabic" w:hint="cs"/>
          <w:color w:val="0000FF"/>
          <w:sz w:val="24"/>
          <w:szCs w:val="28"/>
          <w:rtl/>
        </w:rPr>
        <w:t xml:space="preserve"> شمس الدين الوكيل فقرة 150 ص 408 .</w:t>
      </w:r>
    </w:p>
  </w:footnote>
  <w:footnote w:id="13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w:t>
      </w:r>
      <w:r w:rsidRPr="00C43A57">
        <w:rPr>
          <w:rFonts w:cs="Traditional Arabic" w:hint="cs"/>
          <w:color w:val="0000FF"/>
          <w:sz w:val="24"/>
          <w:szCs w:val="28"/>
          <w:rtl/>
        </w:rPr>
        <w:t xml:space="preserve"> </w:t>
      </w:r>
      <w:r>
        <w:rPr>
          <w:rFonts w:cs="Traditional Arabic" w:hint="cs"/>
          <w:color w:val="0000FF"/>
          <w:sz w:val="24"/>
          <w:szCs w:val="28"/>
          <w:rtl/>
        </w:rPr>
        <w:t>انظر آنفاً فقرة 409 .</w:t>
      </w:r>
    </w:p>
  </w:footnote>
  <w:footnote w:id="13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409 .</w:t>
      </w:r>
    </w:p>
  </w:footnote>
  <w:footnote w:id="137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900 </w:t>
      </w:r>
      <w:r>
        <w:rPr>
          <w:rFonts w:cs="Traditional Arabic"/>
          <w:color w:val="0000FF"/>
          <w:sz w:val="24"/>
          <w:szCs w:val="28"/>
          <w:rtl/>
        </w:rPr>
        <w:t>–</w:t>
      </w:r>
      <w:r>
        <w:rPr>
          <w:rFonts w:cs="Traditional Arabic" w:hint="cs"/>
          <w:color w:val="0000FF"/>
          <w:sz w:val="24"/>
          <w:szCs w:val="28"/>
          <w:rtl/>
        </w:rPr>
        <w:t xml:space="preserve"> بودري ودي لوان فقرة 1239 </w:t>
      </w:r>
      <w:r>
        <w:rPr>
          <w:rFonts w:cs="Traditional Arabic"/>
          <w:color w:val="0000FF"/>
          <w:sz w:val="24"/>
          <w:szCs w:val="28"/>
          <w:rtl/>
        </w:rPr>
        <w:t>–</w:t>
      </w:r>
      <w:r>
        <w:rPr>
          <w:rFonts w:cs="Traditional Arabic" w:hint="cs"/>
          <w:color w:val="0000FF"/>
          <w:sz w:val="24"/>
          <w:szCs w:val="28"/>
          <w:rtl/>
        </w:rPr>
        <w:t xml:space="preserve"> بلانيول وريبير وبيكيه 13 فقرة 574 </w:t>
      </w:r>
      <w:r>
        <w:rPr>
          <w:rFonts w:cs="Traditional Arabic"/>
          <w:color w:val="0000FF"/>
          <w:sz w:val="24"/>
          <w:szCs w:val="28"/>
          <w:rtl/>
        </w:rPr>
        <w:t>–</w:t>
      </w:r>
      <w:r>
        <w:rPr>
          <w:rFonts w:cs="Traditional Arabic" w:hint="cs"/>
          <w:color w:val="0000FF"/>
          <w:sz w:val="24"/>
          <w:szCs w:val="28"/>
          <w:rtl/>
        </w:rPr>
        <w:t xml:space="preserve"> جرانمولان فقرة 583 </w:t>
      </w:r>
      <w:r>
        <w:rPr>
          <w:rFonts w:cs="Traditional Arabic"/>
          <w:color w:val="0000FF"/>
          <w:sz w:val="24"/>
          <w:szCs w:val="28"/>
          <w:rtl/>
        </w:rPr>
        <w:t>–</w:t>
      </w:r>
      <w:r>
        <w:rPr>
          <w:rFonts w:cs="Traditional Arabic" w:hint="cs"/>
          <w:color w:val="0000FF"/>
          <w:sz w:val="24"/>
          <w:szCs w:val="28"/>
          <w:rtl/>
        </w:rPr>
        <w:t xml:space="preserve"> محمد كامل مرسي فقرة 247 </w:t>
      </w:r>
      <w:r>
        <w:rPr>
          <w:rFonts w:cs="Traditional Arabic"/>
          <w:color w:val="0000FF"/>
          <w:sz w:val="24"/>
          <w:szCs w:val="28"/>
          <w:rtl/>
        </w:rPr>
        <w:t>–</w:t>
      </w:r>
      <w:r>
        <w:rPr>
          <w:rFonts w:cs="Traditional Arabic" w:hint="cs"/>
          <w:color w:val="0000FF"/>
          <w:sz w:val="24"/>
          <w:szCs w:val="28"/>
          <w:rtl/>
        </w:rPr>
        <w:t xml:space="preserve"> استئناف مختلط 18 يونيه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451 </w:t>
      </w:r>
      <w:r>
        <w:rPr>
          <w:rFonts w:cs="Traditional Arabic"/>
          <w:color w:val="0000FF"/>
          <w:sz w:val="24"/>
          <w:szCs w:val="28"/>
          <w:rtl/>
        </w:rPr>
        <w:t>–</w:t>
      </w:r>
      <w:r>
        <w:rPr>
          <w:rFonts w:cs="Traditional Arabic" w:hint="cs"/>
          <w:color w:val="0000FF"/>
          <w:sz w:val="24"/>
          <w:szCs w:val="28"/>
          <w:rtl/>
        </w:rPr>
        <w:t xml:space="preserve"> 8 نوفمبر سنة </w:t>
      </w:r>
      <w:smartTag w:uri="urn:schemas-microsoft-com:office:smarttags" w:element="metricconverter">
        <w:smartTagPr>
          <w:attr w:name="ProductID" w:val="1927 م"/>
        </w:smartTagPr>
        <w:r>
          <w:rPr>
            <w:rFonts w:cs="Traditional Arabic" w:hint="cs"/>
            <w:color w:val="0000FF"/>
            <w:sz w:val="24"/>
            <w:szCs w:val="28"/>
            <w:rtl/>
          </w:rPr>
          <w:t>1927 م</w:t>
        </w:r>
      </w:smartTag>
      <w:r>
        <w:rPr>
          <w:rFonts w:cs="Traditional Arabic" w:hint="cs"/>
          <w:color w:val="0000FF"/>
          <w:sz w:val="24"/>
          <w:szCs w:val="28"/>
          <w:rtl/>
        </w:rPr>
        <w:t xml:space="preserve"> 40 ص 17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وانظر أيضاً استئناف وطني 21 ديسمبر سنة 1915 المجموعة الرسمية 17 رقم 50 ص 79 : يجوز للدائن أن يحصل على حق اختصاص بموجب محضر صلح تم بين طرفي الخصوم في دعوى وصدقت عليه المحكمة . وانظر طنطا الابتدائية 23 سبتمبر سنة 1917 الحقوق 33 ص 212 : الأحكام الصادرة بالتصديق على صلح تشترك أيضاً مع الأحكام ، لأن العلاقة التي تتقرر بمقتضاها ين الخصوم لا يمكن الطعن عليها إلا بنفس الأسباب التي يمكن الطعن بها على الأحكام بطريق الالتماس .</w:t>
      </w:r>
    </w:p>
  </w:footnote>
  <w:footnote w:id="1379">
    <w:p w:rsidR="00F72742" w:rsidRPr="00EE76C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163 </w:t>
      </w:r>
      <w:r>
        <w:rPr>
          <w:rFonts w:cs="Traditional Arabic"/>
          <w:color w:val="0000FF"/>
          <w:sz w:val="24"/>
          <w:szCs w:val="28"/>
          <w:rtl/>
        </w:rPr>
        <w:t>–</w:t>
      </w:r>
      <w:r>
        <w:rPr>
          <w:rFonts w:cs="Traditional Arabic" w:hint="cs"/>
          <w:color w:val="0000FF"/>
          <w:sz w:val="24"/>
          <w:szCs w:val="28"/>
          <w:rtl/>
        </w:rPr>
        <w:t xml:space="preserve"> وقد قضي بأن الرأي الراجح فقها وقضاء أن الحكم الذي يقر الصلح بين طرفي الدعوى </w:t>
      </w:r>
      <w:r>
        <w:rPr>
          <w:rFonts w:cs="Traditional Arabic"/>
          <w:color w:val="0000FF"/>
          <w:sz w:val="24"/>
          <w:szCs w:val="28"/>
          <w:rtl/>
        </w:rPr>
        <w:t xml:space="preserve">( </w:t>
      </w:r>
      <w:r>
        <w:rPr>
          <w:rFonts w:cs="Traditional Arabic"/>
          <w:color w:val="0000FF"/>
          <w:sz w:val="24"/>
          <w:szCs w:val="28"/>
        </w:rPr>
        <w:t>jugemeut d'expedient</w:t>
      </w:r>
      <w:r>
        <w:rPr>
          <w:rFonts w:cs="Traditional Arabic"/>
          <w:color w:val="0000FF"/>
          <w:sz w:val="24"/>
          <w:szCs w:val="28"/>
          <w:rtl/>
        </w:rPr>
        <w:t xml:space="preserve"> )</w:t>
      </w:r>
      <w:r>
        <w:rPr>
          <w:rFonts w:cs="Traditional Arabic" w:hint="cs"/>
          <w:color w:val="0000FF"/>
          <w:sz w:val="24"/>
          <w:szCs w:val="28"/>
          <w:rtl/>
        </w:rPr>
        <w:t xml:space="preserve"> تجوز الاستعانة به في طلب توقيع حق الاختصاص ، باعتباره حكما قضائيا ( الإسكندرية الكلية 19 مارس سنة 1944 المحاماة 24 رقم 176 ص 511 ) .</w:t>
      </w:r>
    </w:p>
  </w:footnote>
  <w:footnote w:id="138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248 .</w:t>
      </w:r>
    </w:p>
  </w:footnote>
  <w:footnote w:id="138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مايو سنة </w:t>
      </w:r>
      <w:smartTag w:uri="urn:schemas-microsoft-com:office:smarttags" w:element="metricconverter">
        <w:smartTagPr>
          <w:attr w:name="ProductID" w:val="1604 م"/>
        </w:smartTagPr>
        <w:r>
          <w:rPr>
            <w:rFonts w:cs="Traditional Arabic" w:hint="cs"/>
            <w:color w:val="0000FF"/>
            <w:sz w:val="24"/>
            <w:szCs w:val="28"/>
            <w:rtl/>
          </w:rPr>
          <w:t>1604 م</w:t>
        </w:r>
      </w:smartTag>
      <w:r>
        <w:rPr>
          <w:rFonts w:cs="Traditional Arabic" w:hint="cs"/>
          <w:color w:val="0000FF"/>
          <w:sz w:val="24"/>
          <w:szCs w:val="28"/>
          <w:rtl/>
        </w:rPr>
        <w:t xml:space="preserve"> 16 ص 257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وانظر محمد كامل مرسي فقرة 248 </w:t>
      </w:r>
      <w:r>
        <w:rPr>
          <w:rFonts w:cs="Traditional Arabic"/>
          <w:color w:val="0000FF"/>
          <w:sz w:val="24"/>
          <w:szCs w:val="28"/>
          <w:rtl/>
        </w:rPr>
        <w:t>–</w:t>
      </w:r>
      <w:r>
        <w:rPr>
          <w:rFonts w:cs="Traditional Arabic" w:hint="cs"/>
          <w:color w:val="0000FF"/>
          <w:sz w:val="24"/>
          <w:szCs w:val="28"/>
          <w:rtl/>
        </w:rPr>
        <w:t xml:space="preserve"> سليمان مرقس فقرة 201 ص 308 </w:t>
      </w:r>
      <w:r>
        <w:rPr>
          <w:rFonts w:cs="Traditional Arabic"/>
          <w:color w:val="0000FF"/>
          <w:sz w:val="24"/>
          <w:szCs w:val="28"/>
          <w:rtl/>
        </w:rPr>
        <w:t>–</w:t>
      </w:r>
      <w:r>
        <w:rPr>
          <w:rFonts w:cs="Traditional Arabic" w:hint="cs"/>
          <w:color w:val="0000FF"/>
          <w:sz w:val="24"/>
          <w:szCs w:val="28"/>
          <w:rtl/>
        </w:rPr>
        <w:t xml:space="preserve"> جرانمولان فقرة 583 </w:t>
      </w:r>
      <w:r>
        <w:rPr>
          <w:rFonts w:cs="Traditional Arabic"/>
          <w:color w:val="0000FF"/>
          <w:sz w:val="24"/>
          <w:szCs w:val="28"/>
          <w:rtl/>
        </w:rPr>
        <w:t>–</w:t>
      </w:r>
      <w:r>
        <w:rPr>
          <w:rFonts w:cs="Traditional Arabic" w:hint="cs"/>
          <w:color w:val="0000FF"/>
          <w:sz w:val="24"/>
          <w:szCs w:val="28"/>
          <w:rtl/>
        </w:rPr>
        <w:t xml:space="preserve"> استئناف مختلط 2 يونيه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91 .</w:t>
      </w:r>
    </w:p>
  </w:footnote>
  <w:footnote w:id="138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شمس الدين الوكيل فقرة 140 ص 408 .</w:t>
      </w:r>
    </w:p>
  </w:footnote>
  <w:footnote w:id="13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409 .</w:t>
      </w:r>
    </w:p>
  </w:footnote>
  <w:footnote w:id="138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409 .</w:t>
      </w:r>
    </w:p>
  </w:footnote>
  <w:footnote w:id="138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278 ديسمبر سنة 1898 الحقوق 14 رقم 6 ص 18 </w:t>
      </w:r>
      <w:r>
        <w:rPr>
          <w:rFonts w:cs="Traditional Arabic"/>
          <w:color w:val="0000FF"/>
          <w:sz w:val="24"/>
          <w:szCs w:val="28"/>
          <w:rtl/>
        </w:rPr>
        <w:t>–</w:t>
      </w:r>
      <w:r>
        <w:rPr>
          <w:rFonts w:cs="Traditional Arabic" w:hint="cs"/>
          <w:color w:val="0000FF"/>
          <w:sz w:val="24"/>
          <w:szCs w:val="28"/>
          <w:rtl/>
        </w:rPr>
        <w:t xml:space="preserve"> 2 مايو سنة 1899 المجموعة الرسمية 2 رقم 5 ص 15 </w:t>
      </w:r>
      <w:r>
        <w:rPr>
          <w:rFonts w:cs="Traditional Arabic"/>
          <w:color w:val="0000FF"/>
          <w:sz w:val="24"/>
          <w:szCs w:val="28"/>
          <w:rtl/>
        </w:rPr>
        <w:t>–</w:t>
      </w:r>
      <w:r>
        <w:rPr>
          <w:rFonts w:cs="Traditional Arabic" w:hint="cs"/>
          <w:color w:val="0000FF"/>
          <w:sz w:val="24"/>
          <w:szCs w:val="28"/>
          <w:rtl/>
        </w:rPr>
        <w:t xml:space="preserve"> دي هلتس فقرة 8 </w:t>
      </w:r>
      <w:r>
        <w:rPr>
          <w:rFonts w:cs="Traditional Arabic"/>
          <w:color w:val="0000FF"/>
          <w:sz w:val="24"/>
          <w:szCs w:val="28"/>
          <w:rtl/>
        </w:rPr>
        <w:t>–</w:t>
      </w:r>
      <w:r>
        <w:rPr>
          <w:rFonts w:cs="Traditional Arabic" w:hint="cs"/>
          <w:color w:val="0000FF"/>
          <w:sz w:val="24"/>
          <w:szCs w:val="28"/>
          <w:rtl/>
        </w:rPr>
        <w:t xml:space="preserve"> جرانمولان فقرة 581 </w:t>
      </w:r>
      <w:r>
        <w:rPr>
          <w:rFonts w:cs="Traditional Arabic"/>
          <w:color w:val="0000FF"/>
          <w:sz w:val="24"/>
          <w:szCs w:val="28"/>
          <w:rtl/>
        </w:rPr>
        <w:t>–</w:t>
      </w:r>
      <w:r>
        <w:rPr>
          <w:rFonts w:cs="Traditional Arabic" w:hint="cs"/>
          <w:color w:val="0000FF"/>
          <w:sz w:val="24"/>
          <w:szCs w:val="28"/>
          <w:rtl/>
        </w:rPr>
        <w:t xml:space="preserve"> عبد السلام ذهني فقرة 203 </w:t>
      </w:r>
      <w:r>
        <w:rPr>
          <w:rFonts w:cs="Traditional Arabic"/>
          <w:color w:val="0000FF"/>
          <w:sz w:val="24"/>
          <w:szCs w:val="28"/>
          <w:rtl/>
        </w:rPr>
        <w:t>–</w:t>
      </w:r>
      <w:r>
        <w:rPr>
          <w:rFonts w:cs="Traditional Arabic" w:hint="cs"/>
          <w:color w:val="0000FF"/>
          <w:sz w:val="24"/>
          <w:szCs w:val="28"/>
          <w:rtl/>
        </w:rPr>
        <w:t xml:space="preserve"> عبد الحميد أبو هيف في طرق التنفيذ فقرة 1289  محمد كامل مرسي فقرة 246 </w:t>
      </w:r>
      <w:r>
        <w:rPr>
          <w:rFonts w:cs="Traditional Arabic"/>
          <w:color w:val="0000FF"/>
          <w:sz w:val="24"/>
          <w:szCs w:val="28"/>
          <w:rtl/>
        </w:rPr>
        <w:t>–</w:t>
      </w:r>
      <w:r>
        <w:rPr>
          <w:rFonts w:cs="Traditional Arabic" w:hint="cs"/>
          <w:color w:val="0000FF"/>
          <w:sz w:val="24"/>
          <w:szCs w:val="28"/>
          <w:rtl/>
        </w:rPr>
        <w:t xml:space="preserve"> سليمان مرقس فقرة 203 ص 314 ص 315 .</w:t>
      </w:r>
    </w:p>
  </w:footnote>
  <w:footnote w:id="13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763 </w:t>
      </w:r>
      <w:r>
        <w:rPr>
          <w:rFonts w:cs="Traditional Arabic"/>
          <w:color w:val="0000FF"/>
          <w:sz w:val="24"/>
          <w:szCs w:val="28"/>
          <w:rtl/>
        </w:rPr>
        <w:t>–</w:t>
      </w:r>
      <w:r>
        <w:rPr>
          <w:rFonts w:cs="Traditional Arabic" w:hint="cs"/>
          <w:color w:val="0000FF"/>
          <w:sz w:val="24"/>
          <w:szCs w:val="28"/>
          <w:rtl/>
        </w:rPr>
        <w:t xml:space="preserve"> محمد كامل مرسي فقرة 246 </w:t>
      </w:r>
      <w:r>
        <w:rPr>
          <w:rFonts w:cs="Traditional Arabic"/>
          <w:color w:val="0000FF"/>
          <w:sz w:val="24"/>
          <w:szCs w:val="28"/>
          <w:rtl/>
        </w:rPr>
        <w:t>–</w:t>
      </w:r>
      <w:r>
        <w:rPr>
          <w:rFonts w:cs="Traditional Arabic" w:hint="cs"/>
          <w:color w:val="0000FF"/>
          <w:sz w:val="24"/>
          <w:szCs w:val="28"/>
          <w:rtl/>
        </w:rPr>
        <w:t xml:space="preserve"> عبد الفتاح عبد الباقي فقرة 390 </w:t>
      </w:r>
      <w:r>
        <w:rPr>
          <w:rFonts w:cs="Traditional Arabic"/>
          <w:color w:val="0000FF"/>
          <w:sz w:val="24"/>
          <w:szCs w:val="28"/>
          <w:rtl/>
        </w:rPr>
        <w:t>–</w:t>
      </w:r>
      <w:r>
        <w:rPr>
          <w:rFonts w:cs="Traditional Arabic" w:hint="cs"/>
          <w:color w:val="0000FF"/>
          <w:sz w:val="24"/>
          <w:szCs w:val="28"/>
          <w:rtl/>
        </w:rPr>
        <w:t xml:space="preserve"> شفيق شحاته 3 فقرة 178 </w:t>
      </w:r>
      <w:r>
        <w:rPr>
          <w:rFonts w:cs="Traditional Arabic"/>
          <w:color w:val="0000FF"/>
          <w:sz w:val="24"/>
          <w:szCs w:val="28"/>
          <w:rtl/>
        </w:rPr>
        <w:t>–</w:t>
      </w:r>
      <w:r>
        <w:rPr>
          <w:rFonts w:cs="Traditional Arabic" w:hint="cs"/>
          <w:color w:val="0000FF"/>
          <w:sz w:val="24"/>
          <w:szCs w:val="28"/>
          <w:rtl/>
        </w:rPr>
        <w:t xml:space="preserve"> سليمان مرقس فقرة 203 ص 314 </w:t>
      </w:r>
      <w:r>
        <w:rPr>
          <w:rFonts w:cs="Traditional Arabic"/>
          <w:color w:val="0000FF"/>
          <w:sz w:val="24"/>
          <w:szCs w:val="28"/>
          <w:rtl/>
        </w:rPr>
        <w:t>–</w:t>
      </w:r>
      <w:r>
        <w:rPr>
          <w:rFonts w:cs="Traditional Arabic" w:hint="cs"/>
          <w:color w:val="0000FF"/>
          <w:sz w:val="24"/>
          <w:szCs w:val="28"/>
          <w:rtl/>
        </w:rPr>
        <w:t xml:space="preserve"> ص 315 .</w:t>
      </w:r>
    </w:p>
  </w:footnote>
  <w:footnote w:id="13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مايو سنة </w:t>
      </w:r>
      <w:smartTag w:uri="urn:schemas-microsoft-com:office:smarttags" w:element="metricconverter">
        <w:smartTagPr>
          <w:attr w:name="ProductID" w:val="1905 م"/>
        </w:smartTagPr>
        <w:r>
          <w:rPr>
            <w:rFonts w:cs="Traditional Arabic" w:hint="cs"/>
            <w:color w:val="0000FF"/>
            <w:sz w:val="24"/>
            <w:szCs w:val="28"/>
            <w:rtl/>
          </w:rPr>
          <w:t>1905 م</w:t>
        </w:r>
      </w:smartTag>
      <w:r>
        <w:rPr>
          <w:rFonts w:cs="Traditional Arabic" w:hint="cs"/>
          <w:color w:val="0000FF"/>
          <w:sz w:val="24"/>
          <w:szCs w:val="28"/>
          <w:rtl/>
        </w:rPr>
        <w:t xml:space="preserve"> 17 ص 288 </w:t>
      </w:r>
      <w:r>
        <w:rPr>
          <w:rFonts w:cs="Traditional Arabic"/>
          <w:color w:val="0000FF"/>
          <w:sz w:val="24"/>
          <w:szCs w:val="28"/>
          <w:rtl/>
        </w:rPr>
        <w:t>–</w:t>
      </w:r>
      <w:r>
        <w:rPr>
          <w:rFonts w:cs="Traditional Arabic" w:hint="cs"/>
          <w:color w:val="0000FF"/>
          <w:sz w:val="24"/>
          <w:szCs w:val="28"/>
          <w:rtl/>
        </w:rPr>
        <w:t xml:space="preserve"> 20 مارس سنة </w:t>
      </w:r>
      <w:smartTag w:uri="urn:schemas-microsoft-com:office:smarttags" w:element="metricconverter">
        <w:smartTagPr>
          <w:attr w:name="ProductID" w:val="1945 م"/>
        </w:smartTagPr>
        <w:r>
          <w:rPr>
            <w:rFonts w:cs="Traditional Arabic" w:hint="cs"/>
            <w:color w:val="0000FF"/>
            <w:sz w:val="24"/>
            <w:szCs w:val="28"/>
            <w:rtl/>
          </w:rPr>
          <w:t>1945 م</w:t>
        </w:r>
      </w:smartTag>
      <w:r>
        <w:rPr>
          <w:rFonts w:cs="Traditional Arabic" w:hint="cs"/>
          <w:color w:val="0000FF"/>
          <w:sz w:val="24"/>
          <w:szCs w:val="28"/>
          <w:rtl/>
        </w:rPr>
        <w:t xml:space="preserve"> 57 ص 95 .</w:t>
      </w:r>
    </w:p>
  </w:footnote>
  <w:footnote w:id="13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28 مايو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405 .</w:t>
      </w:r>
    </w:p>
  </w:footnote>
  <w:footnote w:id="138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أيضاً فقرة 409 في الهامش في تاريخ نص المادة 1085 .</w:t>
      </w:r>
    </w:p>
  </w:footnote>
  <w:footnote w:id="13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عكس ذلك سليمان مرقس فقرة 202 ص 311 هامش 1 .</w:t>
      </w:r>
    </w:p>
  </w:footnote>
  <w:footnote w:id="139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202 ص 309 - ص 310 .</w:t>
      </w:r>
    </w:p>
  </w:footnote>
  <w:footnote w:id="13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شمس الدين الوكيل فقرة 141 ص 410 </w:t>
      </w:r>
      <w:r>
        <w:rPr>
          <w:rFonts w:cs="Traditional Arabic"/>
          <w:color w:val="0000FF"/>
          <w:sz w:val="24"/>
          <w:szCs w:val="28"/>
          <w:rtl/>
        </w:rPr>
        <w:t>–</w:t>
      </w:r>
      <w:r>
        <w:rPr>
          <w:rFonts w:cs="Traditional Arabic" w:hint="cs"/>
          <w:color w:val="0000FF"/>
          <w:sz w:val="24"/>
          <w:szCs w:val="28"/>
          <w:rtl/>
        </w:rPr>
        <w:t xml:space="preserve"> ص 411 .</w:t>
      </w:r>
    </w:p>
  </w:footnote>
  <w:footnote w:id="139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منصور مصطفى منصور فقرة 84 ص 176 .</w:t>
      </w:r>
    </w:p>
  </w:footnote>
  <w:footnote w:id="139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سمير تناغر فقرة 71 ص 221 .</w:t>
      </w:r>
    </w:p>
  </w:footnote>
  <w:footnote w:id="139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751 </w:t>
      </w:r>
      <w:r>
        <w:rPr>
          <w:rFonts w:cs="Traditional Arabic"/>
          <w:color w:val="0000FF"/>
          <w:sz w:val="24"/>
          <w:szCs w:val="28"/>
          <w:rtl/>
        </w:rPr>
        <w:t>–</w:t>
      </w:r>
      <w:r>
        <w:rPr>
          <w:rFonts w:cs="Traditional Arabic" w:hint="cs"/>
          <w:color w:val="0000FF"/>
          <w:sz w:val="24"/>
          <w:szCs w:val="28"/>
          <w:rtl/>
        </w:rPr>
        <w:t xml:space="preserve"> شفيق شحاته 3 ص 159 هامش 1 </w:t>
      </w:r>
      <w:r>
        <w:rPr>
          <w:rFonts w:cs="Traditional Arabic"/>
          <w:color w:val="0000FF"/>
          <w:sz w:val="24"/>
          <w:szCs w:val="28"/>
          <w:rtl/>
        </w:rPr>
        <w:t>–</w:t>
      </w:r>
      <w:r>
        <w:rPr>
          <w:rFonts w:cs="Traditional Arabic" w:hint="cs"/>
          <w:color w:val="0000FF"/>
          <w:sz w:val="24"/>
          <w:szCs w:val="28"/>
          <w:rtl/>
        </w:rPr>
        <w:t xml:space="preserve"> عبد الفتاح عبد الباقي فقرة 288 </w:t>
      </w:r>
      <w:r>
        <w:rPr>
          <w:rFonts w:cs="Traditional Arabic"/>
          <w:color w:val="0000FF"/>
          <w:sz w:val="24"/>
          <w:szCs w:val="28"/>
          <w:rtl/>
        </w:rPr>
        <w:t>–</w:t>
      </w:r>
      <w:r>
        <w:rPr>
          <w:rFonts w:cs="Traditional Arabic" w:hint="cs"/>
          <w:color w:val="0000FF"/>
          <w:sz w:val="24"/>
          <w:szCs w:val="28"/>
          <w:rtl/>
        </w:rPr>
        <w:t xml:space="preserve"> سليمان مرقس فقرة 203 ص 312 </w:t>
      </w:r>
      <w:r>
        <w:rPr>
          <w:rFonts w:cs="Traditional Arabic"/>
          <w:color w:val="0000FF"/>
          <w:sz w:val="24"/>
          <w:szCs w:val="28"/>
          <w:rtl/>
        </w:rPr>
        <w:t>–</w:t>
      </w:r>
      <w:r>
        <w:rPr>
          <w:rFonts w:cs="Traditional Arabic" w:hint="cs"/>
          <w:color w:val="0000FF"/>
          <w:sz w:val="24"/>
          <w:szCs w:val="28"/>
          <w:rtl/>
        </w:rPr>
        <w:t xml:space="preserve"> استئناف مختلط 24 أبريل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42 ص 449 .</w:t>
      </w:r>
    </w:p>
  </w:footnote>
  <w:footnote w:id="13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شفيق شحاته 3 فقرة 177 .</w:t>
      </w:r>
    </w:p>
  </w:footnote>
  <w:footnote w:id="139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ذلك سليمان مرقس فقرة 203 ص 312 .</w:t>
      </w:r>
    </w:p>
  </w:footnote>
  <w:footnote w:id="139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فقرة 409 في الهامش في تاريخ المادة 1087 مدني .</w:t>
      </w:r>
    </w:p>
  </w:footnote>
  <w:footnote w:id="139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752 </w:t>
      </w:r>
      <w:r>
        <w:rPr>
          <w:rFonts w:cs="Traditional Arabic"/>
          <w:color w:val="0000FF"/>
          <w:sz w:val="24"/>
          <w:szCs w:val="28"/>
          <w:rtl/>
        </w:rPr>
        <w:t>–</w:t>
      </w:r>
      <w:r>
        <w:rPr>
          <w:rFonts w:cs="Traditional Arabic" w:hint="cs"/>
          <w:color w:val="0000FF"/>
          <w:sz w:val="24"/>
          <w:szCs w:val="28"/>
          <w:rtl/>
        </w:rPr>
        <w:t xml:space="preserve"> كولان وكابيتان 2 فقرة 1148 </w:t>
      </w:r>
      <w:r>
        <w:rPr>
          <w:rFonts w:cs="Traditional Arabic"/>
          <w:color w:val="0000FF"/>
          <w:sz w:val="24"/>
          <w:szCs w:val="28"/>
          <w:rtl/>
        </w:rPr>
        <w:t>–</w:t>
      </w:r>
      <w:r>
        <w:rPr>
          <w:rFonts w:cs="Traditional Arabic" w:hint="cs"/>
          <w:color w:val="0000FF"/>
          <w:sz w:val="24"/>
          <w:szCs w:val="28"/>
          <w:rtl/>
        </w:rPr>
        <w:t xml:space="preserve"> جرانمولان فقرة 579 .</w:t>
      </w:r>
    </w:p>
  </w:footnote>
  <w:footnote w:id="140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وبولانجيه 2 فقرة 4178 </w:t>
      </w:r>
      <w:r>
        <w:rPr>
          <w:rFonts w:cs="Traditional Arabic"/>
          <w:color w:val="0000FF"/>
          <w:sz w:val="24"/>
          <w:szCs w:val="28"/>
          <w:rtl/>
        </w:rPr>
        <w:t>–</w:t>
      </w:r>
      <w:r>
        <w:rPr>
          <w:rFonts w:cs="Traditional Arabic" w:hint="cs"/>
          <w:color w:val="0000FF"/>
          <w:sz w:val="24"/>
          <w:szCs w:val="28"/>
          <w:rtl/>
        </w:rPr>
        <w:t xml:space="preserve"> بلانيول وريبير وبيكيه 13 فقرة 581 </w:t>
      </w:r>
      <w:r>
        <w:rPr>
          <w:rFonts w:cs="Traditional Arabic"/>
          <w:color w:val="0000FF"/>
          <w:sz w:val="24"/>
          <w:szCs w:val="28"/>
          <w:rtl/>
        </w:rPr>
        <w:t>–</w:t>
      </w:r>
      <w:r>
        <w:rPr>
          <w:rFonts w:cs="Traditional Arabic" w:hint="cs"/>
          <w:color w:val="0000FF"/>
          <w:sz w:val="24"/>
          <w:szCs w:val="28"/>
          <w:rtl/>
        </w:rPr>
        <w:t xml:space="preserve"> محمد كامل مرسي فقرة 245 </w:t>
      </w:r>
      <w:r>
        <w:rPr>
          <w:rFonts w:cs="Traditional Arabic"/>
          <w:color w:val="0000FF"/>
          <w:sz w:val="24"/>
          <w:szCs w:val="28"/>
          <w:rtl/>
        </w:rPr>
        <w:t>–</w:t>
      </w:r>
      <w:r>
        <w:rPr>
          <w:rFonts w:cs="Traditional Arabic" w:hint="cs"/>
          <w:color w:val="0000FF"/>
          <w:sz w:val="24"/>
          <w:szCs w:val="28"/>
          <w:rtl/>
        </w:rPr>
        <w:t xml:space="preserve"> شفيق شحاته 3 فقرة 179 </w:t>
      </w:r>
      <w:r>
        <w:rPr>
          <w:rFonts w:cs="Traditional Arabic"/>
          <w:color w:val="0000FF"/>
          <w:sz w:val="24"/>
          <w:szCs w:val="28"/>
          <w:rtl/>
        </w:rPr>
        <w:t>–</w:t>
      </w:r>
      <w:r>
        <w:rPr>
          <w:rFonts w:cs="Traditional Arabic" w:hint="cs"/>
          <w:color w:val="0000FF"/>
          <w:sz w:val="24"/>
          <w:szCs w:val="28"/>
          <w:rtl/>
        </w:rPr>
        <w:t xml:space="preserve"> عبد الفتاح عبد الباقي فقرة 389 </w:t>
      </w:r>
      <w:r>
        <w:rPr>
          <w:rFonts w:cs="Traditional Arabic"/>
          <w:color w:val="0000FF"/>
          <w:sz w:val="24"/>
          <w:szCs w:val="28"/>
          <w:rtl/>
        </w:rPr>
        <w:t>–</w:t>
      </w:r>
      <w:r>
        <w:rPr>
          <w:rFonts w:cs="Traditional Arabic" w:hint="cs"/>
          <w:color w:val="0000FF"/>
          <w:sz w:val="24"/>
          <w:szCs w:val="28"/>
          <w:rtl/>
        </w:rPr>
        <w:t xml:space="preserve"> سليمان مرقس فقرة 203 ص 314 .</w:t>
      </w:r>
    </w:p>
  </w:footnote>
  <w:footnote w:id="140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شفيق شحاته 3 فقرة 179 </w:t>
      </w:r>
      <w:r>
        <w:rPr>
          <w:rFonts w:cs="Traditional Arabic"/>
          <w:color w:val="0000FF"/>
          <w:sz w:val="24"/>
          <w:szCs w:val="28"/>
          <w:rtl/>
        </w:rPr>
        <w:t>–</w:t>
      </w:r>
      <w:r>
        <w:rPr>
          <w:rFonts w:cs="Traditional Arabic" w:hint="cs"/>
          <w:color w:val="0000FF"/>
          <w:sz w:val="24"/>
          <w:szCs w:val="28"/>
          <w:rtl/>
        </w:rPr>
        <w:t xml:space="preserve"> سليمان مرقس فقرة 203 ص 314 .</w:t>
      </w:r>
    </w:p>
  </w:footnote>
  <w:footnote w:id="140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409 .</w:t>
      </w:r>
    </w:p>
  </w:footnote>
  <w:footnote w:id="140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21 يناير سنة 1930 المجموعة الرسمية 31 رقم 83 ص 220 .</w:t>
      </w:r>
    </w:p>
  </w:footnote>
  <w:footnote w:id="14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مارس سنة </w:t>
      </w:r>
      <w:smartTag w:uri="urn:schemas-microsoft-com:office:smarttags" w:element="metricconverter">
        <w:smartTagPr>
          <w:attr w:name="ProductID" w:val="1928 م"/>
        </w:smartTagPr>
        <w:r>
          <w:rPr>
            <w:rFonts w:cs="Traditional Arabic" w:hint="cs"/>
            <w:color w:val="0000FF"/>
            <w:sz w:val="24"/>
            <w:szCs w:val="28"/>
            <w:rtl/>
          </w:rPr>
          <w:t>1928 م</w:t>
        </w:r>
      </w:smartTag>
      <w:r>
        <w:rPr>
          <w:rFonts w:cs="Traditional Arabic" w:hint="cs"/>
          <w:color w:val="0000FF"/>
          <w:sz w:val="24"/>
          <w:szCs w:val="28"/>
          <w:rtl/>
        </w:rPr>
        <w:t xml:space="preserve"> 40 ص 253 </w:t>
      </w:r>
      <w:r>
        <w:rPr>
          <w:rFonts w:cs="Traditional Arabic"/>
          <w:color w:val="0000FF"/>
          <w:sz w:val="24"/>
          <w:szCs w:val="28"/>
          <w:rtl/>
        </w:rPr>
        <w:t>–</w:t>
      </w:r>
      <w:r>
        <w:rPr>
          <w:rFonts w:cs="Traditional Arabic" w:hint="cs"/>
          <w:color w:val="0000FF"/>
          <w:sz w:val="24"/>
          <w:szCs w:val="28"/>
          <w:rtl/>
        </w:rPr>
        <w:t xml:space="preserve"> 24 أبريل سنة </w:t>
      </w:r>
      <w:smartTag w:uri="urn:schemas-microsoft-com:office:smarttags" w:element="metricconverter">
        <w:smartTagPr>
          <w:attr w:name="ProductID" w:val="1928 م"/>
        </w:smartTagPr>
        <w:r>
          <w:rPr>
            <w:rFonts w:cs="Traditional Arabic" w:hint="cs"/>
            <w:color w:val="0000FF"/>
            <w:sz w:val="24"/>
            <w:szCs w:val="28"/>
            <w:rtl/>
          </w:rPr>
          <w:t>1928 م</w:t>
        </w:r>
      </w:smartTag>
      <w:r>
        <w:rPr>
          <w:rFonts w:cs="Traditional Arabic" w:hint="cs"/>
          <w:color w:val="0000FF"/>
          <w:sz w:val="24"/>
          <w:szCs w:val="28"/>
          <w:rtl/>
        </w:rPr>
        <w:t xml:space="preserve"> 40 ص 31 </w:t>
      </w:r>
      <w:r>
        <w:rPr>
          <w:rFonts w:cs="Traditional Arabic"/>
          <w:color w:val="0000FF"/>
          <w:sz w:val="24"/>
          <w:szCs w:val="28"/>
          <w:rtl/>
        </w:rPr>
        <w:t>–</w:t>
      </w:r>
      <w:r>
        <w:rPr>
          <w:rFonts w:cs="Traditional Arabic" w:hint="cs"/>
          <w:color w:val="0000FF"/>
          <w:sz w:val="24"/>
          <w:szCs w:val="28"/>
          <w:rtl/>
        </w:rPr>
        <w:t xml:space="preserve"> 20 نوفمبر سنة </w:t>
      </w:r>
      <w:smartTag w:uri="urn:schemas-microsoft-com:office:smarttags" w:element="metricconverter">
        <w:smartTagPr>
          <w:attr w:name="ProductID" w:val="1928 م"/>
        </w:smartTagPr>
        <w:r>
          <w:rPr>
            <w:rFonts w:cs="Traditional Arabic" w:hint="cs"/>
            <w:color w:val="0000FF"/>
            <w:sz w:val="24"/>
            <w:szCs w:val="28"/>
            <w:rtl/>
          </w:rPr>
          <w:t>1928 م</w:t>
        </w:r>
      </w:smartTag>
      <w:r>
        <w:rPr>
          <w:rFonts w:cs="Traditional Arabic" w:hint="cs"/>
          <w:color w:val="0000FF"/>
          <w:sz w:val="24"/>
          <w:szCs w:val="28"/>
          <w:rtl/>
        </w:rPr>
        <w:t xml:space="preserve"> 41 ص 31 </w:t>
      </w:r>
      <w:r>
        <w:rPr>
          <w:rFonts w:cs="Traditional Arabic"/>
          <w:color w:val="0000FF"/>
          <w:sz w:val="24"/>
          <w:szCs w:val="28"/>
          <w:rtl/>
        </w:rPr>
        <w:t>–</w:t>
      </w:r>
      <w:r>
        <w:rPr>
          <w:rFonts w:cs="Traditional Arabic" w:hint="cs"/>
          <w:color w:val="0000FF"/>
          <w:sz w:val="24"/>
          <w:szCs w:val="28"/>
          <w:rtl/>
        </w:rPr>
        <w:t xml:space="preserve"> 14 مايو سنة </w:t>
      </w:r>
      <w:smartTag w:uri="urn:schemas-microsoft-com:office:smarttags" w:element="metricconverter">
        <w:smartTagPr>
          <w:attr w:name="ProductID" w:val="1936 م"/>
        </w:smartTagPr>
        <w:r>
          <w:rPr>
            <w:rFonts w:cs="Traditional Arabic" w:hint="cs"/>
            <w:color w:val="0000FF"/>
            <w:sz w:val="24"/>
            <w:szCs w:val="28"/>
            <w:rtl/>
          </w:rPr>
          <w:t>1936 م</w:t>
        </w:r>
      </w:smartTag>
      <w:r>
        <w:rPr>
          <w:rFonts w:cs="Traditional Arabic" w:hint="cs"/>
          <w:color w:val="0000FF"/>
          <w:sz w:val="24"/>
          <w:szCs w:val="28"/>
          <w:rtl/>
        </w:rPr>
        <w:t xml:space="preserve"> 48 ص 269 </w:t>
      </w:r>
      <w:r>
        <w:rPr>
          <w:rFonts w:cs="Traditional Arabic"/>
          <w:color w:val="0000FF"/>
          <w:sz w:val="24"/>
          <w:szCs w:val="28"/>
          <w:rtl/>
        </w:rPr>
        <w:t>–</w:t>
      </w:r>
      <w:r>
        <w:rPr>
          <w:rFonts w:cs="Traditional Arabic" w:hint="cs"/>
          <w:color w:val="0000FF"/>
          <w:sz w:val="24"/>
          <w:szCs w:val="28"/>
          <w:rtl/>
        </w:rPr>
        <w:t xml:space="preserve"> 7 يونيه سنة </w:t>
      </w:r>
      <w:smartTag w:uri="urn:schemas-microsoft-com:office:smarttags" w:element="metricconverter">
        <w:smartTagPr>
          <w:attr w:name="ProductID" w:val="1938 م"/>
        </w:smartTagPr>
        <w:r>
          <w:rPr>
            <w:rFonts w:cs="Traditional Arabic" w:hint="cs"/>
            <w:color w:val="0000FF"/>
            <w:sz w:val="24"/>
            <w:szCs w:val="28"/>
            <w:rtl/>
          </w:rPr>
          <w:t>1938 م</w:t>
        </w:r>
      </w:smartTag>
      <w:r>
        <w:rPr>
          <w:rFonts w:cs="Traditional Arabic" w:hint="cs"/>
          <w:color w:val="0000FF"/>
          <w:sz w:val="24"/>
          <w:szCs w:val="28"/>
          <w:rtl/>
        </w:rPr>
        <w:t xml:space="preserve"> 50 ص 353 </w:t>
      </w:r>
      <w:r>
        <w:rPr>
          <w:rFonts w:cs="Traditional Arabic"/>
          <w:color w:val="0000FF"/>
          <w:sz w:val="24"/>
          <w:szCs w:val="28"/>
          <w:rtl/>
        </w:rPr>
        <w:t>–</w:t>
      </w:r>
      <w:r>
        <w:rPr>
          <w:rFonts w:cs="Traditional Arabic" w:hint="cs"/>
          <w:color w:val="0000FF"/>
          <w:sz w:val="24"/>
          <w:szCs w:val="28"/>
          <w:rtl/>
        </w:rPr>
        <w:t xml:space="preserve"> وانظر سليمان مرقس فقرة 205 ص 316 </w:t>
      </w:r>
      <w:r>
        <w:rPr>
          <w:rFonts w:cs="Traditional Arabic"/>
          <w:color w:val="0000FF"/>
          <w:sz w:val="24"/>
          <w:szCs w:val="28"/>
          <w:rtl/>
        </w:rPr>
        <w:t>–</w:t>
      </w:r>
      <w:r>
        <w:rPr>
          <w:rFonts w:cs="Traditional Arabic" w:hint="cs"/>
          <w:color w:val="0000FF"/>
          <w:sz w:val="24"/>
          <w:szCs w:val="28"/>
          <w:rtl/>
        </w:rPr>
        <w:t xml:space="preserve"> ص 317 .</w:t>
      </w:r>
    </w:p>
  </w:footnote>
  <w:footnote w:id="140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هذا المعنى عبد الفتاح عبد الباقي فقرة 392 </w:t>
      </w:r>
      <w:r>
        <w:rPr>
          <w:rFonts w:cs="Traditional Arabic"/>
          <w:color w:val="0000FF"/>
          <w:sz w:val="24"/>
          <w:szCs w:val="28"/>
          <w:rtl/>
        </w:rPr>
        <w:t>–</w:t>
      </w:r>
      <w:r>
        <w:rPr>
          <w:rFonts w:cs="Traditional Arabic" w:hint="cs"/>
          <w:color w:val="0000FF"/>
          <w:sz w:val="24"/>
          <w:szCs w:val="28"/>
          <w:rtl/>
        </w:rPr>
        <w:t xml:space="preserve"> شمس الدين الوكيل فقرة 124 </w:t>
      </w:r>
      <w:r>
        <w:rPr>
          <w:rFonts w:cs="Traditional Arabic"/>
          <w:color w:val="0000FF"/>
          <w:sz w:val="24"/>
          <w:szCs w:val="28"/>
          <w:rtl/>
        </w:rPr>
        <w:t>–</w:t>
      </w:r>
      <w:r>
        <w:rPr>
          <w:rFonts w:cs="Traditional Arabic" w:hint="cs"/>
          <w:color w:val="0000FF"/>
          <w:sz w:val="24"/>
          <w:szCs w:val="28"/>
          <w:rtl/>
        </w:rPr>
        <w:t xml:space="preserve"> سليمان مرقس فقرة 205 ص 319 .</w:t>
      </w:r>
    </w:p>
  </w:footnote>
  <w:footnote w:id="140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سليمان مرقس فقرة 205 ص 319 .</w:t>
      </w:r>
    </w:p>
  </w:footnote>
  <w:footnote w:id="140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شفيق شحاته 3 فقرة 182 </w:t>
      </w:r>
      <w:r>
        <w:rPr>
          <w:rFonts w:cs="Traditional Arabic"/>
          <w:color w:val="0000FF"/>
          <w:sz w:val="24"/>
          <w:szCs w:val="28"/>
          <w:rtl/>
        </w:rPr>
        <w:t>–</w:t>
      </w:r>
      <w:r>
        <w:rPr>
          <w:rFonts w:cs="Traditional Arabic" w:hint="cs"/>
          <w:color w:val="0000FF"/>
          <w:sz w:val="24"/>
          <w:szCs w:val="28"/>
          <w:rtl/>
        </w:rPr>
        <w:t xml:space="preserve"> عبد الفتاح عبد الباقي فقرة 405 </w:t>
      </w:r>
      <w:r>
        <w:rPr>
          <w:rFonts w:cs="Traditional Arabic"/>
          <w:color w:val="0000FF"/>
          <w:sz w:val="24"/>
          <w:szCs w:val="28"/>
          <w:rtl/>
        </w:rPr>
        <w:t>–</w:t>
      </w:r>
      <w:r>
        <w:rPr>
          <w:rFonts w:cs="Traditional Arabic" w:hint="cs"/>
          <w:color w:val="0000FF"/>
          <w:sz w:val="24"/>
          <w:szCs w:val="28"/>
          <w:rtl/>
        </w:rPr>
        <w:t xml:space="preserve"> سليمان مرقس فقرة 206 ص 321 .</w:t>
      </w:r>
    </w:p>
  </w:footnote>
  <w:footnote w:id="140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1514 من المشروع التمهيدي ، على الوجه الآتي : "1- لا يجوز أخذ حق الاختصاص إلا على عقار أو عقارات معينة مملوكة للمدين وقت قيد هذا الحق ، وجائز التعامل فيها وبيعها بالمزاد العلني . 2- ومع ذلك يجوز الحصول على حق اختصاص على ارض المدين ، حتى لو لم تزد على خمسة أفدنة ، على أن يراعى في التنفيذ الشروط المقررة في القانون" . وفي لجنة المراجعة حذفت عبارة "جائز التعامل فيها" ، اكتفاء بكون هذه العقارات جائزا بيعها بالمزاد العلني ، وأصبح رقم المادة 1191 في المشروع النهائي . ووافق مجلس النواب على النص ، تحتر رقم 1177 . وفي لجنة مجلس الشيوخ ، حذفت الفقرة الثانية لأن ملكية المدين لخمسة أفدنة فأقل لا تمنع من رهنها ، فحق الاختصاص يأخذ هذا الحكم دون حاجة إلى نص ، وأصبح رقم المادة 1088 . ووافق مجلس الشيوخ على المادة كما عدلتها لجنته ( مجموعة الأعمال التحضيرية 7 ص 165 </w:t>
      </w:r>
      <w:r>
        <w:rPr>
          <w:rFonts w:cs="Traditional Arabic"/>
          <w:color w:val="0000FF"/>
          <w:sz w:val="24"/>
          <w:szCs w:val="28"/>
          <w:rtl/>
        </w:rPr>
        <w:t>–</w:t>
      </w:r>
      <w:r>
        <w:rPr>
          <w:rFonts w:cs="Traditional Arabic" w:hint="cs"/>
          <w:color w:val="0000FF"/>
          <w:sz w:val="24"/>
          <w:szCs w:val="28"/>
          <w:rtl/>
        </w:rPr>
        <w:t xml:space="preserve"> ص 166 ) .</w:t>
      </w:r>
    </w:p>
    <w:p w:rsidR="00F72742" w:rsidRPr="009A0CC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footnote>
  <w:footnote w:id="14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196 .</w:t>
      </w:r>
    </w:p>
  </w:footnote>
  <w:footnote w:id="141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شمس الدين الوكيل فقرة 143 ص 416 .</w:t>
      </w:r>
    </w:p>
  </w:footnote>
  <w:footnote w:id="141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21 مارس سنة 1921 المجموعة الرسمية 24 رقم 5 ص 7 .</w:t>
      </w:r>
    </w:p>
  </w:footnote>
  <w:footnote w:id="141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208 .</w:t>
      </w:r>
    </w:p>
  </w:footnote>
  <w:footnote w:id="14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208 </w:t>
      </w:r>
      <w:r>
        <w:rPr>
          <w:rFonts w:cs="Traditional Arabic"/>
          <w:color w:val="0000FF"/>
          <w:sz w:val="24"/>
          <w:szCs w:val="28"/>
          <w:rtl/>
        </w:rPr>
        <w:t>–</w:t>
      </w:r>
      <w:r>
        <w:rPr>
          <w:rFonts w:cs="Traditional Arabic" w:hint="cs"/>
          <w:color w:val="0000FF"/>
          <w:sz w:val="24"/>
          <w:szCs w:val="28"/>
          <w:rtl/>
        </w:rPr>
        <w:t xml:space="preserve"> استئناف مختلط 23 مايو سنة </w:t>
      </w:r>
      <w:smartTag w:uri="urn:schemas-microsoft-com:office:smarttags" w:element="metricconverter">
        <w:smartTagPr>
          <w:attr w:name="ProductID" w:val="1922 م"/>
        </w:smartTagPr>
        <w:r>
          <w:rPr>
            <w:rFonts w:cs="Traditional Arabic" w:hint="cs"/>
            <w:color w:val="0000FF"/>
            <w:sz w:val="24"/>
            <w:szCs w:val="28"/>
            <w:rtl/>
          </w:rPr>
          <w:t>1922 م</w:t>
        </w:r>
      </w:smartTag>
      <w:r>
        <w:rPr>
          <w:rFonts w:cs="Traditional Arabic" w:hint="cs"/>
          <w:color w:val="0000FF"/>
          <w:sz w:val="24"/>
          <w:szCs w:val="28"/>
          <w:rtl/>
        </w:rPr>
        <w:t xml:space="preserve"> 34 ص 418 </w:t>
      </w:r>
      <w:r>
        <w:rPr>
          <w:rFonts w:cs="Traditional Arabic"/>
          <w:color w:val="0000FF"/>
          <w:sz w:val="24"/>
          <w:szCs w:val="28"/>
          <w:rtl/>
        </w:rPr>
        <w:t>–</w:t>
      </w:r>
      <w:r>
        <w:rPr>
          <w:rFonts w:cs="Traditional Arabic" w:hint="cs"/>
          <w:color w:val="0000FF"/>
          <w:sz w:val="24"/>
          <w:szCs w:val="28"/>
          <w:rtl/>
        </w:rPr>
        <w:t xml:space="preserve"> 4 ديسمبر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36 ص 65 </w:t>
      </w:r>
      <w:r>
        <w:rPr>
          <w:rFonts w:cs="Traditional Arabic"/>
          <w:color w:val="0000FF"/>
          <w:sz w:val="24"/>
          <w:szCs w:val="28"/>
          <w:rtl/>
        </w:rPr>
        <w:t>–</w:t>
      </w:r>
      <w:r>
        <w:rPr>
          <w:rFonts w:cs="Traditional Arabic" w:hint="cs"/>
          <w:color w:val="0000FF"/>
          <w:sz w:val="24"/>
          <w:szCs w:val="28"/>
          <w:rtl/>
        </w:rPr>
        <w:t xml:space="preserve"> أول ديسمبر سنة </w:t>
      </w:r>
      <w:smartTag w:uri="urn:schemas-microsoft-com:office:smarttags" w:element="metricconverter">
        <w:smartTagPr>
          <w:attr w:name="ProductID" w:val="1931 م"/>
        </w:smartTagPr>
        <w:r>
          <w:rPr>
            <w:rFonts w:cs="Traditional Arabic" w:hint="cs"/>
            <w:color w:val="0000FF"/>
            <w:sz w:val="24"/>
            <w:szCs w:val="28"/>
            <w:rtl/>
          </w:rPr>
          <w:t>1931 م</w:t>
        </w:r>
      </w:smartTag>
      <w:r>
        <w:rPr>
          <w:rFonts w:cs="Traditional Arabic" w:hint="cs"/>
          <w:color w:val="0000FF"/>
          <w:sz w:val="24"/>
          <w:szCs w:val="28"/>
          <w:rtl/>
        </w:rPr>
        <w:t xml:space="preserve"> 44 ص 37 </w:t>
      </w:r>
      <w:r>
        <w:rPr>
          <w:rFonts w:cs="Traditional Arabic"/>
          <w:color w:val="0000FF"/>
          <w:sz w:val="24"/>
          <w:szCs w:val="28"/>
          <w:rtl/>
        </w:rPr>
        <w:t>–</w:t>
      </w:r>
      <w:r>
        <w:rPr>
          <w:rFonts w:cs="Traditional Arabic" w:hint="cs"/>
          <w:color w:val="0000FF"/>
          <w:sz w:val="24"/>
          <w:szCs w:val="28"/>
          <w:rtl/>
        </w:rPr>
        <w:t xml:space="preserve"> 11 يونيه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299 .</w:t>
      </w:r>
    </w:p>
  </w:footnote>
  <w:footnote w:id="141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13 نوفمبر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14 ص 11 .</w:t>
      </w:r>
    </w:p>
  </w:footnote>
  <w:footnote w:id="141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7 ديسمبر سنة </w:t>
      </w:r>
      <w:smartTag w:uri="urn:schemas-microsoft-com:office:smarttags" w:element="metricconverter">
        <w:smartTagPr>
          <w:attr w:name="ProductID" w:val="1915 م"/>
        </w:smartTagPr>
        <w:r>
          <w:rPr>
            <w:rFonts w:cs="Traditional Arabic" w:hint="cs"/>
            <w:color w:val="0000FF"/>
            <w:sz w:val="24"/>
            <w:szCs w:val="28"/>
            <w:rtl/>
          </w:rPr>
          <w:t>1915 م</w:t>
        </w:r>
      </w:smartTag>
      <w:r>
        <w:rPr>
          <w:rFonts w:cs="Traditional Arabic" w:hint="cs"/>
          <w:color w:val="0000FF"/>
          <w:sz w:val="24"/>
          <w:szCs w:val="28"/>
          <w:rtl/>
        </w:rPr>
        <w:t xml:space="preserve"> 28 ص 44 .</w:t>
      </w:r>
    </w:p>
  </w:footnote>
  <w:footnote w:id="141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437 .</w:t>
      </w:r>
    </w:p>
  </w:footnote>
  <w:footnote w:id="14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السلام ذهني فقرة 207 </w:t>
      </w:r>
      <w:r>
        <w:rPr>
          <w:rFonts w:cs="Traditional Arabic"/>
          <w:color w:val="0000FF"/>
          <w:sz w:val="24"/>
          <w:szCs w:val="28"/>
          <w:rtl/>
        </w:rPr>
        <w:t>–</w:t>
      </w:r>
      <w:r>
        <w:rPr>
          <w:rFonts w:cs="Traditional Arabic" w:hint="cs"/>
          <w:color w:val="0000FF"/>
          <w:sz w:val="24"/>
          <w:szCs w:val="28"/>
          <w:rtl/>
        </w:rPr>
        <w:t xml:space="preserve"> محمد كامل مرسي في التأمينات الشخصية والعينية 1938 فقرة 479 .</w:t>
      </w:r>
    </w:p>
  </w:footnote>
  <w:footnote w:id="141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نقض مدني 23 ديسمبر سنة 1954 مجموعة أحكام النقض 6 رقم 45 ص 364 </w:t>
      </w:r>
      <w:r>
        <w:rPr>
          <w:rFonts w:cs="Traditional Arabic"/>
          <w:color w:val="0000FF"/>
          <w:sz w:val="24"/>
          <w:szCs w:val="28"/>
          <w:rtl/>
        </w:rPr>
        <w:t>–</w:t>
      </w:r>
      <w:r>
        <w:rPr>
          <w:rFonts w:cs="Traditional Arabic" w:hint="cs"/>
          <w:color w:val="0000FF"/>
          <w:sz w:val="24"/>
          <w:szCs w:val="28"/>
          <w:rtl/>
        </w:rPr>
        <w:t xml:space="preserve"> 10 فبراير سنة 1955 مجموعة أحكام النقض 6 رقم 83 ص 629 </w:t>
      </w:r>
      <w:r>
        <w:rPr>
          <w:rFonts w:cs="Traditional Arabic"/>
          <w:color w:val="0000FF"/>
          <w:sz w:val="24"/>
          <w:szCs w:val="28"/>
          <w:rtl/>
        </w:rPr>
        <w:t>–</w:t>
      </w:r>
      <w:r>
        <w:rPr>
          <w:rFonts w:cs="Traditional Arabic" w:hint="cs"/>
          <w:color w:val="0000FF"/>
          <w:sz w:val="24"/>
          <w:szCs w:val="28"/>
          <w:rtl/>
        </w:rPr>
        <w:t xml:space="preserve"> وقد قضت محكمة النقض بأن مناط صحة حق الاختصاص أن يكون العقار مملوكا للمدين وقت صدوره ، فلا يجوز أن يكون محله ما قد يؤول إلى المدين مستقبلا . ولا يغير من هذا النظر أن تكون ملكية العقار قد آلت إلى المدين وقت تجديد القيد ( نقض مدني 23 ديسمبر سنة 1954 مجموعة أحكا النقض 6 رقم 45 ص 364 ) . وقضت أيضاً بأنه متى كان الدائن قد قيد اختصاصاً بعد أن باع المدين العقار وسجل المشتري عقده ، فإن الاختصاص يكون قد قع باطلا لحصوله بعد انتقال ملكية العقار للمتصرف إليه ( نقض مدني 10 فبراير سنة 1955 مجموعة أحكام النقض 6 رقم 83 ص 629 ) . وقضت أيضاً بأنه إذا حصل دائن على اختصاصه بعقار اشتراه مدينه بعقد ثابت التاريخ ولكنه لم يسجل ، فليس له أن يحتج بهاذ الاختصاص على من اشترى العقار بعد ذلك من المدين وسجل عقده ، إذ أن الاختصاص يكون قد وقع في هذه الحالة والعقار غير مملوك للمدين ( نقض مدني 9 فبراير سنة 1939 مجموع أحكام النقض في 25 عاما 1 ص 394 ) .</w:t>
      </w:r>
    </w:p>
  </w:footnote>
  <w:footnote w:id="14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4 ديسمبر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36 ص 65 .</w:t>
      </w:r>
    </w:p>
  </w:footnote>
  <w:footnote w:id="142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19 ديسمبر سنة </w:t>
      </w:r>
      <w:smartTag w:uri="urn:schemas-microsoft-com:office:smarttags" w:element="metricconverter">
        <w:smartTagPr>
          <w:attr w:name="ProductID" w:val="1900 م"/>
        </w:smartTagPr>
        <w:r>
          <w:rPr>
            <w:rFonts w:cs="Traditional Arabic" w:hint="cs"/>
            <w:color w:val="0000FF"/>
            <w:sz w:val="24"/>
            <w:szCs w:val="28"/>
            <w:rtl/>
          </w:rPr>
          <w:t>1900 م</w:t>
        </w:r>
      </w:smartTag>
      <w:r>
        <w:rPr>
          <w:rFonts w:cs="Traditional Arabic" w:hint="cs"/>
          <w:color w:val="0000FF"/>
          <w:sz w:val="24"/>
          <w:szCs w:val="28"/>
          <w:rtl/>
        </w:rPr>
        <w:t xml:space="preserve"> 13 ص 54 .</w:t>
      </w:r>
    </w:p>
  </w:footnote>
  <w:footnote w:id="142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23 مايو سنة </w:t>
      </w:r>
      <w:smartTag w:uri="urn:schemas-microsoft-com:office:smarttags" w:element="metricconverter">
        <w:smartTagPr>
          <w:attr w:name="ProductID" w:val="1946 م"/>
        </w:smartTagPr>
        <w:r>
          <w:rPr>
            <w:rFonts w:cs="Traditional Arabic" w:hint="cs"/>
            <w:color w:val="0000FF"/>
            <w:sz w:val="24"/>
            <w:szCs w:val="28"/>
            <w:rtl/>
          </w:rPr>
          <w:t>1946 م</w:t>
        </w:r>
      </w:smartTag>
      <w:r>
        <w:rPr>
          <w:rFonts w:cs="Traditional Arabic" w:hint="cs"/>
          <w:color w:val="0000FF"/>
          <w:sz w:val="24"/>
          <w:szCs w:val="28"/>
          <w:rtl/>
        </w:rPr>
        <w:t xml:space="preserve"> 58 ص 202 </w:t>
      </w:r>
      <w:r>
        <w:rPr>
          <w:rFonts w:cs="Traditional Arabic"/>
          <w:color w:val="0000FF"/>
          <w:sz w:val="24"/>
          <w:szCs w:val="28"/>
          <w:rtl/>
        </w:rPr>
        <w:t>–</w:t>
      </w:r>
      <w:r>
        <w:rPr>
          <w:rFonts w:cs="Traditional Arabic" w:hint="cs"/>
          <w:color w:val="0000FF"/>
          <w:sz w:val="24"/>
          <w:szCs w:val="28"/>
          <w:rtl/>
        </w:rPr>
        <w:t xml:space="preserve"> وقضت أيضاً بأنه إذا أخذ الدائن اختصاصا على حصة المدين الشائعة بعد  تسجيل عقد القسمة الذي أنهى الشيوع ، كان القسمة نافذة في حق الدائن ، وترتب على ذلك بطلان الاختصاص فيما يتعلق بما لم يقع في نصيب المدين من الأموال الشائعة ( استئناف مختلط 23 نوفمبر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52 ص 31 ) </w:t>
      </w:r>
      <w:r>
        <w:rPr>
          <w:rFonts w:cs="Traditional Arabic"/>
          <w:color w:val="0000FF"/>
          <w:sz w:val="24"/>
          <w:szCs w:val="28"/>
          <w:rtl/>
        </w:rPr>
        <w:t>–</w:t>
      </w:r>
      <w:r>
        <w:rPr>
          <w:rFonts w:cs="Traditional Arabic" w:hint="cs"/>
          <w:color w:val="0000FF"/>
          <w:sz w:val="24"/>
          <w:szCs w:val="28"/>
          <w:rtl/>
        </w:rPr>
        <w:t xml:space="preserve"> وقضت أيضاً بأنه إذا سجلت القسمة قبل الرهن أو الاختصاص الوارد على حصة شائعة في جميع الأموال الشائعة ، فإن الرهن أو الاختصاص لا ينتقل إلى كل الحصة المفرزة التي آلت إلى المدين ، بل إلى نصيب شائع فيها بنسبة الشيوع الأصلي ، لأن الرهن أو الاختصاص يكون قد ورد وقت قيده على أموال خرج بعضها من ملكية المدين ، فيبطل منه ما يتعلق بهذه الأموال ، ويصبح ما يتعلق بما وقع في نصيب المدين ( استئناف مختلط 25 يناير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111 )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وانظر أيضاً استئناف مختلط 3 فبراير سنة </w:t>
      </w:r>
      <w:smartTag w:uri="urn:schemas-microsoft-com:office:smarttags" w:element="metricconverter">
        <w:smartTagPr>
          <w:attr w:name="ProductID" w:val="1897 م"/>
        </w:smartTagPr>
        <w:r>
          <w:rPr>
            <w:rFonts w:cs="Traditional Arabic" w:hint="cs"/>
            <w:color w:val="0000FF"/>
            <w:sz w:val="24"/>
            <w:szCs w:val="28"/>
            <w:rtl/>
          </w:rPr>
          <w:t>1897 م</w:t>
        </w:r>
      </w:smartTag>
      <w:r>
        <w:rPr>
          <w:rFonts w:cs="Traditional Arabic" w:hint="cs"/>
          <w:color w:val="0000FF"/>
          <w:sz w:val="24"/>
          <w:szCs w:val="28"/>
          <w:rtl/>
        </w:rPr>
        <w:t xml:space="preserve"> 4 ص 141 </w:t>
      </w:r>
      <w:r>
        <w:rPr>
          <w:rFonts w:cs="Traditional Arabic"/>
          <w:color w:val="0000FF"/>
          <w:sz w:val="24"/>
          <w:szCs w:val="28"/>
          <w:rtl/>
        </w:rPr>
        <w:t>–</w:t>
      </w:r>
      <w:r>
        <w:rPr>
          <w:rFonts w:cs="Traditional Arabic" w:hint="cs"/>
          <w:color w:val="0000FF"/>
          <w:sz w:val="24"/>
          <w:szCs w:val="28"/>
          <w:rtl/>
        </w:rPr>
        <w:t xml:space="preserve"> 17 ماس سنة </w:t>
      </w:r>
      <w:smartTag w:uri="urn:schemas-microsoft-com:office:smarttags" w:element="metricconverter">
        <w:smartTagPr>
          <w:attr w:name="ProductID" w:val="1897 م"/>
        </w:smartTagPr>
        <w:r>
          <w:rPr>
            <w:rFonts w:cs="Traditional Arabic" w:hint="cs"/>
            <w:color w:val="0000FF"/>
            <w:sz w:val="24"/>
            <w:szCs w:val="28"/>
            <w:rtl/>
          </w:rPr>
          <w:t>1897 م</w:t>
        </w:r>
      </w:smartTag>
      <w:r>
        <w:rPr>
          <w:rFonts w:cs="Traditional Arabic" w:hint="cs"/>
          <w:color w:val="0000FF"/>
          <w:sz w:val="24"/>
          <w:szCs w:val="28"/>
          <w:rtl/>
        </w:rPr>
        <w:t xml:space="preserve"> 4 ص 141 </w:t>
      </w:r>
      <w:r>
        <w:rPr>
          <w:rFonts w:cs="Traditional Arabic"/>
          <w:color w:val="0000FF"/>
          <w:sz w:val="24"/>
          <w:szCs w:val="28"/>
          <w:rtl/>
        </w:rPr>
        <w:t>–</w:t>
      </w:r>
      <w:r>
        <w:rPr>
          <w:rFonts w:cs="Traditional Arabic" w:hint="cs"/>
          <w:color w:val="0000FF"/>
          <w:sz w:val="24"/>
          <w:szCs w:val="28"/>
          <w:rtl/>
        </w:rPr>
        <w:t xml:space="preserve"> 17 مارس سنة </w:t>
      </w:r>
      <w:smartTag w:uri="urn:schemas-microsoft-com:office:smarttags" w:element="metricconverter">
        <w:smartTagPr>
          <w:attr w:name="ProductID" w:val="1897 م"/>
        </w:smartTagPr>
        <w:r>
          <w:rPr>
            <w:rFonts w:cs="Traditional Arabic" w:hint="cs"/>
            <w:color w:val="0000FF"/>
            <w:sz w:val="24"/>
            <w:szCs w:val="28"/>
            <w:rtl/>
          </w:rPr>
          <w:t>1897 م</w:t>
        </w:r>
      </w:smartTag>
      <w:r>
        <w:rPr>
          <w:rFonts w:cs="Traditional Arabic" w:hint="cs"/>
          <w:color w:val="0000FF"/>
          <w:sz w:val="24"/>
          <w:szCs w:val="28"/>
          <w:rtl/>
        </w:rPr>
        <w:t xml:space="preserve"> 4 ص 206 </w:t>
      </w:r>
      <w:r>
        <w:rPr>
          <w:rFonts w:cs="Traditional Arabic"/>
          <w:color w:val="0000FF"/>
          <w:sz w:val="24"/>
          <w:szCs w:val="28"/>
          <w:rtl/>
        </w:rPr>
        <w:t>–</w:t>
      </w:r>
      <w:r>
        <w:rPr>
          <w:rFonts w:cs="Traditional Arabic" w:hint="cs"/>
          <w:color w:val="0000FF"/>
          <w:sz w:val="24"/>
          <w:szCs w:val="28"/>
          <w:rtl/>
        </w:rPr>
        <w:t xml:space="preserve"> 19 ديسمبر سنة </w:t>
      </w:r>
      <w:smartTag w:uri="urn:schemas-microsoft-com:office:smarttags" w:element="metricconverter">
        <w:smartTagPr>
          <w:attr w:name="ProductID" w:val="1900 م"/>
        </w:smartTagPr>
        <w:r>
          <w:rPr>
            <w:rFonts w:cs="Traditional Arabic" w:hint="cs"/>
            <w:color w:val="0000FF"/>
            <w:sz w:val="24"/>
            <w:szCs w:val="28"/>
            <w:rtl/>
          </w:rPr>
          <w:t>1900 م</w:t>
        </w:r>
      </w:smartTag>
      <w:r>
        <w:rPr>
          <w:rFonts w:cs="Traditional Arabic" w:hint="cs"/>
          <w:color w:val="0000FF"/>
          <w:sz w:val="24"/>
          <w:szCs w:val="28"/>
          <w:rtl/>
        </w:rPr>
        <w:t xml:space="preserve"> 13 ص 54 </w:t>
      </w:r>
      <w:r>
        <w:rPr>
          <w:rFonts w:cs="Traditional Arabic"/>
          <w:color w:val="0000FF"/>
          <w:sz w:val="24"/>
          <w:szCs w:val="28"/>
          <w:rtl/>
        </w:rPr>
        <w:t>–</w:t>
      </w:r>
      <w:r>
        <w:rPr>
          <w:rFonts w:cs="Traditional Arabic" w:hint="cs"/>
          <w:color w:val="0000FF"/>
          <w:sz w:val="24"/>
          <w:szCs w:val="28"/>
          <w:rtl/>
        </w:rPr>
        <w:t xml:space="preserve"> 28 يناير سنة </w:t>
      </w:r>
      <w:smartTag w:uri="urn:schemas-microsoft-com:office:smarttags" w:element="metricconverter">
        <w:smartTagPr>
          <w:attr w:name="ProductID" w:val="1903 م"/>
        </w:smartTagPr>
        <w:r>
          <w:rPr>
            <w:rFonts w:cs="Traditional Arabic" w:hint="cs"/>
            <w:color w:val="0000FF"/>
            <w:sz w:val="24"/>
            <w:szCs w:val="28"/>
            <w:rtl/>
          </w:rPr>
          <w:t>1903 م</w:t>
        </w:r>
      </w:smartTag>
      <w:r>
        <w:rPr>
          <w:rFonts w:cs="Traditional Arabic" w:hint="cs"/>
          <w:color w:val="0000FF"/>
          <w:sz w:val="24"/>
          <w:szCs w:val="28"/>
          <w:rtl/>
        </w:rPr>
        <w:t xml:space="preserve"> 15 ص 110 </w:t>
      </w:r>
      <w:r>
        <w:rPr>
          <w:rFonts w:cs="Traditional Arabic"/>
          <w:color w:val="0000FF"/>
          <w:sz w:val="24"/>
          <w:szCs w:val="28"/>
          <w:rtl/>
        </w:rPr>
        <w:t>–</w:t>
      </w:r>
      <w:r>
        <w:rPr>
          <w:rFonts w:cs="Traditional Arabic" w:hint="cs"/>
          <w:color w:val="0000FF"/>
          <w:sz w:val="24"/>
          <w:szCs w:val="28"/>
          <w:rtl/>
        </w:rPr>
        <w:t xml:space="preserve"> 16 ديسمبر سنة </w:t>
      </w:r>
      <w:smartTag w:uri="urn:schemas-microsoft-com:office:smarttags" w:element="metricconverter">
        <w:smartTagPr>
          <w:attr w:name="ProductID" w:val="1903 م"/>
        </w:smartTagPr>
        <w:r>
          <w:rPr>
            <w:rFonts w:cs="Traditional Arabic" w:hint="cs"/>
            <w:color w:val="0000FF"/>
            <w:sz w:val="24"/>
            <w:szCs w:val="28"/>
            <w:rtl/>
          </w:rPr>
          <w:t>1903 م</w:t>
        </w:r>
      </w:smartTag>
      <w:r>
        <w:rPr>
          <w:rFonts w:cs="Traditional Arabic" w:hint="cs"/>
          <w:color w:val="0000FF"/>
          <w:sz w:val="24"/>
          <w:szCs w:val="28"/>
          <w:rtl/>
        </w:rPr>
        <w:t xml:space="preserve"> 16 ص 69 </w:t>
      </w:r>
      <w:r>
        <w:rPr>
          <w:rFonts w:cs="Traditional Arabic"/>
          <w:color w:val="0000FF"/>
          <w:sz w:val="24"/>
          <w:szCs w:val="28"/>
          <w:rtl/>
        </w:rPr>
        <w:t>–</w:t>
      </w:r>
      <w:r>
        <w:rPr>
          <w:rFonts w:cs="Traditional Arabic" w:hint="cs"/>
          <w:color w:val="0000FF"/>
          <w:sz w:val="24"/>
          <w:szCs w:val="28"/>
          <w:rtl/>
        </w:rPr>
        <w:t xml:space="preserve"> 3 أبريل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334 </w:t>
      </w:r>
      <w:r>
        <w:rPr>
          <w:rFonts w:cs="Traditional Arabic"/>
          <w:color w:val="0000FF"/>
          <w:sz w:val="24"/>
          <w:szCs w:val="28"/>
          <w:rtl/>
        </w:rPr>
        <w:t>–</w:t>
      </w:r>
      <w:r>
        <w:rPr>
          <w:rFonts w:cs="Traditional Arabic" w:hint="cs"/>
          <w:color w:val="0000FF"/>
          <w:sz w:val="24"/>
          <w:szCs w:val="28"/>
          <w:rtl/>
        </w:rPr>
        <w:t xml:space="preserve"> 4 ديسمبر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36 ص 65 </w:t>
      </w:r>
      <w:r>
        <w:rPr>
          <w:rFonts w:cs="Traditional Arabic"/>
          <w:color w:val="0000FF"/>
          <w:sz w:val="24"/>
          <w:szCs w:val="28"/>
          <w:rtl/>
        </w:rPr>
        <w:t>–</w:t>
      </w:r>
      <w:r>
        <w:rPr>
          <w:rFonts w:cs="Traditional Arabic" w:hint="cs"/>
          <w:color w:val="0000FF"/>
          <w:sz w:val="24"/>
          <w:szCs w:val="28"/>
          <w:rtl/>
        </w:rPr>
        <w:t xml:space="preserve"> 4 مايو سنة </w:t>
      </w:r>
      <w:smartTag w:uri="urn:schemas-microsoft-com:office:smarttags" w:element="metricconverter">
        <w:smartTagPr>
          <w:attr w:name="ProductID" w:val="1933 م"/>
        </w:smartTagPr>
        <w:r>
          <w:rPr>
            <w:rFonts w:cs="Traditional Arabic" w:hint="cs"/>
            <w:color w:val="0000FF"/>
            <w:sz w:val="24"/>
            <w:szCs w:val="28"/>
            <w:rtl/>
          </w:rPr>
          <w:t>1933 م</w:t>
        </w:r>
      </w:smartTag>
      <w:r>
        <w:rPr>
          <w:rFonts w:cs="Traditional Arabic" w:hint="cs"/>
          <w:color w:val="0000FF"/>
          <w:sz w:val="24"/>
          <w:szCs w:val="28"/>
          <w:rtl/>
        </w:rPr>
        <w:t xml:space="preserve"> 45 ص 265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قضت محكمة استئناف مصر بأنه إذا أخذ دائن حكما بدينه على مدينه ، وحصل به على اختصاص على أطيان للمدين باعها لآخر بعقد عرفي ، وقبل أن يحصل هذا الأخير على حكم بصحة التوقيع وتسجيله فإنه يكون للدائن المذكور ، طبقا لما نص عليه في المادة 599 ، حق عيني على الأطيان المبيعة قبل أن يترتب لغيره أي حق عليها ، ويكون صاحب الأسبقية ومفضلا على غيره في الحصول على دينه ( استئناف مصر 12 يناير سنة 1937 المحاماة 17 رقم 443 ص 880 ) .</w:t>
      </w:r>
    </w:p>
  </w:footnote>
  <w:footnote w:id="142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 يناير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42 ص 143 </w:t>
      </w:r>
      <w:r>
        <w:rPr>
          <w:rFonts w:cs="Traditional Arabic"/>
          <w:color w:val="0000FF"/>
          <w:sz w:val="24"/>
          <w:szCs w:val="28"/>
          <w:rtl/>
        </w:rPr>
        <w:t>–</w:t>
      </w:r>
      <w:r>
        <w:rPr>
          <w:rFonts w:cs="Traditional Arabic" w:hint="cs"/>
          <w:color w:val="0000FF"/>
          <w:sz w:val="24"/>
          <w:szCs w:val="28"/>
          <w:rtl/>
        </w:rPr>
        <w:t xml:space="preserve"> 7 فبراير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51 ص 1945 </w:t>
      </w:r>
      <w:r>
        <w:rPr>
          <w:rFonts w:cs="Traditional Arabic"/>
          <w:color w:val="0000FF"/>
          <w:sz w:val="24"/>
          <w:szCs w:val="28"/>
          <w:rtl/>
        </w:rPr>
        <w:t>–</w:t>
      </w:r>
      <w:r>
        <w:rPr>
          <w:rFonts w:cs="Traditional Arabic" w:hint="cs"/>
          <w:color w:val="0000FF"/>
          <w:sz w:val="24"/>
          <w:szCs w:val="28"/>
          <w:rtl/>
        </w:rPr>
        <w:t xml:space="preserve"> 2 مارس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51 ص 182 </w:t>
      </w:r>
      <w:r>
        <w:rPr>
          <w:rFonts w:cs="Traditional Arabic"/>
          <w:color w:val="0000FF"/>
          <w:sz w:val="24"/>
          <w:szCs w:val="28"/>
          <w:rtl/>
        </w:rPr>
        <w:t>–</w:t>
      </w:r>
      <w:r>
        <w:rPr>
          <w:rFonts w:cs="Traditional Arabic" w:hint="cs"/>
          <w:color w:val="0000FF"/>
          <w:sz w:val="24"/>
          <w:szCs w:val="28"/>
          <w:rtl/>
        </w:rPr>
        <w:t xml:space="preserve"> 26 أكتوبر سنة 1939 </w:t>
      </w:r>
      <w:smartTag w:uri="urn:schemas-microsoft-com:office:smarttags" w:element="metricconverter">
        <w:smartTagPr>
          <w:attr w:name="ProductID" w:val="2 م"/>
        </w:smartTagPr>
        <w:r>
          <w:rPr>
            <w:rFonts w:cs="Traditional Arabic" w:hint="cs"/>
            <w:color w:val="0000FF"/>
            <w:sz w:val="24"/>
            <w:szCs w:val="28"/>
            <w:rtl/>
          </w:rPr>
          <w:t>2 م</w:t>
        </w:r>
      </w:smartTag>
      <w:r>
        <w:rPr>
          <w:rFonts w:cs="Traditional Arabic" w:hint="cs"/>
          <w:color w:val="0000FF"/>
          <w:sz w:val="24"/>
          <w:szCs w:val="28"/>
          <w:rtl/>
        </w:rPr>
        <w:t xml:space="preserve"> 5 ص 7 .</w:t>
      </w:r>
    </w:p>
  </w:footnote>
  <w:footnote w:id="142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20 فبراير سنة </w:t>
      </w:r>
      <w:smartTag w:uri="urn:schemas-microsoft-com:office:smarttags" w:element="metricconverter">
        <w:smartTagPr>
          <w:attr w:name="ProductID" w:val="1941 م"/>
        </w:smartTagPr>
        <w:r>
          <w:rPr>
            <w:rFonts w:cs="Traditional Arabic" w:hint="cs"/>
            <w:color w:val="0000FF"/>
            <w:sz w:val="24"/>
            <w:szCs w:val="28"/>
            <w:rtl/>
          </w:rPr>
          <w:t>1941 م</w:t>
        </w:r>
      </w:smartTag>
      <w:r>
        <w:rPr>
          <w:rFonts w:cs="Traditional Arabic" w:hint="cs"/>
          <w:color w:val="0000FF"/>
          <w:sz w:val="24"/>
          <w:szCs w:val="28"/>
          <w:rtl/>
        </w:rPr>
        <w:t xml:space="preserve"> 53 ص 200 .</w:t>
      </w:r>
    </w:p>
  </w:footnote>
  <w:footnote w:id="142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15 يناير سنة1931 م 43 ص 155 </w:t>
      </w:r>
      <w:r>
        <w:rPr>
          <w:rFonts w:cs="Traditional Arabic"/>
          <w:color w:val="0000FF"/>
          <w:sz w:val="24"/>
          <w:szCs w:val="28"/>
          <w:rtl/>
        </w:rPr>
        <w:t>–</w:t>
      </w:r>
      <w:r>
        <w:rPr>
          <w:rFonts w:cs="Traditional Arabic" w:hint="cs"/>
          <w:color w:val="0000FF"/>
          <w:sz w:val="24"/>
          <w:szCs w:val="28"/>
          <w:rtl/>
        </w:rPr>
        <w:t xml:space="preserve"> 19 مارس سنة </w:t>
      </w:r>
      <w:smartTag w:uri="urn:schemas-microsoft-com:office:smarttags" w:element="metricconverter">
        <w:smartTagPr>
          <w:attr w:name="ProductID" w:val="1936 م"/>
        </w:smartTagPr>
        <w:r>
          <w:rPr>
            <w:rFonts w:cs="Traditional Arabic" w:hint="cs"/>
            <w:color w:val="0000FF"/>
            <w:sz w:val="24"/>
            <w:szCs w:val="28"/>
            <w:rtl/>
          </w:rPr>
          <w:t>1936 م</w:t>
        </w:r>
      </w:smartTag>
      <w:r>
        <w:rPr>
          <w:rFonts w:cs="Traditional Arabic" w:hint="cs"/>
          <w:color w:val="0000FF"/>
          <w:sz w:val="24"/>
          <w:szCs w:val="28"/>
          <w:rtl/>
        </w:rPr>
        <w:t xml:space="preserve"> 48 ص 197 </w:t>
      </w:r>
      <w:r>
        <w:rPr>
          <w:rFonts w:cs="Traditional Arabic"/>
          <w:color w:val="0000FF"/>
          <w:sz w:val="24"/>
          <w:szCs w:val="28"/>
          <w:rtl/>
        </w:rPr>
        <w:t>–</w:t>
      </w:r>
      <w:r>
        <w:rPr>
          <w:rFonts w:cs="Traditional Arabic" w:hint="cs"/>
          <w:color w:val="0000FF"/>
          <w:sz w:val="24"/>
          <w:szCs w:val="28"/>
          <w:rtl/>
        </w:rPr>
        <w:t xml:space="preserve"> 8 مارس سنة </w:t>
      </w:r>
      <w:smartTag w:uri="urn:schemas-microsoft-com:office:smarttags" w:element="metricconverter">
        <w:smartTagPr>
          <w:attr w:name="ProductID" w:val="1938 م"/>
        </w:smartTagPr>
        <w:r>
          <w:rPr>
            <w:rFonts w:cs="Traditional Arabic" w:hint="cs"/>
            <w:color w:val="0000FF"/>
            <w:sz w:val="24"/>
            <w:szCs w:val="28"/>
            <w:rtl/>
          </w:rPr>
          <w:t>1938 م</w:t>
        </w:r>
      </w:smartTag>
      <w:r>
        <w:rPr>
          <w:rFonts w:cs="Traditional Arabic" w:hint="cs"/>
          <w:color w:val="0000FF"/>
          <w:sz w:val="24"/>
          <w:szCs w:val="28"/>
          <w:rtl/>
        </w:rPr>
        <w:t xml:space="preserve"> 50 ص 161,</w:t>
      </w:r>
    </w:p>
  </w:footnote>
  <w:footnote w:id="142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26 أكتوبر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52 ص 7 </w:t>
      </w:r>
      <w:r>
        <w:rPr>
          <w:rFonts w:cs="Traditional Arabic"/>
          <w:color w:val="0000FF"/>
          <w:sz w:val="24"/>
          <w:szCs w:val="28"/>
          <w:rtl/>
        </w:rPr>
        <w:t>–</w:t>
      </w:r>
      <w:r>
        <w:rPr>
          <w:rFonts w:cs="Traditional Arabic" w:hint="cs"/>
          <w:color w:val="0000FF"/>
          <w:sz w:val="24"/>
          <w:szCs w:val="28"/>
          <w:rtl/>
        </w:rPr>
        <w:t xml:space="preserve"> سليمان مرقس فقرة 209 .</w:t>
      </w:r>
    </w:p>
  </w:footnote>
  <w:footnote w:id="142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437 .</w:t>
      </w:r>
    </w:p>
  </w:footnote>
  <w:footnote w:id="142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نقض مدني 30 مايو سنة 1957 مجموعة أحكام النقض 8 رقم 68 ص 541 </w:t>
      </w:r>
      <w:r>
        <w:rPr>
          <w:rFonts w:cs="Traditional Arabic"/>
          <w:color w:val="0000FF"/>
          <w:sz w:val="24"/>
          <w:szCs w:val="28"/>
          <w:rtl/>
        </w:rPr>
        <w:t>–</w:t>
      </w:r>
      <w:r>
        <w:rPr>
          <w:rFonts w:cs="Traditional Arabic" w:hint="cs"/>
          <w:color w:val="0000FF"/>
          <w:sz w:val="24"/>
          <w:szCs w:val="28"/>
          <w:rtl/>
        </w:rPr>
        <w:t xml:space="preserve"> وقد قضي هذا الحكم بأنه حتى كانت العين موقوفة ، وانتهى الوقف فيها ، وآلت ملكيتها إلى من عساه يكون صاحب الحق فيها طبقا لأحكام المرسوم بقانون رقم 180 لسنة1952 ، فإنها تظل بمنأى عن التنفيذ عليها وفاء للديون السابقة على تاريخ العمل بهذا المرسوم بقانون ، ولا يجوز بالتالي لأرباب هذه الديون أن يستصدروا من آلت إليه ملكية هذه العين أمراً باختصاصهم بها إعمالا للمادة الخامسة مكررا من ذلك القانون والمادة 1088 من القانون المدني ( نقض مدني 30 مايو سنة 1957 مجموعة أحكام النقض 8 رقم 68 ص 541 ) .</w:t>
      </w:r>
    </w:p>
  </w:footnote>
  <w:footnote w:id="142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الاستئناف الوطنية بأن الشرط الذي ينص عليه في عقد البيع بأنه ليس للمشتري الحق في التصرف العين المبيعة حتى يوفى كل الثمن ، لا يحرم دائن المشتري من أخذ اختصاص على هذه العي ، ولا يعد هذا الاختصاص تصرفا من المشتري لأنه عمل خارجي عن إرادته آت من جهة الغير ( استئناف وطني 19 نوفمبر سنة 1925 المجموعة الرسمية 28 رقم 38 ص 61 ) .</w:t>
      </w:r>
    </w:p>
  </w:footnote>
  <w:footnote w:id="142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437 في الهامش في تاريخ المادة 1088 مدني .</w:t>
      </w:r>
    </w:p>
  </w:footnote>
  <w:footnote w:id="143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1089 : ورد هذا النص في المادة 1515 من المشروع التمهيدي . وفي لجنة المراجعة حذفت عبارة "وأنها مملوكة للمدين" من الفقرة الثانية ( حرب هـ ) ، وأصبح رقم المادة 1192 في المشروع النهائي . ووافق عليها مجلس النواب تحت رقم 1178 . وفي لجنة مجلس الشيوخ عدلت ( هـ ) من الفقرة الثانية بأن استعيضت عن عبارة "تعيين العقارات تعيينا دقيقا جنسا ومحلا" عبارة "تعيين العقارات تعيينا دقيقا ، وبيان موقعها" ، لأن التعيين الدقيق يتضمن من التفصيلات ما يسع لما بقصد من بيان الجنس ، واستبدلت بعبارة "أوراق تثبت" عبارة "الأوراق الدالة على" إذ لا يشترط في هذه الحالة تقديم مستندات قاطعة في الإثبات ، بل يشترط تقديم أوراق تدل على القيمة وإن لم تكن قاطعة في دلالتها ، وأصبح رقم المادة 1089 . ووافق مجلس الشيوخ على المادة كما عدلتها لجنته ( مجموعة الأعمال التحضيرية 7 ص 167 </w:t>
      </w:r>
      <w:r>
        <w:rPr>
          <w:rFonts w:cs="Traditional Arabic"/>
          <w:color w:val="0000FF"/>
          <w:sz w:val="24"/>
          <w:szCs w:val="28"/>
          <w:rtl/>
        </w:rPr>
        <w:t>–</w:t>
      </w:r>
      <w:r>
        <w:rPr>
          <w:rFonts w:cs="Traditional Arabic" w:hint="cs"/>
          <w:color w:val="0000FF"/>
          <w:sz w:val="24"/>
          <w:szCs w:val="28"/>
          <w:rtl/>
        </w:rPr>
        <w:t xml:space="preserve"> ص 171 )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لها . ولكن يقابلها المادتان 681/769 و 683/771 من تقنين المرافعات القديم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1090 : ورد هذا النص في المادة 1516 من المشروع التمهيدي . وعدلته لجنة المراجعة تعديلا لفظيا ، فأصبح مطابقا لما استقر عليه في التقنين المدني الجديد ، تحت رقم 1193 في المشروع النهائي . ووافق عليه مجلس النواب تحت رقم 1179 ، ثم مجلس الشيوخ تحت رقم 1090 ( مجموعة الأعمال التحضيرية 7 ص 171 </w:t>
      </w:r>
      <w:r>
        <w:rPr>
          <w:rFonts w:cs="Traditional Arabic"/>
          <w:color w:val="0000FF"/>
          <w:sz w:val="24"/>
          <w:szCs w:val="28"/>
          <w:rtl/>
        </w:rPr>
        <w:t>–</w:t>
      </w:r>
      <w:r>
        <w:rPr>
          <w:rFonts w:cs="Traditional Arabic" w:hint="cs"/>
          <w:color w:val="0000FF"/>
          <w:sz w:val="24"/>
          <w:szCs w:val="28"/>
          <w:rtl/>
        </w:rPr>
        <w:t xml:space="preserve"> ص 173 )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 :</w:t>
      </w:r>
      <w:r>
        <w:rPr>
          <w:rFonts w:cs="Traditional Arabic" w:hint="cs"/>
          <w:color w:val="0000FF"/>
          <w:sz w:val="24"/>
          <w:szCs w:val="28"/>
          <w:rtl/>
        </w:rPr>
        <w:t xml:space="preserve"> لا مقابل . ولكن يقابلها المادة 682 / 770 من تقنين المرافعات القديم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1091 : ورد هذا النص في المادة 1517 من المشروع التمهيدي . وعدلته لجنة المراجعة تعديلا لفظيا ، تحت رقم 1193 في المشروع النهائي . ووافق عليه مجلس النواب تحت رقم 1180 ، مجلس الشيوخ تحت رقم 1091 ( مجموعة الأعمال التحضيرية 7 ص 174 </w:t>
      </w:r>
      <w:r>
        <w:rPr>
          <w:rFonts w:cs="Traditional Arabic"/>
          <w:color w:val="0000FF"/>
          <w:sz w:val="24"/>
          <w:szCs w:val="28"/>
          <w:rtl/>
        </w:rPr>
        <w:t>–</w:t>
      </w:r>
      <w:r>
        <w:rPr>
          <w:rFonts w:cs="Traditional Arabic" w:hint="cs"/>
          <w:color w:val="0000FF"/>
          <w:sz w:val="24"/>
          <w:szCs w:val="28"/>
          <w:rtl/>
        </w:rPr>
        <w:t xml:space="preserve"> ص 185 )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المدين </w:t>
      </w:r>
      <w:r w:rsidRPr="00934A8B">
        <w:rPr>
          <w:rFonts w:cs="Traditional Arabic" w:hint="cs"/>
          <w:color w:val="0000FF"/>
          <w:sz w:val="24"/>
          <w:szCs w:val="28"/>
          <w:rtl/>
        </w:rPr>
        <w:t>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م 1092 : ورد هذا النص في المادة 1518 من المشروع التمهيدي . وعدلته لجنة المراجعة تعديلا لفظيا ، </w:t>
      </w:r>
      <w:r w:rsidRPr="00934A8B">
        <w:rPr>
          <w:rFonts w:cs="Traditional Arabic" w:hint="cs"/>
          <w:color w:val="0000FF"/>
          <w:sz w:val="24"/>
          <w:szCs w:val="28"/>
          <w:rtl/>
        </w:rPr>
        <w:t>فأصبح</w:t>
      </w:r>
      <w:r>
        <w:rPr>
          <w:rFonts w:cs="Traditional Arabic" w:hint="cs"/>
          <w:color w:val="0000FF"/>
          <w:sz w:val="24"/>
          <w:szCs w:val="28"/>
          <w:rtl/>
        </w:rPr>
        <w:t xml:space="preserve"> مطابقا لما استقر عليه في التقنين المدني الجديد تحت رقم 1196 في المشروع النهائي . ووافق عليه مجلس النواب تحت رقم 1182 ، ثم مجلس الشيوخ تحت رقم 1093 ( مجموعة الأعمال التحضيرية 7 ص 177 </w:t>
      </w:r>
      <w:r>
        <w:rPr>
          <w:rFonts w:cs="Traditional Arabic"/>
          <w:color w:val="0000FF"/>
          <w:sz w:val="24"/>
          <w:szCs w:val="28"/>
          <w:rtl/>
        </w:rPr>
        <w:t>–</w:t>
      </w:r>
      <w:r>
        <w:rPr>
          <w:rFonts w:cs="Traditional Arabic" w:hint="cs"/>
          <w:color w:val="0000FF"/>
          <w:sz w:val="24"/>
          <w:szCs w:val="28"/>
          <w:rtl/>
        </w:rPr>
        <w:t xml:space="preserve"> ص 179 ) .</w:t>
      </w:r>
    </w:p>
    <w:p w:rsidR="00F72742" w:rsidRPr="0071107B"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 :</w:t>
      </w:r>
      <w:r>
        <w:rPr>
          <w:rFonts w:cs="Traditional Arabic" w:hint="cs"/>
          <w:color w:val="0000FF"/>
          <w:sz w:val="24"/>
          <w:szCs w:val="28"/>
          <w:rtl/>
        </w:rPr>
        <w:t xml:space="preserve"> لا مقابل . ولكن يقابلها المادة 684 / 722 من تقين المرافعات القديم .</w:t>
      </w:r>
    </w:p>
  </w:footnote>
  <w:footnote w:id="143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178 </w:t>
      </w:r>
      <w:r>
        <w:rPr>
          <w:rFonts w:cs="Traditional Arabic"/>
          <w:color w:val="0000FF"/>
          <w:sz w:val="24"/>
          <w:szCs w:val="28"/>
          <w:rtl/>
        </w:rPr>
        <w:t>–</w:t>
      </w:r>
      <w:r>
        <w:rPr>
          <w:rFonts w:cs="Traditional Arabic" w:hint="cs"/>
          <w:color w:val="0000FF"/>
          <w:sz w:val="24"/>
          <w:szCs w:val="28"/>
          <w:rtl/>
        </w:rPr>
        <w:t xml:space="preserve"> ص 179 .</w:t>
      </w:r>
    </w:p>
  </w:footnote>
  <w:footnote w:id="143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446 .</w:t>
      </w:r>
    </w:p>
  </w:footnote>
  <w:footnote w:id="143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1520 من المروع التمهيدي . وفي لجنة المراجعة عدل النص تعديلا لفظيا ، فأصبح مطابقا لما استقر عليه في التقنين المدني الجديد تحت رقم 1184 في المشروع النهائي . ووافق عليه مجلس النواب تحت رقم 1184 ، ثم مجلس الشيوخ تحت رقم 1095 ( مت 183 </w:t>
      </w:r>
      <w:r>
        <w:rPr>
          <w:rFonts w:cs="Traditional Arabic"/>
          <w:color w:val="0000FF"/>
          <w:sz w:val="24"/>
          <w:szCs w:val="28"/>
          <w:rtl/>
        </w:rPr>
        <w:t>–</w:t>
      </w:r>
      <w:r>
        <w:rPr>
          <w:rFonts w:cs="Traditional Arabic" w:hint="cs"/>
          <w:color w:val="0000FF"/>
          <w:sz w:val="24"/>
          <w:szCs w:val="28"/>
          <w:rtl/>
        </w:rPr>
        <w:t xml:space="preserve"> ص 188 ) .</w:t>
      </w:r>
    </w:p>
    <w:p w:rsidR="00F72742" w:rsidRPr="00481098"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599 / 725 : الدائن الذي تحصل على اختصاص بعقارات مدينة ، يكون له من يوم تسجيل ذلك الاختصاص نفس الحقوق التي تترتب على الرهن العقاري وتتبع في الاختصاص المذكورة كافة القواعد المقررة فيما يتعلق بالرهن ، مع مراعاة الضابط المدون بالمادة الآتية .</w:t>
      </w:r>
    </w:p>
  </w:footnote>
  <w:footnote w:id="143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187 </w:t>
      </w:r>
      <w:r>
        <w:rPr>
          <w:rFonts w:cs="Traditional Arabic"/>
          <w:color w:val="0000FF"/>
          <w:sz w:val="24"/>
          <w:szCs w:val="28"/>
          <w:rtl/>
        </w:rPr>
        <w:t>–</w:t>
      </w:r>
      <w:r>
        <w:rPr>
          <w:rFonts w:cs="Traditional Arabic" w:hint="cs"/>
          <w:color w:val="0000FF"/>
          <w:sz w:val="24"/>
          <w:szCs w:val="28"/>
          <w:rtl/>
        </w:rPr>
        <w:t xml:space="preserve"> ص 188 .</w:t>
      </w:r>
    </w:p>
  </w:footnote>
  <w:footnote w:id="143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120 .</w:t>
      </w:r>
    </w:p>
  </w:footnote>
  <w:footnote w:id="143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فقرة 167 وما بعدها .</w:t>
      </w:r>
    </w:p>
  </w:footnote>
  <w:footnote w:id="143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بشرط أن يكون له تاريخ ثابت سابق على تاريخ تنبيه نزع الملكية ، وهو التاريخ الذي تلحق به الثمار بالعقار .</w:t>
      </w:r>
    </w:p>
  </w:footnote>
  <w:footnote w:id="143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محمود شوقي في الشهر العقاري علما وعملا ص 358 </w:t>
      </w:r>
      <w:r>
        <w:rPr>
          <w:rFonts w:cs="Traditional Arabic"/>
          <w:color w:val="0000FF"/>
          <w:sz w:val="24"/>
          <w:szCs w:val="28"/>
          <w:rtl/>
        </w:rPr>
        <w:t>–</w:t>
      </w:r>
      <w:r>
        <w:rPr>
          <w:rFonts w:cs="Traditional Arabic" w:hint="cs"/>
          <w:color w:val="0000FF"/>
          <w:sz w:val="24"/>
          <w:szCs w:val="28"/>
          <w:rtl/>
        </w:rPr>
        <w:t xml:space="preserve"> ص 359 .</w:t>
      </w:r>
    </w:p>
  </w:footnote>
  <w:footnote w:id="143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محمود شوقي الشهر العقار علما وعملا ص 360 .</w:t>
      </w:r>
    </w:p>
  </w:footnote>
  <w:footnote w:id="144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189 </w:t>
      </w:r>
      <w:r>
        <w:rPr>
          <w:rFonts w:cs="Traditional Arabic"/>
          <w:color w:val="0000FF"/>
          <w:sz w:val="24"/>
          <w:szCs w:val="28"/>
          <w:rtl/>
        </w:rPr>
        <w:t>–</w:t>
      </w:r>
      <w:r>
        <w:rPr>
          <w:rFonts w:cs="Traditional Arabic" w:hint="cs"/>
          <w:color w:val="0000FF"/>
          <w:sz w:val="24"/>
          <w:szCs w:val="28"/>
          <w:rtl/>
        </w:rPr>
        <w:t xml:space="preserve"> فقرة 245 .</w:t>
      </w:r>
    </w:p>
  </w:footnote>
  <w:footnote w:id="144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3 يونيه سنة </w:t>
      </w:r>
      <w:smartTag w:uri="urn:schemas-microsoft-com:office:smarttags" w:element="metricconverter">
        <w:smartTagPr>
          <w:attr w:name="ProductID" w:val="1922 م"/>
        </w:smartTagPr>
        <w:r>
          <w:rPr>
            <w:rFonts w:cs="Traditional Arabic" w:hint="cs"/>
            <w:color w:val="0000FF"/>
            <w:sz w:val="24"/>
            <w:szCs w:val="28"/>
            <w:rtl/>
          </w:rPr>
          <w:t>1922 م</w:t>
        </w:r>
      </w:smartTag>
      <w:r>
        <w:rPr>
          <w:rFonts w:cs="Traditional Arabic" w:hint="cs"/>
          <w:color w:val="0000FF"/>
          <w:sz w:val="24"/>
          <w:szCs w:val="28"/>
          <w:rtl/>
        </w:rPr>
        <w:t xml:space="preserve"> 34 ص 451 .</w:t>
      </w:r>
    </w:p>
  </w:footnote>
  <w:footnote w:id="144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237 </w:t>
      </w:r>
      <w:r>
        <w:rPr>
          <w:rFonts w:cs="Traditional Arabic"/>
          <w:color w:val="0000FF"/>
          <w:sz w:val="24"/>
          <w:szCs w:val="28"/>
          <w:rtl/>
        </w:rPr>
        <w:t>–</w:t>
      </w:r>
      <w:r>
        <w:rPr>
          <w:rFonts w:cs="Traditional Arabic" w:hint="cs"/>
          <w:color w:val="0000FF"/>
          <w:sz w:val="24"/>
          <w:szCs w:val="28"/>
          <w:rtl/>
        </w:rPr>
        <w:t xml:space="preserve"> فقرة 260 .</w:t>
      </w:r>
    </w:p>
  </w:footnote>
  <w:footnote w:id="144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276 </w:t>
      </w:r>
      <w:r>
        <w:rPr>
          <w:rFonts w:cs="Traditional Arabic"/>
          <w:color w:val="0000FF"/>
          <w:sz w:val="24"/>
          <w:szCs w:val="28"/>
          <w:rtl/>
        </w:rPr>
        <w:t>–</w:t>
      </w:r>
      <w:r>
        <w:rPr>
          <w:rFonts w:cs="Traditional Arabic" w:hint="cs"/>
          <w:color w:val="0000FF"/>
          <w:sz w:val="24"/>
          <w:szCs w:val="28"/>
          <w:rtl/>
        </w:rPr>
        <w:t xml:space="preserve"> فقرة 303 .</w:t>
      </w:r>
    </w:p>
  </w:footnote>
  <w:footnote w:id="144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117 </w:t>
      </w:r>
      <w:r>
        <w:rPr>
          <w:rFonts w:cs="Traditional Arabic"/>
          <w:color w:val="0000FF"/>
          <w:sz w:val="24"/>
          <w:szCs w:val="28"/>
          <w:rtl/>
        </w:rPr>
        <w:t>–</w:t>
      </w:r>
      <w:r>
        <w:rPr>
          <w:rFonts w:cs="Traditional Arabic" w:hint="cs"/>
          <w:color w:val="0000FF"/>
          <w:sz w:val="24"/>
          <w:szCs w:val="28"/>
          <w:rtl/>
        </w:rPr>
        <w:t xml:space="preserve"> ص 120 .</w:t>
      </w:r>
    </w:p>
  </w:footnote>
  <w:footnote w:id="144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1526 من المشروع التمهيد : على وجه مطابق لما استقر عليه في التقنين المدني الجديد ، ولكن المشروع كان  لا يتضمن الفقرة الثالثة . وأضافت لجنة المراجعة هذه الفقرة الثالثة ، أخذتها المادة 1528 من المشروع التمهيدي من صدرها ، وحذفت الباقي من المادة اكتفاء بالقواعد العامة . والباقي من المادة هو "1-  . . . . ما لم يكن الإنقاص قد ترتب على خطأ الدائن ، فتكون المصروفات عليه في هذه الحالة . 2- وإذا تقرر الإنقاص بمقتضى حكم ، فتكون مصروفات الدعوى على من خسرها ، أو يقضي بالمقاصة بحسب الأحوال" . وأصبح رقم المادة 1197 في المشروع النهائي . ووافق عليها مجلس النواب تحت رقم 1183 ، ثم مجلس الشيوخ تحت رقم 1094 ( مجموعة الأعمال التحضيرية 7 ص 180 </w:t>
      </w:r>
      <w:r>
        <w:rPr>
          <w:rFonts w:cs="Traditional Arabic"/>
          <w:color w:val="0000FF"/>
          <w:sz w:val="24"/>
          <w:szCs w:val="28"/>
          <w:rtl/>
        </w:rPr>
        <w:t>–</w:t>
      </w:r>
      <w:r>
        <w:rPr>
          <w:rFonts w:cs="Traditional Arabic" w:hint="cs"/>
          <w:color w:val="0000FF"/>
          <w:sz w:val="24"/>
          <w:szCs w:val="28"/>
          <w:rtl/>
        </w:rPr>
        <w:t xml:space="preserve"> 183 ) .</w:t>
      </w:r>
    </w:p>
    <w:p w:rsidR="00F72742" w:rsidRPr="005A6B50"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footnote>
  <w:footnote w:id="144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182 .</w:t>
      </w:r>
    </w:p>
  </w:footnote>
  <w:footnote w:id="144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484 .</w:t>
      </w:r>
    </w:p>
  </w:footnote>
  <w:footnote w:id="144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484 .</w:t>
      </w:r>
    </w:p>
  </w:footnote>
  <w:footnote w:id="144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484 في الهامش في تاريخ النص .</w:t>
      </w:r>
    </w:p>
  </w:footnote>
  <w:footnote w:id="145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217 ص 341 .</w:t>
      </w:r>
    </w:p>
  </w:footnote>
  <w:footnote w:id="145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486 .</w:t>
      </w:r>
    </w:p>
  </w:footnote>
  <w:footnote w:id="145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488 .</w:t>
      </w:r>
    </w:p>
  </w:footnote>
  <w:footnote w:id="145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489 .</w:t>
      </w:r>
    </w:p>
  </w:footnote>
  <w:footnote w:id="145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وتقابل المادة 1095 مدني وجاء فيها أن انقضاء الاختصاص يكون كانقضاء الرهن الرسمي .</w:t>
      </w:r>
    </w:p>
  </w:footnote>
  <w:footnote w:id="14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457 .</w:t>
      </w:r>
    </w:p>
  </w:footnote>
  <w:footnote w:id="145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1530 من المشروع التمهيدي . وعدلته لجنة المراجعة تعديلا لفظياً ، وأصبح رقم 1200 في المشروع النهائي . ووافق عليه مجل النواب تحت رقم 1185 . وفي لجنة مجلس الشيوخ ، استبدلت اللجنة بلفظ "عدل" لفظ "أجنبي" ، فصار النص ، تحت رقم 1096 ، مطابقا لما استقر عليه في التقنين المدني الجديد . ووافق مجلس الشيوخ على المادة كما عدلتها لجنته _مجت 191 </w:t>
      </w:r>
      <w:r>
        <w:rPr>
          <w:rFonts w:cs="Traditional Arabic"/>
          <w:color w:val="0000FF"/>
          <w:sz w:val="24"/>
          <w:szCs w:val="28"/>
          <w:rtl/>
        </w:rPr>
        <w:t>–</w:t>
      </w:r>
      <w:r>
        <w:rPr>
          <w:rFonts w:cs="Traditional Arabic" w:hint="cs"/>
          <w:color w:val="0000FF"/>
          <w:sz w:val="24"/>
          <w:szCs w:val="28"/>
          <w:rtl/>
        </w:rPr>
        <w:t xml:space="preserve"> ص 194 )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المدين السابق</w:t>
      </w:r>
      <w:r>
        <w:rPr>
          <w:rFonts w:cs="Traditional Arabic" w:hint="cs"/>
          <w:color w:val="0000FF"/>
          <w:sz w:val="24"/>
          <w:szCs w:val="28"/>
          <w:rtl/>
        </w:rPr>
        <w:t xml:space="preserve"> م 540 فقرة أولى / 662 فقرة أولى : الرهن عقد به يضع المدين شيئا في حيازة دائنه أو في حيازة من اتفق عليه العاقدان تأمينا للدين ، وهذا العقد يعطي للدائن حق حبس الشيء المرهون لحين الوفاء بالتمام ، وحق استيفاء دينه من ثمن المرهون مقدما بالامتياز على من عداه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م 548 / 671 :ويجوز رهن شيء تأمينا لدين على شخص غير الرهن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F772A9">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1028 : رهن المنقول عقد يخصص بمقتضاه شيء منقول ، مادي أو غير مادي ، بتأمين التزام ما . م 1030 : 1- يتم رهن الشيء المادية بأن يسلم المدين </w:t>
      </w:r>
      <w:r>
        <w:rPr>
          <w:rFonts w:cs="Traditional Arabic"/>
          <w:color w:val="0000FF"/>
          <w:sz w:val="24"/>
          <w:szCs w:val="28"/>
          <w:rtl/>
        </w:rPr>
        <w:t>–</w:t>
      </w:r>
      <w:r>
        <w:rPr>
          <w:rFonts w:cs="Traditional Arabic" w:hint="cs"/>
          <w:color w:val="0000FF"/>
          <w:sz w:val="24"/>
          <w:szCs w:val="28"/>
          <w:rtl/>
        </w:rPr>
        <w:t xml:space="preserve"> أو شخص آخر بالنيابة عنه </w:t>
      </w:r>
      <w:r>
        <w:rPr>
          <w:rFonts w:cs="Traditional Arabic"/>
          <w:color w:val="0000FF"/>
          <w:sz w:val="24"/>
          <w:szCs w:val="28"/>
          <w:rtl/>
        </w:rPr>
        <w:t>–</w:t>
      </w:r>
      <w:r>
        <w:rPr>
          <w:rFonts w:cs="Traditional Arabic" w:hint="cs"/>
          <w:color w:val="0000FF"/>
          <w:sz w:val="24"/>
          <w:szCs w:val="28"/>
          <w:rtl/>
        </w:rPr>
        <w:t xml:space="preserve"> هذا الشيء إلى الدائن تأميناً لدين ما . 2- يجوز أن يسلم الشيء إلى شخص آخر يختاره الفريقان ، أو أن يوضح قيد الحراسة المشتركة على وجه لا يمكن معه الراهن أن يتصرف فيه بمعزل عن الدائن . 3- ويجوز أن يتم التسليم بأداء سند يحصر في متسلمه حق التصرف في ذلك الشيء . 4- وتطبق أيضاً على إنشاء رهن المنقول القواعد الخاصة المنصوص عليها في قانون التجارة بشن حيازة الإسناد المنشأة لحاملها . م 1046 : من رهن دينا له يلزمه أن يسلم المرتهن السند المثبت لهذا الدين . م 1055 : الرهن عقد يضع بموجبه المدين عقارا في يد دائنه ، أو في يد شخص آخر يتفق عليه الطرفان ، ويخول الدائن حق حبس العقار إلى أن يدفع له دينه تماما . وإذا لم يدفع له الدين ، فله الحق بملاحقة نزع ملكية مدينه بالطرق القانونية . م 1056 : لا يجوز تخصيص الرهن لضمان التزام بعمل أو عدم عمله .</w:t>
      </w:r>
    </w:p>
    <w:p w:rsidR="00F72742" w:rsidRDefault="00F72742" w:rsidP="00F72742">
      <w:pPr>
        <w:pStyle w:val="aa"/>
        <w:widowControl w:val="0"/>
        <w:ind w:firstLine="567"/>
        <w:jc w:val="lowKashida"/>
        <w:rPr>
          <w:rFonts w:cs="Traditional Arabic" w:hint="cs"/>
          <w:color w:val="0000FF"/>
          <w:sz w:val="24"/>
          <w:szCs w:val="28"/>
          <w:rtl/>
        </w:rPr>
      </w:pPr>
      <w:r w:rsidRPr="00F772A9">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1100 : الرهن الحيازي عقد به يلتزم شخص ، ضمانا لدين عليه أو على غيره ، أن يسلم إلى الدائن أو إلى أجنبي يعينه المتعاقدان ، شيئا يرتب عليه الدائن حقا عينيا يخوله حبس الشيء لحين استيفاء الدين ، وأن يتقدم الدائنين العاديين والدائنين التاليين ه في المرتبة في اقتضاء حقه من ثمن الشيء في أي يد يكون .</w:t>
      </w:r>
    </w:p>
    <w:p w:rsidR="00F72742" w:rsidRDefault="00F72742" w:rsidP="00F72742">
      <w:pPr>
        <w:pStyle w:val="aa"/>
        <w:widowControl w:val="0"/>
        <w:ind w:firstLine="567"/>
        <w:jc w:val="lowKashida"/>
        <w:rPr>
          <w:rFonts w:cs="Traditional Arabic" w:hint="cs"/>
          <w:color w:val="0000FF"/>
          <w:sz w:val="24"/>
          <w:szCs w:val="28"/>
          <w:rtl/>
        </w:rPr>
      </w:pPr>
      <w:r w:rsidRPr="00F772A9">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1321 : الرهن الحيازي عقد به يجعل الراهن مالا محبوسا في يد المرتهن أو في يد عدل بدين يمكن للمرتهن استيفاؤه منه ، كلا أو بعضا ، مقدما على الدائنين العاديين والدائنين التالين في المرتبة في أي يد كان هذا المال . م 1323 : 1- يشترط لتمام الرهن الحيازي وزومه على الراهن أن يقبض المرتهن المرهون . 2- ونفقات العقد على الراهن ، إلا إذا اتفق على غير ذلك م 1323 : 1- يد العدل كيد المرتهن ، فلو اتفق الراهن والمترهن على إيداع المرهون عند أمين ، ورضي الأمين وقبض المرهون ، تم الرهن ولزم . ولو اتفق حين العقد على قبض المرتهن المرهون ، ثم وضعه الراهن والمرتهن بالاتفاق في يد عدل جاز ذلك . 2- وليس للعدل أن يسلم المرهون للراهن أو للمرتهن بدون رضاء الآخر ما دام الدين باقيا ، وإن أعطاه كان له استرداده ، وإذا هلك قبل الاسترداد ضمن العدل قيمته . 3- وإذا توفى العدل يودع الرهن عند عدل غيره بتراضي الطرفين ، وإن لم يحصل بينهم اتفاق فالمحكمة تضعه في يد عدل تختاره .</w:t>
      </w:r>
    </w:p>
    <w:p w:rsidR="00F72742" w:rsidRPr="00110780" w:rsidRDefault="00F72742" w:rsidP="00F72742">
      <w:pPr>
        <w:pStyle w:val="aa"/>
        <w:widowControl w:val="0"/>
        <w:ind w:firstLine="567"/>
        <w:jc w:val="lowKashida"/>
        <w:rPr>
          <w:rFonts w:cs="Traditional Arabic" w:hint="cs"/>
          <w:color w:val="0000FF"/>
          <w:sz w:val="24"/>
          <w:szCs w:val="28"/>
          <w:rtl/>
        </w:rPr>
      </w:pPr>
      <w:r w:rsidRPr="00F772A9">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101 : الرهن عقد يضع بموجبه المديون عقارا في يد عدل ، ويخول الدائن حق حبس العقار إلى أن يدفع له دينه تماما . وإذا لم يدفع الدين ، فله الحق بملاحقة نزع ملكية مديونه بالطرق القانونية . م 102/ لا يجوز تخصيص الرهن لضمان موجبات بعمل شيء أو بعدم عمله .</w:t>
      </w:r>
    </w:p>
  </w:footnote>
  <w:footnote w:id="145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193 .</w:t>
      </w:r>
    </w:p>
  </w:footnote>
  <w:footnote w:id="14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193 .</w:t>
      </w:r>
    </w:p>
  </w:footnote>
  <w:footnote w:id="145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الإسكندرية 4 فبراير سنة 1907 الحقوق 23 ص 31 . وقبل التسليم كان العقد مجرد وعد بالرهن ، فيجوز للقاضي أن يجبر الواعد على تسليم العين ، ويجوز أن يحكم عليه بتعويض لعدم التسليم ( استئناف وطني 19 يناير سنة 1916 الشرائع 3 رقم 111 ص 367 )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ولكنه لا يكون رهنا إلا من وقت تسليم الشيء إلى الدائن ( بون فقرة 1064 </w:t>
      </w:r>
      <w:r>
        <w:rPr>
          <w:rFonts w:cs="Traditional Arabic"/>
          <w:color w:val="0000FF"/>
          <w:sz w:val="24"/>
          <w:szCs w:val="28"/>
          <w:rtl/>
        </w:rPr>
        <w:t>–</w:t>
      </w:r>
      <w:r>
        <w:rPr>
          <w:rFonts w:cs="Traditional Arabic" w:hint="cs"/>
          <w:color w:val="0000FF"/>
          <w:sz w:val="24"/>
          <w:szCs w:val="28"/>
          <w:rtl/>
        </w:rPr>
        <w:t xml:space="preserve"> جيوار فقرة 20 </w:t>
      </w:r>
      <w:r>
        <w:rPr>
          <w:rFonts w:cs="Traditional Arabic"/>
          <w:color w:val="0000FF"/>
          <w:sz w:val="24"/>
          <w:szCs w:val="28"/>
          <w:rtl/>
        </w:rPr>
        <w:t>–</w:t>
      </w:r>
      <w:r>
        <w:rPr>
          <w:rFonts w:cs="Traditional Arabic" w:hint="cs"/>
          <w:color w:val="0000FF"/>
          <w:sz w:val="24"/>
          <w:szCs w:val="28"/>
          <w:rtl/>
        </w:rPr>
        <w:t xml:space="preserve"> بودري ودي لوان فقرة 7 ) ، لا قبل ذلك ( استئناف مختلط 23 مارس سنة </w:t>
      </w:r>
      <w:smartTag w:uri="urn:schemas-microsoft-com:office:smarttags" w:element="metricconverter">
        <w:smartTagPr>
          <w:attr w:name="ProductID" w:val="1915 م"/>
        </w:smartTagPr>
        <w:r>
          <w:rPr>
            <w:rFonts w:cs="Traditional Arabic" w:hint="cs"/>
            <w:color w:val="0000FF"/>
            <w:sz w:val="24"/>
            <w:szCs w:val="28"/>
            <w:rtl/>
          </w:rPr>
          <w:t>1915 م</w:t>
        </w:r>
      </w:smartTag>
      <w:r>
        <w:rPr>
          <w:rFonts w:cs="Traditional Arabic" w:hint="cs"/>
          <w:color w:val="0000FF"/>
          <w:sz w:val="24"/>
          <w:szCs w:val="28"/>
          <w:rtl/>
        </w:rPr>
        <w:t xml:space="preserve"> 27 ص 236 ) .</w:t>
      </w:r>
    </w:p>
  </w:footnote>
  <w:footnote w:id="146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وقبل التسليم يتم الرهن الحيازي ويترتب الحق العيني ، ويستطيع الدائن أن ينفذ بحقه على العين المرهونة باعتباره دائناً مرتهناً ، ولكن لا يتقدم ولا يتبع لأن الرهن الحيازي لا ينفذ في حق الغير قبل التسليم ( محمد كامل مرسي فقرة 272 ص 351 ) .</w:t>
      </w:r>
    </w:p>
  </w:footnote>
  <w:footnote w:id="14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28 فقرة 437 </w:t>
      </w:r>
      <w:r>
        <w:rPr>
          <w:rFonts w:cs="Traditional Arabic"/>
          <w:color w:val="0000FF"/>
          <w:sz w:val="24"/>
          <w:szCs w:val="28"/>
          <w:rtl/>
        </w:rPr>
        <w:t>–</w:t>
      </w:r>
      <w:r>
        <w:rPr>
          <w:rFonts w:cs="Traditional Arabic" w:hint="cs"/>
          <w:color w:val="0000FF"/>
          <w:sz w:val="24"/>
          <w:szCs w:val="28"/>
          <w:rtl/>
        </w:rPr>
        <w:t xml:space="preserve"> جيوار فقرة 21 .</w:t>
      </w:r>
    </w:p>
  </w:footnote>
  <w:footnote w:id="146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محمد كامل مرسي فقرة 22 وفقرة 274 .</w:t>
      </w:r>
    </w:p>
  </w:footnote>
  <w:footnote w:id="146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6 يناير سنة </w:t>
      </w:r>
      <w:smartTag w:uri="urn:schemas-microsoft-com:office:smarttags" w:element="metricconverter">
        <w:smartTagPr>
          <w:attr w:name="ProductID" w:val="1908 م"/>
        </w:smartTagPr>
        <w:r>
          <w:rPr>
            <w:rFonts w:cs="Traditional Arabic" w:hint="cs"/>
            <w:color w:val="0000FF"/>
            <w:sz w:val="24"/>
            <w:szCs w:val="28"/>
            <w:rtl/>
          </w:rPr>
          <w:t>1908 م</w:t>
        </w:r>
      </w:smartTag>
      <w:r>
        <w:rPr>
          <w:rFonts w:cs="Traditional Arabic" w:hint="cs"/>
          <w:color w:val="0000FF"/>
          <w:sz w:val="24"/>
          <w:szCs w:val="28"/>
          <w:rtl/>
        </w:rPr>
        <w:t xml:space="preserve"> 20 ص 49 </w:t>
      </w:r>
      <w:r>
        <w:rPr>
          <w:rFonts w:cs="Traditional Arabic"/>
          <w:color w:val="0000FF"/>
          <w:sz w:val="24"/>
          <w:szCs w:val="28"/>
          <w:rtl/>
        </w:rPr>
        <w:t>–</w:t>
      </w:r>
      <w:r>
        <w:rPr>
          <w:rFonts w:cs="Traditional Arabic" w:hint="cs"/>
          <w:color w:val="0000FF"/>
          <w:sz w:val="24"/>
          <w:szCs w:val="28"/>
          <w:rtl/>
        </w:rPr>
        <w:t xml:space="preserve"> محمد كامل مرسي فقرة 274 ص 352 </w:t>
      </w:r>
      <w:r>
        <w:rPr>
          <w:rFonts w:cs="Traditional Arabic"/>
          <w:color w:val="0000FF"/>
          <w:sz w:val="24"/>
          <w:szCs w:val="28"/>
          <w:rtl/>
        </w:rPr>
        <w:t>–</w:t>
      </w:r>
      <w:r>
        <w:rPr>
          <w:rFonts w:cs="Traditional Arabic" w:hint="cs"/>
          <w:color w:val="0000FF"/>
          <w:sz w:val="24"/>
          <w:szCs w:val="28"/>
          <w:rtl/>
        </w:rPr>
        <w:t xml:space="preserve"> ولكن لا يترتب على بطلان الرهن الحيازي ذاته أو قابليته للإبطال أو انقضائه أن يكون الالتزام الأصلي مثله ، فقد يكون الالتزام الأصلي في هذه الحالة صحيحا قائماً ، لأن الالتزام الأصلي متبوع لا تابع والمتبوع قد يبقى مع زوال التابع ( بودري ودي لوان فقرة 9 )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وإذا كان الراهن غير المدين ، أي كان كفيلا عينيا ، فللكفيل العين أن يتمسك بأوجه الدفع الخاصة به ، وأن يتمسك أيضاً بأوجه الدفع المتعلقة بالالتزام الأصلي من بطلان أو انقضاء حتى لو نزل المدين عنها ( محمد كامل مرسي فقرة 273 ص 352 ) . وقد نصت المادة 1098 مدني على أن المادة 1042 مدني تسري على الرهن الحيازي ، وتنص المادة 1042 مدني على ما يأتي : "1- لا ينفصل الرهن عن الدين المضمون ، بل يكون تابعاً له صحته وفي انقضائه ، ما لم ينص القانون على خلاف ذلك . 2- وإذا كان الراهن غير المدين ، كان له ، إلى جانب تمسكه بأوجه الدفع الخاصة به ، أن يتمسك به من أوجه الدفع الخاصة بالدين ، ويبقى له هذا الحق ولو نزل عنه المدين" .</w:t>
      </w:r>
    </w:p>
  </w:footnote>
  <w:footnote w:id="14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28 فقرة 436 </w:t>
      </w:r>
      <w:r>
        <w:rPr>
          <w:rFonts w:cs="Traditional Arabic"/>
          <w:color w:val="0000FF"/>
          <w:sz w:val="24"/>
          <w:szCs w:val="28"/>
          <w:rtl/>
        </w:rPr>
        <w:t>–</w:t>
      </w:r>
      <w:r>
        <w:rPr>
          <w:rFonts w:cs="Traditional Arabic" w:hint="cs"/>
          <w:color w:val="0000FF"/>
          <w:sz w:val="24"/>
          <w:szCs w:val="28"/>
          <w:rtl/>
        </w:rPr>
        <w:t xml:space="preserve"> بون فقرة 1060 </w:t>
      </w:r>
      <w:r>
        <w:rPr>
          <w:rFonts w:cs="Traditional Arabic"/>
          <w:color w:val="0000FF"/>
          <w:sz w:val="24"/>
          <w:szCs w:val="28"/>
          <w:rtl/>
        </w:rPr>
        <w:t>–</w:t>
      </w:r>
      <w:r>
        <w:rPr>
          <w:rFonts w:cs="Traditional Arabic" w:hint="cs"/>
          <w:color w:val="0000FF"/>
          <w:sz w:val="24"/>
          <w:szCs w:val="28"/>
          <w:rtl/>
        </w:rPr>
        <w:t xml:space="preserve"> جيوار فقرة 19 </w:t>
      </w:r>
      <w:r>
        <w:rPr>
          <w:rFonts w:cs="Traditional Arabic"/>
          <w:color w:val="0000FF"/>
          <w:sz w:val="24"/>
          <w:szCs w:val="28"/>
          <w:rtl/>
        </w:rPr>
        <w:t>–</w:t>
      </w:r>
      <w:r>
        <w:rPr>
          <w:rFonts w:cs="Traditional Arabic" w:hint="cs"/>
          <w:color w:val="0000FF"/>
          <w:sz w:val="24"/>
          <w:szCs w:val="28"/>
          <w:rtl/>
        </w:rPr>
        <w:t xml:space="preserve"> بودري ودي لوان فقرة 9 </w:t>
      </w:r>
      <w:r>
        <w:rPr>
          <w:rFonts w:cs="Traditional Arabic"/>
          <w:color w:val="0000FF"/>
          <w:sz w:val="24"/>
          <w:szCs w:val="28"/>
          <w:rtl/>
        </w:rPr>
        <w:t>–</w:t>
      </w:r>
      <w:r>
        <w:rPr>
          <w:rFonts w:cs="Traditional Arabic" w:hint="cs"/>
          <w:color w:val="0000FF"/>
          <w:sz w:val="24"/>
          <w:szCs w:val="28"/>
          <w:rtl/>
        </w:rPr>
        <w:t xml:space="preserve"> دي هلتس فقرة 4 </w:t>
      </w:r>
      <w:r>
        <w:rPr>
          <w:rFonts w:cs="Traditional Arabic"/>
          <w:color w:val="0000FF"/>
          <w:sz w:val="24"/>
          <w:szCs w:val="28"/>
          <w:rtl/>
        </w:rPr>
        <w:t>–</w:t>
      </w:r>
      <w:r>
        <w:rPr>
          <w:rFonts w:cs="Traditional Arabic" w:hint="cs"/>
          <w:color w:val="0000FF"/>
          <w:sz w:val="24"/>
          <w:szCs w:val="28"/>
          <w:rtl/>
        </w:rPr>
        <w:t xml:space="preserve"> محمد كامل مرسي فقرة 273 ص 352 </w:t>
      </w:r>
      <w:r>
        <w:rPr>
          <w:rFonts w:cs="Traditional Arabic"/>
          <w:color w:val="0000FF"/>
          <w:sz w:val="24"/>
          <w:szCs w:val="28"/>
          <w:rtl/>
        </w:rPr>
        <w:t>–</w:t>
      </w:r>
      <w:r>
        <w:rPr>
          <w:rFonts w:cs="Traditional Arabic" w:hint="cs"/>
          <w:color w:val="0000FF"/>
          <w:sz w:val="24"/>
          <w:szCs w:val="28"/>
          <w:rtl/>
        </w:rPr>
        <w:t xml:space="preserve"> استئناف مختلط 18 مارس سنة </w:t>
      </w:r>
      <w:smartTag w:uri="urn:schemas-microsoft-com:office:smarttags" w:element="metricconverter">
        <w:smartTagPr>
          <w:attr w:name="ProductID" w:val="1908 م"/>
        </w:smartTagPr>
        <w:r>
          <w:rPr>
            <w:rFonts w:cs="Traditional Arabic" w:hint="cs"/>
            <w:color w:val="0000FF"/>
            <w:sz w:val="24"/>
            <w:szCs w:val="28"/>
            <w:rtl/>
          </w:rPr>
          <w:t>1908 م</w:t>
        </w:r>
      </w:smartTag>
      <w:r>
        <w:rPr>
          <w:rFonts w:cs="Traditional Arabic" w:hint="cs"/>
          <w:color w:val="0000FF"/>
          <w:sz w:val="24"/>
          <w:szCs w:val="28"/>
          <w:rtl/>
        </w:rPr>
        <w:t xml:space="preserve"> 20 ص 129 .</w:t>
      </w:r>
    </w:p>
  </w:footnote>
  <w:footnote w:id="14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9 مايو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286 .</w:t>
      </w:r>
    </w:p>
  </w:footnote>
  <w:footnote w:id="146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10 </w:t>
      </w:r>
      <w:r>
        <w:rPr>
          <w:rFonts w:cs="Traditional Arabic"/>
          <w:color w:val="0000FF"/>
          <w:sz w:val="24"/>
          <w:szCs w:val="28"/>
          <w:rtl/>
        </w:rPr>
        <w:t>–</w:t>
      </w:r>
      <w:r>
        <w:rPr>
          <w:rFonts w:cs="Traditional Arabic" w:hint="cs"/>
          <w:color w:val="0000FF"/>
          <w:sz w:val="24"/>
          <w:szCs w:val="28"/>
          <w:rtl/>
        </w:rPr>
        <w:t xml:space="preserve"> بلانيول وريبير وبيكيه فقرة 75 .</w:t>
      </w:r>
    </w:p>
  </w:footnote>
  <w:footnote w:id="14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273 ص 355 .</w:t>
      </w:r>
    </w:p>
  </w:footnote>
  <w:footnote w:id="14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24 أبريل سنة </w:t>
      </w:r>
      <w:smartTag w:uri="urn:schemas-microsoft-com:office:smarttags" w:element="metricconverter">
        <w:smartTagPr>
          <w:attr w:name="ProductID" w:val="1932 م"/>
        </w:smartTagPr>
        <w:r>
          <w:rPr>
            <w:rFonts w:cs="Traditional Arabic" w:hint="cs"/>
            <w:color w:val="0000FF"/>
            <w:sz w:val="24"/>
            <w:szCs w:val="28"/>
            <w:rtl/>
          </w:rPr>
          <w:t>1932 م</w:t>
        </w:r>
      </w:smartTag>
      <w:r>
        <w:rPr>
          <w:rFonts w:cs="Traditional Arabic" w:hint="cs"/>
          <w:color w:val="0000FF"/>
          <w:sz w:val="24"/>
          <w:szCs w:val="28"/>
          <w:rtl/>
        </w:rPr>
        <w:t xml:space="preserve"> 45 ص 249 .</w:t>
      </w:r>
    </w:p>
  </w:footnote>
  <w:footnote w:id="146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9 مايو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286 .</w:t>
      </w:r>
    </w:p>
  </w:footnote>
  <w:footnote w:id="14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143 </w:t>
      </w:r>
      <w:r>
        <w:rPr>
          <w:rFonts w:cs="Traditional Arabic"/>
          <w:color w:val="0000FF"/>
          <w:sz w:val="24"/>
          <w:szCs w:val="28"/>
          <w:rtl/>
        </w:rPr>
        <w:t>–</w:t>
      </w:r>
      <w:r>
        <w:rPr>
          <w:rFonts w:cs="Traditional Arabic" w:hint="cs"/>
          <w:color w:val="0000FF"/>
          <w:sz w:val="24"/>
          <w:szCs w:val="28"/>
          <w:rtl/>
        </w:rPr>
        <w:t xml:space="preserve"> بودري ودي لوان فقرة 10 </w:t>
      </w:r>
      <w:r>
        <w:rPr>
          <w:rFonts w:cs="Traditional Arabic"/>
          <w:color w:val="0000FF"/>
          <w:sz w:val="24"/>
          <w:szCs w:val="28"/>
          <w:rtl/>
        </w:rPr>
        <w:t>–</w:t>
      </w:r>
      <w:r>
        <w:rPr>
          <w:rFonts w:cs="Traditional Arabic" w:hint="cs"/>
          <w:color w:val="0000FF"/>
          <w:sz w:val="24"/>
          <w:szCs w:val="28"/>
          <w:rtl/>
        </w:rPr>
        <w:t xml:space="preserve"> بلانيول وريبير وبيكيه فقرة 75 </w:t>
      </w:r>
      <w:r>
        <w:rPr>
          <w:rFonts w:cs="Traditional Arabic"/>
          <w:color w:val="0000FF"/>
          <w:sz w:val="24"/>
          <w:szCs w:val="28"/>
          <w:rtl/>
        </w:rPr>
        <w:t>–</w:t>
      </w:r>
      <w:r>
        <w:rPr>
          <w:rFonts w:cs="Traditional Arabic" w:hint="cs"/>
          <w:color w:val="0000FF"/>
          <w:sz w:val="24"/>
          <w:szCs w:val="28"/>
          <w:rtl/>
        </w:rPr>
        <w:t xml:space="preserve"> دي هلتس فقرة 5 </w:t>
      </w:r>
      <w:r>
        <w:rPr>
          <w:rFonts w:cs="Traditional Arabic"/>
          <w:color w:val="0000FF"/>
          <w:sz w:val="24"/>
          <w:szCs w:val="28"/>
          <w:rtl/>
        </w:rPr>
        <w:t>–</w:t>
      </w:r>
      <w:r>
        <w:rPr>
          <w:rFonts w:cs="Traditional Arabic" w:hint="cs"/>
          <w:color w:val="0000FF"/>
          <w:sz w:val="24"/>
          <w:szCs w:val="28"/>
          <w:rtl/>
        </w:rPr>
        <w:t xml:space="preserve"> هالتون ص 250 </w:t>
      </w:r>
      <w:r>
        <w:rPr>
          <w:rFonts w:cs="Traditional Arabic"/>
          <w:color w:val="0000FF"/>
          <w:sz w:val="24"/>
          <w:szCs w:val="28"/>
          <w:rtl/>
        </w:rPr>
        <w:t>–</w:t>
      </w:r>
      <w:r>
        <w:rPr>
          <w:rFonts w:cs="Traditional Arabic" w:hint="cs"/>
          <w:color w:val="0000FF"/>
          <w:sz w:val="24"/>
          <w:szCs w:val="28"/>
          <w:rtl/>
        </w:rPr>
        <w:t xml:space="preserve"> 251 .</w:t>
      </w:r>
    </w:p>
  </w:footnote>
  <w:footnote w:id="14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وتنطبق على الرهن الحيازي بموجب المادة 1098 مدني .</w:t>
      </w:r>
    </w:p>
  </w:footnote>
  <w:footnote w:id="147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ويجوز أن يكون الالتزام الأصلي التزاما يعقده مدين ناقص الأهلية وفي هذه الحالة يكون الراهن كفيلا عينيا ، كما يجوزان يكون الالتزام الأصلي التزاماً طبيعيا ولكن يكون التزام الراهن التزاما طبيعياً كذلك ولا يمكن إجبار الرهن على تنفيذه ( بودري ودي لوان فقرة 10 </w:t>
      </w:r>
      <w:r>
        <w:rPr>
          <w:rFonts w:cs="Traditional Arabic"/>
          <w:color w:val="0000FF"/>
          <w:sz w:val="24"/>
          <w:szCs w:val="28"/>
          <w:rtl/>
        </w:rPr>
        <w:t>–</w:t>
      </w:r>
      <w:r>
        <w:rPr>
          <w:rFonts w:cs="Traditional Arabic" w:hint="cs"/>
          <w:color w:val="0000FF"/>
          <w:sz w:val="24"/>
          <w:szCs w:val="28"/>
          <w:rtl/>
        </w:rPr>
        <w:t xml:space="preserve"> جوسران 2 فقرة 1516 </w:t>
      </w:r>
      <w:r>
        <w:rPr>
          <w:rFonts w:cs="Traditional Arabic"/>
          <w:color w:val="0000FF"/>
          <w:sz w:val="24"/>
          <w:szCs w:val="28"/>
          <w:rtl/>
        </w:rPr>
        <w:t>–</w:t>
      </w:r>
      <w:r>
        <w:rPr>
          <w:rFonts w:cs="Traditional Arabic" w:hint="cs"/>
          <w:color w:val="0000FF"/>
          <w:sz w:val="24"/>
          <w:szCs w:val="28"/>
          <w:rtl/>
        </w:rPr>
        <w:t xml:space="preserve"> بودري وبارد 2 فقرة 1677 </w:t>
      </w:r>
      <w:r>
        <w:rPr>
          <w:rFonts w:cs="Traditional Arabic"/>
          <w:color w:val="0000FF"/>
          <w:sz w:val="24"/>
          <w:szCs w:val="28"/>
          <w:rtl/>
        </w:rPr>
        <w:t>–</w:t>
      </w:r>
      <w:r>
        <w:rPr>
          <w:rFonts w:cs="Traditional Arabic" w:hint="cs"/>
          <w:color w:val="0000FF"/>
          <w:sz w:val="24"/>
          <w:szCs w:val="28"/>
          <w:rtl/>
        </w:rPr>
        <w:t xml:space="preserve"> محمد كامل مرسي فقرة 273 ص 354 ) .</w:t>
      </w:r>
    </w:p>
  </w:footnote>
  <w:footnote w:id="14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وهي متعلقة بالرهن الرسمي ولكنها تسري على رهن الحيازة بموجب المادة 1098 مدني .</w:t>
      </w:r>
    </w:p>
  </w:footnote>
  <w:footnote w:id="147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وإذا ضاع بعض المرهون أو هلك ، فإن الباقي من المرهون يبقى مرهونا في كل الدين ( دعوى هلتس فقرة 8 ) . وينبني على عدم قابلية الرهن للتجزئة أن دعوى بطلان الرهن تكون أيضاً غير قابلة للتجزئة ، فلا يجوز أن يستقل برفعها بعض المدنيين دون بعض ( نقض فرنسي 28 أبريل سنة 1857 داللوز 57 </w:t>
      </w:r>
      <w:r>
        <w:rPr>
          <w:rFonts w:cs="Traditional Arabic"/>
          <w:color w:val="0000FF"/>
          <w:sz w:val="24"/>
          <w:szCs w:val="28"/>
          <w:rtl/>
        </w:rPr>
        <w:t>–</w:t>
      </w:r>
      <w:r>
        <w:rPr>
          <w:rFonts w:cs="Traditional Arabic" w:hint="cs"/>
          <w:color w:val="0000FF"/>
          <w:sz w:val="24"/>
          <w:szCs w:val="28"/>
          <w:rtl/>
        </w:rPr>
        <w:t xml:space="preserve"> 1- 219 ) .</w:t>
      </w:r>
    </w:p>
  </w:footnote>
  <w:footnote w:id="147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503 </w:t>
      </w:r>
      <w:r>
        <w:rPr>
          <w:rFonts w:cs="Traditional Arabic"/>
          <w:color w:val="0000FF"/>
          <w:sz w:val="24"/>
          <w:szCs w:val="28"/>
          <w:rtl/>
        </w:rPr>
        <w:t>–</w:t>
      </w:r>
      <w:r>
        <w:rPr>
          <w:rFonts w:cs="Traditional Arabic" w:hint="cs"/>
          <w:color w:val="0000FF"/>
          <w:sz w:val="24"/>
          <w:szCs w:val="28"/>
          <w:rtl/>
        </w:rPr>
        <w:t xml:space="preserve"> جيوار فقرة 627 </w:t>
      </w:r>
      <w:r>
        <w:rPr>
          <w:rFonts w:cs="Traditional Arabic"/>
          <w:color w:val="0000FF"/>
          <w:sz w:val="24"/>
          <w:szCs w:val="28"/>
          <w:rtl/>
        </w:rPr>
        <w:t>–</w:t>
      </w:r>
      <w:r>
        <w:rPr>
          <w:rFonts w:cs="Traditional Arabic" w:hint="cs"/>
          <w:color w:val="0000FF"/>
          <w:sz w:val="24"/>
          <w:szCs w:val="28"/>
          <w:rtl/>
        </w:rPr>
        <w:t xml:space="preserve"> بودري ودي لوان فقرة 103 </w:t>
      </w:r>
      <w:r>
        <w:rPr>
          <w:rFonts w:cs="Traditional Arabic"/>
          <w:color w:val="0000FF"/>
          <w:sz w:val="24"/>
          <w:szCs w:val="28"/>
          <w:rtl/>
        </w:rPr>
        <w:t>–</w:t>
      </w:r>
      <w:r>
        <w:rPr>
          <w:rFonts w:cs="Traditional Arabic" w:hint="cs"/>
          <w:color w:val="0000FF"/>
          <w:sz w:val="24"/>
          <w:szCs w:val="28"/>
          <w:rtl/>
        </w:rPr>
        <w:t xml:space="preserve"> نقض فرنسي 18 ديسمبر سنة 1866 داللوز 67 </w:t>
      </w:r>
      <w:r>
        <w:rPr>
          <w:rFonts w:cs="Traditional Arabic"/>
          <w:color w:val="0000FF"/>
          <w:sz w:val="24"/>
          <w:szCs w:val="28"/>
          <w:rtl/>
        </w:rPr>
        <w:t>–</w:t>
      </w:r>
      <w:r>
        <w:rPr>
          <w:rFonts w:cs="Traditional Arabic" w:hint="cs"/>
          <w:color w:val="0000FF"/>
          <w:sz w:val="24"/>
          <w:szCs w:val="28"/>
          <w:rtl/>
        </w:rPr>
        <w:t xml:space="preserve"> 1 </w:t>
      </w:r>
      <w:r>
        <w:rPr>
          <w:rFonts w:cs="Traditional Arabic"/>
          <w:color w:val="0000FF"/>
          <w:sz w:val="24"/>
          <w:szCs w:val="28"/>
          <w:rtl/>
        </w:rPr>
        <w:t>–</w:t>
      </w:r>
      <w:r>
        <w:rPr>
          <w:rFonts w:cs="Traditional Arabic" w:hint="cs"/>
          <w:color w:val="0000FF"/>
          <w:sz w:val="24"/>
          <w:szCs w:val="28"/>
          <w:rtl/>
        </w:rPr>
        <w:t xml:space="preserve"> 307 .</w:t>
      </w:r>
    </w:p>
  </w:footnote>
  <w:footnote w:id="14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وإذا تقرر بطلان الدين بسبب عدم أهلية المدين ، فإن الرهن المقدم من غير المدين تأمينا لهذا الدين يبطل تبعاً لذلك ، ويتعين رد المرهون إلى الراهن ( استئناف مختلط 6 يناير سنة </w:t>
      </w:r>
      <w:smartTag w:uri="urn:schemas-microsoft-com:office:smarttags" w:element="metricconverter">
        <w:smartTagPr>
          <w:attr w:name="ProductID" w:val="1908 م"/>
        </w:smartTagPr>
        <w:r>
          <w:rPr>
            <w:rFonts w:cs="Traditional Arabic" w:hint="cs"/>
            <w:color w:val="0000FF"/>
            <w:sz w:val="24"/>
            <w:szCs w:val="28"/>
            <w:rtl/>
          </w:rPr>
          <w:t>1908 م</w:t>
        </w:r>
      </w:smartTag>
      <w:r>
        <w:rPr>
          <w:rFonts w:cs="Traditional Arabic" w:hint="cs"/>
          <w:color w:val="0000FF"/>
          <w:sz w:val="24"/>
          <w:szCs w:val="28"/>
          <w:rtl/>
        </w:rPr>
        <w:t xml:space="preserve"> 20 ص 49 ) .</w:t>
      </w:r>
    </w:p>
  </w:footnote>
  <w:footnote w:id="14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30 مايو سنة 1905 الاستقلال 4 رقم 404 ص 459 </w:t>
      </w:r>
      <w:r>
        <w:rPr>
          <w:rFonts w:cs="Traditional Arabic"/>
          <w:color w:val="0000FF"/>
          <w:sz w:val="24"/>
          <w:szCs w:val="28"/>
          <w:rtl/>
        </w:rPr>
        <w:t>–</w:t>
      </w:r>
      <w:r>
        <w:rPr>
          <w:rFonts w:cs="Traditional Arabic" w:hint="cs"/>
          <w:color w:val="0000FF"/>
          <w:sz w:val="24"/>
          <w:szCs w:val="28"/>
          <w:rtl/>
        </w:rPr>
        <w:t xml:space="preserve"> استئناف مصر 23 فبراير سنة 1925 المحاماة 5 رقم 429 ص 515 .</w:t>
      </w:r>
    </w:p>
  </w:footnote>
  <w:footnote w:id="147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220 .</w:t>
      </w:r>
    </w:p>
  </w:footnote>
  <w:footnote w:id="147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مجموعة الأعمال التحضيرية 7 ص 189- 190 .</w:t>
      </w:r>
    </w:p>
  </w:footnote>
  <w:footnote w:id="148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131 .</w:t>
      </w:r>
    </w:p>
  </w:footnote>
  <w:footnote w:id="148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ما يلي فقرة 514 .</w:t>
      </w:r>
    </w:p>
  </w:footnote>
  <w:footnote w:id="148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رأت لجنة المراجعة حذف المادة 1531 ، اكتفاء بما تنص عليه المادة 1543 من سريان المادة 1128 المتعلقة بالرهن الرسمي على رهن الحيازة ( مجموعة الأعمال التحضيرية 7 ص 192 في الهامش ) .</w:t>
      </w:r>
    </w:p>
  </w:footnote>
  <w:footnote w:id="14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 يناير سنة </w:t>
      </w:r>
      <w:smartTag w:uri="urn:schemas-microsoft-com:office:smarttags" w:element="metricconverter">
        <w:smartTagPr>
          <w:attr w:name="ProductID" w:val="1902 م"/>
        </w:smartTagPr>
        <w:r>
          <w:rPr>
            <w:rFonts w:cs="Traditional Arabic" w:hint="cs"/>
            <w:color w:val="0000FF"/>
            <w:sz w:val="24"/>
            <w:szCs w:val="28"/>
            <w:rtl/>
          </w:rPr>
          <w:t>1902 م</w:t>
        </w:r>
      </w:smartTag>
      <w:r>
        <w:rPr>
          <w:rFonts w:cs="Traditional Arabic" w:hint="cs"/>
          <w:color w:val="0000FF"/>
          <w:sz w:val="24"/>
          <w:szCs w:val="28"/>
          <w:rtl/>
        </w:rPr>
        <w:t xml:space="preserve"> 14 ص 73 </w:t>
      </w:r>
      <w:r>
        <w:rPr>
          <w:rFonts w:cs="Traditional Arabic"/>
          <w:color w:val="0000FF"/>
          <w:sz w:val="24"/>
          <w:szCs w:val="28"/>
          <w:rtl/>
        </w:rPr>
        <w:t>–</w:t>
      </w:r>
      <w:r>
        <w:rPr>
          <w:rFonts w:cs="Traditional Arabic" w:hint="cs"/>
          <w:color w:val="0000FF"/>
          <w:sz w:val="24"/>
          <w:szCs w:val="28"/>
          <w:rtl/>
        </w:rPr>
        <w:t xml:space="preserve"> 2 مارس سنة </w:t>
      </w:r>
      <w:smartTag w:uri="urn:schemas-microsoft-com:office:smarttags" w:element="metricconverter">
        <w:smartTagPr>
          <w:attr w:name="ProductID" w:val="1905 م"/>
        </w:smartTagPr>
        <w:r>
          <w:rPr>
            <w:rFonts w:cs="Traditional Arabic" w:hint="cs"/>
            <w:color w:val="0000FF"/>
            <w:sz w:val="24"/>
            <w:szCs w:val="28"/>
            <w:rtl/>
          </w:rPr>
          <w:t>1905 م</w:t>
        </w:r>
      </w:smartTag>
      <w:r>
        <w:rPr>
          <w:rFonts w:cs="Traditional Arabic" w:hint="cs"/>
          <w:color w:val="0000FF"/>
          <w:sz w:val="24"/>
          <w:szCs w:val="28"/>
          <w:rtl/>
        </w:rPr>
        <w:t xml:space="preserve"> 17 ص 150 </w:t>
      </w:r>
      <w:r>
        <w:rPr>
          <w:rFonts w:cs="Traditional Arabic"/>
          <w:color w:val="0000FF"/>
          <w:sz w:val="24"/>
          <w:szCs w:val="28"/>
          <w:rtl/>
        </w:rPr>
        <w:t>–</w:t>
      </w:r>
      <w:r>
        <w:rPr>
          <w:rFonts w:cs="Traditional Arabic" w:hint="cs"/>
          <w:color w:val="0000FF"/>
          <w:sz w:val="24"/>
          <w:szCs w:val="28"/>
          <w:rtl/>
        </w:rPr>
        <w:t xml:space="preserve"> 29 يناير سنة </w:t>
      </w:r>
      <w:smartTag w:uri="urn:schemas-microsoft-com:office:smarttags" w:element="metricconverter">
        <w:smartTagPr>
          <w:attr w:name="ProductID" w:val="1908 م"/>
        </w:smartTagPr>
        <w:r>
          <w:rPr>
            <w:rFonts w:cs="Traditional Arabic" w:hint="cs"/>
            <w:color w:val="0000FF"/>
            <w:sz w:val="24"/>
            <w:szCs w:val="28"/>
            <w:rtl/>
          </w:rPr>
          <w:t>1908 م</w:t>
        </w:r>
      </w:smartTag>
      <w:r>
        <w:rPr>
          <w:rFonts w:cs="Traditional Arabic" w:hint="cs"/>
          <w:color w:val="0000FF"/>
          <w:sz w:val="24"/>
          <w:szCs w:val="28"/>
          <w:rtl/>
        </w:rPr>
        <w:t xml:space="preserve"> 20 ص 71 .</w:t>
      </w:r>
    </w:p>
  </w:footnote>
  <w:footnote w:id="148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فإذا كان النائب أبا للراهن الصغير ، كان للأب رهن مال ولده دون إذن المحكمة ، إلا ما تزيد قيمته على 300 جنيه من عقار أو محل تجاري أو أوراق مالية فيجب إذن المحكمة في رهنه ( م 7 قانون الولاية على المال ) . والجد والوصي والقيم ليس لهم أن يرهنوا مال الصغير ومن في حكمة رهن حيازة إلا بإذن المحكمة ( المواد 65 و 26 و 40 و 78 من قانون الولاية على المال )ز ( سليمان مرقس فقرة 228 ص 353 ) .</w:t>
      </w:r>
    </w:p>
  </w:footnote>
  <w:footnote w:id="148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فقرة 509 .</w:t>
      </w:r>
    </w:p>
  </w:footnote>
  <w:footnote w:id="14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آنفاً فقرة 135 وكذلك ما سبق أن قدمناه في الرهن الرسمي .</w:t>
      </w:r>
    </w:p>
  </w:footnote>
  <w:footnote w:id="14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يرتهن الشخص منقولا غير مملوك للراهن ، ولكن المرتهن يكون حسن النية ويعتقد أن المنقول مملوكا للراهن ، فيثبت للمرتهن حق رهن حيازة على المنقول إذا تسلمه ، لا بموجب عقد الرهن ، ولكن بموجب الحيازة لأن الحيازة في المنقول سند الملكية وسند للرهن ( استئناف مختلط 17 ديسمبر سنة </w:t>
      </w:r>
      <w:smartTag w:uri="urn:schemas-microsoft-com:office:smarttags" w:element="metricconverter">
        <w:smartTagPr>
          <w:attr w:name="ProductID" w:val="1924 م"/>
        </w:smartTagPr>
        <w:r>
          <w:rPr>
            <w:rFonts w:cs="Traditional Arabic" w:hint="cs"/>
            <w:color w:val="0000FF"/>
            <w:sz w:val="24"/>
            <w:szCs w:val="28"/>
            <w:rtl/>
          </w:rPr>
          <w:t>1924 م</w:t>
        </w:r>
      </w:smartTag>
      <w:r>
        <w:rPr>
          <w:rFonts w:cs="Traditional Arabic" w:hint="cs"/>
          <w:color w:val="0000FF"/>
          <w:sz w:val="24"/>
          <w:szCs w:val="28"/>
          <w:rtl/>
        </w:rPr>
        <w:t xml:space="preserve"> 37 ص 82 </w:t>
      </w:r>
      <w:r>
        <w:rPr>
          <w:rFonts w:cs="Traditional Arabic"/>
          <w:color w:val="0000FF"/>
          <w:sz w:val="24"/>
          <w:szCs w:val="28"/>
          <w:rtl/>
        </w:rPr>
        <w:t>–</w:t>
      </w:r>
      <w:r>
        <w:rPr>
          <w:rFonts w:cs="Traditional Arabic" w:hint="cs"/>
          <w:color w:val="0000FF"/>
          <w:sz w:val="24"/>
          <w:szCs w:val="28"/>
          <w:rtl/>
        </w:rPr>
        <w:t xml:space="preserve"> وانظر أيضاً استئناف مختلط 10 يناير سنة </w:t>
      </w:r>
      <w:smartTag w:uri="urn:schemas-microsoft-com:office:smarttags" w:element="metricconverter">
        <w:smartTagPr>
          <w:attr w:name="ProductID" w:val="1933 م"/>
        </w:smartTagPr>
        <w:r>
          <w:rPr>
            <w:rFonts w:cs="Traditional Arabic" w:hint="cs"/>
            <w:color w:val="0000FF"/>
            <w:sz w:val="24"/>
            <w:szCs w:val="28"/>
            <w:rtl/>
          </w:rPr>
          <w:t>1933 م</w:t>
        </w:r>
      </w:smartTag>
      <w:r>
        <w:rPr>
          <w:rFonts w:cs="Traditional Arabic" w:hint="cs"/>
          <w:color w:val="0000FF"/>
          <w:sz w:val="24"/>
          <w:szCs w:val="28"/>
          <w:rtl/>
        </w:rPr>
        <w:t xml:space="preserve"> 45 ص 111 ) . </w:t>
      </w:r>
    </w:p>
  </w:footnote>
  <w:footnote w:id="14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في الرهن الرسمي فقرة 138 .</w:t>
      </w:r>
    </w:p>
  </w:footnote>
  <w:footnote w:id="148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138 .</w:t>
      </w:r>
    </w:p>
  </w:footnote>
  <w:footnote w:id="14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الرهن الرسمي فقرة 138 وانظر الوسيط 4 فقرة158 .</w:t>
      </w:r>
    </w:p>
  </w:footnote>
  <w:footnote w:id="149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509 وفقرة 511 .</w:t>
      </w:r>
    </w:p>
  </w:footnote>
  <w:footnote w:id="14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511 .</w:t>
      </w:r>
    </w:p>
  </w:footnote>
  <w:footnote w:id="149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الرهن الرسم آنفاً فقرة 139 .</w:t>
      </w:r>
    </w:p>
  </w:footnote>
  <w:footnote w:id="149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140 .</w:t>
      </w:r>
    </w:p>
  </w:footnote>
  <w:footnote w:id="149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الرهن الرسمي فقرة 140 .</w:t>
      </w:r>
    </w:p>
  </w:footnote>
  <w:footnote w:id="14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الرهن الرسمي آنفاً فقرة 140 .</w:t>
      </w:r>
    </w:p>
  </w:footnote>
  <w:footnote w:id="149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الرهن الرسمي آنفاً فقرة 140 .</w:t>
      </w:r>
    </w:p>
  </w:footnote>
  <w:footnote w:id="1498">
    <w:p w:rsidR="00F72742" w:rsidRPr="00C43A57" w:rsidRDefault="00F72742" w:rsidP="00F72742">
      <w:pPr>
        <w:pStyle w:val="aa"/>
        <w:widowControl w:val="0"/>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كل ذلك في الرهن الرسمي وينطبق على رهن الحيازة ، آنفاً فقرة 149 فقرة 150 وفقرة 154 .</w:t>
      </w:r>
    </w:p>
  </w:footnote>
  <w:footnote w:id="149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ما يلي فقرة 639 في الهامش 0تاريخ م 1114 مدني ) .</w:t>
      </w:r>
    </w:p>
  </w:footnote>
  <w:footnote w:id="150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1533 من المشروع التمهيدي على الوجه الآتي : "1- يجوز أن يكون محلا للرهن الحيازي كل ما يمكن بيعه بالمزاد العلن . 2- فيجوز رهن الممنقول ورهن العقار ورهن الدين ويغرها من الأموال العينية" . وأدمجت لجنة المراجعة الفقرتين في فقرة واحدة تجري على الوجه الآتي : "يجوز أن يكون محلا للرهن الحيازي كل ما يمكن بيعه بالمزاد العلني من منقول وعقار" . وأصبح رقم المادة 1201 في المشروع النهائي . ووافق عليها مجلس النواب ، تحت رقم 1186 </w:t>
      </w:r>
      <w:r>
        <w:rPr>
          <w:rFonts w:cs="Traditional Arabic"/>
          <w:color w:val="0000FF"/>
          <w:sz w:val="24"/>
          <w:szCs w:val="28"/>
          <w:rtl/>
        </w:rPr>
        <w:t>–</w:t>
      </w:r>
      <w:r>
        <w:rPr>
          <w:rFonts w:cs="Traditional Arabic" w:hint="cs"/>
          <w:color w:val="0000FF"/>
          <w:sz w:val="24"/>
          <w:szCs w:val="28"/>
          <w:rtl/>
        </w:rPr>
        <w:t xml:space="preserve"> وعدلت لجنة مجلس الشيوخ النص ، تحت رقم 1097 ، فصار مطابقاً لما استقر عليه في التقين المدني الجديد . ووافق مجلس الشيوخ على النص كما عدلته لجنته ( مجموعة الأعمال التحضيرية 7 ص 194 </w:t>
      </w:r>
      <w:r>
        <w:rPr>
          <w:rFonts w:cs="Traditional Arabic"/>
          <w:color w:val="0000FF"/>
          <w:sz w:val="24"/>
          <w:szCs w:val="28"/>
          <w:rtl/>
        </w:rPr>
        <w:t>–</w:t>
      </w:r>
      <w:r>
        <w:rPr>
          <w:rFonts w:cs="Traditional Arabic" w:hint="cs"/>
          <w:color w:val="0000FF"/>
          <w:sz w:val="24"/>
          <w:szCs w:val="28"/>
          <w:rtl/>
        </w:rPr>
        <w:t xml:space="preserve"> ص 196 )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547 / 670 : يجوز أن يكون الرهن منقولا أو عقاراً .</w:t>
      </w:r>
    </w:p>
    <w:p w:rsidR="00F72742" w:rsidRPr="005E1C8B" w:rsidRDefault="00F72742" w:rsidP="00F72742">
      <w:pPr>
        <w:pStyle w:val="aa"/>
        <w:widowControl w:val="0"/>
        <w:ind w:firstLine="567"/>
        <w:jc w:val="lowKashida"/>
        <w:rPr>
          <w:rFonts w:cs="Traditional Arabic" w:hint="cs"/>
          <w:color w:val="0000FF"/>
          <w:sz w:val="24"/>
          <w:szCs w:val="28"/>
          <w:u w:val="single"/>
          <w:rtl/>
        </w:rPr>
      </w:pPr>
      <w:r w:rsidRPr="005E1C8B">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5E1C8B">
        <w:rPr>
          <w:rFonts w:cs="Traditional Arabic" w:hint="cs"/>
          <w:color w:val="0000FF"/>
          <w:sz w:val="24"/>
          <w:szCs w:val="28"/>
          <w:u w:val="single"/>
          <w:rtl/>
        </w:rPr>
        <w:t>التقنين المدني السوري</w:t>
      </w:r>
      <w:r>
        <w:rPr>
          <w:rFonts w:cs="Traditional Arabic" w:hint="cs"/>
          <w:color w:val="0000FF"/>
          <w:sz w:val="24"/>
          <w:szCs w:val="28"/>
          <w:rtl/>
        </w:rPr>
        <w:t xml:space="preserve"> : انظر م 1028 و 1303 و 1046 و 1055 و 1056 .</w:t>
      </w:r>
    </w:p>
    <w:p w:rsidR="00F72742" w:rsidRDefault="00F72742" w:rsidP="00F72742">
      <w:pPr>
        <w:pStyle w:val="aa"/>
        <w:widowControl w:val="0"/>
        <w:ind w:firstLine="567"/>
        <w:jc w:val="lowKashida"/>
        <w:rPr>
          <w:rFonts w:cs="Traditional Arabic" w:hint="cs"/>
          <w:color w:val="0000FF"/>
          <w:sz w:val="24"/>
          <w:szCs w:val="28"/>
          <w:rtl/>
        </w:rPr>
      </w:pPr>
      <w:r w:rsidRPr="005E1C8B">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1101 : لا يكون محلا للرهن الحيازي إلا ما يمكن بيعه استقلالا بالمزاد العلي من منقول وعقار .</w:t>
      </w:r>
    </w:p>
    <w:p w:rsidR="00F72742" w:rsidRDefault="00F72742" w:rsidP="00F72742">
      <w:pPr>
        <w:pStyle w:val="aa"/>
        <w:widowControl w:val="0"/>
        <w:ind w:firstLine="567"/>
        <w:jc w:val="lowKashida"/>
        <w:rPr>
          <w:rFonts w:cs="Traditional Arabic" w:hint="cs"/>
          <w:color w:val="0000FF"/>
          <w:sz w:val="24"/>
          <w:szCs w:val="28"/>
          <w:rtl/>
        </w:rPr>
      </w:pPr>
      <w:r w:rsidRPr="005E1C8B">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1328 :" يجوز أن يكون محلا للرهن الحيازي كل ما يصح التعامل فيه ويكمن بيعه من عقار ومنقول وديون . ويجوز بوجه خاص رهن الأراضي الأميرية رهنا حيازياً .</w:t>
      </w:r>
    </w:p>
    <w:p w:rsidR="00F72742" w:rsidRPr="00502B0E" w:rsidRDefault="00F72742" w:rsidP="00F72742">
      <w:pPr>
        <w:pStyle w:val="aa"/>
        <w:widowControl w:val="0"/>
        <w:ind w:firstLine="567"/>
        <w:jc w:val="lowKashida"/>
        <w:rPr>
          <w:rFonts w:cs="Traditional Arabic" w:hint="cs"/>
          <w:color w:val="0000FF"/>
          <w:sz w:val="24"/>
          <w:szCs w:val="28"/>
          <w:rtl/>
        </w:rPr>
      </w:pPr>
      <w:r w:rsidRPr="005E1C8B">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انظر م 101 و 102 .</w:t>
      </w:r>
    </w:p>
  </w:footnote>
  <w:footnote w:id="150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197 .</w:t>
      </w:r>
    </w:p>
  </w:footnote>
  <w:footnote w:id="150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أما إذا كان العقار الأصلي مرهونا رهناً رسمياً ، فإن هذا الرهن يشمل العقار بالتخصيص ، ولا يجوز في هذه الحالة فصل العقار بالتخصيص . فإذا فصل ورهن رهن حيازة ، كان المرتهن العقار رهناً رسمياً أن يتتبع العقار بالتخصيص ما لم يكن المرتهن حيازة قد تسلم المنقول ( أي العقار بالتخصيص ) بحسن نية ( سليمان مرقس فقرة 233 ص 358 </w:t>
      </w:r>
      <w:r>
        <w:rPr>
          <w:rFonts w:cs="Traditional Arabic"/>
          <w:color w:val="0000FF"/>
          <w:sz w:val="24"/>
          <w:szCs w:val="28"/>
          <w:rtl/>
        </w:rPr>
        <w:t>–</w:t>
      </w:r>
      <w:r>
        <w:rPr>
          <w:rFonts w:cs="Traditional Arabic" w:hint="cs"/>
          <w:color w:val="0000FF"/>
          <w:sz w:val="24"/>
          <w:szCs w:val="28"/>
          <w:rtl/>
        </w:rPr>
        <w:t xml:space="preserve"> ص 359 ) .</w:t>
      </w:r>
    </w:p>
  </w:footnote>
  <w:footnote w:id="150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منصور مصطفى منصور فقرة 102 ص 198 </w:t>
      </w:r>
      <w:r>
        <w:rPr>
          <w:rFonts w:cs="Traditional Arabic"/>
          <w:color w:val="0000FF"/>
          <w:sz w:val="24"/>
          <w:szCs w:val="28"/>
          <w:rtl/>
        </w:rPr>
        <w:t>–</w:t>
      </w:r>
      <w:r>
        <w:rPr>
          <w:rFonts w:cs="Traditional Arabic" w:hint="cs"/>
          <w:color w:val="0000FF"/>
          <w:sz w:val="24"/>
          <w:szCs w:val="28"/>
          <w:rtl/>
        </w:rPr>
        <w:t xml:space="preserve"> ص 199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وانظر سليمان مرقس فقرة 235 ويرى أن مبدأ تخصيص الرهن ينطبق على رهن الحيازة .</w:t>
      </w:r>
    </w:p>
  </w:footnote>
  <w:footnote w:id="15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198 .</w:t>
      </w:r>
    </w:p>
  </w:footnote>
  <w:footnote w:id="150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19 أبريل سنة </w:t>
      </w:r>
      <w:smartTag w:uri="urn:schemas-microsoft-com:office:smarttags" w:element="metricconverter">
        <w:smartTagPr>
          <w:attr w:name="ProductID" w:val="1911 م"/>
        </w:smartTagPr>
        <w:r>
          <w:rPr>
            <w:rFonts w:cs="Traditional Arabic" w:hint="cs"/>
            <w:color w:val="0000FF"/>
            <w:sz w:val="24"/>
            <w:szCs w:val="28"/>
            <w:rtl/>
          </w:rPr>
          <w:t>1911 م</w:t>
        </w:r>
      </w:smartTag>
      <w:r>
        <w:rPr>
          <w:rFonts w:cs="Traditional Arabic" w:hint="cs"/>
          <w:color w:val="0000FF"/>
          <w:sz w:val="24"/>
          <w:szCs w:val="28"/>
          <w:rtl/>
        </w:rPr>
        <w:t xml:space="preserve"> 23 ص 266 </w:t>
      </w:r>
      <w:r>
        <w:rPr>
          <w:rFonts w:cs="Traditional Arabic"/>
          <w:color w:val="0000FF"/>
          <w:sz w:val="24"/>
          <w:szCs w:val="28"/>
          <w:rtl/>
        </w:rPr>
        <w:t>–</w:t>
      </w:r>
      <w:r>
        <w:rPr>
          <w:rFonts w:cs="Traditional Arabic" w:hint="cs"/>
          <w:color w:val="0000FF"/>
          <w:sz w:val="24"/>
          <w:szCs w:val="28"/>
          <w:rtl/>
        </w:rPr>
        <w:t xml:space="preserve"> 26 أبريل سنة </w:t>
      </w:r>
      <w:smartTag w:uri="urn:schemas-microsoft-com:office:smarttags" w:element="metricconverter">
        <w:smartTagPr>
          <w:attr w:name="ProductID" w:val="1914 م"/>
        </w:smartTagPr>
        <w:r>
          <w:rPr>
            <w:rFonts w:cs="Traditional Arabic" w:hint="cs"/>
            <w:color w:val="0000FF"/>
            <w:sz w:val="24"/>
            <w:szCs w:val="28"/>
            <w:rtl/>
          </w:rPr>
          <w:t>1914 م</w:t>
        </w:r>
      </w:smartTag>
      <w:r>
        <w:rPr>
          <w:rFonts w:cs="Traditional Arabic" w:hint="cs"/>
          <w:color w:val="0000FF"/>
          <w:sz w:val="24"/>
          <w:szCs w:val="28"/>
          <w:rtl/>
        </w:rPr>
        <w:t xml:space="preserve"> 26 ص 352 </w:t>
      </w:r>
      <w:r>
        <w:rPr>
          <w:rFonts w:cs="Traditional Arabic"/>
          <w:color w:val="0000FF"/>
          <w:sz w:val="24"/>
          <w:szCs w:val="28"/>
          <w:rtl/>
        </w:rPr>
        <w:t>–</w:t>
      </w:r>
      <w:r>
        <w:rPr>
          <w:rFonts w:cs="Traditional Arabic" w:hint="cs"/>
          <w:color w:val="0000FF"/>
          <w:sz w:val="24"/>
          <w:szCs w:val="28"/>
          <w:rtl/>
        </w:rPr>
        <w:t xml:space="preserve"> 25 فبراير سنة </w:t>
      </w:r>
      <w:smartTag w:uri="urn:schemas-microsoft-com:office:smarttags" w:element="metricconverter">
        <w:smartTagPr>
          <w:attr w:name="ProductID" w:val="1915 م"/>
        </w:smartTagPr>
        <w:r>
          <w:rPr>
            <w:rFonts w:cs="Traditional Arabic" w:hint="cs"/>
            <w:color w:val="0000FF"/>
            <w:sz w:val="24"/>
            <w:szCs w:val="28"/>
            <w:rtl/>
          </w:rPr>
          <w:t>1915 م</w:t>
        </w:r>
      </w:smartTag>
      <w:r>
        <w:rPr>
          <w:rFonts w:cs="Traditional Arabic" w:hint="cs"/>
          <w:color w:val="0000FF"/>
          <w:sz w:val="24"/>
          <w:szCs w:val="28"/>
          <w:rtl/>
        </w:rPr>
        <w:t xml:space="preserve"> 27 ص 179 </w:t>
      </w:r>
      <w:r>
        <w:rPr>
          <w:rFonts w:cs="Traditional Arabic"/>
          <w:color w:val="0000FF"/>
          <w:sz w:val="24"/>
          <w:szCs w:val="28"/>
          <w:rtl/>
        </w:rPr>
        <w:t>–</w:t>
      </w:r>
      <w:r>
        <w:rPr>
          <w:rFonts w:cs="Traditional Arabic" w:hint="cs"/>
          <w:color w:val="0000FF"/>
          <w:sz w:val="24"/>
          <w:szCs w:val="28"/>
          <w:rtl/>
        </w:rPr>
        <w:t xml:space="preserve"> 10 أبريل سنة </w:t>
      </w:r>
      <w:smartTag w:uri="urn:schemas-microsoft-com:office:smarttags" w:element="metricconverter">
        <w:smartTagPr>
          <w:attr w:name="ProductID" w:val="1924 م"/>
        </w:smartTagPr>
        <w:r>
          <w:rPr>
            <w:rFonts w:cs="Traditional Arabic" w:hint="cs"/>
            <w:color w:val="0000FF"/>
            <w:sz w:val="24"/>
            <w:szCs w:val="28"/>
            <w:rtl/>
          </w:rPr>
          <w:t>1924 م</w:t>
        </w:r>
      </w:smartTag>
      <w:r>
        <w:rPr>
          <w:rFonts w:cs="Traditional Arabic" w:hint="cs"/>
          <w:color w:val="0000FF"/>
          <w:sz w:val="24"/>
          <w:szCs w:val="28"/>
          <w:rtl/>
        </w:rPr>
        <w:t xml:space="preserve"> 36 ص 307 </w:t>
      </w:r>
      <w:r>
        <w:rPr>
          <w:rFonts w:cs="Traditional Arabic"/>
          <w:color w:val="0000FF"/>
          <w:sz w:val="24"/>
          <w:szCs w:val="28"/>
          <w:rtl/>
        </w:rPr>
        <w:t>–</w:t>
      </w:r>
      <w:r>
        <w:rPr>
          <w:rFonts w:cs="Traditional Arabic" w:hint="cs"/>
          <w:color w:val="0000FF"/>
          <w:sz w:val="24"/>
          <w:szCs w:val="28"/>
          <w:rtl/>
        </w:rPr>
        <w:t xml:space="preserve"> 15 ديسمبر سنة </w:t>
      </w:r>
      <w:smartTag w:uri="urn:schemas-microsoft-com:office:smarttags" w:element="metricconverter">
        <w:smartTagPr>
          <w:attr w:name="ProductID" w:val="1931 م"/>
        </w:smartTagPr>
        <w:r>
          <w:rPr>
            <w:rFonts w:cs="Traditional Arabic" w:hint="cs"/>
            <w:color w:val="0000FF"/>
            <w:sz w:val="24"/>
            <w:szCs w:val="28"/>
            <w:rtl/>
          </w:rPr>
          <w:t>1931 م</w:t>
        </w:r>
      </w:smartTag>
      <w:r>
        <w:rPr>
          <w:rFonts w:cs="Traditional Arabic" w:hint="cs"/>
          <w:color w:val="0000FF"/>
          <w:sz w:val="24"/>
          <w:szCs w:val="28"/>
          <w:rtl/>
        </w:rPr>
        <w:t xml:space="preserve"> 44 ص 61 </w:t>
      </w:r>
      <w:r>
        <w:rPr>
          <w:rFonts w:cs="Traditional Arabic"/>
          <w:color w:val="0000FF"/>
          <w:sz w:val="24"/>
          <w:szCs w:val="28"/>
          <w:rtl/>
        </w:rPr>
        <w:t>–</w:t>
      </w:r>
      <w:r>
        <w:rPr>
          <w:rFonts w:cs="Traditional Arabic" w:hint="cs"/>
          <w:color w:val="0000FF"/>
          <w:sz w:val="24"/>
          <w:szCs w:val="28"/>
          <w:rtl/>
        </w:rPr>
        <w:t xml:space="preserve"> 6 مارس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197 </w:t>
      </w:r>
      <w:r>
        <w:rPr>
          <w:rFonts w:cs="Traditional Arabic"/>
          <w:color w:val="0000FF"/>
          <w:sz w:val="24"/>
          <w:szCs w:val="28"/>
          <w:rtl/>
        </w:rPr>
        <w:t>–</w:t>
      </w:r>
      <w:r>
        <w:rPr>
          <w:rFonts w:cs="Traditional Arabic" w:hint="cs"/>
          <w:color w:val="0000FF"/>
          <w:sz w:val="24"/>
          <w:szCs w:val="28"/>
          <w:rtl/>
        </w:rPr>
        <w:t xml:space="preserve"> 12 مايو سنة </w:t>
      </w:r>
      <w:smartTag w:uri="urn:schemas-microsoft-com:office:smarttags" w:element="metricconverter">
        <w:smartTagPr>
          <w:attr w:name="ProductID" w:val="1936 م"/>
        </w:smartTagPr>
        <w:r>
          <w:rPr>
            <w:rFonts w:cs="Traditional Arabic" w:hint="cs"/>
            <w:color w:val="0000FF"/>
            <w:sz w:val="24"/>
            <w:szCs w:val="28"/>
            <w:rtl/>
          </w:rPr>
          <w:t>1936 م</w:t>
        </w:r>
      </w:smartTag>
      <w:r>
        <w:rPr>
          <w:rFonts w:cs="Traditional Arabic" w:hint="cs"/>
          <w:color w:val="0000FF"/>
          <w:sz w:val="24"/>
          <w:szCs w:val="28"/>
          <w:rtl/>
        </w:rPr>
        <w:t xml:space="preserve"> 48 ص 262 </w:t>
      </w:r>
      <w:r>
        <w:rPr>
          <w:rFonts w:cs="Traditional Arabic"/>
          <w:color w:val="0000FF"/>
          <w:sz w:val="24"/>
          <w:szCs w:val="28"/>
          <w:rtl/>
        </w:rPr>
        <w:t>–</w:t>
      </w:r>
      <w:r>
        <w:rPr>
          <w:rFonts w:cs="Traditional Arabic" w:hint="cs"/>
          <w:color w:val="0000FF"/>
          <w:sz w:val="24"/>
          <w:szCs w:val="28"/>
          <w:rtl/>
        </w:rPr>
        <w:t xml:space="preserve"> 23 ديسمبر سنة </w:t>
      </w:r>
      <w:smartTag w:uri="urn:schemas-microsoft-com:office:smarttags" w:element="metricconverter">
        <w:smartTagPr>
          <w:attr w:name="ProductID" w:val="1937 م"/>
        </w:smartTagPr>
        <w:r>
          <w:rPr>
            <w:rFonts w:cs="Traditional Arabic" w:hint="cs"/>
            <w:color w:val="0000FF"/>
            <w:sz w:val="24"/>
            <w:szCs w:val="28"/>
            <w:rtl/>
          </w:rPr>
          <w:t>1937 م</w:t>
        </w:r>
      </w:smartTag>
      <w:r>
        <w:rPr>
          <w:rFonts w:cs="Traditional Arabic" w:hint="cs"/>
          <w:color w:val="0000FF"/>
          <w:sz w:val="24"/>
          <w:szCs w:val="28"/>
          <w:rtl/>
        </w:rPr>
        <w:t xml:space="preserve"> 50 ص 61 </w:t>
      </w:r>
      <w:r>
        <w:rPr>
          <w:rFonts w:cs="Traditional Arabic"/>
          <w:color w:val="0000FF"/>
          <w:sz w:val="24"/>
          <w:szCs w:val="28"/>
          <w:rtl/>
        </w:rPr>
        <w:t>–</w:t>
      </w:r>
      <w:r>
        <w:rPr>
          <w:rFonts w:cs="Traditional Arabic" w:hint="cs"/>
          <w:color w:val="0000FF"/>
          <w:sz w:val="24"/>
          <w:szCs w:val="28"/>
          <w:rtl/>
        </w:rPr>
        <w:t xml:space="preserve"> 20 ديسمبر سنة </w:t>
      </w:r>
      <w:smartTag w:uri="urn:schemas-microsoft-com:office:smarttags" w:element="metricconverter">
        <w:smartTagPr>
          <w:attr w:name="ProductID" w:val="1938 م"/>
        </w:smartTagPr>
        <w:r>
          <w:rPr>
            <w:rFonts w:cs="Traditional Arabic" w:hint="cs"/>
            <w:color w:val="0000FF"/>
            <w:sz w:val="24"/>
            <w:szCs w:val="28"/>
            <w:rtl/>
          </w:rPr>
          <w:t>1938 م</w:t>
        </w:r>
      </w:smartTag>
      <w:r>
        <w:rPr>
          <w:rFonts w:cs="Traditional Arabic" w:hint="cs"/>
          <w:color w:val="0000FF"/>
          <w:sz w:val="24"/>
          <w:szCs w:val="28"/>
          <w:rtl/>
        </w:rPr>
        <w:t xml:space="preserve"> 51 ص 73 </w:t>
      </w:r>
      <w:r>
        <w:rPr>
          <w:rFonts w:cs="Traditional Arabic"/>
          <w:color w:val="0000FF"/>
          <w:sz w:val="24"/>
          <w:szCs w:val="28"/>
          <w:rtl/>
        </w:rPr>
        <w:t>–</w:t>
      </w:r>
      <w:r>
        <w:rPr>
          <w:rFonts w:cs="Traditional Arabic" w:hint="cs"/>
          <w:color w:val="0000FF"/>
          <w:sz w:val="24"/>
          <w:szCs w:val="28"/>
          <w:rtl/>
        </w:rPr>
        <w:t xml:space="preserve"> 16 يناير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126 .</w:t>
      </w:r>
    </w:p>
  </w:footnote>
  <w:footnote w:id="150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26 أبريل سنة </w:t>
      </w:r>
      <w:smartTag w:uri="urn:schemas-microsoft-com:office:smarttags" w:element="metricconverter">
        <w:smartTagPr>
          <w:attr w:name="ProductID" w:val="1916 م"/>
        </w:smartTagPr>
        <w:r>
          <w:rPr>
            <w:rFonts w:cs="Traditional Arabic" w:hint="cs"/>
            <w:color w:val="0000FF"/>
            <w:sz w:val="24"/>
            <w:szCs w:val="28"/>
            <w:rtl/>
          </w:rPr>
          <w:t>1916 م</w:t>
        </w:r>
      </w:smartTag>
      <w:r>
        <w:rPr>
          <w:rFonts w:cs="Traditional Arabic" w:hint="cs"/>
          <w:color w:val="0000FF"/>
          <w:sz w:val="24"/>
          <w:szCs w:val="28"/>
          <w:rtl/>
        </w:rPr>
        <w:t xml:space="preserve"> 38 ص 277 </w:t>
      </w:r>
      <w:r>
        <w:rPr>
          <w:rFonts w:cs="Traditional Arabic"/>
          <w:color w:val="0000FF"/>
          <w:sz w:val="24"/>
          <w:szCs w:val="28"/>
          <w:rtl/>
        </w:rPr>
        <w:t>–</w:t>
      </w:r>
      <w:r>
        <w:rPr>
          <w:rFonts w:cs="Traditional Arabic" w:hint="cs"/>
          <w:color w:val="0000FF"/>
          <w:sz w:val="24"/>
          <w:szCs w:val="28"/>
          <w:rtl/>
        </w:rPr>
        <w:t xml:space="preserve"> 16 يناير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126 </w:t>
      </w:r>
      <w:r>
        <w:rPr>
          <w:rFonts w:cs="Traditional Arabic"/>
          <w:color w:val="0000FF"/>
          <w:sz w:val="24"/>
          <w:szCs w:val="28"/>
          <w:rtl/>
        </w:rPr>
        <w:t>–</w:t>
      </w:r>
      <w:r>
        <w:rPr>
          <w:rFonts w:cs="Traditional Arabic" w:hint="cs"/>
          <w:color w:val="0000FF"/>
          <w:sz w:val="24"/>
          <w:szCs w:val="28"/>
          <w:rtl/>
        </w:rPr>
        <w:t xml:space="preserve"> 17 فبراير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96 .</w:t>
      </w:r>
    </w:p>
  </w:footnote>
  <w:footnote w:id="150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أول يناير سنة 1908 المجموعة الرسمية 9 رقم 49 ص 109 .</w:t>
      </w:r>
    </w:p>
  </w:footnote>
  <w:footnote w:id="150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28 أبريل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54 ص 178 </w:t>
      </w:r>
      <w:r>
        <w:rPr>
          <w:rFonts w:cs="Traditional Arabic"/>
          <w:color w:val="0000FF"/>
          <w:sz w:val="24"/>
          <w:szCs w:val="28"/>
          <w:rtl/>
        </w:rPr>
        <w:t>–</w:t>
      </w:r>
      <w:r>
        <w:rPr>
          <w:rFonts w:cs="Traditional Arabic" w:hint="cs"/>
          <w:color w:val="0000FF"/>
          <w:sz w:val="24"/>
          <w:szCs w:val="28"/>
          <w:rtl/>
        </w:rPr>
        <w:t xml:space="preserve"> أما إذا رهن الشريك حصة مفرزة من المال الشائع ، واقترن ذلك بتسليم هذه الحصة المفرزة ، فإن الرهن يتوقف مصيره على نتيجة القسمة ، فإذا وقعت هذه الحصة في نصيب الراهن تأيد الرهن ، وإلا كان حكمه حكم رهن ملك الغير ( نقض مدين 16 نوفمبر سنة 1944 المجموعة الرسمية 45 رقم 75 ص 137 .</w:t>
      </w:r>
    </w:p>
  </w:footnote>
  <w:footnote w:id="15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أما حكم المادة 1039/1 مدني فهو خاص بالرهن الرسمي ولا يطبق إلا عليه ، لأنه ورد استثناء من القواعد العامة ، وورد في نصوص الرهن الرسمي ولم ترد إحالة عليه لتطبيقه على الرهن الحيازي ، فيتعين قصره على الرهن الرسمي ( سليمان مرقس فقرة 240 ص 376 </w:t>
      </w:r>
      <w:r>
        <w:rPr>
          <w:rFonts w:cs="Traditional Arabic"/>
          <w:color w:val="0000FF"/>
          <w:sz w:val="24"/>
          <w:szCs w:val="28"/>
          <w:rtl/>
        </w:rPr>
        <w:t>–</w:t>
      </w:r>
      <w:r>
        <w:rPr>
          <w:rFonts w:cs="Traditional Arabic" w:hint="cs"/>
          <w:color w:val="0000FF"/>
          <w:sz w:val="24"/>
          <w:szCs w:val="28"/>
          <w:rtl/>
        </w:rPr>
        <w:t xml:space="preserve"> محمد كامل مرسي فقرة 287 ص 371 ) .</w:t>
      </w:r>
    </w:p>
  </w:footnote>
  <w:footnote w:id="151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فقرة 287 ص 370 ص 371 .</w:t>
      </w:r>
    </w:p>
  </w:footnote>
  <w:footnote w:id="151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أيضاً محمد علي عرفة في حق الملكية 1 فقرة 288 </w:t>
      </w:r>
      <w:r>
        <w:rPr>
          <w:rFonts w:cs="Traditional Arabic"/>
          <w:color w:val="0000FF"/>
          <w:sz w:val="24"/>
          <w:szCs w:val="28"/>
          <w:rtl/>
        </w:rPr>
        <w:t>–</w:t>
      </w:r>
      <w:r>
        <w:rPr>
          <w:rFonts w:cs="Traditional Arabic" w:hint="cs"/>
          <w:color w:val="0000FF"/>
          <w:sz w:val="24"/>
          <w:szCs w:val="28"/>
          <w:rtl/>
        </w:rPr>
        <w:t xml:space="preserve"> سليمان مرقس فقرة 240 ص 373 </w:t>
      </w:r>
      <w:r>
        <w:rPr>
          <w:rFonts w:cs="Traditional Arabic"/>
          <w:color w:val="0000FF"/>
          <w:sz w:val="24"/>
          <w:szCs w:val="28"/>
          <w:rtl/>
        </w:rPr>
        <w:t>–</w:t>
      </w:r>
      <w:r>
        <w:rPr>
          <w:rFonts w:cs="Traditional Arabic" w:hint="cs"/>
          <w:color w:val="0000FF"/>
          <w:sz w:val="24"/>
          <w:szCs w:val="28"/>
          <w:rtl/>
        </w:rPr>
        <w:t xml:space="preserve"> ص 376 </w:t>
      </w:r>
      <w:r>
        <w:rPr>
          <w:rFonts w:cs="Traditional Arabic"/>
          <w:color w:val="0000FF"/>
          <w:sz w:val="24"/>
          <w:szCs w:val="28"/>
          <w:rtl/>
        </w:rPr>
        <w:t>–</w:t>
      </w:r>
      <w:r>
        <w:rPr>
          <w:rFonts w:cs="Traditional Arabic" w:hint="cs"/>
          <w:color w:val="0000FF"/>
          <w:sz w:val="24"/>
          <w:szCs w:val="28"/>
          <w:rtl/>
        </w:rPr>
        <w:t xml:space="preserve"> عبد الفتاح عبد الباقي طبعة ثانية سنة 1954 فقرة 435 مكررة </w:t>
      </w:r>
      <w:r>
        <w:rPr>
          <w:rFonts w:cs="Traditional Arabic"/>
          <w:color w:val="0000FF"/>
          <w:sz w:val="24"/>
          <w:szCs w:val="28"/>
          <w:rtl/>
        </w:rPr>
        <w:t>–</w:t>
      </w:r>
      <w:r>
        <w:rPr>
          <w:rFonts w:cs="Traditional Arabic" w:hint="cs"/>
          <w:color w:val="0000FF"/>
          <w:sz w:val="24"/>
          <w:szCs w:val="28"/>
          <w:rtl/>
        </w:rPr>
        <w:t xml:space="preserve"> شفيق شحاته 3 فقرة 108 </w:t>
      </w:r>
      <w:r>
        <w:rPr>
          <w:rFonts w:cs="Traditional Arabic"/>
          <w:color w:val="0000FF"/>
          <w:sz w:val="24"/>
          <w:szCs w:val="28"/>
          <w:rtl/>
        </w:rPr>
        <w:t>–</w:t>
      </w:r>
      <w:r>
        <w:rPr>
          <w:rFonts w:cs="Traditional Arabic" w:hint="cs"/>
          <w:color w:val="0000FF"/>
          <w:sz w:val="24"/>
          <w:szCs w:val="28"/>
          <w:rtl/>
        </w:rPr>
        <w:t xml:space="preserve"> محمد علي إمام فقرة 326 </w:t>
      </w:r>
      <w:r>
        <w:rPr>
          <w:rFonts w:cs="Traditional Arabic"/>
          <w:color w:val="0000FF"/>
          <w:sz w:val="24"/>
          <w:szCs w:val="28"/>
          <w:rtl/>
        </w:rPr>
        <w:t>–</w:t>
      </w:r>
      <w:r>
        <w:rPr>
          <w:rFonts w:cs="Traditional Arabic" w:hint="cs"/>
          <w:color w:val="0000FF"/>
          <w:sz w:val="24"/>
          <w:szCs w:val="28"/>
          <w:rtl/>
        </w:rPr>
        <w:t xml:space="preserve"> فقرة 327 .</w:t>
      </w:r>
    </w:p>
  </w:footnote>
  <w:footnote w:id="151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 </w:t>
      </w:r>
      <w:r>
        <w:rPr>
          <w:rFonts w:cs="Traditional Arabic"/>
          <w:color w:val="0000FF"/>
          <w:sz w:val="24"/>
          <w:szCs w:val="28"/>
          <w:rtl/>
        </w:rPr>
        <w:t>–</w:t>
      </w:r>
      <w:r>
        <w:rPr>
          <w:rFonts w:cs="Traditional Arabic" w:hint="cs"/>
          <w:color w:val="0000FF"/>
          <w:sz w:val="24"/>
          <w:szCs w:val="28"/>
          <w:rtl/>
        </w:rPr>
        <w:t xml:space="preserve"> ص 20 .</w:t>
      </w:r>
    </w:p>
  </w:footnote>
  <w:footnote w:id="15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هذا المعنى شمس الدين الوكيل فقرة 166 </w:t>
      </w:r>
      <w:r>
        <w:rPr>
          <w:rFonts w:cs="Traditional Arabic"/>
          <w:color w:val="0000FF"/>
          <w:sz w:val="24"/>
          <w:szCs w:val="28"/>
          <w:rtl/>
        </w:rPr>
        <w:t>–</w:t>
      </w:r>
      <w:r>
        <w:rPr>
          <w:rFonts w:cs="Traditional Arabic" w:hint="cs"/>
          <w:color w:val="0000FF"/>
          <w:sz w:val="24"/>
          <w:szCs w:val="28"/>
          <w:rtl/>
        </w:rPr>
        <w:t xml:space="preserve"> سليمان مرقس فقرة 241 .</w:t>
      </w:r>
    </w:p>
  </w:footnote>
  <w:footnote w:id="151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195 في الهامش .</w:t>
      </w:r>
    </w:p>
  </w:footnote>
  <w:footnote w:id="151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1534 من المشروع التمهيدي . وتليت هذه المادة على لجنة المراجعة ، فعدلت من أرقام المواد ، ووافقت على النص بعد هذا التعديل تحت رقم 1202 في المشروع النهائي .وعدل مجلس النواب في أرقام المواد ، ووافق على النص تحت رقم 1123 . ووافقت لجنة مجلس الشيوخ على النص ، بعد تعديل في أرقام المواد تحت رقم 1098 . ووافق مجلس الشيوخ على النص كما عدلته لجنته ( مجموعة الأعمال التحضيرية 7 ص 197 </w:t>
      </w:r>
      <w:r>
        <w:rPr>
          <w:rFonts w:cs="Traditional Arabic"/>
          <w:color w:val="0000FF"/>
          <w:sz w:val="24"/>
          <w:szCs w:val="28"/>
          <w:rtl/>
        </w:rPr>
        <w:t>–</w:t>
      </w:r>
      <w:r>
        <w:rPr>
          <w:rFonts w:cs="Traditional Arabic" w:hint="cs"/>
          <w:color w:val="0000FF"/>
          <w:sz w:val="24"/>
          <w:szCs w:val="28"/>
          <w:rtl/>
        </w:rPr>
        <w:t xml:space="preserve"> 198 ) .</w:t>
      </w:r>
    </w:p>
    <w:p w:rsidR="00F72742" w:rsidRPr="007F19F6"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546 / 669 : جملة الرهن ضامنة لكل جزء من الدين .</w:t>
      </w:r>
    </w:p>
  </w:footnote>
  <w:footnote w:id="151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511 </w:t>
      </w:r>
      <w:r>
        <w:rPr>
          <w:rFonts w:cs="Traditional Arabic"/>
          <w:color w:val="0000FF"/>
          <w:sz w:val="24"/>
          <w:szCs w:val="28"/>
          <w:rtl/>
        </w:rPr>
        <w:t>–</w:t>
      </w:r>
      <w:r>
        <w:rPr>
          <w:rFonts w:cs="Traditional Arabic" w:hint="cs"/>
          <w:color w:val="0000FF"/>
          <w:sz w:val="24"/>
          <w:szCs w:val="28"/>
          <w:rtl/>
        </w:rPr>
        <w:t xml:space="preserve"> فقرة 512 .</w:t>
      </w:r>
    </w:p>
  </w:footnote>
  <w:footnote w:id="15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517</w:t>
      </w:r>
    </w:p>
  </w:footnote>
  <w:footnote w:id="151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521 .</w:t>
      </w:r>
    </w:p>
  </w:footnote>
  <w:footnote w:id="15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521 .</w:t>
      </w:r>
    </w:p>
  </w:footnote>
  <w:footnote w:id="152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521 .</w:t>
      </w:r>
    </w:p>
  </w:footnote>
  <w:footnote w:id="152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500 .</w:t>
      </w:r>
    </w:p>
  </w:footnote>
  <w:footnote w:id="152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فيما يتعلق بالرهن الرسمي نقض فرنسي 9 مايو سنة 1905 داللوز 1909 </w:t>
      </w:r>
      <w:r>
        <w:rPr>
          <w:rFonts w:cs="Traditional Arabic"/>
          <w:color w:val="0000FF"/>
          <w:sz w:val="24"/>
          <w:szCs w:val="28"/>
          <w:rtl/>
        </w:rPr>
        <w:t>–</w:t>
      </w:r>
      <w:r>
        <w:rPr>
          <w:rFonts w:cs="Traditional Arabic" w:hint="cs"/>
          <w:color w:val="0000FF"/>
          <w:sz w:val="24"/>
          <w:szCs w:val="28"/>
          <w:rtl/>
        </w:rPr>
        <w:t xml:space="preserve"> 1- 225 </w:t>
      </w:r>
      <w:r>
        <w:rPr>
          <w:rFonts w:cs="Traditional Arabic"/>
          <w:color w:val="0000FF"/>
          <w:sz w:val="24"/>
          <w:szCs w:val="28"/>
          <w:rtl/>
        </w:rPr>
        <w:t>–</w:t>
      </w:r>
      <w:r>
        <w:rPr>
          <w:rFonts w:cs="Traditional Arabic" w:hint="cs"/>
          <w:color w:val="0000FF"/>
          <w:sz w:val="24"/>
          <w:szCs w:val="28"/>
          <w:rtl/>
        </w:rPr>
        <w:t xml:space="preserve"> بلانيول وريبير وبيكيه 12 فقرة 340 ص 386 .</w:t>
      </w:r>
    </w:p>
  </w:footnote>
  <w:footnote w:id="152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521 .</w:t>
      </w:r>
    </w:p>
  </w:footnote>
  <w:footnote w:id="152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يونيه سنة </w:t>
      </w:r>
      <w:smartTag w:uri="urn:schemas-microsoft-com:office:smarttags" w:element="metricconverter">
        <w:smartTagPr>
          <w:attr w:name="ProductID" w:val="1933 م"/>
        </w:smartTagPr>
        <w:r>
          <w:rPr>
            <w:rFonts w:cs="Traditional Arabic" w:hint="cs"/>
            <w:color w:val="0000FF"/>
            <w:sz w:val="24"/>
            <w:szCs w:val="28"/>
            <w:rtl/>
          </w:rPr>
          <w:t>1933 م</w:t>
        </w:r>
      </w:smartTag>
      <w:r>
        <w:rPr>
          <w:rFonts w:cs="Traditional Arabic" w:hint="cs"/>
          <w:color w:val="0000FF"/>
          <w:sz w:val="24"/>
          <w:szCs w:val="28"/>
          <w:rtl/>
        </w:rPr>
        <w:t xml:space="preserve"> 45 ص 325 </w:t>
      </w:r>
      <w:r>
        <w:rPr>
          <w:rFonts w:cs="Traditional Arabic"/>
          <w:color w:val="0000FF"/>
          <w:sz w:val="24"/>
          <w:szCs w:val="28"/>
          <w:rtl/>
        </w:rPr>
        <w:t>–</w:t>
      </w:r>
      <w:r>
        <w:rPr>
          <w:rFonts w:cs="Traditional Arabic" w:hint="cs"/>
          <w:color w:val="0000FF"/>
          <w:sz w:val="24"/>
          <w:szCs w:val="28"/>
          <w:rtl/>
        </w:rPr>
        <w:t xml:space="preserve"> 9 مايو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286 </w:t>
      </w:r>
      <w:r>
        <w:rPr>
          <w:rFonts w:cs="Traditional Arabic"/>
          <w:color w:val="0000FF"/>
          <w:sz w:val="24"/>
          <w:szCs w:val="28"/>
          <w:rtl/>
        </w:rPr>
        <w:t>–</w:t>
      </w:r>
      <w:r>
        <w:rPr>
          <w:rFonts w:cs="Traditional Arabic" w:hint="cs"/>
          <w:color w:val="0000FF"/>
          <w:sz w:val="24"/>
          <w:szCs w:val="28"/>
          <w:rtl/>
        </w:rPr>
        <w:t xml:space="preserve"> 7 فبراير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136 .</w:t>
      </w:r>
    </w:p>
  </w:footnote>
  <w:footnote w:id="152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24 أبريل سنة </w:t>
      </w:r>
      <w:smartTag w:uri="urn:schemas-microsoft-com:office:smarttags" w:element="metricconverter">
        <w:smartTagPr>
          <w:attr w:name="ProductID" w:val="1933 م"/>
        </w:smartTagPr>
        <w:r>
          <w:rPr>
            <w:rFonts w:cs="Traditional Arabic" w:hint="cs"/>
            <w:color w:val="0000FF"/>
            <w:sz w:val="24"/>
            <w:szCs w:val="28"/>
            <w:rtl/>
          </w:rPr>
          <w:t>1933 م</w:t>
        </w:r>
      </w:smartTag>
      <w:r>
        <w:rPr>
          <w:rFonts w:cs="Traditional Arabic" w:hint="cs"/>
          <w:color w:val="0000FF"/>
          <w:sz w:val="24"/>
          <w:szCs w:val="28"/>
          <w:rtl/>
        </w:rPr>
        <w:t xml:space="preserve"> 45 ص 249 </w:t>
      </w:r>
      <w:r>
        <w:rPr>
          <w:rFonts w:cs="Traditional Arabic"/>
          <w:color w:val="0000FF"/>
          <w:sz w:val="24"/>
          <w:szCs w:val="28"/>
          <w:rtl/>
        </w:rPr>
        <w:t>–</w:t>
      </w:r>
      <w:r>
        <w:rPr>
          <w:rFonts w:cs="Traditional Arabic" w:hint="cs"/>
          <w:color w:val="0000FF"/>
          <w:sz w:val="24"/>
          <w:szCs w:val="28"/>
          <w:rtl/>
        </w:rPr>
        <w:t xml:space="preserve"> 14 يونيه سنة </w:t>
      </w:r>
      <w:smartTag w:uri="urn:schemas-microsoft-com:office:smarttags" w:element="metricconverter">
        <w:smartTagPr>
          <w:attr w:name="ProductID" w:val="1933 م"/>
        </w:smartTagPr>
        <w:r>
          <w:rPr>
            <w:rFonts w:cs="Traditional Arabic" w:hint="cs"/>
            <w:color w:val="0000FF"/>
            <w:sz w:val="24"/>
            <w:szCs w:val="28"/>
            <w:rtl/>
          </w:rPr>
          <w:t>1933 م</w:t>
        </w:r>
      </w:smartTag>
      <w:r>
        <w:rPr>
          <w:rFonts w:cs="Traditional Arabic" w:hint="cs"/>
          <w:color w:val="0000FF"/>
          <w:sz w:val="24"/>
          <w:szCs w:val="28"/>
          <w:rtl/>
        </w:rPr>
        <w:t xml:space="preserve"> 45 ص 325 </w:t>
      </w:r>
      <w:r>
        <w:rPr>
          <w:rFonts w:cs="Traditional Arabic"/>
          <w:color w:val="0000FF"/>
          <w:sz w:val="24"/>
          <w:szCs w:val="28"/>
          <w:rtl/>
        </w:rPr>
        <w:t>–</w:t>
      </w:r>
      <w:r>
        <w:rPr>
          <w:rFonts w:cs="Traditional Arabic" w:hint="cs"/>
          <w:color w:val="0000FF"/>
          <w:sz w:val="24"/>
          <w:szCs w:val="28"/>
          <w:rtl/>
        </w:rPr>
        <w:t xml:space="preserve"> 9 مايو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286 .</w:t>
      </w:r>
    </w:p>
  </w:footnote>
  <w:footnote w:id="152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7 فبراير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136 .</w:t>
      </w:r>
    </w:p>
  </w:footnote>
  <w:footnote w:id="152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فيما يتعلق بالرهن الرسمي آنفا فقرة 169 .</w:t>
      </w:r>
    </w:p>
  </w:footnote>
  <w:footnote w:id="152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1535 من المشروع التمهيدي . وعدلته لجنة المراجعة تعديلا لفظياً بسيطا ، فأصبح مطابقاً لما استقر عليه في التقنين الجديد ، تحت رقم 1203 في المشروع النهائي . ووافق عليه مجلس النواب تحت رقم 1188 ، ثم مجلس الشيوخ تحت رقم 1099 ( مجموعة الأعمال التحضيرية 7 ص 199 </w:t>
      </w:r>
      <w:r>
        <w:rPr>
          <w:rFonts w:cs="Traditional Arabic"/>
          <w:color w:val="0000FF"/>
          <w:sz w:val="24"/>
          <w:szCs w:val="28"/>
          <w:rtl/>
        </w:rPr>
        <w:t>–</w:t>
      </w:r>
      <w:r>
        <w:rPr>
          <w:rFonts w:cs="Traditional Arabic" w:hint="cs"/>
          <w:color w:val="0000FF"/>
          <w:sz w:val="24"/>
          <w:szCs w:val="28"/>
          <w:rtl/>
        </w:rPr>
        <w:t xml:space="preserve"> ص 201 )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10355C">
        <w:rPr>
          <w:rFonts w:cs="Traditional Arabic" w:hint="cs"/>
          <w:color w:val="0000FF"/>
          <w:sz w:val="24"/>
          <w:szCs w:val="28"/>
          <w:u w:val="single"/>
          <w:rtl/>
        </w:rPr>
        <w:t>التقنين المدني السوري</w:t>
      </w:r>
      <w:r>
        <w:rPr>
          <w:rFonts w:cs="Traditional Arabic" w:hint="cs"/>
          <w:color w:val="0000FF"/>
          <w:sz w:val="24"/>
          <w:szCs w:val="28"/>
          <w:rtl/>
        </w:rPr>
        <w:t xml:space="preserve"> : انظر المواد 1030 و 1046 و 1055 .</w:t>
      </w:r>
    </w:p>
    <w:p w:rsidR="00F72742" w:rsidRDefault="00F72742" w:rsidP="00F72742">
      <w:pPr>
        <w:pStyle w:val="aa"/>
        <w:widowControl w:val="0"/>
        <w:ind w:firstLine="567"/>
        <w:jc w:val="lowKashida"/>
        <w:rPr>
          <w:rFonts w:cs="Traditional Arabic" w:hint="cs"/>
          <w:color w:val="0000FF"/>
          <w:sz w:val="24"/>
          <w:szCs w:val="28"/>
          <w:rtl/>
        </w:rPr>
      </w:pPr>
      <w:r w:rsidRPr="0010355C">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1103 : 1- على الراهن تسليم الشيء المرهون إلى الدائن ، أو إلى الشخص الذي عينه المتعاقدان لتسلمه . 2- ويسري على الالتزام بتسليم الشيء المرهون أحكام الالتزام بتسليم الشيء المبيع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العراقي</w:t>
      </w:r>
      <w:r>
        <w:rPr>
          <w:rFonts w:cs="Traditional Arabic" w:hint="cs"/>
          <w:color w:val="0000FF"/>
          <w:sz w:val="24"/>
          <w:szCs w:val="28"/>
          <w:rtl/>
        </w:rPr>
        <w:t xml:space="preserve"> : انظر م 1321 .</w:t>
      </w:r>
    </w:p>
    <w:p w:rsidR="00F72742" w:rsidRPr="00DC409A"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قانون الملكية العقارية اللبناني </w:t>
      </w:r>
      <w:r>
        <w:rPr>
          <w:rFonts w:cs="Traditional Arabic" w:hint="cs"/>
          <w:color w:val="0000FF"/>
          <w:sz w:val="24"/>
          <w:szCs w:val="28"/>
          <w:rtl/>
        </w:rPr>
        <w:t xml:space="preserve"> : انظر م 101 .</w:t>
      </w:r>
    </w:p>
  </w:footnote>
  <w:footnote w:id="152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200 .</w:t>
      </w:r>
    </w:p>
  </w:footnote>
  <w:footnote w:id="153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31 ديسمبر سنة 1896 القضاء 4 ص 76 </w:t>
      </w:r>
      <w:r>
        <w:rPr>
          <w:rFonts w:cs="Traditional Arabic"/>
          <w:color w:val="0000FF"/>
          <w:sz w:val="24"/>
          <w:szCs w:val="28"/>
          <w:rtl/>
        </w:rPr>
        <w:t>–</w:t>
      </w:r>
      <w:r>
        <w:rPr>
          <w:rFonts w:cs="Traditional Arabic" w:hint="cs"/>
          <w:color w:val="0000FF"/>
          <w:sz w:val="24"/>
          <w:szCs w:val="28"/>
          <w:rtl/>
        </w:rPr>
        <w:t xml:space="preserve"> 5 أبريل سنة 1917 الحقوق 33 ص 107 </w:t>
      </w:r>
      <w:r>
        <w:rPr>
          <w:rFonts w:cs="Traditional Arabic"/>
          <w:color w:val="0000FF"/>
          <w:sz w:val="24"/>
          <w:szCs w:val="28"/>
          <w:rtl/>
        </w:rPr>
        <w:t>–</w:t>
      </w:r>
      <w:r>
        <w:rPr>
          <w:rFonts w:cs="Traditional Arabic" w:hint="cs"/>
          <w:color w:val="0000FF"/>
          <w:sz w:val="24"/>
          <w:szCs w:val="28"/>
          <w:rtl/>
        </w:rPr>
        <w:t xml:space="preserve"> الإسكندرية 4 فبراير سنة 1907 الحقوق 23 ص 31 </w:t>
      </w:r>
      <w:r>
        <w:rPr>
          <w:rFonts w:cs="Traditional Arabic"/>
          <w:color w:val="0000FF"/>
          <w:sz w:val="24"/>
          <w:szCs w:val="28"/>
          <w:rtl/>
        </w:rPr>
        <w:t>–</w:t>
      </w:r>
      <w:r>
        <w:rPr>
          <w:rFonts w:cs="Traditional Arabic" w:hint="cs"/>
          <w:color w:val="0000FF"/>
          <w:sz w:val="24"/>
          <w:szCs w:val="28"/>
          <w:rtl/>
        </w:rPr>
        <w:t xml:space="preserve"> مصر استئنافي 10 فبراير سنة 1912 الحقوق 27 ص 180 </w:t>
      </w:r>
      <w:r>
        <w:rPr>
          <w:rFonts w:cs="Traditional Arabic"/>
          <w:color w:val="0000FF"/>
          <w:sz w:val="24"/>
          <w:szCs w:val="28"/>
          <w:rtl/>
        </w:rPr>
        <w:t>–</w:t>
      </w:r>
      <w:r>
        <w:rPr>
          <w:rFonts w:cs="Traditional Arabic" w:hint="cs"/>
          <w:color w:val="0000FF"/>
          <w:sz w:val="24"/>
          <w:szCs w:val="28"/>
          <w:rtl/>
        </w:rPr>
        <w:t xml:space="preserve"> استئناف مختلط 13 فبراير سنة </w:t>
      </w:r>
      <w:smartTag w:uri="urn:schemas-microsoft-com:office:smarttags" w:element="metricconverter">
        <w:smartTagPr>
          <w:attr w:name="ProductID" w:val="1896 م"/>
        </w:smartTagPr>
        <w:r>
          <w:rPr>
            <w:rFonts w:cs="Traditional Arabic" w:hint="cs"/>
            <w:color w:val="0000FF"/>
            <w:sz w:val="24"/>
            <w:szCs w:val="28"/>
            <w:rtl/>
          </w:rPr>
          <w:t>1896 م</w:t>
        </w:r>
      </w:smartTag>
      <w:r>
        <w:rPr>
          <w:rFonts w:cs="Traditional Arabic" w:hint="cs"/>
          <w:color w:val="0000FF"/>
          <w:sz w:val="24"/>
          <w:szCs w:val="28"/>
          <w:rtl/>
        </w:rPr>
        <w:t xml:space="preserve"> 8 ص 120 </w:t>
      </w:r>
      <w:r>
        <w:rPr>
          <w:rFonts w:cs="Traditional Arabic"/>
          <w:color w:val="0000FF"/>
          <w:sz w:val="24"/>
          <w:szCs w:val="28"/>
          <w:rtl/>
        </w:rPr>
        <w:t>–</w:t>
      </w:r>
      <w:r>
        <w:rPr>
          <w:rFonts w:cs="Traditional Arabic" w:hint="cs"/>
          <w:color w:val="0000FF"/>
          <w:sz w:val="24"/>
          <w:szCs w:val="28"/>
          <w:rtl/>
        </w:rPr>
        <w:t xml:space="preserve"> 15 نوفمبر سنة </w:t>
      </w:r>
      <w:smartTag w:uri="urn:schemas-microsoft-com:office:smarttags" w:element="metricconverter">
        <w:smartTagPr>
          <w:attr w:name="ProductID" w:val="1899 م"/>
        </w:smartTagPr>
        <w:r>
          <w:rPr>
            <w:rFonts w:cs="Traditional Arabic" w:hint="cs"/>
            <w:color w:val="0000FF"/>
            <w:sz w:val="24"/>
            <w:szCs w:val="28"/>
            <w:rtl/>
          </w:rPr>
          <w:t>1899 م</w:t>
        </w:r>
      </w:smartTag>
      <w:r>
        <w:rPr>
          <w:rFonts w:cs="Traditional Arabic" w:hint="cs"/>
          <w:color w:val="0000FF"/>
          <w:sz w:val="24"/>
          <w:szCs w:val="28"/>
          <w:rtl/>
        </w:rPr>
        <w:t xml:space="preserve"> 12 ص 12 </w:t>
      </w:r>
      <w:r>
        <w:rPr>
          <w:rFonts w:cs="Traditional Arabic"/>
          <w:color w:val="0000FF"/>
          <w:sz w:val="24"/>
          <w:szCs w:val="28"/>
          <w:rtl/>
        </w:rPr>
        <w:t>–</w:t>
      </w:r>
      <w:r>
        <w:rPr>
          <w:rFonts w:cs="Traditional Arabic" w:hint="cs"/>
          <w:color w:val="0000FF"/>
          <w:sz w:val="24"/>
          <w:szCs w:val="28"/>
          <w:rtl/>
        </w:rPr>
        <w:t xml:space="preserve"> 29 نوفمبر سنة </w:t>
      </w:r>
      <w:smartTag w:uri="urn:schemas-microsoft-com:office:smarttags" w:element="metricconverter">
        <w:smartTagPr>
          <w:attr w:name="ProductID" w:val="1900 م"/>
        </w:smartTagPr>
        <w:r>
          <w:rPr>
            <w:rFonts w:cs="Traditional Arabic" w:hint="cs"/>
            <w:color w:val="0000FF"/>
            <w:sz w:val="24"/>
            <w:szCs w:val="28"/>
            <w:rtl/>
          </w:rPr>
          <w:t>1900 م</w:t>
        </w:r>
      </w:smartTag>
      <w:r>
        <w:rPr>
          <w:rFonts w:cs="Traditional Arabic" w:hint="cs"/>
          <w:color w:val="0000FF"/>
          <w:sz w:val="24"/>
          <w:szCs w:val="28"/>
          <w:rtl/>
        </w:rPr>
        <w:t xml:space="preserve"> 13 ص 27 </w:t>
      </w:r>
      <w:r>
        <w:rPr>
          <w:rFonts w:cs="Traditional Arabic"/>
          <w:color w:val="0000FF"/>
          <w:sz w:val="24"/>
          <w:szCs w:val="28"/>
          <w:rtl/>
        </w:rPr>
        <w:t>–</w:t>
      </w:r>
      <w:r>
        <w:rPr>
          <w:rFonts w:cs="Traditional Arabic" w:hint="cs"/>
          <w:color w:val="0000FF"/>
          <w:sz w:val="24"/>
          <w:szCs w:val="28"/>
          <w:rtl/>
        </w:rPr>
        <w:t xml:space="preserve"> 13 مارس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198 </w:t>
      </w:r>
      <w:r>
        <w:rPr>
          <w:rFonts w:cs="Traditional Arabic"/>
          <w:color w:val="0000FF"/>
          <w:sz w:val="24"/>
          <w:szCs w:val="28"/>
          <w:rtl/>
        </w:rPr>
        <w:t>–</w:t>
      </w:r>
      <w:r>
        <w:rPr>
          <w:rFonts w:cs="Traditional Arabic" w:hint="cs"/>
          <w:color w:val="0000FF"/>
          <w:sz w:val="24"/>
          <w:szCs w:val="28"/>
          <w:rtl/>
        </w:rPr>
        <w:t xml:space="preserve"> 16 نوفمبر سنة </w:t>
      </w:r>
      <w:smartTag w:uri="urn:schemas-microsoft-com:office:smarttags" w:element="metricconverter">
        <w:smartTagPr>
          <w:attr w:name="ProductID" w:val="1904 م"/>
        </w:smartTagPr>
        <w:r>
          <w:rPr>
            <w:rFonts w:cs="Traditional Arabic" w:hint="cs"/>
            <w:color w:val="0000FF"/>
            <w:sz w:val="24"/>
            <w:szCs w:val="28"/>
            <w:rtl/>
          </w:rPr>
          <w:t>1904 م</w:t>
        </w:r>
      </w:smartTag>
      <w:r>
        <w:rPr>
          <w:rFonts w:cs="Traditional Arabic" w:hint="cs"/>
          <w:color w:val="0000FF"/>
          <w:sz w:val="24"/>
          <w:szCs w:val="28"/>
          <w:rtl/>
        </w:rPr>
        <w:t xml:space="preserve"> 17 ص 9 </w:t>
      </w:r>
      <w:r>
        <w:rPr>
          <w:rFonts w:cs="Traditional Arabic"/>
          <w:color w:val="0000FF"/>
          <w:sz w:val="24"/>
          <w:szCs w:val="28"/>
          <w:rtl/>
        </w:rPr>
        <w:t>–</w:t>
      </w:r>
      <w:r>
        <w:rPr>
          <w:rFonts w:cs="Traditional Arabic" w:hint="cs"/>
          <w:color w:val="0000FF"/>
          <w:sz w:val="24"/>
          <w:szCs w:val="28"/>
          <w:rtl/>
        </w:rPr>
        <w:t xml:space="preserve"> 13 أبريل سنة </w:t>
      </w:r>
      <w:smartTag w:uri="urn:schemas-microsoft-com:office:smarttags" w:element="metricconverter">
        <w:smartTagPr>
          <w:attr w:name="ProductID" w:val="1905 م"/>
        </w:smartTagPr>
        <w:r>
          <w:rPr>
            <w:rFonts w:cs="Traditional Arabic" w:hint="cs"/>
            <w:color w:val="0000FF"/>
            <w:sz w:val="24"/>
            <w:szCs w:val="28"/>
            <w:rtl/>
          </w:rPr>
          <w:t>1905 م</w:t>
        </w:r>
      </w:smartTag>
      <w:r>
        <w:rPr>
          <w:rFonts w:cs="Traditional Arabic" w:hint="cs"/>
          <w:color w:val="0000FF"/>
          <w:sz w:val="24"/>
          <w:szCs w:val="28"/>
          <w:rtl/>
        </w:rPr>
        <w:t xml:space="preserve"> 7 ص 207 </w:t>
      </w:r>
      <w:r>
        <w:rPr>
          <w:rFonts w:cs="Traditional Arabic"/>
          <w:color w:val="0000FF"/>
          <w:sz w:val="24"/>
          <w:szCs w:val="28"/>
          <w:rtl/>
        </w:rPr>
        <w:t>–</w:t>
      </w:r>
      <w:r>
        <w:rPr>
          <w:rFonts w:cs="Traditional Arabic" w:hint="cs"/>
          <w:color w:val="0000FF"/>
          <w:sz w:val="24"/>
          <w:szCs w:val="28"/>
          <w:rtl/>
        </w:rPr>
        <w:t xml:space="preserve"> 8 يناير سنة </w:t>
      </w:r>
      <w:smartTag w:uri="urn:schemas-microsoft-com:office:smarttags" w:element="metricconverter">
        <w:smartTagPr>
          <w:attr w:name="ProductID" w:val="1910 م"/>
        </w:smartTagPr>
        <w:r>
          <w:rPr>
            <w:rFonts w:cs="Traditional Arabic" w:hint="cs"/>
            <w:color w:val="0000FF"/>
            <w:sz w:val="24"/>
            <w:szCs w:val="28"/>
            <w:rtl/>
          </w:rPr>
          <w:t>1910 م</w:t>
        </w:r>
      </w:smartTag>
      <w:r>
        <w:rPr>
          <w:rFonts w:cs="Traditional Arabic" w:hint="cs"/>
          <w:color w:val="0000FF"/>
          <w:sz w:val="24"/>
          <w:szCs w:val="28"/>
          <w:rtl/>
        </w:rPr>
        <w:t xml:space="preserve"> 22 ص 358 </w:t>
      </w:r>
      <w:r>
        <w:rPr>
          <w:rFonts w:cs="Traditional Arabic"/>
          <w:color w:val="0000FF"/>
          <w:sz w:val="24"/>
          <w:szCs w:val="28"/>
          <w:rtl/>
        </w:rPr>
        <w:t>–</w:t>
      </w:r>
      <w:r>
        <w:rPr>
          <w:rFonts w:cs="Traditional Arabic" w:hint="cs"/>
          <w:color w:val="0000FF"/>
          <w:sz w:val="24"/>
          <w:szCs w:val="28"/>
          <w:rtl/>
        </w:rPr>
        <w:t xml:space="preserve"> 24 مايو سنة 1911 من 23 ص 339 </w:t>
      </w:r>
      <w:r>
        <w:rPr>
          <w:rFonts w:cs="Traditional Arabic"/>
          <w:color w:val="0000FF"/>
          <w:sz w:val="24"/>
          <w:szCs w:val="28"/>
          <w:rtl/>
        </w:rPr>
        <w:t>–</w:t>
      </w:r>
      <w:r>
        <w:rPr>
          <w:rFonts w:cs="Traditional Arabic" w:hint="cs"/>
          <w:color w:val="0000FF"/>
          <w:sz w:val="24"/>
          <w:szCs w:val="28"/>
          <w:rtl/>
        </w:rPr>
        <w:t xml:space="preserve"> 6 مايو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362 </w:t>
      </w:r>
      <w:r>
        <w:rPr>
          <w:rFonts w:cs="Traditional Arabic"/>
          <w:color w:val="0000FF"/>
          <w:sz w:val="24"/>
          <w:szCs w:val="28"/>
          <w:rtl/>
        </w:rPr>
        <w:t>–</w:t>
      </w:r>
      <w:r>
        <w:rPr>
          <w:rFonts w:cs="Traditional Arabic" w:hint="cs"/>
          <w:color w:val="0000FF"/>
          <w:sz w:val="24"/>
          <w:szCs w:val="28"/>
          <w:rtl/>
        </w:rPr>
        <w:t xml:space="preserve"> 23 أبريل سنة </w:t>
      </w:r>
      <w:smartTag w:uri="urn:schemas-microsoft-com:office:smarttags" w:element="metricconverter">
        <w:smartTagPr>
          <w:attr w:name="ProductID" w:val="1914 م"/>
        </w:smartTagPr>
        <w:r>
          <w:rPr>
            <w:rFonts w:cs="Traditional Arabic" w:hint="cs"/>
            <w:color w:val="0000FF"/>
            <w:sz w:val="24"/>
            <w:szCs w:val="28"/>
            <w:rtl/>
          </w:rPr>
          <w:t>1914 م</w:t>
        </w:r>
      </w:smartTag>
      <w:r>
        <w:rPr>
          <w:rFonts w:cs="Traditional Arabic" w:hint="cs"/>
          <w:color w:val="0000FF"/>
          <w:sz w:val="24"/>
          <w:szCs w:val="28"/>
          <w:rtl/>
        </w:rPr>
        <w:t xml:space="preserve"> 26 ص 351 </w:t>
      </w:r>
      <w:r>
        <w:rPr>
          <w:rFonts w:cs="Traditional Arabic"/>
          <w:color w:val="0000FF"/>
          <w:sz w:val="24"/>
          <w:szCs w:val="28"/>
          <w:rtl/>
        </w:rPr>
        <w:t>–</w:t>
      </w:r>
      <w:r>
        <w:rPr>
          <w:rFonts w:cs="Traditional Arabic" w:hint="cs"/>
          <w:color w:val="0000FF"/>
          <w:sz w:val="24"/>
          <w:szCs w:val="28"/>
          <w:rtl/>
        </w:rPr>
        <w:t xml:space="preserve"> 20 يناير سنة </w:t>
      </w:r>
      <w:smartTag w:uri="urn:schemas-microsoft-com:office:smarttags" w:element="metricconverter">
        <w:smartTagPr>
          <w:attr w:name="ProductID" w:val="1915 م"/>
        </w:smartTagPr>
        <w:r>
          <w:rPr>
            <w:rFonts w:cs="Traditional Arabic" w:hint="cs"/>
            <w:color w:val="0000FF"/>
            <w:sz w:val="24"/>
            <w:szCs w:val="28"/>
            <w:rtl/>
          </w:rPr>
          <w:t>1915 م</w:t>
        </w:r>
      </w:smartTag>
      <w:r>
        <w:rPr>
          <w:rFonts w:cs="Traditional Arabic" w:hint="cs"/>
          <w:color w:val="0000FF"/>
          <w:sz w:val="24"/>
          <w:szCs w:val="28"/>
          <w:rtl/>
        </w:rPr>
        <w:t xml:space="preserve"> 27 ص 124 </w:t>
      </w:r>
      <w:r>
        <w:rPr>
          <w:rFonts w:cs="Traditional Arabic"/>
          <w:color w:val="0000FF"/>
          <w:sz w:val="24"/>
          <w:szCs w:val="28"/>
          <w:rtl/>
        </w:rPr>
        <w:t>–</w:t>
      </w:r>
      <w:r>
        <w:rPr>
          <w:rFonts w:cs="Traditional Arabic" w:hint="cs"/>
          <w:color w:val="0000FF"/>
          <w:sz w:val="24"/>
          <w:szCs w:val="28"/>
          <w:rtl/>
        </w:rPr>
        <w:t xml:space="preserve"> 7 مارس سنة1918 م 30 ص 266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قضت محكمة النقض بأن القانون يوجب لصحة رهن الحيازة وضع المرهون في حيازة الدائن المرتهن ، ويقضي ببطلان هذا الرهن إذا رجع المرهون إلى حيازة راهنة . وإذا كان عقد الإيجار يضع العين المؤجرة في حيازة المستأجر ، فإنه يكون على المحكمة ، متى أثبتت في حكمها أن الراهن استأجر العين المرهونة في اليوم الذي حصل فيه رهنا ، أن تعتبر أن حيازة المرهون  لم تنتقل إلى المرتهن أو أنها رجعت على الفور إلى الراهن ، وفي كلتا الحالتين يجب عليها أن تحكم ببطلان الرهن ( نقض مدني 14 ديسمبر سنة 1944 مجموعة الخمسة والعشرين عاما 1 ص 392 رق 7 )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وقضت أيضاً بأنه في عقد الرهن الحيازي إذا امتنع الراهن عن تسليم الرهن ، أمكن للمرتهن أن يجبره على ذلك قضاء ، ويبطل الرهن إذا بقي المرهون باختيار المرتهن في حيازة الراهن أو رجع إليه باختياره أيضاً  . . . أما إذا ثبت أن عدم وضع يد المرتهن على العين المطلوب حبسها فقد كان غصبا ، فلا يبطل الرهن بلي يبقى صحيحاً ، ويكون للمرتهن حق المطالبة بالحبس ( نقض مدني 31 مايو سنة 18934 مجموعة الخمسة والعشرين عاما 1 ص 393 رقم 9 ) . وانظر أيضاً نقض مدني 14 مايو سنة 1942 ( مجموعة الخمسة والعشرين عاما 1 ص 393 رق 9 ) .</w:t>
      </w:r>
    </w:p>
  </w:footnote>
  <w:footnote w:id="153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عبد الفتاح عبد الباقي فقرة 441 ص 548 هامش 2 .</w:t>
      </w:r>
    </w:p>
  </w:footnote>
  <w:footnote w:id="153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ويقول الأستاذ عبد الفتاح عبد الباقي : "والغرض من انتقال الحيازة هو جعل المرهون بمنأى عما يجريه فيه الراهن من تصرفات تضر بالمرتهن ، كإخفاء المنقول ، أو تصرفه فيه لشخص حسن النية يستطيع أن يحتمي وراء قاعدة الحيازة في المنقول سند الملية . وكذلك يؤدي انتقال الحيازة نوعاً من الإشهار ، إذ يستطيع الغير أن يعلموا بوساطته أن المرتهن قد تعلق له حق على الشيء ، وأن الشيء لم يعد حراً خالصا للرهن" ( عبد الفتاح عبد الباقي فقرة 442 ) .</w:t>
      </w:r>
    </w:p>
  </w:footnote>
  <w:footnote w:id="153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16 أبريل سنة </w:t>
      </w:r>
      <w:smartTag w:uri="urn:schemas-microsoft-com:office:smarttags" w:element="metricconverter">
        <w:smartTagPr>
          <w:attr w:name="ProductID" w:val="1896 م"/>
        </w:smartTagPr>
        <w:r>
          <w:rPr>
            <w:rFonts w:cs="Traditional Arabic" w:hint="cs"/>
            <w:color w:val="0000FF"/>
            <w:sz w:val="24"/>
            <w:szCs w:val="28"/>
            <w:rtl/>
          </w:rPr>
          <w:t>1896 م</w:t>
        </w:r>
      </w:smartTag>
      <w:r>
        <w:rPr>
          <w:rFonts w:cs="Traditional Arabic" w:hint="cs"/>
          <w:color w:val="0000FF"/>
          <w:sz w:val="24"/>
          <w:szCs w:val="28"/>
          <w:rtl/>
        </w:rPr>
        <w:t xml:space="preserve"> 7 ص 220 </w:t>
      </w:r>
      <w:r>
        <w:rPr>
          <w:rFonts w:cs="Traditional Arabic"/>
          <w:color w:val="0000FF"/>
          <w:sz w:val="24"/>
          <w:szCs w:val="28"/>
          <w:rtl/>
        </w:rPr>
        <w:t>–</w:t>
      </w:r>
      <w:r>
        <w:rPr>
          <w:rFonts w:cs="Traditional Arabic" w:hint="cs"/>
          <w:color w:val="0000FF"/>
          <w:sz w:val="24"/>
          <w:szCs w:val="28"/>
          <w:rtl/>
        </w:rPr>
        <w:t xml:space="preserve"> 14 يونيه م 11 ص 295 </w:t>
      </w:r>
      <w:r>
        <w:rPr>
          <w:rFonts w:cs="Traditional Arabic"/>
          <w:color w:val="0000FF"/>
          <w:sz w:val="24"/>
          <w:szCs w:val="28"/>
          <w:rtl/>
        </w:rPr>
        <w:t>–</w:t>
      </w:r>
      <w:r>
        <w:rPr>
          <w:rFonts w:cs="Traditional Arabic" w:hint="cs"/>
          <w:color w:val="0000FF"/>
          <w:sz w:val="24"/>
          <w:szCs w:val="28"/>
          <w:rtl/>
        </w:rPr>
        <w:t xml:space="preserve"> 11 يونيه سنة </w:t>
      </w:r>
      <w:smartTag w:uri="urn:schemas-microsoft-com:office:smarttags" w:element="metricconverter">
        <w:smartTagPr>
          <w:attr w:name="ProductID" w:val="1903 م"/>
        </w:smartTagPr>
        <w:r>
          <w:rPr>
            <w:rFonts w:cs="Traditional Arabic" w:hint="cs"/>
            <w:color w:val="0000FF"/>
            <w:sz w:val="24"/>
            <w:szCs w:val="28"/>
            <w:rtl/>
          </w:rPr>
          <w:t>1903 م</w:t>
        </w:r>
      </w:smartTag>
      <w:r>
        <w:rPr>
          <w:rFonts w:cs="Traditional Arabic" w:hint="cs"/>
          <w:color w:val="0000FF"/>
          <w:sz w:val="24"/>
          <w:szCs w:val="28"/>
          <w:rtl/>
        </w:rPr>
        <w:t xml:space="preserve"> 15 ص 349 .</w:t>
      </w:r>
    </w:p>
  </w:footnote>
  <w:footnote w:id="153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أسيوط 7 ديسمبر سنة 1927 المحاماة 8 رقم 246 ص 334 </w:t>
      </w:r>
      <w:r>
        <w:rPr>
          <w:rFonts w:cs="Traditional Arabic"/>
          <w:color w:val="0000FF"/>
          <w:sz w:val="24"/>
          <w:szCs w:val="28"/>
          <w:rtl/>
        </w:rPr>
        <w:t>–</w:t>
      </w:r>
      <w:r>
        <w:rPr>
          <w:rFonts w:cs="Traditional Arabic" w:hint="cs"/>
          <w:color w:val="0000FF"/>
          <w:sz w:val="24"/>
          <w:szCs w:val="28"/>
          <w:rtl/>
        </w:rPr>
        <w:t xml:space="preserve"> لوران فقرة 484 </w:t>
      </w:r>
      <w:r>
        <w:rPr>
          <w:rFonts w:cs="Traditional Arabic"/>
          <w:color w:val="0000FF"/>
          <w:sz w:val="24"/>
          <w:szCs w:val="28"/>
          <w:rtl/>
        </w:rPr>
        <w:t>–</w:t>
      </w:r>
      <w:r>
        <w:rPr>
          <w:rFonts w:cs="Traditional Arabic" w:hint="cs"/>
          <w:color w:val="0000FF"/>
          <w:sz w:val="24"/>
          <w:szCs w:val="28"/>
          <w:rtl/>
        </w:rPr>
        <w:t xml:space="preserve"> بودري ودي لوان فقرة 85 .</w:t>
      </w:r>
    </w:p>
  </w:footnote>
  <w:footnote w:id="153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484 بودري ودي لوان فقرة 85 </w:t>
      </w:r>
      <w:r>
        <w:rPr>
          <w:rFonts w:cs="Traditional Arabic"/>
          <w:color w:val="0000FF"/>
          <w:sz w:val="24"/>
          <w:szCs w:val="28"/>
          <w:rtl/>
        </w:rPr>
        <w:t>–</w:t>
      </w:r>
      <w:r>
        <w:rPr>
          <w:rFonts w:cs="Traditional Arabic" w:hint="cs"/>
          <w:color w:val="0000FF"/>
          <w:sz w:val="24"/>
          <w:szCs w:val="28"/>
          <w:rtl/>
        </w:rPr>
        <w:t xml:space="preserve"> أوبري ورو 3 فقرة 432 وهامش 24 </w:t>
      </w:r>
      <w:r>
        <w:rPr>
          <w:rFonts w:cs="Traditional Arabic"/>
          <w:color w:val="0000FF"/>
          <w:sz w:val="24"/>
          <w:szCs w:val="28"/>
          <w:rtl/>
        </w:rPr>
        <w:t>–</w:t>
      </w:r>
      <w:r>
        <w:rPr>
          <w:rFonts w:cs="Traditional Arabic" w:hint="cs"/>
          <w:color w:val="0000FF"/>
          <w:sz w:val="24"/>
          <w:szCs w:val="28"/>
          <w:rtl/>
        </w:rPr>
        <w:t xml:space="preserve"> بلانيول وريبير وبيكيه فقرة 104 </w:t>
      </w:r>
      <w:r>
        <w:rPr>
          <w:rFonts w:cs="Traditional Arabic"/>
          <w:color w:val="0000FF"/>
          <w:sz w:val="24"/>
          <w:szCs w:val="28"/>
          <w:rtl/>
        </w:rPr>
        <w:t>–</w:t>
      </w:r>
      <w:r>
        <w:rPr>
          <w:rFonts w:cs="Traditional Arabic" w:hint="cs"/>
          <w:color w:val="0000FF"/>
          <w:sz w:val="24"/>
          <w:szCs w:val="28"/>
          <w:rtl/>
        </w:rPr>
        <w:t xml:space="preserve"> محمد كامل مرسي فقرة 298 ص 385 </w:t>
      </w:r>
      <w:r>
        <w:rPr>
          <w:rFonts w:cs="Traditional Arabic"/>
          <w:color w:val="0000FF"/>
          <w:sz w:val="24"/>
          <w:szCs w:val="28"/>
          <w:rtl/>
        </w:rPr>
        <w:t>–</w:t>
      </w:r>
      <w:r>
        <w:rPr>
          <w:rFonts w:cs="Traditional Arabic" w:hint="cs"/>
          <w:color w:val="0000FF"/>
          <w:sz w:val="24"/>
          <w:szCs w:val="28"/>
          <w:rtl/>
        </w:rPr>
        <w:t xml:space="preserve"> ص 486 .</w:t>
      </w:r>
    </w:p>
  </w:footnote>
  <w:footnote w:id="153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484 </w:t>
      </w:r>
      <w:r>
        <w:rPr>
          <w:rFonts w:cs="Traditional Arabic"/>
          <w:color w:val="0000FF"/>
          <w:sz w:val="24"/>
          <w:szCs w:val="28"/>
          <w:rtl/>
        </w:rPr>
        <w:t>–</w:t>
      </w:r>
      <w:r>
        <w:rPr>
          <w:rFonts w:cs="Traditional Arabic" w:hint="cs"/>
          <w:color w:val="0000FF"/>
          <w:sz w:val="24"/>
          <w:szCs w:val="28"/>
          <w:rtl/>
        </w:rPr>
        <w:t xml:space="preserve"> جيوار فقرة 104 </w:t>
      </w:r>
      <w:r>
        <w:rPr>
          <w:rFonts w:cs="Traditional Arabic"/>
          <w:color w:val="0000FF"/>
          <w:sz w:val="24"/>
          <w:szCs w:val="28"/>
          <w:rtl/>
        </w:rPr>
        <w:t>–</w:t>
      </w:r>
      <w:r>
        <w:rPr>
          <w:rFonts w:cs="Traditional Arabic" w:hint="cs"/>
          <w:color w:val="0000FF"/>
          <w:sz w:val="24"/>
          <w:szCs w:val="28"/>
          <w:rtl/>
        </w:rPr>
        <w:t xml:space="preserve"> محمد كامل مرسي فقرة 298 ص 389 .</w:t>
      </w:r>
    </w:p>
  </w:footnote>
  <w:footnote w:id="153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103 .</w:t>
      </w:r>
    </w:p>
  </w:footnote>
  <w:footnote w:id="153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85 </w:t>
      </w:r>
      <w:r>
        <w:rPr>
          <w:rFonts w:cs="Traditional Arabic"/>
          <w:color w:val="0000FF"/>
          <w:sz w:val="24"/>
          <w:szCs w:val="28"/>
          <w:rtl/>
        </w:rPr>
        <w:t>–</w:t>
      </w:r>
      <w:r>
        <w:rPr>
          <w:rFonts w:cs="Traditional Arabic" w:hint="cs"/>
          <w:color w:val="0000FF"/>
          <w:sz w:val="24"/>
          <w:szCs w:val="28"/>
          <w:rtl/>
        </w:rPr>
        <w:t xml:space="preserve"> بلانيول وريبير وبيكيه 13 فقرة 85 </w:t>
      </w:r>
      <w:r>
        <w:rPr>
          <w:rFonts w:cs="Traditional Arabic"/>
          <w:color w:val="0000FF"/>
          <w:sz w:val="24"/>
          <w:szCs w:val="28"/>
          <w:rtl/>
        </w:rPr>
        <w:t>–</w:t>
      </w:r>
      <w:r>
        <w:rPr>
          <w:rFonts w:cs="Traditional Arabic" w:hint="cs"/>
          <w:color w:val="0000FF"/>
          <w:sz w:val="24"/>
          <w:szCs w:val="28"/>
          <w:rtl/>
        </w:rPr>
        <w:t xml:space="preserve"> نقض فرنسي 3 أغسطس سنة1896 داللوز 97 </w:t>
      </w:r>
      <w:r>
        <w:rPr>
          <w:rFonts w:cs="Traditional Arabic"/>
          <w:color w:val="0000FF"/>
          <w:sz w:val="24"/>
          <w:szCs w:val="28"/>
          <w:rtl/>
        </w:rPr>
        <w:t>–</w:t>
      </w:r>
      <w:r>
        <w:rPr>
          <w:rFonts w:cs="Traditional Arabic" w:hint="cs"/>
          <w:color w:val="0000FF"/>
          <w:sz w:val="24"/>
          <w:szCs w:val="28"/>
          <w:rtl/>
        </w:rPr>
        <w:t xml:space="preserve"> 1 </w:t>
      </w:r>
      <w:r>
        <w:rPr>
          <w:rFonts w:cs="Traditional Arabic"/>
          <w:color w:val="0000FF"/>
          <w:sz w:val="24"/>
          <w:szCs w:val="28"/>
          <w:rtl/>
        </w:rPr>
        <w:t>–</w:t>
      </w:r>
      <w:r>
        <w:rPr>
          <w:rFonts w:cs="Traditional Arabic" w:hint="cs"/>
          <w:color w:val="0000FF"/>
          <w:sz w:val="24"/>
          <w:szCs w:val="28"/>
          <w:rtl/>
        </w:rPr>
        <w:t xml:space="preserve"> 209 .</w:t>
      </w:r>
    </w:p>
  </w:footnote>
  <w:footnote w:id="153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298 ص 386 </w:t>
      </w:r>
      <w:r>
        <w:rPr>
          <w:rFonts w:cs="Traditional Arabic"/>
          <w:color w:val="0000FF"/>
          <w:sz w:val="24"/>
          <w:szCs w:val="28"/>
          <w:rtl/>
        </w:rPr>
        <w:t>–</w:t>
      </w:r>
      <w:r>
        <w:rPr>
          <w:rFonts w:cs="Traditional Arabic" w:hint="cs"/>
          <w:color w:val="0000FF"/>
          <w:sz w:val="24"/>
          <w:szCs w:val="28"/>
          <w:rtl/>
        </w:rPr>
        <w:t xml:space="preserve"> ص 396 .</w:t>
      </w:r>
    </w:p>
  </w:footnote>
  <w:footnote w:id="154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أبريل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51 ص 259 .</w:t>
      </w:r>
    </w:p>
  </w:footnote>
  <w:footnote w:id="154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عبد الفتاح عبد الباقي فقرة 449 </w:t>
      </w:r>
      <w:r>
        <w:rPr>
          <w:rFonts w:cs="Traditional Arabic"/>
          <w:color w:val="0000FF"/>
          <w:sz w:val="24"/>
          <w:szCs w:val="28"/>
          <w:rtl/>
        </w:rPr>
        <w:t>–</w:t>
      </w:r>
      <w:r>
        <w:rPr>
          <w:rFonts w:cs="Traditional Arabic" w:hint="cs"/>
          <w:color w:val="0000FF"/>
          <w:sz w:val="24"/>
          <w:szCs w:val="28"/>
          <w:rtl/>
        </w:rPr>
        <w:t xml:space="preserve"> محمد كامل مرسي فقرة 302 .</w:t>
      </w:r>
    </w:p>
  </w:footnote>
  <w:footnote w:id="154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هذه النص في المادة 1536 من المشروع التمهيدي على الوجه الآتي : "إذا عاد الشيء المرهون إلى الراهن ، لأي سبب كان ، جاز للدائن أن يسترده ما دام عقد الرهن قائما ، دون إخلال بما قد يكون للغير أو للراهن من حقوق" . ووافقت لجنة المراجعة على النص ، تحت رقم 1204 في المشروع النهائي . وفي مجلس النواب عدل النص على الوجه الآتي : "إذا عاد الشيء المرهون إلى الراهن ، لأي سبب كان ، جاز للدائن أن يسترده ما دام عقد الرهن قائماً ، دون إخلال بما قد يكون للغير من حقوق" . ووافقت لجنة المراجعة على النص ، تحت رقم 1204 في المشروع النهائي . وفي مجلس النواب عد النص على الوجه الآتي : "إذا عاد الشيء المرهون إلى الراهن ، لأي سبب كان ، جاز للدائن أن يستردده ما دام عقد الرهن قائماً ، دون إخلال بما قد يكون للغير من حقوق" ، وأصبح رقم المادة 1189 . وفي لجنة مجلس الشيوخ اعترض أحد أعضاء اللجنة على حكم هذه المادة ، لأن مظهر الرهن الحيازي هو انتقال العين حق حيازة المدين إلى حيازة الدائن ، وحكم المادة يهدم هذا المظهر ويهدم فكرة الرهن الحيازي وضماناته . فأجابت الحكومة بأن هناك حداً أدنى يجب التسليم به ، وهو عدم بطلان الرهن إذا عاد المرهون إلى حيازة المدين عن طريق الإجارة . فرد العضو المعترض قائلا إنه يسلم بذلك ، وأضاف أن  المادة أطلقت الحكم وقررت عدم بطلان الرهن إذا عاد  المرهون إلى حيازة المدين لأي سبب . وانضم رئيس اللجنة إلى العضو المعترض ، وأضاف أن عودة الحيازة إلى المدين تعتبر قرينة  على الوفاء . وتناقش الأعضاء طويلا في هذا الخصوص ، وأكد عضو آخر في اللجنة أنه حتى في ظل القانون القائم لا يبطل الرهن الحيازي بين المتعاقدين وإن كانت عودة المرهون إلى حيازة الراهن تعتبر على أن الحيازة عادت إليه كمالك ، إلا أنه إذا أقيم الدليل على ما يخالف ذلك ، كأن يثبت أن المرهون عاد إلى حيازة المدين بسبب وديعة أو إجارة أو عارية ففي هذه الحالة لا يبطل الرهن فيما بين المتعاقدين وإذا ترتب حق الغير يكون نافذا . وقد رؤى حسما للخلاف حذف هذه المادة ، ثم اتفق على الرجوع عن حذف المادة وتعديلها على الوجه الذي استقرت عليه في التقنين المدني الجديد ، وأصبح رقم المادة 1100 . ووافق مجلس الشيوخ على النص كما عدلته لجنته ( مجموعة الأعمال التحضيرية 7 ص 201 </w:t>
      </w:r>
      <w:r>
        <w:rPr>
          <w:rFonts w:cs="Traditional Arabic"/>
          <w:color w:val="0000FF"/>
          <w:sz w:val="24"/>
          <w:szCs w:val="28"/>
          <w:rtl/>
        </w:rPr>
        <w:t>–</w:t>
      </w:r>
      <w:r>
        <w:rPr>
          <w:rFonts w:cs="Traditional Arabic" w:hint="cs"/>
          <w:color w:val="0000FF"/>
          <w:sz w:val="24"/>
          <w:szCs w:val="28"/>
          <w:rtl/>
        </w:rPr>
        <w:t xml:space="preserve"> ص 205 )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541 / 663 : يبطل الرهن إذا رجع المرهون إلى حيازة راهنه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التقنينات المدني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السوري م </w:t>
      </w:r>
      <w:r>
        <w:rPr>
          <w:rFonts w:cs="Traditional Arabic" w:hint="cs"/>
          <w:color w:val="0000FF"/>
          <w:sz w:val="24"/>
          <w:szCs w:val="28"/>
          <w:rtl/>
        </w:rPr>
        <w:t>1033 : يفقد الدائن امتيازه إذا خرج الشيء من يده أو من يد الشخص الآخر الذي اختاره الفريقان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المدين الليبي م </w:t>
      </w:r>
      <w:r>
        <w:rPr>
          <w:rFonts w:cs="Traditional Arabic" w:hint="cs"/>
          <w:color w:val="0000FF"/>
          <w:sz w:val="24"/>
          <w:szCs w:val="28"/>
          <w:rtl/>
        </w:rPr>
        <w:t xml:space="preserve"> 1104 : إذا رجع المرهون إلى حيازة الراهن انقضى الرهن ، إلا إذا أثبت الدائن المرتهن أن الرجوع كان بسبب لا يقصد به انقضاء الرهن ، كل هذا دون إخلال بحقوق الغير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العراقي</w:t>
      </w:r>
      <w:r>
        <w:rPr>
          <w:rFonts w:cs="Traditional Arabic" w:hint="cs"/>
          <w:color w:val="0000FF"/>
          <w:sz w:val="24"/>
          <w:szCs w:val="28"/>
          <w:rtl/>
        </w:rPr>
        <w:t xml:space="preserve"> : انظر م 1321 .</w:t>
      </w:r>
    </w:p>
    <w:p w:rsidR="00F72742" w:rsidRPr="00726693"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54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202 .</w:t>
      </w:r>
    </w:p>
  </w:footnote>
  <w:footnote w:id="154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204 </w:t>
      </w:r>
      <w:r>
        <w:rPr>
          <w:rFonts w:cs="Traditional Arabic"/>
          <w:color w:val="0000FF"/>
          <w:sz w:val="24"/>
          <w:szCs w:val="28"/>
          <w:rtl/>
        </w:rPr>
        <w:t>–</w:t>
      </w:r>
      <w:r>
        <w:rPr>
          <w:rFonts w:cs="Traditional Arabic" w:hint="cs"/>
          <w:color w:val="0000FF"/>
          <w:sz w:val="24"/>
          <w:szCs w:val="28"/>
          <w:rtl/>
        </w:rPr>
        <w:t xml:space="preserve"> ص 205 .</w:t>
      </w:r>
    </w:p>
  </w:footnote>
  <w:footnote w:id="154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21 أبريل سنة </w:t>
      </w:r>
      <w:smartTag w:uri="urn:schemas-microsoft-com:office:smarttags" w:element="metricconverter">
        <w:smartTagPr>
          <w:attr w:name="ProductID" w:val="1904 م"/>
        </w:smartTagPr>
        <w:r>
          <w:rPr>
            <w:rFonts w:cs="Traditional Arabic" w:hint="cs"/>
            <w:color w:val="0000FF"/>
            <w:sz w:val="24"/>
            <w:szCs w:val="28"/>
            <w:rtl/>
          </w:rPr>
          <w:t>1904 م</w:t>
        </w:r>
      </w:smartTag>
      <w:r>
        <w:rPr>
          <w:rFonts w:cs="Traditional Arabic" w:hint="cs"/>
          <w:color w:val="0000FF"/>
          <w:sz w:val="24"/>
          <w:szCs w:val="28"/>
          <w:rtl/>
        </w:rPr>
        <w:t xml:space="preserve"> 16 ص 207 .</w:t>
      </w:r>
    </w:p>
  </w:footnote>
  <w:footnote w:id="154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303 .</w:t>
      </w:r>
    </w:p>
  </w:footnote>
  <w:footnote w:id="154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فقرة 533 .</w:t>
      </w:r>
    </w:p>
  </w:footnote>
  <w:footnote w:id="154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533 .</w:t>
      </w:r>
    </w:p>
  </w:footnote>
  <w:footnote w:id="154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490 وفقرة 482 </w:t>
      </w:r>
      <w:r>
        <w:rPr>
          <w:rFonts w:cs="Traditional Arabic"/>
          <w:color w:val="0000FF"/>
          <w:sz w:val="24"/>
          <w:szCs w:val="28"/>
          <w:rtl/>
        </w:rPr>
        <w:t>–</w:t>
      </w:r>
      <w:r>
        <w:rPr>
          <w:rFonts w:cs="Traditional Arabic" w:hint="cs"/>
          <w:color w:val="0000FF"/>
          <w:sz w:val="24"/>
          <w:szCs w:val="28"/>
          <w:rtl/>
        </w:rPr>
        <w:t xml:space="preserve"> جيوار فقرة 105 </w:t>
      </w:r>
      <w:r>
        <w:rPr>
          <w:rFonts w:cs="Traditional Arabic"/>
          <w:color w:val="0000FF"/>
          <w:sz w:val="24"/>
          <w:szCs w:val="28"/>
          <w:rtl/>
        </w:rPr>
        <w:t>–</w:t>
      </w:r>
      <w:r>
        <w:rPr>
          <w:rFonts w:cs="Traditional Arabic" w:hint="cs"/>
          <w:color w:val="0000FF"/>
          <w:sz w:val="24"/>
          <w:szCs w:val="28"/>
          <w:rtl/>
        </w:rPr>
        <w:t xml:space="preserve"> بودري ودي لوان فقرة 82 </w:t>
      </w:r>
      <w:r>
        <w:rPr>
          <w:rFonts w:cs="Traditional Arabic"/>
          <w:color w:val="0000FF"/>
          <w:sz w:val="24"/>
          <w:szCs w:val="28"/>
          <w:rtl/>
        </w:rPr>
        <w:t>–</w:t>
      </w:r>
      <w:r>
        <w:rPr>
          <w:rFonts w:cs="Traditional Arabic" w:hint="cs"/>
          <w:color w:val="0000FF"/>
          <w:sz w:val="24"/>
          <w:szCs w:val="28"/>
          <w:rtl/>
        </w:rPr>
        <w:t xml:space="preserve"> دي هلتس فقرة 35 </w:t>
      </w:r>
      <w:r>
        <w:rPr>
          <w:rFonts w:cs="Traditional Arabic"/>
          <w:color w:val="0000FF"/>
          <w:sz w:val="24"/>
          <w:szCs w:val="28"/>
          <w:rtl/>
        </w:rPr>
        <w:t>–</w:t>
      </w:r>
      <w:r>
        <w:rPr>
          <w:rFonts w:cs="Traditional Arabic" w:hint="cs"/>
          <w:color w:val="0000FF"/>
          <w:sz w:val="24"/>
          <w:szCs w:val="28"/>
          <w:rtl/>
        </w:rPr>
        <w:t xml:space="preserve"> محمد كامل مرسي فقرة 299 </w:t>
      </w:r>
      <w:r>
        <w:rPr>
          <w:rFonts w:cs="Traditional Arabic"/>
          <w:color w:val="0000FF"/>
          <w:sz w:val="24"/>
          <w:szCs w:val="28"/>
          <w:rtl/>
        </w:rPr>
        <w:t>–</w:t>
      </w:r>
      <w:r>
        <w:rPr>
          <w:rFonts w:cs="Traditional Arabic" w:hint="cs"/>
          <w:color w:val="0000FF"/>
          <w:sz w:val="24"/>
          <w:szCs w:val="28"/>
          <w:rtl/>
        </w:rPr>
        <w:t xml:space="preserve"> استئناف وطني أول يناير سنة 1907 الحقوق 24 ص 1 .</w:t>
      </w:r>
    </w:p>
  </w:footnote>
  <w:footnote w:id="155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300 .</w:t>
      </w:r>
    </w:p>
  </w:footnote>
  <w:footnote w:id="155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96 </w:t>
      </w:r>
      <w:r>
        <w:rPr>
          <w:rFonts w:cs="Traditional Arabic"/>
          <w:color w:val="0000FF"/>
          <w:sz w:val="24"/>
          <w:szCs w:val="28"/>
          <w:rtl/>
        </w:rPr>
        <w:t>–</w:t>
      </w:r>
      <w:r>
        <w:rPr>
          <w:rFonts w:cs="Traditional Arabic" w:hint="cs"/>
          <w:color w:val="0000FF"/>
          <w:sz w:val="24"/>
          <w:szCs w:val="28"/>
          <w:rtl/>
        </w:rPr>
        <w:t xml:space="preserve"> بودري ودي لوان فقرة 19 </w:t>
      </w:r>
      <w:r>
        <w:rPr>
          <w:rFonts w:cs="Traditional Arabic"/>
          <w:color w:val="0000FF"/>
          <w:sz w:val="24"/>
          <w:szCs w:val="28"/>
          <w:rtl/>
        </w:rPr>
        <w:t>–</w:t>
      </w:r>
      <w:r>
        <w:rPr>
          <w:rFonts w:cs="Traditional Arabic" w:hint="cs"/>
          <w:color w:val="0000FF"/>
          <w:sz w:val="24"/>
          <w:szCs w:val="28"/>
          <w:rtl/>
        </w:rPr>
        <w:t xml:space="preserve"> محمد كامل مرسي فقرة 305 ص 397 </w:t>
      </w:r>
      <w:r>
        <w:rPr>
          <w:rFonts w:cs="Traditional Arabic"/>
          <w:color w:val="0000FF"/>
          <w:sz w:val="24"/>
          <w:szCs w:val="28"/>
          <w:rtl/>
        </w:rPr>
        <w:t>–</w:t>
      </w:r>
      <w:r>
        <w:rPr>
          <w:rFonts w:cs="Traditional Arabic" w:hint="cs"/>
          <w:color w:val="0000FF"/>
          <w:sz w:val="24"/>
          <w:szCs w:val="28"/>
          <w:rtl/>
        </w:rPr>
        <w:t xml:space="preserve"> استئناف مختلط 17 مارس سنة </w:t>
      </w:r>
      <w:smartTag w:uri="urn:schemas-microsoft-com:office:smarttags" w:element="metricconverter">
        <w:smartTagPr>
          <w:attr w:name="ProductID" w:val="1920 م"/>
        </w:smartTagPr>
        <w:r>
          <w:rPr>
            <w:rFonts w:cs="Traditional Arabic" w:hint="cs"/>
            <w:color w:val="0000FF"/>
            <w:sz w:val="24"/>
            <w:szCs w:val="28"/>
            <w:rtl/>
          </w:rPr>
          <w:t>1920 م</w:t>
        </w:r>
      </w:smartTag>
      <w:r>
        <w:rPr>
          <w:rFonts w:cs="Traditional Arabic" w:hint="cs"/>
          <w:color w:val="0000FF"/>
          <w:sz w:val="24"/>
          <w:szCs w:val="28"/>
          <w:rtl/>
        </w:rPr>
        <w:t xml:space="preserve"> 32 ص 205 </w:t>
      </w:r>
      <w:r>
        <w:rPr>
          <w:rFonts w:cs="Traditional Arabic"/>
          <w:color w:val="0000FF"/>
          <w:sz w:val="24"/>
          <w:szCs w:val="28"/>
          <w:rtl/>
        </w:rPr>
        <w:t>–</w:t>
      </w:r>
      <w:r>
        <w:rPr>
          <w:rFonts w:cs="Traditional Arabic" w:hint="cs"/>
          <w:color w:val="0000FF"/>
          <w:sz w:val="24"/>
          <w:szCs w:val="28"/>
          <w:rtl/>
        </w:rPr>
        <w:t xml:space="preserve"> 4 فبراير سنة </w:t>
      </w:r>
      <w:smartTag w:uri="urn:schemas-microsoft-com:office:smarttags" w:element="metricconverter">
        <w:smartTagPr>
          <w:attr w:name="ProductID" w:val="1925 م"/>
        </w:smartTagPr>
        <w:r>
          <w:rPr>
            <w:rFonts w:cs="Traditional Arabic" w:hint="cs"/>
            <w:color w:val="0000FF"/>
            <w:sz w:val="24"/>
            <w:szCs w:val="28"/>
            <w:rtl/>
          </w:rPr>
          <w:t>1925 م</w:t>
        </w:r>
      </w:smartTag>
      <w:r>
        <w:rPr>
          <w:rFonts w:cs="Traditional Arabic" w:hint="cs"/>
          <w:color w:val="0000FF"/>
          <w:sz w:val="24"/>
          <w:szCs w:val="28"/>
          <w:rtl/>
        </w:rPr>
        <w:t xml:space="preserve"> 37 ص 210 .</w:t>
      </w:r>
    </w:p>
  </w:footnote>
  <w:footnote w:id="155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69 </w:t>
      </w:r>
      <w:r>
        <w:rPr>
          <w:rFonts w:cs="Traditional Arabic"/>
          <w:color w:val="0000FF"/>
          <w:sz w:val="24"/>
          <w:szCs w:val="28"/>
          <w:rtl/>
        </w:rPr>
        <w:t>–</w:t>
      </w:r>
      <w:r>
        <w:rPr>
          <w:rFonts w:cs="Traditional Arabic" w:hint="cs"/>
          <w:color w:val="0000FF"/>
          <w:sz w:val="24"/>
          <w:szCs w:val="28"/>
          <w:rtl/>
        </w:rPr>
        <w:t xml:space="preserve"> محمد كامل مرسي فقرة 305 ص 397 .</w:t>
      </w:r>
    </w:p>
  </w:footnote>
  <w:footnote w:id="155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ترولون فقرة 299 </w:t>
      </w:r>
      <w:r>
        <w:rPr>
          <w:rFonts w:cs="Traditional Arabic"/>
          <w:color w:val="0000FF"/>
          <w:sz w:val="24"/>
          <w:szCs w:val="28"/>
          <w:rtl/>
        </w:rPr>
        <w:t>–</w:t>
      </w:r>
      <w:r>
        <w:rPr>
          <w:rFonts w:cs="Traditional Arabic" w:hint="cs"/>
          <w:color w:val="0000FF"/>
          <w:sz w:val="24"/>
          <w:szCs w:val="28"/>
          <w:rtl/>
        </w:rPr>
        <w:t xml:space="preserve"> فقرة 305 </w:t>
      </w:r>
      <w:r>
        <w:rPr>
          <w:rFonts w:cs="Traditional Arabic"/>
          <w:color w:val="0000FF"/>
          <w:sz w:val="24"/>
          <w:szCs w:val="28"/>
          <w:rtl/>
        </w:rPr>
        <w:t>–</w:t>
      </w:r>
      <w:r>
        <w:rPr>
          <w:rFonts w:cs="Traditional Arabic" w:hint="cs"/>
          <w:color w:val="0000FF"/>
          <w:sz w:val="24"/>
          <w:szCs w:val="28"/>
          <w:rtl/>
        </w:rPr>
        <w:t xml:space="preserve"> جيوار فقرة 96 </w:t>
      </w:r>
      <w:r>
        <w:rPr>
          <w:rFonts w:cs="Traditional Arabic"/>
          <w:color w:val="0000FF"/>
          <w:sz w:val="24"/>
          <w:szCs w:val="28"/>
          <w:rtl/>
        </w:rPr>
        <w:t>–</w:t>
      </w:r>
      <w:r>
        <w:rPr>
          <w:rFonts w:cs="Traditional Arabic" w:hint="cs"/>
          <w:color w:val="0000FF"/>
          <w:sz w:val="24"/>
          <w:szCs w:val="28"/>
          <w:rtl/>
        </w:rPr>
        <w:t xml:space="preserve"> محمد كامل مرسي فقرة 305 ص 397 .</w:t>
      </w:r>
    </w:p>
  </w:footnote>
  <w:footnote w:id="155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90 </w:t>
      </w:r>
      <w:r>
        <w:rPr>
          <w:rFonts w:cs="Traditional Arabic"/>
          <w:color w:val="0000FF"/>
          <w:sz w:val="24"/>
          <w:szCs w:val="28"/>
          <w:rtl/>
        </w:rPr>
        <w:t>–</w:t>
      </w:r>
      <w:r>
        <w:rPr>
          <w:rFonts w:cs="Traditional Arabic" w:hint="cs"/>
          <w:color w:val="0000FF"/>
          <w:sz w:val="24"/>
          <w:szCs w:val="28"/>
          <w:rtl/>
        </w:rPr>
        <w:t xml:space="preserve"> بودري ودي لوان فقرة 74 </w:t>
      </w:r>
      <w:r>
        <w:rPr>
          <w:rFonts w:cs="Traditional Arabic"/>
          <w:color w:val="0000FF"/>
          <w:sz w:val="24"/>
          <w:szCs w:val="28"/>
          <w:rtl/>
        </w:rPr>
        <w:t>–</w:t>
      </w:r>
      <w:r>
        <w:rPr>
          <w:rFonts w:cs="Traditional Arabic" w:hint="cs"/>
          <w:color w:val="0000FF"/>
          <w:sz w:val="24"/>
          <w:szCs w:val="28"/>
          <w:rtl/>
        </w:rPr>
        <w:t xml:space="preserve"> أوبري ورو 3 فقرة 432 هامش 20 .</w:t>
      </w:r>
    </w:p>
  </w:footnote>
  <w:footnote w:id="15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لوان فقرة 477 </w:t>
      </w:r>
      <w:r>
        <w:rPr>
          <w:rFonts w:cs="Traditional Arabic"/>
          <w:color w:val="0000FF"/>
          <w:sz w:val="24"/>
          <w:szCs w:val="28"/>
          <w:rtl/>
        </w:rPr>
        <w:t>–</w:t>
      </w:r>
      <w:r>
        <w:rPr>
          <w:rFonts w:cs="Traditional Arabic" w:hint="cs"/>
          <w:color w:val="0000FF"/>
          <w:sz w:val="24"/>
          <w:szCs w:val="28"/>
          <w:rtl/>
        </w:rPr>
        <w:t xml:space="preserve"> جيوار فقرة 91 </w:t>
      </w:r>
      <w:r>
        <w:rPr>
          <w:rFonts w:cs="Traditional Arabic"/>
          <w:color w:val="0000FF"/>
          <w:sz w:val="24"/>
          <w:szCs w:val="28"/>
          <w:rtl/>
        </w:rPr>
        <w:t>–</w:t>
      </w:r>
      <w:r>
        <w:rPr>
          <w:rFonts w:cs="Traditional Arabic" w:hint="cs"/>
          <w:color w:val="0000FF"/>
          <w:sz w:val="24"/>
          <w:szCs w:val="28"/>
          <w:rtl/>
        </w:rPr>
        <w:t xml:space="preserve"> بودري ودي لوان فقرة 75 .</w:t>
      </w:r>
    </w:p>
  </w:footnote>
  <w:footnote w:id="155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305 </w:t>
      </w:r>
      <w:r>
        <w:rPr>
          <w:rFonts w:cs="Traditional Arabic"/>
          <w:color w:val="0000FF"/>
          <w:sz w:val="24"/>
          <w:szCs w:val="28"/>
          <w:rtl/>
        </w:rPr>
        <w:t>–</w:t>
      </w:r>
      <w:r>
        <w:rPr>
          <w:rFonts w:cs="Traditional Arabic" w:hint="cs"/>
          <w:color w:val="0000FF"/>
          <w:sz w:val="24"/>
          <w:szCs w:val="28"/>
          <w:rtl/>
        </w:rPr>
        <w:t xml:space="preserve"> ص 399 .</w:t>
      </w:r>
    </w:p>
  </w:footnote>
  <w:footnote w:id="155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29 نوفمبر سنة </w:t>
      </w:r>
      <w:smartTag w:uri="urn:schemas-microsoft-com:office:smarttags" w:element="metricconverter">
        <w:smartTagPr>
          <w:attr w:name="ProductID" w:val="1900 م"/>
        </w:smartTagPr>
        <w:r>
          <w:rPr>
            <w:rFonts w:cs="Traditional Arabic" w:hint="cs"/>
            <w:color w:val="0000FF"/>
            <w:sz w:val="24"/>
            <w:szCs w:val="28"/>
            <w:rtl/>
          </w:rPr>
          <w:t>1900 م</w:t>
        </w:r>
      </w:smartTag>
      <w:r>
        <w:rPr>
          <w:rFonts w:cs="Traditional Arabic" w:hint="cs"/>
          <w:color w:val="0000FF"/>
          <w:sz w:val="24"/>
          <w:szCs w:val="28"/>
          <w:rtl/>
        </w:rPr>
        <w:t xml:space="preserve"> 13 ص 27 </w:t>
      </w:r>
      <w:r>
        <w:rPr>
          <w:rFonts w:cs="Traditional Arabic"/>
          <w:color w:val="0000FF"/>
          <w:sz w:val="24"/>
          <w:szCs w:val="28"/>
          <w:rtl/>
        </w:rPr>
        <w:t>–</w:t>
      </w:r>
      <w:r>
        <w:rPr>
          <w:rFonts w:cs="Traditional Arabic" w:hint="cs"/>
          <w:color w:val="0000FF"/>
          <w:sz w:val="24"/>
          <w:szCs w:val="28"/>
          <w:rtl/>
        </w:rPr>
        <w:t xml:space="preserve"> 13 مارس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198 </w:t>
      </w:r>
      <w:r>
        <w:rPr>
          <w:rFonts w:cs="Traditional Arabic"/>
          <w:color w:val="0000FF"/>
          <w:sz w:val="24"/>
          <w:szCs w:val="28"/>
          <w:rtl/>
        </w:rPr>
        <w:t>–</w:t>
      </w:r>
      <w:r>
        <w:rPr>
          <w:rFonts w:cs="Traditional Arabic" w:hint="cs"/>
          <w:color w:val="0000FF"/>
          <w:sz w:val="24"/>
          <w:szCs w:val="28"/>
          <w:rtl/>
        </w:rPr>
        <w:t xml:space="preserve"> 13 أبريل سنة </w:t>
      </w:r>
      <w:smartTag w:uri="urn:schemas-microsoft-com:office:smarttags" w:element="metricconverter">
        <w:smartTagPr>
          <w:attr w:name="ProductID" w:val="1905 م"/>
        </w:smartTagPr>
        <w:r>
          <w:rPr>
            <w:rFonts w:cs="Traditional Arabic" w:hint="cs"/>
            <w:color w:val="0000FF"/>
            <w:sz w:val="24"/>
            <w:szCs w:val="28"/>
            <w:rtl/>
          </w:rPr>
          <w:t>1905 م</w:t>
        </w:r>
      </w:smartTag>
      <w:r>
        <w:rPr>
          <w:rFonts w:cs="Traditional Arabic" w:hint="cs"/>
          <w:color w:val="0000FF"/>
          <w:sz w:val="24"/>
          <w:szCs w:val="28"/>
          <w:rtl/>
        </w:rPr>
        <w:t xml:space="preserve"> 17 ص 207 </w:t>
      </w:r>
      <w:r>
        <w:rPr>
          <w:rFonts w:cs="Traditional Arabic"/>
          <w:color w:val="0000FF"/>
          <w:sz w:val="24"/>
          <w:szCs w:val="28"/>
          <w:rtl/>
        </w:rPr>
        <w:t>–</w:t>
      </w:r>
      <w:r>
        <w:rPr>
          <w:rFonts w:cs="Traditional Arabic" w:hint="cs"/>
          <w:color w:val="0000FF"/>
          <w:sz w:val="24"/>
          <w:szCs w:val="28"/>
          <w:rtl/>
        </w:rPr>
        <w:t xml:space="preserve"> 22 أبريل سنة </w:t>
      </w:r>
      <w:smartTag w:uri="urn:schemas-microsoft-com:office:smarttags" w:element="metricconverter">
        <w:smartTagPr>
          <w:attr w:name="ProductID" w:val="1930 م"/>
        </w:smartTagPr>
        <w:r>
          <w:rPr>
            <w:rFonts w:cs="Traditional Arabic" w:hint="cs"/>
            <w:color w:val="0000FF"/>
            <w:sz w:val="24"/>
            <w:szCs w:val="28"/>
            <w:rtl/>
          </w:rPr>
          <w:t>1930 م</w:t>
        </w:r>
      </w:smartTag>
      <w:r>
        <w:rPr>
          <w:rFonts w:cs="Traditional Arabic" w:hint="cs"/>
          <w:color w:val="0000FF"/>
          <w:sz w:val="24"/>
          <w:szCs w:val="28"/>
          <w:rtl/>
        </w:rPr>
        <w:t xml:space="preserve"> 42 ص 430 .</w:t>
      </w:r>
    </w:p>
  </w:footnote>
  <w:footnote w:id="15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نقض مدني 31 مايو سنة 1934 مجموعة عمر 1 رقم 188 ص 414 .</w:t>
      </w:r>
    </w:p>
  </w:footnote>
  <w:footnote w:id="155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306 ص 401 .</w:t>
      </w:r>
    </w:p>
  </w:footnote>
  <w:footnote w:id="156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1537 من المشروع التمهيدي . وأدخلت لجنة المراجعة على النص تعديلات لفظية بسيطة ، فأصبح النص ، تحت رقم 1205 في المشروع النهائي ، مطابقا لما استقر عليه في التقنيني المدني الجديد . ووافق عليه مجلس النواب تحت رقم 1190 ، ثم مجلس الشيوخ تحت رقم 1101 ( مجموعة الأعمال التحضيرية 7 ص 205 </w:t>
      </w:r>
      <w:r>
        <w:rPr>
          <w:rFonts w:cs="Traditional Arabic"/>
          <w:color w:val="0000FF"/>
          <w:sz w:val="24"/>
          <w:szCs w:val="28"/>
          <w:rtl/>
        </w:rPr>
        <w:t>–</w:t>
      </w:r>
      <w:r>
        <w:rPr>
          <w:rFonts w:cs="Traditional Arabic" w:hint="cs"/>
          <w:color w:val="0000FF"/>
          <w:sz w:val="24"/>
          <w:szCs w:val="28"/>
          <w:rtl/>
        </w:rPr>
        <w:t xml:space="preserve"> ص 206 ) .</w:t>
      </w:r>
    </w:p>
    <w:p w:rsidR="00F72742" w:rsidRDefault="00F72742" w:rsidP="00F72742">
      <w:pPr>
        <w:pStyle w:val="aa"/>
        <w:widowControl w:val="0"/>
        <w:ind w:firstLine="567"/>
        <w:jc w:val="lowKashida"/>
        <w:rPr>
          <w:rFonts w:cs="Traditional Arabic" w:hint="cs"/>
          <w:b/>
          <w:b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w:t>
      </w:r>
      <w:r w:rsidRPr="00FD3AE7">
        <w:rPr>
          <w:rFonts w:cs="Traditional Arabic" w:hint="cs"/>
          <w:b/>
          <w:bCs/>
          <w:color w:val="0000FF"/>
          <w:sz w:val="24"/>
          <w:szCs w:val="28"/>
          <w:rtl/>
        </w:rPr>
        <w:t xml:space="preserve"> </w:t>
      </w:r>
      <w:r w:rsidRPr="009F722C">
        <w:rPr>
          <w:rFonts w:cs="Traditional Arabic" w:hint="cs"/>
          <w:color w:val="0000FF"/>
          <w:sz w:val="24"/>
          <w:szCs w:val="28"/>
          <w:rtl/>
        </w:rPr>
        <w:t>لا مقابل</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التقنينات المدنية العربية الأخرى</w:t>
      </w:r>
    </w:p>
    <w:p w:rsidR="00F72742" w:rsidRDefault="00F72742" w:rsidP="00F72742">
      <w:pPr>
        <w:pStyle w:val="aa"/>
        <w:widowControl w:val="0"/>
        <w:ind w:firstLine="567"/>
        <w:jc w:val="lowKashida"/>
        <w:rPr>
          <w:rFonts w:cs="Traditional Arabic" w:hint="cs"/>
          <w:color w:val="0000FF"/>
          <w:sz w:val="24"/>
          <w:szCs w:val="28"/>
          <w:rtl/>
        </w:rPr>
      </w:pPr>
      <w:r w:rsidRPr="001F0F74">
        <w:rPr>
          <w:rFonts w:cs="Traditional Arabic" w:hint="cs"/>
          <w:color w:val="0000FF"/>
          <w:sz w:val="24"/>
          <w:szCs w:val="28"/>
          <w:u w:val="single"/>
          <w:rtl/>
        </w:rPr>
        <w:t>التقنين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1F0F74">
        <w:rPr>
          <w:rFonts w:cs="Traditional Arabic" w:hint="cs"/>
          <w:color w:val="0000FF"/>
          <w:sz w:val="24"/>
          <w:szCs w:val="28"/>
          <w:u w:val="single"/>
          <w:rtl/>
        </w:rPr>
        <w:t>التقنين الليبي</w:t>
      </w:r>
      <w:r>
        <w:rPr>
          <w:rFonts w:cs="Traditional Arabic" w:hint="cs"/>
          <w:color w:val="0000FF"/>
          <w:sz w:val="24"/>
          <w:szCs w:val="28"/>
          <w:rtl/>
        </w:rPr>
        <w:t xml:space="preserve"> م 1105 : يضمن الواهن سلامة الرهن ونفاذه ، وليس له أن يأتي عملا ينقص من قيمة الشيء المرهون أو يحول دون استعمال الدائن لحقوقه المستمدة من العقد ، وللدائن المرتهن في حالة الاستعجال أن يتخذ على نفقة الراهن كل الوسائل التي تلزم للمحافظة على الشيء المرهون .</w:t>
      </w:r>
    </w:p>
    <w:p w:rsidR="00F72742" w:rsidRDefault="00F72742" w:rsidP="00F72742">
      <w:pPr>
        <w:pStyle w:val="aa"/>
        <w:widowControl w:val="0"/>
        <w:ind w:firstLine="567"/>
        <w:jc w:val="lowKashida"/>
        <w:rPr>
          <w:rFonts w:cs="Traditional Arabic" w:hint="cs"/>
          <w:color w:val="0000FF"/>
          <w:sz w:val="24"/>
          <w:szCs w:val="28"/>
          <w:rtl/>
        </w:rPr>
      </w:pPr>
      <w:r w:rsidRPr="001F0F74">
        <w:rPr>
          <w:rFonts w:cs="Traditional Arabic" w:hint="cs"/>
          <w:color w:val="0000FF"/>
          <w:sz w:val="24"/>
          <w:szCs w:val="28"/>
          <w:u w:val="single"/>
          <w:rtl/>
        </w:rPr>
        <w:t>التقنين العراقي</w:t>
      </w:r>
      <w:r>
        <w:rPr>
          <w:rFonts w:cs="Traditional Arabic" w:hint="cs"/>
          <w:color w:val="0000FF"/>
          <w:sz w:val="24"/>
          <w:szCs w:val="28"/>
          <w:rtl/>
        </w:rPr>
        <w:t xml:space="preserve"> م 1335 : يضمن الراهن في الراهن الحيازي سلامة الراهن ، وليس له أن يأتي عملا ينقص من قيمة المرهون ، أو يحول دون استعمال المرتهن لحقوقه .</w:t>
      </w:r>
    </w:p>
    <w:p w:rsidR="00F72742" w:rsidRPr="009F722C" w:rsidRDefault="00F72742" w:rsidP="00F72742">
      <w:pPr>
        <w:pStyle w:val="aa"/>
        <w:widowControl w:val="0"/>
        <w:ind w:firstLine="567"/>
        <w:jc w:val="lowKashida"/>
        <w:rPr>
          <w:rFonts w:cs="Traditional Arabic" w:hint="cs"/>
          <w:color w:val="0000FF"/>
          <w:sz w:val="24"/>
          <w:szCs w:val="28"/>
          <w:rtl/>
        </w:rPr>
      </w:pPr>
      <w:r w:rsidRPr="001F0F74">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5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206 .</w:t>
      </w:r>
    </w:p>
  </w:footnote>
  <w:footnote w:id="156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1538 من المشروع التمهيدي ، وفي لجنة المراجعة أجريت بعض تعديلات لفظية بسيطة ، فصار النص ، تحت رقم 1206 في المشروع النهائي ، مطابقا لما استقر عليه في يالتقنين المدني الجديد . ووافق عليه مجلس النواب تحت رقم 1191 ، ثم مجلس الشيوخ تحت رقم 1102 ( مجموعة الأعمال التحضيرية 7 ص 207 </w:t>
      </w:r>
      <w:r>
        <w:rPr>
          <w:rFonts w:cs="Traditional Arabic"/>
          <w:color w:val="0000FF"/>
          <w:sz w:val="24"/>
          <w:szCs w:val="28"/>
          <w:rtl/>
        </w:rPr>
        <w:t>–</w:t>
      </w:r>
      <w:r>
        <w:rPr>
          <w:rFonts w:cs="Traditional Arabic" w:hint="cs"/>
          <w:color w:val="0000FF"/>
          <w:sz w:val="24"/>
          <w:szCs w:val="28"/>
          <w:rtl/>
        </w:rPr>
        <w:t xml:space="preserve"> ص 209 ) .</w:t>
      </w:r>
    </w:p>
    <w:p w:rsidR="00F72742"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1035 : 1- الدائن مسئول مبدئيا عما يصيب الشيء المرهون من هلاك أو تعيب . 2- والرهن ملزم بما أنفقه الدائن لصيانة هذا الشيء .</w:t>
      </w:r>
    </w:p>
    <w:p w:rsidR="00F72742"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1106 : 1- يضمن الراهن هلاك الشيء المرهون أو تلفه إذا كان الهلاك أو التلف راجعاً لخطأه أو ناشئاً عن قوة قاهرة . 2- وتسري على الرهن الحيازي أحكام المادتين 1052 و 1053 المتعلق بهلاك الشيء المرهون رهناً اتفاقياً أو تلفه ، وبانتقال حق الدائن من الشيء المرهون إلى ما حل محله من حقوق .</w:t>
      </w:r>
    </w:p>
    <w:p w:rsidR="00F72742"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1336 : 1- إذا هلك الشيء المرهون رهنا حيازيا أو تعيب قضاء وقدرا ، كان هلاكه أو تعيبه على الراهن . ويتبع في تخيير المدين أو الدائن إذا هلك المرهون قضاء وقدرا أو بخطأ أحكام الرهن التأميني الواردة في المادة 1291 . 2- وإذا هلك المرهون انتقل حق المرتهن إلى المال الذي قد يحل محله ، وفقا لأحكام الرهن التأميني الواردة في المادة 1298 .</w:t>
      </w:r>
    </w:p>
    <w:p w:rsidR="00F72742" w:rsidRPr="00E82874" w:rsidRDefault="00F72742" w:rsidP="00F72742">
      <w:pPr>
        <w:pStyle w:val="aa"/>
        <w:widowControl w:val="0"/>
        <w:ind w:firstLine="567"/>
        <w:jc w:val="lowKashida"/>
        <w:rPr>
          <w:rFonts w:cs="Traditional Arabic" w:hint="cs"/>
          <w:color w:val="0000FF"/>
          <w:sz w:val="24"/>
          <w:szCs w:val="28"/>
          <w:rtl/>
        </w:rPr>
      </w:pPr>
      <w:r w:rsidRPr="00283258">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56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208 .</w:t>
      </w:r>
    </w:p>
  </w:footnote>
  <w:footnote w:id="15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550 .</w:t>
      </w:r>
    </w:p>
  </w:footnote>
  <w:footnote w:id="15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النقض بأن إذا كانت البضاعة المرهونة والمؤمن عليها قد احترقت وتقرر حق الدائن المرتهن في مبلغ التأمين المستحق ، وكان مقتضى ذلك حلول مبلغ التأمين محل البضاعة المرهونة ، فإنه ليس هناك محل لرجوع المدين الراهن على الدائن المرتهن ، وحسبه أن تجري المحاسبة بينهما على أساس عقد القرض المضمون بالرهن ( نقضي مدني 28 ديسمبر سنة1965 مجموعة أحكام النقض 16 رقم 211 ص 1347 ) .</w:t>
      </w:r>
    </w:p>
  </w:footnote>
  <w:footnote w:id="156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1539 من المشروع التمهيدي ، على وجه مطابق لما استقر عليه في التقنين المدني الجديد . وأقرته لجنة المراجعة ، تحت رقم 1207 في المشروع النهائي . وأقره مجلس النواب تحت رقم 1192 ، ثم مجلس الشيوخ تحت رقم 1103 ( مجموعة الأعمال التحضيرية 7 ص 210 </w:t>
      </w:r>
      <w:r>
        <w:rPr>
          <w:rFonts w:cs="Traditional Arabic"/>
          <w:color w:val="0000FF"/>
          <w:sz w:val="24"/>
          <w:szCs w:val="28"/>
          <w:rtl/>
        </w:rPr>
        <w:t>–</w:t>
      </w:r>
      <w:r>
        <w:rPr>
          <w:rFonts w:cs="Traditional Arabic" w:hint="cs"/>
          <w:color w:val="0000FF"/>
          <w:sz w:val="24"/>
          <w:szCs w:val="28"/>
          <w:rtl/>
        </w:rPr>
        <w:t xml:space="preserve"> ص 212 ) .</w:t>
      </w:r>
    </w:p>
    <w:p w:rsidR="00F72742" w:rsidRDefault="00F72742" w:rsidP="00F72742">
      <w:pPr>
        <w:pStyle w:val="aa"/>
        <w:widowControl w:val="0"/>
        <w:ind w:firstLine="567"/>
        <w:jc w:val="lowKashida"/>
        <w:rPr>
          <w:rFonts w:cs="Traditional Arabic" w:hint="cs"/>
          <w:color w:val="0000FF"/>
          <w:sz w:val="24"/>
          <w:szCs w:val="28"/>
          <w:rtl/>
        </w:rPr>
      </w:pPr>
      <w:r w:rsidRPr="00982370">
        <w:rPr>
          <w:rFonts w:cs="Traditional Arabic" w:hint="cs"/>
          <w:color w:val="0000FF"/>
          <w:sz w:val="24"/>
          <w:szCs w:val="28"/>
          <w:u w:val="single"/>
          <w:rtl/>
        </w:rPr>
        <w:t>التقنين المدني السابق</w:t>
      </w:r>
      <w:r w:rsidRPr="00982370">
        <w:rPr>
          <w:rFonts w:cs="Traditional Arabic" w:hint="cs"/>
          <w:color w:val="0000FF"/>
          <w:sz w:val="24"/>
          <w:szCs w:val="28"/>
          <w:rtl/>
        </w:rPr>
        <w:t xml:space="preserve"> م 544 / 666</w:t>
      </w:r>
      <w:r>
        <w:rPr>
          <w:rFonts w:cs="Traditional Arabic" w:hint="cs"/>
          <w:color w:val="0000FF"/>
          <w:sz w:val="24"/>
          <w:szCs w:val="28"/>
          <w:rtl/>
        </w:rPr>
        <w:t xml:space="preserve"> :</w:t>
      </w:r>
      <w:r w:rsidRPr="00982370">
        <w:rPr>
          <w:rFonts w:cs="Traditional Arabic" w:hint="cs"/>
          <w:color w:val="0000FF"/>
          <w:sz w:val="24"/>
          <w:szCs w:val="28"/>
          <w:rtl/>
        </w:rPr>
        <w:t xml:space="preserve"> الشيء المرهون هو تحت حفظ الحائز له</w:t>
      </w:r>
      <w:r>
        <w:rPr>
          <w:rFonts w:cs="Traditional Arabic" w:hint="cs"/>
          <w:color w:val="0000FF"/>
          <w:sz w:val="24"/>
          <w:szCs w:val="28"/>
          <w:rtl/>
        </w:rPr>
        <w:t xml:space="preserve"> ،</w:t>
      </w:r>
      <w:r w:rsidRPr="00982370">
        <w:rPr>
          <w:rFonts w:cs="Traditional Arabic" w:hint="cs"/>
          <w:color w:val="0000FF"/>
          <w:sz w:val="24"/>
          <w:szCs w:val="28"/>
          <w:rtl/>
        </w:rPr>
        <w:t xml:space="preserve"> فإذا تلف بسبب قهري فتلفه على مالكه</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السوري م </w:t>
      </w:r>
      <w:r>
        <w:rPr>
          <w:rFonts w:cs="Traditional Arabic" w:hint="cs"/>
          <w:color w:val="0000FF"/>
          <w:sz w:val="24"/>
          <w:szCs w:val="28"/>
          <w:rtl/>
        </w:rPr>
        <w:t>1066 : 1- على الدائن أن يعتني بصيانة العقار المرهون وبإجراء التصليحات المفيدة والضرورية له ، على أن يتناول من الثمار جميع مصاريف الصيانة والتصليحات ، أو أن يستوفيها بالأفضلية من ثمن العقار . 2- وله دائماً أن يرفع هذه الالتزامات عن عاتقه بتخليه عن حق الرهن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المدين الليبي م </w:t>
      </w:r>
      <w:r>
        <w:rPr>
          <w:rFonts w:cs="Traditional Arabic" w:hint="cs"/>
          <w:color w:val="0000FF"/>
          <w:sz w:val="24"/>
          <w:szCs w:val="28"/>
          <w:rtl/>
        </w:rPr>
        <w:t xml:space="preserve"> 1107 : إذا تسلم الدائن الشيء المرهون فعليه أن يبذل في حفظه وصيانته من العناية ما يبذله الشخص العادي ، وهو مسئول عن هلاك الشيء أو تلفه ما لم يثبت أن ذلك يرجع لسبب أجنبي لا يد له فيه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العراقي م </w:t>
      </w:r>
      <w:r>
        <w:rPr>
          <w:rFonts w:cs="Traditional Arabic" w:hint="cs"/>
          <w:color w:val="0000FF"/>
          <w:sz w:val="24"/>
          <w:szCs w:val="28"/>
          <w:rtl/>
        </w:rPr>
        <w:t xml:space="preserve"> 1888/1 : على المرتهن أن يبذل في حفظ المرهون رهنا حيازياً وصيانته من العناية ما يبذله الشخص المعتاد ، وأن يقوم بالنفقات اللازمة لحفظه ، وأن يدفع ما يستحق عليه من ضرائب وتكاليف ، على أن يرجع بذلك على الراهن . وهو مسئول عن هلاكه ، كلا أو بعضا ، ما لم يثبت أن ذلك يرجع لسبب أجنبي لا يد له فيه .</w:t>
      </w:r>
    </w:p>
    <w:p w:rsidR="00F72742" w:rsidRPr="000E5F50"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 .</w:t>
      </w:r>
    </w:p>
  </w:footnote>
  <w:footnote w:id="15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211 .</w:t>
      </w:r>
    </w:p>
  </w:footnote>
  <w:footnote w:id="15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188 </w:t>
      </w:r>
      <w:r>
        <w:rPr>
          <w:rFonts w:cs="Traditional Arabic"/>
          <w:color w:val="0000FF"/>
          <w:sz w:val="24"/>
          <w:szCs w:val="28"/>
          <w:rtl/>
        </w:rPr>
        <w:t>–</w:t>
      </w:r>
      <w:r>
        <w:rPr>
          <w:rFonts w:cs="Traditional Arabic" w:hint="cs"/>
          <w:color w:val="0000FF"/>
          <w:sz w:val="24"/>
          <w:szCs w:val="28"/>
          <w:rtl/>
        </w:rPr>
        <w:t xml:space="preserve"> بودري ودي لوان فقرة 137 </w:t>
      </w:r>
      <w:r>
        <w:rPr>
          <w:rFonts w:cs="Traditional Arabic"/>
          <w:color w:val="0000FF"/>
          <w:sz w:val="24"/>
          <w:szCs w:val="28"/>
          <w:rtl/>
        </w:rPr>
        <w:t>–</w:t>
      </w:r>
      <w:r>
        <w:rPr>
          <w:rFonts w:cs="Traditional Arabic" w:hint="cs"/>
          <w:color w:val="0000FF"/>
          <w:sz w:val="24"/>
          <w:szCs w:val="28"/>
          <w:rtl/>
        </w:rPr>
        <w:t xml:space="preserve"> جوسران 2 فقرة 1530 .</w:t>
      </w:r>
    </w:p>
  </w:footnote>
  <w:footnote w:id="156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188 </w:t>
      </w:r>
      <w:r>
        <w:rPr>
          <w:rFonts w:cs="Traditional Arabic"/>
          <w:color w:val="0000FF"/>
          <w:sz w:val="24"/>
          <w:szCs w:val="28"/>
          <w:rtl/>
        </w:rPr>
        <w:t>–</w:t>
      </w:r>
      <w:r>
        <w:rPr>
          <w:rFonts w:cs="Traditional Arabic" w:hint="cs"/>
          <w:color w:val="0000FF"/>
          <w:sz w:val="24"/>
          <w:szCs w:val="28"/>
          <w:rtl/>
        </w:rPr>
        <w:t xml:space="preserve"> استئناف مختلط 9 يونيه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421 .</w:t>
      </w:r>
    </w:p>
  </w:footnote>
  <w:footnote w:id="15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4 مايو سنة </w:t>
      </w:r>
      <w:smartTag w:uri="urn:schemas-microsoft-com:office:smarttags" w:element="metricconverter">
        <w:smartTagPr>
          <w:attr w:name="ProductID" w:val="1916 م"/>
        </w:smartTagPr>
        <w:r>
          <w:rPr>
            <w:rFonts w:cs="Traditional Arabic" w:hint="cs"/>
            <w:color w:val="0000FF"/>
            <w:sz w:val="24"/>
            <w:szCs w:val="28"/>
            <w:rtl/>
          </w:rPr>
          <w:t>1916 م</w:t>
        </w:r>
      </w:smartTag>
      <w:r>
        <w:rPr>
          <w:rFonts w:cs="Traditional Arabic" w:hint="cs"/>
          <w:color w:val="0000FF"/>
          <w:sz w:val="24"/>
          <w:szCs w:val="28"/>
          <w:rtl/>
        </w:rPr>
        <w:t xml:space="preserve"> 28 ص 298 .</w:t>
      </w:r>
    </w:p>
  </w:footnote>
  <w:footnote w:id="15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بون 2 فقرة 1175 </w:t>
      </w:r>
      <w:r>
        <w:rPr>
          <w:rFonts w:cs="Traditional Arabic"/>
          <w:color w:val="0000FF"/>
          <w:sz w:val="24"/>
          <w:szCs w:val="28"/>
          <w:rtl/>
        </w:rPr>
        <w:t>–</w:t>
      </w:r>
      <w:r>
        <w:rPr>
          <w:rFonts w:cs="Traditional Arabic" w:hint="cs"/>
          <w:color w:val="0000FF"/>
          <w:sz w:val="24"/>
          <w:szCs w:val="28"/>
          <w:rtl/>
        </w:rPr>
        <w:t xml:space="preserve"> أوبري ورو 3 فقرة 433 .</w:t>
      </w:r>
    </w:p>
  </w:footnote>
  <w:footnote w:id="157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بودري ودي لوان فقرة 139 وفقرة 214 </w:t>
      </w:r>
      <w:r>
        <w:rPr>
          <w:rFonts w:cs="Traditional Arabic"/>
          <w:color w:val="0000FF"/>
          <w:sz w:val="24"/>
          <w:szCs w:val="28"/>
          <w:rtl/>
        </w:rPr>
        <w:t>–</w:t>
      </w:r>
      <w:r>
        <w:rPr>
          <w:rFonts w:cs="Traditional Arabic" w:hint="cs"/>
          <w:color w:val="0000FF"/>
          <w:sz w:val="24"/>
          <w:szCs w:val="28"/>
          <w:rtl/>
        </w:rPr>
        <w:t xml:space="preserve"> استئناف مختلط 4 نوفمبر سنة </w:t>
      </w:r>
      <w:smartTag w:uri="urn:schemas-microsoft-com:office:smarttags" w:element="metricconverter">
        <w:smartTagPr>
          <w:attr w:name="ProductID" w:val="1914 م"/>
        </w:smartTagPr>
        <w:r>
          <w:rPr>
            <w:rFonts w:cs="Traditional Arabic" w:hint="cs"/>
            <w:color w:val="0000FF"/>
            <w:sz w:val="24"/>
            <w:szCs w:val="28"/>
            <w:rtl/>
          </w:rPr>
          <w:t>1914 م</w:t>
        </w:r>
      </w:smartTag>
      <w:r>
        <w:rPr>
          <w:rFonts w:cs="Traditional Arabic" w:hint="cs"/>
          <w:color w:val="0000FF"/>
          <w:sz w:val="24"/>
          <w:szCs w:val="28"/>
          <w:rtl/>
        </w:rPr>
        <w:t xml:space="preserve"> 28 ص 9 </w:t>
      </w:r>
      <w:r>
        <w:rPr>
          <w:rFonts w:cs="Traditional Arabic"/>
          <w:color w:val="0000FF"/>
          <w:sz w:val="24"/>
          <w:szCs w:val="28"/>
          <w:rtl/>
        </w:rPr>
        <w:t>–</w:t>
      </w:r>
      <w:r>
        <w:rPr>
          <w:rFonts w:cs="Traditional Arabic" w:hint="cs"/>
          <w:color w:val="0000FF"/>
          <w:sz w:val="24"/>
          <w:szCs w:val="28"/>
          <w:rtl/>
        </w:rPr>
        <w:t xml:space="preserve"> 15 مارس سنة </w:t>
      </w:r>
      <w:smartTag w:uri="urn:schemas-microsoft-com:office:smarttags" w:element="metricconverter">
        <w:smartTagPr>
          <w:attr w:name="ProductID" w:val="1916 م"/>
        </w:smartTagPr>
        <w:r>
          <w:rPr>
            <w:rFonts w:cs="Traditional Arabic" w:hint="cs"/>
            <w:color w:val="0000FF"/>
            <w:sz w:val="24"/>
            <w:szCs w:val="28"/>
            <w:rtl/>
          </w:rPr>
          <w:t>1916 م</w:t>
        </w:r>
      </w:smartTag>
      <w:r>
        <w:rPr>
          <w:rFonts w:cs="Traditional Arabic" w:hint="cs"/>
          <w:color w:val="0000FF"/>
          <w:sz w:val="24"/>
          <w:szCs w:val="28"/>
          <w:rtl/>
        </w:rPr>
        <w:t xml:space="preserve"> 28 ص 203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ويرجع الدائن المرتهن بالمصروفات على الراهن ( محمد كامل مرسي فقرة 309 ص 405 هامش 3 ) .</w:t>
      </w:r>
    </w:p>
  </w:footnote>
  <w:footnote w:id="15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557 .</w:t>
      </w:r>
    </w:p>
  </w:footnote>
  <w:footnote w:id="157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210 </w:t>
      </w:r>
      <w:r>
        <w:rPr>
          <w:rFonts w:cs="Traditional Arabic"/>
          <w:color w:val="0000FF"/>
          <w:sz w:val="24"/>
          <w:szCs w:val="28"/>
          <w:rtl/>
        </w:rPr>
        <w:t>–</w:t>
      </w:r>
      <w:r>
        <w:rPr>
          <w:rFonts w:cs="Traditional Arabic" w:hint="cs"/>
          <w:color w:val="0000FF"/>
          <w:sz w:val="24"/>
          <w:szCs w:val="28"/>
          <w:rtl/>
        </w:rPr>
        <w:t xml:space="preserve"> ص 211 في الهامش .</w:t>
      </w:r>
    </w:p>
  </w:footnote>
  <w:footnote w:id="157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557 .</w:t>
      </w:r>
    </w:p>
  </w:footnote>
  <w:footnote w:id="15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558 .</w:t>
      </w:r>
    </w:p>
  </w:footnote>
  <w:footnote w:id="15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استئناف مختلط أول يونيه سنة </w:t>
      </w:r>
      <w:smartTag w:uri="urn:schemas-microsoft-com:office:smarttags" w:element="metricconverter">
        <w:smartTagPr>
          <w:attr w:name="ProductID" w:val="1899 م"/>
        </w:smartTagPr>
        <w:r>
          <w:rPr>
            <w:rFonts w:cs="Traditional Arabic" w:hint="cs"/>
            <w:color w:val="0000FF"/>
            <w:sz w:val="24"/>
            <w:szCs w:val="28"/>
            <w:rtl/>
          </w:rPr>
          <w:t>1899 م</w:t>
        </w:r>
      </w:smartTag>
      <w:r>
        <w:rPr>
          <w:rFonts w:cs="Traditional Arabic" w:hint="cs"/>
          <w:color w:val="0000FF"/>
          <w:sz w:val="24"/>
          <w:szCs w:val="28"/>
          <w:rtl/>
        </w:rPr>
        <w:t xml:space="preserve"> 11 ص 65 </w:t>
      </w:r>
      <w:r>
        <w:rPr>
          <w:rFonts w:cs="Traditional Arabic"/>
          <w:color w:val="0000FF"/>
          <w:sz w:val="24"/>
          <w:szCs w:val="28"/>
          <w:rtl/>
        </w:rPr>
        <w:t>–</w:t>
      </w:r>
      <w:r>
        <w:rPr>
          <w:rFonts w:cs="Traditional Arabic" w:hint="cs"/>
          <w:color w:val="0000FF"/>
          <w:sz w:val="24"/>
          <w:szCs w:val="28"/>
          <w:rtl/>
        </w:rPr>
        <w:t xml:space="preserve"> دي هلتس فقرة 104 </w:t>
      </w:r>
      <w:r>
        <w:rPr>
          <w:rFonts w:cs="Traditional Arabic"/>
          <w:color w:val="0000FF"/>
          <w:sz w:val="24"/>
          <w:szCs w:val="28"/>
          <w:rtl/>
        </w:rPr>
        <w:t>–</w:t>
      </w:r>
      <w:r>
        <w:rPr>
          <w:rFonts w:cs="Traditional Arabic" w:hint="cs"/>
          <w:color w:val="0000FF"/>
          <w:sz w:val="24"/>
          <w:szCs w:val="28"/>
          <w:rtl/>
        </w:rPr>
        <w:t xml:space="preserve"> جرانمولان فقرة 180 </w:t>
      </w:r>
      <w:r>
        <w:rPr>
          <w:rFonts w:cs="Traditional Arabic"/>
          <w:color w:val="0000FF"/>
          <w:sz w:val="24"/>
          <w:szCs w:val="28"/>
          <w:rtl/>
        </w:rPr>
        <w:t>–</w:t>
      </w:r>
      <w:r>
        <w:rPr>
          <w:rFonts w:cs="Traditional Arabic" w:hint="cs"/>
          <w:color w:val="0000FF"/>
          <w:sz w:val="24"/>
          <w:szCs w:val="28"/>
          <w:rtl/>
        </w:rPr>
        <w:t xml:space="preserve"> محمد كامل مرسي فقرة 309 ص 407 .</w:t>
      </w:r>
    </w:p>
  </w:footnote>
  <w:footnote w:id="157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1541 من المشروع التمهيدي ، وأجرت لجنة المراجعة تعديلات لفظية في النص حتى صار مطابقاً لما استقر عليه في التقنين المدني الجديد ، ثم وافقت عليه تحت رقم 1208 في المشروع النهائي . ووافق عليه مجلس النواب تحت رقم 1193 ، ثم مجلس الشيوخ تحت رقم 1104 ( مجموعة الأعمال التحضيرية 7 ص 212 </w:t>
      </w:r>
      <w:r>
        <w:rPr>
          <w:rFonts w:cs="Traditional Arabic"/>
          <w:color w:val="0000FF"/>
          <w:sz w:val="24"/>
          <w:szCs w:val="28"/>
          <w:rtl/>
        </w:rPr>
        <w:t>–</w:t>
      </w:r>
      <w:r>
        <w:rPr>
          <w:rFonts w:cs="Traditional Arabic" w:hint="cs"/>
          <w:color w:val="0000FF"/>
          <w:sz w:val="24"/>
          <w:szCs w:val="28"/>
          <w:rtl/>
        </w:rPr>
        <w:t xml:space="preserve"> ص 214 )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المدين السابق </w:t>
      </w:r>
      <w:r>
        <w:rPr>
          <w:rFonts w:cs="Traditional Arabic" w:hint="cs"/>
          <w:color w:val="0000FF"/>
          <w:sz w:val="24"/>
          <w:szCs w:val="28"/>
          <w:rtl/>
        </w:rPr>
        <w:t xml:space="preserve"> م 545 / 667 : لا يجوز للدائن المرتهن أن ينتفع بالرهن بدون مقابل . بل عليه أن يسعى في الاستغلال من الرهن بحسب ما هو قابل له ، إلا إذا وجد شرط بخلاف ذلك . وهذه الغلة تستنزل من الدين المؤمن بالرهن ، ولو قبل حلول الأجل ، بحيث أنها تستنزل أولا م الفوائد والمصاريف ثم من أصل الدين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6A2DDE">
        <w:rPr>
          <w:rFonts w:cs="Traditional Arabic" w:hint="cs"/>
          <w:color w:val="0000FF"/>
          <w:sz w:val="24"/>
          <w:szCs w:val="28"/>
          <w:u w:val="single"/>
          <w:rtl/>
        </w:rPr>
        <w:t>التقنين المدني السوري</w:t>
      </w:r>
      <w:r w:rsidRPr="006A2DDE">
        <w:rPr>
          <w:rFonts w:cs="Traditional Arabic" w:hint="cs"/>
          <w:color w:val="0000FF"/>
          <w:sz w:val="24"/>
          <w:szCs w:val="28"/>
          <w:rtl/>
        </w:rPr>
        <w:t xml:space="preserve"> م 1065</w:t>
      </w:r>
      <w:r>
        <w:rPr>
          <w:rFonts w:cs="Traditional Arabic" w:hint="cs"/>
          <w:color w:val="0000FF"/>
          <w:sz w:val="24"/>
          <w:szCs w:val="28"/>
          <w:rtl/>
        </w:rPr>
        <w:t xml:space="preserve"> :</w:t>
      </w:r>
      <w:r w:rsidRPr="006A2DDE">
        <w:rPr>
          <w:rFonts w:cs="Traditional Arabic" w:hint="cs"/>
          <w:color w:val="0000FF"/>
          <w:sz w:val="24"/>
          <w:szCs w:val="28"/>
          <w:rtl/>
        </w:rPr>
        <w:t xml:space="preserve"> 1- لا يجوز للدائن أن يتناول دون رضاء المدين منفعة مجانية </w:t>
      </w:r>
      <w:r>
        <w:rPr>
          <w:rFonts w:cs="Traditional Arabic" w:hint="cs"/>
          <w:color w:val="0000FF"/>
          <w:sz w:val="24"/>
          <w:szCs w:val="28"/>
          <w:rtl/>
        </w:rPr>
        <w:t>من العقار المرهون ، ولعيه أن يستغل منه كل الثمار التي يمكن أن يقلها . 2- وتحسم هذه المثار من الدين المضمون ، حتى قبل استحقاقه ، محسوبة أولا على الفائدة والنفقات ثم على رأس المال . وانظر أيضاً م 1036 و م 1037 .</w:t>
      </w:r>
    </w:p>
    <w:p w:rsidR="00F72742" w:rsidRDefault="00F72742" w:rsidP="00F72742">
      <w:pPr>
        <w:pStyle w:val="aa"/>
        <w:widowControl w:val="0"/>
        <w:ind w:firstLine="567"/>
        <w:jc w:val="lowKashida"/>
        <w:rPr>
          <w:rFonts w:cs="Traditional Arabic" w:hint="cs"/>
          <w:color w:val="0000FF"/>
          <w:sz w:val="24"/>
          <w:szCs w:val="28"/>
          <w:rtl/>
        </w:rPr>
      </w:pPr>
      <w:r w:rsidRPr="00FC620A">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1108 : 1- ليس للدائن أن ينتفع بالشيء المرهون دون مقابل . 2- وعليه أن يستثمره استثماراً كاملا ، ما لم يتفق على غير ذلك . 3- وما حصل عليه الدائن من صافي الربح وما استفاد من  استعمال الشيء يخصم من المبلغ المضمون بالرهن ولو لم يكن قد حل أجله ، على أن يكون الخصم أولا من قيمة ما أنفقه في المحافظة على الشيء وفي الإصلاحات ثم من المصروفات والفوائد ثم من أصل الدين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العراقي</w:t>
      </w:r>
      <w:r w:rsidRPr="007D5291">
        <w:rPr>
          <w:rFonts w:cs="Traditional Arabic" w:hint="cs"/>
          <w:color w:val="0000FF"/>
          <w:sz w:val="24"/>
          <w:szCs w:val="28"/>
          <w:rtl/>
        </w:rPr>
        <w:t xml:space="preserve"> م </w:t>
      </w:r>
      <w:r>
        <w:rPr>
          <w:rFonts w:cs="Traditional Arabic" w:hint="cs"/>
          <w:color w:val="0000FF"/>
          <w:sz w:val="24"/>
          <w:szCs w:val="28"/>
          <w:rtl/>
        </w:rPr>
        <w:t>1340 : ليس للمرتهن أن ينتفع بالمرهون رهنا حيازيا دون مقابل وما حصل عليه من صافي رميه وما استفاده من استعماله يخصم من الدين الموثوق بالرهن ، ولو لم يكن قد حل أجله ، على أن يكون الخصم أولا من قيمة ما أنفقه في المحافظة عليه وما دفعه من الضرائب والتكاليف وما استحقه من التعويض ثم من المصروفات والفوائد ثم من أصل الدين .</w:t>
      </w:r>
    </w:p>
    <w:p w:rsidR="00F72742" w:rsidRPr="007D5291" w:rsidRDefault="00F72742" w:rsidP="00F72742">
      <w:pPr>
        <w:pStyle w:val="aa"/>
        <w:widowControl w:val="0"/>
        <w:ind w:firstLine="567"/>
        <w:jc w:val="lowKashida"/>
        <w:rPr>
          <w:rFonts w:hint="cs"/>
          <w:rtl/>
        </w:rPr>
      </w:pPr>
      <w:r>
        <w:rPr>
          <w:rFonts w:cs="Traditional Arabic" w:hint="cs"/>
          <w:color w:val="0000FF"/>
          <w:sz w:val="24"/>
          <w:szCs w:val="28"/>
          <w:u w:val="single"/>
          <w:rtl/>
        </w:rPr>
        <w:t>تقنين الملكية العقارية اللبنان</w:t>
      </w:r>
      <w:r>
        <w:rPr>
          <w:rFonts w:cs="Traditional Arabic" w:hint="cs"/>
          <w:color w:val="0000FF"/>
          <w:sz w:val="24"/>
          <w:szCs w:val="28"/>
          <w:rtl/>
        </w:rPr>
        <w:t>ي م 111 : لا يجوز للدائن أن يتناول دون رضاء المديون منفعة مجانية من العقار المرهون ، وعليه ا  يستغله كل الثمار التي يمكن أن يغلها ، وتحسم هذه الغلة من الدين المضمون ، حتى قبل استحقاقه ، محسوبة أولا على الفائدة والنفقات ، ثم على رأس المال .</w:t>
      </w:r>
    </w:p>
  </w:footnote>
  <w:footnote w:id="157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219 .</w:t>
      </w:r>
    </w:p>
  </w:footnote>
  <w:footnote w:id="158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وذلك لمنع الحصول على فوائد فاحشة يحرمها للقانون ( استئناف وطني 10 مايو سنة 1916 المجموعة الرسمية 189 رقم 6 ص 9 </w:t>
      </w:r>
      <w:r>
        <w:rPr>
          <w:rFonts w:cs="Traditional Arabic"/>
          <w:color w:val="0000FF"/>
          <w:sz w:val="24"/>
          <w:szCs w:val="28"/>
          <w:rtl/>
        </w:rPr>
        <w:t>–</w:t>
      </w:r>
      <w:r>
        <w:rPr>
          <w:rFonts w:cs="Traditional Arabic" w:hint="cs"/>
          <w:color w:val="0000FF"/>
          <w:sz w:val="24"/>
          <w:szCs w:val="28"/>
          <w:rtl/>
        </w:rPr>
        <w:t xml:space="preserve"> استئناف مختلط 13 مارس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198 ) .</w:t>
      </w:r>
    </w:p>
  </w:footnote>
  <w:footnote w:id="158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النقض بأن المطالبة باستهلاك الدين وملحقاته بسبب استغلال الدين الأرض المرهونة له تتضمن في حقيقة الواقع المطالبة بريع هذه الأرض عن مدة الرهن كلها ، وإجراء المقاصة بين هذا الريع وبين الدين المضمون وتوابعه ( نقض مدني 17 فبراير سنة 1938 مجموعة الخمسة والعشرين عاما 1 ص 393 رقم 11 )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وقضت أيضاً بأن الدائن المرتهن رهن حيازة يعتبر أنه وكيل عن المدين الراهن في استغلال وإدارة العين المرهونة وقبض ريعها وأن عليه بهذا الوصف أن يقدم إلى الراهن حسابا مفصلا عن ذلك ، ودين الموكل قبل وكيله لا يبدأ تقادمه إلا من تاريخ انتهاء الوكالة وتصفي الحساب بينهما ( نقض مدني 23 نوفمبر سنة 1950 مجموعة الخمسة والعشرين عاما 1 ص 393 رقم 10 ) .</w:t>
      </w:r>
    </w:p>
  </w:footnote>
  <w:footnote w:id="158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13 مارس سنة </w:t>
      </w:r>
      <w:smartTag w:uri="urn:schemas-microsoft-com:office:smarttags" w:element="metricconverter">
        <w:smartTagPr>
          <w:attr w:name="ProductID" w:val="1901 م"/>
        </w:smartTagPr>
        <w:r>
          <w:rPr>
            <w:rFonts w:cs="Traditional Arabic" w:hint="cs"/>
            <w:color w:val="0000FF"/>
            <w:sz w:val="24"/>
            <w:szCs w:val="28"/>
            <w:rtl/>
          </w:rPr>
          <w:t>1901 م</w:t>
        </w:r>
      </w:smartTag>
      <w:r>
        <w:rPr>
          <w:rFonts w:cs="Traditional Arabic" w:hint="cs"/>
          <w:color w:val="0000FF"/>
          <w:sz w:val="24"/>
          <w:szCs w:val="28"/>
          <w:rtl/>
        </w:rPr>
        <w:t xml:space="preserve"> 13 ص 198 .</w:t>
      </w:r>
    </w:p>
  </w:footnote>
  <w:footnote w:id="15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في القانون المدني الفرنسي ليس للدائن المرتهن حق استغلال المنقول المرهون من غير رضاء المدين الصريح أو للضمني ، ويعتبر المنقول المرهون وديعة في يد  الدائن المرتهن لضمان حقه ، والثمار الناتجة من المنقول تكون ملكا للمدين الراهن مع اعتبارها داخله في حق الرهن أي مرهونة لأنها تابعة للشيء المرهون . فيجب على الدائن المرتهن أن يحفظ الثمار عيناً إذا كان ذلك ممكنا ، وإلا فيجب عليه أن يبيعها مع خصم ثمنها من الفوائد أو أصل الدين ( بون فقرة 1181 وفقرة 1182 = جيوار فقرة 142 مكررة </w:t>
      </w:r>
      <w:r>
        <w:rPr>
          <w:rFonts w:cs="Traditional Arabic"/>
          <w:color w:val="0000FF"/>
          <w:sz w:val="24"/>
          <w:szCs w:val="28"/>
          <w:rtl/>
        </w:rPr>
        <w:t>–</w:t>
      </w:r>
      <w:r>
        <w:rPr>
          <w:rFonts w:cs="Traditional Arabic" w:hint="cs"/>
          <w:color w:val="0000FF"/>
          <w:sz w:val="24"/>
          <w:szCs w:val="28"/>
          <w:rtl/>
        </w:rPr>
        <w:t xml:space="preserve"> بودري ودي لوان فقرة 96 ) .</w:t>
      </w:r>
    </w:p>
  </w:footnote>
  <w:footnote w:id="158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النقض بأن القانون لم يعين طريقا خاصاً يجب إتباعه في تقدير ريع العين المرهون رهناً حيازياً عند إجراء علمية استهلاك دين الراهن ، ومن ثم كان هذا التقدير عما تستقل به محكمة الموضوع مما دامت تبنيه على أسباب سائغة ( نقض مدني 21 ديسمبر سنة 1961 مجموعة أحكام النقض 12 رقم 138 ص 815 ) .</w:t>
      </w:r>
    </w:p>
  </w:footnote>
  <w:footnote w:id="158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نقض حكم لم يبين الأسباب في اعتبار الدائن مقصراً في استغلال العين : نقض مدني 27 يناير سنة 1955 مجموعة الخمسة والعشرين عاما 1 ص 393 رقم 13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وانظر نقض مدني 28 أكتوبر سنة 1948 مجموعة الخمسة والعشرين عاما 1 ص 393 رقم 12 </w:t>
      </w:r>
      <w:r>
        <w:rPr>
          <w:rFonts w:cs="Traditional Arabic"/>
          <w:color w:val="0000FF"/>
          <w:sz w:val="24"/>
          <w:szCs w:val="28"/>
          <w:rtl/>
        </w:rPr>
        <w:t>–</w:t>
      </w:r>
      <w:r>
        <w:rPr>
          <w:rFonts w:cs="Traditional Arabic" w:hint="cs"/>
          <w:color w:val="0000FF"/>
          <w:sz w:val="24"/>
          <w:szCs w:val="28"/>
          <w:rtl/>
        </w:rPr>
        <w:t xml:space="preserve"> 21 أبريل سنة 1955 مجموعة الخمسة والعشرين عاما 1 ص 393 رقم 14 .</w:t>
      </w:r>
    </w:p>
  </w:footnote>
  <w:footnote w:id="15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562 .</w:t>
      </w:r>
    </w:p>
  </w:footnote>
  <w:footnote w:id="15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جاء في مذكرة المروع التمهيدي ما يأتي : "والحق في أخذ الغلة وخصمها على النحو المتقدم هو عنصر من عناصر حق الرهن ، فالدائن المرتهن يستولي على الغلة أصيلا عن نفسه ونائبا عن الراهن" . ( آنفا فقرة 562 )ز وقد قضي بأن الدائن المرتهن لا يعتبر وكيلا عن الراهن ( أسيوط استئنافي 27 أكتوبر سنة 1930 المحاماة 11 رقم 219 ص 404 ) .</w:t>
      </w:r>
    </w:p>
  </w:footnote>
  <w:footnote w:id="15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562 .</w:t>
      </w:r>
    </w:p>
  </w:footnote>
  <w:footnote w:id="158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1542/1 من المشروع التمهيدي . وأدخلت لجنة المراجعة تعديلات لفظية طفيفة على النص فصار مطابقا ، تحت رقم 1209/1 في المشروع النهائي ، لما استقر عليه في التقنين المدني الجديد . ووافق  مجلس النواب على النص تحت رقم 1194/1 ، ثم مجلس الشيوخ تحت رقم 1105/1 ( مجموعة الأعمال التحضيرية 7 ص 215 </w:t>
      </w:r>
      <w:r>
        <w:rPr>
          <w:rFonts w:cs="Traditional Arabic"/>
          <w:color w:val="0000FF"/>
          <w:sz w:val="24"/>
          <w:szCs w:val="28"/>
          <w:rtl/>
        </w:rPr>
        <w:t>–</w:t>
      </w:r>
      <w:r>
        <w:rPr>
          <w:rFonts w:cs="Traditional Arabic" w:hint="cs"/>
          <w:color w:val="0000FF"/>
          <w:sz w:val="24"/>
          <w:szCs w:val="28"/>
          <w:rtl/>
        </w:rPr>
        <w:t xml:space="preserve"> ص 217 ) .</w:t>
      </w:r>
    </w:p>
    <w:p w:rsidR="00F72742" w:rsidRDefault="00F72742" w:rsidP="00F72742">
      <w:pPr>
        <w:pStyle w:val="aa"/>
        <w:widowControl w:val="0"/>
        <w:ind w:firstLine="567"/>
        <w:jc w:val="lowKashida"/>
        <w:rPr>
          <w:rFonts w:cs="Traditional Arabic" w:hint="cs"/>
          <w:color w:val="0000FF"/>
          <w:sz w:val="24"/>
          <w:szCs w:val="28"/>
          <w:rtl/>
        </w:rPr>
      </w:pPr>
      <w:r w:rsidRPr="00C35EBB">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w:t>
      </w:r>
    </w:p>
    <w:p w:rsidR="00F72742" w:rsidRPr="00C35EBB" w:rsidRDefault="00F72742" w:rsidP="00F72742">
      <w:pPr>
        <w:pStyle w:val="aa"/>
        <w:widowControl w:val="0"/>
        <w:ind w:firstLine="567"/>
        <w:jc w:val="lowKashida"/>
        <w:rPr>
          <w:rFonts w:cs="Traditional Arabic" w:hint="cs"/>
          <w:color w:val="0000FF"/>
          <w:sz w:val="24"/>
          <w:szCs w:val="28"/>
          <w:u w:val="single"/>
          <w:rtl/>
        </w:rPr>
      </w:pPr>
      <w:r w:rsidRPr="00C35EBB">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C35EBB">
        <w:rPr>
          <w:rFonts w:cs="Traditional Arabic" w:hint="cs"/>
          <w:color w:val="0000FF"/>
          <w:sz w:val="24"/>
          <w:szCs w:val="28"/>
          <w:u w:val="single"/>
          <w:rtl/>
        </w:rPr>
        <w:t>التقنين المدني السوري</w:t>
      </w:r>
      <w:r>
        <w:rPr>
          <w:rFonts w:cs="Traditional Arabic" w:hint="cs"/>
          <w:color w:val="0000FF"/>
          <w:sz w:val="24"/>
          <w:szCs w:val="28"/>
          <w:rtl/>
        </w:rPr>
        <w:t xml:space="preserve"> م : لا شي .</w:t>
      </w:r>
    </w:p>
    <w:p w:rsidR="00F72742" w:rsidRDefault="00F72742" w:rsidP="00F72742">
      <w:pPr>
        <w:pStyle w:val="aa"/>
        <w:widowControl w:val="0"/>
        <w:ind w:firstLine="567"/>
        <w:jc w:val="lowKashida"/>
        <w:rPr>
          <w:rFonts w:cs="Traditional Arabic" w:hint="cs"/>
          <w:color w:val="0000FF"/>
          <w:sz w:val="24"/>
          <w:szCs w:val="28"/>
          <w:rtl/>
        </w:rPr>
      </w:pPr>
      <w:r w:rsidRPr="00C35EBB">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1109/1 : إذا كان الشيء المرهون ينتج ثماراً أو إبراماً واتفق الطرفان على أن يجعل ذلك كله أو بعضه في مقابل الفوائد ، كان هذا الاتفاق نافذا في حدود أقصى ما يسمح به القانون من الفوائد الاتفاقية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المدين العراقي</w:t>
      </w:r>
      <w:r>
        <w:rPr>
          <w:rFonts w:cs="Traditional Arabic" w:hint="cs"/>
          <w:color w:val="0000FF"/>
          <w:sz w:val="24"/>
          <w:szCs w:val="28"/>
          <w:rtl/>
        </w:rPr>
        <w:t xml:space="preserve"> : لا شي .</w:t>
      </w:r>
    </w:p>
    <w:p w:rsidR="00F72742" w:rsidRPr="00C35EBB" w:rsidRDefault="00F72742" w:rsidP="00F72742">
      <w:pPr>
        <w:pStyle w:val="aa"/>
        <w:widowControl w:val="0"/>
        <w:ind w:firstLine="567"/>
        <w:jc w:val="lowKashida"/>
        <w:rPr>
          <w:rFonts w:cs="Traditional Arabic" w:hint="cs"/>
          <w:color w:val="0000FF"/>
          <w:sz w:val="24"/>
          <w:szCs w:val="28"/>
          <w:rtl/>
        </w:rPr>
      </w:pPr>
      <w:r w:rsidRPr="00C35EBB">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5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219 </w:t>
      </w:r>
      <w:r>
        <w:rPr>
          <w:rFonts w:cs="Traditional Arabic"/>
          <w:color w:val="0000FF"/>
          <w:sz w:val="24"/>
          <w:szCs w:val="28"/>
          <w:rtl/>
        </w:rPr>
        <w:t>–</w:t>
      </w:r>
      <w:r>
        <w:rPr>
          <w:rFonts w:cs="Traditional Arabic" w:hint="cs"/>
          <w:color w:val="0000FF"/>
          <w:sz w:val="24"/>
          <w:szCs w:val="28"/>
          <w:rtl/>
        </w:rPr>
        <w:t xml:space="preserve"> ص 220 .</w:t>
      </w:r>
    </w:p>
  </w:footnote>
  <w:footnote w:id="159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1543 من المشروع التمهيدي . وأدخلت لجنة المراجعة تعديلات لفظية طفيفة فصار النص مطابقاً لما استقر عليه في التقنين المدني الجديد ، ووافقت اللجنة على النص تحت رقم 1210 في المشروع النهائي . وافق عليه مجلس النواب تحت رقم 1195 ، ثم مجلس الشيوخ تحت رق 1106 ( مجموعة الأعمال التحضيرية 7 ص 217 .</w:t>
      </w:r>
    </w:p>
    <w:p w:rsidR="00F72742" w:rsidRDefault="00F72742" w:rsidP="00F72742">
      <w:pPr>
        <w:pStyle w:val="aa"/>
        <w:widowControl w:val="0"/>
        <w:ind w:firstLine="567"/>
        <w:jc w:val="lowKashida"/>
        <w:rPr>
          <w:rFonts w:cs="Traditional Arabic" w:hint="cs"/>
          <w:color w:val="0000FF"/>
          <w:sz w:val="24"/>
          <w:szCs w:val="28"/>
          <w:rtl/>
        </w:rPr>
      </w:pPr>
      <w:r w:rsidRPr="000D5652">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w:t>
      </w:r>
    </w:p>
    <w:p w:rsidR="00F72742" w:rsidRPr="000D5652" w:rsidRDefault="00F72742" w:rsidP="00F72742">
      <w:pPr>
        <w:pStyle w:val="aa"/>
        <w:widowControl w:val="0"/>
        <w:ind w:firstLine="567"/>
        <w:jc w:val="lowKashida"/>
        <w:rPr>
          <w:rFonts w:cs="Traditional Arabic" w:hint="cs"/>
          <w:color w:val="0000FF"/>
          <w:sz w:val="24"/>
          <w:szCs w:val="28"/>
          <w:u w:val="single"/>
          <w:rtl/>
        </w:rPr>
      </w:pPr>
      <w:r w:rsidRPr="000D5652">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0D5652">
        <w:rPr>
          <w:rFonts w:cs="Traditional Arabic" w:hint="cs"/>
          <w:color w:val="0000FF"/>
          <w:sz w:val="24"/>
          <w:szCs w:val="28"/>
          <w:u w:val="single"/>
          <w:rtl/>
        </w:rPr>
        <w:t>التقنين المدني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0D5652">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1110 : 1- يتولى الدائن المرتهن إدارة الشيء المرهون ، وعليه أن يبذل في ذلك من العناية ما يبذله الرج العادي ، وليس له أن يغير م طريقة استغلال الشيء المرهون إلا برضاء الراهن ، ويجب عليه أن يبادر بإخطار الراهن عن كل أمر يقتضي تدخله . 2- فإذا أساء الدائن استعمال لهذا الحق أو أدار الشيء  إدارة سيئة أو ارتكب في ذلك إهمالا جسيما ، كان للراهن الحق في أن يطلب وضع الشيء تحت الحراسة ا أن يسترده مقابل دفع ما عليه . وفي الحالة الأخيرة إذا كان المبلغ المضمون بالرهن لا تسري عليه فائدة ولم يكن قد حل أجدله ، فلا يكون للدائن إلا ما يبقى من هذا المبلغ بعد خصم قيمة الفائدة منه بسعرها القانون عن المدة ما بين يوم الوفاء ويوم حلول الدين .</w:t>
      </w:r>
    </w:p>
    <w:p w:rsidR="00F72742" w:rsidRDefault="00F72742" w:rsidP="00F72742">
      <w:pPr>
        <w:pStyle w:val="aa"/>
        <w:widowControl w:val="0"/>
        <w:ind w:firstLine="567"/>
        <w:jc w:val="lowKashida"/>
        <w:rPr>
          <w:rFonts w:cs="Traditional Arabic" w:hint="cs"/>
          <w:color w:val="0000FF"/>
          <w:sz w:val="24"/>
          <w:szCs w:val="28"/>
          <w:rtl/>
        </w:rPr>
      </w:pPr>
      <w:r w:rsidRPr="00B3173A">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1339 : 1- يتولى المرتهن إدارة المرهون رهناً حيازياً ، وليس له أن يتصرف فيه ببيع أو برهن ، وعليه أن يبذل في إدارته من العناية ما يبذله الرجل المعتاد ، وليس له ا يغير من طريقة استغلاله إلا برضاء الراهن . 2- فإذا أدار المرهون إدارة سيئة أو ارتكب في ذلك إهمالا جسيما ، كان للراهن أن يطلب وضعه في يد عدل أو أن يسترده مقابل دف ما عليه . وفي الحالة الأخيرة إذا كان الدين الموثوق بالرهن لست له فوائد منفصلة عنه ، ولم يكن قد حل أجله ، فلا يكون للمرتهن إلا ما يبقى من الدين بعد خصم قيمة الفائدة منه بسعرها القانوني عن المدة ما بين يوم الوفاء ويوم حلول الدين .</w:t>
      </w:r>
    </w:p>
    <w:p w:rsidR="00F72742" w:rsidRPr="006B6159" w:rsidRDefault="00F72742" w:rsidP="00F72742">
      <w:pPr>
        <w:pStyle w:val="aa"/>
        <w:widowControl w:val="0"/>
        <w:ind w:firstLine="567"/>
        <w:jc w:val="lowKashida"/>
        <w:rPr>
          <w:rFonts w:cs="Traditional Arabic" w:hint="cs"/>
          <w:color w:val="0000FF"/>
          <w:sz w:val="24"/>
          <w:szCs w:val="28"/>
          <w:rtl/>
        </w:rPr>
      </w:pPr>
      <w:r w:rsidRPr="00B3173A">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5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ديرانتون 18 فقرة 542 .</w:t>
      </w:r>
    </w:p>
  </w:footnote>
  <w:footnote w:id="159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160 </w:t>
      </w:r>
      <w:r>
        <w:rPr>
          <w:rFonts w:cs="Traditional Arabic"/>
          <w:color w:val="0000FF"/>
          <w:sz w:val="24"/>
          <w:szCs w:val="28"/>
          <w:rtl/>
        </w:rPr>
        <w:t>–</w:t>
      </w:r>
      <w:r>
        <w:rPr>
          <w:rFonts w:cs="Traditional Arabic" w:hint="cs"/>
          <w:color w:val="0000FF"/>
          <w:sz w:val="24"/>
          <w:szCs w:val="28"/>
          <w:rtl/>
        </w:rPr>
        <w:t xml:space="preserve"> بودري ودي لوان فقرة 143 وفقرة 215 </w:t>
      </w:r>
      <w:r>
        <w:rPr>
          <w:rFonts w:cs="Traditional Arabic"/>
          <w:color w:val="0000FF"/>
          <w:sz w:val="24"/>
          <w:szCs w:val="28"/>
          <w:rtl/>
        </w:rPr>
        <w:t>–</w:t>
      </w:r>
      <w:r>
        <w:rPr>
          <w:rFonts w:cs="Traditional Arabic" w:hint="cs"/>
          <w:color w:val="0000FF"/>
          <w:sz w:val="24"/>
          <w:szCs w:val="28"/>
          <w:rtl/>
        </w:rPr>
        <w:t xml:space="preserve"> أوبري ورو 3 فقرة 434 هامش 14 وفقرة 348 </w:t>
      </w:r>
      <w:r>
        <w:rPr>
          <w:rFonts w:cs="Traditional Arabic"/>
          <w:color w:val="0000FF"/>
          <w:sz w:val="24"/>
          <w:szCs w:val="28"/>
          <w:rtl/>
        </w:rPr>
        <w:t>–</w:t>
      </w:r>
      <w:r>
        <w:rPr>
          <w:rFonts w:cs="Traditional Arabic" w:hint="cs"/>
          <w:color w:val="0000FF"/>
          <w:sz w:val="24"/>
          <w:szCs w:val="28"/>
          <w:rtl/>
        </w:rPr>
        <w:t xml:space="preserve"> استئناف مصر 24 نوفمبر سنة 1931 المجموعة الرسمية 33 رقم 70 ص 126 .</w:t>
      </w:r>
    </w:p>
  </w:footnote>
  <w:footnote w:id="159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145 .</w:t>
      </w:r>
    </w:p>
  </w:footnote>
  <w:footnote w:id="159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143 .</w:t>
      </w:r>
    </w:p>
  </w:footnote>
  <w:footnote w:id="15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312 ص 419 .</w:t>
      </w:r>
    </w:p>
  </w:footnote>
  <w:footnote w:id="159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162 </w:t>
      </w:r>
      <w:r>
        <w:rPr>
          <w:rFonts w:cs="Traditional Arabic"/>
          <w:color w:val="0000FF"/>
          <w:sz w:val="24"/>
          <w:szCs w:val="28"/>
          <w:rtl/>
        </w:rPr>
        <w:t>–</w:t>
      </w:r>
      <w:r>
        <w:rPr>
          <w:rFonts w:cs="Traditional Arabic" w:hint="cs"/>
          <w:color w:val="0000FF"/>
          <w:sz w:val="24"/>
          <w:szCs w:val="28"/>
          <w:rtl/>
        </w:rPr>
        <w:t xml:space="preserve"> بودري ودي لوان فقرة 144 </w:t>
      </w:r>
      <w:r>
        <w:rPr>
          <w:rFonts w:cs="Traditional Arabic"/>
          <w:color w:val="0000FF"/>
          <w:sz w:val="24"/>
          <w:szCs w:val="28"/>
          <w:rtl/>
        </w:rPr>
        <w:t>–</w:t>
      </w:r>
      <w:r>
        <w:rPr>
          <w:rFonts w:cs="Traditional Arabic" w:hint="cs"/>
          <w:color w:val="0000FF"/>
          <w:sz w:val="24"/>
          <w:szCs w:val="28"/>
          <w:rtl/>
        </w:rPr>
        <w:t xml:space="preserve"> بلانيول وريبير وبيكيه 13 فقرة 108 </w:t>
      </w:r>
      <w:r>
        <w:rPr>
          <w:rFonts w:cs="Traditional Arabic"/>
          <w:color w:val="0000FF"/>
          <w:sz w:val="24"/>
          <w:szCs w:val="28"/>
          <w:rtl/>
        </w:rPr>
        <w:t>–</w:t>
      </w:r>
      <w:r>
        <w:rPr>
          <w:rFonts w:cs="Traditional Arabic" w:hint="cs"/>
          <w:color w:val="0000FF"/>
          <w:sz w:val="24"/>
          <w:szCs w:val="28"/>
          <w:rtl/>
        </w:rPr>
        <w:t xml:space="preserve"> جوسارن 2 فقرة1531 .</w:t>
      </w:r>
    </w:p>
  </w:footnote>
  <w:footnote w:id="159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570 .</w:t>
      </w:r>
    </w:p>
  </w:footnote>
  <w:footnote w:id="159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1544 من المشروع التمهيدي على الوجه الآتي : "1- يرد الدائن الشيء المرهون بعد أن يستوفي كامل حقه وما يتصل بالحق من ملحقات ومصروفات وتعويضات ، إلا في الحالات التي يقضي فيها القانون بغير ذلك . 2- غير أنه إذا وقع الرهن على عدة أشياء منفصلة بعضها عن البعض الآخر ، وكان كل منها ضامنا لجزء من الدين ، جاز للرهن إذا وفى جزءاً أن يسترد ما يقابله من الأشياء المرهونة . 3- وعلى الراهن نفقات الشيء المرهون ، ما لم يقض الاتفاق بغير ذلك" . وفي لجنة المراجعة حذفت الفقرتان الثانية والثالثة اكتفاء بالقواعد العامة ، ووافقت اللجنة على الفقرة الأولى تحت رقم 1196 في المشروع النهائي . وواف مجلس النواب على النص ، تحت رقم 1196 . وفي لجنة مجلس الشيوخ حذفت اللجنة عبارة "إلا في الحالات التي يقضي فيها القانون بغير ذلك" الواردة في آخر المادة لأنه ليست هناك حالات واضحة تقتضي النص عليها صراحة وإذا كانت هناك أحكام القانون فإنها تيسري دون حاجة لهذه الإشارة ، ووافقت اللجنة بهذا التعديل على النص تحت رقم 1107 . ووفاق مجلس اشيوخ على النص كما عدلته لجنته ( مجموعة الأعمال التحضيرية 7 ص 221 </w:t>
      </w:r>
      <w:r>
        <w:rPr>
          <w:rFonts w:cs="Traditional Arabic"/>
          <w:color w:val="0000FF"/>
          <w:sz w:val="24"/>
          <w:szCs w:val="28"/>
          <w:rtl/>
        </w:rPr>
        <w:t>–</w:t>
      </w:r>
      <w:r>
        <w:rPr>
          <w:rFonts w:cs="Traditional Arabic" w:hint="cs"/>
          <w:color w:val="0000FF"/>
          <w:sz w:val="24"/>
          <w:szCs w:val="28"/>
          <w:rtl/>
        </w:rPr>
        <w:t xml:space="preserve"> ص 224 )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3B518E">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3B518E">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1042/1 لا يحق للراهن ، فيما خلا الأحوال المنصوص عليها في المواد السابقة ، أن يطالب برد الشيء إلا بعد إيفاء الدين كله أصلا وفائدة وبعد دفع النفقات المختصة بالدين وبالرهن عند الاقتضاء .</w:t>
      </w:r>
    </w:p>
    <w:p w:rsidR="00F72742" w:rsidRDefault="00F72742" w:rsidP="00F72742">
      <w:pPr>
        <w:pStyle w:val="aa"/>
        <w:widowControl w:val="0"/>
        <w:ind w:firstLine="567"/>
        <w:jc w:val="lowKashida"/>
        <w:rPr>
          <w:rFonts w:cs="Traditional Arabic" w:hint="cs"/>
          <w:color w:val="0000FF"/>
          <w:sz w:val="24"/>
          <w:szCs w:val="28"/>
          <w:rtl/>
        </w:rPr>
      </w:pPr>
      <w:r w:rsidRPr="003B518E">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1191 : يرد الدائن الشيء المرهون إلى الراهن بعد أن يستوفي كامل حقه ، وما يتصل بالحق من ملحقات ومصروفات وتعويضات .</w:t>
      </w:r>
    </w:p>
    <w:p w:rsidR="00F72742" w:rsidRDefault="00F72742" w:rsidP="00F72742">
      <w:pPr>
        <w:pStyle w:val="aa"/>
        <w:widowControl w:val="0"/>
        <w:ind w:firstLine="567"/>
        <w:jc w:val="lowKashida"/>
        <w:rPr>
          <w:rFonts w:cs="Traditional Arabic" w:hint="cs"/>
          <w:color w:val="0000FF"/>
          <w:sz w:val="24"/>
          <w:szCs w:val="28"/>
          <w:rtl/>
        </w:rPr>
      </w:pPr>
      <w:r w:rsidRPr="003B518E">
        <w:rPr>
          <w:rFonts w:cs="Traditional Arabic" w:hint="cs"/>
          <w:color w:val="0000FF"/>
          <w:sz w:val="24"/>
          <w:szCs w:val="28"/>
          <w:u w:val="single"/>
          <w:rtl/>
        </w:rPr>
        <w:t>التقنين المدني العراقي</w:t>
      </w:r>
      <w:r>
        <w:rPr>
          <w:rFonts w:cs="Traditional Arabic" w:hint="cs"/>
          <w:color w:val="0000FF"/>
          <w:sz w:val="24"/>
          <w:szCs w:val="28"/>
          <w:rtl/>
        </w:rPr>
        <w:t xml:space="preserve"> : لا شيء  .</w:t>
      </w:r>
    </w:p>
    <w:p w:rsidR="00F72742" w:rsidRPr="007476F3" w:rsidRDefault="00F72742" w:rsidP="00F72742">
      <w:pPr>
        <w:pStyle w:val="aa"/>
        <w:widowControl w:val="0"/>
        <w:ind w:firstLine="567"/>
        <w:jc w:val="lowKashida"/>
        <w:rPr>
          <w:rFonts w:cs="Traditional Arabic" w:hint="cs"/>
          <w:color w:val="0000FF"/>
          <w:sz w:val="24"/>
          <w:szCs w:val="28"/>
          <w:rtl/>
        </w:rPr>
      </w:pPr>
      <w:r w:rsidRPr="003B518E">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0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223 .</w:t>
      </w:r>
    </w:p>
  </w:footnote>
  <w:footnote w:id="160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29 مايو سنة </w:t>
      </w:r>
      <w:smartTag w:uri="urn:schemas-microsoft-com:office:smarttags" w:element="metricconverter">
        <w:smartTagPr>
          <w:attr w:name="ProductID" w:val="1890 م"/>
        </w:smartTagPr>
        <w:r>
          <w:rPr>
            <w:rFonts w:cs="Traditional Arabic" w:hint="cs"/>
            <w:color w:val="0000FF"/>
            <w:sz w:val="24"/>
            <w:szCs w:val="28"/>
            <w:rtl/>
          </w:rPr>
          <w:t>1890 م</w:t>
        </w:r>
      </w:smartTag>
      <w:r>
        <w:rPr>
          <w:rFonts w:cs="Traditional Arabic" w:hint="cs"/>
          <w:color w:val="0000FF"/>
          <w:sz w:val="24"/>
          <w:szCs w:val="28"/>
          <w:rtl/>
        </w:rPr>
        <w:t xml:space="preserve"> 2 ص 237 </w:t>
      </w:r>
      <w:r>
        <w:rPr>
          <w:rFonts w:cs="Traditional Arabic"/>
          <w:color w:val="0000FF"/>
          <w:sz w:val="24"/>
          <w:szCs w:val="28"/>
          <w:rtl/>
        </w:rPr>
        <w:t>–</w:t>
      </w:r>
      <w:r>
        <w:rPr>
          <w:rFonts w:cs="Traditional Arabic" w:hint="cs"/>
          <w:color w:val="0000FF"/>
          <w:sz w:val="24"/>
          <w:szCs w:val="28"/>
          <w:rtl/>
        </w:rPr>
        <w:t xml:space="preserve"> 30 نوفمبر سنة </w:t>
      </w:r>
      <w:smartTag w:uri="urn:schemas-microsoft-com:office:smarttags" w:element="metricconverter">
        <w:smartTagPr>
          <w:attr w:name="ProductID" w:val="1899 م"/>
        </w:smartTagPr>
        <w:r>
          <w:rPr>
            <w:rFonts w:cs="Traditional Arabic" w:hint="cs"/>
            <w:color w:val="0000FF"/>
            <w:sz w:val="24"/>
            <w:szCs w:val="28"/>
            <w:rtl/>
          </w:rPr>
          <w:t>1899 م</w:t>
        </w:r>
      </w:smartTag>
      <w:r>
        <w:rPr>
          <w:rFonts w:cs="Traditional Arabic" w:hint="cs"/>
          <w:color w:val="0000FF"/>
          <w:sz w:val="24"/>
          <w:szCs w:val="28"/>
          <w:rtl/>
        </w:rPr>
        <w:t xml:space="preserve"> 12 ص 31 </w:t>
      </w:r>
      <w:r>
        <w:rPr>
          <w:rFonts w:cs="Traditional Arabic"/>
          <w:color w:val="0000FF"/>
          <w:sz w:val="24"/>
          <w:szCs w:val="28"/>
          <w:rtl/>
        </w:rPr>
        <w:t>–</w:t>
      </w:r>
      <w:r>
        <w:rPr>
          <w:rFonts w:cs="Traditional Arabic" w:hint="cs"/>
          <w:color w:val="0000FF"/>
          <w:sz w:val="24"/>
          <w:szCs w:val="28"/>
          <w:rtl/>
        </w:rPr>
        <w:t xml:space="preserve"> هالتون ص 264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وعلى "العدل" كذلك ، إذا كان هو الذي تسلم الشيء المرهون ، أن يرده إلى الراهن .</w:t>
      </w:r>
    </w:p>
  </w:footnote>
  <w:footnote w:id="160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575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وللراهن ، في استرداد الشيء المرخون ، دعويان : ( أ ) دعوى شخصية يرفعها على الدائن المرتهن . ( ب ) ودعوى عينية هي دعوى الاستحقاق لأنه مالك ( ديرانتون 128 فقرة 551 </w:t>
      </w:r>
      <w:r>
        <w:rPr>
          <w:rFonts w:cs="Traditional Arabic"/>
          <w:color w:val="0000FF"/>
          <w:sz w:val="24"/>
          <w:szCs w:val="28"/>
          <w:rtl/>
        </w:rPr>
        <w:t>–</w:t>
      </w:r>
      <w:r>
        <w:rPr>
          <w:rFonts w:cs="Traditional Arabic" w:hint="cs"/>
          <w:color w:val="0000FF"/>
          <w:sz w:val="24"/>
          <w:szCs w:val="28"/>
          <w:rtl/>
        </w:rPr>
        <w:t xml:space="preserve"> بون 2 فقرة 1166 </w:t>
      </w:r>
      <w:r>
        <w:rPr>
          <w:rFonts w:cs="Traditional Arabic"/>
          <w:color w:val="0000FF"/>
          <w:sz w:val="24"/>
          <w:szCs w:val="28"/>
          <w:rtl/>
        </w:rPr>
        <w:t>–</w:t>
      </w:r>
      <w:r>
        <w:rPr>
          <w:rFonts w:cs="Traditional Arabic" w:hint="cs"/>
          <w:color w:val="0000FF"/>
          <w:sz w:val="24"/>
          <w:szCs w:val="28"/>
          <w:rtl/>
        </w:rPr>
        <w:t xml:space="preserve"> بودري وتسييه في التقادم فقرة 315 ) . والفرق بين الدعويين أن الدائن المرتهن لا يقيم الدليل في الدعوى الشخصية على ملكيته ، ويقيمه في الدعوى العينية ( بودري ودي لوان فقرة 136 ) </w:t>
      </w:r>
      <w:r>
        <w:rPr>
          <w:rFonts w:cs="Traditional Arabic"/>
          <w:color w:val="0000FF"/>
          <w:sz w:val="24"/>
          <w:szCs w:val="28"/>
          <w:rtl/>
        </w:rPr>
        <w:t>–</w:t>
      </w:r>
      <w:r>
        <w:rPr>
          <w:rFonts w:cs="Traditional Arabic" w:hint="cs"/>
          <w:color w:val="0000FF"/>
          <w:sz w:val="24"/>
          <w:szCs w:val="28"/>
          <w:rtl/>
        </w:rPr>
        <w:t xml:space="preserve"> وللمدين الحق في رفع الدعوى الشخصية ، ولو كان الشيء الذي رهنه مملوكا للغير .</w:t>
      </w:r>
      <w:r w:rsidRPr="00B17C76">
        <w:rPr>
          <w:rFonts w:cs="Traditional Arabic" w:hint="cs"/>
          <w:color w:val="0000FF"/>
          <w:sz w:val="24"/>
          <w:szCs w:val="28"/>
          <w:rtl/>
        </w:rPr>
        <w:t xml:space="preserve">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ويجب على الدائنان يرد مع الشيء المرهون ما زاد فيه زيادة طبيعية ( بودري ودي لوان فقرة 140 ) . وليس للدائن الحق في حبس الشيء المرهون ضمانا لدين آخر عقده المدين بعد عقد الرهن ؛ وإذا هلك الشيء المرهون أو ضاع بتقصير الدائن وجب عليه أن يرد قيمته ( محمد كامل مرسي فقرة 313 ص 421 ) .</w:t>
      </w:r>
    </w:p>
  </w:footnote>
  <w:footnote w:id="160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575 .</w:t>
      </w:r>
    </w:p>
    <w:p w:rsidR="00F72742" w:rsidRPr="00C43A57" w:rsidRDefault="00F72742" w:rsidP="00F72742">
      <w:pPr>
        <w:pStyle w:val="aa"/>
        <w:widowControl w:val="0"/>
        <w:ind w:firstLine="567"/>
        <w:jc w:val="lowKashida"/>
        <w:rPr>
          <w:rFonts w:cs="Traditional Arabic" w:hint="cs"/>
          <w:color w:val="0000FF"/>
          <w:sz w:val="24"/>
          <w:szCs w:val="28"/>
          <w:rtl/>
        </w:rPr>
      </w:pPr>
    </w:p>
  </w:footnote>
  <w:footnote w:id="16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وتقول مذكرة المشروع التمهيدي في هذا الصدد : "ويلتزم الدائن المرتهن في حالات خاصة برد الشيء المرهون قبل وفاء الدين ، كما إذا وجد خطر يهدد الشيء فللراهن أن يسترده إذا قدم تأميناً آخر ، وكما إذا أساء الدائن المرتهن استعمال الشيء المرهون فللراهن أن يطلب وضعه تحت الحراسة  . . ." ( آنفا فقرة 575 ) .</w:t>
      </w:r>
    </w:p>
  </w:footnote>
  <w:footnote w:id="160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575 في الهامش .</w:t>
      </w:r>
    </w:p>
  </w:footnote>
  <w:footnote w:id="160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575 .</w:t>
      </w:r>
    </w:p>
  </w:footnote>
  <w:footnote w:id="160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755 .</w:t>
      </w:r>
    </w:p>
  </w:footnote>
  <w:footnote w:id="160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221 </w:t>
      </w:r>
      <w:r>
        <w:rPr>
          <w:rFonts w:cs="Traditional Arabic"/>
          <w:color w:val="0000FF"/>
          <w:sz w:val="24"/>
          <w:szCs w:val="28"/>
          <w:rtl/>
        </w:rPr>
        <w:t>–</w:t>
      </w:r>
      <w:r>
        <w:rPr>
          <w:rFonts w:cs="Traditional Arabic" w:hint="cs"/>
          <w:color w:val="0000FF"/>
          <w:sz w:val="24"/>
          <w:szCs w:val="28"/>
          <w:rtl/>
        </w:rPr>
        <w:t xml:space="preserve"> ص 222 في الهامش .</w:t>
      </w:r>
    </w:p>
  </w:footnote>
  <w:footnote w:id="16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575 .</w:t>
      </w:r>
    </w:p>
  </w:footnote>
  <w:footnote w:id="161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222 في الهامش .</w:t>
      </w:r>
    </w:p>
  </w:footnote>
  <w:footnote w:id="161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1547 من المشروع التمهيدي على الوجه الآتي : "يسري على رهن الحيازة أحكام المادة 1461 المتعلقة بشرط التملك عند عدم الوفاء وشرط البيع دون إجراءات في حالة الرهن الرسمي" . وأضافت لجنة المراجعة نصاً يحيل إلى المادة  . . . المتعلقة بمسئولية الراهن غير المدين ، ووافقت على النص بعد هذا التعديل تحت رقم 1212 في المشروع النهائي . ووافق مجلس النواب على النص تحت رقم 1197 ، ثم مجلس الشيوخ تحت رقم 1108( مجموعة الأعمال التحضيرية 7 ص 225 </w:t>
      </w:r>
      <w:r>
        <w:rPr>
          <w:rFonts w:cs="Traditional Arabic"/>
          <w:color w:val="0000FF"/>
          <w:sz w:val="24"/>
          <w:szCs w:val="28"/>
          <w:rtl/>
        </w:rPr>
        <w:t>–</w:t>
      </w:r>
      <w:r>
        <w:rPr>
          <w:rFonts w:cs="Traditional Arabic" w:hint="cs"/>
          <w:color w:val="0000FF"/>
          <w:sz w:val="24"/>
          <w:szCs w:val="28"/>
          <w:rtl/>
        </w:rPr>
        <w:t xml:space="preserve"> ص 226 )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م 543 / 665 : ولا يجوز اشتراط كون الشيء المرهون يصير مملوكا للدائن عند عدم الوفاء له ، غنما الدائن فقط الحق في طلب بيع المرهون بالكيفية لسائر الدائنين .</w:t>
      </w:r>
    </w:p>
    <w:p w:rsidR="00F72742" w:rsidRPr="00335907" w:rsidRDefault="00F72742" w:rsidP="00F72742">
      <w:pPr>
        <w:pStyle w:val="aa"/>
        <w:widowControl w:val="0"/>
        <w:ind w:firstLine="567"/>
        <w:jc w:val="lowKashida"/>
        <w:rPr>
          <w:rFonts w:cs="Traditional Arabic" w:hint="cs"/>
          <w:color w:val="0000FF"/>
          <w:sz w:val="24"/>
          <w:szCs w:val="28"/>
          <w:u w:val="single"/>
          <w:rtl/>
        </w:rPr>
      </w:pPr>
      <w:r w:rsidRPr="00335907">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335907">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1061 : لا يجوز الاتفاق على أن يبقى العقار المرهون ، في حالة عدم وفاء الدين ، ملكا للدائن .</w:t>
      </w:r>
    </w:p>
    <w:p w:rsidR="00F72742" w:rsidRDefault="00F72742" w:rsidP="00F72742">
      <w:pPr>
        <w:pStyle w:val="aa"/>
        <w:widowControl w:val="0"/>
        <w:ind w:firstLine="567"/>
        <w:jc w:val="lowKashida"/>
        <w:rPr>
          <w:rFonts w:cs="Traditional Arabic" w:hint="cs"/>
          <w:color w:val="0000FF"/>
          <w:sz w:val="24"/>
          <w:szCs w:val="28"/>
          <w:rtl/>
        </w:rPr>
      </w:pPr>
      <w:r w:rsidRPr="00335907">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112  ، يسري على رهن الحيازة أحكام المادة 1054 المتعلقة بمسئولية الراهن غير المدين ، وأحكام المادة المتعلقة بشرط التملك عند عدم الوفاء وشرط البيع دون إجراءات .</w:t>
      </w:r>
    </w:p>
    <w:p w:rsidR="00F72742" w:rsidRDefault="00F72742" w:rsidP="00F72742">
      <w:pPr>
        <w:pStyle w:val="aa"/>
        <w:widowControl w:val="0"/>
        <w:ind w:firstLine="567"/>
        <w:jc w:val="lowKashida"/>
        <w:rPr>
          <w:rFonts w:cs="Traditional Arabic" w:hint="cs"/>
          <w:color w:val="0000FF"/>
          <w:sz w:val="24"/>
          <w:szCs w:val="28"/>
          <w:rtl/>
        </w:rPr>
      </w:pPr>
      <w:r w:rsidRPr="00335907">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1341 : 1- للمرتهن حيازة ما للمرتهن تأمينا من حق في التنفيذ على المرهون ثم على سائر أموال المدين ، وتتبع ذلك أحكام المادة 1299 . 2- والرهن الحيازي كالرهن التأميني في اقتصار التنفيذ على المرهون إذا كان الراهن غير المدين ، وفي بطلان كل اتفاق يملك المرتهن المرهون عند عدم استيفائه للدين ، وفي جواز نزول المرتهن للغير عن الدين الذي له مع الرهن الذي يوثق هذا الدين ، وتتبع كل ذلك أحكام المواد 1300 و 1301 و 1302 .</w:t>
      </w:r>
    </w:p>
    <w:p w:rsidR="00F72742" w:rsidRPr="00470779" w:rsidRDefault="00F72742" w:rsidP="00F72742">
      <w:pPr>
        <w:pStyle w:val="aa"/>
        <w:widowControl w:val="0"/>
        <w:ind w:firstLine="567"/>
        <w:jc w:val="lowKashida"/>
        <w:rPr>
          <w:rFonts w:cs="Traditional Arabic" w:hint="cs"/>
          <w:color w:val="0000FF"/>
          <w:sz w:val="24"/>
          <w:szCs w:val="28"/>
          <w:rtl/>
        </w:rPr>
      </w:pPr>
      <w:r w:rsidRPr="00335907">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107 : لا يجوز الاتفاق على أن يبقى العقار المرهون ، في حالة عدم وفاء الدين ، ملكا للدائن .</w:t>
      </w:r>
    </w:p>
  </w:footnote>
  <w:footnote w:id="161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226 .</w:t>
      </w:r>
    </w:p>
  </w:footnote>
  <w:footnote w:id="16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580 .</w:t>
      </w:r>
    </w:p>
  </w:footnote>
  <w:footnote w:id="161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نفس الفقرة في الهامش في تاريخ النص .</w:t>
      </w:r>
    </w:p>
  </w:footnote>
  <w:footnote w:id="161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وإذا وقع على منقول ، فقد نصت المادة 1117 مدني على أنه "يشترط لنفاذ رهن المنقول في حق الغير ، إلى جانب انتقال الحيازة ، أن يدون العقد في ورقة ثابتة التاريخ يبين فيها المبلغ المضمون بالرهن والعين المرهونة بياناً كافيا . وهذا التاريخ الثابت يحدد مرتبة الدائن المرتهن" . وتشترط الكتابة ، ولو كانت قيمة الدين المضمون لا تجاوز القيمة التي يجوز إثباتها بالبينة والقرائن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وإذا وقع الرهن على دين ، فقد نصت المادة 1123 مدني على أنه " لا يكون رهن الدين نافذا في حق المدين إلا بإعلان هذا الرهن إليه بقبوله له وفقاً للمادة 305 ( أي ورقة ثابتة التاريخ ) ، ولا يكون نافذا في حق الغير إلا بحيازة لسند الدين المرهون ، وتحسب للرهن مرتبته من التاريخ الثابت للإعلان أو القبول" .</w:t>
      </w:r>
    </w:p>
  </w:footnote>
  <w:footnote w:id="161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189 </w:t>
      </w:r>
      <w:r>
        <w:rPr>
          <w:rFonts w:cs="Traditional Arabic"/>
          <w:color w:val="0000FF"/>
          <w:sz w:val="24"/>
          <w:szCs w:val="28"/>
          <w:rtl/>
        </w:rPr>
        <w:t>–</w:t>
      </w:r>
      <w:r>
        <w:rPr>
          <w:rFonts w:cs="Traditional Arabic" w:hint="cs"/>
          <w:color w:val="0000FF"/>
          <w:sz w:val="24"/>
          <w:szCs w:val="28"/>
          <w:rtl/>
        </w:rPr>
        <w:t xml:space="preserve"> فقرة 235 .</w:t>
      </w:r>
    </w:p>
  </w:footnote>
  <w:footnote w:id="16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196 .</w:t>
      </w:r>
    </w:p>
  </w:footnote>
  <w:footnote w:id="161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1551 من المشروع التمهيدي . وعدلته لجنة المراجعة تعديلا لفظياً طفيفاً فصار مطابقاً لما استقر عليه في التقنين المدنين الجديد ، ووافقت اللجنة عليه بعد هذا التعديل تحت رقم 1215 في المشروع النهئاي . ووافق عليه مجلس النواب تحت رقم 1200 ، ثم مجلس الشيوخ تحت رقم 1111 ( مجموعة الأعمال التحضيرية 7 ص 233 </w:t>
      </w:r>
      <w:r>
        <w:rPr>
          <w:rFonts w:cs="Traditional Arabic"/>
          <w:color w:val="0000FF"/>
          <w:sz w:val="24"/>
          <w:szCs w:val="28"/>
          <w:rtl/>
        </w:rPr>
        <w:t>–</w:t>
      </w:r>
      <w:r>
        <w:rPr>
          <w:rFonts w:cs="Traditional Arabic" w:hint="cs"/>
          <w:color w:val="0000FF"/>
          <w:sz w:val="24"/>
          <w:szCs w:val="28"/>
          <w:rtl/>
        </w:rPr>
        <w:t xml:space="preserve"> ص 237 )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b/>
          <w:bCs/>
          <w:color w:val="0000FF"/>
          <w:sz w:val="24"/>
          <w:szCs w:val="28"/>
          <w:rtl/>
        </w:rPr>
        <w:t xml:space="preserve"> :</w:t>
      </w:r>
      <w:r>
        <w:rPr>
          <w:rFonts w:cs="Traditional Arabic" w:hint="cs"/>
          <w:color w:val="0000FF"/>
          <w:sz w:val="24"/>
          <w:szCs w:val="28"/>
          <w:rtl/>
        </w:rPr>
        <w:t xml:space="preserve"> لا مقابل .</w:t>
      </w:r>
    </w:p>
    <w:p w:rsidR="00F72742" w:rsidRDefault="00F72742" w:rsidP="00F72742">
      <w:pPr>
        <w:pStyle w:val="aa"/>
        <w:widowControl w:val="0"/>
        <w:ind w:firstLine="567"/>
        <w:jc w:val="lowKashida"/>
        <w:rPr>
          <w:rFonts w:cs="Traditional Arabic" w:hint="cs"/>
          <w:color w:val="0000FF"/>
          <w:sz w:val="24"/>
          <w:szCs w:val="28"/>
          <w:rtl/>
        </w:rPr>
      </w:pPr>
      <w:r w:rsidRPr="006C35F2">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Pr="006C35F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6C35F2">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1115 : لا يقتصر الرهن الحيازي على ضمان أصل الحق ، وإنما يضمن أيضاً وفي نفس المرتبة ما يأتي : ( أ ) المصروفات الضرورية التي أنفقت للمحافظة على الشيء . ( ب ) التعويضات عن الأضرار الناشئة عن عيوب الشيء ( جـ ) مصروفات التعقد الذي أنشأ الدين ومصروفات عقد الرهن الحيازي وقيده عند الاقتضاء . ( د ) المصروفات التي اقتضاها تنفيذ الرهن الحيازي . ( هـ ) جميع الفوائد المستحقة مع مراعاة ما جاء في المادة 233 .</w:t>
      </w:r>
    </w:p>
    <w:p w:rsidR="00F72742" w:rsidRDefault="00F72742" w:rsidP="00F72742">
      <w:pPr>
        <w:pStyle w:val="aa"/>
        <w:widowControl w:val="0"/>
        <w:ind w:firstLine="567"/>
        <w:jc w:val="lowKashida"/>
        <w:rPr>
          <w:rFonts w:cs="Traditional Arabic" w:hint="cs"/>
          <w:color w:val="0000FF"/>
          <w:sz w:val="24"/>
          <w:szCs w:val="28"/>
          <w:rtl/>
        </w:rPr>
      </w:pPr>
      <w:r w:rsidRPr="005F1D75">
        <w:rPr>
          <w:rFonts w:cs="Traditional Arabic" w:hint="cs"/>
          <w:color w:val="0000FF"/>
          <w:sz w:val="24"/>
          <w:szCs w:val="28"/>
          <w:u w:val="single"/>
          <w:rtl/>
        </w:rPr>
        <w:t>التقنين المدني العراقي</w:t>
      </w:r>
      <w:r>
        <w:rPr>
          <w:rFonts w:cs="Traditional Arabic" w:hint="cs"/>
          <w:color w:val="0000FF"/>
          <w:sz w:val="24"/>
          <w:szCs w:val="28"/>
          <w:rtl/>
        </w:rPr>
        <w:t xml:space="preserve"> : لا شيء .</w:t>
      </w:r>
    </w:p>
    <w:p w:rsidR="00F72742" w:rsidRPr="004E4ECB" w:rsidRDefault="00F72742" w:rsidP="00F72742">
      <w:pPr>
        <w:pStyle w:val="aa"/>
        <w:widowControl w:val="0"/>
        <w:ind w:firstLine="567"/>
        <w:jc w:val="lowKashida"/>
        <w:rPr>
          <w:rFonts w:cs="Traditional Arabic" w:hint="cs"/>
          <w:color w:val="0000FF"/>
          <w:sz w:val="24"/>
          <w:szCs w:val="28"/>
          <w:rtl/>
        </w:rPr>
      </w:pPr>
      <w:r w:rsidRPr="005F1D75">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وجاء في مذكرة المشروع التمهيدي ما يأتي : "ويضمن الرهن في نفس المرتبة الدين الأصلي والنفقات الضرورية التي صرفها الدائن في المحافظة على الشيء ، وله حق الرجوع بها لا بناء على عقد الرهن بل بناء على الإثراء بلا سبب ولكنها مع ذلك تضمن بالرهن لعلاقتها الظاهرة به . ويضمن الرهن كذلك التعويض عن الإضرار الناشئة عن عيب في المرهون ، وهذه مصدرها العمل غير المشروع ولكنها تضمن بالرهن للعلاقة الظاهرة ، ومصروفات العقد الذي أنشأ الدين ، ومصروفات عقد الرهن وقيده ، والمصروفات التي اقتضاها تنفيذ الرهن الحيازي ، والفوائد . . . وذلك لأن المرتهن حيازة من حقه أن يستوفي الفوائد كلها من غلة العين وجميع فوائد التأخير إلى يوم رسو المزاد . أما بعد رسو المزاد ، فلا يستحق الدائن فوائد تأخير إلا إذا كان الراسي عليه المزاد ملزماً بدفع فوائد الثمن أو كانت خزينة المحكمة ملزمة بهذه الفوائد على النحو الذي جاء في المادة 308 من المشروع" . ( مجموعة الأعمال التحضيرية 7 ص 235 </w:t>
      </w:r>
      <w:r>
        <w:rPr>
          <w:rFonts w:cs="Traditional Arabic"/>
          <w:color w:val="0000FF"/>
          <w:sz w:val="24"/>
          <w:szCs w:val="28"/>
          <w:rtl/>
        </w:rPr>
        <w:t>–</w:t>
      </w:r>
      <w:r>
        <w:rPr>
          <w:rFonts w:cs="Traditional Arabic" w:hint="cs"/>
          <w:color w:val="0000FF"/>
          <w:sz w:val="24"/>
          <w:szCs w:val="28"/>
          <w:rtl/>
        </w:rPr>
        <w:t xml:space="preserve"> ص 236 ) .</w:t>
      </w:r>
    </w:p>
  </w:footnote>
  <w:footnote w:id="162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1458 من المشروع التمهيدي على الوجه الآتي : " 1- يجب لنفاذ الرهن في حق الغير أن يكون الدائن حائزاً للشيء المرهون ، على أنه يجوز تسليم الشيء لأجنبي يختاره المتعاقدان ، كما يجوز جعله في حيازتهما المشتركة . 2- ويجوز أن يكون الشيء المرهون ضامنا لعدة ديون ، إذا قبل من تسليم الشيء أن يضع يده عليه نائبا في ذلك عن الدائنين المرتهنين حتى لو كان واضع اليد هو أحد هؤلاء الدائنين" . وف لجنة المراجعة عدل النص تعديلا لفظيا فصار كما يأتي : "1- يجب لنفاذ الرهن في حق الغير أن يكون الشيء المرهون في يد الدائن أو العدل . 2- ويجوز أن يكون الشيء المرهون ضامنا لعدة ديون ، إذا قبل من تسلمه أن يكون وضع يده عليه لحساب أربابها ولو كان واضع اليد هو أحد هؤلاء" . ووافقت اللجنة على النص بعد التعديل ، تحت رقم 1213 في المشروع النهائي . ووافق عليه مجلس النواب تحت رقم 1198 . وفي لجنة مجلس الشيوخ ، رأت اللجنة استبدال عبارة "أو الأجنبي الذي ارتضاه المتعاقدان" بكلمة "العدل" الواردة في الفقرة الأولى ، وأن تحذف من الفقرة الثانية عبارة "إذا قبل من تسلمه أن يكون وضع يده عليه لحساب أربابها ولو كان وضاع اليد هو أحد هؤلاء" لأن هذه العبارة تتناول تفصيلات تغني القواعد العامة عن الخوض فيها ، ووافقت اللجنة على النص بعد هذا التعديل تحت رقم 1109 . ووافق مجلس الشيوخ على النص كما عدلته لجنته . ( مجموعة الأعمال التحضيرية 7 ص 227 </w:t>
      </w:r>
      <w:r>
        <w:rPr>
          <w:rFonts w:cs="Traditional Arabic"/>
          <w:color w:val="0000FF"/>
          <w:sz w:val="24"/>
          <w:szCs w:val="28"/>
          <w:rtl/>
        </w:rPr>
        <w:t>–</w:t>
      </w:r>
      <w:r>
        <w:rPr>
          <w:rFonts w:cs="Traditional Arabic" w:hint="cs"/>
          <w:color w:val="0000FF"/>
          <w:sz w:val="24"/>
          <w:szCs w:val="28"/>
          <w:rtl/>
        </w:rPr>
        <w:t xml:space="preserve"> ص 230 ) .</w:t>
      </w:r>
    </w:p>
    <w:p w:rsidR="00F72742" w:rsidRDefault="00F72742" w:rsidP="00F72742">
      <w:pPr>
        <w:pStyle w:val="aa"/>
        <w:widowControl w:val="0"/>
        <w:ind w:firstLine="567"/>
        <w:jc w:val="lowKashida"/>
        <w:rPr>
          <w:rFonts w:cs="Traditional Arabic" w:hint="cs"/>
          <w:color w:val="0000FF"/>
          <w:sz w:val="24"/>
          <w:szCs w:val="28"/>
          <w:rtl/>
        </w:rPr>
      </w:pPr>
      <w:r w:rsidRPr="00C1252E">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541 / 663 : يبطل الرهن إذا رجع المرهون إلى حايزة راهنه .</w:t>
      </w:r>
    </w:p>
    <w:p w:rsidR="00F72742" w:rsidRPr="00C1252E" w:rsidRDefault="00F72742" w:rsidP="00F72742">
      <w:pPr>
        <w:pStyle w:val="aa"/>
        <w:widowControl w:val="0"/>
        <w:ind w:firstLine="567"/>
        <w:jc w:val="lowKashida"/>
        <w:rPr>
          <w:rFonts w:cs="Traditional Arabic" w:hint="cs"/>
          <w:color w:val="0000FF"/>
          <w:sz w:val="24"/>
          <w:szCs w:val="28"/>
          <w:u w:val="single"/>
          <w:rtl/>
        </w:rPr>
      </w:pPr>
      <w:r w:rsidRPr="00C1252E">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C1252E">
        <w:rPr>
          <w:rFonts w:cs="Traditional Arabic" w:hint="cs"/>
          <w:color w:val="0000FF"/>
          <w:sz w:val="24"/>
          <w:szCs w:val="28"/>
          <w:u w:val="single"/>
          <w:rtl/>
        </w:rPr>
        <w:t>التقنين المدني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C1252E">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1113 : 1- لنفاذ الرهن في حق الغير أن يكون الشيء المرهون في يد الدائن أو الأجنب الذي ارتضاه المتعاقدان . 2- ويجوز أن يكون الشيء المرهون ضامنا لعدة ديون .</w:t>
      </w:r>
    </w:p>
    <w:p w:rsidR="00F72742" w:rsidRDefault="00F72742" w:rsidP="00F72742">
      <w:pPr>
        <w:pStyle w:val="aa"/>
        <w:widowControl w:val="0"/>
        <w:ind w:firstLine="567"/>
        <w:jc w:val="lowKashida"/>
        <w:rPr>
          <w:rFonts w:cs="Traditional Arabic" w:hint="cs"/>
          <w:color w:val="0000FF"/>
          <w:sz w:val="24"/>
          <w:szCs w:val="28"/>
          <w:rtl/>
        </w:rPr>
      </w:pPr>
      <w:r w:rsidRPr="00B63041">
        <w:rPr>
          <w:rFonts w:cs="Traditional Arabic" w:hint="cs"/>
          <w:color w:val="0000FF"/>
          <w:sz w:val="24"/>
          <w:szCs w:val="28"/>
          <w:u w:val="single"/>
          <w:rtl/>
        </w:rPr>
        <w:t>التقنين المدني العراقي</w:t>
      </w:r>
      <w:r>
        <w:rPr>
          <w:rFonts w:cs="Traditional Arabic" w:hint="cs"/>
          <w:color w:val="0000FF"/>
          <w:sz w:val="24"/>
          <w:szCs w:val="28"/>
          <w:rtl/>
        </w:rPr>
        <w:t xml:space="preserve"> : لا شيء .</w:t>
      </w:r>
    </w:p>
    <w:p w:rsidR="00F72742" w:rsidRPr="005E6498" w:rsidRDefault="00F72742" w:rsidP="00F72742">
      <w:pPr>
        <w:pStyle w:val="aa"/>
        <w:widowControl w:val="0"/>
        <w:ind w:firstLine="567"/>
        <w:jc w:val="lowKashida"/>
        <w:rPr>
          <w:rFonts w:cs="Traditional Arabic" w:hint="cs"/>
          <w:color w:val="0000FF"/>
          <w:sz w:val="24"/>
          <w:szCs w:val="28"/>
          <w:rtl/>
        </w:rPr>
      </w:pPr>
      <w:r w:rsidRPr="00B6304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2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p>
  </w:footnote>
  <w:footnote w:id="162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ويقابل هذا النص نص المادة 540 فقرة / 662 فقرة أولى من التقنين المدني السابق التي تنص على ما يأتي : "الرهن عقد به يضع المدين شيئا في حيازة دائنه أو في حيازة من اتفق عليه العاقدان تأميناً للدين ، وهذا العقد يعطي للدائن حق حبس الشيء المرهون لحين الوفاء بالتمام ، وحق استيفاء دينه من ثمن المرهون مقدما بالامتياز على من عداه .</w:t>
      </w:r>
    </w:p>
  </w:footnote>
  <w:footnote w:id="162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231 في الهامش .</w:t>
      </w:r>
    </w:p>
  </w:footnote>
  <w:footnote w:id="162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فلا يجوز للدائن المرتهن حيازة أن يحبس العقار ضد دائن مرتهن رسميا أو من يرسو عليه المزاد من ناحيته إذا كان الدائن المرتهن رسميا متقدما على الدائن المرتهن حيازة ( استئناف مختلط 19 نوفمبر سنة </w:t>
      </w:r>
      <w:smartTag w:uri="urn:schemas-microsoft-com:office:smarttags" w:element="metricconverter">
        <w:smartTagPr>
          <w:attr w:name="ProductID" w:val="1918 م"/>
        </w:smartTagPr>
        <w:r>
          <w:rPr>
            <w:rFonts w:cs="Traditional Arabic" w:hint="cs"/>
            <w:color w:val="0000FF"/>
            <w:sz w:val="24"/>
            <w:szCs w:val="28"/>
            <w:rtl/>
          </w:rPr>
          <w:t>1918 م</w:t>
        </w:r>
      </w:smartTag>
      <w:r>
        <w:rPr>
          <w:rFonts w:cs="Traditional Arabic" w:hint="cs"/>
          <w:color w:val="0000FF"/>
          <w:sz w:val="24"/>
          <w:szCs w:val="28"/>
          <w:rtl/>
        </w:rPr>
        <w:t xml:space="preserve"> 31  ص 26 ) . وانظر استئناف مختلط 25 يناير سنة1940 م 52 ص 106 </w:t>
      </w:r>
      <w:r>
        <w:rPr>
          <w:rFonts w:cs="Traditional Arabic"/>
          <w:color w:val="0000FF"/>
          <w:sz w:val="24"/>
          <w:szCs w:val="28"/>
          <w:rtl/>
        </w:rPr>
        <w:t>–</w:t>
      </w:r>
      <w:r>
        <w:rPr>
          <w:rFonts w:cs="Traditional Arabic" w:hint="cs"/>
          <w:color w:val="0000FF"/>
          <w:sz w:val="24"/>
          <w:szCs w:val="28"/>
          <w:rtl/>
        </w:rPr>
        <w:t xml:space="preserve"> 19 نوفمبر سنة </w:t>
      </w:r>
      <w:smartTag w:uri="urn:schemas-microsoft-com:office:smarttags" w:element="metricconverter">
        <w:smartTagPr>
          <w:attr w:name="ProductID" w:val="1946 م"/>
        </w:smartTagPr>
        <w:r>
          <w:rPr>
            <w:rFonts w:cs="Traditional Arabic" w:hint="cs"/>
            <w:color w:val="0000FF"/>
            <w:sz w:val="24"/>
            <w:szCs w:val="28"/>
            <w:rtl/>
          </w:rPr>
          <w:t>1946 م</w:t>
        </w:r>
      </w:smartTag>
      <w:r>
        <w:rPr>
          <w:rFonts w:cs="Traditional Arabic" w:hint="cs"/>
          <w:color w:val="0000FF"/>
          <w:sz w:val="24"/>
          <w:szCs w:val="28"/>
          <w:rtl/>
        </w:rPr>
        <w:t xml:space="preserve"> 59 ص 29 .</w:t>
      </w:r>
    </w:p>
  </w:footnote>
  <w:footnote w:id="162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مارس سنة </w:t>
      </w:r>
      <w:smartTag w:uri="urn:schemas-microsoft-com:office:smarttags" w:element="metricconverter">
        <w:smartTagPr>
          <w:attr w:name="ProductID" w:val="1931 م"/>
        </w:smartTagPr>
        <w:r>
          <w:rPr>
            <w:rFonts w:cs="Traditional Arabic" w:hint="cs"/>
            <w:color w:val="0000FF"/>
            <w:sz w:val="24"/>
            <w:szCs w:val="28"/>
            <w:rtl/>
          </w:rPr>
          <w:t>1931 م</w:t>
        </w:r>
      </w:smartTag>
      <w:r>
        <w:rPr>
          <w:rFonts w:cs="Traditional Arabic" w:hint="cs"/>
          <w:color w:val="0000FF"/>
          <w:sz w:val="24"/>
          <w:szCs w:val="28"/>
          <w:rtl/>
        </w:rPr>
        <w:t xml:space="preserve"> 43 ص 301 .</w:t>
      </w:r>
    </w:p>
  </w:footnote>
  <w:footnote w:id="162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4 أبريل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227 </w:t>
      </w:r>
      <w:r>
        <w:rPr>
          <w:rFonts w:cs="Traditional Arabic"/>
          <w:color w:val="0000FF"/>
          <w:sz w:val="24"/>
          <w:szCs w:val="28"/>
          <w:rtl/>
        </w:rPr>
        <w:t>–</w:t>
      </w:r>
      <w:r>
        <w:rPr>
          <w:rFonts w:cs="Traditional Arabic" w:hint="cs"/>
          <w:color w:val="0000FF"/>
          <w:sz w:val="24"/>
          <w:szCs w:val="28"/>
          <w:rtl/>
        </w:rPr>
        <w:t xml:space="preserve"> وقضت أيضاً بأن حرية الدائن المرتهن حيازة اختيار الوقت الذي يستوفي فيه حقه من الرهن تحمل استثناء لا شك فيه ، في حالة ما يكون موضوع الرهن قابلا للتلف أو الهلاك المادي أو لنقص قيمته نقصا محسوساً عقب ظروف خاصة ( استئناف مختلط 20 يونيه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340 ) .</w:t>
      </w:r>
    </w:p>
  </w:footnote>
  <w:footnote w:id="162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مختلط 2 يونيه سنة 1886 المجموعة الرسمية المختلطة 11 ص 170 </w:t>
      </w:r>
      <w:r>
        <w:rPr>
          <w:rFonts w:cs="Traditional Arabic"/>
          <w:color w:val="0000FF"/>
          <w:sz w:val="24"/>
          <w:szCs w:val="28"/>
          <w:rtl/>
        </w:rPr>
        <w:t>–</w:t>
      </w:r>
      <w:r>
        <w:rPr>
          <w:rFonts w:cs="Traditional Arabic" w:hint="cs"/>
          <w:color w:val="0000FF"/>
          <w:sz w:val="24"/>
          <w:szCs w:val="28"/>
          <w:rtl/>
        </w:rPr>
        <w:t xml:space="preserve"> بودري ودي لوان فقرة 138 </w:t>
      </w:r>
      <w:r>
        <w:rPr>
          <w:rFonts w:cs="Traditional Arabic"/>
          <w:color w:val="0000FF"/>
          <w:sz w:val="24"/>
          <w:szCs w:val="28"/>
          <w:rtl/>
        </w:rPr>
        <w:t>–</w:t>
      </w:r>
      <w:r>
        <w:rPr>
          <w:rFonts w:cs="Traditional Arabic" w:hint="cs"/>
          <w:color w:val="0000FF"/>
          <w:sz w:val="24"/>
          <w:szCs w:val="28"/>
          <w:rtl/>
        </w:rPr>
        <w:t xml:space="preserve"> جرانمولان فقرة 162 .</w:t>
      </w:r>
    </w:p>
  </w:footnote>
  <w:footnote w:id="162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شمس الدين الوكيل فقرة 199 .</w:t>
      </w:r>
    </w:p>
  </w:footnote>
  <w:footnote w:id="162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منصور مصطفى منصور فقرة 133 ص 254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وجاء في مذكرة المشروع التمهيدي ، خاصا بحق التقدم ما يأتي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"وللدائن المرتهن حيازة أن يتقدم على غيره من الدائنين التالين له في المرتبة عند استيفاء حقه من ثمن المرهون . وتتحدد مرتبته في العقار بتاريخ القيد ، وفي المنقول بالتاريخ الثابت الرهن" ( مجموعة الأعمال التحضيرية 7 ص 235 ) .</w:t>
      </w:r>
    </w:p>
  </w:footnote>
  <w:footnote w:id="163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336 .</w:t>
      </w:r>
    </w:p>
  </w:footnote>
  <w:footnote w:id="163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كان المشروع التمهيدي يتضمن المادة 1552 من هذا المشروع ، وكانت تجري على الوجه الآتي : "ويكون للدائن المرتهن الحق في التنفيذ على الشيء المرهون ، حتى لو انتقلت ملكية هذا الشيء إلى أجنبي ، غي رانه يجوز للأجنبي أن يوفي للدائن حقه ، فيحل فيه محله قبل المدين" . ولما عرضت المادة على لجنة المراجعة ، حذفتها اللجنة اكتفاء بالمادتين 1530 و 461 من المشروع ( مجموعة الأعمال التحضيرية 7 ص 224 في الهامش ) .</w:t>
      </w:r>
    </w:p>
  </w:footnote>
  <w:footnote w:id="163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236 .</w:t>
      </w:r>
    </w:p>
  </w:footnote>
  <w:footnote w:id="163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شمس الدين الوكيل فقرة 200 ص 546 .</w:t>
      </w:r>
    </w:p>
  </w:footnote>
  <w:footnote w:id="163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1E5C78">
        <w:footnoteRef/>
      </w:r>
      <w:r>
        <w:rPr>
          <w:rFonts w:cs="Traditional Arabic" w:hint="cs"/>
          <w:color w:val="0000FF"/>
          <w:sz w:val="24"/>
          <w:szCs w:val="28"/>
          <w:rtl/>
        </w:rPr>
        <w:t xml:space="preserve"> )</w:t>
      </w:r>
      <w:r w:rsidRPr="001E5C78">
        <w:rPr>
          <w:rFonts w:cs="Traditional Arabic" w:hint="cs"/>
          <w:color w:val="0000FF"/>
          <w:sz w:val="24"/>
          <w:szCs w:val="28"/>
          <w:rtl/>
        </w:rPr>
        <w:t xml:space="preserve">  </w:t>
      </w:r>
      <w:r w:rsidRPr="001E5C78">
        <w:rPr>
          <w:rFonts w:cs="Traditional Arabic" w:hint="cs"/>
          <w:color w:val="0000FF"/>
          <w:sz w:val="24"/>
          <w:szCs w:val="28"/>
          <w:u w:val="single"/>
          <w:rtl/>
        </w:rPr>
        <w:t>تاريخ النص</w:t>
      </w:r>
      <w:r>
        <w:rPr>
          <w:rFonts w:cs="Traditional Arabic" w:hint="cs"/>
          <w:color w:val="0000FF"/>
          <w:sz w:val="24"/>
          <w:szCs w:val="28"/>
          <w:rtl/>
        </w:rPr>
        <w:t xml:space="preserve"> :</w:t>
      </w:r>
      <w:r w:rsidRPr="001E5C78">
        <w:rPr>
          <w:rFonts w:cs="Traditional Arabic" w:hint="cs"/>
          <w:color w:val="0000FF"/>
          <w:sz w:val="24"/>
          <w:szCs w:val="28"/>
          <w:rtl/>
        </w:rPr>
        <w:t xml:space="preserve"> ورد هذا النص في المادة 1549 من المشروع التمهيدي وفي</w:t>
      </w:r>
      <w:r>
        <w:rPr>
          <w:rFonts w:cs="Traditional Arabic" w:hint="cs"/>
          <w:color w:val="0000FF"/>
          <w:sz w:val="24"/>
          <w:szCs w:val="28"/>
          <w:rtl/>
        </w:rPr>
        <w:t xml:space="preserve"> لجنة المراجعة استبدلت اللجنة  عبارة "وفقا لأحكام الحيازة" بعبارة "في أي وقت أراد" في آخر الفقةر الثانية ، وصار النص مطابقا لما استقر عليه في التقنين المدني الجديد ، ووافقت اللجنة على النص بعد هذا التعديل ، تحت رقم 1214 في المشروع النهائي . ووافق عليه مجلس النواب تحت رقم 1199 ، ثم مجلس الشيوخ تحت رقم 1110 ( مجموعة الأعمال التحضيرية 7 ص 230 </w:t>
      </w:r>
      <w:r>
        <w:rPr>
          <w:rFonts w:cs="Traditional Arabic"/>
          <w:color w:val="0000FF"/>
          <w:sz w:val="24"/>
          <w:szCs w:val="28"/>
          <w:rtl/>
        </w:rPr>
        <w:t>–</w:t>
      </w:r>
      <w:r>
        <w:rPr>
          <w:rFonts w:cs="Traditional Arabic" w:hint="cs"/>
          <w:color w:val="0000FF"/>
          <w:sz w:val="24"/>
          <w:szCs w:val="28"/>
          <w:rtl/>
        </w:rPr>
        <w:t xml:space="preserve"> ص 232 )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م 540 فقرة أولى  : 662 فقرة أولى : الرهن عقد به يضع المدين شيئا في حيازة دائنه أو حيازة من اتفق عليه العاقدان تأميناً للدين ، وهذا العقد يعطي للدائن حق حبس الشيء المرهون لحين الوفاء بالتمام ، استيفاء دينه من ثمن المرهون مقدما بامتياز على من عداه .</w:t>
      </w:r>
    </w:p>
    <w:p w:rsidR="00F72742" w:rsidRDefault="00F72742" w:rsidP="00F72742">
      <w:pPr>
        <w:pStyle w:val="aa"/>
        <w:widowControl w:val="0"/>
        <w:ind w:firstLine="567"/>
        <w:jc w:val="lowKashida"/>
        <w:rPr>
          <w:rFonts w:cs="Traditional Arabic" w:hint="cs"/>
          <w:color w:val="0000FF"/>
          <w:sz w:val="24"/>
          <w:szCs w:val="28"/>
          <w:rtl/>
        </w:rPr>
      </w:pPr>
      <w:r w:rsidRPr="00431B1F">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431B1F">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1031 : إن رهن المنقول يخول الدائن حق حبس المرهون إلى أن يوفي الدين ، كما يخوله حق الامتياز في استيفاء دينه من قيمة المرهون . وانظر أيضاً المادة 1055 .</w:t>
      </w:r>
    </w:p>
    <w:p w:rsidR="00F72742" w:rsidRDefault="00F72742" w:rsidP="00F72742">
      <w:pPr>
        <w:pStyle w:val="aa"/>
        <w:widowControl w:val="0"/>
        <w:ind w:firstLine="567"/>
        <w:jc w:val="lowKashida"/>
        <w:rPr>
          <w:rFonts w:cs="Traditional Arabic" w:hint="cs"/>
          <w:color w:val="0000FF"/>
          <w:sz w:val="24"/>
          <w:szCs w:val="28"/>
          <w:rtl/>
        </w:rPr>
      </w:pPr>
      <w:r w:rsidRPr="00431B1F">
        <w:rPr>
          <w:rFonts w:cs="Traditional Arabic" w:hint="cs"/>
          <w:color w:val="0000FF"/>
          <w:sz w:val="24"/>
          <w:szCs w:val="28"/>
          <w:u w:val="single"/>
          <w:rtl/>
        </w:rPr>
        <w:t>التقنين الليبي</w:t>
      </w:r>
      <w:r>
        <w:rPr>
          <w:rFonts w:cs="Traditional Arabic" w:hint="cs"/>
          <w:color w:val="0000FF"/>
          <w:sz w:val="24"/>
          <w:szCs w:val="28"/>
          <w:rtl/>
        </w:rPr>
        <w:t xml:space="preserve"> م 1114 : 1- يخول الرهن الدائن المرتهن الحق في حبس الشيء المرهون من الناس كافة ، دون أخلال بما للغير م حقوق تم حفظها وفقا للقانون . 2- وإذا خرج الشيء من يد الدائن دون إرادته أو دون علمه ، كان له الحق في استرداد حيازته من الغير وفقاً لأحكام الحيازة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1342 : للمرتهن حبس المرهون ، دون إخلال بما للغير من حقوق تم كسبها وفقا للقانون . وإذا خرج المرهون من يده دون إرادته أو دون علمه ، كان له استرداد حيازته من الغير وفقا لأحكام الحيازة .</w:t>
      </w:r>
    </w:p>
    <w:p w:rsidR="00F72742" w:rsidRPr="005D4B11" w:rsidRDefault="00F72742" w:rsidP="00F72742">
      <w:pPr>
        <w:pStyle w:val="aa"/>
        <w:widowControl w:val="0"/>
        <w:ind w:firstLine="567"/>
        <w:jc w:val="lowKashida"/>
        <w:rPr>
          <w:rFonts w:cs="Traditional Arabic" w:hint="cs"/>
          <w:color w:val="0000FF"/>
          <w:sz w:val="24"/>
          <w:szCs w:val="28"/>
          <w:rtl/>
        </w:rPr>
      </w:pPr>
      <w:r w:rsidRPr="00431B1F">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انظر م 101 .</w:t>
      </w:r>
    </w:p>
  </w:footnote>
  <w:footnote w:id="163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234 </w:t>
      </w:r>
      <w:r>
        <w:rPr>
          <w:rFonts w:cs="Traditional Arabic"/>
          <w:color w:val="0000FF"/>
          <w:sz w:val="24"/>
          <w:szCs w:val="28"/>
          <w:rtl/>
        </w:rPr>
        <w:t>–</w:t>
      </w:r>
      <w:r>
        <w:rPr>
          <w:rFonts w:cs="Traditional Arabic" w:hint="cs"/>
          <w:color w:val="0000FF"/>
          <w:sz w:val="24"/>
          <w:szCs w:val="28"/>
          <w:rtl/>
        </w:rPr>
        <w:t xml:space="preserve"> ص 235 .</w:t>
      </w:r>
    </w:p>
  </w:footnote>
  <w:footnote w:id="163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19 ديسمبر سنة 1905 الاستقلال 5 ص 102 </w:t>
      </w:r>
      <w:r>
        <w:rPr>
          <w:rFonts w:cs="Traditional Arabic"/>
          <w:color w:val="0000FF"/>
          <w:sz w:val="24"/>
          <w:szCs w:val="28"/>
          <w:rtl/>
        </w:rPr>
        <w:t>–</w:t>
      </w:r>
      <w:r>
        <w:rPr>
          <w:rFonts w:cs="Traditional Arabic" w:hint="cs"/>
          <w:color w:val="0000FF"/>
          <w:sz w:val="24"/>
          <w:szCs w:val="28"/>
          <w:rtl/>
        </w:rPr>
        <w:t xml:space="preserve"> أسيوط استئنافي 24 يناير سنة 1921 المجموعة الرسمية 23 ص 73 .</w:t>
      </w:r>
    </w:p>
  </w:footnote>
  <w:footnote w:id="163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20 أبريل سنة </w:t>
      </w:r>
      <w:smartTag w:uri="urn:schemas-microsoft-com:office:smarttags" w:element="metricconverter">
        <w:smartTagPr>
          <w:attr w:name="ProductID" w:val="1892 م"/>
        </w:smartTagPr>
        <w:r>
          <w:rPr>
            <w:rFonts w:cs="Traditional Arabic" w:hint="cs"/>
            <w:color w:val="0000FF"/>
            <w:sz w:val="24"/>
            <w:szCs w:val="28"/>
            <w:rtl/>
          </w:rPr>
          <w:t>1892 م</w:t>
        </w:r>
      </w:smartTag>
      <w:r>
        <w:rPr>
          <w:rFonts w:cs="Traditional Arabic" w:hint="cs"/>
          <w:color w:val="0000FF"/>
          <w:sz w:val="24"/>
          <w:szCs w:val="28"/>
          <w:rtl/>
        </w:rPr>
        <w:t xml:space="preserve"> 4 ص 204 .</w:t>
      </w:r>
    </w:p>
  </w:footnote>
  <w:footnote w:id="163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503 </w:t>
      </w:r>
      <w:r>
        <w:rPr>
          <w:rFonts w:cs="Traditional Arabic"/>
          <w:color w:val="0000FF"/>
          <w:sz w:val="24"/>
          <w:szCs w:val="28"/>
          <w:rtl/>
        </w:rPr>
        <w:t>–</w:t>
      </w:r>
      <w:r>
        <w:rPr>
          <w:rFonts w:cs="Traditional Arabic" w:hint="cs"/>
          <w:color w:val="0000FF"/>
          <w:sz w:val="24"/>
          <w:szCs w:val="28"/>
          <w:rtl/>
        </w:rPr>
        <w:t xml:space="preserve"> بون فقرة 1201 </w:t>
      </w:r>
      <w:r>
        <w:rPr>
          <w:rFonts w:cs="Traditional Arabic"/>
          <w:color w:val="0000FF"/>
          <w:sz w:val="24"/>
          <w:szCs w:val="28"/>
          <w:rtl/>
        </w:rPr>
        <w:t>–</w:t>
      </w:r>
      <w:r>
        <w:rPr>
          <w:rFonts w:cs="Traditional Arabic" w:hint="cs"/>
          <w:color w:val="0000FF"/>
          <w:sz w:val="24"/>
          <w:szCs w:val="28"/>
          <w:rtl/>
        </w:rPr>
        <w:t xml:space="preserve"> جيوار فقرة 147 </w:t>
      </w:r>
      <w:r>
        <w:rPr>
          <w:rFonts w:cs="Traditional Arabic"/>
          <w:color w:val="0000FF"/>
          <w:sz w:val="24"/>
          <w:szCs w:val="28"/>
          <w:rtl/>
        </w:rPr>
        <w:t>–</w:t>
      </w:r>
      <w:r>
        <w:rPr>
          <w:rFonts w:cs="Traditional Arabic" w:hint="cs"/>
          <w:color w:val="0000FF"/>
          <w:sz w:val="24"/>
          <w:szCs w:val="28"/>
          <w:rtl/>
        </w:rPr>
        <w:t xml:space="preserve"> بودري ودي لوان فقرة 103 .</w:t>
      </w:r>
    </w:p>
  </w:footnote>
  <w:footnote w:id="163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وطني 5 أبريل سنة 1917 الحقوق 33 ص 107 </w:t>
      </w:r>
      <w:r>
        <w:rPr>
          <w:rFonts w:cs="Traditional Arabic"/>
          <w:color w:val="0000FF"/>
          <w:sz w:val="24"/>
          <w:szCs w:val="28"/>
          <w:rtl/>
        </w:rPr>
        <w:t>–</w:t>
      </w:r>
      <w:r>
        <w:rPr>
          <w:rFonts w:cs="Traditional Arabic" w:hint="cs"/>
          <w:color w:val="0000FF"/>
          <w:sz w:val="24"/>
          <w:szCs w:val="28"/>
          <w:rtl/>
        </w:rPr>
        <w:t xml:space="preserve"> طنطا استئناف 23 يونيه سنة1898 القضاء 5 ص 318 .</w:t>
      </w:r>
    </w:p>
  </w:footnote>
  <w:footnote w:id="164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44 </w:t>
      </w:r>
      <w:r>
        <w:rPr>
          <w:rFonts w:cs="Traditional Arabic"/>
          <w:color w:val="0000FF"/>
          <w:sz w:val="24"/>
          <w:szCs w:val="28"/>
          <w:rtl/>
        </w:rPr>
        <w:t>–</w:t>
      </w:r>
      <w:r>
        <w:rPr>
          <w:rFonts w:cs="Traditional Arabic" w:hint="cs"/>
          <w:color w:val="0000FF"/>
          <w:sz w:val="24"/>
          <w:szCs w:val="28"/>
          <w:rtl/>
        </w:rPr>
        <w:t xml:space="preserve"> دي هلتس فقرة 75 </w:t>
      </w:r>
      <w:r>
        <w:rPr>
          <w:rFonts w:cs="Traditional Arabic"/>
          <w:color w:val="0000FF"/>
          <w:sz w:val="24"/>
          <w:szCs w:val="28"/>
          <w:rtl/>
        </w:rPr>
        <w:t>–</w:t>
      </w:r>
      <w:r>
        <w:rPr>
          <w:rFonts w:cs="Traditional Arabic" w:hint="cs"/>
          <w:color w:val="0000FF"/>
          <w:sz w:val="24"/>
          <w:szCs w:val="28"/>
          <w:rtl/>
        </w:rPr>
        <w:t xml:space="preserve"> محمد كامل مرسي فقرة 319 .</w:t>
      </w:r>
    </w:p>
  </w:footnote>
  <w:footnote w:id="164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320 .</w:t>
      </w:r>
    </w:p>
  </w:footnote>
  <w:footnote w:id="164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321 ص 436 .</w:t>
      </w:r>
    </w:p>
  </w:footnote>
  <w:footnote w:id="164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كولان وكابيتان 2 فقرة 1047 </w:t>
      </w:r>
      <w:r>
        <w:rPr>
          <w:rFonts w:cs="Traditional Arabic"/>
          <w:color w:val="0000FF"/>
          <w:sz w:val="24"/>
          <w:szCs w:val="28"/>
          <w:rtl/>
        </w:rPr>
        <w:t>–</w:t>
      </w:r>
      <w:r>
        <w:rPr>
          <w:rFonts w:cs="Traditional Arabic" w:hint="cs"/>
          <w:color w:val="0000FF"/>
          <w:sz w:val="24"/>
          <w:szCs w:val="28"/>
          <w:rtl/>
        </w:rPr>
        <w:t xml:space="preserve"> بودري ودي لوان فقرة 249</w:t>
      </w:r>
    </w:p>
  </w:footnote>
  <w:footnote w:id="164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559 .</w:t>
      </w:r>
    </w:p>
  </w:footnote>
  <w:footnote w:id="164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239 </w:t>
      </w:r>
      <w:r>
        <w:rPr>
          <w:rFonts w:cs="Traditional Arabic"/>
          <w:color w:val="0000FF"/>
          <w:sz w:val="24"/>
          <w:szCs w:val="28"/>
          <w:rtl/>
        </w:rPr>
        <w:t>–</w:t>
      </w:r>
      <w:r>
        <w:rPr>
          <w:rFonts w:cs="Traditional Arabic" w:hint="cs"/>
          <w:color w:val="0000FF"/>
          <w:sz w:val="24"/>
          <w:szCs w:val="28"/>
          <w:rtl/>
        </w:rPr>
        <w:t xml:space="preserve"> ص 242 .</w:t>
      </w:r>
    </w:p>
  </w:footnote>
  <w:footnote w:id="164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محمد كامل مرسي فقرة 321 </w:t>
      </w:r>
      <w:r>
        <w:rPr>
          <w:rFonts w:cs="Traditional Arabic"/>
          <w:color w:val="0000FF"/>
          <w:sz w:val="24"/>
          <w:szCs w:val="28"/>
          <w:rtl/>
        </w:rPr>
        <w:t>–</w:t>
      </w:r>
      <w:r>
        <w:rPr>
          <w:rFonts w:cs="Traditional Arabic" w:hint="cs"/>
          <w:color w:val="0000FF"/>
          <w:sz w:val="24"/>
          <w:szCs w:val="28"/>
          <w:rtl/>
        </w:rPr>
        <w:t xml:space="preserve"> ص 430 </w:t>
      </w:r>
      <w:r>
        <w:rPr>
          <w:rFonts w:cs="Traditional Arabic"/>
          <w:color w:val="0000FF"/>
          <w:sz w:val="24"/>
          <w:szCs w:val="28"/>
          <w:rtl/>
        </w:rPr>
        <w:t>–</w:t>
      </w:r>
      <w:r>
        <w:rPr>
          <w:rFonts w:cs="Traditional Arabic" w:hint="cs"/>
          <w:color w:val="0000FF"/>
          <w:sz w:val="24"/>
          <w:szCs w:val="28"/>
          <w:rtl/>
        </w:rPr>
        <w:t xml:space="preserve"> رمزي سيف فقرة 449 .</w:t>
      </w:r>
    </w:p>
  </w:footnote>
  <w:footnote w:id="164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بون فقرة 1199 </w:t>
      </w:r>
      <w:r>
        <w:rPr>
          <w:rFonts w:cs="Traditional Arabic"/>
          <w:color w:val="0000FF"/>
          <w:sz w:val="24"/>
          <w:szCs w:val="28"/>
          <w:rtl/>
        </w:rPr>
        <w:t>–</w:t>
      </w:r>
      <w:r>
        <w:rPr>
          <w:rFonts w:cs="Traditional Arabic" w:hint="cs"/>
          <w:color w:val="0000FF"/>
          <w:sz w:val="24"/>
          <w:szCs w:val="28"/>
          <w:rtl/>
        </w:rPr>
        <w:t xml:space="preserve"> بيدان فقرة 209 .</w:t>
      </w:r>
    </w:p>
  </w:footnote>
  <w:footnote w:id="164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ديرانتون 18 فقرة 567 </w:t>
      </w:r>
      <w:r>
        <w:rPr>
          <w:rFonts w:cs="Traditional Arabic"/>
          <w:color w:val="0000FF"/>
          <w:sz w:val="24"/>
          <w:szCs w:val="28"/>
          <w:rtl/>
        </w:rPr>
        <w:t>–</w:t>
      </w:r>
      <w:r>
        <w:rPr>
          <w:rFonts w:cs="Traditional Arabic" w:hint="cs"/>
          <w:color w:val="0000FF"/>
          <w:sz w:val="24"/>
          <w:szCs w:val="28"/>
          <w:rtl/>
        </w:rPr>
        <w:t xml:space="preserve"> ترولون فقرة 567 </w:t>
      </w:r>
      <w:r>
        <w:rPr>
          <w:rFonts w:cs="Traditional Arabic"/>
          <w:color w:val="0000FF"/>
          <w:sz w:val="24"/>
          <w:szCs w:val="28"/>
          <w:rtl/>
        </w:rPr>
        <w:t>–</w:t>
      </w:r>
      <w:r>
        <w:rPr>
          <w:rFonts w:cs="Traditional Arabic" w:hint="cs"/>
          <w:color w:val="0000FF"/>
          <w:sz w:val="24"/>
          <w:szCs w:val="28"/>
          <w:rtl/>
        </w:rPr>
        <w:t xml:space="preserve"> ترولون فقرة 465 </w:t>
      </w:r>
      <w:r>
        <w:rPr>
          <w:rFonts w:cs="Traditional Arabic"/>
          <w:color w:val="0000FF"/>
          <w:sz w:val="24"/>
          <w:szCs w:val="28"/>
          <w:rtl/>
        </w:rPr>
        <w:t>–</w:t>
      </w:r>
      <w:r>
        <w:rPr>
          <w:rFonts w:cs="Traditional Arabic" w:hint="cs"/>
          <w:color w:val="0000FF"/>
          <w:sz w:val="24"/>
          <w:szCs w:val="28"/>
          <w:rtl/>
        </w:rPr>
        <w:t xml:space="preserve"> لوران فقرة 508 </w:t>
      </w:r>
      <w:r>
        <w:rPr>
          <w:rFonts w:cs="Traditional Arabic"/>
          <w:color w:val="0000FF"/>
          <w:sz w:val="24"/>
          <w:szCs w:val="28"/>
          <w:rtl/>
        </w:rPr>
        <w:t>–</w:t>
      </w:r>
      <w:r>
        <w:rPr>
          <w:rFonts w:cs="Traditional Arabic" w:hint="cs"/>
          <w:color w:val="0000FF"/>
          <w:sz w:val="24"/>
          <w:szCs w:val="28"/>
          <w:rtl/>
        </w:rPr>
        <w:t xml:space="preserve"> جيوار فقرة 157 </w:t>
      </w:r>
      <w:r>
        <w:rPr>
          <w:rFonts w:cs="Traditional Arabic"/>
          <w:color w:val="0000FF"/>
          <w:sz w:val="24"/>
          <w:szCs w:val="28"/>
          <w:rtl/>
        </w:rPr>
        <w:t>–</w:t>
      </w:r>
      <w:r>
        <w:rPr>
          <w:rFonts w:cs="Traditional Arabic" w:hint="cs"/>
          <w:color w:val="0000FF"/>
          <w:sz w:val="24"/>
          <w:szCs w:val="28"/>
          <w:rtl/>
        </w:rPr>
        <w:t xml:space="preserve"> بودري ودي لوان فقرة 110 </w:t>
      </w:r>
      <w:r>
        <w:rPr>
          <w:rFonts w:cs="Traditional Arabic"/>
          <w:color w:val="0000FF"/>
          <w:sz w:val="24"/>
          <w:szCs w:val="28"/>
          <w:rtl/>
        </w:rPr>
        <w:t>–</w:t>
      </w:r>
      <w:r>
        <w:rPr>
          <w:rFonts w:cs="Traditional Arabic" w:hint="cs"/>
          <w:color w:val="0000FF"/>
          <w:sz w:val="24"/>
          <w:szCs w:val="28"/>
          <w:rtl/>
        </w:rPr>
        <w:t xml:space="preserve"> أوبري ورو 3 فقرة 534 هامش 4 </w:t>
      </w:r>
      <w:r>
        <w:rPr>
          <w:rFonts w:cs="Traditional Arabic"/>
          <w:color w:val="0000FF"/>
          <w:sz w:val="24"/>
          <w:szCs w:val="28"/>
          <w:rtl/>
        </w:rPr>
        <w:t>–</w:t>
      </w:r>
      <w:r>
        <w:rPr>
          <w:rFonts w:cs="Traditional Arabic" w:hint="cs"/>
          <w:color w:val="0000FF"/>
          <w:sz w:val="24"/>
          <w:szCs w:val="28"/>
          <w:rtl/>
        </w:rPr>
        <w:t xml:space="preserve"> بلانيول وريبير وبيكيه 13 فقرة 113 .</w:t>
      </w:r>
    </w:p>
  </w:footnote>
  <w:footnote w:id="164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113 .</w:t>
      </w:r>
    </w:p>
  </w:footnote>
  <w:footnote w:id="165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السلام ذهني فقرة 49 </w:t>
      </w:r>
      <w:r>
        <w:rPr>
          <w:rFonts w:cs="Traditional Arabic"/>
          <w:color w:val="0000FF"/>
          <w:sz w:val="24"/>
          <w:szCs w:val="28"/>
          <w:rtl/>
        </w:rPr>
        <w:t>–</w:t>
      </w:r>
      <w:r>
        <w:rPr>
          <w:rFonts w:cs="Traditional Arabic" w:hint="cs"/>
          <w:color w:val="0000FF"/>
          <w:sz w:val="24"/>
          <w:szCs w:val="28"/>
          <w:rtl/>
        </w:rPr>
        <w:t xml:space="preserve"> محمد كامل مرسي فقرة 322 </w:t>
      </w:r>
      <w:r>
        <w:rPr>
          <w:rFonts w:cs="Traditional Arabic"/>
          <w:color w:val="0000FF"/>
          <w:sz w:val="24"/>
          <w:szCs w:val="28"/>
          <w:rtl/>
        </w:rPr>
        <w:t>–</w:t>
      </w:r>
      <w:r>
        <w:rPr>
          <w:rFonts w:cs="Traditional Arabic" w:hint="cs"/>
          <w:color w:val="0000FF"/>
          <w:sz w:val="24"/>
          <w:szCs w:val="28"/>
          <w:rtl/>
        </w:rPr>
        <w:t xml:space="preserve"> ص 432 </w:t>
      </w:r>
      <w:r>
        <w:rPr>
          <w:rFonts w:cs="Traditional Arabic"/>
          <w:color w:val="0000FF"/>
          <w:sz w:val="24"/>
          <w:szCs w:val="28"/>
          <w:rtl/>
        </w:rPr>
        <w:t>–</w:t>
      </w:r>
      <w:r>
        <w:rPr>
          <w:rFonts w:cs="Traditional Arabic" w:hint="cs"/>
          <w:color w:val="0000FF"/>
          <w:sz w:val="24"/>
          <w:szCs w:val="28"/>
          <w:rtl/>
        </w:rPr>
        <w:t xml:space="preserve"> جرانمولان فقرة 150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نصت المادة 1042/2 من التقنين السوري على ما يأتي : "وإذا وجد لنفس الدائن على نفس المدين دين آخر عقد بعد إنشاء الرهن وأصبح مستحق الأداء قبل إيفاء الدين الأول ، حق الدائن أن يحبس المرهون إلى أن يستوفي مبلغ الدينين تماماً" .</w:t>
      </w:r>
    </w:p>
  </w:footnote>
  <w:footnote w:id="165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الوفاء في الرهن الرسمي آنفاً فقرة 341 </w:t>
      </w:r>
      <w:r>
        <w:rPr>
          <w:rFonts w:cs="Traditional Arabic"/>
          <w:color w:val="0000FF"/>
          <w:sz w:val="24"/>
          <w:szCs w:val="28"/>
          <w:rtl/>
        </w:rPr>
        <w:t>–</w:t>
      </w:r>
      <w:r>
        <w:rPr>
          <w:rFonts w:cs="Traditional Arabic" w:hint="cs"/>
          <w:color w:val="0000FF"/>
          <w:sz w:val="24"/>
          <w:szCs w:val="28"/>
          <w:rtl/>
        </w:rPr>
        <w:t xml:space="preserve"> فقرة 344 .</w:t>
      </w:r>
    </w:p>
  </w:footnote>
  <w:footnote w:id="165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الوفاء بمقابل في الرهن الرسمي آنفاً فقرة 345 فقرة 348 .</w:t>
      </w:r>
    </w:p>
  </w:footnote>
  <w:footnote w:id="165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التجديد في الرهن الرسمي آنفاً فقرة 3499 </w:t>
      </w:r>
      <w:r>
        <w:rPr>
          <w:rFonts w:cs="Traditional Arabic"/>
          <w:color w:val="0000FF"/>
          <w:sz w:val="24"/>
          <w:szCs w:val="28"/>
          <w:rtl/>
        </w:rPr>
        <w:t>–</w:t>
      </w:r>
      <w:r>
        <w:rPr>
          <w:rFonts w:cs="Traditional Arabic" w:hint="cs"/>
          <w:color w:val="0000FF"/>
          <w:sz w:val="24"/>
          <w:szCs w:val="28"/>
          <w:rtl/>
        </w:rPr>
        <w:t xml:space="preserve"> فقرة 351 .</w:t>
      </w:r>
    </w:p>
  </w:footnote>
  <w:footnote w:id="165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المقاصة في الرهن الرسمي آنفاً فقرة 352 </w:t>
      </w:r>
      <w:r>
        <w:rPr>
          <w:rFonts w:cs="Traditional Arabic"/>
          <w:color w:val="0000FF"/>
          <w:sz w:val="24"/>
          <w:szCs w:val="28"/>
          <w:rtl/>
        </w:rPr>
        <w:t>–</w:t>
      </w:r>
      <w:r>
        <w:rPr>
          <w:rFonts w:cs="Traditional Arabic" w:hint="cs"/>
          <w:color w:val="0000FF"/>
          <w:sz w:val="24"/>
          <w:szCs w:val="28"/>
          <w:rtl/>
        </w:rPr>
        <w:t xml:space="preserve"> فقرة 353 .</w:t>
      </w:r>
    </w:p>
  </w:footnote>
  <w:footnote w:id="16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اتحاد الذمة في الرهن الرسمي آنفا فقرة 354 </w:t>
      </w:r>
      <w:r>
        <w:rPr>
          <w:rFonts w:cs="Traditional Arabic"/>
          <w:color w:val="0000FF"/>
          <w:sz w:val="24"/>
          <w:szCs w:val="28"/>
          <w:rtl/>
        </w:rPr>
        <w:t>–</w:t>
      </w:r>
      <w:r>
        <w:rPr>
          <w:rFonts w:cs="Traditional Arabic" w:hint="cs"/>
          <w:color w:val="0000FF"/>
          <w:sz w:val="24"/>
          <w:szCs w:val="28"/>
          <w:rtl/>
        </w:rPr>
        <w:t xml:space="preserve"> 356 .</w:t>
      </w:r>
    </w:p>
  </w:footnote>
  <w:footnote w:id="165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الإبراء في الرهن الرسمي آنفا فقرة 357 </w:t>
      </w:r>
      <w:r>
        <w:rPr>
          <w:rFonts w:cs="Traditional Arabic"/>
          <w:color w:val="0000FF"/>
          <w:sz w:val="24"/>
          <w:szCs w:val="28"/>
          <w:rtl/>
        </w:rPr>
        <w:t>–</w:t>
      </w:r>
      <w:r>
        <w:rPr>
          <w:rFonts w:cs="Traditional Arabic" w:hint="cs"/>
          <w:color w:val="0000FF"/>
          <w:sz w:val="24"/>
          <w:szCs w:val="28"/>
          <w:rtl/>
        </w:rPr>
        <w:t xml:space="preserve"> فقرة 360 .</w:t>
      </w:r>
    </w:p>
  </w:footnote>
  <w:footnote w:id="165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استحالة التنفيذ في الرهن الرسمي آنفا فقرة 361 </w:t>
      </w:r>
      <w:r>
        <w:rPr>
          <w:rFonts w:cs="Traditional Arabic"/>
          <w:color w:val="0000FF"/>
          <w:sz w:val="24"/>
          <w:szCs w:val="28"/>
          <w:rtl/>
        </w:rPr>
        <w:t>–</w:t>
      </w:r>
      <w:r>
        <w:rPr>
          <w:rFonts w:cs="Traditional Arabic" w:hint="cs"/>
          <w:color w:val="0000FF"/>
          <w:sz w:val="24"/>
          <w:szCs w:val="28"/>
          <w:rtl/>
        </w:rPr>
        <w:t xml:space="preserve"> فقرة 362 .</w:t>
      </w:r>
    </w:p>
  </w:footnote>
  <w:footnote w:id="16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497 وفقرة 555 </w:t>
      </w:r>
      <w:r>
        <w:rPr>
          <w:rFonts w:cs="Traditional Arabic"/>
          <w:color w:val="0000FF"/>
          <w:sz w:val="24"/>
          <w:szCs w:val="28"/>
          <w:rtl/>
        </w:rPr>
        <w:t>–</w:t>
      </w:r>
      <w:r>
        <w:rPr>
          <w:rFonts w:cs="Traditional Arabic" w:hint="cs"/>
          <w:color w:val="0000FF"/>
          <w:sz w:val="24"/>
          <w:szCs w:val="28"/>
          <w:rtl/>
        </w:rPr>
        <w:t xml:space="preserve"> جيوار فقرة 144 وفقرة 223 </w:t>
      </w:r>
      <w:r>
        <w:rPr>
          <w:rFonts w:cs="Traditional Arabic"/>
          <w:color w:val="0000FF"/>
          <w:sz w:val="24"/>
          <w:szCs w:val="28"/>
          <w:rtl/>
        </w:rPr>
        <w:t>–</w:t>
      </w:r>
      <w:r>
        <w:rPr>
          <w:rFonts w:cs="Traditional Arabic" w:hint="cs"/>
          <w:color w:val="0000FF"/>
          <w:sz w:val="24"/>
          <w:szCs w:val="28"/>
          <w:rtl/>
        </w:rPr>
        <w:t xml:space="preserve"> بودري ودي لوان فقرة 102 وفقرة 187 </w:t>
      </w:r>
      <w:r>
        <w:rPr>
          <w:rFonts w:cs="Traditional Arabic"/>
          <w:color w:val="0000FF"/>
          <w:sz w:val="24"/>
          <w:szCs w:val="28"/>
          <w:rtl/>
        </w:rPr>
        <w:t>–</w:t>
      </w:r>
      <w:r>
        <w:rPr>
          <w:rFonts w:cs="Traditional Arabic" w:hint="cs"/>
          <w:color w:val="0000FF"/>
          <w:sz w:val="24"/>
          <w:szCs w:val="28"/>
          <w:rtl/>
        </w:rPr>
        <w:t xml:space="preserve"> أوبري ورو 3 فقرة 434 وهامش 15 </w:t>
      </w:r>
      <w:r>
        <w:rPr>
          <w:rFonts w:cs="Traditional Arabic"/>
          <w:color w:val="0000FF"/>
          <w:sz w:val="24"/>
          <w:szCs w:val="28"/>
          <w:rtl/>
        </w:rPr>
        <w:t>–</w:t>
      </w:r>
      <w:r>
        <w:rPr>
          <w:rFonts w:cs="Traditional Arabic" w:hint="cs"/>
          <w:color w:val="0000FF"/>
          <w:sz w:val="24"/>
          <w:szCs w:val="28"/>
          <w:rtl/>
        </w:rPr>
        <w:t xml:space="preserve"> وفقر 438 وهامش 1 </w:t>
      </w:r>
      <w:r>
        <w:rPr>
          <w:rFonts w:cs="Traditional Arabic"/>
          <w:color w:val="0000FF"/>
          <w:sz w:val="24"/>
          <w:szCs w:val="28"/>
          <w:rtl/>
        </w:rPr>
        <w:t>–</w:t>
      </w:r>
      <w:r>
        <w:rPr>
          <w:rFonts w:cs="Traditional Arabic" w:hint="cs"/>
          <w:color w:val="0000FF"/>
          <w:sz w:val="24"/>
          <w:szCs w:val="28"/>
          <w:rtl/>
        </w:rPr>
        <w:t xml:space="preserve"> بلانيول وريبير وبيكيه 13 فقرة 112 </w:t>
      </w:r>
      <w:r>
        <w:rPr>
          <w:rFonts w:cs="Traditional Arabic"/>
          <w:color w:val="0000FF"/>
          <w:sz w:val="24"/>
          <w:szCs w:val="28"/>
          <w:rtl/>
        </w:rPr>
        <w:t>–</w:t>
      </w:r>
      <w:r>
        <w:rPr>
          <w:rFonts w:cs="Traditional Arabic" w:hint="cs"/>
          <w:color w:val="0000FF"/>
          <w:sz w:val="24"/>
          <w:szCs w:val="28"/>
          <w:rtl/>
        </w:rPr>
        <w:t xml:space="preserve"> استئناف وطني 5 أبريل سنة 1917 الحقوق 33 ص 107 </w:t>
      </w:r>
      <w:r>
        <w:rPr>
          <w:rFonts w:cs="Traditional Arabic"/>
          <w:color w:val="0000FF"/>
          <w:sz w:val="24"/>
          <w:szCs w:val="28"/>
          <w:rtl/>
        </w:rPr>
        <w:t>–</w:t>
      </w:r>
      <w:r>
        <w:rPr>
          <w:rFonts w:cs="Traditional Arabic" w:hint="cs"/>
          <w:color w:val="0000FF"/>
          <w:sz w:val="24"/>
          <w:szCs w:val="28"/>
          <w:rtl/>
        </w:rPr>
        <w:t xml:space="preserve"> 6 يناير سنة 1920 المجموعة الرسمية 21 رقم 65 ص 106 ( يقف سريان الخمس السنوات المقررة لسقوط الحق في المطالبة بالغلة التي استولى عليها الدائن المرتهن من العين المرهونة ما دام الرهن قائما ) </w:t>
      </w:r>
      <w:r>
        <w:rPr>
          <w:rFonts w:cs="Traditional Arabic"/>
          <w:color w:val="0000FF"/>
          <w:sz w:val="24"/>
          <w:szCs w:val="28"/>
          <w:rtl/>
        </w:rPr>
        <w:t>–</w:t>
      </w:r>
      <w:r>
        <w:rPr>
          <w:rFonts w:cs="Traditional Arabic" w:hint="cs"/>
          <w:color w:val="0000FF"/>
          <w:sz w:val="24"/>
          <w:szCs w:val="28"/>
          <w:rtl/>
        </w:rPr>
        <w:t xml:space="preserve"> 16 فبراير سنة 1922 المحاماة 2 رقم 1117 ص 374 ( ما دام الطاعن قد رهن للدائن عينا رهن حيازة فلا يسقط الدين بالنسبة إليه ما بقي المرهون في حيازة الدائن ) .</w:t>
      </w:r>
    </w:p>
  </w:footnote>
  <w:footnote w:id="165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محمد كامل مرسي فقرة 342 ص 460 </w:t>
      </w:r>
      <w:r>
        <w:rPr>
          <w:rFonts w:cs="Traditional Arabic"/>
          <w:color w:val="0000FF"/>
          <w:sz w:val="24"/>
          <w:szCs w:val="28"/>
          <w:rtl/>
        </w:rPr>
        <w:t>–</w:t>
      </w:r>
      <w:r>
        <w:rPr>
          <w:rFonts w:cs="Traditional Arabic" w:hint="cs"/>
          <w:color w:val="0000FF"/>
          <w:sz w:val="24"/>
          <w:szCs w:val="28"/>
          <w:rtl/>
        </w:rPr>
        <w:t xml:space="preserve"> ص 461 </w:t>
      </w:r>
      <w:r>
        <w:rPr>
          <w:rFonts w:cs="Traditional Arabic"/>
          <w:color w:val="0000FF"/>
          <w:sz w:val="24"/>
          <w:szCs w:val="28"/>
          <w:rtl/>
        </w:rPr>
        <w:t>–</w:t>
      </w:r>
      <w:r>
        <w:rPr>
          <w:rFonts w:cs="Traditional Arabic" w:hint="cs"/>
          <w:color w:val="0000FF"/>
          <w:sz w:val="24"/>
          <w:szCs w:val="28"/>
          <w:rtl/>
        </w:rPr>
        <w:t xml:space="preserve"> وانظر في التقادم المسقط في الرهن الرسمي آنفاً 363 </w:t>
      </w:r>
      <w:r>
        <w:rPr>
          <w:rFonts w:cs="Traditional Arabic"/>
          <w:color w:val="0000FF"/>
          <w:sz w:val="24"/>
          <w:szCs w:val="28"/>
          <w:rtl/>
        </w:rPr>
        <w:t>–</w:t>
      </w:r>
      <w:r>
        <w:rPr>
          <w:rFonts w:cs="Traditional Arabic" w:hint="cs"/>
          <w:color w:val="0000FF"/>
          <w:sz w:val="24"/>
          <w:szCs w:val="28"/>
          <w:rtl/>
        </w:rPr>
        <w:t xml:space="preserve"> فقرة 363 </w:t>
      </w:r>
      <w:r>
        <w:rPr>
          <w:rFonts w:cs="Traditional Arabic"/>
          <w:color w:val="0000FF"/>
          <w:sz w:val="24"/>
          <w:szCs w:val="28"/>
          <w:rtl/>
        </w:rPr>
        <w:t>–</w:t>
      </w:r>
      <w:r>
        <w:rPr>
          <w:rFonts w:cs="Traditional Arabic" w:hint="cs"/>
          <w:color w:val="0000FF"/>
          <w:sz w:val="24"/>
          <w:szCs w:val="28"/>
          <w:rtl/>
        </w:rPr>
        <w:t xml:space="preserve"> فقرة 366</w:t>
      </w:r>
    </w:p>
  </w:footnote>
  <w:footnote w:id="166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1553 من المشروع التمهيدي على وجه مطابق لما استقر عليه في التقنين المدني الجديد . ووافقت عليه لجنة المراجعة ، تحت رقم 1216 في المشروع النهائي . ووافق عليه مجلس النواب تحت رقم 1201 ، ثم مجلس الشيوخ تحت رقم 1112 ( مجموعة الأعمال التحضيرية 7 ص 238 </w:t>
      </w:r>
      <w:r>
        <w:rPr>
          <w:rFonts w:cs="Traditional Arabic"/>
          <w:color w:val="0000FF"/>
          <w:sz w:val="24"/>
          <w:szCs w:val="28"/>
          <w:rtl/>
        </w:rPr>
        <w:t>–</w:t>
      </w:r>
      <w:r>
        <w:rPr>
          <w:rFonts w:cs="Traditional Arabic" w:hint="cs"/>
          <w:color w:val="0000FF"/>
          <w:sz w:val="24"/>
          <w:szCs w:val="28"/>
          <w:rtl/>
        </w:rPr>
        <w:t xml:space="preserve"> ص 239 ) .</w:t>
      </w:r>
    </w:p>
    <w:p w:rsidR="00F72742" w:rsidRDefault="00F72742" w:rsidP="00F72742">
      <w:pPr>
        <w:pStyle w:val="aa"/>
        <w:widowControl w:val="0"/>
        <w:ind w:firstLine="567"/>
        <w:jc w:val="lowKashida"/>
        <w:rPr>
          <w:rFonts w:cs="Traditional Arabic" w:hint="cs"/>
          <w:color w:val="0000FF"/>
          <w:sz w:val="24"/>
          <w:szCs w:val="28"/>
          <w:rtl/>
        </w:rPr>
      </w:pPr>
      <w:r w:rsidRPr="00D56AA1">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w:t>
      </w:r>
    </w:p>
    <w:p w:rsidR="00F72742" w:rsidRPr="00D56AA1" w:rsidRDefault="00F72742" w:rsidP="00F72742">
      <w:pPr>
        <w:pStyle w:val="aa"/>
        <w:widowControl w:val="0"/>
        <w:ind w:firstLine="567"/>
        <w:jc w:val="lowKashida"/>
        <w:rPr>
          <w:rFonts w:cs="Traditional Arabic" w:hint="cs"/>
          <w:color w:val="0000FF"/>
          <w:sz w:val="24"/>
          <w:szCs w:val="28"/>
          <w:u w:val="single"/>
          <w:rtl/>
        </w:rPr>
      </w:pPr>
      <w:r w:rsidRPr="00D56AA1">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D56AA1">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1070/1 يزول الرهن بتسديد الدين عند استحقاقه  . . . المضمون ويعود معه إذا زال السبب الذي انقضى به الدين ، دون إخلال بالحقوق التي يكون الغير حسن النية قد كسبها قانونا في الفترة ما بين انقضاء الحق وعودته .</w:t>
      </w:r>
    </w:p>
    <w:p w:rsidR="00F72742" w:rsidRDefault="00F72742" w:rsidP="00F72742">
      <w:pPr>
        <w:pStyle w:val="aa"/>
        <w:widowControl w:val="0"/>
        <w:ind w:firstLine="567"/>
        <w:jc w:val="lowKashida"/>
        <w:rPr>
          <w:rFonts w:cs="Traditional Arabic" w:hint="cs"/>
          <w:color w:val="0000FF"/>
          <w:sz w:val="24"/>
          <w:szCs w:val="28"/>
          <w:rtl/>
        </w:rPr>
      </w:pPr>
      <w:r w:rsidRPr="00D56AA1">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1346 : ينقضي حق الرهن الحيازي بانقضاء الدين الموثوق ، ويعود معه إذا زال السبب الذي انقضى به الدين ، دون إخلال بالحقوق التي يكون الغير حسن النية قد كسبها قانونا في الفترة ما بين انقضاء الدين وعودته .</w:t>
      </w:r>
    </w:p>
    <w:p w:rsidR="00F72742" w:rsidRPr="00D4246E" w:rsidRDefault="00F72742" w:rsidP="00F72742">
      <w:pPr>
        <w:pStyle w:val="aa"/>
        <w:widowControl w:val="0"/>
        <w:ind w:firstLine="567"/>
        <w:jc w:val="lowKashida"/>
        <w:rPr>
          <w:rFonts w:cs="Traditional Arabic" w:hint="cs"/>
          <w:color w:val="0000FF"/>
          <w:sz w:val="24"/>
          <w:szCs w:val="28"/>
          <w:rtl/>
        </w:rPr>
      </w:pPr>
      <w:r w:rsidRPr="00D56AA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116 : يزو الرهن بتسديد الدين عند استحقاقه  . . .</w:t>
      </w:r>
    </w:p>
  </w:footnote>
  <w:footnote w:id="16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239 .</w:t>
      </w:r>
    </w:p>
  </w:footnote>
  <w:footnote w:id="166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1554 من المشروع التمهيدي على الوجه الآتي : "ينقضي أيضاً حق الرهن الحيازي بأحد الأسباب الآتية : ( أ ) إذا بيعت العين المرهونة بالمزاد العلني بيعاً جبريا . ( ب )  . . ." . وحذفت لجنة المراجعة البند ( أ ) استبقاء لحكم القانون الحالي ( السابق ) فيما يقضي به من أن البيع الجبري لا يطهر العين من الرهن الحيازي ، ووافقت على النص تحت رقم 1217 من المشروع النهائي . ووافق مجلس النواب على النص تحت رقم 1202 ، بعد أن حذف من البند ( ب ) العبارة الآتية "على أنه إذا كان الرهن مثقلا بحق تقرر لمصلحة أجنبي ، فإن انقضاء الرهن باتحاد الذمة لا ينفذ في حق هذا الأجنبي . ولا يعتبر الرهن منقضيا إذا كانت للمالك مصلحة قانونية في استبقائه ، وكذلك إذا زال سبب اتحاد الذمة لزواله أثر رجعي" . ووافق مجلس الشيوخ على النص ، تحت رقم 1113 ( مجموعة الأعمال التحضيرية 7 ص 239 </w:t>
      </w:r>
      <w:r>
        <w:rPr>
          <w:rFonts w:cs="Traditional Arabic"/>
          <w:color w:val="0000FF"/>
          <w:sz w:val="24"/>
          <w:szCs w:val="28"/>
          <w:rtl/>
        </w:rPr>
        <w:t>–</w:t>
      </w:r>
      <w:r>
        <w:rPr>
          <w:rFonts w:cs="Traditional Arabic" w:hint="cs"/>
          <w:color w:val="0000FF"/>
          <w:sz w:val="24"/>
          <w:szCs w:val="28"/>
          <w:rtl/>
        </w:rPr>
        <w:t xml:space="preserve"> ص 242 ) .</w:t>
      </w:r>
    </w:p>
    <w:p w:rsidR="00F72742" w:rsidRDefault="00F72742" w:rsidP="00F72742">
      <w:pPr>
        <w:pStyle w:val="aa"/>
        <w:widowControl w:val="0"/>
        <w:ind w:firstLine="567"/>
        <w:jc w:val="lowKashida"/>
        <w:rPr>
          <w:rFonts w:cs="Traditional Arabic" w:hint="cs"/>
          <w:color w:val="0000FF"/>
          <w:sz w:val="24"/>
          <w:szCs w:val="28"/>
          <w:rtl/>
        </w:rPr>
      </w:pPr>
      <w:r w:rsidRPr="00F92E04">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F92E04">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F92E04">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1070/1 يزول الرهن بـ  . . . . أو بالاتفاق بين المدين والدائن أو بمجرد إرادة المرتهن .</w:t>
      </w:r>
    </w:p>
    <w:p w:rsidR="00F72742" w:rsidRDefault="00F72742" w:rsidP="00F72742">
      <w:pPr>
        <w:pStyle w:val="aa"/>
        <w:widowControl w:val="0"/>
        <w:ind w:firstLine="567"/>
        <w:jc w:val="lowKashida"/>
        <w:rPr>
          <w:rFonts w:cs="Traditional Arabic" w:hint="cs"/>
          <w:color w:val="0000FF"/>
          <w:sz w:val="24"/>
          <w:szCs w:val="28"/>
          <w:rtl/>
        </w:rPr>
      </w:pPr>
      <w:r w:rsidRPr="00F92E04">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1117 : ينقضي أيضاً حق الرهن الحيازي بأحد الأسباب الآتية ( أ ) إذا نزل الدائن المرتهن عن هذا الحق وكان ذا أهلية في إبراء ذمة المدين من الدين . ويجوز أن يستفاد التنازل ضمنا من تخلي الدائن باختياره عن لاشيء المرهون أو من موافقته على التصرف فيه دون تحفظ ، على أنه إذا كان الرهن مثقلا بحق تقرر لمصلحة الغير إلا إذا أقره . ( ب ) إذا اجتمع حق الرهن الحيازي مع حق الملكية في يد شخص واحد . ( جـ ) إذا هلك الشيء أو انقضى الحق المضمون .</w:t>
      </w:r>
    </w:p>
    <w:p w:rsidR="00F72742" w:rsidRDefault="00F72742" w:rsidP="00F72742">
      <w:pPr>
        <w:pStyle w:val="aa"/>
        <w:widowControl w:val="0"/>
        <w:ind w:firstLine="567"/>
        <w:jc w:val="lowKashida"/>
        <w:rPr>
          <w:rFonts w:cs="Traditional Arabic" w:hint="cs"/>
          <w:color w:val="0000FF"/>
          <w:sz w:val="24"/>
          <w:szCs w:val="28"/>
          <w:rtl/>
        </w:rPr>
      </w:pPr>
      <w:r w:rsidRPr="00F92E04">
        <w:rPr>
          <w:rFonts w:cs="Traditional Arabic" w:hint="cs"/>
          <w:color w:val="0000FF"/>
          <w:sz w:val="24"/>
          <w:szCs w:val="28"/>
          <w:u w:val="single"/>
          <w:rtl/>
        </w:rPr>
        <w:t>التقنين المدني العراقي</w:t>
      </w:r>
      <w:r>
        <w:rPr>
          <w:rFonts w:cs="Traditional Arabic" w:hint="cs"/>
          <w:color w:val="0000FF"/>
          <w:sz w:val="24"/>
          <w:szCs w:val="28"/>
          <w:rtl/>
        </w:rPr>
        <w:t xml:space="preserve"> م 1349 : ينقضي أيضاً الرهن الحيازي بأحد الأسباب الآتية : ( أ ) إذا بيع المرهون لايفاء دني آخر وفقا للإجراءات المقررة قانونا . ( ب ) إذا اجتمع حق الرهن مع حق الملكية في يد شخص واحد ، ويعود الرهن إذا زال سبب اتحاد الذمة بأثر رجعي . ( جـ ) إذا تنازل المرتهن عن حق الرهن أو متقلا عن الدين ، ويجوز أن يستفاد التنازل دلالة من خلى المرتهن باختياره عن حيازة المرهون أو موافقة على التصرف فيه دون تحفظ . ( د ) إذا هلك المرهون .</w:t>
      </w:r>
    </w:p>
    <w:p w:rsidR="00F72742" w:rsidRPr="00DC0E1D" w:rsidRDefault="00F72742" w:rsidP="00F72742">
      <w:pPr>
        <w:pStyle w:val="aa"/>
        <w:widowControl w:val="0"/>
        <w:ind w:firstLine="567"/>
        <w:jc w:val="lowKashida"/>
        <w:rPr>
          <w:rFonts w:cs="Traditional Arabic" w:hint="cs"/>
          <w:color w:val="0000FF"/>
          <w:sz w:val="24"/>
          <w:szCs w:val="28"/>
          <w:rtl/>
        </w:rPr>
      </w:pPr>
      <w:r w:rsidRPr="00263222">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116 : يزول الرهن  . . . . أو بالاتفاق بين المدين والدائن المرتهن ، أو بمجرد إرادة المرتهن  . . . .</w:t>
      </w:r>
    </w:p>
  </w:footnote>
  <w:footnote w:id="166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141 </w:t>
      </w:r>
      <w:r>
        <w:rPr>
          <w:rFonts w:cs="Traditional Arabic"/>
          <w:color w:val="0000FF"/>
          <w:sz w:val="24"/>
          <w:szCs w:val="28"/>
          <w:rtl/>
        </w:rPr>
        <w:t>–</w:t>
      </w:r>
      <w:r>
        <w:rPr>
          <w:rFonts w:cs="Traditional Arabic" w:hint="cs"/>
          <w:color w:val="0000FF"/>
          <w:sz w:val="24"/>
          <w:szCs w:val="28"/>
          <w:rtl/>
        </w:rPr>
        <w:t xml:space="preserve"> ص 242 .</w:t>
      </w:r>
    </w:p>
  </w:footnote>
  <w:footnote w:id="16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وعقد الرهن ، في غير الحالات الخاصة ، لا يزول بإرادة واحدة بل باجتماع إرادتين . وقد قضت محكمة النقض بأنه متى كان الحكم قد حصل تحصيلا سابقا من المستندات أن اتفاقا قد تم بين الطاعن والمطعون عليه أن يضع هذا الأخير اليد على الأطيان التي رهنها له الطاعن رهنا تأميناً وأن يحصل ريعها خصما من دينه ، وقرر أنه سواء أكان الغرض من هذا الاتفاق هو إنشاء عقد رهن حيازي لاحق للرهن التأميني أمن عقد وكالة لإدارة الأطيان ، واستيفاء الدين من غلتها ، فإنه عل كلا الفرضين لا سبي للطاعن في أن ينهي بإنذار منه العلاقة القائمة فيما بينهما ، لأن عقد الرهن لا يفسخ بإرادة واحدة ، وكذلك عقد الوكالة إذا كان لمصلحة الدائن ، فا الطعن على الحكم بالخطأ في التكييف يكون على غير أساس ( نقض مدني 22 فبراير سنة 1951 مجموعة الخمسة والعشرين عاما 1 ص 394 رقم 15 ) . </w:t>
      </w:r>
    </w:p>
  </w:footnote>
  <w:footnote w:id="16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يونيه </w:t>
      </w:r>
      <w:smartTag w:uri="urn:schemas-microsoft-com:office:smarttags" w:element="metricconverter">
        <w:smartTagPr>
          <w:attr w:name="ProductID" w:val="1899 م"/>
        </w:smartTagPr>
        <w:r>
          <w:rPr>
            <w:rFonts w:cs="Traditional Arabic" w:hint="cs"/>
            <w:color w:val="0000FF"/>
            <w:sz w:val="24"/>
            <w:szCs w:val="28"/>
            <w:rtl/>
          </w:rPr>
          <w:t>1899 م</w:t>
        </w:r>
      </w:smartTag>
      <w:r>
        <w:rPr>
          <w:rFonts w:cs="Traditional Arabic" w:hint="cs"/>
          <w:color w:val="0000FF"/>
          <w:sz w:val="24"/>
          <w:szCs w:val="28"/>
          <w:rtl/>
        </w:rPr>
        <w:t xml:space="preserve"> 11 ص 295 .</w:t>
      </w:r>
    </w:p>
  </w:footnote>
  <w:footnote w:id="166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619 .</w:t>
      </w:r>
    </w:p>
  </w:footnote>
  <w:footnote w:id="16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p>
  </w:footnote>
  <w:footnote w:id="16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624 .</w:t>
      </w:r>
    </w:p>
  </w:footnote>
  <w:footnote w:id="166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624 .</w:t>
      </w:r>
    </w:p>
  </w:footnote>
  <w:footnote w:id="16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624 .</w:t>
      </w:r>
    </w:p>
  </w:footnote>
  <w:footnote w:id="16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الاستئناف الوطنية بأنه إذا اشترى المرتهن العين المرهونة ، ثم بعدئذ أبطل البيع أو ألغي أو سخ لأي سبب من الأسباب ، عاد الرهن إلى كيانه الأولى حافظا قوته الأصلية ( استئناف وطني 9 يونيه سنة 1915 الشرائع 2 رقم 334 ص 307 ) .</w:t>
      </w:r>
    </w:p>
  </w:footnote>
  <w:footnote w:id="167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619 .</w:t>
      </w:r>
    </w:p>
  </w:footnote>
  <w:footnote w:id="16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629 .</w:t>
      </w:r>
    </w:p>
  </w:footnote>
  <w:footnote w:id="167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آنفاً فقرة 607 .</w:t>
      </w:r>
    </w:p>
  </w:footnote>
  <w:footnote w:id="167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547 .</w:t>
      </w:r>
    </w:p>
  </w:footnote>
  <w:footnote w:id="16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549 .</w:t>
      </w:r>
    </w:p>
  </w:footnote>
  <w:footnote w:id="16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570 .</w:t>
      </w:r>
    </w:p>
  </w:footnote>
  <w:footnote w:id="167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w:t>
      </w:r>
      <w:r w:rsidRPr="00996CD7">
        <w:rPr>
          <w:rFonts w:cs="Traditional Arabic" w:hint="cs"/>
          <w:color w:val="0000FF"/>
          <w:sz w:val="24"/>
          <w:szCs w:val="28"/>
          <w:rtl/>
        </w:rPr>
        <w:t xml:space="preserve"> ورد هذا النص في المادة 1555 من الم</w:t>
      </w:r>
      <w:r>
        <w:rPr>
          <w:rFonts w:cs="Traditional Arabic" w:hint="cs"/>
          <w:color w:val="0000FF"/>
          <w:sz w:val="24"/>
          <w:szCs w:val="28"/>
          <w:rtl/>
        </w:rPr>
        <w:t>ش</w:t>
      </w:r>
      <w:r w:rsidRPr="00996CD7">
        <w:rPr>
          <w:rFonts w:cs="Traditional Arabic" w:hint="cs"/>
          <w:color w:val="0000FF"/>
          <w:sz w:val="24"/>
          <w:szCs w:val="28"/>
          <w:rtl/>
        </w:rPr>
        <w:t>روع التمهيدي على</w:t>
      </w:r>
      <w:r>
        <w:rPr>
          <w:rFonts w:cs="Traditional Arabic" w:hint="cs"/>
          <w:color w:val="0000FF"/>
          <w:sz w:val="24"/>
          <w:szCs w:val="28"/>
          <w:rtl/>
        </w:rPr>
        <w:t xml:space="preserve"> الوجه الآتي : "1- إذا وقع الرهن الحيازي على عقار ، سمي رهنا عقارياً . 2- ويشترط لنفاذ  الرهن العقاري في حق الغير ، إلى جانب انتقال الحيازة ، أن يقيد عقد الرهن ، ويسري على </w:t>
      </w:r>
      <w:r w:rsidRPr="00996CD7">
        <w:rPr>
          <w:rFonts w:cs="Traditional Arabic" w:hint="cs"/>
          <w:color w:val="0000FF"/>
          <w:sz w:val="24"/>
          <w:szCs w:val="28"/>
          <w:rtl/>
        </w:rPr>
        <w:t xml:space="preserve"> </w:t>
      </w:r>
      <w:r>
        <w:rPr>
          <w:rFonts w:cs="Traditional Arabic" w:hint="cs"/>
          <w:color w:val="0000FF"/>
          <w:sz w:val="24"/>
          <w:szCs w:val="28"/>
          <w:rtl/>
        </w:rPr>
        <w:t>هذا القيد الأحكام الخاصة بقيد الرهن الرسمي" . وعدلت لجنة المراجعة النص على الوجه الآتي : "1- يشترط لنفاذ الرهن العقاري في حق الغير ، إلى جانب انتقال الحيازة ، أن يقيد عقد الرهن ، وتسري على هذا القيد الأحكام الخاصة بقيد الرهن الرسمي . 2- وحقوق الرهن الحيازي العقاري القائمة وقت العمل بهذا القانون . يجب قيدها في خلال عشر سنوات من تاريخ تسجيل العقود المرتبة له ، أو في خلال سنة من وقت العمل بهذا القانون ، أي المدتين أطول . ويترتب على إجراء القيد المذكور حفظ مرتبة الرهن من تاريخ تسجيل العقد المرتب له ، فإذا لم يتم قيد العقد في خلال المدة المتقدمة فلا يكون الرهن بعد انقضائها نافذا بالنسبة إلى الغير" . وأقرت لجنة المراجعة المادة بعد هذا التعديل ، تحت رقم 1218 في المشروع النهائي . واقر مجلس النواب المادة ، تحت رقم 1203 . وفي لجنة مجلس الشيوخ ، حذفت اللجنة الفقرة الثانية ، لورود حكمها في قانون الشهر العقار . واقترح الاستغناء عن الرهن في العقار اكتفاء بالرهن الرسمي ، ومما قال المتقرح إنه إذا كان الأوضاع في الماضي قد أوجبت وضع يد الدائن على العقار المرهون كوسيلة لمنع المدين من التصرف فيه ، فإنه بعد ظهور نظام التسجيل أصبح وحده كفيلا بتحقيق هذا الغرض ، وليم يبق محل  لعقد الرهن الحيازي في العقار . وقررت لجنة مجلس الشيوخ عدم الأخذ بالاقتراح ، مستندة في ذلك إلى اعتبارين أساسيين . أولهما أن الرهن الحيازي ينطوي على تيسير للمدين ، لأنه يتم بعقد عرفي ويتيح استهلاك الدين م طريق إلزام الدائن باستغلاله واستنزال الغلة من الدين . وثانيهما أن حرمان البيئة الريفية من نظام الرهن الحيازي في العقار ، بعد أن ألغته وبعد إلغاء بيع الوفاء ، سيفضي إلى إرغام صغار الملاك على البيع تحت سلطان الاضطرار لاسيما متى كانوا يملكون أقل من خمسة أفدن’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واقترح حذف المواد 1114 إلى 1116 الخاصة برهن الحيازة في العقار وقصر هذا النوع من الرهن على المنقول ، ولم تر اللجنة الأخذ بهذا الاقتراح لأن ثمن فارقا جوهريا بين تصوير القانون المصري لرهن الحيازة والتصوير الفرنسي له ، ففي حين ا الأول يجعل الأصل هو وجوب استثمار الدائن المرهون تيسيرا لاستيفاء الدين لا يجعل الأخير للدائن حقا في الاستثمار ولا يرغمه عليه . وقد كان وسائل الائتمان متعددة من قبل ، لكانت الفاروقة قائمة في ظل نظام  الأراضي الخراجية وألغيت الفاروقة تبعا لزوال هذا النظام ، ثم شاع نظام بيع الوفاء ولكن إساءة استعمال هذا النظام حدت إلى إلغائه . والآن لم يعد في البيئة الريفية إلا رهن الحيازة ، ألفه الناس واستقر في تقاليدهم ، فإذا ألغي كان من العسير أن يعتمد صغار الزراع على الرهن التأمينين ( الرسمي ) وهم لم يألفوه بصوفه وسيلة من وسائل الضمان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واستقر رأي اللجنة على عدم حذف الرهن الحيازي العقاري ، وأقرت الادة تحت رقم 1114 ، ووافق مجلس الشيوخ على المادة ( مجموعة الأعمال التحضيرية 7 ص 243 </w:t>
      </w:r>
      <w:r>
        <w:rPr>
          <w:rFonts w:cs="Traditional Arabic"/>
          <w:color w:val="0000FF"/>
          <w:sz w:val="24"/>
          <w:szCs w:val="28"/>
          <w:rtl/>
        </w:rPr>
        <w:t>–</w:t>
      </w:r>
      <w:r>
        <w:rPr>
          <w:rFonts w:cs="Traditional Arabic" w:hint="cs"/>
          <w:color w:val="0000FF"/>
          <w:sz w:val="24"/>
          <w:szCs w:val="28"/>
          <w:rtl/>
        </w:rPr>
        <w:t xml:space="preserve"> ص 248 ) .</w:t>
      </w:r>
    </w:p>
    <w:p w:rsidR="00F72742" w:rsidRDefault="00F72742" w:rsidP="00F72742">
      <w:pPr>
        <w:pStyle w:val="aa"/>
        <w:widowControl w:val="0"/>
        <w:ind w:firstLine="567"/>
        <w:jc w:val="lowKashida"/>
        <w:rPr>
          <w:rFonts w:cs="Traditional Arabic" w:hint="cs"/>
          <w:color w:val="0000FF"/>
          <w:sz w:val="24"/>
          <w:szCs w:val="28"/>
          <w:rtl/>
        </w:rPr>
      </w:pPr>
      <w:r w:rsidRPr="006A7CBD">
        <w:rPr>
          <w:rFonts w:cs="Traditional Arabic" w:hint="cs"/>
          <w:color w:val="0000FF"/>
          <w:sz w:val="24"/>
          <w:szCs w:val="28"/>
          <w:u w:val="single"/>
          <w:rtl/>
        </w:rPr>
        <w:t>التقنين المدني السابق</w:t>
      </w:r>
      <w:r>
        <w:rPr>
          <w:rFonts w:cs="Traditional Arabic" w:hint="cs"/>
          <w:color w:val="0000FF"/>
          <w:sz w:val="24"/>
          <w:szCs w:val="28"/>
          <w:rtl/>
        </w:rPr>
        <w:t xml:space="preserve"> م 551 / 675 : لا يضر رهن العقار بالحقوق المكتسبة عليه المحفوظة وبالوجه المرعي قبل تسجيل الرهن ، وانظر أيضاً المادة الأولى من قانون التسجيل .</w:t>
      </w:r>
    </w:p>
    <w:p w:rsidR="00F72742" w:rsidRDefault="00F72742" w:rsidP="00F72742">
      <w:pPr>
        <w:pStyle w:val="aa"/>
        <w:widowControl w:val="0"/>
        <w:ind w:firstLine="567"/>
        <w:jc w:val="lowKashida"/>
        <w:rPr>
          <w:rFonts w:cs="Traditional Arabic" w:hint="cs"/>
          <w:color w:val="0000FF"/>
          <w:sz w:val="24"/>
          <w:szCs w:val="28"/>
          <w:rtl/>
        </w:rPr>
      </w:pPr>
      <w:r w:rsidRPr="006A7CBD">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1142B8">
        <w:rPr>
          <w:rFonts w:cs="Traditional Arabic" w:hint="cs"/>
          <w:color w:val="0000FF"/>
          <w:sz w:val="24"/>
          <w:szCs w:val="28"/>
          <w:u w:val="single"/>
          <w:rtl/>
        </w:rPr>
        <w:t>التقنين المدني السوري</w:t>
      </w:r>
      <w:r>
        <w:rPr>
          <w:rFonts w:cs="Traditional Arabic" w:hint="cs"/>
          <w:color w:val="0000FF"/>
          <w:sz w:val="24"/>
          <w:szCs w:val="28"/>
          <w:rtl/>
        </w:rPr>
        <w:t xml:space="preserve"> م 1063 : لا يمس الرهن بالحقوق العينية المحرزة بطريقة قانونية على العقار قبل قيد الرهن في السجل العقاري .</w:t>
      </w:r>
    </w:p>
    <w:p w:rsidR="00F72742" w:rsidRDefault="00F72742" w:rsidP="00F72742">
      <w:pPr>
        <w:pStyle w:val="aa"/>
        <w:widowControl w:val="0"/>
        <w:ind w:firstLine="567"/>
        <w:jc w:val="lowKashida"/>
        <w:rPr>
          <w:rFonts w:cs="Traditional Arabic" w:hint="cs"/>
          <w:color w:val="0000FF"/>
          <w:sz w:val="24"/>
          <w:szCs w:val="28"/>
          <w:rtl/>
        </w:rPr>
      </w:pPr>
      <w:r w:rsidRPr="001142B8">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1118 : يشترط لنفاذ الرهن العقاري في حق الغير انتقال الحيازة أن يقيد عقد الرهن ، وتسري على هذا القيد الأحكام الخاصة بقيد الرهن الاتفاقي .</w:t>
      </w:r>
    </w:p>
    <w:p w:rsidR="00F72742" w:rsidRDefault="00F72742" w:rsidP="00F72742">
      <w:pPr>
        <w:pStyle w:val="aa"/>
        <w:widowControl w:val="0"/>
        <w:ind w:firstLine="567"/>
        <w:jc w:val="lowKashida"/>
        <w:rPr>
          <w:rFonts w:cs="Traditional Arabic" w:hint="cs"/>
          <w:color w:val="0000FF"/>
          <w:sz w:val="24"/>
          <w:szCs w:val="28"/>
          <w:rtl/>
        </w:rPr>
      </w:pPr>
      <w:r w:rsidRPr="00B96E63">
        <w:rPr>
          <w:rFonts w:cs="Traditional Arabic" w:hint="cs"/>
          <w:color w:val="0000FF"/>
          <w:sz w:val="24"/>
          <w:szCs w:val="28"/>
          <w:u w:val="single"/>
          <w:rtl/>
        </w:rPr>
        <w:t>التقنين المدني العراقي</w:t>
      </w:r>
      <w:r>
        <w:rPr>
          <w:rFonts w:cs="Traditional Arabic" w:hint="cs"/>
          <w:color w:val="0000FF"/>
          <w:sz w:val="24"/>
          <w:szCs w:val="28"/>
          <w:rtl/>
        </w:rPr>
        <w:t xml:space="preserve"> : لا شيء .</w:t>
      </w:r>
    </w:p>
    <w:p w:rsidR="00F72742" w:rsidRPr="00996CD7" w:rsidRDefault="00F72742" w:rsidP="00F72742">
      <w:pPr>
        <w:pStyle w:val="aa"/>
        <w:widowControl w:val="0"/>
        <w:ind w:firstLine="567"/>
        <w:jc w:val="lowKashida"/>
        <w:rPr>
          <w:rFonts w:cs="Traditional Arabic" w:hint="cs"/>
          <w:color w:val="0000FF"/>
          <w:sz w:val="24"/>
          <w:szCs w:val="28"/>
          <w:rtl/>
        </w:rPr>
      </w:pPr>
      <w:r w:rsidRPr="001142B8">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7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439 </w:t>
      </w:r>
      <w:r>
        <w:rPr>
          <w:rFonts w:cs="Traditional Arabic"/>
          <w:color w:val="0000FF"/>
          <w:sz w:val="24"/>
          <w:szCs w:val="28"/>
          <w:rtl/>
        </w:rPr>
        <w:t>–</w:t>
      </w:r>
      <w:r>
        <w:rPr>
          <w:rFonts w:cs="Traditional Arabic" w:hint="cs"/>
          <w:color w:val="0000FF"/>
          <w:sz w:val="24"/>
          <w:szCs w:val="28"/>
          <w:rtl/>
        </w:rPr>
        <w:t xml:space="preserve"> 469 .</w:t>
      </w:r>
    </w:p>
  </w:footnote>
  <w:footnote w:id="168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1556 من المشروع التمهيدي على وجه مطابق لما استقر عليه في التقنين المدني الجديد . ووافقت عليه لجنة المراجعة ، تحت رقم 1219 في المشروع النهائي . ووافق عليه مجلس النواب تحت رقم 1204 ، ثم مجلس الشيوخ تحت رقم 1115 ( مجموعة الأعمال التحضيرية 7 ص 249 </w:t>
      </w:r>
      <w:r>
        <w:rPr>
          <w:rFonts w:cs="Traditional Arabic"/>
          <w:color w:val="0000FF"/>
          <w:sz w:val="24"/>
          <w:szCs w:val="28"/>
          <w:rtl/>
        </w:rPr>
        <w:t>–</w:t>
      </w:r>
      <w:r>
        <w:rPr>
          <w:rFonts w:cs="Traditional Arabic" w:hint="cs"/>
          <w:color w:val="0000FF"/>
          <w:sz w:val="24"/>
          <w:szCs w:val="28"/>
          <w:rtl/>
        </w:rPr>
        <w:t xml:space="preserve"> ص 250 )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w:t>
      </w:r>
      <w:r w:rsidRPr="002B5364">
        <w:rPr>
          <w:rFonts w:cs="Traditional Arabic" w:hint="cs"/>
          <w:color w:val="0000FF"/>
          <w:sz w:val="24"/>
          <w:szCs w:val="28"/>
          <w:rtl/>
        </w:rPr>
        <w:t xml:space="preserve"> 540 / 662</w:t>
      </w:r>
      <w:r>
        <w:rPr>
          <w:rFonts w:cs="Traditional Arabic" w:hint="cs"/>
          <w:color w:val="0000FF"/>
          <w:sz w:val="24"/>
          <w:szCs w:val="28"/>
          <w:rtl/>
        </w:rPr>
        <w:t xml:space="preserve"> فقرة ثانية : وفي حالة الرهن العقاري ، يجوز للدائن المرتهن أن يؤجر العقار المرهون المدين ، بشرط أن يكون الإيجار منصوصاً عليه في عقد الرهن أو مؤشراً به في هامش تسجيل الرهن وذلك في حالة حصول الإيجار بعد الرهن .</w:t>
      </w:r>
    </w:p>
    <w:p w:rsidR="00F72742" w:rsidRDefault="00F72742" w:rsidP="00F72742">
      <w:pPr>
        <w:pStyle w:val="aa"/>
        <w:widowControl w:val="0"/>
        <w:ind w:firstLine="567"/>
        <w:jc w:val="lowKashida"/>
        <w:rPr>
          <w:rFonts w:cs="Traditional Arabic" w:hint="cs"/>
          <w:color w:val="0000FF"/>
          <w:sz w:val="24"/>
          <w:szCs w:val="28"/>
          <w:rtl/>
        </w:rPr>
      </w:pPr>
      <w:r w:rsidRPr="00586811">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586811">
        <w:rPr>
          <w:rFonts w:cs="Traditional Arabic" w:hint="cs"/>
          <w:color w:val="0000FF"/>
          <w:sz w:val="24"/>
          <w:szCs w:val="28"/>
          <w:u w:val="single"/>
          <w:rtl/>
        </w:rPr>
        <w:t>التقنين السوري</w:t>
      </w:r>
      <w:r>
        <w:rPr>
          <w:rFonts w:cs="Traditional Arabic" w:hint="cs"/>
          <w:color w:val="0000FF"/>
          <w:sz w:val="24"/>
          <w:szCs w:val="28"/>
          <w:rtl/>
        </w:rPr>
        <w:t xml:space="preserve"> م 1069 : العقار المرهون الذي يعيره الدائن المرتهن إلى المدين أو يؤجره منه يبقى مخصصاً لضمان وفاء الدين .</w:t>
      </w:r>
    </w:p>
    <w:p w:rsidR="00F72742" w:rsidRDefault="00F72742" w:rsidP="00F72742">
      <w:pPr>
        <w:pStyle w:val="aa"/>
        <w:widowControl w:val="0"/>
        <w:ind w:firstLine="567"/>
        <w:jc w:val="lowKashida"/>
        <w:rPr>
          <w:rFonts w:cs="Traditional Arabic" w:hint="cs"/>
          <w:color w:val="0000FF"/>
          <w:sz w:val="24"/>
          <w:szCs w:val="28"/>
          <w:rtl/>
        </w:rPr>
      </w:pPr>
      <w:r w:rsidRPr="00586811">
        <w:rPr>
          <w:rFonts w:cs="Traditional Arabic" w:hint="cs"/>
          <w:color w:val="0000FF"/>
          <w:sz w:val="24"/>
          <w:szCs w:val="28"/>
          <w:u w:val="single"/>
          <w:rtl/>
        </w:rPr>
        <w:t>التقنين الليبي</w:t>
      </w:r>
      <w:r>
        <w:rPr>
          <w:rFonts w:cs="Traditional Arabic" w:hint="cs"/>
          <w:color w:val="0000FF"/>
          <w:sz w:val="24"/>
          <w:szCs w:val="28"/>
          <w:rtl/>
        </w:rPr>
        <w:t xml:space="preserve"> م 1119 : يجوز للدائن المرتهن لعقار أن يؤجر العقار إلى الراهن دون أن يمنع ذلك من نفاذ الرهن في حق الغير . فإذا اتفق على الإيجار في عقد الرهن ، وجب ذكر ذلك في القيد ذاته . أما إذا اتفق عليه بعد الرهن ، وجب أن يؤشر به في هامش القيد ، إلا أن هذا التأشير لا يكون ضرورياً إذا تجدد الإيجار تجديداً ضمنياً .</w:t>
      </w:r>
    </w:p>
    <w:p w:rsidR="00F72742" w:rsidRDefault="00F72742" w:rsidP="00F72742">
      <w:pPr>
        <w:pStyle w:val="aa"/>
        <w:widowControl w:val="0"/>
        <w:ind w:firstLine="567"/>
        <w:jc w:val="lowKashida"/>
        <w:rPr>
          <w:rFonts w:cs="Traditional Arabic" w:hint="cs"/>
          <w:color w:val="0000FF"/>
          <w:sz w:val="24"/>
          <w:szCs w:val="28"/>
          <w:rtl/>
        </w:rPr>
      </w:pPr>
      <w:r w:rsidRPr="00586811">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Pr="002B5364" w:rsidRDefault="00F72742" w:rsidP="00F72742">
      <w:pPr>
        <w:pStyle w:val="aa"/>
        <w:widowControl w:val="0"/>
        <w:ind w:firstLine="567"/>
        <w:jc w:val="lowKashida"/>
        <w:rPr>
          <w:rFonts w:cs="Traditional Arabic" w:hint="cs"/>
          <w:color w:val="0000FF"/>
          <w:sz w:val="24"/>
          <w:szCs w:val="28"/>
          <w:rtl/>
        </w:rPr>
      </w:pPr>
      <w:r w:rsidRPr="0058681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115 : العقار المرهون الذي يعيره الدائن المرتهن إلى المديون أو يؤجره منه يبقى مخصصا لضمان وفاء الدين .</w:t>
      </w:r>
    </w:p>
  </w:footnote>
  <w:footnote w:id="168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252 .</w:t>
      </w:r>
    </w:p>
  </w:footnote>
  <w:footnote w:id="168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115 من المشروع التمهيدي ، على وجه مطابق لما استقر عليه في التقنين المدني الجديد . ووافقت عليه لجنة المراجعة ، تحت رقم 1220 في المشروع النهائي . ووافق عليه مجلس النواب تحت رقم 1205 ، ثم مجلس الشيوخ تحت رقم 1116 ( مجموعة الأعمال التحضيرية 7 ص 251 </w:t>
      </w:r>
      <w:r>
        <w:rPr>
          <w:rFonts w:cs="Traditional Arabic"/>
          <w:color w:val="0000FF"/>
          <w:sz w:val="24"/>
          <w:szCs w:val="28"/>
          <w:rtl/>
        </w:rPr>
        <w:t>–</w:t>
      </w:r>
      <w:r>
        <w:rPr>
          <w:rFonts w:cs="Traditional Arabic" w:hint="cs"/>
          <w:color w:val="0000FF"/>
          <w:sz w:val="24"/>
          <w:szCs w:val="28"/>
          <w:rtl/>
        </w:rPr>
        <w:t xml:space="preserve"> ص 253 ) .</w:t>
      </w:r>
    </w:p>
    <w:p w:rsidR="00F72742" w:rsidRDefault="00F72742" w:rsidP="00F72742">
      <w:pPr>
        <w:pStyle w:val="aa"/>
        <w:widowControl w:val="0"/>
        <w:ind w:firstLine="567"/>
        <w:jc w:val="lowKashida"/>
        <w:rPr>
          <w:rFonts w:hint="cs"/>
          <w:rtl/>
        </w:rPr>
      </w:pPr>
      <w:r>
        <w:rPr>
          <w:rFonts w:cs="Traditional Arabic" w:hint="cs"/>
          <w:color w:val="0000FF"/>
          <w:sz w:val="24"/>
          <w:szCs w:val="28"/>
          <w:u w:val="single"/>
          <w:rtl/>
        </w:rPr>
        <w:t>التقنين المدني السابق</w:t>
      </w:r>
      <w:r>
        <w:rPr>
          <w:rFonts w:hint="cs"/>
          <w:rtl/>
        </w:rPr>
        <w:t xml:space="preserve"> </w:t>
      </w:r>
      <w:r w:rsidRPr="00215C23">
        <w:rPr>
          <w:rFonts w:cs="Traditional Arabic" w:hint="cs"/>
          <w:color w:val="0000FF"/>
          <w:sz w:val="24"/>
          <w:szCs w:val="28"/>
          <w:rtl/>
        </w:rPr>
        <w:t xml:space="preserve">م 552  676 </w:t>
      </w:r>
      <w:r w:rsidRPr="00215C23">
        <w:rPr>
          <w:rFonts w:cs="Traditional Arabic"/>
          <w:color w:val="0000FF"/>
          <w:sz w:val="24"/>
          <w:szCs w:val="28"/>
          <w:rtl/>
        </w:rPr>
        <w:t>–</w:t>
      </w:r>
      <w:r w:rsidRPr="00215C23">
        <w:rPr>
          <w:rFonts w:cs="Traditional Arabic" w:hint="cs"/>
          <w:color w:val="0000FF"/>
          <w:sz w:val="24"/>
          <w:szCs w:val="28"/>
          <w:rtl/>
        </w:rPr>
        <w:t xml:space="preserve"> 677</w:t>
      </w:r>
      <w:r>
        <w:rPr>
          <w:rFonts w:cs="Traditional Arabic" w:hint="cs"/>
          <w:color w:val="0000FF"/>
          <w:sz w:val="24"/>
          <w:szCs w:val="28"/>
          <w:rtl/>
        </w:rPr>
        <w:t xml:space="preserve"> :</w:t>
      </w:r>
      <w:r w:rsidRPr="00215C23">
        <w:rPr>
          <w:rFonts w:cs="Traditional Arabic" w:hint="cs"/>
          <w:color w:val="0000FF"/>
          <w:sz w:val="24"/>
          <w:szCs w:val="28"/>
          <w:rtl/>
        </w:rPr>
        <w:t xml:space="preserve"> على الدائن الذي ارتهن العقاري أن يقوم بحفظه وأن يصرف المصاريف الضرورية اللازمة لصيانته</w:t>
      </w:r>
      <w:r>
        <w:rPr>
          <w:rFonts w:cs="Traditional Arabic" w:hint="cs"/>
          <w:color w:val="0000FF"/>
          <w:sz w:val="24"/>
          <w:szCs w:val="28"/>
          <w:rtl/>
        </w:rPr>
        <w:t xml:space="preserve"> ،</w:t>
      </w:r>
      <w:r w:rsidRPr="00215C23">
        <w:rPr>
          <w:rFonts w:cs="Traditional Arabic" w:hint="cs"/>
          <w:color w:val="0000FF"/>
          <w:sz w:val="24"/>
          <w:szCs w:val="28"/>
          <w:rtl/>
        </w:rPr>
        <w:t xml:space="preserve"> مع أداء العوائد المترتبة عليه للحكومة</w:t>
      </w:r>
      <w:r>
        <w:rPr>
          <w:rFonts w:cs="Traditional Arabic" w:hint="cs"/>
          <w:color w:val="0000FF"/>
          <w:sz w:val="24"/>
          <w:szCs w:val="28"/>
          <w:rtl/>
        </w:rPr>
        <w:t xml:space="preserve"> .</w:t>
      </w:r>
      <w:r w:rsidRPr="00215C23">
        <w:rPr>
          <w:rFonts w:cs="Traditional Arabic" w:hint="cs"/>
          <w:color w:val="0000FF"/>
          <w:sz w:val="24"/>
          <w:szCs w:val="28"/>
          <w:rtl/>
        </w:rPr>
        <w:t xml:space="preserve"> إنما له أن يستوي ذلك م ريعه</w:t>
      </w:r>
      <w:r>
        <w:rPr>
          <w:rFonts w:cs="Traditional Arabic" w:hint="cs"/>
          <w:color w:val="0000FF"/>
          <w:sz w:val="24"/>
          <w:szCs w:val="28"/>
          <w:rtl/>
        </w:rPr>
        <w:t xml:space="preserve"> ،</w:t>
      </w:r>
      <w:r w:rsidRPr="00215C23">
        <w:rPr>
          <w:rFonts w:cs="Traditional Arabic" w:hint="cs"/>
          <w:color w:val="0000FF"/>
          <w:sz w:val="24"/>
          <w:szCs w:val="28"/>
          <w:rtl/>
        </w:rPr>
        <w:t xml:space="preserve"> أو يستوفيه بالامتياز من ثمن العقار</w:t>
      </w:r>
      <w:r>
        <w:rPr>
          <w:rFonts w:cs="Traditional Arabic" w:hint="cs"/>
          <w:color w:val="0000FF"/>
          <w:sz w:val="24"/>
          <w:szCs w:val="28"/>
          <w:rtl/>
        </w:rPr>
        <w:t xml:space="preserve"> .</w:t>
      </w:r>
      <w:r w:rsidRPr="00215C23">
        <w:rPr>
          <w:rFonts w:cs="Traditional Arabic" w:hint="cs"/>
          <w:color w:val="0000FF"/>
          <w:sz w:val="24"/>
          <w:szCs w:val="28"/>
          <w:rtl/>
        </w:rPr>
        <w:t xml:space="preserve"> ويجوز له في جميع الأحوال أن يتخلص من عمل تلك الكلف</w:t>
      </w:r>
      <w:r>
        <w:rPr>
          <w:rFonts w:cs="Traditional Arabic" w:hint="cs"/>
          <w:color w:val="0000FF"/>
          <w:sz w:val="24"/>
          <w:szCs w:val="28"/>
          <w:rtl/>
        </w:rPr>
        <w:t xml:space="preserve"> ،</w:t>
      </w:r>
      <w:r w:rsidRPr="00215C23">
        <w:rPr>
          <w:rFonts w:cs="Traditional Arabic" w:hint="cs"/>
          <w:color w:val="0000FF"/>
          <w:sz w:val="24"/>
          <w:szCs w:val="28"/>
          <w:rtl/>
        </w:rPr>
        <w:t xml:space="preserve"> بتركه حق الرهن</w:t>
      </w:r>
      <w:r>
        <w:rPr>
          <w:rFonts w:hint="cs"/>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CA7A0C">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CA7A0C">
        <w:rPr>
          <w:rFonts w:cs="Traditional Arabic" w:hint="cs"/>
          <w:color w:val="0000FF"/>
          <w:sz w:val="24"/>
          <w:szCs w:val="28"/>
          <w:u w:val="single"/>
          <w:rtl/>
        </w:rPr>
        <w:t>التقنين السوري</w:t>
      </w:r>
      <w:r>
        <w:rPr>
          <w:rFonts w:cs="Traditional Arabic" w:hint="cs"/>
          <w:color w:val="0000FF"/>
          <w:sz w:val="24"/>
          <w:szCs w:val="28"/>
          <w:rtl/>
        </w:rPr>
        <w:t xml:space="preserve"> م 1066/1 على الدائنان يعتني بصيانة العقار المرهون وبإجراء التصليحات المفيدة والضرورية له ، على أن يتناول من الثمار جميع مصاريف الصيانة والتصليحات أو أن يستوفيها بالأفضلية من ثمن العقار . </w:t>
      </w:r>
      <w:r w:rsidRPr="001A31E3">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CA7A0C">
        <w:rPr>
          <w:rFonts w:cs="Traditional Arabic" w:hint="cs"/>
          <w:color w:val="0000FF"/>
          <w:sz w:val="24"/>
          <w:szCs w:val="28"/>
          <w:u w:val="single"/>
          <w:rtl/>
        </w:rPr>
        <w:t>التقنين الليبي</w:t>
      </w:r>
      <w:r>
        <w:rPr>
          <w:rFonts w:cs="Traditional Arabic" w:hint="cs"/>
          <w:color w:val="0000FF"/>
          <w:sz w:val="24"/>
          <w:szCs w:val="28"/>
          <w:rtl/>
        </w:rPr>
        <w:t xml:space="preserve"> م 1120 : 1- على الدائن المرتهن لعقار أن يتعهد العقار بالصيانة وأن يقوم بالنفقات اللازمة لحفظه ، وأن يدفع ما يستحق سنويا على العقار من ضرائب وتكاليف ، على أن يستنزل من الثمار التي يحصلها قيمة ما أنفق أو يستوفي هذه القيمة من ثمن العقار في المرتبة التي يخولها له القانون . 2- ويجوز للدائن أن يتحلل من هذه الالتزامات إذا هو تخلى عن حق الرهن .</w:t>
      </w:r>
    </w:p>
    <w:p w:rsidR="00F72742" w:rsidRDefault="00F72742" w:rsidP="00F72742">
      <w:pPr>
        <w:pStyle w:val="aa"/>
        <w:widowControl w:val="0"/>
        <w:ind w:firstLine="567"/>
        <w:jc w:val="lowKashida"/>
        <w:rPr>
          <w:rFonts w:cs="Traditional Arabic" w:hint="cs"/>
          <w:color w:val="0000FF"/>
          <w:sz w:val="24"/>
          <w:szCs w:val="28"/>
          <w:rtl/>
        </w:rPr>
      </w:pPr>
      <w:r w:rsidRPr="00CA7A0C">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CA7A0C">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م 112 : على الدائن أن يعتني بصيانة العقار المرهون وبإجراء التصليحات المفيدة والضرورية له ، على أن يتناول من الغلة جميع مصاريف الصيانة والتصليحات أو أن يستوفيها بالأفضلية من ثمن العقار . وله دائما أن يرفع هذه الموجبات عن عاتقه بتخليه عن حق الرهن .</w:t>
      </w:r>
    </w:p>
    <w:p w:rsidR="00F72742" w:rsidRPr="001A31E3" w:rsidRDefault="00F72742" w:rsidP="00F72742">
      <w:pPr>
        <w:pStyle w:val="aa"/>
        <w:widowControl w:val="0"/>
        <w:ind w:firstLine="567"/>
        <w:jc w:val="lowKashida"/>
        <w:rPr>
          <w:rFonts w:cs="Traditional Arabic" w:hint="cs"/>
          <w:color w:val="0000FF"/>
          <w:sz w:val="24"/>
          <w:szCs w:val="28"/>
          <w:rtl/>
        </w:rPr>
      </w:pPr>
    </w:p>
  </w:footnote>
  <w:footnote w:id="16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252 .</w:t>
      </w:r>
    </w:p>
  </w:footnote>
  <w:footnote w:id="168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آنفا فقرة 556 وما بعدها .</w:t>
      </w:r>
    </w:p>
  </w:footnote>
  <w:footnote w:id="168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1558 من المشروع التمهيدي على الوجه الآتي : "رهن المنقول هو رهن الحيازة إذا وقع على شيء منقول . 2- ويشترط لنفاذ رهن المنقول في حق الغير ، إلى جانب انتقال الحيازة ، أن يدون العقد في ورقة ثابتة التاريخ ، ويبين فيها بيانا كافيا المبلغ المضمون بالرهن والعين المرهونة ، يحدد هذا التاريخ الثابت مرتبة الدائن المرتهن" . وحذفت لجنة المراجعة الفقرة الأولى لعدم الحاجة إليها ، واستبدلت عبارة "يبين فيها المبلغ المضمون بالرهن والعين المرهونة بيانا كافيا" بعبارة "ويبين فيها المبلغ المضمون بالرهن والعين المرهونة" . ووافقت اللجنة على المادة بعد تعديلها ، تحت رقم 1221 في المشروع النهائي . ووافق مجلس النواب على المادة تحت رقم 1206 ، ثم مجلس الشيوخ تحت رقم 1117 ( مجموعة الأعمال التحضيرية 7 ص 254 </w:t>
      </w:r>
      <w:r>
        <w:rPr>
          <w:rFonts w:cs="Traditional Arabic"/>
          <w:color w:val="0000FF"/>
          <w:sz w:val="24"/>
          <w:szCs w:val="28"/>
          <w:rtl/>
        </w:rPr>
        <w:t>–</w:t>
      </w:r>
      <w:r>
        <w:rPr>
          <w:rFonts w:cs="Traditional Arabic" w:hint="cs"/>
          <w:color w:val="0000FF"/>
          <w:sz w:val="24"/>
          <w:szCs w:val="28"/>
          <w:rtl/>
        </w:rPr>
        <w:t xml:space="preserve"> ص 255 )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w:t>
      </w:r>
      <w:r>
        <w:rPr>
          <w:rFonts w:cs="Traditional Arabic" w:hint="cs"/>
          <w:color w:val="0000FF"/>
          <w:sz w:val="24"/>
          <w:szCs w:val="28"/>
          <w:rtl/>
        </w:rPr>
        <w:t xml:space="preserve"> م 549 فقرة أولى / 672 : لا يصح رهن المنقول بالنسبة لغير المتعاقدين ، إلا إذا كان بسند ذي تاريخ ثابت بوجه رسمي مشتمل على بيان المبلغ المضمون وبيان الشيء المرهون بياناً كافياً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1032/1 : إذا كانت قيمة المرهون يجاوز مائة ليرة سورية ، فلا يترتب الامتياز إلا إذا كان هناك سند محرر أمام مأمور رسمي أو سند عادي ثابت التاريخ يتضمن بيان مقدار الدين وتعيين ذرع الأشياء المرهونة وماهيتها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1121 : يشترط لنفاذ رهن المنقول في حق الغير إلى جانب انتقال الحيازة أن يدون العقد في ورقة ثابتة التاريخ يبين فيها المبلغ المضمون بالرهن والعين المرهونة بيانا كافيا . وهذا التاريخ الثابت يحدد مرتبة الدائن المرتهن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Pr="00140276" w:rsidRDefault="00F72742" w:rsidP="00F72742">
      <w:pPr>
        <w:pStyle w:val="aa"/>
        <w:widowControl w:val="0"/>
        <w:ind w:firstLine="567"/>
        <w:jc w:val="lowKashida"/>
        <w:rPr>
          <w:rFonts w:cs="Traditional Arabic" w:hint="cs"/>
          <w:color w:val="0000FF"/>
          <w:sz w:val="24"/>
          <w:szCs w:val="28"/>
          <w:rtl/>
        </w:rPr>
      </w:pPr>
      <w:r w:rsidRPr="00523137">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محكمة مصر 18 فبراير سنة 1892 الحقوق 7 ص 27 .</w:t>
      </w:r>
    </w:p>
  </w:footnote>
  <w:footnote w:id="16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353 ص 478 </w:t>
      </w:r>
      <w:r>
        <w:rPr>
          <w:rFonts w:cs="Traditional Arabic"/>
          <w:color w:val="0000FF"/>
          <w:sz w:val="24"/>
          <w:szCs w:val="28"/>
          <w:rtl/>
        </w:rPr>
        <w:t>–</w:t>
      </w:r>
      <w:r>
        <w:rPr>
          <w:rFonts w:cs="Traditional Arabic" w:hint="cs"/>
          <w:color w:val="0000FF"/>
          <w:sz w:val="24"/>
          <w:szCs w:val="28"/>
          <w:rtl/>
        </w:rPr>
        <w:t xml:space="preserve"> لوران فقرة 484 </w:t>
      </w:r>
      <w:r>
        <w:rPr>
          <w:rFonts w:cs="Traditional Arabic"/>
          <w:color w:val="0000FF"/>
          <w:sz w:val="24"/>
          <w:szCs w:val="28"/>
          <w:rtl/>
        </w:rPr>
        <w:t>–</w:t>
      </w:r>
      <w:r>
        <w:rPr>
          <w:rFonts w:cs="Traditional Arabic" w:hint="cs"/>
          <w:color w:val="0000FF"/>
          <w:sz w:val="24"/>
          <w:szCs w:val="28"/>
          <w:rtl/>
        </w:rPr>
        <w:t xml:space="preserve"> جيوار فقرة 49 </w:t>
      </w:r>
      <w:r>
        <w:rPr>
          <w:rFonts w:cs="Traditional Arabic"/>
          <w:color w:val="0000FF"/>
          <w:sz w:val="24"/>
          <w:szCs w:val="28"/>
          <w:rtl/>
        </w:rPr>
        <w:t>–</w:t>
      </w:r>
      <w:r>
        <w:rPr>
          <w:rFonts w:cs="Traditional Arabic" w:hint="cs"/>
          <w:color w:val="0000FF"/>
          <w:sz w:val="24"/>
          <w:szCs w:val="28"/>
          <w:rtl/>
        </w:rPr>
        <w:t xml:space="preserve"> بودري ودي لوان فقرة 48 وفقرة 51 </w:t>
      </w:r>
      <w:r>
        <w:rPr>
          <w:rFonts w:cs="Traditional Arabic"/>
          <w:color w:val="0000FF"/>
          <w:sz w:val="24"/>
          <w:szCs w:val="28"/>
          <w:rtl/>
        </w:rPr>
        <w:t>–</w:t>
      </w:r>
      <w:r>
        <w:rPr>
          <w:rFonts w:cs="Traditional Arabic" w:hint="cs"/>
          <w:color w:val="0000FF"/>
          <w:sz w:val="24"/>
          <w:szCs w:val="28"/>
          <w:rtl/>
        </w:rPr>
        <w:t xml:space="preserve"> أوبري ورو 3 فقرة 432 هامش 25 </w:t>
      </w:r>
      <w:r>
        <w:rPr>
          <w:rFonts w:cs="Traditional Arabic"/>
          <w:color w:val="0000FF"/>
          <w:sz w:val="24"/>
          <w:szCs w:val="28"/>
          <w:rtl/>
        </w:rPr>
        <w:t>–</w:t>
      </w:r>
      <w:r>
        <w:rPr>
          <w:rFonts w:cs="Traditional Arabic" w:hint="cs"/>
          <w:color w:val="0000FF"/>
          <w:sz w:val="24"/>
          <w:szCs w:val="28"/>
          <w:rtl/>
        </w:rPr>
        <w:t xml:space="preserve"> دي هلتس فقرة 59 </w:t>
      </w:r>
      <w:r>
        <w:rPr>
          <w:rFonts w:cs="Traditional Arabic"/>
          <w:color w:val="0000FF"/>
          <w:sz w:val="24"/>
          <w:szCs w:val="28"/>
          <w:rtl/>
        </w:rPr>
        <w:t>–</w:t>
      </w:r>
      <w:r>
        <w:rPr>
          <w:rFonts w:cs="Traditional Arabic" w:hint="cs"/>
          <w:color w:val="0000FF"/>
          <w:sz w:val="24"/>
          <w:szCs w:val="28"/>
          <w:rtl/>
        </w:rPr>
        <w:t xml:space="preserve"> جرانمولان فقرة 130 .</w:t>
      </w:r>
    </w:p>
  </w:footnote>
  <w:footnote w:id="16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70 </w:t>
      </w:r>
      <w:r>
        <w:rPr>
          <w:rFonts w:cs="Traditional Arabic"/>
          <w:color w:val="0000FF"/>
          <w:sz w:val="24"/>
          <w:szCs w:val="28"/>
          <w:rtl/>
        </w:rPr>
        <w:t>–</w:t>
      </w:r>
      <w:r>
        <w:rPr>
          <w:rFonts w:cs="Traditional Arabic" w:hint="cs"/>
          <w:color w:val="0000FF"/>
          <w:sz w:val="24"/>
          <w:szCs w:val="28"/>
          <w:rtl/>
        </w:rPr>
        <w:t xml:space="preserve"> بودري ودي لوان فقرة 49 .</w:t>
      </w:r>
    </w:p>
  </w:footnote>
  <w:footnote w:id="168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لوران فقرة 455 </w:t>
      </w:r>
      <w:r>
        <w:rPr>
          <w:rFonts w:cs="Traditional Arabic"/>
          <w:color w:val="0000FF"/>
          <w:sz w:val="24"/>
          <w:szCs w:val="28"/>
          <w:rtl/>
        </w:rPr>
        <w:t>–</w:t>
      </w:r>
      <w:r>
        <w:rPr>
          <w:rFonts w:cs="Traditional Arabic" w:hint="cs"/>
          <w:color w:val="0000FF"/>
          <w:sz w:val="24"/>
          <w:szCs w:val="28"/>
          <w:rtl/>
        </w:rPr>
        <w:t xml:space="preserve"> جيوار فقرة 79 </w:t>
      </w:r>
      <w:r>
        <w:rPr>
          <w:rFonts w:cs="Traditional Arabic"/>
          <w:color w:val="0000FF"/>
          <w:sz w:val="24"/>
          <w:szCs w:val="28"/>
          <w:rtl/>
        </w:rPr>
        <w:t>–</w:t>
      </w:r>
      <w:r>
        <w:rPr>
          <w:rFonts w:cs="Traditional Arabic" w:hint="cs"/>
          <w:color w:val="0000FF"/>
          <w:sz w:val="24"/>
          <w:szCs w:val="28"/>
          <w:rtl/>
        </w:rPr>
        <w:t xml:space="preserve"> بودري ودي لوان فقرة 55 .</w:t>
      </w:r>
    </w:p>
  </w:footnote>
  <w:footnote w:id="16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53 </w:t>
      </w:r>
      <w:r>
        <w:rPr>
          <w:rFonts w:cs="Traditional Arabic"/>
          <w:color w:val="0000FF"/>
          <w:sz w:val="24"/>
          <w:szCs w:val="28"/>
          <w:rtl/>
        </w:rPr>
        <w:t>–</w:t>
      </w:r>
      <w:r>
        <w:rPr>
          <w:rFonts w:cs="Traditional Arabic" w:hint="cs"/>
          <w:color w:val="0000FF"/>
          <w:sz w:val="24"/>
          <w:szCs w:val="28"/>
          <w:rtl/>
        </w:rPr>
        <w:t xml:space="preserve"> دي هلتس فقرة 61 </w:t>
      </w:r>
      <w:r>
        <w:rPr>
          <w:rFonts w:cs="Traditional Arabic"/>
          <w:color w:val="0000FF"/>
          <w:sz w:val="24"/>
          <w:szCs w:val="28"/>
          <w:rtl/>
        </w:rPr>
        <w:t>–</w:t>
      </w:r>
      <w:r>
        <w:rPr>
          <w:rFonts w:cs="Traditional Arabic" w:hint="cs"/>
          <w:color w:val="0000FF"/>
          <w:sz w:val="24"/>
          <w:szCs w:val="28"/>
          <w:rtl/>
        </w:rPr>
        <w:t xml:space="preserve"> محمد كامل مرسي فقرة 353 ص 479 </w:t>
      </w:r>
      <w:r>
        <w:rPr>
          <w:rFonts w:cs="Traditional Arabic"/>
          <w:color w:val="0000FF"/>
          <w:sz w:val="24"/>
          <w:szCs w:val="28"/>
          <w:rtl/>
        </w:rPr>
        <w:t>–</w:t>
      </w:r>
      <w:r>
        <w:rPr>
          <w:rFonts w:cs="Traditional Arabic" w:hint="cs"/>
          <w:color w:val="0000FF"/>
          <w:sz w:val="24"/>
          <w:szCs w:val="28"/>
          <w:rtl/>
        </w:rPr>
        <w:t xml:space="preserve"> وقد قضت محكمة النقض بأن تدين العقد في ورقة ثابتة التاريخ لا يسري على الرهن التجاري ( نقض مدني 29 ديسمبر سنة 1966 مجموعة أحكام انقض 17 رقم 294 ص 2030 ) .</w:t>
      </w:r>
    </w:p>
  </w:footnote>
  <w:footnote w:id="169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1559 من المشروع التمهيدي . وعدلته لجنة المراجعة تعديلا لفظيا طفيفا فصار مطابقا لما استقر عليه في التقنين المدني الجديد ، ووافقت عليه بعد هذا التعديل تحت رقم 1222 في المشروع النهائي . ووافق عليه مجلس النواب تحت رقم 1207 ، ثم مجلس الشيوخ تحت رقم 1118 ( مجموعة الأعمال التحضيرية 7 ص 256- ص 257 )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E46A91" w:rsidRDefault="00F72742" w:rsidP="00F72742">
      <w:pPr>
        <w:pStyle w:val="aa"/>
        <w:widowControl w:val="0"/>
        <w:ind w:firstLine="567"/>
        <w:jc w:val="lowKashida"/>
        <w:rPr>
          <w:rFonts w:cs="Traditional Arabic" w:hint="cs"/>
          <w:color w:val="0000FF"/>
          <w:sz w:val="24"/>
          <w:szCs w:val="28"/>
          <w:u w:val="single"/>
          <w:rtl/>
        </w:rPr>
      </w:pPr>
      <w:r w:rsidRPr="00E46A91">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E46A91">
        <w:rPr>
          <w:rFonts w:cs="Traditional Arabic" w:hint="cs"/>
          <w:color w:val="0000FF"/>
          <w:sz w:val="24"/>
          <w:szCs w:val="28"/>
          <w:u w:val="single"/>
          <w:rtl/>
        </w:rPr>
        <w:t>التقنين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E46A91">
        <w:rPr>
          <w:rFonts w:cs="Traditional Arabic" w:hint="cs"/>
          <w:color w:val="0000FF"/>
          <w:sz w:val="24"/>
          <w:szCs w:val="28"/>
          <w:u w:val="single"/>
          <w:rtl/>
        </w:rPr>
        <w:t>التقنين المدين الليبي</w:t>
      </w:r>
      <w:r>
        <w:rPr>
          <w:rFonts w:cs="Traditional Arabic" w:hint="cs"/>
          <w:color w:val="0000FF"/>
          <w:sz w:val="24"/>
          <w:szCs w:val="28"/>
          <w:rtl/>
        </w:rPr>
        <w:t xml:space="preserve"> م 1122 : 1- الأحكام المتعلقة بالآثار التي تترتب على حيازة المنقولات المادية والسندات التي لحاملها تسري على رهن المنقول . 2- وبوجه خاص يكون للمرتهن إذا كان حسن النية أن يستمسك بحقه في الرهن ولو كان الراهن لا يملك التصرف في الشيء المرهون ، كما يجوز من جهة أخرى لكل حائز حسن النية أن يتمسك بالحق الذي كسبه على الشيء المرهون ولو كان ذلك لاحقا لتاريخ الرهن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 لا شي .</w:t>
      </w:r>
    </w:p>
    <w:p w:rsidR="00F72742" w:rsidRPr="00E46A91" w:rsidRDefault="00F72742" w:rsidP="00F72742">
      <w:pPr>
        <w:pStyle w:val="aa"/>
        <w:widowControl w:val="0"/>
        <w:ind w:firstLine="567"/>
        <w:jc w:val="lowKashida"/>
        <w:rPr>
          <w:rFonts w:cs="Traditional Arabic" w:hint="cs"/>
          <w:color w:val="0000FF"/>
          <w:sz w:val="24"/>
          <w:szCs w:val="28"/>
          <w:rtl/>
        </w:rPr>
      </w:pPr>
      <w:r w:rsidRPr="00E46A9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 .</w:t>
      </w:r>
    </w:p>
  </w:footnote>
  <w:footnote w:id="16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264 .</w:t>
      </w:r>
    </w:p>
  </w:footnote>
  <w:footnote w:id="169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1560 من المشروع التمهيدي . وعدلته لجنة المراجعة تعديلا لفظيا ، ثم وافقت عليه تحت رقم 1223 في المشروع النهائي . ووافق عليه مجس النواب بعد تعديله تعديلا لفظيا بسيطا ، تحت رقم 1208 . ووافق عليه مجلس الشيوخ ، تحت رقم 1119 ( مجموعة الأعمال التحضيرية 7 ص 258 </w:t>
      </w:r>
      <w:r>
        <w:rPr>
          <w:rFonts w:cs="Traditional Arabic"/>
          <w:color w:val="0000FF"/>
          <w:sz w:val="24"/>
          <w:szCs w:val="28"/>
          <w:rtl/>
        </w:rPr>
        <w:t>–</w:t>
      </w:r>
      <w:r>
        <w:rPr>
          <w:rFonts w:cs="Traditional Arabic" w:hint="cs"/>
          <w:color w:val="0000FF"/>
          <w:sz w:val="24"/>
          <w:szCs w:val="28"/>
          <w:rtl/>
        </w:rPr>
        <w:t xml:space="preserve"> ص 260 )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373F4E">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373F4E">
        <w:rPr>
          <w:rFonts w:cs="Traditional Arabic" w:hint="cs"/>
          <w:color w:val="0000FF"/>
          <w:sz w:val="24"/>
          <w:szCs w:val="28"/>
          <w:u w:val="single"/>
          <w:rtl/>
        </w:rPr>
        <w:t>التقنين السوري</w:t>
      </w:r>
      <w:r>
        <w:rPr>
          <w:rFonts w:cs="Traditional Arabic" w:hint="cs"/>
          <w:color w:val="0000FF"/>
          <w:sz w:val="24"/>
          <w:szCs w:val="28"/>
          <w:rtl/>
        </w:rPr>
        <w:t xml:space="preserve"> م 1040 : 1-للراهن أيضاً أن يحتج بتعيب المرهون أو بنقص قيمته ، فيستصدر إذناً من القاضي في البيع  . . . 2- ويمكنه إذا شاء أن يطلب رد المرهون لقاء تقديمه تأميناً آخر يراه القاضي كافيا .</w:t>
      </w:r>
    </w:p>
    <w:p w:rsidR="00F72742" w:rsidRDefault="00F72742" w:rsidP="00F72742">
      <w:pPr>
        <w:pStyle w:val="aa"/>
        <w:widowControl w:val="0"/>
        <w:ind w:firstLine="567"/>
        <w:jc w:val="lowKashida"/>
        <w:rPr>
          <w:rFonts w:cs="Traditional Arabic" w:hint="cs"/>
          <w:color w:val="0000FF"/>
          <w:sz w:val="24"/>
          <w:szCs w:val="28"/>
          <w:rtl/>
        </w:rPr>
      </w:pPr>
      <w:r w:rsidRPr="00373F4E">
        <w:rPr>
          <w:rFonts w:cs="Traditional Arabic" w:hint="cs"/>
          <w:color w:val="0000FF"/>
          <w:sz w:val="24"/>
          <w:szCs w:val="28"/>
          <w:u w:val="single"/>
          <w:rtl/>
        </w:rPr>
        <w:t>التقنين الليبي</w:t>
      </w:r>
      <w:r>
        <w:rPr>
          <w:rFonts w:cs="Traditional Arabic" w:hint="cs"/>
          <w:color w:val="0000FF"/>
          <w:sz w:val="24"/>
          <w:szCs w:val="28"/>
          <w:rtl/>
        </w:rPr>
        <w:t xml:space="preserve"> م 1123 : 1- إذا كان الشيء المرهون مهدداً بالهلاك أو التلف أو نقص القيمة بحيث يخشى أن يصبح غير كافٍ لضمان حق الدائن ولم يطلب الراهن رده إليه مقابل شيء آخر يقدم بدله ، جاز للدائن أو للراهن أن يطلب من القاضي الترخيص له في بيعه بالمزاد العلني أو بسعره في البورصة أو السوق . 2- ويفصل القاضي في أمر إيداع الثمن عند الترخيص في البيع ، وينتقل حق الدائن في هذه الحالة من الشيء إلى ثمنه .</w:t>
      </w:r>
    </w:p>
    <w:p w:rsidR="00F72742" w:rsidRDefault="00F72742" w:rsidP="00F72742">
      <w:pPr>
        <w:pStyle w:val="aa"/>
        <w:widowControl w:val="0"/>
        <w:ind w:firstLine="567"/>
        <w:jc w:val="lowKashida"/>
        <w:rPr>
          <w:rFonts w:cs="Traditional Arabic" w:hint="cs"/>
          <w:color w:val="0000FF"/>
          <w:sz w:val="24"/>
          <w:szCs w:val="28"/>
          <w:rtl/>
        </w:rPr>
      </w:pPr>
      <w:r w:rsidRPr="00373F4E">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Pr="009C488D" w:rsidRDefault="00F72742" w:rsidP="00F72742">
      <w:pPr>
        <w:pStyle w:val="aa"/>
        <w:widowControl w:val="0"/>
        <w:ind w:firstLine="567"/>
        <w:jc w:val="lowKashida"/>
        <w:rPr>
          <w:rFonts w:cs="Traditional Arabic" w:hint="cs"/>
          <w:color w:val="0000FF"/>
          <w:sz w:val="24"/>
          <w:szCs w:val="28"/>
          <w:rtl/>
        </w:rPr>
      </w:pPr>
      <w:r w:rsidRPr="00373F4E">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 .</w:t>
      </w:r>
    </w:p>
  </w:footnote>
  <w:footnote w:id="169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265 .</w:t>
      </w:r>
    </w:p>
  </w:footnote>
  <w:footnote w:id="169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1561 من المشروع التمهيدي . وأقرته لجنة المراجعة بعد أن أضافت عبارة "وكان البيع صفقة رابحة" تحت رقم 1224 في المشروع النهائي . ووافق عليه مجلس النواب تحت رقم 1209  ، ثم مجلس الشيوخ تحت رقم 1120 ( مجموعة الأعمال التحضيرية 7 ص 26 </w:t>
      </w:r>
      <w:r>
        <w:rPr>
          <w:rFonts w:cs="Traditional Arabic"/>
          <w:color w:val="0000FF"/>
          <w:sz w:val="24"/>
          <w:szCs w:val="28"/>
          <w:rtl/>
        </w:rPr>
        <w:t>–</w:t>
      </w:r>
      <w:r>
        <w:rPr>
          <w:rFonts w:cs="Traditional Arabic" w:hint="cs"/>
          <w:color w:val="0000FF"/>
          <w:sz w:val="24"/>
          <w:szCs w:val="28"/>
          <w:rtl/>
        </w:rPr>
        <w:t xml:space="preserve"> 261 )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1A60E4" w:rsidRDefault="00F72742" w:rsidP="00F72742">
      <w:pPr>
        <w:pStyle w:val="aa"/>
        <w:widowControl w:val="0"/>
        <w:ind w:firstLine="567"/>
        <w:jc w:val="lowKashida"/>
        <w:rPr>
          <w:rFonts w:cs="Traditional Arabic" w:hint="cs"/>
          <w:color w:val="0000FF"/>
          <w:sz w:val="24"/>
          <w:szCs w:val="28"/>
          <w:u w:val="single"/>
          <w:rtl/>
        </w:rPr>
      </w:pPr>
      <w:r w:rsidRPr="001A60E4">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1A60E4">
        <w:rPr>
          <w:rFonts w:cs="Traditional Arabic" w:hint="cs"/>
          <w:color w:val="0000FF"/>
          <w:sz w:val="24"/>
          <w:szCs w:val="28"/>
          <w:u w:val="single"/>
          <w:rtl/>
        </w:rPr>
        <w:t>التقنين السوري</w:t>
      </w:r>
      <w:r>
        <w:rPr>
          <w:rFonts w:cs="Traditional Arabic" w:hint="cs"/>
          <w:color w:val="0000FF"/>
          <w:sz w:val="24"/>
          <w:szCs w:val="28"/>
          <w:rtl/>
        </w:rPr>
        <w:t xml:space="preserve"> م 1041 : 1- إذا سنحت فرصة موافقة لبيع المرهون ، فيحق للراهن أن يطلب من القاضي ترخيصا في البيع . 2- وإذا منح القاضي هذا الترخيص ، قرر شروط البيع وإيداع الثمن .</w:t>
      </w:r>
    </w:p>
    <w:p w:rsidR="00F72742" w:rsidRDefault="00F72742" w:rsidP="00F72742">
      <w:pPr>
        <w:pStyle w:val="aa"/>
        <w:widowControl w:val="0"/>
        <w:ind w:firstLine="567"/>
        <w:jc w:val="lowKashida"/>
        <w:rPr>
          <w:rFonts w:cs="Traditional Arabic" w:hint="cs"/>
          <w:color w:val="0000FF"/>
          <w:sz w:val="24"/>
          <w:szCs w:val="28"/>
          <w:rtl/>
        </w:rPr>
      </w:pPr>
      <w:r w:rsidRPr="001A60E4">
        <w:rPr>
          <w:rFonts w:cs="Traditional Arabic" w:hint="cs"/>
          <w:color w:val="0000FF"/>
          <w:sz w:val="24"/>
          <w:szCs w:val="28"/>
          <w:u w:val="single"/>
          <w:rtl/>
        </w:rPr>
        <w:t>التقنين الليبي</w:t>
      </w:r>
      <w:r>
        <w:rPr>
          <w:rFonts w:cs="Traditional Arabic" w:hint="cs"/>
          <w:color w:val="0000FF"/>
          <w:sz w:val="24"/>
          <w:szCs w:val="28"/>
          <w:rtl/>
        </w:rPr>
        <w:t xml:space="preserve"> م 1124 : يجوز للراهن إذا عرضت فرصة لبي الشيء المرهون وكان البيع صفقة رابحة ، أن يطلب من القاضي الترخيص له في بيع هذا الشيء ، ولو كان ذلك قبل حلول أجل الدين ، ويحدد القاضي عند الترخيص شروط البيع ويفصل في أمر إيداع الثمن .</w:t>
      </w:r>
    </w:p>
    <w:p w:rsidR="00F72742" w:rsidRDefault="00F72742" w:rsidP="00F72742">
      <w:pPr>
        <w:pStyle w:val="aa"/>
        <w:widowControl w:val="0"/>
        <w:ind w:firstLine="567"/>
        <w:jc w:val="lowKashida"/>
        <w:rPr>
          <w:rFonts w:cs="Traditional Arabic" w:hint="cs"/>
          <w:color w:val="0000FF"/>
          <w:sz w:val="24"/>
          <w:szCs w:val="28"/>
          <w:rtl/>
        </w:rPr>
      </w:pPr>
      <w:r w:rsidRPr="001A60E4">
        <w:rPr>
          <w:rFonts w:cs="Traditional Arabic" w:hint="cs"/>
          <w:color w:val="0000FF"/>
          <w:sz w:val="24"/>
          <w:szCs w:val="28"/>
          <w:u w:val="single"/>
          <w:rtl/>
        </w:rPr>
        <w:t>التقنين العراقي</w:t>
      </w:r>
      <w:r>
        <w:rPr>
          <w:rFonts w:cs="Traditional Arabic" w:hint="cs"/>
          <w:color w:val="0000FF"/>
          <w:sz w:val="24"/>
          <w:szCs w:val="28"/>
          <w:rtl/>
        </w:rPr>
        <w:t xml:space="preserve"> : لا شي .</w:t>
      </w:r>
    </w:p>
    <w:p w:rsidR="00F72742" w:rsidRPr="00D82275" w:rsidRDefault="00F72742" w:rsidP="00F72742">
      <w:pPr>
        <w:pStyle w:val="aa"/>
        <w:widowControl w:val="0"/>
        <w:ind w:firstLine="567"/>
        <w:jc w:val="lowKashida"/>
        <w:rPr>
          <w:rFonts w:cs="Traditional Arabic" w:hint="cs"/>
          <w:color w:val="0000FF"/>
          <w:sz w:val="24"/>
          <w:szCs w:val="28"/>
          <w:rtl/>
        </w:rPr>
      </w:pPr>
      <w:r w:rsidRPr="001A60E4">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265 .</w:t>
      </w:r>
    </w:p>
  </w:footnote>
  <w:footnote w:id="1697">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 </w:t>
      </w:r>
      <w:r w:rsidRPr="00863750">
        <w:rPr>
          <w:u w:val="single"/>
        </w:rPr>
        <w:footnoteRef/>
      </w:r>
      <w:r>
        <w:rPr>
          <w:rFonts w:cs="Traditional Arabic" w:hint="cs"/>
          <w:color w:val="0000FF"/>
          <w:sz w:val="24"/>
          <w:szCs w:val="28"/>
          <w:u w:val="single"/>
          <w:rtl/>
        </w:rPr>
        <w:t xml:space="preserve"> )</w:t>
      </w:r>
      <w:r w:rsidRPr="00863750">
        <w:rPr>
          <w:rFonts w:cs="Traditional Arabic" w:hint="cs"/>
          <w:color w:val="0000FF"/>
          <w:sz w:val="24"/>
          <w:szCs w:val="28"/>
          <w:u w:val="single"/>
          <w:rtl/>
        </w:rPr>
        <w:t xml:space="preserve">  </w:t>
      </w:r>
      <w:r>
        <w:rPr>
          <w:rFonts w:cs="Traditional Arabic" w:hint="cs"/>
          <w:color w:val="0000FF"/>
          <w:sz w:val="24"/>
          <w:szCs w:val="28"/>
          <w:u w:val="single"/>
          <w:rtl/>
        </w:rPr>
        <w:t xml:space="preserve">تاريخ النص : </w:t>
      </w:r>
      <w:r w:rsidRPr="00863750">
        <w:rPr>
          <w:rFonts w:cs="Traditional Arabic" w:hint="cs"/>
          <w:color w:val="0000FF"/>
          <w:sz w:val="24"/>
          <w:szCs w:val="28"/>
          <w:rtl/>
        </w:rPr>
        <w:t xml:space="preserve">ورد هذا النص في المادة </w:t>
      </w:r>
      <w:r>
        <w:rPr>
          <w:rFonts w:cs="Traditional Arabic" w:hint="cs"/>
          <w:color w:val="0000FF"/>
          <w:sz w:val="24"/>
          <w:szCs w:val="28"/>
          <w:rtl/>
        </w:rPr>
        <w:t xml:space="preserve">1562 من المشروع التمهيدي على وجه مطابق لما استقر عليه في التقنين المدني الجديد . وأقرته لجنة المراجعة ، تحت رقم 1225 في المشروع النهائي . ووافق عليه مجلس النواب تحت رقم 1210 ، ثم مجلس الشيوخ تحت رقم 1121 ( مجموعة الأعمال التحضيرية 7 ص 262 </w:t>
      </w:r>
      <w:r>
        <w:rPr>
          <w:rFonts w:cs="Traditional Arabic"/>
          <w:color w:val="0000FF"/>
          <w:sz w:val="24"/>
          <w:szCs w:val="28"/>
          <w:rtl/>
        </w:rPr>
        <w:t>–</w:t>
      </w:r>
      <w:r>
        <w:rPr>
          <w:rFonts w:cs="Traditional Arabic" w:hint="cs"/>
          <w:color w:val="0000FF"/>
          <w:sz w:val="24"/>
          <w:szCs w:val="28"/>
          <w:rtl/>
        </w:rPr>
        <w:t xml:space="preserve"> ص 263 )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820026" w:rsidRDefault="00F72742" w:rsidP="00F72742">
      <w:pPr>
        <w:pStyle w:val="aa"/>
        <w:widowControl w:val="0"/>
        <w:ind w:firstLine="567"/>
        <w:jc w:val="lowKashida"/>
        <w:rPr>
          <w:rFonts w:cs="Traditional Arabic" w:hint="cs"/>
          <w:color w:val="0000FF"/>
          <w:sz w:val="24"/>
          <w:szCs w:val="28"/>
          <w:u w:val="single"/>
          <w:rtl/>
        </w:rPr>
      </w:pPr>
      <w:r w:rsidRPr="00820026">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820026">
        <w:rPr>
          <w:rFonts w:cs="Traditional Arabic" w:hint="cs"/>
          <w:color w:val="0000FF"/>
          <w:sz w:val="24"/>
          <w:szCs w:val="28"/>
          <w:u w:val="single"/>
          <w:rtl/>
        </w:rPr>
        <w:t>التقنين السوري</w:t>
      </w:r>
      <w:r>
        <w:rPr>
          <w:rFonts w:cs="Traditional Arabic" w:hint="cs"/>
          <w:color w:val="0000FF"/>
          <w:sz w:val="24"/>
          <w:szCs w:val="28"/>
          <w:rtl/>
        </w:rPr>
        <w:t xml:space="preserve"> م 1043 : 1- للدائن عند عدم الإيفاء أن يطلب من القاضي ترخيصاً في بيع المرهون ، غما بالمزاد العلني أو بسعر البورصة أو السوق إذا وجدنا . 2- وله أيضاً أن يطلب من القاضي إصدار أمر باستيفاء المرهون له ، لإيفائه بقدر دينه بناء على تخمين الخبراء . 3- ويقع باطلا كل اتفاق يجيز للدائن أن يتملك المرهون أو يتصرف فيه بدون إجراء المعاملات المتقدم ذكرها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الليبي </w:t>
      </w:r>
      <w:r w:rsidRPr="00B24BD1">
        <w:rPr>
          <w:rFonts w:cs="Traditional Arabic" w:hint="cs"/>
          <w:color w:val="0000FF"/>
          <w:sz w:val="24"/>
          <w:szCs w:val="28"/>
          <w:rtl/>
        </w:rPr>
        <w:t>م 1125</w:t>
      </w:r>
      <w:r>
        <w:rPr>
          <w:rFonts w:cs="Traditional Arabic" w:hint="cs"/>
          <w:color w:val="0000FF"/>
          <w:sz w:val="24"/>
          <w:szCs w:val="28"/>
          <w:rtl/>
        </w:rPr>
        <w:t xml:space="preserve"> :</w:t>
      </w:r>
      <w:r w:rsidRPr="00B24BD1">
        <w:rPr>
          <w:rFonts w:cs="Traditional Arabic" w:hint="cs"/>
          <w:color w:val="0000FF"/>
          <w:sz w:val="24"/>
          <w:szCs w:val="28"/>
          <w:rtl/>
        </w:rPr>
        <w:t xml:space="preserve"> 1- يجز للدائن المرتهن إذا لم يستوف حقه أن يطلب من القاضي الترخي</w:t>
      </w:r>
      <w:r>
        <w:rPr>
          <w:rFonts w:cs="Traditional Arabic" w:hint="cs"/>
          <w:color w:val="0000FF"/>
          <w:sz w:val="24"/>
          <w:szCs w:val="28"/>
          <w:rtl/>
        </w:rPr>
        <w:t>ص</w:t>
      </w:r>
      <w:r w:rsidRPr="00B24BD1">
        <w:rPr>
          <w:rFonts w:cs="Traditional Arabic" w:hint="cs"/>
          <w:color w:val="0000FF"/>
          <w:sz w:val="24"/>
          <w:szCs w:val="28"/>
          <w:rtl/>
        </w:rPr>
        <w:t xml:space="preserve"> له في بيع الشيء المرهون بالمزاد العلني أو بسعره في البورصة أو السوق</w:t>
      </w:r>
      <w:r>
        <w:rPr>
          <w:rFonts w:cs="Traditional Arabic" w:hint="cs"/>
          <w:color w:val="0000FF"/>
          <w:sz w:val="24"/>
          <w:szCs w:val="28"/>
          <w:rtl/>
        </w:rPr>
        <w:t xml:space="preserve"> .</w:t>
      </w:r>
      <w:r w:rsidRPr="00B24BD1">
        <w:rPr>
          <w:rFonts w:cs="Traditional Arabic" w:hint="cs"/>
          <w:color w:val="0000FF"/>
          <w:sz w:val="24"/>
          <w:szCs w:val="28"/>
          <w:rtl/>
        </w:rPr>
        <w:t xml:space="preserve"> 3- ويجوز له أيضاً أن يطلب من القاضي أن </w:t>
      </w:r>
      <w:r>
        <w:rPr>
          <w:rFonts w:cs="Traditional Arabic" w:hint="cs"/>
          <w:color w:val="0000FF"/>
          <w:sz w:val="24"/>
          <w:szCs w:val="28"/>
          <w:rtl/>
        </w:rPr>
        <w:t>يأمر</w:t>
      </w:r>
      <w:r w:rsidRPr="00B24BD1">
        <w:rPr>
          <w:rFonts w:cs="Traditional Arabic" w:hint="cs"/>
          <w:color w:val="0000FF"/>
          <w:sz w:val="24"/>
          <w:szCs w:val="28"/>
          <w:rtl/>
        </w:rPr>
        <w:t xml:space="preserve"> بتمليكه الشيء وفاء للدين</w:t>
      </w:r>
      <w:r>
        <w:rPr>
          <w:rFonts w:cs="Traditional Arabic" w:hint="cs"/>
          <w:color w:val="0000FF"/>
          <w:sz w:val="24"/>
          <w:szCs w:val="28"/>
          <w:rtl/>
        </w:rPr>
        <w:t xml:space="preserve"> ،</w:t>
      </w:r>
      <w:r w:rsidRPr="00B24BD1">
        <w:rPr>
          <w:rFonts w:cs="Traditional Arabic" w:hint="cs"/>
          <w:color w:val="0000FF"/>
          <w:sz w:val="24"/>
          <w:szCs w:val="28"/>
          <w:rtl/>
        </w:rPr>
        <w:t xml:space="preserve"> على أن يحسب عليه بقيمته بحسب تقدير الخبراء</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B24BD1">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Pr="00B24BD1" w:rsidRDefault="00F72742" w:rsidP="00F72742">
      <w:pPr>
        <w:pStyle w:val="aa"/>
        <w:widowControl w:val="0"/>
        <w:ind w:firstLine="567"/>
        <w:jc w:val="lowKashida"/>
        <w:rPr>
          <w:rFonts w:cs="Traditional Arabic" w:hint="cs"/>
          <w:color w:val="0000FF"/>
          <w:sz w:val="24"/>
          <w:szCs w:val="28"/>
          <w:rtl/>
        </w:rPr>
      </w:pPr>
      <w:r w:rsidRPr="00B24BD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69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265 .</w:t>
      </w:r>
    </w:p>
  </w:footnote>
  <w:footnote w:id="1699">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1563 من المشروع التمهيدي على وجه مطابق لما استقر عليه في التقنين المدني الجديد . ووافقت عليه لجنة المراجعة ، تحت رقم 1226 في المشروع النهائي . ووافق عليه مجلس النواب تحتر رقم 1211 ، ثم مجلس الشيوخ تحت رقم 1122 ( مجموعة الأعمال التحضيرية 7 ص 264 </w:t>
      </w:r>
      <w:r>
        <w:rPr>
          <w:rFonts w:cs="Traditional Arabic"/>
          <w:color w:val="0000FF"/>
          <w:sz w:val="24"/>
          <w:szCs w:val="28"/>
          <w:rtl/>
        </w:rPr>
        <w:t>–</w:t>
      </w:r>
      <w:r>
        <w:rPr>
          <w:rFonts w:cs="Traditional Arabic" w:hint="cs"/>
          <w:color w:val="0000FF"/>
          <w:sz w:val="24"/>
          <w:szCs w:val="28"/>
          <w:rtl/>
        </w:rPr>
        <w:t xml:space="preserve"> ص 266 )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 :</w:t>
      </w:r>
      <w:r>
        <w:rPr>
          <w:rFonts w:cs="Traditional Arabic" w:hint="cs"/>
          <w:color w:val="0000FF"/>
          <w:sz w:val="24"/>
          <w:szCs w:val="28"/>
          <w:rtl/>
        </w:rPr>
        <w:t xml:space="preserve"> لا مقابل .</w:t>
      </w:r>
    </w:p>
    <w:p w:rsidR="00F72742" w:rsidRPr="00987733" w:rsidRDefault="00F72742" w:rsidP="00F72742">
      <w:pPr>
        <w:pStyle w:val="aa"/>
        <w:widowControl w:val="0"/>
        <w:ind w:firstLine="567"/>
        <w:jc w:val="lowKashida"/>
        <w:rPr>
          <w:rFonts w:cs="Traditional Arabic" w:hint="cs"/>
          <w:color w:val="0000FF"/>
          <w:sz w:val="24"/>
          <w:szCs w:val="28"/>
          <w:u w:val="single"/>
          <w:rtl/>
        </w:rPr>
      </w:pPr>
      <w:r w:rsidRPr="00987733">
        <w:rPr>
          <w:rFonts w:cs="Traditional Arabic" w:hint="cs"/>
          <w:color w:val="0000FF"/>
          <w:sz w:val="24"/>
          <w:szCs w:val="28"/>
          <w:u w:val="single"/>
          <w:rtl/>
        </w:rPr>
        <w:t xml:space="preserve">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sidRPr="00987733">
        <w:rPr>
          <w:rFonts w:cs="Traditional Arabic" w:hint="cs"/>
          <w:color w:val="0000FF"/>
          <w:sz w:val="24"/>
          <w:szCs w:val="28"/>
          <w:u w:val="single"/>
          <w:rtl/>
        </w:rPr>
        <w:t>التقنين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987733">
        <w:rPr>
          <w:rFonts w:cs="Traditional Arabic" w:hint="cs"/>
          <w:color w:val="0000FF"/>
          <w:sz w:val="24"/>
          <w:szCs w:val="28"/>
          <w:u w:val="single"/>
          <w:rtl/>
        </w:rPr>
        <w:t>التقنين الليبي</w:t>
      </w:r>
      <w:r>
        <w:rPr>
          <w:rFonts w:cs="Traditional Arabic" w:hint="cs"/>
          <w:color w:val="0000FF"/>
          <w:sz w:val="24"/>
          <w:szCs w:val="28"/>
          <w:rtl/>
        </w:rPr>
        <w:t xml:space="preserve"> م 1126 : تسري الأحكام المتقدمة بالقدر الذي لا تتعارض فيه مع أحكام القوانين التجارية والأحكام الخاصة ببيوت التسليف المرخص لها في الرهن وأحكام القوانين واللوائح المتعلقة بأحوال خاصة في رهن المنقول .</w:t>
      </w:r>
    </w:p>
    <w:p w:rsidR="00F72742" w:rsidRDefault="00F72742" w:rsidP="00F72742">
      <w:pPr>
        <w:pStyle w:val="aa"/>
        <w:widowControl w:val="0"/>
        <w:ind w:firstLine="567"/>
        <w:jc w:val="lowKashida"/>
        <w:rPr>
          <w:rFonts w:cs="Traditional Arabic" w:hint="cs"/>
          <w:color w:val="0000FF"/>
          <w:sz w:val="24"/>
          <w:szCs w:val="28"/>
          <w:rtl/>
        </w:rPr>
      </w:pPr>
      <w:r w:rsidRPr="00987733">
        <w:rPr>
          <w:rFonts w:cs="Traditional Arabic" w:hint="cs"/>
          <w:color w:val="0000FF"/>
          <w:sz w:val="24"/>
          <w:szCs w:val="28"/>
          <w:u w:val="single"/>
          <w:rtl/>
        </w:rPr>
        <w:t>التقنين العراقي</w:t>
      </w:r>
      <w:r>
        <w:rPr>
          <w:rFonts w:cs="Traditional Arabic" w:hint="cs"/>
          <w:color w:val="0000FF"/>
          <w:sz w:val="24"/>
          <w:szCs w:val="28"/>
          <w:rtl/>
        </w:rPr>
        <w:t xml:space="preserve"> : لا شيء .</w:t>
      </w:r>
    </w:p>
    <w:p w:rsidR="00F72742" w:rsidRPr="00F75C4A" w:rsidRDefault="00F72742" w:rsidP="00F72742">
      <w:pPr>
        <w:pStyle w:val="aa"/>
        <w:widowControl w:val="0"/>
        <w:ind w:firstLine="567"/>
        <w:jc w:val="lowKashida"/>
        <w:rPr>
          <w:rFonts w:cs="Traditional Arabic" w:hint="cs"/>
          <w:color w:val="0000FF"/>
          <w:sz w:val="24"/>
          <w:szCs w:val="28"/>
          <w:rtl/>
        </w:rPr>
      </w:pPr>
      <w:r w:rsidRPr="00987733">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70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265 .</w:t>
      </w:r>
    </w:p>
  </w:footnote>
  <w:footnote w:id="170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1564 من المشروع التمهيدي ، على وجه مطابق لما استقر عليه في التقنين المدني الجدي . وأقرته لجنة المراجعة ، تحت رقم 1227 في المشروع النهائي . ووافق عليه مجلس النواب تحت رقم 1212 ، ثم مجلس الشيوخ تحت رقم 1123 ( مجموعة الأعمال التحضيرية 7 ص 267 </w:t>
      </w:r>
      <w:r>
        <w:rPr>
          <w:rFonts w:cs="Traditional Arabic"/>
          <w:color w:val="0000FF"/>
          <w:sz w:val="24"/>
          <w:szCs w:val="28"/>
          <w:rtl/>
        </w:rPr>
        <w:t>–</w:t>
      </w:r>
      <w:r>
        <w:rPr>
          <w:rFonts w:cs="Traditional Arabic" w:hint="cs"/>
          <w:color w:val="0000FF"/>
          <w:sz w:val="24"/>
          <w:szCs w:val="28"/>
          <w:rtl/>
        </w:rPr>
        <w:t xml:space="preserve"> ص 268 )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م 549 / 673 : لا يصح رهن المنقول بالنسبة لغير المتعاقدين إلا إذا كان بسند ذي تاريخ ثابت بوجه رسمي يشتمل على بيان المبلغ المرهون عليه وبيان الشيء المرهون بيانا كافيا ، ويحصل رهن الدين بتسليم سنده ورضا المدين كالمقرر في المادة 349 فيما يتعلق بالحوالة بالدين ، وكل هذا مع عدم الإخلال بالأصول المقررة في التجارة .</w:t>
      </w:r>
    </w:p>
    <w:p w:rsidR="00F72742" w:rsidRPr="00827F81" w:rsidRDefault="00F72742" w:rsidP="00F72742">
      <w:pPr>
        <w:pStyle w:val="aa"/>
        <w:widowControl w:val="0"/>
        <w:ind w:firstLine="567"/>
        <w:jc w:val="lowKashida"/>
        <w:rPr>
          <w:rFonts w:cs="Traditional Arabic" w:hint="cs"/>
          <w:color w:val="0000FF"/>
          <w:sz w:val="24"/>
          <w:szCs w:val="28"/>
          <w:u w:val="single"/>
          <w:rtl/>
        </w:rPr>
      </w:pPr>
      <w:r w:rsidRPr="00827F81">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827F81">
        <w:rPr>
          <w:rFonts w:cs="Traditional Arabic" w:hint="cs"/>
          <w:color w:val="0000FF"/>
          <w:sz w:val="24"/>
          <w:szCs w:val="28"/>
          <w:u w:val="single"/>
          <w:rtl/>
        </w:rPr>
        <w:t>التقنين السوري</w:t>
      </w:r>
      <w:r>
        <w:rPr>
          <w:rFonts w:cs="Traditional Arabic" w:hint="cs"/>
          <w:color w:val="0000FF"/>
          <w:sz w:val="24"/>
          <w:szCs w:val="28"/>
          <w:rtl/>
        </w:rPr>
        <w:t xml:space="preserve"> م 1047 : 1- لا يترتب الامتياز على الدين المقدم تأمينا إلا إذا أبلغ المدين إنشاء الرهن أو رضي به في سند ثابت التاريخ . 2-  . . . . 3- وإذا كان الدين المقدم تأمينا يجاوز مائة ليرة سورية ، فإن الامتياز لا يترتب إلا إذا كان الرهن مثبتا بسند رسمي أو بسند عادي ثابت التاريخ .</w:t>
      </w:r>
    </w:p>
    <w:p w:rsidR="00F72742" w:rsidRDefault="00F72742" w:rsidP="00F72742">
      <w:pPr>
        <w:pStyle w:val="aa"/>
        <w:widowControl w:val="0"/>
        <w:ind w:firstLine="567"/>
        <w:jc w:val="lowKashida"/>
        <w:rPr>
          <w:rFonts w:cs="Traditional Arabic" w:hint="cs"/>
          <w:color w:val="0000FF"/>
          <w:sz w:val="24"/>
          <w:szCs w:val="28"/>
          <w:rtl/>
        </w:rPr>
      </w:pPr>
      <w:r w:rsidRPr="00827F81">
        <w:rPr>
          <w:rFonts w:cs="Traditional Arabic" w:hint="cs"/>
          <w:color w:val="0000FF"/>
          <w:sz w:val="24"/>
          <w:szCs w:val="28"/>
          <w:u w:val="single"/>
          <w:rtl/>
        </w:rPr>
        <w:t>التقنين الليبي</w:t>
      </w:r>
      <w:r>
        <w:rPr>
          <w:rFonts w:cs="Traditional Arabic" w:hint="cs"/>
          <w:color w:val="0000FF"/>
          <w:sz w:val="24"/>
          <w:szCs w:val="28"/>
          <w:rtl/>
        </w:rPr>
        <w:t xml:space="preserve"> م 1127 : لا يكون رهن الدين نافذا في حق المدين إلا بإعلان هذا الرهن إليه أو بقبوله له وفقا للمادة 292 . 2- ولا يكون نافذا في حق الغر إلا بحياة المرتهن سند الدين المرهون ، وتحسب للرهن مرتبته من التاريخ الثابت للإعلان أو القبول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1354 :لا يكون رهن الدين تاماً إلا بحيازة المرتهن لسند الدين المرهون ، ولا يكون نافذا في حق المدين إلا بإعلان هذا الرهن إليه أو بقبوله إياه . وتحسب الرهن مرتبته من التاريخ الثابت لتبليغ الإعلان أو القبول .</w:t>
      </w:r>
    </w:p>
    <w:p w:rsidR="00F72742" w:rsidRPr="00B9416F"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تقنين الملكية العقارية اللبناني :</w:t>
      </w:r>
      <w:r>
        <w:rPr>
          <w:rFonts w:cs="Traditional Arabic" w:hint="cs"/>
          <w:color w:val="0000FF"/>
          <w:sz w:val="24"/>
          <w:szCs w:val="28"/>
          <w:rtl/>
        </w:rPr>
        <w:t xml:space="preserve"> لا شيء .</w:t>
      </w:r>
    </w:p>
  </w:footnote>
  <w:footnote w:id="170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271 .</w:t>
      </w:r>
    </w:p>
  </w:footnote>
  <w:footnote w:id="170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64 </w:t>
      </w:r>
      <w:r>
        <w:rPr>
          <w:rFonts w:cs="Traditional Arabic"/>
          <w:color w:val="0000FF"/>
          <w:sz w:val="24"/>
          <w:szCs w:val="28"/>
          <w:rtl/>
        </w:rPr>
        <w:t>–</w:t>
      </w:r>
      <w:r>
        <w:rPr>
          <w:rFonts w:cs="Traditional Arabic" w:hint="cs"/>
          <w:color w:val="0000FF"/>
          <w:sz w:val="24"/>
          <w:szCs w:val="28"/>
          <w:rtl/>
        </w:rPr>
        <w:t xml:space="preserve"> جوسران 2 فقرة 1526 </w:t>
      </w:r>
      <w:r>
        <w:rPr>
          <w:rFonts w:cs="Traditional Arabic"/>
          <w:color w:val="0000FF"/>
          <w:sz w:val="24"/>
          <w:szCs w:val="28"/>
          <w:rtl/>
        </w:rPr>
        <w:t>–</w:t>
      </w:r>
      <w:r>
        <w:rPr>
          <w:rFonts w:cs="Traditional Arabic" w:hint="cs"/>
          <w:color w:val="0000FF"/>
          <w:sz w:val="24"/>
          <w:szCs w:val="28"/>
          <w:rtl/>
        </w:rPr>
        <w:t xml:space="preserve"> دي هلتس فقرة 45 </w:t>
      </w:r>
      <w:r>
        <w:rPr>
          <w:rFonts w:cs="Traditional Arabic"/>
          <w:color w:val="0000FF"/>
          <w:sz w:val="24"/>
          <w:szCs w:val="28"/>
          <w:rtl/>
        </w:rPr>
        <w:t>–</w:t>
      </w:r>
      <w:r>
        <w:rPr>
          <w:rFonts w:cs="Traditional Arabic" w:hint="cs"/>
          <w:color w:val="0000FF"/>
          <w:sz w:val="24"/>
          <w:szCs w:val="28"/>
          <w:rtl/>
        </w:rPr>
        <w:t xml:space="preserve"> جرانمولان فقرة 142 .</w:t>
      </w:r>
    </w:p>
  </w:footnote>
  <w:footnote w:id="17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361 .</w:t>
      </w:r>
    </w:p>
  </w:footnote>
  <w:footnote w:id="170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هذه النص في المادة 1565 من المشروع التمهيدي على وجه مطابق لما استقر ليعه في التقنين المدني الجديد . وأقرته لجنة المراجعة ، تحت رقم 1228 في المشروع النهائي . واقره مجلس النواب تحت رقم 1124 ( مجموعة الأعمال التحضيرية 7 ص 269 </w:t>
      </w:r>
      <w:r>
        <w:rPr>
          <w:rFonts w:cs="Traditional Arabic"/>
          <w:color w:val="0000FF"/>
          <w:sz w:val="24"/>
          <w:szCs w:val="28"/>
          <w:rtl/>
        </w:rPr>
        <w:t>–</w:t>
      </w:r>
      <w:r>
        <w:rPr>
          <w:rFonts w:cs="Traditional Arabic" w:hint="cs"/>
          <w:color w:val="0000FF"/>
          <w:sz w:val="24"/>
          <w:szCs w:val="28"/>
          <w:rtl/>
        </w:rPr>
        <w:t xml:space="preserve"> ص 270 )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المدين السابق :</w:t>
      </w:r>
      <w:r>
        <w:rPr>
          <w:rFonts w:cs="Traditional Arabic" w:hint="cs"/>
          <w:color w:val="0000FF"/>
          <w:sz w:val="24"/>
          <w:szCs w:val="28"/>
          <w:rtl/>
        </w:rPr>
        <w:t xml:space="preserve"> لا مقابل .</w:t>
      </w:r>
    </w:p>
    <w:p w:rsidR="00F72742" w:rsidRPr="00766234" w:rsidRDefault="00F72742" w:rsidP="00F72742">
      <w:pPr>
        <w:pStyle w:val="aa"/>
        <w:widowControl w:val="0"/>
        <w:ind w:firstLine="567"/>
        <w:jc w:val="lowKashida"/>
        <w:rPr>
          <w:rFonts w:cs="Traditional Arabic" w:hint="cs"/>
          <w:color w:val="0000FF"/>
          <w:sz w:val="24"/>
          <w:szCs w:val="28"/>
          <w:u w:val="single"/>
          <w:rtl/>
        </w:rPr>
      </w:pPr>
      <w:r w:rsidRPr="00766234">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766234">
        <w:rPr>
          <w:rFonts w:cs="Traditional Arabic" w:hint="cs"/>
          <w:color w:val="0000FF"/>
          <w:sz w:val="24"/>
          <w:szCs w:val="28"/>
          <w:u w:val="single"/>
          <w:rtl/>
        </w:rPr>
        <w:t>التقنين السوري</w:t>
      </w:r>
      <w:r>
        <w:rPr>
          <w:rFonts w:cs="Traditional Arabic" w:hint="cs"/>
          <w:color w:val="0000FF"/>
          <w:sz w:val="24"/>
          <w:szCs w:val="28"/>
          <w:rtl/>
        </w:rPr>
        <w:t xml:space="preserve"> م 1047/2 : أما الإسناد الرسمية أو المحررة "لأمر" ، فإن رهنها يتم على طريقة النقل الخاص المعين في قانون التجارة ، مع إيضاح مفاده أن النقل أجرى على سبيل التأمين ولا يحتاج إلى إبلاغ .</w:t>
      </w:r>
    </w:p>
    <w:p w:rsidR="00F72742" w:rsidRDefault="00F72742" w:rsidP="00F72742">
      <w:pPr>
        <w:pStyle w:val="aa"/>
        <w:widowControl w:val="0"/>
        <w:ind w:firstLine="567"/>
        <w:jc w:val="lowKashida"/>
        <w:rPr>
          <w:rFonts w:cs="Traditional Arabic" w:hint="cs"/>
          <w:color w:val="0000FF"/>
          <w:sz w:val="24"/>
          <w:szCs w:val="28"/>
          <w:rtl/>
        </w:rPr>
      </w:pPr>
      <w:r w:rsidRPr="00766234">
        <w:rPr>
          <w:rFonts w:cs="Traditional Arabic" w:hint="cs"/>
          <w:color w:val="0000FF"/>
          <w:sz w:val="24"/>
          <w:szCs w:val="28"/>
          <w:u w:val="single"/>
          <w:rtl/>
        </w:rPr>
        <w:t>التقنين الليبي</w:t>
      </w:r>
      <w:r>
        <w:rPr>
          <w:rFonts w:cs="Traditional Arabic" w:hint="cs"/>
          <w:color w:val="0000FF"/>
          <w:sz w:val="24"/>
          <w:szCs w:val="28"/>
          <w:rtl/>
        </w:rPr>
        <w:t xml:space="preserve"> م 1128 : السندات الاسمية والسندات الاذنية يتم رهنها بالطريقة الخاصة التي رسمها القانون لحوالة هذه السندات ، على أن يذكر أن الحوالة قد تمت على سبيل الرهن ، ويتم الرهن دون حاجة إلى إعلان .</w:t>
      </w:r>
    </w:p>
    <w:p w:rsidR="00F72742" w:rsidRDefault="00F72742" w:rsidP="00F72742">
      <w:pPr>
        <w:pStyle w:val="aa"/>
        <w:widowControl w:val="0"/>
        <w:ind w:firstLine="567"/>
        <w:jc w:val="lowKashida"/>
        <w:rPr>
          <w:rFonts w:cs="Traditional Arabic" w:hint="cs"/>
          <w:color w:val="0000FF"/>
          <w:sz w:val="24"/>
          <w:szCs w:val="28"/>
          <w:rtl/>
        </w:rPr>
      </w:pPr>
      <w:r w:rsidRPr="00766234">
        <w:rPr>
          <w:rFonts w:cs="Traditional Arabic" w:hint="cs"/>
          <w:color w:val="0000FF"/>
          <w:sz w:val="24"/>
          <w:szCs w:val="28"/>
          <w:u w:val="single"/>
          <w:rtl/>
        </w:rPr>
        <w:t>التقنين العراقي</w:t>
      </w:r>
      <w:r>
        <w:rPr>
          <w:rFonts w:cs="Traditional Arabic" w:hint="cs"/>
          <w:color w:val="0000FF"/>
          <w:sz w:val="24"/>
          <w:szCs w:val="28"/>
          <w:rtl/>
        </w:rPr>
        <w:t xml:space="preserve"> م 1355 : السندات الاسمية والسندات لأمر يتم رهنها بالطريقة التي رسمها قانون التجارية لحوال هذه السندات ، على أن يذكر أن الحوالة قد تمت على سبيل الرهن . وينفذ الرهن دون حاجة إلى إعلان .</w:t>
      </w:r>
    </w:p>
    <w:p w:rsidR="00F72742" w:rsidRPr="00766234" w:rsidRDefault="00F72742" w:rsidP="00F72742">
      <w:pPr>
        <w:pStyle w:val="aa"/>
        <w:widowControl w:val="0"/>
        <w:ind w:firstLine="567"/>
        <w:jc w:val="lowKashida"/>
        <w:rPr>
          <w:rFonts w:hint="cs"/>
          <w:rtl/>
        </w:rPr>
      </w:pPr>
      <w:r>
        <w:rPr>
          <w:rFonts w:cs="Traditional Arabic" w:hint="cs"/>
          <w:color w:val="0000FF"/>
          <w:sz w:val="24"/>
          <w:szCs w:val="28"/>
          <w:u w:val="single"/>
          <w:rtl/>
        </w:rPr>
        <w:t xml:space="preserve"> قانون الملكية العقارية اللبناني</w:t>
      </w:r>
      <w:r>
        <w:rPr>
          <w:rFonts w:cs="Traditional Arabic" w:hint="cs"/>
          <w:color w:val="0000FF"/>
          <w:sz w:val="24"/>
          <w:szCs w:val="28"/>
          <w:rtl/>
        </w:rPr>
        <w:t xml:space="preserve"> : لا شيء .</w:t>
      </w:r>
    </w:p>
  </w:footnote>
  <w:footnote w:id="170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271 .</w:t>
      </w:r>
    </w:p>
  </w:footnote>
  <w:footnote w:id="1707">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1566 من المشروع التمهيدي على وجه مطابق لما استقر عليه التقنين المدني الجديد . وأقرته لجنة المراجعة ، تحت رقم 1229 في المشروع النهائي . ووافق عليه مجلس النواب تحت رقم 1125 ( مجموعة الأعمال التحضيرية 7 ص 270 </w:t>
      </w:r>
      <w:r>
        <w:rPr>
          <w:rFonts w:cs="Traditional Arabic"/>
          <w:color w:val="0000FF"/>
          <w:sz w:val="24"/>
          <w:szCs w:val="28"/>
          <w:rtl/>
        </w:rPr>
        <w:t>–</w:t>
      </w:r>
      <w:r>
        <w:rPr>
          <w:rFonts w:cs="Traditional Arabic" w:hint="cs"/>
          <w:color w:val="0000FF"/>
          <w:sz w:val="24"/>
          <w:szCs w:val="28"/>
          <w:rtl/>
        </w:rPr>
        <w:t xml:space="preserve"> 272 )</w:t>
      </w:r>
    </w:p>
    <w:p w:rsidR="00F72742"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التقنين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التقنين الليبي</w:t>
      </w:r>
      <w:r>
        <w:rPr>
          <w:rFonts w:cs="Traditional Arabic" w:hint="cs"/>
          <w:color w:val="0000FF"/>
          <w:sz w:val="24"/>
          <w:szCs w:val="28"/>
          <w:rtl/>
        </w:rPr>
        <w:t xml:space="preserve"> م 1129 : إذا كان الدين غير قابل للحوالة أو للحجز أو للرهن الاستحقاق ، فلا يجوز رهنه .</w:t>
      </w:r>
    </w:p>
    <w:p w:rsidR="00F72742"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التقنين العراقي</w:t>
      </w:r>
      <w:r>
        <w:rPr>
          <w:rFonts w:cs="Traditional Arabic" w:hint="cs"/>
          <w:color w:val="0000FF"/>
          <w:sz w:val="24"/>
          <w:szCs w:val="28"/>
          <w:rtl/>
        </w:rPr>
        <w:t xml:space="preserve"> م 1355 مكررة : إذا كان الدين غير قابل للحوالة أو للحجز ، فلا يجوز رهنه .</w:t>
      </w:r>
    </w:p>
    <w:p w:rsidR="00F72742" w:rsidRPr="00FE3B0A" w:rsidRDefault="00F72742" w:rsidP="00F72742">
      <w:pPr>
        <w:pStyle w:val="aa"/>
        <w:widowControl w:val="0"/>
        <w:ind w:firstLine="567"/>
        <w:jc w:val="lowKashida"/>
        <w:rPr>
          <w:rFonts w:cs="Traditional Arabic" w:hint="cs"/>
          <w:color w:val="0000FF"/>
          <w:sz w:val="24"/>
          <w:szCs w:val="28"/>
          <w:rtl/>
        </w:rPr>
      </w:pPr>
      <w:r w:rsidRPr="00DB3570">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 .</w:t>
      </w:r>
    </w:p>
  </w:footnote>
  <w:footnote w:id="170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271 .</w:t>
      </w:r>
    </w:p>
  </w:footnote>
  <w:footnote w:id="17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273 .</w:t>
      </w:r>
    </w:p>
  </w:footnote>
  <w:footnote w:id="171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w:t>
      </w:r>
      <w:r w:rsidRPr="00091269">
        <w:rPr>
          <w:rFonts w:cs="Traditional Arabic" w:hint="cs"/>
          <w:color w:val="0000FF"/>
          <w:sz w:val="24"/>
          <w:szCs w:val="28"/>
          <w:rtl/>
        </w:rPr>
        <w:t xml:space="preserve"> ورد هذا النص في المادة 1568 </w:t>
      </w:r>
      <w:r>
        <w:rPr>
          <w:rFonts w:cs="Traditional Arabic" w:hint="cs"/>
          <w:color w:val="0000FF"/>
          <w:sz w:val="24"/>
          <w:szCs w:val="28"/>
          <w:rtl/>
        </w:rPr>
        <w:t xml:space="preserve">من المشروع التمهيدي على وجه مطابق لما استقر عليه التقنين المدني الجديد . وأقرته لجنة المراجعة ، تحت رقم 1230 في المشروع النهائي . ووافق عليه مجلس النواب تحت رقم 1215ن ثم مجلس الشيوخ تحت رقم 1126 ( مجموعة الأعمال التحضيرية 7 ص 272 </w:t>
      </w:r>
      <w:r>
        <w:rPr>
          <w:rFonts w:cs="Traditional Arabic"/>
          <w:color w:val="0000FF"/>
          <w:sz w:val="24"/>
          <w:szCs w:val="28"/>
          <w:rtl/>
        </w:rPr>
        <w:t>–</w:t>
      </w:r>
      <w:r>
        <w:rPr>
          <w:rFonts w:cs="Traditional Arabic" w:hint="cs"/>
          <w:color w:val="0000FF"/>
          <w:sz w:val="24"/>
          <w:szCs w:val="28"/>
          <w:rtl/>
        </w:rPr>
        <w:t xml:space="preserve"> ص 274 ) .</w:t>
      </w:r>
    </w:p>
    <w:p w:rsidR="00F72742" w:rsidRDefault="00F72742" w:rsidP="00F72742">
      <w:pPr>
        <w:pStyle w:val="aa"/>
        <w:widowControl w:val="0"/>
        <w:ind w:firstLine="567"/>
        <w:jc w:val="lowKashida"/>
        <w:rPr>
          <w:rFonts w:cs="Traditional Arabic" w:hint="cs"/>
          <w:color w:val="0000FF"/>
          <w:sz w:val="24"/>
          <w:szCs w:val="28"/>
          <w:rtl/>
        </w:rPr>
      </w:pPr>
      <w:r w:rsidRPr="00B238C5">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3D73D1" w:rsidRDefault="00F72742" w:rsidP="00F72742">
      <w:pPr>
        <w:pStyle w:val="aa"/>
        <w:widowControl w:val="0"/>
        <w:ind w:firstLine="567"/>
        <w:jc w:val="lowKashida"/>
        <w:rPr>
          <w:rFonts w:cs="Traditional Arabic" w:hint="cs"/>
          <w:color w:val="0000FF"/>
          <w:sz w:val="24"/>
          <w:szCs w:val="28"/>
          <w:u w:val="single"/>
          <w:rtl/>
        </w:rPr>
      </w:pPr>
      <w:r w:rsidRPr="003D73D1">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3D73D1">
        <w:rPr>
          <w:rFonts w:cs="Traditional Arabic" w:hint="cs"/>
          <w:color w:val="0000FF"/>
          <w:sz w:val="24"/>
          <w:szCs w:val="28"/>
          <w:u w:val="single"/>
          <w:rtl/>
        </w:rPr>
        <w:t>التقنين السوري</w:t>
      </w:r>
      <w:r>
        <w:rPr>
          <w:rFonts w:cs="Traditional Arabic" w:hint="cs"/>
          <w:color w:val="0000FF"/>
          <w:sz w:val="24"/>
          <w:szCs w:val="28"/>
          <w:rtl/>
        </w:rPr>
        <w:t xml:space="preserve"> م 1048 : 1- من ارتهن ديناً يلزمه أن ستوفي الفوائد وسائر التكاليف الموقتة التي تخصتص بهذا الدين وتستحق في أثناء مدة الرهن ، على أن تخصم أولا من النفقات ثم من الفوائد ثم من رأس المال المؤمن عليه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2- ويجب على الدائن أيضاً صيانة الدين المقدم تأميناً .</w:t>
      </w:r>
    </w:p>
    <w:p w:rsidR="00F72742" w:rsidRDefault="00F72742" w:rsidP="00F72742">
      <w:pPr>
        <w:pStyle w:val="aa"/>
        <w:widowControl w:val="0"/>
        <w:ind w:firstLine="567"/>
        <w:jc w:val="lowKashida"/>
        <w:rPr>
          <w:rFonts w:cs="Traditional Arabic" w:hint="cs"/>
          <w:color w:val="0000FF"/>
          <w:sz w:val="24"/>
          <w:szCs w:val="28"/>
          <w:rtl/>
        </w:rPr>
      </w:pPr>
      <w:r w:rsidRPr="003D73D1">
        <w:rPr>
          <w:rFonts w:cs="Traditional Arabic" w:hint="cs"/>
          <w:color w:val="0000FF"/>
          <w:sz w:val="24"/>
          <w:szCs w:val="28"/>
          <w:u w:val="single"/>
          <w:rtl/>
        </w:rPr>
        <w:t>التقنين الليبي</w:t>
      </w:r>
      <w:r>
        <w:rPr>
          <w:rFonts w:cs="Traditional Arabic" w:hint="cs"/>
          <w:color w:val="0000FF"/>
          <w:sz w:val="24"/>
          <w:szCs w:val="28"/>
          <w:rtl/>
        </w:rPr>
        <w:t xml:space="preserve"> : م 1130 : 1- للدائن المرتهن أن يستولي على الفوائد المستحقة عن الدين المرهون والتي تحل بعد الرهن ،وكذلك كل الاستحقاقات الدورة التي لهذا الدين ، على أن يخصم ما يستولي عليه من المصروفات ثم منالفوائد ثم من أصل الدين المضمون بالرهن ، كل هذا ما لم يتفق على غيره . 2- ويلتزم الدائن المرتهن بالمحافظة على الدين المرهون ، فإذا كان له أن يقتضي شيئاً من هذا الدين دون تدخل من الراهن ، كان عليه أن يقتضيه في الزمان والمكان المعينين للاستيفاء وأن يبادر بإخطار الراهن بذلك .</w:t>
      </w:r>
    </w:p>
    <w:p w:rsidR="00F72742" w:rsidRDefault="00F72742" w:rsidP="00F72742">
      <w:pPr>
        <w:pStyle w:val="aa"/>
        <w:widowControl w:val="0"/>
        <w:ind w:firstLine="567"/>
        <w:jc w:val="lowKashida"/>
        <w:rPr>
          <w:rFonts w:cs="Traditional Arabic" w:hint="cs"/>
          <w:color w:val="0000FF"/>
          <w:sz w:val="24"/>
          <w:szCs w:val="28"/>
          <w:rtl/>
        </w:rPr>
      </w:pPr>
      <w:r w:rsidRPr="003D73D1">
        <w:rPr>
          <w:rFonts w:cs="Traditional Arabic" w:hint="cs"/>
          <w:color w:val="0000FF"/>
          <w:sz w:val="24"/>
          <w:szCs w:val="28"/>
          <w:u w:val="single"/>
          <w:rtl/>
        </w:rPr>
        <w:t>التقنين العراق</w:t>
      </w:r>
      <w:r>
        <w:rPr>
          <w:rFonts w:cs="Traditional Arabic" w:hint="cs"/>
          <w:color w:val="0000FF"/>
          <w:sz w:val="24"/>
          <w:szCs w:val="28"/>
          <w:rtl/>
        </w:rPr>
        <w:t xml:space="preserve"> م 1357 : 1- للمرتهن أن يستولي على الفوائد المستحقة عن الدين المرهون والتي تحل بعد الرهن ، وله أن يستولي على كل الاستحقاقات الدورية التي لهذا الدين ، على أن يخصم ما يستولي عليه من الدين الموثق بالرهن وفقاً للأحكام الواردة في المادة 1340 . 2- ويلتزم المرتهن بالمحافظة على الدين المرهون ، فإذا كان له أن يقتضي شيئاً من هذا الدين دون تدخل من الراهن ، فعليه أن يقتضيه في الزمان والمكان المحددين للاستيفاء أن يبادر بإعلان الراهن بذلك .</w:t>
      </w:r>
    </w:p>
    <w:p w:rsidR="00F72742" w:rsidRPr="00091269" w:rsidRDefault="00F72742" w:rsidP="00F72742">
      <w:pPr>
        <w:pStyle w:val="aa"/>
        <w:widowControl w:val="0"/>
        <w:ind w:firstLine="567"/>
        <w:jc w:val="lowKashida"/>
        <w:rPr>
          <w:rFonts w:cs="Traditional Arabic" w:hint="cs"/>
          <w:color w:val="0000FF"/>
          <w:sz w:val="24"/>
          <w:szCs w:val="28"/>
          <w:rtl/>
        </w:rPr>
      </w:pPr>
      <w:r w:rsidRPr="003D73D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71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273 </w:t>
      </w:r>
      <w:r>
        <w:rPr>
          <w:rFonts w:cs="Traditional Arabic"/>
          <w:color w:val="0000FF"/>
          <w:sz w:val="24"/>
          <w:szCs w:val="28"/>
          <w:rtl/>
        </w:rPr>
        <w:t>–</w:t>
      </w:r>
      <w:r>
        <w:rPr>
          <w:rFonts w:cs="Traditional Arabic" w:hint="cs"/>
          <w:color w:val="0000FF"/>
          <w:sz w:val="24"/>
          <w:szCs w:val="28"/>
          <w:rtl/>
        </w:rPr>
        <w:t xml:space="preserve"> 274 .</w:t>
      </w:r>
    </w:p>
  </w:footnote>
  <w:footnote w:id="171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1569 من المشروع التمهيدي وأقرته لجنة المراجعة ، بعد تعديلات لفظية تحت رقم 1231 في المروع النهائي .ووافق عليه مجلس النواب تحت رقم 1216 ، ثم مجلس الشيوخ تحت رقم 1127 ( مجموعة الأعمال التحضيرية 7 ص 275 </w:t>
      </w:r>
      <w:r>
        <w:rPr>
          <w:rFonts w:cs="Traditional Arabic"/>
          <w:color w:val="0000FF"/>
          <w:sz w:val="24"/>
          <w:szCs w:val="28"/>
          <w:rtl/>
        </w:rPr>
        <w:t>–</w:t>
      </w:r>
      <w:r>
        <w:rPr>
          <w:rFonts w:cs="Traditional Arabic" w:hint="cs"/>
          <w:color w:val="0000FF"/>
          <w:sz w:val="24"/>
          <w:szCs w:val="28"/>
          <w:rtl/>
        </w:rPr>
        <w:t xml:space="preserve"> ص 277 )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hint="cs"/>
          <w:rtl/>
        </w:rPr>
      </w:pPr>
      <w:r w:rsidRPr="003D65F8">
        <w:rPr>
          <w:rFonts w:cs="Traditional Arabic" w:hint="cs"/>
          <w:color w:val="0000FF"/>
          <w:sz w:val="24"/>
          <w:szCs w:val="28"/>
          <w:u w:val="single"/>
          <w:rtl/>
        </w:rPr>
        <w:t>التقنين السور</w:t>
      </w:r>
      <w:r>
        <w:rPr>
          <w:rFonts w:cs="Traditional Arabic" w:hint="cs"/>
          <w:color w:val="0000FF"/>
          <w:sz w:val="24"/>
          <w:szCs w:val="28"/>
          <w:u w:val="single"/>
          <w:rtl/>
        </w:rPr>
        <w:t xml:space="preserve">ي </w:t>
      </w:r>
      <w:r>
        <w:rPr>
          <w:rFonts w:cs="Traditional Arabic" w:hint="cs"/>
          <w:color w:val="0000FF"/>
          <w:sz w:val="24"/>
          <w:szCs w:val="28"/>
          <w:rtl/>
        </w:rPr>
        <w:t>م 1052 : للمدين بالدين لمقدم تأميناً أن تمسك قبل الدائن المرتهن بأوجه الدفع المختصة بصحة الدين ، وبأوجه الدفع التي يحق له التمسك بها قبل دائنه الخاص بقدر ما لمدين أن يتمسك بها قبل شخص متفرغ له .</w:t>
      </w:r>
    </w:p>
    <w:p w:rsidR="00F72742" w:rsidRDefault="00F72742" w:rsidP="00F72742">
      <w:pPr>
        <w:pStyle w:val="aa"/>
        <w:widowControl w:val="0"/>
        <w:ind w:firstLine="567"/>
        <w:jc w:val="lowKashida"/>
        <w:rPr>
          <w:rFonts w:cs="Traditional Arabic" w:hint="cs"/>
          <w:color w:val="0000FF"/>
          <w:sz w:val="24"/>
          <w:szCs w:val="28"/>
          <w:rtl/>
        </w:rPr>
      </w:pPr>
      <w:r w:rsidRPr="007B2A75">
        <w:rPr>
          <w:rFonts w:cs="Traditional Arabic" w:hint="cs"/>
          <w:color w:val="0000FF"/>
          <w:sz w:val="24"/>
          <w:szCs w:val="28"/>
          <w:u w:val="single"/>
          <w:rtl/>
        </w:rPr>
        <w:t>التقنين الليبي</w:t>
      </w:r>
      <w:r>
        <w:rPr>
          <w:rFonts w:cs="Traditional Arabic" w:hint="cs"/>
          <w:color w:val="0000FF"/>
          <w:sz w:val="24"/>
          <w:szCs w:val="28"/>
          <w:rtl/>
        </w:rPr>
        <w:t xml:space="preserve"> م 1131 : يجوز للمدين في الدين المرهون أن يتمسك قبل الدائن المرتهن بأوجه الدفع المتعلقة بصحة الحق المضمون بالرهن ، وكذلك بأوجه الدفع التي تكون له هو قبل دائنه الأصلي ، كل ذلك بالقدر الذي يجوز فيه للمدين في حالة الحوالة ا يتمسك بهذه الدفوع قبل المحال إليه .</w:t>
      </w:r>
    </w:p>
    <w:p w:rsidR="00F72742" w:rsidRDefault="00F72742" w:rsidP="00F72742">
      <w:pPr>
        <w:pStyle w:val="aa"/>
        <w:widowControl w:val="0"/>
        <w:ind w:firstLine="567"/>
        <w:jc w:val="lowKashida"/>
        <w:rPr>
          <w:rFonts w:cs="Traditional Arabic" w:hint="cs"/>
          <w:color w:val="0000FF"/>
          <w:sz w:val="24"/>
          <w:szCs w:val="28"/>
          <w:rtl/>
        </w:rPr>
      </w:pPr>
      <w:r w:rsidRPr="007B2A75">
        <w:rPr>
          <w:rFonts w:cs="Traditional Arabic" w:hint="cs"/>
          <w:color w:val="0000FF"/>
          <w:sz w:val="24"/>
          <w:szCs w:val="28"/>
          <w:u w:val="single"/>
          <w:rtl/>
        </w:rPr>
        <w:t>التقنين العراقي</w:t>
      </w:r>
      <w:r>
        <w:rPr>
          <w:rFonts w:cs="Traditional Arabic" w:hint="cs"/>
          <w:color w:val="0000FF"/>
          <w:sz w:val="24"/>
          <w:szCs w:val="28"/>
          <w:rtl/>
        </w:rPr>
        <w:t xml:space="preserve"> م 1358 : يجوز للمدين بالدين المرهون أن يتمسك تجاه المرتهن بأوجه الدفع التي تكون له تجاه دائنه الأصلي ، وكذلك بأجه الدفع المتعلقة بصحة الدين الموثق بالرهن ، وكل ذلك بالقدر الذي يجوز فيه المدين في حالة الحوالة أن يتمسك بهذه الدفوع تجاه المحال له .</w:t>
      </w:r>
    </w:p>
    <w:p w:rsidR="00F72742" w:rsidRPr="00604BF9" w:rsidRDefault="00F72742" w:rsidP="00F72742">
      <w:pPr>
        <w:pStyle w:val="aa"/>
        <w:widowControl w:val="0"/>
        <w:ind w:firstLine="567"/>
        <w:jc w:val="lowKashida"/>
        <w:rPr>
          <w:rFonts w:cs="Traditional Arabic" w:hint="cs"/>
          <w:color w:val="0000FF"/>
          <w:sz w:val="24"/>
          <w:szCs w:val="28"/>
          <w:rtl/>
        </w:rPr>
      </w:pPr>
      <w:r w:rsidRPr="007B2A75">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7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275 </w:t>
      </w:r>
      <w:r>
        <w:rPr>
          <w:rFonts w:cs="Traditional Arabic"/>
          <w:color w:val="0000FF"/>
          <w:sz w:val="24"/>
          <w:szCs w:val="28"/>
          <w:rtl/>
        </w:rPr>
        <w:t>–</w:t>
      </w:r>
      <w:r>
        <w:rPr>
          <w:rFonts w:cs="Traditional Arabic" w:hint="cs"/>
          <w:color w:val="0000FF"/>
          <w:sz w:val="24"/>
          <w:szCs w:val="28"/>
          <w:rtl/>
        </w:rPr>
        <w:t xml:space="preserve"> ص 276 .</w:t>
      </w:r>
    </w:p>
  </w:footnote>
  <w:footnote w:id="171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1570 من المروع التمهيدي . وعدلته لجنة المراجعة تعديلا لفظياً فأصبح مطابقاً لما استقر عليه في التقنين المدنين الجديد ، ووافقت عليه تحت رقم 1232 في المشروع النهائي . ووافق عليه مجلس النواب تحت رقم 1217 ، ثم مجلس الشيوخ تحت رقم 1128 ( مجموعة الأعمال التحضيرية 7 ص 277 </w:t>
      </w:r>
      <w:r>
        <w:rPr>
          <w:rFonts w:cs="Traditional Arabic"/>
          <w:color w:val="0000FF"/>
          <w:sz w:val="24"/>
          <w:szCs w:val="28"/>
          <w:rtl/>
        </w:rPr>
        <w:t>–</w:t>
      </w:r>
      <w:r>
        <w:rPr>
          <w:rFonts w:cs="Traditional Arabic" w:hint="cs"/>
          <w:color w:val="0000FF"/>
          <w:sz w:val="24"/>
          <w:szCs w:val="28"/>
          <w:rtl/>
        </w:rPr>
        <w:t xml:space="preserve"> ص 279 ) .</w:t>
      </w:r>
    </w:p>
    <w:p w:rsidR="00F72742" w:rsidRDefault="00F72742" w:rsidP="00F72742">
      <w:pPr>
        <w:pStyle w:val="aa"/>
        <w:widowControl w:val="0"/>
        <w:ind w:firstLine="567"/>
        <w:jc w:val="lowKashida"/>
        <w:rPr>
          <w:rFonts w:cs="Traditional Arabic" w:hint="cs"/>
          <w:color w:val="0000FF"/>
          <w:sz w:val="24"/>
          <w:szCs w:val="28"/>
          <w:rtl/>
        </w:rPr>
      </w:pPr>
      <w:r w:rsidRPr="007B19F5">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7B19F5" w:rsidRDefault="00F72742" w:rsidP="00F72742">
      <w:pPr>
        <w:pStyle w:val="aa"/>
        <w:widowControl w:val="0"/>
        <w:ind w:firstLine="567"/>
        <w:jc w:val="lowKashida"/>
        <w:rPr>
          <w:rFonts w:cs="Traditional Arabic" w:hint="cs"/>
          <w:color w:val="0000FF"/>
          <w:sz w:val="24"/>
          <w:szCs w:val="28"/>
          <w:u w:val="single"/>
          <w:rtl/>
        </w:rPr>
      </w:pPr>
      <w:r w:rsidRPr="007B19F5">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7B19F5">
        <w:rPr>
          <w:rFonts w:cs="Traditional Arabic" w:hint="cs"/>
          <w:color w:val="0000FF"/>
          <w:sz w:val="24"/>
          <w:szCs w:val="28"/>
          <w:u w:val="single"/>
          <w:rtl/>
        </w:rPr>
        <w:t>التقنين السوري</w:t>
      </w:r>
      <w:r>
        <w:rPr>
          <w:rFonts w:cs="Traditional Arabic" w:hint="cs"/>
          <w:color w:val="0000FF"/>
          <w:sz w:val="24"/>
          <w:szCs w:val="28"/>
          <w:rtl/>
        </w:rPr>
        <w:t xml:space="preserve"> : لا شيء .</w:t>
      </w:r>
    </w:p>
    <w:p w:rsidR="00F72742" w:rsidRDefault="00F72742" w:rsidP="00F72742">
      <w:pPr>
        <w:pStyle w:val="aa"/>
        <w:widowControl w:val="0"/>
        <w:ind w:firstLine="567"/>
        <w:jc w:val="lowKashida"/>
        <w:rPr>
          <w:rFonts w:cs="Traditional Arabic" w:hint="cs"/>
          <w:color w:val="0000FF"/>
          <w:sz w:val="24"/>
          <w:szCs w:val="28"/>
          <w:rtl/>
        </w:rPr>
      </w:pPr>
      <w:r w:rsidRPr="007B19F5">
        <w:rPr>
          <w:rFonts w:cs="Traditional Arabic" w:hint="cs"/>
          <w:color w:val="0000FF"/>
          <w:sz w:val="24"/>
          <w:szCs w:val="28"/>
          <w:u w:val="single"/>
          <w:rtl/>
        </w:rPr>
        <w:t>التقنين الليبي</w:t>
      </w:r>
      <w:r>
        <w:rPr>
          <w:rFonts w:cs="Traditional Arabic" w:hint="cs"/>
          <w:color w:val="0000FF"/>
          <w:sz w:val="24"/>
          <w:szCs w:val="28"/>
          <w:rtl/>
        </w:rPr>
        <w:t xml:space="preserve"> م 1132 : 1- إذا حل الدين المرهون قبل حلول الدين المضمون بالرهن فلا يجوز للمدين أن يوفي الدين إلا للمرتهن والراهن معاً ، ولكن من هذين أن يطلب إلى المدين إيداع ما يؤديه ، وينتقل حق الرهن إلى ما تم إيداعه . 2- وعلى المرتهن والراهن أن يتعاونا على استغلال ما أداه المدين ، وأن يكون ذلك على أنفع الوجوه للراهن دون أن يكون فيه ضرر الدائن المرتهن ، مع المبادرة إلى إنشاء رهن جديد لمصلحة هذا الدائن .</w:t>
      </w:r>
    </w:p>
    <w:p w:rsidR="00F72742" w:rsidRDefault="00F72742" w:rsidP="00F72742">
      <w:pPr>
        <w:pStyle w:val="aa"/>
        <w:widowControl w:val="0"/>
        <w:ind w:firstLine="567"/>
        <w:jc w:val="lowKashida"/>
        <w:rPr>
          <w:rFonts w:cs="Traditional Arabic" w:hint="cs"/>
          <w:color w:val="0000FF"/>
          <w:sz w:val="24"/>
          <w:szCs w:val="28"/>
          <w:rtl/>
        </w:rPr>
      </w:pPr>
      <w:r w:rsidRPr="007B19F5">
        <w:rPr>
          <w:rFonts w:cs="Traditional Arabic" w:hint="cs"/>
          <w:color w:val="0000FF"/>
          <w:sz w:val="24"/>
          <w:szCs w:val="28"/>
          <w:u w:val="single"/>
          <w:rtl/>
        </w:rPr>
        <w:t>التقنين العرقي</w:t>
      </w:r>
      <w:r>
        <w:rPr>
          <w:rFonts w:cs="Traditional Arabic" w:hint="cs"/>
          <w:color w:val="0000FF"/>
          <w:sz w:val="24"/>
          <w:szCs w:val="28"/>
          <w:rtl/>
        </w:rPr>
        <w:t xml:space="preserve"> م 1359 : 1- إذا حل الدين المرهون قبل حلول الدين الموثق بالرهن ، فلا يجوز للمدين أن يوفي الدين إلا للمرتهن والراهن معاً ، ولكل من هذين أن يطلب إلى المدين إيداع ما يؤديه عند عدل وينتقل حق الرهن إلى ما أداه المدين . 2- وعلى المرتهن والراهن أن يتعاونا على استغلال ما أداه الدين ، وأن يكون ذلك على أفيد الوجوه للراهن دون أن يكون ضرر المرتهن .</w:t>
      </w:r>
    </w:p>
    <w:p w:rsidR="00F72742" w:rsidRPr="00F57868" w:rsidRDefault="00F72742" w:rsidP="00F72742">
      <w:pPr>
        <w:pStyle w:val="aa"/>
        <w:widowControl w:val="0"/>
        <w:ind w:firstLine="567"/>
        <w:jc w:val="lowKashida"/>
        <w:rPr>
          <w:rFonts w:cs="Traditional Arabic" w:hint="cs"/>
          <w:color w:val="0000FF"/>
          <w:sz w:val="24"/>
          <w:szCs w:val="28"/>
          <w:rtl/>
        </w:rPr>
      </w:pPr>
      <w:r w:rsidRPr="007B19F5">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71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280 .</w:t>
      </w:r>
    </w:p>
  </w:footnote>
  <w:footnote w:id="171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1571 من المشروع التمهيدي على الوجه الآتي : "1- إذا حل الدين المرهون بعد حلول الحق المضمون بالرهن ، جاز للدائن المرتهن إذا لم يستوف حقه أن يتولى اقتضاء الدين المرهون ، على أن يبيعه ،أو أن يتملكه وفقاً للمادة 1562/2ز 2- فإذا كان الدين المرهون مبلغاً من النقود ، فلا يجوز للدائن المرتهن أن يقتضي منه إلا بقدر ما يكون باقياً من حقه المضمون بالرهن ، ويعتبر المدين في الدين المرهون قد وفى من دينه القدر الذي اقتضاه منه الدائن المرتهن" . وحذفت لجنة المراجعة الفقرة الثانية وعدلت الفقرة الأولى تعديلا لفظياً حتى صارت مطابقة لما استقرت عليه في التقنين المدني الجديد ، ووافقت عليها تحت رقم 1233 . في المشروع النهائي . ووافق على النص مجل النواب تحت رقم 1218 ، ثم مجلس الشيوخ تحت رقم 1129 ( مجموعة الأعمال التحضيرية 7 ص 279 </w:t>
      </w:r>
      <w:r>
        <w:rPr>
          <w:rFonts w:cs="Traditional Arabic"/>
          <w:color w:val="0000FF"/>
          <w:sz w:val="24"/>
          <w:szCs w:val="28"/>
          <w:rtl/>
        </w:rPr>
        <w:t>–</w:t>
      </w:r>
      <w:r>
        <w:rPr>
          <w:rFonts w:cs="Traditional Arabic" w:hint="cs"/>
          <w:color w:val="0000FF"/>
          <w:sz w:val="24"/>
          <w:szCs w:val="28"/>
          <w:rtl/>
        </w:rPr>
        <w:t xml:space="preserve"> ص 281 ) .</w:t>
      </w:r>
    </w:p>
    <w:p w:rsidR="00F72742" w:rsidRDefault="00F72742" w:rsidP="00F72742">
      <w:pPr>
        <w:pStyle w:val="aa"/>
        <w:widowControl w:val="0"/>
        <w:ind w:firstLine="567"/>
        <w:jc w:val="lowKashida"/>
        <w:rPr>
          <w:rFonts w:cs="Traditional Arabic" w:hint="cs"/>
          <w:color w:val="0000FF"/>
          <w:sz w:val="24"/>
          <w:szCs w:val="28"/>
          <w:rtl/>
        </w:rPr>
      </w:pPr>
      <w:r w:rsidRPr="003F4755">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3F4755" w:rsidRDefault="00F72742" w:rsidP="00F72742">
      <w:pPr>
        <w:pStyle w:val="aa"/>
        <w:widowControl w:val="0"/>
        <w:ind w:firstLine="567"/>
        <w:jc w:val="lowKashida"/>
        <w:rPr>
          <w:rFonts w:cs="Traditional Arabic" w:hint="cs"/>
          <w:color w:val="0000FF"/>
          <w:sz w:val="24"/>
          <w:szCs w:val="28"/>
          <w:u w:val="single"/>
          <w:rtl/>
        </w:rPr>
      </w:pPr>
      <w:r w:rsidRPr="003F4755">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3F4755">
        <w:rPr>
          <w:rFonts w:cs="Traditional Arabic" w:hint="cs"/>
          <w:color w:val="0000FF"/>
          <w:sz w:val="24"/>
          <w:szCs w:val="28"/>
          <w:u w:val="single"/>
          <w:rtl/>
        </w:rPr>
        <w:t>التقنين السوري</w:t>
      </w:r>
      <w:r>
        <w:rPr>
          <w:rFonts w:cs="Traditional Arabic" w:hint="cs"/>
          <w:color w:val="0000FF"/>
          <w:sz w:val="24"/>
          <w:szCs w:val="28"/>
          <w:rtl/>
        </w:rPr>
        <w:t xml:space="preserve"> م 1049 :على الدائن المرتهن أيضاً أن يستوفي الدين المقدم تأمينا عند استحقاقه ، ويرد إلى الراهن عند الاقتضاء الفرق الزائد بين المبلغ الذي قبضه والمبلغ المترتب له .</w:t>
      </w:r>
    </w:p>
    <w:p w:rsidR="00F72742" w:rsidRDefault="00F72742" w:rsidP="00F72742">
      <w:pPr>
        <w:pStyle w:val="aa"/>
        <w:widowControl w:val="0"/>
        <w:ind w:firstLine="567"/>
        <w:jc w:val="lowKashida"/>
        <w:rPr>
          <w:rFonts w:cs="Traditional Arabic" w:hint="cs"/>
          <w:color w:val="0000FF"/>
          <w:sz w:val="24"/>
          <w:szCs w:val="28"/>
          <w:rtl/>
        </w:rPr>
      </w:pPr>
      <w:r w:rsidRPr="003F4755">
        <w:rPr>
          <w:rFonts w:cs="Traditional Arabic" w:hint="cs"/>
          <w:color w:val="0000FF"/>
          <w:sz w:val="24"/>
          <w:szCs w:val="28"/>
          <w:u w:val="single"/>
          <w:rtl/>
        </w:rPr>
        <w:t>التقنين الليبي</w:t>
      </w:r>
      <w:r>
        <w:rPr>
          <w:rFonts w:cs="Traditional Arabic" w:hint="cs"/>
          <w:color w:val="0000FF"/>
          <w:sz w:val="24"/>
          <w:szCs w:val="28"/>
          <w:rtl/>
        </w:rPr>
        <w:t xml:space="preserve"> م 1133 : إذا أصبح كل من الدين المرهون والدين المضمون بالرهن مستحق الأداء ، جاز للدائن المرتهن إذا لم يستوف حقه ، أن يقبض من الدين المرهون ما يكون مستحقا له أو أن يطلب بيع هذا الدين أو تملكه وفقا للمادة 1125 الفقرة الثانية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1360 : إذا أصبح الدين المرهون والدين الموثوق بالرهن مستحق الأداء ، جاز للمرتهن إذا لم يستوف حقه أن يقبض من الدين المرهون ما يكون مستحقا له أو يطلب من المحكمة بيعه أو تملكه بقيمته بعد خصم المستحق له .</w:t>
      </w:r>
    </w:p>
    <w:p w:rsidR="00F72742" w:rsidRPr="00F32555" w:rsidRDefault="00F72742" w:rsidP="00F72742">
      <w:pPr>
        <w:pStyle w:val="aa"/>
        <w:widowControl w:val="0"/>
        <w:ind w:firstLine="567"/>
        <w:jc w:val="lowKashida"/>
        <w:rPr>
          <w:rFonts w:cs="Traditional Arabic" w:hint="cs"/>
          <w:color w:val="0000FF"/>
          <w:sz w:val="24"/>
          <w:szCs w:val="28"/>
          <w:rtl/>
        </w:rPr>
      </w:pPr>
      <w:r w:rsidRPr="00E03DD1">
        <w:rPr>
          <w:rFonts w:cs="Traditional Arabic" w:hint="cs"/>
          <w:color w:val="0000FF"/>
          <w:sz w:val="24"/>
          <w:szCs w:val="28"/>
          <w:u w:val="single"/>
          <w:rtl/>
        </w:rPr>
        <w:t>قانون الملكية العقارية اللبناني</w:t>
      </w:r>
      <w:r>
        <w:rPr>
          <w:rFonts w:cs="Traditional Arabic" w:hint="cs"/>
          <w:color w:val="0000FF"/>
          <w:sz w:val="24"/>
          <w:szCs w:val="28"/>
          <w:rtl/>
        </w:rPr>
        <w:t xml:space="preserve"> : لا شيء .</w:t>
      </w:r>
    </w:p>
  </w:footnote>
  <w:footnote w:id="17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280 .</w:t>
      </w:r>
    </w:p>
  </w:footnote>
  <w:footnote w:id="171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1572 من المروع التمهيدي . وأقرتها لجنة المراجعة بعد استبدال عبارة "مراعاة منه لسببه" بعبارة "معتبرا في ذلك طبيعة هذا الحق" الواردة في الفقرة الأولى ، وأصبح رقم المادة 1234 في المروع النهائي . وأقرها مجلس النواب ، تحت رقم 1219 واستبدلت لجنة مجلس الشيوخ في الفقرة الأولى بكلمة "لسببه" كلمة "لصفته" إيثاراً للإصلاح الذي جرى عليه الفقه والقضاء في بناء الامتياز على صفة الدين ، وأصبح رقم المادة 1130 . ووافق مجلس الشيوخ على المادة كما عدلتها لجنته ( مجموعة الأعمال التحضيرية 7 ص 284 </w:t>
      </w:r>
      <w:r>
        <w:rPr>
          <w:rFonts w:cs="Traditional Arabic"/>
          <w:color w:val="0000FF"/>
          <w:sz w:val="24"/>
          <w:szCs w:val="28"/>
          <w:rtl/>
        </w:rPr>
        <w:t>–</w:t>
      </w:r>
      <w:r>
        <w:rPr>
          <w:rFonts w:cs="Traditional Arabic" w:hint="cs"/>
          <w:color w:val="0000FF"/>
          <w:sz w:val="24"/>
          <w:szCs w:val="28"/>
          <w:rtl/>
        </w:rPr>
        <w:t xml:space="preserve"> ص 285 ) .</w:t>
      </w:r>
    </w:p>
    <w:p w:rsidR="00F72742" w:rsidRDefault="00F72742" w:rsidP="00F72742">
      <w:pPr>
        <w:pStyle w:val="aa"/>
        <w:widowControl w:val="0"/>
        <w:ind w:firstLine="567"/>
        <w:jc w:val="lowKashida"/>
        <w:rPr>
          <w:rFonts w:cs="Traditional Arabic" w:hint="cs"/>
          <w:color w:val="0000FF"/>
          <w:sz w:val="24"/>
          <w:szCs w:val="28"/>
          <w:rtl/>
        </w:rPr>
      </w:pPr>
      <w:r w:rsidRPr="0077711F">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77711F">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77711F">
        <w:rPr>
          <w:rFonts w:cs="Traditional Arabic" w:hint="cs"/>
          <w:color w:val="0000FF"/>
          <w:sz w:val="24"/>
          <w:szCs w:val="28"/>
          <w:u w:val="single"/>
          <w:rtl/>
        </w:rPr>
        <w:t>التقنين السوري</w:t>
      </w:r>
      <w:r>
        <w:rPr>
          <w:rFonts w:cs="Traditional Arabic" w:hint="cs"/>
          <w:color w:val="0000FF"/>
          <w:sz w:val="24"/>
          <w:szCs w:val="28"/>
          <w:rtl/>
        </w:rPr>
        <w:t xml:space="preserve"> م 1109 : 1- الامتياز أولوية يقررها القانون لحق معين مراعاة منه لصفته . 2- ولا يكون الحق امتياز إلا بمقتضى نص في القانون .</w:t>
      </w:r>
    </w:p>
    <w:p w:rsidR="00F72742" w:rsidRDefault="00F72742" w:rsidP="00F72742">
      <w:pPr>
        <w:pStyle w:val="aa"/>
        <w:widowControl w:val="0"/>
        <w:ind w:firstLine="567"/>
        <w:jc w:val="lowKashida"/>
        <w:rPr>
          <w:rFonts w:cs="Traditional Arabic" w:hint="cs"/>
          <w:color w:val="0000FF"/>
          <w:sz w:val="24"/>
          <w:szCs w:val="28"/>
          <w:rtl/>
        </w:rPr>
      </w:pPr>
      <w:r w:rsidRPr="0077711F">
        <w:rPr>
          <w:rFonts w:cs="Traditional Arabic" w:hint="cs"/>
          <w:color w:val="0000FF"/>
          <w:sz w:val="24"/>
          <w:szCs w:val="28"/>
          <w:u w:val="single"/>
          <w:rtl/>
        </w:rPr>
        <w:t>التقنين الليبي</w:t>
      </w:r>
      <w:r>
        <w:rPr>
          <w:rFonts w:cs="Traditional Arabic" w:hint="cs"/>
          <w:color w:val="0000FF"/>
          <w:sz w:val="24"/>
          <w:szCs w:val="28"/>
          <w:rtl/>
        </w:rPr>
        <w:t xml:space="preserve"> م 1134 : 1- الامتياز أولوية يقررها القانون لحق معين مراعاة منه لصفته . 2- ولا يكون للحق امتياز إلا بمقتضى نص القانون .</w:t>
      </w:r>
    </w:p>
    <w:p w:rsidR="00F72742" w:rsidRPr="00D37479" w:rsidRDefault="00F72742" w:rsidP="00F72742">
      <w:pPr>
        <w:pStyle w:val="aa"/>
        <w:widowControl w:val="0"/>
        <w:ind w:firstLine="567"/>
        <w:jc w:val="lowKashida"/>
        <w:rPr>
          <w:rFonts w:cs="Traditional Arabic" w:hint="cs"/>
          <w:color w:val="0000FF"/>
          <w:sz w:val="24"/>
          <w:szCs w:val="28"/>
          <w:rtl/>
        </w:rPr>
      </w:pPr>
      <w:r w:rsidRPr="0077711F">
        <w:rPr>
          <w:rFonts w:cs="Traditional Arabic" w:hint="cs"/>
          <w:color w:val="0000FF"/>
          <w:sz w:val="24"/>
          <w:szCs w:val="28"/>
          <w:u w:val="single"/>
          <w:rtl/>
        </w:rPr>
        <w:t>التقنين العراقي</w:t>
      </w:r>
      <w:r>
        <w:rPr>
          <w:rFonts w:cs="Traditional Arabic" w:hint="cs"/>
          <w:color w:val="0000FF"/>
          <w:sz w:val="24"/>
          <w:szCs w:val="28"/>
          <w:rtl/>
        </w:rPr>
        <w:t xml:space="preserve"> م </w:t>
      </w:r>
      <w:smartTag w:uri="urn:schemas-microsoft-com:office:smarttags" w:element="metricconverter">
        <w:smartTagPr>
          <w:attr w:name="ProductID" w:val="1361 م"/>
        </w:smartTagPr>
        <w:r>
          <w:rPr>
            <w:rFonts w:cs="Traditional Arabic" w:hint="cs"/>
            <w:color w:val="0000FF"/>
            <w:sz w:val="24"/>
            <w:szCs w:val="28"/>
            <w:rtl/>
          </w:rPr>
          <w:t>1361 م</w:t>
        </w:r>
      </w:smartTag>
      <w:r>
        <w:rPr>
          <w:rFonts w:cs="Traditional Arabic" w:hint="cs"/>
          <w:color w:val="0000FF"/>
          <w:sz w:val="24"/>
          <w:szCs w:val="28"/>
          <w:rtl/>
        </w:rPr>
        <w:t xml:space="preserve"> 361 : 1- الامتياز أولوية في الاستيفاء لدين معين مراعاة لسبب هذا الدين . ولا يكون للدين امتياز إلا بمقتضى نص في القانون .</w:t>
      </w:r>
    </w:p>
  </w:footnote>
  <w:footnote w:id="17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286 .</w:t>
      </w:r>
    </w:p>
  </w:footnote>
  <w:footnote w:id="172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أول أبريل سنة1931 م 43 ص 324 </w:t>
      </w:r>
      <w:r>
        <w:rPr>
          <w:rFonts w:cs="Traditional Arabic"/>
          <w:color w:val="0000FF"/>
          <w:sz w:val="24"/>
          <w:szCs w:val="28"/>
          <w:rtl/>
        </w:rPr>
        <w:t>–</w:t>
      </w:r>
      <w:r>
        <w:rPr>
          <w:rFonts w:cs="Traditional Arabic" w:hint="cs"/>
          <w:color w:val="0000FF"/>
          <w:sz w:val="24"/>
          <w:szCs w:val="28"/>
          <w:rtl/>
        </w:rPr>
        <w:t xml:space="preserve"> بيدان وفوران فقرة 316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قضت محكمة النقض بأنه لما كان حق الامتياز هو من التأمينات العينية ولا يقرر إلا بمقتضى في القانون ، وكان القانون لم يرتب للبالغ في حالة بقائه منتفعا بالعقار المبيع أو بجزء منه بصفته مستأجرا أي امتياز على العين المبيعة ، فإن الحكم المطعون فيه يكون قد أخطأ في القانون إذ اعتبر احتفاظ البائع في عقد البيع بحقه في الانتفاع بجزء من المنزل المبيع بصفته من حقوق الامتياز التي خولها له القانون ( نقض مدني 5 مايو سنة 1955 مجموعة الخمسة والعرين عاما 1 ص 395 رقم 22 ) . وقضت محكمة القض أيضاً بأن الامتياز لا يقرر إلا بمقتضى نص في القانون ، فاتشراط المتعاقد امتيازاً لحقه في التعويض لا يعتد به ( نقض مدني 21 مايو سنة 1964 مجموعة أحكام النقض 15 رقم 112 ص 706 ) .</w:t>
      </w:r>
    </w:p>
  </w:footnote>
  <w:footnote w:id="172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17 يونيه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241 </w:t>
      </w:r>
      <w:r>
        <w:rPr>
          <w:rFonts w:cs="Traditional Arabic"/>
          <w:color w:val="0000FF"/>
          <w:sz w:val="24"/>
          <w:szCs w:val="28"/>
          <w:rtl/>
        </w:rPr>
        <w:t>–</w:t>
      </w:r>
      <w:r>
        <w:rPr>
          <w:rFonts w:cs="Traditional Arabic" w:hint="cs"/>
          <w:color w:val="0000FF"/>
          <w:sz w:val="24"/>
          <w:szCs w:val="28"/>
          <w:rtl/>
        </w:rPr>
        <w:t xml:space="preserve"> 21 ديسمبر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55 ص 22 </w:t>
      </w:r>
      <w:r>
        <w:rPr>
          <w:rFonts w:cs="Traditional Arabic"/>
          <w:color w:val="0000FF"/>
          <w:sz w:val="24"/>
          <w:szCs w:val="28"/>
          <w:rtl/>
        </w:rPr>
        <w:t>–</w:t>
      </w:r>
      <w:r>
        <w:rPr>
          <w:rFonts w:cs="Traditional Arabic" w:hint="cs"/>
          <w:color w:val="0000FF"/>
          <w:sz w:val="24"/>
          <w:szCs w:val="28"/>
          <w:rtl/>
        </w:rPr>
        <w:t xml:space="preserve"> ولكن يجوز أن يتفق الدائنون على أن يتقدمهم أحدهم كالمحامي ( انظر نقض مدني 5 مايو سنة1955 مجموعة أحكام النقض 6 رقم 145 ص 1109 ) .</w:t>
      </w:r>
    </w:p>
  </w:footnote>
  <w:footnote w:id="172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الإسكندرية الكلية 27 يناير سنة 1951 التشريع والقضاء 4 رقم 28 ص 108 .</w:t>
      </w:r>
    </w:p>
  </w:footnote>
  <w:footnote w:id="172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مصر 23 فبراير سنة 1941 المجموعة الرسمية 42 رقم 226 ص 523 .</w:t>
      </w:r>
    </w:p>
  </w:footnote>
  <w:footnote w:id="172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الإسكندرية مستعجل 22 يناير سنة 1945 المجموعة الرسمية 42 رقم 226 ص 523 .</w:t>
      </w:r>
    </w:p>
  </w:footnote>
  <w:footnote w:id="172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الفتاح عبد الباقي ص 669 </w:t>
      </w:r>
      <w:r>
        <w:rPr>
          <w:rFonts w:cs="Traditional Arabic"/>
          <w:color w:val="0000FF"/>
          <w:sz w:val="24"/>
          <w:szCs w:val="28"/>
          <w:rtl/>
        </w:rPr>
        <w:t>–</w:t>
      </w:r>
      <w:r>
        <w:rPr>
          <w:rFonts w:cs="Traditional Arabic" w:hint="cs"/>
          <w:color w:val="0000FF"/>
          <w:sz w:val="24"/>
          <w:szCs w:val="28"/>
          <w:rtl/>
        </w:rPr>
        <w:t xml:space="preserve"> محمد علي إمام فقرة 564 .</w:t>
      </w:r>
    </w:p>
  </w:footnote>
  <w:footnote w:id="172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ففيما يتعلق بحقوق الامتياز العامة ، اتجه بعض الفقهاء الفرنسيين إلى اعتبارها حقوقا عينية ( بودري ودي لوان فقرة 292 </w:t>
      </w:r>
      <w:r>
        <w:rPr>
          <w:rFonts w:cs="Traditional Arabic"/>
          <w:color w:val="0000FF"/>
          <w:sz w:val="24"/>
          <w:szCs w:val="28"/>
          <w:rtl/>
        </w:rPr>
        <w:t>–</w:t>
      </w:r>
      <w:r>
        <w:rPr>
          <w:rFonts w:cs="Traditional Arabic" w:hint="cs"/>
          <w:color w:val="0000FF"/>
          <w:sz w:val="24"/>
          <w:szCs w:val="28"/>
          <w:rtl/>
        </w:rPr>
        <w:t xml:space="preserve"> ديروبيه في طبيعة حق المستأجر رسالة من تولوز سنة 1952 فقرة 353 وما بعدها ) . وقال بعض آخر إنها حقوق عينية إذا باشرها الدائن على عقار ، وهي مجرد أوصاف تلحق الالتزام إذا باشرها الدائن على منقول ( بودري 1 ص 273 ، أوبري ورو 3 فقرة 112 )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وفيما يتعلق بحقوق الامتياز الخاصة على منقول ، فما يستند منها إلى فكرة الرهن الضمني كامتياز المؤجر يكفل للدائن حقا عينيا ، وما لا يستند إلى فكرة الرهن الضمني كامتياز بائع المنقول فيه خلاف ( انظر في تفصيل ذلك أوبري ورو 3 فقرة 256 وما بعدها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ويرى بعض الفقهاء أن حقوق الامتياز جمعها صافت تلتصق ببعض الديون ، فتكفل الإخلال بقاعدة المسااة بين الدائنين ( بنكاز الملحق لبودري 5 فقرة 73 ص 437 </w:t>
      </w:r>
      <w:r>
        <w:rPr>
          <w:rFonts w:cs="Traditional Arabic"/>
          <w:color w:val="0000FF"/>
          <w:sz w:val="24"/>
          <w:szCs w:val="28"/>
          <w:rtl/>
        </w:rPr>
        <w:t>–</w:t>
      </w:r>
      <w:r>
        <w:rPr>
          <w:rFonts w:cs="Traditional Arabic" w:hint="cs"/>
          <w:color w:val="0000FF"/>
          <w:sz w:val="24"/>
          <w:szCs w:val="28"/>
          <w:rtl/>
        </w:rPr>
        <w:t xml:space="preserve"> ص 510 </w:t>
      </w:r>
      <w:r>
        <w:rPr>
          <w:rFonts w:cs="Traditional Arabic"/>
          <w:color w:val="0000FF"/>
          <w:sz w:val="24"/>
          <w:szCs w:val="28"/>
          <w:rtl/>
        </w:rPr>
        <w:t>–</w:t>
      </w:r>
      <w:r>
        <w:rPr>
          <w:rFonts w:cs="Traditional Arabic" w:hint="cs"/>
          <w:color w:val="0000FF"/>
          <w:sz w:val="24"/>
          <w:szCs w:val="28"/>
          <w:rtl/>
        </w:rPr>
        <w:t xml:space="preserve"> روبينو في الامتياز على الديون رسالة من بوردو سنة 1950 ص 123 وما بعدها )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وفي مصر يرى الأستاذ شمس الدين الوكيل أن حق الامتياز العام ليس بحق عيني لأنه لا يرد على مال معين بالذات ، وكذلك الحال بالنسبة إلى الامتياز على الديون لأنه يرد على حقوق شخصية . أما كل حقوق الامتياز الخاصة ، على عقار أو على منقول ، فتكسب الدائن حقوقا عينية . انظر في ذلك شمس الدين الوكيل فقرة 210 وبوجه خاص ص 567 هاشم 1 .</w:t>
      </w:r>
    </w:p>
  </w:footnote>
  <w:footnote w:id="172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173 </w:t>
      </w:r>
      <w:r>
        <w:rPr>
          <w:rFonts w:cs="Traditional Arabic"/>
          <w:color w:val="0000FF"/>
          <w:sz w:val="24"/>
          <w:szCs w:val="28"/>
          <w:rtl/>
        </w:rPr>
        <w:t>–</w:t>
      </w:r>
      <w:r>
        <w:rPr>
          <w:rFonts w:cs="Traditional Arabic" w:hint="cs"/>
          <w:color w:val="0000FF"/>
          <w:sz w:val="24"/>
          <w:szCs w:val="28"/>
          <w:rtl/>
        </w:rPr>
        <w:t xml:space="preserve"> بيدان فقرة 265 </w:t>
      </w:r>
      <w:r>
        <w:rPr>
          <w:rFonts w:cs="Traditional Arabic"/>
          <w:color w:val="0000FF"/>
          <w:sz w:val="24"/>
          <w:szCs w:val="28"/>
          <w:rtl/>
        </w:rPr>
        <w:t>–</w:t>
      </w:r>
      <w:r>
        <w:rPr>
          <w:rFonts w:cs="Traditional Arabic" w:hint="cs"/>
          <w:color w:val="0000FF"/>
          <w:sz w:val="24"/>
          <w:szCs w:val="28"/>
          <w:rtl/>
        </w:rPr>
        <w:t xml:space="preserve"> فقرة 269 </w:t>
      </w:r>
      <w:r>
        <w:rPr>
          <w:rFonts w:cs="Traditional Arabic"/>
          <w:color w:val="0000FF"/>
          <w:sz w:val="24"/>
          <w:szCs w:val="28"/>
          <w:rtl/>
        </w:rPr>
        <w:t>–</w:t>
      </w:r>
      <w:r>
        <w:rPr>
          <w:rFonts w:cs="Traditional Arabic" w:hint="cs"/>
          <w:color w:val="0000FF"/>
          <w:sz w:val="24"/>
          <w:szCs w:val="28"/>
          <w:rtl/>
        </w:rPr>
        <w:t xml:space="preserve"> بودري ودي لوان فقرة 302 وفقرة 304 . </w:t>
      </w:r>
    </w:p>
  </w:footnote>
  <w:footnote w:id="172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280 .</w:t>
      </w:r>
    </w:p>
  </w:footnote>
  <w:footnote w:id="172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328 ص 518 هامش 1 </w:t>
      </w:r>
      <w:r>
        <w:rPr>
          <w:rFonts w:cs="Traditional Arabic"/>
          <w:color w:val="0000FF"/>
          <w:sz w:val="24"/>
          <w:szCs w:val="28"/>
          <w:rtl/>
        </w:rPr>
        <w:t>–</w:t>
      </w:r>
      <w:r>
        <w:rPr>
          <w:rFonts w:cs="Traditional Arabic" w:hint="cs"/>
          <w:color w:val="0000FF"/>
          <w:sz w:val="24"/>
          <w:szCs w:val="28"/>
          <w:rtl/>
        </w:rPr>
        <w:t xml:space="preserve"> ويشير إلى بيدان وفوران فقرة 392 </w:t>
      </w:r>
      <w:r>
        <w:rPr>
          <w:rFonts w:cs="Traditional Arabic"/>
          <w:color w:val="0000FF"/>
          <w:sz w:val="24"/>
          <w:szCs w:val="28"/>
          <w:rtl/>
        </w:rPr>
        <w:t>–</w:t>
      </w:r>
      <w:r>
        <w:rPr>
          <w:rFonts w:cs="Traditional Arabic" w:hint="cs"/>
          <w:color w:val="0000FF"/>
          <w:sz w:val="24"/>
          <w:szCs w:val="28"/>
          <w:rtl/>
        </w:rPr>
        <w:t xml:space="preserve"> جوسران 2 فقرة 14545 </w:t>
      </w:r>
      <w:r>
        <w:rPr>
          <w:rFonts w:cs="Traditional Arabic"/>
          <w:color w:val="0000FF"/>
          <w:sz w:val="24"/>
          <w:szCs w:val="28"/>
          <w:rtl/>
        </w:rPr>
        <w:t>–</w:t>
      </w:r>
      <w:r>
        <w:rPr>
          <w:rFonts w:cs="Traditional Arabic" w:hint="cs"/>
          <w:color w:val="0000FF"/>
          <w:sz w:val="24"/>
          <w:szCs w:val="28"/>
          <w:rtl/>
        </w:rPr>
        <w:t xml:space="preserve"> بودري فقرة 302 .</w:t>
      </w:r>
    </w:p>
  </w:footnote>
  <w:footnote w:id="173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محمد كامل مرسي فقرة 382 </w:t>
      </w:r>
      <w:r>
        <w:rPr>
          <w:rFonts w:cs="Traditional Arabic"/>
          <w:color w:val="0000FF"/>
          <w:sz w:val="24"/>
          <w:szCs w:val="28"/>
          <w:rtl/>
        </w:rPr>
        <w:t>–</w:t>
      </w:r>
      <w:r>
        <w:rPr>
          <w:rFonts w:cs="Traditional Arabic" w:hint="cs"/>
          <w:color w:val="0000FF"/>
          <w:sz w:val="24"/>
          <w:szCs w:val="28"/>
          <w:rtl/>
        </w:rPr>
        <w:t xml:space="preserve"> عبد الفتاح عبد الباقي فقرة 534 </w:t>
      </w:r>
      <w:r>
        <w:rPr>
          <w:rFonts w:cs="Traditional Arabic"/>
          <w:color w:val="0000FF"/>
          <w:sz w:val="24"/>
          <w:szCs w:val="28"/>
          <w:rtl/>
        </w:rPr>
        <w:t>–</w:t>
      </w:r>
      <w:r>
        <w:rPr>
          <w:rFonts w:cs="Traditional Arabic" w:hint="cs"/>
          <w:color w:val="0000FF"/>
          <w:sz w:val="24"/>
          <w:szCs w:val="28"/>
          <w:rtl/>
        </w:rPr>
        <w:t xml:space="preserve"> محمد علي إمام فقرة 414 </w:t>
      </w:r>
      <w:r>
        <w:rPr>
          <w:rFonts w:cs="Traditional Arabic"/>
          <w:color w:val="0000FF"/>
          <w:sz w:val="24"/>
          <w:szCs w:val="28"/>
          <w:rtl/>
        </w:rPr>
        <w:t>–</w:t>
      </w:r>
      <w:r>
        <w:rPr>
          <w:rFonts w:cs="Traditional Arabic" w:hint="cs"/>
          <w:color w:val="0000FF"/>
          <w:sz w:val="24"/>
          <w:szCs w:val="28"/>
          <w:rtl/>
        </w:rPr>
        <w:t xml:space="preserve"> سليمان مرقس فقرة 328 .</w:t>
      </w:r>
    </w:p>
  </w:footnote>
  <w:footnote w:id="173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بودري ودي لوان فقرة 302 مكررة </w:t>
      </w:r>
      <w:r>
        <w:rPr>
          <w:rFonts w:cs="Traditional Arabic"/>
          <w:color w:val="0000FF"/>
          <w:sz w:val="24"/>
          <w:szCs w:val="28"/>
          <w:rtl/>
        </w:rPr>
        <w:t>–</w:t>
      </w:r>
      <w:r>
        <w:rPr>
          <w:rFonts w:cs="Traditional Arabic" w:hint="cs"/>
          <w:color w:val="0000FF"/>
          <w:sz w:val="24"/>
          <w:szCs w:val="28"/>
          <w:rtl/>
        </w:rPr>
        <w:t xml:space="preserve"> بيدان 1 فقرة 275 </w:t>
      </w:r>
      <w:r>
        <w:rPr>
          <w:rFonts w:cs="Traditional Arabic"/>
          <w:color w:val="0000FF"/>
          <w:sz w:val="24"/>
          <w:szCs w:val="28"/>
          <w:rtl/>
        </w:rPr>
        <w:t>–</w:t>
      </w:r>
      <w:r>
        <w:rPr>
          <w:rFonts w:cs="Traditional Arabic" w:hint="cs"/>
          <w:color w:val="0000FF"/>
          <w:sz w:val="24"/>
          <w:szCs w:val="28"/>
          <w:rtl/>
        </w:rPr>
        <w:t xml:space="preserve"> محمد كامل مرسي فقرة 381 </w:t>
      </w:r>
      <w:r>
        <w:rPr>
          <w:rFonts w:cs="Traditional Arabic"/>
          <w:color w:val="0000FF"/>
          <w:sz w:val="24"/>
          <w:szCs w:val="28"/>
          <w:rtl/>
        </w:rPr>
        <w:t>–</w:t>
      </w:r>
      <w:r>
        <w:rPr>
          <w:rFonts w:cs="Traditional Arabic" w:hint="cs"/>
          <w:color w:val="0000FF"/>
          <w:sz w:val="24"/>
          <w:szCs w:val="28"/>
          <w:rtl/>
        </w:rPr>
        <w:t xml:space="preserve"> سليمان مرقس فقرة 328 ص 5198 </w:t>
      </w:r>
      <w:r>
        <w:rPr>
          <w:rFonts w:cs="Traditional Arabic"/>
          <w:color w:val="0000FF"/>
          <w:sz w:val="24"/>
          <w:szCs w:val="28"/>
          <w:rtl/>
        </w:rPr>
        <w:t>–</w:t>
      </w:r>
      <w:r>
        <w:rPr>
          <w:rFonts w:cs="Traditional Arabic" w:hint="cs"/>
          <w:color w:val="0000FF"/>
          <w:sz w:val="24"/>
          <w:szCs w:val="28"/>
          <w:rtl/>
        </w:rPr>
        <w:t xml:space="preserve"> استئناف مختلط 10 أبريل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308 </w:t>
      </w:r>
      <w:r>
        <w:rPr>
          <w:rFonts w:cs="Traditional Arabic"/>
          <w:color w:val="0000FF"/>
          <w:sz w:val="24"/>
          <w:szCs w:val="28"/>
          <w:rtl/>
        </w:rPr>
        <w:t>–</w:t>
      </w:r>
      <w:r>
        <w:rPr>
          <w:rFonts w:cs="Traditional Arabic" w:hint="cs"/>
          <w:color w:val="0000FF"/>
          <w:sz w:val="24"/>
          <w:szCs w:val="28"/>
          <w:rtl/>
        </w:rPr>
        <w:t xml:space="preserve"> 5 ديسمبر سنة </w:t>
      </w:r>
      <w:smartTag w:uri="urn:schemas-microsoft-com:office:smarttags" w:element="metricconverter">
        <w:smartTagPr>
          <w:attr w:name="ProductID" w:val="1922 م"/>
        </w:smartTagPr>
        <w:r>
          <w:rPr>
            <w:rFonts w:cs="Traditional Arabic" w:hint="cs"/>
            <w:color w:val="0000FF"/>
            <w:sz w:val="24"/>
            <w:szCs w:val="28"/>
            <w:rtl/>
          </w:rPr>
          <w:t>1922 م</w:t>
        </w:r>
      </w:smartTag>
      <w:r>
        <w:rPr>
          <w:rFonts w:cs="Traditional Arabic" w:hint="cs"/>
          <w:color w:val="0000FF"/>
          <w:sz w:val="24"/>
          <w:szCs w:val="28"/>
          <w:rtl/>
        </w:rPr>
        <w:t xml:space="preserve"> 35 ص 71 </w:t>
      </w:r>
      <w:r>
        <w:rPr>
          <w:rFonts w:cs="Traditional Arabic"/>
          <w:color w:val="0000FF"/>
          <w:sz w:val="24"/>
          <w:szCs w:val="28"/>
          <w:rtl/>
        </w:rPr>
        <w:t>–</w:t>
      </w:r>
      <w:r>
        <w:rPr>
          <w:rFonts w:cs="Traditional Arabic" w:hint="cs"/>
          <w:color w:val="0000FF"/>
          <w:sz w:val="24"/>
          <w:szCs w:val="28"/>
          <w:rtl/>
        </w:rPr>
        <w:t xml:space="preserve"> 10 يونيه سنة </w:t>
      </w:r>
      <w:smartTag w:uri="urn:schemas-microsoft-com:office:smarttags" w:element="metricconverter">
        <w:smartTagPr>
          <w:attr w:name="ProductID" w:val="1924 م"/>
        </w:smartTagPr>
        <w:r>
          <w:rPr>
            <w:rFonts w:cs="Traditional Arabic" w:hint="cs"/>
            <w:color w:val="0000FF"/>
            <w:sz w:val="24"/>
            <w:szCs w:val="28"/>
            <w:rtl/>
          </w:rPr>
          <w:t>1924 م</w:t>
        </w:r>
      </w:smartTag>
      <w:r>
        <w:rPr>
          <w:rFonts w:cs="Traditional Arabic" w:hint="cs"/>
          <w:color w:val="0000FF"/>
          <w:sz w:val="24"/>
          <w:szCs w:val="28"/>
          <w:rtl/>
        </w:rPr>
        <w:t xml:space="preserve"> 46 ص 426 </w:t>
      </w:r>
      <w:r>
        <w:rPr>
          <w:rFonts w:cs="Traditional Arabic"/>
          <w:color w:val="0000FF"/>
          <w:sz w:val="24"/>
          <w:szCs w:val="28"/>
          <w:rtl/>
        </w:rPr>
        <w:t>–</w:t>
      </w:r>
      <w:r>
        <w:rPr>
          <w:rFonts w:cs="Traditional Arabic" w:hint="cs"/>
          <w:color w:val="0000FF"/>
          <w:sz w:val="24"/>
          <w:szCs w:val="28"/>
          <w:rtl/>
        </w:rPr>
        <w:t xml:space="preserve"> 25 مارس سنة </w:t>
      </w:r>
      <w:smartTag w:uri="urn:schemas-microsoft-com:office:smarttags" w:element="metricconverter">
        <w:smartTagPr>
          <w:attr w:name="ProductID" w:val="1947 م"/>
        </w:smartTagPr>
        <w:r>
          <w:rPr>
            <w:rFonts w:cs="Traditional Arabic" w:hint="cs"/>
            <w:color w:val="0000FF"/>
            <w:sz w:val="24"/>
            <w:szCs w:val="28"/>
            <w:rtl/>
          </w:rPr>
          <w:t>1947 م</w:t>
        </w:r>
      </w:smartTag>
      <w:r>
        <w:rPr>
          <w:rFonts w:cs="Traditional Arabic" w:hint="cs"/>
          <w:color w:val="0000FF"/>
          <w:sz w:val="24"/>
          <w:szCs w:val="28"/>
          <w:rtl/>
        </w:rPr>
        <w:t xml:space="preserve"> 59 ص 157 .</w:t>
      </w:r>
    </w:p>
  </w:footnote>
  <w:footnote w:id="173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sidRPr="00E7739E">
        <w:rPr>
          <w:rFonts w:cs="Traditional Arabic" w:hint="cs"/>
          <w:color w:val="0000FF"/>
          <w:sz w:val="24"/>
          <w:szCs w:val="28"/>
          <w:rtl/>
        </w:rPr>
        <w:t xml:space="preserve"> ورد هذا النص في المادة </w:t>
      </w:r>
      <w:r>
        <w:rPr>
          <w:rFonts w:cs="Traditional Arabic" w:hint="cs"/>
          <w:color w:val="0000FF"/>
          <w:sz w:val="24"/>
          <w:szCs w:val="28"/>
          <w:rtl/>
        </w:rPr>
        <w:t xml:space="preserve"> 1574 من المشروع التمهيدي على وجه مطابق لما استقر عليه في التقنين المدني الجديد . وأقرته لجنة المراجعة ، تحت رقم 1236 في المشروع النهائي . وأقره مجلس النواب تحت رقم 1221 ، ثم مجلس الشيوخ تحت رقم 1132 ( مجموعة الأعمال التحضيرية 7 ص 287 </w:t>
      </w:r>
      <w:r>
        <w:rPr>
          <w:rFonts w:cs="Traditional Arabic"/>
          <w:color w:val="0000FF"/>
          <w:sz w:val="24"/>
          <w:szCs w:val="28"/>
          <w:rtl/>
        </w:rPr>
        <w:t>–</w:t>
      </w:r>
      <w:r>
        <w:rPr>
          <w:rFonts w:cs="Traditional Arabic" w:hint="cs"/>
          <w:color w:val="0000FF"/>
          <w:sz w:val="24"/>
          <w:szCs w:val="28"/>
          <w:rtl/>
        </w:rPr>
        <w:t xml:space="preserve"> 289 ) .</w:t>
      </w:r>
    </w:p>
    <w:p w:rsidR="00F72742" w:rsidRDefault="00F72742" w:rsidP="00F72742">
      <w:pPr>
        <w:pStyle w:val="aa"/>
        <w:widowControl w:val="0"/>
        <w:ind w:firstLine="567"/>
        <w:jc w:val="lowKashida"/>
        <w:rPr>
          <w:rFonts w:cs="Traditional Arabic" w:hint="cs"/>
          <w:color w:val="0000FF"/>
          <w:sz w:val="24"/>
          <w:szCs w:val="28"/>
          <w:rtl/>
        </w:rPr>
      </w:pPr>
      <w:r w:rsidRPr="00910713">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Pr="00910713" w:rsidRDefault="00F72742" w:rsidP="00F72742">
      <w:pPr>
        <w:pStyle w:val="aa"/>
        <w:widowControl w:val="0"/>
        <w:ind w:firstLine="567"/>
        <w:jc w:val="lowKashida"/>
        <w:rPr>
          <w:rFonts w:cs="Traditional Arabic" w:hint="cs"/>
          <w:color w:val="0000FF"/>
          <w:sz w:val="24"/>
          <w:szCs w:val="28"/>
          <w:u w:val="single"/>
          <w:rtl/>
        </w:rPr>
      </w:pPr>
      <w:r w:rsidRPr="00910713">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910713">
        <w:rPr>
          <w:rFonts w:cs="Traditional Arabic" w:hint="cs"/>
          <w:color w:val="0000FF"/>
          <w:sz w:val="24"/>
          <w:szCs w:val="28"/>
          <w:u w:val="single"/>
          <w:rtl/>
        </w:rPr>
        <w:t>التقنين السوري</w:t>
      </w:r>
      <w:r>
        <w:rPr>
          <w:rFonts w:cs="Traditional Arabic" w:hint="cs"/>
          <w:color w:val="0000FF"/>
          <w:sz w:val="24"/>
          <w:szCs w:val="28"/>
          <w:rtl/>
        </w:rPr>
        <w:t xml:space="preserve"> م 1111 : ترد حقوق الامتياز العامة على جميع أموال المدين من منقول وعقار . أما حقوق الامتياز الخاصة فتكون مصورة على منقول أو عقار معين .</w:t>
      </w:r>
    </w:p>
    <w:p w:rsidR="00F72742" w:rsidRDefault="00F72742" w:rsidP="00F72742">
      <w:pPr>
        <w:pStyle w:val="aa"/>
        <w:widowControl w:val="0"/>
        <w:ind w:firstLine="567"/>
        <w:jc w:val="lowKashida"/>
        <w:rPr>
          <w:rFonts w:cs="Traditional Arabic" w:hint="cs"/>
          <w:color w:val="0000FF"/>
          <w:sz w:val="24"/>
          <w:szCs w:val="28"/>
          <w:rtl/>
        </w:rPr>
      </w:pPr>
      <w:r w:rsidRPr="00910713">
        <w:rPr>
          <w:rFonts w:cs="Traditional Arabic" w:hint="cs"/>
          <w:color w:val="0000FF"/>
          <w:sz w:val="24"/>
          <w:szCs w:val="28"/>
          <w:u w:val="single"/>
          <w:rtl/>
        </w:rPr>
        <w:t>التقنين الليبي</w:t>
      </w:r>
      <w:r>
        <w:rPr>
          <w:rFonts w:cs="Traditional Arabic" w:hint="cs"/>
          <w:color w:val="0000FF"/>
          <w:sz w:val="24"/>
          <w:szCs w:val="28"/>
          <w:rtl/>
        </w:rPr>
        <w:t xml:space="preserve"> م 1136 : ترد حقوق الامتياز العامة على جميع أموال المدين من منقول وعقار . أما حقوق الامتياز الخاصة فتكون مقصورة على منقول أو عقار معين .</w:t>
      </w:r>
    </w:p>
    <w:p w:rsidR="00F72742" w:rsidRPr="00E7739E" w:rsidRDefault="00F72742" w:rsidP="00F72742">
      <w:pPr>
        <w:pStyle w:val="aa"/>
        <w:widowControl w:val="0"/>
        <w:ind w:firstLine="567"/>
        <w:jc w:val="lowKashida"/>
        <w:rPr>
          <w:rFonts w:cs="Traditional Arabic" w:hint="cs"/>
          <w:color w:val="0000FF"/>
          <w:sz w:val="24"/>
          <w:szCs w:val="28"/>
          <w:rtl/>
        </w:rPr>
      </w:pPr>
      <w:r w:rsidRPr="00910713">
        <w:rPr>
          <w:rFonts w:cs="Traditional Arabic" w:hint="cs"/>
          <w:color w:val="0000FF"/>
          <w:sz w:val="24"/>
          <w:szCs w:val="28"/>
          <w:u w:val="single"/>
          <w:rtl/>
        </w:rPr>
        <w:t>التقنين العراقي</w:t>
      </w:r>
      <w:r>
        <w:rPr>
          <w:rFonts w:cs="Traditional Arabic" w:hint="cs"/>
          <w:color w:val="0000FF"/>
          <w:sz w:val="24"/>
          <w:szCs w:val="28"/>
          <w:rtl/>
        </w:rPr>
        <w:t xml:space="preserve"> م 1363 : 1- ترد حقوق الامتياز العامة على جميع أموال المدين من منقول وعقار . أما حقوق الامتياز الخاصة فتكون مقصورة على منقول أو عقار معين . 2- ويصح أن يكون حق التصرف في الأراضي الأميرية مثقلا بحق الامتياز .</w:t>
      </w:r>
    </w:p>
  </w:footnote>
  <w:footnote w:id="173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292 </w:t>
      </w:r>
      <w:r>
        <w:rPr>
          <w:rFonts w:cs="Traditional Arabic"/>
          <w:color w:val="0000FF"/>
          <w:sz w:val="24"/>
          <w:szCs w:val="28"/>
          <w:rtl/>
        </w:rPr>
        <w:t>–</w:t>
      </w:r>
      <w:r>
        <w:rPr>
          <w:rFonts w:cs="Traditional Arabic" w:hint="cs"/>
          <w:color w:val="0000FF"/>
          <w:sz w:val="24"/>
          <w:szCs w:val="28"/>
          <w:rtl/>
        </w:rPr>
        <w:t xml:space="preserve"> ص 293 .</w:t>
      </w:r>
    </w:p>
  </w:footnote>
  <w:footnote w:id="173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10 أبريل سنة </w:t>
      </w:r>
      <w:smartTag w:uri="urn:schemas-microsoft-com:office:smarttags" w:element="metricconverter">
        <w:smartTagPr>
          <w:attr w:name="ProductID" w:val="1913 م"/>
        </w:smartTagPr>
        <w:r>
          <w:rPr>
            <w:rFonts w:cs="Traditional Arabic" w:hint="cs"/>
            <w:color w:val="0000FF"/>
            <w:sz w:val="24"/>
            <w:szCs w:val="28"/>
            <w:rtl/>
          </w:rPr>
          <w:t>1913 م</w:t>
        </w:r>
      </w:smartTag>
      <w:r>
        <w:rPr>
          <w:rFonts w:cs="Traditional Arabic" w:hint="cs"/>
          <w:color w:val="0000FF"/>
          <w:sz w:val="24"/>
          <w:szCs w:val="28"/>
          <w:rtl/>
        </w:rPr>
        <w:t xml:space="preserve"> 25 ص 308 </w:t>
      </w:r>
      <w:r>
        <w:rPr>
          <w:rFonts w:cs="Traditional Arabic"/>
          <w:color w:val="0000FF"/>
          <w:sz w:val="24"/>
          <w:szCs w:val="28"/>
          <w:rtl/>
        </w:rPr>
        <w:t>–</w:t>
      </w:r>
      <w:r>
        <w:rPr>
          <w:rFonts w:cs="Traditional Arabic" w:hint="cs"/>
          <w:color w:val="0000FF"/>
          <w:sz w:val="24"/>
          <w:szCs w:val="28"/>
          <w:rtl/>
        </w:rPr>
        <w:t xml:space="preserve"> 5 ديسمبر سنة 1922م 35 ص 71 . </w:t>
      </w:r>
    </w:p>
  </w:footnote>
  <w:footnote w:id="173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وهناك تقسيم آخر لحقوق الامتياز محدود الأهمية . فتنقسم هذه الحقوق إلى حقوق يجب قيدها حتى قيدها حتى يكون لها تأثير على الغير هذه هي حقوق الامتياز الخاصة على عقار وتسري عليها أحكام الرهن الرسمي وأحكام التطهير والقيد وما يتصل به من تجديد ومحو ، وحقوق امتياز تنتج آثارها من غير قيد وهذه هي حقوق الامتياز العامة وحقوق الامتياز الخاصة على منقول ( محمد كامل مرسي فقرة 385 ) .</w:t>
      </w:r>
    </w:p>
  </w:footnote>
  <w:footnote w:id="173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النصف في المادة 1576 من المشروع التمهيدي . وأقرتها لجنة المراجعة تحت رقم 1238 في المشروع النهائي ، بعد إدخال بعض تعديلات لفظية جعلت النص مطابقاً لما استقر عليه في التقنين المدين الجديد .وأقرها مجلس النواب تحت رقم 1223 ، ثم مجلس الشيوخ تحت رقم 1134 ( مجموعة الأعمال التحضيرية 7 ص 291 </w:t>
      </w:r>
      <w:r>
        <w:rPr>
          <w:rFonts w:cs="Traditional Arabic"/>
          <w:color w:val="0000FF"/>
          <w:sz w:val="24"/>
          <w:szCs w:val="28"/>
          <w:rtl/>
        </w:rPr>
        <w:t>–</w:t>
      </w:r>
      <w:r>
        <w:rPr>
          <w:rFonts w:cs="Traditional Arabic" w:hint="cs"/>
          <w:color w:val="0000FF"/>
          <w:sz w:val="24"/>
          <w:szCs w:val="28"/>
          <w:rtl/>
        </w:rPr>
        <w:t xml:space="preserve"> ص 294 ) .</w:t>
      </w:r>
    </w:p>
    <w:p w:rsidR="00F72742" w:rsidRDefault="00F72742" w:rsidP="00F72742">
      <w:pPr>
        <w:pStyle w:val="aa"/>
        <w:widowControl w:val="0"/>
        <w:ind w:firstLine="567"/>
        <w:jc w:val="lowKashida"/>
        <w:rPr>
          <w:rFonts w:cs="Traditional Arabic" w:hint="cs"/>
          <w:color w:val="0000FF"/>
          <w:sz w:val="24"/>
          <w:szCs w:val="28"/>
          <w:rtl/>
        </w:rPr>
      </w:pPr>
      <w:r w:rsidRPr="00ED2AEF">
        <w:rPr>
          <w:rFonts w:cs="Traditional Arabic" w:hint="cs"/>
          <w:color w:val="0000FF"/>
          <w:sz w:val="24"/>
          <w:szCs w:val="28"/>
          <w:u w:val="single"/>
          <w:rtl/>
        </w:rPr>
        <w:t>التقنين المدني السابق</w:t>
      </w:r>
      <w:r>
        <w:rPr>
          <w:rFonts w:cs="Traditional Arabic" w:hint="cs"/>
          <w:color w:val="0000FF"/>
          <w:sz w:val="24"/>
          <w:szCs w:val="28"/>
          <w:rtl/>
        </w:rPr>
        <w:t xml:space="preserve"> : لا مقابل .</w:t>
      </w:r>
    </w:p>
    <w:p w:rsidR="00F72742" w:rsidRDefault="00F72742" w:rsidP="00F72742">
      <w:pPr>
        <w:pStyle w:val="aa"/>
        <w:widowControl w:val="0"/>
        <w:ind w:firstLine="567"/>
        <w:jc w:val="lowKashida"/>
        <w:rPr>
          <w:rFonts w:cs="Traditional Arabic" w:hint="cs"/>
          <w:color w:val="0000FF"/>
          <w:sz w:val="24"/>
          <w:szCs w:val="28"/>
          <w:rtl/>
        </w:rPr>
      </w:pPr>
      <w:r w:rsidRPr="00ED2AEF">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ED2AEF">
        <w:rPr>
          <w:rFonts w:cs="Traditional Arabic" w:hint="cs"/>
          <w:color w:val="0000FF"/>
          <w:sz w:val="24"/>
          <w:szCs w:val="28"/>
          <w:u w:val="single"/>
          <w:rtl/>
        </w:rPr>
        <w:t>التقين السوري</w:t>
      </w:r>
      <w:r>
        <w:rPr>
          <w:rFonts w:cs="Traditional Arabic" w:hint="cs"/>
          <w:color w:val="0000FF"/>
          <w:sz w:val="24"/>
          <w:szCs w:val="28"/>
          <w:rtl/>
        </w:rPr>
        <w:t xml:space="preserve"> م 1113 : 1- تسري على حقوق الامتياز الواقعة على عقار أحكام الرهن والتامين العقاريين بالقدر الذي لا تتعارض فيه مع طبيعة هذه الحقوق . 2- تعفى من التسجيل حقوق الامتياز العامة الآتية : ( 1 ) الرسوم  . . . .</w:t>
      </w:r>
    </w:p>
    <w:p w:rsidR="00F72742" w:rsidRDefault="00F72742" w:rsidP="00F72742">
      <w:pPr>
        <w:pStyle w:val="aa"/>
        <w:widowControl w:val="0"/>
        <w:ind w:firstLine="567"/>
        <w:jc w:val="lowKashida"/>
        <w:rPr>
          <w:rFonts w:cs="Traditional Arabic" w:hint="cs"/>
          <w:color w:val="0000FF"/>
          <w:sz w:val="24"/>
          <w:szCs w:val="28"/>
          <w:rtl/>
        </w:rPr>
      </w:pPr>
      <w:r w:rsidRPr="00ED2AEF">
        <w:rPr>
          <w:rFonts w:cs="Traditional Arabic" w:hint="cs"/>
          <w:color w:val="0000FF"/>
          <w:sz w:val="24"/>
          <w:szCs w:val="28"/>
          <w:u w:val="single"/>
          <w:rtl/>
        </w:rPr>
        <w:t>التقنيني الليبي</w:t>
      </w:r>
      <w:r>
        <w:rPr>
          <w:rFonts w:cs="Traditional Arabic" w:hint="cs"/>
          <w:color w:val="0000FF"/>
          <w:sz w:val="24"/>
          <w:szCs w:val="28"/>
          <w:rtl/>
        </w:rPr>
        <w:t xml:space="preserve"> م 1138 : 1- تسري على حقوق الامتياز الواقعة على عقار أحكام الرهن الاتفاق بالقدر الذي لا تتعارض فيه مع طبيعة هذه الحقوق ، وتسر بنوع خاص أحكام التطهير والقيد وما يترتب على القيد من آثار وما يتصل به من تجديد ومحو .2- ومع ذلك فإن حقوق الامتياز العامة ولو كان محلها عقاراً لا يجب فيها الشهر ولا يثبت فيها حق التتبع ، ولا حاجة للشهر أيضاً في حقوق الامتياز العقارية الضامنة لمبالغ مستحقة للخزانة العامة . وهذه الحقوق الممتازة جميعاً تكون أسبق في المرتبة على أي حق امتياز عقاري آخر أو أي حق رهن اتساقي مهما كان تاريخ قيده . أما فيما بينها ، فالامتياز الضامن للمبالغ المستحقة للخزانة يتقدم على حقوق الامتياز العامة .</w:t>
      </w:r>
    </w:p>
    <w:p w:rsidR="00F72742" w:rsidRPr="007E0DDA" w:rsidRDefault="00F72742" w:rsidP="00F72742">
      <w:pPr>
        <w:pStyle w:val="aa"/>
        <w:widowControl w:val="0"/>
        <w:ind w:firstLine="567"/>
        <w:jc w:val="lowKashida"/>
        <w:rPr>
          <w:rFonts w:cs="Traditional Arabic" w:hint="cs"/>
          <w:color w:val="0000FF"/>
          <w:sz w:val="24"/>
          <w:szCs w:val="28"/>
          <w:rtl/>
        </w:rPr>
      </w:pPr>
      <w:r w:rsidRPr="00ED2AEF">
        <w:rPr>
          <w:rFonts w:cs="Traditional Arabic" w:hint="cs"/>
          <w:color w:val="0000FF"/>
          <w:sz w:val="24"/>
          <w:szCs w:val="28"/>
          <w:u w:val="single"/>
          <w:rtl/>
        </w:rPr>
        <w:t>التقنين العراقي</w:t>
      </w:r>
      <w:r>
        <w:rPr>
          <w:rFonts w:cs="Traditional Arabic" w:hint="cs"/>
          <w:color w:val="0000FF"/>
          <w:sz w:val="24"/>
          <w:szCs w:val="28"/>
          <w:rtl/>
        </w:rPr>
        <w:t xml:space="preserve"> م 1365 : 1- تسري على حقوق الامتياز الواقعة على عقار النصوص المتعلقة بالرهن التأمينين بالقيمة الذي لا تتعارض فيه مع طبيعة هذه الحقوق . 2- ومع ذلك فإن حقوق الامتياز العامة ، ولو كان محلها عقاراً ، لا يجب فيها التسجيل ولا يثبت فيها حق التتبع . ولا حاجة للتسجيل أيضاً في حقوق الامتياز العقارية الضامنة لمبالغ مستحقة للخزينة .</w:t>
      </w:r>
    </w:p>
  </w:footnote>
  <w:footnote w:id="173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292 </w:t>
      </w:r>
      <w:r>
        <w:rPr>
          <w:rFonts w:cs="Traditional Arabic"/>
          <w:color w:val="0000FF"/>
          <w:sz w:val="24"/>
          <w:szCs w:val="28"/>
          <w:rtl/>
        </w:rPr>
        <w:t>–</w:t>
      </w:r>
      <w:r>
        <w:rPr>
          <w:rFonts w:cs="Traditional Arabic" w:hint="cs"/>
          <w:color w:val="0000FF"/>
          <w:sz w:val="24"/>
          <w:szCs w:val="28"/>
          <w:rtl/>
        </w:rPr>
        <w:t xml:space="preserve"> ص 293 .</w:t>
      </w:r>
    </w:p>
  </w:footnote>
  <w:footnote w:id="173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1575 من المشروع التمهيدي . وأقرته لجنة المراجعة بعد تعديلات لفظية طفيفة حتى صار مطابقا لما استقر عليه في التقنين المدين الجديد ، تحت رقم 1237 في المشروع النهائي . ووافق عليه مجلس النواب تحت رقم 1222 ، ثم مجلس الشيوخ تحت رقم 1133 ( مجموعة الأعمال التحضيرية 7 ص 289 </w:t>
      </w:r>
      <w:r>
        <w:rPr>
          <w:rFonts w:cs="Traditional Arabic"/>
          <w:color w:val="0000FF"/>
          <w:sz w:val="24"/>
          <w:szCs w:val="28"/>
          <w:rtl/>
        </w:rPr>
        <w:t>–</w:t>
      </w:r>
      <w:r>
        <w:rPr>
          <w:rFonts w:cs="Traditional Arabic" w:hint="cs"/>
          <w:color w:val="0000FF"/>
          <w:sz w:val="24"/>
          <w:szCs w:val="28"/>
          <w:rtl/>
        </w:rPr>
        <w:t xml:space="preserve"> ص 290 )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1112 : 1- لا يحتج بحق الامتياز على من حاز المنقول بحسن نية . 2- ويعتبر حائزاً في حكم هذه الماجة مؤجر العقار بالنسبة إلى المنقولات الموجودة في العين المؤجرة ، وصاحب الفندق بالنسبة إلى الأمتعة التي يودعها النزلاء في فندقه . 3- وإذا خشي الدائن لأسباب معقولة تبديد المنقول المثقل بحق امتياز لمصلحته ، جاز له أن يطلب وضعه تحت الحراسة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1137 : - لا يحتج بحق الامتياز على من حاز المنقول بحسن نية . 2- ويعتبر حائزاً في حكم هذه الماجة مؤجر العقار بالنسبة إلى المنقولات الموجودة في العين المؤجرة ، وصاحب الفندق بالنسبة إلى الأمتعة التي يودعها النزلاء في فندقه . 3- وإذا خشي الدائن لأسباب معقولة تبديد المنقول المثقل بحق امتياز لمصلحته ، جاز له أن يطلب وضعه تحت الحراسة .</w:t>
      </w:r>
    </w:p>
    <w:p w:rsidR="00F72742" w:rsidRPr="000C5E74" w:rsidRDefault="00F72742" w:rsidP="00F72742">
      <w:pPr>
        <w:pStyle w:val="aa"/>
        <w:widowControl w:val="0"/>
        <w:ind w:firstLine="567"/>
        <w:jc w:val="lowKashida"/>
        <w:rPr>
          <w:rFonts w:hint="cs"/>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1364 : 1- لا يحتج بحق الامتياز على من جاز المنقول بحسن نية . 2- ويعتبر حائزاً في حكم هذه المادة مؤجر العقار بالنسبة للمنقولات الموجودة في العين المؤجرة ، وصاحب الفندق بالنسبة للأمتعة التي يودعها النزلاء في فندقه .</w:t>
      </w:r>
    </w:p>
  </w:footnote>
  <w:footnote w:id="173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292 .</w:t>
      </w:r>
    </w:p>
  </w:footnote>
  <w:footnote w:id="174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1573 من المشروع التمهيدي على وجه مطابق لما استقر عليه في التقنين المدني الجديد . وأقرته لجنة المراجعة ، تحت رقم 1235 في المشروع النهائي . وأقره مجلس النواب تحت رقم 1220 ، ثم مجلس الشيوخ تحت رقم 1131 ( مجموعة الأعمال التحضيرية 7 ص 286 </w:t>
      </w:r>
      <w:r>
        <w:rPr>
          <w:rFonts w:cs="Traditional Arabic"/>
          <w:color w:val="0000FF"/>
          <w:sz w:val="24"/>
          <w:szCs w:val="28"/>
          <w:rtl/>
        </w:rPr>
        <w:t>–</w:t>
      </w:r>
      <w:r>
        <w:rPr>
          <w:rFonts w:cs="Traditional Arabic" w:hint="cs"/>
          <w:color w:val="0000FF"/>
          <w:sz w:val="24"/>
          <w:szCs w:val="28"/>
          <w:rtl/>
        </w:rPr>
        <w:t xml:space="preserve"> ص 287 )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التقنيني السوري</w:t>
      </w:r>
      <w:r>
        <w:rPr>
          <w:rFonts w:cs="Traditional Arabic" w:hint="cs"/>
          <w:color w:val="0000FF"/>
          <w:sz w:val="24"/>
          <w:szCs w:val="28"/>
          <w:rtl/>
        </w:rPr>
        <w:t xml:space="preserve"> م 1110 : 1- مرتبة الامتياز يحدده القانون ، فإذا  لم ينص صراحة في حق مممتاز على رتبة امتيازه ، كأن هذا الحق متأخراً في الرتبة عن كل امتياز ورد في المواد التالية . 2- إذا كانت الحقوق الممتازة في رتبة واحدة ، فإنها تستوفي بنسبة كل منها ، ما لم يوجد نص يقضي بغير ذلك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1135 : 1- مرتبة الامتياز يحددها القانون ، فإذا لم ينص صراحة في حق ممتاز على مرتبة امتيازه ، كان هذا الحق متأخراً في المرتبة عن كل امتياز ورد في هذا الباب . 2- وإذا كانت الحقوق الممتازة في مرتبة واحدة ، فإنها تستوفي بنسبة قيمة كل منها ، ما لم يوجد نص يقضي بغير ذلك .</w:t>
      </w:r>
    </w:p>
    <w:p w:rsidR="00F72742" w:rsidRPr="00AA0570"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w:t>
      </w:r>
      <w:r>
        <w:rPr>
          <w:rFonts w:cs="Traditional Arabic" w:hint="cs"/>
          <w:color w:val="0000FF"/>
          <w:sz w:val="24"/>
          <w:szCs w:val="28"/>
          <w:rtl/>
        </w:rPr>
        <w:t xml:space="preserve"> م 1362 : 1- مرتبة الامتياز يحددها القانون ، فإذا لم ينص صراحة في دين ممتاز على مرتبة امتيازه ، كان هذا الدين متأخراً في المرتبة عن كل امتياز ورد في هذا الباب . 2- وإذا كانت الديون الممتازة في مرتبة واحدة ، فإنها تستوفي بنسبة قيمة كل منها ، ما لم يوجد نص يقضي بغير ذلك .</w:t>
      </w:r>
    </w:p>
  </w:footnote>
  <w:footnote w:id="174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287 .</w:t>
      </w:r>
    </w:p>
  </w:footnote>
  <w:footnote w:id="174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محمد كامل مرسي فقرة 386 .</w:t>
      </w:r>
    </w:p>
  </w:footnote>
  <w:footnote w:id="174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w:t>
      </w:r>
      <w:r w:rsidRPr="000D2CFA">
        <w:rPr>
          <w:rFonts w:cs="Traditional Arabic" w:hint="cs"/>
          <w:color w:val="0000FF"/>
          <w:sz w:val="24"/>
          <w:szCs w:val="28"/>
          <w:rtl/>
        </w:rPr>
        <w:t xml:space="preserve"> ورد هذا النص </w:t>
      </w:r>
      <w:r>
        <w:rPr>
          <w:rFonts w:cs="Traditional Arabic" w:hint="cs"/>
          <w:color w:val="0000FF"/>
          <w:sz w:val="24"/>
          <w:szCs w:val="28"/>
          <w:rtl/>
        </w:rPr>
        <w:t xml:space="preserve">في المادة 1577 من المشروع التمهيدي على وجه مطابق لما استقر عليه في التقنين المدني الجديد . وأقرته لجنة المراجعة ، تحت رقم 1239 المشروع النهائي .وأقره مجلس النواب تحت رقم 1224 ، ثم مجلس الشيوخ تحت رقم 1135 ( مجموعة الأعمال التحضيرية 7 ص 294 </w:t>
      </w:r>
      <w:r>
        <w:rPr>
          <w:rFonts w:cs="Traditional Arabic"/>
          <w:color w:val="0000FF"/>
          <w:sz w:val="24"/>
          <w:szCs w:val="28"/>
          <w:rtl/>
        </w:rPr>
        <w:t>–</w:t>
      </w:r>
      <w:r>
        <w:rPr>
          <w:rFonts w:cs="Traditional Arabic" w:hint="cs"/>
          <w:color w:val="0000FF"/>
          <w:sz w:val="24"/>
          <w:szCs w:val="28"/>
          <w:rtl/>
        </w:rPr>
        <w:t xml:space="preserve"> ص 295 )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1114 : يسري على الامتياز ما يسري على الرهن والتامين العقاري من أحكام متعلقة بهلاك الشيء أو تلفه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hint="cs"/>
          <w:rtl/>
        </w:rPr>
        <w:t xml:space="preserve"> </w:t>
      </w:r>
      <w:r w:rsidRPr="003355C3">
        <w:rPr>
          <w:rFonts w:cs="Traditional Arabic" w:hint="cs"/>
          <w:color w:val="0000FF"/>
          <w:sz w:val="24"/>
          <w:szCs w:val="28"/>
          <w:rtl/>
        </w:rPr>
        <w:t>م 1139</w:t>
      </w:r>
      <w:r>
        <w:rPr>
          <w:rFonts w:cs="Traditional Arabic" w:hint="cs"/>
          <w:color w:val="0000FF"/>
          <w:sz w:val="24"/>
          <w:szCs w:val="28"/>
          <w:rtl/>
        </w:rPr>
        <w:t xml:space="preserve"> :</w:t>
      </w:r>
      <w:r w:rsidRPr="003355C3">
        <w:rPr>
          <w:rFonts w:cs="Traditional Arabic" w:hint="cs"/>
          <w:color w:val="0000FF"/>
          <w:sz w:val="24"/>
          <w:szCs w:val="28"/>
          <w:rtl/>
        </w:rPr>
        <w:t xml:space="preserve"> يسري على الامتياز ما يسري على الرهن الاتفاقي من أحكام متعلقة بهلاك الشيء أو تلفه</w:t>
      </w:r>
      <w:r>
        <w:rPr>
          <w:rFonts w:cs="Traditional Arabic" w:hint="cs"/>
          <w:color w:val="0000FF"/>
          <w:sz w:val="24"/>
          <w:szCs w:val="28"/>
          <w:rtl/>
        </w:rPr>
        <w:t xml:space="preserve"> .</w:t>
      </w:r>
    </w:p>
    <w:p w:rsidR="00F72742" w:rsidRPr="003355C3"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1296 : يسري على حق الامتياز ما يسري على حق الرهن التأميني والحيازي من أحكام من أحكام متعلقة بهلاك الشيء أو تعيبه .</w:t>
      </w:r>
    </w:p>
  </w:footnote>
  <w:footnote w:id="174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296 .</w:t>
      </w:r>
    </w:p>
  </w:footnote>
  <w:footnote w:id="174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1578 من المشروع التمهيدي على وجه مطابق لما استقر عليه في التقنين المدين الجديد . وأقرته لجنة المراجعة ، تحت رقم 1240 في المشروع النهائي . ووافق عليه مجلس النواب تحت رقم 1225 ، ثم مجلس الشيوخ تحت رقم 1136 ( مجموعة الأعمال التحضيرية 7 ص 295 </w:t>
      </w:r>
      <w:r>
        <w:rPr>
          <w:rFonts w:cs="Traditional Arabic"/>
          <w:color w:val="0000FF"/>
          <w:sz w:val="24"/>
          <w:szCs w:val="28"/>
          <w:rtl/>
        </w:rPr>
        <w:t>–</w:t>
      </w:r>
      <w:r>
        <w:rPr>
          <w:rFonts w:cs="Traditional Arabic" w:hint="cs"/>
          <w:color w:val="0000FF"/>
          <w:sz w:val="24"/>
          <w:szCs w:val="28"/>
          <w:rtl/>
        </w:rPr>
        <w:t xml:space="preserve"> ص 296 )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1115 : : ينق1ي حق الامتياز بنفس الطرق التي ينقضي بها الرهن والتأمين العقاري ووفقاً لأحكام انقضاء هذين الحقين ، ما لم يوجد نص خاص يقضي بغير ذلك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1140/ ينقضي حق الامتياز بنفس الطرق التي ينقضي بها حق الرهن الاتفاق وحق رهن الحيازة ووفقاً لأحكام انقضاء هذين الحقين ، ما لم يوجد نص خاص يقضي بغير ذلك .</w:t>
      </w:r>
    </w:p>
    <w:p w:rsidR="00F72742" w:rsidRPr="00681708" w:rsidRDefault="00F72742" w:rsidP="00F72742">
      <w:pPr>
        <w:pStyle w:val="aa"/>
        <w:widowControl w:val="0"/>
        <w:ind w:firstLine="567"/>
        <w:jc w:val="lowKashida"/>
        <w:rPr>
          <w:rFonts w:hint="cs"/>
          <w:rtl/>
        </w:rPr>
      </w:pPr>
      <w:r>
        <w:rPr>
          <w:rFonts w:cs="Traditional Arabic" w:hint="cs"/>
          <w:color w:val="0000FF"/>
          <w:sz w:val="24"/>
          <w:szCs w:val="28"/>
          <w:u w:val="single"/>
          <w:rtl/>
        </w:rPr>
        <w:t>التقنين العراق</w:t>
      </w:r>
      <w:r>
        <w:rPr>
          <w:rFonts w:cs="Traditional Arabic" w:hint="cs"/>
          <w:color w:val="0000FF"/>
          <w:sz w:val="24"/>
          <w:szCs w:val="28"/>
          <w:rtl/>
        </w:rPr>
        <w:t xml:space="preserve"> م 1367 : ينقضي حق الامتياز بنفس الطرق التي ينقضي بها حق الرهن التأمينين والحيازي ووفقاً لأحكام انقضاء هذين الحقين ، ما لم يوجد نص يقضي بغير ذلك .</w:t>
      </w:r>
    </w:p>
  </w:footnote>
  <w:footnote w:id="174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296 .</w:t>
      </w:r>
    </w:p>
  </w:footnote>
  <w:footnote w:id="174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282 </w:t>
      </w:r>
      <w:r>
        <w:rPr>
          <w:rFonts w:cs="Traditional Arabic"/>
          <w:color w:val="0000FF"/>
          <w:sz w:val="24"/>
          <w:szCs w:val="28"/>
          <w:rtl/>
        </w:rPr>
        <w:t>–</w:t>
      </w:r>
      <w:r>
        <w:rPr>
          <w:rFonts w:cs="Traditional Arabic" w:hint="cs"/>
          <w:color w:val="0000FF"/>
          <w:sz w:val="24"/>
          <w:szCs w:val="28"/>
          <w:rtl/>
        </w:rPr>
        <w:t xml:space="preserve"> ص 283 .</w:t>
      </w:r>
    </w:p>
  </w:footnote>
  <w:footnote w:id="1748">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w:t>
      </w:r>
      <w:r w:rsidRPr="00494FDD">
        <w:rPr>
          <w:rFonts w:cs="Traditional Arabic" w:hint="cs"/>
          <w:color w:val="0000FF"/>
          <w:sz w:val="24"/>
          <w:szCs w:val="28"/>
          <w:rtl/>
        </w:rPr>
        <w:t xml:space="preserve">ورد هذا النص في المادة </w:t>
      </w:r>
      <w:r>
        <w:rPr>
          <w:rFonts w:cs="Traditional Arabic" w:hint="cs"/>
          <w:color w:val="0000FF"/>
          <w:sz w:val="24"/>
          <w:szCs w:val="28"/>
          <w:rtl/>
        </w:rPr>
        <w:t xml:space="preserve">1579 من المشروع التمهيدي . وأقرتها لجنة المراجعة ، في المادة 1241 من المشروع النهائي . وأقرها مجلس النواب تحت رقم 1226 ، ثم مجلس الشيوخ تحت رقم 1137 ( مجموعة الأعمال التحضيرية 7 ص 297 </w:t>
      </w:r>
      <w:r>
        <w:rPr>
          <w:rFonts w:cs="Traditional Arabic"/>
          <w:color w:val="0000FF"/>
          <w:sz w:val="24"/>
          <w:szCs w:val="28"/>
          <w:rtl/>
        </w:rPr>
        <w:t>–</w:t>
      </w:r>
      <w:r>
        <w:rPr>
          <w:rFonts w:cs="Traditional Arabic" w:hint="cs"/>
          <w:color w:val="0000FF"/>
          <w:sz w:val="24"/>
          <w:szCs w:val="28"/>
          <w:rtl/>
        </w:rPr>
        <w:t xml:space="preserve"> ص 298 )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م 604/ 730 : وأما ما عدا ذلك من الامتيازات على المنقولات فهي مبينة في القوانين الأخرى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1116 : الحقوق المبينة في المواد الآتية تكون ممتازة ، إلى جانب حقوق الامتياز المقررة بنصوص خاصة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1141 : الحقوق المبينة في المواد الآتية تكون ممتازة ، إلى جانب حقوق الامتياز المقررة بنصوص خاصة .</w:t>
      </w:r>
    </w:p>
    <w:p w:rsidR="00F72742" w:rsidRPr="00EA24D3" w:rsidRDefault="00F72742" w:rsidP="00F72742">
      <w:pPr>
        <w:pStyle w:val="aa"/>
        <w:widowControl w:val="0"/>
        <w:ind w:firstLine="567"/>
        <w:jc w:val="lowKashida"/>
        <w:rPr>
          <w:rFonts w:hint="cs"/>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1368 : تكون ممتازة إلى جانب الديون المقررة امتيازها بنصوص خاصة الديون المبنة في المواد الآتية .</w:t>
      </w:r>
    </w:p>
  </w:footnote>
  <w:footnote w:id="174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297 .</w:t>
      </w:r>
    </w:p>
  </w:footnote>
  <w:footnote w:id="175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657 .</w:t>
      </w:r>
    </w:p>
  </w:footnote>
  <w:footnote w:id="175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1580 من المشروع التمهيدي . وأقرته لجنة المراجعة بعد تعديل الفقرة الأولى تعديلا لفظياً بسيطا ، تحت رقم 1424 في المشروع النهائي وأقره مجلس الناب تحت رقم 1227 ، ثم مجلس الشيوخ تحت رقم 1138 ( مجموعة الأعمال التحضيرية 7 ص 299 </w:t>
      </w:r>
      <w:r>
        <w:rPr>
          <w:rFonts w:cs="Traditional Arabic"/>
          <w:color w:val="0000FF"/>
          <w:sz w:val="24"/>
          <w:szCs w:val="28"/>
          <w:rtl/>
        </w:rPr>
        <w:t>–</w:t>
      </w:r>
      <w:r>
        <w:rPr>
          <w:rFonts w:cs="Traditional Arabic" w:hint="cs"/>
          <w:color w:val="0000FF"/>
          <w:sz w:val="24"/>
          <w:szCs w:val="28"/>
          <w:rtl/>
        </w:rPr>
        <w:t xml:space="preserve"> ص 301 )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Pr>
          <w:rFonts w:cs="Traditional Arabic" w:hint="cs"/>
          <w:color w:val="0000FF"/>
          <w:sz w:val="24"/>
          <w:szCs w:val="28"/>
          <w:rtl/>
        </w:rPr>
        <w:t xml:space="preserve"> : م 601 بند أول / 727 بند أول : الديون الممتازة هي الآتية : ( أولا ) المصاريف القضائية المنصرفة لحفظ أملاك المدين وبيعها ، وتدفع من ثمن هذه الأملاك قبل ديون الدائنين الذي صرفت تلك المصروفات لمنفعتهم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hint="cs"/>
          <w:rtl/>
        </w:rPr>
        <w:t xml:space="preserve"> </w:t>
      </w:r>
      <w:r w:rsidRPr="00C80D9D">
        <w:rPr>
          <w:rFonts w:cs="Traditional Arabic" w:hint="cs"/>
          <w:color w:val="0000FF"/>
          <w:sz w:val="24"/>
          <w:szCs w:val="28"/>
          <w:rtl/>
        </w:rPr>
        <w:t>م 1117</w:t>
      </w:r>
      <w:r>
        <w:rPr>
          <w:rFonts w:cs="Traditional Arabic" w:hint="cs"/>
          <w:color w:val="0000FF"/>
          <w:sz w:val="24"/>
          <w:szCs w:val="28"/>
          <w:rtl/>
        </w:rPr>
        <w:t xml:space="preserve"> :</w:t>
      </w:r>
      <w:r w:rsidRPr="00C80D9D">
        <w:rPr>
          <w:rFonts w:cs="Traditional Arabic" w:hint="cs"/>
          <w:color w:val="0000FF"/>
          <w:sz w:val="24"/>
          <w:szCs w:val="28"/>
          <w:rtl/>
        </w:rPr>
        <w:t xml:space="preserve"> 1- </w:t>
      </w:r>
      <w:r>
        <w:rPr>
          <w:rFonts w:cs="Traditional Arabic" w:hint="cs"/>
          <w:color w:val="0000FF"/>
          <w:sz w:val="24"/>
          <w:szCs w:val="28"/>
          <w:rtl/>
        </w:rPr>
        <w:t>المصروفات القضائية التي أنفقت لمصلحة جميع الدائنين في حفظ أموال المدين وبيعها ، لها امتياز على ثمن هذه الأموال . 2- وتستوفي هذه المصروفات قبل أي حق آخر ، ولو كانت ممتازاً أو مضموناً برهن اتفاقي ، بما في ذلك حقوق الدائنين الذين أنفقت المصروفات في مصلحتهم ، وتتقدم المصروفات التي أنفقت في بيع الأموال على تلك التي أنفقت في إجراءات التوزيع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1142 : 1- المصروفات القضائية التي أنفقت لمصلحة جميع الدائنين في حفظ أموال المدين وبيعها ، لها امتياز على ثمن هذه الأموال . 2- وتسوفي هذه المصروفات قبل أي نحق آخر ، ولو كان ممتازاً أو مضموناً برهن اتفاقي بما في ذلك حقوق الدائنين الذي أنفقت المصروفات في مصلحتهم ، وتتقدم المصروفات التي أنفقت في بيع الأموال على تلك التي أنفقت في إجراءات التوزيع .</w:t>
      </w:r>
    </w:p>
    <w:p w:rsidR="00F72742" w:rsidRPr="00B77BE9" w:rsidRDefault="00F72742" w:rsidP="00F72742">
      <w:pPr>
        <w:pStyle w:val="aa"/>
        <w:widowControl w:val="0"/>
        <w:ind w:firstLine="567"/>
        <w:jc w:val="lowKashida"/>
        <w:rPr>
          <w:rFonts w:hint="cs"/>
          <w:rtl/>
        </w:rPr>
      </w:pPr>
      <w:r>
        <w:rPr>
          <w:rFonts w:cs="Traditional Arabic" w:hint="cs"/>
          <w:color w:val="0000FF"/>
          <w:sz w:val="24"/>
          <w:szCs w:val="28"/>
          <w:u w:val="single"/>
          <w:rtl/>
        </w:rPr>
        <w:t>التقنين العراقي</w:t>
      </w:r>
      <w:r w:rsidRPr="00B77BE9">
        <w:rPr>
          <w:rFonts w:cs="Traditional Arabic" w:hint="cs"/>
          <w:color w:val="0000FF"/>
          <w:sz w:val="24"/>
          <w:szCs w:val="28"/>
          <w:rtl/>
        </w:rPr>
        <w:t xml:space="preserve"> م 1368</w:t>
      </w:r>
      <w:r>
        <w:rPr>
          <w:rFonts w:cs="Traditional Arabic" w:hint="cs"/>
          <w:color w:val="0000FF"/>
          <w:sz w:val="24"/>
          <w:szCs w:val="28"/>
          <w:rtl/>
        </w:rPr>
        <w:t xml:space="preserve"> : 1- المصروفات القضائية التي أنفقت لمصلحة جميع الدائنين في حفظ أموال المدين وبيعها وتوزعيها ، لها حق امتياز على ثمن هذه الأموال . 2- وتسوفي هذه المصروفات قبل الني دين آخر ، ولو كان ممتازً أو موثقاً بالرهن ، وتقدم المصروفات التي أنفقت في حفظ الأموال وبيعها على تلك التي أنفقت في إجراءات التوزيع .</w:t>
      </w:r>
    </w:p>
  </w:footnote>
  <w:footnote w:id="175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300 .</w:t>
      </w:r>
    </w:p>
  </w:footnote>
  <w:footnote w:id="1753">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15 فبراير سنة </w:t>
      </w:r>
      <w:smartTag w:uri="urn:schemas-microsoft-com:office:smarttags" w:element="metricconverter">
        <w:smartTagPr>
          <w:attr w:name="ProductID" w:val="1927 م"/>
        </w:smartTagPr>
        <w:r>
          <w:rPr>
            <w:rFonts w:cs="Traditional Arabic" w:hint="cs"/>
            <w:color w:val="0000FF"/>
            <w:sz w:val="24"/>
            <w:szCs w:val="28"/>
            <w:rtl/>
          </w:rPr>
          <w:t>1927 م</w:t>
        </w:r>
      </w:smartTag>
      <w:r>
        <w:rPr>
          <w:rFonts w:cs="Traditional Arabic" w:hint="cs"/>
          <w:color w:val="0000FF"/>
          <w:sz w:val="24"/>
          <w:szCs w:val="28"/>
          <w:rtl/>
        </w:rPr>
        <w:t xml:space="preserve"> 39 ص 243 </w:t>
      </w:r>
      <w:r>
        <w:rPr>
          <w:rFonts w:cs="Traditional Arabic"/>
          <w:color w:val="0000FF"/>
          <w:sz w:val="24"/>
          <w:szCs w:val="28"/>
          <w:rtl/>
        </w:rPr>
        <w:t>–</w:t>
      </w:r>
      <w:r>
        <w:rPr>
          <w:rFonts w:cs="Traditional Arabic" w:hint="cs"/>
          <w:color w:val="0000FF"/>
          <w:sz w:val="24"/>
          <w:szCs w:val="28"/>
          <w:rtl/>
        </w:rPr>
        <w:t xml:space="preserve"> 11 يونيه سنة </w:t>
      </w:r>
      <w:smartTag w:uri="urn:schemas-microsoft-com:office:smarttags" w:element="metricconverter">
        <w:smartTagPr>
          <w:attr w:name="ProductID" w:val="1929 م"/>
        </w:smartTagPr>
        <w:r>
          <w:rPr>
            <w:rFonts w:cs="Traditional Arabic" w:hint="cs"/>
            <w:color w:val="0000FF"/>
            <w:sz w:val="24"/>
            <w:szCs w:val="28"/>
            <w:rtl/>
          </w:rPr>
          <w:t>1929 م</w:t>
        </w:r>
      </w:smartTag>
      <w:r>
        <w:rPr>
          <w:rFonts w:cs="Traditional Arabic" w:hint="cs"/>
          <w:color w:val="0000FF"/>
          <w:sz w:val="24"/>
          <w:szCs w:val="28"/>
          <w:rtl/>
        </w:rPr>
        <w:t xml:space="preserve"> 41 ص 453 </w:t>
      </w:r>
      <w:r>
        <w:rPr>
          <w:rFonts w:cs="Traditional Arabic"/>
          <w:color w:val="0000FF"/>
          <w:sz w:val="24"/>
          <w:szCs w:val="28"/>
          <w:rtl/>
        </w:rPr>
        <w:t>–</w:t>
      </w:r>
      <w:r>
        <w:rPr>
          <w:rFonts w:cs="Traditional Arabic" w:hint="cs"/>
          <w:color w:val="0000FF"/>
          <w:sz w:val="24"/>
          <w:szCs w:val="28"/>
          <w:rtl/>
        </w:rPr>
        <w:t xml:space="preserve"> 26 مايو سنة </w:t>
      </w:r>
      <w:smartTag w:uri="urn:schemas-microsoft-com:office:smarttags" w:element="metricconverter">
        <w:smartTagPr>
          <w:attr w:name="ProductID" w:val="1931 م"/>
        </w:smartTagPr>
        <w:r>
          <w:rPr>
            <w:rFonts w:cs="Traditional Arabic" w:hint="cs"/>
            <w:color w:val="0000FF"/>
            <w:sz w:val="24"/>
            <w:szCs w:val="28"/>
            <w:rtl/>
          </w:rPr>
          <w:t>1931 م</w:t>
        </w:r>
      </w:smartTag>
      <w:r>
        <w:rPr>
          <w:rFonts w:cs="Traditional Arabic" w:hint="cs"/>
          <w:color w:val="0000FF"/>
          <w:sz w:val="24"/>
          <w:szCs w:val="28"/>
          <w:rtl/>
        </w:rPr>
        <w:t xml:space="preserve"> 43 ص 405 </w:t>
      </w:r>
      <w:r>
        <w:rPr>
          <w:rFonts w:cs="Traditional Arabic"/>
          <w:color w:val="0000FF"/>
          <w:sz w:val="24"/>
          <w:szCs w:val="28"/>
          <w:rtl/>
        </w:rPr>
        <w:t>–</w:t>
      </w:r>
      <w:r>
        <w:rPr>
          <w:rFonts w:cs="Traditional Arabic" w:hint="cs"/>
          <w:color w:val="0000FF"/>
          <w:sz w:val="24"/>
          <w:szCs w:val="28"/>
          <w:rtl/>
        </w:rPr>
        <w:t xml:space="preserve"> 3 مايو سنة </w:t>
      </w:r>
      <w:smartTag w:uri="urn:schemas-microsoft-com:office:smarttags" w:element="metricconverter">
        <w:smartTagPr>
          <w:attr w:name="ProductID" w:val="1934 م"/>
        </w:smartTagPr>
        <w:r>
          <w:rPr>
            <w:rFonts w:cs="Traditional Arabic" w:hint="cs"/>
            <w:color w:val="0000FF"/>
            <w:sz w:val="24"/>
            <w:szCs w:val="28"/>
            <w:rtl/>
          </w:rPr>
          <w:t>1934 م</w:t>
        </w:r>
      </w:smartTag>
      <w:r>
        <w:rPr>
          <w:rFonts w:cs="Traditional Arabic" w:hint="cs"/>
          <w:color w:val="0000FF"/>
          <w:sz w:val="24"/>
          <w:szCs w:val="28"/>
          <w:rtl/>
        </w:rPr>
        <w:t xml:space="preserve"> 46 ص 277 </w:t>
      </w:r>
      <w:r>
        <w:rPr>
          <w:rFonts w:cs="Traditional Arabic"/>
          <w:color w:val="0000FF"/>
          <w:sz w:val="24"/>
          <w:szCs w:val="28"/>
          <w:rtl/>
        </w:rPr>
        <w:t>–</w:t>
      </w:r>
      <w:r>
        <w:rPr>
          <w:rFonts w:cs="Traditional Arabic" w:hint="cs"/>
          <w:color w:val="0000FF"/>
          <w:sz w:val="24"/>
          <w:szCs w:val="28"/>
          <w:rtl/>
        </w:rPr>
        <w:t xml:space="preserve"> 22 مايو سنة </w:t>
      </w:r>
      <w:smartTag w:uri="urn:schemas-microsoft-com:office:smarttags" w:element="metricconverter">
        <w:smartTagPr>
          <w:attr w:name="ProductID" w:val="1945 م"/>
        </w:smartTagPr>
        <w:r>
          <w:rPr>
            <w:rFonts w:cs="Traditional Arabic" w:hint="cs"/>
            <w:color w:val="0000FF"/>
            <w:sz w:val="24"/>
            <w:szCs w:val="28"/>
            <w:rtl/>
          </w:rPr>
          <w:t>1945 م</w:t>
        </w:r>
      </w:smartTag>
      <w:r>
        <w:rPr>
          <w:rFonts w:cs="Traditional Arabic" w:hint="cs"/>
          <w:color w:val="0000FF"/>
          <w:sz w:val="24"/>
          <w:szCs w:val="28"/>
          <w:rtl/>
        </w:rPr>
        <w:t xml:space="preserve"> 57 ص 130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وقد قضت محكمة الاستئناف المختلطة بأن للممارس القاضي امتيازاً بنفقاته وأتعابه وفقاً للمادة 727 بند أول مختلط على ثمن محصول الأرض وعلى ثمن الأرض ذاتها( استئناف مختلط 20 مايو سنة </w:t>
      </w:r>
      <w:smartTag w:uri="urn:schemas-microsoft-com:office:smarttags" w:element="metricconverter">
        <w:smartTagPr>
          <w:attr w:name="ProductID" w:val="1941 م"/>
        </w:smartTagPr>
        <w:r>
          <w:rPr>
            <w:rFonts w:cs="Traditional Arabic" w:hint="cs"/>
            <w:color w:val="0000FF"/>
            <w:sz w:val="24"/>
            <w:szCs w:val="28"/>
            <w:rtl/>
          </w:rPr>
          <w:t>1941 م</w:t>
        </w:r>
      </w:smartTag>
      <w:r>
        <w:rPr>
          <w:rFonts w:cs="Traditional Arabic" w:hint="cs"/>
          <w:color w:val="0000FF"/>
          <w:sz w:val="24"/>
          <w:szCs w:val="28"/>
          <w:rtl/>
        </w:rPr>
        <w:t xml:space="preserve"> 53 ص 179 ) . وقضت أيضاً بأن مصروفات الحارس القضائي وأتعابه تكون ممتازة ( استئناف مختلط 17 يونيه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241 ) </w:t>
      </w:r>
      <w:r>
        <w:rPr>
          <w:rFonts w:cs="Traditional Arabic"/>
          <w:color w:val="0000FF"/>
          <w:sz w:val="24"/>
          <w:szCs w:val="28"/>
          <w:rtl/>
        </w:rPr>
        <w:t>–</w:t>
      </w:r>
      <w:r>
        <w:rPr>
          <w:rFonts w:cs="Traditional Arabic" w:hint="cs"/>
          <w:color w:val="0000FF"/>
          <w:sz w:val="24"/>
          <w:szCs w:val="28"/>
          <w:rtl/>
        </w:rPr>
        <w:t xml:space="preserve"> وانظر بالنسبة إلى أجرة الحارس القضائي الذي يوكل إليه حفظ الشيء المحجوز عليه : استئناف مختلط 24 فبراير سنة </w:t>
      </w:r>
      <w:smartTag w:uri="urn:schemas-microsoft-com:office:smarttags" w:element="metricconverter">
        <w:smartTagPr>
          <w:attr w:name="ProductID" w:val="1925 م"/>
        </w:smartTagPr>
        <w:r>
          <w:rPr>
            <w:rFonts w:cs="Traditional Arabic" w:hint="cs"/>
            <w:color w:val="0000FF"/>
            <w:sz w:val="24"/>
            <w:szCs w:val="28"/>
            <w:rtl/>
          </w:rPr>
          <w:t>1925 م</w:t>
        </w:r>
      </w:smartTag>
      <w:r>
        <w:rPr>
          <w:rFonts w:cs="Traditional Arabic" w:hint="cs"/>
          <w:color w:val="0000FF"/>
          <w:sz w:val="24"/>
          <w:szCs w:val="28"/>
          <w:rtl/>
        </w:rPr>
        <w:t xml:space="preserve"> 37 ص 253 .</w:t>
      </w:r>
    </w:p>
  </w:footnote>
  <w:footnote w:id="175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يونيه سنة </w:t>
      </w:r>
      <w:smartTag w:uri="urn:schemas-microsoft-com:office:smarttags" w:element="metricconverter">
        <w:smartTagPr>
          <w:attr w:name="ProductID" w:val="1935 م"/>
        </w:smartTagPr>
        <w:r>
          <w:rPr>
            <w:rFonts w:cs="Traditional Arabic" w:hint="cs"/>
            <w:color w:val="0000FF"/>
            <w:sz w:val="24"/>
            <w:szCs w:val="28"/>
            <w:rtl/>
          </w:rPr>
          <w:t>1935 م</w:t>
        </w:r>
      </w:smartTag>
      <w:r>
        <w:rPr>
          <w:rFonts w:cs="Traditional Arabic" w:hint="cs"/>
          <w:color w:val="0000FF"/>
          <w:sz w:val="24"/>
          <w:szCs w:val="28"/>
          <w:rtl/>
        </w:rPr>
        <w:t xml:space="preserve"> 47 ص 374 ( حق السنديك الناشئ من مصروفاته وأتعابه لصالح دائني التفليسة ، سواء كان للمحافظة على أموال المدين أو لتصفيتها أو توزيع الثمن الناتج من بيعها ) . </w:t>
      </w:r>
    </w:p>
  </w:footnote>
  <w:footnote w:id="17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فبراير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253 .</w:t>
      </w:r>
    </w:p>
  </w:footnote>
  <w:footnote w:id="175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أبريل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168 .</w:t>
      </w:r>
    </w:p>
  </w:footnote>
  <w:footnote w:id="1757">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23 مايو سنة </w:t>
      </w:r>
      <w:smartTag w:uri="urn:schemas-microsoft-com:office:smarttags" w:element="metricconverter">
        <w:smartTagPr>
          <w:attr w:name="ProductID" w:val="1939 م"/>
        </w:smartTagPr>
        <w:r>
          <w:rPr>
            <w:rFonts w:cs="Traditional Arabic" w:hint="cs"/>
            <w:color w:val="0000FF"/>
            <w:sz w:val="24"/>
            <w:szCs w:val="28"/>
            <w:rtl/>
          </w:rPr>
          <w:t>1939 م</w:t>
        </w:r>
      </w:smartTag>
      <w:r>
        <w:rPr>
          <w:rFonts w:cs="Traditional Arabic" w:hint="cs"/>
          <w:color w:val="0000FF"/>
          <w:sz w:val="24"/>
          <w:szCs w:val="28"/>
          <w:rtl/>
        </w:rPr>
        <w:t xml:space="preserve"> 51 ص 351 </w:t>
      </w:r>
      <w:r>
        <w:rPr>
          <w:rFonts w:cs="Traditional Arabic"/>
          <w:color w:val="0000FF"/>
          <w:sz w:val="24"/>
          <w:szCs w:val="28"/>
          <w:rtl/>
        </w:rPr>
        <w:t>–</w:t>
      </w:r>
      <w:r>
        <w:rPr>
          <w:rFonts w:cs="Traditional Arabic" w:hint="cs"/>
          <w:color w:val="0000FF"/>
          <w:sz w:val="24"/>
          <w:szCs w:val="28"/>
          <w:rtl/>
        </w:rPr>
        <w:t xml:space="preserve"> 2 أبريل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206 . أما أتعاب المحامي المستحقة قبل موكله ،فيضمنها امتياز خاص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والمصروفات القضائية التي أنفقها المدين نفسه لا امتياز لها : استئناف مختلط 25 أبريل سنة </w:t>
      </w:r>
      <w:smartTag w:uri="urn:schemas-microsoft-com:office:smarttags" w:element="metricconverter">
        <w:smartTagPr>
          <w:attr w:name="ProductID" w:val="1928 م"/>
        </w:smartTagPr>
        <w:r>
          <w:rPr>
            <w:rFonts w:cs="Traditional Arabic" w:hint="cs"/>
            <w:color w:val="0000FF"/>
            <w:sz w:val="24"/>
            <w:szCs w:val="28"/>
            <w:rtl/>
          </w:rPr>
          <w:t>1928 م</w:t>
        </w:r>
      </w:smartTag>
      <w:r>
        <w:rPr>
          <w:rFonts w:cs="Traditional Arabic" w:hint="cs"/>
          <w:color w:val="0000FF"/>
          <w:sz w:val="24"/>
          <w:szCs w:val="28"/>
          <w:rtl/>
        </w:rPr>
        <w:t xml:space="preserve"> 40 ص 321 </w:t>
      </w:r>
      <w:r>
        <w:rPr>
          <w:rFonts w:cs="Traditional Arabic"/>
          <w:color w:val="0000FF"/>
          <w:sz w:val="24"/>
          <w:szCs w:val="28"/>
          <w:rtl/>
        </w:rPr>
        <w:t>–</w:t>
      </w:r>
      <w:r>
        <w:rPr>
          <w:rFonts w:cs="Traditional Arabic" w:hint="cs"/>
          <w:color w:val="0000FF"/>
          <w:sz w:val="24"/>
          <w:szCs w:val="28"/>
          <w:rtl/>
        </w:rPr>
        <w:t xml:space="preserve"> 2 أبريل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52 ص 206 </w:t>
      </w:r>
      <w:r>
        <w:rPr>
          <w:rFonts w:cs="Traditional Arabic"/>
          <w:color w:val="0000FF"/>
          <w:sz w:val="24"/>
          <w:szCs w:val="28"/>
          <w:rtl/>
        </w:rPr>
        <w:t>–</w:t>
      </w:r>
      <w:r>
        <w:rPr>
          <w:rFonts w:cs="Traditional Arabic" w:hint="cs"/>
          <w:color w:val="0000FF"/>
          <w:sz w:val="24"/>
          <w:szCs w:val="28"/>
          <w:rtl/>
        </w:rPr>
        <w:t xml:space="preserve"> 29 ديسمبر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55 ص 22 .</w:t>
      </w:r>
    </w:p>
  </w:footnote>
  <w:footnote w:id="17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يونيه سنة </w:t>
      </w:r>
      <w:smartTag w:uri="urn:schemas-microsoft-com:office:smarttags" w:element="metricconverter">
        <w:smartTagPr>
          <w:attr w:name="ProductID" w:val="1927 م"/>
        </w:smartTagPr>
        <w:r>
          <w:rPr>
            <w:rFonts w:cs="Traditional Arabic" w:hint="cs"/>
            <w:color w:val="0000FF"/>
            <w:sz w:val="24"/>
            <w:szCs w:val="28"/>
            <w:rtl/>
          </w:rPr>
          <w:t>1927 م</w:t>
        </w:r>
      </w:smartTag>
      <w:r>
        <w:rPr>
          <w:rFonts w:cs="Traditional Arabic" w:hint="cs"/>
          <w:color w:val="0000FF"/>
          <w:sz w:val="24"/>
          <w:szCs w:val="28"/>
          <w:rtl/>
        </w:rPr>
        <w:t xml:space="preserve"> 39 ص 550 .</w:t>
      </w:r>
    </w:p>
  </w:footnote>
  <w:footnote w:id="175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411 .</w:t>
      </w:r>
    </w:p>
  </w:footnote>
  <w:footnote w:id="176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411 .</w:t>
      </w:r>
    </w:p>
  </w:footnote>
  <w:footnote w:id="17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مارس سنة </w:t>
      </w:r>
      <w:smartTag w:uri="urn:schemas-microsoft-com:office:smarttags" w:element="metricconverter">
        <w:smartTagPr>
          <w:attr w:name="ProductID" w:val="1935 م"/>
        </w:smartTagPr>
        <w:r>
          <w:rPr>
            <w:rFonts w:cs="Traditional Arabic" w:hint="cs"/>
            <w:color w:val="0000FF"/>
            <w:sz w:val="24"/>
            <w:szCs w:val="28"/>
            <w:rtl/>
          </w:rPr>
          <w:t>1935 م</w:t>
        </w:r>
      </w:smartTag>
      <w:r>
        <w:rPr>
          <w:rFonts w:cs="Traditional Arabic" w:hint="cs"/>
          <w:color w:val="0000FF"/>
          <w:sz w:val="24"/>
          <w:szCs w:val="28"/>
          <w:rtl/>
        </w:rPr>
        <w:t xml:space="preserve"> 47 ص 219 .</w:t>
      </w:r>
    </w:p>
  </w:footnote>
  <w:footnote w:id="176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مارس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253 </w:t>
      </w:r>
      <w:r>
        <w:rPr>
          <w:rFonts w:cs="Traditional Arabic"/>
          <w:color w:val="0000FF"/>
          <w:sz w:val="24"/>
          <w:szCs w:val="28"/>
          <w:rtl/>
        </w:rPr>
        <w:t>–</w:t>
      </w:r>
      <w:r>
        <w:rPr>
          <w:rFonts w:cs="Traditional Arabic" w:hint="cs"/>
          <w:color w:val="0000FF"/>
          <w:sz w:val="24"/>
          <w:szCs w:val="28"/>
          <w:rtl/>
        </w:rPr>
        <w:t xml:space="preserve"> 14 أبريل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168 .</w:t>
      </w:r>
    </w:p>
  </w:footnote>
  <w:footnote w:id="176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فبراير سن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253 </w:t>
      </w:r>
      <w:r>
        <w:rPr>
          <w:rFonts w:cs="Traditional Arabic"/>
          <w:color w:val="0000FF"/>
          <w:sz w:val="24"/>
          <w:szCs w:val="28"/>
          <w:rtl/>
        </w:rPr>
        <w:t>–</w:t>
      </w:r>
      <w:r>
        <w:rPr>
          <w:rFonts w:cs="Traditional Arabic" w:hint="cs"/>
          <w:color w:val="0000FF"/>
          <w:sz w:val="24"/>
          <w:szCs w:val="28"/>
          <w:rtl/>
        </w:rPr>
        <w:t xml:space="preserve"> الإسكندرية المختلطة ديسير سنة </w:t>
      </w:r>
      <w:smartTag w:uri="urn:schemas-microsoft-com:office:smarttags" w:element="metricconverter">
        <w:smartTagPr>
          <w:attr w:name="ProductID" w:val="1940 م"/>
        </w:smartTagPr>
        <w:r>
          <w:rPr>
            <w:rFonts w:cs="Traditional Arabic" w:hint="cs"/>
            <w:color w:val="0000FF"/>
            <w:sz w:val="24"/>
            <w:szCs w:val="28"/>
            <w:rtl/>
          </w:rPr>
          <w:t>1940 م</w:t>
        </w:r>
      </w:smartTag>
      <w:r>
        <w:rPr>
          <w:rFonts w:cs="Traditional Arabic" w:hint="cs"/>
          <w:color w:val="0000FF"/>
          <w:sz w:val="24"/>
          <w:szCs w:val="28"/>
          <w:rtl/>
        </w:rPr>
        <w:t xml:space="preserve"> 53 ص 24 . </w:t>
      </w:r>
    </w:p>
  </w:footnote>
  <w:footnote w:id="17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أبريل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168 .</w:t>
      </w:r>
    </w:p>
  </w:footnote>
  <w:footnote w:id="17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20 .</w:t>
      </w:r>
    </w:p>
  </w:footnote>
  <w:footnote w:id="176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وكذل كمصروفات الدعوى البولصية في التقنين المدني .</w:t>
      </w:r>
    </w:p>
  </w:footnote>
  <w:footnote w:id="17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314 </w:t>
      </w:r>
      <w:r>
        <w:rPr>
          <w:rFonts w:cs="Traditional Arabic"/>
          <w:color w:val="0000FF"/>
          <w:sz w:val="24"/>
          <w:szCs w:val="28"/>
          <w:rtl/>
        </w:rPr>
        <w:t>–</w:t>
      </w:r>
      <w:r>
        <w:rPr>
          <w:rFonts w:cs="Traditional Arabic" w:hint="cs"/>
          <w:color w:val="0000FF"/>
          <w:sz w:val="24"/>
          <w:szCs w:val="28"/>
          <w:rtl/>
        </w:rPr>
        <w:t xml:space="preserve"> أوبري ورو فقرة 260 هامش 5 </w:t>
      </w:r>
      <w:r>
        <w:rPr>
          <w:rFonts w:cs="Traditional Arabic"/>
          <w:color w:val="0000FF"/>
          <w:sz w:val="24"/>
          <w:szCs w:val="28"/>
          <w:rtl/>
        </w:rPr>
        <w:t>–</w:t>
      </w:r>
      <w:r>
        <w:rPr>
          <w:rFonts w:cs="Traditional Arabic" w:hint="cs"/>
          <w:color w:val="0000FF"/>
          <w:sz w:val="24"/>
          <w:szCs w:val="28"/>
          <w:rtl/>
        </w:rPr>
        <w:t xml:space="preserve"> بلانيول وريبير وبيكيه 13 فقرة 21 </w:t>
      </w:r>
      <w:r>
        <w:rPr>
          <w:rFonts w:cs="Traditional Arabic"/>
          <w:color w:val="0000FF"/>
          <w:sz w:val="24"/>
          <w:szCs w:val="28"/>
          <w:rtl/>
        </w:rPr>
        <w:t>–</w:t>
      </w:r>
      <w:r>
        <w:rPr>
          <w:rFonts w:cs="Traditional Arabic" w:hint="cs"/>
          <w:color w:val="0000FF"/>
          <w:sz w:val="24"/>
          <w:szCs w:val="28"/>
          <w:rtl/>
        </w:rPr>
        <w:t xml:space="preserve"> استئناف مختلط 27 فبراير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253 .</w:t>
      </w:r>
    </w:p>
  </w:footnote>
  <w:footnote w:id="17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15 يناير سنة </w:t>
      </w:r>
      <w:smartTag w:uri="urn:schemas-microsoft-com:office:smarttags" w:element="metricconverter">
        <w:smartTagPr>
          <w:attr w:name="ProductID" w:val="1924 م"/>
        </w:smartTagPr>
        <w:r>
          <w:rPr>
            <w:rFonts w:cs="Traditional Arabic" w:hint="cs"/>
            <w:color w:val="0000FF"/>
            <w:sz w:val="24"/>
            <w:szCs w:val="28"/>
            <w:rtl/>
          </w:rPr>
          <w:t>1924 م</w:t>
        </w:r>
      </w:smartTag>
      <w:r>
        <w:rPr>
          <w:rFonts w:cs="Traditional Arabic" w:hint="cs"/>
          <w:color w:val="0000FF"/>
          <w:sz w:val="24"/>
          <w:szCs w:val="28"/>
          <w:rtl/>
        </w:rPr>
        <w:t xml:space="preserve"> 36 ص 150 .</w:t>
      </w:r>
    </w:p>
  </w:footnote>
  <w:footnote w:id="176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الاستئناف المختلط بأنه ليس من اختصاص القضاء المستعجل الفصل فيما يعتبر مصروفات قضائية لازمة وممتازة وما لا يعتبر كذلك ( استئناف مختلط 10 يونيه سنة </w:t>
      </w:r>
      <w:smartTag w:uri="urn:schemas-microsoft-com:office:smarttags" w:element="metricconverter">
        <w:smartTagPr>
          <w:attr w:name="ProductID" w:val="1931 م"/>
        </w:smartTagPr>
        <w:r>
          <w:rPr>
            <w:rFonts w:cs="Traditional Arabic" w:hint="cs"/>
            <w:color w:val="0000FF"/>
            <w:sz w:val="24"/>
            <w:szCs w:val="28"/>
            <w:rtl/>
          </w:rPr>
          <w:t>1931 م</w:t>
        </w:r>
      </w:smartTag>
      <w:r>
        <w:rPr>
          <w:rFonts w:cs="Traditional Arabic" w:hint="cs"/>
          <w:color w:val="0000FF"/>
          <w:sz w:val="24"/>
          <w:szCs w:val="28"/>
          <w:rtl/>
        </w:rPr>
        <w:t xml:space="preserve"> 43 ص 444 ) .</w:t>
      </w:r>
    </w:p>
  </w:footnote>
  <w:footnote w:id="17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يونيه سنة </w:t>
      </w:r>
      <w:smartTag w:uri="urn:schemas-microsoft-com:office:smarttags" w:element="metricconverter">
        <w:smartTagPr>
          <w:attr w:name="ProductID" w:val="1935 م"/>
        </w:smartTagPr>
        <w:r>
          <w:rPr>
            <w:rFonts w:cs="Traditional Arabic" w:hint="cs"/>
            <w:color w:val="0000FF"/>
            <w:sz w:val="24"/>
            <w:szCs w:val="28"/>
            <w:rtl/>
          </w:rPr>
          <w:t>1935 م</w:t>
        </w:r>
      </w:smartTag>
      <w:r>
        <w:rPr>
          <w:rFonts w:cs="Traditional Arabic" w:hint="cs"/>
          <w:color w:val="0000FF"/>
          <w:sz w:val="24"/>
          <w:szCs w:val="28"/>
          <w:rtl/>
        </w:rPr>
        <w:t xml:space="preserve"> 47 ص 347 .</w:t>
      </w:r>
    </w:p>
  </w:footnote>
  <w:footnote w:id="17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316 وفقرة 640 </w:t>
      </w:r>
      <w:r>
        <w:rPr>
          <w:rFonts w:cs="Traditional Arabic"/>
          <w:color w:val="0000FF"/>
          <w:sz w:val="24"/>
          <w:szCs w:val="28"/>
          <w:rtl/>
        </w:rPr>
        <w:t>–</w:t>
      </w:r>
      <w:r>
        <w:rPr>
          <w:rFonts w:cs="Traditional Arabic" w:hint="cs"/>
          <w:color w:val="0000FF"/>
          <w:sz w:val="24"/>
          <w:szCs w:val="28"/>
          <w:rtl/>
        </w:rPr>
        <w:t xml:space="preserve"> بلانيول وريبير وبيكيه 13 فقرة 23  .</w:t>
      </w:r>
    </w:p>
  </w:footnote>
  <w:footnote w:id="177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393 .</w:t>
      </w:r>
    </w:p>
  </w:footnote>
  <w:footnote w:id="17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18 .</w:t>
      </w:r>
    </w:p>
  </w:footnote>
  <w:footnote w:id="177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411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وانظر في المصروفات القضائية : استئناف مختلط 27 فبراير سنة </w:t>
      </w:r>
      <w:smartTag w:uri="urn:schemas-microsoft-com:office:smarttags" w:element="metricconverter">
        <w:smartTagPr>
          <w:attr w:name="ProductID" w:val="1923 م"/>
        </w:smartTagPr>
        <w:r>
          <w:rPr>
            <w:rFonts w:cs="Traditional Arabic" w:hint="cs"/>
            <w:color w:val="0000FF"/>
            <w:sz w:val="24"/>
            <w:szCs w:val="28"/>
            <w:rtl/>
          </w:rPr>
          <w:t>1923 م</w:t>
        </w:r>
      </w:smartTag>
      <w:r>
        <w:rPr>
          <w:rFonts w:cs="Traditional Arabic" w:hint="cs"/>
          <w:color w:val="0000FF"/>
          <w:sz w:val="24"/>
          <w:szCs w:val="28"/>
          <w:rtl/>
        </w:rPr>
        <w:t xml:space="preserve"> 35 ص 253 </w:t>
      </w:r>
      <w:r>
        <w:rPr>
          <w:rFonts w:cs="Traditional Arabic"/>
          <w:color w:val="0000FF"/>
          <w:sz w:val="24"/>
          <w:szCs w:val="28"/>
          <w:rtl/>
        </w:rPr>
        <w:t>–</w:t>
      </w:r>
      <w:r>
        <w:rPr>
          <w:rFonts w:cs="Traditional Arabic" w:hint="cs"/>
          <w:color w:val="0000FF"/>
          <w:sz w:val="24"/>
          <w:szCs w:val="28"/>
          <w:rtl/>
        </w:rPr>
        <w:t xml:space="preserve"> 15 يناير سنة </w:t>
      </w:r>
      <w:smartTag w:uri="urn:schemas-microsoft-com:office:smarttags" w:element="metricconverter">
        <w:smartTagPr>
          <w:attr w:name="ProductID" w:val="1924 م"/>
        </w:smartTagPr>
        <w:r>
          <w:rPr>
            <w:rFonts w:cs="Traditional Arabic" w:hint="cs"/>
            <w:color w:val="0000FF"/>
            <w:sz w:val="24"/>
            <w:szCs w:val="28"/>
            <w:rtl/>
          </w:rPr>
          <w:t>1924 م</w:t>
        </w:r>
      </w:smartTag>
      <w:r>
        <w:rPr>
          <w:rFonts w:cs="Traditional Arabic" w:hint="cs"/>
          <w:color w:val="0000FF"/>
          <w:sz w:val="24"/>
          <w:szCs w:val="28"/>
          <w:rtl/>
        </w:rPr>
        <w:t xml:space="preserve"> 36 ص 150 </w:t>
      </w:r>
      <w:r>
        <w:rPr>
          <w:rFonts w:cs="Traditional Arabic"/>
          <w:color w:val="0000FF"/>
          <w:sz w:val="24"/>
          <w:szCs w:val="28"/>
          <w:rtl/>
        </w:rPr>
        <w:t>–</w:t>
      </w:r>
      <w:r>
        <w:rPr>
          <w:rFonts w:cs="Traditional Arabic" w:hint="cs"/>
          <w:color w:val="0000FF"/>
          <w:sz w:val="24"/>
          <w:szCs w:val="28"/>
          <w:rtl/>
        </w:rPr>
        <w:t xml:space="preserve"> 4 فبراير سنة </w:t>
      </w:r>
      <w:smartTag w:uri="urn:schemas-microsoft-com:office:smarttags" w:element="metricconverter">
        <w:smartTagPr>
          <w:attr w:name="ProductID" w:val="1925 م"/>
        </w:smartTagPr>
        <w:r>
          <w:rPr>
            <w:rFonts w:cs="Traditional Arabic" w:hint="cs"/>
            <w:color w:val="0000FF"/>
            <w:sz w:val="24"/>
            <w:szCs w:val="28"/>
            <w:rtl/>
          </w:rPr>
          <w:t>1925 م</w:t>
        </w:r>
      </w:smartTag>
      <w:r>
        <w:rPr>
          <w:rFonts w:cs="Traditional Arabic" w:hint="cs"/>
          <w:color w:val="0000FF"/>
          <w:sz w:val="24"/>
          <w:szCs w:val="28"/>
          <w:rtl/>
        </w:rPr>
        <w:t xml:space="preserve"> 37 ص 253 </w:t>
      </w:r>
      <w:r>
        <w:rPr>
          <w:rFonts w:cs="Traditional Arabic"/>
          <w:color w:val="0000FF"/>
          <w:sz w:val="24"/>
          <w:szCs w:val="28"/>
          <w:rtl/>
        </w:rPr>
        <w:t>–</w:t>
      </w:r>
      <w:r>
        <w:rPr>
          <w:rFonts w:cs="Traditional Arabic" w:hint="cs"/>
          <w:color w:val="0000FF"/>
          <w:sz w:val="24"/>
          <w:szCs w:val="28"/>
          <w:rtl/>
        </w:rPr>
        <w:t xml:space="preserve"> 15 فبراير سنة </w:t>
      </w:r>
      <w:smartTag w:uri="urn:schemas-microsoft-com:office:smarttags" w:element="metricconverter">
        <w:smartTagPr>
          <w:attr w:name="ProductID" w:val="1927 م"/>
        </w:smartTagPr>
        <w:r>
          <w:rPr>
            <w:rFonts w:cs="Traditional Arabic" w:hint="cs"/>
            <w:color w:val="0000FF"/>
            <w:sz w:val="24"/>
            <w:szCs w:val="28"/>
            <w:rtl/>
          </w:rPr>
          <w:t>1927 م</w:t>
        </w:r>
      </w:smartTag>
      <w:r>
        <w:rPr>
          <w:rFonts w:cs="Traditional Arabic" w:hint="cs"/>
          <w:color w:val="0000FF"/>
          <w:sz w:val="24"/>
          <w:szCs w:val="28"/>
          <w:rtl/>
        </w:rPr>
        <w:t xml:space="preserve"> 39 ص 243 </w:t>
      </w:r>
      <w:r>
        <w:rPr>
          <w:rFonts w:cs="Traditional Arabic"/>
          <w:color w:val="0000FF"/>
          <w:sz w:val="24"/>
          <w:szCs w:val="28"/>
          <w:rtl/>
        </w:rPr>
        <w:t>–</w:t>
      </w:r>
      <w:r>
        <w:rPr>
          <w:rFonts w:cs="Traditional Arabic" w:hint="cs"/>
          <w:color w:val="0000FF"/>
          <w:sz w:val="24"/>
          <w:szCs w:val="28"/>
          <w:rtl/>
        </w:rPr>
        <w:t xml:space="preserve"> 25 أبريل سنة </w:t>
      </w:r>
      <w:smartTag w:uri="urn:schemas-microsoft-com:office:smarttags" w:element="metricconverter">
        <w:smartTagPr>
          <w:attr w:name="ProductID" w:val="1928 م"/>
        </w:smartTagPr>
        <w:r>
          <w:rPr>
            <w:rFonts w:cs="Traditional Arabic" w:hint="cs"/>
            <w:color w:val="0000FF"/>
            <w:sz w:val="24"/>
            <w:szCs w:val="28"/>
            <w:rtl/>
          </w:rPr>
          <w:t>1928 م</w:t>
        </w:r>
      </w:smartTag>
      <w:r>
        <w:rPr>
          <w:rFonts w:cs="Traditional Arabic" w:hint="cs"/>
          <w:color w:val="0000FF"/>
          <w:sz w:val="24"/>
          <w:szCs w:val="28"/>
          <w:rtl/>
        </w:rPr>
        <w:t xml:space="preserve"> 40 ص 321 </w:t>
      </w:r>
      <w:r>
        <w:rPr>
          <w:rFonts w:cs="Traditional Arabic"/>
          <w:color w:val="0000FF"/>
          <w:sz w:val="24"/>
          <w:szCs w:val="28"/>
          <w:rtl/>
        </w:rPr>
        <w:t>–</w:t>
      </w:r>
      <w:r>
        <w:rPr>
          <w:rFonts w:cs="Traditional Arabic" w:hint="cs"/>
          <w:color w:val="0000FF"/>
          <w:sz w:val="24"/>
          <w:szCs w:val="28"/>
          <w:rtl/>
        </w:rPr>
        <w:t xml:space="preserve"> 18 يونيه سنة </w:t>
      </w:r>
      <w:smartTag w:uri="urn:schemas-microsoft-com:office:smarttags" w:element="metricconverter">
        <w:smartTagPr>
          <w:attr w:name="ProductID" w:val="1935 م"/>
        </w:smartTagPr>
        <w:r>
          <w:rPr>
            <w:rFonts w:cs="Traditional Arabic" w:hint="cs"/>
            <w:color w:val="0000FF"/>
            <w:sz w:val="24"/>
            <w:szCs w:val="28"/>
            <w:rtl/>
          </w:rPr>
          <w:t>1935 م</w:t>
        </w:r>
      </w:smartTag>
      <w:r>
        <w:rPr>
          <w:rFonts w:cs="Traditional Arabic" w:hint="cs"/>
          <w:color w:val="0000FF"/>
          <w:sz w:val="24"/>
          <w:szCs w:val="28"/>
          <w:rtl/>
        </w:rPr>
        <w:t xml:space="preserve"> 47 ص 374 </w:t>
      </w:r>
      <w:r>
        <w:rPr>
          <w:rFonts w:cs="Traditional Arabic"/>
          <w:color w:val="0000FF"/>
          <w:sz w:val="24"/>
          <w:szCs w:val="28"/>
          <w:rtl/>
        </w:rPr>
        <w:t>–</w:t>
      </w:r>
      <w:r>
        <w:rPr>
          <w:rFonts w:cs="Traditional Arabic" w:hint="cs"/>
          <w:color w:val="0000FF"/>
          <w:sz w:val="24"/>
          <w:szCs w:val="28"/>
          <w:rtl/>
        </w:rPr>
        <w:t xml:space="preserve"> 20 مايو سنة </w:t>
      </w:r>
      <w:smartTag w:uri="urn:schemas-microsoft-com:office:smarttags" w:element="metricconverter">
        <w:smartTagPr>
          <w:attr w:name="ProductID" w:val="1941 م"/>
        </w:smartTagPr>
        <w:r>
          <w:rPr>
            <w:rFonts w:cs="Traditional Arabic" w:hint="cs"/>
            <w:color w:val="0000FF"/>
            <w:sz w:val="24"/>
            <w:szCs w:val="28"/>
            <w:rtl/>
          </w:rPr>
          <w:t>1941 م</w:t>
        </w:r>
      </w:smartTag>
      <w:r>
        <w:rPr>
          <w:rFonts w:cs="Traditional Arabic" w:hint="cs"/>
          <w:color w:val="0000FF"/>
          <w:sz w:val="24"/>
          <w:szCs w:val="28"/>
          <w:rtl/>
        </w:rPr>
        <w:t xml:space="preserve"> 53 ص 179 </w:t>
      </w:r>
      <w:r>
        <w:rPr>
          <w:rFonts w:cs="Traditional Arabic"/>
          <w:color w:val="0000FF"/>
          <w:sz w:val="24"/>
          <w:szCs w:val="28"/>
          <w:rtl/>
        </w:rPr>
        <w:t>–</w:t>
      </w:r>
      <w:r>
        <w:rPr>
          <w:rFonts w:cs="Traditional Arabic" w:hint="cs"/>
          <w:color w:val="0000FF"/>
          <w:sz w:val="24"/>
          <w:szCs w:val="28"/>
          <w:rtl/>
        </w:rPr>
        <w:t xml:space="preserve"> 14 أبريل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168 </w:t>
      </w:r>
      <w:r>
        <w:rPr>
          <w:rFonts w:cs="Traditional Arabic"/>
          <w:color w:val="0000FF"/>
          <w:sz w:val="24"/>
          <w:szCs w:val="28"/>
          <w:rtl/>
        </w:rPr>
        <w:t>–</w:t>
      </w:r>
      <w:r>
        <w:rPr>
          <w:rFonts w:cs="Traditional Arabic" w:hint="cs"/>
          <w:color w:val="0000FF"/>
          <w:sz w:val="24"/>
          <w:szCs w:val="28"/>
          <w:rtl/>
        </w:rPr>
        <w:t xml:space="preserve"> 17 يونيه سنة </w:t>
      </w:r>
      <w:smartTag w:uri="urn:schemas-microsoft-com:office:smarttags" w:element="metricconverter">
        <w:smartTagPr>
          <w:attr w:name="ProductID" w:val="1942 م"/>
        </w:smartTagPr>
        <w:r>
          <w:rPr>
            <w:rFonts w:cs="Traditional Arabic" w:hint="cs"/>
            <w:color w:val="0000FF"/>
            <w:sz w:val="24"/>
            <w:szCs w:val="28"/>
            <w:rtl/>
          </w:rPr>
          <w:t>1942 م</w:t>
        </w:r>
      </w:smartTag>
      <w:r>
        <w:rPr>
          <w:rFonts w:cs="Traditional Arabic" w:hint="cs"/>
          <w:color w:val="0000FF"/>
          <w:sz w:val="24"/>
          <w:szCs w:val="28"/>
          <w:rtl/>
        </w:rPr>
        <w:t xml:space="preserve"> 54 ص 241 .</w:t>
      </w:r>
    </w:p>
  </w:footnote>
  <w:footnote w:id="1775">
    <w:p w:rsidR="00F72742" w:rsidRDefault="00F72742" w:rsidP="00F72742">
      <w:pPr>
        <w:pStyle w:val="aa"/>
        <w:widowControl w:val="0"/>
        <w:ind w:firstLine="567"/>
        <w:jc w:val="lowKashida"/>
        <w:rPr>
          <w:rFonts w:hint="cs"/>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1581 من المشروع التمهيدي . وأقرته لجنة المراجعة بعد تعديلات لفظية طفيفة ، تحت رقم 1243 في المشروع النهائي . واقره مجلس النواب تحت رقم 1228 ، ثم مجلس الشيوخ تحت رقم 1139 ( مجموعة الأعمال التحضيرية 7 ص 301 ص 303 ) .</w:t>
      </w:r>
    </w:p>
    <w:p w:rsidR="00F72742" w:rsidRDefault="00F72742" w:rsidP="00F72742">
      <w:pPr>
        <w:pStyle w:val="aa"/>
        <w:widowControl w:val="0"/>
        <w:ind w:firstLine="567"/>
        <w:jc w:val="lowKashida"/>
        <w:rPr>
          <w:rFonts w:cs="Traditional Arabic" w:hint="cs"/>
          <w:color w:val="0000FF"/>
          <w:sz w:val="24"/>
          <w:szCs w:val="28"/>
          <w:rtl/>
        </w:rPr>
      </w:pPr>
      <w:r w:rsidRPr="00A7711E">
        <w:rPr>
          <w:rFonts w:cs="Traditional Arabic" w:hint="cs"/>
          <w:color w:val="0000FF"/>
          <w:sz w:val="24"/>
          <w:szCs w:val="28"/>
          <w:u w:val="single"/>
          <w:rtl/>
        </w:rPr>
        <w:t>التقنين المدني السابق</w:t>
      </w:r>
      <w:r>
        <w:rPr>
          <w:rFonts w:cs="Traditional Arabic" w:hint="cs"/>
          <w:color w:val="0000FF"/>
          <w:sz w:val="24"/>
          <w:szCs w:val="28"/>
          <w:rtl/>
        </w:rPr>
        <w:t xml:space="preserve"> :</w:t>
      </w:r>
      <w:r w:rsidRPr="00E82A59">
        <w:rPr>
          <w:rFonts w:cs="Traditional Arabic" w:hint="cs"/>
          <w:color w:val="0000FF"/>
          <w:sz w:val="24"/>
          <w:szCs w:val="28"/>
          <w:rtl/>
        </w:rPr>
        <w:t xml:space="preserve"> </w:t>
      </w:r>
      <w:r>
        <w:rPr>
          <w:rFonts w:cs="Traditional Arabic" w:hint="cs"/>
          <w:color w:val="0000FF"/>
          <w:sz w:val="24"/>
          <w:szCs w:val="28"/>
          <w:rtl/>
        </w:rPr>
        <w:t>م 602 بند 2 أهلي : المبالغ المستحقة للميري عن أموال أو رسوم أياً كان نوعها ، وتكون هذه المبالغ ممتازة بسحب الشرائط المقررة في الأوامر واللوائح المختصة بها ، ويجري مقتضى امتيازها على كافة أموال المدين .</w:t>
      </w:r>
    </w:p>
    <w:p w:rsidR="00F72742" w:rsidRPr="00A7711E" w:rsidRDefault="00F72742" w:rsidP="00F72742">
      <w:pPr>
        <w:pStyle w:val="aa"/>
        <w:widowControl w:val="0"/>
        <w:ind w:firstLine="567"/>
        <w:jc w:val="lowKashida"/>
        <w:rPr>
          <w:rFonts w:cs="Traditional Arabic" w:hint="cs"/>
          <w:color w:val="0000FF"/>
          <w:sz w:val="24"/>
          <w:szCs w:val="28"/>
          <w:u w:val="single"/>
          <w:rtl/>
        </w:rPr>
      </w:pPr>
      <w:r w:rsidRPr="00A7711E">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A7711E">
        <w:rPr>
          <w:rFonts w:cs="Traditional Arabic" w:hint="cs"/>
          <w:color w:val="0000FF"/>
          <w:sz w:val="24"/>
          <w:szCs w:val="28"/>
          <w:u w:val="single"/>
          <w:rtl/>
        </w:rPr>
        <w:t>التقنين السوري</w:t>
      </w:r>
      <w:r>
        <w:rPr>
          <w:rFonts w:cs="Traditional Arabic" w:hint="cs"/>
          <w:color w:val="0000FF"/>
          <w:sz w:val="24"/>
          <w:szCs w:val="28"/>
          <w:rtl/>
        </w:rPr>
        <w:t xml:space="preserve"> م 1118 : 1- المبالغ المستحقة للخزانة العامة من ضرائب ورسوم وحقوق أخرى من أي نوع كانت ، يكون لها امتياز بالشروط المقررة في القوانين والأوامر الصادرة في هذا الشأن . 2- وتسوفي هذه المبالغ من ثمن الأموال المثقلة بهذا الامتياز في أية يد كانت قبل أي حق آخر ، ولو كان ممتازاً أو مضموناً برهن ، عدا المصروفات القضائية .</w:t>
      </w:r>
    </w:p>
    <w:p w:rsidR="00F72742" w:rsidRDefault="00F72742" w:rsidP="00F72742">
      <w:pPr>
        <w:pStyle w:val="aa"/>
        <w:widowControl w:val="0"/>
        <w:ind w:firstLine="567"/>
        <w:jc w:val="lowKashida"/>
        <w:rPr>
          <w:rFonts w:cs="Traditional Arabic" w:hint="cs"/>
          <w:color w:val="0000FF"/>
          <w:sz w:val="24"/>
          <w:szCs w:val="28"/>
          <w:rtl/>
        </w:rPr>
      </w:pPr>
      <w:r w:rsidRPr="00A7711E">
        <w:rPr>
          <w:rFonts w:cs="Traditional Arabic" w:hint="cs"/>
          <w:color w:val="0000FF"/>
          <w:sz w:val="24"/>
          <w:szCs w:val="28"/>
          <w:u w:val="single"/>
          <w:rtl/>
        </w:rPr>
        <w:t>التقنين الليبي</w:t>
      </w:r>
      <w:r>
        <w:rPr>
          <w:rFonts w:cs="Traditional Arabic" w:hint="cs"/>
          <w:color w:val="0000FF"/>
          <w:sz w:val="24"/>
          <w:szCs w:val="28"/>
          <w:rtl/>
        </w:rPr>
        <w:t xml:space="preserve"> م 1143 : 1- المبالغ المستحقة للخزانة العامة من ضرائب ورسوم وحقوق أخرى من أي نوع كانت ، يكون لها امتياز بالشروط المقررة في القوانين واللوائح الصادرة في هذا الشأن . 2- وتسوفي هذه المبالغ من ثمن الأموال المثقلة بهذا الامتياز في أية يد كانت قبل أي حق آخر ، ولو كان ممتازاً أو مضموناً برهن اتفاقي . ، عدا المصروفات القضائية .</w:t>
      </w:r>
    </w:p>
    <w:p w:rsidR="00F72742" w:rsidRPr="00E82A59" w:rsidRDefault="00F72742" w:rsidP="00F72742">
      <w:pPr>
        <w:pStyle w:val="aa"/>
        <w:widowControl w:val="0"/>
        <w:ind w:firstLine="567"/>
        <w:jc w:val="lowKashida"/>
        <w:rPr>
          <w:rFonts w:cs="Traditional Arabic" w:hint="cs"/>
          <w:color w:val="0000FF"/>
          <w:sz w:val="24"/>
          <w:szCs w:val="28"/>
          <w:rtl/>
        </w:rPr>
      </w:pPr>
      <w:r w:rsidRPr="00A7711E">
        <w:rPr>
          <w:rFonts w:cs="Traditional Arabic" w:hint="cs"/>
          <w:color w:val="0000FF"/>
          <w:sz w:val="24"/>
          <w:szCs w:val="28"/>
          <w:u w:val="single"/>
          <w:rtl/>
        </w:rPr>
        <w:t>التقنين العراقي</w:t>
      </w:r>
      <w:r>
        <w:rPr>
          <w:rFonts w:cs="Traditional Arabic" w:hint="cs"/>
          <w:color w:val="0000FF"/>
          <w:sz w:val="24"/>
          <w:szCs w:val="28"/>
          <w:rtl/>
        </w:rPr>
        <w:t xml:space="preserve"> م 1370 : 1- المبالغ المستحقة للخزينة من ضرائب ورسوم ونحوها يكون لها حق امتياز بالشروط المقررة في القوانين والنظم الصادرة بهذا الشأن . 2- وتسوفي هذه المبالغ من ثمن الأموال المثقلة بحق الامتياز هذا في أي يد كانت ، وذلك بعد المصروفات القضائية وقبل أي حق آخر ولو كان ممتازاً أو موثقاً برهن .</w:t>
      </w:r>
    </w:p>
  </w:footnote>
  <w:footnote w:id="17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301 </w:t>
      </w:r>
      <w:r>
        <w:rPr>
          <w:rFonts w:cs="Traditional Arabic"/>
          <w:color w:val="0000FF"/>
          <w:sz w:val="24"/>
          <w:szCs w:val="28"/>
          <w:rtl/>
        </w:rPr>
        <w:t>–</w:t>
      </w:r>
      <w:r>
        <w:rPr>
          <w:rFonts w:cs="Traditional Arabic" w:hint="cs"/>
          <w:color w:val="0000FF"/>
          <w:sz w:val="24"/>
          <w:szCs w:val="28"/>
          <w:rtl/>
        </w:rPr>
        <w:t xml:space="preserve"> ص 303 .</w:t>
      </w:r>
    </w:p>
  </w:footnote>
  <w:footnote w:id="17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النقض بأن النص في الفقرة الأولى من المادة 1139 مدني يدل على أن المبالغ المستحقة للخزانة العامة لا تكون ممتازة إلا بقوانين وأوامر خاصة ( نقض مدني 11 مايو سنة 1966 مجموعة أحكام النقض 17 رقم 145 ص 1070 ) . وقضت في نفس الحكم بأن دين الضريبة إذا كان متمتعا بامتياز عام ، فحقوق الامتياز العامة لا يجب فيها الشهر ولا يثبت فيها حق التتبع ولو كان محلها عقار .</w:t>
      </w:r>
    </w:p>
  </w:footnote>
  <w:footnote w:id="177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النقض بأن مصلحة الضرائب تمسكت بأن دين الضريبة مضمون بحق امتياز يرد على كافة أموال المدين من منقول وعقار ، وبأن حق الامتياز يخولها حق تتبع أموال المدين في أي يد كانت ، ولما كان الحكم قد خلا م الإشارة إلى هذا الدفاع الجوهري والرد عليه ، فإنه يكون معيباً بالقصور ، مما يستوجب نقضه في هذا الخصوص ( نقض مدني 22 أكتوبر سنة 1959 مجموعة أحكام النقض 10 ص 64 ) .</w:t>
      </w:r>
    </w:p>
  </w:footnote>
  <w:footnote w:id="177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21 يناير سنة 1930 المحاماة 10 رقم 399  794 .</w:t>
      </w:r>
    </w:p>
  </w:footnote>
  <w:footnote w:id="1780">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1582 من المشروع التمهيدي . وأقرته لجنة المراجعة ، بعد تعديله تعديلا لفظيا طفيفاً فصار مطابقا لما استقر عليه في التقنين المدني الجديد ، تحت رقم 1244 في المشروع النهائي . ووافق عليه مجلس النواب تحت رقم 1229 ، فيم مجلس الشيوخ تحت رقم 1140 ( مجموعة الأعمال التحضيرية 7 ص 303 -  306 ) .</w:t>
      </w:r>
    </w:p>
    <w:p w:rsidR="00F72742" w:rsidRDefault="00F72742" w:rsidP="00F72742">
      <w:pPr>
        <w:pStyle w:val="aa"/>
        <w:widowControl w:val="0"/>
        <w:ind w:firstLine="567"/>
        <w:jc w:val="lowKashida"/>
        <w:rPr>
          <w:rFonts w:cs="Traditional Arabic" w:hint="cs"/>
          <w:color w:val="0000FF"/>
          <w:sz w:val="24"/>
          <w:szCs w:val="28"/>
          <w:rtl/>
        </w:rPr>
      </w:pPr>
      <w:r w:rsidRPr="0071605E">
        <w:rPr>
          <w:rFonts w:cs="Traditional Arabic" w:hint="cs"/>
          <w:color w:val="0000FF"/>
          <w:sz w:val="24"/>
          <w:szCs w:val="28"/>
          <w:u w:val="single"/>
          <w:rtl/>
        </w:rPr>
        <w:t>التقنين المدني السابق</w:t>
      </w:r>
      <w:r>
        <w:rPr>
          <w:rFonts w:cs="Traditional Arabic" w:hint="cs"/>
          <w:color w:val="0000FF"/>
          <w:sz w:val="24"/>
          <w:szCs w:val="28"/>
          <w:rtl/>
        </w:rPr>
        <w:t xml:space="preserve"> : م 603 / 729 : المبالغ المستحقة في مقابلة ما صرف لصيانة الشيء تكون مقدمة على جميع ما عداها من الديون ، ويكون الترتيب بين تلك المصاريف في المنقولات بعكس ترتيب تواريخ الصرف عليها .</w:t>
      </w:r>
    </w:p>
    <w:p w:rsidR="00F72742" w:rsidRDefault="00F72742" w:rsidP="00F72742">
      <w:pPr>
        <w:pStyle w:val="aa"/>
        <w:widowControl w:val="0"/>
        <w:ind w:firstLine="567"/>
        <w:jc w:val="lowKashida"/>
        <w:rPr>
          <w:rFonts w:cs="Traditional Arabic" w:hint="cs"/>
          <w:color w:val="0000FF"/>
          <w:sz w:val="24"/>
          <w:szCs w:val="28"/>
          <w:rtl/>
        </w:rPr>
      </w:pPr>
      <w:r w:rsidRPr="0071605E">
        <w:rPr>
          <w:rFonts w:cs="Traditional Arabic" w:hint="cs"/>
          <w:color w:val="0000FF"/>
          <w:sz w:val="24"/>
          <w:szCs w:val="28"/>
          <w:u w:val="single"/>
          <w:rtl/>
        </w:rPr>
        <w:t>التقنينات المدنية العربية الأخرى</w:t>
      </w:r>
      <w:r>
        <w:rPr>
          <w:rFonts w:cs="Traditional Arabic" w:hint="cs"/>
          <w:color w:val="0000FF"/>
          <w:sz w:val="24"/>
          <w:szCs w:val="28"/>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71605E">
        <w:rPr>
          <w:rFonts w:cs="Traditional Arabic" w:hint="cs"/>
          <w:color w:val="0000FF"/>
          <w:sz w:val="24"/>
          <w:szCs w:val="28"/>
          <w:u w:val="single"/>
          <w:rtl/>
        </w:rPr>
        <w:t>التقنين السوي</w:t>
      </w:r>
      <w:r>
        <w:rPr>
          <w:rFonts w:cs="Traditional Arabic" w:hint="cs"/>
          <w:color w:val="0000FF"/>
          <w:sz w:val="24"/>
          <w:szCs w:val="28"/>
          <w:rtl/>
        </w:rPr>
        <w:t xml:space="preserve"> م 1119 : 1- المبالغ التي صرفت لحفظ المنقول وفيما يلزم له من ترميم ، يكون لها امتياز عليه كله . 2- وتستوفي هذه المبالغ من ثمن هذا المنقول المثقل بحق الامتياز بعد المصروفات القضائية والمبالغ المستحقة للخزانة العامة مباشرة . أما فيما بينها فيستوفي بنسبة قيمة كل منها .</w:t>
      </w:r>
    </w:p>
    <w:p w:rsidR="00F72742" w:rsidRDefault="00F72742" w:rsidP="00F72742">
      <w:pPr>
        <w:pStyle w:val="aa"/>
        <w:widowControl w:val="0"/>
        <w:ind w:firstLine="567"/>
        <w:jc w:val="lowKashida"/>
        <w:rPr>
          <w:rFonts w:cs="Traditional Arabic" w:hint="cs"/>
          <w:color w:val="0000FF"/>
          <w:sz w:val="24"/>
          <w:szCs w:val="28"/>
          <w:rtl/>
        </w:rPr>
      </w:pPr>
      <w:r w:rsidRPr="003A6D8C">
        <w:rPr>
          <w:rFonts w:cs="Traditional Arabic" w:hint="cs"/>
          <w:color w:val="0000FF"/>
          <w:sz w:val="24"/>
          <w:szCs w:val="28"/>
          <w:u w:val="single"/>
          <w:rtl/>
        </w:rPr>
        <w:t>التقنين الليبي</w:t>
      </w:r>
      <w:r>
        <w:rPr>
          <w:rFonts w:cs="Traditional Arabic" w:hint="cs"/>
          <w:color w:val="0000FF"/>
          <w:sz w:val="24"/>
          <w:szCs w:val="28"/>
          <w:rtl/>
        </w:rPr>
        <w:t xml:space="preserve"> م 1114 : - المبالغ التي صرفت لحفظ المنقول وفيما يلزم له من ترميم ، يكون لها امتياز عليه كله . 2- وتستوفي هذه المبالغ من ثمن هذا المنقول المثقل بحق الامتياز بعد المصروفات القضائية والمبالغ المستحقة للخزانة العامة مباشرة . أما فيما بينها ، فيقدم بعضها على بعض بحسب الترتيب العكسي لتواريخ صرفها .</w:t>
      </w:r>
    </w:p>
    <w:p w:rsidR="00F72742" w:rsidRPr="00063543" w:rsidRDefault="00F72742" w:rsidP="00F72742">
      <w:pPr>
        <w:pStyle w:val="aa"/>
        <w:widowControl w:val="0"/>
        <w:ind w:firstLine="567"/>
        <w:jc w:val="lowKashida"/>
        <w:rPr>
          <w:rFonts w:cs="Traditional Arabic" w:hint="cs"/>
          <w:color w:val="0000FF"/>
          <w:sz w:val="24"/>
          <w:szCs w:val="28"/>
          <w:rtl/>
        </w:rPr>
      </w:pPr>
      <w:r w:rsidRPr="003A6D8C">
        <w:rPr>
          <w:rFonts w:cs="Traditional Arabic" w:hint="cs"/>
          <w:color w:val="0000FF"/>
          <w:sz w:val="24"/>
          <w:szCs w:val="28"/>
          <w:u w:val="single"/>
          <w:rtl/>
        </w:rPr>
        <w:t>التقنين العراقي</w:t>
      </w:r>
      <w:r>
        <w:rPr>
          <w:rFonts w:cs="Traditional Arabic" w:hint="cs"/>
          <w:color w:val="0000FF"/>
          <w:sz w:val="24"/>
          <w:szCs w:val="28"/>
          <w:rtl/>
        </w:rPr>
        <w:t xml:space="preserve"> م 1371 : - المبالغ التي صرفت لحفظ المنقول وفيما يلزم له من إصلاح ، يكون لها امتياز عليه كله . 2- وتستوفي هذه المبالغ من ثمن المنقول مباشرة بعد المصروفات القضائية والمبالغ المستحقة للخزينة . أما فيما بينها ، فيقدم بعضها على بعض بحسب الترتيب العكسي لتواريخ صرفها .</w:t>
      </w:r>
    </w:p>
  </w:footnote>
  <w:footnote w:id="178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05 .</w:t>
      </w:r>
    </w:p>
  </w:footnote>
  <w:footnote w:id="178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محمد كامل مرسي فقرة 404 ص 534 هامش 3 </w:t>
      </w:r>
      <w:r>
        <w:rPr>
          <w:rFonts w:cs="Traditional Arabic"/>
          <w:color w:val="0000FF"/>
          <w:sz w:val="24"/>
          <w:szCs w:val="28"/>
          <w:rtl/>
        </w:rPr>
        <w:t>–</w:t>
      </w:r>
      <w:r>
        <w:rPr>
          <w:rFonts w:cs="Traditional Arabic" w:hint="cs"/>
          <w:color w:val="0000FF"/>
          <w:sz w:val="24"/>
          <w:szCs w:val="28"/>
          <w:rtl/>
        </w:rPr>
        <w:t xml:space="preserve"> سليمان مرقس فقرة 341 ص 543 .</w:t>
      </w:r>
    </w:p>
  </w:footnote>
  <w:footnote w:id="17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14 يونيه سنة 1917 م 29 ص 500 </w:t>
      </w:r>
      <w:r>
        <w:rPr>
          <w:rFonts w:cs="Traditional Arabic"/>
          <w:color w:val="0000FF"/>
          <w:sz w:val="24"/>
          <w:szCs w:val="28"/>
          <w:rtl/>
        </w:rPr>
        <w:t>–</w:t>
      </w:r>
      <w:r>
        <w:rPr>
          <w:rFonts w:cs="Traditional Arabic" w:hint="cs"/>
          <w:color w:val="0000FF"/>
          <w:sz w:val="24"/>
          <w:szCs w:val="28"/>
          <w:rtl/>
        </w:rPr>
        <w:t xml:space="preserve"> 11 مايو سنة 1927 فقرة 341 ص 543 .</w:t>
      </w:r>
    </w:p>
  </w:footnote>
  <w:footnote w:id="178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فمصروفا علاج الشخص المستحق في وقت تعتبر من مصروفات الحفظ والصيانة الممتازة فيما يتعلق بالاستحقاق في الوقف ( استئناف مختلط 16 مايو سنة 1929 م 41 ص 404 ) .</w:t>
      </w:r>
    </w:p>
  </w:footnote>
  <w:footnote w:id="178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185 .</w:t>
      </w:r>
    </w:p>
  </w:footnote>
  <w:footnote w:id="17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13 فقرة 185 .</w:t>
      </w:r>
    </w:p>
  </w:footnote>
  <w:footnote w:id="17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500 </w:t>
      </w:r>
      <w:r>
        <w:rPr>
          <w:rFonts w:cs="Traditional Arabic"/>
          <w:color w:val="0000FF"/>
          <w:sz w:val="24"/>
          <w:szCs w:val="28"/>
          <w:rtl/>
        </w:rPr>
        <w:t>–</w:t>
      </w:r>
      <w:r>
        <w:rPr>
          <w:rFonts w:cs="Traditional Arabic" w:hint="cs"/>
          <w:color w:val="0000FF"/>
          <w:sz w:val="24"/>
          <w:szCs w:val="28"/>
          <w:rtl/>
        </w:rPr>
        <w:t xml:space="preserve"> بلانيول وريبير وبيكيه 13 فقرة 181 .</w:t>
      </w:r>
    </w:p>
  </w:footnote>
  <w:footnote w:id="17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وفال فقرة 500 </w:t>
      </w:r>
      <w:r>
        <w:rPr>
          <w:rFonts w:cs="Traditional Arabic"/>
          <w:color w:val="0000FF"/>
          <w:sz w:val="24"/>
          <w:szCs w:val="28"/>
          <w:rtl/>
        </w:rPr>
        <w:t>–</w:t>
      </w:r>
      <w:r>
        <w:rPr>
          <w:rFonts w:cs="Traditional Arabic" w:hint="cs"/>
          <w:color w:val="0000FF"/>
          <w:sz w:val="24"/>
          <w:szCs w:val="28"/>
          <w:rtl/>
        </w:rPr>
        <w:t xml:space="preserve"> عبد الفتاح عبد الباقي فقرة 698 </w:t>
      </w:r>
      <w:r>
        <w:rPr>
          <w:rFonts w:cs="Traditional Arabic"/>
          <w:color w:val="0000FF"/>
          <w:sz w:val="24"/>
          <w:szCs w:val="28"/>
          <w:rtl/>
        </w:rPr>
        <w:t>–</w:t>
      </w:r>
      <w:r>
        <w:rPr>
          <w:rFonts w:cs="Traditional Arabic" w:hint="cs"/>
          <w:color w:val="0000FF"/>
          <w:sz w:val="24"/>
          <w:szCs w:val="28"/>
          <w:rtl/>
        </w:rPr>
        <w:t xml:space="preserve"> محمد علي إمام فقرة 590 </w:t>
      </w:r>
      <w:r>
        <w:rPr>
          <w:rFonts w:cs="Traditional Arabic"/>
          <w:color w:val="0000FF"/>
          <w:sz w:val="24"/>
          <w:szCs w:val="28"/>
          <w:rtl/>
        </w:rPr>
        <w:t>–</w:t>
      </w:r>
      <w:r>
        <w:rPr>
          <w:rFonts w:cs="Traditional Arabic" w:hint="cs"/>
          <w:color w:val="0000FF"/>
          <w:sz w:val="24"/>
          <w:szCs w:val="28"/>
          <w:rtl/>
        </w:rPr>
        <w:t xml:space="preserve"> سليمان مرقس فقرة 341 ص 544 </w:t>
      </w:r>
      <w:r>
        <w:rPr>
          <w:rFonts w:cs="Traditional Arabic"/>
          <w:color w:val="0000FF"/>
          <w:sz w:val="24"/>
          <w:szCs w:val="28"/>
          <w:rtl/>
        </w:rPr>
        <w:t>–</w:t>
      </w:r>
      <w:r>
        <w:rPr>
          <w:rFonts w:cs="Traditional Arabic" w:hint="cs"/>
          <w:color w:val="0000FF"/>
          <w:sz w:val="24"/>
          <w:szCs w:val="28"/>
          <w:rtl/>
        </w:rPr>
        <w:t xml:space="preserve"> ص 545 </w:t>
      </w:r>
      <w:r>
        <w:rPr>
          <w:rFonts w:cs="Traditional Arabic"/>
          <w:color w:val="0000FF"/>
          <w:sz w:val="24"/>
          <w:szCs w:val="28"/>
          <w:rtl/>
        </w:rPr>
        <w:t>–</w:t>
      </w:r>
      <w:r>
        <w:rPr>
          <w:rFonts w:cs="Traditional Arabic" w:hint="cs"/>
          <w:color w:val="0000FF"/>
          <w:sz w:val="24"/>
          <w:szCs w:val="28"/>
          <w:rtl/>
        </w:rPr>
        <w:t xml:space="preserve"> محمد كامل مرسي فقرة 405 ص 534 .</w:t>
      </w:r>
    </w:p>
  </w:footnote>
  <w:footnote w:id="178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405 ص 537 وهامش 1 .</w:t>
      </w:r>
    </w:p>
  </w:footnote>
  <w:footnote w:id="17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406 وفقرة 408 </w:t>
      </w:r>
      <w:r>
        <w:rPr>
          <w:rFonts w:cs="Traditional Arabic"/>
          <w:color w:val="0000FF"/>
          <w:sz w:val="24"/>
          <w:szCs w:val="28"/>
          <w:rtl/>
        </w:rPr>
        <w:t>–</w:t>
      </w:r>
      <w:r>
        <w:rPr>
          <w:rFonts w:cs="Traditional Arabic" w:hint="cs"/>
          <w:color w:val="0000FF"/>
          <w:sz w:val="24"/>
          <w:szCs w:val="28"/>
          <w:rtl/>
        </w:rPr>
        <w:t xml:space="preserve"> سليمان مرقس فقرة 341 ص 545 .</w:t>
      </w:r>
    </w:p>
  </w:footnote>
  <w:footnote w:id="179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قضت محكمة الاستئناف المختلطة بأن وضع المنقول تحت الحراسة لا يخل بامتياز مصروفات الحفظ والترميم ( استئناف مختلط 16 يونيه سنة 1943 م 55 ص 190 ) . </w:t>
      </w:r>
    </w:p>
  </w:footnote>
  <w:footnote w:id="17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501 </w:t>
      </w:r>
      <w:r>
        <w:rPr>
          <w:rFonts w:cs="Traditional Arabic"/>
          <w:color w:val="0000FF"/>
          <w:sz w:val="24"/>
          <w:szCs w:val="28"/>
          <w:rtl/>
        </w:rPr>
        <w:t>–</w:t>
      </w:r>
      <w:r>
        <w:rPr>
          <w:rFonts w:cs="Traditional Arabic" w:hint="cs"/>
          <w:color w:val="0000FF"/>
          <w:sz w:val="24"/>
          <w:szCs w:val="28"/>
          <w:rtl/>
        </w:rPr>
        <w:t xml:space="preserve"> محمد علي إمام فقرة 592 </w:t>
      </w:r>
      <w:r>
        <w:rPr>
          <w:rFonts w:cs="Traditional Arabic"/>
          <w:color w:val="0000FF"/>
          <w:sz w:val="24"/>
          <w:szCs w:val="28"/>
          <w:rtl/>
        </w:rPr>
        <w:t>–</w:t>
      </w:r>
      <w:r>
        <w:rPr>
          <w:rFonts w:cs="Traditional Arabic" w:hint="cs"/>
          <w:color w:val="0000FF"/>
          <w:sz w:val="24"/>
          <w:szCs w:val="28"/>
          <w:rtl/>
        </w:rPr>
        <w:t xml:space="preserve"> سليمان مرقس فقرة 342 </w:t>
      </w:r>
      <w:r>
        <w:rPr>
          <w:rFonts w:cs="Traditional Arabic"/>
          <w:color w:val="0000FF"/>
          <w:sz w:val="24"/>
          <w:szCs w:val="28"/>
          <w:rtl/>
        </w:rPr>
        <w:t>–</w:t>
      </w:r>
      <w:r>
        <w:rPr>
          <w:rFonts w:cs="Traditional Arabic" w:hint="cs"/>
          <w:color w:val="0000FF"/>
          <w:sz w:val="24"/>
          <w:szCs w:val="28"/>
          <w:rtl/>
        </w:rPr>
        <w:t xml:space="preserve"> وإذا كان العقار الذي ألحق المنقول لخدمته فصار عقاراً بالتخصيص مرهوناً ، شمل الرهن المنقول وقدم الرهن على الامتياز إذا كان الدائن المرتهن حسن النية ( سليمان مرقس فقرة 342 ص 547 ) .</w:t>
      </w:r>
    </w:p>
  </w:footnote>
  <w:footnote w:id="179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344 .</w:t>
      </w:r>
    </w:p>
  </w:footnote>
  <w:footnote w:id="179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sidRPr="00CC1D16">
        <w:rPr>
          <w:rFonts w:cs="Traditional Arabic" w:hint="cs"/>
          <w:color w:val="0000FF"/>
          <w:sz w:val="24"/>
          <w:szCs w:val="28"/>
          <w:u w:val="single"/>
          <w:rtl/>
        </w:rPr>
        <w:t xml:space="preserve">تاريخ </w:t>
      </w:r>
      <w:r>
        <w:rPr>
          <w:rFonts w:cs="Traditional Arabic" w:hint="cs"/>
          <w:color w:val="0000FF"/>
          <w:sz w:val="24"/>
          <w:szCs w:val="28"/>
          <w:u w:val="single"/>
          <w:rtl/>
        </w:rPr>
        <w:t>النص</w:t>
      </w:r>
      <w:r>
        <w:rPr>
          <w:rFonts w:cs="Traditional Arabic" w:hint="cs"/>
          <w:color w:val="0000FF"/>
          <w:sz w:val="24"/>
          <w:szCs w:val="28"/>
          <w:rtl/>
        </w:rPr>
        <w:t xml:space="preserve"> : ورد هذا النص في المادة 1583 من المشروع التمهيدي . وأقرته لجنة المراجعة ، بعد تعديلات لفظية طفيفة حتى صار مطابقاً لما استقر عليه في التقنين المدني الجديد ، تحت رقم 1245 في المشروع النهائي . ووافق عليه مجلس النواب تحت رقم 1230 ، ثم مجلس الشيوخ تحت رقم 1141 ( مجموعة الأعمال التحضيرية 7 ص 306 </w:t>
      </w:r>
      <w:r>
        <w:rPr>
          <w:rFonts w:cs="Traditional Arabic"/>
          <w:color w:val="0000FF"/>
          <w:sz w:val="24"/>
          <w:szCs w:val="28"/>
          <w:rtl/>
        </w:rPr>
        <w:t>–</w:t>
      </w:r>
      <w:r>
        <w:rPr>
          <w:rFonts w:cs="Traditional Arabic" w:hint="cs"/>
          <w:color w:val="0000FF"/>
          <w:sz w:val="24"/>
          <w:szCs w:val="28"/>
          <w:rtl/>
        </w:rPr>
        <w:t xml:space="preserve"> ص 309 )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601 البند الثاني / 727 البند الثاني : المبالغ المستحقة للمستخدمين في مقابلة أجر السنة السابقة على البيع أو الحجز أو الإفلاس ، والمبالغ المستحقة للكتبة والعمالة في مقابل أجرتهم مدة ستة أشهر ، وتدفع هذه المبالغ بنوعيها عند الاقتضاء بعد المصاريف القضائية ، ويجري مقتضى هذا الامتياز على أموال المدين منقولة كانت أو ثابتة بدون فرق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1120 : 1- يكون للحقوق الآتية امتياز على جميع أموال المدين من منقول وعقار : ( أ ) المبالغ المستحقة للخدم والكتبة والعمال وكل أجير آخر ، ، من أجرهم ورواتبهم من أي نوع كان عن الستة الأشهر الأخيرة . ( ب ) المبالغ المستحقة عما تم توريده للمدين ولمن يعوله من مأكل وملبس في الستة الأشهر الأخيرة . ( ج ) النفقة المستحقة في ذمة المدين لأفراد أسرته وأقاربه . 2- وتستوفي هذه المبالغ مباشرة بعد المصروفات القضائية والمبالغ المستحقة للخزانة العامة ومصروفات الحفظ والترميم ، أما فيما بينها فتستوفي بنسبة كل منها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التقنين الليبي م 1145 : م 1120 : 1- يكون للحقوق الآتية امتياز على جميع أموال المدين من منقول وعقار : ( أ ) المبالغ المستحقة للخدم والكتبة والعمال وكل أجير آخر ، ، من أجرهم ورواتبهم من أي نوع كان عن الستة الأشهر الأخيرة . ( ب ) المبالغ المستحقة عما تم توريده للمدين ولمن يعوله من مأكل وملبس في الستة الأشهر الأخيرة . ( ج ) النفقة المستحقة في ذمة المدين لأقاربه عن الستة الأشهر الأخيرة . 2- وتستوفي هذه المبالغ مباشرة بعد المصروفات القضائية والمبالغ المستحقة للخزانة العامة ومصروفات الحفظ والترميم ، أما فيما بينها فتستوفي بنسبة كل منها .</w:t>
      </w:r>
    </w:p>
    <w:p w:rsidR="00F72742" w:rsidRPr="00522D39"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1372 : 1- يكون للديون الآتية ، بقدر ما هو مستحقة منها في الستة الشهور الأخيرة ، حق امتياز على جميع أموال المدين من منقول وعقار : ( أ ) المبالغ المستحقة عما صرف للمدين ولمن يعوله من مأكل وملبس ودواء . ( ج ) النفقة المستحقة في ذمة المدين لمن تجب نفقتهم عليه . 2- وتستوفي هذه المبالغ مباشرة بعد المصروفات القضائية والمبالغ المستحقة للخزينة ومصروفات الحفظ والإصلاح ، أما فيما بينها ، فتستوفي بنسبة كل منها .</w:t>
      </w:r>
    </w:p>
  </w:footnote>
  <w:footnote w:id="179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308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وانظر : استئناف مختلط 3 ديسمبر سنة 1918 م 31 ص 41 </w:t>
      </w:r>
      <w:r>
        <w:rPr>
          <w:rFonts w:cs="Traditional Arabic"/>
          <w:color w:val="0000FF"/>
          <w:sz w:val="24"/>
          <w:szCs w:val="28"/>
          <w:rtl/>
        </w:rPr>
        <w:t>–</w:t>
      </w:r>
      <w:r>
        <w:rPr>
          <w:rFonts w:cs="Traditional Arabic" w:hint="cs"/>
          <w:color w:val="0000FF"/>
          <w:sz w:val="24"/>
          <w:szCs w:val="28"/>
          <w:rtl/>
        </w:rPr>
        <w:t xml:space="preserve"> 23 مارس سنة 1920 م 32 ص 223 </w:t>
      </w:r>
      <w:r>
        <w:rPr>
          <w:rFonts w:cs="Traditional Arabic"/>
          <w:color w:val="0000FF"/>
          <w:sz w:val="24"/>
          <w:szCs w:val="28"/>
          <w:rtl/>
        </w:rPr>
        <w:t>–</w:t>
      </w:r>
      <w:r>
        <w:rPr>
          <w:rFonts w:cs="Traditional Arabic" w:hint="cs"/>
          <w:color w:val="0000FF"/>
          <w:sz w:val="24"/>
          <w:szCs w:val="28"/>
          <w:rtl/>
        </w:rPr>
        <w:t xml:space="preserve"> 7 يونيه سنة 1927 م 39 ص 522 .</w:t>
      </w:r>
    </w:p>
  </w:footnote>
  <w:footnote w:id="17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وقد قرر المشرع المصري ، ضمن حقوق الامتياز الخاصة المقررة بقوانين خاصة ، حق امتياز نفقات تجهيز الميت في المادة 4 من القانون رقم 77 لسنة 1943 الخاص بالمواريث ، وحق امتياز التعويض المتسحق عن إصابات العمل  في القانون رقم 89 لسنة 1950 الخاص بإصابات العمل . </w:t>
      </w:r>
    </w:p>
  </w:footnote>
  <w:footnote w:id="179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10 نوفمبر سنة 1937 م 50 ص 14 </w:t>
      </w:r>
      <w:r>
        <w:rPr>
          <w:rFonts w:cs="Traditional Arabic"/>
          <w:color w:val="0000FF"/>
          <w:sz w:val="24"/>
          <w:szCs w:val="28"/>
          <w:rtl/>
        </w:rPr>
        <w:t>–</w:t>
      </w:r>
      <w:r>
        <w:rPr>
          <w:rFonts w:cs="Traditional Arabic" w:hint="cs"/>
          <w:color w:val="0000FF"/>
          <w:sz w:val="24"/>
          <w:szCs w:val="28"/>
          <w:rtl/>
        </w:rPr>
        <w:t xml:space="preserve"> وقد صدر في فرنسا قانون 19 يوليه سنة 1928 يقرر امتيازاً للتعويضات التي تستحق للعامل بسبب تعسف رب العمل في استعمال حقه في فسخ عقد العمل غير محدد المدة أو بسبب فسخه هذا العقد دون مراعاة مواعيد التنبيه ( انظر بيدان وفواران فقرة 423 ) .</w:t>
      </w:r>
    </w:p>
  </w:footnote>
  <w:footnote w:id="179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الإسكندرية الكلية 4 نوفمبر سنة 1956 المحاماة 28 رقم 572 ص 1289 .</w:t>
      </w:r>
    </w:p>
  </w:footnote>
  <w:footnote w:id="179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25 مايو سنة 1932 م 44 ص 338 .</w:t>
      </w:r>
    </w:p>
  </w:footnote>
  <w:footnote w:id="180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42 . ولكن المادة 8 من القانون رقم 89 لسنة 1950 الصادر بشأن إصابات العمل ألحق جميع المبالغ المستحقة للعامل المصاب ( أو لمن يستحقون التعويض ) بالمبالغ المستحقة للأجرة وجعلها ممتازة في نفس مرتباتها . والمادة 5 من القانون رقم 117 لسنة 1950 بشان التعويض عن أمراض المهنة ألحقت المبالغ المستحقة للعامل بالمبالغ المستحقة للأجراء .</w:t>
      </w:r>
    </w:p>
  </w:footnote>
  <w:footnote w:id="180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25 مايو سنة 1932 م 44 ص 338 </w:t>
      </w:r>
      <w:r>
        <w:rPr>
          <w:rFonts w:cs="Traditional Arabic"/>
          <w:color w:val="0000FF"/>
          <w:sz w:val="24"/>
          <w:szCs w:val="28"/>
          <w:rtl/>
        </w:rPr>
        <w:t>–</w:t>
      </w:r>
      <w:r>
        <w:rPr>
          <w:rFonts w:cs="Traditional Arabic" w:hint="cs"/>
          <w:color w:val="0000FF"/>
          <w:sz w:val="24"/>
          <w:szCs w:val="28"/>
          <w:rtl/>
        </w:rPr>
        <w:t xml:space="preserve"> أول مايو سنة 1934 م 46 ص 272 .</w:t>
      </w:r>
    </w:p>
  </w:footnote>
  <w:footnote w:id="180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أول مايو سنة1 934 م 46 ص 272 .</w:t>
      </w:r>
    </w:p>
  </w:footnote>
  <w:footnote w:id="180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23 مارس سنة 1920 م 32 ص 323 </w:t>
      </w:r>
      <w:r>
        <w:rPr>
          <w:rFonts w:cs="Traditional Arabic"/>
          <w:color w:val="0000FF"/>
          <w:sz w:val="24"/>
          <w:szCs w:val="28"/>
          <w:rtl/>
        </w:rPr>
        <w:t>–</w:t>
      </w:r>
      <w:r>
        <w:rPr>
          <w:rFonts w:cs="Traditional Arabic" w:hint="cs"/>
          <w:color w:val="0000FF"/>
          <w:sz w:val="24"/>
          <w:szCs w:val="28"/>
          <w:rtl/>
        </w:rPr>
        <w:t xml:space="preserve"> 7 يونيه سنة 1927 39 ص 522 </w:t>
      </w:r>
      <w:r>
        <w:rPr>
          <w:rFonts w:cs="Traditional Arabic"/>
          <w:color w:val="0000FF"/>
          <w:sz w:val="24"/>
          <w:szCs w:val="28"/>
          <w:rtl/>
        </w:rPr>
        <w:t>–</w:t>
      </w:r>
      <w:r>
        <w:rPr>
          <w:rFonts w:cs="Traditional Arabic" w:hint="cs"/>
          <w:color w:val="0000FF"/>
          <w:sz w:val="24"/>
          <w:szCs w:val="28"/>
          <w:rtl/>
        </w:rPr>
        <w:t xml:space="preserve"> أول مايو سنة 1934 م 46 ص 272 </w:t>
      </w:r>
      <w:r>
        <w:rPr>
          <w:rFonts w:cs="Traditional Arabic"/>
          <w:color w:val="0000FF"/>
          <w:sz w:val="24"/>
          <w:szCs w:val="28"/>
          <w:rtl/>
        </w:rPr>
        <w:t>–</w:t>
      </w:r>
      <w:r>
        <w:rPr>
          <w:rFonts w:cs="Traditional Arabic" w:hint="cs"/>
          <w:color w:val="0000FF"/>
          <w:sz w:val="24"/>
          <w:szCs w:val="28"/>
          <w:rtl/>
        </w:rPr>
        <w:t xml:space="preserve"> والأجر تسقط بمضي سنة  .؟؟؟ م 378/1 مدني ) فإذا كانت هناك اجر عن سنة ونصف ، كانت أجرة الستة الأشهر الأخيرة ممتازة ، وأجرة الستة الأشهر التي قبلها غير ممتازة ولكنها قائمة ، وأجرة الستة الأشهر التي قبل ذلك تكون قد سقطت إذا حلف رب العمل أنه أداها ( م 378/2 مدني ) .</w:t>
      </w:r>
    </w:p>
  </w:footnote>
  <w:footnote w:id="18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426 </w:t>
      </w:r>
      <w:r>
        <w:rPr>
          <w:rFonts w:cs="Traditional Arabic"/>
          <w:color w:val="0000FF"/>
          <w:sz w:val="24"/>
          <w:szCs w:val="28"/>
          <w:rtl/>
        </w:rPr>
        <w:t>–</w:t>
      </w:r>
      <w:r>
        <w:rPr>
          <w:rFonts w:cs="Traditional Arabic" w:hint="cs"/>
          <w:color w:val="0000FF"/>
          <w:sz w:val="24"/>
          <w:szCs w:val="28"/>
          <w:rtl/>
        </w:rPr>
        <w:t xml:space="preserve"> محمد كامل مرسي فقرة 423 ص 554 </w:t>
      </w:r>
      <w:r>
        <w:rPr>
          <w:rFonts w:cs="Traditional Arabic"/>
          <w:color w:val="0000FF"/>
          <w:sz w:val="24"/>
          <w:szCs w:val="28"/>
          <w:rtl/>
        </w:rPr>
        <w:t>–</w:t>
      </w:r>
      <w:r>
        <w:rPr>
          <w:rFonts w:cs="Traditional Arabic" w:hint="cs"/>
          <w:color w:val="0000FF"/>
          <w:sz w:val="24"/>
          <w:szCs w:val="28"/>
          <w:rtl/>
        </w:rPr>
        <w:t xml:space="preserve"> سليمان مرقس فقرة 347 ص 557 .</w:t>
      </w:r>
    </w:p>
  </w:footnote>
  <w:footnote w:id="180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48 </w:t>
      </w:r>
      <w:r>
        <w:rPr>
          <w:rFonts w:cs="Traditional Arabic"/>
          <w:color w:val="0000FF"/>
          <w:sz w:val="24"/>
          <w:szCs w:val="28"/>
          <w:rtl/>
        </w:rPr>
        <w:t>–</w:t>
      </w:r>
      <w:r>
        <w:rPr>
          <w:rFonts w:cs="Traditional Arabic" w:hint="cs"/>
          <w:color w:val="0000FF"/>
          <w:sz w:val="24"/>
          <w:szCs w:val="28"/>
          <w:rtl/>
        </w:rPr>
        <w:t xml:space="preserve"> سليمان مرقس فقرة 347 ص 557 .</w:t>
      </w:r>
    </w:p>
  </w:footnote>
  <w:footnote w:id="180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426 .</w:t>
      </w:r>
    </w:p>
  </w:footnote>
  <w:footnote w:id="180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426 .</w:t>
      </w:r>
    </w:p>
  </w:footnote>
  <w:footnote w:id="180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427 .</w:t>
      </w:r>
    </w:p>
  </w:footnote>
  <w:footnote w:id="18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50 . </w:t>
      </w:r>
    </w:p>
  </w:footnote>
  <w:footnote w:id="181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آنفاً فقرة 685 .</w:t>
      </w:r>
    </w:p>
  </w:footnote>
  <w:footnote w:id="181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15 فبراير سنة 1938 م 50 ص 130 .</w:t>
      </w:r>
    </w:p>
  </w:footnote>
  <w:footnote w:id="181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sidRPr="00E2124A">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1584 من المشروع التمهيدي ، على وجه مطابق لما استقر عليه في التقنين المدني الجديد وأقرته لجنة المراجعة ، تحت رقم 1246 في المشروع النهائي . واقره مجلس النواب تحت رقم 1231 ، ثم مجلس الشيوخ تحت رقم 1142 ( مجموعة الأعمال التحضيرية 7 ص 309 </w:t>
      </w:r>
      <w:r>
        <w:rPr>
          <w:rFonts w:cs="Traditional Arabic"/>
          <w:color w:val="0000FF"/>
          <w:sz w:val="24"/>
          <w:szCs w:val="28"/>
          <w:rtl/>
        </w:rPr>
        <w:t>–</w:t>
      </w:r>
      <w:r>
        <w:rPr>
          <w:rFonts w:cs="Traditional Arabic" w:hint="cs"/>
          <w:color w:val="0000FF"/>
          <w:sz w:val="24"/>
          <w:szCs w:val="28"/>
          <w:rtl/>
        </w:rPr>
        <w:t xml:space="preserve"> ص 312 )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م 601 البند الرابع والخامس / 727 البند الثاني والرابع : رابعاً </w:t>
      </w:r>
      <w:r>
        <w:rPr>
          <w:rFonts w:cs="Traditional Arabic"/>
          <w:color w:val="0000FF"/>
          <w:sz w:val="24"/>
          <w:szCs w:val="28"/>
          <w:rtl/>
        </w:rPr>
        <w:t>–</w:t>
      </w:r>
      <w:r>
        <w:rPr>
          <w:rFonts w:cs="Traditional Arabic" w:hint="cs"/>
          <w:color w:val="0000FF"/>
          <w:sz w:val="24"/>
          <w:szCs w:val="28"/>
          <w:rtl/>
        </w:rPr>
        <w:t xml:space="preserve"> المبالغ المنصرفة في حصاد محصول السنة والمبالغ المستحقة في مقابلة البندورات التي نتج منها المحصول ، وتدفع هذه على حسب الترتيب المبين في هذا الوجه من ثمن المتحصل من بيع المحصول المذكور بعد أداء الديون المتقدمة . خامساً </w:t>
      </w:r>
      <w:r>
        <w:rPr>
          <w:rFonts w:cs="Traditional Arabic"/>
          <w:color w:val="0000FF"/>
          <w:sz w:val="24"/>
          <w:szCs w:val="28"/>
          <w:rtl/>
        </w:rPr>
        <w:t>–</w:t>
      </w:r>
      <w:r>
        <w:rPr>
          <w:rFonts w:cs="Traditional Arabic" w:hint="cs"/>
          <w:color w:val="0000FF"/>
          <w:sz w:val="24"/>
          <w:szCs w:val="28"/>
          <w:rtl/>
        </w:rPr>
        <w:t xml:space="preserve"> المبالغ المستحقة في مقابلة آلات الزراعة التي لم تزل في ملكية المدين ،وتدفع من أثمانها بعد المصاريف القضائية والأجرة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1121 : 1- المبالغ المصروفة في البذر والسماد وغيره من مواد التخصيب والمواد المقاومة للحشرات ، والمبالغ المصروفة في أعمال الزراعة والحصاد ، يكون لها امتياز على المحصول الذي صرفت في إنتاجه ، وتكون لها جميعاً مرتبة واحدة . 2- وستوفي هذه المبالغ من ثمن المحصول مباشرة ، بعد الحقوق المتقدمة الذكر . 3- وكذلك يكون المبالغ المستحقة في مقابل آلات الزراعة حق امتياز في نفس المرتبة على هذه الآلات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الليبي </w:t>
      </w:r>
      <w:r>
        <w:rPr>
          <w:rFonts w:cs="Traditional Arabic" w:hint="cs"/>
          <w:color w:val="0000FF"/>
          <w:sz w:val="24"/>
          <w:szCs w:val="28"/>
          <w:rtl/>
        </w:rPr>
        <w:t>م 1146 : 1- المبالغ المنصرفة في البذر والسماد وغيره من مواد التخصيب والمواد المقاومة للحشرات ، والمبالغ المنصرفة في أعمال الزراعة والحصاد ، يكون لها امتياز على المحصول الذي صرفت في إنتاجه ، وتكون لها جميعاً مرتبة واحدة . 2- وستوفي هذه المبالغ من ثمن المحصول مباشرة ، بعد الحقوق المتقدمة الذكر . 3- وكذلك تكون المبالغ المستحقة في مقابل آلات الزراعة حق امتياز في نفس المرتبة على هذه الآلات .</w:t>
      </w:r>
    </w:p>
    <w:p w:rsidR="00F72742" w:rsidRPr="00F53E71" w:rsidRDefault="00F72742" w:rsidP="00F72742">
      <w:pPr>
        <w:pStyle w:val="aa"/>
        <w:widowControl w:val="0"/>
        <w:ind w:firstLine="567"/>
        <w:jc w:val="lowKashida"/>
        <w:rPr>
          <w:rFonts w:cs="Traditional Arabic" w:hint="cs"/>
          <w:color w:val="0000FF"/>
          <w:sz w:val="24"/>
          <w:szCs w:val="28"/>
          <w:rtl/>
        </w:rPr>
      </w:pPr>
      <w:r w:rsidRPr="00F53E71">
        <w:rPr>
          <w:rFonts w:cs="Traditional Arabic" w:hint="cs"/>
          <w:color w:val="0000FF"/>
          <w:sz w:val="24"/>
          <w:szCs w:val="28"/>
          <w:u w:val="single"/>
          <w:rtl/>
        </w:rPr>
        <w:t>التقنين</w:t>
      </w:r>
      <w:r>
        <w:rPr>
          <w:rFonts w:cs="Traditional Arabic" w:hint="cs"/>
          <w:color w:val="0000FF"/>
          <w:sz w:val="24"/>
          <w:szCs w:val="28"/>
          <w:u w:val="single"/>
          <w:rtl/>
        </w:rPr>
        <w:t xml:space="preserve"> العراقي</w:t>
      </w:r>
      <w:r>
        <w:rPr>
          <w:rFonts w:cs="Traditional Arabic" w:hint="cs"/>
          <w:color w:val="0000FF"/>
          <w:sz w:val="24"/>
          <w:szCs w:val="28"/>
          <w:rtl/>
        </w:rPr>
        <w:t xml:space="preserve"> م 1373 : 1- المبالغ المصروفة للبذور والسماد وغيره من مواد التخصيب المقاومة للحشرات ، المبالغ المصروفة في أعمال الزراعة والحصاد ، يكون لها امتياز على المحصول الذي صرفت في إنتاجه ، 2- وستوفي من ثمن المحصول مباشرة بعد المصروفات القضائية والمبالغ المستحقة للخزينة ومصروفات الحفظ والإصلاح والمبالغ الموقعة بامتياز عام . أ/ا فيما بينها ، فتستوفي بنسبة كل منها . 3- وكذلك يكون للمبالغ المستحقة في مقابل آلات الزراعة حق امتياز في نفس المرتبة على هذه الآلات .</w:t>
      </w:r>
    </w:p>
  </w:footnote>
  <w:footnote w:id="18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311 .</w:t>
      </w:r>
    </w:p>
  </w:footnote>
  <w:footnote w:id="181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29 نوفمبر سنة 1927 م 40 ص 51 </w:t>
      </w:r>
      <w:r>
        <w:rPr>
          <w:rFonts w:cs="Traditional Arabic"/>
          <w:color w:val="0000FF"/>
          <w:sz w:val="24"/>
          <w:szCs w:val="28"/>
          <w:rtl/>
        </w:rPr>
        <w:t>–</w:t>
      </w:r>
      <w:r>
        <w:rPr>
          <w:rFonts w:cs="Traditional Arabic" w:hint="cs"/>
          <w:color w:val="0000FF"/>
          <w:sz w:val="24"/>
          <w:szCs w:val="28"/>
          <w:rtl/>
        </w:rPr>
        <w:t xml:space="preserve"> 7 فبراير سنة 1935 م 47 ص 170 </w:t>
      </w:r>
      <w:r>
        <w:rPr>
          <w:rFonts w:cs="Traditional Arabic"/>
          <w:color w:val="0000FF"/>
          <w:sz w:val="24"/>
          <w:szCs w:val="28"/>
          <w:rtl/>
        </w:rPr>
        <w:t>–</w:t>
      </w:r>
      <w:r>
        <w:rPr>
          <w:rFonts w:cs="Traditional Arabic" w:hint="cs"/>
          <w:color w:val="0000FF"/>
          <w:sz w:val="24"/>
          <w:szCs w:val="28"/>
          <w:rtl/>
        </w:rPr>
        <w:t xml:space="preserve"> 29 مايو سنة 1939 م 51 ص 343 .</w:t>
      </w:r>
    </w:p>
  </w:footnote>
  <w:footnote w:id="181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20 فبراير سنة 1917 م 29  ص 24 </w:t>
      </w:r>
      <w:r>
        <w:rPr>
          <w:rFonts w:cs="Traditional Arabic"/>
          <w:color w:val="0000FF"/>
          <w:sz w:val="24"/>
          <w:szCs w:val="28"/>
          <w:rtl/>
        </w:rPr>
        <w:t>–</w:t>
      </w:r>
      <w:r>
        <w:rPr>
          <w:rFonts w:cs="Traditional Arabic" w:hint="cs"/>
          <w:color w:val="0000FF"/>
          <w:sz w:val="24"/>
          <w:szCs w:val="28"/>
          <w:rtl/>
        </w:rPr>
        <w:t xml:space="preserve"> استئناف أسيوط 12 ديسمبر سنة 1928 المجموعة الرسمية 30 رقم 8 ص 22 .</w:t>
      </w:r>
    </w:p>
  </w:footnote>
  <w:footnote w:id="181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فبراير سنة 1935 جازيت 26 رقم 87 </w:t>
      </w:r>
      <w:r>
        <w:rPr>
          <w:rFonts w:cs="Traditional Arabic"/>
          <w:color w:val="0000FF"/>
          <w:sz w:val="24"/>
          <w:szCs w:val="28"/>
          <w:rtl/>
        </w:rPr>
        <w:t>–</w:t>
      </w:r>
      <w:r>
        <w:rPr>
          <w:rFonts w:cs="Traditional Arabic" w:hint="cs"/>
          <w:color w:val="0000FF"/>
          <w:sz w:val="24"/>
          <w:szCs w:val="28"/>
          <w:rtl/>
        </w:rPr>
        <w:t xml:space="preserve"> ص 76 .</w:t>
      </w:r>
    </w:p>
  </w:footnote>
  <w:footnote w:id="18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466 </w:t>
      </w:r>
      <w:r>
        <w:rPr>
          <w:rFonts w:cs="Traditional Arabic"/>
          <w:color w:val="0000FF"/>
          <w:sz w:val="24"/>
          <w:szCs w:val="28"/>
          <w:rtl/>
        </w:rPr>
        <w:t>–</w:t>
      </w:r>
      <w:r>
        <w:rPr>
          <w:rFonts w:cs="Traditional Arabic" w:hint="cs"/>
          <w:color w:val="0000FF"/>
          <w:sz w:val="24"/>
          <w:szCs w:val="28"/>
          <w:rtl/>
        </w:rPr>
        <w:t xml:space="preserve"> بلانيول وريبير وبيكيه فقرة 183 .</w:t>
      </w:r>
    </w:p>
  </w:footnote>
  <w:footnote w:id="181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446 وفقرة 469 </w:t>
      </w:r>
      <w:r>
        <w:rPr>
          <w:rFonts w:cs="Traditional Arabic"/>
          <w:color w:val="0000FF"/>
          <w:sz w:val="24"/>
          <w:szCs w:val="28"/>
          <w:rtl/>
        </w:rPr>
        <w:t>–</w:t>
      </w:r>
      <w:r>
        <w:rPr>
          <w:rFonts w:cs="Traditional Arabic" w:hint="cs"/>
          <w:color w:val="0000FF"/>
          <w:sz w:val="24"/>
          <w:szCs w:val="28"/>
          <w:rtl/>
        </w:rPr>
        <w:t xml:space="preserve"> بلانيول وريبير وبيكيه فقرة 183 </w:t>
      </w:r>
      <w:r>
        <w:rPr>
          <w:rFonts w:cs="Traditional Arabic"/>
          <w:color w:val="0000FF"/>
          <w:sz w:val="24"/>
          <w:szCs w:val="28"/>
          <w:rtl/>
        </w:rPr>
        <w:t>–</w:t>
      </w:r>
      <w:r>
        <w:rPr>
          <w:rFonts w:cs="Traditional Arabic" w:hint="cs"/>
          <w:color w:val="0000FF"/>
          <w:sz w:val="24"/>
          <w:szCs w:val="28"/>
          <w:rtl/>
        </w:rPr>
        <w:t xml:space="preserve"> وأجرة العمال والشغالة ممتازة أيضاً امتيازاً عاماً على جميع أموال المدين .</w:t>
      </w:r>
    </w:p>
  </w:footnote>
  <w:footnote w:id="18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والمبذورات تشمل أنواع الزروع والتقاوي .</w:t>
      </w:r>
    </w:p>
  </w:footnote>
  <w:footnote w:id="182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دي هلتس فقرة 151 .</w:t>
      </w:r>
    </w:p>
  </w:footnote>
  <w:footnote w:id="182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اختلف في التقنين المدني السابق في السماد ، وكان الرأي الغالب أن النص لا يشملها </w:t>
      </w:r>
      <w:r>
        <w:rPr>
          <w:rFonts w:cs="Traditional Arabic"/>
          <w:color w:val="0000FF"/>
          <w:sz w:val="24"/>
          <w:szCs w:val="28"/>
          <w:rtl/>
        </w:rPr>
        <w:t>–</w:t>
      </w:r>
      <w:r>
        <w:rPr>
          <w:rFonts w:cs="Traditional Arabic" w:hint="cs"/>
          <w:color w:val="0000FF"/>
          <w:sz w:val="24"/>
          <w:szCs w:val="28"/>
          <w:rtl/>
        </w:rPr>
        <w:t xml:space="preserve"> وقد حسم التقنين المدني هذه المسألة ، فأورد السماد صراحة في النص .</w:t>
      </w:r>
    </w:p>
  </w:footnote>
  <w:footnote w:id="182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كولان وكابيتان 2 فقرة 1108 </w:t>
      </w:r>
      <w:r>
        <w:rPr>
          <w:rFonts w:cs="Traditional Arabic"/>
          <w:color w:val="0000FF"/>
          <w:sz w:val="24"/>
          <w:szCs w:val="28"/>
          <w:rtl/>
        </w:rPr>
        <w:t>–</w:t>
      </w:r>
      <w:r>
        <w:rPr>
          <w:rFonts w:cs="Traditional Arabic" w:hint="cs"/>
          <w:color w:val="0000FF"/>
          <w:sz w:val="24"/>
          <w:szCs w:val="28"/>
          <w:rtl/>
        </w:rPr>
        <w:t xml:space="preserve"> بودري ودي لوان فقرة 465 </w:t>
      </w:r>
      <w:r>
        <w:rPr>
          <w:rFonts w:cs="Traditional Arabic"/>
          <w:color w:val="0000FF"/>
          <w:sz w:val="24"/>
          <w:szCs w:val="28"/>
          <w:rtl/>
        </w:rPr>
        <w:t>–</w:t>
      </w:r>
      <w:r>
        <w:rPr>
          <w:rFonts w:cs="Traditional Arabic" w:hint="cs"/>
          <w:color w:val="0000FF"/>
          <w:sz w:val="24"/>
          <w:szCs w:val="28"/>
          <w:rtl/>
        </w:rPr>
        <w:t xml:space="preserve"> بلانيول وريبير وبيكيه فقرة 183 .</w:t>
      </w:r>
    </w:p>
  </w:footnote>
  <w:footnote w:id="182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18 فبراير سنة 1914 م 26 ص 230 </w:t>
      </w:r>
      <w:r>
        <w:rPr>
          <w:rFonts w:cs="Traditional Arabic"/>
          <w:color w:val="0000FF"/>
          <w:sz w:val="24"/>
          <w:szCs w:val="28"/>
          <w:rtl/>
        </w:rPr>
        <w:t>–</w:t>
      </w:r>
      <w:r>
        <w:rPr>
          <w:rFonts w:cs="Traditional Arabic" w:hint="cs"/>
          <w:color w:val="0000FF"/>
          <w:sz w:val="24"/>
          <w:szCs w:val="28"/>
          <w:rtl/>
        </w:rPr>
        <w:t xml:space="preserve"> 21 مايو سنة 1935 م 47 ص 319 </w:t>
      </w:r>
      <w:r>
        <w:rPr>
          <w:rFonts w:cs="Traditional Arabic"/>
          <w:color w:val="0000FF"/>
          <w:sz w:val="24"/>
          <w:szCs w:val="28"/>
          <w:rtl/>
        </w:rPr>
        <w:t>–</w:t>
      </w:r>
      <w:r>
        <w:rPr>
          <w:rFonts w:cs="Traditional Arabic" w:hint="cs"/>
          <w:color w:val="0000FF"/>
          <w:sz w:val="24"/>
          <w:szCs w:val="28"/>
          <w:rtl/>
        </w:rPr>
        <w:t xml:space="preserve"> محمد كامل مرسي فقرة 435 </w:t>
      </w:r>
      <w:r>
        <w:rPr>
          <w:rFonts w:cs="Traditional Arabic"/>
          <w:color w:val="0000FF"/>
          <w:sz w:val="24"/>
          <w:szCs w:val="28"/>
          <w:rtl/>
        </w:rPr>
        <w:t>–</w:t>
      </w:r>
      <w:r>
        <w:rPr>
          <w:rFonts w:cs="Traditional Arabic" w:hint="cs"/>
          <w:color w:val="0000FF"/>
          <w:sz w:val="24"/>
          <w:szCs w:val="28"/>
          <w:rtl/>
        </w:rPr>
        <w:t xml:space="preserve"> سليمان مرقس فقرة 353 ص 567 . </w:t>
      </w:r>
    </w:p>
  </w:footnote>
  <w:footnote w:id="182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526 .</w:t>
      </w:r>
    </w:p>
  </w:footnote>
  <w:footnote w:id="182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17 مايو سنة 1911 م 22 ص 323 .</w:t>
      </w:r>
    </w:p>
  </w:footnote>
  <w:footnote w:id="182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29 نوفمبر سنة 1927 م 40 ص 51 </w:t>
      </w:r>
      <w:r>
        <w:rPr>
          <w:rFonts w:cs="Traditional Arabic"/>
          <w:color w:val="0000FF"/>
          <w:sz w:val="24"/>
          <w:szCs w:val="28"/>
          <w:rtl/>
        </w:rPr>
        <w:t>–</w:t>
      </w:r>
      <w:r>
        <w:rPr>
          <w:rFonts w:cs="Traditional Arabic" w:hint="cs"/>
          <w:color w:val="0000FF"/>
          <w:sz w:val="24"/>
          <w:szCs w:val="28"/>
          <w:rtl/>
        </w:rPr>
        <w:t xml:space="preserve"> محمد كامل مرسي فقرة 435 .</w:t>
      </w:r>
    </w:p>
  </w:footnote>
  <w:footnote w:id="182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29 نوفمبر سنة 1927 م 40 ص 51 </w:t>
      </w:r>
      <w:r>
        <w:rPr>
          <w:rFonts w:cs="Traditional Arabic"/>
          <w:color w:val="0000FF"/>
          <w:sz w:val="24"/>
          <w:szCs w:val="28"/>
          <w:rtl/>
        </w:rPr>
        <w:t>–</w:t>
      </w:r>
      <w:r>
        <w:rPr>
          <w:rFonts w:cs="Traditional Arabic" w:hint="cs"/>
          <w:color w:val="0000FF"/>
          <w:sz w:val="24"/>
          <w:szCs w:val="28"/>
          <w:rtl/>
        </w:rPr>
        <w:t xml:space="preserve"> محمد كامل مرسي فقرة 435 </w:t>
      </w:r>
      <w:r>
        <w:rPr>
          <w:rFonts w:cs="Traditional Arabic"/>
          <w:color w:val="0000FF"/>
          <w:sz w:val="24"/>
          <w:szCs w:val="28"/>
          <w:rtl/>
        </w:rPr>
        <w:t>–</w:t>
      </w:r>
      <w:r>
        <w:rPr>
          <w:rFonts w:cs="Traditional Arabic" w:hint="cs"/>
          <w:color w:val="0000FF"/>
          <w:sz w:val="24"/>
          <w:szCs w:val="28"/>
          <w:rtl/>
        </w:rPr>
        <w:t xml:space="preserve"> سليمان مرقس فقرة 353 ص 568 .</w:t>
      </w:r>
    </w:p>
  </w:footnote>
  <w:footnote w:id="182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435 .</w:t>
      </w:r>
    </w:p>
  </w:footnote>
  <w:footnote w:id="182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353 ص 569 .</w:t>
      </w:r>
    </w:p>
  </w:footnote>
  <w:footnote w:id="183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سليمان مرقس فقرة 354 ص 571 .</w:t>
      </w:r>
    </w:p>
  </w:footnote>
  <w:footnote w:id="1831">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1585 من المشروع التمهيدي على وجه مطابق لما استقر عليه في التقنين المدني الجديد . وأقرته لجنة المراجعة . تحت رقم 1247 في المشروع النهائي . وأقره مجلس النواب تحت رقم 1232 ، ثم مجلس الشيوخ تحت رقم 1143 ( مجموعة الأعمال التحضيرية 7 ص 312 </w:t>
      </w:r>
      <w:r>
        <w:rPr>
          <w:rFonts w:cs="Traditional Arabic"/>
          <w:color w:val="0000FF"/>
          <w:sz w:val="24"/>
          <w:szCs w:val="28"/>
          <w:rtl/>
        </w:rPr>
        <w:t>–</w:t>
      </w:r>
      <w:r>
        <w:rPr>
          <w:rFonts w:cs="Traditional Arabic" w:hint="cs"/>
          <w:color w:val="0000FF"/>
          <w:sz w:val="24"/>
          <w:szCs w:val="28"/>
          <w:rtl/>
        </w:rPr>
        <w:t xml:space="preserve"> ص 316 )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م 601 البند السادس / 727 البند الخامس : أجرة العقار وأجرة الأطيان وكل ما هو مستحق للمؤجر من هذا القبيل ، وتدفع بعد ما ذكر من ثمن جميع المفروشات ، ونحوها الموجودة بالبيوت المستأجرة ومن ثمن محصولات السنة التي لم تزل مملوكة للمستأجر ولو كانت موضوعة بخارج الأراضي المستأجرة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1122 : 1- أجرة المباني والأراضي الزراعية لسنتين أو لمدة الإيجار إن قلت عن ذلك ، وكل حق آخر للمؤجر بمقتضى عقد الإيجار ، يكون لها جميعاً امتياز على ما يكون موجوداً بالعين المؤجرة ومملوكاً للمستأجر من منقول قابل للحجز ومن محصول زراعي . 2- ويثبت الامتياز ولو كانت المنقولات مملوكة لزوجة المستأجر أو كانت مملوكة للغير ولم يثبت أن المؤجر كان يعلم وقت وضعها في العين المؤجر بوجود حق للغير عليها ، وذلك دون إخلال بالأحكام المتعلقة بالمنقولات المسروقة أو الضامنة . 3- ويقع الامتياز أيضاً على المنقولات والمحصولات المملوكة للمستأجر الثانوي إذا كان المؤجر قد اشترط صراحة عدم الإيجار الثانوي . فإذا لم يشترط ذلك ، فلا يثبت الامتياز إلا للمبالغ التي تكون مستحقة للمستأجر الأصلي في ذمة المستأجر الثانوي في الوقت الذي ينذره فيه المؤجر . 4- وتستوفي هذه المبالغ الممتازة من ثمن الأموال المثقلة بالامتياز بعد الحقوق المتقدمة الذكر ، إلا ما كان من هذه الحقوق غير نافذة في حق المؤجر باعتباره حائزاً حسن النية . 5- وإذا نقلت الأموال المثقلة بالامتياز من العين المؤجرة على الرغم من معارضة المؤجر أو على غير علم منه ولم يبق في العين أموال كافية لضمان الحقوق الممتازة ، بقي الامتياز قائماً على الأموال التي نقلت دون أن يضر ذلك بالحق الذي كسبه الغير حسن النية على هذه الأموال . ويبقى الامتياز قائماً ولو أضر بحق الغير لمدة ثلاث سنوات من يوم نقلها ، إذا أوقع المؤجر عليها حجزاً استحقاقياً في الميعاد القانوني . ومع ذلك إذا بيعت هذه الأموال إلى مشتر حسن النية في سوق عام أو في مزاد علني أو ممن يتجر في مثلها ، وجب على المؤجر أن يرد الثمن إلى هذا المشتري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م 1147 : 1- أجرة المباني والأراضي الزراعية لسنتين أو لمدة الإيجار إن قلت عن ذلك ، وكل حق آخر للمؤجر بمقتضى عقد الإيجار ، يكون لها جميعاً امتياز على ما يكون موجوداً بالعين المؤجرة ومملوكاً للمستأجر من منقول قابل للحجز ومن محصول زراعي . 2- ويثبت الامتياز ولو كانت المنقولات مملوكة لزوجة المستأجر أو كانت مملوكة للغير ولم يثبت أن المؤجر كان يعلم وقت وضعها في العين المؤجر بوجود حق للغير عليها ، وذلك دون إخلال بالأحكام المتعلقة بالمنقولات المسروقة أو الضائعة . 3- ويقع الامتياز أيضاً على المنقولات والمحصولات المملوكة للمستأجر من الباطن إذا كان المؤجر قد اشترط صراحة عدم الإيجار الباطن . فإذا لم يشترط ذلك ، فلا يثبت الامتياز إلا للمبالغ التي تكون مستحقة للمستأجر الأصلي في ذمة المستأجر من الباطن في الوقت الذي ينذره فيه المؤجر . 4- وتستوفي هذه المبالغ الممتازة من ثمن الأموال المثقلة بالامتياز بعد الحقوق المتقدمة الذكر ، إلا ما كان من هذه الحقوق غير نافذة في حق المؤجر باعتباره حائزاً حسن النية . 5- وإذا نقلت الأموال المثقلة بالامتياز من العين المؤجرة على الرغم من معارضة المؤجر أو على غير علم منه ولم يبق في العين أموال كافية لضمان الحقوق الممتازة ، بقي الامتياز قائماً على الأموال التي نقلت دون أن يضر ذلك بالحق الذي كسبه الغير حسن النية على هذه الأموال . ويبقى الامتياز قائماً ولو أضر بحق الغير لمدة ثلاث سنوات من يوم نقلها ، إذا أوقع المؤجر عليها حجزاً استحقاقياً في الميعاد القانوني . ومع ذلك إذا بيعت هذه الأموال إلى مشتر حسن النية في سوق عام أو في مزاد علني أو ممن يتجر في مثلها ، وجب على المؤجر أن يرد الثمن إلى هذا المشتري .</w:t>
      </w:r>
    </w:p>
    <w:p w:rsidR="00F72742" w:rsidRPr="005E598B"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1374 : 1- أجر المباني والأراضي الزراعية ، لثلاث سنوات ، أو لمدة الإيجار إن قلت عن ذلك ،وكل حق آخر المؤجر بمقتضى عقد الإيجار ، لها جميعاً حق امتياز على ما يكون موجوداً في العين المؤجرة مملوكاً للمستأجر من منقول قابل للحجز ومن محصول زراعي . 2- ويقع حق الامتياز على المنقولات والمحصولات المملوكة للمستأجر من المستأجر الأصلي إذا كان المؤجر قد اشترط صراحة على المستأجر عدم الإيجار </w:t>
      </w:r>
      <w:r>
        <w:rPr>
          <w:rFonts w:cs="Traditional Arabic"/>
          <w:color w:val="0000FF"/>
          <w:sz w:val="24"/>
          <w:szCs w:val="28"/>
          <w:rtl/>
        </w:rPr>
        <w:t>–</w:t>
      </w:r>
      <w:r>
        <w:rPr>
          <w:rFonts w:cs="Traditional Arabic" w:hint="cs"/>
          <w:color w:val="0000FF"/>
          <w:sz w:val="24"/>
          <w:szCs w:val="28"/>
          <w:rtl/>
        </w:rPr>
        <w:t xml:space="preserve"> فإذا لم يشترط ذلك ، فلا يثبت حق الامتياز إلا على المبالغ التي تكون مستحقة للمستأجر الأصل في ذمة المستأجر منه في الوقت الذي ينذره فيه المؤجر بعدم دفع هذه المبالغ للمستأجر الأصلي . 3- وإذا نقل الأموال المثقلة بحق الامتياز من العين المؤجرة على الرغم من معارضة المؤجر أو على غير علم منه ، ولم يبق في العين أموال كافية لضمان المبلغ الممتازة ، بقي حق الامتياز قائماً على الأموال التي نقلت دون أن يضر ذلك بالحق الذي يكسبه الغير حسن النية على هذه الأموال . 4- وتستوفي هذه المبالغ الممتازة من الثمن الأموال المثقلة بحق الامتياز ، بعد الديون الواردة في المواد السابقة ، إلا ما كان من هذه الديون غير  نافذة في حق المؤجر باعتباره حائزاً حسن النية .</w:t>
      </w:r>
    </w:p>
  </w:footnote>
  <w:footnote w:id="183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315 </w:t>
      </w:r>
      <w:r>
        <w:rPr>
          <w:rFonts w:cs="Traditional Arabic"/>
          <w:color w:val="0000FF"/>
          <w:sz w:val="24"/>
          <w:szCs w:val="28"/>
          <w:rtl/>
        </w:rPr>
        <w:t>–</w:t>
      </w:r>
      <w:r>
        <w:rPr>
          <w:rFonts w:cs="Traditional Arabic" w:hint="cs"/>
          <w:color w:val="0000FF"/>
          <w:sz w:val="24"/>
          <w:szCs w:val="28"/>
          <w:rtl/>
        </w:rPr>
        <w:t xml:space="preserve"> ص 316 .</w:t>
      </w:r>
    </w:p>
  </w:footnote>
  <w:footnote w:id="183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24 ديسمبر سنة 1930 م 43 ص 105 .</w:t>
      </w:r>
    </w:p>
  </w:footnote>
  <w:footnote w:id="183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357 </w:t>
      </w:r>
      <w:r>
        <w:rPr>
          <w:rFonts w:cs="Traditional Arabic"/>
          <w:color w:val="0000FF"/>
          <w:sz w:val="24"/>
          <w:szCs w:val="28"/>
          <w:rtl/>
        </w:rPr>
        <w:t>–</w:t>
      </w:r>
      <w:r>
        <w:rPr>
          <w:rFonts w:cs="Traditional Arabic" w:hint="cs"/>
          <w:color w:val="0000FF"/>
          <w:sz w:val="24"/>
          <w:szCs w:val="28"/>
          <w:rtl/>
        </w:rPr>
        <w:t xml:space="preserve"> دي هلتس فقرة 127 </w:t>
      </w:r>
      <w:r>
        <w:rPr>
          <w:rFonts w:cs="Traditional Arabic"/>
          <w:color w:val="0000FF"/>
          <w:sz w:val="24"/>
          <w:szCs w:val="28"/>
          <w:rtl/>
        </w:rPr>
        <w:t>–</w:t>
      </w:r>
      <w:r>
        <w:rPr>
          <w:rFonts w:cs="Traditional Arabic" w:hint="cs"/>
          <w:color w:val="0000FF"/>
          <w:sz w:val="24"/>
          <w:szCs w:val="28"/>
          <w:rtl/>
        </w:rPr>
        <w:t xml:space="preserve"> جرانمولان فقرة 655 .</w:t>
      </w:r>
    </w:p>
  </w:footnote>
  <w:footnote w:id="183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145 .</w:t>
      </w:r>
    </w:p>
  </w:footnote>
  <w:footnote w:id="183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الفتاح عبد الباقي فقرة 594 </w:t>
      </w:r>
      <w:r>
        <w:rPr>
          <w:rFonts w:cs="Traditional Arabic"/>
          <w:color w:val="0000FF"/>
          <w:sz w:val="24"/>
          <w:szCs w:val="28"/>
          <w:rtl/>
        </w:rPr>
        <w:t>–</w:t>
      </w:r>
      <w:r>
        <w:rPr>
          <w:rFonts w:cs="Traditional Arabic" w:hint="cs"/>
          <w:color w:val="0000FF"/>
          <w:sz w:val="24"/>
          <w:szCs w:val="28"/>
          <w:rtl/>
        </w:rPr>
        <w:t xml:space="preserve"> سليمان مرقس فقرة 357 </w:t>
      </w:r>
      <w:r>
        <w:rPr>
          <w:rFonts w:cs="Traditional Arabic"/>
          <w:color w:val="0000FF"/>
          <w:sz w:val="24"/>
          <w:szCs w:val="28"/>
          <w:rtl/>
        </w:rPr>
        <w:t>–</w:t>
      </w:r>
      <w:r>
        <w:rPr>
          <w:rFonts w:cs="Traditional Arabic" w:hint="cs"/>
          <w:color w:val="0000FF"/>
          <w:sz w:val="24"/>
          <w:szCs w:val="28"/>
          <w:rtl/>
        </w:rPr>
        <w:t xml:space="preserve"> ص 574 </w:t>
      </w:r>
      <w:r>
        <w:rPr>
          <w:rFonts w:cs="Traditional Arabic"/>
          <w:color w:val="0000FF"/>
          <w:sz w:val="24"/>
          <w:szCs w:val="28"/>
          <w:rtl/>
        </w:rPr>
        <w:t>–</w:t>
      </w:r>
      <w:r>
        <w:rPr>
          <w:rFonts w:cs="Traditional Arabic" w:hint="cs"/>
          <w:color w:val="0000FF"/>
          <w:sz w:val="24"/>
          <w:szCs w:val="28"/>
          <w:rtl/>
        </w:rPr>
        <w:t xml:space="preserve"> ص 575 .</w:t>
      </w:r>
    </w:p>
  </w:footnote>
  <w:footnote w:id="183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محمد كامل مرسي فقرة 444 </w:t>
      </w:r>
      <w:r>
        <w:rPr>
          <w:rFonts w:cs="Traditional Arabic"/>
          <w:color w:val="0000FF"/>
          <w:sz w:val="24"/>
          <w:szCs w:val="28"/>
          <w:rtl/>
        </w:rPr>
        <w:t>–</w:t>
      </w:r>
      <w:r>
        <w:rPr>
          <w:rFonts w:cs="Traditional Arabic" w:hint="cs"/>
          <w:color w:val="0000FF"/>
          <w:sz w:val="24"/>
          <w:szCs w:val="28"/>
          <w:rtl/>
        </w:rPr>
        <w:t xml:space="preserve"> سليمان مرقس فقرة 579 </w:t>
      </w:r>
      <w:r>
        <w:rPr>
          <w:rFonts w:cs="Traditional Arabic"/>
          <w:color w:val="0000FF"/>
          <w:sz w:val="24"/>
          <w:szCs w:val="28"/>
          <w:rtl/>
        </w:rPr>
        <w:t>–</w:t>
      </w:r>
      <w:r>
        <w:rPr>
          <w:rFonts w:cs="Traditional Arabic" w:hint="cs"/>
          <w:color w:val="0000FF"/>
          <w:sz w:val="24"/>
          <w:szCs w:val="28"/>
          <w:rtl/>
        </w:rPr>
        <w:t xml:space="preserve"> ص 575 .</w:t>
      </w:r>
    </w:p>
  </w:footnote>
  <w:footnote w:id="183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سليمان مرقس فقرة 358 </w:t>
      </w:r>
      <w:r>
        <w:rPr>
          <w:rFonts w:cs="Traditional Arabic"/>
          <w:color w:val="0000FF"/>
          <w:sz w:val="24"/>
          <w:szCs w:val="28"/>
          <w:rtl/>
        </w:rPr>
        <w:t>–</w:t>
      </w:r>
      <w:r>
        <w:rPr>
          <w:rFonts w:cs="Traditional Arabic" w:hint="cs"/>
          <w:color w:val="0000FF"/>
          <w:sz w:val="24"/>
          <w:szCs w:val="28"/>
          <w:rtl/>
        </w:rPr>
        <w:t xml:space="preserve"> ص 580 .</w:t>
      </w:r>
    </w:p>
  </w:footnote>
  <w:footnote w:id="183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مصر 14 فبراير سنة 1926 المحاماة 7 رقم 12 ص 24 .</w:t>
      </w:r>
    </w:p>
  </w:footnote>
  <w:footnote w:id="184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146 .</w:t>
      </w:r>
    </w:p>
  </w:footnote>
  <w:footnote w:id="184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فقرة 394 .</w:t>
      </w:r>
    </w:p>
  </w:footnote>
  <w:footnote w:id="184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الحق الممتاز الوسيط 6 فقرة 357 .</w:t>
      </w:r>
    </w:p>
  </w:footnote>
  <w:footnote w:id="184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الفتاح عبد الباقي فقرة 600 </w:t>
      </w:r>
      <w:r>
        <w:rPr>
          <w:rFonts w:cs="Traditional Arabic"/>
          <w:color w:val="0000FF"/>
          <w:sz w:val="24"/>
          <w:szCs w:val="28"/>
          <w:rtl/>
        </w:rPr>
        <w:t>–</w:t>
      </w:r>
      <w:r>
        <w:rPr>
          <w:rFonts w:cs="Traditional Arabic" w:hint="cs"/>
          <w:color w:val="0000FF"/>
          <w:sz w:val="24"/>
          <w:szCs w:val="28"/>
          <w:rtl/>
        </w:rPr>
        <w:t xml:space="preserve"> محمد علي إمام فقرة 453 </w:t>
      </w:r>
      <w:r>
        <w:rPr>
          <w:rFonts w:cs="Traditional Arabic"/>
          <w:color w:val="0000FF"/>
          <w:sz w:val="24"/>
          <w:szCs w:val="28"/>
          <w:rtl/>
        </w:rPr>
        <w:t>–</w:t>
      </w:r>
      <w:r>
        <w:rPr>
          <w:rFonts w:cs="Traditional Arabic" w:hint="cs"/>
          <w:color w:val="0000FF"/>
          <w:sz w:val="24"/>
          <w:szCs w:val="28"/>
          <w:rtl/>
        </w:rPr>
        <w:t xml:space="preserve"> شمس الدين الوكيل فقرة 538 </w:t>
      </w:r>
      <w:r>
        <w:rPr>
          <w:rFonts w:cs="Traditional Arabic"/>
          <w:color w:val="0000FF"/>
          <w:sz w:val="24"/>
          <w:szCs w:val="28"/>
          <w:rtl/>
        </w:rPr>
        <w:t>–</w:t>
      </w:r>
      <w:r>
        <w:rPr>
          <w:rFonts w:cs="Traditional Arabic" w:hint="cs"/>
          <w:color w:val="0000FF"/>
          <w:sz w:val="24"/>
          <w:szCs w:val="28"/>
          <w:rtl/>
        </w:rPr>
        <w:t xml:space="preserve"> سليمان مرقس فقرة 360 ص 583 .</w:t>
      </w:r>
    </w:p>
  </w:footnote>
  <w:footnote w:id="184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467 </w:t>
      </w:r>
      <w:r>
        <w:rPr>
          <w:rFonts w:cs="Traditional Arabic"/>
          <w:color w:val="0000FF"/>
          <w:sz w:val="24"/>
          <w:szCs w:val="28"/>
          <w:rtl/>
        </w:rPr>
        <w:t>–</w:t>
      </w:r>
      <w:r>
        <w:rPr>
          <w:rFonts w:cs="Traditional Arabic" w:hint="cs"/>
          <w:color w:val="0000FF"/>
          <w:sz w:val="24"/>
          <w:szCs w:val="28"/>
          <w:rtl/>
        </w:rPr>
        <w:t xml:space="preserve"> عبد الفتاح عبد الباقي فقرة 600 </w:t>
      </w:r>
      <w:r>
        <w:rPr>
          <w:rFonts w:cs="Traditional Arabic"/>
          <w:color w:val="0000FF"/>
          <w:sz w:val="24"/>
          <w:szCs w:val="28"/>
          <w:rtl/>
        </w:rPr>
        <w:t>–</w:t>
      </w:r>
      <w:r>
        <w:rPr>
          <w:rFonts w:cs="Traditional Arabic" w:hint="cs"/>
          <w:color w:val="0000FF"/>
          <w:sz w:val="24"/>
          <w:szCs w:val="28"/>
          <w:rtl/>
        </w:rPr>
        <w:t xml:space="preserve"> محمد علي إمام فقرة 453 .</w:t>
      </w:r>
    </w:p>
  </w:footnote>
  <w:footnote w:id="184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467 </w:t>
      </w:r>
      <w:r>
        <w:rPr>
          <w:rFonts w:cs="Traditional Arabic"/>
          <w:color w:val="0000FF"/>
          <w:sz w:val="24"/>
          <w:szCs w:val="28"/>
          <w:rtl/>
        </w:rPr>
        <w:t>–</w:t>
      </w:r>
      <w:r>
        <w:rPr>
          <w:rFonts w:cs="Traditional Arabic" w:hint="cs"/>
          <w:color w:val="0000FF"/>
          <w:sz w:val="24"/>
          <w:szCs w:val="28"/>
          <w:rtl/>
        </w:rPr>
        <w:t xml:space="preserve"> بلانيول وريبير وبيكيه فقرة 156 </w:t>
      </w:r>
      <w:r>
        <w:rPr>
          <w:rFonts w:cs="Traditional Arabic"/>
          <w:color w:val="0000FF"/>
          <w:sz w:val="24"/>
          <w:szCs w:val="28"/>
          <w:rtl/>
        </w:rPr>
        <w:t>–</w:t>
      </w:r>
      <w:r>
        <w:rPr>
          <w:rFonts w:cs="Traditional Arabic" w:hint="cs"/>
          <w:color w:val="0000FF"/>
          <w:sz w:val="24"/>
          <w:szCs w:val="28"/>
          <w:rtl/>
        </w:rPr>
        <w:t xml:space="preserve"> محمد كامل مرسي فقرة 446 </w:t>
      </w:r>
      <w:r>
        <w:rPr>
          <w:rFonts w:cs="Traditional Arabic"/>
          <w:color w:val="0000FF"/>
          <w:sz w:val="24"/>
          <w:szCs w:val="28"/>
          <w:rtl/>
        </w:rPr>
        <w:t>–</w:t>
      </w:r>
      <w:r>
        <w:rPr>
          <w:rFonts w:cs="Traditional Arabic" w:hint="cs"/>
          <w:color w:val="0000FF"/>
          <w:sz w:val="24"/>
          <w:szCs w:val="28"/>
          <w:rtl/>
        </w:rPr>
        <w:t xml:space="preserve"> عبد الفتاح عبد الباقي فقرة 600 </w:t>
      </w:r>
      <w:r>
        <w:rPr>
          <w:rFonts w:cs="Traditional Arabic"/>
          <w:color w:val="0000FF"/>
          <w:sz w:val="24"/>
          <w:szCs w:val="28"/>
          <w:rtl/>
        </w:rPr>
        <w:t>–</w:t>
      </w:r>
      <w:r>
        <w:rPr>
          <w:rFonts w:cs="Traditional Arabic" w:hint="cs"/>
          <w:color w:val="0000FF"/>
          <w:sz w:val="24"/>
          <w:szCs w:val="28"/>
          <w:rtl/>
        </w:rPr>
        <w:t xml:space="preserve"> محمد علي إمام فقرة 353 .</w:t>
      </w:r>
    </w:p>
  </w:footnote>
  <w:footnote w:id="184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471 .</w:t>
      </w:r>
    </w:p>
  </w:footnote>
  <w:footnote w:id="184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10 فبراير سنة 1931 م 43 ص 208 </w:t>
      </w:r>
      <w:r>
        <w:rPr>
          <w:rFonts w:cs="Traditional Arabic"/>
          <w:color w:val="0000FF"/>
          <w:sz w:val="24"/>
          <w:szCs w:val="28"/>
          <w:rtl/>
        </w:rPr>
        <w:t>–</w:t>
      </w:r>
      <w:r>
        <w:rPr>
          <w:rFonts w:cs="Traditional Arabic" w:hint="cs"/>
          <w:color w:val="0000FF"/>
          <w:sz w:val="24"/>
          <w:szCs w:val="28"/>
          <w:rtl/>
        </w:rPr>
        <w:t xml:space="preserve"> 7 فبراير سنة 1945 م 57 ص 75 .</w:t>
      </w:r>
    </w:p>
  </w:footnote>
  <w:footnote w:id="184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الوسيط 6 ص 504 </w:t>
      </w:r>
      <w:r>
        <w:rPr>
          <w:rFonts w:cs="Traditional Arabic"/>
          <w:color w:val="0000FF"/>
          <w:sz w:val="24"/>
          <w:szCs w:val="28"/>
          <w:rtl/>
        </w:rPr>
        <w:t>–</w:t>
      </w:r>
      <w:r>
        <w:rPr>
          <w:rFonts w:cs="Traditional Arabic" w:hint="cs"/>
          <w:color w:val="0000FF"/>
          <w:sz w:val="24"/>
          <w:szCs w:val="28"/>
          <w:rtl/>
        </w:rPr>
        <w:t xml:space="preserve"> 506 .</w:t>
      </w:r>
    </w:p>
  </w:footnote>
  <w:footnote w:id="184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الوسيط 6 ص 504 .</w:t>
      </w:r>
    </w:p>
  </w:footnote>
  <w:footnote w:id="185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مصر الوطنية استئناف 3 مايو سنة 1905 الاستقلال 4 ص 473 .</w:t>
      </w:r>
    </w:p>
  </w:footnote>
  <w:footnote w:id="185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6 يونيه سنة 1889 م 1 ص 168 </w:t>
      </w:r>
      <w:r>
        <w:rPr>
          <w:rFonts w:cs="Traditional Arabic"/>
          <w:color w:val="0000FF"/>
          <w:sz w:val="24"/>
          <w:szCs w:val="28"/>
          <w:rtl/>
        </w:rPr>
        <w:t>–</w:t>
      </w:r>
      <w:r>
        <w:rPr>
          <w:rFonts w:cs="Traditional Arabic" w:hint="cs"/>
          <w:color w:val="0000FF"/>
          <w:sz w:val="24"/>
          <w:szCs w:val="28"/>
          <w:rtl/>
        </w:rPr>
        <w:t xml:space="preserve"> 13 فبراير سنة 1890 م 2 ص 213 </w:t>
      </w:r>
      <w:r>
        <w:rPr>
          <w:rFonts w:cs="Traditional Arabic"/>
          <w:color w:val="0000FF"/>
          <w:sz w:val="24"/>
          <w:szCs w:val="28"/>
          <w:rtl/>
        </w:rPr>
        <w:t>–</w:t>
      </w:r>
      <w:r>
        <w:rPr>
          <w:rFonts w:cs="Traditional Arabic" w:hint="cs"/>
          <w:color w:val="0000FF"/>
          <w:sz w:val="24"/>
          <w:szCs w:val="28"/>
          <w:rtl/>
        </w:rPr>
        <w:t xml:space="preserve"> 3 ديسمبر سنة 1913 م 26 ص 74 .</w:t>
      </w:r>
    </w:p>
  </w:footnote>
  <w:footnote w:id="185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27 ماس سنة 1889 م 1 ص 163 </w:t>
      </w:r>
      <w:r>
        <w:rPr>
          <w:rFonts w:cs="Traditional Arabic"/>
          <w:color w:val="0000FF"/>
          <w:sz w:val="24"/>
          <w:szCs w:val="28"/>
          <w:rtl/>
        </w:rPr>
        <w:t>–</w:t>
      </w:r>
      <w:r>
        <w:rPr>
          <w:rFonts w:cs="Traditional Arabic" w:hint="cs"/>
          <w:color w:val="0000FF"/>
          <w:sz w:val="24"/>
          <w:szCs w:val="28"/>
          <w:rtl/>
        </w:rPr>
        <w:t xml:space="preserve"> 13 فبراير سنة 1890 م 2 ص 213 </w:t>
      </w:r>
      <w:r>
        <w:rPr>
          <w:rFonts w:cs="Traditional Arabic"/>
          <w:color w:val="0000FF"/>
          <w:sz w:val="24"/>
          <w:szCs w:val="28"/>
          <w:rtl/>
        </w:rPr>
        <w:t>–</w:t>
      </w:r>
      <w:r>
        <w:rPr>
          <w:rFonts w:cs="Traditional Arabic" w:hint="cs"/>
          <w:color w:val="0000FF"/>
          <w:sz w:val="24"/>
          <w:szCs w:val="28"/>
          <w:rtl/>
        </w:rPr>
        <w:t xml:space="preserve"> بيدان فقرة 357 هامش 1 بودري ودي لوان فقرة 375 .</w:t>
      </w:r>
    </w:p>
  </w:footnote>
  <w:footnote w:id="185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الوسيط 6 فقرة 359 .</w:t>
      </w:r>
    </w:p>
  </w:footnote>
  <w:footnote w:id="185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الوسيط 6 فقرة 362 </w:t>
      </w:r>
      <w:r>
        <w:rPr>
          <w:rFonts w:cs="Traditional Arabic"/>
          <w:color w:val="0000FF"/>
          <w:sz w:val="24"/>
          <w:szCs w:val="28"/>
          <w:rtl/>
        </w:rPr>
        <w:t>–</w:t>
      </w:r>
      <w:r>
        <w:rPr>
          <w:rFonts w:cs="Traditional Arabic" w:hint="cs"/>
          <w:color w:val="0000FF"/>
          <w:sz w:val="24"/>
          <w:szCs w:val="28"/>
          <w:rtl/>
        </w:rPr>
        <w:t xml:space="preserve"> فقرة 363 .</w:t>
      </w:r>
    </w:p>
  </w:footnote>
  <w:footnote w:id="185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الوسيط 6 فقرة 364 </w:t>
      </w:r>
      <w:r>
        <w:rPr>
          <w:rFonts w:cs="Traditional Arabic"/>
          <w:color w:val="0000FF"/>
          <w:sz w:val="24"/>
          <w:szCs w:val="28"/>
          <w:rtl/>
        </w:rPr>
        <w:t>–</w:t>
      </w:r>
      <w:r>
        <w:rPr>
          <w:rFonts w:cs="Traditional Arabic" w:hint="cs"/>
          <w:color w:val="0000FF"/>
          <w:sz w:val="24"/>
          <w:szCs w:val="28"/>
          <w:rtl/>
        </w:rPr>
        <w:t xml:space="preserve"> فقرة 366 .</w:t>
      </w:r>
    </w:p>
  </w:footnote>
  <w:footnote w:id="185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1586 من المشروع التمهيدي . وأقرته لجنة المراجعة ، بعد تعديلات لفظية طفيفة حتى صار مطابقاً لما استقر عليه في التقنين المدين الجديد ، تحت رقم 1248 في المشروع النهائي . ووافق عليه مجلس النواب تحت رقم 1233 ، ثم مجلس الشيوخ تحت رقم 1143 ( مجموعة الأعمال التحضيرية 7 ص 317 </w:t>
      </w:r>
      <w:r>
        <w:rPr>
          <w:rFonts w:cs="Traditional Arabic"/>
          <w:color w:val="0000FF"/>
          <w:sz w:val="24"/>
          <w:szCs w:val="28"/>
          <w:rtl/>
        </w:rPr>
        <w:t>–</w:t>
      </w:r>
      <w:r>
        <w:rPr>
          <w:rFonts w:cs="Traditional Arabic" w:hint="cs"/>
          <w:color w:val="0000FF"/>
          <w:sz w:val="24"/>
          <w:szCs w:val="28"/>
          <w:rtl/>
        </w:rPr>
        <w:t xml:space="preserve"> ص 319 ) . </w:t>
      </w:r>
    </w:p>
    <w:p w:rsidR="00F72742" w:rsidRDefault="00F72742" w:rsidP="00F72742">
      <w:pPr>
        <w:pStyle w:val="aa"/>
        <w:widowControl w:val="0"/>
        <w:ind w:firstLine="567"/>
        <w:jc w:val="lowKashida"/>
        <w:rPr>
          <w:rFonts w:cs="Traditional Arabic" w:hint="cs"/>
          <w:color w:val="0000FF"/>
          <w:sz w:val="24"/>
          <w:szCs w:val="28"/>
          <w:rtl/>
        </w:rPr>
      </w:pPr>
      <w:r w:rsidRPr="00BF2106">
        <w:rPr>
          <w:rFonts w:cs="Traditional Arabic" w:hint="cs"/>
          <w:color w:val="0000FF"/>
          <w:sz w:val="24"/>
          <w:szCs w:val="28"/>
          <w:u w:val="single"/>
          <w:rtl/>
        </w:rPr>
        <w:t>التقنين المدني السابق</w:t>
      </w:r>
      <w:r>
        <w:rPr>
          <w:rFonts w:cs="Traditional Arabic" w:hint="cs"/>
          <w:color w:val="0000FF"/>
          <w:sz w:val="24"/>
          <w:szCs w:val="28"/>
          <w:rtl/>
        </w:rPr>
        <w:t xml:space="preserve"> م 60 البند الثامن / 727 البند السابع  : المبالغ المستحقة لأصحاب الخانات من السائحين النازلين فيها ، وتدفع من ثمن الأشياء المودعة لهم فيها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1123 : 1- المبالغ المستحقة لصاحب الفندق في ذمة النزيل عن أجرة الإقامة المؤونة وما صرف لحسابه ، لها امتياز على الأمتعة التي أحضرها النزيل في الفندق أو ملحقاته . 2- ويقع الامتياز على الأمتعة ولو كانت غير مملوكة للنزيل إذا لم يثبت أن صاحب الفندق كان يعلم وقت إدخالها عنده بحق الغير عليها ، بشرط ألا تكون هذه الأمتعة مسروقة أو ضائعة . ولصاحب الفندق أن يعارض في نقل الأمتعة من فندقه ، ما دام لم يستوف حقه كاملا . فإذا نقلت الأمتعة رقم معارضته أو دون عمله ، فإن حق الامتياز يبقى قائما عليها دون إخلال بالحقوق التي سكبها الغير بحسن نية . 3- ولامتياز صاحب الفندق نفس المرتبة التي لامتياز المؤجر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 م 1148</w:t>
      </w:r>
      <w:r>
        <w:rPr>
          <w:rFonts w:cs="Traditional Arabic" w:hint="cs"/>
          <w:color w:val="0000FF"/>
          <w:sz w:val="24"/>
          <w:szCs w:val="28"/>
          <w:rtl/>
        </w:rPr>
        <w:t xml:space="preserve"> : 1- المبالغ المستحقة لصاحب الفندق في ذمة النزيل عن أجرة الإقامة المؤونة وما صرف لحسابه ، يكون لها امتياز على الأمتعة التي أحضرها النزيل في الفندق أو ملحقاته . 2- ويقع الامتياز على الأمتعة ولو كانت غير مملوكة للنزيل إذا لم يثبت أن صاحب الفندق كان يعلم وقت إدخالها عنده بحق الغير عليها ، بشرط ألا تكون هذه الأمتعة مسروقة أو ضائعة . ولصاحب الفندق أن يعارض في نقل الأمتعة من فندقه ، ما دام لم يستوف حقه كاملا . فإذا نقلت الأمتعة رقم معارضته أو دون علمه ، فإن حق الامتياز يبقى قائما دون إخلال بالحقوق التي سكبها الغير بحسن نية . 3- ولامتياز صاحب الفندق نفس المرتبة التي لامتياز المؤجر . فإذا تزاحم الحقاق قدم الأسبق في التاريخ ، ما لم يكن غير نفاذ بالنسبة إلى الآخر .</w:t>
      </w:r>
    </w:p>
    <w:p w:rsidR="00F72742" w:rsidRPr="007405B9"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 xml:space="preserve">التقنين العراقي </w:t>
      </w:r>
      <w:r w:rsidRPr="007405B9">
        <w:rPr>
          <w:rFonts w:cs="Traditional Arabic" w:hint="cs"/>
          <w:color w:val="0000FF"/>
          <w:sz w:val="24"/>
          <w:szCs w:val="28"/>
          <w:rtl/>
        </w:rPr>
        <w:t>م</w:t>
      </w:r>
      <w:r>
        <w:rPr>
          <w:rFonts w:cs="Traditional Arabic" w:hint="cs"/>
          <w:color w:val="0000FF"/>
          <w:sz w:val="24"/>
          <w:szCs w:val="28"/>
          <w:rtl/>
        </w:rPr>
        <w:t xml:space="preserve"> 1385 :  : 1- المبالغ المستحقة لصاحب الفندق في ذمة النزيل عن أجرة الإقامة المؤونة وما صرف لحسابه ، لها امتياز على الأمتعة التي أحضرها النزيل في الفندق أو ملحقاته . 2- ويقع الامتياز حتى على الأمتعة غير المملوكة للنزيل ، إذا لم يثبت أن صاحب الفندق كان يعلم وقت إدخالها عنده بحق الغير عليها ، بشرط ألا تكون هذه الأمتعة مستحصلة عن جريمة أو ضائعة . 3- وإذا نقلت الأموال المثقلة بحق الامتياز من الفندق على الرغم من معارضة صاحبه أو دون علمه ، بقي حق الامتياز قائما على الموال التي نقلت دون أن يضر ذلك بالحق الذي يكسبه الغير حسن النية على هذه الأموال . 4- وامتياز هذه الديون له نفس المرتبة التي لامتياز الديون المستحقة للمؤجر ، فإذا تزاحم الامتيازان قدم الأسبق في التاريخ ، ما لم يكن غير نافذ بالنسبة إلى الآخر بسبب الحيازة المقترنة بحسن النية .</w:t>
      </w:r>
    </w:p>
  </w:footnote>
  <w:footnote w:id="185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318 </w:t>
      </w:r>
      <w:r>
        <w:rPr>
          <w:rFonts w:cs="Traditional Arabic"/>
          <w:color w:val="0000FF"/>
          <w:sz w:val="24"/>
          <w:szCs w:val="28"/>
          <w:rtl/>
        </w:rPr>
        <w:t>–</w:t>
      </w:r>
      <w:r>
        <w:rPr>
          <w:rFonts w:cs="Traditional Arabic" w:hint="cs"/>
          <w:color w:val="0000FF"/>
          <w:sz w:val="24"/>
          <w:szCs w:val="28"/>
          <w:rtl/>
        </w:rPr>
        <w:t xml:space="preserve"> ص 319 .</w:t>
      </w:r>
    </w:p>
  </w:footnote>
  <w:footnote w:id="185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424 </w:t>
      </w:r>
      <w:r>
        <w:rPr>
          <w:rFonts w:cs="Traditional Arabic"/>
          <w:color w:val="0000FF"/>
          <w:sz w:val="24"/>
          <w:szCs w:val="28"/>
          <w:rtl/>
        </w:rPr>
        <w:t>–</w:t>
      </w:r>
      <w:r>
        <w:rPr>
          <w:rFonts w:cs="Traditional Arabic" w:hint="cs"/>
          <w:color w:val="0000FF"/>
          <w:sz w:val="24"/>
          <w:szCs w:val="28"/>
          <w:rtl/>
        </w:rPr>
        <w:t xml:space="preserve"> أوبري ورو 3 فقرة 261 هامش 76 ثالثاً </w:t>
      </w:r>
      <w:r>
        <w:rPr>
          <w:rFonts w:cs="Traditional Arabic"/>
          <w:color w:val="0000FF"/>
          <w:sz w:val="24"/>
          <w:szCs w:val="28"/>
          <w:rtl/>
        </w:rPr>
        <w:t>–</w:t>
      </w:r>
      <w:r>
        <w:rPr>
          <w:rFonts w:cs="Traditional Arabic" w:hint="cs"/>
          <w:color w:val="0000FF"/>
          <w:sz w:val="24"/>
          <w:szCs w:val="28"/>
          <w:rtl/>
        </w:rPr>
        <w:t xml:space="preserve"> بودري ودي لوان فقرة 542 </w:t>
      </w:r>
      <w:r>
        <w:rPr>
          <w:rFonts w:cs="Traditional Arabic"/>
          <w:color w:val="0000FF"/>
          <w:sz w:val="24"/>
          <w:szCs w:val="28"/>
          <w:rtl/>
        </w:rPr>
        <w:t>–</w:t>
      </w:r>
      <w:r>
        <w:rPr>
          <w:rFonts w:cs="Traditional Arabic" w:hint="cs"/>
          <w:color w:val="0000FF"/>
          <w:sz w:val="24"/>
          <w:szCs w:val="28"/>
          <w:rtl/>
        </w:rPr>
        <w:t xml:space="preserve"> بلانيول وريبير وبيكيه فقرة 177 </w:t>
      </w:r>
      <w:r>
        <w:rPr>
          <w:rFonts w:cs="Traditional Arabic"/>
          <w:color w:val="0000FF"/>
          <w:sz w:val="24"/>
          <w:szCs w:val="28"/>
          <w:rtl/>
        </w:rPr>
        <w:t>–</w:t>
      </w:r>
      <w:r>
        <w:rPr>
          <w:rFonts w:cs="Traditional Arabic" w:hint="cs"/>
          <w:color w:val="0000FF"/>
          <w:sz w:val="24"/>
          <w:szCs w:val="28"/>
          <w:rtl/>
        </w:rPr>
        <w:t xml:space="preserve"> جرانمولان فقرة 711 .</w:t>
      </w:r>
    </w:p>
  </w:footnote>
  <w:footnote w:id="185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هيك 13 فقرة 105 </w:t>
      </w:r>
      <w:r>
        <w:rPr>
          <w:rFonts w:cs="Traditional Arabic"/>
          <w:color w:val="0000FF"/>
          <w:sz w:val="24"/>
          <w:szCs w:val="28"/>
          <w:rtl/>
        </w:rPr>
        <w:t>–</w:t>
      </w:r>
      <w:r>
        <w:rPr>
          <w:rFonts w:cs="Traditional Arabic" w:hint="cs"/>
          <w:color w:val="0000FF"/>
          <w:sz w:val="24"/>
          <w:szCs w:val="28"/>
          <w:rtl/>
        </w:rPr>
        <w:t xml:space="preserve"> لوران 29 فقرة 506 أوبري ورو 3 فقرة 261 هامش 76 ثالثاً </w:t>
      </w:r>
      <w:r>
        <w:rPr>
          <w:rFonts w:cs="Traditional Arabic"/>
          <w:color w:val="0000FF"/>
          <w:sz w:val="24"/>
          <w:szCs w:val="28"/>
          <w:rtl/>
        </w:rPr>
        <w:t>–</w:t>
      </w:r>
      <w:r>
        <w:rPr>
          <w:rFonts w:cs="Traditional Arabic" w:hint="cs"/>
          <w:color w:val="0000FF"/>
          <w:sz w:val="24"/>
          <w:szCs w:val="28"/>
          <w:rtl/>
        </w:rPr>
        <w:t xml:space="preserve"> كولان وكابيتان 2 فقرة 1113 </w:t>
      </w:r>
      <w:r>
        <w:rPr>
          <w:rFonts w:cs="Traditional Arabic"/>
          <w:color w:val="0000FF"/>
          <w:sz w:val="24"/>
          <w:szCs w:val="28"/>
          <w:rtl/>
        </w:rPr>
        <w:t>–</w:t>
      </w:r>
      <w:r>
        <w:rPr>
          <w:rFonts w:cs="Traditional Arabic" w:hint="cs"/>
          <w:color w:val="0000FF"/>
          <w:sz w:val="24"/>
          <w:szCs w:val="28"/>
          <w:rtl/>
        </w:rPr>
        <w:t xml:space="preserve"> بودري ودي لوان فقرة 543 .</w:t>
      </w:r>
    </w:p>
  </w:footnote>
  <w:footnote w:id="186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دي هلتس فقرة 143 .</w:t>
      </w:r>
    </w:p>
  </w:footnote>
  <w:footnote w:id="186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جيوار فقرة 426 </w:t>
      </w:r>
      <w:r>
        <w:rPr>
          <w:rFonts w:cs="Traditional Arabic"/>
          <w:color w:val="0000FF"/>
          <w:sz w:val="24"/>
          <w:szCs w:val="28"/>
          <w:rtl/>
        </w:rPr>
        <w:t>–</w:t>
      </w:r>
      <w:r>
        <w:rPr>
          <w:rFonts w:cs="Traditional Arabic" w:hint="cs"/>
          <w:color w:val="0000FF"/>
          <w:sz w:val="24"/>
          <w:szCs w:val="28"/>
          <w:rtl/>
        </w:rPr>
        <w:t xml:space="preserve"> بلانيول وريبير وبيكيه فقرة 167 .</w:t>
      </w:r>
    </w:p>
  </w:footnote>
  <w:footnote w:id="186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مذكرة المشروع التمهيدي فقرة 715 .</w:t>
      </w:r>
    </w:p>
  </w:footnote>
  <w:footnote w:id="186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مذكرة المشروع التمهيدي فقرة 715 .</w:t>
      </w:r>
    </w:p>
  </w:footnote>
  <w:footnote w:id="186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أوبري ورو 3 فقرة 261 هامش 79 </w:t>
      </w:r>
      <w:r>
        <w:rPr>
          <w:rFonts w:cs="Traditional Arabic"/>
          <w:color w:val="0000FF"/>
          <w:sz w:val="24"/>
          <w:szCs w:val="28"/>
          <w:rtl/>
        </w:rPr>
        <w:t>–</w:t>
      </w:r>
      <w:r>
        <w:rPr>
          <w:rFonts w:cs="Traditional Arabic" w:hint="cs"/>
          <w:color w:val="0000FF"/>
          <w:sz w:val="24"/>
          <w:szCs w:val="28"/>
          <w:rtl/>
        </w:rPr>
        <w:t xml:space="preserve"> بودري ودي لوان فقرة 548 </w:t>
      </w:r>
      <w:r>
        <w:rPr>
          <w:rFonts w:cs="Traditional Arabic"/>
          <w:color w:val="0000FF"/>
          <w:sz w:val="24"/>
          <w:szCs w:val="28"/>
          <w:rtl/>
        </w:rPr>
        <w:t>–</w:t>
      </w:r>
      <w:r>
        <w:rPr>
          <w:rFonts w:cs="Traditional Arabic" w:hint="cs"/>
          <w:color w:val="0000FF"/>
          <w:sz w:val="24"/>
          <w:szCs w:val="28"/>
          <w:rtl/>
        </w:rPr>
        <w:t xml:space="preserve"> بلانيول وريبير وبيكيه فقرة 168 .</w:t>
      </w:r>
    </w:p>
  </w:footnote>
  <w:footnote w:id="186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محمد كامل مرسي فقرة 466 ص 611 .</w:t>
      </w:r>
    </w:p>
  </w:footnote>
  <w:footnote w:id="186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546 </w:t>
      </w:r>
      <w:r>
        <w:rPr>
          <w:rFonts w:cs="Traditional Arabic"/>
          <w:color w:val="0000FF"/>
          <w:sz w:val="24"/>
          <w:szCs w:val="28"/>
          <w:rtl/>
        </w:rPr>
        <w:t>–</w:t>
      </w:r>
      <w:r>
        <w:rPr>
          <w:rFonts w:cs="Traditional Arabic" w:hint="cs"/>
          <w:color w:val="0000FF"/>
          <w:sz w:val="24"/>
          <w:szCs w:val="28"/>
          <w:rtl/>
        </w:rPr>
        <w:t xml:space="preserve"> كولان وكابيتان 2 فقرة 1115 </w:t>
      </w:r>
      <w:r>
        <w:rPr>
          <w:rFonts w:cs="Traditional Arabic"/>
          <w:color w:val="0000FF"/>
          <w:sz w:val="24"/>
          <w:szCs w:val="28"/>
          <w:rtl/>
        </w:rPr>
        <w:t>–</w:t>
      </w:r>
      <w:r>
        <w:rPr>
          <w:rFonts w:cs="Traditional Arabic" w:hint="cs"/>
          <w:color w:val="0000FF"/>
          <w:sz w:val="24"/>
          <w:szCs w:val="28"/>
          <w:rtl/>
        </w:rPr>
        <w:t xml:space="preserve"> بلانيول وريبير وبيكيه فقرة 169 .</w:t>
      </w:r>
    </w:p>
  </w:footnote>
  <w:footnote w:id="186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547 .</w:t>
      </w:r>
    </w:p>
  </w:footnote>
  <w:footnote w:id="186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548 </w:t>
      </w:r>
      <w:r>
        <w:rPr>
          <w:rFonts w:cs="Traditional Arabic"/>
          <w:color w:val="0000FF"/>
          <w:sz w:val="24"/>
          <w:szCs w:val="28"/>
          <w:rtl/>
        </w:rPr>
        <w:t>–</w:t>
      </w:r>
      <w:r>
        <w:rPr>
          <w:rFonts w:cs="Traditional Arabic" w:hint="cs"/>
          <w:color w:val="0000FF"/>
          <w:sz w:val="24"/>
          <w:szCs w:val="28"/>
          <w:rtl/>
        </w:rPr>
        <w:t xml:space="preserve"> أوبري ورو 3 فقرة 261 ص 272,</w:t>
      </w:r>
    </w:p>
  </w:footnote>
  <w:footnote w:id="186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546 .</w:t>
      </w:r>
    </w:p>
  </w:footnote>
  <w:footnote w:id="187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169 .</w:t>
      </w:r>
    </w:p>
  </w:footnote>
  <w:footnote w:id="187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549 .</w:t>
      </w:r>
    </w:p>
  </w:footnote>
  <w:footnote w:id="187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549 .</w:t>
      </w:r>
    </w:p>
  </w:footnote>
  <w:footnote w:id="187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ذلك آنفاً فقرة 715 .</w:t>
      </w:r>
    </w:p>
  </w:footnote>
  <w:footnote w:id="187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1587 من المشروع التمهيدي . وعدلته لجنة المراجعة تعديلا لفظياً فأصبح مطابقاً لما استقر عليه في التقنين المدني الجديد ، ثم وافقت عليه تحت رقم 1249 في المشروع النهائي . ووافق عليه مجلس النواب تحت رقم 1234 ، ثم مجلس الشيوخ تحت رقم 1145 ( مجموعة الأعمال التحضيرية 7 ص 320 </w:t>
      </w:r>
      <w:r>
        <w:rPr>
          <w:rFonts w:cs="Traditional Arabic"/>
          <w:color w:val="0000FF"/>
          <w:sz w:val="24"/>
          <w:szCs w:val="28"/>
          <w:rtl/>
        </w:rPr>
        <w:t>–</w:t>
      </w:r>
      <w:r>
        <w:rPr>
          <w:rFonts w:cs="Traditional Arabic" w:hint="cs"/>
          <w:color w:val="0000FF"/>
          <w:sz w:val="24"/>
          <w:szCs w:val="28"/>
          <w:rtl/>
        </w:rPr>
        <w:t xml:space="preserve"> 322 )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م 601 البند السابع / 727 البند السادس : ثمن المبيع المستحق للبائع أو المبلغ المدفوع من غر المشتري بعقد ذي تاريخ ثابت بوجه رسمي المخصص لأداء الثمن المذكور تخصيصاً صريحاص ، ويكون امتياز هذا على الشيء المبيع ما دام في ملك المشتري إذا كان منقولا ، مع عدم الإخلال بالأصول المتعلقة بالمواد التجارية . فإذا كان المبيع عقاراً ، كان ثمنه ممتازاً أيضاً إذا كان تسجيل البيع حصل على الوجه الصحيح . ولا يجري مقتضى هذا الامتياز إلا على حسب الدرجة التي تترتب له بناء على تاريخ التسجيل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Pr>
          <w:rFonts w:cs="Traditional Arabic" w:hint="cs"/>
          <w:color w:val="0000FF"/>
          <w:sz w:val="24"/>
          <w:szCs w:val="28"/>
          <w:rtl/>
        </w:rPr>
        <w:t xml:space="preserve"> م 1124 : 1- ما يستحق لبائع المنقول من الثمن وملحقاته ، يكون له امتياز على الشيء المبيع ، ويبقى الامتياز قائماً ما دام المبيع محتفظاً بذاتيته ، وهذا دون إخلال بالحقوق التي كسبها الغير بحسن نية ، مع مراعاة الأحكام الخاصة بالمواد التجارية . 2- ويكون هذا الامتياز تالياً في المرتبة لما تقدم ذكره من حقوق الامتياز الواقعة على منقول ، إلا أنه يسري في حق المؤجر وصاحب الفندق إذا ثبت أنهما كانا يعلمان به وقت وضع المبيع في العين المؤجرة أو الفندق .</w:t>
      </w:r>
    </w:p>
    <w:p w:rsidR="00F72742" w:rsidRDefault="00F72742" w:rsidP="00F72742">
      <w:pPr>
        <w:pStyle w:val="aa"/>
        <w:widowControl w:val="0"/>
        <w:ind w:firstLine="567"/>
        <w:jc w:val="lowKashida"/>
        <w:rPr>
          <w:rFonts w:cs="Traditional Arabic" w:hint="cs"/>
          <w:color w:val="0000FF"/>
          <w:sz w:val="24"/>
          <w:szCs w:val="28"/>
          <w:rtl/>
        </w:rPr>
      </w:pPr>
      <w:r w:rsidRPr="00EF538E">
        <w:rPr>
          <w:rFonts w:cs="Traditional Arabic" w:hint="cs"/>
          <w:color w:val="0000FF"/>
          <w:sz w:val="24"/>
          <w:szCs w:val="28"/>
          <w:u w:val="single"/>
          <w:rtl/>
        </w:rPr>
        <w:t>التقنين الليبي</w:t>
      </w:r>
      <w:r>
        <w:rPr>
          <w:rFonts w:cs="Traditional Arabic" w:hint="cs"/>
          <w:color w:val="0000FF"/>
          <w:sz w:val="24"/>
          <w:szCs w:val="28"/>
          <w:rtl/>
        </w:rPr>
        <w:t xml:space="preserve"> م 1149 : 1- ما يستحق لبائع من الثمن وملحقاته ، يكون له امتياز على الشيء المبيع ، ويبقى الامتياز قائماً ما دام المبيع محتفظاً بذاتيته ، وهذا دون إخلال بالحقوق التي كسبها الغير بحسن نية ، مع مراعاة الأحكام الخاصة بالمواد التجارية . 2- ويكون هذا الامتياز تالياً في المرتبة لما تقدم ذكره من حقوق الامتياز الواقعة على منقول ، إلا أنه يسري في حق المؤجر وصاحب الفندق إذا ثبت أنهما كانا يعلمان به وقت وضع المبيع في العين المؤجرة أو الفندق .</w:t>
      </w:r>
    </w:p>
    <w:p w:rsidR="00F72742" w:rsidRPr="00DC5D3A" w:rsidRDefault="00F72742" w:rsidP="00F72742">
      <w:pPr>
        <w:pStyle w:val="aa"/>
        <w:widowControl w:val="0"/>
        <w:ind w:firstLine="567"/>
        <w:jc w:val="lowKashida"/>
        <w:rPr>
          <w:rFonts w:cs="Traditional Arabic" w:hint="cs"/>
          <w:color w:val="0000FF"/>
          <w:sz w:val="24"/>
          <w:szCs w:val="28"/>
          <w:rtl/>
        </w:rPr>
      </w:pPr>
      <w:r w:rsidRPr="00EF538E">
        <w:rPr>
          <w:rFonts w:cs="Traditional Arabic" w:hint="cs"/>
          <w:color w:val="0000FF"/>
          <w:sz w:val="24"/>
          <w:szCs w:val="28"/>
          <w:u w:val="single"/>
          <w:rtl/>
        </w:rPr>
        <w:t>التقنين العراقي</w:t>
      </w:r>
      <w:r>
        <w:rPr>
          <w:rFonts w:cs="Traditional Arabic" w:hint="cs"/>
          <w:color w:val="0000FF"/>
          <w:sz w:val="24"/>
          <w:szCs w:val="28"/>
          <w:rtl/>
        </w:rPr>
        <w:t xml:space="preserve"> م 1376 : 1- ما يستحق لبائع المنقول من الثمن وملحقاته ، يكون له حق امتياز على المبيع ، ويبقى الامتياز قائماً ما دام المبيع محتفظاً بذاتيته ، وهذا دون إخلال بالحقوق التي كسبها الغير حسن النية ، مع مراعاة الأحكام الخاصة بالقضايا التجارية . 2- ويكون حق الامتياز هذا تالياً في المرتبة لما تقدم ذكره من حقوق الامتياز  ، إلا أنه يسري في حق المؤجر وصاحب الفندق إذا ثبت أنهما كانا يعلمان به وقت وضع المبيع في العين المؤجرة أو الفندق .</w:t>
      </w:r>
    </w:p>
  </w:footnote>
  <w:footnote w:id="187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321 </w:t>
      </w:r>
      <w:r>
        <w:rPr>
          <w:rFonts w:cs="Traditional Arabic"/>
          <w:color w:val="0000FF"/>
          <w:sz w:val="24"/>
          <w:szCs w:val="28"/>
          <w:rtl/>
        </w:rPr>
        <w:t>–</w:t>
      </w:r>
      <w:r>
        <w:rPr>
          <w:rFonts w:cs="Traditional Arabic" w:hint="cs"/>
          <w:color w:val="0000FF"/>
          <w:sz w:val="24"/>
          <w:szCs w:val="28"/>
          <w:rtl/>
        </w:rPr>
        <w:t xml:space="preserve"> ص 322 .</w:t>
      </w:r>
    </w:p>
  </w:footnote>
  <w:footnote w:id="187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513 </w:t>
      </w:r>
      <w:r>
        <w:rPr>
          <w:rFonts w:cs="Traditional Arabic"/>
          <w:color w:val="0000FF"/>
          <w:sz w:val="24"/>
          <w:szCs w:val="28"/>
          <w:rtl/>
        </w:rPr>
        <w:t>–</w:t>
      </w:r>
      <w:r>
        <w:rPr>
          <w:rFonts w:cs="Traditional Arabic" w:hint="cs"/>
          <w:color w:val="0000FF"/>
          <w:sz w:val="24"/>
          <w:szCs w:val="28"/>
          <w:rtl/>
        </w:rPr>
        <w:t xml:space="preserve"> بلانيول وريبير وبيكيه فقرة 189 . </w:t>
      </w:r>
    </w:p>
  </w:footnote>
  <w:footnote w:id="187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26 نوفمبر سنة 19113 م 26 ص 51 .</w:t>
      </w:r>
    </w:p>
  </w:footnote>
  <w:footnote w:id="187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512 </w:t>
      </w:r>
      <w:r>
        <w:rPr>
          <w:rFonts w:cs="Traditional Arabic"/>
          <w:color w:val="0000FF"/>
          <w:sz w:val="24"/>
          <w:szCs w:val="28"/>
          <w:rtl/>
        </w:rPr>
        <w:t>–</w:t>
      </w:r>
      <w:r>
        <w:rPr>
          <w:rFonts w:cs="Traditional Arabic" w:hint="cs"/>
          <w:color w:val="0000FF"/>
          <w:sz w:val="24"/>
          <w:szCs w:val="28"/>
          <w:rtl/>
        </w:rPr>
        <w:t xml:space="preserve"> الإسكندرية مستعجل 14 مارس سنة 1940 المحاماة 20 رقم 513 ص 1229 .</w:t>
      </w:r>
    </w:p>
  </w:footnote>
  <w:footnote w:id="187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512 </w:t>
      </w:r>
      <w:r>
        <w:rPr>
          <w:rFonts w:cs="Traditional Arabic"/>
          <w:color w:val="0000FF"/>
          <w:sz w:val="24"/>
          <w:szCs w:val="28"/>
          <w:rtl/>
        </w:rPr>
        <w:t>–</w:t>
      </w:r>
      <w:r>
        <w:rPr>
          <w:rFonts w:cs="Traditional Arabic" w:hint="cs"/>
          <w:color w:val="0000FF"/>
          <w:sz w:val="24"/>
          <w:szCs w:val="28"/>
          <w:rtl/>
        </w:rPr>
        <w:t xml:space="preserve"> استئناف مختلط 26 نوفمبر سنة 1913 م 26 ص 51 .</w:t>
      </w:r>
    </w:p>
  </w:footnote>
  <w:footnote w:id="188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511 .</w:t>
      </w:r>
    </w:p>
  </w:footnote>
  <w:footnote w:id="188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في هذا الامتياز بصفة عامة : استئناف مختلط 31 أكتوبر سنة 1922 م 36 ص 356 </w:t>
      </w:r>
      <w:r>
        <w:rPr>
          <w:rFonts w:cs="Traditional Arabic"/>
          <w:color w:val="0000FF"/>
          <w:sz w:val="24"/>
          <w:szCs w:val="28"/>
          <w:rtl/>
        </w:rPr>
        <w:t>–</w:t>
      </w:r>
      <w:r>
        <w:rPr>
          <w:rFonts w:cs="Traditional Arabic" w:hint="cs"/>
          <w:color w:val="0000FF"/>
          <w:sz w:val="24"/>
          <w:szCs w:val="28"/>
          <w:rtl/>
        </w:rPr>
        <w:t xml:space="preserve"> 10 يونيه سنة 1924 م 36 ص 426 . </w:t>
      </w:r>
    </w:p>
  </w:footnote>
  <w:footnote w:id="188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1588 من المروع التمهيدي . وعدلته لجنة المراجعة تعديلا لفظياً طفيفاً فصار مطابقاً لما استقر عليه  في التقنين المدني الجديد ، ثم وافقت عليه تحت رقم 1250 في المروع النهائي . ووافق عليه مجلس النواب تحت رقم 1235 ، ثم مجلس الشيوخ تحت رقم 1146 ( مجموعة الأعمال التحضيرية 7 ص 323 </w:t>
      </w:r>
      <w:r>
        <w:rPr>
          <w:rFonts w:cs="Traditional Arabic"/>
          <w:color w:val="0000FF"/>
          <w:sz w:val="24"/>
          <w:szCs w:val="28"/>
          <w:rtl/>
        </w:rPr>
        <w:t>–</w:t>
      </w:r>
      <w:r>
        <w:rPr>
          <w:rFonts w:cs="Traditional Arabic" w:hint="cs"/>
          <w:color w:val="0000FF"/>
          <w:sz w:val="24"/>
          <w:szCs w:val="28"/>
          <w:rtl/>
        </w:rPr>
        <w:t xml:space="preserve"> ص 324 )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لا مقابل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التقنيني السوري </w:t>
      </w:r>
      <w:r>
        <w:rPr>
          <w:rFonts w:cs="Traditional Arabic" w:hint="cs"/>
          <w:color w:val="0000FF"/>
          <w:sz w:val="24"/>
          <w:szCs w:val="28"/>
          <w:rtl/>
        </w:rPr>
        <w:t>م 1125 : 1- الشركاء الذين اقتسموا منقولا حق امتياز عليه ، تأمينا لحق كل منهم في الرجوع على الآخرين بسبب القسمة ، وما تقرر هم فيها من معدل . 2- وتكون لامتياز المتقاسم نفس المرتبة التي لامتياز البائع ، فإذا تزاحم الحقان قدم الأسبق في التاريخ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التقنيني الليبي </w:t>
      </w:r>
      <w:r>
        <w:rPr>
          <w:rFonts w:cs="Traditional Arabic" w:hint="cs"/>
          <w:color w:val="0000FF"/>
          <w:sz w:val="24"/>
          <w:szCs w:val="28"/>
          <w:rtl/>
        </w:rPr>
        <w:t>م 1150 : 1- الشركاء الذين اقتسموا منقولا حق امتياز عليه ، تأمينا لحق كل منهم في الرجوع على الآخرين بسبب القسمة ، وفي استيفاء ما تقرر لهم فيها من معدل . 2- وتكون لامتياز المتقاسم نفس المرتبة التي لامتياز البائع ، فإذا تزاحم الحقان قدم الأسبق في التاريخ .</w:t>
      </w:r>
    </w:p>
    <w:p w:rsidR="00F72742" w:rsidRPr="00E2746B"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 العراقي م 1377</w:t>
      </w:r>
      <w:r>
        <w:rPr>
          <w:rFonts w:cs="Traditional Arabic" w:hint="cs"/>
          <w:color w:val="0000FF"/>
          <w:sz w:val="24"/>
          <w:szCs w:val="28"/>
          <w:rtl/>
        </w:rPr>
        <w:t xml:space="preserve"> :</w:t>
      </w:r>
      <w:r w:rsidRPr="00E2746B">
        <w:rPr>
          <w:rFonts w:cs="Traditional Arabic" w:hint="cs"/>
          <w:color w:val="0000FF"/>
          <w:sz w:val="24"/>
          <w:szCs w:val="28"/>
          <w:rtl/>
        </w:rPr>
        <w:t xml:space="preserve"> 1</w:t>
      </w:r>
      <w:r>
        <w:rPr>
          <w:rFonts w:cs="Traditional Arabic" w:hint="cs"/>
          <w:color w:val="0000FF"/>
          <w:sz w:val="24"/>
          <w:szCs w:val="28"/>
          <w:rtl/>
        </w:rPr>
        <w:t>- إذا اقتسم الشركاء منقولا شائعا بينهم ، فحق كل منهم في الرجوع على الآخرين بسبب القسمة وفي استيفاء ما تقرر له من معدل يكون مضمونا بحق امتياز على جميع الحصص المفرزة التي وقعت في نصيب باقي الشركاء . 2- ولحق الامتياز نفس المرتبة التي لامتياز الديون المستحقة للبائع فإذا  تزاحم الامتيازان قدم الأسبق في التاريخ .</w:t>
      </w:r>
    </w:p>
  </w:footnote>
  <w:footnote w:id="188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323 .</w:t>
      </w:r>
    </w:p>
  </w:footnote>
  <w:footnote w:id="1884">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انظر استئناف مختلط 10 أبريل سنة 1913 م 25 ص 308 </w:t>
      </w:r>
      <w:r>
        <w:rPr>
          <w:rFonts w:cs="Traditional Arabic"/>
          <w:color w:val="0000FF"/>
          <w:sz w:val="24"/>
          <w:szCs w:val="28"/>
          <w:rtl/>
        </w:rPr>
        <w:t>–</w:t>
      </w:r>
      <w:r>
        <w:rPr>
          <w:rFonts w:cs="Traditional Arabic" w:hint="cs"/>
          <w:color w:val="0000FF"/>
          <w:sz w:val="24"/>
          <w:szCs w:val="28"/>
          <w:rtl/>
        </w:rPr>
        <w:t xml:space="preserve"> 15 أبريل سنة 1914 م 26 ص 328 .</w:t>
      </w:r>
    </w:p>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وقد قضت محكمة النقض بأنه لما كان الحكم إذا نفي وجود حق امتياز للطاعن لم يشهر حق امتيازه بالقيد اكتفاء بتسجيل حكم مرسي المزاد ، فإن هذا الذي قرره الحكم لا مخالفة فيه للقانون ( نقض مدني 12 فبراير سنة 1953 مجموعة ال 25 عاما 1 ص 395 رقم 24 ) .</w:t>
      </w:r>
    </w:p>
  </w:footnote>
  <w:footnote w:id="1885">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1589 من المشروع التمهيدي ( وأضافت لجنة المراجعة فقرة ثالثة لقيد حقوق الامتياز على العقار المبيع  وقت العمل بالقانون ، ثم وافقته اللجنة على النص تحت رقم 1151 في المشروع النهائي . ووافق عليه مجلس النواب تحت رقم 1236 ، ثم مجلس الشيوخ ، بعد حذف الفقرة الزائدة لورود حكمها في قانون الشهر العقاري تحت رقم 1147 ( مجموعة الأعمال التحضيرية 7 ص 325 </w:t>
      </w:r>
      <w:r>
        <w:rPr>
          <w:rFonts w:cs="Traditional Arabic"/>
          <w:color w:val="0000FF"/>
          <w:sz w:val="24"/>
          <w:szCs w:val="28"/>
          <w:rtl/>
        </w:rPr>
        <w:t>–</w:t>
      </w:r>
      <w:r>
        <w:rPr>
          <w:rFonts w:cs="Traditional Arabic" w:hint="cs"/>
          <w:color w:val="0000FF"/>
          <w:sz w:val="24"/>
          <w:szCs w:val="28"/>
          <w:rtl/>
        </w:rPr>
        <w:t xml:space="preserve"> 327 )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 xml:space="preserve">التقنين المدني السابق : </w:t>
      </w:r>
      <w:r>
        <w:rPr>
          <w:rFonts w:cs="Traditional Arabic" w:hint="cs"/>
          <w:color w:val="0000FF"/>
          <w:sz w:val="24"/>
          <w:szCs w:val="28"/>
          <w:rtl/>
        </w:rPr>
        <w:t xml:space="preserve"> م 601 البند السابع / 727 البند السادس : ثمن المبيع المستحق للبائع أو المبلغ المدفوع من غير المشتري بعقد ذي تاريخ ثابت بوجه رسمي المخصص لأداء الثمن المذكور تخصيصا صريحا ، ويكون امتياز هذا وهذا على الشيء المبيع ما دام في ملك المشتري إذا كان منقولا ، مع عدم الإخلال بالأصول المتعلقة بالمواد التجارية . فإذا كان المبيع عقاراً ، كان ثمنه ممتازا أيضاً إذا كان تسجل البيع حصل على الوجه الصحيح . ولا يجر متقضى هذا الامتياز إلا على حسب الدرجة التي تترتب له بناء على تاريخ التسجيل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w:t>
      </w:r>
      <w:r w:rsidRPr="00117D12">
        <w:rPr>
          <w:rFonts w:cs="Traditional Arabic" w:hint="cs"/>
          <w:color w:val="0000FF"/>
          <w:sz w:val="24"/>
          <w:szCs w:val="28"/>
          <w:rtl/>
        </w:rPr>
        <w:t xml:space="preserve"> م </w:t>
      </w:r>
      <w:r>
        <w:rPr>
          <w:rFonts w:cs="Traditional Arabic" w:hint="cs"/>
          <w:color w:val="0000FF"/>
          <w:sz w:val="24"/>
          <w:szCs w:val="28"/>
          <w:rtl/>
        </w:rPr>
        <w:t>1126 : 1- ما يستحق لبائع العقار من الثمن وملحقاته ، يكون له امتياز على العقار المبيع . 2- ويجب أن قيد الامتياز ، وتكون له رتبته من وقت القيد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الليبي</w:t>
      </w:r>
      <w:r>
        <w:rPr>
          <w:rFonts w:cs="Traditional Arabic" w:hint="cs"/>
          <w:color w:val="0000FF"/>
          <w:sz w:val="24"/>
          <w:szCs w:val="28"/>
          <w:rtl/>
        </w:rPr>
        <w:t xml:space="preserve"> :</w:t>
      </w:r>
      <w:r w:rsidRPr="00637B4F">
        <w:rPr>
          <w:rFonts w:cs="Traditional Arabic" w:hint="cs"/>
          <w:color w:val="0000FF"/>
          <w:sz w:val="24"/>
          <w:szCs w:val="28"/>
          <w:rtl/>
        </w:rPr>
        <w:t xml:space="preserve"> لا ش</w:t>
      </w:r>
      <w:r>
        <w:rPr>
          <w:rFonts w:cs="Traditional Arabic" w:hint="cs"/>
          <w:color w:val="0000FF"/>
          <w:sz w:val="24"/>
          <w:szCs w:val="28"/>
          <w:rtl/>
        </w:rPr>
        <w:t>يء .</w:t>
      </w:r>
    </w:p>
    <w:p w:rsidR="00F72742" w:rsidRPr="00637B4F" w:rsidRDefault="00F72742" w:rsidP="00F72742">
      <w:pPr>
        <w:pStyle w:val="aa"/>
        <w:widowControl w:val="0"/>
        <w:ind w:firstLine="567"/>
        <w:jc w:val="lowKashida"/>
        <w:rPr>
          <w:rFonts w:hint="cs"/>
          <w:u w:val="single"/>
          <w:rtl/>
        </w:rPr>
      </w:pPr>
      <w:r>
        <w:rPr>
          <w:rFonts w:cs="Traditional Arabic" w:hint="cs"/>
          <w:color w:val="0000FF"/>
          <w:sz w:val="24"/>
          <w:szCs w:val="28"/>
          <w:u w:val="single"/>
          <w:rtl/>
        </w:rPr>
        <w:t>التقنين العراقي</w:t>
      </w:r>
      <w:r w:rsidRPr="00637B4F">
        <w:rPr>
          <w:rFonts w:cs="Traditional Arabic" w:hint="cs"/>
          <w:color w:val="0000FF"/>
          <w:sz w:val="24"/>
          <w:szCs w:val="28"/>
          <w:rtl/>
        </w:rPr>
        <w:t xml:space="preserve"> م 1378</w:t>
      </w:r>
      <w:r>
        <w:rPr>
          <w:rFonts w:cs="Traditional Arabic" w:hint="cs"/>
          <w:color w:val="0000FF"/>
          <w:sz w:val="24"/>
          <w:szCs w:val="28"/>
          <w:rtl/>
        </w:rPr>
        <w:t xml:space="preserve"> : 1- ما يستحق لبائع العقار أو مفرغة من الثمن وملحقاته له حق امتياز على العقار المبيع أو المفرغ . 2- ويجب ذكر حق الامتياز في سجل الطابو ، وتكون مرتبته من وقت التسجيل .</w:t>
      </w:r>
    </w:p>
  </w:footnote>
  <w:footnote w:id="188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326 .</w:t>
      </w:r>
    </w:p>
  </w:footnote>
  <w:footnote w:id="188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574 </w:t>
      </w:r>
      <w:r>
        <w:rPr>
          <w:rFonts w:cs="Traditional Arabic"/>
          <w:color w:val="0000FF"/>
          <w:sz w:val="24"/>
          <w:szCs w:val="28"/>
          <w:rtl/>
        </w:rPr>
        <w:t>–</w:t>
      </w:r>
      <w:r>
        <w:rPr>
          <w:rFonts w:cs="Traditional Arabic" w:hint="cs"/>
          <w:color w:val="0000FF"/>
          <w:sz w:val="24"/>
          <w:szCs w:val="28"/>
          <w:rtl/>
        </w:rPr>
        <w:t xml:space="preserve"> أوبري ورو 3 فقرة 263 ص 281 .</w:t>
      </w:r>
    </w:p>
  </w:footnote>
  <w:footnote w:id="188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بودري ودي لوان فقرة 574 </w:t>
      </w:r>
      <w:r>
        <w:rPr>
          <w:rFonts w:cs="Traditional Arabic"/>
          <w:color w:val="0000FF"/>
          <w:sz w:val="24"/>
          <w:szCs w:val="28"/>
          <w:rtl/>
        </w:rPr>
        <w:t>–</w:t>
      </w:r>
      <w:r>
        <w:rPr>
          <w:rFonts w:cs="Traditional Arabic" w:hint="cs"/>
          <w:color w:val="0000FF"/>
          <w:sz w:val="24"/>
          <w:szCs w:val="28"/>
          <w:rtl/>
        </w:rPr>
        <w:t xml:space="preserve"> بلانيول وريبير وبيكيه فقرة 626 .</w:t>
      </w:r>
    </w:p>
  </w:footnote>
  <w:footnote w:id="188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593 </w:t>
      </w:r>
      <w:r>
        <w:rPr>
          <w:rFonts w:cs="Traditional Arabic"/>
          <w:color w:val="0000FF"/>
          <w:sz w:val="24"/>
          <w:szCs w:val="28"/>
          <w:rtl/>
        </w:rPr>
        <w:t>–</w:t>
      </w:r>
      <w:r>
        <w:rPr>
          <w:rFonts w:cs="Traditional Arabic" w:hint="cs"/>
          <w:color w:val="0000FF"/>
          <w:sz w:val="24"/>
          <w:szCs w:val="28"/>
          <w:rtl/>
        </w:rPr>
        <w:t xml:space="preserve"> استئناف مختلط 21 مايو سنة 1913 م 25 ص 392 .</w:t>
      </w:r>
    </w:p>
  </w:footnote>
  <w:footnote w:id="189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593 </w:t>
      </w:r>
      <w:r>
        <w:rPr>
          <w:rFonts w:cs="Traditional Arabic"/>
          <w:color w:val="0000FF"/>
          <w:sz w:val="24"/>
          <w:szCs w:val="28"/>
          <w:rtl/>
        </w:rPr>
        <w:t>–</w:t>
      </w:r>
      <w:r>
        <w:rPr>
          <w:rFonts w:cs="Traditional Arabic" w:hint="cs"/>
          <w:color w:val="0000FF"/>
          <w:sz w:val="24"/>
          <w:szCs w:val="28"/>
          <w:rtl/>
        </w:rPr>
        <w:t xml:space="preserve"> شفيق شحاته 3 فقرة 188 .</w:t>
      </w:r>
    </w:p>
  </w:footnote>
  <w:footnote w:id="189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593 .</w:t>
      </w:r>
    </w:p>
  </w:footnote>
  <w:footnote w:id="189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26 مايو سنة 1931 م 43 ص 405 .</w:t>
      </w:r>
    </w:p>
  </w:footnote>
  <w:footnote w:id="189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21 نوفمبر سنة 1940 م 53 ص 17 </w:t>
      </w:r>
      <w:r>
        <w:rPr>
          <w:rFonts w:cs="Traditional Arabic"/>
          <w:color w:val="0000FF"/>
          <w:sz w:val="24"/>
          <w:szCs w:val="28"/>
          <w:rtl/>
        </w:rPr>
        <w:t>–</w:t>
      </w:r>
      <w:r>
        <w:rPr>
          <w:rFonts w:cs="Traditional Arabic" w:hint="cs"/>
          <w:color w:val="0000FF"/>
          <w:sz w:val="24"/>
          <w:szCs w:val="28"/>
          <w:rtl/>
        </w:rPr>
        <w:t xml:space="preserve"> 25 مارس سنة 1947 م 59 ص 157 .</w:t>
      </w:r>
    </w:p>
  </w:footnote>
  <w:footnote w:id="189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شفيق شحاته 3 ص 173 هامش 3 .</w:t>
      </w:r>
    </w:p>
  </w:footnote>
  <w:footnote w:id="189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632ز</w:t>
      </w:r>
    </w:p>
  </w:footnote>
  <w:footnote w:id="189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جرانمولان فقرة 742 </w:t>
      </w:r>
      <w:r>
        <w:rPr>
          <w:rFonts w:cs="Traditional Arabic"/>
          <w:color w:val="0000FF"/>
          <w:sz w:val="24"/>
          <w:szCs w:val="28"/>
          <w:rtl/>
        </w:rPr>
        <w:t>–</w:t>
      </w:r>
      <w:r>
        <w:rPr>
          <w:rFonts w:cs="Traditional Arabic" w:hint="cs"/>
          <w:color w:val="0000FF"/>
          <w:sz w:val="24"/>
          <w:szCs w:val="28"/>
          <w:rtl/>
        </w:rPr>
        <w:t xml:space="preserve"> عبد الفتاح عبد الباقي فقرة 632 </w:t>
      </w:r>
      <w:r>
        <w:rPr>
          <w:rFonts w:cs="Traditional Arabic"/>
          <w:color w:val="0000FF"/>
          <w:sz w:val="24"/>
          <w:szCs w:val="28"/>
          <w:rtl/>
        </w:rPr>
        <w:t>–</w:t>
      </w:r>
      <w:r>
        <w:rPr>
          <w:rFonts w:cs="Traditional Arabic" w:hint="cs"/>
          <w:color w:val="0000FF"/>
          <w:sz w:val="24"/>
          <w:szCs w:val="28"/>
          <w:rtl/>
        </w:rPr>
        <w:t xml:space="preserve"> سليمان مرقس فقرة 388 ص 627 .</w:t>
      </w:r>
    </w:p>
  </w:footnote>
  <w:footnote w:id="189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نقض مدني 16 مارس سنة 1944 مجموعة عمر 4 رقم 110 ص 181 </w:t>
      </w:r>
      <w:r>
        <w:rPr>
          <w:rFonts w:cs="Traditional Arabic"/>
          <w:color w:val="0000FF"/>
          <w:sz w:val="24"/>
          <w:szCs w:val="28"/>
          <w:rtl/>
        </w:rPr>
        <w:t>–</w:t>
      </w:r>
      <w:r>
        <w:rPr>
          <w:rFonts w:cs="Traditional Arabic" w:hint="cs"/>
          <w:color w:val="0000FF"/>
          <w:sz w:val="24"/>
          <w:szCs w:val="28"/>
          <w:rtl/>
        </w:rPr>
        <w:t xml:space="preserve"> جرانمولان فقرة 740 .</w:t>
      </w:r>
    </w:p>
  </w:footnote>
  <w:footnote w:id="189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دي هلتس في البيع فقرة 260 محمد كامل مرسي فقرة 491 .</w:t>
      </w:r>
    </w:p>
  </w:footnote>
  <w:footnote w:id="189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645 </w:t>
      </w:r>
      <w:r>
        <w:rPr>
          <w:rFonts w:cs="Traditional Arabic"/>
          <w:color w:val="0000FF"/>
          <w:sz w:val="24"/>
          <w:szCs w:val="28"/>
          <w:rtl/>
        </w:rPr>
        <w:t>–</w:t>
      </w:r>
      <w:r>
        <w:rPr>
          <w:rFonts w:cs="Traditional Arabic" w:hint="cs"/>
          <w:color w:val="0000FF"/>
          <w:sz w:val="24"/>
          <w:szCs w:val="28"/>
          <w:rtl/>
        </w:rPr>
        <w:t xml:space="preserve"> دي هلتس فقرة 82 </w:t>
      </w:r>
      <w:r>
        <w:rPr>
          <w:rFonts w:cs="Traditional Arabic"/>
          <w:color w:val="0000FF"/>
          <w:sz w:val="24"/>
          <w:szCs w:val="28"/>
          <w:rtl/>
        </w:rPr>
        <w:t>–</w:t>
      </w:r>
      <w:r>
        <w:rPr>
          <w:rFonts w:cs="Traditional Arabic" w:hint="cs"/>
          <w:color w:val="0000FF"/>
          <w:sz w:val="24"/>
          <w:szCs w:val="28"/>
          <w:rtl/>
        </w:rPr>
        <w:t xml:space="preserve"> فقرة 83 .</w:t>
      </w:r>
    </w:p>
  </w:footnote>
  <w:footnote w:id="190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نقض مدني 16 مارس سنة 1944 مجموعة عمر 4 رقم 110 ص 281 </w:t>
      </w:r>
      <w:r>
        <w:rPr>
          <w:rFonts w:cs="Traditional Arabic"/>
          <w:color w:val="0000FF"/>
          <w:sz w:val="24"/>
          <w:szCs w:val="28"/>
          <w:rtl/>
        </w:rPr>
        <w:t>–</w:t>
      </w:r>
      <w:r>
        <w:rPr>
          <w:rFonts w:cs="Traditional Arabic" w:hint="cs"/>
          <w:color w:val="0000FF"/>
          <w:sz w:val="24"/>
          <w:szCs w:val="28"/>
          <w:rtl/>
        </w:rPr>
        <w:t xml:space="preserve"> بيدان وفواران فقرة 594 .</w:t>
      </w:r>
    </w:p>
  </w:footnote>
  <w:footnote w:id="190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626 . وقد قضي بألا امتياز للمتقايض إلا فيما يعتب ربيعاً ، لأن الامتياز حق استثنائي لا يقاس عليه ( استئناف مصر 23 فبراير سنة 1941 المحاماة 22 ) .</w:t>
      </w:r>
    </w:p>
  </w:footnote>
  <w:footnote w:id="1902">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جرانمولان فقرة 742 .</w:t>
      </w:r>
    </w:p>
  </w:footnote>
  <w:footnote w:id="190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استئناف مختلط 8 مايو سنة 1890 م 2 ص 139 .</w:t>
      </w:r>
    </w:p>
  </w:footnote>
  <w:footnote w:id="190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636 .</w:t>
      </w:r>
    </w:p>
  </w:footnote>
  <w:footnote w:id="190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644 .</w:t>
      </w:r>
    </w:p>
  </w:footnote>
  <w:footnote w:id="1906">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w:t>
      </w:r>
      <w:r>
        <w:rPr>
          <w:rFonts w:cs="Traditional Arabic" w:hint="cs"/>
          <w:color w:val="0000FF"/>
          <w:sz w:val="24"/>
          <w:szCs w:val="28"/>
          <w:rtl/>
        </w:rPr>
        <w:t xml:space="preserve"> : ورد هذا النص في المادة 1590 من المشروع التمهيدي . وعدلته لجنة المراجعة تعديلا لفظيا طفيفا فصار مطابقا لما استقر عليه في التقنين المدني الجديد ، ثم وافقت عليه تحت رقم 1252 في المشروع النهائي . ووافق عليه مجلس النواب تحت رقم 1237 ، ثم مجلس الشيوخ تحت رقم 1148 ( مجموعة الأعمال التحضيرية 7 ص 327 </w:t>
      </w:r>
      <w:r>
        <w:rPr>
          <w:rFonts w:cs="Traditional Arabic"/>
          <w:color w:val="0000FF"/>
          <w:sz w:val="24"/>
          <w:szCs w:val="28"/>
          <w:rtl/>
        </w:rPr>
        <w:t>–</w:t>
      </w:r>
      <w:r>
        <w:rPr>
          <w:rFonts w:cs="Traditional Arabic" w:hint="cs"/>
          <w:color w:val="0000FF"/>
          <w:sz w:val="24"/>
          <w:szCs w:val="28"/>
          <w:rtl/>
        </w:rPr>
        <w:t xml:space="preserve"> 329 )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المدني السابق</w:t>
      </w:r>
      <w:r w:rsidRPr="000A228E">
        <w:rPr>
          <w:rFonts w:cs="Traditional Arabic" w:hint="cs"/>
          <w:color w:val="0000FF"/>
          <w:sz w:val="24"/>
          <w:szCs w:val="28"/>
          <w:rtl/>
        </w:rPr>
        <w:t xml:space="preserve"> م </w:t>
      </w:r>
      <w:r>
        <w:rPr>
          <w:rFonts w:cs="Traditional Arabic" w:hint="cs"/>
          <w:color w:val="0000FF"/>
          <w:sz w:val="24"/>
          <w:szCs w:val="28"/>
          <w:rtl/>
        </w:rPr>
        <w:t>603 / 729 : المبالغ المستحقة في مقابلة ما صرف لصيانة الشيء تكون مقدمة على جميع ما عداها من الديون ، ويكون الترتيب بين تلك المصاريف في المنقولات بعكس ترتيب الصرفي عليها .</w:t>
      </w:r>
    </w:p>
    <w:p w:rsidR="00F72742" w:rsidRDefault="00F72742" w:rsidP="00F72742">
      <w:pPr>
        <w:pStyle w:val="aa"/>
        <w:widowControl w:val="0"/>
        <w:ind w:firstLine="567"/>
        <w:jc w:val="lowKashida"/>
        <w:rPr>
          <w:rFonts w:hint="cs"/>
          <w:u w:val="single"/>
          <w:rtl/>
        </w:rPr>
      </w:pPr>
      <w:r w:rsidRPr="00BC5E2B">
        <w:rPr>
          <w:rFonts w:cs="Traditional Arabic" w:hint="cs"/>
          <w:color w:val="0000FF"/>
          <w:sz w:val="24"/>
          <w:szCs w:val="28"/>
          <w:u w:val="single"/>
          <w:rtl/>
        </w:rPr>
        <w:t>التقنينات المدنية العربية الأخرى</w:t>
      </w:r>
      <w:r>
        <w:rPr>
          <w:rFonts w:cs="Traditional Arabic" w:hint="cs"/>
          <w:color w:val="0000FF"/>
          <w:sz w:val="24"/>
          <w:szCs w:val="28"/>
          <w:u w:val="single"/>
          <w:rtl/>
        </w:rPr>
        <w:t xml:space="preserve"> :</w:t>
      </w:r>
    </w:p>
    <w:p w:rsidR="00F72742" w:rsidRDefault="00F72742" w:rsidP="00F72742">
      <w:pPr>
        <w:pStyle w:val="aa"/>
        <w:widowControl w:val="0"/>
        <w:ind w:firstLine="567"/>
        <w:jc w:val="lowKashida"/>
        <w:rPr>
          <w:rFonts w:cs="Traditional Arabic" w:hint="cs"/>
          <w:color w:val="0000FF"/>
          <w:sz w:val="24"/>
          <w:szCs w:val="28"/>
          <w:rtl/>
        </w:rPr>
      </w:pPr>
      <w:r w:rsidRPr="00BC5E2B">
        <w:rPr>
          <w:rFonts w:cs="Traditional Arabic" w:hint="cs"/>
          <w:color w:val="0000FF"/>
          <w:sz w:val="24"/>
          <w:szCs w:val="28"/>
          <w:rtl/>
        </w:rPr>
        <w:t xml:space="preserve">التقنين السوري </w:t>
      </w:r>
      <w:r>
        <w:rPr>
          <w:rFonts w:cs="Traditional Arabic" w:hint="cs"/>
          <w:color w:val="0000FF"/>
          <w:sz w:val="24"/>
          <w:szCs w:val="28"/>
          <w:rtl/>
        </w:rPr>
        <w:t>م 1127 : 1- المبالغ المستحقة للمقاولين والمهندسين المعماريين الذين عهد إليهم في تشييد أبنية أو منشآت أخرى أو في إعادة تشييدها أو في ترميمها أو في صيانتها يكون لها امتياز على هذه المنشآت ، ولكن ما يكون زائدا بسبب هذه الأعمال في قيمة العقار وقت بيعه . 2- ويجب أن يقيد هذا الامتياز ، وتكون رتبته من وقت القيد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 xml:space="preserve">التقنين الليبي </w:t>
      </w:r>
      <w:r w:rsidRPr="00626E9D">
        <w:rPr>
          <w:rFonts w:cs="Traditional Arabic" w:hint="cs"/>
          <w:color w:val="0000FF"/>
          <w:sz w:val="24"/>
          <w:szCs w:val="28"/>
          <w:rtl/>
        </w:rPr>
        <w:t>م 1151</w:t>
      </w:r>
      <w:r>
        <w:rPr>
          <w:rFonts w:cs="Traditional Arabic" w:hint="cs"/>
          <w:color w:val="0000FF"/>
          <w:sz w:val="24"/>
          <w:szCs w:val="28"/>
          <w:rtl/>
        </w:rPr>
        <w:t xml:space="preserve"> : 1- المبالغ المستحقة للمقاولين والمهندسين المعماريين الذين عهد إليهم في تشييد أبنية أو منشآت أخرى أو في إعادة تشييدها أو في ترميمها أو في صيانتها يكون لها امتياز على هذه المنشآت ، ولكن ما يكون زائدا بسبب هذه الأعمال في قيمة العقار وقت التصرف فيه . 2- ويجب أن يقيد هذا الامتياز ، وتكون رتبته من وقت القيد .</w:t>
      </w:r>
    </w:p>
    <w:p w:rsidR="00F72742" w:rsidRPr="00FD30BE" w:rsidRDefault="00F72742" w:rsidP="00F72742">
      <w:pPr>
        <w:pStyle w:val="aa"/>
        <w:widowControl w:val="0"/>
        <w:ind w:firstLine="567"/>
        <w:jc w:val="lowKashida"/>
        <w:rPr>
          <w:rFonts w:cs="Traditional Arabic" w:hint="cs"/>
          <w:color w:val="0000FF"/>
          <w:sz w:val="24"/>
          <w:szCs w:val="28"/>
          <w:rtl/>
        </w:rPr>
      </w:pPr>
      <w:r w:rsidRPr="00FD30BE">
        <w:rPr>
          <w:rFonts w:cs="Traditional Arabic" w:hint="cs"/>
          <w:color w:val="0000FF"/>
          <w:sz w:val="24"/>
          <w:szCs w:val="28"/>
          <w:u w:val="single"/>
          <w:rtl/>
        </w:rPr>
        <w:t>التقنين العراقي</w:t>
      </w:r>
      <w:r>
        <w:rPr>
          <w:rFonts w:cs="Traditional Arabic" w:hint="cs"/>
          <w:color w:val="0000FF"/>
          <w:sz w:val="24"/>
          <w:szCs w:val="28"/>
          <w:rtl/>
        </w:rPr>
        <w:t xml:space="preserve"> م 1379 : 1- المبالغ المستحقة للمقاولين والمهندسين المعماريين الذين عهد إليهم في تشييد أبنية أو منشآت أخرى أو في إعادة تشييدها أو في ترميمها أو في صيانتها لها حق امتياز على هذه المنشآت ، بقدر ما يكون زائدا بسبب هذه الأعمال في قيمة العقار وقت بيعه . 2- ويجب تحرير سند رسمي بالأعمال التي تمت والمبالغ المستحقة في مقابلها ، وتسجيل الامتياز في دائرة الطابو بناء على هذا السند . وتكون مرتبة هذا الامتياز من وقت التسجيل . 3- وفيما يتعلق بهذه المنشآت يتقدم صاحب هذا الامتياز على حق المرتهن للأرض التي قامت عليها هذه الأعمال إذا شملها الرهن ، سواء كان هذا الرهن تأمينا أو حيازيا .</w:t>
      </w:r>
    </w:p>
  </w:footnote>
  <w:footnote w:id="190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328 </w:t>
      </w:r>
      <w:r>
        <w:rPr>
          <w:rFonts w:cs="Traditional Arabic"/>
          <w:color w:val="0000FF"/>
          <w:sz w:val="24"/>
          <w:szCs w:val="28"/>
          <w:rtl/>
        </w:rPr>
        <w:t>–</w:t>
      </w:r>
      <w:r>
        <w:rPr>
          <w:rFonts w:cs="Traditional Arabic" w:hint="cs"/>
          <w:color w:val="0000FF"/>
          <w:sz w:val="24"/>
          <w:szCs w:val="28"/>
          <w:rtl/>
        </w:rPr>
        <w:t xml:space="preserve"> ص 329 .</w:t>
      </w:r>
    </w:p>
  </w:footnote>
  <w:footnote w:id="190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شفيق شحاته 3 فقرة 192 .</w:t>
      </w:r>
    </w:p>
  </w:footnote>
  <w:footnote w:id="190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600 </w:t>
      </w:r>
      <w:r>
        <w:rPr>
          <w:rFonts w:cs="Traditional Arabic"/>
          <w:color w:val="0000FF"/>
          <w:sz w:val="24"/>
          <w:szCs w:val="28"/>
          <w:rtl/>
        </w:rPr>
        <w:t>–</w:t>
      </w:r>
      <w:r>
        <w:rPr>
          <w:rFonts w:cs="Traditional Arabic" w:hint="cs"/>
          <w:color w:val="0000FF"/>
          <w:sz w:val="24"/>
          <w:szCs w:val="28"/>
          <w:rtl/>
        </w:rPr>
        <w:t xml:space="preserve"> بلانيول وريبير وبيكيه فقرة 660 </w:t>
      </w:r>
      <w:r>
        <w:rPr>
          <w:rFonts w:cs="Traditional Arabic"/>
          <w:color w:val="0000FF"/>
          <w:sz w:val="24"/>
          <w:szCs w:val="28"/>
          <w:rtl/>
        </w:rPr>
        <w:t>–</w:t>
      </w:r>
      <w:r>
        <w:rPr>
          <w:rFonts w:cs="Traditional Arabic" w:hint="cs"/>
          <w:color w:val="0000FF"/>
          <w:sz w:val="24"/>
          <w:szCs w:val="28"/>
          <w:rtl/>
        </w:rPr>
        <w:t xml:space="preserve"> شفيق شحاته 3 فقرة 192 </w:t>
      </w:r>
      <w:r>
        <w:rPr>
          <w:rFonts w:cs="Traditional Arabic"/>
          <w:color w:val="0000FF"/>
          <w:sz w:val="24"/>
          <w:szCs w:val="28"/>
          <w:rtl/>
        </w:rPr>
        <w:t>–</w:t>
      </w:r>
      <w:r>
        <w:rPr>
          <w:rFonts w:cs="Traditional Arabic" w:hint="cs"/>
          <w:color w:val="0000FF"/>
          <w:sz w:val="24"/>
          <w:szCs w:val="28"/>
          <w:rtl/>
        </w:rPr>
        <w:t xml:space="preserve"> محمد علي إمام فقرة 181 .</w:t>
      </w:r>
    </w:p>
  </w:footnote>
  <w:footnote w:id="1910">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664 </w:t>
      </w:r>
      <w:r>
        <w:rPr>
          <w:rFonts w:cs="Traditional Arabic"/>
          <w:color w:val="0000FF"/>
          <w:sz w:val="24"/>
          <w:szCs w:val="28"/>
          <w:rtl/>
        </w:rPr>
        <w:t>–</w:t>
      </w:r>
      <w:r>
        <w:rPr>
          <w:rFonts w:cs="Traditional Arabic" w:hint="cs"/>
          <w:color w:val="0000FF"/>
          <w:sz w:val="24"/>
          <w:szCs w:val="28"/>
          <w:rtl/>
        </w:rPr>
        <w:t xml:space="preserve"> محمد كامل مرسي فقرة 499 </w:t>
      </w:r>
      <w:r>
        <w:rPr>
          <w:rFonts w:cs="Traditional Arabic"/>
          <w:color w:val="0000FF"/>
          <w:sz w:val="24"/>
          <w:szCs w:val="28"/>
          <w:rtl/>
        </w:rPr>
        <w:t>–</w:t>
      </w:r>
      <w:r>
        <w:rPr>
          <w:rFonts w:cs="Traditional Arabic" w:hint="cs"/>
          <w:color w:val="0000FF"/>
          <w:sz w:val="24"/>
          <w:szCs w:val="28"/>
          <w:rtl/>
        </w:rPr>
        <w:t xml:space="preserve"> سليمان مرقس فقرة 395 ص 635 .</w:t>
      </w:r>
    </w:p>
  </w:footnote>
  <w:footnote w:id="1911">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عبد الفتاح عبد الباقي فقرة 642 </w:t>
      </w:r>
      <w:r>
        <w:rPr>
          <w:rFonts w:cs="Traditional Arabic"/>
          <w:color w:val="0000FF"/>
          <w:sz w:val="24"/>
          <w:szCs w:val="28"/>
          <w:rtl/>
        </w:rPr>
        <w:t>–</w:t>
      </w:r>
      <w:r>
        <w:rPr>
          <w:rFonts w:cs="Traditional Arabic" w:hint="cs"/>
          <w:color w:val="0000FF"/>
          <w:sz w:val="24"/>
          <w:szCs w:val="28"/>
          <w:rtl/>
        </w:rPr>
        <w:t xml:space="preserve"> محمد علي إمام فقرة 483 </w:t>
      </w:r>
      <w:r>
        <w:rPr>
          <w:rFonts w:cs="Traditional Arabic"/>
          <w:color w:val="0000FF"/>
          <w:sz w:val="24"/>
          <w:szCs w:val="28"/>
          <w:rtl/>
        </w:rPr>
        <w:t>–</w:t>
      </w:r>
      <w:r>
        <w:rPr>
          <w:rFonts w:cs="Traditional Arabic" w:hint="cs"/>
          <w:color w:val="0000FF"/>
          <w:sz w:val="24"/>
          <w:szCs w:val="28"/>
          <w:rtl/>
        </w:rPr>
        <w:t xml:space="preserve"> سليمان مرقس فقرة 396 ص 638 .</w:t>
      </w:r>
    </w:p>
  </w:footnote>
  <w:footnote w:id="1912">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w:t>
      </w:r>
      <w:r>
        <w:rPr>
          <w:rFonts w:cs="Traditional Arabic" w:hint="cs"/>
          <w:color w:val="0000FF"/>
          <w:sz w:val="24"/>
          <w:szCs w:val="28"/>
          <w:u w:val="single"/>
          <w:rtl/>
        </w:rPr>
        <w:t>تاريخ النص :</w:t>
      </w:r>
      <w:r>
        <w:rPr>
          <w:rFonts w:cs="Traditional Arabic" w:hint="cs"/>
          <w:color w:val="0000FF"/>
          <w:sz w:val="24"/>
          <w:szCs w:val="28"/>
          <w:rtl/>
        </w:rPr>
        <w:t xml:space="preserve"> ورد هذا النص في المادة 1591 من المشروع التمهيدي . وعدلته لجنة المراجعة تعديلا لفظياً طفيفاً حتى صار مطابقاً لما استقر عليه في التقنين المدني الجديد ، ثم وافقت عليه تحت رقم 1653 في المشروع النهائي . ووافق عليه مجلس النواب تحت رقم 1238 ، ثم مجلس الشيوخ تحت رقم 1149 ( مجموعة الأعمال التحضيرية 7 ص 330 </w:t>
      </w:r>
      <w:r>
        <w:rPr>
          <w:rFonts w:cs="Traditional Arabic"/>
          <w:color w:val="0000FF"/>
          <w:sz w:val="24"/>
          <w:szCs w:val="28"/>
          <w:rtl/>
        </w:rPr>
        <w:t>–</w:t>
      </w:r>
      <w:r>
        <w:rPr>
          <w:rFonts w:cs="Traditional Arabic" w:hint="cs"/>
          <w:color w:val="0000FF"/>
          <w:sz w:val="24"/>
          <w:szCs w:val="28"/>
          <w:rtl/>
        </w:rPr>
        <w:t xml:space="preserve"> ص 331 ) .</w:t>
      </w:r>
    </w:p>
    <w:p w:rsidR="00F72742" w:rsidRDefault="00F72742" w:rsidP="00F72742">
      <w:pPr>
        <w:pStyle w:val="aa"/>
        <w:widowControl w:val="0"/>
        <w:ind w:firstLine="567"/>
        <w:jc w:val="lowKashida"/>
        <w:rPr>
          <w:rFonts w:cs="Traditional Arabic" w:hint="cs"/>
          <w:color w:val="0000FF"/>
          <w:sz w:val="24"/>
          <w:szCs w:val="28"/>
          <w:rtl/>
        </w:rPr>
      </w:pPr>
      <w:r w:rsidRPr="002F2253">
        <w:rPr>
          <w:rFonts w:cs="Traditional Arabic" w:hint="cs"/>
          <w:color w:val="0000FF"/>
          <w:sz w:val="24"/>
          <w:szCs w:val="28"/>
          <w:u w:val="single"/>
          <w:rtl/>
        </w:rPr>
        <w:t>التقنين المدني السابق</w:t>
      </w:r>
      <w:r>
        <w:rPr>
          <w:rFonts w:cs="Traditional Arabic" w:hint="cs"/>
          <w:b/>
          <w:bCs/>
          <w:color w:val="0000FF"/>
          <w:sz w:val="24"/>
          <w:szCs w:val="28"/>
          <w:rtl/>
        </w:rPr>
        <w:t xml:space="preserve"> : </w:t>
      </w:r>
      <w:r>
        <w:rPr>
          <w:rFonts w:cs="Traditional Arabic" w:hint="cs"/>
          <w:color w:val="0000FF"/>
          <w:sz w:val="24"/>
          <w:szCs w:val="28"/>
          <w:rtl/>
        </w:rPr>
        <w:t>م 602 / 728 : للشركاء الذين اقتسموا عقارا شائعاً بينهم حق امتياز على ذلك على ذلك العقار تأمينا لحقوقهم في رجوع  بعضهم على بعض في القسمة ، ويثبت لهم هذا الامتياز بالتسجيل في قلم كتاب المحكمة بغير اقتضاء لشرط خاص . ويجري مقتضى الامتياز على حسب  الدرجة التي ترتبت له بالتسجيل .</w:t>
      </w:r>
    </w:p>
    <w:p w:rsidR="00F72742" w:rsidRDefault="00F72742" w:rsidP="00F72742">
      <w:pPr>
        <w:pStyle w:val="aa"/>
        <w:widowControl w:val="0"/>
        <w:ind w:firstLine="567"/>
        <w:jc w:val="lowKashida"/>
        <w:rPr>
          <w:rFonts w:cs="Traditional Arabic" w:hint="cs"/>
          <w:color w:val="0000FF"/>
          <w:sz w:val="24"/>
          <w:szCs w:val="28"/>
          <w:u w:val="single"/>
          <w:rtl/>
        </w:rPr>
      </w:pPr>
      <w:r>
        <w:rPr>
          <w:rFonts w:cs="Traditional Arabic" w:hint="cs"/>
          <w:color w:val="0000FF"/>
          <w:sz w:val="24"/>
          <w:szCs w:val="28"/>
          <w:u w:val="single"/>
          <w:rtl/>
        </w:rPr>
        <w:t>التقنينات المدنية العربية الأخرى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السوري :</w:t>
      </w:r>
      <w:r>
        <w:rPr>
          <w:rFonts w:cs="Traditional Arabic" w:hint="cs"/>
          <w:color w:val="0000FF"/>
          <w:sz w:val="24"/>
          <w:szCs w:val="28"/>
          <w:rtl/>
        </w:rPr>
        <w:t xml:space="preserve"> لا شيء .</w:t>
      </w:r>
    </w:p>
    <w:p w:rsidR="00F72742"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التقنيين الليبي</w:t>
      </w:r>
      <w:r>
        <w:rPr>
          <w:rFonts w:cs="Traditional Arabic" w:hint="cs"/>
          <w:color w:val="0000FF"/>
          <w:sz w:val="24"/>
          <w:szCs w:val="28"/>
          <w:rtl/>
        </w:rPr>
        <w:t xml:space="preserve"> : لا شيء .</w:t>
      </w:r>
    </w:p>
    <w:p w:rsidR="00F72742" w:rsidRPr="0019179A"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u w:val="single"/>
          <w:rtl/>
        </w:rPr>
        <w:t>التقنين العراقي</w:t>
      </w:r>
      <w:r>
        <w:rPr>
          <w:rFonts w:cs="Traditional Arabic" w:hint="cs"/>
          <w:color w:val="0000FF"/>
          <w:sz w:val="24"/>
          <w:szCs w:val="28"/>
          <w:rtl/>
        </w:rPr>
        <w:t xml:space="preserve"> م 1380 : 1- إذا اقتسم الشركاء عقارا شائعا بينهم ، فحق كل منهم في الرجوع على الآخرين بسبب القسمة وفي استيفاء ما تقرر فيها من معدل يكون مضمونا بحق امتياز على جميع الحصص المفرزة متى وقعت في فصيب باقي الشركاء . 2- ويجب تسجيل حق الامتياز هذا في دائرة الطابو ، وتكون مرتبته من وقت التسجيل .</w:t>
      </w:r>
    </w:p>
  </w:footnote>
  <w:footnote w:id="1913">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مجموعة الأعمال التحضيرية 7 ص 331 .</w:t>
      </w:r>
    </w:p>
  </w:footnote>
  <w:footnote w:id="1914">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597 </w:t>
      </w:r>
      <w:r>
        <w:rPr>
          <w:rFonts w:cs="Traditional Arabic"/>
          <w:color w:val="0000FF"/>
          <w:sz w:val="24"/>
          <w:szCs w:val="28"/>
          <w:rtl/>
        </w:rPr>
        <w:t>–</w:t>
      </w:r>
      <w:r>
        <w:rPr>
          <w:rFonts w:cs="Traditional Arabic" w:hint="cs"/>
          <w:color w:val="0000FF"/>
          <w:sz w:val="24"/>
          <w:szCs w:val="28"/>
          <w:rtl/>
        </w:rPr>
        <w:t xml:space="preserve"> بلانيول وريبير وبيكيه فقرة 652 .</w:t>
      </w:r>
    </w:p>
  </w:footnote>
  <w:footnote w:id="1915">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597 .</w:t>
      </w:r>
    </w:p>
  </w:footnote>
  <w:footnote w:id="1916">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654 .</w:t>
      </w:r>
    </w:p>
  </w:footnote>
  <w:footnote w:id="1917">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597 . وانظر ذلك في قسمه المنقول آنفاً فقرة726 .</w:t>
      </w:r>
    </w:p>
  </w:footnote>
  <w:footnote w:id="1918">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بلانيول وريبير وبيكيه فقرة 657 </w:t>
      </w:r>
      <w:r>
        <w:rPr>
          <w:rFonts w:cs="Traditional Arabic"/>
          <w:color w:val="0000FF"/>
          <w:sz w:val="24"/>
          <w:szCs w:val="28"/>
          <w:rtl/>
        </w:rPr>
        <w:t>–</w:t>
      </w:r>
      <w:r>
        <w:rPr>
          <w:rFonts w:cs="Traditional Arabic" w:hint="cs"/>
          <w:color w:val="0000FF"/>
          <w:sz w:val="24"/>
          <w:szCs w:val="28"/>
          <w:rtl/>
        </w:rPr>
        <w:t xml:space="preserve"> كولان وكابيتان 2 فقرة 1155 </w:t>
      </w:r>
      <w:r>
        <w:rPr>
          <w:rFonts w:cs="Traditional Arabic"/>
          <w:color w:val="0000FF"/>
          <w:sz w:val="24"/>
          <w:szCs w:val="28"/>
          <w:rtl/>
        </w:rPr>
        <w:t>–</w:t>
      </w:r>
      <w:r>
        <w:rPr>
          <w:rFonts w:cs="Traditional Arabic" w:hint="cs"/>
          <w:color w:val="0000FF"/>
          <w:sz w:val="24"/>
          <w:szCs w:val="28"/>
          <w:rtl/>
        </w:rPr>
        <w:t xml:space="preserve"> جوسران 2 فقرة 1760 .</w:t>
      </w:r>
    </w:p>
  </w:footnote>
  <w:footnote w:id="1919">
    <w:p w:rsidR="00F72742" w:rsidRPr="00C43A57" w:rsidRDefault="00F72742" w:rsidP="00F72742">
      <w:pPr>
        <w:pStyle w:val="aa"/>
        <w:widowControl w:val="0"/>
        <w:ind w:firstLine="567"/>
        <w:jc w:val="lowKashida"/>
        <w:rPr>
          <w:rFonts w:cs="Traditional Arabic" w:hint="cs"/>
          <w:color w:val="0000FF"/>
          <w:sz w:val="24"/>
          <w:szCs w:val="28"/>
          <w:rtl/>
        </w:rPr>
      </w:pPr>
      <w:r>
        <w:rPr>
          <w:rFonts w:cs="Traditional Arabic" w:hint="cs"/>
          <w:color w:val="0000FF"/>
          <w:sz w:val="24"/>
          <w:szCs w:val="28"/>
          <w:rtl/>
        </w:rPr>
        <w:t xml:space="preserve">( </w:t>
      </w:r>
      <w:r w:rsidRPr="00C43A57">
        <w:rPr>
          <w:rStyle w:val="ab"/>
          <w:rFonts w:cs="Traditional Arabic"/>
          <w:color w:val="0000FF"/>
          <w:sz w:val="24"/>
          <w:szCs w:val="28"/>
        </w:rPr>
        <w:footnoteRef/>
      </w:r>
      <w:r>
        <w:rPr>
          <w:rFonts w:cs="Traditional Arabic" w:hint="cs"/>
          <w:color w:val="0000FF"/>
          <w:sz w:val="24"/>
          <w:szCs w:val="28"/>
          <w:rtl/>
        </w:rPr>
        <w:t xml:space="preserve"> )  بيدان وفواران فقرة 598 </w:t>
      </w:r>
      <w:r>
        <w:rPr>
          <w:rFonts w:cs="Traditional Arabic"/>
          <w:color w:val="0000FF"/>
          <w:sz w:val="24"/>
          <w:szCs w:val="28"/>
          <w:rtl/>
        </w:rPr>
        <w:t>–</w:t>
      </w:r>
      <w:r>
        <w:rPr>
          <w:rFonts w:cs="Traditional Arabic" w:hint="cs"/>
          <w:color w:val="0000FF"/>
          <w:sz w:val="24"/>
          <w:szCs w:val="28"/>
          <w:rtl/>
        </w:rPr>
        <w:t xml:space="preserve"> بلانيول وريبير وبيكيه فقرة 956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2742" w:rsidRDefault="00F72742" w:rsidP="00A873CC">
    <w:pPr>
      <w:pStyle w:val="a3"/>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398E" w:rsidRDefault="002807E1" w:rsidP="00767ADE">
    <w:pPr>
      <w:pStyle w:val="a3"/>
      <w:framePr w:wrap="around" w:vAnchor="text" w:hAnchor="text" w:xAlign="right" w:y="1"/>
      <w:rPr>
        <w:rStyle w:val="a5"/>
      </w:rPr>
    </w:pPr>
    <w:r>
      <w:rPr>
        <w:rStyle w:val="a5"/>
        <w:rtl/>
      </w:rPr>
      <w:fldChar w:fldCharType="begin"/>
    </w:r>
    <w:r>
      <w:rPr>
        <w:rStyle w:val="a5"/>
      </w:rPr>
      <w:instrText xml:space="preserve">PAGE  </w:instrText>
    </w:r>
    <w:r>
      <w:rPr>
        <w:rStyle w:val="a5"/>
        <w:rtl/>
      </w:rPr>
      <w:fldChar w:fldCharType="separate"/>
    </w:r>
    <w:r>
      <w:rPr>
        <w:rStyle w:val="a5"/>
        <w:noProof/>
        <w:rtl/>
      </w:rPr>
      <w:t>970</w:t>
    </w:r>
    <w:r>
      <w:rPr>
        <w:rStyle w:val="a5"/>
        <w:rtl/>
      </w:rPr>
      <w:fldChar w:fldCharType="end"/>
    </w:r>
  </w:p>
  <w:p w:rsidR="006C398E" w:rsidRDefault="002807E1" w:rsidP="00EE11B8">
    <w:pPr>
      <w:pStyle w:val="a3"/>
      <w:ind w:firstLine="360"/>
      <w:jc w:val="right"/>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398E" w:rsidRPr="00A873CC" w:rsidRDefault="002807E1" w:rsidP="00767ADE">
    <w:pPr>
      <w:pStyle w:val="a3"/>
      <w:framePr w:wrap="around" w:vAnchor="text" w:hAnchor="text" w:xAlign="right" w:y="1"/>
      <w:rPr>
        <w:rStyle w:val="a5"/>
        <w:sz w:val="32"/>
      </w:rPr>
    </w:pPr>
    <w:r w:rsidRPr="00A873CC">
      <w:rPr>
        <w:rStyle w:val="a5"/>
        <w:sz w:val="32"/>
        <w:rtl/>
      </w:rPr>
      <w:fldChar w:fldCharType="begin"/>
    </w:r>
    <w:r w:rsidRPr="00A873CC">
      <w:rPr>
        <w:rStyle w:val="a5"/>
        <w:sz w:val="32"/>
      </w:rPr>
      <w:instrText xml:space="preserve">PAGE  </w:instrText>
    </w:r>
    <w:r w:rsidRPr="00A873CC">
      <w:rPr>
        <w:rStyle w:val="a5"/>
        <w:sz w:val="32"/>
        <w:rtl/>
      </w:rPr>
      <w:fldChar w:fldCharType="separate"/>
    </w:r>
    <w:r w:rsidR="00F72742">
      <w:rPr>
        <w:rStyle w:val="a5"/>
        <w:noProof/>
        <w:sz w:val="32"/>
        <w:rtl/>
      </w:rPr>
      <w:t>920</w:t>
    </w:r>
    <w:r w:rsidRPr="00A873CC">
      <w:rPr>
        <w:rStyle w:val="a5"/>
        <w:sz w:val="32"/>
        <w:rtl/>
      </w:rPr>
      <w:fldChar w:fldCharType="end"/>
    </w:r>
  </w:p>
  <w:p w:rsidR="006C398E" w:rsidRDefault="002807E1" w:rsidP="00A873CC">
    <w:pPr>
      <w:pStyle w:val="a3"/>
      <w:ind w:firstLine="360"/>
    </w:pPr>
    <w:r>
      <w:rPr>
        <w:rtl/>
      </w:rP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398E" w:rsidRDefault="002807E1">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0B0660"/>
    <w:multiLevelType w:val="hybridMultilevel"/>
    <w:tmpl w:val="91F4B7FC"/>
    <w:lvl w:ilvl="0" w:tplc="C60064C0">
      <w:start w:val="1"/>
      <w:numFmt w:val="decimal"/>
      <w:lvlText w:val="(%1)"/>
      <w:lvlJc w:val="left"/>
      <w:pPr>
        <w:tabs>
          <w:tab w:val="num" w:pos="1527"/>
        </w:tabs>
        <w:ind w:left="1527" w:hanging="96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1">
    <w:nsid w:val="33354162"/>
    <w:multiLevelType w:val="hybridMultilevel"/>
    <w:tmpl w:val="077C99E8"/>
    <w:lvl w:ilvl="0" w:tplc="0409000F">
      <w:start w:val="1"/>
      <w:numFmt w:val="decimal"/>
      <w:lvlText w:val="%1."/>
      <w:lvlJc w:val="left"/>
      <w:pPr>
        <w:tabs>
          <w:tab w:val="num" w:pos="1287"/>
        </w:tabs>
        <w:ind w:left="1287" w:hanging="360"/>
      </w:pPr>
    </w:lvl>
    <w:lvl w:ilvl="1" w:tplc="04090019" w:tentative="1">
      <w:start w:val="1"/>
      <w:numFmt w:val="lowerLetter"/>
      <w:lvlText w:val="%2."/>
      <w:lvlJc w:val="left"/>
      <w:pPr>
        <w:tabs>
          <w:tab w:val="num" w:pos="2007"/>
        </w:tabs>
        <w:ind w:left="2007" w:hanging="360"/>
      </w:pPr>
    </w:lvl>
    <w:lvl w:ilvl="2" w:tplc="0409001B" w:tentative="1">
      <w:start w:val="1"/>
      <w:numFmt w:val="lowerRoman"/>
      <w:lvlText w:val="%3."/>
      <w:lvlJc w:val="right"/>
      <w:pPr>
        <w:tabs>
          <w:tab w:val="num" w:pos="2727"/>
        </w:tabs>
        <w:ind w:left="2727" w:hanging="180"/>
      </w:pPr>
    </w:lvl>
    <w:lvl w:ilvl="3" w:tplc="0409000F" w:tentative="1">
      <w:start w:val="1"/>
      <w:numFmt w:val="decimal"/>
      <w:lvlText w:val="%4."/>
      <w:lvlJc w:val="left"/>
      <w:pPr>
        <w:tabs>
          <w:tab w:val="num" w:pos="3447"/>
        </w:tabs>
        <w:ind w:left="3447" w:hanging="360"/>
      </w:pPr>
    </w:lvl>
    <w:lvl w:ilvl="4" w:tplc="04090019" w:tentative="1">
      <w:start w:val="1"/>
      <w:numFmt w:val="lowerLetter"/>
      <w:lvlText w:val="%5."/>
      <w:lvlJc w:val="left"/>
      <w:pPr>
        <w:tabs>
          <w:tab w:val="num" w:pos="4167"/>
        </w:tabs>
        <w:ind w:left="4167" w:hanging="360"/>
      </w:pPr>
    </w:lvl>
    <w:lvl w:ilvl="5" w:tplc="0409001B" w:tentative="1">
      <w:start w:val="1"/>
      <w:numFmt w:val="lowerRoman"/>
      <w:lvlText w:val="%6."/>
      <w:lvlJc w:val="right"/>
      <w:pPr>
        <w:tabs>
          <w:tab w:val="num" w:pos="4887"/>
        </w:tabs>
        <w:ind w:left="4887" w:hanging="180"/>
      </w:pPr>
    </w:lvl>
    <w:lvl w:ilvl="6" w:tplc="0409000F" w:tentative="1">
      <w:start w:val="1"/>
      <w:numFmt w:val="decimal"/>
      <w:lvlText w:val="%7."/>
      <w:lvlJc w:val="left"/>
      <w:pPr>
        <w:tabs>
          <w:tab w:val="num" w:pos="5607"/>
        </w:tabs>
        <w:ind w:left="5607" w:hanging="360"/>
      </w:pPr>
    </w:lvl>
    <w:lvl w:ilvl="7" w:tplc="04090019" w:tentative="1">
      <w:start w:val="1"/>
      <w:numFmt w:val="lowerLetter"/>
      <w:lvlText w:val="%8."/>
      <w:lvlJc w:val="left"/>
      <w:pPr>
        <w:tabs>
          <w:tab w:val="num" w:pos="6327"/>
        </w:tabs>
        <w:ind w:left="6327" w:hanging="360"/>
      </w:pPr>
    </w:lvl>
    <w:lvl w:ilvl="8" w:tplc="0409001B" w:tentative="1">
      <w:start w:val="1"/>
      <w:numFmt w:val="lowerRoman"/>
      <w:lvlText w:val="%9."/>
      <w:lvlJc w:val="right"/>
      <w:pPr>
        <w:tabs>
          <w:tab w:val="num" w:pos="7047"/>
        </w:tabs>
        <w:ind w:left="7047"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F72742"/>
    <w:rsid w:val="002807E1"/>
    <w:rsid w:val="00306BFB"/>
    <w:rsid w:val="00404872"/>
    <w:rsid w:val="0045083B"/>
    <w:rsid w:val="00AC1322"/>
    <w:rsid w:val="00F7274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2742"/>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rsid w:val="00F72742"/>
    <w:pPr>
      <w:tabs>
        <w:tab w:val="center" w:pos="4153"/>
        <w:tab w:val="right" w:pos="8306"/>
      </w:tabs>
    </w:pPr>
  </w:style>
  <w:style w:type="character" w:customStyle="1" w:styleId="Char">
    <w:name w:val="رأس صفحة Char"/>
    <w:basedOn w:val="a0"/>
    <w:link w:val="a3"/>
    <w:rsid w:val="00F72742"/>
  </w:style>
  <w:style w:type="paragraph" w:styleId="a4">
    <w:name w:val="footer"/>
    <w:basedOn w:val="a"/>
    <w:link w:val="Char0"/>
    <w:rsid w:val="00F72742"/>
    <w:pPr>
      <w:tabs>
        <w:tab w:val="center" w:pos="4153"/>
        <w:tab w:val="right" w:pos="8306"/>
      </w:tabs>
    </w:pPr>
  </w:style>
  <w:style w:type="character" w:customStyle="1" w:styleId="Char0">
    <w:name w:val="تذييل صفحة Char"/>
    <w:basedOn w:val="a0"/>
    <w:link w:val="a4"/>
    <w:rsid w:val="00F72742"/>
  </w:style>
  <w:style w:type="character" w:styleId="a5">
    <w:name w:val="page number"/>
    <w:basedOn w:val="a0"/>
    <w:rsid w:val="00F72742"/>
  </w:style>
  <w:style w:type="character" w:styleId="a6">
    <w:name w:val="annotation reference"/>
    <w:basedOn w:val="a0"/>
    <w:semiHidden/>
    <w:rsid w:val="00F72742"/>
    <w:rPr>
      <w:sz w:val="16"/>
      <w:szCs w:val="16"/>
    </w:rPr>
  </w:style>
  <w:style w:type="paragraph" w:styleId="a7">
    <w:name w:val="annotation text"/>
    <w:basedOn w:val="a"/>
    <w:link w:val="Char1"/>
    <w:semiHidden/>
    <w:rsid w:val="00F72742"/>
    <w:rPr>
      <w:sz w:val="20"/>
      <w:szCs w:val="20"/>
    </w:rPr>
  </w:style>
  <w:style w:type="character" w:customStyle="1" w:styleId="Char1">
    <w:name w:val="نص تعليق Char"/>
    <w:basedOn w:val="a0"/>
    <w:link w:val="a7"/>
    <w:semiHidden/>
    <w:rsid w:val="00F72742"/>
    <w:rPr>
      <w:sz w:val="20"/>
      <w:szCs w:val="20"/>
    </w:rPr>
  </w:style>
  <w:style w:type="paragraph" w:styleId="a8">
    <w:name w:val="annotation subject"/>
    <w:basedOn w:val="a7"/>
    <w:next w:val="a7"/>
    <w:link w:val="Char2"/>
    <w:semiHidden/>
    <w:rsid w:val="00F72742"/>
    <w:rPr>
      <w:b/>
      <w:bCs/>
    </w:rPr>
  </w:style>
  <w:style w:type="character" w:customStyle="1" w:styleId="Char2">
    <w:name w:val="موضوع تعليق Char"/>
    <w:basedOn w:val="Char1"/>
    <w:link w:val="a8"/>
    <w:semiHidden/>
    <w:rsid w:val="00F72742"/>
    <w:rPr>
      <w:b/>
      <w:bCs/>
    </w:rPr>
  </w:style>
  <w:style w:type="paragraph" w:styleId="a9">
    <w:name w:val="Balloon Text"/>
    <w:basedOn w:val="a"/>
    <w:link w:val="Char3"/>
    <w:semiHidden/>
    <w:rsid w:val="00F72742"/>
    <w:rPr>
      <w:rFonts w:ascii="Tahoma" w:hAnsi="Tahoma" w:cs="Tahoma"/>
      <w:sz w:val="16"/>
      <w:szCs w:val="16"/>
    </w:rPr>
  </w:style>
  <w:style w:type="character" w:customStyle="1" w:styleId="Char3">
    <w:name w:val="نص في بالون Char"/>
    <w:basedOn w:val="a0"/>
    <w:link w:val="a9"/>
    <w:semiHidden/>
    <w:rsid w:val="00F72742"/>
    <w:rPr>
      <w:rFonts w:ascii="Tahoma" w:hAnsi="Tahoma" w:cs="Tahoma"/>
      <w:sz w:val="16"/>
      <w:szCs w:val="16"/>
    </w:rPr>
  </w:style>
  <w:style w:type="paragraph" w:styleId="aa">
    <w:name w:val="footnote text"/>
    <w:basedOn w:val="a"/>
    <w:link w:val="Char4"/>
    <w:semiHidden/>
    <w:rsid w:val="00F72742"/>
    <w:rPr>
      <w:sz w:val="20"/>
      <w:szCs w:val="20"/>
    </w:rPr>
  </w:style>
  <w:style w:type="character" w:customStyle="1" w:styleId="Char4">
    <w:name w:val="نص حاشية سفلية Char"/>
    <w:basedOn w:val="a0"/>
    <w:link w:val="aa"/>
    <w:semiHidden/>
    <w:rsid w:val="00F72742"/>
    <w:rPr>
      <w:sz w:val="20"/>
      <w:szCs w:val="20"/>
    </w:rPr>
  </w:style>
  <w:style w:type="character" w:styleId="ab">
    <w:name w:val="footnote reference"/>
    <w:basedOn w:val="a0"/>
    <w:semiHidden/>
    <w:rsid w:val="00F72742"/>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3.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921</Pages>
  <Words>163807</Words>
  <Characters>933700</Characters>
  <Application>Microsoft Office Word</Application>
  <DocSecurity>0</DocSecurity>
  <Lines>7780</Lines>
  <Paragraphs>2190</Paragraphs>
  <ScaleCrop>false</ScaleCrop>
  <Company/>
  <LinksUpToDate>false</LinksUpToDate>
  <CharactersWithSpaces>1095317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2</cp:revision>
  <dcterms:created xsi:type="dcterms:W3CDTF">2015-10-08T09:37:00Z</dcterms:created>
  <dcterms:modified xsi:type="dcterms:W3CDTF">2015-10-08T09:37:00Z</dcterms:modified>
</cp:coreProperties>
</file>